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9E9D5" w14:textId="77777777" w:rsidR="000C5542" w:rsidRPr="00520861" w:rsidRDefault="000C5542" w:rsidP="00292D2E">
      <w:pPr>
        <w:widowControl w:val="0"/>
        <w:spacing w:line="360" w:lineRule="auto"/>
        <w:jc w:val="center"/>
        <w:rPr>
          <w:sz w:val="28"/>
          <w:szCs w:val="28"/>
        </w:rPr>
      </w:pPr>
      <w:r w:rsidRPr="00520861">
        <w:rPr>
          <w:sz w:val="28"/>
          <w:szCs w:val="28"/>
        </w:rPr>
        <w:t xml:space="preserve">Міністерство охорони здоров’я України </w:t>
      </w:r>
    </w:p>
    <w:p w14:paraId="2B9C444E" w14:textId="77777777" w:rsidR="000C5542" w:rsidRPr="00520861" w:rsidRDefault="000C5542" w:rsidP="00292D2E">
      <w:pPr>
        <w:widowControl w:val="0"/>
        <w:spacing w:line="360" w:lineRule="auto"/>
        <w:jc w:val="center"/>
        <w:rPr>
          <w:sz w:val="28"/>
          <w:szCs w:val="28"/>
        </w:rPr>
      </w:pPr>
      <w:r w:rsidRPr="00520861">
        <w:rPr>
          <w:sz w:val="28"/>
          <w:szCs w:val="28"/>
        </w:rPr>
        <w:t xml:space="preserve">Харківський національний медичний університет </w:t>
      </w:r>
    </w:p>
    <w:p w14:paraId="24F53975" w14:textId="77777777" w:rsidR="000C5542" w:rsidRPr="00520861" w:rsidRDefault="000C5542" w:rsidP="00292D2E">
      <w:pPr>
        <w:widowControl w:val="0"/>
        <w:spacing w:line="360" w:lineRule="auto"/>
        <w:jc w:val="center"/>
        <w:rPr>
          <w:sz w:val="28"/>
          <w:szCs w:val="28"/>
        </w:rPr>
      </w:pPr>
      <w:r w:rsidRPr="00520861">
        <w:rPr>
          <w:sz w:val="28"/>
          <w:szCs w:val="28"/>
        </w:rPr>
        <w:t xml:space="preserve">Міністерство охорони здоров’я України </w:t>
      </w:r>
    </w:p>
    <w:p w14:paraId="6EA9FE2A" w14:textId="77777777" w:rsidR="000C5542" w:rsidRPr="00520861" w:rsidRDefault="000C5542" w:rsidP="00292D2E">
      <w:pPr>
        <w:widowControl w:val="0"/>
        <w:spacing w:line="360" w:lineRule="auto"/>
        <w:jc w:val="center"/>
        <w:rPr>
          <w:sz w:val="28"/>
          <w:szCs w:val="28"/>
        </w:rPr>
      </w:pPr>
      <w:r w:rsidRPr="00520861">
        <w:rPr>
          <w:sz w:val="28"/>
          <w:szCs w:val="28"/>
        </w:rPr>
        <w:t xml:space="preserve">Харківський національний медичний університет </w:t>
      </w:r>
    </w:p>
    <w:p w14:paraId="0A888819" w14:textId="77777777" w:rsidR="000C5542" w:rsidRPr="00520861" w:rsidRDefault="000C5542" w:rsidP="00292D2E">
      <w:pPr>
        <w:widowControl w:val="0"/>
        <w:spacing w:line="360" w:lineRule="auto"/>
        <w:rPr>
          <w:sz w:val="28"/>
          <w:szCs w:val="28"/>
        </w:rPr>
      </w:pPr>
    </w:p>
    <w:p w14:paraId="32D9DDDB" w14:textId="6FBBF193" w:rsidR="000C5542" w:rsidRPr="00520861" w:rsidRDefault="00520861" w:rsidP="00520861">
      <w:pPr>
        <w:widowControl w:val="0"/>
        <w:spacing w:line="360" w:lineRule="auto"/>
        <w:ind w:left="6372"/>
        <w:jc w:val="center"/>
        <w:rPr>
          <w:sz w:val="28"/>
          <w:szCs w:val="28"/>
        </w:rPr>
      </w:pPr>
      <w:r>
        <w:rPr>
          <w:sz w:val="28"/>
          <w:szCs w:val="28"/>
        </w:rPr>
        <w:t xml:space="preserve">      </w:t>
      </w:r>
      <w:proofErr w:type="spellStart"/>
      <w:r w:rsidR="000C5542" w:rsidRPr="00520861">
        <w:rPr>
          <w:sz w:val="28"/>
          <w:szCs w:val="28"/>
        </w:rPr>
        <w:t>Кваліфікаційна</w:t>
      </w:r>
      <w:proofErr w:type="spellEnd"/>
      <w:r w:rsidR="000C5542" w:rsidRPr="00520861">
        <w:rPr>
          <w:sz w:val="28"/>
          <w:szCs w:val="28"/>
        </w:rPr>
        <w:t xml:space="preserve"> наукова</w:t>
      </w:r>
    </w:p>
    <w:p w14:paraId="6B20EBEE" w14:textId="77777777" w:rsidR="000C5542" w:rsidRPr="00520861" w:rsidRDefault="000C5542" w:rsidP="00292D2E">
      <w:pPr>
        <w:widowControl w:val="0"/>
        <w:spacing w:line="360" w:lineRule="auto"/>
        <w:jc w:val="right"/>
        <w:rPr>
          <w:sz w:val="28"/>
          <w:szCs w:val="28"/>
        </w:rPr>
      </w:pPr>
      <w:r w:rsidRPr="00520861">
        <w:rPr>
          <w:sz w:val="28"/>
          <w:szCs w:val="28"/>
        </w:rPr>
        <w:t xml:space="preserve"> праця на правах рукопису </w:t>
      </w:r>
    </w:p>
    <w:p w14:paraId="70290163" w14:textId="3BD21610" w:rsidR="00207B46" w:rsidRDefault="00207B46" w:rsidP="00292D2E">
      <w:pPr>
        <w:widowControl w:val="0"/>
        <w:spacing w:line="360" w:lineRule="auto"/>
        <w:jc w:val="center"/>
        <w:rPr>
          <w:sz w:val="28"/>
          <w:szCs w:val="28"/>
        </w:rPr>
      </w:pPr>
    </w:p>
    <w:p w14:paraId="05A5485F" w14:textId="77777777" w:rsidR="00520861" w:rsidRPr="00520861" w:rsidRDefault="00520861" w:rsidP="00292D2E">
      <w:pPr>
        <w:widowControl w:val="0"/>
        <w:spacing w:line="360" w:lineRule="auto"/>
        <w:jc w:val="center"/>
        <w:rPr>
          <w:sz w:val="28"/>
          <w:szCs w:val="28"/>
        </w:rPr>
      </w:pPr>
    </w:p>
    <w:p w14:paraId="70272A8C" w14:textId="77777777" w:rsidR="00207B46" w:rsidRPr="00A91435" w:rsidRDefault="00207B46" w:rsidP="00292D2E">
      <w:pPr>
        <w:pStyle w:val="6"/>
        <w:widowControl w:val="0"/>
        <w:spacing w:line="360" w:lineRule="auto"/>
        <w:jc w:val="center"/>
        <w:rPr>
          <w:bCs w:val="0"/>
          <w:sz w:val="28"/>
          <w:szCs w:val="28"/>
        </w:rPr>
      </w:pPr>
      <w:r w:rsidRPr="00A91435">
        <w:rPr>
          <w:bCs w:val="0"/>
          <w:sz w:val="28"/>
          <w:szCs w:val="28"/>
        </w:rPr>
        <w:t>ГАРМАШ ОЛЬГА ВОЛОДИМИРІВНА</w:t>
      </w:r>
    </w:p>
    <w:p w14:paraId="2998392B" w14:textId="77777777" w:rsidR="00207B46" w:rsidRPr="00520861" w:rsidRDefault="00207B46" w:rsidP="00292D2E">
      <w:pPr>
        <w:widowControl w:val="0"/>
        <w:spacing w:line="360" w:lineRule="auto"/>
        <w:jc w:val="center"/>
        <w:rPr>
          <w:sz w:val="28"/>
          <w:szCs w:val="28"/>
        </w:rPr>
      </w:pPr>
    </w:p>
    <w:p w14:paraId="4FD5E749" w14:textId="77777777" w:rsidR="00207B46" w:rsidRPr="00520861" w:rsidRDefault="00207B46" w:rsidP="00292D2E">
      <w:pPr>
        <w:widowControl w:val="0"/>
        <w:spacing w:line="360" w:lineRule="auto"/>
        <w:jc w:val="center"/>
        <w:rPr>
          <w:sz w:val="28"/>
          <w:szCs w:val="28"/>
        </w:rPr>
      </w:pPr>
      <w:r w:rsidRPr="00520861">
        <w:rPr>
          <w:sz w:val="28"/>
          <w:szCs w:val="28"/>
        </w:rPr>
        <w:t xml:space="preserve">УДК: </w:t>
      </w:r>
      <w:r w:rsidR="009D1474" w:rsidRPr="00520861">
        <w:rPr>
          <w:sz w:val="28"/>
          <w:szCs w:val="28"/>
        </w:rPr>
        <w:t>616.31-07-092:618.33-007.61 (043.3)</w:t>
      </w:r>
    </w:p>
    <w:p w14:paraId="5C16ABFE" w14:textId="77777777" w:rsidR="000C5542" w:rsidRPr="00520861" w:rsidRDefault="000C5542" w:rsidP="00292D2E">
      <w:pPr>
        <w:widowControl w:val="0"/>
        <w:spacing w:line="360" w:lineRule="auto"/>
        <w:jc w:val="center"/>
        <w:rPr>
          <w:sz w:val="28"/>
          <w:szCs w:val="28"/>
        </w:rPr>
      </w:pPr>
    </w:p>
    <w:p w14:paraId="6CD10C42" w14:textId="77777777" w:rsidR="000C5542" w:rsidRPr="00520861" w:rsidRDefault="000C5542" w:rsidP="00292D2E">
      <w:pPr>
        <w:widowControl w:val="0"/>
        <w:spacing w:line="360" w:lineRule="auto"/>
        <w:jc w:val="center"/>
        <w:rPr>
          <w:sz w:val="28"/>
          <w:szCs w:val="28"/>
        </w:rPr>
      </w:pPr>
      <w:r w:rsidRPr="00520861">
        <w:rPr>
          <w:sz w:val="28"/>
          <w:szCs w:val="28"/>
        </w:rPr>
        <w:t>ДИСЕРТАЦІЯ</w:t>
      </w:r>
    </w:p>
    <w:p w14:paraId="2AD029C7" w14:textId="77777777" w:rsidR="00207B46" w:rsidRPr="00520861" w:rsidRDefault="00207B46" w:rsidP="00292D2E">
      <w:pPr>
        <w:widowControl w:val="0"/>
        <w:spacing w:line="360" w:lineRule="auto"/>
        <w:jc w:val="right"/>
        <w:rPr>
          <w:sz w:val="28"/>
          <w:szCs w:val="28"/>
          <w:lang w:val="ru-RU"/>
        </w:rPr>
      </w:pPr>
    </w:p>
    <w:p w14:paraId="0EDF7D0E" w14:textId="77777777" w:rsidR="00207B46" w:rsidRPr="00520861" w:rsidRDefault="002C2615" w:rsidP="00292D2E">
      <w:pPr>
        <w:pStyle w:val="2"/>
        <w:keepNext w:val="0"/>
        <w:widowControl w:val="0"/>
        <w:spacing w:before="0" w:line="360" w:lineRule="auto"/>
        <w:jc w:val="center"/>
        <w:rPr>
          <w:rFonts w:ascii="Times New Roman" w:hAnsi="Times New Roman"/>
          <w:b w:val="0"/>
          <w:i w:val="0"/>
        </w:rPr>
      </w:pPr>
      <w:r w:rsidRPr="00520861">
        <w:rPr>
          <w:rFonts w:ascii="Times New Roman" w:hAnsi="Times New Roman"/>
          <w:b w:val="0"/>
          <w:i w:val="0"/>
        </w:rPr>
        <w:t>ПАТОГЕНЕЗ, ДІАГНОСТИКА ТА ПРОГНОЗУ</w:t>
      </w:r>
      <w:r w:rsidR="00BD493A" w:rsidRPr="00520861">
        <w:rPr>
          <w:rFonts w:ascii="Times New Roman" w:hAnsi="Times New Roman"/>
          <w:b w:val="0"/>
          <w:i w:val="0"/>
        </w:rPr>
        <w:t>ВАННЯ СТОМАТОЛОГІЧНИХ ПОРУШЕНЬ В</w:t>
      </w:r>
      <w:r w:rsidRPr="00520861">
        <w:rPr>
          <w:rFonts w:ascii="Times New Roman" w:hAnsi="Times New Roman"/>
          <w:b w:val="0"/>
          <w:i w:val="0"/>
        </w:rPr>
        <w:t xml:space="preserve"> ОСІБ, ЯКІ НАРОДИЛИСЯ З МАКРОСОМІЄЮ</w:t>
      </w:r>
    </w:p>
    <w:p w14:paraId="2ECD39AF" w14:textId="77777777" w:rsidR="00207B46" w:rsidRPr="00520861" w:rsidRDefault="00207B46" w:rsidP="00292D2E">
      <w:pPr>
        <w:widowControl w:val="0"/>
        <w:spacing w:line="360" w:lineRule="auto"/>
        <w:jc w:val="center"/>
        <w:rPr>
          <w:sz w:val="28"/>
          <w:szCs w:val="28"/>
        </w:rPr>
      </w:pPr>
    </w:p>
    <w:p w14:paraId="122ABFE0" w14:textId="77777777" w:rsidR="000C5542" w:rsidRPr="00520861" w:rsidRDefault="000C5542" w:rsidP="00292D2E">
      <w:pPr>
        <w:widowControl w:val="0"/>
        <w:spacing w:line="360" w:lineRule="auto"/>
        <w:jc w:val="center"/>
        <w:rPr>
          <w:sz w:val="28"/>
          <w:szCs w:val="28"/>
        </w:rPr>
      </w:pPr>
      <w:r w:rsidRPr="00520861">
        <w:rPr>
          <w:sz w:val="28"/>
          <w:szCs w:val="28"/>
        </w:rPr>
        <w:t>Спеціальність 14.01.22 – стоматологія</w:t>
      </w:r>
    </w:p>
    <w:p w14:paraId="0D0FAAED" w14:textId="77777777" w:rsidR="000C5542" w:rsidRPr="00520861" w:rsidRDefault="000C5542" w:rsidP="00292D2E">
      <w:pPr>
        <w:widowControl w:val="0"/>
        <w:spacing w:line="360" w:lineRule="auto"/>
        <w:jc w:val="center"/>
        <w:rPr>
          <w:sz w:val="28"/>
          <w:szCs w:val="28"/>
        </w:rPr>
      </w:pPr>
      <w:r w:rsidRPr="00520861">
        <w:rPr>
          <w:sz w:val="28"/>
          <w:szCs w:val="28"/>
        </w:rPr>
        <w:t>Подається на здобуття наукового ступеня доктора медичних наук</w:t>
      </w:r>
    </w:p>
    <w:p w14:paraId="2D1D0291" w14:textId="77777777" w:rsidR="000C5542" w:rsidRPr="00520861" w:rsidRDefault="000C5542" w:rsidP="00292D2E">
      <w:pPr>
        <w:widowControl w:val="0"/>
        <w:spacing w:line="360" w:lineRule="auto"/>
        <w:jc w:val="center"/>
        <w:rPr>
          <w:sz w:val="28"/>
          <w:szCs w:val="28"/>
        </w:rPr>
      </w:pPr>
    </w:p>
    <w:p w14:paraId="4CF83E8E" w14:textId="3CBAEAEB" w:rsidR="00207B46" w:rsidRPr="00520861" w:rsidRDefault="000C5542" w:rsidP="00292D2E">
      <w:pPr>
        <w:widowControl w:val="0"/>
        <w:spacing w:line="360" w:lineRule="auto"/>
        <w:jc w:val="both"/>
        <w:rPr>
          <w:sz w:val="28"/>
          <w:szCs w:val="28"/>
        </w:rPr>
      </w:pPr>
      <w:r w:rsidRPr="00520861">
        <w:rPr>
          <w:sz w:val="28"/>
          <w:szCs w:val="28"/>
        </w:rPr>
        <w:t xml:space="preserve">Дисертація містить результати власних досліджень. Використання </w:t>
      </w:r>
      <w:proofErr w:type="spellStart"/>
      <w:r w:rsidRPr="00520861">
        <w:rPr>
          <w:sz w:val="28"/>
          <w:szCs w:val="28"/>
        </w:rPr>
        <w:t>ідеи</w:t>
      </w:r>
      <w:proofErr w:type="spellEnd"/>
      <w:r w:rsidRPr="00520861">
        <w:rPr>
          <w:sz w:val="28"/>
          <w:szCs w:val="28"/>
        </w:rPr>
        <w:t>̆, результатів і текстів інших авторів мають посилання на відповідне джерело _________________________</w:t>
      </w:r>
      <w:r w:rsidR="004F163C" w:rsidRPr="00520861">
        <w:rPr>
          <w:sz w:val="28"/>
          <w:szCs w:val="28"/>
        </w:rPr>
        <w:t> </w:t>
      </w:r>
      <w:r w:rsidRPr="00520861">
        <w:rPr>
          <w:sz w:val="28"/>
          <w:szCs w:val="28"/>
        </w:rPr>
        <w:t>О.В.</w:t>
      </w:r>
      <w:r w:rsidR="00234621" w:rsidRPr="00520861">
        <w:rPr>
          <w:sz w:val="28"/>
          <w:szCs w:val="28"/>
          <w:lang w:val="ru-RU"/>
        </w:rPr>
        <w:t xml:space="preserve"> </w:t>
      </w:r>
      <w:r w:rsidRPr="00520861">
        <w:rPr>
          <w:sz w:val="28"/>
          <w:szCs w:val="28"/>
        </w:rPr>
        <w:t xml:space="preserve">Гармаш </w:t>
      </w:r>
    </w:p>
    <w:p w14:paraId="6A84AB2B" w14:textId="77777777" w:rsidR="00207B46" w:rsidRPr="00520861" w:rsidRDefault="00207B46" w:rsidP="00292D2E">
      <w:pPr>
        <w:widowControl w:val="0"/>
        <w:spacing w:line="360" w:lineRule="auto"/>
        <w:jc w:val="both"/>
        <w:rPr>
          <w:sz w:val="28"/>
          <w:szCs w:val="28"/>
        </w:rPr>
      </w:pPr>
    </w:p>
    <w:p w14:paraId="7CAB28FC" w14:textId="07F7DDDC" w:rsidR="00207B46" w:rsidRDefault="002C2615" w:rsidP="00292D2E">
      <w:pPr>
        <w:widowControl w:val="0"/>
        <w:spacing w:line="360" w:lineRule="auto"/>
        <w:jc w:val="both"/>
        <w:rPr>
          <w:sz w:val="28"/>
          <w:szCs w:val="28"/>
        </w:rPr>
      </w:pPr>
      <w:r w:rsidRPr="00520861">
        <w:rPr>
          <w:sz w:val="28"/>
          <w:szCs w:val="28"/>
        </w:rPr>
        <w:t>Науковий консультант</w:t>
      </w:r>
      <w:r w:rsidR="000C5542" w:rsidRPr="00520861">
        <w:rPr>
          <w:sz w:val="28"/>
          <w:szCs w:val="28"/>
        </w:rPr>
        <w:t xml:space="preserve">: </w:t>
      </w:r>
      <w:r w:rsidR="00D478F4" w:rsidRPr="00520861">
        <w:rPr>
          <w:sz w:val="28"/>
          <w:szCs w:val="28"/>
        </w:rPr>
        <w:t>Рябоконь Є</w:t>
      </w:r>
      <w:r w:rsidRPr="00520861">
        <w:rPr>
          <w:sz w:val="28"/>
          <w:szCs w:val="28"/>
        </w:rPr>
        <w:t>вген Миколайович</w:t>
      </w:r>
      <w:r w:rsidR="004909DD" w:rsidRPr="00520861">
        <w:rPr>
          <w:sz w:val="28"/>
          <w:szCs w:val="28"/>
        </w:rPr>
        <w:t>,</w:t>
      </w:r>
      <w:r w:rsidR="00C16F3B" w:rsidRPr="00520861">
        <w:rPr>
          <w:sz w:val="28"/>
          <w:szCs w:val="28"/>
        </w:rPr>
        <w:t xml:space="preserve"> </w:t>
      </w:r>
      <w:r w:rsidR="00207B46" w:rsidRPr="00520861">
        <w:rPr>
          <w:sz w:val="28"/>
          <w:szCs w:val="28"/>
        </w:rPr>
        <w:t>доктор медичних наук,</w:t>
      </w:r>
      <w:r w:rsidR="00520861">
        <w:rPr>
          <w:sz w:val="28"/>
          <w:szCs w:val="28"/>
        </w:rPr>
        <w:t xml:space="preserve">       </w:t>
      </w:r>
      <w:r w:rsidR="00207B46" w:rsidRPr="00520861">
        <w:rPr>
          <w:sz w:val="28"/>
          <w:szCs w:val="28"/>
        </w:rPr>
        <w:t xml:space="preserve">професор </w:t>
      </w:r>
    </w:p>
    <w:p w14:paraId="70685DE3" w14:textId="6EE6D263" w:rsidR="00520861" w:rsidRDefault="00520861" w:rsidP="00292D2E">
      <w:pPr>
        <w:widowControl w:val="0"/>
        <w:spacing w:line="360" w:lineRule="auto"/>
        <w:jc w:val="both"/>
        <w:rPr>
          <w:sz w:val="28"/>
          <w:szCs w:val="28"/>
        </w:rPr>
      </w:pPr>
    </w:p>
    <w:p w14:paraId="4D5052F1" w14:textId="77777777" w:rsidR="00207B46" w:rsidRPr="00520861" w:rsidRDefault="00207B46" w:rsidP="00292D2E">
      <w:pPr>
        <w:pStyle w:val="6"/>
        <w:widowControl w:val="0"/>
        <w:spacing w:line="360" w:lineRule="auto"/>
        <w:jc w:val="center"/>
        <w:rPr>
          <w:b w:val="0"/>
          <w:sz w:val="28"/>
          <w:szCs w:val="28"/>
        </w:rPr>
      </w:pPr>
      <w:r w:rsidRPr="00520861">
        <w:rPr>
          <w:b w:val="0"/>
          <w:sz w:val="28"/>
          <w:szCs w:val="28"/>
        </w:rPr>
        <w:t>Харків –</w:t>
      </w:r>
      <w:r w:rsidR="006C37BA" w:rsidRPr="00520861">
        <w:rPr>
          <w:b w:val="0"/>
          <w:sz w:val="28"/>
          <w:szCs w:val="28"/>
        </w:rPr>
        <w:t xml:space="preserve"> 2021</w:t>
      </w:r>
    </w:p>
    <w:p w14:paraId="1D8ACA15" w14:textId="77777777" w:rsidR="002D0FAD" w:rsidRPr="00520861" w:rsidRDefault="002D0FAD" w:rsidP="00292D2E">
      <w:pPr>
        <w:widowControl w:val="0"/>
        <w:spacing w:line="360" w:lineRule="auto"/>
        <w:jc w:val="center"/>
        <w:rPr>
          <w:b/>
          <w:sz w:val="28"/>
          <w:szCs w:val="28"/>
        </w:rPr>
      </w:pPr>
      <w:r w:rsidRPr="00520861">
        <w:rPr>
          <w:b/>
          <w:sz w:val="28"/>
          <w:szCs w:val="28"/>
        </w:rPr>
        <w:lastRenderedPageBreak/>
        <w:t>АНОТАЦІЯ</w:t>
      </w:r>
    </w:p>
    <w:p w14:paraId="70775BFF" w14:textId="77777777" w:rsidR="002D0FAD" w:rsidRPr="00520861" w:rsidRDefault="002D0FAD" w:rsidP="00292D2E">
      <w:pPr>
        <w:widowControl w:val="0"/>
        <w:spacing w:line="360" w:lineRule="auto"/>
        <w:jc w:val="center"/>
        <w:rPr>
          <w:b/>
          <w:sz w:val="28"/>
          <w:szCs w:val="28"/>
        </w:rPr>
      </w:pPr>
    </w:p>
    <w:p w14:paraId="2E1133B5" w14:textId="77777777" w:rsidR="000A1578" w:rsidRPr="00520861" w:rsidRDefault="000A1578" w:rsidP="00292D2E">
      <w:pPr>
        <w:widowControl w:val="0"/>
        <w:spacing w:line="360" w:lineRule="auto"/>
        <w:ind w:right="-1" w:firstLine="709"/>
        <w:jc w:val="center"/>
        <w:rPr>
          <w:b/>
          <w:sz w:val="28"/>
          <w:szCs w:val="28"/>
        </w:rPr>
      </w:pPr>
    </w:p>
    <w:p w14:paraId="64F97A26" w14:textId="77777777" w:rsidR="007F6CA8" w:rsidRPr="00520861" w:rsidRDefault="007F6CA8" w:rsidP="00292D2E">
      <w:pPr>
        <w:widowControl w:val="0"/>
        <w:spacing w:line="360" w:lineRule="auto"/>
        <w:ind w:right="-1" w:firstLine="709"/>
        <w:jc w:val="both"/>
        <w:rPr>
          <w:sz w:val="28"/>
          <w:szCs w:val="28"/>
        </w:rPr>
      </w:pPr>
      <w:r w:rsidRPr="00520861">
        <w:rPr>
          <w:b/>
          <w:i/>
          <w:sz w:val="28"/>
          <w:szCs w:val="28"/>
        </w:rPr>
        <w:t>Гармаш О.В.</w:t>
      </w:r>
      <w:r w:rsidRPr="00520861">
        <w:rPr>
          <w:i/>
          <w:sz w:val="28"/>
          <w:szCs w:val="28"/>
        </w:rPr>
        <w:t xml:space="preserve"> </w:t>
      </w:r>
      <w:r w:rsidRPr="00520861">
        <w:rPr>
          <w:sz w:val="28"/>
          <w:szCs w:val="28"/>
        </w:rPr>
        <w:t>Патогенез, діагностика та прогнозу</w:t>
      </w:r>
      <w:r w:rsidR="007355BF" w:rsidRPr="00520861">
        <w:rPr>
          <w:sz w:val="28"/>
          <w:szCs w:val="28"/>
        </w:rPr>
        <w:t>вання стоматологічних порушень в</w:t>
      </w:r>
      <w:r w:rsidRPr="00520861">
        <w:rPr>
          <w:sz w:val="28"/>
          <w:szCs w:val="28"/>
        </w:rPr>
        <w:t xml:space="preserve"> осіб, які народилися з </w:t>
      </w:r>
      <w:proofErr w:type="spellStart"/>
      <w:r w:rsidRPr="00520861">
        <w:rPr>
          <w:sz w:val="28"/>
          <w:szCs w:val="28"/>
        </w:rPr>
        <w:t>макросомією</w:t>
      </w:r>
      <w:proofErr w:type="spellEnd"/>
      <w:r w:rsidRPr="00520861">
        <w:rPr>
          <w:sz w:val="28"/>
          <w:szCs w:val="28"/>
        </w:rPr>
        <w:t>. Кваліфікаційна наукова праця на правах рукопису.</w:t>
      </w:r>
    </w:p>
    <w:p w14:paraId="51CFE403" w14:textId="77777777" w:rsidR="007F6CA8" w:rsidRPr="00520861" w:rsidRDefault="007F6CA8" w:rsidP="00292D2E">
      <w:pPr>
        <w:widowControl w:val="0"/>
        <w:spacing w:line="360" w:lineRule="auto"/>
        <w:ind w:right="-1" w:firstLine="709"/>
        <w:jc w:val="both"/>
        <w:rPr>
          <w:sz w:val="28"/>
          <w:szCs w:val="28"/>
        </w:rPr>
      </w:pPr>
      <w:r w:rsidRPr="00520861">
        <w:rPr>
          <w:sz w:val="28"/>
          <w:szCs w:val="28"/>
        </w:rPr>
        <w:t xml:space="preserve">Дисертація на здобуття наукового ступеня доктора медичних наук за </w:t>
      </w:r>
      <w:r w:rsidRPr="00520861">
        <w:rPr>
          <w:sz w:val="28"/>
          <w:szCs w:val="28"/>
        </w:rPr>
        <w:br/>
        <w:t xml:space="preserve">спеціальністю 14.01.22 </w:t>
      </w:r>
      <w:r w:rsidRPr="00520861">
        <w:rPr>
          <w:sz w:val="28"/>
          <w:szCs w:val="28"/>
        </w:rPr>
        <w:sym w:font="Symbol" w:char="F02D"/>
      </w:r>
      <w:r w:rsidRPr="00520861">
        <w:rPr>
          <w:sz w:val="28"/>
          <w:szCs w:val="28"/>
        </w:rPr>
        <w:t xml:space="preserve"> «Стоматологія» (222 – «Медицина»). </w:t>
      </w:r>
      <w:r w:rsidRPr="00520861">
        <w:rPr>
          <w:sz w:val="28"/>
          <w:szCs w:val="28"/>
        </w:rPr>
        <w:sym w:font="Symbol" w:char="F02D"/>
      </w:r>
      <w:r w:rsidRPr="00520861">
        <w:rPr>
          <w:sz w:val="28"/>
          <w:szCs w:val="28"/>
        </w:rPr>
        <w:t xml:space="preserve"> Харківський національний медичний уніве</w:t>
      </w:r>
      <w:r w:rsidR="00ED4688" w:rsidRPr="00520861">
        <w:rPr>
          <w:sz w:val="28"/>
          <w:szCs w:val="28"/>
        </w:rPr>
        <w:t>рситет, МОЗ України, Харків, 2021</w:t>
      </w:r>
      <w:r w:rsidRPr="00520861">
        <w:rPr>
          <w:sz w:val="28"/>
          <w:szCs w:val="28"/>
        </w:rPr>
        <w:t>.</w:t>
      </w:r>
    </w:p>
    <w:p w14:paraId="2F6B299F" w14:textId="77777777" w:rsidR="003C01CC" w:rsidRPr="00520861" w:rsidRDefault="003C01CC" w:rsidP="00292D2E">
      <w:pPr>
        <w:widowControl w:val="0"/>
        <w:spacing w:line="360" w:lineRule="auto"/>
        <w:ind w:right="-1" w:firstLine="709"/>
        <w:jc w:val="both"/>
        <w:rPr>
          <w:sz w:val="28"/>
          <w:szCs w:val="28"/>
        </w:rPr>
      </w:pPr>
      <w:r w:rsidRPr="00520861">
        <w:rPr>
          <w:sz w:val="28"/>
          <w:szCs w:val="28"/>
        </w:rPr>
        <w:t>Захист дисертації відбудеться у спецраді Харківського наці</w:t>
      </w:r>
      <w:r w:rsidR="00B86A6C" w:rsidRPr="00520861">
        <w:rPr>
          <w:sz w:val="28"/>
          <w:szCs w:val="28"/>
        </w:rPr>
        <w:t>онального медичного університету</w:t>
      </w:r>
      <w:r w:rsidR="00ED4688" w:rsidRPr="00520861">
        <w:rPr>
          <w:sz w:val="28"/>
          <w:szCs w:val="28"/>
        </w:rPr>
        <w:t xml:space="preserve"> МОЗ України, 2021</w:t>
      </w:r>
      <w:r w:rsidRPr="00520861">
        <w:rPr>
          <w:sz w:val="28"/>
          <w:szCs w:val="28"/>
        </w:rPr>
        <w:t>.</w:t>
      </w:r>
    </w:p>
    <w:p w14:paraId="3D288D22" w14:textId="77777777" w:rsidR="007F6CA8" w:rsidRPr="00520861" w:rsidRDefault="007F6CA8" w:rsidP="00292D2E">
      <w:pPr>
        <w:widowControl w:val="0"/>
        <w:spacing w:line="360" w:lineRule="auto"/>
        <w:ind w:right="-1" w:firstLine="709"/>
        <w:jc w:val="both"/>
        <w:rPr>
          <w:iCs/>
          <w:sz w:val="28"/>
          <w:szCs w:val="28"/>
          <w:lang w:eastAsia="x-none"/>
        </w:rPr>
      </w:pPr>
      <w:r w:rsidRPr="00520861">
        <w:rPr>
          <w:iCs/>
          <w:sz w:val="28"/>
          <w:szCs w:val="28"/>
          <w:lang w:eastAsia="x-none"/>
        </w:rPr>
        <w:t>Метою роботи</w:t>
      </w:r>
      <w:r w:rsidRPr="00520861">
        <w:rPr>
          <w:b/>
          <w:iCs/>
          <w:sz w:val="28"/>
          <w:szCs w:val="28"/>
          <w:lang w:eastAsia="x-none"/>
        </w:rPr>
        <w:t xml:space="preserve"> </w:t>
      </w:r>
      <w:r w:rsidRPr="00520861">
        <w:rPr>
          <w:iCs/>
          <w:sz w:val="28"/>
          <w:szCs w:val="28"/>
          <w:lang w:eastAsia="x-none"/>
        </w:rPr>
        <w:t xml:space="preserve">було визначено </w:t>
      </w:r>
      <w:r w:rsidR="00B64602" w:rsidRPr="00520861">
        <w:rPr>
          <w:iCs/>
          <w:sz w:val="28"/>
          <w:szCs w:val="28"/>
          <w:lang w:eastAsia="x-none"/>
        </w:rPr>
        <w:t xml:space="preserve">розроблення та </w:t>
      </w:r>
      <w:r w:rsidR="00B62618" w:rsidRPr="00520861">
        <w:rPr>
          <w:iCs/>
          <w:sz w:val="28"/>
          <w:szCs w:val="28"/>
          <w:lang w:eastAsia="x-none"/>
        </w:rPr>
        <w:t>обґрунтування</w:t>
      </w:r>
      <w:r w:rsidR="00B64602" w:rsidRPr="00520861">
        <w:rPr>
          <w:iCs/>
          <w:sz w:val="28"/>
          <w:szCs w:val="28"/>
          <w:lang w:eastAsia="x-none"/>
        </w:rPr>
        <w:t xml:space="preserve"> стратегії </w:t>
      </w:r>
      <w:r w:rsidR="004F70BF" w:rsidRPr="00520861">
        <w:rPr>
          <w:iCs/>
          <w:sz w:val="28"/>
          <w:szCs w:val="28"/>
          <w:lang w:eastAsia="x-none"/>
        </w:rPr>
        <w:t xml:space="preserve">діагностики та прогнозування стоматологічних порушень в осіб різних вікових </w:t>
      </w:r>
      <w:r w:rsidR="00B64602" w:rsidRPr="00520861">
        <w:rPr>
          <w:iCs/>
          <w:sz w:val="28"/>
          <w:szCs w:val="28"/>
          <w:lang w:eastAsia="x-none"/>
        </w:rPr>
        <w:br/>
      </w:r>
      <w:r w:rsidR="004F70BF" w:rsidRPr="00520861">
        <w:rPr>
          <w:iCs/>
          <w:sz w:val="28"/>
          <w:szCs w:val="28"/>
          <w:lang w:eastAsia="x-none"/>
        </w:rPr>
        <w:t xml:space="preserve">категорій, які народилися </w:t>
      </w:r>
      <w:proofErr w:type="spellStart"/>
      <w:r w:rsidR="004F70BF" w:rsidRPr="00520861">
        <w:rPr>
          <w:iCs/>
          <w:sz w:val="28"/>
          <w:szCs w:val="28"/>
          <w:lang w:eastAsia="x-none"/>
        </w:rPr>
        <w:t>макросомами</w:t>
      </w:r>
      <w:proofErr w:type="spellEnd"/>
      <w:r w:rsidR="004F70BF" w:rsidRPr="00520861">
        <w:rPr>
          <w:iCs/>
          <w:sz w:val="28"/>
          <w:szCs w:val="28"/>
          <w:lang w:eastAsia="x-none"/>
        </w:rPr>
        <w:t>, популяції Харківської області та прилеглих (Донецької, Луганської) областей, на підставі всебічного розгляду стоматологічного статусу, вивчення ланок патогенезу стоматологічних пору</w:t>
      </w:r>
      <w:r w:rsidR="006B395C" w:rsidRPr="00520861">
        <w:rPr>
          <w:iCs/>
          <w:sz w:val="28"/>
          <w:szCs w:val="28"/>
          <w:lang w:eastAsia="x-none"/>
        </w:rPr>
        <w:t>шень і</w:t>
      </w:r>
      <w:r w:rsidR="004F70BF" w:rsidRPr="00520861">
        <w:rPr>
          <w:iCs/>
          <w:sz w:val="28"/>
          <w:szCs w:val="28"/>
          <w:lang w:eastAsia="x-none"/>
        </w:rPr>
        <w:t xml:space="preserve"> виявлення </w:t>
      </w:r>
      <w:r w:rsidR="00E859B4" w:rsidRPr="00520861">
        <w:rPr>
          <w:iCs/>
          <w:sz w:val="28"/>
          <w:szCs w:val="28"/>
          <w:lang w:eastAsia="x-none"/>
        </w:rPr>
        <w:t>їхніх</w:t>
      </w:r>
      <w:r w:rsidR="004F70BF" w:rsidRPr="00520861">
        <w:rPr>
          <w:iCs/>
          <w:sz w:val="28"/>
          <w:szCs w:val="28"/>
          <w:lang w:eastAsia="x-none"/>
        </w:rPr>
        <w:t xml:space="preserve"> прогностичних</w:t>
      </w:r>
      <w:r w:rsidR="00B64602" w:rsidRPr="00520861">
        <w:rPr>
          <w:iCs/>
          <w:sz w:val="28"/>
          <w:szCs w:val="28"/>
          <w:lang w:eastAsia="x-none"/>
        </w:rPr>
        <w:t xml:space="preserve"> </w:t>
      </w:r>
      <w:r w:rsidR="004F70BF" w:rsidRPr="00520861">
        <w:rPr>
          <w:iCs/>
          <w:sz w:val="28"/>
          <w:szCs w:val="28"/>
          <w:lang w:eastAsia="x-none"/>
        </w:rPr>
        <w:t>маркерів.</w:t>
      </w:r>
      <w:r w:rsidRPr="00520861">
        <w:rPr>
          <w:iCs/>
          <w:sz w:val="28"/>
          <w:szCs w:val="28"/>
          <w:lang w:eastAsia="x-none"/>
        </w:rPr>
        <w:t xml:space="preserve"> </w:t>
      </w:r>
    </w:p>
    <w:p w14:paraId="57BB190F" w14:textId="77777777" w:rsidR="007F6CA8" w:rsidRPr="00520861" w:rsidRDefault="007F6CA8" w:rsidP="00292D2E">
      <w:pPr>
        <w:widowControl w:val="0"/>
        <w:spacing w:line="360" w:lineRule="auto"/>
        <w:ind w:right="-1" w:firstLine="709"/>
        <w:jc w:val="both"/>
        <w:rPr>
          <w:iCs/>
          <w:spacing w:val="-4"/>
          <w:sz w:val="28"/>
          <w:szCs w:val="28"/>
          <w:lang w:eastAsia="x-none"/>
        </w:rPr>
      </w:pPr>
      <w:r w:rsidRPr="00520861">
        <w:rPr>
          <w:spacing w:val="-4"/>
          <w:sz w:val="28"/>
          <w:szCs w:val="28"/>
        </w:rPr>
        <w:t>Для</w:t>
      </w:r>
      <w:r w:rsidR="007C5ED0" w:rsidRPr="00520861">
        <w:rPr>
          <w:spacing w:val="-4"/>
          <w:sz w:val="28"/>
          <w:szCs w:val="28"/>
        </w:rPr>
        <w:t xml:space="preserve"> досягнення мети застосовувалися</w:t>
      </w:r>
      <w:r w:rsidRPr="00520861">
        <w:rPr>
          <w:spacing w:val="-4"/>
          <w:sz w:val="28"/>
          <w:szCs w:val="28"/>
        </w:rPr>
        <w:t xml:space="preserve"> клінічні, клініко-інструментальні, </w:t>
      </w:r>
      <w:r w:rsidRPr="00520861">
        <w:rPr>
          <w:spacing w:val="-6"/>
          <w:sz w:val="28"/>
          <w:szCs w:val="28"/>
        </w:rPr>
        <w:t>рентгенологічні,</w:t>
      </w:r>
      <w:r w:rsidRPr="00520861">
        <w:rPr>
          <w:b/>
          <w:spacing w:val="-6"/>
          <w:sz w:val="28"/>
          <w:szCs w:val="28"/>
        </w:rPr>
        <w:t xml:space="preserve"> </w:t>
      </w:r>
      <w:r w:rsidRPr="00520861">
        <w:rPr>
          <w:spacing w:val="-6"/>
          <w:sz w:val="28"/>
          <w:szCs w:val="28"/>
        </w:rPr>
        <w:t>біофізичні,</w:t>
      </w:r>
      <w:r w:rsidRPr="00520861">
        <w:rPr>
          <w:b/>
          <w:spacing w:val="-6"/>
          <w:sz w:val="28"/>
          <w:szCs w:val="28"/>
        </w:rPr>
        <w:t xml:space="preserve"> </w:t>
      </w:r>
      <w:r w:rsidRPr="00520861">
        <w:rPr>
          <w:spacing w:val="-6"/>
          <w:sz w:val="28"/>
          <w:szCs w:val="28"/>
        </w:rPr>
        <w:t xml:space="preserve">біохімічні, експериментальні, морфологічні, </w:t>
      </w:r>
      <w:proofErr w:type="spellStart"/>
      <w:r w:rsidRPr="00520861">
        <w:rPr>
          <w:spacing w:val="-6"/>
          <w:sz w:val="28"/>
          <w:szCs w:val="28"/>
        </w:rPr>
        <w:t>морфометричні</w:t>
      </w:r>
      <w:proofErr w:type="spellEnd"/>
      <w:r w:rsidRPr="00520861">
        <w:rPr>
          <w:spacing w:val="-4"/>
          <w:sz w:val="28"/>
          <w:szCs w:val="28"/>
        </w:rPr>
        <w:t>, ретроспективні, анамнестичні (опитування), молекулярно-генетичні методи дослідження та методи математичної статистики і теорії ймовірностей.</w:t>
      </w:r>
    </w:p>
    <w:p w14:paraId="3FBD27C5" w14:textId="77777777" w:rsidR="007F6CA8" w:rsidRPr="00520861" w:rsidRDefault="007F6CA8" w:rsidP="00292D2E">
      <w:pPr>
        <w:widowControl w:val="0"/>
        <w:spacing w:line="360" w:lineRule="auto"/>
        <w:ind w:right="-1" w:firstLine="709"/>
        <w:jc w:val="both"/>
        <w:rPr>
          <w:spacing w:val="-6"/>
          <w:sz w:val="28"/>
          <w:szCs w:val="28"/>
        </w:rPr>
      </w:pPr>
      <w:r w:rsidRPr="00520861">
        <w:rPr>
          <w:spacing w:val="-4"/>
          <w:sz w:val="28"/>
          <w:szCs w:val="28"/>
        </w:rPr>
        <w:t xml:space="preserve">Наукова новизна дослідження полягає у: виявленні особливостей патогенезу стоматологічних порушень за впливу </w:t>
      </w:r>
      <w:proofErr w:type="spellStart"/>
      <w:r w:rsidRPr="00520861">
        <w:rPr>
          <w:spacing w:val="-4"/>
          <w:sz w:val="28"/>
          <w:szCs w:val="28"/>
        </w:rPr>
        <w:t>макросомії</w:t>
      </w:r>
      <w:proofErr w:type="spellEnd"/>
      <w:r w:rsidRPr="00520861">
        <w:rPr>
          <w:spacing w:val="-4"/>
          <w:sz w:val="28"/>
          <w:szCs w:val="28"/>
        </w:rPr>
        <w:t xml:space="preserve"> плода, отриманні та узагальненні даних щодо стоматологічного статусу осіб популяції Харківської області та прилеглих </w:t>
      </w:r>
      <w:r w:rsidR="00380C08" w:rsidRPr="00520861">
        <w:rPr>
          <w:spacing w:val="-4"/>
          <w:sz w:val="28"/>
          <w:szCs w:val="28"/>
        </w:rPr>
        <w:br/>
      </w:r>
      <w:r w:rsidRPr="00520861">
        <w:rPr>
          <w:spacing w:val="-4"/>
          <w:sz w:val="28"/>
          <w:szCs w:val="28"/>
        </w:rPr>
        <w:t xml:space="preserve">(Донецької, Луганської) областей, які народилися </w:t>
      </w:r>
      <w:proofErr w:type="spellStart"/>
      <w:r w:rsidRPr="00520861">
        <w:rPr>
          <w:spacing w:val="-4"/>
          <w:sz w:val="28"/>
          <w:szCs w:val="28"/>
        </w:rPr>
        <w:t>макросомами</w:t>
      </w:r>
      <w:proofErr w:type="spellEnd"/>
      <w:r w:rsidRPr="00520861">
        <w:rPr>
          <w:spacing w:val="-4"/>
          <w:sz w:val="28"/>
          <w:szCs w:val="28"/>
        </w:rPr>
        <w:t xml:space="preserve"> (далі - </w:t>
      </w:r>
      <w:proofErr w:type="spellStart"/>
      <w:r w:rsidRPr="00520861">
        <w:rPr>
          <w:spacing w:val="-4"/>
          <w:sz w:val="28"/>
          <w:szCs w:val="28"/>
        </w:rPr>
        <w:t>макросоми</w:t>
      </w:r>
      <w:proofErr w:type="spellEnd"/>
      <w:r w:rsidRPr="00520861">
        <w:rPr>
          <w:spacing w:val="-4"/>
          <w:sz w:val="28"/>
          <w:szCs w:val="28"/>
        </w:rPr>
        <w:t>), на різних етапах формування прикусу; у виявлен</w:t>
      </w:r>
      <w:r w:rsidR="00C4673F" w:rsidRPr="00520861">
        <w:rPr>
          <w:spacing w:val="-4"/>
          <w:sz w:val="28"/>
          <w:szCs w:val="28"/>
        </w:rPr>
        <w:t>ні залежності між поліморфізмом</w:t>
      </w:r>
      <w:r w:rsidRPr="00520861">
        <w:rPr>
          <w:spacing w:val="-4"/>
          <w:sz w:val="28"/>
          <w:szCs w:val="28"/>
        </w:rPr>
        <w:t xml:space="preserve"> генів, які вивчалися, і динамікою змін біохімічних показників у ротовій рідині та стоматологічними порушеннями в </w:t>
      </w:r>
      <w:proofErr w:type="spellStart"/>
      <w:r w:rsidRPr="00520861">
        <w:rPr>
          <w:spacing w:val="-4"/>
          <w:sz w:val="28"/>
          <w:szCs w:val="28"/>
        </w:rPr>
        <w:t>макросомів</w:t>
      </w:r>
      <w:proofErr w:type="spellEnd"/>
      <w:r w:rsidRPr="00520861">
        <w:rPr>
          <w:spacing w:val="-4"/>
          <w:sz w:val="28"/>
          <w:szCs w:val="28"/>
        </w:rPr>
        <w:t>.</w:t>
      </w:r>
      <w:r w:rsidR="007C6C53" w:rsidRPr="00520861">
        <w:rPr>
          <w:spacing w:val="-4"/>
          <w:sz w:val="28"/>
          <w:szCs w:val="28"/>
        </w:rPr>
        <w:t xml:space="preserve"> </w:t>
      </w:r>
      <w:r w:rsidR="007C6C53" w:rsidRPr="00520861">
        <w:rPr>
          <w:spacing w:val="-6"/>
          <w:sz w:val="28"/>
          <w:szCs w:val="28"/>
        </w:rPr>
        <w:t>Здійснене дослідження дало змогу</w:t>
      </w:r>
      <w:r w:rsidRPr="00520861">
        <w:rPr>
          <w:spacing w:val="-6"/>
          <w:sz w:val="28"/>
          <w:szCs w:val="28"/>
        </w:rPr>
        <w:t xml:space="preserve"> виявити маркери порушення формування </w:t>
      </w:r>
      <w:proofErr w:type="spellStart"/>
      <w:r w:rsidRPr="00520861">
        <w:rPr>
          <w:spacing w:val="-6"/>
          <w:sz w:val="28"/>
          <w:szCs w:val="28"/>
        </w:rPr>
        <w:t>зубощел</w:t>
      </w:r>
      <w:r w:rsidR="00750FB5" w:rsidRPr="00520861">
        <w:rPr>
          <w:spacing w:val="-6"/>
          <w:sz w:val="28"/>
          <w:szCs w:val="28"/>
        </w:rPr>
        <w:t>епної</w:t>
      </w:r>
      <w:proofErr w:type="spellEnd"/>
      <w:r w:rsidR="00750FB5" w:rsidRPr="00520861">
        <w:rPr>
          <w:spacing w:val="-6"/>
          <w:sz w:val="28"/>
          <w:szCs w:val="28"/>
        </w:rPr>
        <w:t xml:space="preserve"> системи</w:t>
      </w:r>
      <w:r w:rsidRPr="00520861">
        <w:rPr>
          <w:spacing w:val="-6"/>
          <w:sz w:val="28"/>
          <w:szCs w:val="28"/>
        </w:rPr>
        <w:t xml:space="preserve">, обґрунтувати високу розповсюдженість й особливості перебігу стоматологічних порушень у таких осіб у різні вікові періоди та </w:t>
      </w:r>
      <w:r w:rsidRPr="00520861">
        <w:rPr>
          <w:spacing w:val="-6"/>
          <w:sz w:val="28"/>
          <w:szCs w:val="28"/>
        </w:rPr>
        <w:lastRenderedPageBreak/>
        <w:t>вирішити проблему діагностики та прогнозування цих порушень.</w:t>
      </w:r>
    </w:p>
    <w:p w14:paraId="56AB89CE" w14:textId="77777777" w:rsidR="007F6CA8" w:rsidRPr="00520861" w:rsidRDefault="007F6CA8" w:rsidP="00292D2E">
      <w:pPr>
        <w:widowControl w:val="0"/>
        <w:spacing w:line="360" w:lineRule="auto"/>
        <w:ind w:right="-1" w:firstLine="709"/>
        <w:jc w:val="both"/>
        <w:rPr>
          <w:sz w:val="28"/>
          <w:szCs w:val="28"/>
        </w:rPr>
      </w:pPr>
      <w:r w:rsidRPr="00520861">
        <w:rPr>
          <w:sz w:val="28"/>
          <w:szCs w:val="28"/>
        </w:rPr>
        <w:t xml:space="preserve">Уперше обґрунтовано доцільність використання моделі формування стоматологічних порушень при </w:t>
      </w:r>
      <w:proofErr w:type="spellStart"/>
      <w:r w:rsidRPr="00520861">
        <w:rPr>
          <w:sz w:val="28"/>
          <w:szCs w:val="28"/>
        </w:rPr>
        <w:t>макросомії</w:t>
      </w:r>
      <w:proofErr w:type="spellEnd"/>
      <w:r w:rsidRPr="00520861">
        <w:rPr>
          <w:sz w:val="28"/>
          <w:szCs w:val="28"/>
        </w:rPr>
        <w:t xml:space="preserve"> на експериментальних</w:t>
      </w:r>
      <w:r w:rsidR="00801B51" w:rsidRPr="00520861">
        <w:rPr>
          <w:sz w:val="28"/>
          <w:szCs w:val="28"/>
        </w:rPr>
        <w:t xml:space="preserve"> тваринах за рахунок залучення до</w:t>
      </w:r>
      <w:r w:rsidRPr="00520861">
        <w:rPr>
          <w:sz w:val="28"/>
          <w:szCs w:val="28"/>
        </w:rPr>
        <w:t xml:space="preserve"> дослідження тварин, у матерів яких вагітність </w:t>
      </w:r>
      <w:r w:rsidR="00801B51" w:rsidRPr="00520861">
        <w:rPr>
          <w:sz w:val="28"/>
          <w:szCs w:val="28"/>
        </w:rPr>
        <w:t>перебігала</w:t>
      </w:r>
      <w:r w:rsidRPr="00520861">
        <w:rPr>
          <w:sz w:val="28"/>
          <w:szCs w:val="28"/>
        </w:rPr>
        <w:t xml:space="preserve"> за одночасного впливу гіподинамії та висококалорійного харчування, тобто основних </w:t>
      </w:r>
      <w:r w:rsidR="00C340C2" w:rsidRPr="00520861">
        <w:rPr>
          <w:sz w:val="28"/>
          <w:szCs w:val="28"/>
        </w:rPr>
        <w:br/>
      </w:r>
      <w:r w:rsidR="00E440FC" w:rsidRPr="00520861">
        <w:rPr>
          <w:sz w:val="28"/>
          <w:szCs w:val="28"/>
        </w:rPr>
        <w:t xml:space="preserve">етіологічних </w:t>
      </w:r>
      <w:r w:rsidR="00755254" w:rsidRPr="00520861">
        <w:rPr>
          <w:sz w:val="28"/>
          <w:szCs w:val="28"/>
        </w:rPr>
        <w:t>чинників</w:t>
      </w:r>
      <w:r w:rsidRPr="00520861">
        <w:rPr>
          <w:sz w:val="28"/>
          <w:szCs w:val="28"/>
        </w:rPr>
        <w:t xml:space="preserve"> розвитку </w:t>
      </w:r>
      <w:proofErr w:type="spellStart"/>
      <w:r w:rsidRPr="00520861">
        <w:rPr>
          <w:sz w:val="28"/>
          <w:szCs w:val="28"/>
        </w:rPr>
        <w:t>макросомії</w:t>
      </w:r>
      <w:proofErr w:type="spellEnd"/>
      <w:r w:rsidRPr="00520861">
        <w:rPr>
          <w:sz w:val="28"/>
          <w:szCs w:val="28"/>
        </w:rPr>
        <w:t xml:space="preserve"> плода.</w:t>
      </w:r>
    </w:p>
    <w:p w14:paraId="0DD28A7E" w14:textId="77777777" w:rsidR="007F6CA8" w:rsidRPr="00520861" w:rsidRDefault="007F6CA8" w:rsidP="00292D2E">
      <w:pPr>
        <w:widowControl w:val="0"/>
        <w:spacing w:line="360" w:lineRule="auto"/>
        <w:ind w:right="-1" w:firstLine="709"/>
        <w:jc w:val="both"/>
        <w:rPr>
          <w:sz w:val="28"/>
          <w:szCs w:val="28"/>
        </w:rPr>
      </w:pPr>
      <w:r w:rsidRPr="00520861">
        <w:rPr>
          <w:sz w:val="28"/>
          <w:szCs w:val="28"/>
        </w:rPr>
        <w:t xml:space="preserve">Уперше на експериментальних моделях </w:t>
      </w:r>
      <w:proofErr w:type="spellStart"/>
      <w:r w:rsidRPr="00520861">
        <w:rPr>
          <w:sz w:val="28"/>
          <w:szCs w:val="28"/>
        </w:rPr>
        <w:t>макросомії</w:t>
      </w:r>
      <w:proofErr w:type="spellEnd"/>
      <w:r w:rsidRPr="00520861">
        <w:rPr>
          <w:sz w:val="28"/>
          <w:szCs w:val="28"/>
        </w:rPr>
        <w:t xml:space="preserve"> плода досліджено </w:t>
      </w:r>
      <w:r w:rsidR="003F2E90" w:rsidRPr="00520861">
        <w:rPr>
          <w:sz w:val="28"/>
          <w:szCs w:val="28"/>
        </w:rPr>
        <w:t>ультраструктурні зміни м’яких і</w:t>
      </w:r>
      <w:r w:rsidRPr="00520861">
        <w:rPr>
          <w:sz w:val="28"/>
          <w:szCs w:val="28"/>
        </w:rPr>
        <w:t xml:space="preserve"> твердих тканин </w:t>
      </w:r>
      <w:proofErr w:type="spellStart"/>
      <w:r w:rsidRPr="00520861">
        <w:rPr>
          <w:sz w:val="28"/>
          <w:szCs w:val="28"/>
        </w:rPr>
        <w:t>щелепно</w:t>
      </w:r>
      <w:proofErr w:type="spellEnd"/>
      <w:r w:rsidRPr="00520861">
        <w:rPr>
          <w:sz w:val="28"/>
          <w:szCs w:val="28"/>
        </w:rPr>
        <w:t>-лицев</w:t>
      </w:r>
      <w:r w:rsidR="003F2E90" w:rsidRPr="00520861">
        <w:rPr>
          <w:sz w:val="28"/>
          <w:szCs w:val="28"/>
        </w:rPr>
        <w:t xml:space="preserve">ої ділянки, </w:t>
      </w:r>
      <w:proofErr w:type="spellStart"/>
      <w:r w:rsidR="003F2E90" w:rsidRPr="00520861">
        <w:rPr>
          <w:sz w:val="28"/>
          <w:szCs w:val="28"/>
        </w:rPr>
        <w:t>гемодинамічні</w:t>
      </w:r>
      <w:proofErr w:type="spellEnd"/>
      <w:r w:rsidR="003F2E90" w:rsidRPr="00520861">
        <w:rPr>
          <w:sz w:val="28"/>
          <w:szCs w:val="28"/>
        </w:rPr>
        <w:t xml:space="preserve"> й</w:t>
      </w:r>
      <w:r w:rsidRPr="00520861">
        <w:rPr>
          <w:sz w:val="28"/>
          <w:szCs w:val="28"/>
        </w:rPr>
        <w:t xml:space="preserve"> ультраструктурні зміни в ендотелії судин.</w:t>
      </w:r>
      <w:r w:rsidRPr="00520861">
        <w:rPr>
          <w:rFonts w:eastAsia="Calibri"/>
          <w:sz w:val="28"/>
          <w:szCs w:val="28"/>
          <w:lang w:eastAsia="en-US"/>
        </w:rPr>
        <w:t xml:space="preserve"> У новонароджених щурів установлено порушення</w:t>
      </w:r>
      <w:r w:rsidR="008A7326" w:rsidRPr="00520861">
        <w:rPr>
          <w:rFonts w:eastAsia="Calibri"/>
          <w:sz w:val="28"/>
          <w:szCs w:val="28"/>
          <w:lang w:eastAsia="en-US"/>
        </w:rPr>
        <w:t xml:space="preserve"> морфогенезу </w:t>
      </w:r>
      <w:r w:rsidR="0053140C" w:rsidRPr="00520861">
        <w:rPr>
          <w:rFonts w:eastAsia="Calibri"/>
          <w:sz w:val="28"/>
          <w:szCs w:val="28"/>
          <w:lang w:eastAsia="en-US"/>
        </w:rPr>
        <w:t>зачатків</w:t>
      </w:r>
      <w:r w:rsidRPr="00520861">
        <w:rPr>
          <w:rFonts w:eastAsia="Calibri"/>
          <w:sz w:val="28"/>
          <w:szCs w:val="28"/>
          <w:lang w:eastAsia="en-US"/>
        </w:rPr>
        <w:t xml:space="preserve"> зубів і прилеглих тканин. У тримісячних щурів спостерігається порушення в </w:t>
      </w:r>
      <w:proofErr w:type="spellStart"/>
      <w:r w:rsidRPr="00520861">
        <w:rPr>
          <w:rFonts w:eastAsia="Calibri"/>
          <w:sz w:val="28"/>
          <w:szCs w:val="28"/>
          <w:lang w:eastAsia="en-US"/>
        </w:rPr>
        <w:t>мікроциркуляторному</w:t>
      </w:r>
      <w:proofErr w:type="spellEnd"/>
      <w:r w:rsidRPr="00520861">
        <w:rPr>
          <w:rFonts w:eastAsia="Calibri"/>
          <w:sz w:val="28"/>
          <w:szCs w:val="28"/>
          <w:lang w:eastAsia="en-US"/>
        </w:rPr>
        <w:t xml:space="preserve"> руслі слизової оболонки ротової порожнини, що, зокрема</w:t>
      </w:r>
      <w:r w:rsidR="00E859B4" w:rsidRPr="00520861">
        <w:rPr>
          <w:rFonts w:eastAsia="Calibri"/>
          <w:sz w:val="28"/>
          <w:szCs w:val="28"/>
          <w:lang w:eastAsia="en-US"/>
        </w:rPr>
        <w:t>, проявляється дефіцитом фактору</w:t>
      </w:r>
      <w:r w:rsidRPr="00520861">
        <w:rPr>
          <w:rFonts w:eastAsia="Calibri"/>
          <w:sz w:val="28"/>
          <w:szCs w:val="28"/>
          <w:lang w:eastAsia="en-US"/>
        </w:rPr>
        <w:t xml:space="preserve"> фон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в </w:t>
      </w:r>
      <w:r w:rsidR="009E4789" w:rsidRPr="00520861">
        <w:rPr>
          <w:rFonts w:eastAsia="Calibri"/>
          <w:sz w:val="28"/>
          <w:szCs w:val="28"/>
          <w:lang w:eastAsia="en-US"/>
        </w:rPr>
        <w:t>ендотелії</w:t>
      </w:r>
      <w:r w:rsidRPr="00520861">
        <w:rPr>
          <w:rFonts w:eastAsia="Calibri"/>
          <w:sz w:val="28"/>
          <w:szCs w:val="28"/>
          <w:lang w:eastAsia="en-US"/>
        </w:rPr>
        <w:t>. У тварин-</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які народилися без ознак ожиріння, виявлені парієтальні тромби, а у тварин-</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ожирінням – </w:t>
      </w:r>
      <w:proofErr w:type="spellStart"/>
      <w:r w:rsidRPr="00520861">
        <w:rPr>
          <w:rFonts w:eastAsia="Calibri"/>
          <w:sz w:val="28"/>
          <w:szCs w:val="28"/>
          <w:lang w:eastAsia="en-US"/>
        </w:rPr>
        <w:t>гіпопластичне</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мікроциркуляторне</w:t>
      </w:r>
      <w:proofErr w:type="spellEnd"/>
      <w:r w:rsidRPr="00520861">
        <w:rPr>
          <w:rFonts w:eastAsia="Calibri"/>
          <w:sz w:val="28"/>
          <w:szCs w:val="28"/>
          <w:lang w:eastAsia="en-US"/>
        </w:rPr>
        <w:t xml:space="preserve"> </w:t>
      </w:r>
      <w:r w:rsidR="00380C08" w:rsidRPr="00520861">
        <w:rPr>
          <w:rFonts w:eastAsia="Calibri"/>
          <w:sz w:val="28"/>
          <w:szCs w:val="28"/>
          <w:lang w:eastAsia="en-US"/>
        </w:rPr>
        <w:br/>
      </w:r>
      <w:r w:rsidRPr="00520861">
        <w:rPr>
          <w:rFonts w:eastAsia="Calibri"/>
          <w:sz w:val="28"/>
          <w:szCs w:val="28"/>
          <w:lang w:eastAsia="en-US"/>
        </w:rPr>
        <w:t xml:space="preserve">русло. У віці 3 місяців виявлені </w:t>
      </w:r>
      <w:proofErr w:type="spellStart"/>
      <w:r w:rsidRPr="00520861">
        <w:rPr>
          <w:rFonts w:eastAsia="Calibri"/>
          <w:sz w:val="28"/>
          <w:szCs w:val="28"/>
          <w:lang w:eastAsia="en-US"/>
        </w:rPr>
        <w:t>морфофункціональні</w:t>
      </w:r>
      <w:proofErr w:type="spellEnd"/>
      <w:r w:rsidRPr="00520861">
        <w:rPr>
          <w:rFonts w:eastAsia="Calibri"/>
          <w:sz w:val="28"/>
          <w:szCs w:val="28"/>
          <w:lang w:eastAsia="en-US"/>
        </w:rPr>
        <w:t xml:space="preserve"> зміни привушних слинних залоз, які у шестимісячних тварин із внутрішньоутробним ожирінням призводять до </w:t>
      </w:r>
      <w:proofErr w:type="spellStart"/>
      <w:r w:rsidRPr="00520861">
        <w:rPr>
          <w:rFonts w:eastAsia="Calibri"/>
          <w:sz w:val="28"/>
          <w:szCs w:val="28"/>
          <w:lang w:eastAsia="en-US"/>
        </w:rPr>
        <w:t>атрофізації</w:t>
      </w:r>
      <w:proofErr w:type="spellEnd"/>
      <w:r w:rsidRPr="00520861">
        <w:rPr>
          <w:rFonts w:eastAsia="Calibri"/>
          <w:sz w:val="28"/>
          <w:szCs w:val="28"/>
          <w:lang w:eastAsia="en-US"/>
        </w:rPr>
        <w:t xml:space="preserve"> залоз. </w:t>
      </w:r>
    </w:p>
    <w:p w14:paraId="6117B167" w14:textId="77777777" w:rsidR="007F6CA8" w:rsidRPr="00520861" w:rsidRDefault="007F6CA8" w:rsidP="00292D2E">
      <w:pPr>
        <w:widowControl w:val="0"/>
        <w:spacing w:line="360" w:lineRule="auto"/>
        <w:ind w:right="-1" w:firstLine="709"/>
        <w:jc w:val="both"/>
        <w:rPr>
          <w:rFonts w:eastAsia="Calibri"/>
          <w:sz w:val="28"/>
          <w:szCs w:val="28"/>
          <w:lang w:eastAsia="en-US"/>
        </w:rPr>
      </w:pPr>
      <w:r w:rsidRPr="00520861">
        <w:rPr>
          <w:rFonts w:eastAsia="Calibri"/>
          <w:sz w:val="28"/>
          <w:szCs w:val="28"/>
          <w:lang w:eastAsia="en-US"/>
        </w:rPr>
        <w:t>Виявлено виражені порушення твердих тканин та пульп</w:t>
      </w:r>
      <w:r w:rsidR="007C5ED0" w:rsidRPr="00520861">
        <w:rPr>
          <w:rFonts w:eastAsia="Calibri"/>
          <w:sz w:val="28"/>
          <w:szCs w:val="28"/>
          <w:lang w:eastAsia="en-US"/>
        </w:rPr>
        <w:t xml:space="preserve">и зубів у тварин, які народилися </w:t>
      </w:r>
      <w:r w:rsidRPr="00520861">
        <w:rPr>
          <w:rFonts w:eastAsia="Calibri"/>
          <w:sz w:val="28"/>
          <w:szCs w:val="28"/>
          <w:lang w:eastAsia="en-US"/>
        </w:rPr>
        <w:t xml:space="preserve">з ознаками ожиріння, у них у віці 12 – 18 місяців </w:t>
      </w:r>
      <w:proofErr w:type="spellStart"/>
      <w:r w:rsidRPr="00520861">
        <w:rPr>
          <w:rFonts w:eastAsia="Calibri"/>
          <w:sz w:val="28"/>
          <w:szCs w:val="28"/>
          <w:lang w:eastAsia="en-US"/>
        </w:rPr>
        <w:t>васкуляризація</w:t>
      </w:r>
      <w:proofErr w:type="spellEnd"/>
      <w:r w:rsidRPr="00520861">
        <w:rPr>
          <w:rFonts w:eastAsia="Calibri"/>
          <w:sz w:val="28"/>
          <w:szCs w:val="28"/>
          <w:lang w:eastAsia="en-US"/>
        </w:rPr>
        <w:t xml:space="preserve"> пульпи гірша, менший середній р</w:t>
      </w:r>
      <w:r w:rsidR="00AC2769" w:rsidRPr="00520861">
        <w:rPr>
          <w:rFonts w:eastAsia="Calibri"/>
          <w:sz w:val="28"/>
          <w:szCs w:val="28"/>
          <w:lang w:eastAsia="en-US"/>
        </w:rPr>
        <w:t xml:space="preserve">озмір тіл </w:t>
      </w:r>
      <w:proofErr w:type="spellStart"/>
      <w:r w:rsidR="00AC2769" w:rsidRPr="00520861">
        <w:rPr>
          <w:rFonts w:eastAsia="Calibri"/>
          <w:sz w:val="28"/>
          <w:szCs w:val="28"/>
          <w:lang w:eastAsia="en-US"/>
        </w:rPr>
        <w:t>одонтобластів</w:t>
      </w:r>
      <w:proofErr w:type="spellEnd"/>
      <w:r w:rsidR="00AC2769" w:rsidRPr="00520861">
        <w:rPr>
          <w:rFonts w:eastAsia="Calibri"/>
          <w:sz w:val="28"/>
          <w:szCs w:val="28"/>
          <w:lang w:eastAsia="en-US"/>
        </w:rPr>
        <w:t xml:space="preserve"> і більший</w:t>
      </w:r>
      <w:r w:rsidRPr="00520861">
        <w:rPr>
          <w:rFonts w:eastAsia="Calibri"/>
          <w:sz w:val="28"/>
          <w:szCs w:val="28"/>
          <w:lang w:eastAsia="en-US"/>
        </w:rPr>
        <w:t xml:space="preserve"> ступінь атрофії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ніж у щурів групи контролю. </w:t>
      </w:r>
    </w:p>
    <w:p w14:paraId="64FDAE02" w14:textId="77777777" w:rsidR="007F6CA8" w:rsidRPr="00520861" w:rsidRDefault="00AF1C96" w:rsidP="00292D2E">
      <w:pPr>
        <w:widowControl w:val="0"/>
        <w:spacing w:line="360" w:lineRule="auto"/>
        <w:ind w:right="-1" w:firstLine="709"/>
        <w:jc w:val="both"/>
        <w:rPr>
          <w:rFonts w:eastAsia="Calibri"/>
          <w:sz w:val="28"/>
          <w:szCs w:val="28"/>
          <w:lang w:eastAsia="en-US"/>
        </w:rPr>
      </w:pPr>
      <w:r w:rsidRPr="00520861">
        <w:rPr>
          <w:rFonts w:eastAsia="Calibri"/>
          <w:sz w:val="28"/>
          <w:szCs w:val="28"/>
          <w:lang w:eastAsia="en-US"/>
        </w:rPr>
        <w:t>Доведено</w:t>
      </w:r>
      <w:r w:rsidR="007F6CA8" w:rsidRPr="00520861">
        <w:rPr>
          <w:rFonts w:eastAsia="Calibri"/>
          <w:sz w:val="28"/>
          <w:szCs w:val="28"/>
          <w:lang w:eastAsia="en-US"/>
        </w:rPr>
        <w:t xml:space="preserve">, що чим більший індекс маси тіла має тварина при народженні, тим вища буде у неї схильність до виникнення каріозних уражень. </w:t>
      </w:r>
    </w:p>
    <w:p w14:paraId="73096AA6" w14:textId="77777777" w:rsidR="007F6CA8" w:rsidRPr="00520861" w:rsidRDefault="007F6CA8" w:rsidP="00292D2E">
      <w:pPr>
        <w:widowControl w:val="0"/>
        <w:spacing w:line="360" w:lineRule="auto"/>
        <w:ind w:right="-1" w:firstLine="709"/>
        <w:jc w:val="both"/>
        <w:rPr>
          <w:rFonts w:eastAsia="Calibri"/>
          <w:b/>
          <w:spacing w:val="-2"/>
          <w:sz w:val="28"/>
          <w:szCs w:val="28"/>
          <w:lang w:eastAsia="en-US"/>
        </w:rPr>
      </w:pPr>
      <w:r w:rsidRPr="00520861">
        <w:rPr>
          <w:rFonts w:eastAsia="Calibri"/>
          <w:spacing w:val="-2"/>
          <w:sz w:val="28"/>
          <w:szCs w:val="28"/>
          <w:lang w:eastAsia="en-US"/>
        </w:rPr>
        <w:t xml:space="preserve">На тканини </w:t>
      </w:r>
      <w:proofErr w:type="spellStart"/>
      <w:r w:rsidRPr="00520861">
        <w:rPr>
          <w:rFonts w:eastAsia="Calibri"/>
          <w:spacing w:val="-2"/>
          <w:sz w:val="28"/>
          <w:szCs w:val="28"/>
          <w:lang w:eastAsia="en-US"/>
        </w:rPr>
        <w:t>пародонта</w:t>
      </w:r>
      <w:proofErr w:type="spellEnd"/>
      <w:r w:rsidRPr="00520861">
        <w:rPr>
          <w:rFonts w:eastAsia="Calibri"/>
          <w:spacing w:val="-2"/>
          <w:sz w:val="28"/>
          <w:szCs w:val="28"/>
          <w:lang w:eastAsia="en-US"/>
        </w:rPr>
        <w:t xml:space="preserve"> виявлено негативний вплив внутрішньоутробного </w:t>
      </w:r>
      <w:r w:rsidR="00380C08" w:rsidRPr="00520861">
        <w:rPr>
          <w:rFonts w:eastAsia="Calibri"/>
          <w:spacing w:val="-2"/>
          <w:sz w:val="28"/>
          <w:szCs w:val="28"/>
          <w:lang w:eastAsia="en-US"/>
        </w:rPr>
        <w:br/>
      </w:r>
      <w:r w:rsidRPr="00520861">
        <w:rPr>
          <w:rFonts w:eastAsia="Calibri"/>
          <w:spacing w:val="-2"/>
          <w:sz w:val="28"/>
          <w:szCs w:val="28"/>
          <w:lang w:eastAsia="en-US"/>
        </w:rPr>
        <w:t xml:space="preserve">періоду, який перебігав із відносною недостатністю маси тіла, чи пренатального періоду, який характеризувався гармонійним розвитком, за умови народження з </w:t>
      </w:r>
      <w:proofErr w:type="spellStart"/>
      <w:r w:rsidRPr="00520861">
        <w:rPr>
          <w:rFonts w:eastAsia="Calibri"/>
          <w:spacing w:val="-2"/>
          <w:sz w:val="28"/>
          <w:szCs w:val="28"/>
          <w:lang w:eastAsia="en-US"/>
        </w:rPr>
        <w:t>макросомією</w:t>
      </w:r>
      <w:proofErr w:type="spellEnd"/>
      <w:r w:rsidRPr="00520861">
        <w:rPr>
          <w:rFonts w:eastAsia="Calibri"/>
          <w:spacing w:val="-2"/>
          <w:sz w:val="28"/>
          <w:szCs w:val="28"/>
          <w:lang w:eastAsia="en-US"/>
        </w:rPr>
        <w:t xml:space="preserve">. </w:t>
      </w:r>
      <w:r w:rsidRPr="00520861">
        <w:rPr>
          <w:rFonts w:eastAsia="Calibri"/>
          <w:sz w:val="28"/>
          <w:szCs w:val="28"/>
          <w:lang w:eastAsia="en-US"/>
        </w:rPr>
        <w:t>У пародонті таких щурів віко</w:t>
      </w:r>
      <w:r w:rsidR="007C5ED0" w:rsidRPr="00520861">
        <w:rPr>
          <w:rFonts w:eastAsia="Calibri"/>
          <w:sz w:val="28"/>
          <w:szCs w:val="28"/>
          <w:lang w:eastAsia="en-US"/>
        </w:rPr>
        <w:t>м 12 – 18 місяців спостерігалися</w:t>
      </w:r>
      <w:r w:rsidRPr="00520861">
        <w:rPr>
          <w:rFonts w:eastAsia="Calibri"/>
          <w:sz w:val="28"/>
          <w:szCs w:val="28"/>
          <w:lang w:eastAsia="en-US"/>
        </w:rPr>
        <w:t xml:space="preserve"> явища запального процесу, який супроводжувався порушенням структури циркулярної зв’язки та </w:t>
      </w:r>
      <w:r w:rsidR="00380C08" w:rsidRPr="00520861">
        <w:rPr>
          <w:rFonts w:eastAsia="Calibri"/>
          <w:sz w:val="28"/>
          <w:szCs w:val="28"/>
          <w:lang w:eastAsia="en-US"/>
        </w:rPr>
        <w:br/>
      </w:r>
      <w:r w:rsidRPr="00520861">
        <w:rPr>
          <w:rFonts w:eastAsia="Calibri"/>
          <w:sz w:val="28"/>
          <w:szCs w:val="28"/>
          <w:lang w:eastAsia="en-US"/>
        </w:rPr>
        <w:t>виникненням кишень, у кістковій тканині альвеолярни</w:t>
      </w:r>
      <w:r w:rsidR="007C5ED0" w:rsidRPr="00520861">
        <w:rPr>
          <w:rFonts w:eastAsia="Calibri"/>
          <w:sz w:val="28"/>
          <w:szCs w:val="28"/>
          <w:lang w:eastAsia="en-US"/>
        </w:rPr>
        <w:t>х відростків фіксувалися</w:t>
      </w:r>
      <w:r w:rsidRPr="00520861">
        <w:rPr>
          <w:rFonts w:eastAsia="Calibri"/>
          <w:sz w:val="28"/>
          <w:szCs w:val="28"/>
          <w:lang w:eastAsia="en-US"/>
        </w:rPr>
        <w:t xml:space="preserve"> явища фокального остеопорозу</w:t>
      </w:r>
      <w:r w:rsidRPr="00520861">
        <w:rPr>
          <w:rFonts w:eastAsia="Calibri"/>
          <w:spacing w:val="-2"/>
          <w:sz w:val="28"/>
          <w:szCs w:val="28"/>
          <w:lang w:eastAsia="en-US"/>
        </w:rPr>
        <w:t>.</w:t>
      </w:r>
    </w:p>
    <w:p w14:paraId="4B4D6009" w14:textId="77777777" w:rsidR="00263927" w:rsidRPr="00520861" w:rsidRDefault="007F6CA8" w:rsidP="00292D2E">
      <w:pPr>
        <w:widowControl w:val="0"/>
        <w:spacing w:line="360" w:lineRule="auto"/>
        <w:ind w:right="-1" w:firstLine="709"/>
        <w:jc w:val="both"/>
        <w:rPr>
          <w:spacing w:val="-4"/>
          <w:sz w:val="28"/>
          <w:szCs w:val="28"/>
        </w:rPr>
      </w:pPr>
      <w:r w:rsidRPr="00520861">
        <w:rPr>
          <w:spacing w:val="-4"/>
          <w:sz w:val="28"/>
          <w:szCs w:val="28"/>
        </w:rPr>
        <w:lastRenderedPageBreak/>
        <w:t>Уперше за допомогою конфокально</w:t>
      </w:r>
      <w:r w:rsidR="003F2E90" w:rsidRPr="00520861">
        <w:rPr>
          <w:spacing w:val="-4"/>
          <w:sz w:val="28"/>
          <w:szCs w:val="28"/>
        </w:rPr>
        <w:t xml:space="preserve">го </w:t>
      </w:r>
      <w:proofErr w:type="spellStart"/>
      <w:r w:rsidR="003F2E90" w:rsidRPr="00520861">
        <w:rPr>
          <w:spacing w:val="-4"/>
          <w:sz w:val="28"/>
          <w:szCs w:val="28"/>
        </w:rPr>
        <w:t>мікроскопіювання</w:t>
      </w:r>
      <w:proofErr w:type="spellEnd"/>
      <w:r w:rsidR="003F2E90" w:rsidRPr="00520861">
        <w:rPr>
          <w:spacing w:val="-4"/>
          <w:sz w:val="28"/>
          <w:szCs w:val="28"/>
        </w:rPr>
        <w:t xml:space="preserve"> підтверджено та візуалізовано</w:t>
      </w:r>
      <w:r w:rsidRPr="00520861">
        <w:rPr>
          <w:spacing w:val="-4"/>
          <w:sz w:val="28"/>
          <w:szCs w:val="28"/>
        </w:rPr>
        <w:t xml:space="preserve"> ультраструктурні зміни в тканинах привушних слинних залоз та слизової оболонки ротової порожнини, зокрема, малих слинних за</w:t>
      </w:r>
      <w:r w:rsidR="00263927" w:rsidRPr="00520861">
        <w:rPr>
          <w:spacing w:val="-4"/>
          <w:sz w:val="28"/>
          <w:szCs w:val="28"/>
        </w:rPr>
        <w:t xml:space="preserve">лоз за впливу </w:t>
      </w:r>
      <w:proofErr w:type="spellStart"/>
      <w:r w:rsidR="00263927" w:rsidRPr="00520861">
        <w:rPr>
          <w:spacing w:val="-4"/>
          <w:sz w:val="28"/>
          <w:szCs w:val="28"/>
        </w:rPr>
        <w:t>макросомії</w:t>
      </w:r>
      <w:proofErr w:type="spellEnd"/>
      <w:r w:rsidR="00263927" w:rsidRPr="00520861">
        <w:rPr>
          <w:spacing w:val="-4"/>
          <w:sz w:val="28"/>
          <w:szCs w:val="28"/>
        </w:rPr>
        <w:t xml:space="preserve"> плода.</w:t>
      </w:r>
    </w:p>
    <w:p w14:paraId="726A0B50" w14:textId="77777777" w:rsidR="007F6CA8" w:rsidRPr="00520861" w:rsidRDefault="007C6C53" w:rsidP="00292D2E">
      <w:pPr>
        <w:widowControl w:val="0"/>
        <w:spacing w:line="360" w:lineRule="auto"/>
        <w:ind w:right="-1" w:firstLine="709"/>
        <w:jc w:val="both"/>
        <w:rPr>
          <w:sz w:val="28"/>
          <w:szCs w:val="28"/>
        </w:rPr>
      </w:pPr>
      <w:r w:rsidRPr="00520861">
        <w:rPr>
          <w:sz w:val="28"/>
          <w:szCs w:val="28"/>
        </w:rPr>
        <w:t>Уперше розроблено</w:t>
      </w:r>
      <w:r w:rsidR="007F6CA8" w:rsidRPr="00520861">
        <w:rPr>
          <w:sz w:val="28"/>
          <w:szCs w:val="28"/>
        </w:rPr>
        <w:t xml:space="preserve"> скринінг-опитувальники для респондентів різних вікових категорій та шляхом застосу</w:t>
      </w:r>
      <w:r w:rsidR="003F2E90" w:rsidRPr="00520861">
        <w:rPr>
          <w:sz w:val="28"/>
          <w:szCs w:val="28"/>
        </w:rPr>
        <w:t>вання опитування вперше отримано</w:t>
      </w:r>
      <w:r w:rsidR="007F6CA8" w:rsidRPr="00520861">
        <w:rPr>
          <w:sz w:val="28"/>
          <w:szCs w:val="28"/>
        </w:rPr>
        <w:t xml:space="preserve"> наукові дані щодо ступеня ризику виникнення стоматологічних порушень, пов’язаних із </w:t>
      </w:r>
      <w:proofErr w:type="spellStart"/>
      <w:r w:rsidR="007F6CA8" w:rsidRPr="00520861">
        <w:rPr>
          <w:sz w:val="28"/>
          <w:szCs w:val="28"/>
        </w:rPr>
        <w:t>перинатальною</w:t>
      </w:r>
      <w:proofErr w:type="spellEnd"/>
      <w:r w:rsidR="007F6CA8" w:rsidRPr="00520861">
        <w:rPr>
          <w:sz w:val="28"/>
          <w:szCs w:val="28"/>
        </w:rPr>
        <w:t xml:space="preserve"> патологією в анамнезі, спадковістю, рівнем гігієни ротової порожнини, конституцією пацієнта, супутньою патологією, шкідливими звичками, медикаментозною терапією, характером харчування, фізичним навантаженням, а також ступенем впливу материнського або батькового </w:t>
      </w:r>
      <w:proofErr w:type="spellStart"/>
      <w:r w:rsidR="007F6CA8" w:rsidRPr="00520861">
        <w:rPr>
          <w:sz w:val="28"/>
          <w:szCs w:val="28"/>
        </w:rPr>
        <w:t>фактора</w:t>
      </w:r>
      <w:proofErr w:type="spellEnd"/>
      <w:r w:rsidR="007F6CA8" w:rsidRPr="00520861">
        <w:rPr>
          <w:sz w:val="28"/>
          <w:szCs w:val="28"/>
        </w:rPr>
        <w:t xml:space="preserve"> на формування стоматологічних порушень у </w:t>
      </w:r>
      <w:proofErr w:type="spellStart"/>
      <w:r w:rsidR="007F6CA8" w:rsidRPr="00520861">
        <w:rPr>
          <w:sz w:val="28"/>
          <w:szCs w:val="28"/>
        </w:rPr>
        <w:t>макросомів</w:t>
      </w:r>
      <w:proofErr w:type="spellEnd"/>
      <w:r w:rsidR="007F6CA8" w:rsidRPr="00520861">
        <w:rPr>
          <w:sz w:val="28"/>
          <w:szCs w:val="28"/>
        </w:rPr>
        <w:t>.</w:t>
      </w:r>
    </w:p>
    <w:p w14:paraId="6940F84B" w14:textId="77777777" w:rsidR="007F6CA8" w:rsidRPr="00520861" w:rsidRDefault="007F6CA8" w:rsidP="00292D2E">
      <w:pPr>
        <w:widowControl w:val="0"/>
        <w:spacing w:line="360" w:lineRule="auto"/>
        <w:ind w:right="-1" w:firstLine="709"/>
        <w:jc w:val="both"/>
        <w:rPr>
          <w:spacing w:val="-2"/>
          <w:sz w:val="28"/>
          <w:szCs w:val="28"/>
        </w:rPr>
      </w:pPr>
      <w:r w:rsidRPr="00520861">
        <w:rPr>
          <w:spacing w:val="-2"/>
          <w:sz w:val="28"/>
          <w:szCs w:val="28"/>
        </w:rPr>
        <w:t xml:space="preserve">Установлено, що </w:t>
      </w:r>
      <w:proofErr w:type="spellStart"/>
      <w:r w:rsidRPr="00520861">
        <w:rPr>
          <w:spacing w:val="-2"/>
          <w:sz w:val="28"/>
          <w:szCs w:val="28"/>
        </w:rPr>
        <w:t>макросоми</w:t>
      </w:r>
      <w:proofErr w:type="spellEnd"/>
      <w:r w:rsidRPr="00520861">
        <w:rPr>
          <w:spacing w:val="-2"/>
          <w:sz w:val="28"/>
          <w:szCs w:val="28"/>
        </w:rPr>
        <w:t xml:space="preserve"> мають вірогідно вищий на одну градацію шкали опитувальника ризик розвитку стоматологічних захворювань. У загальному вимірі </w:t>
      </w:r>
      <w:r w:rsidR="00AC2769" w:rsidRPr="00520861">
        <w:rPr>
          <w:spacing w:val="-2"/>
          <w:sz w:val="28"/>
          <w:szCs w:val="28"/>
        </w:rPr>
        <w:t>«</w:t>
      </w:r>
      <w:r w:rsidRPr="00520861">
        <w:rPr>
          <w:spacing w:val="-2"/>
          <w:sz w:val="28"/>
          <w:szCs w:val="28"/>
        </w:rPr>
        <w:t>мінімальний ризик</w:t>
      </w:r>
      <w:r w:rsidR="00AC2769" w:rsidRPr="00520861">
        <w:rPr>
          <w:spacing w:val="-2"/>
          <w:sz w:val="28"/>
          <w:szCs w:val="28"/>
        </w:rPr>
        <w:t>»</w:t>
      </w:r>
      <w:r w:rsidRPr="00520861">
        <w:rPr>
          <w:spacing w:val="-2"/>
          <w:sz w:val="28"/>
          <w:szCs w:val="28"/>
        </w:rPr>
        <w:t xml:space="preserve"> та </w:t>
      </w:r>
      <w:r w:rsidR="00AC2769" w:rsidRPr="00520861">
        <w:rPr>
          <w:spacing w:val="-2"/>
          <w:sz w:val="28"/>
          <w:szCs w:val="28"/>
        </w:rPr>
        <w:t>«</w:t>
      </w:r>
      <w:r w:rsidRPr="00520861">
        <w:rPr>
          <w:spacing w:val="-2"/>
          <w:sz w:val="28"/>
          <w:szCs w:val="28"/>
        </w:rPr>
        <w:t>ризик</w:t>
      </w:r>
      <w:r w:rsidR="00AC2769" w:rsidRPr="00520861">
        <w:rPr>
          <w:spacing w:val="-2"/>
          <w:sz w:val="28"/>
          <w:szCs w:val="28"/>
        </w:rPr>
        <w:t>»</w:t>
      </w:r>
      <w:r w:rsidRPr="00520861">
        <w:rPr>
          <w:spacing w:val="-2"/>
          <w:sz w:val="28"/>
          <w:szCs w:val="28"/>
        </w:rPr>
        <w:t xml:space="preserve"> виникнення стоматологічної патології вірогідно (</w:t>
      </w:r>
      <w:r w:rsidR="00933755" w:rsidRPr="00520861">
        <w:rPr>
          <w:i/>
          <w:spacing w:val="-2"/>
          <w:sz w:val="28"/>
          <w:szCs w:val="28"/>
        </w:rPr>
        <w:t>р</w:t>
      </w:r>
      <w:r w:rsidR="00CD7533" w:rsidRPr="00520861">
        <w:rPr>
          <w:spacing w:val="-2"/>
          <w:sz w:val="28"/>
          <w:szCs w:val="28"/>
        </w:rPr>
        <w:t>&lt;</w:t>
      </w:r>
      <w:r w:rsidRPr="00520861">
        <w:rPr>
          <w:spacing w:val="-2"/>
          <w:sz w:val="28"/>
          <w:szCs w:val="28"/>
        </w:rPr>
        <w:t xml:space="preserve">0,05) рідше визначався у </w:t>
      </w:r>
      <w:proofErr w:type="spellStart"/>
      <w:r w:rsidRPr="00520861">
        <w:rPr>
          <w:spacing w:val="-2"/>
          <w:sz w:val="28"/>
          <w:szCs w:val="28"/>
        </w:rPr>
        <w:t>макросомів</w:t>
      </w:r>
      <w:proofErr w:type="spellEnd"/>
      <w:r w:rsidRPr="00520861">
        <w:rPr>
          <w:spacing w:val="-2"/>
          <w:sz w:val="28"/>
          <w:szCs w:val="28"/>
        </w:rPr>
        <w:t xml:space="preserve">, ніж у </w:t>
      </w:r>
      <w:proofErr w:type="spellStart"/>
      <w:r w:rsidRPr="00520861">
        <w:rPr>
          <w:spacing w:val="-2"/>
          <w:sz w:val="28"/>
          <w:szCs w:val="28"/>
        </w:rPr>
        <w:t>нормосомів</w:t>
      </w:r>
      <w:proofErr w:type="spellEnd"/>
      <w:r w:rsidRPr="00520861">
        <w:rPr>
          <w:spacing w:val="-2"/>
          <w:sz w:val="28"/>
          <w:szCs w:val="28"/>
        </w:rPr>
        <w:t xml:space="preserve">. </w:t>
      </w:r>
      <w:r w:rsidR="00AC2769" w:rsidRPr="00520861">
        <w:rPr>
          <w:spacing w:val="-2"/>
          <w:sz w:val="28"/>
          <w:szCs w:val="28"/>
        </w:rPr>
        <w:t>«</w:t>
      </w:r>
      <w:r w:rsidRPr="00520861">
        <w:rPr>
          <w:spacing w:val="-2"/>
          <w:sz w:val="28"/>
          <w:szCs w:val="28"/>
        </w:rPr>
        <w:t>Суттєвий ризик</w:t>
      </w:r>
      <w:r w:rsidR="00AC2769" w:rsidRPr="00520861">
        <w:rPr>
          <w:spacing w:val="-2"/>
          <w:sz w:val="28"/>
          <w:szCs w:val="28"/>
        </w:rPr>
        <w:t>»</w:t>
      </w:r>
      <w:r w:rsidRPr="00520861">
        <w:rPr>
          <w:spacing w:val="-2"/>
          <w:sz w:val="28"/>
          <w:szCs w:val="28"/>
        </w:rPr>
        <w:t xml:space="preserve"> та </w:t>
      </w:r>
      <w:r w:rsidR="00380C08" w:rsidRPr="00520861">
        <w:rPr>
          <w:spacing w:val="-2"/>
          <w:sz w:val="28"/>
          <w:szCs w:val="28"/>
        </w:rPr>
        <w:br/>
      </w:r>
      <w:r w:rsidR="00AC2769" w:rsidRPr="00520861">
        <w:rPr>
          <w:spacing w:val="-2"/>
          <w:sz w:val="28"/>
          <w:szCs w:val="28"/>
        </w:rPr>
        <w:t>«</w:t>
      </w:r>
      <w:r w:rsidRPr="00520861">
        <w:rPr>
          <w:spacing w:val="-2"/>
          <w:sz w:val="28"/>
          <w:szCs w:val="28"/>
        </w:rPr>
        <w:t>високий ризик</w:t>
      </w:r>
      <w:r w:rsidR="00AC2769" w:rsidRPr="00520861">
        <w:rPr>
          <w:spacing w:val="-2"/>
          <w:sz w:val="28"/>
          <w:szCs w:val="28"/>
        </w:rPr>
        <w:t>»</w:t>
      </w:r>
      <w:r w:rsidRPr="00520861">
        <w:rPr>
          <w:spacing w:val="-2"/>
          <w:sz w:val="28"/>
          <w:szCs w:val="28"/>
        </w:rPr>
        <w:t xml:space="preserve"> у </w:t>
      </w:r>
      <w:proofErr w:type="spellStart"/>
      <w:r w:rsidRPr="00520861">
        <w:rPr>
          <w:spacing w:val="-2"/>
          <w:sz w:val="28"/>
          <w:szCs w:val="28"/>
        </w:rPr>
        <w:t>макросомів</w:t>
      </w:r>
      <w:proofErr w:type="spellEnd"/>
      <w:r w:rsidRPr="00520861">
        <w:rPr>
          <w:spacing w:val="-2"/>
          <w:sz w:val="28"/>
          <w:szCs w:val="28"/>
        </w:rPr>
        <w:t>, навпаки, визначався вірогідно (</w:t>
      </w:r>
      <w:r w:rsidR="00933755" w:rsidRPr="00520861">
        <w:rPr>
          <w:i/>
          <w:spacing w:val="-2"/>
          <w:sz w:val="28"/>
          <w:szCs w:val="28"/>
        </w:rPr>
        <w:t>р</w:t>
      </w:r>
      <w:r w:rsidR="00CD7533" w:rsidRPr="00520861">
        <w:rPr>
          <w:spacing w:val="-2"/>
          <w:sz w:val="28"/>
          <w:szCs w:val="28"/>
        </w:rPr>
        <w:t>&lt;</w:t>
      </w:r>
      <w:r w:rsidRPr="00520861">
        <w:rPr>
          <w:spacing w:val="-2"/>
          <w:sz w:val="28"/>
          <w:szCs w:val="28"/>
        </w:rPr>
        <w:t xml:space="preserve">0,05) частіше, ніж у </w:t>
      </w:r>
      <w:proofErr w:type="spellStart"/>
      <w:r w:rsidRPr="00520861">
        <w:rPr>
          <w:spacing w:val="-2"/>
          <w:sz w:val="28"/>
          <w:szCs w:val="28"/>
        </w:rPr>
        <w:t>нормосомів</w:t>
      </w:r>
      <w:proofErr w:type="spellEnd"/>
      <w:r w:rsidRPr="00520861">
        <w:rPr>
          <w:spacing w:val="-2"/>
          <w:sz w:val="28"/>
          <w:szCs w:val="28"/>
        </w:rPr>
        <w:t xml:space="preserve">. </w:t>
      </w:r>
    </w:p>
    <w:p w14:paraId="7C823560" w14:textId="77777777" w:rsidR="007F6CA8" w:rsidRPr="00520861" w:rsidRDefault="007F6CA8" w:rsidP="00292D2E">
      <w:pPr>
        <w:widowControl w:val="0"/>
        <w:spacing w:line="360" w:lineRule="auto"/>
        <w:ind w:right="-1" w:firstLine="709"/>
        <w:jc w:val="both"/>
        <w:rPr>
          <w:sz w:val="28"/>
          <w:szCs w:val="28"/>
        </w:rPr>
      </w:pPr>
      <w:r w:rsidRPr="00520861">
        <w:rPr>
          <w:sz w:val="28"/>
          <w:szCs w:val="28"/>
        </w:rPr>
        <w:t xml:space="preserve">Доведено, що </w:t>
      </w:r>
      <w:proofErr w:type="spellStart"/>
      <w:r w:rsidRPr="00520861">
        <w:rPr>
          <w:sz w:val="28"/>
          <w:szCs w:val="28"/>
        </w:rPr>
        <w:t>макросоми</w:t>
      </w:r>
      <w:proofErr w:type="spellEnd"/>
      <w:r w:rsidRPr="00520861">
        <w:rPr>
          <w:sz w:val="28"/>
          <w:szCs w:val="28"/>
        </w:rPr>
        <w:t xml:space="preserve"> в подальшому житті мають вдвічі більше скарг на стан стоматологічного здоров’я, ніж </w:t>
      </w:r>
      <w:proofErr w:type="spellStart"/>
      <w:r w:rsidRPr="00520861">
        <w:rPr>
          <w:sz w:val="28"/>
          <w:szCs w:val="28"/>
        </w:rPr>
        <w:t>нормосоми</w:t>
      </w:r>
      <w:proofErr w:type="spellEnd"/>
      <w:r w:rsidRPr="00520861">
        <w:rPr>
          <w:sz w:val="28"/>
          <w:szCs w:val="28"/>
        </w:rPr>
        <w:t xml:space="preserve">. Зафіксована відсутність вірогідних відмінностей впливу особливостей стану здоров’я і життєдіяльності респондентів та їхніх батьків на розвиток стоматологічних порушень в індивідуумів із різним </w:t>
      </w:r>
      <w:r w:rsidR="00380C08" w:rsidRPr="00520861">
        <w:rPr>
          <w:sz w:val="28"/>
          <w:szCs w:val="28"/>
        </w:rPr>
        <w:br/>
      </w:r>
      <w:r w:rsidRPr="00520861">
        <w:rPr>
          <w:sz w:val="28"/>
          <w:szCs w:val="28"/>
        </w:rPr>
        <w:t xml:space="preserve">індексом маси тіла при народженні. Вплив материнського та батькового факторів на </w:t>
      </w:r>
      <w:r w:rsidR="00636A3E" w:rsidRPr="00520861">
        <w:rPr>
          <w:sz w:val="28"/>
          <w:szCs w:val="28"/>
        </w:rPr>
        <w:br/>
      </w:r>
      <w:r w:rsidRPr="00520861">
        <w:rPr>
          <w:sz w:val="28"/>
          <w:szCs w:val="28"/>
        </w:rPr>
        <w:t xml:space="preserve">формування стоматологічних порушень для опитаних </w:t>
      </w:r>
      <w:proofErr w:type="spellStart"/>
      <w:r w:rsidRPr="00520861">
        <w:rPr>
          <w:sz w:val="28"/>
          <w:szCs w:val="28"/>
        </w:rPr>
        <w:t>ма</w:t>
      </w:r>
      <w:r w:rsidR="00F80328" w:rsidRPr="00520861">
        <w:rPr>
          <w:sz w:val="28"/>
          <w:szCs w:val="28"/>
        </w:rPr>
        <w:t>кросомів</w:t>
      </w:r>
      <w:proofErr w:type="spellEnd"/>
      <w:r w:rsidR="00F80328" w:rsidRPr="00520861">
        <w:rPr>
          <w:sz w:val="28"/>
          <w:szCs w:val="28"/>
        </w:rPr>
        <w:t xml:space="preserve"> та осіб, які народилися</w:t>
      </w:r>
      <w:r w:rsidRPr="00520861">
        <w:rPr>
          <w:sz w:val="28"/>
          <w:szCs w:val="28"/>
        </w:rPr>
        <w:t xml:space="preserve"> </w:t>
      </w:r>
      <w:proofErr w:type="spellStart"/>
      <w:r w:rsidRPr="00520861">
        <w:rPr>
          <w:sz w:val="28"/>
          <w:szCs w:val="28"/>
        </w:rPr>
        <w:t>нормосомами</w:t>
      </w:r>
      <w:proofErr w:type="spellEnd"/>
      <w:r w:rsidRPr="00520861">
        <w:rPr>
          <w:sz w:val="28"/>
          <w:szCs w:val="28"/>
        </w:rPr>
        <w:t xml:space="preserve"> (далі – </w:t>
      </w:r>
      <w:proofErr w:type="spellStart"/>
      <w:r w:rsidRPr="00520861">
        <w:rPr>
          <w:sz w:val="28"/>
          <w:szCs w:val="28"/>
        </w:rPr>
        <w:t>нормосоми</w:t>
      </w:r>
      <w:proofErr w:type="spellEnd"/>
      <w:r w:rsidRPr="00520861">
        <w:rPr>
          <w:sz w:val="28"/>
          <w:szCs w:val="28"/>
        </w:rPr>
        <w:t xml:space="preserve">), є співставним. </w:t>
      </w:r>
    </w:p>
    <w:p w14:paraId="2A46A5CD" w14:textId="77777777" w:rsidR="007F6CA8" w:rsidRPr="00520861" w:rsidRDefault="007F6CA8" w:rsidP="00292D2E">
      <w:pPr>
        <w:widowControl w:val="0"/>
        <w:spacing w:line="360" w:lineRule="auto"/>
        <w:ind w:right="-1" w:firstLine="709"/>
        <w:jc w:val="both"/>
        <w:rPr>
          <w:sz w:val="28"/>
          <w:szCs w:val="28"/>
        </w:rPr>
      </w:pPr>
      <w:r w:rsidRPr="00520861">
        <w:rPr>
          <w:sz w:val="28"/>
          <w:szCs w:val="28"/>
        </w:rPr>
        <w:t xml:space="preserve">Доповнені наукові дані щодо структури та поширеності основних </w:t>
      </w:r>
      <w:r w:rsidR="00380C08" w:rsidRPr="00520861">
        <w:rPr>
          <w:sz w:val="28"/>
          <w:szCs w:val="28"/>
        </w:rPr>
        <w:br/>
      </w:r>
      <w:r w:rsidRPr="00520861">
        <w:rPr>
          <w:sz w:val="28"/>
          <w:szCs w:val="28"/>
        </w:rPr>
        <w:t xml:space="preserve">стоматологічних захворювань серед </w:t>
      </w:r>
      <w:proofErr w:type="spellStart"/>
      <w:r w:rsidRPr="00520861">
        <w:rPr>
          <w:sz w:val="28"/>
          <w:szCs w:val="28"/>
        </w:rPr>
        <w:t>макросомів</w:t>
      </w:r>
      <w:proofErr w:type="spellEnd"/>
      <w:r w:rsidRPr="00520861">
        <w:rPr>
          <w:sz w:val="28"/>
          <w:szCs w:val="28"/>
        </w:rPr>
        <w:t xml:space="preserve"> у віковому аспекті. </w:t>
      </w:r>
      <w:r w:rsidRPr="00520861">
        <w:rPr>
          <w:rFonts w:eastAsia="Calibri"/>
          <w:sz w:val="28"/>
          <w:szCs w:val="28"/>
          <w:lang w:eastAsia="en-US"/>
        </w:rPr>
        <w:t>Виявлено, що випадки д</w:t>
      </w:r>
      <w:r w:rsidRPr="00520861">
        <w:rPr>
          <w:sz w:val="28"/>
          <w:szCs w:val="28"/>
        </w:rPr>
        <w:t xml:space="preserve">омінування внутрішньоутробного ожиріння, внутрішньоутробного збільшення довжини тіла чи гармонійного прискорення набору маси та збільшення довжини тіла </w:t>
      </w:r>
      <w:r w:rsidRPr="00520861">
        <w:rPr>
          <w:rFonts w:eastAsia="Calibri"/>
          <w:sz w:val="28"/>
          <w:szCs w:val="28"/>
          <w:lang w:eastAsia="en-US"/>
        </w:rPr>
        <w:t xml:space="preserve">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w:t>
      </w:r>
      <w:r w:rsidRPr="00520861">
        <w:rPr>
          <w:sz w:val="28"/>
          <w:szCs w:val="28"/>
        </w:rPr>
        <w:t xml:space="preserve"> мають певні особливості проявів у стоматологічному статусі</w:t>
      </w:r>
      <w:r w:rsidR="00380C08" w:rsidRPr="00520861">
        <w:rPr>
          <w:sz w:val="28"/>
          <w:szCs w:val="28"/>
        </w:rPr>
        <w:t xml:space="preserve"> </w:t>
      </w:r>
      <w:r w:rsidRPr="00520861">
        <w:rPr>
          <w:sz w:val="28"/>
          <w:szCs w:val="28"/>
        </w:rPr>
        <w:t>новонароджених та дітей грудного віку. У таких дітей виявлені</w:t>
      </w:r>
      <w:r w:rsidRPr="00520861">
        <w:rPr>
          <w:rFonts w:eastAsia="Calibri"/>
          <w:sz w:val="28"/>
          <w:szCs w:val="28"/>
          <w:lang w:eastAsia="en-US"/>
        </w:rPr>
        <w:t xml:space="preserve"> уповільнені темпи </w:t>
      </w:r>
      <w:r w:rsidRPr="00520861">
        <w:rPr>
          <w:rFonts w:eastAsia="Calibri"/>
          <w:sz w:val="28"/>
          <w:szCs w:val="28"/>
          <w:lang w:eastAsia="en-US"/>
        </w:rPr>
        <w:lastRenderedPageBreak/>
        <w:t>росту зубів та збільшена у 2 – 4 рази частота спостереження відхилень у термінах їх прорізування від регіональних норм.</w:t>
      </w:r>
    </w:p>
    <w:p w14:paraId="7353821C" w14:textId="77777777" w:rsidR="007F6CA8" w:rsidRPr="00520861" w:rsidRDefault="007F6CA8" w:rsidP="00292D2E">
      <w:pPr>
        <w:widowControl w:val="0"/>
        <w:spacing w:line="360" w:lineRule="auto"/>
        <w:ind w:right="-1" w:firstLine="709"/>
        <w:jc w:val="both"/>
        <w:rPr>
          <w:sz w:val="28"/>
          <w:szCs w:val="28"/>
        </w:rPr>
      </w:pPr>
      <w:r w:rsidRPr="00520861">
        <w:rPr>
          <w:sz w:val="28"/>
          <w:szCs w:val="28"/>
        </w:rPr>
        <w:t xml:space="preserve">Доведено, що аномалії м’яких тканин ротової порожнини асоційовані з </w:t>
      </w:r>
      <w:proofErr w:type="spellStart"/>
      <w:r w:rsidRPr="00520861">
        <w:rPr>
          <w:sz w:val="28"/>
          <w:szCs w:val="28"/>
        </w:rPr>
        <w:t>макросомією</w:t>
      </w:r>
      <w:proofErr w:type="spellEnd"/>
      <w:r w:rsidRPr="00520861">
        <w:rPr>
          <w:sz w:val="28"/>
          <w:szCs w:val="28"/>
        </w:rPr>
        <w:t xml:space="preserve"> плода. Більшість із зафіксованих аномалій може свідчити про наявність у </w:t>
      </w:r>
      <w:r w:rsidR="00DD4C1A" w:rsidRPr="00520861">
        <w:rPr>
          <w:sz w:val="28"/>
          <w:szCs w:val="28"/>
        </w:rPr>
        <w:br/>
      </w:r>
      <w:proofErr w:type="spellStart"/>
      <w:r w:rsidRPr="00520861">
        <w:rPr>
          <w:sz w:val="28"/>
          <w:szCs w:val="28"/>
        </w:rPr>
        <w:t>макросомів</w:t>
      </w:r>
      <w:proofErr w:type="spellEnd"/>
      <w:r w:rsidRPr="00520861">
        <w:rPr>
          <w:sz w:val="28"/>
          <w:szCs w:val="28"/>
        </w:rPr>
        <w:t xml:space="preserve"> </w:t>
      </w:r>
      <w:proofErr w:type="spellStart"/>
      <w:r w:rsidRPr="00520861">
        <w:rPr>
          <w:sz w:val="28"/>
          <w:szCs w:val="28"/>
        </w:rPr>
        <w:t>дисплазії</w:t>
      </w:r>
      <w:proofErr w:type="spellEnd"/>
      <w:r w:rsidRPr="00520861">
        <w:rPr>
          <w:sz w:val="28"/>
          <w:szCs w:val="28"/>
        </w:rPr>
        <w:t xml:space="preserve"> сполучної тканини.</w:t>
      </w:r>
    </w:p>
    <w:p w14:paraId="65B367CD" w14:textId="77777777" w:rsidR="007F6CA8" w:rsidRPr="00520861" w:rsidRDefault="007F6CA8" w:rsidP="00400F35">
      <w:pPr>
        <w:widowControl w:val="0"/>
        <w:spacing w:line="360" w:lineRule="auto"/>
        <w:ind w:firstLine="709"/>
        <w:jc w:val="both"/>
        <w:rPr>
          <w:sz w:val="28"/>
          <w:szCs w:val="28"/>
        </w:rPr>
      </w:pPr>
      <w:r w:rsidRPr="00520861">
        <w:rPr>
          <w:rFonts w:eastAsia="Calibri"/>
          <w:sz w:val="28"/>
          <w:szCs w:val="28"/>
          <w:lang w:eastAsia="en-US"/>
        </w:rPr>
        <w:t xml:space="preserve">Встановлено, що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мають вірогідно (</w:t>
      </w:r>
      <w:r w:rsidR="00933755" w:rsidRPr="00520861">
        <w:rPr>
          <w:rFonts w:eastAsia="Calibri"/>
          <w:i/>
          <w:sz w:val="28"/>
          <w:szCs w:val="28"/>
          <w:lang w:eastAsia="en-US"/>
        </w:rPr>
        <w:t>p</w:t>
      </w:r>
      <w:r w:rsidR="00CD7533" w:rsidRPr="00520861">
        <w:rPr>
          <w:rFonts w:eastAsia="Calibri"/>
          <w:sz w:val="28"/>
          <w:szCs w:val="28"/>
          <w:lang w:eastAsia="en-US"/>
        </w:rPr>
        <w:t>&lt;</w:t>
      </w:r>
      <w:r w:rsidRPr="00520861">
        <w:rPr>
          <w:rFonts w:eastAsia="Calibri"/>
          <w:sz w:val="28"/>
          <w:szCs w:val="28"/>
          <w:lang w:eastAsia="en-US"/>
        </w:rPr>
        <w:t xml:space="preserve">0,05) більшу процентну </w:t>
      </w:r>
      <w:r w:rsidR="00636A3E" w:rsidRPr="00520861">
        <w:rPr>
          <w:rFonts w:eastAsia="Calibri"/>
          <w:sz w:val="28"/>
          <w:szCs w:val="28"/>
          <w:lang w:eastAsia="en-US"/>
        </w:rPr>
        <w:br/>
      </w:r>
      <w:r w:rsidRPr="00520861">
        <w:rPr>
          <w:rFonts w:eastAsia="Calibri"/>
          <w:sz w:val="28"/>
          <w:szCs w:val="28"/>
          <w:lang w:eastAsia="en-US"/>
        </w:rPr>
        <w:t xml:space="preserve">кількість </w:t>
      </w:r>
      <w:proofErr w:type="spellStart"/>
      <w:r w:rsidRPr="00520861">
        <w:rPr>
          <w:rFonts w:eastAsia="Calibri"/>
          <w:sz w:val="28"/>
          <w:szCs w:val="28"/>
          <w:lang w:eastAsia="en-US"/>
        </w:rPr>
        <w:t>зубощелепних</w:t>
      </w:r>
      <w:proofErr w:type="spellEnd"/>
      <w:r w:rsidRPr="00520861">
        <w:rPr>
          <w:rFonts w:eastAsia="Calibri"/>
          <w:sz w:val="28"/>
          <w:szCs w:val="28"/>
          <w:lang w:eastAsia="en-US"/>
        </w:rPr>
        <w:t xml:space="preserve"> аномалій порівняно із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відповідного віку. </w:t>
      </w:r>
      <w:r w:rsidR="00636A3E" w:rsidRPr="00520861">
        <w:rPr>
          <w:rFonts w:eastAsia="Calibri"/>
          <w:sz w:val="28"/>
          <w:szCs w:val="28"/>
          <w:lang w:eastAsia="en-US"/>
        </w:rPr>
        <w:br/>
      </w:r>
      <w:r w:rsidRPr="00520861">
        <w:rPr>
          <w:rFonts w:eastAsia="Calibri"/>
          <w:sz w:val="28"/>
          <w:szCs w:val="28"/>
          <w:lang w:eastAsia="en-US"/>
        </w:rPr>
        <w:t>У пере</w:t>
      </w:r>
      <w:r w:rsidR="00833A6E" w:rsidRPr="00520861">
        <w:rPr>
          <w:rFonts w:eastAsia="Calibri"/>
          <w:sz w:val="28"/>
          <w:szCs w:val="28"/>
          <w:lang w:eastAsia="en-US"/>
        </w:rPr>
        <w:t xml:space="preserve">важної більшості </w:t>
      </w:r>
      <w:proofErr w:type="spellStart"/>
      <w:r w:rsidR="00833A6E" w:rsidRPr="00520861">
        <w:rPr>
          <w:rFonts w:eastAsia="Calibri"/>
          <w:sz w:val="28"/>
          <w:szCs w:val="28"/>
          <w:lang w:eastAsia="en-US"/>
        </w:rPr>
        <w:t>макросомів</w:t>
      </w:r>
      <w:proofErr w:type="spellEnd"/>
      <w:r w:rsidRPr="00520861">
        <w:rPr>
          <w:rFonts w:eastAsia="Calibri"/>
          <w:sz w:val="28"/>
          <w:szCs w:val="28"/>
          <w:lang w:eastAsia="en-US"/>
        </w:rPr>
        <w:t xml:space="preserve"> спостерігаються ознаки вертикального типу щелепного росту, у більшості з них виявлені порушення росту щелеп по </w:t>
      </w:r>
      <w:proofErr w:type="spellStart"/>
      <w:r w:rsidRPr="00520861">
        <w:rPr>
          <w:rFonts w:eastAsia="Calibri"/>
          <w:sz w:val="28"/>
          <w:szCs w:val="28"/>
          <w:lang w:eastAsia="en-US"/>
        </w:rPr>
        <w:t>сагіталі</w:t>
      </w:r>
      <w:proofErr w:type="spellEnd"/>
      <w:r w:rsidRPr="00520861">
        <w:rPr>
          <w:rFonts w:eastAsia="Calibri"/>
          <w:sz w:val="28"/>
          <w:szCs w:val="28"/>
          <w:lang w:eastAsia="en-US"/>
        </w:rPr>
        <w:t>.</w:t>
      </w:r>
    </w:p>
    <w:p w14:paraId="2EA21896" w14:textId="77777777" w:rsidR="007F6CA8" w:rsidRPr="00520861" w:rsidRDefault="007F6CA8" w:rsidP="00400F35">
      <w:pPr>
        <w:widowControl w:val="0"/>
        <w:spacing w:line="360" w:lineRule="auto"/>
        <w:ind w:firstLine="709"/>
        <w:jc w:val="both"/>
        <w:rPr>
          <w:rFonts w:eastAsia="Calibri"/>
          <w:b/>
          <w:sz w:val="28"/>
          <w:szCs w:val="28"/>
          <w:lang w:eastAsia="en-US"/>
        </w:rPr>
      </w:pPr>
      <w:r w:rsidRPr="00520861">
        <w:rPr>
          <w:rFonts w:eastAsia="Calibri"/>
          <w:sz w:val="28"/>
          <w:szCs w:val="28"/>
          <w:lang w:eastAsia="en-US"/>
        </w:rPr>
        <w:t>Ретроспективне дослідження показало, що</w:t>
      </w:r>
      <w:r w:rsidRPr="00520861">
        <w:rPr>
          <w:rFonts w:eastAsia="Calibri"/>
          <w:i/>
          <w:sz w:val="28"/>
          <w:szCs w:val="28"/>
          <w:lang w:eastAsia="en-US"/>
        </w:rPr>
        <w:t xml:space="preserve"> </w:t>
      </w:r>
      <w:r w:rsidRPr="00520861">
        <w:rPr>
          <w:rFonts w:eastAsia="Calibri"/>
          <w:sz w:val="28"/>
          <w:szCs w:val="28"/>
          <w:lang w:eastAsia="en-US"/>
        </w:rPr>
        <w:t>вища процентна кількість випадків карієсу спостерігається в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порівняно з дітьми-</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w:t>
      </w:r>
    </w:p>
    <w:p w14:paraId="1B9608AA" w14:textId="77777777" w:rsidR="007F6CA8" w:rsidRPr="00520861" w:rsidRDefault="001A15E7" w:rsidP="00400F35">
      <w:pPr>
        <w:widowControl w:val="0"/>
        <w:spacing w:line="360" w:lineRule="auto"/>
        <w:ind w:firstLine="709"/>
        <w:jc w:val="both"/>
        <w:rPr>
          <w:spacing w:val="-1"/>
          <w:sz w:val="28"/>
          <w:szCs w:val="28"/>
        </w:rPr>
      </w:pPr>
      <w:r w:rsidRPr="00520861">
        <w:rPr>
          <w:rFonts w:eastAsia="Calibri"/>
          <w:spacing w:val="-1"/>
          <w:sz w:val="28"/>
          <w:szCs w:val="28"/>
          <w:lang w:eastAsia="en-US"/>
        </w:rPr>
        <w:t xml:space="preserve">У результаті </w:t>
      </w:r>
      <w:r w:rsidR="007F6CA8" w:rsidRPr="00520861">
        <w:rPr>
          <w:rFonts w:eastAsia="Calibri"/>
          <w:spacing w:val="-1"/>
          <w:sz w:val="28"/>
          <w:szCs w:val="28"/>
          <w:lang w:eastAsia="en-US"/>
        </w:rPr>
        <w:t>клінічного стоматологічного обстеження виявлено, що в період т</w:t>
      </w:r>
      <w:r w:rsidR="00E5024D" w:rsidRPr="00520861">
        <w:rPr>
          <w:rFonts w:eastAsia="Calibri"/>
          <w:spacing w:val="-1"/>
          <w:sz w:val="28"/>
          <w:szCs w:val="28"/>
          <w:lang w:eastAsia="en-US"/>
        </w:rPr>
        <w:t xml:space="preserve">имчасового прикусу у </w:t>
      </w:r>
      <w:proofErr w:type="spellStart"/>
      <w:r w:rsidR="00E5024D" w:rsidRPr="00520861">
        <w:rPr>
          <w:rFonts w:eastAsia="Calibri"/>
          <w:spacing w:val="-1"/>
          <w:sz w:val="28"/>
          <w:szCs w:val="28"/>
          <w:lang w:eastAsia="en-US"/>
        </w:rPr>
        <w:t>макросомів</w:t>
      </w:r>
      <w:proofErr w:type="spellEnd"/>
      <w:r w:rsidR="007F6CA8" w:rsidRPr="00520861">
        <w:rPr>
          <w:rFonts w:eastAsia="Calibri"/>
          <w:spacing w:val="-1"/>
          <w:sz w:val="28"/>
          <w:szCs w:val="28"/>
          <w:lang w:eastAsia="en-US"/>
        </w:rPr>
        <w:t xml:space="preserve"> фіксується вірогідно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007F6CA8" w:rsidRPr="00520861">
        <w:rPr>
          <w:rFonts w:eastAsia="Calibri"/>
          <w:spacing w:val="-1"/>
          <w:sz w:val="28"/>
          <w:szCs w:val="28"/>
          <w:lang w:eastAsia="en-US"/>
        </w:rPr>
        <w:t xml:space="preserve">) вищий показник інтенсивності карієсу зубів, ніж у </w:t>
      </w:r>
      <w:proofErr w:type="spellStart"/>
      <w:r w:rsidR="007F6CA8" w:rsidRPr="00520861">
        <w:rPr>
          <w:rFonts w:eastAsia="Calibri"/>
          <w:spacing w:val="-1"/>
          <w:sz w:val="28"/>
          <w:szCs w:val="28"/>
          <w:lang w:eastAsia="en-US"/>
        </w:rPr>
        <w:t>нормосомів</w:t>
      </w:r>
      <w:proofErr w:type="spellEnd"/>
      <w:r w:rsidR="007F6CA8" w:rsidRPr="00520861">
        <w:rPr>
          <w:rFonts w:eastAsia="Calibri"/>
          <w:spacing w:val="-1"/>
          <w:sz w:val="28"/>
          <w:szCs w:val="28"/>
          <w:lang w:eastAsia="en-US"/>
        </w:rPr>
        <w:t>. Найнижчі значення цього показника були зафіксован</w:t>
      </w:r>
      <w:r w:rsidR="00612F28" w:rsidRPr="00520861">
        <w:rPr>
          <w:rFonts w:eastAsia="Calibri"/>
          <w:spacing w:val="-1"/>
          <w:sz w:val="28"/>
          <w:szCs w:val="28"/>
          <w:lang w:eastAsia="en-US"/>
        </w:rPr>
        <w:t xml:space="preserve">і у </w:t>
      </w:r>
      <w:proofErr w:type="spellStart"/>
      <w:r w:rsidR="00612F28" w:rsidRPr="00520861">
        <w:rPr>
          <w:rFonts w:eastAsia="Calibri"/>
          <w:spacing w:val="-1"/>
          <w:sz w:val="28"/>
          <w:szCs w:val="28"/>
          <w:lang w:eastAsia="en-US"/>
        </w:rPr>
        <w:t>макросомів</w:t>
      </w:r>
      <w:proofErr w:type="spellEnd"/>
      <w:r w:rsidR="00612F28" w:rsidRPr="00520861">
        <w:rPr>
          <w:rFonts w:eastAsia="Calibri"/>
          <w:spacing w:val="-1"/>
          <w:sz w:val="28"/>
          <w:szCs w:val="28"/>
          <w:lang w:eastAsia="en-US"/>
        </w:rPr>
        <w:t xml:space="preserve">, які народилися </w:t>
      </w:r>
      <w:r w:rsidR="007F6CA8" w:rsidRPr="00520861">
        <w:rPr>
          <w:rFonts w:eastAsia="Calibri"/>
          <w:spacing w:val="-1"/>
          <w:sz w:val="28"/>
          <w:szCs w:val="28"/>
          <w:lang w:eastAsia="en-US"/>
        </w:rPr>
        <w:t>з внутрішньоутробним ожирінням на фоні акселерації. У період змінного прикусу вірогідно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007F6CA8" w:rsidRPr="00520861">
        <w:rPr>
          <w:rFonts w:eastAsia="Calibri"/>
          <w:spacing w:val="-1"/>
          <w:sz w:val="28"/>
          <w:szCs w:val="28"/>
          <w:lang w:eastAsia="en-US"/>
        </w:rPr>
        <w:t xml:space="preserve">) вищі значення показників карієсу були зафіксовані у </w:t>
      </w:r>
      <w:proofErr w:type="spellStart"/>
      <w:r w:rsidR="007F6CA8" w:rsidRPr="00520861">
        <w:rPr>
          <w:rFonts w:eastAsia="Calibri"/>
          <w:spacing w:val="-1"/>
          <w:sz w:val="28"/>
          <w:szCs w:val="28"/>
          <w:lang w:eastAsia="en-US"/>
        </w:rPr>
        <w:t>макросомів</w:t>
      </w:r>
      <w:proofErr w:type="spellEnd"/>
      <w:r w:rsidR="007F6CA8" w:rsidRPr="00520861">
        <w:rPr>
          <w:rFonts w:eastAsia="Calibri"/>
          <w:spacing w:val="-1"/>
          <w:sz w:val="28"/>
          <w:szCs w:val="28"/>
          <w:lang w:eastAsia="en-US"/>
        </w:rPr>
        <w:t xml:space="preserve"> із внутрішньоутробним ожирінням та середньою довжиною тіла. У період постійного прикусу значення показників інтенсивності карієсу на рівні контрольних були зафіксовані у </w:t>
      </w:r>
      <w:proofErr w:type="spellStart"/>
      <w:r w:rsidR="007F6CA8" w:rsidRPr="00520861">
        <w:rPr>
          <w:rFonts w:eastAsia="Calibri"/>
          <w:spacing w:val="-1"/>
          <w:sz w:val="28"/>
          <w:szCs w:val="28"/>
          <w:lang w:eastAsia="en-US"/>
        </w:rPr>
        <w:t>макросомів</w:t>
      </w:r>
      <w:proofErr w:type="spellEnd"/>
      <w:r w:rsidR="007F6CA8" w:rsidRPr="00520861">
        <w:rPr>
          <w:rFonts w:eastAsia="Calibri"/>
          <w:spacing w:val="-1"/>
          <w:sz w:val="28"/>
          <w:szCs w:val="28"/>
          <w:lang w:eastAsia="en-US"/>
        </w:rPr>
        <w:t xml:space="preserve"> із гармонійним </w:t>
      </w:r>
      <w:r w:rsidR="00380C08" w:rsidRPr="00520861">
        <w:rPr>
          <w:rFonts w:eastAsia="Calibri"/>
          <w:spacing w:val="-1"/>
          <w:sz w:val="28"/>
          <w:szCs w:val="28"/>
          <w:lang w:eastAsia="en-US"/>
        </w:rPr>
        <w:br/>
      </w:r>
      <w:r w:rsidR="007F6CA8" w:rsidRPr="00520861">
        <w:rPr>
          <w:rFonts w:eastAsia="Calibri"/>
          <w:spacing w:val="-1"/>
          <w:sz w:val="28"/>
          <w:szCs w:val="28"/>
          <w:lang w:eastAsia="en-US"/>
        </w:rPr>
        <w:t>внутрішньоутробним розвитком. Найвищі значення показників карієсу були зафі</w:t>
      </w:r>
      <w:r w:rsidR="00612F28" w:rsidRPr="00520861">
        <w:rPr>
          <w:rFonts w:eastAsia="Calibri"/>
          <w:spacing w:val="-1"/>
          <w:sz w:val="28"/>
          <w:szCs w:val="28"/>
          <w:lang w:eastAsia="en-US"/>
        </w:rPr>
        <w:t xml:space="preserve">ксовані в осіб, які народилися </w:t>
      </w:r>
      <w:r w:rsidR="007F6CA8" w:rsidRPr="00520861">
        <w:rPr>
          <w:rFonts w:eastAsia="Calibri"/>
          <w:spacing w:val="-1"/>
          <w:sz w:val="28"/>
          <w:szCs w:val="28"/>
          <w:lang w:eastAsia="en-US"/>
        </w:rPr>
        <w:t xml:space="preserve">з внутрішньоутробним ожирінням. Отже, </w:t>
      </w:r>
      <w:r w:rsidR="007F6CA8" w:rsidRPr="00520861">
        <w:rPr>
          <w:spacing w:val="-1"/>
          <w:sz w:val="28"/>
          <w:szCs w:val="28"/>
        </w:rPr>
        <w:t xml:space="preserve">прогноз щодо каріозного ураження у </w:t>
      </w:r>
      <w:proofErr w:type="spellStart"/>
      <w:r w:rsidR="007F6CA8" w:rsidRPr="00520861">
        <w:rPr>
          <w:spacing w:val="-1"/>
          <w:sz w:val="28"/>
          <w:szCs w:val="28"/>
        </w:rPr>
        <w:t>макросомів</w:t>
      </w:r>
      <w:proofErr w:type="spellEnd"/>
      <w:r w:rsidR="007F6CA8" w:rsidRPr="00520861">
        <w:rPr>
          <w:spacing w:val="-1"/>
          <w:sz w:val="28"/>
          <w:szCs w:val="28"/>
        </w:rPr>
        <w:t xml:space="preserve"> є більш сприятливим для осіб, які не мали </w:t>
      </w:r>
      <w:r w:rsidR="00380C08" w:rsidRPr="00520861">
        <w:rPr>
          <w:spacing w:val="-1"/>
          <w:sz w:val="28"/>
          <w:szCs w:val="28"/>
        </w:rPr>
        <w:br/>
      </w:r>
      <w:r w:rsidR="007F6CA8" w:rsidRPr="00520861">
        <w:rPr>
          <w:rFonts w:eastAsia="Calibri"/>
          <w:spacing w:val="-1"/>
          <w:sz w:val="28"/>
          <w:szCs w:val="28"/>
          <w:lang w:eastAsia="en-US"/>
        </w:rPr>
        <w:t>внутрішньоутробного</w:t>
      </w:r>
      <w:r w:rsidR="007F6CA8" w:rsidRPr="00520861">
        <w:rPr>
          <w:spacing w:val="-1"/>
          <w:sz w:val="28"/>
          <w:szCs w:val="28"/>
        </w:rPr>
        <w:t xml:space="preserve"> ожиріння, ніж для осіб, які його мали.</w:t>
      </w:r>
    </w:p>
    <w:p w14:paraId="65D710E3" w14:textId="77777777" w:rsidR="007F6CA8" w:rsidRPr="00520861" w:rsidRDefault="007F6CA8" w:rsidP="00400F35">
      <w:pPr>
        <w:widowControl w:val="0"/>
        <w:spacing w:line="360" w:lineRule="auto"/>
        <w:ind w:firstLine="709"/>
        <w:jc w:val="both"/>
        <w:rPr>
          <w:rFonts w:eastAsia="Calibri"/>
          <w:spacing w:val="-6"/>
          <w:sz w:val="28"/>
          <w:szCs w:val="28"/>
          <w:lang w:eastAsia="en-US"/>
        </w:rPr>
      </w:pPr>
      <w:proofErr w:type="spellStart"/>
      <w:r w:rsidRPr="00520861">
        <w:rPr>
          <w:rFonts w:eastAsia="Calibri"/>
          <w:spacing w:val="-6"/>
          <w:sz w:val="28"/>
          <w:szCs w:val="28"/>
          <w:lang w:eastAsia="en-US"/>
        </w:rPr>
        <w:t>Макросоми</w:t>
      </w:r>
      <w:proofErr w:type="spellEnd"/>
      <w:r w:rsidRPr="00520861">
        <w:rPr>
          <w:rFonts w:eastAsia="Calibri"/>
          <w:spacing w:val="-6"/>
          <w:sz w:val="28"/>
          <w:szCs w:val="28"/>
          <w:lang w:eastAsia="en-US"/>
        </w:rPr>
        <w:t xml:space="preserve">, мають зменшену кількість малих слинних залоз на одиницю площі, порівняно із </w:t>
      </w:r>
      <w:proofErr w:type="spellStart"/>
      <w:r w:rsidRPr="00520861">
        <w:rPr>
          <w:rFonts w:eastAsia="Calibri"/>
          <w:spacing w:val="-6"/>
          <w:sz w:val="28"/>
          <w:szCs w:val="28"/>
          <w:lang w:eastAsia="en-US"/>
        </w:rPr>
        <w:t>нормосомами</w:t>
      </w:r>
      <w:proofErr w:type="spellEnd"/>
      <w:r w:rsidRPr="00520861">
        <w:rPr>
          <w:rFonts w:eastAsia="Calibri"/>
          <w:spacing w:val="-6"/>
          <w:sz w:val="28"/>
          <w:szCs w:val="28"/>
          <w:lang w:eastAsia="en-US"/>
        </w:rPr>
        <w:t xml:space="preserve">, секреція цих залоз у </w:t>
      </w:r>
      <w:proofErr w:type="spellStart"/>
      <w:r w:rsidRPr="00520861">
        <w:rPr>
          <w:rFonts w:eastAsia="Calibri"/>
          <w:spacing w:val="-6"/>
          <w:sz w:val="28"/>
          <w:szCs w:val="28"/>
          <w:lang w:eastAsia="en-US"/>
        </w:rPr>
        <w:t>макросомів</w:t>
      </w:r>
      <w:proofErr w:type="spellEnd"/>
      <w:r w:rsidRPr="00520861">
        <w:rPr>
          <w:rFonts w:eastAsia="Calibri"/>
          <w:spacing w:val="-6"/>
          <w:sz w:val="28"/>
          <w:szCs w:val="28"/>
          <w:lang w:eastAsia="en-US"/>
        </w:rPr>
        <w:t xml:space="preserve"> також вірогідно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Pr="00520861">
        <w:rPr>
          <w:rFonts w:eastAsia="Calibri"/>
          <w:spacing w:val="-6"/>
          <w:sz w:val="28"/>
          <w:szCs w:val="28"/>
          <w:lang w:eastAsia="en-US"/>
        </w:rPr>
        <w:t xml:space="preserve">) </w:t>
      </w:r>
      <w:r w:rsidR="00380C08" w:rsidRPr="00520861">
        <w:rPr>
          <w:rFonts w:eastAsia="Calibri"/>
          <w:spacing w:val="-6"/>
          <w:sz w:val="28"/>
          <w:szCs w:val="28"/>
          <w:lang w:eastAsia="en-US"/>
        </w:rPr>
        <w:br/>
      </w:r>
      <w:r w:rsidRPr="00520861">
        <w:rPr>
          <w:rFonts w:eastAsia="Calibri"/>
          <w:spacing w:val="-6"/>
          <w:sz w:val="28"/>
          <w:szCs w:val="28"/>
          <w:lang w:eastAsia="en-US"/>
        </w:rPr>
        <w:t xml:space="preserve">зменшена. </w:t>
      </w:r>
    </w:p>
    <w:p w14:paraId="06AFB7F9" w14:textId="77777777" w:rsidR="007F6CA8" w:rsidRPr="00520861" w:rsidRDefault="006A3743" w:rsidP="00292D2E">
      <w:pPr>
        <w:widowControl w:val="0"/>
        <w:spacing w:line="360" w:lineRule="auto"/>
        <w:ind w:right="-1" w:firstLine="709"/>
        <w:jc w:val="both"/>
        <w:rPr>
          <w:rFonts w:eastAsia="Calibri"/>
          <w:sz w:val="28"/>
          <w:szCs w:val="28"/>
          <w:lang w:eastAsia="en-US"/>
        </w:rPr>
      </w:pPr>
      <w:r w:rsidRPr="00520861">
        <w:rPr>
          <w:sz w:val="28"/>
          <w:szCs w:val="28"/>
        </w:rPr>
        <w:t>Установлено, що</w:t>
      </w:r>
      <w:r w:rsidR="007F6CA8" w:rsidRPr="00520861">
        <w:rPr>
          <w:sz w:val="28"/>
          <w:szCs w:val="28"/>
        </w:rPr>
        <w:t xml:space="preserve"> порушення у пренатальному періоді, пов’язані з внутрішньоутробним ожирінням, у </w:t>
      </w:r>
      <w:proofErr w:type="spellStart"/>
      <w:r w:rsidR="007F6CA8" w:rsidRPr="00520861">
        <w:rPr>
          <w:sz w:val="28"/>
          <w:szCs w:val="28"/>
        </w:rPr>
        <w:t>макросомів</w:t>
      </w:r>
      <w:proofErr w:type="spellEnd"/>
      <w:r w:rsidR="007F6CA8" w:rsidRPr="00520861">
        <w:rPr>
          <w:sz w:val="28"/>
          <w:szCs w:val="28"/>
        </w:rPr>
        <w:t xml:space="preserve"> в онтогенезі у переважної кількості осіб дорослого віку викликають зміни в порожнині рота, які супроводжуються деструкцією тканин </w:t>
      </w:r>
      <w:proofErr w:type="spellStart"/>
      <w:r w:rsidR="007F6CA8" w:rsidRPr="00520861">
        <w:rPr>
          <w:sz w:val="28"/>
          <w:szCs w:val="28"/>
        </w:rPr>
        <w:t>пародонта</w:t>
      </w:r>
      <w:proofErr w:type="spellEnd"/>
      <w:r w:rsidR="007F6CA8" w:rsidRPr="00520861">
        <w:rPr>
          <w:sz w:val="28"/>
          <w:szCs w:val="28"/>
        </w:rPr>
        <w:t xml:space="preserve"> з превалюванням незапального компонента та проявляються атрофією </w:t>
      </w:r>
      <w:r w:rsidR="007F6CA8" w:rsidRPr="00520861">
        <w:rPr>
          <w:sz w:val="28"/>
          <w:szCs w:val="28"/>
        </w:rPr>
        <w:lastRenderedPageBreak/>
        <w:t>альвеолярних відростків, рецесією ясен, супроводжуються появою клиноподібних дефектів. У таких осіб вірогідно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007F6CA8" w:rsidRPr="00520861">
        <w:rPr>
          <w:sz w:val="28"/>
          <w:szCs w:val="28"/>
        </w:rPr>
        <w:t xml:space="preserve">) зменшена оптична щільність кортикального шару кісткової тканини щелеп порівняно з </w:t>
      </w:r>
      <w:proofErr w:type="spellStart"/>
      <w:r w:rsidR="007F6CA8" w:rsidRPr="00520861">
        <w:rPr>
          <w:sz w:val="28"/>
          <w:szCs w:val="28"/>
        </w:rPr>
        <w:t>нормосомами</w:t>
      </w:r>
      <w:proofErr w:type="spellEnd"/>
      <w:r w:rsidR="007F6CA8" w:rsidRPr="00520861">
        <w:rPr>
          <w:sz w:val="28"/>
          <w:szCs w:val="28"/>
        </w:rPr>
        <w:t>.</w:t>
      </w:r>
      <w:r w:rsidR="007F6CA8" w:rsidRPr="00520861">
        <w:rPr>
          <w:rFonts w:eastAsia="Calibri"/>
          <w:sz w:val="28"/>
          <w:szCs w:val="28"/>
          <w:lang w:eastAsia="en-US"/>
        </w:rPr>
        <w:t xml:space="preserve"> </w:t>
      </w:r>
      <w:r w:rsidR="007F6CA8" w:rsidRPr="00520861">
        <w:rPr>
          <w:sz w:val="28"/>
          <w:szCs w:val="28"/>
        </w:rPr>
        <w:t xml:space="preserve">Збалансований </w:t>
      </w:r>
      <w:r w:rsidR="00DD4C1A" w:rsidRPr="00520861">
        <w:rPr>
          <w:sz w:val="28"/>
          <w:szCs w:val="28"/>
        </w:rPr>
        <w:br/>
      </w:r>
      <w:r w:rsidR="007F6CA8" w:rsidRPr="00520861">
        <w:rPr>
          <w:sz w:val="28"/>
          <w:szCs w:val="28"/>
        </w:rPr>
        <w:t xml:space="preserve">внутрішньоутробний розвиток та відносна внутрішньоутробна недостатність маси тіла в </w:t>
      </w:r>
      <w:proofErr w:type="spellStart"/>
      <w:r w:rsidR="007F6CA8" w:rsidRPr="00520861">
        <w:rPr>
          <w:sz w:val="28"/>
          <w:szCs w:val="28"/>
        </w:rPr>
        <w:t>макросомів</w:t>
      </w:r>
      <w:proofErr w:type="spellEnd"/>
      <w:r w:rsidR="007F6CA8" w:rsidRPr="00520861">
        <w:rPr>
          <w:sz w:val="28"/>
          <w:szCs w:val="28"/>
        </w:rPr>
        <w:t xml:space="preserve"> у подальшому житті переважно реалізується змінами тканин </w:t>
      </w:r>
      <w:r w:rsidR="00DD4C1A" w:rsidRPr="00520861">
        <w:rPr>
          <w:sz w:val="28"/>
          <w:szCs w:val="28"/>
        </w:rPr>
        <w:br/>
      </w:r>
      <w:proofErr w:type="spellStart"/>
      <w:r w:rsidR="007F6CA8" w:rsidRPr="00520861">
        <w:rPr>
          <w:sz w:val="28"/>
          <w:szCs w:val="28"/>
        </w:rPr>
        <w:t>пародонта</w:t>
      </w:r>
      <w:proofErr w:type="spellEnd"/>
      <w:r w:rsidR="007F6CA8" w:rsidRPr="00520861">
        <w:rPr>
          <w:sz w:val="28"/>
          <w:szCs w:val="28"/>
        </w:rPr>
        <w:t xml:space="preserve"> із превалюванням запального компонента та вірогідно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007F6CA8" w:rsidRPr="00520861">
        <w:rPr>
          <w:sz w:val="28"/>
          <w:szCs w:val="28"/>
        </w:rPr>
        <w:t xml:space="preserve">) зниженою оптичною щільністю </w:t>
      </w:r>
      <w:proofErr w:type="spellStart"/>
      <w:r w:rsidR="007F6CA8" w:rsidRPr="00520861">
        <w:rPr>
          <w:sz w:val="28"/>
          <w:szCs w:val="28"/>
        </w:rPr>
        <w:t>трабекулярної</w:t>
      </w:r>
      <w:proofErr w:type="spellEnd"/>
      <w:r w:rsidR="007F6CA8" w:rsidRPr="00520861">
        <w:rPr>
          <w:sz w:val="28"/>
          <w:szCs w:val="28"/>
        </w:rPr>
        <w:t xml:space="preserve"> тканини кісток щелеп.</w:t>
      </w:r>
    </w:p>
    <w:p w14:paraId="1E318754" w14:textId="77777777" w:rsidR="007F6CA8" w:rsidRPr="00520861" w:rsidRDefault="007F6CA8" w:rsidP="00292D2E">
      <w:pPr>
        <w:widowControl w:val="0"/>
        <w:spacing w:line="360" w:lineRule="auto"/>
        <w:ind w:right="-1" w:firstLine="709"/>
        <w:jc w:val="both"/>
        <w:rPr>
          <w:spacing w:val="-2"/>
          <w:sz w:val="28"/>
          <w:szCs w:val="28"/>
        </w:rPr>
      </w:pPr>
      <w:r w:rsidRPr="00520861">
        <w:rPr>
          <w:sz w:val="28"/>
          <w:szCs w:val="28"/>
        </w:rPr>
        <w:t xml:space="preserve">Уперше проведено комплексне клініко-лабораторне дослідження імунологічних та значного спектра метаболічних показників, а також фізико-хімічних параметрів </w:t>
      </w:r>
      <w:r w:rsidRPr="00520861">
        <w:rPr>
          <w:rFonts w:eastAsia="Calibri"/>
          <w:sz w:val="28"/>
          <w:szCs w:val="28"/>
          <w:lang w:eastAsia="en-US"/>
        </w:rPr>
        <w:t xml:space="preserve">нестимульованої </w:t>
      </w:r>
      <w:r w:rsidRPr="00520861">
        <w:rPr>
          <w:sz w:val="28"/>
          <w:szCs w:val="28"/>
        </w:rPr>
        <w:t xml:space="preserve">ротової рідини й аргументовано інформативність оцінювання за ними стану організму, зокрема – </w:t>
      </w:r>
      <w:proofErr w:type="spellStart"/>
      <w:r w:rsidRPr="00520861">
        <w:rPr>
          <w:sz w:val="28"/>
          <w:szCs w:val="28"/>
        </w:rPr>
        <w:t>зубощелепного</w:t>
      </w:r>
      <w:proofErr w:type="spellEnd"/>
      <w:r w:rsidRPr="00520861">
        <w:rPr>
          <w:sz w:val="28"/>
          <w:szCs w:val="28"/>
        </w:rPr>
        <w:t xml:space="preserve"> апарату. </w:t>
      </w:r>
      <w:r w:rsidRPr="00520861">
        <w:rPr>
          <w:rFonts w:eastAsia="Calibri"/>
          <w:sz w:val="28"/>
          <w:szCs w:val="28"/>
          <w:lang w:eastAsia="en-US"/>
        </w:rPr>
        <w:t xml:space="preserve">Зміни показників </w:t>
      </w:r>
      <w:r w:rsidR="00380C08" w:rsidRPr="00520861">
        <w:rPr>
          <w:rFonts w:eastAsia="Calibri"/>
          <w:sz w:val="28"/>
          <w:szCs w:val="28"/>
          <w:lang w:eastAsia="en-US"/>
        </w:rPr>
        <w:br/>
      </w:r>
      <w:proofErr w:type="spellStart"/>
      <w:r w:rsidRPr="00520861">
        <w:rPr>
          <w:rFonts w:eastAsia="Calibri"/>
          <w:sz w:val="28"/>
          <w:szCs w:val="28"/>
          <w:lang w:eastAsia="en-US"/>
        </w:rPr>
        <w:t>фосфорно</w:t>
      </w:r>
      <w:proofErr w:type="spellEnd"/>
      <w:r w:rsidRPr="00520861">
        <w:rPr>
          <w:rFonts w:eastAsia="Calibri"/>
          <w:sz w:val="28"/>
          <w:szCs w:val="28"/>
          <w:lang w:eastAsia="en-US"/>
        </w:rPr>
        <w:t xml:space="preserve">-кальцієвого обміну та активності лужної фосфатази ротової рідини </w:t>
      </w:r>
      <w:r w:rsidRPr="00520861">
        <w:rPr>
          <w:rFonts w:eastAsia="Calibri"/>
          <w:spacing w:val="-2"/>
          <w:sz w:val="28"/>
          <w:szCs w:val="28"/>
          <w:lang w:eastAsia="en-US"/>
        </w:rPr>
        <w:t xml:space="preserve">можна використовувати як маркери розвитку порушень </w:t>
      </w:r>
      <w:proofErr w:type="spellStart"/>
      <w:r w:rsidRPr="00520861">
        <w:rPr>
          <w:rFonts w:eastAsia="Calibri"/>
          <w:spacing w:val="-2"/>
          <w:sz w:val="28"/>
          <w:szCs w:val="28"/>
          <w:lang w:eastAsia="en-US"/>
        </w:rPr>
        <w:t>зубощелепної</w:t>
      </w:r>
      <w:proofErr w:type="spellEnd"/>
      <w:r w:rsidRPr="00520861">
        <w:rPr>
          <w:rFonts w:eastAsia="Calibri"/>
          <w:spacing w:val="-2"/>
          <w:sz w:val="28"/>
          <w:szCs w:val="28"/>
          <w:lang w:eastAsia="en-US"/>
        </w:rPr>
        <w:t xml:space="preserve"> системи в </w:t>
      </w:r>
      <w:proofErr w:type="spellStart"/>
      <w:r w:rsidRPr="00520861">
        <w:rPr>
          <w:rFonts w:eastAsia="Calibri"/>
          <w:spacing w:val="-2"/>
          <w:sz w:val="28"/>
          <w:szCs w:val="28"/>
          <w:lang w:eastAsia="en-US"/>
        </w:rPr>
        <w:t>макросомів</w:t>
      </w:r>
      <w:proofErr w:type="spellEnd"/>
      <w:r w:rsidRPr="00520861">
        <w:rPr>
          <w:rFonts w:eastAsia="Calibri"/>
          <w:spacing w:val="-2"/>
          <w:sz w:val="28"/>
          <w:szCs w:val="28"/>
          <w:lang w:eastAsia="en-US"/>
        </w:rPr>
        <w:t xml:space="preserve"> </w:t>
      </w:r>
      <w:r w:rsidR="00612F28" w:rsidRPr="00520861">
        <w:rPr>
          <w:rFonts w:eastAsia="Calibri"/>
          <w:spacing w:val="-2"/>
          <w:sz w:val="28"/>
          <w:szCs w:val="28"/>
          <w:lang w:eastAsia="en-US"/>
        </w:rPr>
        <w:t>і</w:t>
      </w:r>
      <w:r w:rsidRPr="00520861">
        <w:rPr>
          <w:rFonts w:eastAsia="Calibri"/>
          <w:spacing w:val="-2"/>
          <w:sz w:val="28"/>
          <w:szCs w:val="28"/>
          <w:lang w:eastAsia="en-US"/>
        </w:rPr>
        <w:t>з урахуванням відмінностей їхніх антропометричних показників при народженні.</w:t>
      </w:r>
    </w:p>
    <w:p w14:paraId="6D215A02" w14:textId="77777777" w:rsidR="007F6CA8" w:rsidRPr="00520861" w:rsidRDefault="003F2E90" w:rsidP="00292D2E">
      <w:pPr>
        <w:widowControl w:val="0"/>
        <w:spacing w:line="360" w:lineRule="auto"/>
        <w:ind w:right="-1" w:firstLine="709"/>
        <w:jc w:val="both"/>
        <w:rPr>
          <w:sz w:val="28"/>
          <w:szCs w:val="28"/>
        </w:rPr>
      </w:pPr>
      <w:r w:rsidRPr="00520861">
        <w:rPr>
          <w:rFonts w:eastAsia="Calibri"/>
          <w:sz w:val="28"/>
          <w:szCs w:val="28"/>
          <w:lang w:eastAsia="en-US"/>
        </w:rPr>
        <w:t>Установлено</w:t>
      </w:r>
      <w:r w:rsidR="007F6CA8" w:rsidRPr="00520861">
        <w:rPr>
          <w:rFonts w:eastAsia="Calibri"/>
          <w:sz w:val="28"/>
          <w:szCs w:val="28"/>
          <w:lang w:eastAsia="en-US"/>
        </w:rPr>
        <w:t xml:space="preserve"> </w:t>
      </w:r>
      <w:r w:rsidR="007F6CA8" w:rsidRPr="00520861">
        <w:rPr>
          <w:sz w:val="28"/>
          <w:szCs w:val="28"/>
        </w:rPr>
        <w:t xml:space="preserve">взаємозв’язок між динамікою гуморальних факторів (уміст </w:t>
      </w:r>
      <w:proofErr w:type="spellStart"/>
      <w:r w:rsidR="007F6CA8" w:rsidRPr="00520861">
        <w:rPr>
          <w:sz w:val="28"/>
          <w:szCs w:val="28"/>
        </w:rPr>
        <w:t>лептину</w:t>
      </w:r>
      <w:proofErr w:type="spellEnd"/>
      <w:r w:rsidR="007F6CA8" w:rsidRPr="00520861">
        <w:rPr>
          <w:sz w:val="28"/>
          <w:szCs w:val="28"/>
        </w:rPr>
        <w:t xml:space="preserve">, </w:t>
      </w:r>
      <w:proofErr w:type="spellStart"/>
      <w:r w:rsidR="007F6CA8" w:rsidRPr="00520861">
        <w:rPr>
          <w:sz w:val="28"/>
          <w:szCs w:val="28"/>
        </w:rPr>
        <w:t>адипонектину</w:t>
      </w:r>
      <w:proofErr w:type="spellEnd"/>
      <w:r w:rsidR="007F6CA8" w:rsidRPr="00520861">
        <w:rPr>
          <w:sz w:val="28"/>
          <w:szCs w:val="28"/>
        </w:rPr>
        <w:t xml:space="preserve">, </w:t>
      </w:r>
      <w:proofErr w:type="spellStart"/>
      <w:r w:rsidR="007F6CA8" w:rsidRPr="00520861">
        <w:rPr>
          <w:sz w:val="28"/>
          <w:szCs w:val="28"/>
        </w:rPr>
        <w:t>кортизолу</w:t>
      </w:r>
      <w:proofErr w:type="spellEnd"/>
      <w:r w:rsidR="007F6CA8" w:rsidRPr="00520861">
        <w:rPr>
          <w:sz w:val="28"/>
          <w:szCs w:val="28"/>
        </w:rPr>
        <w:t xml:space="preserve">), секреторною активністю слинних залоз (активність α-амілази), показниками </w:t>
      </w:r>
      <w:proofErr w:type="spellStart"/>
      <w:r w:rsidR="007F6CA8" w:rsidRPr="00520861">
        <w:rPr>
          <w:sz w:val="28"/>
          <w:szCs w:val="28"/>
        </w:rPr>
        <w:t>антиоксидантно-прооксидантного</w:t>
      </w:r>
      <w:proofErr w:type="spellEnd"/>
      <w:r w:rsidR="007F6CA8" w:rsidRPr="00520861">
        <w:rPr>
          <w:sz w:val="28"/>
          <w:szCs w:val="28"/>
        </w:rPr>
        <w:t xml:space="preserve"> статусу (активність каталази, </w:t>
      </w:r>
      <w:proofErr w:type="spellStart"/>
      <w:r w:rsidR="007F6CA8" w:rsidRPr="00520861">
        <w:rPr>
          <w:sz w:val="28"/>
          <w:szCs w:val="28"/>
        </w:rPr>
        <w:t>супероксиддисмутази</w:t>
      </w:r>
      <w:proofErr w:type="spellEnd"/>
      <w:r w:rsidR="007F6CA8" w:rsidRPr="00520861">
        <w:rPr>
          <w:sz w:val="28"/>
          <w:szCs w:val="28"/>
        </w:rPr>
        <w:t xml:space="preserve"> та в</w:t>
      </w:r>
      <w:r w:rsidR="00F321CE" w:rsidRPr="00520861">
        <w:rPr>
          <w:sz w:val="28"/>
          <w:szCs w:val="28"/>
        </w:rPr>
        <w:t>міст продуктів,</w:t>
      </w:r>
      <w:r w:rsidR="00AF1C96" w:rsidRPr="00520861">
        <w:rPr>
          <w:sz w:val="28"/>
          <w:szCs w:val="28"/>
        </w:rPr>
        <w:t xml:space="preserve"> </w:t>
      </w:r>
      <w:r w:rsidR="00F321CE" w:rsidRPr="00520861">
        <w:rPr>
          <w:sz w:val="28"/>
          <w:szCs w:val="28"/>
        </w:rPr>
        <w:t xml:space="preserve">що вступають у реакцію </w:t>
      </w:r>
      <w:r w:rsidR="00AF1C96" w:rsidRPr="00520861">
        <w:rPr>
          <w:sz w:val="28"/>
          <w:szCs w:val="28"/>
        </w:rPr>
        <w:t xml:space="preserve">з </w:t>
      </w:r>
      <w:proofErr w:type="spellStart"/>
      <w:r w:rsidR="00AF1C96" w:rsidRPr="00520861">
        <w:rPr>
          <w:sz w:val="28"/>
          <w:szCs w:val="28"/>
        </w:rPr>
        <w:t>тіо</w:t>
      </w:r>
      <w:r w:rsidR="007F6CA8" w:rsidRPr="00520861">
        <w:rPr>
          <w:sz w:val="28"/>
          <w:szCs w:val="28"/>
        </w:rPr>
        <w:t>барбітуровою</w:t>
      </w:r>
      <w:proofErr w:type="spellEnd"/>
      <w:r w:rsidR="007F6CA8" w:rsidRPr="00520861">
        <w:rPr>
          <w:sz w:val="28"/>
          <w:szCs w:val="28"/>
        </w:rPr>
        <w:t xml:space="preserve"> кислотою), а також рівнями </w:t>
      </w:r>
      <w:proofErr w:type="spellStart"/>
      <w:r w:rsidR="007F6CA8" w:rsidRPr="00520861">
        <w:rPr>
          <w:sz w:val="28"/>
          <w:szCs w:val="28"/>
        </w:rPr>
        <w:t>прозапальних</w:t>
      </w:r>
      <w:proofErr w:type="spellEnd"/>
      <w:r w:rsidR="007F6CA8" w:rsidRPr="00520861">
        <w:rPr>
          <w:sz w:val="28"/>
          <w:szCs w:val="28"/>
        </w:rPr>
        <w:t xml:space="preserve"> цитокінів (інтерлейкін-6),</w:t>
      </w:r>
      <w:r w:rsidR="007F6CA8" w:rsidRPr="00520861">
        <w:rPr>
          <w:rFonts w:eastAsia="Calibri"/>
          <w:sz w:val="28"/>
          <w:szCs w:val="28"/>
          <w:lang w:eastAsia="en-US"/>
        </w:rPr>
        <w:t xml:space="preserve"> визначених </w:t>
      </w:r>
      <w:r w:rsidR="007F6CA8" w:rsidRPr="00520861">
        <w:rPr>
          <w:sz w:val="28"/>
          <w:szCs w:val="28"/>
        </w:rPr>
        <w:t xml:space="preserve">у ротовій рідині </w:t>
      </w:r>
      <w:proofErr w:type="spellStart"/>
      <w:r w:rsidR="007F6CA8" w:rsidRPr="00520861">
        <w:rPr>
          <w:sz w:val="28"/>
          <w:szCs w:val="28"/>
        </w:rPr>
        <w:t>макросомів</w:t>
      </w:r>
      <w:proofErr w:type="spellEnd"/>
      <w:r w:rsidR="007F6CA8" w:rsidRPr="00520861">
        <w:rPr>
          <w:sz w:val="28"/>
          <w:szCs w:val="28"/>
        </w:rPr>
        <w:t xml:space="preserve"> різного віку та інтенсивністю каріозного процесу в їхніх тимчасових і постійних зубах.</w:t>
      </w:r>
    </w:p>
    <w:p w14:paraId="3386FD48" w14:textId="77777777" w:rsidR="007F6CA8" w:rsidRPr="00520861" w:rsidRDefault="003F2E90" w:rsidP="00292D2E">
      <w:pPr>
        <w:widowControl w:val="0"/>
        <w:spacing w:line="360" w:lineRule="auto"/>
        <w:ind w:right="-1" w:firstLine="709"/>
        <w:jc w:val="both"/>
        <w:rPr>
          <w:spacing w:val="-6"/>
          <w:sz w:val="28"/>
          <w:szCs w:val="28"/>
        </w:rPr>
      </w:pPr>
      <w:r w:rsidRPr="00520861">
        <w:rPr>
          <w:spacing w:val="-6"/>
          <w:sz w:val="28"/>
          <w:szCs w:val="28"/>
          <w:lang w:eastAsia="en-US"/>
        </w:rPr>
        <w:t>Доведено</w:t>
      </w:r>
      <w:r w:rsidR="007F6CA8" w:rsidRPr="00520861">
        <w:rPr>
          <w:spacing w:val="-6"/>
          <w:sz w:val="28"/>
          <w:szCs w:val="28"/>
          <w:lang w:eastAsia="en-US"/>
        </w:rPr>
        <w:t xml:space="preserve"> зв'язок між </w:t>
      </w:r>
      <w:r w:rsidR="007F6CA8" w:rsidRPr="00520861">
        <w:rPr>
          <w:spacing w:val="-6"/>
          <w:sz w:val="28"/>
          <w:szCs w:val="28"/>
        </w:rPr>
        <w:t xml:space="preserve">зміною активності ферментів </w:t>
      </w:r>
      <w:proofErr w:type="spellStart"/>
      <w:r w:rsidR="007F6CA8" w:rsidRPr="00520861">
        <w:rPr>
          <w:spacing w:val="-6"/>
          <w:sz w:val="28"/>
          <w:szCs w:val="28"/>
        </w:rPr>
        <w:t>трансамінування</w:t>
      </w:r>
      <w:proofErr w:type="spellEnd"/>
      <w:r w:rsidR="007F6CA8" w:rsidRPr="00520861">
        <w:rPr>
          <w:spacing w:val="-6"/>
          <w:sz w:val="28"/>
          <w:szCs w:val="28"/>
        </w:rPr>
        <w:t>, показників системного гуморального та місцевого імунітету, вмісту маркеру обміну сполучної тканини (</w:t>
      </w:r>
      <w:proofErr w:type="spellStart"/>
      <w:r w:rsidR="007F6CA8" w:rsidRPr="00520861">
        <w:rPr>
          <w:spacing w:val="-6"/>
          <w:sz w:val="28"/>
          <w:szCs w:val="28"/>
        </w:rPr>
        <w:t>оксипролін</w:t>
      </w:r>
      <w:proofErr w:type="spellEnd"/>
      <w:r w:rsidR="007F6CA8" w:rsidRPr="00520861">
        <w:rPr>
          <w:spacing w:val="-6"/>
          <w:sz w:val="28"/>
          <w:szCs w:val="28"/>
        </w:rPr>
        <w:t xml:space="preserve">), а також порушенням </w:t>
      </w:r>
      <w:proofErr w:type="spellStart"/>
      <w:r w:rsidR="007F6CA8" w:rsidRPr="00520861">
        <w:rPr>
          <w:spacing w:val="-6"/>
          <w:sz w:val="28"/>
          <w:szCs w:val="28"/>
        </w:rPr>
        <w:t>цитокінового</w:t>
      </w:r>
      <w:proofErr w:type="spellEnd"/>
      <w:r w:rsidR="007F6CA8" w:rsidRPr="00520861">
        <w:rPr>
          <w:spacing w:val="-6"/>
          <w:sz w:val="28"/>
          <w:szCs w:val="28"/>
        </w:rPr>
        <w:t xml:space="preserve"> профілю в ротовій рідині </w:t>
      </w:r>
      <w:proofErr w:type="spellStart"/>
      <w:r w:rsidR="007F6CA8" w:rsidRPr="00520861">
        <w:rPr>
          <w:spacing w:val="-6"/>
          <w:sz w:val="28"/>
          <w:szCs w:val="28"/>
        </w:rPr>
        <w:t>макросомів</w:t>
      </w:r>
      <w:proofErr w:type="spellEnd"/>
      <w:r w:rsidR="007F6CA8" w:rsidRPr="00520861">
        <w:rPr>
          <w:spacing w:val="-6"/>
          <w:sz w:val="28"/>
          <w:szCs w:val="28"/>
        </w:rPr>
        <w:t xml:space="preserve"> різного віку та особливостями перебігу в них захворювань тканин </w:t>
      </w:r>
      <w:proofErr w:type="spellStart"/>
      <w:r w:rsidR="007F6CA8" w:rsidRPr="00520861">
        <w:rPr>
          <w:spacing w:val="-6"/>
          <w:sz w:val="28"/>
          <w:szCs w:val="28"/>
        </w:rPr>
        <w:t>пародонта</w:t>
      </w:r>
      <w:proofErr w:type="spellEnd"/>
      <w:r w:rsidR="007F6CA8" w:rsidRPr="00520861">
        <w:rPr>
          <w:spacing w:val="-6"/>
          <w:sz w:val="28"/>
          <w:szCs w:val="28"/>
        </w:rPr>
        <w:t>.</w:t>
      </w:r>
    </w:p>
    <w:p w14:paraId="5CAF850D" w14:textId="77777777" w:rsidR="007F6CA8" w:rsidRPr="00520861" w:rsidRDefault="007F6CA8" w:rsidP="00292D2E">
      <w:pPr>
        <w:widowControl w:val="0"/>
        <w:spacing w:line="360" w:lineRule="auto"/>
        <w:ind w:right="-1" w:firstLine="709"/>
        <w:jc w:val="both"/>
        <w:rPr>
          <w:sz w:val="28"/>
          <w:szCs w:val="28"/>
        </w:rPr>
      </w:pPr>
      <w:r w:rsidRPr="00520861">
        <w:rPr>
          <w:sz w:val="28"/>
          <w:szCs w:val="28"/>
        </w:rPr>
        <w:t>Доведено (</w:t>
      </w:r>
      <w:r w:rsidR="00EA2EE7" w:rsidRPr="00520861">
        <w:rPr>
          <w:i/>
          <w:sz w:val="28"/>
          <w:szCs w:val="28"/>
        </w:rPr>
        <w:t>p</w:t>
      </w:r>
      <w:r w:rsidR="00CD7533" w:rsidRPr="00520861">
        <w:rPr>
          <w:spacing w:val="-2"/>
          <w:sz w:val="28"/>
          <w:szCs w:val="28"/>
        </w:rPr>
        <w:t>&lt;</w:t>
      </w:r>
      <w:r w:rsidR="00C641A2" w:rsidRPr="00520861">
        <w:rPr>
          <w:sz w:val="28"/>
          <w:szCs w:val="28"/>
        </w:rPr>
        <w:t>0,05), що наявність алеля</w:t>
      </w:r>
      <w:r w:rsidRPr="00520861">
        <w:rPr>
          <w:sz w:val="28"/>
          <w:szCs w:val="28"/>
        </w:rPr>
        <w:t xml:space="preserve"> G за геном </w:t>
      </w:r>
      <w:r w:rsidRPr="00520861">
        <w:rPr>
          <w:i/>
          <w:sz w:val="28"/>
          <w:szCs w:val="28"/>
        </w:rPr>
        <w:t xml:space="preserve">CYP19A1 </w:t>
      </w:r>
      <w:r w:rsidRPr="00520861">
        <w:rPr>
          <w:sz w:val="28"/>
          <w:szCs w:val="28"/>
        </w:rPr>
        <w:t xml:space="preserve">[rs2414096] </w:t>
      </w:r>
      <w:r w:rsidR="00612F28" w:rsidRPr="00520861">
        <w:rPr>
          <w:sz w:val="28"/>
          <w:szCs w:val="28"/>
        </w:rPr>
        <w:br/>
      </w:r>
      <w:r w:rsidRPr="00520861">
        <w:rPr>
          <w:sz w:val="28"/>
          <w:szCs w:val="28"/>
        </w:rPr>
        <w:t>(мультиплікативна модель успадкування</w:t>
      </w:r>
      <w:r w:rsidR="00C641A2" w:rsidRPr="00520861">
        <w:rPr>
          <w:sz w:val="28"/>
          <w:szCs w:val="28"/>
        </w:rPr>
        <w:t>, ВШ = 2,826) та наявність алеля</w:t>
      </w:r>
      <w:r w:rsidRPr="00520861">
        <w:rPr>
          <w:sz w:val="28"/>
          <w:szCs w:val="28"/>
        </w:rPr>
        <w:t xml:space="preserve"> -351 А за геном </w:t>
      </w:r>
      <w:r w:rsidRPr="00520861">
        <w:rPr>
          <w:i/>
          <w:sz w:val="28"/>
          <w:szCs w:val="28"/>
        </w:rPr>
        <w:t>ESR1</w:t>
      </w:r>
      <w:r w:rsidRPr="00520861">
        <w:rPr>
          <w:sz w:val="28"/>
          <w:szCs w:val="28"/>
        </w:rPr>
        <w:t xml:space="preserve"> [rs9340799] (мультиплікативна модель успадкування, ВШ = 2,107) є </w:t>
      </w:r>
      <w:r w:rsidR="00636A3E" w:rsidRPr="00520861">
        <w:rPr>
          <w:sz w:val="28"/>
          <w:szCs w:val="28"/>
        </w:rPr>
        <w:br/>
      </w:r>
      <w:r w:rsidRPr="00520861">
        <w:rPr>
          <w:sz w:val="28"/>
          <w:szCs w:val="28"/>
        </w:rPr>
        <w:t xml:space="preserve">факторами ризику розвитку </w:t>
      </w:r>
      <w:proofErr w:type="spellStart"/>
      <w:r w:rsidRPr="00520861">
        <w:rPr>
          <w:sz w:val="28"/>
          <w:szCs w:val="28"/>
        </w:rPr>
        <w:t>макросомії</w:t>
      </w:r>
      <w:proofErr w:type="spellEnd"/>
      <w:r w:rsidRPr="00520861">
        <w:rPr>
          <w:sz w:val="28"/>
          <w:szCs w:val="28"/>
        </w:rPr>
        <w:t xml:space="preserve"> плода.</w:t>
      </w:r>
    </w:p>
    <w:p w14:paraId="54903204" w14:textId="77777777" w:rsidR="007F6CA8" w:rsidRPr="00520861" w:rsidRDefault="003F2E90" w:rsidP="00292D2E">
      <w:pPr>
        <w:widowControl w:val="0"/>
        <w:spacing w:line="360" w:lineRule="auto"/>
        <w:ind w:right="-1" w:firstLine="709"/>
        <w:jc w:val="both"/>
        <w:rPr>
          <w:spacing w:val="-2"/>
          <w:sz w:val="28"/>
          <w:szCs w:val="28"/>
        </w:rPr>
      </w:pPr>
      <w:r w:rsidRPr="00520861">
        <w:rPr>
          <w:spacing w:val="-2"/>
          <w:sz w:val="28"/>
          <w:szCs w:val="28"/>
        </w:rPr>
        <w:t xml:space="preserve">Уперше для осіб, які народилися з </w:t>
      </w:r>
      <w:proofErr w:type="spellStart"/>
      <w:r w:rsidRPr="00520861">
        <w:rPr>
          <w:spacing w:val="-2"/>
          <w:sz w:val="28"/>
          <w:szCs w:val="28"/>
        </w:rPr>
        <w:t>макросомією</w:t>
      </w:r>
      <w:proofErr w:type="spellEnd"/>
      <w:r w:rsidRPr="00520861">
        <w:rPr>
          <w:spacing w:val="-2"/>
          <w:sz w:val="28"/>
          <w:szCs w:val="28"/>
        </w:rPr>
        <w:t xml:space="preserve">, установлено та запропоновано </w:t>
      </w:r>
      <w:r w:rsidRPr="00520861">
        <w:rPr>
          <w:spacing w:val="-2"/>
          <w:sz w:val="28"/>
          <w:szCs w:val="28"/>
        </w:rPr>
        <w:lastRenderedPageBreak/>
        <w:t>як діагностичні маркери відмінності в роз</w:t>
      </w:r>
      <w:r w:rsidR="00F622A1" w:rsidRPr="00520861">
        <w:rPr>
          <w:spacing w:val="-2"/>
          <w:sz w:val="28"/>
          <w:szCs w:val="28"/>
        </w:rPr>
        <w:t xml:space="preserve">поділі частот генотипів й </w:t>
      </w:r>
      <w:proofErr w:type="spellStart"/>
      <w:r w:rsidR="00DB4C96" w:rsidRPr="00520861">
        <w:rPr>
          <w:spacing w:val="-2"/>
          <w:sz w:val="28"/>
          <w:szCs w:val="28"/>
        </w:rPr>
        <w:t>алелей</w:t>
      </w:r>
      <w:proofErr w:type="spellEnd"/>
      <w:r w:rsidRPr="00520861">
        <w:rPr>
          <w:spacing w:val="-2"/>
          <w:sz w:val="28"/>
          <w:szCs w:val="28"/>
        </w:rPr>
        <w:t xml:space="preserve"> поліморфних варіантів генів-кандидатів, які є генетичними маркерами </w:t>
      </w:r>
      <w:r w:rsidR="007F6CA8" w:rsidRPr="00520861">
        <w:rPr>
          <w:spacing w:val="-2"/>
          <w:sz w:val="28"/>
          <w:szCs w:val="28"/>
        </w:rPr>
        <w:t xml:space="preserve">порушень </w:t>
      </w:r>
      <w:proofErr w:type="spellStart"/>
      <w:r w:rsidR="007F6CA8" w:rsidRPr="00520861">
        <w:rPr>
          <w:spacing w:val="-2"/>
          <w:sz w:val="28"/>
          <w:szCs w:val="28"/>
        </w:rPr>
        <w:t>стоматогнатичної</w:t>
      </w:r>
      <w:proofErr w:type="spellEnd"/>
      <w:r w:rsidR="007F6CA8" w:rsidRPr="00520861">
        <w:rPr>
          <w:spacing w:val="-2"/>
          <w:sz w:val="28"/>
          <w:szCs w:val="28"/>
        </w:rPr>
        <w:t xml:space="preserve"> системи (</w:t>
      </w:r>
      <w:r w:rsidR="007F6CA8" w:rsidRPr="00520861">
        <w:rPr>
          <w:i/>
          <w:spacing w:val="-2"/>
          <w:sz w:val="28"/>
          <w:szCs w:val="28"/>
        </w:rPr>
        <w:t xml:space="preserve">ESR1 </w:t>
      </w:r>
      <w:r w:rsidR="00AC2769" w:rsidRPr="00520861">
        <w:rPr>
          <w:spacing w:val="-2"/>
          <w:sz w:val="28"/>
          <w:szCs w:val="28"/>
        </w:rPr>
        <w:t>[rs</w:t>
      </w:r>
      <w:r w:rsidR="007F6CA8" w:rsidRPr="00520861">
        <w:rPr>
          <w:spacing w:val="-2"/>
          <w:sz w:val="28"/>
          <w:szCs w:val="28"/>
        </w:rPr>
        <w:t xml:space="preserve">2234693], </w:t>
      </w:r>
      <w:r w:rsidR="007F6CA8" w:rsidRPr="00520861">
        <w:rPr>
          <w:i/>
          <w:spacing w:val="-2"/>
          <w:sz w:val="28"/>
          <w:szCs w:val="28"/>
        </w:rPr>
        <w:t>CYP19A1</w:t>
      </w:r>
      <w:r w:rsidR="007F6CA8" w:rsidRPr="00520861">
        <w:rPr>
          <w:spacing w:val="-2"/>
          <w:sz w:val="28"/>
          <w:szCs w:val="28"/>
        </w:rPr>
        <w:t xml:space="preserve"> [rs2414096] та </w:t>
      </w:r>
      <w:r w:rsidR="007F6CA8" w:rsidRPr="00520861">
        <w:rPr>
          <w:i/>
          <w:spacing w:val="-2"/>
          <w:sz w:val="28"/>
          <w:szCs w:val="28"/>
        </w:rPr>
        <w:t>IL10</w:t>
      </w:r>
      <w:r w:rsidR="007F6CA8" w:rsidRPr="00520861">
        <w:rPr>
          <w:spacing w:val="-2"/>
          <w:sz w:val="28"/>
          <w:szCs w:val="28"/>
        </w:rPr>
        <w:t xml:space="preserve"> [rs1800896]), та </w:t>
      </w:r>
      <w:r w:rsidR="002A4C34" w:rsidRPr="00520861">
        <w:rPr>
          <w:spacing w:val="-2"/>
          <w:sz w:val="28"/>
          <w:szCs w:val="28"/>
        </w:rPr>
        <w:br/>
      </w:r>
      <w:r w:rsidR="007F6CA8" w:rsidRPr="00520861">
        <w:rPr>
          <w:spacing w:val="-2"/>
          <w:sz w:val="28"/>
          <w:szCs w:val="28"/>
        </w:rPr>
        <w:t>зокрема відхилення від регіональної норми термінів прорізу</w:t>
      </w:r>
      <w:r w:rsidR="00933755" w:rsidRPr="00520861">
        <w:rPr>
          <w:spacing w:val="-2"/>
          <w:sz w:val="28"/>
          <w:szCs w:val="28"/>
        </w:rPr>
        <w:t>вання тимчасових зубів (</w:t>
      </w:r>
      <w:r w:rsidR="007F6CA8" w:rsidRPr="00520861">
        <w:rPr>
          <w:rFonts w:eastAsia="Calibri"/>
          <w:i/>
          <w:spacing w:val="-2"/>
          <w:sz w:val="28"/>
          <w:szCs w:val="28"/>
          <w:lang w:eastAsia="en-US"/>
        </w:rPr>
        <w:t xml:space="preserve">RANKL </w:t>
      </w:r>
      <w:r w:rsidR="007F6CA8" w:rsidRPr="00520861">
        <w:rPr>
          <w:rFonts w:eastAsia="Calibri"/>
          <w:spacing w:val="-2"/>
          <w:sz w:val="28"/>
          <w:szCs w:val="28"/>
          <w:lang w:eastAsia="en-US"/>
        </w:rPr>
        <w:t xml:space="preserve">[rs9594759], </w:t>
      </w:r>
      <w:r w:rsidR="007F6CA8" w:rsidRPr="00520861">
        <w:rPr>
          <w:rFonts w:eastAsia="Calibri"/>
          <w:i/>
          <w:spacing w:val="-2"/>
          <w:sz w:val="28"/>
          <w:szCs w:val="28"/>
          <w:lang w:eastAsia="en-US"/>
        </w:rPr>
        <w:t>IL-10</w:t>
      </w:r>
      <w:r w:rsidR="007F6CA8" w:rsidRPr="00520861">
        <w:rPr>
          <w:rFonts w:eastAsia="Calibri"/>
          <w:spacing w:val="-2"/>
          <w:sz w:val="28"/>
          <w:szCs w:val="28"/>
          <w:lang w:eastAsia="en-US"/>
        </w:rPr>
        <w:t xml:space="preserve"> [rs1800896] та </w:t>
      </w:r>
      <w:r w:rsidR="007F6CA8" w:rsidRPr="00520861">
        <w:rPr>
          <w:rFonts w:eastAsia="Calibri"/>
          <w:i/>
          <w:spacing w:val="-2"/>
          <w:sz w:val="28"/>
          <w:szCs w:val="28"/>
          <w:lang w:eastAsia="en-US"/>
        </w:rPr>
        <w:t>CYP19A1</w:t>
      </w:r>
      <w:r w:rsidR="007F6CA8" w:rsidRPr="00520861">
        <w:rPr>
          <w:rFonts w:eastAsia="Calibri"/>
          <w:spacing w:val="-2"/>
          <w:sz w:val="28"/>
          <w:szCs w:val="28"/>
          <w:lang w:eastAsia="en-US"/>
        </w:rPr>
        <w:t xml:space="preserve"> [rs2414096]</w:t>
      </w:r>
      <w:r w:rsidR="007F6CA8" w:rsidRPr="00520861">
        <w:rPr>
          <w:spacing w:val="-2"/>
          <w:sz w:val="28"/>
          <w:szCs w:val="28"/>
        </w:rPr>
        <w:t>), високої інтенсивності карієсу тимчасових (</w:t>
      </w:r>
      <w:r w:rsidR="00933755" w:rsidRPr="00520861">
        <w:rPr>
          <w:rFonts w:eastAsia="Calibri"/>
          <w:i/>
          <w:spacing w:val="-2"/>
          <w:sz w:val="28"/>
          <w:szCs w:val="28"/>
          <w:lang w:eastAsia="en-US"/>
        </w:rPr>
        <w:t xml:space="preserve">CYP19A1 </w:t>
      </w:r>
      <w:r w:rsidR="007F6CA8" w:rsidRPr="00520861">
        <w:rPr>
          <w:rFonts w:eastAsia="Calibri"/>
          <w:spacing w:val="-2"/>
          <w:sz w:val="28"/>
          <w:szCs w:val="28"/>
          <w:lang w:eastAsia="en-US"/>
        </w:rPr>
        <w:t>[rs2414096]</w:t>
      </w:r>
      <w:r w:rsidR="002A4C34" w:rsidRPr="00520861">
        <w:rPr>
          <w:spacing w:val="-2"/>
          <w:sz w:val="28"/>
          <w:szCs w:val="28"/>
        </w:rPr>
        <w:t xml:space="preserve">) та постійних </w:t>
      </w:r>
      <w:r w:rsidR="007F6CA8" w:rsidRPr="00520861">
        <w:rPr>
          <w:spacing w:val="-2"/>
          <w:sz w:val="28"/>
          <w:szCs w:val="28"/>
        </w:rPr>
        <w:t>зубів (</w:t>
      </w:r>
      <w:r w:rsidR="007F6CA8" w:rsidRPr="00520861">
        <w:rPr>
          <w:i/>
          <w:spacing w:val="-2"/>
          <w:sz w:val="28"/>
          <w:szCs w:val="28"/>
        </w:rPr>
        <w:t>RANK</w:t>
      </w:r>
      <w:r w:rsidR="00AC2769" w:rsidRPr="00520861">
        <w:rPr>
          <w:i/>
          <w:spacing w:val="-2"/>
          <w:sz w:val="28"/>
          <w:szCs w:val="28"/>
        </w:rPr>
        <w:t>L</w:t>
      </w:r>
      <w:r w:rsidR="007F6CA8" w:rsidRPr="00520861">
        <w:rPr>
          <w:i/>
          <w:spacing w:val="-2"/>
          <w:sz w:val="28"/>
          <w:szCs w:val="28"/>
        </w:rPr>
        <w:t xml:space="preserve"> </w:t>
      </w:r>
      <w:r w:rsidR="007F6CA8" w:rsidRPr="00520861">
        <w:rPr>
          <w:spacing w:val="-2"/>
          <w:sz w:val="28"/>
          <w:szCs w:val="28"/>
        </w:rPr>
        <w:t xml:space="preserve">[rs9594738], </w:t>
      </w:r>
      <w:r w:rsidR="007F6CA8" w:rsidRPr="00520861">
        <w:rPr>
          <w:i/>
          <w:spacing w:val="-2"/>
          <w:sz w:val="28"/>
          <w:szCs w:val="28"/>
        </w:rPr>
        <w:t>VDR</w:t>
      </w:r>
      <w:r w:rsidR="00933755" w:rsidRPr="00520861">
        <w:rPr>
          <w:i/>
          <w:spacing w:val="-2"/>
          <w:sz w:val="28"/>
          <w:szCs w:val="28"/>
        </w:rPr>
        <w:t xml:space="preserve"> </w:t>
      </w:r>
      <w:r w:rsidR="00431B08" w:rsidRPr="00520861">
        <w:rPr>
          <w:spacing w:val="-2"/>
          <w:sz w:val="28"/>
          <w:szCs w:val="28"/>
        </w:rPr>
        <w:t>[rs</w:t>
      </w:r>
      <w:r w:rsidR="00933755" w:rsidRPr="00520861">
        <w:rPr>
          <w:spacing w:val="-2"/>
          <w:sz w:val="28"/>
          <w:szCs w:val="28"/>
        </w:rPr>
        <w:t xml:space="preserve">1544410] та </w:t>
      </w:r>
      <w:r w:rsidR="00933755" w:rsidRPr="00520861">
        <w:rPr>
          <w:i/>
          <w:spacing w:val="-2"/>
          <w:sz w:val="28"/>
          <w:szCs w:val="28"/>
        </w:rPr>
        <w:t>IL6</w:t>
      </w:r>
      <w:r w:rsidR="007F6CA8" w:rsidRPr="00520861">
        <w:rPr>
          <w:spacing w:val="-2"/>
          <w:sz w:val="28"/>
          <w:szCs w:val="28"/>
        </w:rPr>
        <w:t xml:space="preserve"> [rs1800795]), різних варіантів перебігу захворювань тканин </w:t>
      </w:r>
      <w:proofErr w:type="spellStart"/>
      <w:r w:rsidR="007F6CA8" w:rsidRPr="00520861">
        <w:rPr>
          <w:spacing w:val="-2"/>
          <w:sz w:val="28"/>
          <w:szCs w:val="28"/>
        </w:rPr>
        <w:t>пародонта</w:t>
      </w:r>
      <w:proofErr w:type="spellEnd"/>
      <w:r w:rsidR="007F6CA8" w:rsidRPr="00520861">
        <w:rPr>
          <w:spacing w:val="-2"/>
          <w:sz w:val="28"/>
          <w:szCs w:val="28"/>
        </w:rPr>
        <w:t xml:space="preserve"> (</w:t>
      </w:r>
      <w:r w:rsidR="007F6CA8" w:rsidRPr="00520861">
        <w:rPr>
          <w:i/>
          <w:spacing w:val="-2"/>
          <w:sz w:val="28"/>
          <w:szCs w:val="28"/>
        </w:rPr>
        <w:t xml:space="preserve">ESR1 </w:t>
      </w:r>
      <w:r w:rsidR="007F6CA8" w:rsidRPr="00520861">
        <w:rPr>
          <w:spacing w:val="-2"/>
          <w:sz w:val="28"/>
          <w:szCs w:val="28"/>
        </w:rPr>
        <w:t xml:space="preserve">[rs2234693], </w:t>
      </w:r>
      <w:r w:rsidR="007F6CA8" w:rsidRPr="00520861">
        <w:rPr>
          <w:i/>
          <w:spacing w:val="-2"/>
          <w:sz w:val="28"/>
          <w:szCs w:val="28"/>
        </w:rPr>
        <w:t>IL-1</w:t>
      </w:r>
      <w:r w:rsidR="007F6CA8" w:rsidRPr="00520861">
        <w:rPr>
          <w:i/>
          <w:spacing w:val="-2"/>
          <w:sz w:val="28"/>
          <w:szCs w:val="28"/>
        </w:rPr>
        <w:sym w:font="Symbol" w:char="F062"/>
      </w:r>
      <w:r w:rsidR="00C05A72" w:rsidRPr="00520861">
        <w:rPr>
          <w:spacing w:val="-2"/>
          <w:sz w:val="28"/>
          <w:szCs w:val="28"/>
        </w:rPr>
        <w:t xml:space="preserve"> [rs1143627] </w:t>
      </w:r>
      <w:r w:rsidR="007F6CA8" w:rsidRPr="00520861">
        <w:rPr>
          <w:spacing w:val="-2"/>
          <w:sz w:val="28"/>
          <w:szCs w:val="28"/>
        </w:rPr>
        <w:t xml:space="preserve">та </w:t>
      </w:r>
      <w:r w:rsidR="007F6CA8" w:rsidRPr="00520861">
        <w:rPr>
          <w:i/>
          <w:spacing w:val="-2"/>
          <w:sz w:val="28"/>
          <w:szCs w:val="28"/>
        </w:rPr>
        <w:t xml:space="preserve">RANKL </w:t>
      </w:r>
      <w:r w:rsidR="007F6CA8" w:rsidRPr="00520861">
        <w:rPr>
          <w:spacing w:val="-2"/>
          <w:sz w:val="28"/>
          <w:szCs w:val="28"/>
        </w:rPr>
        <w:t>[rs9594738, rs9594759]).</w:t>
      </w:r>
    </w:p>
    <w:p w14:paraId="3ADBABAE" w14:textId="77777777" w:rsidR="007F6CA8" w:rsidRPr="00520861" w:rsidRDefault="009E096B" w:rsidP="00292D2E">
      <w:pPr>
        <w:widowControl w:val="0"/>
        <w:spacing w:line="360" w:lineRule="auto"/>
        <w:ind w:right="-1" w:firstLine="709"/>
        <w:jc w:val="both"/>
        <w:rPr>
          <w:sz w:val="28"/>
          <w:szCs w:val="28"/>
        </w:rPr>
      </w:pPr>
      <w:r w:rsidRPr="00520861">
        <w:rPr>
          <w:sz w:val="28"/>
          <w:szCs w:val="28"/>
        </w:rPr>
        <w:t>Уперше створено концепцію</w:t>
      </w:r>
      <w:r w:rsidR="007F6CA8" w:rsidRPr="00520861">
        <w:rPr>
          <w:sz w:val="28"/>
          <w:szCs w:val="28"/>
        </w:rPr>
        <w:t xml:space="preserve">, що узагальнює використання прогностичних </w:t>
      </w:r>
      <w:r w:rsidR="00AF1C96" w:rsidRPr="00520861">
        <w:rPr>
          <w:sz w:val="28"/>
          <w:szCs w:val="28"/>
        </w:rPr>
        <w:br/>
      </w:r>
      <w:r w:rsidR="007F6CA8" w:rsidRPr="00520861">
        <w:rPr>
          <w:sz w:val="28"/>
          <w:szCs w:val="28"/>
        </w:rPr>
        <w:t xml:space="preserve">маркерів для осіб різного віку (на різних етапах розвитку </w:t>
      </w:r>
      <w:proofErr w:type="spellStart"/>
      <w:r w:rsidR="007F6CA8" w:rsidRPr="00520861">
        <w:rPr>
          <w:sz w:val="28"/>
          <w:szCs w:val="28"/>
        </w:rPr>
        <w:t>зубощелепної</w:t>
      </w:r>
      <w:proofErr w:type="spellEnd"/>
      <w:r w:rsidR="007F6CA8" w:rsidRPr="00520861">
        <w:rPr>
          <w:sz w:val="28"/>
          <w:szCs w:val="28"/>
        </w:rPr>
        <w:t xml:space="preserve"> системи), яка встановлює переважну залежність формування стоматологічних порушень від особливостей перебігу внутрішньоутробного періоду в </w:t>
      </w:r>
      <w:proofErr w:type="spellStart"/>
      <w:r w:rsidR="007F6CA8" w:rsidRPr="00520861">
        <w:rPr>
          <w:sz w:val="28"/>
          <w:szCs w:val="28"/>
        </w:rPr>
        <w:t>макросомів</w:t>
      </w:r>
      <w:proofErr w:type="spellEnd"/>
      <w:r w:rsidR="007F6CA8" w:rsidRPr="00520861">
        <w:rPr>
          <w:sz w:val="28"/>
          <w:szCs w:val="28"/>
        </w:rPr>
        <w:t xml:space="preserve">, а саме від гармонійного внутрішньоутробного набору маси тіла, відносної внутрішньоутробної недостатності маси тіла, або надмірної маси тіла, поєднаної як з великою, так і </w:t>
      </w:r>
      <w:r w:rsidR="00612F28" w:rsidRPr="00520861">
        <w:rPr>
          <w:sz w:val="28"/>
          <w:szCs w:val="28"/>
        </w:rPr>
        <w:br/>
        <w:t xml:space="preserve">з </w:t>
      </w:r>
      <w:r w:rsidR="007F6CA8" w:rsidRPr="00520861">
        <w:rPr>
          <w:sz w:val="28"/>
          <w:szCs w:val="28"/>
        </w:rPr>
        <w:t>середньою довжиною тіла.</w:t>
      </w:r>
    </w:p>
    <w:p w14:paraId="1855FF17" w14:textId="77777777" w:rsidR="007F6CA8" w:rsidRPr="00520861" w:rsidRDefault="007F6CA8" w:rsidP="00292D2E">
      <w:pPr>
        <w:widowControl w:val="0"/>
        <w:spacing w:line="360" w:lineRule="auto"/>
        <w:ind w:right="-1" w:firstLine="709"/>
        <w:jc w:val="both"/>
        <w:rPr>
          <w:sz w:val="28"/>
          <w:szCs w:val="28"/>
        </w:rPr>
      </w:pPr>
      <w:r w:rsidRPr="00520861">
        <w:rPr>
          <w:sz w:val="28"/>
          <w:szCs w:val="28"/>
        </w:rPr>
        <w:t xml:space="preserve">Для практичної охорони здоров’я запропоновано багатоетапну стратегію </w:t>
      </w:r>
      <w:r w:rsidR="00636A3E" w:rsidRPr="00520861">
        <w:rPr>
          <w:sz w:val="28"/>
          <w:szCs w:val="28"/>
        </w:rPr>
        <w:br/>
      </w:r>
      <w:r w:rsidRPr="00520861">
        <w:rPr>
          <w:sz w:val="28"/>
          <w:szCs w:val="28"/>
        </w:rPr>
        <w:t xml:space="preserve">діагностики та прогнозування стоматологічних захворювань у </w:t>
      </w:r>
      <w:proofErr w:type="spellStart"/>
      <w:r w:rsidRPr="00520861">
        <w:rPr>
          <w:sz w:val="28"/>
          <w:szCs w:val="28"/>
        </w:rPr>
        <w:t>макросомів</w:t>
      </w:r>
      <w:proofErr w:type="spellEnd"/>
      <w:r w:rsidRPr="00520861">
        <w:rPr>
          <w:sz w:val="28"/>
          <w:szCs w:val="28"/>
        </w:rPr>
        <w:t xml:space="preserve">. Отримані ретроспективні, анамнестичні, клінічні, біохімічні та молекулярно-генетичні дані є підґрунтям для розробки методів наукового передбачення пограничних станів та </w:t>
      </w:r>
      <w:r w:rsidR="00612F28" w:rsidRPr="00520861">
        <w:rPr>
          <w:sz w:val="28"/>
          <w:szCs w:val="28"/>
        </w:rPr>
        <w:br/>
      </w:r>
      <w:r w:rsidRPr="00520861">
        <w:rPr>
          <w:sz w:val="28"/>
          <w:szCs w:val="28"/>
        </w:rPr>
        <w:t xml:space="preserve">дозволяють персоніфіковано спрогнозувати варіанти перебігу стоматологічних </w:t>
      </w:r>
      <w:r w:rsidR="00612F28" w:rsidRPr="00520861">
        <w:rPr>
          <w:sz w:val="28"/>
          <w:szCs w:val="28"/>
        </w:rPr>
        <w:br/>
      </w:r>
      <w:r w:rsidRPr="00520861">
        <w:rPr>
          <w:sz w:val="28"/>
          <w:szCs w:val="28"/>
        </w:rPr>
        <w:t>захворювань в осіб-</w:t>
      </w:r>
      <w:proofErr w:type="spellStart"/>
      <w:r w:rsidRPr="00520861">
        <w:rPr>
          <w:sz w:val="28"/>
          <w:szCs w:val="28"/>
        </w:rPr>
        <w:t>макросомів</w:t>
      </w:r>
      <w:proofErr w:type="spellEnd"/>
      <w:r w:rsidRPr="00520861">
        <w:rPr>
          <w:sz w:val="28"/>
          <w:szCs w:val="28"/>
        </w:rPr>
        <w:t>.</w:t>
      </w:r>
    </w:p>
    <w:p w14:paraId="3627D6C5" w14:textId="77777777" w:rsidR="00D615F3" w:rsidRPr="00520861" w:rsidRDefault="00A906B0" w:rsidP="00292D2E">
      <w:pPr>
        <w:widowControl w:val="0"/>
        <w:spacing w:line="360" w:lineRule="auto"/>
        <w:ind w:right="-1"/>
        <w:jc w:val="both"/>
        <w:rPr>
          <w:sz w:val="28"/>
          <w:szCs w:val="28"/>
        </w:rPr>
      </w:pPr>
      <w:r w:rsidRPr="00520861">
        <w:rPr>
          <w:sz w:val="28"/>
          <w:szCs w:val="28"/>
        </w:rPr>
        <w:tab/>
      </w:r>
      <w:r w:rsidRPr="00520861">
        <w:rPr>
          <w:b/>
          <w:iCs/>
          <w:sz w:val="28"/>
          <w:szCs w:val="28"/>
        </w:rPr>
        <w:t>Ключові слова:</w:t>
      </w:r>
      <w:r w:rsidRPr="00520861">
        <w:rPr>
          <w:iCs/>
          <w:sz w:val="28"/>
          <w:szCs w:val="28"/>
        </w:rPr>
        <w:t xml:space="preserve"> </w:t>
      </w:r>
      <w:proofErr w:type="spellStart"/>
      <w:r w:rsidRPr="00520861">
        <w:rPr>
          <w:iCs/>
          <w:sz w:val="28"/>
          <w:szCs w:val="28"/>
        </w:rPr>
        <w:t>макросомія</w:t>
      </w:r>
      <w:proofErr w:type="spellEnd"/>
      <w:r w:rsidRPr="00520861">
        <w:rPr>
          <w:iCs/>
          <w:sz w:val="28"/>
          <w:szCs w:val="28"/>
        </w:rPr>
        <w:t xml:space="preserve"> плода, карієс, </w:t>
      </w:r>
      <w:r w:rsidRPr="00520861">
        <w:rPr>
          <w:sz w:val="28"/>
          <w:szCs w:val="28"/>
        </w:rPr>
        <w:t>хвор</w:t>
      </w:r>
      <w:r w:rsidR="00AD387D" w:rsidRPr="00520861">
        <w:rPr>
          <w:sz w:val="28"/>
          <w:szCs w:val="28"/>
        </w:rPr>
        <w:t>оба</w:t>
      </w:r>
      <w:r w:rsidRPr="00520861">
        <w:rPr>
          <w:sz w:val="28"/>
          <w:szCs w:val="28"/>
        </w:rPr>
        <w:t xml:space="preserve"> </w:t>
      </w:r>
      <w:proofErr w:type="spellStart"/>
      <w:r w:rsidRPr="00520861">
        <w:rPr>
          <w:sz w:val="28"/>
          <w:szCs w:val="28"/>
        </w:rPr>
        <w:t>пародонта</w:t>
      </w:r>
      <w:proofErr w:type="spellEnd"/>
      <w:r w:rsidRPr="00520861">
        <w:rPr>
          <w:sz w:val="28"/>
          <w:szCs w:val="28"/>
        </w:rPr>
        <w:t xml:space="preserve">, </w:t>
      </w:r>
      <w:proofErr w:type="spellStart"/>
      <w:r w:rsidR="00AD387D" w:rsidRPr="00520861">
        <w:rPr>
          <w:iCs/>
          <w:sz w:val="28"/>
          <w:szCs w:val="28"/>
        </w:rPr>
        <w:t>зубощелепна</w:t>
      </w:r>
      <w:proofErr w:type="spellEnd"/>
      <w:r w:rsidR="00AD387D" w:rsidRPr="00520861">
        <w:rPr>
          <w:iCs/>
          <w:sz w:val="28"/>
          <w:szCs w:val="28"/>
        </w:rPr>
        <w:t xml:space="preserve"> аномалія</w:t>
      </w:r>
      <w:r w:rsidRPr="00520861">
        <w:rPr>
          <w:iCs/>
          <w:sz w:val="28"/>
          <w:szCs w:val="28"/>
        </w:rPr>
        <w:t xml:space="preserve">, </w:t>
      </w:r>
      <w:r w:rsidR="00AD387D" w:rsidRPr="00520861">
        <w:rPr>
          <w:sz w:val="28"/>
          <w:szCs w:val="28"/>
        </w:rPr>
        <w:t>фактор</w:t>
      </w:r>
      <w:r w:rsidRPr="00520861">
        <w:rPr>
          <w:sz w:val="28"/>
          <w:szCs w:val="28"/>
        </w:rPr>
        <w:t xml:space="preserve"> ризику, патогенез, діагностика, прогноз.</w:t>
      </w:r>
    </w:p>
    <w:p w14:paraId="31670CFF" w14:textId="77777777" w:rsidR="00D615F3" w:rsidRPr="00520861" w:rsidRDefault="00D615F3" w:rsidP="00292D2E">
      <w:pPr>
        <w:widowControl w:val="0"/>
        <w:spacing w:line="360" w:lineRule="auto"/>
        <w:ind w:right="-1"/>
        <w:jc w:val="both"/>
        <w:rPr>
          <w:sz w:val="28"/>
          <w:szCs w:val="28"/>
        </w:rPr>
        <w:sectPr w:rsidR="00D615F3" w:rsidRPr="00520861" w:rsidSect="00D07A5A">
          <w:headerReference w:type="default" r:id="rId8"/>
          <w:pgSz w:w="11906" w:h="16838"/>
          <w:pgMar w:top="1134" w:right="624" w:bottom="1134" w:left="1134" w:header="709" w:footer="709" w:gutter="0"/>
          <w:cols w:space="708"/>
          <w:titlePg/>
          <w:docGrid w:linePitch="360"/>
        </w:sectPr>
      </w:pPr>
    </w:p>
    <w:p w14:paraId="596A6CC6" w14:textId="77777777" w:rsidR="00D72B63" w:rsidRPr="00520861" w:rsidRDefault="00D72B63" w:rsidP="00292D2E">
      <w:pPr>
        <w:widowControl w:val="0"/>
        <w:ind w:firstLine="708"/>
        <w:jc w:val="center"/>
        <w:rPr>
          <w:b/>
          <w:sz w:val="28"/>
          <w:szCs w:val="28"/>
          <w:lang w:val="en-US"/>
        </w:rPr>
      </w:pPr>
      <w:r w:rsidRPr="00520861">
        <w:rPr>
          <w:b/>
          <w:sz w:val="28"/>
          <w:szCs w:val="28"/>
          <w:lang w:val="en-US"/>
        </w:rPr>
        <w:lastRenderedPageBreak/>
        <w:t>ANNOTATION</w:t>
      </w:r>
    </w:p>
    <w:p w14:paraId="62DBD579" w14:textId="77777777" w:rsidR="00D72B63" w:rsidRPr="00520861" w:rsidRDefault="00D72B63" w:rsidP="00292D2E">
      <w:pPr>
        <w:widowControl w:val="0"/>
        <w:ind w:firstLine="708"/>
        <w:jc w:val="center"/>
        <w:rPr>
          <w:b/>
          <w:i/>
          <w:sz w:val="28"/>
          <w:szCs w:val="28"/>
          <w:lang w:val="en-US"/>
        </w:rPr>
      </w:pPr>
    </w:p>
    <w:p w14:paraId="2699723A" w14:textId="77777777" w:rsidR="00D72B63" w:rsidRPr="00520861" w:rsidRDefault="00D72B63" w:rsidP="00292D2E">
      <w:pPr>
        <w:widowControl w:val="0"/>
        <w:ind w:firstLine="708"/>
        <w:jc w:val="center"/>
        <w:rPr>
          <w:b/>
          <w:i/>
          <w:sz w:val="28"/>
          <w:szCs w:val="28"/>
          <w:lang w:val="en-US"/>
        </w:rPr>
      </w:pPr>
    </w:p>
    <w:p w14:paraId="67BFEACB" w14:textId="77777777" w:rsidR="00476FD6" w:rsidRPr="00520861" w:rsidRDefault="00476FD6" w:rsidP="00292D2E">
      <w:pPr>
        <w:widowControl w:val="0"/>
        <w:spacing w:line="360" w:lineRule="auto"/>
        <w:ind w:firstLine="708"/>
        <w:jc w:val="both"/>
        <w:rPr>
          <w:sz w:val="28"/>
          <w:szCs w:val="28"/>
          <w:lang w:val="en-US"/>
        </w:rPr>
      </w:pPr>
      <w:proofErr w:type="spellStart"/>
      <w:r w:rsidRPr="00520861">
        <w:rPr>
          <w:b/>
          <w:i/>
          <w:sz w:val="28"/>
          <w:szCs w:val="28"/>
          <w:lang w:val="en-US"/>
        </w:rPr>
        <w:t>Garmash</w:t>
      </w:r>
      <w:proofErr w:type="spellEnd"/>
      <w:r w:rsidRPr="00520861">
        <w:rPr>
          <w:b/>
          <w:i/>
          <w:sz w:val="28"/>
          <w:szCs w:val="28"/>
          <w:lang w:val="en-US"/>
        </w:rPr>
        <w:t xml:space="preserve"> O.V. </w:t>
      </w:r>
      <w:r w:rsidRPr="00520861">
        <w:rPr>
          <w:sz w:val="28"/>
          <w:szCs w:val="28"/>
          <w:lang w:val="en-US"/>
        </w:rPr>
        <w:t xml:space="preserve">Pathogenesis, diagnosis, and prognosis of oral disorders in persons born </w:t>
      </w:r>
      <w:proofErr w:type="spellStart"/>
      <w:r w:rsidRPr="00520861">
        <w:rPr>
          <w:sz w:val="28"/>
          <w:szCs w:val="28"/>
          <w:lang w:val="en-US"/>
        </w:rPr>
        <w:t>macrosomic</w:t>
      </w:r>
      <w:proofErr w:type="spellEnd"/>
      <w:r w:rsidRPr="00520861">
        <w:rPr>
          <w:sz w:val="28"/>
          <w:szCs w:val="28"/>
          <w:lang w:val="en-US"/>
        </w:rPr>
        <w:t>. Qualifying scientific work on the rights of a manuscript.</w:t>
      </w:r>
    </w:p>
    <w:p w14:paraId="489F51C6" w14:textId="77777777" w:rsidR="00476FD6" w:rsidRPr="00520861" w:rsidRDefault="00933755" w:rsidP="00292D2E">
      <w:pPr>
        <w:widowControl w:val="0"/>
        <w:spacing w:line="360" w:lineRule="auto"/>
        <w:ind w:firstLine="708"/>
        <w:jc w:val="both"/>
        <w:rPr>
          <w:sz w:val="28"/>
          <w:szCs w:val="28"/>
          <w:lang w:val="en-US"/>
        </w:rPr>
      </w:pPr>
      <w:r w:rsidRPr="00520861">
        <w:rPr>
          <w:sz w:val="28"/>
          <w:szCs w:val="28"/>
          <w:lang w:val="en-US"/>
        </w:rPr>
        <w:t xml:space="preserve">Dissertation </w:t>
      </w:r>
      <w:r w:rsidR="00476FD6" w:rsidRPr="00520861">
        <w:rPr>
          <w:sz w:val="28"/>
          <w:szCs w:val="28"/>
          <w:lang w:val="en-US"/>
        </w:rPr>
        <w:t xml:space="preserve">for the degree </w:t>
      </w:r>
      <w:proofErr w:type="spellStart"/>
      <w:r w:rsidR="00476FD6" w:rsidRPr="00520861">
        <w:rPr>
          <w:sz w:val="28"/>
          <w:szCs w:val="28"/>
          <w:lang w:val="en-US"/>
        </w:rPr>
        <w:t>оf</w:t>
      </w:r>
      <w:proofErr w:type="spellEnd"/>
      <w:r w:rsidR="00476FD6" w:rsidRPr="00520861">
        <w:rPr>
          <w:sz w:val="28"/>
          <w:szCs w:val="28"/>
          <w:lang w:val="en-US"/>
        </w:rPr>
        <w:t xml:space="preserve"> Doctor of Medical Sciences in Specialty 14.01.22 «Dentistry» (222-«Medicine»). – Kharkiv National Medical University, Ministry of </w:t>
      </w:r>
      <w:r w:rsidR="00ED4688" w:rsidRPr="00520861">
        <w:rPr>
          <w:sz w:val="28"/>
          <w:szCs w:val="28"/>
          <w:lang w:val="en-US"/>
        </w:rPr>
        <w:t>Health of Ukraine, Kharkiv, 2021</w:t>
      </w:r>
      <w:r w:rsidR="00476FD6" w:rsidRPr="00520861">
        <w:rPr>
          <w:sz w:val="28"/>
          <w:szCs w:val="28"/>
          <w:lang w:val="en-US"/>
        </w:rPr>
        <w:t xml:space="preserve">. </w:t>
      </w:r>
    </w:p>
    <w:p w14:paraId="23110594" w14:textId="77777777" w:rsidR="00885A5B" w:rsidRPr="00520861" w:rsidRDefault="00C037AF" w:rsidP="00292D2E">
      <w:pPr>
        <w:widowControl w:val="0"/>
        <w:spacing w:line="360" w:lineRule="auto"/>
        <w:ind w:firstLine="708"/>
        <w:jc w:val="both"/>
        <w:rPr>
          <w:sz w:val="28"/>
          <w:szCs w:val="28"/>
          <w:lang w:val="en-US"/>
        </w:rPr>
      </w:pPr>
      <w:r w:rsidRPr="00520861">
        <w:rPr>
          <w:sz w:val="28"/>
          <w:szCs w:val="28"/>
          <w:lang w:val="en-US"/>
        </w:rPr>
        <w:t>The dissertation is to be</w:t>
      </w:r>
      <w:r w:rsidR="00885A5B" w:rsidRPr="00520861">
        <w:rPr>
          <w:sz w:val="28"/>
          <w:szCs w:val="28"/>
          <w:lang w:val="en-US"/>
        </w:rPr>
        <w:t xml:space="preserve"> </w:t>
      </w:r>
      <w:r w:rsidR="002C3529" w:rsidRPr="00520861">
        <w:rPr>
          <w:sz w:val="28"/>
          <w:szCs w:val="28"/>
          <w:lang w:val="en-US"/>
        </w:rPr>
        <w:t xml:space="preserve">presented </w:t>
      </w:r>
      <w:r w:rsidRPr="00520861">
        <w:rPr>
          <w:sz w:val="28"/>
          <w:szCs w:val="28"/>
          <w:lang w:val="en-US"/>
        </w:rPr>
        <w:t xml:space="preserve">at </w:t>
      </w:r>
      <w:r w:rsidR="00885A5B" w:rsidRPr="00520861">
        <w:rPr>
          <w:sz w:val="28"/>
          <w:szCs w:val="28"/>
          <w:lang w:val="en-US"/>
        </w:rPr>
        <w:t>Kharkiv National Medical University</w:t>
      </w:r>
      <w:r w:rsidR="00ED4688" w:rsidRPr="00520861">
        <w:rPr>
          <w:sz w:val="28"/>
          <w:szCs w:val="28"/>
          <w:lang w:val="en-US"/>
        </w:rPr>
        <w:t>,</w:t>
      </w:r>
      <w:r w:rsidR="00ED4688" w:rsidRPr="00520861">
        <w:rPr>
          <w:b/>
          <w:bCs/>
          <w:color w:val="5F6368"/>
          <w:sz w:val="28"/>
          <w:szCs w:val="28"/>
          <w:shd w:val="clear" w:color="auto" w:fill="FFFFFF"/>
          <w:lang w:val="en-US"/>
        </w:rPr>
        <w:t xml:space="preserve"> </w:t>
      </w:r>
      <w:r w:rsidR="00ED4688" w:rsidRPr="00520861">
        <w:rPr>
          <w:bCs/>
          <w:sz w:val="28"/>
          <w:szCs w:val="28"/>
          <w:lang w:val="en-US"/>
        </w:rPr>
        <w:t xml:space="preserve">the </w:t>
      </w:r>
      <w:r w:rsidR="00380C08" w:rsidRPr="00520861">
        <w:rPr>
          <w:bCs/>
          <w:sz w:val="28"/>
          <w:szCs w:val="28"/>
          <w:lang w:val="en-US"/>
        </w:rPr>
        <w:br/>
      </w:r>
      <w:r w:rsidR="00ED4688" w:rsidRPr="00520861">
        <w:rPr>
          <w:bCs/>
          <w:sz w:val="28"/>
          <w:szCs w:val="28"/>
          <w:lang w:val="en-US"/>
        </w:rPr>
        <w:t>Ministry of Health of Ukraine, 2021</w:t>
      </w:r>
      <w:r w:rsidR="00885A5B" w:rsidRPr="00520861">
        <w:rPr>
          <w:sz w:val="28"/>
          <w:szCs w:val="28"/>
          <w:lang w:val="en-US"/>
        </w:rPr>
        <w:t>.</w:t>
      </w:r>
    </w:p>
    <w:p w14:paraId="5F0FC0C7" w14:textId="77777777" w:rsidR="005424FC" w:rsidRPr="00520861" w:rsidRDefault="005424FC" w:rsidP="00292D2E">
      <w:pPr>
        <w:widowControl w:val="0"/>
        <w:spacing w:line="360" w:lineRule="auto"/>
        <w:ind w:firstLine="708"/>
        <w:jc w:val="both"/>
        <w:rPr>
          <w:sz w:val="28"/>
          <w:szCs w:val="28"/>
          <w:lang w:val="en-US"/>
        </w:rPr>
      </w:pPr>
      <w:r w:rsidRPr="00520861">
        <w:rPr>
          <w:sz w:val="28"/>
          <w:szCs w:val="28"/>
          <w:lang w:val="en-US"/>
        </w:rPr>
        <w:t xml:space="preserve">The goal of the work was to </w:t>
      </w:r>
      <w:r w:rsidR="00B64602" w:rsidRPr="00520861">
        <w:rPr>
          <w:sz w:val="28"/>
          <w:szCs w:val="28"/>
          <w:lang w:val="en-US"/>
        </w:rPr>
        <w:t>develop and substantiate the strategy of</w:t>
      </w:r>
      <w:r w:rsidRPr="00520861">
        <w:rPr>
          <w:sz w:val="28"/>
          <w:szCs w:val="28"/>
          <w:lang w:val="en-US"/>
        </w:rPr>
        <w:t xml:space="preserve"> diagnosis and prediction of dental disorders in individuals of different age groups who were born </w:t>
      </w:r>
      <w:proofErr w:type="spellStart"/>
      <w:r w:rsidRPr="00520861">
        <w:rPr>
          <w:sz w:val="28"/>
          <w:szCs w:val="28"/>
          <w:lang w:val="en-US"/>
        </w:rPr>
        <w:t>macrosomic</w:t>
      </w:r>
      <w:proofErr w:type="spellEnd"/>
      <w:r w:rsidRPr="00520861">
        <w:rPr>
          <w:sz w:val="28"/>
          <w:szCs w:val="28"/>
          <w:lang w:val="en-US"/>
        </w:rPr>
        <w:t xml:space="preserve"> in the population of Kharkiv and adjacent, Donetsk, Luhansk, provinces, via the comprehensive analysis of dental status, the study pathogenesis of dental disorders, and the revelation of their prognostic markers.</w:t>
      </w:r>
    </w:p>
    <w:p w14:paraId="7A636D1A" w14:textId="77777777" w:rsidR="004F70BF" w:rsidRPr="00520861" w:rsidRDefault="004F70BF" w:rsidP="00292D2E">
      <w:pPr>
        <w:widowControl w:val="0"/>
        <w:spacing w:line="360" w:lineRule="auto"/>
        <w:ind w:firstLine="708"/>
        <w:jc w:val="both"/>
        <w:rPr>
          <w:sz w:val="28"/>
          <w:szCs w:val="28"/>
          <w:lang w:val="en-US"/>
        </w:rPr>
      </w:pPr>
      <w:r w:rsidRPr="00520861">
        <w:rPr>
          <w:sz w:val="28"/>
          <w:szCs w:val="28"/>
          <w:lang w:val="en-US"/>
        </w:rPr>
        <w:t xml:space="preserve">To achieve the goal, the methods of clinical, clinical-instrumental, radiological, </w:t>
      </w:r>
      <w:r w:rsidR="00380C08" w:rsidRPr="00520861">
        <w:rPr>
          <w:sz w:val="28"/>
          <w:szCs w:val="28"/>
          <w:lang w:val="en-US"/>
        </w:rPr>
        <w:br/>
      </w:r>
      <w:r w:rsidRPr="00520861">
        <w:rPr>
          <w:sz w:val="28"/>
          <w:szCs w:val="28"/>
          <w:lang w:val="en-US"/>
        </w:rPr>
        <w:t>biophysical, biochemical, experimental, morphological, morphometric, clinical-retrospective, medical survey, and molecular genetics methods were employed for conducting the studies, as well as the methods of mathematical statistics and the theory of probability.</w:t>
      </w:r>
    </w:p>
    <w:p w14:paraId="535D8457"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The scientific novelty of the study is to identify the features of oral disorders pathogenesis rooted in fetal macrosomia and to obtain and generalize the data on the dental status at different periods of occlusion development in the population of Kharkiv and the adjacent (Donetsk, Luhansk) provinces. Also, novelty of the study is to identify the relationship </w:t>
      </w:r>
      <w:r w:rsidR="00380C08" w:rsidRPr="00520861">
        <w:rPr>
          <w:sz w:val="28"/>
          <w:szCs w:val="28"/>
          <w:lang w:val="en-US"/>
        </w:rPr>
        <w:br/>
      </w:r>
      <w:r w:rsidRPr="00520861">
        <w:rPr>
          <w:sz w:val="28"/>
          <w:szCs w:val="28"/>
          <w:lang w:val="en-US"/>
        </w:rPr>
        <w:t xml:space="preserve">between the dynamics of changes in biochemical parameters in the oral fluid along with polymorphism of the genes under study and dental disorders in individuals born </w:t>
      </w:r>
      <w:proofErr w:type="spellStart"/>
      <w:r w:rsidRPr="00520861">
        <w:rPr>
          <w:sz w:val="28"/>
          <w:szCs w:val="28"/>
          <w:lang w:val="en-US"/>
        </w:rPr>
        <w:t>macrosomic</w:t>
      </w:r>
      <w:proofErr w:type="spellEnd"/>
      <w:r w:rsidRPr="00520861">
        <w:rPr>
          <w:sz w:val="28"/>
          <w:szCs w:val="28"/>
          <w:lang w:val="en-US"/>
        </w:rPr>
        <w:t>. The study al</w:t>
      </w:r>
      <w:r w:rsidR="00A53EEC" w:rsidRPr="00520861">
        <w:rPr>
          <w:sz w:val="28"/>
          <w:szCs w:val="28"/>
          <w:lang w:val="en-US"/>
        </w:rPr>
        <w:t xml:space="preserve">lowed the markers of disorders in the dental system </w:t>
      </w:r>
      <w:r w:rsidRPr="00520861">
        <w:rPr>
          <w:sz w:val="28"/>
          <w:szCs w:val="28"/>
          <w:lang w:val="en-US"/>
        </w:rPr>
        <w:t>to be identified and high prevalence and features of dental disorders in distinctive individuals at various ages to be justified; this provides a solution to diagnostics and prediction of these disorders.</w:t>
      </w:r>
    </w:p>
    <w:p w14:paraId="45AAEE39"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For the first time, it has been proved to be appropriate to use the model for developing dental disorders in the case of fetal macrosomia in experimental animals via the inclusion of animals whose mothers’ pregnancy was under the simultaneous influence of </w:t>
      </w:r>
      <w:r w:rsidR="00056288" w:rsidRPr="00520861">
        <w:rPr>
          <w:sz w:val="28"/>
          <w:szCs w:val="28"/>
          <w:lang w:val="en-US"/>
        </w:rPr>
        <w:br/>
      </w:r>
      <w:proofErr w:type="spellStart"/>
      <w:r w:rsidRPr="00520861">
        <w:rPr>
          <w:sz w:val="28"/>
          <w:szCs w:val="28"/>
          <w:lang w:val="en-US"/>
        </w:rPr>
        <w:lastRenderedPageBreak/>
        <w:t>hypodynamics</w:t>
      </w:r>
      <w:proofErr w:type="spellEnd"/>
      <w:r w:rsidRPr="00520861">
        <w:rPr>
          <w:sz w:val="28"/>
          <w:szCs w:val="28"/>
          <w:lang w:val="en-US"/>
        </w:rPr>
        <w:t xml:space="preserve"> and high-calorie diet,</w:t>
      </w:r>
      <w:r w:rsidR="00434EDF" w:rsidRPr="00520861">
        <w:rPr>
          <w:sz w:val="28"/>
          <w:szCs w:val="28"/>
          <w:lang w:val="en-US"/>
        </w:rPr>
        <w:t xml:space="preserve"> i.e., the main etiological</w:t>
      </w:r>
      <w:r w:rsidRPr="00520861">
        <w:rPr>
          <w:sz w:val="28"/>
          <w:szCs w:val="28"/>
          <w:lang w:val="en-US"/>
        </w:rPr>
        <w:t xml:space="preserve"> factors of fetal macrosomia.</w:t>
      </w:r>
    </w:p>
    <w:p w14:paraId="4981DAC5"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For the first time, the ultrastructural changes in the soft and hard tissues of maxillofacial area, hemodynamic and ultrastructural changes in the vascular endothelium were studied using histological, histochemical, immunohistochemical and morphometric </w:t>
      </w:r>
      <w:r w:rsidR="00051F6D" w:rsidRPr="00520861">
        <w:rPr>
          <w:sz w:val="28"/>
          <w:szCs w:val="28"/>
          <w:lang w:val="en-US"/>
        </w:rPr>
        <w:br/>
      </w:r>
      <w:r w:rsidRPr="00520861">
        <w:rPr>
          <w:sz w:val="28"/>
          <w:szCs w:val="28"/>
          <w:lang w:val="en-US"/>
        </w:rPr>
        <w:t xml:space="preserve">methods on the experimental models of fetal macrosomia. An impairment of the tooth germs and adjacent tissue morphogenesis was found to take place in newborn rats. In three-month-old rats, malfunction in the microcirculatory bed of the oral mucosa was observed to occur, which was manifested by a deficiency of von </w:t>
      </w:r>
      <w:proofErr w:type="spellStart"/>
      <w:r w:rsidRPr="00520861">
        <w:rPr>
          <w:sz w:val="28"/>
          <w:szCs w:val="28"/>
          <w:lang w:val="en-US"/>
        </w:rPr>
        <w:t>Willibrand</w:t>
      </w:r>
      <w:proofErr w:type="spellEnd"/>
      <w:r w:rsidRPr="00520861">
        <w:rPr>
          <w:sz w:val="28"/>
          <w:szCs w:val="28"/>
          <w:lang w:val="en-US"/>
        </w:rPr>
        <w:t xml:space="preserve"> factor in the endothelium. In </w:t>
      </w:r>
      <w:proofErr w:type="spellStart"/>
      <w:r w:rsidRPr="00520861">
        <w:rPr>
          <w:sz w:val="28"/>
          <w:szCs w:val="28"/>
          <w:lang w:val="en-US"/>
        </w:rPr>
        <w:t>macrosomic</w:t>
      </w:r>
      <w:proofErr w:type="spellEnd"/>
      <w:r w:rsidRPr="00520861">
        <w:rPr>
          <w:sz w:val="28"/>
          <w:szCs w:val="28"/>
          <w:lang w:val="en-US"/>
        </w:rPr>
        <w:t xml:space="preserve"> animals born without signs of obesity parietal clots were found. In animals whose weight-height parameters at birth indicated obesity, the hypoplastic </w:t>
      </w:r>
      <w:r w:rsidR="00B77687" w:rsidRPr="00520861">
        <w:rPr>
          <w:sz w:val="28"/>
          <w:szCs w:val="28"/>
          <w:lang w:val="en-US"/>
        </w:rPr>
        <w:br/>
      </w:r>
      <w:r w:rsidRPr="00520861">
        <w:rPr>
          <w:sz w:val="28"/>
          <w:szCs w:val="28"/>
          <w:lang w:val="en-US"/>
        </w:rPr>
        <w:t xml:space="preserve">microcirculatory bed was detected. At the age of 3 months, </w:t>
      </w:r>
      <w:proofErr w:type="spellStart"/>
      <w:r w:rsidRPr="00520861">
        <w:rPr>
          <w:sz w:val="28"/>
          <w:szCs w:val="28"/>
          <w:lang w:val="en-US"/>
        </w:rPr>
        <w:t>morphofunctional</w:t>
      </w:r>
      <w:proofErr w:type="spellEnd"/>
      <w:r w:rsidRPr="00520861">
        <w:rPr>
          <w:sz w:val="28"/>
          <w:szCs w:val="28"/>
          <w:lang w:val="en-US"/>
        </w:rPr>
        <w:t xml:space="preserve"> changes of the parotid salivary glands were observed, which lead to atrophy of the salivary glands in animals with severe intrauterine obesity at the age of 6 months.</w:t>
      </w:r>
    </w:p>
    <w:p w14:paraId="15B29E25"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It has been revealed that the effect on the hard tooth tissues and tooth pulp in animals born with signs of obesity is pronounced. In 12- and 18-month-old rats, pulp vascularization was worse, the mean size of the odontoblast cell was smaller, and the odontoblast process atrophy was greater than they were in other main groups and in the control group.</w:t>
      </w:r>
    </w:p>
    <w:p w14:paraId="0069BE79"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It has been found that the higher the weight-height index of an animal at birth, the higher susceptibility to carious lesions it will have.</w:t>
      </w:r>
    </w:p>
    <w:p w14:paraId="73BCD0F1"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Instead, the periodontal tissues were adversely affected by the intrauterine period, which was characterized by relative insufficiency of body weight, or by the intrauterine period, which was characterized by adequately increased </w:t>
      </w:r>
      <w:proofErr w:type="spellStart"/>
      <w:r w:rsidRPr="00520861">
        <w:rPr>
          <w:sz w:val="28"/>
          <w:szCs w:val="28"/>
          <w:lang w:val="en-US"/>
        </w:rPr>
        <w:t>somatometric</w:t>
      </w:r>
      <w:proofErr w:type="spellEnd"/>
      <w:r w:rsidRPr="00520861">
        <w:rPr>
          <w:sz w:val="28"/>
          <w:szCs w:val="28"/>
          <w:lang w:val="en-US"/>
        </w:rPr>
        <w:t xml:space="preserve"> parameters of body weight and body length, provided being born with macrosomia. In 12- and 18-month-old animals, inflammatory phenomena were observed in the periodontium, which were </w:t>
      </w:r>
      <w:r w:rsidR="00380C08" w:rsidRPr="00520861">
        <w:rPr>
          <w:sz w:val="28"/>
          <w:szCs w:val="28"/>
          <w:lang w:val="en-US"/>
        </w:rPr>
        <w:br/>
      </w:r>
      <w:r w:rsidRPr="00520861">
        <w:rPr>
          <w:sz w:val="28"/>
          <w:szCs w:val="28"/>
          <w:lang w:val="en-US"/>
        </w:rPr>
        <w:t>accompanied by circular ligament disruption and pockets development. Focal osteoporosis was noted in the bone tissue of alveolar processes.</w:t>
      </w:r>
    </w:p>
    <w:p w14:paraId="2DA8951B"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For the first time, ultrastructural changes in the tissues of the parotid salivary glands and oral mucosa, in particular, in minor salivary glands under the influence of fetal macrosomia have been confirmed and visualized with confocal microscopy.</w:t>
      </w:r>
    </w:p>
    <w:p w14:paraId="376CEFB8"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For the first time, screening questionnaires were developed for respondents of </w:t>
      </w:r>
      <w:r w:rsidR="00056288" w:rsidRPr="00520861">
        <w:rPr>
          <w:sz w:val="28"/>
          <w:szCs w:val="28"/>
          <w:lang w:val="en-US"/>
        </w:rPr>
        <w:br/>
      </w:r>
      <w:r w:rsidRPr="00520861">
        <w:rPr>
          <w:sz w:val="28"/>
          <w:szCs w:val="28"/>
          <w:lang w:val="en-US"/>
        </w:rPr>
        <w:lastRenderedPageBreak/>
        <w:t>different age categories, and scientific data have been acquired on the degree of risk of periodontal and hard tooth tissue pathology associated with perinatal pathology in the past history, heredity, oral hygiene, patient's constitution, concomitant pathology, bad habits, drug therapy, the nature of nutrition, physical activity, as well as, the degree of influence of ma</w:t>
      </w:r>
      <w:r w:rsidR="00C340C2" w:rsidRPr="00520861">
        <w:rPr>
          <w:sz w:val="28"/>
          <w:szCs w:val="28"/>
          <w:lang w:val="en-US"/>
        </w:rPr>
        <w:t xml:space="preserve">ternal or paternal factors on the dental disorders formation in persons born </w:t>
      </w:r>
      <w:r w:rsidR="00636A3E" w:rsidRPr="00520861">
        <w:rPr>
          <w:sz w:val="28"/>
          <w:szCs w:val="28"/>
          <w:lang w:val="en-US"/>
        </w:rPr>
        <w:br/>
      </w:r>
      <w:proofErr w:type="spellStart"/>
      <w:r w:rsidR="00C340C2" w:rsidRPr="00520861">
        <w:rPr>
          <w:sz w:val="28"/>
          <w:szCs w:val="28"/>
          <w:lang w:val="en-US"/>
        </w:rPr>
        <w:t>macrosomic</w:t>
      </w:r>
      <w:proofErr w:type="spellEnd"/>
      <w:r w:rsidR="00C340C2" w:rsidRPr="00520861">
        <w:rPr>
          <w:sz w:val="28"/>
          <w:szCs w:val="28"/>
          <w:lang w:val="en-US"/>
        </w:rPr>
        <w:t>.</w:t>
      </w:r>
    </w:p>
    <w:p w14:paraId="6935478C"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It has been established that individuals born </w:t>
      </w:r>
      <w:proofErr w:type="spellStart"/>
      <w:r w:rsidRPr="00520861">
        <w:rPr>
          <w:sz w:val="28"/>
          <w:szCs w:val="28"/>
          <w:lang w:val="en-US"/>
        </w:rPr>
        <w:t>macrosomic</w:t>
      </w:r>
      <w:proofErr w:type="spellEnd"/>
      <w:r w:rsidRPr="00520861">
        <w:rPr>
          <w:sz w:val="28"/>
          <w:szCs w:val="28"/>
          <w:lang w:val="en-US"/>
        </w:rPr>
        <w:t xml:space="preserve"> are likely to have a higher risk of developing oral diseases by one gradation on the screening scale. In general, the minimal risk and the risk o</w:t>
      </w:r>
      <w:r w:rsidR="00095348" w:rsidRPr="00520861">
        <w:rPr>
          <w:sz w:val="28"/>
          <w:szCs w:val="28"/>
          <w:lang w:val="en-US"/>
        </w:rPr>
        <w:t>f oral pathology is reliably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Pr="00520861">
        <w:rPr>
          <w:sz w:val="28"/>
          <w:szCs w:val="28"/>
          <w:lang w:val="en-US"/>
        </w:rPr>
        <w:t>) less often determined in the main group than in the comparison group. A significant risk and a high risk in the main group, on the contra</w:t>
      </w:r>
      <w:r w:rsidR="00095348" w:rsidRPr="00520861">
        <w:rPr>
          <w:sz w:val="28"/>
          <w:szCs w:val="28"/>
          <w:lang w:val="en-US"/>
        </w:rPr>
        <w:t>ry, were determined reliably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Pr="00520861">
        <w:rPr>
          <w:sz w:val="28"/>
          <w:szCs w:val="28"/>
          <w:lang w:val="en-US"/>
        </w:rPr>
        <w:t xml:space="preserve">) more often than in the </w:t>
      </w:r>
      <w:r w:rsidR="00FA6B05" w:rsidRPr="00520861">
        <w:rPr>
          <w:sz w:val="28"/>
          <w:szCs w:val="28"/>
          <w:lang w:val="en-US"/>
        </w:rPr>
        <w:br/>
      </w:r>
      <w:r w:rsidRPr="00520861">
        <w:rPr>
          <w:sz w:val="28"/>
          <w:szCs w:val="28"/>
          <w:lang w:val="en-US"/>
        </w:rPr>
        <w:t>comparison group.</w:t>
      </w:r>
    </w:p>
    <w:p w14:paraId="3C06C0AB"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Persons born with macrosomia have been shown to have twice as many dental </w:t>
      </w:r>
      <w:r w:rsidR="00380C08" w:rsidRPr="00520861">
        <w:rPr>
          <w:sz w:val="28"/>
          <w:szCs w:val="28"/>
          <w:lang w:val="en-US"/>
        </w:rPr>
        <w:br/>
      </w:r>
      <w:r w:rsidRPr="00520861">
        <w:rPr>
          <w:sz w:val="28"/>
          <w:szCs w:val="28"/>
          <w:lang w:val="en-US"/>
        </w:rPr>
        <w:t xml:space="preserve">complaints, on average, later in life, than persons born </w:t>
      </w:r>
      <w:proofErr w:type="spellStart"/>
      <w:r w:rsidRPr="00520861">
        <w:rPr>
          <w:sz w:val="28"/>
          <w:szCs w:val="28"/>
          <w:lang w:val="en-US"/>
        </w:rPr>
        <w:t>normo</w:t>
      </w:r>
      <w:r w:rsidR="00095348" w:rsidRPr="00520861">
        <w:rPr>
          <w:sz w:val="28"/>
          <w:szCs w:val="28"/>
          <w:lang w:val="en-US"/>
        </w:rPr>
        <w:t>somic</w:t>
      </w:r>
      <w:proofErr w:type="spellEnd"/>
      <w:r w:rsidR="00095348" w:rsidRPr="00520861">
        <w:rPr>
          <w:sz w:val="28"/>
          <w:szCs w:val="28"/>
          <w:lang w:val="en-US"/>
        </w:rPr>
        <w:t xml:space="preserve">. There </w:t>
      </w:r>
      <w:proofErr w:type="gramStart"/>
      <w:r w:rsidR="00095348" w:rsidRPr="00520861">
        <w:rPr>
          <w:sz w:val="28"/>
          <w:szCs w:val="28"/>
          <w:lang w:val="en-US"/>
        </w:rPr>
        <w:t>was</w:t>
      </w:r>
      <w:proofErr w:type="gramEnd"/>
      <w:r w:rsidR="00095348" w:rsidRPr="00520861">
        <w:rPr>
          <w:sz w:val="28"/>
          <w:szCs w:val="28"/>
          <w:lang w:val="en-US"/>
        </w:rPr>
        <w:t xml:space="preserve"> no reliable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Pr="00520861">
        <w:rPr>
          <w:sz w:val="28"/>
          <w:szCs w:val="28"/>
          <w:lang w:val="en-US"/>
        </w:rPr>
        <w:t xml:space="preserve">) differences in the impact of health and life characteristics of respondents and their parents on the development of oral disorders in individuals with different weight-height index at birth. The distribution of the degree of influence of the sex of the parents on the formation of dental disorders between maternal and paternal factor for respondents born </w:t>
      </w:r>
      <w:proofErr w:type="spellStart"/>
      <w:r w:rsidRPr="00520861">
        <w:rPr>
          <w:sz w:val="28"/>
          <w:szCs w:val="28"/>
          <w:lang w:val="en-US"/>
        </w:rPr>
        <w:t>macrosomic</w:t>
      </w:r>
      <w:proofErr w:type="spellEnd"/>
      <w:r w:rsidRPr="00520861">
        <w:rPr>
          <w:sz w:val="28"/>
          <w:szCs w:val="28"/>
          <w:lang w:val="en-US"/>
        </w:rPr>
        <w:t xml:space="preserve"> and respondents born </w:t>
      </w:r>
      <w:proofErr w:type="spellStart"/>
      <w:r w:rsidRPr="00520861">
        <w:rPr>
          <w:sz w:val="28"/>
          <w:szCs w:val="28"/>
          <w:lang w:val="en-US"/>
        </w:rPr>
        <w:t>normosomic</w:t>
      </w:r>
      <w:proofErr w:type="spellEnd"/>
      <w:r w:rsidRPr="00520861">
        <w:rPr>
          <w:sz w:val="28"/>
          <w:szCs w:val="28"/>
          <w:lang w:val="en-US"/>
        </w:rPr>
        <w:t xml:space="preserve"> is comparable.</w:t>
      </w:r>
    </w:p>
    <w:p w14:paraId="6A1A2ECB"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The scientific data on the structure and prevalence of major dental diseases among people born with macrosomia vs. their age have been updated. It was found that the cases of prevalence of intrauterine obesity, an intrauterine increase in body length, or the case of a well-balanced acceleration of weight gain and an increase in the body length in children born </w:t>
      </w:r>
      <w:proofErr w:type="spellStart"/>
      <w:r w:rsidRPr="00520861">
        <w:rPr>
          <w:sz w:val="28"/>
          <w:szCs w:val="28"/>
          <w:lang w:val="en-US"/>
        </w:rPr>
        <w:t>macrosomic</w:t>
      </w:r>
      <w:proofErr w:type="spellEnd"/>
      <w:r w:rsidRPr="00520861">
        <w:rPr>
          <w:sz w:val="28"/>
          <w:szCs w:val="28"/>
          <w:lang w:val="en-US"/>
        </w:rPr>
        <w:t>, exhibit certain features in their manifestations in newborns and infants dental status, in particular, in deciduous tooth terms of eruption and a growth rate in this period, i.e., tooth growth impairment, and also an increase by a factor of 2 – 4 in the rate of deviations from regional norms.</w:t>
      </w:r>
    </w:p>
    <w:p w14:paraId="09821750"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Oral soft tissue abnormalities have been shown to be associated with fetal macrosomia. The vast majority of recorded abnormalities may indicate the presence of connective tissue dysplasia in individuals born </w:t>
      </w:r>
      <w:proofErr w:type="spellStart"/>
      <w:r w:rsidRPr="00520861">
        <w:rPr>
          <w:sz w:val="28"/>
          <w:szCs w:val="28"/>
          <w:lang w:val="en-US"/>
        </w:rPr>
        <w:t>macrosomic</w:t>
      </w:r>
      <w:proofErr w:type="spellEnd"/>
      <w:r w:rsidRPr="00520861">
        <w:rPr>
          <w:sz w:val="28"/>
          <w:szCs w:val="28"/>
          <w:lang w:val="en-US"/>
        </w:rPr>
        <w:t>.</w:t>
      </w:r>
    </w:p>
    <w:p w14:paraId="5EC50B50"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lastRenderedPageBreak/>
        <w:t>The individuals b</w:t>
      </w:r>
      <w:r w:rsidR="002D6F8A" w:rsidRPr="00520861">
        <w:rPr>
          <w:sz w:val="28"/>
          <w:szCs w:val="28"/>
          <w:lang w:val="en-US"/>
        </w:rPr>
        <w:t xml:space="preserve">orn </w:t>
      </w:r>
      <w:proofErr w:type="spellStart"/>
      <w:r w:rsidR="002D6F8A" w:rsidRPr="00520861">
        <w:rPr>
          <w:sz w:val="28"/>
          <w:szCs w:val="28"/>
          <w:lang w:val="en-US"/>
        </w:rPr>
        <w:t>macrosomic</w:t>
      </w:r>
      <w:proofErr w:type="spellEnd"/>
      <w:r w:rsidR="002D6F8A" w:rsidRPr="00520861">
        <w:rPr>
          <w:sz w:val="28"/>
          <w:szCs w:val="28"/>
          <w:lang w:val="en-US"/>
        </w:rPr>
        <w:t xml:space="preserve"> were reliably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Pr="00520861">
        <w:rPr>
          <w:sz w:val="28"/>
          <w:szCs w:val="28"/>
          <w:lang w:val="en-US"/>
        </w:rPr>
        <w:t xml:space="preserve">) found to have a higher </w:t>
      </w:r>
      <w:r w:rsidR="00056288" w:rsidRPr="00520861">
        <w:rPr>
          <w:sz w:val="28"/>
          <w:szCs w:val="28"/>
          <w:lang w:val="en-US"/>
        </w:rPr>
        <w:br/>
      </w:r>
      <w:r w:rsidRPr="00520861">
        <w:rPr>
          <w:sz w:val="28"/>
          <w:szCs w:val="28"/>
          <w:lang w:val="en-US"/>
        </w:rPr>
        <w:t xml:space="preserve">percentage of dental anomalies, as compared to the individuals born </w:t>
      </w:r>
      <w:proofErr w:type="spellStart"/>
      <w:r w:rsidRPr="00520861">
        <w:rPr>
          <w:sz w:val="28"/>
          <w:szCs w:val="28"/>
          <w:lang w:val="en-US"/>
        </w:rPr>
        <w:t>normosomic</w:t>
      </w:r>
      <w:proofErr w:type="spellEnd"/>
      <w:r w:rsidRPr="00520861">
        <w:rPr>
          <w:sz w:val="28"/>
          <w:szCs w:val="28"/>
          <w:lang w:val="en-US"/>
        </w:rPr>
        <w:t xml:space="preserve">. In the vast majority of </w:t>
      </w:r>
      <w:r w:rsidR="00C61002" w:rsidRPr="00520861">
        <w:rPr>
          <w:sz w:val="28"/>
          <w:szCs w:val="28"/>
          <w:lang w:val="en-US"/>
        </w:rPr>
        <w:t>persons</w:t>
      </w:r>
      <w:r w:rsidRPr="00520861">
        <w:rPr>
          <w:sz w:val="28"/>
          <w:szCs w:val="28"/>
          <w:lang w:val="en-US"/>
        </w:rPr>
        <w:t xml:space="preserve"> born </w:t>
      </w:r>
      <w:proofErr w:type="spellStart"/>
      <w:r w:rsidRPr="00520861">
        <w:rPr>
          <w:sz w:val="28"/>
          <w:szCs w:val="28"/>
          <w:lang w:val="en-US"/>
        </w:rPr>
        <w:t>macrosomic</w:t>
      </w:r>
      <w:proofErr w:type="spellEnd"/>
      <w:r w:rsidRPr="00520861">
        <w:rPr>
          <w:sz w:val="28"/>
          <w:szCs w:val="28"/>
          <w:lang w:val="en-US"/>
        </w:rPr>
        <w:t>, there are signs of facial vertical growth pattern, and most of them have disorders of jaw growth in the sagittal plane.</w:t>
      </w:r>
    </w:p>
    <w:p w14:paraId="484FDF31"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A retrospective study has revealed that a higher percentage of cases of caries was observed in children with fetal macrosomia compared with the children whose weight-height parameters at birth were normal.</w:t>
      </w:r>
    </w:p>
    <w:p w14:paraId="3B32408E"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Clinical dental examination has revealed that during the period of temporary occlusion in children born</w:t>
      </w:r>
      <w:r w:rsidR="00C5577D" w:rsidRPr="00520861">
        <w:rPr>
          <w:sz w:val="28"/>
          <w:szCs w:val="28"/>
          <w:lang w:val="en-US"/>
        </w:rPr>
        <w:t xml:space="preserve"> with macrosomia, a reliably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Pr="00520861">
        <w:rPr>
          <w:sz w:val="28"/>
          <w:szCs w:val="28"/>
          <w:lang w:val="en-US"/>
        </w:rPr>
        <w:t xml:space="preserve">) higher than in the comparison group, rate of deciduous teeth caries is recorded. The lowest values of this index </w:t>
      </w:r>
      <w:proofErr w:type="gramStart"/>
      <w:r w:rsidRPr="00520861">
        <w:rPr>
          <w:sz w:val="28"/>
          <w:szCs w:val="28"/>
          <w:lang w:val="en-US"/>
        </w:rPr>
        <w:t>is</w:t>
      </w:r>
      <w:proofErr w:type="gramEnd"/>
      <w:r w:rsidRPr="00520861">
        <w:rPr>
          <w:sz w:val="28"/>
          <w:szCs w:val="28"/>
          <w:lang w:val="en-US"/>
        </w:rPr>
        <w:t xml:space="preserve"> </w:t>
      </w:r>
      <w:r w:rsidR="00D03568" w:rsidRPr="00520861">
        <w:rPr>
          <w:sz w:val="28"/>
          <w:szCs w:val="28"/>
          <w:lang w:val="en-US"/>
        </w:rPr>
        <w:br/>
      </w:r>
      <w:r w:rsidRPr="00520861">
        <w:rPr>
          <w:sz w:val="28"/>
          <w:szCs w:val="28"/>
          <w:lang w:val="en-US"/>
        </w:rPr>
        <w:t xml:space="preserve">recorded in children born with intrauterine obesity on the background of acceleration. </w:t>
      </w:r>
      <w:r w:rsidR="00380C08" w:rsidRPr="00520861">
        <w:rPr>
          <w:sz w:val="28"/>
          <w:szCs w:val="28"/>
          <w:lang w:val="en-US"/>
        </w:rPr>
        <w:br/>
      </w:r>
      <w:r w:rsidRPr="00520861">
        <w:rPr>
          <w:sz w:val="28"/>
          <w:szCs w:val="28"/>
          <w:lang w:val="en-US"/>
        </w:rPr>
        <w:t xml:space="preserve">During the period </w:t>
      </w:r>
      <w:r w:rsidR="00C5577D" w:rsidRPr="00520861">
        <w:rPr>
          <w:sz w:val="28"/>
          <w:szCs w:val="28"/>
          <w:lang w:val="en-US"/>
        </w:rPr>
        <w:t>of mixed occlusion, reliably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Pr="00520861">
        <w:rPr>
          <w:sz w:val="28"/>
          <w:szCs w:val="28"/>
          <w:lang w:val="en-US"/>
        </w:rPr>
        <w:t xml:space="preserve">) higher values of caries are recorded in children with intrauterine obesity and average body length. During the period of permanent occlusion, the values of the indices, which characterize the intensity of the carious process at the level of the control level, are recorded in persons with well-balanced fetal development. The highest values of caries are recorded in </w:t>
      </w:r>
      <w:proofErr w:type="spellStart"/>
      <w:r w:rsidRPr="00520861">
        <w:rPr>
          <w:sz w:val="28"/>
          <w:szCs w:val="28"/>
          <w:lang w:val="en-US"/>
        </w:rPr>
        <w:t>macrosomic</w:t>
      </w:r>
      <w:proofErr w:type="spellEnd"/>
      <w:r w:rsidRPr="00520861">
        <w:rPr>
          <w:sz w:val="28"/>
          <w:szCs w:val="28"/>
          <w:lang w:val="en-US"/>
        </w:rPr>
        <w:t xml:space="preserve"> at birth persons born with fetal obesity. Thus, the prognosis of the condition of the hard tooth tissues regarding carious lesions in persons born </w:t>
      </w:r>
      <w:proofErr w:type="spellStart"/>
      <w:r w:rsidRPr="00520861">
        <w:rPr>
          <w:sz w:val="28"/>
          <w:szCs w:val="28"/>
          <w:lang w:val="en-US"/>
        </w:rPr>
        <w:t>macrosomic</w:t>
      </w:r>
      <w:proofErr w:type="spellEnd"/>
      <w:r w:rsidRPr="00520861">
        <w:rPr>
          <w:sz w:val="28"/>
          <w:szCs w:val="28"/>
          <w:lang w:val="en-US"/>
        </w:rPr>
        <w:t>, is more favorable for persons who do not have fetal obesity than for persons who had it.</w:t>
      </w:r>
    </w:p>
    <w:p w14:paraId="11E354B1"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Persons born </w:t>
      </w:r>
      <w:proofErr w:type="spellStart"/>
      <w:r w:rsidRPr="00520861">
        <w:rPr>
          <w:sz w:val="28"/>
          <w:szCs w:val="28"/>
          <w:lang w:val="en-US"/>
        </w:rPr>
        <w:t>macrosomic</w:t>
      </w:r>
      <w:proofErr w:type="spellEnd"/>
      <w:r w:rsidRPr="00520861">
        <w:rPr>
          <w:sz w:val="28"/>
          <w:szCs w:val="28"/>
          <w:lang w:val="en-US"/>
        </w:rPr>
        <w:t xml:space="preserve"> have a reduced number of minor salivary glands per unit area compared to persons in the comparison group. The secretion rate of these gla</w:t>
      </w:r>
      <w:r w:rsidR="00465C08" w:rsidRPr="00520861">
        <w:rPr>
          <w:sz w:val="28"/>
          <w:szCs w:val="28"/>
          <w:lang w:val="en-US"/>
        </w:rPr>
        <w:t>nds is also reliably (</w:t>
      </w:r>
      <w:r w:rsidR="00465C08" w:rsidRPr="00520861">
        <w:rPr>
          <w:i/>
          <w:sz w:val="28"/>
          <w:szCs w:val="28"/>
          <w:lang w:val="en-US"/>
        </w:rPr>
        <w:t>p</w:t>
      </w:r>
      <w:r w:rsidR="00CD7533" w:rsidRPr="00520861">
        <w:rPr>
          <w:spacing w:val="-2"/>
          <w:sz w:val="28"/>
          <w:szCs w:val="28"/>
        </w:rPr>
        <w:t>&lt;</w:t>
      </w:r>
      <w:r w:rsidRPr="00520861">
        <w:rPr>
          <w:sz w:val="28"/>
          <w:szCs w:val="28"/>
          <w:lang w:val="en-US"/>
        </w:rPr>
        <w:t>0.05) reduced.</w:t>
      </w:r>
    </w:p>
    <w:p w14:paraId="5934BA41" w14:textId="77777777" w:rsidR="00476FD6" w:rsidRPr="00520861" w:rsidRDefault="00292A2E" w:rsidP="00292D2E">
      <w:pPr>
        <w:widowControl w:val="0"/>
        <w:spacing w:line="360" w:lineRule="auto"/>
        <w:ind w:firstLine="708"/>
        <w:jc w:val="both"/>
        <w:rPr>
          <w:sz w:val="28"/>
          <w:szCs w:val="28"/>
          <w:lang w:val="en-US"/>
        </w:rPr>
      </w:pPr>
      <w:r w:rsidRPr="00520861">
        <w:rPr>
          <w:sz w:val="28"/>
          <w:szCs w:val="28"/>
          <w:lang w:val="en-US"/>
        </w:rPr>
        <w:t>D</w:t>
      </w:r>
      <w:r w:rsidR="00476FD6" w:rsidRPr="00520861">
        <w:rPr>
          <w:sz w:val="28"/>
          <w:szCs w:val="28"/>
          <w:lang w:val="en-US"/>
        </w:rPr>
        <w:t xml:space="preserve">isorders in the fetal period, associated with intrauterine obesity in persons born </w:t>
      </w:r>
      <w:proofErr w:type="spellStart"/>
      <w:r w:rsidR="00476FD6" w:rsidRPr="00520861">
        <w:rPr>
          <w:sz w:val="28"/>
          <w:szCs w:val="28"/>
          <w:lang w:val="en-US"/>
        </w:rPr>
        <w:t>macrosomic</w:t>
      </w:r>
      <w:proofErr w:type="spellEnd"/>
      <w:r w:rsidR="00476FD6" w:rsidRPr="00520861">
        <w:rPr>
          <w:sz w:val="28"/>
          <w:szCs w:val="28"/>
          <w:lang w:val="en-US"/>
        </w:rPr>
        <w:t xml:space="preserve">, in ontogenesis in the majority of adults has been found to cause changes in the oral cavity that are accompanied by the destruction of periodontal tissues with a predominance of non-inflammatory component and manifested: alveolar processes atrophy, gums recession, and are accompanied by wedge-shaped defects development. In such </w:t>
      </w:r>
      <w:r w:rsidR="00FA6B05" w:rsidRPr="00520861">
        <w:rPr>
          <w:sz w:val="28"/>
          <w:szCs w:val="28"/>
          <w:lang w:val="en-US"/>
        </w:rPr>
        <w:br/>
      </w:r>
      <w:r w:rsidR="00476FD6" w:rsidRPr="00520861">
        <w:rPr>
          <w:sz w:val="28"/>
          <w:szCs w:val="28"/>
          <w:lang w:val="en-US"/>
        </w:rPr>
        <w:t>individuals, the optical density of the cortical jaw bon</w:t>
      </w:r>
      <w:r w:rsidR="00796F68" w:rsidRPr="00520861">
        <w:rPr>
          <w:sz w:val="28"/>
          <w:szCs w:val="28"/>
          <w:lang w:val="en-US"/>
        </w:rPr>
        <w:t>e tissue is reliably reduced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00476FD6" w:rsidRPr="00520861">
        <w:rPr>
          <w:sz w:val="28"/>
          <w:szCs w:val="28"/>
          <w:lang w:val="en-US"/>
        </w:rPr>
        <w:t xml:space="preserve">) compared to controls. A well-balanced intrauterine development and relative intrauterine weight insufficiency in persons born </w:t>
      </w:r>
      <w:proofErr w:type="spellStart"/>
      <w:r w:rsidR="00476FD6" w:rsidRPr="00520861">
        <w:rPr>
          <w:sz w:val="28"/>
          <w:szCs w:val="28"/>
          <w:lang w:val="en-US"/>
        </w:rPr>
        <w:t>macrosomic</w:t>
      </w:r>
      <w:proofErr w:type="spellEnd"/>
      <w:r w:rsidR="00476FD6" w:rsidRPr="00520861">
        <w:rPr>
          <w:sz w:val="28"/>
          <w:szCs w:val="28"/>
          <w:lang w:val="en-US"/>
        </w:rPr>
        <w:t xml:space="preserve"> is mainly realized later in life by changes </w:t>
      </w:r>
      <w:r w:rsidR="00476FD6" w:rsidRPr="00520861">
        <w:rPr>
          <w:sz w:val="28"/>
          <w:szCs w:val="28"/>
          <w:lang w:val="en-US"/>
        </w:rPr>
        <w:lastRenderedPageBreak/>
        <w:t>in periodontal tissues with a predominance of the inflamm</w:t>
      </w:r>
      <w:r w:rsidR="00465C08" w:rsidRPr="00520861">
        <w:rPr>
          <w:sz w:val="28"/>
          <w:szCs w:val="28"/>
          <w:lang w:val="en-US"/>
        </w:rPr>
        <w:t>atory component and reliably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00476FD6" w:rsidRPr="00520861">
        <w:rPr>
          <w:sz w:val="28"/>
          <w:szCs w:val="28"/>
          <w:lang w:val="en-US"/>
        </w:rPr>
        <w:t>) reduced optical density of trabecular jaw bone.</w:t>
      </w:r>
    </w:p>
    <w:p w14:paraId="56DA330B"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For the first time, a comprehensive clinical and laboratory study of immunological, a significant range of metabolic parameters and physicochemical parameters has been conducted, and a rich assortment of parameters for the assessment of organism, in particular the condition of the dental apparatus, based on the oral fluid testing has been proved. Changes in phosphorus-calcium metabolism and alkaline phosphatase activity in </w:t>
      </w:r>
      <w:r w:rsidR="00FA6B05" w:rsidRPr="00520861">
        <w:rPr>
          <w:sz w:val="28"/>
          <w:szCs w:val="28"/>
          <w:lang w:val="en-US"/>
        </w:rPr>
        <w:br/>
      </w:r>
      <w:r w:rsidRPr="00520861">
        <w:rPr>
          <w:sz w:val="28"/>
          <w:szCs w:val="28"/>
          <w:lang w:val="en-US"/>
        </w:rPr>
        <w:t xml:space="preserve">unstimulated oral fluid can be used as markers of the development of oral disorders in </w:t>
      </w:r>
      <w:r w:rsidR="00FA6B05" w:rsidRPr="00520861">
        <w:rPr>
          <w:sz w:val="28"/>
          <w:szCs w:val="28"/>
          <w:lang w:val="en-US"/>
        </w:rPr>
        <w:br/>
      </w:r>
      <w:r w:rsidRPr="00520861">
        <w:rPr>
          <w:sz w:val="28"/>
          <w:szCs w:val="28"/>
          <w:lang w:val="en-US"/>
        </w:rPr>
        <w:t xml:space="preserve">individuals born </w:t>
      </w:r>
      <w:proofErr w:type="spellStart"/>
      <w:r w:rsidRPr="00520861">
        <w:rPr>
          <w:sz w:val="28"/>
          <w:szCs w:val="28"/>
          <w:lang w:val="en-US"/>
        </w:rPr>
        <w:t>macrosomic</w:t>
      </w:r>
      <w:proofErr w:type="spellEnd"/>
      <w:r w:rsidRPr="00520861">
        <w:rPr>
          <w:sz w:val="28"/>
          <w:szCs w:val="28"/>
          <w:lang w:val="en-US"/>
        </w:rPr>
        <w:t>, taking into account the differences in their anthropometric parameters at birth.</w:t>
      </w:r>
    </w:p>
    <w:p w14:paraId="0BE50843"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The relationship between the dynamics of humoral factors (content of leptin, adiponectin, cortisol), secretory activity of salivary glands (α-amylase activity), indicators of antioxidant-prooxidant status (catalase, </w:t>
      </w:r>
      <w:proofErr w:type="spellStart"/>
      <w:r w:rsidRPr="00520861">
        <w:rPr>
          <w:sz w:val="28"/>
          <w:szCs w:val="28"/>
          <w:lang w:val="en-US"/>
        </w:rPr>
        <w:t>superoxidedismutase</w:t>
      </w:r>
      <w:proofErr w:type="spellEnd"/>
      <w:r w:rsidRPr="00520861">
        <w:rPr>
          <w:sz w:val="28"/>
          <w:szCs w:val="28"/>
          <w:lang w:val="en-US"/>
        </w:rPr>
        <w:t xml:space="preserve"> activity and the content of products that react with </w:t>
      </w:r>
      <w:proofErr w:type="spellStart"/>
      <w:r w:rsidRPr="00520861">
        <w:rPr>
          <w:sz w:val="28"/>
          <w:szCs w:val="28"/>
          <w:lang w:val="en-US"/>
        </w:rPr>
        <w:t>thiobarbituric</w:t>
      </w:r>
      <w:proofErr w:type="spellEnd"/>
      <w:r w:rsidRPr="00520861">
        <w:rPr>
          <w:sz w:val="28"/>
          <w:szCs w:val="28"/>
          <w:lang w:val="en-US"/>
        </w:rPr>
        <w:t xml:space="preserve"> acid) cytokines (IL-6) identified in unstimulated oral fluid in individuals of different ages who were born </w:t>
      </w:r>
      <w:proofErr w:type="spellStart"/>
      <w:r w:rsidRPr="00520861">
        <w:rPr>
          <w:sz w:val="28"/>
          <w:szCs w:val="28"/>
          <w:lang w:val="en-US"/>
        </w:rPr>
        <w:t>macrosomic</w:t>
      </w:r>
      <w:proofErr w:type="spellEnd"/>
      <w:r w:rsidRPr="00520861">
        <w:rPr>
          <w:sz w:val="28"/>
          <w:szCs w:val="28"/>
          <w:lang w:val="en-US"/>
        </w:rPr>
        <w:t>, and the intensity of the carious process in their deciduous and permanent teeth.</w:t>
      </w:r>
    </w:p>
    <w:p w14:paraId="6C7AAEF4"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The connection between changes in the activity of transamination enzymes, indicators of systemic humoral and local immunity, the content of connective tissue metabolism markers (oxyproline) and the changes in the cytokine profile in unstimulated oral fluid in different age persons born </w:t>
      </w:r>
      <w:proofErr w:type="spellStart"/>
      <w:r w:rsidRPr="00520861">
        <w:rPr>
          <w:sz w:val="28"/>
          <w:szCs w:val="28"/>
          <w:lang w:val="en-US"/>
        </w:rPr>
        <w:t>macrosomic</w:t>
      </w:r>
      <w:proofErr w:type="spellEnd"/>
      <w:r w:rsidRPr="00520861">
        <w:rPr>
          <w:sz w:val="28"/>
          <w:szCs w:val="28"/>
          <w:lang w:val="en-US"/>
        </w:rPr>
        <w:t xml:space="preserve"> and course of periodontal tissue diseases has been proved.</w:t>
      </w:r>
    </w:p>
    <w:p w14:paraId="3996C4D2" w14:textId="77777777" w:rsidR="00476FD6" w:rsidRPr="00520861" w:rsidRDefault="005C719C" w:rsidP="00292D2E">
      <w:pPr>
        <w:widowControl w:val="0"/>
        <w:spacing w:line="360" w:lineRule="auto"/>
        <w:ind w:firstLine="708"/>
        <w:jc w:val="both"/>
        <w:rPr>
          <w:sz w:val="28"/>
          <w:szCs w:val="28"/>
          <w:lang w:val="en-US"/>
        </w:rPr>
      </w:pPr>
      <w:r w:rsidRPr="00520861">
        <w:rPr>
          <w:sz w:val="28"/>
          <w:szCs w:val="28"/>
          <w:lang w:val="en-US"/>
        </w:rPr>
        <w:t>It has been proved (</w:t>
      </w:r>
      <w:r w:rsidR="00400F35" w:rsidRPr="00520861">
        <w:rPr>
          <w:rFonts w:eastAsia="Calibri"/>
          <w:i/>
          <w:sz w:val="28"/>
          <w:szCs w:val="28"/>
          <w:lang w:eastAsia="en-US"/>
        </w:rPr>
        <w:t>p</w:t>
      </w:r>
      <w:r w:rsidR="00CD7533" w:rsidRPr="00520861">
        <w:rPr>
          <w:rFonts w:eastAsia="Calibri"/>
          <w:sz w:val="28"/>
          <w:szCs w:val="28"/>
          <w:lang w:eastAsia="en-US"/>
        </w:rPr>
        <w:t>&lt;</w:t>
      </w:r>
      <w:r w:rsidR="00400F35" w:rsidRPr="00520861">
        <w:rPr>
          <w:rFonts w:eastAsia="Calibri"/>
          <w:sz w:val="28"/>
          <w:szCs w:val="28"/>
          <w:lang w:eastAsia="en-US"/>
        </w:rPr>
        <w:t>0.05</w:t>
      </w:r>
      <w:r w:rsidR="00476FD6" w:rsidRPr="00520861">
        <w:rPr>
          <w:sz w:val="28"/>
          <w:szCs w:val="28"/>
          <w:lang w:val="en-US"/>
        </w:rPr>
        <w:t xml:space="preserve">) that the presence of the G allele of the </w:t>
      </w:r>
      <w:r w:rsidR="00476FD6" w:rsidRPr="00520861">
        <w:rPr>
          <w:i/>
          <w:sz w:val="28"/>
          <w:szCs w:val="28"/>
          <w:lang w:val="en-US"/>
        </w:rPr>
        <w:t>CYP19A1</w:t>
      </w:r>
      <w:r w:rsidR="00476FD6" w:rsidRPr="00520861">
        <w:rPr>
          <w:sz w:val="28"/>
          <w:szCs w:val="28"/>
          <w:lang w:val="en-US"/>
        </w:rPr>
        <w:t xml:space="preserve"> gene [rs2414096] (multiplicative model of inheritance, </w:t>
      </w:r>
      <w:r w:rsidR="00EA2EE7" w:rsidRPr="00520861">
        <w:rPr>
          <w:sz w:val="28"/>
          <w:szCs w:val="28"/>
          <w:lang w:val="en-US"/>
        </w:rPr>
        <w:t>OR</w:t>
      </w:r>
      <w:r w:rsidR="00476FD6" w:rsidRPr="00520861">
        <w:rPr>
          <w:sz w:val="28"/>
          <w:szCs w:val="28"/>
          <w:lang w:val="en-US"/>
        </w:rPr>
        <w:t xml:space="preserve"> = 2,826) and the presence of the </w:t>
      </w:r>
      <w:r w:rsidR="00DC5C9F" w:rsidRPr="00520861">
        <w:rPr>
          <w:sz w:val="28"/>
          <w:szCs w:val="28"/>
          <w:lang w:val="en-US"/>
        </w:rPr>
        <w:br/>
      </w:r>
      <w:r w:rsidR="00476FD6" w:rsidRPr="00520861">
        <w:rPr>
          <w:sz w:val="28"/>
          <w:szCs w:val="28"/>
          <w:lang w:val="en-US"/>
        </w:rPr>
        <w:t xml:space="preserve">-351 A allele of the </w:t>
      </w:r>
      <w:r w:rsidR="00476FD6" w:rsidRPr="00520861">
        <w:rPr>
          <w:i/>
          <w:sz w:val="28"/>
          <w:szCs w:val="28"/>
          <w:lang w:val="en-US"/>
        </w:rPr>
        <w:t>ESR1</w:t>
      </w:r>
      <w:r w:rsidR="00476FD6" w:rsidRPr="00520861">
        <w:rPr>
          <w:sz w:val="28"/>
          <w:szCs w:val="28"/>
          <w:lang w:val="en-US"/>
        </w:rPr>
        <w:t xml:space="preserve"> gene [rs9340799] (multiplicative model of inheritance, </w:t>
      </w:r>
      <w:r w:rsidR="00E952F7" w:rsidRPr="00520861">
        <w:rPr>
          <w:sz w:val="28"/>
          <w:szCs w:val="28"/>
          <w:lang w:val="en-US"/>
        </w:rPr>
        <w:br/>
      </w:r>
      <w:r w:rsidR="00EA2EE7" w:rsidRPr="00520861">
        <w:rPr>
          <w:sz w:val="28"/>
          <w:szCs w:val="28"/>
          <w:lang w:val="en-US"/>
        </w:rPr>
        <w:t>OR</w:t>
      </w:r>
      <w:r w:rsidR="00476FD6" w:rsidRPr="00520861">
        <w:rPr>
          <w:sz w:val="28"/>
          <w:szCs w:val="28"/>
          <w:lang w:val="en-US"/>
        </w:rPr>
        <w:t xml:space="preserve"> = 2,107) are the risk factors for fetal macrosomia.</w:t>
      </w:r>
    </w:p>
    <w:p w14:paraId="680981A1" w14:textId="77777777" w:rsidR="00012DA5" w:rsidRPr="00520861" w:rsidRDefault="00476FD6" w:rsidP="00292D2E">
      <w:pPr>
        <w:widowControl w:val="0"/>
        <w:spacing w:line="360" w:lineRule="auto"/>
        <w:ind w:right="-1" w:firstLine="709"/>
        <w:jc w:val="both"/>
        <w:rPr>
          <w:sz w:val="28"/>
          <w:szCs w:val="28"/>
          <w:lang w:val="en-US"/>
        </w:rPr>
      </w:pPr>
      <w:r w:rsidRPr="00520861">
        <w:rPr>
          <w:sz w:val="28"/>
          <w:szCs w:val="28"/>
          <w:lang w:val="en-US"/>
        </w:rPr>
        <w:t>For th</w:t>
      </w:r>
      <w:r w:rsidR="00EA2EE7" w:rsidRPr="00520861">
        <w:rPr>
          <w:sz w:val="28"/>
          <w:szCs w:val="28"/>
          <w:lang w:val="en-US"/>
        </w:rPr>
        <w:t xml:space="preserve">e first time for the persons born </w:t>
      </w:r>
      <w:proofErr w:type="spellStart"/>
      <w:r w:rsidR="00EA2EE7" w:rsidRPr="00520861">
        <w:rPr>
          <w:sz w:val="28"/>
          <w:szCs w:val="28"/>
          <w:lang w:val="en-US"/>
        </w:rPr>
        <w:t>macrosomic</w:t>
      </w:r>
      <w:proofErr w:type="spellEnd"/>
      <w:r w:rsidRPr="00520861">
        <w:rPr>
          <w:sz w:val="28"/>
          <w:szCs w:val="28"/>
          <w:lang w:val="en-US"/>
        </w:rPr>
        <w:t>, differences in the rate of distribution of genotypes and alleles of polymorphic variants of candidate genes, which are genetic markers of disorders of the stomatognathic system (</w:t>
      </w:r>
      <w:r w:rsidRPr="00520861">
        <w:rPr>
          <w:i/>
          <w:sz w:val="28"/>
          <w:szCs w:val="28"/>
          <w:lang w:val="en-US"/>
        </w:rPr>
        <w:t>ESR1</w:t>
      </w:r>
      <w:r w:rsidR="00EA2EE7" w:rsidRPr="00520861">
        <w:rPr>
          <w:sz w:val="28"/>
          <w:szCs w:val="28"/>
          <w:lang w:val="en-US"/>
        </w:rPr>
        <w:t xml:space="preserve"> [rs</w:t>
      </w:r>
      <w:r w:rsidRPr="00520861">
        <w:rPr>
          <w:sz w:val="28"/>
          <w:szCs w:val="28"/>
          <w:lang w:val="en-US"/>
        </w:rPr>
        <w:t xml:space="preserve">2234693], </w:t>
      </w:r>
      <w:r w:rsidRPr="00520861">
        <w:rPr>
          <w:i/>
          <w:sz w:val="28"/>
          <w:szCs w:val="28"/>
          <w:lang w:val="en-US"/>
        </w:rPr>
        <w:t>CYP19A1</w:t>
      </w:r>
      <w:r w:rsidR="00796F68" w:rsidRPr="00520861">
        <w:rPr>
          <w:sz w:val="28"/>
          <w:szCs w:val="28"/>
          <w:lang w:val="en-US"/>
        </w:rPr>
        <w:t xml:space="preserve"> </w:t>
      </w:r>
      <w:r w:rsidRPr="00520861">
        <w:rPr>
          <w:sz w:val="28"/>
          <w:szCs w:val="28"/>
          <w:lang w:val="en-US"/>
        </w:rPr>
        <w:t xml:space="preserve">[rs2414096], </w:t>
      </w:r>
      <w:r w:rsidR="00EA2EE7" w:rsidRPr="00520861">
        <w:rPr>
          <w:i/>
          <w:sz w:val="28"/>
          <w:szCs w:val="28"/>
          <w:lang w:val="en-US"/>
        </w:rPr>
        <w:t>IL10</w:t>
      </w:r>
      <w:r w:rsidR="00EA2EE7" w:rsidRPr="00520861">
        <w:rPr>
          <w:sz w:val="28"/>
          <w:szCs w:val="28"/>
          <w:lang w:val="en-US"/>
        </w:rPr>
        <w:t xml:space="preserve"> [rs1800896]) </w:t>
      </w:r>
      <w:r w:rsidRPr="00520861">
        <w:rPr>
          <w:sz w:val="28"/>
          <w:szCs w:val="28"/>
          <w:lang w:val="en-US"/>
        </w:rPr>
        <w:t>were established and</w:t>
      </w:r>
      <w:r w:rsidR="00EA2EE7" w:rsidRPr="00520861">
        <w:rPr>
          <w:sz w:val="28"/>
          <w:szCs w:val="28"/>
          <w:lang w:val="en-US"/>
        </w:rPr>
        <w:t xml:space="preserve"> proposed as diagnostic markers</w:t>
      </w:r>
      <w:r w:rsidRPr="00520861">
        <w:rPr>
          <w:sz w:val="28"/>
          <w:szCs w:val="28"/>
          <w:lang w:val="en-US"/>
        </w:rPr>
        <w:t xml:space="preserve"> and, in particular, deviations from the regional norm of terms of eruptio</w:t>
      </w:r>
      <w:r w:rsidR="00012DA5" w:rsidRPr="00520861">
        <w:rPr>
          <w:sz w:val="28"/>
          <w:szCs w:val="28"/>
          <w:lang w:val="en-US"/>
        </w:rPr>
        <w:t xml:space="preserve">n of deciduous </w:t>
      </w:r>
      <w:r w:rsidRPr="00520861">
        <w:rPr>
          <w:sz w:val="28"/>
          <w:szCs w:val="28"/>
          <w:lang w:val="en-US"/>
        </w:rPr>
        <w:t xml:space="preserve">teeth </w:t>
      </w:r>
      <w:r w:rsidR="00012DA5" w:rsidRPr="00520861">
        <w:rPr>
          <w:sz w:val="28"/>
          <w:szCs w:val="28"/>
          <w:lang w:val="en-US"/>
        </w:rPr>
        <w:lastRenderedPageBreak/>
        <w:t>(</w:t>
      </w:r>
      <w:r w:rsidR="00012DA5" w:rsidRPr="00520861">
        <w:rPr>
          <w:rFonts w:eastAsia="Calibri"/>
          <w:i/>
          <w:sz w:val="28"/>
          <w:szCs w:val="28"/>
          <w:lang w:val="en-US" w:eastAsia="en-US"/>
        </w:rPr>
        <w:t xml:space="preserve">RANKL </w:t>
      </w:r>
      <w:r w:rsidR="00012DA5" w:rsidRPr="00520861">
        <w:rPr>
          <w:rFonts w:eastAsia="Calibri"/>
          <w:sz w:val="28"/>
          <w:szCs w:val="28"/>
          <w:lang w:val="en-US" w:eastAsia="en-US"/>
        </w:rPr>
        <w:t xml:space="preserve">[rs9594759], </w:t>
      </w:r>
      <w:r w:rsidR="00012DA5" w:rsidRPr="00520861">
        <w:rPr>
          <w:rFonts w:eastAsia="Calibri"/>
          <w:i/>
          <w:sz w:val="28"/>
          <w:szCs w:val="28"/>
          <w:lang w:val="en-US" w:eastAsia="en-US"/>
        </w:rPr>
        <w:t>IL-10</w:t>
      </w:r>
      <w:r w:rsidR="00BC6D94" w:rsidRPr="00520861">
        <w:rPr>
          <w:rFonts w:eastAsia="Calibri"/>
          <w:sz w:val="28"/>
          <w:szCs w:val="28"/>
          <w:lang w:val="en-US" w:eastAsia="en-US"/>
        </w:rPr>
        <w:t xml:space="preserve"> [rs1800896] and</w:t>
      </w:r>
      <w:r w:rsidR="00012DA5" w:rsidRPr="00520861">
        <w:rPr>
          <w:rFonts w:eastAsia="Calibri"/>
          <w:sz w:val="28"/>
          <w:szCs w:val="28"/>
          <w:lang w:val="en-US" w:eastAsia="en-US"/>
        </w:rPr>
        <w:t xml:space="preserve"> </w:t>
      </w:r>
      <w:r w:rsidR="00012DA5" w:rsidRPr="00520861">
        <w:rPr>
          <w:rFonts w:eastAsia="Calibri"/>
          <w:i/>
          <w:sz w:val="28"/>
          <w:szCs w:val="28"/>
          <w:lang w:val="en-US" w:eastAsia="en-US"/>
        </w:rPr>
        <w:t>CYP19A1</w:t>
      </w:r>
      <w:r w:rsidR="00012DA5" w:rsidRPr="00520861">
        <w:rPr>
          <w:rFonts w:eastAsia="Calibri"/>
          <w:sz w:val="28"/>
          <w:szCs w:val="28"/>
          <w:lang w:val="en-US" w:eastAsia="en-US"/>
        </w:rPr>
        <w:t xml:space="preserve"> [rs2414096]</w:t>
      </w:r>
      <w:r w:rsidR="00012DA5" w:rsidRPr="00520861">
        <w:rPr>
          <w:sz w:val="28"/>
          <w:szCs w:val="28"/>
          <w:lang w:val="en-US"/>
        </w:rPr>
        <w:t xml:space="preserve">), </w:t>
      </w:r>
      <w:r w:rsidRPr="00520861">
        <w:rPr>
          <w:sz w:val="28"/>
          <w:szCs w:val="28"/>
          <w:lang w:val="en-US"/>
        </w:rPr>
        <w:t xml:space="preserve">high </w:t>
      </w:r>
      <w:r w:rsidR="00012DA5" w:rsidRPr="00520861">
        <w:rPr>
          <w:sz w:val="28"/>
          <w:szCs w:val="28"/>
          <w:lang w:val="en-US"/>
        </w:rPr>
        <w:t xml:space="preserve">intensity of </w:t>
      </w:r>
      <w:r w:rsidR="00E952F7" w:rsidRPr="00520861">
        <w:rPr>
          <w:sz w:val="28"/>
          <w:szCs w:val="28"/>
          <w:lang w:val="en-US"/>
        </w:rPr>
        <w:br/>
      </w:r>
      <w:r w:rsidR="00012DA5" w:rsidRPr="00520861">
        <w:rPr>
          <w:sz w:val="28"/>
          <w:szCs w:val="28"/>
          <w:lang w:val="en-US"/>
        </w:rPr>
        <w:t>caries of deciduous</w:t>
      </w:r>
      <w:r w:rsidRPr="00520861">
        <w:rPr>
          <w:sz w:val="28"/>
          <w:szCs w:val="28"/>
          <w:lang w:val="en-US"/>
        </w:rPr>
        <w:t xml:space="preserve"> </w:t>
      </w:r>
      <w:r w:rsidR="00012DA5" w:rsidRPr="00520861">
        <w:rPr>
          <w:sz w:val="28"/>
          <w:szCs w:val="28"/>
          <w:lang w:val="en-US"/>
        </w:rPr>
        <w:t>(</w:t>
      </w:r>
      <w:r w:rsidR="00012DA5" w:rsidRPr="00520861">
        <w:rPr>
          <w:rFonts w:eastAsia="Calibri"/>
          <w:i/>
          <w:sz w:val="28"/>
          <w:szCs w:val="28"/>
          <w:lang w:val="en-US" w:eastAsia="en-US"/>
        </w:rPr>
        <w:t xml:space="preserve">CYP19A1 </w:t>
      </w:r>
      <w:r w:rsidR="00012DA5" w:rsidRPr="00520861">
        <w:rPr>
          <w:rFonts w:eastAsia="Calibri"/>
          <w:sz w:val="28"/>
          <w:szCs w:val="28"/>
          <w:lang w:val="en-US" w:eastAsia="en-US"/>
        </w:rPr>
        <w:t>[rs2414096]</w:t>
      </w:r>
      <w:r w:rsidR="00012DA5" w:rsidRPr="00520861">
        <w:rPr>
          <w:sz w:val="28"/>
          <w:szCs w:val="28"/>
          <w:lang w:val="en-US"/>
        </w:rPr>
        <w:t>) and</w:t>
      </w:r>
      <w:r w:rsidRPr="00520861">
        <w:rPr>
          <w:sz w:val="28"/>
          <w:szCs w:val="28"/>
          <w:lang w:val="en-US"/>
        </w:rPr>
        <w:t xml:space="preserve"> permanent teeth (</w:t>
      </w:r>
      <w:r w:rsidR="00012DA5" w:rsidRPr="00520861">
        <w:rPr>
          <w:i/>
          <w:sz w:val="28"/>
          <w:szCs w:val="28"/>
          <w:lang w:val="en-US"/>
        </w:rPr>
        <w:t>RANK</w:t>
      </w:r>
      <w:r w:rsidR="00012DA5" w:rsidRPr="00520861">
        <w:rPr>
          <w:sz w:val="28"/>
          <w:szCs w:val="28"/>
          <w:lang w:val="en-US"/>
        </w:rPr>
        <w:t xml:space="preserve"> [rs9594738], </w:t>
      </w:r>
      <w:r w:rsidR="00012DA5" w:rsidRPr="00520861">
        <w:rPr>
          <w:i/>
          <w:sz w:val="28"/>
          <w:szCs w:val="28"/>
          <w:lang w:val="en-US"/>
        </w:rPr>
        <w:t xml:space="preserve">VDR </w:t>
      </w:r>
      <w:r w:rsidR="00A458C7" w:rsidRPr="00520861">
        <w:rPr>
          <w:sz w:val="28"/>
          <w:szCs w:val="28"/>
          <w:lang w:val="en-US"/>
        </w:rPr>
        <w:t>[rs1544410] and</w:t>
      </w:r>
      <w:r w:rsidR="00012DA5" w:rsidRPr="00520861">
        <w:rPr>
          <w:sz w:val="28"/>
          <w:szCs w:val="28"/>
          <w:lang w:val="en-US"/>
        </w:rPr>
        <w:t xml:space="preserve"> </w:t>
      </w:r>
      <w:r w:rsidR="00012DA5" w:rsidRPr="00520861">
        <w:rPr>
          <w:i/>
          <w:sz w:val="28"/>
          <w:szCs w:val="28"/>
          <w:lang w:val="en-US"/>
        </w:rPr>
        <w:t xml:space="preserve">IL6 </w:t>
      </w:r>
      <w:r w:rsidR="00012DA5" w:rsidRPr="00520861">
        <w:rPr>
          <w:sz w:val="28"/>
          <w:szCs w:val="28"/>
          <w:lang w:val="en-US"/>
        </w:rPr>
        <w:t>[rs1800795]),</w:t>
      </w:r>
      <w:r w:rsidRPr="00520861">
        <w:rPr>
          <w:sz w:val="28"/>
          <w:szCs w:val="28"/>
          <w:lang w:val="en-US"/>
        </w:rPr>
        <w:t xml:space="preserve"> different variants of periodontal tissue d</w:t>
      </w:r>
      <w:r w:rsidR="005C4ECD" w:rsidRPr="00520861">
        <w:rPr>
          <w:sz w:val="28"/>
          <w:szCs w:val="28"/>
          <w:lang w:val="en-US"/>
        </w:rPr>
        <w:t xml:space="preserve">iseases </w:t>
      </w:r>
      <w:r w:rsidR="00012DA5" w:rsidRPr="00520861">
        <w:rPr>
          <w:sz w:val="28"/>
          <w:szCs w:val="28"/>
          <w:lang w:val="en-US"/>
        </w:rPr>
        <w:t>(</w:t>
      </w:r>
      <w:r w:rsidR="00012DA5" w:rsidRPr="00520861">
        <w:rPr>
          <w:i/>
          <w:sz w:val="28"/>
          <w:szCs w:val="28"/>
          <w:lang w:val="en-US"/>
        </w:rPr>
        <w:t xml:space="preserve">ESR1 </w:t>
      </w:r>
      <w:r w:rsidR="00012DA5" w:rsidRPr="00520861">
        <w:rPr>
          <w:sz w:val="28"/>
          <w:szCs w:val="28"/>
          <w:lang w:val="en-US"/>
        </w:rPr>
        <w:t xml:space="preserve">[rs2234693], </w:t>
      </w:r>
      <w:r w:rsidR="00012DA5" w:rsidRPr="00520861">
        <w:rPr>
          <w:i/>
          <w:sz w:val="28"/>
          <w:szCs w:val="28"/>
          <w:lang w:val="en-US"/>
        </w:rPr>
        <w:t>IL-1</w:t>
      </w:r>
      <w:r w:rsidR="00012DA5" w:rsidRPr="00520861">
        <w:rPr>
          <w:i/>
          <w:sz w:val="28"/>
          <w:szCs w:val="28"/>
          <w:lang w:val="en-US"/>
        </w:rPr>
        <w:sym w:font="Symbol" w:char="F062"/>
      </w:r>
      <w:r w:rsidR="00012DA5" w:rsidRPr="00520861">
        <w:rPr>
          <w:sz w:val="28"/>
          <w:szCs w:val="28"/>
          <w:lang w:val="en-US"/>
        </w:rPr>
        <w:t xml:space="preserve"> [rs114</w:t>
      </w:r>
      <w:r w:rsidR="00A458C7" w:rsidRPr="00520861">
        <w:rPr>
          <w:sz w:val="28"/>
          <w:szCs w:val="28"/>
          <w:lang w:val="en-US"/>
        </w:rPr>
        <w:t>3627] and</w:t>
      </w:r>
      <w:r w:rsidR="00012DA5" w:rsidRPr="00520861">
        <w:rPr>
          <w:sz w:val="28"/>
          <w:szCs w:val="28"/>
          <w:lang w:val="en-US"/>
        </w:rPr>
        <w:t xml:space="preserve"> </w:t>
      </w:r>
      <w:r w:rsidR="00012DA5" w:rsidRPr="00520861">
        <w:rPr>
          <w:i/>
          <w:sz w:val="28"/>
          <w:szCs w:val="28"/>
          <w:lang w:val="en-US"/>
        </w:rPr>
        <w:t xml:space="preserve">RANKL </w:t>
      </w:r>
      <w:r w:rsidR="00012DA5" w:rsidRPr="00520861">
        <w:rPr>
          <w:sz w:val="28"/>
          <w:szCs w:val="28"/>
          <w:lang w:val="en-US"/>
        </w:rPr>
        <w:t>[rs9594738, rs9594759]).</w:t>
      </w:r>
    </w:p>
    <w:p w14:paraId="4FBEF96B"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For the first time, a concept has been developed that summarizes the prognostic </w:t>
      </w:r>
      <w:r w:rsidR="00FA6B05" w:rsidRPr="00520861">
        <w:rPr>
          <w:sz w:val="28"/>
          <w:szCs w:val="28"/>
          <w:lang w:val="en-US"/>
        </w:rPr>
        <w:br/>
      </w:r>
      <w:r w:rsidRPr="00520861">
        <w:rPr>
          <w:sz w:val="28"/>
          <w:szCs w:val="28"/>
          <w:lang w:val="en-US"/>
        </w:rPr>
        <w:t xml:space="preserve">markers usage for individuals of different ages (for different stages of the dental system development), which establishes the predominant dependence of dental disorders on the characteristics of the fetal period in persons born </w:t>
      </w:r>
      <w:proofErr w:type="spellStart"/>
      <w:r w:rsidRPr="00520861">
        <w:rPr>
          <w:sz w:val="28"/>
          <w:szCs w:val="28"/>
          <w:lang w:val="en-US"/>
        </w:rPr>
        <w:t>macrosomic</w:t>
      </w:r>
      <w:proofErr w:type="spellEnd"/>
      <w:r w:rsidRPr="00520861">
        <w:rPr>
          <w:sz w:val="28"/>
          <w:szCs w:val="28"/>
          <w:lang w:val="en-US"/>
        </w:rPr>
        <w:t xml:space="preserve">, namely the well-balanced intrauterine weight and height gain, relative intrauterine weight insufficiency, or obesity combined with both large and medium body length of the </w:t>
      </w:r>
      <w:proofErr w:type="spellStart"/>
      <w:r w:rsidRPr="00520861">
        <w:rPr>
          <w:sz w:val="28"/>
          <w:szCs w:val="28"/>
          <w:lang w:val="en-US"/>
        </w:rPr>
        <w:t>macrosomic</w:t>
      </w:r>
      <w:proofErr w:type="spellEnd"/>
      <w:r w:rsidRPr="00520861">
        <w:rPr>
          <w:sz w:val="28"/>
          <w:szCs w:val="28"/>
          <w:lang w:val="en-US"/>
        </w:rPr>
        <w:t xml:space="preserve"> newborn.</w:t>
      </w:r>
    </w:p>
    <w:p w14:paraId="6C736858" w14:textId="77777777" w:rsidR="00476FD6" w:rsidRPr="00520861" w:rsidRDefault="00476FD6" w:rsidP="00292D2E">
      <w:pPr>
        <w:widowControl w:val="0"/>
        <w:spacing w:line="360" w:lineRule="auto"/>
        <w:ind w:firstLine="708"/>
        <w:jc w:val="both"/>
        <w:rPr>
          <w:sz w:val="28"/>
          <w:szCs w:val="28"/>
          <w:lang w:val="en-US"/>
        </w:rPr>
      </w:pPr>
      <w:r w:rsidRPr="00520861">
        <w:rPr>
          <w:sz w:val="28"/>
          <w:szCs w:val="28"/>
          <w:lang w:val="en-US"/>
        </w:rPr>
        <w:t xml:space="preserve">For the practical health care, a multi-stage strategy for diagnosing and predicting dental </w:t>
      </w:r>
      <w:r w:rsidR="00A458C7" w:rsidRPr="00520861">
        <w:rPr>
          <w:sz w:val="28"/>
          <w:szCs w:val="28"/>
          <w:lang w:val="en-US"/>
        </w:rPr>
        <w:t>disorders</w:t>
      </w:r>
      <w:r w:rsidRPr="00520861">
        <w:rPr>
          <w:sz w:val="28"/>
          <w:szCs w:val="28"/>
          <w:lang w:val="en-US"/>
        </w:rPr>
        <w:t xml:space="preserve"> in persons born </w:t>
      </w:r>
      <w:proofErr w:type="spellStart"/>
      <w:r w:rsidRPr="00520861">
        <w:rPr>
          <w:sz w:val="28"/>
          <w:szCs w:val="28"/>
          <w:lang w:val="en-US"/>
        </w:rPr>
        <w:t>macrosomiс</w:t>
      </w:r>
      <w:proofErr w:type="spellEnd"/>
      <w:r w:rsidRPr="00520861">
        <w:rPr>
          <w:sz w:val="28"/>
          <w:szCs w:val="28"/>
          <w:lang w:val="en-US"/>
        </w:rPr>
        <w:t xml:space="preserve"> has been proposed. The obtained clinical-</w:t>
      </w:r>
      <w:r w:rsidR="00FA6B05" w:rsidRPr="00520861">
        <w:rPr>
          <w:sz w:val="28"/>
          <w:szCs w:val="28"/>
          <w:lang w:val="en-US"/>
        </w:rPr>
        <w:br/>
      </w:r>
      <w:r w:rsidRPr="00520861">
        <w:rPr>
          <w:sz w:val="28"/>
          <w:szCs w:val="28"/>
          <w:lang w:val="en-US"/>
        </w:rPr>
        <w:t xml:space="preserve">retrospective, medical survey, clinical, biochemical and molecular-genetic data form the basis for the development of scientific prediction methods for borderline conditions and allow a personalized prediction of the course of dental diseases in persons born </w:t>
      </w:r>
      <w:proofErr w:type="spellStart"/>
      <w:r w:rsidRPr="00520861">
        <w:rPr>
          <w:sz w:val="28"/>
          <w:szCs w:val="28"/>
          <w:lang w:val="en-US"/>
        </w:rPr>
        <w:t>macrosomic</w:t>
      </w:r>
      <w:proofErr w:type="spellEnd"/>
      <w:r w:rsidRPr="00520861">
        <w:rPr>
          <w:sz w:val="28"/>
          <w:szCs w:val="28"/>
          <w:lang w:val="en-US"/>
        </w:rPr>
        <w:t>.</w:t>
      </w:r>
    </w:p>
    <w:p w14:paraId="2276D615" w14:textId="77777777" w:rsidR="0061509B" w:rsidRPr="00520861" w:rsidRDefault="00476FD6" w:rsidP="00292D2E">
      <w:pPr>
        <w:widowControl w:val="0"/>
        <w:spacing w:line="360" w:lineRule="auto"/>
        <w:ind w:firstLine="708"/>
        <w:rPr>
          <w:sz w:val="28"/>
          <w:szCs w:val="28"/>
          <w:lang w:val="en-US"/>
        </w:rPr>
        <w:sectPr w:rsidR="0061509B" w:rsidRPr="00520861" w:rsidSect="00D07A5A">
          <w:pgSz w:w="11906" w:h="16838"/>
          <w:pgMar w:top="1134" w:right="624" w:bottom="1134" w:left="1134" w:header="709" w:footer="709" w:gutter="0"/>
          <w:cols w:space="708"/>
          <w:docGrid w:linePitch="360"/>
        </w:sectPr>
      </w:pPr>
      <w:r w:rsidRPr="00520861">
        <w:rPr>
          <w:b/>
          <w:sz w:val="28"/>
          <w:szCs w:val="28"/>
          <w:lang w:val="en-US"/>
        </w:rPr>
        <w:t>Key words:</w:t>
      </w:r>
      <w:r w:rsidRPr="00520861">
        <w:rPr>
          <w:sz w:val="28"/>
          <w:szCs w:val="28"/>
          <w:lang w:val="en-US"/>
        </w:rPr>
        <w:t xml:space="preserve"> fetal macrosomia, caries,</w:t>
      </w:r>
      <w:r w:rsidR="003F2AC0" w:rsidRPr="00520861">
        <w:rPr>
          <w:sz w:val="28"/>
          <w:szCs w:val="28"/>
          <w:lang w:val="en-US"/>
        </w:rPr>
        <w:t xml:space="preserve"> periodontal disease, dental </w:t>
      </w:r>
      <w:r w:rsidR="00A458C7" w:rsidRPr="00520861">
        <w:rPr>
          <w:sz w:val="28"/>
          <w:szCs w:val="28"/>
          <w:lang w:val="en-US"/>
        </w:rPr>
        <w:t>malocclusion</w:t>
      </w:r>
      <w:r w:rsidRPr="00520861">
        <w:rPr>
          <w:sz w:val="28"/>
          <w:szCs w:val="28"/>
          <w:lang w:val="en-US"/>
        </w:rPr>
        <w:t>, risk factor, pathogenesis, diagnosis, prognosis</w:t>
      </w:r>
      <w:r w:rsidR="00BD6303" w:rsidRPr="00520861">
        <w:rPr>
          <w:sz w:val="28"/>
          <w:szCs w:val="28"/>
          <w:lang w:val="en-US"/>
        </w:rPr>
        <w:t>.</w:t>
      </w:r>
    </w:p>
    <w:p w14:paraId="43FF9C80" w14:textId="77777777" w:rsidR="00862848" w:rsidRPr="00520861" w:rsidRDefault="00862848" w:rsidP="00292D2E">
      <w:pPr>
        <w:widowControl w:val="0"/>
        <w:spacing w:line="360" w:lineRule="auto"/>
        <w:ind w:firstLine="708"/>
        <w:jc w:val="both"/>
        <w:rPr>
          <w:b/>
          <w:sz w:val="28"/>
          <w:szCs w:val="28"/>
        </w:rPr>
      </w:pPr>
      <w:r w:rsidRPr="00520861">
        <w:rPr>
          <w:b/>
          <w:sz w:val="28"/>
          <w:szCs w:val="28"/>
        </w:rPr>
        <w:lastRenderedPageBreak/>
        <w:t>Список публікаці</w:t>
      </w:r>
      <w:r w:rsidR="00E034CD" w:rsidRPr="00520861">
        <w:rPr>
          <w:b/>
          <w:sz w:val="28"/>
          <w:szCs w:val="28"/>
        </w:rPr>
        <w:t>й здобувача за темою дисертації</w:t>
      </w:r>
      <w:r w:rsidR="00A36EF3" w:rsidRPr="00520861">
        <w:rPr>
          <w:b/>
          <w:sz w:val="28"/>
          <w:szCs w:val="28"/>
        </w:rPr>
        <w:t>.</w:t>
      </w:r>
    </w:p>
    <w:p w14:paraId="4023AF2B" w14:textId="77777777" w:rsidR="003A7FA3" w:rsidRPr="00520861" w:rsidRDefault="003A7FA3" w:rsidP="00292D2E">
      <w:pPr>
        <w:widowControl w:val="0"/>
        <w:spacing w:line="360" w:lineRule="auto"/>
        <w:ind w:firstLine="708"/>
        <w:rPr>
          <w:b/>
          <w:spacing w:val="-2"/>
          <w:sz w:val="28"/>
          <w:szCs w:val="28"/>
        </w:rPr>
      </w:pPr>
      <w:r w:rsidRPr="00520861">
        <w:rPr>
          <w:b/>
          <w:spacing w:val="-2"/>
          <w:sz w:val="28"/>
          <w:szCs w:val="28"/>
        </w:rPr>
        <w:t>Наукові праці</w:t>
      </w:r>
      <w:bookmarkStart w:id="0" w:name="n42"/>
      <w:bookmarkEnd w:id="0"/>
      <w:r w:rsidRPr="00520861">
        <w:rPr>
          <w:b/>
          <w:spacing w:val="-2"/>
          <w:sz w:val="28"/>
          <w:szCs w:val="28"/>
        </w:rPr>
        <w:t>, у яких опубліковано основні наукові результати дисертації:</w:t>
      </w:r>
    </w:p>
    <w:p w14:paraId="3403E834"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An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eruption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pattern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deciduous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teeth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children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fetal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during</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first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year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life</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Georgian</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Medical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News</w:t>
      </w:r>
      <w:proofErr w:type="spellEnd"/>
      <w:r w:rsidRPr="00520861">
        <w:rPr>
          <w:rFonts w:eastAsia="Calibri"/>
          <w:sz w:val="28"/>
          <w:szCs w:val="28"/>
          <w:lang w:eastAsia="en-US"/>
        </w:rPr>
        <w:t>. 2017;263(2): 14–23.</w:t>
      </w:r>
    </w:p>
    <w:p w14:paraId="14EFD5BB" w14:textId="77777777" w:rsidR="003A7FA3" w:rsidRPr="00520861" w:rsidRDefault="003A7FA3" w:rsidP="008F1D77">
      <w:pPr>
        <w:widowControl w:val="0"/>
        <w:numPr>
          <w:ilvl w:val="0"/>
          <w:numId w:val="1"/>
        </w:numPr>
        <w:shd w:val="clear" w:color="auto" w:fill="FFFFFF"/>
        <w:spacing w:after="200" w:line="360" w:lineRule="auto"/>
        <w:ind w:left="0" w:firstLine="0"/>
        <w:contextualSpacing/>
        <w:jc w:val="both"/>
        <w:rPr>
          <w:rFonts w:eastAsia="Calibri"/>
          <w:i/>
          <w:sz w:val="28"/>
          <w:szCs w:val="28"/>
          <w:lang w:eastAsia="en-US"/>
        </w:rPr>
      </w:pP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OV, </w:t>
      </w:r>
      <w:proofErr w:type="spellStart"/>
      <w:r w:rsidRPr="00520861">
        <w:rPr>
          <w:rFonts w:eastAsia="Calibri"/>
          <w:sz w:val="28"/>
          <w:szCs w:val="28"/>
          <w:lang w:eastAsia="en-US"/>
        </w:rPr>
        <w:t>Ryabokon</w:t>
      </w:r>
      <w:proofErr w:type="spellEnd"/>
      <w:r w:rsidRPr="00520861">
        <w:rPr>
          <w:rFonts w:eastAsia="Calibri"/>
          <w:sz w:val="28"/>
          <w:szCs w:val="28"/>
          <w:lang w:eastAsia="en-US"/>
        </w:rPr>
        <w:t xml:space="preserve"> EN.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effect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fetal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neonate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infant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dental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health</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International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Journal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of</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Clinical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Dentistry</w:t>
      </w:r>
      <w:proofErr w:type="spellEnd"/>
      <w:r w:rsidRPr="00520861">
        <w:rPr>
          <w:rFonts w:eastAsia="Calibri"/>
          <w:sz w:val="28"/>
          <w:szCs w:val="28"/>
          <w:lang w:eastAsia="en-US"/>
        </w:rPr>
        <w:t xml:space="preserve">. 2017;10(3): 199–210. </w:t>
      </w:r>
      <w:r w:rsidR="008C6094" w:rsidRPr="00520861">
        <w:rPr>
          <w:rFonts w:eastAsia="Calibri"/>
          <w:i/>
          <w:sz w:val="28"/>
          <w:szCs w:val="28"/>
          <w:lang w:eastAsia="en-US"/>
        </w:rPr>
        <w:t xml:space="preserve">(Особистий внесок – </w:t>
      </w:r>
      <w:r w:rsidR="006129C5" w:rsidRPr="00520861">
        <w:rPr>
          <w:rFonts w:eastAsia="Calibri"/>
          <w:i/>
          <w:sz w:val="28"/>
          <w:szCs w:val="28"/>
          <w:lang w:eastAsia="en-US"/>
        </w:rPr>
        <w:t>клінічне</w:t>
      </w:r>
      <w:r w:rsidRPr="00520861">
        <w:rPr>
          <w:rFonts w:eastAsia="Calibri"/>
          <w:i/>
          <w:sz w:val="28"/>
          <w:szCs w:val="28"/>
          <w:lang w:eastAsia="en-US"/>
        </w:rPr>
        <w:t xml:space="preserve"> стома</w:t>
      </w:r>
      <w:r w:rsidR="006129C5" w:rsidRPr="00520861">
        <w:rPr>
          <w:rFonts w:eastAsia="Calibri"/>
          <w:i/>
          <w:sz w:val="28"/>
          <w:szCs w:val="28"/>
          <w:lang w:eastAsia="en-US"/>
        </w:rPr>
        <w:t>тологічне обстеження пацієнтів</w:t>
      </w:r>
      <w:r w:rsidR="008C6094" w:rsidRPr="00520861">
        <w:rPr>
          <w:rFonts w:eastAsia="Calibri"/>
          <w:i/>
          <w:sz w:val="28"/>
          <w:szCs w:val="28"/>
          <w:lang w:eastAsia="en-US"/>
        </w:rPr>
        <w:t xml:space="preserve">, </w:t>
      </w:r>
      <w:r w:rsidR="00E65840" w:rsidRPr="00520861">
        <w:rPr>
          <w:rFonts w:eastAsia="Calibri"/>
          <w:i/>
          <w:sz w:val="28"/>
          <w:szCs w:val="28"/>
          <w:lang w:eastAsia="en-US"/>
        </w:rPr>
        <w:t xml:space="preserve">статистична обробка й </w:t>
      </w:r>
      <w:r w:rsidR="008C6094" w:rsidRPr="00520861">
        <w:rPr>
          <w:rFonts w:eastAsia="Calibri"/>
          <w:i/>
          <w:sz w:val="28"/>
          <w:szCs w:val="28"/>
          <w:lang w:eastAsia="en-US"/>
        </w:rPr>
        <w:t>аналіз отриманих результатів</w:t>
      </w:r>
      <w:r w:rsidRPr="00520861">
        <w:rPr>
          <w:rFonts w:eastAsia="Calibri"/>
          <w:i/>
          <w:sz w:val="28"/>
          <w:szCs w:val="28"/>
          <w:lang w:eastAsia="en-US"/>
        </w:rPr>
        <w:t xml:space="preserve">, </w:t>
      </w:r>
      <w:r w:rsidR="008C6094" w:rsidRPr="00520861">
        <w:rPr>
          <w:rFonts w:eastAsia="Calibri"/>
          <w:i/>
          <w:sz w:val="28"/>
          <w:szCs w:val="28"/>
          <w:lang w:eastAsia="en-US"/>
        </w:rPr>
        <w:t>підготовка статті</w:t>
      </w:r>
      <w:r w:rsidRPr="00520861">
        <w:rPr>
          <w:rFonts w:eastAsia="Calibri"/>
          <w:i/>
          <w:sz w:val="28"/>
          <w:szCs w:val="28"/>
          <w:lang w:eastAsia="en-US"/>
        </w:rPr>
        <w:t xml:space="preserve"> до друку).</w:t>
      </w:r>
    </w:p>
    <w:p w14:paraId="4FE71B4F"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Гармаш ОВ, Губіна-</w:t>
      </w:r>
      <w:proofErr w:type="spellStart"/>
      <w:r w:rsidRPr="00520861">
        <w:rPr>
          <w:rFonts w:eastAsia="Calibri"/>
          <w:sz w:val="28"/>
          <w:szCs w:val="28"/>
          <w:lang w:eastAsia="en-US"/>
        </w:rPr>
        <w:t>Вакулік</w:t>
      </w:r>
      <w:proofErr w:type="spellEnd"/>
      <w:r w:rsidRPr="00520861">
        <w:rPr>
          <w:rFonts w:eastAsia="Calibri"/>
          <w:sz w:val="28"/>
          <w:szCs w:val="28"/>
          <w:lang w:eastAsia="en-US"/>
        </w:rPr>
        <w:t xml:space="preserve"> ГІ. </w:t>
      </w:r>
      <w:proofErr w:type="spellStart"/>
      <w:r w:rsidRPr="00520861">
        <w:rPr>
          <w:rFonts w:eastAsia="Calibri"/>
          <w:sz w:val="28"/>
          <w:szCs w:val="28"/>
          <w:lang w:eastAsia="en-US"/>
        </w:rPr>
        <w:t>Морфофункціональний</w:t>
      </w:r>
      <w:proofErr w:type="spellEnd"/>
      <w:r w:rsidRPr="00520861">
        <w:rPr>
          <w:rFonts w:eastAsia="Calibri"/>
          <w:sz w:val="28"/>
          <w:szCs w:val="28"/>
          <w:lang w:eastAsia="en-US"/>
        </w:rPr>
        <w:t xml:space="preserve"> стан привушних слинних залоз тримісячних щурів при експериментально модельованій внутрішньоутробній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w:t>
      </w:r>
      <w:r w:rsidRPr="00520861">
        <w:rPr>
          <w:rFonts w:eastAsia="Calibri"/>
          <w:i/>
          <w:sz w:val="28"/>
          <w:szCs w:val="28"/>
          <w:lang w:eastAsia="en-US"/>
        </w:rPr>
        <w:t>Патологія</w:t>
      </w:r>
      <w:r w:rsidRPr="00520861">
        <w:rPr>
          <w:rFonts w:eastAsia="Calibri"/>
          <w:sz w:val="28"/>
          <w:szCs w:val="28"/>
          <w:lang w:eastAsia="en-US"/>
        </w:rPr>
        <w:t>. 2018;15(1): 81–87. (</w:t>
      </w:r>
      <w:r w:rsidR="00D92CFA" w:rsidRPr="00520861">
        <w:rPr>
          <w:rFonts w:eastAsia="Calibri"/>
          <w:i/>
          <w:sz w:val="28"/>
          <w:szCs w:val="28"/>
          <w:lang w:eastAsia="en-US"/>
        </w:rPr>
        <w:t>Особистий внесок –</w:t>
      </w:r>
      <w:r w:rsidR="007067BD" w:rsidRPr="00520861">
        <w:rPr>
          <w:rFonts w:eastAsia="Calibri"/>
          <w:i/>
          <w:sz w:val="28"/>
          <w:szCs w:val="28"/>
          <w:lang w:eastAsia="en-US"/>
        </w:rPr>
        <w:t>обґрунтування</w:t>
      </w:r>
      <w:r w:rsidR="00D25364" w:rsidRPr="00520861">
        <w:rPr>
          <w:rFonts w:eastAsia="Calibri"/>
          <w:i/>
          <w:sz w:val="28"/>
          <w:szCs w:val="28"/>
          <w:lang w:eastAsia="en-US"/>
        </w:rPr>
        <w:t xml:space="preserve"> </w:t>
      </w:r>
      <w:r w:rsidR="00D92CFA" w:rsidRPr="00520861">
        <w:rPr>
          <w:rFonts w:eastAsia="Calibri"/>
          <w:i/>
          <w:sz w:val="28"/>
          <w:szCs w:val="28"/>
          <w:lang w:eastAsia="en-US"/>
        </w:rPr>
        <w:t>концепції</w:t>
      </w:r>
      <w:r w:rsidRPr="00520861">
        <w:rPr>
          <w:rFonts w:eastAsia="Calibri"/>
          <w:i/>
          <w:sz w:val="28"/>
          <w:szCs w:val="28"/>
          <w:lang w:eastAsia="en-US"/>
        </w:rPr>
        <w:t xml:space="preserve"> дослідження, планування та проведення експерименту, </w:t>
      </w:r>
      <w:r w:rsidRPr="00520861">
        <w:rPr>
          <w:rFonts w:eastAsia="Calibri"/>
          <w:bCs/>
          <w:i/>
          <w:sz w:val="28"/>
          <w:szCs w:val="28"/>
          <w:lang w:eastAsia="en-US"/>
        </w:rPr>
        <w:t>відбір експериментального матеріалу тварин для отримання мікропрепаратів,</w:t>
      </w:r>
      <w:r w:rsidRPr="00520861">
        <w:rPr>
          <w:rFonts w:eastAsia="Calibri"/>
          <w:i/>
          <w:sz w:val="28"/>
          <w:szCs w:val="28"/>
          <w:lang w:eastAsia="en-US"/>
        </w:rPr>
        <w:t xml:space="preserve"> </w:t>
      </w:r>
      <w:r w:rsidR="004802CE" w:rsidRPr="00520861">
        <w:rPr>
          <w:rFonts w:eastAsia="Calibri"/>
          <w:i/>
          <w:sz w:val="28"/>
          <w:szCs w:val="28"/>
          <w:lang w:eastAsia="en-US"/>
        </w:rPr>
        <w:t>мор</w:t>
      </w:r>
      <w:r w:rsidR="005D7BE3" w:rsidRPr="00520861">
        <w:rPr>
          <w:rFonts w:eastAsia="Calibri"/>
          <w:i/>
          <w:sz w:val="28"/>
          <w:szCs w:val="28"/>
          <w:lang w:eastAsia="en-US"/>
        </w:rPr>
        <w:t>фометрія та статистична обробка</w:t>
      </w:r>
      <w:r w:rsidR="005D7BE3" w:rsidRPr="00520861">
        <w:rPr>
          <w:rFonts w:eastAsia="Calibri"/>
          <w:bCs/>
          <w:i/>
          <w:sz w:val="28"/>
          <w:szCs w:val="28"/>
          <w:lang w:eastAsia="en-US"/>
        </w:rPr>
        <w:t xml:space="preserve"> </w:t>
      </w:r>
      <w:r w:rsidR="004B5F80" w:rsidRPr="00520861">
        <w:rPr>
          <w:rFonts w:eastAsia="Calibri"/>
          <w:bCs/>
          <w:i/>
          <w:sz w:val="28"/>
          <w:szCs w:val="28"/>
          <w:lang w:eastAsia="en-US"/>
        </w:rPr>
        <w:t xml:space="preserve">даних, </w:t>
      </w:r>
      <w:r w:rsidRPr="00520861">
        <w:rPr>
          <w:rFonts w:eastAsia="Calibri"/>
          <w:i/>
          <w:sz w:val="28"/>
          <w:szCs w:val="28"/>
          <w:lang w:eastAsia="en-US"/>
        </w:rPr>
        <w:t>участь в аналізі зразків</w:t>
      </w:r>
      <w:r w:rsidR="004B5F80" w:rsidRPr="00520861">
        <w:rPr>
          <w:rFonts w:eastAsia="Calibri"/>
          <w:i/>
          <w:sz w:val="28"/>
          <w:szCs w:val="28"/>
          <w:lang w:eastAsia="en-US"/>
        </w:rPr>
        <w:t xml:space="preserve"> та</w:t>
      </w:r>
      <w:r w:rsidRPr="00520861">
        <w:rPr>
          <w:rFonts w:eastAsia="Calibri"/>
          <w:i/>
          <w:sz w:val="28"/>
          <w:szCs w:val="28"/>
          <w:lang w:eastAsia="en-US"/>
        </w:rPr>
        <w:t xml:space="preserve"> </w:t>
      </w:r>
      <w:r w:rsidRPr="00520861">
        <w:rPr>
          <w:rFonts w:eastAsia="Calibri"/>
          <w:bCs/>
          <w:i/>
          <w:sz w:val="28"/>
          <w:szCs w:val="28"/>
          <w:lang w:eastAsia="en-US"/>
        </w:rPr>
        <w:t xml:space="preserve">узагальнення отриманих результатів, </w:t>
      </w:r>
      <w:r w:rsidRPr="00520861">
        <w:rPr>
          <w:rFonts w:eastAsia="Calibri"/>
          <w:i/>
          <w:sz w:val="28"/>
          <w:szCs w:val="28"/>
          <w:lang w:eastAsia="en-US"/>
        </w:rPr>
        <w:t>підготовка статті до друку</w:t>
      </w:r>
      <w:r w:rsidRPr="00520861">
        <w:rPr>
          <w:rFonts w:eastAsia="Calibri"/>
          <w:sz w:val="28"/>
          <w:szCs w:val="28"/>
          <w:lang w:eastAsia="en-US"/>
        </w:rPr>
        <w:t>).</w:t>
      </w:r>
    </w:p>
    <w:p w14:paraId="700F7E43"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Gubina-Vakulik</w:t>
      </w:r>
      <w:proofErr w:type="spellEnd"/>
      <w:r w:rsidRPr="00520861">
        <w:rPr>
          <w:rFonts w:eastAsia="Calibri"/>
          <w:sz w:val="28"/>
          <w:szCs w:val="28"/>
          <w:lang w:eastAsia="en-US"/>
        </w:rPr>
        <w:t xml:space="preserve"> G, </w:t>
      </w:r>
      <w:proofErr w:type="spellStart"/>
      <w:r w:rsidRPr="00520861">
        <w:rPr>
          <w:rFonts w:eastAsia="Calibri"/>
          <w:sz w:val="28"/>
          <w:szCs w:val="28"/>
          <w:lang w:eastAsia="en-US"/>
        </w:rPr>
        <w:t>Vondrášek</w:t>
      </w:r>
      <w:proofErr w:type="spellEnd"/>
      <w:r w:rsidRPr="00520861">
        <w:rPr>
          <w:rFonts w:eastAsia="Calibri"/>
          <w:sz w:val="28"/>
          <w:szCs w:val="28"/>
          <w:lang w:eastAsia="en-US"/>
        </w:rPr>
        <w:t xml:space="preserve"> D. </w:t>
      </w:r>
      <w:proofErr w:type="spellStart"/>
      <w:r w:rsidRPr="00520861">
        <w:rPr>
          <w:rFonts w:eastAsia="Calibri"/>
          <w:sz w:val="28"/>
          <w:szCs w:val="28"/>
          <w:lang w:eastAsia="en-US"/>
        </w:rPr>
        <w:t>Three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dimensional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image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analysis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minor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salivary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glands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180-day </w:t>
      </w:r>
      <w:proofErr w:type="spellStart"/>
      <w:r w:rsidRPr="00520861">
        <w:rPr>
          <w:rFonts w:eastAsia="Calibri"/>
          <w:sz w:val="28"/>
          <w:szCs w:val="28"/>
          <w:lang w:eastAsia="en-US"/>
        </w:rPr>
        <w:t>rats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Med</w:t>
      </w:r>
      <w:proofErr w:type="spellEnd"/>
      <w:r w:rsidRPr="00520861">
        <w:rPr>
          <w:rFonts w:eastAsia="Calibri"/>
          <w:i/>
          <w:sz w:val="28"/>
          <w:szCs w:val="28"/>
          <w:lang w:eastAsia="en-US"/>
        </w:rPr>
        <w:t xml:space="preserve"> J (</w:t>
      </w:r>
      <w:proofErr w:type="spellStart"/>
      <w:r w:rsidRPr="00520861">
        <w:rPr>
          <w:rFonts w:eastAsia="Calibri"/>
          <w:i/>
          <w:sz w:val="28"/>
          <w:szCs w:val="28"/>
          <w:lang w:eastAsia="en-US"/>
        </w:rPr>
        <w:t>Krag</w:t>
      </w:r>
      <w:proofErr w:type="spellEnd"/>
      <w:r w:rsidRPr="00520861">
        <w:rPr>
          <w:rFonts w:eastAsia="Calibri"/>
          <w:i/>
          <w:sz w:val="28"/>
          <w:szCs w:val="28"/>
          <w:lang w:eastAsia="en-US"/>
        </w:rPr>
        <w:t>)</w:t>
      </w:r>
      <w:r w:rsidR="00CC3CD9" w:rsidRPr="00520861">
        <w:rPr>
          <w:rFonts w:eastAsia="Calibri"/>
          <w:sz w:val="28"/>
          <w:szCs w:val="28"/>
          <w:lang w:eastAsia="en-US"/>
        </w:rPr>
        <w:t xml:space="preserve">. 2018; 52(1): 7–14.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10.5937/mckg52-16885. (</w:t>
      </w:r>
      <w:r w:rsidR="004B5F80" w:rsidRPr="00520861">
        <w:rPr>
          <w:rFonts w:eastAsia="Calibri"/>
          <w:i/>
          <w:sz w:val="28"/>
          <w:szCs w:val="28"/>
          <w:lang w:eastAsia="en-US"/>
        </w:rPr>
        <w:t xml:space="preserve">Особистий внесок –обґрунтування концепції дослідження, планування та проведення експерименту, </w:t>
      </w:r>
      <w:r w:rsidR="004B5F80" w:rsidRPr="00520861">
        <w:rPr>
          <w:rFonts w:eastAsia="Calibri"/>
          <w:bCs/>
          <w:i/>
          <w:sz w:val="28"/>
          <w:szCs w:val="28"/>
          <w:lang w:eastAsia="en-US"/>
        </w:rPr>
        <w:t>відбір експериментального матеріалу тварин для отримання мікропрепаратів,</w:t>
      </w:r>
      <w:r w:rsidR="004B5F80" w:rsidRPr="00520861">
        <w:rPr>
          <w:rFonts w:eastAsia="Calibri"/>
          <w:i/>
          <w:sz w:val="28"/>
          <w:szCs w:val="28"/>
          <w:lang w:eastAsia="en-US"/>
        </w:rPr>
        <w:t xml:space="preserve"> мор</w:t>
      </w:r>
      <w:r w:rsidR="005D7BE3" w:rsidRPr="00520861">
        <w:rPr>
          <w:rFonts w:eastAsia="Calibri"/>
          <w:i/>
          <w:sz w:val="28"/>
          <w:szCs w:val="28"/>
          <w:lang w:eastAsia="en-US"/>
        </w:rPr>
        <w:t>фометрія та</w:t>
      </w:r>
      <w:r w:rsidR="005D7BE3" w:rsidRPr="00520861">
        <w:rPr>
          <w:rFonts w:eastAsia="Calibri"/>
          <w:bCs/>
          <w:i/>
          <w:sz w:val="28"/>
          <w:szCs w:val="28"/>
          <w:lang w:eastAsia="en-US"/>
        </w:rPr>
        <w:t xml:space="preserve"> статистична обробка</w:t>
      </w:r>
      <w:r w:rsidR="004B5F80" w:rsidRPr="00520861">
        <w:rPr>
          <w:rFonts w:eastAsia="Calibri"/>
          <w:bCs/>
          <w:i/>
          <w:sz w:val="28"/>
          <w:szCs w:val="28"/>
          <w:lang w:eastAsia="en-US"/>
        </w:rPr>
        <w:t xml:space="preserve"> даних, </w:t>
      </w:r>
      <w:r w:rsidR="004B5F80" w:rsidRPr="00520861">
        <w:rPr>
          <w:rFonts w:eastAsia="Calibri"/>
          <w:i/>
          <w:sz w:val="28"/>
          <w:szCs w:val="28"/>
          <w:lang w:eastAsia="en-US"/>
        </w:rPr>
        <w:t xml:space="preserve">участь в аналізі зразків та </w:t>
      </w:r>
      <w:r w:rsidR="004B5F80" w:rsidRPr="00520861">
        <w:rPr>
          <w:rFonts w:eastAsia="Calibri"/>
          <w:bCs/>
          <w:i/>
          <w:sz w:val="28"/>
          <w:szCs w:val="28"/>
          <w:lang w:eastAsia="en-US"/>
        </w:rPr>
        <w:t xml:space="preserve">узагальнення отриманих результатів, </w:t>
      </w:r>
      <w:r w:rsidR="004B5F80" w:rsidRPr="00520861">
        <w:rPr>
          <w:rFonts w:eastAsia="Calibri"/>
          <w:i/>
          <w:sz w:val="28"/>
          <w:szCs w:val="28"/>
          <w:lang w:eastAsia="en-US"/>
        </w:rPr>
        <w:t>підготовка статті до друку</w:t>
      </w:r>
      <w:r w:rsidRPr="00520861">
        <w:rPr>
          <w:rFonts w:eastAsia="Calibri"/>
          <w:sz w:val="28"/>
          <w:szCs w:val="28"/>
          <w:lang w:eastAsia="en-US"/>
        </w:rPr>
        <w:t>).</w:t>
      </w:r>
    </w:p>
    <w:p w14:paraId="1D6BC501"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OV. </w:t>
      </w:r>
      <w:proofErr w:type="spellStart"/>
      <w:r w:rsidRPr="00520861">
        <w:rPr>
          <w:rFonts w:eastAsia="Calibri"/>
          <w:sz w:val="28"/>
          <w:szCs w:val="28"/>
          <w:lang w:eastAsia="en-US"/>
        </w:rPr>
        <w:t>Dentists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view</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fetal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r w:rsidRPr="00520861">
        <w:rPr>
          <w:rFonts w:eastAsia="Calibri"/>
          <w:i/>
          <w:sz w:val="28"/>
          <w:szCs w:val="28"/>
          <w:lang w:eastAsia="en-US"/>
        </w:rPr>
        <w:t>Світ Медицини та Біології</w:t>
      </w:r>
      <w:r w:rsidRPr="00520861">
        <w:rPr>
          <w:rFonts w:eastAsia="Calibri"/>
          <w:sz w:val="28"/>
          <w:szCs w:val="28"/>
          <w:lang w:eastAsia="en-US"/>
        </w:rPr>
        <w:t>. 2018;66(4): 40–46.</w:t>
      </w:r>
    </w:p>
    <w:p w14:paraId="4A718A29"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OV. </w:t>
      </w:r>
      <w:proofErr w:type="spellStart"/>
      <w:r w:rsidRPr="00520861">
        <w:rPr>
          <w:rFonts w:eastAsia="Calibri"/>
          <w:sz w:val="28"/>
          <w:szCs w:val="28"/>
          <w:lang w:eastAsia="en-US"/>
        </w:rPr>
        <w:t>Oral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health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abnormalities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children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established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during</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mixed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dentition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period</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Wiad</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Lek</w:t>
      </w:r>
      <w:proofErr w:type="spellEnd"/>
      <w:r w:rsidRPr="00520861">
        <w:rPr>
          <w:rFonts w:eastAsia="Calibri"/>
          <w:sz w:val="28"/>
          <w:szCs w:val="28"/>
          <w:lang w:eastAsia="en-US"/>
        </w:rPr>
        <w:t xml:space="preserve">. 2019;72(5 </w:t>
      </w:r>
      <w:proofErr w:type="spellStart"/>
      <w:r w:rsidRPr="00520861">
        <w:rPr>
          <w:rFonts w:eastAsia="Calibri"/>
          <w:sz w:val="28"/>
          <w:szCs w:val="28"/>
          <w:lang w:eastAsia="en-US"/>
        </w:rPr>
        <w:t>cz</w:t>
      </w:r>
      <w:proofErr w:type="spellEnd"/>
      <w:r w:rsidRPr="00520861">
        <w:rPr>
          <w:rFonts w:eastAsia="Calibri"/>
          <w:sz w:val="28"/>
          <w:szCs w:val="28"/>
          <w:lang w:eastAsia="en-US"/>
        </w:rPr>
        <w:t xml:space="preserve"> 1): 823–831.</w:t>
      </w:r>
    </w:p>
    <w:p w14:paraId="00CE15B9"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Гармаш ОВ, Губіна-</w:t>
      </w:r>
      <w:proofErr w:type="spellStart"/>
      <w:r w:rsidRPr="00520861">
        <w:rPr>
          <w:rFonts w:eastAsia="Calibri"/>
          <w:sz w:val="28"/>
          <w:szCs w:val="28"/>
          <w:lang w:eastAsia="en-US"/>
        </w:rPr>
        <w:t>Вакулік</w:t>
      </w:r>
      <w:proofErr w:type="spellEnd"/>
      <w:r w:rsidRPr="00520861">
        <w:rPr>
          <w:rFonts w:eastAsia="Calibri"/>
          <w:sz w:val="28"/>
          <w:szCs w:val="28"/>
          <w:lang w:eastAsia="en-US"/>
        </w:rPr>
        <w:t xml:space="preserve"> ГІ, </w:t>
      </w:r>
      <w:proofErr w:type="spellStart"/>
      <w:r w:rsidRPr="00520861">
        <w:rPr>
          <w:rFonts w:eastAsia="Calibri"/>
          <w:sz w:val="28"/>
          <w:szCs w:val="28"/>
          <w:lang w:eastAsia="en-US"/>
        </w:rPr>
        <w:t>Вондрачек</w:t>
      </w:r>
      <w:proofErr w:type="spellEnd"/>
      <w:r w:rsidRPr="00520861">
        <w:rPr>
          <w:rFonts w:eastAsia="Calibri"/>
          <w:sz w:val="28"/>
          <w:szCs w:val="28"/>
          <w:lang w:eastAsia="en-US"/>
        </w:rPr>
        <w:t xml:space="preserve"> Д. Особливості </w:t>
      </w:r>
      <w:proofErr w:type="spellStart"/>
      <w:r w:rsidRPr="00520861">
        <w:rPr>
          <w:rFonts w:eastAsia="Calibri"/>
          <w:sz w:val="28"/>
          <w:szCs w:val="28"/>
          <w:lang w:eastAsia="en-US"/>
        </w:rPr>
        <w:t>морфофункціонального</w:t>
      </w:r>
      <w:proofErr w:type="spellEnd"/>
      <w:r w:rsidRPr="00520861">
        <w:rPr>
          <w:rFonts w:eastAsia="Calibri"/>
          <w:sz w:val="28"/>
          <w:szCs w:val="28"/>
          <w:lang w:eastAsia="en-US"/>
        </w:rPr>
        <w:t xml:space="preserve"> стану привушних слинних залоз шестимісячних щурів при експериментально модельованій внутрішньоутробній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w:t>
      </w:r>
      <w:r w:rsidRPr="00520861">
        <w:rPr>
          <w:rFonts w:eastAsia="Calibri"/>
          <w:i/>
          <w:sz w:val="28"/>
          <w:szCs w:val="28"/>
          <w:lang w:eastAsia="en-US"/>
        </w:rPr>
        <w:t>Патологія</w:t>
      </w:r>
      <w:r w:rsidRPr="00520861">
        <w:rPr>
          <w:rFonts w:eastAsia="Calibri"/>
          <w:sz w:val="28"/>
          <w:szCs w:val="28"/>
          <w:lang w:eastAsia="en-US"/>
        </w:rPr>
        <w:t xml:space="preserve">. 2019;16(1): 106–115.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10.14739/2310-1237.2019.1.166469.</w:t>
      </w:r>
      <w:r w:rsidRPr="00520861">
        <w:rPr>
          <w:rFonts w:eastAsia="Calibri"/>
          <w:bCs/>
          <w:i/>
          <w:sz w:val="28"/>
          <w:szCs w:val="28"/>
          <w:lang w:eastAsia="en-US"/>
        </w:rPr>
        <w:t xml:space="preserve"> </w:t>
      </w:r>
      <w:r w:rsidRPr="00520861">
        <w:rPr>
          <w:rFonts w:eastAsia="Calibri"/>
          <w:sz w:val="28"/>
          <w:szCs w:val="28"/>
          <w:lang w:eastAsia="en-US"/>
        </w:rPr>
        <w:t>(</w:t>
      </w:r>
      <w:r w:rsidR="004B5F80" w:rsidRPr="00520861">
        <w:rPr>
          <w:rFonts w:eastAsia="Calibri"/>
          <w:i/>
          <w:sz w:val="28"/>
          <w:szCs w:val="28"/>
          <w:lang w:eastAsia="en-US"/>
        </w:rPr>
        <w:t>Особистий внесок –</w:t>
      </w:r>
      <w:r w:rsidR="00056288" w:rsidRPr="00520861">
        <w:rPr>
          <w:rFonts w:eastAsia="Calibri"/>
          <w:i/>
          <w:sz w:val="28"/>
          <w:szCs w:val="28"/>
          <w:lang w:eastAsia="en-US"/>
        </w:rPr>
        <w:t xml:space="preserve"> </w:t>
      </w:r>
      <w:r w:rsidR="00056288" w:rsidRPr="00520861">
        <w:rPr>
          <w:rFonts w:eastAsia="Calibri"/>
          <w:i/>
          <w:sz w:val="28"/>
          <w:szCs w:val="28"/>
          <w:lang w:eastAsia="en-US"/>
        </w:rPr>
        <w:br/>
      </w:r>
      <w:r w:rsidR="004B5F80" w:rsidRPr="00520861">
        <w:rPr>
          <w:rFonts w:eastAsia="Calibri"/>
          <w:i/>
          <w:sz w:val="28"/>
          <w:szCs w:val="28"/>
          <w:lang w:eastAsia="en-US"/>
        </w:rPr>
        <w:lastRenderedPageBreak/>
        <w:t xml:space="preserve">обґрунтування концепції дослідження, планування та проведення експерименту, </w:t>
      </w:r>
      <w:r w:rsidR="000F065E" w:rsidRPr="00520861">
        <w:rPr>
          <w:rFonts w:eastAsia="Calibri"/>
          <w:i/>
          <w:sz w:val="28"/>
          <w:szCs w:val="28"/>
          <w:lang w:eastAsia="en-US"/>
        </w:rPr>
        <w:br/>
      </w:r>
      <w:r w:rsidR="004B5F80" w:rsidRPr="00520861">
        <w:rPr>
          <w:rFonts w:eastAsia="Calibri"/>
          <w:bCs/>
          <w:i/>
          <w:sz w:val="28"/>
          <w:szCs w:val="28"/>
          <w:lang w:eastAsia="en-US"/>
        </w:rPr>
        <w:t>відбір експериментального матеріалу тварин для отримання мікропрепаратів,</w:t>
      </w:r>
      <w:r w:rsidR="004B5F80" w:rsidRPr="00520861">
        <w:rPr>
          <w:rFonts w:eastAsia="Calibri"/>
          <w:i/>
          <w:sz w:val="28"/>
          <w:szCs w:val="28"/>
          <w:lang w:eastAsia="en-US"/>
        </w:rPr>
        <w:t xml:space="preserve"> </w:t>
      </w:r>
      <w:r w:rsidR="005D7BE3" w:rsidRPr="00520861">
        <w:rPr>
          <w:rFonts w:eastAsia="Calibri"/>
          <w:bCs/>
          <w:i/>
          <w:sz w:val="28"/>
          <w:szCs w:val="28"/>
          <w:lang w:eastAsia="en-US"/>
        </w:rPr>
        <w:t>статистична обробка</w:t>
      </w:r>
      <w:r w:rsidR="004B5F80" w:rsidRPr="00520861">
        <w:rPr>
          <w:rFonts w:eastAsia="Calibri"/>
          <w:bCs/>
          <w:i/>
          <w:sz w:val="28"/>
          <w:szCs w:val="28"/>
          <w:lang w:eastAsia="en-US"/>
        </w:rPr>
        <w:t xml:space="preserve"> даних, </w:t>
      </w:r>
      <w:r w:rsidR="004B5F80" w:rsidRPr="00520861">
        <w:rPr>
          <w:rFonts w:eastAsia="Calibri"/>
          <w:i/>
          <w:sz w:val="28"/>
          <w:szCs w:val="28"/>
          <w:lang w:eastAsia="en-US"/>
        </w:rPr>
        <w:t xml:space="preserve">участь в аналізі зразків та </w:t>
      </w:r>
      <w:r w:rsidR="004B5F80" w:rsidRPr="00520861">
        <w:rPr>
          <w:rFonts w:eastAsia="Calibri"/>
          <w:bCs/>
          <w:i/>
          <w:sz w:val="28"/>
          <w:szCs w:val="28"/>
          <w:lang w:eastAsia="en-US"/>
        </w:rPr>
        <w:t xml:space="preserve">узагальнення отриманих результатів, </w:t>
      </w:r>
      <w:r w:rsidR="004B5F80" w:rsidRPr="00520861">
        <w:rPr>
          <w:rFonts w:eastAsia="Calibri"/>
          <w:i/>
          <w:sz w:val="28"/>
          <w:szCs w:val="28"/>
          <w:lang w:eastAsia="en-US"/>
        </w:rPr>
        <w:t>підготовка статті до друку</w:t>
      </w:r>
      <w:r w:rsidRPr="00520861">
        <w:rPr>
          <w:rFonts w:eastAsia="Calibri"/>
          <w:sz w:val="28"/>
          <w:szCs w:val="28"/>
          <w:lang w:eastAsia="en-US"/>
        </w:rPr>
        <w:t>).</w:t>
      </w:r>
    </w:p>
    <w:p w14:paraId="7D2410FA"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Dependence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deciduous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tooth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eruption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terms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tooth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growth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rate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weight-height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index</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birth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macrosomic</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children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over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first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year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life</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Acta</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Medica</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Hradec</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Kralove</w:t>
      </w:r>
      <w:proofErr w:type="spellEnd"/>
      <w:r w:rsidRPr="00520861">
        <w:rPr>
          <w:rFonts w:eastAsia="Calibri"/>
          <w:i/>
          <w:sz w:val="28"/>
          <w:szCs w:val="28"/>
          <w:lang w:eastAsia="en-US"/>
        </w:rPr>
        <w:t>)</w:t>
      </w:r>
      <w:r w:rsidRPr="00520861">
        <w:rPr>
          <w:rFonts w:eastAsia="Calibri"/>
          <w:sz w:val="28"/>
          <w:szCs w:val="28"/>
          <w:lang w:eastAsia="en-US"/>
        </w:rPr>
        <w:t xml:space="preserve">. 2019;62(2): 62–68.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10.14712/18059694.2019.48.</w:t>
      </w:r>
    </w:p>
    <w:p w14:paraId="6BAC3E8E"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OV. </w:t>
      </w:r>
      <w:proofErr w:type="spellStart"/>
      <w:r w:rsidRPr="00520861">
        <w:rPr>
          <w:rFonts w:eastAsia="Calibri"/>
          <w:sz w:val="28"/>
          <w:szCs w:val="28"/>
          <w:lang w:eastAsia="en-US"/>
        </w:rPr>
        <w:t>Dependence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caries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intensity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individuals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Kharkiv</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region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adjacent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areas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population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body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mass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index</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birth</w:t>
      </w:r>
      <w:proofErr w:type="spellEnd"/>
      <w:r w:rsidRPr="00520861">
        <w:rPr>
          <w:rFonts w:eastAsia="Calibri"/>
          <w:sz w:val="28"/>
          <w:szCs w:val="28"/>
          <w:lang w:eastAsia="en-US"/>
        </w:rPr>
        <w:t xml:space="preserve">. </w:t>
      </w:r>
      <w:r w:rsidRPr="00520861">
        <w:rPr>
          <w:rFonts w:eastAsia="Calibri"/>
          <w:i/>
          <w:sz w:val="28"/>
          <w:szCs w:val="28"/>
          <w:lang w:eastAsia="en-US"/>
        </w:rPr>
        <w:t>Світ Медицини та Біології</w:t>
      </w:r>
      <w:r w:rsidRPr="00520861">
        <w:rPr>
          <w:rFonts w:eastAsia="Calibri"/>
          <w:sz w:val="28"/>
          <w:szCs w:val="28"/>
          <w:lang w:eastAsia="en-US"/>
        </w:rPr>
        <w:t xml:space="preserve">. 2019; 69(3): 43–48.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10.26724/2079-8334-2019-3-69-43-48.</w:t>
      </w:r>
    </w:p>
    <w:p w14:paraId="49E8BD01"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Gubina-Vakulik</w:t>
      </w:r>
      <w:proofErr w:type="spellEnd"/>
      <w:r w:rsidRPr="00520861">
        <w:rPr>
          <w:rFonts w:eastAsia="Calibri"/>
          <w:sz w:val="28"/>
          <w:szCs w:val="28"/>
          <w:lang w:eastAsia="en-US"/>
        </w:rPr>
        <w:t xml:space="preserve"> G, </w:t>
      </w:r>
      <w:proofErr w:type="spellStart"/>
      <w:r w:rsidRPr="00520861">
        <w:rPr>
          <w:rFonts w:eastAsia="Calibri"/>
          <w:sz w:val="28"/>
          <w:szCs w:val="28"/>
          <w:lang w:eastAsia="en-US"/>
        </w:rPr>
        <w:t>Vondrášek</w:t>
      </w:r>
      <w:proofErr w:type="spellEnd"/>
      <w:r w:rsidRPr="00520861">
        <w:rPr>
          <w:rFonts w:eastAsia="Calibri"/>
          <w:sz w:val="28"/>
          <w:szCs w:val="28"/>
          <w:lang w:eastAsia="en-US"/>
        </w:rPr>
        <w:t xml:space="preserve"> D. </w:t>
      </w:r>
      <w:proofErr w:type="spellStart"/>
      <w:r w:rsidRPr="00520861">
        <w:rPr>
          <w:rFonts w:eastAsia="Calibri"/>
          <w:sz w:val="28"/>
          <w:szCs w:val="28"/>
          <w:lang w:eastAsia="en-US"/>
        </w:rPr>
        <w:t>Histological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features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oral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cavity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mucous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membrane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epithelium</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six-month-old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experimental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animals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Acta</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medica</w:t>
      </w:r>
      <w:proofErr w:type="spellEnd"/>
      <w:r w:rsidRPr="00520861">
        <w:rPr>
          <w:rFonts w:eastAsia="Calibri"/>
          <w:sz w:val="28"/>
          <w:szCs w:val="28"/>
          <w:lang w:eastAsia="en-US"/>
        </w:rPr>
        <w:t xml:space="preserve">. 2019;61(4): 137–143. </w:t>
      </w:r>
      <w:r w:rsidR="00E522B0" w:rsidRPr="00520861">
        <w:rPr>
          <w:rFonts w:eastAsia="Calibri"/>
          <w:sz w:val="28"/>
          <w:szCs w:val="28"/>
          <w:lang w:eastAsia="en-US"/>
        </w:rPr>
        <w:t>(</w:t>
      </w:r>
      <w:r w:rsidR="00E522B0" w:rsidRPr="00520861">
        <w:rPr>
          <w:rFonts w:eastAsia="Calibri"/>
          <w:i/>
          <w:sz w:val="28"/>
          <w:szCs w:val="28"/>
          <w:lang w:eastAsia="en-US"/>
        </w:rPr>
        <w:t>Особистий внесок –</w:t>
      </w:r>
      <w:r w:rsidR="004B5F80" w:rsidRPr="00520861">
        <w:rPr>
          <w:rFonts w:eastAsia="Calibri"/>
          <w:i/>
          <w:sz w:val="28"/>
          <w:szCs w:val="28"/>
          <w:lang w:eastAsia="en-US"/>
        </w:rPr>
        <w:t xml:space="preserve"> </w:t>
      </w:r>
      <w:r w:rsidR="00E522B0" w:rsidRPr="00520861">
        <w:rPr>
          <w:rFonts w:eastAsia="Calibri"/>
          <w:i/>
          <w:sz w:val="28"/>
          <w:szCs w:val="28"/>
          <w:lang w:eastAsia="en-US"/>
        </w:rPr>
        <w:t xml:space="preserve">планування та проведення експерименту, </w:t>
      </w:r>
      <w:r w:rsidR="00E522B0" w:rsidRPr="00520861">
        <w:rPr>
          <w:rFonts w:eastAsia="Calibri"/>
          <w:bCs/>
          <w:i/>
          <w:sz w:val="28"/>
          <w:szCs w:val="28"/>
          <w:lang w:eastAsia="en-US"/>
        </w:rPr>
        <w:t>відбір експериментального матеріалу тварин для отримання мікропрепаратів,</w:t>
      </w:r>
      <w:r w:rsidR="004B5F80" w:rsidRPr="00520861">
        <w:rPr>
          <w:rFonts w:eastAsia="Calibri"/>
          <w:bCs/>
          <w:i/>
          <w:sz w:val="28"/>
          <w:szCs w:val="28"/>
          <w:lang w:eastAsia="en-US"/>
        </w:rPr>
        <w:t xml:space="preserve"> </w:t>
      </w:r>
      <w:r w:rsidR="00E522B0" w:rsidRPr="00520861">
        <w:rPr>
          <w:rFonts w:eastAsia="Calibri"/>
          <w:i/>
          <w:sz w:val="28"/>
          <w:szCs w:val="28"/>
          <w:lang w:eastAsia="en-US"/>
        </w:rPr>
        <w:t xml:space="preserve">участь в аналізі зразків, </w:t>
      </w:r>
      <w:r w:rsidR="005D7BE3" w:rsidRPr="00520861">
        <w:rPr>
          <w:rFonts w:eastAsia="Calibri"/>
          <w:bCs/>
          <w:i/>
          <w:sz w:val="28"/>
          <w:szCs w:val="28"/>
          <w:lang w:eastAsia="en-US"/>
        </w:rPr>
        <w:t>статистична обробка</w:t>
      </w:r>
      <w:r w:rsidR="004B5F80" w:rsidRPr="00520861">
        <w:rPr>
          <w:rFonts w:eastAsia="Calibri"/>
          <w:bCs/>
          <w:i/>
          <w:sz w:val="28"/>
          <w:szCs w:val="28"/>
          <w:lang w:eastAsia="en-US"/>
        </w:rPr>
        <w:t xml:space="preserve"> даних та </w:t>
      </w:r>
      <w:r w:rsidR="00E522B0" w:rsidRPr="00520861">
        <w:rPr>
          <w:rFonts w:eastAsia="Calibri"/>
          <w:bCs/>
          <w:i/>
          <w:sz w:val="28"/>
          <w:szCs w:val="28"/>
          <w:lang w:eastAsia="en-US"/>
        </w:rPr>
        <w:t>узаг</w:t>
      </w:r>
      <w:r w:rsidR="004B5F80" w:rsidRPr="00520861">
        <w:rPr>
          <w:rFonts w:eastAsia="Calibri"/>
          <w:bCs/>
          <w:i/>
          <w:sz w:val="28"/>
          <w:szCs w:val="28"/>
          <w:lang w:eastAsia="en-US"/>
        </w:rPr>
        <w:t>альнення отриманих результатів,</w:t>
      </w:r>
      <w:r w:rsidR="00E522B0" w:rsidRPr="00520861">
        <w:rPr>
          <w:rFonts w:eastAsia="Calibri"/>
          <w:i/>
          <w:sz w:val="28"/>
          <w:szCs w:val="28"/>
          <w:lang w:eastAsia="en-US"/>
        </w:rPr>
        <w:t xml:space="preserve"> підготовка статті до друку</w:t>
      </w:r>
      <w:r w:rsidR="00E522B0" w:rsidRPr="00520861">
        <w:rPr>
          <w:rFonts w:eastAsia="Calibri"/>
          <w:sz w:val="28"/>
          <w:szCs w:val="28"/>
          <w:lang w:eastAsia="en-US"/>
        </w:rPr>
        <w:t>)</w:t>
      </w:r>
      <w:r w:rsidRPr="00520861">
        <w:rPr>
          <w:rFonts w:eastAsia="Calibri"/>
          <w:sz w:val="28"/>
          <w:szCs w:val="28"/>
          <w:lang w:eastAsia="en-US"/>
        </w:rPr>
        <w:t>.</w:t>
      </w:r>
    </w:p>
    <w:p w14:paraId="00A7AD1A" w14:textId="77777777" w:rsidR="00CC4836" w:rsidRPr="00520861" w:rsidRDefault="003A7FA3" w:rsidP="008F1D77">
      <w:pPr>
        <w:widowControl w:val="0"/>
        <w:numPr>
          <w:ilvl w:val="0"/>
          <w:numId w:val="1"/>
        </w:numPr>
        <w:shd w:val="clear" w:color="auto" w:fill="FFFFFF"/>
        <w:spacing w:after="200" w:line="360" w:lineRule="auto"/>
        <w:ind w:left="0" w:firstLine="0"/>
        <w:contextualSpacing/>
        <w:jc w:val="both"/>
        <w:rPr>
          <w:rFonts w:eastAsia="Calibri"/>
          <w:i/>
          <w:sz w:val="28"/>
          <w:szCs w:val="28"/>
          <w:lang w:eastAsia="en-US"/>
        </w:rPr>
      </w:pPr>
      <w:r w:rsidRPr="00520861">
        <w:rPr>
          <w:rFonts w:eastAsia="Calibri"/>
          <w:sz w:val="28"/>
          <w:szCs w:val="28"/>
          <w:lang w:eastAsia="en-US"/>
        </w:rPr>
        <w:t xml:space="preserve"> Гармаш ОВ, Рябоконь ЄМ. Доцільність дослідження </w:t>
      </w:r>
      <w:proofErr w:type="spellStart"/>
      <w:r w:rsidRPr="00520861">
        <w:rPr>
          <w:rFonts w:eastAsia="Calibri"/>
          <w:sz w:val="28"/>
          <w:szCs w:val="28"/>
          <w:lang w:eastAsia="en-US"/>
        </w:rPr>
        <w:t>однонуклеотидних</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поліморфізмів</w:t>
      </w:r>
      <w:proofErr w:type="spellEnd"/>
      <w:r w:rsidRPr="00520861">
        <w:rPr>
          <w:rFonts w:eastAsia="Calibri"/>
          <w:sz w:val="28"/>
          <w:szCs w:val="28"/>
          <w:lang w:eastAsia="en-US"/>
        </w:rPr>
        <w:t xml:space="preserve"> генів ESR1 [rs2234693], CYP19A1 [rs2414096] та IL10 [rs1800896] як можливих маркерів ризику розвитку </w:t>
      </w:r>
      <w:proofErr w:type="spellStart"/>
      <w:r w:rsidRPr="00520861">
        <w:rPr>
          <w:rFonts w:eastAsia="Calibri"/>
          <w:sz w:val="28"/>
          <w:szCs w:val="28"/>
          <w:lang w:eastAsia="en-US"/>
        </w:rPr>
        <w:t>зубощелепних</w:t>
      </w:r>
      <w:proofErr w:type="spellEnd"/>
      <w:r w:rsidRPr="00520861">
        <w:rPr>
          <w:rFonts w:eastAsia="Calibri"/>
          <w:sz w:val="28"/>
          <w:szCs w:val="28"/>
          <w:lang w:eastAsia="en-US"/>
        </w:rPr>
        <w:t xml:space="preserve"> порушень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r w:rsidRPr="00520861">
        <w:rPr>
          <w:rFonts w:eastAsia="Calibri"/>
          <w:i/>
          <w:sz w:val="28"/>
          <w:szCs w:val="28"/>
          <w:lang w:eastAsia="en-US"/>
        </w:rPr>
        <w:t>Патологія</w:t>
      </w:r>
      <w:r w:rsidRPr="00520861">
        <w:rPr>
          <w:rFonts w:eastAsia="Calibri"/>
          <w:sz w:val="28"/>
          <w:szCs w:val="28"/>
          <w:lang w:eastAsia="en-US"/>
        </w:rPr>
        <w:t xml:space="preserve">. 2020;17(1): 37–45.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xml:space="preserve">: 10.14739/2310-1237.2020.1.203722. </w:t>
      </w:r>
      <w:r w:rsidR="00CC4836" w:rsidRPr="00520861">
        <w:rPr>
          <w:rFonts w:eastAsia="Calibri"/>
          <w:i/>
          <w:sz w:val="28"/>
          <w:szCs w:val="28"/>
          <w:lang w:eastAsia="en-US"/>
        </w:rPr>
        <w:t>(Особистий внесок –</w:t>
      </w:r>
      <w:r w:rsidR="004B5F80" w:rsidRPr="00520861">
        <w:rPr>
          <w:rFonts w:eastAsia="Calibri"/>
          <w:i/>
          <w:sz w:val="28"/>
          <w:szCs w:val="28"/>
          <w:lang w:eastAsia="en-US"/>
        </w:rPr>
        <w:t xml:space="preserve"> </w:t>
      </w:r>
      <w:r w:rsidR="00CC4836" w:rsidRPr="00520861">
        <w:rPr>
          <w:rFonts w:eastAsia="Calibri"/>
          <w:i/>
          <w:sz w:val="28"/>
          <w:szCs w:val="28"/>
          <w:lang w:eastAsia="en-US"/>
        </w:rPr>
        <w:t xml:space="preserve">концепція та дизайн дослідження, клінічне стоматологічне обстеження пацієнтів, </w:t>
      </w:r>
      <w:r w:rsidR="005D7BE3" w:rsidRPr="00520861">
        <w:rPr>
          <w:rFonts w:eastAsia="Calibri"/>
          <w:bCs/>
          <w:i/>
          <w:sz w:val="28"/>
          <w:szCs w:val="28"/>
          <w:lang w:eastAsia="en-US"/>
        </w:rPr>
        <w:t>статистична обробка</w:t>
      </w:r>
      <w:r w:rsidR="004B5F80" w:rsidRPr="00520861">
        <w:rPr>
          <w:rFonts w:eastAsia="Calibri"/>
          <w:bCs/>
          <w:i/>
          <w:sz w:val="28"/>
          <w:szCs w:val="28"/>
          <w:lang w:eastAsia="en-US"/>
        </w:rPr>
        <w:t xml:space="preserve"> </w:t>
      </w:r>
      <w:r w:rsidR="004B5F80" w:rsidRPr="00520861">
        <w:rPr>
          <w:rFonts w:eastAsia="Calibri"/>
          <w:i/>
          <w:sz w:val="28"/>
          <w:szCs w:val="28"/>
          <w:lang w:eastAsia="en-US"/>
        </w:rPr>
        <w:t xml:space="preserve">й </w:t>
      </w:r>
      <w:r w:rsidR="00CC4836" w:rsidRPr="00520861">
        <w:rPr>
          <w:rFonts w:eastAsia="Calibri"/>
          <w:i/>
          <w:sz w:val="28"/>
          <w:szCs w:val="28"/>
          <w:lang w:eastAsia="en-US"/>
        </w:rPr>
        <w:t>аналіз отриманих результатів, підготовка статті до друку).</w:t>
      </w:r>
    </w:p>
    <w:p w14:paraId="3BA87AD7"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pacing w:val="-6"/>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OV, </w:t>
      </w:r>
      <w:proofErr w:type="spellStart"/>
      <w:r w:rsidRPr="00520861">
        <w:rPr>
          <w:rFonts w:eastAsia="Calibri"/>
          <w:sz w:val="28"/>
          <w:szCs w:val="28"/>
          <w:lang w:eastAsia="en-US"/>
        </w:rPr>
        <w:t>Rossokha</w:t>
      </w:r>
      <w:proofErr w:type="spellEnd"/>
      <w:r w:rsidRPr="00520861">
        <w:rPr>
          <w:rFonts w:eastAsia="Calibri"/>
          <w:sz w:val="28"/>
          <w:szCs w:val="28"/>
          <w:lang w:eastAsia="en-US"/>
        </w:rPr>
        <w:t xml:space="preserve"> ZI, </w:t>
      </w:r>
      <w:proofErr w:type="spellStart"/>
      <w:r w:rsidRPr="00520861">
        <w:rPr>
          <w:rFonts w:eastAsia="Calibri"/>
          <w:sz w:val="28"/>
          <w:szCs w:val="28"/>
          <w:lang w:eastAsia="en-US"/>
        </w:rPr>
        <w:t>Gorovenko</w:t>
      </w:r>
      <w:proofErr w:type="spellEnd"/>
      <w:r w:rsidRPr="00520861">
        <w:rPr>
          <w:rFonts w:eastAsia="Calibri"/>
          <w:sz w:val="28"/>
          <w:szCs w:val="28"/>
          <w:lang w:eastAsia="en-US"/>
        </w:rPr>
        <w:t xml:space="preserve"> NG. </w:t>
      </w:r>
      <w:proofErr w:type="spellStart"/>
      <w:r w:rsidRPr="00520861">
        <w:rPr>
          <w:rFonts w:eastAsia="Calibri"/>
          <w:sz w:val="28"/>
          <w:szCs w:val="28"/>
          <w:lang w:eastAsia="en-US"/>
        </w:rPr>
        <w:t>Association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between</w:t>
      </w:r>
      <w:proofErr w:type="spellEnd"/>
      <w:r w:rsidRPr="00520861">
        <w:rPr>
          <w:rFonts w:eastAsia="Calibri"/>
          <w:sz w:val="28"/>
          <w:szCs w:val="28"/>
          <w:lang w:eastAsia="en-US"/>
        </w:rPr>
        <w:t xml:space="preserve"> RANKL [rs9594759]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IL10 [rs1800896] </w:t>
      </w:r>
      <w:proofErr w:type="spellStart"/>
      <w:r w:rsidRPr="00520861">
        <w:rPr>
          <w:rFonts w:eastAsia="Calibri"/>
          <w:sz w:val="28"/>
          <w:szCs w:val="28"/>
          <w:lang w:eastAsia="en-US"/>
        </w:rPr>
        <w:t>gene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polymorphisms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deciduous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tooth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eruption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terms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ukrainians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macrosomic</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Wiadomosci</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lekarskie</w:t>
      </w:r>
      <w:proofErr w:type="spellEnd"/>
      <w:r w:rsidRPr="00520861">
        <w:rPr>
          <w:rFonts w:eastAsia="Calibri"/>
          <w:sz w:val="28"/>
          <w:szCs w:val="28"/>
          <w:lang w:eastAsia="en-US"/>
        </w:rPr>
        <w:t xml:space="preserve">. 2020;73(2): 342– 351. </w:t>
      </w:r>
      <w:r w:rsidR="00CC4836" w:rsidRPr="00520861">
        <w:rPr>
          <w:rFonts w:eastAsia="Calibri"/>
          <w:i/>
          <w:spacing w:val="-6"/>
          <w:sz w:val="28"/>
          <w:szCs w:val="28"/>
          <w:lang w:eastAsia="en-US"/>
        </w:rPr>
        <w:t>(Особистий внесок –</w:t>
      </w:r>
      <w:r w:rsidR="004B5F80" w:rsidRPr="00520861">
        <w:rPr>
          <w:rFonts w:eastAsia="Calibri"/>
          <w:i/>
          <w:spacing w:val="-6"/>
          <w:sz w:val="28"/>
          <w:szCs w:val="28"/>
          <w:lang w:eastAsia="en-US"/>
        </w:rPr>
        <w:t xml:space="preserve"> </w:t>
      </w:r>
      <w:r w:rsidR="00CC4836" w:rsidRPr="00520861">
        <w:rPr>
          <w:rFonts w:eastAsia="Calibri"/>
          <w:i/>
          <w:spacing w:val="-6"/>
          <w:sz w:val="28"/>
          <w:szCs w:val="28"/>
          <w:lang w:eastAsia="en-US"/>
        </w:rPr>
        <w:t>концепція та дизайн дослідження, добір</w:t>
      </w:r>
      <w:r w:rsidRPr="00520861">
        <w:rPr>
          <w:rFonts w:eastAsia="Calibri"/>
          <w:i/>
          <w:spacing w:val="-6"/>
          <w:sz w:val="28"/>
          <w:szCs w:val="28"/>
          <w:lang w:eastAsia="en-US"/>
        </w:rPr>
        <w:t xml:space="preserve"> </w:t>
      </w:r>
      <w:r w:rsidR="00F63E10" w:rsidRPr="00520861">
        <w:rPr>
          <w:rFonts w:eastAsia="Calibri"/>
          <w:i/>
          <w:spacing w:val="-6"/>
          <w:sz w:val="28"/>
          <w:szCs w:val="28"/>
          <w:lang w:eastAsia="en-US"/>
        </w:rPr>
        <w:t xml:space="preserve">первинного </w:t>
      </w:r>
      <w:r w:rsidRPr="00520861">
        <w:rPr>
          <w:rFonts w:eastAsia="Calibri"/>
          <w:i/>
          <w:spacing w:val="-6"/>
          <w:sz w:val="28"/>
          <w:szCs w:val="28"/>
          <w:lang w:eastAsia="en-US"/>
        </w:rPr>
        <w:t>матеріал</w:t>
      </w:r>
      <w:r w:rsidR="00CC4836" w:rsidRPr="00520861">
        <w:rPr>
          <w:rFonts w:eastAsia="Calibri"/>
          <w:i/>
          <w:spacing w:val="-6"/>
          <w:sz w:val="28"/>
          <w:szCs w:val="28"/>
          <w:lang w:eastAsia="en-US"/>
        </w:rPr>
        <w:t>у</w:t>
      </w:r>
      <w:r w:rsidRPr="00520861">
        <w:rPr>
          <w:rFonts w:eastAsia="Calibri"/>
          <w:i/>
          <w:spacing w:val="-6"/>
          <w:sz w:val="28"/>
          <w:szCs w:val="28"/>
          <w:lang w:eastAsia="en-US"/>
        </w:rPr>
        <w:t xml:space="preserve">, </w:t>
      </w:r>
      <w:r w:rsidR="00CC4836" w:rsidRPr="00520861">
        <w:rPr>
          <w:rFonts w:eastAsia="Calibri"/>
          <w:i/>
          <w:spacing w:val="-6"/>
          <w:sz w:val="28"/>
          <w:szCs w:val="28"/>
          <w:lang w:eastAsia="en-US"/>
        </w:rPr>
        <w:t xml:space="preserve">статистичне </w:t>
      </w:r>
      <w:r w:rsidR="00CC4836" w:rsidRPr="00520861">
        <w:rPr>
          <w:rFonts w:eastAsia="Calibri"/>
          <w:bCs/>
          <w:i/>
          <w:spacing w:val="-6"/>
          <w:sz w:val="28"/>
          <w:szCs w:val="28"/>
          <w:lang w:eastAsia="en-US"/>
        </w:rPr>
        <w:t>опрацювання даних</w:t>
      </w:r>
      <w:r w:rsidR="00CC4836" w:rsidRPr="00520861">
        <w:rPr>
          <w:rFonts w:eastAsia="Calibri"/>
          <w:i/>
          <w:spacing w:val="-6"/>
          <w:sz w:val="28"/>
          <w:szCs w:val="28"/>
          <w:lang w:eastAsia="en-US"/>
        </w:rPr>
        <w:t xml:space="preserve">, </w:t>
      </w:r>
      <w:r w:rsidRPr="00520861">
        <w:rPr>
          <w:rFonts w:eastAsia="Calibri"/>
          <w:i/>
          <w:spacing w:val="-6"/>
          <w:sz w:val="28"/>
          <w:szCs w:val="28"/>
          <w:lang w:eastAsia="en-US"/>
        </w:rPr>
        <w:t>участь в інтер</w:t>
      </w:r>
      <w:r w:rsidR="00CC4836" w:rsidRPr="00520861">
        <w:rPr>
          <w:rFonts w:eastAsia="Calibri"/>
          <w:i/>
          <w:spacing w:val="-6"/>
          <w:sz w:val="28"/>
          <w:szCs w:val="28"/>
          <w:lang w:eastAsia="en-US"/>
        </w:rPr>
        <w:t>претації результатів, підготовка</w:t>
      </w:r>
      <w:r w:rsidRPr="00520861">
        <w:rPr>
          <w:rFonts w:eastAsia="Calibri"/>
          <w:i/>
          <w:spacing w:val="-6"/>
          <w:sz w:val="28"/>
          <w:szCs w:val="28"/>
          <w:lang w:eastAsia="en-US"/>
        </w:rPr>
        <w:t xml:space="preserve"> </w:t>
      </w:r>
      <w:r w:rsidR="00176296" w:rsidRPr="00520861">
        <w:rPr>
          <w:rFonts w:eastAsia="Calibri"/>
          <w:i/>
          <w:spacing w:val="-6"/>
          <w:sz w:val="28"/>
          <w:szCs w:val="28"/>
          <w:lang w:eastAsia="en-US"/>
        </w:rPr>
        <w:br/>
      </w:r>
      <w:r w:rsidR="00F63E10" w:rsidRPr="00520861">
        <w:rPr>
          <w:rFonts w:eastAsia="Calibri"/>
          <w:i/>
          <w:spacing w:val="-6"/>
          <w:sz w:val="28"/>
          <w:szCs w:val="28"/>
          <w:lang w:eastAsia="en-US"/>
        </w:rPr>
        <w:lastRenderedPageBreak/>
        <w:t xml:space="preserve">рукопису </w:t>
      </w:r>
      <w:r w:rsidRPr="00520861">
        <w:rPr>
          <w:rFonts w:eastAsia="Calibri"/>
          <w:i/>
          <w:spacing w:val="-6"/>
          <w:sz w:val="28"/>
          <w:szCs w:val="28"/>
          <w:lang w:eastAsia="en-US"/>
        </w:rPr>
        <w:t>статті до друку</w:t>
      </w:r>
      <w:r w:rsidRPr="00520861">
        <w:rPr>
          <w:rFonts w:eastAsia="Calibri"/>
          <w:spacing w:val="-6"/>
          <w:sz w:val="28"/>
          <w:szCs w:val="28"/>
          <w:lang w:eastAsia="en-US"/>
        </w:rPr>
        <w:t>).</w:t>
      </w:r>
    </w:p>
    <w:p w14:paraId="497D4D04"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w:t>
      </w:r>
      <w:r w:rsidRPr="00520861">
        <w:rPr>
          <w:rFonts w:eastAsia="Calibri"/>
          <w:bCs/>
          <w:iCs/>
          <w:sz w:val="28"/>
          <w:szCs w:val="28"/>
          <w:lang w:eastAsia="en-US"/>
        </w:rPr>
        <w:t xml:space="preserve"> Виявлення факторів </w:t>
      </w:r>
      <w:r w:rsidRPr="00520861">
        <w:rPr>
          <w:rFonts w:eastAsia="Calibri"/>
          <w:sz w:val="28"/>
          <w:szCs w:val="28"/>
          <w:lang w:eastAsia="en-US"/>
        </w:rPr>
        <w:t xml:space="preserve">ризику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й твердих тканин зубів у пацієнтів, народжених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(клінічна апробація опитувальника)</w:t>
      </w:r>
      <w:r w:rsidRPr="00520861">
        <w:rPr>
          <w:rFonts w:eastAsia="Calibri"/>
          <w:bCs/>
          <w:iCs/>
          <w:sz w:val="28"/>
          <w:szCs w:val="28"/>
          <w:lang w:eastAsia="en-US"/>
        </w:rPr>
        <w:t xml:space="preserve">. </w:t>
      </w:r>
      <w:r w:rsidRPr="00520861">
        <w:rPr>
          <w:rFonts w:eastAsia="Calibri"/>
          <w:i/>
          <w:sz w:val="28"/>
          <w:szCs w:val="28"/>
          <w:lang w:eastAsia="en-US"/>
        </w:rPr>
        <w:t>Вісник проблем біології і медицини</w:t>
      </w:r>
      <w:r w:rsidRPr="00520861">
        <w:rPr>
          <w:rFonts w:eastAsia="Calibri"/>
          <w:sz w:val="28"/>
          <w:szCs w:val="28"/>
          <w:lang w:eastAsia="en-US"/>
        </w:rPr>
        <w:t xml:space="preserve">. </w:t>
      </w:r>
      <w:r w:rsidRPr="00520861">
        <w:rPr>
          <w:rFonts w:eastAsia="Calibri"/>
          <w:bCs/>
          <w:iCs/>
          <w:sz w:val="28"/>
          <w:szCs w:val="28"/>
          <w:lang w:eastAsia="en-US"/>
        </w:rPr>
        <w:t>2015;4(2/125): 348–352.</w:t>
      </w:r>
    </w:p>
    <w:p w14:paraId="67007F9F"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pacing w:val="-2"/>
          <w:sz w:val="28"/>
          <w:szCs w:val="28"/>
          <w:lang w:eastAsia="en-US"/>
        </w:rPr>
      </w:pPr>
      <w:r w:rsidRPr="00520861">
        <w:rPr>
          <w:rFonts w:eastAsia="Calibri"/>
          <w:sz w:val="28"/>
          <w:szCs w:val="28"/>
          <w:lang w:eastAsia="en-US"/>
        </w:rPr>
        <w:t xml:space="preserve"> </w:t>
      </w:r>
      <w:r w:rsidRPr="00520861">
        <w:rPr>
          <w:rFonts w:eastAsia="Calibri"/>
          <w:spacing w:val="-2"/>
          <w:sz w:val="28"/>
          <w:szCs w:val="28"/>
          <w:lang w:eastAsia="en-US"/>
        </w:rPr>
        <w:t xml:space="preserve">Гармаш ОВ. Особливості стоматологічного статусу дітей, які народилися з </w:t>
      </w:r>
      <w:proofErr w:type="spellStart"/>
      <w:r w:rsidRPr="00520861">
        <w:rPr>
          <w:rFonts w:eastAsia="Calibri"/>
          <w:spacing w:val="-2"/>
          <w:sz w:val="28"/>
          <w:szCs w:val="28"/>
          <w:lang w:eastAsia="en-US"/>
        </w:rPr>
        <w:t>макросомією</w:t>
      </w:r>
      <w:proofErr w:type="spellEnd"/>
      <w:r w:rsidRPr="00520861">
        <w:rPr>
          <w:rFonts w:eastAsia="Calibri"/>
          <w:spacing w:val="-2"/>
          <w:sz w:val="28"/>
          <w:szCs w:val="28"/>
          <w:lang w:eastAsia="en-US"/>
        </w:rPr>
        <w:t xml:space="preserve">, у період тимчасового прикусу. </w:t>
      </w:r>
      <w:r w:rsidRPr="00520861">
        <w:rPr>
          <w:rFonts w:eastAsia="Calibri"/>
          <w:i/>
          <w:spacing w:val="-2"/>
          <w:sz w:val="28"/>
          <w:szCs w:val="28"/>
          <w:lang w:eastAsia="en-US"/>
        </w:rPr>
        <w:t>Вісник проблем біології і медицини</w:t>
      </w:r>
      <w:r w:rsidRPr="00520861">
        <w:rPr>
          <w:rFonts w:eastAsia="Calibri"/>
          <w:spacing w:val="-2"/>
          <w:sz w:val="28"/>
          <w:szCs w:val="28"/>
          <w:lang w:eastAsia="en-US"/>
        </w:rPr>
        <w:t xml:space="preserve">. 2018;4(1/146): 246–253. </w:t>
      </w:r>
      <w:proofErr w:type="spellStart"/>
      <w:r w:rsidRPr="00520861">
        <w:rPr>
          <w:rFonts w:eastAsia="Calibri"/>
          <w:spacing w:val="-2"/>
          <w:sz w:val="28"/>
          <w:szCs w:val="28"/>
          <w:lang w:eastAsia="en-US"/>
        </w:rPr>
        <w:t>Available</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from</w:t>
      </w:r>
      <w:proofErr w:type="spellEnd"/>
      <w:r w:rsidRPr="00520861">
        <w:rPr>
          <w:rFonts w:eastAsia="Calibri"/>
          <w:spacing w:val="-2"/>
          <w:sz w:val="28"/>
          <w:szCs w:val="28"/>
          <w:lang w:eastAsia="en-US"/>
        </w:rPr>
        <w:t xml:space="preserve">: </w:t>
      </w:r>
      <w:r w:rsidR="00373EE9" w:rsidRPr="00520861">
        <w:rPr>
          <w:rFonts w:eastAsia="Calibri"/>
          <w:spacing w:val="-2"/>
          <w:sz w:val="28"/>
          <w:szCs w:val="28"/>
          <w:lang w:eastAsia="en-US"/>
        </w:rPr>
        <w:t>DOI</w:t>
      </w:r>
      <w:r w:rsidRPr="00520861">
        <w:rPr>
          <w:rFonts w:eastAsia="Calibri"/>
          <w:spacing w:val="-2"/>
          <w:sz w:val="28"/>
          <w:szCs w:val="28"/>
          <w:lang w:eastAsia="en-US"/>
        </w:rPr>
        <w:t>: 10.29254/2077-4214-2018-4-1-146-246-253.</w:t>
      </w:r>
    </w:p>
    <w:p w14:paraId="192CE98E"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Гармаш ОВ. Показники карієсу зубів у дітей харківської популяції, які народилися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Ретроспективно-статистичне дослідження. </w:t>
      </w:r>
      <w:r w:rsidRPr="00520861">
        <w:rPr>
          <w:rFonts w:eastAsia="Calibri"/>
          <w:i/>
          <w:sz w:val="28"/>
          <w:szCs w:val="28"/>
          <w:lang w:eastAsia="en-US"/>
        </w:rPr>
        <w:t>Вісник проблем біології і медицини</w:t>
      </w:r>
      <w:r w:rsidRPr="00520861">
        <w:rPr>
          <w:rFonts w:eastAsia="Calibri"/>
          <w:sz w:val="28"/>
          <w:szCs w:val="28"/>
          <w:lang w:eastAsia="en-US"/>
        </w:rPr>
        <w:t xml:space="preserve">. 2019;1(2/149): 341–345.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10.29254/2077-4214-2019-1-2-149-341-345.</w:t>
      </w:r>
    </w:p>
    <w:p w14:paraId="6B08AA8D"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 Залежність ризику виникнення стоматологічних порушень у дітей та підлітків, народжених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від індексу маси тіла при народженні. </w:t>
      </w:r>
      <w:r w:rsidRPr="00520861">
        <w:rPr>
          <w:rFonts w:eastAsia="Calibri"/>
          <w:i/>
          <w:sz w:val="28"/>
          <w:szCs w:val="28"/>
          <w:lang w:eastAsia="en-US"/>
        </w:rPr>
        <w:t>Вісник проблем біології і медицини</w:t>
      </w:r>
      <w:r w:rsidRPr="00520861">
        <w:rPr>
          <w:rFonts w:eastAsia="Calibri"/>
          <w:sz w:val="28"/>
          <w:szCs w:val="28"/>
          <w:lang w:eastAsia="en-US"/>
        </w:rPr>
        <w:t xml:space="preserve">. 2019;2(1/150): 298–304.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10.29254/2077-4214-2019-2-1-150-298-304.</w:t>
      </w:r>
    </w:p>
    <w:p w14:paraId="4683C561"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Prediction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oral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disorders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risk</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newborns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infants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macrosomic</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using</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their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height-weight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index</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birth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dentistry</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Inter</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Collegas</w:t>
      </w:r>
      <w:proofErr w:type="spellEnd"/>
      <w:r w:rsidRPr="00520861">
        <w:rPr>
          <w:rFonts w:eastAsia="Calibri"/>
          <w:sz w:val="28"/>
          <w:szCs w:val="28"/>
          <w:lang w:eastAsia="en-US"/>
        </w:rPr>
        <w:t xml:space="preserve">. 2019;6(3): 179–190.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xml:space="preserve">: 10.35339/ic.6.3.179–190. </w:t>
      </w:r>
    </w:p>
    <w:p w14:paraId="4837F247"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pacing w:val="-4"/>
          <w:sz w:val="28"/>
          <w:szCs w:val="28"/>
          <w:lang w:eastAsia="en-US"/>
        </w:rPr>
      </w:pPr>
      <w:r w:rsidRPr="00520861">
        <w:rPr>
          <w:rFonts w:eastAsia="Calibri"/>
          <w:sz w:val="28"/>
          <w:szCs w:val="28"/>
          <w:lang w:eastAsia="en-US"/>
        </w:rPr>
        <w:t xml:space="preserve"> </w:t>
      </w:r>
      <w:r w:rsidRPr="00520861">
        <w:rPr>
          <w:rFonts w:eastAsia="Calibri"/>
          <w:spacing w:val="-4"/>
          <w:sz w:val="28"/>
          <w:szCs w:val="28"/>
          <w:lang w:eastAsia="en-US"/>
        </w:rPr>
        <w:t xml:space="preserve">Гармаш ОВ. Стан </w:t>
      </w:r>
      <w:proofErr w:type="spellStart"/>
      <w:r w:rsidRPr="00520861">
        <w:rPr>
          <w:rFonts w:eastAsia="Calibri"/>
          <w:spacing w:val="-4"/>
          <w:sz w:val="28"/>
          <w:szCs w:val="28"/>
          <w:lang w:eastAsia="en-US"/>
        </w:rPr>
        <w:t>стоматогн</w:t>
      </w:r>
      <w:r w:rsidR="009130E8" w:rsidRPr="00520861">
        <w:rPr>
          <w:rFonts w:eastAsia="Calibri"/>
          <w:spacing w:val="-4"/>
          <w:sz w:val="28"/>
          <w:szCs w:val="28"/>
          <w:lang w:eastAsia="en-US"/>
        </w:rPr>
        <w:t>атичної</w:t>
      </w:r>
      <w:proofErr w:type="spellEnd"/>
      <w:r w:rsidR="009130E8" w:rsidRPr="00520861">
        <w:rPr>
          <w:rFonts w:eastAsia="Calibri"/>
          <w:spacing w:val="-4"/>
          <w:sz w:val="28"/>
          <w:szCs w:val="28"/>
          <w:lang w:eastAsia="en-US"/>
        </w:rPr>
        <w:t xml:space="preserve"> системи осіб популяції Х</w:t>
      </w:r>
      <w:r w:rsidRPr="00520861">
        <w:rPr>
          <w:rFonts w:eastAsia="Calibri"/>
          <w:spacing w:val="-4"/>
          <w:sz w:val="28"/>
          <w:szCs w:val="28"/>
          <w:lang w:eastAsia="en-US"/>
        </w:rPr>
        <w:t xml:space="preserve">арківської області та прилеглих областей, які народилися </w:t>
      </w:r>
      <w:proofErr w:type="spellStart"/>
      <w:r w:rsidRPr="00520861">
        <w:rPr>
          <w:rFonts w:eastAsia="Calibri"/>
          <w:spacing w:val="-4"/>
          <w:sz w:val="28"/>
          <w:szCs w:val="28"/>
          <w:lang w:eastAsia="en-US"/>
        </w:rPr>
        <w:t>макросомами</w:t>
      </w:r>
      <w:proofErr w:type="spellEnd"/>
      <w:r w:rsidRPr="00520861">
        <w:rPr>
          <w:rFonts w:eastAsia="Calibri"/>
          <w:spacing w:val="-4"/>
          <w:sz w:val="28"/>
          <w:szCs w:val="28"/>
          <w:lang w:eastAsia="en-US"/>
        </w:rPr>
        <w:t xml:space="preserve">. </w:t>
      </w:r>
      <w:r w:rsidRPr="00520861">
        <w:rPr>
          <w:rFonts w:eastAsia="Calibri"/>
          <w:i/>
          <w:spacing w:val="-4"/>
          <w:sz w:val="28"/>
          <w:szCs w:val="28"/>
          <w:lang w:eastAsia="en-US"/>
        </w:rPr>
        <w:t>Вісник проблем біології і медицини.</w:t>
      </w:r>
      <w:r w:rsidRPr="00520861">
        <w:rPr>
          <w:rFonts w:eastAsia="Calibri"/>
          <w:spacing w:val="-4"/>
          <w:sz w:val="28"/>
          <w:szCs w:val="28"/>
          <w:lang w:eastAsia="en-US"/>
        </w:rPr>
        <w:t xml:space="preserve"> 2019; 3(152): 347–359. </w:t>
      </w:r>
      <w:proofErr w:type="spellStart"/>
      <w:r w:rsidRPr="00520861">
        <w:rPr>
          <w:rFonts w:eastAsia="Calibri"/>
          <w:spacing w:val="-4"/>
          <w:sz w:val="28"/>
          <w:szCs w:val="28"/>
          <w:lang w:eastAsia="en-US"/>
        </w:rPr>
        <w:t>Available</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from</w:t>
      </w:r>
      <w:proofErr w:type="spellEnd"/>
      <w:r w:rsidRPr="00520861">
        <w:rPr>
          <w:rFonts w:eastAsia="Calibri"/>
          <w:spacing w:val="-4"/>
          <w:sz w:val="28"/>
          <w:szCs w:val="28"/>
          <w:lang w:eastAsia="en-US"/>
        </w:rPr>
        <w:t xml:space="preserve">: </w:t>
      </w:r>
      <w:r w:rsidR="00373EE9" w:rsidRPr="00520861">
        <w:rPr>
          <w:rFonts w:eastAsia="Calibri"/>
          <w:spacing w:val="-4"/>
          <w:sz w:val="28"/>
          <w:szCs w:val="28"/>
          <w:lang w:eastAsia="en-US"/>
        </w:rPr>
        <w:t>DOI</w:t>
      </w:r>
      <w:r w:rsidRPr="00520861">
        <w:rPr>
          <w:rFonts w:eastAsia="Calibri"/>
          <w:spacing w:val="-4"/>
          <w:sz w:val="28"/>
          <w:szCs w:val="28"/>
          <w:lang w:eastAsia="en-US"/>
        </w:rPr>
        <w:t>: 10.29254/2077-4214-2019-3-152-347-359.</w:t>
      </w:r>
    </w:p>
    <w:p w14:paraId="2556780B"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 Залежність ризику виникнення стоматологічних порушень у осіб дорослого віку, народжених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від індексу маси тіла при народженні. </w:t>
      </w:r>
      <w:r w:rsidRPr="00520861">
        <w:rPr>
          <w:rFonts w:eastAsia="Calibri"/>
          <w:i/>
          <w:sz w:val="28"/>
          <w:szCs w:val="28"/>
          <w:lang w:eastAsia="en-US"/>
        </w:rPr>
        <w:t>Вісник проблем біології і медицини</w:t>
      </w:r>
      <w:r w:rsidRPr="00520861">
        <w:rPr>
          <w:rFonts w:eastAsia="Calibri"/>
          <w:sz w:val="28"/>
          <w:szCs w:val="28"/>
          <w:lang w:eastAsia="en-US"/>
        </w:rPr>
        <w:t xml:space="preserve">. 2019;4(1/153): 300–311.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10.29254/2077-4214-2019-4-1-153-300-311.</w:t>
      </w:r>
    </w:p>
    <w:p w14:paraId="01480735"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Гармаш ОВ, Губіна-</w:t>
      </w:r>
      <w:proofErr w:type="spellStart"/>
      <w:r w:rsidRPr="00520861">
        <w:rPr>
          <w:rFonts w:eastAsia="Calibri"/>
          <w:sz w:val="28"/>
          <w:szCs w:val="28"/>
          <w:lang w:eastAsia="en-US"/>
        </w:rPr>
        <w:t>Вакулік</w:t>
      </w:r>
      <w:proofErr w:type="spellEnd"/>
      <w:r w:rsidRPr="00520861">
        <w:rPr>
          <w:rFonts w:eastAsia="Calibri"/>
          <w:sz w:val="28"/>
          <w:szCs w:val="28"/>
          <w:lang w:eastAsia="en-US"/>
        </w:rPr>
        <w:t xml:space="preserve"> ГІ. Стан пульпи, твердих тканин зубів та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трьох- та шестимісячних щурів, які народились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w:t>
      </w:r>
      <w:r w:rsidRPr="00520861">
        <w:rPr>
          <w:rFonts w:eastAsia="Calibri"/>
          <w:i/>
          <w:sz w:val="28"/>
          <w:szCs w:val="28"/>
          <w:lang w:eastAsia="en-US"/>
        </w:rPr>
        <w:t>Вісник проблем біології та медицини</w:t>
      </w:r>
      <w:r w:rsidRPr="00520861">
        <w:rPr>
          <w:rFonts w:eastAsia="Calibri"/>
          <w:sz w:val="28"/>
          <w:szCs w:val="28"/>
          <w:lang w:eastAsia="en-US"/>
        </w:rPr>
        <w:t xml:space="preserve">. 2019;4(2/154): 365–372. </w:t>
      </w:r>
      <w:r w:rsidR="00775860" w:rsidRPr="00520861">
        <w:rPr>
          <w:rFonts w:eastAsia="Calibri"/>
          <w:sz w:val="28"/>
          <w:szCs w:val="28"/>
          <w:lang w:eastAsia="en-US"/>
        </w:rPr>
        <w:t>(</w:t>
      </w:r>
      <w:r w:rsidR="00775860" w:rsidRPr="00520861">
        <w:rPr>
          <w:rFonts w:eastAsia="Calibri"/>
          <w:i/>
          <w:sz w:val="28"/>
          <w:szCs w:val="28"/>
          <w:lang w:eastAsia="en-US"/>
        </w:rPr>
        <w:t xml:space="preserve">Особистий внесок – </w:t>
      </w:r>
      <w:r w:rsidR="000F065E" w:rsidRPr="00520861">
        <w:rPr>
          <w:rFonts w:eastAsia="Calibri"/>
          <w:i/>
          <w:sz w:val="28"/>
          <w:szCs w:val="28"/>
          <w:lang w:eastAsia="en-US"/>
        </w:rPr>
        <w:br/>
      </w:r>
      <w:r w:rsidR="00775860" w:rsidRPr="00520861">
        <w:rPr>
          <w:rFonts w:eastAsia="Calibri"/>
          <w:i/>
          <w:sz w:val="28"/>
          <w:szCs w:val="28"/>
          <w:lang w:eastAsia="en-US"/>
        </w:rPr>
        <w:lastRenderedPageBreak/>
        <w:t xml:space="preserve">планування та проведення експерименту, </w:t>
      </w:r>
      <w:r w:rsidR="00775860" w:rsidRPr="00520861">
        <w:rPr>
          <w:rFonts w:eastAsia="Calibri"/>
          <w:bCs/>
          <w:i/>
          <w:spacing w:val="-2"/>
          <w:sz w:val="28"/>
          <w:szCs w:val="28"/>
          <w:lang w:eastAsia="en-US"/>
        </w:rPr>
        <w:t>відбір експериментального матеріалу тварин для отримання мікропрепаратів,</w:t>
      </w:r>
      <w:r w:rsidR="00775860" w:rsidRPr="00520861">
        <w:rPr>
          <w:rFonts w:eastAsia="Calibri"/>
          <w:i/>
          <w:sz w:val="28"/>
          <w:szCs w:val="28"/>
          <w:lang w:eastAsia="en-US"/>
        </w:rPr>
        <w:t xml:space="preserve"> участь в аналізі зразків, </w:t>
      </w:r>
      <w:r w:rsidR="005D7BE3" w:rsidRPr="00520861">
        <w:rPr>
          <w:rFonts w:eastAsia="Calibri"/>
          <w:bCs/>
          <w:i/>
          <w:sz w:val="28"/>
          <w:szCs w:val="28"/>
          <w:lang w:eastAsia="en-US"/>
        </w:rPr>
        <w:t>статистична обробка</w:t>
      </w:r>
      <w:r w:rsidR="004B5F80" w:rsidRPr="00520861">
        <w:rPr>
          <w:rFonts w:eastAsia="Calibri"/>
          <w:bCs/>
          <w:i/>
          <w:spacing w:val="-2"/>
          <w:sz w:val="28"/>
          <w:szCs w:val="28"/>
          <w:lang w:eastAsia="en-US"/>
        </w:rPr>
        <w:t xml:space="preserve"> </w:t>
      </w:r>
      <w:r w:rsidR="00056288" w:rsidRPr="00520861">
        <w:rPr>
          <w:rFonts w:eastAsia="Calibri"/>
          <w:bCs/>
          <w:i/>
          <w:spacing w:val="-2"/>
          <w:sz w:val="28"/>
          <w:szCs w:val="28"/>
          <w:lang w:eastAsia="en-US"/>
        </w:rPr>
        <w:br/>
      </w:r>
      <w:r w:rsidR="004B5F80" w:rsidRPr="00520861">
        <w:rPr>
          <w:rFonts w:eastAsia="Calibri"/>
          <w:bCs/>
          <w:i/>
          <w:spacing w:val="-2"/>
          <w:sz w:val="28"/>
          <w:szCs w:val="28"/>
          <w:lang w:eastAsia="en-US"/>
        </w:rPr>
        <w:t xml:space="preserve">даних </w:t>
      </w:r>
      <w:r w:rsidR="00150652" w:rsidRPr="00520861">
        <w:rPr>
          <w:rFonts w:eastAsia="Calibri"/>
          <w:bCs/>
          <w:i/>
          <w:spacing w:val="-2"/>
          <w:sz w:val="28"/>
          <w:szCs w:val="28"/>
          <w:lang w:eastAsia="en-US"/>
        </w:rPr>
        <w:t xml:space="preserve">та </w:t>
      </w:r>
      <w:r w:rsidR="00775860" w:rsidRPr="00520861">
        <w:rPr>
          <w:rFonts w:eastAsia="Calibri"/>
          <w:bCs/>
          <w:i/>
          <w:spacing w:val="-2"/>
          <w:sz w:val="28"/>
          <w:szCs w:val="28"/>
          <w:lang w:eastAsia="en-US"/>
        </w:rPr>
        <w:t>узагальнення</w:t>
      </w:r>
      <w:r w:rsidR="00150652" w:rsidRPr="00520861">
        <w:rPr>
          <w:rFonts w:eastAsia="Calibri"/>
          <w:bCs/>
          <w:i/>
          <w:spacing w:val="-2"/>
          <w:sz w:val="28"/>
          <w:szCs w:val="28"/>
          <w:lang w:eastAsia="en-US"/>
        </w:rPr>
        <w:t xml:space="preserve"> отриманих результатів,</w:t>
      </w:r>
      <w:r w:rsidR="00775860" w:rsidRPr="00520861">
        <w:rPr>
          <w:rFonts w:eastAsia="Calibri"/>
          <w:i/>
          <w:sz w:val="28"/>
          <w:szCs w:val="28"/>
          <w:lang w:eastAsia="en-US"/>
        </w:rPr>
        <w:t xml:space="preserve"> підготовка статті до друку</w:t>
      </w:r>
      <w:r w:rsidR="00775860" w:rsidRPr="00520861">
        <w:rPr>
          <w:rFonts w:eastAsia="Calibri"/>
          <w:sz w:val="28"/>
          <w:szCs w:val="28"/>
          <w:lang w:eastAsia="en-US"/>
        </w:rPr>
        <w:t>)</w:t>
      </w:r>
      <w:r w:rsidRPr="00520861">
        <w:rPr>
          <w:rFonts w:eastAsia="Calibri"/>
          <w:sz w:val="28"/>
          <w:szCs w:val="28"/>
          <w:lang w:eastAsia="en-US"/>
        </w:rPr>
        <w:t>.</w:t>
      </w:r>
    </w:p>
    <w:p w14:paraId="43491B20"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sz w:val="28"/>
          <w:szCs w:val="28"/>
          <w:lang w:eastAsia="en-US"/>
        </w:rPr>
        <w:t xml:space="preserve"> </w:t>
      </w:r>
      <w:proofErr w:type="spellStart"/>
      <w:r w:rsidRPr="00520861">
        <w:rPr>
          <w:sz w:val="28"/>
          <w:szCs w:val="28"/>
          <w:lang w:eastAsia="en-US"/>
        </w:rPr>
        <w:t>Garmash</w:t>
      </w:r>
      <w:proofErr w:type="spellEnd"/>
      <w:r w:rsidRPr="00520861">
        <w:rPr>
          <w:sz w:val="28"/>
          <w:szCs w:val="28"/>
          <w:lang w:eastAsia="en-US"/>
        </w:rPr>
        <w:t xml:space="preserve"> OV. </w:t>
      </w:r>
      <w:proofErr w:type="spellStart"/>
      <w:r w:rsidRPr="00520861">
        <w:rPr>
          <w:sz w:val="28"/>
          <w:szCs w:val="28"/>
          <w:lang w:eastAsia="en-US"/>
        </w:rPr>
        <w:t>Dependence</w:t>
      </w:r>
      <w:proofErr w:type="spellEnd"/>
      <w:r w:rsidRPr="00520861">
        <w:rPr>
          <w:sz w:val="28"/>
          <w:szCs w:val="28"/>
          <w:lang w:eastAsia="en-US"/>
        </w:rPr>
        <w:t xml:space="preserve"> </w:t>
      </w:r>
      <w:proofErr w:type="spellStart"/>
      <w:r w:rsidRPr="00520861">
        <w:rPr>
          <w:sz w:val="28"/>
          <w:szCs w:val="28"/>
          <w:lang w:eastAsia="en-US"/>
        </w:rPr>
        <w:t>of</w:t>
      </w:r>
      <w:proofErr w:type="spellEnd"/>
      <w:r w:rsidRPr="00520861">
        <w:rPr>
          <w:sz w:val="28"/>
          <w:szCs w:val="28"/>
          <w:lang w:eastAsia="en-US"/>
        </w:rPr>
        <w:t xml:space="preserve"> </w:t>
      </w:r>
      <w:proofErr w:type="spellStart"/>
      <w:r w:rsidRPr="00520861">
        <w:rPr>
          <w:sz w:val="28"/>
          <w:szCs w:val="28"/>
          <w:lang w:eastAsia="en-US"/>
        </w:rPr>
        <w:t>the</w:t>
      </w:r>
      <w:proofErr w:type="spellEnd"/>
      <w:r w:rsidRPr="00520861">
        <w:rPr>
          <w:sz w:val="28"/>
          <w:szCs w:val="28"/>
          <w:lang w:eastAsia="en-US"/>
        </w:rPr>
        <w:t xml:space="preserve"> </w:t>
      </w:r>
      <w:proofErr w:type="spellStart"/>
      <w:r w:rsidRPr="00520861">
        <w:rPr>
          <w:sz w:val="28"/>
          <w:szCs w:val="28"/>
          <w:lang w:eastAsia="en-US"/>
        </w:rPr>
        <w:t>periodontal</w:t>
      </w:r>
      <w:proofErr w:type="spellEnd"/>
      <w:r w:rsidRPr="00520861">
        <w:rPr>
          <w:sz w:val="28"/>
          <w:szCs w:val="28"/>
          <w:lang w:eastAsia="en-US"/>
        </w:rPr>
        <w:t xml:space="preserve"> </w:t>
      </w:r>
      <w:proofErr w:type="spellStart"/>
      <w:r w:rsidRPr="00520861">
        <w:rPr>
          <w:sz w:val="28"/>
          <w:szCs w:val="28"/>
          <w:lang w:eastAsia="en-US"/>
        </w:rPr>
        <w:t>state</w:t>
      </w:r>
      <w:proofErr w:type="spellEnd"/>
      <w:r w:rsidRPr="00520861">
        <w:rPr>
          <w:sz w:val="28"/>
          <w:szCs w:val="28"/>
          <w:lang w:eastAsia="en-US"/>
        </w:rPr>
        <w:t xml:space="preserve"> </w:t>
      </w:r>
      <w:proofErr w:type="spellStart"/>
      <w:r w:rsidRPr="00520861">
        <w:rPr>
          <w:sz w:val="28"/>
          <w:szCs w:val="28"/>
          <w:lang w:eastAsia="en-US"/>
        </w:rPr>
        <w:t>of</w:t>
      </w:r>
      <w:proofErr w:type="spellEnd"/>
      <w:r w:rsidRPr="00520861">
        <w:rPr>
          <w:sz w:val="28"/>
          <w:szCs w:val="28"/>
          <w:lang w:eastAsia="en-US"/>
        </w:rPr>
        <w:t xml:space="preserve"> </w:t>
      </w:r>
      <w:proofErr w:type="spellStart"/>
      <w:r w:rsidRPr="00520861">
        <w:rPr>
          <w:sz w:val="28"/>
          <w:szCs w:val="28"/>
          <w:lang w:eastAsia="en-US"/>
        </w:rPr>
        <w:t>individuals</w:t>
      </w:r>
      <w:proofErr w:type="spellEnd"/>
      <w:r w:rsidRPr="00520861">
        <w:rPr>
          <w:sz w:val="28"/>
          <w:szCs w:val="28"/>
          <w:lang w:eastAsia="en-US"/>
        </w:rPr>
        <w:t xml:space="preserve"> </w:t>
      </w:r>
      <w:proofErr w:type="spellStart"/>
      <w:r w:rsidRPr="00520861">
        <w:rPr>
          <w:sz w:val="28"/>
          <w:szCs w:val="28"/>
          <w:lang w:eastAsia="en-US"/>
        </w:rPr>
        <w:t>who</w:t>
      </w:r>
      <w:proofErr w:type="spellEnd"/>
      <w:r w:rsidRPr="00520861">
        <w:rPr>
          <w:sz w:val="28"/>
          <w:szCs w:val="28"/>
          <w:lang w:eastAsia="en-US"/>
        </w:rPr>
        <w:t xml:space="preserve"> </w:t>
      </w:r>
      <w:proofErr w:type="spellStart"/>
      <w:r w:rsidRPr="00520861">
        <w:rPr>
          <w:sz w:val="28"/>
          <w:szCs w:val="28"/>
          <w:lang w:eastAsia="en-US"/>
        </w:rPr>
        <w:t>were</w:t>
      </w:r>
      <w:proofErr w:type="spellEnd"/>
      <w:r w:rsidRPr="00520861">
        <w:rPr>
          <w:sz w:val="28"/>
          <w:szCs w:val="28"/>
          <w:lang w:eastAsia="en-US"/>
        </w:rPr>
        <w:t xml:space="preserve"> </w:t>
      </w:r>
      <w:proofErr w:type="spellStart"/>
      <w:r w:rsidRPr="00520861">
        <w:rPr>
          <w:sz w:val="28"/>
          <w:szCs w:val="28"/>
          <w:lang w:eastAsia="en-US"/>
        </w:rPr>
        <w:t>born</w:t>
      </w:r>
      <w:proofErr w:type="spellEnd"/>
      <w:r w:rsidRPr="00520861">
        <w:rPr>
          <w:sz w:val="28"/>
          <w:szCs w:val="28"/>
          <w:lang w:eastAsia="en-US"/>
        </w:rPr>
        <w:t xml:space="preserve"> </w:t>
      </w:r>
      <w:proofErr w:type="spellStart"/>
      <w:r w:rsidRPr="00520861">
        <w:rPr>
          <w:sz w:val="28"/>
          <w:szCs w:val="28"/>
          <w:lang w:eastAsia="en-US"/>
        </w:rPr>
        <w:t>macrosomic</w:t>
      </w:r>
      <w:proofErr w:type="spellEnd"/>
      <w:r w:rsidRPr="00520861">
        <w:rPr>
          <w:sz w:val="28"/>
          <w:szCs w:val="28"/>
          <w:lang w:eastAsia="en-US"/>
        </w:rPr>
        <w:t xml:space="preserve"> </w:t>
      </w:r>
      <w:proofErr w:type="spellStart"/>
      <w:r w:rsidRPr="00520861">
        <w:rPr>
          <w:sz w:val="28"/>
          <w:szCs w:val="28"/>
          <w:lang w:eastAsia="en-US"/>
        </w:rPr>
        <w:t>on</w:t>
      </w:r>
      <w:proofErr w:type="spellEnd"/>
      <w:r w:rsidRPr="00520861">
        <w:rPr>
          <w:sz w:val="28"/>
          <w:szCs w:val="28"/>
          <w:lang w:eastAsia="en-US"/>
        </w:rPr>
        <w:t xml:space="preserve"> </w:t>
      </w:r>
      <w:proofErr w:type="spellStart"/>
      <w:r w:rsidRPr="00520861">
        <w:rPr>
          <w:sz w:val="28"/>
          <w:szCs w:val="28"/>
          <w:lang w:eastAsia="en-US"/>
        </w:rPr>
        <w:t>their</w:t>
      </w:r>
      <w:proofErr w:type="spellEnd"/>
      <w:r w:rsidRPr="00520861">
        <w:rPr>
          <w:sz w:val="28"/>
          <w:szCs w:val="28"/>
          <w:lang w:eastAsia="en-US"/>
        </w:rPr>
        <w:t xml:space="preserve"> </w:t>
      </w:r>
      <w:proofErr w:type="spellStart"/>
      <w:r w:rsidRPr="00520861">
        <w:rPr>
          <w:sz w:val="28"/>
          <w:szCs w:val="28"/>
          <w:lang w:eastAsia="en-US"/>
        </w:rPr>
        <w:t>height-weight</w:t>
      </w:r>
      <w:proofErr w:type="spellEnd"/>
      <w:r w:rsidRPr="00520861">
        <w:rPr>
          <w:sz w:val="28"/>
          <w:szCs w:val="28"/>
          <w:lang w:eastAsia="en-US"/>
        </w:rPr>
        <w:t xml:space="preserve"> </w:t>
      </w:r>
      <w:proofErr w:type="spellStart"/>
      <w:r w:rsidRPr="00520861">
        <w:rPr>
          <w:sz w:val="28"/>
          <w:szCs w:val="28"/>
          <w:lang w:eastAsia="en-US"/>
        </w:rPr>
        <w:t>index</w:t>
      </w:r>
      <w:proofErr w:type="spellEnd"/>
      <w:r w:rsidRPr="00520861">
        <w:rPr>
          <w:sz w:val="28"/>
          <w:szCs w:val="28"/>
          <w:lang w:eastAsia="en-US"/>
        </w:rPr>
        <w:t xml:space="preserve"> </w:t>
      </w:r>
      <w:proofErr w:type="spellStart"/>
      <w:r w:rsidRPr="00520861">
        <w:rPr>
          <w:sz w:val="28"/>
          <w:szCs w:val="28"/>
          <w:lang w:eastAsia="en-US"/>
        </w:rPr>
        <w:t>at</w:t>
      </w:r>
      <w:proofErr w:type="spellEnd"/>
      <w:r w:rsidRPr="00520861">
        <w:rPr>
          <w:sz w:val="28"/>
          <w:szCs w:val="28"/>
          <w:lang w:eastAsia="en-US"/>
        </w:rPr>
        <w:t xml:space="preserve"> </w:t>
      </w:r>
      <w:proofErr w:type="spellStart"/>
      <w:r w:rsidRPr="00520861">
        <w:rPr>
          <w:sz w:val="28"/>
          <w:szCs w:val="28"/>
          <w:lang w:eastAsia="en-US"/>
        </w:rPr>
        <w:t>birth</w:t>
      </w:r>
      <w:proofErr w:type="spellEnd"/>
      <w:r w:rsidRPr="00520861">
        <w:rPr>
          <w:sz w:val="28"/>
          <w:szCs w:val="28"/>
          <w:lang w:eastAsia="en-US"/>
        </w:rPr>
        <w:t xml:space="preserve">. </w:t>
      </w:r>
      <w:proofErr w:type="spellStart"/>
      <w:r w:rsidRPr="00520861">
        <w:rPr>
          <w:i/>
          <w:sz w:val="28"/>
          <w:szCs w:val="28"/>
          <w:lang w:eastAsia="en-US"/>
        </w:rPr>
        <w:t>Bukovinian</w:t>
      </w:r>
      <w:proofErr w:type="spellEnd"/>
      <w:r w:rsidRPr="00520861">
        <w:rPr>
          <w:i/>
          <w:sz w:val="28"/>
          <w:szCs w:val="28"/>
          <w:lang w:eastAsia="en-US"/>
        </w:rPr>
        <w:t xml:space="preserve"> </w:t>
      </w:r>
      <w:proofErr w:type="spellStart"/>
      <w:r w:rsidRPr="00520861">
        <w:rPr>
          <w:i/>
          <w:sz w:val="28"/>
          <w:szCs w:val="28"/>
          <w:lang w:eastAsia="en-US"/>
        </w:rPr>
        <w:t>Medical</w:t>
      </w:r>
      <w:proofErr w:type="spellEnd"/>
      <w:r w:rsidRPr="00520861">
        <w:rPr>
          <w:i/>
          <w:sz w:val="28"/>
          <w:szCs w:val="28"/>
          <w:lang w:eastAsia="en-US"/>
        </w:rPr>
        <w:t xml:space="preserve"> </w:t>
      </w:r>
      <w:proofErr w:type="spellStart"/>
      <w:r w:rsidRPr="00520861">
        <w:rPr>
          <w:i/>
          <w:sz w:val="28"/>
          <w:szCs w:val="28"/>
          <w:lang w:eastAsia="en-US"/>
        </w:rPr>
        <w:t>Herald</w:t>
      </w:r>
      <w:proofErr w:type="spellEnd"/>
      <w:r w:rsidRPr="00520861">
        <w:rPr>
          <w:sz w:val="28"/>
          <w:szCs w:val="28"/>
          <w:lang w:eastAsia="en-US"/>
        </w:rPr>
        <w:t xml:space="preserve">. 2020;24(1): 54–66.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xml:space="preserve">: </w:t>
      </w:r>
      <w:r w:rsidRPr="00520861">
        <w:rPr>
          <w:sz w:val="28"/>
          <w:szCs w:val="28"/>
          <w:lang w:eastAsia="en-US"/>
        </w:rPr>
        <w:t>10.24061/2413-0737.XXIV.1.93.2020.8.</w:t>
      </w:r>
    </w:p>
    <w:p w14:paraId="66A26E2B"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pacing w:val="-2"/>
          <w:sz w:val="28"/>
          <w:szCs w:val="28"/>
          <w:lang w:eastAsia="en-US"/>
        </w:rPr>
      </w:pPr>
      <w:r w:rsidRPr="00520861">
        <w:rPr>
          <w:spacing w:val="-2"/>
          <w:sz w:val="28"/>
          <w:szCs w:val="28"/>
          <w:lang w:eastAsia="en-US"/>
        </w:rPr>
        <w:t xml:space="preserve"> Гармаш ОВ. </w:t>
      </w:r>
      <w:proofErr w:type="spellStart"/>
      <w:r w:rsidRPr="00520861">
        <w:rPr>
          <w:spacing w:val="-2"/>
          <w:sz w:val="28"/>
          <w:szCs w:val="28"/>
          <w:lang w:eastAsia="en-US"/>
        </w:rPr>
        <w:t>Однонуклеотидні</w:t>
      </w:r>
      <w:proofErr w:type="spellEnd"/>
      <w:r w:rsidRPr="00520861">
        <w:rPr>
          <w:spacing w:val="-2"/>
          <w:sz w:val="28"/>
          <w:szCs w:val="28"/>
          <w:lang w:eastAsia="en-US"/>
        </w:rPr>
        <w:t xml:space="preserve"> </w:t>
      </w:r>
      <w:proofErr w:type="spellStart"/>
      <w:r w:rsidRPr="00520861">
        <w:rPr>
          <w:spacing w:val="-2"/>
          <w:sz w:val="28"/>
          <w:szCs w:val="28"/>
          <w:lang w:eastAsia="en-US"/>
        </w:rPr>
        <w:t>поліморфізми</w:t>
      </w:r>
      <w:proofErr w:type="spellEnd"/>
      <w:r w:rsidRPr="00520861">
        <w:rPr>
          <w:spacing w:val="-2"/>
          <w:sz w:val="28"/>
          <w:szCs w:val="28"/>
          <w:lang w:eastAsia="en-US"/>
        </w:rPr>
        <w:t xml:space="preserve"> генів ESR1 [</w:t>
      </w:r>
      <w:r w:rsidR="00B62618" w:rsidRPr="00520861">
        <w:rPr>
          <w:spacing w:val="-2"/>
          <w:sz w:val="28"/>
          <w:szCs w:val="28"/>
          <w:lang w:eastAsia="en-US"/>
        </w:rPr>
        <w:t>rs</w:t>
      </w:r>
      <w:r w:rsidRPr="00520861">
        <w:rPr>
          <w:spacing w:val="-2"/>
          <w:sz w:val="28"/>
          <w:szCs w:val="28"/>
          <w:lang w:eastAsia="en-US"/>
        </w:rPr>
        <w:t>2234693], IL-1</w:t>
      </w:r>
      <w:r w:rsidRPr="00520861">
        <w:rPr>
          <w:spacing w:val="-2"/>
          <w:sz w:val="28"/>
          <w:szCs w:val="28"/>
          <w:lang w:eastAsia="en-US"/>
        </w:rPr>
        <w:sym w:font="Symbol" w:char="F062"/>
      </w:r>
      <w:r w:rsidRPr="00520861">
        <w:rPr>
          <w:spacing w:val="-2"/>
          <w:sz w:val="28"/>
          <w:szCs w:val="28"/>
          <w:lang w:eastAsia="en-US"/>
        </w:rPr>
        <w:t xml:space="preserve"> [rs1143627], RANKL [rs9594738] і [rs9594759] як можливі маркери ризику розвитку різних варіантів перебігу </w:t>
      </w:r>
      <w:proofErr w:type="spellStart"/>
      <w:r w:rsidRPr="00520861">
        <w:rPr>
          <w:spacing w:val="-2"/>
          <w:sz w:val="28"/>
          <w:szCs w:val="28"/>
          <w:lang w:eastAsia="en-US"/>
        </w:rPr>
        <w:t>хвороб</w:t>
      </w:r>
      <w:proofErr w:type="spellEnd"/>
      <w:r w:rsidRPr="00520861">
        <w:rPr>
          <w:spacing w:val="-2"/>
          <w:sz w:val="28"/>
          <w:szCs w:val="28"/>
          <w:lang w:eastAsia="en-US"/>
        </w:rPr>
        <w:t xml:space="preserve"> </w:t>
      </w:r>
      <w:proofErr w:type="spellStart"/>
      <w:r w:rsidRPr="00520861">
        <w:rPr>
          <w:spacing w:val="-2"/>
          <w:sz w:val="28"/>
          <w:szCs w:val="28"/>
          <w:lang w:eastAsia="en-US"/>
        </w:rPr>
        <w:t>пародонта</w:t>
      </w:r>
      <w:proofErr w:type="spellEnd"/>
      <w:r w:rsidRPr="00520861">
        <w:rPr>
          <w:spacing w:val="-2"/>
          <w:sz w:val="28"/>
          <w:szCs w:val="28"/>
          <w:lang w:eastAsia="en-US"/>
        </w:rPr>
        <w:t xml:space="preserve"> в осіб, які народилися великими до </w:t>
      </w:r>
      <w:proofErr w:type="spellStart"/>
      <w:r w:rsidRPr="00520861">
        <w:rPr>
          <w:spacing w:val="-2"/>
          <w:sz w:val="28"/>
          <w:szCs w:val="28"/>
          <w:lang w:eastAsia="en-US"/>
        </w:rPr>
        <w:t>гестаційного</w:t>
      </w:r>
      <w:proofErr w:type="spellEnd"/>
      <w:r w:rsidRPr="00520861">
        <w:rPr>
          <w:spacing w:val="-2"/>
          <w:sz w:val="28"/>
          <w:szCs w:val="28"/>
          <w:lang w:eastAsia="en-US"/>
        </w:rPr>
        <w:t xml:space="preserve"> віку. </w:t>
      </w:r>
      <w:r w:rsidRPr="00520861">
        <w:rPr>
          <w:i/>
          <w:spacing w:val="-2"/>
          <w:sz w:val="28"/>
          <w:szCs w:val="28"/>
          <w:lang w:eastAsia="en-US"/>
        </w:rPr>
        <w:t>Український стоматологічний альманах</w:t>
      </w:r>
      <w:r w:rsidRPr="00520861">
        <w:rPr>
          <w:spacing w:val="-2"/>
          <w:sz w:val="28"/>
          <w:szCs w:val="28"/>
          <w:lang w:eastAsia="en-US"/>
        </w:rPr>
        <w:t>. 2020;(1): 5–18.</w:t>
      </w:r>
    </w:p>
    <w:p w14:paraId="0069613C"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Гармаш ОВ. Дослідження генетичних </w:t>
      </w:r>
      <w:proofErr w:type="spellStart"/>
      <w:r w:rsidRPr="00520861">
        <w:rPr>
          <w:rFonts w:eastAsia="Calibri"/>
          <w:sz w:val="28"/>
          <w:szCs w:val="28"/>
          <w:lang w:eastAsia="en-US"/>
        </w:rPr>
        <w:t>поліморфі</w:t>
      </w:r>
      <w:r w:rsidR="00B62618" w:rsidRPr="00520861">
        <w:rPr>
          <w:rFonts w:eastAsia="Calibri"/>
          <w:sz w:val="28"/>
          <w:szCs w:val="28"/>
          <w:lang w:eastAsia="en-US"/>
        </w:rPr>
        <w:t>змів</w:t>
      </w:r>
      <w:proofErr w:type="spellEnd"/>
      <w:r w:rsidR="00B62618" w:rsidRPr="00520861">
        <w:rPr>
          <w:rFonts w:eastAsia="Calibri"/>
          <w:sz w:val="28"/>
          <w:szCs w:val="28"/>
          <w:lang w:eastAsia="en-US"/>
        </w:rPr>
        <w:t xml:space="preserve"> RANKL [rs9594738], VDR [rs</w:t>
      </w:r>
      <w:r w:rsidRPr="00520861">
        <w:rPr>
          <w:rFonts w:eastAsia="Calibri"/>
          <w:sz w:val="28"/>
          <w:szCs w:val="28"/>
          <w:lang w:eastAsia="en-US"/>
        </w:rPr>
        <w:t xml:space="preserve">1544410] та IL6 [rs1800795] як можливих маркерів ризику розвитку карієсу постійних зубів у осіб, які народились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r w:rsidRPr="00520861">
        <w:rPr>
          <w:rFonts w:eastAsia="Calibri"/>
          <w:i/>
          <w:spacing w:val="-2"/>
          <w:sz w:val="28"/>
          <w:szCs w:val="28"/>
          <w:lang w:eastAsia="en-US"/>
        </w:rPr>
        <w:t>Вісник проблем біології і медицини</w:t>
      </w:r>
      <w:r w:rsidRPr="00520861">
        <w:rPr>
          <w:rFonts w:eastAsia="Calibri"/>
          <w:spacing w:val="-2"/>
          <w:sz w:val="28"/>
          <w:szCs w:val="28"/>
          <w:lang w:eastAsia="en-US"/>
        </w:rPr>
        <w:t xml:space="preserve">. 2020; (1): 354–360. </w:t>
      </w:r>
      <w:proofErr w:type="spellStart"/>
      <w:r w:rsidRPr="00520861">
        <w:rPr>
          <w:rFonts w:eastAsia="Calibri"/>
          <w:spacing w:val="-2"/>
          <w:sz w:val="28"/>
          <w:szCs w:val="28"/>
          <w:lang w:eastAsia="en-US"/>
        </w:rPr>
        <w:t>Available</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from</w:t>
      </w:r>
      <w:proofErr w:type="spellEnd"/>
      <w:r w:rsidRPr="00520861">
        <w:rPr>
          <w:rFonts w:eastAsia="Calibri"/>
          <w:spacing w:val="-2"/>
          <w:sz w:val="28"/>
          <w:szCs w:val="28"/>
          <w:lang w:eastAsia="en-US"/>
        </w:rPr>
        <w:t xml:space="preserve">: </w:t>
      </w:r>
      <w:r w:rsidR="00373EE9" w:rsidRPr="00520861">
        <w:rPr>
          <w:rFonts w:eastAsia="Calibri"/>
          <w:spacing w:val="-2"/>
          <w:sz w:val="28"/>
          <w:szCs w:val="28"/>
          <w:lang w:eastAsia="en-US"/>
        </w:rPr>
        <w:t>DOI</w:t>
      </w:r>
      <w:r w:rsidRPr="00520861">
        <w:rPr>
          <w:rFonts w:eastAsia="Calibri"/>
          <w:spacing w:val="-2"/>
          <w:sz w:val="28"/>
          <w:szCs w:val="28"/>
          <w:lang w:eastAsia="en-US"/>
        </w:rPr>
        <w:t>: 10.29254/2077-4214-2020-1-155-354-360.</w:t>
      </w:r>
    </w:p>
    <w:p w14:paraId="65C3E6B4"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Гармаш ОВ. Морфологічні зміни в зачатках зубів та в тканинах, що їх оточують, у новонароджених щурів із експериментально змодельованою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w:t>
      </w:r>
      <w:r w:rsidRPr="00520861">
        <w:rPr>
          <w:rFonts w:eastAsia="Calibri"/>
          <w:i/>
          <w:sz w:val="28"/>
          <w:szCs w:val="28"/>
          <w:lang w:eastAsia="en-US"/>
        </w:rPr>
        <w:t>Український журнал медицини, біології та спорту</w:t>
      </w:r>
      <w:r w:rsidRPr="00520861">
        <w:rPr>
          <w:rFonts w:eastAsia="Calibri"/>
          <w:sz w:val="28"/>
          <w:szCs w:val="28"/>
          <w:lang w:eastAsia="en-US"/>
        </w:rPr>
        <w:t xml:space="preserve">. 2020;5(1): 37–44.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10.26693/jmbs05.01.037.</w:t>
      </w:r>
    </w:p>
    <w:p w14:paraId="2776722B"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Гармаш ОВ. Динаміка біохімічних показників ротової рідини як маркер ризику розвитку каріозних уражень у осіб різного віку, які народились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Art</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of</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Medicine</w:t>
      </w:r>
      <w:proofErr w:type="spellEnd"/>
      <w:r w:rsidRPr="00520861">
        <w:rPr>
          <w:rFonts w:eastAsia="Calibri"/>
          <w:sz w:val="28"/>
          <w:szCs w:val="28"/>
          <w:lang w:eastAsia="en-US"/>
        </w:rPr>
        <w:t xml:space="preserve">. 2020;13(1): 60–69.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xml:space="preserve">: 10.21802/artm.2020.1.13.60. </w:t>
      </w:r>
    </w:p>
    <w:p w14:paraId="06069745"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sz w:val="28"/>
          <w:szCs w:val="28"/>
          <w:lang w:eastAsia="en-US"/>
        </w:rPr>
        <w:t xml:space="preserve"> Гармаш ОВ. Біохімічні показники ротової рідини в якості маркерів різних варіантів перебігу </w:t>
      </w:r>
      <w:proofErr w:type="spellStart"/>
      <w:r w:rsidRPr="00520861">
        <w:rPr>
          <w:sz w:val="28"/>
          <w:szCs w:val="28"/>
          <w:lang w:eastAsia="en-US"/>
        </w:rPr>
        <w:t>хвороб</w:t>
      </w:r>
      <w:proofErr w:type="spellEnd"/>
      <w:r w:rsidRPr="00520861">
        <w:rPr>
          <w:sz w:val="28"/>
          <w:szCs w:val="28"/>
          <w:lang w:eastAsia="en-US"/>
        </w:rPr>
        <w:t xml:space="preserve"> тканин </w:t>
      </w:r>
      <w:proofErr w:type="spellStart"/>
      <w:r w:rsidRPr="00520861">
        <w:rPr>
          <w:sz w:val="28"/>
          <w:szCs w:val="28"/>
          <w:lang w:eastAsia="en-US"/>
        </w:rPr>
        <w:t>пародонта</w:t>
      </w:r>
      <w:proofErr w:type="spellEnd"/>
      <w:r w:rsidRPr="00520861">
        <w:rPr>
          <w:sz w:val="28"/>
          <w:szCs w:val="28"/>
          <w:lang w:eastAsia="en-US"/>
        </w:rPr>
        <w:t xml:space="preserve"> в осіб, які народилися із </w:t>
      </w:r>
      <w:proofErr w:type="spellStart"/>
      <w:r w:rsidRPr="00520861">
        <w:rPr>
          <w:sz w:val="28"/>
          <w:szCs w:val="28"/>
          <w:lang w:eastAsia="en-US"/>
        </w:rPr>
        <w:t>макросомією</w:t>
      </w:r>
      <w:proofErr w:type="spellEnd"/>
      <w:r w:rsidRPr="00520861">
        <w:rPr>
          <w:sz w:val="28"/>
          <w:szCs w:val="28"/>
          <w:lang w:eastAsia="en-US"/>
        </w:rPr>
        <w:t xml:space="preserve">. </w:t>
      </w:r>
      <w:r w:rsidRPr="00520861">
        <w:rPr>
          <w:i/>
          <w:sz w:val="28"/>
          <w:szCs w:val="28"/>
          <w:lang w:eastAsia="en-US"/>
        </w:rPr>
        <w:t>Вісник проблем біології і медицини</w:t>
      </w:r>
      <w:r w:rsidRPr="00520861">
        <w:rPr>
          <w:sz w:val="28"/>
          <w:szCs w:val="28"/>
          <w:lang w:eastAsia="en-US"/>
        </w:rPr>
        <w:t xml:space="preserve">. 2020;(2): 340–349. </w:t>
      </w:r>
      <w:proofErr w:type="spellStart"/>
      <w:r w:rsidRPr="00520861">
        <w:rPr>
          <w:rFonts w:eastAsia="Calibri"/>
          <w:sz w:val="28"/>
          <w:szCs w:val="28"/>
          <w:lang w:eastAsia="en-US"/>
        </w:rPr>
        <w:t>Available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from</w:t>
      </w:r>
      <w:proofErr w:type="spellEnd"/>
      <w:r w:rsidRPr="00520861">
        <w:rPr>
          <w:rFonts w:eastAsia="Calibri"/>
          <w:sz w:val="28"/>
          <w:szCs w:val="28"/>
          <w:lang w:eastAsia="en-US"/>
        </w:rPr>
        <w:t xml:space="preserve">: </w:t>
      </w:r>
      <w:r w:rsidR="00373EE9" w:rsidRPr="00520861">
        <w:rPr>
          <w:rFonts w:eastAsia="Calibri"/>
          <w:sz w:val="28"/>
          <w:szCs w:val="28"/>
          <w:lang w:eastAsia="en-US"/>
        </w:rPr>
        <w:t>DOI</w:t>
      </w:r>
      <w:r w:rsidRPr="00520861">
        <w:rPr>
          <w:rFonts w:eastAsia="Calibri"/>
          <w:sz w:val="28"/>
          <w:szCs w:val="28"/>
          <w:lang w:eastAsia="en-US"/>
        </w:rPr>
        <w:t xml:space="preserve">: </w:t>
      </w:r>
      <w:r w:rsidRPr="00520861">
        <w:rPr>
          <w:sz w:val="28"/>
          <w:szCs w:val="28"/>
          <w:lang w:eastAsia="en-US"/>
        </w:rPr>
        <w:t>10.29254/2077-4214-2020-2-156-340-349.</w:t>
      </w:r>
    </w:p>
    <w:p w14:paraId="45E5D5A8" w14:textId="77777777" w:rsidR="003A7FA3" w:rsidRPr="00520861" w:rsidRDefault="003A7FA3" w:rsidP="008F1D77">
      <w:pPr>
        <w:widowControl w:val="0"/>
        <w:numPr>
          <w:ilvl w:val="0"/>
          <w:numId w:val="1"/>
        </w:numPr>
        <w:shd w:val="clear" w:color="auto" w:fill="FFFFFF"/>
        <w:spacing w:after="200" w:line="360" w:lineRule="auto"/>
        <w:ind w:left="0" w:firstLine="0"/>
        <w:contextualSpacing/>
        <w:jc w:val="both"/>
        <w:rPr>
          <w:rFonts w:eastAsia="Calibri"/>
          <w:spacing w:val="-2"/>
          <w:sz w:val="28"/>
          <w:szCs w:val="28"/>
          <w:lang w:eastAsia="en-US"/>
        </w:rPr>
      </w:pPr>
      <w:r w:rsidRPr="00520861">
        <w:rPr>
          <w:rFonts w:eastAsia="Calibri"/>
          <w:spacing w:val="-2"/>
          <w:sz w:val="28"/>
          <w:szCs w:val="28"/>
          <w:lang w:eastAsia="en-US"/>
        </w:rPr>
        <w:t xml:space="preserve"> Гармаш ОВ. Біохімічні показники ротової рідини як маркери особливостей структурно-функціонального стану </w:t>
      </w:r>
      <w:proofErr w:type="spellStart"/>
      <w:r w:rsidRPr="00520861">
        <w:rPr>
          <w:rFonts w:eastAsia="Calibri"/>
          <w:spacing w:val="-2"/>
          <w:sz w:val="28"/>
          <w:szCs w:val="28"/>
          <w:lang w:eastAsia="en-US"/>
        </w:rPr>
        <w:t>стоматогнатичної</w:t>
      </w:r>
      <w:proofErr w:type="spellEnd"/>
      <w:r w:rsidRPr="00520861">
        <w:rPr>
          <w:rFonts w:eastAsia="Calibri"/>
          <w:spacing w:val="-2"/>
          <w:sz w:val="28"/>
          <w:szCs w:val="28"/>
          <w:lang w:eastAsia="en-US"/>
        </w:rPr>
        <w:t xml:space="preserve"> системи в осіб, які народилися </w:t>
      </w:r>
      <w:proofErr w:type="spellStart"/>
      <w:r w:rsidRPr="00520861">
        <w:rPr>
          <w:rFonts w:eastAsia="Calibri"/>
          <w:spacing w:val="-2"/>
          <w:sz w:val="28"/>
          <w:szCs w:val="28"/>
          <w:lang w:eastAsia="en-US"/>
        </w:rPr>
        <w:t>макросомами</w:t>
      </w:r>
      <w:proofErr w:type="spellEnd"/>
      <w:r w:rsidRPr="00520861">
        <w:rPr>
          <w:rFonts w:eastAsia="Calibri"/>
          <w:spacing w:val="-2"/>
          <w:sz w:val="28"/>
          <w:szCs w:val="28"/>
          <w:lang w:eastAsia="en-US"/>
        </w:rPr>
        <w:t xml:space="preserve">. </w:t>
      </w:r>
      <w:r w:rsidRPr="00520861">
        <w:rPr>
          <w:rFonts w:eastAsia="Calibri"/>
          <w:i/>
          <w:spacing w:val="-2"/>
          <w:sz w:val="28"/>
          <w:szCs w:val="28"/>
          <w:lang w:eastAsia="en-US"/>
        </w:rPr>
        <w:t>Український стоматологічний альманах</w:t>
      </w:r>
      <w:r w:rsidRPr="00520861">
        <w:rPr>
          <w:rFonts w:eastAsia="Calibri"/>
          <w:spacing w:val="-2"/>
          <w:sz w:val="28"/>
          <w:szCs w:val="28"/>
          <w:lang w:eastAsia="en-US"/>
        </w:rPr>
        <w:t>. 2020;(2): 6–17.</w:t>
      </w:r>
    </w:p>
    <w:p w14:paraId="1D427296"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pacing w:val="-2"/>
          <w:sz w:val="28"/>
          <w:szCs w:val="28"/>
          <w:lang w:eastAsia="en-US"/>
        </w:rPr>
      </w:pPr>
      <w:r w:rsidRPr="00520861">
        <w:rPr>
          <w:rFonts w:eastAsia="Calibri"/>
          <w:sz w:val="28"/>
          <w:szCs w:val="28"/>
          <w:lang w:eastAsia="en-US"/>
        </w:rPr>
        <w:t xml:space="preserve"> </w:t>
      </w:r>
      <w:r w:rsidRPr="00520861">
        <w:rPr>
          <w:rFonts w:eastAsia="Calibri"/>
          <w:spacing w:val="-2"/>
          <w:sz w:val="28"/>
          <w:szCs w:val="28"/>
          <w:lang w:eastAsia="en-US"/>
        </w:rPr>
        <w:t xml:space="preserve">Гармаш ОВ. Деякі особливості морфогенезу зубів щурів у віці 12 та 40 діб при експериментально змодельованій </w:t>
      </w:r>
      <w:proofErr w:type="spellStart"/>
      <w:r w:rsidRPr="00520861">
        <w:rPr>
          <w:rFonts w:eastAsia="Calibri"/>
          <w:spacing w:val="-2"/>
          <w:sz w:val="28"/>
          <w:szCs w:val="28"/>
          <w:lang w:eastAsia="en-US"/>
        </w:rPr>
        <w:t>макросомії</w:t>
      </w:r>
      <w:proofErr w:type="spellEnd"/>
      <w:r w:rsidRPr="00520861">
        <w:rPr>
          <w:rFonts w:eastAsia="Calibri"/>
          <w:spacing w:val="-2"/>
          <w:sz w:val="28"/>
          <w:szCs w:val="28"/>
          <w:lang w:eastAsia="en-US"/>
        </w:rPr>
        <w:t xml:space="preserve"> плоду. </w:t>
      </w:r>
      <w:r w:rsidRPr="00520861">
        <w:rPr>
          <w:rFonts w:eastAsia="Calibri"/>
          <w:i/>
          <w:spacing w:val="-2"/>
          <w:sz w:val="28"/>
          <w:szCs w:val="28"/>
          <w:lang w:eastAsia="en-US"/>
        </w:rPr>
        <w:t xml:space="preserve">Український журнал медицини, </w:t>
      </w:r>
      <w:r w:rsidRPr="00520861">
        <w:rPr>
          <w:rFonts w:eastAsia="Calibri"/>
          <w:i/>
          <w:spacing w:val="-2"/>
          <w:sz w:val="28"/>
          <w:szCs w:val="28"/>
          <w:lang w:eastAsia="en-US"/>
        </w:rPr>
        <w:lastRenderedPageBreak/>
        <w:t>біології та спорту</w:t>
      </w:r>
      <w:r w:rsidRPr="00520861">
        <w:rPr>
          <w:rFonts w:eastAsia="Calibri"/>
          <w:spacing w:val="-2"/>
          <w:sz w:val="28"/>
          <w:szCs w:val="28"/>
          <w:lang w:eastAsia="en-US"/>
        </w:rPr>
        <w:t xml:space="preserve">. 2020;5(2): 50–57. </w:t>
      </w:r>
      <w:proofErr w:type="spellStart"/>
      <w:r w:rsidRPr="00520861">
        <w:rPr>
          <w:rFonts w:eastAsia="Calibri"/>
          <w:spacing w:val="-2"/>
          <w:sz w:val="28"/>
          <w:szCs w:val="28"/>
          <w:lang w:eastAsia="en-US"/>
        </w:rPr>
        <w:t>Available</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from</w:t>
      </w:r>
      <w:proofErr w:type="spellEnd"/>
      <w:r w:rsidRPr="00520861">
        <w:rPr>
          <w:rFonts w:eastAsia="Calibri"/>
          <w:spacing w:val="-2"/>
          <w:sz w:val="28"/>
          <w:szCs w:val="28"/>
          <w:lang w:eastAsia="en-US"/>
        </w:rPr>
        <w:t xml:space="preserve">: </w:t>
      </w:r>
      <w:r w:rsidR="00373EE9" w:rsidRPr="00520861">
        <w:rPr>
          <w:rFonts w:eastAsia="Calibri"/>
          <w:spacing w:val="-2"/>
          <w:sz w:val="28"/>
          <w:szCs w:val="28"/>
          <w:lang w:eastAsia="en-US"/>
        </w:rPr>
        <w:t>DOI</w:t>
      </w:r>
      <w:r w:rsidRPr="00520861">
        <w:rPr>
          <w:rFonts w:eastAsia="Calibri"/>
          <w:spacing w:val="-2"/>
          <w:sz w:val="28"/>
          <w:szCs w:val="28"/>
          <w:lang w:eastAsia="en-US"/>
        </w:rPr>
        <w:t>: 10.26693/jmbs05.02.050.</w:t>
      </w:r>
    </w:p>
    <w:p w14:paraId="1932B531"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 Гармаш ОВ, Губіна-</w:t>
      </w:r>
      <w:proofErr w:type="spellStart"/>
      <w:r w:rsidRPr="00520861">
        <w:rPr>
          <w:rFonts w:eastAsia="Calibri"/>
          <w:sz w:val="28"/>
          <w:szCs w:val="28"/>
          <w:lang w:eastAsia="en-US"/>
        </w:rPr>
        <w:t>Вакулік</w:t>
      </w:r>
      <w:proofErr w:type="spellEnd"/>
      <w:r w:rsidRPr="00520861">
        <w:rPr>
          <w:rFonts w:eastAsia="Calibri"/>
          <w:sz w:val="28"/>
          <w:szCs w:val="28"/>
          <w:lang w:eastAsia="en-US"/>
        </w:rPr>
        <w:t xml:space="preserve"> ГІ. Стан пульпи, твердих тканин зубів та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дванадцяти- та </w:t>
      </w:r>
      <w:proofErr w:type="spellStart"/>
      <w:r w:rsidRPr="00520861">
        <w:rPr>
          <w:rFonts w:eastAsia="Calibri"/>
          <w:sz w:val="28"/>
          <w:szCs w:val="28"/>
          <w:lang w:eastAsia="en-US"/>
        </w:rPr>
        <w:t>вісімнадцятимісячних</w:t>
      </w:r>
      <w:proofErr w:type="spellEnd"/>
      <w:r w:rsidRPr="00520861">
        <w:rPr>
          <w:rFonts w:eastAsia="Calibri"/>
          <w:sz w:val="28"/>
          <w:szCs w:val="28"/>
          <w:lang w:eastAsia="en-US"/>
        </w:rPr>
        <w:t xml:space="preserve"> щурів, які народились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w:t>
      </w:r>
      <w:r w:rsidRPr="00520861">
        <w:rPr>
          <w:rFonts w:eastAsia="Calibri"/>
          <w:i/>
          <w:sz w:val="28"/>
          <w:szCs w:val="28"/>
          <w:lang w:eastAsia="en-US"/>
        </w:rPr>
        <w:t>Український журнал медицини, біології та спорту</w:t>
      </w:r>
      <w:r w:rsidRPr="00520861">
        <w:rPr>
          <w:rFonts w:eastAsia="Calibri"/>
          <w:sz w:val="28"/>
          <w:szCs w:val="28"/>
          <w:lang w:eastAsia="en-US"/>
        </w:rPr>
        <w:t xml:space="preserve">. 2020;5(3): 107–121. </w:t>
      </w:r>
      <w:r w:rsidR="00775860" w:rsidRPr="00520861">
        <w:rPr>
          <w:rFonts w:eastAsia="Calibri"/>
          <w:sz w:val="28"/>
          <w:szCs w:val="28"/>
          <w:lang w:eastAsia="en-US"/>
        </w:rPr>
        <w:t>(</w:t>
      </w:r>
      <w:r w:rsidR="00775860" w:rsidRPr="00520861">
        <w:rPr>
          <w:rFonts w:eastAsia="Calibri"/>
          <w:i/>
          <w:sz w:val="28"/>
          <w:szCs w:val="28"/>
          <w:lang w:eastAsia="en-US"/>
        </w:rPr>
        <w:t xml:space="preserve">Особистий внесок – планування та проведення експерименту, </w:t>
      </w:r>
      <w:r w:rsidR="00775860" w:rsidRPr="00520861">
        <w:rPr>
          <w:rFonts w:eastAsia="Calibri"/>
          <w:bCs/>
          <w:i/>
          <w:spacing w:val="-2"/>
          <w:sz w:val="28"/>
          <w:szCs w:val="28"/>
          <w:lang w:eastAsia="en-US"/>
        </w:rPr>
        <w:t>відбір експериментального матеріалу тварин для отримання мікропрепаратів,</w:t>
      </w:r>
      <w:r w:rsidR="00775860" w:rsidRPr="00520861">
        <w:rPr>
          <w:rFonts w:eastAsia="Calibri"/>
          <w:i/>
          <w:sz w:val="28"/>
          <w:szCs w:val="28"/>
          <w:lang w:eastAsia="en-US"/>
        </w:rPr>
        <w:t xml:space="preserve"> </w:t>
      </w:r>
      <w:r w:rsidR="00150652" w:rsidRPr="00520861">
        <w:rPr>
          <w:rFonts w:eastAsia="Calibri"/>
          <w:i/>
          <w:sz w:val="28"/>
          <w:szCs w:val="28"/>
          <w:lang w:eastAsia="en-US"/>
        </w:rPr>
        <w:t xml:space="preserve">участь в аналізі зразків, </w:t>
      </w:r>
      <w:r w:rsidR="005D7BE3" w:rsidRPr="00520861">
        <w:rPr>
          <w:rFonts w:eastAsia="Calibri"/>
          <w:bCs/>
          <w:i/>
          <w:sz w:val="28"/>
          <w:szCs w:val="28"/>
          <w:lang w:eastAsia="en-US"/>
        </w:rPr>
        <w:t>статистична обробка</w:t>
      </w:r>
      <w:r w:rsidR="00150652" w:rsidRPr="00520861">
        <w:rPr>
          <w:rFonts w:eastAsia="Calibri"/>
          <w:bCs/>
          <w:i/>
          <w:spacing w:val="-2"/>
          <w:sz w:val="28"/>
          <w:szCs w:val="28"/>
          <w:lang w:eastAsia="en-US"/>
        </w:rPr>
        <w:t xml:space="preserve"> даних </w:t>
      </w:r>
      <w:r w:rsidR="00150652" w:rsidRPr="00520861">
        <w:rPr>
          <w:rFonts w:eastAsia="Calibri"/>
          <w:i/>
          <w:sz w:val="28"/>
          <w:szCs w:val="28"/>
          <w:lang w:eastAsia="en-US"/>
        </w:rPr>
        <w:t>та</w:t>
      </w:r>
      <w:r w:rsidR="00775860" w:rsidRPr="00520861">
        <w:rPr>
          <w:rFonts w:eastAsia="Calibri"/>
          <w:i/>
          <w:sz w:val="28"/>
          <w:szCs w:val="28"/>
          <w:lang w:eastAsia="en-US"/>
        </w:rPr>
        <w:t xml:space="preserve"> </w:t>
      </w:r>
      <w:r w:rsidR="00775860" w:rsidRPr="00520861">
        <w:rPr>
          <w:rFonts w:eastAsia="Calibri"/>
          <w:bCs/>
          <w:i/>
          <w:spacing w:val="-2"/>
          <w:sz w:val="28"/>
          <w:szCs w:val="28"/>
          <w:lang w:eastAsia="en-US"/>
        </w:rPr>
        <w:t xml:space="preserve">узагальнення отриманих результатів, </w:t>
      </w:r>
      <w:r w:rsidR="00775860" w:rsidRPr="00520861">
        <w:rPr>
          <w:rFonts w:eastAsia="Calibri"/>
          <w:i/>
          <w:sz w:val="28"/>
          <w:szCs w:val="28"/>
          <w:lang w:eastAsia="en-US"/>
        </w:rPr>
        <w:t>підготовка статті до друку</w:t>
      </w:r>
      <w:r w:rsidR="00775860" w:rsidRPr="00520861">
        <w:rPr>
          <w:rFonts w:eastAsia="Calibri"/>
          <w:sz w:val="28"/>
          <w:szCs w:val="28"/>
          <w:lang w:eastAsia="en-US"/>
        </w:rPr>
        <w:t>)</w:t>
      </w:r>
      <w:r w:rsidRPr="00520861">
        <w:rPr>
          <w:rFonts w:eastAsia="Calibri"/>
          <w:sz w:val="28"/>
          <w:szCs w:val="28"/>
          <w:lang w:eastAsia="en-US"/>
        </w:rPr>
        <w:t>.</w:t>
      </w:r>
    </w:p>
    <w:p w14:paraId="495DE454"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pacing w:val="-4"/>
          <w:sz w:val="28"/>
          <w:szCs w:val="28"/>
          <w:lang w:eastAsia="en-US"/>
        </w:rPr>
      </w:pPr>
      <w:r w:rsidRPr="00520861">
        <w:rPr>
          <w:rFonts w:eastAsia="Calibri"/>
          <w:spacing w:val="-2"/>
          <w:sz w:val="28"/>
          <w:szCs w:val="28"/>
          <w:lang w:eastAsia="en-US"/>
        </w:rPr>
        <w:t xml:space="preserve"> </w:t>
      </w:r>
      <w:r w:rsidRPr="00520861">
        <w:rPr>
          <w:rFonts w:eastAsia="Calibri"/>
          <w:spacing w:val="-4"/>
          <w:sz w:val="28"/>
          <w:szCs w:val="28"/>
          <w:lang w:eastAsia="en-US"/>
        </w:rPr>
        <w:t xml:space="preserve">Гармаш ОВ. </w:t>
      </w:r>
      <w:proofErr w:type="spellStart"/>
      <w:r w:rsidRPr="00520861">
        <w:rPr>
          <w:rFonts w:eastAsia="Calibri"/>
          <w:spacing w:val="-4"/>
          <w:sz w:val="28"/>
          <w:szCs w:val="28"/>
          <w:lang w:eastAsia="en-US"/>
        </w:rPr>
        <w:t>Прогнозирование</w:t>
      </w:r>
      <w:proofErr w:type="spellEnd"/>
      <w:r w:rsidRPr="00520861">
        <w:rPr>
          <w:rFonts w:eastAsia="Calibri"/>
          <w:spacing w:val="-4"/>
          <w:sz w:val="28"/>
          <w:szCs w:val="28"/>
          <w:lang w:eastAsia="en-US"/>
        </w:rPr>
        <w:t xml:space="preserve"> риска </w:t>
      </w:r>
      <w:proofErr w:type="spellStart"/>
      <w:r w:rsidRPr="00520861">
        <w:rPr>
          <w:rFonts w:eastAsia="Calibri"/>
          <w:spacing w:val="-4"/>
          <w:sz w:val="28"/>
          <w:szCs w:val="28"/>
          <w:lang w:eastAsia="en-US"/>
        </w:rPr>
        <w:t>формирования</w:t>
      </w:r>
      <w:proofErr w:type="spellEnd"/>
      <w:r w:rsidRPr="00520861">
        <w:rPr>
          <w:rFonts w:eastAsia="Calibri"/>
          <w:spacing w:val="-4"/>
          <w:sz w:val="28"/>
          <w:szCs w:val="28"/>
          <w:lang w:eastAsia="en-US"/>
        </w:rPr>
        <w:t xml:space="preserve"> нарушений </w:t>
      </w:r>
      <w:proofErr w:type="spellStart"/>
      <w:r w:rsidRPr="00520861">
        <w:rPr>
          <w:rFonts w:eastAsia="Calibri"/>
          <w:spacing w:val="-4"/>
          <w:sz w:val="28"/>
          <w:szCs w:val="28"/>
          <w:lang w:eastAsia="en-US"/>
        </w:rPr>
        <w:t>зубочелюстной</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системы</w:t>
      </w:r>
      <w:proofErr w:type="spellEnd"/>
      <w:r w:rsidRPr="00520861">
        <w:rPr>
          <w:rFonts w:eastAsia="Calibri"/>
          <w:spacing w:val="-4"/>
          <w:sz w:val="28"/>
          <w:szCs w:val="28"/>
          <w:lang w:eastAsia="en-US"/>
        </w:rPr>
        <w:t xml:space="preserve"> у </w:t>
      </w:r>
      <w:proofErr w:type="spellStart"/>
      <w:r w:rsidRPr="00520861">
        <w:rPr>
          <w:rFonts w:eastAsia="Calibri"/>
          <w:spacing w:val="-4"/>
          <w:sz w:val="28"/>
          <w:szCs w:val="28"/>
          <w:lang w:eastAsia="en-US"/>
        </w:rPr>
        <w:t>новорожденных</w:t>
      </w:r>
      <w:proofErr w:type="spellEnd"/>
      <w:r w:rsidRPr="00520861">
        <w:rPr>
          <w:rFonts w:eastAsia="Calibri"/>
          <w:spacing w:val="-4"/>
          <w:sz w:val="28"/>
          <w:szCs w:val="28"/>
          <w:lang w:eastAsia="en-US"/>
        </w:rPr>
        <w:t xml:space="preserve"> и </w:t>
      </w:r>
      <w:proofErr w:type="spellStart"/>
      <w:r w:rsidRPr="00520861">
        <w:rPr>
          <w:rFonts w:eastAsia="Calibri"/>
          <w:spacing w:val="-4"/>
          <w:sz w:val="28"/>
          <w:szCs w:val="28"/>
          <w:lang w:eastAsia="en-US"/>
        </w:rPr>
        <w:t>детей</w:t>
      </w:r>
      <w:proofErr w:type="spellEnd"/>
      <w:r w:rsidRPr="00520861">
        <w:rPr>
          <w:rFonts w:eastAsia="Calibri"/>
          <w:spacing w:val="-4"/>
          <w:sz w:val="28"/>
          <w:szCs w:val="28"/>
          <w:lang w:eastAsia="en-US"/>
        </w:rPr>
        <w:t xml:space="preserve"> грудного </w:t>
      </w:r>
      <w:proofErr w:type="spellStart"/>
      <w:r w:rsidRPr="00520861">
        <w:rPr>
          <w:rFonts w:eastAsia="Calibri"/>
          <w:spacing w:val="-4"/>
          <w:sz w:val="28"/>
          <w:szCs w:val="28"/>
          <w:lang w:eastAsia="en-US"/>
        </w:rPr>
        <w:t>возраста</w:t>
      </w:r>
      <w:proofErr w:type="spellEnd"/>
      <w:r w:rsidRPr="00520861">
        <w:rPr>
          <w:rFonts w:eastAsia="Calibri"/>
          <w:spacing w:val="-4"/>
          <w:sz w:val="28"/>
          <w:szCs w:val="28"/>
          <w:lang w:eastAsia="en-US"/>
        </w:rPr>
        <w:t xml:space="preserve"> с </w:t>
      </w:r>
      <w:proofErr w:type="spellStart"/>
      <w:r w:rsidRPr="00520861">
        <w:rPr>
          <w:rFonts w:eastAsia="Calibri"/>
          <w:spacing w:val="-4"/>
          <w:sz w:val="28"/>
          <w:szCs w:val="28"/>
          <w:lang w:eastAsia="en-US"/>
        </w:rPr>
        <w:t>макросомией</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клиническая</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апробация</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опросника</w:t>
      </w:r>
      <w:proofErr w:type="spellEnd"/>
      <w:r w:rsidRPr="00520861">
        <w:rPr>
          <w:rFonts w:eastAsia="Calibri"/>
          <w:spacing w:val="-4"/>
          <w:sz w:val="28"/>
          <w:szCs w:val="28"/>
          <w:lang w:eastAsia="en-US"/>
        </w:rPr>
        <w:t xml:space="preserve">). </w:t>
      </w:r>
      <w:proofErr w:type="spellStart"/>
      <w:r w:rsidRPr="00520861">
        <w:rPr>
          <w:rFonts w:eastAsia="Calibri"/>
          <w:i/>
          <w:spacing w:val="-4"/>
          <w:sz w:val="28"/>
          <w:szCs w:val="28"/>
          <w:lang w:eastAsia="en-US"/>
        </w:rPr>
        <w:t>Медицинский</w:t>
      </w:r>
      <w:proofErr w:type="spellEnd"/>
      <w:r w:rsidRPr="00520861">
        <w:rPr>
          <w:rFonts w:eastAsia="Calibri"/>
          <w:i/>
          <w:spacing w:val="-4"/>
          <w:sz w:val="28"/>
          <w:szCs w:val="28"/>
          <w:lang w:eastAsia="en-US"/>
        </w:rPr>
        <w:t xml:space="preserve"> журнал </w:t>
      </w:r>
      <w:proofErr w:type="spellStart"/>
      <w:r w:rsidRPr="00520861">
        <w:rPr>
          <w:rFonts w:eastAsia="Calibri"/>
          <w:i/>
          <w:spacing w:val="-4"/>
          <w:sz w:val="28"/>
          <w:szCs w:val="28"/>
          <w:lang w:eastAsia="en-US"/>
        </w:rPr>
        <w:t>северного</w:t>
      </w:r>
      <w:proofErr w:type="spellEnd"/>
      <w:r w:rsidRPr="00520861">
        <w:rPr>
          <w:rFonts w:eastAsia="Calibri"/>
          <w:i/>
          <w:spacing w:val="-4"/>
          <w:sz w:val="28"/>
          <w:szCs w:val="28"/>
          <w:lang w:eastAsia="en-US"/>
        </w:rPr>
        <w:t xml:space="preserve"> </w:t>
      </w:r>
      <w:proofErr w:type="spellStart"/>
      <w:r w:rsidRPr="00520861">
        <w:rPr>
          <w:rFonts w:eastAsia="Calibri"/>
          <w:i/>
          <w:spacing w:val="-4"/>
          <w:sz w:val="28"/>
          <w:szCs w:val="28"/>
          <w:lang w:eastAsia="en-US"/>
        </w:rPr>
        <w:t>Казахстана</w:t>
      </w:r>
      <w:proofErr w:type="spellEnd"/>
      <w:r w:rsidRPr="00520861">
        <w:rPr>
          <w:rFonts w:eastAsia="Calibri"/>
          <w:spacing w:val="-4"/>
          <w:sz w:val="28"/>
          <w:szCs w:val="28"/>
          <w:lang w:eastAsia="en-US"/>
        </w:rPr>
        <w:t>. 2016;(3): 52–56.</w:t>
      </w:r>
    </w:p>
    <w:p w14:paraId="320D47F4" w14:textId="77777777" w:rsidR="003A7FA3" w:rsidRPr="00520861" w:rsidRDefault="003A7FA3" w:rsidP="00292D2E">
      <w:pPr>
        <w:widowControl w:val="0"/>
        <w:spacing w:line="360" w:lineRule="auto"/>
        <w:ind w:firstLine="708"/>
        <w:contextualSpacing/>
        <w:jc w:val="both"/>
        <w:rPr>
          <w:rFonts w:eastAsia="Calibri"/>
          <w:b/>
          <w:bCs/>
          <w:iCs/>
          <w:spacing w:val="-2"/>
          <w:sz w:val="28"/>
          <w:szCs w:val="28"/>
          <w:lang w:eastAsia="en-US"/>
        </w:rPr>
      </w:pPr>
      <w:r w:rsidRPr="00520861">
        <w:rPr>
          <w:rFonts w:eastAsia="Calibri"/>
          <w:b/>
          <w:bCs/>
          <w:iCs/>
          <w:spacing w:val="-2"/>
          <w:sz w:val="28"/>
          <w:szCs w:val="28"/>
          <w:lang w:eastAsia="en-US"/>
        </w:rPr>
        <w:t>Наукові праці, які засвідчують апробацію матеріалів дисертації:</w:t>
      </w:r>
    </w:p>
    <w:p w14:paraId="428E2286"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 Аналіз показників стоматологічного статусу новонароджених та дітей грудного віку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які народились із </w:t>
      </w:r>
      <w:proofErr w:type="spellStart"/>
      <w:r w:rsidRPr="00520861">
        <w:rPr>
          <w:rFonts w:eastAsia="Calibri"/>
          <w:sz w:val="28"/>
          <w:szCs w:val="28"/>
          <w:lang w:eastAsia="en-US"/>
        </w:rPr>
        <w:t>перинатальним</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гіпоксично</w:t>
      </w:r>
      <w:proofErr w:type="spellEnd"/>
      <w:r w:rsidRPr="00520861">
        <w:rPr>
          <w:rFonts w:eastAsia="Calibri"/>
          <w:sz w:val="28"/>
          <w:szCs w:val="28"/>
          <w:lang w:eastAsia="en-US"/>
        </w:rPr>
        <w:t>-ішемічним ураженням центральної нервової системи</w:t>
      </w:r>
      <w:r w:rsidRPr="00520861">
        <w:rPr>
          <w:rFonts w:eastAsia="Calibri"/>
          <w:bCs/>
          <w:iCs/>
          <w:sz w:val="28"/>
          <w:szCs w:val="28"/>
          <w:lang w:eastAsia="en-US"/>
        </w:rPr>
        <w:t xml:space="preserve">. </w:t>
      </w:r>
      <w:r w:rsidRPr="00520861">
        <w:rPr>
          <w:rFonts w:eastAsia="Calibri"/>
          <w:sz w:val="28"/>
          <w:szCs w:val="28"/>
          <w:lang w:eastAsia="en-US"/>
        </w:rPr>
        <w:t xml:space="preserve">Матеріали третього національного українського стоматологічного конгресу 22 – 23 жовтня 2015 р., Київ. </w:t>
      </w:r>
      <w:r w:rsidRPr="00520861">
        <w:rPr>
          <w:rFonts w:eastAsia="Calibri"/>
          <w:i/>
          <w:sz w:val="28"/>
          <w:szCs w:val="28"/>
          <w:lang w:eastAsia="en-US"/>
        </w:rPr>
        <w:t>Новини стоматології</w:t>
      </w:r>
      <w:r w:rsidRPr="00520861">
        <w:rPr>
          <w:rFonts w:eastAsia="Calibri"/>
          <w:sz w:val="28"/>
          <w:szCs w:val="28"/>
          <w:lang w:eastAsia="en-US"/>
        </w:rPr>
        <w:t>. 2015;(4): 160–162.</w:t>
      </w:r>
    </w:p>
    <w:p w14:paraId="61CF4213"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pacing w:val="-4"/>
          <w:sz w:val="28"/>
          <w:szCs w:val="28"/>
          <w:lang w:eastAsia="en-US"/>
        </w:rPr>
      </w:pPr>
      <w:r w:rsidRPr="00520861">
        <w:rPr>
          <w:rFonts w:eastAsia="Calibri"/>
          <w:spacing w:val="-4"/>
          <w:sz w:val="28"/>
          <w:szCs w:val="28"/>
          <w:lang w:eastAsia="en-US"/>
        </w:rPr>
        <w:t xml:space="preserve">Гармаш ОВ, Рябоконь ЄМ, </w:t>
      </w:r>
      <w:proofErr w:type="spellStart"/>
      <w:r w:rsidRPr="00520861">
        <w:rPr>
          <w:rFonts w:eastAsia="Calibri"/>
          <w:spacing w:val="-4"/>
          <w:sz w:val="28"/>
          <w:szCs w:val="28"/>
          <w:lang w:eastAsia="en-US"/>
        </w:rPr>
        <w:t>Будрейко</w:t>
      </w:r>
      <w:proofErr w:type="spellEnd"/>
      <w:r w:rsidRPr="00520861">
        <w:rPr>
          <w:rFonts w:eastAsia="Calibri"/>
          <w:spacing w:val="-4"/>
          <w:sz w:val="28"/>
          <w:szCs w:val="28"/>
          <w:lang w:eastAsia="en-US"/>
        </w:rPr>
        <w:t xml:space="preserve"> ОВ. Особливості стоматологічного статусу дітей та підлітків, які народилися великими до терміну </w:t>
      </w:r>
      <w:proofErr w:type="spellStart"/>
      <w:r w:rsidRPr="00520861">
        <w:rPr>
          <w:rFonts w:eastAsia="Calibri"/>
          <w:spacing w:val="-4"/>
          <w:sz w:val="28"/>
          <w:szCs w:val="28"/>
          <w:lang w:eastAsia="en-US"/>
        </w:rPr>
        <w:t>гестації</w:t>
      </w:r>
      <w:proofErr w:type="spellEnd"/>
      <w:r w:rsidRPr="00520861">
        <w:rPr>
          <w:rFonts w:eastAsia="Calibri"/>
          <w:spacing w:val="-4"/>
          <w:sz w:val="28"/>
          <w:szCs w:val="28"/>
          <w:lang w:eastAsia="en-US"/>
        </w:rPr>
        <w:t xml:space="preserve"> та мають ендокринну патологію. </w:t>
      </w:r>
      <w:proofErr w:type="spellStart"/>
      <w:r w:rsidRPr="00520861">
        <w:rPr>
          <w:rFonts w:eastAsia="Calibri"/>
          <w:spacing w:val="-4"/>
          <w:sz w:val="28"/>
          <w:szCs w:val="28"/>
          <w:lang w:eastAsia="en-US"/>
        </w:rPr>
        <w:t>In</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Караченцев</w:t>
      </w:r>
      <w:proofErr w:type="spellEnd"/>
      <w:r w:rsidRPr="00520861">
        <w:rPr>
          <w:rFonts w:eastAsia="Calibri"/>
          <w:spacing w:val="-4"/>
          <w:sz w:val="28"/>
          <w:szCs w:val="28"/>
          <w:lang w:eastAsia="en-US"/>
        </w:rPr>
        <w:t xml:space="preserve"> ЮІ, Козаков ОВ, </w:t>
      </w:r>
      <w:proofErr w:type="spellStart"/>
      <w:r w:rsidRPr="00520861">
        <w:rPr>
          <w:rFonts w:eastAsia="Calibri"/>
          <w:spacing w:val="-4"/>
          <w:sz w:val="28"/>
          <w:szCs w:val="28"/>
          <w:lang w:eastAsia="en-US"/>
        </w:rPr>
        <w:t>Кравчун</w:t>
      </w:r>
      <w:proofErr w:type="spellEnd"/>
      <w:r w:rsidRPr="00520861">
        <w:rPr>
          <w:rFonts w:eastAsia="Calibri"/>
          <w:spacing w:val="-4"/>
          <w:sz w:val="28"/>
          <w:szCs w:val="28"/>
          <w:lang w:eastAsia="en-US"/>
        </w:rPr>
        <w:t xml:space="preserve"> НО, Ільїна ІМ, </w:t>
      </w:r>
      <w:proofErr w:type="spellStart"/>
      <w:r w:rsidRPr="00520861">
        <w:rPr>
          <w:rFonts w:eastAsia="Calibri"/>
          <w:spacing w:val="-4"/>
          <w:sz w:val="28"/>
          <w:szCs w:val="28"/>
          <w:lang w:eastAsia="en-US"/>
        </w:rPr>
        <w:t>Корнєєв</w:t>
      </w:r>
      <w:proofErr w:type="spellEnd"/>
      <w:r w:rsidRPr="00520861">
        <w:rPr>
          <w:rFonts w:eastAsia="Calibri"/>
          <w:spacing w:val="-4"/>
          <w:sz w:val="28"/>
          <w:szCs w:val="28"/>
          <w:lang w:eastAsia="en-US"/>
        </w:rPr>
        <w:t xml:space="preserve"> ММ, </w:t>
      </w:r>
      <w:proofErr w:type="spellStart"/>
      <w:r w:rsidRPr="00520861">
        <w:rPr>
          <w:rFonts w:eastAsia="Calibri"/>
          <w:spacing w:val="-4"/>
          <w:sz w:val="28"/>
          <w:szCs w:val="28"/>
          <w:lang w:eastAsia="en-US"/>
        </w:rPr>
        <w:t>Будрейко</w:t>
      </w:r>
      <w:proofErr w:type="spellEnd"/>
      <w:r w:rsidRPr="00520861">
        <w:rPr>
          <w:rFonts w:eastAsia="Calibri"/>
          <w:spacing w:val="-4"/>
          <w:sz w:val="28"/>
          <w:szCs w:val="28"/>
          <w:lang w:eastAsia="en-US"/>
        </w:rPr>
        <w:t xml:space="preserve"> ОА. (</w:t>
      </w:r>
      <w:proofErr w:type="spellStart"/>
      <w:r w:rsidRPr="00520861">
        <w:rPr>
          <w:rFonts w:eastAsia="Calibri"/>
          <w:spacing w:val="-4"/>
          <w:sz w:val="28"/>
          <w:szCs w:val="28"/>
          <w:lang w:eastAsia="en-US"/>
        </w:rPr>
        <w:t>eds</w:t>
      </w:r>
      <w:proofErr w:type="spellEnd"/>
      <w:r w:rsidRPr="00520861">
        <w:rPr>
          <w:rFonts w:eastAsia="Calibri"/>
          <w:spacing w:val="-4"/>
          <w:sz w:val="28"/>
          <w:szCs w:val="28"/>
          <w:lang w:eastAsia="en-US"/>
        </w:rPr>
        <w:t xml:space="preserve">.) </w:t>
      </w:r>
      <w:r w:rsidRPr="00520861">
        <w:rPr>
          <w:rFonts w:eastAsia="Calibri"/>
          <w:i/>
          <w:spacing w:val="-4"/>
          <w:sz w:val="28"/>
          <w:szCs w:val="28"/>
          <w:lang w:eastAsia="en-US"/>
        </w:rPr>
        <w:t>Матеріали Науково-практичної конференції «Ендокринна патологія в віковому аспекті» 26–27 листопада 2015 р., Харків</w:t>
      </w:r>
      <w:r w:rsidRPr="00520861">
        <w:rPr>
          <w:rFonts w:eastAsia="Calibri"/>
          <w:spacing w:val="-4"/>
          <w:sz w:val="28"/>
          <w:szCs w:val="28"/>
          <w:lang w:eastAsia="en-US"/>
        </w:rPr>
        <w:t>. Харків: ТОВ «Пульс»; 2015. с. 22–23. (</w:t>
      </w:r>
      <w:r w:rsidR="00775860" w:rsidRPr="00520861">
        <w:rPr>
          <w:rFonts w:eastAsia="Calibri"/>
          <w:i/>
          <w:spacing w:val="-4"/>
          <w:sz w:val="28"/>
          <w:szCs w:val="28"/>
          <w:lang w:eastAsia="en-US"/>
        </w:rPr>
        <w:t xml:space="preserve">Дисертанткою </w:t>
      </w:r>
      <w:r w:rsidR="00F63E10" w:rsidRPr="00520861">
        <w:rPr>
          <w:rFonts w:eastAsia="Calibri"/>
          <w:i/>
          <w:spacing w:val="-4"/>
          <w:sz w:val="28"/>
          <w:szCs w:val="28"/>
          <w:lang w:eastAsia="en-US"/>
        </w:rPr>
        <w:t xml:space="preserve">проведено </w:t>
      </w:r>
      <w:r w:rsidRPr="00520861">
        <w:rPr>
          <w:rFonts w:eastAsia="Calibri"/>
          <w:i/>
          <w:spacing w:val="-4"/>
          <w:sz w:val="28"/>
          <w:szCs w:val="28"/>
          <w:lang w:eastAsia="en-US"/>
        </w:rPr>
        <w:t>клінічне стоматологічне обстеження</w:t>
      </w:r>
      <w:r w:rsidR="00202641" w:rsidRPr="00520861">
        <w:rPr>
          <w:rFonts w:eastAsia="Calibri"/>
          <w:i/>
          <w:spacing w:val="-4"/>
          <w:sz w:val="28"/>
          <w:szCs w:val="28"/>
          <w:lang w:eastAsia="en-US"/>
        </w:rPr>
        <w:t xml:space="preserve"> пацієнтів</w:t>
      </w:r>
      <w:r w:rsidRPr="00520861">
        <w:rPr>
          <w:rFonts w:eastAsia="Calibri"/>
          <w:i/>
          <w:spacing w:val="-4"/>
          <w:sz w:val="28"/>
          <w:szCs w:val="28"/>
          <w:lang w:eastAsia="en-US"/>
        </w:rPr>
        <w:t xml:space="preserve">, </w:t>
      </w:r>
      <w:r w:rsidR="00150652" w:rsidRPr="00520861">
        <w:rPr>
          <w:rFonts w:eastAsia="Calibri"/>
          <w:i/>
          <w:spacing w:val="-4"/>
          <w:sz w:val="28"/>
          <w:szCs w:val="28"/>
          <w:lang w:eastAsia="en-US"/>
        </w:rPr>
        <w:t>викона</w:t>
      </w:r>
      <w:r w:rsidR="00F63E10" w:rsidRPr="00520861">
        <w:rPr>
          <w:rFonts w:eastAsia="Calibri"/>
          <w:i/>
          <w:spacing w:val="-4"/>
          <w:sz w:val="28"/>
          <w:szCs w:val="28"/>
          <w:lang w:eastAsia="en-US"/>
        </w:rPr>
        <w:t xml:space="preserve">но </w:t>
      </w:r>
      <w:r w:rsidR="005D7BE3" w:rsidRPr="00520861">
        <w:rPr>
          <w:rFonts w:eastAsia="Calibri"/>
          <w:bCs/>
          <w:i/>
          <w:sz w:val="28"/>
          <w:szCs w:val="28"/>
          <w:lang w:eastAsia="en-US"/>
        </w:rPr>
        <w:t>статистична обробка</w:t>
      </w:r>
      <w:r w:rsidR="00150652" w:rsidRPr="00520861">
        <w:rPr>
          <w:rFonts w:eastAsia="Calibri"/>
          <w:i/>
          <w:spacing w:val="-4"/>
          <w:sz w:val="28"/>
          <w:szCs w:val="28"/>
          <w:lang w:eastAsia="en-US"/>
        </w:rPr>
        <w:t xml:space="preserve"> даних,</w:t>
      </w:r>
      <w:r w:rsidRPr="00520861">
        <w:rPr>
          <w:rFonts w:eastAsia="Calibri"/>
          <w:i/>
          <w:spacing w:val="-4"/>
          <w:sz w:val="28"/>
          <w:szCs w:val="28"/>
          <w:lang w:eastAsia="en-US"/>
        </w:rPr>
        <w:t xml:space="preserve"> </w:t>
      </w:r>
      <w:r w:rsidR="00150652" w:rsidRPr="00520861">
        <w:rPr>
          <w:rFonts w:eastAsia="Calibri"/>
          <w:i/>
          <w:spacing w:val="-4"/>
          <w:sz w:val="28"/>
          <w:szCs w:val="28"/>
          <w:lang w:eastAsia="en-US"/>
        </w:rPr>
        <w:t>проаналізовано й узагальнено отримані результати,</w:t>
      </w:r>
      <w:r w:rsidRPr="00520861">
        <w:rPr>
          <w:rFonts w:eastAsia="Calibri"/>
          <w:i/>
          <w:spacing w:val="-4"/>
          <w:sz w:val="28"/>
          <w:szCs w:val="28"/>
          <w:lang w:eastAsia="en-US"/>
        </w:rPr>
        <w:t xml:space="preserve"> підготовлено тези до друку</w:t>
      </w:r>
      <w:r w:rsidRPr="00520861">
        <w:rPr>
          <w:rFonts w:eastAsia="Calibri"/>
          <w:spacing w:val="-4"/>
          <w:sz w:val="28"/>
          <w:szCs w:val="28"/>
          <w:lang w:eastAsia="en-US"/>
        </w:rPr>
        <w:t>).</w:t>
      </w:r>
    </w:p>
    <w:p w14:paraId="6726B31C"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pacing w:val="-4"/>
          <w:sz w:val="28"/>
          <w:szCs w:val="28"/>
          <w:lang w:eastAsia="en-US"/>
        </w:rPr>
      </w:pPr>
      <w:proofErr w:type="spellStart"/>
      <w:r w:rsidRPr="00520861">
        <w:rPr>
          <w:rFonts w:eastAsia="Calibri"/>
          <w:sz w:val="28"/>
          <w:szCs w:val="28"/>
          <w:lang w:eastAsia="en-US"/>
        </w:rPr>
        <w:t>Ryabokon</w:t>
      </w:r>
      <w:proofErr w:type="spellEnd"/>
      <w:r w:rsidRPr="00520861">
        <w:rPr>
          <w:rFonts w:eastAsia="Calibri"/>
          <w:sz w:val="28"/>
          <w:szCs w:val="28"/>
          <w:lang w:eastAsia="en-US"/>
        </w:rPr>
        <w:t xml:space="preserve"> 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Nazarenko</w:t>
      </w:r>
      <w:proofErr w:type="spellEnd"/>
      <w:r w:rsidRPr="00520861">
        <w:rPr>
          <w:rFonts w:eastAsia="Calibri"/>
          <w:sz w:val="28"/>
          <w:szCs w:val="28"/>
          <w:lang w:eastAsia="en-US"/>
        </w:rPr>
        <w:t xml:space="preserve"> L, </w:t>
      </w:r>
      <w:proofErr w:type="spellStart"/>
      <w:r w:rsidRPr="00520861">
        <w:rPr>
          <w:rFonts w:eastAsia="Calibri"/>
          <w:sz w:val="28"/>
          <w:szCs w:val="28"/>
          <w:lang w:eastAsia="en-US"/>
        </w:rPr>
        <w:t>Babajanyan</w:t>
      </w:r>
      <w:proofErr w:type="spellEnd"/>
      <w:r w:rsidRPr="00520861">
        <w:rPr>
          <w:rFonts w:eastAsia="Calibri"/>
          <w:sz w:val="28"/>
          <w:szCs w:val="28"/>
          <w:lang w:eastAsia="en-US"/>
        </w:rPr>
        <w:t xml:space="preserve"> E. </w:t>
      </w:r>
      <w:proofErr w:type="spellStart"/>
      <w:r w:rsidRPr="00520861">
        <w:rPr>
          <w:rFonts w:eastAsia="Calibri"/>
          <w:sz w:val="28"/>
          <w:szCs w:val="28"/>
          <w:lang w:eastAsia="en-US"/>
        </w:rPr>
        <w:t>Dentists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view</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fetal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Chalas</w:t>
      </w:r>
      <w:proofErr w:type="spellEnd"/>
      <w:r w:rsidRPr="00520861">
        <w:rPr>
          <w:rFonts w:eastAsia="Calibri"/>
          <w:sz w:val="28"/>
          <w:szCs w:val="28"/>
          <w:lang w:eastAsia="en-US"/>
        </w:rPr>
        <w:t xml:space="preserve"> R, </w:t>
      </w:r>
      <w:proofErr w:type="spellStart"/>
      <w:r w:rsidRPr="00520861">
        <w:rPr>
          <w:rFonts w:eastAsia="Calibri"/>
          <w:sz w:val="28"/>
          <w:szCs w:val="28"/>
          <w:lang w:eastAsia="en-US"/>
        </w:rPr>
        <w:t>Madejczyk</w:t>
      </w:r>
      <w:proofErr w:type="spellEnd"/>
      <w:r w:rsidRPr="00520861">
        <w:rPr>
          <w:rFonts w:eastAsia="Calibri"/>
          <w:sz w:val="28"/>
          <w:szCs w:val="28"/>
          <w:lang w:eastAsia="en-US"/>
        </w:rPr>
        <w:t xml:space="preserve"> MB, </w:t>
      </w:r>
      <w:proofErr w:type="spellStart"/>
      <w:r w:rsidRPr="00520861">
        <w:rPr>
          <w:rFonts w:eastAsia="Calibri"/>
          <w:sz w:val="28"/>
          <w:szCs w:val="28"/>
          <w:lang w:eastAsia="en-US"/>
        </w:rPr>
        <w:t>Piatek</w:t>
      </w:r>
      <w:proofErr w:type="spellEnd"/>
      <w:r w:rsidRPr="00520861">
        <w:rPr>
          <w:rFonts w:eastAsia="Calibri"/>
          <w:sz w:val="28"/>
          <w:szCs w:val="28"/>
          <w:lang w:eastAsia="en-US"/>
        </w:rPr>
        <w:t xml:space="preserve"> D, </w:t>
      </w:r>
      <w:proofErr w:type="spellStart"/>
      <w:r w:rsidRPr="00520861">
        <w:rPr>
          <w:rFonts w:eastAsia="Calibri"/>
          <w:sz w:val="28"/>
          <w:szCs w:val="28"/>
          <w:lang w:eastAsia="en-US"/>
        </w:rPr>
        <w:t>Rudzka</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Strycharz-Dudziak</w:t>
      </w:r>
      <w:proofErr w:type="spellEnd"/>
      <w:r w:rsidRPr="00520861">
        <w:rPr>
          <w:rFonts w:eastAsia="Calibri"/>
          <w:sz w:val="28"/>
          <w:szCs w:val="28"/>
          <w:lang w:eastAsia="en-US"/>
        </w:rPr>
        <w:t xml:space="preserve"> M, </w:t>
      </w:r>
      <w:proofErr w:type="spellStart"/>
      <w:r w:rsidRPr="00520861">
        <w:rPr>
          <w:rFonts w:eastAsia="Calibri"/>
          <w:sz w:val="28"/>
          <w:szCs w:val="28"/>
          <w:lang w:eastAsia="en-US"/>
        </w:rPr>
        <w:t>Wojcik-Checinska</w:t>
      </w:r>
      <w:proofErr w:type="spellEnd"/>
      <w:r w:rsidRPr="00520861">
        <w:rPr>
          <w:rFonts w:eastAsia="Calibri"/>
          <w:sz w:val="28"/>
          <w:szCs w:val="28"/>
          <w:lang w:eastAsia="en-US"/>
        </w:rPr>
        <w:t xml:space="preserve"> I, </w:t>
      </w:r>
      <w:proofErr w:type="spellStart"/>
      <w:r w:rsidRPr="00520861">
        <w:rPr>
          <w:rFonts w:eastAsia="Calibri"/>
          <w:sz w:val="28"/>
          <w:szCs w:val="28"/>
          <w:lang w:eastAsia="en-US"/>
        </w:rPr>
        <w:t>et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al</w:t>
      </w:r>
      <w:proofErr w:type="spellEnd"/>
      <w:r w:rsidRPr="00520861">
        <w:rPr>
          <w:rFonts w:eastAsia="Calibri"/>
          <w:sz w:val="28"/>
          <w:szCs w:val="28"/>
          <w:lang w:eastAsia="en-US"/>
        </w:rPr>
        <w:t>. (</w:t>
      </w:r>
      <w:proofErr w:type="spellStart"/>
      <w:r w:rsidRPr="00520861">
        <w:rPr>
          <w:rFonts w:eastAsia="Calibri"/>
          <w:sz w:val="28"/>
          <w:szCs w:val="28"/>
          <w:lang w:eastAsia="en-US"/>
        </w:rPr>
        <w:t>eds</w:t>
      </w:r>
      <w:proofErr w:type="spellEnd"/>
      <w:r w:rsidRPr="00520861">
        <w:rPr>
          <w:rFonts w:eastAsia="Calibri"/>
          <w:sz w:val="28"/>
          <w:szCs w:val="28"/>
          <w:lang w:eastAsia="en-US"/>
        </w:rPr>
        <w:t xml:space="preserve">.) </w:t>
      </w:r>
      <w:proofErr w:type="spellStart"/>
      <w:r w:rsidRPr="00520861">
        <w:rPr>
          <w:rFonts w:eastAsia="Calibri"/>
          <w:i/>
          <w:sz w:val="28"/>
          <w:szCs w:val="28"/>
          <w:lang w:eastAsia="en-US"/>
        </w:rPr>
        <w:t>Srodowisko</w:t>
      </w:r>
      <w:proofErr w:type="spellEnd"/>
      <w:r w:rsidRPr="00520861">
        <w:rPr>
          <w:rFonts w:eastAsia="Calibri"/>
          <w:i/>
          <w:sz w:val="28"/>
          <w:szCs w:val="28"/>
          <w:lang w:eastAsia="en-US"/>
        </w:rPr>
        <w:t xml:space="preserve"> a </w:t>
      </w:r>
      <w:proofErr w:type="spellStart"/>
      <w:r w:rsidRPr="00520861">
        <w:rPr>
          <w:rFonts w:eastAsia="Calibri"/>
          <w:i/>
          <w:sz w:val="28"/>
          <w:szCs w:val="28"/>
          <w:lang w:eastAsia="en-US"/>
        </w:rPr>
        <w:t>stan</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zdorowia</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jamy</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ustnej</w:t>
      </w:r>
      <w:proofErr w:type="spellEnd"/>
      <w:r w:rsidRPr="00520861">
        <w:rPr>
          <w:rFonts w:eastAsia="Calibri"/>
          <w:i/>
          <w:sz w:val="28"/>
          <w:szCs w:val="28"/>
          <w:lang w:eastAsia="en-US"/>
        </w:rPr>
        <w:t xml:space="preserve"> X </w:t>
      </w:r>
      <w:proofErr w:type="spellStart"/>
      <w:r w:rsidRPr="00520861">
        <w:rPr>
          <w:rFonts w:eastAsia="Calibri"/>
          <w:i/>
          <w:sz w:val="28"/>
          <w:szCs w:val="28"/>
          <w:lang w:eastAsia="en-US"/>
        </w:rPr>
        <w:t>Konferencja</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Naukowo-Szkoleniowa</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Naleczow</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Polska</w:t>
      </w:r>
      <w:proofErr w:type="spellEnd"/>
      <w:r w:rsidRPr="00520861">
        <w:rPr>
          <w:rFonts w:eastAsia="Calibri"/>
          <w:i/>
          <w:sz w:val="28"/>
          <w:szCs w:val="28"/>
          <w:lang w:eastAsia="en-US"/>
        </w:rPr>
        <w:t>, 27.04.2016</w:t>
      </w:r>
      <w:r w:rsidRPr="00520861">
        <w:rPr>
          <w:rFonts w:eastAsia="Calibri"/>
          <w:sz w:val="28"/>
          <w:szCs w:val="28"/>
          <w:lang w:eastAsia="en-US"/>
        </w:rPr>
        <w:t xml:space="preserve">. </w:t>
      </w:r>
      <w:proofErr w:type="spellStart"/>
      <w:r w:rsidRPr="00520861">
        <w:rPr>
          <w:rFonts w:eastAsia="Calibri"/>
          <w:sz w:val="28"/>
          <w:szCs w:val="28"/>
          <w:lang w:eastAsia="en-US"/>
        </w:rPr>
        <w:t>Naleczow</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Andale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Druk</w:t>
      </w:r>
      <w:proofErr w:type="spellEnd"/>
      <w:r w:rsidRPr="00520861">
        <w:rPr>
          <w:rFonts w:eastAsia="Calibri"/>
          <w:sz w:val="28"/>
          <w:szCs w:val="28"/>
          <w:lang w:eastAsia="en-US"/>
        </w:rPr>
        <w:t xml:space="preserve"> i </w:t>
      </w:r>
      <w:proofErr w:type="spellStart"/>
      <w:r w:rsidRPr="00520861">
        <w:rPr>
          <w:rFonts w:eastAsia="Calibri"/>
          <w:sz w:val="28"/>
          <w:szCs w:val="28"/>
          <w:lang w:eastAsia="en-US"/>
        </w:rPr>
        <w:t>Reklama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sp</w:t>
      </w:r>
      <w:proofErr w:type="spellEnd"/>
      <w:r w:rsidRPr="00520861">
        <w:rPr>
          <w:rFonts w:eastAsia="Calibri"/>
          <w:sz w:val="28"/>
          <w:szCs w:val="28"/>
          <w:lang w:eastAsia="en-US"/>
        </w:rPr>
        <w:t xml:space="preserve">. z o. o.; 2016. p. 70. </w:t>
      </w:r>
      <w:r w:rsidR="00F63E10" w:rsidRPr="00520861">
        <w:rPr>
          <w:rFonts w:eastAsia="Calibri"/>
          <w:spacing w:val="-4"/>
          <w:sz w:val="28"/>
          <w:szCs w:val="28"/>
          <w:lang w:eastAsia="en-US"/>
        </w:rPr>
        <w:t>(</w:t>
      </w:r>
      <w:r w:rsidR="00150652" w:rsidRPr="00520861">
        <w:rPr>
          <w:rFonts w:eastAsia="Calibri"/>
          <w:i/>
          <w:spacing w:val="-4"/>
          <w:sz w:val="28"/>
          <w:szCs w:val="28"/>
          <w:lang w:eastAsia="en-US"/>
        </w:rPr>
        <w:t xml:space="preserve">Дисертанткою проведено клінічне стоматологічне </w:t>
      </w:r>
      <w:r w:rsidR="000F065E" w:rsidRPr="00520861">
        <w:rPr>
          <w:rFonts w:eastAsia="Calibri"/>
          <w:i/>
          <w:spacing w:val="-4"/>
          <w:sz w:val="28"/>
          <w:szCs w:val="28"/>
          <w:lang w:eastAsia="en-US"/>
        </w:rPr>
        <w:br/>
      </w:r>
      <w:r w:rsidR="00150652" w:rsidRPr="00520861">
        <w:rPr>
          <w:rFonts w:eastAsia="Calibri"/>
          <w:i/>
          <w:spacing w:val="-4"/>
          <w:sz w:val="28"/>
          <w:szCs w:val="28"/>
          <w:lang w:eastAsia="en-US"/>
        </w:rPr>
        <w:lastRenderedPageBreak/>
        <w:t xml:space="preserve">обстеження, виконано </w:t>
      </w:r>
      <w:r w:rsidR="005D7BE3" w:rsidRPr="00520861">
        <w:rPr>
          <w:rFonts w:eastAsia="Calibri"/>
          <w:bCs/>
          <w:i/>
          <w:sz w:val="28"/>
          <w:szCs w:val="28"/>
          <w:lang w:eastAsia="en-US"/>
        </w:rPr>
        <w:t>статистична обробка</w:t>
      </w:r>
      <w:r w:rsidR="00150652" w:rsidRPr="00520861">
        <w:rPr>
          <w:rFonts w:eastAsia="Calibri"/>
          <w:i/>
          <w:spacing w:val="-4"/>
          <w:sz w:val="28"/>
          <w:szCs w:val="28"/>
          <w:lang w:eastAsia="en-US"/>
        </w:rPr>
        <w:t xml:space="preserve"> даних, проаналізовано й узагальнено отримані результати, підготовлено тези до друку</w:t>
      </w:r>
      <w:r w:rsidR="00F63E10" w:rsidRPr="00520861">
        <w:rPr>
          <w:rFonts w:eastAsia="Calibri"/>
          <w:spacing w:val="-4"/>
          <w:sz w:val="28"/>
          <w:szCs w:val="28"/>
          <w:lang w:eastAsia="en-US"/>
        </w:rPr>
        <w:t>).</w:t>
      </w:r>
    </w:p>
    <w:p w14:paraId="52B21BB4"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Гармаш ОВ, Губина-Вакулик ГИ, Рябоконь ЕН. </w:t>
      </w:r>
      <w:proofErr w:type="spellStart"/>
      <w:r w:rsidRPr="00520861">
        <w:rPr>
          <w:rFonts w:eastAsia="Calibri"/>
          <w:sz w:val="28"/>
          <w:szCs w:val="28"/>
          <w:lang w:eastAsia="en-US"/>
        </w:rPr>
        <w:t>Иммуногистохимическая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реакция</w:t>
      </w:r>
      <w:proofErr w:type="spellEnd"/>
      <w:r w:rsidRPr="00520861">
        <w:rPr>
          <w:rFonts w:eastAsia="Calibri"/>
          <w:sz w:val="28"/>
          <w:szCs w:val="28"/>
          <w:lang w:eastAsia="en-US"/>
        </w:rPr>
        <w:t xml:space="preserve"> на VIII фактор в </w:t>
      </w:r>
      <w:proofErr w:type="spellStart"/>
      <w:r w:rsidRPr="00520861">
        <w:rPr>
          <w:rFonts w:eastAsia="Calibri"/>
          <w:sz w:val="28"/>
          <w:szCs w:val="28"/>
          <w:lang w:eastAsia="en-US"/>
        </w:rPr>
        <w:t>слизистой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оболочке</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полости</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рта</w:t>
      </w:r>
      <w:proofErr w:type="spellEnd"/>
      <w:r w:rsidRPr="00520861">
        <w:rPr>
          <w:rFonts w:eastAsia="Calibri"/>
          <w:sz w:val="28"/>
          <w:szCs w:val="28"/>
          <w:lang w:eastAsia="en-US"/>
        </w:rPr>
        <w:t xml:space="preserve"> в </w:t>
      </w:r>
      <w:proofErr w:type="spellStart"/>
      <w:r w:rsidRPr="00520861">
        <w:rPr>
          <w:rFonts w:eastAsia="Calibri"/>
          <w:sz w:val="28"/>
          <w:szCs w:val="28"/>
          <w:lang w:eastAsia="en-US"/>
        </w:rPr>
        <w:t>эксперименте</w:t>
      </w:r>
      <w:proofErr w:type="spellEnd"/>
      <w:r w:rsidRPr="00520861">
        <w:rPr>
          <w:rFonts w:eastAsia="Calibri"/>
          <w:sz w:val="28"/>
          <w:szCs w:val="28"/>
          <w:lang w:eastAsia="en-US"/>
        </w:rPr>
        <w:t xml:space="preserve"> с </w:t>
      </w:r>
      <w:proofErr w:type="spellStart"/>
      <w:r w:rsidRPr="00520861">
        <w:rPr>
          <w:rFonts w:eastAsia="Calibri"/>
          <w:sz w:val="28"/>
          <w:szCs w:val="28"/>
          <w:lang w:eastAsia="en-US"/>
        </w:rPr>
        <w:t>моделированной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макросомией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Лызиков</w:t>
      </w:r>
      <w:proofErr w:type="spellEnd"/>
      <w:r w:rsidRPr="00520861">
        <w:rPr>
          <w:rFonts w:eastAsia="Calibri"/>
          <w:sz w:val="28"/>
          <w:szCs w:val="28"/>
          <w:lang w:eastAsia="en-US"/>
        </w:rPr>
        <w:t xml:space="preserve"> АН, </w:t>
      </w:r>
      <w:proofErr w:type="spellStart"/>
      <w:r w:rsidRPr="00520861">
        <w:rPr>
          <w:rFonts w:eastAsia="Calibri"/>
          <w:sz w:val="28"/>
          <w:szCs w:val="28"/>
          <w:lang w:eastAsia="en-US"/>
        </w:rPr>
        <w:t>Воропаев</w:t>
      </w:r>
      <w:proofErr w:type="spellEnd"/>
      <w:r w:rsidRPr="00520861">
        <w:rPr>
          <w:rFonts w:eastAsia="Calibri"/>
          <w:sz w:val="28"/>
          <w:szCs w:val="28"/>
          <w:lang w:eastAsia="en-US"/>
        </w:rPr>
        <w:t xml:space="preserve"> ЕВ, Калинин АЛ, </w:t>
      </w:r>
      <w:proofErr w:type="spellStart"/>
      <w:r w:rsidRPr="00520861">
        <w:rPr>
          <w:rFonts w:eastAsia="Calibri"/>
          <w:sz w:val="28"/>
          <w:szCs w:val="28"/>
          <w:lang w:eastAsia="en-US"/>
        </w:rPr>
        <w:t>Латышева</w:t>
      </w:r>
      <w:proofErr w:type="spellEnd"/>
      <w:r w:rsidRPr="00520861">
        <w:rPr>
          <w:rFonts w:eastAsia="Calibri"/>
          <w:sz w:val="28"/>
          <w:szCs w:val="28"/>
          <w:lang w:eastAsia="en-US"/>
        </w:rPr>
        <w:t xml:space="preserve"> ВЯ, </w:t>
      </w:r>
      <w:proofErr w:type="spellStart"/>
      <w:r w:rsidRPr="00520861">
        <w:rPr>
          <w:rFonts w:eastAsia="Calibri"/>
          <w:sz w:val="28"/>
          <w:szCs w:val="28"/>
          <w:lang w:eastAsia="en-US"/>
        </w:rPr>
        <w:t>Шаршакова</w:t>
      </w:r>
      <w:proofErr w:type="spellEnd"/>
      <w:r w:rsidRPr="00520861">
        <w:rPr>
          <w:rFonts w:eastAsia="Calibri"/>
          <w:sz w:val="28"/>
          <w:szCs w:val="28"/>
          <w:lang w:eastAsia="en-US"/>
        </w:rPr>
        <w:t xml:space="preserve"> ТМ, </w:t>
      </w:r>
      <w:proofErr w:type="spellStart"/>
      <w:r w:rsidRPr="00520861">
        <w:rPr>
          <w:rFonts w:eastAsia="Calibri"/>
          <w:sz w:val="28"/>
          <w:szCs w:val="28"/>
          <w:lang w:eastAsia="en-US"/>
        </w:rPr>
        <w:t>Бортновский</w:t>
      </w:r>
      <w:proofErr w:type="spellEnd"/>
      <w:r w:rsidRPr="00520861">
        <w:rPr>
          <w:rFonts w:eastAsia="Calibri"/>
          <w:sz w:val="28"/>
          <w:szCs w:val="28"/>
          <w:lang w:eastAsia="en-US"/>
        </w:rPr>
        <w:t xml:space="preserve"> ВН, </w:t>
      </w:r>
      <w:proofErr w:type="spellStart"/>
      <w:r w:rsidRPr="00520861">
        <w:rPr>
          <w:rFonts w:eastAsia="Calibri"/>
          <w:sz w:val="28"/>
          <w:szCs w:val="28"/>
          <w:lang w:eastAsia="en-US"/>
        </w:rPr>
        <w:t>et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al</w:t>
      </w:r>
      <w:proofErr w:type="spellEnd"/>
      <w:r w:rsidRPr="00520861">
        <w:rPr>
          <w:rFonts w:eastAsia="Calibri"/>
          <w:sz w:val="28"/>
          <w:szCs w:val="28"/>
          <w:lang w:eastAsia="en-US"/>
        </w:rPr>
        <w:t>. (</w:t>
      </w:r>
      <w:proofErr w:type="spellStart"/>
      <w:r w:rsidRPr="00520861">
        <w:rPr>
          <w:rFonts w:eastAsia="Calibri"/>
          <w:sz w:val="28"/>
          <w:szCs w:val="28"/>
          <w:lang w:eastAsia="en-US"/>
        </w:rPr>
        <w:t>eds</w:t>
      </w:r>
      <w:proofErr w:type="spellEnd"/>
      <w:r w:rsidRPr="00520861">
        <w:rPr>
          <w:rFonts w:eastAsia="Calibri"/>
          <w:sz w:val="28"/>
          <w:szCs w:val="28"/>
          <w:lang w:eastAsia="en-US"/>
        </w:rPr>
        <w:t xml:space="preserve">.) </w:t>
      </w:r>
      <w:r w:rsidRPr="00520861">
        <w:rPr>
          <w:rFonts w:eastAsia="Calibri"/>
          <w:i/>
          <w:sz w:val="28"/>
          <w:szCs w:val="28"/>
          <w:lang w:eastAsia="en-US"/>
        </w:rPr>
        <w:t xml:space="preserve">Сб. науч. статей </w:t>
      </w:r>
      <w:proofErr w:type="spellStart"/>
      <w:r w:rsidRPr="00520861">
        <w:rPr>
          <w:rFonts w:eastAsia="Calibri"/>
          <w:i/>
          <w:sz w:val="28"/>
          <w:szCs w:val="28"/>
          <w:lang w:eastAsia="en-US"/>
        </w:rPr>
        <w:t>Республиканской</w:t>
      </w:r>
      <w:proofErr w:type="spellEnd"/>
      <w:r w:rsidRPr="00520861">
        <w:rPr>
          <w:rFonts w:eastAsia="Calibri"/>
          <w:i/>
          <w:sz w:val="28"/>
          <w:szCs w:val="28"/>
          <w:lang w:eastAsia="en-US"/>
        </w:rPr>
        <w:t xml:space="preserve"> науч.-</w:t>
      </w:r>
      <w:proofErr w:type="spellStart"/>
      <w:r w:rsidRPr="00520861">
        <w:rPr>
          <w:rFonts w:eastAsia="Calibri"/>
          <w:i/>
          <w:sz w:val="28"/>
          <w:szCs w:val="28"/>
          <w:lang w:eastAsia="en-US"/>
        </w:rPr>
        <w:t>практ</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конф</w:t>
      </w:r>
      <w:proofErr w:type="spellEnd"/>
      <w:r w:rsidRPr="00520861">
        <w:rPr>
          <w:rFonts w:eastAsia="Calibri"/>
          <w:i/>
          <w:sz w:val="28"/>
          <w:szCs w:val="28"/>
          <w:lang w:eastAsia="en-US"/>
        </w:rPr>
        <w:t xml:space="preserve">. и 26-й </w:t>
      </w:r>
      <w:proofErr w:type="spellStart"/>
      <w:r w:rsidRPr="00520861">
        <w:rPr>
          <w:rFonts w:eastAsia="Calibri"/>
          <w:i/>
          <w:sz w:val="28"/>
          <w:szCs w:val="28"/>
          <w:lang w:eastAsia="en-US"/>
        </w:rPr>
        <w:t>итоговой</w:t>
      </w:r>
      <w:proofErr w:type="spellEnd"/>
      <w:r w:rsidRPr="00520861">
        <w:rPr>
          <w:rFonts w:eastAsia="Calibri"/>
          <w:i/>
          <w:sz w:val="28"/>
          <w:szCs w:val="28"/>
          <w:lang w:eastAsia="en-US"/>
        </w:rPr>
        <w:t xml:space="preserve"> науч. </w:t>
      </w:r>
      <w:proofErr w:type="spellStart"/>
      <w:r w:rsidRPr="00520861">
        <w:rPr>
          <w:rFonts w:eastAsia="Calibri"/>
          <w:i/>
          <w:sz w:val="28"/>
          <w:szCs w:val="28"/>
          <w:lang w:eastAsia="en-US"/>
        </w:rPr>
        <w:t>сессии</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Гомельского</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гос</w:t>
      </w:r>
      <w:proofErr w:type="spellEnd"/>
      <w:r w:rsidRPr="00520861">
        <w:rPr>
          <w:rFonts w:eastAsia="Calibri"/>
          <w:i/>
          <w:sz w:val="28"/>
          <w:szCs w:val="28"/>
          <w:lang w:eastAsia="en-US"/>
        </w:rPr>
        <w:t xml:space="preserve">. мед. </w:t>
      </w:r>
      <w:proofErr w:type="spellStart"/>
      <w:r w:rsidRPr="00520861">
        <w:rPr>
          <w:rFonts w:eastAsia="Calibri"/>
          <w:i/>
          <w:sz w:val="28"/>
          <w:szCs w:val="28"/>
          <w:lang w:eastAsia="en-US"/>
        </w:rPr>
        <w:t>ун</w:t>
      </w:r>
      <w:proofErr w:type="spellEnd"/>
      <w:r w:rsidRPr="00520861">
        <w:rPr>
          <w:rFonts w:eastAsia="Calibri"/>
          <w:i/>
          <w:sz w:val="28"/>
          <w:szCs w:val="28"/>
          <w:lang w:eastAsia="en-US"/>
        </w:rPr>
        <w:t xml:space="preserve">-та” 3–4 </w:t>
      </w:r>
      <w:proofErr w:type="spellStart"/>
      <w:r w:rsidRPr="00520861">
        <w:rPr>
          <w:rFonts w:eastAsia="Calibri"/>
          <w:i/>
          <w:sz w:val="28"/>
          <w:szCs w:val="28"/>
          <w:lang w:eastAsia="en-US"/>
        </w:rPr>
        <w:t>ноября</w:t>
      </w:r>
      <w:proofErr w:type="spellEnd"/>
      <w:r w:rsidRPr="00520861">
        <w:rPr>
          <w:rFonts w:eastAsia="Calibri"/>
          <w:i/>
          <w:sz w:val="28"/>
          <w:szCs w:val="28"/>
          <w:lang w:eastAsia="en-US"/>
        </w:rPr>
        <w:t xml:space="preserve"> 2016 г., Гомель</w:t>
      </w:r>
      <w:r w:rsidRPr="00520861">
        <w:rPr>
          <w:rFonts w:eastAsia="Calibri"/>
          <w:sz w:val="28"/>
          <w:szCs w:val="28"/>
          <w:lang w:eastAsia="en-US"/>
        </w:rPr>
        <w:t xml:space="preserve">. Гомель: </w:t>
      </w:r>
      <w:proofErr w:type="spellStart"/>
      <w:r w:rsidRPr="00520861">
        <w:rPr>
          <w:rFonts w:eastAsia="Calibri"/>
          <w:sz w:val="28"/>
          <w:szCs w:val="28"/>
          <w:lang w:eastAsia="en-US"/>
        </w:rPr>
        <w:t>Гомельский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гос</w:t>
      </w:r>
      <w:proofErr w:type="spellEnd"/>
      <w:r w:rsidRPr="00520861">
        <w:rPr>
          <w:rFonts w:eastAsia="Calibri"/>
          <w:sz w:val="28"/>
          <w:szCs w:val="28"/>
          <w:lang w:eastAsia="en-US"/>
        </w:rPr>
        <w:t>. мед. ун-т; 2017. c. 181–184. (</w:t>
      </w:r>
      <w:r w:rsidRPr="00520861">
        <w:rPr>
          <w:rFonts w:eastAsia="Calibri"/>
          <w:i/>
          <w:sz w:val="28"/>
          <w:szCs w:val="28"/>
          <w:lang w:eastAsia="en-US"/>
        </w:rPr>
        <w:t>Особис</w:t>
      </w:r>
      <w:r w:rsidR="00176296" w:rsidRPr="00520861">
        <w:rPr>
          <w:rFonts w:eastAsia="Calibri"/>
          <w:i/>
          <w:sz w:val="28"/>
          <w:szCs w:val="28"/>
          <w:lang w:eastAsia="en-US"/>
        </w:rPr>
        <w:t>тий внесок –</w:t>
      </w:r>
      <w:r w:rsidR="003177C2" w:rsidRPr="00520861">
        <w:rPr>
          <w:rFonts w:eastAsia="Calibri"/>
          <w:i/>
          <w:sz w:val="28"/>
          <w:szCs w:val="28"/>
          <w:lang w:val="ru-RU" w:eastAsia="en-US"/>
        </w:rPr>
        <w:t xml:space="preserve"> </w:t>
      </w:r>
      <w:r w:rsidR="008D3AD1" w:rsidRPr="00520861">
        <w:rPr>
          <w:rFonts w:eastAsia="Calibri"/>
          <w:i/>
          <w:sz w:val="28"/>
          <w:szCs w:val="28"/>
          <w:lang w:eastAsia="en-US"/>
        </w:rPr>
        <w:t>сформульовано мету дослідження</w:t>
      </w:r>
      <w:r w:rsidR="00D66857" w:rsidRPr="00520861">
        <w:rPr>
          <w:rFonts w:eastAsia="Calibri"/>
          <w:i/>
          <w:sz w:val="28"/>
          <w:szCs w:val="28"/>
          <w:lang w:val="ru-RU" w:eastAsia="en-US"/>
        </w:rPr>
        <w:t xml:space="preserve">, </w:t>
      </w:r>
      <w:proofErr w:type="spellStart"/>
      <w:r w:rsidR="00D66857" w:rsidRPr="00520861">
        <w:rPr>
          <w:rFonts w:eastAsia="Calibri"/>
          <w:i/>
          <w:sz w:val="28"/>
          <w:szCs w:val="28"/>
          <w:lang w:val="ru-RU" w:eastAsia="en-US"/>
        </w:rPr>
        <w:t>здійснено</w:t>
      </w:r>
      <w:proofErr w:type="spellEnd"/>
      <w:r w:rsidR="00D66857" w:rsidRPr="00520861">
        <w:rPr>
          <w:rFonts w:eastAsia="Calibri"/>
          <w:i/>
          <w:sz w:val="28"/>
          <w:szCs w:val="28"/>
          <w:lang w:eastAsia="en-US"/>
        </w:rPr>
        <w:t xml:space="preserve"> </w:t>
      </w:r>
      <w:r w:rsidRPr="00520861">
        <w:rPr>
          <w:rFonts w:eastAsia="Calibri"/>
          <w:i/>
          <w:sz w:val="28"/>
          <w:szCs w:val="28"/>
          <w:lang w:eastAsia="en-US"/>
        </w:rPr>
        <w:t xml:space="preserve">планування та проведення експерименту, </w:t>
      </w:r>
      <w:r w:rsidRPr="00520861">
        <w:rPr>
          <w:rFonts w:eastAsia="Calibri"/>
          <w:bCs/>
          <w:i/>
          <w:spacing w:val="-2"/>
          <w:sz w:val="28"/>
          <w:szCs w:val="28"/>
          <w:lang w:eastAsia="en-US"/>
        </w:rPr>
        <w:t>відбір експериментального матеріалу тварин для отримання мікропрепаратів,</w:t>
      </w:r>
      <w:r w:rsidRPr="00520861">
        <w:rPr>
          <w:rFonts w:eastAsia="Calibri"/>
          <w:i/>
          <w:sz w:val="28"/>
          <w:szCs w:val="28"/>
          <w:lang w:eastAsia="en-US"/>
        </w:rPr>
        <w:t xml:space="preserve"> </w:t>
      </w:r>
      <w:r w:rsidR="008D3AD1" w:rsidRPr="00520861">
        <w:rPr>
          <w:rFonts w:eastAsia="Calibri"/>
          <w:i/>
          <w:sz w:val="28"/>
          <w:szCs w:val="28"/>
          <w:lang w:eastAsia="en-US"/>
        </w:rPr>
        <w:t xml:space="preserve">взято </w:t>
      </w:r>
      <w:r w:rsidRPr="00520861">
        <w:rPr>
          <w:rFonts w:eastAsia="Calibri"/>
          <w:i/>
          <w:sz w:val="28"/>
          <w:szCs w:val="28"/>
          <w:lang w:eastAsia="en-US"/>
        </w:rPr>
        <w:t>участь в аналізі зразків,</w:t>
      </w:r>
      <w:r w:rsidR="00D66857" w:rsidRPr="00520861">
        <w:rPr>
          <w:rFonts w:eastAsia="Calibri"/>
          <w:i/>
          <w:sz w:val="28"/>
          <w:szCs w:val="28"/>
          <w:lang w:eastAsia="en-US"/>
        </w:rPr>
        <w:t xml:space="preserve"> проведено</w:t>
      </w:r>
      <w:r w:rsidRPr="00520861">
        <w:rPr>
          <w:rFonts w:eastAsia="Calibri"/>
          <w:i/>
          <w:sz w:val="28"/>
          <w:szCs w:val="28"/>
          <w:lang w:eastAsia="en-US"/>
        </w:rPr>
        <w:t xml:space="preserve"> </w:t>
      </w:r>
      <w:r w:rsidR="005D7BE3" w:rsidRPr="00520861">
        <w:rPr>
          <w:rFonts w:eastAsia="Calibri"/>
          <w:bCs/>
          <w:i/>
          <w:sz w:val="28"/>
          <w:szCs w:val="28"/>
          <w:lang w:eastAsia="en-US"/>
        </w:rPr>
        <w:t>статистичну обробку</w:t>
      </w:r>
      <w:r w:rsidR="00150652" w:rsidRPr="00520861">
        <w:rPr>
          <w:rFonts w:eastAsia="Calibri"/>
          <w:bCs/>
          <w:i/>
          <w:spacing w:val="-2"/>
          <w:sz w:val="28"/>
          <w:szCs w:val="28"/>
          <w:lang w:eastAsia="en-US"/>
        </w:rPr>
        <w:t xml:space="preserve"> даних та </w:t>
      </w:r>
      <w:r w:rsidRPr="00520861">
        <w:rPr>
          <w:rFonts w:eastAsia="Calibri"/>
          <w:bCs/>
          <w:i/>
          <w:spacing w:val="-2"/>
          <w:sz w:val="28"/>
          <w:szCs w:val="28"/>
          <w:lang w:eastAsia="en-US"/>
        </w:rPr>
        <w:t>узаг</w:t>
      </w:r>
      <w:r w:rsidR="00150652" w:rsidRPr="00520861">
        <w:rPr>
          <w:rFonts w:eastAsia="Calibri"/>
          <w:bCs/>
          <w:i/>
          <w:spacing w:val="-2"/>
          <w:sz w:val="28"/>
          <w:szCs w:val="28"/>
          <w:lang w:eastAsia="en-US"/>
        </w:rPr>
        <w:t>альнення отриманих результатів,</w:t>
      </w:r>
      <w:r w:rsidR="00D66857" w:rsidRPr="00520861">
        <w:rPr>
          <w:rFonts w:eastAsia="Calibri"/>
          <w:i/>
          <w:sz w:val="28"/>
          <w:szCs w:val="28"/>
          <w:lang w:eastAsia="en-US"/>
        </w:rPr>
        <w:t xml:space="preserve"> підготовлено</w:t>
      </w:r>
      <w:r w:rsidRPr="00520861">
        <w:rPr>
          <w:rFonts w:eastAsia="Calibri"/>
          <w:i/>
          <w:sz w:val="28"/>
          <w:szCs w:val="28"/>
          <w:lang w:eastAsia="en-US"/>
        </w:rPr>
        <w:t xml:space="preserve"> тез</w:t>
      </w:r>
      <w:r w:rsidR="00D66857" w:rsidRPr="00520861">
        <w:rPr>
          <w:rFonts w:eastAsia="Calibri"/>
          <w:i/>
          <w:sz w:val="28"/>
          <w:szCs w:val="28"/>
          <w:lang w:eastAsia="en-US"/>
        </w:rPr>
        <w:t>и</w:t>
      </w:r>
      <w:r w:rsidRPr="00520861">
        <w:rPr>
          <w:rFonts w:eastAsia="Calibri"/>
          <w:i/>
          <w:sz w:val="28"/>
          <w:szCs w:val="28"/>
          <w:lang w:eastAsia="en-US"/>
        </w:rPr>
        <w:t xml:space="preserve"> до друку</w:t>
      </w:r>
      <w:r w:rsidRPr="00520861">
        <w:rPr>
          <w:rFonts w:eastAsia="Calibri"/>
          <w:sz w:val="28"/>
          <w:szCs w:val="28"/>
          <w:lang w:eastAsia="en-US"/>
        </w:rPr>
        <w:t>).</w:t>
      </w:r>
    </w:p>
    <w:p w14:paraId="15DD9CC3"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Гармаш ОВ, Губіна-</w:t>
      </w:r>
      <w:proofErr w:type="spellStart"/>
      <w:r w:rsidRPr="00520861">
        <w:rPr>
          <w:rFonts w:eastAsia="Calibri"/>
          <w:sz w:val="28"/>
          <w:szCs w:val="28"/>
          <w:lang w:eastAsia="en-US"/>
        </w:rPr>
        <w:t>Вакулік</w:t>
      </w:r>
      <w:proofErr w:type="spellEnd"/>
      <w:r w:rsidRPr="00520861">
        <w:rPr>
          <w:rFonts w:eastAsia="Calibri"/>
          <w:sz w:val="28"/>
          <w:szCs w:val="28"/>
          <w:lang w:eastAsia="en-US"/>
        </w:rPr>
        <w:t xml:space="preserve"> ГІ. Морфологічні зміни в слизовій оболонці щурів при модельованій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r w:rsidRPr="00520861">
        <w:rPr>
          <w:rFonts w:eastAsia="Calibri"/>
          <w:i/>
          <w:sz w:val="28"/>
          <w:szCs w:val="28"/>
          <w:lang w:eastAsia="en-US"/>
        </w:rPr>
        <w:t>Збірник тез наукових робіт учасників міжнародної науково-практичної конференції «Світова медицина: сучасні тенденції та фактори розвитку» 27 – 28 січня 2017 р., Львів</w:t>
      </w:r>
      <w:r w:rsidRPr="00520861">
        <w:rPr>
          <w:rFonts w:eastAsia="Calibri"/>
          <w:sz w:val="28"/>
          <w:szCs w:val="28"/>
          <w:lang w:eastAsia="en-US"/>
        </w:rPr>
        <w:t>. Львів: ГО «Львівська медична спільнота»; 2017. с. 79–83.</w:t>
      </w:r>
      <w:r w:rsidRPr="00520861">
        <w:rPr>
          <w:rFonts w:eastAsia="Calibri"/>
          <w:bCs/>
          <w:i/>
          <w:spacing w:val="-2"/>
          <w:sz w:val="28"/>
          <w:szCs w:val="28"/>
          <w:lang w:eastAsia="en-US"/>
        </w:rPr>
        <w:t xml:space="preserve"> </w:t>
      </w:r>
      <w:r w:rsidRPr="00520861">
        <w:rPr>
          <w:rFonts w:eastAsia="Calibri"/>
          <w:sz w:val="28"/>
          <w:szCs w:val="28"/>
          <w:lang w:eastAsia="en-US"/>
        </w:rPr>
        <w:t>(</w:t>
      </w:r>
      <w:r w:rsidRPr="00520861">
        <w:rPr>
          <w:rFonts w:eastAsia="Calibri"/>
          <w:i/>
          <w:sz w:val="28"/>
          <w:szCs w:val="28"/>
          <w:lang w:eastAsia="en-US"/>
        </w:rPr>
        <w:t>Ос</w:t>
      </w:r>
      <w:r w:rsidR="00722CA3" w:rsidRPr="00520861">
        <w:rPr>
          <w:rFonts w:eastAsia="Calibri"/>
          <w:i/>
          <w:sz w:val="28"/>
          <w:szCs w:val="28"/>
          <w:lang w:eastAsia="en-US"/>
        </w:rPr>
        <w:t>обистий внесок –</w:t>
      </w:r>
      <w:r w:rsidR="00F63E10" w:rsidRPr="00520861">
        <w:rPr>
          <w:rFonts w:eastAsia="Calibri"/>
          <w:i/>
          <w:sz w:val="28"/>
          <w:szCs w:val="28"/>
          <w:lang w:eastAsia="en-US"/>
        </w:rPr>
        <w:t xml:space="preserve"> </w:t>
      </w:r>
      <w:r w:rsidRPr="00520861">
        <w:rPr>
          <w:rFonts w:eastAsia="Calibri"/>
          <w:i/>
          <w:sz w:val="28"/>
          <w:szCs w:val="28"/>
          <w:lang w:eastAsia="en-US"/>
        </w:rPr>
        <w:t xml:space="preserve">планування та проведення </w:t>
      </w:r>
      <w:r w:rsidR="00F63E10" w:rsidRPr="00520861">
        <w:rPr>
          <w:rFonts w:eastAsia="Calibri"/>
          <w:i/>
          <w:sz w:val="28"/>
          <w:szCs w:val="28"/>
          <w:lang w:eastAsia="en-US"/>
        </w:rPr>
        <w:br/>
      </w:r>
      <w:r w:rsidRPr="00520861">
        <w:rPr>
          <w:rFonts w:eastAsia="Calibri"/>
          <w:i/>
          <w:sz w:val="28"/>
          <w:szCs w:val="28"/>
          <w:lang w:eastAsia="en-US"/>
        </w:rPr>
        <w:t xml:space="preserve">експерименту, </w:t>
      </w:r>
      <w:r w:rsidRPr="00520861">
        <w:rPr>
          <w:rFonts w:eastAsia="Calibri"/>
          <w:bCs/>
          <w:i/>
          <w:spacing w:val="-2"/>
          <w:sz w:val="28"/>
          <w:szCs w:val="28"/>
          <w:lang w:eastAsia="en-US"/>
        </w:rPr>
        <w:t>відбір експериментальних тварин для отримання мікропрепаратів,</w:t>
      </w:r>
      <w:r w:rsidRPr="00520861">
        <w:rPr>
          <w:rFonts w:eastAsia="Calibri"/>
          <w:i/>
          <w:sz w:val="28"/>
          <w:szCs w:val="28"/>
          <w:lang w:eastAsia="en-US"/>
        </w:rPr>
        <w:t xml:space="preserve"> участь в аналізі зразків, </w:t>
      </w:r>
      <w:r w:rsidR="005D7BE3" w:rsidRPr="00520861">
        <w:rPr>
          <w:rFonts w:eastAsia="Calibri"/>
          <w:bCs/>
          <w:i/>
          <w:sz w:val="28"/>
          <w:szCs w:val="28"/>
          <w:lang w:eastAsia="en-US"/>
        </w:rPr>
        <w:t>статистична обробка</w:t>
      </w:r>
      <w:r w:rsidR="00150652" w:rsidRPr="00520861">
        <w:rPr>
          <w:rFonts w:eastAsia="Calibri"/>
          <w:bCs/>
          <w:i/>
          <w:spacing w:val="-2"/>
          <w:sz w:val="28"/>
          <w:szCs w:val="28"/>
          <w:lang w:eastAsia="en-US"/>
        </w:rPr>
        <w:t xml:space="preserve"> даних та </w:t>
      </w:r>
      <w:r w:rsidRPr="00520861">
        <w:rPr>
          <w:rFonts w:eastAsia="Calibri"/>
          <w:bCs/>
          <w:i/>
          <w:spacing w:val="-2"/>
          <w:sz w:val="28"/>
          <w:szCs w:val="28"/>
          <w:lang w:eastAsia="en-US"/>
        </w:rPr>
        <w:t>узаг</w:t>
      </w:r>
      <w:r w:rsidR="00150652" w:rsidRPr="00520861">
        <w:rPr>
          <w:rFonts w:eastAsia="Calibri"/>
          <w:bCs/>
          <w:i/>
          <w:spacing w:val="-2"/>
          <w:sz w:val="28"/>
          <w:szCs w:val="28"/>
          <w:lang w:eastAsia="en-US"/>
        </w:rPr>
        <w:t>альнення отриманих результатів,</w:t>
      </w:r>
      <w:r w:rsidRPr="00520861">
        <w:rPr>
          <w:rFonts w:eastAsia="Calibri"/>
          <w:i/>
          <w:sz w:val="28"/>
          <w:szCs w:val="28"/>
          <w:lang w:eastAsia="en-US"/>
        </w:rPr>
        <w:t xml:space="preserve"> підготовка статті до друку</w:t>
      </w:r>
      <w:r w:rsidRPr="00520861">
        <w:rPr>
          <w:rFonts w:eastAsia="Calibri"/>
          <w:sz w:val="28"/>
          <w:szCs w:val="28"/>
          <w:lang w:eastAsia="en-US"/>
        </w:rPr>
        <w:t>).</w:t>
      </w:r>
    </w:p>
    <w:p w14:paraId="71D3AC8B"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 Особливості стоматологічного статусу та, зокрема, прорізування тимчасових зубів у дітей грудного віку, які народилися великими до </w:t>
      </w:r>
      <w:proofErr w:type="spellStart"/>
      <w:r w:rsidRPr="00520861">
        <w:rPr>
          <w:rFonts w:eastAsia="Calibri"/>
          <w:sz w:val="28"/>
          <w:szCs w:val="28"/>
          <w:lang w:eastAsia="en-US"/>
        </w:rPr>
        <w:t>гестаційного</w:t>
      </w:r>
      <w:proofErr w:type="spellEnd"/>
      <w:r w:rsidRPr="00520861">
        <w:rPr>
          <w:rFonts w:eastAsia="Calibri"/>
          <w:sz w:val="28"/>
          <w:szCs w:val="28"/>
          <w:lang w:eastAsia="en-US"/>
        </w:rPr>
        <w:t xml:space="preserve"> віку.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Хвисюк</w:t>
      </w:r>
      <w:proofErr w:type="spellEnd"/>
      <w:r w:rsidRPr="00520861">
        <w:rPr>
          <w:rFonts w:eastAsia="Calibri"/>
          <w:sz w:val="28"/>
          <w:szCs w:val="28"/>
          <w:lang w:eastAsia="en-US"/>
        </w:rPr>
        <w:t xml:space="preserve"> ОМ, </w:t>
      </w:r>
      <w:proofErr w:type="spellStart"/>
      <w:r w:rsidRPr="00520861">
        <w:rPr>
          <w:rFonts w:eastAsia="Calibri"/>
          <w:sz w:val="28"/>
          <w:szCs w:val="28"/>
          <w:lang w:eastAsia="en-US"/>
        </w:rPr>
        <w:t>Хвисюк</w:t>
      </w:r>
      <w:proofErr w:type="spellEnd"/>
      <w:r w:rsidRPr="00520861">
        <w:rPr>
          <w:rFonts w:eastAsia="Calibri"/>
          <w:sz w:val="28"/>
          <w:szCs w:val="28"/>
          <w:lang w:eastAsia="en-US"/>
        </w:rPr>
        <w:t xml:space="preserve"> МІ, Марченко ВГ, </w:t>
      </w:r>
      <w:proofErr w:type="spellStart"/>
      <w:r w:rsidRPr="00520861">
        <w:rPr>
          <w:rFonts w:eastAsia="Calibri"/>
          <w:sz w:val="28"/>
          <w:szCs w:val="28"/>
          <w:lang w:eastAsia="en-US"/>
        </w:rPr>
        <w:t>Каафарані</w:t>
      </w:r>
      <w:proofErr w:type="spellEnd"/>
      <w:r w:rsidRPr="00520861">
        <w:rPr>
          <w:rFonts w:eastAsia="Calibri"/>
          <w:sz w:val="28"/>
          <w:szCs w:val="28"/>
          <w:lang w:eastAsia="en-US"/>
        </w:rPr>
        <w:t xml:space="preserve"> АМ, </w:t>
      </w:r>
      <w:proofErr w:type="spellStart"/>
      <w:r w:rsidRPr="00520861">
        <w:rPr>
          <w:rFonts w:eastAsia="Calibri"/>
          <w:sz w:val="28"/>
          <w:szCs w:val="28"/>
          <w:lang w:eastAsia="en-US"/>
        </w:rPr>
        <w:t>Діасамідзе</w:t>
      </w:r>
      <w:proofErr w:type="spellEnd"/>
      <w:r w:rsidRPr="00520861">
        <w:rPr>
          <w:rFonts w:eastAsia="Calibri"/>
          <w:sz w:val="28"/>
          <w:szCs w:val="28"/>
          <w:lang w:eastAsia="en-US"/>
        </w:rPr>
        <w:t xml:space="preserve"> ЕД, </w:t>
      </w:r>
      <w:proofErr w:type="spellStart"/>
      <w:r w:rsidRPr="00520861">
        <w:rPr>
          <w:rFonts w:eastAsia="Calibri"/>
          <w:sz w:val="28"/>
          <w:szCs w:val="28"/>
          <w:lang w:eastAsia="en-US"/>
        </w:rPr>
        <w:t>Гризодуб</w:t>
      </w:r>
      <w:proofErr w:type="spellEnd"/>
      <w:r w:rsidRPr="00520861">
        <w:rPr>
          <w:rFonts w:eastAsia="Calibri"/>
          <w:sz w:val="28"/>
          <w:szCs w:val="28"/>
          <w:lang w:eastAsia="en-US"/>
        </w:rPr>
        <w:t xml:space="preserve"> ВІ, </w:t>
      </w:r>
      <w:proofErr w:type="spellStart"/>
      <w:r w:rsidRPr="00520861">
        <w:rPr>
          <w:rFonts w:eastAsia="Calibri"/>
          <w:sz w:val="28"/>
          <w:szCs w:val="28"/>
          <w:lang w:eastAsia="en-US"/>
        </w:rPr>
        <w:t>et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al</w:t>
      </w:r>
      <w:proofErr w:type="spellEnd"/>
      <w:r w:rsidRPr="00520861">
        <w:rPr>
          <w:rFonts w:eastAsia="Calibri"/>
          <w:sz w:val="28"/>
          <w:szCs w:val="28"/>
          <w:lang w:eastAsia="en-US"/>
        </w:rPr>
        <w:t>. (</w:t>
      </w:r>
      <w:proofErr w:type="spellStart"/>
      <w:r w:rsidRPr="00520861">
        <w:rPr>
          <w:rFonts w:eastAsia="Calibri"/>
          <w:sz w:val="28"/>
          <w:szCs w:val="28"/>
          <w:lang w:eastAsia="en-US"/>
        </w:rPr>
        <w:t>eds</w:t>
      </w:r>
      <w:proofErr w:type="spellEnd"/>
      <w:r w:rsidRPr="00520861">
        <w:rPr>
          <w:rFonts w:eastAsia="Calibri"/>
          <w:sz w:val="28"/>
          <w:szCs w:val="28"/>
          <w:lang w:eastAsia="en-US"/>
        </w:rPr>
        <w:t xml:space="preserve">.) </w:t>
      </w:r>
      <w:r w:rsidRPr="00520861">
        <w:rPr>
          <w:rFonts w:eastAsia="Calibri"/>
          <w:i/>
          <w:sz w:val="28"/>
          <w:szCs w:val="28"/>
          <w:lang w:eastAsia="en-US"/>
        </w:rPr>
        <w:t>Матеріали НПК з міжнародною участю «Стоматологічна наука і практика на Слобожанщині: історія, надбання і перспективи розвитку» 5 – 6 жовтня 2017 р., Харків</w:t>
      </w:r>
      <w:r w:rsidRPr="00520861">
        <w:rPr>
          <w:rFonts w:eastAsia="Calibri"/>
          <w:sz w:val="28"/>
          <w:szCs w:val="28"/>
          <w:lang w:eastAsia="en-US"/>
        </w:rPr>
        <w:t>. Харків: Фенікс; 2017. с. 36–37.</w:t>
      </w:r>
    </w:p>
    <w:p w14:paraId="608F4A2E" w14:textId="77777777" w:rsidR="00B62618"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w:t>
      </w: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Caries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intensity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prevalence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among</w:t>
      </w:r>
      <w:proofErr w:type="spellEnd"/>
      <w:r w:rsidRPr="00520861">
        <w:rPr>
          <w:rFonts w:eastAsia="Calibri"/>
          <w:sz w:val="28"/>
          <w:szCs w:val="28"/>
          <w:lang w:eastAsia="en-US"/>
        </w:rPr>
        <w:t xml:space="preserve"> 2.5 – 5 </w:t>
      </w:r>
      <w:proofErr w:type="spellStart"/>
      <w:r w:rsidRPr="00520861">
        <w:rPr>
          <w:rFonts w:eastAsia="Calibri"/>
          <w:sz w:val="28"/>
          <w:szCs w:val="28"/>
          <w:lang w:eastAsia="en-US"/>
        </w:rPr>
        <w:t>year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old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children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living</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northeast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Ukraine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r w:rsidRPr="00520861">
        <w:rPr>
          <w:rFonts w:eastAsia="Calibri"/>
          <w:i/>
          <w:sz w:val="28"/>
          <w:szCs w:val="28"/>
          <w:lang w:eastAsia="en-US"/>
        </w:rPr>
        <w:t xml:space="preserve">11th </w:t>
      </w:r>
      <w:proofErr w:type="spellStart"/>
      <w:r w:rsidRPr="00520861">
        <w:rPr>
          <w:rFonts w:eastAsia="Calibri"/>
          <w:i/>
          <w:sz w:val="28"/>
          <w:szCs w:val="28"/>
          <w:lang w:eastAsia="en-US"/>
        </w:rPr>
        <w:t>International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scientific</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conference</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Environment</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and</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the</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condition</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of</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the</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oral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cavity</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Lublin</w:t>
      </w:r>
      <w:proofErr w:type="spellEnd"/>
      <w:r w:rsidRPr="00520861">
        <w:rPr>
          <w:rFonts w:eastAsia="Calibri"/>
          <w:i/>
          <w:sz w:val="28"/>
          <w:szCs w:val="28"/>
          <w:lang w:eastAsia="en-US"/>
        </w:rPr>
        <w:t xml:space="preserve">, 2018, 20 – 21 </w:t>
      </w:r>
      <w:proofErr w:type="spellStart"/>
      <w:r w:rsidRPr="00520861">
        <w:rPr>
          <w:rFonts w:eastAsia="Calibri"/>
          <w:i/>
          <w:sz w:val="28"/>
          <w:szCs w:val="28"/>
          <w:lang w:eastAsia="en-US"/>
        </w:rPr>
        <w:t>April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Lublin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Medical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University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Lublin</w:t>
      </w:r>
      <w:proofErr w:type="spellEnd"/>
      <w:r w:rsidRPr="00520861">
        <w:rPr>
          <w:rFonts w:eastAsia="Calibri"/>
          <w:sz w:val="28"/>
          <w:szCs w:val="28"/>
          <w:lang w:eastAsia="en-US"/>
        </w:rPr>
        <w:t>; 2018. p. 43.</w:t>
      </w:r>
    </w:p>
    <w:p w14:paraId="741D9FF3"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lastRenderedPageBreak/>
        <w:t xml:space="preserve"> Гармаш ОВ, Губіна-</w:t>
      </w:r>
      <w:proofErr w:type="spellStart"/>
      <w:r w:rsidRPr="00520861">
        <w:rPr>
          <w:rFonts w:eastAsia="Calibri"/>
          <w:sz w:val="28"/>
          <w:szCs w:val="28"/>
          <w:lang w:eastAsia="en-US"/>
        </w:rPr>
        <w:t>Вакулік</w:t>
      </w:r>
      <w:proofErr w:type="spellEnd"/>
      <w:r w:rsidRPr="00520861">
        <w:rPr>
          <w:rFonts w:eastAsia="Calibri"/>
          <w:sz w:val="28"/>
          <w:szCs w:val="28"/>
          <w:lang w:eastAsia="en-US"/>
        </w:rPr>
        <w:t xml:space="preserve"> ГІ, </w:t>
      </w:r>
      <w:proofErr w:type="spellStart"/>
      <w:r w:rsidRPr="00520861">
        <w:rPr>
          <w:rFonts w:eastAsia="Calibri"/>
          <w:sz w:val="28"/>
          <w:szCs w:val="28"/>
          <w:lang w:eastAsia="en-US"/>
        </w:rPr>
        <w:t>Вондрачек</w:t>
      </w:r>
      <w:proofErr w:type="spellEnd"/>
      <w:r w:rsidRPr="00520861">
        <w:rPr>
          <w:rFonts w:eastAsia="Calibri"/>
          <w:sz w:val="28"/>
          <w:szCs w:val="28"/>
          <w:lang w:eastAsia="en-US"/>
        </w:rPr>
        <w:t xml:space="preserve"> Д. Використання конфокальної лазерної </w:t>
      </w:r>
      <w:proofErr w:type="spellStart"/>
      <w:r w:rsidRPr="00520861">
        <w:rPr>
          <w:rFonts w:eastAsia="Calibri"/>
          <w:sz w:val="28"/>
          <w:szCs w:val="28"/>
          <w:lang w:eastAsia="en-US"/>
        </w:rPr>
        <w:t>скануючої</w:t>
      </w:r>
      <w:proofErr w:type="spellEnd"/>
      <w:r w:rsidRPr="00520861">
        <w:rPr>
          <w:rFonts w:eastAsia="Calibri"/>
          <w:sz w:val="28"/>
          <w:szCs w:val="28"/>
          <w:lang w:eastAsia="en-US"/>
        </w:rPr>
        <w:t xml:space="preserve"> мікроскопії для вивчення </w:t>
      </w:r>
      <w:proofErr w:type="spellStart"/>
      <w:r w:rsidRPr="00520861">
        <w:rPr>
          <w:rFonts w:eastAsia="Calibri"/>
          <w:sz w:val="28"/>
          <w:szCs w:val="28"/>
          <w:lang w:eastAsia="en-US"/>
        </w:rPr>
        <w:t>морфофункціонального</w:t>
      </w:r>
      <w:proofErr w:type="spellEnd"/>
      <w:r w:rsidRPr="00520861">
        <w:rPr>
          <w:rFonts w:eastAsia="Calibri"/>
          <w:sz w:val="28"/>
          <w:szCs w:val="28"/>
          <w:lang w:eastAsia="en-US"/>
        </w:rPr>
        <w:t xml:space="preserve"> стану епітелію ротової порожнини у експериментальних тварин, які народились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з ожирінням. </w:t>
      </w:r>
      <w:proofErr w:type="spellStart"/>
      <w:r w:rsidRPr="00520861">
        <w:rPr>
          <w:rFonts w:eastAsia="Calibri"/>
          <w:sz w:val="28"/>
          <w:szCs w:val="28"/>
          <w:lang w:eastAsia="en-US"/>
        </w:rPr>
        <w:t>In</w:t>
      </w:r>
      <w:proofErr w:type="spellEnd"/>
      <w:r w:rsidRPr="00520861">
        <w:rPr>
          <w:rFonts w:eastAsia="Calibri"/>
          <w:sz w:val="28"/>
          <w:szCs w:val="28"/>
          <w:lang w:eastAsia="en-US"/>
        </w:rPr>
        <w:t>: Гичко СГ, Михайлюк ІО. (</w:t>
      </w:r>
      <w:proofErr w:type="spellStart"/>
      <w:r w:rsidRPr="00520861">
        <w:rPr>
          <w:rFonts w:eastAsia="Calibri"/>
          <w:sz w:val="28"/>
          <w:szCs w:val="28"/>
          <w:lang w:eastAsia="en-US"/>
        </w:rPr>
        <w:t>eds</w:t>
      </w:r>
      <w:proofErr w:type="spellEnd"/>
      <w:r w:rsidRPr="00520861">
        <w:rPr>
          <w:rFonts w:eastAsia="Calibri"/>
          <w:sz w:val="28"/>
          <w:szCs w:val="28"/>
          <w:lang w:eastAsia="en-US"/>
        </w:rPr>
        <w:t xml:space="preserve">.) </w:t>
      </w:r>
      <w:r w:rsidRPr="00520861">
        <w:rPr>
          <w:rFonts w:eastAsia="Calibri"/>
          <w:i/>
          <w:sz w:val="28"/>
          <w:szCs w:val="28"/>
          <w:lang w:eastAsia="en-US"/>
        </w:rPr>
        <w:t>Матеріали Х конгресу патологів України «Перспективи розвитку сучасної патології» 27 – 28 вересня 2018 р</w:t>
      </w:r>
      <w:r w:rsidRPr="00520861">
        <w:rPr>
          <w:rFonts w:eastAsia="Calibri"/>
          <w:sz w:val="28"/>
          <w:szCs w:val="28"/>
          <w:lang w:eastAsia="en-US"/>
        </w:rPr>
        <w:t xml:space="preserve">., </w:t>
      </w:r>
      <w:r w:rsidRPr="00520861">
        <w:rPr>
          <w:rFonts w:eastAsia="Calibri"/>
          <w:i/>
          <w:sz w:val="28"/>
          <w:szCs w:val="28"/>
          <w:lang w:eastAsia="en-US"/>
        </w:rPr>
        <w:t xml:space="preserve">Івано-Франківськ, Яремче, </w:t>
      </w:r>
      <w:r w:rsidRPr="00520861">
        <w:rPr>
          <w:rFonts w:eastAsia="Calibri"/>
          <w:sz w:val="28"/>
          <w:szCs w:val="28"/>
          <w:lang w:eastAsia="en-US"/>
        </w:rPr>
        <w:t xml:space="preserve">Івано-Франківськ: Симфонія форте; 2018. с. 43–44. </w:t>
      </w:r>
      <w:r w:rsidRPr="00520861">
        <w:rPr>
          <w:rFonts w:eastAsia="Calibri"/>
          <w:i/>
          <w:spacing w:val="-6"/>
          <w:sz w:val="28"/>
          <w:szCs w:val="28"/>
          <w:lang w:eastAsia="en-US"/>
        </w:rPr>
        <w:t>(</w:t>
      </w:r>
      <w:r w:rsidR="00F63E10" w:rsidRPr="00520861">
        <w:rPr>
          <w:rFonts w:eastAsia="Calibri"/>
          <w:i/>
          <w:spacing w:val="-6"/>
          <w:sz w:val="28"/>
          <w:szCs w:val="28"/>
          <w:lang w:eastAsia="en-US"/>
        </w:rPr>
        <w:t xml:space="preserve">Особистий внесок – </w:t>
      </w:r>
      <w:r w:rsidRPr="00520861">
        <w:rPr>
          <w:rFonts w:eastAsia="Calibri"/>
          <w:i/>
          <w:spacing w:val="-6"/>
          <w:sz w:val="28"/>
          <w:szCs w:val="28"/>
          <w:lang w:eastAsia="en-US"/>
        </w:rPr>
        <w:t xml:space="preserve">планування та проведення експерименту, </w:t>
      </w:r>
      <w:r w:rsidRPr="00520861">
        <w:rPr>
          <w:rFonts w:eastAsia="Calibri"/>
          <w:bCs/>
          <w:i/>
          <w:spacing w:val="-6"/>
          <w:sz w:val="28"/>
          <w:szCs w:val="28"/>
          <w:lang w:eastAsia="en-US"/>
        </w:rPr>
        <w:t>відбір експериментального матеріалу тварин для отримання</w:t>
      </w:r>
      <w:r w:rsidR="008D3AD1" w:rsidRPr="00520861">
        <w:rPr>
          <w:rFonts w:eastAsia="Calibri"/>
          <w:bCs/>
          <w:i/>
          <w:spacing w:val="-6"/>
          <w:sz w:val="28"/>
          <w:szCs w:val="28"/>
          <w:lang w:eastAsia="en-US"/>
        </w:rPr>
        <w:t xml:space="preserve"> </w:t>
      </w:r>
      <w:r w:rsidRPr="00520861">
        <w:rPr>
          <w:rFonts w:eastAsia="Calibri"/>
          <w:bCs/>
          <w:i/>
          <w:spacing w:val="-6"/>
          <w:sz w:val="28"/>
          <w:szCs w:val="28"/>
          <w:lang w:eastAsia="en-US"/>
        </w:rPr>
        <w:t>мікропрепаратів,</w:t>
      </w:r>
      <w:r w:rsidRPr="00520861">
        <w:rPr>
          <w:rFonts w:eastAsia="Calibri"/>
          <w:i/>
          <w:spacing w:val="-6"/>
          <w:sz w:val="28"/>
          <w:szCs w:val="28"/>
          <w:lang w:eastAsia="en-US"/>
        </w:rPr>
        <w:t xml:space="preserve"> участь в аналізі зразків, </w:t>
      </w:r>
      <w:r w:rsidR="005D7BE3" w:rsidRPr="00520861">
        <w:rPr>
          <w:rFonts w:eastAsia="Calibri"/>
          <w:bCs/>
          <w:i/>
          <w:sz w:val="28"/>
          <w:szCs w:val="28"/>
          <w:lang w:eastAsia="en-US"/>
        </w:rPr>
        <w:t>статистична обробка</w:t>
      </w:r>
      <w:r w:rsidR="00150652" w:rsidRPr="00520861">
        <w:rPr>
          <w:rFonts w:eastAsia="Calibri"/>
          <w:bCs/>
          <w:i/>
          <w:spacing w:val="-6"/>
          <w:sz w:val="28"/>
          <w:szCs w:val="28"/>
          <w:lang w:eastAsia="en-US"/>
        </w:rPr>
        <w:t xml:space="preserve"> даних та </w:t>
      </w:r>
      <w:r w:rsidRPr="00520861">
        <w:rPr>
          <w:rFonts w:eastAsia="Calibri"/>
          <w:bCs/>
          <w:i/>
          <w:spacing w:val="-6"/>
          <w:sz w:val="28"/>
          <w:szCs w:val="28"/>
          <w:lang w:eastAsia="en-US"/>
        </w:rPr>
        <w:t>узагальнення отриманих результатів,</w:t>
      </w:r>
      <w:r w:rsidR="001352D5" w:rsidRPr="00520861">
        <w:rPr>
          <w:rFonts w:eastAsia="Calibri"/>
          <w:bCs/>
          <w:i/>
          <w:spacing w:val="-6"/>
          <w:sz w:val="28"/>
          <w:szCs w:val="28"/>
          <w:lang w:eastAsia="en-US"/>
        </w:rPr>
        <w:t xml:space="preserve"> п</w:t>
      </w:r>
      <w:r w:rsidRPr="00520861">
        <w:rPr>
          <w:rFonts w:eastAsia="Calibri"/>
          <w:i/>
          <w:spacing w:val="-6"/>
          <w:sz w:val="28"/>
          <w:szCs w:val="28"/>
          <w:lang w:eastAsia="en-US"/>
        </w:rPr>
        <w:t>ідготовка тез до друку).</w:t>
      </w:r>
    </w:p>
    <w:p w14:paraId="2F8E13EE"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pacing w:val="-4"/>
          <w:sz w:val="28"/>
          <w:szCs w:val="28"/>
          <w:lang w:eastAsia="en-US"/>
        </w:rPr>
      </w:pPr>
      <w:r w:rsidRPr="00520861">
        <w:rPr>
          <w:rFonts w:eastAsia="Calibri"/>
          <w:sz w:val="28"/>
          <w:szCs w:val="28"/>
          <w:lang w:eastAsia="en-US"/>
        </w:rPr>
        <w:t xml:space="preserve"> </w:t>
      </w:r>
      <w:r w:rsidRPr="00520861">
        <w:rPr>
          <w:rFonts w:eastAsia="Calibri"/>
          <w:spacing w:val="-4"/>
          <w:sz w:val="28"/>
          <w:szCs w:val="28"/>
          <w:lang w:eastAsia="en-US"/>
        </w:rPr>
        <w:t xml:space="preserve">Гармаш ОВ. Визначення рівня </w:t>
      </w:r>
      <w:proofErr w:type="spellStart"/>
      <w:r w:rsidRPr="00520861">
        <w:rPr>
          <w:rFonts w:eastAsia="Calibri"/>
          <w:spacing w:val="-4"/>
          <w:sz w:val="28"/>
          <w:szCs w:val="28"/>
          <w:lang w:eastAsia="en-US"/>
        </w:rPr>
        <w:t>лептину</w:t>
      </w:r>
      <w:proofErr w:type="spellEnd"/>
      <w:r w:rsidRPr="00520861">
        <w:rPr>
          <w:rFonts w:eastAsia="Calibri"/>
          <w:spacing w:val="-4"/>
          <w:sz w:val="28"/>
          <w:szCs w:val="28"/>
          <w:lang w:eastAsia="en-US"/>
        </w:rPr>
        <w:t xml:space="preserve"> та </w:t>
      </w:r>
      <w:proofErr w:type="spellStart"/>
      <w:r w:rsidRPr="00520861">
        <w:rPr>
          <w:rFonts w:eastAsia="Calibri"/>
          <w:spacing w:val="-4"/>
          <w:sz w:val="28"/>
          <w:szCs w:val="28"/>
          <w:lang w:eastAsia="en-US"/>
        </w:rPr>
        <w:t>адипонектину</w:t>
      </w:r>
      <w:proofErr w:type="spellEnd"/>
      <w:r w:rsidRPr="00520861">
        <w:rPr>
          <w:rFonts w:eastAsia="Calibri"/>
          <w:spacing w:val="-4"/>
          <w:sz w:val="28"/>
          <w:szCs w:val="28"/>
          <w:lang w:eastAsia="en-US"/>
        </w:rPr>
        <w:t xml:space="preserve"> в ротовій рідині дітей та підлітків, які народились із </w:t>
      </w:r>
      <w:proofErr w:type="spellStart"/>
      <w:r w:rsidRPr="00520861">
        <w:rPr>
          <w:rFonts w:eastAsia="Calibri"/>
          <w:spacing w:val="-4"/>
          <w:sz w:val="28"/>
          <w:szCs w:val="28"/>
          <w:lang w:eastAsia="en-US"/>
        </w:rPr>
        <w:t>макросомією</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In</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Котвіцька</w:t>
      </w:r>
      <w:proofErr w:type="spellEnd"/>
      <w:r w:rsidRPr="00520861">
        <w:rPr>
          <w:rFonts w:eastAsia="Calibri"/>
          <w:spacing w:val="-4"/>
          <w:sz w:val="28"/>
          <w:szCs w:val="28"/>
          <w:lang w:eastAsia="en-US"/>
        </w:rPr>
        <w:t xml:space="preserve"> АА, Загайко АЛ, Кононенко НМ, Кравченко ВМ (</w:t>
      </w:r>
      <w:proofErr w:type="spellStart"/>
      <w:r w:rsidRPr="00520861">
        <w:rPr>
          <w:rFonts w:eastAsia="Calibri"/>
          <w:spacing w:val="-4"/>
          <w:sz w:val="28"/>
          <w:szCs w:val="28"/>
          <w:lang w:eastAsia="en-US"/>
        </w:rPr>
        <w:t>eds</w:t>
      </w:r>
      <w:proofErr w:type="spellEnd"/>
      <w:r w:rsidRPr="00520861">
        <w:rPr>
          <w:rFonts w:eastAsia="Calibri"/>
          <w:spacing w:val="-4"/>
          <w:sz w:val="28"/>
          <w:szCs w:val="28"/>
          <w:lang w:eastAsia="en-US"/>
        </w:rPr>
        <w:t xml:space="preserve">.) </w:t>
      </w:r>
      <w:r w:rsidRPr="00520861">
        <w:rPr>
          <w:rFonts w:eastAsia="Calibri"/>
          <w:i/>
          <w:spacing w:val="-4"/>
          <w:sz w:val="28"/>
          <w:szCs w:val="28"/>
          <w:lang w:eastAsia="en-US"/>
        </w:rPr>
        <w:t xml:space="preserve">I Науково-практична інтернет-конференція з міжнародною участю "Механізми розвитку патологічних процесів і </w:t>
      </w:r>
      <w:proofErr w:type="spellStart"/>
      <w:r w:rsidRPr="00520861">
        <w:rPr>
          <w:rFonts w:eastAsia="Calibri"/>
          <w:i/>
          <w:spacing w:val="-4"/>
          <w:sz w:val="28"/>
          <w:szCs w:val="28"/>
          <w:lang w:eastAsia="en-US"/>
        </w:rPr>
        <w:t>хвороб</w:t>
      </w:r>
      <w:proofErr w:type="spellEnd"/>
      <w:r w:rsidRPr="00520861">
        <w:rPr>
          <w:rFonts w:eastAsia="Calibri"/>
          <w:i/>
          <w:spacing w:val="-4"/>
          <w:sz w:val="28"/>
          <w:szCs w:val="28"/>
          <w:lang w:eastAsia="en-US"/>
        </w:rPr>
        <w:t xml:space="preserve"> та їхня фармакологічна корекція" 18 жовтня 2018 р</w:t>
      </w:r>
      <w:r w:rsidRPr="00520861">
        <w:rPr>
          <w:rFonts w:eastAsia="Calibri"/>
          <w:spacing w:val="-4"/>
          <w:sz w:val="28"/>
          <w:szCs w:val="28"/>
          <w:lang w:eastAsia="en-US"/>
        </w:rPr>
        <w:t xml:space="preserve">., </w:t>
      </w:r>
      <w:r w:rsidRPr="00520861">
        <w:rPr>
          <w:rFonts w:eastAsia="Calibri"/>
          <w:i/>
          <w:spacing w:val="-4"/>
          <w:sz w:val="28"/>
          <w:szCs w:val="28"/>
          <w:lang w:eastAsia="en-US"/>
        </w:rPr>
        <w:t xml:space="preserve">Харків. </w:t>
      </w:r>
      <w:r w:rsidRPr="00520861">
        <w:rPr>
          <w:rFonts w:eastAsia="Calibri"/>
          <w:spacing w:val="-4"/>
          <w:sz w:val="28"/>
          <w:szCs w:val="28"/>
          <w:lang w:eastAsia="en-US"/>
        </w:rPr>
        <w:t xml:space="preserve">Харків: Вид-во </w:t>
      </w:r>
      <w:proofErr w:type="spellStart"/>
      <w:r w:rsidRPr="00520861">
        <w:rPr>
          <w:rFonts w:eastAsia="Calibri"/>
          <w:spacing w:val="-4"/>
          <w:sz w:val="28"/>
          <w:szCs w:val="28"/>
          <w:lang w:eastAsia="en-US"/>
        </w:rPr>
        <w:t>НФаУ</w:t>
      </w:r>
      <w:proofErr w:type="spellEnd"/>
      <w:r w:rsidRPr="00520861">
        <w:rPr>
          <w:rFonts w:eastAsia="Calibri"/>
          <w:spacing w:val="-4"/>
          <w:sz w:val="28"/>
          <w:szCs w:val="28"/>
          <w:lang w:eastAsia="en-US"/>
        </w:rPr>
        <w:t>; 2018. с. 70.</w:t>
      </w:r>
    </w:p>
    <w:p w14:paraId="789F659A"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pacing w:val="-6"/>
          <w:sz w:val="28"/>
          <w:szCs w:val="28"/>
          <w:lang w:eastAsia="en-US"/>
        </w:rPr>
      </w:pPr>
      <w:r w:rsidRPr="00520861">
        <w:rPr>
          <w:rFonts w:eastAsia="Calibri"/>
          <w:sz w:val="28"/>
          <w:szCs w:val="28"/>
          <w:lang w:eastAsia="en-US"/>
        </w:rPr>
        <w:t xml:space="preserve"> </w:t>
      </w:r>
      <w:r w:rsidRPr="00520861">
        <w:rPr>
          <w:rFonts w:eastAsia="Calibri"/>
          <w:spacing w:val="-6"/>
          <w:sz w:val="28"/>
          <w:szCs w:val="28"/>
          <w:lang w:eastAsia="en-US"/>
        </w:rPr>
        <w:t xml:space="preserve">Гармаш ОВ. Рівень </w:t>
      </w:r>
      <w:proofErr w:type="spellStart"/>
      <w:r w:rsidRPr="00520861">
        <w:rPr>
          <w:rFonts w:eastAsia="Calibri"/>
          <w:spacing w:val="-6"/>
          <w:sz w:val="28"/>
          <w:szCs w:val="28"/>
          <w:lang w:eastAsia="en-US"/>
        </w:rPr>
        <w:t>гідроксипроліну</w:t>
      </w:r>
      <w:proofErr w:type="spellEnd"/>
      <w:r w:rsidRPr="00520861">
        <w:rPr>
          <w:rFonts w:eastAsia="Calibri"/>
          <w:spacing w:val="-6"/>
          <w:sz w:val="28"/>
          <w:szCs w:val="28"/>
          <w:lang w:eastAsia="en-US"/>
        </w:rPr>
        <w:t xml:space="preserve"> в ротовій рідині дітей дошкільного віку, які народились із </w:t>
      </w:r>
      <w:proofErr w:type="spellStart"/>
      <w:r w:rsidRPr="00520861">
        <w:rPr>
          <w:rFonts w:eastAsia="Calibri"/>
          <w:spacing w:val="-6"/>
          <w:sz w:val="28"/>
          <w:szCs w:val="28"/>
          <w:lang w:eastAsia="en-US"/>
        </w:rPr>
        <w:t>макросомією</w:t>
      </w:r>
      <w:proofErr w:type="spellEnd"/>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In</w:t>
      </w:r>
      <w:proofErr w:type="spellEnd"/>
      <w:r w:rsidRPr="00520861">
        <w:rPr>
          <w:rFonts w:eastAsia="Calibri"/>
          <w:spacing w:val="-6"/>
          <w:sz w:val="28"/>
          <w:szCs w:val="28"/>
          <w:lang w:eastAsia="en-US"/>
        </w:rPr>
        <w:t>: Рябоконь ЄМ (</w:t>
      </w:r>
      <w:proofErr w:type="spellStart"/>
      <w:r w:rsidRPr="00520861">
        <w:rPr>
          <w:rFonts w:eastAsia="Calibri"/>
          <w:spacing w:val="-6"/>
          <w:sz w:val="28"/>
          <w:szCs w:val="28"/>
          <w:lang w:eastAsia="en-US"/>
        </w:rPr>
        <w:t>ed</w:t>
      </w:r>
      <w:proofErr w:type="spellEnd"/>
      <w:r w:rsidRPr="00520861">
        <w:rPr>
          <w:rFonts w:eastAsia="Calibri"/>
          <w:spacing w:val="-6"/>
          <w:sz w:val="28"/>
          <w:szCs w:val="28"/>
          <w:lang w:eastAsia="en-US"/>
        </w:rPr>
        <w:t xml:space="preserve">.) </w:t>
      </w:r>
      <w:r w:rsidRPr="00520861">
        <w:rPr>
          <w:rFonts w:eastAsia="Calibri"/>
          <w:i/>
          <w:spacing w:val="-6"/>
          <w:sz w:val="28"/>
          <w:szCs w:val="28"/>
          <w:lang w:eastAsia="en-US"/>
        </w:rPr>
        <w:t xml:space="preserve">Питання експериментальної та клінічної стоматології: </w:t>
      </w:r>
      <w:proofErr w:type="spellStart"/>
      <w:r w:rsidRPr="00520861">
        <w:rPr>
          <w:rFonts w:eastAsia="Calibri"/>
          <w:i/>
          <w:spacing w:val="-6"/>
          <w:sz w:val="28"/>
          <w:szCs w:val="28"/>
          <w:lang w:eastAsia="en-US"/>
        </w:rPr>
        <w:t>зб</w:t>
      </w:r>
      <w:proofErr w:type="spellEnd"/>
      <w:r w:rsidRPr="00520861">
        <w:rPr>
          <w:rFonts w:eastAsia="Calibri"/>
          <w:i/>
          <w:spacing w:val="-6"/>
          <w:sz w:val="28"/>
          <w:szCs w:val="28"/>
          <w:lang w:eastAsia="en-US"/>
        </w:rPr>
        <w:t>. наук. праць</w:t>
      </w:r>
      <w:r w:rsidRPr="00520861">
        <w:rPr>
          <w:rFonts w:eastAsia="Calibri"/>
          <w:spacing w:val="-6"/>
          <w:sz w:val="28"/>
          <w:szCs w:val="28"/>
          <w:lang w:eastAsia="en-US"/>
        </w:rPr>
        <w:t xml:space="preserve">. </w:t>
      </w:r>
      <w:r w:rsidRPr="00520861">
        <w:rPr>
          <w:rFonts w:eastAsia="Calibri"/>
          <w:i/>
          <w:spacing w:val="-6"/>
          <w:sz w:val="28"/>
          <w:szCs w:val="28"/>
          <w:lang w:eastAsia="en-US"/>
        </w:rPr>
        <w:t>– Вип.13</w:t>
      </w:r>
      <w:r w:rsidRPr="00520861">
        <w:rPr>
          <w:rFonts w:eastAsia="Calibri"/>
          <w:spacing w:val="-6"/>
          <w:sz w:val="28"/>
          <w:szCs w:val="28"/>
          <w:lang w:eastAsia="en-US"/>
        </w:rPr>
        <w:t xml:space="preserve">. Харків: ФОП </w:t>
      </w:r>
      <w:proofErr w:type="spellStart"/>
      <w:r w:rsidRPr="00520861">
        <w:rPr>
          <w:rFonts w:eastAsia="Calibri"/>
          <w:spacing w:val="-6"/>
          <w:sz w:val="28"/>
          <w:szCs w:val="28"/>
          <w:lang w:eastAsia="en-US"/>
        </w:rPr>
        <w:t>Бровін</w:t>
      </w:r>
      <w:proofErr w:type="spellEnd"/>
      <w:r w:rsidRPr="00520861">
        <w:rPr>
          <w:rFonts w:eastAsia="Calibri"/>
          <w:spacing w:val="-6"/>
          <w:sz w:val="28"/>
          <w:szCs w:val="28"/>
          <w:lang w:eastAsia="en-US"/>
        </w:rPr>
        <w:t xml:space="preserve"> ОВ.; 2018. с. 42–44.</w:t>
      </w:r>
    </w:p>
    <w:p w14:paraId="1609C47A"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pacing w:val="-6"/>
          <w:sz w:val="28"/>
          <w:szCs w:val="28"/>
          <w:lang w:eastAsia="en-US"/>
        </w:rPr>
      </w:pPr>
      <w:r w:rsidRPr="00520861">
        <w:rPr>
          <w:rFonts w:eastAsia="Calibri"/>
          <w:sz w:val="28"/>
          <w:szCs w:val="28"/>
          <w:lang w:eastAsia="en-US"/>
        </w:rPr>
        <w:t xml:space="preserve"> </w:t>
      </w:r>
      <w:r w:rsidRPr="00520861">
        <w:rPr>
          <w:rFonts w:eastAsia="Calibri"/>
          <w:spacing w:val="-6"/>
          <w:sz w:val="28"/>
          <w:szCs w:val="28"/>
          <w:lang w:eastAsia="en-US"/>
        </w:rPr>
        <w:t xml:space="preserve">Гармаш ОВ. Обґрунтування доцільності дослідження </w:t>
      </w:r>
      <w:proofErr w:type="spellStart"/>
      <w:r w:rsidRPr="00520861">
        <w:rPr>
          <w:rFonts w:eastAsia="Calibri"/>
          <w:spacing w:val="-6"/>
          <w:sz w:val="28"/>
          <w:szCs w:val="28"/>
          <w:lang w:eastAsia="en-US"/>
        </w:rPr>
        <w:t>однонуклеотидного</w:t>
      </w:r>
      <w:proofErr w:type="spellEnd"/>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поліморфізма</w:t>
      </w:r>
      <w:proofErr w:type="spellEnd"/>
      <w:r w:rsidRPr="00520861">
        <w:rPr>
          <w:rFonts w:eastAsia="Calibri"/>
          <w:spacing w:val="-6"/>
          <w:sz w:val="28"/>
          <w:szCs w:val="28"/>
          <w:lang w:eastAsia="en-US"/>
        </w:rPr>
        <w:t xml:space="preserve"> в гені </w:t>
      </w:r>
      <w:proofErr w:type="spellStart"/>
      <w:r w:rsidRPr="00520861">
        <w:rPr>
          <w:rFonts w:eastAsia="Calibri"/>
          <w:spacing w:val="-6"/>
          <w:sz w:val="28"/>
          <w:szCs w:val="28"/>
          <w:lang w:eastAsia="en-US"/>
        </w:rPr>
        <w:t>ароматази</w:t>
      </w:r>
      <w:proofErr w:type="spellEnd"/>
      <w:r w:rsidRPr="00520861">
        <w:rPr>
          <w:rFonts w:eastAsia="Calibri"/>
          <w:spacing w:val="-6"/>
          <w:sz w:val="28"/>
          <w:szCs w:val="28"/>
          <w:lang w:eastAsia="en-US"/>
        </w:rPr>
        <w:t xml:space="preserve"> як можливого маркеру ризику розвитку раннього дитячого карієсу у осіб, які народились із </w:t>
      </w:r>
      <w:proofErr w:type="spellStart"/>
      <w:r w:rsidRPr="00520861">
        <w:rPr>
          <w:rFonts w:eastAsia="Calibri"/>
          <w:spacing w:val="-6"/>
          <w:sz w:val="28"/>
          <w:szCs w:val="28"/>
          <w:lang w:eastAsia="en-US"/>
        </w:rPr>
        <w:t>макросомією</w:t>
      </w:r>
      <w:proofErr w:type="spellEnd"/>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In</w:t>
      </w:r>
      <w:proofErr w:type="spellEnd"/>
      <w:r w:rsidRPr="00520861">
        <w:rPr>
          <w:rFonts w:eastAsia="Calibri"/>
          <w:spacing w:val="-6"/>
          <w:sz w:val="28"/>
          <w:szCs w:val="28"/>
          <w:lang w:eastAsia="en-US"/>
        </w:rPr>
        <w:t>:</w:t>
      </w:r>
      <w:r w:rsidR="00F7496A" w:rsidRPr="00520861">
        <w:rPr>
          <w:rFonts w:eastAsia="Calibri"/>
          <w:spacing w:val="-6"/>
          <w:sz w:val="28"/>
          <w:szCs w:val="28"/>
          <w:lang w:eastAsia="en-US"/>
        </w:rPr>
        <w:t xml:space="preserve"> </w:t>
      </w:r>
      <w:r w:rsidRPr="00520861">
        <w:rPr>
          <w:rFonts w:eastAsia="Calibri"/>
          <w:i/>
          <w:spacing w:val="-6"/>
          <w:sz w:val="28"/>
          <w:szCs w:val="28"/>
          <w:lang w:eastAsia="en-US"/>
        </w:rPr>
        <w:t>Всеукраїнська наук.-</w:t>
      </w:r>
      <w:proofErr w:type="spellStart"/>
      <w:r w:rsidRPr="00520861">
        <w:rPr>
          <w:rFonts w:eastAsia="Calibri"/>
          <w:i/>
          <w:spacing w:val="-6"/>
          <w:sz w:val="28"/>
          <w:szCs w:val="28"/>
          <w:lang w:eastAsia="en-US"/>
        </w:rPr>
        <w:t>практ</w:t>
      </w:r>
      <w:proofErr w:type="spellEnd"/>
      <w:r w:rsidRPr="00520861">
        <w:rPr>
          <w:rFonts w:eastAsia="Calibri"/>
          <w:i/>
          <w:spacing w:val="-6"/>
          <w:sz w:val="28"/>
          <w:szCs w:val="28"/>
          <w:lang w:eastAsia="en-US"/>
        </w:rPr>
        <w:t xml:space="preserve">. </w:t>
      </w:r>
      <w:proofErr w:type="spellStart"/>
      <w:r w:rsidRPr="00520861">
        <w:rPr>
          <w:rFonts w:eastAsia="Calibri"/>
          <w:i/>
          <w:spacing w:val="-6"/>
          <w:sz w:val="28"/>
          <w:szCs w:val="28"/>
          <w:lang w:eastAsia="en-US"/>
        </w:rPr>
        <w:t>конф</w:t>
      </w:r>
      <w:proofErr w:type="spellEnd"/>
      <w:r w:rsidRPr="00520861">
        <w:rPr>
          <w:rFonts w:eastAsia="Calibri"/>
          <w:i/>
          <w:spacing w:val="-6"/>
          <w:sz w:val="28"/>
          <w:szCs w:val="28"/>
          <w:lang w:eastAsia="en-US"/>
        </w:rPr>
        <w:t>. з міжнародною участю «Сучасні питання молекулярно-біохімічних досліджень та лабораторного скринінгу у клінічній та експериментальній медицині-2019» 11 – 12 квітня 2019 р</w:t>
      </w:r>
      <w:r w:rsidRPr="00520861">
        <w:rPr>
          <w:rFonts w:eastAsia="Calibri"/>
          <w:spacing w:val="-6"/>
          <w:sz w:val="28"/>
          <w:szCs w:val="28"/>
          <w:lang w:eastAsia="en-US"/>
        </w:rPr>
        <w:t xml:space="preserve">., </w:t>
      </w:r>
      <w:r w:rsidRPr="00520861">
        <w:rPr>
          <w:rFonts w:eastAsia="Calibri"/>
          <w:i/>
          <w:spacing w:val="-6"/>
          <w:sz w:val="28"/>
          <w:szCs w:val="28"/>
          <w:lang w:eastAsia="en-US"/>
        </w:rPr>
        <w:t xml:space="preserve">Запоріжжя. </w:t>
      </w:r>
      <w:r w:rsidRPr="00520861">
        <w:rPr>
          <w:rFonts w:eastAsia="Calibri"/>
          <w:spacing w:val="-6"/>
          <w:sz w:val="28"/>
          <w:szCs w:val="28"/>
          <w:lang w:eastAsia="en-US"/>
        </w:rPr>
        <w:t>Запоріжжя: Запорізький державний мед. ун-т; 2019. с. 15–16.</w:t>
      </w:r>
    </w:p>
    <w:p w14:paraId="0FC335CB"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 Оцінювання міри ризику виникнення стоматологічних порушень у дітей та підлітків, які народилися з діагнозом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(клінічна апробація опитувальника).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Огнєв</w:t>
      </w:r>
      <w:proofErr w:type="spellEnd"/>
      <w:r w:rsidRPr="00520861">
        <w:rPr>
          <w:rFonts w:eastAsia="Calibri"/>
          <w:sz w:val="28"/>
          <w:szCs w:val="28"/>
          <w:lang w:eastAsia="en-US"/>
        </w:rPr>
        <w:t xml:space="preserve"> ВА. (</w:t>
      </w:r>
      <w:proofErr w:type="spellStart"/>
      <w:r w:rsidRPr="00520861">
        <w:rPr>
          <w:rFonts w:eastAsia="Calibri"/>
          <w:sz w:val="28"/>
          <w:szCs w:val="28"/>
          <w:lang w:eastAsia="en-US"/>
        </w:rPr>
        <w:t>ed</w:t>
      </w:r>
      <w:proofErr w:type="spellEnd"/>
      <w:r w:rsidRPr="00520861">
        <w:rPr>
          <w:rFonts w:eastAsia="Calibri"/>
          <w:sz w:val="28"/>
          <w:szCs w:val="28"/>
          <w:lang w:eastAsia="en-US"/>
        </w:rPr>
        <w:t xml:space="preserve">.) </w:t>
      </w:r>
      <w:r w:rsidRPr="00520861">
        <w:rPr>
          <w:rFonts w:eastAsia="Calibri"/>
          <w:i/>
          <w:sz w:val="28"/>
          <w:szCs w:val="28"/>
          <w:lang w:eastAsia="en-US"/>
        </w:rPr>
        <w:t>Матеріали наук.-</w:t>
      </w:r>
      <w:proofErr w:type="spellStart"/>
      <w:r w:rsidRPr="00520861">
        <w:rPr>
          <w:rFonts w:eastAsia="Calibri"/>
          <w:i/>
          <w:sz w:val="28"/>
          <w:szCs w:val="28"/>
          <w:lang w:eastAsia="en-US"/>
        </w:rPr>
        <w:t>практ</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конф</w:t>
      </w:r>
      <w:proofErr w:type="spellEnd"/>
      <w:r w:rsidRPr="00520861">
        <w:rPr>
          <w:rFonts w:eastAsia="Calibri"/>
          <w:i/>
          <w:sz w:val="28"/>
          <w:szCs w:val="28"/>
          <w:lang w:eastAsia="en-US"/>
        </w:rPr>
        <w:t xml:space="preserve">. «Надбання сучасної епідеміології та </w:t>
      </w:r>
      <w:proofErr w:type="spellStart"/>
      <w:r w:rsidRPr="00520861">
        <w:rPr>
          <w:rFonts w:eastAsia="Calibri"/>
          <w:i/>
          <w:sz w:val="28"/>
          <w:szCs w:val="28"/>
          <w:lang w:eastAsia="en-US"/>
        </w:rPr>
        <w:t>біостатистики</w:t>
      </w:r>
      <w:proofErr w:type="spellEnd"/>
      <w:r w:rsidRPr="00520861">
        <w:rPr>
          <w:rFonts w:eastAsia="Calibri"/>
          <w:i/>
          <w:sz w:val="28"/>
          <w:szCs w:val="28"/>
          <w:lang w:eastAsia="en-US"/>
        </w:rPr>
        <w:t xml:space="preserve"> як запорука покращання громадського здоров’я в Україні» 18 квітня 2019 р., Харків</w:t>
      </w:r>
      <w:r w:rsidRPr="00520861">
        <w:rPr>
          <w:rFonts w:eastAsia="Calibri"/>
          <w:sz w:val="28"/>
          <w:szCs w:val="28"/>
          <w:lang w:eastAsia="en-US"/>
        </w:rPr>
        <w:t xml:space="preserve">. Харків: </w:t>
      </w:r>
      <w:proofErr w:type="spellStart"/>
      <w:r w:rsidRPr="00520861">
        <w:rPr>
          <w:rFonts w:eastAsia="Calibri"/>
          <w:sz w:val="28"/>
          <w:szCs w:val="28"/>
          <w:lang w:eastAsia="en-US"/>
        </w:rPr>
        <w:t>Харк</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нац</w:t>
      </w:r>
      <w:proofErr w:type="spellEnd"/>
      <w:r w:rsidRPr="00520861">
        <w:rPr>
          <w:rFonts w:eastAsia="Calibri"/>
          <w:sz w:val="28"/>
          <w:szCs w:val="28"/>
          <w:lang w:eastAsia="en-US"/>
        </w:rPr>
        <w:t>. мед. ун-т; 2019. с. 77–78.</w:t>
      </w:r>
    </w:p>
    <w:p w14:paraId="4EF36C6F" w14:textId="77777777" w:rsidR="003A7FA3" w:rsidRPr="00520861" w:rsidRDefault="003A7FA3" w:rsidP="008F1D77">
      <w:pPr>
        <w:widowControl w:val="0"/>
        <w:numPr>
          <w:ilvl w:val="0"/>
          <w:numId w:val="1"/>
        </w:numPr>
        <w:spacing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 Виявлення впливу материнського чи батькового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на виникнення </w:t>
      </w:r>
      <w:proofErr w:type="spellStart"/>
      <w:r w:rsidRPr="00520861">
        <w:rPr>
          <w:rFonts w:eastAsia="Calibri"/>
          <w:sz w:val="28"/>
          <w:szCs w:val="28"/>
          <w:lang w:eastAsia="en-US"/>
        </w:rPr>
        <w:t>хвороб</w:t>
      </w:r>
      <w:proofErr w:type="spellEnd"/>
      <w:r w:rsidRPr="00520861">
        <w:rPr>
          <w:rFonts w:eastAsia="Calibri"/>
          <w:sz w:val="28"/>
          <w:szCs w:val="28"/>
          <w:lang w:eastAsia="en-US"/>
        </w:rPr>
        <w:t xml:space="preserve">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та твердих тканин зубів у дітей, які народилися з </w:t>
      </w:r>
      <w:r w:rsidRPr="00520861">
        <w:rPr>
          <w:rFonts w:eastAsia="Calibri"/>
          <w:sz w:val="28"/>
          <w:szCs w:val="28"/>
          <w:lang w:eastAsia="en-US"/>
        </w:rPr>
        <w:lastRenderedPageBreak/>
        <w:t xml:space="preserve">діагнозом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(клінічна апробація опитувальника). </w:t>
      </w:r>
      <w:proofErr w:type="spellStart"/>
      <w:r w:rsidRPr="00520861">
        <w:rPr>
          <w:rFonts w:eastAsia="Calibri"/>
          <w:sz w:val="28"/>
          <w:szCs w:val="28"/>
          <w:lang w:eastAsia="en-US"/>
        </w:rPr>
        <w:t>In</w:t>
      </w:r>
      <w:proofErr w:type="spellEnd"/>
      <w:r w:rsidRPr="00520861">
        <w:rPr>
          <w:rFonts w:eastAsia="Calibri"/>
          <w:sz w:val="28"/>
          <w:szCs w:val="28"/>
          <w:lang w:eastAsia="en-US"/>
        </w:rPr>
        <w:t>: Карпенко КІ. (</w:t>
      </w:r>
      <w:proofErr w:type="spellStart"/>
      <w:r w:rsidRPr="00520861">
        <w:rPr>
          <w:rFonts w:eastAsia="Calibri"/>
          <w:sz w:val="28"/>
          <w:szCs w:val="28"/>
          <w:lang w:eastAsia="en-US"/>
        </w:rPr>
        <w:t>ed</w:t>
      </w:r>
      <w:proofErr w:type="spellEnd"/>
      <w:r w:rsidRPr="00520861">
        <w:rPr>
          <w:rFonts w:eastAsia="Calibri"/>
          <w:sz w:val="28"/>
          <w:szCs w:val="28"/>
          <w:lang w:eastAsia="en-US"/>
        </w:rPr>
        <w:t xml:space="preserve">.) </w:t>
      </w:r>
      <w:r w:rsidRPr="00520861">
        <w:rPr>
          <w:rFonts w:eastAsia="Calibri"/>
          <w:i/>
          <w:sz w:val="28"/>
          <w:szCs w:val="28"/>
          <w:lang w:eastAsia="en-US"/>
        </w:rPr>
        <w:t>Матеріали VІ Міжнародної наук.-</w:t>
      </w:r>
      <w:proofErr w:type="spellStart"/>
      <w:r w:rsidRPr="00520861">
        <w:rPr>
          <w:rFonts w:eastAsia="Calibri"/>
          <w:i/>
          <w:sz w:val="28"/>
          <w:szCs w:val="28"/>
          <w:lang w:eastAsia="en-US"/>
        </w:rPr>
        <w:t>практ</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конф</w:t>
      </w:r>
      <w:proofErr w:type="spellEnd"/>
      <w:r w:rsidRPr="00520861">
        <w:rPr>
          <w:rFonts w:eastAsia="Calibri"/>
          <w:i/>
          <w:sz w:val="28"/>
          <w:szCs w:val="28"/>
          <w:lang w:eastAsia="en-US"/>
        </w:rPr>
        <w:t>. «</w:t>
      </w:r>
      <w:proofErr w:type="spellStart"/>
      <w:r w:rsidRPr="00520861">
        <w:rPr>
          <w:rFonts w:eastAsia="Calibri"/>
          <w:i/>
          <w:sz w:val="28"/>
          <w:szCs w:val="28"/>
          <w:lang w:eastAsia="en-US"/>
        </w:rPr>
        <w:t>Гендер</w:t>
      </w:r>
      <w:proofErr w:type="spellEnd"/>
      <w:r w:rsidRPr="00520861">
        <w:rPr>
          <w:rFonts w:eastAsia="Calibri"/>
          <w:i/>
          <w:sz w:val="28"/>
          <w:szCs w:val="28"/>
          <w:lang w:eastAsia="en-US"/>
        </w:rPr>
        <w:t xml:space="preserve">. Екологія. Здоров’я» 18–19 </w:t>
      </w:r>
      <w:r w:rsidR="00056288" w:rsidRPr="00520861">
        <w:rPr>
          <w:rFonts w:eastAsia="Calibri"/>
          <w:i/>
          <w:sz w:val="28"/>
          <w:szCs w:val="28"/>
          <w:lang w:eastAsia="en-US"/>
        </w:rPr>
        <w:br/>
      </w:r>
      <w:r w:rsidRPr="00520861">
        <w:rPr>
          <w:rFonts w:eastAsia="Calibri"/>
          <w:i/>
          <w:sz w:val="28"/>
          <w:szCs w:val="28"/>
          <w:lang w:eastAsia="en-US"/>
        </w:rPr>
        <w:t>квітня 2019 р</w:t>
      </w:r>
      <w:r w:rsidRPr="00520861">
        <w:rPr>
          <w:rFonts w:eastAsia="Calibri"/>
          <w:sz w:val="28"/>
          <w:szCs w:val="28"/>
          <w:lang w:eastAsia="en-US"/>
        </w:rPr>
        <w:t xml:space="preserve">., </w:t>
      </w:r>
      <w:r w:rsidRPr="00520861">
        <w:rPr>
          <w:rFonts w:eastAsia="Calibri"/>
          <w:i/>
          <w:sz w:val="28"/>
          <w:szCs w:val="28"/>
          <w:lang w:eastAsia="en-US"/>
        </w:rPr>
        <w:t>Харків</w:t>
      </w:r>
      <w:r w:rsidRPr="00520861">
        <w:rPr>
          <w:rFonts w:eastAsia="Calibri"/>
          <w:sz w:val="28"/>
          <w:szCs w:val="28"/>
          <w:lang w:eastAsia="en-US"/>
        </w:rPr>
        <w:t xml:space="preserve">. Харків: Харківський </w:t>
      </w:r>
      <w:proofErr w:type="spellStart"/>
      <w:r w:rsidRPr="00520861">
        <w:rPr>
          <w:rFonts w:eastAsia="Calibri"/>
          <w:sz w:val="28"/>
          <w:szCs w:val="28"/>
          <w:lang w:eastAsia="en-US"/>
        </w:rPr>
        <w:t>нац</w:t>
      </w:r>
      <w:proofErr w:type="spellEnd"/>
      <w:r w:rsidRPr="00520861">
        <w:rPr>
          <w:rFonts w:eastAsia="Calibri"/>
          <w:sz w:val="28"/>
          <w:szCs w:val="28"/>
          <w:lang w:eastAsia="en-US"/>
        </w:rPr>
        <w:t>. мед. ун-т; 2019. с. 58–59.</w:t>
      </w:r>
    </w:p>
    <w:p w14:paraId="6B93C74C" w14:textId="77777777" w:rsidR="003A7FA3" w:rsidRPr="00520861" w:rsidRDefault="003A7FA3" w:rsidP="008F1D77">
      <w:pPr>
        <w:widowControl w:val="0"/>
        <w:numPr>
          <w:ilvl w:val="0"/>
          <w:numId w:val="1"/>
        </w:numPr>
        <w:spacing w:line="360" w:lineRule="auto"/>
        <w:ind w:left="0" w:firstLine="0"/>
        <w:jc w:val="both"/>
        <w:rPr>
          <w:rFonts w:eastAsia="Calibri"/>
          <w:sz w:val="28"/>
          <w:szCs w:val="28"/>
          <w:lang w:eastAsia="en-US"/>
        </w:rPr>
      </w:pP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 </w:t>
      </w:r>
      <w:proofErr w:type="spellStart"/>
      <w:r w:rsidRPr="00520861">
        <w:rPr>
          <w:rFonts w:eastAsia="Calibri"/>
          <w:sz w:val="28"/>
          <w:szCs w:val="28"/>
          <w:lang w:eastAsia="en-US"/>
        </w:rPr>
        <w:t>Dentoalveolar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abnormalities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children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during</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period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mixed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dental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occlusion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Бойчук ТМ, </w:t>
      </w:r>
      <w:proofErr w:type="spellStart"/>
      <w:r w:rsidRPr="00520861">
        <w:rPr>
          <w:rFonts w:eastAsia="Calibri"/>
          <w:sz w:val="28"/>
          <w:szCs w:val="28"/>
          <w:lang w:eastAsia="en-US"/>
        </w:rPr>
        <w:t>Геруш</w:t>
      </w:r>
      <w:proofErr w:type="spellEnd"/>
      <w:r w:rsidRPr="00520861">
        <w:rPr>
          <w:rFonts w:eastAsia="Calibri"/>
          <w:sz w:val="28"/>
          <w:szCs w:val="28"/>
          <w:lang w:eastAsia="en-US"/>
        </w:rPr>
        <w:t xml:space="preserve"> ІВ, Іващук ОІ, Батіг ВМ. (</w:t>
      </w:r>
      <w:proofErr w:type="spellStart"/>
      <w:r w:rsidRPr="00520861">
        <w:rPr>
          <w:rFonts w:eastAsia="Calibri"/>
          <w:sz w:val="28"/>
          <w:szCs w:val="28"/>
          <w:lang w:eastAsia="en-US"/>
        </w:rPr>
        <w:t>eds</w:t>
      </w:r>
      <w:proofErr w:type="spellEnd"/>
      <w:r w:rsidRPr="00520861">
        <w:rPr>
          <w:rFonts w:eastAsia="Calibri"/>
          <w:sz w:val="28"/>
          <w:szCs w:val="28"/>
          <w:lang w:eastAsia="en-US"/>
        </w:rPr>
        <w:t>.) Науково-практична конференція з міжнародною участю "</w:t>
      </w:r>
      <w:proofErr w:type="spellStart"/>
      <w:r w:rsidRPr="00520861">
        <w:rPr>
          <w:rFonts w:eastAsia="Calibri"/>
          <w:sz w:val="28"/>
          <w:szCs w:val="28"/>
          <w:lang w:eastAsia="en-US"/>
        </w:rPr>
        <w:t>Взаємоінтеграція</w:t>
      </w:r>
      <w:proofErr w:type="spellEnd"/>
      <w:r w:rsidRPr="00520861">
        <w:rPr>
          <w:rFonts w:eastAsia="Calibri"/>
          <w:sz w:val="28"/>
          <w:szCs w:val="28"/>
          <w:lang w:eastAsia="en-US"/>
        </w:rPr>
        <w:t xml:space="preserve"> теорії та практики в сучасній стоматології" 16–17 травня 2019 р., Чернівці. Чернівці: Буковинський державний медичний ун-т; 2019. с. 3–5.</w:t>
      </w:r>
    </w:p>
    <w:p w14:paraId="1F519ACF" w14:textId="77777777" w:rsidR="003A7FA3" w:rsidRPr="00520861" w:rsidRDefault="003A7FA3" w:rsidP="008F1D77">
      <w:pPr>
        <w:widowControl w:val="0"/>
        <w:numPr>
          <w:ilvl w:val="0"/>
          <w:numId w:val="1"/>
        </w:numPr>
        <w:spacing w:line="360" w:lineRule="auto"/>
        <w:ind w:left="0" w:firstLine="0"/>
        <w:contextualSpacing/>
        <w:jc w:val="both"/>
        <w:rPr>
          <w:rFonts w:eastAsia="Calibri"/>
          <w:bCs/>
          <w:iCs/>
          <w:sz w:val="28"/>
          <w:szCs w:val="28"/>
          <w:lang w:eastAsia="en-US"/>
        </w:rPr>
      </w:pPr>
      <w:proofErr w:type="spellStart"/>
      <w:r w:rsidRPr="00520861">
        <w:rPr>
          <w:rFonts w:eastAsia="Calibri"/>
          <w:sz w:val="28"/>
          <w:szCs w:val="28"/>
          <w:lang w:eastAsia="en-US"/>
        </w:rPr>
        <w:t>Garmash</w:t>
      </w:r>
      <w:proofErr w:type="spellEnd"/>
      <w:r w:rsidRPr="00520861">
        <w:rPr>
          <w:rFonts w:eastAsia="Calibri"/>
          <w:sz w:val="28"/>
          <w:szCs w:val="28"/>
          <w:lang w:eastAsia="en-US"/>
        </w:rPr>
        <w:t xml:space="preserve"> OV. </w:t>
      </w:r>
      <w:proofErr w:type="spellStart"/>
      <w:r w:rsidRPr="00520861">
        <w:rPr>
          <w:rFonts w:eastAsia="Calibri"/>
          <w:sz w:val="28"/>
          <w:szCs w:val="28"/>
          <w:lang w:eastAsia="en-US"/>
        </w:rPr>
        <w:t>Single-nucleotide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polymorphism</w:t>
      </w:r>
      <w:proofErr w:type="spellEnd"/>
      <w:r w:rsidRPr="00520861">
        <w:rPr>
          <w:rFonts w:eastAsia="Calibri"/>
          <w:sz w:val="28"/>
          <w:szCs w:val="28"/>
          <w:lang w:eastAsia="en-US"/>
        </w:rPr>
        <w:t xml:space="preserve"> RANKL: C&gt; T [rs9594759] </w:t>
      </w:r>
      <w:proofErr w:type="spellStart"/>
      <w:r w:rsidRPr="00520861">
        <w:rPr>
          <w:rFonts w:eastAsia="Calibri"/>
          <w:sz w:val="28"/>
          <w:szCs w:val="28"/>
          <w:lang w:eastAsia="en-US"/>
        </w:rPr>
        <w:t>as</w:t>
      </w:r>
      <w:proofErr w:type="spellEnd"/>
      <w:r w:rsidRPr="00520861">
        <w:rPr>
          <w:rFonts w:eastAsia="Calibri"/>
          <w:sz w:val="28"/>
          <w:szCs w:val="28"/>
          <w:lang w:eastAsia="en-US"/>
        </w:rPr>
        <w:t xml:space="preserve"> a </w:t>
      </w:r>
      <w:proofErr w:type="spellStart"/>
      <w:r w:rsidRPr="00520861">
        <w:rPr>
          <w:rFonts w:eastAsia="Calibri"/>
          <w:sz w:val="28"/>
          <w:szCs w:val="28"/>
          <w:lang w:eastAsia="en-US"/>
        </w:rPr>
        <w:t>possible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marker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for</w:t>
      </w:r>
      <w:proofErr w:type="spellEnd"/>
      <w:r w:rsidRPr="00520861">
        <w:rPr>
          <w:rFonts w:eastAsia="Calibri"/>
          <w:sz w:val="28"/>
          <w:szCs w:val="28"/>
          <w:lang w:eastAsia="en-US"/>
        </w:rPr>
        <w:t xml:space="preserve"> a </w:t>
      </w:r>
      <w:proofErr w:type="spellStart"/>
      <w:r w:rsidRPr="00520861">
        <w:rPr>
          <w:rFonts w:eastAsia="Calibri"/>
          <w:sz w:val="28"/>
          <w:szCs w:val="28"/>
          <w:lang w:eastAsia="en-US"/>
        </w:rPr>
        <w:t>delay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deciduous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teeth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eruption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individuals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born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macrosomic</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r w:rsidRPr="00520861">
        <w:rPr>
          <w:rFonts w:eastAsia="Calibri"/>
          <w:i/>
          <w:sz w:val="28"/>
          <w:szCs w:val="28"/>
          <w:lang w:eastAsia="en-US"/>
        </w:rPr>
        <w:t xml:space="preserve">12th </w:t>
      </w:r>
      <w:proofErr w:type="spellStart"/>
      <w:r w:rsidRPr="00520861">
        <w:rPr>
          <w:rFonts w:eastAsia="Calibri"/>
          <w:i/>
          <w:sz w:val="28"/>
          <w:szCs w:val="28"/>
          <w:lang w:eastAsia="en-US"/>
        </w:rPr>
        <w:t>International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Scientific</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Conference</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Environment</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and</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the</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condition</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of</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the</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oral</w:t>
      </w:r>
      <w:proofErr w:type="spellEnd"/>
      <w:r w:rsidRPr="00520861">
        <w:rPr>
          <w:rFonts w:eastAsia="Calibri"/>
          <w:i/>
          <w:sz w:val="28"/>
          <w:szCs w:val="28"/>
          <w:lang w:eastAsia="en-US"/>
        </w:rPr>
        <w:t xml:space="preserve"> </w:t>
      </w:r>
      <w:proofErr w:type="spellStart"/>
      <w:r w:rsidRPr="00520861">
        <w:rPr>
          <w:rFonts w:eastAsia="Calibri"/>
          <w:i/>
          <w:spacing w:val="-2"/>
          <w:sz w:val="28"/>
          <w:szCs w:val="28"/>
          <w:lang w:eastAsia="en-US"/>
        </w:rPr>
        <w:t>cavity</w:t>
      </w:r>
      <w:proofErr w:type="spellEnd"/>
      <w:r w:rsidRPr="00520861">
        <w:rPr>
          <w:rFonts w:eastAsia="Calibri"/>
          <w:i/>
          <w:spacing w:val="-2"/>
          <w:sz w:val="28"/>
          <w:szCs w:val="28"/>
          <w:lang w:eastAsia="en-US"/>
        </w:rPr>
        <w:t xml:space="preserve">” 2019, </w:t>
      </w:r>
      <w:proofErr w:type="spellStart"/>
      <w:r w:rsidRPr="00520861">
        <w:rPr>
          <w:rFonts w:eastAsia="Calibri"/>
          <w:i/>
          <w:spacing w:val="-2"/>
          <w:sz w:val="28"/>
          <w:szCs w:val="28"/>
          <w:lang w:eastAsia="en-US"/>
        </w:rPr>
        <w:t>May</w:t>
      </w:r>
      <w:proofErr w:type="spellEnd"/>
      <w:r w:rsidRPr="00520861">
        <w:rPr>
          <w:rFonts w:eastAsia="Calibri"/>
          <w:i/>
          <w:spacing w:val="-2"/>
          <w:sz w:val="28"/>
          <w:szCs w:val="28"/>
          <w:lang w:eastAsia="en-US"/>
        </w:rPr>
        <w:t xml:space="preserve"> 31 – </w:t>
      </w:r>
      <w:proofErr w:type="spellStart"/>
      <w:r w:rsidRPr="00520861">
        <w:rPr>
          <w:rFonts w:eastAsia="Calibri"/>
          <w:i/>
          <w:spacing w:val="-2"/>
          <w:sz w:val="28"/>
          <w:szCs w:val="28"/>
          <w:lang w:eastAsia="en-US"/>
        </w:rPr>
        <w:t>June</w:t>
      </w:r>
      <w:proofErr w:type="spellEnd"/>
      <w:r w:rsidRPr="00520861">
        <w:rPr>
          <w:rFonts w:eastAsia="Calibri"/>
          <w:i/>
          <w:spacing w:val="-2"/>
          <w:sz w:val="28"/>
          <w:szCs w:val="28"/>
          <w:lang w:eastAsia="en-US"/>
        </w:rPr>
        <w:t xml:space="preserve"> 01</w:t>
      </w:r>
      <w:r w:rsidRPr="00520861">
        <w:rPr>
          <w:rFonts w:eastAsia="Calibri"/>
          <w:spacing w:val="-2"/>
          <w:sz w:val="28"/>
          <w:szCs w:val="28"/>
          <w:lang w:eastAsia="en-US"/>
        </w:rPr>
        <w:t xml:space="preserve">, </w:t>
      </w:r>
      <w:proofErr w:type="spellStart"/>
      <w:r w:rsidRPr="00520861">
        <w:rPr>
          <w:rFonts w:eastAsia="Calibri"/>
          <w:i/>
          <w:spacing w:val="-2"/>
          <w:sz w:val="28"/>
          <w:szCs w:val="28"/>
          <w:lang w:eastAsia="en-US"/>
        </w:rPr>
        <w:t>Lublin</w:t>
      </w:r>
      <w:proofErr w:type="spellEnd"/>
      <w:r w:rsidRPr="00520861">
        <w:rPr>
          <w:rFonts w:eastAsia="Calibri"/>
          <w:i/>
          <w:spacing w:val="-2"/>
          <w:sz w:val="28"/>
          <w:szCs w:val="28"/>
          <w:lang w:eastAsia="en-US"/>
        </w:rPr>
        <w:t xml:space="preserve">. </w:t>
      </w:r>
      <w:proofErr w:type="spellStart"/>
      <w:r w:rsidRPr="00520861">
        <w:rPr>
          <w:rFonts w:eastAsia="Calibri"/>
          <w:spacing w:val="-2"/>
          <w:sz w:val="28"/>
          <w:szCs w:val="28"/>
          <w:lang w:eastAsia="en-US"/>
        </w:rPr>
        <w:t>Lublin</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Medical</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University</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of</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Lublin</w:t>
      </w:r>
      <w:proofErr w:type="spellEnd"/>
      <w:r w:rsidRPr="00520861">
        <w:rPr>
          <w:rFonts w:eastAsia="Calibri"/>
          <w:spacing w:val="-2"/>
          <w:sz w:val="28"/>
          <w:szCs w:val="28"/>
          <w:lang w:eastAsia="en-US"/>
        </w:rPr>
        <w:t>; 2019. р. 17.</w:t>
      </w:r>
    </w:p>
    <w:p w14:paraId="18ACB5C4" w14:textId="77777777" w:rsidR="003A7FA3" w:rsidRPr="00520861" w:rsidRDefault="003A7FA3" w:rsidP="008F1D77">
      <w:pPr>
        <w:widowControl w:val="0"/>
        <w:numPr>
          <w:ilvl w:val="0"/>
          <w:numId w:val="1"/>
        </w:numPr>
        <w:spacing w:line="360" w:lineRule="auto"/>
        <w:ind w:left="0" w:firstLine="0"/>
        <w:contextualSpacing/>
        <w:jc w:val="both"/>
        <w:rPr>
          <w:rFonts w:eastAsia="Calibri"/>
          <w:bCs/>
          <w:iCs/>
          <w:spacing w:val="-4"/>
          <w:sz w:val="28"/>
          <w:szCs w:val="28"/>
          <w:lang w:eastAsia="en-US"/>
        </w:rPr>
      </w:pPr>
      <w:r w:rsidRPr="00520861">
        <w:rPr>
          <w:rFonts w:eastAsia="Calibri"/>
          <w:spacing w:val="-4"/>
          <w:sz w:val="28"/>
          <w:szCs w:val="28"/>
          <w:lang w:eastAsia="en-US"/>
        </w:rPr>
        <w:t xml:space="preserve">Гармаш ОВ, </w:t>
      </w:r>
      <w:proofErr w:type="spellStart"/>
      <w:r w:rsidRPr="00520861">
        <w:rPr>
          <w:rFonts w:eastAsia="Calibri"/>
          <w:spacing w:val="-4"/>
          <w:sz w:val="28"/>
          <w:szCs w:val="28"/>
          <w:lang w:eastAsia="en-US"/>
        </w:rPr>
        <w:t>Білозоров</w:t>
      </w:r>
      <w:proofErr w:type="spellEnd"/>
      <w:r w:rsidRPr="00520861">
        <w:rPr>
          <w:rFonts w:eastAsia="Calibri"/>
          <w:spacing w:val="-4"/>
          <w:sz w:val="28"/>
          <w:szCs w:val="28"/>
          <w:lang w:eastAsia="en-US"/>
        </w:rPr>
        <w:t xml:space="preserve"> ОП. Дослідження можливої̈ асоціації̈ між поліморфізмом BMP-7 [rs72626594] та карієсом </w:t>
      </w:r>
      <w:proofErr w:type="spellStart"/>
      <w:r w:rsidRPr="00520861">
        <w:rPr>
          <w:rFonts w:eastAsia="Calibri"/>
          <w:spacing w:val="-4"/>
          <w:sz w:val="28"/>
          <w:szCs w:val="28"/>
          <w:lang w:eastAsia="en-US"/>
        </w:rPr>
        <w:t>постійних</w:t>
      </w:r>
      <w:proofErr w:type="spellEnd"/>
      <w:r w:rsidRPr="00520861">
        <w:rPr>
          <w:rFonts w:eastAsia="Calibri"/>
          <w:spacing w:val="-4"/>
          <w:sz w:val="28"/>
          <w:szCs w:val="28"/>
          <w:lang w:eastAsia="en-US"/>
        </w:rPr>
        <w:t xml:space="preserve"> зубів в популяції̈ осіб, народжених із </w:t>
      </w:r>
      <w:proofErr w:type="spellStart"/>
      <w:r w:rsidRPr="00520861">
        <w:rPr>
          <w:rFonts w:eastAsia="Calibri"/>
          <w:spacing w:val="-4"/>
          <w:sz w:val="28"/>
          <w:szCs w:val="28"/>
          <w:lang w:eastAsia="en-US"/>
        </w:rPr>
        <w:t>макросомією</w:t>
      </w:r>
      <w:proofErr w:type="spellEnd"/>
      <w:r w:rsidRPr="00520861">
        <w:rPr>
          <w:rFonts w:eastAsia="Calibri"/>
          <w:spacing w:val="-4"/>
          <w:sz w:val="28"/>
          <w:szCs w:val="28"/>
          <w:lang w:eastAsia="en-US"/>
        </w:rPr>
        <w:t xml:space="preserve">, Харківської̈ області та прилеглих областей̆. </w:t>
      </w:r>
      <w:proofErr w:type="spellStart"/>
      <w:r w:rsidRPr="00520861">
        <w:rPr>
          <w:rFonts w:eastAsia="Calibri"/>
          <w:spacing w:val="-4"/>
          <w:sz w:val="28"/>
          <w:szCs w:val="28"/>
          <w:lang w:eastAsia="en-US"/>
        </w:rPr>
        <w:t>In</w:t>
      </w:r>
      <w:proofErr w:type="spellEnd"/>
      <w:r w:rsidRPr="00520861">
        <w:rPr>
          <w:rFonts w:eastAsia="Calibri"/>
          <w:spacing w:val="-4"/>
          <w:sz w:val="28"/>
          <w:szCs w:val="28"/>
          <w:lang w:eastAsia="en-US"/>
        </w:rPr>
        <w:t>: Рябоконь ЄМ. (</w:t>
      </w:r>
      <w:proofErr w:type="spellStart"/>
      <w:r w:rsidRPr="00520861">
        <w:rPr>
          <w:rFonts w:eastAsia="Calibri"/>
          <w:spacing w:val="-4"/>
          <w:sz w:val="28"/>
          <w:szCs w:val="28"/>
          <w:lang w:eastAsia="en-US"/>
        </w:rPr>
        <w:t>ed</w:t>
      </w:r>
      <w:proofErr w:type="spellEnd"/>
      <w:r w:rsidRPr="00520861">
        <w:rPr>
          <w:rFonts w:eastAsia="Calibri"/>
          <w:spacing w:val="-4"/>
          <w:sz w:val="28"/>
          <w:szCs w:val="28"/>
          <w:lang w:eastAsia="en-US"/>
        </w:rPr>
        <w:t xml:space="preserve">.) </w:t>
      </w:r>
      <w:r w:rsidRPr="00520861">
        <w:rPr>
          <w:rFonts w:eastAsia="Calibri"/>
          <w:i/>
          <w:spacing w:val="-4"/>
          <w:sz w:val="28"/>
          <w:szCs w:val="28"/>
          <w:lang w:eastAsia="en-US"/>
        </w:rPr>
        <w:t xml:space="preserve">Питання експериментальної та клінічної стоматології: </w:t>
      </w:r>
      <w:proofErr w:type="spellStart"/>
      <w:r w:rsidRPr="00520861">
        <w:rPr>
          <w:rFonts w:eastAsia="Calibri"/>
          <w:i/>
          <w:spacing w:val="-4"/>
          <w:sz w:val="28"/>
          <w:szCs w:val="28"/>
          <w:lang w:eastAsia="en-US"/>
        </w:rPr>
        <w:t>зб</w:t>
      </w:r>
      <w:proofErr w:type="spellEnd"/>
      <w:r w:rsidRPr="00520861">
        <w:rPr>
          <w:rFonts w:eastAsia="Calibri"/>
          <w:i/>
          <w:spacing w:val="-4"/>
          <w:sz w:val="28"/>
          <w:szCs w:val="28"/>
          <w:lang w:eastAsia="en-US"/>
        </w:rPr>
        <w:t>. наук. праць</w:t>
      </w:r>
      <w:r w:rsidRPr="00520861">
        <w:rPr>
          <w:rFonts w:eastAsia="Calibri"/>
          <w:spacing w:val="-4"/>
          <w:sz w:val="28"/>
          <w:szCs w:val="28"/>
          <w:lang w:eastAsia="en-US"/>
        </w:rPr>
        <w:t xml:space="preserve">. </w:t>
      </w:r>
      <w:r w:rsidRPr="00520861">
        <w:rPr>
          <w:rFonts w:eastAsia="Calibri"/>
          <w:i/>
          <w:spacing w:val="-4"/>
          <w:sz w:val="28"/>
          <w:szCs w:val="28"/>
          <w:lang w:eastAsia="en-US"/>
        </w:rPr>
        <w:t>– Вип.14</w:t>
      </w:r>
      <w:r w:rsidRPr="00520861">
        <w:rPr>
          <w:rFonts w:eastAsia="Calibri"/>
          <w:spacing w:val="-4"/>
          <w:sz w:val="28"/>
          <w:szCs w:val="28"/>
          <w:lang w:eastAsia="en-US"/>
        </w:rPr>
        <w:t xml:space="preserve">. Харків: ФОП </w:t>
      </w:r>
      <w:proofErr w:type="spellStart"/>
      <w:r w:rsidRPr="00520861">
        <w:rPr>
          <w:rFonts w:eastAsia="Calibri"/>
          <w:spacing w:val="-4"/>
          <w:sz w:val="28"/>
          <w:szCs w:val="28"/>
          <w:lang w:eastAsia="en-US"/>
        </w:rPr>
        <w:t>Бровін</w:t>
      </w:r>
      <w:proofErr w:type="spellEnd"/>
      <w:r w:rsidRPr="00520861">
        <w:rPr>
          <w:rFonts w:eastAsia="Calibri"/>
          <w:spacing w:val="-4"/>
          <w:sz w:val="28"/>
          <w:szCs w:val="28"/>
          <w:lang w:eastAsia="en-US"/>
        </w:rPr>
        <w:t xml:space="preserve"> О.В.; 2019. с. 31–35. </w:t>
      </w:r>
      <w:r w:rsidRPr="00520861">
        <w:rPr>
          <w:rFonts w:eastAsia="Calibri"/>
          <w:i/>
          <w:spacing w:val="-4"/>
          <w:sz w:val="28"/>
          <w:szCs w:val="28"/>
          <w:lang w:eastAsia="en-US"/>
        </w:rPr>
        <w:t>(Дисертант</w:t>
      </w:r>
      <w:r w:rsidR="00E91BF7" w:rsidRPr="00520861">
        <w:rPr>
          <w:rFonts w:eastAsia="Calibri"/>
          <w:i/>
          <w:spacing w:val="-4"/>
          <w:sz w:val="28"/>
          <w:szCs w:val="28"/>
          <w:lang w:eastAsia="en-US"/>
        </w:rPr>
        <w:t xml:space="preserve">кою </w:t>
      </w:r>
      <w:r w:rsidR="00F63E10" w:rsidRPr="00520861">
        <w:rPr>
          <w:rFonts w:eastAsia="Calibri"/>
          <w:i/>
          <w:spacing w:val="-4"/>
          <w:sz w:val="28"/>
          <w:szCs w:val="28"/>
          <w:lang w:eastAsia="en-US"/>
        </w:rPr>
        <w:t xml:space="preserve">обґрунтовано концепцію дослідження, </w:t>
      </w:r>
      <w:r w:rsidRPr="00520861">
        <w:rPr>
          <w:rFonts w:eastAsia="Calibri"/>
          <w:i/>
          <w:spacing w:val="-4"/>
          <w:sz w:val="28"/>
          <w:szCs w:val="28"/>
          <w:lang w:eastAsia="en-US"/>
        </w:rPr>
        <w:t>проведено клінічне стоматологічне обстеження</w:t>
      </w:r>
      <w:r w:rsidR="00202641" w:rsidRPr="00520861">
        <w:rPr>
          <w:rFonts w:eastAsia="Calibri"/>
          <w:i/>
          <w:spacing w:val="-4"/>
          <w:sz w:val="28"/>
          <w:szCs w:val="28"/>
          <w:lang w:eastAsia="en-US"/>
        </w:rPr>
        <w:t xml:space="preserve"> пацієнтів</w:t>
      </w:r>
      <w:r w:rsidRPr="00520861">
        <w:rPr>
          <w:rFonts w:eastAsia="Calibri"/>
          <w:i/>
          <w:spacing w:val="-4"/>
          <w:sz w:val="28"/>
          <w:szCs w:val="28"/>
          <w:lang w:eastAsia="en-US"/>
        </w:rPr>
        <w:t xml:space="preserve">, </w:t>
      </w:r>
      <w:r w:rsidR="00F63E10" w:rsidRPr="00520861">
        <w:rPr>
          <w:rFonts w:eastAsia="Calibri"/>
          <w:i/>
          <w:spacing w:val="-4"/>
          <w:sz w:val="28"/>
          <w:szCs w:val="28"/>
          <w:lang w:eastAsia="en-US"/>
        </w:rPr>
        <w:t>здійснено добір первинн</w:t>
      </w:r>
      <w:r w:rsidR="00202641" w:rsidRPr="00520861">
        <w:rPr>
          <w:rFonts w:eastAsia="Calibri"/>
          <w:i/>
          <w:spacing w:val="-4"/>
          <w:sz w:val="28"/>
          <w:szCs w:val="28"/>
          <w:lang w:eastAsia="en-US"/>
        </w:rPr>
        <w:t>о</w:t>
      </w:r>
      <w:r w:rsidR="00F63E10" w:rsidRPr="00520861">
        <w:rPr>
          <w:rFonts w:eastAsia="Calibri"/>
          <w:i/>
          <w:spacing w:val="-4"/>
          <w:sz w:val="28"/>
          <w:szCs w:val="28"/>
          <w:lang w:eastAsia="en-US"/>
        </w:rPr>
        <w:t>го ма</w:t>
      </w:r>
      <w:r w:rsidR="00202641" w:rsidRPr="00520861">
        <w:rPr>
          <w:rFonts w:eastAsia="Calibri"/>
          <w:i/>
          <w:spacing w:val="-4"/>
          <w:sz w:val="28"/>
          <w:szCs w:val="28"/>
          <w:lang w:eastAsia="en-US"/>
        </w:rPr>
        <w:t xml:space="preserve">теріалу, проведено </w:t>
      </w:r>
      <w:r w:rsidR="005D7BE3" w:rsidRPr="00520861">
        <w:rPr>
          <w:rFonts w:eastAsia="Calibri"/>
          <w:bCs/>
          <w:i/>
          <w:sz w:val="28"/>
          <w:szCs w:val="28"/>
          <w:lang w:eastAsia="en-US"/>
        </w:rPr>
        <w:t>статистичну обробку</w:t>
      </w:r>
      <w:r w:rsidR="005D7BE3" w:rsidRPr="00520861">
        <w:rPr>
          <w:rFonts w:eastAsia="Calibri"/>
          <w:i/>
          <w:spacing w:val="-4"/>
          <w:sz w:val="28"/>
          <w:szCs w:val="28"/>
          <w:lang w:eastAsia="en-US"/>
        </w:rPr>
        <w:t xml:space="preserve"> </w:t>
      </w:r>
      <w:r w:rsidR="00202641" w:rsidRPr="00520861">
        <w:rPr>
          <w:rFonts w:eastAsia="Calibri"/>
          <w:i/>
          <w:spacing w:val="-4"/>
          <w:sz w:val="28"/>
          <w:szCs w:val="28"/>
          <w:lang w:eastAsia="en-US"/>
        </w:rPr>
        <w:t xml:space="preserve">даних, </w:t>
      </w:r>
      <w:r w:rsidRPr="00520861">
        <w:rPr>
          <w:rFonts w:eastAsia="Calibri"/>
          <w:i/>
          <w:spacing w:val="-4"/>
          <w:sz w:val="28"/>
          <w:szCs w:val="28"/>
          <w:lang w:eastAsia="en-US"/>
        </w:rPr>
        <w:t>проаналізовано отримані результати та підготовлено тези до друку</w:t>
      </w:r>
      <w:r w:rsidRPr="00520861">
        <w:rPr>
          <w:rFonts w:eastAsia="Calibri"/>
          <w:spacing w:val="-4"/>
          <w:sz w:val="28"/>
          <w:szCs w:val="28"/>
          <w:lang w:eastAsia="en-US"/>
        </w:rPr>
        <w:t>).</w:t>
      </w:r>
    </w:p>
    <w:p w14:paraId="34C5ED61"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 Залежність </w:t>
      </w:r>
      <w:proofErr w:type="spellStart"/>
      <w:r w:rsidRPr="00520861">
        <w:rPr>
          <w:rFonts w:eastAsia="Calibri"/>
          <w:sz w:val="28"/>
          <w:szCs w:val="28"/>
          <w:lang w:eastAsia="en-US"/>
        </w:rPr>
        <w:t>морфофункціонального</w:t>
      </w:r>
      <w:proofErr w:type="spellEnd"/>
      <w:r w:rsidRPr="00520861">
        <w:rPr>
          <w:rFonts w:eastAsia="Calibri"/>
          <w:sz w:val="28"/>
          <w:szCs w:val="28"/>
          <w:lang w:eastAsia="en-US"/>
        </w:rPr>
        <w:t xml:space="preserve"> стану привушних слинних залоз тримісячних щурів,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від їх індексу маси тіла при народженні.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Котвіцька</w:t>
      </w:r>
      <w:proofErr w:type="spellEnd"/>
      <w:r w:rsidRPr="00520861">
        <w:rPr>
          <w:rFonts w:eastAsia="Calibri"/>
          <w:sz w:val="28"/>
          <w:szCs w:val="28"/>
          <w:lang w:eastAsia="en-US"/>
        </w:rPr>
        <w:t xml:space="preserve"> АА. (</w:t>
      </w:r>
      <w:proofErr w:type="spellStart"/>
      <w:r w:rsidRPr="00520861">
        <w:rPr>
          <w:rFonts w:eastAsia="Calibri"/>
          <w:sz w:val="28"/>
          <w:szCs w:val="28"/>
          <w:lang w:eastAsia="en-US"/>
        </w:rPr>
        <w:t>ed</w:t>
      </w:r>
      <w:proofErr w:type="spellEnd"/>
      <w:r w:rsidRPr="00520861">
        <w:rPr>
          <w:rFonts w:eastAsia="Calibri"/>
          <w:sz w:val="28"/>
          <w:szCs w:val="28"/>
          <w:lang w:eastAsia="en-US"/>
        </w:rPr>
        <w:t xml:space="preserve">.) </w:t>
      </w:r>
      <w:r w:rsidRPr="00520861">
        <w:rPr>
          <w:rFonts w:eastAsia="Calibri"/>
          <w:i/>
          <w:sz w:val="28"/>
          <w:szCs w:val="28"/>
          <w:lang w:eastAsia="en-US"/>
        </w:rPr>
        <w:t>Матеріали ІІ наук.-</w:t>
      </w:r>
      <w:proofErr w:type="spellStart"/>
      <w:r w:rsidRPr="00520861">
        <w:rPr>
          <w:rFonts w:eastAsia="Calibri"/>
          <w:i/>
          <w:sz w:val="28"/>
          <w:szCs w:val="28"/>
          <w:lang w:eastAsia="en-US"/>
        </w:rPr>
        <w:t>практ</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internet-конф</w:t>
      </w:r>
      <w:proofErr w:type="spellEnd"/>
      <w:r w:rsidRPr="00520861">
        <w:rPr>
          <w:rFonts w:eastAsia="Calibri"/>
          <w:i/>
          <w:sz w:val="28"/>
          <w:szCs w:val="28"/>
          <w:lang w:eastAsia="en-US"/>
        </w:rPr>
        <w:t>. з міжнародною участю “Механізми розвитку патологічних процесів та їхня фармакологічна корекція” 21 листопада 2019 р</w:t>
      </w:r>
      <w:r w:rsidRPr="00520861">
        <w:rPr>
          <w:rFonts w:eastAsia="Calibri"/>
          <w:sz w:val="28"/>
          <w:szCs w:val="28"/>
          <w:lang w:eastAsia="en-US"/>
        </w:rPr>
        <w:t xml:space="preserve">., </w:t>
      </w:r>
      <w:r w:rsidRPr="00520861">
        <w:rPr>
          <w:rFonts w:eastAsia="Calibri"/>
          <w:i/>
          <w:sz w:val="28"/>
          <w:szCs w:val="28"/>
          <w:lang w:eastAsia="en-US"/>
        </w:rPr>
        <w:t xml:space="preserve"> Харків. </w:t>
      </w:r>
      <w:r w:rsidRPr="00520861">
        <w:rPr>
          <w:rFonts w:eastAsia="Calibri"/>
          <w:sz w:val="28"/>
          <w:szCs w:val="28"/>
          <w:lang w:eastAsia="en-US"/>
        </w:rPr>
        <w:t xml:space="preserve">Харків: Вид-во </w:t>
      </w:r>
      <w:proofErr w:type="spellStart"/>
      <w:r w:rsidRPr="00520861">
        <w:rPr>
          <w:rFonts w:eastAsia="Calibri"/>
          <w:sz w:val="28"/>
          <w:szCs w:val="28"/>
          <w:lang w:eastAsia="en-US"/>
        </w:rPr>
        <w:t>НФаУ</w:t>
      </w:r>
      <w:proofErr w:type="spellEnd"/>
      <w:r w:rsidRPr="00520861">
        <w:rPr>
          <w:rFonts w:eastAsia="Calibri"/>
          <w:sz w:val="28"/>
          <w:szCs w:val="28"/>
          <w:lang w:eastAsia="en-US"/>
        </w:rPr>
        <w:t>; 2019. с. 107–109.</w:t>
      </w:r>
    </w:p>
    <w:p w14:paraId="28307F87"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pacing w:val="-4"/>
          <w:sz w:val="28"/>
          <w:szCs w:val="28"/>
          <w:lang w:eastAsia="en-US"/>
        </w:rPr>
      </w:pPr>
      <w:r w:rsidRPr="00520861">
        <w:rPr>
          <w:rFonts w:eastAsia="Calibri"/>
          <w:sz w:val="28"/>
          <w:szCs w:val="28"/>
          <w:lang w:eastAsia="en-US"/>
        </w:rPr>
        <w:t xml:space="preserve"> </w:t>
      </w:r>
      <w:r w:rsidRPr="00520861">
        <w:rPr>
          <w:rFonts w:eastAsia="Calibri"/>
          <w:spacing w:val="-4"/>
          <w:sz w:val="28"/>
          <w:szCs w:val="28"/>
          <w:lang w:eastAsia="en-US"/>
        </w:rPr>
        <w:t xml:space="preserve">Гармаш ОВ. </w:t>
      </w:r>
      <w:proofErr w:type="spellStart"/>
      <w:r w:rsidRPr="00520861">
        <w:rPr>
          <w:rFonts w:eastAsia="Calibri"/>
          <w:spacing w:val="-4"/>
          <w:sz w:val="28"/>
          <w:szCs w:val="28"/>
          <w:lang w:eastAsia="en-US"/>
        </w:rPr>
        <w:t>Адипокіновий</w:t>
      </w:r>
      <w:proofErr w:type="spellEnd"/>
      <w:r w:rsidRPr="00520861">
        <w:rPr>
          <w:rFonts w:eastAsia="Calibri"/>
          <w:spacing w:val="-4"/>
          <w:sz w:val="28"/>
          <w:szCs w:val="28"/>
          <w:lang w:eastAsia="en-US"/>
        </w:rPr>
        <w:t xml:space="preserve"> профіль у підлітків народжених із </w:t>
      </w:r>
      <w:proofErr w:type="spellStart"/>
      <w:r w:rsidRPr="00520861">
        <w:rPr>
          <w:rFonts w:eastAsia="Calibri"/>
          <w:spacing w:val="-4"/>
          <w:sz w:val="28"/>
          <w:szCs w:val="28"/>
          <w:lang w:eastAsia="en-US"/>
        </w:rPr>
        <w:t>макросомією</w:t>
      </w:r>
      <w:proofErr w:type="spellEnd"/>
      <w:r w:rsidRPr="00520861">
        <w:rPr>
          <w:rFonts w:eastAsia="Calibri"/>
          <w:spacing w:val="-4"/>
          <w:sz w:val="28"/>
          <w:szCs w:val="28"/>
          <w:lang w:eastAsia="en-US"/>
        </w:rPr>
        <w:t xml:space="preserve"> як маркер р</w:t>
      </w:r>
      <w:r w:rsidR="00286EAE" w:rsidRPr="00520861">
        <w:rPr>
          <w:rFonts w:eastAsia="Calibri"/>
          <w:spacing w:val="-4"/>
          <w:sz w:val="28"/>
          <w:szCs w:val="28"/>
          <w:lang w:eastAsia="en-US"/>
        </w:rPr>
        <w:t>озвитку карієсу постійних зубів.</w:t>
      </w:r>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In</w:t>
      </w:r>
      <w:proofErr w:type="spellEnd"/>
      <w:r w:rsidRPr="00520861">
        <w:rPr>
          <w:rFonts w:eastAsia="Calibri"/>
          <w:spacing w:val="-4"/>
          <w:sz w:val="28"/>
          <w:szCs w:val="28"/>
          <w:lang w:eastAsia="en-US"/>
        </w:rPr>
        <w:t xml:space="preserve">: </w:t>
      </w:r>
      <w:r w:rsidRPr="00520861">
        <w:rPr>
          <w:rFonts w:eastAsia="Calibri"/>
          <w:i/>
          <w:spacing w:val="-4"/>
          <w:sz w:val="28"/>
          <w:szCs w:val="28"/>
          <w:lang w:eastAsia="en-US"/>
        </w:rPr>
        <w:t xml:space="preserve">Сучасні питання молекулярно-біохімічних досліджень та лабораторного скринінгу у клінічній та експериментальній медицині-2020: </w:t>
      </w:r>
      <w:proofErr w:type="spellStart"/>
      <w:r w:rsidRPr="00520861">
        <w:rPr>
          <w:rFonts w:eastAsia="Calibri"/>
          <w:i/>
          <w:spacing w:val="-4"/>
          <w:sz w:val="28"/>
          <w:szCs w:val="28"/>
          <w:lang w:eastAsia="en-US"/>
        </w:rPr>
        <w:t>зб</w:t>
      </w:r>
      <w:proofErr w:type="spellEnd"/>
      <w:r w:rsidRPr="00520861">
        <w:rPr>
          <w:rFonts w:eastAsia="Calibri"/>
          <w:i/>
          <w:spacing w:val="-4"/>
          <w:sz w:val="28"/>
          <w:szCs w:val="28"/>
          <w:lang w:eastAsia="en-US"/>
        </w:rPr>
        <w:t>. тез всеукраїнської наук.-</w:t>
      </w:r>
      <w:proofErr w:type="spellStart"/>
      <w:r w:rsidRPr="00520861">
        <w:rPr>
          <w:rFonts w:eastAsia="Calibri"/>
          <w:i/>
          <w:spacing w:val="-4"/>
          <w:sz w:val="28"/>
          <w:szCs w:val="28"/>
          <w:lang w:eastAsia="en-US"/>
        </w:rPr>
        <w:t>практ</w:t>
      </w:r>
      <w:proofErr w:type="spellEnd"/>
      <w:r w:rsidRPr="00520861">
        <w:rPr>
          <w:rFonts w:eastAsia="Calibri"/>
          <w:i/>
          <w:spacing w:val="-4"/>
          <w:sz w:val="28"/>
          <w:szCs w:val="28"/>
          <w:lang w:eastAsia="en-US"/>
        </w:rPr>
        <w:t xml:space="preserve">. </w:t>
      </w:r>
      <w:proofErr w:type="spellStart"/>
      <w:r w:rsidRPr="00520861">
        <w:rPr>
          <w:rFonts w:eastAsia="Calibri"/>
          <w:i/>
          <w:spacing w:val="-4"/>
          <w:sz w:val="28"/>
          <w:szCs w:val="28"/>
          <w:lang w:eastAsia="en-US"/>
        </w:rPr>
        <w:t>конф</w:t>
      </w:r>
      <w:proofErr w:type="spellEnd"/>
      <w:r w:rsidRPr="00520861">
        <w:rPr>
          <w:rFonts w:eastAsia="Calibri"/>
          <w:i/>
          <w:spacing w:val="-4"/>
          <w:sz w:val="28"/>
          <w:szCs w:val="28"/>
          <w:lang w:eastAsia="en-US"/>
        </w:rPr>
        <w:t>. з міжнародною участю 4 – 6 березня 2020 р</w:t>
      </w:r>
      <w:r w:rsidRPr="00520861">
        <w:rPr>
          <w:rFonts w:eastAsia="Calibri"/>
          <w:spacing w:val="-4"/>
          <w:sz w:val="28"/>
          <w:szCs w:val="28"/>
          <w:lang w:eastAsia="en-US"/>
        </w:rPr>
        <w:t xml:space="preserve">., </w:t>
      </w:r>
      <w:r w:rsidRPr="00520861">
        <w:rPr>
          <w:rFonts w:eastAsia="Calibri"/>
          <w:i/>
          <w:spacing w:val="-4"/>
          <w:sz w:val="28"/>
          <w:szCs w:val="28"/>
          <w:lang w:eastAsia="en-US"/>
        </w:rPr>
        <w:t>Запоріжжя.</w:t>
      </w:r>
      <w:r w:rsidRPr="00520861">
        <w:rPr>
          <w:rFonts w:eastAsia="Calibri"/>
          <w:spacing w:val="-4"/>
          <w:sz w:val="28"/>
          <w:szCs w:val="28"/>
          <w:lang w:eastAsia="en-US"/>
        </w:rPr>
        <w:t xml:space="preserve"> Запоріжжя: Запорізький державний мед. ун-т; 2020. с. 26.</w:t>
      </w:r>
    </w:p>
    <w:p w14:paraId="679916FD" w14:textId="77777777" w:rsidR="00176296"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lastRenderedPageBreak/>
        <w:t xml:space="preserve"> Гармаш ОВ. Залежність активності фактору Фон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в слизовій оболонці ротової порожнини у 3-місячних щурів, які народились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від їх масо-ростового показника при народженні.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Ждан</w:t>
      </w:r>
      <w:proofErr w:type="spellEnd"/>
      <w:r w:rsidRPr="00520861">
        <w:rPr>
          <w:rFonts w:eastAsia="Calibri"/>
          <w:sz w:val="28"/>
          <w:szCs w:val="28"/>
          <w:lang w:eastAsia="en-US"/>
        </w:rPr>
        <w:t xml:space="preserve"> ВМ. (</w:t>
      </w:r>
      <w:proofErr w:type="spellStart"/>
      <w:r w:rsidRPr="00520861">
        <w:rPr>
          <w:rFonts w:eastAsia="Calibri"/>
          <w:sz w:val="28"/>
          <w:szCs w:val="28"/>
          <w:lang w:eastAsia="en-US"/>
        </w:rPr>
        <w:t>ed</w:t>
      </w:r>
      <w:proofErr w:type="spellEnd"/>
      <w:r w:rsidRPr="00520861">
        <w:rPr>
          <w:rFonts w:eastAsia="Calibri"/>
          <w:sz w:val="28"/>
          <w:szCs w:val="28"/>
          <w:lang w:eastAsia="en-US"/>
        </w:rPr>
        <w:t xml:space="preserve">.) </w:t>
      </w:r>
      <w:r w:rsidRPr="00520861">
        <w:rPr>
          <w:rFonts w:eastAsia="Calibri"/>
          <w:i/>
          <w:sz w:val="28"/>
          <w:szCs w:val="28"/>
          <w:lang w:eastAsia="en-US"/>
        </w:rPr>
        <w:t>Матеріали ІІ наук.-</w:t>
      </w:r>
      <w:proofErr w:type="spellStart"/>
      <w:r w:rsidRPr="00520861">
        <w:rPr>
          <w:rFonts w:eastAsia="Calibri"/>
          <w:i/>
          <w:sz w:val="28"/>
          <w:szCs w:val="28"/>
          <w:lang w:eastAsia="en-US"/>
        </w:rPr>
        <w:t>практ</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конф</w:t>
      </w:r>
      <w:proofErr w:type="spellEnd"/>
      <w:r w:rsidRPr="00520861">
        <w:rPr>
          <w:rFonts w:eastAsia="Calibri"/>
          <w:i/>
          <w:sz w:val="28"/>
          <w:szCs w:val="28"/>
          <w:lang w:eastAsia="en-US"/>
        </w:rPr>
        <w:t xml:space="preserve">. з міжнародною участю “Сучасні аспекти </w:t>
      </w:r>
      <w:proofErr w:type="spellStart"/>
      <w:r w:rsidRPr="00520861">
        <w:rPr>
          <w:rFonts w:eastAsia="Calibri"/>
          <w:i/>
          <w:sz w:val="28"/>
          <w:szCs w:val="28"/>
          <w:lang w:eastAsia="en-US"/>
        </w:rPr>
        <w:t>вільнорадикальної</w:t>
      </w:r>
      <w:proofErr w:type="spellEnd"/>
      <w:r w:rsidRPr="00520861">
        <w:rPr>
          <w:rFonts w:eastAsia="Calibri"/>
          <w:i/>
          <w:sz w:val="28"/>
          <w:szCs w:val="28"/>
          <w:lang w:eastAsia="en-US"/>
        </w:rPr>
        <w:t xml:space="preserve"> патології в експериментальній та клінічній медицині» 7 – 8 травня 2020 р., Полтава</w:t>
      </w:r>
      <w:r w:rsidRPr="00520861">
        <w:rPr>
          <w:rFonts w:eastAsia="Calibri"/>
          <w:sz w:val="28"/>
          <w:szCs w:val="28"/>
          <w:lang w:eastAsia="en-US"/>
        </w:rPr>
        <w:t>. Полтава: Українська медична стоматологічна академія; 2020. с. 7–10.</w:t>
      </w:r>
    </w:p>
    <w:p w14:paraId="7713C38B"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pacing w:val="-4"/>
          <w:sz w:val="28"/>
          <w:szCs w:val="28"/>
          <w:lang w:eastAsia="en-US"/>
        </w:rPr>
        <w:t xml:space="preserve"> Гармаш ОВ, </w:t>
      </w:r>
      <w:proofErr w:type="spellStart"/>
      <w:r w:rsidRPr="00520861">
        <w:rPr>
          <w:rFonts w:eastAsia="Calibri"/>
          <w:spacing w:val="-4"/>
          <w:sz w:val="28"/>
          <w:szCs w:val="28"/>
          <w:lang w:eastAsia="en-US"/>
        </w:rPr>
        <w:t>Баглик</w:t>
      </w:r>
      <w:proofErr w:type="spellEnd"/>
      <w:r w:rsidRPr="00520861">
        <w:rPr>
          <w:rFonts w:eastAsia="Calibri"/>
          <w:spacing w:val="-4"/>
          <w:sz w:val="28"/>
          <w:szCs w:val="28"/>
          <w:lang w:eastAsia="en-US"/>
        </w:rPr>
        <w:t xml:space="preserve"> ТВ, </w:t>
      </w:r>
      <w:proofErr w:type="spellStart"/>
      <w:r w:rsidRPr="00520861">
        <w:rPr>
          <w:rFonts w:eastAsia="Calibri"/>
          <w:spacing w:val="-4"/>
          <w:sz w:val="28"/>
          <w:szCs w:val="28"/>
          <w:lang w:eastAsia="en-US"/>
        </w:rPr>
        <w:t>Стеблянко</w:t>
      </w:r>
      <w:proofErr w:type="spellEnd"/>
      <w:r w:rsidRPr="00520861">
        <w:rPr>
          <w:rFonts w:eastAsia="Calibri"/>
          <w:spacing w:val="-4"/>
          <w:sz w:val="28"/>
          <w:szCs w:val="28"/>
          <w:lang w:eastAsia="en-US"/>
        </w:rPr>
        <w:t xml:space="preserve"> ЛВ, Соловей ВА. Залежність частоти захворюваності на хронічний катаральний гінгівіт у дітей, які народились </w:t>
      </w:r>
      <w:proofErr w:type="spellStart"/>
      <w:r w:rsidRPr="00520861">
        <w:rPr>
          <w:rFonts w:eastAsia="Calibri"/>
          <w:spacing w:val="-4"/>
          <w:sz w:val="28"/>
          <w:szCs w:val="28"/>
          <w:lang w:eastAsia="en-US"/>
        </w:rPr>
        <w:t>макросомами</w:t>
      </w:r>
      <w:proofErr w:type="spellEnd"/>
      <w:r w:rsidRPr="00520861">
        <w:rPr>
          <w:rFonts w:eastAsia="Calibri"/>
          <w:spacing w:val="-4"/>
          <w:sz w:val="28"/>
          <w:szCs w:val="28"/>
          <w:lang w:eastAsia="en-US"/>
        </w:rPr>
        <w:t xml:space="preserve">, від їх антропометричних показників при народженні. </w:t>
      </w:r>
      <w:proofErr w:type="spellStart"/>
      <w:r w:rsidRPr="00520861">
        <w:rPr>
          <w:rFonts w:eastAsia="Calibri"/>
          <w:spacing w:val="-4"/>
          <w:sz w:val="28"/>
          <w:szCs w:val="28"/>
          <w:lang w:eastAsia="en-US"/>
        </w:rPr>
        <w:t>In</w:t>
      </w:r>
      <w:proofErr w:type="spellEnd"/>
      <w:r w:rsidRPr="00520861">
        <w:rPr>
          <w:rFonts w:eastAsia="Calibri"/>
          <w:spacing w:val="-4"/>
          <w:sz w:val="28"/>
          <w:szCs w:val="28"/>
          <w:lang w:eastAsia="en-US"/>
        </w:rPr>
        <w:t xml:space="preserve">: </w:t>
      </w:r>
      <w:r w:rsidRPr="00520861">
        <w:rPr>
          <w:rFonts w:eastAsia="Calibri"/>
          <w:i/>
          <w:spacing w:val="-4"/>
          <w:sz w:val="28"/>
          <w:szCs w:val="28"/>
          <w:lang w:eastAsia="en-US"/>
        </w:rPr>
        <w:t>Теоретичні та практичні аспекти розвитку сучасної медицини: збірник тез наукових робіт учасників міжнародної науково-практичної конференції 26–27 червня 2020 р.,</w:t>
      </w:r>
      <w:r w:rsidRPr="00520861">
        <w:rPr>
          <w:rFonts w:eastAsia="Calibri"/>
          <w:spacing w:val="-4"/>
          <w:sz w:val="28"/>
          <w:szCs w:val="28"/>
          <w:lang w:eastAsia="en-US"/>
        </w:rPr>
        <w:t xml:space="preserve"> </w:t>
      </w:r>
      <w:r w:rsidRPr="00520861">
        <w:rPr>
          <w:rFonts w:eastAsia="Calibri"/>
          <w:i/>
          <w:spacing w:val="-4"/>
          <w:sz w:val="28"/>
          <w:szCs w:val="28"/>
          <w:lang w:eastAsia="en-US"/>
        </w:rPr>
        <w:t xml:space="preserve">Львів. </w:t>
      </w:r>
      <w:r w:rsidRPr="00520861">
        <w:rPr>
          <w:rFonts w:eastAsia="Calibri"/>
          <w:spacing w:val="-4"/>
          <w:sz w:val="28"/>
          <w:szCs w:val="28"/>
          <w:lang w:eastAsia="en-US"/>
        </w:rPr>
        <w:t xml:space="preserve">Львів: ГО «Львівська медична спільнота»; 2020. с. 6–7. </w:t>
      </w:r>
      <w:r w:rsidRPr="00520861">
        <w:rPr>
          <w:rFonts w:eastAsia="Calibri"/>
          <w:i/>
          <w:spacing w:val="-4"/>
          <w:sz w:val="28"/>
          <w:szCs w:val="28"/>
          <w:lang w:eastAsia="en-US"/>
        </w:rPr>
        <w:t>(</w:t>
      </w:r>
      <w:r w:rsidR="00E91BF7" w:rsidRPr="00520861">
        <w:rPr>
          <w:rFonts w:eastAsia="Calibri"/>
          <w:i/>
          <w:spacing w:val="-4"/>
          <w:sz w:val="28"/>
          <w:szCs w:val="28"/>
          <w:lang w:eastAsia="en-US"/>
        </w:rPr>
        <w:t xml:space="preserve">Дисертанткою </w:t>
      </w:r>
      <w:r w:rsidRPr="00520861">
        <w:rPr>
          <w:rFonts w:eastAsia="Calibri"/>
          <w:i/>
          <w:spacing w:val="-4"/>
          <w:sz w:val="28"/>
          <w:szCs w:val="28"/>
          <w:lang w:eastAsia="en-US"/>
        </w:rPr>
        <w:t>проведено клінічне стоматологічне обстеження</w:t>
      </w:r>
      <w:r w:rsidR="00202641" w:rsidRPr="00520861">
        <w:rPr>
          <w:rFonts w:eastAsia="Calibri"/>
          <w:i/>
          <w:spacing w:val="-4"/>
          <w:sz w:val="28"/>
          <w:szCs w:val="28"/>
          <w:lang w:eastAsia="en-US"/>
        </w:rPr>
        <w:t xml:space="preserve"> пацієнтів</w:t>
      </w:r>
      <w:r w:rsidRPr="00520861">
        <w:rPr>
          <w:rFonts w:eastAsia="Calibri"/>
          <w:i/>
          <w:spacing w:val="-4"/>
          <w:sz w:val="28"/>
          <w:szCs w:val="28"/>
          <w:lang w:eastAsia="en-US"/>
        </w:rPr>
        <w:t xml:space="preserve">, </w:t>
      </w:r>
      <w:r w:rsidR="00202641" w:rsidRPr="00520861">
        <w:rPr>
          <w:rFonts w:eastAsia="Calibri"/>
          <w:i/>
          <w:spacing w:val="-4"/>
          <w:sz w:val="28"/>
          <w:szCs w:val="28"/>
          <w:lang w:eastAsia="en-US"/>
        </w:rPr>
        <w:t xml:space="preserve">проведено статистичне оброблення даних і </w:t>
      </w:r>
      <w:r w:rsidRPr="00520861">
        <w:rPr>
          <w:rFonts w:eastAsia="Calibri"/>
          <w:i/>
          <w:spacing w:val="-4"/>
          <w:sz w:val="28"/>
          <w:szCs w:val="28"/>
          <w:lang w:eastAsia="en-US"/>
        </w:rPr>
        <w:t>проа</w:t>
      </w:r>
      <w:r w:rsidR="00202641" w:rsidRPr="00520861">
        <w:rPr>
          <w:rFonts w:eastAsia="Calibri"/>
          <w:i/>
          <w:spacing w:val="-4"/>
          <w:sz w:val="28"/>
          <w:szCs w:val="28"/>
          <w:lang w:eastAsia="en-US"/>
        </w:rPr>
        <w:t>налізовано отримані результати,</w:t>
      </w:r>
      <w:r w:rsidRPr="00520861">
        <w:rPr>
          <w:rFonts w:eastAsia="Calibri"/>
          <w:i/>
          <w:spacing w:val="-4"/>
          <w:sz w:val="28"/>
          <w:szCs w:val="28"/>
          <w:lang w:eastAsia="en-US"/>
        </w:rPr>
        <w:t xml:space="preserve"> підготовлено тези до друку</w:t>
      </w:r>
      <w:r w:rsidRPr="00520861">
        <w:rPr>
          <w:rFonts w:eastAsia="Calibri"/>
          <w:spacing w:val="-4"/>
          <w:sz w:val="28"/>
          <w:szCs w:val="28"/>
          <w:lang w:eastAsia="en-US"/>
        </w:rPr>
        <w:t>).</w:t>
      </w:r>
    </w:p>
    <w:p w14:paraId="4C41B151" w14:textId="77777777" w:rsidR="003A7FA3" w:rsidRPr="00520861" w:rsidRDefault="003A7FA3" w:rsidP="00292D2E">
      <w:pPr>
        <w:widowControl w:val="0"/>
        <w:spacing w:line="360" w:lineRule="auto"/>
        <w:ind w:firstLine="708"/>
        <w:contextualSpacing/>
        <w:jc w:val="both"/>
        <w:rPr>
          <w:b/>
          <w:spacing w:val="-2"/>
          <w:sz w:val="28"/>
          <w:szCs w:val="28"/>
        </w:rPr>
      </w:pPr>
      <w:r w:rsidRPr="00520861">
        <w:rPr>
          <w:b/>
          <w:spacing w:val="-2"/>
          <w:sz w:val="28"/>
          <w:szCs w:val="28"/>
        </w:rPr>
        <w:t>Наукові праці, які додатково відображають наукові результати дисертації:</w:t>
      </w:r>
    </w:p>
    <w:p w14:paraId="0F3C5A27"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Гармаш ОВ, Рябоконь ЄМ, Губіна-</w:t>
      </w:r>
      <w:proofErr w:type="spellStart"/>
      <w:r w:rsidRPr="00520861">
        <w:rPr>
          <w:rFonts w:eastAsia="Calibri"/>
          <w:sz w:val="28"/>
          <w:szCs w:val="28"/>
          <w:lang w:eastAsia="en-US"/>
        </w:rPr>
        <w:t>Вакулік</w:t>
      </w:r>
      <w:proofErr w:type="spellEnd"/>
      <w:r w:rsidRPr="00520861">
        <w:rPr>
          <w:rFonts w:eastAsia="Calibri"/>
          <w:sz w:val="28"/>
          <w:szCs w:val="28"/>
          <w:lang w:eastAsia="en-US"/>
        </w:rPr>
        <w:t xml:space="preserve"> ГІ, винахідники; Харківський національний мед. ун-т, патентовласник. Спосіб моделювання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плоду в експерименті. Патент України №123084 U, МПК G 09 N 23/28 (2006.01) / (UA). 2018 </w:t>
      </w:r>
      <w:proofErr w:type="spellStart"/>
      <w:r w:rsidRPr="00520861">
        <w:rPr>
          <w:rFonts w:eastAsia="Calibri"/>
          <w:sz w:val="28"/>
          <w:szCs w:val="28"/>
          <w:lang w:eastAsia="en-US"/>
        </w:rPr>
        <w:t>лют</w:t>
      </w:r>
      <w:proofErr w:type="spellEnd"/>
      <w:r w:rsidRPr="00520861">
        <w:rPr>
          <w:rFonts w:eastAsia="Calibri"/>
          <w:sz w:val="28"/>
          <w:szCs w:val="28"/>
          <w:lang w:eastAsia="en-US"/>
        </w:rPr>
        <w:t>. 12. (</w:t>
      </w:r>
      <w:r w:rsidRPr="00520861">
        <w:rPr>
          <w:rFonts w:eastAsia="Calibri"/>
          <w:i/>
          <w:sz w:val="28"/>
          <w:szCs w:val="28"/>
          <w:lang w:eastAsia="en-US"/>
        </w:rPr>
        <w:t>Дисертанткою запропоновано</w:t>
      </w:r>
      <w:r w:rsidR="00EC41CA" w:rsidRPr="00520861">
        <w:rPr>
          <w:rFonts w:eastAsia="Calibri"/>
          <w:i/>
          <w:sz w:val="28"/>
          <w:szCs w:val="28"/>
          <w:lang w:eastAsia="en-US"/>
        </w:rPr>
        <w:t xml:space="preserve"> </w:t>
      </w:r>
      <w:r w:rsidRPr="00520861">
        <w:rPr>
          <w:rFonts w:eastAsia="Calibri"/>
          <w:i/>
          <w:sz w:val="28"/>
          <w:szCs w:val="28"/>
          <w:lang w:eastAsia="en-US"/>
        </w:rPr>
        <w:t xml:space="preserve">спосіб експериментального моделювання </w:t>
      </w:r>
      <w:proofErr w:type="spellStart"/>
      <w:r w:rsidRPr="00520861">
        <w:rPr>
          <w:rFonts w:eastAsia="Calibri"/>
          <w:i/>
          <w:sz w:val="28"/>
          <w:szCs w:val="28"/>
          <w:lang w:eastAsia="en-US"/>
        </w:rPr>
        <w:t>макросомії</w:t>
      </w:r>
      <w:proofErr w:type="spellEnd"/>
      <w:r w:rsidRPr="00520861">
        <w:rPr>
          <w:rFonts w:eastAsia="Calibri"/>
          <w:i/>
          <w:sz w:val="28"/>
          <w:szCs w:val="28"/>
          <w:lang w:eastAsia="en-US"/>
        </w:rPr>
        <w:t xml:space="preserve"> плода</w:t>
      </w:r>
      <w:r w:rsidR="00EC41CA" w:rsidRPr="00520861">
        <w:rPr>
          <w:rFonts w:eastAsia="Calibri"/>
          <w:i/>
          <w:sz w:val="28"/>
          <w:szCs w:val="28"/>
          <w:lang w:eastAsia="en-US"/>
        </w:rPr>
        <w:t xml:space="preserve">, зібрано </w:t>
      </w:r>
      <w:r w:rsidR="00F63E10" w:rsidRPr="00520861">
        <w:rPr>
          <w:rFonts w:eastAsia="Calibri"/>
          <w:i/>
          <w:sz w:val="28"/>
          <w:szCs w:val="28"/>
          <w:lang w:eastAsia="en-US"/>
        </w:rPr>
        <w:t xml:space="preserve">первинний </w:t>
      </w:r>
      <w:r w:rsidR="00EC41CA" w:rsidRPr="00520861">
        <w:rPr>
          <w:rFonts w:eastAsia="Calibri"/>
          <w:i/>
          <w:sz w:val="28"/>
          <w:szCs w:val="28"/>
          <w:lang w:eastAsia="en-US"/>
        </w:rPr>
        <w:t xml:space="preserve">матеріал, </w:t>
      </w:r>
      <w:r w:rsidR="00202641" w:rsidRPr="00520861">
        <w:rPr>
          <w:rFonts w:eastAsia="Calibri"/>
          <w:i/>
          <w:sz w:val="28"/>
          <w:szCs w:val="28"/>
          <w:lang w:eastAsia="en-US"/>
        </w:rPr>
        <w:t>виконано статистичне оброблення даних і пр</w:t>
      </w:r>
      <w:r w:rsidR="00EC41CA" w:rsidRPr="00520861">
        <w:rPr>
          <w:rFonts w:eastAsia="Calibri"/>
          <w:i/>
          <w:sz w:val="28"/>
          <w:szCs w:val="28"/>
          <w:lang w:eastAsia="en-US"/>
        </w:rPr>
        <w:t>о</w:t>
      </w:r>
      <w:r w:rsidR="00202641" w:rsidRPr="00520861">
        <w:rPr>
          <w:rFonts w:eastAsia="Calibri"/>
          <w:i/>
          <w:sz w:val="28"/>
          <w:szCs w:val="28"/>
          <w:lang w:eastAsia="en-US"/>
        </w:rPr>
        <w:t>аналізовано</w:t>
      </w:r>
      <w:r w:rsidR="00EC41CA" w:rsidRPr="00520861">
        <w:rPr>
          <w:rFonts w:eastAsia="Calibri"/>
          <w:i/>
          <w:sz w:val="28"/>
          <w:szCs w:val="28"/>
          <w:lang w:eastAsia="en-US"/>
        </w:rPr>
        <w:t xml:space="preserve"> результати, написано формулу корисної моделі та підготовлено текст заявки</w:t>
      </w:r>
      <w:r w:rsidRPr="00520861">
        <w:rPr>
          <w:rFonts w:eastAsia="Calibri"/>
          <w:i/>
          <w:sz w:val="28"/>
          <w:szCs w:val="28"/>
          <w:lang w:eastAsia="en-US"/>
        </w:rPr>
        <w:t>).</w:t>
      </w:r>
    </w:p>
    <w:p w14:paraId="195B48F6"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
          <w:iCs/>
          <w:spacing w:val="-3"/>
          <w:sz w:val="28"/>
          <w:szCs w:val="28"/>
          <w:lang w:eastAsia="en-US"/>
        </w:rPr>
      </w:pPr>
      <w:r w:rsidRPr="00520861">
        <w:rPr>
          <w:rFonts w:eastAsia="Calibri"/>
          <w:sz w:val="28"/>
          <w:szCs w:val="28"/>
          <w:lang w:eastAsia="en-US"/>
        </w:rPr>
        <w:t xml:space="preserve"> </w:t>
      </w:r>
      <w:r w:rsidRPr="00520861">
        <w:rPr>
          <w:rFonts w:eastAsia="Calibri"/>
          <w:spacing w:val="-3"/>
          <w:sz w:val="28"/>
          <w:szCs w:val="28"/>
          <w:lang w:eastAsia="en-US"/>
        </w:rPr>
        <w:t xml:space="preserve">Гармаш ОВ, Рябоконь ЄМ, </w:t>
      </w:r>
      <w:proofErr w:type="spellStart"/>
      <w:r w:rsidRPr="00520861">
        <w:rPr>
          <w:rFonts w:eastAsia="Calibri"/>
          <w:spacing w:val="-3"/>
          <w:sz w:val="28"/>
          <w:szCs w:val="28"/>
          <w:lang w:eastAsia="en-US"/>
        </w:rPr>
        <w:t>Коробчанський</w:t>
      </w:r>
      <w:proofErr w:type="spellEnd"/>
      <w:r w:rsidRPr="00520861">
        <w:rPr>
          <w:rFonts w:eastAsia="Calibri"/>
          <w:spacing w:val="-3"/>
          <w:sz w:val="28"/>
          <w:szCs w:val="28"/>
          <w:lang w:eastAsia="en-US"/>
        </w:rPr>
        <w:t xml:space="preserve"> ВО, винахідники; Харківський національний мед. ун-т, патентовласник. Спосіб оцінювання ризику розвитку патології тканин </w:t>
      </w:r>
      <w:proofErr w:type="spellStart"/>
      <w:r w:rsidRPr="00520861">
        <w:rPr>
          <w:rFonts w:eastAsia="Calibri"/>
          <w:spacing w:val="-3"/>
          <w:sz w:val="28"/>
          <w:szCs w:val="28"/>
          <w:lang w:eastAsia="en-US"/>
        </w:rPr>
        <w:t>пародонта</w:t>
      </w:r>
      <w:proofErr w:type="spellEnd"/>
      <w:r w:rsidRPr="00520861">
        <w:rPr>
          <w:rFonts w:eastAsia="Calibri"/>
          <w:spacing w:val="-3"/>
          <w:sz w:val="28"/>
          <w:szCs w:val="28"/>
          <w:lang w:eastAsia="en-US"/>
        </w:rPr>
        <w:t xml:space="preserve"> й твердих тканин зубів у пацієнтів, які народилися з діагнозом </w:t>
      </w:r>
      <w:proofErr w:type="spellStart"/>
      <w:r w:rsidRPr="00520861">
        <w:rPr>
          <w:rFonts w:eastAsia="Calibri"/>
          <w:spacing w:val="-3"/>
          <w:sz w:val="28"/>
          <w:szCs w:val="28"/>
          <w:lang w:eastAsia="en-US"/>
        </w:rPr>
        <w:t>макросомія</w:t>
      </w:r>
      <w:proofErr w:type="spellEnd"/>
      <w:r w:rsidRPr="00520861">
        <w:rPr>
          <w:rFonts w:eastAsia="Calibri"/>
          <w:spacing w:val="-3"/>
          <w:sz w:val="28"/>
          <w:szCs w:val="28"/>
          <w:lang w:eastAsia="en-US"/>
        </w:rPr>
        <w:t xml:space="preserve"> (Додаток до історії хвороби). Свідоцтво про реєстрацію авторського права на твір № 60029. 2015 черв. 05. </w:t>
      </w:r>
      <w:r w:rsidRPr="00520861">
        <w:rPr>
          <w:rFonts w:eastAsia="Calibri"/>
          <w:i/>
          <w:spacing w:val="-3"/>
          <w:sz w:val="28"/>
          <w:szCs w:val="28"/>
          <w:lang w:eastAsia="en-US"/>
        </w:rPr>
        <w:t>(</w:t>
      </w:r>
      <w:r w:rsidR="00722CA3" w:rsidRPr="00520861">
        <w:rPr>
          <w:rFonts w:eastAsia="Calibri"/>
          <w:i/>
          <w:spacing w:val="-3"/>
          <w:sz w:val="28"/>
          <w:szCs w:val="28"/>
          <w:lang w:eastAsia="en-US"/>
        </w:rPr>
        <w:t>Особистий внесок</w:t>
      </w:r>
      <w:r w:rsidR="00722CA3" w:rsidRPr="00520861">
        <w:rPr>
          <w:rFonts w:eastAsia="Calibri"/>
          <w:i/>
          <w:sz w:val="28"/>
          <w:szCs w:val="28"/>
          <w:lang w:eastAsia="en-US"/>
        </w:rPr>
        <w:t xml:space="preserve"> – </w:t>
      </w:r>
      <w:r w:rsidR="008D3AD1" w:rsidRPr="00520861">
        <w:rPr>
          <w:rFonts w:eastAsia="Calibri"/>
          <w:i/>
          <w:spacing w:val="-4"/>
          <w:sz w:val="28"/>
          <w:szCs w:val="28"/>
          <w:lang w:eastAsia="en-US"/>
        </w:rPr>
        <w:t>обґрунтування</w:t>
      </w:r>
      <w:r w:rsidR="00722CA3" w:rsidRPr="00520861">
        <w:rPr>
          <w:rFonts w:eastAsia="Calibri"/>
          <w:i/>
          <w:spacing w:val="-4"/>
          <w:sz w:val="28"/>
          <w:szCs w:val="28"/>
          <w:lang w:eastAsia="en-US"/>
        </w:rPr>
        <w:t xml:space="preserve"> </w:t>
      </w:r>
      <w:r w:rsidR="001352D5" w:rsidRPr="00520861">
        <w:rPr>
          <w:rFonts w:eastAsia="Calibri"/>
          <w:i/>
          <w:spacing w:val="-4"/>
          <w:sz w:val="28"/>
          <w:szCs w:val="28"/>
          <w:lang w:eastAsia="en-US"/>
        </w:rPr>
        <w:t xml:space="preserve">концепції </w:t>
      </w:r>
      <w:r w:rsidRPr="00520861">
        <w:rPr>
          <w:rFonts w:eastAsia="Calibri"/>
          <w:i/>
          <w:spacing w:val="-4"/>
          <w:sz w:val="28"/>
          <w:szCs w:val="28"/>
          <w:lang w:eastAsia="en-US"/>
        </w:rPr>
        <w:t xml:space="preserve">створення інструменту дослідження, </w:t>
      </w:r>
      <w:r w:rsidR="00722CA3" w:rsidRPr="00520861">
        <w:rPr>
          <w:rFonts w:eastAsia="Calibri"/>
          <w:i/>
          <w:spacing w:val="-4"/>
          <w:sz w:val="28"/>
          <w:szCs w:val="28"/>
          <w:lang w:eastAsia="en-US"/>
        </w:rPr>
        <w:t>здійснення</w:t>
      </w:r>
      <w:r w:rsidR="00D322E2" w:rsidRPr="00520861">
        <w:rPr>
          <w:rFonts w:eastAsia="Calibri"/>
          <w:i/>
          <w:spacing w:val="-4"/>
          <w:sz w:val="28"/>
          <w:szCs w:val="28"/>
          <w:lang w:eastAsia="en-US"/>
        </w:rPr>
        <w:t xml:space="preserve"> </w:t>
      </w:r>
      <w:r w:rsidR="00722CA3" w:rsidRPr="00520861">
        <w:rPr>
          <w:rFonts w:eastAsia="Calibri"/>
          <w:i/>
          <w:spacing w:val="-4"/>
          <w:sz w:val="28"/>
          <w:szCs w:val="28"/>
          <w:lang w:eastAsia="en-US"/>
        </w:rPr>
        <w:t>добору запитань до</w:t>
      </w:r>
      <w:r w:rsidRPr="00520861">
        <w:rPr>
          <w:rFonts w:eastAsia="Calibri"/>
          <w:i/>
          <w:spacing w:val="-4"/>
          <w:sz w:val="28"/>
          <w:szCs w:val="28"/>
          <w:lang w:eastAsia="en-US"/>
        </w:rPr>
        <w:t xml:space="preserve"> скринінг-опитувальника</w:t>
      </w:r>
      <w:r w:rsidR="003A6145" w:rsidRPr="00520861">
        <w:rPr>
          <w:rFonts w:eastAsia="Calibri"/>
          <w:i/>
          <w:spacing w:val="-4"/>
          <w:sz w:val="28"/>
          <w:szCs w:val="28"/>
          <w:lang w:eastAsia="en-US"/>
        </w:rPr>
        <w:t>,</w:t>
      </w:r>
      <w:r w:rsidRPr="00520861">
        <w:rPr>
          <w:rFonts w:eastAsia="Calibri"/>
          <w:i/>
          <w:spacing w:val="-4"/>
          <w:sz w:val="28"/>
          <w:szCs w:val="28"/>
          <w:lang w:eastAsia="en-US"/>
        </w:rPr>
        <w:t xml:space="preserve"> </w:t>
      </w:r>
      <w:r w:rsidR="00722CA3" w:rsidRPr="00520861">
        <w:rPr>
          <w:rFonts w:eastAsia="Calibri"/>
          <w:i/>
          <w:spacing w:val="-4"/>
          <w:sz w:val="28"/>
          <w:szCs w:val="28"/>
          <w:lang w:eastAsia="en-US"/>
        </w:rPr>
        <w:t>безпосередня</w:t>
      </w:r>
      <w:r w:rsidRPr="00520861">
        <w:rPr>
          <w:rFonts w:eastAsia="Calibri"/>
          <w:i/>
          <w:spacing w:val="-4"/>
          <w:sz w:val="28"/>
          <w:szCs w:val="28"/>
          <w:lang w:eastAsia="en-US"/>
        </w:rPr>
        <w:t xml:space="preserve"> участь у трактуванні результатів опитування</w:t>
      </w:r>
      <w:r w:rsidR="003A6145" w:rsidRPr="00520861">
        <w:rPr>
          <w:rFonts w:eastAsia="Calibri"/>
          <w:i/>
          <w:spacing w:val="-4"/>
          <w:sz w:val="28"/>
          <w:szCs w:val="28"/>
          <w:lang w:eastAsia="en-US"/>
        </w:rPr>
        <w:t>,</w:t>
      </w:r>
      <w:r w:rsidRPr="00520861">
        <w:rPr>
          <w:rFonts w:eastAsia="Calibri"/>
          <w:i/>
          <w:spacing w:val="-4"/>
          <w:sz w:val="28"/>
          <w:szCs w:val="28"/>
          <w:lang w:eastAsia="en-US"/>
        </w:rPr>
        <w:t xml:space="preserve"> </w:t>
      </w:r>
      <w:r w:rsidR="003A6145" w:rsidRPr="00520861">
        <w:rPr>
          <w:rFonts w:eastAsia="Calibri"/>
          <w:i/>
          <w:spacing w:val="-4"/>
          <w:sz w:val="28"/>
          <w:szCs w:val="28"/>
          <w:lang w:eastAsia="en-US"/>
        </w:rPr>
        <w:t>компонування та дизайн</w:t>
      </w:r>
      <w:r w:rsidRPr="00520861">
        <w:rPr>
          <w:rFonts w:eastAsia="Calibri"/>
          <w:i/>
          <w:spacing w:val="-4"/>
          <w:sz w:val="28"/>
          <w:szCs w:val="28"/>
          <w:lang w:eastAsia="en-US"/>
        </w:rPr>
        <w:t xml:space="preserve"> опитувальника).</w:t>
      </w:r>
    </w:p>
    <w:p w14:paraId="5E0AC115"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lastRenderedPageBreak/>
        <w:t xml:space="preserve"> Гармаш ОВ, Рябоконь ЄМ, </w:t>
      </w:r>
      <w:proofErr w:type="spellStart"/>
      <w:r w:rsidRPr="00520861">
        <w:rPr>
          <w:rFonts w:eastAsia="Calibri"/>
          <w:sz w:val="28"/>
          <w:szCs w:val="28"/>
          <w:lang w:eastAsia="en-US"/>
        </w:rPr>
        <w:t>Коробчанський</w:t>
      </w:r>
      <w:proofErr w:type="spellEnd"/>
      <w:r w:rsidRPr="00520861">
        <w:rPr>
          <w:rFonts w:eastAsia="Calibri"/>
          <w:sz w:val="28"/>
          <w:szCs w:val="28"/>
          <w:lang w:eastAsia="en-US"/>
        </w:rPr>
        <w:t xml:space="preserve"> ВО, винахідники; Харківський національний мед. ун-т, патентовласник. Прогнозування ризику порушень </w:t>
      </w:r>
      <w:proofErr w:type="spellStart"/>
      <w:r w:rsidRPr="00520861">
        <w:rPr>
          <w:rFonts w:eastAsia="Calibri"/>
          <w:sz w:val="28"/>
          <w:szCs w:val="28"/>
          <w:lang w:eastAsia="en-US"/>
        </w:rPr>
        <w:t>зубо</w:t>
      </w:r>
      <w:proofErr w:type="spellEnd"/>
      <w:r w:rsidRPr="00520861">
        <w:rPr>
          <w:rFonts w:eastAsia="Calibri"/>
          <w:sz w:val="28"/>
          <w:szCs w:val="28"/>
          <w:lang w:eastAsia="en-US"/>
        </w:rPr>
        <w:t>-</w:t>
      </w:r>
      <w:r w:rsidR="00056288" w:rsidRPr="00520861">
        <w:rPr>
          <w:rFonts w:eastAsia="Calibri"/>
          <w:sz w:val="28"/>
          <w:szCs w:val="28"/>
          <w:lang w:eastAsia="en-US"/>
        </w:rPr>
        <w:br/>
      </w:r>
      <w:r w:rsidRPr="00520861">
        <w:rPr>
          <w:rFonts w:eastAsia="Calibri"/>
          <w:sz w:val="28"/>
          <w:szCs w:val="28"/>
          <w:lang w:eastAsia="en-US"/>
        </w:rPr>
        <w:t xml:space="preserve">щелепної системи в новонароджених та дітей грудного віку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(додаток до карти розвитку новонародженого, історії розвитку дитини або медичної карти стаціонарного хворого). Свідоцтво про реєстрацію авторського права на твір № 64101. 2016 </w:t>
      </w:r>
      <w:proofErr w:type="spellStart"/>
      <w:r w:rsidRPr="00520861">
        <w:rPr>
          <w:rFonts w:eastAsia="Calibri"/>
          <w:sz w:val="28"/>
          <w:szCs w:val="28"/>
          <w:lang w:eastAsia="en-US"/>
        </w:rPr>
        <w:t>лют</w:t>
      </w:r>
      <w:proofErr w:type="spellEnd"/>
      <w:r w:rsidRPr="00520861">
        <w:rPr>
          <w:rFonts w:eastAsia="Calibri"/>
          <w:sz w:val="28"/>
          <w:szCs w:val="28"/>
          <w:lang w:eastAsia="en-US"/>
        </w:rPr>
        <w:t xml:space="preserve">. 15. </w:t>
      </w:r>
      <w:r w:rsidR="008D3AD1" w:rsidRPr="00520861">
        <w:rPr>
          <w:rFonts w:eastAsia="Calibri"/>
          <w:i/>
          <w:spacing w:val="-3"/>
          <w:sz w:val="28"/>
          <w:szCs w:val="28"/>
          <w:lang w:eastAsia="en-US"/>
        </w:rPr>
        <w:t>(</w:t>
      </w:r>
      <w:r w:rsidR="003A6145" w:rsidRPr="00520861">
        <w:rPr>
          <w:rFonts w:eastAsia="Calibri"/>
          <w:i/>
          <w:spacing w:val="-3"/>
          <w:sz w:val="28"/>
          <w:szCs w:val="28"/>
          <w:lang w:eastAsia="en-US"/>
        </w:rPr>
        <w:t>Особистий внесок</w:t>
      </w:r>
      <w:r w:rsidR="003A6145" w:rsidRPr="00520861">
        <w:rPr>
          <w:rFonts w:eastAsia="Calibri"/>
          <w:i/>
          <w:sz w:val="28"/>
          <w:szCs w:val="28"/>
          <w:lang w:eastAsia="en-US"/>
        </w:rPr>
        <w:t xml:space="preserve"> – </w:t>
      </w:r>
      <w:r w:rsidR="003A6145" w:rsidRPr="00520861">
        <w:rPr>
          <w:rFonts w:eastAsia="Calibri"/>
          <w:i/>
          <w:spacing w:val="-4"/>
          <w:sz w:val="28"/>
          <w:szCs w:val="28"/>
          <w:lang w:eastAsia="en-US"/>
        </w:rPr>
        <w:t>обґрунтування концепції створення інструменту дослідження, здійснення добору запитань до скринінг-опитувальника, безпосередня участь у трактуванні результатів опитування, компонування та дизайн опитувальника</w:t>
      </w:r>
      <w:r w:rsidR="00722CA3" w:rsidRPr="00520861">
        <w:rPr>
          <w:rFonts w:eastAsia="Calibri"/>
          <w:i/>
          <w:spacing w:val="-4"/>
          <w:sz w:val="28"/>
          <w:szCs w:val="28"/>
          <w:lang w:eastAsia="en-US"/>
        </w:rPr>
        <w:t>).</w:t>
      </w:r>
    </w:p>
    <w:p w14:paraId="5D9E39EA"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pacing w:val="-6"/>
          <w:sz w:val="28"/>
          <w:szCs w:val="28"/>
          <w:lang w:eastAsia="en-US"/>
        </w:rPr>
      </w:pPr>
      <w:r w:rsidRPr="00520861">
        <w:rPr>
          <w:rFonts w:eastAsia="Calibri"/>
          <w:sz w:val="28"/>
          <w:szCs w:val="28"/>
          <w:lang w:eastAsia="en-US"/>
        </w:rPr>
        <w:t xml:space="preserve"> Гармаш ОВ, Рябоконь ЄМ, </w:t>
      </w:r>
      <w:proofErr w:type="spellStart"/>
      <w:r w:rsidRPr="00520861">
        <w:rPr>
          <w:rFonts w:eastAsia="Calibri"/>
          <w:sz w:val="28"/>
          <w:szCs w:val="28"/>
          <w:lang w:eastAsia="en-US"/>
        </w:rPr>
        <w:t>Коробчанський</w:t>
      </w:r>
      <w:proofErr w:type="spellEnd"/>
      <w:r w:rsidRPr="00520861">
        <w:rPr>
          <w:rFonts w:eastAsia="Calibri"/>
          <w:sz w:val="28"/>
          <w:szCs w:val="28"/>
          <w:lang w:eastAsia="en-US"/>
        </w:rPr>
        <w:t xml:space="preserve"> ВО, винахідники; Харківський національний мед. ун-т, патентовласник. Спосіб оцінювання ризику розвитку патології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й твердих тканин зубів у дітей та підлітків, які народилися з діагнозом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(Додаток до історії розвитку дитини або медичної карти стаціонарного хворого). Свідоцтво про реєстрацію авторського права на твір № 73169. 2017 лип. 26. </w:t>
      </w:r>
      <w:r w:rsidR="00722CA3" w:rsidRPr="00520861">
        <w:rPr>
          <w:rFonts w:eastAsia="Calibri"/>
          <w:i/>
          <w:spacing w:val="-6"/>
          <w:sz w:val="28"/>
          <w:szCs w:val="28"/>
          <w:lang w:eastAsia="en-US"/>
        </w:rPr>
        <w:t>(</w:t>
      </w:r>
      <w:r w:rsidR="003A6145" w:rsidRPr="00520861">
        <w:rPr>
          <w:rFonts w:eastAsia="Calibri"/>
          <w:i/>
          <w:spacing w:val="-6"/>
          <w:sz w:val="28"/>
          <w:szCs w:val="28"/>
          <w:lang w:eastAsia="en-US"/>
        </w:rPr>
        <w:t>Особистий внесок – обґрунтування концепції створення інструменту дослідження, здійснення добору запитань до скринінг-опитувальника, участь у трактуванні результатів опитування, компонування та дизайн опитувальника</w:t>
      </w:r>
      <w:r w:rsidR="00722CA3" w:rsidRPr="00520861">
        <w:rPr>
          <w:rFonts w:eastAsia="Calibri"/>
          <w:i/>
          <w:spacing w:val="-6"/>
          <w:sz w:val="28"/>
          <w:szCs w:val="28"/>
          <w:lang w:eastAsia="en-US"/>
        </w:rPr>
        <w:t>).</w:t>
      </w:r>
    </w:p>
    <w:p w14:paraId="1A20A671"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
          <w:iCs/>
          <w:sz w:val="28"/>
          <w:szCs w:val="28"/>
          <w:lang w:eastAsia="en-US"/>
        </w:rPr>
      </w:pPr>
      <w:r w:rsidRPr="00520861">
        <w:rPr>
          <w:rFonts w:eastAsia="Calibri"/>
          <w:sz w:val="28"/>
          <w:szCs w:val="28"/>
          <w:lang w:eastAsia="en-US"/>
        </w:rPr>
        <w:t xml:space="preserve"> Гармаш ОВ, Рябоконь ЄМ, винахідники; Харківський національний мед. ун-т, патентовласник. Карта реєстрації стоматологічного статусу новонародженого та дитини грудного віку (додаток до карти розвитку новонародженого, історії розвитку дитини або медичної карти стаціонарного хворого). Свідоцтво про реєстрацію авторського права на твір № 64148. 2016 </w:t>
      </w:r>
      <w:proofErr w:type="spellStart"/>
      <w:r w:rsidRPr="00520861">
        <w:rPr>
          <w:rFonts w:eastAsia="Calibri"/>
          <w:sz w:val="28"/>
          <w:szCs w:val="28"/>
          <w:lang w:eastAsia="en-US"/>
        </w:rPr>
        <w:t>лют</w:t>
      </w:r>
      <w:proofErr w:type="spellEnd"/>
      <w:r w:rsidRPr="00520861">
        <w:rPr>
          <w:rFonts w:eastAsia="Calibri"/>
          <w:sz w:val="28"/>
          <w:szCs w:val="28"/>
          <w:lang w:eastAsia="en-US"/>
        </w:rPr>
        <w:t xml:space="preserve">. 16. </w:t>
      </w:r>
      <w:r w:rsidRPr="00520861">
        <w:rPr>
          <w:rFonts w:eastAsia="Calibri"/>
          <w:i/>
          <w:sz w:val="28"/>
          <w:szCs w:val="28"/>
          <w:lang w:eastAsia="en-US"/>
        </w:rPr>
        <w:t>(</w:t>
      </w:r>
      <w:r w:rsidR="00ED7017" w:rsidRPr="00520861">
        <w:rPr>
          <w:rFonts w:eastAsia="Calibri"/>
          <w:i/>
          <w:sz w:val="28"/>
          <w:szCs w:val="28"/>
          <w:lang w:eastAsia="en-US"/>
        </w:rPr>
        <w:t xml:space="preserve">Дисертанткою </w:t>
      </w:r>
      <w:r w:rsidR="00176296" w:rsidRPr="00520861">
        <w:rPr>
          <w:rFonts w:eastAsia="Calibri"/>
          <w:i/>
          <w:sz w:val="28"/>
          <w:szCs w:val="28"/>
          <w:lang w:eastAsia="en-US"/>
        </w:rPr>
        <w:t>розроблено алгоритм стоматологічного обстеження новонародженого</w:t>
      </w:r>
      <w:r w:rsidR="00152414" w:rsidRPr="00520861">
        <w:rPr>
          <w:rFonts w:eastAsia="Calibri"/>
          <w:i/>
          <w:sz w:val="28"/>
          <w:szCs w:val="28"/>
          <w:lang w:eastAsia="en-US"/>
        </w:rPr>
        <w:t xml:space="preserve"> та дитини грудного віку</w:t>
      </w:r>
      <w:r w:rsidR="00ED7017" w:rsidRPr="00520861">
        <w:rPr>
          <w:rFonts w:eastAsia="Calibri"/>
          <w:i/>
          <w:sz w:val="28"/>
          <w:szCs w:val="28"/>
          <w:lang w:eastAsia="uk-UA"/>
        </w:rPr>
        <w:t>, складено перелік</w:t>
      </w:r>
      <w:r w:rsidRPr="00520861">
        <w:rPr>
          <w:rFonts w:eastAsia="Calibri"/>
          <w:i/>
          <w:sz w:val="28"/>
          <w:szCs w:val="28"/>
          <w:lang w:eastAsia="uk-UA"/>
        </w:rPr>
        <w:t xml:space="preserve"> інформаційних параметрів карти, </w:t>
      </w:r>
      <w:r w:rsidR="00152414" w:rsidRPr="00520861">
        <w:rPr>
          <w:rFonts w:eastAsia="Calibri"/>
          <w:i/>
          <w:sz w:val="28"/>
          <w:szCs w:val="28"/>
          <w:lang w:eastAsia="uk-UA"/>
        </w:rPr>
        <w:t>взято</w:t>
      </w:r>
      <w:r w:rsidR="00ED7017" w:rsidRPr="00520861">
        <w:rPr>
          <w:rFonts w:eastAsia="Calibri"/>
          <w:i/>
          <w:sz w:val="28"/>
          <w:szCs w:val="28"/>
          <w:lang w:eastAsia="uk-UA"/>
        </w:rPr>
        <w:t xml:space="preserve"> </w:t>
      </w:r>
      <w:r w:rsidRPr="00520861">
        <w:rPr>
          <w:rFonts w:eastAsia="Calibri"/>
          <w:i/>
          <w:sz w:val="28"/>
          <w:szCs w:val="28"/>
          <w:lang w:eastAsia="uk-UA"/>
        </w:rPr>
        <w:t>участь у компонуванні та дизайні карти).</w:t>
      </w:r>
      <w:r w:rsidRPr="00520861">
        <w:rPr>
          <w:rFonts w:eastAsia="Calibri"/>
          <w:i/>
          <w:sz w:val="28"/>
          <w:szCs w:val="28"/>
          <w:lang w:eastAsia="en-US"/>
        </w:rPr>
        <w:t xml:space="preserve"> </w:t>
      </w:r>
    </w:p>
    <w:p w14:paraId="719E0E1F" w14:textId="77777777" w:rsidR="003A7FA3" w:rsidRPr="00520861" w:rsidRDefault="003A7FA3" w:rsidP="008F1D77">
      <w:pPr>
        <w:widowControl w:val="0"/>
        <w:numPr>
          <w:ilvl w:val="0"/>
          <w:numId w:val="1"/>
        </w:numPr>
        <w:spacing w:after="200" w:line="360" w:lineRule="auto"/>
        <w:ind w:left="0" w:firstLine="0"/>
        <w:contextualSpacing/>
        <w:jc w:val="both"/>
        <w:rPr>
          <w:rFonts w:eastAsia="Calibri"/>
          <w:bCs/>
          <w:iCs/>
          <w:sz w:val="28"/>
          <w:szCs w:val="28"/>
          <w:lang w:eastAsia="en-US"/>
        </w:rPr>
      </w:pPr>
      <w:r w:rsidRPr="00520861">
        <w:rPr>
          <w:rFonts w:eastAsia="Calibri"/>
          <w:sz w:val="28"/>
          <w:szCs w:val="28"/>
          <w:lang w:eastAsia="en-US"/>
        </w:rPr>
        <w:t xml:space="preserve"> Гармаш ОВ, Рябоконь ЄМ, </w:t>
      </w:r>
      <w:proofErr w:type="spellStart"/>
      <w:r w:rsidRPr="00520861">
        <w:rPr>
          <w:rFonts w:eastAsia="Calibri"/>
          <w:sz w:val="28"/>
          <w:szCs w:val="28"/>
          <w:lang w:eastAsia="en-US"/>
        </w:rPr>
        <w:t>Баглик</w:t>
      </w:r>
      <w:proofErr w:type="spellEnd"/>
      <w:r w:rsidRPr="00520861">
        <w:rPr>
          <w:rFonts w:eastAsia="Calibri"/>
          <w:sz w:val="28"/>
          <w:szCs w:val="28"/>
          <w:lang w:eastAsia="en-US"/>
        </w:rPr>
        <w:t xml:space="preserve"> ТВ, винахідники; Харківський національний мед. ун-т, патентовласник. Карта реєстрації стоматологічного статусу дитини або </w:t>
      </w:r>
      <w:proofErr w:type="spellStart"/>
      <w:r w:rsidRPr="00520861">
        <w:rPr>
          <w:rFonts w:eastAsia="Calibri"/>
          <w:sz w:val="28"/>
          <w:szCs w:val="28"/>
          <w:lang w:eastAsia="en-US"/>
        </w:rPr>
        <w:t>підлітка</w:t>
      </w:r>
      <w:proofErr w:type="spellEnd"/>
      <w:r w:rsidRPr="00520861">
        <w:rPr>
          <w:rFonts w:eastAsia="Calibri"/>
          <w:sz w:val="28"/>
          <w:szCs w:val="28"/>
          <w:lang w:eastAsia="en-US"/>
        </w:rPr>
        <w:t xml:space="preserve"> (додаток до історії розвитку дитини або медичної карти стаціонарного хворого). Свідоцтво про реєстрацію авторського права на твір №</w:t>
      </w:r>
      <w:r w:rsidR="00152414" w:rsidRPr="00520861">
        <w:rPr>
          <w:rFonts w:eastAsia="Calibri"/>
          <w:sz w:val="28"/>
          <w:szCs w:val="28"/>
          <w:lang w:eastAsia="en-US"/>
        </w:rPr>
        <w:t xml:space="preserve"> 73141. 2017 лип. 25. (</w:t>
      </w:r>
      <w:r w:rsidR="00152414" w:rsidRPr="00520861">
        <w:rPr>
          <w:rFonts w:eastAsia="Calibri"/>
          <w:i/>
          <w:sz w:val="28"/>
          <w:szCs w:val="28"/>
          <w:lang w:eastAsia="en-US"/>
        </w:rPr>
        <w:t>Особистий внесок – с</w:t>
      </w:r>
      <w:r w:rsidR="00ED7017" w:rsidRPr="00520861">
        <w:rPr>
          <w:rFonts w:eastAsia="Calibri"/>
          <w:i/>
          <w:sz w:val="28"/>
          <w:szCs w:val="28"/>
          <w:lang w:eastAsia="uk-UA"/>
        </w:rPr>
        <w:t xml:space="preserve">кладено перелік інформаційних параметрів карти, </w:t>
      </w:r>
      <w:r w:rsidR="00D628F8" w:rsidRPr="00520861">
        <w:rPr>
          <w:rFonts w:eastAsia="Calibri"/>
          <w:i/>
          <w:sz w:val="28"/>
          <w:szCs w:val="28"/>
          <w:lang w:eastAsia="uk-UA"/>
        </w:rPr>
        <w:t xml:space="preserve">взято </w:t>
      </w:r>
      <w:r w:rsidR="00ED7017" w:rsidRPr="00520861">
        <w:rPr>
          <w:rFonts w:eastAsia="Calibri"/>
          <w:i/>
          <w:sz w:val="28"/>
          <w:szCs w:val="28"/>
          <w:lang w:eastAsia="uk-UA"/>
        </w:rPr>
        <w:t>участь у компонуванні та дизайні карти</w:t>
      </w:r>
      <w:r w:rsidR="00ED7017" w:rsidRPr="00520861">
        <w:rPr>
          <w:rFonts w:eastAsia="Calibri"/>
          <w:sz w:val="28"/>
          <w:szCs w:val="28"/>
          <w:lang w:eastAsia="uk-UA"/>
        </w:rPr>
        <w:t>)</w:t>
      </w:r>
      <w:r w:rsidRPr="00520861">
        <w:rPr>
          <w:rFonts w:eastAsia="Calibri"/>
          <w:sz w:val="28"/>
          <w:szCs w:val="28"/>
          <w:lang w:eastAsia="uk-UA"/>
        </w:rPr>
        <w:t>.</w:t>
      </w:r>
    </w:p>
    <w:p w14:paraId="5790A9A1" w14:textId="77777777" w:rsidR="002B4CA0" w:rsidRPr="00520861" w:rsidRDefault="00207B46" w:rsidP="00292D2E">
      <w:pPr>
        <w:widowControl w:val="0"/>
        <w:spacing w:line="360" w:lineRule="auto"/>
        <w:jc w:val="center"/>
        <w:rPr>
          <w:b/>
          <w:sz w:val="28"/>
          <w:szCs w:val="28"/>
        </w:rPr>
      </w:pPr>
      <w:r w:rsidRPr="00520861">
        <w:rPr>
          <w:sz w:val="28"/>
          <w:szCs w:val="28"/>
        </w:rPr>
        <w:br w:type="page"/>
      </w:r>
      <w:r w:rsidR="002B4CA0" w:rsidRPr="00520861">
        <w:rPr>
          <w:b/>
          <w:sz w:val="28"/>
          <w:szCs w:val="28"/>
        </w:rPr>
        <w:lastRenderedPageBreak/>
        <w:t>ЗМІСТ</w:t>
      </w:r>
    </w:p>
    <w:tbl>
      <w:tblPr>
        <w:tblW w:w="10314" w:type="dxa"/>
        <w:tblLayout w:type="fixed"/>
        <w:tblLook w:val="04A0" w:firstRow="1" w:lastRow="0" w:firstColumn="1" w:lastColumn="0" w:noHBand="0" w:noVBand="1"/>
      </w:tblPr>
      <w:tblGrid>
        <w:gridCol w:w="9606"/>
        <w:gridCol w:w="708"/>
      </w:tblGrid>
      <w:tr w:rsidR="002B4CA0" w:rsidRPr="00520861" w14:paraId="12DEB68F" w14:textId="77777777" w:rsidTr="00032B7F">
        <w:tc>
          <w:tcPr>
            <w:tcW w:w="9606" w:type="dxa"/>
            <w:shd w:val="clear" w:color="auto" w:fill="auto"/>
          </w:tcPr>
          <w:p w14:paraId="63C874C1" w14:textId="77777777" w:rsidR="002B4CA0" w:rsidRPr="00520861" w:rsidRDefault="000C5542" w:rsidP="00292D2E">
            <w:pPr>
              <w:widowControl w:val="0"/>
              <w:spacing w:line="360" w:lineRule="auto"/>
              <w:rPr>
                <w:b/>
                <w:sz w:val="28"/>
                <w:szCs w:val="28"/>
              </w:rPr>
            </w:pPr>
            <w:r w:rsidRPr="00520861">
              <w:rPr>
                <w:sz w:val="28"/>
                <w:szCs w:val="28"/>
              </w:rPr>
              <w:t>АНОТАЦІЯ</w:t>
            </w:r>
            <w:r w:rsidR="002B4CA0" w:rsidRPr="00520861">
              <w:rPr>
                <w:sz w:val="28"/>
                <w:szCs w:val="28"/>
              </w:rPr>
              <w:t>…………</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1C340634" w14:textId="77777777" w:rsidR="002B4CA0" w:rsidRPr="00520861" w:rsidRDefault="00F40A98" w:rsidP="00292D2E">
            <w:pPr>
              <w:widowControl w:val="0"/>
              <w:tabs>
                <w:tab w:val="right" w:leader="dot" w:pos="9281"/>
              </w:tabs>
              <w:spacing w:line="360" w:lineRule="auto"/>
              <w:jc w:val="right"/>
              <w:rPr>
                <w:sz w:val="28"/>
                <w:szCs w:val="28"/>
              </w:rPr>
            </w:pPr>
            <w:r w:rsidRPr="00520861">
              <w:rPr>
                <w:sz w:val="28"/>
                <w:szCs w:val="28"/>
              </w:rPr>
              <w:t>2</w:t>
            </w:r>
          </w:p>
        </w:tc>
      </w:tr>
      <w:tr w:rsidR="002B4CA0" w:rsidRPr="00520861" w14:paraId="6534A503" w14:textId="77777777" w:rsidTr="00032B7F">
        <w:tc>
          <w:tcPr>
            <w:tcW w:w="9606" w:type="dxa"/>
            <w:shd w:val="clear" w:color="auto" w:fill="auto"/>
          </w:tcPr>
          <w:p w14:paraId="050E523C" w14:textId="77777777" w:rsidR="002B4CA0" w:rsidRPr="00520861" w:rsidRDefault="002B4CA0" w:rsidP="00292D2E">
            <w:pPr>
              <w:widowControl w:val="0"/>
              <w:spacing w:line="360" w:lineRule="auto"/>
              <w:rPr>
                <w:b/>
                <w:sz w:val="28"/>
                <w:szCs w:val="28"/>
              </w:rPr>
            </w:pPr>
            <w:r w:rsidRPr="00520861">
              <w:rPr>
                <w:sz w:val="28"/>
                <w:szCs w:val="28"/>
              </w:rPr>
              <w:t>ПЕРЕЛІК УМОВНИХ СКОРОЧЕНЬ…………………………………………</w:t>
            </w:r>
            <w:r w:rsidR="00D132E7" w:rsidRPr="00520861">
              <w:rPr>
                <w:sz w:val="28"/>
                <w:szCs w:val="28"/>
              </w:rPr>
              <w:t>...</w:t>
            </w:r>
            <w:r w:rsidRPr="00520861">
              <w:rPr>
                <w:sz w:val="28"/>
                <w:szCs w:val="28"/>
              </w:rPr>
              <w:t>…</w:t>
            </w:r>
          </w:p>
        </w:tc>
        <w:tc>
          <w:tcPr>
            <w:tcW w:w="708" w:type="dxa"/>
            <w:shd w:val="clear" w:color="auto" w:fill="auto"/>
          </w:tcPr>
          <w:p w14:paraId="117589D0" w14:textId="77777777" w:rsidR="002B4CA0" w:rsidRPr="00520861" w:rsidRDefault="004F2224" w:rsidP="00292D2E">
            <w:pPr>
              <w:widowControl w:val="0"/>
              <w:spacing w:line="360" w:lineRule="auto"/>
              <w:jc w:val="right"/>
              <w:rPr>
                <w:sz w:val="28"/>
                <w:szCs w:val="28"/>
              </w:rPr>
            </w:pPr>
            <w:r w:rsidRPr="00520861">
              <w:rPr>
                <w:sz w:val="28"/>
                <w:szCs w:val="28"/>
              </w:rPr>
              <w:t>30</w:t>
            </w:r>
          </w:p>
        </w:tc>
      </w:tr>
      <w:tr w:rsidR="002B4CA0" w:rsidRPr="00520861" w14:paraId="477A526E" w14:textId="77777777" w:rsidTr="00032B7F">
        <w:tc>
          <w:tcPr>
            <w:tcW w:w="9606" w:type="dxa"/>
            <w:shd w:val="clear" w:color="auto" w:fill="auto"/>
          </w:tcPr>
          <w:p w14:paraId="2FAB43A0" w14:textId="77777777" w:rsidR="002B4CA0" w:rsidRPr="00520861" w:rsidRDefault="002B4CA0" w:rsidP="00292D2E">
            <w:pPr>
              <w:widowControl w:val="0"/>
              <w:spacing w:line="360" w:lineRule="auto"/>
              <w:rPr>
                <w:b/>
                <w:sz w:val="28"/>
                <w:szCs w:val="28"/>
              </w:rPr>
            </w:pPr>
            <w:r w:rsidRPr="00520861">
              <w:rPr>
                <w:sz w:val="28"/>
                <w:szCs w:val="28"/>
              </w:rPr>
              <w:t>ВСТУП …………………………………………………………………………</w:t>
            </w:r>
            <w:r w:rsidR="00D132E7" w:rsidRPr="00520861">
              <w:rPr>
                <w:sz w:val="28"/>
                <w:szCs w:val="28"/>
              </w:rPr>
              <w:t>..</w:t>
            </w:r>
            <w:r w:rsidRPr="00520861">
              <w:rPr>
                <w:sz w:val="28"/>
                <w:szCs w:val="28"/>
              </w:rPr>
              <w:t>….</w:t>
            </w:r>
          </w:p>
        </w:tc>
        <w:tc>
          <w:tcPr>
            <w:tcW w:w="708" w:type="dxa"/>
            <w:shd w:val="clear" w:color="auto" w:fill="auto"/>
          </w:tcPr>
          <w:p w14:paraId="584E1B4E" w14:textId="77777777" w:rsidR="002B4CA0" w:rsidRPr="00520861" w:rsidRDefault="009706E0" w:rsidP="00292D2E">
            <w:pPr>
              <w:widowControl w:val="0"/>
              <w:spacing w:line="360" w:lineRule="auto"/>
              <w:jc w:val="right"/>
              <w:rPr>
                <w:sz w:val="28"/>
                <w:szCs w:val="28"/>
              </w:rPr>
            </w:pPr>
            <w:r w:rsidRPr="00520861">
              <w:rPr>
                <w:sz w:val="28"/>
                <w:szCs w:val="28"/>
              </w:rPr>
              <w:t>33</w:t>
            </w:r>
          </w:p>
        </w:tc>
      </w:tr>
      <w:tr w:rsidR="002B4CA0" w:rsidRPr="00520861" w14:paraId="56DC9385" w14:textId="77777777" w:rsidTr="00032B7F">
        <w:tc>
          <w:tcPr>
            <w:tcW w:w="9606" w:type="dxa"/>
            <w:shd w:val="clear" w:color="auto" w:fill="auto"/>
          </w:tcPr>
          <w:p w14:paraId="3AB930A9" w14:textId="77777777" w:rsidR="002B4CA0" w:rsidRPr="00520861" w:rsidRDefault="002B4CA0" w:rsidP="00292D2E">
            <w:pPr>
              <w:widowControl w:val="0"/>
              <w:spacing w:line="360" w:lineRule="auto"/>
              <w:rPr>
                <w:b/>
                <w:sz w:val="28"/>
                <w:szCs w:val="28"/>
              </w:rPr>
            </w:pPr>
            <w:r w:rsidRPr="00520861">
              <w:rPr>
                <w:sz w:val="28"/>
                <w:szCs w:val="28"/>
              </w:rPr>
              <w:t>РОЗДІЛ 1</w:t>
            </w:r>
            <w:r w:rsidR="000679C8" w:rsidRPr="00520861">
              <w:rPr>
                <w:sz w:val="28"/>
                <w:szCs w:val="28"/>
              </w:rPr>
              <w:t>.</w:t>
            </w:r>
            <w:r w:rsidRPr="00520861">
              <w:rPr>
                <w:sz w:val="28"/>
                <w:szCs w:val="28"/>
              </w:rPr>
              <w:t xml:space="preserve"> СУЧАСНІ УЯВЛЕННЯ ПРО ПАТОГЕНЕТИЧНІ МЕХАНІЗМИ ФОРМУВАННЯ, ДІАГНОСТИКИ ТА ПРОГНОЗУ</w:t>
            </w:r>
            <w:r w:rsidR="000679C8" w:rsidRPr="00520861">
              <w:rPr>
                <w:sz w:val="28"/>
                <w:szCs w:val="28"/>
              </w:rPr>
              <w:t>ВАННЯ СТОМАТОЛОГІЧНИХ ПОРУШЕНЬ В</w:t>
            </w:r>
            <w:r w:rsidR="005F1814" w:rsidRPr="00520861">
              <w:rPr>
                <w:sz w:val="28"/>
                <w:szCs w:val="28"/>
              </w:rPr>
              <w:t xml:space="preserve"> ОСІБ, ЯКІ НАРОДИЛИСЯ</w:t>
            </w:r>
            <w:r w:rsidRPr="00520861">
              <w:rPr>
                <w:sz w:val="28"/>
                <w:szCs w:val="28"/>
              </w:rPr>
              <w:t xml:space="preserve"> МАКРОСОМАМИ</w:t>
            </w:r>
            <w:r w:rsidR="002E5563" w:rsidRPr="00520861">
              <w:rPr>
                <w:sz w:val="28"/>
                <w:szCs w:val="28"/>
              </w:rPr>
              <w:t xml:space="preserve"> (ОГЛЯД ЛІТЕРАТУРИ)……....…………………</w:t>
            </w:r>
            <w:r w:rsidR="00D132E7" w:rsidRPr="00520861">
              <w:rPr>
                <w:sz w:val="28"/>
                <w:szCs w:val="28"/>
              </w:rPr>
              <w:t>….</w:t>
            </w:r>
            <w:r w:rsidR="002E5563" w:rsidRPr="00520861">
              <w:rPr>
                <w:sz w:val="28"/>
                <w:szCs w:val="28"/>
              </w:rPr>
              <w:t>....……..</w:t>
            </w:r>
          </w:p>
        </w:tc>
        <w:tc>
          <w:tcPr>
            <w:tcW w:w="708" w:type="dxa"/>
            <w:shd w:val="clear" w:color="auto" w:fill="auto"/>
          </w:tcPr>
          <w:p w14:paraId="6D8C900B" w14:textId="77777777" w:rsidR="002B4CA0" w:rsidRPr="00520861" w:rsidRDefault="002B4CA0" w:rsidP="00292D2E">
            <w:pPr>
              <w:widowControl w:val="0"/>
              <w:spacing w:line="360" w:lineRule="auto"/>
              <w:jc w:val="right"/>
              <w:rPr>
                <w:sz w:val="28"/>
                <w:szCs w:val="28"/>
              </w:rPr>
            </w:pPr>
          </w:p>
          <w:p w14:paraId="447EEF3B" w14:textId="77777777" w:rsidR="002B4CA0" w:rsidRPr="00520861" w:rsidRDefault="002B4CA0" w:rsidP="00292D2E">
            <w:pPr>
              <w:widowControl w:val="0"/>
              <w:spacing w:line="360" w:lineRule="auto"/>
              <w:jc w:val="right"/>
              <w:rPr>
                <w:sz w:val="28"/>
                <w:szCs w:val="28"/>
              </w:rPr>
            </w:pPr>
          </w:p>
          <w:p w14:paraId="54AC8060" w14:textId="77777777" w:rsidR="002B4CA0" w:rsidRPr="00520861" w:rsidRDefault="002B4CA0" w:rsidP="00292D2E">
            <w:pPr>
              <w:widowControl w:val="0"/>
              <w:spacing w:line="360" w:lineRule="auto"/>
              <w:jc w:val="right"/>
              <w:rPr>
                <w:sz w:val="28"/>
                <w:szCs w:val="28"/>
              </w:rPr>
            </w:pPr>
          </w:p>
          <w:p w14:paraId="78C5C9D3" w14:textId="77777777" w:rsidR="002B4CA0" w:rsidRPr="00520861" w:rsidRDefault="009706E0" w:rsidP="00292D2E">
            <w:pPr>
              <w:widowControl w:val="0"/>
              <w:spacing w:line="360" w:lineRule="auto"/>
              <w:jc w:val="right"/>
              <w:rPr>
                <w:sz w:val="28"/>
                <w:szCs w:val="28"/>
              </w:rPr>
            </w:pPr>
            <w:r w:rsidRPr="00520861">
              <w:rPr>
                <w:sz w:val="28"/>
                <w:szCs w:val="28"/>
              </w:rPr>
              <w:t>45</w:t>
            </w:r>
          </w:p>
        </w:tc>
      </w:tr>
      <w:tr w:rsidR="002B4CA0" w:rsidRPr="00520861" w14:paraId="1F981B41" w14:textId="77777777" w:rsidTr="00032B7F">
        <w:tc>
          <w:tcPr>
            <w:tcW w:w="9606" w:type="dxa"/>
            <w:shd w:val="clear" w:color="auto" w:fill="auto"/>
          </w:tcPr>
          <w:p w14:paraId="6714367F" w14:textId="77777777" w:rsidR="002B4CA0" w:rsidRPr="00520861" w:rsidRDefault="002B4CA0" w:rsidP="00292D2E">
            <w:pPr>
              <w:widowControl w:val="0"/>
              <w:spacing w:line="360" w:lineRule="auto"/>
              <w:ind w:left="284"/>
              <w:rPr>
                <w:b/>
                <w:sz w:val="28"/>
                <w:szCs w:val="28"/>
              </w:rPr>
            </w:pPr>
            <w:r w:rsidRPr="00520861">
              <w:rPr>
                <w:sz w:val="28"/>
                <w:szCs w:val="28"/>
              </w:rPr>
              <w:t>1.1</w:t>
            </w:r>
            <w:r w:rsidR="007D6E73" w:rsidRPr="00520861">
              <w:rPr>
                <w:sz w:val="28"/>
                <w:szCs w:val="28"/>
              </w:rPr>
              <w:t>.</w:t>
            </w:r>
            <w:r w:rsidRPr="00520861">
              <w:rPr>
                <w:sz w:val="28"/>
                <w:szCs w:val="28"/>
              </w:rPr>
              <w:t xml:space="preserve"> Сучасні уявлення про етіологію, патог</w:t>
            </w:r>
            <w:r w:rsidR="000C5378" w:rsidRPr="00520861">
              <w:rPr>
                <w:sz w:val="28"/>
                <w:szCs w:val="28"/>
              </w:rPr>
              <w:t xml:space="preserve">енез та клініку </w:t>
            </w:r>
            <w:proofErr w:type="spellStart"/>
            <w:r w:rsidR="000C5378" w:rsidRPr="00520861">
              <w:rPr>
                <w:sz w:val="28"/>
                <w:szCs w:val="28"/>
              </w:rPr>
              <w:t>макросомії</w:t>
            </w:r>
            <w:proofErr w:type="spellEnd"/>
            <w:r w:rsidR="000C5378" w:rsidRPr="00520861">
              <w:rPr>
                <w:sz w:val="28"/>
                <w:szCs w:val="28"/>
              </w:rPr>
              <w:t xml:space="preserve"> плода</w:t>
            </w:r>
            <w:r w:rsidRPr="00520861">
              <w:rPr>
                <w:sz w:val="28"/>
                <w:szCs w:val="28"/>
              </w:rPr>
              <w:t>. Безпосередні та від</w:t>
            </w:r>
            <w:r w:rsidR="000C5378" w:rsidRPr="00520861">
              <w:rPr>
                <w:sz w:val="28"/>
                <w:szCs w:val="28"/>
              </w:rPr>
              <w:t xml:space="preserve">далені наслідки </w:t>
            </w:r>
            <w:proofErr w:type="spellStart"/>
            <w:r w:rsidR="000C5378" w:rsidRPr="00520861">
              <w:rPr>
                <w:sz w:val="28"/>
                <w:szCs w:val="28"/>
              </w:rPr>
              <w:t>макросомії</w:t>
            </w:r>
            <w:proofErr w:type="spellEnd"/>
            <w:r w:rsidR="000C5378" w:rsidRPr="00520861">
              <w:rPr>
                <w:sz w:val="28"/>
                <w:szCs w:val="28"/>
              </w:rPr>
              <w:t xml:space="preserve"> плода</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0D7B9688" w14:textId="77777777" w:rsidR="002B4CA0" w:rsidRPr="00520861" w:rsidRDefault="002B4CA0" w:rsidP="00292D2E">
            <w:pPr>
              <w:widowControl w:val="0"/>
              <w:spacing w:line="360" w:lineRule="auto"/>
              <w:jc w:val="right"/>
              <w:rPr>
                <w:sz w:val="28"/>
                <w:szCs w:val="28"/>
              </w:rPr>
            </w:pPr>
          </w:p>
          <w:p w14:paraId="594AA490" w14:textId="77777777" w:rsidR="002B4CA0" w:rsidRPr="00520861" w:rsidRDefault="009706E0" w:rsidP="00292D2E">
            <w:pPr>
              <w:widowControl w:val="0"/>
              <w:spacing w:line="360" w:lineRule="auto"/>
              <w:jc w:val="right"/>
              <w:rPr>
                <w:sz w:val="28"/>
                <w:szCs w:val="28"/>
              </w:rPr>
            </w:pPr>
            <w:r w:rsidRPr="00520861">
              <w:rPr>
                <w:sz w:val="28"/>
                <w:szCs w:val="28"/>
              </w:rPr>
              <w:t>45</w:t>
            </w:r>
          </w:p>
        </w:tc>
      </w:tr>
      <w:tr w:rsidR="002B4CA0" w:rsidRPr="00520861" w14:paraId="20D5B24A" w14:textId="77777777" w:rsidTr="00032B7F">
        <w:tc>
          <w:tcPr>
            <w:tcW w:w="9606" w:type="dxa"/>
            <w:shd w:val="clear" w:color="auto" w:fill="auto"/>
          </w:tcPr>
          <w:p w14:paraId="295A5884" w14:textId="77777777" w:rsidR="002B4CA0" w:rsidRPr="00520861" w:rsidRDefault="00C55858" w:rsidP="00292D2E">
            <w:pPr>
              <w:widowControl w:val="0"/>
              <w:spacing w:line="360" w:lineRule="auto"/>
              <w:ind w:left="567"/>
              <w:rPr>
                <w:b/>
                <w:sz w:val="28"/>
                <w:szCs w:val="28"/>
              </w:rPr>
            </w:pPr>
            <w:r w:rsidRPr="00520861">
              <w:rPr>
                <w:sz w:val="28"/>
                <w:szCs w:val="28"/>
              </w:rPr>
              <w:t>1.1.1</w:t>
            </w:r>
            <w:r w:rsidR="007D6E73" w:rsidRPr="00520861">
              <w:rPr>
                <w:sz w:val="28"/>
                <w:szCs w:val="28"/>
              </w:rPr>
              <w:t>.</w:t>
            </w:r>
            <w:r w:rsidRPr="00520861">
              <w:rPr>
                <w:sz w:val="28"/>
                <w:szCs w:val="28"/>
              </w:rPr>
              <w:t xml:space="preserve"> При</w:t>
            </w:r>
            <w:r w:rsidR="000C5378" w:rsidRPr="00520861">
              <w:rPr>
                <w:sz w:val="28"/>
                <w:szCs w:val="28"/>
              </w:rPr>
              <w:t xml:space="preserve">чини формування </w:t>
            </w:r>
            <w:proofErr w:type="spellStart"/>
            <w:r w:rsidR="000C5378" w:rsidRPr="00520861">
              <w:rPr>
                <w:sz w:val="28"/>
                <w:szCs w:val="28"/>
              </w:rPr>
              <w:t>макросомії</w:t>
            </w:r>
            <w:proofErr w:type="spellEnd"/>
            <w:r w:rsidR="000C5378" w:rsidRPr="00520861">
              <w:rPr>
                <w:sz w:val="28"/>
                <w:szCs w:val="28"/>
              </w:rPr>
              <w:t xml:space="preserve"> плода</w:t>
            </w:r>
            <w:r w:rsidR="002B4CA0" w:rsidRPr="00520861">
              <w:rPr>
                <w:sz w:val="28"/>
                <w:szCs w:val="28"/>
              </w:rPr>
              <w:t>…………....……………</w:t>
            </w:r>
            <w:r w:rsidR="00D132E7" w:rsidRPr="00520861">
              <w:rPr>
                <w:sz w:val="28"/>
                <w:szCs w:val="28"/>
              </w:rPr>
              <w:t>...</w:t>
            </w:r>
            <w:r w:rsidR="002B4CA0" w:rsidRPr="00520861">
              <w:rPr>
                <w:sz w:val="28"/>
                <w:szCs w:val="28"/>
              </w:rPr>
              <w:t>…</w:t>
            </w:r>
          </w:p>
        </w:tc>
        <w:tc>
          <w:tcPr>
            <w:tcW w:w="708" w:type="dxa"/>
            <w:shd w:val="clear" w:color="auto" w:fill="auto"/>
          </w:tcPr>
          <w:p w14:paraId="0A0299DF" w14:textId="77777777" w:rsidR="002B4CA0" w:rsidRPr="00520861" w:rsidRDefault="009706E0" w:rsidP="00292D2E">
            <w:pPr>
              <w:widowControl w:val="0"/>
              <w:spacing w:line="360" w:lineRule="auto"/>
              <w:jc w:val="right"/>
              <w:rPr>
                <w:sz w:val="28"/>
                <w:szCs w:val="28"/>
              </w:rPr>
            </w:pPr>
            <w:r w:rsidRPr="00520861">
              <w:rPr>
                <w:sz w:val="28"/>
                <w:szCs w:val="28"/>
              </w:rPr>
              <w:t>45</w:t>
            </w:r>
          </w:p>
        </w:tc>
      </w:tr>
      <w:tr w:rsidR="002B4CA0" w:rsidRPr="00520861" w14:paraId="05D561CD" w14:textId="77777777" w:rsidTr="00032B7F">
        <w:tc>
          <w:tcPr>
            <w:tcW w:w="9606" w:type="dxa"/>
            <w:shd w:val="clear" w:color="auto" w:fill="auto"/>
          </w:tcPr>
          <w:p w14:paraId="41259627" w14:textId="77777777" w:rsidR="002B4CA0" w:rsidRPr="00520861" w:rsidRDefault="002B4CA0" w:rsidP="00292D2E">
            <w:pPr>
              <w:widowControl w:val="0"/>
              <w:spacing w:line="360" w:lineRule="auto"/>
              <w:ind w:left="567"/>
              <w:rPr>
                <w:b/>
                <w:sz w:val="28"/>
                <w:szCs w:val="28"/>
              </w:rPr>
            </w:pPr>
            <w:r w:rsidRPr="00520861">
              <w:rPr>
                <w:sz w:val="28"/>
                <w:szCs w:val="28"/>
              </w:rPr>
              <w:t>1.1.2</w:t>
            </w:r>
            <w:r w:rsidR="007D6E73" w:rsidRPr="00520861">
              <w:rPr>
                <w:sz w:val="28"/>
                <w:szCs w:val="28"/>
              </w:rPr>
              <w:t>.</w:t>
            </w:r>
            <w:r w:rsidRPr="00520861">
              <w:rPr>
                <w:sz w:val="28"/>
                <w:szCs w:val="28"/>
              </w:rPr>
              <w:t xml:space="preserve"> Діагностичні критерії та класифікації крупних плодів……………</w:t>
            </w:r>
            <w:r w:rsidR="00D132E7" w:rsidRPr="00520861">
              <w:rPr>
                <w:sz w:val="28"/>
                <w:szCs w:val="28"/>
              </w:rPr>
              <w:t>...</w:t>
            </w:r>
            <w:r w:rsidRPr="00520861">
              <w:rPr>
                <w:sz w:val="28"/>
                <w:szCs w:val="28"/>
              </w:rPr>
              <w:t>.</w:t>
            </w:r>
          </w:p>
        </w:tc>
        <w:tc>
          <w:tcPr>
            <w:tcW w:w="708" w:type="dxa"/>
            <w:shd w:val="clear" w:color="auto" w:fill="auto"/>
          </w:tcPr>
          <w:p w14:paraId="59FE24C4" w14:textId="77777777" w:rsidR="002B4CA0" w:rsidRPr="00520861" w:rsidRDefault="009706E0" w:rsidP="00292D2E">
            <w:pPr>
              <w:widowControl w:val="0"/>
              <w:spacing w:line="360" w:lineRule="auto"/>
              <w:jc w:val="right"/>
              <w:rPr>
                <w:sz w:val="28"/>
                <w:szCs w:val="28"/>
              </w:rPr>
            </w:pPr>
            <w:r w:rsidRPr="00520861">
              <w:rPr>
                <w:sz w:val="28"/>
                <w:szCs w:val="28"/>
              </w:rPr>
              <w:t>46</w:t>
            </w:r>
          </w:p>
        </w:tc>
      </w:tr>
      <w:tr w:rsidR="002B4CA0" w:rsidRPr="00520861" w14:paraId="1060AAE5" w14:textId="77777777" w:rsidTr="00032B7F">
        <w:tc>
          <w:tcPr>
            <w:tcW w:w="9606" w:type="dxa"/>
            <w:shd w:val="clear" w:color="auto" w:fill="auto"/>
          </w:tcPr>
          <w:p w14:paraId="6615ACD8" w14:textId="77777777" w:rsidR="002B4CA0" w:rsidRPr="00520861" w:rsidRDefault="002B4CA0" w:rsidP="00292D2E">
            <w:pPr>
              <w:widowControl w:val="0"/>
              <w:spacing w:line="360" w:lineRule="auto"/>
              <w:ind w:left="567"/>
              <w:rPr>
                <w:b/>
                <w:sz w:val="28"/>
                <w:szCs w:val="28"/>
              </w:rPr>
            </w:pPr>
            <w:r w:rsidRPr="00520861">
              <w:rPr>
                <w:sz w:val="28"/>
                <w:szCs w:val="28"/>
              </w:rPr>
              <w:t>1.1.3</w:t>
            </w:r>
            <w:r w:rsidR="007D6E73" w:rsidRPr="00520861">
              <w:rPr>
                <w:sz w:val="28"/>
                <w:szCs w:val="28"/>
              </w:rPr>
              <w:t>.</w:t>
            </w:r>
            <w:r w:rsidRPr="00520861">
              <w:rPr>
                <w:sz w:val="28"/>
                <w:szCs w:val="28"/>
              </w:rPr>
              <w:t xml:space="preserve"> Сучасні відомості про безпосередні та віддалені наслідки </w:t>
            </w:r>
            <w:r w:rsidR="002E5563" w:rsidRPr="00520861">
              <w:rPr>
                <w:sz w:val="28"/>
                <w:szCs w:val="28"/>
              </w:rPr>
              <w:br/>
            </w:r>
            <w:proofErr w:type="spellStart"/>
            <w:r w:rsidRPr="00520861">
              <w:rPr>
                <w:sz w:val="28"/>
                <w:szCs w:val="28"/>
              </w:rPr>
              <w:t>макросо</w:t>
            </w:r>
            <w:r w:rsidR="000C5378" w:rsidRPr="00520861">
              <w:rPr>
                <w:sz w:val="28"/>
                <w:szCs w:val="28"/>
              </w:rPr>
              <w:t>мії</w:t>
            </w:r>
            <w:proofErr w:type="spellEnd"/>
            <w:r w:rsidR="000C5378" w:rsidRPr="00520861">
              <w:rPr>
                <w:sz w:val="28"/>
                <w:szCs w:val="28"/>
              </w:rPr>
              <w:t xml:space="preserve"> плода</w:t>
            </w:r>
            <w:r w:rsidR="002E5563" w:rsidRPr="00520861">
              <w:rPr>
                <w:sz w:val="28"/>
                <w:szCs w:val="28"/>
              </w:rPr>
              <w:t>…………………………………………………………</w:t>
            </w:r>
            <w:r w:rsidR="00D132E7" w:rsidRPr="00520861">
              <w:rPr>
                <w:sz w:val="28"/>
                <w:szCs w:val="28"/>
              </w:rPr>
              <w:t>…</w:t>
            </w:r>
            <w:r w:rsidR="002E5563" w:rsidRPr="00520861">
              <w:rPr>
                <w:sz w:val="28"/>
                <w:szCs w:val="28"/>
              </w:rPr>
              <w:t>…</w:t>
            </w:r>
          </w:p>
        </w:tc>
        <w:tc>
          <w:tcPr>
            <w:tcW w:w="708" w:type="dxa"/>
            <w:shd w:val="clear" w:color="auto" w:fill="auto"/>
          </w:tcPr>
          <w:p w14:paraId="6894BD39" w14:textId="77777777" w:rsidR="002B4CA0" w:rsidRPr="00520861" w:rsidRDefault="002B4CA0" w:rsidP="00292D2E">
            <w:pPr>
              <w:widowControl w:val="0"/>
              <w:spacing w:line="360" w:lineRule="auto"/>
              <w:jc w:val="right"/>
              <w:rPr>
                <w:sz w:val="28"/>
                <w:szCs w:val="28"/>
              </w:rPr>
            </w:pPr>
          </w:p>
          <w:p w14:paraId="2D2C1CFC" w14:textId="77777777" w:rsidR="002E5563" w:rsidRPr="00520861" w:rsidRDefault="009706E0" w:rsidP="00292D2E">
            <w:pPr>
              <w:widowControl w:val="0"/>
              <w:spacing w:line="360" w:lineRule="auto"/>
              <w:jc w:val="right"/>
              <w:rPr>
                <w:sz w:val="28"/>
                <w:szCs w:val="28"/>
              </w:rPr>
            </w:pPr>
            <w:r w:rsidRPr="00520861">
              <w:rPr>
                <w:sz w:val="28"/>
                <w:szCs w:val="28"/>
              </w:rPr>
              <w:t>48</w:t>
            </w:r>
          </w:p>
        </w:tc>
      </w:tr>
      <w:tr w:rsidR="002B4CA0" w:rsidRPr="00520861" w14:paraId="0C892658" w14:textId="77777777" w:rsidTr="00032B7F">
        <w:tc>
          <w:tcPr>
            <w:tcW w:w="9606" w:type="dxa"/>
            <w:shd w:val="clear" w:color="auto" w:fill="auto"/>
          </w:tcPr>
          <w:p w14:paraId="6788C145" w14:textId="77777777" w:rsidR="002B4CA0" w:rsidRPr="00520861" w:rsidRDefault="002B4CA0" w:rsidP="00292D2E">
            <w:pPr>
              <w:widowControl w:val="0"/>
              <w:spacing w:line="360" w:lineRule="auto"/>
              <w:ind w:left="284"/>
              <w:rPr>
                <w:sz w:val="28"/>
                <w:szCs w:val="28"/>
              </w:rPr>
            </w:pPr>
            <w:r w:rsidRPr="00520861">
              <w:rPr>
                <w:sz w:val="28"/>
                <w:szCs w:val="28"/>
              </w:rPr>
              <w:t>1.2</w:t>
            </w:r>
            <w:r w:rsidR="007D6E73" w:rsidRPr="00520861">
              <w:rPr>
                <w:sz w:val="28"/>
                <w:szCs w:val="28"/>
              </w:rPr>
              <w:t>.</w:t>
            </w:r>
            <w:r w:rsidRPr="00520861">
              <w:rPr>
                <w:sz w:val="28"/>
                <w:szCs w:val="28"/>
              </w:rPr>
              <w:t xml:space="preserve"> Сучасний погляд на про</w:t>
            </w:r>
            <w:r w:rsidR="001F7A7A" w:rsidRPr="00520861">
              <w:rPr>
                <w:sz w:val="28"/>
                <w:szCs w:val="28"/>
              </w:rPr>
              <w:t>блему стоматологічних порушень в</w:t>
            </w:r>
            <w:r w:rsidRPr="00520861">
              <w:rPr>
                <w:sz w:val="28"/>
                <w:szCs w:val="28"/>
              </w:rPr>
              <w:t xml:space="preserve"> осіб, </w:t>
            </w:r>
            <w:r w:rsidR="00C44E96" w:rsidRPr="00520861">
              <w:rPr>
                <w:sz w:val="28"/>
                <w:szCs w:val="28"/>
              </w:rPr>
              <w:br/>
            </w:r>
            <w:r w:rsidRPr="00520861">
              <w:rPr>
                <w:sz w:val="28"/>
                <w:szCs w:val="28"/>
              </w:rPr>
              <w:t>які на</w:t>
            </w:r>
            <w:r w:rsidR="00F80328" w:rsidRPr="00520861">
              <w:rPr>
                <w:sz w:val="28"/>
                <w:szCs w:val="28"/>
              </w:rPr>
              <w:t>родилися</w:t>
            </w:r>
            <w:r w:rsidRPr="00520861">
              <w:rPr>
                <w:sz w:val="28"/>
                <w:szCs w:val="28"/>
              </w:rPr>
              <w:t xml:space="preserve"> </w:t>
            </w:r>
            <w:proofErr w:type="spellStart"/>
            <w:r w:rsidRPr="00520861">
              <w:rPr>
                <w:sz w:val="28"/>
                <w:szCs w:val="28"/>
              </w:rPr>
              <w:t>макросомами</w:t>
            </w:r>
            <w:proofErr w:type="spellEnd"/>
            <w:r w:rsidRPr="00520861">
              <w:rPr>
                <w:sz w:val="28"/>
                <w:szCs w:val="28"/>
              </w:rPr>
              <w:t>……………</w:t>
            </w:r>
            <w:r w:rsidR="00C44E96" w:rsidRPr="00520861">
              <w:rPr>
                <w:sz w:val="28"/>
                <w:szCs w:val="28"/>
              </w:rPr>
              <w:t>………………………</w:t>
            </w:r>
            <w:r w:rsidRPr="00520861">
              <w:rPr>
                <w:sz w:val="28"/>
                <w:szCs w:val="28"/>
              </w:rPr>
              <w:t>……</w:t>
            </w:r>
            <w:r w:rsidR="00FC2FB3" w:rsidRPr="00520861">
              <w:rPr>
                <w:sz w:val="28"/>
                <w:szCs w:val="28"/>
              </w:rPr>
              <w:t>..</w:t>
            </w:r>
            <w:r w:rsidRPr="00520861">
              <w:rPr>
                <w:sz w:val="28"/>
                <w:szCs w:val="28"/>
              </w:rPr>
              <w:t>…</w:t>
            </w:r>
            <w:r w:rsidR="00D132E7" w:rsidRPr="00520861">
              <w:rPr>
                <w:sz w:val="28"/>
                <w:szCs w:val="28"/>
              </w:rPr>
              <w:t>…</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046B691C" w14:textId="77777777" w:rsidR="002B4CA0" w:rsidRPr="00520861" w:rsidRDefault="002B4CA0" w:rsidP="00292D2E">
            <w:pPr>
              <w:widowControl w:val="0"/>
              <w:spacing w:line="360" w:lineRule="auto"/>
              <w:jc w:val="right"/>
              <w:rPr>
                <w:sz w:val="28"/>
                <w:szCs w:val="28"/>
              </w:rPr>
            </w:pPr>
          </w:p>
          <w:p w14:paraId="27AC0002" w14:textId="77777777" w:rsidR="002B4CA0" w:rsidRPr="00520861" w:rsidRDefault="009706E0" w:rsidP="00292D2E">
            <w:pPr>
              <w:widowControl w:val="0"/>
              <w:spacing w:line="360" w:lineRule="auto"/>
              <w:jc w:val="right"/>
              <w:rPr>
                <w:sz w:val="28"/>
                <w:szCs w:val="28"/>
              </w:rPr>
            </w:pPr>
            <w:r w:rsidRPr="00520861">
              <w:rPr>
                <w:sz w:val="28"/>
                <w:szCs w:val="28"/>
              </w:rPr>
              <w:t>49</w:t>
            </w:r>
          </w:p>
        </w:tc>
      </w:tr>
      <w:tr w:rsidR="002B4CA0" w:rsidRPr="00520861" w14:paraId="298E9BF9" w14:textId="77777777" w:rsidTr="00032B7F">
        <w:tc>
          <w:tcPr>
            <w:tcW w:w="9606" w:type="dxa"/>
            <w:shd w:val="clear" w:color="auto" w:fill="auto"/>
          </w:tcPr>
          <w:p w14:paraId="0490BABD" w14:textId="77777777" w:rsidR="002B4CA0" w:rsidRPr="00520861" w:rsidRDefault="002B4CA0" w:rsidP="00292D2E">
            <w:pPr>
              <w:widowControl w:val="0"/>
              <w:spacing w:line="360" w:lineRule="auto"/>
              <w:ind w:left="284"/>
              <w:rPr>
                <w:sz w:val="28"/>
                <w:szCs w:val="28"/>
              </w:rPr>
            </w:pPr>
            <w:r w:rsidRPr="00520861">
              <w:rPr>
                <w:sz w:val="28"/>
                <w:szCs w:val="28"/>
              </w:rPr>
              <w:t>1.3</w:t>
            </w:r>
            <w:r w:rsidR="007D6E73" w:rsidRPr="00520861">
              <w:rPr>
                <w:sz w:val="28"/>
                <w:szCs w:val="28"/>
              </w:rPr>
              <w:t>.</w:t>
            </w:r>
            <w:r w:rsidRPr="00520861">
              <w:rPr>
                <w:sz w:val="28"/>
                <w:szCs w:val="28"/>
              </w:rPr>
              <w:t xml:space="preserve"> Сучасні методи діагностики та прогнозування стоматологічних захворювань ………………………………………………………………............</w:t>
            </w:r>
            <w:r w:rsidR="00D132E7" w:rsidRPr="00520861">
              <w:rPr>
                <w:sz w:val="28"/>
                <w:szCs w:val="28"/>
              </w:rPr>
              <w:t>..</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3F58A40D" w14:textId="77777777" w:rsidR="002B4CA0" w:rsidRPr="00520861" w:rsidRDefault="002B4CA0" w:rsidP="00292D2E">
            <w:pPr>
              <w:widowControl w:val="0"/>
              <w:spacing w:line="360" w:lineRule="auto"/>
              <w:jc w:val="right"/>
              <w:rPr>
                <w:sz w:val="28"/>
                <w:szCs w:val="28"/>
              </w:rPr>
            </w:pPr>
          </w:p>
          <w:p w14:paraId="469A53D3" w14:textId="77777777" w:rsidR="002B4CA0" w:rsidRPr="00520861" w:rsidRDefault="009706E0" w:rsidP="00292D2E">
            <w:pPr>
              <w:widowControl w:val="0"/>
              <w:spacing w:line="360" w:lineRule="auto"/>
              <w:jc w:val="right"/>
              <w:rPr>
                <w:sz w:val="28"/>
                <w:szCs w:val="28"/>
              </w:rPr>
            </w:pPr>
            <w:r w:rsidRPr="00520861">
              <w:rPr>
                <w:sz w:val="28"/>
                <w:szCs w:val="28"/>
              </w:rPr>
              <w:t>55</w:t>
            </w:r>
          </w:p>
        </w:tc>
      </w:tr>
      <w:tr w:rsidR="002B4CA0" w:rsidRPr="00520861" w14:paraId="3728AC4C" w14:textId="77777777" w:rsidTr="00032B7F">
        <w:tc>
          <w:tcPr>
            <w:tcW w:w="9606" w:type="dxa"/>
            <w:shd w:val="clear" w:color="auto" w:fill="auto"/>
          </w:tcPr>
          <w:p w14:paraId="5F025C86" w14:textId="77777777" w:rsidR="002B4CA0" w:rsidRPr="00520861" w:rsidRDefault="002B4CA0" w:rsidP="00292D2E">
            <w:pPr>
              <w:widowControl w:val="0"/>
              <w:spacing w:line="360" w:lineRule="auto"/>
              <w:ind w:left="567"/>
              <w:rPr>
                <w:sz w:val="28"/>
                <w:szCs w:val="28"/>
              </w:rPr>
            </w:pPr>
            <w:r w:rsidRPr="00520861">
              <w:rPr>
                <w:sz w:val="28"/>
                <w:szCs w:val="28"/>
              </w:rPr>
              <w:t>1.3.1</w:t>
            </w:r>
            <w:r w:rsidR="005920CA" w:rsidRPr="00520861">
              <w:rPr>
                <w:sz w:val="28"/>
                <w:szCs w:val="28"/>
              </w:rPr>
              <w:t>.</w:t>
            </w:r>
            <w:r w:rsidRPr="00520861">
              <w:rPr>
                <w:sz w:val="28"/>
                <w:szCs w:val="28"/>
              </w:rPr>
              <w:t xml:space="preserve"> </w:t>
            </w:r>
            <w:r w:rsidR="00296D0A" w:rsidRPr="00520861">
              <w:rPr>
                <w:sz w:val="28"/>
                <w:szCs w:val="28"/>
              </w:rPr>
              <w:t>Сучасний погляд на проблему експериментального моделювання стоматологічних порушень.</w:t>
            </w:r>
            <w:r w:rsidRPr="00520861">
              <w:rPr>
                <w:sz w:val="28"/>
                <w:szCs w:val="28"/>
              </w:rPr>
              <w:t>…………….</w:t>
            </w:r>
            <w:r w:rsidR="00296D0A" w:rsidRPr="00520861">
              <w:rPr>
                <w:sz w:val="28"/>
                <w:szCs w:val="28"/>
              </w:rPr>
              <w:t>……………………….............</w:t>
            </w:r>
            <w:r w:rsidR="00D132E7" w:rsidRPr="00520861">
              <w:rPr>
                <w:sz w:val="28"/>
                <w:szCs w:val="28"/>
              </w:rPr>
              <w:t>...</w:t>
            </w:r>
            <w:r w:rsidR="00296D0A" w:rsidRPr="00520861">
              <w:rPr>
                <w:sz w:val="28"/>
                <w:szCs w:val="28"/>
              </w:rPr>
              <w:t>.....</w:t>
            </w:r>
          </w:p>
        </w:tc>
        <w:tc>
          <w:tcPr>
            <w:tcW w:w="708" w:type="dxa"/>
            <w:shd w:val="clear" w:color="auto" w:fill="auto"/>
          </w:tcPr>
          <w:p w14:paraId="78A45BF0" w14:textId="77777777" w:rsidR="00296D0A" w:rsidRPr="00520861" w:rsidRDefault="00296D0A" w:rsidP="00292D2E">
            <w:pPr>
              <w:widowControl w:val="0"/>
              <w:spacing w:line="360" w:lineRule="auto"/>
              <w:jc w:val="right"/>
              <w:rPr>
                <w:sz w:val="28"/>
                <w:szCs w:val="28"/>
              </w:rPr>
            </w:pPr>
          </w:p>
          <w:p w14:paraId="54680F88" w14:textId="77777777" w:rsidR="002B4CA0" w:rsidRPr="00520861" w:rsidRDefault="009706E0" w:rsidP="00292D2E">
            <w:pPr>
              <w:widowControl w:val="0"/>
              <w:spacing w:line="360" w:lineRule="auto"/>
              <w:jc w:val="right"/>
              <w:rPr>
                <w:sz w:val="28"/>
                <w:szCs w:val="28"/>
              </w:rPr>
            </w:pPr>
            <w:r w:rsidRPr="00520861">
              <w:rPr>
                <w:sz w:val="28"/>
                <w:szCs w:val="28"/>
              </w:rPr>
              <w:t>55</w:t>
            </w:r>
          </w:p>
        </w:tc>
      </w:tr>
      <w:tr w:rsidR="002B4CA0" w:rsidRPr="00520861" w14:paraId="29B0098A" w14:textId="77777777" w:rsidTr="00032B7F">
        <w:tc>
          <w:tcPr>
            <w:tcW w:w="9606" w:type="dxa"/>
            <w:shd w:val="clear" w:color="auto" w:fill="auto"/>
          </w:tcPr>
          <w:p w14:paraId="2E66BBEC" w14:textId="77777777" w:rsidR="002B4CA0" w:rsidRPr="00520861" w:rsidRDefault="002D491E" w:rsidP="00292D2E">
            <w:pPr>
              <w:widowControl w:val="0"/>
              <w:spacing w:line="360" w:lineRule="auto"/>
              <w:ind w:left="567"/>
              <w:rPr>
                <w:sz w:val="28"/>
                <w:szCs w:val="28"/>
              </w:rPr>
            </w:pPr>
            <w:r w:rsidRPr="00520861">
              <w:rPr>
                <w:sz w:val="28"/>
                <w:szCs w:val="28"/>
              </w:rPr>
              <w:t xml:space="preserve">1.3.2. Сучасні можливості вивчення стану досліджуваних тканин за </w:t>
            </w:r>
            <w:r w:rsidR="00C16B6E" w:rsidRPr="00520861">
              <w:rPr>
                <w:sz w:val="28"/>
                <w:szCs w:val="28"/>
              </w:rPr>
              <w:br/>
            </w:r>
            <w:r w:rsidRPr="00520861">
              <w:rPr>
                <w:sz w:val="28"/>
                <w:szCs w:val="28"/>
              </w:rPr>
              <w:t>допомогою конфокальної мікроскопії…………………………...............</w:t>
            </w:r>
            <w:r w:rsidR="00D132E7" w:rsidRPr="00520861">
              <w:rPr>
                <w:sz w:val="28"/>
                <w:szCs w:val="28"/>
              </w:rPr>
              <w:t>.</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36441E2F" w14:textId="77777777" w:rsidR="00C16B6E" w:rsidRPr="00520861" w:rsidRDefault="00C16B6E" w:rsidP="00292D2E">
            <w:pPr>
              <w:widowControl w:val="0"/>
              <w:spacing w:line="360" w:lineRule="auto"/>
              <w:jc w:val="right"/>
              <w:rPr>
                <w:sz w:val="28"/>
                <w:szCs w:val="28"/>
              </w:rPr>
            </w:pPr>
          </w:p>
          <w:p w14:paraId="6E46B58E" w14:textId="77777777" w:rsidR="00C16B6E" w:rsidRPr="00520861" w:rsidRDefault="009706E0" w:rsidP="00292D2E">
            <w:pPr>
              <w:widowControl w:val="0"/>
              <w:spacing w:line="360" w:lineRule="auto"/>
              <w:jc w:val="right"/>
              <w:rPr>
                <w:sz w:val="28"/>
                <w:szCs w:val="28"/>
              </w:rPr>
            </w:pPr>
            <w:r w:rsidRPr="00520861">
              <w:rPr>
                <w:sz w:val="28"/>
                <w:szCs w:val="28"/>
              </w:rPr>
              <w:t>58</w:t>
            </w:r>
          </w:p>
        </w:tc>
      </w:tr>
      <w:tr w:rsidR="00264A0E" w:rsidRPr="00520861" w14:paraId="733AC376" w14:textId="77777777" w:rsidTr="00032B7F">
        <w:tc>
          <w:tcPr>
            <w:tcW w:w="9606" w:type="dxa"/>
            <w:shd w:val="clear" w:color="auto" w:fill="auto"/>
          </w:tcPr>
          <w:p w14:paraId="616ABDD6" w14:textId="77777777" w:rsidR="00264A0E" w:rsidRPr="00520861" w:rsidRDefault="00264A0E" w:rsidP="00292D2E">
            <w:pPr>
              <w:widowControl w:val="0"/>
              <w:spacing w:line="360" w:lineRule="auto"/>
              <w:ind w:left="567"/>
              <w:rPr>
                <w:sz w:val="28"/>
                <w:szCs w:val="28"/>
              </w:rPr>
            </w:pPr>
            <w:r w:rsidRPr="00520861">
              <w:rPr>
                <w:sz w:val="28"/>
                <w:szCs w:val="28"/>
              </w:rPr>
              <w:t>1.3.3. Опитувальні методи дослідження.…………………………….…</w:t>
            </w:r>
            <w:r w:rsidR="00D132E7" w:rsidRPr="00520861">
              <w:rPr>
                <w:sz w:val="28"/>
                <w:szCs w:val="28"/>
              </w:rPr>
              <w:t>…</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57019840" w14:textId="77777777" w:rsidR="00264A0E" w:rsidRPr="00520861" w:rsidRDefault="009706E0" w:rsidP="00292D2E">
            <w:pPr>
              <w:widowControl w:val="0"/>
              <w:spacing w:line="360" w:lineRule="auto"/>
              <w:jc w:val="right"/>
              <w:rPr>
                <w:sz w:val="28"/>
                <w:szCs w:val="28"/>
              </w:rPr>
            </w:pPr>
            <w:r w:rsidRPr="00520861">
              <w:rPr>
                <w:sz w:val="28"/>
                <w:szCs w:val="28"/>
              </w:rPr>
              <w:t>59</w:t>
            </w:r>
          </w:p>
        </w:tc>
      </w:tr>
      <w:tr w:rsidR="002B4CA0" w:rsidRPr="00520861" w14:paraId="6555882A" w14:textId="77777777" w:rsidTr="00032B7F">
        <w:tc>
          <w:tcPr>
            <w:tcW w:w="9606" w:type="dxa"/>
            <w:shd w:val="clear" w:color="auto" w:fill="auto"/>
          </w:tcPr>
          <w:p w14:paraId="30697B82" w14:textId="77777777" w:rsidR="002B4CA0" w:rsidRPr="00520861" w:rsidRDefault="00C16B6E" w:rsidP="00292D2E">
            <w:pPr>
              <w:widowControl w:val="0"/>
              <w:spacing w:line="360" w:lineRule="auto"/>
              <w:ind w:left="567"/>
              <w:rPr>
                <w:sz w:val="28"/>
                <w:szCs w:val="28"/>
              </w:rPr>
            </w:pPr>
            <w:r w:rsidRPr="00520861">
              <w:rPr>
                <w:sz w:val="28"/>
                <w:szCs w:val="28"/>
              </w:rPr>
              <w:t>1.3.4</w:t>
            </w:r>
            <w:r w:rsidR="002D491E" w:rsidRPr="00520861">
              <w:rPr>
                <w:sz w:val="28"/>
                <w:szCs w:val="28"/>
              </w:rPr>
              <w:t>.</w:t>
            </w:r>
            <w:r w:rsidR="002B4CA0" w:rsidRPr="00520861">
              <w:rPr>
                <w:sz w:val="28"/>
                <w:szCs w:val="28"/>
              </w:rPr>
              <w:t xml:space="preserve"> Клінічно-ретроспективні методи дослідження……………………</w:t>
            </w:r>
            <w:r w:rsidR="00D132E7" w:rsidRPr="00520861">
              <w:rPr>
                <w:sz w:val="28"/>
                <w:szCs w:val="28"/>
              </w:rPr>
              <w:t>.</w:t>
            </w:r>
            <w:r w:rsidR="002B4CA0" w:rsidRPr="00520861">
              <w:rPr>
                <w:sz w:val="28"/>
                <w:szCs w:val="28"/>
              </w:rPr>
              <w:t>…</w:t>
            </w:r>
          </w:p>
        </w:tc>
        <w:tc>
          <w:tcPr>
            <w:tcW w:w="708" w:type="dxa"/>
            <w:shd w:val="clear" w:color="auto" w:fill="auto"/>
          </w:tcPr>
          <w:p w14:paraId="59B3E498" w14:textId="77777777" w:rsidR="002B4CA0" w:rsidRPr="00520861" w:rsidRDefault="009706E0" w:rsidP="00292D2E">
            <w:pPr>
              <w:widowControl w:val="0"/>
              <w:spacing w:line="360" w:lineRule="auto"/>
              <w:jc w:val="right"/>
              <w:rPr>
                <w:sz w:val="28"/>
                <w:szCs w:val="28"/>
              </w:rPr>
            </w:pPr>
            <w:r w:rsidRPr="00520861">
              <w:rPr>
                <w:sz w:val="28"/>
                <w:szCs w:val="28"/>
              </w:rPr>
              <w:t>61</w:t>
            </w:r>
          </w:p>
        </w:tc>
      </w:tr>
      <w:tr w:rsidR="002B4CA0" w:rsidRPr="00520861" w14:paraId="0CAD209A" w14:textId="77777777" w:rsidTr="00032B7F">
        <w:tc>
          <w:tcPr>
            <w:tcW w:w="9606" w:type="dxa"/>
            <w:shd w:val="clear" w:color="auto" w:fill="auto"/>
          </w:tcPr>
          <w:p w14:paraId="1D559125" w14:textId="77777777" w:rsidR="002B4CA0" w:rsidRPr="00520861" w:rsidRDefault="00C16B6E" w:rsidP="00292D2E">
            <w:pPr>
              <w:widowControl w:val="0"/>
              <w:spacing w:line="360" w:lineRule="auto"/>
              <w:ind w:left="567"/>
              <w:rPr>
                <w:sz w:val="28"/>
                <w:szCs w:val="28"/>
              </w:rPr>
            </w:pPr>
            <w:r w:rsidRPr="00520861">
              <w:rPr>
                <w:sz w:val="28"/>
                <w:szCs w:val="28"/>
              </w:rPr>
              <w:t>1.3.5</w:t>
            </w:r>
            <w:r w:rsidR="002D491E" w:rsidRPr="00520861">
              <w:rPr>
                <w:sz w:val="28"/>
                <w:szCs w:val="28"/>
              </w:rPr>
              <w:t>.</w:t>
            </w:r>
            <w:r w:rsidR="002B4CA0" w:rsidRPr="00520861">
              <w:rPr>
                <w:sz w:val="28"/>
                <w:szCs w:val="28"/>
              </w:rPr>
              <w:t xml:space="preserve"> Біохімічні методи дослідження……………………………………</w:t>
            </w:r>
            <w:r w:rsidR="00D132E7" w:rsidRPr="00520861">
              <w:rPr>
                <w:sz w:val="28"/>
                <w:szCs w:val="28"/>
              </w:rPr>
              <w:t>..</w:t>
            </w:r>
            <w:r w:rsidR="002B4CA0" w:rsidRPr="00520861">
              <w:rPr>
                <w:sz w:val="28"/>
                <w:szCs w:val="28"/>
              </w:rPr>
              <w:t>…</w:t>
            </w:r>
          </w:p>
        </w:tc>
        <w:tc>
          <w:tcPr>
            <w:tcW w:w="708" w:type="dxa"/>
            <w:shd w:val="clear" w:color="auto" w:fill="auto"/>
          </w:tcPr>
          <w:p w14:paraId="76AE02C4" w14:textId="77777777" w:rsidR="002B4CA0" w:rsidRPr="00520861" w:rsidRDefault="009706E0" w:rsidP="00292D2E">
            <w:pPr>
              <w:widowControl w:val="0"/>
              <w:spacing w:line="360" w:lineRule="auto"/>
              <w:jc w:val="right"/>
              <w:rPr>
                <w:sz w:val="28"/>
                <w:szCs w:val="28"/>
              </w:rPr>
            </w:pPr>
            <w:r w:rsidRPr="00520861">
              <w:rPr>
                <w:sz w:val="28"/>
                <w:szCs w:val="28"/>
              </w:rPr>
              <w:t>62</w:t>
            </w:r>
          </w:p>
        </w:tc>
      </w:tr>
      <w:tr w:rsidR="002B4CA0" w:rsidRPr="00520861" w14:paraId="4D0477FD" w14:textId="77777777" w:rsidTr="00032B7F">
        <w:tc>
          <w:tcPr>
            <w:tcW w:w="9606" w:type="dxa"/>
            <w:shd w:val="clear" w:color="auto" w:fill="auto"/>
          </w:tcPr>
          <w:p w14:paraId="68C8701C" w14:textId="77777777" w:rsidR="002B4CA0" w:rsidRPr="00520861" w:rsidRDefault="00C16B6E" w:rsidP="00292D2E">
            <w:pPr>
              <w:widowControl w:val="0"/>
              <w:spacing w:line="360" w:lineRule="auto"/>
              <w:ind w:left="567"/>
              <w:rPr>
                <w:sz w:val="28"/>
                <w:szCs w:val="28"/>
              </w:rPr>
            </w:pPr>
            <w:r w:rsidRPr="00520861">
              <w:rPr>
                <w:sz w:val="28"/>
                <w:szCs w:val="28"/>
              </w:rPr>
              <w:t>1.3.6</w:t>
            </w:r>
            <w:r w:rsidR="002D491E" w:rsidRPr="00520861">
              <w:rPr>
                <w:sz w:val="28"/>
                <w:szCs w:val="28"/>
              </w:rPr>
              <w:t>.</w:t>
            </w:r>
            <w:r w:rsidR="002B4CA0" w:rsidRPr="00520861">
              <w:rPr>
                <w:sz w:val="28"/>
                <w:szCs w:val="28"/>
              </w:rPr>
              <w:t xml:space="preserve"> Молекулярно-генетичні методи дослідження………………………</w:t>
            </w:r>
            <w:r w:rsidR="00D132E7" w:rsidRPr="00520861">
              <w:rPr>
                <w:sz w:val="28"/>
                <w:szCs w:val="28"/>
              </w:rPr>
              <w:t>..</w:t>
            </w:r>
            <w:r w:rsidR="002B4CA0" w:rsidRPr="00520861">
              <w:rPr>
                <w:sz w:val="28"/>
                <w:szCs w:val="28"/>
              </w:rPr>
              <w:t>.</w:t>
            </w:r>
          </w:p>
        </w:tc>
        <w:tc>
          <w:tcPr>
            <w:tcW w:w="708" w:type="dxa"/>
            <w:shd w:val="clear" w:color="auto" w:fill="auto"/>
          </w:tcPr>
          <w:p w14:paraId="6C81DCE7" w14:textId="77777777" w:rsidR="002B4CA0" w:rsidRPr="00520861" w:rsidRDefault="009706E0" w:rsidP="00292D2E">
            <w:pPr>
              <w:widowControl w:val="0"/>
              <w:spacing w:line="360" w:lineRule="auto"/>
              <w:jc w:val="right"/>
              <w:rPr>
                <w:sz w:val="28"/>
                <w:szCs w:val="28"/>
              </w:rPr>
            </w:pPr>
            <w:r w:rsidRPr="00520861">
              <w:rPr>
                <w:sz w:val="28"/>
                <w:szCs w:val="28"/>
              </w:rPr>
              <w:t>65</w:t>
            </w:r>
          </w:p>
        </w:tc>
      </w:tr>
      <w:tr w:rsidR="002B4CA0" w:rsidRPr="00520861" w14:paraId="7EDBBF06" w14:textId="77777777" w:rsidTr="00032B7F">
        <w:tc>
          <w:tcPr>
            <w:tcW w:w="9606" w:type="dxa"/>
            <w:shd w:val="clear" w:color="auto" w:fill="auto"/>
          </w:tcPr>
          <w:p w14:paraId="3F7BF84E" w14:textId="77777777" w:rsidR="002B4CA0" w:rsidRPr="00520861" w:rsidRDefault="002B4CA0" w:rsidP="00292D2E">
            <w:pPr>
              <w:widowControl w:val="0"/>
              <w:spacing w:line="360" w:lineRule="auto"/>
              <w:rPr>
                <w:sz w:val="28"/>
                <w:szCs w:val="28"/>
              </w:rPr>
            </w:pPr>
            <w:r w:rsidRPr="00520861">
              <w:rPr>
                <w:sz w:val="28"/>
                <w:szCs w:val="28"/>
              </w:rPr>
              <w:t>РОЗДІЛ 2</w:t>
            </w:r>
            <w:r w:rsidR="000679C8" w:rsidRPr="00520861">
              <w:rPr>
                <w:sz w:val="28"/>
                <w:szCs w:val="28"/>
              </w:rPr>
              <w:t>.</w:t>
            </w:r>
            <w:r w:rsidR="00174453" w:rsidRPr="00520861">
              <w:rPr>
                <w:sz w:val="28"/>
                <w:szCs w:val="28"/>
              </w:rPr>
              <w:t xml:space="preserve"> </w:t>
            </w:r>
            <w:r w:rsidR="000C0C5B" w:rsidRPr="00520861">
              <w:rPr>
                <w:sz w:val="28"/>
                <w:szCs w:val="28"/>
              </w:rPr>
              <w:t xml:space="preserve">ОБ’ЄКТИ </w:t>
            </w:r>
            <w:r w:rsidR="00FB713D" w:rsidRPr="00520861">
              <w:rPr>
                <w:sz w:val="28"/>
                <w:szCs w:val="28"/>
              </w:rPr>
              <w:t>ТА МЕТОДИ ДОСЛІДЖЕННЯ.…………</w:t>
            </w:r>
            <w:r w:rsidR="000C0C5B" w:rsidRPr="00520861">
              <w:rPr>
                <w:sz w:val="28"/>
                <w:szCs w:val="28"/>
              </w:rPr>
              <w:t>………</w:t>
            </w:r>
            <w:r w:rsidR="000679C8" w:rsidRPr="00520861">
              <w:rPr>
                <w:sz w:val="28"/>
                <w:szCs w:val="28"/>
              </w:rPr>
              <w:t>……</w:t>
            </w:r>
            <w:r w:rsidR="00D132E7" w:rsidRPr="00520861">
              <w:rPr>
                <w:sz w:val="28"/>
                <w:szCs w:val="28"/>
              </w:rPr>
              <w:t>..</w:t>
            </w:r>
            <w:r w:rsidR="000679C8" w:rsidRPr="00520861">
              <w:rPr>
                <w:sz w:val="28"/>
                <w:szCs w:val="28"/>
              </w:rPr>
              <w:t>…</w:t>
            </w:r>
          </w:p>
        </w:tc>
        <w:tc>
          <w:tcPr>
            <w:tcW w:w="708" w:type="dxa"/>
            <w:shd w:val="clear" w:color="auto" w:fill="auto"/>
          </w:tcPr>
          <w:p w14:paraId="11F1A88C" w14:textId="77777777" w:rsidR="002B4CA0" w:rsidRPr="00520861" w:rsidRDefault="009706E0" w:rsidP="00292D2E">
            <w:pPr>
              <w:widowControl w:val="0"/>
              <w:spacing w:line="360" w:lineRule="auto"/>
              <w:jc w:val="right"/>
              <w:rPr>
                <w:sz w:val="28"/>
                <w:szCs w:val="28"/>
              </w:rPr>
            </w:pPr>
            <w:r w:rsidRPr="00520861">
              <w:rPr>
                <w:sz w:val="28"/>
                <w:szCs w:val="28"/>
              </w:rPr>
              <w:t>70</w:t>
            </w:r>
          </w:p>
        </w:tc>
      </w:tr>
      <w:tr w:rsidR="002B4CA0" w:rsidRPr="00520861" w14:paraId="4667128B" w14:textId="77777777" w:rsidTr="00032B7F">
        <w:tc>
          <w:tcPr>
            <w:tcW w:w="9606" w:type="dxa"/>
            <w:shd w:val="clear" w:color="auto" w:fill="auto"/>
          </w:tcPr>
          <w:p w14:paraId="4F3C43E9" w14:textId="77777777" w:rsidR="002B4CA0" w:rsidRPr="00520861" w:rsidRDefault="002B4CA0" w:rsidP="00292D2E">
            <w:pPr>
              <w:widowControl w:val="0"/>
              <w:spacing w:line="360" w:lineRule="auto"/>
              <w:ind w:left="284"/>
              <w:rPr>
                <w:sz w:val="28"/>
                <w:szCs w:val="28"/>
              </w:rPr>
            </w:pPr>
            <w:r w:rsidRPr="00520861">
              <w:rPr>
                <w:sz w:val="28"/>
                <w:szCs w:val="28"/>
              </w:rPr>
              <w:t>2.1. Програма та дизайн дослідження ………..……......................................</w:t>
            </w:r>
            <w:r w:rsidR="00D132E7" w:rsidRPr="00520861">
              <w:rPr>
                <w:sz w:val="28"/>
                <w:szCs w:val="28"/>
              </w:rPr>
              <w:t>..</w:t>
            </w:r>
            <w:r w:rsidRPr="00520861">
              <w:rPr>
                <w:sz w:val="28"/>
                <w:szCs w:val="28"/>
              </w:rPr>
              <w:t>...</w:t>
            </w:r>
          </w:p>
        </w:tc>
        <w:tc>
          <w:tcPr>
            <w:tcW w:w="708" w:type="dxa"/>
            <w:shd w:val="clear" w:color="auto" w:fill="auto"/>
          </w:tcPr>
          <w:p w14:paraId="56062FDD" w14:textId="77777777" w:rsidR="002B4CA0" w:rsidRPr="00520861" w:rsidRDefault="009706E0" w:rsidP="00292D2E">
            <w:pPr>
              <w:widowControl w:val="0"/>
              <w:spacing w:line="360" w:lineRule="auto"/>
              <w:jc w:val="right"/>
              <w:rPr>
                <w:sz w:val="28"/>
                <w:szCs w:val="28"/>
              </w:rPr>
            </w:pPr>
            <w:r w:rsidRPr="00520861">
              <w:rPr>
                <w:sz w:val="28"/>
                <w:szCs w:val="28"/>
              </w:rPr>
              <w:t>70</w:t>
            </w:r>
          </w:p>
        </w:tc>
      </w:tr>
      <w:tr w:rsidR="002B4CA0" w:rsidRPr="00520861" w14:paraId="28C4774D" w14:textId="77777777" w:rsidTr="00032B7F">
        <w:tc>
          <w:tcPr>
            <w:tcW w:w="9606" w:type="dxa"/>
            <w:shd w:val="clear" w:color="auto" w:fill="auto"/>
          </w:tcPr>
          <w:p w14:paraId="7B3F2F7E" w14:textId="77777777" w:rsidR="002B4CA0" w:rsidRPr="00520861" w:rsidRDefault="002B4CA0" w:rsidP="00292D2E">
            <w:pPr>
              <w:widowControl w:val="0"/>
              <w:spacing w:line="360" w:lineRule="auto"/>
              <w:ind w:left="284"/>
              <w:rPr>
                <w:sz w:val="28"/>
                <w:szCs w:val="28"/>
              </w:rPr>
            </w:pPr>
            <w:r w:rsidRPr="00520861">
              <w:rPr>
                <w:sz w:val="28"/>
                <w:szCs w:val="28"/>
              </w:rPr>
              <w:t>2.2</w:t>
            </w:r>
            <w:r w:rsidR="00E27B2F" w:rsidRPr="00520861">
              <w:rPr>
                <w:sz w:val="28"/>
                <w:szCs w:val="28"/>
              </w:rPr>
              <w:t>.</w:t>
            </w:r>
            <w:r w:rsidRPr="00520861">
              <w:rPr>
                <w:sz w:val="28"/>
                <w:szCs w:val="28"/>
              </w:rPr>
              <w:t xml:space="preserve"> Загальна характеристика об’єктів дослідження ………………………</w:t>
            </w:r>
            <w:r w:rsidR="00D132E7" w:rsidRPr="00520861">
              <w:rPr>
                <w:sz w:val="28"/>
                <w:szCs w:val="28"/>
              </w:rPr>
              <w:t>.</w:t>
            </w:r>
            <w:r w:rsidRPr="00520861">
              <w:rPr>
                <w:sz w:val="28"/>
                <w:szCs w:val="28"/>
              </w:rPr>
              <w:t>….</w:t>
            </w:r>
          </w:p>
        </w:tc>
        <w:tc>
          <w:tcPr>
            <w:tcW w:w="708" w:type="dxa"/>
            <w:shd w:val="clear" w:color="auto" w:fill="auto"/>
          </w:tcPr>
          <w:p w14:paraId="420DDC2D" w14:textId="77777777" w:rsidR="002B4CA0" w:rsidRPr="00520861" w:rsidRDefault="009706E0" w:rsidP="00292D2E">
            <w:pPr>
              <w:widowControl w:val="0"/>
              <w:spacing w:line="360" w:lineRule="auto"/>
              <w:jc w:val="right"/>
              <w:rPr>
                <w:sz w:val="28"/>
                <w:szCs w:val="28"/>
              </w:rPr>
            </w:pPr>
            <w:r w:rsidRPr="00520861">
              <w:rPr>
                <w:sz w:val="28"/>
                <w:szCs w:val="28"/>
              </w:rPr>
              <w:t>73</w:t>
            </w:r>
          </w:p>
        </w:tc>
      </w:tr>
      <w:tr w:rsidR="002B4CA0" w:rsidRPr="00520861" w14:paraId="25936DAA" w14:textId="77777777" w:rsidTr="00032B7F">
        <w:tc>
          <w:tcPr>
            <w:tcW w:w="9606" w:type="dxa"/>
            <w:shd w:val="clear" w:color="auto" w:fill="auto"/>
          </w:tcPr>
          <w:p w14:paraId="14218D5B" w14:textId="77777777" w:rsidR="002B4CA0" w:rsidRPr="00520861" w:rsidRDefault="0052772D" w:rsidP="00292D2E">
            <w:pPr>
              <w:widowControl w:val="0"/>
              <w:spacing w:line="360" w:lineRule="auto"/>
              <w:ind w:left="284"/>
              <w:rPr>
                <w:sz w:val="28"/>
                <w:szCs w:val="28"/>
              </w:rPr>
            </w:pPr>
            <w:r w:rsidRPr="00520861">
              <w:rPr>
                <w:sz w:val="28"/>
                <w:szCs w:val="28"/>
              </w:rPr>
              <w:t>2.3</w:t>
            </w:r>
            <w:r w:rsidR="00E27B2F" w:rsidRPr="00520861">
              <w:rPr>
                <w:sz w:val="28"/>
                <w:szCs w:val="28"/>
              </w:rPr>
              <w:t>.</w:t>
            </w:r>
            <w:r w:rsidRPr="00520861">
              <w:rPr>
                <w:sz w:val="28"/>
                <w:szCs w:val="28"/>
              </w:rPr>
              <w:t xml:space="preserve"> Х</w:t>
            </w:r>
            <w:r w:rsidR="002B4CA0" w:rsidRPr="00520861">
              <w:rPr>
                <w:sz w:val="28"/>
                <w:szCs w:val="28"/>
              </w:rPr>
              <w:t>арактеристика груп обстежених осіб…………………</w:t>
            </w:r>
            <w:r w:rsidRPr="00520861">
              <w:rPr>
                <w:sz w:val="28"/>
                <w:szCs w:val="28"/>
              </w:rPr>
              <w:t>…………</w:t>
            </w:r>
            <w:r w:rsidR="002B4CA0" w:rsidRPr="00520861">
              <w:rPr>
                <w:sz w:val="28"/>
                <w:szCs w:val="28"/>
              </w:rPr>
              <w:t>……….</w:t>
            </w:r>
          </w:p>
        </w:tc>
        <w:tc>
          <w:tcPr>
            <w:tcW w:w="708" w:type="dxa"/>
            <w:shd w:val="clear" w:color="auto" w:fill="auto"/>
          </w:tcPr>
          <w:p w14:paraId="6638A15E" w14:textId="77777777" w:rsidR="002B4CA0" w:rsidRPr="00520861" w:rsidRDefault="009706E0" w:rsidP="00292D2E">
            <w:pPr>
              <w:widowControl w:val="0"/>
              <w:spacing w:line="360" w:lineRule="auto"/>
              <w:jc w:val="right"/>
              <w:rPr>
                <w:sz w:val="28"/>
                <w:szCs w:val="28"/>
              </w:rPr>
            </w:pPr>
            <w:r w:rsidRPr="00520861">
              <w:rPr>
                <w:sz w:val="28"/>
                <w:szCs w:val="28"/>
              </w:rPr>
              <w:t>74</w:t>
            </w:r>
          </w:p>
        </w:tc>
      </w:tr>
      <w:tr w:rsidR="007D5373" w:rsidRPr="00520861" w14:paraId="0D69D65F" w14:textId="77777777" w:rsidTr="00032B7F">
        <w:tc>
          <w:tcPr>
            <w:tcW w:w="9606" w:type="dxa"/>
            <w:shd w:val="clear" w:color="auto" w:fill="auto"/>
          </w:tcPr>
          <w:p w14:paraId="23E2D66C" w14:textId="77777777" w:rsidR="002B4CA0" w:rsidRPr="00520861" w:rsidRDefault="0052772D" w:rsidP="00292D2E">
            <w:pPr>
              <w:widowControl w:val="0"/>
              <w:spacing w:line="360" w:lineRule="auto"/>
              <w:ind w:left="567"/>
              <w:rPr>
                <w:sz w:val="28"/>
                <w:szCs w:val="28"/>
              </w:rPr>
            </w:pPr>
            <w:r w:rsidRPr="00520861">
              <w:rPr>
                <w:sz w:val="28"/>
                <w:szCs w:val="28"/>
              </w:rPr>
              <w:lastRenderedPageBreak/>
              <w:t>2.3</w:t>
            </w:r>
            <w:r w:rsidR="002B4CA0" w:rsidRPr="00520861">
              <w:rPr>
                <w:sz w:val="28"/>
                <w:szCs w:val="28"/>
              </w:rPr>
              <w:t>.1</w:t>
            </w:r>
            <w:r w:rsidRPr="00520861">
              <w:rPr>
                <w:sz w:val="28"/>
                <w:szCs w:val="28"/>
              </w:rPr>
              <w:t>.</w:t>
            </w:r>
            <w:r w:rsidR="002B4CA0" w:rsidRPr="00520861">
              <w:rPr>
                <w:sz w:val="28"/>
                <w:szCs w:val="28"/>
              </w:rPr>
              <w:t xml:space="preserve"> Характеристика груп для клініко-ретроспективного дослідження.....</w:t>
            </w:r>
          </w:p>
        </w:tc>
        <w:tc>
          <w:tcPr>
            <w:tcW w:w="708" w:type="dxa"/>
            <w:shd w:val="clear" w:color="auto" w:fill="auto"/>
          </w:tcPr>
          <w:p w14:paraId="5048A189" w14:textId="77777777" w:rsidR="002B4CA0" w:rsidRPr="00520861" w:rsidRDefault="009706E0" w:rsidP="00292D2E">
            <w:pPr>
              <w:widowControl w:val="0"/>
              <w:spacing w:line="360" w:lineRule="auto"/>
              <w:jc w:val="right"/>
              <w:rPr>
                <w:sz w:val="28"/>
                <w:szCs w:val="28"/>
              </w:rPr>
            </w:pPr>
            <w:r w:rsidRPr="00520861">
              <w:rPr>
                <w:sz w:val="28"/>
                <w:szCs w:val="28"/>
              </w:rPr>
              <w:t>75</w:t>
            </w:r>
          </w:p>
        </w:tc>
      </w:tr>
      <w:tr w:rsidR="002B4CA0" w:rsidRPr="00520861" w14:paraId="2EF1FE58" w14:textId="77777777" w:rsidTr="00032B7F">
        <w:tc>
          <w:tcPr>
            <w:tcW w:w="9606" w:type="dxa"/>
            <w:shd w:val="clear" w:color="auto" w:fill="auto"/>
          </w:tcPr>
          <w:p w14:paraId="3051A692" w14:textId="77777777" w:rsidR="002B4CA0" w:rsidRPr="00520861" w:rsidRDefault="0052772D" w:rsidP="00292D2E">
            <w:pPr>
              <w:widowControl w:val="0"/>
              <w:spacing w:line="360" w:lineRule="auto"/>
              <w:ind w:left="851"/>
              <w:rPr>
                <w:sz w:val="28"/>
                <w:szCs w:val="28"/>
              </w:rPr>
            </w:pPr>
            <w:r w:rsidRPr="00520861">
              <w:rPr>
                <w:sz w:val="28"/>
                <w:szCs w:val="28"/>
              </w:rPr>
              <w:t>2.3</w:t>
            </w:r>
            <w:r w:rsidR="002B4CA0" w:rsidRPr="00520861">
              <w:rPr>
                <w:sz w:val="28"/>
                <w:szCs w:val="28"/>
              </w:rPr>
              <w:t>.1.1</w:t>
            </w:r>
            <w:r w:rsidR="003A7928" w:rsidRPr="00520861">
              <w:rPr>
                <w:sz w:val="28"/>
                <w:szCs w:val="28"/>
              </w:rPr>
              <w:t>.</w:t>
            </w:r>
            <w:r w:rsidR="002B4CA0" w:rsidRPr="00520861">
              <w:rPr>
                <w:sz w:val="28"/>
                <w:szCs w:val="28"/>
              </w:rPr>
              <w:t xml:space="preserve"> Виявлення </w:t>
            </w:r>
            <w:r w:rsidR="00DB7AC7" w:rsidRPr="00520861">
              <w:rPr>
                <w:sz w:val="28"/>
                <w:szCs w:val="28"/>
              </w:rPr>
              <w:t>чинників</w:t>
            </w:r>
            <w:r w:rsidR="002B4CA0" w:rsidRPr="00520861">
              <w:rPr>
                <w:sz w:val="28"/>
                <w:szCs w:val="28"/>
              </w:rPr>
              <w:t xml:space="preserve"> </w:t>
            </w:r>
            <w:r w:rsidR="00DB7AC7" w:rsidRPr="00520861">
              <w:rPr>
                <w:sz w:val="28"/>
                <w:szCs w:val="28"/>
              </w:rPr>
              <w:t xml:space="preserve">формування </w:t>
            </w:r>
            <w:proofErr w:type="spellStart"/>
            <w:r w:rsidR="00DB7AC7" w:rsidRPr="00520861">
              <w:rPr>
                <w:sz w:val="28"/>
                <w:szCs w:val="28"/>
              </w:rPr>
              <w:t>макросомії</w:t>
            </w:r>
            <w:proofErr w:type="spellEnd"/>
            <w:r w:rsidR="00DB7AC7" w:rsidRPr="00520861">
              <w:rPr>
                <w:sz w:val="28"/>
                <w:szCs w:val="28"/>
              </w:rPr>
              <w:t xml:space="preserve"> плода</w:t>
            </w:r>
            <w:r w:rsidR="002B4CA0" w:rsidRPr="00520861">
              <w:rPr>
                <w:sz w:val="28"/>
                <w:szCs w:val="28"/>
              </w:rPr>
              <w:t>……..……</w:t>
            </w:r>
            <w:r w:rsidR="00D132E7" w:rsidRPr="00520861">
              <w:rPr>
                <w:sz w:val="28"/>
                <w:szCs w:val="28"/>
              </w:rPr>
              <w:t>.</w:t>
            </w:r>
            <w:r w:rsidR="002B4CA0" w:rsidRPr="00520861">
              <w:rPr>
                <w:sz w:val="28"/>
                <w:szCs w:val="28"/>
              </w:rPr>
              <w:t>..</w:t>
            </w:r>
          </w:p>
        </w:tc>
        <w:tc>
          <w:tcPr>
            <w:tcW w:w="708" w:type="dxa"/>
            <w:shd w:val="clear" w:color="auto" w:fill="auto"/>
          </w:tcPr>
          <w:p w14:paraId="47700163" w14:textId="77777777" w:rsidR="002B4CA0" w:rsidRPr="00520861" w:rsidRDefault="009706E0" w:rsidP="00292D2E">
            <w:pPr>
              <w:widowControl w:val="0"/>
              <w:spacing w:line="360" w:lineRule="auto"/>
              <w:jc w:val="right"/>
              <w:rPr>
                <w:sz w:val="28"/>
                <w:szCs w:val="28"/>
              </w:rPr>
            </w:pPr>
            <w:r w:rsidRPr="00520861">
              <w:rPr>
                <w:sz w:val="28"/>
                <w:szCs w:val="28"/>
              </w:rPr>
              <w:t>75</w:t>
            </w:r>
          </w:p>
        </w:tc>
      </w:tr>
      <w:tr w:rsidR="002B4CA0" w:rsidRPr="00520861" w14:paraId="289546AA" w14:textId="77777777" w:rsidTr="00032B7F">
        <w:tc>
          <w:tcPr>
            <w:tcW w:w="9606" w:type="dxa"/>
            <w:shd w:val="clear" w:color="auto" w:fill="auto"/>
          </w:tcPr>
          <w:p w14:paraId="14B74578" w14:textId="77777777" w:rsidR="002B4CA0" w:rsidRPr="00520861" w:rsidRDefault="0052772D" w:rsidP="00292D2E">
            <w:pPr>
              <w:widowControl w:val="0"/>
              <w:spacing w:line="360" w:lineRule="auto"/>
              <w:ind w:left="851"/>
              <w:rPr>
                <w:sz w:val="28"/>
                <w:szCs w:val="28"/>
              </w:rPr>
            </w:pPr>
            <w:r w:rsidRPr="00520861">
              <w:rPr>
                <w:sz w:val="28"/>
                <w:szCs w:val="28"/>
              </w:rPr>
              <w:t>2.3</w:t>
            </w:r>
            <w:r w:rsidR="002B4CA0" w:rsidRPr="00520861">
              <w:rPr>
                <w:sz w:val="28"/>
                <w:szCs w:val="28"/>
              </w:rPr>
              <w:t>.1.2</w:t>
            </w:r>
            <w:r w:rsidR="003A7928" w:rsidRPr="00520861">
              <w:rPr>
                <w:sz w:val="28"/>
                <w:szCs w:val="28"/>
              </w:rPr>
              <w:t>.</w:t>
            </w:r>
            <w:r w:rsidR="002B4CA0" w:rsidRPr="00520861">
              <w:rPr>
                <w:sz w:val="28"/>
                <w:szCs w:val="28"/>
              </w:rPr>
              <w:t xml:space="preserve"> </w:t>
            </w:r>
            <w:r w:rsidR="00E56EB5" w:rsidRPr="00520861">
              <w:rPr>
                <w:sz w:val="28"/>
                <w:szCs w:val="28"/>
              </w:rPr>
              <w:t>Визначення</w:t>
            </w:r>
            <w:r w:rsidR="002B4CA0" w:rsidRPr="00520861">
              <w:rPr>
                <w:sz w:val="28"/>
                <w:szCs w:val="28"/>
              </w:rPr>
              <w:t xml:space="preserve"> </w:t>
            </w:r>
            <w:r w:rsidR="00F215BD" w:rsidRPr="00520861">
              <w:rPr>
                <w:sz w:val="28"/>
                <w:szCs w:val="28"/>
              </w:rPr>
              <w:t>осереднених термінів</w:t>
            </w:r>
            <w:r w:rsidR="002B4CA0" w:rsidRPr="00520861">
              <w:rPr>
                <w:sz w:val="28"/>
                <w:szCs w:val="28"/>
              </w:rPr>
              <w:t xml:space="preserve"> прорізува</w:t>
            </w:r>
            <w:r w:rsidR="00F215BD" w:rsidRPr="00520861">
              <w:rPr>
                <w:sz w:val="28"/>
                <w:szCs w:val="28"/>
              </w:rPr>
              <w:t xml:space="preserve">ння і швидкості росту зубів у дітей грудного віку, які народилися </w:t>
            </w:r>
            <w:proofErr w:type="spellStart"/>
            <w:r w:rsidR="00F215BD" w:rsidRPr="00520861">
              <w:rPr>
                <w:sz w:val="28"/>
                <w:szCs w:val="28"/>
              </w:rPr>
              <w:t>макросомами</w:t>
            </w:r>
            <w:proofErr w:type="spellEnd"/>
            <w:r w:rsidR="00F215BD" w:rsidRPr="00520861">
              <w:rPr>
                <w:sz w:val="28"/>
                <w:szCs w:val="28"/>
              </w:rPr>
              <w:t>…</w:t>
            </w:r>
            <w:r w:rsidR="005D6378" w:rsidRPr="00520861">
              <w:rPr>
                <w:sz w:val="28"/>
                <w:szCs w:val="28"/>
              </w:rPr>
              <w:t>…</w:t>
            </w:r>
            <w:r w:rsidR="005D6378" w:rsidRPr="00520861">
              <w:rPr>
                <w:sz w:val="28"/>
                <w:szCs w:val="28"/>
                <w:lang w:val="ru-RU"/>
              </w:rPr>
              <w:t>.</w:t>
            </w:r>
            <w:r w:rsidR="00F215BD" w:rsidRPr="00520861">
              <w:rPr>
                <w:sz w:val="28"/>
                <w:szCs w:val="28"/>
              </w:rPr>
              <w:t>……</w:t>
            </w:r>
          </w:p>
        </w:tc>
        <w:tc>
          <w:tcPr>
            <w:tcW w:w="708" w:type="dxa"/>
            <w:shd w:val="clear" w:color="auto" w:fill="auto"/>
          </w:tcPr>
          <w:p w14:paraId="55F0DBB8" w14:textId="77777777" w:rsidR="002B4CA0" w:rsidRPr="00520861" w:rsidRDefault="002B4CA0" w:rsidP="00292D2E">
            <w:pPr>
              <w:widowControl w:val="0"/>
              <w:spacing w:line="360" w:lineRule="auto"/>
              <w:jc w:val="right"/>
              <w:rPr>
                <w:sz w:val="28"/>
                <w:szCs w:val="28"/>
              </w:rPr>
            </w:pPr>
          </w:p>
          <w:p w14:paraId="1429F47E" w14:textId="77777777" w:rsidR="002B4CA0" w:rsidRPr="00520861" w:rsidRDefault="009706E0" w:rsidP="00292D2E">
            <w:pPr>
              <w:widowControl w:val="0"/>
              <w:spacing w:line="360" w:lineRule="auto"/>
              <w:jc w:val="right"/>
              <w:rPr>
                <w:sz w:val="28"/>
                <w:szCs w:val="28"/>
              </w:rPr>
            </w:pPr>
            <w:r w:rsidRPr="00520861">
              <w:rPr>
                <w:sz w:val="28"/>
                <w:szCs w:val="28"/>
              </w:rPr>
              <w:t>75</w:t>
            </w:r>
          </w:p>
        </w:tc>
      </w:tr>
      <w:tr w:rsidR="002B4CA0" w:rsidRPr="00520861" w14:paraId="33ED6E26" w14:textId="77777777" w:rsidTr="00032B7F">
        <w:tc>
          <w:tcPr>
            <w:tcW w:w="9606" w:type="dxa"/>
            <w:shd w:val="clear" w:color="auto" w:fill="auto"/>
          </w:tcPr>
          <w:p w14:paraId="01C4A6C7" w14:textId="77777777" w:rsidR="002B4CA0" w:rsidRPr="00520861" w:rsidRDefault="0052772D" w:rsidP="00292D2E">
            <w:pPr>
              <w:widowControl w:val="0"/>
              <w:spacing w:line="360" w:lineRule="auto"/>
              <w:ind w:left="851"/>
              <w:rPr>
                <w:sz w:val="28"/>
                <w:szCs w:val="28"/>
              </w:rPr>
            </w:pPr>
            <w:r w:rsidRPr="00520861">
              <w:rPr>
                <w:sz w:val="28"/>
                <w:szCs w:val="28"/>
              </w:rPr>
              <w:t>2.3</w:t>
            </w:r>
            <w:r w:rsidR="002B4CA0" w:rsidRPr="00520861">
              <w:rPr>
                <w:sz w:val="28"/>
                <w:szCs w:val="28"/>
              </w:rPr>
              <w:t>.1.3</w:t>
            </w:r>
            <w:r w:rsidR="003A7928" w:rsidRPr="00520861">
              <w:rPr>
                <w:sz w:val="28"/>
                <w:szCs w:val="28"/>
              </w:rPr>
              <w:t>.</w:t>
            </w:r>
            <w:r w:rsidR="002B4CA0" w:rsidRPr="00520861">
              <w:rPr>
                <w:sz w:val="28"/>
                <w:szCs w:val="28"/>
              </w:rPr>
              <w:t xml:space="preserve"> Вивчення поширеності</w:t>
            </w:r>
            <w:r w:rsidR="00174453" w:rsidRPr="00520861">
              <w:rPr>
                <w:sz w:val="28"/>
                <w:szCs w:val="28"/>
              </w:rPr>
              <w:t xml:space="preserve"> </w:t>
            </w:r>
            <w:r w:rsidR="008A5F19" w:rsidRPr="00520861">
              <w:rPr>
                <w:sz w:val="28"/>
                <w:szCs w:val="28"/>
              </w:rPr>
              <w:t>карієсу в</w:t>
            </w:r>
            <w:r w:rsidR="002B4CA0" w:rsidRPr="00520861">
              <w:rPr>
                <w:sz w:val="28"/>
                <w:szCs w:val="28"/>
              </w:rPr>
              <w:t xml:space="preserve"> дітей..……………...........…</w:t>
            </w:r>
            <w:r w:rsidR="00D132E7" w:rsidRPr="00520861">
              <w:rPr>
                <w:sz w:val="28"/>
                <w:szCs w:val="28"/>
              </w:rPr>
              <w:t>..</w:t>
            </w:r>
            <w:r w:rsidR="002B4CA0" w:rsidRPr="00520861">
              <w:rPr>
                <w:sz w:val="28"/>
                <w:szCs w:val="28"/>
              </w:rPr>
              <w:t>…</w:t>
            </w:r>
          </w:p>
        </w:tc>
        <w:tc>
          <w:tcPr>
            <w:tcW w:w="708" w:type="dxa"/>
            <w:shd w:val="clear" w:color="auto" w:fill="auto"/>
          </w:tcPr>
          <w:p w14:paraId="703ECA8D" w14:textId="77777777" w:rsidR="002B4CA0" w:rsidRPr="00520861" w:rsidRDefault="009706E0" w:rsidP="00292D2E">
            <w:pPr>
              <w:widowControl w:val="0"/>
              <w:spacing w:line="360" w:lineRule="auto"/>
              <w:jc w:val="right"/>
              <w:rPr>
                <w:sz w:val="28"/>
                <w:szCs w:val="28"/>
              </w:rPr>
            </w:pPr>
            <w:r w:rsidRPr="00520861">
              <w:rPr>
                <w:sz w:val="28"/>
                <w:szCs w:val="28"/>
              </w:rPr>
              <w:t>76</w:t>
            </w:r>
          </w:p>
        </w:tc>
      </w:tr>
      <w:tr w:rsidR="002B4CA0" w:rsidRPr="00520861" w14:paraId="6D1CF793" w14:textId="77777777" w:rsidTr="00032B7F">
        <w:tc>
          <w:tcPr>
            <w:tcW w:w="9606" w:type="dxa"/>
            <w:shd w:val="clear" w:color="auto" w:fill="auto"/>
          </w:tcPr>
          <w:p w14:paraId="36A77A00" w14:textId="77777777" w:rsidR="002B4CA0" w:rsidRPr="00520861" w:rsidRDefault="0052772D" w:rsidP="00292D2E">
            <w:pPr>
              <w:widowControl w:val="0"/>
              <w:spacing w:line="360" w:lineRule="auto"/>
              <w:ind w:left="567"/>
              <w:rPr>
                <w:sz w:val="28"/>
                <w:szCs w:val="28"/>
              </w:rPr>
            </w:pPr>
            <w:r w:rsidRPr="00520861">
              <w:rPr>
                <w:sz w:val="28"/>
                <w:szCs w:val="28"/>
              </w:rPr>
              <w:t>2.3</w:t>
            </w:r>
            <w:r w:rsidR="002B4CA0" w:rsidRPr="00520861">
              <w:rPr>
                <w:sz w:val="28"/>
                <w:szCs w:val="28"/>
              </w:rPr>
              <w:t>.2</w:t>
            </w:r>
            <w:r w:rsidR="003A7928" w:rsidRPr="00520861">
              <w:rPr>
                <w:sz w:val="28"/>
                <w:szCs w:val="28"/>
              </w:rPr>
              <w:t>.</w:t>
            </w:r>
            <w:r w:rsidR="002B4CA0" w:rsidRPr="00520861">
              <w:rPr>
                <w:sz w:val="28"/>
                <w:szCs w:val="28"/>
              </w:rPr>
              <w:t xml:space="preserve"> Характеристика груп осіб, які були залучені до опитування ……</w:t>
            </w:r>
            <w:r w:rsidR="00D132E7" w:rsidRPr="00520861">
              <w:rPr>
                <w:sz w:val="28"/>
                <w:szCs w:val="28"/>
              </w:rPr>
              <w:t>.</w:t>
            </w:r>
            <w:r w:rsidR="002B4CA0" w:rsidRPr="00520861">
              <w:rPr>
                <w:sz w:val="28"/>
                <w:szCs w:val="28"/>
              </w:rPr>
              <w:t>…</w:t>
            </w:r>
          </w:p>
        </w:tc>
        <w:tc>
          <w:tcPr>
            <w:tcW w:w="708" w:type="dxa"/>
            <w:shd w:val="clear" w:color="auto" w:fill="auto"/>
          </w:tcPr>
          <w:p w14:paraId="520035CE" w14:textId="77777777" w:rsidR="002B4CA0" w:rsidRPr="00520861" w:rsidRDefault="009706E0" w:rsidP="00292D2E">
            <w:pPr>
              <w:widowControl w:val="0"/>
              <w:spacing w:line="360" w:lineRule="auto"/>
              <w:jc w:val="right"/>
              <w:rPr>
                <w:sz w:val="28"/>
                <w:szCs w:val="28"/>
              </w:rPr>
            </w:pPr>
            <w:r w:rsidRPr="00520861">
              <w:rPr>
                <w:sz w:val="28"/>
                <w:szCs w:val="28"/>
              </w:rPr>
              <w:t>76</w:t>
            </w:r>
          </w:p>
        </w:tc>
      </w:tr>
      <w:tr w:rsidR="002B4CA0" w:rsidRPr="00520861" w14:paraId="24113E0C" w14:textId="77777777" w:rsidTr="00032B7F">
        <w:tc>
          <w:tcPr>
            <w:tcW w:w="9606" w:type="dxa"/>
            <w:shd w:val="clear" w:color="auto" w:fill="auto"/>
          </w:tcPr>
          <w:p w14:paraId="0B52B725" w14:textId="77777777" w:rsidR="002B4CA0" w:rsidRPr="00520861" w:rsidRDefault="0089204E" w:rsidP="00292D2E">
            <w:pPr>
              <w:widowControl w:val="0"/>
              <w:spacing w:line="360" w:lineRule="auto"/>
              <w:ind w:left="567" w:right="-108"/>
              <w:rPr>
                <w:sz w:val="28"/>
                <w:szCs w:val="28"/>
              </w:rPr>
            </w:pPr>
            <w:r w:rsidRPr="00520861">
              <w:rPr>
                <w:sz w:val="28"/>
                <w:szCs w:val="28"/>
              </w:rPr>
              <w:t>2.3</w:t>
            </w:r>
            <w:r w:rsidR="002B4CA0" w:rsidRPr="00520861">
              <w:rPr>
                <w:sz w:val="28"/>
                <w:szCs w:val="28"/>
              </w:rPr>
              <w:t>.3</w:t>
            </w:r>
            <w:r w:rsidR="003A7928" w:rsidRPr="00520861">
              <w:rPr>
                <w:sz w:val="28"/>
                <w:szCs w:val="28"/>
              </w:rPr>
              <w:t>.</w:t>
            </w:r>
            <w:r w:rsidR="002B4CA0" w:rsidRPr="00520861">
              <w:rPr>
                <w:sz w:val="28"/>
                <w:szCs w:val="28"/>
              </w:rPr>
              <w:t xml:space="preserve"> </w:t>
            </w:r>
            <w:r w:rsidR="00546FA7" w:rsidRPr="00520861">
              <w:rPr>
                <w:spacing w:val="-2"/>
                <w:sz w:val="28"/>
                <w:szCs w:val="28"/>
              </w:rPr>
              <w:t>Характеристика груп осіб, які були залучені до клінічних досліджень</w:t>
            </w:r>
            <w:r w:rsidR="00546FA7" w:rsidRPr="00520861">
              <w:rPr>
                <w:sz w:val="28"/>
                <w:szCs w:val="28"/>
              </w:rPr>
              <w:t xml:space="preserve"> </w:t>
            </w:r>
          </w:p>
        </w:tc>
        <w:tc>
          <w:tcPr>
            <w:tcW w:w="708" w:type="dxa"/>
            <w:shd w:val="clear" w:color="auto" w:fill="auto"/>
          </w:tcPr>
          <w:p w14:paraId="7F48B9EA" w14:textId="77777777" w:rsidR="002B4CA0" w:rsidRPr="00520861" w:rsidRDefault="009706E0" w:rsidP="00292D2E">
            <w:pPr>
              <w:widowControl w:val="0"/>
              <w:spacing w:line="360" w:lineRule="auto"/>
              <w:jc w:val="right"/>
              <w:rPr>
                <w:sz w:val="28"/>
                <w:szCs w:val="28"/>
              </w:rPr>
            </w:pPr>
            <w:r w:rsidRPr="00520861">
              <w:rPr>
                <w:sz w:val="28"/>
                <w:szCs w:val="28"/>
              </w:rPr>
              <w:t>78</w:t>
            </w:r>
          </w:p>
        </w:tc>
      </w:tr>
      <w:tr w:rsidR="002B4CA0" w:rsidRPr="00520861" w14:paraId="64EE7855" w14:textId="77777777" w:rsidTr="00032B7F">
        <w:tc>
          <w:tcPr>
            <w:tcW w:w="9606" w:type="dxa"/>
            <w:shd w:val="clear" w:color="auto" w:fill="auto"/>
          </w:tcPr>
          <w:p w14:paraId="44860589" w14:textId="77777777" w:rsidR="002B4CA0" w:rsidRPr="00520861" w:rsidRDefault="00A2123E" w:rsidP="00292D2E">
            <w:pPr>
              <w:widowControl w:val="0"/>
              <w:spacing w:line="360" w:lineRule="auto"/>
              <w:ind w:firstLine="567"/>
              <w:jc w:val="both"/>
              <w:rPr>
                <w:spacing w:val="-6"/>
                <w:sz w:val="28"/>
                <w:szCs w:val="28"/>
              </w:rPr>
            </w:pPr>
            <w:r w:rsidRPr="00520861">
              <w:rPr>
                <w:spacing w:val="-6"/>
                <w:sz w:val="28"/>
                <w:szCs w:val="28"/>
              </w:rPr>
              <w:t>2.3.4. Характеристика груп осіб, які були залучені до біохімічних досліджень</w:t>
            </w:r>
          </w:p>
        </w:tc>
        <w:tc>
          <w:tcPr>
            <w:tcW w:w="708" w:type="dxa"/>
            <w:shd w:val="clear" w:color="auto" w:fill="auto"/>
          </w:tcPr>
          <w:p w14:paraId="648F34EE" w14:textId="77777777" w:rsidR="002B4CA0" w:rsidRPr="00520861" w:rsidRDefault="009706E0" w:rsidP="00292D2E">
            <w:pPr>
              <w:widowControl w:val="0"/>
              <w:spacing w:line="360" w:lineRule="auto"/>
              <w:jc w:val="right"/>
              <w:rPr>
                <w:sz w:val="28"/>
                <w:szCs w:val="28"/>
              </w:rPr>
            </w:pPr>
            <w:r w:rsidRPr="00520861">
              <w:rPr>
                <w:sz w:val="28"/>
                <w:szCs w:val="28"/>
              </w:rPr>
              <w:t>82</w:t>
            </w:r>
          </w:p>
        </w:tc>
      </w:tr>
      <w:tr w:rsidR="002B4CA0" w:rsidRPr="00520861" w14:paraId="65827986" w14:textId="77777777" w:rsidTr="00032B7F">
        <w:tc>
          <w:tcPr>
            <w:tcW w:w="9606" w:type="dxa"/>
            <w:shd w:val="clear" w:color="auto" w:fill="auto"/>
          </w:tcPr>
          <w:p w14:paraId="2B8B47F8" w14:textId="77777777" w:rsidR="002B4CA0" w:rsidRPr="00520861" w:rsidRDefault="0089204E" w:rsidP="00292D2E">
            <w:pPr>
              <w:widowControl w:val="0"/>
              <w:spacing w:line="360" w:lineRule="auto"/>
              <w:ind w:left="567"/>
              <w:rPr>
                <w:sz w:val="28"/>
                <w:szCs w:val="28"/>
              </w:rPr>
            </w:pPr>
            <w:r w:rsidRPr="00520861">
              <w:rPr>
                <w:sz w:val="28"/>
                <w:szCs w:val="28"/>
              </w:rPr>
              <w:t>2.3</w:t>
            </w:r>
            <w:r w:rsidR="002B4CA0" w:rsidRPr="00520861">
              <w:rPr>
                <w:sz w:val="28"/>
                <w:szCs w:val="28"/>
              </w:rPr>
              <w:t>.5</w:t>
            </w:r>
            <w:r w:rsidR="00084167" w:rsidRPr="00520861">
              <w:rPr>
                <w:sz w:val="28"/>
                <w:szCs w:val="28"/>
              </w:rPr>
              <w:t>.</w:t>
            </w:r>
            <w:r w:rsidR="002B4CA0" w:rsidRPr="00520861">
              <w:rPr>
                <w:sz w:val="28"/>
                <w:szCs w:val="28"/>
              </w:rPr>
              <w:t xml:space="preserve"> Характеристика груп осіб</w:t>
            </w:r>
            <w:r w:rsidR="006E2322" w:rsidRPr="00520861">
              <w:rPr>
                <w:sz w:val="28"/>
                <w:szCs w:val="28"/>
              </w:rPr>
              <w:t>,</w:t>
            </w:r>
            <w:r w:rsidR="002B4CA0" w:rsidRPr="00520861">
              <w:rPr>
                <w:sz w:val="28"/>
                <w:szCs w:val="28"/>
              </w:rPr>
              <w:t xml:space="preserve"> які були залучені до </w:t>
            </w:r>
            <w:r w:rsidR="000F6D5F" w:rsidRPr="00520861">
              <w:rPr>
                <w:sz w:val="28"/>
                <w:szCs w:val="28"/>
              </w:rPr>
              <w:br/>
            </w:r>
            <w:r w:rsidR="004560A6" w:rsidRPr="00520861">
              <w:rPr>
                <w:sz w:val="28"/>
                <w:szCs w:val="28"/>
              </w:rPr>
              <w:t>молекулярно-генетичних дослідже</w:t>
            </w:r>
            <w:r w:rsidR="002B4CA0" w:rsidRPr="00520861">
              <w:rPr>
                <w:sz w:val="28"/>
                <w:szCs w:val="28"/>
              </w:rPr>
              <w:t>нь.............………………………</w:t>
            </w:r>
            <w:r w:rsidR="00D132E7" w:rsidRPr="00520861">
              <w:rPr>
                <w:sz w:val="28"/>
                <w:szCs w:val="28"/>
              </w:rPr>
              <w:t>…</w:t>
            </w:r>
            <w:r w:rsidR="002B4CA0" w:rsidRPr="00520861">
              <w:rPr>
                <w:sz w:val="28"/>
                <w:szCs w:val="28"/>
              </w:rPr>
              <w:t>…….</w:t>
            </w:r>
          </w:p>
        </w:tc>
        <w:tc>
          <w:tcPr>
            <w:tcW w:w="708" w:type="dxa"/>
            <w:shd w:val="clear" w:color="auto" w:fill="auto"/>
          </w:tcPr>
          <w:p w14:paraId="1954CEEF" w14:textId="77777777" w:rsidR="002B4CA0" w:rsidRPr="00520861" w:rsidRDefault="002B4CA0" w:rsidP="00292D2E">
            <w:pPr>
              <w:widowControl w:val="0"/>
              <w:spacing w:line="360" w:lineRule="auto"/>
              <w:jc w:val="right"/>
              <w:rPr>
                <w:sz w:val="28"/>
                <w:szCs w:val="28"/>
              </w:rPr>
            </w:pPr>
          </w:p>
          <w:p w14:paraId="6593787E" w14:textId="77777777" w:rsidR="002B4CA0" w:rsidRPr="00520861" w:rsidRDefault="009706E0" w:rsidP="00292D2E">
            <w:pPr>
              <w:widowControl w:val="0"/>
              <w:spacing w:line="360" w:lineRule="auto"/>
              <w:jc w:val="right"/>
              <w:rPr>
                <w:sz w:val="28"/>
                <w:szCs w:val="28"/>
              </w:rPr>
            </w:pPr>
            <w:r w:rsidRPr="00520861">
              <w:rPr>
                <w:sz w:val="28"/>
                <w:szCs w:val="28"/>
              </w:rPr>
              <w:t>84</w:t>
            </w:r>
          </w:p>
        </w:tc>
      </w:tr>
      <w:tr w:rsidR="002B4CA0" w:rsidRPr="00520861" w14:paraId="6E490C44" w14:textId="77777777" w:rsidTr="00032B7F">
        <w:tc>
          <w:tcPr>
            <w:tcW w:w="9606" w:type="dxa"/>
            <w:shd w:val="clear" w:color="auto" w:fill="auto"/>
          </w:tcPr>
          <w:p w14:paraId="597CFE44" w14:textId="77777777" w:rsidR="002B4CA0" w:rsidRPr="00520861" w:rsidRDefault="00A01032" w:rsidP="00292D2E">
            <w:pPr>
              <w:widowControl w:val="0"/>
              <w:spacing w:line="360" w:lineRule="auto"/>
              <w:ind w:left="284"/>
              <w:rPr>
                <w:sz w:val="28"/>
                <w:szCs w:val="28"/>
              </w:rPr>
            </w:pPr>
            <w:r w:rsidRPr="00520861">
              <w:rPr>
                <w:sz w:val="28"/>
                <w:szCs w:val="28"/>
              </w:rPr>
              <w:t>2.4</w:t>
            </w:r>
            <w:r w:rsidR="00084167" w:rsidRPr="00520861">
              <w:rPr>
                <w:sz w:val="28"/>
                <w:szCs w:val="28"/>
              </w:rPr>
              <w:t>.</w:t>
            </w:r>
            <w:r w:rsidR="00C51746" w:rsidRPr="00520861">
              <w:rPr>
                <w:sz w:val="28"/>
                <w:szCs w:val="28"/>
              </w:rPr>
              <w:t xml:space="preserve"> Характеристика </w:t>
            </w:r>
            <w:r w:rsidR="00C90262" w:rsidRPr="00520861">
              <w:rPr>
                <w:sz w:val="28"/>
                <w:szCs w:val="28"/>
              </w:rPr>
              <w:t>а</w:t>
            </w:r>
            <w:r w:rsidR="002B4CA0" w:rsidRPr="00520861">
              <w:rPr>
                <w:sz w:val="28"/>
                <w:szCs w:val="28"/>
              </w:rPr>
              <w:t>намнестичн</w:t>
            </w:r>
            <w:r w:rsidR="00C90262" w:rsidRPr="00520861">
              <w:rPr>
                <w:sz w:val="28"/>
                <w:szCs w:val="28"/>
              </w:rPr>
              <w:t>их (опитувальних) методів дослідження</w:t>
            </w:r>
            <w:r w:rsidR="00D132E7" w:rsidRPr="00520861">
              <w:rPr>
                <w:sz w:val="28"/>
                <w:szCs w:val="28"/>
              </w:rPr>
              <w:t>…</w:t>
            </w:r>
          </w:p>
        </w:tc>
        <w:tc>
          <w:tcPr>
            <w:tcW w:w="708" w:type="dxa"/>
            <w:shd w:val="clear" w:color="auto" w:fill="auto"/>
          </w:tcPr>
          <w:p w14:paraId="2B3368D2" w14:textId="77777777" w:rsidR="002B4CA0" w:rsidRPr="00520861" w:rsidRDefault="009706E0" w:rsidP="00292D2E">
            <w:pPr>
              <w:widowControl w:val="0"/>
              <w:spacing w:line="360" w:lineRule="auto"/>
              <w:jc w:val="right"/>
              <w:rPr>
                <w:sz w:val="28"/>
                <w:szCs w:val="28"/>
              </w:rPr>
            </w:pPr>
            <w:r w:rsidRPr="00520861">
              <w:rPr>
                <w:sz w:val="28"/>
                <w:szCs w:val="28"/>
              </w:rPr>
              <w:t>90</w:t>
            </w:r>
          </w:p>
        </w:tc>
      </w:tr>
      <w:tr w:rsidR="002B4CA0" w:rsidRPr="00520861" w14:paraId="4D14709A" w14:textId="77777777" w:rsidTr="00032B7F">
        <w:tc>
          <w:tcPr>
            <w:tcW w:w="9606" w:type="dxa"/>
            <w:shd w:val="clear" w:color="auto" w:fill="auto"/>
          </w:tcPr>
          <w:p w14:paraId="03686D97" w14:textId="77777777" w:rsidR="002B4CA0" w:rsidRPr="00520861" w:rsidRDefault="00A01032" w:rsidP="00292D2E">
            <w:pPr>
              <w:widowControl w:val="0"/>
              <w:spacing w:line="360" w:lineRule="auto"/>
              <w:ind w:left="284"/>
              <w:rPr>
                <w:sz w:val="28"/>
                <w:szCs w:val="28"/>
              </w:rPr>
            </w:pPr>
            <w:r w:rsidRPr="00520861">
              <w:rPr>
                <w:sz w:val="28"/>
                <w:szCs w:val="28"/>
              </w:rPr>
              <w:t>2.5</w:t>
            </w:r>
            <w:r w:rsidR="00084167" w:rsidRPr="00520861">
              <w:rPr>
                <w:sz w:val="28"/>
                <w:szCs w:val="28"/>
              </w:rPr>
              <w:t>.</w:t>
            </w:r>
            <w:r w:rsidR="002B4CA0" w:rsidRPr="00520861">
              <w:rPr>
                <w:sz w:val="28"/>
                <w:szCs w:val="28"/>
              </w:rPr>
              <w:t xml:space="preserve"> </w:t>
            </w:r>
            <w:r w:rsidR="00C90262" w:rsidRPr="00520861">
              <w:rPr>
                <w:sz w:val="28"/>
                <w:szCs w:val="28"/>
              </w:rPr>
              <w:t>Характеристика методів</w:t>
            </w:r>
            <w:r w:rsidR="002B4CA0" w:rsidRPr="00520861">
              <w:rPr>
                <w:sz w:val="28"/>
                <w:szCs w:val="28"/>
              </w:rPr>
              <w:t xml:space="preserve"> клінічного та клініко-інс</w:t>
            </w:r>
            <w:r w:rsidR="00C90262" w:rsidRPr="00520861">
              <w:rPr>
                <w:sz w:val="28"/>
                <w:szCs w:val="28"/>
              </w:rPr>
              <w:t xml:space="preserve">трументального </w:t>
            </w:r>
            <w:r w:rsidR="00C90262" w:rsidRPr="00520861">
              <w:rPr>
                <w:sz w:val="28"/>
                <w:szCs w:val="28"/>
              </w:rPr>
              <w:br/>
              <w:t>дослідження………………………………………………………………</w:t>
            </w:r>
            <w:r w:rsidR="00D132E7" w:rsidRPr="00520861">
              <w:rPr>
                <w:sz w:val="28"/>
                <w:szCs w:val="28"/>
              </w:rPr>
              <w:t>...</w:t>
            </w:r>
            <w:r w:rsidR="00C90262" w:rsidRPr="00520861">
              <w:rPr>
                <w:sz w:val="28"/>
                <w:szCs w:val="28"/>
              </w:rPr>
              <w:t>…….</w:t>
            </w:r>
          </w:p>
        </w:tc>
        <w:tc>
          <w:tcPr>
            <w:tcW w:w="708" w:type="dxa"/>
            <w:shd w:val="clear" w:color="auto" w:fill="auto"/>
          </w:tcPr>
          <w:p w14:paraId="5840E816" w14:textId="77777777" w:rsidR="002B4CA0" w:rsidRPr="00520861" w:rsidRDefault="00AC042E" w:rsidP="00292D2E">
            <w:pPr>
              <w:widowControl w:val="0"/>
              <w:spacing w:line="360" w:lineRule="auto"/>
              <w:jc w:val="right"/>
              <w:rPr>
                <w:sz w:val="28"/>
                <w:szCs w:val="28"/>
              </w:rPr>
            </w:pPr>
            <w:r w:rsidRPr="00520861">
              <w:rPr>
                <w:sz w:val="28"/>
                <w:szCs w:val="28"/>
              </w:rPr>
              <w:t>9</w:t>
            </w:r>
            <w:r w:rsidR="009706E0" w:rsidRPr="00520861">
              <w:rPr>
                <w:sz w:val="28"/>
                <w:szCs w:val="28"/>
              </w:rPr>
              <w:t>2</w:t>
            </w:r>
          </w:p>
        </w:tc>
      </w:tr>
      <w:tr w:rsidR="002B4CA0" w:rsidRPr="00520861" w14:paraId="49F86043" w14:textId="77777777" w:rsidTr="00032B7F">
        <w:tc>
          <w:tcPr>
            <w:tcW w:w="9606" w:type="dxa"/>
            <w:shd w:val="clear" w:color="auto" w:fill="auto"/>
          </w:tcPr>
          <w:p w14:paraId="2430B145" w14:textId="77777777" w:rsidR="002B4CA0" w:rsidRPr="00520861" w:rsidRDefault="00A01032" w:rsidP="00292D2E">
            <w:pPr>
              <w:widowControl w:val="0"/>
              <w:spacing w:line="360" w:lineRule="auto"/>
              <w:ind w:left="284"/>
              <w:rPr>
                <w:sz w:val="28"/>
                <w:szCs w:val="28"/>
              </w:rPr>
            </w:pPr>
            <w:r w:rsidRPr="00520861">
              <w:rPr>
                <w:sz w:val="28"/>
                <w:szCs w:val="28"/>
              </w:rPr>
              <w:t>2.6</w:t>
            </w:r>
            <w:r w:rsidR="004D3436" w:rsidRPr="00520861">
              <w:rPr>
                <w:sz w:val="28"/>
                <w:szCs w:val="28"/>
              </w:rPr>
              <w:t>. Характеристика методів</w:t>
            </w:r>
            <w:r w:rsidR="002B4CA0" w:rsidRPr="00520861">
              <w:rPr>
                <w:sz w:val="28"/>
                <w:szCs w:val="28"/>
              </w:rPr>
              <w:t xml:space="preserve"> клініко-ретросп</w:t>
            </w:r>
            <w:r w:rsidR="004D3436" w:rsidRPr="00520861">
              <w:rPr>
                <w:sz w:val="28"/>
                <w:szCs w:val="28"/>
              </w:rPr>
              <w:t>ективного дослідження.…</w:t>
            </w:r>
            <w:r w:rsidR="00D132E7" w:rsidRPr="00520861">
              <w:rPr>
                <w:sz w:val="28"/>
                <w:szCs w:val="28"/>
              </w:rPr>
              <w:t>…</w:t>
            </w:r>
            <w:r w:rsidR="004D3436" w:rsidRPr="00520861">
              <w:rPr>
                <w:sz w:val="28"/>
                <w:szCs w:val="28"/>
              </w:rPr>
              <w:t>…</w:t>
            </w:r>
          </w:p>
        </w:tc>
        <w:tc>
          <w:tcPr>
            <w:tcW w:w="708" w:type="dxa"/>
            <w:shd w:val="clear" w:color="auto" w:fill="auto"/>
          </w:tcPr>
          <w:p w14:paraId="7B0D5810" w14:textId="77777777" w:rsidR="002B4CA0" w:rsidRPr="00520861" w:rsidRDefault="009706E0" w:rsidP="00292D2E">
            <w:pPr>
              <w:widowControl w:val="0"/>
              <w:spacing w:line="360" w:lineRule="auto"/>
              <w:jc w:val="right"/>
              <w:rPr>
                <w:sz w:val="28"/>
                <w:szCs w:val="28"/>
              </w:rPr>
            </w:pPr>
            <w:r w:rsidRPr="00520861">
              <w:rPr>
                <w:sz w:val="28"/>
                <w:szCs w:val="28"/>
              </w:rPr>
              <w:t>98</w:t>
            </w:r>
          </w:p>
        </w:tc>
      </w:tr>
      <w:tr w:rsidR="002B4CA0" w:rsidRPr="00520861" w14:paraId="4FFE01A7" w14:textId="77777777" w:rsidTr="00032B7F">
        <w:tc>
          <w:tcPr>
            <w:tcW w:w="9606" w:type="dxa"/>
            <w:shd w:val="clear" w:color="auto" w:fill="auto"/>
          </w:tcPr>
          <w:p w14:paraId="5891CD52" w14:textId="77777777" w:rsidR="002B4CA0" w:rsidRPr="00520861" w:rsidRDefault="00A01032" w:rsidP="00292D2E">
            <w:pPr>
              <w:widowControl w:val="0"/>
              <w:spacing w:line="360" w:lineRule="auto"/>
              <w:ind w:left="284"/>
              <w:rPr>
                <w:sz w:val="28"/>
                <w:szCs w:val="28"/>
              </w:rPr>
            </w:pPr>
            <w:r w:rsidRPr="00520861">
              <w:rPr>
                <w:sz w:val="28"/>
                <w:szCs w:val="28"/>
              </w:rPr>
              <w:t>2.7</w:t>
            </w:r>
            <w:r w:rsidR="00084167" w:rsidRPr="00520861">
              <w:rPr>
                <w:sz w:val="28"/>
                <w:szCs w:val="28"/>
              </w:rPr>
              <w:t>.</w:t>
            </w:r>
            <w:r w:rsidR="002B4CA0" w:rsidRPr="00520861">
              <w:rPr>
                <w:sz w:val="28"/>
                <w:szCs w:val="28"/>
              </w:rPr>
              <w:t xml:space="preserve"> </w:t>
            </w:r>
            <w:r w:rsidR="00562081" w:rsidRPr="00520861">
              <w:rPr>
                <w:sz w:val="28"/>
                <w:szCs w:val="28"/>
              </w:rPr>
              <w:t>Характеристика біохімічних</w:t>
            </w:r>
            <w:r w:rsidR="002B4CA0" w:rsidRPr="00520861">
              <w:rPr>
                <w:sz w:val="28"/>
                <w:szCs w:val="28"/>
              </w:rPr>
              <w:t xml:space="preserve"> та біофізичн</w:t>
            </w:r>
            <w:r w:rsidR="00562081" w:rsidRPr="00520861">
              <w:rPr>
                <w:sz w:val="28"/>
                <w:szCs w:val="28"/>
              </w:rPr>
              <w:t>их</w:t>
            </w:r>
            <w:r w:rsidR="003848B0" w:rsidRPr="00520861">
              <w:rPr>
                <w:sz w:val="28"/>
                <w:szCs w:val="28"/>
              </w:rPr>
              <w:t xml:space="preserve"> методів</w:t>
            </w:r>
            <w:r w:rsidR="002B4CA0" w:rsidRPr="00520861">
              <w:rPr>
                <w:sz w:val="28"/>
                <w:szCs w:val="28"/>
              </w:rPr>
              <w:t xml:space="preserve"> дослідження </w:t>
            </w:r>
            <w:r w:rsidR="00562081" w:rsidRPr="00520861">
              <w:rPr>
                <w:sz w:val="28"/>
                <w:szCs w:val="28"/>
              </w:rPr>
              <w:br/>
            </w:r>
            <w:r w:rsidR="002B4CA0" w:rsidRPr="00520861">
              <w:rPr>
                <w:sz w:val="28"/>
                <w:szCs w:val="28"/>
              </w:rPr>
              <w:t>ротової рідини.…………</w:t>
            </w:r>
            <w:r w:rsidR="00562081" w:rsidRPr="00520861">
              <w:rPr>
                <w:sz w:val="28"/>
                <w:szCs w:val="28"/>
              </w:rPr>
              <w:t>……………………………………………………</w:t>
            </w:r>
            <w:r w:rsidR="00D132E7" w:rsidRPr="00520861">
              <w:rPr>
                <w:sz w:val="28"/>
                <w:szCs w:val="28"/>
              </w:rPr>
              <w:t>…</w:t>
            </w:r>
            <w:r w:rsidR="00562081" w:rsidRPr="00520861">
              <w:rPr>
                <w:sz w:val="28"/>
                <w:szCs w:val="28"/>
              </w:rPr>
              <w:t>.</w:t>
            </w:r>
            <w:r w:rsidR="002B4CA0" w:rsidRPr="00520861">
              <w:rPr>
                <w:sz w:val="28"/>
                <w:szCs w:val="28"/>
              </w:rPr>
              <w:t>..</w:t>
            </w:r>
          </w:p>
        </w:tc>
        <w:tc>
          <w:tcPr>
            <w:tcW w:w="708" w:type="dxa"/>
            <w:shd w:val="clear" w:color="auto" w:fill="auto"/>
          </w:tcPr>
          <w:p w14:paraId="6C7E9A9A" w14:textId="77777777" w:rsidR="002B4CA0" w:rsidRPr="00520861" w:rsidRDefault="009706E0" w:rsidP="00292D2E">
            <w:pPr>
              <w:widowControl w:val="0"/>
              <w:spacing w:line="360" w:lineRule="auto"/>
              <w:jc w:val="right"/>
              <w:rPr>
                <w:sz w:val="28"/>
                <w:szCs w:val="28"/>
              </w:rPr>
            </w:pPr>
            <w:r w:rsidRPr="00520861">
              <w:rPr>
                <w:sz w:val="28"/>
                <w:szCs w:val="28"/>
              </w:rPr>
              <w:t>99</w:t>
            </w:r>
          </w:p>
        </w:tc>
      </w:tr>
      <w:tr w:rsidR="002B4CA0" w:rsidRPr="00520861" w14:paraId="5CA6A811" w14:textId="77777777" w:rsidTr="00032B7F">
        <w:tc>
          <w:tcPr>
            <w:tcW w:w="9606" w:type="dxa"/>
            <w:shd w:val="clear" w:color="auto" w:fill="auto"/>
          </w:tcPr>
          <w:p w14:paraId="5E92394F" w14:textId="77777777" w:rsidR="002B4CA0" w:rsidRPr="00520861" w:rsidRDefault="00A01032" w:rsidP="00292D2E">
            <w:pPr>
              <w:widowControl w:val="0"/>
              <w:spacing w:line="360" w:lineRule="auto"/>
              <w:ind w:left="284"/>
              <w:rPr>
                <w:sz w:val="28"/>
                <w:szCs w:val="28"/>
              </w:rPr>
            </w:pPr>
            <w:r w:rsidRPr="00520861">
              <w:rPr>
                <w:sz w:val="28"/>
                <w:szCs w:val="28"/>
              </w:rPr>
              <w:t>2.8</w:t>
            </w:r>
            <w:r w:rsidR="00084167" w:rsidRPr="00520861">
              <w:rPr>
                <w:sz w:val="28"/>
                <w:szCs w:val="28"/>
              </w:rPr>
              <w:t>.</w:t>
            </w:r>
            <w:r w:rsidR="002B4CA0" w:rsidRPr="00520861">
              <w:rPr>
                <w:sz w:val="28"/>
                <w:szCs w:val="28"/>
              </w:rPr>
              <w:t xml:space="preserve"> </w:t>
            </w:r>
            <w:r w:rsidR="003848B0" w:rsidRPr="00520861">
              <w:rPr>
                <w:sz w:val="28"/>
                <w:szCs w:val="28"/>
              </w:rPr>
              <w:t>Характеристика методів</w:t>
            </w:r>
            <w:r w:rsidR="002B4CA0" w:rsidRPr="00520861">
              <w:rPr>
                <w:sz w:val="28"/>
                <w:szCs w:val="28"/>
              </w:rPr>
              <w:t xml:space="preserve"> молекулярно-г</w:t>
            </w:r>
            <w:r w:rsidR="003848B0" w:rsidRPr="00520861">
              <w:rPr>
                <w:sz w:val="28"/>
                <w:szCs w:val="28"/>
              </w:rPr>
              <w:t>енетичного дослідження……</w:t>
            </w:r>
            <w:r w:rsidR="00D132E7" w:rsidRPr="00520861">
              <w:rPr>
                <w:sz w:val="28"/>
                <w:szCs w:val="28"/>
              </w:rPr>
              <w:t>…</w:t>
            </w:r>
            <w:r w:rsidR="002B4CA0" w:rsidRPr="00520861">
              <w:rPr>
                <w:sz w:val="28"/>
                <w:szCs w:val="28"/>
              </w:rPr>
              <w:t>.</w:t>
            </w:r>
          </w:p>
        </w:tc>
        <w:tc>
          <w:tcPr>
            <w:tcW w:w="708" w:type="dxa"/>
            <w:shd w:val="clear" w:color="auto" w:fill="auto"/>
          </w:tcPr>
          <w:p w14:paraId="2AAD7D24" w14:textId="77777777" w:rsidR="002B4CA0" w:rsidRPr="00520861" w:rsidRDefault="009706E0" w:rsidP="00292D2E">
            <w:pPr>
              <w:widowControl w:val="0"/>
              <w:spacing w:line="360" w:lineRule="auto"/>
              <w:jc w:val="right"/>
              <w:rPr>
                <w:sz w:val="28"/>
                <w:szCs w:val="28"/>
              </w:rPr>
            </w:pPr>
            <w:r w:rsidRPr="00520861">
              <w:rPr>
                <w:sz w:val="28"/>
                <w:szCs w:val="28"/>
              </w:rPr>
              <w:t>104</w:t>
            </w:r>
          </w:p>
        </w:tc>
      </w:tr>
      <w:tr w:rsidR="0052772D" w:rsidRPr="00520861" w14:paraId="49E7BB99" w14:textId="77777777" w:rsidTr="00032B7F">
        <w:tc>
          <w:tcPr>
            <w:tcW w:w="9606" w:type="dxa"/>
            <w:shd w:val="clear" w:color="auto" w:fill="auto"/>
          </w:tcPr>
          <w:p w14:paraId="008A73CA" w14:textId="77777777" w:rsidR="0052772D" w:rsidRPr="00520861" w:rsidRDefault="00A01032" w:rsidP="00292D2E">
            <w:pPr>
              <w:widowControl w:val="0"/>
              <w:spacing w:line="360" w:lineRule="auto"/>
              <w:ind w:left="284"/>
              <w:rPr>
                <w:sz w:val="28"/>
                <w:szCs w:val="28"/>
              </w:rPr>
            </w:pPr>
            <w:r w:rsidRPr="00520861">
              <w:rPr>
                <w:sz w:val="28"/>
                <w:szCs w:val="28"/>
              </w:rPr>
              <w:t>2.9</w:t>
            </w:r>
            <w:r w:rsidR="0052772D" w:rsidRPr="00520861">
              <w:rPr>
                <w:sz w:val="28"/>
                <w:szCs w:val="28"/>
              </w:rPr>
              <w:t>. Характеристика експериментальних груп</w:t>
            </w:r>
            <w:r w:rsidR="000E3975" w:rsidRPr="00520861">
              <w:rPr>
                <w:sz w:val="28"/>
                <w:szCs w:val="28"/>
              </w:rPr>
              <w:t>…………………………</w:t>
            </w:r>
            <w:r w:rsidR="0052772D" w:rsidRPr="00520861">
              <w:rPr>
                <w:sz w:val="28"/>
                <w:szCs w:val="28"/>
              </w:rPr>
              <w:t>....</w:t>
            </w:r>
            <w:r w:rsidR="00D132E7" w:rsidRPr="00520861">
              <w:rPr>
                <w:sz w:val="28"/>
                <w:szCs w:val="28"/>
              </w:rPr>
              <w:t>...</w:t>
            </w:r>
            <w:r w:rsidR="0052772D" w:rsidRPr="00520861">
              <w:rPr>
                <w:sz w:val="28"/>
                <w:szCs w:val="28"/>
              </w:rPr>
              <w:t>.....</w:t>
            </w:r>
          </w:p>
        </w:tc>
        <w:tc>
          <w:tcPr>
            <w:tcW w:w="708" w:type="dxa"/>
            <w:shd w:val="clear" w:color="auto" w:fill="auto"/>
          </w:tcPr>
          <w:p w14:paraId="5A88B72A" w14:textId="77777777" w:rsidR="0052772D" w:rsidRPr="00520861" w:rsidRDefault="009706E0" w:rsidP="00292D2E">
            <w:pPr>
              <w:widowControl w:val="0"/>
              <w:spacing w:line="360" w:lineRule="auto"/>
              <w:jc w:val="right"/>
              <w:rPr>
                <w:sz w:val="28"/>
                <w:szCs w:val="28"/>
              </w:rPr>
            </w:pPr>
            <w:r w:rsidRPr="00520861">
              <w:rPr>
                <w:sz w:val="28"/>
                <w:szCs w:val="28"/>
              </w:rPr>
              <w:t>107</w:t>
            </w:r>
          </w:p>
        </w:tc>
      </w:tr>
      <w:tr w:rsidR="000E3975" w:rsidRPr="00520861" w14:paraId="08A8C18E" w14:textId="77777777" w:rsidTr="00032B7F">
        <w:tc>
          <w:tcPr>
            <w:tcW w:w="9606" w:type="dxa"/>
            <w:shd w:val="clear" w:color="auto" w:fill="auto"/>
          </w:tcPr>
          <w:p w14:paraId="5A14ACC1" w14:textId="77777777" w:rsidR="000E3975" w:rsidRPr="00520861" w:rsidRDefault="000E3975" w:rsidP="00292D2E">
            <w:pPr>
              <w:widowControl w:val="0"/>
              <w:spacing w:line="360" w:lineRule="auto"/>
              <w:ind w:left="284"/>
              <w:rPr>
                <w:sz w:val="28"/>
                <w:szCs w:val="28"/>
              </w:rPr>
            </w:pPr>
            <w:r w:rsidRPr="00520861">
              <w:rPr>
                <w:sz w:val="28"/>
                <w:szCs w:val="28"/>
              </w:rPr>
              <w:t xml:space="preserve">2.10. Характеристика гістологічних, гістохімічних та </w:t>
            </w:r>
            <w:proofErr w:type="spellStart"/>
            <w:r w:rsidRPr="00520861">
              <w:rPr>
                <w:sz w:val="28"/>
                <w:szCs w:val="28"/>
              </w:rPr>
              <w:t>морфометричних</w:t>
            </w:r>
            <w:proofErr w:type="spellEnd"/>
            <w:r w:rsidRPr="00520861">
              <w:rPr>
                <w:sz w:val="28"/>
                <w:szCs w:val="28"/>
              </w:rPr>
              <w:t xml:space="preserve"> </w:t>
            </w:r>
            <w:r w:rsidR="00D132E7" w:rsidRPr="00520861">
              <w:rPr>
                <w:sz w:val="28"/>
                <w:szCs w:val="28"/>
              </w:rPr>
              <w:br/>
            </w:r>
            <w:r w:rsidRPr="00520861">
              <w:rPr>
                <w:sz w:val="28"/>
                <w:szCs w:val="28"/>
              </w:rPr>
              <w:t>методів дослідження</w:t>
            </w:r>
            <w:r w:rsidR="00D132E7" w:rsidRPr="00520861">
              <w:rPr>
                <w:sz w:val="28"/>
                <w:szCs w:val="28"/>
              </w:rPr>
              <w:t>……………………………………………………………..</w:t>
            </w:r>
          </w:p>
        </w:tc>
        <w:tc>
          <w:tcPr>
            <w:tcW w:w="708" w:type="dxa"/>
            <w:shd w:val="clear" w:color="auto" w:fill="auto"/>
          </w:tcPr>
          <w:p w14:paraId="66344F96" w14:textId="77777777" w:rsidR="000E3975" w:rsidRPr="00520861" w:rsidRDefault="000E3975" w:rsidP="00292D2E">
            <w:pPr>
              <w:widowControl w:val="0"/>
              <w:spacing w:line="360" w:lineRule="auto"/>
              <w:jc w:val="right"/>
              <w:rPr>
                <w:sz w:val="28"/>
                <w:szCs w:val="28"/>
              </w:rPr>
            </w:pPr>
          </w:p>
          <w:p w14:paraId="7FDE27C6" w14:textId="77777777" w:rsidR="000E3975" w:rsidRPr="00520861" w:rsidRDefault="009706E0" w:rsidP="00292D2E">
            <w:pPr>
              <w:widowControl w:val="0"/>
              <w:spacing w:line="360" w:lineRule="auto"/>
              <w:jc w:val="right"/>
              <w:rPr>
                <w:sz w:val="28"/>
                <w:szCs w:val="28"/>
              </w:rPr>
            </w:pPr>
            <w:r w:rsidRPr="00520861">
              <w:rPr>
                <w:sz w:val="28"/>
                <w:szCs w:val="28"/>
              </w:rPr>
              <w:t>111</w:t>
            </w:r>
          </w:p>
        </w:tc>
      </w:tr>
      <w:tr w:rsidR="00D03DDB" w:rsidRPr="00520861" w14:paraId="0AFE2EC3" w14:textId="77777777" w:rsidTr="00032B7F">
        <w:tc>
          <w:tcPr>
            <w:tcW w:w="9606" w:type="dxa"/>
            <w:shd w:val="clear" w:color="auto" w:fill="auto"/>
          </w:tcPr>
          <w:p w14:paraId="4D162A58" w14:textId="77777777" w:rsidR="00D03DDB" w:rsidRPr="00520861" w:rsidRDefault="00D03DDB" w:rsidP="00292D2E">
            <w:pPr>
              <w:widowControl w:val="0"/>
              <w:spacing w:line="360" w:lineRule="auto"/>
              <w:ind w:left="284"/>
              <w:rPr>
                <w:sz w:val="28"/>
                <w:szCs w:val="28"/>
              </w:rPr>
            </w:pPr>
            <w:r w:rsidRPr="00520861">
              <w:rPr>
                <w:sz w:val="28"/>
                <w:szCs w:val="28"/>
              </w:rPr>
              <w:t>2.11. Деонтологічні та етичні аспекти дослідження………………………</w:t>
            </w:r>
            <w:r w:rsidR="00DC5C9F" w:rsidRPr="00520861">
              <w:rPr>
                <w:sz w:val="28"/>
                <w:szCs w:val="28"/>
                <w:lang w:val="ru-RU"/>
              </w:rPr>
              <w:t>...</w:t>
            </w:r>
            <w:r w:rsidRPr="00520861">
              <w:rPr>
                <w:sz w:val="28"/>
                <w:szCs w:val="28"/>
              </w:rPr>
              <w:t>…</w:t>
            </w:r>
          </w:p>
        </w:tc>
        <w:tc>
          <w:tcPr>
            <w:tcW w:w="708" w:type="dxa"/>
            <w:shd w:val="clear" w:color="auto" w:fill="auto"/>
          </w:tcPr>
          <w:p w14:paraId="66634FED" w14:textId="77777777" w:rsidR="00D03DDB" w:rsidRPr="00520861" w:rsidRDefault="009706E0" w:rsidP="00292D2E">
            <w:pPr>
              <w:widowControl w:val="0"/>
              <w:spacing w:line="360" w:lineRule="auto"/>
              <w:jc w:val="right"/>
              <w:rPr>
                <w:sz w:val="28"/>
                <w:szCs w:val="28"/>
              </w:rPr>
            </w:pPr>
            <w:r w:rsidRPr="00520861">
              <w:rPr>
                <w:sz w:val="28"/>
                <w:szCs w:val="28"/>
              </w:rPr>
              <w:t>117</w:t>
            </w:r>
          </w:p>
        </w:tc>
      </w:tr>
      <w:tr w:rsidR="0052772D" w:rsidRPr="00520861" w14:paraId="60D3C0FD" w14:textId="77777777" w:rsidTr="00032B7F">
        <w:tc>
          <w:tcPr>
            <w:tcW w:w="9606" w:type="dxa"/>
            <w:shd w:val="clear" w:color="auto" w:fill="auto"/>
          </w:tcPr>
          <w:p w14:paraId="5454A563" w14:textId="77777777" w:rsidR="0052772D" w:rsidRPr="00520861" w:rsidRDefault="0052772D" w:rsidP="00292D2E">
            <w:pPr>
              <w:widowControl w:val="0"/>
              <w:spacing w:line="360" w:lineRule="auto"/>
              <w:rPr>
                <w:sz w:val="28"/>
                <w:szCs w:val="28"/>
              </w:rPr>
            </w:pPr>
            <w:r w:rsidRPr="00520861">
              <w:rPr>
                <w:sz w:val="28"/>
                <w:szCs w:val="28"/>
              </w:rPr>
              <w:t>РОЗДІЛ 3. РЕЗУЛЬТАТИ МОРФОЛОГІЧНИХ ДОСЛІДЖЕНЬ………………</w:t>
            </w:r>
            <w:r w:rsidR="005D6378" w:rsidRPr="00520861">
              <w:rPr>
                <w:sz w:val="28"/>
                <w:szCs w:val="28"/>
                <w:lang w:val="en-US"/>
              </w:rPr>
              <w:t>.</w:t>
            </w:r>
            <w:r w:rsidRPr="00520861">
              <w:rPr>
                <w:sz w:val="28"/>
                <w:szCs w:val="28"/>
              </w:rPr>
              <w:t>.</w:t>
            </w:r>
          </w:p>
        </w:tc>
        <w:tc>
          <w:tcPr>
            <w:tcW w:w="708" w:type="dxa"/>
            <w:shd w:val="clear" w:color="auto" w:fill="auto"/>
          </w:tcPr>
          <w:p w14:paraId="4E59A9CB" w14:textId="77777777" w:rsidR="0052772D" w:rsidRPr="00520861" w:rsidRDefault="00712E29" w:rsidP="00292D2E">
            <w:pPr>
              <w:widowControl w:val="0"/>
              <w:spacing w:line="360" w:lineRule="auto"/>
              <w:jc w:val="right"/>
              <w:rPr>
                <w:sz w:val="28"/>
                <w:szCs w:val="28"/>
              </w:rPr>
            </w:pPr>
            <w:r w:rsidRPr="00520861">
              <w:rPr>
                <w:sz w:val="28"/>
                <w:szCs w:val="28"/>
              </w:rPr>
              <w:t>118</w:t>
            </w:r>
          </w:p>
        </w:tc>
      </w:tr>
      <w:tr w:rsidR="0052772D" w:rsidRPr="00520861" w14:paraId="09FB2EE7" w14:textId="77777777" w:rsidTr="00032B7F">
        <w:tc>
          <w:tcPr>
            <w:tcW w:w="9606" w:type="dxa"/>
            <w:shd w:val="clear" w:color="auto" w:fill="auto"/>
          </w:tcPr>
          <w:p w14:paraId="369F877F" w14:textId="77777777" w:rsidR="0052772D" w:rsidRPr="00520861" w:rsidRDefault="0052772D" w:rsidP="00292D2E">
            <w:pPr>
              <w:widowControl w:val="0"/>
              <w:spacing w:line="360" w:lineRule="auto"/>
              <w:ind w:left="284"/>
              <w:rPr>
                <w:sz w:val="28"/>
                <w:szCs w:val="28"/>
              </w:rPr>
            </w:pPr>
            <w:r w:rsidRPr="00520861">
              <w:rPr>
                <w:sz w:val="28"/>
                <w:szCs w:val="28"/>
              </w:rPr>
              <w:t>3.1</w:t>
            </w:r>
            <w:r w:rsidR="000A4BF5" w:rsidRPr="00520861">
              <w:rPr>
                <w:sz w:val="28"/>
                <w:szCs w:val="28"/>
              </w:rPr>
              <w:t>.</w:t>
            </w:r>
            <w:r w:rsidR="0053140C" w:rsidRPr="00520861">
              <w:rPr>
                <w:sz w:val="28"/>
                <w:szCs w:val="28"/>
              </w:rPr>
              <w:t xml:space="preserve"> Морфологічні зміни в зачатках</w:t>
            </w:r>
            <w:r w:rsidRPr="00520861">
              <w:rPr>
                <w:sz w:val="28"/>
                <w:szCs w:val="28"/>
              </w:rPr>
              <w:t xml:space="preserve"> зубів та в тканинах, що їх оточують, </w:t>
            </w:r>
            <w:r w:rsidRPr="00520861">
              <w:rPr>
                <w:sz w:val="28"/>
                <w:szCs w:val="28"/>
              </w:rPr>
              <w:br/>
              <w:t xml:space="preserve">у новонароджених щурів з експериментально змодельованою </w:t>
            </w:r>
            <w:r w:rsidRPr="00520861">
              <w:rPr>
                <w:sz w:val="28"/>
                <w:szCs w:val="28"/>
              </w:rPr>
              <w:br/>
              <w:t xml:space="preserve">внутрішньоутробною </w:t>
            </w:r>
            <w:proofErr w:type="spellStart"/>
            <w:r w:rsidRPr="00520861">
              <w:rPr>
                <w:sz w:val="28"/>
                <w:szCs w:val="28"/>
              </w:rPr>
              <w:t>макросомією</w:t>
            </w:r>
            <w:proofErr w:type="spellEnd"/>
            <w:r w:rsidRPr="00520861">
              <w:rPr>
                <w:sz w:val="28"/>
                <w:szCs w:val="28"/>
              </w:rPr>
              <w:t>…………………………………………….</w:t>
            </w:r>
          </w:p>
        </w:tc>
        <w:tc>
          <w:tcPr>
            <w:tcW w:w="708" w:type="dxa"/>
            <w:shd w:val="clear" w:color="auto" w:fill="auto"/>
          </w:tcPr>
          <w:p w14:paraId="211DE7F5" w14:textId="77777777" w:rsidR="0052772D" w:rsidRPr="00520861" w:rsidRDefault="0052772D" w:rsidP="00292D2E">
            <w:pPr>
              <w:widowControl w:val="0"/>
              <w:spacing w:line="360" w:lineRule="auto"/>
              <w:jc w:val="right"/>
              <w:rPr>
                <w:sz w:val="28"/>
                <w:szCs w:val="28"/>
              </w:rPr>
            </w:pPr>
          </w:p>
          <w:p w14:paraId="13586D29" w14:textId="77777777" w:rsidR="0052772D" w:rsidRPr="00520861" w:rsidRDefault="0052772D" w:rsidP="00292D2E">
            <w:pPr>
              <w:widowControl w:val="0"/>
              <w:spacing w:line="360" w:lineRule="auto"/>
              <w:jc w:val="right"/>
              <w:rPr>
                <w:sz w:val="28"/>
                <w:szCs w:val="28"/>
              </w:rPr>
            </w:pPr>
          </w:p>
          <w:p w14:paraId="4260787D" w14:textId="77777777" w:rsidR="0052772D" w:rsidRPr="00520861" w:rsidRDefault="00712E29" w:rsidP="00292D2E">
            <w:pPr>
              <w:widowControl w:val="0"/>
              <w:spacing w:line="360" w:lineRule="auto"/>
              <w:jc w:val="right"/>
              <w:rPr>
                <w:sz w:val="28"/>
                <w:szCs w:val="28"/>
              </w:rPr>
            </w:pPr>
            <w:r w:rsidRPr="00520861">
              <w:rPr>
                <w:sz w:val="28"/>
                <w:szCs w:val="28"/>
              </w:rPr>
              <w:t>118</w:t>
            </w:r>
          </w:p>
        </w:tc>
      </w:tr>
      <w:tr w:rsidR="0052772D" w:rsidRPr="00520861" w14:paraId="2F6B8211" w14:textId="77777777" w:rsidTr="00032B7F">
        <w:tc>
          <w:tcPr>
            <w:tcW w:w="9606" w:type="dxa"/>
            <w:shd w:val="clear" w:color="auto" w:fill="auto"/>
          </w:tcPr>
          <w:p w14:paraId="0442FF15" w14:textId="77777777" w:rsidR="0052772D" w:rsidRPr="00520861" w:rsidRDefault="0052772D" w:rsidP="00292D2E">
            <w:pPr>
              <w:widowControl w:val="0"/>
              <w:spacing w:line="360" w:lineRule="auto"/>
              <w:ind w:left="284"/>
              <w:rPr>
                <w:sz w:val="28"/>
                <w:szCs w:val="28"/>
              </w:rPr>
            </w:pPr>
            <w:r w:rsidRPr="00520861">
              <w:rPr>
                <w:sz w:val="28"/>
                <w:szCs w:val="28"/>
              </w:rPr>
              <w:t>3.2</w:t>
            </w:r>
            <w:r w:rsidR="000A4BF5" w:rsidRPr="00520861">
              <w:rPr>
                <w:sz w:val="28"/>
                <w:szCs w:val="28"/>
              </w:rPr>
              <w:t>.</w:t>
            </w:r>
            <w:r w:rsidRPr="00520861">
              <w:rPr>
                <w:sz w:val="28"/>
                <w:szCs w:val="28"/>
              </w:rPr>
              <w:t xml:space="preserve"> Особливості морфогенезу зубів щурів у віці 12 та 40 діб при </w:t>
            </w:r>
            <w:r w:rsidR="00D132E7" w:rsidRPr="00520861">
              <w:rPr>
                <w:sz w:val="28"/>
                <w:szCs w:val="28"/>
              </w:rPr>
              <w:br/>
            </w:r>
            <w:r w:rsidRPr="00520861">
              <w:rPr>
                <w:sz w:val="28"/>
                <w:szCs w:val="28"/>
              </w:rPr>
              <w:t xml:space="preserve">експериментально змодельованій внутрішньоутробній </w:t>
            </w:r>
            <w:proofErr w:type="spellStart"/>
            <w:r w:rsidRPr="00520861">
              <w:rPr>
                <w:sz w:val="28"/>
                <w:szCs w:val="28"/>
              </w:rPr>
              <w:t>м</w:t>
            </w:r>
            <w:r w:rsidR="00D132E7" w:rsidRPr="00520861">
              <w:rPr>
                <w:sz w:val="28"/>
                <w:szCs w:val="28"/>
              </w:rPr>
              <w:t>акросомії</w:t>
            </w:r>
            <w:proofErr w:type="spellEnd"/>
            <w:r w:rsidR="00D132E7" w:rsidRPr="00520861">
              <w:rPr>
                <w:sz w:val="28"/>
                <w:szCs w:val="28"/>
              </w:rPr>
              <w:t xml:space="preserve"> ….........</w:t>
            </w:r>
            <w:r w:rsidRPr="00520861">
              <w:rPr>
                <w:sz w:val="28"/>
                <w:szCs w:val="28"/>
              </w:rPr>
              <w:t>..</w:t>
            </w:r>
          </w:p>
        </w:tc>
        <w:tc>
          <w:tcPr>
            <w:tcW w:w="708" w:type="dxa"/>
            <w:shd w:val="clear" w:color="auto" w:fill="auto"/>
          </w:tcPr>
          <w:p w14:paraId="19406DB9" w14:textId="77777777" w:rsidR="0052772D" w:rsidRPr="00520861" w:rsidRDefault="0052772D" w:rsidP="00292D2E">
            <w:pPr>
              <w:widowControl w:val="0"/>
              <w:spacing w:line="360" w:lineRule="auto"/>
              <w:jc w:val="right"/>
              <w:rPr>
                <w:sz w:val="28"/>
                <w:szCs w:val="28"/>
              </w:rPr>
            </w:pPr>
          </w:p>
          <w:p w14:paraId="57BE024F" w14:textId="77777777" w:rsidR="0052772D" w:rsidRPr="00520861" w:rsidRDefault="00712E29" w:rsidP="00292D2E">
            <w:pPr>
              <w:widowControl w:val="0"/>
              <w:spacing w:line="360" w:lineRule="auto"/>
              <w:jc w:val="right"/>
              <w:rPr>
                <w:sz w:val="28"/>
                <w:szCs w:val="28"/>
              </w:rPr>
            </w:pPr>
            <w:r w:rsidRPr="00520861">
              <w:rPr>
                <w:sz w:val="28"/>
                <w:szCs w:val="28"/>
              </w:rPr>
              <w:t>123</w:t>
            </w:r>
          </w:p>
        </w:tc>
      </w:tr>
      <w:tr w:rsidR="0052772D" w:rsidRPr="00520861" w14:paraId="6744FF63" w14:textId="77777777" w:rsidTr="00032B7F">
        <w:tc>
          <w:tcPr>
            <w:tcW w:w="9606" w:type="dxa"/>
            <w:shd w:val="clear" w:color="auto" w:fill="auto"/>
          </w:tcPr>
          <w:p w14:paraId="4A699932" w14:textId="77777777" w:rsidR="0052772D" w:rsidRPr="00520861" w:rsidRDefault="0052772D" w:rsidP="00292D2E">
            <w:pPr>
              <w:widowControl w:val="0"/>
              <w:spacing w:line="360" w:lineRule="auto"/>
              <w:ind w:left="284"/>
              <w:rPr>
                <w:sz w:val="28"/>
                <w:szCs w:val="28"/>
              </w:rPr>
            </w:pPr>
            <w:r w:rsidRPr="00520861">
              <w:rPr>
                <w:sz w:val="28"/>
                <w:szCs w:val="28"/>
              </w:rPr>
              <w:t>3.3</w:t>
            </w:r>
            <w:r w:rsidR="000A4BF5" w:rsidRPr="00520861">
              <w:rPr>
                <w:sz w:val="28"/>
                <w:szCs w:val="28"/>
              </w:rPr>
              <w:t>.</w:t>
            </w:r>
            <w:r w:rsidRPr="00520861">
              <w:rPr>
                <w:sz w:val="28"/>
                <w:szCs w:val="28"/>
              </w:rPr>
              <w:t xml:space="preserve"> </w:t>
            </w:r>
            <w:proofErr w:type="spellStart"/>
            <w:r w:rsidRPr="00520861">
              <w:rPr>
                <w:sz w:val="28"/>
                <w:szCs w:val="28"/>
              </w:rPr>
              <w:t>Морфофункціональний</w:t>
            </w:r>
            <w:proofErr w:type="spellEnd"/>
            <w:r w:rsidRPr="00520861">
              <w:rPr>
                <w:sz w:val="28"/>
                <w:szCs w:val="28"/>
              </w:rPr>
              <w:t xml:space="preserve"> стан тканин й органів </w:t>
            </w:r>
            <w:proofErr w:type="spellStart"/>
            <w:r w:rsidR="00BF36A6" w:rsidRPr="00520861">
              <w:rPr>
                <w:sz w:val="28"/>
                <w:szCs w:val="28"/>
              </w:rPr>
              <w:t>зубо</w:t>
            </w:r>
            <w:proofErr w:type="spellEnd"/>
            <w:r w:rsidR="00BF36A6" w:rsidRPr="00520861">
              <w:rPr>
                <w:sz w:val="28"/>
                <w:szCs w:val="28"/>
              </w:rPr>
              <w:t xml:space="preserve">-щелепної </w:t>
            </w:r>
            <w:r w:rsidR="000A4BF5" w:rsidRPr="00520861">
              <w:rPr>
                <w:sz w:val="28"/>
                <w:szCs w:val="28"/>
              </w:rPr>
              <w:t xml:space="preserve">ділянки </w:t>
            </w:r>
            <w:r w:rsidRPr="00520861">
              <w:rPr>
                <w:sz w:val="28"/>
                <w:szCs w:val="28"/>
              </w:rPr>
              <w:t xml:space="preserve">тримісячних щурів при експериментально змодельованій </w:t>
            </w:r>
            <w:r w:rsidR="00D132E7" w:rsidRPr="00520861">
              <w:rPr>
                <w:sz w:val="28"/>
                <w:szCs w:val="28"/>
              </w:rPr>
              <w:br/>
            </w:r>
            <w:r w:rsidRPr="00520861">
              <w:rPr>
                <w:sz w:val="28"/>
                <w:szCs w:val="28"/>
              </w:rPr>
              <w:t xml:space="preserve">внутрішньоутробній </w:t>
            </w:r>
            <w:proofErr w:type="spellStart"/>
            <w:r w:rsidRPr="00520861">
              <w:rPr>
                <w:sz w:val="28"/>
                <w:szCs w:val="28"/>
              </w:rPr>
              <w:t>макросомії</w:t>
            </w:r>
            <w:proofErr w:type="spellEnd"/>
            <w:r w:rsidRPr="00520861">
              <w:rPr>
                <w:sz w:val="28"/>
                <w:szCs w:val="28"/>
              </w:rPr>
              <w:t>……………………</w:t>
            </w:r>
            <w:r w:rsidR="00D132E7" w:rsidRPr="00520861">
              <w:rPr>
                <w:sz w:val="28"/>
                <w:szCs w:val="28"/>
              </w:rPr>
              <w:t>………………</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5026F6E5" w14:textId="77777777" w:rsidR="0052772D" w:rsidRPr="00520861" w:rsidRDefault="0052772D" w:rsidP="00292D2E">
            <w:pPr>
              <w:widowControl w:val="0"/>
              <w:spacing w:line="360" w:lineRule="auto"/>
              <w:jc w:val="right"/>
              <w:rPr>
                <w:sz w:val="28"/>
                <w:szCs w:val="28"/>
              </w:rPr>
            </w:pPr>
          </w:p>
          <w:p w14:paraId="01DA7FF8" w14:textId="77777777" w:rsidR="0052772D" w:rsidRPr="00520861" w:rsidRDefault="0052772D" w:rsidP="00292D2E">
            <w:pPr>
              <w:widowControl w:val="0"/>
              <w:spacing w:line="360" w:lineRule="auto"/>
              <w:jc w:val="right"/>
              <w:rPr>
                <w:sz w:val="28"/>
                <w:szCs w:val="28"/>
              </w:rPr>
            </w:pPr>
          </w:p>
          <w:p w14:paraId="366BF93A" w14:textId="77777777" w:rsidR="0052772D" w:rsidRPr="00520861" w:rsidRDefault="00712E29" w:rsidP="00292D2E">
            <w:pPr>
              <w:widowControl w:val="0"/>
              <w:spacing w:line="360" w:lineRule="auto"/>
              <w:jc w:val="right"/>
              <w:rPr>
                <w:sz w:val="28"/>
                <w:szCs w:val="28"/>
              </w:rPr>
            </w:pPr>
            <w:r w:rsidRPr="00520861">
              <w:rPr>
                <w:sz w:val="28"/>
                <w:szCs w:val="28"/>
              </w:rPr>
              <w:t>127</w:t>
            </w:r>
          </w:p>
        </w:tc>
      </w:tr>
      <w:tr w:rsidR="0052772D" w:rsidRPr="00520861" w14:paraId="42DA0E2A" w14:textId="77777777" w:rsidTr="00032B7F">
        <w:tc>
          <w:tcPr>
            <w:tcW w:w="9606" w:type="dxa"/>
            <w:shd w:val="clear" w:color="auto" w:fill="auto"/>
          </w:tcPr>
          <w:p w14:paraId="5D065739" w14:textId="77777777" w:rsidR="0052772D" w:rsidRPr="00520861" w:rsidRDefault="0052772D" w:rsidP="00292D2E">
            <w:pPr>
              <w:widowControl w:val="0"/>
              <w:spacing w:line="360" w:lineRule="auto"/>
              <w:ind w:left="567"/>
              <w:rPr>
                <w:sz w:val="28"/>
                <w:szCs w:val="28"/>
              </w:rPr>
            </w:pPr>
            <w:r w:rsidRPr="00520861">
              <w:rPr>
                <w:sz w:val="28"/>
                <w:szCs w:val="28"/>
              </w:rPr>
              <w:lastRenderedPageBreak/>
              <w:t>3.3.1</w:t>
            </w:r>
            <w:r w:rsidR="000A4BF5" w:rsidRPr="00520861">
              <w:rPr>
                <w:sz w:val="28"/>
                <w:szCs w:val="28"/>
              </w:rPr>
              <w:t>.</w:t>
            </w:r>
            <w:r w:rsidRPr="00520861">
              <w:rPr>
                <w:sz w:val="28"/>
                <w:szCs w:val="28"/>
              </w:rPr>
              <w:t xml:space="preserve"> Стан привушних слинних залоз………………………………………</w:t>
            </w:r>
          </w:p>
        </w:tc>
        <w:tc>
          <w:tcPr>
            <w:tcW w:w="708" w:type="dxa"/>
            <w:shd w:val="clear" w:color="auto" w:fill="auto"/>
          </w:tcPr>
          <w:p w14:paraId="574D12E0" w14:textId="77777777" w:rsidR="0052772D" w:rsidRPr="00520861" w:rsidRDefault="00712E29" w:rsidP="00292D2E">
            <w:pPr>
              <w:widowControl w:val="0"/>
              <w:spacing w:line="360" w:lineRule="auto"/>
              <w:jc w:val="right"/>
              <w:rPr>
                <w:sz w:val="28"/>
                <w:szCs w:val="28"/>
              </w:rPr>
            </w:pPr>
            <w:r w:rsidRPr="00520861">
              <w:rPr>
                <w:sz w:val="28"/>
                <w:szCs w:val="28"/>
              </w:rPr>
              <w:t>127</w:t>
            </w:r>
          </w:p>
        </w:tc>
      </w:tr>
      <w:tr w:rsidR="0052772D" w:rsidRPr="00520861" w14:paraId="669B5132" w14:textId="77777777" w:rsidTr="00032B7F">
        <w:tc>
          <w:tcPr>
            <w:tcW w:w="9606" w:type="dxa"/>
            <w:shd w:val="clear" w:color="auto" w:fill="auto"/>
          </w:tcPr>
          <w:p w14:paraId="425E4596" w14:textId="77777777" w:rsidR="0052772D" w:rsidRPr="00520861" w:rsidRDefault="0052772D" w:rsidP="00292D2E">
            <w:pPr>
              <w:widowControl w:val="0"/>
              <w:spacing w:line="360" w:lineRule="auto"/>
              <w:ind w:left="567"/>
              <w:rPr>
                <w:sz w:val="28"/>
                <w:szCs w:val="28"/>
              </w:rPr>
            </w:pPr>
            <w:r w:rsidRPr="00520861">
              <w:rPr>
                <w:sz w:val="28"/>
                <w:szCs w:val="28"/>
              </w:rPr>
              <w:t>3.3.2</w:t>
            </w:r>
            <w:r w:rsidR="000A4BF5" w:rsidRPr="00520861">
              <w:rPr>
                <w:sz w:val="28"/>
                <w:szCs w:val="28"/>
              </w:rPr>
              <w:t>.</w:t>
            </w:r>
            <w:r w:rsidRPr="00520861">
              <w:rPr>
                <w:sz w:val="28"/>
                <w:szCs w:val="28"/>
              </w:rPr>
              <w:t xml:space="preserve"> Стан пульпи та твердих тканин жувальних зубів……………………</w:t>
            </w:r>
          </w:p>
        </w:tc>
        <w:tc>
          <w:tcPr>
            <w:tcW w:w="708" w:type="dxa"/>
            <w:shd w:val="clear" w:color="auto" w:fill="auto"/>
          </w:tcPr>
          <w:p w14:paraId="35A06DA6" w14:textId="77777777" w:rsidR="0052772D" w:rsidRPr="00520861" w:rsidRDefault="00712E29" w:rsidP="00292D2E">
            <w:pPr>
              <w:widowControl w:val="0"/>
              <w:spacing w:line="360" w:lineRule="auto"/>
              <w:jc w:val="right"/>
              <w:rPr>
                <w:sz w:val="28"/>
                <w:szCs w:val="28"/>
              </w:rPr>
            </w:pPr>
            <w:r w:rsidRPr="00520861">
              <w:rPr>
                <w:sz w:val="28"/>
                <w:szCs w:val="28"/>
              </w:rPr>
              <w:t>134</w:t>
            </w:r>
          </w:p>
        </w:tc>
      </w:tr>
      <w:tr w:rsidR="0052772D" w:rsidRPr="00520861" w14:paraId="1DE99E21" w14:textId="77777777" w:rsidTr="00032B7F">
        <w:tc>
          <w:tcPr>
            <w:tcW w:w="9606" w:type="dxa"/>
            <w:shd w:val="clear" w:color="auto" w:fill="auto"/>
          </w:tcPr>
          <w:p w14:paraId="6F86C779" w14:textId="77777777" w:rsidR="0052772D" w:rsidRPr="00520861" w:rsidRDefault="0052772D" w:rsidP="00292D2E">
            <w:pPr>
              <w:widowControl w:val="0"/>
              <w:spacing w:line="360" w:lineRule="auto"/>
              <w:ind w:left="567"/>
              <w:rPr>
                <w:sz w:val="28"/>
                <w:szCs w:val="28"/>
              </w:rPr>
            </w:pPr>
            <w:r w:rsidRPr="00520861">
              <w:rPr>
                <w:sz w:val="28"/>
                <w:szCs w:val="28"/>
              </w:rPr>
              <w:t>3.3.3</w:t>
            </w:r>
            <w:r w:rsidR="000A4BF5" w:rsidRPr="00520861">
              <w:rPr>
                <w:sz w:val="28"/>
                <w:szCs w:val="28"/>
              </w:rPr>
              <w:t>.</w:t>
            </w:r>
            <w:r w:rsidRPr="00520861">
              <w:rPr>
                <w:sz w:val="28"/>
                <w:szCs w:val="28"/>
              </w:rPr>
              <w:t xml:space="preserve"> Стан тканин </w:t>
            </w:r>
            <w:proofErr w:type="spellStart"/>
            <w:r w:rsidRPr="00520861">
              <w:rPr>
                <w:sz w:val="28"/>
                <w:szCs w:val="28"/>
              </w:rPr>
              <w:t>пародонта</w:t>
            </w:r>
            <w:proofErr w:type="spellEnd"/>
            <w:r w:rsidR="00EF33D5" w:rsidRPr="00520861">
              <w:rPr>
                <w:rFonts w:eastAsia="Calibri"/>
                <w:bCs/>
                <w:sz w:val="28"/>
                <w:szCs w:val="28"/>
              </w:rPr>
              <w:t xml:space="preserve"> в межах </w:t>
            </w:r>
            <w:r w:rsidR="00EF33D5" w:rsidRPr="00520861">
              <w:rPr>
                <w:sz w:val="28"/>
                <w:szCs w:val="28"/>
              </w:rPr>
              <w:t xml:space="preserve">жувальних зубів </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209F64C5" w14:textId="77777777" w:rsidR="0052772D" w:rsidRPr="00520861" w:rsidRDefault="00712E29" w:rsidP="00292D2E">
            <w:pPr>
              <w:widowControl w:val="0"/>
              <w:spacing w:line="360" w:lineRule="auto"/>
              <w:jc w:val="right"/>
              <w:rPr>
                <w:sz w:val="28"/>
                <w:szCs w:val="28"/>
              </w:rPr>
            </w:pPr>
            <w:r w:rsidRPr="00520861">
              <w:rPr>
                <w:sz w:val="28"/>
                <w:szCs w:val="28"/>
              </w:rPr>
              <w:t>138</w:t>
            </w:r>
          </w:p>
        </w:tc>
      </w:tr>
      <w:tr w:rsidR="0052772D" w:rsidRPr="00520861" w14:paraId="35B532DC" w14:textId="77777777" w:rsidTr="00032B7F">
        <w:tc>
          <w:tcPr>
            <w:tcW w:w="9606" w:type="dxa"/>
            <w:shd w:val="clear" w:color="auto" w:fill="auto"/>
          </w:tcPr>
          <w:p w14:paraId="2664132F" w14:textId="77777777" w:rsidR="0052772D" w:rsidRPr="00520861" w:rsidRDefault="0052772D" w:rsidP="00292D2E">
            <w:pPr>
              <w:widowControl w:val="0"/>
              <w:spacing w:line="360" w:lineRule="auto"/>
              <w:ind w:left="284"/>
              <w:rPr>
                <w:sz w:val="28"/>
                <w:szCs w:val="28"/>
              </w:rPr>
            </w:pPr>
            <w:r w:rsidRPr="00520861">
              <w:rPr>
                <w:sz w:val="28"/>
                <w:szCs w:val="28"/>
              </w:rPr>
              <w:t>3.4</w:t>
            </w:r>
            <w:r w:rsidR="000A4BF5" w:rsidRPr="00520861">
              <w:rPr>
                <w:sz w:val="28"/>
                <w:szCs w:val="28"/>
              </w:rPr>
              <w:t>.</w:t>
            </w:r>
            <w:r w:rsidRPr="00520861">
              <w:rPr>
                <w:sz w:val="28"/>
                <w:szCs w:val="28"/>
              </w:rPr>
              <w:t xml:space="preserve"> </w:t>
            </w:r>
            <w:proofErr w:type="spellStart"/>
            <w:r w:rsidRPr="00520861">
              <w:rPr>
                <w:sz w:val="28"/>
                <w:szCs w:val="28"/>
              </w:rPr>
              <w:t>Морфофункціональний</w:t>
            </w:r>
            <w:proofErr w:type="spellEnd"/>
            <w:r w:rsidRPr="00520861">
              <w:rPr>
                <w:sz w:val="28"/>
                <w:szCs w:val="28"/>
              </w:rPr>
              <w:t xml:space="preserve"> стан тканин й органів </w:t>
            </w:r>
            <w:proofErr w:type="spellStart"/>
            <w:r w:rsidR="00BF36A6" w:rsidRPr="00520861">
              <w:rPr>
                <w:sz w:val="28"/>
                <w:szCs w:val="28"/>
              </w:rPr>
              <w:t>зубо</w:t>
            </w:r>
            <w:proofErr w:type="spellEnd"/>
            <w:r w:rsidR="00BF36A6" w:rsidRPr="00520861">
              <w:rPr>
                <w:sz w:val="28"/>
                <w:szCs w:val="28"/>
              </w:rPr>
              <w:t xml:space="preserve">-щелепної </w:t>
            </w:r>
            <w:r w:rsidR="000A4BF5" w:rsidRPr="00520861">
              <w:rPr>
                <w:sz w:val="28"/>
                <w:szCs w:val="28"/>
              </w:rPr>
              <w:t>ділянки</w:t>
            </w:r>
            <w:r w:rsidRPr="00520861">
              <w:rPr>
                <w:sz w:val="28"/>
                <w:szCs w:val="28"/>
              </w:rPr>
              <w:t xml:space="preserve"> шестимісячних щурів при експериментально змодельованій </w:t>
            </w:r>
            <w:r w:rsidR="00D132E7" w:rsidRPr="00520861">
              <w:rPr>
                <w:sz w:val="28"/>
                <w:szCs w:val="28"/>
              </w:rPr>
              <w:br/>
            </w:r>
            <w:r w:rsidRPr="00520861">
              <w:rPr>
                <w:sz w:val="28"/>
                <w:szCs w:val="28"/>
              </w:rPr>
              <w:t xml:space="preserve">внутрішньоутробній </w:t>
            </w:r>
            <w:proofErr w:type="spellStart"/>
            <w:r w:rsidRPr="00520861">
              <w:rPr>
                <w:sz w:val="28"/>
                <w:szCs w:val="28"/>
              </w:rPr>
              <w:t>макросомії</w:t>
            </w:r>
            <w:proofErr w:type="spellEnd"/>
            <w:r w:rsidRPr="00520861">
              <w:rPr>
                <w:sz w:val="28"/>
                <w:szCs w:val="28"/>
              </w:rPr>
              <w:t>…………………</w:t>
            </w:r>
            <w:r w:rsidR="00D132E7" w:rsidRPr="00520861">
              <w:rPr>
                <w:sz w:val="28"/>
                <w:szCs w:val="28"/>
              </w:rPr>
              <w:t>……………………….</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6840B894" w14:textId="77777777" w:rsidR="0052772D" w:rsidRPr="00520861" w:rsidRDefault="0052772D" w:rsidP="00292D2E">
            <w:pPr>
              <w:widowControl w:val="0"/>
              <w:spacing w:line="360" w:lineRule="auto"/>
              <w:jc w:val="right"/>
              <w:rPr>
                <w:sz w:val="28"/>
                <w:szCs w:val="28"/>
              </w:rPr>
            </w:pPr>
          </w:p>
          <w:p w14:paraId="15F6030C" w14:textId="77777777" w:rsidR="0052772D" w:rsidRPr="00520861" w:rsidRDefault="0052772D" w:rsidP="00292D2E">
            <w:pPr>
              <w:widowControl w:val="0"/>
              <w:spacing w:line="360" w:lineRule="auto"/>
              <w:jc w:val="right"/>
              <w:rPr>
                <w:sz w:val="28"/>
                <w:szCs w:val="28"/>
              </w:rPr>
            </w:pPr>
          </w:p>
          <w:p w14:paraId="19DFB1D0" w14:textId="77777777" w:rsidR="0052772D" w:rsidRPr="00520861" w:rsidRDefault="00712E29" w:rsidP="00292D2E">
            <w:pPr>
              <w:widowControl w:val="0"/>
              <w:spacing w:line="360" w:lineRule="auto"/>
              <w:jc w:val="right"/>
              <w:rPr>
                <w:sz w:val="28"/>
                <w:szCs w:val="28"/>
              </w:rPr>
            </w:pPr>
            <w:r w:rsidRPr="00520861">
              <w:rPr>
                <w:sz w:val="28"/>
                <w:szCs w:val="28"/>
              </w:rPr>
              <w:t>144</w:t>
            </w:r>
          </w:p>
        </w:tc>
      </w:tr>
      <w:tr w:rsidR="0052772D" w:rsidRPr="00520861" w14:paraId="5D7D6A3F" w14:textId="77777777" w:rsidTr="00032B7F">
        <w:tc>
          <w:tcPr>
            <w:tcW w:w="9606" w:type="dxa"/>
            <w:shd w:val="clear" w:color="auto" w:fill="auto"/>
          </w:tcPr>
          <w:p w14:paraId="036CE18A" w14:textId="77777777" w:rsidR="0052772D" w:rsidRPr="00520861" w:rsidRDefault="0052772D" w:rsidP="00292D2E">
            <w:pPr>
              <w:widowControl w:val="0"/>
              <w:spacing w:line="360" w:lineRule="auto"/>
              <w:ind w:left="567"/>
              <w:rPr>
                <w:sz w:val="28"/>
                <w:szCs w:val="28"/>
              </w:rPr>
            </w:pPr>
            <w:r w:rsidRPr="00520861">
              <w:rPr>
                <w:sz w:val="28"/>
                <w:szCs w:val="28"/>
              </w:rPr>
              <w:t>3.4.1</w:t>
            </w:r>
            <w:r w:rsidR="000A4BF5" w:rsidRPr="00520861">
              <w:rPr>
                <w:sz w:val="28"/>
                <w:szCs w:val="28"/>
              </w:rPr>
              <w:t>.</w:t>
            </w:r>
            <w:r w:rsidRPr="00520861">
              <w:rPr>
                <w:sz w:val="28"/>
                <w:szCs w:val="28"/>
              </w:rPr>
              <w:t xml:space="preserve"> Стан привушних слинних залоз…….…………………….…………</w:t>
            </w:r>
            <w:r w:rsidR="00D132E7" w:rsidRPr="00520861">
              <w:rPr>
                <w:sz w:val="28"/>
                <w:szCs w:val="28"/>
              </w:rPr>
              <w:t>..</w:t>
            </w:r>
            <w:r w:rsidRPr="00520861">
              <w:rPr>
                <w:sz w:val="28"/>
                <w:szCs w:val="28"/>
              </w:rPr>
              <w:t>.</w:t>
            </w:r>
          </w:p>
        </w:tc>
        <w:tc>
          <w:tcPr>
            <w:tcW w:w="708" w:type="dxa"/>
            <w:shd w:val="clear" w:color="auto" w:fill="auto"/>
          </w:tcPr>
          <w:p w14:paraId="031526C8" w14:textId="77777777" w:rsidR="0052772D" w:rsidRPr="00520861" w:rsidRDefault="00A41BFE" w:rsidP="00292D2E">
            <w:pPr>
              <w:widowControl w:val="0"/>
              <w:spacing w:line="360" w:lineRule="auto"/>
              <w:jc w:val="right"/>
              <w:rPr>
                <w:sz w:val="28"/>
                <w:szCs w:val="28"/>
                <w:lang w:val="ru-RU"/>
              </w:rPr>
            </w:pPr>
            <w:r w:rsidRPr="00520861">
              <w:rPr>
                <w:sz w:val="28"/>
                <w:szCs w:val="28"/>
              </w:rPr>
              <w:t>14</w:t>
            </w:r>
            <w:r w:rsidR="00712E29" w:rsidRPr="00520861">
              <w:rPr>
                <w:sz w:val="28"/>
                <w:szCs w:val="28"/>
                <w:lang w:val="ru-RU"/>
              </w:rPr>
              <w:t>5</w:t>
            </w:r>
          </w:p>
        </w:tc>
      </w:tr>
      <w:tr w:rsidR="0052772D" w:rsidRPr="00520861" w14:paraId="3B513B93" w14:textId="77777777" w:rsidTr="00032B7F">
        <w:tc>
          <w:tcPr>
            <w:tcW w:w="9606" w:type="dxa"/>
            <w:shd w:val="clear" w:color="auto" w:fill="auto"/>
          </w:tcPr>
          <w:p w14:paraId="2F61D772" w14:textId="77777777" w:rsidR="0052772D" w:rsidRPr="00520861" w:rsidRDefault="0052772D" w:rsidP="00292D2E">
            <w:pPr>
              <w:widowControl w:val="0"/>
              <w:spacing w:line="360" w:lineRule="auto"/>
              <w:ind w:left="567"/>
              <w:rPr>
                <w:sz w:val="28"/>
                <w:szCs w:val="28"/>
              </w:rPr>
            </w:pPr>
            <w:r w:rsidRPr="00520861">
              <w:rPr>
                <w:sz w:val="28"/>
                <w:szCs w:val="28"/>
              </w:rPr>
              <w:t>3.4.2</w:t>
            </w:r>
            <w:r w:rsidR="000A4BF5" w:rsidRPr="00520861">
              <w:rPr>
                <w:sz w:val="28"/>
                <w:szCs w:val="28"/>
              </w:rPr>
              <w:t>.</w:t>
            </w:r>
            <w:r w:rsidRPr="00520861">
              <w:rPr>
                <w:sz w:val="28"/>
                <w:szCs w:val="28"/>
              </w:rPr>
              <w:t xml:space="preserve"> Стан малих (молярних) слинних залоз….…….…………………</w:t>
            </w:r>
            <w:r w:rsidR="00D132E7" w:rsidRPr="00520861">
              <w:rPr>
                <w:sz w:val="28"/>
                <w:szCs w:val="28"/>
              </w:rPr>
              <w:t>..</w:t>
            </w:r>
            <w:r w:rsidRPr="00520861">
              <w:rPr>
                <w:sz w:val="28"/>
                <w:szCs w:val="28"/>
              </w:rPr>
              <w:t>…..</w:t>
            </w:r>
          </w:p>
        </w:tc>
        <w:tc>
          <w:tcPr>
            <w:tcW w:w="708" w:type="dxa"/>
            <w:shd w:val="clear" w:color="auto" w:fill="auto"/>
          </w:tcPr>
          <w:p w14:paraId="5792F1C0" w14:textId="77777777" w:rsidR="0052772D" w:rsidRPr="00520861" w:rsidRDefault="00712E29" w:rsidP="00292D2E">
            <w:pPr>
              <w:widowControl w:val="0"/>
              <w:spacing w:line="360" w:lineRule="auto"/>
              <w:jc w:val="right"/>
              <w:rPr>
                <w:sz w:val="28"/>
                <w:szCs w:val="28"/>
              </w:rPr>
            </w:pPr>
            <w:r w:rsidRPr="00520861">
              <w:rPr>
                <w:sz w:val="28"/>
                <w:szCs w:val="28"/>
              </w:rPr>
              <w:t>152</w:t>
            </w:r>
          </w:p>
        </w:tc>
      </w:tr>
      <w:tr w:rsidR="0052772D" w:rsidRPr="00520861" w14:paraId="51ACBB1A" w14:textId="77777777" w:rsidTr="00032B7F">
        <w:tc>
          <w:tcPr>
            <w:tcW w:w="9606" w:type="dxa"/>
            <w:shd w:val="clear" w:color="auto" w:fill="auto"/>
          </w:tcPr>
          <w:p w14:paraId="366754AA" w14:textId="77777777" w:rsidR="0052772D" w:rsidRPr="00520861" w:rsidRDefault="0052772D" w:rsidP="00292D2E">
            <w:pPr>
              <w:widowControl w:val="0"/>
              <w:spacing w:line="360" w:lineRule="auto"/>
              <w:ind w:left="567"/>
              <w:rPr>
                <w:sz w:val="28"/>
                <w:szCs w:val="28"/>
              </w:rPr>
            </w:pPr>
            <w:r w:rsidRPr="00520861">
              <w:rPr>
                <w:sz w:val="28"/>
                <w:szCs w:val="28"/>
              </w:rPr>
              <w:t>3.4.3</w:t>
            </w:r>
            <w:r w:rsidR="000A4BF5" w:rsidRPr="00520861">
              <w:rPr>
                <w:sz w:val="28"/>
                <w:szCs w:val="28"/>
              </w:rPr>
              <w:t>.</w:t>
            </w:r>
            <w:r w:rsidRPr="00520861">
              <w:rPr>
                <w:sz w:val="28"/>
                <w:szCs w:val="28"/>
              </w:rPr>
              <w:t xml:space="preserve"> Стан пульпи та твердих тканин жувальних зубів….…….…………</w:t>
            </w:r>
            <w:r w:rsidR="00D132E7" w:rsidRPr="00520861">
              <w:rPr>
                <w:sz w:val="28"/>
                <w:szCs w:val="28"/>
              </w:rPr>
              <w:t>...</w:t>
            </w:r>
          </w:p>
        </w:tc>
        <w:tc>
          <w:tcPr>
            <w:tcW w:w="708" w:type="dxa"/>
            <w:shd w:val="clear" w:color="auto" w:fill="auto"/>
          </w:tcPr>
          <w:p w14:paraId="3527C491" w14:textId="77777777" w:rsidR="0052772D" w:rsidRPr="00520861" w:rsidRDefault="00747076" w:rsidP="00292D2E">
            <w:pPr>
              <w:widowControl w:val="0"/>
              <w:spacing w:line="360" w:lineRule="auto"/>
              <w:jc w:val="right"/>
              <w:rPr>
                <w:sz w:val="28"/>
                <w:szCs w:val="28"/>
              </w:rPr>
            </w:pPr>
            <w:r w:rsidRPr="00520861">
              <w:rPr>
                <w:sz w:val="28"/>
                <w:szCs w:val="28"/>
              </w:rPr>
              <w:t>156</w:t>
            </w:r>
          </w:p>
        </w:tc>
      </w:tr>
      <w:tr w:rsidR="0052772D" w:rsidRPr="00520861" w14:paraId="11A431E3" w14:textId="77777777" w:rsidTr="00032B7F">
        <w:tc>
          <w:tcPr>
            <w:tcW w:w="9606" w:type="dxa"/>
            <w:shd w:val="clear" w:color="auto" w:fill="auto"/>
          </w:tcPr>
          <w:p w14:paraId="6A92B8C6" w14:textId="77777777" w:rsidR="0052772D" w:rsidRPr="00520861" w:rsidRDefault="0052772D" w:rsidP="00292D2E">
            <w:pPr>
              <w:widowControl w:val="0"/>
              <w:spacing w:line="360" w:lineRule="auto"/>
              <w:ind w:left="567"/>
              <w:rPr>
                <w:sz w:val="28"/>
                <w:szCs w:val="28"/>
              </w:rPr>
            </w:pPr>
            <w:r w:rsidRPr="00520861">
              <w:rPr>
                <w:rFonts w:eastAsia="Calibri"/>
                <w:sz w:val="28"/>
                <w:szCs w:val="28"/>
                <w:lang w:eastAsia="en-US"/>
              </w:rPr>
              <w:t>3.4.4</w:t>
            </w:r>
            <w:r w:rsidR="000A4BF5"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Стан</w:t>
            </w:r>
            <w:r w:rsidRPr="00520861">
              <w:rPr>
                <w:rFonts w:eastAsia="Calibri"/>
                <w:sz w:val="28"/>
                <w:szCs w:val="28"/>
                <w:lang w:eastAsia="en-US"/>
              </w:rPr>
              <w:t xml:space="preserve"> тканин </w:t>
            </w:r>
            <w:proofErr w:type="spellStart"/>
            <w:r w:rsidRPr="00520861">
              <w:rPr>
                <w:rFonts w:eastAsia="Calibri"/>
                <w:sz w:val="28"/>
                <w:szCs w:val="28"/>
                <w:lang w:eastAsia="en-US"/>
              </w:rPr>
              <w:t>пародонта</w:t>
            </w:r>
            <w:proofErr w:type="spellEnd"/>
            <w:r w:rsidR="00053067" w:rsidRPr="00520861">
              <w:rPr>
                <w:rFonts w:eastAsia="Calibri"/>
                <w:bCs/>
                <w:sz w:val="28"/>
                <w:szCs w:val="28"/>
              </w:rPr>
              <w:t xml:space="preserve"> в межах </w:t>
            </w:r>
            <w:r w:rsidR="00053067" w:rsidRPr="00520861">
              <w:rPr>
                <w:sz w:val="28"/>
                <w:szCs w:val="28"/>
              </w:rPr>
              <w:t>жувальних зубів...</w:t>
            </w:r>
            <w:r w:rsidRPr="00520861">
              <w:rPr>
                <w:sz w:val="28"/>
                <w:szCs w:val="28"/>
              </w:rPr>
              <w:t>……………</w:t>
            </w:r>
            <w:r w:rsidR="00D132E7" w:rsidRPr="00520861">
              <w:rPr>
                <w:sz w:val="28"/>
                <w:szCs w:val="28"/>
              </w:rPr>
              <w:t>...</w:t>
            </w:r>
            <w:r w:rsidRPr="00520861">
              <w:rPr>
                <w:sz w:val="28"/>
                <w:szCs w:val="28"/>
              </w:rPr>
              <w:t>…..</w:t>
            </w:r>
          </w:p>
        </w:tc>
        <w:tc>
          <w:tcPr>
            <w:tcW w:w="708" w:type="dxa"/>
            <w:shd w:val="clear" w:color="auto" w:fill="auto"/>
          </w:tcPr>
          <w:p w14:paraId="19C76617" w14:textId="77777777" w:rsidR="0052772D" w:rsidRPr="00520861" w:rsidRDefault="00932F4A" w:rsidP="00292D2E">
            <w:pPr>
              <w:widowControl w:val="0"/>
              <w:spacing w:line="360" w:lineRule="auto"/>
              <w:jc w:val="right"/>
              <w:rPr>
                <w:sz w:val="28"/>
                <w:szCs w:val="28"/>
              </w:rPr>
            </w:pPr>
            <w:r w:rsidRPr="00520861">
              <w:rPr>
                <w:sz w:val="28"/>
                <w:szCs w:val="28"/>
              </w:rPr>
              <w:t>160</w:t>
            </w:r>
          </w:p>
        </w:tc>
      </w:tr>
      <w:tr w:rsidR="0052772D" w:rsidRPr="00520861" w14:paraId="3DD391A1" w14:textId="77777777" w:rsidTr="00032B7F">
        <w:tc>
          <w:tcPr>
            <w:tcW w:w="9606" w:type="dxa"/>
            <w:shd w:val="clear" w:color="auto" w:fill="auto"/>
          </w:tcPr>
          <w:p w14:paraId="631A8769" w14:textId="77777777" w:rsidR="0052772D" w:rsidRPr="00520861" w:rsidRDefault="0052772D" w:rsidP="00292D2E">
            <w:pPr>
              <w:widowControl w:val="0"/>
              <w:spacing w:line="360" w:lineRule="auto"/>
              <w:ind w:left="284"/>
              <w:rPr>
                <w:sz w:val="28"/>
                <w:szCs w:val="28"/>
              </w:rPr>
            </w:pPr>
            <w:r w:rsidRPr="00520861">
              <w:rPr>
                <w:sz w:val="28"/>
                <w:szCs w:val="28"/>
              </w:rPr>
              <w:t>3.5</w:t>
            </w:r>
            <w:r w:rsidR="000A4BF5" w:rsidRPr="00520861">
              <w:rPr>
                <w:sz w:val="28"/>
                <w:szCs w:val="28"/>
              </w:rPr>
              <w:t>.</w:t>
            </w:r>
            <w:r w:rsidRPr="00520861">
              <w:rPr>
                <w:sz w:val="28"/>
                <w:szCs w:val="28"/>
              </w:rPr>
              <w:t xml:space="preserve"> </w:t>
            </w:r>
            <w:proofErr w:type="spellStart"/>
            <w:r w:rsidRPr="00520861">
              <w:rPr>
                <w:sz w:val="28"/>
                <w:szCs w:val="28"/>
              </w:rPr>
              <w:t>Морфофункціональний</w:t>
            </w:r>
            <w:proofErr w:type="spellEnd"/>
            <w:r w:rsidRPr="00520861">
              <w:rPr>
                <w:sz w:val="28"/>
                <w:szCs w:val="28"/>
              </w:rPr>
              <w:t xml:space="preserve"> стан тканин й органів </w:t>
            </w:r>
            <w:proofErr w:type="spellStart"/>
            <w:r w:rsidR="00531B8C" w:rsidRPr="00520861">
              <w:rPr>
                <w:sz w:val="28"/>
                <w:szCs w:val="28"/>
              </w:rPr>
              <w:t>зубо</w:t>
            </w:r>
            <w:proofErr w:type="spellEnd"/>
            <w:r w:rsidR="00531B8C" w:rsidRPr="00520861">
              <w:rPr>
                <w:sz w:val="28"/>
                <w:szCs w:val="28"/>
              </w:rPr>
              <w:t>-</w:t>
            </w:r>
            <w:r w:rsidR="00546FA7" w:rsidRPr="00520861">
              <w:rPr>
                <w:sz w:val="28"/>
                <w:szCs w:val="28"/>
              </w:rPr>
              <w:t>щелепно</w:t>
            </w:r>
            <w:r w:rsidR="00531B8C" w:rsidRPr="00520861">
              <w:rPr>
                <w:sz w:val="28"/>
                <w:szCs w:val="28"/>
              </w:rPr>
              <w:t xml:space="preserve">ї </w:t>
            </w:r>
            <w:r w:rsidR="00546FA7" w:rsidRPr="00520861">
              <w:rPr>
                <w:sz w:val="28"/>
                <w:szCs w:val="28"/>
              </w:rPr>
              <w:t xml:space="preserve">ділянки </w:t>
            </w:r>
            <w:r w:rsidRPr="00520861">
              <w:rPr>
                <w:sz w:val="28"/>
                <w:szCs w:val="28"/>
              </w:rPr>
              <w:t xml:space="preserve">у дванадцяти- та </w:t>
            </w:r>
            <w:proofErr w:type="spellStart"/>
            <w:r w:rsidRPr="00520861">
              <w:rPr>
                <w:sz w:val="28"/>
                <w:szCs w:val="28"/>
              </w:rPr>
              <w:t>вісімнадцятимісячних</w:t>
            </w:r>
            <w:proofErr w:type="spellEnd"/>
            <w:r w:rsidRPr="00520861">
              <w:rPr>
                <w:sz w:val="28"/>
                <w:szCs w:val="28"/>
              </w:rPr>
              <w:t xml:space="preserve"> щурів при експериментально </w:t>
            </w:r>
            <w:r w:rsidR="00D132E7" w:rsidRPr="00520861">
              <w:rPr>
                <w:sz w:val="28"/>
                <w:szCs w:val="28"/>
              </w:rPr>
              <w:br/>
            </w:r>
            <w:r w:rsidRPr="00520861">
              <w:rPr>
                <w:sz w:val="28"/>
                <w:szCs w:val="28"/>
              </w:rPr>
              <w:t xml:space="preserve">змодельованій внутрішньоутробній </w:t>
            </w:r>
            <w:proofErr w:type="spellStart"/>
            <w:r w:rsidRPr="00520861">
              <w:rPr>
                <w:sz w:val="28"/>
                <w:szCs w:val="28"/>
              </w:rPr>
              <w:t>макросомії</w:t>
            </w:r>
            <w:proofErr w:type="spellEnd"/>
            <w:r w:rsidRPr="00520861">
              <w:rPr>
                <w:sz w:val="28"/>
                <w:szCs w:val="28"/>
              </w:rPr>
              <w:t>….…….………….…………</w:t>
            </w:r>
            <w:r w:rsidR="00D132E7" w:rsidRPr="00520861">
              <w:rPr>
                <w:sz w:val="28"/>
                <w:szCs w:val="28"/>
              </w:rPr>
              <w:t>..</w:t>
            </w:r>
          </w:p>
        </w:tc>
        <w:tc>
          <w:tcPr>
            <w:tcW w:w="708" w:type="dxa"/>
            <w:shd w:val="clear" w:color="auto" w:fill="auto"/>
          </w:tcPr>
          <w:p w14:paraId="0BC9BEF5" w14:textId="77777777" w:rsidR="0052772D" w:rsidRPr="00520861" w:rsidRDefault="0052772D" w:rsidP="00292D2E">
            <w:pPr>
              <w:widowControl w:val="0"/>
              <w:spacing w:line="360" w:lineRule="auto"/>
              <w:jc w:val="right"/>
              <w:rPr>
                <w:sz w:val="28"/>
                <w:szCs w:val="28"/>
              </w:rPr>
            </w:pPr>
          </w:p>
          <w:p w14:paraId="55AF817D" w14:textId="77777777" w:rsidR="0052772D" w:rsidRPr="00520861" w:rsidRDefault="0052772D" w:rsidP="00292D2E">
            <w:pPr>
              <w:widowControl w:val="0"/>
              <w:spacing w:line="360" w:lineRule="auto"/>
              <w:jc w:val="right"/>
              <w:rPr>
                <w:sz w:val="28"/>
                <w:szCs w:val="28"/>
              </w:rPr>
            </w:pPr>
          </w:p>
          <w:p w14:paraId="49077300" w14:textId="77777777" w:rsidR="0052772D" w:rsidRPr="00520861" w:rsidRDefault="00932F4A" w:rsidP="00292D2E">
            <w:pPr>
              <w:widowControl w:val="0"/>
              <w:spacing w:line="360" w:lineRule="auto"/>
              <w:jc w:val="right"/>
              <w:rPr>
                <w:sz w:val="28"/>
                <w:szCs w:val="28"/>
              </w:rPr>
            </w:pPr>
            <w:r w:rsidRPr="00520861">
              <w:rPr>
                <w:sz w:val="28"/>
                <w:szCs w:val="28"/>
              </w:rPr>
              <w:t>166</w:t>
            </w:r>
          </w:p>
        </w:tc>
      </w:tr>
      <w:tr w:rsidR="0052772D" w:rsidRPr="00520861" w14:paraId="68A8BEC9" w14:textId="77777777" w:rsidTr="00032B7F">
        <w:tc>
          <w:tcPr>
            <w:tcW w:w="9606" w:type="dxa"/>
            <w:shd w:val="clear" w:color="auto" w:fill="auto"/>
          </w:tcPr>
          <w:p w14:paraId="7886A407" w14:textId="77777777" w:rsidR="0052772D" w:rsidRPr="00520861" w:rsidRDefault="0052772D" w:rsidP="00292D2E">
            <w:pPr>
              <w:widowControl w:val="0"/>
              <w:spacing w:line="360" w:lineRule="auto"/>
              <w:ind w:left="567"/>
              <w:rPr>
                <w:sz w:val="28"/>
                <w:szCs w:val="28"/>
              </w:rPr>
            </w:pPr>
            <w:r w:rsidRPr="00520861">
              <w:rPr>
                <w:sz w:val="28"/>
                <w:szCs w:val="28"/>
              </w:rPr>
              <w:t>3.5.1</w:t>
            </w:r>
            <w:r w:rsidR="000A4BF5" w:rsidRPr="00520861">
              <w:rPr>
                <w:sz w:val="28"/>
                <w:szCs w:val="28"/>
              </w:rPr>
              <w:t>.</w:t>
            </w:r>
            <w:r w:rsidRPr="00520861">
              <w:rPr>
                <w:sz w:val="28"/>
                <w:szCs w:val="28"/>
              </w:rPr>
              <w:t xml:space="preserve"> Стан пульпи та твердих тканин жувальних зубів…………………</w:t>
            </w:r>
            <w:r w:rsidR="00D132E7" w:rsidRPr="00520861">
              <w:rPr>
                <w:sz w:val="28"/>
                <w:szCs w:val="28"/>
              </w:rPr>
              <w:t>.</w:t>
            </w:r>
            <w:r w:rsidRPr="00520861">
              <w:rPr>
                <w:sz w:val="28"/>
                <w:szCs w:val="28"/>
              </w:rPr>
              <w:t>…</w:t>
            </w:r>
          </w:p>
        </w:tc>
        <w:tc>
          <w:tcPr>
            <w:tcW w:w="708" w:type="dxa"/>
            <w:shd w:val="clear" w:color="auto" w:fill="auto"/>
          </w:tcPr>
          <w:p w14:paraId="604F98E0" w14:textId="77777777" w:rsidR="0052772D" w:rsidRPr="00520861" w:rsidRDefault="00932F4A" w:rsidP="00292D2E">
            <w:pPr>
              <w:widowControl w:val="0"/>
              <w:spacing w:line="360" w:lineRule="auto"/>
              <w:jc w:val="right"/>
              <w:rPr>
                <w:sz w:val="28"/>
                <w:szCs w:val="28"/>
              </w:rPr>
            </w:pPr>
            <w:r w:rsidRPr="00520861">
              <w:rPr>
                <w:sz w:val="28"/>
                <w:szCs w:val="28"/>
              </w:rPr>
              <w:t>166</w:t>
            </w:r>
          </w:p>
        </w:tc>
      </w:tr>
      <w:tr w:rsidR="0052772D" w:rsidRPr="00520861" w14:paraId="7903AE4A" w14:textId="77777777" w:rsidTr="00032B7F">
        <w:tc>
          <w:tcPr>
            <w:tcW w:w="9606" w:type="dxa"/>
            <w:shd w:val="clear" w:color="auto" w:fill="auto"/>
          </w:tcPr>
          <w:p w14:paraId="2CAC1710" w14:textId="77777777" w:rsidR="0052772D" w:rsidRPr="00520861" w:rsidRDefault="0052772D" w:rsidP="00292D2E">
            <w:pPr>
              <w:widowControl w:val="0"/>
              <w:spacing w:line="360" w:lineRule="auto"/>
              <w:ind w:left="567"/>
              <w:rPr>
                <w:sz w:val="28"/>
                <w:szCs w:val="28"/>
              </w:rPr>
            </w:pPr>
            <w:r w:rsidRPr="00520861">
              <w:rPr>
                <w:sz w:val="28"/>
                <w:szCs w:val="28"/>
              </w:rPr>
              <w:t>3.5.2</w:t>
            </w:r>
            <w:r w:rsidR="000A4BF5" w:rsidRPr="00520861">
              <w:rPr>
                <w:sz w:val="28"/>
                <w:szCs w:val="28"/>
              </w:rPr>
              <w:t>.</w:t>
            </w:r>
            <w:r w:rsidRPr="00520861">
              <w:rPr>
                <w:sz w:val="28"/>
                <w:szCs w:val="28"/>
              </w:rPr>
              <w:t xml:space="preserve"> Стан тканин </w:t>
            </w:r>
            <w:proofErr w:type="spellStart"/>
            <w:r w:rsidRPr="00520861">
              <w:rPr>
                <w:sz w:val="28"/>
                <w:szCs w:val="28"/>
              </w:rPr>
              <w:t>пародонта</w:t>
            </w:r>
            <w:proofErr w:type="spellEnd"/>
            <w:r w:rsidRPr="00520861">
              <w:rPr>
                <w:sz w:val="28"/>
                <w:szCs w:val="28"/>
              </w:rPr>
              <w:t xml:space="preserve"> </w:t>
            </w:r>
            <w:r w:rsidR="00EF33D5" w:rsidRPr="00520861">
              <w:rPr>
                <w:rFonts w:eastAsia="Calibri"/>
                <w:bCs/>
                <w:sz w:val="28"/>
                <w:szCs w:val="28"/>
              </w:rPr>
              <w:t xml:space="preserve">в межах </w:t>
            </w:r>
            <w:r w:rsidR="00EF33D5" w:rsidRPr="00520861">
              <w:rPr>
                <w:sz w:val="28"/>
                <w:szCs w:val="28"/>
              </w:rPr>
              <w:t>жувальних зубів.…….</w:t>
            </w:r>
            <w:r w:rsidRPr="00520861">
              <w:rPr>
                <w:sz w:val="28"/>
                <w:szCs w:val="28"/>
              </w:rPr>
              <w:t>……….……</w:t>
            </w:r>
            <w:r w:rsidR="00D132E7" w:rsidRPr="00520861">
              <w:rPr>
                <w:sz w:val="28"/>
                <w:szCs w:val="28"/>
              </w:rPr>
              <w:t>.</w:t>
            </w:r>
          </w:p>
        </w:tc>
        <w:tc>
          <w:tcPr>
            <w:tcW w:w="708" w:type="dxa"/>
            <w:shd w:val="clear" w:color="auto" w:fill="auto"/>
          </w:tcPr>
          <w:p w14:paraId="60FD85D2" w14:textId="77777777" w:rsidR="0052772D" w:rsidRPr="00520861" w:rsidRDefault="00932F4A" w:rsidP="00292D2E">
            <w:pPr>
              <w:widowControl w:val="0"/>
              <w:spacing w:line="360" w:lineRule="auto"/>
              <w:jc w:val="right"/>
              <w:rPr>
                <w:sz w:val="28"/>
                <w:szCs w:val="28"/>
              </w:rPr>
            </w:pPr>
            <w:r w:rsidRPr="00520861">
              <w:rPr>
                <w:sz w:val="28"/>
                <w:szCs w:val="28"/>
              </w:rPr>
              <w:t>173</w:t>
            </w:r>
          </w:p>
        </w:tc>
      </w:tr>
      <w:tr w:rsidR="007D5373" w:rsidRPr="00520861" w14:paraId="279554B9" w14:textId="77777777" w:rsidTr="00032B7F">
        <w:tc>
          <w:tcPr>
            <w:tcW w:w="9606" w:type="dxa"/>
            <w:shd w:val="clear" w:color="auto" w:fill="auto"/>
          </w:tcPr>
          <w:p w14:paraId="1D424765" w14:textId="77777777" w:rsidR="0052772D" w:rsidRPr="00520861" w:rsidRDefault="0052772D" w:rsidP="00292D2E">
            <w:pPr>
              <w:widowControl w:val="0"/>
              <w:spacing w:line="360" w:lineRule="auto"/>
              <w:rPr>
                <w:sz w:val="28"/>
                <w:szCs w:val="28"/>
              </w:rPr>
            </w:pPr>
            <w:r w:rsidRPr="00520861">
              <w:rPr>
                <w:sz w:val="28"/>
                <w:szCs w:val="28"/>
              </w:rPr>
              <w:t>РОЗДІЛ 4. РЕЗУЛЬТАТИ КЛІНІКО-АНАМНЕС</w:t>
            </w:r>
            <w:r w:rsidR="00DD278B" w:rsidRPr="00520861">
              <w:rPr>
                <w:sz w:val="28"/>
                <w:szCs w:val="28"/>
              </w:rPr>
              <w:t>ТИЧНИХ ДОСЛІДЖЕНЬ</w:t>
            </w:r>
            <w:r w:rsidR="000B56DA" w:rsidRPr="00520861">
              <w:rPr>
                <w:sz w:val="28"/>
                <w:szCs w:val="28"/>
              </w:rPr>
              <w:t xml:space="preserve"> ПРОВЕДЕНИХ СЕРЕД МЕШКАНЦІВ ХАРКІВСЬКОЇ ОБЛАСТІ ТА ПРИЛЕГЛИХ (ДОНЕЦЬКОЇ, ЛУГАНСЬКОЇ) ОБЛАСТЕЙ, ЯКІ НАРОДИЛИСЯ З МАКРОСОМІЄЮ…………………………………………...</w:t>
            </w:r>
            <w:r w:rsidRPr="00520861">
              <w:rPr>
                <w:sz w:val="28"/>
                <w:szCs w:val="28"/>
              </w:rPr>
              <w:t>....</w:t>
            </w:r>
          </w:p>
        </w:tc>
        <w:tc>
          <w:tcPr>
            <w:tcW w:w="708" w:type="dxa"/>
            <w:shd w:val="clear" w:color="auto" w:fill="auto"/>
          </w:tcPr>
          <w:p w14:paraId="12B9A092" w14:textId="77777777" w:rsidR="000B56DA" w:rsidRPr="00520861" w:rsidRDefault="000B56DA" w:rsidP="00292D2E">
            <w:pPr>
              <w:widowControl w:val="0"/>
              <w:spacing w:line="360" w:lineRule="auto"/>
              <w:jc w:val="right"/>
              <w:rPr>
                <w:sz w:val="28"/>
                <w:szCs w:val="28"/>
              </w:rPr>
            </w:pPr>
          </w:p>
          <w:p w14:paraId="7651C153" w14:textId="77777777" w:rsidR="000B56DA" w:rsidRPr="00520861" w:rsidRDefault="000B56DA" w:rsidP="00292D2E">
            <w:pPr>
              <w:widowControl w:val="0"/>
              <w:spacing w:line="360" w:lineRule="auto"/>
              <w:jc w:val="right"/>
              <w:rPr>
                <w:sz w:val="28"/>
                <w:szCs w:val="28"/>
              </w:rPr>
            </w:pPr>
          </w:p>
          <w:p w14:paraId="39728783" w14:textId="77777777" w:rsidR="000B56DA" w:rsidRPr="00520861" w:rsidRDefault="000B56DA" w:rsidP="00292D2E">
            <w:pPr>
              <w:widowControl w:val="0"/>
              <w:spacing w:line="360" w:lineRule="auto"/>
              <w:jc w:val="right"/>
              <w:rPr>
                <w:sz w:val="28"/>
                <w:szCs w:val="28"/>
              </w:rPr>
            </w:pPr>
          </w:p>
          <w:p w14:paraId="79C577E4" w14:textId="77777777" w:rsidR="0052772D" w:rsidRPr="00520861" w:rsidRDefault="00FA532C" w:rsidP="00292D2E">
            <w:pPr>
              <w:widowControl w:val="0"/>
              <w:spacing w:line="360" w:lineRule="auto"/>
              <w:jc w:val="right"/>
              <w:rPr>
                <w:sz w:val="28"/>
                <w:szCs w:val="28"/>
              </w:rPr>
            </w:pPr>
            <w:r w:rsidRPr="00520861">
              <w:rPr>
                <w:sz w:val="28"/>
                <w:szCs w:val="28"/>
              </w:rPr>
              <w:t>180</w:t>
            </w:r>
          </w:p>
        </w:tc>
      </w:tr>
      <w:tr w:rsidR="0052772D" w:rsidRPr="00520861" w14:paraId="528A1AEB" w14:textId="77777777" w:rsidTr="00032B7F">
        <w:tc>
          <w:tcPr>
            <w:tcW w:w="9606" w:type="dxa"/>
            <w:shd w:val="clear" w:color="auto" w:fill="auto"/>
          </w:tcPr>
          <w:p w14:paraId="26E01074" w14:textId="77777777" w:rsidR="0052772D" w:rsidRPr="00520861" w:rsidRDefault="0052772D" w:rsidP="00292D2E">
            <w:pPr>
              <w:widowControl w:val="0"/>
              <w:spacing w:line="360" w:lineRule="auto"/>
              <w:ind w:left="284"/>
              <w:rPr>
                <w:sz w:val="28"/>
                <w:szCs w:val="28"/>
              </w:rPr>
            </w:pPr>
            <w:r w:rsidRPr="00520861">
              <w:rPr>
                <w:sz w:val="28"/>
                <w:szCs w:val="28"/>
              </w:rPr>
              <w:t>4.1</w:t>
            </w:r>
            <w:r w:rsidR="009E342A" w:rsidRPr="00520861">
              <w:rPr>
                <w:sz w:val="28"/>
                <w:szCs w:val="28"/>
              </w:rPr>
              <w:t xml:space="preserve">. </w:t>
            </w:r>
            <w:r w:rsidR="00ED4CEF" w:rsidRPr="00520861">
              <w:rPr>
                <w:sz w:val="28"/>
                <w:szCs w:val="28"/>
              </w:rPr>
              <w:t xml:space="preserve">Чинники формування </w:t>
            </w:r>
            <w:proofErr w:type="spellStart"/>
            <w:r w:rsidR="00ED4CEF" w:rsidRPr="00520861">
              <w:rPr>
                <w:sz w:val="28"/>
                <w:szCs w:val="28"/>
              </w:rPr>
              <w:t>маросомії</w:t>
            </w:r>
            <w:proofErr w:type="spellEnd"/>
            <w:r w:rsidR="00ED4CEF" w:rsidRPr="00520861">
              <w:rPr>
                <w:sz w:val="28"/>
                <w:szCs w:val="28"/>
              </w:rPr>
              <w:t xml:space="preserve"> плода</w:t>
            </w:r>
            <w:r w:rsidR="00997AEE" w:rsidRPr="00520861">
              <w:rPr>
                <w:sz w:val="28"/>
                <w:szCs w:val="28"/>
              </w:rPr>
              <w:t>…………………………</w:t>
            </w:r>
            <w:r w:rsidR="000F6D5F" w:rsidRPr="00520861">
              <w:rPr>
                <w:sz w:val="28"/>
                <w:szCs w:val="28"/>
              </w:rPr>
              <w:t>…</w:t>
            </w:r>
            <w:r w:rsidRPr="00520861">
              <w:rPr>
                <w:sz w:val="28"/>
                <w:szCs w:val="28"/>
              </w:rPr>
              <w:t>…….....</w:t>
            </w:r>
          </w:p>
        </w:tc>
        <w:tc>
          <w:tcPr>
            <w:tcW w:w="708" w:type="dxa"/>
            <w:shd w:val="clear" w:color="auto" w:fill="auto"/>
          </w:tcPr>
          <w:p w14:paraId="7CE40469" w14:textId="77777777" w:rsidR="0052772D" w:rsidRPr="00520861" w:rsidRDefault="008F521A" w:rsidP="00292D2E">
            <w:pPr>
              <w:widowControl w:val="0"/>
              <w:spacing w:line="360" w:lineRule="auto"/>
              <w:jc w:val="right"/>
              <w:rPr>
                <w:sz w:val="28"/>
                <w:szCs w:val="28"/>
              </w:rPr>
            </w:pPr>
            <w:r w:rsidRPr="00520861">
              <w:rPr>
                <w:sz w:val="28"/>
                <w:szCs w:val="28"/>
              </w:rPr>
              <w:t>180</w:t>
            </w:r>
          </w:p>
        </w:tc>
      </w:tr>
      <w:tr w:rsidR="0052772D" w:rsidRPr="00520861" w14:paraId="2D05853D" w14:textId="77777777" w:rsidTr="00032B7F">
        <w:tc>
          <w:tcPr>
            <w:tcW w:w="9606" w:type="dxa"/>
            <w:shd w:val="clear" w:color="auto" w:fill="auto"/>
          </w:tcPr>
          <w:p w14:paraId="17377D12" w14:textId="77777777" w:rsidR="0052772D" w:rsidRPr="00520861" w:rsidRDefault="0052772D" w:rsidP="00292D2E">
            <w:pPr>
              <w:widowControl w:val="0"/>
              <w:spacing w:line="360" w:lineRule="auto"/>
              <w:ind w:left="567"/>
              <w:rPr>
                <w:sz w:val="28"/>
                <w:szCs w:val="28"/>
              </w:rPr>
            </w:pPr>
            <w:r w:rsidRPr="00520861">
              <w:rPr>
                <w:sz w:val="28"/>
                <w:szCs w:val="28"/>
              </w:rPr>
              <w:t>4.1.1</w:t>
            </w:r>
            <w:r w:rsidR="009E342A" w:rsidRPr="00520861">
              <w:rPr>
                <w:sz w:val="28"/>
                <w:szCs w:val="28"/>
              </w:rPr>
              <w:t>. Чинники</w:t>
            </w:r>
            <w:r w:rsidR="00FB1767" w:rsidRPr="00520861">
              <w:rPr>
                <w:sz w:val="28"/>
                <w:szCs w:val="28"/>
              </w:rPr>
              <w:t>,</w:t>
            </w:r>
            <w:r w:rsidR="009E342A" w:rsidRPr="00520861">
              <w:rPr>
                <w:sz w:val="28"/>
                <w:szCs w:val="28"/>
              </w:rPr>
              <w:t xml:space="preserve"> виявлені </w:t>
            </w:r>
            <w:proofErr w:type="spellStart"/>
            <w:r w:rsidR="009E342A" w:rsidRPr="00520861">
              <w:rPr>
                <w:sz w:val="28"/>
                <w:szCs w:val="28"/>
              </w:rPr>
              <w:t>опитувльним</w:t>
            </w:r>
            <w:proofErr w:type="spellEnd"/>
            <w:r w:rsidR="009E342A" w:rsidRPr="00520861">
              <w:rPr>
                <w:sz w:val="28"/>
                <w:szCs w:val="28"/>
              </w:rPr>
              <w:t xml:space="preserve"> методом</w:t>
            </w:r>
            <w:r w:rsidR="00FB1767" w:rsidRPr="00520861">
              <w:rPr>
                <w:sz w:val="28"/>
                <w:szCs w:val="28"/>
              </w:rPr>
              <w:t>................................</w:t>
            </w:r>
            <w:r w:rsidR="000F6D5F" w:rsidRPr="00520861">
              <w:rPr>
                <w:sz w:val="28"/>
                <w:szCs w:val="28"/>
              </w:rPr>
              <w:t>..</w:t>
            </w:r>
            <w:r w:rsidR="00FB1767" w:rsidRPr="00520861">
              <w:rPr>
                <w:sz w:val="28"/>
                <w:szCs w:val="28"/>
              </w:rPr>
              <w:t>.........</w:t>
            </w:r>
            <w:r w:rsidRPr="00520861">
              <w:rPr>
                <w:sz w:val="28"/>
                <w:szCs w:val="28"/>
              </w:rPr>
              <w:t>.</w:t>
            </w:r>
          </w:p>
        </w:tc>
        <w:tc>
          <w:tcPr>
            <w:tcW w:w="708" w:type="dxa"/>
            <w:shd w:val="clear" w:color="auto" w:fill="auto"/>
          </w:tcPr>
          <w:p w14:paraId="46C5CAE5" w14:textId="77777777" w:rsidR="0052772D" w:rsidRPr="00520861" w:rsidRDefault="008F521A" w:rsidP="00292D2E">
            <w:pPr>
              <w:widowControl w:val="0"/>
              <w:spacing w:line="360" w:lineRule="auto"/>
              <w:jc w:val="right"/>
              <w:rPr>
                <w:sz w:val="28"/>
                <w:szCs w:val="28"/>
              </w:rPr>
            </w:pPr>
            <w:r w:rsidRPr="00520861">
              <w:rPr>
                <w:sz w:val="28"/>
                <w:szCs w:val="28"/>
              </w:rPr>
              <w:t>180</w:t>
            </w:r>
          </w:p>
        </w:tc>
      </w:tr>
      <w:tr w:rsidR="009E342A" w:rsidRPr="00520861" w14:paraId="540EA7AB" w14:textId="77777777" w:rsidTr="00032B7F">
        <w:tc>
          <w:tcPr>
            <w:tcW w:w="9606" w:type="dxa"/>
            <w:shd w:val="clear" w:color="auto" w:fill="auto"/>
          </w:tcPr>
          <w:p w14:paraId="47D54B07" w14:textId="77777777" w:rsidR="009E342A" w:rsidRPr="00520861" w:rsidRDefault="009E342A" w:rsidP="00292D2E">
            <w:pPr>
              <w:widowControl w:val="0"/>
              <w:spacing w:line="360" w:lineRule="auto"/>
              <w:ind w:left="567"/>
              <w:jc w:val="both"/>
              <w:rPr>
                <w:sz w:val="28"/>
                <w:szCs w:val="28"/>
              </w:rPr>
            </w:pPr>
            <w:r w:rsidRPr="00520861">
              <w:rPr>
                <w:sz w:val="28"/>
                <w:szCs w:val="28"/>
              </w:rPr>
              <w:t>4.1.2. Чинники, виявлені клініко-ретроспективним методом...............</w:t>
            </w:r>
            <w:r w:rsidR="000F6D5F" w:rsidRPr="00520861">
              <w:rPr>
                <w:sz w:val="28"/>
                <w:szCs w:val="28"/>
              </w:rPr>
              <w:t>....</w:t>
            </w:r>
            <w:r w:rsidRPr="00520861">
              <w:rPr>
                <w:sz w:val="28"/>
                <w:szCs w:val="28"/>
              </w:rPr>
              <w:t>.....</w:t>
            </w:r>
          </w:p>
        </w:tc>
        <w:tc>
          <w:tcPr>
            <w:tcW w:w="708" w:type="dxa"/>
            <w:shd w:val="clear" w:color="auto" w:fill="auto"/>
          </w:tcPr>
          <w:p w14:paraId="5CAC2B86" w14:textId="77777777" w:rsidR="009E342A" w:rsidRPr="00520861" w:rsidRDefault="008F521A" w:rsidP="00292D2E">
            <w:pPr>
              <w:widowControl w:val="0"/>
              <w:spacing w:line="360" w:lineRule="auto"/>
              <w:jc w:val="right"/>
              <w:rPr>
                <w:sz w:val="28"/>
                <w:szCs w:val="28"/>
              </w:rPr>
            </w:pPr>
            <w:r w:rsidRPr="00520861">
              <w:rPr>
                <w:sz w:val="28"/>
                <w:szCs w:val="28"/>
              </w:rPr>
              <w:t>184</w:t>
            </w:r>
          </w:p>
        </w:tc>
      </w:tr>
      <w:tr w:rsidR="009E342A" w:rsidRPr="00520861" w14:paraId="019DE025" w14:textId="77777777" w:rsidTr="00032B7F">
        <w:tc>
          <w:tcPr>
            <w:tcW w:w="9606" w:type="dxa"/>
            <w:shd w:val="clear" w:color="auto" w:fill="auto"/>
          </w:tcPr>
          <w:p w14:paraId="51432BDA" w14:textId="77777777" w:rsidR="000F6D5F" w:rsidRPr="00520861" w:rsidRDefault="009E342A" w:rsidP="00292D2E">
            <w:pPr>
              <w:widowControl w:val="0"/>
              <w:spacing w:line="360" w:lineRule="auto"/>
              <w:ind w:left="284"/>
              <w:rPr>
                <w:sz w:val="28"/>
                <w:szCs w:val="28"/>
              </w:rPr>
            </w:pPr>
            <w:r w:rsidRPr="00520861">
              <w:rPr>
                <w:sz w:val="28"/>
                <w:szCs w:val="28"/>
              </w:rPr>
              <w:t>4.2</w:t>
            </w:r>
            <w:r w:rsidR="00EC0CBC" w:rsidRPr="00520861">
              <w:rPr>
                <w:sz w:val="28"/>
                <w:szCs w:val="28"/>
              </w:rPr>
              <w:t>.</w:t>
            </w:r>
            <w:r w:rsidRPr="00520861">
              <w:rPr>
                <w:sz w:val="28"/>
                <w:szCs w:val="28"/>
              </w:rPr>
              <w:t xml:space="preserve"> Прогнозування ризику розвитку стоматологічних порушень у </w:t>
            </w:r>
          </w:p>
          <w:p w14:paraId="18F63725" w14:textId="77777777" w:rsidR="009E342A" w:rsidRPr="00520861" w:rsidRDefault="009E342A" w:rsidP="00292D2E">
            <w:pPr>
              <w:widowControl w:val="0"/>
              <w:spacing w:line="360" w:lineRule="auto"/>
              <w:ind w:left="284"/>
              <w:rPr>
                <w:sz w:val="28"/>
                <w:szCs w:val="28"/>
              </w:rPr>
            </w:pPr>
            <w:r w:rsidRPr="00520861">
              <w:rPr>
                <w:sz w:val="28"/>
                <w:szCs w:val="28"/>
              </w:rPr>
              <w:t xml:space="preserve">новонароджених та дітей грудного віку, які народилися </w:t>
            </w:r>
            <w:proofErr w:type="spellStart"/>
            <w:r w:rsidRPr="00520861">
              <w:rPr>
                <w:sz w:val="28"/>
                <w:szCs w:val="28"/>
              </w:rPr>
              <w:t>макросомами</w:t>
            </w:r>
            <w:proofErr w:type="spellEnd"/>
            <w:r w:rsidRPr="00520861">
              <w:rPr>
                <w:sz w:val="28"/>
                <w:szCs w:val="28"/>
              </w:rPr>
              <w:t>, з урахуванням їх індексу маси тіла при народженні…</w:t>
            </w:r>
            <w:r w:rsidR="000F6D5F" w:rsidRPr="00520861">
              <w:rPr>
                <w:sz w:val="28"/>
                <w:szCs w:val="28"/>
              </w:rPr>
              <w:t>..</w:t>
            </w:r>
            <w:r w:rsidRPr="00520861">
              <w:rPr>
                <w:sz w:val="28"/>
                <w:szCs w:val="28"/>
              </w:rPr>
              <w:t>………………………...</w:t>
            </w:r>
          </w:p>
        </w:tc>
        <w:tc>
          <w:tcPr>
            <w:tcW w:w="708" w:type="dxa"/>
            <w:shd w:val="clear" w:color="auto" w:fill="auto"/>
          </w:tcPr>
          <w:p w14:paraId="38AE3DF7" w14:textId="77777777" w:rsidR="009E342A" w:rsidRPr="00520861" w:rsidRDefault="009E342A" w:rsidP="00292D2E">
            <w:pPr>
              <w:widowControl w:val="0"/>
              <w:spacing w:line="360" w:lineRule="auto"/>
              <w:jc w:val="right"/>
              <w:rPr>
                <w:sz w:val="28"/>
                <w:szCs w:val="28"/>
              </w:rPr>
            </w:pPr>
          </w:p>
          <w:p w14:paraId="0F8BF710" w14:textId="77777777" w:rsidR="009E342A" w:rsidRPr="00520861" w:rsidRDefault="009E342A" w:rsidP="00292D2E">
            <w:pPr>
              <w:widowControl w:val="0"/>
              <w:spacing w:line="360" w:lineRule="auto"/>
              <w:jc w:val="right"/>
              <w:rPr>
                <w:sz w:val="28"/>
                <w:szCs w:val="28"/>
              </w:rPr>
            </w:pPr>
          </w:p>
          <w:p w14:paraId="0791DB7C" w14:textId="77777777" w:rsidR="009E342A" w:rsidRPr="00520861" w:rsidRDefault="008F521A" w:rsidP="00292D2E">
            <w:pPr>
              <w:widowControl w:val="0"/>
              <w:spacing w:line="360" w:lineRule="auto"/>
              <w:jc w:val="right"/>
              <w:rPr>
                <w:sz w:val="28"/>
                <w:szCs w:val="28"/>
              </w:rPr>
            </w:pPr>
            <w:r w:rsidRPr="00520861">
              <w:rPr>
                <w:sz w:val="28"/>
                <w:szCs w:val="28"/>
              </w:rPr>
              <w:t>187</w:t>
            </w:r>
          </w:p>
        </w:tc>
      </w:tr>
      <w:tr w:rsidR="009E342A" w:rsidRPr="00520861" w14:paraId="33A228AE" w14:textId="77777777" w:rsidTr="00032B7F">
        <w:tc>
          <w:tcPr>
            <w:tcW w:w="9606" w:type="dxa"/>
            <w:shd w:val="clear" w:color="auto" w:fill="auto"/>
          </w:tcPr>
          <w:p w14:paraId="20AC927B" w14:textId="77777777" w:rsidR="009E342A" w:rsidRPr="00520861" w:rsidRDefault="009E342A" w:rsidP="00292D2E">
            <w:pPr>
              <w:widowControl w:val="0"/>
              <w:spacing w:line="360" w:lineRule="auto"/>
              <w:ind w:left="284" w:right="-108"/>
              <w:rPr>
                <w:sz w:val="28"/>
                <w:szCs w:val="28"/>
              </w:rPr>
            </w:pPr>
            <w:r w:rsidRPr="00520861">
              <w:rPr>
                <w:sz w:val="28"/>
                <w:szCs w:val="28"/>
              </w:rPr>
              <w:t>4.3</w:t>
            </w:r>
            <w:r w:rsidR="0048757C" w:rsidRPr="00520861">
              <w:rPr>
                <w:sz w:val="28"/>
                <w:szCs w:val="28"/>
              </w:rPr>
              <w:t>.</w:t>
            </w:r>
            <w:r w:rsidRPr="00520861">
              <w:rPr>
                <w:sz w:val="28"/>
                <w:szCs w:val="28"/>
              </w:rPr>
              <w:t xml:space="preserve"> Залежність ризику виникнення стоматологічних порушень у дітей та підлітків, народжених із </w:t>
            </w:r>
            <w:proofErr w:type="spellStart"/>
            <w:r w:rsidRPr="00520861">
              <w:rPr>
                <w:sz w:val="28"/>
                <w:szCs w:val="28"/>
              </w:rPr>
              <w:t>макросомією</w:t>
            </w:r>
            <w:proofErr w:type="spellEnd"/>
            <w:r w:rsidRPr="00520861">
              <w:rPr>
                <w:sz w:val="28"/>
                <w:szCs w:val="28"/>
              </w:rPr>
              <w:t>, від індексу маси тіла при народженні</w:t>
            </w:r>
          </w:p>
        </w:tc>
        <w:tc>
          <w:tcPr>
            <w:tcW w:w="708" w:type="dxa"/>
            <w:shd w:val="clear" w:color="auto" w:fill="auto"/>
          </w:tcPr>
          <w:p w14:paraId="177C4484" w14:textId="77777777" w:rsidR="009E342A" w:rsidRPr="00520861" w:rsidRDefault="009E342A" w:rsidP="00292D2E">
            <w:pPr>
              <w:widowControl w:val="0"/>
              <w:spacing w:line="360" w:lineRule="auto"/>
              <w:jc w:val="right"/>
              <w:rPr>
                <w:sz w:val="28"/>
                <w:szCs w:val="28"/>
              </w:rPr>
            </w:pPr>
          </w:p>
          <w:p w14:paraId="155D340A" w14:textId="77777777" w:rsidR="009E342A" w:rsidRPr="00520861" w:rsidRDefault="008F521A" w:rsidP="00292D2E">
            <w:pPr>
              <w:widowControl w:val="0"/>
              <w:spacing w:line="360" w:lineRule="auto"/>
              <w:jc w:val="right"/>
              <w:rPr>
                <w:sz w:val="28"/>
                <w:szCs w:val="28"/>
              </w:rPr>
            </w:pPr>
            <w:r w:rsidRPr="00520861">
              <w:rPr>
                <w:sz w:val="28"/>
                <w:szCs w:val="28"/>
              </w:rPr>
              <w:t>191</w:t>
            </w:r>
          </w:p>
        </w:tc>
      </w:tr>
      <w:tr w:rsidR="009E342A" w:rsidRPr="00520861" w14:paraId="22CC2886" w14:textId="77777777" w:rsidTr="00032B7F">
        <w:tc>
          <w:tcPr>
            <w:tcW w:w="9606" w:type="dxa"/>
            <w:shd w:val="clear" w:color="auto" w:fill="auto"/>
          </w:tcPr>
          <w:p w14:paraId="6EFF7084" w14:textId="77777777" w:rsidR="009E342A" w:rsidRPr="00520861" w:rsidRDefault="009E342A" w:rsidP="00292D2E">
            <w:pPr>
              <w:widowControl w:val="0"/>
              <w:spacing w:line="360" w:lineRule="auto"/>
              <w:ind w:left="284"/>
              <w:rPr>
                <w:b/>
                <w:spacing w:val="-8"/>
                <w:sz w:val="28"/>
                <w:szCs w:val="28"/>
              </w:rPr>
            </w:pPr>
            <w:r w:rsidRPr="00520861">
              <w:rPr>
                <w:sz w:val="28"/>
                <w:szCs w:val="28"/>
              </w:rPr>
              <w:t>4.4</w:t>
            </w:r>
            <w:r w:rsidR="0048757C" w:rsidRPr="00520861">
              <w:rPr>
                <w:sz w:val="28"/>
                <w:szCs w:val="28"/>
              </w:rPr>
              <w:t>.</w:t>
            </w:r>
            <w:r w:rsidRPr="00520861">
              <w:rPr>
                <w:sz w:val="28"/>
                <w:szCs w:val="28"/>
              </w:rPr>
              <w:t xml:space="preserve"> </w:t>
            </w:r>
            <w:r w:rsidR="00572E6A" w:rsidRPr="00520861">
              <w:rPr>
                <w:spacing w:val="-8"/>
                <w:sz w:val="28"/>
                <w:szCs w:val="28"/>
              </w:rPr>
              <w:t xml:space="preserve">Залежність ризику виникнення стоматологічних порушень в осіб дорослого віку, народжених із </w:t>
            </w:r>
            <w:proofErr w:type="spellStart"/>
            <w:r w:rsidR="00572E6A" w:rsidRPr="00520861">
              <w:rPr>
                <w:spacing w:val="-8"/>
                <w:sz w:val="28"/>
                <w:szCs w:val="28"/>
              </w:rPr>
              <w:t>макросомією</w:t>
            </w:r>
            <w:proofErr w:type="spellEnd"/>
            <w:r w:rsidR="00572E6A" w:rsidRPr="00520861">
              <w:rPr>
                <w:spacing w:val="-8"/>
                <w:sz w:val="28"/>
                <w:szCs w:val="28"/>
              </w:rPr>
              <w:t>, від індексу маси тіла при народженні</w:t>
            </w:r>
            <w:r w:rsidR="00572E6A" w:rsidRPr="00520861">
              <w:rPr>
                <w:spacing w:val="-6"/>
                <w:sz w:val="28"/>
                <w:szCs w:val="28"/>
              </w:rPr>
              <w:t>………...</w:t>
            </w:r>
          </w:p>
        </w:tc>
        <w:tc>
          <w:tcPr>
            <w:tcW w:w="708" w:type="dxa"/>
            <w:shd w:val="clear" w:color="auto" w:fill="auto"/>
          </w:tcPr>
          <w:p w14:paraId="588C5D38" w14:textId="77777777" w:rsidR="009E342A" w:rsidRPr="00520861" w:rsidRDefault="009E342A" w:rsidP="00292D2E">
            <w:pPr>
              <w:widowControl w:val="0"/>
              <w:spacing w:line="360" w:lineRule="auto"/>
              <w:jc w:val="right"/>
              <w:rPr>
                <w:sz w:val="28"/>
                <w:szCs w:val="28"/>
              </w:rPr>
            </w:pPr>
          </w:p>
          <w:p w14:paraId="1BE106BC" w14:textId="77777777" w:rsidR="009E342A" w:rsidRPr="00520861" w:rsidRDefault="006625D4" w:rsidP="00292D2E">
            <w:pPr>
              <w:widowControl w:val="0"/>
              <w:spacing w:line="360" w:lineRule="auto"/>
              <w:jc w:val="right"/>
              <w:rPr>
                <w:sz w:val="28"/>
                <w:szCs w:val="28"/>
              </w:rPr>
            </w:pPr>
            <w:r w:rsidRPr="00520861">
              <w:rPr>
                <w:sz w:val="28"/>
                <w:szCs w:val="28"/>
              </w:rPr>
              <w:t>1</w:t>
            </w:r>
            <w:r w:rsidR="008F521A" w:rsidRPr="00520861">
              <w:rPr>
                <w:sz w:val="28"/>
                <w:szCs w:val="28"/>
              </w:rPr>
              <w:t>95</w:t>
            </w:r>
          </w:p>
        </w:tc>
      </w:tr>
      <w:tr w:rsidR="009E342A" w:rsidRPr="00520861" w14:paraId="70BF37B8" w14:textId="77777777" w:rsidTr="00032B7F">
        <w:tc>
          <w:tcPr>
            <w:tcW w:w="9606" w:type="dxa"/>
            <w:shd w:val="clear" w:color="auto" w:fill="auto"/>
          </w:tcPr>
          <w:p w14:paraId="0D3B6870" w14:textId="77777777" w:rsidR="009E342A" w:rsidRPr="00520861" w:rsidRDefault="009E342A" w:rsidP="00292D2E">
            <w:pPr>
              <w:widowControl w:val="0"/>
              <w:spacing w:line="360" w:lineRule="auto"/>
              <w:rPr>
                <w:sz w:val="28"/>
                <w:szCs w:val="28"/>
              </w:rPr>
            </w:pPr>
            <w:r w:rsidRPr="00520861">
              <w:rPr>
                <w:sz w:val="28"/>
                <w:szCs w:val="28"/>
              </w:rPr>
              <w:t xml:space="preserve">РОЗДІЛ 5. ОСОБЛИВОСТІ ДІАГНОСТИКИ ТА ПРОГНОЗУВАННЯ </w:t>
            </w:r>
            <w:r w:rsidRPr="00520861">
              <w:rPr>
                <w:sz w:val="28"/>
                <w:szCs w:val="28"/>
              </w:rPr>
              <w:lastRenderedPageBreak/>
              <w:t xml:space="preserve">ПОРУШЕНЬ СТОМАТОГНАТИЧНОЇ СИСТЕМИ В ОСІБ РІЗНОГО ВІКУ ПОПУЛЯЦІЇ ХАРКІВСЬКОЇ ОБЛАСТІ ТА ПРИЛЕГЛИХ </w:t>
            </w:r>
            <w:r w:rsidR="000B56DA" w:rsidRPr="00520861">
              <w:rPr>
                <w:sz w:val="28"/>
                <w:szCs w:val="28"/>
              </w:rPr>
              <w:t xml:space="preserve">(ДОНЕЦЬКОЇ, ЛУГАНСЬКОЇ) </w:t>
            </w:r>
            <w:r w:rsidRPr="00520861">
              <w:rPr>
                <w:sz w:val="28"/>
                <w:szCs w:val="28"/>
              </w:rPr>
              <w:t>ОБЛАСТЕЙ, ЯКІ НА</w:t>
            </w:r>
            <w:r w:rsidR="000B56DA" w:rsidRPr="00520861">
              <w:rPr>
                <w:sz w:val="28"/>
                <w:szCs w:val="28"/>
              </w:rPr>
              <w:t>РОДИЛИСЯ З МАКРОСОМІЄЮ…</w:t>
            </w:r>
            <w:r w:rsidR="005D6378" w:rsidRPr="00520861">
              <w:rPr>
                <w:sz w:val="28"/>
                <w:szCs w:val="28"/>
              </w:rPr>
              <w:t>...</w:t>
            </w:r>
            <w:r w:rsidR="000B56DA" w:rsidRPr="00520861">
              <w:rPr>
                <w:sz w:val="28"/>
                <w:szCs w:val="28"/>
              </w:rPr>
              <w:t>…</w:t>
            </w:r>
            <w:r w:rsidRPr="00520861">
              <w:rPr>
                <w:sz w:val="28"/>
                <w:szCs w:val="28"/>
              </w:rPr>
              <w:t>.</w:t>
            </w:r>
          </w:p>
        </w:tc>
        <w:tc>
          <w:tcPr>
            <w:tcW w:w="708" w:type="dxa"/>
            <w:shd w:val="clear" w:color="auto" w:fill="auto"/>
          </w:tcPr>
          <w:p w14:paraId="3B22364D" w14:textId="77777777" w:rsidR="009E342A" w:rsidRPr="00520861" w:rsidRDefault="009E342A" w:rsidP="00292D2E">
            <w:pPr>
              <w:widowControl w:val="0"/>
              <w:spacing w:line="360" w:lineRule="auto"/>
              <w:jc w:val="right"/>
              <w:rPr>
                <w:sz w:val="28"/>
                <w:szCs w:val="28"/>
              </w:rPr>
            </w:pPr>
          </w:p>
          <w:p w14:paraId="2A8A08DB" w14:textId="77777777" w:rsidR="009E342A" w:rsidRPr="00520861" w:rsidRDefault="009E342A" w:rsidP="00292D2E">
            <w:pPr>
              <w:widowControl w:val="0"/>
              <w:spacing w:line="360" w:lineRule="auto"/>
              <w:jc w:val="right"/>
              <w:rPr>
                <w:sz w:val="28"/>
                <w:szCs w:val="28"/>
              </w:rPr>
            </w:pPr>
          </w:p>
          <w:p w14:paraId="0C828E15" w14:textId="77777777" w:rsidR="009E342A" w:rsidRPr="00520861" w:rsidRDefault="009E342A" w:rsidP="00292D2E">
            <w:pPr>
              <w:widowControl w:val="0"/>
              <w:spacing w:line="360" w:lineRule="auto"/>
              <w:jc w:val="right"/>
              <w:rPr>
                <w:sz w:val="28"/>
                <w:szCs w:val="28"/>
              </w:rPr>
            </w:pPr>
          </w:p>
          <w:p w14:paraId="07916AEA" w14:textId="77777777" w:rsidR="009E342A" w:rsidRPr="00520861" w:rsidRDefault="008F521A" w:rsidP="00292D2E">
            <w:pPr>
              <w:widowControl w:val="0"/>
              <w:spacing w:line="360" w:lineRule="auto"/>
              <w:jc w:val="right"/>
              <w:rPr>
                <w:sz w:val="28"/>
                <w:szCs w:val="28"/>
              </w:rPr>
            </w:pPr>
            <w:r w:rsidRPr="00520861">
              <w:rPr>
                <w:sz w:val="28"/>
                <w:szCs w:val="28"/>
              </w:rPr>
              <w:t>207</w:t>
            </w:r>
          </w:p>
        </w:tc>
      </w:tr>
      <w:tr w:rsidR="009E342A" w:rsidRPr="00520861" w14:paraId="555C8353" w14:textId="77777777" w:rsidTr="00032B7F">
        <w:tc>
          <w:tcPr>
            <w:tcW w:w="9606" w:type="dxa"/>
            <w:shd w:val="clear" w:color="auto" w:fill="auto"/>
          </w:tcPr>
          <w:p w14:paraId="72C98E31" w14:textId="77777777" w:rsidR="009E342A" w:rsidRPr="00520861" w:rsidRDefault="009E342A" w:rsidP="00292D2E">
            <w:pPr>
              <w:widowControl w:val="0"/>
              <w:spacing w:line="360" w:lineRule="auto"/>
              <w:ind w:left="284"/>
              <w:rPr>
                <w:sz w:val="28"/>
                <w:szCs w:val="28"/>
              </w:rPr>
            </w:pPr>
            <w:r w:rsidRPr="00520861">
              <w:rPr>
                <w:sz w:val="28"/>
                <w:szCs w:val="28"/>
              </w:rPr>
              <w:lastRenderedPageBreak/>
              <w:t>5.1</w:t>
            </w:r>
            <w:r w:rsidR="00504F44" w:rsidRPr="00520861">
              <w:rPr>
                <w:sz w:val="28"/>
                <w:szCs w:val="28"/>
              </w:rPr>
              <w:t>.</w:t>
            </w:r>
            <w:r w:rsidRPr="00520861">
              <w:rPr>
                <w:sz w:val="28"/>
                <w:szCs w:val="28"/>
              </w:rPr>
              <w:t xml:space="preserve"> Результати визначення впливу </w:t>
            </w:r>
            <w:proofErr w:type="spellStart"/>
            <w:r w:rsidRPr="00520861">
              <w:rPr>
                <w:sz w:val="28"/>
                <w:szCs w:val="28"/>
              </w:rPr>
              <w:t>перинатального</w:t>
            </w:r>
            <w:proofErr w:type="spellEnd"/>
            <w:r w:rsidRPr="00520861">
              <w:rPr>
                <w:sz w:val="28"/>
                <w:szCs w:val="28"/>
              </w:rPr>
              <w:t xml:space="preserve"> </w:t>
            </w:r>
            <w:proofErr w:type="spellStart"/>
            <w:r w:rsidRPr="00520861">
              <w:rPr>
                <w:sz w:val="28"/>
                <w:szCs w:val="28"/>
              </w:rPr>
              <w:t>гіпоксично</w:t>
            </w:r>
            <w:proofErr w:type="spellEnd"/>
            <w:r w:rsidRPr="00520861">
              <w:rPr>
                <w:sz w:val="28"/>
                <w:szCs w:val="28"/>
              </w:rPr>
              <w:t xml:space="preserve">-ішемічного ураження центральної нервової системи на поширеність стоматологічних порушень у дітей першого року життя, які народилися </w:t>
            </w:r>
            <w:proofErr w:type="spellStart"/>
            <w:r w:rsidRPr="00520861">
              <w:rPr>
                <w:sz w:val="28"/>
                <w:szCs w:val="28"/>
              </w:rPr>
              <w:t>макросомами</w:t>
            </w:r>
            <w:proofErr w:type="spellEnd"/>
            <w:r w:rsidRPr="00520861">
              <w:rPr>
                <w:sz w:val="28"/>
                <w:szCs w:val="28"/>
              </w:rPr>
              <w:t>...…….</w:t>
            </w:r>
          </w:p>
        </w:tc>
        <w:tc>
          <w:tcPr>
            <w:tcW w:w="708" w:type="dxa"/>
            <w:shd w:val="clear" w:color="auto" w:fill="auto"/>
          </w:tcPr>
          <w:p w14:paraId="3960F3D9" w14:textId="77777777" w:rsidR="009E342A" w:rsidRPr="00520861" w:rsidRDefault="009E342A" w:rsidP="00292D2E">
            <w:pPr>
              <w:widowControl w:val="0"/>
              <w:spacing w:line="360" w:lineRule="auto"/>
              <w:jc w:val="right"/>
              <w:rPr>
                <w:sz w:val="28"/>
                <w:szCs w:val="28"/>
              </w:rPr>
            </w:pPr>
          </w:p>
          <w:p w14:paraId="5777A406" w14:textId="77777777" w:rsidR="009E342A" w:rsidRPr="00520861" w:rsidRDefault="009E342A" w:rsidP="00292D2E">
            <w:pPr>
              <w:widowControl w:val="0"/>
              <w:spacing w:line="360" w:lineRule="auto"/>
              <w:jc w:val="right"/>
              <w:rPr>
                <w:sz w:val="28"/>
                <w:szCs w:val="28"/>
              </w:rPr>
            </w:pPr>
          </w:p>
          <w:p w14:paraId="23DC4C01" w14:textId="77777777" w:rsidR="009E342A" w:rsidRPr="00520861" w:rsidRDefault="004B5DE6" w:rsidP="00292D2E">
            <w:pPr>
              <w:widowControl w:val="0"/>
              <w:spacing w:line="360" w:lineRule="auto"/>
              <w:jc w:val="right"/>
              <w:rPr>
                <w:sz w:val="28"/>
                <w:szCs w:val="28"/>
              </w:rPr>
            </w:pPr>
            <w:r w:rsidRPr="00520861">
              <w:rPr>
                <w:sz w:val="28"/>
                <w:szCs w:val="28"/>
              </w:rPr>
              <w:t>207</w:t>
            </w:r>
          </w:p>
        </w:tc>
      </w:tr>
      <w:tr w:rsidR="009E342A" w:rsidRPr="00520861" w14:paraId="7BB172A4" w14:textId="77777777" w:rsidTr="00032B7F">
        <w:tc>
          <w:tcPr>
            <w:tcW w:w="9606" w:type="dxa"/>
            <w:shd w:val="clear" w:color="auto" w:fill="auto"/>
          </w:tcPr>
          <w:p w14:paraId="5926F37F" w14:textId="77777777" w:rsidR="009E342A" w:rsidRPr="00520861" w:rsidRDefault="009E342A" w:rsidP="00292D2E">
            <w:pPr>
              <w:widowControl w:val="0"/>
              <w:spacing w:line="360" w:lineRule="auto"/>
              <w:ind w:left="284"/>
              <w:rPr>
                <w:sz w:val="28"/>
                <w:szCs w:val="28"/>
              </w:rPr>
            </w:pPr>
            <w:r w:rsidRPr="00520861">
              <w:rPr>
                <w:sz w:val="28"/>
                <w:szCs w:val="28"/>
              </w:rPr>
              <w:t>5.2</w:t>
            </w:r>
            <w:r w:rsidR="00504F44" w:rsidRPr="00520861">
              <w:rPr>
                <w:sz w:val="28"/>
                <w:szCs w:val="28"/>
              </w:rPr>
              <w:t>.</w:t>
            </w:r>
            <w:r w:rsidRPr="00520861">
              <w:rPr>
                <w:sz w:val="28"/>
                <w:szCs w:val="28"/>
              </w:rPr>
              <w:t xml:space="preserve"> Результати вивчення с</w:t>
            </w:r>
            <w:r w:rsidR="00B83D6A" w:rsidRPr="00520861">
              <w:rPr>
                <w:sz w:val="28"/>
                <w:szCs w:val="28"/>
              </w:rPr>
              <w:t xml:space="preserve">тану </w:t>
            </w:r>
            <w:proofErr w:type="spellStart"/>
            <w:r w:rsidR="00B83D6A" w:rsidRPr="00520861">
              <w:rPr>
                <w:sz w:val="28"/>
                <w:szCs w:val="28"/>
              </w:rPr>
              <w:t>стоматогнатичної</w:t>
            </w:r>
            <w:proofErr w:type="spellEnd"/>
            <w:r w:rsidR="00B83D6A" w:rsidRPr="00520861">
              <w:rPr>
                <w:sz w:val="28"/>
                <w:szCs w:val="28"/>
              </w:rPr>
              <w:t xml:space="preserve"> системи в</w:t>
            </w:r>
            <w:r w:rsidRPr="00520861">
              <w:rPr>
                <w:sz w:val="28"/>
                <w:szCs w:val="28"/>
              </w:rPr>
              <w:t xml:space="preserve"> новонароджених та дітей першого року життя (ВП-I), які народилися </w:t>
            </w:r>
            <w:proofErr w:type="spellStart"/>
            <w:r w:rsidRPr="00520861">
              <w:rPr>
                <w:sz w:val="28"/>
                <w:szCs w:val="28"/>
              </w:rPr>
              <w:t>макросомами</w:t>
            </w:r>
            <w:proofErr w:type="spellEnd"/>
            <w:r w:rsidRPr="00520861">
              <w:rPr>
                <w:sz w:val="28"/>
                <w:szCs w:val="28"/>
              </w:rPr>
              <w:t>…</w:t>
            </w:r>
            <w:r w:rsidR="00572E6A" w:rsidRPr="00520861">
              <w:rPr>
                <w:sz w:val="28"/>
                <w:szCs w:val="28"/>
              </w:rPr>
              <w:t>…</w:t>
            </w:r>
            <w:r w:rsidRPr="00520861">
              <w:rPr>
                <w:sz w:val="28"/>
                <w:szCs w:val="28"/>
              </w:rPr>
              <w:t>..</w:t>
            </w:r>
          </w:p>
        </w:tc>
        <w:tc>
          <w:tcPr>
            <w:tcW w:w="708" w:type="dxa"/>
            <w:shd w:val="clear" w:color="auto" w:fill="auto"/>
          </w:tcPr>
          <w:p w14:paraId="46584200" w14:textId="77777777" w:rsidR="009E342A" w:rsidRPr="00520861" w:rsidRDefault="009E342A" w:rsidP="00292D2E">
            <w:pPr>
              <w:widowControl w:val="0"/>
              <w:spacing w:line="360" w:lineRule="auto"/>
              <w:jc w:val="right"/>
              <w:rPr>
                <w:sz w:val="28"/>
                <w:szCs w:val="28"/>
              </w:rPr>
            </w:pPr>
          </w:p>
          <w:p w14:paraId="42E8E54C" w14:textId="77777777" w:rsidR="009E342A" w:rsidRPr="00520861" w:rsidRDefault="004B5DE6" w:rsidP="00292D2E">
            <w:pPr>
              <w:widowControl w:val="0"/>
              <w:spacing w:line="360" w:lineRule="auto"/>
              <w:jc w:val="right"/>
              <w:rPr>
                <w:sz w:val="28"/>
                <w:szCs w:val="28"/>
              </w:rPr>
            </w:pPr>
            <w:r w:rsidRPr="00520861">
              <w:rPr>
                <w:sz w:val="28"/>
                <w:szCs w:val="28"/>
              </w:rPr>
              <w:t>208</w:t>
            </w:r>
          </w:p>
        </w:tc>
      </w:tr>
      <w:tr w:rsidR="009E342A" w:rsidRPr="00520861" w14:paraId="4FDCECA3" w14:textId="77777777" w:rsidTr="00032B7F">
        <w:tc>
          <w:tcPr>
            <w:tcW w:w="9606" w:type="dxa"/>
            <w:shd w:val="clear" w:color="auto" w:fill="auto"/>
          </w:tcPr>
          <w:p w14:paraId="6187FC35" w14:textId="77777777" w:rsidR="009E342A" w:rsidRPr="00520861" w:rsidRDefault="009E342A" w:rsidP="00292D2E">
            <w:pPr>
              <w:widowControl w:val="0"/>
              <w:spacing w:line="360" w:lineRule="auto"/>
              <w:ind w:left="284"/>
              <w:rPr>
                <w:sz w:val="28"/>
                <w:szCs w:val="28"/>
              </w:rPr>
            </w:pPr>
            <w:r w:rsidRPr="00520861">
              <w:rPr>
                <w:sz w:val="28"/>
                <w:szCs w:val="28"/>
              </w:rPr>
              <w:t>5.3</w:t>
            </w:r>
            <w:r w:rsidR="00EF224C" w:rsidRPr="00520861">
              <w:rPr>
                <w:sz w:val="28"/>
                <w:szCs w:val="28"/>
              </w:rPr>
              <w:t>.</w:t>
            </w:r>
            <w:r w:rsidRPr="00520861">
              <w:rPr>
                <w:sz w:val="28"/>
                <w:szCs w:val="28"/>
              </w:rPr>
              <w:t xml:space="preserve"> Результати клініко-ретроспективно</w:t>
            </w:r>
            <w:r w:rsidR="00392553" w:rsidRPr="00520861">
              <w:rPr>
                <w:sz w:val="28"/>
                <w:szCs w:val="28"/>
              </w:rPr>
              <w:t>го</w:t>
            </w:r>
            <w:r w:rsidRPr="00520861">
              <w:rPr>
                <w:sz w:val="28"/>
                <w:szCs w:val="28"/>
              </w:rPr>
              <w:t xml:space="preserve"> вивчення залежності термінів прорізування та швидкості росту </w:t>
            </w:r>
            <w:r w:rsidR="00392553" w:rsidRPr="00520861">
              <w:rPr>
                <w:sz w:val="28"/>
                <w:szCs w:val="28"/>
              </w:rPr>
              <w:t xml:space="preserve">тимчасових </w:t>
            </w:r>
            <w:r w:rsidRPr="00520861">
              <w:rPr>
                <w:sz w:val="28"/>
                <w:szCs w:val="28"/>
              </w:rPr>
              <w:t>зуб</w:t>
            </w:r>
            <w:r w:rsidR="00392553" w:rsidRPr="00520861">
              <w:rPr>
                <w:sz w:val="28"/>
                <w:szCs w:val="28"/>
              </w:rPr>
              <w:t xml:space="preserve">ів </w:t>
            </w:r>
            <w:r w:rsidR="00EF224C" w:rsidRPr="00520861">
              <w:rPr>
                <w:sz w:val="28"/>
                <w:szCs w:val="28"/>
              </w:rPr>
              <w:t xml:space="preserve">у дітей першого року життя (ВП-І) </w:t>
            </w:r>
            <w:r w:rsidR="00392553" w:rsidRPr="00520861">
              <w:rPr>
                <w:sz w:val="28"/>
                <w:szCs w:val="28"/>
              </w:rPr>
              <w:t xml:space="preserve">від </w:t>
            </w:r>
            <w:r w:rsidR="00EF224C" w:rsidRPr="00520861">
              <w:rPr>
                <w:sz w:val="28"/>
                <w:szCs w:val="28"/>
              </w:rPr>
              <w:t xml:space="preserve">їх масо-ростових показників </w:t>
            </w:r>
            <w:r w:rsidR="00392553" w:rsidRPr="00520861">
              <w:rPr>
                <w:sz w:val="28"/>
                <w:szCs w:val="28"/>
              </w:rPr>
              <w:t>при народженні…………</w:t>
            </w:r>
            <w:r w:rsidR="00572E6A" w:rsidRPr="00520861">
              <w:rPr>
                <w:sz w:val="28"/>
                <w:szCs w:val="28"/>
              </w:rPr>
              <w:t>…..</w:t>
            </w:r>
            <w:r w:rsidR="00392553" w:rsidRPr="00520861">
              <w:rPr>
                <w:sz w:val="28"/>
                <w:szCs w:val="28"/>
              </w:rPr>
              <w:t>.</w:t>
            </w:r>
            <w:r w:rsidRPr="00520861">
              <w:rPr>
                <w:sz w:val="28"/>
                <w:szCs w:val="28"/>
              </w:rPr>
              <w:t>.</w:t>
            </w:r>
          </w:p>
        </w:tc>
        <w:tc>
          <w:tcPr>
            <w:tcW w:w="708" w:type="dxa"/>
            <w:shd w:val="clear" w:color="auto" w:fill="auto"/>
          </w:tcPr>
          <w:p w14:paraId="38E35632" w14:textId="77777777" w:rsidR="009E342A" w:rsidRPr="00520861" w:rsidRDefault="009E342A" w:rsidP="00292D2E">
            <w:pPr>
              <w:widowControl w:val="0"/>
              <w:spacing w:line="360" w:lineRule="auto"/>
              <w:jc w:val="right"/>
              <w:rPr>
                <w:sz w:val="28"/>
                <w:szCs w:val="28"/>
              </w:rPr>
            </w:pPr>
          </w:p>
          <w:p w14:paraId="046E86F2" w14:textId="77777777" w:rsidR="009E342A" w:rsidRPr="00520861" w:rsidRDefault="009E342A" w:rsidP="00292D2E">
            <w:pPr>
              <w:widowControl w:val="0"/>
              <w:spacing w:line="360" w:lineRule="auto"/>
              <w:jc w:val="right"/>
              <w:rPr>
                <w:sz w:val="28"/>
                <w:szCs w:val="28"/>
              </w:rPr>
            </w:pPr>
          </w:p>
          <w:p w14:paraId="1F3BB008" w14:textId="77777777" w:rsidR="009E342A" w:rsidRPr="00520861" w:rsidRDefault="00952397" w:rsidP="00292D2E">
            <w:pPr>
              <w:widowControl w:val="0"/>
              <w:spacing w:line="360" w:lineRule="auto"/>
              <w:jc w:val="right"/>
              <w:rPr>
                <w:sz w:val="28"/>
                <w:szCs w:val="28"/>
              </w:rPr>
            </w:pPr>
            <w:r w:rsidRPr="00520861">
              <w:rPr>
                <w:sz w:val="28"/>
                <w:szCs w:val="28"/>
              </w:rPr>
              <w:t>219</w:t>
            </w:r>
          </w:p>
        </w:tc>
      </w:tr>
      <w:tr w:rsidR="0074243D" w:rsidRPr="00520861" w14:paraId="0BBA9F4D" w14:textId="77777777" w:rsidTr="00032B7F">
        <w:tc>
          <w:tcPr>
            <w:tcW w:w="9606" w:type="dxa"/>
            <w:shd w:val="clear" w:color="auto" w:fill="auto"/>
          </w:tcPr>
          <w:p w14:paraId="696EF8DD" w14:textId="77777777" w:rsidR="009E342A" w:rsidRPr="00520861" w:rsidRDefault="009E342A" w:rsidP="00292D2E">
            <w:pPr>
              <w:widowControl w:val="0"/>
              <w:spacing w:line="360" w:lineRule="auto"/>
              <w:ind w:left="284"/>
              <w:rPr>
                <w:sz w:val="28"/>
                <w:szCs w:val="28"/>
              </w:rPr>
            </w:pPr>
            <w:r w:rsidRPr="00520861">
              <w:rPr>
                <w:sz w:val="28"/>
                <w:szCs w:val="28"/>
              </w:rPr>
              <w:t>5.4</w:t>
            </w:r>
            <w:r w:rsidR="000F0BA3" w:rsidRPr="00520861">
              <w:rPr>
                <w:sz w:val="28"/>
                <w:szCs w:val="28"/>
              </w:rPr>
              <w:t>.</w:t>
            </w:r>
            <w:r w:rsidRPr="00520861">
              <w:rPr>
                <w:sz w:val="28"/>
                <w:szCs w:val="28"/>
              </w:rPr>
              <w:t xml:space="preserve"> Результати</w:t>
            </w:r>
            <w:r w:rsidR="003A7070" w:rsidRPr="00520861">
              <w:rPr>
                <w:sz w:val="28"/>
                <w:szCs w:val="28"/>
              </w:rPr>
              <w:t xml:space="preserve"> вивчення особливостей </w:t>
            </w:r>
            <w:proofErr w:type="spellStart"/>
            <w:r w:rsidRPr="00520861">
              <w:rPr>
                <w:sz w:val="28"/>
                <w:szCs w:val="28"/>
              </w:rPr>
              <w:t>стоматогнатичної</w:t>
            </w:r>
            <w:proofErr w:type="spellEnd"/>
            <w:r w:rsidRPr="00520861">
              <w:rPr>
                <w:sz w:val="28"/>
                <w:szCs w:val="28"/>
              </w:rPr>
              <w:t xml:space="preserve"> системи </w:t>
            </w:r>
            <w:r w:rsidR="0057068F" w:rsidRPr="00520861">
              <w:rPr>
                <w:sz w:val="28"/>
                <w:szCs w:val="28"/>
              </w:rPr>
              <w:t xml:space="preserve">в період тимчасового прикусу (ВП-ІІ, ВП-ІІІ) у </w:t>
            </w:r>
            <w:r w:rsidRPr="00520861">
              <w:rPr>
                <w:sz w:val="28"/>
                <w:szCs w:val="28"/>
              </w:rPr>
              <w:t xml:space="preserve">дітей, які народилися з </w:t>
            </w:r>
            <w:proofErr w:type="spellStart"/>
            <w:r w:rsidRPr="00520861">
              <w:rPr>
                <w:sz w:val="28"/>
                <w:szCs w:val="28"/>
              </w:rPr>
              <w:t>мак</w:t>
            </w:r>
            <w:r w:rsidR="0057068F" w:rsidRPr="00520861">
              <w:rPr>
                <w:sz w:val="28"/>
                <w:szCs w:val="28"/>
              </w:rPr>
              <w:t>росомією</w:t>
            </w:r>
            <w:proofErr w:type="spellEnd"/>
            <w:r w:rsidRPr="00520861">
              <w:rPr>
                <w:sz w:val="28"/>
                <w:szCs w:val="28"/>
              </w:rPr>
              <w:t xml:space="preserve"> </w:t>
            </w:r>
          </w:p>
        </w:tc>
        <w:tc>
          <w:tcPr>
            <w:tcW w:w="708" w:type="dxa"/>
            <w:shd w:val="clear" w:color="auto" w:fill="auto"/>
          </w:tcPr>
          <w:p w14:paraId="614E1358" w14:textId="77777777" w:rsidR="009E342A" w:rsidRPr="00520861" w:rsidRDefault="009E342A" w:rsidP="00292D2E">
            <w:pPr>
              <w:widowControl w:val="0"/>
              <w:spacing w:line="360" w:lineRule="auto"/>
              <w:jc w:val="right"/>
              <w:rPr>
                <w:sz w:val="28"/>
                <w:szCs w:val="28"/>
              </w:rPr>
            </w:pPr>
          </w:p>
          <w:p w14:paraId="0B4907BD" w14:textId="77777777" w:rsidR="009E342A" w:rsidRPr="00520861" w:rsidRDefault="00952397" w:rsidP="00292D2E">
            <w:pPr>
              <w:widowControl w:val="0"/>
              <w:spacing w:line="360" w:lineRule="auto"/>
              <w:jc w:val="right"/>
              <w:rPr>
                <w:sz w:val="28"/>
                <w:szCs w:val="28"/>
              </w:rPr>
            </w:pPr>
            <w:r w:rsidRPr="00520861">
              <w:rPr>
                <w:sz w:val="28"/>
                <w:szCs w:val="28"/>
              </w:rPr>
              <w:t>227</w:t>
            </w:r>
          </w:p>
        </w:tc>
      </w:tr>
      <w:tr w:rsidR="009E342A" w:rsidRPr="00520861" w14:paraId="26A8E204" w14:textId="77777777" w:rsidTr="00032B7F">
        <w:tc>
          <w:tcPr>
            <w:tcW w:w="9606" w:type="dxa"/>
            <w:shd w:val="clear" w:color="auto" w:fill="auto"/>
          </w:tcPr>
          <w:p w14:paraId="117E04F2" w14:textId="77777777" w:rsidR="009E342A" w:rsidRPr="00520861" w:rsidRDefault="009E342A" w:rsidP="00292D2E">
            <w:pPr>
              <w:widowControl w:val="0"/>
              <w:spacing w:line="360" w:lineRule="auto"/>
              <w:ind w:left="284"/>
              <w:rPr>
                <w:sz w:val="28"/>
                <w:szCs w:val="28"/>
              </w:rPr>
            </w:pPr>
            <w:r w:rsidRPr="00520861">
              <w:rPr>
                <w:sz w:val="28"/>
                <w:szCs w:val="28"/>
              </w:rPr>
              <w:t>5.5</w:t>
            </w:r>
            <w:r w:rsidR="00AB5195" w:rsidRPr="00520861">
              <w:rPr>
                <w:sz w:val="28"/>
                <w:szCs w:val="28"/>
              </w:rPr>
              <w:t>.</w:t>
            </w:r>
            <w:r w:rsidRPr="00520861">
              <w:rPr>
                <w:sz w:val="28"/>
                <w:szCs w:val="28"/>
              </w:rPr>
              <w:t xml:space="preserve"> Результати вивчення особливостей </w:t>
            </w:r>
            <w:proofErr w:type="spellStart"/>
            <w:r w:rsidRPr="00520861">
              <w:rPr>
                <w:sz w:val="28"/>
                <w:szCs w:val="28"/>
              </w:rPr>
              <w:t>стоматогнатичної</w:t>
            </w:r>
            <w:proofErr w:type="spellEnd"/>
            <w:r w:rsidRPr="00520861">
              <w:rPr>
                <w:sz w:val="28"/>
                <w:szCs w:val="28"/>
              </w:rPr>
              <w:t xml:space="preserve"> системи </w:t>
            </w:r>
            <w:r w:rsidR="009E152A" w:rsidRPr="00520861">
              <w:rPr>
                <w:sz w:val="28"/>
                <w:szCs w:val="28"/>
              </w:rPr>
              <w:t xml:space="preserve">в період змінного прикусу (ВП-IV) у </w:t>
            </w:r>
            <w:r w:rsidRPr="00520861">
              <w:rPr>
                <w:sz w:val="28"/>
                <w:szCs w:val="28"/>
              </w:rPr>
              <w:t xml:space="preserve">дітей, які народилися з </w:t>
            </w:r>
            <w:proofErr w:type="spellStart"/>
            <w:r w:rsidRPr="00520861">
              <w:rPr>
                <w:sz w:val="28"/>
                <w:szCs w:val="28"/>
              </w:rPr>
              <w:t>макро</w:t>
            </w:r>
            <w:r w:rsidR="009E152A" w:rsidRPr="00520861">
              <w:rPr>
                <w:sz w:val="28"/>
                <w:szCs w:val="28"/>
              </w:rPr>
              <w:t>сомією</w:t>
            </w:r>
            <w:proofErr w:type="spellEnd"/>
            <w:r w:rsidR="009E152A" w:rsidRPr="00520861">
              <w:rPr>
                <w:sz w:val="28"/>
                <w:szCs w:val="28"/>
              </w:rPr>
              <w:t>………</w:t>
            </w:r>
            <w:r w:rsidR="00572E6A" w:rsidRPr="00520861">
              <w:rPr>
                <w:sz w:val="28"/>
                <w:szCs w:val="28"/>
              </w:rPr>
              <w:t>…..</w:t>
            </w:r>
          </w:p>
        </w:tc>
        <w:tc>
          <w:tcPr>
            <w:tcW w:w="708" w:type="dxa"/>
            <w:shd w:val="clear" w:color="auto" w:fill="auto"/>
          </w:tcPr>
          <w:p w14:paraId="2A9085B1" w14:textId="77777777" w:rsidR="009E342A" w:rsidRPr="00520861" w:rsidRDefault="009E342A" w:rsidP="00292D2E">
            <w:pPr>
              <w:widowControl w:val="0"/>
              <w:spacing w:line="360" w:lineRule="auto"/>
              <w:jc w:val="right"/>
              <w:rPr>
                <w:sz w:val="28"/>
                <w:szCs w:val="28"/>
              </w:rPr>
            </w:pPr>
          </w:p>
          <w:p w14:paraId="05659F9C" w14:textId="77777777" w:rsidR="009E342A" w:rsidRPr="00520861" w:rsidRDefault="00952397" w:rsidP="00292D2E">
            <w:pPr>
              <w:widowControl w:val="0"/>
              <w:spacing w:line="360" w:lineRule="auto"/>
              <w:jc w:val="right"/>
              <w:rPr>
                <w:sz w:val="28"/>
                <w:szCs w:val="28"/>
              </w:rPr>
            </w:pPr>
            <w:r w:rsidRPr="00520861">
              <w:rPr>
                <w:sz w:val="28"/>
                <w:szCs w:val="28"/>
              </w:rPr>
              <w:t>235</w:t>
            </w:r>
          </w:p>
        </w:tc>
      </w:tr>
      <w:tr w:rsidR="009E342A" w:rsidRPr="00520861" w14:paraId="096AF09F" w14:textId="77777777" w:rsidTr="00032B7F">
        <w:tc>
          <w:tcPr>
            <w:tcW w:w="9606" w:type="dxa"/>
            <w:shd w:val="clear" w:color="auto" w:fill="auto"/>
          </w:tcPr>
          <w:p w14:paraId="37F36BBA" w14:textId="77777777" w:rsidR="009E342A" w:rsidRPr="00520861" w:rsidRDefault="009E342A" w:rsidP="00292D2E">
            <w:pPr>
              <w:widowControl w:val="0"/>
              <w:spacing w:line="360" w:lineRule="auto"/>
              <w:ind w:left="284"/>
              <w:rPr>
                <w:sz w:val="28"/>
                <w:szCs w:val="28"/>
              </w:rPr>
            </w:pPr>
            <w:r w:rsidRPr="00520861">
              <w:rPr>
                <w:sz w:val="28"/>
                <w:szCs w:val="28"/>
              </w:rPr>
              <w:t>5.6</w:t>
            </w:r>
            <w:r w:rsidR="00980BE0" w:rsidRPr="00520861">
              <w:rPr>
                <w:sz w:val="28"/>
                <w:szCs w:val="28"/>
              </w:rPr>
              <w:t>. Результати вивчення особливостей</w:t>
            </w:r>
            <w:r w:rsidRPr="00520861">
              <w:rPr>
                <w:sz w:val="28"/>
                <w:szCs w:val="28"/>
              </w:rPr>
              <w:t xml:space="preserve"> </w:t>
            </w:r>
            <w:proofErr w:type="spellStart"/>
            <w:r w:rsidRPr="00520861">
              <w:rPr>
                <w:sz w:val="28"/>
                <w:szCs w:val="28"/>
              </w:rPr>
              <w:t>стоматог</w:t>
            </w:r>
            <w:r w:rsidR="007C3436" w:rsidRPr="00520861">
              <w:rPr>
                <w:sz w:val="28"/>
                <w:szCs w:val="28"/>
              </w:rPr>
              <w:t>натичної</w:t>
            </w:r>
            <w:proofErr w:type="spellEnd"/>
            <w:r w:rsidR="007C3436" w:rsidRPr="00520861">
              <w:rPr>
                <w:sz w:val="28"/>
                <w:szCs w:val="28"/>
              </w:rPr>
              <w:t xml:space="preserve"> системи в період постійного прикусу (ВП-V, ВП-VI, ВП-VII, ВП-VIII)</w:t>
            </w:r>
            <w:r w:rsidR="00715BEF" w:rsidRPr="00520861">
              <w:rPr>
                <w:sz w:val="28"/>
                <w:szCs w:val="28"/>
              </w:rPr>
              <w:t xml:space="preserve"> в</w:t>
            </w:r>
            <w:r w:rsidR="007C3436" w:rsidRPr="00520861">
              <w:rPr>
                <w:sz w:val="28"/>
                <w:szCs w:val="28"/>
              </w:rPr>
              <w:t xml:space="preserve"> о</w:t>
            </w:r>
            <w:r w:rsidRPr="00520861">
              <w:rPr>
                <w:sz w:val="28"/>
                <w:szCs w:val="28"/>
              </w:rPr>
              <w:t>сіб, які народи</w:t>
            </w:r>
            <w:r w:rsidR="007C3436" w:rsidRPr="00520861">
              <w:rPr>
                <w:sz w:val="28"/>
                <w:szCs w:val="28"/>
              </w:rPr>
              <w:t xml:space="preserve">лися </w:t>
            </w:r>
            <w:proofErr w:type="spellStart"/>
            <w:r w:rsidR="007C3436" w:rsidRPr="00520861">
              <w:rPr>
                <w:sz w:val="28"/>
                <w:szCs w:val="28"/>
              </w:rPr>
              <w:t>макросомами</w:t>
            </w:r>
            <w:proofErr w:type="spellEnd"/>
            <w:r w:rsidRPr="00520861">
              <w:rPr>
                <w:sz w:val="28"/>
                <w:szCs w:val="28"/>
              </w:rPr>
              <w:t>…</w:t>
            </w:r>
            <w:r w:rsidR="00980BE0" w:rsidRPr="00520861">
              <w:rPr>
                <w:sz w:val="28"/>
                <w:szCs w:val="28"/>
              </w:rPr>
              <w:t>…………</w:t>
            </w:r>
            <w:r w:rsidR="007C3436" w:rsidRPr="00520861">
              <w:rPr>
                <w:sz w:val="28"/>
                <w:szCs w:val="28"/>
              </w:rPr>
              <w:t>…………………………….…………</w:t>
            </w:r>
            <w:r w:rsidR="00572E6A" w:rsidRPr="00520861">
              <w:rPr>
                <w:sz w:val="28"/>
                <w:szCs w:val="28"/>
              </w:rPr>
              <w:t>……………..</w:t>
            </w:r>
            <w:r w:rsidR="007C3436" w:rsidRPr="00520861">
              <w:rPr>
                <w:sz w:val="28"/>
                <w:szCs w:val="28"/>
              </w:rPr>
              <w:t>…</w:t>
            </w:r>
          </w:p>
        </w:tc>
        <w:tc>
          <w:tcPr>
            <w:tcW w:w="708" w:type="dxa"/>
            <w:shd w:val="clear" w:color="auto" w:fill="auto"/>
          </w:tcPr>
          <w:p w14:paraId="107881DC" w14:textId="77777777" w:rsidR="009E342A" w:rsidRPr="00520861" w:rsidRDefault="009E342A" w:rsidP="00292D2E">
            <w:pPr>
              <w:widowControl w:val="0"/>
              <w:spacing w:line="360" w:lineRule="auto"/>
              <w:jc w:val="right"/>
              <w:rPr>
                <w:sz w:val="28"/>
                <w:szCs w:val="28"/>
              </w:rPr>
            </w:pPr>
          </w:p>
          <w:p w14:paraId="7A1A8CBE" w14:textId="77777777" w:rsidR="009E342A" w:rsidRPr="00520861" w:rsidRDefault="009E342A" w:rsidP="00292D2E">
            <w:pPr>
              <w:widowControl w:val="0"/>
              <w:spacing w:line="360" w:lineRule="auto"/>
              <w:jc w:val="right"/>
              <w:rPr>
                <w:sz w:val="28"/>
                <w:szCs w:val="28"/>
              </w:rPr>
            </w:pPr>
          </w:p>
          <w:p w14:paraId="67963B39" w14:textId="77777777" w:rsidR="009E342A" w:rsidRPr="00520861" w:rsidRDefault="00952397" w:rsidP="00292D2E">
            <w:pPr>
              <w:widowControl w:val="0"/>
              <w:spacing w:line="360" w:lineRule="auto"/>
              <w:jc w:val="right"/>
              <w:rPr>
                <w:sz w:val="28"/>
                <w:szCs w:val="28"/>
              </w:rPr>
            </w:pPr>
            <w:r w:rsidRPr="00520861">
              <w:rPr>
                <w:sz w:val="28"/>
                <w:szCs w:val="28"/>
              </w:rPr>
              <w:t>245</w:t>
            </w:r>
          </w:p>
        </w:tc>
      </w:tr>
      <w:tr w:rsidR="009E342A" w:rsidRPr="00520861" w14:paraId="6652ACD8" w14:textId="77777777" w:rsidTr="00032B7F">
        <w:tc>
          <w:tcPr>
            <w:tcW w:w="9606" w:type="dxa"/>
            <w:shd w:val="clear" w:color="auto" w:fill="auto"/>
          </w:tcPr>
          <w:p w14:paraId="669DC15A" w14:textId="77777777" w:rsidR="009E342A" w:rsidRPr="00520861" w:rsidRDefault="009E342A" w:rsidP="00292D2E">
            <w:pPr>
              <w:widowControl w:val="0"/>
              <w:spacing w:line="360" w:lineRule="auto"/>
              <w:ind w:left="284"/>
              <w:rPr>
                <w:sz w:val="28"/>
                <w:szCs w:val="28"/>
              </w:rPr>
            </w:pPr>
            <w:r w:rsidRPr="00520861">
              <w:rPr>
                <w:sz w:val="28"/>
                <w:szCs w:val="28"/>
              </w:rPr>
              <w:t>5.7</w:t>
            </w:r>
            <w:r w:rsidR="00D8578B" w:rsidRPr="00520861">
              <w:rPr>
                <w:sz w:val="28"/>
                <w:szCs w:val="28"/>
              </w:rPr>
              <w:t>.</w:t>
            </w:r>
            <w:r w:rsidRPr="00520861">
              <w:rPr>
                <w:sz w:val="28"/>
                <w:szCs w:val="28"/>
              </w:rPr>
              <w:t xml:space="preserve"> Результати вивчення </w:t>
            </w:r>
            <w:r w:rsidR="000F6325" w:rsidRPr="00520861">
              <w:rPr>
                <w:sz w:val="28"/>
                <w:szCs w:val="28"/>
              </w:rPr>
              <w:t xml:space="preserve">динаміки змін </w:t>
            </w:r>
            <w:r w:rsidRPr="00520861">
              <w:rPr>
                <w:sz w:val="28"/>
                <w:szCs w:val="28"/>
              </w:rPr>
              <w:t xml:space="preserve">біохімічних показників ротової рідини як маркерів особливостей структурно-функціонального стану </w:t>
            </w:r>
            <w:proofErr w:type="spellStart"/>
            <w:r w:rsidRPr="00520861">
              <w:rPr>
                <w:sz w:val="28"/>
                <w:szCs w:val="28"/>
              </w:rPr>
              <w:t>стоматогнатичної</w:t>
            </w:r>
            <w:proofErr w:type="spellEnd"/>
            <w:r w:rsidRPr="00520861">
              <w:rPr>
                <w:sz w:val="28"/>
                <w:szCs w:val="28"/>
              </w:rPr>
              <w:t xml:space="preserve"> системи в осіб віком 4–55 років (ВП-ІІІ, ВП-ІV, ВП-V, ВП-VI, ВП-VII, ВП-VIII), які народилис</w:t>
            </w:r>
            <w:r w:rsidR="000F6325" w:rsidRPr="00520861">
              <w:rPr>
                <w:sz w:val="28"/>
                <w:szCs w:val="28"/>
              </w:rPr>
              <w:t xml:space="preserve">я </w:t>
            </w:r>
            <w:proofErr w:type="spellStart"/>
            <w:r w:rsidR="000F6325" w:rsidRPr="00520861">
              <w:rPr>
                <w:sz w:val="28"/>
                <w:szCs w:val="28"/>
              </w:rPr>
              <w:t>макросомами</w:t>
            </w:r>
            <w:proofErr w:type="spellEnd"/>
            <w:r w:rsidR="000F6325" w:rsidRPr="00520861">
              <w:rPr>
                <w:sz w:val="28"/>
                <w:szCs w:val="28"/>
              </w:rPr>
              <w:t>……………………………</w:t>
            </w:r>
            <w:r w:rsidR="00572E6A" w:rsidRPr="00520861">
              <w:rPr>
                <w:sz w:val="28"/>
                <w:szCs w:val="28"/>
              </w:rPr>
              <w:t>…</w:t>
            </w:r>
          </w:p>
        </w:tc>
        <w:tc>
          <w:tcPr>
            <w:tcW w:w="708" w:type="dxa"/>
            <w:shd w:val="clear" w:color="auto" w:fill="auto"/>
          </w:tcPr>
          <w:p w14:paraId="4D0F7F5F" w14:textId="77777777" w:rsidR="009E342A" w:rsidRPr="00520861" w:rsidRDefault="009E342A" w:rsidP="00292D2E">
            <w:pPr>
              <w:widowControl w:val="0"/>
              <w:spacing w:line="360" w:lineRule="auto"/>
              <w:jc w:val="right"/>
              <w:rPr>
                <w:sz w:val="28"/>
                <w:szCs w:val="28"/>
              </w:rPr>
            </w:pPr>
          </w:p>
          <w:p w14:paraId="66964C01" w14:textId="77777777" w:rsidR="009E342A" w:rsidRPr="00520861" w:rsidRDefault="009E342A" w:rsidP="00292D2E">
            <w:pPr>
              <w:widowControl w:val="0"/>
              <w:spacing w:line="360" w:lineRule="auto"/>
              <w:jc w:val="right"/>
              <w:rPr>
                <w:sz w:val="28"/>
                <w:szCs w:val="28"/>
              </w:rPr>
            </w:pPr>
          </w:p>
          <w:p w14:paraId="2EEEC32B" w14:textId="77777777" w:rsidR="009E342A" w:rsidRPr="00520861" w:rsidRDefault="009E342A" w:rsidP="00292D2E">
            <w:pPr>
              <w:widowControl w:val="0"/>
              <w:spacing w:line="360" w:lineRule="auto"/>
              <w:jc w:val="right"/>
              <w:rPr>
                <w:sz w:val="28"/>
                <w:szCs w:val="28"/>
              </w:rPr>
            </w:pPr>
          </w:p>
          <w:p w14:paraId="18C20551" w14:textId="77777777" w:rsidR="009E342A" w:rsidRPr="00520861" w:rsidRDefault="00952397" w:rsidP="00292D2E">
            <w:pPr>
              <w:widowControl w:val="0"/>
              <w:spacing w:line="360" w:lineRule="auto"/>
              <w:jc w:val="right"/>
              <w:rPr>
                <w:sz w:val="28"/>
                <w:szCs w:val="28"/>
              </w:rPr>
            </w:pPr>
            <w:r w:rsidRPr="00520861">
              <w:rPr>
                <w:sz w:val="28"/>
                <w:szCs w:val="28"/>
              </w:rPr>
              <w:t>254</w:t>
            </w:r>
          </w:p>
        </w:tc>
      </w:tr>
      <w:tr w:rsidR="009E342A" w:rsidRPr="00520861" w14:paraId="5CB087DE" w14:textId="77777777" w:rsidTr="00032B7F">
        <w:tc>
          <w:tcPr>
            <w:tcW w:w="9606" w:type="dxa"/>
            <w:shd w:val="clear" w:color="auto" w:fill="auto"/>
          </w:tcPr>
          <w:p w14:paraId="0CBDD20F" w14:textId="77777777" w:rsidR="009E342A" w:rsidRPr="00520861" w:rsidRDefault="009E342A" w:rsidP="00292D2E">
            <w:pPr>
              <w:widowControl w:val="0"/>
              <w:spacing w:line="360" w:lineRule="auto"/>
              <w:ind w:left="284"/>
              <w:rPr>
                <w:sz w:val="28"/>
                <w:szCs w:val="28"/>
              </w:rPr>
            </w:pPr>
            <w:r w:rsidRPr="00520861">
              <w:rPr>
                <w:sz w:val="28"/>
                <w:szCs w:val="28"/>
              </w:rPr>
              <w:t>5.8</w:t>
            </w:r>
            <w:r w:rsidR="00107A7A" w:rsidRPr="00520861">
              <w:rPr>
                <w:sz w:val="28"/>
                <w:szCs w:val="28"/>
              </w:rPr>
              <w:t>.</w:t>
            </w:r>
            <w:r w:rsidRPr="00520861">
              <w:rPr>
                <w:sz w:val="28"/>
                <w:szCs w:val="28"/>
              </w:rPr>
              <w:t xml:space="preserve"> </w:t>
            </w:r>
            <w:r w:rsidR="00B72C65" w:rsidRPr="00520861">
              <w:rPr>
                <w:sz w:val="28"/>
                <w:szCs w:val="28"/>
              </w:rPr>
              <w:t>Результати виявлення</w:t>
            </w:r>
            <w:r w:rsidRPr="00520861">
              <w:rPr>
                <w:sz w:val="28"/>
                <w:szCs w:val="28"/>
              </w:rPr>
              <w:t xml:space="preserve"> асоціації між поліморф</w:t>
            </w:r>
            <w:r w:rsidR="00F30534" w:rsidRPr="00520861">
              <w:rPr>
                <w:sz w:val="28"/>
                <w:szCs w:val="28"/>
              </w:rPr>
              <w:t>ізмом</w:t>
            </w:r>
            <w:r w:rsidRPr="00520861">
              <w:rPr>
                <w:sz w:val="28"/>
                <w:szCs w:val="28"/>
              </w:rPr>
              <w:t xml:space="preserve"> генів </w:t>
            </w:r>
            <w:r w:rsidRPr="00520861">
              <w:rPr>
                <w:i/>
                <w:sz w:val="28"/>
                <w:szCs w:val="28"/>
              </w:rPr>
              <w:t>CYP19A1</w:t>
            </w:r>
            <w:r w:rsidR="00195A99" w:rsidRPr="00520861">
              <w:rPr>
                <w:i/>
                <w:sz w:val="28"/>
                <w:szCs w:val="28"/>
              </w:rPr>
              <w:t xml:space="preserve"> </w:t>
            </w:r>
            <w:r w:rsidR="00195A99" w:rsidRPr="00520861">
              <w:rPr>
                <w:sz w:val="28"/>
                <w:szCs w:val="28"/>
              </w:rPr>
              <w:t>[rs2414096</w:t>
            </w:r>
            <w:r w:rsidRPr="00520861">
              <w:rPr>
                <w:i/>
                <w:sz w:val="28"/>
                <w:szCs w:val="28"/>
              </w:rPr>
              <w:t xml:space="preserve">, </w:t>
            </w:r>
            <w:r w:rsidR="00195A99" w:rsidRPr="00520861">
              <w:rPr>
                <w:sz w:val="28"/>
                <w:szCs w:val="28"/>
              </w:rPr>
              <w:t xml:space="preserve">rs936306], </w:t>
            </w:r>
            <w:r w:rsidRPr="00520861">
              <w:rPr>
                <w:i/>
                <w:sz w:val="28"/>
                <w:szCs w:val="28"/>
              </w:rPr>
              <w:t>ESR1</w:t>
            </w:r>
            <w:r w:rsidR="00052253" w:rsidRPr="00520861">
              <w:rPr>
                <w:i/>
                <w:sz w:val="28"/>
                <w:szCs w:val="28"/>
              </w:rPr>
              <w:t xml:space="preserve"> </w:t>
            </w:r>
            <w:r w:rsidR="00195A99" w:rsidRPr="00520861">
              <w:rPr>
                <w:sz w:val="28"/>
                <w:szCs w:val="28"/>
              </w:rPr>
              <w:t>[rs2234693</w:t>
            </w:r>
            <w:r w:rsidRPr="00520861">
              <w:rPr>
                <w:i/>
                <w:sz w:val="28"/>
                <w:szCs w:val="28"/>
              </w:rPr>
              <w:t xml:space="preserve">, </w:t>
            </w:r>
            <w:r w:rsidR="00195A99" w:rsidRPr="00520861">
              <w:rPr>
                <w:sz w:val="28"/>
                <w:szCs w:val="28"/>
              </w:rPr>
              <w:t xml:space="preserve">rs9340799], </w:t>
            </w:r>
            <w:r w:rsidR="00CE1F1D" w:rsidRPr="00520861">
              <w:rPr>
                <w:i/>
                <w:sz w:val="28"/>
                <w:szCs w:val="28"/>
              </w:rPr>
              <w:t>RANKL</w:t>
            </w:r>
            <w:r w:rsidR="00CE1F1D" w:rsidRPr="00520861">
              <w:rPr>
                <w:sz w:val="28"/>
                <w:szCs w:val="28"/>
              </w:rPr>
              <w:t xml:space="preserve"> [rs9594738, rs9594759]</w:t>
            </w:r>
            <w:r w:rsidRPr="00520861">
              <w:rPr>
                <w:i/>
                <w:sz w:val="28"/>
                <w:szCs w:val="28"/>
              </w:rPr>
              <w:t>, IL6</w:t>
            </w:r>
            <w:r w:rsidR="00195A99" w:rsidRPr="00520861">
              <w:rPr>
                <w:i/>
                <w:sz w:val="28"/>
                <w:szCs w:val="28"/>
              </w:rPr>
              <w:t xml:space="preserve"> </w:t>
            </w:r>
            <w:r w:rsidR="00195A99" w:rsidRPr="00520861">
              <w:rPr>
                <w:bCs/>
                <w:sz w:val="28"/>
                <w:szCs w:val="28"/>
              </w:rPr>
              <w:t>[</w:t>
            </w:r>
            <w:r w:rsidR="00195A99" w:rsidRPr="00520861">
              <w:rPr>
                <w:sz w:val="28"/>
                <w:szCs w:val="28"/>
              </w:rPr>
              <w:t>rs1800796]</w:t>
            </w:r>
            <w:r w:rsidRPr="00520861">
              <w:rPr>
                <w:i/>
                <w:sz w:val="28"/>
                <w:szCs w:val="28"/>
              </w:rPr>
              <w:t xml:space="preserve">, </w:t>
            </w:r>
            <w:r w:rsidR="00CE1F1D" w:rsidRPr="00520861">
              <w:rPr>
                <w:i/>
                <w:sz w:val="28"/>
                <w:szCs w:val="28"/>
              </w:rPr>
              <w:t>IL1</w:t>
            </w:r>
            <w:r w:rsidR="00CE1F1D" w:rsidRPr="00520861">
              <w:rPr>
                <w:i/>
                <w:sz w:val="28"/>
                <w:szCs w:val="28"/>
              </w:rPr>
              <w:sym w:font="Symbol" w:char="F062"/>
            </w:r>
            <w:r w:rsidR="00CE1F1D" w:rsidRPr="00520861">
              <w:rPr>
                <w:i/>
                <w:sz w:val="28"/>
                <w:szCs w:val="28"/>
              </w:rPr>
              <w:t xml:space="preserve"> </w:t>
            </w:r>
            <w:r w:rsidR="00CE1F1D" w:rsidRPr="00520861">
              <w:rPr>
                <w:sz w:val="28"/>
                <w:szCs w:val="28"/>
              </w:rPr>
              <w:t xml:space="preserve">[rs1143627] і </w:t>
            </w:r>
            <w:r w:rsidRPr="00520861">
              <w:rPr>
                <w:i/>
                <w:sz w:val="28"/>
                <w:szCs w:val="28"/>
              </w:rPr>
              <w:t>IL10</w:t>
            </w:r>
            <w:r w:rsidR="00CE1F1D" w:rsidRPr="00520861">
              <w:rPr>
                <w:i/>
                <w:sz w:val="28"/>
                <w:szCs w:val="28"/>
              </w:rPr>
              <w:t xml:space="preserve"> </w:t>
            </w:r>
            <w:r w:rsidR="00CE1F1D" w:rsidRPr="00520861">
              <w:rPr>
                <w:sz w:val="28"/>
                <w:szCs w:val="28"/>
              </w:rPr>
              <w:t>[rs1800896]</w:t>
            </w:r>
            <w:r w:rsidRPr="00520861">
              <w:rPr>
                <w:sz w:val="28"/>
                <w:szCs w:val="28"/>
              </w:rPr>
              <w:t xml:space="preserve"> та термінами</w:t>
            </w:r>
            <w:r w:rsidR="00C035EF" w:rsidRPr="00520861">
              <w:rPr>
                <w:sz w:val="28"/>
                <w:szCs w:val="28"/>
              </w:rPr>
              <w:t xml:space="preserve"> </w:t>
            </w:r>
            <w:r w:rsidR="00F9224D" w:rsidRPr="00520861">
              <w:rPr>
                <w:sz w:val="28"/>
                <w:szCs w:val="28"/>
              </w:rPr>
              <w:t>прорізування тимчасових зубів в</w:t>
            </w:r>
            <w:r w:rsidRPr="00520861">
              <w:rPr>
                <w:sz w:val="28"/>
                <w:szCs w:val="28"/>
              </w:rPr>
              <w:t xml:space="preserve"> осіб, які народилися </w:t>
            </w:r>
            <w:proofErr w:type="spellStart"/>
            <w:r w:rsidRPr="00520861">
              <w:rPr>
                <w:sz w:val="28"/>
                <w:szCs w:val="28"/>
              </w:rPr>
              <w:t>макросомами</w:t>
            </w:r>
            <w:proofErr w:type="spellEnd"/>
            <w:r w:rsidR="00DF1980" w:rsidRPr="00520861">
              <w:rPr>
                <w:sz w:val="28"/>
                <w:szCs w:val="28"/>
              </w:rPr>
              <w:t>…</w:t>
            </w:r>
          </w:p>
        </w:tc>
        <w:tc>
          <w:tcPr>
            <w:tcW w:w="708" w:type="dxa"/>
            <w:shd w:val="clear" w:color="auto" w:fill="auto"/>
          </w:tcPr>
          <w:p w14:paraId="69303907" w14:textId="77777777" w:rsidR="009E342A" w:rsidRPr="00520861" w:rsidRDefault="009E342A" w:rsidP="00292D2E">
            <w:pPr>
              <w:widowControl w:val="0"/>
              <w:spacing w:line="360" w:lineRule="auto"/>
              <w:jc w:val="right"/>
              <w:rPr>
                <w:sz w:val="28"/>
                <w:szCs w:val="28"/>
              </w:rPr>
            </w:pPr>
          </w:p>
          <w:p w14:paraId="7A08A87E" w14:textId="77777777" w:rsidR="009E342A" w:rsidRPr="00520861" w:rsidRDefault="009E342A" w:rsidP="00292D2E">
            <w:pPr>
              <w:widowControl w:val="0"/>
              <w:spacing w:line="360" w:lineRule="auto"/>
              <w:jc w:val="right"/>
              <w:rPr>
                <w:sz w:val="28"/>
                <w:szCs w:val="28"/>
              </w:rPr>
            </w:pPr>
          </w:p>
          <w:p w14:paraId="3934D9A4" w14:textId="77777777" w:rsidR="0002688A" w:rsidRPr="00520861" w:rsidRDefault="0002688A" w:rsidP="00292D2E">
            <w:pPr>
              <w:widowControl w:val="0"/>
              <w:spacing w:line="360" w:lineRule="auto"/>
              <w:jc w:val="right"/>
              <w:rPr>
                <w:sz w:val="28"/>
                <w:szCs w:val="28"/>
              </w:rPr>
            </w:pPr>
          </w:p>
          <w:p w14:paraId="3B8E49C3" w14:textId="77777777" w:rsidR="009E342A" w:rsidRPr="00520861" w:rsidRDefault="00952397" w:rsidP="00292D2E">
            <w:pPr>
              <w:widowControl w:val="0"/>
              <w:spacing w:line="360" w:lineRule="auto"/>
              <w:jc w:val="right"/>
              <w:rPr>
                <w:sz w:val="28"/>
                <w:szCs w:val="28"/>
              </w:rPr>
            </w:pPr>
            <w:r w:rsidRPr="00520861">
              <w:rPr>
                <w:sz w:val="28"/>
                <w:szCs w:val="28"/>
              </w:rPr>
              <w:t>256</w:t>
            </w:r>
          </w:p>
        </w:tc>
      </w:tr>
      <w:tr w:rsidR="009E342A" w:rsidRPr="00520861" w14:paraId="3E337821" w14:textId="77777777" w:rsidTr="00032B7F">
        <w:tc>
          <w:tcPr>
            <w:tcW w:w="9606" w:type="dxa"/>
            <w:shd w:val="clear" w:color="auto" w:fill="auto"/>
          </w:tcPr>
          <w:p w14:paraId="7B593B2B" w14:textId="77777777" w:rsidR="009E342A" w:rsidRPr="00520861" w:rsidRDefault="009E342A" w:rsidP="00292D2E">
            <w:pPr>
              <w:widowControl w:val="0"/>
              <w:spacing w:line="360" w:lineRule="auto"/>
              <w:ind w:left="284"/>
              <w:rPr>
                <w:sz w:val="28"/>
                <w:szCs w:val="28"/>
              </w:rPr>
            </w:pPr>
            <w:r w:rsidRPr="00520861">
              <w:rPr>
                <w:sz w:val="28"/>
                <w:szCs w:val="28"/>
              </w:rPr>
              <w:t>5.9</w:t>
            </w:r>
            <w:r w:rsidR="00F0091B" w:rsidRPr="00520861">
              <w:rPr>
                <w:sz w:val="28"/>
                <w:szCs w:val="28"/>
              </w:rPr>
              <w:t>.</w:t>
            </w:r>
            <w:r w:rsidRPr="00520861">
              <w:rPr>
                <w:sz w:val="28"/>
                <w:szCs w:val="28"/>
              </w:rPr>
              <w:t xml:space="preserve"> </w:t>
            </w:r>
            <w:r w:rsidR="00F0091B" w:rsidRPr="00520861">
              <w:rPr>
                <w:sz w:val="28"/>
                <w:szCs w:val="28"/>
              </w:rPr>
              <w:t>Результати виявлення</w:t>
            </w:r>
            <w:r w:rsidR="00F30534" w:rsidRPr="00520861">
              <w:rPr>
                <w:sz w:val="28"/>
                <w:szCs w:val="28"/>
              </w:rPr>
              <w:t xml:space="preserve"> асоціації між поліморфізмом</w:t>
            </w:r>
            <w:r w:rsidR="00F0091B" w:rsidRPr="00520861">
              <w:rPr>
                <w:sz w:val="28"/>
                <w:szCs w:val="28"/>
              </w:rPr>
              <w:t xml:space="preserve"> генів </w:t>
            </w:r>
            <w:r w:rsidR="0061359D" w:rsidRPr="00520861">
              <w:rPr>
                <w:i/>
                <w:sz w:val="28"/>
                <w:szCs w:val="28"/>
              </w:rPr>
              <w:t xml:space="preserve">CYP19A1 </w:t>
            </w:r>
            <w:r w:rsidR="0061359D" w:rsidRPr="00520861">
              <w:rPr>
                <w:sz w:val="28"/>
                <w:szCs w:val="28"/>
              </w:rPr>
              <w:t>[rs2414096</w:t>
            </w:r>
            <w:r w:rsidR="0061359D" w:rsidRPr="00520861">
              <w:rPr>
                <w:i/>
                <w:sz w:val="28"/>
                <w:szCs w:val="28"/>
              </w:rPr>
              <w:t xml:space="preserve">, </w:t>
            </w:r>
            <w:r w:rsidR="0061359D" w:rsidRPr="00520861">
              <w:rPr>
                <w:sz w:val="28"/>
                <w:szCs w:val="28"/>
              </w:rPr>
              <w:t xml:space="preserve">rs936306], </w:t>
            </w:r>
            <w:r w:rsidR="0061359D" w:rsidRPr="00520861">
              <w:rPr>
                <w:i/>
                <w:sz w:val="28"/>
                <w:szCs w:val="28"/>
              </w:rPr>
              <w:t>ESR1</w:t>
            </w:r>
            <w:r w:rsidR="00052253" w:rsidRPr="00520861">
              <w:rPr>
                <w:i/>
                <w:sz w:val="28"/>
                <w:szCs w:val="28"/>
              </w:rPr>
              <w:t xml:space="preserve"> </w:t>
            </w:r>
            <w:r w:rsidR="0061359D" w:rsidRPr="00520861">
              <w:rPr>
                <w:sz w:val="28"/>
                <w:szCs w:val="28"/>
              </w:rPr>
              <w:t>[rs2234693</w:t>
            </w:r>
            <w:r w:rsidR="0061359D" w:rsidRPr="00520861">
              <w:rPr>
                <w:i/>
                <w:sz w:val="28"/>
                <w:szCs w:val="28"/>
              </w:rPr>
              <w:t xml:space="preserve">, </w:t>
            </w:r>
            <w:r w:rsidR="0061359D" w:rsidRPr="00520861">
              <w:rPr>
                <w:sz w:val="28"/>
                <w:szCs w:val="28"/>
              </w:rPr>
              <w:t xml:space="preserve">rs9340799], </w:t>
            </w:r>
            <w:r w:rsidR="0061359D" w:rsidRPr="00520861">
              <w:rPr>
                <w:i/>
                <w:sz w:val="28"/>
                <w:szCs w:val="28"/>
              </w:rPr>
              <w:t>RANKL</w:t>
            </w:r>
            <w:r w:rsidR="0061359D" w:rsidRPr="00520861">
              <w:rPr>
                <w:sz w:val="28"/>
                <w:szCs w:val="28"/>
              </w:rPr>
              <w:t xml:space="preserve"> [rs9594738, rs9594759]</w:t>
            </w:r>
            <w:r w:rsidR="0061359D" w:rsidRPr="00520861">
              <w:rPr>
                <w:i/>
                <w:sz w:val="28"/>
                <w:szCs w:val="28"/>
              </w:rPr>
              <w:t xml:space="preserve">, IL6 </w:t>
            </w:r>
            <w:r w:rsidR="0061359D" w:rsidRPr="00520861">
              <w:rPr>
                <w:bCs/>
                <w:sz w:val="28"/>
                <w:szCs w:val="28"/>
              </w:rPr>
              <w:t>[</w:t>
            </w:r>
            <w:r w:rsidR="0061359D" w:rsidRPr="00520861">
              <w:rPr>
                <w:sz w:val="28"/>
                <w:szCs w:val="28"/>
              </w:rPr>
              <w:t>rs1800796]</w:t>
            </w:r>
            <w:r w:rsidR="0061359D" w:rsidRPr="00520861">
              <w:rPr>
                <w:i/>
                <w:sz w:val="28"/>
                <w:szCs w:val="28"/>
              </w:rPr>
              <w:t>, IL1</w:t>
            </w:r>
            <w:r w:rsidR="0061359D" w:rsidRPr="00520861">
              <w:rPr>
                <w:i/>
                <w:sz w:val="28"/>
                <w:szCs w:val="28"/>
              </w:rPr>
              <w:sym w:font="Symbol" w:char="F062"/>
            </w:r>
            <w:r w:rsidR="0061359D" w:rsidRPr="00520861">
              <w:rPr>
                <w:i/>
                <w:sz w:val="28"/>
                <w:szCs w:val="28"/>
              </w:rPr>
              <w:t xml:space="preserve"> </w:t>
            </w:r>
            <w:r w:rsidR="0061359D" w:rsidRPr="00520861">
              <w:rPr>
                <w:sz w:val="28"/>
                <w:szCs w:val="28"/>
              </w:rPr>
              <w:t xml:space="preserve">[rs1143627] і </w:t>
            </w:r>
            <w:r w:rsidR="0061359D" w:rsidRPr="00520861">
              <w:rPr>
                <w:i/>
                <w:sz w:val="28"/>
                <w:szCs w:val="28"/>
              </w:rPr>
              <w:t xml:space="preserve">IL10 </w:t>
            </w:r>
            <w:r w:rsidR="0061359D" w:rsidRPr="00520861">
              <w:rPr>
                <w:sz w:val="28"/>
                <w:szCs w:val="28"/>
              </w:rPr>
              <w:t xml:space="preserve">[rs1800896] </w:t>
            </w:r>
            <w:r w:rsidR="00F0091B" w:rsidRPr="00520861">
              <w:rPr>
                <w:sz w:val="28"/>
                <w:szCs w:val="28"/>
              </w:rPr>
              <w:t>та ризиком</w:t>
            </w:r>
            <w:r w:rsidRPr="00520861">
              <w:rPr>
                <w:sz w:val="28"/>
                <w:szCs w:val="28"/>
              </w:rPr>
              <w:t xml:space="preserve"> розвит</w:t>
            </w:r>
            <w:r w:rsidR="00F9224D" w:rsidRPr="00520861">
              <w:rPr>
                <w:sz w:val="28"/>
                <w:szCs w:val="28"/>
              </w:rPr>
              <w:t xml:space="preserve">ку </w:t>
            </w:r>
            <w:proofErr w:type="spellStart"/>
            <w:r w:rsidR="00F9224D" w:rsidRPr="00520861">
              <w:rPr>
                <w:sz w:val="28"/>
                <w:szCs w:val="28"/>
              </w:rPr>
              <w:t>зубощелепних</w:t>
            </w:r>
            <w:proofErr w:type="spellEnd"/>
            <w:r w:rsidR="00F9224D" w:rsidRPr="00520861">
              <w:rPr>
                <w:sz w:val="28"/>
                <w:szCs w:val="28"/>
              </w:rPr>
              <w:t xml:space="preserve"> аномалій в</w:t>
            </w:r>
            <w:r w:rsidRPr="00520861">
              <w:rPr>
                <w:sz w:val="28"/>
                <w:szCs w:val="28"/>
              </w:rPr>
              <w:t xml:space="preserve"> осіб, які народилися </w:t>
            </w:r>
            <w:proofErr w:type="spellStart"/>
            <w:r w:rsidRPr="00520861">
              <w:rPr>
                <w:sz w:val="28"/>
                <w:szCs w:val="28"/>
              </w:rPr>
              <w:t>мак</w:t>
            </w:r>
            <w:r w:rsidR="00464C73" w:rsidRPr="00520861">
              <w:rPr>
                <w:sz w:val="28"/>
                <w:szCs w:val="28"/>
              </w:rPr>
              <w:t>росомами</w:t>
            </w:r>
            <w:proofErr w:type="spellEnd"/>
            <w:r w:rsidR="00464C73" w:rsidRPr="00520861">
              <w:rPr>
                <w:sz w:val="28"/>
                <w:szCs w:val="28"/>
              </w:rPr>
              <w:t>…</w:t>
            </w:r>
            <w:r w:rsidR="00572E6A" w:rsidRPr="00520861">
              <w:rPr>
                <w:sz w:val="28"/>
                <w:szCs w:val="28"/>
              </w:rPr>
              <w:t>….</w:t>
            </w:r>
          </w:p>
        </w:tc>
        <w:tc>
          <w:tcPr>
            <w:tcW w:w="708" w:type="dxa"/>
            <w:shd w:val="clear" w:color="auto" w:fill="auto"/>
          </w:tcPr>
          <w:p w14:paraId="293FD390" w14:textId="77777777" w:rsidR="009E342A" w:rsidRPr="00520861" w:rsidRDefault="009E342A" w:rsidP="00292D2E">
            <w:pPr>
              <w:widowControl w:val="0"/>
              <w:spacing w:line="360" w:lineRule="auto"/>
              <w:jc w:val="right"/>
              <w:rPr>
                <w:sz w:val="28"/>
                <w:szCs w:val="28"/>
              </w:rPr>
            </w:pPr>
          </w:p>
          <w:p w14:paraId="10A4075E" w14:textId="77777777" w:rsidR="009E342A" w:rsidRPr="00520861" w:rsidRDefault="009E342A" w:rsidP="00292D2E">
            <w:pPr>
              <w:widowControl w:val="0"/>
              <w:spacing w:line="360" w:lineRule="auto"/>
              <w:jc w:val="right"/>
              <w:rPr>
                <w:sz w:val="28"/>
                <w:szCs w:val="28"/>
              </w:rPr>
            </w:pPr>
          </w:p>
          <w:p w14:paraId="7FBB62A2" w14:textId="77777777" w:rsidR="009E342A" w:rsidRPr="00520861" w:rsidRDefault="009E342A" w:rsidP="00292D2E">
            <w:pPr>
              <w:widowControl w:val="0"/>
              <w:spacing w:line="360" w:lineRule="auto"/>
              <w:jc w:val="right"/>
              <w:rPr>
                <w:sz w:val="28"/>
                <w:szCs w:val="28"/>
              </w:rPr>
            </w:pPr>
          </w:p>
          <w:p w14:paraId="52C3D79D" w14:textId="77777777" w:rsidR="009E342A" w:rsidRPr="00520861" w:rsidRDefault="00952397" w:rsidP="00292D2E">
            <w:pPr>
              <w:widowControl w:val="0"/>
              <w:spacing w:line="360" w:lineRule="auto"/>
              <w:jc w:val="right"/>
              <w:rPr>
                <w:sz w:val="28"/>
                <w:szCs w:val="28"/>
              </w:rPr>
            </w:pPr>
            <w:r w:rsidRPr="00520861">
              <w:rPr>
                <w:sz w:val="28"/>
                <w:szCs w:val="28"/>
              </w:rPr>
              <w:t>264</w:t>
            </w:r>
          </w:p>
        </w:tc>
      </w:tr>
      <w:tr w:rsidR="009E342A" w:rsidRPr="00520861" w14:paraId="415F6D2E" w14:textId="77777777" w:rsidTr="00032B7F">
        <w:tc>
          <w:tcPr>
            <w:tcW w:w="9606" w:type="dxa"/>
            <w:shd w:val="clear" w:color="auto" w:fill="auto"/>
          </w:tcPr>
          <w:p w14:paraId="57945883" w14:textId="77777777" w:rsidR="009E342A" w:rsidRPr="00520861" w:rsidRDefault="00D467D3" w:rsidP="00292D2E">
            <w:pPr>
              <w:widowControl w:val="0"/>
              <w:spacing w:line="360" w:lineRule="auto"/>
              <w:rPr>
                <w:sz w:val="28"/>
                <w:szCs w:val="28"/>
              </w:rPr>
            </w:pPr>
            <w:r w:rsidRPr="00520861">
              <w:rPr>
                <w:sz w:val="28"/>
                <w:szCs w:val="28"/>
              </w:rPr>
              <w:lastRenderedPageBreak/>
              <w:t xml:space="preserve">РОЗДІЛ 6. ОСОБЛИВОСТІ ДІАГНОСТИКИ ТА ПРОГНОЗУВАННЯ </w:t>
            </w:r>
            <w:r w:rsidR="00E20293" w:rsidRPr="00520861">
              <w:rPr>
                <w:sz w:val="28"/>
                <w:szCs w:val="28"/>
              </w:rPr>
              <w:t xml:space="preserve">КАРІЄСОГЕННОЇ СИТУАЦІЇ В </w:t>
            </w:r>
            <w:r w:rsidRPr="00520861">
              <w:rPr>
                <w:sz w:val="28"/>
                <w:szCs w:val="28"/>
              </w:rPr>
              <w:t>ОСІБ РІЗНОГО ВІКУ ПОПУЛЯЦІЇ ХАРКІВСЬКОЇ ОБЛАСТІ ТА ПРИЛЕГЛИХ (ДОНЕЦЬКОЇ, ЛУГАНСЬКОЇ) ОБЛАСТЕЙ, ЯКІ НАРОДИЛИСЯ З МАКРОСОМІЄЮ …</w:t>
            </w:r>
            <w:r w:rsidR="00572E6A" w:rsidRPr="00520861">
              <w:rPr>
                <w:sz w:val="28"/>
                <w:szCs w:val="28"/>
              </w:rPr>
              <w:t>…</w:t>
            </w:r>
            <w:r w:rsidRPr="00520861">
              <w:rPr>
                <w:sz w:val="28"/>
                <w:szCs w:val="28"/>
              </w:rPr>
              <w:t>…………...............</w:t>
            </w:r>
          </w:p>
        </w:tc>
        <w:tc>
          <w:tcPr>
            <w:tcW w:w="708" w:type="dxa"/>
            <w:shd w:val="clear" w:color="auto" w:fill="auto"/>
          </w:tcPr>
          <w:p w14:paraId="71148137" w14:textId="77777777" w:rsidR="009E342A" w:rsidRPr="00520861" w:rsidRDefault="009E342A" w:rsidP="00292D2E">
            <w:pPr>
              <w:widowControl w:val="0"/>
              <w:spacing w:line="360" w:lineRule="auto"/>
              <w:jc w:val="right"/>
              <w:rPr>
                <w:sz w:val="28"/>
                <w:szCs w:val="28"/>
              </w:rPr>
            </w:pPr>
          </w:p>
          <w:p w14:paraId="3AADFCD6" w14:textId="77777777" w:rsidR="009E342A" w:rsidRPr="00520861" w:rsidRDefault="009E342A" w:rsidP="00292D2E">
            <w:pPr>
              <w:widowControl w:val="0"/>
              <w:spacing w:line="360" w:lineRule="auto"/>
              <w:jc w:val="right"/>
              <w:rPr>
                <w:sz w:val="28"/>
                <w:szCs w:val="28"/>
              </w:rPr>
            </w:pPr>
          </w:p>
          <w:p w14:paraId="3FC98046" w14:textId="77777777" w:rsidR="00D467D3" w:rsidRPr="00520861" w:rsidRDefault="00D467D3" w:rsidP="00292D2E">
            <w:pPr>
              <w:widowControl w:val="0"/>
              <w:spacing w:line="360" w:lineRule="auto"/>
              <w:jc w:val="right"/>
              <w:rPr>
                <w:sz w:val="28"/>
                <w:szCs w:val="28"/>
              </w:rPr>
            </w:pPr>
          </w:p>
          <w:p w14:paraId="304AD1CD" w14:textId="77777777" w:rsidR="009E342A" w:rsidRPr="00520861" w:rsidRDefault="004B5DE6" w:rsidP="00292D2E">
            <w:pPr>
              <w:widowControl w:val="0"/>
              <w:spacing w:line="360" w:lineRule="auto"/>
              <w:jc w:val="right"/>
              <w:rPr>
                <w:sz w:val="28"/>
                <w:szCs w:val="28"/>
              </w:rPr>
            </w:pPr>
            <w:r w:rsidRPr="00520861">
              <w:rPr>
                <w:sz w:val="28"/>
                <w:szCs w:val="28"/>
              </w:rPr>
              <w:t>271</w:t>
            </w:r>
          </w:p>
        </w:tc>
      </w:tr>
      <w:tr w:rsidR="009E342A" w:rsidRPr="00520861" w14:paraId="6BFE1273" w14:textId="77777777" w:rsidTr="00032B7F">
        <w:tc>
          <w:tcPr>
            <w:tcW w:w="9606" w:type="dxa"/>
            <w:shd w:val="clear" w:color="auto" w:fill="auto"/>
          </w:tcPr>
          <w:p w14:paraId="04EC5109" w14:textId="77777777" w:rsidR="002D52E7" w:rsidRPr="00520861" w:rsidRDefault="009E342A" w:rsidP="00292D2E">
            <w:pPr>
              <w:widowControl w:val="0"/>
              <w:spacing w:line="360" w:lineRule="auto"/>
              <w:ind w:left="284"/>
              <w:rPr>
                <w:sz w:val="28"/>
                <w:szCs w:val="28"/>
              </w:rPr>
            </w:pPr>
            <w:r w:rsidRPr="00520861">
              <w:rPr>
                <w:sz w:val="28"/>
                <w:szCs w:val="28"/>
              </w:rPr>
              <w:t>6.1</w:t>
            </w:r>
            <w:r w:rsidR="002D52E7" w:rsidRPr="00520861">
              <w:rPr>
                <w:sz w:val="28"/>
                <w:szCs w:val="28"/>
              </w:rPr>
              <w:t>.</w:t>
            </w:r>
            <w:r w:rsidRPr="00520861">
              <w:rPr>
                <w:sz w:val="28"/>
                <w:szCs w:val="28"/>
              </w:rPr>
              <w:t xml:space="preserve"> </w:t>
            </w:r>
            <w:r w:rsidR="002D52E7" w:rsidRPr="00520861">
              <w:rPr>
                <w:sz w:val="28"/>
                <w:szCs w:val="28"/>
              </w:rPr>
              <w:t xml:space="preserve">Результати клініко-ретроспективного дослідження показників </w:t>
            </w:r>
          </w:p>
          <w:p w14:paraId="78ED7925" w14:textId="77777777" w:rsidR="009E342A" w:rsidRPr="00520861" w:rsidRDefault="002D52E7" w:rsidP="00292D2E">
            <w:pPr>
              <w:widowControl w:val="0"/>
              <w:spacing w:line="360" w:lineRule="auto"/>
              <w:ind w:left="284"/>
              <w:rPr>
                <w:sz w:val="28"/>
                <w:szCs w:val="28"/>
              </w:rPr>
            </w:pPr>
            <w:r w:rsidRPr="00520861">
              <w:rPr>
                <w:sz w:val="28"/>
                <w:szCs w:val="28"/>
              </w:rPr>
              <w:t xml:space="preserve">карієсу в дітей та підлітків, які народилися з </w:t>
            </w:r>
            <w:proofErr w:type="spellStart"/>
            <w:r w:rsidRPr="00520861">
              <w:rPr>
                <w:sz w:val="28"/>
                <w:szCs w:val="28"/>
              </w:rPr>
              <w:t>макросомією</w:t>
            </w:r>
            <w:proofErr w:type="spellEnd"/>
            <w:r w:rsidRPr="00520861">
              <w:rPr>
                <w:sz w:val="28"/>
                <w:szCs w:val="28"/>
              </w:rPr>
              <w:t>……</w:t>
            </w:r>
            <w:r w:rsidR="00572E6A" w:rsidRPr="00520861">
              <w:rPr>
                <w:sz w:val="28"/>
                <w:szCs w:val="28"/>
              </w:rPr>
              <w:t>...</w:t>
            </w:r>
            <w:r w:rsidRPr="00520861">
              <w:rPr>
                <w:sz w:val="28"/>
                <w:szCs w:val="28"/>
              </w:rPr>
              <w:t>………..</w:t>
            </w:r>
            <w:r w:rsidR="009E342A" w:rsidRPr="00520861">
              <w:rPr>
                <w:sz w:val="28"/>
                <w:szCs w:val="28"/>
              </w:rPr>
              <w:t>….</w:t>
            </w:r>
          </w:p>
        </w:tc>
        <w:tc>
          <w:tcPr>
            <w:tcW w:w="708" w:type="dxa"/>
            <w:shd w:val="clear" w:color="auto" w:fill="auto"/>
          </w:tcPr>
          <w:p w14:paraId="494D6718" w14:textId="77777777" w:rsidR="009E342A" w:rsidRPr="00520861" w:rsidRDefault="009E342A" w:rsidP="00292D2E">
            <w:pPr>
              <w:widowControl w:val="0"/>
              <w:spacing w:line="360" w:lineRule="auto"/>
              <w:jc w:val="right"/>
              <w:rPr>
                <w:sz w:val="28"/>
                <w:szCs w:val="28"/>
              </w:rPr>
            </w:pPr>
          </w:p>
          <w:p w14:paraId="3978D7DD" w14:textId="77777777" w:rsidR="009E342A" w:rsidRPr="00520861" w:rsidRDefault="00C93649" w:rsidP="00292D2E">
            <w:pPr>
              <w:widowControl w:val="0"/>
              <w:spacing w:line="360" w:lineRule="auto"/>
              <w:jc w:val="right"/>
              <w:rPr>
                <w:sz w:val="28"/>
                <w:szCs w:val="28"/>
              </w:rPr>
            </w:pPr>
            <w:r w:rsidRPr="00520861">
              <w:rPr>
                <w:sz w:val="28"/>
                <w:szCs w:val="28"/>
              </w:rPr>
              <w:t>271</w:t>
            </w:r>
          </w:p>
        </w:tc>
      </w:tr>
      <w:tr w:rsidR="009E342A" w:rsidRPr="00520861" w14:paraId="2B12A365" w14:textId="77777777" w:rsidTr="00032B7F">
        <w:tc>
          <w:tcPr>
            <w:tcW w:w="9606" w:type="dxa"/>
            <w:shd w:val="clear" w:color="auto" w:fill="auto"/>
          </w:tcPr>
          <w:p w14:paraId="0D16A577" w14:textId="77777777" w:rsidR="009E342A" w:rsidRPr="00520861" w:rsidRDefault="009E342A" w:rsidP="00292D2E">
            <w:pPr>
              <w:widowControl w:val="0"/>
              <w:spacing w:line="360" w:lineRule="auto"/>
              <w:ind w:left="284"/>
              <w:rPr>
                <w:sz w:val="28"/>
                <w:szCs w:val="28"/>
              </w:rPr>
            </w:pPr>
            <w:r w:rsidRPr="00520861">
              <w:rPr>
                <w:sz w:val="28"/>
                <w:szCs w:val="28"/>
              </w:rPr>
              <w:t>6.2</w:t>
            </w:r>
            <w:r w:rsidR="001B30DD" w:rsidRPr="00520861">
              <w:rPr>
                <w:sz w:val="28"/>
                <w:szCs w:val="28"/>
              </w:rPr>
              <w:t>.</w:t>
            </w:r>
            <w:r w:rsidR="00DF070E" w:rsidRPr="00520861">
              <w:rPr>
                <w:sz w:val="28"/>
                <w:szCs w:val="28"/>
              </w:rPr>
              <w:t xml:space="preserve"> </w:t>
            </w:r>
            <w:r w:rsidR="00F3639B" w:rsidRPr="00520861">
              <w:rPr>
                <w:sz w:val="28"/>
                <w:szCs w:val="28"/>
              </w:rPr>
              <w:t xml:space="preserve">Результати </w:t>
            </w:r>
            <w:r w:rsidR="001C47DA" w:rsidRPr="00520861">
              <w:rPr>
                <w:sz w:val="28"/>
                <w:szCs w:val="28"/>
              </w:rPr>
              <w:t>оцінювання</w:t>
            </w:r>
            <w:r w:rsidR="00E20293" w:rsidRPr="00520861">
              <w:rPr>
                <w:sz w:val="28"/>
                <w:szCs w:val="28"/>
              </w:rPr>
              <w:t xml:space="preserve"> </w:t>
            </w:r>
            <w:proofErr w:type="spellStart"/>
            <w:r w:rsidR="00E20293" w:rsidRPr="00520861">
              <w:rPr>
                <w:sz w:val="28"/>
                <w:szCs w:val="28"/>
              </w:rPr>
              <w:t>карієсогенної</w:t>
            </w:r>
            <w:proofErr w:type="spellEnd"/>
            <w:r w:rsidR="00E20293" w:rsidRPr="00520861">
              <w:rPr>
                <w:sz w:val="28"/>
                <w:szCs w:val="28"/>
              </w:rPr>
              <w:t xml:space="preserve"> ситуації в період тимчасового прикусу (ВП-ІІ, ВП-ІІІ) у</w:t>
            </w:r>
            <w:r w:rsidR="00F3639B" w:rsidRPr="00520861">
              <w:rPr>
                <w:sz w:val="28"/>
                <w:szCs w:val="28"/>
              </w:rPr>
              <w:t xml:space="preserve"> дітей</w:t>
            </w:r>
            <w:r w:rsidR="00BF64CC" w:rsidRPr="00520861">
              <w:rPr>
                <w:sz w:val="28"/>
                <w:szCs w:val="28"/>
              </w:rPr>
              <w:t xml:space="preserve">, які народилися з </w:t>
            </w:r>
            <w:proofErr w:type="spellStart"/>
            <w:r w:rsidR="00BF64CC" w:rsidRPr="00520861">
              <w:rPr>
                <w:sz w:val="28"/>
                <w:szCs w:val="28"/>
              </w:rPr>
              <w:t>макросомією</w:t>
            </w:r>
            <w:proofErr w:type="spellEnd"/>
            <w:r w:rsidRPr="00520861">
              <w:rPr>
                <w:sz w:val="28"/>
                <w:szCs w:val="28"/>
              </w:rPr>
              <w:t>……</w:t>
            </w:r>
            <w:r w:rsidR="00572E6A" w:rsidRPr="00520861">
              <w:rPr>
                <w:sz w:val="28"/>
                <w:szCs w:val="28"/>
              </w:rPr>
              <w:t>..</w:t>
            </w:r>
            <w:r w:rsidRPr="00520861">
              <w:rPr>
                <w:sz w:val="28"/>
                <w:szCs w:val="28"/>
              </w:rPr>
              <w:t>…….....</w:t>
            </w:r>
          </w:p>
        </w:tc>
        <w:tc>
          <w:tcPr>
            <w:tcW w:w="708" w:type="dxa"/>
            <w:shd w:val="clear" w:color="auto" w:fill="auto"/>
          </w:tcPr>
          <w:p w14:paraId="38D6780F" w14:textId="77777777" w:rsidR="009E342A" w:rsidRPr="00520861" w:rsidRDefault="009E342A" w:rsidP="00292D2E">
            <w:pPr>
              <w:widowControl w:val="0"/>
              <w:spacing w:line="360" w:lineRule="auto"/>
              <w:jc w:val="right"/>
              <w:rPr>
                <w:sz w:val="28"/>
                <w:szCs w:val="28"/>
              </w:rPr>
            </w:pPr>
          </w:p>
          <w:p w14:paraId="16C8A946" w14:textId="77777777" w:rsidR="009E342A" w:rsidRPr="00520861" w:rsidRDefault="00C93649" w:rsidP="00292D2E">
            <w:pPr>
              <w:widowControl w:val="0"/>
              <w:spacing w:line="360" w:lineRule="auto"/>
              <w:jc w:val="right"/>
              <w:rPr>
                <w:sz w:val="28"/>
                <w:szCs w:val="28"/>
              </w:rPr>
            </w:pPr>
            <w:r w:rsidRPr="00520861">
              <w:rPr>
                <w:sz w:val="28"/>
                <w:szCs w:val="28"/>
              </w:rPr>
              <w:t>274</w:t>
            </w:r>
          </w:p>
        </w:tc>
      </w:tr>
      <w:tr w:rsidR="009E342A" w:rsidRPr="00520861" w14:paraId="5EE87786" w14:textId="77777777" w:rsidTr="00032B7F">
        <w:tc>
          <w:tcPr>
            <w:tcW w:w="9606" w:type="dxa"/>
            <w:shd w:val="clear" w:color="auto" w:fill="auto"/>
          </w:tcPr>
          <w:p w14:paraId="05131FAE" w14:textId="77777777" w:rsidR="009E342A" w:rsidRPr="00520861" w:rsidRDefault="009E342A" w:rsidP="00292D2E">
            <w:pPr>
              <w:widowControl w:val="0"/>
              <w:spacing w:line="360" w:lineRule="auto"/>
              <w:ind w:left="284"/>
              <w:rPr>
                <w:sz w:val="28"/>
                <w:szCs w:val="28"/>
              </w:rPr>
            </w:pPr>
            <w:r w:rsidRPr="00520861">
              <w:rPr>
                <w:sz w:val="28"/>
                <w:szCs w:val="28"/>
              </w:rPr>
              <w:t>6.3</w:t>
            </w:r>
            <w:r w:rsidR="00A15714" w:rsidRPr="00520861">
              <w:rPr>
                <w:sz w:val="28"/>
                <w:szCs w:val="28"/>
              </w:rPr>
              <w:t>.</w:t>
            </w:r>
            <w:r w:rsidRPr="00520861">
              <w:rPr>
                <w:sz w:val="28"/>
                <w:szCs w:val="28"/>
              </w:rPr>
              <w:t xml:space="preserve"> </w:t>
            </w:r>
            <w:r w:rsidR="008262AD" w:rsidRPr="00520861">
              <w:rPr>
                <w:sz w:val="28"/>
                <w:szCs w:val="28"/>
              </w:rPr>
              <w:t xml:space="preserve">Результати </w:t>
            </w:r>
            <w:r w:rsidR="001C47DA" w:rsidRPr="00520861">
              <w:rPr>
                <w:sz w:val="28"/>
                <w:szCs w:val="28"/>
              </w:rPr>
              <w:t>оцінювання</w:t>
            </w:r>
            <w:r w:rsidR="00E20293" w:rsidRPr="00520861">
              <w:rPr>
                <w:sz w:val="28"/>
                <w:szCs w:val="28"/>
              </w:rPr>
              <w:t xml:space="preserve"> </w:t>
            </w:r>
            <w:proofErr w:type="spellStart"/>
            <w:r w:rsidR="00E20293" w:rsidRPr="00520861">
              <w:rPr>
                <w:sz w:val="28"/>
                <w:szCs w:val="28"/>
              </w:rPr>
              <w:t>карієсогенної</w:t>
            </w:r>
            <w:proofErr w:type="spellEnd"/>
            <w:r w:rsidR="00E20293" w:rsidRPr="00520861">
              <w:rPr>
                <w:sz w:val="28"/>
                <w:szCs w:val="28"/>
              </w:rPr>
              <w:t xml:space="preserve"> ситуації в період змінного прикусу (ВП-IV) у </w:t>
            </w:r>
            <w:r w:rsidRPr="00520861">
              <w:rPr>
                <w:sz w:val="28"/>
                <w:szCs w:val="28"/>
              </w:rPr>
              <w:t>дітей,</w:t>
            </w:r>
            <w:r w:rsidR="00E20293" w:rsidRPr="00520861">
              <w:rPr>
                <w:sz w:val="28"/>
                <w:szCs w:val="28"/>
              </w:rPr>
              <w:t xml:space="preserve"> які народилися з </w:t>
            </w:r>
            <w:proofErr w:type="spellStart"/>
            <w:r w:rsidR="00E20293" w:rsidRPr="00520861">
              <w:rPr>
                <w:sz w:val="28"/>
                <w:szCs w:val="28"/>
              </w:rPr>
              <w:t>макросомією</w:t>
            </w:r>
            <w:proofErr w:type="spellEnd"/>
            <w:r w:rsidR="00E20293" w:rsidRPr="00520861">
              <w:rPr>
                <w:sz w:val="28"/>
                <w:szCs w:val="28"/>
              </w:rPr>
              <w:t>…………………</w:t>
            </w:r>
            <w:r w:rsidR="00572E6A" w:rsidRPr="00520861">
              <w:rPr>
                <w:sz w:val="28"/>
                <w:szCs w:val="28"/>
              </w:rPr>
              <w:t>…….</w:t>
            </w:r>
            <w:r w:rsidR="00DF1980" w:rsidRPr="00520861">
              <w:rPr>
                <w:sz w:val="28"/>
                <w:szCs w:val="28"/>
              </w:rPr>
              <w:t>…</w:t>
            </w:r>
          </w:p>
        </w:tc>
        <w:tc>
          <w:tcPr>
            <w:tcW w:w="708" w:type="dxa"/>
            <w:shd w:val="clear" w:color="auto" w:fill="auto"/>
          </w:tcPr>
          <w:p w14:paraId="49B2FC59" w14:textId="77777777" w:rsidR="009E342A" w:rsidRPr="00520861" w:rsidRDefault="009E342A" w:rsidP="00292D2E">
            <w:pPr>
              <w:widowControl w:val="0"/>
              <w:spacing w:line="360" w:lineRule="auto"/>
              <w:jc w:val="right"/>
              <w:rPr>
                <w:sz w:val="28"/>
                <w:szCs w:val="28"/>
              </w:rPr>
            </w:pPr>
          </w:p>
          <w:p w14:paraId="7287CDA0" w14:textId="77777777" w:rsidR="009E342A" w:rsidRPr="00520861" w:rsidRDefault="00AE15E3" w:rsidP="00292D2E">
            <w:pPr>
              <w:widowControl w:val="0"/>
              <w:spacing w:line="360" w:lineRule="auto"/>
              <w:jc w:val="right"/>
              <w:rPr>
                <w:sz w:val="28"/>
                <w:szCs w:val="28"/>
              </w:rPr>
            </w:pPr>
            <w:r w:rsidRPr="00520861">
              <w:rPr>
                <w:sz w:val="28"/>
                <w:szCs w:val="28"/>
              </w:rPr>
              <w:t>2</w:t>
            </w:r>
            <w:r w:rsidR="00C93649" w:rsidRPr="00520861">
              <w:rPr>
                <w:sz w:val="28"/>
                <w:szCs w:val="28"/>
              </w:rPr>
              <w:t>76</w:t>
            </w:r>
          </w:p>
        </w:tc>
      </w:tr>
      <w:tr w:rsidR="009E342A" w:rsidRPr="00520861" w14:paraId="0D7CAF25" w14:textId="77777777" w:rsidTr="00032B7F">
        <w:tc>
          <w:tcPr>
            <w:tcW w:w="9606" w:type="dxa"/>
            <w:shd w:val="clear" w:color="auto" w:fill="auto"/>
          </w:tcPr>
          <w:p w14:paraId="173E2806" w14:textId="77777777" w:rsidR="009E342A" w:rsidRPr="00520861" w:rsidRDefault="009E342A" w:rsidP="00292D2E">
            <w:pPr>
              <w:widowControl w:val="0"/>
              <w:spacing w:line="360" w:lineRule="auto"/>
              <w:ind w:left="284"/>
              <w:rPr>
                <w:sz w:val="28"/>
                <w:szCs w:val="28"/>
              </w:rPr>
            </w:pPr>
            <w:r w:rsidRPr="00520861">
              <w:rPr>
                <w:sz w:val="28"/>
                <w:szCs w:val="28"/>
              </w:rPr>
              <w:t>6.4</w:t>
            </w:r>
            <w:r w:rsidR="00840371" w:rsidRPr="00520861">
              <w:rPr>
                <w:sz w:val="28"/>
                <w:szCs w:val="28"/>
              </w:rPr>
              <w:t>.</w:t>
            </w:r>
            <w:r w:rsidRPr="00520861">
              <w:rPr>
                <w:sz w:val="28"/>
                <w:szCs w:val="28"/>
              </w:rPr>
              <w:t xml:space="preserve"> Результати </w:t>
            </w:r>
            <w:r w:rsidR="00840371" w:rsidRPr="00520861">
              <w:rPr>
                <w:sz w:val="28"/>
                <w:szCs w:val="28"/>
              </w:rPr>
              <w:t xml:space="preserve">оцінювання </w:t>
            </w:r>
            <w:proofErr w:type="spellStart"/>
            <w:r w:rsidR="001C47DA" w:rsidRPr="00520861">
              <w:rPr>
                <w:sz w:val="28"/>
                <w:szCs w:val="28"/>
              </w:rPr>
              <w:t>карієсогенної</w:t>
            </w:r>
            <w:proofErr w:type="spellEnd"/>
            <w:r w:rsidR="001C47DA" w:rsidRPr="00520861">
              <w:rPr>
                <w:sz w:val="28"/>
                <w:szCs w:val="28"/>
              </w:rPr>
              <w:t xml:space="preserve"> ситуації</w:t>
            </w:r>
            <w:r w:rsidR="00840371" w:rsidRPr="00520861">
              <w:rPr>
                <w:sz w:val="28"/>
                <w:szCs w:val="28"/>
              </w:rPr>
              <w:t xml:space="preserve"> </w:t>
            </w:r>
            <w:r w:rsidR="001C47DA" w:rsidRPr="00520861">
              <w:rPr>
                <w:sz w:val="28"/>
                <w:szCs w:val="28"/>
              </w:rPr>
              <w:t xml:space="preserve">в період постійного прикусу </w:t>
            </w:r>
            <w:r w:rsidR="00F9224D" w:rsidRPr="00520861">
              <w:rPr>
                <w:sz w:val="28"/>
                <w:szCs w:val="28"/>
              </w:rPr>
              <w:t>(ВП-V, ВП-VI, ВП-VII, ВП-VIII) в</w:t>
            </w:r>
            <w:r w:rsidR="001C47DA" w:rsidRPr="00520861">
              <w:rPr>
                <w:sz w:val="28"/>
                <w:szCs w:val="28"/>
              </w:rPr>
              <w:t xml:space="preserve"> </w:t>
            </w:r>
            <w:r w:rsidRPr="00520861">
              <w:rPr>
                <w:sz w:val="28"/>
                <w:szCs w:val="28"/>
              </w:rPr>
              <w:t>осі</w:t>
            </w:r>
            <w:r w:rsidR="001C47DA" w:rsidRPr="00520861">
              <w:rPr>
                <w:sz w:val="28"/>
                <w:szCs w:val="28"/>
              </w:rPr>
              <w:t xml:space="preserve">б, які народилися з </w:t>
            </w:r>
            <w:proofErr w:type="spellStart"/>
            <w:r w:rsidR="001C47DA" w:rsidRPr="00520861">
              <w:rPr>
                <w:sz w:val="28"/>
                <w:szCs w:val="28"/>
              </w:rPr>
              <w:t>макросомією</w:t>
            </w:r>
            <w:proofErr w:type="spellEnd"/>
            <w:r w:rsidRPr="00520861">
              <w:rPr>
                <w:sz w:val="28"/>
                <w:szCs w:val="28"/>
              </w:rPr>
              <w:t xml:space="preserve"> </w:t>
            </w:r>
          </w:p>
        </w:tc>
        <w:tc>
          <w:tcPr>
            <w:tcW w:w="708" w:type="dxa"/>
            <w:shd w:val="clear" w:color="auto" w:fill="auto"/>
          </w:tcPr>
          <w:p w14:paraId="46922793" w14:textId="77777777" w:rsidR="009E342A" w:rsidRPr="00520861" w:rsidRDefault="009E342A" w:rsidP="00292D2E">
            <w:pPr>
              <w:widowControl w:val="0"/>
              <w:spacing w:line="360" w:lineRule="auto"/>
              <w:jc w:val="right"/>
              <w:rPr>
                <w:sz w:val="28"/>
                <w:szCs w:val="28"/>
              </w:rPr>
            </w:pPr>
          </w:p>
          <w:p w14:paraId="7005117C" w14:textId="77777777" w:rsidR="009E342A" w:rsidRPr="00520861" w:rsidRDefault="00C93649" w:rsidP="00292D2E">
            <w:pPr>
              <w:widowControl w:val="0"/>
              <w:spacing w:line="360" w:lineRule="auto"/>
              <w:jc w:val="right"/>
              <w:rPr>
                <w:sz w:val="28"/>
                <w:szCs w:val="28"/>
              </w:rPr>
            </w:pPr>
            <w:r w:rsidRPr="00520861">
              <w:rPr>
                <w:sz w:val="28"/>
                <w:szCs w:val="28"/>
              </w:rPr>
              <w:t>279</w:t>
            </w:r>
          </w:p>
        </w:tc>
      </w:tr>
      <w:tr w:rsidR="009E342A" w:rsidRPr="00520861" w14:paraId="2226251D" w14:textId="77777777" w:rsidTr="00032B7F">
        <w:tc>
          <w:tcPr>
            <w:tcW w:w="9606" w:type="dxa"/>
            <w:shd w:val="clear" w:color="auto" w:fill="auto"/>
          </w:tcPr>
          <w:p w14:paraId="0357E3E7" w14:textId="77777777" w:rsidR="009E342A" w:rsidRPr="00520861" w:rsidRDefault="009E342A" w:rsidP="00292D2E">
            <w:pPr>
              <w:widowControl w:val="0"/>
              <w:spacing w:line="360" w:lineRule="auto"/>
              <w:ind w:left="284"/>
              <w:rPr>
                <w:sz w:val="28"/>
                <w:szCs w:val="28"/>
              </w:rPr>
            </w:pPr>
            <w:r w:rsidRPr="00520861">
              <w:rPr>
                <w:sz w:val="28"/>
                <w:szCs w:val="28"/>
              </w:rPr>
              <w:t>6.5</w:t>
            </w:r>
            <w:r w:rsidR="00914CF0" w:rsidRPr="00520861">
              <w:rPr>
                <w:sz w:val="28"/>
                <w:szCs w:val="28"/>
              </w:rPr>
              <w:t>.</w:t>
            </w:r>
            <w:r w:rsidRPr="00520861">
              <w:rPr>
                <w:sz w:val="28"/>
                <w:szCs w:val="28"/>
              </w:rPr>
              <w:t xml:space="preserve"> Результат</w:t>
            </w:r>
            <w:r w:rsidR="00914CF0" w:rsidRPr="00520861">
              <w:rPr>
                <w:sz w:val="28"/>
                <w:szCs w:val="28"/>
              </w:rPr>
              <w:t>и вивчення</w:t>
            </w:r>
            <w:r w:rsidR="000F6325" w:rsidRPr="00520861">
              <w:rPr>
                <w:sz w:val="28"/>
                <w:szCs w:val="28"/>
              </w:rPr>
              <w:t xml:space="preserve"> динаміки</w:t>
            </w:r>
            <w:r w:rsidRPr="00520861">
              <w:rPr>
                <w:sz w:val="28"/>
                <w:szCs w:val="28"/>
              </w:rPr>
              <w:t xml:space="preserve"> </w:t>
            </w:r>
            <w:r w:rsidR="00914CF0" w:rsidRPr="00520861">
              <w:rPr>
                <w:sz w:val="28"/>
                <w:szCs w:val="28"/>
              </w:rPr>
              <w:t xml:space="preserve">змін </w:t>
            </w:r>
            <w:r w:rsidRPr="00520861">
              <w:rPr>
                <w:sz w:val="28"/>
                <w:szCs w:val="28"/>
              </w:rPr>
              <w:t xml:space="preserve">біохімічних показників ротової </w:t>
            </w:r>
            <w:r w:rsidR="00572E6A" w:rsidRPr="00520861">
              <w:rPr>
                <w:sz w:val="28"/>
                <w:szCs w:val="28"/>
              </w:rPr>
              <w:br/>
            </w:r>
            <w:r w:rsidRPr="00520861">
              <w:rPr>
                <w:sz w:val="28"/>
                <w:szCs w:val="28"/>
              </w:rPr>
              <w:t>рідини як маркерів ризику розвитку каріозних уражень в осіб різного віку, які народилися макросомами…</w:t>
            </w:r>
            <w:r w:rsidR="00914CF0" w:rsidRPr="00520861">
              <w:rPr>
                <w:sz w:val="28"/>
                <w:szCs w:val="28"/>
              </w:rPr>
              <w:t>….</w:t>
            </w:r>
            <w:r w:rsidRPr="00520861">
              <w:rPr>
                <w:sz w:val="28"/>
                <w:szCs w:val="28"/>
              </w:rPr>
              <w:t>……………...................</w:t>
            </w:r>
            <w:r w:rsidR="00572E6A" w:rsidRPr="00520861">
              <w:rPr>
                <w:sz w:val="28"/>
                <w:szCs w:val="28"/>
              </w:rPr>
              <w:t>......</w:t>
            </w:r>
            <w:r w:rsidRPr="00520861">
              <w:rPr>
                <w:sz w:val="28"/>
                <w:szCs w:val="28"/>
              </w:rPr>
              <w:t>..........................</w:t>
            </w:r>
          </w:p>
        </w:tc>
        <w:tc>
          <w:tcPr>
            <w:tcW w:w="708" w:type="dxa"/>
            <w:shd w:val="clear" w:color="auto" w:fill="auto"/>
          </w:tcPr>
          <w:p w14:paraId="5DCED701" w14:textId="77777777" w:rsidR="009E342A" w:rsidRPr="00520861" w:rsidRDefault="009E342A" w:rsidP="00292D2E">
            <w:pPr>
              <w:widowControl w:val="0"/>
              <w:spacing w:line="360" w:lineRule="auto"/>
              <w:jc w:val="right"/>
              <w:rPr>
                <w:sz w:val="28"/>
                <w:szCs w:val="28"/>
              </w:rPr>
            </w:pPr>
          </w:p>
          <w:p w14:paraId="631B2325" w14:textId="77777777" w:rsidR="009E342A" w:rsidRPr="00520861" w:rsidRDefault="009E342A" w:rsidP="00292D2E">
            <w:pPr>
              <w:widowControl w:val="0"/>
              <w:spacing w:line="360" w:lineRule="auto"/>
              <w:jc w:val="right"/>
              <w:rPr>
                <w:sz w:val="28"/>
                <w:szCs w:val="28"/>
              </w:rPr>
            </w:pPr>
          </w:p>
          <w:p w14:paraId="23201DDB" w14:textId="77777777" w:rsidR="009E342A" w:rsidRPr="00520861" w:rsidRDefault="00C93649" w:rsidP="00292D2E">
            <w:pPr>
              <w:widowControl w:val="0"/>
              <w:spacing w:line="360" w:lineRule="auto"/>
              <w:jc w:val="right"/>
              <w:rPr>
                <w:sz w:val="28"/>
                <w:szCs w:val="28"/>
              </w:rPr>
            </w:pPr>
            <w:r w:rsidRPr="00520861">
              <w:rPr>
                <w:sz w:val="28"/>
                <w:szCs w:val="28"/>
              </w:rPr>
              <w:t>284</w:t>
            </w:r>
          </w:p>
        </w:tc>
      </w:tr>
      <w:tr w:rsidR="009E342A" w:rsidRPr="00520861" w14:paraId="7895E6B2" w14:textId="77777777" w:rsidTr="00032B7F">
        <w:tc>
          <w:tcPr>
            <w:tcW w:w="9606" w:type="dxa"/>
            <w:shd w:val="clear" w:color="auto" w:fill="auto"/>
          </w:tcPr>
          <w:p w14:paraId="2C6A991C" w14:textId="77777777" w:rsidR="009E342A" w:rsidRPr="00520861" w:rsidRDefault="009E342A" w:rsidP="00292D2E">
            <w:pPr>
              <w:widowControl w:val="0"/>
              <w:spacing w:line="360" w:lineRule="auto"/>
              <w:ind w:left="284"/>
              <w:rPr>
                <w:sz w:val="28"/>
                <w:szCs w:val="28"/>
              </w:rPr>
            </w:pPr>
            <w:r w:rsidRPr="00520861">
              <w:rPr>
                <w:sz w:val="28"/>
                <w:szCs w:val="28"/>
              </w:rPr>
              <w:t>6.6</w:t>
            </w:r>
            <w:r w:rsidR="00130D37" w:rsidRPr="00520861">
              <w:rPr>
                <w:sz w:val="28"/>
                <w:szCs w:val="28"/>
              </w:rPr>
              <w:t>.</w:t>
            </w:r>
            <w:r w:rsidRPr="00520861">
              <w:rPr>
                <w:sz w:val="28"/>
                <w:szCs w:val="28"/>
              </w:rPr>
              <w:t xml:space="preserve"> </w:t>
            </w:r>
            <w:r w:rsidR="00130D37" w:rsidRPr="00520861">
              <w:rPr>
                <w:sz w:val="28"/>
                <w:szCs w:val="28"/>
              </w:rPr>
              <w:t>Результати виявлення</w:t>
            </w:r>
            <w:r w:rsidR="00087410" w:rsidRPr="00520861">
              <w:rPr>
                <w:sz w:val="28"/>
                <w:szCs w:val="28"/>
              </w:rPr>
              <w:t xml:space="preserve"> асоціації між поліморфізмом</w:t>
            </w:r>
            <w:r w:rsidR="00130D37" w:rsidRPr="00520861">
              <w:rPr>
                <w:sz w:val="28"/>
                <w:szCs w:val="28"/>
              </w:rPr>
              <w:t xml:space="preserve"> генів </w:t>
            </w:r>
            <w:r w:rsidR="00130D37" w:rsidRPr="00520861">
              <w:rPr>
                <w:i/>
                <w:sz w:val="28"/>
                <w:szCs w:val="28"/>
              </w:rPr>
              <w:t xml:space="preserve">CYP19A1 </w:t>
            </w:r>
            <w:r w:rsidR="00130D37" w:rsidRPr="00520861">
              <w:rPr>
                <w:sz w:val="28"/>
                <w:szCs w:val="28"/>
              </w:rPr>
              <w:t>[rs2414096</w:t>
            </w:r>
            <w:r w:rsidR="00130D37" w:rsidRPr="00520861">
              <w:rPr>
                <w:i/>
                <w:sz w:val="28"/>
                <w:szCs w:val="28"/>
              </w:rPr>
              <w:t xml:space="preserve">, </w:t>
            </w:r>
            <w:r w:rsidR="00130D37" w:rsidRPr="00520861">
              <w:rPr>
                <w:sz w:val="28"/>
                <w:szCs w:val="28"/>
              </w:rPr>
              <w:t xml:space="preserve">rs936306], </w:t>
            </w:r>
            <w:r w:rsidR="00130D37" w:rsidRPr="00520861">
              <w:rPr>
                <w:i/>
                <w:sz w:val="28"/>
                <w:szCs w:val="28"/>
              </w:rPr>
              <w:t>ESR1</w:t>
            </w:r>
            <w:r w:rsidR="00052253" w:rsidRPr="00520861">
              <w:rPr>
                <w:i/>
                <w:sz w:val="28"/>
                <w:szCs w:val="28"/>
              </w:rPr>
              <w:t xml:space="preserve"> </w:t>
            </w:r>
            <w:r w:rsidR="00130D37" w:rsidRPr="00520861">
              <w:rPr>
                <w:sz w:val="28"/>
                <w:szCs w:val="28"/>
              </w:rPr>
              <w:t>[rs2234693</w:t>
            </w:r>
            <w:r w:rsidR="00130D37" w:rsidRPr="00520861">
              <w:rPr>
                <w:i/>
                <w:sz w:val="28"/>
                <w:szCs w:val="28"/>
              </w:rPr>
              <w:t xml:space="preserve">, </w:t>
            </w:r>
            <w:r w:rsidR="00130D37" w:rsidRPr="00520861">
              <w:rPr>
                <w:sz w:val="28"/>
                <w:szCs w:val="28"/>
              </w:rPr>
              <w:t xml:space="preserve">rs9340799], </w:t>
            </w:r>
            <w:r w:rsidR="00130D37" w:rsidRPr="00520861">
              <w:rPr>
                <w:i/>
                <w:sz w:val="28"/>
                <w:szCs w:val="28"/>
              </w:rPr>
              <w:t>RANKL</w:t>
            </w:r>
            <w:r w:rsidR="00130D37" w:rsidRPr="00520861">
              <w:rPr>
                <w:sz w:val="28"/>
                <w:szCs w:val="28"/>
              </w:rPr>
              <w:t xml:space="preserve"> [rs9594738, rs9594759]</w:t>
            </w:r>
            <w:r w:rsidR="00130D37" w:rsidRPr="00520861">
              <w:rPr>
                <w:i/>
                <w:sz w:val="28"/>
                <w:szCs w:val="28"/>
              </w:rPr>
              <w:t xml:space="preserve">, IL6 </w:t>
            </w:r>
            <w:r w:rsidR="00130D37" w:rsidRPr="00520861">
              <w:rPr>
                <w:bCs/>
                <w:sz w:val="28"/>
                <w:szCs w:val="28"/>
              </w:rPr>
              <w:t>[</w:t>
            </w:r>
            <w:r w:rsidR="00130D37" w:rsidRPr="00520861">
              <w:rPr>
                <w:sz w:val="28"/>
                <w:szCs w:val="28"/>
              </w:rPr>
              <w:t>rs1800796]</w:t>
            </w:r>
            <w:r w:rsidR="00130D37" w:rsidRPr="00520861">
              <w:rPr>
                <w:i/>
                <w:sz w:val="28"/>
                <w:szCs w:val="28"/>
              </w:rPr>
              <w:t>, IL1</w:t>
            </w:r>
            <w:r w:rsidR="00130D37" w:rsidRPr="00520861">
              <w:rPr>
                <w:i/>
                <w:sz w:val="28"/>
                <w:szCs w:val="28"/>
              </w:rPr>
              <w:sym w:font="Symbol" w:char="F062"/>
            </w:r>
            <w:r w:rsidR="00130D37" w:rsidRPr="00520861">
              <w:rPr>
                <w:i/>
                <w:sz w:val="28"/>
                <w:szCs w:val="28"/>
              </w:rPr>
              <w:t xml:space="preserve"> </w:t>
            </w:r>
            <w:r w:rsidR="00130D37" w:rsidRPr="00520861">
              <w:rPr>
                <w:sz w:val="28"/>
                <w:szCs w:val="28"/>
              </w:rPr>
              <w:t xml:space="preserve">[rs1143627] і </w:t>
            </w:r>
            <w:r w:rsidR="00130D37" w:rsidRPr="00520861">
              <w:rPr>
                <w:i/>
                <w:sz w:val="28"/>
                <w:szCs w:val="28"/>
              </w:rPr>
              <w:t xml:space="preserve">IL10 </w:t>
            </w:r>
            <w:r w:rsidR="00130D37" w:rsidRPr="00520861">
              <w:rPr>
                <w:sz w:val="28"/>
                <w:szCs w:val="28"/>
              </w:rPr>
              <w:t xml:space="preserve">[rs1800896] та ризиком розвитку раннього дитячого карієсу в осіб, які народилися </w:t>
            </w:r>
            <w:proofErr w:type="spellStart"/>
            <w:r w:rsidR="00087410" w:rsidRPr="00520861">
              <w:rPr>
                <w:sz w:val="28"/>
                <w:szCs w:val="28"/>
              </w:rPr>
              <w:t>макрос</w:t>
            </w:r>
            <w:r w:rsidR="00464C73" w:rsidRPr="00520861">
              <w:rPr>
                <w:sz w:val="28"/>
                <w:szCs w:val="28"/>
              </w:rPr>
              <w:t>омами</w:t>
            </w:r>
            <w:proofErr w:type="spellEnd"/>
            <w:r w:rsidR="00464C73" w:rsidRPr="00520861">
              <w:rPr>
                <w:sz w:val="28"/>
                <w:szCs w:val="28"/>
              </w:rPr>
              <w:t>…</w:t>
            </w:r>
            <w:r w:rsidR="00087410" w:rsidRPr="00520861">
              <w:rPr>
                <w:sz w:val="28"/>
                <w:szCs w:val="28"/>
              </w:rPr>
              <w:t>.</w:t>
            </w:r>
          </w:p>
        </w:tc>
        <w:tc>
          <w:tcPr>
            <w:tcW w:w="708" w:type="dxa"/>
            <w:shd w:val="clear" w:color="auto" w:fill="auto"/>
          </w:tcPr>
          <w:p w14:paraId="10809D45" w14:textId="77777777" w:rsidR="009E342A" w:rsidRPr="00520861" w:rsidRDefault="009E342A" w:rsidP="00292D2E">
            <w:pPr>
              <w:widowControl w:val="0"/>
              <w:spacing w:line="360" w:lineRule="auto"/>
              <w:jc w:val="right"/>
              <w:rPr>
                <w:sz w:val="28"/>
                <w:szCs w:val="28"/>
              </w:rPr>
            </w:pPr>
          </w:p>
          <w:p w14:paraId="311E083B" w14:textId="77777777" w:rsidR="00087410" w:rsidRPr="00520861" w:rsidRDefault="00087410" w:rsidP="00292D2E">
            <w:pPr>
              <w:widowControl w:val="0"/>
              <w:spacing w:line="360" w:lineRule="auto"/>
              <w:jc w:val="right"/>
              <w:rPr>
                <w:sz w:val="28"/>
                <w:szCs w:val="28"/>
              </w:rPr>
            </w:pPr>
          </w:p>
          <w:p w14:paraId="682E80B2" w14:textId="77777777" w:rsidR="00087410" w:rsidRPr="00520861" w:rsidRDefault="00087410" w:rsidP="00292D2E">
            <w:pPr>
              <w:widowControl w:val="0"/>
              <w:spacing w:line="360" w:lineRule="auto"/>
              <w:jc w:val="right"/>
              <w:rPr>
                <w:sz w:val="28"/>
                <w:szCs w:val="28"/>
              </w:rPr>
            </w:pPr>
          </w:p>
          <w:p w14:paraId="5B0C0E85" w14:textId="77777777" w:rsidR="009E342A" w:rsidRPr="00520861" w:rsidRDefault="00C93649" w:rsidP="00292D2E">
            <w:pPr>
              <w:widowControl w:val="0"/>
              <w:spacing w:line="360" w:lineRule="auto"/>
              <w:jc w:val="right"/>
              <w:rPr>
                <w:sz w:val="28"/>
                <w:szCs w:val="28"/>
              </w:rPr>
            </w:pPr>
            <w:r w:rsidRPr="00520861">
              <w:rPr>
                <w:sz w:val="28"/>
                <w:szCs w:val="28"/>
              </w:rPr>
              <w:t>289</w:t>
            </w:r>
          </w:p>
        </w:tc>
      </w:tr>
      <w:tr w:rsidR="00883A96" w:rsidRPr="00520861" w14:paraId="66C4BFFE" w14:textId="77777777" w:rsidTr="00032B7F">
        <w:tc>
          <w:tcPr>
            <w:tcW w:w="9606" w:type="dxa"/>
            <w:shd w:val="clear" w:color="auto" w:fill="auto"/>
          </w:tcPr>
          <w:p w14:paraId="29C02776" w14:textId="77777777" w:rsidR="00520816" w:rsidRPr="00520861" w:rsidRDefault="00087410" w:rsidP="00292D2E">
            <w:pPr>
              <w:widowControl w:val="0"/>
              <w:spacing w:line="360" w:lineRule="auto"/>
              <w:ind w:left="284"/>
              <w:rPr>
                <w:sz w:val="28"/>
                <w:szCs w:val="28"/>
              </w:rPr>
            </w:pPr>
            <w:r w:rsidRPr="00520861">
              <w:rPr>
                <w:sz w:val="28"/>
                <w:szCs w:val="28"/>
              </w:rPr>
              <w:t>6.7</w:t>
            </w:r>
            <w:r w:rsidR="00520816" w:rsidRPr="00520861">
              <w:rPr>
                <w:sz w:val="28"/>
                <w:szCs w:val="28"/>
              </w:rPr>
              <w:t xml:space="preserve">. Результати виявлення асоціації між </w:t>
            </w:r>
            <w:r w:rsidR="00490D14" w:rsidRPr="00520861">
              <w:rPr>
                <w:sz w:val="28"/>
                <w:szCs w:val="28"/>
              </w:rPr>
              <w:t>поліморфізмом</w:t>
            </w:r>
            <w:r w:rsidR="00520816" w:rsidRPr="00520861">
              <w:rPr>
                <w:sz w:val="28"/>
                <w:szCs w:val="28"/>
              </w:rPr>
              <w:t xml:space="preserve"> генів </w:t>
            </w:r>
            <w:r w:rsidR="00520816" w:rsidRPr="00520861">
              <w:rPr>
                <w:i/>
                <w:sz w:val="28"/>
                <w:szCs w:val="28"/>
              </w:rPr>
              <w:t xml:space="preserve">CYP19A1 </w:t>
            </w:r>
            <w:r w:rsidR="00520816" w:rsidRPr="00520861">
              <w:rPr>
                <w:sz w:val="28"/>
                <w:szCs w:val="28"/>
              </w:rPr>
              <w:t>[rs2414096</w:t>
            </w:r>
            <w:r w:rsidR="00520816" w:rsidRPr="00520861">
              <w:rPr>
                <w:i/>
                <w:sz w:val="28"/>
                <w:szCs w:val="28"/>
              </w:rPr>
              <w:t xml:space="preserve">, </w:t>
            </w:r>
            <w:r w:rsidR="00520816" w:rsidRPr="00520861">
              <w:rPr>
                <w:sz w:val="28"/>
                <w:szCs w:val="28"/>
              </w:rPr>
              <w:t xml:space="preserve">rs936306], </w:t>
            </w:r>
            <w:r w:rsidR="00520816" w:rsidRPr="00520861">
              <w:rPr>
                <w:i/>
                <w:sz w:val="28"/>
                <w:szCs w:val="28"/>
              </w:rPr>
              <w:t>ESR1</w:t>
            </w:r>
            <w:r w:rsidR="00052253" w:rsidRPr="00520861">
              <w:rPr>
                <w:i/>
                <w:sz w:val="28"/>
                <w:szCs w:val="28"/>
              </w:rPr>
              <w:t xml:space="preserve"> </w:t>
            </w:r>
            <w:r w:rsidR="00520816" w:rsidRPr="00520861">
              <w:rPr>
                <w:sz w:val="28"/>
                <w:szCs w:val="28"/>
              </w:rPr>
              <w:t>[rs2234693</w:t>
            </w:r>
            <w:r w:rsidR="00520816" w:rsidRPr="00520861">
              <w:rPr>
                <w:i/>
                <w:sz w:val="28"/>
                <w:szCs w:val="28"/>
              </w:rPr>
              <w:t xml:space="preserve">, </w:t>
            </w:r>
            <w:r w:rsidR="00520816" w:rsidRPr="00520861">
              <w:rPr>
                <w:sz w:val="28"/>
                <w:szCs w:val="28"/>
              </w:rPr>
              <w:t xml:space="preserve">rs9340799], </w:t>
            </w:r>
            <w:r w:rsidR="00520816" w:rsidRPr="00520861">
              <w:rPr>
                <w:i/>
                <w:sz w:val="28"/>
                <w:szCs w:val="28"/>
              </w:rPr>
              <w:t>RANKL</w:t>
            </w:r>
            <w:r w:rsidR="00520816" w:rsidRPr="00520861">
              <w:rPr>
                <w:sz w:val="28"/>
                <w:szCs w:val="28"/>
              </w:rPr>
              <w:t xml:space="preserve"> [rs9594738, rs9594759]</w:t>
            </w:r>
            <w:r w:rsidR="00520816" w:rsidRPr="00520861">
              <w:rPr>
                <w:i/>
                <w:sz w:val="28"/>
                <w:szCs w:val="28"/>
              </w:rPr>
              <w:t xml:space="preserve">, IL6 </w:t>
            </w:r>
            <w:r w:rsidR="00520816" w:rsidRPr="00520861">
              <w:rPr>
                <w:bCs/>
                <w:sz w:val="28"/>
                <w:szCs w:val="28"/>
              </w:rPr>
              <w:t>[</w:t>
            </w:r>
            <w:r w:rsidR="00520816" w:rsidRPr="00520861">
              <w:rPr>
                <w:sz w:val="28"/>
                <w:szCs w:val="28"/>
              </w:rPr>
              <w:t>rs1800796]</w:t>
            </w:r>
            <w:r w:rsidR="00520816" w:rsidRPr="00520861">
              <w:rPr>
                <w:i/>
                <w:sz w:val="28"/>
                <w:szCs w:val="28"/>
              </w:rPr>
              <w:t>, IL1</w:t>
            </w:r>
            <w:r w:rsidR="00520816" w:rsidRPr="00520861">
              <w:rPr>
                <w:i/>
                <w:sz w:val="28"/>
                <w:szCs w:val="28"/>
              </w:rPr>
              <w:sym w:font="Symbol" w:char="F062"/>
            </w:r>
            <w:r w:rsidR="00520816" w:rsidRPr="00520861">
              <w:rPr>
                <w:i/>
                <w:sz w:val="28"/>
                <w:szCs w:val="28"/>
              </w:rPr>
              <w:t xml:space="preserve"> </w:t>
            </w:r>
            <w:r w:rsidR="00520816" w:rsidRPr="00520861">
              <w:rPr>
                <w:sz w:val="28"/>
                <w:szCs w:val="28"/>
              </w:rPr>
              <w:t xml:space="preserve">[rs1143627], </w:t>
            </w:r>
            <w:r w:rsidR="00520816" w:rsidRPr="00520861">
              <w:rPr>
                <w:i/>
                <w:sz w:val="28"/>
                <w:szCs w:val="28"/>
              </w:rPr>
              <w:t xml:space="preserve">IL10 </w:t>
            </w:r>
            <w:r w:rsidR="003745B5" w:rsidRPr="00520861">
              <w:rPr>
                <w:sz w:val="28"/>
                <w:szCs w:val="28"/>
              </w:rPr>
              <w:t xml:space="preserve">[rs1800896] </w:t>
            </w:r>
            <w:r w:rsidR="00520816" w:rsidRPr="00520861">
              <w:rPr>
                <w:sz w:val="28"/>
                <w:szCs w:val="28"/>
              </w:rPr>
              <w:t xml:space="preserve"> </w:t>
            </w:r>
            <w:r w:rsidR="003745B5" w:rsidRPr="00520861">
              <w:rPr>
                <w:sz w:val="28"/>
                <w:szCs w:val="28"/>
              </w:rPr>
              <w:t>і</w:t>
            </w:r>
            <w:r w:rsidR="003745B5" w:rsidRPr="00520861">
              <w:rPr>
                <w:i/>
                <w:sz w:val="28"/>
                <w:szCs w:val="28"/>
              </w:rPr>
              <w:t xml:space="preserve"> </w:t>
            </w:r>
            <w:r w:rsidR="00520816" w:rsidRPr="00520861">
              <w:rPr>
                <w:i/>
                <w:sz w:val="28"/>
                <w:szCs w:val="28"/>
              </w:rPr>
              <w:t>VDR</w:t>
            </w:r>
            <w:r w:rsidR="00520816" w:rsidRPr="00520861">
              <w:rPr>
                <w:sz w:val="28"/>
                <w:szCs w:val="28"/>
              </w:rPr>
              <w:t xml:space="preserve"> [rs1544410, rs10735810] та ризиком розвитку карієсу постійних зуб</w:t>
            </w:r>
            <w:r w:rsidR="00ED5B63" w:rsidRPr="00520861">
              <w:rPr>
                <w:sz w:val="28"/>
                <w:szCs w:val="28"/>
              </w:rPr>
              <w:t xml:space="preserve">ів в осіб, які народилися </w:t>
            </w:r>
            <w:proofErr w:type="spellStart"/>
            <w:r w:rsidR="00ED5B63" w:rsidRPr="00520861">
              <w:rPr>
                <w:sz w:val="28"/>
                <w:szCs w:val="28"/>
              </w:rPr>
              <w:t>макро</w:t>
            </w:r>
            <w:r w:rsidR="00520816" w:rsidRPr="00520861">
              <w:rPr>
                <w:sz w:val="28"/>
                <w:szCs w:val="28"/>
              </w:rPr>
              <w:t>сомами</w:t>
            </w:r>
            <w:proofErr w:type="spellEnd"/>
            <w:r w:rsidRPr="00520861">
              <w:rPr>
                <w:sz w:val="28"/>
                <w:szCs w:val="28"/>
              </w:rPr>
              <w:t>…</w:t>
            </w:r>
            <w:r w:rsidR="003745B5" w:rsidRPr="00520861">
              <w:rPr>
                <w:sz w:val="28"/>
                <w:szCs w:val="28"/>
              </w:rPr>
              <w:t>…………………………</w:t>
            </w:r>
            <w:r w:rsidRPr="00520861">
              <w:rPr>
                <w:sz w:val="28"/>
                <w:szCs w:val="28"/>
              </w:rPr>
              <w:t>……</w:t>
            </w:r>
            <w:r w:rsidR="003D49A8" w:rsidRPr="00520861">
              <w:rPr>
                <w:sz w:val="28"/>
                <w:szCs w:val="28"/>
              </w:rPr>
              <w:t>……</w:t>
            </w:r>
            <w:r w:rsidR="00572E6A" w:rsidRPr="00520861">
              <w:rPr>
                <w:sz w:val="28"/>
                <w:szCs w:val="28"/>
              </w:rPr>
              <w:t>…...</w:t>
            </w:r>
            <w:r w:rsidR="003D49A8" w:rsidRPr="00520861">
              <w:rPr>
                <w:sz w:val="28"/>
                <w:szCs w:val="28"/>
              </w:rPr>
              <w:t>………</w:t>
            </w:r>
            <w:r w:rsidRPr="00520861">
              <w:rPr>
                <w:sz w:val="28"/>
                <w:szCs w:val="28"/>
              </w:rPr>
              <w:t>.</w:t>
            </w:r>
          </w:p>
        </w:tc>
        <w:tc>
          <w:tcPr>
            <w:tcW w:w="708" w:type="dxa"/>
            <w:shd w:val="clear" w:color="auto" w:fill="auto"/>
          </w:tcPr>
          <w:p w14:paraId="4BB6A9D1" w14:textId="77777777" w:rsidR="00520816" w:rsidRPr="00520861" w:rsidRDefault="00520816" w:rsidP="00292D2E">
            <w:pPr>
              <w:widowControl w:val="0"/>
              <w:spacing w:line="360" w:lineRule="auto"/>
              <w:jc w:val="right"/>
              <w:rPr>
                <w:sz w:val="28"/>
                <w:szCs w:val="28"/>
              </w:rPr>
            </w:pPr>
          </w:p>
          <w:p w14:paraId="399D897F" w14:textId="77777777" w:rsidR="00087410" w:rsidRPr="00520861" w:rsidRDefault="00087410" w:rsidP="00292D2E">
            <w:pPr>
              <w:widowControl w:val="0"/>
              <w:spacing w:line="360" w:lineRule="auto"/>
              <w:jc w:val="right"/>
              <w:rPr>
                <w:sz w:val="28"/>
                <w:szCs w:val="28"/>
              </w:rPr>
            </w:pPr>
          </w:p>
          <w:p w14:paraId="6BB0AD6B" w14:textId="77777777" w:rsidR="00087410" w:rsidRPr="00520861" w:rsidRDefault="00087410" w:rsidP="00292D2E">
            <w:pPr>
              <w:widowControl w:val="0"/>
              <w:spacing w:line="360" w:lineRule="auto"/>
              <w:jc w:val="right"/>
              <w:rPr>
                <w:sz w:val="28"/>
                <w:szCs w:val="28"/>
              </w:rPr>
            </w:pPr>
          </w:p>
          <w:p w14:paraId="73F9CB5E" w14:textId="77777777" w:rsidR="00087410" w:rsidRPr="00520861" w:rsidRDefault="00087410" w:rsidP="00292D2E">
            <w:pPr>
              <w:widowControl w:val="0"/>
              <w:spacing w:line="360" w:lineRule="auto"/>
              <w:jc w:val="right"/>
              <w:rPr>
                <w:sz w:val="28"/>
                <w:szCs w:val="28"/>
              </w:rPr>
            </w:pPr>
          </w:p>
          <w:p w14:paraId="50FBCBC2" w14:textId="77777777" w:rsidR="00087410" w:rsidRPr="00520861" w:rsidRDefault="00C93649" w:rsidP="00292D2E">
            <w:pPr>
              <w:widowControl w:val="0"/>
              <w:spacing w:line="360" w:lineRule="auto"/>
              <w:jc w:val="right"/>
              <w:rPr>
                <w:sz w:val="28"/>
                <w:szCs w:val="28"/>
              </w:rPr>
            </w:pPr>
            <w:r w:rsidRPr="00520861">
              <w:rPr>
                <w:sz w:val="28"/>
                <w:szCs w:val="28"/>
              </w:rPr>
              <w:t>292</w:t>
            </w:r>
          </w:p>
        </w:tc>
      </w:tr>
      <w:tr w:rsidR="00883A96" w:rsidRPr="00520861" w14:paraId="77D9F4AB" w14:textId="77777777" w:rsidTr="00032B7F">
        <w:tc>
          <w:tcPr>
            <w:tcW w:w="9606" w:type="dxa"/>
            <w:shd w:val="clear" w:color="auto" w:fill="auto"/>
          </w:tcPr>
          <w:p w14:paraId="25067068" w14:textId="77777777" w:rsidR="00883A96" w:rsidRPr="00520861" w:rsidRDefault="00883A96" w:rsidP="00292D2E">
            <w:pPr>
              <w:widowControl w:val="0"/>
              <w:spacing w:line="360" w:lineRule="auto"/>
              <w:ind w:left="284"/>
              <w:rPr>
                <w:sz w:val="28"/>
                <w:szCs w:val="28"/>
              </w:rPr>
            </w:pPr>
            <w:r w:rsidRPr="00520861">
              <w:rPr>
                <w:spacing w:val="-2"/>
                <w:sz w:val="28"/>
                <w:szCs w:val="28"/>
              </w:rPr>
              <w:t xml:space="preserve">6.8. Результати виявлення асоціації між поліморфізмом гена </w:t>
            </w:r>
            <w:r w:rsidRPr="00520861">
              <w:rPr>
                <w:i/>
                <w:spacing w:val="-2"/>
                <w:sz w:val="28"/>
                <w:szCs w:val="28"/>
              </w:rPr>
              <w:t>BMP-7</w:t>
            </w:r>
            <w:r w:rsidRPr="00520861">
              <w:rPr>
                <w:spacing w:val="-2"/>
                <w:sz w:val="28"/>
                <w:szCs w:val="28"/>
              </w:rPr>
              <w:t xml:space="preserve"> </w:t>
            </w:r>
            <w:r w:rsidRPr="00520861">
              <w:rPr>
                <w:spacing w:val="-4"/>
                <w:sz w:val="28"/>
                <w:szCs w:val="28"/>
              </w:rPr>
              <w:t>[rs72626594]</w:t>
            </w:r>
            <w:r w:rsidR="00F9224D" w:rsidRPr="00520861">
              <w:rPr>
                <w:spacing w:val="-2"/>
                <w:sz w:val="28"/>
                <w:szCs w:val="28"/>
              </w:rPr>
              <w:t xml:space="preserve"> та карієсом постійних зубів в</w:t>
            </w:r>
            <w:r w:rsidRPr="00520861">
              <w:rPr>
                <w:spacing w:val="-2"/>
                <w:sz w:val="28"/>
                <w:szCs w:val="28"/>
              </w:rPr>
              <w:t xml:space="preserve"> осіб, які народилися </w:t>
            </w:r>
            <w:proofErr w:type="spellStart"/>
            <w:r w:rsidRPr="00520861">
              <w:rPr>
                <w:spacing w:val="-2"/>
                <w:sz w:val="28"/>
                <w:szCs w:val="28"/>
              </w:rPr>
              <w:t>макросомами</w:t>
            </w:r>
            <w:proofErr w:type="spellEnd"/>
          </w:p>
        </w:tc>
        <w:tc>
          <w:tcPr>
            <w:tcW w:w="708" w:type="dxa"/>
            <w:shd w:val="clear" w:color="auto" w:fill="auto"/>
          </w:tcPr>
          <w:p w14:paraId="0313064C" w14:textId="77777777" w:rsidR="008E76BF" w:rsidRPr="00520861" w:rsidRDefault="008E76BF" w:rsidP="00292D2E">
            <w:pPr>
              <w:widowControl w:val="0"/>
              <w:spacing w:line="360" w:lineRule="auto"/>
              <w:jc w:val="right"/>
              <w:rPr>
                <w:sz w:val="28"/>
                <w:szCs w:val="28"/>
              </w:rPr>
            </w:pPr>
          </w:p>
          <w:p w14:paraId="0BE55426" w14:textId="77777777" w:rsidR="00883A96" w:rsidRPr="00520861" w:rsidRDefault="00C93649" w:rsidP="00292D2E">
            <w:pPr>
              <w:widowControl w:val="0"/>
              <w:spacing w:line="360" w:lineRule="auto"/>
              <w:jc w:val="right"/>
              <w:rPr>
                <w:sz w:val="28"/>
                <w:szCs w:val="28"/>
              </w:rPr>
            </w:pPr>
            <w:r w:rsidRPr="00520861">
              <w:rPr>
                <w:sz w:val="28"/>
                <w:szCs w:val="28"/>
              </w:rPr>
              <w:t>297</w:t>
            </w:r>
          </w:p>
        </w:tc>
      </w:tr>
      <w:tr w:rsidR="009E342A" w:rsidRPr="00520861" w14:paraId="2565B27B" w14:textId="77777777" w:rsidTr="00032B7F">
        <w:tc>
          <w:tcPr>
            <w:tcW w:w="9606" w:type="dxa"/>
            <w:shd w:val="clear" w:color="auto" w:fill="auto"/>
          </w:tcPr>
          <w:p w14:paraId="7F8C4429" w14:textId="77777777" w:rsidR="009E342A" w:rsidRPr="00520861" w:rsidRDefault="009E342A" w:rsidP="00292D2E">
            <w:pPr>
              <w:widowControl w:val="0"/>
              <w:spacing w:line="360" w:lineRule="auto"/>
              <w:rPr>
                <w:sz w:val="28"/>
                <w:szCs w:val="28"/>
              </w:rPr>
            </w:pPr>
            <w:r w:rsidRPr="00520861">
              <w:rPr>
                <w:sz w:val="28"/>
                <w:szCs w:val="28"/>
              </w:rPr>
              <w:t xml:space="preserve">РОЗДІЛ 7. </w:t>
            </w:r>
            <w:r w:rsidR="004619C5" w:rsidRPr="00520861">
              <w:rPr>
                <w:sz w:val="28"/>
                <w:szCs w:val="28"/>
              </w:rPr>
              <w:t xml:space="preserve">ОСОБЛИВОСТІ ДІАГНОСТИКИ ТА ПРОГНОЗУВАННЯ СТАНУ ТКАНИН ПАРОДОНТА В ОСІБ РІЗНОГО ВІКУ ПОПУЛЯЦІЇ ХАРКІВСЬКОЇ ОБЛАСТІ ТА ПРИЛЕГЛИХ (ДОНЕЦЬКОЇ, ЛУГАНСЬКОЇ) ОБЛАСТЕЙ, ЯКІ НАРОДИЛИСЯ З МАКРОСОМІЄЮ </w:t>
            </w:r>
            <w:r w:rsidRPr="00520861">
              <w:rPr>
                <w:sz w:val="28"/>
                <w:szCs w:val="28"/>
              </w:rPr>
              <w:t>…</w:t>
            </w:r>
            <w:r w:rsidR="00572E6A" w:rsidRPr="00520861">
              <w:rPr>
                <w:sz w:val="28"/>
                <w:szCs w:val="28"/>
              </w:rPr>
              <w:t>……………….</w:t>
            </w:r>
            <w:r w:rsidRPr="00520861">
              <w:rPr>
                <w:sz w:val="28"/>
                <w:szCs w:val="28"/>
              </w:rPr>
              <w:t>……..</w:t>
            </w:r>
          </w:p>
        </w:tc>
        <w:tc>
          <w:tcPr>
            <w:tcW w:w="708" w:type="dxa"/>
            <w:shd w:val="clear" w:color="auto" w:fill="auto"/>
          </w:tcPr>
          <w:p w14:paraId="431FDA25" w14:textId="77777777" w:rsidR="009E342A" w:rsidRPr="00520861" w:rsidRDefault="009E342A" w:rsidP="00292D2E">
            <w:pPr>
              <w:widowControl w:val="0"/>
              <w:spacing w:line="360" w:lineRule="auto"/>
              <w:jc w:val="right"/>
              <w:rPr>
                <w:sz w:val="28"/>
                <w:szCs w:val="28"/>
              </w:rPr>
            </w:pPr>
          </w:p>
          <w:p w14:paraId="3800A405" w14:textId="77777777" w:rsidR="009E342A" w:rsidRPr="00520861" w:rsidRDefault="009E342A" w:rsidP="00292D2E">
            <w:pPr>
              <w:widowControl w:val="0"/>
              <w:spacing w:line="360" w:lineRule="auto"/>
              <w:jc w:val="right"/>
              <w:rPr>
                <w:sz w:val="28"/>
                <w:szCs w:val="28"/>
              </w:rPr>
            </w:pPr>
          </w:p>
          <w:p w14:paraId="0BA120D9" w14:textId="77777777" w:rsidR="00572E6A" w:rsidRPr="00520861" w:rsidRDefault="00572E6A" w:rsidP="00292D2E">
            <w:pPr>
              <w:widowControl w:val="0"/>
              <w:spacing w:line="360" w:lineRule="auto"/>
              <w:jc w:val="right"/>
              <w:rPr>
                <w:sz w:val="28"/>
                <w:szCs w:val="28"/>
              </w:rPr>
            </w:pPr>
          </w:p>
          <w:p w14:paraId="3F75CDD1" w14:textId="77777777" w:rsidR="009E342A" w:rsidRPr="00520861" w:rsidRDefault="00C93649" w:rsidP="00292D2E">
            <w:pPr>
              <w:widowControl w:val="0"/>
              <w:spacing w:line="360" w:lineRule="auto"/>
              <w:jc w:val="right"/>
              <w:rPr>
                <w:sz w:val="28"/>
                <w:szCs w:val="28"/>
              </w:rPr>
            </w:pPr>
            <w:r w:rsidRPr="00520861">
              <w:rPr>
                <w:sz w:val="28"/>
                <w:szCs w:val="28"/>
              </w:rPr>
              <w:t>300</w:t>
            </w:r>
          </w:p>
        </w:tc>
      </w:tr>
      <w:tr w:rsidR="009E342A" w:rsidRPr="00520861" w14:paraId="2E48BBA7" w14:textId="77777777" w:rsidTr="00032B7F">
        <w:tc>
          <w:tcPr>
            <w:tcW w:w="9606" w:type="dxa"/>
            <w:shd w:val="clear" w:color="auto" w:fill="auto"/>
          </w:tcPr>
          <w:p w14:paraId="497CCD35" w14:textId="77777777" w:rsidR="00572E6A" w:rsidRPr="00520861" w:rsidRDefault="001835AB" w:rsidP="00292D2E">
            <w:pPr>
              <w:widowControl w:val="0"/>
              <w:spacing w:line="360" w:lineRule="auto"/>
              <w:ind w:left="567"/>
              <w:rPr>
                <w:sz w:val="28"/>
                <w:szCs w:val="28"/>
              </w:rPr>
            </w:pPr>
            <w:r w:rsidRPr="00520861">
              <w:rPr>
                <w:sz w:val="28"/>
                <w:szCs w:val="28"/>
              </w:rPr>
              <w:lastRenderedPageBreak/>
              <w:t xml:space="preserve">7.1. </w:t>
            </w:r>
            <w:r w:rsidR="0079609C" w:rsidRPr="00520861">
              <w:rPr>
                <w:sz w:val="28"/>
                <w:szCs w:val="28"/>
              </w:rPr>
              <w:t>Результати вивчення частоти захворюванос</w:t>
            </w:r>
            <w:r w:rsidR="00091BAD" w:rsidRPr="00520861">
              <w:rPr>
                <w:sz w:val="28"/>
                <w:szCs w:val="28"/>
              </w:rPr>
              <w:t xml:space="preserve">ті на хронічний </w:t>
            </w:r>
          </w:p>
          <w:p w14:paraId="53D950C1" w14:textId="77777777" w:rsidR="009E342A" w:rsidRPr="00520861" w:rsidRDefault="00091BAD" w:rsidP="00292D2E">
            <w:pPr>
              <w:widowControl w:val="0"/>
              <w:spacing w:line="360" w:lineRule="auto"/>
              <w:ind w:left="567"/>
              <w:rPr>
                <w:sz w:val="28"/>
                <w:szCs w:val="28"/>
              </w:rPr>
            </w:pPr>
            <w:r w:rsidRPr="00520861">
              <w:rPr>
                <w:sz w:val="28"/>
                <w:szCs w:val="28"/>
              </w:rPr>
              <w:t>катаральний гін</w:t>
            </w:r>
            <w:r w:rsidR="0079609C" w:rsidRPr="00520861">
              <w:rPr>
                <w:sz w:val="28"/>
                <w:szCs w:val="28"/>
              </w:rPr>
              <w:t xml:space="preserve">гівіт </w:t>
            </w:r>
            <w:r w:rsidR="0074325F" w:rsidRPr="00520861">
              <w:rPr>
                <w:sz w:val="28"/>
                <w:szCs w:val="28"/>
              </w:rPr>
              <w:t xml:space="preserve">в період тимчасового прикусу (ВП-ІІІ) у </w:t>
            </w:r>
            <w:r w:rsidR="0079609C" w:rsidRPr="00520861">
              <w:rPr>
                <w:sz w:val="28"/>
                <w:szCs w:val="28"/>
              </w:rPr>
              <w:t xml:space="preserve">дітей, які народилися </w:t>
            </w:r>
            <w:proofErr w:type="spellStart"/>
            <w:r w:rsidR="0079609C" w:rsidRPr="00520861">
              <w:rPr>
                <w:sz w:val="28"/>
                <w:szCs w:val="28"/>
              </w:rPr>
              <w:t>макросомами</w:t>
            </w:r>
            <w:proofErr w:type="spellEnd"/>
            <w:r w:rsidR="009E342A" w:rsidRPr="00520861">
              <w:rPr>
                <w:sz w:val="28"/>
                <w:szCs w:val="28"/>
              </w:rPr>
              <w:t>.……</w:t>
            </w:r>
            <w:r w:rsidR="00572E6A" w:rsidRPr="00520861">
              <w:rPr>
                <w:sz w:val="28"/>
                <w:szCs w:val="28"/>
              </w:rPr>
              <w:t>……...</w:t>
            </w:r>
            <w:r w:rsidR="0079609C" w:rsidRPr="00520861">
              <w:rPr>
                <w:sz w:val="28"/>
                <w:szCs w:val="28"/>
              </w:rPr>
              <w:t>……………………………………..</w:t>
            </w:r>
            <w:r w:rsidR="009E342A" w:rsidRPr="00520861">
              <w:rPr>
                <w:sz w:val="28"/>
                <w:szCs w:val="28"/>
              </w:rPr>
              <w:t>…</w:t>
            </w:r>
          </w:p>
        </w:tc>
        <w:tc>
          <w:tcPr>
            <w:tcW w:w="708" w:type="dxa"/>
            <w:shd w:val="clear" w:color="auto" w:fill="auto"/>
          </w:tcPr>
          <w:p w14:paraId="52FBE889" w14:textId="77777777" w:rsidR="009E342A" w:rsidRPr="00520861" w:rsidRDefault="009E342A" w:rsidP="00292D2E">
            <w:pPr>
              <w:widowControl w:val="0"/>
              <w:spacing w:line="360" w:lineRule="auto"/>
              <w:jc w:val="right"/>
              <w:rPr>
                <w:sz w:val="28"/>
                <w:szCs w:val="28"/>
              </w:rPr>
            </w:pPr>
          </w:p>
          <w:p w14:paraId="2514A33E" w14:textId="77777777" w:rsidR="009E342A" w:rsidRPr="00520861" w:rsidRDefault="009E342A" w:rsidP="00292D2E">
            <w:pPr>
              <w:widowControl w:val="0"/>
              <w:spacing w:line="360" w:lineRule="auto"/>
              <w:jc w:val="right"/>
              <w:rPr>
                <w:sz w:val="28"/>
                <w:szCs w:val="28"/>
              </w:rPr>
            </w:pPr>
          </w:p>
          <w:p w14:paraId="23C74257" w14:textId="77777777" w:rsidR="009E342A" w:rsidRPr="00520861" w:rsidRDefault="00C93649" w:rsidP="00292D2E">
            <w:pPr>
              <w:widowControl w:val="0"/>
              <w:spacing w:line="360" w:lineRule="auto"/>
              <w:jc w:val="right"/>
              <w:rPr>
                <w:sz w:val="28"/>
                <w:szCs w:val="28"/>
              </w:rPr>
            </w:pPr>
            <w:r w:rsidRPr="00520861">
              <w:rPr>
                <w:sz w:val="28"/>
                <w:szCs w:val="28"/>
              </w:rPr>
              <w:t>300</w:t>
            </w:r>
          </w:p>
        </w:tc>
      </w:tr>
      <w:tr w:rsidR="009E342A" w:rsidRPr="00520861" w14:paraId="7388C2B7" w14:textId="77777777" w:rsidTr="00032B7F">
        <w:tc>
          <w:tcPr>
            <w:tcW w:w="9606" w:type="dxa"/>
            <w:shd w:val="clear" w:color="auto" w:fill="auto"/>
          </w:tcPr>
          <w:p w14:paraId="3753CA6A" w14:textId="77777777" w:rsidR="003C5B78" w:rsidRPr="00520861" w:rsidRDefault="009E342A" w:rsidP="00292D2E">
            <w:pPr>
              <w:widowControl w:val="0"/>
              <w:spacing w:line="360" w:lineRule="auto"/>
              <w:ind w:left="567"/>
              <w:rPr>
                <w:sz w:val="28"/>
                <w:szCs w:val="28"/>
              </w:rPr>
            </w:pPr>
            <w:r w:rsidRPr="00520861">
              <w:rPr>
                <w:sz w:val="28"/>
                <w:szCs w:val="28"/>
              </w:rPr>
              <w:t>7.2</w:t>
            </w:r>
            <w:r w:rsidR="00FA479C" w:rsidRPr="00520861">
              <w:rPr>
                <w:sz w:val="28"/>
                <w:szCs w:val="28"/>
              </w:rPr>
              <w:t>.</w:t>
            </w:r>
            <w:r w:rsidRPr="00520861">
              <w:rPr>
                <w:sz w:val="28"/>
                <w:szCs w:val="28"/>
              </w:rPr>
              <w:t xml:space="preserve"> </w:t>
            </w:r>
            <w:r w:rsidR="00091BAD" w:rsidRPr="00520861">
              <w:rPr>
                <w:sz w:val="28"/>
                <w:szCs w:val="28"/>
              </w:rPr>
              <w:t xml:space="preserve">Результати вивчення частоти захворюваності на хронічний </w:t>
            </w:r>
          </w:p>
          <w:p w14:paraId="248908B2" w14:textId="77777777" w:rsidR="009E342A" w:rsidRPr="00520861" w:rsidRDefault="00091BAD" w:rsidP="00292D2E">
            <w:pPr>
              <w:widowControl w:val="0"/>
              <w:spacing w:line="360" w:lineRule="auto"/>
              <w:ind w:left="567"/>
              <w:rPr>
                <w:sz w:val="28"/>
                <w:szCs w:val="28"/>
              </w:rPr>
            </w:pPr>
            <w:r w:rsidRPr="00520861">
              <w:rPr>
                <w:sz w:val="28"/>
                <w:szCs w:val="28"/>
              </w:rPr>
              <w:t xml:space="preserve">катаральний гінгівіт </w:t>
            </w:r>
            <w:r w:rsidR="0074325F" w:rsidRPr="00520861">
              <w:rPr>
                <w:sz w:val="28"/>
                <w:szCs w:val="28"/>
              </w:rPr>
              <w:t xml:space="preserve">в період змінного прикусу (ВП-ІV) у </w:t>
            </w:r>
            <w:r w:rsidR="00464C73" w:rsidRPr="00520861">
              <w:rPr>
                <w:sz w:val="28"/>
                <w:szCs w:val="28"/>
              </w:rPr>
              <w:t>дітей, які народилися</w:t>
            </w:r>
            <w:r w:rsidR="003C5B78" w:rsidRPr="00520861">
              <w:rPr>
                <w:sz w:val="28"/>
                <w:szCs w:val="28"/>
              </w:rPr>
              <w:t xml:space="preserve"> </w:t>
            </w:r>
            <w:proofErr w:type="spellStart"/>
            <w:r w:rsidR="003C5B78" w:rsidRPr="00520861">
              <w:rPr>
                <w:sz w:val="28"/>
                <w:szCs w:val="28"/>
              </w:rPr>
              <w:t>макросомами</w:t>
            </w:r>
            <w:proofErr w:type="spellEnd"/>
            <w:r w:rsidRPr="00520861">
              <w:rPr>
                <w:sz w:val="28"/>
                <w:szCs w:val="28"/>
              </w:rPr>
              <w:t>…………………………………</w:t>
            </w:r>
            <w:r w:rsidR="009E342A" w:rsidRPr="00520861">
              <w:rPr>
                <w:sz w:val="28"/>
                <w:szCs w:val="28"/>
              </w:rPr>
              <w:t>……………..............</w:t>
            </w:r>
          </w:p>
        </w:tc>
        <w:tc>
          <w:tcPr>
            <w:tcW w:w="708" w:type="dxa"/>
            <w:shd w:val="clear" w:color="auto" w:fill="auto"/>
          </w:tcPr>
          <w:p w14:paraId="381F5361" w14:textId="77777777" w:rsidR="009E342A" w:rsidRPr="00520861" w:rsidRDefault="009E342A" w:rsidP="00292D2E">
            <w:pPr>
              <w:widowControl w:val="0"/>
              <w:spacing w:line="360" w:lineRule="auto"/>
              <w:jc w:val="right"/>
              <w:rPr>
                <w:sz w:val="28"/>
                <w:szCs w:val="28"/>
              </w:rPr>
            </w:pPr>
          </w:p>
          <w:p w14:paraId="24CE8B5A" w14:textId="77777777" w:rsidR="009E342A" w:rsidRPr="00520861" w:rsidRDefault="009E342A" w:rsidP="00292D2E">
            <w:pPr>
              <w:widowControl w:val="0"/>
              <w:spacing w:line="360" w:lineRule="auto"/>
              <w:jc w:val="right"/>
              <w:rPr>
                <w:sz w:val="28"/>
                <w:szCs w:val="28"/>
              </w:rPr>
            </w:pPr>
          </w:p>
          <w:p w14:paraId="22C4D0BE" w14:textId="77777777" w:rsidR="009E342A" w:rsidRPr="00520861" w:rsidRDefault="00C93649" w:rsidP="00292D2E">
            <w:pPr>
              <w:widowControl w:val="0"/>
              <w:spacing w:line="360" w:lineRule="auto"/>
              <w:jc w:val="right"/>
              <w:rPr>
                <w:sz w:val="28"/>
                <w:szCs w:val="28"/>
              </w:rPr>
            </w:pPr>
            <w:r w:rsidRPr="00520861">
              <w:rPr>
                <w:sz w:val="28"/>
                <w:szCs w:val="28"/>
              </w:rPr>
              <w:t>301</w:t>
            </w:r>
          </w:p>
        </w:tc>
      </w:tr>
      <w:tr w:rsidR="009E342A" w:rsidRPr="00520861" w14:paraId="5B39F0B7" w14:textId="77777777" w:rsidTr="00032B7F">
        <w:tc>
          <w:tcPr>
            <w:tcW w:w="9606" w:type="dxa"/>
            <w:shd w:val="clear" w:color="auto" w:fill="auto"/>
          </w:tcPr>
          <w:p w14:paraId="60A2E170" w14:textId="77777777" w:rsidR="009E342A" w:rsidRPr="00520861" w:rsidRDefault="009E342A" w:rsidP="00292D2E">
            <w:pPr>
              <w:widowControl w:val="0"/>
              <w:spacing w:line="360" w:lineRule="auto"/>
              <w:ind w:left="567"/>
              <w:jc w:val="both"/>
              <w:rPr>
                <w:sz w:val="28"/>
                <w:szCs w:val="28"/>
              </w:rPr>
            </w:pPr>
            <w:r w:rsidRPr="00520861">
              <w:rPr>
                <w:sz w:val="28"/>
                <w:szCs w:val="28"/>
              </w:rPr>
              <w:t>7.3</w:t>
            </w:r>
            <w:r w:rsidR="00FA479C" w:rsidRPr="00520861">
              <w:rPr>
                <w:sz w:val="28"/>
                <w:szCs w:val="28"/>
              </w:rPr>
              <w:t>.</w:t>
            </w:r>
            <w:r w:rsidRPr="00520861">
              <w:rPr>
                <w:sz w:val="28"/>
                <w:szCs w:val="28"/>
              </w:rPr>
              <w:t xml:space="preserve"> </w:t>
            </w:r>
            <w:r w:rsidR="00464C73" w:rsidRPr="00520861">
              <w:rPr>
                <w:spacing w:val="-4"/>
                <w:sz w:val="28"/>
                <w:szCs w:val="28"/>
              </w:rPr>
              <w:t xml:space="preserve">Результати вивчення стану тканин </w:t>
            </w:r>
            <w:proofErr w:type="spellStart"/>
            <w:r w:rsidR="00464C73" w:rsidRPr="00520861">
              <w:rPr>
                <w:spacing w:val="-4"/>
                <w:sz w:val="28"/>
                <w:szCs w:val="28"/>
              </w:rPr>
              <w:t>пародонта</w:t>
            </w:r>
            <w:proofErr w:type="spellEnd"/>
            <w:r w:rsidR="00464C73" w:rsidRPr="00520861">
              <w:rPr>
                <w:spacing w:val="-4"/>
                <w:sz w:val="28"/>
                <w:szCs w:val="28"/>
              </w:rPr>
              <w:t xml:space="preserve"> в період постійного прикусу (ВП-V, ВП-VI, ВП-VII, ВП-VIII) в осіб, які народилися </w:t>
            </w:r>
            <w:proofErr w:type="spellStart"/>
            <w:r w:rsidR="00464C73" w:rsidRPr="00520861">
              <w:rPr>
                <w:spacing w:val="-4"/>
                <w:sz w:val="28"/>
                <w:szCs w:val="28"/>
              </w:rPr>
              <w:t>макросомами</w:t>
            </w:r>
            <w:proofErr w:type="spellEnd"/>
            <w:r w:rsidR="003C5B78" w:rsidRPr="00520861">
              <w:rPr>
                <w:spacing w:val="-4"/>
                <w:sz w:val="28"/>
                <w:szCs w:val="28"/>
              </w:rPr>
              <w:t>..</w:t>
            </w:r>
            <w:r w:rsidR="00464C73" w:rsidRPr="00520861">
              <w:rPr>
                <w:spacing w:val="-4"/>
                <w:sz w:val="28"/>
                <w:szCs w:val="28"/>
              </w:rPr>
              <w:t>.</w:t>
            </w:r>
          </w:p>
        </w:tc>
        <w:tc>
          <w:tcPr>
            <w:tcW w:w="708" w:type="dxa"/>
            <w:shd w:val="clear" w:color="auto" w:fill="auto"/>
          </w:tcPr>
          <w:p w14:paraId="63AF625F" w14:textId="77777777" w:rsidR="009E342A" w:rsidRPr="00520861" w:rsidRDefault="009E342A" w:rsidP="00292D2E">
            <w:pPr>
              <w:widowControl w:val="0"/>
              <w:spacing w:line="360" w:lineRule="auto"/>
              <w:jc w:val="right"/>
              <w:rPr>
                <w:sz w:val="28"/>
                <w:szCs w:val="28"/>
              </w:rPr>
            </w:pPr>
          </w:p>
          <w:p w14:paraId="5A5DCACD" w14:textId="77777777" w:rsidR="009E342A" w:rsidRPr="00520861" w:rsidRDefault="00C93649" w:rsidP="00292D2E">
            <w:pPr>
              <w:widowControl w:val="0"/>
              <w:spacing w:line="360" w:lineRule="auto"/>
              <w:jc w:val="right"/>
              <w:rPr>
                <w:sz w:val="28"/>
                <w:szCs w:val="28"/>
              </w:rPr>
            </w:pPr>
            <w:r w:rsidRPr="00520861">
              <w:rPr>
                <w:sz w:val="28"/>
                <w:szCs w:val="28"/>
              </w:rPr>
              <w:t>303</w:t>
            </w:r>
          </w:p>
        </w:tc>
      </w:tr>
      <w:tr w:rsidR="009E342A" w:rsidRPr="00520861" w14:paraId="2CA1578F" w14:textId="77777777" w:rsidTr="00032B7F">
        <w:tc>
          <w:tcPr>
            <w:tcW w:w="9606" w:type="dxa"/>
            <w:shd w:val="clear" w:color="auto" w:fill="auto"/>
          </w:tcPr>
          <w:p w14:paraId="58D478F1" w14:textId="77777777" w:rsidR="009E342A" w:rsidRPr="00520861" w:rsidRDefault="009E342A" w:rsidP="00292D2E">
            <w:pPr>
              <w:widowControl w:val="0"/>
              <w:spacing w:line="360" w:lineRule="auto"/>
              <w:ind w:left="567"/>
              <w:rPr>
                <w:sz w:val="28"/>
                <w:szCs w:val="28"/>
              </w:rPr>
            </w:pPr>
            <w:r w:rsidRPr="00520861">
              <w:rPr>
                <w:sz w:val="28"/>
                <w:szCs w:val="28"/>
              </w:rPr>
              <w:t>7.4</w:t>
            </w:r>
            <w:r w:rsidR="00FA479C" w:rsidRPr="00520861">
              <w:rPr>
                <w:sz w:val="28"/>
                <w:szCs w:val="28"/>
              </w:rPr>
              <w:t>.</w:t>
            </w:r>
            <w:r w:rsidRPr="00520861">
              <w:rPr>
                <w:sz w:val="28"/>
                <w:szCs w:val="28"/>
              </w:rPr>
              <w:t xml:space="preserve"> </w:t>
            </w:r>
            <w:r w:rsidR="00212D54" w:rsidRPr="00520861">
              <w:rPr>
                <w:sz w:val="28"/>
                <w:szCs w:val="28"/>
              </w:rPr>
              <w:t>Результати вивчення динаміки змін біохімічних показників ротової рідини як маркерів</w:t>
            </w:r>
            <w:r w:rsidRPr="00520861">
              <w:rPr>
                <w:sz w:val="28"/>
                <w:szCs w:val="28"/>
              </w:rPr>
              <w:t xml:space="preserve"> різних варіантів перебігу </w:t>
            </w:r>
            <w:proofErr w:type="spellStart"/>
            <w:r w:rsidRPr="00520861">
              <w:rPr>
                <w:sz w:val="28"/>
                <w:szCs w:val="28"/>
              </w:rPr>
              <w:t>хвороб</w:t>
            </w:r>
            <w:proofErr w:type="spellEnd"/>
            <w:r w:rsidRPr="00520861">
              <w:rPr>
                <w:sz w:val="28"/>
                <w:szCs w:val="28"/>
              </w:rPr>
              <w:t xml:space="preserve"> тканин </w:t>
            </w:r>
            <w:proofErr w:type="spellStart"/>
            <w:r w:rsidRPr="00520861">
              <w:rPr>
                <w:sz w:val="28"/>
                <w:szCs w:val="28"/>
              </w:rPr>
              <w:t>пародонта</w:t>
            </w:r>
            <w:proofErr w:type="spellEnd"/>
            <w:r w:rsidRPr="00520861">
              <w:rPr>
                <w:sz w:val="28"/>
                <w:szCs w:val="28"/>
              </w:rPr>
              <w:t xml:space="preserve"> в осіб різного віку, які народилися </w:t>
            </w:r>
            <w:proofErr w:type="spellStart"/>
            <w:r w:rsidRPr="00520861">
              <w:rPr>
                <w:sz w:val="28"/>
                <w:szCs w:val="28"/>
              </w:rPr>
              <w:t>макросомами</w:t>
            </w:r>
            <w:proofErr w:type="spellEnd"/>
            <w:r w:rsidRPr="00520861">
              <w:rPr>
                <w:sz w:val="28"/>
                <w:szCs w:val="28"/>
              </w:rPr>
              <w:t>……………</w:t>
            </w:r>
            <w:r w:rsidR="003C5B78" w:rsidRPr="00520861">
              <w:rPr>
                <w:sz w:val="28"/>
                <w:szCs w:val="28"/>
              </w:rPr>
              <w:t>…………...</w:t>
            </w:r>
            <w:r w:rsidRPr="00520861">
              <w:rPr>
                <w:sz w:val="28"/>
                <w:szCs w:val="28"/>
              </w:rPr>
              <w:t>…..</w:t>
            </w:r>
          </w:p>
        </w:tc>
        <w:tc>
          <w:tcPr>
            <w:tcW w:w="708" w:type="dxa"/>
            <w:shd w:val="clear" w:color="auto" w:fill="auto"/>
          </w:tcPr>
          <w:p w14:paraId="6A3094EF" w14:textId="77777777" w:rsidR="009E342A" w:rsidRPr="00520861" w:rsidRDefault="009E342A" w:rsidP="00292D2E">
            <w:pPr>
              <w:widowControl w:val="0"/>
              <w:spacing w:line="360" w:lineRule="auto"/>
              <w:jc w:val="right"/>
              <w:rPr>
                <w:sz w:val="28"/>
                <w:szCs w:val="28"/>
              </w:rPr>
            </w:pPr>
          </w:p>
          <w:p w14:paraId="64CE776E" w14:textId="77777777" w:rsidR="009E342A" w:rsidRPr="00520861" w:rsidRDefault="009E342A" w:rsidP="00292D2E">
            <w:pPr>
              <w:widowControl w:val="0"/>
              <w:spacing w:line="360" w:lineRule="auto"/>
              <w:jc w:val="right"/>
              <w:rPr>
                <w:sz w:val="28"/>
                <w:szCs w:val="28"/>
              </w:rPr>
            </w:pPr>
          </w:p>
          <w:p w14:paraId="5FC8924C" w14:textId="77777777" w:rsidR="009E342A" w:rsidRPr="00520861" w:rsidRDefault="00C93649" w:rsidP="00292D2E">
            <w:pPr>
              <w:widowControl w:val="0"/>
              <w:spacing w:line="360" w:lineRule="auto"/>
              <w:jc w:val="right"/>
              <w:rPr>
                <w:sz w:val="28"/>
                <w:szCs w:val="28"/>
              </w:rPr>
            </w:pPr>
            <w:r w:rsidRPr="00520861">
              <w:rPr>
                <w:sz w:val="28"/>
                <w:szCs w:val="28"/>
              </w:rPr>
              <w:t>313</w:t>
            </w:r>
          </w:p>
        </w:tc>
      </w:tr>
      <w:tr w:rsidR="009E342A" w:rsidRPr="00520861" w14:paraId="76E4A12D" w14:textId="77777777" w:rsidTr="00032B7F">
        <w:tc>
          <w:tcPr>
            <w:tcW w:w="9606" w:type="dxa"/>
            <w:shd w:val="clear" w:color="auto" w:fill="auto"/>
          </w:tcPr>
          <w:p w14:paraId="44A8DCA5" w14:textId="77777777" w:rsidR="009E342A" w:rsidRPr="00520861" w:rsidRDefault="009E342A" w:rsidP="00292D2E">
            <w:pPr>
              <w:widowControl w:val="0"/>
              <w:spacing w:line="360" w:lineRule="auto"/>
              <w:ind w:left="567"/>
              <w:rPr>
                <w:sz w:val="28"/>
                <w:szCs w:val="28"/>
              </w:rPr>
            </w:pPr>
            <w:r w:rsidRPr="00520861">
              <w:rPr>
                <w:sz w:val="28"/>
                <w:szCs w:val="28"/>
              </w:rPr>
              <w:t>7.5</w:t>
            </w:r>
            <w:r w:rsidR="008E5C4C" w:rsidRPr="00520861">
              <w:rPr>
                <w:sz w:val="28"/>
                <w:szCs w:val="28"/>
              </w:rPr>
              <w:t>.</w:t>
            </w:r>
            <w:r w:rsidRPr="00520861">
              <w:rPr>
                <w:sz w:val="28"/>
                <w:szCs w:val="28"/>
              </w:rPr>
              <w:t xml:space="preserve"> </w:t>
            </w:r>
            <w:r w:rsidR="008E5C4C" w:rsidRPr="00520861">
              <w:rPr>
                <w:sz w:val="28"/>
                <w:szCs w:val="28"/>
              </w:rPr>
              <w:t xml:space="preserve">Результати виявлення асоціації між поліморфізмом генів </w:t>
            </w:r>
            <w:r w:rsidR="00593A1A" w:rsidRPr="00520861">
              <w:rPr>
                <w:i/>
                <w:sz w:val="28"/>
                <w:szCs w:val="28"/>
              </w:rPr>
              <w:t xml:space="preserve">CYP19A1 </w:t>
            </w:r>
            <w:r w:rsidR="00593A1A" w:rsidRPr="00520861">
              <w:rPr>
                <w:sz w:val="28"/>
                <w:szCs w:val="28"/>
              </w:rPr>
              <w:t>[rs2414096</w:t>
            </w:r>
            <w:r w:rsidR="00593A1A" w:rsidRPr="00520861">
              <w:rPr>
                <w:i/>
                <w:sz w:val="28"/>
                <w:szCs w:val="28"/>
              </w:rPr>
              <w:t xml:space="preserve">, </w:t>
            </w:r>
            <w:r w:rsidR="00593A1A" w:rsidRPr="00520861">
              <w:rPr>
                <w:sz w:val="28"/>
                <w:szCs w:val="28"/>
              </w:rPr>
              <w:t xml:space="preserve">rs936306], </w:t>
            </w:r>
            <w:r w:rsidR="00593A1A" w:rsidRPr="00520861">
              <w:rPr>
                <w:i/>
                <w:sz w:val="28"/>
                <w:szCs w:val="28"/>
              </w:rPr>
              <w:t>ESR1</w:t>
            </w:r>
            <w:r w:rsidR="00052253" w:rsidRPr="00520861">
              <w:rPr>
                <w:i/>
                <w:sz w:val="28"/>
                <w:szCs w:val="28"/>
              </w:rPr>
              <w:t xml:space="preserve"> </w:t>
            </w:r>
            <w:r w:rsidR="00593A1A" w:rsidRPr="00520861">
              <w:rPr>
                <w:sz w:val="28"/>
                <w:szCs w:val="28"/>
              </w:rPr>
              <w:t>[rs2234693</w:t>
            </w:r>
            <w:r w:rsidR="00593A1A" w:rsidRPr="00520861">
              <w:rPr>
                <w:i/>
                <w:sz w:val="28"/>
                <w:szCs w:val="28"/>
              </w:rPr>
              <w:t xml:space="preserve">, </w:t>
            </w:r>
            <w:r w:rsidR="00593A1A" w:rsidRPr="00520861">
              <w:rPr>
                <w:sz w:val="28"/>
                <w:szCs w:val="28"/>
              </w:rPr>
              <w:t xml:space="preserve">rs9340799], </w:t>
            </w:r>
            <w:r w:rsidR="00593A1A" w:rsidRPr="00520861">
              <w:rPr>
                <w:i/>
                <w:sz w:val="28"/>
                <w:szCs w:val="28"/>
              </w:rPr>
              <w:t>RANKL</w:t>
            </w:r>
            <w:r w:rsidR="00593A1A" w:rsidRPr="00520861">
              <w:rPr>
                <w:sz w:val="28"/>
                <w:szCs w:val="28"/>
              </w:rPr>
              <w:t xml:space="preserve"> [rs9594738, rs9594759]</w:t>
            </w:r>
            <w:r w:rsidR="00593A1A" w:rsidRPr="00520861">
              <w:rPr>
                <w:i/>
                <w:sz w:val="28"/>
                <w:szCs w:val="28"/>
              </w:rPr>
              <w:t xml:space="preserve">, IL6 </w:t>
            </w:r>
            <w:r w:rsidR="00593A1A" w:rsidRPr="00520861">
              <w:rPr>
                <w:bCs/>
                <w:sz w:val="28"/>
                <w:szCs w:val="28"/>
              </w:rPr>
              <w:t>[</w:t>
            </w:r>
            <w:r w:rsidR="00593A1A" w:rsidRPr="00520861">
              <w:rPr>
                <w:sz w:val="28"/>
                <w:szCs w:val="28"/>
              </w:rPr>
              <w:t>rs1800796]</w:t>
            </w:r>
            <w:r w:rsidR="00593A1A" w:rsidRPr="00520861">
              <w:rPr>
                <w:i/>
                <w:sz w:val="28"/>
                <w:szCs w:val="28"/>
              </w:rPr>
              <w:t>, IL1</w:t>
            </w:r>
            <w:r w:rsidR="00593A1A" w:rsidRPr="00520861">
              <w:rPr>
                <w:i/>
                <w:sz w:val="28"/>
                <w:szCs w:val="28"/>
              </w:rPr>
              <w:sym w:font="Symbol" w:char="F062"/>
            </w:r>
            <w:r w:rsidR="00593A1A" w:rsidRPr="00520861">
              <w:rPr>
                <w:i/>
                <w:sz w:val="28"/>
                <w:szCs w:val="28"/>
              </w:rPr>
              <w:t xml:space="preserve"> </w:t>
            </w:r>
            <w:r w:rsidR="00593A1A" w:rsidRPr="00520861">
              <w:rPr>
                <w:sz w:val="28"/>
                <w:szCs w:val="28"/>
              </w:rPr>
              <w:t xml:space="preserve">[rs1143627], </w:t>
            </w:r>
            <w:r w:rsidR="00593A1A" w:rsidRPr="00520861">
              <w:rPr>
                <w:i/>
                <w:sz w:val="28"/>
                <w:szCs w:val="28"/>
              </w:rPr>
              <w:t xml:space="preserve">IL10 </w:t>
            </w:r>
            <w:r w:rsidR="00593A1A" w:rsidRPr="00520861">
              <w:rPr>
                <w:sz w:val="28"/>
                <w:szCs w:val="28"/>
              </w:rPr>
              <w:t xml:space="preserve">[rs1800896] і </w:t>
            </w:r>
            <w:r w:rsidR="00593A1A" w:rsidRPr="00520861">
              <w:rPr>
                <w:i/>
                <w:sz w:val="28"/>
                <w:szCs w:val="28"/>
              </w:rPr>
              <w:t>VDR</w:t>
            </w:r>
            <w:r w:rsidR="00593A1A" w:rsidRPr="00520861">
              <w:rPr>
                <w:sz w:val="28"/>
                <w:szCs w:val="28"/>
              </w:rPr>
              <w:t xml:space="preserve"> [rs1544410, rs10735810] </w:t>
            </w:r>
            <w:r w:rsidR="008E5C4C" w:rsidRPr="00520861">
              <w:rPr>
                <w:sz w:val="28"/>
                <w:szCs w:val="28"/>
              </w:rPr>
              <w:t xml:space="preserve">та </w:t>
            </w:r>
            <w:r w:rsidR="00593A1A" w:rsidRPr="00520861">
              <w:rPr>
                <w:sz w:val="28"/>
                <w:szCs w:val="28"/>
              </w:rPr>
              <w:t>ризиком розвитку різних варіантів</w:t>
            </w:r>
            <w:r w:rsidRPr="00520861">
              <w:rPr>
                <w:sz w:val="28"/>
                <w:szCs w:val="28"/>
              </w:rPr>
              <w:t xml:space="preserve"> перебігу </w:t>
            </w:r>
            <w:proofErr w:type="spellStart"/>
            <w:r w:rsidRPr="00520861">
              <w:rPr>
                <w:sz w:val="28"/>
                <w:szCs w:val="28"/>
              </w:rPr>
              <w:t>хвороб</w:t>
            </w:r>
            <w:proofErr w:type="spellEnd"/>
            <w:r w:rsidRPr="00520861">
              <w:rPr>
                <w:sz w:val="28"/>
                <w:szCs w:val="28"/>
              </w:rPr>
              <w:t xml:space="preserve"> тканин </w:t>
            </w:r>
            <w:proofErr w:type="spellStart"/>
            <w:r w:rsidRPr="00520861">
              <w:rPr>
                <w:sz w:val="28"/>
                <w:szCs w:val="28"/>
              </w:rPr>
              <w:t>пародонта</w:t>
            </w:r>
            <w:proofErr w:type="spellEnd"/>
            <w:r w:rsidRPr="00520861">
              <w:rPr>
                <w:sz w:val="28"/>
                <w:szCs w:val="28"/>
              </w:rPr>
              <w:t xml:space="preserve"> в осіб, які народилися</w:t>
            </w:r>
            <w:r w:rsidR="00593A1A" w:rsidRPr="00520861">
              <w:rPr>
                <w:sz w:val="28"/>
                <w:szCs w:val="28"/>
              </w:rPr>
              <w:t xml:space="preserve"> </w:t>
            </w:r>
            <w:proofErr w:type="spellStart"/>
            <w:r w:rsidR="00593A1A" w:rsidRPr="00520861">
              <w:rPr>
                <w:sz w:val="28"/>
                <w:szCs w:val="28"/>
              </w:rPr>
              <w:t>макросомами</w:t>
            </w:r>
            <w:proofErr w:type="spellEnd"/>
            <w:r w:rsidR="00593A1A" w:rsidRPr="00520861">
              <w:rPr>
                <w:sz w:val="28"/>
                <w:szCs w:val="28"/>
              </w:rPr>
              <w:t>…………</w:t>
            </w:r>
            <w:r w:rsidR="003C5B78" w:rsidRPr="00520861">
              <w:rPr>
                <w:sz w:val="28"/>
                <w:szCs w:val="28"/>
              </w:rPr>
              <w:t>…</w:t>
            </w:r>
          </w:p>
        </w:tc>
        <w:tc>
          <w:tcPr>
            <w:tcW w:w="708" w:type="dxa"/>
            <w:shd w:val="clear" w:color="auto" w:fill="auto"/>
          </w:tcPr>
          <w:p w14:paraId="1D257BA9" w14:textId="77777777" w:rsidR="009E342A" w:rsidRPr="00520861" w:rsidRDefault="009E342A" w:rsidP="00292D2E">
            <w:pPr>
              <w:widowControl w:val="0"/>
              <w:spacing w:line="360" w:lineRule="auto"/>
              <w:jc w:val="right"/>
              <w:rPr>
                <w:sz w:val="28"/>
                <w:szCs w:val="28"/>
              </w:rPr>
            </w:pPr>
          </w:p>
          <w:p w14:paraId="4205D471" w14:textId="77777777" w:rsidR="009E342A" w:rsidRPr="00520861" w:rsidRDefault="009E342A" w:rsidP="00292D2E">
            <w:pPr>
              <w:widowControl w:val="0"/>
              <w:spacing w:line="360" w:lineRule="auto"/>
              <w:jc w:val="right"/>
              <w:rPr>
                <w:sz w:val="28"/>
                <w:szCs w:val="28"/>
              </w:rPr>
            </w:pPr>
          </w:p>
          <w:p w14:paraId="74B3C8EA" w14:textId="77777777" w:rsidR="009E342A" w:rsidRPr="00520861" w:rsidRDefault="009E342A" w:rsidP="00292D2E">
            <w:pPr>
              <w:widowControl w:val="0"/>
              <w:spacing w:line="360" w:lineRule="auto"/>
              <w:jc w:val="right"/>
              <w:rPr>
                <w:sz w:val="28"/>
                <w:szCs w:val="28"/>
              </w:rPr>
            </w:pPr>
          </w:p>
          <w:p w14:paraId="302FBF5B" w14:textId="77777777" w:rsidR="003C5B78" w:rsidRPr="00520861" w:rsidRDefault="003C5B78" w:rsidP="00292D2E">
            <w:pPr>
              <w:widowControl w:val="0"/>
              <w:spacing w:line="360" w:lineRule="auto"/>
              <w:jc w:val="right"/>
              <w:rPr>
                <w:sz w:val="28"/>
                <w:szCs w:val="28"/>
              </w:rPr>
            </w:pPr>
          </w:p>
          <w:p w14:paraId="32CCD3C3" w14:textId="77777777" w:rsidR="009E342A" w:rsidRPr="00520861" w:rsidRDefault="00C93649" w:rsidP="00292D2E">
            <w:pPr>
              <w:widowControl w:val="0"/>
              <w:spacing w:line="360" w:lineRule="auto"/>
              <w:jc w:val="right"/>
              <w:rPr>
                <w:sz w:val="28"/>
                <w:szCs w:val="28"/>
              </w:rPr>
            </w:pPr>
            <w:r w:rsidRPr="00520861">
              <w:rPr>
                <w:sz w:val="28"/>
                <w:szCs w:val="28"/>
              </w:rPr>
              <w:t>318</w:t>
            </w:r>
          </w:p>
        </w:tc>
      </w:tr>
      <w:tr w:rsidR="009E342A" w:rsidRPr="00520861" w14:paraId="55A73990" w14:textId="77777777" w:rsidTr="00032B7F">
        <w:tc>
          <w:tcPr>
            <w:tcW w:w="9606" w:type="dxa"/>
            <w:shd w:val="clear" w:color="auto" w:fill="auto"/>
          </w:tcPr>
          <w:p w14:paraId="3C08242C" w14:textId="77777777" w:rsidR="009E342A" w:rsidRPr="00520861" w:rsidRDefault="008B48F4" w:rsidP="00292D2E">
            <w:pPr>
              <w:widowControl w:val="0"/>
              <w:spacing w:line="360" w:lineRule="auto"/>
              <w:rPr>
                <w:sz w:val="28"/>
                <w:szCs w:val="28"/>
              </w:rPr>
            </w:pPr>
            <w:r w:rsidRPr="00520861">
              <w:rPr>
                <w:sz w:val="28"/>
                <w:szCs w:val="28"/>
              </w:rPr>
              <w:t>АНАЛІЗ ТА УЗАГАЛЬНЕННЯ ОТРИМАНИХ РЕЗУЛЬТАТІВ</w:t>
            </w:r>
            <w:r w:rsidR="009E342A" w:rsidRPr="00520861">
              <w:rPr>
                <w:sz w:val="28"/>
                <w:szCs w:val="28"/>
              </w:rPr>
              <w:t>………………</w:t>
            </w:r>
            <w:r w:rsidR="003C5B78" w:rsidRPr="00520861">
              <w:rPr>
                <w:sz w:val="28"/>
                <w:szCs w:val="28"/>
              </w:rPr>
              <w:t>.</w:t>
            </w:r>
            <w:r w:rsidR="009E342A" w:rsidRPr="00520861">
              <w:rPr>
                <w:sz w:val="28"/>
                <w:szCs w:val="28"/>
              </w:rPr>
              <w:t>.</w:t>
            </w:r>
          </w:p>
        </w:tc>
        <w:tc>
          <w:tcPr>
            <w:tcW w:w="708" w:type="dxa"/>
            <w:shd w:val="clear" w:color="auto" w:fill="auto"/>
          </w:tcPr>
          <w:p w14:paraId="1F608A52" w14:textId="77777777" w:rsidR="009E342A" w:rsidRPr="00520861" w:rsidRDefault="00C93649" w:rsidP="00292D2E">
            <w:pPr>
              <w:widowControl w:val="0"/>
              <w:spacing w:line="360" w:lineRule="auto"/>
              <w:jc w:val="right"/>
              <w:rPr>
                <w:sz w:val="28"/>
                <w:szCs w:val="28"/>
              </w:rPr>
            </w:pPr>
            <w:r w:rsidRPr="00520861">
              <w:rPr>
                <w:sz w:val="28"/>
                <w:szCs w:val="28"/>
              </w:rPr>
              <w:t>326</w:t>
            </w:r>
          </w:p>
        </w:tc>
      </w:tr>
      <w:tr w:rsidR="009E342A" w:rsidRPr="00520861" w14:paraId="0D8BEF1A" w14:textId="77777777" w:rsidTr="00032B7F">
        <w:tc>
          <w:tcPr>
            <w:tcW w:w="9606" w:type="dxa"/>
            <w:shd w:val="clear" w:color="auto" w:fill="auto"/>
          </w:tcPr>
          <w:p w14:paraId="0B5837FC" w14:textId="77777777" w:rsidR="009E342A" w:rsidRPr="00520861" w:rsidRDefault="009E342A" w:rsidP="00292D2E">
            <w:pPr>
              <w:widowControl w:val="0"/>
              <w:spacing w:line="360" w:lineRule="auto"/>
              <w:rPr>
                <w:sz w:val="28"/>
                <w:szCs w:val="28"/>
              </w:rPr>
            </w:pPr>
            <w:r w:rsidRPr="00520861">
              <w:rPr>
                <w:sz w:val="28"/>
                <w:szCs w:val="28"/>
              </w:rPr>
              <w:t>ВИСНОВКИ……………………………………………………………………....</w:t>
            </w:r>
            <w:r w:rsidR="003C5B78" w:rsidRPr="00520861">
              <w:rPr>
                <w:sz w:val="28"/>
                <w:szCs w:val="28"/>
              </w:rPr>
              <w:t>..</w:t>
            </w:r>
            <w:r w:rsidRPr="00520861">
              <w:rPr>
                <w:sz w:val="28"/>
                <w:szCs w:val="28"/>
              </w:rPr>
              <w:t>.</w:t>
            </w:r>
          </w:p>
        </w:tc>
        <w:tc>
          <w:tcPr>
            <w:tcW w:w="708" w:type="dxa"/>
            <w:shd w:val="clear" w:color="auto" w:fill="auto"/>
          </w:tcPr>
          <w:p w14:paraId="52687CE3" w14:textId="77777777" w:rsidR="009E342A" w:rsidRPr="00520861" w:rsidRDefault="007927E3" w:rsidP="00292D2E">
            <w:pPr>
              <w:widowControl w:val="0"/>
              <w:spacing w:line="360" w:lineRule="auto"/>
              <w:jc w:val="right"/>
              <w:rPr>
                <w:sz w:val="28"/>
                <w:szCs w:val="28"/>
              </w:rPr>
            </w:pPr>
            <w:r w:rsidRPr="00520861">
              <w:rPr>
                <w:sz w:val="28"/>
                <w:szCs w:val="28"/>
              </w:rPr>
              <w:t>394</w:t>
            </w:r>
          </w:p>
        </w:tc>
      </w:tr>
      <w:tr w:rsidR="009E342A" w:rsidRPr="00520861" w14:paraId="0253CC1B" w14:textId="77777777" w:rsidTr="00032B7F">
        <w:tc>
          <w:tcPr>
            <w:tcW w:w="9606" w:type="dxa"/>
            <w:shd w:val="clear" w:color="auto" w:fill="auto"/>
          </w:tcPr>
          <w:p w14:paraId="4C607BBB" w14:textId="77777777" w:rsidR="009E342A" w:rsidRPr="00520861" w:rsidRDefault="009E342A" w:rsidP="00292D2E">
            <w:pPr>
              <w:widowControl w:val="0"/>
              <w:spacing w:line="360" w:lineRule="auto"/>
              <w:rPr>
                <w:sz w:val="28"/>
                <w:szCs w:val="28"/>
              </w:rPr>
            </w:pPr>
            <w:r w:rsidRPr="00520861">
              <w:rPr>
                <w:sz w:val="28"/>
                <w:szCs w:val="28"/>
              </w:rPr>
              <w:t>ПРАКТИЧНІ РЕКОМЕНДАЦІЇ………………………………………………...</w:t>
            </w:r>
            <w:r w:rsidR="003C5B78" w:rsidRPr="00520861">
              <w:rPr>
                <w:sz w:val="28"/>
                <w:szCs w:val="28"/>
              </w:rPr>
              <w:t>...</w:t>
            </w:r>
            <w:r w:rsidRPr="00520861">
              <w:rPr>
                <w:sz w:val="28"/>
                <w:szCs w:val="28"/>
              </w:rPr>
              <w:t>..</w:t>
            </w:r>
          </w:p>
        </w:tc>
        <w:tc>
          <w:tcPr>
            <w:tcW w:w="708" w:type="dxa"/>
            <w:shd w:val="clear" w:color="auto" w:fill="auto"/>
          </w:tcPr>
          <w:p w14:paraId="2C77931F" w14:textId="77777777" w:rsidR="009E342A" w:rsidRPr="00520861" w:rsidRDefault="00D433F1" w:rsidP="00292D2E">
            <w:pPr>
              <w:widowControl w:val="0"/>
              <w:spacing w:line="360" w:lineRule="auto"/>
              <w:jc w:val="right"/>
              <w:rPr>
                <w:sz w:val="28"/>
                <w:szCs w:val="28"/>
              </w:rPr>
            </w:pPr>
            <w:r w:rsidRPr="00520861">
              <w:rPr>
                <w:sz w:val="28"/>
                <w:szCs w:val="28"/>
              </w:rPr>
              <w:t>401</w:t>
            </w:r>
          </w:p>
        </w:tc>
      </w:tr>
      <w:tr w:rsidR="009E342A" w:rsidRPr="00520861" w14:paraId="54926AC0" w14:textId="77777777" w:rsidTr="00032B7F">
        <w:tc>
          <w:tcPr>
            <w:tcW w:w="9606" w:type="dxa"/>
            <w:shd w:val="clear" w:color="auto" w:fill="auto"/>
          </w:tcPr>
          <w:p w14:paraId="63C9D1FE" w14:textId="77777777" w:rsidR="009E342A" w:rsidRPr="00520861" w:rsidRDefault="009E342A" w:rsidP="00292D2E">
            <w:pPr>
              <w:widowControl w:val="0"/>
              <w:spacing w:line="360" w:lineRule="auto"/>
              <w:rPr>
                <w:sz w:val="28"/>
                <w:szCs w:val="28"/>
              </w:rPr>
            </w:pPr>
            <w:r w:rsidRPr="00520861">
              <w:rPr>
                <w:sz w:val="28"/>
                <w:szCs w:val="28"/>
              </w:rPr>
              <w:t>СПИСОК ВИКОРИСТАНИХ ДЖЕРЕЛ………………………………………</w:t>
            </w:r>
            <w:r w:rsidR="003C5B78" w:rsidRPr="00520861">
              <w:rPr>
                <w:sz w:val="28"/>
                <w:szCs w:val="28"/>
              </w:rPr>
              <w:t>…</w:t>
            </w:r>
            <w:r w:rsidRPr="00520861">
              <w:rPr>
                <w:sz w:val="28"/>
                <w:szCs w:val="28"/>
              </w:rPr>
              <w:t>..</w:t>
            </w:r>
          </w:p>
        </w:tc>
        <w:tc>
          <w:tcPr>
            <w:tcW w:w="708" w:type="dxa"/>
            <w:shd w:val="clear" w:color="auto" w:fill="auto"/>
          </w:tcPr>
          <w:p w14:paraId="5089E13B" w14:textId="77777777" w:rsidR="009E342A" w:rsidRPr="00520861" w:rsidRDefault="000E6D83" w:rsidP="00292D2E">
            <w:pPr>
              <w:widowControl w:val="0"/>
              <w:spacing w:line="360" w:lineRule="auto"/>
              <w:jc w:val="right"/>
              <w:rPr>
                <w:sz w:val="28"/>
                <w:szCs w:val="28"/>
              </w:rPr>
            </w:pPr>
            <w:r w:rsidRPr="00520861">
              <w:rPr>
                <w:sz w:val="28"/>
                <w:szCs w:val="28"/>
              </w:rPr>
              <w:t>403</w:t>
            </w:r>
          </w:p>
        </w:tc>
      </w:tr>
    </w:tbl>
    <w:p w14:paraId="10162B2F" w14:textId="77777777" w:rsidR="00D367DC" w:rsidRPr="00520861" w:rsidRDefault="002B4CA0" w:rsidP="00292D2E">
      <w:pPr>
        <w:widowControl w:val="0"/>
        <w:spacing w:line="360" w:lineRule="auto"/>
        <w:jc w:val="center"/>
        <w:rPr>
          <w:b/>
          <w:sz w:val="28"/>
          <w:szCs w:val="28"/>
        </w:rPr>
      </w:pPr>
      <w:r w:rsidRPr="00520861">
        <w:rPr>
          <w:sz w:val="28"/>
          <w:szCs w:val="28"/>
        </w:rPr>
        <w:br w:type="page"/>
      </w:r>
      <w:r w:rsidR="00D367DC" w:rsidRPr="00520861">
        <w:rPr>
          <w:b/>
          <w:sz w:val="28"/>
          <w:szCs w:val="28"/>
        </w:rPr>
        <w:lastRenderedPageBreak/>
        <w:t>ПЕРЕЛІК УМОВНИХ СКОРОЧЕНЬ</w:t>
      </w:r>
    </w:p>
    <w:p w14:paraId="3D835EF9" w14:textId="77777777" w:rsidR="00D367DC" w:rsidRPr="00520861" w:rsidRDefault="00D367DC" w:rsidP="00292D2E">
      <w:pPr>
        <w:widowControl w:val="0"/>
        <w:spacing w:line="360" w:lineRule="auto"/>
        <w:jc w:val="center"/>
        <w:rPr>
          <w:b/>
          <w:sz w:val="28"/>
          <w:szCs w:val="28"/>
        </w:rPr>
      </w:pPr>
    </w:p>
    <w:p w14:paraId="73DF596F" w14:textId="77777777" w:rsidR="00067758" w:rsidRPr="00520861" w:rsidRDefault="00076540" w:rsidP="00292D2E">
      <w:pPr>
        <w:widowControl w:val="0"/>
        <w:spacing w:line="360" w:lineRule="auto"/>
        <w:jc w:val="both"/>
        <w:rPr>
          <w:sz w:val="28"/>
          <w:szCs w:val="28"/>
        </w:rPr>
      </w:pPr>
      <w:proofErr w:type="spellStart"/>
      <w:r w:rsidRPr="00520861">
        <w:rPr>
          <w:sz w:val="28"/>
          <w:szCs w:val="28"/>
        </w:rPr>
        <w:t>АлАт</w:t>
      </w:r>
      <w:proofErr w:type="spellEnd"/>
      <w:r w:rsidRPr="00520861">
        <w:rPr>
          <w:sz w:val="28"/>
          <w:szCs w:val="28"/>
        </w:rPr>
        <w:t xml:space="preserve"> – </w:t>
      </w:r>
      <w:proofErr w:type="spellStart"/>
      <w:r w:rsidRPr="00520861">
        <w:rPr>
          <w:sz w:val="28"/>
          <w:szCs w:val="28"/>
        </w:rPr>
        <w:t>аланінамінотрансфераза</w:t>
      </w:r>
      <w:proofErr w:type="spellEnd"/>
      <w:r w:rsidR="00067758" w:rsidRPr="00520861">
        <w:rPr>
          <w:sz w:val="28"/>
          <w:szCs w:val="28"/>
        </w:rPr>
        <w:t xml:space="preserve"> </w:t>
      </w:r>
    </w:p>
    <w:p w14:paraId="5A76F581" w14:textId="77777777" w:rsidR="00067758" w:rsidRPr="00520861" w:rsidRDefault="00076540" w:rsidP="00292D2E">
      <w:pPr>
        <w:widowControl w:val="0"/>
        <w:spacing w:line="360" w:lineRule="auto"/>
        <w:jc w:val="both"/>
        <w:rPr>
          <w:sz w:val="28"/>
          <w:szCs w:val="28"/>
        </w:rPr>
      </w:pPr>
      <w:proofErr w:type="spellStart"/>
      <w:r w:rsidRPr="00520861">
        <w:rPr>
          <w:sz w:val="28"/>
          <w:szCs w:val="28"/>
        </w:rPr>
        <w:t>АсАт</w:t>
      </w:r>
      <w:proofErr w:type="spellEnd"/>
      <w:r w:rsidRPr="00520861">
        <w:rPr>
          <w:sz w:val="28"/>
          <w:szCs w:val="28"/>
        </w:rPr>
        <w:t xml:space="preserve"> – </w:t>
      </w:r>
      <w:proofErr w:type="spellStart"/>
      <w:r w:rsidRPr="00520861">
        <w:rPr>
          <w:sz w:val="28"/>
          <w:szCs w:val="28"/>
        </w:rPr>
        <w:t>аспартатамінотрансфераза</w:t>
      </w:r>
      <w:proofErr w:type="spellEnd"/>
    </w:p>
    <w:p w14:paraId="20B52B35" w14:textId="77777777" w:rsidR="00067758" w:rsidRPr="00520861" w:rsidRDefault="00067758" w:rsidP="00292D2E">
      <w:pPr>
        <w:widowControl w:val="0"/>
        <w:spacing w:line="360" w:lineRule="auto"/>
        <w:rPr>
          <w:sz w:val="28"/>
          <w:szCs w:val="28"/>
        </w:rPr>
      </w:pPr>
      <w:r w:rsidRPr="00520861">
        <w:rPr>
          <w:sz w:val="28"/>
          <w:szCs w:val="28"/>
        </w:rPr>
        <w:t>ВП – віковий період</w:t>
      </w:r>
    </w:p>
    <w:p w14:paraId="614765D2" w14:textId="77777777" w:rsidR="00067758" w:rsidRPr="00520861" w:rsidRDefault="00067758" w:rsidP="00292D2E">
      <w:pPr>
        <w:widowControl w:val="0"/>
        <w:spacing w:line="360" w:lineRule="auto"/>
        <w:rPr>
          <w:sz w:val="28"/>
          <w:szCs w:val="28"/>
        </w:rPr>
      </w:pPr>
      <w:r w:rsidRPr="00520861">
        <w:rPr>
          <w:sz w:val="28"/>
          <w:szCs w:val="28"/>
        </w:rPr>
        <w:t>ВШ – відношення шансів</w:t>
      </w:r>
    </w:p>
    <w:p w14:paraId="0B1A13C4" w14:textId="77777777" w:rsidR="00067758" w:rsidRPr="00520861" w:rsidRDefault="00067758" w:rsidP="00292D2E">
      <w:pPr>
        <w:widowControl w:val="0"/>
        <w:spacing w:line="360" w:lineRule="auto"/>
        <w:rPr>
          <w:sz w:val="28"/>
          <w:szCs w:val="28"/>
        </w:rPr>
      </w:pPr>
      <w:r w:rsidRPr="00520861">
        <w:rPr>
          <w:sz w:val="28"/>
          <w:szCs w:val="28"/>
        </w:rPr>
        <w:t>ВУ – внутрішньоутробний</w:t>
      </w:r>
    </w:p>
    <w:p w14:paraId="0274FDF4" w14:textId="77777777" w:rsidR="00067758" w:rsidRPr="00520861" w:rsidRDefault="00067758" w:rsidP="00292D2E">
      <w:pPr>
        <w:widowControl w:val="0"/>
        <w:spacing w:line="360" w:lineRule="auto"/>
        <w:rPr>
          <w:sz w:val="28"/>
          <w:szCs w:val="28"/>
        </w:rPr>
      </w:pPr>
      <w:r w:rsidRPr="00520861">
        <w:rPr>
          <w:sz w:val="28"/>
          <w:szCs w:val="28"/>
        </w:rPr>
        <w:t>ГІУ ЦНС –</w:t>
      </w:r>
      <w:r w:rsidR="005B09B5" w:rsidRPr="00520861">
        <w:rPr>
          <w:sz w:val="28"/>
          <w:szCs w:val="28"/>
        </w:rPr>
        <w:t xml:space="preserve"> </w:t>
      </w:r>
      <w:proofErr w:type="spellStart"/>
      <w:r w:rsidRPr="00520861">
        <w:rPr>
          <w:sz w:val="28"/>
          <w:szCs w:val="28"/>
        </w:rPr>
        <w:t>гіпоксично</w:t>
      </w:r>
      <w:proofErr w:type="spellEnd"/>
      <w:r w:rsidR="00526C15" w:rsidRPr="00520861">
        <w:rPr>
          <w:sz w:val="28"/>
          <w:szCs w:val="28"/>
        </w:rPr>
        <w:t>-ішемічне ураження</w:t>
      </w:r>
      <w:r w:rsidR="006A721E" w:rsidRPr="00520861">
        <w:rPr>
          <w:sz w:val="28"/>
          <w:szCs w:val="28"/>
        </w:rPr>
        <w:t xml:space="preserve"> центральної нервової</w:t>
      </w:r>
      <w:r w:rsidR="00526C15" w:rsidRPr="00520861">
        <w:rPr>
          <w:sz w:val="28"/>
          <w:szCs w:val="28"/>
        </w:rPr>
        <w:t xml:space="preserve"> </w:t>
      </w:r>
      <w:r w:rsidR="006A721E" w:rsidRPr="00520861">
        <w:rPr>
          <w:sz w:val="28"/>
          <w:szCs w:val="28"/>
        </w:rPr>
        <w:t>системи</w:t>
      </w:r>
      <w:r w:rsidRPr="00520861">
        <w:rPr>
          <w:sz w:val="28"/>
          <w:szCs w:val="28"/>
        </w:rPr>
        <w:t xml:space="preserve"> </w:t>
      </w:r>
    </w:p>
    <w:p w14:paraId="5D3F3282" w14:textId="77777777" w:rsidR="006C5203" w:rsidRPr="00520861" w:rsidRDefault="006C5203" w:rsidP="00292D2E">
      <w:pPr>
        <w:widowControl w:val="0"/>
        <w:spacing w:line="360" w:lineRule="auto"/>
        <w:jc w:val="both"/>
        <w:rPr>
          <w:sz w:val="28"/>
          <w:szCs w:val="28"/>
        </w:rPr>
      </w:pPr>
      <w:r w:rsidRPr="00520861">
        <w:rPr>
          <w:rFonts w:eastAsia="Calibri"/>
          <w:sz w:val="28"/>
          <w:szCs w:val="28"/>
        </w:rPr>
        <w:t>ГЗП</w:t>
      </w:r>
      <w:r w:rsidRPr="00520861">
        <w:rPr>
          <w:sz w:val="28"/>
          <w:szCs w:val="28"/>
        </w:rPr>
        <w:t xml:space="preserve"> – </w:t>
      </w:r>
      <w:r w:rsidRPr="00520861">
        <w:rPr>
          <w:rFonts w:eastAsia="Calibri"/>
          <w:sz w:val="28"/>
          <w:szCs w:val="28"/>
        </w:rPr>
        <w:t xml:space="preserve">група зі значними порушеннями прикусу </w:t>
      </w:r>
    </w:p>
    <w:p w14:paraId="5C81A042" w14:textId="77777777" w:rsidR="006C5203" w:rsidRPr="00520861" w:rsidRDefault="006C5203" w:rsidP="00292D2E">
      <w:pPr>
        <w:widowControl w:val="0"/>
        <w:spacing w:line="360" w:lineRule="auto"/>
        <w:jc w:val="both"/>
        <w:rPr>
          <w:rFonts w:eastAsia="Calibri"/>
          <w:sz w:val="28"/>
          <w:szCs w:val="28"/>
        </w:rPr>
      </w:pPr>
      <w:r w:rsidRPr="00520861">
        <w:rPr>
          <w:rFonts w:eastAsia="Calibri"/>
          <w:sz w:val="28"/>
          <w:szCs w:val="28"/>
        </w:rPr>
        <w:t xml:space="preserve">ГПП </w:t>
      </w:r>
      <w:r w:rsidRPr="00520861">
        <w:rPr>
          <w:sz w:val="28"/>
          <w:szCs w:val="28"/>
        </w:rPr>
        <w:t xml:space="preserve">– </w:t>
      </w:r>
      <w:r w:rsidRPr="00520861">
        <w:rPr>
          <w:rFonts w:eastAsia="Calibri"/>
          <w:sz w:val="28"/>
          <w:szCs w:val="28"/>
        </w:rPr>
        <w:t xml:space="preserve">група з помірними порушеннями прикусу </w:t>
      </w:r>
    </w:p>
    <w:p w14:paraId="73EDFE8E" w14:textId="77777777" w:rsidR="00067758" w:rsidRPr="00520861" w:rsidRDefault="00067758" w:rsidP="00292D2E">
      <w:pPr>
        <w:widowControl w:val="0"/>
        <w:spacing w:line="360" w:lineRule="auto"/>
        <w:jc w:val="both"/>
        <w:rPr>
          <w:sz w:val="28"/>
          <w:szCs w:val="28"/>
        </w:rPr>
      </w:pPr>
      <w:r w:rsidRPr="00520861">
        <w:rPr>
          <w:sz w:val="28"/>
          <w:szCs w:val="28"/>
        </w:rPr>
        <w:t xml:space="preserve">ГП – група порівняння </w:t>
      </w:r>
    </w:p>
    <w:p w14:paraId="0C4B9416" w14:textId="77777777" w:rsidR="00067758" w:rsidRPr="00520861" w:rsidRDefault="00067758" w:rsidP="00292D2E">
      <w:pPr>
        <w:widowControl w:val="0"/>
        <w:spacing w:line="360" w:lineRule="auto"/>
        <w:jc w:val="both"/>
        <w:rPr>
          <w:sz w:val="28"/>
          <w:szCs w:val="28"/>
        </w:rPr>
      </w:pPr>
      <w:r w:rsidRPr="00520861">
        <w:rPr>
          <w:sz w:val="28"/>
          <w:szCs w:val="28"/>
        </w:rPr>
        <w:t xml:space="preserve">ДГВ – дитина грудного віку </w:t>
      </w:r>
    </w:p>
    <w:p w14:paraId="4A7CC544" w14:textId="77777777" w:rsidR="00067758" w:rsidRPr="00520861" w:rsidRDefault="00067758" w:rsidP="00292D2E">
      <w:pPr>
        <w:widowControl w:val="0"/>
        <w:spacing w:line="360" w:lineRule="auto"/>
        <w:jc w:val="both"/>
        <w:rPr>
          <w:sz w:val="28"/>
          <w:szCs w:val="28"/>
        </w:rPr>
      </w:pPr>
      <w:r w:rsidRPr="00520861">
        <w:rPr>
          <w:sz w:val="28"/>
          <w:szCs w:val="28"/>
        </w:rPr>
        <w:t xml:space="preserve">ДI – довірчій </w:t>
      </w:r>
      <w:r w:rsidR="0026539F" w:rsidRPr="00520861">
        <w:rPr>
          <w:sz w:val="28"/>
          <w:szCs w:val="28"/>
        </w:rPr>
        <w:t>інтервал</w:t>
      </w:r>
    </w:p>
    <w:p w14:paraId="2FA8A12A" w14:textId="77777777" w:rsidR="00463AE8" w:rsidRPr="00520861" w:rsidRDefault="00463AE8" w:rsidP="00292D2E">
      <w:pPr>
        <w:widowControl w:val="0"/>
        <w:spacing w:line="360" w:lineRule="auto"/>
        <w:jc w:val="both"/>
        <w:rPr>
          <w:sz w:val="28"/>
          <w:szCs w:val="28"/>
        </w:rPr>
      </w:pPr>
      <w:r w:rsidRPr="00520861">
        <w:rPr>
          <w:sz w:val="28"/>
          <w:szCs w:val="28"/>
        </w:rPr>
        <w:t>ДНК</w:t>
      </w:r>
      <w:r w:rsidR="006A721E" w:rsidRPr="00520861">
        <w:rPr>
          <w:sz w:val="28"/>
          <w:szCs w:val="28"/>
        </w:rPr>
        <w:t xml:space="preserve"> – </w:t>
      </w:r>
      <w:proofErr w:type="spellStart"/>
      <w:r w:rsidR="006A721E" w:rsidRPr="00520861">
        <w:rPr>
          <w:sz w:val="28"/>
          <w:szCs w:val="28"/>
        </w:rPr>
        <w:t>дезоксирибонуклеїнова</w:t>
      </w:r>
      <w:proofErr w:type="spellEnd"/>
      <w:r w:rsidR="006A721E" w:rsidRPr="00520861">
        <w:rPr>
          <w:sz w:val="28"/>
          <w:szCs w:val="28"/>
        </w:rPr>
        <w:t xml:space="preserve"> кислота</w:t>
      </w:r>
    </w:p>
    <w:p w14:paraId="733B8B77" w14:textId="77777777" w:rsidR="00067758" w:rsidRPr="00520861" w:rsidRDefault="00067758" w:rsidP="00292D2E">
      <w:pPr>
        <w:widowControl w:val="0"/>
        <w:spacing w:line="360" w:lineRule="auto"/>
        <w:rPr>
          <w:sz w:val="28"/>
          <w:szCs w:val="28"/>
        </w:rPr>
      </w:pPr>
      <w:r w:rsidRPr="00520861">
        <w:rPr>
          <w:sz w:val="28"/>
          <w:szCs w:val="28"/>
        </w:rPr>
        <w:t>ЗЩА</w:t>
      </w:r>
      <w:r w:rsidR="00602AF9" w:rsidRPr="00520861">
        <w:rPr>
          <w:sz w:val="28"/>
          <w:szCs w:val="28"/>
          <w:lang w:val="ru-RU"/>
        </w:rPr>
        <w:t xml:space="preserve"> </w:t>
      </w:r>
      <w:r w:rsidRPr="00520861">
        <w:rPr>
          <w:sz w:val="28"/>
          <w:szCs w:val="28"/>
        </w:rPr>
        <w:t xml:space="preserve">– </w:t>
      </w:r>
      <w:proofErr w:type="spellStart"/>
      <w:r w:rsidRPr="00520861">
        <w:rPr>
          <w:sz w:val="28"/>
          <w:szCs w:val="28"/>
        </w:rPr>
        <w:t>зубощелепна</w:t>
      </w:r>
      <w:proofErr w:type="spellEnd"/>
      <w:r w:rsidRPr="00520861">
        <w:rPr>
          <w:sz w:val="28"/>
          <w:szCs w:val="28"/>
        </w:rPr>
        <w:t xml:space="preserve"> аномалія</w:t>
      </w:r>
    </w:p>
    <w:p w14:paraId="4E6251CF" w14:textId="77777777" w:rsidR="00067758" w:rsidRPr="00520861" w:rsidRDefault="00067758" w:rsidP="00292D2E">
      <w:pPr>
        <w:widowControl w:val="0"/>
        <w:spacing w:line="360" w:lineRule="auto"/>
        <w:jc w:val="both"/>
        <w:rPr>
          <w:sz w:val="28"/>
          <w:szCs w:val="28"/>
        </w:rPr>
      </w:pPr>
      <w:r w:rsidRPr="00520861">
        <w:rPr>
          <w:sz w:val="28"/>
          <w:szCs w:val="28"/>
        </w:rPr>
        <w:t xml:space="preserve">ЗЩС – </w:t>
      </w:r>
      <w:proofErr w:type="spellStart"/>
      <w:r w:rsidRPr="00520861">
        <w:rPr>
          <w:sz w:val="28"/>
          <w:szCs w:val="28"/>
        </w:rPr>
        <w:t>зубощелепна</w:t>
      </w:r>
      <w:proofErr w:type="spellEnd"/>
      <w:r w:rsidRPr="00520861">
        <w:rPr>
          <w:sz w:val="28"/>
          <w:szCs w:val="28"/>
        </w:rPr>
        <w:t xml:space="preserve"> система</w:t>
      </w:r>
    </w:p>
    <w:p w14:paraId="2CE95C86" w14:textId="77777777" w:rsidR="00067758" w:rsidRPr="00520861" w:rsidRDefault="00067758" w:rsidP="00292D2E">
      <w:pPr>
        <w:widowControl w:val="0"/>
        <w:spacing w:line="360" w:lineRule="auto"/>
        <w:rPr>
          <w:sz w:val="28"/>
          <w:szCs w:val="28"/>
        </w:rPr>
      </w:pPr>
      <w:r w:rsidRPr="00520861">
        <w:rPr>
          <w:sz w:val="28"/>
          <w:szCs w:val="28"/>
        </w:rPr>
        <w:t>ІМТ – індекс маси тіла</w:t>
      </w:r>
    </w:p>
    <w:p w14:paraId="0F8F50DB" w14:textId="77777777" w:rsidR="00067758" w:rsidRPr="00520861" w:rsidRDefault="00067758" w:rsidP="00292D2E">
      <w:pPr>
        <w:widowControl w:val="0"/>
        <w:spacing w:line="360" w:lineRule="auto"/>
        <w:rPr>
          <w:sz w:val="28"/>
          <w:szCs w:val="28"/>
        </w:rPr>
      </w:pPr>
      <w:proofErr w:type="spellStart"/>
      <w:r w:rsidRPr="00520861">
        <w:rPr>
          <w:sz w:val="28"/>
          <w:szCs w:val="28"/>
        </w:rPr>
        <w:t>ІМТт</w:t>
      </w:r>
      <w:proofErr w:type="spellEnd"/>
      <w:r w:rsidR="00602AF9" w:rsidRPr="00520861">
        <w:rPr>
          <w:sz w:val="28"/>
          <w:szCs w:val="28"/>
        </w:rPr>
        <w:t xml:space="preserve"> </w:t>
      </w:r>
      <w:r w:rsidRPr="00520861">
        <w:rPr>
          <w:sz w:val="28"/>
          <w:szCs w:val="28"/>
        </w:rPr>
        <w:t>– індекс маси тіла тварин</w:t>
      </w:r>
    </w:p>
    <w:p w14:paraId="081DA2AD" w14:textId="77777777" w:rsidR="00EA2420" w:rsidRPr="00520861" w:rsidRDefault="00EA2420" w:rsidP="00292D2E">
      <w:pPr>
        <w:widowControl w:val="0"/>
        <w:spacing w:line="360" w:lineRule="auto"/>
        <w:jc w:val="both"/>
        <w:rPr>
          <w:b/>
          <w:sz w:val="28"/>
          <w:szCs w:val="28"/>
        </w:rPr>
      </w:pPr>
      <w:r w:rsidRPr="00520861">
        <w:rPr>
          <w:sz w:val="28"/>
          <w:szCs w:val="28"/>
        </w:rPr>
        <w:t>КДМ– контрольно-діагностичні моделі</w:t>
      </w:r>
    </w:p>
    <w:p w14:paraId="73F67467" w14:textId="77777777" w:rsidR="00067758" w:rsidRPr="00520861" w:rsidRDefault="002C6375" w:rsidP="00292D2E">
      <w:pPr>
        <w:widowControl w:val="0"/>
        <w:spacing w:line="360" w:lineRule="auto"/>
        <w:jc w:val="both"/>
        <w:rPr>
          <w:sz w:val="28"/>
          <w:szCs w:val="28"/>
        </w:rPr>
      </w:pPr>
      <w:proofErr w:type="spellStart"/>
      <w:r w:rsidRPr="00520861">
        <w:rPr>
          <w:sz w:val="28"/>
          <w:szCs w:val="28"/>
        </w:rPr>
        <w:t>кп</w:t>
      </w:r>
      <w:proofErr w:type="spellEnd"/>
      <w:r w:rsidRPr="00520861">
        <w:rPr>
          <w:sz w:val="28"/>
          <w:szCs w:val="28"/>
        </w:rPr>
        <w:t xml:space="preserve"> – індекс каріозних і</w:t>
      </w:r>
      <w:r w:rsidR="00067758" w:rsidRPr="00520861">
        <w:rPr>
          <w:sz w:val="28"/>
          <w:szCs w:val="28"/>
        </w:rPr>
        <w:t xml:space="preserve"> пломбованих зубів у період тимчасового прикусу</w:t>
      </w:r>
    </w:p>
    <w:p w14:paraId="50DC7E0A" w14:textId="77777777" w:rsidR="00067758" w:rsidRPr="00520861" w:rsidRDefault="00067758" w:rsidP="00292D2E">
      <w:pPr>
        <w:widowControl w:val="0"/>
        <w:spacing w:line="360" w:lineRule="auto"/>
        <w:jc w:val="both"/>
        <w:rPr>
          <w:spacing w:val="-6"/>
          <w:sz w:val="28"/>
          <w:szCs w:val="28"/>
        </w:rPr>
      </w:pPr>
      <w:r w:rsidRPr="00520861">
        <w:rPr>
          <w:sz w:val="28"/>
          <w:szCs w:val="28"/>
        </w:rPr>
        <w:t>КПВ</w:t>
      </w:r>
      <w:r w:rsidR="008F788A" w:rsidRPr="00520861">
        <w:rPr>
          <w:sz w:val="28"/>
          <w:szCs w:val="28"/>
        </w:rPr>
        <w:t xml:space="preserve"> </w:t>
      </w:r>
      <w:r w:rsidRPr="00520861">
        <w:rPr>
          <w:sz w:val="28"/>
          <w:szCs w:val="28"/>
        </w:rPr>
        <w:t>+</w:t>
      </w:r>
      <w:r w:rsidR="008F788A" w:rsidRPr="00520861">
        <w:rPr>
          <w:sz w:val="28"/>
          <w:szCs w:val="28"/>
        </w:rPr>
        <w:t xml:space="preserve"> </w:t>
      </w:r>
      <w:proofErr w:type="spellStart"/>
      <w:r w:rsidRPr="00520861">
        <w:rPr>
          <w:sz w:val="28"/>
          <w:szCs w:val="28"/>
        </w:rPr>
        <w:t>кп</w:t>
      </w:r>
      <w:proofErr w:type="spellEnd"/>
      <w:r w:rsidRPr="00520861">
        <w:rPr>
          <w:sz w:val="28"/>
          <w:szCs w:val="28"/>
        </w:rPr>
        <w:t xml:space="preserve"> – </w:t>
      </w:r>
      <w:r w:rsidRPr="00520861">
        <w:rPr>
          <w:spacing w:val="-6"/>
          <w:sz w:val="28"/>
          <w:szCs w:val="28"/>
        </w:rPr>
        <w:t>індекс каріозних</w:t>
      </w:r>
      <w:r w:rsidR="002C6375" w:rsidRPr="00520861">
        <w:rPr>
          <w:spacing w:val="-6"/>
          <w:sz w:val="28"/>
          <w:szCs w:val="28"/>
        </w:rPr>
        <w:t>, пломбованих і</w:t>
      </w:r>
      <w:r w:rsidRPr="00520861">
        <w:rPr>
          <w:spacing w:val="-6"/>
          <w:sz w:val="28"/>
          <w:szCs w:val="28"/>
        </w:rPr>
        <w:t xml:space="preserve"> видалених зубів у період змінного прикусу</w:t>
      </w:r>
    </w:p>
    <w:p w14:paraId="35DC31C1" w14:textId="77777777" w:rsidR="00067758" w:rsidRPr="00520861" w:rsidRDefault="00067758" w:rsidP="00292D2E">
      <w:pPr>
        <w:widowControl w:val="0"/>
        <w:spacing w:line="360" w:lineRule="auto"/>
        <w:jc w:val="both"/>
        <w:rPr>
          <w:spacing w:val="-4"/>
          <w:sz w:val="28"/>
          <w:szCs w:val="28"/>
        </w:rPr>
      </w:pPr>
      <w:r w:rsidRPr="00520861">
        <w:rPr>
          <w:sz w:val="28"/>
          <w:szCs w:val="28"/>
        </w:rPr>
        <w:t xml:space="preserve">КПВ – </w:t>
      </w:r>
      <w:r w:rsidRPr="00520861">
        <w:rPr>
          <w:spacing w:val="-4"/>
          <w:sz w:val="28"/>
          <w:szCs w:val="28"/>
        </w:rPr>
        <w:t>індекс каріозних</w:t>
      </w:r>
      <w:r w:rsidR="002C6375" w:rsidRPr="00520861">
        <w:rPr>
          <w:spacing w:val="-4"/>
          <w:sz w:val="28"/>
          <w:szCs w:val="28"/>
        </w:rPr>
        <w:t>, пломбованих і</w:t>
      </w:r>
      <w:r w:rsidRPr="00520861">
        <w:rPr>
          <w:spacing w:val="-4"/>
          <w:sz w:val="28"/>
          <w:szCs w:val="28"/>
        </w:rPr>
        <w:t xml:space="preserve"> видалених зубів у період постійного прикусу</w:t>
      </w:r>
    </w:p>
    <w:p w14:paraId="5B6D9712" w14:textId="77777777" w:rsidR="00067758" w:rsidRPr="00520861" w:rsidRDefault="00067758" w:rsidP="00292D2E">
      <w:pPr>
        <w:widowControl w:val="0"/>
        <w:spacing w:line="360" w:lineRule="auto"/>
        <w:jc w:val="both"/>
        <w:rPr>
          <w:sz w:val="28"/>
          <w:szCs w:val="28"/>
        </w:rPr>
      </w:pPr>
      <w:r w:rsidRPr="00520861">
        <w:rPr>
          <w:sz w:val="28"/>
          <w:szCs w:val="28"/>
        </w:rPr>
        <w:t>ЛФ</w:t>
      </w:r>
      <w:r w:rsidR="00602AF9" w:rsidRPr="00520861">
        <w:rPr>
          <w:sz w:val="28"/>
          <w:szCs w:val="28"/>
          <w:lang w:val="ru-RU"/>
        </w:rPr>
        <w:t xml:space="preserve"> </w:t>
      </w:r>
      <w:r w:rsidRPr="00520861">
        <w:rPr>
          <w:sz w:val="28"/>
          <w:szCs w:val="28"/>
        </w:rPr>
        <w:t xml:space="preserve">– лужна </w:t>
      </w:r>
      <w:r w:rsidR="0026539F" w:rsidRPr="00520861">
        <w:rPr>
          <w:sz w:val="28"/>
          <w:szCs w:val="28"/>
        </w:rPr>
        <w:t>фосфатаза</w:t>
      </w:r>
    </w:p>
    <w:p w14:paraId="16498534" w14:textId="77777777" w:rsidR="00067758" w:rsidRPr="00520861" w:rsidRDefault="00067758" w:rsidP="00292D2E">
      <w:pPr>
        <w:widowControl w:val="0"/>
        <w:spacing w:line="360" w:lineRule="auto"/>
        <w:rPr>
          <w:sz w:val="28"/>
          <w:szCs w:val="28"/>
        </w:rPr>
      </w:pPr>
      <w:r w:rsidRPr="00520861">
        <w:rPr>
          <w:sz w:val="28"/>
          <w:szCs w:val="28"/>
        </w:rPr>
        <w:t>МГ</w:t>
      </w:r>
      <w:r w:rsidR="00602AF9" w:rsidRPr="00520861">
        <w:rPr>
          <w:sz w:val="28"/>
          <w:szCs w:val="28"/>
          <w:lang w:val="ru-RU"/>
        </w:rPr>
        <w:t xml:space="preserve"> </w:t>
      </w:r>
      <w:r w:rsidRPr="00520861">
        <w:rPr>
          <w:sz w:val="28"/>
          <w:szCs w:val="28"/>
        </w:rPr>
        <w:t>– молекулярно-генетичний</w:t>
      </w:r>
    </w:p>
    <w:p w14:paraId="1D87D271" w14:textId="77777777" w:rsidR="00067758" w:rsidRPr="00520861" w:rsidRDefault="00067758" w:rsidP="00292D2E">
      <w:pPr>
        <w:widowControl w:val="0"/>
        <w:spacing w:line="360" w:lineRule="auto"/>
        <w:jc w:val="both"/>
        <w:rPr>
          <w:sz w:val="28"/>
          <w:szCs w:val="28"/>
        </w:rPr>
      </w:pPr>
      <w:r w:rsidRPr="00520861">
        <w:rPr>
          <w:sz w:val="28"/>
          <w:szCs w:val="28"/>
        </w:rPr>
        <w:t>МРП – масо-ростові параметри</w:t>
      </w:r>
    </w:p>
    <w:p w14:paraId="7EA0F584" w14:textId="77777777" w:rsidR="00067758" w:rsidRPr="00520861" w:rsidRDefault="00067758" w:rsidP="00292D2E">
      <w:pPr>
        <w:widowControl w:val="0"/>
        <w:spacing w:line="360" w:lineRule="auto"/>
        <w:jc w:val="both"/>
        <w:rPr>
          <w:sz w:val="28"/>
          <w:szCs w:val="28"/>
        </w:rPr>
      </w:pPr>
      <w:r w:rsidRPr="00520861">
        <w:rPr>
          <w:sz w:val="28"/>
          <w:szCs w:val="28"/>
        </w:rPr>
        <w:t xml:space="preserve">МЦР – </w:t>
      </w:r>
      <w:proofErr w:type="spellStart"/>
      <w:r w:rsidRPr="00520861">
        <w:rPr>
          <w:sz w:val="28"/>
          <w:szCs w:val="28"/>
        </w:rPr>
        <w:t>мікроциркуляторне</w:t>
      </w:r>
      <w:proofErr w:type="spellEnd"/>
      <w:r w:rsidRPr="00520861">
        <w:rPr>
          <w:sz w:val="28"/>
          <w:szCs w:val="28"/>
        </w:rPr>
        <w:t xml:space="preserve"> русло</w:t>
      </w:r>
    </w:p>
    <w:p w14:paraId="7FF7B931" w14:textId="77777777" w:rsidR="00EA2420" w:rsidRPr="00520861" w:rsidRDefault="00EA2420" w:rsidP="00292D2E">
      <w:pPr>
        <w:widowControl w:val="0"/>
        <w:spacing w:line="360" w:lineRule="auto"/>
        <w:jc w:val="both"/>
        <w:rPr>
          <w:sz w:val="28"/>
          <w:szCs w:val="28"/>
        </w:rPr>
      </w:pPr>
      <w:r w:rsidRPr="00520861">
        <w:rPr>
          <w:sz w:val="28"/>
          <w:szCs w:val="28"/>
        </w:rPr>
        <w:t>МФ</w:t>
      </w:r>
      <w:r w:rsidR="00602AF9" w:rsidRPr="00520861">
        <w:rPr>
          <w:sz w:val="28"/>
          <w:szCs w:val="28"/>
          <w:lang w:val="ru-RU"/>
        </w:rPr>
        <w:t xml:space="preserve"> </w:t>
      </w:r>
      <w:r w:rsidRPr="00520861">
        <w:rPr>
          <w:sz w:val="28"/>
          <w:szCs w:val="28"/>
        </w:rPr>
        <w:t xml:space="preserve">– </w:t>
      </w:r>
      <w:proofErr w:type="spellStart"/>
      <w:r w:rsidRPr="00520861">
        <w:rPr>
          <w:sz w:val="28"/>
          <w:szCs w:val="28"/>
        </w:rPr>
        <w:t>морфофункціональний</w:t>
      </w:r>
      <w:proofErr w:type="spellEnd"/>
    </w:p>
    <w:p w14:paraId="5D8890E6" w14:textId="77777777" w:rsidR="00067758" w:rsidRPr="00520861" w:rsidRDefault="00067758" w:rsidP="00292D2E">
      <w:pPr>
        <w:widowControl w:val="0"/>
        <w:spacing w:line="360" w:lineRule="auto"/>
        <w:jc w:val="both"/>
        <w:rPr>
          <w:sz w:val="28"/>
          <w:szCs w:val="28"/>
        </w:rPr>
      </w:pPr>
      <w:r w:rsidRPr="00520861">
        <w:rPr>
          <w:sz w:val="28"/>
          <w:szCs w:val="28"/>
        </w:rPr>
        <w:t>ОГ – основна група</w:t>
      </w:r>
    </w:p>
    <w:p w14:paraId="5B2BAA62" w14:textId="77777777" w:rsidR="008605D5" w:rsidRPr="00520861" w:rsidRDefault="00067758" w:rsidP="00292D2E">
      <w:pPr>
        <w:widowControl w:val="0"/>
        <w:spacing w:line="360" w:lineRule="auto"/>
        <w:jc w:val="both"/>
        <w:rPr>
          <w:sz w:val="28"/>
          <w:szCs w:val="28"/>
        </w:rPr>
      </w:pPr>
      <w:r w:rsidRPr="00520861">
        <w:rPr>
          <w:rFonts w:eastAsia="Calibri"/>
          <w:sz w:val="28"/>
          <w:szCs w:val="28"/>
          <w:lang w:eastAsia="en-US"/>
        </w:rPr>
        <w:t>ОГ</w:t>
      </w:r>
      <w:r w:rsidR="007C1076" w:rsidRPr="00520861">
        <w:rPr>
          <w:rFonts w:eastAsia="Calibri"/>
          <w:sz w:val="28"/>
          <w:szCs w:val="28"/>
          <w:lang w:eastAsia="en-US"/>
        </w:rPr>
        <w:t xml:space="preserve"> </w:t>
      </w:r>
      <w:r w:rsidRPr="00520861">
        <w:rPr>
          <w:rFonts w:eastAsia="Calibri"/>
          <w:sz w:val="28"/>
          <w:szCs w:val="28"/>
          <w:lang w:eastAsia="en-US"/>
        </w:rPr>
        <w:t>РДК</w:t>
      </w:r>
      <w:r w:rsidR="00602AF9" w:rsidRPr="00520861">
        <w:rPr>
          <w:rFonts w:eastAsia="Calibri"/>
          <w:sz w:val="28"/>
          <w:szCs w:val="28"/>
          <w:lang w:val="ru-RU" w:eastAsia="en-US"/>
        </w:rPr>
        <w:t xml:space="preserve"> </w:t>
      </w:r>
      <w:r w:rsidRPr="00520861">
        <w:rPr>
          <w:sz w:val="28"/>
          <w:szCs w:val="28"/>
        </w:rPr>
        <w:t>– основна група з раннім дитячім карієсом</w:t>
      </w:r>
    </w:p>
    <w:p w14:paraId="353461D8" w14:textId="77777777" w:rsidR="00067758" w:rsidRPr="00520861" w:rsidRDefault="00067758" w:rsidP="00292D2E">
      <w:pPr>
        <w:widowControl w:val="0"/>
        <w:spacing w:line="360" w:lineRule="auto"/>
        <w:jc w:val="both"/>
        <w:rPr>
          <w:sz w:val="28"/>
          <w:szCs w:val="28"/>
        </w:rPr>
      </w:pPr>
      <w:r w:rsidRPr="00520861">
        <w:rPr>
          <w:rFonts w:eastAsia="Calibri"/>
          <w:sz w:val="28"/>
          <w:szCs w:val="28"/>
          <w:lang w:eastAsia="en-US"/>
        </w:rPr>
        <w:t>ОГ</w:t>
      </w:r>
      <w:r w:rsidR="007C1076" w:rsidRPr="00520861">
        <w:rPr>
          <w:rFonts w:eastAsia="Calibri"/>
          <w:sz w:val="28"/>
          <w:szCs w:val="28"/>
          <w:lang w:eastAsia="en-US"/>
        </w:rPr>
        <w:t xml:space="preserve"> </w:t>
      </w:r>
      <w:r w:rsidRPr="00520861">
        <w:rPr>
          <w:rFonts w:eastAsia="Calibri"/>
          <w:sz w:val="28"/>
          <w:szCs w:val="28"/>
          <w:lang w:eastAsia="en-US"/>
        </w:rPr>
        <w:t>ВІК</w:t>
      </w:r>
      <w:r w:rsidR="00602AF9" w:rsidRPr="00520861">
        <w:rPr>
          <w:rFonts w:eastAsia="Calibri"/>
          <w:sz w:val="28"/>
          <w:szCs w:val="28"/>
          <w:lang w:val="ru-RU" w:eastAsia="en-US"/>
        </w:rPr>
        <w:t xml:space="preserve"> </w:t>
      </w:r>
      <w:r w:rsidRPr="00520861">
        <w:rPr>
          <w:sz w:val="28"/>
          <w:szCs w:val="28"/>
        </w:rPr>
        <w:t>– основна група з високою інтенсивністю карієсу</w:t>
      </w:r>
    </w:p>
    <w:p w14:paraId="359A790E" w14:textId="77777777" w:rsidR="00067758" w:rsidRPr="00520861" w:rsidRDefault="00067758" w:rsidP="00292D2E">
      <w:pPr>
        <w:widowControl w:val="0"/>
        <w:spacing w:line="360" w:lineRule="auto"/>
        <w:jc w:val="both"/>
        <w:rPr>
          <w:sz w:val="28"/>
          <w:szCs w:val="28"/>
        </w:rPr>
      </w:pPr>
      <w:r w:rsidRPr="00520861">
        <w:rPr>
          <w:rFonts w:eastAsia="Calibri"/>
          <w:sz w:val="28"/>
          <w:szCs w:val="28"/>
          <w:lang w:eastAsia="en-US"/>
        </w:rPr>
        <w:lastRenderedPageBreak/>
        <w:t>ОГ</w:t>
      </w:r>
      <w:r w:rsidR="007C1076" w:rsidRPr="00520861">
        <w:rPr>
          <w:rFonts w:eastAsia="Calibri"/>
          <w:sz w:val="28"/>
          <w:szCs w:val="28"/>
          <w:lang w:eastAsia="en-US"/>
        </w:rPr>
        <w:t xml:space="preserve"> </w:t>
      </w:r>
      <w:r w:rsidRPr="00520861">
        <w:rPr>
          <w:rFonts w:eastAsia="Calibri"/>
          <w:sz w:val="28"/>
          <w:szCs w:val="28"/>
          <w:lang w:eastAsia="en-US"/>
        </w:rPr>
        <w:t>СІК</w:t>
      </w:r>
      <w:r w:rsidR="00602AF9" w:rsidRPr="00520861">
        <w:rPr>
          <w:rFonts w:eastAsia="Calibri"/>
          <w:sz w:val="28"/>
          <w:szCs w:val="28"/>
          <w:lang w:val="ru-RU" w:eastAsia="en-US"/>
        </w:rPr>
        <w:t xml:space="preserve"> </w:t>
      </w:r>
      <w:r w:rsidRPr="00520861">
        <w:rPr>
          <w:sz w:val="28"/>
          <w:szCs w:val="28"/>
        </w:rPr>
        <w:t>– основна група з середньою інтенсивністю карієсу</w:t>
      </w:r>
    </w:p>
    <w:p w14:paraId="0222E2E9" w14:textId="77777777" w:rsidR="00067758" w:rsidRPr="00520861" w:rsidRDefault="00067758" w:rsidP="00292D2E">
      <w:pPr>
        <w:widowControl w:val="0"/>
        <w:spacing w:line="360" w:lineRule="auto"/>
        <w:jc w:val="center"/>
        <w:rPr>
          <w:spacing w:val="-2"/>
          <w:sz w:val="28"/>
          <w:szCs w:val="28"/>
        </w:rPr>
      </w:pPr>
      <w:r w:rsidRPr="00520861">
        <w:rPr>
          <w:rFonts w:eastAsia="Calibri"/>
          <w:sz w:val="28"/>
          <w:szCs w:val="28"/>
          <w:lang w:eastAsia="en-US"/>
        </w:rPr>
        <w:t>ОГ</w:t>
      </w:r>
      <w:r w:rsidR="007C1076" w:rsidRPr="00520861">
        <w:rPr>
          <w:rFonts w:eastAsia="Calibri"/>
          <w:sz w:val="28"/>
          <w:szCs w:val="28"/>
          <w:lang w:eastAsia="en-US"/>
        </w:rPr>
        <w:t xml:space="preserve"> </w:t>
      </w:r>
      <w:r w:rsidR="00EA2420" w:rsidRPr="00520861">
        <w:rPr>
          <w:rFonts w:eastAsia="Calibri"/>
          <w:sz w:val="28"/>
          <w:szCs w:val="28"/>
          <w:lang w:eastAsia="en-US"/>
        </w:rPr>
        <w:t xml:space="preserve">ПЗП </w:t>
      </w:r>
      <w:r w:rsidRPr="00520861">
        <w:rPr>
          <w:sz w:val="28"/>
          <w:szCs w:val="28"/>
        </w:rPr>
        <w:t>–</w:t>
      </w:r>
      <w:r w:rsidRPr="00520861">
        <w:rPr>
          <w:rFonts w:eastAsia="Calibri"/>
          <w:sz w:val="28"/>
          <w:szCs w:val="28"/>
          <w:lang w:eastAsia="en-US"/>
        </w:rPr>
        <w:t xml:space="preserve"> </w:t>
      </w:r>
      <w:r w:rsidRPr="00520861">
        <w:rPr>
          <w:spacing w:val="-2"/>
          <w:sz w:val="28"/>
          <w:szCs w:val="28"/>
        </w:rPr>
        <w:t xml:space="preserve">основна група </w:t>
      </w:r>
      <w:r w:rsidRPr="00520861">
        <w:rPr>
          <w:rFonts w:eastAsia="Calibri"/>
          <w:spacing w:val="-2"/>
          <w:sz w:val="28"/>
          <w:szCs w:val="28"/>
          <w:lang w:eastAsia="en-US"/>
        </w:rPr>
        <w:t xml:space="preserve">з превалюванням запальних процесів в тканинах </w:t>
      </w:r>
      <w:proofErr w:type="spellStart"/>
      <w:r w:rsidRPr="00520861">
        <w:rPr>
          <w:rFonts w:eastAsia="Calibri"/>
          <w:spacing w:val="-2"/>
          <w:sz w:val="28"/>
          <w:szCs w:val="28"/>
          <w:lang w:eastAsia="en-US"/>
        </w:rPr>
        <w:t>пародонта</w:t>
      </w:r>
      <w:proofErr w:type="spellEnd"/>
      <w:r w:rsidRPr="00520861">
        <w:rPr>
          <w:rFonts w:eastAsia="Calibri"/>
          <w:spacing w:val="-2"/>
          <w:sz w:val="28"/>
          <w:szCs w:val="28"/>
          <w:lang w:eastAsia="en-US"/>
        </w:rPr>
        <w:t xml:space="preserve"> </w:t>
      </w:r>
    </w:p>
    <w:p w14:paraId="0F67A970" w14:textId="77777777" w:rsidR="00067758" w:rsidRPr="00520861" w:rsidRDefault="00067758" w:rsidP="00292D2E">
      <w:pPr>
        <w:widowControl w:val="0"/>
        <w:spacing w:line="360" w:lineRule="auto"/>
        <w:jc w:val="both"/>
        <w:rPr>
          <w:spacing w:val="-7"/>
          <w:sz w:val="28"/>
          <w:szCs w:val="28"/>
        </w:rPr>
      </w:pPr>
      <w:r w:rsidRPr="00520861">
        <w:rPr>
          <w:sz w:val="28"/>
          <w:szCs w:val="28"/>
          <w:lang w:eastAsia="en-US"/>
        </w:rPr>
        <w:t>ОГ</w:t>
      </w:r>
      <w:r w:rsidR="007C1076" w:rsidRPr="00520861">
        <w:rPr>
          <w:sz w:val="28"/>
          <w:szCs w:val="28"/>
          <w:lang w:eastAsia="en-US"/>
        </w:rPr>
        <w:t xml:space="preserve"> </w:t>
      </w:r>
      <w:r w:rsidRPr="00520861">
        <w:rPr>
          <w:sz w:val="28"/>
          <w:szCs w:val="28"/>
          <w:lang w:eastAsia="en-US"/>
        </w:rPr>
        <w:t>ПДП</w:t>
      </w:r>
      <w:r w:rsidR="00602AF9" w:rsidRPr="00520861">
        <w:rPr>
          <w:sz w:val="28"/>
          <w:szCs w:val="28"/>
          <w:lang w:val="ru-RU" w:eastAsia="en-US"/>
        </w:rPr>
        <w:t xml:space="preserve"> </w:t>
      </w:r>
      <w:r w:rsidRPr="00520861">
        <w:rPr>
          <w:sz w:val="28"/>
          <w:szCs w:val="28"/>
        </w:rPr>
        <w:t>–</w:t>
      </w:r>
      <w:r w:rsidRPr="00520861">
        <w:rPr>
          <w:rFonts w:eastAsia="Calibri"/>
          <w:sz w:val="28"/>
          <w:szCs w:val="28"/>
          <w:lang w:eastAsia="en-US"/>
        </w:rPr>
        <w:t xml:space="preserve"> </w:t>
      </w:r>
      <w:r w:rsidRPr="00520861">
        <w:rPr>
          <w:spacing w:val="-7"/>
          <w:sz w:val="28"/>
          <w:szCs w:val="28"/>
        </w:rPr>
        <w:t xml:space="preserve">основна група </w:t>
      </w:r>
      <w:r w:rsidRPr="00520861">
        <w:rPr>
          <w:rFonts w:eastAsia="Calibri"/>
          <w:spacing w:val="-7"/>
          <w:sz w:val="28"/>
          <w:szCs w:val="28"/>
          <w:lang w:eastAsia="en-US"/>
        </w:rPr>
        <w:t xml:space="preserve">з превалюванням дистрофічних процесів в тканинах </w:t>
      </w:r>
      <w:proofErr w:type="spellStart"/>
      <w:r w:rsidRPr="00520861">
        <w:rPr>
          <w:rFonts w:eastAsia="Calibri"/>
          <w:spacing w:val="-7"/>
          <w:sz w:val="28"/>
          <w:szCs w:val="28"/>
          <w:lang w:eastAsia="en-US"/>
        </w:rPr>
        <w:t>пародонта</w:t>
      </w:r>
      <w:proofErr w:type="spellEnd"/>
    </w:p>
    <w:p w14:paraId="16DBE849" w14:textId="77777777" w:rsidR="00067758" w:rsidRPr="00520861" w:rsidRDefault="00067758" w:rsidP="00292D2E">
      <w:pPr>
        <w:widowControl w:val="0"/>
        <w:spacing w:line="360" w:lineRule="auto"/>
        <w:rPr>
          <w:sz w:val="28"/>
          <w:szCs w:val="28"/>
        </w:rPr>
      </w:pPr>
      <w:r w:rsidRPr="00520861">
        <w:rPr>
          <w:sz w:val="28"/>
          <w:szCs w:val="28"/>
        </w:rPr>
        <w:t>ОГ</w:t>
      </w:r>
      <w:r w:rsidR="007C1076" w:rsidRPr="00520861">
        <w:rPr>
          <w:sz w:val="28"/>
          <w:szCs w:val="28"/>
        </w:rPr>
        <w:t xml:space="preserve"> </w:t>
      </w:r>
      <w:r w:rsidRPr="00520861">
        <w:rPr>
          <w:sz w:val="28"/>
          <w:szCs w:val="28"/>
        </w:rPr>
        <w:t xml:space="preserve">ПП – основна група передчасного прорізування </w:t>
      </w:r>
    </w:p>
    <w:p w14:paraId="0D6B04A6" w14:textId="77777777" w:rsidR="00067758" w:rsidRPr="00520861" w:rsidRDefault="00067758" w:rsidP="00292D2E">
      <w:pPr>
        <w:widowControl w:val="0"/>
        <w:spacing w:line="360" w:lineRule="auto"/>
        <w:rPr>
          <w:sz w:val="28"/>
          <w:szCs w:val="28"/>
        </w:rPr>
      </w:pPr>
      <w:r w:rsidRPr="00520861">
        <w:rPr>
          <w:sz w:val="28"/>
          <w:szCs w:val="28"/>
        </w:rPr>
        <w:t>ОГ</w:t>
      </w:r>
      <w:r w:rsidR="007C1076" w:rsidRPr="00520861">
        <w:rPr>
          <w:sz w:val="28"/>
          <w:szCs w:val="28"/>
        </w:rPr>
        <w:t xml:space="preserve"> </w:t>
      </w:r>
      <w:r w:rsidRPr="00520861">
        <w:rPr>
          <w:sz w:val="28"/>
          <w:szCs w:val="28"/>
        </w:rPr>
        <w:t xml:space="preserve">ЗП – основна група з затримкою прорізування </w:t>
      </w:r>
    </w:p>
    <w:p w14:paraId="5D9E1CC2" w14:textId="77777777" w:rsidR="00067758" w:rsidRPr="00520861" w:rsidRDefault="00067758" w:rsidP="00292D2E">
      <w:pPr>
        <w:widowControl w:val="0"/>
        <w:spacing w:line="360" w:lineRule="auto"/>
        <w:rPr>
          <w:sz w:val="28"/>
          <w:szCs w:val="28"/>
        </w:rPr>
      </w:pPr>
      <w:r w:rsidRPr="00520861">
        <w:rPr>
          <w:sz w:val="28"/>
          <w:szCs w:val="28"/>
        </w:rPr>
        <w:t xml:space="preserve">ОЩТ – оптична щільність </w:t>
      </w:r>
      <w:proofErr w:type="spellStart"/>
      <w:r w:rsidRPr="00520861">
        <w:rPr>
          <w:sz w:val="28"/>
          <w:szCs w:val="28"/>
        </w:rPr>
        <w:t>трабекулярної</w:t>
      </w:r>
      <w:proofErr w:type="spellEnd"/>
      <w:r w:rsidRPr="00520861">
        <w:rPr>
          <w:sz w:val="28"/>
          <w:szCs w:val="28"/>
        </w:rPr>
        <w:t xml:space="preserve"> кісткової тканини щелеп</w:t>
      </w:r>
    </w:p>
    <w:p w14:paraId="15C2311F" w14:textId="77777777" w:rsidR="00067758" w:rsidRPr="00520861" w:rsidRDefault="00067758" w:rsidP="00292D2E">
      <w:pPr>
        <w:widowControl w:val="0"/>
        <w:spacing w:line="360" w:lineRule="auto"/>
        <w:rPr>
          <w:sz w:val="28"/>
          <w:szCs w:val="28"/>
        </w:rPr>
      </w:pPr>
      <w:r w:rsidRPr="00520861">
        <w:rPr>
          <w:sz w:val="28"/>
          <w:szCs w:val="28"/>
        </w:rPr>
        <w:t>ОЩК – оптична щільність кортикальної кісткової тканини щелеп</w:t>
      </w:r>
    </w:p>
    <w:p w14:paraId="55E3224A" w14:textId="77777777" w:rsidR="00067758" w:rsidRPr="00520861" w:rsidRDefault="00067758" w:rsidP="00292D2E">
      <w:pPr>
        <w:widowControl w:val="0"/>
        <w:spacing w:line="360" w:lineRule="auto"/>
        <w:jc w:val="both"/>
        <w:rPr>
          <w:sz w:val="28"/>
          <w:szCs w:val="28"/>
        </w:rPr>
      </w:pPr>
      <w:r w:rsidRPr="00520861">
        <w:rPr>
          <w:sz w:val="28"/>
          <w:szCs w:val="28"/>
        </w:rPr>
        <w:t xml:space="preserve">ОПТГ – </w:t>
      </w:r>
      <w:proofErr w:type="spellStart"/>
      <w:r w:rsidRPr="00520861">
        <w:rPr>
          <w:sz w:val="28"/>
          <w:szCs w:val="28"/>
        </w:rPr>
        <w:t>ортопантомограма</w:t>
      </w:r>
      <w:proofErr w:type="spellEnd"/>
    </w:p>
    <w:p w14:paraId="05A75B49" w14:textId="77777777" w:rsidR="00067758" w:rsidRPr="00520861" w:rsidRDefault="00067758" w:rsidP="00292D2E">
      <w:pPr>
        <w:widowControl w:val="0"/>
        <w:spacing w:line="360" w:lineRule="auto"/>
        <w:jc w:val="both"/>
        <w:rPr>
          <w:sz w:val="28"/>
          <w:szCs w:val="28"/>
        </w:rPr>
      </w:pPr>
      <w:r w:rsidRPr="00520861">
        <w:rPr>
          <w:sz w:val="28"/>
          <w:szCs w:val="28"/>
        </w:rPr>
        <w:t xml:space="preserve">ПКВ – процентна кількість випадків </w:t>
      </w:r>
    </w:p>
    <w:p w14:paraId="0065B04D" w14:textId="77777777" w:rsidR="00067758" w:rsidRPr="00520861" w:rsidRDefault="00490D14" w:rsidP="00292D2E">
      <w:pPr>
        <w:widowControl w:val="0"/>
        <w:spacing w:line="360" w:lineRule="auto"/>
        <w:jc w:val="both"/>
        <w:rPr>
          <w:sz w:val="28"/>
          <w:szCs w:val="28"/>
        </w:rPr>
      </w:pPr>
      <w:r w:rsidRPr="00520861">
        <w:rPr>
          <w:sz w:val="28"/>
          <w:szCs w:val="28"/>
        </w:rPr>
        <w:t>ПОЛ – пере</w:t>
      </w:r>
      <w:r w:rsidR="00894ED0" w:rsidRPr="00520861">
        <w:rPr>
          <w:sz w:val="28"/>
          <w:szCs w:val="28"/>
        </w:rPr>
        <w:t xml:space="preserve">кисне </w:t>
      </w:r>
      <w:r w:rsidR="00067758" w:rsidRPr="00520861">
        <w:rPr>
          <w:sz w:val="28"/>
          <w:szCs w:val="28"/>
        </w:rPr>
        <w:t>окис</w:t>
      </w:r>
      <w:r w:rsidR="00894ED0" w:rsidRPr="00520861">
        <w:rPr>
          <w:sz w:val="28"/>
          <w:szCs w:val="28"/>
        </w:rPr>
        <w:t>л</w:t>
      </w:r>
      <w:r w:rsidR="00067758" w:rsidRPr="00520861">
        <w:rPr>
          <w:sz w:val="28"/>
          <w:szCs w:val="28"/>
        </w:rPr>
        <w:t xml:space="preserve">ення ліпідів </w:t>
      </w:r>
    </w:p>
    <w:p w14:paraId="582936F7" w14:textId="77777777" w:rsidR="008F788A" w:rsidRPr="00520861" w:rsidRDefault="008F788A" w:rsidP="00292D2E">
      <w:pPr>
        <w:widowControl w:val="0"/>
        <w:spacing w:line="360" w:lineRule="auto"/>
        <w:jc w:val="both"/>
        <w:rPr>
          <w:sz w:val="28"/>
          <w:szCs w:val="28"/>
        </w:rPr>
      </w:pPr>
      <w:r w:rsidRPr="00520861">
        <w:rPr>
          <w:sz w:val="28"/>
          <w:szCs w:val="28"/>
        </w:rPr>
        <w:t>ПР</w:t>
      </w:r>
      <w:r w:rsidR="00D8713F" w:rsidRPr="00520861">
        <w:rPr>
          <w:sz w:val="28"/>
          <w:szCs w:val="28"/>
        </w:rPr>
        <w:t xml:space="preserve"> </w:t>
      </w:r>
      <w:r w:rsidRPr="00520861">
        <w:rPr>
          <w:sz w:val="28"/>
          <w:szCs w:val="28"/>
        </w:rPr>
        <w:t>– порожнина рота</w:t>
      </w:r>
    </w:p>
    <w:p w14:paraId="402E7607" w14:textId="77777777" w:rsidR="00067758" w:rsidRPr="00520861" w:rsidRDefault="00067758" w:rsidP="00292D2E">
      <w:pPr>
        <w:widowControl w:val="0"/>
        <w:spacing w:line="360" w:lineRule="auto"/>
        <w:jc w:val="both"/>
        <w:rPr>
          <w:sz w:val="28"/>
          <w:szCs w:val="28"/>
        </w:rPr>
      </w:pPr>
      <w:r w:rsidRPr="00520861">
        <w:rPr>
          <w:sz w:val="28"/>
          <w:szCs w:val="28"/>
        </w:rPr>
        <w:t>РДК – ранній дитячій карієс</w:t>
      </w:r>
    </w:p>
    <w:p w14:paraId="5172B9AB" w14:textId="77777777" w:rsidR="00EA2420" w:rsidRPr="00520861" w:rsidRDefault="00EA2420" w:rsidP="00292D2E">
      <w:pPr>
        <w:widowControl w:val="0"/>
        <w:spacing w:line="360" w:lineRule="auto"/>
        <w:jc w:val="both"/>
        <w:rPr>
          <w:sz w:val="28"/>
          <w:szCs w:val="28"/>
        </w:rPr>
      </w:pPr>
      <w:r w:rsidRPr="00520861">
        <w:rPr>
          <w:sz w:val="28"/>
          <w:szCs w:val="28"/>
        </w:rPr>
        <w:t>РНК</w:t>
      </w:r>
      <w:r w:rsidR="006A721E" w:rsidRPr="00520861">
        <w:rPr>
          <w:sz w:val="28"/>
          <w:szCs w:val="28"/>
        </w:rPr>
        <w:t xml:space="preserve"> – рибонуклеїнова кислота</w:t>
      </w:r>
    </w:p>
    <w:p w14:paraId="3949A7C5" w14:textId="77777777" w:rsidR="00067758" w:rsidRPr="00520861" w:rsidRDefault="00067758" w:rsidP="00292D2E">
      <w:pPr>
        <w:widowControl w:val="0"/>
        <w:spacing w:line="360" w:lineRule="auto"/>
        <w:jc w:val="both"/>
        <w:rPr>
          <w:sz w:val="28"/>
          <w:szCs w:val="28"/>
        </w:rPr>
      </w:pPr>
      <w:r w:rsidRPr="00520861">
        <w:rPr>
          <w:sz w:val="28"/>
          <w:szCs w:val="28"/>
        </w:rPr>
        <w:t>РР – ротова рідина</w:t>
      </w:r>
    </w:p>
    <w:p w14:paraId="59B5F174" w14:textId="77777777" w:rsidR="00EA2420" w:rsidRPr="00520861" w:rsidRDefault="00EA2420" w:rsidP="00292D2E">
      <w:pPr>
        <w:widowControl w:val="0"/>
        <w:spacing w:line="360" w:lineRule="auto"/>
        <w:jc w:val="both"/>
        <w:rPr>
          <w:sz w:val="28"/>
          <w:szCs w:val="28"/>
        </w:rPr>
      </w:pPr>
      <w:r w:rsidRPr="00520861">
        <w:rPr>
          <w:sz w:val="28"/>
          <w:szCs w:val="28"/>
        </w:rPr>
        <w:t>РТМ</w:t>
      </w:r>
      <w:r w:rsidR="00602AF9" w:rsidRPr="00520861">
        <w:rPr>
          <w:sz w:val="28"/>
          <w:szCs w:val="28"/>
          <w:lang w:val="ru-RU"/>
        </w:rPr>
        <w:t xml:space="preserve"> </w:t>
      </w:r>
      <w:r w:rsidRPr="00520861">
        <w:rPr>
          <w:sz w:val="28"/>
          <w:szCs w:val="28"/>
        </w:rPr>
        <w:t xml:space="preserve">– </w:t>
      </w:r>
      <w:proofErr w:type="spellStart"/>
      <w:r w:rsidRPr="00520861">
        <w:rPr>
          <w:sz w:val="28"/>
          <w:szCs w:val="28"/>
        </w:rPr>
        <w:t>ретеновані</w:t>
      </w:r>
      <w:proofErr w:type="spellEnd"/>
      <w:r w:rsidRPr="00520861">
        <w:rPr>
          <w:sz w:val="28"/>
          <w:szCs w:val="28"/>
        </w:rPr>
        <w:t xml:space="preserve"> треті моляри</w:t>
      </w:r>
    </w:p>
    <w:p w14:paraId="33FCD485" w14:textId="77777777" w:rsidR="00067758" w:rsidRPr="00520861" w:rsidRDefault="00067758" w:rsidP="00292D2E">
      <w:pPr>
        <w:widowControl w:val="0"/>
        <w:spacing w:line="360" w:lineRule="auto"/>
        <w:jc w:val="both"/>
        <w:rPr>
          <w:sz w:val="28"/>
          <w:szCs w:val="28"/>
        </w:rPr>
      </w:pPr>
      <w:r w:rsidRPr="00520861">
        <w:rPr>
          <w:sz w:val="28"/>
          <w:szCs w:val="28"/>
        </w:rPr>
        <w:t>СБФ – сумарний батьківський фактор</w:t>
      </w:r>
    </w:p>
    <w:p w14:paraId="0571C2F1" w14:textId="77777777" w:rsidR="00067758" w:rsidRPr="00520861" w:rsidRDefault="00067758" w:rsidP="00292D2E">
      <w:pPr>
        <w:widowControl w:val="0"/>
        <w:spacing w:line="360" w:lineRule="auto"/>
        <w:jc w:val="both"/>
        <w:rPr>
          <w:sz w:val="28"/>
          <w:szCs w:val="28"/>
        </w:rPr>
      </w:pPr>
      <w:r w:rsidRPr="00520861">
        <w:rPr>
          <w:sz w:val="28"/>
          <w:szCs w:val="28"/>
        </w:rPr>
        <w:t xml:space="preserve">СГС – </w:t>
      </w:r>
      <w:proofErr w:type="spellStart"/>
      <w:r w:rsidRPr="00520861">
        <w:rPr>
          <w:sz w:val="28"/>
          <w:szCs w:val="28"/>
        </w:rPr>
        <w:t>стоматогнатична</w:t>
      </w:r>
      <w:proofErr w:type="spellEnd"/>
      <w:r w:rsidRPr="00520861">
        <w:rPr>
          <w:sz w:val="28"/>
          <w:szCs w:val="28"/>
        </w:rPr>
        <w:t xml:space="preserve"> система </w:t>
      </w:r>
    </w:p>
    <w:p w14:paraId="78505C1B" w14:textId="77777777" w:rsidR="00067758" w:rsidRPr="00520861" w:rsidRDefault="00067758" w:rsidP="00292D2E">
      <w:pPr>
        <w:widowControl w:val="0"/>
        <w:spacing w:line="360" w:lineRule="auto"/>
        <w:jc w:val="both"/>
        <w:rPr>
          <w:sz w:val="28"/>
          <w:szCs w:val="28"/>
        </w:rPr>
      </w:pPr>
      <w:r w:rsidRPr="00520861">
        <w:rPr>
          <w:sz w:val="28"/>
          <w:szCs w:val="28"/>
        </w:rPr>
        <w:t xml:space="preserve">СОД – </w:t>
      </w:r>
      <w:proofErr w:type="spellStart"/>
      <w:r w:rsidRPr="00520861">
        <w:rPr>
          <w:sz w:val="28"/>
          <w:szCs w:val="28"/>
        </w:rPr>
        <w:t>супероксиддисмутаза</w:t>
      </w:r>
      <w:proofErr w:type="spellEnd"/>
      <w:r w:rsidRPr="00520861">
        <w:rPr>
          <w:sz w:val="28"/>
          <w:szCs w:val="28"/>
        </w:rPr>
        <w:t xml:space="preserve"> </w:t>
      </w:r>
    </w:p>
    <w:p w14:paraId="3DEA7FBB" w14:textId="77777777" w:rsidR="00067758" w:rsidRPr="00520861" w:rsidRDefault="00067758" w:rsidP="00292D2E">
      <w:pPr>
        <w:widowControl w:val="0"/>
        <w:spacing w:line="360" w:lineRule="auto"/>
        <w:rPr>
          <w:sz w:val="28"/>
          <w:szCs w:val="28"/>
        </w:rPr>
      </w:pPr>
      <w:r w:rsidRPr="00520861">
        <w:rPr>
          <w:sz w:val="28"/>
          <w:szCs w:val="28"/>
        </w:rPr>
        <w:t>СОПР</w:t>
      </w:r>
      <w:r w:rsidR="00602AF9" w:rsidRPr="00520861">
        <w:rPr>
          <w:sz w:val="28"/>
          <w:szCs w:val="28"/>
          <w:lang w:val="ru-RU"/>
        </w:rPr>
        <w:t xml:space="preserve"> </w:t>
      </w:r>
      <w:r w:rsidRPr="00520861">
        <w:rPr>
          <w:sz w:val="28"/>
          <w:szCs w:val="28"/>
        </w:rPr>
        <w:t>– слизова оболонка порожнини рота</w:t>
      </w:r>
    </w:p>
    <w:p w14:paraId="6832EF97" w14:textId="77777777" w:rsidR="00067758" w:rsidRPr="00520861" w:rsidRDefault="00067758" w:rsidP="00292D2E">
      <w:pPr>
        <w:widowControl w:val="0"/>
        <w:spacing w:line="360" w:lineRule="auto"/>
        <w:jc w:val="both"/>
        <w:rPr>
          <w:sz w:val="28"/>
          <w:szCs w:val="28"/>
        </w:rPr>
      </w:pPr>
      <w:r w:rsidRPr="00520861">
        <w:rPr>
          <w:sz w:val="28"/>
          <w:szCs w:val="28"/>
        </w:rPr>
        <w:t xml:space="preserve">СТГ – соматотропний гормон </w:t>
      </w:r>
    </w:p>
    <w:p w14:paraId="051E58B6" w14:textId="77777777" w:rsidR="00067758" w:rsidRPr="00520861" w:rsidRDefault="00067758" w:rsidP="00292D2E">
      <w:pPr>
        <w:widowControl w:val="0"/>
        <w:spacing w:line="360" w:lineRule="auto"/>
        <w:rPr>
          <w:sz w:val="28"/>
          <w:szCs w:val="28"/>
        </w:rPr>
      </w:pPr>
      <w:proofErr w:type="spellStart"/>
      <w:r w:rsidRPr="00520861">
        <w:rPr>
          <w:sz w:val="28"/>
          <w:szCs w:val="28"/>
        </w:rPr>
        <w:t>СтП</w:t>
      </w:r>
      <w:proofErr w:type="spellEnd"/>
      <w:r w:rsidRPr="00520861">
        <w:rPr>
          <w:sz w:val="28"/>
          <w:szCs w:val="28"/>
        </w:rPr>
        <w:t xml:space="preserve"> – стоматологічні порушення</w:t>
      </w:r>
    </w:p>
    <w:p w14:paraId="783E0452" w14:textId="77777777" w:rsidR="00067758" w:rsidRPr="00520861" w:rsidRDefault="00F321CE" w:rsidP="00292D2E">
      <w:pPr>
        <w:widowControl w:val="0"/>
        <w:spacing w:line="360" w:lineRule="auto"/>
        <w:jc w:val="both"/>
        <w:rPr>
          <w:sz w:val="28"/>
          <w:szCs w:val="28"/>
        </w:rPr>
      </w:pPr>
      <w:r w:rsidRPr="00520861">
        <w:rPr>
          <w:sz w:val="28"/>
          <w:szCs w:val="28"/>
        </w:rPr>
        <w:t>ТБК-АП – продукти, що вступають у реакцію з</w:t>
      </w:r>
      <w:r w:rsidR="00067758" w:rsidRPr="00520861">
        <w:rPr>
          <w:sz w:val="28"/>
          <w:szCs w:val="28"/>
        </w:rPr>
        <w:t xml:space="preserve"> </w:t>
      </w:r>
      <w:proofErr w:type="spellStart"/>
      <w:r w:rsidR="00067758" w:rsidRPr="00520861">
        <w:rPr>
          <w:sz w:val="28"/>
          <w:szCs w:val="28"/>
        </w:rPr>
        <w:t>тіобарбітуровою</w:t>
      </w:r>
      <w:proofErr w:type="spellEnd"/>
      <w:r w:rsidR="00067758" w:rsidRPr="00520861">
        <w:rPr>
          <w:sz w:val="28"/>
          <w:szCs w:val="28"/>
        </w:rPr>
        <w:t xml:space="preserve"> кислотою </w:t>
      </w:r>
    </w:p>
    <w:p w14:paraId="7E38C58E" w14:textId="77777777" w:rsidR="00067758" w:rsidRPr="00520861" w:rsidRDefault="00067758" w:rsidP="00292D2E">
      <w:pPr>
        <w:widowControl w:val="0"/>
        <w:spacing w:line="360" w:lineRule="auto"/>
        <w:jc w:val="both"/>
        <w:rPr>
          <w:sz w:val="28"/>
          <w:szCs w:val="28"/>
        </w:rPr>
      </w:pPr>
      <w:r w:rsidRPr="00520861">
        <w:rPr>
          <w:sz w:val="28"/>
          <w:szCs w:val="28"/>
        </w:rPr>
        <w:t xml:space="preserve">ЩЛД – </w:t>
      </w:r>
      <w:proofErr w:type="spellStart"/>
      <w:r w:rsidRPr="00520861">
        <w:rPr>
          <w:sz w:val="28"/>
          <w:szCs w:val="28"/>
        </w:rPr>
        <w:t>щелепно</w:t>
      </w:r>
      <w:proofErr w:type="spellEnd"/>
      <w:r w:rsidRPr="00520861">
        <w:rPr>
          <w:sz w:val="28"/>
          <w:szCs w:val="28"/>
        </w:rPr>
        <w:t>-лицева ділянка</w:t>
      </w:r>
    </w:p>
    <w:p w14:paraId="62FFDDE2" w14:textId="77777777" w:rsidR="00067758" w:rsidRPr="00520861" w:rsidRDefault="00067758" w:rsidP="00292D2E">
      <w:pPr>
        <w:widowControl w:val="0"/>
        <w:spacing w:line="360" w:lineRule="auto"/>
        <w:rPr>
          <w:sz w:val="28"/>
          <w:szCs w:val="28"/>
        </w:rPr>
      </w:pPr>
      <w:r w:rsidRPr="00520861">
        <w:rPr>
          <w:sz w:val="28"/>
          <w:szCs w:val="28"/>
        </w:rPr>
        <w:t>DAI – дентальний естетичний індекс</w:t>
      </w:r>
    </w:p>
    <w:p w14:paraId="0CF00657" w14:textId="77777777" w:rsidR="00067758" w:rsidRPr="00520861" w:rsidRDefault="00490D14" w:rsidP="00292D2E">
      <w:pPr>
        <w:widowControl w:val="0"/>
        <w:spacing w:line="360" w:lineRule="auto"/>
        <w:jc w:val="both"/>
        <w:rPr>
          <w:sz w:val="28"/>
          <w:szCs w:val="28"/>
        </w:rPr>
      </w:pPr>
      <w:proofErr w:type="spellStart"/>
      <w:r w:rsidRPr="00520861">
        <w:rPr>
          <w:sz w:val="28"/>
          <w:szCs w:val="28"/>
        </w:rPr>
        <w:t>Ig</w:t>
      </w:r>
      <w:proofErr w:type="spellEnd"/>
      <w:r w:rsidRPr="00520861">
        <w:rPr>
          <w:sz w:val="28"/>
          <w:szCs w:val="28"/>
        </w:rPr>
        <w:t xml:space="preserve"> – імуноглобулін</w:t>
      </w:r>
      <w:r w:rsidR="00067758" w:rsidRPr="00520861">
        <w:rPr>
          <w:sz w:val="28"/>
          <w:szCs w:val="28"/>
        </w:rPr>
        <w:t xml:space="preserve"> </w:t>
      </w:r>
    </w:p>
    <w:p w14:paraId="6F2FE5E9" w14:textId="77777777" w:rsidR="00067758" w:rsidRPr="00520861" w:rsidRDefault="00067758" w:rsidP="00292D2E">
      <w:pPr>
        <w:widowControl w:val="0"/>
        <w:spacing w:line="360" w:lineRule="auto"/>
        <w:rPr>
          <w:sz w:val="28"/>
          <w:szCs w:val="28"/>
        </w:rPr>
      </w:pPr>
      <w:r w:rsidRPr="00520861">
        <w:rPr>
          <w:sz w:val="28"/>
          <w:szCs w:val="28"/>
        </w:rPr>
        <w:t xml:space="preserve">IL – </w:t>
      </w:r>
      <w:proofErr w:type="spellStart"/>
      <w:r w:rsidRPr="00520861">
        <w:rPr>
          <w:sz w:val="28"/>
          <w:szCs w:val="28"/>
        </w:rPr>
        <w:t>інтерлейкін</w:t>
      </w:r>
      <w:proofErr w:type="spellEnd"/>
    </w:p>
    <w:p w14:paraId="1B93FF3A" w14:textId="77777777" w:rsidR="006C5203" w:rsidRPr="00520861" w:rsidRDefault="006C5203" w:rsidP="00292D2E">
      <w:pPr>
        <w:widowControl w:val="0"/>
        <w:spacing w:line="360" w:lineRule="auto"/>
        <w:jc w:val="both"/>
        <w:rPr>
          <w:rFonts w:eastAsia="Calibri"/>
          <w:sz w:val="28"/>
          <w:szCs w:val="28"/>
        </w:rPr>
      </w:pPr>
      <w:proofErr w:type="spellStart"/>
      <w:r w:rsidRPr="00520861">
        <w:rPr>
          <w:rFonts w:eastAsia="Calibri"/>
          <w:sz w:val="28"/>
          <w:szCs w:val="28"/>
        </w:rPr>
        <w:t>L</w:t>
      </w:r>
      <w:r w:rsidRPr="00520861">
        <w:rPr>
          <w:rFonts w:eastAsia="Calibri"/>
          <w:color w:val="000000"/>
          <w:sz w:val="28"/>
          <w:szCs w:val="28"/>
          <w:shd w:val="clear" w:color="auto" w:fill="FFFFFF"/>
          <w:vertAlign w:val="subscript"/>
        </w:rPr>
        <w:t>кт</w:t>
      </w:r>
      <w:proofErr w:type="spellEnd"/>
      <w:r w:rsidRPr="00520861">
        <w:rPr>
          <w:rFonts w:eastAsia="Calibri"/>
          <w:sz w:val="28"/>
          <w:szCs w:val="28"/>
        </w:rPr>
        <w:t xml:space="preserve"> </w:t>
      </w:r>
      <w:r w:rsidRPr="00520861">
        <w:rPr>
          <w:sz w:val="28"/>
          <w:szCs w:val="28"/>
        </w:rPr>
        <w:t xml:space="preserve">– </w:t>
      </w:r>
      <w:r w:rsidRPr="00520861">
        <w:rPr>
          <w:rFonts w:eastAsia="Calibri"/>
          <w:sz w:val="28"/>
          <w:szCs w:val="28"/>
        </w:rPr>
        <w:t xml:space="preserve">відстань між серединою ментального отвору і нижнім краєм нижньої щелепи </w:t>
      </w:r>
    </w:p>
    <w:p w14:paraId="17B316FC" w14:textId="77777777" w:rsidR="006C5203" w:rsidRPr="00520861" w:rsidRDefault="006C5203" w:rsidP="00292D2E">
      <w:pPr>
        <w:widowControl w:val="0"/>
        <w:spacing w:line="360" w:lineRule="auto"/>
        <w:jc w:val="both"/>
        <w:rPr>
          <w:rFonts w:eastAsia="Calibri"/>
          <w:sz w:val="28"/>
          <w:szCs w:val="28"/>
        </w:rPr>
      </w:pPr>
      <w:r w:rsidRPr="00520861">
        <w:rPr>
          <w:rFonts w:eastAsia="Calibri"/>
          <w:sz w:val="28"/>
          <w:szCs w:val="28"/>
          <w:lang w:eastAsia="en-US"/>
        </w:rPr>
        <w:t>отримана з томографічних зображень</w:t>
      </w:r>
    </w:p>
    <w:p w14:paraId="4C857CE4" w14:textId="77777777" w:rsidR="006C5203" w:rsidRPr="00520861" w:rsidRDefault="006C5203" w:rsidP="00292D2E">
      <w:pPr>
        <w:widowControl w:val="0"/>
        <w:spacing w:line="360" w:lineRule="auto"/>
        <w:jc w:val="both"/>
        <w:rPr>
          <w:rFonts w:eastAsia="Calibri"/>
          <w:sz w:val="28"/>
          <w:szCs w:val="28"/>
        </w:rPr>
      </w:pPr>
      <w:r w:rsidRPr="00520861">
        <w:rPr>
          <w:rFonts w:eastAsia="Calibri"/>
          <w:color w:val="000000"/>
          <w:sz w:val="28"/>
          <w:szCs w:val="28"/>
        </w:rPr>
        <w:t>L</w:t>
      </w:r>
      <w:r w:rsidRPr="00520861">
        <w:rPr>
          <w:rFonts w:eastAsia="Calibri"/>
          <w:color w:val="000000"/>
          <w:sz w:val="28"/>
          <w:szCs w:val="28"/>
          <w:vertAlign w:val="subscript"/>
        </w:rPr>
        <w:t>ОПТГ</w:t>
      </w:r>
      <w:r w:rsidRPr="00520861">
        <w:rPr>
          <w:rFonts w:eastAsia="Calibri"/>
          <w:color w:val="000000"/>
          <w:sz w:val="28"/>
          <w:szCs w:val="28"/>
        </w:rPr>
        <w:t xml:space="preserve"> </w:t>
      </w:r>
      <w:r w:rsidRPr="00520861">
        <w:rPr>
          <w:sz w:val="28"/>
          <w:szCs w:val="28"/>
        </w:rPr>
        <w:t xml:space="preserve">– </w:t>
      </w:r>
      <w:r w:rsidRPr="00520861">
        <w:rPr>
          <w:rFonts w:eastAsia="Calibri"/>
          <w:color w:val="000000"/>
          <w:sz w:val="28"/>
          <w:szCs w:val="28"/>
        </w:rPr>
        <w:t>відстані між серединою ментального отвору й нижнім краєм нижньої щелепи</w:t>
      </w:r>
      <w:r w:rsidRPr="00520861">
        <w:rPr>
          <w:rFonts w:eastAsia="Calibri"/>
          <w:sz w:val="28"/>
          <w:szCs w:val="28"/>
          <w:lang w:eastAsia="en-US"/>
        </w:rPr>
        <w:t xml:space="preserve"> отримана з </w:t>
      </w:r>
      <w:proofErr w:type="spellStart"/>
      <w:r w:rsidRPr="00520861">
        <w:rPr>
          <w:rFonts w:eastAsia="Calibri"/>
          <w:sz w:val="28"/>
          <w:szCs w:val="28"/>
          <w:lang w:eastAsia="en-US"/>
        </w:rPr>
        <w:t>ортопантомограм</w:t>
      </w:r>
      <w:proofErr w:type="spellEnd"/>
    </w:p>
    <w:p w14:paraId="38150B46" w14:textId="77777777" w:rsidR="006A721E" w:rsidRPr="00520861" w:rsidRDefault="006A721E" w:rsidP="00292D2E">
      <w:pPr>
        <w:widowControl w:val="0"/>
        <w:spacing w:line="360" w:lineRule="auto"/>
        <w:jc w:val="both"/>
        <w:rPr>
          <w:sz w:val="28"/>
          <w:szCs w:val="28"/>
        </w:rPr>
      </w:pPr>
      <w:r w:rsidRPr="00520861">
        <w:rPr>
          <w:rFonts w:eastAsia="Calibri"/>
          <w:color w:val="000000"/>
          <w:sz w:val="28"/>
          <w:szCs w:val="28"/>
          <w:shd w:val="clear" w:color="auto" w:fill="FFFFFF"/>
        </w:rPr>
        <w:lastRenderedPageBreak/>
        <w:t xml:space="preserve">МІ </w:t>
      </w:r>
      <w:r w:rsidRPr="00520861">
        <w:rPr>
          <w:sz w:val="28"/>
          <w:szCs w:val="28"/>
        </w:rPr>
        <w:t>– ментальний індекс</w:t>
      </w:r>
    </w:p>
    <w:p w14:paraId="1A5E4B1B" w14:textId="77777777" w:rsidR="006C5203" w:rsidRPr="00520861" w:rsidRDefault="006C5203" w:rsidP="00292D2E">
      <w:pPr>
        <w:widowControl w:val="0"/>
        <w:spacing w:line="360" w:lineRule="auto"/>
        <w:jc w:val="both"/>
        <w:rPr>
          <w:rFonts w:eastAsia="Calibri"/>
          <w:sz w:val="28"/>
          <w:szCs w:val="28"/>
        </w:rPr>
      </w:pPr>
      <w:proofErr w:type="spellStart"/>
      <w:r w:rsidRPr="00520861">
        <w:rPr>
          <w:rFonts w:eastAsia="Calibri"/>
          <w:color w:val="000000"/>
          <w:sz w:val="28"/>
          <w:szCs w:val="28"/>
          <w:shd w:val="clear" w:color="auto" w:fill="FFFFFF"/>
        </w:rPr>
        <w:t>МІ</w:t>
      </w:r>
      <w:r w:rsidRPr="00520861">
        <w:rPr>
          <w:rFonts w:eastAsia="Calibri"/>
          <w:color w:val="000000"/>
          <w:sz w:val="28"/>
          <w:szCs w:val="28"/>
          <w:shd w:val="clear" w:color="auto" w:fill="FFFFFF"/>
          <w:vertAlign w:val="subscript"/>
        </w:rPr>
        <w:t>кт</w:t>
      </w:r>
      <w:proofErr w:type="spellEnd"/>
      <w:r w:rsidRPr="00520861">
        <w:rPr>
          <w:rFonts w:eastAsia="Calibri"/>
          <w:color w:val="000000"/>
          <w:sz w:val="28"/>
          <w:szCs w:val="28"/>
          <w:shd w:val="clear" w:color="auto" w:fill="FFFFFF"/>
        </w:rPr>
        <w:t xml:space="preserve"> </w:t>
      </w:r>
      <w:r w:rsidRPr="00520861">
        <w:rPr>
          <w:sz w:val="28"/>
          <w:szCs w:val="28"/>
        </w:rPr>
        <w:t xml:space="preserve">– </w:t>
      </w:r>
      <w:r w:rsidRPr="00520861">
        <w:rPr>
          <w:rFonts w:eastAsia="Calibri"/>
          <w:color w:val="000000"/>
          <w:sz w:val="28"/>
          <w:szCs w:val="28"/>
          <w:shd w:val="clear" w:color="auto" w:fill="FFFFFF"/>
        </w:rPr>
        <w:t xml:space="preserve">товщина кортикального шару по краю нижньої щелепи </w:t>
      </w:r>
      <w:r w:rsidRPr="00520861">
        <w:rPr>
          <w:rFonts w:eastAsia="Calibri"/>
          <w:sz w:val="28"/>
          <w:szCs w:val="28"/>
          <w:lang w:eastAsia="en-US"/>
        </w:rPr>
        <w:t>отримана з томографічних зображень</w:t>
      </w:r>
    </w:p>
    <w:p w14:paraId="2E741A02" w14:textId="77777777" w:rsidR="00260131" w:rsidRPr="00520861" w:rsidRDefault="00260131" w:rsidP="00292D2E">
      <w:pPr>
        <w:widowControl w:val="0"/>
        <w:spacing w:line="360" w:lineRule="auto"/>
        <w:jc w:val="both"/>
        <w:rPr>
          <w:sz w:val="28"/>
          <w:szCs w:val="28"/>
        </w:rPr>
      </w:pPr>
      <w:r w:rsidRPr="00520861">
        <w:rPr>
          <w:sz w:val="28"/>
          <w:szCs w:val="28"/>
        </w:rPr>
        <w:t>OHI-S – спрощений індекс гігієни за Гріном-Вермільйоном</w:t>
      </w:r>
    </w:p>
    <w:p w14:paraId="37169857" w14:textId="77777777" w:rsidR="00067758" w:rsidRPr="00520861" w:rsidRDefault="00067758" w:rsidP="00292D2E">
      <w:pPr>
        <w:widowControl w:val="0"/>
        <w:spacing w:line="360" w:lineRule="auto"/>
        <w:rPr>
          <w:sz w:val="28"/>
          <w:szCs w:val="28"/>
        </w:rPr>
      </w:pPr>
      <w:proofErr w:type="spellStart"/>
      <w:r w:rsidRPr="00520861">
        <w:rPr>
          <w:sz w:val="28"/>
          <w:szCs w:val="28"/>
        </w:rPr>
        <w:t>рН</w:t>
      </w:r>
      <w:proofErr w:type="spellEnd"/>
      <w:r w:rsidRPr="00520861">
        <w:rPr>
          <w:sz w:val="28"/>
          <w:szCs w:val="28"/>
        </w:rPr>
        <w:t xml:space="preserve"> – водневий показник</w:t>
      </w:r>
    </w:p>
    <w:p w14:paraId="78DF24BC" w14:textId="77777777" w:rsidR="00067758" w:rsidRPr="00520861" w:rsidRDefault="00067758" w:rsidP="00292D2E">
      <w:pPr>
        <w:widowControl w:val="0"/>
        <w:spacing w:line="360" w:lineRule="auto"/>
        <w:jc w:val="both"/>
        <w:rPr>
          <w:sz w:val="28"/>
          <w:szCs w:val="28"/>
        </w:rPr>
      </w:pPr>
      <w:r w:rsidRPr="00520861">
        <w:rPr>
          <w:sz w:val="28"/>
          <w:szCs w:val="28"/>
        </w:rPr>
        <w:t>РМА</w:t>
      </w:r>
      <w:r w:rsidR="006A721E" w:rsidRPr="00520861">
        <w:rPr>
          <w:sz w:val="28"/>
          <w:szCs w:val="28"/>
        </w:rPr>
        <w:t xml:space="preserve"> </w:t>
      </w:r>
      <w:r w:rsidRPr="00520861">
        <w:rPr>
          <w:sz w:val="28"/>
          <w:szCs w:val="28"/>
        </w:rPr>
        <w:t xml:space="preserve">– </w:t>
      </w:r>
      <w:proofErr w:type="spellStart"/>
      <w:r w:rsidRPr="00520861">
        <w:rPr>
          <w:sz w:val="28"/>
          <w:szCs w:val="28"/>
        </w:rPr>
        <w:t>пап</w:t>
      </w:r>
      <w:r w:rsidR="00F00FED" w:rsidRPr="00520861">
        <w:rPr>
          <w:sz w:val="28"/>
          <w:szCs w:val="28"/>
        </w:rPr>
        <w:t>ілярно</w:t>
      </w:r>
      <w:proofErr w:type="spellEnd"/>
      <w:r w:rsidR="00F00FED" w:rsidRPr="00520861">
        <w:rPr>
          <w:sz w:val="28"/>
          <w:szCs w:val="28"/>
        </w:rPr>
        <w:t>-</w:t>
      </w:r>
      <w:proofErr w:type="spellStart"/>
      <w:r w:rsidR="00F00FED" w:rsidRPr="00520861">
        <w:rPr>
          <w:sz w:val="28"/>
          <w:szCs w:val="28"/>
        </w:rPr>
        <w:t>маргінально</w:t>
      </w:r>
      <w:proofErr w:type="spellEnd"/>
      <w:r w:rsidR="00F00FED" w:rsidRPr="00520861">
        <w:rPr>
          <w:sz w:val="28"/>
          <w:szCs w:val="28"/>
        </w:rPr>
        <w:t>-альвеолярний</w:t>
      </w:r>
      <w:r w:rsidRPr="00520861">
        <w:rPr>
          <w:sz w:val="28"/>
          <w:szCs w:val="28"/>
        </w:rPr>
        <w:t xml:space="preserve"> індекс</w:t>
      </w:r>
    </w:p>
    <w:p w14:paraId="2391260D" w14:textId="77777777" w:rsidR="006A721E" w:rsidRPr="00520861" w:rsidRDefault="006A721E" w:rsidP="00292D2E">
      <w:pPr>
        <w:widowControl w:val="0"/>
        <w:spacing w:line="360" w:lineRule="auto"/>
        <w:jc w:val="both"/>
        <w:rPr>
          <w:sz w:val="28"/>
          <w:szCs w:val="28"/>
        </w:rPr>
      </w:pPr>
      <w:r w:rsidRPr="00520861">
        <w:rPr>
          <w:rFonts w:eastAsia="Calibri"/>
          <w:color w:val="000000"/>
          <w:sz w:val="28"/>
          <w:szCs w:val="28"/>
        </w:rPr>
        <w:t xml:space="preserve">PMI </w:t>
      </w:r>
      <w:r w:rsidRPr="00520861">
        <w:rPr>
          <w:sz w:val="28"/>
          <w:szCs w:val="28"/>
        </w:rPr>
        <w:t xml:space="preserve">– </w:t>
      </w:r>
      <w:r w:rsidRPr="00520861">
        <w:rPr>
          <w:rFonts w:eastAsia="Calibri"/>
          <w:color w:val="000000"/>
          <w:sz w:val="28"/>
          <w:szCs w:val="28"/>
        </w:rPr>
        <w:t xml:space="preserve">панорамний </w:t>
      </w:r>
      <w:proofErr w:type="spellStart"/>
      <w:r w:rsidRPr="00520861">
        <w:rPr>
          <w:rFonts w:eastAsia="Calibri"/>
          <w:color w:val="000000"/>
          <w:sz w:val="28"/>
          <w:szCs w:val="28"/>
        </w:rPr>
        <w:t>мандибулярний</w:t>
      </w:r>
      <w:proofErr w:type="spellEnd"/>
      <w:r w:rsidRPr="00520861">
        <w:rPr>
          <w:rFonts w:eastAsia="Calibri"/>
          <w:color w:val="000000"/>
          <w:sz w:val="28"/>
          <w:szCs w:val="28"/>
        </w:rPr>
        <w:t xml:space="preserve"> індекс</w:t>
      </w:r>
    </w:p>
    <w:p w14:paraId="126D8DFA" w14:textId="77777777" w:rsidR="00067758" w:rsidRPr="00520861" w:rsidRDefault="00067758" w:rsidP="00292D2E">
      <w:pPr>
        <w:widowControl w:val="0"/>
        <w:spacing w:line="360" w:lineRule="auto"/>
        <w:rPr>
          <w:sz w:val="28"/>
          <w:szCs w:val="28"/>
        </w:rPr>
      </w:pPr>
      <w:proofErr w:type="spellStart"/>
      <w:r w:rsidRPr="00520861">
        <w:rPr>
          <w:sz w:val="28"/>
          <w:szCs w:val="28"/>
        </w:rPr>
        <w:t>sIgA</w:t>
      </w:r>
      <w:proofErr w:type="spellEnd"/>
      <w:r w:rsidR="006C5203" w:rsidRPr="00520861">
        <w:rPr>
          <w:sz w:val="28"/>
          <w:szCs w:val="28"/>
        </w:rPr>
        <w:t xml:space="preserve"> </w:t>
      </w:r>
      <w:r w:rsidRPr="00520861">
        <w:rPr>
          <w:sz w:val="28"/>
          <w:szCs w:val="28"/>
        </w:rPr>
        <w:t>– секреторний імуноглобулін А</w:t>
      </w:r>
    </w:p>
    <w:p w14:paraId="0FEC6DB7" w14:textId="77777777" w:rsidR="00067758" w:rsidRPr="00520861" w:rsidRDefault="00067758" w:rsidP="00292D2E">
      <w:pPr>
        <w:widowControl w:val="0"/>
        <w:spacing w:line="360" w:lineRule="auto"/>
        <w:jc w:val="both"/>
        <w:rPr>
          <w:sz w:val="28"/>
          <w:szCs w:val="28"/>
        </w:rPr>
      </w:pPr>
      <w:r w:rsidRPr="00520861">
        <w:rPr>
          <w:sz w:val="28"/>
          <w:szCs w:val="28"/>
        </w:rPr>
        <w:t xml:space="preserve">WAG – </w:t>
      </w:r>
      <w:proofErr w:type="spellStart"/>
      <w:r w:rsidRPr="00520861">
        <w:rPr>
          <w:sz w:val="28"/>
          <w:szCs w:val="28"/>
        </w:rPr>
        <w:t>Wistar</w:t>
      </w:r>
      <w:proofErr w:type="spellEnd"/>
      <w:r w:rsidRPr="00520861">
        <w:rPr>
          <w:sz w:val="28"/>
          <w:szCs w:val="28"/>
        </w:rPr>
        <w:t xml:space="preserve"> </w:t>
      </w:r>
      <w:proofErr w:type="spellStart"/>
      <w:r w:rsidRPr="00520861">
        <w:rPr>
          <w:sz w:val="28"/>
          <w:szCs w:val="28"/>
        </w:rPr>
        <w:t>Albino</w:t>
      </w:r>
      <w:proofErr w:type="spellEnd"/>
      <w:r w:rsidRPr="00520861">
        <w:rPr>
          <w:sz w:val="28"/>
          <w:szCs w:val="28"/>
        </w:rPr>
        <w:t xml:space="preserve"> </w:t>
      </w:r>
      <w:proofErr w:type="spellStart"/>
      <w:r w:rsidRPr="00520861">
        <w:rPr>
          <w:sz w:val="28"/>
          <w:szCs w:val="28"/>
        </w:rPr>
        <w:t>Glaxо</w:t>
      </w:r>
      <w:proofErr w:type="spellEnd"/>
      <w:r w:rsidRPr="00520861">
        <w:rPr>
          <w:sz w:val="28"/>
          <w:szCs w:val="28"/>
        </w:rPr>
        <w:t xml:space="preserve"> </w:t>
      </w:r>
    </w:p>
    <w:p w14:paraId="7C39BA4D" w14:textId="77777777" w:rsidR="00207B46" w:rsidRPr="00520861" w:rsidRDefault="000D4DD6" w:rsidP="00292D2E">
      <w:pPr>
        <w:widowControl w:val="0"/>
        <w:spacing w:line="336" w:lineRule="auto"/>
        <w:jc w:val="center"/>
        <w:rPr>
          <w:b/>
          <w:sz w:val="28"/>
          <w:szCs w:val="28"/>
        </w:rPr>
      </w:pPr>
      <w:r w:rsidRPr="00520861">
        <w:rPr>
          <w:sz w:val="28"/>
          <w:szCs w:val="28"/>
        </w:rPr>
        <w:br w:type="page"/>
      </w:r>
      <w:r w:rsidR="00207B46" w:rsidRPr="00520861">
        <w:rPr>
          <w:b/>
          <w:sz w:val="28"/>
          <w:szCs w:val="28"/>
        </w:rPr>
        <w:lastRenderedPageBreak/>
        <w:t>ВСТУП</w:t>
      </w:r>
    </w:p>
    <w:p w14:paraId="4DAD1E59" w14:textId="77777777" w:rsidR="00FC75FE" w:rsidRPr="00520861" w:rsidRDefault="00FC75FE" w:rsidP="00292D2E">
      <w:pPr>
        <w:widowControl w:val="0"/>
        <w:spacing w:line="360" w:lineRule="auto"/>
        <w:jc w:val="center"/>
        <w:rPr>
          <w:sz w:val="28"/>
          <w:szCs w:val="28"/>
        </w:rPr>
      </w:pPr>
    </w:p>
    <w:p w14:paraId="05721846" w14:textId="77777777" w:rsidR="00521FEB" w:rsidRPr="00520861" w:rsidRDefault="00521FEB" w:rsidP="00292D2E">
      <w:pPr>
        <w:widowControl w:val="0"/>
        <w:spacing w:line="360" w:lineRule="auto"/>
        <w:jc w:val="center"/>
        <w:rPr>
          <w:sz w:val="28"/>
          <w:szCs w:val="28"/>
        </w:rPr>
      </w:pPr>
    </w:p>
    <w:p w14:paraId="0519E40A" w14:textId="77777777" w:rsidR="009B77A4" w:rsidRPr="00520861" w:rsidRDefault="00FC75FE" w:rsidP="00292D2E">
      <w:pPr>
        <w:widowControl w:val="0"/>
        <w:spacing w:line="360" w:lineRule="auto"/>
        <w:ind w:firstLine="720"/>
        <w:jc w:val="both"/>
        <w:rPr>
          <w:sz w:val="28"/>
          <w:szCs w:val="28"/>
        </w:rPr>
      </w:pPr>
      <w:r w:rsidRPr="00520861">
        <w:rPr>
          <w:b/>
          <w:sz w:val="28"/>
          <w:szCs w:val="28"/>
        </w:rPr>
        <w:t>Актуальність теми</w:t>
      </w:r>
      <w:r w:rsidR="00523297" w:rsidRPr="00520861">
        <w:rPr>
          <w:b/>
          <w:sz w:val="28"/>
          <w:szCs w:val="28"/>
        </w:rPr>
        <w:t xml:space="preserve">. </w:t>
      </w:r>
      <w:r w:rsidR="009B77A4" w:rsidRPr="00520861">
        <w:rPr>
          <w:sz w:val="28"/>
          <w:szCs w:val="28"/>
        </w:rPr>
        <w:t xml:space="preserve">На тлі загального підвищення середньої маси тіла серед популяції економічно розвинених країн зростає чисельність дітей, які народжені </w:t>
      </w:r>
      <w:r w:rsidR="00D14633" w:rsidRPr="00520861">
        <w:rPr>
          <w:sz w:val="28"/>
          <w:szCs w:val="28"/>
        </w:rPr>
        <w:br/>
      </w:r>
      <w:r w:rsidR="009B77A4" w:rsidRPr="00520861">
        <w:rPr>
          <w:sz w:val="28"/>
          <w:szCs w:val="28"/>
        </w:rPr>
        <w:t xml:space="preserve">з </w:t>
      </w:r>
      <w:proofErr w:type="spellStart"/>
      <w:r w:rsidR="009B77A4" w:rsidRPr="00520861">
        <w:rPr>
          <w:sz w:val="28"/>
          <w:szCs w:val="28"/>
        </w:rPr>
        <w:t>макросомією</w:t>
      </w:r>
      <w:proofErr w:type="spellEnd"/>
      <w:r w:rsidR="005E4297" w:rsidRPr="00520861">
        <w:rPr>
          <w:sz w:val="28"/>
          <w:szCs w:val="28"/>
        </w:rPr>
        <w:t xml:space="preserve"> [</w:t>
      </w:r>
      <w:r w:rsidR="00B7643D" w:rsidRPr="00520861">
        <w:rPr>
          <w:sz w:val="28"/>
          <w:szCs w:val="28"/>
        </w:rPr>
        <w:t>44</w:t>
      </w:r>
      <w:r w:rsidR="002A368A" w:rsidRPr="00520861">
        <w:rPr>
          <w:sz w:val="28"/>
          <w:szCs w:val="28"/>
        </w:rPr>
        <w:t>1</w:t>
      </w:r>
      <w:r w:rsidR="004505DF" w:rsidRPr="00520861">
        <w:rPr>
          <w:sz w:val="28"/>
          <w:szCs w:val="28"/>
        </w:rPr>
        <w:t>, 551</w:t>
      </w:r>
      <w:r w:rsidR="005E4297" w:rsidRPr="00520861">
        <w:rPr>
          <w:sz w:val="28"/>
          <w:szCs w:val="28"/>
        </w:rPr>
        <w:t>]</w:t>
      </w:r>
      <w:r w:rsidR="009B77A4" w:rsidRPr="00520861">
        <w:rPr>
          <w:sz w:val="28"/>
          <w:szCs w:val="28"/>
        </w:rPr>
        <w:t xml:space="preserve">. </w:t>
      </w:r>
    </w:p>
    <w:p w14:paraId="4D4E065C" w14:textId="77777777" w:rsidR="000913AA" w:rsidRPr="00520861" w:rsidRDefault="009B77A4" w:rsidP="00292D2E">
      <w:pPr>
        <w:widowControl w:val="0"/>
        <w:spacing w:line="360" w:lineRule="auto"/>
        <w:ind w:firstLine="720"/>
        <w:jc w:val="both"/>
        <w:rPr>
          <w:b/>
          <w:sz w:val="28"/>
          <w:szCs w:val="28"/>
        </w:rPr>
      </w:pPr>
      <w:r w:rsidRPr="00520861">
        <w:rPr>
          <w:sz w:val="28"/>
          <w:szCs w:val="28"/>
        </w:rPr>
        <w:t>Особливості клінічної, метаболічної та імунологічної адаптації таких новонароджених знайшли відображення в обширній бібліографії науковців</w:t>
      </w:r>
      <w:r w:rsidRPr="00520861">
        <w:rPr>
          <w:sz w:val="28"/>
          <w:szCs w:val="28"/>
          <w:shd w:val="clear" w:color="auto" w:fill="FFFFFF"/>
        </w:rPr>
        <w:t>.</w:t>
      </w:r>
      <w:r w:rsidR="00350626" w:rsidRPr="00520861">
        <w:rPr>
          <w:b/>
          <w:sz w:val="28"/>
          <w:szCs w:val="28"/>
        </w:rPr>
        <w:t xml:space="preserve"> </w:t>
      </w:r>
      <w:r w:rsidR="0056752A" w:rsidRPr="00520861">
        <w:rPr>
          <w:sz w:val="28"/>
          <w:szCs w:val="28"/>
          <w:shd w:val="clear" w:color="auto" w:fill="FFFFFF"/>
        </w:rPr>
        <w:t>Дослідники</w:t>
      </w:r>
      <w:r w:rsidR="007A485D" w:rsidRPr="00520861">
        <w:rPr>
          <w:sz w:val="28"/>
          <w:szCs w:val="28"/>
          <w:shd w:val="clear" w:color="auto" w:fill="FFFFFF"/>
        </w:rPr>
        <w:t xml:space="preserve"> </w:t>
      </w:r>
      <w:r w:rsidR="00BA6191" w:rsidRPr="00520861">
        <w:rPr>
          <w:sz w:val="28"/>
          <w:szCs w:val="28"/>
          <w:shd w:val="clear" w:color="auto" w:fill="FFFFFF"/>
        </w:rPr>
        <w:t>відзначають в</w:t>
      </w:r>
      <w:r w:rsidRPr="00520861">
        <w:rPr>
          <w:sz w:val="28"/>
          <w:szCs w:val="28"/>
          <w:shd w:val="clear" w:color="auto" w:fill="FFFFFF"/>
        </w:rPr>
        <w:t xml:space="preserve">исокий рівень </w:t>
      </w:r>
      <w:proofErr w:type="spellStart"/>
      <w:r w:rsidRPr="00520861">
        <w:rPr>
          <w:sz w:val="28"/>
          <w:szCs w:val="28"/>
          <w:shd w:val="clear" w:color="auto" w:fill="FFFFFF"/>
        </w:rPr>
        <w:t>перинатальної</w:t>
      </w:r>
      <w:proofErr w:type="spellEnd"/>
      <w:r w:rsidRPr="00520861">
        <w:rPr>
          <w:sz w:val="28"/>
          <w:szCs w:val="28"/>
          <w:shd w:val="clear" w:color="auto" w:fill="FFFFFF"/>
        </w:rPr>
        <w:t xml:space="preserve"> захворюва</w:t>
      </w:r>
      <w:r w:rsidR="000B35E2" w:rsidRPr="00520861">
        <w:rPr>
          <w:sz w:val="28"/>
          <w:szCs w:val="28"/>
          <w:shd w:val="clear" w:color="auto" w:fill="FFFFFF"/>
        </w:rPr>
        <w:t xml:space="preserve">ності та </w:t>
      </w:r>
      <w:r w:rsidR="00350626" w:rsidRPr="00520861">
        <w:rPr>
          <w:sz w:val="28"/>
          <w:szCs w:val="28"/>
          <w:shd w:val="clear" w:color="auto" w:fill="FFFFFF"/>
        </w:rPr>
        <w:t xml:space="preserve">смертності таких </w:t>
      </w:r>
      <w:r w:rsidR="00350626" w:rsidRPr="00520861">
        <w:rPr>
          <w:sz w:val="28"/>
          <w:szCs w:val="28"/>
          <w:shd w:val="clear" w:color="auto" w:fill="FFFFFF"/>
        </w:rPr>
        <w:br/>
        <w:t xml:space="preserve">дітей [249]. </w:t>
      </w:r>
      <w:r w:rsidR="00BA6191" w:rsidRPr="00520861">
        <w:rPr>
          <w:sz w:val="28"/>
          <w:szCs w:val="28"/>
          <w:lang w:eastAsia="x-none" w:bidi="lo-LA"/>
        </w:rPr>
        <w:t>Порушення ада</w:t>
      </w:r>
      <w:r w:rsidR="00701A12" w:rsidRPr="00520861">
        <w:rPr>
          <w:sz w:val="28"/>
          <w:szCs w:val="28"/>
          <w:lang w:eastAsia="x-none" w:bidi="lo-LA"/>
        </w:rPr>
        <w:t>птаційних процесів, відхилення у</w:t>
      </w:r>
      <w:r w:rsidR="00976977" w:rsidRPr="00520861">
        <w:rPr>
          <w:sz w:val="28"/>
          <w:szCs w:val="28"/>
          <w:lang w:eastAsia="x-none" w:bidi="lo-LA"/>
        </w:rPr>
        <w:t xml:space="preserve"> фізичному, соматичному й</w:t>
      </w:r>
      <w:r w:rsidR="00BA6191" w:rsidRPr="00520861">
        <w:rPr>
          <w:sz w:val="28"/>
          <w:szCs w:val="28"/>
          <w:lang w:eastAsia="x-none" w:bidi="lo-LA"/>
        </w:rPr>
        <w:t xml:space="preserve"> нервово-психічному </w:t>
      </w:r>
      <w:r w:rsidR="00976977" w:rsidRPr="00520861">
        <w:rPr>
          <w:sz w:val="28"/>
          <w:szCs w:val="28"/>
          <w:lang w:eastAsia="x-none" w:bidi="lo-LA"/>
        </w:rPr>
        <w:t>станах в</w:t>
      </w:r>
      <w:r w:rsidR="000B35E2" w:rsidRPr="00520861">
        <w:rPr>
          <w:sz w:val="28"/>
          <w:szCs w:val="28"/>
          <w:lang w:eastAsia="x-none" w:bidi="lo-LA"/>
        </w:rPr>
        <w:t xml:space="preserve"> онтогенезі –</w:t>
      </w:r>
      <w:r w:rsidR="00BA6191" w:rsidRPr="00520861">
        <w:rPr>
          <w:sz w:val="28"/>
          <w:szCs w:val="28"/>
          <w:lang w:eastAsia="x-none" w:bidi="lo-LA"/>
        </w:rPr>
        <w:t xml:space="preserve"> наслідки внутрішньоутроб</w:t>
      </w:r>
      <w:r w:rsidR="000B35E2" w:rsidRPr="00520861">
        <w:rPr>
          <w:sz w:val="28"/>
          <w:szCs w:val="28"/>
          <w:lang w:eastAsia="x-none" w:bidi="lo-LA"/>
        </w:rPr>
        <w:t>н</w:t>
      </w:r>
      <w:r w:rsidR="00BA6191" w:rsidRPr="00520861">
        <w:rPr>
          <w:sz w:val="28"/>
          <w:szCs w:val="28"/>
          <w:lang w:eastAsia="x-none" w:bidi="lo-LA"/>
        </w:rPr>
        <w:t>ого</w:t>
      </w:r>
      <w:r w:rsidR="00174453" w:rsidRPr="00520861">
        <w:rPr>
          <w:sz w:val="28"/>
          <w:szCs w:val="28"/>
          <w:lang w:eastAsia="x-none" w:bidi="lo-LA"/>
        </w:rPr>
        <w:t xml:space="preserve"> </w:t>
      </w:r>
      <w:r w:rsidR="00EA0F22" w:rsidRPr="00520861">
        <w:rPr>
          <w:sz w:val="28"/>
          <w:szCs w:val="28"/>
          <w:lang w:eastAsia="x-none" w:bidi="lo-LA"/>
        </w:rPr>
        <w:t xml:space="preserve">(ВУ) </w:t>
      </w:r>
      <w:r w:rsidR="00BA6191" w:rsidRPr="00520861">
        <w:rPr>
          <w:sz w:val="28"/>
          <w:szCs w:val="28"/>
          <w:lang w:eastAsia="x-none" w:bidi="lo-LA"/>
        </w:rPr>
        <w:t>стану.</w:t>
      </w:r>
    </w:p>
    <w:p w14:paraId="4556D023" w14:textId="77777777" w:rsidR="00361251" w:rsidRPr="00520861" w:rsidRDefault="009B77A4" w:rsidP="00292D2E">
      <w:pPr>
        <w:widowControl w:val="0"/>
        <w:spacing w:line="360" w:lineRule="auto"/>
        <w:ind w:firstLine="708"/>
        <w:jc w:val="both"/>
        <w:rPr>
          <w:sz w:val="28"/>
          <w:szCs w:val="28"/>
          <w:lang w:eastAsia="x-none" w:bidi="lo-LA"/>
        </w:rPr>
      </w:pPr>
      <w:r w:rsidRPr="00520861">
        <w:rPr>
          <w:sz w:val="28"/>
          <w:szCs w:val="28"/>
          <w:lang w:eastAsia="x-none" w:bidi="lo-LA"/>
        </w:rPr>
        <w:t xml:space="preserve">На сьогодні гіпотеза фетального, або </w:t>
      </w:r>
      <w:r w:rsidR="00EA0F22" w:rsidRPr="00520861">
        <w:rPr>
          <w:sz w:val="28"/>
          <w:szCs w:val="28"/>
          <w:lang w:eastAsia="x-none" w:bidi="lo-LA"/>
        </w:rPr>
        <w:t>ВУ</w:t>
      </w:r>
      <w:r w:rsidR="002A368A" w:rsidRPr="00520861">
        <w:rPr>
          <w:sz w:val="28"/>
          <w:szCs w:val="28"/>
          <w:lang w:eastAsia="x-none" w:bidi="lo-LA"/>
        </w:rPr>
        <w:t>, програмування [3</w:t>
      </w:r>
      <w:r w:rsidR="00B7643D" w:rsidRPr="00520861">
        <w:rPr>
          <w:sz w:val="28"/>
          <w:szCs w:val="28"/>
          <w:lang w:eastAsia="x-none" w:bidi="lo-LA"/>
        </w:rPr>
        <w:t>94</w:t>
      </w:r>
      <w:r w:rsidR="00633875" w:rsidRPr="00520861">
        <w:rPr>
          <w:sz w:val="28"/>
          <w:szCs w:val="28"/>
          <w:lang w:eastAsia="x-none" w:bidi="lo-LA"/>
        </w:rPr>
        <w:t>, 4</w:t>
      </w:r>
      <w:r w:rsidR="00B7643D" w:rsidRPr="00520861">
        <w:rPr>
          <w:sz w:val="28"/>
          <w:szCs w:val="28"/>
          <w:lang w:eastAsia="x-none" w:bidi="lo-LA"/>
        </w:rPr>
        <w:t>07</w:t>
      </w:r>
      <w:r w:rsidR="002A368A" w:rsidRPr="00520861">
        <w:rPr>
          <w:sz w:val="28"/>
          <w:szCs w:val="28"/>
          <w:lang w:eastAsia="x-none" w:bidi="lo-LA"/>
        </w:rPr>
        <w:t xml:space="preserve">], </w:t>
      </w:r>
      <w:r w:rsidRPr="00520861">
        <w:rPr>
          <w:sz w:val="28"/>
          <w:szCs w:val="28"/>
          <w:lang w:eastAsia="x-none" w:bidi="lo-LA"/>
        </w:rPr>
        <w:t xml:space="preserve">коли </w:t>
      </w:r>
      <w:r w:rsidR="005D6378" w:rsidRPr="00520861">
        <w:rPr>
          <w:sz w:val="28"/>
          <w:szCs w:val="28"/>
          <w:lang w:eastAsia="x-none" w:bidi="lo-LA"/>
        </w:rPr>
        <w:br/>
      </w:r>
      <w:proofErr w:type="spellStart"/>
      <w:r w:rsidRPr="00520861">
        <w:rPr>
          <w:sz w:val="28"/>
          <w:szCs w:val="28"/>
          <w:lang w:eastAsia="x-none" w:bidi="lo-LA"/>
        </w:rPr>
        <w:t>внутрішньоутробно</w:t>
      </w:r>
      <w:proofErr w:type="spellEnd"/>
      <w:r w:rsidRPr="00520861">
        <w:rPr>
          <w:sz w:val="28"/>
          <w:szCs w:val="28"/>
          <w:lang w:eastAsia="x-none" w:bidi="lo-LA"/>
        </w:rPr>
        <w:t xml:space="preserve"> закладені зміни програмують схиль</w:t>
      </w:r>
      <w:r w:rsidR="00B1685E" w:rsidRPr="00520861">
        <w:rPr>
          <w:sz w:val="28"/>
          <w:szCs w:val="28"/>
          <w:lang w:eastAsia="x-none" w:bidi="lo-LA"/>
        </w:rPr>
        <w:t xml:space="preserve">ність до певних </w:t>
      </w:r>
      <w:proofErr w:type="spellStart"/>
      <w:r w:rsidR="00B1685E" w:rsidRPr="00520861">
        <w:rPr>
          <w:sz w:val="28"/>
          <w:szCs w:val="28"/>
          <w:lang w:eastAsia="x-none" w:bidi="lo-LA"/>
        </w:rPr>
        <w:t>хвороб</w:t>
      </w:r>
      <w:proofErr w:type="spellEnd"/>
      <w:r w:rsidR="00B1685E" w:rsidRPr="00520861">
        <w:rPr>
          <w:sz w:val="28"/>
          <w:szCs w:val="28"/>
          <w:lang w:eastAsia="x-none" w:bidi="lo-LA"/>
        </w:rPr>
        <w:t xml:space="preserve"> у</w:t>
      </w:r>
      <w:r w:rsidRPr="00520861">
        <w:rPr>
          <w:sz w:val="28"/>
          <w:szCs w:val="28"/>
          <w:lang w:eastAsia="x-none" w:bidi="lo-LA"/>
        </w:rPr>
        <w:t xml:space="preserve"> онтогенезі, підтв</w:t>
      </w:r>
      <w:r w:rsidR="00986E6B" w:rsidRPr="00520861">
        <w:rPr>
          <w:sz w:val="28"/>
          <w:szCs w:val="28"/>
          <w:lang w:eastAsia="x-none" w:bidi="lo-LA"/>
        </w:rPr>
        <w:t>ерджена багатьма дослідженнями</w:t>
      </w:r>
      <w:r w:rsidR="003B726C" w:rsidRPr="00520861">
        <w:rPr>
          <w:sz w:val="28"/>
          <w:szCs w:val="28"/>
          <w:lang w:eastAsia="x-none" w:bidi="lo-LA"/>
        </w:rPr>
        <w:t xml:space="preserve"> [137]</w:t>
      </w:r>
      <w:r w:rsidRPr="00520861">
        <w:rPr>
          <w:sz w:val="28"/>
          <w:szCs w:val="28"/>
          <w:lang w:eastAsia="x-none" w:bidi="lo-LA"/>
        </w:rPr>
        <w:t xml:space="preserve">. </w:t>
      </w:r>
    </w:p>
    <w:p w14:paraId="2E7BAAF4" w14:textId="77777777" w:rsidR="00C91A5E" w:rsidRPr="00520861" w:rsidRDefault="00047099" w:rsidP="00292D2E">
      <w:pPr>
        <w:widowControl w:val="0"/>
        <w:spacing w:line="360" w:lineRule="auto"/>
        <w:ind w:firstLine="708"/>
        <w:jc w:val="both"/>
        <w:rPr>
          <w:sz w:val="28"/>
          <w:szCs w:val="28"/>
          <w:lang w:eastAsia="x-none" w:bidi="lo-LA"/>
        </w:rPr>
      </w:pPr>
      <w:r w:rsidRPr="00520861">
        <w:rPr>
          <w:sz w:val="28"/>
          <w:szCs w:val="28"/>
          <w:lang w:eastAsia="x-none" w:bidi="lo-LA"/>
        </w:rPr>
        <w:t>Зокрема</w:t>
      </w:r>
      <w:r w:rsidR="00701A12" w:rsidRPr="00520861">
        <w:rPr>
          <w:sz w:val="28"/>
          <w:szCs w:val="28"/>
          <w:lang w:eastAsia="x-none" w:bidi="lo-LA"/>
        </w:rPr>
        <w:t>,</w:t>
      </w:r>
      <w:r w:rsidRPr="00520861">
        <w:rPr>
          <w:sz w:val="28"/>
          <w:szCs w:val="28"/>
          <w:lang w:eastAsia="x-none" w:bidi="lo-LA"/>
        </w:rPr>
        <w:t xml:space="preserve"> актуальності набула</w:t>
      </w:r>
      <w:r w:rsidR="00C91A5E" w:rsidRPr="00520861">
        <w:rPr>
          <w:sz w:val="28"/>
          <w:szCs w:val="28"/>
          <w:lang w:eastAsia="x-none" w:bidi="lo-LA"/>
        </w:rPr>
        <w:t xml:space="preserve"> гіпотеза </w:t>
      </w:r>
      <w:r w:rsidR="00EA0F22" w:rsidRPr="00520861">
        <w:rPr>
          <w:sz w:val="28"/>
          <w:szCs w:val="28"/>
          <w:lang w:eastAsia="x-none" w:bidi="lo-LA"/>
        </w:rPr>
        <w:t>ВУ</w:t>
      </w:r>
      <w:r w:rsidR="00C91A5E" w:rsidRPr="00520861">
        <w:rPr>
          <w:sz w:val="28"/>
          <w:szCs w:val="28"/>
          <w:lang w:eastAsia="x-none" w:bidi="lo-LA"/>
        </w:rPr>
        <w:t xml:space="preserve"> надмірного харчування, яка була вперше озвучена </w:t>
      </w:r>
      <w:proofErr w:type="spellStart"/>
      <w:r w:rsidR="00995EFB" w:rsidRPr="00520861">
        <w:rPr>
          <w:sz w:val="28"/>
          <w:szCs w:val="28"/>
          <w:lang w:eastAsia="x-none" w:bidi="lo-LA"/>
        </w:rPr>
        <w:t>Taylor</w:t>
      </w:r>
      <w:proofErr w:type="spellEnd"/>
      <w:r w:rsidR="00995EFB" w:rsidRPr="00520861">
        <w:rPr>
          <w:sz w:val="28"/>
          <w:szCs w:val="28"/>
          <w:lang w:eastAsia="x-none" w:bidi="lo-LA"/>
        </w:rPr>
        <w:t xml:space="preserve"> P. </w:t>
      </w:r>
      <w:r w:rsidR="0061381B" w:rsidRPr="00520861">
        <w:rPr>
          <w:sz w:val="28"/>
          <w:szCs w:val="28"/>
          <w:lang w:eastAsia="x-none" w:bidi="lo-LA"/>
        </w:rPr>
        <w:t>D. та співавторами</w:t>
      </w:r>
      <w:r w:rsidR="00633875" w:rsidRPr="00520861">
        <w:rPr>
          <w:sz w:val="28"/>
          <w:szCs w:val="28"/>
          <w:lang w:eastAsia="x-none" w:bidi="lo-LA"/>
        </w:rPr>
        <w:t xml:space="preserve"> [5</w:t>
      </w:r>
      <w:r w:rsidR="00B7643D" w:rsidRPr="00520861">
        <w:rPr>
          <w:sz w:val="28"/>
          <w:szCs w:val="28"/>
          <w:lang w:eastAsia="x-none" w:bidi="lo-LA"/>
        </w:rPr>
        <w:t>36</w:t>
      </w:r>
      <w:r w:rsidR="005F17D7" w:rsidRPr="00520861">
        <w:rPr>
          <w:sz w:val="28"/>
          <w:szCs w:val="28"/>
          <w:lang w:eastAsia="x-none" w:bidi="lo-LA"/>
        </w:rPr>
        <w:t>]</w:t>
      </w:r>
      <w:r w:rsidR="00701A12" w:rsidRPr="00520861">
        <w:rPr>
          <w:sz w:val="28"/>
          <w:szCs w:val="28"/>
          <w:lang w:eastAsia="x-none" w:bidi="lo-LA"/>
        </w:rPr>
        <w:t>, д</w:t>
      </w:r>
      <w:r w:rsidR="00C91A5E" w:rsidRPr="00520861">
        <w:rPr>
          <w:sz w:val="28"/>
          <w:szCs w:val="28"/>
          <w:lang w:eastAsia="x-none" w:bidi="lo-LA"/>
        </w:rPr>
        <w:t xml:space="preserve">е автори прогнозують </w:t>
      </w:r>
      <w:r w:rsidRPr="00520861">
        <w:rPr>
          <w:sz w:val="28"/>
          <w:szCs w:val="28"/>
          <w:lang w:eastAsia="x-none" w:bidi="lo-LA"/>
        </w:rPr>
        <w:t xml:space="preserve">стійкі </w:t>
      </w:r>
      <w:r w:rsidR="005D6378" w:rsidRPr="00520861">
        <w:rPr>
          <w:sz w:val="28"/>
          <w:szCs w:val="28"/>
          <w:lang w:eastAsia="x-none" w:bidi="lo-LA"/>
        </w:rPr>
        <w:br/>
      </w:r>
      <w:r w:rsidRPr="00520861">
        <w:rPr>
          <w:sz w:val="28"/>
          <w:szCs w:val="28"/>
          <w:lang w:eastAsia="x-none" w:bidi="lo-LA"/>
        </w:rPr>
        <w:t>патофіз</w:t>
      </w:r>
      <w:r w:rsidR="00701A12" w:rsidRPr="00520861">
        <w:rPr>
          <w:sz w:val="28"/>
          <w:szCs w:val="28"/>
          <w:lang w:eastAsia="x-none" w:bidi="lo-LA"/>
        </w:rPr>
        <w:t>іологічні зміни</w:t>
      </w:r>
      <w:r w:rsidRPr="00520861">
        <w:rPr>
          <w:sz w:val="28"/>
          <w:szCs w:val="28"/>
          <w:lang w:eastAsia="x-none" w:bidi="lo-LA"/>
        </w:rPr>
        <w:t xml:space="preserve"> саме через надмірне живлення плода </w:t>
      </w:r>
      <w:r w:rsidR="00701A12" w:rsidRPr="00520861">
        <w:rPr>
          <w:sz w:val="28"/>
          <w:szCs w:val="28"/>
          <w:lang w:eastAsia="x-none" w:bidi="lo-LA"/>
        </w:rPr>
        <w:t>в</w:t>
      </w:r>
      <w:r w:rsidRPr="00520861">
        <w:rPr>
          <w:sz w:val="28"/>
          <w:szCs w:val="28"/>
          <w:lang w:eastAsia="x-none" w:bidi="lo-LA"/>
        </w:rPr>
        <w:t xml:space="preserve"> період вагітності, які призводять до</w:t>
      </w:r>
      <w:r w:rsidR="00174453" w:rsidRPr="00520861">
        <w:rPr>
          <w:sz w:val="28"/>
          <w:szCs w:val="28"/>
          <w:lang w:eastAsia="x-none" w:bidi="lo-LA"/>
        </w:rPr>
        <w:t xml:space="preserve"> </w:t>
      </w:r>
      <w:r w:rsidR="00C91A5E" w:rsidRPr="00520861">
        <w:rPr>
          <w:sz w:val="28"/>
          <w:szCs w:val="28"/>
          <w:lang w:eastAsia="x-none" w:bidi="lo-LA"/>
        </w:rPr>
        <w:t>по</w:t>
      </w:r>
      <w:r w:rsidR="00701A12" w:rsidRPr="00520861">
        <w:rPr>
          <w:sz w:val="28"/>
          <w:szCs w:val="28"/>
          <w:lang w:eastAsia="x-none" w:bidi="lo-LA"/>
        </w:rPr>
        <w:t>р</w:t>
      </w:r>
      <w:r w:rsidR="00C91A5E" w:rsidRPr="00520861">
        <w:rPr>
          <w:sz w:val="28"/>
          <w:szCs w:val="28"/>
          <w:lang w:eastAsia="x-none" w:bidi="lo-LA"/>
        </w:rPr>
        <w:t>ушення в гор</w:t>
      </w:r>
      <w:r w:rsidRPr="00520861">
        <w:rPr>
          <w:sz w:val="28"/>
          <w:szCs w:val="28"/>
          <w:lang w:eastAsia="x-none" w:bidi="lo-LA"/>
        </w:rPr>
        <w:t xml:space="preserve">мональному, </w:t>
      </w:r>
      <w:proofErr w:type="spellStart"/>
      <w:r w:rsidRPr="00520861">
        <w:rPr>
          <w:sz w:val="28"/>
          <w:szCs w:val="28"/>
          <w:lang w:eastAsia="x-none" w:bidi="lo-LA"/>
        </w:rPr>
        <w:t>нейрональному</w:t>
      </w:r>
      <w:proofErr w:type="spellEnd"/>
      <w:r w:rsidRPr="00520861">
        <w:rPr>
          <w:sz w:val="28"/>
          <w:szCs w:val="28"/>
          <w:lang w:eastAsia="x-none" w:bidi="lo-LA"/>
        </w:rPr>
        <w:t xml:space="preserve"> та метаболі</w:t>
      </w:r>
      <w:r w:rsidR="00C91A5E" w:rsidRPr="00520861">
        <w:rPr>
          <w:sz w:val="28"/>
          <w:szCs w:val="28"/>
          <w:lang w:eastAsia="x-none" w:bidi="lo-LA"/>
        </w:rPr>
        <w:t>чному статусі в</w:t>
      </w:r>
      <w:r w:rsidRPr="00520861">
        <w:rPr>
          <w:sz w:val="28"/>
          <w:szCs w:val="28"/>
          <w:lang w:eastAsia="x-none" w:bidi="lo-LA"/>
        </w:rPr>
        <w:t xml:space="preserve"> </w:t>
      </w:r>
      <w:r w:rsidR="00C91A5E" w:rsidRPr="00520861">
        <w:rPr>
          <w:sz w:val="28"/>
          <w:szCs w:val="28"/>
          <w:lang w:eastAsia="x-none" w:bidi="lo-LA"/>
        </w:rPr>
        <w:t>онтогенезі.</w:t>
      </w:r>
    </w:p>
    <w:p w14:paraId="595A1D1E" w14:textId="77777777" w:rsidR="000913AA" w:rsidRPr="00520861" w:rsidRDefault="00BA6191" w:rsidP="00292D2E">
      <w:pPr>
        <w:widowControl w:val="0"/>
        <w:spacing w:line="360" w:lineRule="auto"/>
        <w:ind w:firstLine="708"/>
        <w:jc w:val="both"/>
        <w:rPr>
          <w:sz w:val="28"/>
          <w:szCs w:val="28"/>
          <w:lang w:eastAsia="x-none" w:bidi="lo-LA"/>
        </w:rPr>
      </w:pPr>
      <w:r w:rsidRPr="00520861">
        <w:rPr>
          <w:sz w:val="28"/>
          <w:szCs w:val="28"/>
          <w:lang w:eastAsia="x-none" w:bidi="lo-LA"/>
        </w:rPr>
        <w:t>Відомо, що особи</w:t>
      </w:r>
      <w:r w:rsidR="009B77A4" w:rsidRPr="00520861">
        <w:rPr>
          <w:sz w:val="28"/>
          <w:szCs w:val="28"/>
          <w:lang w:eastAsia="x-none" w:bidi="lo-LA"/>
        </w:rPr>
        <w:t xml:space="preserve">, народжені з </w:t>
      </w:r>
      <w:proofErr w:type="spellStart"/>
      <w:r w:rsidR="009B77A4" w:rsidRPr="00520861">
        <w:rPr>
          <w:sz w:val="28"/>
          <w:szCs w:val="28"/>
          <w:lang w:eastAsia="x-none" w:bidi="lo-LA"/>
        </w:rPr>
        <w:t>макросомією</w:t>
      </w:r>
      <w:proofErr w:type="spellEnd"/>
      <w:r w:rsidR="009B77A4" w:rsidRPr="00520861">
        <w:rPr>
          <w:sz w:val="28"/>
          <w:szCs w:val="28"/>
          <w:lang w:eastAsia="x-none" w:bidi="lo-LA"/>
        </w:rPr>
        <w:t xml:space="preserve">, мають високий ризик виникнення ожиріння, підвищення рівня цукру в крові, підвищеного тиску, та, як наслідок, </w:t>
      </w:r>
      <w:r w:rsidR="005D6378" w:rsidRPr="00520861">
        <w:rPr>
          <w:sz w:val="28"/>
          <w:szCs w:val="28"/>
          <w:lang w:eastAsia="x-none" w:bidi="lo-LA"/>
        </w:rPr>
        <w:br/>
      </w:r>
      <w:r w:rsidR="009B77A4" w:rsidRPr="00520861">
        <w:rPr>
          <w:sz w:val="28"/>
          <w:szCs w:val="28"/>
          <w:lang w:eastAsia="x-none" w:bidi="lo-LA"/>
        </w:rPr>
        <w:t xml:space="preserve">діабету та </w:t>
      </w:r>
      <w:proofErr w:type="spellStart"/>
      <w:r w:rsidR="009B77A4" w:rsidRPr="00520861">
        <w:rPr>
          <w:sz w:val="28"/>
          <w:szCs w:val="28"/>
          <w:lang w:eastAsia="x-none" w:bidi="lo-LA"/>
        </w:rPr>
        <w:t>хвороб</w:t>
      </w:r>
      <w:proofErr w:type="spellEnd"/>
      <w:r w:rsidR="009B77A4" w:rsidRPr="00520861">
        <w:rPr>
          <w:sz w:val="28"/>
          <w:szCs w:val="28"/>
          <w:lang w:eastAsia="x-none" w:bidi="lo-LA"/>
        </w:rPr>
        <w:t xml:space="preserve"> серцево-судинної системи в подальшому житті </w:t>
      </w:r>
      <w:r w:rsidR="005F17D7" w:rsidRPr="00520861">
        <w:rPr>
          <w:sz w:val="28"/>
          <w:szCs w:val="28"/>
          <w:lang w:eastAsia="x-none" w:bidi="lo-LA"/>
        </w:rPr>
        <w:t>[</w:t>
      </w:r>
      <w:r w:rsidR="002D7B7F" w:rsidRPr="00520861">
        <w:rPr>
          <w:sz w:val="28"/>
          <w:szCs w:val="28"/>
          <w:lang w:eastAsia="x-none" w:bidi="lo-LA"/>
        </w:rPr>
        <w:t xml:space="preserve">285, 331, </w:t>
      </w:r>
      <w:r w:rsidR="00A373A3" w:rsidRPr="00520861">
        <w:rPr>
          <w:sz w:val="28"/>
          <w:szCs w:val="28"/>
          <w:lang w:eastAsia="x-none" w:bidi="lo-LA"/>
        </w:rPr>
        <w:t>498</w:t>
      </w:r>
      <w:r w:rsidR="005F17D7" w:rsidRPr="00520861">
        <w:rPr>
          <w:sz w:val="28"/>
          <w:szCs w:val="28"/>
          <w:lang w:eastAsia="x-none" w:bidi="lo-LA"/>
        </w:rPr>
        <w:t>]</w:t>
      </w:r>
      <w:r w:rsidR="00047099" w:rsidRPr="00520861">
        <w:rPr>
          <w:sz w:val="28"/>
          <w:szCs w:val="28"/>
          <w:lang w:eastAsia="x-none" w:bidi="lo-LA"/>
        </w:rPr>
        <w:t>.</w:t>
      </w:r>
      <w:r w:rsidR="009B77A4" w:rsidRPr="00520861">
        <w:rPr>
          <w:sz w:val="28"/>
          <w:szCs w:val="28"/>
          <w:lang w:eastAsia="x-none" w:bidi="lo-LA"/>
        </w:rPr>
        <w:t xml:space="preserve"> </w:t>
      </w:r>
      <w:r w:rsidRPr="00520861">
        <w:rPr>
          <w:sz w:val="28"/>
          <w:szCs w:val="28"/>
          <w:lang w:eastAsia="x-none" w:bidi="lo-LA"/>
        </w:rPr>
        <w:t>Учені наголошують на</w:t>
      </w:r>
      <w:r w:rsidR="009B77A4" w:rsidRPr="00520861">
        <w:rPr>
          <w:sz w:val="28"/>
          <w:szCs w:val="28"/>
          <w:lang w:eastAsia="x-none" w:bidi="lo-LA"/>
        </w:rPr>
        <w:t xml:space="preserve"> підвищеному ризику виникнення ракових захворювань </w:t>
      </w:r>
      <w:r w:rsidRPr="00520861">
        <w:rPr>
          <w:sz w:val="28"/>
          <w:szCs w:val="28"/>
          <w:lang w:eastAsia="x-none" w:bidi="lo-LA"/>
        </w:rPr>
        <w:t xml:space="preserve">у </w:t>
      </w:r>
      <w:r w:rsidR="005D6378" w:rsidRPr="00520861">
        <w:rPr>
          <w:sz w:val="28"/>
          <w:szCs w:val="28"/>
          <w:lang w:eastAsia="x-none" w:bidi="lo-LA"/>
        </w:rPr>
        <w:br/>
      </w:r>
      <w:r w:rsidRPr="00520861">
        <w:rPr>
          <w:sz w:val="28"/>
          <w:szCs w:val="28"/>
          <w:lang w:eastAsia="x-none" w:bidi="lo-LA"/>
        </w:rPr>
        <w:t xml:space="preserve">таких осіб </w:t>
      </w:r>
      <w:r w:rsidR="00C81426" w:rsidRPr="00520861">
        <w:rPr>
          <w:sz w:val="28"/>
          <w:szCs w:val="28"/>
          <w:lang w:eastAsia="x-none" w:bidi="lo-LA"/>
        </w:rPr>
        <w:t>[</w:t>
      </w:r>
      <w:r w:rsidR="008C59D9" w:rsidRPr="00520861">
        <w:rPr>
          <w:sz w:val="28"/>
          <w:szCs w:val="28"/>
          <w:lang w:eastAsia="x-none" w:bidi="lo-LA"/>
        </w:rPr>
        <w:t>520</w:t>
      </w:r>
      <w:r w:rsidR="00C81426" w:rsidRPr="00520861">
        <w:rPr>
          <w:sz w:val="28"/>
          <w:szCs w:val="28"/>
          <w:lang w:eastAsia="x-none" w:bidi="lo-LA"/>
        </w:rPr>
        <w:t>].</w:t>
      </w:r>
    </w:p>
    <w:p w14:paraId="711BF6DD" w14:textId="77777777" w:rsidR="00C01945" w:rsidRPr="00520861" w:rsidRDefault="00205262" w:rsidP="00292D2E">
      <w:pPr>
        <w:widowControl w:val="0"/>
        <w:spacing w:line="360" w:lineRule="auto"/>
        <w:ind w:firstLine="708"/>
        <w:jc w:val="both"/>
        <w:textAlignment w:val="baseline"/>
        <w:rPr>
          <w:sz w:val="28"/>
          <w:szCs w:val="28"/>
        </w:rPr>
      </w:pPr>
      <w:r w:rsidRPr="00520861">
        <w:rPr>
          <w:sz w:val="28"/>
          <w:szCs w:val="28"/>
          <w:shd w:val="clear" w:color="auto" w:fill="FFFFFF"/>
        </w:rPr>
        <w:t xml:space="preserve">У пуповинній крові новонароджених із </w:t>
      </w:r>
      <w:proofErr w:type="spellStart"/>
      <w:r w:rsidRPr="00520861">
        <w:rPr>
          <w:sz w:val="28"/>
          <w:szCs w:val="28"/>
          <w:shd w:val="clear" w:color="auto" w:fill="FFFFFF"/>
        </w:rPr>
        <w:t>макросомією</w:t>
      </w:r>
      <w:proofErr w:type="spellEnd"/>
      <w:r w:rsidRPr="00520861">
        <w:rPr>
          <w:sz w:val="28"/>
          <w:szCs w:val="28"/>
          <w:shd w:val="clear" w:color="auto" w:fill="FFFFFF"/>
        </w:rPr>
        <w:t xml:space="preserve"> значно знижений рів</w:t>
      </w:r>
      <w:r w:rsidR="00976977" w:rsidRPr="00520861">
        <w:rPr>
          <w:sz w:val="28"/>
          <w:szCs w:val="28"/>
          <w:shd w:val="clear" w:color="auto" w:fill="FFFFFF"/>
        </w:rPr>
        <w:t>ень вітаміну D, який відіграє провідну</w:t>
      </w:r>
      <w:r w:rsidRPr="00520861">
        <w:rPr>
          <w:sz w:val="28"/>
          <w:szCs w:val="28"/>
          <w:shd w:val="clear" w:color="auto" w:fill="FFFFFF"/>
        </w:rPr>
        <w:t xml:space="preserve"> роль у </w:t>
      </w:r>
      <w:proofErr w:type="spellStart"/>
      <w:r w:rsidRPr="00520861">
        <w:rPr>
          <w:sz w:val="28"/>
          <w:szCs w:val="28"/>
          <w:shd w:val="clear" w:color="auto" w:fill="FFFFFF"/>
        </w:rPr>
        <w:t>кальцієво</w:t>
      </w:r>
      <w:proofErr w:type="spellEnd"/>
      <w:r w:rsidRPr="00520861">
        <w:rPr>
          <w:sz w:val="28"/>
          <w:szCs w:val="28"/>
          <w:shd w:val="clear" w:color="auto" w:fill="FFFFFF"/>
        </w:rPr>
        <w:t>-фосфорному гомеостазі</w:t>
      </w:r>
      <w:r w:rsidR="00BA6191" w:rsidRPr="00520861">
        <w:rPr>
          <w:sz w:val="28"/>
          <w:szCs w:val="28"/>
          <w:shd w:val="clear" w:color="auto" w:fill="FFFFFF"/>
        </w:rPr>
        <w:t xml:space="preserve">, його знижені рівні асоційовані з </w:t>
      </w:r>
      <w:r w:rsidRPr="00520861">
        <w:rPr>
          <w:sz w:val="28"/>
          <w:szCs w:val="28"/>
          <w:shd w:val="clear" w:color="auto" w:fill="FFFFFF"/>
        </w:rPr>
        <w:t>формування</w:t>
      </w:r>
      <w:r w:rsidR="00AB06E8" w:rsidRPr="00520861">
        <w:rPr>
          <w:sz w:val="28"/>
          <w:szCs w:val="28"/>
          <w:shd w:val="clear" w:color="auto" w:fill="FFFFFF"/>
        </w:rPr>
        <w:t>м</w:t>
      </w:r>
      <w:r w:rsidRPr="00520861">
        <w:rPr>
          <w:sz w:val="28"/>
          <w:szCs w:val="28"/>
          <w:shd w:val="clear" w:color="auto" w:fill="FFFFFF"/>
        </w:rPr>
        <w:t xml:space="preserve"> </w:t>
      </w:r>
      <w:proofErr w:type="spellStart"/>
      <w:r w:rsidRPr="00520861">
        <w:rPr>
          <w:sz w:val="28"/>
          <w:szCs w:val="28"/>
          <w:shd w:val="clear" w:color="auto" w:fill="FFFFFF"/>
        </w:rPr>
        <w:t>кардіоваскулярної</w:t>
      </w:r>
      <w:proofErr w:type="spellEnd"/>
      <w:r w:rsidRPr="00520861">
        <w:rPr>
          <w:sz w:val="28"/>
          <w:szCs w:val="28"/>
          <w:shd w:val="clear" w:color="auto" w:fill="FFFFFF"/>
        </w:rPr>
        <w:t xml:space="preserve"> патології, раку та діабету</w:t>
      </w:r>
      <w:r w:rsidR="003943B6" w:rsidRPr="00520861">
        <w:rPr>
          <w:sz w:val="28"/>
          <w:szCs w:val="28"/>
          <w:shd w:val="clear" w:color="auto" w:fill="FFFFFF"/>
        </w:rPr>
        <w:t> </w:t>
      </w:r>
      <w:r w:rsidR="00BA6191" w:rsidRPr="00520861">
        <w:rPr>
          <w:sz w:val="28"/>
          <w:szCs w:val="28"/>
        </w:rPr>
        <w:t>[</w:t>
      </w:r>
      <w:r w:rsidR="008C59D9" w:rsidRPr="00520861">
        <w:rPr>
          <w:sz w:val="28"/>
          <w:szCs w:val="28"/>
        </w:rPr>
        <w:t>578</w:t>
      </w:r>
      <w:r w:rsidR="00BA6191" w:rsidRPr="00520861">
        <w:rPr>
          <w:sz w:val="28"/>
          <w:szCs w:val="28"/>
        </w:rPr>
        <w:t>]</w:t>
      </w:r>
      <w:r w:rsidR="00BA6191" w:rsidRPr="00520861">
        <w:rPr>
          <w:sz w:val="28"/>
          <w:szCs w:val="28"/>
          <w:shd w:val="clear" w:color="auto" w:fill="FFFFFF"/>
        </w:rPr>
        <w:t>, пов</w:t>
      </w:r>
      <w:r w:rsidR="00AB06E8" w:rsidRPr="00520861">
        <w:rPr>
          <w:sz w:val="28"/>
          <w:szCs w:val="28"/>
          <w:shd w:val="clear" w:color="auto" w:fill="FFFFFF"/>
        </w:rPr>
        <w:t>’</w:t>
      </w:r>
      <w:r w:rsidR="00BA6191" w:rsidRPr="00520861">
        <w:rPr>
          <w:sz w:val="28"/>
          <w:szCs w:val="28"/>
          <w:shd w:val="clear" w:color="auto" w:fill="FFFFFF"/>
        </w:rPr>
        <w:t xml:space="preserve">язані з </w:t>
      </w:r>
      <w:r w:rsidR="00BA6191" w:rsidRPr="00520861">
        <w:rPr>
          <w:sz w:val="28"/>
          <w:szCs w:val="28"/>
        </w:rPr>
        <w:t xml:space="preserve">порушеннями </w:t>
      </w:r>
      <w:r w:rsidRPr="00520861">
        <w:rPr>
          <w:sz w:val="28"/>
          <w:szCs w:val="28"/>
        </w:rPr>
        <w:t xml:space="preserve">зростання </w:t>
      </w:r>
      <w:r w:rsidR="000C5378" w:rsidRPr="00520861">
        <w:rPr>
          <w:sz w:val="28"/>
          <w:szCs w:val="28"/>
        </w:rPr>
        <w:t>плода</w:t>
      </w:r>
      <w:r w:rsidRPr="00520861">
        <w:rPr>
          <w:sz w:val="28"/>
          <w:szCs w:val="28"/>
        </w:rPr>
        <w:t xml:space="preserve"> та </w:t>
      </w:r>
      <w:r w:rsidR="00336E37" w:rsidRPr="00520861">
        <w:rPr>
          <w:sz w:val="28"/>
          <w:szCs w:val="28"/>
        </w:rPr>
        <w:t>провокують</w:t>
      </w:r>
      <w:r w:rsidR="00976977" w:rsidRPr="00520861">
        <w:rPr>
          <w:sz w:val="28"/>
          <w:szCs w:val="28"/>
        </w:rPr>
        <w:t xml:space="preserve"> продукування</w:t>
      </w:r>
      <w:r w:rsidRPr="00520861">
        <w:rPr>
          <w:sz w:val="28"/>
          <w:szCs w:val="28"/>
        </w:rPr>
        <w:t xml:space="preserve"> </w:t>
      </w:r>
      <w:proofErr w:type="spellStart"/>
      <w:r w:rsidRPr="00520861">
        <w:rPr>
          <w:sz w:val="28"/>
          <w:szCs w:val="28"/>
        </w:rPr>
        <w:t>прозапальних</w:t>
      </w:r>
      <w:proofErr w:type="spellEnd"/>
      <w:r w:rsidRPr="00520861">
        <w:rPr>
          <w:sz w:val="28"/>
          <w:szCs w:val="28"/>
        </w:rPr>
        <w:t xml:space="preserve"> цитокінів </w:t>
      </w:r>
      <w:r w:rsidR="00C81426" w:rsidRPr="00520861">
        <w:rPr>
          <w:sz w:val="28"/>
          <w:szCs w:val="28"/>
        </w:rPr>
        <w:t>[</w:t>
      </w:r>
      <w:r w:rsidR="006D58C3" w:rsidRPr="00520861">
        <w:rPr>
          <w:sz w:val="28"/>
          <w:szCs w:val="28"/>
        </w:rPr>
        <w:t>50</w:t>
      </w:r>
      <w:r w:rsidR="00F63278" w:rsidRPr="00520861">
        <w:rPr>
          <w:sz w:val="28"/>
          <w:szCs w:val="28"/>
        </w:rPr>
        <w:t>9</w:t>
      </w:r>
      <w:r w:rsidR="00C81426" w:rsidRPr="00520861">
        <w:rPr>
          <w:sz w:val="28"/>
          <w:szCs w:val="28"/>
        </w:rPr>
        <w:t>]</w:t>
      </w:r>
      <w:r w:rsidR="00BA6191" w:rsidRPr="00520861">
        <w:rPr>
          <w:sz w:val="28"/>
          <w:szCs w:val="28"/>
        </w:rPr>
        <w:t>.</w:t>
      </w:r>
      <w:r w:rsidR="00316CC2" w:rsidRPr="00520861">
        <w:rPr>
          <w:sz w:val="28"/>
          <w:szCs w:val="28"/>
        </w:rPr>
        <w:t xml:space="preserve"> </w:t>
      </w:r>
    </w:p>
    <w:p w14:paraId="58DA7CDC" w14:textId="77777777" w:rsidR="00205262" w:rsidRPr="00520861" w:rsidRDefault="003E244D" w:rsidP="00292D2E">
      <w:pPr>
        <w:widowControl w:val="0"/>
        <w:spacing w:line="360" w:lineRule="auto"/>
        <w:ind w:firstLine="708"/>
        <w:jc w:val="both"/>
        <w:rPr>
          <w:spacing w:val="-2"/>
          <w:sz w:val="28"/>
          <w:szCs w:val="28"/>
          <w:lang w:eastAsia="x-none" w:bidi="lo-LA"/>
        </w:rPr>
      </w:pPr>
      <w:r w:rsidRPr="00520861">
        <w:rPr>
          <w:rFonts w:eastAsia="Calibri"/>
          <w:sz w:val="28"/>
          <w:szCs w:val="28"/>
          <w:lang w:eastAsia="en-US"/>
        </w:rPr>
        <w:lastRenderedPageBreak/>
        <w:t>Як в умовах</w:t>
      </w:r>
      <w:r w:rsidR="00C91222" w:rsidRPr="00520861">
        <w:rPr>
          <w:rFonts w:eastAsia="Calibri"/>
          <w:sz w:val="28"/>
          <w:szCs w:val="28"/>
          <w:lang w:eastAsia="en-US"/>
        </w:rPr>
        <w:t xml:space="preserve"> експерименту </w:t>
      </w:r>
      <w:r w:rsidRPr="00520861">
        <w:rPr>
          <w:rFonts w:eastAsia="Calibri"/>
          <w:sz w:val="28"/>
          <w:szCs w:val="28"/>
          <w:lang w:eastAsia="en-US"/>
        </w:rPr>
        <w:t>[</w:t>
      </w:r>
      <w:r w:rsidR="00615371" w:rsidRPr="00520861">
        <w:rPr>
          <w:rFonts w:eastAsia="Calibri"/>
          <w:sz w:val="28"/>
          <w:szCs w:val="28"/>
          <w:lang w:eastAsia="en-US"/>
        </w:rPr>
        <w:t xml:space="preserve">98, </w:t>
      </w:r>
      <w:r w:rsidRPr="00520861">
        <w:rPr>
          <w:rFonts w:eastAsia="Calibri"/>
          <w:sz w:val="28"/>
          <w:szCs w:val="28"/>
          <w:lang w:eastAsia="en-US"/>
        </w:rPr>
        <w:t xml:space="preserve">170] так і на клінічному матеріалі </w:t>
      </w:r>
      <w:r w:rsidRPr="00520861">
        <w:rPr>
          <w:rFonts w:eastAsia="Calibri"/>
          <w:sz w:val="28"/>
          <w:szCs w:val="28"/>
          <w:lang w:val="ru-RU" w:eastAsia="en-US"/>
        </w:rPr>
        <w:t>[</w:t>
      </w:r>
      <w:r w:rsidR="00C24EE8" w:rsidRPr="00520861">
        <w:rPr>
          <w:rFonts w:eastAsia="Calibri"/>
          <w:sz w:val="28"/>
          <w:szCs w:val="28"/>
          <w:lang w:val="ru-RU" w:eastAsia="en-US"/>
        </w:rPr>
        <w:t>191</w:t>
      </w:r>
      <w:r w:rsidRPr="00520861">
        <w:rPr>
          <w:rFonts w:eastAsia="Calibri"/>
          <w:sz w:val="28"/>
          <w:szCs w:val="28"/>
          <w:lang w:val="ru-RU" w:eastAsia="en-US"/>
        </w:rPr>
        <w:t xml:space="preserve">] </w:t>
      </w:r>
      <w:r w:rsidR="00C91222" w:rsidRPr="00520861">
        <w:rPr>
          <w:rFonts w:eastAsia="Calibri"/>
          <w:sz w:val="28"/>
          <w:szCs w:val="28"/>
          <w:lang w:eastAsia="en-US"/>
        </w:rPr>
        <w:t>визначаються патогенетичні особливості тканин, які є підґрунтям для формування тих чи інших стоматологічних порушень</w:t>
      </w:r>
      <w:r w:rsidR="00E62082" w:rsidRPr="00520861">
        <w:rPr>
          <w:rFonts w:eastAsia="Calibri"/>
          <w:sz w:val="28"/>
          <w:szCs w:val="28"/>
          <w:lang w:eastAsia="en-US"/>
        </w:rPr>
        <w:t xml:space="preserve"> (</w:t>
      </w:r>
      <w:proofErr w:type="spellStart"/>
      <w:r w:rsidR="00E62082" w:rsidRPr="00520861">
        <w:rPr>
          <w:sz w:val="28"/>
          <w:szCs w:val="28"/>
        </w:rPr>
        <w:t>СтП</w:t>
      </w:r>
      <w:proofErr w:type="spellEnd"/>
      <w:r w:rsidR="00E62082" w:rsidRPr="00520861">
        <w:rPr>
          <w:rFonts w:eastAsia="Calibri"/>
          <w:sz w:val="28"/>
          <w:szCs w:val="28"/>
          <w:lang w:eastAsia="en-US"/>
        </w:rPr>
        <w:t>)</w:t>
      </w:r>
      <w:r w:rsidR="00C91222" w:rsidRPr="00520861">
        <w:rPr>
          <w:rFonts w:eastAsia="Calibri"/>
          <w:sz w:val="28"/>
          <w:szCs w:val="28"/>
          <w:lang w:eastAsia="en-US"/>
        </w:rPr>
        <w:t xml:space="preserve">. </w:t>
      </w:r>
      <w:r w:rsidR="00205262" w:rsidRPr="00520861">
        <w:rPr>
          <w:sz w:val="28"/>
          <w:szCs w:val="28"/>
        </w:rPr>
        <w:t xml:space="preserve">На </w:t>
      </w:r>
      <w:r w:rsidR="00D549FF" w:rsidRPr="00520861">
        <w:rPr>
          <w:sz w:val="28"/>
          <w:szCs w:val="28"/>
        </w:rPr>
        <w:t xml:space="preserve">експериментальному матеріалі </w:t>
      </w:r>
      <w:r w:rsidR="00205262" w:rsidRPr="00520861">
        <w:rPr>
          <w:sz w:val="28"/>
          <w:szCs w:val="28"/>
        </w:rPr>
        <w:t xml:space="preserve">доведено, що </w:t>
      </w:r>
      <w:r w:rsidR="00F8591C" w:rsidRPr="00520861">
        <w:rPr>
          <w:sz w:val="28"/>
          <w:szCs w:val="28"/>
        </w:rPr>
        <w:t>в</w:t>
      </w:r>
      <w:r w:rsidR="00D549FF" w:rsidRPr="00520861">
        <w:rPr>
          <w:sz w:val="28"/>
          <w:szCs w:val="28"/>
        </w:rPr>
        <w:t xml:space="preserve"> разі народження з </w:t>
      </w:r>
      <w:proofErr w:type="spellStart"/>
      <w:r w:rsidR="00D549FF" w:rsidRPr="00520861">
        <w:rPr>
          <w:sz w:val="28"/>
          <w:szCs w:val="28"/>
        </w:rPr>
        <w:t>макросомією</w:t>
      </w:r>
      <w:proofErr w:type="spellEnd"/>
      <w:r w:rsidR="00205262" w:rsidRPr="00520861">
        <w:rPr>
          <w:sz w:val="28"/>
          <w:szCs w:val="28"/>
        </w:rPr>
        <w:t xml:space="preserve"> відзначається посилення й активація процесів </w:t>
      </w:r>
      <w:proofErr w:type="spellStart"/>
      <w:r w:rsidR="00205262" w:rsidRPr="00520861">
        <w:rPr>
          <w:sz w:val="28"/>
          <w:szCs w:val="28"/>
        </w:rPr>
        <w:t>вільно</w:t>
      </w:r>
      <w:r w:rsidR="00F8591C" w:rsidRPr="00520861">
        <w:rPr>
          <w:sz w:val="28"/>
          <w:szCs w:val="28"/>
        </w:rPr>
        <w:t>радикального</w:t>
      </w:r>
      <w:proofErr w:type="spellEnd"/>
      <w:r w:rsidR="00F8591C" w:rsidRPr="00520861">
        <w:rPr>
          <w:sz w:val="28"/>
          <w:szCs w:val="28"/>
        </w:rPr>
        <w:t xml:space="preserve"> окислення ліпідів </w:t>
      </w:r>
      <w:r w:rsidR="00205262" w:rsidRPr="00520861">
        <w:rPr>
          <w:sz w:val="28"/>
          <w:szCs w:val="28"/>
        </w:rPr>
        <w:t>з накопиченням активних форм кисню</w:t>
      </w:r>
      <w:r w:rsidR="00174453" w:rsidRPr="00520861">
        <w:rPr>
          <w:sz w:val="28"/>
          <w:szCs w:val="28"/>
        </w:rPr>
        <w:t xml:space="preserve"> </w:t>
      </w:r>
      <w:r w:rsidR="004403F8" w:rsidRPr="00520861">
        <w:rPr>
          <w:sz w:val="28"/>
          <w:szCs w:val="28"/>
        </w:rPr>
        <w:t>[338</w:t>
      </w:r>
      <w:r w:rsidR="00C81426" w:rsidRPr="00520861">
        <w:rPr>
          <w:sz w:val="28"/>
          <w:szCs w:val="28"/>
        </w:rPr>
        <w:t>]</w:t>
      </w:r>
      <w:r w:rsidR="00205262" w:rsidRPr="00520861">
        <w:rPr>
          <w:sz w:val="28"/>
          <w:szCs w:val="28"/>
        </w:rPr>
        <w:t xml:space="preserve">, </w:t>
      </w:r>
      <w:r w:rsidR="00205262" w:rsidRPr="00520861">
        <w:rPr>
          <w:spacing w:val="-2"/>
          <w:sz w:val="28"/>
          <w:szCs w:val="28"/>
        </w:rPr>
        <w:t xml:space="preserve">що </w:t>
      </w:r>
      <w:r w:rsidR="00F8591C" w:rsidRPr="00520861">
        <w:rPr>
          <w:spacing w:val="-2"/>
          <w:sz w:val="28"/>
          <w:szCs w:val="28"/>
        </w:rPr>
        <w:t xml:space="preserve">призводить до накопичення </w:t>
      </w:r>
      <w:proofErr w:type="spellStart"/>
      <w:r w:rsidR="00F8591C" w:rsidRPr="00520861">
        <w:rPr>
          <w:spacing w:val="-2"/>
          <w:sz w:val="28"/>
          <w:szCs w:val="28"/>
        </w:rPr>
        <w:t>переки</w:t>
      </w:r>
      <w:r w:rsidR="00205262" w:rsidRPr="00520861">
        <w:rPr>
          <w:spacing w:val="-2"/>
          <w:sz w:val="28"/>
          <w:szCs w:val="28"/>
        </w:rPr>
        <w:t>сних</w:t>
      </w:r>
      <w:proofErr w:type="spellEnd"/>
      <w:r w:rsidR="00205262" w:rsidRPr="00520861">
        <w:rPr>
          <w:spacing w:val="-2"/>
          <w:sz w:val="28"/>
          <w:szCs w:val="28"/>
        </w:rPr>
        <w:t xml:space="preserve"> продуктів і</w:t>
      </w:r>
      <w:r w:rsidR="009E12B5" w:rsidRPr="00520861">
        <w:rPr>
          <w:spacing w:val="-2"/>
          <w:sz w:val="28"/>
          <w:szCs w:val="28"/>
          <w:lang w:eastAsia="x-none" w:bidi="lo-LA"/>
        </w:rPr>
        <w:t xml:space="preserve"> в комбінації </w:t>
      </w:r>
      <w:r w:rsidR="00205262" w:rsidRPr="00520861">
        <w:rPr>
          <w:spacing w:val="-2"/>
          <w:sz w:val="28"/>
          <w:szCs w:val="28"/>
          <w:lang w:eastAsia="x-none" w:bidi="lo-LA"/>
        </w:rPr>
        <w:t xml:space="preserve">з погіршенням захисних механізмів фізіологічної антиоксидантної системи </w:t>
      </w:r>
      <w:r w:rsidR="009E12B5" w:rsidRPr="00520861">
        <w:rPr>
          <w:spacing w:val="-2"/>
          <w:sz w:val="28"/>
          <w:szCs w:val="28"/>
          <w:lang w:eastAsia="x-none" w:bidi="lo-LA"/>
        </w:rPr>
        <w:t xml:space="preserve">– </w:t>
      </w:r>
      <w:r w:rsidR="00205262" w:rsidRPr="00520861">
        <w:rPr>
          <w:spacing w:val="-2"/>
          <w:sz w:val="28"/>
          <w:szCs w:val="28"/>
          <w:lang w:eastAsia="x-none" w:bidi="lo-LA"/>
        </w:rPr>
        <w:t xml:space="preserve">до порушення </w:t>
      </w:r>
      <w:r w:rsidR="005D6378" w:rsidRPr="00520861">
        <w:rPr>
          <w:spacing w:val="-2"/>
          <w:sz w:val="28"/>
          <w:szCs w:val="28"/>
          <w:lang w:eastAsia="x-none" w:bidi="lo-LA"/>
        </w:rPr>
        <w:br/>
      </w:r>
      <w:r w:rsidR="00205262" w:rsidRPr="00520861">
        <w:rPr>
          <w:spacing w:val="-2"/>
          <w:sz w:val="28"/>
          <w:szCs w:val="28"/>
          <w:lang w:eastAsia="x-none" w:bidi="lo-LA"/>
        </w:rPr>
        <w:t>метаболізму</w:t>
      </w:r>
      <w:r w:rsidR="00D549FF" w:rsidRPr="00520861">
        <w:rPr>
          <w:spacing w:val="-2"/>
          <w:sz w:val="28"/>
          <w:szCs w:val="28"/>
          <w:lang w:eastAsia="x-none" w:bidi="lo-LA"/>
        </w:rPr>
        <w:t xml:space="preserve"> в онтогенезі</w:t>
      </w:r>
      <w:r w:rsidR="00205262" w:rsidRPr="00520861">
        <w:rPr>
          <w:spacing w:val="-2"/>
          <w:sz w:val="28"/>
          <w:szCs w:val="28"/>
          <w:lang w:eastAsia="x-none" w:bidi="lo-LA"/>
        </w:rPr>
        <w:t>.</w:t>
      </w:r>
    </w:p>
    <w:p w14:paraId="50F4F86F" w14:textId="77777777" w:rsidR="00205262" w:rsidRPr="00520861" w:rsidRDefault="00205262" w:rsidP="00292D2E">
      <w:pPr>
        <w:widowControl w:val="0"/>
        <w:spacing w:line="360" w:lineRule="auto"/>
        <w:ind w:firstLine="708"/>
        <w:jc w:val="both"/>
        <w:rPr>
          <w:sz w:val="28"/>
          <w:szCs w:val="28"/>
        </w:rPr>
      </w:pPr>
      <w:r w:rsidRPr="00520861">
        <w:rPr>
          <w:sz w:val="28"/>
          <w:szCs w:val="28"/>
        </w:rPr>
        <w:t>Загальновідомо, що</w:t>
      </w:r>
      <w:r w:rsidRPr="00520861">
        <w:rPr>
          <w:snapToGrid w:val="0"/>
          <w:sz w:val="28"/>
          <w:szCs w:val="28"/>
        </w:rPr>
        <w:t xml:space="preserve"> прогресування запальних процесів </w:t>
      </w:r>
      <w:r w:rsidRPr="00520861">
        <w:rPr>
          <w:sz w:val="28"/>
          <w:szCs w:val="28"/>
        </w:rPr>
        <w:t xml:space="preserve">пов’язане з дисбалансом </w:t>
      </w:r>
      <w:proofErr w:type="spellStart"/>
      <w:r w:rsidRPr="00520861">
        <w:rPr>
          <w:sz w:val="28"/>
          <w:szCs w:val="28"/>
        </w:rPr>
        <w:t>цитокінової</w:t>
      </w:r>
      <w:proofErr w:type="spellEnd"/>
      <w:r w:rsidRPr="00520861">
        <w:rPr>
          <w:sz w:val="28"/>
          <w:szCs w:val="28"/>
        </w:rPr>
        <w:t xml:space="preserve"> системи</w:t>
      </w:r>
      <w:r w:rsidR="00BF3EB7" w:rsidRPr="00520861">
        <w:rPr>
          <w:sz w:val="28"/>
          <w:szCs w:val="28"/>
        </w:rPr>
        <w:t xml:space="preserve"> [</w:t>
      </w:r>
      <w:r w:rsidR="00B4374B" w:rsidRPr="00520861">
        <w:rPr>
          <w:sz w:val="28"/>
          <w:szCs w:val="28"/>
        </w:rPr>
        <w:t>15, 92, 217, 374</w:t>
      </w:r>
      <w:r w:rsidR="00BF3EB7" w:rsidRPr="00520861">
        <w:rPr>
          <w:sz w:val="28"/>
          <w:szCs w:val="28"/>
        </w:rPr>
        <w:t>]</w:t>
      </w:r>
      <w:r w:rsidRPr="00520861">
        <w:rPr>
          <w:sz w:val="28"/>
          <w:szCs w:val="28"/>
        </w:rPr>
        <w:t xml:space="preserve">, тому в якості маркерів патології тканин </w:t>
      </w:r>
      <w:proofErr w:type="spellStart"/>
      <w:r w:rsidRPr="00520861">
        <w:rPr>
          <w:sz w:val="28"/>
          <w:szCs w:val="28"/>
        </w:rPr>
        <w:t>пародонта</w:t>
      </w:r>
      <w:proofErr w:type="spellEnd"/>
      <w:r w:rsidRPr="00520861">
        <w:rPr>
          <w:sz w:val="28"/>
          <w:szCs w:val="28"/>
        </w:rPr>
        <w:t xml:space="preserve"> останнім часом дослідники вико</w:t>
      </w:r>
      <w:r w:rsidR="002D72EA" w:rsidRPr="00520861">
        <w:rPr>
          <w:sz w:val="28"/>
          <w:szCs w:val="28"/>
        </w:rPr>
        <w:t xml:space="preserve">ристовують </w:t>
      </w:r>
      <w:proofErr w:type="spellStart"/>
      <w:r w:rsidR="002D72EA" w:rsidRPr="00520861">
        <w:rPr>
          <w:sz w:val="28"/>
          <w:szCs w:val="28"/>
        </w:rPr>
        <w:t>цитокіновий</w:t>
      </w:r>
      <w:proofErr w:type="spellEnd"/>
      <w:r w:rsidR="002D72EA" w:rsidRPr="00520861">
        <w:rPr>
          <w:sz w:val="28"/>
          <w:szCs w:val="28"/>
        </w:rPr>
        <w:t xml:space="preserve"> профіль</w:t>
      </w:r>
      <w:r w:rsidR="00634E6F" w:rsidRPr="00520861">
        <w:rPr>
          <w:sz w:val="28"/>
          <w:szCs w:val="28"/>
        </w:rPr>
        <w:t xml:space="preserve"> [166</w:t>
      </w:r>
      <w:r w:rsidR="003C1D7A" w:rsidRPr="00520861">
        <w:rPr>
          <w:sz w:val="28"/>
          <w:szCs w:val="28"/>
        </w:rPr>
        <w:t>]</w:t>
      </w:r>
      <w:r w:rsidRPr="00520861">
        <w:rPr>
          <w:sz w:val="28"/>
          <w:szCs w:val="28"/>
        </w:rPr>
        <w:t>.</w:t>
      </w:r>
    </w:p>
    <w:p w14:paraId="60EBA578" w14:textId="77777777" w:rsidR="00F77C56" w:rsidRPr="00520861" w:rsidRDefault="00F77C56" w:rsidP="00292D2E">
      <w:pPr>
        <w:widowControl w:val="0"/>
        <w:spacing w:line="360" w:lineRule="auto"/>
        <w:ind w:firstLine="708"/>
        <w:jc w:val="both"/>
        <w:rPr>
          <w:iCs/>
          <w:sz w:val="28"/>
          <w:szCs w:val="28"/>
          <w:lang w:eastAsia="x-none" w:bidi="lo-LA"/>
        </w:rPr>
      </w:pPr>
      <w:r w:rsidRPr="00520861">
        <w:rPr>
          <w:iCs/>
          <w:sz w:val="28"/>
          <w:szCs w:val="28"/>
          <w:lang w:eastAsia="x-none" w:bidi="lo-LA"/>
        </w:rPr>
        <w:t xml:space="preserve">Порушення локальної </w:t>
      </w:r>
      <w:proofErr w:type="spellStart"/>
      <w:r w:rsidRPr="00520861">
        <w:rPr>
          <w:iCs/>
          <w:sz w:val="28"/>
          <w:szCs w:val="28"/>
          <w:lang w:eastAsia="x-none" w:bidi="lo-LA"/>
        </w:rPr>
        <w:t>цитокінової</w:t>
      </w:r>
      <w:proofErr w:type="spellEnd"/>
      <w:r w:rsidRPr="00520861">
        <w:rPr>
          <w:iCs/>
          <w:sz w:val="28"/>
          <w:szCs w:val="28"/>
          <w:lang w:eastAsia="x-none" w:bidi="lo-LA"/>
        </w:rPr>
        <w:t xml:space="preserve"> регуляції також асоційовані з </w:t>
      </w:r>
      <w:r w:rsidR="00591ECB" w:rsidRPr="00520861">
        <w:rPr>
          <w:iCs/>
          <w:sz w:val="28"/>
          <w:szCs w:val="28"/>
          <w:lang w:eastAsia="x-none" w:bidi="lo-LA"/>
        </w:rPr>
        <w:t>незла</w:t>
      </w:r>
      <w:r w:rsidRPr="00520861">
        <w:rPr>
          <w:iCs/>
          <w:sz w:val="28"/>
          <w:szCs w:val="28"/>
          <w:lang w:eastAsia="x-none" w:bidi="lo-LA"/>
        </w:rPr>
        <w:t>годжені</w:t>
      </w:r>
      <w:r w:rsidR="00C944E9" w:rsidRPr="00520861">
        <w:rPr>
          <w:iCs/>
          <w:sz w:val="28"/>
          <w:szCs w:val="28"/>
          <w:lang w:eastAsia="x-none" w:bidi="lo-LA"/>
        </w:rPr>
        <w:t xml:space="preserve">стю між процесами </w:t>
      </w:r>
      <w:proofErr w:type="spellStart"/>
      <w:r w:rsidR="00C944E9" w:rsidRPr="00520861">
        <w:rPr>
          <w:iCs/>
          <w:sz w:val="28"/>
          <w:szCs w:val="28"/>
          <w:lang w:eastAsia="x-none" w:bidi="lo-LA"/>
        </w:rPr>
        <w:t>остеогенезу</w:t>
      </w:r>
      <w:proofErr w:type="spellEnd"/>
      <w:r w:rsidR="00C944E9" w:rsidRPr="00520861">
        <w:rPr>
          <w:iCs/>
          <w:sz w:val="28"/>
          <w:szCs w:val="28"/>
          <w:lang w:eastAsia="x-none" w:bidi="lo-LA"/>
        </w:rPr>
        <w:t xml:space="preserve"> й</w:t>
      </w:r>
      <w:r w:rsidRPr="00520861">
        <w:rPr>
          <w:iCs/>
          <w:sz w:val="28"/>
          <w:szCs w:val="28"/>
          <w:lang w:eastAsia="x-none" w:bidi="lo-LA"/>
        </w:rPr>
        <w:t xml:space="preserve"> </w:t>
      </w:r>
      <w:proofErr w:type="spellStart"/>
      <w:r w:rsidRPr="00520861">
        <w:rPr>
          <w:iCs/>
          <w:sz w:val="28"/>
          <w:szCs w:val="28"/>
          <w:lang w:eastAsia="x-none" w:bidi="lo-LA"/>
        </w:rPr>
        <w:t>остеодеструкції</w:t>
      </w:r>
      <w:proofErr w:type="spellEnd"/>
      <w:r w:rsidRPr="00520861">
        <w:rPr>
          <w:iCs/>
          <w:sz w:val="28"/>
          <w:szCs w:val="28"/>
          <w:lang w:eastAsia="x-none" w:bidi="lo-LA"/>
        </w:rPr>
        <w:t xml:space="preserve"> кісткової тканини</w:t>
      </w:r>
      <w:r w:rsidR="00411418" w:rsidRPr="00520861">
        <w:rPr>
          <w:iCs/>
          <w:sz w:val="28"/>
          <w:szCs w:val="28"/>
          <w:lang w:eastAsia="x-none" w:bidi="lo-LA"/>
        </w:rPr>
        <w:t xml:space="preserve"> [</w:t>
      </w:r>
      <w:r w:rsidR="004403F8" w:rsidRPr="00520861">
        <w:rPr>
          <w:iCs/>
          <w:sz w:val="28"/>
          <w:szCs w:val="28"/>
          <w:lang w:eastAsia="x-none" w:bidi="lo-LA"/>
        </w:rPr>
        <w:t>17</w:t>
      </w:r>
      <w:r w:rsidR="00411418" w:rsidRPr="00520861">
        <w:rPr>
          <w:iCs/>
          <w:sz w:val="28"/>
          <w:szCs w:val="28"/>
          <w:lang w:eastAsia="x-none" w:bidi="lo-LA"/>
        </w:rPr>
        <w:t>].</w:t>
      </w:r>
    </w:p>
    <w:p w14:paraId="4B37E30E" w14:textId="77777777" w:rsidR="00876FA5" w:rsidRPr="00520861" w:rsidRDefault="009B77A4" w:rsidP="00292D2E">
      <w:pPr>
        <w:widowControl w:val="0"/>
        <w:spacing w:line="360" w:lineRule="auto"/>
        <w:ind w:firstLine="708"/>
        <w:jc w:val="both"/>
        <w:rPr>
          <w:sz w:val="28"/>
          <w:szCs w:val="28"/>
        </w:rPr>
      </w:pPr>
      <w:r w:rsidRPr="00520861">
        <w:rPr>
          <w:iCs/>
          <w:sz w:val="28"/>
          <w:szCs w:val="28"/>
          <w:lang w:eastAsia="x-none" w:bidi="lo-LA"/>
        </w:rPr>
        <w:t xml:space="preserve">Отже, глибокі метаболічні й функціональні порушення в усіх органах і системах організму, які спостерігаються при </w:t>
      </w:r>
      <w:proofErr w:type="spellStart"/>
      <w:r w:rsidRPr="00520861">
        <w:rPr>
          <w:iCs/>
          <w:sz w:val="28"/>
          <w:szCs w:val="28"/>
          <w:lang w:eastAsia="x-none" w:bidi="lo-LA"/>
        </w:rPr>
        <w:t>макросомії</w:t>
      </w:r>
      <w:proofErr w:type="spellEnd"/>
      <w:r w:rsidRPr="00520861">
        <w:rPr>
          <w:iCs/>
          <w:sz w:val="28"/>
          <w:szCs w:val="28"/>
          <w:lang w:eastAsia="x-none" w:bidi="lo-LA"/>
        </w:rPr>
        <w:t xml:space="preserve">, не можуть не відбиватися </w:t>
      </w:r>
      <w:r w:rsidR="003C084D" w:rsidRPr="00520861">
        <w:rPr>
          <w:iCs/>
          <w:sz w:val="28"/>
          <w:szCs w:val="28"/>
          <w:lang w:eastAsia="x-none" w:bidi="lo-LA"/>
        </w:rPr>
        <w:br/>
      </w:r>
      <w:r w:rsidRPr="00520861">
        <w:rPr>
          <w:iCs/>
          <w:sz w:val="28"/>
          <w:szCs w:val="28"/>
          <w:lang w:eastAsia="x-none" w:bidi="lo-LA"/>
        </w:rPr>
        <w:t xml:space="preserve">на ланці </w:t>
      </w:r>
      <w:proofErr w:type="spellStart"/>
      <w:r w:rsidRPr="00520861">
        <w:rPr>
          <w:iCs/>
          <w:sz w:val="28"/>
          <w:szCs w:val="28"/>
          <w:lang w:eastAsia="x-none" w:bidi="lo-LA"/>
        </w:rPr>
        <w:t>зубощелепного</w:t>
      </w:r>
      <w:proofErr w:type="spellEnd"/>
      <w:r w:rsidRPr="00520861">
        <w:rPr>
          <w:iCs/>
          <w:sz w:val="28"/>
          <w:szCs w:val="28"/>
          <w:lang w:eastAsia="x-none" w:bidi="lo-LA"/>
        </w:rPr>
        <w:t xml:space="preserve"> апарату. </w:t>
      </w:r>
      <w:r w:rsidRPr="00520861">
        <w:rPr>
          <w:sz w:val="28"/>
          <w:szCs w:val="28"/>
          <w:lang w:eastAsia="x-none" w:bidi="lo-LA"/>
        </w:rPr>
        <w:t xml:space="preserve">На жаль, </w:t>
      </w:r>
      <w:r w:rsidRPr="00520861">
        <w:rPr>
          <w:iCs/>
          <w:sz w:val="28"/>
          <w:szCs w:val="28"/>
          <w:lang w:eastAsia="x-none" w:bidi="lo-LA"/>
        </w:rPr>
        <w:t>систематизовані комплексні дослідження стану органів порожнини рота</w:t>
      </w:r>
      <w:r w:rsidR="002826E4" w:rsidRPr="00520861">
        <w:rPr>
          <w:iCs/>
          <w:sz w:val="28"/>
          <w:szCs w:val="28"/>
          <w:lang w:eastAsia="x-none" w:bidi="lo-LA"/>
        </w:rPr>
        <w:t xml:space="preserve"> (ПР)</w:t>
      </w:r>
      <w:r w:rsidRPr="00520861">
        <w:rPr>
          <w:iCs/>
          <w:sz w:val="28"/>
          <w:szCs w:val="28"/>
          <w:lang w:eastAsia="x-none" w:bidi="lo-LA"/>
        </w:rPr>
        <w:t xml:space="preserve">, стану твердих тканин зубів, тканин </w:t>
      </w:r>
      <w:proofErr w:type="spellStart"/>
      <w:r w:rsidRPr="00520861">
        <w:rPr>
          <w:iCs/>
          <w:sz w:val="28"/>
          <w:szCs w:val="28"/>
          <w:lang w:eastAsia="x-none" w:bidi="lo-LA"/>
        </w:rPr>
        <w:t>пародонта</w:t>
      </w:r>
      <w:proofErr w:type="spellEnd"/>
      <w:r w:rsidRPr="00520861">
        <w:rPr>
          <w:iCs/>
          <w:sz w:val="28"/>
          <w:szCs w:val="28"/>
          <w:lang w:eastAsia="x-none" w:bidi="lo-LA"/>
        </w:rPr>
        <w:t xml:space="preserve"> та слизових оболонок </w:t>
      </w:r>
      <w:r w:rsidR="00180192" w:rsidRPr="00520861">
        <w:rPr>
          <w:iCs/>
          <w:sz w:val="28"/>
          <w:szCs w:val="28"/>
          <w:lang w:eastAsia="x-none" w:bidi="lo-LA"/>
        </w:rPr>
        <w:t>порожнини рот</w:t>
      </w:r>
      <w:r w:rsidR="00180192" w:rsidRPr="00520861">
        <w:rPr>
          <w:iCs/>
          <w:sz w:val="28"/>
          <w:szCs w:val="28"/>
          <w:lang w:val="ru-RU" w:eastAsia="x-none" w:bidi="lo-LA"/>
        </w:rPr>
        <w:t>а</w:t>
      </w:r>
      <w:r w:rsidRPr="00520861">
        <w:rPr>
          <w:iCs/>
          <w:sz w:val="28"/>
          <w:szCs w:val="28"/>
          <w:lang w:eastAsia="x-none" w:bidi="lo-LA"/>
        </w:rPr>
        <w:t xml:space="preserve"> </w:t>
      </w:r>
      <w:r w:rsidR="00343A30" w:rsidRPr="00520861">
        <w:rPr>
          <w:iCs/>
          <w:sz w:val="28"/>
          <w:szCs w:val="28"/>
          <w:lang w:eastAsia="x-none" w:bidi="lo-LA"/>
        </w:rPr>
        <w:t xml:space="preserve">(СОПР) </w:t>
      </w:r>
      <w:r w:rsidR="00C944E9" w:rsidRPr="00520861">
        <w:rPr>
          <w:iCs/>
          <w:sz w:val="28"/>
          <w:szCs w:val="28"/>
          <w:lang w:eastAsia="x-none" w:bidi="lo-LA"/>
        </w:rPr>
        <w:t xml:space="preserve">в осіб, народжених </w:t>
      </w:r>
      <w:r w:rsidRPr="00520861">
        <w:rPr>
          <w:iCs/>
          <w:sz w:val="28"/>
          <w:szCs w:val="28"/>
          <w:lang w:eastAsia="x-none" w:bidi="lo-LA"/>
        </w:rPr>
        <w:t xml:space="preserve">з </w:t>
      </w:r>
      <w:proofErr w:type="spellStart"/>
      <w:r w:rsidRPr="00520861">
        <w:rPr>
          <w:iCs/>
          <w:sz w:val="28"/>
          <w:szCs w:val="28"/>
          <w:lang w:eastAsia="x-none" w:bidi="lo-LA"/>
        </w:rPr>
        <w:t>макросомією</w:t>
      </w:r>
      <w:proofErr w:type="spellEnd"/>
      <w:r w:rsidRPr="00520861">
        <w:rPr>
          <w:iCs/>
          <w:sz w:val="28"/>
          <w:szCs w:val="28"/>
          <w:lang w:eastAsia="x-none" w:bidi="lo-LA"/>
        </w:rPr>
        <w:t xml:space="preserve">, на сьогодні відсутні. </w:t>
      </w:r>
      <w:r w:rsidRPr="00520861">
        <w:rPr>
          <w:sz w:val="28"/>
          <w:szCs w:val="28"/>
          <w:lang w:eastAsia="x-none" w:bidi="lo-LA"/>
        </w:rPr>
        <w:t xml:space="preserve">Існують лише поодинокі розрізнені відомості про стоматологічну патологію в дітей, які народилися великими до </w:t>
      </w:r>
      <w:proofErr w:type="spellStart"/>
      <w:r w:rsidRPr="00520861">
        <w:rPr>
          <w:sz w:val="28"/>
          <w:szCs w:val="28"/>
          <w:lang w:eastAsia="x-none" w:bidi="lo-LA"/>
        </w:rPr>
        <w:t>гестаційного</w:t>
      </w:r>
      <w:proofErr w:type="spellEnd"/>
      <w:r w:rsidRPr="00520861">
        <w:rPr>
          <w:sz w:val="28"/>
          <w:szCs w:val="28"/>
          <w:lang w:eastAsia="x-none" w:bidi="lo-LA"/>
        </w:rPr>
        <w:t xml:space="preserve"> віку, але ці дослідження стосуються лише проблеми виникнення карієсу в дітей та підлітків </w:t>
      </w:r>
      <w:r w:rsidR="00AD6DCB" w:rsidRPr="00520861">
        <w:rPr>
          <w:sz w:val="28"/>
          <w:szCs w:val="28"/>
          <w:lang w:eastAsia="x-none" w:bidi="lo-LA"/>
        </w:rPr>
        <w:t>[438</w:t>
      </w:r>
      <w:r w:rsidR="00B64A60" w:rsidRPr="00520861">
        <w:rPr>
          <w:sz w:val="28"/>
          <w:szCs w:val="28"/>
          <w:lang w:eastAsia="x-none" w:bidi="lo-LA"/>
        </w:rPr>
        <w:t xml:space="preserve">] та </w:t>
      </w:r>
      <w:r w:rsidR="00B64A60" w:rsidRPr="00520861">
        <w:rPr>
          <w:iCs/>
          <w:sz w:val="28"/>
          <w:szCs w:val="28"/>
          <w:lang w:eastAsia="x-none" w:bidi="lo-LA"/>
        </w:rPr>
        <w:t>певної затримки</w:t>
      </w:r>
      <w:r w:rsidRPr="00520861">
        <w:rPr>
          <w:iCs/>
          <w:sz w:val="28"/>
          <w:szCs w:val="28"/>
          <w:lang w:eastAsia="x-none" w:bidi="lo-LA"/>
        </w:rPr>
        <w:t xml:space="preserve"> термінів прорізува</w:t>
      </w:r>
      <w:r w:rsidR="00CD5567" w:rsidRPr="00520861">
        <w:rPr>
          <w:iCs/>
          <w:sz w:val="28"/>
          <w:szCs w:val="28"/>
          <w:lang w:eastAsia="x-none" w:bidi="lo-LA"/>
        </w:rPr>
        <w:t xml:space="preserve">ння тимчасових зубів порівняно з </w:t>
      </w:r>
      <w:proofErr w:type="spellStart"/>
      <w:r w:rsidR="00CD5567" w:rsidRPr="00520861">
        <w:rPr>
          <w:iCs/>
          <w:sz w:val="28"/>
          <w:szCs w:val="28"/>
          <w:lang w:eastAsia="x-none" w:bidi="lo-LA"/>
        </w:rPr>
        <w:t>нормосомами</w:t>
      </w:r>
      <w:proofErr w:type="spellEnd"/>
      <w:r w:rsidR="00CD5567" w:rsidRPr="00520861">
        <w:rPr>
          <w:iCs/>
          <w:sz w:val="28"/>
          <w:szCs w:val="28"/>
          <w:lang w:eastAsia="x-none" w:bidi="lo-LA"/>
        </w:rPr>
        <w:t> </w:t>
      </w:r>
      <w:r w:rsidR="003753B4" w:rsidRPr="00520861">
        <w:rPr>
          <w:iCs/>
          <w:sz w:val="28"/>
          <w:szCs w:val="28"/>
          <w:lang w:eastAsia="x-none" w:bidi="lo-LA"/>
        </w:rPr>
        <w:t>[</w:t>
      </w:r>
      <w:r w:rsidR="00AD6DCB" w:rsidRPr="00520861">
        <w:rPr>
          <w:iCs/>
          <w:sz w:val="28"/>
          <w:szCs w:val="28"/>
          <w:lang w:eastAsia="x-none" w:bidi="lo-LA"/>
        </w:rPr>
        <w:t>203</w:t>
      </w:r>
      <w:r w:rsidR="003753B4" w:rsidRPr="00520861">
        <w:rPr>
          <w:iCs/>
          <w:sz w:val="28"/>
          <w:szCs w:val="28"/>
          <w:lang w:eastAsia="x-none" w:bidi="lo-LA"/>
        </w:rPr>
        <w:t>]</w:t>
      </w:r>
      <w:r w:rsidR="00B64A60" w:rsidRPr="00520861">
        <w:rPr>
          <w:iCs/>
          <w:sz w:val="28"/>
          <w:szCs w:val="28"/>
          <w:lang w:eastAsia="x-none" w:bidi="lo-LA"/>
        </w:rPr>
        <w:t>.</w:t>
      </w:r>
    </w:p>
    <w:p w14:paraId="3A0E7098" w14:textId="77777777" w:rsidR="00032741" w:rsidRPr="00520861" w:rsidRDefault="009B77A4" w:rsidP="00292D2E">
      <w:pPr>
        <w:widowControl w:val="0"/>
        <w:autoSpaceDE w:val="0"/>
        <w:autoSpaceDN w:val="0"/>
        <w:adjustRightInd w:val="0"/>
        <w:spacing w:line="360" w:lineRule="auto"/>
        <w:ind w:firstLine="708"/>
        <w:jc w:val="both"/>
        <w:rPr>
          <w:color w:val="000000"/>
          <w:sz w:val="28"/>
          <w:szCs w:val="28"/>
        </w:rPr>
      </w:pPr>
      <w:r w:rsidRPr="00520861">
        <w:rPr>
          <w:sz w:val="28"/>
          <w:szCs w:val="28"/>
        </w:rPr>
        <w:t>Незважаючи на те що єдиний механізм формування стоматологічної патології відсутній, спадкова обумовленість</w:t>
      </w:r>
      <w:r w:rsidRPr="00520861">
        <w:rPr>
          <w:color w:val="000000"/>
          <w:sz w:val="28"/>
          <w:szCs w:val="28"/>
        </w:rPr>
        <w:t xml:space="preserve"> схильності до стоматологічних захворювань є безсумнівною</w:t>
      </w:r>
      <w:r w:rsidR="00032741" w:rsidRPr="00520861">
        <w:rPr>
          <w:color w:val="000000"/>
          <w:sz w:val="28"/>
          <w:szCs w:val="28"/>
        </w:rPr>
        <w:t xml:space="preserve"> [</w:t>
      </w:r>
      <w:r w:rsidR="00F26DAD" w:rsidRPr="00520861">
        <w:rPr>
          <w:color w:val="000000"/>
          <w:sz w:val="28"/>
          <w:szCs w:val="28"/>
        </w:rPr>
        <w:t xml:space="preserve">106, </w:t>
      </w:r>
      <w:r w:rsidR="003B2341" w:rsidRPr="00520861">
        <w:rPr>
          <w:color w:val="000000"/>
          <w:sz w:val="28"/>
          <w:szCs w:val="28"/>
        </w:rPr>
        <w:t xml:space="preserve">257, </w:t>
      </w:r>
      <w:r w:rsidR="00F26DAD" w:rsidRPr="00520861">
        <w:rPr>
          <w:color w:val="000000"/>
          <w:sz w:val="28"/>
          <w:szCs w:val="28"/>
        </w:rPr>
        <w:t>270</w:t>
      </w:r>
      <w:r w:rsidR="00032741" w:rsidRPr="00520861">
        <w:rPr>
          <w:color w:val="000000"/>
          <w:sz w:val="28"/>
          <w:szCs w:val="28"/>
        </w:rPr>
        <w:t>]</w:t>
      </w:r>
      <w:r w:rsidRPr="00520861">
        <w:rPr>
          <w:color w:val="000000"/>
          <w:sz w:val="28"/>
          <w:szCs w:val="28"/>
        </w:rPr>
        <w:t xml:space="preserve">. </w:t>
      </w:r>
    </w:p>
    <w:p w14:paraId="57024F42" w14:textId="77777777" w:rsidR="00BD49BF" w:rsidRPr="00520861" w:rsidRDefault="008240BC" w:rsidP="00292D2E">
      <w:pPr>
        <w:widowControl w:val="0"/>
        <w:autoSpaceDE w:val="0"/>
        <w:autoSpaceDN w:val="0"/>
        <w:adjustRightInd w:val="0"/>
        <w:spacing w:line="360" w:lineRule="auto"/>
        <w:ind w:firstLine="708"/>
        <w:jc w:val="both"/>
        <w:rPr>
          <w:color w:val="000000"/>
          <w:spacing w:val="-4"/>
          <w:sz w:val="28"/>
          <w:szCs w:val="28"/>
        </w:rPr>
      </w:pPr>
      <w:r w:rsidRPr="00520861">
        <w:rPr>
          <w:color w:val="000000"/>
          <w:sz w:val="28"/>
          <w:szCs w:val="28"/>
        </w:rPr>
        <w:t>О</w:t>
      </w:r>
      <w:r w:rsidR="00CD5567" w:rsidRPr="00520861">
        <w:rPr>
          <w:color w:val="000000"/>
          <w:sz w:val="28"/>
          <w:szCs w:val="28"/>
        </w:rPr>
        <w:t>с</w:t>
      </w:r>
      <w:r w:rsidRPr="00520861">
        <w:rPr>
          <w:color w:val="000000"/>
          <w:sz w:val="28"/>
          <w:szCs w:val="28"/>
        </w:rPr>
        <w:t>таннім часом</w:t>
      </w:r>
      <w:r w:rsidR="00174453" w:rsidRPr="00520861">
        <w:rPr>
          <w:color w:val="000000"/>
          <w:sz w:val="28"/>
          <w:szCs w:val="28"/>
        </w:rPr>
        <w:t xml:space="preserve"> </w:t>
      </w:r>
      <w:r w:rsidR="009B77A4" w:rsidRPr="00520861">
        <w:rPr>
          <w:color w:val="000000"/>
          <w:sz w:val="28"/>
          <w:szCs w:val="28"/>
        </w:rPr>
        <w:t xml:space="preserve">значний теоретичний та практичний </w:t>
      </w:r>
      <w:r w:rsidR="00C944E9" w:rsidRPr="00520861">
        <w:rPr>
          <w:color w:val="000000"/>
          <w:sz w:val="28"/>
          <w:szCs w:val="28"/>
        </w:rPr>
        <w:t>інтерес становить</w:t>
      </w:r>
      <w:r w:rsidR="000A1FE2" w:rsidRPr="00520861">
        <w:rPr>
          <w:color w:val="000000"/>
          <w:sz w:val="28"/>
          <w:szCs w:val="28"/>
        </w:rPr>
        <w:t xml:space="preserve"> </w:t>
      </w:r>
      <w:r w:rsidR="00407EE2" w:rsidRPr="00520861">
        <w:rPr>
          <w:color w:val="000000"/>
          <w:sz w:val="28"/>
          <w:szCs w:val="28"/>
        </w:rPr>
        <w:br/>
      </w:r>
      <w:r w:rsidR="000A1FE2" w:rsidRPr="00520861">
        <w:rPr>
          <w:color w:val="000000"/>
          <w:sz w:val="28"/>
          <w:szCs w:val="28"/>
        </w:rPr>
        <w:t>вивчення генотипів й</w:t>
      </w:r>
      <w:r w:rsidR="00F622A1" w:rsidRPr="00520861">
        <w:rPr>
          <w:color w:val="000000"/>
          <w:sz w:val="28"/>
          <w:szCs w:val="28"/>
        </w:rPr>
        <w:t xml:space="preserve"> </w:t>
      </w:r>
      <w:proofErr w:type="spellStart"/>
      <w:r w:rsidR="00DB4C96" w:rsidRPr="00520861">
        <w:rPr>
          <w:color w:val="000000"/>
          <w:sz w:val="28"/>
          <w:szCs w:val="28"/>
        </w:rPr>
        <w:t>алелей</w:t>
      </w:r>
      <w:proofErr w:type="spellEnd"/>
      <w:r w:rsidR="009B77A4" w:rsidRPr="00520861">
        <w:rPr>
          <w:color w:val="000000"/>
          <w:sz w:val="28"/>
          <w:szCs w:val="28"/>
        </w:rPr>
        <w:t xml:space="preserve"> поліморфних варіантів генів цитокінів із про- й протизапальною дією</w:t>
      </w:r>
      <w:r w:rsidR="001B4FDC" w:rsidRPr="00520861">
        <w:rPr>
          <w:color w:val="000000"/>
          <w:sz w:val="28"/>
          <w:szCs w:val="28"/>
        </w:rPr>
        <w:t xml:space="preserve"> [</w:t>
      </w:r>
      <w:r w:rsidR="00F26DAD" w:rsidRPr="00520861">
        <w:rPr>
          <w:color w:val="000000"/>
          <w:sz w:val="28"/>
          <w:szCs w:val="28"/>
        </w:rPr>
        <w:t>87, 193, 458, 534</w:t>
      </w:r>
      <w:r w:rsidR="001B4FDC" w:rsidRPr="00520861">
        <w:rPr>
          <w:color w:val="000000"/>
          <w:sz w:val="28"/>
          <w:szCs w:val="28"/>
        </w:rPr>
        <w:t>]</w:t>
      </w:r>
      <w:r w:rsidR="00407EE2" w:rsidRPr="00520861">
        <w:rPr>
          <w:color w:val="000000"/>
          <w:sz w:val="28"/>
          <w:szCs w:val="28"/>
        </w:rPr>
        <w:t xml:space="preserve">; генів, пов’язаних </w:t>
      </w:r>
      <w:r w:rsidR="009B77A4" w:rsidRPr="00520861">
        <w:rPr>
          <w:color w:val="000000"/>
          <w:sz w:val="28"/>
          <w:szCs w:val="28"/>
        </w:rPr>
        <w:t xml:space="preserve">з метаболізмом сполучної тканини; генів, які відповідають за розвиток </w:t>
      </w:r>
      <w:proofErr w:type="spellStart"/>
      <w:r w:rsidR="009B77A4" w:rsidRPr="00520861">
        <w:rPr>
          <w:color w:val="000000"/>
          <w:sz w:val="28"/>
          <w:szCs w:val="28"/>
        </w:rPr>
        <w:t>ос</w:t>
      </w:r>
      <w:r w:rsidR="008726CC" w:rsidRPr="00520861">
        <w:rPr>
          <w:color w:val="000000"/>
          <w:sz w:val="28"/>
          <w:szCs w:val="28"/>
        </w:rPr>
        <w:t>теопоро</w:t>
      </w:r>
      <w:r w:rsidR="009B77A4" w:rsidRPr="00520861">
        <w:rPr>
          <w:color w:val="000000"/>
          <w:sz w:val="28"/>
          <w:szCs w:val="28"/>
        </w:rPr>
        <w:t>тичних</w:t>
      </w:r>
      <w:proofErr w:type="spellEnd"/>
      <w:r w:rsidR="009B77A4" w:rsidRPr="00520861">
        <w:rPr>
          <w:color w:val="000000"/>
          <w:sz w:val="28"/>
          <w:szCs w:val="28"/>
        </w:rPr>
        <w:t xml:space="preserve"> процесів та захворювань тканин </w:t>
      </w:r>
      <w:proofErr w:type="spellStart"/>
      <w:r w:rsidR="009B77A4" w:rsidRPr="00520861">
        <w:rPr>
          <w:color w:val="000000"/>
          <w:sz w:val="28"/>
          <w:szCs w:val="28"/>
        </w:rPr>
        <w:t>пародонта</w:t>
      </w:r>
      <w:proofErr w:type="spellEnd"/>
      <w:r w:rsidR="00B96A9E" w:rsidRPr="00520861">
        <w:rPr>
          <w:color w:val="000000"/>
          <w:sz w:val="28"/>
          <w:szCs w:val="28"/>
        </w:rPr>
        <w:t xml:space="preserve"> [</w:t>
      </w:r>
      <w:r w:rsidR="005B16D7" w:rsidRPr="00520861">
        <w:rPr>
          <w:color w:val="000000"/>
          <w:sz w:val="28"/>
          <w:szCs w:val="28"/>
        </w:rPr>
        <w:t>88</w:t>
      </w:r>
      <w:r w:rsidR="00B96A9E" w:rsidRPr="00520861">
        <w:rPr>
          <w:color w:val="000000"/>
          <w:sz w:val="28"/>
          <w:szCs w:val="28"/>
        </w:rPr>
        <w:t>]</w:t>
      </w:r>
      <w:r w:rsidR="009B77A4" w:rsidRPr="00520861">
        <w:rPr>
          <w:color w:val="000000"/>
          <w:sz w:val="28"/>
          <w:szCs w:val="28"/>
        </w:rPr>
        <w:t xml:space="preserve">; генів, пов’язаних із загоєнням тканин </w:t>
      </w:r>
      <w:proofErr w:type="spellStart"/>
      <w:r w:rsidR="009B77A4" w:rsidRPr="00520861">
        <w:rPr>
          <w:color w:val="000000"/>
          <w:sz w:val="28"/>
          <w:szCs w:val="28"/>
        </w:rPr>
        <w:t>пародонта</w:t>
      </w:r>
      <w:proofErr w:type="spellEnd"/>
      <w:r w:rsidR="009B77A4" w:rsidRPr="00520861">
        <w:rPr>
          <w:color w:val="000000"/>
          <w:sz w:val="28"/>
          <w:szCs w:val="28"/>
        </w:rPr>
        <w:t xml:space="preserve">, та генів, які </w:t>
      </w:r>
      <w:r w:rsidR="009B77A4" w:rsidRPr="00520861">
        <w:rPr>
          <w:color w:val="000000"/>
          <w:sz w:val="28"/>
          <w:szCs w:val="28"/>
        </w:rPr>
        <w:lastRenderedPageBreak/>
        <w:t xml:space="preserve">відповідають за формування зубів </w:t>
      </w:r>
      <w:r w:rsidR="005B16D7" w:rsidRPr="00520861">
        <w:rPr>
          <w:color w:val="000000"/>
          <w:sz w:val="28"/>
          <w:szCs w:val="28"/>
        </w:rPr>
        <w:t>[432</w:t>
      </w:r>
      <w:r w:rsidR="004A1CC3" w:rsidRPr="00520861">
        <w:rPr>
          <w:color w:val="000000"/>
          <w:sz w:val="28"/>
          <w:szCs w:val="28"/>
        </w:rPr>
        <w:t>]</w:t>
      </w:r>
      <w:r w:rsidR="005F32B3" w:rsidRPr="00520861">
        <w:rPr>
          <w:color w:val="000000"/>
          <w:sz w:val="28"/>
          <w:szCs w:val="28"/>
        </w:rPr>
        <w:t>. П</w:t>
      </w:r>
      <w:r w:rsidR="00407EE2" w:rsidRPr="00520861">
        <w:rPr>
          <w:color w:val="000000"/>
          <w:sz w:val="28"/>
          <w:szCs w:val="28"/>
        </w:rPr>
        <w:t>роведення таких дослі</w:t>
      </w:r>
      <w:r w:rsidR="005F32B3" w:rsidRPr="00520861">
        <w:rPr>
          <w:color w:val="000000"/>
          <w:sz w:val="28"/>
          <w:szCs w:val="28"/>
        </w:rPr>
        <w:t>джень</w:t>
      </w:r>
      <w:r w:rsidR="009B77A4" w:rsidRPr="00520861">
        <w:rPr>
          <w:color w:val="000000"/>
          <w:sz w:val="28"/>
          <w:szCs w:val="28"/>
        </w:rPr>
        <w:t xml:space="preserve"> д</w:t>
      </w:r>
      <w:r w:rsidR="00647AD2" w:rsidRPr="00520861">
        <w:rPr>
          <w:color w:val="000000"/>
          <w:sz w:val="28"/>
          <w:szCs w:val="28"/>
        </w:rPr>
        <w:t>асть змогу</w:t>
      </w:r>
      <w:r w:rsidR="009B77A4" w:rsidRPr="00520861">
        <w:rPr>
          <w:color w:val="000000"/>
          <w:sz w:val="28"/>
          <w:szCs w:val="28"/>
        </w:rPr>
        <w:t xml:space="preserve"> прояснити деякі ланки патогенезу впливу </w:t>
      </w:r>
      <w:proofErr w:type="spellStart"/>
      <w:r w:rsidR="009B77A4" w:rsidRPr="00520861">
        <w:rPr>
          <w:color w:val="000000"/>
          <w:sz w:val="28"/>
          <w:szCs w:val="28"/>
        </w:rPr>
        <w:t>макросомії</w:t>
      </w:r>
      <w:proofErr w:type="spellEnd"/>
      <w:r w:rsidR="009B77A4" w:rsidRPr="00520861">
        <w:rPr>
          <w:color w:val="000000"/>
          <w:sz w:val="28"/>
          <w:szCs w:val="28"/>
        </w:rPr>
        <w:t xml:space="preserve"> на </w:t>
      </w:r>
      <w:r w:rsidR="00EA0F22" w:rsidRPr="00520861">
        <w:rPr>
          <w:sz w:val="28"/>
          <w:szCs w:val="28"/>
          <w:lang w:eastAsia="x-none" w:bidi="lo-LA"/>
        </w:rPr>
        <w:t>ВУ</w:t>
      </w:r>
      <w:r w:rsidR="009B77A4" w:rsidRPr="00520861">
        <w:rPr>
          <w:color w:val="000000"/>
          <w:sz w:val="28"/>
          <w:szCs w:val="28"/>
        </w:rPr>
        <w:t xml:space="preserve"> формування </w:t>
      </w:r>
      <w:proofErr w:type="spellStart"/>
      <w:r w:rsidR="00E62082" w:rsidRPr="00520861">
        <w:rPr>
          <w:color w:val="000000"/>
          <w:spacing w:val="-4"/>
          <w:sz w:val="28"/>
          <w:szCs w:val="28"/>
        </w:rPr>
        <w:t>СтП</w:t>
      </w:r>
      <w:proofErr w:type="spellEnd"/>
      <w:r w:rsidR="009B77A4" w:rsidRPr="00520861">
        <w:rPr>
          <w:color w:val="000000"/>
          <w:spacing w:val="-4"/>
          <w:sz w:val="28"/>
          <w:szCs w:val="28"/>
        </w:rPr>
        <w:t xml:space="preserve"> та </w:t>
      </w:r>
      <w:r w:rsidR="005D6378" w:rsidRPr="00520861">
        <w:rPr>
          <w:color w:val="000000"/>
          <w:spacing w:val="-4"/>
          <w:sz w:val="28"/>
          <w:szCs w:val="28"/>
        </w:rPr>
        <w:br/>
      </w:r>
      <w:r w:rsidR="009B77A4" w:rsidRPr="00520861">
        <w:rPr>
          <w:color w:val="000000"/>
          <w:spacing w:val="-4"/>
          <w:sz w:val="28"/>
          <w:szCs w:val="28"/>
        </w:rPr>
        <w:t xml:space="preserve">слугуватиме основою для обґрунтування, розробки, апробації та подальшого </w:t>
      </w:r>
      <w:r w:rsidR="005D6378" w:rsidRPr="00520861">
        <w:rPr>
          <w:color w:val="000000"/>
          <w:spacing w:val="-4"/>
          <w:sz w:val="28"/>
          <w:szCs w:val="28"/>
        </w:rPr>
        <w:br/>
      </w:r>
      <w:r w:rsidR="009B77A4" w:rsidRPr="00520861">
        <w:rPr>
          <w:color w:val="000000"/>
          <w:spacing w:val="-4"/>
          <w:sz w:val="28"/>
          <w:szCs w:val="28"/>
        </w:rPr>
        <w:t xml:space="preserve">впровадження в практику </w:t>
      </w:r>
      <w:r w:rsidR="00A12361" w:rsidRPr="00520861">
        <w:rPr>
          <w:color w:val="000000"/>
          <w:spacing w:val="-4"/>
          <w:sz w:val="28"/>
          <w:szCs w:val="28"/>
        </w:rPr>
        <w:t xml:space="preserve">діагностики та </w:t>
      </w:r>
      <w:proofErr w:type="spellStart"/>
      <w:r w:rsidR="008F27DD" w:rsidRPr="00520861">
        <w:rPr>
          <w:color w:val="000000"/>
          <w:spacing w:val="-4"/>
          <w:sz w:val="28"/>
          <w:szCs w:val="28"/>
        </w:rPr>
        <w:t>патогенетично</w:t>
      </w:r>
      <w:proofErr w:type="spellEnd"/>
      <w:r w:rsidR="008F27DD" w:rsidRPr="00520861">
        <w:rPr>
          <w:color w:val="000000"/>
          <w:spacing w:val="-4"/>
          <w:sz w:val="28"/>
          <w:szCs w:val="28"/>
        </w:rPr>
        <w:t xml:space="preserve"> об</w:t>
      </w:r>
      <w:r w:rsidR="006D35C7" w:rsidRPr="00520861">
        <w:rPr>
          <w:color w:val="000000"/>
          <w:spacing w:val="-4"/>
          <w:sz w:val="28"/>
          <w:szCs w:val="28"/>
        </w:rPr>
        <w:t>ґ</w:t>
      </w:r>
      <w:r w:rsidR="008F27DD" w:rsidRPr="00520861">
        <w:rPr>
          <w:color w:val="000000"/>
          <w:spacing w:val="-4"/>
          <w:sz w:val="28"/>
          <w:szCs w:val="28"/>
        </w:rPr>
        <w:t xml:space="preserve">рунтованої </w:t>
      </w:r>
      <w:proofErr w:type="spellStart"/>
      <w:r w:rsidR="00A12361" w:rsidRPr="00520861">
        <w:rPr>
          <w:color w:val="000000"/>
          <w:spacing w:val="-4"/>
          <w:sz w:val="28"/>
          <w:szCs w:val="28"/>
        </w:rPr>
        <w:t>предикції</w:t>
      </w:r>
      <w:proofErr w:type="spellEnd"/>
      <w:r w:rsidR="00A12361" w:rsidRPr="00520861">
        <w:rPr>
          <w:color w:val="000000"/>
          <w:spacing w:val="-4"/>
          <w:sz w:val="28"/>
          <w:szCs w:val="28"/>
        </w:rPr>
        <w:t xml:space="preserve"> </w:t>
      </w:r>
      <w:proofErr w:type="spellStart"/>
      <w:r w:rsidR="00E62082" w:rsidRPr="00520861">
        <w:rPr>
          <w:color w:val="000000"/>
          <w:spacing w:val="-4"/>
          <w:sz w:val="28"/>
          <w:szCs w:val="28"/>
        </w:rPr>
        <w:t>СтП</w:t>
      </w:r>
      <w:proofErr w:type="spellEnd"/>
      <w:r w:rsidR="009B77A4" w:rsidRPr="00520861">
        <w:rPr>
          <w:color w:val="000000"/>
          <w:spacing w:val="-4"/>
          <w:sz w:val="28"/>
          <w:szCs w:val="28"/>
        </w:rPr>
        <w:t>.</w:t>
      </w:r>
    </w:p>
    <w:p w14:paraId="0EA7813A" w14:textId="77777777" w:rsidR="00BB7DC2" w:rsidRPr="00520861" w:rsidRDefault="00BB7DC2" w:rsidP="00292D2E">
      <w:pPr>
        <w:widowControl w:val="0"/>
        <w:spacing w:line="360" w:lineRule="auto"/>
        <w:ind w:firstLine="708"/>
        <w:jc w:val="both"/>
        <w:rPr>
          <w:iCs/>
          <w:sz w:val="28"/>
          <w:szCs w:val="28"/>
          <w:lang w:eastAsia="x-none" w:bidi="lo-LA"/>
        </w:rPr>
      </w:pPr>
      <w:r w:rsidRPr="00520861">
        <w:rPr>
          <w:sz w:val="28"/>
          <w:szCs w:val="28"/>
          <w:lang w:eastAsia="x-none" w:bidi="lo-LA"/>
        </w:rPr>
        <w:t>Окремо відзначимо, що п</w:t>
      </w:r>
      <w:r w:rsidRPr="00520861">
        <w:rPr>
          <w:iCs/>
          <w:sz w:val="28"/>
          <w:szCs w:val="28"/>
          <w:lang w:eastAsia="x-none" w:bidi="lo-LA"/>
        </w:rPr>
        <w:t xml:space="preserve">рогнозування та діагностика стадії </w:t>
      </w:r>
      <w:proofErr w:type="spellStart"/>
      <w:r w:rsidRPr="00520861">
        <w:rPr>
          <w:iCs/>
          <w:sz w:val="28"/>
          <w:szCs w:val="28"/>
          <w:lang w:eastAsia="x-none" w:bidi="lo-LA"/>
        </w:rPr>
        <w:t>передхвороби</w:t>
      </w:r>
      <w:proofErr w:type="spellEnd"/>
      <w:r w:rsidRPr="00520861">
        <w:rPr>
          <w:iCs/>
          <w:sz w:val="28"/>
          <w:szCs w:val="28"/>
          <w:lang w:eastAsia="x-none" w:bidi="lo-LA"/>
        </w:rPr>
        <w:t xml:space="preserve"> </w:t>
      </w:r>
      <w:r w:rsidRPr="00520861">
        <w:rPr>
          <w:iCs/>
          <w:sz w:val="28"/>
          <w:szCs w:val="28"/>
          <w:lang w:eastAsia="x-none" w:bidi="lo-LA"/>
        </w:rPr>
        <w:br/>
        <w:t xml:space="preserve">(перехідного процесу) є вагомою ланкою у виконанні одного з найважливіших </w:t>
      </w:r>
      <w:r w:rsidRPr="00520861">
        <w:rPr>
          <w:iCs/>
          <w:sz w:val="28"/>
          <w:szCs w:val="28"/>
          <w:lang w:eastAsia="x-none" w:bidi="lo-LA"/>
        </w:rPr>
        <w:br/>
        <w:t xml:space="preserve">завдань сучасної медицини – її профілактичної спрямованості [133]. </w:t>
      </w:r>
    </w:p>
    <w:p w14:paraId="4B155746" w14:textId="77777777" w:rsidR="00F268A7" w:rsidRPr="00520861" w:rsidRDefault="009B77A4" w:rsidP="00292D2E">
      <w:pPr>
        <w:widowControl w:val="0"/>
        <w:spacing w:line="360" w:lineRule="auto"/>
        <w:ind w:firstLine="708"/>
        <w:jc w:val="both"/>
        <w:rPr>
          <w:sz w:val="28"/>
          <w:szCs w:val="28"/>
          <w:lang w:eastAsia="x-none" w:bidi="lo-LA"/>
        </w:rPr>
      </w:pPr>
      <w:r w:rsidRPr="00520861">
        <w:rPr>
          <w:spacing w:val="-2"/>
          <w:sz w:val="28"/>
          <w:szCs w:val="28"/>
          <w:lang w:eastAsia="x-none" w:bidi="lo-LA"/>
        </w:rPr>
        <w:t>Вищеназвані факти дають підстави вважати актуальними проведення комплек</w:t>
      </w:r>
      <w:r w:rsidRPr="00520861">
        <w:rPr>
          <w:sz w:val="28"/>
          <w:szCs w:val="28"/>
          <w:lang w:eastAsia="x-none" w:bidi="lo-LA"/>
        </w:rPr>
        <w:t xml:space="preserve">сного </w:t>
      </w:r>
      <w:r w:rsidR="005E4297" w:rsidRPr="00520861">
        <w:rPr>
          <w:sz w:val="28"/>
          <w:szCs w:val="28"/>
          <w:lang w:eastAsia="x-none" w:bidi="lo-LA"/>
        </w:rPr>
        <w:t>дослідження</w:t>
      </w:r>
      <w:r w:rsidRPr="00520861">
        <w:rPr>
          <w:sz w:val="28"/>
          <w:szCs w:val="28"/>
          <w:lang w:eastAsia="x-none" w:bidi="lo-LA"/>
        </w:rPr>
        <w:t xml:space="preserve"> імунологічного, метаболічного гормонального </w:t>
      </w:r>
      <w:r w:rsidR="005E4297" w:rsidRPr="00520861">
        <w:rPr>
          <w:sz w:val="28"/>
          <w:szCs w:val="28"/>
          <w:lang w:eastAsia="x-none" w:bidi="lo-LA"/>
        </w:rPr>
        <w:t xml:space="preserve">та молекулярно- </w:t>
      </w:r>
      <w:r w:rsidR="00BB7DC2" w:rsidRPr="00520861">
        <w:rPr>
          <w:sz w:val="28"/>
          <w:szCs w:val="28"/>
          <w:lang w:eastAsia="x-none" w:bidi="lo-LA"/>
        </w:rPr>
        <w:br/>
      </w:r>
      <w:r w:rsidR="005E4297" w:rsidRPr="00520861">
        <w:rPr>
          <w:sz w:val="28"/>
          <w:szCs w:val="28"/>
          <w:lang w:eastAsia="x-none" w:bidi="lo-LA"/>
        </w:rPr>
        <w:t>генетичного</w:t>
      </w:r>
      <w:r w:rsidR="00DD73D2" w:rsidRPr="00520861">
        <w:rPr>
          <w:sz w:val="28"/>
          <w:szCs w:val="28"/>
          <w:lang w:eastAsia="x-none" w:bidi="lo-LA"/>
        </w:rPr>
        <w:t xml:space="preserve"> (МГ)</w:t>
      </w:r>
      <w:r w:rsidR="005E4297" w:rsidRPr="00520861">
        <w:rPr>
          <w:sz w:val="28"/>
          <w:szCs w:val="28"/>
          <w:lang w:eastAsia="x-none" w:bidi="lo-LA"/>
        </w:rPr>
        <w:t xml:space="preserve"> </w:t>
      </w:r>
      <w:r w:rsidRPr="00520861">
        <w:rPr>
          <w:sz w:val="28"/>
          <w:szCs w:val="28"/>
          <w:lang w:eastAsia="x-none" w:bidi="lo-LA"/>
        </w:rPr>
        <w:t xml:space="preserve">статусу осіб, народжених </w:t>
      </w:r>
      <w:r w:rsidR="00E80ACE" w:rsidRPr="00520861">
        <w:rPr>
          <w:sz w:val="28"/>
          <w:szCs w:val="28"/>
          <w:lang w:eastAsia="x-none" w:bidi="lo-LA"/>
        </w:rPr>
        <w:t xml:space="preserve">великими до </w:t>
      </w:r>
      <w:proofErr w:type="spellStart"/>
      <w:r w:rsidR="00E80ACE" w:rsidRPr="00520861">
        <w:rPr>
          <w:sz w:val="28"/>
          <w:szCs w:val="28"/>
          <w:lang w:eastAsia="x-none" w:bidi="lo-LA"/>
        </w:rPr>
        <w:t>гестаційного</w:t>
      </w:r>
      <w:proofErr w:type="spellEnd"/>
      <w:r w:rsidR="00E80ACE" w:rsidRPr="00520861">
        <w:rPr>
          <w:sz w:val="28"/>
          <w:szCs w:val="28"/>
          <w:lang w:eastAsia="x-none" w:bidi="lo-LA"/>
        </w:rPr>
        <w:t xml:space="preserve"> віку, </w:t>
      </w:r>
      <w:r w:rsidR="008D66CF" w:rsidRPr="00520861">
        <w:rPr>
          <w:sz w:val="28"/>
          <w:szCs w:val="28"/>
          <w:lang w:eastAsia="x-none" w:bidi="lo-LA"/>
        </w:rPr>
        <w:t xml:space="preserve">з </w:t>
      </w:r>
      <w:r w:rsidR="00BB7DC2" w:rsidRPr="00520861">
        <w:rPr>
          <w:sz w:val="28"/>
          <w:szCs w:val="28"/>
          <w:lang w:eastAsia="x-none" w:bidi="lo-LA"/>
        </w:rPr>
        <w:br/>
      </w:r>
      <w:r w:rsidR="00253B62" w:rsidRPr="00520861">
        <w:rPr>
          <w:sz w:val="28"/>
          <w:szCs w:val="28"/>
          <w:lang w:eastAsia="x-none" w:bidi="lo-LA"/>
        </w:rPr>
        <w:t>у</w:t>
      </w:r>
      <w:r w:rsidR="008D66CF" w:rsidRPr="00520861">
        <w:rPr>
          <w:sz w:val="28"/>
          <w:szCs w:val="28"/>
          <w:lang w:eastAsia="x-none" w:bidi="lo-LA"/>
        </w:rPr>
        <w:t xml:space="preserve">становленням домінантних </w:t>
      </w:r>
      <w:proofErr w:type="spellStart"/>
      <w:r w:rsidRPr="00520861">
        <w:rPr>
          <w:sz w:val="28"/>
          <w:szCs w:val="28"/>
          <w:lang w:eastAsia="x-none" w:bidi="lo-LA"/>
        </w:rPr>
        <w:t>залежностей</w:t>
      </w:r>
      <w:proofErr w:type="spellEnd"/>
      <w:r w:rsidRPr="00520861">
        <w:rPr>
          <w:sz w:val="28"/>
          <w:szCs w:val="28"/>
          <w:lang w:eastAsia="x-none" w:bidi="lo-LA"/>
        </w:rPr>
        <w:t xml:space="preserve"> між одержаними показниками та </w:t>
      </w:r>
      <w:r w:rsidR="00CC4BC5" w:rsidRPr="00520861">
        <w:rPr>
          <w:sz w:val="28"/>
          <w:szCs w:val="28"/>
          <w:lang w:eastAsia="x-none" w:bidi="lo-LA"/>
        </w:rPr>
        <w:br/>
      </w:r>
      <w:r w:rsidRPr="00520861">
        <w:rPr>
          <w:sz w:val="28"/>
          <w:szCs w:val="28"/>
          <w:lang w:eastAsia="x-none" w:bidi="lo-LA"/>
        </w:rPr>
        <w:t xml:space="preserve">стоматологічною патологією. </w:t>
      </w:r>
    </w:p>
    <w:p w14:paraId="0CC20408" w14:textId="77777777" w:rsidR="009B77A4" w:rsidRPr="00520861" w:rsidRDefault="009B77A4" w:rsidP="00292D2E">
      <w:pPr>
        <w:widowControl w:val="0"/>
        <w:spacing w:line="360" w:lineRule="auto"/>
        <w:ind w:firstLine="708"/>
        <w:jc w:val="both"/>
        <w:rPr>
          <w:iCs/>
          <w:sz w:val="28"/>
          <w:szCs w:val="28"/>
          <w:lang w:eastAsia="x-none" w:bidi="lo-LA"/>
        </w:rPr>
      </w:pPr>
      <w:r w:rsidRPr="00520861">
        <w:rPr>
          <w:sz w:val="28"/>
          <w:szCs w:val="28"/>
          <w:lang w:eastAsia="x-none" w:bidi="lo-LA"/>
        </w:rPr>
        <w:t xml:space="preserve">На цій основі доцільним є розробка й упровадження в практичну охорону здоров’я нових підходів </w:t>
      </w:r>
      <w:r w:rsidR="006E6D58" w:rsidRPr="00520861">
        <w:rPr>
          <w:sz w:val="28"/>
          <w:szCs w:val="28"/>
          <w:lang w:eastAsia="x-none" w:bidi="lo-LA"/>
        </w:rPr>
        <w:t xml:space="preserve">до </w:t>
      </w:r>
      <w:r w:rsidRPr="00520861">
        <w:rPr>
          <w:sz w:val="28"/>
          <w:szCs w:val="28"/>
          <w:lang w:eastAsia="x-none" w:bidi="lo-LA"/>
        </w:rPr>
        <w:t xml:space="preserve">ефективних методів </w:t>
      </w:r>
      <w:r w:rsidR="006E6D58" w:rsidRPr="00520861">
        <w:rPr>
          <w:sz w:val="28"/>
          <w:szCs w:val="28"/>
          <w:lang w:eastAsia="x-none" w:bidi="lo-LA"/>
        </w:rPr>
        <w:t xml:space="preserve">діагностики </w:t>
      </w:r>
      <w:r w:rsidR="005E4297" w:rsidRPr="00520861">
        <w:rPr>
          <w:sz w:val="28"/>
          <w:szCs w:val="28"/>
          <w:lang w:eastAsia="x-none" w:bidi="lo-LA"/>
        </w:rPr>
        <w:t xml:space="preserve">та прогнозування </w:t>
      </w:r>
      <w:r w:rsidRPr="00520861">
        <w:rPr>
          <w:sz w:val="28"/>
          <w:szCs w:val="28"/>
          <w:lang w:eastAsia="x-none" w:bidi="lo-LA"/>
        </w:rPr>
        <w:t xml:space="preserve">захворювань твердих тканин зубів, </w:t>
      </w:r>
      <w:proofErr w:type="spellStart"/>
      <w:r w:rsidR="00C66074" w:rsidRPr="00520861">
        <w:rPr>
          <w:sz w:val="28"/>
          <w:szCs w:val="28"/>
          <w:lang w:eastAsia="x-none" w:bidi="lo-LA"/>
        </w:rPr>
        <w:t>дистрофічно</w:t>
      </w:r>
      <w:proofErr w:type="spellEnd"/>
      <w:r w:rsidR="00C66074" w:rsidRPr="00520861">
        <w:rPr>
          <w:sz w:val="28"/>
          <w:szCs w:val="28"/>
          <w:lang w:eastAsia="x-none" w:bidi="lo-LA"/>
        </w:rPr>
        <w:t xml:space="preserve">-запальних </w:t>
      </w:r>
      <w:r w:rsidRPr="00520861">
        <w:rPr>
          <w:sz w:val="28"/>
          <w:szCs w:val="28"/>
          <w:lang w:eastAsia="x-none" w:bidi="lo-LA"/>
        </w:rPr>
        <w:t xml:space="preserve">захворювань тканин </w:t>
      </w:r>
      <w:proofErr w:type="spellStart"/>
      <w:r w:rsidRPr="00520861">
        <w:rPr>
          <w:sz w:val="28"/>
          <w:szCs w:val="28"/>
          <w:lang w:eastAsia="x-none" w:bidi="lo-LA"/>
        </w:rPr>
        <w:t>пародонта</w:t>
      </w:r>
      <w:proofErr w:type="spellEnd"/>
      <w:r w:rsidRPr="00520861">
        <w:rPr>
          <w:sz w:val="28"/>
          <w:szCs w:val="28"/>
          <w:lang w:eastAsia="x-none" w:bidi="lo-LA"/>
        </w:rPr>
        <w:t xml:space="preserve"> та інших </w:t>
      </w:r>
      <w:proofErr w:type="spellStart"/>
      <w:r w:rsidR="00E62082" w:rsidRPr="00520861">
        <w:rPr>
          <w:sz w:val="28"/>
          <w:szCs w:val="28"/>
          <w:lang w:eastAsia="x-none" w:bidi="lo-LA"/>
        </w:rPr>
        <w:t>СтП</w:t>
      </w:r>
      <w:proofErr w:type="spellEnd"/>
      <w:r w:rsidRPr="00520861">
        <w:rPr>
          <w:sz w:val="28"/>
          <w:szCs w:val="28"/>
          <w:lang w:eastAsia="x-none" w:bidi="lo-LA"/>
        </w:rPr>
        <w:t xml:space="preserve">. </w:t>
      </w:r>
    </w:p>
    <w:p w14:paraId="0A215417" w14:textId="77777777" w:rsidR="00D86253" w:rsidRPr="00520861" w:rsidRDefault="00207B46" w:rsidP="00292D2E">
      <w:pPr>
        <w:widowControl w:val="0"/>
        <w:spacing w:line="360" w:lineRule="auto"/>
        <w:ind w:firstLine="720"/>
        <w:jc w:val="both"/>
        <w:rPr>
          <w:sz w:val="28"/>
          <w:szCs w:val="28"/>
        </w:rPr>
      </w:pPr>
      <w:r w:rsidRPr="00520861">
        <w:rPr>
          <w:b/>
          <w:sz w:val="28"/>
          <w:szCs w:val="28"/>
        </w:rPr>
        <w:t>Зв</w:t>
      </w:r>
      <w:r w:rsidR="000A3A4D" w:rsidRPr="00520861">
        <w:rPr>
          <w:b/>
          <w:sz w:val="28"/>
          <w:szCs w:val="28"/>
        </w:rPr>
        <w:t>’</w:t>
      </w:r>
      <w:r w:rsidRPr="00520861">
        <w:rPr>
          <w:b/>
          <w:sz w:val="28"/>
          <w:szCs w:val="28"/>
        </w:rPr>
        <w:t>язок роботи з науков</w:t>
      </w:r>
      <w:r w:rsidR="00251AE2" w:rsidRPr="00520861">
        <w:rPr>
          <w:b/>
          <w:sz w:val="28"/>
          <w:szCs w:val="28"/>
        </w:rPr>
        <w:t>ими програмами, планами, темами</w:t>
      </w:r>
      <w:r w:rsidR="00523297" w:rsidRPr="00520861">
        <w:rPr>
          <w:b/>
          <w:sz w:val="28"/>
          <w:szCs w:val="28"/>
        </w:rPr>
        <w:t>.</w:t>
      </w:r>
      <w:r w:rsidR="009C3D91" w:rsidRPr="00520861">
        <w:rPr>
          <w:b/>
          <w:sz w:val="28"/>
          <w:szCs w:val="28"/>
        </w:rPr>
        <w:t xml:space="preserve"> </w:t>
      </w:r>
      <w:r w:rsidR="00966C64" w:rsidRPr="00520861">
        <w:rPr>
          <w:sz w:val="28"/>
          <w:szCs w:val="28"/>
        </w:rPr>
        <w:t>Дисертаці</w:t>
      </w:r>
      <w:r w:rsidR="00AD0373" w:rsidRPr="00520861">
        <w:rPr>
          <w:sz w:val="28"/>
          <w:szCs w:val="28"/>
        </w:rPr>
        <w:t>я</w:t>
      </w:r>
      <w:r w:rsidR="00966C64" w:rsidRPr="00520861">
        <w:rPr>
          <w:sz w:val="28"/>
          <w:szCs w:val="28"/>
        </w:rPr>
        <w:t xml:space="preserve"> є частиною планової науково-дослідної роботи</w:t>
      </w:r>
      <w:r w:rsidR="00174453" w:rsidRPr="00520861">
        <w:rPr>
          <w:sz w:val="28"/>
          <w:szCs w:val="28"/>
        </w:rPr>
        <w:t xml:space="preserve"> </w:t>
      </w:r>
      <w:r w:rsidR="00966C64" w:rsidRPr="00520861">
        <w:rPr>
          <w:sz w:val="28"/>
          <w:szCs w:val="28"/>
        </w:rPr>
        <w:t xml:space="preserve">Харківського національного медичного університету МОЗ України «Діагностика та лікування захворювань органів та тканин </w:t>
      </w:r>
      <w:proofErr w:type="spellStart"/>
      <w:r w:rsidR="00966C64" w:rsidRPr="00520861">
        <w:rPr>
          <w:sz w:val="28"/>
          <w:szCs w:val="28"/>
        </w:rPr>
        <w:t>щелепно</w:t>
      </w:r>
      <w:proofErr w:type="spellEnd"/>
      <w:r w:rsidR="00966C64" w:rsidRPr="00520861">
        <w:rPr>
          <w:sz w:val="28"/>
          <w:szCs w:val="28"/>
        </w:rPr>
        <w:t>-лицевої ділянки» (номер держав</w:t>
      </w:r>
      <w:r w:rsidR="00D06F77" w:rsidRPr="00520861">
        <w:rPr>
          <w:sz w:val="28"/>
          <w:szCs w:val="28"/>
        </w:rPr>
        <w:t xml:space="preserve">ної реєстрації 0113U002274), </w:t>
      </w:r>
      <w:r w:rsidR="00966C64" w:rsidRPr="00520861">
        <w:rPr>
          <w:sz w:val="28"/>
          <w:szCs w:val="28"/>
        </w:rPr>
        <w:t>строк викона</w:t>
      </w:r>
      <w:r w:rsidR="00D06F77" w:rsidRPr="00520861">
        <w:rPr>
          <w:sz w:val="28"/>
          <w:szCs w:val="28"/>
        </w:rPr>
        <w:t>ння 2013–</w:t>
      </w:r>
      <w:r w:rsidR="00966C64" w:rsidRPr="00520861">
        <w:rPr>
          <w:sz w:val="28"/>
          <w:szCs w:val="28"/>
        </w:rPr>
        <w:t>2015</w:t>
      </w:r>
      <w:r w:rsidR="00D06F77" w:rsidRPr="00520861">
        <w:rPr>
          <w:sz w:val="28"/>
          <w:szCs w:val="28"/>
        </w:rPr>
        <w:t> р</w:t>
      </w:r>
      <w:r w:rsidR="00966C64" w:rsidRPr="00520861">
        <w:rPr>
          <w:sz w:val="28"/>
          <w:szCs w:val="28"/>
        </w:rPr>
        <w:t>р.</w:t>
      </w:r>
      <w:r w:rsidR="00D06F77" w:rsidRPr="00520861">
        <w:rPr>
          <w:sz w:val="28"/>
          <w:szCs w:val="28"/>
        </w:rPr>
        <w:t>,</w:t>
      </w:r>
      <w:r w:rsidR="00A47DD9" w:rsidRPr="00520861">
        <w:rPr>
          <w:sz w:val="28"/>
          <w:szCs w:val="28"/>
        </w:rPr>
        <w:t xml:space="preserve"> і</w:t>
      </w:r>
      <w:r w:rsidR="00966C64" w:rsidRPr="00520861">
        <w:rPr>
          <w:sz w:val="28"/>
          <w:szCs w:val="28"/>
        </w:rPr>
        <w:t xml:space="preserve"> «Характер, структура та лікування основних </w:t>
      </w:r>
      <w:r w:rsidR="005D6378" w:rsidRPr="00520861">
        <w:rPr>
          <w:sz w:val="28"/>
          <w:szCs w:val="28"/>
        </w:rPr>
        <w:br/>
      </w:r>
      <w:r w:rsidR="00966C64" w:rsidRPr="00520861">
        <w:rPr>
          <w:sz w:val="28"/>
          <w:szCs w:val="28"/>
        </w:rPr>
        <w:t>стоматологічних захворювань» (номер державної реєстрації 0116U00</w:t>
      </w:r>
      <w:r w:rsidR="00D86253" w:rsidRPr="00520861">
        <w:rPr>
          <w:sz w:val="28"/>
          <w:szCs w:val="28"/>
        </w:rPr>
        <w:t>4975)</w:t>
      </w:r>
      <w:r w:rsidR="00D06F77" w:rsidRPr="00520861">
        <w:rPr>
          <w:sz w:val="28"/>
          <w:szCs w:val="28"/>
        </w:rPr>
        <w:t>, строк виконання 2016–</w:t>
      </w:r>
      <w:r w:rsidR="00D86253" w:rsidRPr="00520861">
        <w:rPr>
          <w:sz w:val="28"/>
          <w:szCs w:val="28"/>
        </w:rPr>
        <w:t>2018</w:t>
      </w:r>
      <w:r w:rsidR="00D06F77" w:rsidRPr="00520861">
        <w:rPr>
          <w:sz w:val="28"/>
          <w:szCs w:val="28"/>
        </w:rPr>
        <w:t xml:space="preserve"> рр</w:t>
      </w:r>
      <w:r w:rsidR="00D86253" w:rsidRPr="00520861">
        <w:rPr>
          <w:sz w:val="28"/>
          <w:szCs w:val="28"/>
        </w:rPr>
        <w:t xml:space="preserve">. </w:t>
      </w:r>
    </w:p>
    <w:p w14:paraId="3BA3BE23" w14:textId="77777777" w:rsidR="00F45581" w:rsidRPr="00520861" w:rsidRDefault="00945193" w:rsidP="00292D2E">
      <w:pPr>
        <w:widowControl w:val="0"/>
        <w:spacing w:line="360" w:lineRule="auto"/>
        <w:ind w:firstLine="720"/>
        <w:jc w:val="both"/>
        <w:rPr>
          <w:iCs/>
          <w:sz w:val="28"/>
          <w:szCs w:val="28"/>
          <w:lang w:eastAsia="x-none"/>
        </w:rPr>
      </w:pPr>
      <w:r w:rsidRPr="00520861">
        <w:rPr>
          <w:b/>
          <w:iCs/>
          <w:sz w:val="28"/>
          <w:szCs w:val="28"/>
          <w:lang w:eastAsia="x-none"/>
        </w:rPr>
        <w:t>Мета роботи:</w:t>
      </w:r>
      <w:r w:rsidRPr="00520861">
        <w:rPr>
          <w:iCs/>
          <w:sz w:val="28"/>
          <w:szCs w:val="28"/>
          <w:lang w:eastAsia="x-none"/>
        </w:rPr>
        <w:t xml:space="preserve"> </w:t>
      </w:r>
      <w:r w:rsidR="007E31AE" w:rsidRPr="00520861">
        <w:rPr>
          <w:iCs/>
          <w:sz w:val="28"/>
          <w:szCs w:val="28"/>
          <w:lang w:eastAsia="x-none"/>
        </w:rPr>
        <w:t xml:space="preserve">розробка та </w:t>
      </w:r>
      <w:r w:rsidR="00D540E2" w:rsidRPr="00520861">
        <w:rPr>
          <w:iCs/>
          <w:sz w:val="28"/>
          <w:szCs w:val="28"/>
          <w:lang w:eastAsia="x-none"/>
        </w:rPr>
        <w:t>обґрунтування</w:t>
      </w:r>
      <w:r w:rsidR="00B745F0" w:rsidRPr="00520861">
        <w:rPr>
          <w:iCs/>
          <w:sz w:val="28"/>
          <w:szCs w:val="28"/>
          <w:lang w:eastAsia="x-none"/>
        </w:rPr>
        <w:t xml:space="preserve"> стратегії </w:t>
      </w:r>
      <w:r w:rsidR="00F45581" w:rsidRPr="00520861">
        <w:rPr>
          <w:rFonts w:eastAsia="Calibri"/>
          <w:sz w:val="28"/>
          <w:szCs w:val="28"/>
          <w:lang w:eastAsia="en-US"/>
        </w:rPr>
        <w:t xml:space="preserve">діагностики та прогнозування стоматологічних порушень в осіб різних вікових категорій, які народилися </w:t>
      </w:r>
      <w:proofErr w:type="spellStart"/>
      <w:r w:rsidR="00F45581" w:rsidRPr="00520861">
        <w:rPr>
          <w:rFonts w:eastAsia="Calibri"/>
          <w:sz w:val="28"/>
          <w:szCs w:val="28"/>
          <w:lang w:eastAsia="en-US"/>
        </w:rPr>
        <w:t>макросомами</w:t>
      </w:r>
      <w:proofErr w:type="spellEnd"/>
      <w:r w:rsidR="00F45581" w:rsidRPr="00520861">
        <w:rPr>
          <w:rFonts w:eastAsia="Calibri"/>
          <w:sz w:val="28"/>
          <w:szCs w:val="28"/>
          <w:lang w:eastAsia="en-US"/>
        </w:rPr>
        <w:t xml:space="preserve">, популяції Харківської області та прилеглих (Донецької, Луганської) </w:t>
      </w:r>
      <w:r w:rsidR="005D6378" w:rsidRPr="00520861">
        <w:rPr>
          <w:rFonts w:eastAsia="Calibri"/>
          <w:sz w:val="28"/>
          <w:szCs w:val="28"/>
          <w:lang w:eastAsia="en-US"/>
        </w:rPr>
        <w:br/>
      </w:r>
      <w:r w:rsidR="00F45581" w:rsidRPr="00520861">
        <w:rPr>
          <w:rFonts w:eastAsia="Calibri"/>
          <w:sz w:val="28"/>
          <w:szCs w:val="28"/>
          <w:lang w:eastAsia="en-US"/>
        </w:rPr>
        <w:t>областей, на підставі всебічного розгляду стоматологічного статусу, вивчення ланок патоге</w:t>
      </w:r>
      <w:r w:rsidR="007932F2" w:rsidRPr="00520861">
        <w:rPr>
          <w:rFonts w:eastAsia="Calibri"/>
          <w:sz w:val="28"/>
          <w:szCs w:val="28"/>
          <w:lang w:eastAsia="en-US"/>
        </w:rPr>
        <w:t>незу стоматологічних порушень і</w:t>
      </w:r>
      <w:r w:rsidR="00F45581" w:rsidRPr="00520861">
        <w:rPr>
          <w:rFonts w:eastAsia="Calibri"/>
          <w:sz w:val="28"/>
          <w:szCs w:val="28"/>
          <w:lang w:eastAsia="en-US"/>
        </w:rPr>
        <w:t xml:space="preserve"> виявлення їх</w:t>
      </w:r>
      <w:r w:rsidR="007932F2" w:rsidRPr="00520861">
        <w:rPr>
          <w:rFonts w:eastAsia="Calibri"/>
          <w:sz w:val="28"/>
          <w:szCs w:val="28"/>
          <w:lang w:eastAsia="en-US"/>
        </w:rPr>
        <w:t>ніх</w:t>
      </w:r>
      <w:r w:rsidR="00F45581" w:rsidRPr="00520861">
        <w:rPr>
          <w:rFonts w:eastAsia="Calibri"/>
          <w:sz w:val="28"/>
          <w:szCs w:val="28"/>
          <w:lang w:eastAsia="en-US"/>
        </w:rPr>
        <w:t xml:space="preserve"> прогностичних маркерів.</w:t>
      </w:r>
    </w:p>
    <w:p w14:paraId="13C21F02" w14:textId="77777777" w:rsidR="00A624ED" w:rsidRPr="00520861" w:rsidRDefault="00631390" w:rsidP="00292D2E">
      <w:pPr>
        <w:widowControl w:val="0"/>
        <w:spacing w:line="360" w:lineRule="auto"/>
        <w:ind w:firstLine="709"/>
        <w:jc w:val="both"/>
        <w:rPr>
          <w:iCs/>
          <w:sz w:val="28"/>
          <w:szCs w:val="28"/>
          <w:lang w:eastAsia="x-none"/>
        </w:rPr>
      </w:pPr>
      <w:r w:rsidRPr="00520861">
        <w:rPr>
          <w:b/>
          <w:sz w:val="28"/>
          <w:szCs w:val="28"/>
        </w:rPr>
        <w:t>Завдання дослідження.</w:t>
      </w:r>
    </w:p>
    <w:p w14:paraId="192C3E7C" w14:textId="77777777" w:rsidR="0002743A" w:rsidRPr="00520861" w:rsidRDefault="0002743A" w:rsidP="00292D2E">
      <w:pPr>
        <w:widowControl w:val="0"/>
        <w:spacing w:line="360" w:lineRule="auto"/>
        <w:ind w:firstLine="720"/>
        <w:jc w:val="both"/>
        <w:rPr>
          <w:sz w:val="28"/>
          <w:szCs w:val="28"/>
        </w:rPr>
      </w:pPr>
      <w:r w:rsidRPr="00520861">
        <w:rPr>
          <w:sz w:val="28"/>
          <w:szCs w:val="28"/>
        </w:rPr>
        <w:t>1.</w:t>
      </w:r>
      <w:r w:rsidRPr="00520861">
        <w:rPr>
          <w:sz w:val="28"/>
          <w:szCs w:val="28"/>
        </w:rPr>
        <w:tab/>
        <w:t xml:space="preserve">Вивчити в експерименті патогенез утворення стоматологічних порушень </w:t>
      </w:r>
      <w:r w:rsidRPr="00520861">
        <w:rPr>
          <w:sz w:val="28"/>
          <w:szCs w:val="28"/>
        </w:rPr>
        <w:lastRenderedPageBreak/>
        <w:t xml:space="preserve">при </w:t>
      </w:r>
      <w:proofErr w:type="spellStart"/>
      <w:r w:rsidRPr="00520861">
        <w:rPr>
          <w:sz w:val="28"/>
          <w:szCs w:val="28"/>
        </w:rPr>
        <w:t>макросомії</w:t>
      </w:r>
      <w:proofErr w:type="spellEnd"/>
      <w:r w:rsidRPr="00520861">
        <w:rPr>
          <w:sz w:val="28"/>
          <w:szCs w:val="28"/>
        </w:rPr>
        <w:t xml:space="preserve"> плода на основі відомих моделей і розробити нову </w:t>
      </w:r>
      <w:r w:rsidR="00C90B4E" w:rsidRPr="00520861">
        <w:rPr>
          <w:sz w:val="28"/>
          <w:szCs w:val="28"/>
        </w:rPr>
        <w:br/>
      </w:r>
      <w:r w:rsidRPr="00520861">
        <w:rPr>
          <w:sz w:val="28"/>
          <w:szCs w:val="28"/>
        </w:rPr>
        <w:t xml:space="preserve">експериментальну модель </w:t>
      </w:r>
      <w:proofErr w:type="spellStart"/>
      <w:r w:rsidRPr="00520861">
        <w:rPr>
          <w:sz w:val="28"/>
          <w:szCs w:val="28"/>
        </w:rPr>
        <w:t>макросомії</w:t>
      </w:r>
      <w:proofErr w:type="spellEnd"/>
      <w:r w:rsidRPr="00520861">
        <w:rPr>
          <w:sz w:val="28"/>
          <w:szCs w:val="28"/>
        </w:rPr>
        <w:t xml:space="preserve"> на лабораторних тваринах. </w:t>
      </w:r>
    </w:p>
    <w:p w14:paraId="5165DBB6" w14:textId="77777777" w:rsidR="0002743A" w:rsidRPr="00520861" w:rsidRDefault="0002743A" w:rsidP="00292D2E">
      <w:pPr>
        <w:widowControl w:val="0"/>
        <w:spacing w:line="360" w:lineRule="auto"/>
        <w:ind w:firstLine="720"/>
        <w:jc w:val="both"/>
        <w:rPr>
          <w:sz w:val="28"/>
          <w:szCs w:val="28"/>
        </w:rPr>
      </w:pPr>
      <w:r w:rsidRPr="00520861">
        <w:rPr>
          <w:sz w:val="28"/>
          <w:szCs w:val="28"/>
        </w:rPr>
        <w:t>2.</w:t>
      </w:r>
      <w:r w:rsidRPr="00520861">
        <w:rPr>
          <w:sz w:val="28"/>
          <w:szCs w:val="28"/>
        </w:rPr>
        <w:tab/>
        <w:t xml:space="preserve">В осіб, які народилися </w:t>
      </w:r>
      <w:proofErr w:type="spellStart"/>
      <w:r w:rsidRPr="00520861">
        <w:rPr>
          <w:sz w:val="28"/>
          <w:szCs w:val="28"/>
        </w:rPr>
        <w:t>макросомами</w:t>
      </w:r>
      <w:proofErr w:type="spellEnd"/>
      <w:r w:rsidRPr="00520861">
        <w:rPr>
          <w:sz w:val="28"/>
          <w:szCs w:val="28"/>
        </w:rPr>
        <w:t xml:space="preserve">, провести анамнестичне </w:t>
      </w:r>
      <w:r w:rsidR="00D464D8" w:rsidRPr="00520861">
        <w:rPr>
          <w:sz w:val="28"/>
          <w:szCs w:val="28"/>
        </w:rPr>
        <w:br/>
      </w:r>
      <w:r w:rsidRPr="00520861">
        <w:rPr>
          <w:sz w:val="28"/>
          <w:szCs w:val="28"/>
        </w:rPr>
        <w:t xml:space="preserve">дослідження з визначенням ступеня ризику виникнення стоматологічних порушень із застосуванням скринінг-опитувальників. Дослідити можливий </w:t>
      </w:r>
      <w:proofErr w:type="spellStart"/>
      <w:r w:rsidRPr="00520861">
        <w:rPr>
          <w:sz w:val="28"/>
          <w:szCs w:val="28"/>
        </w:rPr>
        <w:t>причиново</w:t>
      </w:r>
      <w:proofErr w:type="spellEnd"/>
      <w:r w:rsidRPr="00520861">
        <w:rPr>
          <w:sz w:val="28"/>
          <w:szCs w:val="28"/>
        </w:rPr>
        <w:t>-наслідковий зв’язок між розвитком стоматологічних порушень серед індивідуумів з різним індексом маси тіла при народженні, особливостями стану здоров’я й життєдіяльності їх чи їхніх батьків.</w:t>
      </w:r>
    </w:p>
    <w:p w14:paraId="4BAAA597" w14:textId="77777777" w:rsidR="0002743A" w:rsidRPr="00520861" w:rsidRDefault="0002743A" w:rsidP="00292D2E">
      <w:pPr>
        <w:widowControl w:val="0"/>
        <w:spacing w:line="360" w:lineRule="auto"/>
        <w:ind w:firstLine="720"/>
        <w:jc w:val="both"/>
        <w:rPr>
          <w:sz w:val="28"/>
          <w:szCs w:val="28"/>
        </w:rPr>
      </w:pPr>
      <w:r w:rsidRPr="00520861">
        <w:rPr>
          <w:sz w:val="28"/>
          <w:szCs w:val="28"/>
        </w:rPr>
        <w:t>3.</w:t>
      </w:r>
      <w:r w:rsidRPr="00520861">
        <w:rPr>
          <w:sz w:val="28"/>
          <w:szCs w:val="28"/>
        </w:rPr>
        <w:tab/>
        <w:t xml:space="preserve">В осіб, які народилися </w:t>
      </w:r>
      <w:proofErr w:type="spellStart"/>
      <w:r w:rsidRPr="00520861">
        <w:rPr>
          <w:sz w:val="28"/>
          <w:szCs w:val="28"/>
        </w:rPr>
        <w:t>макросомами</w:t>
      </w:r>
      <w:proofErr w:type="spellEnd"/>
      <w:r w:rsidRPr="00520861">
        <w:rPr>
          <w:sz w:val="28"/>
          <w:szCs w:val="28"/>
        </w:rPr>
        <w:t>, провести клініко-ретроспективне дослідження стоматологічного статусу, з урахуванням відхилення від норми термінів прорізування тимчасових зубів у дітей першого року життя та індексів карієсу в дітей віком до 14 років.</w:t>
      </w:r>
    </w:p>
    <w:p w14:paraId="6C9F6ED7" w14:textId="77777777" w:rsidR="0002743A" w:rsidRPr="00520861" w:rsidRDefault="0002743A" w:rsidP="00292D2E">
      <w:pPr>
        <w:widowControl w:val="0"/>
        <w:spacing w:line="360" w:lineRule="auto"/>
        <w:ind w:firstLine="720"/>
        <w:jc w:val="both"/>
        <w:rPr>
          <w:sz w:val="28"/>
          <w:szCs w:val="28"/>
        </w:rPr>
      </w:pPr>
      <w:r w:rsidRPr="00520861">
        <w:rPr>
          <w:sz w:val="28"/>
          <w:szCs w:val="28"/>
        </w:rPr>
        <w:t>4.</w:t>
      </w:r>
      <w:r w:rsidRPr="00520861">
        <w:rPr>
          <w:sz w:val="28"/>
          <w:szCs w:val="28"/>
        </w:rPr>
        <w:tab/>
        <w:t xml:space="preserve">В осіб, які народилися </w:t>
      </w:r>
      <w:proofErr w:type="spellStart"/>
      <w:r w:rsidRPr="00520861">
        <w:rPr>
          <w:sz w:val="28"/>
          <w:szCs w:val="28"/>
        </w:rPr>
        <w:t>макросомами</w:t>
      </w:r>
      <w:proofErr w:type="spellEnd"/>
      <w:r w:rsidRPr="00520861">
        <w:rPr>
          <w:sz w:val="28"/>
          <w:szCs w:val="28"/>
        </w:rPr>
        <w:t xml:space="preserve">, провести дослідження стану </w:t>
      </w:r>
      <w:proofErr w:type="spellStart"/>
      <w:r w:rsidRPr="00520861">
        <w:rPr>
          <w:sz w:val="28"/>
          <w:szCs w:val="28"/>
        </w:rPr>
        <w:t>стоматогнатичної</w:t>
      </w:r>
      <w:proofErr w:type="spellEnd"/>
      <w:r w:rsidRPr="00520861">
        <w:rPr>
          <w:sz w:val="28"/>
          <w:szCs w:val="28"/>
        </w:rPr>
        <w:t xml:space="preserve"> системи та виявити загальні закономірності залежності структури захворюваності від антропометричних показників при народженні на основі їх </w:t>
      </w:r>
      <w:r w:rsidR="00891C96" w:rsidRPr="00520861">
        <w:rPr>
          <w:sz w:val="28"/>
          <w:szCs w:val="28"/>
        </w:rPr>
        <w:br/>
      </w:r>
      <w:r w:rsidRPr="00520861">
        <w:rPr>
          <w:sz w:val="28"/>
          <w:szCs w:val="28"/>
        </w:rPr>
        <w:t>порівняння в різних вікових категоріях.</w:t>
      </w:r>
    </w:p>
    <w:p w14:paraId="3B6C17E8" w14:textId="77777777" w:rsidR="0002743A" w:rsidRPr="00520861" w:rsidRDefault="0002743A" w:rsidP="00292D2E">
      <w:pPr>
        <w:widowControl w:val="0"/>
        <w:spacing w:line="360" w:lineRule="auto"/>
        <w:ind w:firstLine="720"/>
        <w:jc w:val="both"/>
        <w:rPr>
          <w:sz w:val="28"/>
          <w:szCs w:val="28"/>
        </w:rPr>
      </w:pPr>
      <w:r w:rsidRPr="00520861">
        <w:rPr>
          <w:sz w:val="28"/>
          <w:szCs w:val="28"/>
        </w:rPr>
        <w:t>5.</w:t>
      </w:r>
      <w:r w:rsidRPr="00520861">
        <w:rPr>
          <w:sz w:val="28"/>
          <w:szCs w:val="28"/>
        </w:rPr>
        <w:tab/>
        <w:t xml:space="preserve">В осіб, які народилися </w:t>
      </w:r>
      <w:proofErr w:type="spellStart"/>
      <w:r w:rsidRPr="00520861">
        <w:rPr>
          <w:sz w:val="28"/>
          <w:szCs w:val="28"/>
        </w:rPr>
        <w:t>макросомами</w:t>
      </w:r>
      <w:proofErr w:type="spellEnd"/>
      <w:r w:rsidRPr="00520861">
        <w:rPr>
          <w:sz w:val="28"/>
          <w:szCs w:val="28"/>
        </w:rPr>
        <w:t xml:space="preserve">, провести дослідження </w:t>
      </w:r>
      <w:proofErr w:type="spellStart"/>
      <w:r w:rsidRPr="00520861">
        <w:rPr>
          <w:sz w:val="28"/>
          <w:szCs w:val="28"/>
        </w:rPr>
        <w:t>карієсогенної</w:t>
      </w:r>
      <w:proofErr w:type="spellEnd"/>
      <w:r w:rsidRPr="00520861">
        <w:rPr>
          <w:sz w:val="28"/>
          <w:szCs w:val="28"/>
        </w:rPr>
        <w:t xml:space="preserve"> ситуації та виявити загальні закономірності залежності структури захворюваності від антропометричних показників при народженні на основі їх порівняння в різних вікових категоріях.</w:t>
      </w:r>
    </w:p>
    <w:p w14:paraId="3CDDE50A" w14:textId="77777777" w:rsidR="0002743A" w:rsidRPr="00520861" w:rsidRDefault="0002743A" w:rsidP="00292D2E">
      <w:pPr>
        <w:widowControl w:val="0"/>
        <w:spacing w:line="360" w:lineRule="auto"/>
        <w:ind w:firstLine="720"/>
        <w:jc w:val="both"/>
        <w:rPr>
          <w:sz w:val="28"/>
          <w:szCs w:val="28"/>
        </w:rPr>
      </w:pPr>
      <w:r w:rsidRPr="00520861">
        <w:rPr>
          <w:sz w:val="28"/>
          <w:szCs w:val="28"/>
        </w:rPr>
        <w:t>6.</w:t>
      </w:r>
      <w:r w:rsidRPr="00520861">
        <w:rPr>
          <w:sz w:val="28"/>
          <w:szCs w:val="28"/>
        </w:rPr>
        <w:tab/>
        <w:t xml:space="preserve">В осіб, які народилися </w:t>
      </w:r>
      <w:proofErr w:type="spellStart"/>
      <w:r w:rsidRPr="00520861">
        <w:rPr>
          <w:sz w:val="28"/>
          <w:szCs w:val="28"/>
        </w:rPr>
        <w:t>макросомами</w:t>
      </w:r>
      <w:proofErr w:type="spellEnd"/>
      <w:r w:rsidRPr="00520861">
        <w:rPr>
          <w:sz w:val="28"/>
          <w:szCs w:val="28"/>
        </w:rPr>
        <w:t xml:space="preserve">, провести дослідження стану тканин </w:t>
      </w:r>
      <w:proofErr w:type="spellStart"/>
      <w:r w:rsidRPr="00520861">
        <w:rPr>
          <w:sz w:val="28"/>
          <w:szCs w:val="28"/>
        </w:rPr>
        <w:t>пародонта</w:t>
      </w:r>
      <w:proofErr w:type="spellEnd"/>
      <w:r w:rsidRPr="00520861">
        <w:rPr>
          <w:sz w:val="28"/>
          <w:szCs w:val="28"/>
        </w:rPr>
        <w:t xml:space="preserve"> та виявити загальні закономірності залежності структури захворюваності від антропометричних показників при народженні на основі їх порівняння в різних вікових категоріях.</w:t>
      </w:r>
    </w:p>
    <w:p w14:paraId="27A88E98" w14:textId="77777777" w:rsidR="0002743A" w:rsidRPr="00520861" w:rsidRDefault="0002743A" w:rsidP="00292D2E">
      <w:pPr>
        <w:widowControl w:val="0"/>
        <w:spacing w:line="360" w:lineRule="auto"/>
        <w:ind w:firstLine="720"/>
        <w:jc w:val="both"/>
        <w:rPr>
          <w:sz w:val="28"/>
          <w:szCs w:val="28"/>
        </w:rPr>
      </w:pPr>
      <w:r w:rsidRPr="00520861">
        <w:rPr>
          <w:sz w:val="28"/>
          <w:szCs w:val="28"/>
        </w:rPr>
        <w:t>7.</w:t>
      </w:r>
      <w:r w:rsidRPr="00520861">
        <w:rPr>
          <w:sz w:val="28"/>
          <w:szCs w:val="28"/>
        </w:rPr>
        <w:tab/>
        <w:t xml:space="preserve">Дослідити динаміку та характер змін показників мінерального обміну, маркерів функціональної активності остеобластів, показників гуморальної регуляції, запального стану й </w:t>
      </w:r>
      <w:proofErr w:type="spellStart"/>
      <w:r w:rsidRPr="00520861">
        <w:rPr>
          <w:sz w:val="28"/>
          <w:szCs w:val="28"/>
        </w:rPr>
        <w:t>оксидантного</w:t>
      </w:r>
      <w:proofErr w:type="spellEnd"/>
      <w:r w:rsidRPr="00520861">
        <w:rPr>
          <w:sz w:val="28"/>
          <w:szCs w:val="28"/>
        </w:rPr>
        <w:t xml:space="preserve"> статусу в нестимульованій ротовій рідині осіб різного віку, які народилися </w:t>
      </w:r>
      <w:proofErr w:type="spellStart"/>
      <w:r w:rsidRPr="00520861">
        <w:rPr>
          <w:sz w:val="28"/>
          <w:szCs w:val="28"/>
        </w:rPr>
        <w:t>макросомами</w:t>
      </w:r>
      <w:proofErr w:type="spellEnd"/>
      <w:r w:rsidRPr="00520861">
        <w:rPr>
          <w:sz w:val="28"/>
          <w:szCs w:val="28"/>
        </w:rPr>
        <w:t xml:space="preserve"> та мали порушення прикусу, а також установити зв'язок цих змін у ротовій рідині з інтенсивністю карієсу тимчасових і постійних зубів, ураховуючи антропометричні показники учасників дослідження при </w:t>
      </w:r>
      <w:r w:rsidR="008D5132" w:rsidRPr="00520861">
        <w:rPr>
          <w:sz w:val="28"/>
          <w:szCs w:val="28"/>
        </w:rPr>
        <w:br/>
      </w:r>
      <w:r w:rsidRPr="00520861">
        <w:rPr>
          <w:sz w:val="28"/>
          <w:szCs w:val="28"/>
        </w:rPr>
        <w:lastRenderedPageBreak/>
        <w:t>народженні.</w:t>
      </w:r>
    </w:p>
    <w:p w14:paraId="08732E85" w14:textId="77777777" w:rsidR="0002743A" w:rsidRPr="00520861" w:rsidRDefault="0002743A" w:rsidP="00292D2E">
      <w:pPr>
        <w:widowControl w:val="0"/>
        <w:spacing w:line="360" w:lineRule="auto"/>
        <w:ind w:firstLine="720"/>
        <w:jc w:val="both"/>
        <w:rPr>
          <w:sz w:val="28"/>
          <w:szCs w:val="28"/>
        </w:rPr>
      </w:pPr>
      <w:r w:rsidRPr="00520861">
        <w:rPr>
          <w:sz w:val="28"/>
          <w:szCs w:val="28"/>
        </w:rPr>
        <w:t>8.</w:t>
      </w:r>
      <w:r w:rsidRPr="00520861">
        <w:rPr>
          <w:sz w:val="28"/>
          <w:szCs w:val="28"/>
        </w:rPr>
        <w:tab/>
        <w:t xml:space="preserve">Дослідити взаємозв’язок динаміки маркерів цитолізу, </w:t>
      </w:r>
      <w:proofErr w:type="spellStart"/>
      <w:r w:rsidRPr="00520861">
        <w:rPr>
          <w:sz w:val="28"/>
          <w:szCs w:val="28"/>
        </w:rPr>
        <w:t>цитокінового</w:t>
      </w:r>
      <w:proofErr w:type="spellEnd"/>
      <w:r w:rsidRPr="00520861">
        <w:rPr>
          <w:sz w:val="28"/>
          <w:szCs w:val="28"/>
        </w:rPr>
        <w:t xml:space="preserve"> профілю, показників системного гуморального (імуноглобулін M, імуноглобулін G) та місцевого (секреторний імуноглобулін A) імунітету та маркеру обміну сполучної тканини в ротовій рідині осіб різного віку, які народилися </w:t>
      </w:r>
      <w:proofErr w:type="spellStart"/>
      <w:r w:rsidRPr="00520861">
        <w:rPr>
          <w:sz w:val="28"/>
          <w:szCs w:val="28"/>
        </w:rPr>
        <w:t>макросомами</w:t>
      </w:r>
      <w:proofErr w:type="spellEnd"/>
      <w:r w:rsidRPr="00520861">
        <w:rPr>
          <w:sz w:val="28"/>
          <w:szCs w:val="28"/>
        </w:rPr>
        <w:t xml:space="preserve"> (ураховуючи їхні антропометричні показники при народженні), з особливостями перебігу захворювань тканин </w:t>
      </w:r>
      <w:proofErr w:type="spellStart"/>
      <w:r w:rsidRPr="00520861">
        <w:rPr>
          <w:sz w:val="28"/>
          <w:szCs w:val="28"/>
        </w:rPr>
        <w:t>пародонта</w:t>
      </w:r>
      <w:proofErr w:type="spellEnd"/>
      <w:r w:rsidRPr="00520861">
        <w:rPr>
          <w:sz w:val="28"/>
          <w:szCs w:val="28"/>
        </w:rPr>
        <w:t>.</w:t>
      </w:r>
    </w:p>
    <w:p w14:paraId="45CC5ADD" w14:textId="77777777" w:rsidR="0002743A" w:rsidRPr="00520861" w:rsidRDefault="0002743A" w:rsidP="00292D2E">
      <w:pPr>
        <w:widowControl w:val="0"/>
        <w:spacing w:line="360" w:lineRule="auto"/>
        <w:ind w:firstLine="720"/>
        <w:jc w:val="both"/>
        <w:rPr>
          <w:sz w:val="28"/>
          <w:szCs w:val="28"/>
        </w:rPr>
      </w:pPr>
      <w:r w:rsidRPr="00520861">
        <w:rPr>
          <w:sz w:val="28"/>
          <w:szCs w:val="28"/>
        </w:rPr>
        <w:t>9.</w:t>
      </w:r>
      <w:r w:rsidRPr="00520861">
        <w:rPr>
          <w:sz w:val="28"/>
          <w:szCs w:val="28"/>
        </w:rPr>
        <w:tab/>
        <w:t>Визначити відмінності в роз</w:t>
      </w:r>
      <w:r w:rsidR="00F622A1" w:rsidRPr="00520861">
        <w:rPr>
          <w:sz w:val="28"/>
          <w:szCs w:val="28"/>
        </w:rPr>
        <w:t xml:space="preserve">поділі частот генотипів й </w:t>
      </w:r>
      <w:proofErr w:type="spellStart"/>
      <w:r w:rsidR="00DB4C96" w:rsidRPr="00520861">
        <w:rPr>
          <w:sz w:val="28"/>
          <w:szCs w:val="28"/>
        </w:rPr>
        <w:t>алелей</w:t>
      </w:r>
      <w:proofErr w:type="spellEnd"/>
      <w:r w:rsidRPr="00520861">
        <w:rPr>
          <w:sz w:val="28"/>
          <w:szCs w:val="28"/>
        </w:rPr>
        <w:t xml:space="preserve"> поліморфних варіантів генів </w:t>
      </w:r>
      <w:r w:rsidRPr="00520861">
        <w:rPr>
          <w:i/>
          <w:sz w:val="28"/>
          <w:szCs w:val="28"/>
        </w:rPr>
        <w:t>CYP19A1, ESR1, RANKL, VDR, IL6, IL1</w:t>
      </w:r>
      <w:r w:rsidR="00276DFA" w:rsidRPr="00520861">
        <w:rPr>
          <w:i/>
          <w:sz w:val="28"/>
          <w:szCs w:val="28"/>
        </w:rPr>
        <w:sym w:font="Symbol" w:char="F062"/>
      </w:r>
      <w:r w:rsidRPr="00520861">
        <w:rPr>
          <w:i/>
          <w:sz w:val="28"/>
          <w:szCs w:val="28"/>
        </w:rPr>
        <w:t>, IL10</w:t>
      </w:r>
      <w:r w:rsidRPr="00520861">
        <w:rPr>
          <w:sz w:val="28"/>
          <w:szCs w:val="28"/>
        </w:rPr>
        <w:t xml:space="preserve"> та </w:t>
      </w:r>
      <w:r w:rsidRPr="00520861">
        <w:rPr>
          <w:i/>
          <w:sz w:val="28"/>
          <w:szCs w:val="28"/>
        </w:rPr>
        <w:t>BMP7</w:t>
      </w:r>
      <w:r w:rsidRPr="00520861">
        <w:rPr>
          <w:sz w:val="28"/>
          <w:szCs w:val="28"/>
        </w:rPr>
        <w:t xml:space="preserve"> в осіб, </w:t>
      </w:r>
      <w:r w:rsidR="005D6378" w:rsidRPr="00520861">
        <w:rPr>
          <w:sz w:val="28"/>
          <w:szCs w:val="28"/>
        </w:rPr>
        <w:br/>
      </w:r>
      <w:r w:rsidRPr="00520861">
        <w:rPr>
          <w:sz w:val="28"/>
          <w:szCs w:val="28"/>
        </w:rPr>
        <w:t xml:space="preserve">народжених </w:t>
      </w:r>
      <w:r w:rsidR="00891C96" w:rsidRPr="00520861">
        <w:rPr>
          <w:sz w:val="28"/>
          <w:szCs w:val="28"/>
        </w:rPr>
        <w:t>і</w:t>
      </w:r>
      <w:r w:rsidRPr="00520861">
        <w:rPr>
          <w:sz w:val="28"/>
          <w:szCs w:val="28"/>
        </w:rPr>
        <w:t xml:space="preserve">з </w:t>
      </w:r>
      <w:proofErr w:type="spellStart"/>
      <w:r w:rsidRPr="00520861">
        <w:rPr>
          <w:sz w:val="28"/>
          <w:szCs w:val="28"/>
        </w:rPr>
        <w:t>макросомією</w:t>
      </w:r>
      <w:proofErr w:type="spellEnd"/>
      <w:r w:rsidRPr="00520861">
        <w:rPr>
          <w:sz w:val="28"/>
          <w:szCs w:val="28"/>
        </w:rPr>
        <w:t xml:space="preserve"> та </w:t>
      </w:r>
      <w:proofErr w:type="spellStart"/>
      <w:r w:rsidRPr="00520861">
        <w:rPr>
          <w:sz w:val="28"/>
          <w:szCs w:val="28"/>
        </w:rPr>
        <w:t>нормосомією</w:t>
      </w:r>
      <w:proofErr w:type="spellEnd"/>
      <w:r w:rsidRPr="00520861">
        <w:rPr>
          <w:sz w:val="28"/>
          <w:szCs w:val="28"/>
        </w:rPr>
        <w:t>.</w:t>
      </w:r>
    </w:p>
    <w:p w14:paraId="4BC6B31D" w14:textId="77777777" w:rsidR="0002743A" w:rsidRPr="00520861" w:rsidRDefault="0002743A" w:rsidP="00292D2E">
      <w:pPr>
        <w:widowControl w:val="0"/>
        <w:spacing w:line="360" w:lineRule="auto"/>
        <w:ind w:firstLine="720"/>
        <w:jc w:val="both"/>
        <w:rPr>
          <w:spacing w:val="-6"/>
          <w:sz w:val="28"/>
          <w:szCs w:val="28"/>
        </w:rPr>
      </w:pPr>
      <w:r w:rsidRPr="00520861">
        <w:rPr>
          <w:spacing w:val="-6"/>
          <w:sz w:val="28"/>
          <w:szCs w:val="28"/>
        </w:rPr>
        <w:t>10.</w:t>
      </w:r>
      <w:r w:rsidRPr="00520861">
        <w:rPr>
          <w:spacing w:val="-6"/>
          <w:sz w:val="28"/>
          <w:szCs w:val="28"/>
        </w:rPr>
        <w:tab/>
        <w:t>Дослідити вплив поліморфних варіантів генів</w:t>
      </w:r>
      <w:r w:rsidR="00276DFA" w:rsidRPr="00520861">
        <w:rPr>
          <w:spacing w:val="-6"/>
          <w:sz w:val="28"/>
          <w:szCs w:val="28"/>
        </w:rPr>
        <w:t xml:space="preserve"> </w:t>
      </w:r>
      <w:r w:rsidR="00276DFA" w:rsidRPr="00520861">
        <w:rPr>
          <w:i/>
          <w:spacing w:val="-6"/>
          <w:sz w:val="28"/>
          <w:szCs w:val="28"/>
        </w:rPr>
        <w:t>CYP19A1, ESR1, RANKL, IL6, IL1</w:t>
      </w:r>
      <w:r w:rsidR="00276DFA" w:rsidRPr="00520861">
        <w:rPr>
          <w:i/>
          <w:spacing w:val="-6"/>
          <w:sz w:val="28"/>
          <w:szCs w:val="28"/>
        </w:rPr>
        <w:sym w:font="Symbol" w:char="F062"/>
      </w:r>
      <w:r w:rsidRPr="00520861">
        <w:rPr>
          <w:i/>
          <w:spacing w:val="-6"/>
          <w:sz w:val="28"/>
          <w:szCs w:val="28"/>
        </w:rPr>
        <w:t>,</w:t>
      </w:r>
      <w:r w:rsidRPr="00520861">
        <w:rPr>
          <w:spacing w:val="-6"/>
          <w:sz w:val="28"/>
          <w:szCs w:val="28"/>
        </w:rPr>
        <w:t xml:space="preserve"> та </w:t>
      </w:r>
      <w:r w:rsidRPr="00520861">
        <w:rPr>
          <w:i/>
          <w:spacing w:val="-6"/>
          <w:sz w:val="28"/>
          <w:szCs w:val="28"/>
        </w:rPr>
        <w:t>IL10</w:t>
      </w:r>
      <w:r w:rsidRPr="00520861">
        <w:rPr>
          <w:spacing w:val="-6"/>
          <w:sz w:val="28"/>
          <w:szCs w:val="28"/>
        </w:rPr>
        <w:t xml:space="preserve"> на формування порушень </w:t>
      </w:r>
      <w:proofErr w:type="spellStart"/>
      <w:r w:rsidRPr="00520861">
        <w:rPr>
          <w:spacing w:val="-6"/>
          <w:sz w:val="28"/>
          <w:szCs w:val="28"/>
        </w:rPr>
        <w:t>стоматогнатичної</w:t>
      </w:r>
      <w:proofErr w:type="spellEnd"/>
      <w:r w:rsidRPr="00520861">
        <w:rPr>
          <w:spacing w:val="-6"/>
          <w:sz w:val="28"/>
          <w:szCs w:val="28"/>
        </w:rPr>
        <w:t xml:space="preserve"> системи, у тому числі порушення термінів прорізування тимчасових зубів в осіб, які народилися </w:t>
      </w:r>
      <w:proofErr w:type="spellStart"/>
      <w:r w:rsidRPr="00520861">
        <w:rPr>
          <w:spacing w:val="-6"/>
          <w:sz w:val="28"/>
          <w:szCs w:val="28"/>
        </w:rPr>
        <w:t>макросомами</w:t>
      </w:r>
      <w:proofErr w:type="spellEnd"/>
      <w:r w:rsidRPr="00520861">
        <w:rPr>
          <w:spacing w:val="-6"/>
          <w:sz w:val="28"/>
          <w:szCs w:val="28"/>
        </w:rPr>
        <w:t xml:space="preserve">. </w:t>
      </w:r>
    </w:p>
    <w:p w14:paraId="20D24FC8" w14:textId="77777777" w:rsidR="0002743A" w:rsidRPr="00520861" w:rsidRDefault="0002743A" w:rsidP="00292D2E">
      <w:pPr>
        <w:widowControl w:val="0"/>
        <w:spacing w:line="360" w:lineRule="auto"/>
        <w:ind w:firstLine="720"/>
        <w:jc w:val="both"/>
        <w:rPr>
          <w:sz w:val="28"/>
          <w:szCs w:val="28"/>
        </w:rPr>
      </w:pPr>
      <w:r w:rsidRPr="00520861">
        <w:rPr>
          <w:sz w:val="28"/>
          <w:szCs w:val="28"/>
        </w:rPr>
        <w:t>11.</w:t>
      </w:r>
      <w:r w:rsidRPr="00520861">
        <w:rPr>
          <w:sz w:val="28"/>
          <w:szCs w:val="28"/>
        </w:rPr>
        <w:tab/>
        <w:t xml:space="preserve">Дослідити вплив поліморфних варіантів генів </w:t>
      </w:r>
      <w:r w:rsidRPr="00520861">
        <w:rPr>
          <w:i/>
          <w:sz w:val="28"/>
          <w:szCs w:val="28"/>
        </w:rPr>
        <w:t>CYP1</w:t>
      </w:r>
      <w:r w:rsidR="00276DFA" w:rsidRPr="00520861">
        <w:rPr>
          <w:i/>
          <w:sz w:val="28"/>
          <w:szCs w:val="28"/>
        </w:rPr>
        <w:t>9A1, ESR1, RANKL, VDR, IL6, IL1</w:t>
      </w:r>
      <w:r w:rsidR="00276DFA" w:rsidRPr="00520861">
        <w:rPr>
          <w:i/>
          <w:sz w:val="28"/>
          <w:szCs w:val="28"/>
        </w:rPr>
        <w:sym w:font="Symbol" w:char="F062"/>
      </w:r>
      <w:r w:rsidRPr="00520861">
        <w:rPr>
          <w:i/>
          <w:sz w:val="28"/>
          <w:szCs w:val="28"/>
        </w:rPr>
        <w:t xml:space="preserve">, IL10 </w:t>
      </w:r>
      <w:r w:rsidRPr="00520861">
        <w:rPr>
          <w:sz w:val="28"/>
          <w:szCs w:val="28"/>
        </w:rPr>
        <w:t xml:space="preserve">та </w:t>
      </w:r>
      <w:r w:rsidRPr="00520861">
        <w:rPr>
          <w:i/>
          <w:sz w:val="28"/>
          <w:szCs w:val="28"/>
        </w:rPr>
        <w:t>BMP7</w:t>
      </w:r>
      <w:r w:rsidRPr="00520861">
        <w:rPr>
          <w:sz w:val="28"/>
          <w:szCs w:val="28"/>
        </w:rPr>
        <w:t xml:space="preserve"> на виникнення раннього дитячого карієсу, виникнення карієсу постійних зубів і на схильність до різних варіантів перебігу захворювань </w:t>
      </w:r>
      <w:r w:rsidR="005D6378" w:rsidRPr="00520861">
        <w:rPr>
          <w:sz w:val="28"/>
          <w:szCs w:val="28"/>
        </w:rPr>
        <w:br/>
      </w:r>
      <w:r w:rsidRPr="00520861">
        <w:rPr>
          <w:sz w:val="28"/>
          <w:szCs w:val="28"/>
        </w:rPr>
        <w:t xml:space="preserve">тканин </w:t>
      </w:r>
      <w:proofErr w:type="spellStart"/>
      <w:r w:rsidRPr="00520861">
        <w:rPr>
          <w:sz w:val="28"/>
          <w:szCs w:val="28"/>
        </w:rPr>
        <w:t>пародонта</w:t>
      </w:r>
      <w:proofErr w:type="spellEnd"/>
      <w:r w:rsidRPr="00520861">
        <w:rPr>
          <w:sz w:val="28"/>
          <w:szCs w:val="28"/>
        </w:rPr>
        <w:t xml:space="preserve"> в осіб, які народилися </w:t>
      </w:r>
      <w:proofErr w:type="spellStart"/>
      <w:r w:rsidRPr="00520861">
        <w:rPr>
          <w:sz w:val="28"/>
          <w:szCs w:val="28"/>
        </w:rPr>
        <w:t>макросомами</w:t>
      </w:r>
      <w:proofErr w:type="spellEnd"/>
      <w:r w:rsidRPr="00520861">
        <w:rPr>
          <w:sz w:val="28"/>
          <w:szCs w:val="28"/>
        </w:rPr>
        <w:t xml:space="preserve">. </w:t>
      </w:r>
    </w:p>
    <w:p w14:paraId="3F4B62E1" w14:textId="77777777" w:rsidR="0002743A" w:rsidRPr="00520861" w:rsidRDefault="0002743A" w:rsidP="00292D2E">
      <w:pPr>
        <w:widowControl w:val="0"/>
        <w:spacing w:line="360" w:lineRule="auto"/>
        <w:ind w:firstLine="720"/>
        <w:jc w:val="both"/>
        <w:rPr>
          <w:i/>
          <w:sz w:val="28"/>
          <w:szCs w:val="28"/>
        </w:rPr>
      </w:pPr>
      <w:r w:rsidRPr="00520861">
        <w:rPr>
          <w:sz w:val="28"/>
          <w:szCs w:val="28"/>
        </w:rPr>
        <w:t>12.</w:t>
      </w:r>
      <w:r w:rsidRPr="00520861">
        <w:rPr>
          <w:sz w:val="28"/>
          <w:szCs w:val="28"/>
        </w:rPr>
        <w:tab/>
        <w:t xml:space="preserve">Запропонувати концепцію формування порушень розвитку тканин </w:t>
      </w:r>
      <w:proofErr w:type="spellStart"/>
      <w:r w:rsidRPr="00520861">
        <w:rPr>
          <w:sz w:val="28"/>
          <w:szCs w:val="28"/>
        </w:rPr>
        <w:t>щелепно</w:t>
      </w:r>
      <w:proofErr w:type="spellEnd"/>
      <w:r w:rsidRPr="00520861">
        <w:rPr>
          <w:sz w:val="28"/>
          <w:szCs w:val="28"/>
        </w:rPr>
        <w:t xml:space="preserve">-лицевої ділянки в осіб різного віку, які народилися </w:t>
      </w:r>
      <w:proofErr w:type="spellStart"/>
      <w:r w:rsidRPr="00520861">
        <w:rPr>
          <w:sz w:val="28"/>
          <w:szCs w:val="28"/>
        </w:rPr>
        <w:t>макросомами</w:t>
      </w:r>
      <w:proofErr w:type="spellEnd"/>
      <w:r w:rsidRPr="00520861">
        <w:rPr>
          <w:sz w:val="28"/>
          <w:szCs w:val="28"/>
        </w:rPr>
        <w:t xml:space="preserve">, та їхньої схильності до стоматологічних захворювань. Базуючись на експериментальних, клініко-анамнестичних (опитування), клінічних та клініко-ретроспективних </w:t>
      </w:r>
      <w:r w:rsidR="00574635" w:rsidRPr="00520861">
        <w:rPr>
          <w:sz w:val="28"/>
          <w:szCs w:val="28"/>
        </w:rPr>
        <w:br/>
      </w:r>
      <w:r w:rsidRPr="00520861">
        <w:rPr>
          <w:sz w:val="28"/>
          <w:szCs w:val="28"/>
        </w:rPr>
        <w:t xml:space="preserve">дослідженнях, метаболічних, імунологічних, гормональних показниках і </w:t>
      </w:r>
      <w:r w:rsidR="005D6378" w:rsidRPr="00520861">
        <w:rPr>
          <w:sz w:val="28"/>
          <w:szCs w:val="28"/>
        </w:rPr>
        <w:br/>
      </w:r>
      <w:r w:rsidRPr="00520861">
        <w:rPr>
          <w:sz w:val="28"/>
          <w:szCs w:val="28"/>
        </w:rPr>
        <w:t xml:space="preserve">поліморфізмі досліджуваних генів, розробити стратегію діагностики та прогнозування стоматологічних порушень, спрямовану на зниження ризику виникнення й </w:t>
      </w:r>
      <w:r w:rsidR="005D6378" w:rsidRPr="00520861">
        <w:rPr>
          <w:sz w:val="28"/>
          <w:szCs w:val="28"/>
        </w:rPr>
        <w:br/>
      </w:r>
      <w:r w:rsidRPr="00520861">
        <w:rPr>
          <w:sz w:val="28"/>
          <w:szCs w:val="28"/>
        </w:rPr>
        <w:t>попередження прогресування захворювань.</w:t>
      </w:r>
      <w:r w:rsidRPr="00520861">
        <w:rPr>
          <w:i/>
          <w:sz w:val="28"/>
          <w:szCs w:val="28"/>
        </w:rPr>
        <w:t xml:space="preserve"> </w:t>
      </w:r>
    </w:p>
    <w:p w14:paraId="4A1D268F" w14:textId="77777777" w:rsidR="000C5762" w:rsidRPr="00520861" w:rsidRDefault="000C5762" w:rsidP="00292D2E">
      <w:pPr>
        <w:widowControl w:val="0"/>
        <w:spacing w:line="360" w:lineRule="auto"/>
        <w:ind w:firstLine="720"/>
        <w:jc w:val="both"/>
        <w:rPr>
          <w:b/>
          <w:i/>
          <w:sz w:val="28"/>
          <w:szCs w:val="28"/>
        </w:rPr>
      </w:pPr>
      <w:r w:rsidRPr="00520861">
        <w:rPr>
          <w:i/>
          <w:sz w:val="28"/>
          <w:szCs w:val="28"/>
        </w:rPr>
        <w:t>Об’єкт дослідження</w:t>
      </w:r>
      <w:r w:rsidRPr="00520861">
        <w:rPr>
          <w:b/>
          <w:i/>
          <w:sz w:val="28"/>
          <w:szCs w:val="28"/>
        </w:rPr>
        <w:t xml:space="preserve"> — </w:t>
      </w:r>
      <w:r w:rsidR="004334BA" w:rsidRPr="00520861">
        <w:rPr>
          <w:sz w:val="28"/>
          <w:szCs w:val="28"/>
        </w:rPr>
        <w:t>стоматологічні порушення в</w:t>
      </w:r>
      <w:r w:rsidRPr="00520861">
        <w:rPr>
          <w:sz w:val="28"/>
          <w:szCs w:val="28"/>
        </w:rPr>
        <w:t xml:space="preserve"> осіб, які народилися з </w:t>
      </w:r>
      <w:proofErr w:type="spellStart"/>
      <w:r w:rsidRPr="00520861">
        <w:rPr>
          <w:sz w:val="28"/>
          <w:szCs w:val="28"/>
        </w:rPr>
        <w:t>макросомією</w:t>
      </w:r>
      <w:proofErr w:type="spellEnd"/>
      <w:r w:rsidRPr="00520861">
        <w:rPr>
          <w:i/>
          <w:sz w:val="28"/>
          <w:szCs w:val="28"/>
        </w:rPr>
        <w:t>.</w:t>
      </w:r>
      <w:r w:rsidRPr="00520861">
        <w:rPr>
          <w:b/>
          <w:i/>
          <w:sz w:val="28"/>
          <w:szCs w:val="28"/>
        </w:rPr>
        <w:t xml:space="preserve"> </w:t>
      </w:r>
    </w:p>
    <w:p w14:paraId="5B5D071A" w14:textId="77777777" w:rsidR="00253AED" w:rsidRPr="00520861" w:rsidRDefault="00253AED" w:rsidP="00292D2E">
      <w:pPr>
        <w:widowControl w:val="0"/>
        <w:spacing w:line="360" w:lineRule="auto"/>
        <w:ind w:firstLine="720"/>
        <w:jc w:val="both"/>
        <w:rPr>
          <w:b/>
          <w:i/>
          <w:sz w:val="28"/>
          <w:szCs w:val="28"/>
        </w:rPr>
      </w:pPr>
      <w:r w:rsidRPr="00520861">
        <w:rPr>
          <w:i/>
          <w:sz w:val="28"/>
          <w:szCs w:val="28"/>
        </w:rPr>
        <w:t>Предмет дослідження</w:t>
      </w:r>
      <w:r w:rsidRPr="00520861">
        <w:rPr>
          <w:b/>
          <w:i/>
          <w:sz w:val="28"/>
          <w:szCs w:val="28"/>
        </w:rPr>
        <w:t xml:space="preserve"> —</w:t>
      </w:r>
      <w:r w:rsidR="004C739B" w:rsidRPr="00520861">
        <w:rPr>
          <w:b/>
          <w:i/>
          <w:sz w:val="28"/>
          <w:szCs w:val="28"/>
        </w:rPr>
        <w:t xml:space="preserve"> </w:t>
      </w:r>
      <w:r w:rsidRPr="00520861">
        <w:rPr>
          <w:sz w:val="28"/>
          <w:szCs w:val="28"/>
        </w:rPr>
        <w:t>стоматологічний статус осіб</w:t>
      </w:r>
      <w:r w:rsidR="005245F4" w:rsidRPr="00520861">
        <w:rPr>
          <w:sz w:val="28"/>
          <w:szCs w:val="28"/>
        </w:rPr>
        <w:t xml:space="preserve"> </w:t>
      </w:r>
      <w:r w:rsidR="004C739B" w:rsidRPr="00520861">
        <w:rPr>
          <w:sz w:val="28"/>
          <w:szCs w:val="28"/>
        </w:rPr>
        <w:t>і</w:t>
      </w:r>
      <w:r w:rsidR="005245F4" w:rsidRPr="00520861">
        <w:rPr>
          <w:sz w:val="28"/>
          <w:szCs w:val="28"/>
        </w:rPr>
        <w:t xml:space="preserve"> особин</w:t>
      </w:r>
      <w:r w:rsidRPr="00520861">
        <w:rPr>
          <w:rFonts w:eastAsia="Calibri"/>
          <w:sz w:val="28"/>
          <w:szCs w:val="28"/>
          <w:lang w:eastAsia="en-US"/>
        </w:rPr>
        <w:t xml:space="preserve"> </w:t>
      </w:r>
      <w:r w:rsidRPr="00520861">
        <w:rPr>
          <w:sz w:val="28"/>
          <w:szCs w:val="28"/>
        </w:rPr>
        <w:t xml:space="preserve">різних вікових категорій, які народилися з </w:t>
      </w:r>
      <w:proofErr w:type="spellStart"/>
      <w:r w:rsidRPr="00520861">
        <w:rPr>
          <w:sz w:val="28"/>
          <w:szCs w:val="28"/>
        </w:rPr>
        <w:t>макросомією</w:t>
      </w:r>
      <w:proofErr w:type="spellEnd"/>
      <w:r w:rsidRPr="00520861">
        <w:rPr>
          <w:sz w:val="28"/>
          <w:szCs w:val="28"/>
        </w:rPr>
        <w:t xml:space="preserve">, через динаміку морфологічних, </w:t>
      </w:r>
      <w:proofErr w:type="spellStart"/>
      <w:r w:rsidRPr="00520861">
        <w:rPr>
          <w:sz w:val="28"/>
          <w:szCs w:val="28"/>
        </w:rPr>
        <w:t>морфометричних</w:t>
      </w:r>
      <w:proofErr w:type="spellEnd"/>
      <w:r w:rsidRPr="00520861">
        <w:rPr>
          <w:sz w:val="28"/>
          <w:szCs w:val="28"/>
        </w:rPr>
        <w:t xml:space="preserve">, гістохімічних, </w:t>
      </w:r>
      <w:proofErr w:type="spellStart"/>
      <w:r w:rsidRPr="00520861">
        <w:rPr>
          <w:sz w:val="28"/>
          <w:szCs w:val="28"/>
        </w:rPr>
        <w:t>імуногістохімічних</w:t>
      </w:r>
      <w:proofErr w:type="spellEnd"/>
      <w:r w:rsidRPr="00520861">
        <w:rPr>
          <w:sz w:val="28"/>
          <w:szCs w:val="28"/>
        </w:rPr>
        <w:t xml:space="preserve">, клініко-ретроспективних, клінічних, </w:t>
      </w:r>
      <w:r w:rsidR="008D5132" w:rsidRPr="00520861">
        <w:rPr>
          <w:sz w:val="28"/>
          <w:szCs w:val="28"/>
        </w:rPr>
        <w:br/>
      </w:r>
      <w:r w:rsidRPr="00520861">
        <w:rPr>
          <w:sz w:val="28"/>
          <w:szCs w:val="28"/>
        </w:rPr>
        <w:lastRenderedPageBreak/>
        <w:t xml:space="preserve">метаболічних, гормональних, імунологічних та молекулярно-генетичних показників у рамках </w:t>
      </w:r>
      <w:r w:rsidR="00315BCC" w:rsidRPr="00520861">
        <w:rPr>
          <w:sz w:val="28"/>
          <w:szCs w:val="28"/>
        </w:rPr>
        <w:t xml:space="preserve">розробленої </w:t>
      </w:r>
      <w:r w:rsidRPr="00520861">
        <w:rPr>
          <w:sz w:val="28"/>
          <w:szCs w:val="28"/>
        </w:rPr>
        <w:t xml:space="preserve">стратегії діагностики та прогнозування стоматологічних </w:t>
      </w:r>
      <w:r w:rsidR="00315BCC" w:rsidRPr="00520861">
        <w:rPr>
          <w:sz w:val="28"/>
          <w:szCs w:val="28"/>
        </w:rPr>
        <w:br/>
      </w:r>
      <w:r w:rsidRPr="00520861">
        <w:rPr>
          <w:sz w:val="28"/>
          <w:szCs w:val="28"/>
        </w:rPr>
        <w:t>порушень.</w:t>
      </w:r>
      <w:r w:rsidRPr="00520861">
        <w:rPr>
          <w:b/>
          <w:i/>
          <w:sz w:val="28"/>
          <w:szCs w:val="28"/>
        </w:rPr>
        <w:t xml:space="preserve"> </w:t>
      </w:r>
    </w:p>
    <w:p w14:paraId="1AE65168" w14:textId="77777777" w:rsidR="000D2DD3" w:rsidRPr="00520861" w:rsidRDefault="00207B46" w:rsidP="00292D2E">
      <w:pPr>
        <w:widowControl w:val="0"/>
        <w:spacing w:line="360" w:lineRule="auto"/>
        <w:ind w:firstLine="720"/>
        <w:jc w:val="both"/>
        <w:rPr>
          <w:sz w:val="28"/>
          <w:szCs w:val="28"/>
        </w:rPr>
      </w:pPr>
      <w:r w:rsidRPr="00520861">
        <w:rPr>
          <w:i/>
          <w:sz w:val="28"/>
          <w:szCs w:val="28"/>
        </w:rPr>
        <w:t>Методи дослідження</w:t>
      </w:r>
      <w:r w:rsidRPr="00520861">
        <w:rPr>
          <w:sz w:val="28"/>
          <w:szCs w:val="28"/>
        </w:rPr>
        <w:t>.</w:t>
      </w:r>
      <w:r w:rsidR="006F7C6F" w:rsidRPr="00520861">
        <w:rPr>
          <w:b/>
          <w:sz w:val="28"/>
          <w:szCs w:val="28"/>
        </w:rPr>
        <w:t xml:space="preserve"> </w:t>
      </w:r>
      <w:r w:rsidR="000B5007" w:rsidRPr="00520861">
        <w:rPr>
          <w:sz w:val="28"/>
          <w:szCs w:val="28"/>
        </w:rPr>
        <w:t>Клінічні</w:t>
      </w:r>
      <w:r w:rsidR="008E7060" w:rsidRPr="00520861">
        <w:rPr>
          <w:sz w:val="28"/>
          <w:szCs w:val="28"/>
        </w:rPr>
        <w:t xml:space="preserve"> та клініко-інструментальні</w:t>
      </w:r>
      <w:r w:rsidR="00F55B54" w:rsidRPr="00520861">
        <w:rPr>
          <w:sz w:val="28"/>
          <w:szCs w:val="28"/>
        </w:rPr>
        <w:t xml:space="preserve"> </w:t>
      </w:r>
      <w:r w:rsidR="000B5007" w:rsidRPr="00520861">
        <w:rPr>
          <w:sz w:val="28"/>
          <w:szCs w:val="28"/>
        </w:rPr>
        <w:t>– стоматологічне обстеження;</w:t>
      </w:r>
      <w:r w:rsidR="000B5007" w:rsidRPr="00520861">
        <w:rPr>
          <w:b/>
          <w:sz w:val="28"/>
          <w:szCs w:val="28"/>
        </w:rPr>
        <w:t xml:space="preserve"> </w:t>
      </w:r>
      <w:r w:rsidR="00DF6818" w:rsidRPr="00520861">
        <w:rPr>
          <w:sz w:val="28"/>
          <w:szCs w:val="28"/>
        </w:rPr>
        <w:t xml:space="preserve">рентгенологічні методи (оцінювання стану кісткової тканини щелеп та тканин </w:t>
      </w:r>
      <w:proofErr w:type="spellStart"/>
      <w:r w:rsidR="00DF6818" w:rsidRPr="00520861">
        <w:rPr>
          <w:sz w:val="28"/>
          <w:szCs w:val="28"/>
        </w:rPr>
        <w:t>пародонта</w:t>
      </w:r>
      <w:proofErr w:type="spellEnd"/>
      <w:r w:rsidR="00E719A8" w:rsidRPr="00520861">
        <w:rPr>
          <w:sz w:val="28"/>
          <w:szCs w:val="28"/>
        </w:rPr>
        <w:t xml:space="preserve"> якісними й</w:t>
      </w:r>
      <w:r w:rsidR="0014773E" w:rsidRPr="00520861">
        <w:rPr>
          <w:sz w:val="28"/>
          <w:szCs w:val="28"/>
        </w:rPr>
        <w:t xml:space="preserve"> кількісними (</w:t>
      </w:r>
      <w:proofErr w:type="spellStart"/>
      <w:r w:rsidR="0014773E" w:rsidRPr="00520861">
        <w:rPr>
          <w:sz w:val="28"/>
          <w:szCs w:val="28"/>
        </w:rPr>
        <w:t>рентгенморфометричними</w:t>
      </w:r>
      <w:proofErr w:type="spellEnd"/>
      <w:r w:rsidR="0014773E" w:rsidRPr="00520861">
        <w:rPr>
          <w:sz w:val="28"/>
          <w:szCs w:val="28"/>
        </w:rPr>
        <w:t xml:space="preserve"> індексами)</w:t>
      </w:r>
      <w:r w:rsidR="00DF6818" w:rsidRPr="00520861">
        <w:rPr>
          <w:sz w:val="28"/>
          <w:szCs w:val="28"/>
        </w:rPr>
        <w:t>);</w:t>
      </w:r>
      <w:r w:rsidR="00DF6818" w:rsidRPr="00520861">
        <w:rPr>
          <w:b/>
          <w:sz w:val="28"/>
          <w:szCs w:val="28"/>
        </w:rPr>
        <w:t xml:space="preserve"> </w:t>
      </w:r>
      <w:r w:rsidR="008E7060" w:rsidRPr="00520861">
        <w:rPr>
          <w:sz w:val="28"/>
          <w:szCs w:val="28"/>
        </w:rPr>
        <w:t>біофізичні методи (визначення швидкості салівації за одиницю часу</w:t>
      </w:r>
      <w:r w:rsidR="000A146F" w:rsidRPr="00520861">
        <w:rPr>
          <w:sz w:val="28"/>
          <w:szCs w:val="28"/>
        </w:rPr>
        <w:t>)</w:t>
      </w:r>
      <w:r w:rsidR="000B5007" w:rsidRPr="00520861">
        <w:rPr>
          <w:sz w:val="28"/>
          <w:szCs w:val="28"/>
        </w:rPr>
        <w:t>;</w:t>
      </w:r>
      <w:r w:rsidR="000B5007" w:rsidRPr="00520861">
        <w:rPr>
          <w:b/>
          <w:sz w:val="28"/>
          <w:szCs w:val="28"/>
        </w:rPr>
        <w:t xml:space="preserve"> </w:t>
      </w:r>
      <w:r w:rsidR="00E719A8" w:rsidRPr="00520861">
        <w:rPr>
          <w:sz w:val="28"/>
          <w:szCs w:val="28"/>
        </w:rPr>
        <w:t>біохі</w:t>
      </w:r>
      <w:r w:rsidR="000B5007" w:rsidRPr="00520861">
        <w:rPr>
          <w:sz w:val="28"/>
          <w:szCs w:val="28"/>
        </w:rPr>
        <w:t xml:space="preserve">мічні </w:t>
      </w:r>
      <w:r w:rsidR="00790AF8" w:rsidRPr="00520861">
        <w:rPr>
          <w:sz w:val="28"/>
          <w:szCs w:val="28"/>
        </w:rPr>
        <w:br/>
      </w:r>
      <w:r w:rsidR="000B5007" w:rsidRPr="00520861">
        <w:rPr>
          <w:sz w:val="28"/>
          <w:szCs w:val="28"/>
        </w:rPr>
        <w:t>(</w:t>
      </w:r>
      <w:r w:rsidR="00DF6818" w:rsidRPr="00520861">
        <w:rPr>
          <w:sz w:val="28"/>
          <w:szCs w:val="28"/>
        </w:rPr>
        <w:t>в</w:t>
      </w:r>
      <w:r w:rsidR="00F55B54" w:rsidRPr="00520861">
        <w:rPr>
          <w:sz w:val="28"/>
          <w:szCs w:val="28"/>
        </w:rPr>
        <w:t>изначення воднев</w:t>
      </w:r>
      <w:r w:rsidR="000A146F" w:rsidRPr="00520861">
        <w:rPr>
          <w:sz w:val="28"/>
          <w:szCs w:val="28"/>
        </w:rPr>
        <w:t>ого показника, рівня</w:t>
      </w:r>
      <w:r w:rsidR="00F55B54" w:rsidRPr="00520861">
        <w:rPr>
          <w:sz w:val="28"/>
          <w:szCs w:val="28"/>
        </w:rPr>
        <w:t xml:space="preserve"> загального кальцію, неорганічного фосфору, продуктів, </w:t>
      </w:r>
      <w:r w:rsidR="00E21A24" w:rsidRPr="00520861">
        <w:rPr>
          <w:sz w:val="28"/>
          <w:szCs w:val="28"/>
        </w:rPr>
        <w:t>що вступають у реакцію з</w:t>
      </w:r>
      <w:r w:rsidR="00F55B54" w:rsidRPr="00520861">
        <w:rPr>
          <w:sz w:val="28"/>
          <w:szCs w:val="28"/>
        </w:rPr>
        <w:t xml:space="preserve"> </w:t>
      </w:r>
      <w:proofErr w:type="spellStart"/>
      <w:r w:rsidR="00F55B54" w:rsidRPr="00520861">
        <w:rPr>
          <w:sz w:val="28"/>
          <w:szCs w:val="28"/>
        </w:rPr>
        <w:t>тіобарбітуровою</w:t>
      </w:r>
      <w:proofErr w:type="spellEnd"/>
      <w:r w:rsidR="00F55B54" w:rsidRPr="00520861">
        <w:rPr>
          <w:sz w:val="28"/>
          <w:szCs w:val="28"/>
        </w:rPr>
        <w:t xml:space="preserve"> кислотою, </w:t>
      </w:r>
      <w:proofErr w:type="spellStart"/>
      <w:r w:rsidR="00F55B54" w:rsidRPr="00520861">
        <w:rPr>
          <w:sz w:val="28"/>
          <w:szCs w:val="28"/>
        </w:rPr>
        <w:t>імуноглобулінів</w:t>
      </w:r>
      <w:proofErr w:type="spellEnd"/>
      <w:r w:rsidR="00F55B54" w:rsidRPr="00520861">
        <w:rPr>
          <w:sz w:val="28"/>
          <w:szCs w:val="28"/>
        </w:rPr>
        <w:t xml:space="preserve"> M</w:t>
      </w:r>
      <w:r w:rsidR="00D540E2" w:rsidRPr="00520861">
        <w:rPr>
          <w:sz w:val="28"/>
          <w:szCs w:val="28"/>
        </w:rPr>
        <w:t>, G, секреторного імуноглобуліну</w:t>
      </w:r>
      <w:r w:rsidR="00F55B54" w:rsidRPr="00520861">
        <w:rPr>
          <w:sz w:val="28"/>
          <w:szCs w:val="28"/>
        </w:rPr>
        <w:t xml:space="preserve"> A, </w:t>
      </w:r>
      <w:proofErr w:type="spellStart"/>
      <w:r w:rsidR="00F55B54" w:rsidRPr="00520861">
        <w:rPr>
          <w:sz w:val="28"/>
          <w:szCs w:val="28"/>
        </w:rPr>
        <w:t>лептину</w:t>
      </w:r>
      <w:proofErr w:type="spellEnd"/>
      <w:r w:rsidR="00F55B54" w:rsidRPr="00520861">
        <w:rPr>
          <w:sz w:val="28"/>
          <w:szCs w:val="28"/>
        </w:rPr>
        <w:t xml:space="preserve">, </w:t>
      </w:r>
      <w:proofErr w:type="spellStart"/>
      <w:r w:rsidR="00F55B54" w:rsidRPr="00520861">
        <w:rPr>
          <w:sz w:val="28"/>
          <w:szCs w:val="28"/>
        </w:rPr>
        <w:t>адипонектину</w:t>
      </w:r>
      <w:proofErr w:type="spellEnd"/>
      <w:r w:rsidR="00F55B54" w:rsidRPr="00520861">
        <w:rPr>
          <w:sz w:val="28"/>
          <w:szCs w:val="28"/>
        </w:rPr>
        <w:t xml:space="preserve">, </w:t>
      </w:r>
      <w:proofErr w:type="spellStart"/>
      <w:r w:rsidR="00F55B54" w:rsidRPr="00520861">
        <w:rPr>
          <w:sz w:val="28"/>
          <w:szCs w:val="28"/>
        </w:rPr>
        <w:t>кортизолу</w:t>
      </w:r>
      <w:proofErr w:type="spellEnd"/>
      <w:r w:rsidR="00F55B54" w:rsidRPr="00520861">
        <w:rPr>
          <w:sz w:val="28"/>
          <w:szCs w:val="28"/>
        </w:rPr>
        <w:t xml:space="preserve">, сумарного </w:t>
      </w:r>
      <w:r w:rsidR="00290C8F" w:rsidRPr="00520861">
        <w:rPr>
          <w:sz w:val="28"/>
          <w:szCs w:val="28"/>
        </w:rPr>
        <w:br/>
      </w:r>
      <w:proofErr w:type="spellStart"/>
      <w:r w:rsidR="00F55B54" w:rsidRPr="00520861">
        <w:rPr>
          <w:sz w:val="28"/>
          <w:szCs w:val="28"/>
        </w:rPr>
        <w:t>оксипроліну</w:t>
      </w:r>
      <w:proofErr w:type="spellEnd"/>
      <w:r w:rsidR="00F55B54" w:rsidRPr="00520861">
        <w:rPr>
          <w:sz w:val="28"/>
          <w:szCs w:val="28"/>
        </w:rPr>
        <w:t>, інтерлейкіну-6, інтерлейкіну-</w:t>
      </w:r>
      <w:r w:rsidR="000A146F" w:rsidRPr="00520861">
        <w:rPr>
          <w:sz w:val="28"/>
          <w:szCs w:val="28"/>
        </w:rPr>
        <w:t>1β та інтерлейкіну-10, а</w:t>
      </w:r>
      <w:r w:rsidR="00F55B54" w:rsidRPr="00520861">
        <w:rPr>
          <w:sz w:val="28"/>
          <w:szCs w:val="28"/>
        </w:rPr>
        <w:t xml:space="preserve"> також активності луж</w:t>
      </w:r>
      <w:r w:rsidR="00D50FA6" w:rsidRPr="00520861">
        <w:rPr>
          <w:sz w:val="28"/>
          <w:szCs w:val="28"/>
        </w:rPr>
        <w:t>ної фосфа</w:t>
      </w:r>
      <w:r w:rsidR="00F55B54" w:rsidRPr="00520861">
        <w:rPr>
          <w:sz w:val="28"/>
          <w:szCs w:val="28"/>
        </w:rPr>
        <w:t xml:space="preserve">тази, </w:t>
      </w:r>
      <w:proofErr w:type="spellStart"/>
      <w:r w:rsidR="00F55B54" w:rsidRPr="00520861">
        <w:rPr>
          <w:sz w:val="28"/>
          <w:szCs w:val="28"/>
        </w:rPr>
        <w:t>супероксиддисмутази</w:t>
      </w:r>
      <w:proofErr w:type="spellEnd"/>
      <w:r w:rsidR="00F55B54" w:rsidRPr="00520861">
        <w:rPr>
          <w:sz w:val="28"/>
          <w:szCs w:val="28"/>
        </w:rPr>
        <w:t xml:space="preserve">, каталази, α-амілази та ферментів </w:t>
      </w:r>
      <w:proofErr w:type="spellStart"/>
      <w:r w:rsidR="00F55B54" w:rsidRPr="00520861">
        <w:rPr>
          <w:sz w:val="28"/>
          <w:szCs w:val="28"/>
        </w:rPr>
        <w:t>трансамінування</w:t>
      </w:r>
      <w:proofErr w:type="spellEnd"/>
      <w:r w:rsidR="008C2D81" w:rsidRPr="00520861">
        <w:rPr>
          <w:sz w:val="28"/>
          <w:szCs w:val="28"/>
        </w:rPr>
        <w:t xml:space="preserve"> в ротовій рідині)</w:t>
      </w:r>
      <w:r w:rsidR="000B5007" w:rsidRPr="00520861">
        <w:rPr>
          <w:sz w:val="28"/>
          <w:szCs w:val="28"/>
        </w:rPr>
        <w:t xml:space="preserve">; </w:t>
      </w:r>
      <w:r w:rsidR="008C2D81" w:rsidRPr="00520861">
        <w:rPr>
          <w:sz w:val="28"/>
          <w:szCs w:val="28"/>
        </w:rPr>
        <w:t>е</w:t>
      </w:r>
      <w:r w:rsidR="000B5007" w:rsidRPr="00520861">
        <w:rPr>
          <w:sz w:val="28"/>
          <w:szCs w:val="28"/>
        </w:rPr>
        <w:t>кспериментальні (</w:t>
      </w:r>
      <w:r w:rsidR="00945193" w:rsidRPr="00520861">
        <w:rPr>
          <w:sz w:val="28"/>
          <w:szCs w:val="28"/>
        </w:rPr>
        <w:t xml:space="preserve">морфологічні, </w:t>
      </w:r>
      <w:proofErr w:type="spellStart"/>
      <w:r w:rsidR="00945193" w:rsidRPr="00520861">
        <w:rPr>
          <w:sz w:val="28"/>
          <w:szCs w:val="28"/>
        </w:rPr>
        <w:t>морфометричні</w:t>
      </w:r>
      <w:proofErr w:type="spellEnd"/>
      <w:r w:rsidR="00945193" w:rsidRPr="00520861">
        <w:rPr>
          <w:sz w:val="28"/>
          <w:szCs w:val="28"/>
        </w:rPr>
        <w:t xml:space="preserve">, </w:t>
      </w:r>
      <w:r w:rsidR="00D056E2" w:rsidRPr="00520861">
        <w:rPr>
          <w:sz w:val="28"/>
          <w:szCs w:val="28"/>
        </w:rPr>
        <w:t xml:space="preserve">гістохімічні, </w:t>
      </w:r>
      <w:proofErr w:type="spellStart"/>
      <w:r w:rsidR="00945193" w:rsidRPr="00520861">
        <w:rPr>
          <w:sz w:val="28"/>
          <w:szCs w:val="28"/>
        </w:rPr>
        <w:t>імуногістохімічні</w:t>
      </w:r>
      <w:proofErr w:type="spellEnd"/>
      <w:r w:rsidR="000B5007" w:rsidRPr="00520861">
        <w:rPr>
          <w:sz w:val="28"/>
          <w:szCs w:val="28"/>
        </w:rPr>
        <w:t>);</w:t>
      </w:r>
      <w:r w:rsidR="00174453" w:rsidRPr="00520861">
        <w:rPr>
          <w:sz w:val="28"/>
          <w:szCs w:val="28"/>
        </w:rPr>
        <w:t xml:space="preserve"> </w:t>
      </w:r>
      <w:r w:rsidR="00945193" w:rsidRPr="00520861">
        <w:rPr>
          <w:sz w:val="28"/>
          <w:szCs w:val="28"/>
        </w:rPr>
        <w:t>клініко-ретроспективні</w:t>
      </w:r>
      <w:r w:rsidR="000B5007" w:rsidRPr="00520861">
        <w:rPr>
          <w:sz w:val="28"/>
          <w:szCs w:val="28"/>
        </w:rPr>
        <w:t xml:space="preserve"> (визначення маркерів формування </w:t>
      </w:r>
      <w:proofErr w:type="spellStart"/>
      <w:r w:rsidR="000B5007" w:rsidRPr="00520861">
        <w:rPr>
          <w:sz w:val="28"/>
          <w:szCs w:val="28"/>
        </w:rPr>
        <w:t>макросомії</w:t>
      </w:r>
      <w:proofErr w:type="spellEnd"/>
      <w:r w:rsidR="000B5007" w:rsidRPr="00520861">
        <w:rPr>
          <w:sz w:val="28"/>
          <w:szCs w:val="28"/>
        </w:rPr>
        <w:t xml:space="preserve"> </w:t>
      </w:r>
      <w:r w:rsidR="000C5378" w:rsidRPr="00520861">
        <w:rPr>
          <w:sz w:val="28"/>
          <w:szCs w:val="28"/>
        </w:rPr>
        <w:t>плода</w:t>
      </w:r>
      <w:r w:rsidR="000B5007" w:rsidRPr="00520861">
        <w:rPr>
          <w:sz w:val="28"/>
          <w:szCs w:val="28"/>
        </w:rPr>
        <w:t>,</w:t>
      </w:r>
      <w:r w:rsidR="00174453" w:rsidRPr="00520861">
        <w:rPr>
          <w:sz w:val="28"/>
          <w:szCs w:val="28"/>
        </w:rPr>
        <w:t xml:space="preserve"> </w:t>
      </w:r>
      <w:r w:rsidR="000B5007" w:rsidRPr="00520861">
        <w:rPr>
          <w:sz w:val="28"/>
          <w:szCs w:val="28"/>
        </w:rPr>
        <w:t xml:space="preserve">термінів прорізування тимчасових зубів, індексів </w:t>
      </w:r>
      <w:r w:rsidR="00790AF8" w:rsidRPr="00520861">
        <w:rPr>
          <w:sz w:val="28"/>
          <w:szCs w:val="28"/>
        </w:rPr>
        <w:br/>
      </w:r>
      <w:r w:rsidR="000B5007" w:rsidRPr="00520861">
        <w:rPr>
          <w:sz w:val="28"/>
          <w:szCs w:val="28"/>
        </w:rPr>
        <w:t>карієсу)</w:t>
      </w:r>
      <w:r w:rsidR="004B664E" w:rsidRPr="00520861">
        <w:rPr>
          <w:sz w:val="28"/>
          <w:szCs w:val="28"/>
        </w:rPr>
        <w:t>;</w:t>
      </w:r>
      <w:r w:rsidR="00945193" w:rsidRPr="00520861">
        <w:rPr>
          <w:sz w:val="28"/>
          <w:szCs w:val="28"/>
        </w:rPr>
        <w:t xml:space="preserve"> </w:t>
      </w:r>
      <w:r w:rsidR="00FC3019" w:rsidRPr="00520861">
        <w:rPr>
          <w:sz w:val="28"/>
          <w:szCs w:val="28"/>
        </w:rPr>
        <w:t>клініко-анамнестичні (анкетування</w:t>
      </w:r>
      <w:r w:rsidR="000B5007" w:rsidRPr="00520861">
        <w:rPr>
          <w:sz w:val="28"/>
          <w:szCs w:val="28"/>
        </w:rPr>
        <w:t>)</w:t>
      </w:r>
      <w:r w:rsidR="004B664E" w:rsidRPr="00520861">
        <w:rPr>
          <w:sz w:val="28"/>
          <w:szCs w:val="28"/>
        </w:rPr>
        <w:t>;</w:t>
      </w:r>
      <w:r w:rsidR="00D056E2" w:rsidRPr="00520861">
        <w:rPr>
          <w:sz w:val="28"/>
          <w:szCs w:val="28"/>
        </w:rPr>
        <w:t xml:space="preserve"> </w:t>
      </w:r>
      <w:r w:rsidR="00945193" w:rsidRPr="00520861">
        <w:rPr>
          <w:sz w:val="28"/>
          <w:szCs w:val="28"/>
        </w:rPr>
        <w:t xml:space="preserve">молекулярно-генетичні </w:t>
      </w:r>
      <w:r w:rsidR="000B5007" w:rsidRPr="00520861">
        <w:rPr>
          <w:sz w:val="28"/>
          <w:szCs w:val="28"/>
        </w:rPr>
        <w:t>(визначення поліморфізму генів-кандидатів</w:t>
      </w:r>
      <w:r w:rsidR="00174453" w:rsidRPr="00520861">
        <w:rPr>
          <w:sz w:val="28"/>
          <w:szCs w:val="28"/>
        </w:rPr>
        <w:t xml:space="preserve"> </w:t>
      </w:r>
      <w:r w:rsidR="00DF6818" w:rsidRPr="00520861">
        <w:rPr>
          <w:i/>
          <w:sz w:val="28"/>
          <w:szCs w:val="28"/>
        </w:rPr>
        <w:t>CYP19A1, ESR1, RANKL, IL-1</w:t>
      </w:r>
      <w:r w:rsidR="008C2D81" w:rsidRPr="00520861">
        <w:rPr>
          <w:i/>
          <w:sz w:val="28"/>
          <w:szCs w:val="28"/>
        </w:rPr>
        <w:sym w:font="Symbol" w:char="F062"/>
      </w:r>
      <w:r w:rsidR="00DF6818" w:rsidRPr="00520861">
        <w:rPr>
          <w:i/>
          <w:sz w:val="28"/>
          <w:szCs w:val="28"/>
        </w:rPr>
        <w:t>, IL-6, IL-10</w:t>
      </w:r>
      <w:r w:rsidR="00934F89" w:rsidRPr="00520861">
        <w:rPr>
          <w:i/>
          <w:sz w:val="28"/>
          <w:szCs w:val="28"/>
        </w:rPr>
        <w:t>,</w:t>
      </w:r>
      <w:r w:rsidR="00DF6818" w:rsidRPr="00520861">
        <w:rPr>
          <w:i/>
          <w:sz w:val="28"/>
          <w:szCs w:val="28"/>
        </w:rPr>
        <w:t xml:space="preserve"> VDR</w:t>
      </w:r>
      <w:r w:rsidR="00934F89" w:rsidRPr="00520861">
        <w:rPr>
          <w:i/>
          <w:sz w:val="28"/>
          <w:szCs w:val="28"/>
        </w:rPr>
        <w:t xml:space="preserve"> </w:t>
      </w:r>
      <w:r w:rsidR="00934F89" w:rsidRPr="00520861">
        <w:rPr>
          <w:sz w:val="28"/>
          <w:szCs w:val="28"/>
        </w:rPr>
        <w:t xml:space="preserve">та </w:t>
      </w:r>
      <w:r w:rsidR="00934F89" w:rsidRPr="00520861">
        <w:rPr>
          <w:i/>
          <w:sz w:val="28"/>
          <w:szCs w:val="28"/>
        </w:rPr>
        <w:t>BMP7</w:t>
      </w:r>
      <w:r w:rsidR="000B5007" w:rsidRPr="00520861">
        <w:rPr>
          <w:sz w:val="28"/>
          <w:szCs w:val="28"/>
        </w:rPr>
        <w:t xml:space="preserve">) </w:t>
      </w:r>
      <w:r w:rsidR="00945193" w:rsidRPr="00520861">
        <w:rPr>
          <w:sz w:val="28"/>
          <w:szCs w:val="28"/>
        </w:rPr>
        <w:t>та</w:t>
      </w:r>
      <w:r w:rsidR="00DF6818" w:rsidRPr="00520861">
        <w:rPr>
          <w:sz w:val="28"/>
          <w:szCs w:val="28"/>
        </w:rPr>
        <w:t xml:space="preserve"> </w:t>
      </w:r>
      <w:r w:rsidR="00F95F88" w:rsidRPr="00520861">
        <w:rPr>
          <w:sz w:val="28"/>
          <w:szCs w:val="28"/>
        </w:rPr>
        <w:t xml:space="preserve">методи </w:t>
      </w:r>
      <w:r w:rsidR="00E67380" w:rsidRPr="00520861">
        <w:rPr>
          <w:sz w:val="28"/>
          <w:szCs w:val="28"/>
        </w:rPr>
        <w:t>математичної ст</w:t>
      </w:r>
      <w:r w:rsidR="00A73FD0" w:rsidRPr="00520861">
        <w:rPr>
          <w:sz w:val="28"/>
          <w:szCs w:val="28"/>
        </w:rPr>
        <w:t>а</w:t>
      </w:r>
      <w:r w:rsidR="00E67380" w:rsidRPr="00520861">
        <w:rPr>
          <w:sz w:val="28"/>
          <w:szCs w:val="28"/>
        </w:rPr>
        <w:t>тистики та теорії</w:t>
      </w:r>
      <w:r w:rsidR="00A73FD0" w:rsidRPr="00520861">
        <w:rPr>
          <w:sz w:val="28"/>
          <w:szCs w:val="28"/>
        </w:rPr>
        <w:t xml:space="preserve"> ймовірностей</w:t>
      </w:r>
      <w:r w:rsidR="00945193" w:rsidRPr="00520861">
        <w:rPr>
          <w:sz w:val="28"/>
          <w:szCs w:val="28"/>
        </w:rPr>
        <w:t>.</w:t>
      </w:r>
      <w:r w:rsidR="000C29C6" w:rsidRPr="00520861">
        <w:rPr>
          <w:sz w:val="28"/>
          <w:szCs w:val="28"/>
        </w:rPr>
        <w:t xml:space="preserve"> </w:t>
      </w:r>
    </w:p>
    <w:p w14:paraId="10CDB7E9" w14:textId="77777777" w:rsidR="00F5226F" w:rsidRPr="00520861" w:rsidRDefault="00207B46" w:rsidP="00292D2E">
      <w:pPr>
        <w:widowControl w:val="0"/>
        <w:spacing w:line="360" w:lineRule="auto"/>
        <w:ind w:firstLine="720"/>
        <w:jc w:val="both"/>
        <w:rPr>
          <w:spacing w:val="-4"/>
          <w:sz w:val="28"/>
          <w:szCs w:val="28"/>
        </w:rPr>
      </w:pPr>
      <w:r w:rsidRPr="00520861">
        <w:rPr>
          <w:b/>
          <w:bCs/>
          <w:sz w:val="28"/>
          <w:szCs w:val="28"/>
        </w:rPr>
        <w:t>Наукова</w:t>
      </w:r>
      <w:r w:rsidRPr="00520861">
        <w:rPr>
          <w:sz w:val="28"/>
          <w:szCs w:val="28"/>
        </w:rPr>
        <w:t xml:space="preserve"> </w:t>
      </w:r>
      <w:r w:rsidRPr="00520861">
        <w:rPr>
          <w:b/>
          <w:bCs/>
          <w:sz w:val="28"/>
          <w:szCs w:val="28"/>
        </w:rPr>
        <w:t>новизна одержаних результатів</w:t>
      </w:r>
      <w:r w:rsidR="00523297" w:rsidRPr="00520861">
        <w:rPr>
          <w:b/>
          <w:sz w:val="28"/>
          <w:szCs w:val="28"/>
        </w:rPr>
        <w:t>.</w:t>
      </w:r>
      <w:r w:rsidR="00523297" w:rsidRPr="00520861">
        <w:rPr>
          <w:sz w:val="28"/>
          <w:szCs w:val="28"/>
        </w:rPr>
        <w:t xml:space="preserve"> </w:t>
      </w:r>
      <w:r w:rsidR="00DB3696" w:rsidRPr="00520861">
        <w:rPr>
          <w:spacing w:val="-4"/>
          <w:sz w:val="28"/>
          <w:szCs w:val="28"/>
        </w:rPr>
        <w:t xml:space="preserve">Зібрано й </w:t>
      </w:r>
      <w:r w:rsidR="00703157" w:rsidRPr="00520861">
        <w:rPr>
          <w:spacing w:val="-4"/>
          <w:sz w:val="28"/>
          <w:szCs w:val="28"/>
        </w:rPr>
        <w:t>у</w:t>
      </w:r>
      <w:r w:rsidR="00F5226F" w:rsidRPr="00520861">
        <w:rPr>
          <w:spacing w:val="-4"/>
          <w:sz w:val="28"/>
          <w:szCs w:val="28"/>
        </w:rPr>
        <w:t>загальнено дані щодо с</w:t>
      </w:r>
      <w:r w:rsidR="00703157" w:rsidRPr="00520861">
        <w:rPr>
          <w:spacing w:val="-4"/>
          <w:sz w:val="28"/>
          <w:szCs w:val="28"/>
        </w:rPr>
        <w:t>томатологічного статусу осіб</w:t>
      </w:r>
      <w:r w:rsidR="00A54CED" w:rsidRPr="00520861">
        <w:rPr>
          <w:spacing w:val="-4"/>
          <w:sz w:val="28"/>
          <w:szCs w:val="28"/>
        </w:rPr>
        <w:t xml:space="preserve"> популяції Харківської області та прилеглих (Луганської, Донецької) областей,</w:t>
      </w:r>
      <w:r w:rsidR="00703157" w:rsidRPr="00520861">
        <w:rPr>
          <w:spacing w:val="-4"/>
          <w:sz w:val="28"/>
          <w:szCs w:val="28"/>
        </w:rPr>
        <w:t xml:space="preserve"> </w:t>
      </w:r>
      <w:r w:rsidR="00A54CED" w:rsidRPr="00520861">
        <w:rPr>
          <w:spacing w:val="-4"/>
          <w:sz w:val="28"/>
          <w:szCs w:val="28"/>
        </w:rPr>
        <w:t>які наро</w:t>
      </w:r>
      <w:r w:rsidR="00991143" w:rsidRPr="00520861">
        <w:rPr>
          <w:spacing w:val="-4"/>
          <w:sz w:val="28"/>
          <w:szCs w:val="28"/>
        </w:rPr>
        <w:t xml:space="preserve">дилися </w:t>
      </w:r>
      <w:r w:rsidR="00A54CED" w:rsidRPr="00520861">
        <w:rPr>
          <w:spacing w:val="-4"/>
          <w:sz w:val="28"/>
          <w:szCs w:val="28"/>
        </w:rPr>
        <w:t xml:space="preserve">з </w:t>
      </w:r>
      <w:proofErr w:type="spellStart"/>
      <w:r w:rsidR="00A54CED" w:rsidRPr="00520861">
        <w:rPr>
          <w:spacing w:val="-4"/>
          <w:sz w:val="28"/>
          <w:szCs w:val="28"/>
        </w:rPr>
        <w:t>макросомією</w:t>
      </w:r>
      <w:proofErr w:type="spellEnd"/>
      <w:r w:rsidR="00A54CED" w:rsidRPr="00520861">
        <w:rPr>
          <w:spacing w:val="-4"/>
          <w:sz w:val="28"/>
          <w:szCs w:val="28"/>
        </w:rPr>
        <w:t xml:space="preserve"> </w:t>
      </w:r>
      <w:r w:rsidR="00F5226F" w:rsidRPr="00520861">
        <w:rPr>
          <w:spacing w:val="-4"/>
          <w:sz w:val="28"/>
          <w:szCs w:val="28"/>
        </w:rPr>
        <w:t>на різних етапах ф</w:t>
      </w:r>
      <w:r w:rsidR="00DB3696" w:rsidRPr="00520861">
        <w:rPr>
          <w:spacing w:val="-4"/>
          <w:sz w:val="28"/>
          <w:szCs w:val="28"/>
        </w:rPr>
        <w:t xml:space="preserve">ормування прикусу. Це дало змогу </w:t>
      </w:r>
      <w:r w:rsidR="00F5226F" w:rsidRPr="00520861">
        <w:rPr>
          <w:spacing w:val="-4"/>
          <w:sz w:val="28"/>
          <w:szCs w:val="28"/>
        </w:rPr>
        <w:t xml:space="preserve">виявити клінічні маркери порушення формування </w:t>
      </w:r>
      <w:proofErr w:type="spellStart"/>
      <w:r w:rsidR="00F5226F" w:rsidRPr="00520861">
        <w:rPr>
          <w:spacing w:val="-4"/>
          <w:sz w:val="28"/>
          <w:szCs w:val="28"/>
        </w:rPr>
        <w:t>зубощелепної</w:t>
      </w:r>
      <w:proofErr w:type="spellEnd"/>
      <w:r w:rsidR="00F5226F" w:rsidRPr="00520861">
        <w:rPr>
          <w:spacing w:val="-4"/>
          <w:sz w:val="28"/>
          <w:szCs w:val="28"/>
        </w:rPr>
        <w:t xml:space="preserve"> </w:t>
      </w:r>
      <w:r w:rsidR="005D6378" w:rsidRPr="00520861">
        <w:rPr>
          <w:spacing w:val="-4"/>
          <w:sz w:val="28"/>
          <w:szCs w:val="28"/>
        </w:rPr>
        <w:br/>
      </w:r>
      <w:r w:rsidR="00F5226F" w:rsidRPr="00520861">
        <w:rPr>
          <w:spacing w:val="-4"/>
          <w:sz w:val="28"/>
          <w:szCs w:val="28"/>
        </w:rPr>
        <w:t>системи</w:t>
      </w:r>
      <w:r w:rsidR="00486999" w:rsidRPr="00520861">
        <w:rPr>
          <w:spacing w:val="-4"/>
          <w:sz w:val="28"/>
          <w:szCs w:val="28"/>
        </w:rPr>
        <w:t xml:space="preserve"> (ЗЩС)</w:t>
      </w:r>
      <w:r w:rsidR="00F5226F" w:rsidRPr="00520861">
        <w:rPr>
          <w:spacing w:val="-4"/>
          <w:sz w:val="28"/>
          <w:szCs w:val="28"/>
        </w:rPr>
        <w:t xml:space="preserve">, які відбулися </w:t>
      </w:r>
      <w:proofErr w:type="spellStart"/>
      <w:r w:rsidR="00F5226F" w:rsidRPr="00520861">
        <w:rPr>
          <w:spacing w:val="-4"/>
          <w:sz w:val="28"/>
          <w:szCs w:val="28"/>
        </w:rPr>
        <w:t>перинатально</w:t>
      </w:r>
      <w:proofErr w:type="spellEnd"/>
      <w:r w:rsidR="00DF3BED" w:rsidRPr="00520861">
        <w:rPr>
          <w:spacing w:val="-4"/>
          <w:sz w:val="28"/>
          <w:szCs w:val="28"/>
        </w:rPr>
        <w:t>,</w:t>
      </w:r>
      <w:r w:rsidR="00DB3696" w:rsidRPr="00520861">
        <w:rPr>
          <w:spacing w:val="-4"/>
          <w:sz w:val="28"/>
          <w:szCs w:val="28"/>
        </w:rPr>
        <w:t xml:space="preserve"> й</w:t>
      </w:r>
      <w:r w:rsidR="00F5226F" w:rsidRPr="00520861">
        <w:rPr>
          <w:spacing w:val="-4"/>
          <w:sz w:val="28"/>
          <w:szCs w:val="28"/>
        </w:rPr>
        <w:t xml:space="preserve"> обґрун</w:t>
      </w:r>
      <w:r w:rsidR="00DF3BED" w:rsidRPr="00520861">
        <w:rPr>
          <w:spacing w:val="-4"/>
          <w:sz w:val="28"/>
          <w:szCs w:val="28"/>
        </w:rPr>
        <w:t xml:space="preserve">тувати високу </w:t>
      </w:r>
      <w:r w:rsidR="00DB3696" w:rsidRPr="00520861">
        <w:rPr>
          <w:spacing w:val="-4"/>
          <w:sz w:val="28"/>
          <w:szCs w:val="28"/>
        </w:rPr>
        <w:t xml:space="preserve">поширеність </w:t>
      </w:r>
      <w:r w:rsidR="00DF3BED" w:rsidRPr="00520861">
        <w:rPr>
          <w:spacing w:val="-4"/>
          <w:sz w:val="28"/>
          <w:szCs w:val="28"/>
        </w:rPr>
        <w:t>й</w:t>
      </w:r>
      <w:r w:rsidR="00F5226F" w:rsidRPr="00520861">
        <w:rPr>
          <w:spacing w:val="-4"/>
          <w:sz w:val="28"/>
          <w:szCs w:val="28"/>
        </w:rPr>
        <w:t xml:space="preserve"> особливості перебігу </w:t>
      </w:r>
      <w:r w:rsidR="00703157" w:rsidRPr="00520861">
        <w:rPr>
          <w:spacing w:val="-4"/>
          <w:sz w:val="28"/>
          <w:szCs w:val="28"/>
        </w:rPr>
        <w:t>стома</w:t>
      </w:r>
      <w:r w:rsidR="00DF3BED" w:rsidRPr="00520861">
        <w:rPr>
          <w:spacing w:val="-4"/>
          <w:sz w:val="28"/>
          <w:szCs w:val="28"/>
        </w:rPr>
        <w:t>тологічних порушень у</w:t>
      </w:r>
      <w:r w:rsidR="00703157" w:rsidRPr="00520861">
        <w:rPr>
          <w:spacing w:val="-4"/>
          <w:sz w:val="28"/>
          <w:szCs w:val="28"/>
        </w:rPr>
        <w:t xml:space="preserve"> різних вікових періодах</w:t>
      </w:r>
      <w:r w:rsidR="00F5226F" w:rsidRPr="00520861">
        <w:rPr>
          <w:spacing w:val="-4"/>
          <w:sz w:val="28"/>
          <w:szCs w:val="28"/>
        </w:rPr>
        <w:t>.</w:t>
      </w:r>
    </w:p>
    <w:p w14:paraId="3F1510CE" w14:textId="77777777" w:rsidR="00B37EDC" w:rsidRPr="00520861" w:rsidRDefault="003008FA" w:rsidP="00292D2E">
      <w:pPr>
        <w:widowControl w:val="0"/>
        <w:spacing w:line="360" w:lineRule="auto"/>
        <w:ind w:firstLine="720"/>
        <w:jc w:val="both"/>
        <w:rPr>
          <w:spacing w:val="-7"/>
          <w:sz w:val="28"/>
          <w:szCs w:val="28"/>
        </w:rPr>
      </w:pPr>
      <w:r w:rsidRPr="00520861">
        <w:rPr>
          <w:spacing w:val="-7"/>
          <w:sz w:val="28"/>
          <w:szCs w:val="28"/>
        </w:rPr>
        <w:t xml:space="preserve">Уперше </w:t>
      </w:r>
      <w:r w:rsidR="001F71DC" w:rsidRPr="00520861">
        <w:rPr>
          <w:spacing w:val="-7"/>
          <w:sz w:val="28"/>
          <w:szCs w:val="28"/>
        </w:rPr>
        <w:t>встановлено</w:t>
      </w:r>
      <w:r w:rsidR="00B37EDC" w:rsidRPr="00520861">
        <w:rPr>
          <w:spacing w:val="-7"/>
          <w:sz w:val="28"/>
          <w:szCs w:val="28"/>
        </w:rPr>
        <w:t xml:space="preserve"> наукові </w:t>
      </w:r>
      <w:r w:rsidR="00A624ED" w:rsidRPr="00520861">
        <w:rPr>
          <w:spacing w:val="-7"/>
          <w:sz w:val="28"/>
          <w:szCs w:val="28"/>
        </w:rPr>
        <w:t>дані щодо структури та поширеності</w:t>
      </w:r>
      <w:r w:rsidR="00B37EDC" w:rsidRPr="00520861">
        <w:rPr>
          <w:spacing w:val="-7"/>
          <w:sz w:val="28"/>
          <w:szCs w:val="28"/>
        </w:rPr>
        <w:t xml:space="preserve"> основних стоматологічних захворювань серед осіб, які народилися з </w:t>
      </w:r>
      <w:proofErr w:type="spellStart"/>
      <w:r w:rsidR="00B37EDC" w:rsidRPr="00520861">
        <w:rPr>
          <w:spacing w:val="-7"/>
          <w:sz w:val="28"/>
          <w:szCs w:val="28"/>
        </w:rPr>
        <w:t>макросомією</w:t>
      </w:r>
      <w:proofErr w:type="spellEnd"/>
      <w:r w:rsidR="00B37EDC" w:rsidRPr="00520861">
        <w:rPr>
          <w:spacing w:val="-7"/>
          <w:sz w:val="28"/>
          <w:szCs w:val="28"/>
        </w:rPr>
        <w:t>, у віковому аспекті.</w:t>
      </w:r>
    </w:p>
    <w:p w14:paraId="26327A4A" w14:textId="77777777" w:rsidR="00B540EB" w:rsidRPr="00520861" w:rsidRDefault="003008FA" w:rsidP="00292D2E">
      <w:pPr>
        <w:widowControl w:val="0"/>
        <w:spacing w:line="360" w:lineRule="auto"/>
        <w:ind w:firstLine="720"/>
        <w:jc w:val="both"/>
        <w:rPr>
          <w:sz w:val="28"/>
          <w:szCs w:val="28"/>
        </w:rPr>
      </w:pPr>
      <w:r w:rsidRPr="00520861">
        <w:rPr>
          <w:sz w:val="28"/>
          <w:szCs w:val="28"/>
        </w:rPr>
        <w:t>Уперше о</w:t>
      </w:r>
      <w:r w:rsidR="00B540EB" w:rsidRPr="00520861">
        <w:rPr>
          <w:sz w:val="28"/>
          <w:szCs w:val="28"/>
        </w:rPr>
        <w:t xml:space="preserve">бґрунтовано доцільність використання моделі формування стоматологічних порушень при </w:t>
      </w:r>
      <w:proofErr w:type="spellStart"/>
      <w:r w:rsidR="00B540EB" w:rsidRPr="00520861">
        <w:rPr>
          <w:sz w:val="28"/>
          <w:szCs w:val="28"/>
        </w:rPr>
        <w:t>макросомії</w:t>
      </w:r>
      <w:proofErr w:type="spellEnd"/>
      <w:r w:rsidR="00B540EB" w:rsidRPr="00520861">
        <w:rPr>
          <w:sz w:val="28"/>
          <w:szCs w:val="28"/>
        </w:rPr>
        <w:t xml:space="preserve"> на експериментальних</w:t>
      </w:r>
      <w:r w:rsidR="00DB3696" w:rsidRPr="00520861">
        <w:rPr>
          <w:sz w:val="28"/>
          <w:szCs w:val="28"/>
        </w:rPr>
        <w:t xml:space="preserve"> тваринах за рахунок залучення до</w:t>
      </w:r>
      <w:r w:rsidR="00B540EB" w:rsidRPr="00520861">
        <w:rPr>
          <w:sz w:val="28"/>
          <w:szCs w:val="28"/>
        </w:rPr>
        <w:t xml:space="preserve"> дослідження тварин, у м</w:t>
      </w:r>
      <w:r w:rsidR="00DB3696" w:rsidRPr="00520861">
        <w:rPr>
          <w:sz w:val="28"/>
          <w:szCs w:val="28"/>
        </w:rPr>
        <w:t>атерів яких вагітність перебігала</w:t>
      </w:r>
      <w:r w:rsidR="00B540EB" w:rsidRPr="00520861">
        <w:rPr>
          <w:sz w:val="28"/>
          <w:szCs w:val="28"/>
        </w:rPr>
        <w:t xml:space="preserve"> за </w:t>
      </w:r>
      <w:r w:rsidR="00DB3696" w:rsidRPr="00520861">
        <w:rPr>
          <w:sz w:val="28"/>
          <w:szCs w:val="28"/>
        </w:rPr>
        <w:t>одночасного</w:t>
      </w:r>
      <w:r w:rsidR="00B540EB" w:rsidRPr="00520861">
        <w:rPr>
          <w:sz w:val="28"/>
          <w:szCs w:val="28"/>
        </w:rPr>
        <w:t xml:space="preserve"> впливу гіподинамії та висококалорійного харчування.</w:t>
      </w:r>
    </w:p>
    <w:p w14:paraId="798A3F59" w14:textId="77777777" w:rsidR="00147DBD" w:rsidRPr="00520861" w:rsidRDefault="00B93E2A" w:rsidP="00292D2E">
      <w:pPr>
        <w:widowControl w:val="0"/>
        <w:spacing w:line="360" w:lineRule="auto"/>
        <w:ind w:firstLine="709"/>
        <w:jc w:val="both"/>
        <w:rPr>
          <w:sz w:val="28"/>
          <w:szCs w:val="28"/>
        </w:rPr>
      </w:pPr>
      <w:r w:rsidRPr="00520861">
        <w:rPr>
          <w:sz w:val="28"/>
          <w:szCs w:val="28"/>
        </w:rPr>
        <w:lastRenderedPageBreak/>
        <w:t xml:space="preserve">Уперше за допомогою гістологічних, гістохімічних, </w:t>
      </w:r>
      <w:proofErr w:type="spellStart"/>
      <w:r w:rsidRPr="00520861">
        <w:rPr>
          <w:sz w:val="28"/>
          <w:szCs w:val="28"/>
        </w:rPr>
        <w:t>імуногістохімічних</w:t>
      </w:r>
      <w:proofErr w:type="spellEnd"/>
      <w:r w:rsidRPr="00520861">
        <w:rPr>
          <w:sz w:val="28"/>
          <w:szCs w:val="28"/>
        </w:rPr>
        <w:t xml:space="preserve">, </w:t>
      </w:r>
      <w:r w:rsidR="00F16775" w:rsidRPr="00520861">
        <w:rPr>
          <w:sz w:val="28"/>
          <w:szCs w:val="28"/>
        </w:rPr>
        <w:br/>
      </w:r>
      <w:proofErr w:type="spellStart"/>
      <w:r w:rsidRPr="00520861">
        <w:rPr>
          <w:sz w:val="28"/>
          <w:szCs w:val="28"/>
        </w:rPr>
        <w:t>морфометричних</w:t>
      </w:r>
      <w:proofErr w:type="spellEnd"/>
      <w:r w:rsidRPr="00520861">
        <w:rPr>
          <w:sz w:val="28"/>
          <w:szCs w:val="28"/>
        </w:rPr>
        <w:t xml:space="preserve"> методів на експериментальних моделях</w:t>
      </w:r>
      <w:r w:rsidR="00AD0E0A" w:rsidRPr="00520861">
        <w:rPr>
          <w:sz w:val="28"/>
          <w:szCs w:val="28"/>
        </w:rPr>
        <w:t xml:space="preserve"> </w:t>
      </w:r>
      <w:proofErr w:type="spellStart"/>
      <w:r w:rsidR="00AD0E0A" w:rsidRPr="00520861">
        <w:rPr>
          <w:sz w:val="28"/>
          <w:szCs w:val="28"/>
        </w:rPr>
        <w:t>макросомії</w:t>
      </w:r>
      <w:proofErr w:type="spellEnd"/>
      <w:r w:rsidR="00AD0E0A" w:rsidRPr="00520861">
        <w:rPr>
          <w:sz w:val="28"/>
          <w:szCs w:val="28"/>
        </w:rPr>
        <w:t xml:space="preserve"> </w:t>
      </w:r>
      <w:r w:rsidR="000C5378" w:rsidRPr="00520861">
        <w:rPr>
          <w:sz w:val="28"/>
          <w:szCs w:val="28"/>
        </w:rPr>
        <w:t>плода</w:t>
      </w:r>
      <w:r w:rsidRPr="00520861">
        <w:rPr>
          <w:sz w:val="28"/>
          <w:szCs w:val="28"/>
        </w:rPr>
        <w:t xml:space="preserve"> </w:t>
      </w:r>
      <w:r w:rsidR="00F16775" w:rsidRPr="00520861">
        <w:rPr>
          <w:sz w:val="28"/>
          <w:szCs w:val="28"/>
        </w:rPr>
        <w:br/>
      </w:r>
      <w:r w:rsidRPr="00520861">
        <w:rPr>
          <w:sz w:val="28"/>
          <w:szCs w:val="28"/>
        </w:rPr>
        <w:t>досліджено ультраструктурні зміни м’яких</w:t>
      </w:r>
      <w:r w:rsidR="00F47172" w:rsidRPr="00520861">
        <w:rPr>
          <w:sz w:val="28"/>
          <w:szCs w:val="28"/>
        </w:rPr>
        <w:t xml:space="preserve"> і</w:t>
      </w:r>
      <w:r w:rsidR="009154B0" w:rsidRPr="00520861">
        <w:rPr>
          <w:sz w:val="28"/>
          <w:szCs w:val="28"/>
        </w:rPr>
        <w:t xml:space="preserve"> твердих тканин </w:t>
      </w:r>
      <w:proofErr w:type="spellStart"/>
      <w:r w:rsidR="009154B0" w:rsidRPr="00520861">
        <w:rPr>
          <w:sz w:val="28"/>
          <w:szCs w:val="28"/>
        </w:rPr>
        <w:t>щелепно</w:t>
      </w:r>
      <w:proofErr w:type="spellEnd"/>
      <w:r w:rsidR="009154B0" w:rsidRPr="00520861">
        <w:rPr>
          <w:sz w:val="28"/>
          <w:szCs w:val="28"/>
        </w:rPr>
        <w:t>-лице</w:t>
      </w:r>
      <w:r w:rsidRPr="00520861">
        <w:rPr>
          <w:sz w:val="28"/>
          <w:szCs w:val="28"/>
        </w:rPr>
        <w:t xml:space="preserve">вої </w:t>
      </w:r>
      <w:r w:rsidR="00F16775" w:rsidRPr="00520861">
        <w:rPr>
          <w:sz w:val="28"/>
          <w:szCs w:val="28"/>
        </w:rPr>
        <w:br/>
      </w:r>
      <w:r w:rsidRPr="00520861">
        <w:rPr>
          <w:sz w:val="28"/>
          <w:szCs w:val="28"/>
        </w:rPr>
        <w:t xml:space="preserve">ділянки, </w:t>
      </w:r>
      <w:proofErr w:type="spellStart"/>
      <w:r w:rsidRPr="00520861">
        <w:rPr>
          <w:sz w:val="28"/>
          <w:szCs w:val="28"/>
        </w:rPr>
        <w:t>гемо</w:t>
      </w:r>
      <w:r w:rsidR="00F47172" w:rsidRPr="00520861">
        <w:rPr>
          <w:sz w:val="28"/>
          <w:szCs w:val="28"/>
        </w:rPr>
        <w:t>динамічні</w:t>
      </w:r>
      <w:proofErr w:type="spellEnd"/>
      <w:r w:rsidR="00F47172" w:rsidRPr="00520861">
        <w:rPr>
          <w:sz w:val="28"/>
          <w:szCs w:val="28"/>
        </w:rPr>
        <w:t xml:space="preserve"> й</w:t>
      </w:r>
      <w:r w:rsidRPr="00520861">
        <w:rPr>
          <w:sz w:val="28"/>
          <w:szCs w:val="28"/>
        </w:rPr>
        <w:t xml:space="preserve"> ультраструктурні зміни в ендотелії судин. </w:t>
      </w:r>
      <w:r w:rsidR="00F47172" w:rsidRPr="00520861">
        <w:rPr>
          <w:sz w:val="28"/>
          <w:szCs w:val="28"/>
        </w:rPr>
        <w:t>Це дало змогу</w:t>
      </w:r>
      <w:r w:rsidR="00AD0E0A" w:rsidRPr="00520861">
        <w:rPr>
          <w:sz w:val="28"/>
          <w:szCs w:val="28"/>
        </w:rPr>
        <w:t xml:space="preserve"> виявити особливості патогенезу стоматологічних порушень за впливу </w:t>
      </w:r>
      <w:proofErr w:type="spellStart"/>
      <w:r w:rsidR="00AD0E0A" w:rsidRPr="00520861">
        <w:rPr>
          <w:sz w:val="28"/>
          <w:szCs w:val="28"/>
        </w:rPr>
        <w:t>макросомії</w:t>
      </w:r>
      <w:proofErr w:type="spellEnd"/>
      <w:r w:rsidR="00AD0E0A" w:rsidRPr="00520861">
        <w:rPr>
          <w:sz w:val="28"/>
          <w:szCs w:val="28"/>
        </w:rPr>
        <w:t>.</w:t>
      </w:r>
    </w:p>
    <w:p w14:paraId="47AD2AB3" w14:textId="77777777" w:rsidR="00B93E2A" w:rsidRPr="00520861" w:rsidRDefault="00B93E2A" w:rsidP="00292D2E">
      <w:pPr>
        <w:widowControl w:val="0"/>
        <w:spacing w:line="360" w:lineRule="auto"/>
        <w:ind w:firstLine="709"/>
        <w:jc w:val="both"/>
        <w:rPr>
          <w:sz w:val="28"/>
          <w:szCs w:val="28"/>
        </w:rPr>
      </w:pPr>
      <w:r w:rsidRPr="00520861">
        <w:rPr>
          <w:sz w:val="28"/>
          <w:szCs w:val="28"/>
        </w:rPr>
        <w:t xml:space="preserve">Уперше за допомогою вивчення тривимірної структури з використанням </w:t>
      </w:r>
      <w:r w:rsidR="000E2D71" w:rsidRPr="00520861">
        <w:rPr>
          <w:sz w:val="28"/>
          <w:szCs w:val="28"/>
        </w:rPr>
        <w:br/>
      </w:r>
      <w:r w:rsidRPr="00520861">
        <w:rPr>
          <w:sz w:val="28"/>
          <w:szCs w:val="28"/>
        </w:rPr>
        <w:t xml:space="preserve">конфокальної мікроскопії досліджуваних зразків на експериментальних моделях </w:t>
      </w:r>
      <w:r w:rsidR="00DF3BED" w:rsidRPr="00520861">
        <w:rPr>
          <w:sz w:val="28"/>
          <w:szCs w:val="28"/>
        </w:rPr>
        <w:br/>
      </w:r>
      <w:r w:rsidR="00F47172" w:rsidRPr="00520861">
        <w:rPr>
          <w:sz w:val="28"/>
          <w:szCs w:val="28"/>
        </w:rPr>
        <w:t>підтверджено та візуалізовано</w:t>
      </w:r>
      <w:r w:rsidRPr="00520861">
        <w:rPr>
          <w:sz w:val="28"/>
          <w:szCs w:val="28"/>
        </w:rPr>
        <w:t xml:space="preserve"> ультраструктурні зміни в тканинах привушних</w:t>
      </w:r>
      <w:r w:rsidR="00713082" w:rsidRPr="00520861">
        <w:rPr>
          <w:sz w:val="28"/>
          <w:szCs w:val="28"/>
        </w:rPr>
        <w:t xml:space="preserve"> </w:t>
      </w:r>
      <w:r w:rsidR="00A75C81" w:rsidRPr="00520861">
        <w:rPr>
          <w:sz w:val="28"/>
          <w:szCs w:val="28"/>
        </w:rPr>
        <w:br/>
      </w:r>
      <w:r w:rsidR="00713082" w:rsidRPr="00520861">
        <w:rPr>
          <w:sz w:val="28"/>
          <w:szCs w:val="28"/>
        </w:rPr>
        <w:t>слинних залоз</w:t>
      </w:r>
      <w:r w:rsidR="00F47172" w:rsidRPr="00520861">
        <w:rPr>
          <w:sz w:val="28"/>
          <w:szCs w:val="28"/>
        </w:rPr>
        <w:t xml:space="preserve"> і</w:t>
      </w:r>
      <w:r w:rsidRPr="00520861">
        <w:rPr>
          <w:sz w:val="28"/>
          <w:szCs w:val="28"/>
        </w:rPr>
        <w:t xml:space="preserve"> </w:t>
      </w:r>
      <w:r w:rsidR="00713082" w:rsidRPr="00520861">
        <w:rPr>
          <w:sz w:val="28"/>
          <w:szCs w:val="28"/>
        </w:rPr>
        <w:t>слизової оболонки ротової порожнини, зокрема</w:t>
      </w:r>
      <w:r w:rsidR="00174453" w:rsidRPr="00520861">
        <w:rPr>
          <w:sz w:val="28"/>
          <w:szCs w:val="28"/>
        </w:rPr>
        <w:t xml:space="preserve"> </w:t>
      </w:r>
      <w:r w:rsidRPr="00520861">
        <w:rPr>
          <w:sz w:val="28"/>
          <w:szCs w:val="28"/>
        </w:rPr>
        <w:t>малих (молярних) слинних</w:t>
      </w:r>
      <w:r w:rsidR="00491055" w:rsidRPr="00520861">
        <w:rPr>
          <w:sz w:val="28"/>
          <w:szCs w:val="28"/>
        </w:rPr>
        <w:t xml:space="preserve"> </w:t>
      </w:r>
      <w:r w:rsidRPr="00520861">
        <w:rPr>
          <w:sz w:val="28"/>
          <w:szCs w:val="28"/>
        </w:rPr>
        <w:t>залоз</w:t>
      </w:r>
      <w:r w:rsidR="00DF3BED" w:rsidRPr="00520861">
        <w:rPr>
          <w:sz w:val="28"/>
          <w:szCs w:val="28"/>
        </w:rPr>
        <w:t>,</w:t>
      </w:r>
      <w:r w:rsidRPr="00520861">
        <w:rPr>
          <w:sz w:val="28"/>
          <w:szCs w:val="28"/>
        </w:rPr>
        <w:t xml:space="preserve"> за впливу </w:t>
      </w:r>
      <w:proofErr w:type="spellStart"/>
      <w:r w:rsidRPr="00520861">
        <w:rPr>
          <w:sz w:val="28"/>
          <w:szCs w:val="28"/>
        </w:rPr>
        <w:t>макросомії</w:t>
      </w:r>
      <w:proofErr w:type="spellEnd"/>
      <w:r w:rsidRPr="00520861">
        <w:rPr>
          <w:sz w:val="28"/>
          <w:szCs w:val="28"/>
        </w:rPr>
        <w:t xml:space="preserve"> </w:t>
      </w:r>
      <w:r w:rsidR="000C5378" w:rsidRPr="00520861">
        <w:rPr>
          <w:sz w:val="28"/>
          <w:szCs w:val="28"/>
        </w:rPr>
        <w:t>плода</w:t>
      </w:r>
      <w:r w:rsidRPr="00520861">
        <w:rPr>
          <w:sz w:val="28"/>
          <w:szCs w:val="28"/>
        </w:rPr>
        <w:t xml:space="preserve">. </w:t>
      </w:r>
    </w:p>
    <w:p w14:paraId="594BE81F" w14:textId="77777777" w:rsidR="00A123AB" w:rsidRPr="00520861" w:rsidRDefault="003008FA" w:rsidP="00292D2E">
      <w:pPr>
        <w:widowControl w:val="0"/>
        <w:spacing w:line="360" w:lineRule="auto"/>
        <w:ind w:firstLine="708"/>
        <w:jc w:val="both"/>
        <w:rPr>
          <w:sz w:val="28"/>
          <w:szCs w:val="28"/>
        </w:rPr>
      </w:pPr>
      <w:r w:rsidRPr="00520861">
        <w:rPr>
          <w:sz w:val="28"/>
          <w:szCs w:val="28"/>
        </w:rPr>
        <w:t>Уперше р</w:t>
      </w:r>
      <w:r w:rsidR="00F47172" w:rsidRPr="00520861">
        <w:rPr>
          <w:sz w:val="28"/>
          <w:szCs w:val="28"/>
        </w:rPr>
        <w:t>озроблено</w:t>
      </w:r>
      <w:r w:rsidR="00A123AB" w:rsidRPr="00520861">
        <w:rPr>
          <w:sz w:val="28"/>
          <w:szCs w:val="28"/>
        </w:rPr>
        <w:t xml:space="preserve"> </w:t>
      </w:r>
      <w:r w:rsidR="00DF3BED" w:rsidRPr="00520861">
        <w:rPr>
          <w:sz w:val="28"/>
          <w:szCs w:val="28"/>
        </w:rPr>
        <w:t>скри</w:t>
      </w:r>
      <w:r w:rsidR="00D543DF" w:rsidRPr="00520861">
        <w:rPr>
          <w:sz w:val="28"/>
          <w:szCs w:val="28"/>
        </w:rPr>
        <w:t>нінг-</w:t>
      </w:r>
      <w:r w:rsidR="00A123AB" w:rsidRPr="00520861">
        <w:rPr>
          <w:sz w:val="28"/>
          <w:szCs w:val="28"/>
        </w:rPr>
        <w:t>опитувальники</w:t>
      </w:r>
      <w:r w:rsidR="001E4556" w:rsidRPr="00520861">
        <w:rPr>
          <w:sz w:val="28"/>
          <w:szCs w:val="28"/>
        </w:rPr>
        <w:t xml:space="preserve"> для </w:t>
      </w:r>
      <w:r w:rsidR="00B37EDC" w:rsidRPr="00520861">
        <w:rPr>
          <w:sz w:val="28"/>
          <w:szCs w:val="28"/>
        </w:rPr>
        <w:t xml:space="preserve">респондентів </w:t>
      </w:r>
      <w:r w:rsidR="001E4556" w:rsidRPr="00520861">
        <w:rPr>
          <w:sz w:val="28"/>
          <w:szCs w:val="28"/>
        </w:rPr>
        <w:t>різних вікових катег</w:t>
      </w:r>
      <w:r w:rsidR="006A740D" w:rsidRPr="00520861">
        <w:rPr>
          <w:sz w:val="28"/>
          <w:szCs w:val="28"/>
        </w:rPr>
        <w:t>о</w:t>
      </w:r>
      <w:r w:rsidR="001E4556" w:rsidRPr="00520861">
        <w:rPr>
          <w:sz w:val="28"/>
          <w:szCs w:val="28"/>
        </w:rPr>
        <w:t xml:space="preserve">рій </w:t>
      </w:r>
      <w:r w:rsidR="00A123AB" w:rsidRPr="00520861">
        <w:rPr>
          <w:sz w:val="28"/>
          <w:szCs w:val="28"/>
        </w:rPr>
        <w:t>та шля</w:t>
      </w:r>
      <w:r w:rsidR="00150F8A" w:rsidRPr="00520861">
        <w:rPr>
          <w:sz w:val="28"/>
          <w:szCs w:val="28"/>
        </w:rPr>
        <w:t xml:space="preserve">хом застосування </w:t>
      </w:r>
      <w:r w:rsidR="00A123AB" w:rsidRPr="00520861">
        <w:rPr>
          <w:sz w:val="28"/>
          <w:szCs w:val="28"/>
        </w:rPr>
        <w:t xml:space="preserve">опитувального методу </w:t>
      </w:r>
      <w:r w:rsidR="006A740D" w:rsidRPr="00520861">
        <w:rPr>
          <w:sz w:val="28"/>
          <w:szCs w:val="28"/>
        </w:rPr>
        <w:t>в</w:t>
      </w:r>
      <w:r w:rsidR="00F47172" w:rsidRPr="00520861">
        <w:rPr>
          <w:sz w:val="28"/>
          <w:szCs w:val="28"/>
        </w:rPr>
        <w:t>перше отримано</w:t>
      </w:r>
      <w:r w:rsidR="00174453" w:rsidRPr="00520861">
        <w:rPr>
          <w:sz w:val="28"/>
          <w:szCs w:val="28"/>
        </w:rPr>
        <w:t xml:space="preserve"> </w:t>
      </w:r>
      <w:r w:rsidR="00A123AB" w:rsidRPr="00520861">
        <w:rPr>
          <w:sz w:val="28"/>
          <w:szCs w:val="28"/>
        </w:rPr>
        <w:t xml:space="preserve">наукові дані щодо </w:t>
      </w:r>
      <w:r w:rsidR="006A740D" w:rsidRPr="00520861">
        <w:rPr>
          <w:sz w:val="28"/>
          <w:szCs w:val="28"/>
        </w:rPr>
        <w:t>ступе</w:t>
      </w:r>
      <w:r w:rsidR="001E4556" w:rsidRPr="00520861">
        <w:rPr>
          <w:sz w:val="28"/>
          <w:szCs w:val="28"/>
        </w:rPr>
        <w:t>н</w:t>
      </w:r>
      <w:r w:rsidR="00715E55" w:rsidRPr="00520861">
        <w:rPr>
          <w:sz w:val="28"/>
          <w:szCs w:val="28"/>
        </w:rPr>
        <w:t>я</w:t>
      </w:r>
      <w:r w:rsidR="001E4556" w:rsidRPr="00520861">
        <w:rPr>
          <w:sz w:val="28"/>
          <w:szCs w:val="28"/>
        </w:rPr>
        <w:t xml:space="preserve"> ризику виникнення патології тканин </w:t>
      </w:r>
      <w:proofErr w:type="spellStart"/>
      <w:r w:rsidR="001E4556" w:rsidRPr="00520861">
        <w:rPr>
          <w:sz w:val="28"/>
          <w:szCs w:val="28"/>
        </w:rPr>
        <w:t>пародонта</w:t>
      </w:r>
      <w:proofErr w:type="spellEnd"/>
      <w:r w:rsidR="001E4556" w:rsidRPr="00520861">
        <w:rPr>
          <w:sz w:val="28"/>
          <w:szCs w:val="28"/>
        </w:rPr>
        <w:t xml:space="preserve"> та твердих тканин зубів, пов’язаного з </w:t>
      </w:r>
      <w:proofErr w:type="spellStart"/>
      <w:r w:rsidR="001E4556" w:rsidRPr="00520861">
        <w:rPr>
          <w:sz w:val="28"/>
          <w:szCs w:val="28"/>
        </w:rPr>
        <w:t>перинатальною</w:t>
      </w:r>
      <w:proofErr w:type="spellEnd"/>
      <w:r w:rsidR="001E4556" w:rsidRPr="00520861">
        <w:rPr>
          <w:sz w:val="28"/>
          <w:szCs w:val="28"/>
        </w:rPr>
        <w:t xml:space="preserve"> патологією в анамнезі, спадковістю, рівнем </w:t>
      </w:r>
      <w:r w:rsidR="005C4560" w:rsidRPr="00520861">
        <w:rPr>
          <w:sz w:val="28"/>
          <w:szCs w:val="28"/>
        </w:rPr>
        <w:br/>
      </w:r>
      <w:r w:rsidR="001E4556" w:rsidRPr="00520861">
        <w:rPr>
          <w:sz w:val="28"/>
          <w:szCs w:val="28"/>
        </w:rPr>
        <w:t xml:space="preserve">гігієни ротової порожнини, конституцією пацієнта, супутньою патологією, шкідливими звичками, медикаментозною терапією, характером харчування, фізичним </w:t>
      </w:r>
      <w:r w:rsidR="005C4560" w:rsidRPr="00520861">
        <w:rPr>
          <w:sz w:val="28"/>
          <w:szCs w:val="28"/>
        </w:rPr>
        <w:br/>
      </w:r>
      <w:r w:rsidR="001E4556" w:rsidRPr="00520861">
        <w:rPr>
          <w:sz w:val="28"/>
          <w:szCs w:val="28"/>
        </w:rPr>
        <w:t>навантаженням</w:t>
      </w:r>
      <w:r w:rsidR="0038309D" w:rsidRPr="00520861">
        <w:rPr>
          <w:sz w:val="28"/>
          <w:szCs w:val="28"/>
        </w:rPr>
        <w:t>, а також ступенем</w:t>
      </w:r>
      <w:r w:rsidR="001E4556" w:rsidRPr="00520861">
        <w:rPr>
          <w:sz w:val="28"/>
          <w:szCs w:val="28"/>
        </w:rPr>
        <w:t xml:space="preserve"> впливу мате</w:t>
      </w:r>
      <w:r w:rsidR="003B4A10" w:rsidRPr="00520861">
        <w:rPr>
          <w:sz w:val="28"/>
          <w:szCs w:val="28"/>
        </w:rPr>
        <w:t xml:space="preserve">ринського або батькового </w:t>
      </w:r>
      <w:proofErr w:type="spellStart"/>
      <w:r w:rsidR="003B4A10" w:rsidRPr="00520861">
        <w:rPr>
          <w:sz w:val="28"/>
          <w:szCs w:val="28"/>
        </w:rPr>
        <w:t>фактора</w:t>
      </w:r>
      <w:proofErr w:type="spellEnd"/>
      <w:r w:rsidR="001E4556" w:rsidRPr="00520861">
        <w:rPr>
          <w:sz w:val="28"/>
          <w:szCs w:val="28"/>
        </w:rPr>
        <w:t xml:space="preserve"> на формування стоматологічних порушень</w:t>
      </w:r>
      <w:r w:rsidR="00710DB1" w:rsidRPr="00520861">
        <w:rPr>
          <w:sz w:val="28"/>
          <w:szCs w:val="28"/>
        </w:rPr>
        <w:t xml:space="preserve"> в</w:t>
      </w:r>
      <w:r w:rsidR="001E4556" w:rsidRPr="00520861">
        <w:rPr>
          <w:sz w:val="28"/>
          <w:szCs w:val="28"/>
        </w:rPr>
        <w:t xml:space="preserve"> осіб</w:t>
      </w:r>
      <w:r w:rsidR="00A123AB" w:rsidRPr="00520861">
        <w:rPr>
          <w:sz w:val="28"/>
          <w:szCs w:val="28"/>
        </w:rPr>
        <w:t>, які народилися з</w:t>
      </w:r>
      <w:r w:rsidR="001E4556" w:rsidRPr="00520861">
        <w:rPr>
          <w:sz w:val="28"/>
          <w:szCs w:val="28"/>
        </w:rPr>
        <w:t xml:space="preserve"> </w:t>
      </w:r>
      <w:proofErr w:type="spellStart"/>
      <w:r w:rsidR="001E4556" w:rsidRPr="00520861">
        <w:rPr>
          <w:sz w:val="28"/>
          <w:szCs w:val="28"/>
        </w:rPr>
        <w:t>макросомією</w:t>
      </w:r>
      <w:proofErr w:type="spellEnd"/>
      <w:r w:rsidR="00A123AB" w:rsidRPr="00520861">
        <w:rPr>
          <w:sz w:val="28"/>
          <w:szCs w:val="28"/>
        </w:rPr>
        <w:t>.</w:t>
      </w:r>
    </w:p>
    <w:p w14:paraId="5014D7F5" w14:textId="77777777" w:rsidR="009C259C" w:rsidRPr="00520861" w:rsidRDefault="009C259C" w:rsidP="00292D2E">
      <w:pPr>
        <w:widowControl w:val="0"/>
        <w:spacing w:line="360" w:lineRule="auto"/>
        <w:ind w:firstLine="708"/>
        <w:jc w:val="both"/>
        <w:rPr>
          <w:sz w:val="28"/>
          <w:szCs w:val="28"/>
        </w:rPr>
      </w:pPr>
      <w:r w:rsidRPr="00520861">
        <w:rPr>
          <w:sz w:val="28"/>
          <w:szCs w:val="28"/>
        </w:rPr>
        <w:t xml:space="preserve">Уперше проведено комплексне </w:t>
      </w:r>
      <w:r w:rsidR="00B37EDC" w:rsidRPr="00520861">
        <w:rPr>
          <w:sz w:val="28"/>
          <w:szCs w:val="28"/>
        </w:rPr>
        <w:t>клініко-лабораторне дослідження</w:t>
      </w:r>
      <w:r w:rsidRPr="00520861">
        <w:rPr>
          <w:sz w:val="28"/>
          <w:szCs w:val="28"/>
        </w:rPr>
        <w:t xml:space="preserve"> імунологічного, значного спектра метаболічних показників та фізико-хімічних параметрів</w:t>
      </w:r>
      <w:r w:rsidR="00F47172" w:rsidRPr="00520861">
        <w:rPr>
          <w:sz w:val="28"/>
          <w:szCs w:val="28"/>
        </w:rPr>
        <w:t>,</w:t>
      </w:r>
      <w:r w:rsidRPr="00520861">
        <w:rPr>
          <w:sz w:val="28"/>
          <w:szCs w:val="28"/>
        </w:rPr>
        <w:t xml:space="preserve"> </w:t>
      </w:r>
      <w:r w:rsidR="005C4560" w:rsidRPr="00520861">
        <w:rPr>
          <w:sz w:val="28"/>
          <w:szCs w:val="28"/>
        </w:rPr>
        <w:br/>
      </w:r>
      <w:r w:rsidRPr="00520861">
        <w:rPr>
          <w:sz w:val="28"/>
          <w:szCs w:val="28"/>
        </w:rPr>
        <w:t>аргументовано інформативність оцінюванн</w:t>
      </w:r>
      <w:r w:rsidR="004B1CEC" w:rsidRPr="00520861">
        <w:rPr>
          <w:sz w:val="28"/>
          <w:szCs w:val="28"/>
        </w:rPr>
        <w:t xml:space="preserve">я організму, зокрема стану </w:t>
      </w:r>
      <w:proofErr w:type="spellStart"/>
      <w:r w:rsidR="00F47172" w:rsidRPr="00520861">
        <w:rPr>
          <w:sz w:val="28"/>
          <w:szCs w:val="28"/>
        </w:rPr>
        <w:t>зубощелепного</w:t>
      </w:r>
      <w:proofErr w:type="spellEnd"/>
      <w:r w:rsidRPr="00520861">
        <w:rPr>
          <w:sz w:val="28"/>
          <w:szCs w:val="28"/>
        </w:rPr>
        <w:t xml:space="preserve"> апарату, за показниками ротової рідини та проведено аналіз для виявлення </w:t>
      </w:r>
      <w:r w:rsidR="00574635" w:rsidRPr="00520861">
        <w:rPr>
          <w:sz w:val="28"/>
          <w:szCs w:val="28"/>
        </w:rPr>
        <w:br/>
      </w:r>
      <w:r w:rsidRPr="00520861">
        <w:rPr>
          <w:sz w:val="28"/>
          <w:szCs w:val="28"/>
        </w:rPr>
        <w:t xml:space="preserve">залежності між вищезазначеними параметрами в ротовій рідині </w:t>
      </w:r>
      <w:r w:rsidR="00710DB1" w:rsidRPr="00520861">
        <w:rPr>
          <w:sz w:val="28"/>
          <w:szCs w:val="28"/>
        </w:rPr>
        <w:t>й</w:t>
      </w:r>
      <w:r w:rsidRPr="00520861">
        <w:rPr>
          <w:sz w:val="28"/>
          <w:szCs w:val="28"/>
        </w:rPr>
        <w:t xml:space="preserve"> стоматологічними порушеннями в осіб, які народилися з </w:t>
      </w:r>
      <w:proofErr w:type="spellStart"/>
      <w:r w:rsidRPr="00520861">
        <w:rPr>
          <w:sz w:val="28"/>
          <w:szCs w:val="28"/>
        </w:rPr>
        <w:t>макросомією</w:t>
      </w:r>
      <w:proofErr w:type="spellEnd"/>
      <w:r w:rsidRPr="00520861">
        <w:rPr>
          <w:sz w:val="28"/>
          <w:szCs w:val="28"/>
        </w:rPr>
        <w:t>.</w:t>
      </w:r>
    </w:p>
    <w:p w14:paraId="4AADC505" w14:textId="77777777" w:rsidR="00D6238C" w:rsidRPr="00520861" w:rsidRDefault="00D6238C" w:rsidP="00292D2E">
      <w:pPr>
        <w:widowControl w:val="0"/>
        <w:spacing w:line="360" w:lineRule="auto"/>
        <w:ind w:right="-1" w:firstLine="709"/>
        <w:jc w:val="both"/>
        <w:rPr>
          <w:sz w:val="28"/>
          <w:szCs w:val="28"/>
        </w:rPr>
      </w:pPr>
      <w:r w:rsidRPr="00520861">
        <w:rPr>
          <w:sz w:val="28"/>
          <w:szCs w:val="28"/>
        </w:rPr>
        <w:t>Уперше для осіб,</w:t>
      </w:r>
      <w:r w:rsidR="000E0CC7" w:rsidRPr="00520861">
        <w:rPr>
          <w:sz w:val="28"/>
          <w:szCs w:val="28"/>
        </w:rPr>
        <w:t xml:space="preserve"> які народилися з </w:t>
      </w:r>
      <w:proofErr w:type="spellStart"/>
      <w:r w:rsidR="000E0CC7" w:rsidRPr="00520861">
        <w:rPr>
          <w:sz w:val="28"/>
          <w:szCs w:val="28"/>
        </w:rPr>
        <w:t>макросомією</w:t>
      </w:r>
      <w:proofErr w:type="spellEnd"/>
      <w:r w:rsidR="000E0CC7" w:rsidRPr="00520861">
        <w:rPr>
          <w:sz w:val="28"/>
          <w:szCs w:val="28"/>
        </w:rPr>
        <w:t>, установлено та запропоновано як діагностичні маркери відмінності в</w:t>
      </w:r>
      <w:r w:rsidRPr="00520861">
        <w:rPr>
          <w:sz w:val="28"/>
          <w:szCs w:val="28"/>
        </w:rPr>
        <w:t xml:space="preserve"> розподілі частот</w:t>
      </w:r>
      <w:r w:rsidR="00F622A1" w:rsidRPr="00520861">
        <w:rPr>
          <w:sz w:val="28"/>
          <w:szCs w:val="28"/>
        </w:rPr>
        <w:t xml:space="preserve"> генотипів й </w:t>
      </w:r>
      <w:proofErr w:type="spellStart"/>
      <w:r w:rsidR="00DB4C96" w:rsidRPr="00520861">
        <w:rPr>
          <w:sz w:val="28"/>
          <w:szCs w:val="28"/>
        </w:rPr>
        <w:t>алелей</w:t>
      </w:r>
      <w:proofErr w:type="spellEnd"/>
      <w:r w:rsidRPr="00520861">
        <w:rPr>
          <w:sz w:val="28"/>
          <w:szCs w:val="28"/>
        </w:rPr>
        <w:t xml:space="preserve"> </w:t>
      </w:r>
      <w:r w:rsidR="005C4560" w:rsidRPr="00520861">
        <w:rPr>
          <w:sz w:val="28"/>
          <w:szCs w:val="28"/>
        </w:rPr>
        <w:br/>
      </w:r>
      <w:r w:rsidRPr="00520861">
        <w:rPr>
          <w:sz w:val="28"/>
          <w:szCs w:val="28"/>
        </w:rPr>
        <w:t xml:space="preserve">поліморфних варіантів генів-кандидатів, які є генетичними маркерами порушень </w:t>
      </w:r>
      <w:proofErr w:type="spellStart"/>
      <w:r w:rsidRPr="00520861">
        <w:rPr>
          <w:sz w:val="28"/>
          <w:szCs w:val="28"/>
        </w:rPr>
        <w:t>стоматогнатичної</w:t>
      </w:r>
      <w:proofErr w:type="spellEnd"/>
      <w:r w:rsidRPr="00520861">
        <w:rPr>
          <w:sz w:val="28"/>
          <w:szCs w:val="28"/>
        </w:rPr>
        <w:t xml:space="preserve"> системи та, зокрема, відхилення від регіональних норм термінів прорізування тимчасових зубів, високої </w:t>
      </w:r>
      <w:r w:rsidR="00D540E2" w:rsidRPr="00520861">
        <w:rPr>
          <w:sz w:val="28"/>
          <w:szCs w:val="28"/>
        </w:rPr>
        <w:t>інтенсивності</w:t>
      </w:r>
      <w:r w:rsidR="000E0CC7" w:rsidRPr="00520861">
        <w:rPr>
          <w:sz w:val="28"/>
          <w:szCs w:val="28"/>
        </w:rPr>
        <w:t xml:space="preserve"> карієсу тимчасових і</w:t>
      </w:r>
      <w:r w:rsidRPr="00520861">
        <w:rPr>
          <w:sz w:val="28"/>
          <w:szCs w:val="28"/>
        </w:rPr>
        <w:t xml:space="preserve"> постійних зубів, різних варіантів перебігу захворювань тканин </w:t>
      </w:r>
      <w:proofErr w:type="spellStart"/>
      <w:r w:rsidRPr="00520861">
        <w:rPr>
          <w:sz w:val="28"/>
          <w:szCs w:val="28"/>
        </w:rPr>
        <w:t>пародонта</w:t>
      </w:r>
      <w:proofErr w:type="spellEnd"/>
      <w:r w:rsidRPr="00520861">
        <w:rPr>
          <w:sz w:val="28"/>
          <w:szCs w:val="28"/>
        </w:rPr>
        <w:t>.</w:t>
      </w:r>
    </w:p>
    <w:p w14:paraId="076C23B1" w14:textId="77777777" w:rsidR="00491055" w:rsidRPr="00520861" w:rsidRDefault="003008FA" w:rsidP="00292D2E">
      <w:pPr>
        <w:widowControl w:val="0"/>
        <w:spacing w:line="360" w:lineRule="auto"/>
        <w:ind w:firstLine="720"/>
        <w:jc w:val="both"/>
        <w:rPr>
          <w:sz w:val="28"/>
          <w:szCs w:val="28"/>
        </w:rPr>
      </w:pPr>
      <w:r w:rsidRPr="00520861">
        <w:rPr>
          <w:sz w:val="28"/>
          <w:szCs w:val="28"/>
        </w:rPr>
        <w:lastRenderedPageBreak/>
        <w:t>Уперше с</w:t>
      </w:r>
      <w:r w:rsidR="00261925" w:rsidRPr="00520861">
        <w:rPr>
          <w:sz w:val="28"/>
          <w:szCs w:val="28"/>
        </w:rPr>
        <w:t>творено концепцію</w:t>
      </w:r>
      <w:r w:rsidR="00491055" w:rsidRPr="00520861">
        <w:rPr>
          <w:sz w:val="28"/>
          <w:szCs w:val="28"/>
        </w:rPr>
        <w:t xml:space="preserve">, </w:t>
      </w:r>
      <w:r w:rsidR="00714747" w:rsidRPr="00520861">
        <w:rPr>
          <w:sz w:val="28"/>
          <w:szCs w:val="28"/>
        </w:rPr>
        <w:t>що</w:t>
      </w:r>
      <w:r w:rsidR="00491055" w:rsidRPr="00520861">
        <w:rPr>
          <w:sz w:val="28"/>
          <w:szCs w:val="28"/>
        </w:rPr>
        <w:t xml:space="preserve"> узагальнює використання прогностичних</w:t>
      </w:r>
      <w:r w:rsidR="00AF6E97" w:rsidRPr="00520861">
        <w:rPr>
          <w:sz w:val="28"/>
          <w:szCs w:val="28"/>
        </w:rPr>
        <w:t xml:space="preserve"> </w:t>
      </w:r>
      <w:r w:rsidR="00F16775" w:rsidRPr="00520861">
        <w:rPr>
          <w:sz w:val="28"/>
          <w:szCs w:val="28"/>
        </w:rPr>
        <w:br/>
      </w:r>
      <w:r w:rsidR="00491055" w:rsidRPr="00520861">
        <w:rPr>
          <w:sz w:val="28"/>
          <w:szCs w:val="28"/>
        </w:rPr>
        <w:t>маркерів для осіб різних вікових</w:t>
      </w:r>
      <w:r w:rsidR="00174453" w:rsidRPr="00520861">
        <w:rPr>
          <w:sz w:val="28"/>
          <w:szCs w:val="28"/>
        </w:rPr>
        <w:t xml:space="preserve"> </w:t>
      </w:r>
      <w:r w:rsidR="00F15168" w:rsidRPr="00520861">
        <w:rPr>
          <w:sz w:val="28"/>
          <w:szCs w:val="28"/>
        </w:rPr>
        <w:t>періодів</w:t>
      </w:r>
      <w:r w:rsidR="00491055" w:rsidRPr="00520861">
        <w:rPr>
          <w:sz w:val="28"/>
          <w:szCs w:val="28"/>
        </w:rPr>
        <w:t xml:space="preserve"> (на різних етапах розвитку </w:t>
      </w:r>
      <w:proofErr w:type="spellStart"/>
      <w:r w:rsidR="00F15168" w:rsidRPr="00520861">
        <w:rPr>
          <w:sz w:val="28"/>
          <w:szCs w:val="28"/>
        </w:rPr>
        <w:t>зубощелепної</w:t>
      </w:r>
      <w:proofErr w:type="spellEnd"/>
      <w:r w:rsidR="00F15168" w:rsidRPr="00520861">
        <w:rPr>
          <w:sz w:val="28"/>
          <w:szCs w:val="28"/>
        </w:rPr>
        <w:t xml:space="preserve"> системи), яка</w:t>
      </w:r>
      <w:r w:rsidR="004909DD" w:rsidRPr="00520861">
        <w:rPr>
          <w:sz w:val="28"/>
          <w:szCs w:val="28"/>
        </w:rPr>
        <w:t xml:space="preserve"> встановлює</w:t>
      </w:r>
      <w:r w:rsidR="00491055" w:rsidRPr="00520861">
        <w:rPr>
          <w:sz w:val="28"/>
          <w:szCs w:val="28"/>
        </w:rPr>
        <w:t xml:space="preserve"> залежність формування стоматологічних порушень від </w:t>
      </w:r>
      <w:r w:rsidR="005C4560" w:rsidRPr="00520861">
        <w:rPr>
          <w:sz w:val="28"/>
          <w:szCs w:val="28"/>
        </w:rPr>
        <w:br/>
      </w:r>
      <w:r w:rsidR="00491055" w:rsidRPr="00520861">
        <w:rPr>
          <w:sz w:val="28"/>
          <w:szCs w:val="28"/>
        </w:rPr>
        <w:t>особливостей перебі</w:t>
      </w:r>
      <w:r w:rsidR="00714747" w:rsidRPr="00520861">
        <w:rPr>
          <w:sz w:val="28"/>
          <w:szCs w:val="28"/>
        </w:rPr>
        <w:t>гу внутрішньоутробного періоду в</w:t>
      </w:r>
      <w:r w:rsidR="00991143" w:rsidRPr="00520861">
        <w:rPr>
          <w:sz w:val="28"/>
          <w:szCs w:val="28"/>
        </w:rPr>
        <w:t xml:space="preserve"> осіб, які народилися</w:t>
      </w:r>
      <w:r w:rsidR="00491055" w:rsidRPr="00520861">
        <w:rPr>
          <w:sz w:val="28"/>
          <w:szCs w:val="28"/>
        </w:rPr>
        <w:t xml:space="preserve"> </w:t>
      </w:r>
      <w:proofErr w:type="spellStart"/>
      <w:r w:rsidR="00491055" w:rsidRPr="00520861">
        <w:rPr>
          <w:sz w:val="28"/>
          <w:szCs w:val="28"/>
        </w:rPr>
        <w:t>макросомами</w:t>
      </w:r>
      <w:proofErr w:type="spellEnd"/>
      <w:r w:rsidR="00491055" w:rsidRPr="00520861">
        <w:rPr>
          <w:sz w:val="28"/>
          <w:szCs w:val="28"/>
        </w:rPr>
        <w:t xml:space="preserve">, а саме від гармонійного внутрішньоутробного набору маси тіла, відносної </w:t>
      </w:r>
      <w:r w:rsidR="005C4560" w:rsidRPr="00520861">
        <w:rPr>
          <w:sz w:val="28"/>
          <w:szCs w:val="28"/>
        </w:rPr>
        <w:br/>
      </w:r>
      <w:r w:rsidR="00491055" w:rsidRPr="00520861">
        <w:rPr>
          <w:sz w:val="28"/>
          <w:szCs w:val="28"/>
        </w:rPr>
        <w:t>внутрішньоутробної недостатності маси тіла а</w:t>
      </w:r>
      <w:r w:rsidR="00792453" w:rsidRPr="00520861">
        <w:rPr>
          <w:sz w:val="28"/>
          <w:szCs w:val="28"/>
        </w:rPr>
        <w:t xml:space="preserve">бо надмірної маси тіла, поєднаної як </w:t>
      </w:r>
      <w:r w:rsidR="00491055" w:rsidRPr="00520861">
        <w:rPr>
          <w:sz w:val="28"/>
          <w:szCs w:val="28"/>
        </w:rPr>
        <w:t>з великою</w:t>
      </w:r>
      <w:r w:rsidR="00261925" w:rsidRPr="00520861">
        <w:rPr>
          <w:sz w:val="28"/>
          <w:szCs w:val="28"/>
        </w:rPr>
        <w:t xml:space="preserve">, так і </w:t>
      </w:r>
      <w:r w:rsidR="00491055" w:rsidRPr="00520861">
        <w:rPr>
          <w:sz w:val="28"/>
          <w:szCs w:val="28"/>
        </w:rPr>
        <w:t>з середньою довжиною тіла но</w:t>
      </w:r>
      <w:r w:rsidR="00F15168" w:rsidRPr="00520861">
        <w:rPr>
          <w:sz w:val="28"/>
          <w:szCs w:val="28"/>
        </w:rPr>
        <w:t>вонародженої дитини-</w:t>
      </w:r>
      <w:proofErr w:type="spellStart"/>
      <w:r w:rsidR="00F15168" w:rsidRPr="00520861">
        <w:rPr>
          <w:sz w:val="28"/>
          <w:szCs w:val="28"/>
        </w:rPr>
        <w:t>макросома</w:t>
      </w:r>
      <w:proofErr w:type="spellEnd"/>
      <w:r w:rsidR="00F15168" w:rsidRPr="00520861">
        <w:rPr>
          <w:sz w:val="28"/>
          <w:szCs w:val="28"/>
        </w:rPr>
        <w:t>.</w:t>
      </w:r>
    </w:p>
    <w:p w14:paraId="5AA1ECBB" w14:textId="77777777" w:rsidR="00A32DB0" w:rsidRPr="00520861" w:rsidRDefault="00207B46" w:rsidP="00A32DB0">
      <w:pPr>
        <w:widowControl w:val="0"/>
        <w:spacing w:line="360" w:lineRule="auto"/>
        <w:ind w:firstLine="720"/>
        <w:jc w:val="both"/>
        <w:rPr>
          <w:rFonts w:eastAsia="Calibri"/>
          <w:sz w:val="28"/>
          <w:szCs w:val="28"/>
          <w:lang w:eastAsia="en-US"/>
        </w:rPr>
      </w:pPr>
      <w:r w:rsidRPr="00520861">
        <w:rPr>
          <w:b/>
          <w:bCs/>
          <w:sz w:val="28"/>
          <w:szCs w:val="28"/>
        </w:rPr>
        <w:t>Практичне значення отриманих результатів</w:t>
      </w:r>
      <w:r w:rsidR="00523297" w:rsidRPr="00520861">
        <w:rPr>
          <w:b/>
          <w:sz w:val="28"/>
          <w:szCs w:val="28"/>
        </w:rPr>
        <w:t>.</w:t>
      </w:r>
      <w:r w:rsidR="00523297" w:rsidRPr="00520861">
        <w:rPr>
          <w:sz w:val="28"/>
          <w:szCs w:val="28"/>
        </w:rPr>
        <w:t xml:space="preserve"> </w:t>
      </w:r>
      <w:r w:rsidR="00A32DB0" w:rsidRPr="00520861">
        <w:rPr>
          <w:rFonts w:eastAsia="Calibri"/>
          <w:sz w:val="28"/>
          <w:szCs w:val="28"/>
          <w:lang w:eastAsia="en-US"/>
        </w:rPr>
        <w:t xml:space="preserve">пов’язане з поглибленням </w:t>
      </w:r>
      <w:r w:rsidR="00A32DB0" w:rsidRPr="00520861">
        <w:rPr>
          <w:rFonts w:eastAsia="Calibri"/>
          <w:sz w:val="28"/>
          <w:szCs w:val="28"/>
          <w:lang w:eastAsia="en-US"/>
        </w:rPr>
        <w:br/>
        <w:t xml:space="preserve">уявлень про біохімічні й МГ механізми розвитку захворювань </w:t>
      </w:r>
      <w:proofErr w:type="spellStart"/>
      <w:r w:rsidR="00A32DB0" w:rsidRPr="00520861">
        <w:rPr>
          <w:rFonts w:eastAsia="Calibri"/>
          <w:sz w:val="28"/>
          <w:szCs w:val="28"/>
          <w:lang w:eastAsia="en-US"/>
        </w:rPr>
        <w:t>пародонта</w:t>
      </w:r>
      <w:proofErr w:type="spellEnd"/>
      <w:r w:rsidR="00A32DB0" w:rsidRPr="00520861">
        <w:rPr>
          <w:rFonts w:eastAsia="Calibri"/>
          <w:sz w:val="28"/>
          <w:szCs w:val="28"/>
          <w:lang w:eastAsia="en-US"/>
        </w:rPr>
        <w:t xml:space="preserve">, твердих тканин зубів та інших стоматологічних порушень в осіб, які народилися з </w:t>
      </w:r>
      <w:r w:rsidR="00A32DB0" w:rsidRPr="00520861">
        <w:rPr>
          <w:rFonts w:eastAsia="Calibri"/>
          <w:sz w:val="28"/>
          <w:szCs w:val="28"/>
          <w:lang w:eastAsia="en-US"/>
        </w:rPr>
        <w:br/>
      </w:r>
      <w:proofErr w:type="spellStart"/>
      <w:r w:rsidR="00A32DB0" w:rsidRPr="00520861">
        <w:rPr>
          <w:rFonts w:eastAsia="Calibri"/>
          <w:sz w:val="28"/>
          <w:szCs w:val="28"/>
          <w:lang w:eastAsia="en-US"/>
        </w:rPr>
        <w:t>макросомією</w:t>
      </w:r>
      <w:proofErr w:type="spellEnd"/>
      <w:r w:rsidR="00A32DB0" w:rsidRPr="00520861">
        <w:rPr>
          <w:rFonts w:eastAsia="Calibri"/>
          <w:sz w:val="28"/>
          <w:szCs w:val="28"/>
          <w:lang w:eastAsia="en-US"/>
        </w:rPr>
        <w:t xml:space="preserve">. </w:t>
      </w:r>
    </w:p>
    <w:p w14:paraId="11039AF4" w14:textId="77777777" w:rsidR="00A32DB0" w:rsidRPr="00520861" w:rsidRDefault="00A32DB0" w:rsidP="00A32DB0">
      <w:pPr>
        <w:widowControl w:val="0"/>
        <w:spacing w:line="360" w:lineRule="auto"/>
        <w:ind w:firstLine="720"/>
        <w:jc w:val="both"/>
        <w:rPr>
          <w:rFonts w:eastAsia="Calibri"/>
          <w:sz w:val="28"/>
          <w:szCs w:val="28"/>
          <w:lang w:eastAsia="en-US"/>
        </w:rPr>
      </w:pPr>
      <w:r w:rsidRPr="00520861">
        <w:rPr>
          <w:rFonts w:eastAsia="Calibri"/>
          <w:sz w:val="28"/>
          <w:szCs w:val="28"/>
          <w:lang w:eastAsia="en-US"/>
        </w:rPr>
        <w:t>На цій основі для практичної охорони здоров’я запропоновано багатоетапну стратегію діагностики та прогнозування стоматологічних захворювань в таких осіб.</w:t>
      </w:r>
    </w:p>
    <w:p w14:paraId="525C2E06" w14:textId="77777777" w:rsidR="00A32DB0" w:rsidRPr="00520861" w:rsidRDefault="00A32DB0" w:rsidP="00A32DB0">
      <w:pPr>
        <w:widowControl w:val="0"/>
        <w:spacing w:line="360" w:lineRule="auto"/>
        <w:ind w:firstLine="708"/>
        <w:jc w:val="both"/>
        <w:rPr>
          <w:rFonts w:eastAsia="Calibri"/>
          <w:sz w:val="28"/>
          <w:szCs w:val="28"/>
          <w:lang w:eastAsia="en-US"/>
        </w:rPr>
      </w:pPr>
      <w:r w:rsidRPr="00520861">
        <w:rPr>
          <w:rFonts w:eastAsia="Calibri"/>
          <w:sz w:val="28"/>
          <w:szCs w:val="28"/>
          <w:lang w:eastAsia="en-US"/>
        </w:rPr>
        <w:t>Отримані клініко-ретроспективні, анамнестичні, клінічні, біохімічні та МГ дані є підґрунтям для наукового передбачення пограничних станів і дозволяють спрогнозувати варіанти перебігу стоматологічних захворювань в залежності від індексу маси тіла при народженні.</w:t>
      </w:r>
    </w:p>
    <w:p w14:paraId="355E7C8A" w14:textId="77777777" w:rsidR="00657156" w:rsidRPr="00520861" w:rsidRDefault="00580CF3" w:rsidP="00A32DB0">
      <w:pPr>
        <w:widowControl w:val="0"/>
        <w:spacing w:line="360" w:lineRule="auto"/>
        <w:ind w:firstLine="720"/>
        <w:jc w:val="both"/>
        <w:rPr>
          <w:sz w:val="28"/>
          <w:szCs w:val="28"/>
        </w:rPr>
      </w:pPr>
      <w:r w:rsidRPr="00520861">
        <w:rPr>
          <w:sz w:val="28"/>
          <w:szCs w:val="28"/>
        </w:rPr>
        <w:t>Отримані результати впроваджено</w:t>
      </w:r>
      <w:r w:rsidR="005F4928" w:rsidRPr="00520861">
        <w:rPr>
          <w:sz w:val="28"/>
          <w:szCs w:val="28"/>
        </w:rPr>
        <w:t xml:space="preserve"> в </w:t>
      </w:r>
      <w:r w:rsidRPr="00520861">
        <w:rPr>
          <w:sz w:val="28"/>
          <w:szCs w:val="28"/>
        </w:rPr>
        <w:t>діагностичний і</w:t>
      </w:r>
      <w:r w:rsidR="00D61555" w:rsidRPr="00520861">
        <w:rPr>
          <w:sz w:val="28"/>
          <w:szCs w:val="28"/>
        </w:rPr>
        <w:t xml:space="preserve"> лікувальний процес стоматологічного відділення ОКНП «Чернівецький </w:t>
      </w:r>
      <w:r w:rsidR="003C410C" w:rsidRPr="00520861">
        <w:rPr>
          <w:sz w:val="28"/>
          <w:szCs w:val="28"/>
        </w:rPr>
        <w:t>обласний стоматологічний центр»;</w:t>
      </w:r>
      <w:r w:rsidR="00D61555" w:rsidRPr="00520861">
        <w:rPr>
          <w:sz w:val="28"/>
          <w:szCs w:val="28"/>
        </w:rPr>
        <w:t xml:space="preserve"> </w:t>
      </w:r>
      <w:r w:rsidR="00C87AA5" w:rsidRPr="00520861">
        <w:rPr>
          <w:sz w:val="28"/>
          <w:szCs w:val="28"/>
        </w:rPr>
        <w:t>КЗ КОР «Обласна стом</w:t>
      </w:r>
      <w:r w:rsidR="00335A7F" w:rsidRPr="00520861">
        <w:rPr>
          <w:sz w:val="28"/>
          <w:szCs w:val="28"/>
        </w:rPr>
        <w:t xml:space="preserve">атологічна поліклініка» </w:t>
      </w:r>
      <w:r w:rsidR="005B162F" w:rsidRPr="00520861">
        <w:rPr>
          <w:sz w:val="28"/>
          <w:szCs w:val="28"/>
        </w:rPr>
        <w:t>(</w:t>
      </w:r>
      <w:r w:rsidR="00C87AA5" w:rsidRPr="00520861">
        <w:rPr>
          <w:sz w:val="28"/>
          <w:szCs w:val="28"/>
        </w:rPr>
        <w:t>Київськ</w:t>
      </w:r>
      <w:r w:rsidR="005B162F" w:rsidRPr="00520861">
        <w:rPr>
          <w:sz w:val="28"/>
          <w:szCs w:val="28"/>
        </w:rPr>
        <w:t>а обл., м. </w:t>
      </w:r>
      <w:r w:rsidR="00C87AA5" w:rsidRPr="00520861">
        <w:rPr>
          <w:sz w:val="28"/>
          <w:szCs w:val="28"/>
        </w:rPr>
        <w:t>Біла Церква</w:t>
      </w:r>
      <w:r w:rsidR="005B162F" w:rsidRPr="00520861">
        <w:rPr>
          <w:sz w:val="28"/>
          <w:szCs w:val="28"/>
        </w:rPr>
        <w:t>)</w:t>
      </w:r>
      <w:r w:rsidR="003C410C" w:rsidRPr="00520861">
        <w:rPr>
          <w:sz w:val="28"/>
          <w:szCs w:val="28"/>
        </w:rPr>
        <w:t>;</w:t>
      </w:r>
      <w:r w:rsidR="00C87AA5" w:rsidRPr="00520861">
        <w:rPr>
          <w:sz w:val="28"/>
          <w:szCs w:val="28"/>
        </w:rPr>
        <w:t xml:space="preserve"> </w:t>
      </w:r>
      <w:r w:rsidR="00E569E4" w:rsidRPr="00520861">
        <w:rPr>
          <w:sz w:val="28"/>
          <w:szCs w:val="28"/>
        </w:rPr>
        <w:t>терапевтичного відділення КП «Полтавський обласний центр стоматології – стоматологічна</w:t>
      </w:r>
      <w:r w:rsidR="003C410C" w:rsidRPr="00520861">
        <w:rPr>
          <w:sz w:val="28"/>
          <w:szCs w:val="28"/>
        </w:rPr>
        <w:t xml:space="preserve"> клінічна поліклініка»;</w:t>
      </w:r>
      <w:r w:rsidR="00E569E4" w:rsidRPr="00520861">
        <w:rPr>
          <w:sz w:val="28"/>
          <w:szCs w:val="28"/>
        </w:rPr>
        <w:t xml:space="preserve"> </w:t>
      </w:r>
      <w:r w:rsidR="00C87AA5" w:rsidRPr="00520861">
        <w:rPr>
          <w:sz w:val="28"/>
          <w:szCs w:val="28"/>
        </w:rPr>
        <w:t xml:space="preserve">стоматологічного відділення №1 для дорослих КНП </w:t>
      </w:r>
      <w:r w:rsidR="005C4560" w:rsidRPr="00520861">
        <w:rPr>
          <w:sz w:val="28"/>
          <w:szCs w:val="28"/>
        </w:rPr>
        <w:br/>
      </w:r>
      <w:r w:rsidR="00C87AA5" w:rsidRPr="00520861">
        <w:rPr>
          <w:sz w:val="28"/>
          <w:szCs w:val="28"/>
        </w:rPr>
        <w:t>«Міська стоматологічна полікліні</w:t>
      </w:r>
      <w:r w:rsidR="003C410C" w:rsidRPr="00520861">
        <w:rPr>
          <w:sz w:val="28"/>
          <w:szCs w:val="28"/>
        </w:rPr>
        <w:t>ка №2» Харківської міської ради;</w:t>
      </w:r>
      <w:r w:rsidR="00C87AA5" w:rsidRPr="00520861">
        <w:rPr>
          <w:sz w:val="28"/>
          <w:szCs w:val="28"/>
        </w:rPr>
        <w:t xml:space="preserve"> </w:t>
      </w:r>
      <w:r w:rsidR="00D61555" w:rsidRPr="00520861">
        <w:rPr>
          <w:sz w:val="28"/>
          <w:szCs w:val="28"/>
        </w:rPr>
        <w:t xml:space="preserve">стоматологічного відділення №1 для дорослих КНП </w:t>
      </w:r>
      <w:r w:rsidR="000000C8" w:rsidRPr="00520861">
        <w:rPr>
          <w:sz w:val="28"/>
          <w:szCs w:val="28"/>
        </w:rPr>
        <w:t>«Міська стоматологічна полікліні</w:t>
      </w:r>
      <w:r w:rsidR="003C410C" w:rsidRPr="00520861">
        <w:rPr>
          <w:sz w:val="28"/>
          <w:szCs w:val="28"/>
        </w:rPr>
        <w:t xml:space="preserve">ка №4» </w:t>
      </w:r>
      <w:r w:rsidR="005C4560" w:rsidRPr="00520861">
        <w:rPr>
          <w:sz w:val="28"/>
          <w:szCs w:val="28"/>
        </w:rPr>
        <w:br/>
      </w:r>
      <w:r w:rsidR="003C410C" w:rsidRPr="00520861">
        <w:rPr>
          <w:sz w:val="28"/>
          <w:szCs w:val="28"/>
        </w:rPr>
        <w:t>Харківської міської ради;</w:t>
      </w:r>
      <w:r w:rsidR="000000C8" w:rsidRPr="00520861">
        <w:rPr>
          <w:sz w:val="28"/>
          <w:szCs w:val="28"/>
        </w:rPr>
        <w:t xml:space="preserve"> </w:t>
      </w:r>
      <w:r w:rsidR="00C87AA5" w:rsidRPr="00520861">
        <w:rPr>
          <w:sz w:val="28"/>
          <w:szCs w:val="28"/>
        </w:rPr>
        <w:t>стоматологічного відділення №2 КНП «Міська стоматологічна полікліні</w:t>
      </w:r>
      <w:r w:rsidR="003C410C" w:rsidRPr="00520861">
        <w:rPr>
          <w:sz w:val="28"/>
          <w:szCs w:val="28"/>
        </w:rPr>
        <w:t>ка №7» Харківської міської ради;</w:t>
      </w:r>
      <w:r w:rsidR="00C87AA5" w:rsidRPr="00520861">
        <w:rPr>
          <w:sz w:val="28"/>
          <w:szCs w:val="28"/>
        </w:rPr>
        <w:t xml:space="preserve"> стоматол</w:t>
      </w:r>
      <w:r w:rsidR="005B162F" w:rsidRPr="00520861">
        <w:rPr>
          <w:sz w:val="28"/>
          <w:szCs w:val="28"/>
        </w:rPr>
        <w:t>о</w:t>
      </w:r>
      <w:r w:rsidR="00C87AA5" w:rsidRPr="00520861">
        <w:rPr>
          <w:sz w:val="28"/>
          <w:szCs w:val="28"/>
        </w:rPr>
        <w:t xml:space="preserve">гічного відділення </w:t>
      </w:r>
      <w:r w:rsidR="005C4560" w:rsidRPr="00520861">
        <w:rPr>
          <w:sz w:val="28"/>
          <w:szCs w:val="28"/>
        </w:rPr>
        <w:br/>
      </w:r>
      <w:r w:rsidR="00C87AA5" w:rsidRPr="00520861">
        <w:rPr>
          <w:sz w:val="28"/>
          <w:szCs w:val="28"/>
        </w:rPr>
        <w:t>Республіканського центру стоматологічної імплантації (</w:t>
      </w:r>
      <w:r w:rsidR="005B162F" w:rsidRPr="00520861">
        <w:rPr>
          <w:sz w:val="28"/>
          <w:szCs w:val="28"/>
        </w:rPr>
        <w:t xml:space="preserve">ТОВ «РЦСІ») </w:t>
      </w:r>
      <w:r w:rsidR="003C410C" w:rsidRPr="00520861">
        <w:rPr>
          <w:sz w:val="28"/>
          <w:szCs w:val="28"/>
        </w:rPr>
        <w:t>м. Харків;</w:t>
      </w:r>
      <w:r w:rsidR="00174453" w:rsidRPr="00520861">
        <w:rPr>
          <w:sz w:val="28"/>
          <w:szCs w:val="28"/>
        </w:rPr>
        <w:t xml:space="preserve"> </w:t>
      </w:r>
      <w:r w:rsidR="005F4928" w:rsidRPr="00520861">
        <w:rPr>
          <w:sz w:val="28"/>
          <w:szCs w:val="28"/>
        </w:rPr>
        <w:t>стоматологічного центру Харківського націо</w:t>
      </w:r>
      <w:r w:rsidR="00951BDF" w:rsidRPr="00520861">
        <w:rPr>
          <w:sz w:val="28"/>
          <w:szCs w:val="28"/>
        </w:rPr>
        <w:t>нального медичного унів</w:t>
      </w:r>
      <w:r w:rsidR="003C410C" w:rsidRPr="00520861">
        <w:rPr>
          <w:sz w:val="28"/>
          <w:szCs w:val="28"/>
        </w:rPr>
        <w:t>ерситету;</w:t>
      </w:r>
      <w:r w:rsidR="005F4928" w:rsidRPr="00520861">
        <w:rPr>
          <w:sz w:val="28"/>
          <w:szCs w:val="28"/>
        </w:rPr>
        <w:t xml:space="preserve"> </w:t>
      </w:r>
      <w:r w:rsidR="00165273" w:rsidRPr="00520861">
        <w:rPr>
          <w:sz w:val="28"/>
          <w:szCs w:val="28"/>
        </w:rPr>
        <w:t xml:space="preserve">2-го </w:t>
      </w:r>
      <w:r w:rsidR="005C4560" w:rsidRPr="00520861">
        <w:rPr>
          <w:sz w:val="28"/>
          <w:szCs w:val="28"/>
        </w:rPr>
        <w:br/>
      </w:r>
      <w:r w:rsidR="00165273" w:rsidRPr="00520861">
        <w:rPr>
          <w:sz w:val="28"/>
          <w:szCs w:val="28"/>
        </w:rPr>
        <w:t>стоматологічного відділення КНП «Міська дитяча стоматологічна поліклініка №1» Харківської міської ради</w:t>
      </w:r>
      <w:r w:rsidR="005F4928" w:rsidRPr="00520861">
        <w:rPr>
          <w:sz w:val="28"/>
          <w:szCs w:val="28"/>
        </w:rPr>
        <w:t xml:space="preserve"> </w:t>
      </w:r>
      <w:r w:rsidR="002F405E" w:rsidRPr="00520861">
        <w:rPr>
          <w:sz w:val="28"/>
          <w:szCs w:val="28"/>
        </w:rPr>
        <w:t xml:space="preserve">та </w:t>
      </w:r>
      <w:r w:rsidR="005F4928" w:rsidRPr="00520861">
        <w:rPr>
          <w:sz w:val="28"/>
          <w:szCs w:val="28"/>
        </w:rPr>
        <w:t>стоматологічного відділення КЗОЗ «</w:t>
      </w:r>
      <w:r w:rsidR="00C87AA5" w:rsidRPr="00520861">
        <w:rPr>
          <w:sz w:val="28"/>
          <w:szCs w:val="28"/>
        </w:rPr>
        <w:t xml:space="preserve">23-я міська дитяча </w:t>
      </w:r>
      <w:r w:rsidR="00C87AA5" w:rsidRPr="00520861">
        <w:rPr>
          <w:sz w:val="28"/>
          <w:szCs w:val="28"/>
        </w:rPr>
        <w:lastRenderedPageBreak/>
        <w:t>поліклініка»</w:t>
      </w:r>
      <w:r w:rsidR="005F4928" w:rsidRPr="00520861">
        <w:rPr>
          <w:sz w:val="28"/>
          <w:szCs w:val="28"/>
        </w:rPr>
        <w:t xml:space="preserve">. </w:t>
      </w:r>
    </w:p>
    <w:p w14:paraId="04DC843E" w14:textId="77777777" w:rsidR="00407A46" w:rsidRPr="00520861" w:rsidRDefault="00580CF3" w:rsidP="00292D2E">
      <w:pPr>
        <w:widowControl w:val="0"/>
        <w:spacing w:line="360" w:lineRule="auto"/>
        <w:ind w:firstLine="708"/>
        <w:jc w:val="both"/>
        <w:rPr>
          <w:sz w:val="28"/>
          <w:szCs w:val="28"/>
        </w:rPr>
      </w:pPr>
      <w:r w:rsidRPr="00520861">
        <w:rPr>
          <w:sz w:val="28"/>
          <w:szCs w:val="28"/>
        </w:rPr>
        <w:t>Р</w:t>
      </w:r>
      <w:r w:rsidR="005F4928" w:rsidRPr="00520861">
        <w:rPr>
          <w:sz w:val="28"/>
          <w:szCs w:val="28"/>
        </w:rPr>
        <w:t xml:space="preserve">езультати досліджень </w:t>
      </w:r>
      <w:r w:rsidRPr="00520861">
        <w:rPr>
          <w:sz w:val="28"/>
          <w:szCs w:val="28"/>
        </w:rPr>
        <w:t xml:space="preserve">також </w:t>
      </w:r>
      <w:r w:rsidR="005F4928" w:rsidRPr="00520861">
        <w:rPr>
          <w:sz w:val="28"/>
          <w:szCs w:val="28"/>
        </w:rPr>
        <w:t xml:space="preserve">упроваджені </w:t>
      </w:r>
      <w:r w:rsidR="005F4928" w:rsidRPr="00520861">
        <w:rPr>
          <w:color w:val="000000"/>
          <w:sz w:val="28"/>
          <w:szCs w:val="28"/>
        </w:rPr>
        <w:t xml:space="preserve">та використовуються в </w:t>
      </w:r>
      <w:r w:rsidR="00AD1A1A" w:rsidRPr="00520861">
        <w:rPr>
          <w:color w:val="000000"/>
          <w:sz w:val="28"/>
          <w:szCs w:val="28"/>
        </w:rPr>
        <w:t>навчальному</w:t>
      </w:r>
      <w:r w:rsidR="005F4928" w:rsidRPr="00520861">
        <w:rPr>
          <w:color w:val="000000"/>
          <w:sz w:val="28"/>
          <w:szCs w:val="28"/>
        </w:rPr>
        <w:t xml:space="preserve"> процесі</w:t>
      </w:r>
      <w:r w:rsidR="005F4928" w:rsidRPr="00520861">
        <w:rPr>
          <w:sz w:val="28"/>
          <w:szCs w:val="28"/>
        </w:rPr>
        <w:t xml:space="preserve"> </w:t>
      </w:r>
      <w:r w:rsidR="00407A46" w:rsidRPr="00520861">
        <w:rPr>
          <w:sz w:val="28"/>
          <w:szCs w:val="28"/>
        </w:rPr>
        <w:t>кафедри терапевтичної, ортопедичної та дитячої стоматології Запорізького де</w:t>
      </w:r>
      <w:r w:rsidR="00D7714B" w:rsidRPr="00520861">
        <w:rPr>
          <w:sz w:val="28"/>
          <w:szCs w:val="28"/>
        </w:rPr>
        <w:t>ржавного медичного університету;</w:t>
      </w:r>
      <w:r w:rsidR="00407A46" w:rsidRPr="00520861">
        <w:rPr>
          <w:sz w:val="28"/>
          <w:szCs w:val="28"/>
        </w:rPr>
        <w:t xml:space="preserve"> кафедри </w:t>
      </w:r>
      <w:r w:rsidR="00AD1A1A" w:rsidRPr="00520861">
        <w:rPr>
          <w:sz w:val="28"/>
          <w:szCs w:val="28"/>
        </w:rPr>
        <w:t>терапевтичної стоматології ВДНЗ України </w:t>
      </w:r>
      <w:r w:rsidR="00407A46" w:rsidRPr="00520861">
        <w:rPr>
          <w:sz w:val="28"/>
          <w:szCs w:val="28"/>
        </w:rPr>
        <w:t xml:space="preserve">«Буковинський </w:t>
      </w:r>
      <w:r w:rsidR="00D7714B" w:rsidRPr="00520861">
        <w:rPr>
          <w:sz w:val="28"/>
          <w:szCs w:val="28"/>
        </w:rPr>
        <w:t>державний медичний університет»;</w:t>
      </w:r>
      <w:r w:rsidR="00407A46" w:rsidRPr="00520861">
        <w:rPr>
          <w:sz w:val="28"/>
          <w:szCs w:val="28"/>
        </w:rPr>
        <w:t xml:space="preserve"> </w:t>
      </w:r>
      <w:r w:rsidR="005F4928" w:rsidRPr="00520861">
        <w:rPr>
          <w:sz w:val="28"/>
          <w:szCs w:val="28"/>
        </w:rPr>
        <w:t xml:space="preserve">кафедри </w:t>
      </w:r>
      <w:r w:rsidR="00407A46" w:rsidRPr="00520861">
        <w:rPr>
          <w:sz w:val="28"/>
          <w:szCs w:val="28"/>
        </w:rPr>
        <w:t>стоматології Медичного інституту Су</w:t>
      </w:r>
      <w:r w:rsidR="00D7714B" w:rsidRPr="00520861">
        <w:rPr>
          <w:sz w:val="28"/>
          <w:szCs w:val="28"/>
        </w:rPr>
        <w:t>мського державного університету;</w:t>
      </w:r>
      <w:r w:rsidR="00407A46" w:rsidRPr="00520861">
        <w:rPr>
          <w:sz w:val="28"/>
          <w:szCs w:val="28"/>
        </w:rPr>
        <w:t xml:space="preserve"> кафедри </w:t>
      </w:r>
      <w:r w:rsidR="00D04403" w:rsidRPr="00520861">
        <w:rPr>
          <w:sz w:val="28"/>
          <w:szCs w:val="28"/>
        </w:rPr>
        <w:br/>
      </w:r>
      <w:r w:rsidR="00407A46" w:rsidRPr="00520861">
        <w:rPr>
          <w:sz w:val="28"/>
          <w:szCs w:val="28"/>
        </w:rPr>
        <w:t>біологічної хімії Національного фармацевтичного університету</w:t>
      </w:r>
      <w:r w:rsidR="00D7714B" w:rsidRPr="00520861">
        <w:rPr>
          <w:sz w:val="28"/>
          <w:szCs w:val="28"/>
        </w:rPr>
        <w:t>;</w:t>
      </w:r>
      <w:r w:rsidR="00777325" w:rsidRPr="00520861">
        <w:rPr>
          <w:sz w:val="28"/>
          <w:szCs w:val="28"/>
        </w:rPr>
        <w:t xml:space="preserve"> кафедри </w:t>
      </w:r>
      <w:r w:rsidR="00D04403" w:rsidRPr="00520861">
        <w:rPr>
          <w:sz w:val="28"/>
          <w:szCs w:val="28"/>
        </w:rPr>
        <w:br/>
      </w:r>
      <w:r w:rsidR="00777325" w:rsidRPr="00520861">
        <w:rPr>
          <w:sz w:val="28"/>
          <w:szCs w:val="28"/>
        </w:rPr>
        <w:t>терапевтичної стоматол</w:t>
      </w:r>
      <w:r w:rsidR="00AD1A1A" w:rsidRPr="00520861">
        <w:rPr>
          <w:sz w:val="28"/>
          <w:szCs w:val="28"/>
        </w:rPr>
        <w:t>ог</w:t>
      </w:r>
      <w:r w:rsidR="00407A46" w:rsidRPr="00520861">
        <w:rPr>
          <w:sz w:val="28"/>
          <w:szCs w:val="28"/>
        </w:rPr>
        <w:t xml:space="preserve">ії </w:t>
      </w:r>
      <w:r w:rsidR="00A7464F" w:rsidRPr="00520861">
        <w:rPr>
          <w:sz w:val="28"/>
          <w:szCs w:val="28"/>
        </w:rPr>
        <w:t>Харківськог</w:t>
      </w:r>
      <w:r w:rsidR="00335A7F" w:rsidRPr="00520861">
        <w:rPr>
          <w:sz w:val="28"/>
          <w:szCs w:val="28"/>
        </w:rPr>
        <w:t>о</w:t>
      </w:r>
      <w:r w:rsidR="00407A46" w:rsidRPr="00520861">
        <w:rPr>
          <w:sz w:val="28"/>
          <w:szCs w:val="28"/>
        </w:rPr>
        <w:t xml:space="preserve"> </w:t>
      </w:r>
      <w:r w:rsidR="00A7464F" w:rsidRPr="00520861">
        <w:rPr>
          <w:sz w:val="28"/>
          <w:szCs w:val="28"/>
        </w:rPr>
        <w:t>національного медичного</w:t>
      </w:r>
      <w:r w:rsidR="00D54824" w:rsidRPr="00520861">
        <w:rPr>
          <w:sz w:val="28"/>
          <w:szCs w:val="28"/>
        </w:rPr>
        <w:t xml:space="preserve"> університет</w:t>
      </w:r>
      <w:r w:rsidR="00A7464F" w:rsidRPr="00520861">
        <w:rPr>
          <w:sz w:val="28"/>
          <w:szCs w:val="28"/>
        </w:rPr>
        <w:t>у</w:t>
      </w:r>
      <w:r w:rsidR="00D7714B" w:rsidRPr="00520861">
        <w:rPr>
          <w:sz w:val="28"/>
          <w:szCs w:val="28"/>
        </w:rPr>
        <w:t>;</w:t>
      </w:r>
      <w:r w:rsidR="00407A46" w:rsidRPr="00520861">
        <w:rPr>
          <w:sz w:val="28"/>
          <w:szCs w:val="28"/>
        </w:rPr>
        <w:t xml:space="preserve"> </w:t>
      </w:r>
      <w:r w:rsidR="005C4560" w:rsidRPr="00520861">
        <w:rPr>
          <w:sz w:val="28"/>
          <w:szCs w:val="28"/>
        </w:rPr>
        <w:br/>
      </w:r>
      <w:r w:rsidR="00CF6DC7" w:rsidRPr="00520861">
        <w:rPr>
          <w:sz w:val="28"/>
          <w:szCs w:val="28"/>
        </w:rPr>
        <w:t>кафедри загальної та клінічної патології Харківського націон</w:t>
      </w:r>
      <w:r w:rsidR="00AD1A1A" w:rsidRPr="00520861">
        <w:rPr>
          <w:sz w:val="28"/>
          <w:szCs w:val="28"/>
        </w:rPr>
        <w:t>ального університету імені В.Н. </w:t>
      </w:r>
      <w:r w:rsidR="00D7714B" w:rsidRPr="00520861">
        <w:rPr>
          <w:sz w:val="28"/>
          <w:szCs w:val="28"/>
        </w:rPr>
        <w:t>Каразіна;</w:t>
      </w:r>
      <w:r w:rsidR="00CF6DC7" w:rsidRPr="00520861">
        <w:rPr>
          <w:sz w:val="28"/>
          <w:szCs w:val="28"/>
        </w:rPr>
        <w:t xml:space="preserve"> кафедри </w:t>
      </w:r>
      <w:r w:rsidR="00DA4932" w:rsidRPr="00520861">
        <w:rPr>
          <w:sz w:val="28"/>
          <w:szCs w:val="28"/>
        </w:rPr>
        <w:t xml:space="preserve">стоматології дитячого віку, </w:t>
      </w:r>
      <w:proofErr w:type="spellStart"/>
      <w:r w:rsidR="00CF6DC7" w:rsidRPr="00520861">
        <w:rPr>
          <w:sz w:val="28"/>
          <w:szCs w:val="28"/>
        </w:rPr>
        <w:t>ортодонтії</w:t>
      </w:r>
      <w:proofErr w:type="spellEnd"/>
      <w:r w:rsidR="00DA4932" w:rsidRPr="00520861">
        <w:rPr>
          <w:sz w:val="28"/>
          <w:szCs w:val="28"/>
        </w:rPr>
        <w:t xml:space="preserve"> і </w:t>
      </w:r>
      <w:proofErr w:type="spellStart"/>
      <w:r w:rsidR="00DA4932" w:rsidRPr="00520861">
        <w:rPr>
          <w:sz w:val="28"/>
          <w:szCs w:val="28"/>
        </w:rPr>
        <w:t>імплантології</w:t>
      </w:r>
      <w:proofErr w:type="spellEnd"/>
      <w:r w:rsidR="00CF6DC7" w:rsidRPr="00520861">
        <w:rPr>
          <w:sz w:val="28"/>
          <w:szCs w:val="28"/>
        </w:rPr>
        <w:t xml:space="preserve"> </w:t>
      </w:r>
      <w:r w:rsidR="00AD1A1A" w:rsidRPr="00520861">
        <w:rPr>
          <w:sz w:val="28"/>
          <w:szCs w:val="28"/>
        </w:rPr>
        <w:br/>
      </w:r>
      <w:r w:rsidR="00CF6DC7" w:rsidRPr="00520861">
        <w:rPr>
          <w:sz w:val="28"/>
          <w:szCs w:val="28"/>
        </w:rPr>
        <w:t xml:space="preserve">Харківської академії післядипломної освіти та </w:t>
      </w:r>
      <w:r w:rsidR="00335A7F" w:rsidRPr="00520861">
        <w:rPr>
          <w:sz w:val="28"/>
          <w:szCs w:val="28"/>
        </w:rPr>
        <w:t>кафедри терапевтичної</w:t>
      </w:r>
      <w:r w:rsidR="00CF6DC7" w:rsidRPr="00520861">
        <w:rPr>
          <w:sz w:val="28"/>
          <w:szCs w:val="28"/>
        </w:rPr>
        <w:t xml:space="preserve"> с</w:t>
      </w:r>
      <w:r w:rsidR="007E1B23" w:rsidRPr="00520861">
        <w:rPr>
          <w:sz w:val="28"/>
          <w:szCs w:val="28"/>
        </w:rPr>
        <w:t>томатології</w:t>
      </w:r>
      <w:r w:rsidR="00DA4932" w:rsidRPr="00520861">
        <w:rPr>
          <w:sz w:val="28"/>
          <w:szCs w:val="28"/>
        </w:rPr>
        <w:t xml:space="preserve"> </w:t>
      </w:r>
      <w:r w:rsidR="00C52C5F" w:rsidRPr="00520861">
        <w:rPr>
          <w:sz w:val="28"/>
          <w:szCs w:val="28"/>
        </w:rPr>
        <w:t>ПВНЗ «Київській медичний університет»</w:t>
      </w:r>
      <w:r w:rsidR="00CF6DC7" w:rsidRPr="00520861">
        <w:rPr>
          <w:sz w:val="28"/>
          <w:szCs w:val="28"/>
        </w:rPr>
        <w:t>.</w:t>
      </w:r>
    </w:p>
    <w:p w14:paraId="1AC9E44A" w14:textId="77777777" w:rsidR="005A458B" w:rsidRPr="00520861" w:rsidRDefault="00207B46" w:rsidP="00292D2E">
      <w:pPr>
        <w:widowControl w:val="0"/>
        <w:spacing w:line="360" w:lineRule="auto"/>
        <w:ind w:firstLine="709"/>
        <w:jc w:val="both"/>
        <w:rPr>
          <w:sz w:val="28"/>
          <w:szCs w:val="28"/>
        </w:rPr>
      </w:pPr>
      <w:r w:rsidRPr="00520861">
        <w:rPr>
          <w:b/>
          <w:sz w:val="28"/>
          <w:szCs w:val="28"/>
        </w:rPr>
        <w:t>Особистий внесок здобувача</w:t>
      </w:r>
      <w:r w:rsidR="00523297" w:rsidRPr="00520861">
        <w:rPr>
          <w:b/>
          <w:sz w:val="28"/>
          <w:szCs w:val="28"/>
        </w:rPr>
        <w:t xml:space="preserve">. </w:t>
      </w:r>
      <w:r w:rsidR="00B0569E" w:rsidRPr="00520861">
        <w:rPr>
          <w:sz w:val="28"/>
          <w:szCs w:val="28"/>
        </w:rPr>
        <w:t xml:space="preserve">Дисертаційна робота є завершеним самостійним дослідженням. Авторка самостійно здійснила інформаційно-патентний пошук, аналіз літературних джерел, визначила </w:t>
      </w:r>
      <w:r w:rsidR="003E02F1" w:rsidRPr="00520861">
        <w:rPr>
          <w:sz w:val="28"/>
          <w:szCs w:val="28"/>
        </w:rPr>
        <w:t xml:space="preserve">програму досліджень, </w:t>
      </w:r>
      <w:r w:rsidR="00B0569E" w:rsidRPr="00520861">
        <w:rPr>
          <w:sz w:val="28"/>
          <w:szCs w:val="28"/>
        </w:rPr>
        <w:t xml:space="preserve">обґрунтувала мету та завдання дослідження. </w:t>
      </w:r>
      <w:r w:rsidR="005A458B" w:rsidRPr="00520861">
        <w:rPr>
          <w:sz w:val="28"/>
          <w:szCs w:val="28"/>
        </w:rPr>
        <w:t xml:space="preserve">Дисертантка самостійно здійснила підбір учасників </w:t>
      </w:r>
      <w:r w:rsidR="00574635" w:rsidRPr="00520861">
        <w:rPr>
          <w:sz w:val="28"/>
          <w:szCs w:val="28"/>
        </w:rPr>
        <w:br/>
      </w:r>
      <w:r w:rsidR="005A458B" w:rsidRPr="00520861">
        <w:rPr>
          <w:sz w:val="28"/>
          <w:szCs w:val="28"/>
        </w:rPr>
        <w:t>дослідження та їх обстеження.</w:t>
      </w:r>
      <w:r w:rsidR="003E02F1" w:rsidRPr="00520861">
        <w:rPr>
          <w:sz w:val="28"/>
          <w:szCs w:val="28"/>
        </w:rPr>
        <w:t xml:space="preserve"> </w:t>
      </w:r>
      <w:r w:rsidR="005A458B" w:rsidRPr="00520861">
        <w:rPr>
          <w:sz w:val="28"/>
          <w:szCs w:val="28"/>
        </w:rPr>
        <w:t xml:space="preserve">Авторка визначила перелік показників і </w:t>
      </w:r>
      <w:proofErr w:type="spellStart"/>
      <w:r w:rsidR="005A458B" w:rsidRPr="00520861">
        <w:rPr>
          <w:sz w:val="28"/>
          <w:szCs w:val="28"/>
        </w:rPr>
        <w:t>методик</w:t>
      </w:r>
      <w:proofErr w:type="spellEnd"/>
      <w:r w:rsidR="005A458B" w:rsidRPr="00520861">
        <w:rPr>
          <w:sz w:val="28"/>
          <w:szCs w:val="28"/>
        </w:rPr>
        <w:t xml:space="preserve">, які були необхідні для діагностики та прогнозування, особисто зібрала первинний матеріал, систематизувала отримані результати, проаналізувала та статистично опрацювала їх. На основі отриманих результатів авторка написала всі розділи дисертаційної роботи, сформулювала висновки та практичні рекомендації. Дисертантка обґрунтувала концепцію переважної залежності формування стоматологічних порушень в осіб, які народилися </w:t>
      </w:r>
      <w:proofErr w:type="spellStart"/>
      <w:r w:rsidR="005A458B" w:rsidRPr="00520861">
        <w:rPr>
          <w:sz w:val="28"/>
          <w:szCs w:val="28"/>
        </w:rPr>
        <w:t>макросомами</w:t>
      </w:r>
      <w:proofErr w:type="spellEnd"/>
      <w:r w:rsidR="005A458B" w:rsidRPr="00520861">
        <w:rPr>
          <w:sz w:val="28"/>
          <w:szCs w:val="28"/>
        </w:rPr>
        <w:t xml:space="preserve">, від їхніх антропометричних показників при </w:t>
      </w:r>
      <w:r w:rsidR="005C4560" w:rsidRPr="00520861">
        <w:rPr>
          <w:sz w:val="28"/>
          <w:szCs w:val="28"/>
        </w:rPr>
        <w:br/>
      </w:r>
      <w:r w:rsidR="005A458B" w:rsidRPr="00520861">
        <w:rPr>
          <w:sz w:val="28"/>
          <w:szCs w:val="28"/>
        </w:rPr>
        <w:t xml:space="preserve">народженні, а також особисто розробила і впровадила підхід до прогнозування ризику формування й діагностики в них стоматологічних порушень. </w:t>
      </w:r>
    </w:p>
    <w:p w14:paraId="4E47B357" w14:textId="77777777" w:rsidR="00B0569E" w:rsidRPr="00520861" w:rsidRDefault="003E02F1" w:rsidP="00292D2E">
      <w:pPr>
        <w:widowControl w:val="0"/>
        <w:spacing w:line="360" w:lineRule="auto"/>
        <w:ind w:firstLine="709"/>
        <w:jc w:val="both"/>
        <w:rPr>
          <w:sz w:val="28"/>
          <w:szCs w:val="28"/>
        </w:rPr>
      </w:pPr>
      <w:r w:rsidRPr="00520861">
        <w:rPr>
          <w:sz w:val="28"/>
          <w:szCs w:val="28"/>
        </w:rPr>
        <w:t>Внесок у наукові публікації є</w:t>
      </w:r>
      <w:r w:rsidR="00685730" w:rsidRPr="00520861">
        <w:rPr>
          <w:sz w:val="28"/>
          <w:szCs w:val="28"/>
        </w:rPr>
        <w:t xml:space="preserve"> </w:t>
      </w:r>
      <w:r w:rsidR="00010B77" w:rsidRPr="00520861">
        <w:rPr>
          <w:sz w:val="28"/>
          <w:szCs w:val="28"/>
        </w:rPr>
        <w:t>вагомим</w:t>
      </w:r>
      <w:r w:rsidRPr="00520861">
        <w:rPr>
          <w:i/>
          <w:sz w:val="28"/>
          <w:szCs w:val="28"/>
        </w:rPr>
        <w:t xml:space="preserve">. </w:t>
      </w:r>
      <w:r w:rsidRPr="00520861">
        <w:rPr>
          <w:spacing w:val="-6"/>
          <w:sz w:val="28"/>
          <w:szCs w:val="28"/>
        </w:rPr>
        <w:t>У працях, опублікованих у співавторстві</w:t>
      </w:r>
      <w:r w:rsidRPr="00520861">
        <w:rPr>
          <w:sz w:val="28"/>
          <w:szCs w:val="28"/>
        </w:rPr>
        <w:t xml:space="preserve">, дисертантка особисто брала участь у </w:t>
      </w:r>
      <w:r w:rsidR="00685730" w:rsidRPr="00520861">
        <w:rPr>
          <w:sz w:val="28"/>
          <w:szCs w:val="28"/>
        </w:rPr>
        <w:t xml:space="preserve">експериментальних, </w:t>
      </w:r>
      <w:r w:rsidRPr="00520861">
        <w:rPr>
          <w:sz w:val="28"/>
          <w:szCs w:val="28"/>
        </w:rPr>
        <w:t xml:space="preserve">клініко-лабораторних </w:t>
      </w:r>
      <w:r w:rsidR="009665AC" w:rsidRPr="00520861">
        <w:rPr>
          <w:sz w:val="28"/>
          <w:szCs w:val="28"/>
        </w:rPr>
        <w:t xml:space="preserve">та МГ </w:t>
      </w:r>
      <w:r w:rsidRPr="00520861">
        <w:rPr>
          <w:sz w:val="28"/>
          <w:szCs w:val="28"/>
        </w:rPr>
        <w:t xml:space="preserve">дослідженнях, їй належать результати обробки отриманих даних. Ідеї та </w:t>
      </w:r>
      <w:r w:rsidR="00175CEA" w:rsidRPr="00520861">
        <w:rPr>
          <w:sz w:val="28"/>
          <w:szCs w:val="28"/>
        </w:rPr>
        <w:br/>
      </w:r>
      <w:r w:rsidRPr="00520861">
        <w:rPr>
          <w:sz w:val="28"/>
          <w:szCs w:val="28"/>
        </w:rPr>
        <w:t>результати наукових праць інших дослідників авторкою не використовувались.</w:t>
      </w:r>
    </w:p>
    <w:p w14:paraId="2FB7DCE2" w14:textId="77777777" w:rsidR="0084704B" w:rsidRPr="00520861" w:rsidRDefault="00207B46" w:rsidP="00292D2E">
      <w:pPr>
        <w:widowControl w:val="0"/>
        <w:spacing w:line="360" w:lineRule="auto"/>
        <w:ind w:firstLine="708"/>
        <w:jc w:val="both"/>
        <w:rPr>
          <w:rStyle w:val="a3"/>
          <w:b w:val="0"/>
          <w:sz w:val="28"/>
          <w:szCs w:val="28"/>
        </w:rPr>
      </w:pPr>
      <w:r w:rsidRPr="00520861">
        <w:rPr>
          <w:b/>
          <w:bCs/>
          <w:sz w:val="28"/>
          <w:szCs w:val="28"/>
        </w:rPr>
        <w:t>А</w:t>
      </w:r>
      <w:r w:rsidR="0001364B" w:rsidRPr="00520861">
        <w:rPr>
          <w:b/>
          <w:bCs/>
          <w:sz w:val="28"/>
          <w:szCs w:val="28"/>
        </w:rPr>
        <w:t>пробація результатів дисертації</w:t>
      </w:r>
      <w:r w:rsidR="00523297" w:rsidRPr="00520861">
        <w:rPr>
          <w:b/>
          <w:bCs/>
          <w:sz w:val="28"/>
          <w:szCs w:val="28"/>
        </w:rPr>
        <w:t xml:space="preserve">. </w:t>
      </w:r>
      <w:r w:rsidR="0084704B" w:rsidRPr="00520861">
        <w:rPr>
          <w:bCs/>
          <w:sz w:val="28"/>
          <w:szCs w:val="28"/>
        </w:rPr>
        <w:t xml:space="preserve">Основні положення дисертаційної роботи </w:t>
      </w:r>
      <w:r w:rsidR="0084704B" w:rsidRPr="00520861">
        <w:rPr>
          <w:bCs/>
          <w:sz w:val="28"/>
          <w:szCs w:val="28"/>
        </w:rPr>
        <w:lastRenderedPageBreak/>
        <w:t>викладено й обговорено на засіданнях кафе</w:t>
      </w:r>
      <w:r w:rsidR="007A0490" w:rsidRPr="00520861">
        <w:rPr>
          <w:bCs/>
          <w:sz w:val="28"/>
          <w:szCs w:val="28"/>
        </w:rPr>
        <w:t xml:space="preserve">дри терапевтичної стоматології </w:t>
      </w:r>
      <w:r w:rsidR="00175CEA" w:rsidRPr="00520861">
        <w:rPr>
          <w:bCs/>
          <w:sz w:val="28"/>
          <w:szCs w:val="28"/>
        </w:rPr>
        <w:br/>
      </w:r>
      <w:r w:rsidR="0084704B" w:rsidRPr="00520861">
        <w:rPr>
          <w:bCs/>
          <w:sz w:val="28"/>
          <w:szCs w:val="28"/>
        </w:rPr>
        <w:t xml:space="preserve">Харківського національного медичного університету (2014–2020 рр.); на </w:t>
      </w:r>
      <w:r w:rsidR="00175CEA" w:rsidRPr="00520861">
        <w:rPr>
          <w:bCs/>
          <w:sz w:val="28"/>
          <w:szCs w:val="28"/>
        </w:rPr>
        <w:br/>
      </w:r>
      <w:r w:rsidR="0084704B" w:rsidRPr="00520861">
        <w:rPr>
          <w:bCs/>
          <w:sz w:val="28"/>
          <w:szCs w:val="28"/>
        </w:rPr>
        <w:t xml:space="preserve">Міжнародній науково-практичній конференції «Актуальні проблеми стоматології (Львів, 15–16 жовтня 2015 р.); 13-й Щорічній науково-практичній конференції з </w:t>
      </w:r>
      <w:r w:rsidR="00175CEA" w:rsidRPr="00520861">
        <w:rPr>
          <w:bCs/>
          <w:sz w:val="28"/>
          <w:szCs w:val="28"/>
        </w:rPr>
        <w:br/>
      </w:r>
      <w:r w:rsidR="0084704B" w:rsidRPr="00520861">
        <w:rPr>
          <w:bCs/>
          <w:sz w:val="28"/>
          <w:szCs w:val="28"/>
        </w:rPr>
        <w:t>міжнародною участю «Ендокринна патологія у віковому аспекті» (м. Харків, 27–28 листопада 2015 р.); Республіканській науково-практичній конференції з міжнародною участю «</w:t>
      </w:r>
      <w:proofErr w:type="spellStart"/>
      <w:r w:rsidR="0084704B" w:rsidRPr="00520861">
        <w:rPr>
          <w:bCs/>
          <w:sz w:val="28"/>
          <w:szCs w:val="28"/>
        </w:rPr>
        <w:t>Актуальные</w:t>
      </w:r>
      <w:proofErr w:type="spellEnd"/>
      <w:r w:rsidR="0084704B" w:rsidRPr="00520861">
        <w:rPr>
          <w:bCs/>
          <w:sz w:val="28"/>
          <w:szCs w:val="28"/>
        </w:rPr>
        <w:t xml:space="preserve"> </w:t>
      </w:r>
      <w:proofErr w:type="spellStart"/>
      <w:r w:rsidR="0084704B" w:rsidRPr="00520861">
        <w:rPr>
          <w:bCs/>
          <w:sz w:val="28"/>
          <w:szCs w:val="28"/>
        </w:rPr>
        <w:t>проблемы</w:t>
      </w:r>
      <w:proofErr w:type="spellEnd"/>
      <w:r w:rsidR="0084704B" w:rsidRPr="00520861">
        <w:rPr>
          <w:bCs/>
          <w:sz w:val="28"/>
          <w:szCs w:val="28"/>
        </w:rPr>
        <w:t xml:space="preserve"> </w:t>
      </w:r>
      <w:proofErr w:type="spellStart"/>
      <w:r w:rsidR="0084704B" w:rsidRPr="00520861">
        <w:rPr>
          <w:bCs/>
          <w:sz w:val="28"/>
          <w:szCs w:val="28"/>
        </w:rPr>
        <w:t>медицины</w:t>
      </w:r>
      <w:proofErr w:type="spellEnd"/>
      <w:r w:rsidR="0084704B" w:rsidRPr="00520861">
        <w:rPr>
          <w:bCs/>
          <w:sz w:val="28"/>
          <w:szCs w:val="28"/>
        </w:rPr>
        <w:t>» (</w:t>
      </w:r>
      <w:r w:rsidR="00D02EF2" w:rsidRPr="00520861">
        <w:rPr>
          <w:bCs/>
          <w:sz w:val="28"/>
          <w:szCs w:val="28"/>
        </w:rPr>
        <w:t xml:space="preserve">м. </w:t>
      </w:r>
      <w:r w:rsidR="0084704B" w:rsidRPr="00520861">
        <w:rPr>
          <w:bCs/>
          <w:sz w:val="28"/>
          <w:szCs w:val="28"/>
        </w:rPr>
        <w:t xml:space="preserve">Гомель (Республіка Білорусь), 3–4 листопада 2016 р.); на 42-й Науково-методичній конференції «Актуальні проблеми та перспективи підготовки лікарських кадрів у Харківському національному медичному університеті» (м. Харків, 27 квітня 2016 р.); Національному конгресі з </w:t>
      </w:r>
      <w:r w:rsidR="00175CEA" w:rsidRPr="00520861">
        <w:rPr>
          <w:bCs/>
          <w:sz w:val="28"/>
          <w:szCs w:val="28"/>
        </w:rPr>
        <w:br/>
      </w:r>
      <w:r w:rsidR="0084704B" w:rsidRPr="00520861">
        <w:rPr>
          <w:bCs/>
          <w:sz w:val="28"/>
          <w:szCs w:val="28"/>
        </w:rPr>
        <w:t>міжнародною участю «</w:t>
      </w:r>
      <w:proofErr w:type="spellStart"/>
      <w:r w:rsidR="0084704B" w:rsidRPr="00520861">
        <w:rPr>
          <w:bCs/>
          <w:sz w:val="28"/>
          <w:szCs w:val="28"/>
        </w:rPr>
        <w:t>Паринские</w:t>
      </w:r>
      <w:proofErr w:type="spellEnd"/>
      <w:r w:rsidR="0084704B" w:rsidRPr="00520861">
        <w:rPr>
          <w:bCs/>
          <w:sz w:val="28"/>
          <w:szCs w:val="28"/>
        </w:rPr>
        <w:t xml:space="preserve"> </w:t>
      </w:r>
      <w:proofErr w:type="spellStart"/>
      <w:r w:rsidR="0084704B" w:rsidRPr="00520861">
        <w:rPr>
          <w:bCs/>
          <w:sz w:val="28"/>
          <w:szCs w:val="28"/>
        </w:rPr>
        <w:t>чтения</w:t>
      </w:r>
      <w:proofErr w:type="spellEnd"/>
      <w:r w:rsidR="0084704B" w:rsidRPr="00520861">
        <w:rPr>
          <w:bCs/>
          <w:sz w:val="28"/>
          <w:szCs w:val="28"/>
        </w:rPr>
        <w:t xml:space="preserve"> – 2016. </w:t>
      </w:r>
      <w:proofErr w:type="spellStart"/>
      <w:r w:rsidR="0084704B" w:rsidRPr="00520861">
        <w:rPr>
          <w:bCs/>
          <w:sz w:val="28"/>
          <w:szCs w:val="28"/>
        </w:rPr>
        <w:t>Обеспечение</w:t>
      </w:r>
      <w:proofErr w:type="spellEnd"/>
      <w:r w:rsidR="0084704B" w:rsidRPr="00520861">
        <w:rPr>
          <w:bCs/>
          <w:sz w:val="28"/>
          <w:szCs w:val="28"/>
        </w:rPr>
        <w:t xml:space="preserve"> </w:t>
      </w:r>
      <w:proofErr w:type="spellStart"/>
      <w:r w:rsidR="0084704B" w:rsidRPr="00520861">
        <w:rPr>
          <w:bCs/>
          <w:sz w:val="28"/>
          <w:szCs w:val="28"/>
        </w:rPr>
        <w:t>демографической</w:t>
      </w:r>
      <w:proofErr w:type="spellEnd"/>
      <w:r w:rsidR="0084704B" w:rsidRPr="00520861">
        <w:rPr>
          <w:bCs/>
          <w:sz w:val="28"/>
          <w:szCs w:val="28"/>
        </w:rPr>
        <w:t xml:space="preserve"> </w:t>
      </w:r>
      <w:r w:rsidR="00175CEA" w:rsidRPr="00520861">
        <w:rPr>
          <w:bCs/>
          <w:sz w:val="28"/>
          <w:szCs w:val="28"/>
        </w:rPr>
        <w:br/>
      </w:r>
      <w:proofErr w:type="spellStart"/>
      <w:r w:rsidR="0084704B" w:rsidRPr="00520861">
        <w:rPr>
          <w:bCs/>
          <w:sz w:val="28"/>
          <w:szCs w:val="28"/>
        </w:rPr>
        <w:t>безопасности</w:t>
      </w:r>
      <w:proofErr w:type="spellEnd"/>
      <w:r w:rsidR="0084704B" w:rsidRPr="00520861">
        <w:rPr>
          <w:bCs/>
          <w:sz w:val="28"/>
          <w:szCs w:val="28"/>
        </w:rPr>
        <w:t xml:space="preserve"> при </w:t>
      </w:r>
      <w:proofErr w:type="spellStart"/>
      <w:r w:rsidR="0084704B" w:rsidRPr="00520861">
        <w:rPr>
          <w:bCs/>
          <w:sz w:val="28"/>
          <w:szCs w:val="28"/>
        </w:rPr>
        <w:t>решении</w:t>
      </w:r>
      <w:proofErr w:type="spellEnd"/>
      <w:r w:rsidR="0084704B" w:rsidRPr="00520861">
        <w:rPr>
          <w:bCs/>
          <w:sz w:val="28"/>
          <w:szCs w:val="28"/>
        </w:rPr>
        <w:t xml:space="preserve"> </w:t>
      </w:r>
      <w:proofErr w:type="spellStart"/>
      <w:r w:rsidR="0084704B" w:rsidRPr="00520861">
        <w:rPr>
          <w:bCs/>
          <w:sz w:val="28"/>
          <w:szCs w:val="28"/>
        </w:rPr>
        <w:t>актуальных</w:t>
      </w:r>
      <w:proofErr w:type="spellEnd"/>
      <w:r w:rsidR="0084704B" w:rsidRPr="00520861">
        <w:rPr>
          <w:bCs/>
          <w:sz w:val="28"/>
          <w:szCs w:val="28"/>
        </w:rPr>
        <w:t xml:space="preserve"> </w:t>
      </w:r>
      <w:proofErr w:type="spellStart"/>
      <w:r w:rsidR="0084704B" w:rsidRPr="00520861">
        <w:rPr>
          <w:bCs/>
          <w:sz w:val="28"/>
          <w:szCs w:val="28"/>
        </w:rPr>
        <w:t>вопросов</w:t>
      </w:r>
      <w:proofErr w:type="spellEnd"/>
      <w:r w:rsidR="0084704B" w:rsidRPr="00520861">
        <w:rPr>
          <w:bCs/>
          <w:sz w:val="28"/>
          <w:szCs w:val="28"/>
        </w:rPr>
        <w:t xml:space="preserve"> </w:t>
      </w:r>
      <w:proofErr w:type="spellStart"/>
      <w:r w:rsidR="0084704B" w:rsidRPr="00520861">
        <w:rPr>
          <w:bCs/>
          <w:sz w:val="28"/>
          <w:szCs w:val="28"/>
        </w:rPr>
        <w:t>хирургической</w:t>
      </w:r>
      <w:proofErr w:type="spellEnd"/>
      <w:r w:rsidR="0084704B" w:rsidRPr="00520861">
        <w:rPr>
          <w:bCs/>
          <w:sz w:val="28"/>
          <w:szCs w:val="28"/>
        </w:rPr>
        <w:t xml:space="preserve"> </w:t>
      </w:r>
      <w:proofErr w:type="spellStart"/>
      <w:r w:rsidR="0084704B" w:rsidRPr="00520861">
        <w:rPr>
          <w:bCs/>
          <w:sz w:val="28"/>
          <w:szCs w:val="28"/>
        </w:rPr>
        <w:t>стоматологии</w:t>
      </w:r>
      <w:proofErr w:type="spellEnd"/>
      <w:r w:rsidR="0084704B" w:rsidRPr="00520861">
        <w:rPr>
          <w:bCs/>
          <w:sz w:val="28"/>
          <w:szCs w:val="28"/>
        </w:rPr>
        <w:t xml:space="preserve"> и </w:t>
      </w:r>
      <w:proofErr w:type="spellStart"/>
      <w:r w:rsidR="0084704B" w:rsidRPr="00520861">
        <w:rPr>
          <w:bCs/>
          <w:sz w:val="28"/>
          <w:szCs w:val="28"/>
        </w:rPr>
        <w:t>челюстно-лицевой</w:t>
      </w:r>
      <w:proofErr w:type="spellEnd"/>
      <w:r w:rsidR="0084704B" w:rsidRPr="00520861">
        <w:rPr>
          <w:bCs/>
          <w:sz w:val="28"/>
          <w:szCs w:val="28"/>
        </w:rPr>
        <w:t xml:space="preserve"> </w:t>
      </w:r>
      <w:proofErr w:type="spellStart"/>
      <w:r w:rsidR="0084704B" w:rsidRPr="00520861">
        <w:rPr>
          <w:bCs/>
          <w:sz w:val="28"/>
          <w:szCs w:val="28"/>
        </w:rPr>
        <w:t>хирургии</w:t>
      </w:r>
      <w:proofErr w:type="spellEnd"/>
      <w:r w:rsidR="0084704B" w:rsidRPr="00520861">
        <w:rPr>
          <w:bCs/>
          <w:sz w:val="28"/>
          <w:szCs w:val="28"/>
        </w:rPr>
        <w:t xml:space="preserve">» (м. Мінськ (Республіка Білорусь), 5–6 травня 2016 р.); 10th </w:t>
      </w:r>
      <w:proofErr w:type="spellStart"/>
      <w:r w:rsidR="0084704B" w:rsidRPr="00520861">
        <w:rPr>
          <w:bCs/>
          <w:sz w:val="28"/>
          <w:szCs w:val="28"/>
        </w:rPr>
        <w:t>Scientific</w:t>
      </w:r>
      <w:proofErr w:type="spellEnd"/>
      <w:r w:rsidR="0084704B" w:rsidRPr="00520861">
        <w:rPr>
          <w:bCs/>
          <w:sz w:val="28"/>
          <w:szCs w:val="28"/>
        </w:rPr>
        <w:t xml:space="preserve"> </w:t>
      </w:r>
      <w:proofErr w:type="spellStart"/>
      <w:r w:rsidR="0084704B" w:rsidRPr="00520861">
        <w:rPr>
          <w:bCs/>
          <w:sz w:val="28"/>
          <w:szCs w:val="28"/>
        </w:rPr>
        <w:t>Conference</w:t>
      </w:r>
      <w:proofErr w:type="spellEnd"/>
      <w:r w:rsidR="0084704B" w:rsidRPr="00520861">
        <w:rPr>
          <w:bCs/>
          <w:sz w:val="28"/>
          <w:szCs w:val="28"/>
        </w:rPr>
        <w:t xml:space="preserve"> </w:t>
      </w:r>
      <w:proofErr w:type="spellStart"/>
      <w:r w:rsidR="0084704B" w:rsidRPr="00520861">
        <w:rPr>
          <w:bCs/>
          <w:sz w:val="28"/>
          <w:szCs w:val="28"/>
        </w:rPr>
        <w:t>entitled</w:t>
      </w:r>
      <w:proofErr w:type="spellEnd"/>
      <w:r w:rsidR="0084704B" w:rsidRPr="00520861">
        <w:rPr>
          <w:bCs/>
          <w:sz w:val="28"/>
          <w:szCs w:val="28"/>
        </w:rPr>
        <w:t xml:space="preserve"> „</w:t>
      </w:r>
      <w:proofErr w:type="spellStart"/>
      <w:r w:rsidR="0084704B" w:rsidRPr="00520861">
        <w:rPr>
          <w:bCs/>
          <w:sz w:val="28"/>
          <w:szCs w:val="28"/>
        </w:rPr>
        <w:t>Environment</w:t>
      </w:r>
      <w:proofErr w:type="spellEnd"/>
      <w:r w:rsidR="0084704B" w:rsidRPr="00520861">
        <w:rPr>
          <w:bCs/>
          <w:sz w:val="28"/>
          <w:szCs w:val="28"/>
        </w:rPr>
        <w:t xml:space="preserve"> </w:t>
      </w:r>
      <w:proofErr w:type="spellStart"/>
      <w:r w:rsidR="0084704B" w:rsidRPr="00520861">
        <w:rPr>
          <w:bCs/>
          <w:sz w:val="28"/>
          <w:szCs w:val="28"/>
        </w:rPr>
        <w:t>and</w:t>
      </w:r>
      <w:proofErr w:type="spellEnd"/>
      <w:r w:rsidR="0084704B" w:rsidRPr="00520861">
        <w:rPr>
          <w:bCs/>
          <w:sz w:val="28"/>
          <w:szCs w:val="28"/>
        </w:rPr>
        <w:t xml:space="preserve"> </w:t>
      </w:r>
      <w:proofErr w:type="spellStart"/>
      <w:r w:rsidR="0084704B" w:rsidRPr="00520861">
        <w:rPr>
          <w:bCs/>
          <w:sz w:val="28"/>
          <w:szCs w:val="28"/>
        </w:rPr>
        <w:t>oral</w:t>
      </w:r>
      <w:proofErr w:type="spellEnd"/>
      <w:r w:rsidR="0084704B" w:rsidRPr="00520861">
        <w:rPr>
          <w:bCs/>
          <w:sz w:val="28"/>
          <w:szCs w:val="28"/>
        </w:rPr>
        <w:t xml:space="preserve"> </w:t>
      </w:r>
      <w:proofErr w:type="spellStart"/>
      <w:r w:rsidR="0084704B" w:rsidRPr="00520861">
        <w:rPr>
          <w:bCs/>
          <w:sz w:val="28"/>
          <w:szCs w:val="28"/>
        </w:rPr>
        <w:t>cavity</w:t>
      </w:r>
      <w:proofErr w:type="spellEnd"/>
      <w:r w:rsidR="0084704B" w:rsidRPr="00520861">
        <w:rPr>
          <w:bCs/>
          <w:sz w:val="28"/>
          <w:szCs w:val="28"/>
        </w:rPr>
        <w:t xml:space="preserve"> </w:t>
      </w:r>
      <w:proofErr w:type="spellStart"/>
      <w:r w:rsidR="0084704B" w:rsidRPr="00520861">
        <w:rPr>
          <w:bCs/>
          <w:sz w:val="28"/>
          <w:szCs w:val="28"/>
        </w:rPr>
        <w:t>health</w:t>
      </w:r>
      <w:proofErr w:type="spellEnd"/>
      <w:r w:rsidR="0084704B" w:rsidRPr="00520861">
        <w:rPr>
          <w:bCs/>
          <w:sz w:val="28"/>
          <w:szCs w:val="28"/>
        </w:rPr>
        <w:t>”, (</w:t>
      </w:r>
      <w:proofErr w:type="spellStart"/>
      <w:r w:rsidR="0084704B" w:rsidRPr="00520861">
        <w:rPr>
          <w:bCs/>
          <w:sz w:val="28"/>
          <w:szCs w:val="28"/>
        </w:rPr>
        <w:t>Nałęczów</w:t>
      </w:r>
      <w:proofErr w:type="spellEnd"/>
      <w:r w:rsidR="0084704B" w:rsidRPr="00520861">
        <w:rPr>
          <w:bCs/>
          <w:sz w:val="28"/>
          <w:szCs w:val="28"/>
        </w:rPr>
        <w:t xml:space="preserve"> (Польща) 25–27 </w:t>
      </w:r>
      <w:proofErr w:type="spellStart"/>
      <w:r w:rsidR="0084704B" w:rsidRPr="00520861">
        <w:rPr>
          <w:bCs/>
          <w:sz w:val="28"/>
          <w:szCs w:val="28"/>
        </w:rPr>
        <w:t>April</w:t>
      </w:r>
      <w:proofErr w:type="spellEnd"/>
      <w:r w:rsidR="0084704B" w:rsidRPr="00520861">
        <w:rPr>
          <w:bCs/>
          <w:sz w:val="28"/>
          <w:szCs w:val="28"/>
        </w:rPr>
        <w:t xml:space="preserve">, 2016); </w:t>
      </w:r>
      <w:r w:rsidR="00D60972" w:rsidRPr="00520861">
        <w:rPr>
          <w:bCs/>
          <w:sz w:val="28"/>
          <w:szCs w:val="28"/>
        </w:rPr>
        <w:t xml:space="preserve">Міжнародній науково-практичній конференції </w:t>
      </w:r>
      <w:r w:rsidR="005245F4" w:rsidRPr="00520861">
        <w:rPr>
          <w:bCs/>
          <w:sz w:val="28"/>
          <w:szCs w:val="28"/>
        </w:rPr>
        <w:br/>
      </w:r>
      <w:r w:rsidR="00D60972" w:rsidRPr="00520861">
        <w:rPr>
          <w:bCs/>
          <w:sz w:val="28"/>
          <w:szCs w:val="28"/>
        </w:rPr>
        <w:t>«</w:t>
      </w:r>
      <w:proofErr w:type="spellStart"/>
      <w:r w:rsidR="00D60972" w:rsidRPr="00520861">
        <w:rPr>
          <w:bCs/>
          <w:sz w:val="28"/>
          <w:szCs w:val="28"/>
        </w:rPr>
        <w:t>Инновационные</w:t>
      </w:r>
      <w:proofErr w:type="spellEnd"/>
      <w:r w:rsidR="00D60972" w:rsidRPr="00520861">
        <w:rPr>
          <w:bCs/>
          <w:sz w:val="28"/>
          <w:szCs w:val="28"/>
        </w:rPr>
        <w:t xml:space="preserve"> </w:t>
      </w:r>
      <w:proofErr w:type="spellStart"/>
      <w:r w:rsidR="00D60972" w:rsidRPr="00520861">
        <w:rPr>
          <w:bCs/>
          <w:sz w:val="28"/>
          <w:szCs w:val="28"/>
        </w:rPr>
        <w:t>технологии</w:t>
      </w:r>
      <w:proofErr w:type="spellEnd"/>
      <w:r w:rsidR="00D60972" w:rsidRPr="00520861">
        <w:rPr>
          <w:bCs/>
          <w:sz w:val="28"/>
          <w:szCs w:val="28"/>
        </w:rPr>
        <w:t xml:space="preserve"> </w:t>
      </w:r>
      <w:proofErr w:type="spellStart"/>
      <w:r w:rsidR="00D60972" w:rsidRPr="00520861">
        <w:rPr>
          <w:bCs/>
          <w:sz w:val="28"/>
          <w:szCs w:val="28"/>
        </w:rPr>
        <w:t>охраны</w:t>
      </w:r>
      <w:proofErr w:type="spellEnd"/>
      <w:r w:rsidR="00D60972" w:rsidRPr="00520861">
        <w:rPr>
          <w:bCs/>
          <w:sz w:val="28"/>
          <w:szCs w:val="28"/>
        </w:rPr>
        <w:t xml:space="preserve"> </w:t>
      </w:r>
      <w:proofErr w:type="spellStart"/>
      <w:r w:rsidR="00D60972" w:rsidRPr="00520861">
        <w:rPr>
          <w:bCs/>
          <w:sz w:val="28"/>
          <w:szCs w:val="28"/>
        </w:rPr>
        <w:t>здоровья</w:t>
      </w:r>
      <w:proofErr w:type="spellEnd"/>
      <w:r w:rsidR="00D60972" w:rsidRPr="00520861">
        <w:rPr>
          <w:bCs/>
          <w:sz w:val="28"/>
          <w:szCs w:val="28"/>
        </w:rPr>
        <w:t xml:space="preserve"> </w:t>
      </w:r>
      <w:proofErr w:type="spellStart"/>
      <w:r w:rsidR="00D60972" w:rsidRPr="00520861">
        <w:rPr>
          <w:bCs/>
          <w:sz w:val="28"/>
          <w:szCs w:val="28"/>
        </w:rPr>
        <w:t>детей</w:t>
      </w:r>
      <w:proofErr w:type="spellEnd"/>
      <w:r w:rsidR="00D60972" w:rsidRPr="00520861">
        <w:rPr>
          <w:bCs/>
          <w:sz w:val="28"/>
          <w:szCs w:val="28"/>
        </w:rPr>
        <w:t xml:space="preserve"> и репродуктивного </w:t>
      </w:r>
      <w:proofErr w:type="spellStart"/>
      <w:r w:rsidR="00D60972" w:rsidRPr="00520861">
        <w:rPr>
          <w:bCs/>
          <w:sz w:val="28"/>
          <w:szCs w:val="28"/>
        </w:rPr>
        <w:t>здоровья</w:t>
      </w:r>
      <w:proofErr w:type="spellEnd"/>
      <w:r w:rsidR="00D60972" w:rsidRPr="00520861">
        <w:rPr>
          <w:bCs/>
          <w:sz w:val="28"/>
          <w:szCs w:val="28"/>
        </w:rPr>
        <w:t xml:space="preserve">» (м. Актобе (Республіка Казахстан), 9 вересня 2016 р.); </w:t>
      </w:r>
      <w:r w:rsidR="0084704B" w:rsidRPr="00520861">
        <w:rPr>
          <w:bCs/>
          <w:sz w:val="28"/>
          <w:szCs w:val="28"/>
        </w:rPr>
        <w:t xml:space="preserve">Науково-практичній конференції з міжнародною участю «Комплексний підхід до реабілітації стоматологічних хворих у сучасних умовах», (м. Полтава, 13 жовтня 2016 р.); Науково-практичній конференції «Функція і естетика </w:t>
      </w:r>
      <w:proofErr w:type="spellStart"/>
      <w:r w:rsidR="0084704B" w:rsidRPr="00520861">
        <w:rPr>
          <w:bCs/>
          <w:sz w:val="28"/>
          <w:szCs w:val="28"/>
        </w:rPr>
        <w:t>щелепно</w:t>
      </w:r>
      <w:proofErr w:type="spellEnd"/>
      <w:r w:rsidR="0084704B" w:rsidRPr="00520861">
        <w:rPr>
          <w:bCs/>
          <w:sz w:val="28"/>
          <w:szCs w:val="28"/>
        </w:rPr>
        <w:t xml:space="preserve">-лицевої ділянки» (м. Запоріжжя, 27–29 квітня 2017 р.); Науково-практичній конференції з міжнародною участю «Стоматологічна наука і практика на Слобожанщині: історія, надбання і перспективи розвитку» (м. Харків, 5–6 жовтня 2017 р.); 44-й Науково-методичній конференції «Сучасний стан та перспективи підготовки лікарів-інтернів у Харківському національному медичному університеті» (м. Харків, 12 квітня 2018 р.); X Конгресі Асоціації патологів України «Перспективи розвитку сучасної патології» (м. Івано-Франківськ – Яремче, 27–28 вересня 2018 р.); </w:t>
      </w:r>
      <w:r w:rsidR="00D60972" w:rsidRPr="00520861">
        <w:rPr>
          <w:bCs/>
          <w:sz w:val="28"/>
          <w:szCs w:val="28"/>
        </w:rPr>
        <w:t xml:space="preserve">Науково-практичній інтернет-конференції з міжнародною </w:t>
      </w:r>
      <w:r w:rsidR="005C4560" w:rsidRPr="00520861">
        <w:rPr>
          <w:bCs/>
          <w:sz w:val="28"/>
          <w:szCs w:val="28"/>
        </w:rPr>
        <w:br/>
      </w:r>
      <w:r w:rsidR="00D60972" w:rsidRPr="00520861">
        <w:rPr>
          <w:bCs/>
          <w:sz w:val="28"/>
          <w:szCs w:val="28"/>
        </w:rPr>
        <w:t xml:space="preserve">участю «Механізми розвитку патологічних процесів і </w:t>
      </w:r>
      <w:proofErr w:type="spellStart"/>
      <w:r w:rsidR="00D60972" w:rsidRPr="00520861">
        <w:rPr>
          <w:bCs/>
          <w:sz w:val="28"/>
          <w:szCs w:val="28"/>
        </w:rPr>
        <w:t>хвороб</w:t>
      </w:r>
      <w:proofErr w:type="spellEnd"/>
      <w:r w:rsidR="00D60972" w:rsidRPr="00520861">
        <w:rPr>
          <w:bCs/>
          <w:sz w:val="28"/>
          <w:szCs w:val="28"/>
        </w:rPr>
        <w:t xml:space="preserve"> та їхня фармакологічна корекція» (м. Харків, 18 жовтня 2018 р.); </w:t>
      </w:r>
      <w:r w:rsidR="0084704B" w:rsidRPr="00520861">
        <w:rPr>
          <w:bCs/>
          <w:sz w:val="28"/>
          <w:szCs w:val="28"/>
        </w:rPr>
        <w:t>IX (XVI) З’їзді стоматологів України «На</w:t>
      </w:r>
      <w:r w:rsidR="0084704B" w:rsidRPr="00520861">
        <w:rPr>
          <w:bCs/>
          <w:sz w:val="28"/>
          <w:szCs w:val="28"/>
        </w:rPr>
        <w:lastRenderedPageBreak/>
        <w:t xml:space="preserve">ціональна програма профілактики основних стоматологічних захворювань як складова державної системи охорони здоров’я України» (м. Київ, 18–19 жовтня 2018 р.); Науково-практичній конференції з міжнародною участю «Актуальні проблеми </w:t>
      </w:r>
      <w:r w:rsidR="005C4560" w:rsidRPr="00520861">
        <w:rPr>
          <w:bCs/>
          <w:sz w:val="28"/>
          <w:szCs w:val="28"/>
        </w:rPr>
        <w:br/>
      </w:r>
      <w:r w:rsidR="0084704B" w:rsidRPr="00520861">
        <w:rPr>
          <w:bCs/>
          <w:sz w:val="28"/>
          <w:szCs w:val="28"/>
        </w:rPr>
        <w:t xml:space="preserve">сучасної стоматології», (м. Полтава, 25–26 жовтня 2018 р.); </w:t>
      </w:r>
      <w:r w:rsidR="00D60972" w:rsidRPr="00520861">
        <w:rPr>
          <w:bCs/>
          <w:sz w:val="28"/>
          <w:szCs w:val="28"/>
        </w:rPr>
        <w:t xml:space="preserve">Науково-практичній конференції за участю міжнародних спеціалістів «Актуальна стоматологія, наука, практика, педагогіка» та «Сучасні аспекти в лікуванні та реабілітації пацієнтів з патологією </w:t>
      </w:r>
      <w:proofErr w:type="spellStart"/>
      <w:r w:rsidR="00D60972" w:rsidRPr="00520861">
        <w:rPr>
          <w:bCs/>
          <w:sz w:val="28"/>
          <w:szCs w:val="28"/>
        </w:rPr>
        <w:t>щелепно</w:t>
      </w:r>
      <w:proofErr w:type="spellEnd"/>
      <w:r w:rsidR="00D60972" w:rsidRPr="00520861">
        <w:rPr>
          <w:bCs/>
          <w:sz w:val="28"/>
          <w:szCs w:val="28"/>
        </w:rPr>
        <w:t xml:space="preserve">-лицевої ділянки» (м. Харків, 23 листопада 2018 р.); </w:t>
      </w:r>
      <w:r w:rsidR="0084704B" w:rsidRPr="00520861">
        <w:rPr>
          <w:bCs/>
          <w:sz w:val="28"/>
          <w:szCs w:val="28"/>
        </w:rPr>
        <w:t xml:space="preserve">Науково-практичній конференції з міжнародною участю, присвяченій 40-річчю відновлення стоматологічної освіти на Слобожанщині (м. Харків, 14 грудня 2018 р.); </w:t>
      </w:r>
      <w:r w:rsidR="001F6490" w:rsidRPr="00520861">
        <w:rPr>
          <w:bCs/>
          <w:sz w:val="28"/>
          <w:szCs w:val="28"/>
        </w:rPr>
        <w:t xml:space="preserve">Всеукраїнській науково-практичній конференції з міжнародною участю «Сучасні питання молекулярно-біохімічних досліджень та лабораторного скринінгу у клінічній та експериментальній медицині» (м. Запоріжжя, 11–12 квітня 2019 р.); </w:t>
      </w:r>
      <w:r w:rsidR="0084704B" w:rsidRPr="00520861">
        <w:rPr>
          <w:bCs/>
          <w:sz w:val="28"/>
          <w:szCs w:val="28"/>
        </w:rPr>
        <w:t xml:space="preserve">Науково-практичній конференції з міжнародною участю «Надбання сучасної епідеміології та </w:t>
      </w:r>
      <w:proofErr w:type="spellStart"/>
      <w:r w:rsidR="0084704B" w:rsidRPr="00520861">
        <w:rPr>
          <w:bCs/>
          <w:sz w:val="28"/>
          <w:szCs w:val="28"/>
        </w:rPr>
        <w:t>біостатистики</w:t>
      </w:r>
      <w:proofErr w:type="spellEnd"/>
      <w:r w:rsidR="0084704B" w:rsidRPr="00520861">
        <w:rPr>
          <w:bCs/>
          <w:sz w:val="28"/>
          <w:szCs w:val="28"/>
        </w:rPr>
        <w:t xml:space="preserve"> як запорука покращення громадського здоров’я в Україні» (м. Харків, 18 квітня 2019 р.); VI Міжнародній науково-практичній конференції «</w:t>
      </w:r>
      <w:proofErr w:type="spellStart"/>
      <w:r w:rsidR="0084704B" w:rsidRPr="00520861">
        <w:rPr>
          <w:bCs/>
          <w:sz w:val="28"/>
          <w:szCs w:val="28"/>
        </w:rPr>
        <w:t>Гендер</w:t>
      </w:r>
      <w:proofErr w:type="spellEnd"/>
      <w:r w:rsidR="0084704B" w:rsidRPr="00520861">
        <w:rPr>
          <w:bCs/>
          <w:sz w:val="28"/>
          <w:szCs w:val="28"/>
        </w:rPr>
        <w:t>. Екологія. Здоров’я» (Харків, 18–19 квітня 2019 р.); Науково-практичній конференції з міжнародною участю «</w:t>
      </w:r>
      <w:proofErr w:type="spellStart"/>
      <w:r w:rsidR="0084704B" w:rsidRPr="00520861">
        <w:rPr>
          <w:bCs/>
          <w:sz w:val="28"/>
          <w:szCs w:val="28"/>
        </w:rPr>
        <w:t>Взаємоінтеграція</w:t>
      </w:r>
      <w:proofErr w:type="spellEnd"/>
      <w:r w:rsidR="0084704B" w:rsidRPr="00520861">
        <w:rPr>
          <w:bCs/>
          <w:sz w:val="28"/>
          <w:szCs w:val="28"/>
        </w:rPr>
        <w:t xml:space="preserve"> теорії та практики в сучасній стоматології» (м. Чернівці, 16–17 травня 2019 р.); </w:t>
      </w:r>
      <w:r w:rsidR="001F6490" w:rsidRPr="00520861">
        <w:rPr>
          <w:bCs/>
          <w:sz w:val="28"/>
          <w:szCs w:val="28"/>
        </w:rPr>
        <w:t xml:space="preserve">12th </w:t>
      </w:r>
      <w:proofErr w:type="spellStart"/>
      <w:r w:rsidR="001F6490" w:rsidRPr="00520861">
        <w:rPr>
          <w:bCs/>
          <w:sz w:val="28"/>
          <w:szCs w:val="28"/>
        </w:rPr>
        <w:t>International</w:t>
      </w:r>
      <w:proofErr w:type="spellEnd"/>
      <w:r w:rsidR="001F6490" w:rsidRPr="00520861">
        <w:rPr>
          <w:bCs/>
          <w:sz w:val="28"/>
          <w:szCs w:val="28"/>
        </w:rPr>
        <w:t xml:space="preserve"> </w:t>
      </w:r>
      <w:proofErr w:type="spellStart"/>
      <w:r w:rsidR="001F6490" w:rsidRPr="00520861">
        <w:rPr>
          <w:bCs/>
          <w:sz w:val="28"/>
          <w:szCs w:val="28"/>
        </w:rPr>
        <w:t>Scientific</w:t>
      </w:r>
      <w:proofErr w:type="spellEnd"/>
      <w:r w:rsidR="001F6490" w:rsidRPr="00520861">
        <w:rPr>
          <w:bCs/>
          <w:sz w:val="28"/>
          <w:szCs w:val="28"/>
        </w:rPr>
        <w:t xml:space="preserve"> </w:t>
      </w:r>
      <w:proofErr w:type="spellStart"/>
      <w:r w:rsidR="001F6490" w:rsidRPr="00520861">
        <w:rPr>
          <w:bCs/>
          <w:sz w:val="28"/>
          <w:szCs w:val="28"/>
        </w:rPr>
        <w:t>Conference</w:t>
      </w:r>
      <w:proofErr w:type="spellEnd"/>
      <w:r w:rsidR="001F6490" w:rsidRPr="00520861">
        <w:rPr>
          <w:bCs/>
          <w:sz w:val="28"/>
          <w:szCs w:val="28"/>
        </w:rPr>
        <w:t xml:space="preserve"> “</w:t>
      </w:r>
      <w:proofErr w:type="spellStart"/>
      <w:r w:rsidR="001F6490" w:rsidRPr="00520861">
        <w:rPr>
          <w:bCs/>
          <w:spacing w:val="-4"/>
          <w:sz w:val="28"/>
          <w:szCs w:val="28"/>
        </w:rPr>
        <w:t>Environment</w:t>
      </w:r>
      <w:proofErr w:type="spellEnd"/>
      <w:r w:rsidR="001F6490" w:rsidRPr="00520861">
        <w:rPr>
          <w:bCs/>
          <w:spacing w:val="-4"/>
          <w:sz w:val="28"/>
          <w:szCs w:val="28"/>
        </w:rPr>
        <w:t xml:space="preserve"> </w:t>
      </w:r>
      <w:proofErr w:type="spellStart"/>
      <w:r w:rsidR="001F6490" w:rsidRPr="00520861">
        <w:rPr>
          <w:bCs/>
          <w:spacing w:val="-4"/>
          <w:sz w:val="28"/>
          <w:szCs w:val="28"/>
        </w:rPr>
        <w:t>and</w:t>
      </w:r>
      <w:proofErr w:type="spellEnd"/>
      <w:r w:rsidR="001F6490" w:rsidRPr="00520861">
        <w:rPr>
          <w:bCs/>
          <w:spacing w:val="-4"/>
          <w:sz w:val="28"/>
          <w:szCs w:val="28"/>
        </w:rPr>
        <w:t xml:space="preserve"> </w:t>
      </w:r>
      <w:proofErr w:type="spellStart"/>
      <w:r w:rsidR="001F6490" w:rsidRPr="00520861">
        <w:rPr>
          <w:bCs/>
          <w:spacing w:val="-4"/>
          <w:sz w:val="28"/>
          <w:szCs w:val="28"/>
        </w:rPr>
        <w:t>the</w:t>
      </w:r>
      <w:proofErr w:type="spellEnd"/>
      <w:r w:rsidR="001F6490" w:rsidRPr="00520861">
        <w:rPr>
          <w:bCs/>
          <w:spacing w:val="-4"/>
          <w:sz w:val="28"/>
          <w:szCs w:val="28"/>
        </w:rPr>
        <w:t xml:space="preserve"> </w:t>
      </w:r>
      <w:proofErr w:type="spellStart"/>
      <w:r w:rsidR="001F6490" w:rsidRPr="00520861">
        <w:rPr>
          <w:bCs/>
          <w:spacing w:val="-4"/>
          <w:sz w:val="28"/>
          <w:szCs w:val="28"/>
        </w:rPr>
        <w:t>condition</w:t>
      </w:r>
      <w:proofErr w:type="spellEnd"/>
      <w:r w:rsidR="001F6490" w:rsidRPr="00520861">
        <w:rPr>
          <w:bCs/>
          <w:spacing w:val="-4"/>
          <w:sz w:val="28"/>
          <w:szCs w:val="28"/>
        </w:rPr>
        <w:t xml:space="preserve"> </w:t>
      </w:r>
      <w:proofErr w:type="spellStart"/>
      <w:r w:rsidR="001F6490" w:rsidRPr="00520861">
        <w:rPr>
          <w:bCs/>
          <w:spacing w:val="-4"/>
          <w:sz w:val="28"/>
          <w:szCs w:val="28"/>
        </w:rPr>
        <w:t>of</w:t>
      </w:r>
      <w:proofErr w:type="spellEnd"/>
      <w:r w:rsidR="001F6490" w:rsidRPr="00520861">
        <w:rPr>
          <w:bCs/>
          <w:spacing w:val="-4"/>
          <w:sz w:val="28"/>
          <w:szCs w:val="28"/>
        </w:rPr>
        <w:t xml:space="preserve"> </w:t>
      </w:r>
      <w:proofErr w:type="spellStart"/>
      <w:r w:rsidR="001F6490" w:rsidRPr="00520861">
        <w:rPr>
          <w:bCs/>
          <w:spacing w:val="-4"/>
          <w:sz w:val="28"/>
          <w:szCs w:val="28"/>
        </w:rPr>
        <w:t>the</w:t>
      </w:r>
      <w:proofErr w:type="spellEnd"/>
      <w:r w:rsidR="001F6490" w:rsidRPr="00520861">
        <w:rPr>
          <w:bCs/>
          <w:spacing w:val="-4"/>
          <w:sz w:val="28"/>
          <w:szCs w:val="28"/>
        </w:rPr>
        <w:t xml:space="preserve"> </w:t>
      </w:r>
      <w:proofErr w:type="spellStart"/>
      <w:r w:rsidR="001F6490" w:rsidRPr="00520861">
        <w:rPr>
          <w:bCs/>
          <w:spacing w:val="-4"/>
          <w:sz w:val="28"/>
          <w:szCs w:val="28"/>
        </w:rPr>
        <w:t>oral</w:t>
      </w:r>
      <w:proofErr w:type="spellEnd"/>
      <w:r w:rsidR="001F6490" w:rsidRPr="00520861">
        <w:rPr>
          <w:bCs/>
          <w:spacing w:val="-4"/>
          <w:sz w:val="28"/>
          <w:szCs w:val="28"/>
        </w:rPr>
        <w:t xml:space="preserve"> </w:t>
      </w:r>
      <w:proofErr w:type="spellStart"/>
      <w:r w:rsidR="001F6490" w:rsidRPr="00520861">
        <w:rPr>
          <w:bCs/>
          <w:spacing w:val="-4"/>
          <w:sz w:val="28"/>
          <w:szCs w:val="28"/>
        </w:rPr>
        <w:t>cavity</w:t>
      </w:r>
      <w:proofErr w:type="spellEnd"/>
      <w:r w:rsidR="001F6490" w:rsidRPr="00520861">
        <w:rPr>
          <w:bCs/>
          <w:spacing w:val="-4"/>
          <w:sz w:val="28"/>
          <w:szCs w:val="28"/>
        </w:rPr>
        <w:t>” (</w:t>
      </w:r>
      <w:proofErr w:type="spellStart"/>
      <w:r w:rsidR="001F6490" w:rsidRPr="00520861">
        <w:rPr>
          <w:bCs/>
          <w:spacing w:val="-4"/>
          <w:sz w:val="28"/>
          <w:szCs w:val="28"/>
        </w:rPr>
        <w:t>Lublin</w:t>
      </w:r>
      <w:proofErr w:type="spellEnd"/>
      <w:r w:rsidR="001F6490" w:rsidRPr="00520861">
        <w:rPr>
          <w:bCs/>
          <w:spacing w:val="-4"/>
          <w:sz w:val="28"/>
          <w:szCs w:val="28"/>
        </w:rPr>
        <w:t xml:space="preserve"> (Польща), 31.05–01.06.2019 р.</w:t>
      </w:r>
      <w:r w:rsidR="001F6490" w:rsidRPr="00520861">
        <w:rPr>
          <w:bCs/>
          <w:sz w:val="28"/>
          <w:szCs w:val="28"/>
        </w:rPr>
        <w:t xml:space="preserve">); </w:t>
      </w:r>
      <w:r w:rsidR="0084704B" w:rsidRPr="00520861">
        <w:rPr>
          <w:bCs/>
          <w:sz w:val="28"/>
          <w:szCs w:val="28"/>
        </w:rPr>
        <w:t>Науково-практичній конференції з міжнародною участю «Наука, технології та практика в стоматології</w:t>
      </w:r>
      <w:r w:rsidR="001F6490" w:rsidRPr="00520861">
        <w:rPr>
          <w:bCs/>
          <w:sz w:val="28"/>
          <w:szCs w:val="28"/>
        </w:rPr>
        <w:t>»</w:t>
      </w:r>
      <w:r w:rsidR="0084704B" w:rsidRPr="00520861">
        <w:rPr>
          <w:bCs/>
          <w:sz w:val="28"/>
          <w:szCs w:val="28"/>
        </w:rPr>
        <w:t xml:space="preserve"> (м. Харків, 30 жовтня 2019 р.); Науково-практичній конференції з міжнародною участю «Актуальні проблеми стоматології, </w:t>
      </w:r>
      <w:proofErr w:type="spellStart"/>
      <w:r w:rsidR="0084704B" w:rsidRPr="00520861">
        <w:rPr>
          <w:bCs/>
          <w:sz w:val="28"/>
          <w:szCs w:val="28"/>
        </w:rPr>
        <w:t>щелепно</w:t>
      </w:r>
      <w:proofErr w:type="spellEnd"/>
      <w:r w:rsidR="0084704B" w:rsidRPr="00520861">
        <w:rPr>
          <w:bCs/>
          <w:sz w:val="28"/>
          <w:szCs w:val="28"/>
        </w:rPr>
        <w:t>-лицевої хірургії, пластичної та реконструктивної</w:t>
      </w:r>
      <w:r w:rsidR="005C4560" w:rsidRPr="00520861">
        <w:rPr>
          <w:bCs/>
          <w:sz w:val="28"/>
          <w:szCs w:val="28"/>
        </w:rPr>
        <w:br/>
      </w:r>
      <w:r w:rsidR="0084704B" w:rsidRPr="00520861">
        <w:rPr>
          <w:bCs/>
          <w:sz w:val="28"/>
          <w:szCs w:val="28"/>
        </w:rPr>
        <w:t xml:space="preserve"> хірургії голови та шиї» (м. Полтава, 14–15 листопада 2019 р.); ІІ Науково-практичній інтернет-конференції з міжнародною участю «Механізми розвитку патологічних процесів і </w:t>
      </w:r>
      <w:proofErr w:type="spellStart"/>
      <w:r w:rsidR="0084704B" w:rsidRPr="00520861">
        <w:rPr>
          <w:bCs/>
          <w:sz w:val="28"/>
          <w:szCs w:val="28"/>
        </w:rPr>
        <w:t>хвороб</w:t>
      </w:r>
      <w:proofErr w:type="spellEnd"/>
      <w:r w:rsidR="0084704B" w:rsidRPr="00520861">
        <w:rPr>
          <w:bCs/>
          <w:sz w:val="28"/>
          <w:szCs w:val="28"/>
        </w:rPr>
        <w:t xml:space="preserve"> та їхня фармакологічна корекція» (м. Харків, 21 листопада 2019 р.); Науково-практичній конференції з міжнародною участю «Сучасна стоматологія: нові підходи до діагностики, лікування та профілактики» (м. Харків, 26 лютого 2020 р.); XIII Конгресі з міжнародною участю «Людина та ліки» (м. Київ, 21 травня 2020 р.); Всеукраїнській науково-практичній конференції з міжнародною участю «Сучасні </w:t>
      </w:r>
      <w:r w:rsidR="005C4560" w:rsidRPr="00520861">
        <w:rPr>
          <w:bCs/>
          <w:sz w:val="28"/>
          <w:szCs w:val="28"/>
        </w:rPr>
        <w:br/>
      </w:r>
      <w:r w:rsidR="0084704B" w:rsidRPr="00520861">
        <w:rPr>
          <w:bCs/>
          <w:sz w:val="28"/>
          <w:szCs w:val="28"/>
        </w:rPr>
        <w:lastRenderedPageBreak/>
        <w:t>питання молекулярно-біохімічних досліджень та лабораторного скринінгу у клінічній та експериментальній медицині – 2020» (м. Запоріжжя, 5–6 березня 2020 р.).</w:t>
      </w:r>
      <w:r w:rsidR="0084704B" w:rsidRPr="00520861">
        <w:rPr>
          <w:rStyle w:val="a3"/>
          <w:sz w:val="28"/>
          <w:szCs w:val="28"/>
          <w:shd w:val="clear" w:color="auto" w:fill="FFFFFF"/>
        </w:rPr>
        <w:t xml:space="preserve"> </w:t>
      </w:r>
    </w:p>
    <w:p w14:paraId="3BA1A07F" w14:textId="77777777" w:rsidR="005527F8" w:rsidRPr="00520861" w:rsidRDefault="0001364B" w:rsidP="00292D2E">
      <w:pPr>
        <w:widowControl w:val="0"/>
        <w:spacing w:line="360" w:lineRule="auto"/>
        <w:ind w:firstLine="708"/>
        <w:jc w:val="both"/>
        <w:rPr>
          <w:rStyle w:val="a3"/>
          <w:b w:val="0"/>
          <w:sz w:val="28"/>
          <w:szCs w:val="28"/>
          <w:shd w:val="clear" w:color="auto" w:fill="FFFFFF"/>
        </w:rPr>
      </w:pPr>
      <w:r w:rsidRPr="00520861">
        <w:rPr>
          <w:rStyle w:val="a3"/>
          <w:sz w:val="28"/>
          <w:szCs w:val="28"/>
          <w:shd w:val="clear" w:color="auto" w:fill="FFFFFF"/>
        </w:rPr>
        <w:t>Публікації</w:t>
      </w:r>
      <w:r w:rsidR="00523297" w:rsidRPr="00520861">
        <w:rPr>
          <w:rStyle w:val="a3"/>
          <w:sz w:val="28"/>
          <w:szCs w:val="28"/>
          <w:shd w:val="clear" w:color="auto" w:fill="FFFFFF"/>
        </w:rPr>
        <w:t xml:space="preserve">. </w:t>
      </w:r>
      <w:r w:rsidR="004A6743" w:rsidRPr="00520861">
        <w:rPr>
          <w:rStyle w:val="a3"/>
          <w:b w:val="0"/>
          <w:sz w:val="28"/>
          <w:szCs w:val="28"/>
          <w:shd w:val="clear" w:color="auto" w:fill="FFFFFF"/>
        </w:rPr>
        <w:t xml:space="preserve">За темою дисертації опубліковано </w:t>
      </w:r>
      <w:r w:rsidR="00C13E93" w:rsidRPr="00520861">
        <w:rPr>
          <w:rStyle w:val="a3"/>
          <w:b w:val="0"/>
          <w:sz w:val="28"/>
          <w:szCs w:val="28"/>
          <w:shd w:val="clear" w:color="auto" w:fill="FFFFFF"/>
        </w:rPr>
        <w:t>56</w:t>
      </w:r>
      <w:r w:rsidR="0085081E" w:rsidRPr="00520861">
        <w:rPr>
          <w:rStyle w:val="a3"/>
          <w:b w:val="0"/>
          <w:sz w:val="28"/>
          <w:szCs w:val="28"/>
          <w:shd w:val="clear" w:color="auto" w:fill="FFFFFF"/>
        </w:rPr>
        <w:t xml:space="preserve"> наукових праць</w:t>
      </w:r>
      <w:r w:rsidR="005A458B" w:rsidRPr="00520861">
        <w:rPr>
          <w:rStyle w:val="a3"/>
          <w:b w:val="0"/>
          <w:sz w:val="28"/>
          <w:szCs w:val="28"/>
          <w:shd w:val="clear" w:color="auto" w:fill="FFFFFF"/>
        </w:rPr>
        <w:t>, серед яких</w:t>
      </w:r>
      <w:r w:rsidR="004A6743" w:rsidRPr="00520861">
        <w:rPr>
          <w:rStyle w:val="a3"/>
          <w:b w:val="0"/>
          <w:sz w:val="28"/>
          <w:szCs w:val="28"/>
          <w:shd w:val="clear" w:color="auto" w:fill="FFFFFF"/>
        </w:rPr>
        <w:t xml:space="preserve"> </w:t>
      </w:r>
      <w:r w:rsidR="00627D99" w:rsidRPr="00520861">
        <w:rPr>
          <w:rStyle w:val="a3"/>
          <w:b w:val="0"/>
          <w:sz w:val="28"/>
          <w:szCs w:val="28"/>
          <w:shd w:val="clear" w:color="auto" w:fill="FFFFFF"/>
        </w:rPr>
        <w:t>30 статей</w:t>
      </w:r>
      <w:r w:rsidR="005A313A" w:rsidRPr="00520861">
        <w:rPr>
          <w:rStyle w:val="a3"/>
          <w:b w:val="0"/>
          <w:sz w:val="28"/>
          <w:szCs w:val="28"/>
          <w:shd w:val="clear" w:color="auto" w:fill="FFFFFF"/>
        </w:rPr>
        <w:t xml:space="preserve"> </w:t>
      </w:r>
      <w:r w:rsidR="005A313A" w:rsidRPr="00520861">
        <w:rPr>
          <w:sz w:val="28"/>
          <w:szCs w:val="28"/>
        </w:rPr>
        <w:t>у фахових наукових виданнях</w:t>
      </w:r>
      <w:r w:rsidR="005A313A" w:rsidRPr="00520861">
        <w:rPr>
          <w:rStyle w:val="a3"/>
          <w:b w:val="0"/>
          <w:sz w:val="28"/>
          <w:szCs w:val="28"/>
          <w:shd w:val="clear" w:color="auto" w:fill="FFFFFF"/>
        </w:rPr>
        <w:t xml:space="preserve"> (</w:t>
      </w:r>
      <w:r w:rsidR="00A00F04" w:rsidRPr="00520861">
        <w:rPr>
          <w:bCs/>
          <w:sz w:val="28"/>
          <w:szCs w:val="28"/>
          <w:shd w:val="clear" w:color="auto" w:fill="FFFFFF"/>
        </w:rPr>
        <w:t xml:space="preserve">у тому числі </w:t>
      </w:r>
      <w:r w:rsidR="000E10FB" w:rsidRPr="00520861">
        <w:rPr>
          <w:rStyle w:val="a3"/>
          <w:b w:val="0"/>
          <w:sz w:val="28"/>
          <w:szCs w:val="28"/>
          <w:shd w:val="clear" w:color="auto" w:fill="FFFFFF"/>
        </w:rPr>
        <w:t>12 </w:t>
      </w:r>
      <w:r w:rsidR="007071D3" w:rsidRPr="00520861">
        <w:rPr>
          <w:rStyle w:val="a3"/>
          <w:b w:val="0"/>
          <w:sz w:val="28"/>
          <w:szCs w:val="28"/>
          <w:shd w:val="clear" w:color="auto" w:fill="FFFFFF"/>
        </w:rPr>
        <w:t xml:space="preserve">статей у журналах, які включено до міжнародних </w:t>
      </w:r>
      <w:proofErr w:type="spellStart"/>
      <w:r w:rsidR="007071D3" w:rsidRPr="00520861">
        <w:rPr>
          <w:rStyle w:val="a3"/>
          <w:b w:val="0"/>
          <w:sz w:val="28"/>
          <w:szCs w:val="28"/>
          <w:shd w:val="clear" w:color="auto" w:fill="FFFFFF"/>
        </w:rPr>
        <w:t>наукометричних</w:t>
      </w:r>
      <w:proofErr w:type="spellEnd"/>
      <w:r w:rsidR="007071D3" w:rsidRPr="00520861">
        <w:rPr>
          <w:rStyle w:val="a3"/>
          <w:b w:val="0"/>
          <w:sz w:val="28"/>
          <w:szCs w:val="28"/>
          <w:shd w:val="clear" w:color="auto" w:fill="FFFFFF"/>
        </w:rPr>
        <w:t xml:space="preserve"> баз</w:t>
      </w:r>
      <w:r w:rsidR="00D54824" w:rsidRPr="00520861">
        <w:rPr>
          <w:sz w:val="28"/>
          <w:szCs w:val="28"/>
        </w:rPr>
        <w:t xml:space="preserve">, </w:t>
      </w:r>
      <w:r w:rsidR="00D2732F" w:rsidRPr="00520861">
        <w:rPr>
          <w:sz w:val="28"/>
          <w:szCs w:val="28"/>
        </w:rPr>
        <w:t>21</w:t>
      </w:r>
      <w:r w:rsidR="00D54824" w:rsidRPr="00520861">
        <w:rPr>
          <w:sz w:val="28"/>
          <w:szCs w:val="28"/>
        </w:rPr>
        <w:t xml:space="preserve"> </w:t>
      </w:r>
      <w:r w:rsidR="005A313A" w:rsidRPr="00520861">
        <w:rPr>
          <w:sz w:val="28"/>
          <w:szCs w:val="28"/>
        </w:rPr>
        <w:t xml:space="preserve">стаття </w:t>
      </w:r>
      <w:r w:rsidR="00D54824" w:rsidRPr="00520861">
        <w:rPr>
          <w:sz w:val="28"/>
          <w:szCs w:val="28"/>
        </w:rPr>
        <w:t>одноосіб</w:t>
      </w:r>
      <w:r w:rsidR="00D2732F" w:rsidRPr="00520861">
        <w:rPr>
          <w:sz w:val="28"/>
          <w:szCs w:val="28"/>
        </w:rPr>
        <w:t>на</w:t>
      </w:r>
      <w:r w:rsidR="005A313A" w:rsidRPr="00520861">
        <w:rPr>
          <w:rStyle w:val="a3"/>
          <w:b w:val="0"/>
          <w:sz w:val="28"/>
          <w:szCs w:val="28"/>
          <w:shd w:val="clear" w:color="auto" w:fill="FFFFFF"/>
        </w:rPr>
        <w:t>) та</w:t>
      </w:r>
      <w:r w:rsidR="004A6743" w:rsidRPr="00520861">
        <w:rPr>
          <w:rStyle w:val="a3"/>
          <w:b w:val="0"/>
          <w:sz w:val="28"/>
          <w:szCs w:val="28"/>
          <w:shd w:val="clear" w:color="auto" w:fill="FFFFFF"/>
        </w:rPr>
        <w:t xml:space="preserve"> </w:t>
      </w:r>
      <w:r w:rsidR="006E2C5A" w:rsidRPr="00520861">
        <w:rPr>
          <w:rStyle w:val="a3"/>
          <w:b w:val="0"/>
          <w:sz w:val="28"/>
          <w:szCs w:val="28"/>
          <w:shd w:val="clear" w:color="auto" w:fill="FFFFFF"/>
        </w:rPr>
        <w:t xml:space="preserve">20 наукових праць у </w:t>
      </w:r>
      <w:r w:rsidR="00357871" w:rsidRPr="00520861">
        <w:rPr>
          <w:rStyle w:val="a3"/>
          <w:b w:val="0"/>
          <w:sz w:val="28"/>
          <w:szCs w:val="28"/>
          <w:shd w:val="clear" w:color="auto" w:fill="FFFFFF"/>
        </w:rPr>
        <w:t xml:space="preserve">матеріалах </w:t>
      </w:r>
      <w:proofErr w:type="spellStart"/>
      <w:r w:rsidR="002D637B" w:rsidRPr="00520861">
        <w:rPr>
          <w:rStyle w:val="a3"/>
          <w:b w:val="0"/>
          <w:sz w:val="28"/>
          <w:szCs w:val="28"/>
          <w:shd w:val="clear" w:color="auto" w:fill="FFFFFF"/>
          <w:lang w:val="ru-RU"/>
        </w:rPr>
        <w:t>наукових</w:t>
      </w:r>
      <w:proofErr w:type="spellEnd"/>
      <w:r w:rsidR="002D637B" w:rsidRPr="00520861">
        <w:rPr>
          <w:rStyle w:val="a3"/>
          <w:b w:val="0"/>
          <w:sz w:val="28"/>
          <w:szCs w:val="28"/>
          <w:shd w:val="clear" w:color="auto" w:fill="FFFFFF"/>
          <w:lang w:val="ru-RU"/>
        </w:rPr>
        <w:t xml:space="preserve"> фору</w:t>
      </w:r>
      <w:r w:rsidR="002D637B" w:rsidRPr="00520861">
        <w:rPr>
          <w:rStyle w:val="a3"/>
          <w:b w:val="0"/>
          <w:sz w:val="28"/>
          <w:szCs w:val="28"/>
          <w:shd w:val="clear" w:color="auto" w:fill="FFFFFF"/>
        </w:rPr>
        <w:t>мів</w:t>
      </w:r>
      <w:r w:rsidR="006E2C5A" w:rsidRPr="00520861">
        <w:rPr>
          <w:rStyle w:val="a3"/>
          <w:b w:val="0"/>
          <w:sz w:val="28"/>
          <w:szCs w:val="28"/>
          <w:shd w:val="clear" w:color="auto" w:fill="FFFFFF"/>
        </w:rPr>
        <w:t xml:space="preserve">. Отримано </w:t>
      </w:r>
      <w:r w:rsidR="004A6743" w:rsidRPr="00520861">
        <w:rPr>
          <w:rStyle w:val="a3"/>
          <w:b w:val="0"/>
          <w:sz w:val="28"/>
          <w:szCs w:val="28"/>
          <w:shd w:val="clear" w:color="auto" w:fill="FFFFFF"/>
        </w:rPr>
        <w:t>1 патент на корисну модель</w:t>
      </w:r>
      <w:r w:rsidR="00C27737" w:rsidRPr="00520861">
        <w:rPr>
          <w:rStyle w:val="a3"/>
          <w:b w:val="0"/>
          <w:sz w:val="28"/>
          <w:szCs w:val="28"/>
          <w:shd w:val="clear" w:color="auto" w:fill="FFFFFF"/>
        </w:rPr>
        <w:t xml:space="preserve">, </w:t>
      </w:r>
      <w:r w:rsidR="00A00F04" w:rsidRPr="00520861">
        <w:rPr>
          <w:rStyle w:val="a3"/>
          <w:b w:val="0"/>
          <w:sz w:val="28"/>
          <w:szCs w:val="28"/>
          <w:shd w:val="clear" w:color="auto" w:fill="FFFFFF"/>
        </w:rPr>
        <w:br/>
      </w:r>
      <w:r w:rsidR="008F3700" w:rsidRPr="00520861">
        <w:rPr>
          <w:rStyle w:val="a3"/>
          <w:b w:val="0"/>
          <w:sz w:val="28"/>
          <w:szCs w:val="28"/>
          <w:shd w:val="clear" w:color="auto" w:fill="FFFFFF"/>
        </w:rPr>
        <w:t xml:space="preserve">5 </w:t>
      </w:r>
      <w:proofErr w:type="spellStart"/>
      <w:r w:rsidR="008F3700" w:rsidRPr="00520861">
        <w:rPr>
          <w:rStyle w:val="a3"/>
          <w:b w:val="0"/>
          <w:sz w:val="28"/>
          <w:szCs w:val="28"/>
          <w:shd w:val="clear" w:color="auto" w:fill="FFFFFF"/>
        </w:rPr>
        <w:t>свідоцтв</w:t>
      </w:r>
      <w:proofErr w:type="spellEnd"/>
      <w:r w:rsidR="008F3700" w:rsidRPr="00520861">
        <w:rPr>
          <w:rStyle w:val="a3"/>
          <w:b w:val="0"/>
          <w:sz w:val="28"/>
          <w:szCs w:val="28"/>
          <w:shd w:val="clear" w:color="auto" w:fill="FFFFFF"/>
        </w:rPr>
        <w:t xml:space="preserve"> на авторський текст у співавторстві</w:t>
      </w:r>
      <w:r w:rsidR="004A6743" w:rsidRPr="00520861">
        <w:rPr>
          <w:rStyle w:val="a3"/>
          <w:b w:val="0"/>
          <w:sz w:val="28"/>
          <w:szCs w:val="28"/>
          <w:shd w:val="clear" w:color="auto" w:fill="FFFFFF"/>
        </w:rPr>
        <w:t>.</w:t>
      </w:r>
      <w:r w:rsidR="00174453" w:rsidRPr="00520861">
        <w:rPr>
          <w:rStyle w:val="a3"/>
          <w:b w:val="0"/>
          <w:sz w:val="28"/>
          <w:szCs w:val="28"/>
          <w:shd w:val="clear" w:color="auto" w:fill="FFFFFF"/>
        </w:rPr>
        <w:t xml:space="preserve"> </w:t>
      </w:r>
    </w:p>
    <w:p w14:paraId="4296EC2C" w14:textId="77777777" w:rsidR="001D0D38" w:rsidRPr="00520861" w:rsidRDefault="00D54824" w:rsidP="00292D2E">
      <w:pPr>
        <w:widowControl w:val="0"/>
        <w:spacing w:line="360" w:lineRule="auto"/>
        <w:ind w:firstLine="709"/>
        <w:jc w:val="both"/>
        <w:rPr>
          <w:bCs/>
          <w:spacing w:val="-1"/>
          <w:sz w:val="28"/>
          <w:szCs w:val="28"/>
        </w:rPr>
      </w:pPr>
      <w:r w:rsidRPr="00520861">
        <w:rPr>
          <w:b/>
          <w:bCs/>
          <w:sz w:val="28"/>
          <w:szCs w:val="28"/>
        </w:rPr>
        <w:t xml:space="preserve">Структура та обсяг </w:t>
      </w:r>
      <w:proofErr w:type="spellStart"/>
      <w:r w:rsidRPr="00520861">
        <w:rPr>
          <w:b/>
          <w:bCs/>
          <w:sz w:val="28"/>
          <w:szCs w:val="28"/>
        </w:rPr>
        <w:t>дисертаціі</w:t>
      </w:r>
      <w:proofErr w:type="spellEnd"/>
      <w:r w:rsidRPr="00520861">
        <w:rPr>
          <w:b/>
          <w:bCs/>
          <w:sz w:val="28"/>
          <w:szCs w:val="28"/>
        </w:rPr>
        <w:t xml:space="preserve">̈. </w:t>
      </w:r>
      <w:proofErr w:type="spellStart"/>
      <w:r w:rsidR="009549E1" w:rsidRPr="00520861">
        <w:rPr>
          <w:bCs/>
          <w:spacing w:val="-1"/>
          <w:sz w:val="28"/>
          <w:szCs w:val="28"/>
        </w:rPr>
        <w:t>Дисертаційна</w:t>
      </w:r>
      <w:proofErr w:type="spellEnd"/>
      <w:r w:rsidR="009549E1" w:rsidRPr="00520861">
        <w:rPr>
          <w:bCs/>
          <w:spacing w:val="-1"/>
          <w:sz w:val="28"/>
          <w:szCs w:val="28"/>
        </w:rPr>
        <w:t xml:space="preserve"> робота </w:t>
      </w:r>
      <w:r w:rsidR="001D0D38" w:rsidRPr="00520861">
        <w:rPr>
          <w:bCs/>
          <w:spacing w:val="-1"/>
          <w:sz w:val="28"/>
          <w:szCs w:val="28"/>
        </w:rPr>
        <w:t xml:space="preserve">представлена в </w:t>
      </w:r>
      <w:r w:rsidR="00B62618" w:rsidRPr="00520861">
        <w:rPr>
          <w:bCs/>
          <w:spacing w:val="-1"/>
          <w:sz w:val="28"/>
          <w:szCs w:val="28"/>
        </w:rPr>
        <w:t>двох</w:t>
      </w:r>
      <w:r w:rsidR="001D0D38" w:rsidRPr="00520861">
        <w:rPr>
          <w:bCs/>
          <w:spacing w:val="-1"/>
          <w:sz w:val="28"/>
          <w:szCs w:val="28"/>
        </w:rPr>
        <w:t xml:space="preserve"> томах</w:t>
      </w:r>
      <w:r w:rsidR="006E5D29" w:rsidRPr="00520861">
        <w:rPr>
          <w:bCs/>
          <w:spacing w:val="-1"/>
          <w:sz w:val="28"/>
          <w:szCs w:val="28"/>
        </w:rPr>
        <w:t>. П</w:t>
      </w:r>
      <w:r w:rsidR="001D0D38" w:rsidRPr="00520861">
        <w:rPr>
          <w:bCs/>
          <w:spacing w:val="-1"/>
          <w:sz w:val="28"/>
          <w:szCs w:val="28"/>
        </w:rPr>
        <w:t>ерший том</w:t>
      </w:r>
      <w:r w:rsidR="009549E1" w:rsidRPr="00520861">
        <w:rPr>
          <w:bCs/>
          <w:spacing w:val="-1"/>
          <w:sz w:val="28"/>
          <w:szCs w:val="28"/>
        </w:rPr>
        <w:t xml:space="preserve"> </w:t>
      </w:r>
      <w:r w:rsidR="001D0D38" w:rsidRPr="00520861">
        <w:rPr>
          <w:bCs/>
          <w:spacing w:val="-1"/>
          <w:sz w:val="28"/>
          <w:szCs w:val="28"/>
        </w:rPr>
        <w:t>викладений на</w:t>
      </w:r>
      <w:r w:rsidR="00433AD7" w:rsidRPr="00520861">
        <w:rPr>
          <w:bCs/>
          <w:spacing w:val="-1"/>
          <w:sz w:val="28"/>
          <w:szCs w:val="28"/>
        </w:rPr>
        <w:t xml:space="preserve"> 466</w:t>
      </w:r>
      <w:r w:rsidR="009549E1" w:rsidRPr="00520861">
        <w:rPr>
          <w:bCs/>
          <w:spacing w:val="-1"/>
          <w:sz w:val="28"/>
          <w:szCs w:val="28"/>
        </w:rPr>
        <w:t xml:space="preserve"> </w:t>
      </w:r>
      <w:r w:rsidR="00A72B87" w:rsidRPr="00520861">
        <w:rPr>
          <w:bCs/>
          <w:spacing w:val="-1"/>
          <w:sz w:val="28"/>
          <w:szCs w:val="28"/>
        </w:rPr>
        <w:t>сторінках</w:t>
      </w:r>
      <w:r w:rsidR="009549E1" w:rsidRPr="00520861">
        <w:rPr>
          <w:bCs/>
          <w:spacing w:val="-1"/>
          <w:sz w:val="28"/>
          <w:szCs w:val="28"/>
        </w:rPr>
        <w:t xml:space="preserve"> друкованого тексту і складається з </w:t>
      </w:r>
      <w:proofErr w:type="spellStart"/>
      <w:r w:rsidR="009549E1" w:rsidRPr="00520861">
        <w:rPr>
          <w:bCs/>
          <w:spacing w:val="-1"/>
          <w:sz w:val="28"/>
          <w:szCs w:val="28"/>
        </w:rPr>
        <w:t>анотаціі</w:t>
      </w:r>
      <w:proofErr w:type="spellEnd"/>
      <w:r w:rsidR="009549E1" w:rsidRPr="00520861">
        <w:rPr>
          <w:bCs/>
          <w:spacing w:val="-1"/>
          <w:sz w:val="28"/>
          <w:szCs w:val="28"/>
        </w:rPr>
        <w:t xml:space="preserve">̈, вступу, аналітичного огляду літератури, </w:t>
      </w:r>
      <w:r w:rsidR="001D0D38" w:rsidRPr="00520861">
        <w:rPr>
          <w:bCs/>
          <w:spacing w:val="-1"/>
          <w:sz w:val="28"/>
          <w:szCs w:val="28"/>
        </w:rPr>
        <w:t>5</w:t>
      </w:r>
      <w:r w:rsidR="009549E1" w:rsidRPr="00520861">
        <w:rPr>
          <w:bCs/>
          <w:spacing w:val="-1"/>
          <w:sz w:val="28"/>
          <w:szCs w:val="28"/>
        </w:rPr>
        <w:t xml:space="preserve"> розділів власних досліджень, аналізу й узагальнення отриманих результатів, висновків, практичних </w:t>
      </w:r>
      <w:r w:rsidR="00F46743" w:rsidRPr="00520861">
        <w:rPr>
          <w:bCs/>
          <w:spacing w:val="-1"/>
          <w:sz w:val="28"/>
          <w:szCs w:val="28"/>
        </w:rPr>
        <w:t>рекомендацій</w:t>
      </w:r>
      <w:r w:rsidR="009549E1" w:rsidRPr="00520861">
        <w:rPr>
          <w:bCs/>
          <w:spacing w:val="-1"/>
          <w:sz w:val="28"/>
          <w:szCs w:val="28"/>
        </w:rPr>
        <w:t xml:space="preserve">, </w:t>
      </w:r>
      <w:r w:rsidR="00B45A6D" w:rsidRPr="00520861">
        <w:rPr>
          <w:bCs/>
          <w:spacing w:val="-1"/>
          <w:sz w:val="28"/>
          <w:szCs w:val="28"/>
        </w:rPr>
        <w:br/>
      </w:r>
      <w:r w:rsidR="009549E1" w:rsidRPr="00520861">
        <w:rPr>
          <w:bCs/>
          <w:spacing w:val="-1"/>
          <w:sz w:val="28"/>
          <w:szCs w:val="28"/>
        </w:rPr>
        <w:t xml:space="preserve">бібліографічного </w:t>
      </w:r>
      <w:r w:rsidR="005A458B" w:rsidRPr="00520861">
        <w:rPr>
          <w:bCs/>
          <w:spacing w:val="-1"/>
          <w:sz w:val="28"/>
          <w:szCs w:val="28"/>
        </w:rPr>
        <w:t>покажчика</w:t>
      </w:r>
      <w:r w:rsidR="009549E1" w:rsidRPr="00520861">
        <w:rPr>
          <w:bCs/>
          <w:spacing w:val="-1"/>
          <w:sz w:val="28"/>
          <w:szCs w:val="28"/>
        </w:rPr>
        <w:t>, який містить 595 джерел, з яких 218 – кирилицею, 377 – латиницею. Перелік використаних літературних джерел</w:t>
      </w:r>
      <w:r w:rsidR="00216EE0" w:rsidRPr="00520861">
        <w:rPr>
          <w:bCs/>
          <w:spacing w:val="-1"/>
          <w:sz w:val="28"/>
          <w:szCs w:val="28"/>
        </w:rPr>
        <w:t xml:space="preserve"> </w:t>
      </w:r>
      <w:r w:rsidR="001D0D38" w:rsidRPr="00520861">
        <w:rPr>
          <w:bCs/>
          <w:spacing w:val="-1"/>
          <w:sz w:val="28"/>
          <w:szCs w:val="28"/>
        </w:rPr>
        <w:t>займає</w:t>
      </w:r>
      <w:r w:rsidR="00216EE0" w:rsidRPr="00520861">
        <w:rPr>
          <w:bCs/>
          <w:spacing w:val="-1"/>
          <w:sz w:val="28"/>
          <w:szCs w:val="28"/>
        </w:rPr>
        <w:t xml:space="preserve"> </w:t>
      </w:r>
      <w:r w:rsidR="006A3190" w:rsidRPr="00520861">
        <w:rPr>
          <w:bCs/>
          <w:spacing w:val="-1"/>
          <w:sz w:val="28"/>
          <w:szCs w:val="28"/>
        </w:rPr>
        <w:t>64</w:t>
      </w:r>
      <w:r w:rsidR="00216EE0" w:rsidRPr="00520861">
        <w:rPr>
          <w:bCs/>
          <w:spacing w:val="-1"/>
          <w:sz w:val="28"/>
          <w:szCs w:val="28"/>
        </w:rPr>
        <w:t xml:space="preserve"> сторі</w:t>
      </w:r>
      <w:r w:rsidR="000F71DC" w:rsidRPr="00520861">
        <w:rPr>
          <w:bCs/>
          <w:spacing w:val="-1"/>
          <w:sz w:val="28"/>
          <w:szCs w:val="28"/>
        </w:rPr>
        <w:t>нки</w:t>
      </w:r>
      <w:r w:rsidR="009549E1" w:rsidRPr="00520861">
        <w:rPr>
          <w:bCs/>
          <w:spacing w:val="-1"/>
          <w:sz w:val="28"/>
          <w:szCs w:val="28"/>
        </w:rPr>
        <w:t xml:space="preserve">. Робота ілюстрована </w:t>
      </w:r>
      <w:r w:rsidR="0085055B" w:rsidRPr="00520861">
        <w:rPr>
          <w:bCs/>
          <w:spacing w:val="-1"/>
          <w:sz w:val="28"/>
          <w:szCs w:val="28"/>
        </w:rPr>
        <w:t>99</w:t>
      </w:r>
      <w:r w:rsidR="009549E1" w:rsidRPr="00520861">
        <w:rPr>
          <w:bCs/>
          <w:spacing w:val="-1"/>
          <w:sz w:val="28"/>
          <w:szCs w:val="28"/>
        </w:rPr>
        <w:t xml:space="preserve"> рисунками </w:t>
      </w:r>
      <w:r w:rsidR="00795617" w:rsidRPr="00520861">
        <w:rPr>
          <w:bCs/>
          <w:spacing w:val="-1"/>
          <w:sz w:val="28"/>
          <w:szCs w:val="28"/>
        </w:rPr>
        <w:t>та</w:t>
      </w:r>
      <w:r w:rsidR="009549E1" w:rsidRPr="00520861">
        <w:rPr>
          <w:bCs/>
          <w:spacing w:val="-1"/>
          <w:sz w:val="28"/>
          <w:szCs w:val="28"/>
        </w:rPr>
        <w:t xml:space="preserve"> містить 88 таблиць (займа</w:t>
      </w:r>
      <w:r w:rsidR="00A05894" w:rsidRPr="00520861">
        <w:rPr>
          <w:bCs/>
          <w:spacing w:val="-1"/>
          <w:sz w:val="28"/>
          <w:szCs w:val="28"/>
        </w:rPr>
        <w:t>ють</w:t>
      </w:r>
      <w:r w:rsidR="00281CF9" w:rsidRPr="00520861">
        <w:rPr>
          <w:bCs/>
          <w:spacing w:val="-1"/>
          <w:sz w:val="28"/>
          <w:szCs w:val="28"/>
        </w:rPr>
        <w:t xml:space="preserve"> 83</w:t>
      </w:r>
      <w:r w:rsidR="000F6CA1" w:rsidRPr="00520861">
        <w:rPr>
          <w:bCs/>
          <w:spacing w:val="-1"/>
          <w:sz w:val="28"/>
          <w:szCs w:val="28"/>
        </w:rPr>
        <w:t xml:space="preserve"> сторінки</w:t>
      </w:r>
      <w:r w:rsidR="001D0D38" w:rsidRPr="00520861">
        <w:rPr>
          <w:bCs/>
          <w:spacing w:val="-1"/>
          <w:sz w:val="28"/>
          <w:szCs w:val="28"/>
        </w:rPr>
        <w:t xml:space="preserve">). Другий том </w:t>
      </w:r>
      <w:r w:rsidR="00B515D8" w:rsidRPr="00520861">
        <w:rPr>
          <w:bCs/>
          <w:spacing w:val="-1"/>
          <w:sz w:val="28"/>
          <w:szCs w:val="28"/>
        </w:rPr>
        <w:t xml:space="preserve">(Додатки) </w:t>
      </w:r>
      <w:r w:rsidR="001D0D38" w:rsidRPr="00520861">
        <w:rPr>
          <w:bCs/>
          <w:spacing w:val="-1"/>
          <w:sz w:val="28"/>
          <w:szCs w:val="28"/>
        </w:rPr>
        <w:t xml:space="preserve">викладений на 109 сторінках друкованого тексту і містить відомості з </w:t>
      </w:r>
      <w:r w:rsidR="00B45A6D" w:rsidRPr="00520861">
        <w:rPr>
          <w:bCs/>
          <w:spacing w:val="-1"/>
          <w:sz w:val="28"/>
          <w:szCs w:val="28"/>
        </w:rPr>
        <w:br/>
      </w:r>
      <w:r w:rsidR="00B515D8" w:rsidRPr="00520861">
        <w:rPr>
          <w:bCs/>
          <w:spacing w:val="-1"/>
          <w:sz w:val="28"/>
          <w:szCs w:val="28"/>
        </w:rPr>
        <w:t xml:space="preserve">публікації та апробації результатів дисертаційного дослідження, зведені таблиці об’єктивних даних про групи та підгрупи, задіяні у дослідженнях, результати </w:t>
      </w:r>
      <w:r w:rsidR="00B45A6D" w:rsidRPr="00520861">
        <w:rPr>
          <w:bCs/>
          <w:spacing w:val="-1"/>
          <w:sz w:val="28"/>
          <w:szCs w:val="28"/>
        </w:rPr>
        <w:br/>
      </w:r>
      <w:r w:rsidR="00B515D8" w:rsidRPr="00520861">
        <w:rPr>
          <w:bCs/>
          <w:spacing w:val="-1"/>
          <w:sz w:val="28"/>
          <w:szCs w:val="28"/>
        </w:rPr>
        <w:t xml:space="preserve">допоміжних розрахунків, </w:t>
      </w:r>
      <w:r w:rsidR="008F6390" w:rsidRPr="00520861">
        <w:rPr>
          <w:bCs/>
          <w:spacing w:val="-1"/>
          <w:sz w:val="28"/>
          <w:szCs w:val="28"/>
        </w:rPr>
        <w:t xml:space="preserve">а також відомості про </w:t>
      </w:r>
      <w:r w:rsidR="00B515D8" w:rsidRPr="00520861">
        <w:rPr>
          <w:bCs/>
          <w:spacing w:val="-1"/>
          <w:sz w:val="28"/>
          <w:szCs w:val="28"/>
        </w:rPr>
        <w:t xml:space="preserve">методичне та документальне </w:t>
      </w:r>
      <w:r w:rsidR="00B45A6D" w:rsidRPr="00520861">
        <w:rPr>
          <w:bCs/>
          <w:spacing w:val="-1"/>
          <w:sz w:val="28"/>
          <w:szCs w:val="28"/>
        </w:rPr>
        <w:br/>
      </w:r>
      <w:r w:rsidR="00B515D8" w:rsidRPr="00520861">
        <w:rPr>
          <w:bCs/>
          <w:spacing w:val="-1"/>
          <w:sz w:val="28"/>
          <w:szCs w:val="28"/>
        </w:rPr>
        <w:t>забезпечення дисертаційного дослідження.</w:t>
      </w:r>
    </w:p>
    <w:p w14:paraId="32EF2B21" w14:textId="77777777" w:rsidR="005B2BAD" w:rsidRPr="00520861" w:rsidRDefault="00692666" w:rsidP="00292D2E">
      <w:pPr>
        <w:widowControl w:val="0"/>
        <w:spacing w:line="360" w:lineRule="auto"/>
        <w:jc w:val="center"/>
        <w:rPr>
          <w:b/>
          <w:sz w:val="28"/>
          <w:szCs w:val="28"/>
        </w:rPr>
      </w:pPr>
      <w:r w:rsidRPr="00520861">
        <w:rPr>
          <w:sz w:val="28"/>
          <w:szCs w:val="28"/>
        </w:rPr>
        <w:br w:type="page"/>
      </w:r>
      <w:r w:rsidR="005B2BAD" w:rsidRPr="00520861">
        <w:rPr>
          <w:b/>
          <w:sz w:val="28"/>
          <w:szCs w:val="28"/>
        </w:rPr>
        <w:lastRenderedPageBreak/>
        <w:t>РОЗДІЛ 1</w:t>
      </w:r>
    </w:p>
    <w:p w14:paraId="1C564DFB" w14:textId="77777777" w:rsidR="005B2BAD" w:rsidRPr="00520861" w:rsidRDefault="005B2BAD" w:rsidP="00292D2E">
      <w:pPr>
        <w:widowControl w:val="0"/>
        <w:spacing w:line="360" w:lineRule="auto"/>
        <w:jc w:val="center"/>
        <w:rPr>
          <w:b/>
          <w:sz w:val="28"/>
          <w:szCs w:val="28"/>
        </w:rPr>
      </w:pPr>
    </w:p>
    <w:p w14:paraId="35FA6A7B" w14:textId="77777777" w:rsidR="0039268F" w:rsidRPr="00520861" w:rsidRDefault="0039268F" w:rsidP="00292D2E">
      <w:pPr>
        <w:widowControl w:val="0"/>
        <w:spacing w:line="360" w:lineRule="auto"/>
        <w:jc w:val="center"/>
        <w:rPr>
          <w:b/>
          <w:sz w:val="28"/>
          <w:szCs w:val="28"/>
        </w:rPr>
      </w:pPr>
    </w:p>
    <w:p w14:paraId="62D3B16B" w14:textId="77777777" w:rsidR="00F6184D" w:rsidRPr="00520861" w:rsidRDefault="005B2BAD" w:rsidP="00292D2E">
      <w:pPr>
        <w:widowControl w:val="0"/>
        <w:spacing w:line="360" w:lineRule="auto"/>
        <w:jc w:val="center"/>
        <w:rPr>
          <w:b/>
          <w:sz w:val="28"/>
          <w:szCs w:val="28"/>
        </w:rPr>
      </w:pPr>
      <w:r w:rsidRPr="00520861">
        <w:rPr>
          <w:b/>
          <w:sz w:val="28"/>
          <w:szCs w:val="28"/>
        </w:rPr>
        <w:t>СУЧАСНІ УЯВЛЕННЯ ПРО ПАТОГЕНЕТИЧНІ МЕХАНІЗМИ ФОРМУВАННЯ, ДІАГНОСТИКИ ТА ПРОГНОЗУ</w:t>
      </w:r>
      <w:r w:rsidR="00802C5C" w:rsidRPr="00520861">
        <w:rPr>
          <w:b/>
          <w:sz w:val="28"/>
          <w:szCs w:val="28"/>
        </w:rPr>
        <w:t>ВАННЯ СТОМАТОЛОГІЧНИХ ПОРУШЕНЬ В</w:t>
      </w:r>
      <w:r w:rsidR="00991143" w:rsidRPr="00520861">
        <w:rPr>
          <w:b/>
          <w:sz w:val="28"/>
          <w:szCs w:val="28"/>
        </w:rPr>
        <w:t xml:space="preserve"> ОСІБ,</w:t>
      </w:r>
      <w:r w:rsidR="00991143" w:rsidRPr="00520861">
        <w:rPr>
          <w:b/>
          <w:sz w:val="28"/>
          <w:szCs w:val="28"/>
        </w:rPr>
        <w:br/>
        <w:t>ЯКІ НАРОДИЛИСЯ</w:t>
      </w:r>
      <w:r w:rsidRPr="00520861">
        <w:rPr>
          <w:b/>
          <w:sz w:val="28"/>
          <w:szCs w:val="28"/>
        </w:rPr>
        <w:t xml:space="preserve"> МАКРОСОМАМИ</w:t>
      </w:r>
      <w:r w:rsidR="005545AB" w:rsidRPr="00520861">
        <w:rPr>
          <w:b/>
          <w:sz w:val="28"/>
          <w:szCs w:val="28"/>
        </w:rPr>
        <w:t xml:space="preserve"> </w:t>
      </w:r>
      <w:r w:rsidR="00F6184D" w:rsidRPr="00520861">
        <w:rPr>
          <w:b/>
          <w:spacing w:val="-8"/>
          <w:sz w:val="28"/>
          <w:szCs w:val="28"/>
        </w:rPr>
        <w:t>(ОГЛЯД ЛІТЕРАТУРИ)</w:t>
      </w:r>
    </w:p>
    <w:p w14:paraId="6E4A53AC" w14:textId="77777777" w:rsidR="005B2BAD" w:rsidRPr="00520861" w:rsidRDefault="005B2BAD" w:rsidP="00292D2E">
      <w:pPr>
        <w:widowControl w:val="0"/>
        <w:spacing w:line="360" w:lineRule="auto"/>
        <w:jc w:val="center"/>
        <w:rPr>
          <w:sz w:val="28"/>
          <w:szCs w:val="28"/>
        </w:rPr>
      </w:pPr>
    </w:p>
    <w:p w14:paraId="3478ECB7" w14:textId="77777777" w:rsidR="005B2BAD" w:rsidRPr="00520861" w:rsidRDefault="00692666" w:rsidP="00292D2E">
      <w:pPr>
        <w:widowControl w:val="0"/>
        <w:spacing w:line="360" w:lineRule="auto"/>
        <w:ind w:firstLine="708"/>
        <w:rPr>
          <w:b/>
          <w:sz w:val="28"/>
          <w:szCs w:val="28"/>
        </w:rPr>
      </w:pPr>
      <w:r w:rsidRPr="00520861">
        <w:rPr>
          <w:b/>
          <w:sz w:val="28"/>
          <w:szCs w:val="28"/>
        </w:rPr>
        <w:t>1.1</w:t>
      </w:r>
      <w:r w:rsidR="004B0341" w:rsidRPr="00520861">
        <w:rPr>
          <w:b/>
          <w:sz w:val="28"/>
          <w:szCs w:val="28"/>
        </w:rPr>
        <w:t>.</w:t>
      </w:r>
      <w:r w:rsidRPr="00520861">
        <w:rPr>
          <w:b/>
          <w:sz w:val="28"/>
          <w:szCs w:val="28"/>
        </w:rPr>
        <w:t xml:space="preserve"> </w:t>
      </w:r>
      <w:r w:rsidR="005B2BAD" w:rsidRPr="00520861">
        <w:rPr>
          <w:b/>
          <w:sz w:val="28"/>
          <w:szCs w:val="28"/>
        </w:rPr>
        <w:t xml:space="preserve">Сучасні уявлення про етіологію, патогенез та клініку </w:t>
      </w:r>
      <w:proofErr w:type="spellStart"/>
      <w:r w:rsidR="005B2BAD" w:rsidRPr="00520861">
        <w:rPr>
          <w:b/>
          <w:sz w:val="28"/>
          <w:szCs w:val="28"/>
        </w:rPr>
        <w:t>макросомії</w:t>
      </w:r>
      <w:proofErr w:type="spellEnd"/>
      <w:r w:rsidR="005B2BAD" w:rsidRPr="00520861">
        <w:rPr>
          <w:b/>
          <w:sz w:val="28"/>
          <w:szCs w:val="28"/>
        </w:rPr>
        <w:t xml:space="preserve"> </w:t>
      </w:r>
      <w:r w:rsidRPr="00520861">
        <w:rPr>
          <w:b/>
          <w:sz w:val="28"/>
          <w:szCs w:val="28"/>
        </w:rPr>
        <w:br/>
      </w:r>
      <w:r w:rsidR="000C5378" w:rsidRPr="00520861">
        <w:rPr>
          <w:b/>
          <w:sz w:val="28"/>
          <w:szCs w:val="28"/>
        </w:rPr>
        <w:t>плода</w:t>
      </w:r>
      <w:r w:rsidR="005B2BAD" w:rsidRPr="00520861">
        <w:rPr>
          <w:b/>
          <w:sz w:val="28"/>
          <w:szCs w:val="28"/>
        </w:rPr>
        <w:t>. Безпосередні та відд</w:t>
      </w:r>
      <w:r w:rsidRPr="00520861">
        <w:rPr>
          <w:b/>
          <w:sz w:val="28"/>
          <w:szCs w:val="28"/>
        </w:rPr>
        <w:t xml:space="preserve">алені наслідки </w:t>
      </w:r>
      <w:proofErr w:type="spellStart"/>
      <w:r w:rsidRPr="00520861">
        <w:rPr>
          <w:b/>
          <w:sz w:val="28"/>
          <w:szCs w:val="28"/>
        </w:rPr>
        <w:t>макросомії</w:t>
      </w:r>
      <w:proofErr w:type="spellEnd"/>
      <w:r w:rsidRPr="00520861">
        <w:rPr>
          <w:b/>
          <w:sz w:val="28"/>
          <w:szCs w:val="28"/>
        </w:rPr>
        <w:t xml:space="preserve"> </w:t>
      </w:r>
      <w:r w:rsidR="000C5378" w:rsidRPr="00520861">
        <w:rPr>
          <w:b/>
          <w:sz w:val="28"/>
          <w:szCs w:val="28"/>
        </w:rPr>
        <w:t>плода</w:t>
      </w:r>
    </w:p>
    <w:p w14:paraId="1E1DEC71" w14:textId="77777777" w:rsidR="00692666" w:rsidRPr="00520861" w:rsidRDefault="00692666" w:rsidP="00292D2E">
      <w:pPr>
        <w:widowControl w:val="0"/>
        <w:spacing w:line="360" w:lineRule="auto"/>
        <w:ind w:left="709"/>
        <w:contextualSpacing/>
        <w:jc w:val="both"/>
        <w:rPr>
          <w:b/>
          <w:sz w:val="28"/>
          <w:szCs w:val="28"/>
        </w:rPr>
      </w:pPr>
    </w:p>
    <w:p w14:paraId="7D047B38" w14:textId="77777777" w:rsidR="00C928D6" w:rsidRPr="00520861" w:rsidRDefault="00760A77" w:rsidP="00292D2E">
      <w:pPr>
        <w:widowControl w:val="0"/>
        <w:spacing w:line="360" w:lineRule="auto"/>
        <w:ind w:firstLine="709"/>
        <w:contextualSpacing/>
        <w:jc w:val="both"/>
        <w:rPr>
          <w:sz w:val="28"/>
          <w:szCs w:val="28"/>
        </w:rPr>
      </w:pPr>
      <w:r w:rsidRPr="00520861">
        <w:rPr>
          <w:sz w:val="28"/>
          <w:szCs w:val="28"/>
        </w:rPr>
        <w:t>П</w:t>
      </w:r>
      <w:r w:rsidR="00672BD8" w:rsidRPr="00520861">
        <w:rPr>
          <w:sz w:val="28"/>
          <w:szCs w:val="28"/>
        </w:rPr>
        <w:t>итання</w:t>
      </w:r>
      <w:r w:rsidR="00C928D6" w:rsidRPr="00520861">
        <w:rPr>
          <w:sz w:val="28"/>
          <w:szCs w:val="28"/>
        </w:rPr>
        <w:t xml:space="preserve"> етіології, патогенезу та клініки, а також безпосередніх та віддалених наслідків ВУ </w:t>
      </w:r>
      <w:proofErr w:type="spellStart"/>
      <w:r w:rsidR="00C928D6" w:rsidRPr="00520861">
        <w:rPr>
          <w:sz w:val="28"/>
          <w:szCs w:val="28"/>
        </w:rPr>
        <w:t>макросомії</w:t>
      </w:r>
      <w:proofErr w:type="spellEnd"/>
      <w:r w:rsidR="00C928D6" w:rsidRPr="00520861">
        <w:rPr>
          <w:sz w:val="28"/>
          <w:szCs w:val="28"/>
        </w:rPr>
        <w:t xml:space="preserve"> вивчаються вже понад </w:t>
      </w:r>
      <w:r w:rsidR="00610CA3" w:rsidRPr="00520861">
        <w:rPr>
          <w:sz w:val="28"/>
          <w:szCs w:val="28"/>
        </w:rPr>
        <w:t xml:space="preserve">півтора </w:t>
      </w:r>
      <w:r w:rsidR="00C928D6" w:rsidRPr="00520861">
        <w:rPr>
          <w:sz w:val="28"/>
          <w:szCs w:val="28"/>
        </w:rPr>
        <w:t>сторіччя.</w:t>
      </w:r>
      <w:r w:rsidRPr="00520861">
        <w:rPr>
          <w:sz w:val="28"/>
          <w:szCs w:val="28"/>
        </w:rPr>
        <w:t xml:space="preserve"> На теперішній час сталими є наступні </w:t>
      </w:r>
      <w:r w:rsidR="004076D9" w:rsidRPr="00520861">
        <w:rPr>
          <w:sz w:val="28"/>
          <w:szCs w:val="28"/>
        </w:rPr>
        <w:t>відомості</w:t>
      </w:r>
      <w:r w:rsidRPr="00520861">
        <w:rPr>
          <w:sz w:val="28"/>
          <w:szCs w:val="28"/>
        </w:rPr>
        <w:t>.</w:t>
      </w:r>
    </w:p>
    <w:p w14:paraId="2FF8212F" w14:textId="77777777" w:rsidR="005B2BAD" w:rsidRPr="00520861" w:rsidRDefault="00692666" w:rsidP="00292D2E">
      <w:pPr>
        <w:widowControl w:val="0"/>
        <w:spacing w:line="360" w:lineRule="auto"/>
        <w:ind w:firstLine="709"/>
        <w:contextualSpacing/>
        <w:jc w:val="both"/>
        <w:rPr>
          <w:rFonts w:eastAsia="Calibri"/>
          <w:sz w:val="28"/>
          <w:szCs w:val="28"/>
          <w:lang w:eastAsia="en-US"/>
        </w:rPr>
      </w:pPr>
      <w:r w:rsidRPr="00520861">
        <w:rPr>
          <w:b/>
          <w:sz w:val="28"/>
          <w:szCs w:val="28"/>
        </w:rPr>
        <w:t>1.1.1</w:t>
      </w:r>
      <w:r w:rsidR="00B738CD" w:rsidRPr="00520861">
        <w:rPr>
          <w:b/>
          <w:sz w:val="28"/>
          <w:szCs w:val="28"/>
        </w:rPr>
        <w:t>.</w:t>
      </w:r>
      <w:r w:rsidRPr="00520861">
        <w:rPr>
          <w:b/>
          <w:sz w:val="28"/>
          <w:szCs w:val="28"/>
        </w:rPr>
        <w:t xml:space="preserve"> </w:t>
      </w:r>
      <w:r w:rsidR="00C55858" w:rsidRPr="00520861">
        <w:rPr>
          <w:b/>
          <w:sz w:val="28"/>
          <w:szCs w:val="28"/>
        </w:rPr>
        <w:t>Причини формування</w:t>
      </w:r>
      <w:r w:rsidR="005B2BAD" w:rsidRPr="00520861">
        <w:rPr>
          <w:b/>
          <w:sz w:val="28"/>
          <w:szCs w:val="28"/>
        </w:rPr>
        <w:t xml:space="preserve"> </w:t>
      </w:r>
      <w:proofErr w:type="spellStart"/>
      <w:r w:rsidR="005B2BAD" w:rsidRPr="00520861">
        <w:rPr>
          <w:b/>
          <w:sz w:val="28"/>
          <w:szCs w:val="28"/>
        </w:rPr>
        <w:t>макросомії</w:t>
      </w:r>
      <w:proofErr w:type="spellEnd"/>
      <w:r w:rsidR="00B738CD" w:rsidRPr="00520861">
        <w:rPr>
          <w:b/>
          <w:sz w:val="28"/>
          <w:szCs w:val="28"/>
        </w:rPr>
        <w:t xml:space="preserve"> </w:t>
      </w:r>
      <w:r w:rsidR="000C5378" w:rsidRPr="00520861">
        <w:rPr>
          <w:b/>
          <w:sz w:val="28"/>
          <w:szCs w:val="28"/>
        </w:rPr>
        <w:t>плода</w:t>
      </w:r>
      <w:r w:rsidR="003E19C7" w:rsidRPr="00520861">
        <w:rPr>
          <w:b/>
          <w:sz w:val="28"/>
          <w:szCs w:val="28"/>
        </w:rPr>
        <w:t xml:space="preserve">. </w:t>
      </w:r>
      <w:r w:rsidR="00D75596" w:rsidRPr="00520861">
        <w:rPr>
          <w:rFonts w:eastAsia="Calibri"/>
          <w:sz w:val="28"/>
          <w:szCs w:val="28"/>
          <w:lang w:eastAsia="en-US"/>
        </w:rPr>
        <w:t>Уже протягом тривалого часу</w:t>
      </w:r>
      <w:r w:rsidR="005B2BAD" w:rsidRPr="00520861">
        <w:rPr>
          <w:rFonts w:eastAsia="Calibri"/>
          <w:sz w:val="28"/>
          <w:szCs w:val="28"/>
          <w:lang w:eastAsia="en-US"/>
        </w:rPr>
        <w:t xml:space="preserve"> стала парадигмою гіпотеза «внутрішньоутробного програмування», коли </w:t>
      </w:r>
      <w:proofErr w:type="spellStart"/>
      <w:r w:rsidR="005B2BAD" w:rsidRPr="00520861">
        <w:rPr>
          <w:rFonts w:eastAsia="Calibri"/>
          <w:sz w:val="28"/>
          <w:szCs w:val="28"/>
          <w:lang w:eastAsia="en-US"/>
        </w:rPr>
        <w:t>патерни</w:t>
      </w:r>
      <w:proofErr w:type="spellEnd"/>
      <w:r w:rsidR="005B2BAD" w:rsidRPr="00520861">
        <w:rPr>
          <w:rFonts w:eastAsia="Calibri"/>
          <w:sz w:val="28"/>
          <w:szCs w:val="28"/>
          <w:lang w:eastAsia="en-US"/>
        </w:rPr>
        <w:t xml:space="preserve">, що виникли як наслідок несприятливих </w:t>
      </w:r>
      <w:r w:rsidR="009726D4" w:rsidRPr="00520861">
        <w:rPr>
          <w:sz w:val="28"/>
          <w:szCs w:val="28"/>
          <w:lang w:eastAsia="x-none" w:bidi="lo-LA"/>
        </w:rPr>
        <w:t>ВУ</w:t>
      </w:r>
      <w:r w:rsidR="005B2BAD" w:rsidRPr="00520861">
        <w:rPr>
          <w:rFonts w:eastAsia="Calibri"/>
          <w:sz w:val="28"/>
          <w:szCs w:val="28"/>
          <w:lang w:eastAsia="en-US"/>
        </w:rPr>
        <w:t xml:space="preserve"> умов та генетичної схильності, формують схильність до певних </w:t>
      </w:r>
      <w:proofErr w:type="spellStart"/>
      <w:r w:rsidR="005B2BAD" w:rsidRPr="00520861">
        <w:rPr>
          <w:rFonts w:eastAsia="Calibri"/>
          <w:sz w:val="28"/>
          <w:szCs w:val="28"/>
          <w:lang w:eastAsia="en-US"/>
        </w:rPr>
        <w:t>хвороб</w:t>
      </w:r>
      <w:proofErr w:type="spellEnd"/>
      <w:r w:rsidR="005B2BAD" w:rsidRPr="00520861">
        <w:rPr>
          <w:rFonts w:eastAsia="Calibri"/>
          <w:sz w:val="28"/>
          <w:szCs w:val="28"/>
          <w:lang w:eastAsia="en-US"/>
        </w:rPr>
        <w:t xml:space="preserve"> та порушень в онтогенезі</w:t>
      </w:r>
      <w:r w:rsidR="001B7027" w:rsidRPr="00520861">
        <w:rPr>
          <w:rFonts w:eastAsia="Calibri"/>
          <w:sz w:val="28"/>
          <w:szCs w:val="28"/>
          <w:lang w:eastAsia="en-US"/>
        </w:rPr>
        <w:t xml:space="preserve"> </w:t>
      </w:r>
      <w:r w:rsidR="000213FD" w:rsidRPr="00520861">
        <w:rPr>
          <w:rFonts w:eastAsia="Calibri"/>
          <w:sz w:val="28"/>
          <w:szCs w:val="28"/>
          <w:lang w:eastAsia="en-US"/>
        </w:rPr>
        <w:t>[333</w:t>
      </w:r>
      <w:r w:rsidR="001B7027" w:rsidRPr="00520861">
        <w:rPr>
          <w:rFonts w:eastAsia="Calibri"/>
          <w:sz w:val="28"/>
          <w:szCs w:val="28"/>
          <w:lang w:eastAsia="en-US"/>
        </w:rPr>
        <w:t>,</w:t>
      </w:r>
      <w:r w:rsidR="00272E52" w:rsidRPr="00520861">
        <w:rPr>
          <w:rFonts w:eastAsia="Calibri"/>
          <w:sz w:val="28"/>
          <w:szCs w:val="28"/>
          <w:lang w:eastAsia="en-US"/>
        </w:rPr>
        <w:t xml:space="preserve"> </w:t>
      </w:r>
      <w:r w:rsidR="000213FD" w:rsidRPr="00520861">
        <w:rPr>
          <w:rFonts w:eastAsia="Calibri"/>
          <w:sz w:val="28"/>
          <w:szCs w:val="28"/>
          <w:lang w:eastAsia="en-US"/>
        </w:rPr>
        <w:t>414</w:t>
      </w:r>
      <w:r w:rsidR="005B2BAD" w:rsidRPr="00520861">
        <w:rPr>
          <w:rFonts w:eastAsia="Calibri"/>
          <w:sz w:val="28"/>
          <w:szCs w:val="28"/>
          <w:lang w:eastAsia="en-US"/>
        </w:rPr>
        <w:t xml:space="preserve">]. </w:t>
      </w:r>
    </w:p>
    <w:p w14:paraId="5D1DDC11" w14:textId="77777777" w:rsidR="001C4636" w:rsidRPr="00520861" w:rsidRDefault="005B2BAD" w:rsidP="00292D2E">
      <w:pPr>
        <w:widowControl w:val="0"/>
        <w:spacing w:line="360" w:lineRule="auto"/>
        <w:ind w:firstLine="708"/>
        <w:jc w:val="both"/>
        <w:rPr>
          <w:rFonts w:eastAsia="Calibri"/>
          <w:sz w:val="28"/>
          <w:szCs w:val="28"/>
        </w:rPr>
      </w:pPr>
      <w:r w:rsidRPr="00520861">
        <w:rPr>
          <w:rFonts w:eastAsia="Calibri"/>
          <w:sz w:val="28"/>
          <w:szCs w:val="28"/>
        </w:rPr>
        <w:t>Оптимальне значення маси тіла новонародж</w:t>
      </w:r>
      <w:r w:rsidR="00790AF8" w:rsidRPr="00520861">
        <w:rPr>
          <w:rFonts w:eastAsia="Calibri"/>
          <w:sz w:val="28"/>
          <w:szCs w:val="28"/>
        </w:rPr>
        <w:t>ених перебуває в межах 25 та 90 </w:t>
      </w:r>
      <w:proofErr w:type="spellStart"/>
      <w:r w:rsidRPr="00520861">
        <w:rPr>
          <w:rFonts w:eastAsia="Calibri"/>
          <w:sz w:val="28"/>
          <w:szCs w:val="28"/>
        </w:rPr>
        <w:t>перцентилів</w:t>
      </w:r>
      <w:proofErr w:type="spellEnd"/>
      <w:r w:rsidRPr="00520861">
        <w:rPr>
          <w:rFonts w:eastAsia="Calibri"/>
          <w:sz w:val="28"/>
          <w:szCs w:val="28"/>
        </w:rPr>
        <w:t xml:space="preserve">. Негармонійний антенатальний розвиток </w:t>
      </w:r>
      <w:r w:rsidR="000C5378" w:rsidRPr="00520861">
        <w:rPr>
          <w:rFonts w:eastAsia="Calibri"/>
          <w:sz w:val="28"/>
          <w:szCs w:val="28"/>
        </w:rPr>
        <w:t>плода</w:t>
      </w:r>
      <w:r w:rsidRPr="00520861">
        <w:rPr>
          <w:rFonts w:eastAsia="Calibri"/>
          <w:sz w:val="28"/>
          <w:szCs w:val="28"/>
        </w:rPr>
        <w:t xml:space="preserve"> може призводити </w:t>
      </w:r>
      <w:r w:rsidR="00790AF8" w:rsidRPr="00520861">
        <w:rPr>
          <w:rFonts w:eastAsia="Calibri"/>
          <w:sz w:val="28"/>
          <w:szCs w:val="28"/>
        </w:rPr>
        <w:br/>
      </w:r>
      <w:r w:rsidRPr="00520861">
        <w:rPr>
          <w:rFonts w:eastAsia="Calibri"/>
          <w:sz w:val="28"/>
          <w:szCs w:val="28"/>
        </w:rPr>
        <w:t xml:space="preserve">до народження дитини із затримкою </w:t>
      </w:r>
      <w:r w:rsidR="009726D4" w:rsidRPr="00520861">
        <w:rPr>
          <w:sz w:val="28"/>
          <w:szCs w:val="28"/>
          <w:lang w:eastAsia="x-none" w:bidi="lo-LA"/>
        </w:rPr>
        <w:t>ВУ</w:t>
      </w:r>
      <w:r w:rsidRPr="00520861">
        <w:rPr>
          <w:rFonts w:eastAsia="Calibri"/>
          <w:sz w:val="28"/>
          <w:szCs w:val="28"/>
        </w:rPr>
        <w:t xml:space="preserve"> розвитку (масо-ростові параметри </w:t>
      </w:r>
      <w:r w:rsidR="001155FA" w:rsidRPr="00520861">
        <w:rPr>
          <w:rFonts w:eastAsia="Calibri"/>
          <w:sz w:val="28"/>
          <w:szCs w:val="28"/>
        </w:rPr>
        <w:t xml:space="preserve">(МРП) </w:t>
      </w:r>
      <w:r w:rsidR="00790AF8" w:rsidRPr="00520861">
        <w:rPr>
          <w:rFonts w:eastAsia="Calibri"/>
          <w:sz w:val="28"/>
          <w:szCs w:val="28"/>
        </w:rPr>
        <w:br/>
      </w:r>
      <w:r w:rsidRPr="00520861">
        <w:rPr>
          <w:rFonts w:eastAsia="Calibri"/>
          <w:sz w:val="28"/>
          <w:szCs w:val="28"/>
        </w:rPr>
        <w:t xml:space="preserve">на рівні 25 </w:t>
      </w:r>
      <w:proofErr w:type="spellStart"/>
      <w:r w:rsidRPr="00520861">
        <w:rPr>
          <w:rFonts w:eastAsia="Calibri"/>
          <w:sz w:val="28"/>
          <w:szCs w:val="28"/>
        </w:rPr>
        <w:t>перцентилів</w:t>
      </w:r>
      <w:proofErr w:type="spellEnd"/>
      <w:r w:rsidRPr="00520861">
        <w:rPr>
          <w:rFonts w:eastAsia="Calibri"/>
          <w:sz w:val="28"/>
          <w:szCs w:val="28"/>
        </w:rPr>
        <w:t xml:space="preserve"> чи менші) або великої до </w:t>
      </w:r>
      <w:proofErr w:type="spellStart"/>
      <w:r w:rsidRPr="00520861">
        <w:rPr>
          <w:rFonts w:eastAsia="Calibri"/>
          <w:sz w:val="28"/>
          <w:szCs w:val="28"/>
        </w:rPr>
        <w:t>гестаційного</w:t>
      </w:r>
      <w:proofErr w:type="spellEnd"/>
      <w:r w:rsidRPr="00520861">
        <w:rPr>
          <w:rFonts w:eastAsia="Calibri"/>
          <w:sz w:val="28"/>
          <w:szCs w:val="28"/>
        </w:rPr>
        <w:t xml:space="preserve"> віку дитини </w:t>
      </w:r>
      <w:r w:rsidR="00790AF8" w:rsidRPr="00520861">
        <w:rPr>
          <w:rFonts w:eastAsia="Calibri"/>
          <w:sz w:val="28"/>
          <w:szCs w:val="28"/>
        </w:rPr>
        <w:br/>
      </w:r>
      <w:r w:rsidRPr="00520861">
        <w:rPr>
          <w:rFonts w:eastAsia="Calibri"/>
          <w:sz w:val="28"/>
          <w:szCs w:val="28"/>
        </w:rPr>
        <w:t>(</w:t>
      </w:r>
      <w:r w:rsidR="001155FA" w:rsidRPr="00520861">
        <w:rPr>
          <w:rFonts w:eastAsia="Calibri"/>
          <w:sz w:val="28"/>
          <w:szCs w:val="28"/>
        </w:rPr>
        <w:t xml:space="preserve">МРП </w:t>
      </w:r>
      <w:r w:rsidR="00230F0E" w:rsidRPr="00520861">
        <w:rPr>
          <w:rFonts w:eastAsia="Calibri"/>
          <w:sz w:val="28"/>
          <w:szCs w:val="28"/>
        </w:rPr>
        <w:t>вищі 90 </w:t>
      </w:r>
      <w:proofErr w:type="spellStart"/>
      <w:r w:rsidR="00230F0E" w:rsidRPr="00520861">
        <w:rPr>
          <w:rFonts w:eastAsia="Calibri"/>
          <w:sz w:val="28"/>
          <w:szCs w:val="28"/>
        </w:rPr>
        <w:t>перцентилів</w:t>
      </w:r>
      <w:proofErr w:type="spellEnd"/>
      <w:r w:rsidR="00230F0E" w:rsidRPr="00520861">
        <w:rPr>
          <w:rFonts w:eastAsia="Calibri"/>
          <w:sz w:val="28"/>
          <w:szCs w:val="28"/>
        </w:rPr>
        <w:t>) [417</w:t>
      </w:r>
      <w:r w:rsidR="008463D8" w:rsidRPr="00520861">
        <w:rPr>
          <w:rFonts w:eastAsia="Calibri"/>
          <w:sz w:val="28"/>
          <w:szCs w:val="28"/>
        </w:rPr>
        <w:t>]</w:t>
      </w:r>
      <w:r w:rsidR="001B5D48" w:rsidRPr="00520861">
        <w:rPr>
          <w:rFonts w:eastAsia="Calibri"/>
          <w:sz w:val="28"/>
          <w:szCs w:val="28"/>
        </w:rPr>
        <w:t>.</w:t>
      </w:r>
      <w:r w:rsidR="00F75956" w:rsidRPr="00520861">
        <w:rPr>
          <w:rFonts w:eastAsia="Calibri"/>
          <w:sz w:val="28"/>
          <w:szCs w:val="28"/>
        </w:rPr>
        <w:t xml:space="preserve"> </w:t>
      </w:r>
      <w:r w:rsidRPr="00520861">
        <w:rPr>
          <w:rFonts w:eastAsia="Calibri"/>
          <w:sz w:val="28"/>
          <w:szCs w:val="28"/>
        </w:rPr>
        <w:t xml:space="preserve">Також для визначення крупного </w:t>
      </w:r>
      <w:r w:rsidR="000C5378" w:rsidRPr="00520861">
        <w:rPr>
          <w:rFonts w:eastAsia="Calibri"/>
          <w:sz w:val="28"/>
          <w:szCs w:val="28"/>
        </w:rPr>
        <w:t>плода</w:t>
      </w:r>
      <w:r w:rsidRPr="00520861">
        <w:rPr>
          <w:rFonts w:eastAsia="Calibri"/>
          <w:sz w:val="28"/>
          <w:szCs w:val="28"/>
        </w:rPr>
        <w:t xml:space="preserve"> вживається термін «</w:t>
      </w:r>
      <w:proofErr w:type="spellStart"/>
      <w:r w:rsidRPr="00520861">
        <w:rPr>
          <w:rFonts w:eastAsia="Calibri"/>
          <w:sz w:val="28"/>
          <w:szCs w:val="28"/>
        </w:rPr>
        <w:t>макросомія</w:t>
      </w:r>
      <w:proofErr w:type="spellEnd"/>
      <w:r w:rsidRPr="00520861">
        <w:rPr>
          <w:rFonts w:eastAsia="Calibri"/>
          <w:sz w:val="28"/>
          <w:szCs w:val="28"/>
        </w:rPr>
        <w:t>», якщо маса тіла новонародженої дитини, незалежно від її</w:t>
      </w:r>
      <w:r w:rsidR="00174453" w:rsidRPr="00520861">
        <w:rPr>
          <w:rFonts w:eastAsia="Calibri"/>
          <w:sz w:val="28"/>
          <w:szCs w:val="28"/>
        </w:rPr>
        <w:t xml:space="preserve"> </w:t>
      </w:r>
      <w:proofErr w:type="spellStart"/>
      <w:r w:rsidRPr="00520861">
        <w:rPr>
          <w:rFonts w:eastAsia="Calibri"/>
          <w:sz w:val="28"/>
          <w:szCs w:val="28"/>
        </w:rPr>
        <w:t>гестаційного</w:t>
      </w:r>
      <w:proofErr w:type="spellEnd"/>
      <w:r w:rsidRPr="00520861">
        <w:rPr>
          <w:rFonts w:eastAsia="Calibri"/>
          <w:sz w:val="28"/>
          <w:szCs w:val="28"/>
        </w:rPr>
        <w:t xml:space="preserve"> ві</w:t>
      </w:r>
      <w:r w:rsidR="00C33B7B" w:rsidRPr="00520861">
        <w:rPr>
          <w:rFonts w:eastAsia="Calibri"/>
          <w:sz w:val="28"/>
          <w:szCs w:val="28"/>
        </w:rPr>
        <w:t>ку, є більшою або дорівнює 4 </w:t>
      </w:r>
      <w:r w:rsidRPr="00520861">
        <w:rPr>
          <w:rFonts w:eastAsia="Calibri"/>
          <w:sz w:val="28"/>
          <w:szCs w:val="28"/>
        </w:rPr>
        <w:t>кг [</w:t>
      </w:r>
      <w:r w:rsidR="00AA2248" w:rsidRPr="00520861">
        <w:rPr>
          <w:rFonts w:eastAsia="Calibri"/>
          <w:sz w:val="28"/>
          <w:szCs w:val="28"/>
        </w:rPr>
        <w:t>431</w:t>
      </w:r>
      <w:r w:rsidR="00FB4EDC" w:rsidRPr="00520861">
        <w:rPr>
          <w:rFonts w:eastAsia="Calibri"/>
          <w:sz w:val="28"/>
          <w:szCs w:val="28"/>
        </w:rPr>
        <w:t>, 2</w:t>
      </w:r>
      <w:r w:rsidR="00AA2248" w:rsidRPr="00520861">
        <w:rPr>
          <w:rFonts w:eastAsia="Calibri"/>
          <w:sz w:val="28"/>
          <w:szCs w:val="28"/>
        </w:rPr>
        <w:t>19</w:t>
      </w:r>
      <w:r w:rsidR="001B7027" w:rsidRPr="00520861">
        <w:rPr>
          <w:rFonts w:eastAsia="Calibri"/>
          <w:sz w:val="28"/>
          <w:szCs w:val="28"/>
        </w:rPr>
        <w:t>].</w:t>
      </w:r>
      <w:r w:rsidR="002A25E9" w:rsidRPr="00520861">
        <w:rPr>
          <w:rFonts w:eastAsia="Calibri"/>
          <w:sz w:val="28"/>
          <w:szCs w:val="28"/>
        </w:rPr>
        <w:t xml:space="preserve"> </w:t>
      </w:r>
      <w:r w:rsidR="001C4636" w:rsidRPr="00520861">
        <w:rPr>
          <w:sz w:val="28"/>
          <w:szCs w:val="28"/>
        </w:rPr>
        <w:t>Дітей, чия маса тіла на момент нар</w:t>
      </w:r>
      <w:r w:rsidR="00337BAB" w:rsidRPr="00520861">
        <w:rPr>
          <w:sz w:val="28"/>
          <w:szCs w:val="28"/>
        </w:rPr>
        <w:t>одження є більшою або дорівнює 5</w:t>
      </w:r>
      <w:r w:rsidR="00C33B7B" w:rsidRPr="00520861">
        <w:rPr>
          <w:sz w:val="28"/>
          <w:szCs w:val="28"/>
        </w:rPr>
        <w:t> </w:t>
      </w:r>
      <w:r w:rsidR="001C4636" w:rsidRPr="00520861">
        <w:rPr>
          <w:sz w:val="28"/>
          <w:szCs w:val="28"/>
        </w:rPr>
        <w:t>кг</w:t>
      </w:r>
      <w:r w:rsidR="00E57E55" w:rsidRPr="00520861">
        <w:rPr>
          <w:sz w:val="28"/>
          <w:szCs w:val="28"/>
        </w:rPr>
        <w:t>,</w:t>
      </w:r>
      <w:r w:rsidR="001C4636" w:rsidRPr="00520861">
        <w:rPr>
          <w:sz w:val="28"/>
          <w:szCs w:val="28"/>
        </w:rPr>
        <w:t xml:space="preserve"> називають гігантами [</w:t>
      </w:r>
      <w:r w:rsidR="009E1DA8" w:rsidRPr="00520861">
        <w:rPr>
          <w:sz w:val="28"/>
          <w:szCs w:val="28"/>
        </w:rPr>
        <w:t>350</w:t>
      </w:r>
      <w:r w:rsidR="001C4636" w:rsidRPr="00520861">
        <w:rPr>
          <w:sz w:val="28"/>
          <w:szCs w:val="28"/>
        </w:rPr>
        <w:t>].</w:t>
      </w:r>
    </w:p>
    <w:p w14:paraId="5D9069C4" w14:textId="77777777" w:rsidR="00150979" w:rsidRPr="00520861" w:rsidRDefault="005B2BAD" w:rsidP="00292D2E">
      <w:pPr>
        <w:widowControl w:val="0"/>
        <w:spacing w:line="360" w:lineRule="auto"/>
        <w:ind w:firstLine="708"/>
        <w:jc w:val="both"/>
        <w:rPr>
          <w:sz w:val="28"/>
          <w:szCs w:val="28"/>
        </w:rPr>
      </w:pPr>
      <w:r w:rsidRPr="00520861">
        <w:rPr>
          <w:sz w:val="28"/>
          <w:szCs w:val="28"/>
        </w:rPr>
        <w:t xml:space="preserve">Від 2% до 10% усіх вагітностей закінчуються народженням дітей, великих до </w:t>
      </w:r>
      <w:proofErr w:type="spellStart"/>
      <w:r w:rsidRPr="00520861">
        <w:rPr>
          <w:sz w:val="28"/>
          <w:szCs w:val="28"/>
        </w:rPr>
        <w:t>гестаційного</w:t>
      </w:r>
      <w:proofErr w:type="spellEnd"/>
      <w:r w:rsidRPr="00520861">
        <w:rPr>
          <w:sz w:val="28"/>
          <w:szCs w:val="28"/>
        </w:rPr>
        <w:t xml:space="preserve"> віку [</w:t>
      </w:r>
      <w:r w:rsidR="003B2ABE" w:rsidRPr="00520861">
        <w:rPr>
          <w:sz w:val="28"/>
          <w:szCs w:val="28"/>
        </w:rPr>
        <w:t>417</w:t>
      </w:r>
      <w:r w:rsidRPr="00520861">
        <w:rPr>
          <w:sz w:val="28"/>
          <w:szCs w:val="28"/>
        </w:rPr>
        <w:t xml:space="preserve">]. </w:t>
      </w:r>
      <w:r w:rsidR="002A25E9" w:rsidRPr="00520861">
        <w:rPr>
          <w:rFonts w:eastAsia="Calibri"/>
          <w:sz w:val="28"/>
          <w:szCs w:val="28"/>
        </w:rPr>
        <w:t xml:space="preserve">Останнім часом кількість дітей, народжених з </w:t>
      </w:r>
      <w:proofErr w:type="spellStart"/>
      <w:r w:rsidR="002A25E9" w:rsidRPr="00520861">
        <w:rPr>
          <w:rFonts w:eastAsia="Calibri"/>
          <w:sz w:val="28"/>
          <w:szCs w:val="28"/>
        </w:rPr>
        <w:t>макросомією</w:t>
      </w:r>
      <w:proofErr w:type="spellEnd"/>
      <w:r w:rsidR="006148E4" w:rsidRPr="00520861">
        <w:rPr>
          <w:rFonts w:eastAsia="Calibri"/>
          <w:sz w:val="28"/>
          <w:szCs w:val="28"/>
        </w:rPr>
        <w:t>,</w:t>
      </w:r>
      <w:r w:rsidR="003B2ABE" w:rsidRPr="00520861">
        <w:rPr>
          <w:rFonts w:eastAsia="Calibri"/>
          <w:sz w:val="28"/>
          <w:szCs w:val="28"/>
        </w:rPr>
        <w:t xml:space="preserve"> збільшується [289</w:t>
      </w:r>
      <w:r w:rsidR="002A25E9" w:rsidRPr="00520861">
        <w:rPr>
          <w:rFonts w:eastAsia="Calibri"/>
          <w:sz w:val="28"/>
          <w:szCs w:val="28"/>
        </w:rPr>
        <w:t xml:space="preserve">]. </w:t>
      </w:r>
      <w:r w:rsidRPr="00520861">
        <w:rPr>
          <w:sz w:val="28"/>
          <w:szCs w:val="28"/>
        </w:rPr>
        <w:t>За даними українських науковців</w:t>
      </w:r>
      <w:r w:rsidR="00864DA7" w:rsidRPr="00520861">
        <w:rPr>
          <w:sz w:val="28"/>
          <w:szCs w:val="28"/>
        </w:rPr>
        <w:t>,</w:t>
      </w:r>
      <w:r w:rsidRPr="00520861">
        <w:rPr>
          <w:sz w:val="28"/>
          <w:szCs w:val="28"/>
        </w:rPr>
        <w:t xml:space="preserve"> процентна частка дітей-</w:t>
      </w:r>
      <w:proofErr w:type="spellStart"/>
      <w:r w:rsidRPr="00520861">
        <w:rPr>
          <w:sz w:val="28"/>
          <w:szCs w:val="28"/>
        </w:rPr>
        <w:t>макросомів</w:t>
      </w:r>
      <w:proofErr w:type="spellEnd"/>
      <w:r w:rsidRPr="00520861">
        <w:rPr>
          <w:sz w:val="28"/>
          <w:szCs w:val="28"/>
        </w:rPr>
        <w:t xml:space="preserve"> коливається в межах від 10% до 18%</w:t>
      </w:r>
      <w:r w:rsidR="00174453" w:rsidRPr="00520861">
        <w:rPr>
          <w:sz w:val="28"/>
          <w:szCs w:val="28"/>
        </w:rPr>
        <w:t xml:space="preserve"> </w:t>
      </w:r>
      <w:r w:rsidRPr="00520861">
        <w:rPr>
          <w:sz w:val="28"/>
          <w:szCs w:val="28"/>
        </w:rPr>
        <w:t>[</w:t>
      </w:r>
      <w:r w:rsidR="003B2ABE" w:rsidRPr="00520861">
        <w:rPr>
          <w:sz w:val="28"/>
          <w:szCs w:val="28"/>
        </w:rPr>
        <w:t>134</w:t>
      </w:r>
      <w:r w:rsidRPr="00520861">
        <w:rPr>
          <w:sz w:val="28"/>
          <w:szCs w:val="28"/>
        </w:rPr>
        <w:t xml:space="preserve">], щорічно зростаючи </w:t>
      </w:r>
      <w:r w:rsidR="00790AF8" w:rsidRPr="00520861">
        <w:rPr>
          <w:sz w:val="28"/>
          <w:szCs w:val="28"/>
        </w:rPr>
        <w:br/>
      </w:r>
      <w:r w:rsidRPr="00520861">
        <w:rPr>
          <w:sz w:val="28"/>
          <w:szCs w:val="28"/>
        </w:rPr>
        <w:lastRenderedPageBreak/>
        <w:t>на 2% [</w:t>
      </w:r>
      <w:r w:rsidR="00C80CE5" w:rsidRPr="00520861">
        <w:rPr>
          <w:sz w:val="28"/>
          <w:szCs w:val="28"/>
        </w:rPr>
        <w:t>25</w:t>
      </w:r>
      <w:r w:rsidR="008B43DA" w:rsidRPr="00520861">
        <w:rPr>
          <w:sz w:val="28"/>
          <w:szCs w:val="28"/>
        </w:rPr>
        <w:t>1</w:t>
      </w:r>
      <w:r w:rsidRPr="00520861">
        <w:rPr>
          <w:sz w:val="28"/>
          <w:szCs w:val="28"/>
        </w:rPr>
        <w:t>].</w:t>
      </w:r>
      <w:r w:rsidR="00864DA7" w:rsidRPr="00520861">
        <w:rPr>
          <w:sz w:val="28"/>
          <w:szCs w:val="28"/>
        </w:rPr>
        <w:t xml:space="preserve"> Г</w:t>
      </w:r>
      <w:r w:rsidR="007B6EC4" w:rsidRPr="00520861">
        <w:rPr>
          <w:sz w:val="28"/>
          <w:szCs w:val="28"/>
        </w:rPr>
        <w:t>іг</w:t>
      </w:r>
      <w:r w:rsidR="00864DA7" w:rsidRPr="00520861">
        <w:rPr>
          <w:sz w:val="28"/>
          <w:szCs w:val="28"/>
        </w:rPr>
        <w:t>антські діти народжуються в 0,1–</w:t>
      </w:r>
      <w:r w:rsidR="007B6EC4" w:rsidRPr="00520861">
        <w:rPr>
          <w:sz w:val="28"/>
          <w:szCs w:val="28"/>
        </w:rPr>
        <w:t>0,4% випадків [</w:t>
      </w:r>
      <w:r w:rsidR="008B43DA" w:rsidRPr="00520861">
        <w:rPr>
          <w:sz w:val="28"/>
          <w:szCs w:val="28"/>
        </w:rPr>
        <w:t>350, 416</w:t>
      </w:r>
      <w:r w:rsidR="007B6EC4" w:rsidRPr="00520861">
        <w:rPr>
          <w:sz w:val="28"/>
          <w:szCs w:val="28"/>
        </w:rPr>
        <w:t>].</w:t>
      </w:r>
      <w:r w:rsidR="00150979" w:rsidRPr="00520861">
        <w:rPr>
          <w:sz w:val="28"/>
          <w:szCs w:val="28"/>
        </w:rPr>
        <w:t xml:space="preserve"> </w:t>
      </w:r>
    </w:p>
    <w:p w14:paraId="08366C22" w14:textId="77777777" w:rsidR="005B2BAD" w:rsidRPr="00520861" w:rsidRDefault="005B2BAD" w:rsidP="00292D2E">
      <w:pPr>
        <w:widowControl w:val="0"/>
        <w:spacing w:line="360" w:lineRule="auto"/>
        <w:ind w:firstLine="708"/>
        <w:jc w:val="both"/>
        <w:rPr>
          <w:sz w:val="28"/>
          <w:szCs w:val="28"/>
        </w:rPr>
      </w:pPr>
      <w:r w:rsidRPr="00520861">
        <w:rPr>
          <w:sz w:val="28"/>
          <w:szCs w:val="28"/>
        </w:rPr>
        <w:t xml:space="preserve">Дослідники з різних країн понад сторіччя вивчали аспекти проблеми пологів крупним плодом. На їхню думку, найбільш вагомими чинниками ризику виникнення </w:t>
      </w:r>
      <w:proofErr w:type="spellStart"/>
      <w:r w:rsidRPr="00520861">
        <w:rPr>
          <w:sz w:val="28"/>
          <w:szCs w:val="28"/>
        </w:rPr>
        <w:t>макросомії</w:t>
      </w:r>
      <w:proofErr w:type="spellEnd"/>
      <w:r w:rsidRPr="00520861">
        <w:rPr>
          <w:sz w:val="28"/>
          <w:szCs w:val="28"/>
        </w:rPr>
        <w:t xml:space="preserve"> є генетичний чинник, наявність у матері діабету (у тому числі й </w:t>
      </w:r>
      <w:proofErr w:type="spellStart"/>
      <w:r w:rsidRPr="00520861">
        <w:rPr>
          <w:sz w:val="28"/>
          <w:szCs w:val="28"/>
        </w:rPr>
        <w:t>гестаційного</w:t>
      </w:r>
      <w:proofErr w:type="spellEnd"/>
      <w:r w:rsidRPr="00520861">
        <w:rPr>
          <w:sz w:val="28"/>
          <w:szCs w:val="28"/>
        </w:rPr>
        <w:t xml:space="preserve">), материнське ожиріння, набір протягом вагітності надмірної маси тіла, підвищений тиск та захворювання щитоподібної залози. </w:t>
      </w:r>
      <w:r w:rsidR="00864DA7" w:rsidRPr="00520861">
        <w:rPr>
          <w:sz w:val="28"/>
          <w:szCs w:val="28"/>
        </w:rPr>
        <w:t>Одним із чинників ризику також у</w:t>
      </w:r>
      <w:r w:rsidRPr="00520861">
        <w:rPr>
          <w:sz w:val="28"/>
          <w:szCs w:val="28"/>
        </w:rPr>
        <w:t>важають народження дітей-</w:t>
      </w:r>
      <w:proofErr w:type="spellStart"/>
      <w:r w:rsidRPr="00520861">
        <w:rPr>
          <w:sz w:val="28"/>
          <w:szCs w:val="28"/>
        </w:rPr>
        <w:t>макросомів</w:t>
      </w:r>
      <w:proofErr w:type="spellEnd"/>
      <w:r w:rsidRPr="00520861">
        <w:rPr>
          <w:sz w:val="28"/>
          <w:szCs w:val="28"/>
        </w:rPr>
        <w:t xml:space="preserve"> під час поперед</w:t>
      </w:r>
      <w:r w:rsidR="00CB2A31" w:rsidRPr="00520861">
        <w:rPr>
          <w:sz w:val="28"/>
          <w:szCs w:val="28"/>
        </w:rPr>
        <w:t>ніх пологів</w:t>
      </w:r>
      <w:r w:rsidRPr="00520861">
        <w:rPr>
          <w:sz w:val="28"/>
          <w:szCs w:val="28"/>
        </w:rPr>
        <w:t>, пари</w:t>
      </w:r>
      <w:r w:rsidR="00864DA7" w:rsidRPr="00520861">
        <w:rPr>
          <w:sz w:val="28"/>
          <w:szCs w:val="28"/>
        </w:rPr>
        <w:t>тет і немолодий вік батьків</w:t>
      </w:r>
      <w:r w:rsidR="00174453" w:rsidRPr="00520861">
        <w:rPr>
          <w:sz w:val="28"/>
          <w:szCs w:val="28"/>
        </w:rPr>
        <w:t xml:space="preserve"> </w:t>
      </w:r>
      <w:r w:rsidRPr="00520861">
        <w:rPr>
          <w:sz w:val="28"/>
          <w:szCs w:val="28"/>
        </w:rPr>
        <w:t>[</w:t>
      </w:r>
      <w:r w:rsidR="0032640D" w:rsidRPr="00520861">
        <w:rPr>
          <w:sz w:val="28"/>
          <w:szCs w:val="28"/>
        </w:rPr>
        <w:t>219</w:t>
      </w:r>
      <w:r w:rsidR="00BE4C28" w:rsidRPr="00520861">
        <w:rPr>
          <w:sz w:val="28"/>
          <w:szCs w:val="28"/>
        </w:rPr>
        <w:t xml:space="preserve">, </w:t>
      </w:r>
      <w:r w:rsidR="00584380" w:rsidRPr="00520861">
        <w:rPr>
          <w:rFonts w:eastAsia="Calibri"/>
          <w:sz w:val="28"/>
          <w:szCs w:val="28"/>
        </w:rPr>
        <w:t xml:space="preserve">230, 295, </w:t>
      </w:r>
      <w:r w:rsidR="0032640D" w:rsidRPr="00520861">
        <w:rPr>
          <w:rFonts w:eastAsia="Calibri"/>
          <w:sz w:val="28"/>
          <w:szCs w:val="28"/>
        </w:rPr>
        <w:t>426</w:t>
      </w:r>
      <w:r w:rsidRPr="00520861">
        <w:rPr>
          <w:rFonts w:eastAsia="Calibri"/>
          <w:sz w:val="28"/>
          <w:szCs w:val="28"/>
        </w:rPr>
        <w:t>]</w:t>
      </w:r>
      <w:r w:rsidR="001A3DDF" w:rsidRPr="00520861">
        <w:rPr>
          <w:sz w:val="28"/>
          <w:szCs w:val="28"/>
        </w:rPr>
        <w:t>.</w:t>
      </w:r>
      <w:r w:rsidR="002A25E9" w:rsidRPr="00520861">
        <w:rPr>
          <w:sz w:val="28"/>
          <w:szCs w:val="28"/>
        </w:rPr>
        <w:t xml:space="preserve"> </w:t>
      </w:r>
      <w:r w:rsidRPr="00520861">
        <w:rPr>
          <w:sz w:val="28"/>
          <w:szCs w:val="28"/>
        </w:rPr>
        <w:t>Наявні дослідження, що зазначають про вплив етнічної приналежнос</w:t>
      </w:r>
      <w:r w:rsidR="00CB35E2" w:rsidRPr="00520861">
        <w:rPr>
          <w:sz w:val="28"/>
          <w:szCs w:val="28"/>
        </w:rPr>
        <w:t xml:space="preserve">ті особи на розвиток </w:t>
      </w:r>
      <w:proofErr w:type="spellStart"/>
      <w:r w:rsidR="00CB35E2" w:rsidRPr="00520861">
        <w:rPr>
          <w:sz w:val="28"/>
          <w:szCs w:val="28"/>
        </w:rPr>
        <w:t>макросомії</w:t>
      </w:r>
      <w:proofErr w:type="spellEnd"/>
      <w:r w:rsidRPr="00520861">
        <w:rPr>
          <w:sz w:val="28"/>
          <w:szCs w:val="28"/>
        </w:rPr>
        <w:t xml:space="preserve"> [</w:t>
      </w:r>
      <w:r w:rsidR="00D13CFD" w:rsidRPr="00520861">
        <w:rPr>
          <w:sz w:val="28"/>
          <w:szCs w:val="28"/>
        </w:rPr>
        <w:t>515, 553</w:t>
      </w:r>
      <w:r w:rsidRPr="00520861">
        <w:rPr>
          <w:sz w:val="28"/>
          <w:szCs w:val="28"/>
        </w:rPr>
        <w:t xml:space="preserve">]. </w:t>
      </w:r>
    </w:p>
    <w:p w14:paraId="2ADF055B" w14:textId="77777777" w:rsidR="005B2BAD" w:rsidRPr="00520861" w:rsidRDefault="005B2BAD" w:rsidP="00292D2E">
      <w:pPr>
        <w:widowControl w:val="0"/>
        <w:spacing w:line="360" w:lineRule="auto"/>
        <w:ind w:firstLine="708"/>
        <w:jc w:val="both"/>
        <w:rPr>
          <w:sz w:val="28"/>
          <w:szCs w:val="28"/>
        </w:rPr>
      </w:pPr>
      <w:r w:rsidRPr="00520861">
        <w:rPr>
          <w:sz w:val="28"/>
          <w:szCs w:val="28"/>
        </w:rPr>
        <w:t>На виникн</w:t>
      </w:r>
      <w:r w:rsidR="00B01F6E" w:rsidRPr="00520861">
        <w:rPr>
          <w:sz w:val="28"/>
          <w:szCs w:val="28"/>
        </w:rPr>
        <w:t xml:space="preserve">ення </w:t>
      </w:r>
      <w:proofErr w:type="spellStart"/>
      <w:r w:rsidR="00B01F6E" w:rsidRPr="00520861">
        <w:rPr>
          <w:sz w:val="28"/>
          <w:szCs w:val="28"/>
        </w:rPr>
        <w:t>макросомії</w:t>
      </w:r>
      <w:proofErr w:type="spellEnd"/>
      <w:r w:rsidR="00B01F6E" w:rsidRPr="00520861">
        <w:rPr>
          <w:sz w:val="28"/>
          <w:szCs w:val="28"/>
        </w:rPr>
        <w:t xml:space="preserve"> також впливає такий чинник</w:t>
      </w:r>
      <w:r w:rsidRPr="00520861">
        <w:rPr>
          <w:sz w:val="28"/>
          <w:szCs w:val="28"/>
        </w:rPr>
        <w:t xml:space="preserve">, як довкілля </w:t>
      </w:r>
      <w:r w:rsidR="001B7027" w:rsidRPr="00520861">
        <w:rPr>
          <w:sz w:val="28"/>
          <w:szCs w:val="28"/>
        </w:rPr>
        <w:t>[2</w:t>
      </w:r>
      <w:r w:rsidR="00450ED9" w:rsidRPr="00520861">
        <w:rPr>
          <w:sz w:val="28"/>
          <w:szCs w:val="28"/>
        </w:rPr>
        <w:t>5</w:t>
      </w:r>
      <w:r w:rsidR="0097593A" w:rsidRPr="00520861">
        <w:rPr>
          <w:sz w:val="28"/>
          <w:szCs w:val="28"/>
        </w:rPr>
        <w:t>1</w:t>
      </w:r>
      <w:r w:rsidR="001B7027" w:rsidRPr="00520861">
        <w:rPr>
          <w:sz w:val="28"/>
          <w:szCs w:val="28"/>
        </w:rPr>
        <w:t>]</w:t>
      </w:r>
      <w:r w:rsidR="00450ED9" w:rsidRPr="00520861">
        <w:rPr>
          <w:sz w:val="28"/>
          <w:szCs w:val="28"/>
        </w:rPr>
        <w:t>.</w:t>
      </w:r>
      <w:r w:rsidR="001B7027" w:rsidRPr="00520861">
        <w:rPr>
          <w:sz w:val="28"/>
          <w:szCs w:val="28"/>
        </w:rPr>
        <w:t xml:space="preserve"> </w:t>
      </w:r>
      <w:r w:rsidR="00E564FC" w:rsidRPr="00520861">
        <w:rPr>
          <w:sz w:val="28"/>
          <w:szCs w:val="28"/>
        </w:rPr>
        <w:br/>
      </w:r>
      <w:r w:rsidRPr="00520861">
        <w:rPr>
          <w:sz w:val="28"/>
          <w:szCs w:val="28"/>
        </w:rPr>
        <w:t>Нерідко народження дитини-</w:t>
      </w:r>
      <w:proofErr w:type="spellStart"/>
      <w:r w:rsidRPr="00520861">
        <w:rPr>
          <w:sz w:val="28"/>
          <w:szCs w:val="28"/>
        </w:rPr>
        <w:t>макросома</w:t>
      </w:r>
      <w:proofErr w:type="spellEnd"/>
      <w:r w:rsidRPr="00520861">
        <w:rPr>
          <w:sz w:val="28"/>
          <w:szCs w:val="28"/>
        </w:rPr>
        <w:t xml:space="preserve"> спричинює наявність </w:t>
      </w:r>
      <w:r w:rsidR="00FD78DD" w:rsidRPr="00520861">
        <w:rPr>
          <w:sz w:val="28"/>
          <w:szCs w:val="28"/>
        </w:rPr>
        <w:t xml:space="preserve">у матері дитини </w:t>
      </w:r>
      <w:r w:rsidR="00E564FC" w:rsidRPr="00520861">
        <w:rPr>
          <w:sz w:val="28"/>
          <w:szCs w:val="28"/>
        </w:rPr>
        <w:br/>
      </w:r>
      <w:r w:rsidR="00AD686A" w:rsidRPr="00520861">
        <w:rPr>
          <w:sz w:val="28"/>
          <w:szCs w:val="28"/>
        </w:rPr>
        <w:t>анемії </w:t>
      </w:r>
      <w:r w:rsidRPr="00520861">
        <w:rPr>
          <w:sz w:val="28"/>
          <w:szCs w:val="28"/>
        </w:rPr>
        <w:t>[</w:t>
      </w:r>
      <w:r w:rsidR="0097593A" w:rsidRPr="00520861">
        <w:rPr>
          <w:sz w:val="28"/>
          <w:szCs w:val="28"/>
        </w:rPr>
        <w:t>250</w:t>
      </w:r>
      <w:r w:rsidRPr="00520861">
        <w:rPr>
          <w:sz w:val="28"/>
          <w:szCs w:val="28"/>
        </w:rPr>
        <w:t xml:space="preserve">], </w:t>
      </w:r>
      <w:proofErr w:type="spellStart"/>
      <w:r w:rsidRPr="00520861">
        <w:rPr>
          <w:sz w:val="28"/>
          <w:szCs w:val="28"/>
        </w:rPr>
        <w:t>прееклампсії</w:t>
      </w:r>
      <w:proofErr w:type="spellEnd"/>
      <w:r w:rsidR="00174453" w:rsidRPr="00520861">
        <w:rPr>
          <w:sz w:val="28"/>
          <w:szCs w:val="28"/>
        </w:rPr>
        <w:t xml:space="preserve"> </w:t>
      </w:r>
      <w:r w:rsidRPr="00520861">
        <w:rPr>
          <w:sz w:val="28"/>
          <w:szCs w:val="28"/>
        </w:rPr>
        <w:t>[</w:t>
      </w:r>
      <w:r w:rsidR="0097593A" w:rsidRPr="00520861">
        <w:rPr>
          <w:sz w:val="28"/>
          <w:szCs w:val="28"/>
        </w:rPr>
        <w:t>146</w:t>
      </w:r>
      <w:r w:rsidRPr="00520861">
        <w:rPr>
          <w:sz w:val="28"/>
          <w:szCs w:val="28"/>
        </w:rPr>
        <w:t>] або діабету [</w:t>
      </w:r>
      <w:r w:rsidR="0097593A" w:rsidRPr="00520861">
        <w:rPr>
          <w:sz w:val="28"/>
          <w:szCs w:val="28"/>
        </w:rPr>
        <w:t>387</w:t>
      </w:r>
      <w:r w:rsidR="00905524" w:rsidRPr="00520861">
        <w:rPr>
          <w:sz w:val="28"/>
          <w:szCs w:val="28"/>
        </w:rPr>
        <w:t xml:space="preserve">]. Натомість </w:t>
      </w:r>
      <w:proofErr w:type="spellStart"/>
      <w:r w:rsidRPr="00520861">
        <w:rPr>
          <w:sz w:val="28"/>
          <w:szCs w:val="28"/>
        </w:rPr>
        <w:t>Catalano</w:t>
      </w:r>
      <w:proofErr w:type="spellEnd"/>
      <w:r w:rsidRPr="00520861">
        <w:rPr>
          <w:sz w:val="28"/>
          <w:szCs w:val="28"/>
        </w:rPr>
        <w:t xml:space="preserve"> </w:t>
      </w:r>
      <w:r w:rsidR="00B01F6E" w:rsidRPr="00520861">
        <w:rPr>
          <w:sz w:val="28"/>
          <w:szCs w:val="28"/>
        </w:rPr>
        <w:t>P.</w:t>
      </w:r>
      <w:r w:rsidR="00995EFB" w:rsidRPr="00520861">
        <w:rPr>
          <w:sz w:val="28"/>
          <w:szCs w:val="28"/>
          <w:lang w:val="ru-RU"/>
        </w:rPr>
        <w:t> </w:t>
      </w:r>
      <w:r w:rsidR="00B01F6E" w:rsidRPr="00520861">
        <w:rPr>
          <w:sz w:val="28"/>
          <w:szCs w:val="28"/>
        </w:rPr>
        <w:t xml:space="preserve">M. </w:t>
      </w:r>
      <w:r w:rsidRPr="00520861">
        <w:rPr>
          <w:sz w:val="28"/>
          <w:szCs w:val="28"/>
        </w:rPr>
        <w:t xml:space="preserve">у співавторстві з іншими дослідниками відзначає, що народження значної кількості </w:t>
      </w:r>
      <w:proofErr w:type="spellStart"/>
      <w:r w:rsidRPr="00520861">
        <w:rPr>
          <w:sz w:val="28"/>
          <w:szCs w:val="28"/>
        </w:rPr>
        <w:t>макросомів</w:t>
      </w:r>
      <w:proofErr w:type="spellEnd"/>
      <w:r w:rsidRPr="00520861">
        <w:rPr>
          <w:sz w:val="28"/>
          <w:szCs w:val="28"/>
        </w:rPr>
        <w:t xml:space="preserve"> з діабетом не пов’язане [</w:t>
      </w:r>
      <w:r w:rsidR="00DF2ED9" w:rsidRPr="00520861">
        <w:rPr>
          <w:sz w:val="28"/>
          <w:szCs w:val="28"/>
        </w:rPr>
        <w:t>269</w:t>
      </w:r>
      <w:r w:rsidRPr="00520861">
        <w:rPr>
          <w:sz w:val="28"/>
          <w:szCs w:val="28"/>
        </w:rPr>
        <w:t xml:space="preserve">]. У нашому дослідженні це питання не розглядатиметься через певні особливості </w:t>
      </w:r>
      <w:r w:rsidR="009726D4" w:rsidRPr="00520861">
        <w:rPr>
          <w:sz w:val="28"/>
          <w:szCs w:val="28"/>
          <w:lang w:eastAsia="x-none" w:bidi="lo-LA"/>
        </w:rPr>
        <w:t>ВУ</w:t>
      </w:r>
      <w:r w:rsidRPr="00520861">
        <w:rPr>
          <w:sz w:val="28"/>
          <w:szCs w:val="28"/>
        </w:rPr>
        <w:t xml:space="preserve"> розвитку дітей, народжених від діабетичних матерів [</w:t>
      </w:r>
      <w:r w:rsidR="00DF2ED9" w:rsidRPr="00520861">
        <w:rPr>
          <w:sz w:val="28"/>
          <w:szCs w:val="28"/>
        </w:rPr>
        <w:t>409</w:t>
      </w:r>
      <w:r w:rsidRPr="00520861">
        <w:rPr>
          <w:sz w:val="28"/>
          <w:szCs w:val="28"/>
        </w:rPr>
        <w:t xml:space="preserve">], та виникнення у цих дітей наслідків, притаманних саме діабету. </w:t>
      </w:r>
    </w:p>
    <w:p w14:paraId="48DD45F4" w14:textId="77777777" w:rsidR="005B2BAD" w:rsidRPr="00520861" w:rsidRDefault="00493C57" w:rsidP="00292D2E">
      <w:pPr>
        <w:widowControl w:val="0"/>
        <w:spacing w:line="360" w:lineRule="auto"/>
        <w:ind w:firstLine="709"/>
        <w:jc w:val="both"/>
        <w:rPr>
          <w:sz w:val="28"/>
          <w:szCs w:val="28"/>
        </w:rPr>
      </w:pPr>
      <w:r w:rsidRPr="00520861">
        <w:rPr>
          <w:sz w:val="28"/>
          <w:szCs w:val="28"/>
        </w:rPr>
        <w:t>Цікавих висновків дійшли</w:t>
      </w:r>
      <w:r w:rsidR="00174453" w:rsidRPr="00520861">
        <w:rPr>
          <w:sz w:val="28"/>
          <w:szCs w:val="28"/>
        </w:rPr>
        <w:t xml:space="preserve"> </w:t>
      </w:r>
      <w:proofErr w:type="spellStart"/>
      <w:r w:rsidR="005B2BAD" w:rsidRPr="00520861">
        <w:rPr>
          <w:sz w:val="28"/>
          <w:szCs w:val="28"/>
        </w:rPr>
        <w:t>Sun</w:t>
      </w:r>
      <w:proofErr w:type="spellEnd"/>
      <w:r w:rsidR="00174453" w:rsidRPr="00520861">
        <w:rPr>
          <w:sz w:val="28"/>
          <w:szCs w:val="28"/>
        </w:rPr>
        <w:t xml:space="preserve"> </w:t>
      </w:r>
      <w:r w:rsidRPr="00520861">
        <w:rPr>
          <w:sz w:val="28"/>
          <w:szCs w:val="28"/>
        </w:rPr>
        <w:t xml:space="preserve">L. та </w:t>
      </w:r>
      <w:proofErr w:type="spellStart"/>
      <w:r w:rsidRPr="00520861">
        <w:rPr>
          <w:sz w:val="28"/>
          <w:szCs w:val="28"/>
        </w:rPr>
        <w:t>Niu</w:t>
      </w:r>
      <w:proofErr w:type="spellEnd"/>
      <w:r w:rsidRPr="00520861">
        <w:rPr>
          <w:sz w:val="28"/>
          <w:szCs w:val="28"/>
        </w:rPr>
        <w:t xml:space="preserve"> Z</w:t>
      </w:r>
      <w:r w:rsidR="005B2BAD" w:rsidRPr="00520861">
        <w:rPr>
          <w:sz w:val="28"/>
          <w:szCs w:val="28"/>
        </w:rPr>
        <w:t>, [</w:t>
      </w:r>
      <w:r w:rsidR="00AF0B9F" w:rsidRPr="00520861">
        <w:rPr>
          <w:sz w:val="28"/>
          <w:szCs w:val="28"/>
        </w:rPr>
        <w:t>528</w:t>
      </w:r>
      <w:r w:rsidR="005B2BAD" w:rsidRPr="00520861">
        <w:rPr>
          <w:sz w:val="28"/>
          <w:szCs w:val="28"/>
        </w:rPr>
        <w:t xml:space="preserve">] </w:t>
      </w:r>
      <w:proofErr w:type="spellStart"/>
      <w:r w:rsidR="005B2BAD" w:rsidRPr="00520861">
        <w:rPr>
          <w:sz w:val="28"/>
          <w:szCs w:val="28"/>
        </w:rPr>
        <w:t>довівши</w:t>
      </w:r>
      <w:proofErr w:type="spellEnd"/>
      <w:r w:rsidR="005B2BAD" w:rsidRPr="00520861">
        <w:rPr>
          <w:sz w:val="28"/>
          <w:szCs w:val="28"/>
        </w:rPr>
        <w:t xml:space="preserve">, що дотримання </w:t>
      </w:r>
      <w:r w:rsidR="00E564FC" w:rsidRPr="00520861">
        <w:rPr>
          <w:sz w:val="28"/>
          <w:szCs w:val="28"/>
        </w:rPr>
        <w:br/>
      </w:r>
      <w:r w:rsidR="005B2BAD" w:rsidRPr="00520861">
        <w:rPr>
          <w:sz w:val="28"/>
          <w:szCs w:val="28"/>
        </w:rPr>
        <w:t xml:space="preserve">матір’ю грибної дієти знижує вірогідність </w:t>
      </w:r>
      <w:proofErr w:type="spellStart"/>
      <w:r w:rsidR="005B2BAD" w:rsidRPr="00520861">
        <w:rPr>
          <w:sz w:val="28"/>
          <w:szCs w:val="28"/>
        </w:rPr>
        <w:t>прееклам</w:t>
      </w:r>
      <w:r w:rsidR="00D81687" w:rsidRPr="00520861">
        <w:rPr>
          <w:sz w:val="28"/>
          <w:szCs w:val="28"/>
        </w:rPr>
        <w:t>п</w:t>
      </w:r>
      <w:r w:rsidR="005B2BAD" w:rsidRPr="00520861">
        <w:rPr>
          <w:sz w:val="28"/>
          <w:szCs w:val="28"/>
        </w:rPr>
        <w:t>сії</w:t>
      </w:r>
      <w:proofErr w:type="spellEnd"/>
      <w:r w:rsidR="005B2BAD" w:rsidRPr="00520861">
        <w:rPr>
          <w:sz w:val="28"/>
          <w:szCs w:val="28"/>
        </w:rPr>
        <w:t xml:space="preserve">, </w:t>
      </w:r>
      <w:proofErr w:type="spellStart"/>
      <w:r w:rsidR="005B2BAD" w:rsidRPr="00520861">
        <w:rPr>
          <w:sz w:val="28"/>
          <w:szCs w:val="28"/>
        </w:rPr>
        <w:t>гестаційного</w:t>
      </w:r>
      <w:proofErr w:type="spellEnd"/>
      <w:r w:rsidR="005B2BAD" w:rsidRPr="00520861">
        <w:rPr>
          <w:sz w:val="28"/>
          <w:szCs w:val="28"/>
        </w:rPr>
        <w:t xml:space="preserve"> діабету та народження </w:t>
      </w:r>
      <w:r w:rsidRPr="00520861">
        <w:rPr>
          <w:sz w:val="28"/>
          <w:szCs w:val="28"/>
        </w:rPr>
        <w:t>дитини</w:t>
      </w:r>
      <w:r w:rsidR="005B2BAD" w:rsidRPr="00520861">
        <w:rPr>
          <w:sz w:val="28"/>
          <w:szCs w:val="28"/>
        </w:rPr>
        <w:t xml:space="preserve"> з </w:t>
      </w:r>
      <w:proofErr w:type="spellStart"/>
      <w:r w:rsidR="005B2BAD" w:rsidRPr="00520861">
        <w:rPr>
          <w:sz w:val="28"/>
          <w:szCs w:val="28"/>
        </w:rPr>
        <w:t>макросомією</w:t>
      </w:r>
      <w:proofErr w:type="spellEnd"/>
      <w:r w:rsidR="005B2BAD" w:rsidRPr="00520861">
        <w:rPr>
          <w:sz w:val="28"/>
          <w:szCs w:val="28"/>
        </w:rPr>
        <w:t>.</w:t>
      </w:r>
    </w:p>
    <w:p w14:paraId="6BD18FEF" w14:textId="77777777" w:rsidR="002778F3" w:rsidRPr="00520861" w:rsidRDefault="005B2BAD" w:rsidP="00292D2E">
      <w:pPr>
        <w:widowControl w:val="0"/>
        <w:spacing w:line="360" w:lineRule="auto"/>
        <w:ind w:firstLine="708"/>
        <w:jc w:val="both"/>
        <w:rPr>
          <w:sz w:val="28"/>
          <w:szCs w:val="28"/>
        </w:rPr>
      </w:pPr>
      <w:r w:rsidRPr="00520861">
        <w:rPr>
          <w:sz w:val="28"/>
          <w:szCs w:val="28"/>
        </w:rPr>
        <w:t>Проте численні дослідження [</w:t>
      </w:r>
      <w:r w:rsidR="0010775E" w:rsidRPr="00520861">
        <w:rPr>
          <w:sz w:val="28"/>
          <w:szCs w:val="28"/>
        </w:rPr>
        <w:t>246</w:t>
      </w:r>
      <w:r w:rsidR="002E341B" w:rsidRPr="00520861">
        <w:rPr>
          <w:sz w:val="28"/>
          <w:szCs w:val="28"/>
        </w:rPr>
        <w:t>,</w:t>
      </w:r>
      <w:r w:rsidR="0010775E" w:rsidRPr="00520861">
        <w:rPr>
          <w:sz w:val="28"/>
          <w:szCs w:val="28"/>
        </w:rPr>
        <w:t xml:space="preserve"> 584</w:t>
      </w:r>
      <w:r w:rsidR="002E341B" w:rsidRPr="00520861">
        <w:rPr>
          <w:sz w:val="28"/>
          <w:szCs w:val="28"/>
        </w:rPr>
        <w:t xml:space="preserve">] </w:t>
      </w:r>
      <w:r w:rsidRPr="00520861">
        <w:rPr>
          <w:sz w:val="28"/>
          <w:szCs w:val="28"/>
        </w:rPr>
        <w:t xml:space="preserve">стверджують, що в більшості випадків пологів крупним плодом відомі фактори ризику не фіксуються, а причини </w:t>
      </w:r>
      <w:r w:rsidR="00B45A6D" w:rsidRPr="00520861">
        <w:rPr>
          <w:sz w:val="28"/>
          <w:szCs w:val="28"/>
        </w:rPr>
        <w:br/>
      </w:r>
      <w:r w:rsidRPr="00520861">
        <w:rPr>
          <w:sz w:val="28"/>
          <w:szCs w:val="28"/>
        </w:rPr>
        <w:t xml:space="preserve">виникнення надмірної маси тіла новонароджених не до кінця зрозумілі. </w:t>
      </w:r>
    </w:p>
    <w:p w14:paraId="618BAC0C" w14:textId="77777777" w:rsidR="005B2BAD" w:rsidRPr="00520861" w:rsidRDefault="005B2BAD" w:rsidP="00292D2E">
      <w:pPr>
        <w:widowControl w:val="0"/>
        <w:spacing w:line="360" w:lineRule="auto"/>
        <w:ind w:firstLine="708"/>
        <w:jc w:val="both"/>
        <w:rPr>
          <w:sz w:val="28"/>
          <w:szCs w:val="28"/>
        </w:rPr>
      </w:pPr>
      <w:r w:rsidRPr="00520861">
        <w:rPr>
          <w:sz w:val="28"/>
          <w:szCs w:val="28"/>
        </w:rPr>
        <w:t xml:space="preserve">Тому дотепер </w:t>
      </w:r>
      <w:proofErr w:type="spellStart"/>
      <w:r w:rsidRPr="00520861">
        <w:rPr>
          <w:sz w:val="28"/>
          <w:szCs w:val="28"/>
        </w:rPr>
        <w:t>макросомія</w:t>
      </w:r>
      <w:proofErr w:type="spellEnd"/>
      <w:r w:rsidRPr="00520861">
        <w:rPr>
          <w:sz w:val="28"/>
          <w:szCs w:val="28"/>
        </w:rPr>
        <w:t xml:space="preserve"> </w:t>
      </w:r>
      <w:r w:rsidR="000C5378" w:rsidRPr="00520861">
        <w:rPr>
          <w:sz w:val="28"/>
          <w:szCs w:val="28"/>
        </w:rPr>
        <w:t>плода</w:t>
      </w:r>
      <w:r w:rsidRPr="00520861">
        <w:rPr>
          <w:sz w:val="28"/>
          <w:szCs w:val="28"/>
        </w:rPr>
        <w:t xml:space="preserve"> за</w:t>
      </w:r>
      <w:r w:rsidR="00D81687" w:rsidRPr="00520861">
        <w:rPr>
          <w:sz w:val="28"/>
          <w:szCs w:val="28"/>
        </w:rPr>
        <w:t>лишається поширеним та прогнос</w:t>
      </w:r>
      <w:r w:rsidRPr="00520861">
        <w:rPr>
          <w:sz w:val="28"/>
          <w:szCs w:val="28"/>
        </w:rPr>
        <w:t xml:space="preserve">тично </w:t>
      </w:r>
      <w:r w:rsidR="00790AF8" w:rsidRPr="00520861">
        <w:rPr>
          <w:sz w:val="28"/>
          <w:szCs w:val="28"/>
        </w:rPr>
        <w:br/>
      </w:r>
      <w:r w:rsidRPr="00520861">
        <w:rPr>
          <w:sz w:val="28"/>
          <w:szCs w:val="28"/>
        </w:rPr>
        <w:t>неоднозначним станом, надійні засоби профілактики якого відсутні.</w:t>
      </w:r>
    </w:p>
    <w:p w14:paraId="46543BAD" w14:textId="77777777" w:rsidR="005B2BAD" w:rsidRPr="00520861" w:rsidRDefault="005B2BAD" w:rsidP="00292D2E">
      <w:pPr>
        <w:widowControl w:val="0"/>
        <w:spacing w:line="360" w:lineRule="auto"/>
        <w:ind w:firstLine="709"/>
        <w:jc w:val="both"/>
        <w:rPr>
          <w:b/>
          <w:sz w:val="28"/>
          <w:szCs w:val="28"/>
        </w:rPr>
      </w:pPr>
      <w:r w:rsidRPr="00520861">
        <w:rPr>
          <w:b/>
          <w:sz w:val="28"/>
          <w:szCs w:val="28"/>
        </w:rPr>
        <w:t>1.1.2</w:t>
      </w:r>
      <w:r w:rsidR="00B738CD" w:rsidRPr="00520861">
        <w:rPr>
          <w:b/>
          <w:sz w:val="28"/>
          <w:szCs w:val="28"/>
        </w:rPr>
        <w:t>.</w:t>
      </w:r>
      <w:r w:rsidRPr="00520861">
        <w:rPr>
          <w:b/>
          <w:sz w:val="28"/>
          <w:szCs w:val="28"/>
        </w:rPr>
        <w:t xml:space="preserve"> </w:t>
      </w:r>
      <w:r w:rsidR="0021447E" w:rsidRPr="00520861">
        <w:rPr>
          <w:b/>
          <w:sz w:val="28"/>
          <w:szCs w:val="28"/>
        </w:rPr>
        <w:t>Діагностичні критерії та класифікації крупних плодів</w:t>
      </w:r>
      <w:r w:rsidR="003E19C7" w:rsidRPr="00520861">
        <w:rPr>
          <w:b/>
          <w:sz w:val="28"/>
          <w:szCs w:val="28"/>
        </w:rPr>
        <w:t xml:space="preserve">. </w:t>
      </w:r>
      <w:r w:rsidRPr="00520861">
        <w:rPr>
          <w:sz w:val="28"/>
          <w:szCs w:val="28"/>
          <w:shd w:val="clear" w:color="auto" w:fill="FFFFFF"/>
        </w:rPr>
        <w:t xml:space="preserve">Для </w:t>
      </w:r>
      <w:r w:rsidR="00B45A6D" w:rsidRPr="00520861">
        <w:rPr>
          <w:sz w:val="28"/>
          <w:szCs w:val="28"/>
          <w:shd w:val="clear" w:color="auto" w:fill="FFFFFF"/>
        </w:rPr>
        <w:br/>
      </w:r>
      <w:r w:rsidRPr="00520861">
        <w:rPr>
          <w:sz w:val="28"/>
          <w:szCs w:val="28"/>
          <w:shd w:val="clear" w:color="auto" w:fill="FFFFFF"/>
        </w:rPr>
        <w:t>новонароджених-</w:t>
      </w:r>
      <w:proofErr w:type="spellStart"/>
      <w:r w:rsidRPr="00520861">
        <w:rPr>
          <w:sz w:val="28"/>
          <w:szCs w:val="28"/>
          <w:shd w:val="clear" w:color="auto" w:fill="FFFFFF"/>
        </w:rPr>
        <w:t>макросомів</w:t>
      </w:r>
      <w:proofErr w:type="spellEnd"/>
      <w:r w:rsidRPr="00520861">
        <w:rPr>
          <w:sz w:val="28"/>
          <w:szCs w:val="28"/>
          <w:shd w:val="clear" w:color="auto" w:fill="FFFFFF"/>
        </w:rPr>
        <w:t xml:space="preserve"> були запропоновані декілька класифікацій. Однією із найперших була класифікація, що базується не лише на визначенні маси тіла новонародженого, а й на обчисленні його індексу маси тіла. </w:t>
      </w:r>
      <w:r w:rsidRPr="00520861">
        <w:rPr>
          <w:sz w:val="28"/>
          <w:szCs w:val="28"/>
        </w:rPr>
        <w:t>Для класифікації за цим принципом обчислюється IP-індекс (</w:t>
      </w:r>
      <w:proofErr w:type="spellStart"/>
      <w:r w:rsidRPr="00520861">
        <w:rPr>
          <w:sz w:val="28"/>
          <w:szCs w:val="28"/>
        </w:rPr>
        <w:t>ponderal</w:t>
      </w:r>
      <w:proofErr w:type="spellEnd"/>
      <w:r w:rsidRPr="00520861">
        <w:rPr>
          <w:sz w:val="28"/>
          <w:szCs w:val="28"/>
        </w:rPr>
        <w:t xml:space="preserve"> </w:t>
      </w:r>
      <w:proofErr w:type="spellStart"/>
      <w:r w:rsidRPr="00520861">
        <w:rPr>
          <w:sz w:val="28"/>
          <w:szCs w:val="28"/>
        </w:rPr>
        <w:t>index</w:t>
      </w:r>
      <w:proofErr w:type="spellEnd"/>
      <w:r w:rsidRPr="00520861">
        <w:rPr>
          <w:sz w:val="28"/>
          <w:szCs w:val="28"/>
        </w:rPr>
        <w:t>) [</w:t>
      </w:r>
      <w:r w:rsidR="007002CE" w:rsidRPr="00520861">
        <w:rPr>
          <w:sz w:val="28"/>
          <w:szCs w:val="28"/>
        </w:rPr>
        <w:t>483</w:t>
      </w:r>
      <w:r w:rsidRPr="00520861">
        <w:rPr>
          <w:sz w:val="28"/>
          <w:szCs w:val="28"/>
        </w:rPr>
        <w:t xml:space="preserve">]. </w:t>
      </w:r>
    </w:p>
    <w:p w14:paraId="2882243B" w14:textId="77777777" w:rsidR="005B2BAD" w:rsidRPr="00520861" w:rsidRDefault="005B2BAD" w:rsidP="00292D2E">
      <w:pPr>
        <w:widowControl w:val="0"/>
        <w:spacing w:line="360" w:lineRule="auto"/>
        <w:ind w:firstLine="708"/>
        <w:jc w:val="both"/>
        <w:rPr>
          <w:sz w:val="28"/>
          <w:szCs w:val="28"/>
        </w:rPr>
      </w:pPr>
      <w:r w:rsidRPr="00520861">
        <w:rPr>
          <w:sz w:val="28"/>
          <w:szCs w:val="28"/>
        </w:rPr>
        <w:t>Діаграми Міллера [</w:t>
      </w:r>
      <w:r w:rsidR="00741A4A" w:rsidRPr="00520861">
        <w:rPr>
          <w:sz w:val="28"/>
          <w:szCs w:val="28"/>
        </w:rPr>
        <w:t>423</w:t>
      </w:r>
      <w:r w:rsidRPr="00520861">
        <w:rPr>
          <w:sz w:val="28"/>
          <w:szCs w:val="28"/>
        </w:rPr>
        <w:t xml:space="preserve">] дозволяють виокремити </w:t>
      </w:r>
      <w:proofErr w:type="spellStart"/>
      <w:r w:rsidRPr="00520861">
        <w:rPr>
          <w:sz w:val="28"/>
          <w:szCs w:val="28"/>
        </w:rPr>
        <w:t>соматометрично</w:t>
      </w:r>
      <w:proofErr w:type="spellEnd"/>
      <w:r w:rsidRPr="00520861">
        <w:rPr>
          <w:sz w:val="28"/>
          <w:szCs w:val="28"/>
        </w:rPr>
        <w:t xml:space="preserve"> великих </w:t>
      </w:r>
      <w:r w:rsidR="00F16775" w:rsidRPr="00520861">
        <w:rPr>
          <w:sz w:val="28"/>
          <w:szCs w:val="28"/>
        </w:rPr>
        <w:br/>
      </w:r>
      <w:r w:rsidRPr="00520861">
        <w:rPr>
          <w:sz w:val="28"/>
          <w:szCs w:val="28"/>
        </w:rPr>
        <w:lastRenderedPageBreak/>
        <w:t xml:space="preserve">дітей – асиметричних </w:t>
      </w:r>
      <w:proofErr w:type="spellStart"/>
      <w:r w:rsidRPr="00520861">
        <w:rPr>
          <w:sz w:val="28"/>
          <w:szCs w:val="28"/>
        </w:rPr>
        <w:t>макросомів</w:t>
      </w:r>
      <w:proofErr w:type="spellEnd"/>
      <w:r w:rsidR="00174453" w:rsidRPr="00520861">
        <w:rPr>
          <w:sz w:val="28"/>
          <w:szCs w:val="28"/>
        </w:rPr>
        <w:t xml:space="preserve"> </w:t>
      </w:r>
      <w:r w:rsidRPr="00520861">
        <w:rPr>
          <w:sz w:val="28"/>
          <w:szCs w:val="28"/>
        </w:rPr>
        <w:t xml:space="preserve">(IP &gt; 97 </w:t>
      </w:r>
      <w:proofErr w:type="spellStart"/>
      <w:r w:rsidRPr="00520861">
        <w:rPr>
          <w:sz w:val="28"/>
          <w:szCs w:val="28"/>
        </w:rPr>
        <w:t>перцентилів</w:t>
      </w:r>
      <w:proofErr w:type="spellEnd"/>
      <w:r w:rsidRPr="00520861">
        <w:rPr>
          <w:sz w:val="28"/>
          <w:szCs w:val="28"/>
        </w:rPr>
        <w:t xml:space="preserve">) – та гармонійно розвинених – симетричних </w:t>
      </w:r>
      <w:proofErr w:type="spellStart"/>
      <w:r w:rsidRPr="00520861">
        <w:rPr>
          <w:sz w:val="28"/>
          <w:szCs w:val="28"/>
        </w:rPr>
        <w:t>макросомів</w:t>
      </w:r>
      <w:proofErr w:type="spellEnd"/>
      <w:r w:rsidRPr="00520861">
        <w:rPr>
          <w:sz w:val="28"/>
          <w:szCs w:val="28"/>
        </w:rPr>
        <w:t xml:space="preserve"> (IP знаходиться між 10 та 90 </w:t>
      </w:r>
      <w:proofErr w:type="spellStart"/>
      <w:r w:rsidRPr="00520861">
        <w:rPr>
          <w:sz w:val="28"/>
          <w:szCs w:val="28"/>
        </w:rPr>
        <w:t>перцентилями</w:t>
      </w:r>
      <w:proofErr w:type="spellEnd"/>
      <w:r w:rsidRPr="00520861">
        <w:rPr>
          <w:sz w:val="28"/>
          <w:szCs w:val="28"/>
        </w:rPr>
        <w:t xml:space="preserve">). За наявності </w:t>
      </w:r>
      <w:r w:rsidR="00790AF8" w:rsidRPr="00520861">
        <w:rPr>
          <w:sz w:val="28"/>
          <w:szCs w:val="28"/>
        </w:rPr>
        <w:br/>
      </w:r>
      <w:r w:rsidRPr="00520861">
        <w:rPr>
          <w:sz w:val="28"/>
          <w:szCs w:val="28"/>
        </w:rPr>
        <w:t xml:space="preserve">в дитини асиметричної </w:t>
      </w:r>
      <w:proofErr w:type="spellStart"/>
      <w:r w:rsidRPr="00520861">
        <w:rPr>
          <w:sz w:val="28"/>
          <w:szCs w:val="28"/>
        </w:rPr>
        <w:t>макросомії</w:t>
      </w:r>
      <w:proofErr w:type="spellEnd"/>
      <w:r w:rsidRPr="00520861">
        <w:rPr>
          <w:sz w:val="28"/>
          <w:szCs w:val="28"/>
        </w:rPr>
        <w:t xml:space="preserve"> формується специфічний метаболічний фенотип, що підвищує ризик порушень [</w:t>
      </w:r>
      <w:r w:rsidR="00E80298" w:rsidRPr="00520861">
        <w:rPr>
          <w:sz w:val="28"/>
          <w:szCs w:val="28"/>
        </w:rPr>
        <w:t>546</w:t>
      </w:r>
      <w:r w:rsidRPr="00520861">
        <w:rPr>
          <w:sz w:val="28"/>
          <w:szCs w:val="28"/>
        </w:rPr>
        <w:t xml:space="preserve">]. </w:t>
      </w:r>
    </w:p>
    <w:p w14:paraId="23B4B0BF" w14:textId="77777777" w:rsidR="005B2BAD" w:rsidRPr="00520861" w:rsidRDefault="0073185C" w:rsidP="00292D2E">
      <w:pPr>
        <w:widowControl w:val="0"/>
        <w:spacing w:line="360" w:lineRule="auto"/>
        <w:ind w:firstLine="708"/>
        <w:jc w:val="both"/>
        <w:rPr>
          <w:sz w:val="28"/>
          <w:szCs w:val="28"/>
        </w:rPr>
      </w:pPr>
      <w:r w:rsidRPr="00520861">
        <w:rPr>
          <w:sz w:val="28"/>
          <w:szCs w:val="28"/>
        </w:rPr>
        <w:t>Натомість ще в 1991</w:t>
      </w:r>
      <w:r w:rsidR="005B2BAD" w:rsidRPr="00520861">
        <w:rPr>
          <w:sz w:val="28"/>
          <w:szCs w:val="28"/>
        </w:rPr>
        <w:t xml:space="preserve"> році науковці </w:t>
      </w:r>
      <w:r w:rsidR="005B2BAD" w:rsidRPr="00520861">
        <w:rPr>
          <w:rFonts w:eastAsia="Calibri"/>
          <w:sz w:val="28"/>
          <w:szCs w:val="28"/>
          <w:lang w:eastAsia="en-US"/>
        </w:rPr>
        <w:t xml:space="preserve">Харківської медичної школи </w:t>
      </w:r>
      <w:r w:rsidR="005F48AF" w:rsidRPr="00520861">
        <w:rPr>
          <w:sz w:val="28"/>
          <w:szCs w:val="28"/>
        </w:rPr>
        <w:t>[82</w:t>
      </w:r>
      <w:r w:rsidR="007F6EBF" w:rsidRPr="00520861">
        <w:rPr>
          <w:sz w:val="28"/>
          <w:szCs w:val="28"/>
        </w:rPr>
        <w:t xml:space="preserve">] </w:t>
      </w:r>
      <w:r w:rsidR="005B2BAD" w:rsidRPr="00520861">
        <w:rPr>
          <w:sz w:val="28"/>
          <w:szCs w:val="28"/>
        </w:rPr>
        <w:t>довели</w:t>
      </w:r>
      <w:r w:rsidR="007F6EBF" w:rsidRPr="00520861">
        <w:rPr>
          <w:sz w:val="28"/>
          <w:szCs w:val="28"/>
        </w:rPr>
        <w:t>,</w:t>
      </w:r>
      <w:r w:rsidR="005B2BAD" w:rsidRPr="00520861">
        <w:rPr>
          <w:sz w:val="28"/>
          <w:szCs w:val="28"/>
        </w:rPr>
        <w:t xml:space="preserve"> що через велике різноманіття причин, які призводять до народження дитини-</w:t>
      </w:r>
      <w:proofErr w:type="spellStart"/>
      <w:r w:rsidR="005B2BAD" w:rsidRPr="00520861">
        <w:rPr>
          <w:sz w:val="28"/>
          <w:szCs w:val="28"/>
        </w:rPr>
        <w:t>макросома</w:t>
      </w:r>
      <w:proofErr w:type="spellEnd"/>
      <w:r w:rsidR="005B2BAD" w:rsidRPr="00520861">
        <w:rPr>
          <w:sz w:val="28"/>
          <w:szCs w:val="28"/>
        </w:rPr>
        <w:t xml:space="preserve">, та через дуже відмінні антропометричні параметри новонароджені </w:t>
      </w:r>
      <w:proofErr w:type="spellStart"/>
      <w:r w:rsidR="005B2BAD" w:rsidRPr="00520861">
        <w:rPr>
          <w:sz w:val="28"/>
          <w:szCs w:val="28"/>
        </w:rPr>
        <w:t>макросоми</w:t>
      </w:r>
      <w:proofErr w:type="spellEnd"/>
      <w:r w:rsidR="005B2BAD" w:rsidRPr="00520861">
        <w:rPr>
          <w:sz w:val="28"/>
          <w:szCs w:val="28"/>
        </w:rPr>
        <w:t xml:space="preserve"> не становлять однорідної групи, тому поділити їх тільки на симетрично та асиметрично розвинених недостатньо </w:t>
      </w:r>
      <w:r w:rsidR="005B2BAD" w:rsidRPr="00520861">
        <w:rPr>
          <w:rFonts w:eastAsia="Calibri"/>
          <w:sz w:val="28"/>
          <w:szCs w:val="28"/>
          <w:lang w:eastAsia="en-US"/>
        </w:rPr>
        <w:t>[</w:t>
      </w:r>
      <w:r w:rsidR="0062412E" w:rsidRPr="00520861">
        <w:rPr>
          <w:sz w:val="28"/>
          <w:szCs w:val="28"/>
        </w:rPr>
        <w:t>82</w:t>
      </w:r>
      <w:r w:rsidRPr="00520861">
        <w:rPr>
          <w:rFonts w:eastAsia="Calibri"/>
          <w:sz w:val="28"/>
          <w:szCs w:val="28"/>
          <w:lang w:eastAsia="en-US"/>
        </w:rPr>
        <w:t>].</w:t>
      </w:r>
      <w:r w:rsidR="002A25E9" w:rsidRPr="00520861">
        <w:rPr>
          <w:sz w:val="28"/>
          <w:szCs w:val="28"/>
        </w:rPr>
        <w:t xml:space="preserve"> </w:t>
      </w:r>
      <w:r w:rsidR="005B2BAD" w:rsidRPr="00520861">
        <w:rPr>
          <w:rFonts w:eastAsia="Calibri"/>
          <w:sz w:val="28"/>
          <w:szCs w:val="28"/>
          <w:lang w:eastAsia="en-US"/>
        </w:rPr>
        <w:t xml:space="preserve">Для обчислення </w:t>
      </w:r>
      <w:r w:rsidR="001155FA" w:rsidRPr="00520861">
        <w:rPr>
          <w:rFonts w:eastAsia="Calibri"/>
          <w:sz w:val="28"/>
          <w:szCs w:val="28"/>
          <w:lang w:eastAsia="en-US"/>
        </w:rPr>
        <w:t>МРП</w:t>
      </w:r>
      <w:r w:rsidR="005B2BAD" w:rsidRPr="00520861">
        <w:rPr>
          <w:rFonts w:eastAsia="Calibri"/>
          <w:sz w:val="28"/>
          <w:szCs w:val="28"/>
          <w:lang w:eastAsia="en-US"/>
        </w:rPr>
        <w:t xml:space="preserve"> новона</w:t>
      </w:r>
      <w:r w:rsidR="00E00803" w:rsidRPr="00520861">
        <w:rPr>
          <w:rFonts w:eastAsia="Calibri"/>
          <w:sz w:val="28"/>
          <w:szCs w:val="28"/>
          <w:lang w:eastAsia="en-US"/>
        </w:rPr>
        <w:t>роджених-</w:t>
      </w:r>
      <w:proofErr w:type="spellStart"/>
      <w:r w:rsidR="00E00803" w:rsidRPr="00520861">
        <w:rPr>
          <w:rFonts w:eastAsia="Calibri"/>
          <w:sz w:val="28"/>
          <w:szCs w:val="28"/>
          <w:lang w:eastAsia="en-US"/>
        </w:rPr>
        <w:t>макросомів</w:t>
      </w:r>
      <w:proofErr w:type="spellEnd"/>
      <w:r w:rsidR="00E00803" w:rsidRPr="00520861">
        <w:rPr>
          <w:rFonts w:eastAsia="Calibri"/>
          <w:sz w:val="28"/>
          <w:szCs w:val="28"/>
          <w:lang w:eastAsia="en-US"/>
        </w:rPr>
        <w:t xml:space="preserve"> професор </w:t>
      </w:r>
      <w:r w:rsidR="005B2BAD" w:rsidRPr="00520861">
        <w:rPr>
          <w:rFonts w:eastAsia="Calibri"/>
          <w:sz w:val="28"/>
          <w:szCs w:val="28"/>
          <w:lang w:eastAsia="en-US"/>
        </w:rPr>
        <w:t xml:space="preserve">Грищенко </w:t>
      </w:r>
      <w:r w:rsidR="00B01F6E" w:rsidRPr="00520861">
        <w:rPr>
          <w:rFonts w:eastAsia="Calibri"/>
          <w:sz w:val="28"/>
          <w:szCs w:val="28"/>
          <w:lang w:eastAsia="en-US"/>
        </w:rPr>
        <w:t>В.</w:t>
      </w:r>
      <w:r w:rsidR="00366F3C" w:rsidRPr="00520861">
        <w:rPr>
          <w:rFonts w:eastAsia="Calibri"/>
          <w:sz w:val="28"/>
          <w:szCs w:val="28"/>
          <w:lang w:eastAsia="en-US"/>
        </w:rPr>
        <w:t> </w:t>
      </w:r>
      <w:r w:rsidR="00B01F6E" w:rsidRPr="00520861">
        <w:rPr>
          <w:rFonts w:eastAsia="Calibri"/>
          <w:sz w:val="28"/>
          <w:szCs w:val="28"/>
          <w:lang w:eastAsia="en-US"/>
        </w:rPr>
        <w:t xml:space="preserve">І. </w:t>
      </w:r>
      <w:r w:rsidR="005B2BAD" w:rsidRPr="00520861">
        <w:rPr>
          <w:rFonts w:eastAsia="Calibri"/>
          <w:sz w:val="28"/>
          <w:szCs w:val="28"/>
          <w:lang w:eastAsia="en-US"/>
        </w:rPr>
        <w:t>у співавторст</w:t>
      </w:r>
      <w:r w:rsidR="00D922C8" w:rsidRPr="00520861">
        <w:rPr>
          <w:rFonts w:eastAsia="Calibri"/>
          <w:sz w:val="28"/>
          <w:szCs w:val="28"/>
          <w:lang w:eastAsia="en-US"/>
        </w:rPr>
        <w:t>в</w:t>
      </w:r>
      <w:r w:rsidR="005B2BAD" w:rsidRPr="00520861">
        <w:rPr>
          <w:rFonts w:eastAsia="Calibri"/>
          <w:sz w:val="28"/>
          <w:szCs w:val="28"/>
          <w:lang w:eastAsia="en-US"/>
        </w:rPr>
        <w:t xml:space="preserve">і з іншими науковцями запровадив так званий </w:t>
      </w:r>
      <w:r w:rsidR="005B2BAD" w:rsidRPr="00520861">
        <w:rPr>
          <w:sz w:val="28"/>
          <w:szCs w:val="28"/>
        </w:rPr>
        <w:t xml:space="preserve">«коефіцієнт гармонійності» </w:t>
      </w:r>
      <w:r w:rsidR="009726D4" w:rsidRPr="00520861">
        <w:rPr>
          <w:sz w:val="28"/>
          <w:szCs w:val="28"/>
          <w:lang w:eastAsia="x-none" w:bidi="lo-LA"/>
        </w:rPr>
        <w:t>ВУ</w:t>
      </w:r>
      <w:r w:rsidR="005B2BAD" w:rsidRPr="00520861">
        <w:rPr>
          <w:sz w:val="28"/>
          <w:szCs w:val="28"/>
        </w:rPr>
        <w:t xml:space="preserve"> розвитку </w:t>
      </w:r>
      <w:r w:rsidR="005B2BAD" w:rsidRPr="00520861">
        <w:rPr>
          <w:rFonts w:eastAsia="Calibri"/>
          <w:sz w:val="28"/>
          <w:szCs w:val="28"/>
          <w:lang w:eastAsia="en-US"/>
        </w:rPr>
        <w:t xml:space="preserve">– відношення маси тіла до довжини тіла в третьому степені </w:t>
      </w:r>
      <w:r w:rsidR="005B2BAD" w:rsidRPr="00520861">
        <w:rPr>
          <w:sz w:val="28"/>
          <w:szCs w:val="28"/>
        </w:rPr>
        <w:t>[</w:t>
      </w:r>
      <w:r w:rsidR="0062412E" w:rsidRPr="00520861">
        <w:rPr>
          <w:sz w:val="28"/>
          <w:szCs w:val="28"/>
        </w:rPr>
        <w:t>82</w:t>
      </w:r>
      <w:r w:rsidR="005B2BAD" w:rsidRPr="00520861">
        <w:rPr>
          <w:sz w:val="28"/>
          <w:szCs w:val="28"/>
        </w:rPr>
        <w:t xml:space="preserve">]. </w:t>
      </w:r>
      <w:r w:rsidR="005B2BAD" w:rsidRPr="00520861">
        <w:rPr>
          <w:rFonts w:eastAsia="Calibri"/>
          <w:sz w:val="28"/>
          <w:szCs w:val="28"/>
          <w:lang w:eastAsia="en-US"/>
        </w:rPr>
        <w:t xml:space="preserve">Було запропоновано вважати </w:t>
      </w:r>
      <w:r w:rsidR="009726D4" w:rsidRPr="00520861">
        <w:rPr>
          <w:sz w:val="28"/>
          <w:szCs w:val="28"/>
          <w:lang w:eastAsia="x-none" w:bidi="lo-LA"/>
        </w:rPr>
        <w:t>ВУ</w:t>
      </w:r>
      <w:r w:rsidR="005B2BAD" w:rsidRPr="00520861">
        <w:rPr>
          <w:rFonts w:eastAsia="Calibri"/>
          <w:sz w:val="28"/>
          <w:szCs w:val="28"/>
          <w:lang w:eastAsia="en-US"/>
        </w:rPr>
        <w:t xml:space="preserve"> розвиток дитини-</w:t>
      </w:r>
      <w:proofErr w:type="spellStart"/>
      <w:r w:rsidR="005B2BAD" w:rsidRPr="00520861">
        <w:rPr>
          <w:rFonts w:eastAsia="Calibri"/>
          <w:sz w:val="28"/>
          <w:szCs w:val="28"/>
          <w:lang w:eastAsia="en-US"/>
        </w:rPr>
        <w:t>макросома</w:t>
      </w:r>
      <w:proofErr w:type="spellEnd"/>
      <w:r w:rsidR="005B2BAD" w:rsidRPr="00520861">
        <w:rPr>
          <w:rFonts w:eastAsia="Calibri"/>
          <w:sz w:val="28"/>
          <w:szCs w:val="28"/>
          <w:lang w:eastAsia="en-US"/>
        </w:rPr>
        <w:t xml:space="preserve"> гармонійним</w:t>
      </w:r>
      <w:r w:rsidR="00B3039B" w:rsidRPr="00520861">
        <w:rPr>
          <w:rFonts w:eastAsia="Calibri"/>
          <w:sz w:val="28"/>
          <w:szCs w:val="28"/>
          <w:lang w:eastAsia="en-US"/>
        </w:rPr>
        <w:t>, якщо при народженні дитини коефіціє</w:t>
      </w:r>
      <w:r w:rsidR="005B2BAD" w:rsidRPr="00520861">
        <w:rPr>
          <w:rFonts w:eastAsia="Calibri"/>
          <w:sz w:val="28"/>
          <w:szCs w:val="28"/>
          <w:lang w:eastAsia="en-US"/>
        </w:rPr>
        <w:t>нт її гармонійності перебував у межах 22,5–25,5 кг/м</w:t>
      </w:r>
      <w:r w:rsidR="005B2BAD" w:rsidRPr="00520861">
        <w:rPr>
          <w:rFonts w:eastAsia="Calibri"/>
          <w:sz w:val="28"/>
          <w:szCs w:val="28"/>
          <w:vertAlign w:val="superscript"/>
          <w:lang w:eastAsia="en-US"/>
        </w:rPr>
        <w:t>3</w:t>
      </w:r>
      <w:r w:rsidR="005B2BAD" w:rsidRPr="00520861">
        <w:rPr>
          <w:rFonts w:eastAsia="Calibri"/>
          <w:sz w:val="28"/>
          <w:szCs w:val="28"/>
          <w:lang w:eastAsia="en-US"/>
        </w:rPr>
        <w:t xml:space="preserve">. Залежно від значень коефіцієнта всіх </w:t>
      </w:r>
      <w:proofErr w:type="spellStart"/>
      <w:r w:rsidR="005B2BAD" w:rsidRPr="00520861">
        <w:rPr>
          <w:rFonts w:eastAsia="Calibri"/>
          <w:sz w:val="28"/>
          <w:szCs w:val="28"/>
          <w:lang w:eastAsia="en-US"/>
        </w:rPr>
        <w:t>макросомів</w:t>
      </w:r>
      <w:proofErr w:type="spellEnd"/>
      <w:r w:rsidR="005B2BAD" w:rsidRPr="00520861">
        <w:rPr>
          <w:rFonts w:eastAsia="Calibri"/>
          <w:sz w:val="28"/>
          <w:szCs w:val="28"/>
          <w:lang w:eastAsia="en-US"/>
        </w:rPr>
        <w:t xml:space="preserve"> умовно </w:t>
      </w:r>
      <w:r w:rsidR="00B45A6D" w:rsidRPr="00520861">
        <w:rPr>
          <w:rFonts w:eastAsia="Calibri"/>
          <w:sz w:val="28"/>
          <w:szCs w:val="28"/>
          <w:lang w:eastAsia="en-US"/>
        </w:rPr>
        <w:br/>
      </w:r>
      <w:r w:rsidR="005B2BAD" w:rsidRPr="00520861">
        <w:rPr>
          <w:rFonts w:eastAsia="Calibri"/>
          <w:sz w:val="28"/>
          <w:szCs w:val="28"/>
          <w:lang w:eastAsia="en-US"/>
        </w:rPr>
        <w:t xml:space="preserve">розподіляли на гармонійно розвинених новонароджених, новонароджених із </w:t>
      </w:r>
      <w:r w:rsidR="00B45A6D" w:rsidRPr="00520861">
        <w:rPr>
          <w:rFonts w:eastAsia="Calibri"/>
          <w:sz w:val="28"/>
          <w:szCs w:val="28"/>
          <w:lang w:eastAsia="en-US"/>
        </w:rPr>
        <w:br/>
      </w:r>
      <w:r w:rsidR="005B2BAD" w:rsidRPr="00520861">
        <w:rPr>
          <w:rFonts w:eastAsia="Calibri"/>
          <w:sz w:val="28"/>
          <w:szCs w:val="28"/>
          <w:lang w:eastAsia="en-US"/>
        </w:rPr>
        <w:t>відносно зниженою масою тіла та новонароджених з ожирінням у поєднанні як</w:t>
      </w:r>
      <w:r w:rsidR="00EE58FB" w:rsidRPr="00520861">
        <w:rPr>
          <w:rFonts w:eastAsia="Calibri"/>
          <w:sz w:val="28"/>
          <w:szCs w:val="28"/>
          <w:lang w:eastAsia="en-US"/>
        </w:rPr>
        <w:t xml:space="preserve"> із </w:t>
      </w:r>
      <w:r w:rsidR="00744246" w:rsidRPr="00520861">
        <w:rPr>
          <w:rFonts w:eastAsia="Calibri"/>
          <w:sz w:val="28"/>
          <w:szCs w:val="28"/>
          <w:lang w:eastAsia="en-US"/>
        </w:rPr>
        <w:br/>
      </w:r>
      <w:r w:rsidR="00EE58FB" w:rsidRPr="00520861">
        <w:rPr>
          <w:rFonts w:eastAsia="Calibri"/>
          <w:sz w:val="28"/>
          <w:szCs w:val="28"/>
          <w:lang w:eastAsia="en-US"/>
        </w:rPr>
        <w:t>великою довжиною тіла, так й</w:t>
      </w:r>
      <w:r w:rsidR="005B2BAD" w:rsidRPr="00520861">
        <w:rPr>
          <w:rFonts w:eastAsia="Calibri"/>
          <w:sz w:val="28"/>
          <w:szCs w:val="28"/>
          <w:lang w:eastAsia="en-US"/>
        </w:rPr>
        <w:t xml:space="preserve"> </w:t>
      </w:r>
      <w:r w:rsidR="00EE58FB" w:rsidRPr="00520861">
        <w:rPr>
          <w:rFonts w:eastAsia="Calibri"/>
          <w:sz w:val="28"/>
          <w:szCs w:val="28"/>
          <w:lang w:eastAsia="en-US"/>
        </w:rPr>
        <w:t>і</w:t>
      </w:r>
      <w:r w:rsidR="005B2BAD" w:rsidRPr="00520861">
        <w:rPr>
          <w:rFonts w:eastAsia="Calibri"/>
          <w:sz w:val="28"/>
          <w:szCs w:val="28"/>
          <w:lang w:eastAsia="en-US"/>
        </w:rPr>
        <w:t>з середніми її значеннями [</w:t>
      </w:r>
      <w:r w:rsidR="0062412E" w:rsidRPr="00520861">
        <w:rPr>
          <w:sz w:val="28"/>
          <w:szCs w:val="28"/>
        </w:rPr>
        <w:t>82</w:t>
      </w:r>
      <w:r w:rsidR="000B245B" w:rsidRPr="00520861">
        <w:rPr>
          <w:rFonts w:eastAsia="Calibri"/>
          <w:sz w:val="28"/>
          <w:szCs w:val="28"/>
          <w:lang w:eastAsia="en-US"/>
        </w:rPr>
        <w:t>].</w:t>
      </w:r>
    </w:p>
    <w:p w14:paraId="65ED4389" w14:textId="77777777" w:rsidR="005B2BAD" w:rsidRPr="00520861" w:rsidRDefault="002F79BA" w:rsidP="00292D2E">
      <w:pPr>
        <w:widowControl w:val="0"/>
        <w:spacing w:line="360" w:lineRule="auto"/>
        <w:ind w:firstLine="708"/>
        <w:jc w:val="both"/>
        <w:rPr>
          <w:sz w:val="28"/>
          <w:szCs w:val="28"/>
        </w:rPr>
      </w:pPr>
      <w:r w:rsidRPr="00520861">
        <w:rPr>
          <w:sz w:val="28"/>
          <w:szCs w:val="28"/>
        </w:rPr>
        <w:t>Слід</w:t>
      </w:r>
      <w:r w:rsidR="005B2BAD" w:rsidRPr="00520861">
        <w:rPr>
          <w:sz w:val="28"/>
          <w:szCs w:val="28"/>
        </w:rPr>
        <w:t xml:space="preserve"> зазначити, що термін «внутрішньоутробне ожиріння» на сьогодні </w:t>
      </w:r>
      <w:r w:rsidR="00744246" w:rsidRPr="00520861">
        <w:rPr>
          <w:sz w:val="28"/>
          <w:szCs w:val="28"/>
        </w:rPr>
        <w:br/>
      </w:r>
      <w:r w:rsidR="005B2BAD" w:rsidRPr="00520861">
        <w:rPr>
          <w:sz w:val="28"/>
          <w:szCs w:val="28"/>
        </w:rPr>
        <w:t>використовується в Україні обмежено, натомість їм</w:t>
      </w:r>
      <w:r w:rsidR="00174453" w:rsidRPr="00520861">
        <w:rPr>
          <w:sz w:val="28"/>
          <w:szCs w:val="28"/>
        </w:rPr>
        <w:t xml:space="preserve"> </w:t>
      </w:r>
      <w:r w:rsidR="005B2BAD" w:rsidRPr="00520861">
        <w:rPr>
          <w:sz w:val="28"/>
          <w:szCs w:val="28"/>
        </w:rPr>
        <w:t xml:space="preserve">активно послуговуються у </w:t>
      </w:r>
      <w:r w:rsidR="00744246" w:rsidRPr="00520861">
        <w:rPr>
          <w:sz w:val="28"/>
          <w:szCs w:val="28"/>
        </w:rPr>
        <w:br/>
      </w:r>
      <w:r w:rsidR="005B2BAD" w:rsidRPr="00520861">
        <w:rPr>
          <w:sz w:val="28"/>
          <w:szCs w:val="28"/>
        </w:rPr>
        <w:t>закордон</w:t>
      </w:r>
      <w:r w:rsidR="00A02F9E" w:rsidRPr="00520861">
        <w:rPr>
          <w:sz w:val="28"/>
          <w:szCs w:val="28"/>
        </w:rPr>
        <w:t>н</w:t>
      </w:r>
      <w:r w:rsidR="005B2BAD" w:rsidRPr="00520861">
        <w:rPr>
          <w:sz w:val="28"/>
          <w:szCs w:val="28"/>
        </w:rPr>
        <w:t>ій науковій літературі [</w:t>
      </w:r>
      <w:r w:rsidR="008F3AD0" w:rsidRPr="00520861">
        <w:rPr>
          <w:sz w:val="28"/>
          <w:szCs w:val="28"/>
        </w:rPr>
        <w:t>380, 574, 577</w:t>
      </w:r>
      <w:r w:rsidR="005B2BAD" w:rsidRPr="00520861">
        <w:rPr>
          <w:sz w:val="28"/>
          <w:szCs w:val="28"/>
        </w:rPr>
        <w:t>].</w:t>
      </w:r>
    </w:p>
    <w:p w14:paraId="5A44C8CB" w14:textId="77777777" w:rsidR="005B2BAD" w:rsidRPr="00520861" w:rsidRDefault="005B2BAD" w:rsidP="00292D2E">
      <w:pPr>
        <w:widowControl w:val="0"/>
        <w:spacing w:line="360" w:lineRule="auto"/>
        <w:ind w:firstLine="708"/>
        <w:jc w:val="both"/>
        <w:rPr>
          <w:rFonts w:eastAsia="Calibri"/>
          <w:sz w:val="28"/>
          <w:szCs w:val="28"/>
        </w:rPr>
      </w:pPr>
      <w:r w:rsidRPr="00520861">
        <w:rPr>
          <w:sz w:val="28"/>
          <w:szCs w:val="28"/>
        </w:rPr>
        <w:t xml:space="preserve">Новонароджений, коефіцієнт гармонійності якого менший за 22,5, хоч і вважається </w:t>
      </w:r>
      <w:proofErr w:type="spellStart"/>
      <w:r w:rsidRPr="00520861">
        <w:rPr>
          <w:sz w:val="28"/>
          <w:szCs w:val="28"/>
        </w:rPr>
        <w:t>макросомом</w:t>
      </w:r>
      <w:proofErr w:type="spellEnd"/>
      <w:r w:rsidRPr="00520861">
        <w:rPr>
          <w:sz w:val="28"/>
          <w:szCs w:val="28"/>
        </w:rPr>
        <w:t xml:space="preserve">, проте має відносну недостатність маси тіла через завелику довжину тіла при народженні. Це спричинено нестачею </w:t>
      </w:r>
      <w:proofErr w:type="spellStart"/>
      <w:r w:rsidRPr="00520861">
        <w:rPr>
          <w:sz w:val="28"/>
          <w:szCs w:val="28"/>
        </w:rPr>
        <w:t>кортизолу</w:t>
      </w:r>
      <w:proofErr w:type="spellEnd"/>
      <w:r w:rsidRPr="00520861">
        <w:rPr>
          <w:sz w:val="28"/>
          <w:szCs w:val="28"/>
        </w:rPr>
        <w:t xml:space="preserve"> під час </w:t>
      </w:r>
      <w:r w:rsidR="009726D4" w:rsidRPr="00520861">
        <w:rPr>
          <w:sz w:val="28"/>
          <w:szCs w:val="28"/>
          <w:lang w:eastAsia="x-none" w:bidi="lo-LA"/>
        </w:rPr>
        <w:t>ВУ</w:t>
      </w:r>
      <w:r w:rsidR="00A02F9E" w:rsidRPr="00520861">
        <w:rPr>
          <w:sz w:val="28"/>
          <w:szCs w:val="28"/>
        </w:rPr>
        <w:t xml:space="preserve"> розвитку </w:t>
      </w:r>
      <w:r w:rsidRPr="00520861">
        <w:rPr>
          <w:sz w:val="28"/>
          <w:szCs w:val="28"/>
        </w:rPr>
        <w:t>[</w:t>
      </w:r>
      <w:r w:rsidR="006807B6" w:rsidRPr="00520861">
        <w:rPr>
          <w:sz w:val="28"/>
          <w:szCs w:val="28"/>
        </w:rPr>
        <w:t>337</w:t>
      </w:r>
      <w:r w:rsidRPr="00520861">
        <w:rPr>
          <w:sz w:val="28"/>
          <w:szCs w:val="28"/>
        </w:rPr>
        <w:t>] та збільшеною п</w:t>
      </w:r>
      <w:r w:rsidR="0003089A" w:rsidRPr="00520861">
        <w:rPr>
          <w:sz w:val="28"/>
          <w:szCs w:val="28"/>
        </w:rPr>
        <w:t xml:space="preserve">родукцією соматотропного </w:t>
      </w:r>
      <w:proofErr w:type="spellStart"/>
      <w:r w:rsidR="0003089A" w:rsidRPr="00520861">
        <w:rPr>
          <w:sz w:val="28"/>
          <w:szCs w:val="28"/>
        </w:rPr>
        <w:t>гормона</w:t>
      </w:r>
      <w:proofErr w:type="spellEnd"/>
      <w:r w:rsidRPr="00520861">
        <w:rPr>
          <w:sz w:val="28"/>
          <w:szCs w:val="28"/>
        </w:rPr>
        <w:t xml:space="preserve"> (СТГ). </w:t>
      </w:r>
    </w:p>
    <w:p w14:paraId="1BD7EE69" w14:textId="77777777" w:rsidR="005B2BAD" w:rsidRPr="00520861" w:rsidRDefault="005B2BAD" w:rsidP="00292D2E">
      <w:pPr>
        <w:widowControl w:val="0"/>
        <w:spacing w:line="360" w:lineRule="auto"/>
        <w:ind w:firstLine="708"/>
        <w:jc w:val="both"/>
        <w:rPr>
          <w:sz w:val="28"/>
          <w:szCs w:val="28"/>
        </w:rPr>
      </w:pPr>
      <w:r w:rsidRPr="00520861">
        <w:rPr>
          <w:sz w:val="28"/>
          <w:szCs w:val="28"/>
        </w:rPr>
        <w:t xml:space="preserve">Порівняно з описаними вище дітьми, у новонароджених, </w:t>
      </w:r>
      <w:r w:rsidR="009726D4" w:rsidRPr="00520861">
        <w:rPr>
          <w:sz w:val="28"/>
          <w:szCs w:val="28"/>
        </w:rPr>
        <w:t xml:space="preserve">МРП </w:t>
      </w:r>
      <w:r w:rsidRPr="00520861">
        <w:rPr>
          <w:sz w:val="28"/>
          <w:szCs w:val="28"/>
        </w:rPr>
        <w:t xml:space="preserve">яких були в межах значення коефіцієнта 22,5–25,5, спостерігався гармонійний </w:t>
      </w:r>
      <w:r w:rsidR="009726D4" w:rsidRPr="00520861">
        <w:rPr>
          <w:sz w:val="28"/>
          <w:szCs w:val="28"/>
          <w:lang w:eastAsia="x-none" w:bidi="lo-LA"/>
        </w:rPr>
        <w:t>ВУ</w:t>
      </w:r>
      <w:r w:rsidRPr="00520861">
        <w:rPr>
          <w:sz w:val="28"/>
          <w:szCs w:val="28"/>
        </w:rPr>
        <w:t xml:space="preserve"> розвиток та, хоча й була </w:t>
      </w:r>
      <w:r w:rsidR="009726D4" w:rsidRPr="00520861">
        <w:rPr>
          <w:sz w:val="28"/>
          <w:szCs w:val="28"/>
          <w:lang w:eastAsia="x-none" w:bidi="lo-LA"/>
        </w:rPr>
        <w:t>ВУ</w:t>
      </w:r>
      <w:r w:rsidR="00122C14" w:rsidRPr="00520861">
        <w:rPr>
          <w:sz w:val="28"/>
          <w:szCs w:val="28"/>
        </w:rPr>
        <w:t xml:space="preserve"> </w:t>
      </w:r>
      <w:proofErr w:type="spellStart"/>
      <w:r w:rsidR="00122C14" w:rsidRPr="00520861">
        <w:rPr>
          <w:sz w:val="28"/>
          <w:szCs w:val="28"/>
        </w:rPr>
        <w:t>гіпер</w:t>
      </w:r>
      <w:r w:rsidRPr="00520861">
        <w:rPr>
          <w:sz w:val="28"/>
          <w:szCs w:val="28"/>
        </w:rPr>
        <w:t>кортизолемія</w:t>
      </w:r>
      <w:proofErr w:type="spellEnd"/>
      <w:r w:rsidRPr="00520861">
        <w:rPr>
          <w:sz w:val="28"/>
          <w:szCs w:val="28"/>
        </w:rPr>
        <w:t xml:space="preserve"> [</w:t>
      </w:r>
      <w:r w:rsidR="006807B6" w:rsidRPr="00520861">
        <w:rPr>
          <w:rFonts w:eastAsia="Calibri"/>
          <w:sz w:val="28"/>
          <w:szCs w:val="28"/>
        </w:rPr>
        <w:t>337</w:t>
      </w:r>
      <w:r w:rsidRPr="00520861">
        <w:rPr>
          <w:sz w:val="28"/>
          <w:szCs w:val="28"/>
        </w:rPr>
        <w:t>], мало місце більш збалансоване сп</w:t>
      </w:r>
      <w:r w:rsidR="0029012D" w:rsidRPr="00520861">
        <w:rPr>
          <w:sz w:val="28"/>
          <w:szCs w:val="28"/>
        </w:rPr>
        <w:t xml:space="preserve">іввідношення СТГ та </w:t>
      </w:r>
      <w:proofErr w:type="spellStart"/>
      <w:r w:rsidR="0029012D" w:rsidRPr="00520861">
        <w:rPr>
          <w:sz w:val="28"/>
          <w:szCs w:val="28"/>
        </w:rPr>
        <w:t>кортизолу</w:t>
      </w:r>
      <w:proofErr w:type="spellEnd"/>
      <w:r w:rsidR="0029012D" w:rsidRPr="00520861">
        <w:rPr>
          <w:sz w:val="28"/>
          <w:szCs w:val="28"/>
        </w:rPr>
        <w:t xml:space="preserve">. </w:t>
      </w:r>
      <w:r w:rsidR="009726D4" w:rsidRPr="00520861">
        <w:rPr>
          <w:sz w:val="28"/>
          <w:szCs w:val="28"/>
          <w:lang w:eastAsia="x-none" w:bidi="lo-LA"/>
        </w:rPr>
        <w:t>ВУ</w:t>
      </w:r>
      <w:r w:rsidRPr="00520861">
        <w:rPr>
          <w:sz w:val="28"/>
          <w:szCs w:val="28"/>
        </w:rPr>
        <w:t xml:space="preserve"> фо</w:t>
      </w:r>
      <w:r w:rsidR="00D52081" w:rsidRPr="00520861">
        <w:rPr>
          <w:sz w:val="28"/>
          <w:szCs w:val="28"/>
        </w:rPr>
        <w:t>рмування таких дітей відбувалося</w:t>
      </w:r>
      <w:r w:rsidRPr="00520861">
        <w:rPr>
          <w:sz w:val="28"/>
          <w:szCs w:val="28"/>
        </w:rPr>
        <w:t xml:space="preserve"> під впливом </w:t>
      </w:r>
      <w:r w:rsidR="00E15728" w:rsidRPr="00520861">
        <w:rPr>
          <w:sz w:val="28"/>
          <w:szCs w:val="28"/>
        </w:rPr>
        <w:br/>
      </w:r>
      <w:r w:rsidRPr="00520861">
        <w:rPr>
          <w:sz w:val="28"/>
          <w:szCs w:val="28"/>
        </w:rPr>
        <w:t>гіпертиреозу [</w:t>
      </w:r>
      <w:r w:rsidR="006807B6" w:rsidRPr="00520861">
        <w:rPr>
          <w:rFonts w:eastAsia="Calibri"/>
          <w:sz w:val="28"/>
          <w:szCs w:val="28"/>
        </w:rPr>
        <w:t>216</w:t>
      </w:r>
      <w:r w:rsidRPr="00520861">
        <w:rPr>
          <w:sz w:val="28"/>
          <w:szCs w:val="28"/>
        </w:rPr>
        <w:t>].</w:t>
      </w:r>
      <w:r w:rsidR="002A25E9" w:rsidRPr="00520861">
        <w:rPr>
          <w:rFonts w:eastAsia="Calibri"/>
          <w:sz w:val="28"/>
          <w:szCs w:val="28"/>
        </w:rPr>
        <w:t xml:space="preserve"> </w:t>
      </w:r>
      <w:r w:rsidRPr="00520861">
        <w:rPr>
          <w:sz w:val="28"/>
          <w:szCs w:val="28"/>
        </w:rPr>
        <w:t xml:space="preserve">Науковці розділили на дві групи дітей, </w:t>
      </w:r>
      <w:r w:rsidR="001155FA" w:rsidRPr="00520861">
        <w:rPr>
          <w:sz w:val="28"/>
          <w:szCs w:val="28"/>
        </w:rPr>
        <w:t xml:space="preserve">МРП </w:t>
      </w:r>
      <w:r w:rsidRPr="00520861">
        <w:rPr>
          <w:sz w:val="28"/>
          <w:szCs w:val="28"/>
        </w:rPr>
        <w:t>яких при народженні до</w:t>
      </w:r>
      <w:r w:rsidR="00E15728" w:rsidRPr="00520861">
        <w:rPr>
          <w:sz w:val="28"/>
          <w:szCs w:val="28"/>
        </w:rPr>
        <w:t xml:space="preserve">рівнювали </w:t>
      </w:r>
      <w:r w:rsidR="00CC4EF3" w:rsidRPr="00520861">
        <w:rPr>
          <w:sz w:val="28"/>
          <w:szCs w:val="28"/>
        </w:rPr>
        <w:t xml:space="preserve">значенню </w:t>
      </w:r>
      <w:r w:rsidR="00E15728" w:rsidRPr="00520861">
        <w:rPr>
          <w:sz w:val="28"/>
          <w:szCs w:val="28"/>
        </w:rPr>
        <w:t>к</w:t>
      </w:r>
      <w:r w:rsidR="00CC4EF3" w:rsidRPr="00520861">
        <w:rPr>
          <w:sz w:val="28"/>
          <w:szCs w:val="28"/>
        </w:rPr>
        <w:t>оефіцієнта вищому</w:t>
      </w:r>
      <w:r w:rsidRPr="00520861">
        <w:rPr>
          <w:sz w:val="28"/>
          <w:szCs w:val="28"/>
        </w:rPr>
        <w:t xml:space="preserve">, ніж 25,5, та які мали ознаки надмірної </w:t>
      </w:r>
      <w:r w:rsidRPr="00520861">
        <w:rPr>
          <w:sz w:val="28"/>
          <w:szCs w:val="28"/>
        </w:rPr>
        <w:lastRenderedPageBreak/>
        <w:t xml:space="preserve">маси тіла (за даними проф. </w:t>
      </w:r>
      <w:r w:rsidR="00281A77" w:rsidRPr="00520861">
        <w:rPr>
          <w:sz w:val="28"/>
          <w:szCs w:val="28"/>
        </w:rPr>
        <w:t xml:space="preserve">В. І. </w:t>
      </w:r>
      <w:r w:rsidRPr="00520861">
        <w:rPr>
          <w:sz w:val="28"/>
          <w:szCs w:val="28"/>
        </w:rPr>
        <w:t>Грищенка</w:t>
      </w:r>
      <w:r w:rsidR="00281A77" w:rsidRPr="00520861">
        <w:rPr>
          <w:sz w:val="28"/>
          <w:szCs w:val="28"/>
        </w:rPr>
        <w:t xml:space="preserve"> </w:t>
      </w:r>
      <w:r w:rsidRPr="00520861">
        <w:rPr>
          <w:sz w:val="28"/>
          <w:szCs w:val="28"/>
        </w:rPr>
        <w:t xml:space="preserve">та співавторів – </w:t>
      </w:r>
      <w:r w:rsidR="009726D4" w:rsidRPr="00520861">
        <w:rPr>
          <w:sz w:val="28"/>
          <w:szCs w:val="28"/>
          <w:lang w:eastAsia="x-none" w:bidi="lo-LA"/>
        </w:rPr>
        <w:t>ВУ</w:t>
      </w:r>
      <w:r w:rsidRPr="00520861">
        <w:rPr>
          <w:sz w:val="28"/>
          <w:szCs w:val="28"/>
        </w:rPr>
        <w:t xml:space="preserve"> ожиріння).</w:t>
      </w:r>
      <w:r w:rsidR="0029012D" w:rsidRPr="00520861">
        <w:rPr>
          <w:rFonts w:eastAsia="Calibri"/>
          <w:sz w:val="28"/>
          <w:szCs w:val="28"/>
        </w:rPr>
        <w:t xml:space="preserve"> </w:t>
      </w:r>
      <w:r w:rsidR="00790AF8" w:rsidRPr="00520861">
        <w:rPr>
          <w:rFonts w:eastAsia="Calibri"/>
          <w:sz w:val="28"/>
          <w:szCs w:val="28"/>
        </w:rPr>
        <w:br/>
      </w:r>
      <w:r w:rsidRPr="00520861">
        <w:rPr>
          <w:sz w:val="28"/>
          <w:szCs w:val="28"/>
        </w:rPr>
        <w:t>Діти з великою довжиною тіла</w:t>
      </w:r>
      <w:r w:rsidR="00174453" w:rsidRPr="00520861">
        <w:rPr>
          <w:sz w:val="28"/>
          <w:szCs w:val="28"/>
        </w:rPr>
        <w:t xml:space="preserve"> </w:t>
      </w:r>
      <w:r w:rsidRPr="00520861">
        <w:rPr>
          <w:sz w:val="28"/>
          <w:szCs w:val="28"/>
        </w:rPr>
        <w:t>мали</w:t>
      </w:r>
      <w:r w:rsidR="00174453" w:rsidRPr="00520861">
        <w:rPr>
          <w:sz w:val="28"/>
          <w:szCs w:val="28"/>
        </w:rPr>
        <w:t xml:space="preserve"> </w:t>
      </w:r>
      <w:r w:rsidRPr="00520861">
        <w:rPr>
          <w:sz w:val="28"/>
          <w:szCs w:val="28"/>
        </w:rPr>
        <w:t xml:space="preserve">збільшену продукцію гормонів СТГ та </w:t>
      </w:r>
      <w:proofErr w:type="spellStart"/>
      <w:r w:rsidRPr="00520861">
        <w:rPr>
          <w:sz w:val="28"/>
          <w:szCs w:val="28"/>
        </w:rPr>
        <w:t>кортизолу</w:t>
      </w:r>
      <w:proofErr w:type="spellEnd"/>
      <w:r w:rsidRPr="00520861">
        <w:rPr>
          <w:sz w:val="28"/>
          <w:szCs w:val="28"/>
        </w:rPr>
        <w:t>, що, з одного боку, спричинило виникнення надлишку жирової тканини, а з іншого – лінійне з</w:t>
      </w:r>
      <w:r w:rsidR="0029012D" w:rsidRPr="00520861">
        <w:rPr>
          <w:sz w:val="28"/>
          <w:szCs w:val="28"/>
        </w:rPr>
        <w:t>ростання організму. У таких дітей</w:t>
      </w:r>
      <w:r w:rsidRPr="00520861">
        <w:rPr>
          <w:sz w:val="28"/>
          <w:szCs w:val="28"/>
        </w:rPr>
        <w:t xml:space="preserve"> </w:t>
      </w:r>
      <w:r w:rsidR="009726D4" w:rsidRPr="00520861">
        <w:rPr>
          <w:sz w:val="28"/>
          <w:szCs w:val="28"/>
          <w:lang w:eastAsia="x-none" w:bidi="lo-LA"/>
        </w:rPr>
        <w:t>ВУ</w:t>
      </w:r>
      <w:r w:rsidRPr="00520861">
        <w:rPr>
          <w:sz w:val="28"/>
          <w:szCs w:val="28"/>
        </w:rPr>
        <w:t xml:space="preserve"> відз</w:t>
      </w:r>
      <w:r w:rsidR="00B3039A" w:rsidRPr="00520861">
        <w:rPr>
          <w:sz w:val="28"/>
          <w:szCs w:val="28"/>
        </w:rPr>
        <w:t xml:space="preserve">начено несуттєве зниження </w:t>
      </w:r>
      <w:proofErr w:type="spellStart"/>
      <w:r w:rsidR="00B3039A" w:rsidRPr="00520861">
        <w:rPr>
          <w:sz w:val="28"/>
          <w:szCs w:val="28"/>
        </w:rPr>
        <w:t>тиреої</w:t>
      </w:r>
      <w:r w:rsidRPr="00520861">
        <w:rPr>
          <w:sz w:val="28"/>
          <w:szCs w:val="28"/>
        </w:rPr>
        <w:t>дної</w:t>
      </w:r>
      <w:proofErr w:type="spellEnd"/>
      <w:r w:rsidRPr="00520861">
        <w:rPr>
          <w:sz w:val="28"/>
          <w:szCs w:val="28"/>
        </w:rPr>
        <w:t xml:space="preserve"> активності, і навпаки, підвищення </w:t>
      </w:r>
      <w:proofErr w:type="spellStart"/>
      <w:r w:rsidRPr="00520861">
        <w:rPr>
          <w:sz w:val="28"/>
          <w:szCs w:val="28"/>
        </w:rPr>
        <w:t>глюкокортикоїдної</w:t>
      </w:r>
      <w:proofErr w:type="spellEnd"/>
      <w:r w:rsidRPr="00520861">
        <w:rPr>
          <w:sz w:val="28"/>
          <w:szCs w:val="28"/>
        </w:rPr>
        <w:t xml:space="preserve"> активності.</w:t>
      </w:r>
      <w:r w:rsidR="0029012D" w:rsidRPr="00520861">
        <w:rPr>
          <w:rFonts w:eastAsia="Calibri"/>
          <w:sz w:val="28"/>
          <w:szCs w:val="28"/>
        </w:rPr>
        <w:t xml:space="preserve"> </w:t>
      </w:r>
      <w:r w:rsidR="0029012D" w:rsidRPr="00520861">
        <w:rPr>
          <w:sz w:val="28"/>
          <w:szCs w:val="28"/>
        </w:rPr>
        <w:t>Пренатальний</w:t>
      </w:r>
      <w:r w:rsidRPr="00520861">
        <w:rPr>
          <w:sz w:val="28"/>
          <w:szCs w:val="28"/>
        </w:rPr>
        <w:t xml:space="preserve"> розвиток дітей, які мали середню довжину тіла й параметр</w:t>
      </w:r>
      <w:r w:rsidR="00B3039A" w:rsidRPr="00520861">
        <w:rPr>
          <w:sz w:val="28"/>
          <w:szCs w:val="28"/>
        </w:rPr>
        <w:t>и яких оцінені коефіцієнтом вищи</w:t>
      </w:r>
      <w:r w:rsidRPr="00520861">
        <w:rPr>
          <w:sz w:val="28"/>
          <w:szCs w:val="28"/>
        </w:rPr>
        <w:t>м, ніж 25,5, відбувався за умов відносної нест</w:t>
      </w:r>
      <w:r w:rsidR="0029012D" w:rsidRPr="00520861">
        <w:rPr>
          <w:sz w:val="28"/>
          <w:szCs w:val="28"/>
        </w:rPr>
        <w:t xml:space="preserve">ачі СТГ та надлишку </w:t>
      </w:r>
      <w:proofErr w:type="spellStart"/>
      <w:r w:rsidR="00516EB1" w:rsidRPr="00520861">
        <w:rPr>
          <w:sz w:val="28"/>
          <w:szCs w:val="28"/>
        </w:rPr>
        <w:t>кортизолу</w:t>
      </w:r>
      <w:proofErr w:type="spellEnd"/>
      <w:r w:rsidR="00516EB1" w:rsidRPr="00520861">
        <w:rPr>
          <w:sz w:val="28"/>
          <w:szCs w:val="28"/>
        </w:rPr>
        <w:t>, у</w:t>
      </w:r>
      <w:r w:rsidRPr="00520861">
        <w:rPr>
          <w:sz w:val="28"/>
          <w:szCs w:val="28"/>
        </w:rPr>
        <w:t>наслідок чого надмірно сформувалася жирова тканина. У цих ново</w:t>
      </w:r>
      <w:r w:rsidR="00744246" w:rsidRPr="00520861">
        <w:rPr>
          <w:sz w:val="28"/>
          <w:szCs w:val="28"/>
        </w:rPr>
        <w:t>-</w:t>
      </w:r>
      <w:r w:rsidR="00744246" w:rsidRPr="00520861">
        <w:rPr>
          <w:sz w:val="28"/>
          <w:szCs w:val="28"/>
        </w:rPr>
        <w:br/>
      </w:r>
      <w:r w:rsidRPr="00520861">
        <w:rPr>
          <w:sz w:val="28"/>
          <w:szCs w:val="28"/>
        </w:rPr>
        <w:t>народжених</w:t>
      </w:r>
      <w:r w:rsidR="003E19C7" w:rsidRPr="00520861">
        <w:rPr>
          <w:sz w:val="28"/>
          <w:szCs w:val="28"/>
        </w:rPr>
        <w:t xml:space="preserve"> наявний виражений гіпотиреоз і</w:t>
      </w:r>
      <w:r w:rsidRPr="00520861">
        <w:rPr>
          <w:sz w:val="28"/>
          <w:szCs w:val="28"/>
        </w:rPr>
        <w:t xml:space="preserve"> </w:t>
      </w:r>
      <w:proofErr w:type="spellStart"/>
      <w:r w:rsidRPr="00520861">
        <w:rPr>
          <w:sz w:val="28"/>
          <w:szCs w:val="28"/>
        </w:rPr>
        <w:t>гіперпродукція</w:t>
      </w:r>
      <w:proofErr w:type="spellEnd"/>
      <w:r w:rsidRPr="00520861">
        <w:rPr>
          <w:sz w:val="28"/>
          <w:szCs w:val="28"/>
        </w:rPr>
        <w:t xml:space="preserve"> </w:t>
      </w:r>
      <w:proofErr w:type="spellStart"/>
      <w:r w:rsidR="00516EB1" w:rsidRPr="00520861">
        <w:rPr>
          <w:sz w:val="28"/>
          <w:szCs w:val="28"/>
        </w:rPr>
        <w:t>глюкокортикої</w:t>
      </w:r>
      <w:r w:rsidRPr="00520861">
        <w:rPr>
          <w:sz w:val="28"/>
          <w:szCs w:val="28"/>
        </w:rPr>
        <w:t>дів</w:t>
      </w:r>
      <w:proofErr w:type="spellEnd"/>
      <w:r w:rsidRPr="00520861">
        <w:rPr>
          <w:sz w:val="28"/>
          <w:szCs w:val="28"/>
        </w:rPr>
        <w:t xml:space="preserve"> </w:t>
      </w:r>
      <w:r w:rsidR="00ED63EF" w:rsidRPr="00520861">
        <w:rPr>
          <w:rFonts w:eastAsia="Calibri"/>
          <w:sz w:val="28"/>
          <w:szCs w:val="28"/>
        </w:rPr>
        <w:t>[216</w:t>
      </w:r>
      <w:r w:rsidRPr="00520861">
        <w:rPr>
          <w:sz w:val="28"/>
          <w:szCs w:val="28"/>
        </w:rPr>
        <w:t>].</w:t>
      </w:r>
    </w:p>
    <w:p w14:paraId="45E203BE" w14:textId="77777777" w:rsidR="009E4597" w:rsidRPr="00520861" w:rsidRDefault="00FC4B87" w:rsidP="00292D2E">
      <w:pPr>
        <w:widowControl w:val="0"/>
        <w:spacing w:line="360" w:lineRule="auto"/>
        <w:ind w:firstLine="708"/>
        <w:jc w:val="both"/>
        <w:rPr>
          <w:sz w:val="28"/>
          <w:szCs w:val="28"/>
        </w:rPr>
      </w:pPr>
      <w:r w:rsidRPr="00520861">
        <w:rPr>
          <w:sz w:val="28"/>
          <w:szCs w:val="28"/>
        </w:rPr>
        <w:t>Отже,</w:t>
      </w:r>
      <w:r w:rsidR="009E4597" w:rsidRPr="00520861">
        <w:rPr>
          <w:sz w:val="28"/>
          <w:szCs w:val="28"/>
        </w:rPr>
        <w:t xml:space="preserve"> діти, які народилися з </w:t>
      </w:r>
      <w:proofErr w:type="spellStart"/>
      <w:r w:rsidR="009E4597" w:rsidRPr="00520861">
        <w:rPr>
          <w:sz w:val="28"/>
          <w:szCs w:val="28"/>
        </w:rPr>
        <w:t>макросомією</w:t>
      </w:r>
      <w:proofErr w:type="spellEnd"/>
      <w:r w:rsidR="009E4597" w:rsidRPr="00520861">
        <w:rPr>
          <w:sz w:val="28"/>
          <w:szCs w:val="28"/>
        </w:rPr>
        <w:t xml:space="preserve"> (далі по тексту дисертації – </w:t>
      </w:r>
      <w:proofErr w:type="spellStart"/>
      <w:r w:rsidR="009E4597" w:rsidRPr="00520861">
        <w:rPr>
          <w:sz w:val="28"/>
          <w:szCs w:val="28"/>
        </w:rPr>
        <w:t>макросоми</w:t>
      </w:r>
      <w:proofErr w:type="spellEnd"/>
      <w:r w:rsidR="009E4597" w:rsidRPr="00520861">
        <w:rPr>
          <w:sz w:val="28"/>
          <w:szCs w:val="28"/>
        </w:rPr>
        <w:t>)</w:t>
      </w:r>
      <w:r w:rsidR="00286A3E" w:rsidRPr="00520861">
        <w:rPr>
          <w:sz w:val="28"/>
          <w:szCs w:val="28"/>
        </w:rPr>
        <w:t xml:space="preserve">, мають певні </w:t>
      </w:r>
      <w:proofErr w:type="spellStart"/>
      <w:r w:rsidR="00286A3E" w:rsidRPr="00520861">
        <w:rPr>
          <w:sz w:val="28"/>
          <w:szCs w:val="28"/>
        </w:rPr>
        <w:t>характерео</w:t>
      </w:r>
      <w:r w:rsidR="009E4597" w:rsidRPr="00520861">
        <w:rPr>
          <w:sz w:val="28"/>
          <w:szCs w:val="28"/>
        </w:rPr>
        <w:t>логічні</w:t>
      </w:r>
      <w:proofErr w:type="spellEnd"/>
      <w:r w:rsidR="009E4597" w:rsidRPr="00520861">
        <w:rPr>
          <w:sz w:val="28"/>
          <w:szCs w:val="28"/>
        </w:rPr>
        <w:t xml:space="preserve"> відмінності</w:t>
      </w:r>
      <w:r w:rsidR="009B11C3" w:rsidRPr="00520861">
        <w:rPr>
          <w:sz w:val="28"/>
          <w:szCs w:val="28"/>
        </w:rPr>
        <w:t>, які</w:t>
      </w:r>
      <w:r w:rsidR="00E902BD" w:rsidRPr="00520861">
        <w:rPr>
          <w:sz w:val="28"/>
          <w:szCs w:val="28"/>
        </w:rPr>
        <w:t xml:space="preserve"> </w:t>
      </w:r>
      <w:r w:rsidR="009B11C3" w:rsidRPr="00520861">
        <w:rPr>
          <w:sz w:val="28"/>
          <w:szCs w:val="28"/>
        </w:rPr>
        <w:t xml:space="preserve">треба враховувати, </w:t>
      </w:r>
      <w:r w:rsidR="00E902BD" w:rsidRPr="00520861">
        <w:rPr>
          <w:sz w:val="28"/>
          <w:szCs w:val="28"/>
        </w:rPr>
        <w:t xml:space="preserve">не тільки від дітей, чиї параметри при народженні відповідали нормі (далі по тексту дисертації – </w:t>
      </w:r>
      <w:proofErr w:type="spellStart"/>
      <w:r w:rsidR="00E902BD" w:rsidRPr="00520861">
        <w:rPr>
          <w:sz w:val="28"/>
          <w:szCs w:val="28"/>
        </w:rPr>
        <w:t>нормосоми</w:t>
      </w:r>
      <w:proofErr w:type="spellEnd"/>
      <w:r w:rsidR="00E902BD" w:rsidRPr="00520861">
        <w:rPr>
          <w:sz w:val="28"/>
          <w:szCs w:val="28"/>
        </w:rPr>
        <w:t>), але й між собою</w:t>
      </w:r>
      <w:r w:rsidR="009E4597" w:rsidRPr="00520861">
        <w:rPr>
          <w:sz w:val="28"/>
          <w:szCs w:val="28"/>
        </w:rPr>
        <w:t>.</w:t>
      </w:r>
    </w:p>
    <w:p w14:paraId="0AB66273" w14:textId="77777777" w:rsidR="005B2BAD" w:rsidRPr="00520861" w:rsidRDefault="005B2BAD" w:rsidP="00292D2E">
      <w:pPr>
        <w:widowControl w:val="0"/>
        <w:tabs>
          <w:tab w:val="left" w:pos="142"/>
        </w:tabs>
        <w:spacing w:line="360" w:lineRule="auto"/>
        <w:ind w:firstLine="709"/>
        <w:jc w:val="both"/>
        <w:rPr>
          <w:b/>
          <w:sz w:val="28"/>
          <w:szCs w:val="28"/>
        </w:rPr>
      </w:pPr>
      <w:r w:rsidRPr="00520861">
        <w:rPr>
          <w:b/>
          <w:sz w:val="28"/>
          <w:szCs w:val="28"/>
        </w:rPr>
        <w:t>1.1.3.</w:t>
      </w:r>
      <w:r w:rsidR="00174453" w:rsidRPr="00520861">
        <w:rPr>
          <w:b/>
          <w:sz w:val="28"/>
          <w:szCs w:val="28"/>
        </w:rPr>
        <w:t xml:space="preserve"> </w:t>
      </w:r>
      <w:r w:rsidRPr="00520861">
        <w:rPr>
          <w:b/>
          <w:sz w:val="28"/>
          <w:szCs w:val="28"/>
        </w:rPr>
        <w:t xml:space="preserve">Сучасні відомості про безпосередні та віддалені наслідки </w:t>
      </w:r>
      <w:proofErr w:type="spellStart"/>
      <w:r w:rsidRPr="00520861">
        <w:rPr>
          <w:b/>
          <w:sz w:val="28"/>
          <w:szCs w:val="28"/>
        </w:rPr>
        <w:t>макросомії</w:t>
      </w:r>
      <w:proofErr w:type="spellEnd"/>
      <w:r w:rsidRPr="00520861">
        <w:rPr>
          <w:b/>
          <w:sz w:val="28"/>
          <w:szCs w:val="28"/>
        </w:rPr>
        <w:t xml:space="preserve"> </w:t>
      </w:r>
      <w:r w:rsidR="000C5378" w:rsidRPr="00520861">
        <w:rPr>
          <w:b/>
          <w:sz w:val="28"/>
          <w:szCs w:val="28"/>
        </w:rPr>
        <w:t>плода</w:t>
      </w:r>
      <w:r w:rsidR="00FF7F2A" w:rsidRPr="00520861">
        <w:rPr>
          <w:b/>
          <w:sz w:val="28"/>
          <w:szCs w:val="28"/>
        </w:rPr>
        <w:t xml:space="preserve">. </w:t>
      </w:r>
      <w:r w:rsidR="00DB3527" w:rsidRPr="00520861">
        <w:rPr>
          <w:rFonts w:eastAsia="Calibri"/>
          <w:sz w:val="28"/>
          <w:szCs w:val="28"/>
          <w:lang w:eastAsia="en-US"/>
        </w:rPr>
        <w:t xml:space="preserve">Формування </w:t>
      </w:r>
      <w:proofErr w:type="spellStart"/>
      <w:r w:rsidR="00DB3527" w:rsidRPr="00520861">
        <w:rPr>
          <w:rFonts w:eastAsia="Calibri"/>
          <w:sz w:val="28"/>
          <w:szCs w:val="28"/>
          <w:lang w:eastAsia="en-US"/>
        </w:rPr>
        <w:t>макросомії</w:t>
      </w:r>
      <w:proofErr w:type="spellEnd"/>
      <w:r w:rsidR="00DB3527" w:rsidRPr="00520861">
        <w:rPr>
          <w:rFonts w:eastAsia="Calibri"/>
          <w:sz w:val="28"/>
          <w:szCs w:val="28"/>
          <w:lang w:eastAsia="en-US"/>
        </w:rPr>
        <w:t xml:space="preserve"> плода – стану, коли сукупність метаболічних і гормональних </w:t>
      </w:r>
      <w:proofErr w:type="spellStart"/>
      <w:r w:rsidR="00DB3527" w:rsidRPr="00520861">
        <w:rPr>
          <w:rFonts w:eastAsia="Calibri"/>
          <w:sz w:val="28"/>
          <w:szCs w:val="28"/>
          <w:lang w:eastAsia="en-US"/>
        </w:rPr>
        <w:t>патернів</w:t>
      </w:r>
      <w:proofErr w:type="spellEnd"/>
      <w:r w:rsidR="00DB3527" w:rsidRPr="00520861">
        <w:rPr>
          <w:rFonts w:eastAsia="Calibri"/>
          <w:sz w:val="28"/>
          <w:szCs w:val="28"/>
          <w:lang w:eastAsia="en-US"/>
        </w:rPr>
        <w:t xml:space="preserve"> виливається в завелику масу тіла новонародженого, – є окремою ланкою антенатальних порушень. </w:t>
      </w:r>
      <w:r w:rsidR="00DB3527" w:rsidRPr="00520861">
        <w:rPr>
          <w:sz w:val="28"/>
          <w:szCs w:val="28"/>
        </w:rPr>
        <w:t>У численних дослідженнях, проведених ученими Харківського національного медичного університету, висвітлені особливості клінічної, метаболічної та імунологічної адаптації таких новонароджених [82, 181].</w:t>
      </w:r>
    </w:p>
    <w:p w14:paraId="11EB81C3" w14:textId="77777777" w:rsidR="005B2BAD" w:rsidRPr="00520861" w:rsidRDefault="005B2BAD" w:rsidP="00292D2E">
      <w:pPr>
        <w:widowControl w:val="0"/>
        <w:spacing w:line="360" w:lineRule="auto"/>
        <w:ind w:firstLine="708"/>
        <w:jc w:val="both"/>
        <w:rPr>
          <w:sz w:val="28"/>
          <w:szCs w:val="28"/>
        </w:rPr>
      </w:pPr>
      <w:r w:rsidRPr="00520861">
        <w:rPr>
          <w:rFonts w:eastAsia="Calibri"/>
          <w:sz w:val="28"/>
          <w:szCs w:val="28"/>
          <w:lang w:eastAsia="en-US"/>
        </w:rPr>
        <w:t xml:space="preserve">Вплив безпосередніх та віддалених наслідків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w:t>
      </w:r>
      <w:r w:rsidR="000C5378" w:rsidRPr="00520861">
        <w:rPr>
          <w:rFonts w:eastAsia="Calibri"/>
          <w:sz w:val="28"/>
          <w:szCs w:val="28"/>
          <w:lang w:eastAsia="en-US"/>
        </w:rPr>
        <w:t>плода</w:t>
      </w:r>
      <w:r w:rsidRPr="00520861">
        <w:rPr>
          <w:rFonts w:eastAsia="Calibri"/>
          <w:sz w:val="28"/>
          <w:szCs w:val="28"/>
          <w:lang w:eastAsia="en-US"/>
        </w:rPr>
        <w:t xml:space="preserve"> на стан здоров’я в онтогенезі вивчається давно. Відомо, що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супроводжується </w:t>
      </w:r>
      <w:r w:rsidR="009726D4" w:rsidRPr="00520861">
        <w:rPr>
          <w:sz w:val="28"/>
          <w:szCs w:val="28"/>
          <w:lang w:eastAsia="x-none" w:bidi="lo-LA"/>
        </w:rPr>
        <w:t>ВУ</w:t>
      </w:r>
      <w:r w:rsidRPr="00520861">
        <w:rPr>
          <w:rFonts w:eastAsia="Calibri"/>
          <w:sz w:val="28"/>
          <w:szCs w:val="28"/>
          <w:lang w:eastAsia="en-US"/>
        </w:rPr>
        <w:t xml:space="preserve"> виникненням різноманітних відхилень від нормального розвитку органів і систем, </w:t>
      </w:r>
      <w:r w:rsidR="00744246" w:rsidRPr="00520861">
        <w:rPr>
          <w:rFonts w:eastAsia="Calibri"/>
          <w:sz w:val="28"/>
          <w:szCs w:val="28"/>
          <w:lang w:eastAsia="en-US"/>
        </w:rPr>
        <w:br/>
      </w:r>
      <w:r w:rsidRPr="00520861">
        <w:rPr>
          <w:rFonts w:eastAsia="Calibri"/>
          <w:sz w:val="28"/>
          <w:szCs w:val="28"/>
          <w:lang w:eastAsia="en-US"/>
        </w:rPr>
        <w:t>наприклад, імунної, гормональн</w:t>
      </w:r>
      <w:r w:rsidR="00ED63EF" w:rsidRPr="00520861">
        <w:rPr>
          <w:rFonts w:eastAsia="Calibri"/>
          <w:sz w:val="28"/>
          <w:szCs w:val="28"/>
          <w:lang w:eastAsia="en-US"/>
        </w:rPr>
        <w:t xml:space="preserve">ої тощо [204, </w:t>
      </w:r>
      <w:r w:rsidR="00530794" w:rsidRPr="00520861">
        <w:rPr>
          <w:rFonts w:eastAsia="Calibri"/>
          <w:sz w:val="28"/>
          <w:szCs w:val="28"/>
          <w:lang w:eastAsia="en-US"/>
        </w:rPr>
        <w:t xml:space="preserve">329, </w:t>
      </w:r>
      <w:r w:rsidR="00ED63EF" w:rsidRPr="00520861">
        <w:rPr>
          <w:rFonts w:eastAsia="Calibri"/>
          <w:sz w:val="28"/>
          <w:szCs w:val="28"/>
          <w:lang w:eastAsia="en-US"/>
        </w:rPr>
        <w:t>337, 564</w:t>
      </w:r>
      <w:r w:rsidR="00032BDA" w:rsidRPr="00520861">
        <w:rPr>
          <w:rFonts w:eastAsia="Calibri"/>
          <w:sz w:val="28"/>
          <w:szCs w:val="28"/>
          <w:lang w:eastAsia="en-US"/>
        </w:rPr>
        <w:t>].</w:t>
      </w:r>
    </w:p>
    <w:p w14:paraId="12DDE139" w14:textId="77777777" w:rsidR="005B2BAD" w:rsidRPr="00520861" w:rsidRDefault="005B2BAD" w:rsidP="00292D2E">
      <w:pPr>
        <w:widowControl w:val="0"/>
        <w:spacing w:line="360" w:lineRule="auto"/>
        <w:ind w:firstLine="708"/>
        <w:jc w:val="both"/>
        <w:rPr>
          <w:sz w:val="28"/>
          <w:szCs w:val="28"/>
        </w:rPr>
      </w:pPr>
      <w:r w:rsidRPr="00520861">
        <w:rPr>
          <w:rFonts w:eastAsia="Calibri"/>
          <w:sz w:val="28"/>
          <w:szCs w:val="28"/>
        </w:rPr>
        <w:t xml:space="preserve">Ці відхилення </w:t>
      </w:r>
      <w:r w:rsidRPr="00520861">
        <w:rPr>
          <w:sz w:val="28"/>
          <w:szCs w:val="28"/>
        </w:rPr>
        <w:t xml:space="preserve">умовно можна розподілити на кілька груп. До першої групи належать наслідки, безпосередні як для матері, так і для новонародженого. </w:t>
      </w:r>
      <w:r w:rsidR="00790AF8" w:rsidRPr="00520861">
        <w:rPr>
          <w:sz w:val="28"/>
          <w:szCs w:val="28"/>
        </w:rPr>
        <w:br/>
      </w:r>
      <w:r w:rsidRPr="00520861">
        <w:rPr>
          <w:sz w:val="28"/>
          <w:szCs w:val="28"/>
        </w:rPr>
        <w:t xml:space="preserve">У матерів, вагітних плодом із </w:t>
      </w:r>
      <w:proofErr w:type="spellStart"/>
      <w:r w:rsidRPr="00520861">
        <w:rPr>
          <w:sz w:val="28"/>
          <w:szCs w:val="28"/>
        </w:rPr>
        <w:t>макросомією</w:t>
      </w:r>
      <w:proofErr w:type="spellEnd"/>
      <w:r w:rsidRPr="00520861">
        <w:rPr>
          <w:sz w:val="28"/>
          <w:szCs w:val="28"/>
        </w:rPr>
        <w:t xml:space="preserve">, за умови самостійних пологів відзначається великий </w:t>
      </w:r>
      <w:r w:rsidR="00E337FC" w:rsidRPr="00520861">
        <w:rPr>
          <w:sz w:val="28"/>
          <w:szCs w:val="28"/>
        </w:rPr>
        <w:t>процент</w:t>
      </w:r>
      <w:r w:rsidRPr="00520861">
        <w:rPr>
          <w:sz w:val="28"/>
          <w:szCs w:val="28"/>
        </w:rPr>
        <w:t xml:space="preserve"> пологового травматизму. Нерідко пологи супроводжуються родовими ранами піхви, промежини та шийки матки, а також необхідністю робити кеса</w:t>
      </w:r>
      <w:r w:rsidR="00ED75C5" w:rsidRPr="00520861">
        <w:rPr>
          <w:sz w:val="28"/>
          <w:szCs w:val="28"/>
        </w:rPr>
        <w:t>рів розтин</w:t>
      </w:r>
      <w:r w:rsidRPr="00520861">
        <w:rPr>
          <w:sz w:val="28"/>
          <w:szCs w:val="28"/>
        </w:rPr>
        <w:t xml:space="preserve"> [</w:t>
      </w:r>
      <w:r w:rsidR="008B24DF" w:rsidRPr="00520861">
        <w:rPr>
          <w:sz w:val="28"/>
          <w:szCs w:val="28"/>
        </w:rPr>
        <w:t>401, 453</w:t>
      </w:r>
      <w:r w:rsidRPr="00520861">
        <w:rPr>
          <w:sz w:val="28"/>
          <w:szCs w:val="28"/>
        </w:rPr>
        <w:t xml:space="preserve">]. У таких новонароджених часто наявні </w:t>
      </w:r>
      <w:proofErr w:type="spellStart"/>
      <w:r w:rsidRPr="00520861">
        <w:rPr>
          <w:sz w:val="28"/>
          <w:szCs w:val="28"/>
        </w:rPr>
        <w:t>кефалогематоми</w:t>
      </w:r>
      <w:proofErr w:type="spellEnd"/>
      <w:r w:rsidRPr="00520861">
        <w:rPr>
          <w:sz w:val="28"/>
          <w:szCs w:val="28"/>
        </w:rPr>
        <w:t xml:space="preserve">, </w:t>
      </w:r>
      <w:r w:rsidR="00790AF8" w:rsidRPr="00520861">
        <w:rPr>
          <w:sz w:val="28"/>
          <w:szCs w:val="28"/>
        </w:rPr>
        <w:br/>
      </w:r>
      <w:proofErr w:type="spellStart"/>
      <w:r w:rsidRPr="00520861">
        <w:rPr>
          <w:sz w:val="28"/>
          <w:szCs w:val="28"/>
        </w:rPr>
        <w:t>підапоневротичні</w:t>
      </w:r>
      <w:proofErr w:type="spellEnd"/>
      <w:r w:rsidRPr="00520861">
        <w:rPr>
          <w:sz w:val="28"/>
          <w:szCs w:val="28"/>
        </w:rPr>
        <w:t xml:space="preserve"> крововиливи, асфіксії, переломи ключиці, парези ручок, некроз </w:t>
      </w:r>
      <w:r w:rsidR="00F16775" w:rsidRPr="00520861">
        <w:rPr>
          <w:sz w:val="28"/>
          <w:szCs w:val="28"/>
        </w:rPr>
        <w:br/>
      </w:r>
      <w:r w:rsidRPr="00520861">
        <w:rPr>
          <w:sz w:val="28"/>
          <w:szCs w:val="28"/>
        </w:rPr>
        <w:lastRenderedPageBreak/>
        <w:t>підшкірного жиру тощо</w:t>
      </w:r>
      <w:r w:rsidR="00032BDA" w:rsidRPr="00520861">
        <w:rPr>
          <w:sz w:val="28"/>
          <w:szCs w:val="28"/>
        </w:rPr>
        <w:t xml:space="preserve"> [</w:t>
      </w:r>
      <w:r w:rsidR="00A95736" w:rsidRPr="00520861">
        <w:rPr>
          <w:sz w:val="28"/>
          <w:szCs w:val="28"/>
        </w:rPr>
        <w:t xml:space="preserve">280, </w:t>
      </w:r>
      <w:r w:rsidR="00065B4C" w:rsidRPr="00520861">
        <w:rPr>
          <w:sz w:val="28"/>
          <w:szCs w:val="28"/>
        </w:rPr>
        <w:t>337, 455</w:t>
      </w:r>
      <w:r w:rsidR="00032BDA" w:rsidRPr="00520861">
        <w:rPr>
          <w:sz w:val="28"/>
          <w:szCs w:val="28"/>
        </w:rPr>
        <w:t>]</w:t>
      </w:r>
      <w:r w:rsidRPr="00520861">
        <w:rPr>
          <w:sz w:val="28"/>
          <w:szCs w:val="28"/>
        </w:rPr>
        <w:t>.</w:t>
      </w:r>
    </w:p>
    <w:p w14:paraId="6515F0D7" w14:textId="77777777" w:rsidR="005B2BAD" w:rsidRPr="00520861" w:rsidRDefault="005B2BAD" w:rsidP="00292D2E">
      <w:pPr>
        <w:widowControl w:val="0"/>
        <w:spacing w:line="360" w:lineRule="auto"/>
        <w:ind w:firstLine="708"/>
        <w:jc w:val="both"/>
        <w:rPr>
          <w:sz w:val="28"/>
          <w:szCs w:val="28"/>
        </w:rPr>
      </w:pPr>
      <w:r w:rsidRPr="00520861">
        <w:rPr>
          <w:sz w:val="28"/>
          <w:szCs w:val="28"/>
        </w:rPr>
        <w:t xml:space="preserve">До безпосередніх наслідків </w:t>
      </w:r>
      <w:proofErr w:type="spellStart"/>
      <w:r w:rsidRPr="00520861">
        <w:rPr>
          <w:sz w:val="28"/>
          <w:szCs w:val="28"/>
        </w:rPr>
        <w:t>макросомії</w:t>
      </w:r>
      <w:proofErr w:type="spellEnd"/>
      <w:r w:rsidRPr="00520861">
        <w:rPr>
          <w:sz w:val="28"/>
          <w:szCs w:val="28"/>
        </w:rPr>
        <w:t xml:space="preserve"> зараховують високий рівень </w:t>
      </w:r>
      <w:r w:rsidR="00790AF8" w:rsidRPr="00520861">
        <w:rPr>
          <w:sz w:val="28"/>
          <w:szCs w:val="28"/>
        </w:rPr>
        <w:br/>
      </w:r>
      <w:proofErr w:type="spellStart"/>
      <w:r w:rsidRPr="00520861">
        <w:rPr>
          <w:sz w:val="28"/>
          <w:szCs w:val="28"/>
        </w:rPr>
        <w:t>перинатальної</w:t>
      </w:r>
      <w:proofErr w:type="spellEnd"/>
      <w:r w:rsidRPr="00520861">
        <w:rPr>
          <w:sz w:val="28"/>
          <w:szCs w:val="28"/>
        </w:rPr>
        <w:t xml:space="preserve"> захворюваності [</w:t>
      </w:r>
      <w:r w:rsidR="005A46FC" w:rsidRPr="00520861">
        <w:rPr>
          <w:sz w:val="28"/>
          <w:szCs w:val="28"/>
        </w:rPr>
        <w:t>446</w:t>
      </w:r>
      <w:r w:rsidRPr="00520861">
        <w:rPr>
          <w:sz w:val="28"/>
          <w:szCs w:val="28"/>
        </w:rPr>
        <w:t xml:space="preserve">]. </w:t>
      </w:r>
      <w:r w:rsidR="00E136E4" w:rsidRPr="00520861">
        <w:rPr>
          <w:rFonts w:eastAsia="Calibri"/>
          <w:sz w:val="28"/>
          <w:szCs w:val="28"/>
        </w:rPr>
        <w:t>Незважаючи на високий рівень</w:t>
      </w:r>
      <w:r w:rsidRPr="00520861">
        <w:rPr>
          <w:rFonts w:eastAsia="Calibri"/>
          <w:sz w:val="28"/>
          <w:szCs w:val="28"/>
        </w:rPr>
        <w:t xml:space="preserve"> </w:t>
      </w:r>
      <w:proofErr w:type="spellStart"/>
      <w:r w:rsidR="000A61B7" w:rsidRPr="00520861">
        <w:rPr>
          <w:rFonts w:eastAsia="Calibri"/>
          <w:sz w:val="28"/>
          <w:szCs w:val="28"/>
        </w:rPr>
        <w:t>навколопологової</w:t>
      </w:r>
      <w:proofErr w:type="spellEnd"/>
      <w:r w:rsidR="000A61B7" w:rsidRPr="00520861">
        <w:rPr>
          <w:rFonts w:eastAsia="Calibri"/>
          <w:sz w:val="28"/>
          <w:szCs w:val="28"/>
        </w:rPr>
        <w:t xml:space="preserve"> </w:t>
      </w:r>
      <w:r w:rsidRPr="00520861">
        <w:rPr>
          <w:rFonts w:eastAsia="Calibri"/>
          <w:sz w:val="28"/>
          <w:szCs w:val="28"/>
        </w:rPr>
        <w:t xml:space="preserve">допомоги, у дітей, народжених із масою тіла 4,00 кг і більше, нерідко відзначають </w:t>
      </w:r>
      <w:proofErr w:type="spellStart"/>
      <w:r w:rsidRPr="00520861">
        <w:rPr>
          <w:rFonts w:eastAsia="Calibri"/>
          <w:sz w:val="28"/>
          <w:szCs w:val="28"/>
        </w:rPr>
        <w:t>гіпок</w:t>
      </w:r>
      <w:r w:rsidR="00ED75C5" w:rsidRPr="00520861">
        <w:rPr>
          <w:rFonts w:eastAsia="Calibri"/>
          <w:sz w:val="28"/>
          <w:szCs w:val="28"/>
        </w:rPr>
        <w:t>сично</w:t>
      </w:r>
      <w:proofErr w:type="spellEnd"/>
      <w:r w:rsidR="00ED75C5" w:rsidRPr="00520861">
        <w:rPr>
          <w:rFonts w:eastAsia="Calibri"/>
          <w:sz w:val="28"/>
          <w:szCs w:val="28"/>
        </w:rPr>
        <w:t>-ішемічне</w:t>
      </w:r>
      <w:r w:rsidRPr="00520861">
        <w:rPr>
          <w:rFonts w:eastAsia="Calibri"/>
          <w:sz w:val="28"/>
          <w:szCs w:val="28"/>
        </w:rPr>
        <w:t xml:space="preserve"> ураження ЦНС</w:t>
      </w:r>
      <w:r w:rsidR="00E15A67" w:rsidRPr="00520861">
        <w:rPr>
          <w:rFonts w:eastAsia="Calibri"/>
          <w:sz w:val="28"/>
          <w:szCs w:val="28"/>
        </w:rPr>
        <w:t xml:space="preserve"> (ГІУ ЦНС)</w:t>
      </w:r>
      <w:r w:rsidR="00ED75C5" w:rsidRPr="00520861">
        <w:rPr>
          <w:rFonts w:eastAsia="Calibri"/>
          <w:sz w:val="28"/>
          <w:szCs w:val="28"/>
        </w:rPr>
        <w:t> </w:t>
      </w:r>
      <w:r w:rsidR="005A1990" w:rsidRPr="00520861">
        <w:rPr>
          <w:rFonts w:eastAsia="Calibri"/>
          <w:sz w:val="28"/>
          <w:szCs w:val="28"/>
        </w:rPr>
        <w:t>[</w:t>
      </w:r>
      <w:r w:rsidR="005A46FC" w:rsidRPr="00520861">
        <w:rPr>
          <w:rFonts w:eastAsia="Calibri"/>
          <w:sz w:val="28"/>
          <w:szCs w:val="28"/>
        </w:rPr>
        <w:t>22</w:t>
      </w:r>
      <w:r w:rsidRPr="00520861">
        <w:rPr>
          <w:rFonts w:eastAsia="Calibri"/>
          <w:sz w:val="28"/>
          <w:szCs w:val="28"/>
        </w:rPr>
        <w:t xml:space="preserve">]. </w:t>
      </w:r>
    </w:p>
    <w:p w14:paraId="15C55D99" w14:textId="77777777" w:rsidR="005B2BAD" w:rsidRPr="00520861" w:rsidRDefault="005B2BAD" w:rsidP="00292D2E">
      <w:pPr>
        <w:widowControl w:val="0"/>
        <w:spacing w:line="360" w:lineRule="auto"/>
        <w:ind w:firstLine="708"/>
        <w:jc w:val="both"/>
        <w:rPr>
          <w:rFonts w:eastAsia="Calibri"/>
          <w:sz w:val="28"/>
          <w:szCs w:val="28"/>
        </w:rPr>
      </w:pPr>
      <w:r w:rsidRPr="00520861">
        <w:rPr>
          <w:sz w:val="28"/>
          <w:szCs w:val="28"/>
        </w:rPr>
        <w:t xml:space="preserve">До другої групи зараховують віддалені наслідки </w:t>
      </w:r>
      <w:proofErr w:type="spellStart"/>
      <w:r w:rsidRPr="00520861">
        <w:rPr>
          <w:sz w:val="28"/>
          <w:szCs w:val="28"/>
        </w:rPr>
        <w:t>макросомії</w:t>
      </w:r>
      <w:proofErr w:type="spellEnd"/>
      <w:r w:rsidRPr="00520861">
        <w:rPr>
          <w:sz w:val="28"/>
          <w:szCs w:val="28"/>
        </w:rPr>
        <w:t xml:space="preserve">. Особи, </w:t>
      </w:r>
      <w:r w:rsidR="00210587" w:rsidRPr="00520861">
        <w:rPr>
          <w:sz w:val="28"/>
          <w:szCs w:val="28"/>
        </w:rPr>
        <w:t xml:space="preserve">які </w:t>
      </w:r>
      <w:r w:rsidR="00744246" w:rsidRPr="00520861">
        <w:rPr>
          <w:sz w:val="28"/>
          <w:szCs w:val="28"/>
        </w:rPr>
        <w:br/>
      </w:r>
      <w:r w:rsidR="00210587" w:rsidRPr="00520861">
        <w:rPr>
          <w:sz w:val="28"/>
          <w:szCs w:val="28"/>
        </w:rPr>
        <w:t>наро</w:t>
      </w:r>
      <w:r w:rsidR="00991143" w:rsidRPr="00520861">
        <w:rPr>
          <w:sz w:val="28"/>
          <w:szCs w:val="28"/>
        </w:rPr>
        <w:t>дилися</w:t>
      </w:r>
      <w:r w:rsidR="00210587" w:rsidRPr="00520861">
        <w:rPr>
          <w:sz w:val="28"/>
          <w:szCs w:val="28"/>
        </w:rPr>
        <w:t xml:space="preserve"> </w:t>
      </w:r>
      <w:proofErr w:type="spellStart"/>
      <w:r w:rsidR="00210587" w:rsidRPr="00520861">
        <w:rPr>
          <w:sz w:val="28"/>
          <w:szCs w:val="28"/>
        </w:rPr>
        <w:t>макросомами</w:t>
      </w:r>
      <w:proofErr w:type="spellEnd"/>
      <w:r w:rsidRPr="00520861">
        <w:rPr>
          <w:sz w:val="28"/>
          <w:szCs w:val="28"/>
        </w:rPr>
        <w:t xml:space="preserve">, у подальшому житті мають високий ризик розвитку ожиріння, підвищеного тиску, </w:t>
      </w:r>
      <w:r w:rsidRPr="00520861">
        <w:rPr>
          <w:rFonts w:eastAsia="Calibri"/>
          <w:sz w:val="28"/>
          <w:szCs w:val="28"/>
        </w:rPr>
        <w:t>діабету 1 та 2 типів</w:t>
      </w:r>
      <w:r w:rsidRPr="00520861">
        <w:rPr>
          <w:sz w:val="28"/>
          <w:szCs w:val="28"/>
        </w:rPr>
        <w:t xml:space="preserve"> </w:t>
      </w:r>
      <w:r w:rsidR="00ED75C5" w:rsidRPr="00520861">
        <w:rPr>
          <w:sz w:val="28"/>
          <w:szCs w:val="28"/>
        </w:rPr>
        <w:t>і</w:t>
      </w:r>
      <w:r w:rsidRPr="00520861">
        <w:rPr>
          <w:sz w:val="28"/>
          <w:szCs w:val="28"/>
        </w:rPr>
        <w:t xml:space="preserve"> </w:t>
      </w:r>
      <w:proofErr w:type="spellStart"/>
      <w:r w:rsidRPr="00520861">
        <w:rPr>
          <w:sz w:val="28"/>
          <w:szCs w:val="28"/>
        </w:rPr>
        <w:t>хвороб</w:t>
      </w:r>
      <w:proofErr w:type="spellEnd"/>
      <w:r w:rsidRPr="00520861">
        <w:rPr>
          <w:sz w:val="28"/>
          <w:szCs w:val="28"/>
        </w:rPr>
        <w:t xml:space="preserve"> серцево-судинної системи </w:t>
      </w:r>
      <w:r w:rsidRPr="00520861">
        <w:rPr>
          <w:rFonts w:eastAsia="Calibri"/>
          <w:sz w:val="28"/>
          <w:szCs w:val="28"/>
        </w:rPr>
        <w:t>[</w:t>
      </w:r>
      <w:r w:rsidR="005A46FC" w:rsidRPr="00520861">
        <w:rPr>
          <w:rFonts w:eastAsia="Calibri"/>
          <w:sz w:val="28"/>
          <w:szCs w:val="28"/>
        </w:rPr>
        <w:t>337</w:t>
      </w:r>
      <w:r w:rsidR="00FF576C" w:rsidRPr="00520861">
        <w:rPr>
          <w:rFonts w:eastAsia="Calibri"/>
          <w:sz w:val="28"/>
          <w:szCs w:val="28"/>
        </w:rPr>
        <w:t>,</w:t>
      </w:r>
      <w:r w:rsidR="005A46FC" w:rsidRPr="00520861">
        <w:rPr>
          <w:rFonts w:eastAsia="Calibri"/>
          <w:sz w:val="28"/>
          <w:szCs w:val="28"/>
        </w:rPr>
        <w:t xml:space="preserve"> 397</w:t>
      </w:r>
      <w:r w:rsidR="00651467" w:rsidRPr="00520861">
        <w:rPr>
          <w:rFonts w:eastAsia="Calibri"/>
          <w:sz w:val="28"/>
          <w:szCs w:val="28"/>
        </w:rPr>
        <w:t xml:space="preserve">]. </w:t>
      </w:r>
      <w:r w:rsidRPr="00520861">
        <w:rPr>
          <w:sz w:val="28"/>
          <w:szCs w:val="28"/>
        </w:rPr>
        <w:t>У</w:t>
      </w:r>
      <w:r w:rsidR="00210587" w:rsidRPr="00520861">
        <w:rPr>
          <w:sz w:val="28"/>
          <w:szCs w:val="28"/>
        </w:rPr>
        <w:t xml:space="preserve"> таких осіб</w:t>
      </w:r>
      <w:r w:rsidRPr="00520861">
        <w:rPr>
          <w:sz w:val="28"/>
          <w:szCs w:val="28"/>
        </w:rPr>
        <w:t xml:space="preserve"> у підлітковому віці високий ризик вини</w:t>
      </w:r>
      <w:r w:rsidR="00FF576C" w:rsidRPr="00520861">
        <w:rPr>
          <w:sz w:val="28"/>
          <w:szCs w:val="28"/>
        </w:rPr>
        <w:t>кнення метаболічного синдрому [</w:t>
      </w:r>
      <w:r w:rsidR="005A46FC" w:rsidRPr="00520861">
        <w:rPr>
          <w:sz w:val="28"/>
          <w:szCs w:val="28"/>
        </w:rPr>
        <w:t>353</w:t>
      </w:r>
      <w:r w:rsidRPr="00520861">
        <w:rPr>
          <w:sz w:val="28"/>
          <w:szCs w:val="28"/>
        </w:rPr>
        <w:t>]. Деякі науковці [</w:t>
      </w:r>
      <w:r w:rsidR="005A46FC" w:rsidRPr="00520861">
        <w:rPr>
          <w:sz w:val="28"/>
          <w:szCs w:val="28"/>
        </w:rPr>
        <w:t>344, 451</w:t>
      </w:r>
      <w:r w:rsidRPr="00520861">
        <w:rPr>
          <w:sz w:val="28"/>
          <w:szCs w:val="28"/>
        </w:rPr>
        <w:t xml:space="preserve">] відзначають високий ризик онкологічних захворювань в осіб, </w:t>
      </w:r>
      <w:r w:rsidR="001155FA" w:rsidRPr="00520861">
        <w:rPr>
          <w:sz w:val="28"/>
          <w:szCs w:val="28"/>
        </w:rPr>
        <w:t xml:space="preserve">МРП </w:t>
      </w:r>
      <w:r w:rsidRPr="00520861">
        <w:rPr>
          <w:sz w:val="28"/>
          <w:szCs w:val="28"/>
        </w:rPr>
        <w:t xml:space="preserve">яких на момент народження перевищували норму. </w:t>
      </w:r>
    </w:p>
    <w:p w14:paraId="4FA462DD" w14:textId="77777777" w:rsidR="005B2BAD" w:rsidRPr="00520861" w:rsidRDefault="00087DB1"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Отже, м</w:t>
      </w:r>
      <w:r w:rsidR="005B2BAD" w:rsidRPr="00520861">
        <w:rPr>
          <w:rFonts w:eastAsia="Calibri"/>
          <w:sz w:val="28"/>
          <w:szCs w:val="28"/>
          <w:lang w:eastAsia="en-US"/>
        </w:rPr>
        <w:t>етаболічні й функціональні порушення в усіх органах і системах організму</w:t>
      </w:r>
      <w:r w:rsidR="005B2BAD" w:rsidRPr="00520861">
        <w:rPr>
          <w:sz w:val="28"/>
          <w:szCs w:val="28"/>
        </w:rPr>
        <w:t xml:space="preserve"> </w:t>
      </w:r>
      <w:r w:rsidR="00ED75C5" w:rsidRPr="00520861">
        <w:rPr>
          <w:sz w:val="28"/>
          <w:szCs w:val="28"/>
        </w:rPr>
        <w:t>в</w:t>
      </w:r>
      <w:r w:rsidRPr="00520861">
        <w:rPr>
          <w:sz w:val="28"/>
          <w:szCs w:val="28"/>
        </w:rPr>
        <w:t xml:space="preserve"> осіб, які народилися </w:t>
      </w:r>
      <w:proofErr w:type="spellStart"/>
      <w:r w:rsidRPr="00520861">
        <w:rPr>
          <w:sz w:val="28"/>
          <w:szCs w:val="28"/>
        </w:rPr>
        <w:t>макросомами</w:t>
      </w:r>
      <w:proofErr w:type="spellEnd"/>
      <w:r w:rsidR="00ED75C5" w:rsidRPr="00520861">
        <w:rPr>
          <w:sz w:val="28"/>
          <w:szCs w:val="28"/>
        </w:rPr>
        <w:t>,</w:t>
      </w:r>
      <w:r w:rsidRPr="00520861">
        <w:rPr>
          <w:sz w:val="28"/>
          <w:szCs w:val="28"/>
        </w:rPr>
        <w:t xml:space="preserve"> </w:t>
      </w:r>
      <w:r w:rsidR="005B2BAD" w:rsidRPr="00520861">
        <w:rPr>
          <w:sz w:val="28"/>
          <w:szCs w:val="28"/>
        </w:rPr>
        <w:t xml:space="preserve">позначаються на стані </w:t>
      </w:r>
      <w:r w:rsidR="001A46C0" w:rsidRPr="00520861">
        <w:rPr>
          <w:sz w:val="28"/>
          <w:szCs w:val="28"/>
        </w:rPr>
        <w:t>їх</w:t>
      </w:r>
      <w:r w:rsidR="005B2BAD" w:rsidRPr="00520861">
        <w:rPr>
          <w:sz w:val="28"/>
          <w:szCs w:val="28"/>
        </w:rPr>
        <w:t xml:space="preserve"> здоров’я</w:t>
      </w:r>
      <w:r w:rsidR="001A46C0" w:rsidRPr="00520861">
        <w:rPr>
          <w:sz w:val="28"/>
          <w:szCs w:val="28"/>
        </w:rPr>
        <w:t xml:space="preserve"> в </w:t>
      </w:r>
      <w:r w:rsidR="00744246" w:rsidRPr="00520861">
        <w:rPr>
          <w:sz w:val="28"/>
          <w:szCs w:val="28"/>
        </w:rPr>
        <w:br/>
      </w:r>
      <w:r w:rsidR="001A46C0" w:rsidRPr="00520861">
        <w:rPr>
          <w:sz w:val="28"/>
          <w:szCs w:val="28"/>
        </w:rPr>
        <w:t>онтогенезі</w:t>
      </w:r>
      <w:r w:rsidR="005B2BAD" w:rsidRPr="00520861">
        <w:rPr>
          <w:sz w:val="28"/>
          <w:szCs w:val="28"/>
        </w:rPr>
        <w:t xml:space="preserve">. </w:t>
      </w:r>
    </w:p>
    <w:p w14:paraId="70719F89" w14:textId="77777777" w:rsidR="005B2BAD" w:rsidRPr="00520861" w:rsidRDefault="005B2BAD" w:rsidP="00292D2E">
      <w:pPr>
        <w:widowControl w:val="0"/>
        <w:spacing w:line="360" w:lineRule="auto"/>
        <w:jc w:val="both"/>
        <w:rPr>
          <w:rFonts w:eastAsia="Calibri"/>
          <w:b/>
          <w:sz w:val="28"/>
          <w:szCs w:val="28"/>
          <w:lang w:eastAsia="en-US"/>
        </w:rPr>
      </w:pPr>
    </w:p>
    <w:p w14:paraId="52023026" w14:textId="77777777" w:rsidR="005B2BAD" w:rsidRPr="00520861" w:rsidRDefault="005B2BAD" w:rsidP="00292D2E">
      <w:pPr>
        <w:widowControl w:val="0"/>
        <w:spacing w:line="360" w:lineRule="auto"/>
        <w:ind w:firstLine="708"/>
        <w:jc w:val="both"/>
        <w:rPr>
          <w:b/>
          <w:sz w:val="28"/>
          <w:szCs w:val="28"/>
        </w:rPr>
      </w:pPr>
      <w:r w:rsidRPr="00520861">
        <w:rPr>
          <w:b/>
          <w:sz w:val="28"/>
          <w:szCs w:val="28"/>
        </w:rPr>
        <w:t>1.2</w:t>
      </w:r>
      <w:r w:rsidR="00BA53B9" w:rsidRPr="00520861">
        <w:rPr>
          <w:b/>
          <w:sz w:val="28"/>
          <w:szCs w:val="28"/>
        </w:rPr>
        <w:t>.</w:t>
      </w:r>
      <w:r w:rsidRPr="00520861">
        <w:rPr>
          <w:b/>
          <w:sz w:val="28"/>
          <w:szCs w:val="28"/>
        </w:rPr>
        <w:t xml:space="preserve"> Сучасний погляд на про</w:t>
      </w:r>
      <w:r w:rsidR="00ED75C5" w:rsidRPr="00520861">
        <w:rPr>
          <w:b/>
          <w:sz w:val="28"/>
          <w:szCs w:val="28"/>
        </w:rPr>
        <w:t>блему стоматологічних порушень в</w:t>
      </w:r>
      <w:r w:rsidRPr="00520861">
        <w:rPr>
          <w:b/>
          <w:sz w:val="28"/>
          <w:szCs w:val="28"/>
        </w:rPr>
        <w:t xml:space="preserve"> осіб, </w:t>
      </w:r>
      <w:r w:rsidR="00790AF8" w:rsidRPr="00520861">
        <w:rPr>
          <w:b/>
          <w:sz w:val="28"/>
          <w:szCs w:val="28"/>
        </w:rPr>
        <w:br/>
      </w:r>
      <w:r w:rsidR="00991143" w:rsidRPr="00520861">
        <w:rPr>
          <w:b/>
          <w:sz w:val="28"/>
          <w:szCs w:val="28"/>
        </w:rPr>
        <w:t xml:space="preserve">які </w:t>
      </w:r>
      <w:r w:rsidR="00D540E2" w:rsidRPr="00520861">
        <w:rPr>
          <w:b/>
          <w:sz w:val="28"/>
          <w:szCs w:val="28"/>
        </w:rPr>
        <w:t>народилися</w:t>
      </w:r>
      <w:r w:rsidRPr="00520861">
        <w:rPr>
          <w:b/>
          <w:sz w:val="28"/>
          <w:szCs w:val="28"/>
        </w:rPr>
        <w:t xml:space="preserve"> </w:t>
      </w:r>
      <w:proofErr w:type="spellStart"/>
      <w:r w:rsidRPr="00520861">
        <w:rPr>
          <w:b/>
          <w:sz w:val="28"/>
          <w:szCs w:val="28"/>
        </w:rPr>
        <w:t>макросомами</w:t>
      </w:r>
      <w:proofErr w:type="spellEnd"/>
    </w:p>
    <w:p w14:paraId="38FDF281" w14:textId="77777777" w:rsidR="005B2BAD" w:rsidRPr="00520861" w:rsidRDefault="005B2BAD" w:rsidP="00292D2E">
      <w:pPr>
        <w:widowControl w:val="0"/>
        <w:spacing w:line="360" w:lineRule="auto"/>
        <w:ind w:firstLine="708"/>
        <w:jc w:val="both"/>
        <w:rPr>
          <w:rFonts w:eastAsia="Calibri"/>
          <w:b/>
          <w:sz w:val="28"/>
          <w:szCs w:val="28"/>
          <w:lang w:eastAsia="en-US"/>
        </w:rPr>
      </w:pPr>
    </w:p>
    <w:p w14:paraId="014D0A65" w14:textId="77777777" w:rsidR="0012171B" w:rsidRPr="00520861" w:rsidRDefault="00335946" w:rsidP="00292D2E">
      <w:pPr>
        <w:widowControl w:val="0"/>
        <w:spacing w:line="360" w:lineRule="auto"/>
        <w:ind w:firstLine="567"/>
        <w:jc w:val="both"/>
        <w:rPr>
          <w:rFonts w:eastAsia="Calibri"/>
          <w:sz w:val="28"/>
          <w:szCs w:val="28"/>
          <w:lang w:eastAsia="en-US"/>
        </w:rPr>
      </w:pPr>
      <w:r w:rsidRPr="00520861">
        <w:rPr>
          <w:rFonts w:eastAsia="Calibri"/>
          <w:sz w:val="28"/>
          <w:szCs w:val="28"/>
          <w:lang w:eastAsia="en-US"/>
        </w:rPr>
        <w:t xml:space="preserve">Закономірності прорізування тимчасових </w:t>
      </w:r>
      <w:r w:rsidR="00ED75C5" w:rsidRPr="00520861">
        <w:rPr>
          <w:rFonts w:eastAsia="Calibri"/>
          <w:sz w:val="28"/>
          <w:szCs w:val="28"/>
          <w:lang w:eastAsia="en-US"/>
        </w:rPr>
        <w:t>і</w:t>
      </w:r>
      <w:r w:rsidRPr="00520861">
        <w:rPr>
          <w:rFonts w:eastAsia="Calibri"/>
          <w:sz w:val="28"/>
          <w:szCs w:val="28"/>
          <w:lang w:eastAsia="en-US"/>
        </w:rPr>
        <w:t xml:space="preserve"> постійних зубів взаємопов’язані </w:t>
      </w:r>
      <w:r w:rsidR="00790AF8" w:rsidRPr="00520861">
        <w:rPr>
          <w:rFonts w:eastAsia="Calibri"/>
          <w:sz w:val="28"/>
          <w:szCs w:val="28"/>
          <w:lang w:eastAsia="en-US"/>
        </w:rPr>
        <w:br/>
      </w:r>
      <w:r w:rsidRPr="00520861">
        <w:rPr>
          <w:rFonts w:eastAsia="Calibri"/>
          <w:sz w:val="28"/>
          <w:szCs w:val="28"/>
          <w:lang w:eastAsia="en-US"/>
        </w:rPr>
        <w:t xml:space="preserve">зі станом соматичного здоров’я дітей та є його складовими. </w:t>
      </w:r>
      <w:r w:rsidR="000E1C1B" w:rsidRPr="00520861">
        <w:rPr>
          <w:rFonts w:eastAsia="Calibri"/>
          <w:sz w:val="28"/>
          <w:szCs w:val="28"/>
          <w:lang w:eastAsia="en-US"/>
        </w:rPr>
        <w:t xml:space="preserve">Коли батьки дитини, </w:t>
      </w:r>
      <w:r w:rsidR="00790AF8" w:rsidRPr="00520861">
        <w:rPr>
          <w:rFonts w:eastAsia="Calibri"/>
          <w:sz w:val="28"/>
          <w:szCs w:val="28"/>
          <w:lang w:eastAsia="en-US"/>
        </w:rPr>
        <w:br/>
      </w:r>
      <w:r w:rsidR="000E1C1B" w:rsidRPr="00520861">
        <w:rPr>
          <w:rFonts w:eastAsia="Calibri"/>
          <w:sz w:val="28"/>
          <w:szCs w:val="28"/>
          <w:lang w:eastAsia="en-US"/>
        </w:rPr>
        <w:t>параметри якої при народженні були вищими від норми, консультуються з лікарем</w:t>
      </w:r>
      <w:r w:rsidR="0085722B" w:rsidRPr="00520861">
        <w:rPr>
          <w:rFonts w:eastAsia="Calibri"/>
          <w:sz w:val="28"/>
          <w:szCs w:val="28"/>
          <w:lang w:eastAsia="en-US"/>
        </w:rPr>
        <w:t xml:space="preserve"> </w:t>
      </w:r>
      <w:r w:rsidR="00790AF8" w:rsidRPr="00520861">
        <w:rPr>
          <w:rFonts w:eastAsia="Calibri"/>
          <w:sz w:val="28"/>
          <w:szCs w:val="28"/>
          <w:lang w:eastAsia="en-US"/>
        </w:rPr>
        <w:br/>
      </w:r>
      <w:r w:rsidR="0085722B" w:rsidRPr="00520861">
        <w:rPr>
          <w:rFonts w:eastAsia="Calibri"/>
          <w:sz w:val="28"/>
          <w:szCs w:val="28"/>
          <w:lang w:eastAsia="en-US"/>
        </w:rPr>
        <w:t xml:space="preserve">з приводу високої інтенсивності карієсу чи інших </w:t>
      </w:r>
      <w:proofErr w:type="spellStart"/>
      <w:r w:rsidR="0085722B" w:rsidRPr="00520861">
        <w:rPr>
          <w:rFonts w:eastAsia="Calibri"/>
          <w:sz w:val="28"/>
          <w:szCs w:val="28"/>
          <w:lang w:eastAsia="en-US"/>
        </w:rPr>
        <w:t>СтП</w:t>
      </w:r>
      <w:proofErr w:type="spellEnd"/>
      <w:r w:rsidRPr="00520861">
        <w:rPr>
          <w:rFonts w:eastAsia="Calibri"/>
          <w:sz w:val="28"/>
          <w:szCs w:val="28"/>
          <w:lang w:eastAsia="en-US"/>
        </w:rPr>
        <w:t xml:space="preserve"> дитини</w:t>
      </w:r>
      <w:r w:rsidR="000E1C1B" w:rsidRPr="00520861">
        <w:rPr>
          <w:rFonts w:eastAsia="Calibri"/>
          <w:sz w:val="28"/>
          <w:szCs w:val="28"/>
          <w:lang w:eastAsia="en-US"/>
        </w:rPr>
        <w:t>, він повинен запропонувати певний алгоритм профі</w:t>
      </w:r>
      <w:r w:rsidRPr="00520861">
        <w:rPr>
          <w:rFonts w:eastAsia="Calibri"/>
          <w:sz w:val="28"/>
          <w:szCs w:val="28"/>
          <w:lang w:eastAsia="en-US"/>
        </w:rPr>
        <w:t>лактичної допомоги чи лікування, а</w:t>
      </w:r>
      <w:r w:rsidR="00566124" w:rsidRPr="00520861">
        <w:rPr>
          <w:rFonts w:eastAsia="Calibri"/>
          <w:sz w:val="28"/>
          <w:szCs w:val="28"/>
          <w:lang w:eastAsia="en-US"/>
        </w:rPr>
        <w:t>ле б</w:t>
      </w:r>
      <w:r w:rsidR="005B2BAD" w:rsidRPr="00520861">
        <w:rPr>
          <w:rFonts w:eastAsia="Calibri"/>
          <w:sz w:val="28"/>
          <w:szCs w:val="28"/>
          <w:lang w:eastAsia="en-US"/>
        </w:rPr>
        <w:t xml:space="preserve">ез чіткого розуміння механізмів формування та прорізування тимчасових зубів у </w:t>
      </w:r>
      <w:r w:rsidRPr="00520861">
        <w:rPr>
          <w:rFonts w:eastAsia="Calibri"/>
          <w:sz w:val="28"/>
          <w:szCs w:val="28"/>
          <w:lang w:eastAsia="en-US"/>
        </w:rPr>
        <w:t xml:space="preserve">таких </w:t>
      </w:r>
      <w:r w:rsidR="005B2BAD" w:rsidRPr="00520861">
        <w:rPr>
          <w:rFonts w:eastAsia="Calibri"/>
          <w:sz w:val="28"/>
          <w:szCs w:val="28"/>
          <w:lang w:eastAsia="en-US"/>
        </w:rPr>
        <w:t>дітей</w:t>
      </w:r>
      <w:r w:rsidR="00174453" w:rsidRPr="00520861">
        <w:rPr>
          <w:rFonts w:eastAsia="Calibri"/>
          <w:sz w:val="28"/>
          <w:szCs w:val="28"/>
          <w:lang w:eastAsia="en-US"/>
        </w:rPr>
        <w:t xml:space="preserve"> </w:t>
      </w:r>
      <w:r w:rsidRPr="00520861">
        <w:rPr>
          <w:rFonts w:eastAsia="Calibri"/>
          <w:sz w:val="28"/>
          <w:szCs w:val="28"/>
          <w:lang w:eastAsia="en-US"/>
        </w:rPr>
        <w:t xml:space="preserve">це </w:t>
      </w:r>
      <w:r w:rsidR="005B2BAD" w:rsidRPr="00520861">
        <w:rPr>
          <w:rFonts w:eastAsia="Calibri"/>
          <w:sz w:val="28"/>
          <w:szCs w:val="28"/>
          <w:lang w:eastAsia="en-US"/>
        </w:rPr>
        <w:t xml:space="preserve">неможливо. Формування й мінералізація коронкової та кореневої системи зубів і тканин, що їх оточують, розпочинається ще задовго до народження дитини, </w:t>
      </w:r>
      <w:r w:rsidR="00DD5CB6" w:rsidRPr="00520861">
        <w:rPr>
          <w:rFonts w:eastAsia="Calibri"/>
          <w:sz w:val="28"/>
          <w:szCs w:val="28"/>
          <w:lang w:eastAsia="en-US"/>
        </w:rPr>
        <w:br/>
      </w:r>
      <w:r w:rsidR="005B2BAD" w:rsidRPr="00520861">
        <w:rPr>
          <w:rFonts w:eastAsia="Calibri"/>
          <w:sz w:val="28"/>
          <w:szCs w:val="28"/>
          <w:lang w:eastAsia="en-US"/>
        </w:rPr>
        <w:t xml:space="preserve">ці процеси є етапами розвитку </w:t>
      </w:r>
      <w:proofErr w:type="spellStart"/>
      <w:r w:rsidR="005B2BAD" w:rsidRPr="00520861">
        <w:rPr>
          <w:rFonts w:eastAsia="Calibri"/>
          <w:sz w:val="28"/>
          <w:szCs w:val="28"/>
          <w:lang w:eastAsia="en-US"/>
        </w:rPr>
        <w:t>краніо</w:t>
      </w:r>
      <w:proofErr w:type="spellEnd"/>
      <w:r w:rsidR="007025F8" w:rsidRPr="00520861">
        <w:rPr>
          <w:rFonts w:eastAsia="Calibri"/>
          <w:sz w:val="28"/>
          <w:szCs w:val="28"/>
          <w:lang w:eastAsia="en-US"/>
        </w:rPr>
        <w:t>-</w:t>
      </w:r>
      <w:r w:rsidR="005B2BAD" w:rsidRPr="00520861">
        <w:rPr>
          <w:rFonts w:eastAsia="Calibri"/>
          <w:sz w:val="28"/>
          <w:szCs w:val="28"/>
          <w:lang w:eastAsia="en-US"/>
        </w:rPr>
        <w:t>фаціального комплексу [</w:t>
      </w:r>
      <w:r w:rsidR="00106FF7" w:rsidRPr="00520861">
        <w:rPr>
          <w:rFonts w:eastAsia="Calibri"/>
          <w:sz w:val="28"/>
          <w:szCs w:val="28"/>
          <w:lang w:eastAsia="en-US"/>
        </w:rPr>
        <w:t>413, 529</w:t>
      </w:r>
      <w:r w:rsidR="005B2BAD" w:rsidRPr="00520861">
        <w:rPr>
          <w:rFonts w:eastAsia="Calibri"/>
          <w:sz w:val="28"/>
          <w:szCs w:val="28"/>
          <w:lang w:eastAsia="en-US"/>
        </w:rPr>
        <w:t>].</w:t>
      </w:r>
      <w:r w:rsidR="00DD5CB6" w:rsidRPr="00520861">
        <w:rPr>
          <w:rFonts w:eastAsia="Calibri"/>
          <w:sz w:val="28"/>
          <w:szCs w:val="28"/>
          <w:lang w:eastAsia="en-US"/>
        </w:rPr>
        <w:br/>
      </w:r>
      <w:r w:rsidR="005B2BAD" w:rsidRPr="00520861">
        <w:rPr>
          <w:rFonts w:eastAsia="Calibri"/>
          <w:sz w:val="28"/>
          <w:szCs w:val="28"/>
          <w:lang w:eastAsia="en-US"/>
        </w:rPr>
        <w:t xml:space="preserve">Строки, парність та послідовність прорізування зубів залежать від чималої </w:t>
      </w:r>
      <w:r w:rsidR="007025F8" w:rsidRPr="00520861">
        <w:rPr>
          <w:rFonts w:eastAsia="Calibri"/>
          <w:sz w:val="28"/>
          <w:szCs w:val="28"/>
          <w:lang w:eastAsia="en-US"/>
        </w:rPr>
        <w:br/>
      </w:r>
      <w:r w:rsidR="005B2BAD" w:rsidRPr="00520861">
        <w:rPr>
          <w:rFonts w:eastAsia="Calibri"/>
          <w:sz w:val="28"/>
          <w:szCs w:val="28"/>
          <w:lang w:eastAsia="en-US"/>
        </w:rPr>
        <w:t>кількості спадкових чинників і впливу довкілля [</w:t>
      </w:r>
      <w:r w:rsidR="00B34F92" w:rsidRPr="00520861">
        <w:rPr>
          <w:rFonts w:eastAsia="Calibri"/>
          <w:sz w:val="28"/>
          <w:szCs w:val="28"/>
          <w:lang w:eastAsia="en-US"/>
        </w:rPr>
        <w:t>288</w:t>
      </w:r>
      <w:r w:rsidR="005B2BAD" w:rsidRPr="00520861">
        <w:rPr>
          <w:rFonts w:eastAsia="Calibri"/>
          <w:sz w:val="28"/>
          <w:szCs w:val="28"/>
          <w:lang w:eastAsia="en-US"/>
        </w:rPr>
        <w:t xml:space="preserve">]. </w:t>
      </w:r>
      <w:r w:rsidR="00CC4A6A" w:rsidRPr="00520861">
        <w:rPr>
          <w:rFonts w:eastAsia="Calibri"/>
          <w:sz w:val="28"/>
          <w:szCs w:val="28"/>
          <w:lang w:eastAsia="en-US"/>
        </w:rPr>
        <w:t>Д</w:t>
      </w:r>
      <w:r w:rsidR="005B2BAD" w:rsidRPr="00520861">
        <w:rPr>
          <w:rFonts w:eastAsia="Calibri"/>
          <w:sz w:val="28"/>
          <w:szCs w:val="28"/>
          <w:lang w:eastAsia="en-US"/>
        </w:rPr>
        <w:t xml:space="preserve">оведено вплив перебігу </w:t>
      </w:r>
      <w:proofErr w:type="spellStart"/>
      <w:r w:rsidR="005B2BAD" w:rsidRPr="00520861">
        <w:rPr>
          <w:rFonts w:eastAsia="Calibri"/>
          <w:sz w:val="28"/>
          <w:szCs w:val="28"/>
          <w:lang w:eastAsia="en-US"/>
        </w:rPr>
        <w:t>допологового</w:t>
      </w:r>
      <w:proofErr w:type="spellEnd"/>
      <w:r w:rsidR="005B2BAD" w:rsidRPr="00520861">
        <w:rPr>
          <w:rFonts w:eastAsia="Calibri"/>
          <w:sz w:val="28"/>
          <w:szCs w:val="28"/>
          <w:lang w:eastAsia="en-US"/>
        </w:rPr>
        <w:t xml:space="preserve"> періоду, передчасних пологів, а також стану здоров’я, віку, статі й раси </w:t>
      </w:r>
      <w:r w:rsidR="007025F8" w:rsidRPr="00520861">
        <w:rPr>
          <w:rFonts w:eastAsia="Calibri"/>
          <w:sz w:val="28"/>
          <w:szCs w:val="28"/>
          <w:lang w:eastAsia="en-US"/>
        </w:rPr>
        <w:br/>
      </w:r>
      <w:r w:rsidR="005B2BAD" w:rsidRPr="00520861">
        <w:rPr>
          <w:rFonts w:eastAsia="Calibri"/>
          <w:sz w:val="28"/>
          <w:szCs w:val="28"/>
          <w:lang w:eastAsia="en-US"/>
        </w:rPr>
        <w:lastRenderedPageBreak/>
        <w:t>батьків [</w:t>
      </w:r>
      <w:r w:rsidR="009A66E7" w:rsidRPr="00520861">
        <w:rPr>
          <w:rFonts w:eastAsia="Calibri"/>
          <w:sz w:val="28"/>
          <w:szCs w:val="28"/>
          <w:lang w:eastAsia="en-US"/>
        </w:rPr>
        <w:t>490, 545</w:t>
      </w:r>
      <w:r w:rsidR="00CC4A6A" w:rsidRPr="00520861">
        <w:rPr>
          <w:rFonts w:eastAsia="Calibri"/>
          <w:sz w:val="28"/>
          <w:szCs w:val="28"/>
          <w:lang w:eastAsia="en-US"/>
        </w:rPr>
        <w:t xml:space="preserve">]. Зокрема, у роботі </w:t>
      </w:r>
      <w:proofErr w:type="spellStart"/>
      <w:r w:rsidR="00CC4A6A" w:rsidRPr="00520861">
        <w:rPr>
          <w:rFonts w:eastAsia="Calibri"/>
          <w:sz w:val="28"/>
          <w:szCs w:val="28"/>
          <w:lang w:eastAsia="en-US"/>
        </w:rPr>
        <w:t>Un</w:t>
      </w:r>
      <w:proofErr w:type="spellEnd"/>
      <w:r w:rsidR="00CC4A6A" w:rsidRPr="00520861">
        <w:rPr>
          <w:rFonts w:eastAsia="Calibri"/>
          <w:sz w:val="28"/>
          <w:szCs w:val="28"/>
          <w:lang w:eastAsia="en-US"/>
        </w:rPr>
        <w:t xml:space="preserve"> </w:t>
      </w:r>
      <w:proofErr w:type="spellStart"/>
      <w:r w:rsidR="00CC4A6A" w:rsidRPr="00520861">
        <w:rPr>
          <w:rFonts w:eastAsia="Calibri"/>
          <w:sz w:val="28"/>
          <w:szCs w:val="28"/>
          <w:lang w:eastAsia="en-US"/>
        </w:rPr>
        <w:t>Lam</w:t>
      </w:r>
      <w:proofErr w:type="spellEnd"/>
      <w:r w:rsidR="00CC4A6A" w:rsidRPr="00520861">
        <w:rPr>
          <w:rFonts w:eastAsia="Calibri"/>
          <w:sz w:val="28"/>
          <w:szCs w:val="28"/>
          <w:lang w:eastAsia="en-US"/>
        </w:rPr>
        <w:t xml:space="preserve"> C</w:t>
      </w:r>
      <w:r w:rsidR="0012171B" w:rsidRPr="00520861">
        <w:rPr>
          <w:rFonts w:eastAsia="Calibri"/>
          <w:sz w:val="28"/>
          <w:szCs w:val="28"/>
          <w:lang w:eastAsia="en-US"/>
        </w:rPr>
        <w:t>.</w:t>
      </w:r>
      <w:r w:rsidR="00174453" w:rsidRPr="00520861">
        <w:rPr>
          <w:rFonts w:eastAsia="Calibri"/>
          <w:sz w:val="28"/>
          <w:szCs w:val="28"/>
          <w:lang w:eastAsia="en-US"/>
        </w:rPr>
        <w:t xml:space="preserve"> </w:t>
      </w:r>
      <w:r w:rsidR="00CC4A6A" w:rsidRPr="00520861">
        <w:rPr>
          <w:rFonts w:eastAsia="Calibri"/>
          <w:sz w:val="28"/>
          <w:szCs w:val="28"/>
          <w:lang w:eastAsia="en-US"/>
        </w:rPr>
        <w:t>та співавторів [</w:t>
      </w:r>
      <w:r w:rsidR="00CE47C3" w:rsidRPr="00520861">
        <w:rPr>
          <w:rFonts w:eastAsia="Calibri"/>
          <w:sz w:val="28"/>
          <w:szCs w:val="28"/>
          <w:lang w:eastAsia="en-US"/>
        </w:rPr>
        <w:t>545</w:t>
      </w:r>
      <w:r w:rsidR="00CC4A6A" w:rsidRPr="00520861">
        <w:rPr>
          <w:rFonts w:eastAsia="Calibri"/>
          <w:sz w:val="28"/>
          <w:szCs w:val="28"/>
          <w:lang w:eastAsia="en-US"/>
        </w:rPr>
        <w:t xml:space="preserve">] </w:t>
      </w:r>
      <w:r w:rsidR="007025F8" w:rsidRPr="00520861">
        <w:rPr>
          <w:rFonts w:eastAsia="Calibri"/>
          <w:sz w:val="28"/>
          <w:szCs w:val="28"/>
          <w:lang w:eastAsia="en-US"/>
        </w:rPr>
        <w:t xml:space="preserve">показано, </w:t>
      </w:r>
      <w:r w:rsidR="00790AF8" w:rsidRPr="00520861">
        <w:rPr>
          <w:rFonts w:eastAsia="Calibri"/>
          <w:sz w:val="28"/>
          <w:szCs w:val="28"/>
          <w:lang w:eastAsia="en-US"/>
        </w:rPr>
        <w:br/>
      </w:r>
      <w:r w:rsidR="007025F8" w:rsidRPr="00520861">
        <w:rPr>
          <w:rFonts w:eastAsia="Calibri"/>
          <w:sz w:val="28"/>
          <w:szCs w:val="28"/>
          <w:lang w:eastAsia="en-US"/>
        </w:rPr>
        <w:t>що в</w:t>
      </w:r>
      <w:r w:rsidR="00CC4A6A" w:rsidRPr="00520861">
        <w:rPr>
          <w:rFonts w:eastAsia="Calibri"/>
          <w:sz w:val="28"/>
          <w:szCs w:val="28"/>
          <w:lang w:eastAsia="en-US"/>
        </w:rPr>
        <w:t xml:space="preserve"> малайських та індійських дітей прорізування перших тимчасових зубів починалося пізніше</w:t>
      </w:r>
      <w:r w:rsidR="007025F8" w:rsidRPr="00520861">
        <w:rPr>
          <w:rFonts w:eastAsia="Calibri"/>
          <w:sz w:val="28"/>
          <w:szCs w:val="28"/>
          <w:lang w:eastAsia="en-US"/>
        </w:rPr>
        <w:t>,</w:t>
      </w:r>
      <w:r w:rsidR="00CC4A6A" w:rsidRPr="00520861">
        <w:rPr>
          <w:rFonts w:eastAsia="Calibri"/>
          <w:sz w:val="28"/>
          <w:szCs w:val="28"/>
          <w:lang w:eastAsia="en-US"/>
        </w:rPr>
        <w:t xml:space="preserve"> ніж у китайських. У цій же роботі автори дійшли висновку, що чим більший </w:t>
      </w:r>
      <w:r w:rsidR="003C6434" w:rsidRPr="00520861">
        <w:rPr>
          <w:rFonts w:eastAsia="Calibri"/>
          <w:sz w:val="28"/>
          <w:szCs w:val="28"/>
          <w:lang w:eastAsia="en-US"/>
        </w:rPr>
        <w:t xml:space="preserve">вік матері дитини, тим раніше у дитини </w:t>
      </w:r>
      <w:r w:rsidR="0012171B" w:rsidRPr="00520861">
        <w:rPr>
          <w:rFonts w:eastAsia="Calibri"/>
          <w:sz w:val="28"/>
          <w:szCs w:val="28"/>
          <w:lang w:eastAsia="en-US"/>
        </w:rPr>
        <w:t>прорізуються тимчасові зуби.</w:t>
      </w:r>
    </w:p>
    <w:p w14:paraId="03947BC5" w14:textId="77777777" w:rsidR="00A136C0" w:rsidRPr="00520861" w:rsidRDefault="00CC4A6A"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Вплив </w:t>
      </w:r>
      <w:r w:rsidR="005B2BAD" w:rsidRPr="00520861">
        <w:rPr>
          <w:rFonts w:eastAsia="Calibri"/>
          <w:sz w:val="28"/>
          <w:szCs w:val="28"/>
          <w:lang w:eastAsia="en-US"/>
        </w:rPr>
        <w:t>раціону харчу</w:t>
      </w:r>
      <w:r w:rsidR="003C5AE9" w:rsidRPr="00520861">
        <w:rPr>
          <w:rFonts w:eastAsia="Calibri"/>
          <w:sz w:val="28"/>
          <w:szCs w:val="28"/>
          <w:lang w:eastAsia="en-US"/>
        </w:rPr>
        <w:t xml:space="preserve">вання, перенесених </w:t>
      </w:r>
      <w:r w:rsidR="005B2BAD" w:rsidRPr="00520861">
        <w:rPr>
          <w:rFonts w:eastAsia="Calibri"/>
          <w:sz w:val="28"/>
          <w:szCs w:val="28"/>
          <w:lang w:eastAsia="en-US"/>
        </w:rPr>
        <w:t xml:space="preserve">захворювань </w:t>
      </w:r>
      <w:r w:rsidR="003C5AE9" w:rsidRPr="00520861">
        <w:rPr>
          <w:rFonts w:eastAsia="Calibri"/>
          <w:sz w:val="28"/>
          <w:szCs w:val="28"/>
          <w:lang w:eastAsia="en-US"/>
        </w:rPr>
        <w:t xml:space="preserve">та цілої низки інших </w:t>
      </w:r>
      <w:r w:rsidR="00744246" w:rsidRPr="00520861">
        <w:rPr>
          <w:rFonts w:eastAsia="Calibri"/>
          <w:sz w:val="28"/>
          <w:szCs w:val="28"/>
          <w:lang w:eastAsia="en-US"/>
        </w:rPr>
        <w:br/>
      </w:r>
      <w:r w:rsidR="003C5AE9" w:rsidRPr="00520861">
        <w:rPr>
          <w:rFonts w:eastAsia="Calibri"/>
          <w:sz w:val="28"/>
          <w:szCs w:val="28"/>
          <w:lang w:eastAsia="en-US"/>
        </w:rPr>
        <w:t>факторів на затримку прорізув</w:t>
      </w:r>
      <w:r w:rsidR="001E05B0" w:rsidRPr="00520861">
        <w:rPr>
          <w:rFonts w:eastAsia="Calibri"/>
          <w:sz w:val="28"/>
          <w:szCs w:val="28"/>
          <w:lang w:eastAsia="en-US"/>
        </w:rPr>
        <w:t>а</w:t>
      </w:r>
      <w:r w:rsidR="003C5AE9" w:rsidRPr="00520861">
        <w:rPr>
          <w:rFonts w:eastAsia="Calibri"/>
          <w:sz w:val="28"/>
          <w:szCs w:val="28"/>
          <w:lang w:eastAsia="en-US"/>
        </w:rPr>
        <w:t xml:space="preserve">ння зубів в узагальненому вигляді </w:t>
      </w:r>
      <w:r w:rsidRPr="00520861">
        <w:rPr>
          <w:rFonts w:eastAsia="Calibri"/>
          <w:sz w:val="28"/>
          <w:szCs w:val="28"/>
          <w:lang w:eastAsia="en-US"/>
        </w:rPr>
        <w:t>викладено у праці</w:t>
      </w:r>
      <w:r w:rsidR="003C5AE9" w:rsidRPr="00520861">
        <w:rPr>
          <w:sz w:val="28"/>
          <w:szCs w:val="28"/>
        </w:rPr>
        <w:t xml:space="preserve"> </w:t>
      </w:r>
      <w:proofErr w:type="spellStart"/>
      <w:r w:rsidR="003C5AE9" w:rsidRPr="00520861">
        <w:rPr>
          <w:sz w:val="28"/>
          <w:szCs w:val="28"/>
        </w:rPr>
        <w:t>Ra</w:t>
      </w:r>
      <w:r w:rsidR="00985ED4" w:rsidRPr="00520861">
        <w:rPr>
          <w:sz w:val="28"/>
          <w:szCs w:val="28"/>
        </w:rPr>
        <w:t>ducanu</w:t>
      </w:r>
      <w:proofErr w:type="spellEnd"/>
      <w:r w:rsidR="00985ED4" w:rsidRPr="00520861">
        <w:rPr>
          <w:sz w:val="28"/>
          <w:szCs w:val="28"/>
        </w:rPr>
        <w:t> </w:t>
      </w:r>
      <w:r w:rsidR="003C5AE9" w:rsidRPr="00520861">
        <w:rPr>
          <w:sz w:val="28"/>
          <w:szCs w:val="28"/>
        </w:rPr>
        <w:t>A</w:t>
      </w:r>
      <w:r w:rsidR="00D753FC" w:rsidRPr="00520861">
        <w:rPr>
          <w:sz w:val="28"/>
          <w:szCs w:val="28"/>
        </w:rPr>
        <w:t>.</w:t>
      </w:r>
      <w:r w:rsidR="0012171B" w:rsidRPr="00520861">
        <w:rPr>
          <w:sz w:val="28"/>
          <w:szCs w:val="28"/>
        </w:rPr>
        <w:t xml:space="preserve"> </w:t>
      </w:r>
      <w:r w:rsidR="003C5AE9" w:rsidRPr="00520861">
        <w:rPr>
          <w:sz w:val="28"/>
          <w:szCs w:val="28"/>
        </w:rPr>
        <w:t>M</w:t>
      </w:r>
      <w:r w:rsidR="00D753FC" w:rsidRPr="00520861">
        <w:rPr>
          <w:sz w:val="28"/>
          <w:szCs w:val="28"/>
        </w:rPr>
        <w:t>.</w:t>
      </w:r>
      <w:r w:rsidR="003C5AE9" w:rsidRPr="00520861">
        <w:rPr>
          <w:sz w:val="28"/>
          <w:szCs w:val="28"/>
        </w:rPr>
        <w:t xml:space="preserve"> та співавторів</w:t>
      </w:r>
      <w:r w:rsidRPr="00520861">
        <w:rPr>
          <w:rFonts w:eastAsia="Calibri"/>
          <w:sz w:val="28"/>
          <w:szCs w:val="28"/>
          <w:lang w:eastAsia="en-US"/>
        </w:rPr>
        <w:t xml:space="preserve"> </w:t>
      </w:r>
      <w:r w:rsidR="005B2BAD" w:rsidRPr="00520861">
        <w:rPr>
          <w:rFonts w:eastAsia="Calibri"/>
          <w:sz w:val="28"/>
          <w:szCs w:val="28"/>
          <w:lang w:eastAsia="en-US"/>
        </w:rPr>
        <w:t>[</w:t>
      </w:r>
      <w:r w:rsidR="00455F50" w:rsidRPr="00520861">
        <w:rPr>
          <w:rFonts w:eastAsia="Calibri"/>
          <w:sz w:val="28"/>
          <w:szCs w:val="28"/>
          <w:lang w:eastAsia="en-US"/>
        </w:rPr>
        <w:t>475</w:t>
      </w:r>
      <w:r w:rsidR="00544AD2" w:rsidRPr="00520861">
        <w:rPr>
          <w:rFonts w:eastAsia="Calibri"/>
          <w:sz w:val="28"/>
          <w:szCs w:val="28"/>
          <w:lang w:eastAsia="en-US"/>
        </w:rPr>
        <w:t>].</w:t>
      </w:r>
      <w:r w:rsidR="009676B2" w:rsidRPr="00520861">
        <w:rPr>
          <w:rFonts w:eastAsia="Calibri"/>
          <w:sz w:val="28"/>
          <w:szCs w:val="28"/>
          <w:lang w:eastAsia="en-US"/>
        </w:rPr>
        <w:t xml:space="preserve"> </w:t>
      </w:r>
    </w:p>
    <w:p w14:paraId="725CD515" w14:textId="77777777" w:rsidR="005B2BAD" w:rsidRPr="00520861" w:rsidRDefault="005B2BAD"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Наявна значна кількість досліджень впливу на стоматологічне здоров’я патологічного перебігу вагітності [</w:t>
      </w:r>
      <w:r w:rsidR="004A3BA9" w:rsidRPr="00520861">
        <w:rPr>
          <w:rFonts w:eastAsia="Calibri"/>
          <w:sz w:val="28"/>
          <w:szCs w:val="28"/>
          <w:lang w:eastAsia="en-US"/>
        </w:rPr>
        <w:t>354</w:t>
      </w:r>
      <w:r w:rsidRPr="00520861">
        <w:rPr>
          <w:rFonts w:eastAsia="Calibri"/>
          <w:sz w:val="28"/>
          <w:szCs w:val="28"/>
          <w:lang w:eastAsia="en-US"/>
        </w:rPr>
        <w:t xml:space="preserve">]. </w:t>
      </w:r>
      <w:r w:rsidR="00D753FC" w:rsidRPr="00520861">
        <w:rPr>
          <w:rFonts w:eastAsia="Calibri"/>
          <w:sz w:val="28"/>
          <w:szCs w:val="28"/>
          <w:lang w:eastAsia="en-US"/>
        </w:rPr>
        <w:t>Зокрема, у</w:t>
      </w:r>
      <w:r w:rsidR="00A136C0" w:rsidRPr="00520861">
        <w:rPr>
          <w:rFonts w:eastAsia="Calibri"/>
          <w:sz w:val="28"/>
          <w:szCs w:val="28"/>
          <w:lang w:eastAsia="en-US"/>
        </w:rPr>
        <w:t xml:space="preserve"> роботі </w:t>
      </w:r>
      <w:proofErr w:type="spellStart"/>
      <w:r w:rsidR="002556D9" w:rsidRPr="00520861">
        <w:rPr>
          <w:rFonts w:eastAsia="Calibri"/>
          <w:sz w:val="28"/>
          <w:szCs w:val="28"/>
          <w:lang w:eastAsia="en-US"/>
        </w:rPr>
        <w:t>Кузьміної</w:t>
      </w:r>
      <w:proofErr w:type="spellEnd"/>
      <w:r w:rsidR="008D5065" w:rsidRPr="00520861">
        <w:rPr>
          <w:rFonts w:eastAsia="Calibri"/>
          <w:sz w:val="28"/>
          <w:szCs w:val="28"/>
          <w:lang w:eastAsia="en-US"/>
        </w:rPr>
        <w:t> </w:t>
      </w:r>
      <w:r w:rsidR="00985ED4" w:rsidRPr="00520861">
        <w:rPr>
          <w:rFonts w:eastAsia="Calibri"/>
          <w:sz w:val="28"/>
          <w:szCs w:val="28"/>
          <w:lang w:eastAsia="en-US"/>
        </w:rPr>
        <w:t>В.</w:t>
      </w:r>
      <w:r w:rsidR="00366F3C" w:rsidRPr="00520861">
        <w:rPr>
          <w:rFonts w:eastAsia="Calibri"/>
          <w:sz w:val="28"/>
          <w:szCs w:val="28"/>
          <w:lang w:eastAsia="en-US"/>
        </w:rPr>
        <w:t> </w:t>
      </w:r>
      <w:r w:rsidR="002556D9" w:rsidRPr="00520861">
        <w:rPr>
          <w:rFonts w:eastAsia="Calibri"/>
          <w:sz w:val="28"/>
          <w:szCs w:val="28"/>
          <w:lang w:eastAsia="en-US"/>
        </w:rPr>
        <w:t xml:space="preserve">А. </w:t>
      </w:r>
      <w:r w:rsidR="00A9269E" w:rsidRPr="00520861">
        <w:rPr>
          <w:rFonts w:eastAsia="Calibri"/>
          <w:sz w:val="28"/>
          <w:szCs w:val="28"/>
          <w:lang w:eastAsia="en-US"/>
        </w:rPr>
        <w:t>[</w:t>
      </w:r>
      <w:r w:rsidR="002315CF" w:rsidRPr="00520861">
        <w:rPr>
          <w:rFonts w:eastAsia="Calibri"/>
          <w:sz w:val="28"/>
          <w:szCs w:val="28"/>
          <w:lang w:eastAsia="en-US"/>
        </w:rPr>
        <w:t>121</w:t>
      </w:r>
      <w:r w:rsidR="00A9269E" w:rsidRPr="00520861">
        <w:rPr>
          <w:rFonts w:eastAsia="Calibri"/>
          <w:sz w:val="28"/>
          <w:szCs w:val="28"/>
          <w:lang w:eastAsia="en-US"/>
        </w:rPr>
        <w:t xml:space="preserve">] </w:t>
      </w:r>
      <w:r w:rsidR="00A136C0" w:rsidRPr="00520861">
        <w:rPr>
          <w:rFonts w:eastAsia="Calibri"/>
          <w:sz w:val="28"/>
          <w:szCs w:val="28"/>
          <w:lang w:eastAsia="en-US"/>
        </w:rPr>
        <w:t xml:space="preserve">доведено, що </w:t>
      </w:r>
      <w:r w:rsidR="002556D9" w:rsidRPr="00520861">
        <w:rPr>
          <w:rFonts w:eastAsia="Calibri"/>
          <w:sz w:val="28"/>
          <w:szCs w:val="28"/>
          <w:lang w:eastAsia="en-US"/>
        </w:rPr>
        <w:t xml:space="preserve">у ВУ періоді дітей, які народилися у матерів </w:t>
      </w:r>
      <w:r w:rsidR="002556D9" w:rsidRPr="00520861">
        <w:rPr>
          <w:sz w:val="28"/>
          <w:szCs w:val="28"/>
        </w:rPr>
        <w:t xml:space="preserve">із конституційно-аліментарним </w:t>
      </w:r>
      <w:r w:rsidR="00744246" w:rsidRPr="00520861">
        <w:rPr>
          <w:sz w:val="28"/>
          <w:szCs w:val="28"/>
        </w:rPr>
        <w:br/>
      </w:r>
      <w:r w:rsidR="002556D9" w:rsidRPr="00520861">
        <w:rPr>
          <w:sz w:val="28"/>
          <w:szCs w:val="28"/>
        </w:rPr>
        <w:t>типом ожиріння</w:t>
      </w:r>
      <w:r w:rsidR="00985ED4" w:rsidRPr="00520861">
        <w:rPr>
          <w:sz w:val="28"/>
          <w:szCs w:val="28"/>
        </w:rPr>
        <w:t>,</w:t>
      </w:r>
      <w:r w:rsidR="002556D9" w:rsidRPr="00520861">
        <w:rPr>
          <w:sz w:val="28"/>
          <w:szCs w:val="28"/>
        </w:rPr>
        <w:t xml:space="preserve"> </w:t>
      </w:r>
      <w:r w:rsidR="002556D9" w:rsidRPr="00520861">
        <w:rPr>
          <w:rFonts w:eastAsia="Calibri"/>
          <w:sz w:val="28"/>
          <w:szCs w:val="28"/>
          <w:lang w:eastAsia="en-US"/>
        </w:rPr>
        <w:t xml:space="preserve">на закладку та формування тимчасових зубів впливають </w:t>
      </w:r>
      <w:r w:rsidR="00281A77" w:rsidRPr="00520861">
        <w:rPr>
          <w:rFonts w:eastAsia="Calibri"/>
          <w:sz w:val="28"/>
          <w:szCs w:val="28"/>
          <w:lang w:eastAsia="en-US"/>
        </w:rPr>
        <w:br/>
      </w:r>
      <w:r w:rsidR="00A9269E" w:rsidRPr="00520861">
        <w:rPr>
          <w:rFonts w:eastAsia="Calibri"/>
          <w:sz w:val="28"/>
          <w:szCs w:val="28"/>
          <w:lang w:eastAsia="en-US"/>
        </w:rPr>
        <w:t xml:space="preserve">особливості перебігу вагітності, </w:t>
      </w:r>
      <w:r w:rsidR="002556D9" w:rsidRPr="00520861">
        <w:rPr>
          <w:rFonts w:eastAsia="Calibri"/>
          <w:sz w:val="28"/>
          <w:szCs w:val="28"/>
          <w:lang w:eastAsia="en-US"/>
        </w:rPr>
        <w:t>хвороби жінок та їх раціон.</w:t>
      </w:r>
    </w:p>
    <w:p w14:paraId="6E678BE2" w14:textId="77777777" w:rsidR="005B2BAD" w:rsidRPr="00520861" w:rsidRDefault="005B2BAD" w:rsidP="00292D2E">
      <w:pPr>
        <w:widowControl w:val="0"/>
        <w:spacing w:line="360" w:lineRule="auto"/>
        <w:ind w:firstLine="709"/>
        <w:jc w:val="both"/>
        <w:rPr>
          <w:sz w:val="28"/>
          <w:szCs w:val="28"/>
        </w:rPr>
      </w:pPr>
      <w:r w:rsidRPr="00520861">
        <w:rPr>
          <w:rFonts w:eastAsia="Calibri"/>
          <w:sz w:val="28"/>
          <w:szCs w:val="28"/>
          <w:lang w:eastAsia="en-US"/>
        </w:rPr>
        <w:t>Наслідки перенесених дитиною захворювань та її харчові вподобання також позначаються на процесах формування й прорізування зубів [</w:t>
      </w:r>
      <w:r w:rsidR="00EE04A8" w:rsidRPr="00520861">
        <w:rPr>
          <w:rFonts w:eastAsia="Calibri"/>
          <w:sz w:val="28"/>
          <w:szCs w:val="28"/>
          <w:lang w:eastAsia="en-US"/>
        </w:rPr>
        <w:t>258, 475</w:t>
      </w:r>
      <w:r w:rsidRPr="00520861">
        <w:rPr>
          <w:rFonts w:eastAsia="Calibri"/>
          <w:sz w:val="28"/>
          <w:szCs w:val="28"/>
          <w:lang w:eastAsia="en-US"/>
        </w:rPr>
        <w:t>]. В осереднених значеннях термінів прорізування зубів є статеві, расові й регіональні відмінності [</w:t>
      </w:r>
      <w:r w:rsidR="0058581F" w:rsidRPr="00520861">
        <w:rPr>
          <w:rFonts w:eastAsia="Calibri"/>
          <w:sz w:val="28"/>
          <w:szCs w:val="28"/>
          <w:lang w:eastAsia="en-US"/>
        </w:rPr>
        <w:t>143</w:t>
      </w:r>
      <w:r w:rsidR="0043029B" w:rsidRPr="00520861">
        <w:rPr>
          <w:rFonts w:eastAsia="Calibri"/>
          <w:sz w:val="28"/>
          <w:szCs w:val="28"/>
          <w:lang w:eastAsia="en-US"/>
        </w:rPr>
        <w:t xml:space="preserve">]. </w:t>
      </w:r>
      <w:r w:rsidR="009676B2" w:rsidRPr="00520861">
        <w:rPr>
          <w:rFonts w:eastAsia="Calibri"/>
          <w:sz w:val="28"/>
          <w:szCs w:val="28"/>
          <w:lang w:eastAsia="en-US"/>
        </w:rPr>
        <w:t>У роботі</w:t>
      </w:r>
      <w:r w:rsidR="00174453" w:rsidRPr="00520861">
        <w:rPr>
          <w:rFonts w:eastAsia="Calibri"/>
          <w:sz w:val="28"/>
          <w:szCs w:val="28"/>
          <w:lang w:eastAsia="en-US"/>
        </w:rPr>
        <w:t xml:space="preserve"> </w:t>
      </w:r>
      <w:proofErr w:type="spellStart"/>
      <w:r w:rsidR="009676B2" w:rsidRPr="00520861">
        <w:rPr>
          <w:rFonts w:eastAsia="Calibri"/>
          <w:sz w:val="28"/>
          <w:szCs w:val="28"/>
          <w:lang w:eastAsia="en-US"/>
        </w:rPr>
        <w:t>Sajjadian</w:t>
      </w:r>
      <w:proofErr w:type="spellEnd"/>
      <w:r w:rsidR="009676B2" w:rsidRPr="00520861">
        <w:rPr>
          <w:rFonts w:eastAsia="Calibri"/>
          <w:sz w:val="28"/>
          <w:szCs w:val="28"/>
          <w:lang w:eastAsia="en-US"/>
        </w:rPr>
        <w:t xml:space="preserve"> N</w:t>
      </w:r>
      <w:r w:rsidR="008D5065" w:rsidRPr="00520861">
        <w:rPr>
          <w:rFonts w:eastAsia="Calibri"/>
          <w:sz w:val="28"/>
          <w:szCs w:val="28"/>
          <w:lang w:eastAsia="en-US"/>
        </w:rPr>
        <w:t>.</w:t>
      </w:r>
      <w:r w:rsidR="009676B2" w:rsidRPr="00520861">
        <w:rPr>
          <w:rFonts w:eastAsia="Calibri"/>
          <w:sz w:val="28"/>
          <w:szCs w:val="28"/>
          <w:lang w:eastAsia="en-US"/>
        </w:rPr>
        <w:t xml:space="preserve"> та співавторів [</w:t>
      </w:r>
      <w:r w:rsidR="0058581F" w:rsidRPr="00520861">
        <w:rPr>
          <w:rFonts w:eastAsia="Calibri"/>
          <w:sz w:val="28"/>
          <w:szCs w:val="28"/>
          <w:lang w:eastAsia="en-US"/>
        </w:rPr>
        <w:t>490</w:t>
      </w:r>
      <w:r w:rsidR="009676B2" w:rsidRPr="00520861">
        <w:rPr>
          <w:rFonts w:eastAsia="Calibri"/>
          <w:sz w:val="28"/>
          <w:szCs w:val="28"/>
          <w:lang w:eastAsia="en-US"/>
        </w:rPr>
        <w:t>] доведено, що затримка прорізування зубів пов</w:t>
      </w:r>
      <w:r w:rsidR="00423BFE" w:rsidRPr="00520861">
        <w:rPr>
          <w:rFonts w:eastAsia="Calibri"/>
          <w:sz w:val="28"/>
          <w:szCs w:val="28"/>
          <w:lang w:eastAsia="en-US"/>
        </w:rPr>
        <w:t>’</w:t>
      </w:r>
      <w:r w:rsidR="009676B2" w:rsidRPr="00520861">
        <w:rPr>
          <w:rFonts w:eastAsia="Calibri"/>
          <w:sz w:val="28"/>
          <w:szCs w:val="28"/>
          <w:lang w:eastAsia="en-US"/>
        </w:rPr>
        <w:t xml:space="preserve">язана з більш низькою масою тіла дитини при народженні. </w:t>
      </w:r>
      <w:r w:rsidR="0043029B" w:rsidRPr="00520861">
        <w:rPr>
          <w:rFonts w:eastAsia="Calibri"/>
          <w:sz w:val="28"/>
          <w:szCs w:val="28"/>
          <w:lang w:eastAsia="en-US"/>
        </w:rPr>
        <w:t xml:space="preserve">Існують публікації про </w:t>
      </w:r>
      <w:r w:rsidRPr="00520861">
        <w:rPr>
          <w:rFonts w:eastAsia="Calibri"/>
          <w:sz w:val="28"/>
          <w:szCs w:val="28"/>
          <w:lang w:eastAsia="en-US"/>
        </w:rPr>
        <w:t>зв’язок швидкості набору маси тіла в перші місяці життя та процесів прорізування тимчасових зубів [</w:t>
      </w:r>
      <w:r w:rsidR="0058581F" w:rsidRPr="00520861">
        <w:rPr>
          <w:rFonts w:eastAsia="Calibri"/>
          <w:sz w:val="28"/>
          <w:szCs w:val="28"/>
          <w:lang w:eastAsia="en-US"/>
        </w:rPr>
        <w:t>545</w:t>
      </w:r>
      <w:r w:rsidRPr="00520861">
        <w:rPr>
          <w:rFonts w:eastAsia="Calibri"/>
          <w:sz w:val="28"/>
          <w:szCs w:val="28"/>
          <w:lang w:eastAsia="en-US"/>
        </w:rPr>
        <w:t>]</w:t>
      </w:r>
      <w:r w:rsidR="00B625EC" w:rsidRPr="00520861">
        <w:rPr>
          <w:rFonts w:eastAsia="Calibri"/>
          <w:sz w:val="28"/>
          <w:szCs w:val="28"/>
          <w:lang w:eastAsia="en-US"/>
        </w:rPr>
        <w:t xml:space="preserve">, де автори стверджують, що </w:t>
      </w:r>
      <w:r w:rsidR="0043029B" w:rsidRPr="00520861">
        <w:rPr>
          <w:rFonts w:eastAsia="Calibri"/>
          <w:sz w:val="28"/>
          <w:szCs w:val="28"/>
          <w:lang w:eastAsia="en-US"/>
        </w:rPr>
        <w:t>передчасне прорізування зубів пов’язане з</w:t>
      </w:r>
      <w:r w:rsidR="008D5065" w:rsidRPr="00520861">
        <w:rPr>
          <w:rFonts w:eastAsia="Calibri"/>
          <w:sz w:val="28"/>
          <w:szCs w:val="28"/>
          <w:lang w:eastAsia="en-US"/>
        </w:rPr>
        <w:t>і</w:t>
      </w:r>
      <w:r w:rsidR="0043029B" w:rsidRPr="00520861">
        <w:rPr>
          <w:rFonts w:eastAsia="Calibri"/>
          <w:sz w:val="28"/>
          <w:szCs w:val="28"/>
          <w:lang w:eastAsia="en-US"/>
        </w:rPr>
        <w:t xml:space="preserve"> збільшенням маси тіла у перші три місяці життя</w:t>
      </w:r>
      <w:r w:rsidRPr="00520861">
        <w:rPr>
          <w:rFonts w:eastAsia="Calibri"/>
          <w:sz w:val="28"/>
          <w:szCs w:val="28"/>
          <w:lang w:eastAsia="en-US"/>
        </w:rPr>
        <w:t>.</w:t>
      </w:r>
    </w:p>
    <w:p w14:paraId="156E446E" w14:textId="77777777" w:rsidR="005B2BAD" w:rsidRPr="00520861" w:rsidRDefault="005B2BAD" w:rsidP="00292D2E">
      <w:pPr>
        <w:widowControl w:val="0"/>
        <w:autoSpaceDE w:val="0"/>
        <w:autoSpaceDN w:val="0"/>
        <w:adjustRightInd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Протягом першого року життя дитини важливим чинником, який має вплив </w:t>
      </w:r>
      <w:r w:rsidR="00790AF8" w:rsidRPr="00520861">
        <w:rPr>
          <w:rFonts w:eastAsia="Calibri"/>
          <w:sz w:val="28"/>
          <w:szCs w:val="28"/>
          <w:lang w:eastAsia="en-US"/>
        </w:rPr>
        <w:br/>
      </w:r>
      <w:r w:rsidRPr="00520861">
        <w:rPr>
          <w:rFonts w:eastAsia="Calibri"/>
          <w:sz w:val="28"/>
          <w:szCs w:val="28"/>
          <w:lang w:eastAsia="en-US"/>
        </w:rPr>
        <w:t xml:space="preserve">на прорізування тимчасових зубів, є грудне, штучне або змішане вигодовування </w:t>
      </w:r>
      <w:r w:rsidR="00790AF8" w:rsidRPr="00520861">
        <w:rPr>
          <w:rFonts w:eastAsia="Calibri"/>
          <w:sz w:val="28"/>
          <w:szCs w:val="28"/>
          <w:lang w:eastAsia="en-US"/>
        </w:rPr>
        <w:br/>
      </w:r>
      <w:r w:rsidRPr="00520861">
        <w:rPr>
          <w:rFonts w:eastAsia="Calibri"/>
          <w:sz w:val="28"/>
          <w:szCs w:val="28"/>
          <w:lang w:eastAsia="en-US"/>
        </w:rPr>
        <w:t>(зокрема, важлива наявність або відсутність жувального навантаження) [</w:t>
      </w:r>
      <w:r w:rsidR="00FF56A4" w:rsidRPr="00520861">
        <w:rPr>
          <w:rFonts w:eastAsia="Calibri"/>
          <w:sz w:val="28"/>
          <w:szCs w:val="28"/>
          <w:lang w:eastAsia="en-US"/>
        </w:rPr>
        <w:t>29</w:t>
      </w:r>
      <w:r w:rsidRPr="00520861">
        <w:rPr>
          <w:rFonts w:eastAsia="Calibri"/>
          <w:sz w:val="28"/>
          <w:szCs w:val="28"/>
          <w:lang w:eastAsia="en-US"/>
        </w:rPr>
        <w:t xml:space="preserve">]. </w:t>
      </w:r>
    </w:p>
    <w:p w14:paraId="4243F605" w14:textId="77777777" w:rsidR="005B2BAD" w:rsidRPr="00520861" w:rsidRDefault="005B2BAD" w:rsidP="00292D2E">
      <w:pPr>
        <w:widowControl w:val="0"/>
        <w:shd w:val="clear" w:color="auto" w:fill="FFFFFF"/>
        <w:spacing w:line="360" w:lineRule="auto"/>
        <w:ind w:firstLine="720"/>
        <w:jc w:val="both"/>
        <w:rPr>
          <w:sz w:val="28"/>
          <w:szCs w:val="28"/>
        </w:rPr>
      </w:pPr>
      <w:r w:rsidRPr="00520861">
        <w:rPr>
          <w:sz w:val="28"/>
          <w:szCs w:val="28"/>
        </w:rPr>
        <w:t xml:space="preserve">Відхилення від загальноприйнятих норм прорізування тимчасових та постійних зубів як у бік передчасного прорізування, так і в бік його затримки є досить поширеним явищем через </w:t>
      </w:r>
      <w:proofErr w:type="spellStart"/>
      <w:r w:rsidRPr="00520861">
        <w:rPr>
          <w:sz w:val="28"/>
          <w:szCs w:val="28"/>
        </w:rPr>
        <w:t>багатоаспектність</w:t>
      </w:r>
      <w:proofErr w:type="spellEnd"/>
      <w:r w:rsidRPr="00520861">
        <w:rPr>
          <w:sz w:val="28"/>
          <w:szCs w:val="28"/>
        </w:rPr>
        <w:t xml:space="preserve"> чинників [</w:t>
      </w:r>
      <w:r w:rsidR="00A2350D" w:rsidRPr="00520861">
        <w:rPr>
          <w:sz w:val="28"/>
          <w:szCs w:val="28"/>
        </w:rPr>
        <w:t>465, 545</w:t>
      </w:r>
      <w:r w:rsidR="00380F35" w:rsidRPr="00520861">
        <w:rPr>
          <w:sz w:val="28"/>
          <w:szCs w:val="28"/>
        </w:rPr>
        <w:t>]</w:t>
      </w:r>
      <w:r w:rsidRPr="00520861">
        <w:rPr>
          <w:sz w:val="28"/>
          <w:szCs w:val="28"/>
        </w:rPr>
        <w:t>, що впливають на процеси прорізування.</w:t>
      </w:r>
      <w:r w:rsidRPr="00520861">
        <w:rPr>
          <w:rFonts w:eastAsia="Calibri"/>
          <w:b/>
          <w:bCs/>
          <w:sz w:val="28"/>
          <w:szCs w:val="28"/>
          <w:lang w:eastAsia="en-US"/>
        </w:rPr>
        <w:t xml:space="preserve"> </w:t>
      </w:r>
      <w:r w:rsidRPr="00520861">
        <w:rPr>
          <w:sz w:val="28"/>
          <w:szCs w:val="28"/>
        </w:rPr>
        <w:t xml:space="preserve">Розрізняють біологічну й хронологічну затримку прорізування зубів. Біологічна затримка відзначається, якщо прорізування не відбулося за наявності 2/3 або більше сформованого кореня зуба. Ступінь сформованості кореневої системи зубів визначають під час рентгенологічного обстеження, проте це не є доцільним для </w:t>
      </w:r>
      <w:r w:rsidRPr="00520861">
        <w:rPr>
          <w:sz w:val="28"/>
          <w:szCs w:val="28"/>
        </w:rPr>
        <w:lastRenderedPageBreak/>
        <w:t>обстеження дітей перших років жит</w:t>
      </w:r>
      <w:r w:rsidR="003B462D" w:rsidRPr="00520861">
        <w:rPr>
          <w:sz w:val="28"/>
          <w:szCs w:val="28"/>
        </w:rPr>
        <w:t>тя</w:t>
      </w:r>
      <w:r w:rsidRPr="00520861">
        <w:rPr>
          <w:rFonts w:eastAsia="Calibri"/>
          <w:sz w:val="28"/>
          <w:szCs w:val="28"/>
          <w:lang w:eastAsia="en-US"/>
        </w:rPr>
        <w:t>.</w:t>
      </w:r>
      <w:r w:rsidRPr="00520861">
        <w:rPr>
          <w:sz w:val="28"/>
          <w:szCs w:val="28"/>
        </w:rPr>
        <w:t xml:space="preserve"> Для зубів тимчасового прикусу застосовують хронологічні норми. Хронологічною затримкою прорізування тимчасових зубів </w:t>
      </w:r>
      <w:r w:rsidR="00744246" w:rsidRPr="00520861">
        <w:rPr>
          <w:sz w:val="28"/>
          <w:szCs w:val="28"/>
        </w:rPr>
        <w:br/>
      </w:r>
      <w:r w:rsidRPr="00520861">
        <w:rPr>
          <w:sz w:val="28"/>
          <w:szCs w:val="28"/>
        </w:rPr>
        <w:t>уважають прорізування, що відбулося пізніше за 2×SD (2 стандартних відхилення) від регіональних норм прорізування зубів [</w:t>
      </w:r>
      <w:r w:rsidR="005627AC" w:rsidRPr="00520861">
        <w:rPr>
          <w:sz w:val="28"/>
          <w:szCs w:val="28"/>
        </w:rPr>
        <w:t>475</w:t>
      </w:r>
      <w:r w:rsidRPr="00520861">
        <w:rPr>
          <w:sz w:val="28"/>
          <w:szCs w:val="28"/>
        </w:rPr>
        <w:t>].</w:t>
      </w:r>
    </w:p>
    <w:p w14:paraId="4441F149" w14:textId="77777777" w:rsidR="005B2BAD" w:rsidRPr="00520861" w:rsidRDefault="005B2BAD"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літературних джерелах відомості про терміни прорізування тимчасових зубів у дітей, народжених з великою для </w:t>
      </w:r>
      <w:proofErr w:type="spellStart"/>
      <w:r w:rsidRPr="00520861">
        <w:rPr>
          <w:rFonts w:eastAsia="Calibri"/>
          <w:sz w:val="28"/>
          <w:szCs w:val="28"/>
          <w:lang w:eastAsia="en-US"/>
        </w:rPr>
        <w:t>гестаційного</w:t>
      </w:r>
      <w:proofErr w:type="spellEnd"/>
      <w:r w:rsidRPr="00520861">
        <w:rPr>
          <w:rFonts w:eastAsia="Calibri"/>
          <w:sz w:val="28"/>
          <w:szCs w:val="28"/>
          <w:lang w:eastAsia="en-US"/>
        </w:rPr>
        <w:t xml:space="preserve"> віку масою тіла, украй нечисле</w:t>
      </w:r>
      <w:r w:rsidR="00B82412" w:rsidRPr="00520861">
        <w:rPr>
          <w:rFonts w:eastAsia="Calibri"/>
          <w:sz w:val="28"/>
          <w:szCs w:val="28"/>
          <w:lang w:eastAsia="en-US"/>
        </w:rPr>
        <w:t>нні й су</w:t>
      </w:r>
      <w:r w:rsidR="004E24DB" w:rsidRPr="00520861">
        <w:rPr>
          <w:rFonts w:eastAsia="Calibri"/>
          <w:sz w:val="28"/>
          <w:szCs w:val="28"/>
          <w:lang w:eastAsia="en-US"/>
        </w:rPr>
        <w:t xml:space="preserve">перечливі </w:t>
      </w:r>
      <w:r w:rsidR="00987172" w:rsidRPr="00520861">
        <w:rPr>
          <w:rFonts w:eastAsia="Calibri"/>
          <w:sz w:val="28"/>
          <w:szCs w:val="28"/>
          <w:lang w:eastAsia="en-US"/>
        </w:rPr>
        <w:t>(</w:t>
      </w:r>
      <w:r w:rsidR="00B615A9" w:rsidRPr="00520861">
        <w:rPr>
          <w:rFonts w:eastAsia="Calibri"/>
          <w:sz w:val="28"/>
          <w:szCs w:val="28"/>
          <w:lang w:eastAsia="en-US"/>
        </w:rPr>
        <w:t>див., наприклад</w:t>
      </w:r>
      <w:r w:rsidR="00987172" w:rsidRPr="00520861">
        <w:rPr>
          <w:rFonts w:eastAsia="Calibri"/>
          <w:sz w:val="28"/>
          <w:szCs w:val="28"/>
          <w:lang w:eastAsia="en-US"/>
        </w:rPr>
        <w:t xml:space="preserve"> [</w:t>
      </w:r>
      <w:r w:rsidR="00836475" w:rsidRPr="00520861">
        <w:rPr>
          <w:rFonts w:eastAsia="Calibri"/>
          <w:sz w:val="28"/>
          <w:szCs w:val="28"/>
          <w:lang w:eastAsia="en-US"/>
        </w:rPr>
        <w:t>203</w:t>
      </w:r>
      <w:r w:rsidR="001F035D" w:rsidRPr="00520861">
        <w:rPr>
          <w:rFonts w:eastAsia="Calibri"/>
          <w:sz w:val="28"/>
          <w:szCs w:val="28"/>
          <w:lang w:eastAsia="en-US"/>
        </w:rPr>
        <w:t>,</w:t>
      </w:r>
      <w:r w:rsidR="00CD246A" w:rsidRPr="00520861">
        <w:rPr>
          <w:rFonts w:eastAsia="Calibri"/>
          <w:sz w:val="28"/>
          <w:szCs w:val="28"/>
          <w:lang w:eastAsia="en-US"/>
        </w:rPr>
        <w:t xml:space="preserve"> </w:t>
      </w:r>
      <w:r w:rsidR="00836475" w:rsidRPr="00520861">
        <w:rPr>
          <w:rFonts w:eastAsia="Calibri"/>
          <w:sz w:val="28"/>
          <w:szCs w:val="28"/>
          <w:lang w:eastAsia="en-US"/>
        </w:rPr>
        <w:t>381, 570</w:t>
      </w:r>
      <w:r w:rsidR="00987172" w:rsidRPr="00520861">
        <w:rPr>
          <w:rFonts w:eastAsia="Calibri"/>
          <w:sz w:val="28"/>
          <w:szCs w:val="28"/>
          <w:lang w:eastAsia="en-US"/>
        </w:rPr>
        <w:t>]</w:t>
      </w:r>
      <w:r w:rsidR="00B615A9" w:rsidRPr="00520861">
        <w:rPr>
          <w:rFonts w:eastAsia="Calibri"/>
          <w:sz w:val="28"/>
          <w:szCs w:val="28"/>
          <w:lang w:eastAsia="en-US"/>
        </w:rPr>
        <w:t>)</w:t>
      </w:r>
      <w:r w:rsidR="00987172" w:rsidRPr="00520861">
        <w:rPr>
          <w:rFonts w:eastAsia="Calibri"/>
          <w:sz w:val="28"/>
          <w:szCs w:val="28"/>
          <w:lang w:eastAsia="en-US"/>
        </w:rPr>
        <w:t>.</w:t>
      </w:r>
      <w:r w:rsidR="00046913" w:rsidRPr="00520861">
        <w:rPr>
          <w:rFonts w:eastAsia="Calibri"/>
          <w:sz w:val="28"/>
          <w:szCs w:val="28"/>
          <w:lang w:eastAsia="en-US"/>
        </w:rPr>
        <w:t xml:space="preserve"> </w:t>
      </w:r>
      <w:proofErr w:type="spellStart"/>
      <w:r w:rsidR="00046913" w:rsidRPr="00520861">
        <w:rPr>
          <w:rFonts w:eastAsia="Calibri"/>
          <w:sz w:val="28"/>
          <w:szCs w:val="28"/>
          <w:lang w:eastAsia="en-US"/>
        </w:rPr>
        <w:t>Хурасева</w:t>
      </w:r>
      <w:proofErr w:type="spellEnd"/>
      <w:r w:rsidR="00046913" w:rsidRPr="00520861">
        <w:rPr>
          <w:rFonts w:eastAsia="Calibri"/>
          <w:sz w:val="28"/>
          <w:szCs w:val="28"/>
          <w:lang w:eastAsia="en-US"/>
        </w:rPr>
        <w:t> </w:t>
      </w:r>
      <w:r w:rsidR="004E24DB" w:rsidRPr="00520861">
        <w:rPr>
          <w:rFonts w:eastAsia="Calibri"/>
          <w:sz w:val="28"/>
          <w:szCs w:val="28"/>
          <w:lang w:eastAsia="en-US"/>
        </w:rPr>
        <w:t>А.</w:t>
      </w:r>
      <w:r w:rsidR="00366F3C" w:rsidRPr="00520861">
        <w:rPr>
          <w:rFonts w:eastAsia="Calibri"/>
          <w:sz w:val="28"/>
          <w:szCs w:val="28"/>
          <w:lang w:eastAsia="en-US"/>
        </w:rPr>
        <w:t> </w:t>
      </w:r>
      <w:r w:rsidR="004E24DB" w:rsidRPr="00520861">
        <w:rPr>
          <w:rFonts w:eastAsia="Calibri"/>
          <w:sz w:val="28"/>
          <w:szCs w:val="28"/>
          <w:lang w:eastAsia="en-US"/>
        </w:rPr>
        <w:t xml:space="preserve">Б. </w:t>
      </w:r>
      <w:r w:rsidR="00B82412" w:rsidRPr="00520861">
        <w:rPr>
          <w:rFonts w:eastAsia="Calibri"/>
          <w:sz w:val="28"/>
          <w:szCs w:val="28"/>
          <w:lang w:eastAsia="en-US"/>
        </w:rPr>
        <w:t>[</w:t>
      </w:r>
      <w:r w:rsidR="00836475" w:rsidRPr="00520861">
        <w:rPr>
          <w:rFonts w:eastAsia="Calibri"/>
          <w:sz w:val="28"/>
          <w:szCs w:val="28"/>
          <w:lang w:eastAsia="en-US"/>
        </w:rPr>
        <w:t>203</w:t>
      </w:r>
      <w:r w:rsidRPr="00520861">
        <w:rPr>
          <w:rFonts w:eastAsia="Calibri"/>
          <w:sz w:val="28"/>
          <w:szCs w:val="28"/>
          <w:lang w:eastAsia="en-US"/>
        </w:rPr>
        <w:t xml:space="preserve">] зазначає </w:t>
      </w:r>
      <w:r w:rsidR="00791F60" w:rsidRPr="00520861">
        <w:rPr>
          <w:rFonts w:eastAsia="Calibri"/>
          <w:sz w:val="28"/>
          <w:szCs w:val="28"/>
          <w:lang w:eastAsia="en-US"/>
        </w:rPr>
        <w:br/>
      </w:r>
      <w:r w:rsidRPr="00520861">
        <w:rPr>
          <w:rFonts w:eastAsia="Calibri"/>
          <w:sz w:val="28"/>
          <w:szCs w:val="28"/>
          <w:lang w:eastAsia="en-US"/>
        </w:rPr>
        <w:t xml:space="preserve">затримку прорізування тимчасових зубів у дітей, народжених із </w:t>
      </w:r>
      <w:proofErr w:type="spellStart"/>
      <w:r w:rsidRPr="00520861">
        <w:rPr>
          <w:rFonts w:eastAsia="Calibri"/>
          <w:sz w:val="28"/>
          <w:szCs w:val="28"/>
          <w:lang w:eastAsia="en-US"/>
        </w:rPr>
        <w:t>макросомією</w:t>
      </w:r>
      <w:proofErr w:type="spellEnd"/>
      <w:r w:rsidR="005822F6" w:rsidRPr="00520861">
        <w:rPr>
          <w:rFonts w:eastAsia="Calibri"/>
          <w:sz w:val="28"/>
          <w:szCs w:val="28"/>
          <w:lang w:eastAsia="en-US"/>
        </w:rPr>
        <w:t>, у</w:t>
      </w:r>
      <w:r w:rsidR="008136FC" w:rsidRPr="00520861">
        <w:rPr>
          <w:rFonts w:eastAsia="Calibri"/>
          <w:sz w:val="28"/>
          <w:szCs w:val="28"/>
          <w:lang w:eastAsia="en-US"/>
        </w:rPr>
        <w:t xml:space="preserve"> той самий час</w:t>
      </w:r>
      <w:r w:rsidRPr="00520861">
        <w:rPr>
          <w:rFonts w:eastAsia="Calibri"/>
          <w:sz w:val="28"/>
          <w:szCs w:val="28"/>
          <w:lang w:eastAsia="en-US"/>
        </w:rPr>
        <w:t xml:space="preserve"> як інші дослідники </w:t>
      </w:r>
      <w:r w:rsidR="00CD246A" w:rsidRPr="00520861">
        <w:rPr>
          <w:rFonts w:eastAsia="Calibri"/>
          <w:sz w:val="28"/>
          <w:szCs w:val="28"/>
          <w:lang w:eastAsia="en-US"/>
        </w:rPr>
        <w:t>[</w:t>
      </w:r>
      <w:r w:rsidR="00836475" w:rsidRPr="00520861">
        <w:rPr>
          <w:sz w:val="28"/>
          <w:szCs w:val="28"/>
        </w:rPr>
        <w:t>570</w:t>
      </w:r>
      <w:r w:rsidR="00CD246A" w:rsidRPr="00520861">
        <w:rPr>
          <w:rFonts w:eastAsia="Calibri"/>
          <w:sz w:val="28"/>
          <w:szCs w:val="28"/>
          <w:lang w:eastAsia="en-US"/>
        </w:rPr>
        <w:t xml:space="preserve">] </w:t>
      </w:r>
      <w:r w:rsidRPr="00520861">
        <w:rPr>
          <w:rFonts w:eastAsia="Calibri"/>
          <w:sz w:val="28"/>
          <w:szCs w:val="28"/>
          <w:lang w:eastAsia="en-US"/>
        </w:rPr>
        <w:t>(наприклад</w:t>
      </w:r>
      <w:r w:rsidR="00CD246A" w:rsidRPr="00520861">
        <w:rPr>
          <w:rFonts w:eastAsia="Calibri"/>
          <w:sz w:val="28"/>
          <w:szCs w:val="28"/>
          <w:lang w:eastAsia="en-US"/>
        </w:rPr>
        <w:t>,</w:t>
      </w:r>
      <w:r w:rsidR="00CD246A" w:rsidRPr="00520861">
        <w:rPr>
          <w:sz w:val="28"/>
          <w:szCs w:val="28"/>
        </w:rPr>
        <w:t xml:space="preserve"> </w:t>
      </w:r>
      <w:proofErr w:type="spellStart"/>
      <w:r w:rsidR="00CD246A" w:rsidRPr="00520861">
        <w:rPr>
          <w:sz w:val="28"/>
          <w:szCs w:val="28"/>
        </w:rPr>
        <w:t>Wu</w:t>
      </w:r>
      <w:proofErr w:type="spellEnd"/>
      <w:r w:rsidR="00CD246A" w:rsidRPr="00520861">
        <w:rPr>
          <w:sz w:val="28"/>
          <w:szCs w:val="28"/>
        </w:rPr>
        <w:t xml:space="preserve"> H</w:t>
      </w:r>
      <w:r w:rsidR="00744AD9" w:rsidRPr="00520861">
        <w:rPr>
          <w:sz w:val="28"/>
          <w:szCs w:val="28"/>
        </w:rPr>
        <w:t>.</w:t>
      </w:r>
      <w:r w:rsidR="00CD246A" w:rsidRPr="00520861">
        <w:rPr>
          <w:sz w:val="28"/>
          <w:szCs w:val="28"/>
        </w:rPr>
        <w:t xml:space="preserve"> </w:t>
      </w:r>
      <w:r w:rsidR="003151C3" w:rsidRPr="00520861">
        <w:rPr>
          <w:sz w:val="28"/>
          <w:szCs w:val="28"/>
        </w:rPr>
        <w:t>та співавтори</w:t>
      </w:r>
      <w:r w:rsidRPr="00520861">
        <w:rPr>
          <w:rFonts w:eastAsia="Calibri"/>
          <w:sz w:val="28"/>
          <w:szCs w:val="28"/>
          <w:lang w:eastAsia="en-US"/>
        </w:rPr>
        <w:t>) говорять пр</w:t>
      </w:r>
      <w:r w:rsidR="005822F6" w:rsidRPr="00520861">
        <w:rPr>
          <w:rFonts w:eastAsia="Calibri"/>
          <w:sz w:val="28"/>
          <w:szCs w:val="28"/>
          <w:lang w:eastAsia="en-US"/>
        </w:rPr>
        <w:t xml:space="preserve">о раннє прорізування </w:t>
      </w:r>
      <w:r w:rsidR="00BC04BF" w:rsidRPr="00520861">
        <w:rPr>
          <w:rFonts w:eastAsia="Calibri"/>
          <w:sz w:val="28"/>
          <w:szCs w:val="28"/>
          <w:lang w:eastAsia="en-US"/>
        </w:rPr>
        <w:t>зубів</w:t>
      </w:r>
      <w:r w:rsidR="003151C3" w:rsidRPr="00520861">
        <w:rPr>
          <w:rFonts w:eastAsia="Calibri"/>
          <w:sz w:val="28"/>
          <w:szCs w:val="28"/>
          <w:lang w:eastAsia="en-US"/>
        </w:rPr>
        <w:t>. Останні відомості узгоджую</w:t>
      </w:r>
      <w:r w:rsidR="005822F6" w:rsidRPr="00520861">
        <w:rPr>
          <w:rFonts w:eastAsia="Calibri"/>
          <w:sz w:val="28"/>
          <w:szCs w:val="28"/>
          <w:lang w:eastAsia="en-US"/>
        </w:rPr>
        <w:t>ться з даними</w:t>
      </w:r>
      <w:r w:rsidR="009263F7" w:rsidRPr="00520861">
        <w:rPr>
          <w:rFonts w:eastAsia="Calibri"/>
          <w:sz w:val="28"/>
          <w:szCs w:val="28"/>
          <w:lang w:eastAsia="en-US"/>
        </w:rPr>
        <w:t>,</w:t>
      </w:r>
      <w:r w:rsidR="005822F6" w:rsidRPr="00520861">
        <w:rPr>
          <w:rFonts w:eastAsia="Calibri"/>
          <w:sz w:val="28"/>
          <w:szCs w:val="28"/>
          <w:lang w:eastAsia="en-US"/>
        </w:rPr>
        <w:t xml:space="preserve"> одержаними іранськими</w:t>
      </w:r>
      <w:r w:rsidR="00BC04BF" w:rsidRPr="00520861">
        <w:rPr>
          <w:rFonts w:eastAsia="Calibri"/>
          <w:sz w:val="28"/>
          <w:szCs w:val="28"/>
          <w:lang w:eastAsia="en-US"/>
        </w:rPr>
        <w:t xml:space="preserve"> </w:t>
      </w:r>
      <w:r w:rsidR="005822F6" w:rsidRPr="00520861">
        <w:rPr>
          <w:rFonts w:eastAsia="Calibri"/>
          <w:sz w:val="28"/>
          <w:szCs w:val="28"/>
          <w:lang w:eastAsia="en-US"/>
        </w:rPr>
        <w:t>дослідниками, які</w:t>
      </w:r>
      <w:r w:rsidR="00BC04BF" w:rsidRPr="00520861">
        <w:rPr>
          <w:rFonts w:eastAsia="Calibri"/>
          <w:sz w:val="28"/>
          <w:szCs w:val="28"/>
          <w:lang w:eastAsia="en-US"/>
        </w:rPr>
        <w:t xml:space="preserve"> стверджують, що чим вища маса тіла новонародженої дитини, тим раніше у неї прорізується перший тимчасовий зуб [</w:t>
      </w:r>
      <w:r w:rsidR="004B2FAA" w:rsidRPr="00520861">
        <w:rPr>
          <w:rFonts w:eastAsia="Calibri"/>
          <w:sz w:val="28"/>
          <w:szCs w:val="28"/>
          <w:lang w:eastAsia="en-US"/>
        </w:rPr>
        <w:t>381</w:t>
      </w:r>
      <w:r w:rsidR="00BC04BF" w:rsidRPr="00520861">
        <w:rPr>
          <w:rFonts w:eastAsia="Calibri"/>
          <w:sz w:val="28"/>
          <w:szCs w:val="28"/>
          <w:lang w:eastAsia="en-US"/>
        </w:rPr>
        <w:t>].</w:t>
      </w:r>
    </w:p>
    <w:p w14:paraId="30D264B2" w14:textId="77777777" w:rsidR="005B2BAD" w:rsidRPr="00520861" w:rsidRDefault="009263F7"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09"/>
        <w:contextualSpacing/>
        <w:jc w:val="both"/>
        <w:rPr>
          <w:rFonts w:eastAsia="Calibri"/>
          <w:sz w:val="28"/>
          <w:szCs w:val="28"/>
          <w:lang w:eastAsia="en-US"/>
        </w:rPr>
      </w:pPr>
      <w:r w:rsidRPr="00520861">
        <w:rPr>
          <w:rFonts w:eastAsia="Calibri"/>
          <w:spacing w:val="-2"/>
          <w:sz w:val="28"/>
          <w:szCs w:val="28"/>
          <w:lang w:eastAsia="en-US"/>
        </w:rPr>
        <w:t>Зважаючи на те</w:t>
      </w:r>
      <w:r w:rsidR="005B2BAD" w:rsidRPr="00520861">
        <w:rPr>
          <w:rFonts w:eastAsia="Calibri"/>
          <w:spacing w:val="-2"/>
          <w:sz w:val="28"/>
          <w:szCs w:val="28"/>
          <w:lang w:eastAsia="en-US"/>
        </w:rPr>
        <w:t xml:space="preserve"> що до народження дитини з </w:t>
      </w:r>
      <w:proofErr w:type="spellStart"/>
      <w:r w:rsidR="005B2BAD" w:rsidRPr="00520861">
        <w:rPr>
          <w:rFonts w:eastAsia="Calibri"/>
          <w:spacing w:val="-2"/>
          <w:sz w:val="28"/>
          <w:szCs w:val="28"/>
          <w:lang w:eastAsia="en-US"/>
        </w:rPr>
        <w:t>макросомією</w:t>
      </w:r>
      <w:proofErr w:type="spellEnd"/>
      <w:r w:rsidR="005B2BAD" w:rsidRPr="00520861">
        <w:rPr>
          <w:rFonts w:eastAsia="Calibri"/>
          <w:spacing w:val="-2"/>
          <w:sz w:val="28"/>
          <w:szCs w:val="28"/>
          <w:lang w:eastAsia="en-US"/>
        </w:rPr>
        <w:t xml:space="preserve"> призводять дуже різ</w:t>
      </w:r>
      <w:r w:rsidR="005B2BAD" w:rsidRPr="00520861">
        <w:rPr>
          <w:rFonts w:eastAsia="Calibri"/>
          <w:sz w:val="28"/>
          <w:szCs w:val="28"/>
          <w:lang w:eastAsia="en-US"/>
        </w:rPr>
        <w:t xml:space="preserve">номанітні чинники, можна зробити висновок, що процеси, які викликали </w:t>
      </w:r>
      <w:r w:rsidR="009726D4" w:rsidRPr="00520861">
        <w:rPr>
          <w:sz w:val="28"/>
          <w:szCs w:val="28"/>
          <w:lang w:eastAsia="x-none" w:bidi="lo-LA"/>
        </w:rPr>
        <w:t>ВУ</w:t>
      </w:r>
      <w:r w:rsidR="005B2BAD" w:rsidRPr="00520861">
        <w:rPr>
          <w:rFonts w:eastAsia="Calibri"/>
          <w:sz w:val="28"/>
          <w:szCs w:val="28"/>
          <w:lang w:eastAsia="en-US"/>
        </w:rPr>
        <w:t xml:space="preserve"> зростання маси тіла, мають </w:t>
      </w:r>
      <w:proofErr w:type="spellStart"/>
      <w:r w:rsidR="005B2BAD" w:rsidRPr="00520861">
        <w:rPr>
          <w:rFonts w:eastAsia="Calibri"/>
          <w:sz w:val="28"/>
          <w:szCs w:val="28"/>
          <w:lang w:eastAsia="en-US"/>
        </w:rPr>
        <w:t>різнонаправлений</w:t>
      </w:r>
      <w:proofErr w:type="spellEnd"/>
      <w:r w:rsidR="005B2BAD" w:rsidRPr="00520861">
        <w:rPr>
          <w:rFonts w:eastAsia="Calibri"/>
          <w:sz w:val="28"/>
          <w:szCs w:val="28"/>
          <w:lang w:eastAsia="en-US"/>
        </w:rPr>
        <w:t xml:space="preserve"> вплив і на терміни прорізування зубів у таких дітей. </w:t>
      </w:r>
    </w:p>
    <w:p w14:paraId="126DDF14" w14:textId="77777777" w:rsidR="005B2BAD" w:rsidRPr="00520861" w:rsidRDefault="005B2BAD" w:rsidP="00292D2E">
      <w:pPr>
        <w:widowControl w:val="0"/>
        <w:spacing w:line="360" w:lineRule="auto"/>
        <w:ind w:firstLine="708"/>
        <w:jc w:val="both"/>
        <w:rPr>
          <w:rFonts w:eastAsia="Calibri"/>
          <w:sz w:val="28"/>
          <w:szCs w:val="28"/>
        </w:rPr>
      </w:pPr>
      <w:r w:rsidRPr="00520861">
        <w:rPr>
          <w:sz w:val="28"/>
          <w:szCs w:val="28"/>
        </w:rPr>
        <w:t xml:space="preserve">Для формування порушень прикусу потрібний певний час. Деформуючий вплив на кісткову тканину може відбуватися за умови впливу сили м’язів. Якщо </w:t>
      </w:r>
      <w:r w:rsidR="00791F60" w:rsidRPr="00520861">
        <w:rPr>
          <w:sz w:val="28"/>
          <w:szCs w:val="28"/>
        </w:rPr>
        <w:br/>
      </w:r>
      <w:r w:rsidRPr="00520861">
        <w:rPr>
          <w:sz w:val="28"/>
          <w:szCs w:val="28"/>
        </w:rPr>
        <w:t>кісткова тканина є погано мінералізованою, піддатливою, тоді за меншої м’я</w:t>
      </w:r>
      <w:r w:rsidR="00423B05" w:rsidRPr="00520861">
        <w:rPr>
          <w:sz w:val="28"/>
          <w:szCs w:val="28"/>
        </w:rPr>
        <w:t xml:space="preserve">зової сили можуть виникати </w:t>
      </w:r>
      <w:proofErr w:type="spellStart"/>
      <w:r w:rsidR="00423B05" w:rsidRPr="00520861">
        <w:rPr>
          <w:sz w:val="28"/>
          <w:szCs w:val="28"/>
        </w:rPr>
        <w:t>зубо</w:t>
      </w:r>
      <w:r w:rsidRPr="00520861">
        <w:rPr>
          <w:sz w:val="28"/>
          <w:szCs w:val="28"/>
        </w:rPr>
        <w:t>щелепні</w:t>
      </w:r>
      <w:proofErr w:type="spellEnd"/>
      <w:r w:rsidRPr="00520861">
        <w:rPr>
          <w:sz w:val="28"/>
          <w:szCs w:val="28"/>
        </w:rPr>
        <w:t xml:space="preserve"> деформації. Дані про щільність кісткової тканини в дітей, народжених </w:t>
      </w:r>
      <w:r w:rsidR="003067E3" w:rsidRPr="00520861">
        <w:rPr>
          <w:sz w:val="28"/>
          <w:szCs w:val="28"/>
        </w:rPr>
        <w:t>і</w:t>
      </w:r>
      <w:r w:rsidRPr="00520861">
        <w:rPr>
          <w:sz w:val="28"/>
          <w:szCs w:val="28"/>
        </w:rPr>
        <w:t xml:space="preserve">з </w:t>
      </w:r>
      <w:proofErr w:type="spellStart"/>
      <w:r w:rsidRPr="00520861">
        <w:rPr>
          <w:sz w:val="28"/>
          <w:szCs w:val="28"/>
        </w:rPr>
        <w:t>макросомією</w:t>
      </w:r>
      <w:proofErr w:type="spellEnd"/>
      <w:r w:rsidRPr="00520861">
        <w:rPr>
          <w:sz w:val="28"/>
          <w:szCs w:val="28"/>
        </w:rPr>
        <w:t xml:space="preserve">, суперечливі. </w:t>
      </w:r>
      <w:proofErr w:type="spellStart"/>
      <w:r w:rsidRPr="00520861">
        <w:rPr>
          <w:rFonts w:eastAsia="Calibri"/>
          <w:sz w:val="28"/>
          <w:szCs w:val="28"/>
        </w:rPr>
        <w:t>Littner</w:t>
      </w:r>
      <w:proofErr w:type="spellEnd"/>
      <w:r w:rsidRPr="00520861">
        <w:rPr>
          <w:rFonts w:eastAsia="Calibri"/>
          <w:sz w:val="28"/>
          <w:szCs w:val="28"/>
        </w:rPr>
        <w:t xml:space="preserve"> </w:t>
      </w:r>
      <w:r w:rsidR="00AA0DC9" w:rsidRPr="00520861">
        <w:rPr>
          <w:rFonts w:eastAsia="Calibri"/>
          <w:sz w:val="28"/>
          <w:szCs w:val="28"/>
        </w:rPr>
        <w:t xml:space="preserve">Y. </w:t>
      </w:r>
      <w:r w:rsidRPr="00520861">
        <w:rPr>
          <w:rFonts w:eastAsia="Calibri"/>
          <w:sz w:val="28"/>
          <w:szCs w:val="28"/>
        </w:rPr>
        <w:t>та співавтори</w:t>
      </w:r>
      <w:r w:rsidRPr="00520861">
        <w:rPr>
          <w:sz w:val="28"/>
          <w:szCs w:val="28"/>
        </w:rPr>
        <w:t xml:space="preserve"> [</w:t>
      </w:r>
      <w:r w:rsidR="00196BF7" w:rsidRPr="00520861">
        <w:rPr>
          <w:sz w:val="28"/>
          <w:szCs w:val="28"/>
        </w:rPr>
        <w:t>403</w:t>
      </w:r>
      <w:r w:rsidRPr="00520861">
        <w:rPr>
          <w:sz w:val="28"/>
          <w:szCs w:val="28"/>
        </w:rPr>
        <w:t xml:space="preserve">] зазначають про досить знижену мінеральну щільність кісткової тканини </w:t>
      </w:r>
      <w:r w:rsidR="00744246" w:rsidRPr="00520861">
        <w:rPr>
          <w:sz w:val="28"/>
          <w:szCs w:val="28"/>
        </w:rPr>
        <w:br/>
      </w:r>
      <w:r w:rsidRPr="00520861">
        <w:rPr>
          <w:sz w:val="28"/>
          <w:szCs w:val="28"/>
        </w:rPr>
        <w:t>новонародже</w:t>
      </w:r>
      <w:r w:rsidR="00791F60" w:rsidRPr="00520861">
        <w:rPr>
          <w:sz w:val="28"/>
          <w:szCs w:val="28"/>
        </w:rPr>
        <w:t xml:space="preserve">них </w:t>
      </w:r>
      <w:proofErr w:type="spellStart"/>
      <w:r w:rsidRPr="00520861">
        <w:rPr>
          <w:sz w:val="28"/>
          <w:szCs w:val="28"/>
        </w:rPr>
        <w:t>макросомів</w:t>
      </w:r>
      <w:proofErr w:type="spellEnd"/>
      <w:r w:rsidRPr="00520861">
        <w:rPr>
          <w:sz w:val="28"/>
          <w:szCs w:val="28"/>
        </w:rPr>
        <w:t xml:space="preserve">. </w:t>
      </w:r>
      <w:proofErr w:type="spellStart"/>
      <w:r w:rsidRPr="00520861">
        <w:rPr>
          <w:rFonts w:eastAsia="Calibri"/>
          <w:sz w:val="28"/>
          <w:szCs w:val="28"/>
        </w:rPr>
        <w:t>Schushan-Eisen</w:t>
      </w:r>
      <w:proofErr w:type="spellEnd"/>
      <w:r w:rsidRPr="00520861">
        <w:rPr>
          <w:rFonts w:eastAsia="Calibri"/>
          <w:sz w:val="28"/>
          <w:szCs w:val="28"/>
        </w:rPr>
        <w:t xml:space="preserve"> </w:t>
      </w:r>
      <w:r w:rsidR="00AF7B58" w:rsidRPr="00520861">
        <w:rPr>
          <w:rFonts w:eastAsia="Calibri"/>
          <w:sz w:val="28"/>
          <w:szCs w:val="28"/>
        </w:rPr>
        <w:t xml:space="preserve">I. </w:t>
      </w:r>
      <w:r w:rsidRPr="00520861">
        <w:rPr>
          <w:sz w:val="28"/>
          <w:szCs w:val="28"/>
        </w:rPr>
        <w:t xml:space="preserve">та співавтори </w:t>
      </w:r>
      <w:r w:rsidR="00494532" w:rsidRPr="00520861">
        <w:rPr>
          <w:sz w:val="28"/>
          <w:szCs w:val="28"/>
        </w:rPr>
        <w:t>[</w:t>
      </w:r>
      <w:r w:rsidR="00196BF7" w:rsidRPr="00520861">
        <w:rPr>
          <w:sz w:val="28"/>
          <w:szCs w:val="28"/>
        </w:rPr>
        <w:t>497</w:t>
      </w:r>
      <w:r w:rsidR="00494532" w:rsidRPr="00520861">
        <w:rPr>
          <w:sz w:val="28"/>
          <w:szCs w:val="28"/>
        </w:rPr>
        <w:t>]</w:t>
      </w:r>
      <w:r w:rsidRPr="00520861">
        <w:rPr>
          <w:sz w:val="28"/>
          <w:szCs w:val="28"/>
        </w:rPr>
        <w:t xml:space="preserve"> говорять про те, що це виникає внаслідок недостатності </w:t>
      </w:r>
      <w:r w:rsidR="009726D4" w:rsidRPr="00520861">
        <w:rPr>
          <w:sz w:val="28"/>
          <w:szCs w:val="28"/>
          <w:lang w:eastAsia="x-none" w:bidi="lo-LA"/>
        </w:rPr>
        <w:t>ВУ</w:t>
      </w:r>
      <w:r w:rsidRPr="00520861">
        <w:rPr>
          <w:sz w:val="28"/>
          <w:szCs w:val="28"/>
        </w:rPr>
        <w:t xml:space="preserve"> рухової активності </w:t>
      </w:r>
      <w:r w:rsidR="000C5378" w:rsidRPr="00520861">
        <w:rPr>
          <w:sz w:val="28"/>
          <w:szCs w:val="28"/>
        </w:rPr>
        <w:t>плода</w:t>
      </w:r>
      <w:r w:rsidRPr="00520861">
        <w:rPr>
          <w:sz w:val="28"/>
          <w:szCs w:val="28"/>
        </w:rPr>
        <w:t xml:space="preserve"> через його завеликі розміри та, як результат, відсутність фізичного навантаження.</w:t>
      </w:r>
    </w:p>
    <w:p w14:paraId="1C13B0A6" w14:textId="77777777" w:rsidR="005B2BAD" w:rsidRPr="00520861" w:rsidRDefault="005B2BAD" w:rsidP="00292D2E">
      <w:pPr>
        <w:widowControl w:val="0"/>
        <w:spacing w:line="360" w:lineRule="auto"/>
        <w:ind w:firstLine="709"/>
        <w:jc w:val="both"/>
        <w:rPr>
          <w:rFonts w:eastAsia="Calibri"/>
          <w:sz w:val="28"/>
          <w:szCs w:val="28"/>
        </w:rPr>
      </w:pPr>
      <w:proofErr w:type="spellStart"/>
      <w:r w:rsidRPr="00520861">
        <w:rPr>
          <w:sz w:val="28"/>
          <w:szCs w:val="28"/>
        </w:rPr>
        <w:t>Harvey</w:t>
      </w:r>
      <w:proofErr w:type="spellEnd"/>
      <w:r w:rsidR="00174453" w:rsidRPr="00520861">
        <w:rPr>
          <w:sz w:val="28"/>
          <w:szCs w:val="28"/>
        </w:rPr>
        <w:t xml:space="preserve"> </w:t>
      </w:r>
      <w:r w:rsidR="00923684" w:rsidRPr="00520861">
        <w:rPr>
          <w:sz w:val="28"/>
          <w:szCs w:val="28"/>
        </w:rPr>
        <w:t xml:space="preserve">N. C. </w:t>
      </w:r>
      <w:r w:rsidRPr="00520861">
        <w:rPr>
          <w:sz w:val="28"/>
          <w:szCs w:val="28"/>
        </w:rPr>
        <w:t xml:space="preserve">та співавтори досліджували вплив </w:t>
      </w:r>
      <w:r w:rsidR="009726D4" w:rsidRPr="00520861">
        <w:rPr>
          <w:sz w:val="28"/>
          <w:szCs w:val="28"/>
          <w:lang w:eastAsia="x-none" w:bidi="lo-LA"/>
        </w:rPr>
        <w:t>ВУ</w:t>
      </w:r>
      <w:r w:rsidRPr="00520861">
        <w:rPr>
          <w:sz w:val="28"/>
          <w:szCs w:val="28"/>
        </w:rPr>
        <w:t xml:space="preserve"> антропометричних </w:t>
      </w:r>
      <w:r w:rsidR="00567946" w:rsidRPr="00520861">
        <w:rPr>
          <w:sz w:val="28"/>
          <w:szCs w:val="28"/>
        </w:rPr>
        <w:br/>
      </w:r>
      <w:r w:rsidRPr="00520861">
        <w:rPr>
          <w:sz w:val="28"/>
          <w:szCs w:val="28"/>
        </w:rPr>
        <w:t>параметрів</w:t>
      </w:r>
      <w:r w:rsidR="00174453" w:rsidRPr="00520861">
        <w:rPr>
          <w:sz w:val="28"/>
          <w:szCs w:val="28"/>
        </w:rPr>
        <w:t xml:space="preserve"> </w:t>
      </w:r>
      <w:r w:rsidRPr="00520861">
        <w:rPr>
          <w:sz w:val="28"/>
          <w:szCs w:val="28"/>
        </w:rPr>
        <w:t>на розмір й оптичну густину кісткової тканини дітей у віці 4 років [</w:t>
      </w:r>
      <w:r w:rsidR="00196BF7" w:rsidRPr="00520861">
        <w:rPr>
          <w:sz w:val="28"/>
          <w:szCs w:val="28"/>
        </w:rPr>
        <w:t>346</w:t>
      </w:r>
      <w:r w:rsidRPr="00520861">
        <w:rPr>
          <w:sz w:val="28"/>
          <w:szCs w:val="28"/>
        </w:rPr>
        <w:t xml:space="preserve">]. Ці вчені дійшли висновку, що розміри скелета таких дітей не відповідають щільності кісткової тканини. Вони виявили, що швидкий </w:t>
      </w:r>
      <w:r w:rsidR="009726D4" w:rsidRPr="00520861">
        <w:rPr>
          <w:sz w:val="28"/>
          <w:szCs w:val="28"/>
          <w:lang w:eastAsia="x-none" w:bidi="lo-LA"/>
        </w:rPr>
        <w:t>ВУ</w:t>
      </w:r>
      <w:r w:rsidRPr="00520861">
        <w:rPr>
          <w:sz w:val="28"/>
          <w:szCs w:val="28"/>
        </w:rPr>
        <w:t xml:space="preserve"> ріст стегнової кістки позитивно впливає на подальший розмір кісток, проте не на їх щільність. Також науковці </w:t>
      </w:r>
      <w:r w:rsidR="00567946" w:rsidRPr="00520861">
        <w:rPr>
          <w:sz w:val="28"/>
          <w:szCs w:val="28"/>
        </w:rPr>
        <w:br/>
      </w:r>
      <w:r w:rsidRPr="00520861">
        <w:rPr>
          <w:sz w:val="28"/>
          <w:szCs w:val="28"/>
        </w:rPr>
        <w:lastRenderedPageBreak/>
        <w:t xml:space="preserve">відзначили, що швидкість </w:t>
      </w:r>
      <w:r w:rsidR="009726D4" w:rsidRPr="00520861">
        <w:rPr>
          <w:sz w:val="28"/>
          <w:szCs w:val="28"/>
          <w:lang w:eastAsia="x-none" w:bidi="lo-LA"/>
        </w:rPr>
        <w:t>ВУ</w:t>
      </w:r>
      <w:r w:rsidRPr="00520861">
        <w:rPr>
          <w:sz w:val="28"/>
          <w:szCs w:val="28"/>
        </w:rPr>
        <w:t xml:space="preserve"> росту об’єму живота позитивно корелює із щільністю кісткової тканини дітей віком 4 роки. Проте ва</w:t>
      </w:r>
      <w:r w:rsidR="00D52081" w:rsidRPr="00520861">
        <w:rPr>
          <w:sz w:val="28"/>
          <w:szCs w:val="28"/>
        </w:rPr>
        <w:t>рто зауважити, що це стосувалося</w:t>
      </w:r>
      <w:r w:rsidRPr="00520861">
        <w:rPr>
          <w:sz w:val="28"/>
          <w:szCs w:val="28"/>
        </w:rPr>
        <w:t xml:space="preserve"> </w:t>
      </w:r>
      <w:r w:rsidR="0078739D" w:rsidRPr="00520861">
        <w:rPr>
          <w:sz w:val="28"/>
          <w:szCs w:val="28"/>
        </w:rPr>
        <w:br/>
      </w:r>
      <w:r w:rsidRPr="00520861">
        <w:rPr>
          <w:sz w:val="28"/>
          <w:szCs w:val="28"/>
        </w:rPr>
        <w:t xml:space="preserve">дітей, антропометричні параметри яких на момент народження відповідали нормі. </w:t>
      </w:r>
    </w:p>
    <w:p w14:paraId="3A6C947D" w14:textId="77777777" w:rsidR="005B2BAD" w:rsidRPr="00520861" w:rsidRDefault="005B2BAD" w:rsidP="00292D2E">
      <w:pPr>
        <w:widowControl w:val="0"/>
        <w:spacing w:line="360" w:lineRule="auto"/>
        <w:ind w:firstLine="708"/>
        <w:jc w:val="both"/>
        <w:rPr>
          <w:rFonts w:eastAsia="Calibri"/>
          <w:sz w:val="28"/>
          <w:szCs w:val="28"/>
        </w:rPr>
      </w:pPr>
      <w:proofErr w:type="spellStart"/>
      <w:r w:rsidRPr="00520861">
        <w:rPr>
          <w:sz w:val="28"/>
          <w:szCs w:val="28"/>
        </w:rPr>
        <w:t>Meneza</w:t>
      </w:r>
      <w:proofErr w:type="spellEnd"/>
      <w:r w:rsidRPr="00520861">
        <w:rPr>
          <w:sz w:val="28"/>
          <w:szCs w:val="28"/>
        </w:rPr>
        <w:t xml:space="preserve"> </w:t>
      </w:r>
      <w:r w:rsidR="00366F3C" w:rsidRPr="00520861">
        <w:rPr>
          <w:sz w:val="28"/>
          <w:szCs w:val="28"/>
        </w:rPr>
        <w:t>S. </w:t>
      </w:r>
      <w:r w:rsidR="0091091C" w:rsidRPr="00520861">
        <w:rPr>
          <w:sz w:val="28"/>
          <w:szCs w:val="28"/>
        </w:rPr>
        <w:t xml:space="preserve">EL. </w:t>
      </w:r>
      <w:r w:rsidRPr="00520861">
        <w:rPr>
          <w:sz w:val="28"/>
          <w:szCs w:val="28"/>
        </w:rPr>
        <w:t xml:space="preserve">та співавтори </w:t>
      </w:r>
      <w:r w:rsidR="001C3925" w:rsidRPr="00520861">
        <w:rPr>
          <w:sz w:val="28"/>
          <w:szCs w:val="28"/>
        </w:rPr>
        <w:t>[</w:t>
      </w:r>
      <w:r w:rsidR="00B85D41" w:rsidRPr="00520861">
        <w:rPr>
          <w:sz w:val="28"/>
          <w:szCs w:val="28"/>
        </w:rPr>
        <w:t>294</w:t>
      </w:r>
      <w:r w:rsidR="001C3925" w:rsidRPr="00520861">
        <w:rPr>
          <w:sz w:val="28"/>
          <w:szCs w:val="28"/>
        </w:rPr>
        <w:t xml:space="preserve">] </w:t>
      </w:r>
      <w:r w:rsidRPr="00520861">
        <w:rPr>
          <w:sz w:val="28"/>
          <w:szCs w:val="28"/>
        </w:rPr>
        <w:t xml:space="preserve">зафіксували знижений рівень кальцію, </w:t>
      </w:r>
      <w:r w:rsidR="007E65C2" w:rsidRPr="00520861">
        <w:rPr>
          <w:sz w:val="28"/>
          <w:szCs w:val="28"/>
        </w:rPr>
        <w:br/>
      </w:r>
      <w:r w:rsidRPr="00520861">
        <w:rPr>
          <w:sz w:val="28"/>
          <w:szCs w:val="28"/>
        </w:rPr>
        <w:t xml:space="preserve">фосфору та </w:t>
      </w:r>
      <w:proofErr w:type="spellStart"/>
      <w:r w:rsidRPr="00520861">
        <w:rPr>
          <w:sz w:val="28"/>
          <w:szCs w:val="28"/>
        </w:rPr>
        <w:t>остеокальцину</w:t>
      </w:r>
      <w:proofErr w:type="spellEnd"/>
      <w:r w:rsidRPr="00520861">
        <w:rPr>
          <w:sz w:val="28"/>
          <w:szCs w:val="28"/>
        </w:rPr>
        <w:t xml:space="preserve"> в сироватці крові – маркерів неадекватного формування кісткової тканини, яке проявляється зниженням її мінеральної щільності, у </w:t>
      </w:r>
      <w:proofErr w:type="spellStart"/>
      <w:r w:rsidRPr="00520861">
        <w:rPr>
          <w:sz w:val="28"/>
          <w:szCs w:val="28"/>
        </w:rPr>
        <w:t>макросомів</w:t>
      </w:r>
      <w:proofErr w:type="spellEnd"/>
      <w:r w:rsidRPr="00520861">
        <w:rPr>
          <w:sz w:val="28"/>
          <w:szCs w:val="28"/>
        </w:rPr>
        <w:t xml:space="preserve"> віком 1 місяць.</w:t>
      </w:r>
    </w:p>
    <w:p w14:paraId="7289647C" w14:textId="77777777" w:rsidR="005B2BAD" w:rsidRPr="00520861" w:rsidRDefault="005B2BAD" w:rsidP="00292D2E">
      <w:pPr>
        <w:widowControl w:val="0"/>
        <w:spacing w:line="360" w:lineRule="auto"/>
        <w:ind w:firstLine="708"/>
        <w:jc w:val="both"/>
        <w:rPr>
          <w:rFonts w:eastAsia="Calibri"/>
          <w:sz w:val="28"/>
          <w:szCs w:val="28"/>
        </w:rPr>
      </w:pPr>
      <w:r w:rsidRPr="00520861">
        <w:rPr>
          <w:sz w:val="28"/>
          <w:szCs w:val="28"/>
        </w:rPr>
        <w:t xml:space="preserve">Натомість наявні публікації, що зазначають про вищу, ніж у </w:t>
      </w:r>
      <w:proofErr w:type="spellStart"/>
      <w:r w:rsidRPr="00520861">
        <w:rPr>
          <w:sz w:val="28"/>
          <w:szCs w:val="28"/>
        </w:rPr>
        <w:t>нормосомів</w:t>
      </w:r>
      <w:proofErr w:type="spellEnd"/>
      <w:r w:rsidRPr="00520861">
        <w:rPr>
          <w:sz w:val="28"/>
          <w:szCs w:val="28"/>
        </w:rPr>
        <w:t xml:space="preserve">, щільність кісткових тканин </w:t>
      </w:r>
      <w:proofErr w:type="spellStart"/>
      <w:r w:rsidRPr="00520861">
        <w:rPr>
          <w:sz w:val="28"/>
          <w:szCs w:val="28"/>
        </w:rPr>
        <w:t>макросомів</w:t>
      </w:r>
      <w:proofErr w:type="spellEnd"/>
      <w:r w:rsidRPr="00520861">
        <w:rPr>
          <w:sz w:val="28"/>
          <w:szCs w:val="28"/>
        </w:rPr>
        <w:t xml:space="preserve"> на момент їх народження [</w:t>
      </w:r>
      <w:r w:rsidR="00BA7CA1" w:rsidRPr="00520861">
        <w:rPr>
          <w:sz w:val="28"/>
          <w:szCs w:val="28"/>
        </w:rPr>
        <w:t>225</w:t>
      </w:r>
      <w:r w:rsidRPr="00520861">
        <w:rPr>
          <w:sz w:val="28"/>
          <w:szCs w:val="28"/>
        </w:rPr>
        <w:t>]. Ці дослідни</w:t>
      </w:r>
      <w:r w:rsidR="00791F60" w:rsidRPr="00520861">
        <w:rPr>
          <w:sz w:val="28"/>
          <w:szCs w:val="28"/>
        </w:rPr>
        <w:t>ки вважають</w:t>
      </w:r>
      <w:r w:rsidRPr="00520861">
        <w:rPr>
          <w:sz w:val="28"/>
          <w:szCs w:val="28"/>
        </w:rPr>
        <w:t xml:space="preserve">, що в подальшому в таких дітей щільність кісткової тканини не </w:t>
      </w:r>
      <w:r w:rsidR="00791F60" w:rsidRPr="00520861">
        <w:rPr>
          <w:sz w:val="28"/>
          <w:szCs w:val="28"/>
        </w:rPr>
        <w:br/>
      </w:r>
      <w:r w:rsidRPr="00520861">
        <w:rPr>
          <w:sz w:val="28"/>
          <w:szCs w:val="28"/>
        </w:rPr>
        <w:t>зменшується [</w:t>
      </w:r>
      <w:r w:rsidR="00F85B6A" w:rsidRPr="00520861">
        <w:rPr>
          <w:sz w:val="28"/>
          <w:szCs w:val="28"/>
        </w:rPr>
        <w:t>352</w:t>
      </w:r>
      <w:r w:rsidR="00B3234D" w:rsidRPr="00520861">
        <w:rPr>
          <w:sz w:val="28"/>
          <w:szCs w:val="28"/>
        </w:rPr>
        <w:t>]</w:t>
      </w:r>
      <w:r w:rsidRPr="00520861">
        <w:rPr>
          <w:sz w:val="28"/>
          <w:szCs w:val="28"/>
        </w:rPr>
        <w:t xml:space="preserve">. </w:t>
      </w:r>
    </w:p>
    <w:p w14:paraId="1BE0EA87" w14:textId="77777777" w:rsidR="005B2BAD" w:rsidRPr="00520861" w:rsidRDefault="00D648D7" w:rsidP="00292D2E">
      <w:pPr>
        <w:widowControl w:val="0"/>
        <w:spacing w:line="360" w:lineRule="auto"/>
        <w:ind w:firstLine="708"/>
        <w:jc w:val="both"/>
        <w:rPr>
          <w:sz w:val="28"/>
          <w:szCs w:val="28"/>
        </w:rPr>
      </w:pPr>
      <w:r w:rsidRPr="00520861">
        <w:rPr>
          <w:sz w:val="28"/>
          <w:szCs w:val="28"/>
        </w:rPr>
        <w:t>Зважаючи на те</w:t>
      </w:r>
      <w:r w:rsidR="005B2BAD" w:rsidRPr="00520861">
        <w:rPr>
          <w:sz w:val="28"/>
          <w:szCs w:val="28"/>
        </w:rPr>
        <w:t xml:space="preserve"> що формування та подальше </w:t>
      </w:r>
      <w:proofErr w:type="spellStart"/>
      <w:r w:rsidR="005B2BAD" w:rsidRPr="00520861">
        <w:rPr>
          <w:sz w:val="28"/>
          <w:szCs w:val="28"/>
        </w:rPr>
        <w:t>ремоделювання</w:t>
      </w:r>
      <w:proofErr w:type="spellEnd"/>
      <w:r w:rsidR="005B2BAD" w:rsidRPr="00520861">
        <w:rPr>
          <w:sz w:val="28"/>
          <w:szCs w:val="28"/>
        </w:rPr>
        <w:t xml:space="preserve"> кісткової тканини регулюється гормональним балансом, відмінності в ступені сформованості й структурі кісткової </w:t>
      </w:r>
      <w:r w:rsidR="00AD2013" w:rsidRPr="00520861">
        <w:rPr>
          <w:sz w:val="28"/>
          <w:szCs w:val="28"/>
        </w:rPr>
        <w:t>тканини залежать і</w:t>
      </w:r>
      <w:r w:rsidR="009A46D6" w:rsidRPr="00520861">
        <w:rPr>
          <w:sz w:val="28"/>
          <w:szCs w:val="28"/>
        </w:rPr>
        <w:t xml:space="preserve"> від</w:t>
      </w:r>
      <w:r w:rsidR="00960726" w:rsidRPr="00520861">
        <w:rPr>
          <w:sz w:val="28"/>
          <w:szCs w:val="28"/>
          <w:lang w:eastAsia="x-none" w:bidi="lo-LA"/>
        </w:rPr>
        <w:t xml:space="preserve"> ВУ</w:t>
      </w:r>
      <w:r w:rsidR="005B2BAD" w:rsidRPr="00520861">
        <w:rPr>
          <w:sz w:val="28"/>
          <w:szCs w:val="28"/>
        </w:rPr>
        <w:t xml:space="preserve"> конституції тіла. На </w:t>
      </w:r>
      <w:r w:rsidR="00960726" w:rsidRPr="00520861">
        <w:rPr>
          <w:sz w:val="28"/>
          <w:szCs w:val="28"/>
          <w:lang w:eastAsia="x-none" w:bidi="lo-LA"/>
        </w:rPr>
        <w:t>ВУ</w:t>
      </w:r>
      <w:r w:rsidR="009A46D6" w:rsidRPr="00520861">
        <w:rPr>
          <w:sz w:val="28"/>
          <w:szCs w:val="28"/>
        </w:rPr>
        <w:t xml:space="preserve"> розвиток </w:t>
      </w:r>
      <w:proofErr w:type="spellStart"/>
      <w:r w:rsidR="009A46D6" w:rsidRPr="00520861">
        <w:rPr>
          <w:sz w:val="28"/>
          <w:szCs w:val="28"/>
        </w:rPr>
        <w:t>макросомів</w:t>
      </w:r>
      <w:proofErr w:type="spellEnd"/>
      <w:r w:rsidR="009A46D6" w:rsidRPr="00520861">
        <w:rPr>
          <w:sz w:val="28"/>
          <w:szCs w:val="28"/>
        </w:rPr>
        <w:t xml:space="preserve"> у</w:t>
      </w:r>
      <w:r w:rsidR="005B2BAD" w:rsidRPr="00520861">
        <w:rPr>
          <w:sz w:val="28"/>
          <w:szCs w:val="28"/>
        </w:rPr>
        <w:t>плинув стан їхніх матерів, після народ</w:t>
      </w:r>
      <w:r w:rsidR="00D52081" w:rsidRPr="00520861">
        <w:rPr>
          <w:sz w:val="28"/>
          <w:szCs w:val="28"/>
        </w:rPr>
        <w:t>ження у цих дітей відбувалася</w:t>
      </w:r>
      <w:r w:rsidR="005B2BAD" w:rsidRPr="00520861">
        <w:rPr>
          <w:sz w:val="28"/>
          <w:szCs w:val="28"/>
        </w:rPr>
        <w:t xml:space="preserve"> </w:t>
      </w:r>
      <w:r w:rsidR="00791F60" w:rsidRPr="00520861">
        <w:rPr>
          <w:sz w:val="28"/>
          <w:szCs w:val="28"/>
        </w:rPr>
        <w:br/>
      </w:r>
      <w:r w:rsidR="005B2BAD" w:rsidRPr="00520861">
        <w:rPr>
          <w:sz w:val="28"/>
          <w:szCs w:val="28"/>
        </w:rPr>
        <w:t xml:space="preserve">адаптація й пристосування до </w:t>
      </w:r>
      <w:proofErr w:type="spellStart"/>
      <w:r w:rsidR="005B2BAD" w:rsidRPr="00520861">
        <w:rPr>
          <w:sz w:val="28"/>
          <w:szCs w:val="28"/>
        </w:rPr>
        <w:t>післяутробного</w:t>
      </w:r>
      <w:proofErr w:type="spellEnd"/>
      <w:r w:rsidR="005B2BAD" w:rsidRPr="00520861">
        <w:rPr>
          <w:sz w:val="28"/>
          <w:szCs w:val="28"/>
        </w:rPr>
        <w:t xml:space="preserve"> життя. У багатьох випадках </w:t>
      </w:r>
      <w:r w:rsidR="00966775" w:rsidRPr="00520861">
        <w:rPr>
          <w:sz w:val="28"/>
          <w:szCs w:val="28"/>
        </w:rPr>
        <w:br/>
      </w:r>
      <w:r w:rsidR="005B2BAD" w:rsidRPr="00520861">
        <w:rPr>
          <w:sz w:val="28"/>
          <w:szCs w:val="28"/>
        </w:rPr>
        <w:t xml:space="preserve">гормональний фон нормалізувався, а перебіг процесів </w:t>
      </w:r>
      <w:proofErr w:type="spellStart"/>
      <w:r w:rsidR="005B2BAD" w:rsidRPr="00520861">
        <w:rPr>
          <w:sz w:val="28"/>
          <w:szCs w:val="28"/>
        </w:rPr>
        <w:t>ремоделювання</w:t>
      </w:r>
      <w:proofErr w:type="spellEnd"/>
      <w:r w:rsidR="005B2BAD" w:rsidRPr="00520861">
        <w:rPr>
          <w:sz w:val="28"/>
          <w:szCs w:val="28"/>
        </w:rPr>
        <w:t xml:space="preserve"> кісткової </w:t>
      </w:r>
      <w:r w:rsidR="00567946" w:rsidRPr="00520861">
        <w:rPr>
          <w:sz w:val="28"/>
          <w:szCs w:val="28"/>
        </w:rPr>
        <w:br/>
      </w:r>
      <w:r w:rsidR="005B2BAD" w:rsidRPr="00520861">
        <w:rPr>
          <w:sz w:val="28"/>
          <w:szCs w:val="28"/>
        </w:rPr>
        <w:t>тканини відбувався без видимих критичних</w:t>
      </w:r>
      <w:r w:rsidR="00174453" w:rsidRPr="00520861">
        <w:rPr>
          <w:sz w:val="28"/>
          <w:szCs w:val="28"/>
        </w:rPr>
        <w:t xml:space="preserve"> </w:t>
      </w:r>
      <w:r w:rsidR="005B2BAD" w:rsidRPr="00520861">
        <w:rPr>
          <w:sz w:val="28"/>
          <w:szCs w:val="28"/>
        </w:rPr>
        <w:t xml:space="preserve">порушень. </w:t>
      </w:r>
    </w:p>
    <w:p w14:paraId="1E91EBBA" w14:textId="77777777" w:rsidR="008E5074" w:rsidRPr="00520861" w:rsidRDefault="005B2BAD" w:rsidP="00292D2E">
      <w:pPr>
        <w:widowControl w:val="0"/>
        <w:spacing w:line="360" w:lineRule="auto"/>
        <w:ind w:firstLine="709"/>
        <w:jc w:val="both"/>
        <w:rPr>
          <w:sz w:val="28"/>
          <w:szCs w:val="28"/>
        </w:rPr>
      </w:pPr>
      <w:r w:rsidRPr="00520861">
        <w:rPr>
          <w:sz w:val="28"/>
          <w:szCs w:val="28"/>
        </w:rPr>
        <w:t xml:space="preserve">Як правило, уже через кілька років батьки </w:t>
      </w:r>
      <w:proofErr w:type="spellStart"/>
      <w:r w:rsidRPr="00520861">
        <w:rPr>
          <w:sz w:val="28"/>
          <w:szCs w:val="28"/>
        </w:rPr>
        <w:t>макросома</w:t>
      </w:r>
      <w:proofErr w:type="spellEnd"/>
      <w:r w:rsidRPr="00520861">
        <w:rPr>
          <w:sz w:val="28"/>
          <w:szCs w:val="28"/>
        </w:rPr>
        <w:t xml:space="preserve"> й не згадують про завелику масу тіла дитини, тому не пов’язують виникнення </w:t>
      </w:r>
      <w:proofErr w:type="spellStart"/>
      <w:r w:rsidR="00E62082" w:rsidRPr="00520861">
        <w:rPr>
          <w:sz w:val="28"/>
          <w:szCs w:val="28"/>
        </w:rPr>
        <w:t>СтП</w:t>
      </w:r>
      <w:proofErr w:type="spellEnd"/>
      <w:r w:rsidRPr="00520861">
        <w:rPr>
          <w:sz w:val="28"/>
          <w:szCs w:val="28"/>
        </w:rPr>
        <w:t xml:space="preserve"> з антропометричними показниками на момент народження. </w:t>
      </w:r>
      <w:r w:rsidRPr="00520861">
        <w:rPr>
          <w:rFonts w:eastAsia="Calibri"/>
          <w:sz w:val="28"/>
          <w:szCs w:val="28"/>
        </w:rPr>
        <w:t xml:space="preserve">Дорослі пацієнти взагалі нехтують інформацією про </w:t>
      </w:r>
      <w:r w:rsidR="00A454EB" w:rsidRPr="00520861">
        <w:rPr>
          <w:rFonts w:eastAsia="Calibri"/>
          <w:sz w:val="28"/>
          <w:szCs w:val="28"/>
        </w:rPr>
        <w:t xml:space="preserve">свої </w:t>
      </w:r>
      <w:proofErr w:type="spellStart"/>
      <w:r w:rsidRPr="00520861">
        <w:rPr>
          <w:rFonts w:eastAsia="Calibri"/>
          <w:sz w:val="28"/>
          <w:szCs w:val="28"/>
        </w:rPr>
        <w:t>соматометричні</w:t>
      </w:r>
      <w:proofErr w:type="spellEnd"/>
      <w:r w:rsidRPr="00520861">
        <w:rPr>
          <w:rFonts w:eastAsia="Calibri"/>
          <w:sz w:val="28"/>
          <w:szCs w:val="28"/>
        </w:rPr>
        <w:t xml:space="preserve"> показники на момент народження. Таким чином, стоматолог отримує інформацію про поточний стан здоров’я пацієнта, а дані про перебіг </w:t>
      </w:r>
      <w:r w:rsidR="00960726" w:rsidRPr="00520861">
        <w:rPr>
          <w:sz w:val="28"/>
          <w:szCs w:val="28"/>
          <w:lang w:eastAsia="x-none" w:bidi="lo-LA"/>
        </w:rPr>
        <w:t>ВУ</w:t>
      </w:r>
      <w:r w:rsidRPr="00520861">
        <w:rPr>
          <w:rFonts w:eastAsia="Calibri"/>
          <w:sz w:val="28"/>
          <w:szCs w:val="28"/>
        </w:rPr>
        <w:t xml:space="preserve"> періоду із часом утрачаються й не використовуються для з’ясування причин й особливостей поточного стану стоматологічного здоров’я. </w:t>
      </w:r>
      <w:r w:rsidRPr="00520861">
        <w:rPr>
          <w:sz w:val="28"/>
          <w:szCs w:val="28"/>
        </w:rPr>
        <w:t xml:space="preserve">Натомість вивчення цих відомостей може пояснити певні ланки патогенезу формування </w:t>
      </w:r>
      <w:proofErr w:type="spellStart"/>
      <w:r w:rsidR="00E62082" w:rsidRPr="00520861">
        <w:rPr>
          <w:sz w:val="28"/>
          <w:szCs w:val="28"/>
        </w:rPr>
        <w:t>СтП</w:t>
      </w:r>
      <w:proofErr w:type="spellEnd"/>
      <w:r w:rsidRPr="00520861">
        <w:rPr>
          <w:sz w:val="28"/>
          <w:szCs w:val="28"/>
        </w:rPr>
        <w:t>.</w:t>
      </w:r>
    </w:p>
    <w:p w14:paraId="5F0CF843" w14:textId="77777777" w:rsidR="005B2BAD" w:rsidRPr="00520861" w:rsidRDefault="005B2BAD" w:rsidP="00292D2E">
      <w:pPr>
        <w:widowControl w:val="0"/>
        <w:spacing w:line="360" w:lineRule="auto"/>
        <w:ind w:firstLine="709"/>
        <w:jc w:val="both"/>
        <w:rPr>
          <w:sz w:val="28"/>
          <w:szCs w:val="28"/>
        </w:rPr>
      </w:pPr>
      <w:r w:rsidRPr="00520861">
        <w:rPr>
          <w:sz w:val="28"/>
          <w:szCs w:val="28"/>
        </w:rPr>
        <w:t xml:space="preserve">Отже, особливості </w:t>
      </w:r>
      <w:r w:rsidR="00960726" w:rsidRPr="00520861">
        <w:rPr>
          <w:sz w:val="28"/>
          <w:szCs w:val="28"/>
          <w:lang w:eastAsia="x-none" w:bidi="lo-LA"/>
        </w:rPr>
        <w:t>ВУ</w:t>
      </w:r>
      <w:r w:rsidR="00960726" w:rsidRPr="00520861">
        <w:rPr>
          <w:sz w:val="28"/>
          <w:szCs w:val="28"/>
        </w:rPr>
        <w:t xml:space="preserve"> </w:t>
      </w:r>
      <w:r w:rsidR="00A454EB" w:rsidRPr="00520861">
        <w:rPr>
          <w:sz w:val="28"/>
          <w:szCs w:val="28"/>
        </w:rPr>
        <w:t xml:space="preserve">розвитку за </w:t>
      </w:r>
      <w:proofErr w:type="spellStart"/>
      <w:r w:rsidR="00A454EB" w:rsidRPr="00520861">
        <w:rPr>
          <w:sz w:val="28"/>
          <w:szCs w:val="28"/>
        </w:rPr>
        <w:t>макросомії</w:t>
      </w:r>
      <w:proofErr w:type="spellEnd"/>
      <w:r w:rsidR="00A454EB" w:rsidRPr="00520861">
        <w:rPr>
          <w:sz w:val="28"/>
          <w:szCs w:val="28"/>
        </w:rPr>
        <w:t xml:space="preserve"> плода</w:t>
      </w:r>
      <w:r w:rsidRPr="00520861">
        <w:rPr>
          <w:sz w:val="28"/>
          <w:szCs w:val="28"/>
        </w:rPr>
        <w:t xml:space="preserve"> сприяють формуванню </w:t>
      </w:r>
      <w:r w:rsidR="00567946" w:rsidRPr="00520861">
        <w:rPr>
          <w:sz w:val="28"/>
          <w:szCs w:val="28"/>
        </w:rPr>
        <w:br/>
      </w:r>
      <w:r w:rsidRPr="00520861">
        <w:rPr>
          <w:sz w:val="28"/>
          <w:szCs w:val="28"/>
        </w:rPr>
        <w:t>певних стійких порушень кісткової тканини, зокрема, тканин щелеп, твердих тканин зубів, слинних залоз й інших тканин та органів</w:t>
      </w:r>
      <w:r w:rsidR="002826E4" w:rsidRPr="00520861">
        <w:rPr>
          <w:sz w:val="28"/>
          <w:szCs w:val="28"/>
        </w:rPr>
        <w:t xml:space="preserve"> ПР</w:t>
      </w:r>
      <w:r w:rsidRPr="00520861">
        <w:rPr>
          <w:sz w:val="28"/>
          <w:szCs w:val="28"/>
        </w:rPr>
        <w:t xml:space="preserve">. Вони визначають подальший </w:t>
      </w:r>
      <w:r w:rsidR="00567946" w:rsidRPr="00520861">
        <w:rPr>
          <w:sz w:val="28"/>
          <w:szCs w:val="28"/>
        </w:rPr>
        <w:br/>
      </w:r>
      <w:r w:rsidRPr="00520861">
        <w:rPr>
          <w:sz w:val="28"/>
          <w:szCs w:val="28"/>
        </w:rPr>
        <w:t xml:space="preserve">напрямок розвитку та </w:t>
      </w:r>
      <w:proofErr w:type="spellStart"/>
      <w:r w:rsidRPr="00520861">
        <w:rPr>
          <w:sz w:val="28"/>
          <w:szCs w:val="28"/>
        </w:rPr>
        <w:t>ремоделювання</w:t>
      </w:r>
      <w:proofErr w:type="spellEnd"/>
      <w:r w:rsidRPr="00520861">
        <w:rPr>
          <w:sz w:val="28"/>
          <w:szCs w:val="28"/>
        </w:rPr>
        <w:t xml:space="preserve"> кісткової тканини осіб, антропометричні </w:t>
      </w:r>
      <w:r w:rsidR="00567946" w:rsidRPr="00520861">
        <w:rPr>
          <w:sz w:val="28"/>
          <w:szCs w:val="28"/>
        </w:rPr>
        <w:br/>
      </w:r>
      <w:r w:rsidRPr="00520861">
        <w:rPr>
          <w:sz w:val="28"/>
          <w:szCs w:val="28"/>
        </w:rPr>
        <w:lastRenderedPageBreak/>
        <w:t xml:space="preserve">параметри яких при народженні перевищували норму, в умовах гіпотиреозу чи </w:t>
      </w:r>
      <w:r w:rsidR="0078739D" w:rsidRPr="00520861">
        <w:rPr>
          <w:sz w:val="28"/>
          <w:szCs w:val="28"/>
        </w:rPr>
        <w:br/>
      </w:r>
      <w:r w:rsidRPr="00520861">
        <w:rPr>
          <w:sz w:val="28"/>
          <w:szCs w:val="28"/>
        </w:rPr>
        <w:t>гіпертиреозу.</w:t>
      </w:r>
    </w:p>
    <w:p w14:paraId="0F9D1D4D" w14:textId="77777777" w:rsidR="005B2BAD" w:rsidRPr="00520861" w:rsidRDefault="005B2BAD" w:rsidP="00292D2E">
      <w:pPr>
        <w:widowControl w:val="0"/>
        <w:spacing w:line="360" w:lineRule="auto"/>
        <w:ind w:right="-1" w:firstLine="709"/>
        <w:jc w:val="both"/>
        <w:rPr>
          <w:rFonts w:eastAsia="Calibri"/>
          <w:spacing w:val="-2"/>
          <w:sz w:val="28"/>
          <w:szCs w:val="28"/>
          <w:lang w:eastAsia="en-US"/>
        </w:rPr>
      </w:pPr>
      <w:r w:rsidRPr="00520861">
        <w:rPr>
          <w:rFonts w:eastAsia="Calibri"/>
          <w:spacing w:val="-2"/>
          <w:sz w:val="28"/>
          <w:szCs w:val="28"/>
          <w:lang w:eastAsia="en-US"/>
        </w:rPr>
        <w:t>Високу інтенсивність карієсу тимчасових або постійних зубів дослідники пов’язують з поганою гігієною</w:t>
      </w:r>
      <w:r w:rsidR="002826E4" w:rsidRPr="00520861">
        <w:rPr>
          <w:rFonts w:eastAsia="Calibri"/>
          <w:spacing w:val="-2"/>
          <w:sz w:val="28"/>
          <w:szCs w:val="28"/>
          <w:lang w:eastAsia="en-US"/>
        </w:rPr>
        <w:t xml:space="preserve"> ПР</w:t>
      </w:r>
      <w:r w:rsidRPr="00520861">
        <w:rPr>
          <w:rFonts w:eastAsia="Calibri"/>
          <w:spacing w:val="-2"/>
          <w:sz w:val="28"/>
          <w:szCs w:val="28"/>
          <w:lang w:eastAsia="en-US"/>
        </w:rPr>
        <w:t xml:space="preserve">, складом слини, що продукується малими й великими слинними залозами, генетичною обумовленістю недостатньої мінералізації </w:t>
      </w:r>
      <w:r w:rsidR="00791F60" w:rsidRPr="00520861">
        <w:rPr>
          <w:rFonts w:eastAsia="Calibri"/>
          <w:spacing w:val="-2"/>
          <w:sz w:val="28"/>
          <w:szCs w:val="28"/>
          <w:lang w:eastAsia="en-US"/>
        </w:rPr>
        <w:br/>
      </w:r>
      <w:r w:rsidRPr="00520861">
        <w:rPr>
          <w:rFonts w:eastAsia="Calibri"/>
          <w:spacing w:val="-2"/>
          <w:sz w:val="28"/>
          <w:szCs w:val="28"/>
          <w:lang w:eastAsia="en-US"/>
        </w:rPr>
        <w:t>твердих тканин зубів, наявністю системних захворювань та іншими чинниками [</w:t>
      </w:r>
      <w:r w:rsidR="00B3234D" w:rsidRPr="00520861">
        <w:rPr>
          <w:rFonts w:eastAsia="Calibri"/>
          <w:spacing w:val="-2"/>
          <w:sz w:val="28"/>
          <w:szCs w:val="28"/>
          <w:lang w:eastAsia="en-US"/>
        </w:rPr>
        <w:t>572</w:t>
      </w:r>
      <w:r w:rsidRPr="00520861">
        <w:rPr>
          <w:rFonts w:eastAsia="Calibri"/>
          <w:spacing w:val="-2"/>
          <w:sz w:val="28"/>
          <w:szCs w:val="28"/>
          <w:lang w:eastAsia="en-US"/>
        </w:rPr>
        <w:t>].</w:t>
      </w:r>
    </w:p>
    <w:p w14:paraId="1979C939" w14:textId="77777777" w:rsidR="005B2BAD" w:rsidRPr="00520861" w:rsidRDefault="005B2BAD" w:rsidP="00292D2E">
      <w:pPr>
        <w:widowControl w:val="0"/>
        <w:spacing w:line="360" w:lineRule="auto"/>
        <w:ind w:firstLine="708"/>
        <w:jc w:val="both"/>
        <w:rPr>
          <w:rFonts w:eastAsia="Calibri"/>
          <w:sz w:val="28"/>
          <w:szCs w:val="28"/>
        </w:rPr>
      </w:pPr>
      <w:r w:rsidRPr="00520861">
        <w:rPr>
          <w:rFonts w:eastAsia="Calibri"/>
          <w:sz w:val="28"/>
          <w:szCs w:val="28"/>
        </w:rPr>
        <w:t xml:space="preserve">Загальновідомо, що зміни в структурі </w:t>
      </w:r>
      <w:r w:rsidR="0066618B" w:rsidRPr="00520861">
        <w:rPr>
          <w:rFonts w:eastAsia="Calibri"/>
          <w:sz w:val="28"/>
          <w:szCs w:val="28"/>
        </w:rPr>
        <w:t>твердої й сполучної тканин зуба та</w:t>
      </w:r>
      <w:r w:rsidRPr="00520861">
        <w:rPr>
          <w:rFonts w:eastAsia="Calibri"/>
          <w:sz w:val="28"/>
          <w:szCs w:val="28"/>
        </w:rPr>
        <w:t xml:space="preserve"> порушення кровопостачання викликані порушенням</w:t>
      </w:r>
      <w:r w:rsidR="00791F60" w:rsidRPr="00520861">
        <w:rPr>
          <w:rFonts w:eastAsia="Calibri"/>
          <w:sz w:val="28"/>
          <w:szCs w:val="28"/>
        </w:rPr>
        <w:t xml:space="preserve"> обміну речовин. Чимало фахівців</w:t>
      </w:r>
      <w:r w:rsidRPr="00520861">
        <w:rPr>
          <w:rFonts w:eastAsia="Calibri"/>
          <w:sz w:val="28"/>
          <w:szCs w:val="28"/>
        </w:rPr>
        <w:t xml:space="preserve"> зазначають про негативний вплив ожиріння, цукрового діабету та метаболічного </w:t>
      </w:r>
      <w:r w:rsidR="00567946" w:rsidRPr="00520861">
        <w:rPr>
          <w:rFonts w:eastAsia="Calibri"/>
          <w:sz w:val="28"/>
          <w:szCs w:val="28"/>
        </w:rPr>
        <w:br/>
      </w:r>
      <w:r w:rsidRPr="00520861">
        <w:rPr>
          <w:rFonts w:eastAsia="Calibri"/>
          <w:sz w:val="28"/>
          <w:szCs w:val="28"/>
        </w:rPr>
        <w:t>синдрому на стан твердих тканин зубів</w:t>
      </w:r>
      <w:r w:rsidR="00852A93" w:rsidRPr="00520861">
        <w:rPr>
          <w:rFonts w:eastAsia="Calibri"/>
          <w:sz w:val="28"/>
          <w:szCs w:val="28"/>
        </w:rPr>
        <w:t>, стан СОПР</w:t>
      </w:r>
      <w:r w:rsidR="0036213E" w:rsidRPr="00520861">
        <w:rPr>
          <w:rFonts w:eastAsia="Calibri"/>
          <w:sz w:val="28"/>
          <w:szCs w:val="28"/>
        </w:rPr>
        <w:t xml:space="preserve"> [</w:t>
      </w:r>
      <w:r w:rsidR="00B3234D" w:rsidRPr="00520861">
        <w:rPr>
          <w:rFonts w:eastAsia="Calibri"/>
          <w:sz w:val="28"/>
          <w:szCs w:val="28"/>
        </w:rPr>
        <w:t>348</w:t>
      </w:r>
      <w:r w:rsidR="0036213E" w:rsidRPr="00520861">
        <w:rPr>
          <w:rFonts w:eastAsia="Calibri"/>
          <w:sz w:val="28"/>
          <w:szCs w:val="28"/>
        </w:rPr>
        <w:t>,</w:t>
      </w:r>
      <w:r w:rsidR="00B3234D" w:rsidRPr="00520861">
        <w:rPr>
          <w:rFonts w:eastAsia="Calibri"/>
          <w:sz w:val="28"/>
          <w:szCs w:val="28"/>
        </w:rPr>
        <w:t xml:space="preserve"> 449, 456</w:t>
      </w:r>
      <w:r w:rsidRPr="00520861">
        <w:rPr>
          <w:rFonts w:eastAsia="Calibri"/>
          <w:sz w:val="28"/>
          <w:szCs w:val="28"/>
        </w:rPr>
        <w:t xml:space="preserve">]. Боротьбі </w:t>
      </w:r>
      <w:r w:rsidR="007E65C2" w:rsidRPr="00520861">
        <w:rPr>
          <w:rFonts w:eastAsia="Calibri"/>
          <w:sz w:val="28"/>
          <w:szCs w:val="28"/>
        </w:rPr>
        <w:br/>
      </w:r>
      <w:r w:rsidRPr="00520861">
        <w:rPr>
          <w:rFonts w:eastAsia="Calibri"/>
          <w:sz w:val="28"/>
          <w:szCs w:val="28"/>
        </w:rPr>
        <w:t>із цим приділяється значна увага.</w:t>
      </w:r>
    </w:p>
    <w:p w14:paraId="702956A9" w14:textId="77777777" w:rsidR="005B2BAD" w:rsidRPr="00520861" w:rsidRDefault="00960726" w:rsidP="00292D2E">
      <w:pPr>
        <w:widowControl w:val="0"/>
        <w:spacing w:line="360" w:lineRule="auto"/>
        <w:ind w:firstLine="708"/>
        <w:jc w:val="both"/>
        <w:rPr>
          <w:sz w:val="28"/>
          <w:szCs w:val="28"/>
        </w:rPr>
      </w:pPr>
      <w:r w:rsidRPr="00520861">
        <w:rPr>
          <w:rFonts w:eastAsia="Calibri"/>
          <w:sz w:val="28"/>
          <w:szCs w:val="28"/>
        </w:rPr>
        <w:t xml:space="preserve">Окремою проблемою є </w:t>
      </w:r>
      <w:proofErr w:type="spellStart"/>
      <w:r w:rsidR="005B2BAD" w:rsidRPr="00520861">
        <w:rPr>
          <w:rFonts w:eastAsia="Calibri"/>
          <w:sz w:val="28"/>
          <w:szCs w:val="28"/>
        </w:rPr>
        <w:t>мак</w:t>
      </w:r>
      <w:r w:rsidR="00055865" w:rsidRPr="00520861">
        <w:rPr>
          <w:rFonts w:eastAsia="Calibri"/>
          <w:sz w:val="28"/>
          <w:szCs w:val="28"/>
        </w:rPr>
        <w:t>росомія</w:t>
      </w:r>
      <w:proofErr w:type="spellEnd"/>
      <w:r w:rsidR="00B625EC" w:rsidRPr="00520861">
        <w:rPr>
          <w:rFonts w:eastAsia="Calibri"/>
          <w:sz w:val="28"/>
          <w:szCs w:val="28"/>
        </w:rPr>
        <w:t xml:space="preserve"> плода</w:t>
      </w:r>
      <w:r w:rsidR="005B2BAD" w:rsidRPr="00520861">
        <w:rPr>
          <w:rFonts w:eastAsia="Calibri"/>
          <w:sz w:val="28"/>
          <w:szCs w:val="28"/>
        </w:rPr>
        <w:t xml:space="preserve">. </w:t>
      </w:r>
      <w:r w:rsidR="00D02465" w:rsidRPr="00520861">
        <w:rPr>
          <w:sz w:val="28"/>
          <w:szCs w:val="28"/>
        </w:rPr>
        <w:t xml:space="preserve">Якщо особа, яка народилася з </w:t>
      </w:r>
      <w:proofErr w:type="spellStart"/>
      <w:r w:rsidR="00D02465" w:rsidRPr="00520861">
        <w:rPr>
          <w:sz w:val="28"/>
          <w:szCs w:val="28"/>
        </w:rPr>
        <w:t>макросо</w:t>
      </w:r>
      <w:r w:rsidR="00055865" w:rsidRPr="00520861">
        <w:rPr>
          <w:sz w:val="28"/>
          <w:szCs w:val="28"/>
        </w:rPr>
        <w:t>м</w:t>
      </w:r>
      <w:r w:rsidR="00D02465" w:rsidRPr="00520861">
        <w:rPr>
          <w:sz w:val="28"/>
          <w:szCs w:val="28"/>
        </w:rPr>
        <w:t>ією</w:t>
      </w:r>
      <w:proofErr w:type="spellEnd"/>
      <w:r w:rsidR="00D02465" w:rsidRPr="00520861">
        <w:rPr>
          <w:sz w:val="28"/>
          <w:szCs w:val="28"/>
        </w:rPr>
        <w:t>,</w:t>
      </w:r>
      <w:r w:rsidR="005B2BAD" w:rsidRPr="00520861">
        <w:rPr>
          <w:sz w:val="28"/>
          <w:szCs w:val="28"/>
        </w:rPr>
        <w:t xml:space="preserve"> на момент обстеження не мала ожиріння чи недостатньої маси тіла, то, зазвичай, паралелі між її загальним станом при народженні та станом тканин</w:t>
      </w:r>
      <w:r w:rsidR="002826E4" w:rsidRPr="00520861">
        <w:rPr>
          <w:sz w:val="28"/>
          <w:szCs w:val="28"/>
        </w:rPr>
        <w:t xml:space="preserve"> ПР </w:t>
      </w:r>
      <w:r w:rsidR="005B2BAD" w:rsidRPr="00520861">
        <w:rPr>
          <w:sz w:val="28"/>
          <w:szCs w:val="28"/>
        </w:rPr>
        <w:t>на момент обстеження не проводять. Лише нещодавно</w:t>
      </w:r>
      <w:r w:rsidR="005B2BAD" w:rsidRPr="00520861">
        <w:rPr>
          <w:rFonts w:eastAsia="Calibri"/>
          <w:sz w:val="28"/>
          <w:szCs w:val="28"/>
        </w:rPr>
        <w:t xml:space="preserve"> вчені звернули увагу на метаболічні та інші порушення, які мали місце </w:t>
      </w:r>
      <w:r w:rsidR="007259E8" w:rsidRPr="00520861">
        <w:rPr>
          <w:sz w:val="28"/>
          <w:szCs w:val="28"/>
          <w:lang w:eastAsia="x-none" w:bidi="lo-LA"/>
        </w:rPr>
        <w:t>ВУ</w:t>
      </w:r>
      <w:r w:rsidR="005B2BAD" w:rsidRPr="00520861">
        <w:rPr>
          <w:rFonts w:eastAsia="Calibri"/>
          <w:sz w:val="28"/>
          <w:szCs w:val="28"/>
        </w:rPr>
        <w:t>, а згодом спричинили певні зміни в стома</w:t>
      </w:r>
      <w:r w:rsidR="00AA4298" w:rsidRPr="00520861">
        <w:rPr>
          <w:rFonts w:eastAsia="Calibri"/>
          <w:sz w:val="28"/>
          <w:szCs w:val="28"/>
        </w:rPr>
        <w:t>тологічному статусі дитини [91</w:t>
      </w:r>
      <w:r w:rsidR="005B2BAD" w:rsidRPr="00520861">
        <w:rPr>
          <w:rFonts w:eastAsia="Calibri"/>
          <w:sz w:val="28"/>
          <w:szCs w:val="28"/>
        </w:rPr>
        <w:t>].</w:t>
      </w:r>
      <w:r w:rsidR="00BC01EB" w:rsidRPr="00520861">
        <w:rPr>
          <w:sz w:val="28"/>
          <w:szCs w:val="28"/>
        </w:rPr>
        <w:t xml:space="preserve"> </w:t>
      </w:r>
      <w:r w:rsidR="005B2BAD" w:rsidRPr="00520861">
        <w:rPr>
          <w:rFonts w:eastAsia="Calibri"/>
          <w:sz w:val="28"/>
          <w:szCs w:val="28"/>
          <w:lang w:eastAsia="en-US"/>
        </w:rPr>
        <w:t xml:space="preserve">Виникнення досліджень, у яких наявні відомості про </w:t>
      </w:r>
      <w:proofErr w:type="spellStart"/>
      <w:r w:rsidR="00E62082" w:rsidRPr="00520861">
        <w:rPr>
          <w:rFonts w:eastAsia="Calibri"/>
          <w:sz w:val="28"/>
          <w:szCs w:val="28"/>
          <w:lang w:eastAsia="en-US"/>
        </w:rPr>
        <w:t>СтП</w:t>
      </w:r>
      <w:proofErr w:type="spellEnd"/>
      <w:r w:rsidR="00055865" w:rsidRPr="00520861">
        <w:rPr>
          <w:rFonts w:eastAsia="Calibri"/>
          <w:sz w:val="28"/>
          <w:szCs w:val="28"/>
          <w:lang w:eastAsia="en-US"/>
        </w:rPr>
        <w:t xml:space="preserve"> у</w:t>
      </w:r>
      <w:r w:rsidR="005B2BAD" w:rsidRPr="00520861">
        <w:rPr>
          <w:rFonts w:eastAsia="Calibri"/>
          <w:sz w:val="28"/>
          <w:szCs w:val="28"/>
          <w:lang w:eastAsia="en-US"/>
        </w:rPr>
        <w:t xml:space="preserve"> дітей з </w:t>
      </w:r>
      <w:proofErr w:type="spellStart"/>
      <w:r w:rsidR="005B2BAD" w:rsidRPr="00520861">
        <w:rPr>
          <w:rFonts w:eastAsia="Calibri"/>
          <w:sz w:val="28"/>
          <w:szCs w:val="28"/>
          <w:lang w:eastAsia="en-US"/>
        </w:rPr>
        <w:t>перинатальною</w:t>
      </w:r>
      <w:proofErr w:type="spellEnd"/>
      <w:r w:rsidR="005B2BAD" w:rsidRPr="00520861">
        <w:rPr>
          <w:rFonts w:eastAsia="Calibri"/>
          <w:sz w:val="28"/>
          <w:szCs w:val="28"/>
          <w:lang w:eastAsia="en-US"/>
        </w:rPr>
        <w:t xml:space="preserve"> патологією в анамнезі, пояснюється бажанням більш ретельно підійти до питань корекції цих порушень.</w:t>
      </w:r>
    </w:p>
    <w:p w14:paraId="7CEE921E" w14:textId="77777777" w:rsidR="005B2BAD" w:rsidRPr="00520861" w:rsidRDefault="005B2BAD" w:rsidP="00292D2E">
      <w:pPr>
        <w:widowControl w:val="0"/>
        <w:spacing w:line="360" w:lineRule="auto"/>
        <w:ind w:firstLine="709"/>
        <w:jc w:val="both"/>
        <w:rPr>
          <w:rFonts w:eastAsia="Calibri"/>
          <w:spacing w:val="-4"/>
          <w:sz w:val="28"/>
          <w:szCs w:val="28"/>
          <w:lang w:eastAsia="en-US"/>
        </w:rPr>
      </w:pPr>
      <w:r w:rsidRPr="00520861">
        <w:rPr>
          <w:rFonts w:eastAsia="Calibri"/>
          <w:spacing w:val="-4"/>
          <w:sz w:val="28"/>
          <w:szCs w:val="28"/>
          <w:lang w:eastAsia="en-US"/>
        </w:rPr>
        <w:t>Проблему профілактики стома</w:t>
      </w:r>
      <w:r w:rsidR="00830140" w:rsidRPr="00520861">
        <w:rPr>
          <w:rFonts w:eastAsia="Calibri"/>
          <w:spacing w:val="-4"/>
          <w:sz w:val="28"/>
          <w:szCs w:val="28"/>
          <w:lang w:eastAsia="en-US"/>
        </w:rPr>
        <w:t>тологічних захворювань складно</w:t>
      </w:r>
      <w:r w:rsidRPr="00520861">
        <w:rPr>
          <w:rFonts w:eastAsia="Calibri"/>
          <w:spacing w:val="-4"/>
          <w:sz w:val="28"/>
          <w:szCs w:val="28"/>
          <w:lang w:eastAsia="en-US"/>
        </w:rPr>
        <w:t xml:space="preserve"> розв’язати без </w:t>
      </w:r>
      <w:r w:rsidR="00567946" w:rsidRPr="00520861">
        <w:rPr>
          <w:rFonts w:eastAsia="Calibri"/>
          <w:spacing w:val="-4"/>
          <w:sz w:val="28"/>
          <w:szCs w:val="28"/>
          <w:lang w:eastAsia="en-US"/>
        </w:rPr>
        <w:br/>
      </w:r>
      <w:r w:rsidRPr="00520861">
        <w:rPr>
          <w:rFonts w:eastAsia="Calibri"/>
          <w:spacing w:val="-4"/>
          <w:sz w:val="28"/>
          <w:szCs w:val="28"/>
          <w:lang w:eastAsia="en-US"/>
        </w:rPr>
        <w:t xml:space="preserve">чіткого розуміння особливостей стоматологічного статусу осіб кожної вікової категорії. У роботах вітчизняних і закордонних науковців наявний акцент на тому, що, крім </w:t>
      </w:r>
      <w:r w:rsidR="00567946" w:rsidRPr="00520861">
        <w:rPr>
          <w:rFonts w:eastAsia="Calibri"/>
          <w:spacing w:val="-4"/>
          <w:sz w:val="28"/>
          <w:szCs w:val="28"/>
          <w:lang w:eastAsia="en-US"/>
        </w:rPr>
        <w:br/>
      </w:r>
      <w:r w:rsidRPr="00520861">
        <w:rPr>
          <w:rFonts w:eastAsia="Calibri"/>
          <w:spacing w:val="-4"/>
          <w:sz w:val="28"/>
          <w:szCs w:val="28"/>
          <w:lang w:eastAsia="en-US"/>
        </w:rPr>
        <w:t>індексів інтенсивності та поширеності карієсу</w:t>
      </w:r>
      <w:r w:rsidR="00055865" w:rsidRPr="00520861">
        <w:rPr>
          <w:rFonts w:eastAsia="Calibri"/>
          <w:spacing w:val="-4"/>
          <w:sz w:val="28"/>
          <w:szCs w:val="28"/>
          <w:lang w:eastAsia="en-US"/>
        </w:rPr>
        <w:t>, у дітей дошкільного віку</w:t>
      </w:r>
      <w:r w:rsidR="00830140" w:rsidRPr="00520861">
        <w:rPr>
          <w:rFonts w:eastAsia="Calibri"/>
          <w:spacing w:val="-4"/>
          <w:sz w:val="28"/>
          <w:szCs w:val="28"/>
          <w:lang w:eastAsia="en-US"/>
        </w:rPr>
        <w:t xml:space="preserve"> треба</w:t>
      </w:r>
      <w:r w:rsidRPr="00520861">
        <w:rPr>
          <w:rFonts w:eastAsia="Calibri"/>
          <w:spacing w:val="-4"/>
          <w:sz w:val="28"/>
          <w:szCs w:val="28"/>
          <w:lang w:eastAsia="en-US"/>
        </w:rPr>
        <w:t xml:space="preserve"> звертати увагу на ранній дитячий карієс</w:t>
      </w:r>
      <w:r w:rsidR="001A4384" w:rsidRPr="00520861">
        <w:rPr>
          <w:rFonts w:eastAsia="Calibri"/>
          <w:spacing w:val="-4"/>
          <w:sz w:val="28"/>
          <w:szCs w:val="28"/>
          <w:lang w:eastAsia="en-US"/>
        </w:rPr>
        <w:t xml:space="preserve"> (РДК</w:t>
      </w:r>
      <w:r w:rsidRPr="00520861">
        <w:rPr>
          <w:rFonts w:eastAsia="Calibri"/>
          <w:spacing w:val="-4"/>
          <w:sz w:val="28"/>
          <w:szCs w:val="28"/>
          <w:lang w:eastAsia="en-US"/>
        </w:rPr>
        <w:t>), який вини</w:t>
      </w:r>
      <w:r w:rsidR="00DA2727" w:rsidRPr="00520861">
        <w:rPr>
          <w:rFonts w:eastAsia="Calibri"/>
          <w:spacing w:val="-4"/>
          <w:sz w:val="28"/>
          <w:szCs w:val="28"/>
          <w:lang w:eastAsia="en-US"/>
        </w:rPr>
        <w:t>кає, якщо у</w:t>
      </w:r>
      <w:r w:rsidRPr="00520861">
        <w:rPr>
          <w:rFonts w:eastAsia="Calibri"/>
          <w:spacing w:val="-4"/>
          <w:sz w:val="28"/>
          <w:szCs w:val="28"/>
          <w:lang w:eastAsia="en-US"/>
        </w:rPr>
        <w:t xml:space="preserve"> дитини дошкільного віку (віком до 71 місяця ) є ознаки карієсу хоча б одного тимчасового зуба [</w:t>
      </w:r>
      <w:r w:rsidR="005F1608" w:rsidRPr="00520861">
        <w:rPr>
          <w:rFonts w:eastAsia="Calibri"/>
          <w:spacing w:val="-4"/>
          <w:sz w:val="28"/>
          <w:szCs w:val="28"/>
          <w:lang w:eastAsia="en-US"/>
        </w:rPr>
        <w:t>200, 233</w:t>
      </w:r>
      <w:r w:rsidRPr="00520861">
        <w:rPr>
          <w:rFonts w:eastAsia="Calibri"/>
          <w:spacing w:val="-4"/>
          <w:sz w:val="28"/>
          <w:szCs w:val="28"/>
          <w:lang w:eastAsia="en-US"/>
        </w:rPr>
        <w:t>].</w:t>
      </w:r>
    </w:p>
    <w:p w14:paraId="67688B7F"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Діагноз «тяжкий</w:t>
      </w:r>
      <w:r w:rsidR="00DA2727" w:rsidRPr="00520861">
        <w:rPr>
          <w:rFonts w:eastAsia="Calibri"/>
          <w:sz w:val="28"/>
          <w:szCs w:val="28"/>
          <w:lang w:eastAsia="en-US"/>
        </w:rPr>
        <w:t xml:space="preserve"> РДК</w:t>
      </w:r>
      <w:r w:rsidRPr="00520861">
        <w:rPr>
          <w:rFonts w:eastAsia="Calibri"/>
          <w:sz w:val="28"/>
          <w:szCs w:val="28"/>
          <w:lang w:eastAsia="en-US"/>
        </w:rPr>
        <w:t xml:space="preserve">» ставиться за наявності в дитини віком до 3 років ознак карієсу імунних зон зубів, а також запломбованої або втраченої гладкої поверхні будь-якого зуба в дитини віком 3–5 років. Цей діагноз може бути поставлений, якщо індекс </w:t>
      </w:r>
      <w:proofErr w:type="spellStart"/>
      <w:r w:rsidRPr="00520861">
        <w:rPr>
          <w:rFonts w:eastAsia="Calibri"/>
          <w:sz w:val="28"/>
          <w:szCs w:val="28"/>
          <w:lang w:eastAsia="en-US"/>
        </w:rPr>
        <w:t>кпв</w:t>
      </w:r>
      <w:proofErr w:type="spellEnd"/>
      <w:r w:rsidRPr="00520861">
        <w:rPr>
          <w:rFonts w:eastAsia="Calibri"/>
          <w:sz w:val="28"/>
          <w:szCs w:val="28"/>
          <w:lang w:eastAsia="en-US"/>
        </w:rPr>
        <w:t xml:space="preserve"> (сумарна кількість каріозних, пломбованих і видалених тимчасових зубів) у дитини віком 3 роки більший або дорівнює 4, у дітей віком 4 роки – більший або </w:t>
      </w:r>
      <w:r w:rsidRPr="00520861">
        <w:rPr>
          <w:rFonts w:eastAsia="Calibri"/>
          <w:sz w:val="28"/>
          <w:szCs w:val="28"/>
          <w:lang w:eastAsia="en-US"/>
        </w:rPr>
        <w:lastRenderedPageBreak/>
        <w:t xml:space="preserve">дорівнює 5, а в дітей віком 5 років – більший або </w:t>
      </w:r>
      <w:r w:rsidR="007E65C2" w:rsidRPr="00520861">
        <w:rPr>
          <w:rFonts w:eastAsia="Calibri"/>
          <w:sz w:val="28"/>
          <w:szCs w:val="28"/>
          <w:lang w:eastAsia="en-US"/>
        </w:rPr>
        <w:t>дорівнює 6 </w:t>
      </w:r>
      <w:r w:rsidRPr="00520861">
        <w:rPr>
          <w:rFonts w:eastAsia="Calibri"/>
          <w:sz w:val="28"/>
          <w:szCs w:val="28"/>
          <w:lang w:eastAsia="en-US"/>
        </w:rPr>
        <w:t>[</w:t>
      </w:r>
      <w:r w:rsidR="0064166B" w:rsidRPr="00520861">
        <w:rPr>
          <w:rFonts w:eastAsia="Calibri"/>
          <w:sz w:val="28"/>
          <w:szCs w:val="28"/>
          <w:lang w:eastAsia="en-US"/>
        </w:rPr>
        <w:t>200</w:t>
      </w:r>
      <w:r w:rsidRPr="00520861">
        <w:rPr>
          <w:rFonts w:eastAsia="Calibri"/>
          <w:sz w:val="28"/>
          <w:szCs w:val="28"/>
          <w:lang w:eastAsia="en-US"/>
        </w:rPr>
        <w:t>].</w:t>
      </w:r>
    </w:p>
    <w:p w14:paraId="30BC780E"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Актуальність проблеми, що вивчається, підтверджують публікації закордонних науковців стосовно високої інтенсивності карієсу в дітей і підлітків з великою масою тіла при народженні</w:t>
      </w:r>
      <w:r w:rsidR="005F0B08" w:rsidRPr="00520861">
        <w:rPr>
          <w:rFonts w:eastAsia="Calibri"/>
          <w:sz w:val="28"/>
          <w:szCs w:val="28"/>
          <w:lang w:eastAsia="en-US"/>
        </w:rPr>
        <w:t xml:space="preserve"> [</w:t>
      </w:r>
      <w:r w:rsidR="0064166B" w:rsidRPr="00520861">
        <w:rPr>
          <w:rFonts w:eastAsia="Calibri"/>
          <w:sz w:val="28"/>
          <w:szCs w:val="28"/>
          <w:lang w:eastAsia="en-US"/>
        </w:rPr>
        <w:t>354</w:t>
      </w:r>
      <w:r w:rsidR="005F0B08" w:rsidRPr="00520861">
        <w:rPr>
          <w:rFonts w:eastAsia="Calibri"/>
          <w:sz w:val="28"/>
          <w:szCs w:val="28"/>
          <w:lang w:eastAsia="en-US"/>
        </w:rPr>
        <w:t>,</w:t>
      </w:r>
      <w:r w:rsidR="0064166B" w:rsidRPr="00520861">
        <w:rPr>
          <w:rFonts w:eastAsia="Calibri"/>
          <w:sz w:val="28"/>
          <w:szCs w:val="28"/>
          <w:lang w:eastAsia="en-US"/>
        </w:rPr>
        <w:t xml:space="preserve"> 370, 573, 579</w:t>
      </w:r>
      <w:r w:rsidR="005F0B08" w:rsidRPr="00520861">
        <w:rPr>
          <w:rFonts w:eastAsia="Calibri"/>
          <w:sz w:val="28"/>
          <w:szCs w:val="28"/>
          <w:lang w:eastAsia="en-US"/>
        </w:rPr>
        <w:t>]</w:t>
      </w:r>
      <w:r w:rsidRPr="00520861">
        <w:rPr>
          <w:rFonts w:eastAsia="Calibri"/>
          <w:sz w:val="28"/>
          <w:szCs w:val="28"/>
          <w:lang w:eastAsia="en-US"/>
        </w:rPr>
        <w:t xml:space="preserve">. </w:t>
      </w:r>
    </w:p>
    <w:p w14:paraId="495680A9" w14:textId="77777777" w:rsidR="005B2BAD" w:rsidRPr="00520861" w:rsidRDefault="005B2BAD"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Натомість відомості про особливості стоматологічного статусу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у період тимчасового та </w:t>
      </w:r>
      <w:r w:rsidR="00991143" w:rsidRPr="00520861">
        <w:rPr>
          <w:rFonts w:eastAsia="Calibri"/>
          <w:sz w:val="28"/>
          <w:szCs w:val="28"/>
          <w:lang w:eastAsia="en-US"/>
        </w:rPr>
        <w:t>змінного прикусу, які народилися</w:t>
      </w:r>
      <w:r w:rsidRPr="00520861">
        <w:rPr>
          <w:rFonts w:eastAsia="Calibri"/>
          <w:sz w:val="28"/>
          <w:szCs w:val="28"/>
          <w:lang w:eastAsia="en-US"/>
        </w:rPr>
        <w:t xml:space="preserve"> в Україні, </w:t>
      </w:r>
      <w:r w:rsidR="007E65C2" w:rsidRPr="00520861">
        <w:rPr>
          <w:rFonts w:eastAsia="Calibri"/>
          <w:sz w:val="28"/>
          <w:szCs w:val="28"/>
          <w:lang w:eastAsia="en-US"/>
        </w:rPr>
        <w:br/>
      </w:r>
      <w:r w:rsidRPr="00520861">
        <w:rPr>
          <w:rFonts w:eastAsia="Calibri"/>
          <w:sz w:val="28"/>
          <w:szCs w:val="28"/>
          <w:lang w:eastAsia="en-US"/>
        </w:rPr>
        <w:t>украй нечисленні [</w:t>
      </w:r>
      <w:r w:rsidR="000F00A9" w:rsidRPr="00520861">
        <w:rPr>
          <w:rFonts w:eastAsia="Calibri"/>
          <w:sz w:val="28"/>
          <w:szCs w:val="28"/>
          <w:lang w:eastAsia="en-US"/>
        </w:rPr>
        <w:t>178</w:t>
      </w:r>
      <w:r w:rsidRPr="00520861">
        <w:rPr>
          <w:rFonts w:eastAsia="Calibri"/>
          <w:sz w:val="28"/>
          <w:szCs w:val="28"/>
          <w:lang w:eastAsia="en-US"/>
        </w:rPr>
        <w:t>], а в періо</w:t>
      </w:r>
      <w:r w:rsidR="007C7EC5" w:rsidRPr="00520861">
        <w:rPr>
          <w:rFonts w:eastAsia="Calibri"/>
          <w:sz w:val="28"/>
          <w:szCs w:val="28"/>
          <w:lang w:eastAsia="en-US"/>
        </w:rPr>
        <w:t>д постійного прикусу взагалі від</w:t>
      </w:r>
      <w:r w:rsidRPr="00520861">
        <w:rPr>
          <w:rFonts w:eastAsia="Calibri"/>
          <w:sz w:val="28"/>
          <w:szCs w:val="28"/>
          <w:lang w:eastAsia="en-US"/>
        </w:rPr>
        <w:t xml:space="preserve">сутні. Розширення таких відомостей могло б посприяти з’ясуванню можливих причин виникнення </w:t>
      </w:r>
      <w:proofErr w:type="spellStart"/>
      <w:r w:rsidR="00E62082" w:rsidRPr="00520861">
        <w:rPr>
          <w:rFonts w:eastAsia="Calibri"/>
          <w:sz w:val="28"/>
          <w:szCs w:val="28"/>
          <w:lang w:eastAsia="en-US"/>
        </w:rPr>
        <w:t>СтП</w:t>
      </w:r>
      <w:proofErr w:type="spellEnd"/>
      <w:r w:rsidR="00E62082" w:rsidRPr="00520861">
        <w:rPr>
          <w:rFonts w:eastAsia="Calibri"/>
          <w:sz w:val="28"/>
          <w:szCs w:val="28"/>
          <w:lang w:eastAsia="en-US"/>
        </w:rPr>
        <w:t xml:space="preserve"> </w:t>
      </w:r>
      <w:r w:rsidRPr="00520861">
        <w:rPr>
          <w:rFonts w:eastAsia="Calibri"/>
          <w:sz w:val="28"/>
          <w:szCs w:val="28"/>
          <w:lang w:eastAsia="en-US"/>
        </w:rPr>
        <w:t xml:space="preserve">в осіб, параметри яких при народженні були вищими за норму, а також пошуку </w:t>
      </w:r>
      <w:r w:rsidR="00567946" w:rsidRPr="00520861">
        <w:rPr>
          <w:rFonts w:eastAsia="Calibri"/>
          <w:sz w:val="28"/>
          <w:szCs w:val="28"/>
          <w:lang w:eastAsia="en-US"/>
        </w:rPr>
        <w:br/>
      </w:r>
      <w:r w:rsidRPr="00520861">
        <w:rPr>
          <w:rFonts w:eastAsia="Calibri"/>
          <w:sz w:val="28"/>
          <w:szCs w:val="28"/>
          <w:lang w:eastAsia="en-US"/>
        </w:rPr>
        <w:t>шляхів попередження виникнення цих порушень та їх корекції.</w:t>
      </w:r>
    </w:p>
    <w:p w14:paraId="1692A97D" w14:textId="77777777" w:rsidR="005B2BAD" w:rsidRPr="00520861" w:rsidRDefault="005B2BAD" w:rsidP="00292D2E">
      <w:pPr>
        <w:widowControl w:val="0"/>
        <w:spacing w:line="360" w:lineRule="auto"/>
        <w:ind w:right="-1" w:firstLine="708"/>
        <w:jc w:val="both"/>
        <w:rPr>
          <w:rFonts w:eastAsia="Calibri"/>
          <w:spacing w:val="-6"/>
          <w:sz w:val="28"/>
          <w:szCs w:val="28"/>
          <w:lang w:eastAsia="en-US"/>
        </w:rPr>
      </w:pPr>
      <w:r w:rsidRPr="00520861">
        <w:rPr>
          <w:rFonts w:eastAsia="Calibri"/>
          <w:color w:val="000000"/>
          <w:spacing w:val="-6"/>
          <w:sz w:val="28"/>
          <w:szCs w:val="28"/>
        </w:rPr>
        <w:t>Значна п</w:t>
      </w:r>
      <w:r w:rsidR="00150EC6" w:rsidRPr="00520861">
        <w:rPr>
          <w:rFonts w:eastAsia="Calibri"/>
          <w:color w:val="000000"/>
          <w:spacing w:val="-6"/>
          <w:sz w:val="28"/>
          <w:szCs w:val="28"/>
        </w:rPr>
        <w:t xml:space="preserve">оширеність захворювань </w:t>
      </w:r>
      <w:proofErr w:type="spellStart"/>
      <w:r w:rsidR="00150EC6" w:rsidRPr="00520861">
        <w:rPr>
          <w:rFonts w:eastAsia="Calibri"/>
          <w:color w:val="000000"/>
          <w:spacing w:val="-6"/>
          <w:sz w:val="28"/>
          <w:szCs w:val="28"/>
        </w:rPr>
        <w:t>пародонта</w:t>
      </w:r>
      <w:proofErr w:type="spellEnd"/>
      <w:r w:rsidR="00DA2727" w:rsidRPr="00520861">
        <w:rPr>
          <w:rFonts w:eastAsia="Calibri"/>
          <w:color w:val="000000"/>
          <w:spacing w:val="-6"/>
          <w:sz w:val="28"/>
          <w:szCs w:val="28"/>
        </w:rPr>
        <w:t xml:space="preserve"> у</w:t>
      </w:r>
      <w:r w:rsidRPr="00520861">
        <w:rPr>
          <w:rFonts w:eastAsia="Calibri"/>
          <w:color w:val="000000"/>
          <w:spacing w:val="-6"/>
          <w:sz w:val="28"/>
          <w:szCs w:val="28"/>
        </w:rPr>
        <w:t xml:space="preserve"> дітей,</w:t>
      </w:r>
      <w:r w:rsidR="00174453" w:rsidRPr="00520861">
        <w:rPr>
          <w:rFonts w:eastAsia="Calibri"/>
          <w:color w:val="000000"/>
          <w:spacing w:val="-6"/>
          <w:sz w:val="28"/>
          <w:szCs w:val="28"/>
        </w:rPr>
        <w:t xml:space="preserve"> </w:t>
      </w:r>
      <w:r w:rsidRPr="00520861">
        <w:rPr>
          <w:rFonts w:eastAsia="Calibri"/>
          <w:color w:val="000000"/>
          <w:spacing w:val="-6"/>
          <w:sz w:val="28"/>
          <w:szCs w:val="28"/>
        </w:rPr>
        <w:t xml:space="preserve">підлітків й осіб молодого віку зумовлює необхідність приділяти увагу ранній </w:t>
      </w:r>
      <w:r w:rsidR="005321B6" w:rsidRPr="00520861">
        <w:rPr>
          <w:rFonts w:eastAsia="Calibri"/>
          <w:color w:val="000000"/>
          <w:spacing w:val="-6"/>
          <w:sz w:val="28"/>
          <w:szCs w:val="28"/>
        </w:rPr>
        <w:t xml:space="preserve">діагностиці </w:t>
      </w:r>
      <w:proofErr w:type="spellStart"/>
      <w:r w:rsidR="00E62082" w:rsidRPr="00520861">
        <w:rPr>
          <w:rFonts w:eastAsia="Calibri"/>
          <w:color w:val="000000"/>
          <w:spacing w:val="-6"/>
          <w:sz w:val="28"/>
          <w:szCs w:val="28"/>
        </w:rPr>
        <w:t>СтП</w:t>
      </w:r>
      <w:proofErr w:type="spellEnd"/>
      <w:r w:rsidR="00E62082" w:rsidRPr="00520861">
        <w:rPr>
          <w:rFonts w:eastAsia="Calibri"/>
          <w:color w:val="000000"/>
          <w:spacing w:val="-6"/>
          <w:sz w:val="28"/>
          <w:szCs w:val="28"/>
        </w:rPr>
        <w:t xml:space="preserve"> </w:t>
      </w:r>
      <w:r w:rsidR="000F00A9" w:rsidRPr="00520861">
        <w:rPr>
          <w:rFonts w:eastAsia="Calibri"/>
          <w:spacing w:val="-6"/>
          <w:sz w:val="28"/>
          <w:szCs w:val="28"/>
          <w:lang w:eastAsia="en-US"/>
        </w:rPr>
        <w:t>[153, 201, 226, 510</w:t>
      </w:r>
      <w:r w:rsidRPr="00520861">
        <w:rPr>
          <w:rFonts w:eastAsia="Calibri"/>
          <w:spacing w:val="-6"/>
          <w:sz w:val="28"/>
          <w:szCs w:val="28"/>
          <w:lang w:eastAsia="en-US"/>
        </w:rPr>
        <w:t>].</w:t>
      </w:r>
    </w:p>
    <w:p w14:paraId="137CEEF0" w14:textId="77777777" w:rsidR="005B2BAD" w:rsidRPr="00520861" w:rsidRDefault="005B2BAD" w:rsidP="00292D2E">
      <w:pPr>
        <w:widowControl w:val="0"/>
        <w:autoSpaceDE w:val="0"/>
        <w:autoSpaceDN w:val="0"/>
        <w:adjustRightInd w:val="0"/>
        <w:spacing w:line="360" w:lineRule="auto"/>
        <w:ind w:firstLine="709"/>
        <w:jc w:val="both"/>
        <w:rPr>
          <w:rFonts w:eastAsia="Calibri"/>
          <w:sz w:val="28"/>
          <w:szCs w:val="28"/>
          <w:lang w:eastAsia="en-US"/>
        </w:rPr>
      </w:pPr>
      <w:r w:rsidRPr="00520861">
        <w:rPr>
          <w:rFonts w:eastAsia="Calibri"/>
          <w:color w:val="000000"/>
          <w:sz w:val="28"/>
          <w:szCs w:val="28"/>
        </w:rPr>
        <w:t xml:space="preserve">Зв’язок ожиріння, що супроводжується порушенням </w:t>
      </w:r>
      <w:proofErr w:type="spellStart"/>
      <w:r w:rsidRPr="00520861">
        <w:rPr>
          <w:rFonts w:eastAsia="Calibri"/>
          <w:color w:val="000000"/>
          <w:sz w:val="28"/>
          <w:szCs w:val="28"/>
        </w:rPr>
        <w:t>мікроциркуляторних</w:t>
      </w:r>
      <w:proofErr w:type="spellEnd"/>
      <w:r w:rsidRPr="00520861">
        <w:rPr>
          <w:rFonts w:eastAsia="Calibri"/>
          <w:color w:val="000000"/>
          <w:sz w:val="28"/>
          <w:szCs w:val="28"/>
        </w:rPr>
        <w:t xml:space="preserve"> процесів й імунної відповіді та, як наслідок, виникненням </w:t>
      </w:r>
      <w:proofErr w:type="spellStart"/>
      <w:r w:rsidRPr="00520861">
        <w:rPr>
          <w:rFonts w:eastAsia="Calibri"/>
          <w:color w:val="000000"/>
          <w:sz w:val="28"/>
          <w:szCs w:val="28"/>
        </w:rPr>
        <w:t>дистрофіч</w:t>
      </w:r>
      <w:r w:rsidR="00440AB1" w:rsidRPr="00520861">
        <w:rPr>
          <w:rFonts w:eastAsia="Calibri"/>
          <w:color w:val="000000"/>
          <w:sz w:val="28"/>
          <w:szCs w:val="28"/>
        </w:rPr>
        <w:t>но</w:t>
      </w:r>
      <w:proofErr w:type="spellEnd"/>
      <w:r w:rsidR="00440AB1" w:rsidRPr="00520861">
        <w:rPr>
          <w:rFonts w:eastAsia="Calibri"/>
          <w:color w:val="000000"/>
          <w:sz w:val="28"/>
          <w:szCs w:val="28"/>
        </w:rPr>
        <w:t>-</w:t>
      </w:r>
      <w:r w:rsidR="00E23F8D" w:rsidRPr="00520861">
        <w:rPr>
          <w:rFonts w:eastAsia="Calibri"/>
          <w:color w:val="000000"/>
          <w:sz w:val="28"/>
          <w:szCs w:val="28"/>
        </w:rPr>
        <w:t>з</w:t>
      </w:r>
      <w:r w:rsidR="00440AB1" w:rsidRPr="00520861">
        <w:rPr>
          <w:rFonts w:eastAsia="Calibri"/>
          <w:color w:val="000000"/>
          <w:sz w:val="28"/>
          <w:szCs w:val="28"/>
        </w:rPr>
        <w:t xml:space="preserve">апальних </w:t>
      </w:r>
      <w:r w:rsidR="003D7C1A" w:rsidRPr="00520861">
        <w:rPr>
          <w:rFonts w:eastAsia="Calibri"/>
          <w:color w:val="000000"/>
          <w:sz w:val="28"/>
          <w:szCs w:val="28"/>
        </w:rPr>
        <w:t xml:space="preserve">захворювань тканин </w:t>
      </w:r>
      <w:proofErr w:type="spellStart"/>
      <w:r w:rsidR="003D7C1A" w:rsidRPr="00520861">
        <w:rPr>
          <w:rFonts w:eastAsia="Calibri"/>
          <w:color w:val="000000"/>
          <w:sz w:val="28"/>
          <w:szCs w:val="28"/>
        </w:rPr>
        <w:t>пародонта</w:t>
      </w:r>
      <w:proofErr w:type="spellEnd"/>
      <w:r w:rsidRPr="00520861">
        <w:rPr>
          <w:rFonts w:eastAsia="Calibri"/>
          <w:color w:val="000000"/>
          <w:sz w:val="28"/>
          <w:szCs w:val="28"/>
        </w:rPr>
        <w:t xml:space="preserve"> в осіб 25</w:t>
      </w:r>
      <w:r w:rsidR="00B13585" w:rsidRPr="00520861">
        <w:rPr>
          <w:rFonts w:eastAsia="Calibri"/>
          <w:color w:val="000000"/>
          <w:sz w:val="28"/>
          <w:szCs w:val="28"/>
        </w:rPr>
        <w:t xml:space="preserve"> </w:t>
      </w:r>
      <w:r w:rsidRPr="00520861">
        <w:rPr>
          <w:rFonts w:eastAsia="Calibri"/>
          <w:color w:val="000000"/>
          <w:sz w:val="28"/>
          <w:szCs w:val="28"/>
        </w:rPr>
        <w:t>–</w:t>
      </w:r>
      <w:r w:rsidR="00B13585" w:rsidRPr="00520861">
        <w:rPr>
          <w:rFonts w:eastAsia="Calibri"/>
          <w:color w:val="000000"/>
          <w:sz w:val="28"/>
          <w:szCs w:val="28"/>
        </w:rPr>
        <w:t xml:space="preserve"> </w:t>
      </w:r>
      <w:r w:rsidRPr="00520861">
        <w:rPr>
          <w:rFonts w:eastAsia="Calibri"/>
          <w:color w:val="000000"/>
          <w:sz w:val="28"/>
          <w:szCs w:val="28"/>
        </w:rPr>
        <w:t xml:space="preserve">55 років, розглянуто в роботах </w:t>
      </w:r>
      <w:r w:rsidR="00BF7844" w:rsidRPr="00520861">
        <w:rPr>
          <w:rFonts w:eastAsia="Calibri"/>
          <w:sz w:val="28"/>
          <w:szCs w:val="28"/>
          <w:lang w:eastAsia="en-US"/>
        </w:rPr>
        <w:t>[419, 530</w:t>
      </w:r>
      <w:r w:rsidRPr="00520861">
        <w:rPr>
          <w:rFonts w:eastAsia="Calibri"/>
          <w:sz w:val="28"/>
          <w:szCs w:val="28"/>
          <w:lang w:eastAsia="en-US"/>
        </w:rPr>
        <w:t xml:space="preserve">]. </w:t>
      </w:r>
      <w:r w:rsidR="007C7EC5" w:rsidRPr="00520861">
        <w:rPr>
          <w:rFonts w:eastAsia="Calibri"/>
          <w:sz w:val="28"/>
          <w:szCs w:val="28"/>
          <w:lang w:eastAsia="en-US"/>
        </w:rPr>
        <w:br/>
      </w:r>
      <w:r w:rsidRPr="00520861">
        <w:rPr>
          <w:rFonts w:eastAsia="Calibri"/>
          <w:color w:val="000000"/>
          <w:sz w:val="28"/>
          <w:szCs w:val="28"/>
        </w:rPr>
        <w:t>Вітчизняні</w:t>
      </w:r>
      <w:r w:rsidR="00174453" w:rsidRPr="00520861">
        <w:rPr>
          <w:rFonts w:eastAsia="Calibri"/>
          <w:color w:val="000000"/>
          <w:sz w:val="28"/>
          <w:szCs w:val="28"/>
        </w:rPr>
        <w:t xml:space="preserve"> </w:t>
      </w:r>
      <w:r w:rsidRPr="00520861">
        <w:rPr>
          <w:rFonts w:eastAsia="Calibri"/>
          <w:color w:val="000000"/>
          <w:sz w:val="28"/>
          <w:szCs w:val="28"/>
        </w:rPr>
        <w:t>вчені дослідили порушення вуглеводного та ліпідного обміну при ожирінні, усклад</w:t>
      </w:r>
      <w:r w:rsidR="007C7EC5" w:rsidRPr="00520861">
        <w:rPr>
          <w:rFonts w:eastAsia="Calibri"/>
          <w:color w:val="000000"/>
          <w:sz w:val="28"/>
          <w:szCs w:val="28"/>
        </w:rPr>
        <w:t>неному метаболічним синдромом, в</w:t>
      </w:r>
      <w:r w:rsidRPr="00520861">
        <w:rPr>
          <w:rFonts w:eastAsia="Calibri"/>
          <w:color w:val="000000"/>
          <w:sz w:val="28"/>
          <w:szCs w:val="28"/>
        </w:rPr>
        <w:t xml:space="preserve"> осіб 26–50 років і дійшли висновку, що зниження показників неспецифічного імунітету й антиоксидан</w:t>
      </w:r>
      <w:r w:rsidR="003D7C1A" w:rsidRPr="00520861">
        <w:rPr>
          <w:rFonts w:eastAsia="Calibri"/>
          <w:color w:val="000000"/>
          <w:sz w:val="28"/>
          <w:szCs w:val="28"/>
        </w:rPr>
        <w:t xml:space="preserve">тного захисту </w:t>
      </w:r>
      <w:r w:rsidR="007E65C2" w:rsidRPr="00520861">
        <w:rPr>
          <w:rFonts w:eastAsia="Calibri"/>
          <w:color w:val="000000"/>
          <w:sz w:val="28"/>
          <w:szCs w:val="28"/>
        </w:rPr>
        <w:br/>
      </w:r>
      <w:r w:rsidR="003D7C1A" w:rsidRPr="00520861">
        <w:rPr>
          <w:rFonts w:eastAsia="Calibri"/>
          <w:color w:val="000000"/>
          <w:sz w:val="28"/>
          <w:szCs w:val="28"/>
        </w:rPr>
        <w:t>в ротовій рідині</w:t>
      </w:r>
      <w:r w:rsidRPr="00520861">
        <w:rPr>
          <w:rFonts w:eastAsia="Calibri"/>
          <w:color w:val="000000"/>
          <w:sz w:val="28"/>
          <w:szCs w:val="28"/>
        </w:rPr>
        <w:t xml:space="preserve"> </w:t>
      </w:r>
      <w:r w:rsidR="00233F55" w:rsidRPr="00520861">
        <w:rPr>
          <w:rFonts w:eastAsia="Calibri"/>
          <w:color w:val="000000"/>
          <w:sz w:val="28"/>
          <w:szCs w:val="28"/>
        </w:rPr>
        <w:t xml:space="preserve">(РР) </w:t>
      </w:r>
      <w:r w:rsidRPr="00520861">
        <w:rPr>
          <w:rFonts w:eastAsia="Calibri"/>
          <w:color w:val="000000"/>
          <w:sz w:val="28"/>
          <w:szCs w:val="28"/>
        </w:rPr>
        <w:t xml:space="preserve">цих осіб призводить до більш тяжкого перебігу захворювань </w:t>
      </w:r>
      <w:proofErr w:type="spellStart"/>
      <w:r w:rsidRPr="00520861">
        <w:rPr>
          <w:rFonts w:eastAsia="Calibri"/>
          <w:color w:val="000000"/>
          <w:sz w:val="28"/>
          <w:szCs w:val="28"/>
        </w:rPr>
        <w:t>пародо</w:t>
      </w:r>
      <w:r w:rsidR="00762CC9" w:rsidRPr="00520861">
        <w:rPr>
          <w:rFonts w:eastAsia="Calibri"/>
          <w:color w:val="000000"/>
          <w:sz w:val="28"/>
          <w:szCs w:val="28"/>
        </w:rPr>
        <w:t>нта</w:t>
      </w:r>
      <w:proofErr w:type="spellEnd"/>
      <w:r w:rsidR="00BF7844" w:rsidRPr="00520861">
        <w:rPr>
          <w:rFonts w:eastAsia="Calibri"/>
          <w:sz w:val="28"/>
          <w:szCs w:val="28"/>
          <w:lang w:eastAsia="en-US"/>
        </w:rPr>
        <w:t xml:space="preserve"> [76</w:t>
      </w:r>
      <w:r w:rsidRPr="00520861">
        <w:rPr>
          <w:rFonts w:eastAsia="Calibri"/>
          <w:sz w:val="28"/>
          <w:szCs w:val="28"/>
          <w:lang w:eastAsia="en-US"/>
        </w:rPr>
        <w:t>].</w:t>
      </w:r>
      <w:r w:rsidRPr="00520861">
        <w:rPr>
          <w:rFonts w:eastAsia="Calibri"/>
          <w:color w:val="FF0000"/>
          <w:sz w:val="28"/>
          <w:szCs w:val="28"/>
          <w:lang w:eastAsia="en-US"/>
        </w:rPr>
        <w:t xml:space="preserve"> </w:t>
      </w:r>
      <w:r w:rsidR="007C7EC5" w:rsidRPr="00520861">
        <w:rPr>
          <w:rFonts w:eastAsia="Calibri"/>
          <w:color w:val="000000"/>
          <w:sz w:val="28"/>
          <w:szCs w:val="28"/>
        </w:rPr>
        <w:t>Лебідь О.</w:t>
      </w:r>
      <w:r w:rsidR="00366F3C" w:rsidRPr="00520861">
        <w:rPr>
          <w:rFonts w:eastAsia="Calibri"/>
          <w:color w:val="000000"/>
          <w:sz w:val="28"/>
          <w:szCs w:val="28"/>
        </w:rPr>
        <w:t> </w:t>
      </w:r>
      <w:r w:rsidR="003D7C1A" w:rsidRPr="00520861">
        <w:rPr>
          <w:rFonts w:eastAsia="Calibri"/>
          <w:color w:val="000000"/>
          <w:sz w:val="28"/>
          <w:szCs w:val="28"/>
        </w:rPr>
        <w:t xml:space="preserve">І. </w:t>
      </w:r>
      <w:r w:rsidR="007C7EC5" w:rsidRPr="00520861">
        <w:rPr>
          <w:rFonts w:eastAsia="Calibri"/>
          <w:color w:val="000000"/>
          <w:sz w:val="28"/>
          <w:szCs w:val="28"/>
        </w:rPr>
        <w:t>та Дуда К.</w:t>
      </w:r>
      <w:r w:rsidR="00366F3C" w:rsidRPr="00520861">
        <w:rPr>
          <w:rFonts w:eastAsia="Calibri"/>
          <w:color w:val="000000"/>
          <w:sz w:val="28"/>
          <w:szCs w:val="28"/>
        </w:rPr>
        <w:t> </w:t>
      </w:r>
      <w:r w:rsidR="003D7C1A" w:rsidRPr="00520861">
        <w:rPr>
          <w:rFonts w:eastAsia="Calibri"/>
          <w:color w:val="000000"/>
          <w:sz w:val="28"/>
          <w:szCs w:val="28"/>
        </w:rPr>
        <w:t xml:space="preserve">М. </w:t>
      </w:r>
      <w:r w:rsidRPr="00520861">
        <w:rPr>
          <w:rFonts w:eastAsia="Calibri"/>
          <w:color w:val="000000"/>
          <w:sz w:val="28"/>
          <w:szCs w:val="28"/>
        </w:rPr>
        <w:t>вивчали негативний вплив аліментарно-конституціонального ожиріння на клінічн</w:t>
      </w:r>
      <w:r w:rsidR="00B625EC" w:rsidRPr="00520861">
        <w:rPr>
          <w:rFonts w:eastAsia="Calibri"/>
          <w:color w:val="000000"/>
          <w:sz w:val="28"/>
          <w:szCs w:val="28"/>
        </w:rPr>
        <w:t xml:space="preserve">ий перебіг захворювань </w:t>
      </w:r>
      <w:proofErr w:type="spellStart"/>
      <w:r w:rsidR="00B625EC" w:rsidRPr="00520861">
        <w:rPr>
          <w:rFonts w:eastAsia="Calibri"/>
          <w:color w:val="000000"/>
          <w:sz w:val="28"/>
          <w:szCs w:val="28"/>
        </w:rPr>
        <w:t>пародонта</w:t>
      </w:r>
      <w:proofErr w:type="spellEnd"/>
      <w:r w:rsidRPr="00520861">
        <w:rPr>
          <w:rFonts w:eastAsia="Calibri"/>
          <w:color w:val="000000"/>
          <w:sz w:val="28"/>
          <w:szCs w:val="28"/>
        </w:rPr>
        <w:t xml:space="preserve"> </w:t>
      </w:r>
      <w:r w:rsidR="007E65C2" w:rsidRPr="00520861">
        <w:rPr>
          <w:rFonts w:eastAsia="Calibri"/>
          <w:color w:val="000000"/>
          <w:sz w:val="28"/>
          <w:szCs w:val="28"/>
        </w:rPr>
        <w:br/>
      </w:r>
      <w:r w:rsidRPr="00520861">
        <w:rPr>
          <w:rFonts w:eastAsia="Calibri"/>
          <w:color w:val="000000"/>
          <w:sz w:val="28"/>
          <w:szCs w:val="28"/>
        </w:rPr>
        <w:t>та тяжкість запального процесу в підлітків 16</w:t>
      </w:r>
      <w:r w:rsidR="00B13585" w:rsidRPr="00520861">
        <w:rPr>
          <w:rFonts w:eastAsia="Calibri"/>
          <w:color w:val="000000"/>
          <w:sz w:val="28"/>
          <w:szCs w:val="28"/>
        </w:rPr>
        <w:t xml:space="preserve"> </w:t>
      </w:r>
      <w:r w:rsidRPr="00520861">
        <w:rPr>
          <w:rFonts w:eastAsia="Calibri"/>
          <w:color w:val="000000"/>
          <w:sz w:val="28"/>
          <w:szCs w:val="28"/>
        </w:rPr>
        <w:t>–</w:t>
      </w:r>
      <w:r w:rsidR="00B13585" w:rsidRPr="00520861">
        <w:rPr>
          <w:rFonts w:eastAsia="Calibri"/>
          <w:color w:val="000000"/>
          <w:sz w:val="28"/>
          <w:szCs w:val="28"/>
        </w:rPr>
        <w:t xml:space="preserve"> </w:t>
      </w:r>
      <w:r w:rsidRPr="00520861">
        <w:rPr>
          <w:rFonts w:eastAsia="Calibri"/>
          <w:color w:val="000000"/>
          <w:sz w:val="28"/>
          <w:szCs w:val="28"/>
        </w:rPr>
        <w:t xml:space="preserve">18 років </w:t>
      </w:r>
      <w:r w:rsidR="00BF7844" w:rsidRPr="00520861">
        <w:rPr>
          <w:rFonts w:eastAsia="Calibri"/>
          <w:sz w:val="28"/>
          <w:szCs w:val="28"/>
          <w:lang w:eastAsia="en-US"/>
        </w:rPr>
        <w:t>[131</w:t>
      </w:r>
      <w:r w:rsidRPr="00520861">
        <w:rPr>
          <w:rFonts w:eastAsia="Calibri"/>
          <w:sz w:val="28"/>
          <w:szCs w:val="28"/>
          <w:lang w:eastAsia="en-US"/>
        </w:rPr>
        <w:t>].</w:t>
      </w:r>
    </w:p>
    <w:p w14:paraId="3AE72E73" w14:textId="77777777" w:rsidR="005B2BAD" w:rsidRPr="00520861" w:rsidRDefault="005B2BAD" w:rsidP="00292D2E">
      <w:pPr>
        <w:widowControl w:val="0"/>
        <w:autoSpaceDE w:val="0"/>
        <w:autoSpaceDN w:val="0"/>
        <w:adjustRightInd w:val="0"/>
        <w:spacing w:line="360" w:lineRule="auto"/>
        <w:ind w:firstLine="709"/>
        <w:jc w:val="both"/>
        <w:rPr>
          <w:rFonts w:eastAsia="Calibri"/>
          <w:color w:val="000000"/>
          <w:sz w:val="28"/>
          <w:szCs w:val="28"/>
        </w:rPr>
      </w:pPr>
      <w:r w:rsidRPr="00520861">
        <w:rPr>
          <w:rFonts w:eastAsia="Calibri"/>
          <w:color w:val="000000"/>
          <w:sz w:val="28"/>
          <w:szCs w:val="28"/>
        </w:rPr>
        <w:t xml:space="preserve">У той самий час відомо, що </w:t>
      </w:r>
      <w:r w:rsidR="007259E8" w:rsidRPr="00520861">
        <w:rPr>
          <w:rFonts w:eastAsia="Calibri"/>
          <w:color w:val="000000"/>
          <w:sz w:val="28"/>
          <w:szCs w:val="28"/>
        </w:rPr>
        <w:t>ВУ</w:t>
      </w:r>
      <w:r w:rsidRPr="00520861">
        <w:rPr>
          <w:rFonts w:eastAsia="Calibri"/>
          <w:color w:val="000000"/>
          <w:sz w:val="28"/>
          <w:szCs w:val="28"/>
        </w:rPr>
        <w:t xml:space="preserve"> метаболічні розлади також впливають на всі системи й органи новонародженої дитини та є передумовою для формування </w:t>
      </w:r>
      <w:r w:rsidR="00573441" w:rsidRPr="00520861">
        <w:rPr>
          <w:rFonts w:eastAsia="Calibri"/>
          <w:color w:val="000000"/>
          <w:sz w:val="28"/>
          <w:szCs w:val="28"/>
        </w:rPr>
        <w:br/>
      </w:r>
      <w:r w:rsidRPr="00520861">
        <w:rPr>
          <w:rFonts w:eastAsia="Calibri"/>
          <w:color w:val="000000"/>
          <w:sz w:val="28"/>
          <w:szCs w:val="28"/>
        </w:rPr>
        <w:t xml:space="preserve">багатьох </w:t>
      </w:r>
      <w:proofErr w:type="spellStart"/>
      <w:r w:rsidRPr="00520861">
        <w:rPr>
          <w:rFonts w:eastAsia="Calibri"/>
          <w:color w:val="000000"/>
          <w:sz w:val="28"/>
          <w:szCs w:val="28"/>
        </w:rPr>
        <w:t>хвороб</w:t>
      </w:r>
      <w:proofErr w:type="spellEnd"/>
      <w:r w:rsidRPr="00520861">
        <w:rPr>
          <w:rFonts w:eastAsia="Calibri"/>
          <w:color w:val="000000"/>
          <w:sz w:val="28"/>
          <w:szCs w:val="28"/>
        </w:rPr>
        <w:t xml:space="preserve"> і патологічних станів в онтогенезі </w:t>
      </w:r>
      <w:r w:rsidRPr="00520861">
        <w:rPr>
          <w:rFonts w:eastAsia="Calibri"/>
          <w:sz w:val="28"/>
          <w:szCs w:val="28"/>
          <w:lang w:eastAsia="en-US"/>
        </w:rPr>
        <w:t>[</w:t>
      </w:r>
      <w:r w:rsidR="00576C95" w:rsidRPr="00520861">
        <w:rPr>
          <w:rFonts w:eastAsia="Calibri"/>
          <w:sz w:val="28"/>
          <w:szCs w:val="28"/>
          <w:lang w:eastAsia="en-US"/>
        </w:rPr>
        <w:t>337, 482</w:t>
      </w:r>
      <w:r w:rsidRPr="00520861">
        <w:rPr>
          <w:rFonts w:eastAsia="Calibri"/>
          <w:sz w:val="28"/>
          <w:szCs w:val="28"/>
          <w:lang w:eastAsia="en-US"/>
        </w:rPr>
        <w:t>].</w:t>
      </w:r>
    </w:p>
    <w:p w14:paraId="51EDD3A2"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На думку науковців Харківської медичної школи [</w:t>
      </w:r>
      <w:r w:rsidR="00576C95" w:rsidRPr="00520861">
        <w:rPr>
          <w:rFonts w:eastAsia="Calibri"/>
          <w:sz w:val="28"/>
          <w:szCs w:val="28"/>
          <w:lang w:eastAsia="en-US"/>
        </w:rPr>
        <w:t>216</w:t>
      </w:r>
      <w:r w:rsidRPr="00520861">
        <w:rPr>
          <w:rFonts w:eastAsia="Calibri"/>
          <w:sz w:val="28"/>
          <w:szCs w:val="28"/>
          <w:lang w:eastAsia="en-US"/>
        </w:rPr>
        <w:t xml:space="preserve">], на структуру захворюваності </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перші 10 років життя впливає </w:t>
      </w:r>
      <w:r w:rsidR="007259E8" w:rsidRPr="00520861">
        <w:rPr>
          <w:rFonts w:eastAsia="Calibri"/>
          <w:sz w:val="28"/>
          <w:szCs w:val="28"/>
          <w:lang w:eastAsia="en-US"/>
        </w:rPr>
        <w:t>ВУ</w:t>
      </w:r>
      <w:r w:rsidRPr="00520861">
        <w:rPr>
          <w:rFonts w:eastAsia="Calibri"/>
          <w:sz w:val="28"/>
          <w:szCs w:val="28"/>
          <w:lang w:eastAsia="en-US"/>
        </w:rPr>
        <w:t xml:space="preserve"> сформований </w:t>
      </w:r>
      <w:proofErr w:type="spellStart"/>
      <w:r w:rsidRPr="00520861">
        <w:rPr>
          <w:rFonts w:eastAsia="Calibri"/>
          <w:sz w:val="28"/>
          <w:szCs w:val="28"/>
          <w:lang w:eastAsia="en-US"/>
        </w:rPr>
        <w:t>імунно</w:t>
      </w:r>
      <w:proofErr w:type="spellEnd"/>
      <w:r w:rsidRPr="00520861">
        <w:rPr>
          <w:rFonts w:eastAsia="Calibri"/>
          <w:sz w:val="28"/>
          <w:szCs w:val="28"/>
          <w:lang w:eastAsia="en-US"/>
        </w:rPr>
        <w:t>-ендокринний статус, який суттєво залежить від антропометричних показників новонароджен</w:t>
      </w:r>
      <w:r w:rsidR="00852A93" w:rsidRPr="00520861">
        <w:rPr>
          <w:rFonts w:eastAsia="Calibri"/>
          <w:sz w:val="28"/>
          <w:szCs w:val="28"/>
          <w:lang w:eastAsia="en-US"/>
        </w:rPr>
        <w:t xml:space="preserve">ого. Наприклад, у гармонійно розвинених </w:t>
      </w:r>
      <w:proofErr w:type="spellStart"/>
      <w:r w:rsidR="00852A93" w:rsidRPr="00520861">
        <w:rPr>
          <w:rFonts w:eastAsia="Calibri"/>
          <w:sz w:val="28"/>
          <w:szCs w:val="28"/>
          <w:lang w:eastAsia="en-US"/>
        </w:rPr>
        <w:t>макросомів</w:t>
      </w:r>
      <w:proofErr w:type="spellEnd"/>
      <w:r w:rsidRPr="00520861">
        <w:rPr>
          <w:rFonts w:eastAsia="Calibri"/>
          <w:sz w:val="28"/>
          <w:szCs w:val="28"/>
          <w:lang w:eastAsia="en-US"/>
        </w:rPr>
        <w:t xml:space="preserve"> відзначено схильність до </w:t>
      </w:r>
      <w:r w:rsidR="00567946" w:rsidRPr="00520861">
        <w:rPr>
          <w:rFonts w:eastAsia="Calibri"/>
          <w:sz w:val="28"/>
          <w:szCs w:val="28"/>
          <w:lang w:eastAsia="en-US"/>
        </w:rPr>
        <w:br/>
      </w:r>
      <w:r w:rsidRPr="00520861">
        <w:rPr>
          <w:rFonts w:eastAsia="Calibri"/>
          <w:sz w:val="28"/>
          <w:szCs w:val="28"/>
          <w:lang w:eastAsia="en-US"/>
        </w:rPr>
        <w:t xml:space="preserve">розвитку патологічних змін </w:t>
      </w:r>
      <w:r w:rsidR="00852A93" w:rsidRPr="00520861">
        <w:rPr>
          <w:rFonts w:eastAsia="Calibri"/>
          <w:sz w:val="28"/>
          <w:szCs w:val="28"/>
          <w:lang w:eastAsia="en-US"/>
        </w:rPr>
        <w:t>СОПР</w:t>
      </w:r>
      <w:r w:rsidRPr="00520861">
        <w:rPr>
          <w:rFonts w:eastAsia="Calibri"/>
          <w:sz w:val="28"/>
          <w:szCs w:val="28"/>
          <w:lang w:eastAsia="en-US"/>
        </w:rPr>
        <w:t xml:space="preserve"> (стоматит). </w:t>
      </w:r>
    </w:p>
    <w:p w14:paraId="2BDCD03C" w14:textId="77777777" w:rsidR="005B2BAD" w:rsidRPr="00520861" w:rsidRDefault="005B2BAD" w:rsidP="00292D2E">
      <w:pPr>
        <w:widowControl w:val="0"/>
        <w:spacing w:line="360" w:lineRule="auto"/>
        <w:ind w:firstLine="708"/>
        <w:jc w:val="both"/>
        <w:rPr>
          <w:rFonts w:eastAsia="Calibri"/>
          <w:spacing w:val="-6"/>
          <w:sz w:val="28"/>
          <w:szCs w:val="28"/>
          <w:lang w:eastAsia="en-US"/>
        </w:rPr>
      </w:pPr>
      <w:r w:rsidRPr="00520861">
        <w:rPr>
          <w:rFonts w:eastAsia="Calibri"/>
          <w:spacing w:val="-6"/>
          <w:sz w:val="28"/>
          <w:szCs w:val="28"/>
          <w:lang w:eastAsia="en-US"/>
        </w:rPr>
        <w:lastRenderedPageBreak/>
        <w:t xml:space="preserve">Питання впливу </w:t>
      </w:r>
      <w:proofErr w:type="spellStart"/>
      <w:r w:rsidRPr="00520861">
        <w:rPr>
          <w:rFonts w:eastAsia="Calibri"/>
          <w:spacing w:val="-6"/>
          <w:sz w:val="28"/>
          <w:szCs w:val="28"/>
          <w:lang w:eastAsia="en-US"/>
        </w:rPr>
        <w:t>макросомії</w:t>
      </w:r>
      <w:proofErr w:type="spellEnd"/>
      <w:r w:rsidRPr="00520861">
        <w:rPr>
          <w:rFonts w:eastAsia="Calibri"/>
          <w:spacing w:val="-6"/>
          <w:sz w:val="28"/>
          <w:szCs w:val="28"/>
          <w:lang w:eastAsia="en-US"/>
        </w:rPr>
        <w:t xml:space="preserve"> </w:t>
      </w:r>
      <w:r w:rsidR="000C5378" w:rsidRPr="00520861">
        <w:rPr>
          <w:rFonts w:eastAsia="Calibri"/>
          <w:spacing w:val="-6"/>
          <w:sz w:val="28"/>
          <w:szCs w:val="28"/>
          <w:lang w:eastAsia="en-US"/>
        </w:rPr>
        <w:t>плода</w:t>
      </w:r>
      <w:r w:rsidR="007C7EC5" w:rsidRPr="00520861">
        <w:rPr>
          <w:rFonts w:eastAsia="Calibri"/>
          <w:spacing w:val="-6"/>
          <w:sz w:val="28"/>
          <w:szCs w:val="28"/>
          <w:lang w:eastAsia="en-US"/>
        </w:rPr>
        <w:t xml:space="preserve"> на формування </w:t>
      </w:r>
      <w:proofErr w:type="spellStart"/>
      <w:r w:rsidR="007C7EC5" w:rsidRPr="00520861">
        <w:rPr>
          <w:rFonts w:eastAsia="Calibri"/>
          <w:spacing w:val="-6"/>
          <w:sz w:val="28"/>
          <w:szCs w:val="28"/>
          <w:lang w:eastAsia="en-US"/>
        </w:rPr>
        <w:t>хвороб</w:t>
      </w:r>
      <w:proofErr w:type="spellEnd"/>
      <w:r w:rsidR="007C7EC5" w:rsidRPr="00520861">
        <w:rPr>
          <w:rFonts w:eastAsia="Calibri"/>
          <w:spacing w:val="-6"/>
          <w:sz w:val="28"/>
          <w:szCs w:val="28"/>
          <w:lang w:eastAsia="en-US"/>
        </w:rPr>
        <w:t xml:space="preserve"> </w:t>
      </w:r>
      <w:proofErr w:type="spellStart"/>
      <w:r w:rsidR="007C7EC5" w:rsidRPr="00520861">
        <w:rPr>
          <w:rFonts w:eastAsia="Calibri"/>
          <w:spacing w:val="-6"/>
          <w:sz w:val="28"/>
          <w:szCs w:val="28"/>
          <w:lang w:eastAsia="en-US"/>
        </w:rPr>
        <w:t>пародонта</w:t>
      </w:r>
      <w:proofErr w:type="spellEnd"/>
      <w:r w:rsidRPr="00520861">
        <w:rPr>
          <w:rFonts w:eastAsia="Calibri"/>
          <w:spacing w:val="-6"/>
          <w:sz w:val="28"/>
          <w:szCs w:val="28"/>
          <w:lang w:eastAsia="en-US"/>
        </w:rPr>
        <w:t xml:space="preserve"> в наявній науковій літературі</w:t>
      </w:r>
      <w:r w:rsidR="00762CC9" w:rsidRPr="00520861">
        <w:rPr>
          <w:rFonts w:eastAsia="Calibri"/>
          <w:spacing w:val="-6"/>
          <w:sz w:val="28"/>
          <w:szCs w:val="28"/>
          <w:lang w:eastAsia="en-US"/>
        </w:rPr>
        <w:t xml:space="preserve"> не висвітлено. На нашу думку, й</w:t>
      </w:r>
      <w:r w:rsidRPr="00520861">
        <w:rPr>
          <w:rFonts w:eastAsia="Calibri"/>
          <w:spacing w:val="-6"/>
          <w:sz w:val="28"/>
          <w:szCs w:val="28"/>
          <w:lang w:eastAsia="en-US"/>
        </w:rPr>
        <w:t xml:space="preserve">мовірність такого впливу має високу вірогідність, адже виникнення </w:t>
      </w:r>
      <w:proofErr w:type="spellStart"/>
      <w:r w:rsidR="00C22357" w:rsidRPr="00520861">
        <w:rPr>
          <w:rFonts w:eastAsia="Calibri"/>
          <w:spacing w:val="-6"/>
          <w:sz w:val="28"/>
          <w:szCs w:val="28"/>
          <w:lang w:eastAsia="en-US"/>
        </w:rPr>
        <w:t>СтП</w:t>
      </w:r>
      <w:proofErr w:type="spellEnd"/>
      <w:r w:rsidRPr="00520861">
        <w:rPr>
          <w:rFonts w:eastAsia="Calibri"/>
          <w:spacing w:val="-6"/>
          <w:sz w:val="28"/>
          <w:szCs w:val="28"/>
          <w:lang w:eastAsia="en-US"/>
        </w:rPr>
        <w:t xml:space="preserve"> тісно пов’язане зі станом здоров’я особи та наявністю різних захворювань, зокрема викликаних метаболічними механізмами [</w:t>
      </w:r>
      <w:r w:rsidR="00576C95" w:rsidRPr="00520861">
        <w:rPr>
          <w:rFonts w:eastAsia="Calibri"/>
          <w:spacing w:val="-6"/>
          <w:sz w:val="28"/>
          <w:szCs w:val="28"/>
          <w:lang w:eastAsia="en-US"/>
        </w:rPr>
        <w:t>216, 353</w:t>
      </w:r>
      <w:r w:rsidRPr="00520861">
        <w:rPr>
          <w:rFonts w:eastAsia="Calibri"/>
          <w:spacing w:val="-6"/>
          <w:sz w:val="28"/>
          <w:szCs w:val="28"/>
          <w:lang w:eastAsia="en-US"/>
        </w:rPr>
        <w:t xml:space="preserve">]. </w:t>
      </w:r>
    </w:p>
    <w:p w14:paraId="512D543B"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rPr>
        <w:t xml:space="preserve">Отже, проблема стану органів </w:t>
      </w:r>
      <w:r w:rsidR="002826E4" w:rsidRPr="00520861">
        <w:rPr>
          <w:rFonts w:eastAsia="Calibri"/>
          <w:sz w:val="28"/>
          <w:szCs w:val="28"/>
        </w:rPr>
        <w:t xml:space="preserve">ПР </w:t>
      </w:r>
      <w:r w:rsidRPr="00520861">
        <w:rPr>
          <w:rFonts w:eastAsia="Calibri"/>
          <w:sz w:val="28"/>
          <w:szCs w:val="28"/>
        </w:rPr>
        <w:t>в осіб, які народилися з діагнозом «</w:t>
      </w:r>
      <w:proofErr w:type="spellStart"/>
      <w:r w:rsidRPr="00520861">
        <w:rPr>
          <w:rFonts w:eastAsia="Calibri"/>
          <w:sz w:val="28"/>
          <w:szCs w:val="28"/>
        </w:rPr>
        <w:t>макросомія</w:t>
      </w:r>
      <w:proofErr w:type="spellEnd"/>
      <w:r w:rsidRPr="00520861">
        <w:rPr>
          <w:rFonts w:eastAsia="Calibri"/>
          <w:sz w:val="28"/>
          <w:szCs w:val="28"/>
        </w:rPr>
        <w:t xml:space="preserve">», на сьогодні вивчена недостатньо. Наведені вище </w:t>
      </w:r>
      <w:r w:rsidRPr="00520861">
        <w:rPr>
          <w:sz w:val="28"/>
          <w:szCs w:val="28"/>
        </w:rPr>
        <w:t xml:space="preserve">факти дають підставу вважати актуальним дослідження особливостей </w:t>
      </w:r>
      <w:proofErr w:type="spellStart"/>
      <w:r w:rsidRPr="00520861">
        <w:rPr>
          <w:sz w:val="28"/>
          <w:szCs w:val="28"/>
        </w:rPr>
        <w:t>стоматогнатичної</w:t>
      </w:r>
      <w:proofErr w:type="spellEnd"/>
      <w:r w:rsidRPr="00520861">
        <w:rPr>
          <w:sz w:val="28"/>
          <w:szCs w:val="28"/>
        </w:rPr>
        <w:t xml:space="preserve"> системи</w:t>
      </w:r>
      <w:r w:rsidR="009162A9" w:rsidRPr="00520861">
        <w:rPr>
          <w:sz w:val="28"/>
          <w:szCs w:val="28"/>
        </w:rPr>
        <w:t> </w:t>
      </w:r>
      <w:r w:rsidR="00777325" w:rsidRPr="00520861">
        <w:rPr>
          <w:sz w:val="28"/>
          <w:szCs w:val="28"/>
        </w:rPr>
        <w:t>(СГС)</w:t>
      </w:r>
      <w:r w:rsidRPr="00520861">
        <w:rPr>
          <w:sz w:val="28"/>
          <w:szCs w:val="28"/>
        </w:rPr>
        <w:t>, зокрема, термінів прорізування тимчасових зубів й інтенсивност</w:t>
      </w:r>
      <w:r w:rsidR="00991143" w:rsidRPr="00520861">
        <w:rPr>
          <w:sz w:val="28"/>
          <w:szCs w:val="28"/>
        </w:rPr>
        <w:t>і карієсу в осіб, які народилися</w:t>
      </w:r>
      <w:r w:rsidRPr="00520861">
        <w:rPr>
          <w:sz w:val="28"/>
          <w:szCs w:val="28"/>
        </w:rPr>
        <w:t xml:space="preserve"> </w:t>
      </w:r>
      <w:proofErr w:type="spellStart"/>
      <w:r w:rsidRPr="00520861">
        <w:rPr>
          <w:sz w:val="28"/>
          <w:szCs w:val="28"/>
        </w:rPr>
        <w:t>макросомами</w:t>
      </w:r>
      <w:proofErr w:type="spellEnd"/>
      <w:r w:rsidRPr="00520861">
        <w:rPr>
          <w:sz w:val="28"/>
          <w:szCs w:val="28"/>
        </w:rPr>
        <w:t xml:space="preserve">. </w:t>
      </w:r>
      <w:r w:rsidRPr="00520861">
        <w:rPr>
          <w:rFonts w:eastAsia="Calibri"/>
          <w:sz w:val="28"/>
          <w:szCs w:val="28"/>
          <w:lang w:eastAsia="en-US"/>
        </w:rPr>
        <w:t xml:space="preserve">Існують лише поодинокі відомості про вплив </w:t>
      </w:r>
      <w:r w:rsidR="00EC41B5" w:rsidRPr="00520861">
        <w:rPr>
          <w:rFonts w:eastAsia="Calibri"/>
          <w:sz w:val="28"/>
          <w:szCs w:val="28"/>
          <w:lang w:eastAsia="en-US"/>
        </w:rPr>
        <w:t>ВУ</w:t>
      </w:r>
      <w:r w:rsidRPr="00520861">
        <w:rPr>
          <w:rFonts w:eastAsia="Calibri"/>
          <w:sz w:val="28"/>
          <w:szCs w:val="28"/>
          <w:lang w:eastAsia="en-US"/>
        </w:rPr>
        <w:t xml:space="preserve"> великої маси тіла на щільність кісткової тканини та виникнення захворювань тканин </w:t>
      </w:r>
      <w:proofErr w:type="spellStart"/>
      <w:r w:rsidRPr="00520861">
        <w:rPr>
          <w:rFonts w:eastAsia="Calibri"/>
          <w:sz w:val="28"/>
          <w:szCs w:val="28"/>
          <w:lang w:eastAsia="en-US"/>
        </w:rPr>
        <w:t>пародон</w:t>
      </w:r>
      <w:r w:rsidR="00CB2038" w:rsidRPr="00520861">
        <w:rPr>
          <w:rFonts w:eastAsia="Calibri"/>
          <w:sz w:val="28"/>
          <w:szCs w:val="28"/>
          <w:lang w:eastAsia="en-US"/>
        </w:rPr>
        <w:t>та</w:t>
      </w:r>
      <w:proofErr w:type="spellEnd"/>
      <w:r w:rsidRPr="00520861">
        <w:rPr>
          <w:rFonts w:eastAsia="Calibri"/>
          <w:sz w:val="28"/>
          <w:szCs w:val="28"/>
          <w:lang w:eastAsia="en-US"/>
        </w:rPr>
        <w:t xml:space="preserve"> в онтогенезі. Цю інформацію складно отримати та проаналізувати, тому ми вважаємо доцільним дослідити цю проблему.</w:t>
      </w:r>
    </w:p>
    <w:p w14:paraId="53052B62" w14:textId="77777777" w:rsidR="005B2BAD" w:rsidRPr="00520861" w:rsidRDefault="005B2BAD" w:rsidP="00292D2E">
      <w:pPr>
        <w:widowControl w:val="0"/>
        <w:tabs>
          <w:tab w:val="left" w:pos="4111"/>
        </w:tabs>
        <w:spacing w:line="360" w:lineRule="auto"/>
        <w:ind w:firstLine="709"/>
        <w:jc w:val="both"/>
        <w:rPr>
          <w:rFonts w:eastAsia="Calibri"/>
          <w:sz w:val="28"/>
          <w:szCs w:val="28"/>
          <w:lang w:eastAsia="en-US"/>
        </w:rPr>
      </w:pPr>
      <w:r w:rsidRPr="00520861">
        <w:rPr>
          <w:sz w:val="28"/>
          <w:szCs w:val="28"/>
        </w:rPr>
        <w:t>На наш погляд, н</w:t>
      </w:r>
      <w:r w:rsidRPr="00520861">
        <w:rPr>
          <w:rFonts w:eastAsia="Calibri"/>
          <w:sz w:val="28"/>
          <w:szCs w:val="28"/>
          <w:lang w:eastAsia="en-US"/>
        </w:rPr>
        <w:t>ауково обґрунтованою є ідея</w:t>
      </w:r>
      <w:r w:rsidRPr="00520861">
        <w:rPr>
          <w:sz w:val="28"/>
          <w:szCs w:val="28"/>
        </w:rPr>
        <w:t xml:space="preserve"> </w:t>
      </w:r>
      <w:r w:rsidRPr="00520861">
        <w:rPr>
          <w:rFonts w:eastAsia="Calibri"/>
          <w:sz w:val="28"/>
          <w:szCs w:val="28"/>
          <w:lang w:eastAsia="en-US"/>
        </w:rPr>
        <w:t xml:space="preserve">оцінити всі вищенаведені </w:t>
      </w:r>
      <w:proofErr w:type="spellStart"/>
      <w:r w:rsidR="00CC3EF6" w:rsidRPr="00520861">
        <w:rPr>
          <w:rFonts w:eastAsia="Calibri"/>
          <w:sz w:val="28"/>
          <w:szCs w:val="28"/>
          <w:lang w:eastAsia="en-US"/>
        </w:rPr>
        <w:t>СтП</w:t>
      </w:r>
      <w:proofErr w:type="spellEnd"/>
      <w:r w:rsidRPr="00520861">
        <w:rPr>
          <w:rFonts w:eastAsia="Calibri"/>
          <w:sz w:val="28"/>
          <w:szCs w:val="28"/>
          <w:lang w:eastAsia="en-US"/>
        </w:rPr>
        <w:t xml:space="preserve"> </w:t>
      </w:r>
      <w:r w:rsidR="007E65C2" w:rsidRPr="00520861">
        <w:rPr>
          <w:rFonts w:eastAsia="Calibri"/>
          <w:sz w:val="28"/>
          <w:szCs w:val="28"/>
          <w:lang w:eastAsia="en-US"/>
        </w:rPr>
        <w:br/>
      </w:r>
      <w:r w:rsidRPr="00520861">
        <w:rPr>
          <w:rFonts w:eastAsia="Calibri"/>
          <w:sz w:val="28"/>
          <w:szCs w:val="28"/>
          <w:lang w:eastAsia="en-US"/>
        </w:rPr>
        <w:t xml:space="preserve">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з огляду та індекс їх</w:t>
      </w:r>
      <w:r w:rsidR="008460F9" w:rsidRPr="00520861">
        <w:rPr>
          <w:rFonts w:eastAsia="Calibri"/>
          <w:sz w:val="28"/>
          <w:szCs w:val="28"/>
          <w:lang w:eastAsia="en-US"/>
        </w:rPr>
        <w:t>ньої маси при народженні.</w:t>
      </w:r>
    </w:p>
    <w:p w14:paraId="085E212D" w14:textId="77777777" w:rsidR="005B2BAD" w:rsidRPr="00520861" w:rsidRDefault="005B2BAD" w:rsidP="00292D2E">
      <w:pPr>
        <w:widowControl w:val="0"/>
        <w:spacing w:line="360" w:lineRule="auto"/>
        <w:jc w:val="center"/>
        <w:rPr>
          <w:sz w:val="28"/>
          <w:szCs w:val="28"/>
        </w:rPr>
      </w:pPr>
    </w:p>
    <w:p w14:paraId="1E2B7545" w14:textId="77777777" w:rsidR="005B2BAD" w:rsidRPr="00520861" w:rsidRDefault="002B4CA0" w:rsidP="00292D2E">
      <w:pPr>
        <w:widowControl w:val="0"/>
        <w:spacing w:line="360" w:lineRule="auto"/>
        <w:ind w:firstLine="709"/>
        <w:contextualSpacing/>
        <w:jc w:val="both"/>
        <w:rPr>
          <w:b/>
          <w:sz w:val="28"/>
          <w:szCs w:val="28"/>
        </w:rPr>
      </w:pPr>
      <w:r w:rsidRPr="00520861">
        <w:rPr>
          <w:b/>
          <w:sz w:val="28"/>
          <w:szCs w:val="28"/>
        </w:rPr>
        <w:t>1.3</w:t>
      </w:r>
      <w:r w:rsidR="00DB3527" w:rsidRPr="00520861">
        <w:rPr>
          <w:b/>
          <w:sz w:val="28"/>
          <w:szCs w:val="28"/>
        </w:rPr>
        <w:t>.</w:t>
      </w:r>
      <w:r w:rsidR="005B2BAD" w:rsidRPr="00520861">
        <w:rPr>
          <w:b/>
          <w:sz w:val="28"/>
          <w:szCs w:val="28"/>
        </w:rPr>
        <w:t xml:space="preserve"> </w:t>
      </w:r>
      <w:r w:rsidRPr="00520861">
        <w:rPr>
          <w:b/>
          <w:sz w:val="28"/>
          <w:szCs w:val="28"/>
        </w:rPr>
        <w:t xml:space="preserve">Сучасні методи діагностики та прогнозування стоматологічних </w:t>
      </w:r>
      <w:r w:rsidR="001F7C3A" w:rsidRPr="00520861">
        <w:rPr>
          <w:b/>
          <w:sz w:val="28"/>
          <w:szCs w:val="28"/>
        </w:rPr>
        <w:br/>
      </w:r>
      <w:r w:rsidR="00CE4252" w:rsidRPr="00520861">
        <w:rPr>
          <w:b/>
          <w:sz w:val="28"/>
          <w:szCs w:val="28"/>
        </w:rPr>
        <w:t>захворювань</w:t>
      </w:r>
    </w:p>
    <w:p w14:paraId="043E9B35" w14:textId="77777777" w:rsidR="00467ACB" w:rsidRPr="00520861" w:rsidRDefault="00467ACB" w:rsidP="00292D2E">
      <w:pPr>
        <w:widowControl w:val="0"/>
        <w:spacing w:line="360" w:lineRule="auto"/>
        <w:ind w:firstLine="709"/>
        <w:contextualSpacing/>
        <w:jc w:val="both"/>
        <w:rPr>
          <w:b/>
          <w:sz w:val="28"/>
          <w:szCs w:val="28"/>
        </w:rPr>
      </w:pPr>
    </w:p>
    <w:p w14:paraId="70D4EA23" w14:textId="77777777" w:rsidR="004E24DB" w:rsidRPr="00520861" w:rsidRDefault="00467ACB" w:rsidP="00292D2E">
      <w:pPr>
        <w:widowControl w:val="0"/>
        <w:spacing w:line="360" w:lineRule="auto"/>
        <w:ind w:firstLine="709"/>
        <w:contextualSpacing/>
        <w:jc w:val="both"/>
        <w:rPr>
          <w:sz w:val="28"/>
          <w:szCs w:val="28"/>
        </w:rPr>
      </w:pPr>
      <w:r w:rsidRPr="00520861">
        <w:rPr>
          <w:sz w:val="28"/>
          <w:szCs w:val="28"/>
        </w:rPr>
        <w:t>Критично висока поширеність стоматологічних порушень спонукає науковців до пошуку нових підходів до діагностики та прогнозування цих захворювань.</w:t>
      </w:r>
    </w:p>
    <w:p w14:paraId="33272F29" w14:textId="77777777" w:rsidR="005B2BAD" w:rsidRPr="00520861" w:rsidRDefault="002B4CA0" w:rsidP="00292D2E">
      <w:pPr>
        <w:widowControl w:val="0"/>
        <w:spacing w:line="360" w:lineRule="auto"/>
        <w:ind w:firstLine="709"/>
        <w:jc w:val="both"/>
        <w:rPr>
          <w:b/>
          <w:sz w:val="28"/>
          <w:szCs w:val="28"/>
        </w:rPr>
      </w:pPr>
      <w:r w:rsidRPr="00520861">
        <w:rPr>
          <w:b/>
          <w:sz w:val="28"/>
          <w:szCs w:val="28"/>
        </w:rPr>
        <w:t>1.3.1</w:t>
      </w:r>
      <w:r w:rsidR="00B738CD" w:rsidRPr="00520861">
        <w:rPr>
          <w:b/>
          <w:sz w:val="28"/>
          <w:szCs w:val="28"/>
        </w:rPr>
        <w:t>.</w:t>
      </w:r>
      <w:r w:rsidRPr="00520861">
        <w:rPr>
          <w:b/>
          <w:sz w:val="28"/>
          <w:szCs w:val="28"/>
        </w:rPr>
        <w:t xml:space="preserve"> </w:t>
      </w:r>
      <w:r w:rsidR="00D12EE8" w:rsidRPr="00520861">
        <w:rPr>
          <w:b/>
          <w:sz w:val="28"/>
          <w:szCs w:val="28"/>
        </w:rPr>
        <w:t>Сучасний погляд на проблему експериментального</w:t>
      </w:r>
      <w:r w:rsidR="004A3030" w:rsidRPr="00520861">
        <w:rPr>
          <w:b/>
          <w:sz w:val="28"/>
          <w:szCs w:val="28"/>
        </w:rPr>
        <w:t xml:space="preserve"> моделювання </w:t>
      </w:r>
      <w:r w:rsidR="00D12EE8" w:rsidRPr="00520861">
        <w:rPr>
          <w:b/>
          <w:sz w:val="28"/>
          <w:szCs w:val="28"/>
        </w:rPr>
        <w:t>стоматологічних порушень</w:t>
      </w:r>
      <w:r w:rsidR="00DB3527" w:rsidRPr="00520861">
        <w:rPr>
          <w:b/>
          <w:sz w:val="28"/>
          <w:szCs w:val="28"/>
        </w:rPr>
        <w:t xml:space="preserve">. </w:t>
      </w:r>
      <w:r w:rsidR="005B2BAD" w:rsidRPr="00520861">
        <w:rPr>
          <w:rFonts w:eastAsia="Calibri"/>
          <w:sz w:val="28"/>
          <w:szCs w:val="28"/>
          <w:lang w:eastAsia="en-US"/>
        </w:rPr>
        <w:t>Якщо відомі особливості морфогенезу тканин</w:t>
      </w:r>
      <w:r w:rsidR="002826E4" w:rsidRPr="00520861">
        <w:rPr>
          <w:rFonts w:eastAsia="Calibri"/>
          <w:sz w:val="28"/>
          <w:szCs w:val="28"/>
          <w:lang w:eastAsia="en-US"/>
        </w:rPr>
        <w:t xml:space="preserve"> ПР</w:t>
      </w:r>
      <w:r w:rsidR="005B2BAD" w:rsidRPr="00520861">
        <w:rPr>
          <w:rFonts w:eastAsia="Calibri"/>
          <w:sz w:val="28"/>
          <w:szCs w:val="28"/>
          <w:lang w:eastAsia="en-US"/>
        </w:rPr>
        <w:t xml:space="preserve">, розв’язування завдань діагностики й розробка програм профілактики стоматологічної патології в осіб, які мали </w:t>
      </w:r>
      <w:proofErr w:type="spellStart"/>
      <w:r w:rsidR="005B2BAD" w:rsidRPr="00520861">
        <w:rPr>
          <w:rFonts w:eastAsia="Calibri"/>
          <w:sz w:val="28"/>
          <w:szCs w:val="28"/>
          <w:lang w:eastAsia="en-US"/>
        </w:rPr>
        <w:t>перинатальні</w:t>
      </w:r>
      <w:proofErr w:type="spellEnd"/>
      <w:r w:rsidR="005B2BAD" w:rsidRPr="00520861">
        <w:rPr>
          <w:rFonts w:eastAsia="Calibri"/>
          <w:sz w:val="28"/>
          <w:szCs w:val="28"/>
          <w:lang w:eastAsia="en-US"/>
        </w:rPr>
        <w:t xml:space="preserve"> порушення, суттєво спрощується [</w:t>
      </w:r>
      <w:r w:rsidR="007D1765" w:rsidRPr="00520861">
        <w:rPr>
          <w:rFonts w:eastAsia="Calibri"/>
          <w:sz w:val="28"/>
          <w:szCs w:val="28"/>
          <w:lang w:eastAsia="en-US"/>
        </w:rPr>
        <w:t>145</w:t>
      </w:r>
      <w:r w:rsidR="005B2BAD" w:rsidRPr="00520861">
        <w:rPr>
          <w:rFonts w:eastAsia="Calibri"/>
          <w:sz w:val="28"/>
          <w:szCs w:val="28"/>
          <w:lang w:eastAsia="en-US"/>
        </w:rPr>
        <w:t xml:space="preserve">]. </w:t>
      </w:r>
    </w:p>
    <w:p w14:paraId="014907D9" w14:textId="77777777" w:rsidR="005B2BAD" w:rsidRPr="00520861" w:rsidRDefault="005B2BAD" w:rsidP="00292D2E">
      <w:pPr>
        <w:widowControl w:val="0"/>
        <w:shd w:val="clear" w:color="auto" w:fill="FFFFFF"/>
        <w:spacing w:line="360" w:lineRule="auto"/>
        <w:ind w:firstLine="902"/>
        <w:jc w:val="both"/>
        <w:rPr>
          <w:rFonts w:eastAsia="Calibri"/>
          <w:spacing w:val="-6"/>
          <w:sz w:val="28"/>
          <w:szCs w:val="28"/>
          <w:lang w:eastAsia="en-US"/>
        </w:rPr>
      </w:pPr>
      <w:r w:rsidRPr="00520861">
        <w:rPr>
          <w:rFonts w:eastAsia="Calibri"/>
          <w:spacing w:val="-6"/>
          <w:sz w:val="28"/>
          <w:szCs w:val="28"/>
          <w:lang w:eastAsia="en-US"/>
        </w:rPr>
        <w:t xml:space="preserve">Особливості перебігу періоду </w:t>
      </w:r>
      <w:r w:rsidR="00EC41B5" w:rsidRPr="00520861">
        <w:rPr>
          <w:rFonts w:eastAsia="Calibri"/>
          <w:spacing w:val="-6"/>
          <w:sz w:val="28"/>
          <w:szCs w:val="28"/>
          <w:lang w:eastAsia="en-US"/>
        </w:rPr>
        <w:t>ВУ</w:t>
      </w:r>
      <w:r w:rsidR="0046560D" w:rsidRPr="00520861">
        <w:rPr>
          <w:rFonts w:eastAsia="Calibri"/>
          <w:spacing w:val="-6"/>
          <w:sz w:val="28"/>
          <w:szCs w:val="28"/>
          <w:lang w:eastAsia="en-US"/>
        </w:rPr>
        <w:t xml:space="preserve"> розвитку визначають напрям</w:t>
      </w:r>
      <w:r w:rsidRPr="00520861">
        <w:rPr>
          <w:rFonts w:eastAsia="Calibri"/>
          <w:spacing w:val="-6"/>
          <w:sz w:val="28"/>
          <w:szCs w:val="28"/>
          <w:lang w:eastAsia="en-US"/>
        </w:rPr>
        <w:t>и відхил</w:t>
      </w:r>
      <w:r w:rsidR="00BE7FC5" w:rsidRPr="00520861">
        <w:rPr>
          <w:rFonts w:eastAsia="Calibri"/>
          <w:spacing w:val="-6"/>
          <w:sz w:val="28"/>
          <w:szCs w:val="28"/>
          <w:lang w:eastAsia="en-US"/>
        </w:rPr>
        <w:t xml:space="preserve">ень від </w:t>
      </w:r>
      <w:r w:rsidR="00567946" w:rsidRPr="00520861">
        <w:rPr>
          <w:rFonts w:eastAsia="Calibri"/>
          <w:spacing w:val="-6"/>
          <w:sz w:val="28"/>
          <w:szCs w:val="28"/>
          <w:lang w:eastAsia="en-US"/>
        </w:rPr>
        <w:br/>
      </w:r>
      <w:r w:rsidR="00BE7FC5" w:rsidRPr="00520861">
        <w:rPr>
          <w:rFonts w:eastAsia="Calibri"/>
          <w:spacing w:val="-6"/>
          <w:sz w:val="28"/>
          <w:szCs w:val="28"/>
          <w:lang w:eastAsia="en-US"/>
        </w:rPr>
        <w:t>норми в онтогенезі</w:t>
      </w:r>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Перинатальна</w:t>
      </w:r>
      <w:proofErr w:type="spellEnd"/>
      <w:r w:rsidRPr="00520861">
        <w:rPr>
          <w:rFonts w:eastAsia="Calibri"/>
          <w:spacing w:val="-6"/>
          <w:sz w:val="28"/>
          <w:szCs w:val="28"/>
          <w:lang w:eastAsia="en-US"/>
        </w:rPr>
        <w:t xml:space="preserve"> патологія відбивається на формуванні </w:t>
      </w:r>
      <w:proofErr w:type="spellStart"/>
      <w:r w:rsidR="00D6480E" w:rsidRPr="00520861">
        <w:rPr>
          <w:rFonts w:eastAsia="Calibri"/>
          <w:spacing w:val="-6"/>
          <w:sz w:val="28"/>
          <w:szCs w:val="28"/>
          <w:lang w:eastAsia="en-US"/>
        </w:rPr>
        <w:t>СтП</w:t>
      </w:r>
      <w:proofErr w:type="spellEnd"/>
      <w:r w:rsidR="007D1765" w:rsidRPr="00520861">
        <w:rPr>
          <w:rFonts w:eastAsia="Calibri"/>
          <w:spacing w:val="-6"/>
          <w:sz w:val="28"/>
          <w:szCs w:val="28"/>
          <w:lang w:eastAsia="en-US"/>
        </w:rPr>
        <w:t xml:space="preserve"> [445</w:t>
      </w:r>
      <w:r w:rsidR="00222355" w:rsidRPr="00520861">
        <w:rPr>
          <w:rFonts w:eastAsia="Calibri"/>
          <w:spacing w:val="-6"/>
          <w:sz w:val="28"/>
          <w:szCs w:val="28"/>
          <w:lang w:eastAsia="en-US"/>
        </w:rPr>
        <w:t>,</w:t>
      </w:r>
      <w:r w:rsidR="009162A9" w:rsidRPr="00520861">
        <w:rPr>
          <w:rFonts w:eastAsia="Calibri"/>
          <w:spacing w:val="-6"/>
          <w:sz w:val="28"/>
          <w:szCs w:val="28"/>
          <w:lang w:eastAsia="en-US"/>
        </w:rPr>
        <w:t> </w:t>
      </w:r>
      <w:r w:rsidR="007D1765" w:rsidRPr="00520861">
        <w:rPr>
          <w:rFonts w:eastAsia="Calibri"/>
          <w:spacing w:val="-6"/>
          <w:sz w:val="28"/>
          <w:szCs w:val="28"/>
          <w:lang w:eastAsia="en-US"/>
        </w:rPr>
        <w:t>460</w:t>
      </w:r>
      <w:r w:rsidRPr="00520861">
        <w:rPr>
          <w:rFonts w:eastAsia="Calibri"/>
          <w:spacing w:val="-6"/>
          <w:sz w:val="28"/>
          <w:szCs w:val="28"/>
          <w:lang w:eastAsia="en-US"/>
        </w:rPr>
        <w:t xml:space="preserve">]. </w:t>
      </w:r>
    </w:p>
    <w:p w14:paraId="69BEBC0A"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Стоматологічні захворювання мають складну й багатофакторну етіологію. </w:t>
      </w:r>
      <w:r w:rsidR="00222404" w:rsidRPr="00520861">
        <w:rPr>
          <w:rFonts w:eastAsia="Calibri"/>
          <w:sz w:val="28"/>
          <w:szCs w:val="28"/>
          <w:lang w:eastAsia="en-US"/>
        </w:rPr>
        <w:br/>
      </w:r>
      <w:r w:rsidRPr="00520861">
        <w:rPr>
          <w:rFonts w:eastAsia="Calibri"/>
          <w:sz w:val="28"/>
          <w:szCs w:val="28"/>
          <w:lang w:eastAsia="en-US"/>
        </w:rPr>
        <w:t xml:space="preserve">Але визначити, що ж саме зумовило ті чи інші </w:t>
      </w:r>
      <w:proofErr w:type="spellStart"/>
      <w:r w:rsidR="00D6480E" w:rsidRPr="00520861">
        <w:rPr>
          <w:rFonts w:eastAsia="Calibri"/>
          <w:sz w:val="28"/>
          <w:szCs w:val="28"/>
          <w:lang w:eastAsia="en-US"/>
        </w:rPr>
        <w:t>СтП</w:t>
      </w:r>
      <w:proofErr w:type="spellEnd"/>
      <w:r w:rsidR="00222404" w:rsidRPr="00520861">
        <w:rPr>
          <w:rFonts w:eastAsia="Calibri"/>
          <w:sz w:val="28"/>
          <w:szCs w:val="28"/>
          <w:lang w:eastAsia="en-US"/>
        </w:rPr>
        <w:t xml:space="preserve"> у</w:t>
      </w:r>
      <w:r w:rsidRPr="00520861">
        <w:rPr>
          <w:rFonts w:eastAsia="Calibri"/>
          <w:sz w:val="28"/>
          <w:szCs w:val="28"/>
          <w:lang w:eastAsia="en-US"/>
        </w:rPr>
        <w:t xml:space="preserve"> пацієнтів у підлітковому й, тим більше, у дорослому віці, дуже складно або навіть неможливо через вплив багатьох ч</w:t>
      </w:r>
      <w:r w:rsidR="00895408" w:rsidRPr="00520861">
        <w:rPr>
          <w:rFonts w:eastAsia="Calibri"/>
          <w:sz w:val="28"/>
          <w:szCs w:val="28"/>
          <w:lang w:eastAsia="en-US"/>
        </w:rPr>
        <w:t>ин</w:t>
      </w:r>
      <w:r w:rsidR="0091338F" w:rsidRPr="00520861">
        <w:rPr>
          <w:rFonts w:eastAsia="Calibri"/>
          <w:sz w:val="28"/>
          <w:szCs w:val="28"/>
          <w:lang w:eastAsia="en-US"/>
        </w:rPr>
        <w:t xml:space="preserve">ників. </w:t>
      </w:r>
      <w:r w:rsidR="00D23F6C" w:rsidRPr="00520861">
        <w:rPr>
          <w:rFonts w:eastAsia="Calibri"/>
          <w:sz w:val="28"/>
          <w:szCs w:val="28"/>
          <w:lang w:eastAsia="en-US"/>
        </w:rPr>
        <w:t>Генетична схильність [454</w:t>
      </w:r>
      <w:r w:rsidRPr="00520861">
        <w:rPr>
          <w:rFonts w:eastAsia="Calibri"/>
          <w:sz w:val="28"/>
          <w:szCs w:val="28"/>
          <w:lang w:eastAsia="en-US"/>
        </w:rPr>
        <w:t xml:space="preserve">], певні особисті харчові вподобання, різний </w:t>
      </w:r>
      <w:r w:rsidR="00F16775" w:rsidRPr="00520861">
        <w:rPr>
          <w:rFonts w:eastAsia="Calibri"/>
          <w:sz w:val="28"/>
          <w:szCs w:val="28"/>
          <w:lang w:eastAsia="en-US"/>
        </w:rPr>
        <w:br/>
      </w:r>
      <w:r w:rsidRPr="00520861">
        <w:rPr>
          <w:rFonts w:eastAsia="Calibri"/>
          <w:sz w:val="28"/>
          <w:szCs w:val="28"/>
          <w:lang w:eastAsia="en-US"/>
        </w:rPr>
        <w:lastRenderedPageBreak/>
        <w:t>рів</w:t>
      </w:r>
      <w:r w:rsidR="00895408" w:rsidRPr="00520861">
        <w:rPr>
          <w:rFonts w:eastAsia="Calibri"/>
          <w:sz w:val="28"/>
          <w:szCs w:val="28"/>
          <w:lang w:eastAsia="en-US"/>
        </w:rPr>
        <w:t>ен</w:t>
      </w:r>
      <w:r w:rsidR="00D23F6C" w:rsidRPr="00520861">
        <w:rPr>
          <w:rFonts w:eastAsia="Calibri"/>
          <w:sz w:val="28"/>
          <w:szCs w:val="28"/>
          <w:lang w:eastAsia="en-US"/>
        </w:rPr>
        <w:t xml:space="preserve">ь гігієни </w:t>
      </w:r>
      <w:r w:rsidR="002826E4" w:rsidRPr="00520861">
        <w:rPr>
          <w:rFonts w:eastAsia="Calibri"/>
          <w:sz w:val="28"/>
          <w:szCs w:val="28"/>
          <w:lang w:eastAsia="en-US"/>
        </w:rPr>
        <w:t xml:space="preserve">ПР </w:t>
      </w:r>
      <w:r w:rsidR="00D23F6C" w:rsidRPr="00520861">
        <w:rPr>
          <w:rFonts w:eastAsia="Calibri"/>
          <w:sz w:val="28"/>
          <w:szCs w:val="28"/>
          <w:lang w:eastAsia="en-US"/>
        </w:rPr>
        <w:t>[273], шкідливі звички [197] й стан здоров’я [155</w:t>
      </w:r>
      <w:r w:rsidRPr="00520861">
        <w:rPr>
          <w:rFonts w:eastAsia="Calibri"/>
          <w:sz w:val="28"/>
          <w:szCs w:val="28"/>
          <w:lang w:eastAsia="en-US"/>
        </w:rPr>
        <w:t xml:space="preserve">] – ці й інші чинники, що мають вплив на формування </w:t>
      </w:r>
      <w:proofErr w:type="spellStart"/>
      <w:r w:rsidR="00D6480E" w:rsidRPr="00520861">
        <w:rPr>
          <w:sz w:val="28"/>
          <w:szCs w:val="28"/>
        </w:rPr>
        <w:t>СтП</w:t>
      </w:r>
      <w:proofErr w:type="spellEnd"/>
      <w:r w:rsidRPr="00520861">
        <w:rPr>
          <w:rFonts w:eastAsia="Calibri"/>
          <w:sz w:val="28"/>
          <w:szCs w:val="28"/>
          <w:lang w:eastAsia="en-US"/>
        </w:rPr>
        <w:t xml:space="preserve">, зумовлюють те, що експеримент на лабораторних тваринах стає єдиним </w:t>
      </w:r>
      <w:r w:rsidR="00DD0100" w:rsidRPr="00520861">
        <w:rPr>
          <w:rFonts w:eastAsia="Calibri"/>
          <w:sz w:val="28"/>
          <w:szCs w:val="28"/>
          <w:lang w:eastAsia="en-US"/>
        </w:rPr>
        <w:t xml:space="preserve">надійним </w:t>
      </w:r>
      <w:r w:rsidRPr="00520861">
        <w:rPr>
          <w:rFonts w:eastAsia="Calibri"/>
          <w:sz w:val="28"/>
          <w:szCs w:val="28"/>
          <w:lang w:eastAsia="en-US"/>
        </w:rPr>
        <w:t xml:space="preserve">способом провести дослідження, які визначають вплив на формування стоматологічної патології саме </w:t>
      </w:r>
      <w:r w:rsidR="00F53246" w:rsidRPr="00520861">
        <w:rPr>
          <w:rFonts w:eastAsia="Calibri"/>
          <w:sz w:val="28"/>
          <w:szCs w:val="28"/>
          <w:lang w:eastAsia="en-US"/>
        </w:rPr>
        <w:t>МРП</w:t>
      </w:r>
      <w:r w:rsidRPr="00520861">
        <w:rPr>
          <w:rFonts w:eastAsia="Calibri"/>
          <w:sz w:val="28"/>
          <w:szCs w:val="28"/>
          <w:lang w:eastAsia="en-US"/>
        </w:rPr>
        <w:t xml:space="preserve"> при народженні. Вивчення під час експерименту цих особливостей дозволяє правильно </w:t>
      </w:r>
      <w:r w:rsidR="005D0CFB" w:rsidRPr="00520861">
        <w:rPr>
          <w:rFonts w:eastAsia="Calibri"/>
          <w:sz w:val="28"/>
          <w:szCs w:val="28"/>
          <w:lang w:eastAsia="en-US"/>
        </w:rPr>
        <w:br/>
      </w:r>
      <w:r w:rsidRPr="00520861">
        <w:rPr>
          <w:rFonts w:eastAsia="Calibri"/>
          <w:sz w:val="28"/>
          <w:szCs w:val="28"/>
          <w:lang w:eastAsia="en-US"/>
        </w:rPr>
        <w:t>сформувати та впроваджувати профілактичні за</w:t>
      </w:r>
      <w:r w:rsidR="00D23F6C" w:rsidRPr="00520861">
        <w:rPr>
          <w:rFonts w:eastAsia="Calibri"/>
          <w:sz w:val="28"/>
          <w:szCs w:val="28"/>
          <w:lang w:eastAsia="en-US"/>
        </w:rPr>
        <w:t>ходи [194</w:t>
      </w:r>
      <w:r w:rsidRPr="00520861">
        <w:rPr>
          <w:rFonts w:eastAsia="Calibri"/>
          <w:sz w:val="28"/>
          <w:szCs w:val="28"/>
          <w:lang w:eastAsia="en-US"/>
        </w:rPr>
        <w:t xml:space="preserve">]. </w:t>
      </w:r>
    </w:p>
    <w:p w14:paraId="5540ABEA" w14:textId="77777777" w:rsidR="005B2BAD" w:rsidRPr="00520861" w:rsidRDefault="005B2BAD" w:rsidP="00292D2E">
      <w:pPr>
        <w:widowControl w:val="0"/>
        <w:spacing w:line="360" w:lineRule="auto"/>
        <w:ind w:firstLine="708"/>
        <w:jc w:val="both"/>
        <w:rPr>
          <w:sz w:val="28"/>
          <w:szCs w:val="28"/>
        </w:rPr>
      </w:pPr>
      <w:r w:rsidRPr="00520861">
        <w:rPr>
          <w:sz w:val="28"/>
          <w:szCs w:val="28"/>
        </w:rPr>
        <w:t xml:space="preserve">Частіше за все </w:t>
      </w:r>
      <w:proofErr w:type="spellStart"/>
      <w:r w:rsidRPr="00520861">
        <w:rPr>
          <w:sz w:val="28"/>
          <w:szCs w:val="28"/>
        </w:rPr>
        <w:t>неонатальна</w:t>
      </w:r>
      <w:proofErr w:type="spellEnd"/>
      <w:r w:rsidRPr="00520861">
        <w:rPr>
          <w:sz w:val="28"/>
          <w:szCs w:val="28"/>
        </w:rPr>
        <w:t xml:space="preserve"> </w:t>
      </w:r>
      <w:proofErr w:type="spellStart"/>
      <w:r w:rsidRPr="00520861">
        <w:rPr>
          <w:sz w:val="28"/>
          <w:szCs w:val="28"/>
        </w:rPr>
        <w:t>макросомія</w:t>
      </w:r>
      <w:proofErr w:type="spellEnd"/>
      <w:r w:rsidRPr="00520861">
        <w:rPr>
          <w:sz w:val="28"/>
          <w:szCs w:val="28"/>
        </w:rPr>
        <w:t xml:space="preserve"> моделюється </w:t>
      </w:r>
      <w:proofErr w:type="spellStart"/>
      <w:r w:rsidRPr="00520861">
        <w:rPr>
          <w:sz w:val="28"/>
          <w:szCs w:val="28"/>
        </w:rPr>
        <w:t>гіперкалорійною</w:t>
      </w:r>
      <w:proofErr w:type="spellEnd"/>
      <w:r w:rsidRPr="00520861">
        <w:rPr>
          <w:sz w:val="28"/>
          <w:szCs w:val="28"/>
        </w:rPr>
        <w:t xml:space="preserve"> дієтою або індукцією (моделюванням) діабету у вагітних самиць [</w:t>
      </w:r>
      <w:r w:rsidR="008E16B8" w:rsidRPr="00520861">
        <w:rPr>
          <w:sz w:val="28"/>
          <w:szCs w:val="28"/>
        </w:rPr>
        <w:t>279, 353</w:t>
      </w:r>
      <w:r w:rsidR="00D06741" w:rsidRPr="00520861">
        <w:rPr>
          <w:sz w:val="28"/>
          <w:szCs w:val="28"/>
        </w:rPr>
        <w:t xml:space="preserve">]. Останній </w:t>
      </w:r>
      <w:r w:rsidR="005A6A84" w:rsidRPr="00520861">
        <w:rPr>
          <w:sz w:val="28"/>
          <w:szCs w:val="28"/>
        </w:rPr>
        <w:t>спосі</w:t>
      </w:r>
      <w:r w:rsidRPr="00520861">
        <w:rPr>
          <w:sz w:val="28"/>
          <w:szCs w:val="28"/>
        </w:rPr>
        <w:t xml:space="preserve">б моделювання в цій роботі не розглядався, оскільки в нащадків матерів, які мали діабет 1 або 2 типу або </w:t>
      </w:r>
      <w:proofErr w:type="spellStart"/>
      <w:r w:rsidRPr="00520861">
        <w:rPr>
          <w:sz w:val="28"/>
          <w:szCs w:val="28"/>
        </w:rPr>
        <w:t>гестаційний</w:t>
      </w:r>
      <w:proofErr w:type="spellEnd"/>
      <w:r w:rsidRPr="00520861">
        <w:rPr>
          <w:sz w:val="28"/>
          <w:szCs w:val="28"/>
        </w:rPr>
        <w:t xml:space="preserve"> діабет, наявні специфічні </w:t>
      </w:r>
      <w:proofErr w:type="spellStart"/>
      <w:r w:rsidR="00D6480E" w:rsidRPr="00520861">
        <w:rPr>
          <w:sz w:val="28"/>
          <w:szCs w:val="28"/>
        </w:rPr>
        <w:t>СтП</w:t>
      </w:r>
      <w:proofErr w:type="spellEnd"/>
      <w:r w:rsidRPr="00520861">
        <w:rPr>
          <w:sz w:val="28"/>
          <w:szCs w:val="28"/>
        </w:rPr>
        <w:t xml:space="preserve">. Натомість як і в </w:t>
      </w:r>
      <w:r w:rsidR="00567946" w:rsidRPr="00520861">
        <w:rPr>
          <w:sz w:val="28"/>
          <w:szCs w:val="28"/>
        </w:rPr>
        <w:br/>
      </w:r>
      <w:r w:rsidRPr="00520861">
        <w:rPr>
          <w:sz w:val="28"/>
          <w:szCs w:val="28"/>
        </w:rPr>
        <w:t>дослідженні, проведеному</w:t>
      </w:r>
      <w:r w:rsidR="004E24DB" w:rsidRPr="00520861">
        <w:rPr>
          <w:sz w:val="28"/>
          <w:szCs w:val="28"/>
        </w:rPr>
        <w:t xml:space="preserve"> </w:t>
      </w:r>
      <w:proofErr w:type="spellStart"/>
      <w:r w:rsidR="004E24DB" w:rsidRPr="00520861">
        <w:rPr>
          <w:rFonts w:eastAsia="Calibri"/>
          <w:sz w:val="28"/>
          <w:szCs w:val="28"/>
          <w:lang w:eastAsia="en-US"/>
        </w:rPr>
        <w:t>Khan</w:t>
      </w:r>
      <w:proofErr w:type="spellEnd"/>
      <w:r w:rsidR="004E24DB" w:rsidRPr="00520861">
        <w:rPr>
          <w:rFonts w:eastAsia="Calibri"/>
          <w:sz w:val="28"/>
          <w:szCs w:val="28"/>
          <w:lang w:eastAsia="en-US"/>
        </w:rPr>
        <w:t xml:space="preserve"> N</w:t>
      </w:r>
      <w:r w:rsidR="005A6A84" w:rsidRPr="00520861">
        <w:rPr>
          <w:rFonts w:eastAsia="Calibri"/>
          <w:sz w:val="28"/>
          <w:szCs w:val="28"/>
          <w:lang w:eastAsia="en-US"/>
        </w:rPr>
        <w:t>.</w:t>
      </w:r>
      <w:r w:rsidR="00802A30" w:rsidRPr="00520861">
        <w:rPr>
          <w:rFonts w:eastAsia="Calibri"/>
          <w:sz w:val="28"/>
          <w:szCs w:val="28"/>
          <w:lang w:eastAsia="en-US"/>
        </w:rPr>
        <w:t> </w:t>
      </w:r>
      <w:r w:rsidR="004E24DB" w:rsidRPr="00520861">
        <w:rPr>
          <w:rFonts w:eastAsia="Calibri"/>
          <w:sz w:val="28"/>
          <w:szCs w:val="28"/>
          <w:lang w:eastAsia="en-US"/>
        </w:rPr>
        <w:t>A</w:t>
      </w:r>
      <w:r w:rsidR="005A6A84" w:rsidRPr="00520861">
        <w:rPr>
          <w:rFonts w:eastAsia="Calibri"/>
          <w:sz w:val="28"/>
          <w:szCs w:val="28"/>
          <w:lang w:eastAsia="en-US"/>
        </w:rPr>
        <w:t>.</w:t>
      </w:r>
      <w:r w:rsidR="004E24DB" w:rsidRPr="00520861">
        <w:rPr>
          <w:rFonts w:eastAsia="Calibri"/>
          <w:sz w:val="28"/>
          <w:szCs w:val="28"/>
          <w:lang w:eastAsia="en-US"/>
        </w:rPr>
        <w:t xml:space="preserve"> </w:t>
      </w:r>
      <w:r w:rsidR="009315BC" w:rsidRPr="00520861">
        <w:rPr>
          <w:rFonts w:eastAsia="Calibri"/>
          <w:sz w:val="28"/>
          <w:szCs w:val="28"/>
          <w:lang w:eastAsia="en-US"/>
        </w:rPr>
        <w:t>та співавторами</w:t>
      </w:r>
      <w:r w:rsidRPr="00520861">
        <w:rPr>
          <w:sz w:val="28"/>
          <w:szCs w:val="28"/>
        </w:rPr>
        <w:t xml:space="preserve"> [</w:t>
      </w:r>
      <w:r w:rsidR="00056CC5" w:rsidRPr="00520861">
        <w:rPr>
          <w:sz w:val="28"/>
          <w:szCs w:val="28"/>
        </w:rPr>
        <w:t>382</w:t>
      </w:r>
      <w:r w:rsidRPr="00520861">
        <w:rPr>
          <w:sz w:val="28"/>
          <w:szCs w:val="28"/>
        </w:rPr>
        <w:t xml:space="preserve">], нас цікавлять віддалені наслідки саме </w:t>
      </w:r>
      <w:proofErr w:type="spellStart"/>
      <w:r w:rsidRPr="00520861">
        <w:rPr>
          <w:sz w:val="28"/>
          <w:szCs w:val="28"/>
        </w:rPr>
        <w:t>макросомії</w:t>
      </w:r>
      <w:proofErr w:type="spellEnd"/>
      <w:r w:rsidRPr="00520861">
        <w:rPr>
          <w:sz w:val="28"/>
          <w:szCs w:val="28"/>
        </w:rPr>
        <w:t xml:space="preserve"> </w:t>
      </w:r>
      <w:r w:rsidR="000C5378" w:rsidRPr="00520861">
        <w:rPr>
          <w:sz w:val="28"/>
          <w:szCs w:val="28"/>
        </w:rPr>
        <w:t>плода</w:t>
      </w:r>
      <w:r w:rsidRPr="00520861">
        <w:rPr>
          <w:sz w:val="28"/>
          <w:szCs w:val="28"/>
        </w:rPr>
        <w:t>, а не материнського діабету.</w:t>
      </w:r>
    </w:p>
    <w:p w14:paraId="2D1024F9" w14:textId="77777777" w:rsidR="005B2BAD" w:rsidRPr="00520861" w:rsidRDefault="00CE4731" w:rsidP="00292D2E">
      <w:pPr>
        <w:widowControl w:val="0"/>
        <w:spacing w:line="360" w:lineRule="auto"/>
        <w:ind w:firstLine="708"/>
        <w:jc w:val="both"/>
        <w:rPr>
          <w:bCs/>
          <w:sz w:val="28"/>
          <w:szCs w:val="28"/>
        </w:rPr>
      </w:pPr>
      <w:r w:rsidRPr="00520861">
        <w:rPr>
          <w:rFonts w:eastAsia="Calibri"/>
          <w:sz w:val="28"/>
          <w:szCs w:val="28"/>
          <w:lang w:eastAsia="en-US"/>
        </w:rPr>
        <w:t>Науковці з</w:t>
      </w:r>
      <w:r w:rsidR="002767FE" w:rsidRPr="00520861">
        <w:rPr>
          <w:rFonts w:eastAsia="Calibri"/>
          <w:sz w:val="28"/>
          <w:szCs w:val="28"/>
          <w:lang w:eastAsia="en-US"/>
        </w:rPr>
        <w:t>б</w:t>
      </w:r>
      <w:r w:rsidR="005B2BAD" w:rsidRPr="00520861">
        <w:rPr>
          <w:rFonts w:eastAsia="Calibri"/>
          <w:sz w:val="28"/>
          <w:szCs w:val="28"/>
          <w:lang w:eastAsia="en-US"/>
        </w:rPr>
        <w:t xml:space="preserve">ігаються в думці, що використання щурів при моделюванні </w:t>
      </w:r>
      <w:r w:rsidR="002767FE" w:rsidRPr="00520861">
        <w:rPr>
          <w:rFonts w:eastAsia="Calibri"/>
          <w:sz w:val="28"/>
          <w:szCs w:val="28"/>
          <w:lang w:eastAsia="en-US"/>
        </w:rPr>
        <w:br/>
      </w:r>
      <w:r w:rsidR="005B2BAD" w:rsidRPr="00520861">
        <w:rPr>
          <w:rFonts w:eastAsia="Calibri"/>
          <w:sz w:val="28"/>
          <w:szCs w:val="28"/>
          <w:lang w:eastAsia="en-US"/>
        </w:rPr>
        <w:t>наслідків карієсу та його ускладнень, а також екстраполяція отриманих результатів на людський організм обґрунтовані тому, що форма й структура молярів цих лабораторних тварин подібна до людських [</w:t>
      </w:r>
      <w:r w:rsidR="00EE7C12" w:rsidRPr="00520861">
        <w:rPr>
          <w:rFonts w:eastAsia="Calibri"/>
          <w:sz w:val="28"/>
          <w:szCs w:val="28"/>
          <w:lang w:eastAsia="en-US"/>
        </w:rPr>
        <w:t>172</w:t>
      </w:r>
      <w:r w:rsidR="005B2BAD" w:rsidRPr="00520861">
        <w:rPr>
          <w:rFonts w:eastAsia="Calibri"/>
          <w:sz w:val="28"/>
          <w:szCs w:val="28"/>
          <w:lang w:eastAsia="en-US"/>
        </w:rPr>
        <w:t xml:space="preserve">]. </w:t>
      </w:r>
      <w:r w:rsidR="005B2BAD" w:rsidRPr="00520861">
        <w:rPr>
          <w:bCs/>
          <w:color w:val="000000"/>
          <w:sz w:val="28"/>
          <w:szCs w:val="28"/>
        </w:rPr>
        <w:t>Рі</w:t>
      </w:r>
      <w:r w:rsidR="0053140C" w:rsidRPr="00520861">
        <w:rPr>
          <w:bCs/>
          <w:color w:val="000000"/>
          <w:sz w:val="28"/>
          <w:szCs w:val="28"/>
        </w:rPr>
        <w:t>зний ступінь сформованості зачат</w:t>
      </w:r>
      <w:r w:rsidR="005B2BAD" w:rsidRPr="00520861">
        <w:rPr>
          <w:bCs/>
          <w:color w:val="000000"/>
          <w:sz w:val="28"/>
          <w:szCs w:val="28"/>
        </w:rPr>
        <w:t xml:space="preserve">ків зубів на момент народження щура </w:t>
      </w:r>
      <w:r w:rsidR="002767FE" w:rsidRPr="00520861">
        <w:rPr>
          <w:bCs/>
          <w:color w:val="000000"/>
          <w:sz w:val="28"/>
          <w:szCs w:val="28"/>
        </w:rPr>
        <w:t>дозволяє</w:t>
      </w:r>
      <w:r w:rsidR="005B2BAD" w:rsidRPr="00520861">
        <w:rPr>
          <w:bCs/>
          <w:color w:val="000000"/>
          <w:sz w:val="28"/>
          <w:szCs w:val="28"/>
        </w:rPr>
        <w:t xml:space="preserve"> відстежити кілька етапів </w:t>
      </w:r>
      <w:r w:rsidR="00455B9B" w:rsidRPr="00520861">
        <w:rPr>
          <w:bCs/>
          <w:color w:val="000000"/>
          <w:sz w:val="28"/>
          <w:szCs w:val="28"/>
        </w:rPr>
        <w:t xml:space="preserve">їхнього </w:t>
      </w:r>
      <w:r w:rsidR="005B2BAD" w:rsidRPr="00520861">
        <w:rPr>
          <w:bCs/>
          <w:color w:val="000000"/>
          <w:sz w:val="28"/>
          <w:szCs w:val="28"/>
        </w:rPr>
        <w:t>морфогенезу [</w:t>
      </w:r>
      <w:r w:rsidR="00EE7C12" w:rsidRPr="00520861">
        <w:rPr>
          <w:bCs/>
          <w:color w:val="000000"/>
          <w:sz w:val="28"/>
          <w:szCs w:val="28"/>
        </w:rPr>
        <w:t>168</w:t>
      </w:r>
      <w:r w:rsidR="005B2BAD" w:rsidRPr="00520861">
        <w:rPr>
          <w:bCs/>
          <w:color w:val="000000"/>
          <w:sz w:val="28"/>
          <w:szCs w:val="28"/>
        </w:rPr>
        <w:t xml:space="preserve">] у рамках одного дослідження. На думку </w:t>
      </w:r>
      <w:proofErr w:type="spellStart"/>
      <w:r w:rsidR="005B2BAD" w:rsidRPr="00520861">
        <w:rPr>
          <w:bCs/>
          <w:color w:val="000000"/>
          <w:sz w:val="28"/>
          <w:szCs w:val="28"/>
        </w:rPr>
        <w:t>Bowen</w:t>
      </w:r>
      <w:proofErr w:type="spellEnd"/>
      <w:r w:rsidR="002767FE" w:rsidRPr="00520861">
        <w:rPr>
          <w:bCs/>
          <w:color w:val="000000"/>
          <w:sz w:val="28"/>
          <w:szCs w:val="28"/>
        </w:rPr>
        <w:t> W.</w:t>
      </w:r>
      <w:r w:rsidR="008A62E5" w:rsidRPr="00520861">
        <w:rPr>
          <w:bCs/>
          <w:color w:val="000000"/>
          <w:sz w:val="28"/>
          <w:szCs w:val="28"/>
        </w:rPr>
        <w:t> </w:t>
      </w:r>
      <w:r w:rsidR="00DD0100" w:rsidRPr="00520861">
        <w:rPr>
          <w:bCs/>
          <w:color w:val="000000"/>
          <w:sz w:val="28"/>
          <w:szCs w:val="28"/>
        </w:rPr>
        <w:t xml:space="preserve">H. </w:t>
      </w:r>
      <w:r w:rsidR="00CB746F" w:rsidRPr="00520861">
        <w:rPr>
          <w:bCs/>
          <w:color w:val="000000"/>
          <w:sz w:val="28"/>
          <w:szCs w:val="28"/>
        </w:rPr>
        <w:t>[</w:t>
      </w:r>
      <w:r w:rsidR="00EE7C12" w:rsidRPr="00520861">
        <w:rPr>
          <w:bCs/>
          <w:color w:val="000000"/>
          <w:sz w:val="28"/>
          <w:szCs w:val="28"/>
        </w:rPr>
        <w:t>261</w:t>
      </w:r>
      <w:r w:rsidR="00CB746F" w:rsidRPr="00520861">
        <w:rPr>
          <w:bCs/>
          <w:color w:val="000000"/>
          <w:sz w:val="28"/>
          <w:szCs w:val="28"/>
        </w:rPr>
        <w:t>],</w:t>
      </w:r>
      <w:r w:rsidR="005B2BAD" w:rsidRPr="00520861">
        <w:rPr>
          <w:bCs/>
          <w:color w:val="000000"/>
          <w:sz w:val="28"/>
          <w:szCs w:val="28"/>
        </w:rPr>
        <w:t xml:space="preserve"> використання моделей вивчення карієсу на гризунах за умови вдало обраного віку тварин, їх кількості, достатньої для отримання статистично вірогідних результатів, </w:t>
      </w:r>
      <w:r w:rsidR="007E65C2" w:rsidRPr="00520861">
        <w:rPr>
          <w:bCs/>
          <w:color w:val="000000"/>
          <w:sz w:val="28"/>
          <w:szCs w:val="28"/>
        </w:rPr>
        <w:br/>
      </w:r>
      <w:r w:rsidR="005B2BAD" w:rsidRPr="00520861">
        <w:rPr>
          <w:bCs/>
          <w:color w:val="000000"/>
          <w:sz w:val="28"/>
          <w:szCs w:val="28"/>
        </w:rPr>
        <w:t xml:space="preserve">й адекватного раціону </w:t>
      </w:r>
      <w:r w:rsidR="005B2BAD" w:rsidRPr="00520861">
        <w:rPr>
          <w:bCs/>
          <w:sz w:val="28"/>
          <w:szCs w:val="28"/>
        </w:rPr>
        <w:t xml:space="preserve">неоціненне для створення нових підходів </w:t>
      </w:r>
      <w:r w:rsidR="00A51D3C" w:rsidRPr="00520861">
        <w:rPr>
          <w:bCs/>
          <w:sz w:val="28"/>
          <w:szCs w:val="28"/>
        </w:rPr>
        <w:t xml:space="preserve">до </w:t>
      </w:r>
      <w:r w:rsidR="005B2BAD" w:rsidRPr="00520861">
        <w:rPr>
          <w:bCs/>
          <w:sz w:val="28"/>
          <w:szCs w:val="28"/>
        </w:rPr>
        <w:t xml:space="preserve">прогнозування, ефективних методів профілактики й раціонального лікування цього захворювання </w:t>
      </w:r>
      <w:r w:rsidR="007E65C2" w:rsidRPr="00520861">
        <w:rPr>
          <w:bCs/>
          <w:sz w:val="28"/>
          <w:szCs w:val="28"/>
        </w:rPr>
        <w:br/>
      </w:r>
      <w:r w:rsidR="005B2BAD" w:rsidRPr="00520861">
        <w:rPr>
          <w:bCs/>
          <w:sz w:val="28"/>
          <w:szCs w:val="28"/>
        </w:rPr>
        <w:t>в пацієнтів, яких ми опікуємо.</w:t>
      </w:r>
    </w:p>
    <w:p w14:paraId="5F672CB0" w14:textId="77777777" w:rsidR="005B2BAD" w:rsidRPr="00520861" w:rsidRDefault="005B2BAD" w:rsidP="00292D2E">
      <w:pPr>
        <w:widowControl w:val="0"/>
        <w:spacing w:line="360" w:lineRule="auto"/>
        <w:ind w:firstLine="709"/>
        <w:jc w:val="both"/>
        <w:rPr>
          <w:bCs/>
          <w:sz w:val="28"/>
          <w:szCs w:val="28"/>
        </w:rPr>
      </w:pPr>
      <w:r w:rsidRPr="00520861">
        <w:rPr>
          <w:bCs/>
          <w:sz w:val="28"/>
          <w:szCs w:val="28"/>
        </w:rPr>
        <w:t>Наявні дослідження, у яких щури використовуються для оцінювання стану пульпи зубів після стоматологічного лікування [</w:t>
      </w:r>
      <w:r w:rsidR="00EE7C12" w:rsidRPr="00520861">
        <w:rPr>
          <w:bCs/>
          <w:sz w:val="28"/>
          <w:szCs w:val="28"/>
        </w:rPr>
        <w:t>309</w:t>
      </w:r>
      <w:r w:rsidRPr="00520861">
        <w:rPr>
          <w:bCs/>
          <w:sz w:val="28"/>
          <w:szCs w:val="28"/>
        </w:rPr>
        <w:t>].</w:t>
      </w:r>
    </w:p>
    <w:p w14:paraId="142A39AD" w14:textId="77777777" w:rsidR="005B2BAD" w:rsidRPr="00520861" w:rsidRDefault="00762CC9" w:rsidP="00292D2E">
      <w:pPr>
        <w:widowControl w:val="0"/>
        <w:autoSpaceDE w:val="0"/>
        <w:autoSpaceDN w:val="0"/>
        <w:adjustRightInd w:val="0"/>
        <w:spacing w:line="360" w:lineRule="auto"/>
        <w:ind w:firstLine="708"/>
        <w:jc w:val="both"/>
        <w:rPr>
          <w:rFonts w:eastAsia="Calibri"/>
          <w:sz w:val="28"/>
          <w:szCs w:val="28"/>
          <w:lang w:eastAsia="en-US"/>
        </w:rPr>
      </w:pPr>
      <w:r w:rsidRPr="00520861">
        <w:rPr>
          <w:rFonts w:eastAsia="Calibri"/>
          <w:sz w:val="28"/>
          <w:szCs w:val="28"/>
          <w:lang w:eastAsia="en-US"/>
        </w:rPr>
        <w:t>Існує обширна бібліографія про визначальний</w:t>
      </w:r>
      <w:r w:rsidR="005B2BAD" w:rsidRPr="00520861">
        <w:rPr>
          <w:rFonts w:eastAsia="Calibri"/>
          <w:sz w:val="28"/>
          <w:szCs w:val="28"/>
          <w:lang w:eastAsia="en-US"/>
        </w:rPr>
        <w:t xml:space="preserve"> вплив на стан здоров’я органів </w:t>
      </w:r>
      <w:r w:rsidR="002826E4" w:rsidRPr="00520861">
        <w:rPr>
          <w:rFonts w:eastAsia="Calibri"/>
          <w:sz w:val="28"/>
          <w:szCs w:val="28"/>
          <w:lang w:eastAsia="en-US"/>
        </w:rPr>
        <w:t xml:space="preserve">ПР </w:t>
      </w:r>
      <w:r w:rsidR="005B2BAD" w:rsidRPr="00520861">
        <w:rPr>
          <w:rFonts w:eastAsia="Calibri"/>
          <w:sz w:val="28"/>
          <w:szCs w:val="28"/>
          <w:lang w:eastAsia="en-US"/>
        </w:rPr>
        <w:t>анатомічного та функціонального стану слинних залоз, а також кількості та якості</w:t>
      </w:r>
      <w:r w:rsidR="001871DA" w:rsidRPr="00520861">
        <w:rPr>
          <w:rFonts w:eastAsia="Calibri"/>
          <w:sz w:val="28"/>
          <w:szCs w:val="28"/>
          <w:lang w:eastAsia="en-US"/>
        </w:rPr>
        <w:t xml:space="preserve"> слини, яку вони виробляють [282, 479</w:t>
      </w:r>
      <w:r w:rsidR="00CB746F" w:rsidRPr="00520861">
        <w:rPr>
          <w:rFonts w:eastAsia="Calibri"/>
          <w:sz w:val="28"/>
          <w:szCs w:val="28"/>
          <w:lang w:eastAsia="en-US"/>
        </w:rPr>
        <w:t xml:space="preserve">, </w:t>
      </w:r>
      <w:r w:rsidR="001871DA" w:rsidRPr="00520861">
        <w:rPr>
          <w:rFonts w:eastAsia="Calibri"/>
          <w:sz w:val="28"/>
          <w:szCs w:val="28"/>
          <w:lang w:eastAsia="en-US"/>
        </w:rPr>
        <w:t>506</w:t>
      </w:r>
      <w:r w:rsidR="00CB746F" w:rsidRPr="00520861">
        <w:rPr>
          <w:rFonts w:eastAsia="Calibri"/>
          <w:sz w:val="28"/>
          <w:szCs w:val="28"/>
          <w:lang w:eastAsia="en-US"/>
        </w:rPr>
        <w:t>,</w:t>
      </w:r>
      <w:r w:rsidR="001871DA" w:rsidRPr="00520861">
        <w:rPr>
          <w:rFonts w:eastAsia="Calibri"/>
          <w:sz w:val="28"/>
          <w:szCs w:val="28"/>
          <w:lang w:eastAsia="en-US"/>
        </w:rPr>
        <w:t xml:space="preserve"> 540</w:t>
      </w:r>
      <w:r w:rsidR="006E3613" w:rsidRPr="00520861">
        <w:rPr>
          <w:rFonts w:eastAsia="Calibri"/>
          <w:sz w:val="28"/>
          <w:szCs w:val="28"/>
          <w:lang w:eastAsia="en-US"/>
        </w:rPr>
        <w:t>].</w:t>
      </w:r>
      <w:r w:rsidR="00174453" w:rsidRPr="00520861">
        <w:rPr>
          <w:rFonts w:eastAsia="Calibri"/>
          <w:sz w:val="28"/>
          <w:szCs w:val="28"/>
          <w:lang w:eastAsia="en-US"/>
        </w:rPr>
        <w:t xml:space="preserve"> </w:t>
      </w:r>
      <w:r w:rsidR="005B2BAD" w:rsidRPr="00520861">
        <w:rPr>
          <w:rFonts w:eastAsia="Calibri"/>
          <w:sz w:val="28"/>
          <w:szCs w:val="28"/>
          <w:lang w:eastAsia="en-US"/>
        </w:rPr>
        <w:t xml:space="preserve">Зокрема, про вплив малих слинних залоз на захисну функцію </w:t>
      </w:r>
      <w:r w:rsidR="00852A93" w:rsidRPr="00520861">
        <w:rPr>
          <w:rFonts w:eastAsia="Calibri"/>
          <w:sz w:val="28"/>
          <w:szCs w:val="28"/>
          <w:lang w:eastAsia="en-US"/>
        </w:rPr>
        <w:t xml:space="preserve">СОПР </w:t>
      </w:r>
      <w:r w:rsidR="005B2BAD" w:rsidRPr="00520861">
        <w:rPr>
          <w:rFonts w:eastAsia="Calibri"/>
          <w:sz w:val="28"/>
          <w:szCs w:val="28"/>
          <w:lang w:eastAsia="en-US"/>
        </w:rPr>
        <w:t>зазнача</w:t>
      </w:r>
      <w:r w:rsidR="00415225" w:rsidRPr="00520861">
        <w:rPr>
          <w:rFonts w:eastAsia="Calibri"/>
          <w:sz w:val="28"/>
          <w:szCs w:val="28"/>
          <w:lang w:eastAsia="en-US"/>
        </w:rPr>
        <w:t xml:space="preserve">ли в огляді літератури </w:t>
      </w:r>
      <w:r w:rsidR="000215FE" w:rsidRPr="00520861">
        <w:rPr>
          <w:rFonts w:eastAsia="Calibri"/>
          <w:sz w:val="28"/>
          <w:szCs w:val="28"/>
          <w:lang w:eastAsia="en-US"/>
        </w:rPr>
        <w:br/>
      </w:r>
      <w:r w:rsidR="00415225" w:rsidRPr="00520861">
        <w:rPr>
          <w:rFonts w:eastAsia="Calibri"/>
          <w:sz w:val="28"/>
          <w:szCs w:val="28"/>
          <w:lang w:eastAsia="en-US"/>
        </w:rPr>
        <w:t>Шевченко К.</w:t>
      </w:r>
      <w:r w:rsidR="00281A77" w:rsidRPr="00520861">
        <w:rPr>
          <w:rFonts w:eastAsia="Calibri"/>
          <w:sz w:val="28"/>
          <w:szCs w:val="28"/>
          <w:lang w:eastAsia="en-US"/>
        </w:rPr>
        <w:t xml:space="preserve"> </w:t>
      </w:r>
      <w:r w:rsidR="00DD0100" w:rsidRPr="00520861">
        <w:rPr>
          <w:rFonts w:eastAsia="Calibri"/>
          <w:sz w:val="28"/>
          <w:szCs w:val="28"/>
          <w:lang w:eastAsia="en-US"/>
        </w:rPr>
        <w:t xml:space="preserve">В. </w:t>
      </w:r>
      <w:r w:rsidR="00281A77" w:rsidRPr="00520861">
        <w:rPr>
          <w:rFonts w:eastAsia="Calibri"/>
          <w:sz w:val="28"/>
          <w:szCs w:val="28"/>
          <w:lang w:eastAsia="en-US"/>
        </w:rPr>
        <w:t>і</w:t>
      </w:r>
      <w:r w:rsidR="005B2BAD" w:rsidRPr="00520861">
        <w:rPr>
          <w:rFonts w:eastAsia="Calibri"/>
          <w:sz w:val="28"/>
          <w:szCs w:val="28"/>
          <w:lang w:eastAsia="en-US"/>
        </w:rPr>
        <w:t xml:space="preserve"> співа</w:t>
      </w:r>
      <w:r w:rsidR="00415225" w:rsidRPr="00520861">
        <w:rPr>
          <w:rFonts w:eastAsia="Calibri"/>
          <w:sz w:val="28"/>
          <w:szCs w:val="28"/>
          <w:lang w:eastAsia="en-US"/>
        </w:rPr>
        <w:t>в</w:t>
      </w:r>
      <w:r w:rsidR="005B2BAD" w:rsidRPr="00520861">
        <w:rPr>
          <w:rFonts w:eastAsia="Calibri"/>
          <w:sz w:val="28"/>
          <w:szCs w:val="28"/>
          <w:lang w:eastAsia="en-US"/>
        </w:rPr>
        <w:t>тори [</w:t>
      </w:r>
      <w:r w:rsidR="00A46C73" w:rsidRPr="00520861">
        <w:rPr>
          <w:rFonts w:eastAsia="Calibri"/>
          <w:sz w:val="28"/>
          <w:szCs w:val="28"/>
          <w:lang w:eastAsia="en-US"/>
        </w:rPr>
        <w:t>211</w:t>
      </w:r>
      <w:r w:rsidR="000D7BD1" w:rsidRPr="00520861">
        <w:rPr>
          <w:rFonts w:eastAsia="Calibri"/>
          <w:sz w:val="28"/>
          <w:szCs w:val="28"/>
          <w:lang w:eastAsia="en-US"/>
        </w:rPr>
        <w:t xml:space="preserve">]. </w:t>
      </w:r>
      <w:proofErr w:type="spellStart"/>
      <w:r w:rsidR="005B2BAD" w:rsidRPr="00520861">
        <w:rPr>
          <w:rFonts w:eastAsia="Calibri"/>
          <w:sz w:val="28"/>
          <w:szCs w:val="28"/>
          <w:lang w:eastAsia="en-US"/>
        </w:rPr>
        <w:t>Протикаріозну</w:t>
      </w:r>
      <w:proofErr w:type="spellEnd"/>
      <w:r w:rsidR="005B2BAD" w:rsidRPr="00520861">
        <w:rPr>
          <w:rFonts w:eastAsia="Calibri"/>
          <w:sz w:val="28"/>
          <w:szCs w:val="28"/>
          <w:lang w:eastAsia="en-US"/>
        </w:rPr>
        <w:t xml:space="preserve"> дію малих слинних залоз, що </w:t>
      </w:r>
      <w:r w:rsidR="00F47440" w:rsidRPr="00520861">
        <w:rPr>
          <w:rFonts w:eastAsia="Calibri"/>
          <w:sz w:val="28"/>
          <w:szCs w:val="28"/>
          <w:lang w:eastAsia="en-US"/>
        </w:rPr>
        <w:br/>
      </w:r>
      <w:r w:rsidR="005B2BAD" w:rsidRPr="00520861">
        <w:rPr>
          <w:rFonts w:eastAsia="Calibri"/>
          <w:sz w:val="28"/>
          <w:szCs w:val="28"/>
          <w:lang w:eastAsia="en-US"/>
        </w:rPr>
        <w:lastRenderedPageBreak/>
        <w:t xml:space="preserve">нормально функціонують, довели </w:t>
      </w:r>
      <w:proofErr w:type="spellStart"/>
      <w:r w:rsidR="005B2BAD" w:rsidRPr="00520861">
        <w:rPr>
          <w:rFonts w:eastAsia="Calibri"/>
          <w:sz w:val="28"/>
          <w:szCs w:val="28"/>
          <w:lang w:eastAsia="en-US"/>
        </w:rPr>
        <w:t>Tandon</w:t>
      </w:r>
      <w:proofErr w:type="spellEnd"/>
      <w:r w:rsidR="005B2BAD" w:rsidRPr="00520861">
        <w:rPr>
          <w:rFonts w:eastAsia="Calibri"/>
          <w:sz w:val="28"/>
          <w:szCs w:val="28"/>
          <w:lang w:eastAsia="en-US"/>
        </w:rPr>
        <w:t xml:space="preserve"> </w:t>
      </w:r>
      <w:r w:rsidR="00EA03E7" w:rsidRPr="00520861">
        <w:rPr>
          <w:rFonts w:eastAsia="Calibri"/>
          <w:sz w:val="28"/>
          <w:szCs w:val="28"/>
          <w:lang w:eastAsia="en-US"/>
        </w:rPr>
        <w:t xml:space="preserve">A. </w:t>
      </w:r>
      <w:r w:rsidR="005B2BAD" w:rsidRPr="00520861">
        <w:rPr>
          <w:rFonts w:eastAsia="Calibri"/>
          <w:sz w:val="28"/>
          <w:szCs w:val="28"/>
          <w:lang w:eastAsia="en-US"/>
        </w:rPr>
        <w:t>і співавтори [</w:t>
      </w:r>
      <w:r w:rsidR="00A46C73" w:rsidRPr="00520861">
        <w:rPr>
          <w:rFonts w:eastAsia="Calibri"/>
          <w:sz w:val="28"/>
          <w:szCs w:val="28"/>
          <w:lang w:eastAsia="en-US"/>
        </w:rPr>
        <w:t>535</w:t>
      </w:r>
      <w:r w:rsidR="005B2BAD" w:rsidRPr="00520861">
        <w:rPr>
          <w:rFonts w:eastAsia="Calibri"/>
          <w:sz w:val="28"/>
          <w:szCs w:val="28"/>
          <w:lang w:eastAsia="en-US"/>
        </w:rPr>
        <w:t>].</w:t>
      </w:r>
    </w:p>
    <w:p w14:paraId="32F35E3E" w14:textId="77777777" w:rsidR="005B2BAD" w:rsidRPr="00520861" w:rsidRDefault="005B2BAD" w:rsidP="00292D2E">
      <w:pPr>
        <w:widowControl w:val="0"/>
        <w:autoSpaceDE w:val="0"/>
        <w:autoSpaceDN w:val="0"/>
        <w:adjustRightInd w:val="0"/>
        <w:spacing w:line="360" w:lineRule="auto"/>
        <w:ind w:firstLine="708"/>
        <w:jc w:val="both"/>
        <w:rPr>
          <w:rFonts w:eastAsia="Calibri"/>
          <w:sz w:val="28"/>
          <w:szCs w:val="28"/>
          <w:lang w:eastAsia="en-US"/>
        </w:rPr>
      </w:pPr>
      <w:r w:rsidRPr="00520861">
        <w:rPr>
          <w:rFonts w:eastAsia="Calibri"/>
          <w:sz w:val="28"/>
          <w:szCs w:val="28"/>
          <w:lang w:eastAsia="en-US"/>
        </w:rPr>
        <w:t xml:space="preserve">Оскільки формування слинних залоз відбувається </w:t>
      </w:r>
      <w:r w:rsidR="00EC41B5" w:rsidRPr="00520861">
        <w:rPr>
          <w:sz w:val="28"/>
          <w:szCs w:val="28"/>
          <w:lang w:eastAsia="x-none" w:bidi="lo-LA"/>
        </w:rPr>
        <w:t>ВУ</w:t>
      </w:r>
      <w:r w:rsidRPr="00520861">
        <w:rPr>
          <w:rFonts w:eastAsia="Calibri"/>
          <w:sz w:val="28"/>
          <w:szCs w:val="28"/>
          <w:lang w:eastAsia="en-US"/>
        </w:rPr>
        <w:t xml:space="preserve"> [</w:t>
      </w:r>
      <w:r w:rsidR="00A46C73" w:rsidRPr="00520861">
        <w:rPr>
          <w:rFonts w:eastAsia="Calibri"/>
          <w:sz w:val="28"/>
          <w:szCs w:val="28"/>
          <w:lang w:eastAsia="en-US"/>
        </w:rPr>
        <w:t>254</w:t>
      </w:r>
      <w:r w:rsidR="00873749" w:rsidRPr="00520861">
        <w:rPr>
          <w:rFonts w:eastAsia="Calibri"/>
          <w:sz w:val="28"/>
          <w:szCs w:val="28"/>
          <w:lang w:eastAsia="en-US"/>
        </w:rPr>
        <w:t xml:space="preserve">, </w:t>
      </w:r>
      <w:r w:rsidR="00A46C73" w:rsidRPr="00520861">
        <w:rPr>
          <w:rFonts w:eastAsia="Calibri"/>
          <w:sz w:val="28"/>
          <w:szCs w:val="28"/>
          <w:lang w:eastAsia="en-US"/>
        </w:rPr>
        <w:t>271, 587</w:t>
      </w:r>
      <w:r w:rsidRPr="00520861">
        <w:rPr>
          <w:rFonts w:eastAsia="Calibri"/>
          <w:sz w:val="28"/>
          <w:szCs w:val="28"/>
          <w:lang w:eastAsia="en-US"/>
        </w:rPr>
        <w:t xml:space="preserve">], </w:t>
      </w:r>
      <w:r w:rsidR="007E65C2" w:rsidRPr="00520861">
        <w:rPr>
          <w:rFonts w:eastAsia="Calibri"/>
          <w:sz w:val="28"/>
          <w:szCs w:val="28"/>
          <w:lang w:eastAsia="en-US"/>
        </w:rPr>
        <w:br/>
      </w:r>
      <w:r w:rsidRPr="00520861">
        <w:rPr>
          <w:rFonts w:eastAsia="Calibri"/>
          <w:sz w:val="28"/>
          <w:szCs w:val="28"/>
          <w:lang w:eastAsia="en-US"/>
        </w:rPr>
        <w:t xml:space="preserve">то ймовірно, що </w:t>
      </w:r>
      <w:r w:rsidR="004D7AA0" w:rsidRPr="00520861">
        <w:rPr>
          <w:rFonts w:eastAsia="Calibri"/>
          <w:sz w:val="28"/>
          <w:szCs w:val="28"/>
          <w:lang w:eastAsia="en-US"/>
        </w:rPr>
        <w:t xml:space="preserve">в осіб, </w:t>
      </w:r>
      <w:r w:rsidR="00EC41B5" w:rsidRPr="00520861">
        <w:rPr>
          <w:rFonts w:eastAsia="Calibri"/>
          <w:sz w:val="28"/>
          <w:szCs w:val="28"/>
          <w:lang w:eastAsia="en-US"/>
        </w:rPr>
        <w:t>ВУ</w:t>
      </w:r>
      <w:r w:rsidR="004D7AA0" w:rsidRPr="00520861">
        <w:rPr>
          <w:rFonts w:eastAsia="Calibri"/>
          <w:sz w:val="28"/>
          <w:szCs w:val="28"/>
          <w:lang w:eastAsia="en-US"/>
        </w:rPr>
        <w:t xml:space="preserve"> розвиток яких відбувався з порушеннями, </w:t>
      </w:r>
      <w:r w:rsidRPr="00520861">
        <w:rPr>
          <w:rFonts w:eastAsia="Calibri"/>
          <w:sz w:val="28"/>
          <w:szCs w:val="28"/>
          <w:lang w:eastAsia="en-US"/>
        </w:rPr>
        <w:t>стан залоз спровокований.</w:t>
      </w:r>
    </w:p>
    <w:p w14:paraId="3D73336F" w14:textId="77777777" w:rsidR="005B2BAD" w:rsidRPr="00520861" w:rsidRDefault="005B2BAD" w:rsidP="00292D2E">
      <w:pPr>
        <w:widowControl w:val="0"/>
        <w:autoSpaceDE w:val="0"/>
        <w:autoSpaceDN w:val="0"/>
        <w:adjustRightInd w:val="0"/>
        <w:spacing w:line="360" w:lineRule="auto"/>
        <w:ind w:firstLine="708"/>
        <w:jc w:val="both"/>
        <w:rPr>
          <w:rFonts w:eastAsia="Calibri"/>
          <w:sz w:val="28"/>
          <w:szCs w:val="28"/>
          <w:lang w:eastAsia="en-US"/>
        </w:rPr>
      </w:pPr>
      <w:r w:rsidRPr="00520861">
        <w:rPr>
          <w:rFonts w:eastAsia="Calibri"/>
          <w:sz w:val="28"/>
          <w:szCs w:val="28"/>
          <w:lang w:eastAsia="en-US"/>
        </w:rPr>
        <w:t xml:space="preserve">Наявна досить незначна кількість публікацій, присвячених стану малих слинних залоз в умовах </w:t>
      </w:r>
      <w:proofErr w:type="spellStart"/>
      <w:r w:rsidRPr="00520861">
        <w:rPr>
          <w:rFonts w:eastAsia="Calibri"/>
          <w:sz w:val="28"/>
          <w:szCs w:val="28"/>
          <w:lang w:eastAsia="en-US"/>
        </w:rPr>
        <w:t>перинатальної</w:t>
      </w:r>
      <w:proofErr w:type="spellEnd"/>
      <w:r w:rsidRPr="00520861">
        <w:rPr>
          <w:rFonts w:eastAsia="Calibri"/>
          <w:sz w:val="28"/>
          <w:szCs w:val="28"/>
          <w:lang w:eastAsia="en-US"/>
        </w:rPr>
        <w:t xml:space="preserve"> патології, зараховуючи</w:t>
      </w:r>
      <w:r w:rsidR="00EC41B5" w:rsidRPr="00520861">
        <w:rPr>
          <w:sz w:val="28"/>
          <w:szCs w:val="28"/>
        </w:rPr>
        <w:t xml:space="preserve"> </w:t>
      </w:r>
      <w:r w:rsidR="00EC41B5" w:rsidRPr="00520861">
        <w:rPr>
          <w:rFonts w:eastAsia="Calibri"/>
          <w:sz w:val="28"/>
          <w:szCs w:val="28"/>
          <w:lang w:eastAsia="en-US"/>
        </w:rPr>
        <w:t xml:space="preserve">ВУ </w:t>
      </w:r>
      <w:proofErr w:type="spellStart"/>
      <w:r w:rsidRPr="00520861">
        <w:rPr>
          <w:rFonts w:eastAsia="Calibri"/>
          <w:sz w:val="28"/>
          <w:szCs w:val="28"/>
          <w:lang w:eastAsia="en-US"/>
        </w:rPr>
        <w:t>макросомію</w:t>
      </w:r>
      <w:proofErr w:type="spellEnd"/>
      <w:r w:rsidRPr="00520861">
        <w:rPr>
          <w:rFonts w:eastAsia="Calibri"/>
          <w:sz w:val="28"/>
          <w:szCs w:val="28"/>
          <w:lang w:eastAsia="en-US"/>
        </w:rPr>
        <w:t xml:space="preserve"> [</w:t>
      </w:r>
      <w:r w:rsidR="00AA6027" w:rsidRPr="00520861">
        <w:rPr>
          <w:rFonts w:eastAsia="Calibri"/>
          <w:sz w:val="28"/>
          <w:szCs w:val="28"/>
          <w:lang w:eastAsia="en-US"/>
        </w:rPr>
        <w:t>535</w:t>
      </w:r>
      <w:r w:rsidRPr="00520861">
        <w:rPr>
          <w:rFonts w:eastAsia="Calibri"/>
          <w:sz w:val="28"/>
          <w:szCs w:val="28"/>
          <w:lang w:eastAsia="en-US"/>
        </w:rPr>
        <w:t xml:space="preserve">]. </w:t>
      </w:r>
      <w:r w:rsidR="00A201CF" w:rsidRPr="00520861">
        <w:rPr>
          <w:rFonts w:eastAsia="Calibri"/>
          <w:sz w:val="28"/>
          <w:szCs w:val="28"/>
          <w:lang w:eastAsia="en-US"/>
        </w:rPr>
        <w:br/>
      </w:r>
      <w:r w:rsidRPr="00520861">
        <w:rPr>
          <w:rFonts w:eastAsia="Calibri"/>
          <w:sz w:val="28"/>
          <w:szCs w:val="28"/>
          <w:lang w:eastAsia="en-US"/>
        </w:rPr>
        <w:t xml:space="preserve">Вивчення їх стану через дуже малі розміри є непростим завданням, проте розуміння етапів та особливостей порушення морфогенезу малих слинних залоз може стати ключовим для пояснення формування </w:t>
      </w:r>
      <w:proofErr w:type="spellStart"/>
      <w:r w:rsidR="002F1532" w:rsidRPr="00520861">
        <w:rPr>
          <w:rFonts w:eastAsia="Calibri"/>
          <w:sz w:val="28"/>
          <w:szCs w:val="28"/>
          <w:lang w:eastAsia="en-US"/>
        </w:rPr>
        <w:t>СтП</w:t>
      </w:r>
      <w:proofErr w:type="spellEnd"/>
      <w:r w:rsidRPr="00520861">
        <w:rPr>
          <w:rFonts w:eastAsia="Calibri"/>
          <w:sz w:val="28"/>
          <w:szCs w:val="28"/>
          <w:lang w:eastAsia="en-US"/>
        </w:rPr>
        <w:t>.</w:t>
      </w:r>
    </w:p>
    <w:p w14:paraId="07890B09" w14:textId="77777777" w:rsidR="005B2BAD" w:rsidRPr="00520861" w:rsidRDefault="000215FE" w:rsidP="00292D2E">
      <w:pPr>
        <w:widowControl w:val="0"/>
        <w:autoSpaceDE w:val="0"/>
        <w:autoSpaceDN w:val="0"/>
        <w:adjustRightInd w:val="0"/>
        <w:spacing w:line="360" w:lineRule="auto"/>
        <w:ind w:firstLine="708"/>
        <w:jc w:val="both"/>
        <w:rPr>
          <w:rFonts w:eastAsia="Calibri"/>
          <w:sz w:val="28"/>
          <w:szCs w:val="28"/>
          <w:lang w:eastAsia="en-US"/>
        </w:rPr>
      </w:pPr>
      <w:r w:rsidRPr="00520861">
        <w:rPr>
          <w:rFonts w:eastAsia="Calibri"/>
          <w:sz w:val="28"/>
          <w:szCs w:val="28"/>
          <w:lang w:eastAsia="en-US"/>
        </w:rPr>
        <w:t xml:space="preserve">Беручи до уваги тісний </w:t>
      </w:r>
      <w:r w:rsidR="005B2BAD" w:rsidRPr="00520861">
        <w:rPr>
          <w:rFonts w:eastAsia="Calibri"/>
          <w:sz w:val="28"/>
          <w:szCs w:val="28"/>
          <w:lang w:eastAsia="en-US"/>
        </w:rPr>
        <w:t>зв’язок стану слинних залоз</w:t>
      </w:r>
      <w:r w:rsidRPr="00520861">
        <w:rPr>
          <w:rFonts w:eastAsia="Calibri"/>
          <w:sz w:val="28"/>
          <w:szCs w:val="28"/>
          <w:lang w:eastAsia="en-US"/>
        </w:rPr>
        <w:t xml:space="preserve"> із</w:t>
      </w:r>
      <w:r w:rsidR="005B2BAD" w:rsidRPr="00520861">
        <w:rPr>
          <w:rFonts w:eastAsia="Calibri"/>
          <w:sz w:val="28"/>
          <w:szCs w:val="28"/>
          <w:lang w:eastAsia="en-US"/>
        </w:rPr>
        <w:t xml:space="preserve"> формування</w:t>
      </w:r>
      <w:r w:rsidRPr="00520861">
        <w:rPr>
          <w:rFonts w:eastAsia="Calibri"/>
          <w:sz w:val="28"/>
          <w:szCs w:val="28"/>
          <w:lang w:eastAsia="en-US"/>
        </w:rPr>
        <w:t>м</w:t>
      </w:r>
      <w:r w:rsidR="005B2BAD" w:rsidRPr="00520861">
        <w:rPr>
          <w:rFonts w:eastAsia="Calibri"/>
          <w:sz w:val="28"/>
          <w:szCs w:val="28"/>
          <w:lang w:eastAsia="en-US"/>
        </w:rPr>
        <w:t xml:space="preserve"> </w:t>
      </w:r>
      <w:proofErr w:type="spellStart"/>
      <w:r w:rsidR="002F1532" w:rsidRPr="00520861">
        <w:rPr>
          <w:rFonts w:eastAsia="Calibri"/>
          <w:sz w:val="28"/>
          <w:szCs w:val="28"/>
          <w:lang w:eastAsia="en-US"/>
        </w:rPr>
        <w:t>СтП</w:t>
      </w:r>
      <w:proofErr w:type="spellEnd"/>
      <w:r w:rsidR="005B2BAD" w:rsidRPr="00520861">
        <w:rPr>
          <w:rFonts w:eastAsia="Calibri"/>
          <w:sz w:val="28"/>
          <w:szCs w:val="28"/>
          <w:lang w:eastAsia="en-US"/>
        </w:rPr>
        <w:t xml:space="preserve">, маємо нагальну потребу дослідити стан цих морфологічних структур </w:t>
      </w:r>
      <w:r w:rsidR="00A201CF" w:rsidRPr="00520861">
        <w:rPr>
          <w:rFonts w:eastAsia="Calibri"/>
          <w:sz w:val="28"/>
          <w:szCs w:val="28"/>
          <w:lang w:eastAsia="en-US"/>
        </w:rPr>
        <w:t>в</w:t>
      </w:r>
      <w:r w:rsidR="005B2BAD" w:rsidRPr="00520861">
        <w:rPr>
          <w:rFonts w:eastAsia="Calibri"/>
          <w:sz w:val="28"/>
          <w:szCs w:val="28"/>
          <w:lang w:eastAsia="en-US"/>
        </w:rPr>
        <w:t xml:space="preserve"> експериментальних тварин, народжених з </w:t>
      </w:r>
      <w:proofErr w:type="spellStart"/>
      <w:r w:rsidR="005B2BAD" w:rsidRPr="00520861">
        <w:rPr>
          <w:rFonts w:eastAsia="Calibri"/>
          <w:sz w:val="28"/>
          <w:szCs w:val="28"/>
          <w:lang w:eastAsia="en-US"/>
        </w:rPr>
        <w:t>макросомією</w:t>
      </w:r>
      <w:proofErr w:type="spellEnd"/>
      <w:r w:rsidR="005B2BAD" w:rsidRPr="00520861">
        <w:rPr>
          <w:rFonts w:eastAsia="Calibri"/>
          <w:sz w:val="28"/>
          <w:szCs w:val="28"/>
          <w:lang w:eastAsia="en-US"/>
        </w:rPr>
        <w:t xml:space="preserve">. Такі дослідження допоможуть виявити домінуючі зв’язки між процесами, що спричинили </w:t>
      </w:r>
      <w:proofErr w:type="spellStart"/>
      <w:r w:rsidR="005B2BAD" w:rsidRPr="00520861">
        <w:rPr>
          <w:rFonts w:eastAsia="Calibri"/>
          <w:sz w:val="28"/>
          <w:szCs w:val="28"/>
          <w:lang w:eastAsia="en-US"/>
        </w:rPr>
        <w:t>макросомію</w:t>
      </w:r>
      <w:proofErr w:type="spellEnd"/>
      <w:r w:rsidR="005B2BAD" w:rsidRPr="00520861">
        <w:rPr>
          <w:rFonts w:eastAsia="Calibri"/>
          <w:sz w:val="28"/>
          <w:szCs w:val="28"/>
          <w:lang w:eastAsia="en-US"/>
        </w:rPr>
        <w:t xml:space="preserve"> </w:t>
      </w:r>
      <w:r w:rsidR="000C5378" w:rsidRPr="00520861">
        <w:rPr>
          <w:rFonts w:eastAsia="Calibri"/>
          <w:sz w:val="28"/>
          <w:szCs w:val="28"/>
          <w:lang w:eastAsia="en-US"/>
        </w:rPr>
        <w:t>плода</w:t>
      </w:r>
      <w:r w:rsidR="00A201CF" w:rsidRPr="00520861">
        <w:rPr>
          <w:rFonts w:eastAsia="Calibri"/>
          <w:sz w:val="28"/>
          <w:szCs w:val="28"/>
          <w:lang w:eastAsia="en-US"/>
        </w:rPr>
        <w:t>,</w:t>
      </w:r>
      <w:r w:rsidR="005B2BAD" w:rsidRPr="00520861">
        <w:rPr>
          <w:rFonts w:eastAsia="Calibri"/>
          <w:sz w:val="28"/>
          <w:szCs w:val="28"/>
          <w:lang w:eastAsia="en-US"/>
        </w:rPr>
        <w:t xml:space="preserve"> та формуванням </w:t>
      </w:r>
      <w:proofErr w:type="spellStart"/>
      <w:r w:rsidR="002F1532" w:rsidRPr="00520861">
        <w:rPr>
          <w:rFonts w:eastAsia="Calibri"/>
          <w:sz w:val="28"/>
          <w:szCs w:val="28"/>
          <w:lang w:eastAsia="en-US"/>
        </w:rPr>
        <w:t>СтП</w:t>
      </w:r>
      <w:proofErr w:type="spellEnd"/>
      <w:r w:rsidR="005B2BAD" w:rsidRPr="00520861">
        <w:rPr>
          <w:rFonts w:eastAsia="Calibri"/>
          <w:sz w:val="28"/>
          <w:szCs w:val="28"/>
          <w:lang w:eastAsia="en-US"/>
        </w:rPr>
        <w:t xml:space="preserve">. </w:t>
      </w:r>
    </w:p>
    <w:p w14:paraId="2F79065A" w14:textId="77777777" w:rsidR="005B2BAD" w:rsidRPr="00520861" w:rsidRDefault="005B2BAD" w:rsidP="00292D2E">
      <w:pPr>
        <w:widowControl w:val="0"/>
        <w:shd w:val="clear" w:color="auto" w:fill="FFFFFF"/>
        <w:spacing w:line="360" w:lineRule="auto"/>
        <w:ind w:firstLine="709"/>
        <w:jc w:val="both"/>
        <w:rPr>
          <w:rFonts w:eastAsia="Calibri"/>
          <w:sz w:val="28"/>
          <w:szCs w:val="28"/>
          <w:lang w:eastAsia="en-US"/>
        </w:rPr>
      </w:pPr>
      <w:r w:rsidRPr="00520861">
        <w:rPr>
          <w:rFonts w:eastAsia="Calibri"/>
          <w:sz w:val="28"/>
          <w:szCs w:val="28"/>
          <w:lang w:eastAsia="en-US"/>
        </w:rPr>
        <w:t>Використання щурів, зокрема</w:t>
      </w:r>
      <w:r w:rsidR="00517533" w:rsidRPr="00520861">
        <w:rPr>
          <w:sz w:val="28"/>
          <w:szCs w:val="28"/>
        </w:rPr>
        <w:t xml:space="preserve"> </w:t>
      </w:r>
      <w:proofErr w:type="spellStart"/>
      <w:r w:rsidR="002E79DA" w:rsidRPr="00520861">
        <w:rPr>
          <w:rFonts w:eastAsia="Calibri"/>
          <w:sz w:val="28"/>
          <w:szCs w:val="28"/>
          <w:lang w:eastAsia="en-US"/>
        </w:rPr>
        <w:t>Wistar</w:t>
      </w:r>
      <w:proofErr w:type="spellEnd"/>
      <w:r w:rsidR="002E79DA" w:rsidRPr="00520861">
        <w:rPr>
          <w:rFonts w:eastAsia="Calibri"/>
          <w:sz w:val="28"/>
          <w:szCs w:val="28"/>
          <w:lang w:eastAsia="en-US"/>
        </w:rPr>
        <w:t xml:space="preserve"> </w:t>
      </w:r>
      <w:proofErr w:type="spellStart"/>
      <w:r w:rsidR="002E79DA" w:rsidRPr="00520861">
        <w:rPr>
          <w:rFonts w:eastAsia="Calibri"/>
          <w:sz w:val="28"/>
          <w:szCs w:val="28"/>
          <w:lang w:eastAsia="en-US"/>
        </w:rPr>
        <w:t>Albino</w:t>
      </w:r>
      <w:proofErr w:type="spellEnd"/>
      <w:r w:rsidR="002E79DA" w:rsidRPr="00520861">
        <w:rPr>
          <w:rFonts w:eastAsia="Calibri"/>
          <w:sz w:val="28"/>
          <w:szCs w:val="28"/>
          <w:lang w:eastAsia="en-US"/>
        </w:rPr>
        <w:t xml:space="preserve"> </w:t>
      </w:r>
      <w:proofErr w:type="spellStart"/>
      <w:r w:rsidR="002E79DA" w:rsidRPr="00520861">
        <w:rPr>
          <w:rFonts w:eastAsia="Calibri"/>
          <w:sz w:val="28"/>
          <w:szCs w:val="28"/>
          <w:lang w:eastAsia="en-US"/>
        </w:rPr>
        <w:t>Glaxо</w:t>
      </w:r>
      <w:proofErr w:type="spellEnd"/>
      <w:r w:rsidR="002E79DA" w:rsidRPr="00520861">
        <w:rPr>
          <w:rFonts w:eastAsia="Calibri"/>
          <w:sz w:val="28"/>
          <w:szCs w:val="28"/>
          <w:lang w:eastAsia="en-US"/>
        </w:rPr>
        <w:t xml:space="preserve"> (WAG),</w:t>
      </w:r>
      <w:r w:rsidRPr="00520861">
        <w:rPr>
          <w:rFonts w:eastAsia="Calibri"/>
          <w:sz w:val="28"/>
          <w:szCs w:val="28"/>
          <w:lang w:eastAsia="en-US"/>
        </w:rPr>
        <w:t xml:space="preserve"> у якості </w:t>
      </w:r>
      <w:r w:rsidR="002E79DA" w:rsidRPr="00520861">
        <w:rPr>
          <w:rFonts w:eastAsia="Calibri"/>
          <w:sz w:val="28"/>
          <w:szCs w:val="28"/>
          <w:lang w:eastAsia="en-US"/>
        </w:rPr>
        <w:br/>
      </w:r>
      <w:r w:rsidRPr="00520861">
        <w:rPr>
          <w:rFonts w:eastAsia="Calibri"/>
          <w:sz w:val="28"/>
          <w:szCs w:val="28"/>
          <w:lang w:eastAsia="en-US"/>
        </w:rPr>
        <w:t>експериментальних тварин перспективне через досить схожу гістологічну ст</w:t>
      </w:r>
      <w:r w:rsidR="00CB2038" w:rsidRPr="00520861">
        <w:rPr>
          <w:rFonts w:eastAsia="Calibri"/>
          <w:sz w:val="28"/>
          <w:szCs w:val="28"/>
          <w:lang w:eastAsia="en-US"/>
        </w:rPr>
        <w:t xml:space="preserve">руктуру тканин їхнього </w:t>
      </w:r>
      <w:proofErr w:type="spellStart"/>
      <w:r w:rsidR="00CB2038" w:rsidRPr="00520861">
        <w:rPr>
          <w:rFonts w:eastAsia="Calibri"/>
          <w:sz w:val="28"/>
          <w:szCs w:val="28"/>
          <w:lang w:eastAsia="en-US"/>
        </w:rPr>
        <w:t>пародонта</w:t>
      </w:r>
      <w:proofErr w:type="spellEnd"/>
      <w:r w:rsidRPr="00520861">
        <w:rPr>
          <w:rFonts w:eastAsia="Calibri"/>
          <w:sz w:val="28"/>
          <w:szCs w:val="28"/>
          <w:lang w:eastAsia="en-US"/>
        </w:rPr>
        <w:t xml:space="preserve"> й </w:t>
      </w:r>
      <w:proofErr w:type="spellStart"/>
      <w:r w:rsidRPr="00520861">
        <w:rPr>
          <w:rFonts w:eastAsia="Calibri"/>
          <w:sz w:val="28"/>
          <w:szCs w:val="28"/>
          <w:lang w:eastAsia="en-US"/>
        </w:rPr>
        <w:t>па</w:t>
      </w:r>
      <w:r w:rsidR="005D6EC9" w:rsidRPr="00520861">
        <w:rPr>
          <w:rFonts w:eastAsia="Calibri"/>
          <w:sz w:val="28"/>
          <w:szCs w:val="28"/>
          <w:lang w:eastAsia="en-US"/>
        </w:rPr>
        <w:t>родонт</w:t>
      </w:r>
      <w:r w:rsidR="00E15AB7" w:rsidRPr="00520861">
        <w:rPr>
          <w:rFonts w:eastAsia="Calibri"/>
          <w:sz w:val="28"/>
          <w:szCs w:val="28"/>
          <w:lang w:eastAsia="en-US"/>
        </w:rPr>
        <w:t>а</w:t>
      </w:r>
      <w:proofErr w:type="spellEnd"/>
      <w:r w:rsidRPr="00520861">
        <w:rPr>
          <w:rFonts w:eastAsia="Calibri"/>
          <w:sz w:val="28"/>
          <w:szCs w:val="28"/>
          <w:lang w:eastAsia="en-US"/>
        </w:rPr>
        <w:t xml:space="preserve"> людей [</w:t>
      </w:r>
      <w:r w:rsidR="00AA6027" w:rsidRPr="00520861">
        <w:rPr>
          <w:rFonts w:eastAsia="Calibri"/>
          <w:sz w:val="28"/>
          <w:szCs w:val="28"/>
          <w:lang w:eastAsia="en-US"/>
        </w:rPr>
        <w:t>542</w:t>
      </w:r>
      <w:r w:rsidRPr="00520861">
        <w:rPr>
          <w:rFonts w:eastAsia="Calibri"/>
          <w:sz w:val="28"/>
          <w:szCs w:val="28"/>
          <w:lang w:eastAsia="en-US"/>
        </w:rPr>
        <w:t>]. У той же час моделювати в цих щур</w:t>
      </w:r>
      <w:r w:rsidR="006224E7" w:rsidRPr="00520861">
        <w:rPr>
          <w:rFonts w:eastAsia="Calibri"/>
          <w:sz w:val="28"/>
          <w:szCs w:val="28"/>
          <w:lang w:eastAsia="en-US"/>
        </w:rPr>
        <w:t xml:space="preserve">ів захворювання тканин </w:t>
      </w:r>
      <w:proofErr w:type="spellStart"/>
      <w:r w:rsidR="006224E7" w:rsidRPr="00520861">
        <w:rPr>
          <w:rFonts w:eastAsia="Calibri"/>
          <w:sz w:val="28"/>
          <w:szCs w:val="28"/>
          <w:lang w:eastAsia="en-US"/>
        </w:rPr>
        <w:t>пародонта</w:t>
      </w:r>
      <w:proofErr w:type="spellEnd"/>
      <w:r w:rsidRPr="00520861">
        <w:rPr>
          <w:rFonts w:eastAsia="Calibri"/>
          <w:sz w:val="28"/>
          <w:szCs w:val="28"/>
          <w:lang w:eastAsia="en-US"/>
        </w:rPr>
        <w:t xml:space="preserve"> можна лише з певними обмеженнями через несхожу на людську </w:t>
      </w:r>
      <w:proofErr w:type="spellStart"/>
      <w:r w:rsidRPr="00520861">
        <w:rPr>
          <w:rFonts w:eastAsia="Calibri"/>
          <w:sz w:val="28"/>
          <w:szCs w:val="28"/>
          <w:lang w:eastAsia="en-US"/>
        </w:rPr>
        <w:t>мікробі</w:t>
      </w:r>
      <w:r w:rsidR="00410AED" w:rsidRPr="00520861">
        <w:rPr>
          <w:rFonts w:eastAsia="Calibri"/>
          <w:sz w:val="28"/>
          <w:szCs w:val="28"/>
          <w:lang w:eastAsia="en-US"/>
        </w:rPr>
        <w:t>о</w:t>
      </w:r>
      <w:r w:rsidR="00D140D6" w:rsidRPr="00520861">
        <w:rPr>
          <w:rFonts w:eastAsia="Calibri"/>
          <w:sz w:val="28"/>
          <w:szCs w:val="28"/>
          <w:lang w:eastAsia="en-US"/>
        </w:rPr>
        <w:t>ту</w:t>
      </w:r>
      <w:proofErr w:type="spellEnd"/>
      <w:r w:rsidR="00D140D6" w:rsidRPr="00520861">
        <w:rPr>
          <w:rFonts w:eastAsia="Calibri"/>
          <w:sz w:val="28"/>
          <w:szCs w:val="28"/>
          <w:lang w:eastAsia="en-US"/>
        </w:rPr>
        <w:t xml:space="preserve"> їхньої </w:t>
      </w:r>
      <w:r w:rsidR="002826E4" w:rsidRPr="00520861">
        <w:rPr>
          <w:rFonts w:eastAsia="Calibri"/>
          <w:sz w:val="28"/>
          <w:szCs w:val="28"/>
          <w:lang w:eastAsia="en-US"/>
        </w:rPr>
        <w:t xml:space="preserve">ПР </w:t>
      </w:r>
      <w:r w:rsidR="00AA6027" w:rsidRPr="00520861">
        <w:rPr>
          <w:rFonts w:eastAsia="Calibri"/>
          <w:sz w:val="28"/>
          <w:szCs w:val="28"/>
          <w:lang w:eastAsia="en-US"/>
        </w:rPr>
        <w:t>[94</w:t>
      </w:r>
      <w:r w:rsidRPr="00520861">
        <w:rPr>
          <w:rFonts w:eastAsia="Calibri"/>
          <w:sz w:val="28"/>
          <w:szCs w:val="28"/>
          <w:lang w:eastAsia="en-US"/>
        </w:rPr>
        <w:t xml:space="preserve">]. </w:t>
      </w:r>
    </w:p>
    <w:p w14:paraId="50F5795F" w14:textId="77777777" w:rsidR="005B2BAD" w:rsidRPr="00520861" w:rsidRDefault="005B2BAD" w:rsidP="00292D2E">
      <w:pPr>
        <w:widowControl w:val="0"/>
        <w:shd w:val="clear" w:color="auto" w:fill="FFFFFF"/>
        <w:spacing w:line="360" w:lineRule="auto"/>
        <w:ind w:firstLine="709"/>
        <w:jc w:val="both"/>
        <w:rPr>
          <w:rFonts w:eastAsia="Calibri"/>
          <w:sz w:val="28"/>
          <w:szCs w:val="28"/>
          <w:lang w:eastAsia="en-US"/>
        </w:rPr>
      </w:pPr>
      <w:r w:rsidRPr="00520861">
        <w:rPr>
          <w:rFonts w:eastAsia="Calibri"/>
          <w:sz w:val="28"/>
          <w:szCs w:val="28"/>
          <w:lang w:eastAsia="en-US"/>
        </w:rPr>
        <w:t>Формува</w:t>
      </w:r>
      <w:r w:rsidR="006224E7" w:rsidRPr="00520861">
        <w:rPr>
          <w:rFonts w:eastAsia="Calibri"/>
          <w:sz w:val="28"/>
          <w:szCs w:val="28"/>
          <w:lang w:eastAsia="en-US"/>
        </w:rPr>
        <w:t xml:space="preserve">ння захворювань тканин </w:t>
      </w:r>
      <w:proofErr w:type="spellStart"/>
      <w:r w:rsidR="006224E7" w:rsidRPr="00520861">
        <w:rPr>
          <w:rFonts w:eastAsia="Calibri"/>
          <w:sz w:val="28"/>
          <w:szCs w:val="28"/>
          <w:lang w:eastAsia="en-US"/>
        </w:rPr>
        <w:t>пародонта</w:t>
      </w:r>
      <w:proofErr w:type="spellEnd"/>
      <w:r w:rsidRPr="00520861">
        <w:rPr>
          <w:rFonts w:eastAsia="Calibri"/>
          <w:sz w:val="28"/>
          <w:szCs w:val="28"/>
          <w:lang w:eastAsia="en-US"/>
        </w:rPr>
        <w:t xml:space="preserve"> експериментальних щурів можна досягти не лише шляхом підсадки патогенної мікрофлори чи травмування циркулярної зв’язки, а й завдяки специфічному харчуванню цих тварин.</w:t>
      </w:r>
    </w:p>
    <w:p w14:paraId="743E00B5"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Ступінь розвитку та стан </w:t>
      </w:r>
      <w:proofErr w:type="spellStart"/>
      <w:r w:rsidRPr="00520861">
        <w:rPr>
          <w:rFonts w:eastAsia="Calibri"/>
          <w:sz w:val="28"/>
          <w:szCs w:val="28"/>
          <w:lang w:eastAsia="en-US"/>
        </w:rPr>
        <w:t>мікроциркуляторного</w:t>
      </w:r>
      <w:proofErr w:type="spellEnd"/>
      <w:r w:rsidRPr="00520861">
        <w:rPr>
          <w:rFonts w:eastAsia="Calibri"/>
          <w:sz w:val="28"/>
          <w:szCs w:val="28"/>
          <w:lang w:eastAsia="en-US"/>
        </w:rPr>
        <w:t xml:space="preserve"> русла</w:t>
      </w:r>
      <w:r w:rsidR="002B01FF" w:rsidRPr="00520861">
        <w:rPr>
          <w:rFonts w:eastAsia="Calibri"/>
          <w:sz w:val="28"/>
          <w:szCs w:val="28"/>
          <w:lang w:eastAsia="en-US"/>
        </w:rPr>
        <w:t xml:space="preserve"> (МЦР)</w:t>
      </w:r>
      <w:r w:rsidRPr="00520861">
        <w:rPr>
          <w:rFonts w:eastAsia="Calibri"/>
          <w:sz w:val="28"/>
          <w:szCs w:val="28"/>
          <w:lang w:eastAsia="en-US"/>
        </w:rPr>
        <w:t xml:space="preserve"> </w:t>
      </w:r>
      <w:r w:rsidR="00852A93" w:rsidRPr="00520861">
        <w:rPr>
          <w:rFonts w:eastAsia="Calibri"/>
          <w:sz w:val="28"/>
          <w:szCs w:val="28"/>
          <w:lang w:eastAsia="en-US"/>
        </w:rPr>
        <w:t xml:space="preserve">СОПР </w:t>
      </w:r>
      <w:r w:rsidRPr="00520861">
        <w:rPr>
          <w:rFonts w:eastAsia="Calibri"/>
          <w:sz w:val="28"/>
          <w:szCs w:val="28"/>
          <w:lang w:eastAsia="en-US"/>
        </w:rPr>
        <w:t>особи в молодому віці є фунда</w:t>
      </w:r>
      <w:r w:rsidR="00BA7CE9" w:rsidRPr="00520861">
        <w:rPr>
          <w:rFonts w:eastAsia="Calibri"/>
          <w:sz w:val="28"/>
          <w:szCs w:val="28"/>
          <w:lang w:eastAsia="en-US"/>
        </w:rPr>
        <w:t xml:space="preserve">ментом для стійкості до впливу </w:t>
      </w:r>
      <w:proofErr w:type="spellStart"/>
      <w:r w:rsidR="00BA7CE9" w:rsidRPr="00520861">
        <w:rPr>
          <w:rFonts w:eastAsia="Calibri"/>
          <w:sz w:val="28"/>
          <w:szCs w:val="28"/>
          <w:lang w:eastAsia="en-US"/>
        </w:rPr>
        <w:t>у</w:t>
      </w:r>
      <w:r w:rsidRPr="00520861">
        <w:rPr>
          <w:rFonts w:eastAsia="Calibri"/>
          <w:sz w:val="28"/>
          <w:szCs w:val="28"/>
          <w:lang w:eastAsia="en-US"/>
        </w:rPr>
        <w:t>ра</w:t>
      </w:r>
      <w:r w:rsidR="00BA7CE9" w:rsidRPr="00520861">
        <w:rPr>
          <w:rFonts w:eastAsia="Calibri"/>
          <w:sz w:val="28"/>
          <w:szCs w:val="28"/>
          <w:lang w:eastAsia="en-US"/>
        </w:rPr>
        <w:t>жу</w:t>
      </w:r>
      <w:r w:rsidRPr="00520861">
        <w:rPr>
          <w:rFonts w:eastAsia="Calibri"/>
          <w:sz w:val="28"/>
          <w:szCs w:val="28"/>
          <w:lang w:eastAsia="en-US"/>
        </w:rPr>
        <w:t>ючих</w:t>
      </w:r>
      <w:proofErr w:type="spellEnd"/>
      <w:r w:rsidRPr="00520861">
        <w:rPr>
          <w:rFonts w:eastAsia="Calibri"/>
          <w:sz w:val="28"/>
          <w:szCs w:val="28"/>
          <w:lang w:eastAsia="en-US"/>
        </w:rPr>
        <w:t xml:space="preserve"> чинників під час </w:t>
      </w:r>
      <w:r w:rsidR="00567946" w:rsidRPr="00520861">
        <w:rPr>
          <w:rFonts w:eastAsia="Calibri"/>
          <w:sz w:val="28"/>
          <w:szCs w:val="28"/>
          <w:lang w:eastAsia="en-US"/>
        </w:rPr>
        <w:br/>
      </w:r>
      <w:r w:rsidRPr="00520861">
        <w:rPr>
          <w:rFonts w:eastAsia="Calibri"/>
          <w:sz w:val="28"/>
          <w:szCs w:val="28"/>
          <w:lang w:eastAsia="en-US"/>
        </w:rPr>
        <w:t xml:space="preserve">формування захворювань </w:t>
      </w:r>
      <w:r w:rsidR="00852A93" w:rsidRPr="00520861">
        <w:rPr>
          <w:rFonts w:eastAsia="Calibri"/>
          <w:sz w:val="28"/>
          <w:szCs w:val="28"/>
          <w:lang w:eastAsia="en-US"/>
        </w:rPr>
        <w:t xml:space="preserve">СОПР </w:t>
      </w:r>
      <w:r w:rsidR="006224E7" w:rsidRPr="00520861">
        <w:rPr>
          <w:rFonts w:eastAsia="Calibri"/>
          <w:sz w:val="28"/>
          <w:szCs w:val="28"/>
          <w:lang w:eastAsia="en-US"/>
        </w:rPr>
        <w:t xml:space="preserve">та </w:t>
      </w:r>
      <w:proofErr w:type="spellStart"/>
      <w:r w:rsidR="006224E7" w:rsidRPr="00520861">
        <w:rPr>
          <w:rFonts w:eastAsia="Calibri"/>
          <w:sz w:val="28"/>
          <w:szCs w:val="28"/>
          <w:lang w:eastAsia="en-US"/>
        </w:rPr>
        <w:t>хвороб</w:t>
      </w:r>
      <w:proofErr w:type="spellEnd"/>
      <w:r w:rsidR="006224E7" w:rsidRPr="00520861">
        <w:rPr>
          <w:rFonts w:eastAsia="Calibri"/>
          <w:sz w:val="28"/>
          <w:szCs w:val="28"/>
          <w:lang w:eastAsia="en-US"/>
        </w:rPr>
        <w:t xml:space="preserve"> тканин </w:t>
      </w:r>
      <w:proofErr w:type="spellStart"/>
      <w:r w:rsidR="006224E7" w:rsidRPr="00520861">
        <w:rPr>
          <w:rFonts w:eastAsia="Calibri"/>
          <w:sz w:val="28"/>
          <w:szCs w:val="28"/>
          <w:lang w:eastAsia="en-US"/>
        </w:rPr>
        <w:t>пародонта</w:t>
      </w:r>
      <w:proofErr w:type="spellEnd"/>
      <w:r w:rsidRPr="00520861">
        <w:rPr>
          <w:rFonts w:eastAsia="Calibri"/>
          <w:sz w:val="28"/>
          <w:szCs w:val="28"/>
          <w:lang w:eastAsia="en-US"/>
        </w:rPr>
        <w:t xml:space="preserve"> в онтогенезі.</w:t>
      </w:r>
      <w:r w:rsidR="00174453" w:rsidRPr="00520861">
        <w:rPr>
          <w:rFonts w:eastAsia="Calibri"/>
          <w:sz w:val="28"/>
          <w:szCs w:val="28"/>
          <w:lang w:eastAsia="en-US"/>
        </w:rPr>
        <w:t xml:space="preserve"> </w:t>
      </w:r>
      <w:r w:rsidRPr="00520861">
        <w:rPr>
          <w:rFonts w:eastAsia="Calibri"/>
          <w:sz w:val="28"/>
          <w:szCs w:val="28"/>
          <w:lang w:eastAsia="en-US"/>
        </w:rPr>
        <w:t xml:space="preserve">Стійкість до уражень будь-якої тканини, зокрема епітелію </w:t>
      </w:r>
      <w:r w:rsidR="00852A93" w:rsidRPr="00520861">
        <w:rPr>
          <w:rFonts w:eastAsia="Calibri"/>
          <w:sz w:val="28"/>
          <w:szCs w:val="28"/>
          <w:lang w:eastAsia="en-US"/>
        </w:rPr>
        <w:t>СОПР</w:t>
      </w:r>
      <w:r w:rsidRPr="00520861">
        <w:rPr>
          <w:rFonts w:eastAsia="Calibri"/>
          <w:sz w:val="28"/>
          <w:szCs w:val="28"/>
          <w:lang w:eastAsia="en-US"/>
        </w:rPr>
        <w:t>, суттєво залежить від ступеня розвитку мережі судин у власній пластинці слизової оболонки. Крім того, стійкість ендотелію капілярів до дії агентів, що циркулюють у крові та його ушкоджують, а т</w:t>
      </w:r>
      <w:r w:rsidR="00C20696" w:rsidRPr="00520861">
        <w:rPr>
          <w:rFonts w:eastAsia="Calibri"/>
          <w:sz w:val="28"/>
          <w:szCs w:val="28"/>
          <w:lang w:eastAsia="en-US"/>
        </w:rPr>
        <w:t>акож здатність до швидкого паріє</w:t>
      </w:r>
      <w:r w:rsidRPr="00520861">
        <w:rPr>
          <w:rFonts w:eastAsia="Calibri"/>
          <w:sz w:val="28"/>
          <w:szCs w:val="28"/>
          <w:lang w:eastAsia="en-US"/>
        </w:rPr>
        <w:t xml:space="preserve">тального </w:t>
      </w:r>
      <w:proofErr w:type="spellStart"/>
      <w:r w:rsidRPr="00520861">
        <w:rPr>
          <w:rFonts w:eastAsia="Calibri"/>
          <w:sz w:val="28"/>
          <w:szCs w:val="28"/>
          <w:lang w:eastAsia="en-US"/>
        </w:rPr>
        <w:t>тромбування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деендотелізованої</w:t>
      </w:r>
      <w:proofErr w:type="spellEnd"/>
      <w:r w:rsidRPr="00520861">
        <w:rPr>
          <w:rFonts w:eastAsia="Calibri"/>
          <w:sz w:val="28"/>
          <w:szCs w:val="28"/>
          <w:lang w:eastAsia="en-US"/>
        </w:rPr>
        <w:t xml:space="preserve"> стінки судини можуть впливати на проникність стінки капіляра. Це регулює активність </w:t>
      </w:r>
      <w:r w:rsidR="00F16775" w:rsidRPr="00520861">
        <w:rPr>
          <w:rFonts w:eastAsia="Calibri"/>
          <w:sz w:val="28"/>
          <w:szCs w:val="28"/>
          <w:lang w:eastAsia="en-US"/>
        </w:rPr>
        <w:br/>
      </w:r>
      <w:r w:rsidRPr="00520861">
        <w:rPr>
          <w:rFonts w:eastAsia="Calibri"/>
          <w:sz w:val="28"/>
          <w:szCs w:val="28"/>
          <w:lang w:eastAsia="en-US"/>
        </w:rPr>
        <w:lastRenderedPageBreak/>
        <w:t>ексудативної фази можливого запалення слизової оболонки [</w:t>
      </w:r>
      <w:r w:rsidR="00AA6027" w:rsidRPr="00520861">
        <w:rPr>
          <w:rFonts w:eastAsia="Calibri"/>
          <w:sz w:val="28"/>
          <w:szCs w:val="28"/>
          <w:lang w:eastAsia="en-US"/>
        </w:rPr>
        <w:t>4</w:t>
      </w:r>
      <w:r w:rsidRPr="00520861">
        <w:rPr>
          <w:rFonts w:eastAsia="Calibri"/>
          <w:sz w:val="28"/>
          <w:szCs w:val="28"/>
          <w:lang w:eastAsia="en-US"/>
        </w:rPr>
        <w:t xml:space="preserve">]. </w:t>
      </w:r>
    </w:p>
    <w:p w14:paraId="09AE1FBC" w14:textId="77777777" w:rsidR="005B2BAD" w:rsidRPr="00520861" w:rsidRDefault="005B2BAD" w:rsidP="00292D2E">
      <w:pPr>
        <w:widowControl w:val="0"/>
        <w:shd w:val="clear" w:color="auto" w:fill="FFFFFF"/>
        <w:spacing w:line="360" w:lineRule="auto"/>
        <w:ind w:firstLine="902"/>
        <w:jc w:val="both"/>
        <w:rPr>
          <w:rFonts w:eastAsia="Calibri"/>
          <w:sz w:val="28"/>
          <w:szCs w:val="28"/>
          <w:lang w:eastAsia="en-US"/>
        </w:rPr>
      </w:pPr>
      <w:r w:rsidRPr="00520861">
        <w:rPr>
          <w:rFonts w:eastAsia="Calibri"/>
          <w:sz w:val="28"/>
          <w:szCs w:val="28"/>
          <w:lang w:eastAsia="en-US"/>
        </w:rPr>
        <w:t xml:space="preserve">Проведення експерименту на лабораторних тваринах дає можливість вивчити ланки патогенезу багатьох патологічних процесів, зокрема варіацій кровопостачання </w:t>
      </w:r>
      <w:r w:rsidR="00852A93" w:rsidRPr="00520861">
        <w:rPr>
          <w:rFonts w:eastAsia="Calibri"/>
          <w:sz w:val="28"/>
          <w:szCs w:val="28"/>
          <w:lang w:eastAsia="en-US"/>
        </w:rPr>
        <w:t xml:space="preserve">СОПР </w:t>
      </w:r>
      <w:r w:rsidRPr="00520861">
        <w:rPr>
          <w:rFonts w:eastAsia="Calibri"/>
          <w:sz w:val="28"/>
          <w:szCs w:val="28"/>
          <w:lang w:eastAsia="en-US"/>
        </w:rPr>
        <w:t>[</w:t>
      </w:r>
      <w:r w:rsidR="00AA6027" w:rsidRPr="00520861">
        <w:rPr>
          <w:rFonts w:eastAsia="Calibri"/>
          <w:sz w:val="28"/>
          <w:szCs w:val="28"/>
          <w:lang w:eastAsia="en-US"/>
        </w:rPr>
        <w:t>388</w:t>
      </w:r>
      <w:r w:rsidRPr="00520861">
        <w:rPr>
          <w:rFonts w:eastAsia="Calibri"/>
          <w:sz w:val="28"/>
          <w:szCs w:val="28"/>
          <w:lang w:eastAsia="en-US"/>
        </w:rPr>
        <w:t>].</w:t>
      </w:r>
    </w:p>
    <w:p w14:paraId="78042C10" w14:textId="77777777" w:rsidR="005B2BAD" w:rsidRPr="00520861" w:rsidRDefault="005B2BAD" w:rsidP="00292D2E">
      <w:pPr>
        <w:widowControl w:val="0"/>
        <w:shd w:val="clear" w:color="auto" w:fill="FFFFFF"/>
        <w:spacing w:line="360" w:lineRule="auto"/>
        <w:ind w:firstLine="902"/>
        <w:jc w:val="both"/>
        <w:rPr>
          <w:sz w:val="28"/>
          <w:szCs w:val="28"/>
        </w:rPr>
      </w:pPr>
      <w:r w:rsidRPr="00520861">
        <w:rPr>
          <w:sz w:val="28"/>
          <w:szCs w:val="28"/>
        </w:rPr>
        <w:t>Також, незважаючи на наявні відмінності в структурі тканин, уважаємо доцільним</w:t>
      </w:r>
      <w:r w:rsidRPr="00520861">
        <w:rPr>
          <w:rFonts w:eastAsia="Calibri"/>
          <w:sz w:val="28"/>
          <w:szCs w:val="28"/>
          <w:lang w:eastAsia="en-US"/>
        </w:rPr>
        <w:t xml:space="preserve"> дослідити </w:t>
      </w:r>
      <w:r w:rsidRPr="00520861">
        <w:rPr>
          <w:sz w:val="28"/>
          <w:szCs w:val="28"/>
        </w:rPr>
        <w:t xml:space="preserve">особливості постнатального генезу стану альвеолярних кісток та </w:t>
      </w:r>
      <w:r w:rsidR="00852A93" w:rsidRPr="00520861">
        <w:rPr>
          <w:sz w:val="28"/>
          <w:szCs w:val="28"/>
        </w:rPr>
        <w:t xml:space="preserve">СОПР </w:t>
      </w:r>
      <w:r w:rsidRPr="00520861">
        <w:rPr>
          <w:sz w:val="28"/>
          <w:szCs w:val="28"/>
        </w:rPr>
        <w:t xml:space="preserve">експериментальних тварин, які народилися </w:t>
      </w:r>
      <w:proofErr w:type="spellStart"/>
      <w:r w:rsidRPr="00520861">
        <w:rPr>
          <w:sz w:val="28"/>
          <w:szCs w:val="28"/>
        </w:rPr>
        <w:t>макросомами</w:t>
      </w:r>
      <w:proofErr w:type="spellEnd"/>
      <w:r w:rsidRPr="00520861">
        <w:rPr>
          <w:sz w:val="28"/>
          <w:szCs w:val="28"/>
        </w:rPr>
        <w:t>, з метою подальшого застосування одержаних відомостей під час обстеження, діагностики та лікування людей [</w:t>
      </w:r>
      <w:r w:rsidR="00962E0F" w:rsidRPr="00520861">
        <w:rPr>
          <w:sz w:val="28"/>
          <w:szCs w:val="28"/>
        </w:rPr>
        <w:t>538</w:t>
      </w:r>
      <w:r w:rsidRPr="00520861">
        <w:rPr>
          <w:sz w:val="28"/>
          <w:szCs w:val="28"/>
        </w:rPr>
        <w:t xml:space="preserve">]. </w:t>
      </w:r>
    </w:p>
    <w:p w14:paraId="531B4790"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доступній нам науковій літературі відсутні експериментальні дослідження, які доводять зв’язок між </w:t>
      </w:r>
      <w:proofErr w:type="spellStart"/>
      <w:r w:rsidRPr="00520861">
        <w:rPr>
          <w:rFonts w:eastAsia="Calibri"/>
          <w:sz w:val="28"/>
          <w:szCs w:val="28"/>
          <w:lang w:eastAsia="en-US"/>
        </w:rPr>
        <w:t>макросомією</w:t>
      </w:r>
      <w:proofErr w:type="spellEnd"/>
      <w:r w:rsidR="006224E7" w:rsidRPr="00520861">
        <w:rPr>
          <w:rFonts w:eastAsia="Calibri"/>
          <w:sz w:val="28"/>
          <w:szCs w:val="28"/>
          <w:lang w:eastAsia="en-US"/>
        </w:rPr>
        <w:t xml:space="preserve"> плода</w:t>
      </w:r>
      <w:r w:rsidRPr="00520861">
        <w:rPr>
          <w:rFonts w:eastAsia="Calibri"/>
          <w:sz w:val="28"/>
          <w:szCs w:val="28"/>
          <w:lang w:eastAsia="en-US"/>
        </w:rPr>
        <w:t xml:space="preserve"> та формуванням патологічних процесів у</w:t>
      </w:r>
      <w:r w:rsidR="002826E4" w:rsidRPr="00520861">
        <w:rPr>
          <w:rFonts w:eastAsia="Calibri"/>
          <w:sz w:val="28"/>
          <w:szCs w:val="28"/>
          <w:lang w:eastAsia="en-US"/>
        </w:rPr>
        <w:t xml:space="preserve"> ПР</w:t>
      </w:r>
      <w:r w:rsidRPr="00520861">
        <w:rPr>
          <w:rFonts w:eastAsia="Calibri"/>
          <w:sz w:val="28"/>
          <w:szCs w:val="28"/>
          <w:lang w:eastAsia="en-US"/>
        </w:rPr>
        <w:t xml:space="preserve">. Тому вивчення та адекватне оцінювання </w:t>
      </w:r>
      <w:r w:rsidRPr="00520861">
        <w:rPr>
          <w:sz w:val="28"/>
          <w:szCs w:val="28"/>
        </w:rPr>
        <w:t xml:space="preserve">функціонального та морфологічного </w:t>
      </w:r>
      <w:r w:rsidR="0053140C" w:rsidRPr="00520861">
        <w:rPr>
          <w:rFonts w:eastAsia="Calibri"/>
          <w:sz w:val="28"/>
          <w:szCs w:val="28"/>
          <w:lang w:eastAsia="en-US"/>
        </w:rPr>
        <w:t>стану зачат</w:t>
      </w:r>
      <w:r w:rsidRPr="00520861">
        <w:rPr>
          <w:rFonts w:eastAsia="Calibri"/>
          <w:sz w:val="28"/>
          <w:szCs w:val="28"/>
          <w:lang w:eastAsia="en-US"/>
        </w:rPr>
        <w:t xml:space="preserve">ків зубів у новонароджених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особливостей формування та прорізування їхніх зубів, стану великих і малих слинних залоз, твердих тканин з</w:t>
      </w:r>
      <w:r w:rsidR="006224E7" w:rsidRPr="00520861">
        <w:rPr>
          <w:rFonts w:eastAsia="Calibri"/>
          <w:sz w:val="28"/>
          <w:szCs w:val="28"/>
          <w:lang w:eastAsia="en-US"/>
        </w:rPr>
        <w:t xml:space="preserve">убів, пульпи та тканин </w:t>
      </w:r>
      <w:proofErr w:type="spellStart"/>
      <w:r w:rsidR="006224E7" w:rsidRPr="00520861">
        <w:rPr>
          <w:rFonts w:eastAsia="Calibri"/>
          <w:sz w:val="28"/>
          <w:szCs w:val="28"/>
          <w:lang w:eastAsia="en-US"/>
        </w:rPr>
        <w:t>пародонта</w:t>
      </w:r>
      <w:proofErr w:type="spellEnd"/>
      <w:r w:rsidR="00A130F2" w:rsidRPr="00520861">
        <w:rPr>
          <w:rFonts w:eastAsia="Calibri"/>
          <w:sz w:val="28"/>
          <w:szCs w:val="28"/>
          <w:lang w:eastAsia="en-US"/>
        </w:rPr>
        <w:t xml:space="preserve"> у тварин молодого й</w:t>
      </w:r>
      <w:r w:rsidRPr="00520861">
        <w:rPr>
          <w:rFonts w:eastAsia="Calibri"/>
          <w:sz w:val="28"/>
          <w:szCs w:val="28"/>
          <w:lang w:eastAsia="en-US"/>
        </w:rPr>
        <w:t xml:space="preserve"> доросл</w:t>
      </w:r>
      <w:r w:rsidR="00F53246" w:rsidRPr="00520861">
        <w:rPr>
          <w:rFonts w:eastAsia="Calibri"/>
          <w:sz w:val="28"/>
          <w:szCs w:val="28"/>
          <w:lang w:eastAsia="en-US"/>
        </w:rPr>
        <w:t>ого віку, МРП</w:t>
      </w:r>
      <w:r w:rsidRPr="00520861">
        <w:rPr>
          <w:rFonts w:eastAsia="Calibri"/>
          <w:sz w:val="28"/>
          <w:szCs w:val="28"/>
          <w:lang w:eastAsia="en-US"/>
        </w:rPr>
        <w:t xml:space="preserve"> яких при народженні були вищими за 90-центильний рівень, становить науковий інтерес та </w:t>
      </w:r>
      <w:r w:rsidRPr="00520861">
        <w:rPr>
          <w:bCs/>
          <w:color w:val="000000"/>
          <w:sz w:val="28"/>
          <w:szCs w:val="28"/>
        </w:rPr>
        <w:t xml:space="preserve">є </w:t>
      </w:r>
      <w:r w:rsidR="00567946" w:rsidRPr="00520861">
        <w:rPr>
          <w:bCs/>
          <w:color w:val="000000"/>
          <w:sz w:val="28"/>
          <w:szCs w:val="28"/>
        </w:rPr>
        <w:br/>
      </w:r>
      <w:r w:rsidRPr="00520861">
        <w:rPr>
          <w:bCs/>
          <w:color w:val="000000"/>
          <w:sz w:val="28"/>
          <w:szCs w:val="28"/>
        </w:rPr>
        <w:t>актуальним завданням.</w:t>
      </w:r>
    </w:p>
    <w:p w14:paraId="589552ED" w14:textId="77777777" w:rsidR="00FF7F2A" w:rsidRPr="00520861" w:rsidRDefault="002D491E" w:rsidP="00292D2E">
      <w:pPr>
        <w:widowControl w:val="0"/>
        <w:spacing w:line="360" w:lineRule="auto"/>
        <w:ind w:firstLine="708"/>
        <w:jc w:val="both"/>
        <w:rPr>
          <w:b/>
          <w:i/>
          <w:sz w:val="28"/>
          <w:szCs w:val="28"/>
        </w:rPr>
      </w:pPr>
      <w:r w:rsidRPr="00520861">
        <w:rPr>
          <w:b/>
          <w:sz w:val="28"/>
          <w:szCs w:val="28"/>
        </w:rPr>
        <w:t xml:space="preserve">1.3.2. </w:t>
      </w:r>
      <w:r w:rsidR="00FF7F2A" w:rsidRPr="00520861">
        <w:rPr>
          <w:b/>
          <w:sz w:val="28"/>
          <w:szCs w:val="28"/>
        </w:rPr>
        <w:t xml:space="preserve">Сучасні можливості вивчення стану досліджуваних тканин за </w:t>
      </w:r>
      <w:r w:rsidRPr="00520861">
        <w:rPr>
          <w:b/>
          <w:sz w:val="28"/>
          <w:szCs w:val="28"/>
        </w:rPr>
        <w:br/>
      </w:r>
      <w:r w:rsidR="00FF7F2A" w:rsidRPr="00520861">
        <w:rPr>
          <w:b/>
          <w:sz w:val="28"/>
          <w:szCs w:val="28"/>
        </w:rPr>
        <w:t>допомогою конфокальної мікроскопії</w:t>
      </w:r>
      <w:r w:rsidR="0039268F" w:rsidRPr="00520861">
        <w:rPr>
          <w:b/>
          <w:sz w:val="28"/>
          <w:szCs w:val="28"/>
        </w:rPr>
        <w:t>.</w:t>
      </w:r>
      <w:r w:rsidR="0039268F" w:rsidRPr="00520861">
        <w:rPr>
          <w:b/>
          <w:i/>
          <w:sz w:val="28"/>
          <w:szCs w:val="28"/>
        </w:rPr>
        <w:t xml:space="preserve"> </w:t>
      </w:r>
      <w:r w:rsidR="00FF7F2A" w:rsidRPr="00520861">
        <w:rPr>
          <w:sz w:val="28"/>
          <w:szCs w:val="28"/>
        </w:rPr>
        <w:t>Одним з найінформативніших та найбільш унікальних методів, який дозвол</w:t>
      </w:r>
      <w:r w:rsidR="00343629" w:rsidRPr="00520861">
        <w:rPr>
          <w:sz w:val="28"/>
          <w:szCs w:val="28"/>
        </w:rPr>
        <w:t>яє детально дослідити всі особливості</w:t>
      </w:r>
      <w:r w:rsidR="00FF7F2A" w:rsidRPr="00520861">
        <w:rPr>
          <w:sz w:val="28"/>
          <w:szCs w:val="28"/>
        </w:rPr>
        <w:t xml:space="preserve"> морфологічних структур, є конфокальна мікроскопія. </w:t>
      </w:r>
      <w:r w:rsidR="00FF7F2A" w:rsidRPr="00520861">
        <w:rPr>
          <w:rFonts w:eastAsia="Calibri"/>
          <w:sz w:val="28"/>
          <w:szCs w:val="28"/>
          <w:lang w:eastAsia="en-US"/>
        </w:rPr>
        <w:t xml:space="preserve">Цей метод дає змогу одержувати </w:t>
      </w:r>
      <w:r w:rsidR="00567946" w:rsidRPr="00520861">
        <w:rPr>
          <w:rFonts w:eastAsia="Calibri"/>
          <w:sz w:val="28"/>
          <w:szCs w:val="28"/>
          <w:lang w:eastAsia="en-US"/>
        </w:rPr>
        <w:br/>
      </w:r>
      <w:r w:rsidR="00FF7F2A" w:rsidRPr="00520861">
        <w:rPr>
          <w:rFonts w:eastAsia="Calibri"/>
          <w:sz w:val="28"/>
          <w:szCs w:val="28"/>
          <w:lang w:eastAsia="en-US"/>
        </w:rPr>
        <w:t xml:space="preserve">тривимірні зображення внутрішньої будови досліджуваних тканин та проводити їх подальший </w:t>
      </w:r>
      <w:proofErr w:type="spellStart"/>
      <w:r w:rsidR="00FF7F2A" w:rsidRPr="00520861">
        <w:rPr>
          <w:rFonts w:eastAsia="Calibri"/>
          <w:sz w:val="28"/>
          <w:szCs w:val="28"/>
          <w:lang w:eastAsia="en-US"/>
        </w:rPr>
        <w:t>морфометричний</w:t>
      </w:r>
      <w:proofErr w:type="spellEnd"/>
      <w:r w:rsidR="00FF7F2A" w:rsidRPr="00520861">
        <w:rPr>
          <w:rFonts w:eastAsia="Calibri"/>
          <w:sz w:val="28"/>
          <w:szCs w:val="28"/>
          <w:lang w:eastAsia="en-US"/>
        </w:rPr>
        <w:t xml:space="preserve"> аналіз [299, 389, 390]. </w:t>
      </w:r>
      <w:r w:rsidR="00FF7F2A" w:rsidRPr="00520861">
        <w:rPr>
          <w:sz w:val="28"/>
          <w:szCs w:val="28"/>
        </w:rPr>
        <w:t>Зображення, послідовно отримані з різних шарів препарату, дозволяють реконструювати тривимірні структури зразків, що вивчаються, і робити кількісний аналіз вибірки [267].</w:t>
      </w:r>
    </w:p>
    <w:p w14:paraId="739B3259" w14:textId="77777777" w:rsidR="00FF7F2A" w:rsidRPr="00520861" w:rsidRDefault="00FF7F2A" w:rsidP="00292D2E">
      <w:pPr>
        <w:widowControl w:val="0"/>
        <w:autoSpaceDE w:val="0"/>
        <w:autoSpaceDN w:val="0"/>
        <w:adjustRightInd w:val="0"/>
        <w:spacing w:line="360" w:lineRule="auto"/>
        <w:ind w:firstLine="708"/>
        <w:jc w:val="both"/>
        <w:rPr>
          <w:rFonts w:eastAsia="Calibri"/>
          <w:sz w:val="28"/>
          <w:szCs w:val="28"/>
          <w:lang w:eastAsia="en-US"/>
        </w:rPr>
      </w:pPr>
      <w:r w:rsidRPr="00520861">
        <w:rPr>
          <w:rFonts w:eastAsia="Calibri"/>
          <w:sz w:val="28"/>
          <w:szCs w:val="28"/>
          <w:lang w:eastAsia="en-US"/>
        </w:rPr>
        <w:t xml:space="preserve">Тривимірний аналіз мікроскопічних структур у пульпі зуба [305], у слинних залозах [420, 521] та СОПР [411] може суттєво полегшити дослідження взаємозв’язку між структурою та функцією, оскільки точність цього методу мінімізує кількість </w:t>
      </w:r>
      <w:r w:rsidR="00567946" w:rsidRPr="00520861">
        <w:rPr>
          <w:rFonts w:eastAsia="Calibri"/>
          <w:sz w:val="28"/>
          <w:szCs w:val="28"/>
          <w:lang w:eastAsia="en-US"/>
        </w:rPr>
        <w:br/>
      </w:r>
      <w:r w:rsidRPr="00520861">
        <w:rPr>
          <w:rFonts w:eastAsia="Calibri"/>
          <w:sz w:val="28"/>
          <w:szCs w:val="28"/>
          <w:lang w:eastAsia="en-US"/>
        </w:rPr>
        <w:t xml:space="preserve">помилок. </w:t>
      </w:r>
    </w:p>
    <w:p w14:paraId="23E781E3" w14:textId="77777777" w:rsidR="00FF7F2A" w:rsidRPr="00520861" w:rsidRDefault="00FF7F2A" w:rsidP="00292D2E">
      <w:pPr>
        <w:widowControl w:val="0"/>
        <w:spacing w:line="360" w:lineRule="auto"/>
        <w:ind w:firstLine="708"/>
        <w:jc w:val="both"/>
        <w:rPr>
          <w:rFonts w:eastAsia="Calibri"/>
          <w:spacing w:val="-4"/>
          <w:sz w:val="28"/>
          <w:szCs w:val="28"/>
          <w:lang w:eastAsia="en-US"/>
        </w:rPr>
      </w:pPr>
      <w:r w:rsidRPr="00520861">
        <w:rPr>
          <w:rFonts w:eastAsia="Calibri"/>
          <w:spacing w:val="-4"/>
          <w:sz w:val="28"/>
          <w:szCs w:val="28"/>
          <w:lang w:eastAsia="en-US"/>
        </w:rPr>
        <w:t xml:space="preserve">Кількісне оцінювання та візуалізація структур м’яких тканин ПР </w:t>
      </w:r>
      <w:r w:rsidR="00567946" w:rsidRPr="00520861">
        <w:rPr>
          <w:rFonts w:eastAsia="Calibri"/>
          <w:spacing w:val="-4"/>
          <w:sz w:val="28"/>
          <w:szCs w:val="28"/>
          <w:lang w:eastAsia="en-US"/>
        </w:rPr>
        <w:br/>
      </w:r>
      <w:r w:rsidRPr="00520861">
        <w:rPr>
          <w:rFonts w:eastAsia="Calibri"/>
          <w:spacing w:val="-4"/>
          <w:sz w:val="28"/>
          <w:szCs w:val="28"/>
          <w:lang w:eastAsia="en-US"/>
        </w:rPr>
        <w:lastRenderedPageBreak/>
        <w:t xml:space="preserve">експериментальних тварин, народжених з </w:t>
      </w:r>
      <w:proofErr w:type="spellStart"/>
      <w:r w:rsidRPr="00520861">
        <w:rPr>
          <w:rFonts w:eastAsia="Calibri"/>
          <w:spacing w:val="-4"/>
          <w:sz w:val="28"/>
          <w:szCs w:val="28"/>
          <w:lang w:eastAsia="en-US"/>
        </w:rPr>
        <w:t>макросомією</w:t>
      </w:r>
      <w:proofErr w:type="spellEnd"/>
      <w:r w:rsidRPr="00520861">
        <w:rPr>
          <w:rFonts w:eastAsia="Calibri"/>
          <w:spacing w:val="-4"/>
          <w:sz w:val="28"/>
          <w:szCs w:val="28"/>
          <w:lang w:eastAsia="en-US"/>
        </w:rPr>
        <w:t xml:space="preserve">, за допомогою конфокальної лазерної </w:t>
      </w:r>
      <w:proofErr w:type="spellStart"/>
      <w:r w:rsidR="00EE421C" w:rsidRPr="00520861">
        <w:rPr>
          <w:rFonts w:eastAsia="Calibri"/>
          <w:spacing w:val="-4"/>
          <w:sz w:val="28"/>
          <w:szCs w:val="28"/>
          <w:lang w:eastAsia="en-US"/>
        </w:rPr>
        <w:t>сканувальної</w:t>
      </w:r>
      <w:proofErr w:type="spellEnd"/>
      <w:r w:rsidR="00EE421C" w:rsidRPr="00520861">
        <w:rPr>
          <w:rFonts w:eastAsia="Calibri"/>
          <w:spacing w:val="-4"/>
          <w:sz w:val="28"/>
          <w:szCs w:val="28"/>
          <w:lang w:eastAsia="en-US"/>
        </w:rPr>
        <w:t xml:space="preserve"> </w:t>
      </w:r>
      <w:r w:rsidRPr="00520861">
        <w:rPr>
          <w:rFonts w:eastAsia="Calibri"/>
          <w:spacing w:val="-4"/>
          <w:sz w:val="28"/>
          <w:szCs w:val="28"/>
          <w:lang w:eastAsia="en-US"/>
        </w:rPr>
        <w:t xml:space="preserve">мікроскопії вможливлює отримання уявлення про </w:t>
      </w:r>
      <w:proofErr w:type="spellStart"/>
      <w:r w:rsidRPr="00520861">
        <w:rPr>
          <w:rFonts w:eastAsia="Calibri"/>
          <w:spacing w:val="-4"/>
          <w:sz w:val="28"/>
          <w:szCs w:val="28"/>
          <w:lang w:eastAsia="en-US"/>
        </w:rPr>
        <w:t>морфофункціональний</w:t>
      </w:r>
      <w:proofErr w:type="spellEnd"/>
      <w:r w:rsidRPr="00520861">
        <w:rPr>
          <w:rFonts w:eastAsia="Calibri"/>
          <w:spacing w:val="-4"/>
          <w:sz w:val="28"/>
          <w:szCs w:val="28"/>
          <w:lang w:eastAsia="en-US"/>
        </w:rPr>
        <w:t xml:space="preserve"> стан епітелію СОПР, а також </w:t>
      </w:r>
      <w:proofErr w:type="spellStart"/>
      <w:r w:rsidRPr="00520861">
        <w:rPr>
          <w:rFonts w:eastAsia="Calibri"/>
          <w:spacing w:val="-4"/>
          <w:sz w:val="28"/>
          <w:szCs w:val="28"/>
          <w:lang w:eastAsia="en-US"/>
        </w:rPr>
        <w:t>г</w:t>
      </w:r>
      <w:r w:rsidR="007A085E" w:rsidRPr="00520861">
        <w:rPr>
          <w:rFonts w:eastAsia="Calibri"/>
          <w:spacing w:val="-4"/>
          <w:sz w:val="28"/>
          <w:szCs w:val="28"/>
          <w:lang w:eastAsia="en-US"/>
        </w:rPr>
        <w:t>ландулярного</w:t>
      </w:r>
      <w:proofErr w:type="spellEnd"/>
      <w:r w:rsidR="007A085E" w:rsidRPr="00520861">
        <w:rPr>
          <w:rFonts w:eastAsia="Calibri"/>
          <w:spacing w:val="-4"/>
          <w:sz w:val="28"/>
          <w:szCs w:val="28"/>
          <w:lang w:eastAsia="en-US"/>
        </w:rPr>
        <w:t xml:space="preserve"> епітелію великих і</w:t>
      </w:r>
      <w:r w:rsidRPr="00520861">
        <w:rPr>
          <w:rFonts w:eastAsia="Calibri"/>
          <w:spacing w:val="-4"/>
          <w:sz w:val="28"/>
          <w:szCs w:val="28"/>
          <w:lang w:eastAsia="en-US"/>
        </w:rPr>
        <w:t xml:space="preserve"> малих слинних залоз. </w:t>
      </w:r>
    </w:p>
    <w:p w14:paraId="036E9731" w14:textId="77777777" w:rsidR="005B2BAD" w:rsidRPr="00520861" w:rsidRDefault="00CD42C7" w:rsidP="00292D2E">
      <w:pPr>
        <w:widowControl w:val="0"/>
        <w:spacing w:line="360" w:lineRule="auto"/>
        <w:ind w:firstLine="709"/>
        <w:jc w:val="both"/>
        <w:rPr>
          <w:b/>
          <w:sz w:val="28"/>
          <w:szCs w:val="28"/>
        </w:rPr>
      </w:pPr>
      <w:r w:rsidRPr="00520861">
        <w:rPr>
          <w:b/>
          <w:sz w:val="28"/>
          <w:szCs w:val="28"/>
        </w:rPr>
        <w:t>1.3.3</w:t>
      </w:r>
      <w:r w:rsidR="00B738CD" w:rsidRPr="00520861">
        <w:rPr>
          <w:b/>
          <w:sz w:val="28"/>
          <w:szCs w:val="28"/>
        </w:rPr>
        <w:t>.</w:t>
      </w:r>
      <w:r w:rsidR="005B2BAD" w:rsidRPr="00520861">
        <w:rPr>
          <w:b/>
          <w:sz w:val="28"/>
          <w:szCs w:val="28"/>
        </w:rPr>
        <w:t xml:space="preserve"> </w:t>
      </w:r>
      <w:r w:rsidR="00EF657B" w:rsidRPr="00520861">
        <w:rPr>
          <w:b/>
          <w:sz w:val="28"/>
          <w:szCs w:val="28"/>
        </w:rPr>
        <w:t>Опитувальні</w:t>
      </w:r>
      <w:r w:rsidR="006224E7" w:rsidRPr="00520861">
        <w:rPr>
          <w:b/>
          <w:sz w:val="28"/>
          <w:szCs w:val="28"/>
        </w:rPr>
        <w:t xml:space="preserve"> </w:t>
      </w:r>
      <w:r w:rsidR="005B2BAD" w:rsidRPr="00520861">
        <w:rPr>
          <w:b/>
          <w:sz w:val="28"/>
          <w:szCs w:val="28"/>
        </w:rPr>
        <w:t>методи дослідження</w:t>
      </w:r>
      <w:r w:rsidR="0039268F" w:rsidRPr="00520861">
        <w:rPr>
          <w:b/>
          <w:sz w:val="28"/>
          <w:szCs w:val="28"/>
        </w:rPr>
        <w:t xml:space="preserve">. </w:t>
      </w:r>
      <w:r w:rsidR="005B2BAD" w:rsidRPr="00520861">
        <w:rPr>
          <w:rFonts w:eastAsia="Calibri"/>
          <w:sz w:val="28"/>
          <w:szCs w:val="28"/>
          <w:lang w:eastAsia="en-US"/>
        </w:rPr>
        <w:t xml:space="preserve">Розвиток захворювань різної етіології можна оцінити та попередити на </w:t>
      </w:r>
      <w:proofErr w:type="spellStart"/>
      <w:r w:rsidR="005B2BAD" w:rsidRPr="00520861">
        <w:rPr>
          <w:rFonts w:eastAsia="Calibri"/>
          <w:sz w:val="28"/>
          <w:szCs w:val="28"/>
          <w:lang w:eastAsia="en-US"/>
        </w:rPr>
        <w:t>доклінічній</w:t>
      </w:r>
      <w:proofErr w:type="spellEnd"/>
      <w:r w:rsidR="005B2BAD" w:rsidRPr="00520861">
        <w:rPr>
          <w:rFonts w:eastAsia="Calibri"/>
          <w:sz w:val="28"/>
          <w:szCs w:val="28"/>
          <w:lang w:eastAsia="en-US"/>
        </w:rPr>
        <w:t xml:space="preserve"> стадії чи стадії «малих» клінічних проявів, що є складовою реалізації інноваційної концепції медицини граничних </w:t>
      </w:r>
      <w:r w:rsidR="00567946" w:rsidRPr="00520861">
        <w:rPr>
          <w:rFonts w:eastAsia="Calibri"/>
          <w:sz w:val="28"/>
          <w:szCs w:val="28"/>
          <w:lang w:eastAsia="en-US"/>
        </w:rPr>
        <w:br/>
      </w:r>
      <w:r w:rsidR="005B2BAD" w:rsidRPr="00520861">
        <w:rPr>
          <w:rFonts w:eastAsia="Calibri"/>
          <w:sz w:val="28"/>
          <w:szCs w:val="28"/>
          <w:lang w:eastAsia="en-US"/>
        </w:rPr>
        <w:t>станів [</w:t>
      </w:r>
      <w:r w:rsidR="00B94E32" w:rsidRPr="00520861">
        <w:rPr>
          <w:rFonts w:eastAsia="Calibri"/>
          <w:sz w:val="28"/>
          <w:szCs w:val="28"/>
          <w:lang w:eastAsia="en-US"/>
        </w:rPr>
        <w:t>133</w:t>
      </w:r>
      <w:r w:rsidR="005B2BAD" w:rsidRPr="00520861">
        <w:rPr>
          <w:rFonts w:eastAsia="Calibri"/>
          <w:sz w:val="28"/>
          <w:szCs w:val="28"/>
          <w:lang w:eastAsia="en-US"/>
        </w:rPr>
        <w:t>] та першочерговою задачею для збереження здоров’я як цілої нації, так і кожної родини і конкретного індивідуума.</w:t>
      </w:r>
    </w:p>
    <w:p w14:paraId="44AAEF58"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 метою точного оцінювання потреби проведення профілактичних процедур, лікування та раціонального планування превентивної стоматологічної допомоги </w:t>
      </w:r>
      <w:r w:rsidR="00567946" w:rsidRPr="00520861">
        <w:rPr>
          <w:rFonts w:eastAsia="Calibri"/>
          <w:sz w:val="28"/>
          <w:szCs w:val="28"/>
          <w:lang w:eastAsia="en-US"/>
        </w:rPr>
        <w:br/>
      </w:r>
      <w:r w:rsidRPr="00520861">
        <w:rPr>
          <w:rFonts w:eastAsia="Calibri"/>
          <w:sz w:val="28"/>
          <w:szCs w:val="28"/>
          <w:lang w:eastAsia="en-US"/>
        </w:rPr>
        <w:t>проводиться розробка опитувальників індивідуально для кожної досліджуваної патології [</w:t>
      </w:r>
      <w:r w:rsidR="00B94E32" w:rsidRPr="00520861">
        <w:rPr>
          <w:rFonts w:eastAsia="Calibri"/>
          <w:sz w:val="28"/>
          <w:szCs w:val="28"/>
          <w:lang w:eastAsia="en-US"/>
        </w:rPr>
        <w:t>104</w:t>
      </w:r>
      <w:r w:rsidRPr="00520861">
        <w:rPr>
          <w:rFonts w:eastAsia="Calibri"/>
          <w:sz w:val="28"/>
          <w:szCs w:val="28"/>
          <w:lang w:eastAsia="en-US"/>
        </w:rPr>
        <w:t xml:space="preserve">]. </w:t>
      </w:r>
    </w:p>
    <w:p w14:paraId="6CACD3D0"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Скр</w:t>
      </w:r>
      <w:r w:rsidR="00A130F2" w:rsidRPr="00520861">
        <w:rPr>
          <w:rFonts w:eastAsia="Calibri"/>
          <w:sz w:val="28"/>
          <w:szCs w:val="28"/>
          <w:lang w:eastAsia="en-US"/>
        </w:rPr>
        <w:t>и</w:t>
      </w:r>
      <w:r w:rsidRPr="00520861">
        <w:rPr>
          <w:rFonts w:eastAsia="Calibri"/>
          <w:sz w:val="28"/>
          <w:szCs w:val="28"/>
          <w:lang w:eastAsia="en-US"/>
        </w:rPr>
        <w:t xml:space="preserve">нінг-опитувальники, орієнтовані на різні вікові категорії, містять окремі групи запитань, щоб якомога повніше охопити пов’язані з віком </w:t>
      </w:r>
      <w:r w:rsidR="00E55839" w:rsidRPr="00520861">
        <w:rPr>
          <w:rFonts w:eastAsia="Calibri"/>
          <w:sz w:val="28"/>
          <w:szCs w:val="28"/>
          <w:lang w:eastAsia="en-US"/>
        </w:rPr>
        <w:t xml:space="preserve">можливі проблеми респондентів. </w:t>
      </w:r>
      <w:r w:rsidRPr="00520861">
        <w:rPr>
          <w:rFonts w:eastAsia="Calibri"/>
          <w:sz w:val="28"/>
          <w:szCs w:val="28"/>
          <w:lang w:eastAsia="en-US"/>
        </w:rPr>
        <w:t xml:space="preserve">На сьогодні існують опитувальники, спрямовані на вивчення якості життя пацієнта зі стоматологічною патологією. Окремі опитувальники розроблені з метою вивчення функціональних порушень, естетичних недоліків, больового </w:t>
      </w:r>
      <w:r w:rsidR="007C6FBE" w:rsidRPr="00520861">
        <w:rPr>
          <w:rFonts w:eastAsia="Calibri"/>
          <w:sz w:val="28"/>
          <w:szCs w:val="28"/>
          <w:lang w:eastAsia="en-US"/>
        </w:rPr>
        <w:br/>
      </w:r>
      <w:r w:rsidRPr="00520861">
        <w:rPr>
          <w:rFonts w:eastAsia="Calibri"/>
          <w:sz w:val="28"/>
          <w:szCs w:val="28"/>
          <w:lang w:eastAsia="en-US"/>
        </w:rPr>
        <w:t>синдрому та емоційного стану пацієнта. В узагальненому вигляді вони добре описані в роботі [</w:t>
      </w:r>
      <w:r w:rsidR="00B94E32" w:rsidRPr="00520861">
        <w:rPr>
          <w:rFonts w:eastAsia="Calibri"/>
          <w:sz w:val="28"/>
          <w:szCs w:val="28"/>
          <w:lang w:eastAsia="en-US"/>
        </w:rPr>
        <w:t>531</w:t>
      </w:r>
      <w:r w:rsidR="00C27845" w:rsidRPr="00520861">
        <w:rPr>
          <w:rFonts w:eastAsia="Calibri"/>
          <w:sz w:val="28"/>
          <w:szCs w:val="28"/>
          <w:lang w:eastAsia="en-US"/>
        </w:rPr>
        <w:t xml:space="preserve">]. </w:t>
      </w:r>
      <w:r w:rsidRPr="00520861">
        <w:rPr>
          <w:rFonts w:eastAsia="Calibri"/>
          <w:sz w:val="28"/>
          <w:szCs w:val="28"/>
          <w:lang w:eastAsia="en-US"/>
        </w:rPr>
        <w:t>Останнім часом усе частіше використовують опитувальники, спрямовані на виявлення ставлення пацієнтів до стоматологічного лікування [</w:t>
      </w:r>
      <w:r w:rsidR="00B94E32" w:rsidRPr="00520861">
        <w:rPr>
          <w:rFonts w:eastAsia="Calibri"/>
          <w:sz w:val="28"/>
          <w:szCs w:val="28"/>
          <w:lang w:eastAsia="en-US"/>
        </w:rPr>
        <w:t>531</w:t>
      </w:r>
      <w:r w:rsidRPr="00520861">
        <w:rPr>
          <w:rFonts w:eastAsia="Calibri"/>
          <w:sz w:val="28"/>
          <w:szCs w:val="28"/>
          <w:lang w:eastAsia="en-US"/>
        </w:rPr>
        <w:t>].</w:t>
      </w:r>
    </w:p>
    <w:p w14:paraId="3D46D264" w14:textId="77777777" w:rsidR="005B2BAD" w:rsidRPr="00520861" w:rsidRDefault="005B2BAD"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Чимало шкал та опитувальників розроблені для прогнозування виникнення певної стоматологічної патології. Проте одні опитувальники під час прогнозування виникнення стоматологічної патології враховують тільки знання й гігієнічні навички респондента [</w:t>
      </w:r>
      <w:r w:rsidR="00B94E32" w:rsidRPr="00520861">
        <w:rPr>
          <w:rFonts w:eastAsia="Calibri"/>
          <w:sz w:val="28"/>
          <w:szCs w:val="28"/>
          <w:lang w:eastAsia="en-US"/>
        </w:rPr>
        <w:t>396</w:t>
      </w:r>
      <w:r w:rsidRPr="00520861">
        <w:rPr>
          <w:rFonts w:eastAsia="Calibri"/>
          <w:sz w:val="28"/>
          <w:szCs w:val="28"/>
          <w:lang w:eastAsia="en-US"/>
        </w:rPr>
        <w:t>], а</w:t>
      </w:r>
      <w:r w:rsidR="00B02645" w:rsidRPr="00520861">
        <w:rPr>
          <w:rFonts w:eastAsia="Calibri"/>
          <w:sz w:val="28"/>
          <w:szCs w:val="28"/>
          <w:lang w:eastAsia="en-US"/>
        </w:rPr>
        <w:t xml:space="preserve"> </w:t>
      </w:r>
      <w:r w:rsidRPr="00520861">
        <w:rPr>
          <w:rFonts w:eastAsia="Calibri"/>
          <w:sz w:val="28"/>
          <w:szCs w:val="28"/>
          <w:lang w:eastAsia="en-US"/>
        </w:rPr>
        <w:t>інші розроблені для детального вивчення поточного стану здоров’я стоматологічного пацієнта та не врах</w:t>
      </w:r>
      <w:r w:rsidR="002A3A2F" w:rsidRPr="00520861">
        <w:rPr>
          <w:rFonts w:eastAsia="Calibri"/>
          <w:sz w:val="28"/>
          <w:szCs w:val="28"/>
          <w:lang w:eastAsia="en-US"/>
        </w:rPr>
        <w:t>овують його гігієнічних навичок </w:t>
      </w:r>
      <w:r w:rsidRPr="00520861">
        <w:rPr>
          <w:rFonts w:eastAsia="Calibri"/>
          <w:sz w:val="28"/>
          <w:szCs w:val="28"/>
          <w:lang w:eastAsia="en-US"/>
        </w:rPr>
        <w:t>[</w:t>
      </w:r>
      <w:r w:rsidR="00B94E32" w:rsidRPr="00520861">
        <w:rPr>
          <w:rFonts w:eastAsia="Calibri"/>
          <w:sz w:val="28"/>
          <w:szCs w:val="28"/>
          <w:lang w:eastAsia="en-US"/>
        </w:rPr>
        <w:t>448</w:t>
      </w:r>
      <w:r w:rsidRPr="00520861">
        <w:rPr>
          <w:rFonts w:eastAsia="Calibri"/>
          <w:sz w:val="28"/>
          <w:szCs w:val="28"/>
          <w:lang w:eastAsia="en-US"/>
        </w:rPr>
        <w:t>]</w:t>
      </w:r>
      <w:r w:rsidR="00E55839" w:rsidRPr="00520861">
        <w:rPr>
          <w:rFonts w:eastAsia="Calibri"/>
          <w:sz w:val="28"/>
          <w:szCs w:val="28"/>
          <w:lang w:eastAsia="en-US"/>
        </w:rPr>
        <w:t xml:space="preserve">. </w:t>
      </w:r>
      <w:r w:rsidRPr="00520861">
        <w:rPr>
          <w:rFonts w:eastAsia="Calibri"/>
          <w:sz w:val="28"/>
          <w:szCs w:val="28"/>
          <w:lang w:eastAsia="en-US"/>
        </w:rPr>
        <w:t xml:space="preserve">Деякі опитувальники охоплюють відомості про </w:t>
      </w:r>
      <w:proofErr w:type="spellStart"/>
      <w:r w:rsidRPr="00520861">
        <w:rPr>
          <w:rFonts w:eastAsia="Calibri"/>
          <w:sz w:val="28"/>
          <w:szCs w:val="28"/>
          <w:lang w:eastAsia="en-US"/>
        </w:rPr>
        <w:t>соціоекономічний</w:t>
      </w:r>
      <w:proofErr w:type="spellEnd"/>
      <w:r w:rsidRPr="00520861">
        <w:rPr>
          <w:rFonts w:eastAsia="Calibri"/>
          <w:sz w:val="28"/>
          <w:szCs w:val="28"/>
          <w:lang w:eastAsia="en-US"/>
        </w:rPr>
        <w:t xml:space="preserve"> статус, харчові вподобання, шкідливі звички, проведене раніше лікування зубів та гігієнічні навички обстежуваної особи</w:t>
      </w:r>
      <w:r w:rsidR="00174453" w:rsidRPr="00520861">
        <w:rPr>
          <w:rFonts w:eastAsia="Calibri"/>
          <w:sz w:val="28"/>
          <w:szCs w:val="28"/>
          <w:lang w:eastAsia="en-US"/>
        </w:rPr>
        <w:t xml:space="preserve"> </w:t>
      </w:r>
      <w:r w:rsidRPr="00520861">
        <w:rPr>
          <w:rFonts w:eastAsia="Calibri"/>
          <w:sz w:val="28"/>
          <w:szCs w:val="28"/>
          <w:lang w:eastAsia="en-US"/>
        </w:rPr>
        <w:t>[</w:t>
      </w:r>
      <w:r w:rsidR="00B94E32" w:rsidRPr="00520861">
        <w:rPr>
          <w:rFonts w:eastAsia="Calibri"/>
          <w:sz w:val="28"/>
          <w:szCs w:val="28"/>
          <w:lang w:eastAsia="en-US"/>
        </w:rPr>
        <w:t>259, 400</w:t>
      </w:r>
      <w:r w:rsidRPr="00520861">
        <w:rPr>
          <w:rFonts w:eastAsia="Calibri"/>
          <w:sz w:val="28"/>
          <w:szCs w:val="28"/>
          <w:lang w:eastAsia="en-US"/>
        </w:rPr>
        <w:t>].</w:t>
      </w:r>
    </w:p>
    <w:p w14:paraId="61021BAB" w14:textId="77777777" w:rsidR="005B2BAD" w:rsidRPr="00520861" w:rsidRDefault="006023B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Під егідою </w:t>
      </w:r>
      <w:r w:rsidR="007E2BAA" w:rsidRPr="00520861">
        <w:rPr>
          <w:rFonts w:eastAsia="Calibri"/>
          <w:sz w:val="28"/>
          <w:szCs w:val="28"/>
          <w:lang w:eastAsia="en-US"/>
        </w:rPr>
        <w:t>ВООЗ</w:t>
      </w:r>
      <w:r w:rsidR="00CE7D9F" w:rsidRPr="00520861">
        <w:rPr>
          <w:rFonts w:eastAsia="Calibri"/>
          <w:sz w:val="28"/>
          <w:szCs w:val="28"/>
          <w:lang w:eastAsia="en-US"/>
        </w:rPr>
        <w:t xml:space="preserve"> </w:t>
      </w:r>
      <w:r w:rsidR="005B2BAD" w:rsidRPr="00520861">
        <w:rPr>
          <w:rFonts w:eastAsia="Calibri"/>
          <w:sz w:val="28"/>
          <w:szCs w:val="28"/>
          <w:lang w:eastAsia="en-US"/>
        </w:rPr>
        <w:t xml:space="preserve">розроблені опитувальники для дітей і підлітків, а також для </w:t>
      </w:r>
      <w:r w:rsidR="005B2BAD" w:rsidRPr="00520861">
        <w:rPr>
          <w:rFonts w:eastAsia="Calibri"/>
          <w:sz w:val="28"/>
          <w:szCs w:val="28"/>
          <w:lang w:eastAsia="en-US"/>
        </w:rPr>
        <w:lastRenderedPageBreak/>
        <w:t>дорослих осіб, спрямовані на</w:t>
      </w:r>
      <w:r w:rsidR="00174453" w:rsidRPr="00520861">
        <w:rPr>
          <w:rFonts w:eastAsia="Calibri"/>
          <w:sz w:val="28"/>
          <w:szCs w:val="28"/>
          <w:lang w:eastAsia="en-US"/>
        </w:rPr>
        <w:t xml:space="preserve"> </w:t>
      </w:r>
      <w:r w:rsidR="005B2BAD" w:rsidRPr="00520861">
        <w:rPr>
          <w:rFonts w:eastAsia="Calibri"/>
          <w:sz w:val="28"/>
          <w:szCs w:val="28"/>
          <w:lang w:eastAsia="en-US"/>
        </w:rPr>
        <w:t>самооцінку стоматологічного здоров’я [</w:t>
      </w:r>
      <w:r w:rsidR="00B94E32" w:rsidRPr="00520861">
        <w:rPr>
          <w:rFonts w:eastAsia="Calibri"/>
          <w:sz w:val="28"/>
          <w:szCs w:val="28"/>
          <w:lang w:eastAsia="en-US"/>
        </w:rPr>
        <w:t>27</w:t>
      </w:r>
      <w:r w:rsidR="00B84C51" w:rsidRPr="00520861">
        <w:rPr>
          <w:rFonts w:eastAsia="Calibri"/>
          <w:sz w:val="28"/>
          <w:szCs w:val="28"/>
          <w:lang w:eastAsia="en-US"/>
        </w:rPr>
        <w:t xml:space="preserve">]. </w:t>
      </w:r>
      <w:r w:rsidR="002A3A2F" w:rsidRPr="00520861">
        <w:rPr>
          <w:rFonts w:eastAsia="Calibri"/>
          <w:sz w:val="28"/>
          <w:szCs w:val="28"/>
          <w:lang w:eastAsia="en-US"/>
        </w:rPr>
        <w:t>У них у</w:t>
      </w:r>
      <w:r w:rsidR="005B2BAD" w:rsidRPr="00520861">
        <w:rPr>
          <w:rFonts w:eastAsia="Calibri"/>
          <w:sz w:val="28"/>
          <w:szCs w:val="28"/>
          <w:lang w:eastAsia="en-US"/>
        </w:rPr>
        <w:t>раховується стан стоматологічного здоров’я, гігієнічні навички, харчові вподобання та соціальний статус респондентів, проте базові версії опитувальни</w:t>
      </w:r>
      <w:r w:rsidR="009D55B6" w:rsidRPr="00520861">
        <w:rPr>
          <w:rFonts w:eastAsia="Calibri"/>
          <w:sz w:val="28"/>
          <w:szCs w:val="28"/>
          <w:lang w:eastAsia="en-US"/>
        </w:rPr>
        <w:t xml:space="preserve">ків не висвітлюють стан </w:t>
      </w:r>
      <w:r w:rsidR="005B2BAD" w:rsidRPr="00520861">
        <w:rPr>
          <w:rFonts w:eastAsia="Calibri"/>
          <w:sz w:val="28"/>
          <w:szCs w:val="28"/>
          <w:lang w:eastAsia="en-US"/>
        </w:rPr>
        <w:t xml:space="preserve">соматичного здоров’я та особливості антенатального розвитку опитаних осіб. </w:t>
      </w:r>
    </w:p>
    <w:p w14:paraId="28EC6B0E" w14:textId="77777777" w:rsidR="005B2BAD" w:rsidRPr="00520861" w:rsidRDefault="005B2BAD" w:rsidP="00292D2E">
      <w:pPr>
        <w:widowControl w:val="0"/>
        <w:spacing w:line="360" w:lineRule="auto"/>
        <w:ind w:firstLine="708"/>
        <w:jc w:val="both"/>
        <w:rPr>
          <w:rFonts w:eastAsia="Calibri"/>
          <w:spacing w:val="-6"/>
          <w:sz w:val="28"/>
          <w:szCs w:val="28"/>
          <w:lang w:eastAsia="en-US"/>
        </w:rPr>
      </w:pPr>
      <w:r w:rsidRPr="00520861">
        <w:rPr>
          <w:rFonts w:eastAsia="Calibri"/>
          <w:sz w:val="28"/>
          <w:szCs w:val="28"/>
          <w:lang w:eastAsia="en-US"/>
        </w:rPr>
        <w:t>Існують «інструменти дослідження», які, н</w:t>
      </w:r>
      <w:r w:rsidR="00B84C51" w:rsidRPr="00520861">
        <w:rPr>
          <w:rFonts w:eastAsia="Calibri"/>
          <w:sz w:val="28"/>
          <w:szCs w:val="28"/>
          <w:lang w:eastAsia="en-US"/>
        </w:rPr>
        <w:t xml:space="preserve">авпаки, приділяють увагу стану </w:t>
      </w:r>
      <w:r w:rsidRPr="00520861">
        <w:rPr>
          <w:rFonts w:eastAsia="Calibri"/>
          <w:sz w:val="28"/>
          <w:szCs w:val="28"/>
          <w:lang w:eastAsia="en-US"/>
        </w:rPr>
        <w:t xml:space="preserve">соматичного здоров’я, оцінюють гігієнічні навички, харчові вподобання та соціальний статус респондентів, ураховують деякі особливості антенатального розвитку </w:t>
      </w:r>
      <w:r w:rsidRPr="00520861">
        <w:rPr>
          <w:rFonts w:eastAsia="Calibri"/>
          <w:spacing w:val="-2"/>
          <w:sz w:val="28"/>
          <w:szCs w:val="28"/>
          <w:lang w:eastAsia="en-US"/>
        </w:rPr>
        <w:t xml:space="preserve">опитуваних осіб. </w:t>
      </w:r>
      <w:r w:rsidRPr="00520861">
        <w:rPr>
          <w:rFonts w:eastAsia="Calibri"/>
          <w:spacing w:val="-6"/>
          <w:sz w:val="28"/>
          <w:szCs w:val="28"/>
          <w:lang w:eastAsia="en-US"/>
        </w:rPr>
        <w:t>Проте такі опитувальники</w:t>
      </w:r>
      <w:r w:rsidR="00174453" w:rsidRPr="00520861">
        <w:rPr>
          <w:rFonts w:eastAsia="Calibri"/>
          <w:spacing w:val="-6"/>
          <w:sz w:val="28"/>
          <w:szCs w:val="28"/>
          <w:lang w:eastAsia="en-US"/>
        </w:rPr>
        <w:t xml:space="preserve"> </w:t>
      </w:r>
      <w:r w:rsidRPr="00520861">
        <w:rPr>
          <w:rFonts w:eastAsia="Calibri"/>
          <w:spacing w:val="-6"/>
          <w:sz w:val="28"/>
          <w:szCs w:val="28"/>
          <w:lang w:eastAsia="en-US"/>
        </w:rPr>
        <w:t>здебільшого створені для опитування тільки дітей і в них не приділяється увага поточному стану стоматологічного здоров’я [</w:t>
      </w:r>
      <w:r w:rsidR="00742640" w:rsidRPr="00520861">
        <w:rPr>
          <w:rFonts w:eastAsia="Calibri"/>
          <w:spacing w:val="-6"/>
          <w:sz w:val="28"/>
          <w:szCs w:val="28"/>
          <w:lang w:eastAsia="en-US"/>
        </w:rPr>
        <w:t>527</w:t>
      </w:r>
      <w:r w:rsidRPr="00520861">
        <w:rPr>
          <w:rFonts w:eastAsia="Calibri"/>
          <w:spacing w:val="-6"/>
          <w:sz w:val="28"/>
          <w:szCs w:val="28"/>
          <w:lang w:eastAsia="en-US"/>
        </w:rPr>
        <w:t>].</w:t>
      </w:r>
    </w:p>
    <w:p w14:paraId="10D3BC33" w14:textId="77777777" w:rsidR="005B2BAD" w:rsidRPr="00520861" w:rsidRDefault="005B2BAD" w:rsidP="00292D2E">
      <w:pPr>
        <w:widowControl w:val="0"/>
        <w:shd w:val="clear" w:color="auto" w:fill="FFFFFF"/>
        <w:spacing w:line="360" w:lineRule="auto"/>
        <w:ind w:firstLine="708"/>
        <w:jc w:val="both"/>
        <w:rPr>
          <w:rFonts w:eastAsia="Calibri"/>
          <w:sz w:val="28"/>
          <w:szCs w:val="28"/>
          <w:lang w:eastAsia="en-US"/>
        </w:rPr>
      </w:pPr>
      <w:r w:rsidRPr="00520861">
        <w:rPr>
          <w:rFonts w:eastAsia="Calibri"/>
          <w:sz w:val="28"/>
          <w:szCs w:val="28"/>
          <w:lang w:eastAsia="en-US"/>
        </w:rPr>
        <w:t>На стоматологічний статус дітей і осіб дорослого віку може впливати безліч факторів. Це і спадковість [</w:t>
      </w:r>
      <w:r w:rsidR="00742640" w:rsidRPr="00520861">
        <w:rPr>
          <w:rFonts w:eastAsia="Calibri"/>
          <w:sz w:val="28"/>
          <w:szCs w:val="28"/>
          <w:lang w:eastAsia="en-US"/>
        </w:rPr>
        <w:t>430</w:t>
      </w:r>
      <w:r w:rsidRPr="00520861">
        <w:rPr>
          <w:rFonts w:eastAsia="Calibri"/>
          <w:sz w:val="28"/>
          <w:szCs w:val="28"/>
          <w:lang w:eastAsia="en-US"/>
        </w:rPr>
        <w:t>], і наявність супутньої патології [</w:t>
      </w:r>
      <w:r w:rsidR="00742640" w:rsidRPr="00520861">
        <w:rPr>
          <w:rFonts w:eastAsia="Calibri"/>
          <w:sz w:val="28"/>
          <w:szCs w:val="28"/>
          <w:lang w:eastAsia="en-US"/>
        </w:rPr>
        <w:t>224, 377</w:t>
      </w:r>
      <w:r w:rsidRPr="00520861">
        <w:rPr>
          <w:rFonts w:eastAsia="Calibri"/>
          <w:sz w:val="28"/>
          <w:szCs w:val="28"/>
          <w:lang w:eastAsia="en-US"/>
        </w:rPr>
        <w:t>], і необхідність уживання лікарських препаратів [</w:t>
      </w:r>
      <w:r w:rsidR="00742640" w:rsidRPr="00520861">
        <w:rPr>
          <w:rFonts w:eastAsia="Calibri"/>
          <w:sz w:val="28"/>
          <w:szCs w:val="28"/>
          <w:lang w:eastAsia="en-US"/>
        </w:rPr>
        <w:t>383</w:t>
      </w:r>
      <w:r w:rsidRPr="00520861">
        <w:rPr>
          <w:rFonts w:eastAsia="Calibri"/>
          <w:sz w:val="28"/>
          <w:szCs w:val="28"/>
          <w:lang w:eastAsia="en-US"/>
        </w:rPr>
        <w:t>], і рі</w:t>
      </w:r>
      <w:r w:rsidR="002A3A2F" w:rsidRPr="00520861">
        <w:rPr>
          <w:rFonts w:eastAsia="Calibri"/>
          <w:sz w:val="28"/>
          <w:szCs w:val="28"/>
          <w:lang w:eastAsia="en-US"/>
        </w:rPr>
        <w:t xml:space="preserve">вень гігієнічних знань </w:t>
      </w:r>
      <w:r w:rsidR="007C6FBE" w:rsidRPr="00520861">
        <w:rPr>
          <w:rFonts w:eastAsia="Calibri"/>
          <w:sz w:val="28"/>
          <w:szCs w:val="28"/>
          <w:lang w:eastAsia="en-US"/>
        </w:rPr>
        <w:br/>
      </w:r>
      <w:r w:rsidR="002A3A2F" w:rsidRPr="00520861">
        <w:rPr>
          <w:rFonts w:eastAsia="Calibri"/>
          <w:sz w:val="28"/>
          <w:szCs w:val="28"/>
          <w:lang w:eastAsia="en-US"/>
        </w:rPr>
        <w:t>та вмінь </w:t>
      </w:r>
      <w:r w:rsidRPr="00520861">
        <w:rPr>
          <w:rFonts w:eastAsia="Calibri"/>
          <w:sz w:val="28"/>
          <w:szCs w:val="28"/>
          <w:lang w:eastAsia="en-US"/>
        </w:rPr>
        <w:t>[</w:t>
      </w:r>
      <w:r w:rsidR="00742640" w:rsidRPr="00520861">
        <w:rPr>
          <w:rFonts w:eastAsia="Calibri"/>
          <w:sz w:val="28"/>
          <w:szCs w:val="28"/>
          <w:lang w:eastAsia="en-US"/>
        </w:rPr>
        <w:t>541</w:t>
      </w:r>
      <w:r w:rsidR="002A3A2F" w:rsidRPr="00520861">
        <w:rPr>
          <w:rFonts w:eastAsia="Calibri"/>
          <w:sz w:val="28"/>
          <w:szCs w:val="28"/>
          <w:lang w:eastAsia="en-US"/>
        </w:rPr>
        <w:t>], й</w:t>
      </w:r>
      <w:r w:rsidRPr="00520861">
        <w:rPr>
          <w:rFonts w:eastAsia="Calibri"/>
          <w:sz w:val="28"/>
          <w:szCs w:val="28"/>
          <w:lang w:eastAsia="en-US"/>
        </w:rPr>
        <w:t xml:space="preserve"> особливості харчування [</w:t>
      </w:r>
      <w:r w:rsidR="00742640" w:rsidRPr="00520861">
        <w:rPr>
          <w:rFonts w:eastAsia="Calibri"/>
          <w:sz w:val="28"/>
          <w:szCs w:val="28"/>
          <w:lang w:eastAsia="en-US"/>
        </w:rPr>
        <w:t>494</w:t>
      </w:r>
      <w:r w:rsidRPr="00520861">
        <w:rPr>
          <w:rFonts w:eastAsia="Calibri"/>
          <w:sz w:val="28"/>
          <w:szCs w:val="28"/>
          <w:lang w:eastAsia="en-US"/>
        </w:rPr>
        <w:t>], і наявність шкідливих звичок [</w:t>
      </w:r>
      <w:r w:rsidR="00742640" w:rsidRPr="00520861">
        <w:rPr>
          <w:rFonts w:eastAsia="Calibri"/>
          <w:sz w:val="28"/>
          <w:szCs w:val="28"/>
          <w:lang w:eastAsia="en-US"/>
        </w:rPr>
        <w:t>372</w:t>
      </w:r>
      <w:r w:rsidRPr="00520861">
        <w:rPr>
          <w:rFonts w:eastAsia="Calibri"/>
          <w:sz w:val="28"/>
          <w:szCs w:val="28"/>
          <w:lang w:eastAsia="en-US"/>
        </w:rPr>
        <w:t>] та численний перелік інших факторів. Беззаперечним фактом є залежність активності каріоз</w:t>
      </w:r>
      <w:r w:rsidR="00F20D17" w:rsidRPr="00520861">
        <w:rPr>
          <w:rFonts w:eastAsia="Calibri"/>
          <w:sz w:val="28"/>
          <w:szCs w:val="28"/>
          <w:lang w:eastAsia="en-US"/>
        </w:rPr>
        <w:t>ного процесу у</w:t>
      </w:r>
      <w:r w:rsidRPr="00520861">
        <w:rPr>
          <w:rFonts w:eastAsia="Calibri"/>
          <w:sz w:val="28"/>
          <w:szCs w:val="28"/>
          <w:lang w:eastAsia="en-US"/>
        </w:rPr>
        <w:t xml:space="preserve"> дітей від тривалості грудного вигодовування, віку початку </w:t>
      </w:r>
      <w:r w:rsidR="007C6FBE" w:rsidRPr="00520861">
        <w:rPr>
          <w:rFonts w:eastAsia="Calibri"/>
          <w:sz w:val="28"/>
          <w:szCs w:val="28"/>
          <w:lang w:eastAsia="en-US"/>
        </w:rPr>
        <w:br/>
      </w:r>
      <w:r w:rsidRPr="00520861">
        <w:rPr>
          <w:rFonts w:eastAsia="Calibri"/>
          <w:sz w:val="28"/>
          <w:szCs w:val="28"/>
          <w:lang w:eastAsia="en-US"/>
        </w:rPr>
        <w:t xml:space="preserve">та кратності чищення зубів, а також від стану </w:t>
      </w:r>
      <w:r w:rsidR="002826E4" w:rsidRPr="00520861">
        <w:rPr>
          <w:rFonts w:eastAsia="Calibri"/>
          <w:sz w:val="28"/>
          <w:szCs w:val="28"/>
          <w:lang w:eastAsia="en-US"/>
        </w:rPr>
        <w:t>ПР</w:t>
      </w:r>
      <w:r w:rsidRPr="00520861">
        <w:rPr>
          <w:rFonts w:eastAsia="Calibri"/>
          <w:sz w:val="28"/>
          <w:szCs w:val="28"/>
          <w:lang w:eastAsia="en-US"/>
        </w:rPr>
        <w:t xml:space="preserve"> батьків [</w:t>
      </w:r>
      <w:r w:rsidR="00742640" w:rsidRPr="00520861">
        <w:rPr>
          <w:rFonts w:eastAsia="Calibri"/>
          <w:sz w:val="28"/>
          <w:szCs w:val="28"/>
          <w:lang w:eastAsia="en-US"/>
        </w:rPr>
        <w:t>227</w:t>
      </w:r>
      <w:r w:rsidRPr="00520861">
        <w:rPr>
          <w:rFonts w:eastAsia="Calibri"/>
          <w:sz w:val="28"/>
          <w:szCs w:val="28"/>
          <w:lang w:eastAsia="en-US"/>
        </w:rPr>
        <w:t>] та їх гігієнічних навичок [</w:t>
      </w:r>
      <w:r w:rsidR="00742640" w:rsidRPr="00520861">
        <w:rPr>
          <w:rFonts w:eastAsia="Calibri"/>
          <w:sz w:val="28"/>
          <w:szCs w:val="28"/>
          <w:lang w:eastAsia="en-US"/>
        </w:rPr>
        <w:t>268</w:t>
      </w:r>
      <w:r w:rsidRPr="00520861">
        <w:rPr>
          <w:rFonts w:eastAsia="Calibri"/>
          <w:sz w:val="28"/>
          <w:szCs w:val="28"/>
          <w:lang w:eastAsia="en-US"/>
        </w:rPr>
        <w:t>].</w:t>
      </w:r>
      <w:r w:rsidRPr="00520861">
        <w:rPr>
          <w:color w:val="FF0000"/>
          <w:sz w:val="28"/>
          <w:szCs w:val="28"/>
        </w:rPr>
        <w:t xml:space="preserve"> </w:t>
      </w:r>
      <w:r w:rsidR="002A3A2F" w:rsidRPr="00520861">
        <w:rPr>
          <w:sz w:val="28"/>
          <w:szCs w:val="28"/>
        </w:rPr>
        <w:t>Паління чи навіть</w:t>
      </w:r>
      <w:r w:rsidRPr="00520861">
        <w:rPr>
          <w:sz w:val="28"/>
          <w:szCs w:val="28"/>
        </w:rPr>
        <w:t xml:space="preserve"> обмежена рухова активність (гіподинамія) батьків </w:t>
      </w:r>
      <w:r w:rsidR="00567946" w:rsidRPr="00520861">
        <w:rPr>
          <w:sz w:val="28"/>
          <w:szCs w:val="28"/>
        </w:rPr>
        <w:br/>
      </w:r>
      <w:r w:rsidRPr="00520861">
        <w:rPr>
          <w:sz w:val="28"/>
          <w:szCs w:val="28"/>
        </w:rPr>
        <w:t>можуть мати вплив на терміни прорізування зубів у дітей [</w:t>
      </w:r>
      <w:r w:rsidR="00742640" w:rsidRPr="00520861">
        <w:rPr>
          <w:sz w:val="28"/>
          <w:szCs w:val="28"/>
        </w:rPr>
        <w:t>450</w:t>
      </w:r>
      <w:r w:rsidRPr="00520861">
        <w:rPr>
          <w:sz w:val="28"/>
          <w:szCs w:val="28"/>
        </w:rPr>
        <w:t>].</w:t>
      </w:r>
    </w:p>
    <w:p w14:paraId="25E7A847" w14:textId="77777777" w:rsidR="005B2BAD" w:rsidRPr="00520861" w:rsidRDefault="005B2BAD"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Численні </w:t>
      </w:r>
      <w:proofErr w:type="spellStart"/>
      <w:r w:rsidR="00494793" w:rsidRPr="00520861">
        <w:rPr>
          <w:sz w:val="28"/>
          <w:szCs w:val="28"/>
        </w:rPr>
        <w:t>СтП</w:t>
      </w:r>
      <w:proofErr w:type="spellEnd"/>
      <w:r w:rsidR="00CE1A1E" w:rsidRPr="00520861">
        <w:rPr>
          <w:rFonts w:eastAsia="Calibri"/>
          <w:sz w:val="28"/>
          <w:szCs w:val="28"/>
          <w:lang w:eastAsia="en-US"/>
        </w:rPr>
        <w:t>, які виникають в</w:t>
      </w:r>
      <w:r w:rsidRPr="00520861">
        <w:rPr>
          <w:rFonts w:eastAsia="Calibri"/>
          <w:sz w:val="28"/>
          <w:szCs w:val="28"/>
          <w:lang w:eastAsia="en-US"/>
        </w:rPr>
        <w:t xml:space="preserve"> осіб, чиї параметри при народженні були оцінені як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w:t>
      </w:r>
      <w:r w:rsidR="00DD2AEF" w:rsidRPr="00520861">
        <w:rPr>
          <w:rFonts w:eastAsia="Calibri"/>
          <w:sz w:val="28"/>
          <w:szCs w:val="28"/>
          <w:lang w:eastAsia="en-US"/>
        </w:rPr>
        <w:t xml:space="preserve">є віддзеркаленням стану </w:t>
      </w:r>
      <w:r w:rsidRPr="00520861">
        <w:rPr>
          <w:rFonts w:eastAsia="Calibri"/>
          <w:sz w:val="28"/>
          <w:szCs w:val="28"/>
          <w:lang w:eastAsia="en-US"/>
        </w:rPr>
        <w:t xml:space="preserve">соматичного здоров’я таких осіб. </w:t>
      </w:r>
      <w:r w:rsidR="00CE1A1E" w:rsidRPr="00520861">
        <w:rPr>
          <w:rFonts w:eastAsia="Calibri"/>
          <w:sz w:val="28"/>
          <w:szCs w:val="28"/>
          <w:lang w:eastAsia="en-US"/>
        </w:rPr>
        <w:br/>
      </w:r>
      <w:r w:rsidRPr="00520861">
        <w:rPr>
          <w:rFonts w:eastAsia="Calibri"/>
          <w:sz w:val="28"/>
          <w:szCs w:val="28"/>
          <w:lang w:eastAsia="en-US"/>
        </w:rPr>
        <w:t xml:space="preserve">Актуальним, на наш погляд, є пошук відповіді на питання про те, чи існує залежність стану стоматологічного здоров’я </w:t>
      </w:r>
      <w:r w:rsidR="00455B9B" w:rsidRPr="00520861">
        <w:rPr>
          <w:rFonts w:eastAsia="Calibri"/>
          <w:sz w:val="28"/>
          <w:szCs w:val="28"/>
          <w:lang w:eastAsia="en-US"/>
        </w:rPr>
        <w:t xml:space="preserve">осіб, які народилися з </w:t>
      </w:r>
      <w:proofErr w:type="spellStart"/>
      <w:r w:rsidR="00455B9B" w:rsidRPr="00520861">
        <w:rPr>
          <w:rFonts w:eastAsia="Calibri"/>
          <w:sz w:val="28"/>
          <w:szCs w:val="28"/>
          <w:lang w:eastAsia="en-US"/>
        </w:rPr>
        <w:t>макросомією</w:t>
      </w:r>
      <w:proofErr w:type="spellEnd"/>
      <w:r w:rsidR="00455B9B" w:rsidRPr="00520861">
        <w:rPr>
          <w:rFonts w:eastAsia="Calibri"/>
          <w:sz w:val="28"/>
          <w:szCs w:val="28"/>
          <w:lang w:eastAsia="en-US"/>
        </w:rPr>
        <w:t xml:space="preserve"> </w:t>
      </w:r>
      <w:r w:rsidRPr="00520861">
        <w:rPr>
          <w:rFonts w:eastAsia="Calibri"/>
          <w:sz w:val="28"/>
          <w:szCs w:val="28"/>
          <w:lang w:eastAsia="en-US"/>
        </w:rPr>
        <w:t xml:space="preserve">від їх </w:t>
      </w:r>
      <w:r w:rsidR="00EC41B5" w:rsidRPr="00520861">
        <w:rPr>
          <w:rFonts w:eastAsia="Calibri"/>
          <w:sz w:val="28"/>
          <w:szCs w:val="28"/>
          <w:lang w:eastAsia="en-US"/>
        </w:rPr>
        <w:t>ВУ</w:t>
      </w:r>
      <w:r w:rsidRPr="00520861">
        <w:rPr>
          <w:rFonts w:eastAsia="Calibri"/>
          <w:sz w:val="28"/>
          <w:szCs w:val="28"/>
          <w:lang w:eastAsia="en-US"/>
        </w:rPr>
        <w:t xml:space="preserve"> розвитку (гармонійного розвитку та набору маси тіла, </w:t>
      </w:r>
      <w:r w:rsidR="00EC41B5" w:rsidRPr="00520861">
        <w:rPr>
          <w:rFonts w:eastAsia="Calibri"/>
          <w:sz w:val="28"/>
          <w:szCs w:val="28"/>
          <w:lang w:eastAsia="en-US"/>
        </w:rPr>
        <w:t xml:space="preserve">ВУ </w:t>
      </w:r>
      <w:r w:rsidRPr="00520861">
        <w:rPr>
          <w:rFonts w:eastAsia="Calibri"/>
          <w:sz w:val="28"/>
          <w:szCs w:val="28"/>
          <w:lang w:eastAsia="en-US"/>
        </w:rPr>
        <w:t xml:space="preserve">ожиріння, відносної </w:t>
      </w:r>
      <w:r w:rsidR="00567946" w:rsidRPr="00520861">
        <w:rPr>
          <w:rFonts w:eastAsia="Calibri"/>
          <w:sz w:val="28"/>
          <w:szCs w:val="28"/>
          <w:lang w:eastAsia="en-US"/>
        </w:rPr>
        <w:br/>
      </w:r>
      <w:r w:rsidRPr="00520861">
        <w:rPr>
          <w:rFonts w:eastAsia="Calibri"/>
          <w:sz w:val="28"/>
          <w:szCs w:val="28"/>
          <w:lang w:eastAsia="en-US"/>
        </w:rPr>
        <w:t>недостатності маси тіла), чи, навпаки, більшою мірою за незадовільний стан стоматологічного здоров’я такі особи мають «завдячувати» батьківським патолог</w:t>
      </w:r>
      <w:r w:rsidR="00DD2AEF" w:rsidRPr="00520861">
        <w:rPr>
          <w:rFonts w:eastAsia="Calibri"/>
          <w:sz w:val="28"/>
          <w:szCs w:val="28"/>
          <w:lang w:eastAsia="en-US"/>
        </w:rPr>
        <w:t xml:space="preserve">іям тканин </w:t>
      </w:r>
      <w:proofErr w:type="spellStart"/>
      <w:r w:rsidR="00DD2AEF" w:rsidRPr="00520861">
        <w:rPr>
          <w:rFonts w:eastAsia="Calibri"/>
          <w:sz w:val="28"/>
          <w:szCs w:val="28"/>
          <w:lang w:eastAsia="en-US"/>
        </w:rPr>
        <w:t>пародонта</w:t>
      </w:r>
      <w:proofErr w:type="spellEnd"/>
      <w:r w:rsidRPr="00520861">
        <w:rPr>
          <w:rFonts w:eastAsia="Calibri"/>
          <w:sz w:val="28"/>
          <w:szCs w:val="28"/>
          <w:lang w:eastAsia="en-US"/>
        </w:rPr>
        <w:t xml:space="preserve"> та твердих тканин зубів, порушенням оклюзії, супутній патології, фізичному навантаженню перед вагітністю та під час вагітності, а також шкідливим </w:t>
      </w:r>
      <w:r w:rsidR="003049AD" w:rsidRPr="00520861">
        <w:rPr>
          <w:rFonts w:eastAsia="Calibri"/>
          <w:sz w:val="28"/>
          <w:szCs w:val="28"/>
          <w:lang w:eastAsia="en-US"/>
        </w:rPr>
        <w:br/>
      </w:r>
      <w:r w:rsidRPr="00520861">
        <w:rPr>
          <w:rFonts w:eastAsia="Calibri"/>
          <w:sz w:val="28"/>
          <w:szCs w:val="28"/>
          <w:lang w:eastAsia="en-US"/>
        </w:rPr>
        <w:t xml:space="preserve">звичкам. Або ж на формування </w:t>
      </w:r>
      <w:proofErr w:type="spellStart"/>
      <w:r w:rsidR="00494793" w:rsidRPr="00520861">
        <w:rPr>
          <w:rFonts w:eastAsia="Calibri"/>
          <w:sz w:val="28"/>
          <w:szCs w:val="28"/>
          <w:lang w:eastAsia="en-US"/>
        </w:rPr>
        <w:t>СтП</w:t>
      </w:r>
      <w:proofErr w:type="spellEnd"/>
      <w:r w:rsidRPr="00520861">
        <w:rPr>
          <w:rFonts w:eastAsia="Calibri"/>
          <w:sz w:val="28"/>
          <w:szCs w:val="28"/>
          <w:lang w:eastAsia="en-US"/>
        </w:rPr>
        <w:t xml:space="preserve">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мають першочерговий вплив рівень гігієни їхньої власної </w:t>
      </w:r>
      <w:r w:rsidR="002826E4" w:rsidRPr="00520861">
        <w:rPr>
          <w:rFonts w:eastAsia="Calibri"/>
          <w:sz w:val="28"/>
          <w:szCs w:val="28"/>
          <w:lang w:eastAsia="en-US"/>
        </w:rPr>
        <w:t>ПР</w:t>
      </w:r>
      <w:r w:rsidRPr="00520861">
        <w:rPr>
          <w:rFonts w:eastAsia="Calibri"/>
          <w:sz w:val="28"/>
          <w:szCs w:val="28"/>
          <w:lang w:eastAsia="en-US"/>
        </w:rPr>
        <w:t>, шкідливі звички, характер харчування та медикаментозної терапії, фізичне навантаження та стресові чинники.</w:t>
      </w:r>
    </w:p>
    <w:p w14:paraId="432F64AA"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Універсальних опитувальників, які б оцінювали як загальний стан здоров’я, так і специфіку певних нозологічних форм, наразі не існує. Наявні на цей момент </w:t>
      </w:r>
      <w:r w:rsidR="007C6FBE" w:rsidRPr="00520861">
        <w:rPr>
          <w:rFonts w:eastAsia="Calibri"/>
          <w:sz w:val="28"/>
          <w:szCs w:val="28"/>
          <w:lang w:eastAsia="en-US"/>
        </w:rPr>
        <w:br/>
      </w:r>
      <w:r w:rsidRPr="00520861">
        <w:rPr>
          <w:rFonts w:eastAsia="Calibri"/>
          <w:sz w:val="28"/>
          <w:szCs w:val="28"/>
          <w:lang w:eastAsia="en-US"/>
        </w:rPr>
        <w:t xml:space="preserve">діагностичні тести не дозволяють отримати повну картину скарг і даних анамнезу осіб, які мали </w:t>
      </w:r>
      <w:proofErr w:type="spellStart"/>
      <w:r w:rsidRPr="00520861">
        <w:rPr>
          <w:rFonts w:eastAsia="Calibri"/>
          <w:sz w:val="28"/>
          <w:szCs w:val="28"/>
          <w:lang w:eastAsia="en-US"/>
        </w:rPr>
        <w:t>перинатальну</w:t>
      </w:r>
      <w:proofErr w:type="spellEnd"/>
      <w:r w:rsidRPr="00520861">
        <w:rPr>
          <w:rFonts w:eastAsia="Calibri"/>
          <w:sz w:val="28"/>
          <w:szCs w:val="28"/>
          <w:lang w:eastAsia="en-US"/>
        </w:rPr>
        <w:t xml:space="preserve"> патологію та мають скарги стоматологічного характеру.</w:t>
      </w:r>
    </w:p>
    <w:p w14:paraId="0C35A26E"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Ураховуючи вищезазначене, до «інструменту» дослідження мають бути включені запитання, за допомогою яких можна було б максимально повно оцінити роль усіх перерахованих вище чинників та виділити найбільш значущі з них для </w:t>
      </w:r>
      <w:r w:rsidR="00567946" w:rsidRPr="00520861">
        <w:rPr>
          <w:rFonts w:eastAsia="Calibri"/>
          <w:sz w:val="28"/>
          <w:szCs w:val="28"/>
          <w:lang w:eastAsia="en-US"/>
        </w:rPr>
        <w:br/>
      </w:r>
      <w:r w:rsidRPr="00520861">
        <w:rPr>
          <w:rFonts w:eastAsia="Calibri"/>
          <w:sz w:val="28"/>
          <w:szCs w:val="28"/>
          <w:lang w:eastAsia="en-US"/>
        </w:rPr>
        <w:t xml:space="preserve">респондентів чи їхніх батьків. </w:t>
      </w:r>
    </w:p>
    <w:p w14:paraId="00A5132E" w14:textId="77777777" w:rsidR="0039268F" w:rsidRPr="00520861" w:rsidRDefault="00CD42C7" w:rsidP="00292D2E">
      <w:pPr>
        <w:widowControl w:val="0"/>
        <w:spacing w:line="360" w:lineRule="auto"/>
        <w:ind w:firstLine="708"/>
        <w:jc w:val="both"/>
        <w:rPr>
          <w:rFonts w:eastAsia="Calibri"/>
          <w:sz w:val="28"/>
          <w:szCs w:val="28"/>
          <w:lang w:eastAsia="en-US"/>
        </w:rPr>
      </w:pPr>
      <w:r w:rsidRPr="00520861">
        <w:rPr>
          <w:b/>
          <w:sz w:val="28"/>
          <w:szCs w:val="28"/>
        </w:rPr>
        <w:t>1.3.4</w:t>
      </w:r>
      <w:r w:rsidR="004769A2" w:rsidRPr="00520861">
        <w:rPr>
          <w:b/>
          <w:sz w:val="28"/>
          <w:szCs w:val="28"/>
        </w:rPr>
        <w:t>.</w:t>
      </w:r>
      <w:r w:rsidR="00EF657B" w:rsidRPr="00520861">
        <w:rPr>
          <w:b/>
          <w:sz w:val="28"/>
          <w:szCs w:val="28"/>
        </w:rPr>
        <w:t xml:space="preserve"> Клініко</w:t>
      </w:r>
      <w:r w:rsidR="005B2BAD" w:rsidRPr="00520861">
        <w:rPr>
          <w:b/>
          <w:sz w:val="28"/>
          <w:szCs w:val="28"/>
        </w:rPr>
        <w:t>-рет</w:t>
      </w:r>
      <w:r w:rsidR="0039268F" w:rsidRPr="00520861">
        <w:rPr>
          <w:b/>
          <w:sz w:val="28"/>
          <w:szCs w:val="28"/>
        </w:rPr>
        <w:t xml:space="preserve">роспективні методи дослідження. </w:t>
      </w:r>
      <w:r w:rsidR="005B2BAD" w:rsidRPr="00520861">
        <w:rPr>
          <w:rFonts w:eastAsia="Calibri"/>
          <w:sz w:val="28"/>
          <w:szCs w:val="28"/>
          <w:lang w:eastAsia="en-US"/>
        </w:rPr>
        <w:t>Ретроспективний (або історичний) метод дослідження є популярним серед науковців-стоматологів [</w:t>
      </w:r>
      <w:r w:rsidR="001D23EE" w:rsidRPr="00520861">
        <w:rPr>
          <w:rFonts w:eastAsia="Calibri"/>
          <w:sz w:val="28"/>
          <w:szCs w:val="28"/>
          <w:lang w:eastAsia="en-US"/>
        </w:rPr>
        <w:t>106, 177, 196</w:t>
      </w:r>
      <w:r w:rsidR="00CE1A1E" w:rsidRPr="00520861">
        <w:rPr>
          <w:rFonts w:eastAsia="Calibri"/>
          <w:sz w:val="28"/>
          <w:szCs w:val="28"/>
          <w:lang w:eastAsia="en-US"/>
        </w:rPr>
        <w:t>],</w:t>
      </w:r>
      <w:r w:rsidR="005B2BAD" w:rsidRPr="00520861">
        <w:rPr>
          <w:rFonts w:eastAsia="Calibri"/>
          <w:sz w:val="28"/>
          <w:szCs w:val="28"/>
          <w:lang w:eastAsia="en-US"/>
        </w:rPr>
        <w:t xml:space="preserve"> </w:t>
      </w:r>
      <w:r w:rsidR="00CE1A1E" w:rsidRPr="00520861">
        <w:rPr>
          <w:rFonts w:eastAsia="Calibri"/>
          <w:sz w:val="28"/>
          <w:szCs w:val="28"/>
          <w:lang w:eastAsia="en-US"/>
        </w:rPr>
        <w:t>б</w:t>
      </w:r>
      <w:r w:rsidR="00476C7C" w:rsidRPr="00520861">
        <w:rPr>
          <w:rFonts w:eastAsia="Calibri"/>
          <w:sz w:val="28"/>
          <w:szCs w:val="28"/>
          <w:lang w:eastAsia="en-US"/>
        </w:rPr>
        <w:t xml:space="preserve">о має значення повнота та об’єктивність медичної документації, яка аналізується. </w:t>
      </w:r>
      <w:r w:rsidR="00045AB8" w:rsidRPr="00520861">
        <w:rPr>
          <w:rFonts w:eastAsia="Calibri"/>
          <w:sz w:val="28"/>
          <w:szCs w:val="28"/>
          <w:lang w:eastAsia="en-US"/>
        </w:rPr>
        <w:t>Отже, р</w:t>
      </w:r>
      <w:r w:rsidR="005B2BAD" w:rsidRPr="00520861">
        <w:rPr>
          <w:rFonts w:eastAsia="Calibri"/>
          <w:sz w:val="28"/>
          <w:szCs w:val="28"/>
          <w:lang w:eastAsia="en-US"/>
        </w:rPr>
        <w:t>етроспективне дослідження, порівня</w:t>
      </w:r>
      <w:r w:rsidR="00CE1A1E" w:rsidRPr="00520861">
        <w:rPr>
          <w:rFonts w:eastAsia="Calibri"/>
          <w:sz w:val="28"/>
          <w:szCs w:val="28"/>
          <w:lang w:eastAsia="en-US"/>
        </w:rPr>
        <w:t>но з кліні</w:t>
      </w:r>
      <w:r w:rsidR="005B2BAD" w:rsidRPr="00520861">
        <w:rPr>
          <w:rFonts w:eastAsia="Calibri"/>
          <w:sz w:val="28"/>
          <w:szCs w:val="28"/>
          <w:lang w:eastAsia="en-US"/>
        </w:rPr>
        <w:t xml:space="preserve">чним, має окрему цінність, оскільки дає можливість обрати будь-яку глибину пошуку, охопити значно </w:t>
      </w:r>
      <w:r w:rsidR="00567946" w:rsidRPr="00520861">
        <w:rPr>
          <w:rFonts w:eastAsia="Calibri"/>
          <w:sz w:val="28"/>
          <w:szCs w:val="28"/>
          <w:lang w:eastAsia="en-US"/>
        </w:rPr>
        <w:br/>
      </w:r>
      <w:r w:rsidR="005B2BAD" w:rsidRPr="00520861">
        <w:rPr>
          <w:rFonts w:eastAsia="Calibri"/>
          <w:sz w:val="28"/>
          <w:szCs w:val="28"/>
          <w:lang w:eastAsia="en-US"/>
        </w:rPr>
        <w:t>більшу кількість вагомих, і навіть, на перший погл</w:t>
      </w:r>
      <w:r w:rsidR="002E78F0" w:rsidRPr="00520861">
        <w:rPr>
          <w:rFonts w:eastAsia="Calibri"/>
          <w:sz w:val="28"/>
          <w:szCs w:val="28"/>
          <w:lang w:eastAsia="en-US"/>
        </w:rPr>
        <w:t xml:space="preserve">яд, не дуже вагомих факторів, </w:t>
      </w:r>
      <w:r w:rsidR="005B2BAD" w:rsidRPr="00520861">
        <w:rPr>
          <w:rFonts w:eastAsia="Calibri"/>
          <w:sz w:val="28"/>
          <w:szCs w:val="28"/>
          <w:lang w:eastAsia="en-US"/>
        </w:rPr>
        <w:t>які впливали на об’єкт дослідження та протягом багатьох років були детально зафіксовані спеціалістами медичної сфери. Проте надзвичайно цінним є те, що, використовуючи історичні дані, є можливість одержати чітку картину проблеми, яка досліджується, ще перед початком власного клінічного дослідження [</w:t>
      </w:r>
      <w:r w:rsidR="001D23EE" w:rsidRPr="00520861">
        <w:rPr>
          <w:rFonts w:eastAsia="Calibri"/>
          <w:sz w:val="28"/>
          <w:szCs w:val="28"/>
          <w:lang w:eastAsia="en-US"/>
        </w:rPr>
        <w:t>25</w:t>
      </w:r>
      <w:r w:rsidR="005B2BAD" w:rsidRPr="00520861">
        <w:rPr>
          <w:rFonts w:eastAsia="Calibri"/>
          <w:sz w:val="28"/>
          <w:szCs w:val="28"/>
          <w:lang w:eastAsia="en-US"/>
        </w:rPr>
        <w:t xml:space="preserve">]. </w:t>
      </w:r>
    </w:p>
    <w:p w14:paraId="57DD8E8C"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Аналіз та математична обробка </w:t>
      </w:r>
      <w:proofErr w:type="spellStart"/>
      <w:r w:rsidRPr="00520861">
        <w:rPr>
          <w:rFonts w:eastAsia="Calibri"/>
          <w:sz w:val="28"/>
          <w:szCs w:val="28"/>
          <w:lang w:eastAsia="en-US"/>
        </w:rPr>
        <w:t>викопійованих</w:t>
      </w:r>
      <w:proofErr w:type="spellEnd"/>
      <w:r w:rsidRPr="00520861">
        <w:rPr>
          <w:rFonts w:eastAsia="Calibri"/>
          <w:sz w:val="28"/>
          <w:szCs w:val="28"/>
          <w:lang w:eastAsia="en-US"/>
        </w:rPr>
        <w:t xml:space="preserve"> з історій розвитку дітей ретроспективних відомостей про початок прорізування тимчасових зубів дозволяє одержати та оцінити значний об’єм фактичного матеріалу, а в</w:t>
      </w:r>
      <w:r w:rsidRPr="00520861">
        <w:rPr>
          <w:sz w:val="28"/>
          <w:szCs w:val="28"/>
        </w:rPr>
        <w:t xml:space="preserve">ідомості про відхилення від загальноприйнятих термінів прорізування тимчасових зубів підтверджують та розширюють дані клінічних досліджень та є підґрунтям для розробки програм </w:t>
      </w:r>
      <w:r w:rsidR="00567946" w:rsidRPr="00520861">
        <w:rPr>
          <w:sz w:val="28"/>
          <w:szCs w:val="28"/>
        </w:rPr>
        <w:br/>
      </w:r>
      <w:r w:rsidRPr="00520861">
        <w:rPr>
          <w:sz w:val="28"/>
          <w:szCs w:val="28"/>
        </w:rPr>
        <w:t xml:space="preserve">профілактики та визначення початку термінів лікування порушень </w:t>
      </w:r>
      <w:r w:rsidR="00486999" w:rsidRPr="00520861">
        <w:rPr>
          <w:sz w:val="28"/>
          <w:szCs w:val="28"/>
        </w:rPr>
        <w:t>ЩЛД</w:t>
      </w:r>
      <w:r w:rsidRPr="00520861">
        <w:rPr>
          <w:sz w:val="28"/>
          <w:szCs w:val="28"/>
        </w:rPr>
        <w:t>.</w:t>
      </w:r>
    </w:p>
    <w:p w14:paraId="69B26B99" w14:textId="77777777" w:rsidR="005B2BAD" w:rsidRPr="00520861" w:rsidRDefault="005B2BAD" w:rsidP="00292D2E">
      <w:pPr>
        <w:widowControl w:val="0"/>
        <w:spacing w:line="360" w:lineRule="auto"/>
        <w:ind w:firstLine="708"/>
        <w:jc w:val="both"/>
        <w:rPr>
          <w:rFonts w:eastAsia="Calibri"/>
          <w:spacing w:val="-1"/>
          <w:sz w:val="28"/>
          <w:szCs w:val="28"/>
          <w:lang w:eastAsia="en-US"/>
        </w:rPr>
      </w:pPr>
      <w:r w:rsidRPr="00520861">
        <w:rPr>
          <w:rFonts w:eastAsia="Calibri"/>
          <w:spacing w:val="-1"/>
          <w:sz w:val="28"/>
          <w:szCs w:val="28"/>
          <w:lang w:eastAsia="en-US"/>
        </w:rPr>
        <w:t xml:space="preserve">Донедавна стоматологічне лікування дітей відбувалось, здебільшого, у місцевому закладі охорони здоров’я, тому в історіях розвитку осіб 1992 року народження та старших зазначені не лише </w:t>
      </w:r>
      <w:r w:rsidR="00F53246" w:rsidRPr="00520861">
        <w:rPr>
          <w:rFonts w:eastAsia="Calibri"/>
          <w:spacing w:val="-1"/>
          <w:sz w:val="28"/>
          <w:szCs w:val="28"/>
          <w:lang w:eastAsia="en-US"/>
        </w:rPr>
        <w:t xml:space="preserve">МРП </w:t>
      </w:r>
      <w:r w:rsidRPr="00520861">
        <w:rPr>
          <w:rFonts w:eastAsia="Calibri"/>
          <w:spacing w:val="-1"/>
          <w:sz w:val="28"/>
          <w:szCs w:val="28"/>
          <w:lang w:eastAsia="en-US"/>
        </w:rPr>
        <w:t>при народженні, відомості про ста</w:t>
      </w:r>
      <w:r w:rsidR="00495072" w:rsidRPr="00520861">
        <w:rPr>
          <w:rFonts w:eastAsia="Calibri"/>
          <w:spacing w:val="-1"/>
          <w:sz w:val="28"/>
          <w:szCs w:val="28"/>
          <w:lang w:eastAsia="en-US"/>
        </w:rPr>
        <w:t xml:space="preserve">н фізичного розвитку та </w:t>
      </w:r>
      <w:r w:rsidR="00A50979" w:rsidRPr="00520861">
        <w:rPr>
          <w:rFonts w:eastAsia="Calibri"/>
          <w:spacing w:val="-1"/>
          <w:sz w:val="28"/>
          <w:szCs w:val="28"/>
          <w:lang w:eastAsia="en-US"/>
        </w:rPr>
        <w:t>соматичного</w:t>
      </w:r>
      <w:r w:rsidRPr="00520861">
        <w:rPr>
          <w:rFonts w:eastAsia="Calibri"/>
          <w:spacing w:val="-1"/>
          <w:sz w:val="28"/>
          <w:szCs w:val="28"/>
          <w:lang w:eastAsia="en-US"/>
        </w:rPr>
        <w:t xml:space="preserve"> здоров’я, а й дані щодо лікування карієсу та його ускладнень. Таким чином, використовуючи ці архівні відомості, маємо унікальну можливість установити </w:t>
      </w:r>
      <w:proofErr w:type="spellStart"/>
      <w:r w:rsidRPr="00520861">
        <w:rPr>
          <w:rFonts w:eastAsia="Calibri"/>
          <w:spacing w:val="-1"/>
          <w:sz w:val="28"/>
          <w:szCs w:val="28"/>
          <w:lang w:eastAsia="en-US"/>
        </w:rPr>
        <w:t>причино</w:t>
      </w:r>
      <w:r w:rsidR="00CE1A1E" w:rsidRPr="00520861">
        <w:rPr>
          <w:rFonts w:eastAsia="Calibri"/>
          <w:spacing w:val="-1"/>
          <w:sz w:val="28"/>
          <w:szCs w:val="28"/>
          <w:lang w:eastAsia="en-US"/>
        </w:rPr>
        <w:t>во</w:t>
      </w:r>
      <w:proofErr w:type="spellEnd"/>
      <w:r w:rsidRPr="00520861">
        <w:rPr>
          <w:rFonts w:eastAsia="Calibri"/>
          <w:spacing w:val="-1"/>
          <w:sz w:val="28"/>
          <w:szCs w:val="28"/>
          <w:lang w:eastAsia="en-US"/>
        </w:rPr>
        <w:t xml:space="preserve">-наслідковий зв’язок між формуванням </w:t>
      </w:r>
      <w:proofErr w:type="spellStart"/>
      <w:r w:rsidR="00494793" w:rsidRPr="00520861">
        <w:rPr>
          <w:rFonts w:eastAsia="Calibri"/>
          <w:spacing w:val="-1"/>
          <w:sz w:val="28"/>
          <w:szCs w:val="28"/>
          <w:lang w:eastAsia="en-US"/>
        </w:rPr>
        <w:t>СтП</w:t>
      </w:r>
      <w:proofErr w:type="spellEnd"/>
      <w:r w:rsidRPr="00520861">
        <w:rPr>
          <w:rFonts w:eastAsia="Calibri"/>
          <w:spacing w:val="-1"/>
          <w:sz w:val="28"/>
          <w:szCs w:val="28"/>
          <w:lang w:eastAsia="en-US"/>
        </w:rPr>
        <w:t xml:space="preserve"> серед обстежених </w:t>
      </w:r>
      <w:r w:rsidRPr="00520861">
        <w:rPr>
          <w:rFonts w:eastAsia="Calibri"/>
          <w:spacing w:val="-1"/>
          <w:sz w:val="28"/>
          <w:szCs w:val="28"/>
          <w:lang w:eastAsia="en-US"/>
        </w:rPr>
        <w:lastRenderedPageBreak/>
        <w:t>дітей і факторами ризику (особливостями стану здоров’я їх і навіть їхніх батьків).</w:t>
      </w:r>
    </w:p>
    <w:p w14:paraId="7CD6B09C" w14:textId="77777777" w:rsidR="0039268F"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Виходячи з вищевикладеного, ретроспективне визначення термінів прорізування тимчасових зубів, показників карієсу в дітей та підлітків, які були народжені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популяції Харківської області та прилеглих областей, має самостійну ці</w:t>
      </w:r>
      <w:r w:rsidR="0039268F" w:rsidRPr="00520861">
        <w:rPr>
          <w:rFonts w:eastAsia="Calibri"/>
          <w:sz w:val="28"/>
          <w:szCs w:val="28"/>
          <w:lang w:eastAsia="en-US"/>
        </w:rPr>
        <w:t>нність та є актуальною задачею.</w:t>
      </w:r>
    </w:p>
    <w:p w14:paraId="53423D51" w14:textId="77777777" w:rsidR="005B2BAD" w:rsidRPr="00520861" w:rsidRDefault="00CD42C7" w:rsidP="00292D2E">
      <w:pPr>
        <w:widowControl w:val="0"/>
        <w:spacing w:line="360" w:lineRule="auto"/>
        <w:ind w:firstLine="708"/>
        <w:jc w:val="both"/>
        <w:rPr>
          <w:rFonts w:eastAsia="Calibri"/>
          <w:sz w:val="28"/>
          <w:szCs w:val="28"/>
          <w:lang w:eastAsia="en-US"/>
        </w:rPr>
      </w:pPr>
      <w:r w:rsidRPr="00520861">
        <w:rPr>
          <w:b/>
          <w:sz w:val="28"/>
          <w:szCs w:val="28"/>
        </w:rPr>
        <w:t>1.3.5</w:t>
      </w:r>
      <w:r w:rsidR="004769A2" w:rsidRPr="00520861">
        <w:rPr>
          <w:b/>
          <w:sz w:val="28"/>
          <w:szCs w:val="28"/>
        </w:rPr>
        <w:t>.</w:t>
      </w:r>
      <w:r w:rsidR="0039268F" w:rsidRPr="00520861">
        <w:rPr>
          <w:b/>
          <w:sz w:val="28"/>
          <w:szCs w:val="28"/>
        </w:rPr>
        <w:t xml:space="preserve"> Біохімічні методи дослідження. </w:t>
      </w:r>
      <w:r w:rsidR="005B2BAD" w:rsidRPr="00520861">
        <w:rPr>
          <w:rFonts w:eastAsia="Calibri"/>
          <w:sz w:val="28"/>
          <w:szCs w:val="28"/>
          <w:lang w:eastAsia="en-US"/>
        </w:rPr>
        <w:t xml:space="preserve">Значні зусилля світової медичної </w:t>
      </w:r>
      <w:r w:rsidR="00A50979" w:rsidRPr="00520861">
        <w:rPr>
          <w:rFonts w:eastAsia="Calibri"/>
          <w:sz w:val="28"/>
          <w:szCs w:val="28"/>
          <w:lang w:eastAsia="en-US"/>
        </w:rPr>
        <w:br/>
      </w:r>
      <w:r w:rsidR="005B2BAD" w:rsidRPr="00520861">
        <w:rPr>
          <w:rFonts w:eastAsia="Calibri"/>
          <w:sz w:val="28"/>
          <w:szCs w:val="28"/>
          <w:lang w:eastAsia="en-US"/>
        </w:rPr>
        <w:t xml:space="preserve">спільноти спрямовані на превенцію основних стоматологічних захворювань. Попри це, поширеність їх є критично </w:t>
      </w:r>
      <w:r w:rsidR="00CE1A1E" w:rsidRPr="00520861">
        <w:rPr>
          <w:rFonts w:eastAsia="Calibri"/>
          <w:sz w:val="28"/>
          <w:szCs w:val="28"/>
          <w:lang w:eastAsia="en-US"/>
        </w:rPr>
        <w:t>високою </w:t>
      </w:r>
      <w:r w:rsidR="005B2BAD" w:rsidRPr="00520861">
        <w:rPr>
          <w:rFonts w:eastAsia="Calibri"/>
          <w:sz w:val="28"/>
          <w:szCs w:val="28"/>
          <w:lang w:eastAsia="en-US"/>
        </w:rPr>
        <w:t>[</w:t>
      </w:r>
      <w:r w:rsidR="001D23EE" w:rsidRPr="00520861">
        <w:rPr>
          <w:rFonts w:eastAsia="Calibri"/>
          <w:sz w:val="28"/>
          <w:szCs w:val="28"/>
          <w:lang w:eastAsia="en-US"/>
        </w:rPr>
        <w:t>4, 376</w:t>
      </w:r>
      <w:r w:rsidR="005B2BAD" w:rsidRPr="00520861">
        <w:rPr>
          <w:rFonts w:eastAsia="Calibri"/>
          <w:sz w:val="28"/>
          <w:szCs w:val="28"/>
          <w:lang w:eastAsia="en-US"/>
        </w:rPr>
        <w:t xml:space="preserve">]. </w:t>
      </w:r>
    </w:p>
    <w:p w14:paraId="2F3734F4" w14:textId="77777777" w:rsidR="005B2BAD" w:rsidRPr="00520861" w:rsidRDefault="00233F55" w:rsidP="00292D2E">
      <w:pPr>
        <w:widowControl w:val="0"/>
        <w:spacing w:line="360" w:lineRule="auto"/>
        <w:ind w:firstLine="708"/>
        <w:jc w:val="both"/>
        <w:rPr>
          <w:sz w:val="28"/>
          <w:szCs w:val="28"/>
        </w:rPr>
      </w:pPr>
      <w:r w:rsidRPr="00520861">
        <w:rPr>
          <w:sz w:val="28"/>
          <w:szCs w:val="28"/>
        </w:rPr>
        <w:t>Ротова рідина</w:t>
      </w:r>
      <w:r w:rsidR="005B2BAD" w:rsidRPr="00520861">
        <w:rPr>
          <w:sz w:val="28"/>
          <w:szCs w:val="28"/>
        </w:rPr>
        <w:t xml:space="preserve"> є </w:t>
      </w:r>
      <w:r w:rsidR="00EF12FE" w:rsidRPr="00520861">
        <w:rPr>
          <w:sz w:val="28"/>
          <w:szCs w:val="28"/>
        </w:rPr>
        <w:t>надійним маркером, який може дати</w:t>
      </w:r>
      <w:r w:rsidR="00CE1A1E" w:rsidRPr="00520861">
        <w:rPr>
          <w:sz w:val="28"/>
          <w:szCs w:val="28"/>
        </w:rPr>
        <w:t xml:space="preserve"> уявлення</w:t>
      </w:r>
      <w:r w:rsidR="005B2BAD" w:rsidRPr="00520861">
        <w:rPr>
          <w:sz w:val="28"/>
          <w:szCs w:val="28"/>
        </w:rPr>
        <w:t xml:space="preserve"> про схильність до різних системних та стоматологічних патологій, а динаміка її компонентів – ензимів, </w:t>
      </w:r>
      <w:proofErr w:type="spellStart"/>
      <w:r w:rsidR="005B2BAD" w:rsidRPr="00520861">
        <w:rPr>
          <w:sz w:val="28"/>
          <w:szCs w:val="28"/>
        </w:rPr>
        <w:t>імуноглобулінів</w:t>
      </w:r>
      <w:proofErr w:type="spellEnd"/>
      <w:r w:rsidR="005B2BAD" w:rsidRPr="00520861">
        <w:rPr>
          <w:sz w:val="28"/>
          <w:szCs w:val="28"/>
        </w:rPr>
        <w:t xml:space="preserve">, неорганічних речовин та іонів, а також їхній баланс – суттєво впливають на гомеостаз </w:t>
      </w:r>
      <w:r w:rsidR="002826E4" w:rsidRPr="00520861">
        <w:rPr>
          <w:sz w:val="28"/>
          <w:szCs w:val="28"/>
        </w:rPr>
        <w:t>ПР</w:t>
      </w:r>
      <w:r w:rsidR="005B2BAD" w:rsidRPr="00520861">
        <w:rPr>
          <w:sz w:val="28"/>
          <w:szCs w:val="28"/>
        </w:rPr>
        <w:t>. У свою чергу, відхилення у фізіологічних рівнях компо</w:t>
      </w:r>
      <w:r w:rsidR="001C5101" w:rsidRPr="00520861">
        <w:rPr>
          <w:sz w:val="28"/>
          <w:szCs w:val="28"/>
        </w:rPr>
        <w:t>нентів слини – фактор, здатний в</w:t>
      </w:r>
      <w:r w:rsidR="005B2BAD" w:rsidRPr="00520861">
        <w:rPr>
          <w:sz w:val="28"/>
          <w:szCs w:val="28"/>
        </w:rPr>
        <w:t xml:space="preserve">пливати на схильність до розвитку карієсу, </w:t>
      </w:r>
      <w:r w:rsidR="00397D5C" w:rsidRPr="00520861">
        <w:rPr>
          <w:sz w:val="28"/>
          <w:szCs w:val="28"/>
        </w:rPr>
        <w:br/>
      </w:r>
      <w:r w:rsidR="005B2BAD" w:rsidRPr="00520861">
        <w:rPr>
          <w:sz w:val="28"/>
          <w:szCs w:val="28"/>
        </w:rPr>
        <w:t xml:space="preserve">захворювань тканин </w:t>
      </w:r>
      <w:proofErr w:type="spellStart"/>
      <w:r w:rsidR="005B2BAD" w:rsidRPr="00520861">
        <w:rPr>
          <w:sz w:val="28"/>
          <w:szCs w:val="28"/>
        </w:rPr>
        <w:t>пародонт</w:t>
      </w:r>
      <w:r w:rsidR="00CB2038" w:rsidRPr="00520861">
        <w:rPr>
          <w:sz w:val="28"/>
          <w:szCs w:val="28"/>
        </w:rPr>
        <w:t>а</w:t>
      </w:r>
      <w:proofErr w:type="spellEnd"/>
      <w:r w:rsidR="005B2BAD" w:rsidRPr="00520861">
        <w:rPr>
          <w:sz w:val="28"/>
          <w:szCs w:val="28"/>
        </w:rPr>
        <w:t xml:space="preserve">, формування порушень </w:t>
      </w:r>
      <w:r w:rsidR="005F5295" w:rsidRPr="00520861">
        <w:rPr>
          <w:sz w:val="28"/>
          <w:szCs w:val="28"/>
        </w:rPr>
        <w:t>СГС</w:t>
      </w:r>
      <w:r w:rsidR="005B2BAD" w:rsidRPr="00520861">
        <w:rPr>
          <w:sz w:val="28"/>
          <w:szCs w:val="28"/>
        </w:rPr>
        <w:t xml:space="preserve"> тощо.</w:t>
      </w:r>
    </w:p>
    <w:p w14:paraId="73F73706" w14:textId="77777777" w:rsidR="00C27845" w:rsidRPr="00520861" w:rsidRDefault="00B00021" w:rsidP="00292D2E">
      <w:pPr>
        <w:widowControl w:val="0"/>
        <w:spacing w:line="360" w:lineRule="auto"/>
        <w:ind w:firstLine="709"/>
        <w:jc w:val="both"/>
        <w:rPr>
          <w:sz w:val="28"/>
          <w:szCs w:val="28"/>
        </w:rPr>
      </w:pPr>
      <w:r w:rsidRPr="00520861">
        <w:rPr>
          <w:sz w:val="28"/>
          <w:szCs w:val="28"/>
        </w:rPr>
        <w:t>Як відомо, лужна фосфа</w:t>
      </w:r>
      <w:r w:rsidR="005B2BAD" w:rsidRPr="00520861">
        <w:rPr>
          <w:sz w:val="28"/>
          <w:szCs w:val="28"/>
        </w:rPr>
        <w:t xml:space="preserve">таза (ЛФ) – це неспецифічна </w:t>
      </w:r>
      <w:proofErr w:type="spellStart"/>
      <w:r w:rsidR="005B2BAD" w:rsidRPr="00520861">
        <w:rPr>
          <w:sz w:val="28"/>
          <w:szCs w:val="28"/>
        </w:rPr>
        <w:t>монофосфоестераза</w:t>
      </w:r>
      <w:proofErr w:type="spellEnd"/>
      <w:r w:rsidR="005B2BAD" w:rsidRPr="00520861">
        <w:rPr>
          <w:sz w:val="28"/>
          <w:szCs w:val="28"/>
        </w:rPr>
        <w:t xml:space="preserve">, яка є внутрішньоклітинним ферментом і наявна в </w:t>
      </w:r>
      <w:proofErr w:type="spellStart"/>
      <w:r w:rsidR="005B2BAD" w:rsidRPr="00520861">
        <w:rPr>
          <w:sz w:val="28"/>
          <w:szCs w:val="28"/>
        </w:rPr>
        <w:t>поліморфноядерних</w:t>
      </w:r>
      <w:proofErr w:type="spellEnd"/>
      <w:r w:rsidR="005B2BAD" w:rsidRPr="00520861">
        <w:rPr>
          <w:sz w:val="28"/>
          <w:szCs w:val="28"/>
        </w:rPr>
        <w:t xml:space="preserve"> лейкоцитах, остео</w:t>
      </w:r>
      <w:r w:rsidR="001C5101" w:rsidRPr="00520861">
        <w:rPr>
          <w:sz w:val="28"/>
          <w:szCs w:val="28"/>
        </w:rPr>
        <w:t>бластах, макрофагах і</w:t>
      </w:r>
      <w:r w:rsidR="005B2BAD" w:rsidRPr="00520861">
        <w:rPr>
          <w:sz w:val="28"/>
          <w:szCs w:val="28"/>
        </w:rPr>
        <w:t xml:space="preserve"> фібробластах в альвеолярній кістці, слинних залозах, шлунково-кишковому тракті, плаценті. Вона </w:t>
      </w:r>
      <w:proofErr w:type="spellStart"/>
      <w:r w:rsidR="005B2BAD" w:rsidRPr="00520861">
        <w:rPr>
          <w:sz w:val="28"/>
          <w:szCs w:val="28"/>
        </w:rPr>
        <w:t>каталізує</w:t>
      </w:r>
      <w:proofErr w:type="spellEnd"/>
      <w:r w:rsidR="005B2BAD" w:rsidRPr="00520861">
        <w:rPr>
          <w:sz w:val="28"/>
          <w:szCs w:val="28"/>
        </w:rPr>
        <w:t xml:space="preserve"> реакцію відщеплення неорганічного фосфату із утворенням проміжної сполуки – </w:t>
      </w:r>
      <w:proofErr w:type="spellStart"/>
      <w:r w:rsidR="005B2BAD" w:rsidRPr="00520861">
        <w:rPr>
          <w:sz w:val="28"/>
          <w:szCs w:val="28"/>
        </w:rPr>
        <w:t>фосфосерилу</w:t>
      </w:r>
      <w:proofErr w:type="spellEnd"/>
      <w:r w:rsidR="005B2BAD" w:rsidRPr="00520861">
        <w:rPr>
          <w:sz w:val="28"/>
          <w:szCs w:val="28"/>
        </w:rPr>
        <w:t>. У різних дослідженнях було показано [</w:t>
      </w:r>
      <w:r w:rsidR="001D23EE" w:rsidRPr="00520861">
        <w:rPr>
          <w:sz w:val="28"/>
          <w:szCs w:val="28"/>
        </w:rPr>
        <w:t>165</w:t>
      </w:r>
      <w:r w:rsidR="005B2BAD" w:rsidRPr="00520861">
        <w:rPr>
          <w:sz w:val="28"/>
          <w:szCs w:val="28"/>
        </w:rPr>
        <w:t>], що активність ЛФ значно пов’язана із активністю остеобластів, а її</w:t>
      </w:r>
      <w:r w:rsidR="00D52081" w:rsidRPr="00520861">
        <w:rPr>
          <w:sz w:val="28"/>
          <w:szCs w:val="28"/>
        </w:rPr>
        <w:t xml:space="preserve"> рівень може суттєво змінюватися</w:t>
      </w:r>
      <w:r w:rsidR="00A50979" w:rsidRPr="00520861">
        <w:rPr>
          <w:sz w:val="28"/>
          <w:szCs w:val="28"/>
        </w:rPr>
        <w:t xml:space="preserve"> при захворюваннях </w:t>
      </w:r>
      <w:proofErr w:type="spellStart"/>
      <w:r w:rsidR="00A50979" w:rsidRPr="00520861">
        <w:rPr>
          <w:sz w:val="28"/>
          <w:szCs w:val="28"/>
        </w:rPr>
        <w:t>пародонта</w:t>
      </w:r>
      <w:proofErr w:type="spellEnd"/>
      <w:r w:rsidR="005B2BAD" w:rsidRPr="00520861">
        <w:rPr>
          <w:sz w:val="28"/>
          <w:szCs w:val="28"/>
        </w:rPr>
        <w:t xml:space="preserve">, карієсі тощо. Також відомо, що для реалізації функціональної активності ЛФ необхідний ряд умов, зокрема нейтральна або </w:t>
      </w:r>
      <w:proofErr w:type="spellStart"/>
      <w:r w:rsidR="005B2BAD" w:rsidRPr="00520861">
        <w:rPr>
          <w:sz w:val="28"/>
          <w:szCs w:val="28"/>
        </w:rPr>
        <w:t>слабколужна</w:t>
      </w:r>
      <w:proofErr w:type="spellEnd"/>
      <w:r w:rsidR="005B2BAD" w:rsidRPr="00520861">
        <w:rPr>
          <w:sz w:val="28"/>
          <w:szCs w:val="28"/>
        </w:rPr>
        <w:t xml:space="preserve"> кислотність (</w:t>
      </w:r>
      <w:proofErr w:type="spellStart"/>
      <w:r w:rsidR="005B2BAD" w:rsidRPr="00520861">
        <w:rPr>
          <w:sz w:val="28"/>
          <w:szCs w:val="28"/>
        </w:rPr>
        <w:t>рН</w:t>
      </w:r>
      <w:proofErr w:type="spellEnd"/>
      <w:r w:rsidR="005B2BAD" w:rsidRPr="00520861">
        <w:rPr>
          <w:sz w:val="28"/>
          <w:szCs w:val="28"/>
        </w:rPr>
        <w:t xml:space="preserve">) середовища. З іншого боку, порушення </w:t>
      </w:r>
      <w:proofErr w:type="spellStart"/>
      <w:r w:rsidR="005B2BAD" w:rsidRPr="00520861">
        <w:rPr>
          <w:sz w:val="28"/>
          <w:szCs w:val="28"/>
        </w:rPr>
        <w:t>мінералізуючої</w:t>
      </w:r>
      <w:proofErr w:type="spellEnd"/>
      <w:r w:rsidR="005B2BAD" w:rsidRPr="00520861">
        <w:rPr>
          <w:sz w:val="28"/>
          <w:szCs w:val="28"/>
        </w:rPr>
        <w:t xml:space="preserve"> функції слини є однією із основних причин </w:t>
      </w:r>
      <w:r w:rsidR="00B20C00" w:rsidRPr="00520861">
        <w:rPr>
          <w:sz w:val="28"/>
          <w:szCs w:val="28"/>
        </w:rPr>
        <w:br/>
      </w:r>
      <w:r w:rsidR="005B2BAD" w:rsidRPr="00520861">
        <w:rPr>
          <w:sz w:val="28"/>
          <w:szCs w:val="28"/>
        </w:rPr>
        <w:t xml:space="preserve">розвитку карієсу. Інтенсивність мінералізації твердих тканин зубів залежить від активності ЛФ, яка </w:t>
      </w:r>
      <w:proofErr w:type="spellStart"/>
      <w:r w:rsidR="005B2BAD" w:rsidRPr="00520861">
        <w:rPr>
          <w:sz w:val="28"/>
          <w:szCs w:val="28"/>
        </w:rPr>
        <w:t>переносить</w:t>
      </w:r>
      <w:proofErr w:type="spellEnd"/>
      <w:r w:rsidR="005B2BAD" w:rsidRPr="00520861">
        <w:rPr>
          <w:sz w:val="28"/>
          <w:szCs w:val="28"/>
        </w:rPr>
        <w:t xml:space="preserve"> залишок фосфату, необхідний для формування кристалів </w:t>
      </w:r>
      <w:proofErr w:type="spellStart"/>
      <w:r w:rsidR="005B2BAD" w:rsidRPr="00520861">
        <w:rPr>
          <w:sz w:val="28"/>
          <w:szCs w:val="28"/>
        </w:rPr>
        <w:t>гідрокси</w:t>
      </w:r>
      <w:r w:rsidR="00F207F7" w:rsidRPr="00520861">
        <w:rPr>
          <w:sz w:val="28"/>
          <w:szCs w:val="28"/>
        </w:rPr>
        <w:t>лапатиту</w:t>
      </w:r>
      <w:proofErr w:type="spellEnd"/>
      <w:r w:rsidR="00F207F7" w:rsidRPr="00520861">
        <w:rPr>
          <w:sz w:val="28"/>
          <w:szCs w:val="28"/>
        </w:rPr>
        <w:t>. Кисла фосфатаза</w:t>
      </w:r>
      <w:r w:rsidR="005B2BAD" w:rsidRPr="00520861">
        <w:rPr>
          <w:sz w:val="28"/>
          <w:szCs w:val="28"/>
        </w:rPr>
        <w:t xml:space="preserve"> діє навпаки (при низьких значеннях </w:t>
      </w:r>
      <w:proofErr w:type="spellStart"/>
      <w:r w:rsidR="005B2BAD" w:rsidRPr="00520861">
        <w:rPr>
          <w:sz w:val="28"/>
          <w:szCs w:val="28"/>
        </w:rPr>
        <w:t>рН</w:t>
      </w:r>
      <w:proofErr w:type="spellEnd"/>
      <w:r w:rsidR="005B2BAD" w:rsidRPr="00520861">
        <w:rPr>
          <w:sz w:val="28"/>
          <w:szCs w:val="28"/>
        </w:rPr>
        <w:t xml:space="preserve">), сприяючи руйнуванню твердих тканин зуба. </w:t>
      </w:r>
    </w:p>
    <w:p w14:paraId="6E06DED5" w14:textId="77777777" w:rsidR="005B2BAD" w:rsidRPr="00520861" w:rsidRDefault="009D55B6" w:rsidP="00292D2E">
      <w:pPr>
        <w:widowControl w:val="0"/>
        <w:spacing w:line="360" w:lineRule="auto"/>
        <w:ind w:firstLine="709"/>
        <w:jc w:val="both"/>
        <w:rPr>
          <w:sz w:val="28"/>
          <w:szCs w:val="28"/>
        </w:rPr>
      </w:pPr>
      <w:r w:rsidRPr="00520861">
        <w:rPr>
          <w:sz w:val="28"/>
          <w:szCs w:val="28"/>
        </w:rPr>
        <w:t>Кальцій</w:t>
      </w:r>
      <w:r w:rsidR="00DD44C4" w:rsidRPr="00520861">
        <w:rPr>
          <w:sz w:val="28"/>
          <w:szCs w:val="28"/>
        </w:rPr>
        <w:t xml:space="preserve"> та фосфор </w:t>
      </w:r>
      <w:r w:rsidR="005B2BAD" w:rsidRPr="00520861">
        <w:rPr>
          <w:sz w:val="28"/>
          <w:szCs w:val="28"/>
        </w:rPr>
        <w:t>залучені до процесів мінералізації кісткової тканини. За рівнями цих маркерів</w:t>
      </w:r>
      <w:r w:rsidR="00174453" w:rsidRPr="00520861">
        <w:rPr>
          <w:sz w:val="28"/>
          <w:szCs w:val="28"/>
        </w:rPr>
        <w:t xml:space="preserve"> </w:t>
      </w:r>
      <w:r w:rsidR="005B2BAD" w:rsidRPr="00520861">
        <w:rPr>
          <w:sz w:val="28"/>
          <w:szCs w:val="28"/>
        </w:rPr>
        <w:t xml:space="preserve">кісткового </w:t>
      </w:r>
      <w:proofErr w:type="spellStart"/>
      <w:r w:rsidR="005B2BAD" w:rsidRPr="00520861">
        <w:rPr>
          <w:sz w:val="28"/>
          <w:szCs w:val="28"/>
        </w:rPr>
        <w:t>ремоделювання</w:t>
      </w:r>
      <w:proofErr w:type="spellEnd"/>
      <w:r w:rsidR="00174453" w:rsidRPr="00520861">
        <w:rPr>
          <w:sz w:val="28"/>
          <w:szCs w:val="28"/>
        </w:rPr>
        <w:t xml:space="preserve"> </w:t>
      </w:r>
      <w:r w:rsidR="005B2BAD" w:rsidRPr="00520861">
        <w:rPr>
          <w:sz w:val="28"/>
          <w:szCs w:val="28"/>
        </w:rPr>
        <w:t xml:space="preserve">може бути оцінено стан </w:t>
      </w:r>
      <w:r w:rsidR="00B20C00" w:rsidRPr="00520861">
        <w:rPr>
          <w:sz w:val="28"/>
          <w:szCs w:val="28"/>
        </w:rPr>
        <w:br/>
      </w:r>
      <w:r w:rsidR="005B2BAD" w:rsidRPr="00520861">
        <w:rPr>
          <w:sz w:val="28"/>
          <w:szCs w:val="28"/>
        </w:rPr>
        <w:lastRenderedPageBreak/>
        <w:t>альвеолярного відростка [</w:t>
      </w:r>
      <w:r w:rsidR="001D23EE" w:rsidRPr="00520861">
        <w:rPr>
          <w:sz w:val="28"/>
          <w:szCs w:val="28"/>
        </w:rPr>
        <w:t>77</w:t>
      </w:r>
      <w:r w:rsidR="005B2BAD" w:rsidRPr="00520861">
        <w:rPr>
          <w:sz w:val="28"/>
          <w:szCs w:val="28"/>
        </w:rPr>
        <w:t xml:space="preserve">]. </w:t>
      </w:r>
    </w:p>
    <w:p w14:paraId="189F82C0" w14:textId="77777777" w:rsidR="005B2BAD" w:rsidRPr="00520861" w:rsidRDefault="00991143" w:rsidP="00292D2E">
      <w:pPr>
        <w:widowControl w:val="0"/>
        <w:spacing w:line="360" w:lineRule="auto"/>
        <w:ind w:firstLine="708"/>
        <w:contextualSpacing/>
        <w:jc w:val="both"/>
        <w:rPr>
          <w:rFonts w:eastAsia="Calibri"/>
          <w:iCs/>
          <w:spacing w:val="-6"/>
          <w:sz w:val="28"/>
          <w:szCs w:val="28"/>
          <w:lang w:eastAsia="en-US"/>
        </w:rPr>
      </w:pPr>
      <w:r w:rsidRPr="00520861">
        <w:rPr>
          <w:rFonts w:eastAsia="Calibri"/>
          <w:spacing w:val="-6"/>
          <w:kern w:val="36"/>
          <w:sz w:val="28"/>
          <w:szCs w:val="28"/>
        </w:rPr>
        <w:t>Особи, які народилися</w:t>
      </w:r>
      <w:r w:rsidR="005B2BAD" w:rsidRPr="00520861">
        <w:rPr>
          <w:rFonts w:eastAsia="Calibri"/>
          <w:spacing w:val="-6"/>
          <w:kern w:val="36"/>
          <w:sz w:val="28"/>
          <w:szCs w:val="28"/>
        </w:rPr>
        <w:t xml:space="preserve"> </w:t>
      </w:r>
      <w:proofErr w:type="spellStart"/>
      <w:r w:rsidR="005B2BAD" w:rsidRPr="00520861">
        <w:rPr>
          <w:rFonts w:eastAsia="Calibri"/>
          <w:spacing w:val="-6"/>
          <w:kern w:val="36"/>
          <w:sz w:val="28"/>
          <w:szCs w:val="28"/>
        </w:rPr>
        <w:t>макросомами</w:t>
      </w:r>
      <w:proofErr w:type="spellEnd"/>
      <w:r w:rsidR="005B2BAD" w:rsidRPr="00520861">
        <w:rPr>
          <w:rFonts w:eastAsia="Calibri"/>
          <w:spacing w:val="-6"/>
          <w:kern w:val="36"/>
          <w:sz w:val="28"/>
          <w:szCs w:val="28"/>
        </w:rPr>
        <w:t>,</w:t>
      </w:r>
      <w:r w:rsidR="005B2BAD" w:rsidRPr="00520861">
        <w:rPr>
          <w:rFonts w:eastAsia="Calibri"/>
          <w:spacing w:val="-6"/>
          <w:sz w:val="28"/>
          <w:szCs w:val="28"/>
          <w:lang w:eastAsia="en-US"/>
        </w:rPr>
        <w:t xml:space="preserve"> «запрограмовані» на метаболічні порушен</w:t>
      </w:r>
      <w:r w:rsidR="00F207F7" w:rsidRPr="00520861">
        <w:rPr>
          <w:rFonts w:eastAsia="Calibri"/>
          <w:spacing w:val="-6"/>
          <w:sz w:val="28"/>
          <w:szCs w:val="28"/>
          <w:lang w:eastAsia="en-US"/>
        </w:rPr>
        <w:t>ня в онтогенезі, оскільки в</w:t>
      </w:r>
      <w:r w:rsidR="005B2BAD" w:rsidRPr="00520861">
        <w:rPr>
          <w:rFonts w:eastAsia="Calibri"/>
          <w:spacing w:val="-6"/>
          <w:sz w:val="28"/>
          <w:szCs w:val="28"/>
          <w:lang w:eastAsia="en-US"/>
        </w:rPr>
        <w:t xml:space="preserve"> них у сироватці крові на момент народження спостерігаються високі рівні </w:t>
      </w:r>
      <w:proofErr w:type="spellStart"/>
      <w:r w:rsidR="005B2BAD" w:rsidRPr="00520861">
        <w:rPr>
          <w:rFonts w:eastAsia="Calibri"/>
          <w:spacing w:val="-6"/>
          <w:sz w:val="28"/>
          <w:szCs w:val="28"/>
          <w:lang w:eastAsia="en-US"/>
        </w:rPr>
        <w:t>лептину</w:t>
      </w:r>
      <w:proofErr w:type="spellEnd"/>
      <w:r w:rsidR="005B2BAD" w:rsidRPr="00520861">
        <w:rPr>
          <w:rFonts w:eastAsia="Calibri"/>
          <w:spacing w:val="-6"/>
          <w:sz w:val="28"/>
          <w:szCs w:val="28"/>
          <w:lang w:eastAsia="en-US"/>
        </w:rPr>
        <w:t xml:space="preserve"> та існує тенденція до зниження рівнів </w:t>
      </w:r>
      <w:proofErr w:type="spellStart"/>
      <w:r w:rsidR="005B2BAD" w:rsidRPr="00520861">
        <w:rPr>
          <w:rFonts w:eastAsia="Calibri"/>
          <w:spacing w:val="-6"/>
          <w:sz w:val="28"/>
          <w:szCs w:val="28"/>
          <w:lang w:eastAsia="en-US"/>
        </w:rPr>
        <w:t>адипонектину</w:t>
      </w:r>
      <w:proofErr w:type="spellEnd"/>
      <w:r w:rsidR="005B2BAD" w:rsidRPr="00520861">
        <w:rPr>
          <w:rFonts w:eastAsia="Calibri"/>
          <w:spacing w:val="-6"/>
          <w:sz w:val="28"/>
          <w:szCs w:val="28"/>
          <w:lang w:eastAsia="en-US"/>
        </w:rPr>
        <w:t xml:space="preserve"> [</w:t>
      </w:r>
      <w:r w:rsidR="001D23EE" w:rsidRPr="00520861">
        <w:rPr>
          <w:rFonts w:eastAsia="Calibri"/>
          <w:spacing w:val="-6"/>
          <w:sz w:val="28"/>
          <w:szCs w:val="28"/>
          <w:lang w:eastAsia="en-US"/>
        </w:rPr>
        <w:t>457</w:t>
      </w:r>
      <w:r w:rsidR="005B2BAD" w:rsidRPr="00520861">
        <w:rPr>
          <w:rFonts w:eastAsia="Calibri"/>
          <w:spacing w:val="-6"/>
          <w:sz w:val="28"/>
          <w:szCs w:val="28"/>
          <w:lang w:eastAsia="en-US"/>
        </w:rPr>
        <w:t>].</w:t>
      </w:r>
    </w:p>
    <w:p w14:paraId="3A67AC7C" w14:textId="77777777" w:rsidR="005B2BAD" w:rsidRPr="00520861" w:rsidRDefault="00F207F7" w:rsidP="00292D2E">
      <w:pPr>
        <w:widowControl w:val="0"/>
        <w:spacing w:line="360" w:lineRule="auto"/>
        <w:ind w:firstLine="708"/>
        <w:jc w:val="both"/>
        <w:rPr>
          <w:rFonts w:eastAsia="Calibri"/>
          <w:sz w:val="28"/>
          <w:szCs w:val="28"/>
          <w:lang w:eastAsia="en-US"/>
        </w:rPr>
      </w:pPr>
      <w:proofErr w:type="spellStart"/>
      <w:r w:rsidRPr="00520861">
        <w:rPr>
          <w:rFonts w:eastAsia="Calibri"/>
          <w:sz w:val="28"/>
          <w:szCs w:val="28"/>
          <w:lang w:eastAsia="en-US"/>
        </w:rPr>
        <w:t>Лептин</w:t>
      </w:r>
      <w:proofErr w:type="spellEnd"/>
      <w:r w:rsidRPr="00520861">
        <w:rPr>
          <w:rFonts w:eastAsia="Calibri"/>
          <w:sz w:val="28"/>
          <w:szCs w:val="28"/>
          <w:lang w:eastAsia="en-US"/>
        </w:rPr>
        <w:t xml:space="preserve"> й</w:t>
      </w:r>
      <w:r w:rsidR="005B2BAD" w:rsidRPr="00520861">
        <w:rPr>
          <w:rFonts w:eastAsia="Calibri"/>
          <w:sz w:val="28"/>
          <w:szCs w:val="28"/>
          <w:lang w:eastAsia="en-US"/>
        </w:rPr>
        <w:t xml:space="preserve"> </w:t>
      </w:r>
      <w:proofErr w:type="spellStart"/>
      <w:r w:rsidR="005B2BAD" w:rsidRPr="00520861">
        <w:rPr>
          <w:rFonts w:eastAsia="Calibri"/>
          <w:sz w:val="28"/>
          <w:szCs w:val="28"/>
          <w:lang w:eastAsia="en-US"/>
        </w:rPr>
        <w:t>адипонектин</w:t>
      </w:r>
      <w:proofErr w:type="spellEnd"/>
      <w:r w:rsidR="005B2BAD" w:rsidRPr="00520861">
        <w:rPr>
          <w:rFonts w:eastAsia="Calibri"/>
          <w:sz w:val="28"/>
          <w:szCs w:val="28"/>
          <w:lang w:eastAsia="en-US"/>
        </w:rPr>
        <w:t xml:space="preserve"> – гормони жирової тканини – є біологічними маркерами багатьох патологічних станів, зокрема запальних процесів</w:t>
      </w:r>
      <w:r w:rsidRPr="00520861">
        <w:rPr>
          <w:rFonts w:eastAsia="Calibri"/>
          <w:sz w:val="28"/>
          <w:szCs w:val="28"/>
          <w:lang w:eastAsia="en-US"/>
        </w:rPr>
        <w:t> </w:t>
      </w:r>
      <w:r w:rsidR="00A84C0A" w:rsidRPr="00520861">
        <w:rPr>
          <w:rFonts w:eastAsia="Calibri"/>
          <w:sz w:val="28"/>
          <w:szCs w:val="28"/>
          <w:lang w:eastAsia="en-US"/>
        </w:rPr>
        <w:t>[</w:t>
      </w:r>
      <w:r w:rsidR="001D23EE" w:rsidRPr="00520861">
        <w:rPr>
          <w:rFonts w:eastAsia="Calibri"/>
          <w:sz w:val="28"/>
          <w:szCs w:val="28"/>
          <w:lang w:eastAsia="en-US"/>
        </w:rPr>
        <w:t>275</w:t>
      </w:r>
      <w:r w:rsidR="005B039C" w:rsidRPr="00520861">
        <w:rPr>
          <w:rFonts w:eastAsia="Calibri"/>
          <w:sz w:val="28"/>
          <w:szCs w:val="28"/>
          <w:lang w:eastAsia="en-US"/>
        </w:rPr>
        <w:t>,</w:t>
      </w:r>
      <w:r w:rsidR="001D23EE" w:rsidRPr="00520861">
        <w:rPr>
          <w:rFonts w:eastAsia="Calibri"/>
          <w:sz w:val="28"/>
          <w:szCs w:val="28"/>
          <w:lang w:eastAsia="en-US"/>
        </w:rPr>
        <w:t xml:space="preserve"> 469</w:t>
      </w:r>
      <w:r w:rsidR="00A84C0A" w:rsidRPr="00520861">
        <w:rPr>
          <w:rFonts w:eastAsia="Calibri"/>
          <w:sz w:val="28"/>
          <w:szCs w:val="28"/>
          <w:lang w:eastAsia="en-US"/>
        </w:rPr>
        <w:t>]</w:t>
      </w:r>
      <w:r w:rsidR="005B2BAD" w:rsidRPr="00520861">
        <w:rPr>
          <w:rFonts w:eastAsia="Calibri"/>
          <w:sz w:val="28"/>
          <w:szCs w:val="28"/>
          <w:lang w:eastAsia="en-US"/>
        </w:rPr>
        <w:t xml:space="preserve">. </w:t>
      </w:r>
      <w:r w:rsidR="005B2BAD" w:rsidRPr="00520861">
        <w:rPr>
          <w:rFonts w:eastAsia="Calibri"/>
          <w:iCs/>
          <w:sz w:val="28"/>
          <w:szCs w:val="28"/>
          <w:lang w:eastAsia="en-US"/>
        </w:rPr>
        <w:t xml:space="preserve">Установлення рівнів цих цитокінів у РР з метою діагностування метаболічних порушень стає все більш популярною та, </w:t>
      </w:r>
      <w:r w:rsidRPr="00520861">
        <w:rPr>
          <w:rFonts w:eastAsia="Calibri"/>
          <w:iCs/>
          <w:sz w:val="28"/>
          <w:szCs w:val="28"/>
          <w:lang w:eastAsia="en-US"/>
        </w:rPr>
        <w:t>на думку багатьох науковців, не </w:t>
      </w:r>
      <w:r w:rsidR="005B2BAD" w:rsidRPr="00520861">
        <w:rPr>
          <w:rFonts w:eastAsia="Calibri"/>
          <w:iCs/>
          <w:sz w:val="28"/>
          <w:szCs w:val="28"/>
          <w:lang w:eastAsia="en-US"/>
        </w:rPr>
        <w:t>менш інформативною процедурою, ніж дослідження їх рівнів у препаратах крові.</w:t>
      </w:r>
      <w:r w:rsidR="005B2BAD" w:rsidRPr="00520861">
        <w:rPr>
          <w:rFonts w:eastAsia="Calibri"/>
          <w:sz w:val="28"/>
          <w:szCs w:val="28"/>
          <w:lang w:eastAsia="en-US"/>
        </w:rPr>
        <w:t xml:space="preserve"> </w:t>
      </w:r>
      <w:proofErr w:type="spellStart"/>
      <w:r w:rsidR="005B2BAD" w:rsidRPr="00520861">
        <w:rPr>
          <w:rFonts w:eastAsia="Calibri"/>
          <w:sz w:val="28"/>
          <w:szCs w:val="28"/>
          <w:lang w:eastAsia="en-US"/>
        </w:rPr>
        <w:t>Лептин</w:t>
      </w:r>
      <w:proofErr w:type="spellEnd"/>
      <w:r w:rsidR="005B2BAD" w:rsidRPr="00520861">
        <w:rPr>
          <w:rFonts w:eastAsia="Calibri"/>
          <w:sz w:val="28"/>
          <w:szCs w:val="28"/>
          <w:lang w:eastAsia="en-US"/>
        </w:rPr>
        <w:t xml:space="preserve"> – гормон, який продукується </w:t>
      </w:r>
      <w:proofErr w:type="spellStart"/>
      <w:r w:rsidR="005B2BAD" w:rsidRPr="00520861">
        <w:rPr>
          <w:rFonts w:eastAsia="Calibri"/>
          <w:sz w:val="28"/>
          <w:szCs w:val="28"/>
          <w:lang w:eastAsia="en-US"/>
        </w:rPr>
        <w:t>адипоцитами</w:t>
      </w:r>
      <w:proofErr w:type="spellEnd"/>
      <w:r w:rsidR="005B2BAD" w:rsidRPr="00520861">
        <w:rPr>
          <w:rFonts w:eastAsia="Calibri"/>
          <w:sz w:val="28"/>
          <w:szCs w:val="28"/>
          <w:lang w:eastAsia="en-US"/>
        </w:rPr>
        <w:t xml:space="preserve"> відповідно до маси жирової тканини,</w:t>
      </w:r>
      <w:r w:rsidR="005B2BAD" w:rsidRPr="00520861">
        <w:rPr>
          <w:rFonts w:eastAsia="Calibri"/>
          <w:kern w:val="36"/>
          <w:sz w:val="28"/>
          <w:szCs w:val="28"/>
        </w:rPr>
        <w:t xml:space="preserve"> але у невеликій кількості наявний також у плаценті, слизовій шлунку та слинних залозах.</w:t>
      </w:r>
      <w:r w:rsidR="005B2BAD" w:rsidRPr="00520861">
        <w:rPr>
          <w:rFonts w:eastAsia="Calibri"/>
          <w:sz w:val="28"/>
          <w:szCs w:val="28"/>
          <w:lang w:eastAsia="en-US"/>
        </w:rPr>
        <w:t xml:space="preserve"> Він </w:t>
      </w:r>
      <w:r w:rsidR="00C27845" w:rsidRPr="00520861">
        <w:rPr>
          <w:rFonts w:eastAsia="Calibri"/>
          <w:sz w:val="28"/>
          <w:szCs w:val="28"/>
          <w:lang w:eastAsia="en-US"/>
        </w:rPr>
        <w:t>є гуморальним регулятором</w:t>
      </w:r>
      <w:r w:rsidR="005B2BAD" w:rsidRPr="00520861">
        <w:rPr>
          <w:rFonts w:eastAsia="Calibri"/>
          <w:sz w:val="28"/>
          <w:szCs w:val="28"/>
          <w:lang w:eastAsia="en-US"/>
        </w:rPr>
        <w:t xml:space="preserve"> харчової поведінки та діє безпосередньо через гіпоталамус, надаючи </w:t>
      </w:r>
      <w:proofErr w:type="spellStart"/>
      <w:r w:rsidR="005B2BAD" w:rsidRPr="00520861">
        <w:rPr>
          <w:rFonts w:eastAsia="Calibri"/>
          <w:sz w:val="28"/>
          <w:szCs w:val="28"/>
          <w:lang w:eastAsia="en-US"/>
        </w:rPr>
        <w:t>анорексигенного</w:t>
      </w:r>
      <w:proofErr w:type="spellEnd"/>
      <w:r w:rsidR="005B2BAD" w:rsidRPr="00520861">
        <w:rPr>
          <w:rFonts w:eastAsia="Calibri"/>
          <w:sz w:val="28"/>
          <w:szCs w:val="28"/>
          <w:lang w:eastAsia="en-US"/>
        </w:rPr>
        <w:t xml:space="preserve"> ефекту. </w:t>
      </w:r>
      <w:r w:rsidR="005B2BAD" w:rsidRPr="00520861">
        <w:rPr>
          <w:rFonts w:eastAsia="Calibri"/>
          <w:kern w:val="36"/>
          <w:sz w:val="28"/>
          <w:szCs w:val="28"/>
        </w:rPr>
        <w:t xml:space="preserve">Проведені дослідження виявили, що підвищений рівень </w:t>
      </w:r>
      <w:proofErr w:type="spellStart"/>
      <w:r w:rsidR="005B2BAD" w:rsidRPr="00520861">
        <w:rPr>
          <w:rFonts w:eastAsia="Calibri"/>
          <w:kern w:val="36"/>
          <w:sz w:val="28"/>
          <w:szCs w:val="28"/>
        </w:rPr>
        <w:t>прозапальних</w:t>
      </w:r>
      <w:proofErr w:type="spellEnd"/>
      <w:r w:rsidR="005B2BAD" w:rsidRPr="00520861">
        <w:rPr>
          <w:rFonts w:eastAsia="Calibri"/>
          <w:kern w:val="36"/>
          <w:sz w:val="28"/>
          <w:szCs w:val="28"/>
        </w:rPr>
        <w:t xml:space="preserve"> цитокінів, таких як </w:t>
      </w:r>
      <w:proofErr w:type="spellStart"/>
      <w:r w:rsidR="005B2BAD" w:rsidRPr="00520861">
        <w:rPr>
          <w:rFonts w:eastAsia="Calibri"/>
          <w:kern w:val="36"/>
          <w:sz w:val="28"/>
          <w:szCs w:val="28"/>
        </w:rPr>
        <w:t>лептин</w:t>
      </w:r>
      <w:proofErr w:type="spellEnd"/>
      <w:r w:rsidR="005B2BAD" w:rsidRPr="00520861">
        <w:rPr>
          <w:rFonts w:eastAsia="Calibri"/>
          <w:kern w:val="36"/>
          <w:sz w:val="28"/>
          <w:szCs w:val="28"/>
        </w:rPr>
        <w:t xml:space="preserve"> чи </w:t>
      </w:r>
      <w:proofErr w:type="spellStart"/>
      <w:r w:rsidR="005B2BAD" w:rsidRPr="00520861">
        <w:rPr>
          <w:rFonts w:eastAsia="Calibri"/>
          <w:kern w:val="36"/>
          <w:sz w:val="28"/>
          <w:szCs w:val="28"/>
        </w:rPr>
        <w:t>інтерлейкін</w:t>
      </w:r>
      <w:proofErr w:type="spellEnd"/>
      <w:r w:rsidR="005B2BAD" w:rsidRPr="00520861">
        <w:rPr>
          <w:rFonts w:eastAsia="Calibri"/>
          <w:kern w:val="36"/>
          <w:sz w:val="28"/>
          <w:szCs w:val="28"/>
        </w:rPr>
        <w:t xml:space="preserve"> </w:t>
      </w:r>
      <w:r w:rsidR="007C5ED0" w:rsidRPr="00520861">
        <w:rPr>
          <w:rFonts w:eastAsia="Calibri"/>
          <w:kern w:val="36"/>
          <w:sz w:val="28"/>
          <w:szCs w:val="28"/>
        </w:rPr>
        <w:t xml:space="preserve">6 (ІЛ-6), </w:t>
      </w:r>
      <w:r w:rsidR="007C5ED0" w:rsidRPr="00520861">
        <w:rPr>
          <w:rFonts w:eastAsia="Calibri"/>
          <w:spacing w:val="-1"/>
          <w:kern w:val="36"/>
          <w:sz w:val="28"/>
          <w:szCs w:val="28"/>
        </w:rPr>
        <w:t>може використовуватися</w:t>
      </w:r>
      <w:r w:rsidR="005B2BAD" w:rsidRPr="00520861">
        <w:rPr>
          <w:rFonts w:eastAsia="Calibri"/>
          <w:spacing w:val="-1"/>
          <w:kern w:val="36"/>
          <w:sz w:val="28"/>
          <w:szCs w:val="28"/>
        </w:rPr>
        <w:t xml:space="preserve"> як маркер запальних процесів навіть тоді, коли інші біологіч</w:t>
      </w:r>
      <w:r w:rsidR="005B2BAD" w:rsidRPr="00520861">
        <w:rPr>
          <w:rFonts w:eastAsia="Calibri"/>
          <w:kern w:val="36"/>
          <w:sz w:val="28"/>
          <w:szCs w:val="28"/>
        </w:rPr>
        <w:t xml:space="preserve">ні маркери ще «мовчать», тобто на </w:t>
      </w:r>
      <w:proofErr w:type="spellStart"/>
      <w:r w:rsidR="005B2BAD" w:rsidRPr="00520861">
        <w:rPr>
          <w:rFonts w:eastAsia="Calibri"/>
          <w:kern w:val="36"/>
          <w:sz w:val="28"/>
          <w:szCs w:val="28"/>
        </w:rPr>
        <w:t>доклінічній</w:t>
      </w:r>
      <w:proofErr w:type="spellEnd"/>
      <w:r w:rsidR="005B2BAD" w:rsidRPr="00520861">
        <w:rPr>
          <w:rFonts w:eastAsia="Calibri"/>
          <w:kern w:val="36"/>
          <w:sz w:val="28"/>
          <w:szCs w:val="28"/>
        </w:rPr>
        <w:t xml:space="preserve"> стадії патологічного процесу </w:t>
      </w:r>
      <w:r w:rsidR="005B2BAD" w:rsidRPr="00520861">
        <w:rPr>
          <w:rFonts w:eastAsia="Calibri"/>
          <w:sz w:val="28"/>
          <w:szCs w:val="28"/>
          <w:lang w:eastAsia="en-US"/>
        </w:rPr>
        <w:t>[</w:t>
      </w:r>
      <w:r w:rsidR="001D23EE" w:rsidRPr="00520861">
        <w:rPr>
          <w:rFonts w:eastAsia="Calibri"/>
          <w:sz w:val="28"/>
          <w:szCs w:val="28"/>
          <w:lang w:eastAsia="en-US"/>
        </w:rPr>
        <w:t>470</w:t>
      </w:r>
      <w:r w:rsidR="005B2BAD" w:rsidRPr="00520861">
        <w:rPr>
          <w:rFonts w:eastAsia="Calibri"/>
          <w:sz w:val="28"/>
          <w:szCs w:val="28"/>
          <w:lang w:eastAsia="en-US"/>
        </w:rPr>
        <w:t>]</w:t>
      </w:r>
      <w:r w:rsidR="005B2BAD" w:rsidRPr="00520861">
        <w:rPr>
          <w:rFonts w:eastAsia="Calibri"/>
          <w:kern w:val="36"/>
          <w:sz w:val="28"/>
          <w:szCs w:val="28"/>
        </w:rPr>
        <w:t>.</w:t>
      </w:r>
    </w:p>
    <w:p w14:paraId="3650D562" w14:textId="77777777" w:rsidR="005B2BAD" w:rsidRPr="00520861" w:rsidRDefault="005B2BAD"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Залежність мінеральної щільності кісткової тканини від співвідношення рівнів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в біологічних рідинах також є досить розробленою темою. Низка вчених зазначає, що підвищення рівня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інгібує утворення кісткової тканини [</w:t>
      </w:r>
      <w:r w:rsidR="005F727F" w:rsidRPr="00520861">
        <w:rPr>
          <w:rFonts w:eastAsia="Calibri"/>
          <w:sz w:val="28"/>
          <w:szCs w:val="28"/>
          <w:lang w:eastAsia="en-US"/>
        </w:rPr>
        <w:t>272</w:t>
      </w:r>
      <w:r w:rsidRPr="00520861">
        <w:rPr>
          <w:rFonts w:eastAsia="Calibri"/>
          <w:sz w:val="28"/>
          <w:szCs w:val="28"/>
          <w:lang w:eastAsia="en-US"/>
        </w:rPr>
        <w:t>].</w:t>
      </w:r>
      <w:r w:rsidRPr="00520861">
        <w:rPr>
          <w:rFonts w:eastAsia="Calibri"/>
          <w:kern w:val="36"/>
          <w:sz w:val="28"/>
          <w:szCs w:val="28"/>
        </w:rPr>
        <w:t xml:space="preserve"> </w:t>
      </w:r>
      <w:r w:rsidRPr="00520861">
        <w:rPr>
          <w:rFonts w:eastAsia="Calibri"/>
          <w:sz w:val="28"/>
          <w:szCs w:val="28"/>
          <w:lang w:eastAsia="en-US"/>
        </w:rPr>
        <w:t xml:space="preserve">Більш пізні дослідження виявили, що ущільнення кісткової тканини щелеп прямо пропорційне підвищенню рівня слинного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На думку дослідників, висока мінераль</w:t>
      </w:r>
      <w:r w:rsidR="00ED43CA" w:rsidRPr="00520861">
        <w:rPr>
          <w:rFonts w:eastAsia="Calibri"/>
          <w:sz w:val="28"/>
          <w:szCs w:val="28"/>
          <w:lang w:eastAsia="en-US"/>
        </w:rPr>
        <w:t>на щільність кісткової тканини в</w:t>
      </w:r>
      <w:r w:rsidRPr="00520861">
        <w:rPr>
          <w:rFonts w:eastAsia="Calibri"/>
          <w:sz w:val="28"/>
          <w:szCs w:val="28"/>
          <w:lang w:eastAsia="en-US"/>
        </w:rPr>
        <w:t xml:space="preserve">повільнює швидкість переміщення зубів при </w:t>
      </w:r>
      <w:proofErr w:type="spellStart"/>
      <w:r w:rsidRPr="00520861">
        <w:rPr>
          <w:rFonts w:eastAsia="Calibri"/>
          <w:sz w:val="28"/>
          <w:szCs w:val="28"/>
          <w:lang w:eastAsia="en-US"/>
        </w:rPr>
        <w:t>ортодонтичному</w:t>
      </w:r>
      <w:proofErr w:type="spellEnd"/>
      <w:r w:rsidRPr="00520861">
        <w:rPr>
          <w:rFonts w:eastAsia="Calibri"/>
          <w:sz w:val="28"/>
          <w:szCs w:val="28"/>
          <w:lang w:eastAsia="en-US"/>
        </w:rPr>
        <w:t xml:space="preserve"> лікуванні [</w:t>
      </w:r>
      <w:r w:rsidR="005F727F" w:rsidRPr="00520861">
        <w:rPr>
          <w:rFonts w:eastAsia="Calibri"/>
          <w:sz w:val="28"/>
          <w:szCs w:val="28"/>
          <w:lang w:eastAsia="en-US"/>
        </w:rPr>
        <w:t>363</w:t>
      </w:r>
      <w:r w:rsidRPr="00520861">
        <w:rPr>
          <w:rFonts w:eastAsia="Calibri"/>
          <w:sz w:val="28"/>
          <w:szCs w:val="28"/>
          <w:lang w:eastAsia="en-US"/>
        </w:rPr>
        <w:t>].</w:t>
      </w:r>
    </w:p>
    <w:p w14:paraId="5616DD41" w14:textId="77777777" w:rsidR="005B2BAD" w:rsidRPr="00520861" w:rsidRDefault="005B2BAD"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Відомо, що баланс </w:t>
      </w:r>
      <w:proofErr w:type="spellStart"/>
      <w:r w:rsidRPr="00520861">
        <w:rPr>
          <w:rFonts w:eastAsia="Calibri"/>
          <w:sz w:val="28"/>
          <w:szCs w:val="28"/>
          <w:lang w:eastAsia="en-US"/>
        </w:rPr>
        <w:t>кор</w:t>
      </w:r>
      <w:r w:rsidR="0003089A" w:rsidRPr="00520861">
        <w:rPr>
          <w:rFonts w:eastAsia="Calibri"/>
          <w:sz w:val="28"/>
          <w:szCs w:val="28"/>
          <w:lang w:eastAsia="en-US"/>
        </w:rPr>
        <w:t>тизолу</w:t>
      </w:r>
      <w:proofErr w:type="spellEnd"/>
      <w:r w:rsidR="0003089A" w:rsidRPr="00520861">
        <w:rPr>
          <w:rFonts w:eastAsia="Calibri"/>
          <w:sz w:val="28"/>
          <w:szCs w:val="28"/>
          <w:lang w:eastAsia="en-US"/>
        </w:rPr>
        <w:t xml:space="preserve"> та СТГ</w:t>
      </w:r>
      <w:r w:rsidRPr="00520861">
        <w:rPr>
          <w:rFonts w:eastAsia="Calibri"/>
          <w:sz w:val="28"/>
          <w:szCs w:val="28"/>
          <w:lang w:eastAsia="en-US"/>
        </w:rPr>
        <w:t xml:space="preserve"> під час </w:t>
      </w:r>
      <w:r w:rsidR="00EC41B5" w:rsidRPr="00520861">
        <w:rPr>
          <w:rFonts w:eastAsia="Calibri"/>
          <w:sz w:val="28"/>
          <w:szCs w:val="28"/>
          <w:lang w:eastAsia="en-US"/>
        </w:rPr>
        <w:t>ВУ</w:t>
      </w:r>
      <w:r w:rsidRPr="00520861">
        <w:rPr>
          <w:rFonts w:eastAsia="Calibri"/>
          <w:sz w:val="28"/>
          <w:szCs w:val="28"/>
          <w:lang w:eastAsia="en-US"/>
        </w:rPr>
        <w:t xml:space="preserve"> ро</w:t>
      </w:r>
      <w:r w:rsidR="00A50979" w:rsidRPr="00520861">
        <w:rPr>
          <w:rFonts w:eastAsia="Calibri"/>
          <w:sz w:val="28"/>
          <w:szCs w:val="28"/>
          <w:lang w:eastAsia="en-US"/>
        </w:rPr>
        <w:t>звитку в значній мірі визначає</w:t>
      </w:r>
      <w:r w:rsidRPr="00520861">
        <w:rPr>
          <w:rFonts w:eastAsia="Calibri"/>
          <w:sz w:val="28"/>
          <w:szCs w:val="28"/>
          <w:lang w:eastAsia="en-US"/>
        </w:rPr>
        <w:t xml:space="preserve"> особливості перебігу метаболічних процесів після народження [</w:t>
      </w:r>
      <w:r w:rsidR="005F727F" w:rsidRPr="00520861">
        <w:rPr>
          <w:rFonts w:eastAsia="Calibri"/>
          <w:sz w:val="28"/>
          <w:szCs w:val="28"/>
          <w:lang w:eastAsia="en-US"/>
        </w:rPr>
        <w:t>216</w:t>
      </w:r>
      <w:r w:rsidRPr="00520861">
        <w:rPr>
          <w:rFonts w:eastAsia="Calibri"/>
          <w:sz w:val="28"/>
          <w:szCs w:val="28"/>
          <w:lang w:eastAsia="en-US"/>
        </w:rPr>
        <w:t xml:space="preserve">], що, у свою чергу, може стати підґрунтям для формування схильності до певних </w:t>
      </w:r>
      <w:r w:rsidR="0003089A" w:rsidRPr="00520861">
        <w:rPr>
          <w:rFonts w:eastAsia="Calibri"/>
          <w:sz w:val="28"/>
          <w:szCs w:val="28"/>
          <w:lang w:eastAsia="en-US"/>
        </w:rPr>
        <w:br/>
      </w:r>
      <w:r w:rsidRPr="00520861">
        <w:rPr>
          <w:rFonts w:eastAsia="Calibri"/>
          <w:sz w:val="28"/>
          <w:szCs w:val="28"/>
          <w:lang w:eastAsia="en-US"/>
        </w:rPr>
        <w:t xml:space="preserve">захворювань (зокрема, до </w:t>
      </w:r>
      <w:proofErr w:type="spellStart"/>
      <w:r w:rsidR="004E723F" w:rsidRPr="00520861">
        <w:rPr>
          <w:rFonts w:eastAsia="Calibri"/>
          <w:sz w:val="28"/>
          <w:szCs w:val="28"/>
          <w:lang w:eastAsia="en-US"/>
        </w:rPr>
        <w:t>СтП</w:t>
      </w:r>
      <w:proofErr w:type="spellEnd"/>
      <w:r w:rsidRPr="00520861">
        <w:rPr>
          <w:rFonts w:eastAsia="Calibri"/>
          <w:sz w:val="28"/>
          <w:szCs w:val="28"/>
          <w:lang w:eastAsia="en-US"/>
        </w:rPr>
        <w:t xml:space="preserve">). </w:t>
      </w:r>
    </w:p>
    <w:p w14:paraId="4632D97C" w14:textId="77777777" w:rsidR="005B2BAD" w:rsidRPr="00520861" w:rsidRDefault="005B2BAD"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Вивчення </w:t>
      </w:r>
      <w:proofErr w:type="spellStart"/>
      <w:r w:rsidRPr="00520861">
        <w:rPr>
          <w:rFonts w:eastAsia="Calibri"/>
          <w:sz w:val="28"/>
          <w:szCs w:val="28"/>
          <w:lang w:eastAsia="en-US"/>
        </w:rPr>
        <w:t>антиоксидантно-прооксидантної</w:t>
      </w:r>
      <w:proofErr w:type="spellEnd"/>
      <w:r w:rsidRPr="00520861">
        <w:rPr>
          <w:rFonts w:eastAsia="Calibri"/>
          <w:sz w:val="28"/>
          <w:szCs w:val="28"/>
          <w:lang w:eastAsia="en-US"/>
        </w:rPr>
        <w:t xml:space="preserve"> рівноваги широко використовується при дослідженні </w:t>
      </w:r>
      <w:proofErr w:type="spellStart"/>
      <w:r w:rsidR="00E23F8D" w:rsidRPr="00520861">
        <w:rPr>
          <w:rFonts w:eastAsia="Calibri"/>
          <w:sz w:val="28"/>
          <w:szCs w:val="28"/>
          <w:lang w:eastAsia="en-US"/>
        </w:rPr>
        <w:t>Ст</w:t>
      </w:r>
      <w:r w:rsidR="004E723F" w:rsidRPr="00520861">
        <w:rPr>
          <w:rFonts w:eastAsia="Calibri"/>
          <w:sz w:val="28"/>
          <w:szCs w:val="28"/>
          <w:lang w:eastAsia="en-US"/>
        </w:rPr>
        <w:t>П</w:t>
      </w:r>
      <w:proofErr w:type="spellEnd"/>
      <w:r w:rsidR="004E723F" w:rsidRPr="00520861">
        <w:rPr>
          <w:rFonts w:eastAsia="Calibri"/>
          <w:sz w:val="28"/>
          <w:szCs w:val="28"/>
          <w:lang w:eastAsia="en-US"/>
        </w:rPr>
        <w:t xml:space="preserve"> </w:t>
      </w:r>
      <w:r w:rsidRPr="00520861">
        <w:rPr>
          <w:rFonts w:eastAsia="Calibri"/>
          <w:sz w:val="28"/>
          <w:szCs w:val="28"/>
          <w:lang w:eastAsia="en-US"/>
        </w:rPr>
        <w:t>[</w:t>
      </w:r>
      <w:r w:rsidR="00C3556F" w:rsidRPr="00520861">
        <w:rPr>
          <w:rFonts w:eastAsia="Calibri"/>
          <w:sz w:val="28"/>
          <w:szCs w:val="28"/>
          <w:lang w:eastAsia="en-US"/>
        </w:rPr>
        <w:t>19</w:t>
      </w:r>
      <w:r w:rsidR="00C3556F" w:rsidRPr="00520861">
        <w:rPr>
          <w:rFonts w:eastAsia="Calibri"/>
          <w:sz w:val="28"/>
          <w:szCs w:val="28"/>
          <w:lang w:val="ru-RU" w:eastAsia="en-US"/>
        </w:rPr>
        <w:t>3</w:t>
      </w:r>
      <w:r w:rsidRPr="00520861">
        <w:rPr>
          <w:rFonts w:eastAsia="Calibri"/>
          <w:sz w:val="28"/>
          <w:szCs w:val="28"/>
          <w:lang w:eastAsia="en-US"/>
        </w:rPr>
        <w:t>]</w:t>
      </w:r>
      <w:r w:rsidRPr="00520861">
        <w:rPr>
          <w:rFonts w:eastAsia="Calibri"/>
          <w:i/>
          <w:sz w:val="28"/>
          <w:szCs w:val="28"/>
          <w:lang w:eastAsia="en-US"/>
        </w:rPr>
        <w:t>.</w:t>
      </w:r>
      <w:r w:rsidR="00ED43CA" w:rsidRPr="00520861">
        <w:rPr>
          <w:rFonts w:eastAsia="Calibri"/>
          <w:sz w:val="28"/>
          <w:szCs w:val="28"/>
          <w:lang w:eastAsia="en-US"/>
        </w:rPr>
        <w:t xml:space="preserve"> </w:t>
      </w:r>
      <w:r w:rsidR="00ED43CA" w:rsidRPr="00520861">
        <w:rPr>
          <w:rFonts w:eastAsia="Calibri"/>
          <w:spacing w:val="-2"/>
          <w:sz w:val="28"/>
          <w:szCs w:val="28"/>
          <w:lang w:eastAsia="en-US"/>
        </w:rPr>
        <w:t xml:space="preserve">У роботі </w:t>
      </w:r>
      <w:proofErr w:type="spellStart"/>
      <w:r w:rsidR="00ED43CA" w:rsidRPr="00520861">
        <w:rPr>
          <w:rFonts w:eastAsia="Calibri"/>
          <w:spacing w:val="-2"/>
          <w:sz w:val="28"/>
          <w:szCs w:val="28"/>
          <w:lang w:eastAsia="en-US"/>
        </w:rPr>
        <w:t>Криштоп</w:t>
      </w:r>
      <w:proofErr w:type="spellEnd"/>
      <w:r w:rsidR="00ED43CA" w:rsidRPr="00520861">
        <w:rPr>
          <w:rFonts w:eastAsia="Calibri"/>
          <w:spacing w:val="-2"/>
          <w:sz w:val="28"/>
          <w:szCs w:val="28"/>
          <w:lang w:eastAsia="en-US"/>
        </w:rPr>
        <w:t> В.</w:t>
      </w:r>
      <w:r w:rsidR="008A62E5" w:rsidRPr="00520861">
        <w:rPr>
          <w:rFonts w:eastAsia="Calibri"/>
          <w:spacing w:val="-2"/>
          <w:sz w:val="28"/>
          <w:szCs w:val="28"/>
          <w:lang w:eastAsia="en-US"/>
        </w:rPr>
        <w:t> </w:t>
      </w:r>
      <w:r w:rsidRPr="00520861">
        <w:rPr>
          <w:rFonts w:eastAsia="Calibri"/>
          <w:spacing w:val="-2"/>
          <w:sz w:val="28"/>
          <w:szCs w:val="28"/>
          <w:lang w:eastAsia="en-US"/>
        </w:rPr>
        <w:t xml:space="preserve">В. та співавторів </w:t>
      </w:r>
      <w:r w:rsidR="002B1EDC" w:rsidRPr="00520861">
        <w:rPr>
          <w:rFonts w:eastAsia="Calibri"/>
          <w:spacing w:val="-2"/>
          <w:sz w:val="28"/>
          <w:szCs w:val="28"/>
          <w:lang w:eastAsia="en-US"/>
        </w:rPr>
        <w:t>[</w:t>
      </w:r>
      <w:r w:rsidR="005F727F" w:rsidRPr="00520861">
        <w:rPr>
          <w:rFonts w:eastAsia="Calibri"/>
          <w:spacing w:val="-2"/>
          <w:sz w:val="28"/>
          <w:szCs w:val="28"/>
          <w:lang w:eastAsia="en-US"/>
        </w:rPr>
        <w:t>119</w:t>
      </w:r>
      <w:r w:rsidR="002B1EDC" w:rsidRPr="00520861">
        <w:rPr>
          <w:rFonts w:eastAsia="Calibri"/>
          <w:spacing w:val="-2"/>
          <w:sz w:val="28"/>
          <w:szCs w:val="28"/>
          <w:lang w:eastAsia="en-US"/>
        </w:rPr>
        <w:t xml:space="preserve">] </w:t>
      </w:r>
      <w:r w:rsidR="00F16775" w:rsidRPr="00520861">
        <w:rPr>
          <w:rFonts w:eastAsia="Calibri"/>
          <w:spacing w:val="-2"/>
          <w:sz w:val="28"/>
          <w:szCs w:val="28"/>
          <w:lang w:eastAsia="en-US"/>
        </w:rPr>
        <w:br/>
      </w:r>
      <w:r w:rsidRPr="00520861">
        <w:rPr>
          <w:rFonts w:eastAsia="Calibri"/>
          <w:spacing w:val="-2"/>
          <w:sz w:val="28"/>
          <w:szCs w:val="28"/>
          <w:lang w:eastAsia="en-US"/>
        </w:rPr>
        <w:t>д</w:t>
      </w:r>
      <w:r w:rsidR="00E21A24" w:rsidRPr="00520861">
        <w:rPr>
          <w:rFonts w:eastAsia="Calibri"/>
          <w:spacing w:val="-2"/>
          <w:sz w:val="28"/>
          <w:szCs w:val="28"/>
          <w:lang w:eastAsia="en-US"/>
        </w:rPr>
        <w:t xml:space="preserve">оведено, що рівень продуктів, що вступають у реакцію з </w:t>
      </w:r>
      <w:proofErr w:type="spellStart"/>
      <w:r w:rsidRPr="00520861">
        <w:rPr>
          <w:rFonts w:eastAsia="Calibri"/>
          <w:spacing w:val="-2"/>
          <w:sz w:val="28"/>
          <w:szCs w:val="28"/>
          <w:lang w:eastAsia="en-US"/>
        </w:rPr>
        <w:t>тіобарбітуровою</w:t>
      </w:r>
      <w:proofErr w:type="spellEnd"/>
      <w:r w:rsidRPr="00520861">
        <w:rPr>
          <w:rFonts w:eastAsia="Calibri"/>
          <w:spacing w:val="-2"/>
          <w:sz w:val="28"/>
          <w:szCs w:val="28"/>
          <w:lang w:eastAsia="en-US"/>
        </w:rPr>
        <w:t xml:space="preserve"> кислотою </w:t>
      </w:r>
      <w:r w:rsidRPr="00520861">
        <w:rPr>
          <w:rFonts w:eastAsia="Calibri"/>
          <w:spacing w:val="-2"/>
          <w:sz w:val="28"/>
          <w:szCs w:val="28"/>
          <w:lang w:eastAsia="en-US"/>
        </w:rPr>
        <w:lastRenderedPageBreak/>
        <w:t>(</w:t>
      </w:r>
      <w:r w:rsidR="009D55B6" w:rsidRPr="00520861">
        <w:rPr>
          <w:rFonts w:eastAsia="Calibri"/>
          <w:spacing w:val="-2"/>
          <w:sz w:val="28"/>
          <w:szCs w:val="28"/>
          <w:lang w:eastAsia="en-US"/>
        </w:rPr>
        <w:t xml:space="preserve">ТБК-АП) РР, хоч і залежить від </w:t>
      </w:r>
      <w:r w:rsidRPr="00520861">
        <w:rPr>
          <w:rFonts w:eastAsia="Calibri"/>
          <w:spacing w:val="-2"/>
          <w:sz w:val="28"/>
          <w:szCs w:val="28"/>
          <w:lang w:eastAsia="en-US"/>
        </w:rPr>
        <w:t>стану</w:t>
      </w:r>
      <w:r w:rsidR="009D55B6" w:rsidRPr="00520861">
        <w:rPr>
          <w:rFonts w:eastAsia="Calibri"/>
          <w:spacing w:val="-2"/>
          <w:sz w:val="28"/>
          <w:szCs w:val="28"/>
          <w:lang w:eastAsia="en-US"/>
        </w:rPr>
        <w:t xml:space="preserve"> соматичного здоров’я</w:t>
      </w:r>
      <w:r w:rsidRPr="00520861">
        <w:rPr>
          <w:rFonts w:eastAsia="Calibri"/>
          <w:spacing w:val="-2"/>
          <w:sz w:val="28"/>
          <w:szCs w:val="28"/>
          <w:lang w:eastAsia="en-US"/>
        </w:rPr>
        <w:t xml:space="preserve">, проте значною мірою є віддзеркаленням саме стоматологічного статусу обстеженої особи. Також відомо, що при зниженні рівнів амілази РР відбувається зниження її </w:t>
      </w:r>
      <w:proofErr w:type="spellStart"/>
      <w:r w:rsidRPr="00520861">
        <w:rPr>
          <w:rFonts w:eastAsia="Calibri"/>
          <w:spacing w:val="-2"/>
          <w:sz w:val="28"/>
          <w:szCs w:val="28"/>
          <w:lang w:eastAsia="en-US"/>
        </w:rPr>
        <w:t>протективних</w:t>
      </w:r>
      <w:proofErr w:type="spellEnd"/>
      <w:r w:rsidRPr="00520861">
        <w:rPr>
          <w:rFonts w:eastAsia="Calibri"/>
          <w:spacing w:val="-2"/>
          <w:sz w:val="28"/>
          <w:szCs w:val="28"/>
          <w:lang w:eastAsia="en-US"/>
        </w:rPr>
        <w:t xml:space="preserve"> властивостей [</w:t>
      </w:r>
      <w:r w:rsidR="005F727F" w:rsidRPr="00520861">
        <w:rPr>
          <w:rFonts w:eastAsia="Calibri"/>
          <w:spacing w:val="-2"/>
          <w:sz w:val="28"/>
          <w:szCs w:val="28"/>
          <w:lang w:eastAsia="en-US"/>
        </w:rPr>
        <w:t>138</w:t>
      </w:r>
      <w:r w:rsidRPr="00520861">
        <w:rPr>
          <w:rFonts w:eastAsia="Calibri"/>
          <w:spacing w:val="-2"/>
          <w:sz w:val="28"/>
          <w:szCs w:val="28"/>
          <w:lang w:eastAsia="en-US"/>
        </w:rPr>
        <w:t>].</w:t>
      </w:r>
    </w:p>
    <w:p w14:paraId="27CE3FD7" w14:textId="77777777" w:rsidR="005B2BAD" w:rsidRPr="00520861" w:rsidRDefault="005B2BAD" w:rsidP="00292D2E">
      <w:pPr>
        <w:widowControl w:val="0"/>
        <w:spacing w:line="360" w:lineRule="auto"/>
        <w:ind w:right="-1" w:firstLine="708"/>
        <w:contextualSpacing/>
        <w:jc w:val="both"/>
        <w:rPr>
          <w:rFonts w:eastAsia="Calibri"/>
          <w:sz w:val="28"/>
          <w:szCs w:val="28"/>
          <w:lang w:eastAsia="en-US"/>
        </w:rPr>
      </w:pPr>
      <w:r w:rsidRPr="00520861">
        <w:rPr>
          <w:rFonts w:eastAsia="Calibri"/>
          <w:sz w:val="28"/>
          <w:szCs w:val="28"/>
          <w:lang w:eastAsia="en-US"/>
        </w:rPr>
        <w:t>Добре відомо, що визнач</w:t>
      </w:r>
      <w:r w:rsidR="00233F55" w:rsidRPr="00520861">
        <w:rPr>
          <w:rFonts w:eastAsia="Calibri"/>
          <w:sz w:val="28"/>
          <w:szCs w:val="28"/>
          <w:lang w:eastAsia="en-US"/>
        </w:rPr>
        <w:t xml:space="preserve">ення ряду </w:t>
      </w:r>
      <w:proofErr w:type="spellStart"/>
      <w:r w:rsidR="00233F55" w:rsidRPr="00520861">
        <w:rPr>
          <w:rFonts w:eastAsia="Calibri"/>
          <w:sz w:val="28"/>
          <w:szCs w:val="28"/>
          <w:lang w:eastAsia="en-US"/>
        </w:rPr>
        <w:t>біомаркерів</w:t>
      </w:r>
      <w:proofErr w:type="spellEnd"/>
      <w:r w:rsidR="00233F55" w:rsidRPr="00520861">
        <w:rPr>
          <w:rFonts w:eastAsia="Calibri"/>
          <w:sz w:val="28"/>
          <w:szCs w:val="28"/>
          <w:lang w:eastAsia="en-US"/>
        </w:rPr>
        <w:t xml:space="preserve"> у РР</w:t>
      </w:r>
      <w:r w:rsidRPr="00520861">
        <w:rPr>
          <w:rFonts w:eastAsia="Calibri"/>
          <w:sz w:val="28"/>
          <w:szCs w:val="28"/>
          <w:lang w:eastAsia="en-US"/>
        </w:rPr>
        <w:t xml:space="preserve"> дозволяє детально вивчати так</w:t>
      </w:r>
      <w:r w:rsidR="009D55B6" w:rsidRPr="00520861">
        <w:rPr>
          <w:rFonts w:eastAsia="Calibri"/>
          <w:sz w:val="28"/>
          <w:szCs w:val="28"/>
          <w:lang w:eastAsia="en-US"/>
        </w:rPr>
        <w:t xml:space="preserve">і аспекти патогенезу </w:t>
      </w:r>
      <w:proofErr w:type="spellStart"/>
      <w:r w:rsidR="009D55B6" w:rsidRPr="00520861">
        <w:rPr>
          <w:rFonts w:eastAsia="Calibri"/>
          <w:sz w:val="28"/>
          <w:szCs w:val="28"/>
          <w:lang w:eastAsia="en-US"/>
        </w:rPr>
        <w:t>пародонтиту</w:t>
      </w:r>
      <w:proofErr w:type="spellEnd"/>
      <w:r w:rsidRPr="00520861">
        <w:rPr>
          <w:rFonts w:eastAsia="Calibri"/>
          <w:sz w:val="28"/>
          <w:szCs w:val="28"/>
          <w:lang w:eastAsia="en-US"/>
        </w:rPr>
        <w:t xml:space="preserve">, як імунологічний (визначення </w:t>
      </w:r>
      <w:proofErr w:type="spellStart"/>
      <w:r w:rsidRPr="00520861">
        <w:rPr>
          <w:rFonts w:eastAsia="Calibri"/>
          <w:sz w:val="28"/>
          <w:szCs w:val="28"/>
          <w:lang w:eastAsia="en-US"/>
        </w:rPr>
        <w:t>імуноглобулінів</w:t>
      </w:r>
      <w:proofErr w:type="spellEnd"/>
      <w:r w:rsidRPr="00520861">
        <w:rPr>
          <w:rFonts w:eastAsia="Calibri"/>
          <w:sz w:val="28"/>
          <w:szCs w:val="28"/>
          <w:lang w:eastAsia="en-US"/>
        </w:rPr>
        <w:t xml:space="preserve"> різних класів, насамперед секреторного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w:t>
      </w:r>
      <w:r w:rsidR="005F727F" w:rsidRPr="00520861">
        <w:rPr>
          <w:rFonts w:eastAsia="Calibri"/>
          <w:sz w:val="28"/>
          <w:szCs w:val="28"/>
          <w:lang w:eastAsia="en-US"/>
        </w:rPr>
        <w:t>229</w:t>
      </w:r>
      <w:r w:rsidR="00B96BCC" w:rsidRPr="00520861">
        <w:rPr>
          <w:rFonts w:eastAsia="Calibri"/>
          <w:sz w:val="28"/>
          <w:szCs w:val="28"/>
          <w:lang w:eastAsia="en-US"/>
        </w:rPr>
        <w:t>]</w:t>
      </w:r>
      <w:r w:rsidR="00ED43CA" w:rsidRPr="00520861">
        <w:rPr>
          <w:rFonts w:eastAsia="Calibri"/>
          <w:sz w:val="28"/>
          <w:szCs w:val="28"/>
          <w:lang w:eastAsia="en-US"/>
        </w:rPr>
        <w:t>,</w:t>
      </w:r>
      <w:r w:rsidRPr="00520861">
        <w:rPr>
          <w:rFonts w:eastAsia="Calibri"/>
          <w:sz w:val="28"/>
          <w:szCs w:val="28"/>
          <w:lang w:eastAsia="en-US"/>
        </w:rPr>
        <w:t xml:space="preserve"> і запальний (</w:t>
      </w:r>
      <w:proofErr w:type="spellStart"/>
      <w:r w:rsidRPr="00520861">
        <w:rPr>
          <w:rFonts w:eastAsia="Calibri"/>
          <w:sz w:val="28"/>
          <w:szCs w:val="28"/>
          <w:lang w:eastAsia="en-US"/>
        </w:rPr>
        <w:t>інтерлейкіни</w:t>
      </w:r>
      <w:proofErr w:type="spellEnd"/>
      <w:r w:rsidRPr="00520861">
        <w:rPr>
          <w:rFonts w:eastAsia="Calibri"/>
          <w:sz w:val="28"/>
          <w:szCs w:val="28"/>
          <w:lang w:eastAsia="en-US"/>
        </w:rPr>
        <w:t xml:space="preserve">, </w:t>
      </w:r>
      <w:r w:rsidR="008D05CF" w:rsidRPr="00520861">
        <w:rPr>
          <w:rFonts w:eastAsia="Calibri"/>
          <w:sz w:val="28"/>
          <w:szCs w:val="28"/>
          <w:lang w:eastAsia="en-US"/>
        </w:rPr>
        <w:br/>
      </w:r>
      <w:r w:rsidRPr="00520861">
        <w:rPr>
          <w:rFonts w:eastAsia="Calibri"/>
          <w:sz w:val="28"/>
          <w:szCs w:val="28"/>
          <w:lang w:eastAsia="en-US"/>
        </w:rPr>
        <w:t xml:space="preserve">С-реактивний протеїн, фактор некрозу пухлини-альфа), а також дослідити </w:t>
      </w:r>
      <w:r w:rsidR="008D05CF" w:rsidRPr="00520861">
        <w:rPr>
          <w:rFonts w:eastAsia="Calibri"/>
          <w:sz w:val="28"/>
          <w:szCs w:val="28"/>
          <w:lang w:eastAsia="en-US"/>
        </w:rPr>
        <w:br/>
      </w:r>
      <w:r w:rsidRPr="00520861">
        <w:rPr>
          <w:rFonts w:eastAsia="Calibri"/>
          <w:sz w:val="28"/>
          <w:szCs w:val="28"/>
          <w:lang w:eastAsia="en-US"/>
        </w:rPr>
        <w:t>взаємозв’язок деградації тканин (</w:t>
      </w:r>
      <w:proofErr w:type="spellStart"/>
      <w:r w:rsidRPr="00520861">
        <w:rPr>
          <w:rFonts w:eastAsia="Calibri"/>
          <w:sz w:val="28"/>
          <w:szCs w:val="28"/>
          <w:lang w:eastAsia="en-US"/>
        </w:rPr>
        <w:t>матриксні</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металопротеїнази</w:t>
      </w:r>
      <w:proofErr w:type="spellEnd"/>
      <w:r w:rsidRPr="00520861">
        <w:rPr>
          <w:rFonts w:eastAsia="Calibri"/>
          <w:sz w:val="28"/>
          <w:szCs w:val="28"/>
          <w:lang w:eastAsia="en-US"/>
        </w:rPr>
        <w:t xml:space="preserve">, амінотрансферази) із резорбцією кісткової тканини (ЛФ, </w:t>
      </w:r>
      <w:proofErr w:type="spellStart"/>
      <w:r w:rsidRPr="00520861">
        <w:rPr>
          <w:rFonts w:eastAsia="Calibri"/>
          <w:sz w:val="28"/>
          <w:szCs w:val="28"/>
          <w:lang w:eastAsia="en-US"/>
        </w:rPr>
        <w:t>остеопротегерин</w:t>
      </w:r>
      <w:proofErr w:type="spellEnd"/>
      <w:r w:rsidRPr="00520861">
        <w:rPr>
          <w:rFonts w:eastAsia="Calibri"/>
          <w:sz w:val="28"/>
          <w:szCs w:val="28"/>
          <w:lang w:eastAsia="en-US"/>
        </w:rPr>
        <w:t xml:space="preserve">). </w:t>
      </w:r>
    </w:p>
    <w:p w14:paraId="2E73F41F" w14:textId="77777777" w:rsidR="005B2BAD" w:rsidRPr="00520861" w:rsidRDefault="005B2BAD"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Важливу роль у розвитку гострого та хронічного запалення відіграє інтерлейкін-1 (ІЛ-1). Він є </w:t>
      </w:r>
      <w:proofErr w:type="spellStart"/>
      <w:r w:rsidRPr="00520861">
        <w:rPr>
          <w:rFonts w:eastAsia="Calibri"/>
          <w:sz w:val="28"/>
          <w:szCs w:val="28"/>
          <w:lang w:eastAsia="en-US"/>
        </w:rPr>
        <w:t>прозапальн</w:t>
      </w:r>
      <w:r w:rsidR="00ED43CA" w:rsidRPr="00520861">
        <w:rPr>
          <w:rFonts w:eastAsia="Calibri"/>
          <w:sz w:val="28"/>
          <w:szCs w:val="28"/>
          <w:lang w:eastAsia="en-US"/>
        </w:rPr>
        <w:t>им</w:t>
      </w:r>
      <w:proofErr w:type="spellEnd"/>
      <w:r w:rsidR="00ED43CA" w:rsidRPr="00520861">
        <w:rPr>
          <w:rFonts w:eastAsia="Calibri"/>
          <w:sz w:val="28"/>
          <w:szCs w:val="28"/>
          <w:lang w:eastAsia="en-US"/>
        </w:rPr>
        <w:t xml:space="preserve"> цитокіном, який бере участь в</w:t>
      </w:r>
      <w:r w:rsidRPr="00520861">
        <w:rPr>
          <w:rFonts w:eastAsia="Calibri"/>
          <w:sz w:val="28"/>
          <w:szCs w:val="28"/>
          <w:lang w:eastAsia="en-US"/>
        </w:rPr>
        <w:t xml:space="preserve"> імунній регуляції та відповіді на запальний процес. Цей ІЛ виступає не лише медіатором запалення, </w:t>
      </w:r>
      <w:r w:rsidR="007C6FBE" w:rsidRPr="00520861">
        <w:rPr>
          <w:rFonts w:eastAsia="Calibri"/>
          <w:sz w:val="28"/>
          <w:szCs w:val="28"/>
          <w:lang w:eastAsia="en-US"/>
        </w:rPr>
        <w:br/>
      </w:r>
      <w:r w:rsidRPr="00520861">
        <w:rPr>
          <w:rFonts w:eastAsia="Calibri"/>
          <w:sz w:val="28"/>
          <w:szCs w:val="28"/>
          <w:lang w:eastAsia="en-US"/>
        </w:rPr>
        <w:t xml:space="preserve">але є важливим регулятором </w:t>
      </w:r>
      <w:proofErr w:type="spellStart"/>
      <w:r w:rsidRPr="00520861">
        <w:rPr>
          <w:rFonts w:eastAsia="Calibri"/>
          <w:sz w:val="28"/>
          <w:szCs w:val="28"/>
          <w:lang w:eastAsia="en-US"/>
        </w:rPr>
        <w:t>екстрацелюлярного</w:t>
      </w:r>
      <w:proofErr w:type="spellEnd"/>
      <w:r w:rsidRPr="00520861">
        <w:rPr>
          <w:rFonts w:eastAsia="Calibri"/>
          <w:sz w:val="28"/>
          <w:szCs w:val="28"/>
          <w:lang w:eastAsia="en-US"/>
        </w:rPr>
        <w:t xml:space="preserve"> матриксу та метаболізму кісткової тканини. Крім того, ІЛ-1β пригнічує репаративні процеси при </w:t>
      </w:r>
      <w:proofErr w:type="spellStart"/>
      <w:r w:rsidRPr="00520861">
        <w:rPr>
          <w:rFonts w:eastAsia="Calibri"/>
          <w:sz w:val="28"/>
          <w:szCs w:val="28"/>
          <w:lang w:eastAsia="en-US"/>
        </w:rPr>
        <w:t>пародонтиті</w:t>
      </w:r>
      <w:proofErr w:type="spellEnd"/>
      <w:r w:rsidRPr="00520861">
        <w:rPr>
          <w:rFonts w:eastAsia="Calibri"/>
          <w:sz w:val="28"/>
          <w:szCs w:val="28"/>
          <w:lang w:eastAsia="en-US"/>
        </w:rPr>
        <w:t xml:space="preserve">, що обтяжує перебіг захворювання та сприяє </w:t>
      </w:r>
      <w:proofErr w:type="spellStart"/>
      <w:r w:rsidRPr="00520861">
        <w:rPr>
          <w:rFonts w:eastAsia="Calibri"/>
          <w:sz w:val="28"/>
          <w:szCs w:val="28"/>
          <w:lang w:eastAsia="en-US"/>
        </w:rPr>
        <w:t>хронізації</w:t>
      </w:r>
      <w:proofErr w:type="spellEnd"/>
      <w:r w:rsidRPr="00520861">
        <w:rPr>
          <w:rFonts w:eastAsia="Calibri"/>
          <w:sz w:val="28"/>
          <w:szCs w:val="28"/>
          <w:lang w:eastAsia="en-US"/>
        </w:rPr>
        <w:t xml:space="preserve"> патологічного процесу.</w:t>
      </w:r>
    </w:p>
    <w:p w14:paraId="31691B02" w14:textId="77777777" w:rsidR="005B2BAD" w:rsidRPr="00520861" w:rsidRDefault="005B2BAD" w:rsidP="00292D2E">
      <w:pPr>
        <w:widowControl w:val="0"/>
        <w:spacing w:line="360" w:lineRule="auto"/>
        <w:ind w:right="-1" w:firstLine="709"/>
        <w:contextualSpacing/>
        <w:jc w:val="both"/>
        <w:rPr>
          <w:sz w:val="28"/>
          <w:szCs w:val="28"/>
        </w:rPr>
      </w:pPr>
      <w:r w:rsidRPr="00520861">
        <w:rPr>
          <w:rFonts w:eastAsia="Calibri"/>
          <w:sz w:val="28"/>
          <w:szCs w:val="28"/>
          <w:lang w:eastAsia="en-US"/>
        </w:rPr>
        <w:t xml:space="preserve">Одним із найважливіших маркерів, що характеризує стан сполучної тканини, </w:t>
      </w:r>
      <w:r w:rsidR="007C6FBE" w:rsidRPr="00520861">
        <w:rPr>
          <w:rFonts w:eastAsia="Calibri"/>
          <w:sz w:val="28"/>
          <w:szCs w:val="28"/>
          <w:lang w:eastAsia="en-US"/>
        </w:rPr>
        <w:br/>
      </w:r>
      <w:r w:rsidRPr="00520861">
        <w:rPr>
          <w:rFonts w:eastAsia="Calibri"/>
          <w:sz w:val="28"/>
          <w:szCs w:val="28"/>
          <w:lang w:eastAsia="en-US"/>
        </w:rPr>
        <w:t xml:space="preserve">є вміст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в біологічних рідинах. </w:t>
      </w:r>
      <w:r w:rsidRPr="00520861">
        <w:rPr>
          <w:sz w:val="28"/>
          <w:szCs w:val="28"/>
        </w:rPr>
        <w:t xml:space="preserve">Загальновідомо, що підвищення </w:t>
      </w:r>
      <w:r w:rsidR="00AC5E45" w:rsidRPr="00520861">
        <w:rPr>
          <w:sz w:val="28"/>
          <w:szCs w:val="28"/>
        </w:rPr>
        <w:br/>
      </w:r>
      <w:r w:rsidRPr="00520861">
        <w:rPr>
          <w:sz w:val="28"/>
          <w:szCs w:val="28"/>
        </w:rPr>
        <w:t xml:space="preserve">концентрації </w:t>
      </w:r>
      <w:proofErr w:type="spellStart"/>
      <w:r w:rsidRPr="00520861">
        <w:rPr>
          <w:sz w:val="28"/>
          <w:szCs w:val="28"/>
        </w:rPr>
        <w:t>гідроксипроліну</w:t>
      </w:r>
      <w:proofErr w:type="spellEnd"/>
      <w:r w:rsidRPr="00520861">
        <w:rPr>
          <w:sz w:val="28"/>
          <w:szCs w:val="28"/>
        </w:rPr>
        <w:t xml:space="preserve"> відбувається внаслідок деградації колагену та є одним із </w:t>
      </w:r>
      <w:proofErr w:type="spellStart"/>
      <w:r w:rsidRPr="00520861">
        <w:rPr>
          <w:sz w:val="28"/>
          <w:szCs w:val="28"/>
        </w:rPr>
        <w:t>біомаркерів</w:t>
      </w:r>
      <w:proofErr w:type="spellEnd"/>
      <w:r w:rsidRPr="00520861">
        <w:rPr>
          <w:sz w:val="28"/>
          <w:szCs w:val="28"/>
        </w:rPr>
        <w:t xml:space="preserve"> </w:t>
      </w:r>
      <w:proofErr w:type="spellStart"/>
      <w:r w:rsidRPr="00520861">
        <w:rPr>
          <w:sz w:val="28"/>
          <w:szCs w:val="28"/>
        </w:rPr>
        <w:t>доклінічної</w:t>
      </w:r>
      <w:proofErr w:type="spellEnd"/>
      <w:r w:rsidRPr="00520861">
        <w:rPr>
          <w:sz w:val="28"/>
          <w:szCs w:val="28"/>
        </w:rPr>
        <w:t xml:space="preserve"> діагностики </w:t>
      </w:r>
      <w:proofErr w:type="spellStart"/>
      <w:r w:rsidR="004E723F" w:rsidRPr="00520861">
        <w:rPr>
          <w:sz w:val="28"/>
          <w:szCs w:val="28"/>
        </w:rPr>
        <w:t>СтП</w:t>
      </w:r>
      <w:proofErr w:type="spellEnd"/>
      <w:r w:rsidRPr="00520861">
        <w:rPr>
          <w:sz w:val="28"/>
          <w:szCs w:val="28"/>
        </w:rPr>
        <w:t xml:space="preserve"> </w:t>
      </w:r>
      <w:r w:rsidRPr="00520861">
        <w:rPr>
          <w:rFonts w:eastAsia="Calibri"/>
          <w:sz w:val="28"/>
          <w:szCs w:val="28"/>
          <w:lang w:eastAsia="en-US"/>
        </w:rPr>
        <w:t>[</w:t>
      </w:r>
      <w:r w:rsidR="005F727F" w:rsidRPr="00520861">
        <w:rPr>
          <w:rFonts w:eastAsia="Calibri"/>
          <w:sz w:val="28"/>
          <w:szCs w:val="28"/>
          <w:lang w:eastAsia="en-US"/>
        </w:rPr>
        <w:t>378</w:t>
      </w:r>
      <w:r w:rsidRPr="00520861">
        <w:rPr>
          <w:rFonts w:eastAsia="Calibri"/>
          <w:sz w:val="28"/>
          <w:szCs w:val="28"/>
          <w:lang w:eastAsia="en-US"/>
        </w:rPr>
        <w:t>]</w:t>
      </w:r>
      <w:r w:rsidRPr="00520861">
        <w:rPr>
          <w:sz w:val="28"/>
          <w:szCs w:val="28"/>
        </w:rPr>
        <w:t>.</w:t>
      </w:r>
    </w:p>
    <w:p w14:paraId="283DFC16" w14:textId="77777777" w:rsidR="005B2BAD" w:rsidRPr="00520861" w:rsidRDefault="005B2BAD" w:rsidP="00292D2E">
      <w:pPr>
        <w:widowControl w:val="0"/>
        <w:spacing w:line="360" w:lineRule="auto"/>
        <w:ind w:right="-1" w:firstLine="709"/>
        <w:contextualSpacing/>
        <w:jc w:val="both"/>
        <w:rPr>
          <w:sz w:val="28"/>
          <w:szCs w:val="28"/>
        </w:rPr>
      </w:pPr>
      <w:r w:rsidRPr="00520861">
        <w:rPr>
          <w:sz w:val="28"/>
          <w:szCs w:val="28"/>
        </w:rPr>
        <w:t>Концентрацію</w:t>
      </w:r>
      <w:r w:rsidR="00174453" w:rsidRPr="00520861">
        <w:rPr>
          <w:sz w:val="28"/>
          <w:szCs w:val="28"/>
        </w:rPr>
        <w:t xml:space="preserve"> </w:t>
      </w:r>
      <w:proofErr w:type="spellStart"/>
      <w:r w:rsidR="00174453" w:rsidRPr="00520861">
        <w:rPr>
          <w:sz w:val="28"/>
          <w:szCs w:val="28"/>
        </w:rPr>
        <w:t>аланінамінотрансферази</w:t>
      </w:r>
      <w:proofErr w:type="spellEnd"/>
      <w:r w:rsidR="00174453" w:rsidRPr="00520861">
        <w:rPr>
          <w:sz w:val="28"/>
          <w:szCs w:val="28"/>
        </w:rPr>
        <w:t xml:space="preserve"> (</w:t>
      </w:r>
      <w:proofErr w:type="spellStart"/>
      <w:r w:rsidR="00174453" w:rsidRPr="00520861">
        <w:rPr>
          <w:sz w:val="28"/>
          <w:szCs w:val="28"/>
        </w:rPr>
        <w:t>АлАт</w:t>
      </w:r>
      <w:proofErr w:type="spellEnd"/>
      <w:r w:rsidR="00174453" w:rsidRPr="00520861">
        <w:rPr>
          <w:sz w:val="28"/>
          <w:szCs w:val="28"/>
        </w:rPr>
        <w:t xml:space="preserve">) </w:t>
      </w:r>
      <w:r w:rsidRPr="00520861">
        <w:rPr>
          <w:sz w:val="28"/>
          <w:szCs w:val="28"/>
        </w:rPr>
        <w:t xml:space="preserve">та </w:t>
      </w:r>
      <w:proofErr w:type="spellStart"/>
      <w:r w:rsidRPr="00520861">
        <w:rPr>
          <w:sz w:val="28"/>
          <w:szCs w:val="28"/>
        </w:rPr>
        <w:t>аспартатамінотрансферази</w:t>
      </w:r>
      <w:proofErr w:type="spellEnd"/>
      <w:r w:rsidRPr="00520861">
        <w:rPr>
          <w:sz w:val="28"/>
          <w:szCs w:val="28"/>
        </w:rPr>
        <w:t xml:space="preserve"> (</w:t>
      </w:r>
      <w:proofErr w:type="spellStart"/>
      <w:r w:rsidRPr="00520861">
        <w:rPr>
          <w:sz w:val="28"/>
          <w:szCs w:val="28"/>
        </w:rPr>
        <w:t>АсАт</w:t>
      </w:r>
      <w:proofErr w:type="spellEnd"/>
      <w:r w:rsidRPr="00520861">
        <w:rPr>
          <w:sz w:val="28"/>
          <w:szCs w:val="28"/>
        </w:rPr>
        <w:t>) стоматологи використовують у якості</w:t>
      </w:r>
      <w:r w:rsidR="00174453" w:rsidRPr="00520861">
        <w:rPr>
          <w:sz w:val="28"/>
          <w:szCs w:val="28"/>
        </w:rPr>
        <w:t xml:space="preserve"> </w:t>
      </w:r>
      <w:r w:rsidRPr="00520861">
        <w:rPr>
          <w:sz w:val="28"/>
          <w:szCs w:val="28"/>
        </w:rPr>
        <w:t>маркерів активності неспецифічного запалення в пародонті, зокрема при діагностиці [</w:t>
      </w:r>
      <w:r w:rsidR="005F727F" w:rsidRPr="00520861">
        <w:rPr>
          <w:sz w:val="28"/>
          <w:szCs w:val="28"/>
        </w:rPr>
        <w:t>341</w:t>
      </w:r>
      <w:r w:rsidR="00ED43CA" w:rsidRPr="00520861">
        <w:rPr>
          <w:sz w:val="28"/>
          <w:szCs w:val="28"/>
        </w:rPr>
        <w:t>] й</w:t>
      </w:r>
      <w:r w:rsidRPr="00520861">
        <w:rPr>
          <w:sz w:val="28"/>
          <w:szCs w:val="28"/>
        </w:rPr>
        <w:t xml:space="preserve"> оцінювання я</w:t>
      </w:r>
      <w:r w:rsidR="00A50979" w:rsidRPr="00520861">
        <w:rPr>
          <w:sz w:val="28"/>
          <w:szCs w:val="28"/>
        </w:rPr>
        <w:t xml:space="preserve">кості лікування </w:t>
      </w:r>
      <w:proofErr w:type="spellStart"/>
      <w:r w:rsidR="00A50979" w:rsidRPr="00520861">
        <w:rPr>
          <w:sz w:val="28"/>
          <w:szCs w:val="28"/>
        </w:rPr>
        <w:t>хвороб</w:t>
      </w:r>
      <w:proofErr w:type="spellEnd"/>
      <w:r w:rsidR="00A50979" w:rsidRPr="00520861">
        <w:rPr>
          <w:sz w:val="28"/>
          <w:szCs w:val="28"/>
        </w:rPr>
        <w:t xml:space="preserve"> </w:t>
      </w:r>
      <w:proofErr w:type="spellStart"/>
      <w:r w:rsidR="00A50979" w:rsidRPr="00520861">
        <w:rPr>
          <w:sz w:val="28"/>
          <w:szCs w:val="28"/>
        </w:rPr>
        <w:t>пародонта</w:t>
      </w:r>
      <w:proofErr w:type="spellEnd"/>
      <w:r w:rsidRPr="00520861">
        <w:rPr>
          <w:sz w:val="28"/>
          <w:szCs w:val="28"/>
        </w:rPr>
        <w:t xml:space="preserve"> [</w:t>
      </w:r>
      <w:r w:rsidR="005F727F" w:rsidRPr="00520861">
        <w:rPr>
          <w:sz w:val="28"/>
          <w:szCs w:val="28"/>
        </w:rPr>
        <w:t>148</w:t>
      </w:r>
      <w:r w:rsidRPr="00520861">
        <w:rPr>
          <w:sz w:val="28"/>
          <w:szCs w:val="28"/>
        </w:rPr>
        <w:t>].</w:t>
      </w:r>
    </w:p>
    <w:p w14:paraId="6CFCA218" w14:textId="77777777" w:rsidR="005B2BAD" w:rsidRPr="00520861" w:rsidRDefault="005B2BAD" w:rsidP="00292D2E">
      <w:pPr>
        <w:widowControl w:val="0"/>
        <w:spacing w:line="360" w:lineRule="auto"/>
        <w:ind w:firstLine="708"/>
        <w:jc w:val="both"/>
        <w:rPr>
          <w:rFonts w:eastAsia="Calibri"/>
          <w:kern w:val="36"/>
          <w:sz w:val="28"/>
          <w:szCs w:val="28"/>
        </w:rPr>
      </w:pPr>
      <w:r w:rsidRPr="00520861">
        <w:rPr>
          <w:rFonts w:eastAsia="Calibri"/>
          <w:sz w:val="28"/>
          <w:szCs w:val="28"/>
          <w:lang w:eastAsia="en-US"/>
        </w:rPr>
        <w:t>Беручи до уваги зазначене ви</w:t>
      </w:r>
      <w:r w:rsidR="00174453" w:rsidRPr="00520861">
        <w:rPr>
          <w:rFonts w:eastAsia="Calibri"/>
          <w:sz w:val="28"/>
          <w:szCs w:val="28"/>
          <w:lang w:eastAsia="en-US"/>
        </w:rPr>
        <w:t xml:space="preserve">ще, науковий інтерес становить </w:t>
      </w:r>
      <w:r w:rsidRPr="00520861">
        <w:rPr>
          <w:rFonts w:eastAsia="Calibri"/>
          <w:sz w:val="28"/>
          <w:szCs w:val="28"/>
          <w:lang w:eastAsia="en-US"/>
        </w:rPr>
        <w:t>порівняння рів</w:t>
      </w:r>
      <w:r w:rsidR="009D55B6" w:rsidRPr="00520861">
        <w:rPr>
          <w:rFonts w:eastAsia="Calibri"/>
          <w:sz w:val="28"/>
          <w:szCs w:val="28"/>
          <w:lang w:eastAsia="en-US"/>
        </w:rPr>
        <w:t>нів кальцію, фосфору</w:t>
      </w:r>
      <w:r w:rsidRPr="00520861">
        <w:rPr>
          <w:rFonts w:eastAsia="Calibri"/>
          <w:sz w:val="28"/>
          <w:szCs w:val="28"/>
          <w:lang w:eastAsia="en-US"/>
        </w:rPr>
        <w:t xml:space="preserve"> та активності ЛФ у РР в </w:t>
      </w:r>
      <w:r w:rsidR="00174453" w:rsidRPr="00520861">
        <w:rPr>
          <w:rFonts w:eastAsia="Calibri"/>
          <w:sz w:val="28"/>
          <w:szCs w:val="28"/>
          <w:lang w:eastAsia="en-US"/>
        </w:rPr>
        <w:t>осіб</w:t>
      </w:r>
      <w:r w:rsidRPr="00520861">
        <w:rPr>
          <w:rFonts w:eastAsia="Calibri"/>
          <w:sz w:val="28"/>
          <w:szCs w:val="28"/>
          <w:lang w:eastAsia="en-US"/>
        </w:rPr>
        <w:t xml:space="preserve"> різного віку, які наро</w:t>
      </w:r>
      <w:r w:rsidR="00991143" w:rsidRPr="00520861">
        <w:rPr>
          <w:rFonts w:eastAsia="Calibri"/>
          <w:sz w:val="28"/>
          <w:szCs w:val="28"/>
          <w:lang w:eastAsia="en-US"/>
        </w:rPr>
        <w:t>дилися</w:t>
      </w:r>
      <w:r w:rsidRPr="00520861">
        <w:rPr>
          <w:rFonts w:eastAsia="Calibri"/>
          <w:sz w:val="28"/>
          <w:szCs w:val="28"/>
          <w:lang w:eastAsia="en-US"/>
        </w:rPr>
        <w:t xml:space="preserve">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з метою пояснення в останніх високої поширеності порушень</w:t>
      </w:r>
      <w:r w:rsidR="004E723F" w:rsidRPr="00520861">
        <w:rPr>
          <w:rFonts w:eastAsia="Calibri"/>
          <w:sz w:val="28"/>
          <w:szCs w:val="28"/>
          <w:lang w:eastAsia="en-US"/>
        </w:rPr>
        <w:t xml:space="preserve"> СГС</w:t>
      </w:r>
      <w:r w:rsidRPr="00520861">
        <w:rPr>
          <w:rFonts w:eastAsia="Calibri"/>
          <w:sz w:val="28"/>
          <w:szCs w:val="28"/>
          <w:lang w:eastAsia="en-US"/>
        </w:rPr>
        <w:t xml:space="preserve">; визначення вмісту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кортизолу</w:t>
      </w:r>
      <w:proofErr w:type="spellEnd"/>
      <w:r w:rsidRPr="00520861">
        <w:rPr>
          <w:rFonts w:eastAsia="Calibri"/>
          <w:kern w:val="36"/>
          <w:sz w:val="28"/>
          <w:szCs w:val="28"/>
        </w:rPr>
        <w:t xml:space="preserve"> та ІЛ-6</w:t>
      </w:r>
      <w:r w:rsidRPr="00520861">
        <w:rPr>
          <w:rFonts w:eastAsia="Calibri"/>
          <w:sz w:val="28"/>
          <w:szCs w:val="28"/>
          <w:lang w:eastAsia="en-US"/>
        </w:rPr>
        <w:t xml:space="preserve">, </w:t>
      </w:r>
      <w:r w:rsidR="008D05CF" w:rsidRPr="00520861">
        <w:rPr>
          <w:rFonts w:eastAsia="Calibri"/>
          <w:sz w:val="28"/>
          <w:szCs w:val="28"/>
          <w:lang w:eastAsia="en-US"/>
        </w:rPr>
        <w:br/>
      </w:r>
      <w:r w:rsidRPr="00520861">
        <w:rPr>
          <w:rFonts w:eastAsia="Calibri"/>
          <w:kern w:val="36"/>
          <w:sz w:val="28"/>
          <w:szCs w:val="28"/>
        </w:rPr>
        <w:t xml:space="preserve">дослідження </w:t>
      </w:r>
      <w:r w:rsidRPr="00520861">
        <w:rPr>
          <w:rFonts w:eastAsia="Calibri"/>
          <w:sz w:val="28"/>
          <w:szCs w:val="28"/>
          <w:lang w:eastAsia="en-US"/>
        </w:rPr>
        <w:t xml:space="preserve">активності ключових ферментів антиоксидантного захисту – </w:t>
      </w:r>
      <w:proofErr w:type="spellStart"/>
      <w:r w:rsidRPr="00520861">
        <w:rPr>
          <w:rFonts w:eastAsia="Calibri"/>
          <w:sz w:val="28"/>
          <w:szCs w:val="28"/>
          <w:lang w:eastAsia="en-US"/>
        </w:rPr>
        <w:t>супероксид</w:t>
      </w:r>
      <w:r w:rsidR="00F16775" w:rsidRPr="00520861">
        <w:rPr>
          <w:rFonts w:eastAsia="Calibri"/>
          <w:sz w:val="28"/>
          <w:szCs w:val="28"/>
          <w:lang w:eastAsia="en-US"/>
        </w:rPr>
        <w:t>-</w:t>
      </w:r>
      <w:r w:rsidRPr="00520861">
        <w:rPr>
          <w:rFonts w:eastAsia="Calibri"/>
          <w:sz w:val="28"/>
          <w:szCs w:val="28"/>
          <w:lang w:eastAsia="en-US"/>
        </w:rPr>
        <w:t>дисмута</w:t>
      </w:r>
      <w:r w:rsidR="00ED43CA" w:rsidRPr="00520861">
        <w:rPr>
          <w:rFonts w:eastAsia="Calibri"/>
          <w:sz w:val="28"/>
          <w:szCs w:val="28"/>
          <w:lang w:eastAsia="en-US"/>
        </w:rPr>
        <w:t>зи</w:t>
      </w:r>
      <w:proofErr w:type="spellEnd"/>
      <w:r w:rsidR="00ED43CA" w:rsidRPr="00520861">
        <w:rPr>
          <w:rFonts w:eastAsia="Calibri"/>
          <w:sz w:val="28"/>
          <w:szCs w:val="28"/>
          <w:lang w:eastAsia="en-US"/>
        </w:rPr>
        <w:t xml:space="preserve"> (СОД) та каталази, активно</w:t>
      </w:r>
      <w:r w:rsidRPr="00520861">
        <w:rPr>
          <w:rFonts w:eastAsia="Calibri"/>
          <w:sz w:val="28"/>
          <w:szCs w:val="28"/>
          <w:lang w:eastAsia="en-US"/>
        </w:rPr>
        <w:t xml:space="preserve">сті </w:t>
      </w:r>
      <w:r w:rsidRPr="00520861">
        <w:rPr>
          <w:rFonts w:eastAsia="Calibri"/>
          <w:kern w:val="36"/>
          <w:sz w:val="28"/>
          <w:szCs w:val="28"/>
        </w:rPr>
        <w:t>α-амілази</w:t>
      </w:r>
      <w:r w:rsidRPr="00520861">
        <w:rPr>
          <w:rFonts w:eastAsia="Calibri"/>
          <w:sz w:val="28"/>
          <w:szCs w:val="28"/>
          <w:lang w:eastAsia="en-US"/>
        </w:rPr>
        <w:t>, а також</w:t>
      </w:r>
      <w:r w:rsidRPr="00520861">
        <w:rPr>
          <w:rFonts w:eastAsia="Calibri"/>
          <w:kern w:val="36"/>
          <w:sz w:val="28"/>
          <w:szCs w:val="28"/>
        </w:rPr>
        <w:t xml:space="preserve"> рівнів</w:t>
      </w:r>
      <w:r w:rsidRPr="00520861">
        <w:rPr>
          <w:rFonts w:eastAsia="Calibri"/>
          <w:sz w:val="28"/>
          <w:szCs w:val="28"/>
          <w:lang w:eastAsia="en-US"/>
        </w:rPr>
        <w:t xml:space="preserve"> продуктів </w:t>
      </w:r>
      <w:r w:rsidR="008D05CF" w:rsidRPr="00520861">
        <w:rPr>
          <w:rFonts w:eastAsia="Calibri"/>
          <w:sz w:val="28"/>
          <w:szCs w:val="28"/>
          <w:lang w:eastAsia="en-US"/>
        </w:rPr>
        <w:br/>
      </w:r>
      <w:proofErr w:type="spellStart"/>
      <w:r w:rsidRPr="00520861">
        <w:rPr>
          <w:rFonts w:eastAsia="Calibri"/>
          <w:sz w:val="28"/>
          <w:szCs w:val="28"/>
          <w:lang w:eastAsia="en-US"/>
        </w:rPr>
        <w:lastRenderedPageBreak/>
        <w:t>перикисного</w:t>
      </w:r>
      <w:proofErr w:type="spellEnd"/>
      <w:r w:rsidRPr="00520861">
        <w:rPr>
          <w:rFonts w:eastAsia="Calibri"/>
          <w:sz w:val="28"/>
          <w:szCs w:val="28"/>
          <w:lang w:eastAsia="en-US"/>
        </w:rPr>
        <w:t xml:space="preserve"> окис</w:t>
      </w:r>
      <w:r w:rsidR="00E15AB7" w:rsidRPr="00520861">
        <w:rPr>
          <w:rFonts w:eastAsia="Calibri"/>
          <w:sz w:val="28"/>
          <w:szCs w:val="28"/>
          <w:lang w:eastAsia="en-US"/>
        </w:rPr>
        <w:t>л</w:t>
      </w:r>
      <w:r w:rsidRPr="00520861">
        <w:rPr>
          <w:rFonts w:eastAsia="Calibri"/>
          <w:sz w:val="28"/>
          <w:szCs w:val="28"/>
          <w:lang w:eastAsia="en-US"/>
        </w:rPr>
        <w:t xml:space="preserve">ення ліпідів (ПОЛ) – ТБК-АП </w:t>
      </w:r>
      <w:r w:rsidRPr="00520861">
        <w:rPr>
          <w:rFonts w:eastAsia="Calibri"/>
          <w:kern w:val="36"/>
          <w:sz w:val="28"/>
          <w:szCs w:val="28"/>
        </w:rPr>
        <w:t>у РР учасників дослідження та виявлення зв’язку змін цих показників із різною інтенсивністю каріозног</w:t>
      </w:r>
      <w:r w:rsidR="00991143" w:rsidRPr="00520861">
        <w:rPr>
          <w:rFonts w:eastAsia="Calibri"/>
          <w:kern w:val="36"/>
          <w:sz w:val="28"/>
          <w:szCs w:val="28"/>
        </w:rPr>
        <w:t>о процесу в осіб, які народилися</w:t>
      </w:r>
      <w:r w:rsidRPr="00520861">
        <w:rPr>
          <w:rFonts w:eastAsia="Calibri"/>
          <w:kern w:val="36"/>
          <w:sz w:val="28"/>
          <w:szCs w:val="28"/>
        </w:rPr>
        <w:t xml:space="preserve"> </w:t>
      </w:r>
      <w:proofErr w:type="spellStart"/>
      <w:r w:rsidRPr="00520861">
        <w:rPr>
          <w:rFonts w:eastAsia="Calibri"/>
          <w:kern w:val="36"/>
          <w:sz w:val="28"/>
          <w:szCs w:val="28"/>
        </w:rPr>
        <w:t>макросомами</w:t>
      </w:r>
      <w:proofErr w:type="spellEnd"/>
      <w:r w:rsidRPr="00520861">
        <w:rPr>
          <w:rFonts w:eastAsia="Calibri"/>
          <w:kern w:val="36"/>
          <w:sz w:val="28"/>
          <w:szCs w:val="28"/>
        </w:rPr>
        <w:t>, а також виявлення вз</w:t>
      </w:r>
      <w:r w:rsidR="001A1AB5" w:rsidRPr="00520861">
        <w:rPr>
          <w:rFonts w:eastAsia="Calibri"/>
          <w:kern w:val="36"/>
          <w:sz w:val="28"/>
          <w:szCs w:val="28"/>
        </w:rPr>
        <w:t xml:space="preserve">аємозв’язку динаміки рівнів </w:t>
      </w:r>
      <w:proofErr w:type="spellStart"/>
      <w:r w:rsidR="001A1AB5" w:rsidRPr="00520861">
        <w:rPr>
          <w:rFonts w:eastAsia="Calibri"/>
          <w:kern w:val="36"/>
          <w:sz w:val="28"/>
          <w:szCs w:val="28"/>
        </w:rPr>
        <w:t>АлАт</w:t>
      </w:r>
      <w:proofErr w:type="spellEnd"/>
      <w:r w:rsidR="00181C33" w:rsidRPr="00520861">
        <w:rPr>
          <w:rFonts w:eastAsia="Calibri"/>
          <w:kern w:val="36"/>
          <w:sz w:val="28"/>
          <w:szCs w:val="28"/>
        </w:rPr>
        <w:t xml:space="preserve"> й</w:t>
      </w:r>
      <w:r w:rsidR="001A1AB5" w:rsidRPr="00520861">
        <w:rPr>
          <w:rFonts w:eastAsia="Calibri"/>
          <w:kern w:val="36"/>
          <w:sz w:val="28"/>
          <w:szCs w:val="28"/>
        </w:rPr>
        <w:t xml:space="preserve"> </w:t>
      </w:r>
      <w:proofErr w:type="spellStart"/>
      <w:r w:rsidR="001A1AB5" w:rsidRPr="00520861">
        <w:rPr>
          <w:rFonts w:eastAsia="Calibri"/>
          <w:kern w:val="36"/>
          <w:sz w:val="28"/>
          <w:szCs w:val="28"/>
        </w:rPr>
        <w:t>АсАт</w:t>
      </w:r>
      <w:proofErr w:type="spellEnd"/>
      <w:r w:rsidRPr="00520861">
        <w:rPr>
          <w:rFonts w:eastAsia="Calibri"/>
          <w:kern w:val="36"/>
          <w:sz w:val="28"/>
          <w:szCs w:val="28"/>
        </w:rPr>
        <w:t xml:space="preserve">, ІЛ-1β, ІЛ-10, </w:t>
      </w:r>
      <w:proofErr w:type="spellStart"/>
      <w:r w:rsidRPr="00520861">
        <w:rPr>
          <w:rFonts w:eastAsia="Calibri"/>
          <w:kern w:val="36"/>
          <w:sz w:val="28"/>
          <w:szCs w:val="28"/>
        </w:rPr>
        <w:t>sIg</w:t>
      </w:r>
      <w:proofErr w:type="spellEnd"/>
      <w:r w:rsidRPr="00520861">
        <w:rPr>
          <w:rFonts w:eastAsia="Calibri"/>
          <w:kern w:val="36"/>
          <w:sz w:val="28"/>
          <w:szCs w:val="28"/>
        </w:rPr>
        <w:t xml:space="preserve"> A, </w:t>
      </w:r>
      <w:proofErr w:type="spellStart"/>
      <w:r w:rsidRPr="00520861">
        <w:rPr>
          <w:rFonts w:eastAsia="Calibri"/>
          <w:kern w:val="36"/>
          <w:sz w:val="28"/>
          <w:szCs w:val="28"/>
        </w:rPr>
        <w:t>IgM</w:t>
      </w:r>
      <w:proofErr w:type="spellEnd"/>
      <w:r w:rsidRPr="00520861">
        <w:rPr>
          <w:rFonts w:eastAsia="Calibri"/>
          <w:kern w:val="36"/>
          <w:sz w:val="28"/>
          <w:szCs w:val="28"/>
        </w:rPr>
        <w:t xml:space="preserve">, </w:t>
      </w:r>
      <w:proofErr w:type="spellStart"/>
      <w:r w:rsidRPr="00520861">
        <w:rPr>
          <w:rFonts w:eastAsia="Calibri"/>
          <w:kern w:val="36"/>
          <w:sz w:val="28"/>
          <w:szCs w:val="28"/>
        </w:rPr>
        <w:t>IgG</w:t>
      </w:r>
      <w:proofErr w:type="spellEnd"/>
      <w:r w:rsidRPr="00520861">
        <w:rPr>
          <w:rFonts w:eastAsia="Calibri"/>
          <w:kern w:val="36"/>
          <w:sz w:val="28"/>
          <w:szCs w:val="28"/>
        </w:rPr>
        <w:t xml:space="preserve"> та вмісту </w:t>
      </w:r>
      <w:proofErr w:type="spellStart"/>
      <w:r w:rsidRPr="00520861">
        <w:rPr>
          <w:rFonts w:eastAsia="Calibri"/>
          <w:kern w:val="36"/>
          <w:sz w:val="28"/>
          <w:szCs w:val="28"/>
        </w:rPr>
        <w:t>оксипроліну</w:t>
      </w:r>
      <w:proofErr w:type="spellEnd"/>
      <w:r w:rsidRPr="00520861">
        <w:rPr>
          <w:rFonts w:eastAsia="Calibri"/>
          <w:kern w:val="36"/>
          <w:sz w:val="28"/>
          <w:szCs w:val="28"/>
        </w:rPr>
        <w:t xml:space="preserve"> в РР осіб різного віку, які народилися </w:t>
      </w:r>
      <w:proofErr w:type="spellStart"/>
      <w:r w:rsidRPr="00520861">
        <w:rPr>
          <w:rFonts w:eastAsia="Calibri"/>
          <w:kern w:val="36"/>
          <w:sz w:val="28"/>
          <w:szCs w:val="28"/>
        </w:rPr>
        <w:t>макросомами</w:t>
      </w:r>
      <w:proofErr w:type="spellEnd"/>
      <w:r w:rsidRPr="00520861">
        <w:rPr>
          <w:rFonts w:eastAsia="Calibri"/>
          <w:kern w:val="36"/>
          <w:sz w:val="28"/>
          <w:szCs w:val="28"/>
        </w:rPr>
        <w:t>, з особливостями переб</w:t>
      </w:r>
      <w:r w:rsidR="00636A14" w:rsidRPr="00520861">
        <w:rPr>
          <w:rFonts w:eastAsia="Calibri"/>
          <w:kern w:val="36"/>
          <w:sz w:val="28"/>
          <w:szCs w:val="28"/>
        </w:rPr>
        <w:t xml:space="preserve">ігу захворювань тканин </w:t>
      </w:r>
      <w:r w:rsidR="008D05CF" w:rsidRPr="00520861">
        <w:rPr>
          <w:rFonts w:eastAsia="Calibri"/>
          <w:kern w:val="36"/>
          <w:sz w:val="28"/>
          <w:szCs w:val="28"/>
        </w:rPr>
        <w:br/>
      </w:r>
      <w:proofErr w:type="spellStart"/>
      <w:r w:rsidR="00636A14" w:rsidRPr="00520861">
        <w:rPr>
          <w:rFonts w:eastAsia="Calibri"/>
          <w:kern w:val="36"/>
          <w:sz w:val="28"/>
          <w:szCs w:val="28"/>
        </w:rPr>
        <w:t>пародонта</w:t>
      </w:r>
      <w:proofErr w:type="spellEnd"/>
      <w:r w:rsidR="00F510A9" w:rsidRPr="00520861">
        <w:rPr>
          <w:rFonts w:eastAsia="Calibri"/>
          <w:kern w:val="36"/>
          <w:sz w:val="28"/>
          <w:szCs w:val="28"/>
        </w:rPr>
        <w:t>.</w:t>
      </w:r>
    </w:p>
    <w:p w14:paraId="32E36536" w14:textId="77777777" w:rsidR="00F510A9" w:rsidRPr="00520861" w:rsidRDefault="00FD5444" w:rsidP="00292D2E">
      <w:pPr>
        <w:widowControl w:val="0"/>
        <w:spacing w:line="360" w:lineRule="auto"/>
        <w:ind w:firstLine="708"/>
        <w:jc w:val="both"/>
        <w:rPr>
          <w:rFonts w:eastAsia="Calibri"/>
          <w:kern w:val="36"/>
          <w:sz w:val="28"/>
          <w:szCs w:val="28"/>
        </w:rPr>
      </w:pPr>
      <w:r w:rsidRPr="00520861">
        <w:rPr>
          <w:rFonts w:eastAsia="Calibri"/>
          <w:kern w:val="36"/>
          <w:sz w:val="28"/>
          <w:szCs w:val="28"/>
        </w:rPr>
        <w:t>С</w:t>
      </w:r>
      <w:r w:rsidR="00C27845" w:rsidRPr="00520861">
        <w:rPr>
          <w:rFonts w:eastAsia="Calibri"/>
          <w:kern w:val="36"/>
          <w:sz w:val="28"/>
          <w:szCs w:val="28"/>
        </w:rPr>
        <w:t>лід зазначити, що біохімічні процеси</w:t>
      </w:r>
      <w:r w:rsidR="00F510A9" w:rsidRPr="00520861">
        <w:rPr>
          <w:rFonts w:eastAsia="Calibri"/>
          <w:kern w:val="36"/>
          <w:sz w:val="28"/>
          <w:szCs w:val="28"/>
        </w:rPr>
        <w:t xml:space="preserve"> є генетично контрольован</w:t>
      </w:r>
      <w:r w:rsidR="00C27845" w:rsidRPr="00520861">
        <w:rPr>
          <w:rFonts w:eastAsia="Calibri"/>
          <w:kern w:val="36"/>
          <w:sz w:val="28"/>
          <w:szCs w:val="28"/>
        </w:rPr>
        <w:t>ими</w:t>
      </w:r>
      <w:r w:rsidR="00F510A9" w:rsidRPr="00520861">
        <w:rPr>
          <w:rFonts w:eastAsia="Calibri"/>
          <w:kern w:val="36"/>
          <w:sz w:val="28"/>
          <w:szCs w:val="28"/>
        </w:rPr>
        <w:t>.</w:t>
      </w:r>
    </w:p>
    <w:p w14:paraId="58AE9112" w14:textId="77777777" w:rsidR="005B2BAD" w:rsidRPr="00520861" w:rsidRDefault="00CD42C7" w:rsidP="00292D2E">
      <w:pPr>
        <w:widowControl w:val="0"/>
        <w:spacing w:line="360" w:lineRule="auto"/>
        <w:ind w:firstLine="708"/>
        <w:jc w:val="both"/>
        <w:rPr>
          <w:b/>
          <w:sz w:val="28"/>
          <w:szCs w:val="28"/>
        </w:rPr>
      </w:pPr>
      <w:r w:rsidRPr="00520861">
        <w:rPr>
          <w:b/>
          <w:sz w:val="28"/>
          <w:szCs w:val="28"/>
        </w:rPr>
        <w:t>1.3.6</w:t>
      </w:r>
      <w:r w:rsidR="004769A2" w:rsidRPr="00520861">
        <w:rPr>
          <w:b/>
          <w:sz w:val="28"/>
          <w:szCs w:val="28"/>
        </w:rPr>
        <w:t>.</w:t>
      </w:r>
      <w:r w:rsidR="005B2BAD" w:rsidRPr="00520861">
        <w:rPr>
          <w:b/>
          <w:sz w:val="28"/>
          <w:szCs w:val="28"/>
        </w:rPr>
        <w:t xml:space="preserve"> Молекуляр</w:t>
      </w:r>
      <w:r w:rsidR="007A085E" w:rsidRPr="00520861">
        <w:rPr>
          <w:b/>
          <w:sz w:val="28"/>
          <w:szCs w:val="28"/>
        </w:rPr>
        <w:t xml:space="preserve">но-генетичні методи дослідження. </w:t>
      </w:r>
      <w:r w:rsidR="005B2BAD" w:rsidRPr="00520861">
        <w:rPr>
          <w:sz w:val="28"/>
          <w:szCs w:val="28"/>
        </w:rPr>
        <w:t>Формування та розвиток СГС залежить н</w:t>
      </w:r>
      <w:r w:rsidR="007A085E" w:rsidRPr="00520861">
        <w:rPr>
          <w:sz w:val="28"/>
          <w:szCs w:val="28"/>
        </w:rPr>
        <w:t xml:space="preserve">е тільки від зовнішніх чинників </w:t>
      </w:r>
      <w:r w:rsidR="005B2BAD" w:rsidRPr="00520861">
        <w:rPr>
          <w:sz w:val="28"/>
          <w:szCs w:val="28"/>
        </w:rPr>
        <w:t>(шкідливих звичок зокрема</w:t>
      </w:r>
      <w:r w:rsidR="00181C33" w:rsidRPr="00520861">
        <w:rPr>
          <w:sz w:val="28"/>
          <w:szCs w:val="28"/>
        </w:rPr>
        <w:t>), а й</w:t>
      </w:r>
      <w:r w:rsidR="005B2BAD" w:rsidRPr="00520861">
        <w:rPr>
          <w:sz w:val="28"/>
          <w:szCs w:val="28"/>
        </w:rPr>
        <w:t xml:space="preserve"> від генетичної складової [</w:t>
      </w:r>
      <w:r w:rsidR="005F727F" w:rsidRPr="00520861">
        <w:rPr>
          <w:sz w:val="28"/>
          <w:szCs w:val="28"/>
        </w:rPr>
        <w:t>265</w:t>
      </w:r>
      <w:r w:rsidR="0075487E" w:rsidRPr="00520861">
        <w:rPr>
          <w:sz w:val="28"/>
          <w:szCs w:val="28"/>
        </w:rPr>
        <w:t>]. Відправною точкою в пошуку</w:t>
      </w:r>
      <w:r w:rsidR="005B2BAD" w:rsidRPr="00520861">
        <w:rPr>
          <w:sz w:val="28"/>
          <w:szCs w:val="28"/>
        </w:rPr>
        <w:t xml:space="preserve"> генів-кандидатів при </w:t>
      </w:r>
      <w:r w:rsidR="008D05CF" w:rsidRPr="00520861">
        <w:rPr>
          <w:sz w:val="28"/>
          <w:szCs w:val="28"/>
        </w:rPr>
        <w:br/>
      </w:r>
      <w:r w:rsidR="005B2BAD" w:rsidRPr="00520861">
        <w:rPr>
          <w:sz w:val="28"/>
          <w:szCs w:val="28"/>
        </w:rPr>
        <w:t xml:space="preserve">аналізі порушень </w:t>
      </w:r>
      <w:r w:rsidR="0032747B" w:rsidRPr="00520861">
        <w:rPr>
          <w:sz w:val="28"/>
          <w:szCs w:val="28"/>
        </w:rPr>
        <w:t>СГС</w:t>
      </w:r>
      <w:r w:rsidR="005B2BAD" w:rsidRPr="00520861">
        <w:rPr>
          <w:sz w:val="28"/>
          <w:szCs w:val="28"/>
        </w:rPr>
        <w:t xml:space="preserve"> є той факт, що серед численних наслідків народження з </w:t>
      </w:r>
      <w:r w:rsidR="007A085E" w:rsidRPr="00520861">
        <w:rPr>
          <w:sz w:val="28"/>
          <w:szCs w:val="28"/>
        </w:rPr>
        <w:br/>
      </w:r>
      <w:proofErr w:type="spellStart"/>
      <w:r w:rsidR="005B2BAD" w:rsidRPr="00520861">
        <w:rPr>
          <w:sz w:val="28"/>
          <w:szCs w:val="28"/>
        </w:rPr>
        <w:t>макросомією</w:t>
      </w:r>
      <w:proofErr w:type="spellEnd"/>
      <w:r w:rsidR="005B2BAD" w:rsidRPr="00520861">
        <w:rPr>
          <w:sz w:val="28"/>
          <w:szCs w:val="28"/>
        </w:rPr>
        <w:t xml:space="preserve"> виокремлюється знижена мінеральна щільність кісткової тканини </w:t>
      </w:r>
      <w:r w:rsidR="00181C33" w:rsidRPr="00520861">
        <w:rPr>
          <w:sz w:val="28"/>
          <w:szCs w:val="28"/>
        </w:rPr>
        <w:t>і</w:t>
      </w:r>
      <w:r w:rsidR="005B2BAD" w:rsidRPr="00520861">
        <w:rPr>
          <w:sz w:val="28"/>
          <w:szCs w:val="28"/>
        </w:rPr>
        <w:t xml:space="preserve">з </w:t>
      </w:r>
      <w:r w:rsidR="008D05CF" w:rsidRPr="00520861">
        <w:rPr>
          <w:sz w:val="28"/>
          <w:szCs w:val="28"/>
        </w:rPr>
        <w:br/>
      </w:r>
      <w:r w:rsidR="005B2BAD" w:rsidRPr="00520861">
        <w:rPr>
          <w:sz w:val="28"/>
          <w:szCs w:val="28"/>
        </w:rPr>
        <w:t>самого початку життя [</w:t>
      </w:r>
      <w:r w:rsidR="005F727F" w:rsidRPr="00520861">
        <w:rPr>
          <w:sz w:val="28"/>
          <w:szCs w:val="28"/>
        </w:rPr>
        <w:t>403</w:t>
      </w:r>
      <w:r w:rsidR="005B2BAD" w:rsidRPr="00520861">
        <w:rPr>
          <w:sz w:val="28"/>
          <w:szCs w:val="28"/>
        </w:rPr>
        <w:t xml:space="preserve">]. </w:t>
      </w:r>
    </w:p>
    <w:p w14:paraId="3C00522E" w14:textId="77777777" w:rsidR="005B2BAD" w:rsidRPr="00520861" w:rsidRDefault="005B2BAD" w:rsidP="00292D2E">
      <w:pPr>
        <w:widowControl w:val="0"/>
        <w:spacing w:line="360" w:lineRule="auto"/>
        <w:ind w:firstLine="708"/>
        <w:jc w:val="both"/>
        <w:rPr>
          <w:sz w:val="28"/>
          <w:szCs w:val="28"/>
        </w:rPr>
      </w:pPr>
      <w:r w:rsidRPr="00520861">
        <w:rPr>
          <w:sz w:val="28"/>
          <w:szCs w:val="28"/>
        </w:rPr>
        <w:t>Вплив статевих гормонів на метаболізм кісткової тканини як жінок, так і чоловіків є добре дослідженим [</w:t>
      </w:r>
      <w:r w:rsidR="005F727F" w:rsidRPr="00520861">
        <w:rPr>
          <w:sz w:val="28"/>
          <w:szCs w:val="28"/>
        </w:rPr>
        <w:t>440</w:t>
      </w:r>
      <w:r w:rsidRPr="00520861">
        <w:rPr>
          <w:sz w:val="28"/>
          <w:szCs w:val="28"/>
        </w:rPr>
        <w:t xml:space="preserve">]. Від впливу цих гормонів, зокрема ензиму </w:t>
      </w:r>
      <w:proofErr w:type="spellStart"/>
      <w:r w:rsidRPr="00520861">
        <w:rPr>
          <w:sz w:val="28"/>
          <w:szCs w:val="28"/>
        </w:rPr>
        <w:t>ароматази</w:t>
      </w:r>
      <w:proofErr w:type="spellEnd"/>
      <w:r w:rsidRPr="00520861">
        <w:rPr>
          <w:sz w:val="28"/>
          <w:szCs w:val="28"/>
        </w:rPr>
        <w:t>, залежить не тільки щільність, а також і якість кісткової тканини [</w:t>
      </w:r>
      <w:r w:rsidR="005F727F" w:rsidRPr="00520861">
        <w:rPr>
          <w:sz w:val="28"/>
          <w:szCs w:val="28"/>
        </w:rPr>
        <w:t>356</w:t>
      </w:r>
      <w:r w:rsidRPr="00520861">
        <w:rPr>
          <w:sz w:val="28"/>
          <w:szCs w:val="28"/>
        </w:rPr>
        <w:t xml:space="preserve">]. </w:t>
      </w:r>
      <w:bookmarkStart w:id="1" w:name="top"/>
      <w:bookmarkEnd w:id="1"/>
    </w:p>
    <w:p w14:paraId="735D851A" w14:textId="77777777" w:rsidR="005B2BAD" w:rsidRPr="00520861" w:rsidRDefault="005B2BAD" w:rsidP="00292D2E">
      <w:pPr>
        <w:widowControl w:val="0"/>
        <w:spacing w:line="360" w:lineRule="auto"/>
        <w:ind w:firstLine="709"/>
        <w:jc w:val="both"/>
        <w:rPr>
          <w:spacing w:val="-4"/>
          <w:sz w:val="28"/>
          <w:szCs w:val="28"/>
        </w:rPr>
      </w:pPr>
      <w:r w:rsidRPr="00520861">
        <w:rPr>
          <w:sz w:val="28"/>
          <w:szCs w:val="28"/>
        </w:rPr>
        <w:t xml:space="preserve">Ген </w:t>
      </w:r>
      <w:r w:rsidRPr="00520861">
        <w:rPr>
          <w:i/>
          <w:sz w:val="28"/>
          <w:szCs w:val="28"/>
        </w:rPr>
        <w:t>CYP19A1</w:t>
      </w:r>
      <w:r w:rsidRPr="00520861">
        <w:rPr>
          <w:sz w:val="28"/>
          <w:szCs w:val="28"/>
        </w:rPr>
        <w:t xml:space="preserve"> (</w:t>
      </w:r>
      <w:proofErr w:type="spellStart"/>
      <w:r w:rsidRPr="00520861">
        <w:rPr>
          <w:sz w:val="28"/>
          <w:szCs w:val="28"/>
        </w:rPr>
        <w:t>Cytochrome</w:t>
      </w:r>
      <w:proofErr w:type="spellEnd"/>
      <w:r w:rsidRPr="00520861">
        <w:rPr>
          <w:sz w:val="28"/>
          <w:szCs w:val="28"/>
        </w:rPr>
        <w:t xml:space="preserve"> P450 </w:t>
      </w:r>
      <w:proofErr w:type="spellStart"/>
      <w:r w:rsidRPr="00520861">
        <w:rPr>
          <w:sz w:val="28"/>
          <w:szCs w:val="28"/>
        </w:rPr>
        <w:t>family</w:t>
      </w:r>
      <w:proofErr w:type="spellEnd"/>
      <w:r w:rsidRPr="00520861">
        <w:rPr>
          <w:sz w:val="28"/>
          <w:szCs w:val="28"/>
        </w:rPr>
        <w:t xml:space="preserve"> 19 </w:t>
      </w:r>
      <w:proofErr w:type="spellStart"/>
      <w:r w:rsidRPr="00520861">
        <w:rPr>
          <w:sz w:val="28"/>
          <w:szCs w:val="28"/>
        </w:rPr>
        <w:t>subfamily</w:t>
      </w:r>
      <w:proofErr w:type="spellEnd"/>
      <w:r w:rsidRPr="00520861">
        <w:rPr>
          <w:sz w:val="28"/>
          <w:szCs w:val="28"/>
        </w:rPr>
        <w:t xml:space="preserve"> A </w:t>
      </w:r>
      <w:proofErr w:type="spellStart"/>
      <w:r w:rsidRPr="00520861">
        <w:rPr>
          <w:sz w:val="28"/>
          <w:szCs w:val="28"/>
        </w:rPr>
        <w:t>member</w:t>
      </w:r>
      <w:proofErr w:type="spellEnd"/>
      <w:r w:rsidRPr="00520861">
        <w:rPr>
          <w:sz w:val="28"/>
          <w:szCs w:val="28"/>
        </w:rPr>
        <w:t xml:space="preserve"> 1) кодує </w:t>
      </w:r>
      <w:proofErr w:type="spellStart"/>
      <w:r w:rsidRPr="00520861">
        <w:rPr>
          <w:sz w:val="28"/>
          <w:szCs w:val="28"/>
        </w:rPr>
        <w:t>ароматазу</w:t>
      </w:r>
      <w:proofErr w:type="spellEnd"/>
      <w:r w:rsidRPr="00520861">
        <w:rPr>
          <w:sz w:val="28"/>
          <w:szCs w:val="28"/>
        </w:rPr>
        <w:t xml:space="preserve">. </w:t>
      </w:r>
      <w:proofErr w:type="spellStart"/>
      <w:r w:rsidRPr="00520861">
        <w:rPr>
          <w:sz w:val="28"/>
          <w:szCs w:val="28"/>
        </w:rPr>
        <w:t>Ароматаза</w:t>
      </w:r>
      <w:proofErr w:type="spellEnd"/>
      <w:r w:rsidRPr="00520861">
        <w:rPr>
          <w:sz w:val="28"/>
          <w:szCs w:val="28"/>
        </w:rPr>
        <w:t xml:space="preserve"> функціонує, починаючи з </w:t>
      </w:r>
      <w:r w:rsidR="00EC41B5" w:rsidRPr="00520861">
        <w:rPr>
          <w:sz w:val="28"/>
          <w:szCs w:val="28"/>
        </w:rPr>
        <w:t>ВУ</w:t>
      </w:r>
      <w:r w:rsidRPr="00520861">
        <w:rPr>
          <w:sz w:val="28"/>
          <w:szCs w:val="28"/>
        </w:rPr>
        <w:t xml:space="preserve"> періоду. У клітині вона знаходиться в ендоплазматичному </w:t>
      </w:r>
      <w:proofErr w:type="spellStart"/>
      <w:r w:rsidRPr="00520861">
        <w:rPr>
          <w:sz w:val="28"/>
          <w:szCs w:val="28"/>
        </w:rPr>
        <w:t>ретикулумі</w:t>
      </w:r>
      <w:proofErr w:type="spellEnd"/>
      <w:r w:rsidRPr="00520861">
        <w:rPr>
          <w:sz w:val="28"/>
          <w:szCs w:val="28"/>
        </w:rPr>
        <w:t xml:space="preserve"> та відповідає за біосинтез білка, зокрема за етап </w:t>
      </w:r>
      <w:proofErr w:type="spellStart"/>
      <w:r w:rsidRPr="00520861">
        <w:rPr>
          <w:sz w:val="28"/>
          <w:szCs w:val="28"/>
        </w:rPr>
        <w:t>процесингу</w:t>
      </w:r>
      <w:proofErr w:type="spellEnd"/>
      <w:r w:rsidRPr="00520861">
        <w:rPr>
          <w:sz w:val="28"/>
          <w:szCs w:val="28"/>
        </w:rPr>
        <w:t xml:space="preserve"> та транспортування. </w:t>
      </w:r>
      <w:r w:rsidRPr="00520861">
        <w:rPr>
          <w:spacing w:val="-4"/>
          <w:sz w:val="28"/>
          <w:szCs w:val="28"/>
        </w:rPr>
        <w:t xml:space="preserve">Цей ензим перетворює андрогени на різні форми </w:t>
      </w:r>
      <w:r w:rsidR="008D05CF" w:rsidRPr="00520861">
        <w:rPr>
          <w:spacing w:val="-4"/>
          <w:sz w:val="28"/>
          <w:szCs w:val="28"/>
        </w:rPr>
        <w:br/>
      </w:r>
      <w:r w:rsidRPr="00520861">
        <w:rPr>
          <w:spacing w:val="-4"/>
          <w:sz w:val="28"/>
          <w:szCs w:val="28"/>
        </w:rPr>
        <w:t xml:space="preserve">естрогену, який відіграє роль у регулюванні росту </w:t>
      </w:r>
      <w:r w:rsidR="00181C33" w:rsidRPr="00520861">
        <w:rPr>
          <w:rFonts w:eastAsia="Calibri"/>
          <w:spacing w:val="-4"/>
          <w:sz w:val="28"/>
          <w:szCs w:val="28"/>
        </w:rPr>
        <w:t xml:space="preserve">та </w:t>
      </w:r>
      <w:proofErr w:type="spellStart"/>
      <w:r w:rsidR="00181C33" w:rsidRPr="00520861">
        <w:rPr>
          <w:rFonts w:eastAsia="Calibri"/>
          <w:spacing w:val="-4"/>
          <w:sz w:val="28"/>
          <w:szCs w:val="28"/>
        </w:rPr>
        <w:t>ремоделюванні</w:t>
      </w:r>
      <w:proofErr w:type="spellEnd"/>
      <w:r w:rsidRPr="00520861">
        <w:rPr>
          <w:rFonts w:eastAsia="Calibri"/>
          <w:spacing w:val="-4"/>
          <w:sz w:val="28"/>
          <w:szCs w:val="28"/>
        </w:rPr>
        <w:t xml:space="preserve"> </w:t>
      </w:r>
      <w:r w:rsidRPr="00520861">
        <w:rPr>
          <w:spacing w:val="-4"/>
          <w:sz w:val="28"/>
          <w:szCs w:val="28"/>
        </w:rPr>
        <w:t xml:space="preserve">кісткової тканини </w:t>
      </w:r>
      <w:r w:rsidRPr="00520861">
        <w:rPr>
          <w:rFonts w:eastAsia="Calibri"/>
          <w:spacing w:val="-4"/>
          <w:sz w:val="28"/>
          <w:szCs w:val="28"/>
        </w:rPr>
        <w:t>[</w:t>
      </w:r>
      <w:r w:rsidR="005F727F" w:rsidRPr="00520861">
        <w:rPr>
          <w:rFonts w:eastAsia="Calibri"/>
          <w:spacing w:val="-4"/>
          <w:sz w:val="28"/>
          <w:szCs w:val="28"/>
        </w:rPr>
        <w:t>232</w:t>
      </w:r>
      <w:r w:rsidRPr="00520861">
        <w:rPr>
          <w:rFonts w:eastAsia="Calibri"/>
          <w:spacing w:val="-4"/>
          <w:sz w:val="28"/>
          <w:szCs w:val="28"/>
        </w:rPr>
        <w:t xml:space="preserve">] </w:t>
      </w:r>
      <w:r w:rsidRPr="00520861">
        <w:rPr>
          <w:spacing w:val="-4"/>
          <w:sz w:val="28"/>
          <w:szCs w:val="28"/>
        </w:rPr>
        <w:t>в осіб обох статей як в дитячому</w:t>
      </w:r>
      <w:r w:rsidR="00174453" w:rsidRPr="00520861">
        <w:rPr>
          <w:spacing w:val="-4"/>
          <w:sz w:val="28"/>
          <w:szCs w:val="28"/>
        </w:rPr>
        <w:t>,</w:t>
      </w:r>
      <w:r w:rsidR="003C636D" w:rsidRPr="00520861">
        <w:rPr>
          <w:spacing w:val="-4"/>
          <w:sz w:val="28"/>
          <w:szCs w:val="28"/>
        </w:rPr>
        <w:t xml:space="preserve"> так і в дорослому віці</w:t>
      </w:r>
      <w:r w:rsidRPr="00520861">
        <w:rPr>
          <w:spacing w:val="-4"/>
          <w:sz w:val="28"/>
          <w:szCs w:val="28"/>
        </w:rPr>
        <w:t xml:space="preserve"> [</w:t>
      </w:r>
      <w:r w:rsidR="005F727F" w:rsidRPr="00520861">
        <w:rPr>
          <w:spacing w:val="-4"/>
          <w:sz w:val="28"/>
          <w:szCs w:val="28"/>
        </w:rPr>
        <w:t>291, 298, 362, 373</w:t>
      </w:r>
      <w:r w:rsidRPr="00520861">
        <w:rPr>
          <w:spacing w:val="-4"/>
          <w:sz w:val="28"/>
          <w:szCs w:val="28"/>
        </w:rPr>
        <w:t xml:space="preserve">]. </w:t>
      </w:r>
    </w:p>
    <w:p w14:paraId="65C820D7" w14:textId="77777777" w:rsidR="005B2BAD" w:rsidRPr="00520861" w:rsidRDefault="005B2BAD" w:rsidP="00292D2E">
      <w:pPr>
        <w:widowControl w:val="0"/>
        <w:spacing w:line="360" w:lineRule="auto"/>
        <w:ind w:firstLine="708"/>
        <w:jc w:val="both"/>
        <w:rPr>
          <w:bCs/>
          <w:spacing w:val="-6"/>
          <w:sz w:val="28"/>
          <w:szCs w:val="28"/>
          <w:lang w:eastAsia="en-US"/>
        </w:rPr>
      </w:pPr>
      <w:r w:rsidRPr="00520861">
        <w:rPr>
          <w:sz w:val="28"/>
          <w:szCs w:val="28"/>
          <w:lang w:eastAsia="en-US"/>
        </w:rPr>
        <w:t xml:space="preserve">У дослідженнях, проведених </w:t>
      </w:r>
      <w:proofErr w:type="spellStart"/>
      <w:r w:rsidRPr="00520861">
        <w:rPr>
          <w:bCs/>
          <w:sz w:val="28"/>
          <w:szCs w:val="28"/>
          <w:lang w:eastAsia="en-US"/>
        </w:rPr>
        <w:t>Ejiri</w:t>
      </w:r>
      <w:proofErr w:type="spellEnd"/>
      <w:r w:rsidRPr="00520861">
        <w:rPr>
          <w:bCs/>
          <w:sz w:val="28"/>
          <w:szCs w:val="28"/>
          <w:lang w:eastAsia="en-US"/>
        </w:rPr>
        <w:t xml:space="preserve"> S. та співавторами </w:t>
      </w:r>
      <w:r w:rsidRPr="00520861">
        <w:rPr>
          <w:sz w:val="28"/>
          <w:szCs w:val="28"/>
          <w:lang w:eastAsia="en-US"/>
        </w:rPr>
        <w:t>на експериментальних тваринах</w:t>
      </w:r>
      <w:r w:rsidRPr="00520861">
        <w:rPr>
          <w:bCs/>
          <w:sz w:val="28"/>
          <w:szCs w:val="28"/>
          <w:lang w:eastAsia="en-US"/>
        </w:rPr>
        <w:t xml:space="preserve"> [</w:t>
      </w:r>
      <w:r w:rsidR="009B0715" w:rsidRPr="00520861">
        <w:rPr>
          <w:bCs/>
          <w:sz w:val="28"/>
          <w:szCs w:val="28"/>
          <w:lang w:eastAsia="en-US"/>
        </w:rPr>
        <w:t>292</w:t>
      </w:r>
      <w:r w:rsidRPr="00520861">
        <w:rPr>
          <w:bCs/>
          <w:sz w:val="28"/>
          <w:szCs w:val="28"/>
          <w:lang w:eastAsia="en-US"/>
        </w:rPr>
        <w:t xml:space="preserve">], </w:t>
      </w:r>
      <w:r w:rsidRPr="00520861">
        <w:rPr>
          <w:sz w:val="28"/>
          <w:szCs w:val="28"/>
          <w:lang w:eastAsia="en-US"/>
        </w:rPr>
        <w:t xml:space="preserve">науковці дійшли висновку, що процеси </w:t>
      </w:r>
      <w:proofErr w:type="spellStart"/>
      <w:r w:rsidRPr="00520861">
        <w:rPr>
          <w:sz w:val="28"/>
          <w:szCs w:val="28"/>
          <w:lang w:eastAsia="en-US"/>
        </w:rPr>
        <w:t>ремоделювання</w:t>
      </w:r>
      <w:proofErr w:type="spellEnd"/>
      <w:r w:rsidRPr="00520861">
        <w:rPr>
          <w:sz w:val="28"/>
          <w:szCs w:val="28"/>
          <w:lang w:eastAsia="en-US"/>
        </w:rPr>
        <w:t xml:space="preserve"> кісткової тканини перебувають у залежності від естрогену та його рецепторів. Зокрема </w:t>
      </w:r>
      <w:r w:rsidR="007C6FBE" w:rsidRPr="00520861">
        <w:rPr>
          <w:sz w:val="28"/>
          <w:szCs w:val="28"/>
          <w:lang w:eastAsia="en-US"/>
        </w:rPr>
        <w:br/>
      </w:r>
      <w:r w:rsidRPr="00520861">
        <w:rPr>
          <w:sz w:val="28"/>
          <w:szCs w:val="28"/>
          <w:lang w:eastAsia="en-US"/>
        </w:rPr>
        <w:t>в дослі</w:t>
      </w:r>
      <w:r w:rsidR="00181C33" w:rsidRPr="00520861">
        <w:rPr>
          <w:sz w:val="28"/>
          <w:szCs w:val="28"/>
          <w:lang w:eastAsia="en-US"/>
        </w:rPr>
        <w:t>д</w:t>
      </w:r>
      <w:r w:rsidRPr="00520861">
        <w:rPr>
          <w:sz w:val="28"/>
          <w:szCs w:val="28"/>
          <w:lang w:eastAsia="en-US"/>
        </w:rPr>
        <w:t>женні виявлено, що</w:t>
      </w:r>
      <w:r w:rsidRPr="00520861">
        <w:rPr>
          <w:bCs/>
          <w:sz w:val="28"/>
          <w:szCs w:val="28"/>
          <w:lang w:eastAsia="en-US"/>
        </w:rPr>
        <w:t xml:space="preserve"> дефіцит </w:t>
      </w:r>
      <w:proofErr w:type="spellStart"/>
      <w:r w:rsidRPr="00520861">
        <w:rPr>
          <w:bCs/>
          <w:sz w:val="28"/>
          <w:szCs w:val="28"/>
          <w:lang w:eastAsia="en-US"/>
        </w:rPr>
        <w:t>естрог</w:t>
      </w:r>
      <w:r w:rsidR="00181C33" w:rsidRPr="00520861">
        <w:rPr>
          <w:bCs/>
          <w:sz w:val="28"/>
          <w:szCs w:val="28"/>
          <w:lang w:eastAsia="en-US"/>
        </w:rPr>
        <w:t>енів</w:t>
      </w:r>
      <w:proofErr w:type="spellEnd"/>
      <w:r w:rsidR="00181C33" w:rsidRPr="00520861">
        <w:rPr>
          <w:bCs/>
          <w:sz w:val="28"/>
          <w:szCs w:val="28"/>
          <w:lang w:eastAsia="en-US"/>
        </w:rPr>
        <w:t xml:space="preserve"> у експериментальних тварин,</w:t>
      </w:r>
      <w:r w:rsidRPr="00520861">
        <w:rPr>
          <w:bCs/>
          <w:sz w:val="28"/>
          <w:szCs w:val="28"/>
          <w:lang w:eastAsia="en-US"/>
        </w:rPr>
        <w:t xml:space="preserve"> спричинений </w:t>
      </w:r>
      <w:proofErr w:type="spellStart"/>
      <w:r w:rsidRPr="00520861">
        <w:rPr>
          <w:bCs/>
          <w:sz w:val="28"/>
          <w:szCs w:val="28"/>
          <w:lang w:eastAsia="en-US"/>
        </w:rPr>
        <w:t>оваріоектомією</w:t>
      </w:r>
      <w:proofErr w:type="spellEnd"/>
      <w:r w:rsidRPr="00520861">
        <w:rPr>
          <w:bCs/>
          <w:sz w:val="28"/>
          <w:szCs w:val="28"/>
          <w:lang w:eastAsia="en-US"/>
        </w:rPr>
        <w:t xml:space="preserve">, призводить до </w:t>
      </w:r>
      <w:proofErr w:type="spellStart"/>
      <w:r w:rsidRPr="00520861">
        <w:rPr>
          <w:bCs/>
          <w:sz w:val="28"/>
          <w:szCs w:val="28"/>
          <w:lang w:eastAsia="en-US"/>
        </w:rPr>
        <w:t>мікроструктурних</w:t>
      </w:r>
      <w:proofErr w:type="spellEnd"/>
      <w:r w:rsidRPr="00520861">
        <w:rPr>
          <w:bCs/>
          <w:sz w:val="28"/>
          <w:szCs w:val="28"/>
          <w:lang w:eastAsia="en-US"/>
        </w:rPr>
        <w:t xml:space="preserve"> змін у кістковій тканині </w:t>
      </w:r>
      <w:r w:rsidRPr="00520861">
        <w:rPr>
          <w:sz w:val="28"/>
          <w:szCs w:val="28"/>
        </w:rPr>
        <w:t>щелеп та до пришвидшення резорбції альвеолярних відростків. Також автори наго</w:t>
      </w:r>
      <w:r w:rsidRPr="00520861">
        <w:rPr>
          <w:bCs/>
          <w:spacing w:val="-6"/>
          <w:sz w:val="28"/>
          <w:szCs w:val="28"/>
          <w:lang w:eastAsia="en-US"/>
        </w:rPr>
        <w:t xml:space="preserve">лошують, що </w:t>
      </w:r>
      <w:proofErr w:type="spellStart"/>
      <w:r w:rsidRPr="00520861">
        <w:rPr>
          <w:bCs/>
          <w:spacing w:val="-6"/>
          <w:sz w:val="28"/>
          <w:szCs w:val="28"/>
          <w:lang w:eastAsia="en-US"/>
        </w:rPr>
        <w:t>резорбтивні</w:t>
      </w:r>
      <w:proofErr w:type="spellEnd"/>
      <w:r w:rsidRPr="00520861">
        <w:rPr>
          <w:bCs/>
          <w:spacing w:val="-6"/>
          <w:sz w:val="28"/>
          <w:szCs w:val="28"/>
          <w:lang w:eastAsia="en-US"/>
        </w:rPr>
        <w:t xml:space="preserve"> процеси в щелепах мають прямий зв’язок із системним остеопорозом. Вплив варіантів гена </w:t>
      </w:r>
      <w:proofErr w:type="spellStart"/>
      <w:r w:rsidRPr="00520861">
        <w:rPr>
          <w:bCs/>
          <w:spacing w:val="-6"/>
          <w:sz w:val="28"/>
          <w:szCs w:val="28"/>
          <w:lang w:eastAsia="en-US"/>
        </w:rPr>
        <w:t>ароматази</w:t>
      </w:r>
      <w:proofErr w:type="spellEnd"/>
      <w:r w:rsidRPr="00520861">
        <w:rPr>
          <w:bCs/>
          <w:spacing w:val="-6"/>
          <w:sz w:val="28"/>
          <w:szCs w:val="28"/>
          <w:lang w:eastAsia="en-US"/>
        </w:rPr>
        <w:t xml:space="preserve"> </w:t>
      </w:r>
      <w:r w:rsidRPr="00520861">
        <w:rPr>
          <w:bCs/>
          <w:i/>
          <w:spacing w:val="-6"/>
          <w:sz w:val="28"/>
          <w:szCs w:val="28"/>
          <w:lang w:eastAsia="en-US"/>
        </w:rPr>
        <w:t>CYP19A1</w:t>
      </w:r>
      <w:r w:rsidRPr="00520861">
        <w:rPr>
          <w:bCs/>
          <w:spacing w:val="-6"/>
          <w:sz w:val="28"/>
          <w:szCs w:val="28"/>
          <w:lang w:eastAsia="en-US"/>
        </w:rPr>
        <w:t xml:space="preserve"> на зниження продукції </w:t>
      </w:r>
      <w:proofErr w:type="spellStart"/>
      <w:r w:rsidR="005D353C" w:rsidRPr="00520861">
        <w:rPr>
          <w:bCs/>
          <w:spacing w:val="-6"/>
          <w:sz w:val="28"/>
          <w:szCs w:val="28"/>
          <w:lang w:eastAsia="en-US"/>
        </w:rPr>
        <w:t>естрогенів</w:t>
      </w:r>
      <w:proofErr w:type="spellEnd"/>
      <w:r w:rsidR="005D353C" w:rsidRPr="00520861">
        <w:rPr>
          <w:bCs/>
          <w:spacing w:val="-6"/>
          <w:sz w:val="28"/>
          <w:szCs w:val="28"/>
          <w:lang w:eastAsia="en-US"/>
        </w:rPr>
        <w:t xml:space="preserve"> та </w:t>
      </w:r>
      <w:r w:rsidR="005D353C" w:rsidRPr="00520861">
        <w:rPr>
          <w:bCs/>
          <w:spacing w:val="-6"/>
          <w:sz w:val="28"/>
          <w:szCs w:val="28"/>
          <w:lang w:eastAsia="en-US"/>
        </w:rPr>
        <w:lastRenderedPageBreak/>
        <w:t>активаці</w:t>
      </w:r>
      <w:r w:rsidRPr="00520861">
        <w:rPr>
          <w:bCs/>
          <w:spacing w:val="-6"/>
          <w:sz w:val="28"/>
          <w:szCs w:val="28"/>
          <w:lang w:eastAsia="en-US"/>
        </w:rPr>
        <w:t xml:space="preserve">ю </w:t>
      </w:r>
      <w:proofErr w:type="spellStart"/>
      <w:r w:rsidRPr="00520861">
        <w:rPr>
          <w:bCs/>
          <w:spacing w:val="-6"/>
          <w:sz w:val="28"/>
          <w:szCs w:val="28"/>
          <w:lang w:eastAsia="en-US"/>
        </w:rPr>
        <w:t>остеокластів</w:t>
      </w:r>
      <w:proofErr w:type="spellEnd"/>
      <w:r w:rsidRPr="00520861">
        <w:rPr>
          <w:bCs/>
          <w:spacing w:val="-6"/>
          <w:sz w:val="28"/>
          <w:szCs w:val="28"/>
          <w:lang w:eastAsia="en-US"/>
        </w:rPr>
        <w:t xml:space="preserve"> в</w:t>
      </w:r>
      <w:r w:rsidR="00181C33" w:rsidRPr="00520861">
        <w:rPr>
          <w:bCs/>
          <w:spacing w:val="-6"/>
          <w:sz w:val="28"/>
          <w:szCs w:val="28"/>
          <w:lang w:eastAsia="en-US"/>
        </w:rPr>
        <w:t xml:space="preserve">иявлено й у дослідженнях </w:t>
      </w:r>
      <w:proofErr w:type="spellStart"/>
      <w:r w:rsidR="00181C33" w:rsidRPr="00520861">
        <w:rPr>
          <w:bCs/>
          <w:spacing w:val="-6"/>
          <w:sz w:val="28"/>
          <w:szCs w:val="28"/>
          <w:lang w:eastAsia="en-US"/>
        </w:rPr>
        <w:t>Mullin</w:t>
      </w:r>
      <w:proofErr w:type="spellEnd"/>
      <w:r w:rsidR="00181C33" w:rsidRPr="00520861">
        <w:rPr>
          <w:bCs/>
          <w:spacing w:val="-6"/>
          <w:sz w:val="28"/>
          <w:szCs w:val="28"/>
          <w:lang w:eastAsia="en-US"/>
        </w:rPr>
        <w:t> </w:t>
      </w:r>
      <w:r w:rsidRPr="00520861">
        <w:rPr>
          <w:bCs/>
          <w:spacing w:val="-6"/>
          <w:sz w:val="28"/>
          <w:szCs w:val="28"/>
          <w:lang w:eastAsia="en-US"/>
        </w:rPr>
        <w:t>B</w:t>
      </w:r>
      <w:r w:rsidR="008558FE" w:rsidRPr="00520861">
        <w:rPr>
          <w:bCs/>
          <w:spacing w:val="-6"/>
          <w:sz w:val="28"/>
          <w:szCs w:val="28"/>
          <w:lang w:eastAsia="en-US"/>
        </w:rPr>
        <w:t>.</w:t>
      </w:r>
      <w:r w:rsidR="008A62E5" w:rsidRPr="00520861">
        <w:rPr>
          <w:bCs/>
          <w:spacing w:val="-6"/>
          <w:sz w:val="28"/>
          <w:szCs w:val="28"/>
          <w:lang w:eastAsia="en-US"/>
        </w:rPr>
        <w:t> </w:t>
      </w:r>
      <w:r w:rsidRPr="00520861">
        <w:rPr>
          <w:bCs/>
          <w:spacing w:val="-6"/>
          <w:sz w:val="28"/>
          <w:szCs w:val="28"/>
          <w:lang w:eastAsia="en-US"/>
        </w:rPr>
        <w:t>H</w:t>
      </w:r>
      <w:r w:rsidR="008558FE" w:rsidRPr="00520861">
        <w:rPr>
          <w:bCs/>
          <w:spacing w:val="-6"/>
          <w:sz w:val="28"/>
          <w:szCs w:val="28"/>
          <w:lang w:eastAsia="en-US"/>
        </w:rPr>
        <w:t>.</w:t>
      </w:r>
      <w:r w:rsidRPr="00520861">
        <w:rPr>
          <w:bCs/>
          <w:spacing w:val="-6"/>
          <w:sz w:val="28"/>
          <w:szCs w:val="28"/>
          <w:lang w:eastAsia="en-US"/>
        </w:rPr>
        <w:t xml:space="preserve"> та співавторів [</w:t>
      </w:r>
      <w:r w:rsidR="009B0715" w:rsidRPr="00520861">
        <w:rPr>
          <w:bCs/>
          <w:spacing w:val="-6"/>
          <w:sz w:val="28"/>
          <w:szCs w:val="28"/>
          <w:lang w:eastAsia="en-US"/>
        </w:rPr>
        <w:t>435</w:t>
      </w:r>
      <w:r w:rsidRPr="00520861">
        <w:rPr>
          <w:bCs/>
          <w:spacing w:val="-6"/>
          <w:sz w:val="28"/>
          <w:szCs w:val="28"/>
          <w:lang w:eastAsia="en-US"/>
        </w:rPr>
        <w:t xml:space="preserve">]. </w:t>
      </w:r>
    </w:p>
    <w:p w14:paraId="49A0D59C" w14:textId="77777777" w:rsidR="005B2BAD" w:rsidRPr="00520861" w:rsidRDefault="005B2BAD" w:rsidP="00292D2E">
      <w:pPr>
        <w:widowControl w:val="0"/>
        <w:spacing w:line="360" w:lineRule="auto"/>
        <w:ind w:firstLine="708"/>
        <w:jc w:val="both"/>
        <w:rPr>
          <w:rFonts w:eastAsia="Calibri"/>
          <w:sz w:val="28"/>
          <w:szCs w:val="28"/>
        </w:rPr>
      </w:pPr>
      <w:r w:rsidRPr="00520861">
        <w:rPr>
          <w:sz w:val="28"/>
          <w:szCs w:val="28"/>
        </w:rPr>
        <w:t xml:space="preserve">Поліморфні варіанти гена </w:t>
      </w:r>
      <w:r w:rsidRPr="00520861">
        <w:rPr>
          <w:i/>
          <w:sz w:val="28"/>
          <w:szCs w:val="28"/>
        </w:rPr>
        <w:t>ESR1</w:t>
      </w:r>
      <w:r w:rsidRPr="00520861">
        <w:rPr>
          <w:sz w:val="28"/>
          <w:szCs w:val="28"/>
        </w:rPr>
        <w:t xml:space="preserve"> (</w:t>
      </w:r>
      <w:proofErr w:type="spellStart"/>
      <w:r w:rsidRPr="00520861">
        <w:rPr>
          <w:sz w:val="28"/>
          <w:szCs w:val="28"/>
        </w:rPr>
        <w:t>estrogen</w:t>
      </w:r>
      <w:proofErr w:type="spellEnd"/>
      <w:r w:rsidRPr="00520861">
        <w:rPr>
          <w:sz w:val="28"/>
          <w:szCs w:val="28"/>
        </w:rPr>
        <w:t xml:space="preserve"> </w:t>
      </w:r>
      <w:proofErr w:type="spellStart"/>
      <w:r w:rsidRPr="00520861">
        <w:rPr>
          <w:sz w:val="28"/>
          <w:szCs w:val="28"/>
        </w:rPr>
        <w:t>receptor</w:t>
      </w:r>
      <w:proofErr w:type="spellEnd"/>
      <w:r w:rsidRPr="00520861">
        <w:rPr>
          <w:sz w:val="28"/>
          <w:szCs w:val="28"/>
        </w:rPr>
        <w:t xml:space="preserve"> 1) відомі тим, що,</w:t>
      </w:r>
      <w:r w:rsidRPr="00520861">
        <w:rPr>
          <w:i/>
          <w:sz w:val="28"/>
          <w:szCs w:val="28"/>
        </w:rPr>
        <w:t xml:space="preserve"> </w:t>
      </w:r>
      <w:r w:rsidRPr="00520861">
        <w:rPr>
          <w:sz w:val="28"/>
          <w:szCs w:val="28"/>
        </w:rPr>
        <w:t xml:space="preserve">змінюючи транскрипційну активність гена, вони підвищують ризик </w:t>
      </w:r>
      <w:proofErr w:type="spellStart"/>
      <w:r w:rsidRPr="00520861">
        <w:rPr>
          <w:sz w:val="28"/>
          <w:szCs w:val="28"/>
        </w:rPr>
        <w:t>естроген</w:t>
      </w:r>
      <w:r w:rsidR="00181C33" w:rsidRPr="00520861">
        <w:rPr>
          <w:sz w:val="28"/>
          <w:szCs w:val="28"/>
        </w:rPr>
        <w:t>о</w:t>
      </w:r>
      <w:r w:rsidRPr="00520861">
        <w:rPr>
          <w:sz w:val="28"/>
          <w:szCs w:val="28"/>
        </w:rPr>
        <w:t>залежних</w:t>
      </w:r>
      <w:proofErr w:type="spellEnd"/>
      <w:r w:rsidRPr="00520861">
        <w:rPr>
          <w:sz w:val="28"/>
          <w:szCs w:val="28"/>
        </w:rPr>
        <w:t xml:space="preserve"> захворювань і, у першу чергу, остеопорозу.</w:t>
      </w:r>
      <w:r w:rsidR="00174453" w:rsidRPr="00520861">
        <w:rPr>
          <w:sz w:val="28"/>
          <w:szCs w:val="28"/>
        </w:rPr>
        <w:t xml:space="preserve"> </w:t>
      </w:r>
      <w:r w:rsidRPr="00520861">
        <w:rPr>
          <w:sz w:val="28"/>
          <w:szCs w:val="28"/>
        </w:rPr>
        <w:t xml:space="preserve">Варіанти цього гена є маркерами зниження чутливості клітин кісткової тканини до дії </w:t>
      </w:r>
      <w:proofErr w:type="spellStart"/>
      <w:r w:rsidRPr="00520861">
        <w:rPr>
          <w:sz w:val="28"/>
          <w:szCs w:val="28"/>
        </w:rPr>
        <w:t>естрогенів</w:t>
      </w:r>
      <w:proofErr w:type="spellEnd"/>
      <w:r w:rsidRPr="00520861">
        <w:rPr>
          <w:sz w:val="28"/>
          <w:szCs w:val="28"/>
        </w:rPr>
        <w:t xml:space="preserve"> і також асоційовані з </w:t>
      </w:r>
      <w:r w:rsidR="005D353C" w:rsidRPr="00520861">
        <w:rPr>
          <w:sz w:val="28"/>
          <w:szCs w:val="28"/>
        </w:rPr>
        <w:br/>
      </w:r>
      <w:r w:rsidRPr="00520861">
        <w:rPr>
          <w:sz w:val="28"/>
          <w:szCs w:val="28"/>
        </w:rPr>
        <w:t xml:space="preserve">активацією </w:t>
      </w:r>
      <w:proofErr w:type="spellStart"/>
      <w:r w:rsidRPr="00520861">
        <w:rPr>
          <w:sz w:val="28"/>
          <w:szCs w:val="28"/>
        </w:rPr>
        <w:t>остеокластів</w:t>
      </w:r>
      <w:proofErr w:type="spellEnd"/>
      <w:r w:rsidRPr="00520861">
        <w:rPr>
          <w:sz w:val="28"/>
          <w:szCs w:val="28"/>
        </w:rPr>
        <w:t xml:space="preserve"> та, як наслідок, зниженням мінераль</w:t>
      </w:r>
      <w:r w:rsidR="00181C33" w:rsidRPr="00520861">
        <w:rPr>
          <w:sz w:val="28"/>
          <w:szCs w:val="28"/>
        </w:rPr>
        <w:t>ної щільності кісткової тканини </w:t>
      </w:r>
      <w:r w:rsidRPr="00520861">
        <w:rPr>
          <w:sz w:val="28"/>
          <w:szCs w:val="28"/>
        </w:rPr>
        <w:t>[</w:t>
      </w:r>
      <w:r w:rsidR="009B0715" w:rsidRPr="00520861">
        <w:rPr>
          <w:sz w:val="28"/>
          <w:szCs w:val="28"/>
        </w:rPr>
        <w:t>418</w:t>
      </w:r>
      <w:r w:rsidRPr="00520861">
        <w:rPr>
          <w:sz w:val="28"/>
          <w:szCs w:val="28"/>
        </w:rPr>
        <w:t xml:space="preserve">]. Відомо, що </w:t>
      </w:r>
      <w:r w:rsidRPr="00520861">
        <w:rPr>
          <w:i/>
          <w:sz w:val="28"/>
          <w:szCs w:val="28"/>
        </w:rPr>
        <w:t xml:space="preserve">ESR1 </w:t>
      </w:r>
      <w:r w:rsidRPr="00520861">
        <w:rPr>
          <w:sz w:val="28"/>
          <w:szCs w:val="28"/>
        </w:rPr>
        <w:t xml:space="preserve">задіяний в </w:t>
      </w:r>
      <w:proofErr w:type="spellStart"/>
      <w:r w:rsidRPr="00520861">
        <w:rPr>
          <w:sz w:val="28"/>
          <w:szCs w:val="28"/>
        </w:rPr>
        <w:t>амелогенезі</w:t>
      </w:r>
      <w:proofErr w:type="spellEnd"/>
      <w:r w:rsidRPr="00520861">
        <w:rPr>
          <w:sz w:val="28"/>
          <w:szCs w:val="28"/>
        </w:rPr>
        <w:t xml:space="preserve"> </w:t>
      </w:r>
      <w:r w:rsidRPr="00520861">
        <w:rPr>
          <w:rFonts w:eastAsia="Calibri"/>
          <w:sz w:val="28"/>
          <w:szCs w:val="28"/>
        </w:rPr>
        <w:t>[</w:t>
      </w:r>
      <w:r w:rsidR="009B0715" w:rsidRPr="00520861">
        <w:rPr>
          <w:rFonts w:eastAsia="Calibri"/>
          <w:sz w:val="28"/>
          <w:szCs w:val="28"/>
        </w:rPr>
        <w:t>365</w:t>
      </w:r>
      <w:r w:rsidRPr="00520861">
        <w:rPr>
          <w:rFonts w:eastAsia="Calibri"/>
          <w:sz w:val="28"/>
          <w:szCs w:val="28"/>
        </w:rPr>
        <w:t>]</w:t>
      </w:r>
      <w:r w:rsidRPr="00520861">
        <w:rPr>
          <w:sz w:val="28"/>
          <w:szCs w:val="28"/>
        </w:rPr>
        <w:t xml:space="preserve"> та асоційований із </w:t>
      </w:r>
      <w:r w:rsidR="00487684" w:rsidRPr="00520861">
        <w:rPr>
          <w:sz w:val="28"/>
          <w:szCs w:val="28"/>
        </w:rPr>
        <w:br/>
      </w:r>
      <w:r w:rsidRPr="00520861">
        <w:rPr>
          <w:sz w:val="28"/>
          <w:szCs w:val="28"/>
        </w:rPr>
        <w:t>формуванням некаріозних уражень твердих тканин зубів [</w:t>
      </w:r>
      <w:r w:rsidR="009B0715" w:rsidRPr="00520861">
        <w:rPr>
          <w:sz w:val="28"/>
          <w:szCs w:val="28"/>
        </w:rPr>
        <w:t>237</w:t>
      </w:r>
      <w:r w:rsidRPr="00520861">
        <w:rPr>
          <w:sz w:val="28"/>
          <w:szCs w:val="28"/>
        </w:rPr>
        <w:t>].</w:t>
      </w:r>
      <w:r w:rsidR="00174453" w:rsidRPr="00520861">
        <w:rPr>
          <w:sz w:val="28"/>
          <w:szCs w:val="28"/>
        </w:rPr>
        <w:t xml:space="preserve"> </w:t>
      </w:r>
      <w:r w:rsidRPr="00520861">
        <w:rPr>
          <w:sz w:val="28"/>
          <w:szCs w:val="28"/>
        </w:rPr>
        <w:t xml:space="preserve">Дефіцит </w:t>
      </w:r>
      <w:proofErr w:type="spellStart"/>
      <w:r w:rsidRPr="00520861">
        <w:rPr>
          <w:sz w:val="28"/>
          <w:szCs w:val="28"/>
        </w:rPr>
        <w:t>естрогенів</w:t>
      </w:r>
      <w:proofErr w:type="spellEnd"/>
      <w:r w:rsidRPr="00520861">
        <w:rPr>
          <w:sz w:val="28"/>
          <w:szCs w:val="28"/>
        </w:rPr>
        <w:t xml:space="preserve"> у жінок сприяє формуванню нестійкості тканин зубів д</w:t>
      </w:r>
      <w:r w:rsidR="00181C33" w:rsidRPr="00520861">
        <w:rPr>
          <w:sz w:val="28"/>
          <w:szCs w:val="28"/>
        </w:rPr>
        <w:t xml:space="preserve">о впливу </w:t>
      </w:r>
      <w:proofErr w:type="spellStart"/>
      <w:r w:rsidR="00181C33" w:rsidRPr="00520861">
        <w:rPr>
          <w:sz w:val="28"/>
          <w:szCs w:val="28"/>
        </w:rPr>
        <w:t>карієсогенних</w:t>
      </w:r>
      <w:proofErr w:type="spellEnd"/>
      <w:r w:rsidR="00181C33" w:rsidRPr="00520861">
        <w:rPr>
          <w:sz w:val="28"/>
          <w:szCs w:val="28"/>
        </w:rPr>
        <w:t xml:space="preserve"> факторів </w:t>
      </w:r>
      <w:r w:rsidRPr="00520861">
        <w:rPr>
          <w:sz w:val="28"/>
          <w:szCs w:val="28"/>
        </w:rPr>
        <w:t>[</w:t>
      </w:r>
      <w:r w:rsidR="009B0715" w:rsidRPr="00520861">
        <w:rPr>
          <w:sz w:val="28"/>
          <w:szCs w:val="28"/>
        </w:rPr>
        <w:t>2</w:t>
      </w:r>
      <w:r w:rsidRPr="00520861">
        <w:rPr>
          <w:sz w:val="28"/>
          <w:szCs w:val="28"/>
        </w:rPr>
        <w:t xml:space="preserve">]. </w:t>
      </w:r>
      <w:r w:rsidRPr="00520861">
        <w:rPr>
          <w:rFonts w:eastAsia="Calibri"/>
          <w:sz w:val="28"/>
          <w:szCs w:val="28"/>
        </w:rPr>
        <w:t>У проведеному</w:t>
      </w:r>
      <w:r w:rsidRPr="00520861">
        <w:rPr>
          <w:sz w:val="28"/>
          <w:szCs w:val="28"/>
        </w:rPr>
        <w:t xml:space="preserve"> </w:t>
      </w:r>
      <w:r w:rsidR="00181C33" w:rsidRPr="00520861">
        <w:rPr>
          <w:rFonts w:eastAsia="Calibri"/>
          <w:sz w:val="28"/>
          <w:szCs w:val="28"/>
        </w:rPr>
        <w:t>Барило О.</w:t>
      </w:r>
      <w:r w:rsidR="008A62E5" w:rsidRPr="00520861">
        <w:rPr>
          <w:rFonts w:eastAsia="Calibri"/>
          <w:sz w:val="28"/>
          <w:szCs w:val="28"/>
        </w:rPr>
        <w:t xml:space="preserve"> С. </w:t>
      </w:r>
      <w:r w:rsidRPr="00520861">
        <w:rPr>
          <w:rFonts w:eastAsia="Calibri"/>
          <w:sz w:val="28"/>
          <w:szCs w:val="28"/>
        </w:rPr>
        <w:t>та співавторами дослідженні [</w:t>
      </w:r>
      <w:r w:rsidR="009B0715" w:rsidRPr="00520861">
        <w:rPr>
          <w:rFonts w:eastAsia="Calibri"/>
          <w:sz w:val="28"/>
          <w:szCs w:val="28"/>
        </w:rPr>
        <w:t>9</w:t>
      </w:r>
      <w:r w:rsidRPr="00520861">
        <w:rPr>
          <w:rFonts w:eastAsia="Calibri"/>
          <w:sz w:val="28"/>
          <w:szCs w:val="28"/>
        </w:rPr>
        <w:t>] доведено, що при дефіциті естрогену спостерігається значна втрата кісткової тканини щелеп</w:t>
      </w:r>
      <w:r w:rsidRPr="00520861">
        <w:rPr>
          <w:sz w:val="28"/>
          <w:szCs w:val="28"/>
        </w:rPr>
        <w:t xml:space="preserve">. </w:t>
      </w:r>
    </w:p>
    <w:p w14:paraId="3A2FA507" w14:textId="77777777" w:rsidR="005D353C" w:rsidRPr="00520861" w:rsidRDefault="005B2BAD" w:rsidP="00292D2E">
      <w:pPr>
        <w:widowControl w:val="0"/>
        <w:spacing w:line="360" w:lineRule="auto"/>
        <w:ind w:firstLine="708"/>
        <w:jc w:val="both"/>
        <w:rPr>
          <w:sz w:val="28"/>
          <w:szCs w:val="28"/>
        </w:rPr>
      </w:pPr>
      <w:r w:rsidRPr="00520861">
        <w:rPr>
          <w:sz w:val="28"/>
          <w:szCs w:val="28"/>
        </w:rPr>
        <w:t>RANKL (</w:t>
      </w:r>
      <w:proofErr w:type="spellStart"/>
      <w:r w:rsidRPr="00520861">
        <w:rPr>
          <w:sz w:val="28"/>
          <w:szCs w:val="28"/>
        </w:rPr>
        <w:t>Receptor</w:t>
      </w:r>
      <w:proofErr w:type="spellEnd"/>
      <w:r w:rsidRPr="00520861">
        <w:rPr>
          <w:sz w:val="28"/>
          <w:szCs w:val="28"/>
        </w:rPr>
        <w:t xml:space="preserve"> </w:t>
      </w:r>
      <w:proofErr w:type="spellStart"/>
      <w:r w:rsidRPr="00520861">
        <w:rPr>
          <w:sz w:val="28"/>
          <w:szCs w:val="28"/>
        </w:rPr>
        <w:t>activator</w:t>
      </w:r>
      <w:proofErr w:type="spellEnd"/>
      <w:r w:rsidRPr="00520861">
        <w:rPr>
          <w:sz w:val="28"/>
          <w:szCs w:val="28"/>
        </w:rPr>
        <w:t xml:space="preserve"> </w:t>
      </w:r>
      <w:proofErr w:type="spellStart"/>
      <w:r w:rsidRPr="00520861">
        <w:rPr>
          <w:sz w:val="28"/>
          <w:szCs w:val="28"/>
        </w:rPr>
        <w:t>of</w:t>
      </w:r>
      <w:proofErr w:type="spellEnd"/>
      <w:r w:rsidRPr="00520861">
        <w:rPr>
          <w:sz w:val="28"/>
          <w:szCs w:val="28"/>
        </w:rPr>
        <w:t xml:space="preserve"> </w:t>
      </w:r>
      <w:proofErr w:type="spellStart"/>
      <w:r w:rsidRPr="00520861">
        <w:rPr>
          <w:sz w:val="28"/>
          <w:szCs w:val="28"/>
        </w:rPr>
        <w:t>nuclear</w:t>
      </w:r>
      <w:proofErr w:type="spellEnd"/>
      <w:r w:rsidRPr="00520861">
        <w:rPr>
          <w:sz w:val="28"/>
          <w:szCs w:val="28"/>
        </w:rPr>
        <w:t xml:space="preserve"> </w:t>
      </w:r>
      <w:proofErr w:type="spellStart"/>
      <w:r w:rsidRPr="00520861">
        <w:rPr>
          <w:sz w:val="28"/>
          <w:szCs w:val="28"/>
        </w:rPr>
        <w:t>factor</w:t>
      </w:r>
      <w:proofErr w:type="spellEnd"/>
      <w:r w:rsidRPr="00520861">
        <w:rPr>
          <w:sz w:val="28"/>
          <w:szCs w:val="28"/>
        </w:rPr>
        <w:t xml:space="preserve"> </w:t>
      </w:r>
      <w:proofErr w:type="spellStart"/>
      <w:r w:rsidRPr="00520861">
        <w:rPr>
          <w:sz w:val="28"/>
          <w:szCs w:val="28"/>
        </w:rPr>
        <w:t>kappa</w:t>
      </w:r>
      <w:proofErr w:type="spellEnd"/>
      <w:r w:rsidRPr="00520861">
        <w:rPr>
          <w:sz w:val="28"/>
          <w:szCs w:val="28"/>
        </w:rPr>
        <w:t xml:space="preserve">-B </w:t>
      </w:r>
      <w:proofErr w:type="spellStart"/>
      <w:r w:rsidRPr="00520861">
        <w:rPr>
          <w:sz w:val="28"/>
          <w:szCs w:val="28"/>
        </w:rPr>
        <w:t>ligand</w:t>
      </w:r>
      <w:proofErr w:type="spellEnd"/>
      <w:r w:rsidRPr="00520861">
        <w:rPr>
          <w:sz w:val="28"/>
          <w:szCs w:val="28"/>
        </w:rPr>
        <w:t xml:space="preserve">) – мембранний </w:t>
      </w:r>
      <w:r w:rsidR="007C6FBE" w:rsidRPr="00520861">
        <w:rPr>
          <w:sz w:val="28"/>
          <w:szCs w:val="28"/>
        </w:rPr>
        <w:br/>
      </w:r>
      <w:r w:rsidRPr="00520861">
        <w:rPr>
          <w:sz w:val="28"/>
          <w:szCs w:val="28"/>
        </w:rPr>
        <w:t xml:space="preserve">білок, цитокін сімейства факторів некрозу пухлини, який, активуючи </w:t>
      </w:r>
      <w:proofErr w:type="spellStart"/>
      <w:r w:rsidRPr="00520861">
        <w:rPr>
          <w:sz w:val="28"/>
          <w:szCs w:val="28"/>
        </w:rPr>
        <w:t>остеокласти</w:t>
      </w:r>
      <w:proofErr w:type="spellEnd"/>
      <w:r w:rsidRPr="00520861">
        <w:rPr>
          <w:sz w:val="28"/>
          <w:szCs w:val="28"/>
        </w:rPr>
        <w:t xml:space="preserve"> та сприяючи </w:t>
      </w:r>
      <w:proofErr w:type="spellStart"/>
      <w:r w:rsidRPr="00520861">
        <w:rPr>
          <w:sz w:val="28"/>
          <w:szCs w:val="28"/>
        </w:rPr>
        <w:t>остеокластогенезу</w:t>
      </w:r>
      <w:proofErr w:type="spellEnd"/>
      <w:r w:rsidRPr="00520861">
        <w:rPr>
          <w:sz w:val="28"/>
          <w:szCs w:val="28"/>
        </w:rPr>
        <w:t xml:space="preserve">, також відіграє важливу роль у </w:t>
      </w:r>
      <w:proofErr w:type="spellStart"/>
      <w:r w:rsidRPr="00520861">
        <w:rPr>
          <w:sz w:val="28"/>
          <w:szCs w:val="28"/>
        </w:rPr>
        <w:t>ремоделюванні</w:t>
      </w:r>
      <w:proofErr w:type="spellEnd"/>
      <w:r w:rsidRPr="00520861">
        <w:rPr>
          <w:sz w:val="28"/>
          <w:szCs w:val="28"/>
        </w:rPr>
        <w:t xml:space="preserve"> кісткової тканини [</w:t>
      </w:r>
      <w:r w:rsidR="009B0715" w:rsidRPr="00520861">
        <w:rPr>
          <w:sz w:val="28"/>
          <w:szCs w:val="28"/>
        </w:rPr>
        <w:t>561</w:t>
      </w:r>
      <w:r w:rsidRPr="00520861">
        <w:rPr>
          <w:sz w:val="28"/>
          <w:szCs w:val="28"/>
        </w:rPr>
        <w:t>]. До регулювання секреції RANKL залучені статеві гормони [</w:t>
      </w:r>
      <w:r w:rsidR="00AA6823" w:rsidRPr="00520861">
        <w:rPr>
          <w:sz w:val="28"/>
          <w:szCs w:val="28"/>
        </w:rPr>
        <w:t>523</w:t>
      </w:r>
      <w:r w:rsidRPr="00520861">
        <w:rPr>
          <w:sz w:val="28"/>
          <w:szCs w:val="28"/>
        </w:rPr>
        <w:t xml:space="preserve">] та </w:t>
      </w:r>
      <w:proofErr w:type="spellStart"/>
      <w:r w:rsidRPr="00520861">
        <w:rPr>
          <w:sz w:val="28"/>
          <w:szCs w:val="28"/>
        </w:rPr>
        <w:t>інтерлейкіни</w:t>
      </w:r>
      <w:proofErr w:type="spellEnd"/>
      <w:r w:rsidRPr="00520861">
        <w:rPr>
          <w:sz w:val="28"/>
          <w:szCs w:val="28"/>
        </w:rPr>
        <w:t>, зокрема</w:t>
      </w:r>
      <w:r w:rsidR="00174453" w:rsidRPr="00520861">
        <w:rPr>
          <w:sz w:val="28"/>
          <w:szCs w:val="28"/>
        </w:rPr>
        <w:t xml:space="preserve"> </w:t>
      </w:r>
      <w:r w:rsidRPr="00520861">
        <w:rPr>
          <w:sz w:val="28"/>
          <w:szCs w:val="28"/>
        </w:rPr>
        <w:t>IL</w:t>
      </w:r>
      <w:r w:rsidR="002B4CA0" w:rsidRPr="00520861">
        <w:rPr>
          <w:sz w:val="28"/>
          <w:szCs w:val="28"/>
        </w:rPr>
        <w:t>-</w:t>
      </w:r>
      <w:r w:rsidRPr="00520861">
        <w:rPr>
          <w:sz w:val="28"/>
          <w:szCs w:val="28"/>
        </w:rPr>
        <w:t>1 [</w:t>
      </w:r>
      <w:r w:rsidR="00AA6823" w:rsidRPr="00520861">
        <w:rPr>
          <w:sz w:val="28"/>
          <w:szCs w:val="28"/>
        </w:rPr>
        <w:t>555</w:t>
      </w:r>
      <w:r w:rsidRPr="00520861">
        <w:rPr>
          <w:sz w:val="28"/>
          <w:szCs w:val="28"/>
        </w:rPr>
        <w:t>]. Останній тако</w:t>
      </w:r>
      <w:r w:rsidR="00E00ABF" w:rsidRPr="00520861">
        <w:rPr>
          <w:sz w:val="28"/>
          <w:szCs w:val="28"/>
        </w:rPr>
        <w:t xml:space="preserve">ж сприяє утворенню </w:t>
      </w:r>
      <w:proofErr w:type="spellStart"/>
      <w:r w:rsidR="00E00ABF" w:rsidRPr="00520861">
        <w:rPr>
          <w:sz w:val="28"/>
          <w:szCs w:val="28"/>
        </w:rPr>
        <w:t>остеокластів</w:t>
      </w:r>
      <w:proofErr w:type="spellEnd"/>
      <w:r w:rsidR="00E00ABF" w:rsidRPr="00520861">
        <w:rPr>
          <w:sz w:val="28"/>
          <w:szCs w:val="28"/>
        </w:rPr>
        <w:t> </w:t>
      </w:r>
      <w:r w:rsidRPr="00520861">
        <w:rPr>
          <w:sz w:val="28"/>
          <w:szCs w:val="28"/>
        </w:rPr>
        <w:t>[</w:t>
      </w:r>
      <w:r w:rsidR="00AA6823" w:rsidRPr="00520861">
        <w:rPr>
          <w:sz w:val="28"/>
          <w:szCs w:val="28"/>
        </w:rPr>
        <w:t>561</w:t>
      </w:r>
      <w:r w:rsidRPr="00520861">
        <w:rPr>
          <w:sz w:val="28"/>
          <w:szCs w:val="28"/>
        </w:rPr>
        <w:t>].</w:t>
      </w:r>
      <w:r w:rsidR="00C27845" w:rsidRPr="00520861">
        <w:rPr>
          <w:rFonts w:eastAsia="Calibri"/>
          <w:sz w:val="28"/>
          <w:szCs w:val="28"/>
        </w:rPr>
        <w:t xml:space="preserve"> </w:t>
      </w:r>
      <w:r w:rsidRPr="00520861">
        <w:rPr>
          <w:sz w:val="28"/>
          <w:szCs w:val="28"/>
        </w:rPr>
        <w:t xml:space="preserve">Варіанти гена </w:t>
      </w:r>
      <w:r w:rsidRPr="00520861">
        <w:rPr>
          <w:i/>
          <w:sz w:val="28"/>
          <w:szCs w:val="28"/>
        </w:rPr>
        <w:t>RANKL</w:t>
      </w:r>
      <w:r w:rsidRPr="00520861">
        <w:rPr>
          <w:sz w:val="28"/>
          <w:szCs w:val="28"/>
        </w:rPr>
        <w:t xml:space="preserve"> пов’язують із виникненням </w:t>
      </w:r>
      <w:proofErr w:type="spellStart"/>
      <w:r w:rsidRPr="00520861">
        <w:rPr>
          <w:sz w:val="28"/>
          <w:szCs w:val="28"/>
        </w:rPr>
        <w:t>аутосомного</w:t>
      </w:r>
      <w:proofErr w:type="spellEnd"/>
      <w:r w:rsidRPr="00520861">
        <w:rPr>
          <w:sz w:val="28"/>
          <w:szCs w:val="28"/>
        </w:rPr>
        <w:t xml:space="preserve"> рецесивного </w:t>
      </w:r>
      <w:proofErr w:type="spellStart"/>
      <w:r w:rsidRPr="00520861">
        <w:rPr>
          <w:sz w:val="28"/>
          <w:szCs w:val="28"/>
        </w:rPr>
        <w:t>остеопетрозу</w:t>
      </w:r>
      <w:proofErr w:type="spellEnd"/>
      <w:r w:rsidRPr="00520861">
        <w:rPr>
          <w:sz w:val="28"/>
          <w:szCs w:val="28"/>
        </w:rPr>
        <w:t xml:space="preserve"> 2-го типу [</w:t>
      </w:r>
      <w:r w:rsidR="00AA6823" w:rsidRPr="00520861">
        <w:rPr>
          <w:sz w:val="28"/>
          <w:szCs w:val="28"/>
        </w:rPr>
        <w:t>552</w:t>
      </w:r>
      <w:r w:rsidRPr="00520861">
        <w:rPr>
          <w:sz w:val="28"/>
          <w:szCs w:val="28"/>
        </w:rPr>
        <w:t>]. Згідно з відомостями, опублікованими [</w:t>
      </w:r>
      <w:r w:rsidR="00AA6823" w:rsidRPr="00520861">
        <w:rPr>
          <w:sz w:val="28"/>
          <w:szCs w:val="28"/>
        </w:rPr>
        <w:t>524</w:t>
      </w:r>
      <w:r w:rsidRPr="00520861">
        <w:rPr>
          <w:sz w:val="28"/>
          <w:szCs w:val="28"/>
        </w:rPr>
        <w:t xml:space="preserve">], </w:t>
      </w:r>
      <w:r w:rsidR="008D05CF" w:rsidRPr="00520861">
        <w:rPr>
          <w:sz w:val="28"/>
          <w:szCs w:val="28"/>
        </w:rPr>
        <w:br/>
      </w:r>
      <w:r w:rsidRPr="00520861">
        <w:rPr>
          <w:sz w:val="28"/>
          <w:szCs w:val="28"/>
        </w:rPr>
        <w:t xml:space="preserve">поліморфізм цього гена в точках rs9594759 та rs9594738 відповідає за порушення </w:t>
      </w:r>
      <w:r w:rsidR="008D05CF" w:rsidRPr="00520861">
        <w:rPr>
          <w:sz w:val="28"/>
          <w:szCs w:val="28"/>
        </w:rPr>
        <w:br/>
      </w:r>
      <w:r w:rsidRPr="00520861">
        <w:rPr>
          <w:sz w:val="28"/>
          <w:szCs w:val="28"/>
        </w:rPr>
        <w:t xml:space="preserve">кісткової тканини, яка характеризується підвищеною щільністю через сповільнення процесів резорбції. </w:t>
      </w:r>
    </w:p>
    <w:p w14:paraId="50DAD1D6" w14:textId="77777777" w:rsidR="005B2BAD" w:rsidRPr="00520861" w:rsidRDefault="005B2BAD" w:rsidP="00292D2E">
      <w:pPr>
        <w:widowControl w:val="0"/>
        <w:spacing w:line="360" w:lineRule="auto"/>
        <w:ind w:firstLine="708"/>
        <w:jc w:val="both"/>
        <w:rPr>
          <w:sz w:val="28"/>
          <w:szCs w:val="28"/>
        </w:rPr>
      </w:pPr>
      <w:proofErr w:type="spellStart"/>
      <w:r w:rsidRPr="00520861">
        <w:rPr>
          <w:rFonts w:eastAsia="Calibri"/>
          <w:sz w:val="28"/>
          <w:szCs w:val="28"/>
        </w:rPr>
        <w:t>Paternoster</w:t>
      </w:r>
      <w:proofErr w:type="spellEnd"/>
      <w:r w:rsidRPr="00520861">
        <w:rPr>
          <w:rFonts w:eastAsia="Calibri"/>
          <w:sz w:val="28"/>
          <w:szCs w:val="28"/>
        </w:rPr>
        <w:t xml:space="preserve"> L</w:t>
      </w:r>
      <w:r w:rsidR="00E00ABF" w:rsidRPr="00520861">
        <w:rPr>
          <w:rFonts w:eastAsia="Calibri"/>
          <w:sz w:val="28"/>
          <w:szCs w:val="28"/>
        </w:rPr>
        <w:t>.</w:t>
      </w:r>
      <w:r w:rsidRPr="00520861">
        <w:rPr>
          <w:rFonts w:eastAsia="Calibri"/>
          <w:sz w:val="28"/>
          <w:szCs w:val="28"/>
        </w:rPr>
        <w:t xml:space="preserve"> та співавтори опублікували відо</w:t>
      </w:r>
      <w:r w:rsidR="00E00ABF" w:rsidRPr="00520861">
        <w:rPr>
          <w:rFonts w:eastAsia="Calibri"/>
          <w:sz w:val="28"/>
          <w:szCs w:val="28"/>
        </w:rPr>
        <w:t>мості щодо асоціації</w:t>
      </w:r>
      <w:r w:rsidRPr="00520861">
        <w:rPr>
          <w:rFonts w:eastAsia="Calibri"/>
          <w:sz w:val="28"/>
          <w:szCs w:val="28"/>
        </w:rPr>
        <w:t xml:space="preserve"> поліморфі</w:t>
      </w:r>
      <w:r w:rsidR="00E00ABF" w:rsidRPr="00520861">
        <w:rPr>
          <w:rFonts w:eastAsia="Calibri"/>
          <w:sz w:val="28"/>
          <w:szCs w:val="28"/>
        </w:rPr>
        <w:t>зму rs9594738 у</w:t>
      </w:r>
      <w:r w:rsidRPr="00520861">
        <w:rPr>
          <w:rFonts w:eastAsia="Calibri"/>
          <w:sz w:val="28"/>
          <w:szCs w:val="28"/>
        </w:rPr>
        <w:t xml:space="preserve"> гені </w:t>
      </w:r>
      <w:r w:rsidRPr="00520861">
        <w:rPr>
          <w:i/>
          <w:sz w:val="28"/>
          <w:szCs w:val="28"/>
        </w:rPr>
        <w:t>RANKL</w:t>
      </w:r>
      <w:r w:rsidRPr="00520861">
        <w:rPr>
          <w:rFonts w:eastAsia="Calibri"/>
          <w:sz w:val="28"/>
          <w:szCs w:val="28"/>
        </w:rPr>
        <w:t xml:space="preserve"> з мінеральною щільністю кортикальної кісткової тканини [</w:t>
      </w:r>
      <w:r w:rsidR="00AA6823" w:rsidRPr="00520861">
        <w:rPr>
          <w:rFonts w:eastAsia="Calibri"/>
          <w:sz w:val="28"/>
          <w:szCs w:val="28"/>
        </w:rPr>
        <w:t>463</w:t>
      </w:r>
      <w:r w:rsidR="00E00ABF" w:rsidRPr="00520861">
        <w:rPr>
          <w:rFonts w:eastAsia="Calibri"/>
          <w:sz w:val="28"/>
          <w:szCs w:val="28"/>
        </w:rPr>
        <w:t>]. Залуче</w:t>
      </w:r>
      <w:r w:rsidRPr="00520861">
        <w:rPr>
          <w:rFonts w:eastAsia="Calibri"/>
          <w:sz w:val="28"/>
          <w:szCs w:val="28"/>
        </w:rPr>
        <w:t xml:space="preserve">ність варіантів гена </w:t>
      </w:r>
      <w:r w:rsidRPr="00520861">
        <w:rPr>
          <w:rFonts w:eastAsia="Calibri"/>
          <w:i/>
          <w:sz w:val="28"/>
          <w:szCs w:val="28"/>
        </w:rPr>
        <w:t>RANKL</w:t>
      </w:r>
      <w:r w:rsidRPr="00520861">
        <w:rPr>
          <w:rFonts w:eastAsia="Calibri"/>
          <w:sz w:val="28"/>
          <w:szCs w:val="28"/>
        </w:rPr>
        <w:t xml:space="preserve">, зокрема rs9594738, до процесів </w:t>
      </w:r>
      <w:proofErr w:type="spellStart"/>
      <w:r w:rsidRPr="00520861">
        <w:rPr>
          <w:rFonts w:eastAsia="Calibri"/>
          <w:sz w:val="28"/>
          <w:szCs w:val="28"/>
        </w:rPr>
        <w:t>ремоделювання</w:t>
      </w:r>
      <w:proofErr w:type="spellEnd"/>
      <w:r w:rsidRPr="00520861">
        <w:rPr>
          <w:rFonts w:eastAsia="Calibri"/>
          <w:sz w:val="28"/>
          <w:szCs w:val="28"/>
        </w:rPr>
        <w:t xml:space="preserve"> кісткової тканини вивчали </w:t>
      </w:r>
      <w:proofErr w:type="spellStart"/>
      <w:r w:rsidRPr="00520861">
        <w:rPr>
          <w:rFonts w:eastAsia="Calibri"/>
          <w:sz w:val="28"/>
          <w:szCs w:val="28"/>
        </w:rPr>
        <w:t>Yu</w:t>
      </w:r>
      <w:proofErr w:type="spellEnd"/>
      <w:r w:rsidRPr="00520861">
        <w:rPr>
          <w:rFonts w:eastAsia="Calibri"/>
          <w:sz w:val="28"/>
          <w:szCs w:val="28"/>
        </w:rPr>
        <w:t xml:space="preserve"> </w:t>
      </w:r>
      <w:r w:rsidR="008E672F" w:rsidRPr="00520861">
        <w:rPr>
          <w:rFonts w:eastAsia="Calibri"/>
          <w:sz w:val="28"/>
          <w:szCs w:val="28"/>
        </w:rPr>
        <w:t>M. </w:t>
      </w:r>
      <w:r w:rsidRPr="00520861">
        <w:rPr>
          <w:rFonts w:eastAsia="Calibri"/>
          <w:sz w:val="28"/>
          <w:szCs w:val="28"/>
        </w:rPr>
        <w:t>та співавтори [</w:t>
      </w:r>
      <w:r w:rsidR="00AA6823" w:rsidRPr="00520861">
        <w:rPr>
          <w:rFonts w:eastAsia="Calibri"/>
          <w:sz w:val="28"/>
          <w:szCs w:val="28"/>
        </w:rPr>
        <w:t>582</w:t>
      </w:r>
      <w:r w:rsidR="005D353C" w:rsidRPr="00520861">
        <w:rPr>
          <w:rFonts w:eastAsia="Calibri"/>
          <w:sz w:val="28"/>
          <w:szCs w:val="28"/>
        </w:rPr>
        <w:t xml:space="preserve">], вони довели, </w:t>
      </w:r>
      <w:r w:rsidRPr="00520861">
        <w:rPr>
          <w:sz w:val="28"/>
          <w:szCs w:val="28"/>
        </w:rPr>
        <w:t xml:space="preserve">що вітамін D здатний регулювати експресію </w:t>
      </w:r>
      <w:r w:rsidRPr="00520861">
        <w:rPr>
          <w:i/>
          <w:sz w:val="28"/>
          <w:szCs w:val="28"/>
        </w:rPr>
        <w:t>RANKL</w:t>
      </w:r>
      <w:r w:rsidRPr="00520861">
        <w:rPr>
          <w:sz w:val="28"/>
          <w:szCs w:val="28"/>
        </w:rPr>
        <w:t xml:space="preserve"> та мінеральну щільність кісток.</w:t>
      </w:r>
      <w:r w:rsidR="00473259" w:rsidRPr="00520861">
        <w:rPr>
          <w:rFonts w:eastAsia="Calibri"/>
          <w:sz w:val="28"/>
          <w:szCs w:val="28"/>
        </w:rPr>
        <w:t xml:space="preserve"> </w:t>
      </w:r>
      <w:r w:rsidRPr="00520861">
        <w:rPr>
          <w:sz w:val="28"/>
          <w:szCs w:val="28"/>
        </w:rPr>
        <w:t xml:space="preserve">Одна із багатьох відомих функцій вітаміну D – регуляція кальцієвого гомеостазу. </w:t>
      </w:r>
      <w:r w:rsidR="008D05CF" w:rsidRPr="00520861">
        <w:rPr>
          <w:sz w:val="28"/>
          <w:szCs w:val="28"/>
        </w:rPr>
        <w:br/>
      </w:r>
      <w:r w:rsidRPr="00520861">
        <w:rPr>
          <w:sz w:val="28"/>
          <w:szCs w:val="28"/>
        </w:rPr>
        <w:t xml:space="preserve">Існування асоціації між </w:t>
      </w:r>
      <w:r w:rsidR="001A1AB5" w:rsidRPr="00520861">
        <w:rPr>
          <w:sz w:val="28"/>
          <w:szCs w:val="28"/>
        </w:rPr>
        <w:t>поліморфізмом</w:t>
      </w:r>
      <w:r w:rsidRPr="00520861">
        <w:rPr>
          <w:sz w:val="28"/>
          <w:szCs w:val="28"/>
        </w:rPr>
        <w:t xml:space="preserve"> в гені рецептора вітаміну D (</w:t>
      </w:r>
      <w:r w:rsidR="00A7265F" w:rsidRPr="00520861">
        <w:rPr>
          <w:rFonts w:eastAsia="Calibri"/>
          <w:sz w:val="28"/>
          <w:szCs w:val="28"/>
        </w:rPr>
        <w:t>VDR</w:t>
      </w:r>
      <w:r w:rsidR="002B4CA0" w:rsidRPr="00520861">
        <w:rPr>
          <w:rFonts w:eastAsia="Calibri"/>
          <w:sz w:val="28"/>
          <w:szCs w:val="28"/>
        </w:rPr>
        <w:t>-</w:t>
      </w:r>
      <w:proofErr w:type="spellStart"/>
      <w:r w:rsidRPr="00520861">
        <w:rPr>
          <w:rFonts w:eastAsia="Calibri"/>
          <w:iCs/>
          <w:sz w:val="28"/>
          <w:szCs w:val="28"/>
        </w:rPr>
        <w:t>Vitamin</w:t>
      </w:r>
      <w:proofErr w:type="spellEnd"/>
      <w:r w:rsidRPr="00520861">
        <w:rPr>
          <w:rFonts w:eastAsia="Calibri"/>
          <w:iCs/>
          <w:sz w:val="28"/>
          <w:szCs w:val="28"/>
        </w:rPr>
        <w:t xml:space="preserve"> D </w:t>
      </w:r>
      <w:proofErr w:type="spellStart"/>
      <w:r w:rsidRPr="00520861">
        <w:rPr>
          <w:rFonts w:eastAsia="Calibri"/>
          <w:iCs/>
          <w:sz w:val="28"/>
          <w:szCs w:val="28"/>
        </w:rPr>
        <w:t>receptor</w:t>
      </w:r>
      <w:proofErr w:type="spellEnd"/>
      <w:r w:rsidRPr="00520861">
        <w:rPr>
          <w:sz w:val="28"/>
          <w:szCs w:val="28"/>
        </w:rPr>
        <w:t xml:space="preserve">) та карієсом постійних зубів у підлітків було визначено в роботі </w:t>
      </w:r>
      <w:r w:rsidRPr="00520861">
        <w:rPr>
          <w:rFonts w:eastAsia="Calibri"/>
          <w:sz w:val="28"/>
          <w:szCs w:val="28"/>
        </w:rPr>
        <w:t>[</w:t>
      </w:r>
      <w:r w:rsidR="00AA6823" w:rsidRPr="00520861">
        <w:rPr>
          <w:rFonts w:eastAsia="Calibri"/>
          <w:sz w:val="28"/>
          <w:szCs w:val="28"/>
        </w:rPr>
        <w:t>580</w:t>
      </w:r>
      <w:r w:rsidRPr="00520861">
        <w:rPr>
          <w:rFonts w:eastAsia="Calibri"/>
          <w:sz w:val="28"/>
          <w:szCs w:val="28"/>
        </w:rPr>
        <w:t>].</w:t>
      </w:r>
    </w:p>
    <w:p w14:paraId="75B0E5D7" w14:textId="77777777" w:rsidR="005B2BAD" w:rsidRPr="00520861" w:rsidRDefault="005B2BAD" w:rsidP="00292D2E">
      <w:pPr>
        <w:widowControl w:val="0"/>
        <w:spacing w:line="360" w:lineRule="auto"/>
        <w:ind w:firstLine="708"/>
        <w:jc w:val="both"/>
        <w:rPr>
          <w:rFonts w:eastAsia="Calibri"/>
          <w:sz w:val="28"/>
          <w:szCs w:val="28"/>
        </w:rPr>
      </w:pPr>
      <w:r w:rsidRPr="00520861">
        <w:rPr>
          <w:rFonts w:eastAsia="Calibri"/>
          <w:sz w:val="28"/>
          <w:szCs w:val="28"/>
        </w:rPr>
        <w:t>Причини високої інтенсивності карієсу</w:t>
      </w:r>
      <w:r w:rsidR="00A7265F" w:rsidRPr="00520861">
        <w:rPr>
          <w:rFonts w:eastAsia="Calibri"/>
          <w:sz w:val="28"/>
          <w:szCs w:val="28"/>
        </w:rPr>
        <w:t xml:space="preserve"> тимчасових та постійних зубів в</w:t>
      </w:r>
      <w:r w:rsidR="00991143" w:rsidRPr="00520861">
        <w:rPr>
          <w:rFonts w:eastAsia="Calibri"/>
          <w:sz w:val="28"/>
          <w:szCs w:val="28"/>
        </w:rPr>
        <w:t xml:space="preserve"> осіб, </w:t>
      </w:r>
      <w:r w:rsidR="00991143" w:rsidRPr="00520861">
        <w:rPr>
          <w:rFonts w:eastAsia="Calibri"/>
          <w:sz w:val="28"/>
          <w:szCs w:val="28"/>
        </w:rPr>
        <w:lastRenderedPageBreak/>
        <w:t>які народилися</w:t>
      </w:r>
      <w:r w:rsidRPr="00520861">
        <w:rPr>
          <w:rFonts w:eastAsia="Calibri"/>
          <w:sz w:val="28"/>
          <w:szCs w:val="28"/>
        </w:rPr>
        <w:t xml:space="preserve"> </w:t>
      </w:r>
      <w:proofErr w:type="spellStart"/>
      <w:r w:rsidRPr="00520861">
        <w:rPr>
          <w:rFonts w:eastAsia="Calibri"/>
          <w:sz w:val="28"/>
          <w:szCs w:val="28"/>
        </w:rPr>
        <w:t>макросомами</w:t>
      </w:r>
      <w:proofErr w:type="spellEnd"/>
      <w:r w:rsidRPr="00520861">
        <w:rPr>
          <w:rFonts w:eastAsia="Calibri"/>
          <w:sz w:val="28"/>
          <w:szCs w:val="28"/>
        </w:rPr>
        <w:t xml:space="preserve">, досі не знайшли пояснення. Карієс є </w:t>
      </w:r>
      <w:proofErr w:type="spellStart"/>
      <w:r w:rsidRPr="00520861">
        <w:rPr>
          <w:rFonts w:eastAsia="Calibri"/>
          <w:sz w:val="28"/>
          <w:szCs w:val="28"/>
        </w:rPr>
        <w:t>мультифакторним</w:t>
      </w:r>
      <w:proofErr w:type="spellEnd"/>
      <w:r w:rsidRPr="00520861">
        <w:rPr>
          <w:rFonts w:eastAsia="Calibri"/>
          <w:sz w:val="28"/>
          <w:szCs w:val="28"/>
        </w:rPr>
        <w:t xml:space="preserve"> захворюванням, але достеменно відомо, що процеси порушення мінералізації кісткового матриксу є запорукою більшої схильності до карієсу.</w:t>
      </w:r>
      <w:r w:rsidRPr="00520861">
        <w:rPr>
          <w:sz w:val="28"/>
          <w:szCs w:val="28"/>
        </w:rPr>
        <w:t xml:space="preserve"> Існує твердження, що генетичні маркери виникнення карієсу тимчасових і постійних зубів різні </w:t>
      </w:r>
      <w:r w:rsidRPr="00520861">
        <w:rPr>
          <w:rFonts w:eastAsia="Calibri"/>
          <w:sz w:val="28"/>
          <w:szCs w:val="28"/>
        </w:rPr>
        <w:t>[</w:t>
      </w:r>
      <w:r w:rsidR="00523A35" w:rsidRPr="00520861">
        <w:rPr>
          <w:rFonts w:eastAsia="Calibri"/>
          <w:sz w:val="28"/>
          <w:szCs w:val="28"/>
        </w:rPr>
        <w:t>557</w:t>
      </w:r>
      <w:r w:rsidRPr="00520861">
        <w:rPr>
          <w:rFonts w:eastAsia="Calibri"/>
          <w:sz w:val="28"/>
          <w:szCs w:val="28"/>
        </w:rPr>
        <w:t>]</w:t>
      </w:r>
      <w:r w:rsidRPr="00520861">
        <w:rPr>
          <w:sz w:val="28"/>
          <w:szCs w:val="28"/>
        </w:rPr>
        <w:t>.</w:t>
      </w:r>
      <w:r w:rsidRPr="00520861">
        <w:rPr>
          <w:rFonts w:eastAsia="Calibri"/>
          <w:sz w:val="28"/>
          <w:szCs w:val="28"/>
        </w:rPr>
        <w:t xml:space="preserve"> Також відомо, що закладення </w:t>
      </w:r>
      <w:r w:rsidR="00E00ABF" w:rsidRPr="00520861">
        <w:rPr>
          <w:rFonts w:eastAsia="Calibri"/>
          <w:sz w:val="28"/>
          <w:szCs w:val="28"/>
        </w:rPr>
        <w:t>та, частково, мінералізаці</w:t>
      </w:r>
      <w:r w:rsidR="008558FE" w:rsidRPr="00520861">
        <w:rPr>
          <w:rFonts w:eastAsia="Calibri"/>
          <w:sz w:val="28"/>
          <w:szCs w:val="28"/>
        </w:rPr>
        <w:t>я</w:t>
      </w:r>
      <w:r w:rsidR="0053140C" w:rsidRPr="00520861">
        <w:rPr>
          <w:rFonts w:eastAsia="Calibri"/>
          <w:sz w:val="28"/>
          <w:szCs w:val="28"/>
        </w:rPr>
        <w:t xml:space="preserve"> зачат</w:t>
      </w:r>
      <w:r w:rsidRPr="00520861">
        <w:rPr>
          <w:rFonts w:eastAsia="Calibri"/>
          <w:sz w:val="28"/>
          <w:szCs w:val="28"/>
        </w:rPr>
        <w:t xml:space="preserve">ків як тимчасових, так і постійних зубів починається ще </w:t>
      </w:r>
      <w:r w:rsidR="00EC41B5" w:rsidRPr="00520861">
        <w:rPr>
          <w:rFonts w:eastAsia="Calibri"/>
          <w:sz w:val="28"/>
          <w:szCs w:val="28"/>
        </w:rPr>
        <w:t>ВУ</w:t>
      </w:r>
      <w:r w:rsidRPr="00520861">
        <w:rPr>
          <w:rFonts w:eastAsia="Calibri"/>
          <w:sz w:val="28"/>
          <w:szCs w:val="28"/>
        </w:rPr>
        <w:t xml:space="preserve"> [</w:t>
      </w:r>
      <w:r w:rsidR="00523A35" w:rsidRPr="00520861">
        <w:rPr>
          <w:rFonts w:eastAsia="Calibri"/>
          <w:sz w:val="28"/>
          <w:szCs w:val="28"/>
        </w:rPr>
        <w:t>73</w:t>
      </w:r>
      <w:r w:rsidRPr="00520861">
        <w:rPr>
          <w:rFonts w:eastAsia="Calibri"/>
          <w:sz w:val="28"/>
          <w:szCs w:val="28"/>
        </w:rPr>
        <w:t xml:space="preserve">]. Отже, </w:t>
      </w:r>
      <w:proofErr w:type="spellStart"/>
      <w:r w:rsidRPr="00520861">
        <w:rPr>
          <w:rFonts w:eastAsia="Calibri"/>
          <w:sz w:val="28"/>
          <w:szCs w:val="28"/>
        </w:rPr>
        <w:t>пренатально</w:t>
      </w:r>
      <w:proofErr w:type="spellEnd"/>
      <w:r w:rsidRPr="00520861">
        <w:rPr>
          <w:rFonts w:eastAsia="Calibri"/>
          <w:sz w:val="28"/>
          <w:szCs w:val="28"/>
        </w:rPr>
        <w:t xml:space="preserve"> сформовані </w:t>
      </w:r>
      <w:proofErr w:type="spellStart"/>
      <w:r w:rsidRPr="00520861">
        <w:rPr>
          <w:rFonts w:eastAsia="Calibri"/>
          <w:sz w:val="28"/>
          <w:szCs w:val="28"/>
        </w:rPr>
        <w:t>патерни</w:t>
      </w:r>
      <w:proofErr w:type="spellEnd"/>
      <w:r w:rsidRPr="00520861">
        <w:rPr>
          <w:rFonts w:eastAsia="Calibri"/>
          <w:sz w:val="28"/>
          <w:szCs w:val="28"/>
        </w:rPr>
        <w:t xml:space="preserve"> впливають на формування зубів як тимчасового, так і постійного прикусу. </w:t>
      </w:r>
    </w:p>
    <w:p w14:paraId="1E6E66EA" w14:textId="77777777" w:rsidR="005B2BAD" w:rsidRPr="00520861" w:rsidRDefault="005B2BAD" w:rsidP="00292D2E">
      <w:pPr>
        <w:widowControl w:val="0"/>
        <w:spacing w:line="360" w:lineRule="auto"/>
        <w:ind w:firstLine="708"/>
        <w:jc w:val="both"/>
        <w:rPr>
          <w:bCs/>
          <w:sz w:val="28"/>
          <w:szCs w:val="28"/>
        </w:rPr>
      </w:pPr>
      <w:r w:rsidRPr="00520861">
        <w:rPr>
          <w:bCs/>
          <w:sz w:val="28"/>
          <w:szCs w:val="28"/>
        </w:rPr>
        <w:t>Підтримка гомеостазу</w:t>
      </w:r>
      <w:r w:rsidR="00174453" w:rsidRPr="00520861">
        <w:rPr>
          <w:bCs/>
          <w:sz w:val="28"/>
          <w:szCs w:val="28"/>
        </w:rPr>
        <w:t xml:space="preserve"> </w:t>
      </w:r>
      <w:r w:rsidRPr="00520861">
        <w:rPr>
          <w:bCs/>
          <w:sz w:val="28"/>
          <w:szCs w:val="28"/>
        </w:rPr>
        <w:t xml:space="preserve">кісткової тканини, </w:t>
      </w:r>
      <w:r w:rsidRPr="00520861">
        <w:rPr>
          <w:rFonts w:eastAsia="Calibri"/>
          <w:bCs/>
          <w:sz w:val="28"/>
          <w:szCs w:val="28"/>
        </w:rPr>
        <w:t xml:space="preserve">а отже, опосередковано й тканин зубів, відбувається із залученням </w:t>
      </w:r>
      <w:proofErr w:type="spellStart"/>
      <w:r w:rsidRPr="00520861">
        <w:rPr>
          <w:rFonts w:eastAsia="Calibri"/>
          <w:bCs/>
          <w:sz w:val="28"/>
          <w:szCs w:val="28"/>
        </w:rPr>
        <w:t>прозапальних</w:t>
      </w:r>
      <w:proofErr w:type="spellEnd"/>
      <w:r w:rsidRPr="00520861">
        <w:rPr>
          <w:rFonts w:eastAsia="Calibri"/>
          <w:bCs/>
          <w:sz w:val="28"/>
          <w:szCs w:val="28"/>
        </w:rPr>
        <w:t xml:space="preserve"> та протизапальних цитокінів</w:t>
      </w:r>
      <w:r w:rsidRPr="00520861">
        <w:rPr>
          <w:bCs/>
          <w:sz w:val="28"/>
          <w:szCs w:val="28"/>
        </w:rPr>
        <w:t xml:space="preserve">. У продукуванні </w:t>
      </w:r>
      <w:proofErr w:type="spellStart"/>
      <w:r w:rsidRPr="00520861">
        <w:rPr>
          <w:bCs/>
          <w:sz w:val="28"/>
          <w:szCs w:val="28"/>
        </w:rPr>
        <w:t>остеок</w:t>
      </w:r>
      <w:r w:rsidR="00E00ABF" w:rsidRPr="00520861">
        <w:rPr>
          <w:bCs/>
          <w:sz w:val="28"/>
          <w:szCs w:val="28"/>
        </w:rPr>
        <w:t>л</w:t>
      </w:r>
      <w:r w:rsidR="00B511A3" w:rsidRPr="00520861">
        <w:rPr>
          <w:bCs/>
          <w:sz w:val="28"/>
          <w:szCs w:val="28"/>
        </w:rPr>
        <w:t>астів</w:t>
      </w:r>
      <w:proofErr w:type="spellEnd"/>
      <w:r w:rsidR="00B511A3" w:rsidRPr="00520861">
        <w:rPr>
          <w:bCs/>
          <w:sz w:val="28"/>
          <w:szCs w:val="28"/>
        </w:rPr>
        <w:t xml:space="preserve"> поряд </w:t>
      </w:r>
      <w:r w:rsidRPr="00520861">
        <w:rPr>
          <w:bCs/>
          <w:sz w:val="28"/>
          <w:szCs w:val="28"/>
        </w:rPr>
        <w:t>з іншими цитокінами беруть участь IL</w:t>
      </w:r>
      <w:r w:rsidR="002B4CA0" w:rsidRPr="00520861">
        <w:rPr>
          <w:bCs/>
          <w:sz w:val="28"/>
          <w:szCs w:val="28"/>
        </w:rPr>
        <w:t>-</w:t>
      </w:r>
      <w:r w:rsidRPr="00520861">
        <w:rPr>
          <w:bCs/>
          <w:sz w:val="28"/>
          <w:szCs w:val="28"/>
        </w:rPr>
        <w:t>1B</w:t>
      </w:r>
      <w:r w:rsidRPr="00520861">
        <w:rPr>
          <w:sz w:val="28"/>
          <w:szCs w:val="28"/>
        </w:rPr>
        <w:t xml:space="preserve"> </w:t>
      </w:r>
      <w:r w:rsidRPr="00520861">
        <w:rPr>
          <w:bCs/>
          <w:sz w:val="28"/>
          <w:szCs w:val="28"/>
        </w:rPr>
        <w:t>(</w:t>
      </w:r>
      <w:proofErr w:type="spellStart"/>
      <w:r w:rsidRPr="00520861">
        <w:rPr>
          <w:bCs/>
          <w:iCs/>
          <w:sz w:val="28"/>
          <w:szCs w:val="28"/>
        </w:rPr>
        <w:t>Interleukin</w:t>
      </w:r>
      <w:proofErr w:type="spellEnd"/>
      <w:r w:rsidRPr="00520861">
        <w:rPr>
          <w:bCs/>
          <w:iCs/>
          <w:sz w:val="28"/>
          <w:szCs w:val="28"/>
        </w:rPr>
        <w:t xml:space="preserve"> 1b</w:t>
      </w:r>
      <w:r w:rsidRPr="00520861">
        <w:rPr>
          <w:bCs/>
          <w:sz w:val="28"/>
          <w:szCs w:val="28"/>
        </w:rPr>
        <w:t xml:space="preserve">) </w:t>
      </w:r>
      <w:r w:rsidRPr="00520861">
        <w:rPr>
          <w:sz w:val="28"/>
          <w:szCs w:val="28"/>
        </w:rPr>
        <w:t xml:space="preserve">та </w:t>
      </w:r>
      <w:r w:rsidRPr="00520861">
        <w:rPr>
          <w:bCs/>
          <w:sz w:val="28"/>
          <w:szCs w:val="28"/>
        </w:rPr>
        <w:t>IL</w:t>
      </w:r>
      <w:r w:rsidR="002B4CA0" w:rsidRPr="00520861">
        <w:rPr>
          <w:bCs/>
          <w:sz w:val="28"/>
          <w:szCs w:val="28"/>
        </w:rPr>
        <w:t>-</w:t>
      </w:r>
      <w:r w:rsidRPr="00520861">
        <w:rPr>
          <w:bCs/>
          <w:sz w:val="28"/>
          <w:szCs w:val="28"/>
        </w:rPr>
        <w:t>6 (</w:t>
      </w:r>
      <w:proofErr w:type="spellStart"/>
      <w:r w:rsidRPr="00520861">
        <w:rPr>
          <w:bCs/>
          <w:iCs/>
          <w:sz w:val="28"/>
          <w:szCs w:val="28"/>
        </w:rPr>
        <w:t>Interleukin</w:t>
      </w:r>
      <w:proofErr w:type="spellEnd"/>
      <w:r w:rsidRPr="00520861">
        <w:rPr>
          <w:bCs/>
          <w:iCs/>
          <w:sz w:val="28"/>
          <w:szCs w:val="28"/>
        </w:rPr>
        <w:t xml:space="preserve"> 6</w:t>
      </w:r>
      <w:r w:rsidR="008558FE" w:rsidRPr="00520861">
        <w:rPr>
          <w:bCs/>
          <w:sz w:val="28"/>
          <w:szCs w:val="28"/>
        </w:rPr>
        <w:t>).</w:t>
      </w:r>
      <w:r w:rsidRPr="00520861">
        <w:rPr>
          <w:bCs/>
          <w:sz w:val="28"/>
          <w:szCs w:val="28"/>
        </w:rPr>
        <w:t xml:space="preserve"> IL</w:t>
      </w:r>
      <w:r w:rsidR="002B4CA0" w:rsidRPr="00520861">
        <w:rPr>
          <w:bCs/>
          <w:sz w:val="28"/>
          <w:szCs w:val="28"/>
        </w:rPr>
        <w:t>-</w:t>
      </w:r>
      <w:r w:rsidRPr="00520861">
        <w:rPr>
          <w:bCs/>
          <w:sz w:val="28"/>
          <w:szCs w:val="28"/>
        </w:rPr>
        <w:t>1b </w:t>
      </w:r>
      <w:r w:rsidRPr="00520861">
        <w:rPr>
          <w:sz w:val="28"/>
          <w:szCs w:val="28"/>
        </w:rPr>
        <w:t xml:space="preserve">– білок, кодований однойменним геном, це </w:t>
      </w:r>
      <w:proofErr w:type="spellStart"/>
      <w:r w:rsidRPr="00520861">
        <w:rPr>
          <w:sz w:val="28"/>
          <w:szCs w:val="28"/>
        </w:rPr>
        <w:t>прозапальний</w:t>
      </w:r>
      <w:proofErr w:type="spellEnd"/>
      <w:r w:rsidRPr="00520861">
        <w:rPr>
          <w:sz w:val="28"/>
          <w:szCs w:val="28"/>
        </w:rPr>
        <w:t xml:space="preserve"> цитокін, регулює гостре та хронічне запалення, бере участь </w:t>
      </w:r>
      <w:r w:rsidR="00823473" w:rsidRPr="00520861">
        <w:rPr>
          <w:sz w:val="28"/>
          <w:szCs w:val="28"/>
        </w:rPr>
        <w:t>у резорбції кісткової тканини [</w:t>
      </w:r>
      <w:r w:rsidR="00523A35" w:rsidRPr="00520861">
        <w:rPr>
          <w:sz w:val="28"/>
          <w:szCs w:val="28"/>
        </w:rPr>
        <w:t>486</w:t>
      </w:r>
      <w:r w:rsidRPr="00520861">
        <w:rPr>
          <w:sz w:val="28"/>
          <w:szCs w:val="28"/>
        </w:rPr>
        <w:t>].</w:t>
      </w:r>
      <w:r w:rsidR="00174453" w:rsidRPr="00520861">
        <w:rPr>
          <w:sz w:val="28"/>
          <w:szCs w:val="28"/>
          <w:shd w:val="clear" w:color="auto" w:fill="FFFFFF"/>
        </w:rPr>
        <w:t xml:space="preserve"> </w:t>
      </w:r>
      <w:r w:rsidRPr="00520861">
        <w:rPr>
          <w:bCs/>
          <w:i/>
          <w:sz w:val="28"/>
          <w:szCs w:val="28"/>
        </w:rPr>
        <w:t>IL6</w:t>
      </w:r>
      <w:r w:rsidRPr="00520861">
        <w:rPr>
          <w:bCs/>
          <w:sz w:val="28"/>
          <w:szCs w:val="28"/>
        </w:rPr>
        <w:t xml:space="preserve"> – ген, що кодує білок, який є медіатором гострої фази запалення та </w:t>
      </w:r>
      <w:r w:rsidRPr="00520861">
        <w:rPr>
          <w:sz w:val="28"/>
          <w:szCs w:val="28"/>
        </w:rPr>
        <w:t xml:space="preserve">відіграє центральну роль у патогенезі остеопорозу з підвищеною резорбцією кісткової тканини. Поліморфізм гена </w:t>
      </w:r>
      <w:r w:rsidRPr="00520861">
        <w:rPr>
          <w:i/>
          <w:sz w:val="28"/>
          <w:szCs w:val="28"/>
        </w:rPr>
        <w:t>IL-6:-174 G&gt;C</w:t>
      </w:r>
      <w:r w:rsidRPr="00520861">
        <w:rPr>
          <w:sz w:val="28"/>
          <w:szCs w:val="28"/>
        </w:rPr>
        <w:t xml:space="preserve"> виявляє активність продукції інтерлейкіну-6 остеобластами. Цей цитокін є активатором </w:t>
      </w:r>
      <w:proofErr w:type="spellStart"/>
      <w:r w:rsidRPr="00520861">
        <w:rPr>
          <w:sz w:val="28"/>
          <w:szCs w:val="28"/>
        </w:rPr>
        <w:t>остеокластів</w:t>
      </w:r>
      <w:proofErr w:type="spellEnd"/>
      <w:r w:rsidRPr="00520861">
        <w:rPr>
          <w:sz w:val="28"/>
          <w:szCs w:val="28"/>
        </w:rPr>
        <w:t>. Альтернативні результати одержані авторами [</w:t>
      </w:r>
      <w:r w:rsidR="00523A35" w:rsidRPr="00520861">
        <w:rPr>
          <w:sz w:val="28"/>
          <w:szCs w:val="28"/>
        </w:rPr>
        <w:t>300</w:t>
      </w:r>
      <w:r w:rsidRPr="00520861">
        <w:rPr>
          <w:sz w:val="28"/>
          <w:szCs w:val="28"/>
        </w:rPr>
        <w:t xml:space="preserve">]. Ці вчені довели, що </w:t>
      </w:r>
      <w:r w:rsidRPr="00520861">
        <w:rPr>
          <w:bCs/>
          <w:sz w:val="28"/>
          <w:szCs w:val="28"/>
        </w:rPr>
        <w:t>IL</w:t>
      </w:r>
      <w:r w:rsidR="002B4CA0" w:rsidRPr="00520861">
        <w:rPr>
          <w:bCs/>
          <w:sz w:val="28"/>
          <w:szCs w:val="28"/>
        </w:rPr>
        <w:t>-</w:t>
      </w:r>
      <w:r w:rsidRPr="00520861">
        <w:rPr>
          <w:bCs/>
          <w:sz w:val="28"/>
          <w:szCs w:val="28"/>
        </w:rPr>
        <w:t>6 поводиться по-різному, залежно від рівня</w:t>
      </w:r>
      <w:r w:rsidR="00174453" w:rsidRPr="00520861">
        <w:rPr>
          <w:bCs/>
          <w:sz w:val="28"/>
          <w:szCs w:val="28"/>
        </w:rPr>
        <w:t xml:space="preserve"> </w:t>
      </w:r>
      <w:r w:rsidRPr="00520861">
        <w:rPr>
          <w:bCs/>
          <w:sz w:val="28"/>
          <w:szCs w:val="28"/>
        </w:rPr>
        <w:t>RANKL</w:t>
      </w:r>
      <w:r w:rsidRPr="00520861">
        <w:rPr>
          <w:sz w:val="28"/>
          <w:szCs w:val="28"/>
        </w:rPr>
        <w:t xml:space="preserve">. </w:t>
      </w:r>
      <w:r w:rsidRPr="00520861">
        <w:rPr>
          <w:bCs/>
          <w:sz w:val="28"/>
          <w:szCs w:val="28"/>
        </w:rPr>
        <w:t xml:space="preserve">Про нестабільну асоціацію варіанта гена </w:t>
      </w:r>
      <w:r w:rsidRPr="00520861">
        <w:rPr>
          <w:i/>
          <w:iCs/>
          <w:sz w:val="28"/>
          <w:szCs w:val="28"/>
          <w:shd w:val="clear" w:color="auto" w:fill="FFFFFF"/>
        </w:rPr>
        <w:t>IL-6</w:t>
      </w:r>
      <w:r w:rsidRPr="00520861">
        <w:rPr>
          <w:i/>
          <w:sz w:val="28"/>
          <w:szCs w:val="28"/>
          <w:shd w:val="clear" w:color="auto" w:fill="FFFFFF"/>
        </w:rPr>
        <w:t>−174G/C</w:t>
      </w:r>
      <w:r w:rsidR="00174453" w:rsidRPr="00520861">
        <w:rPr>
          <w:sz w:val="28"/>
          <w:szCs w:val="28"/>
          <w:shd w:val="clear" w:color="auto" w:fill="FFFFFF"/>
        </w:rPr>
        <w:t xml:space="preserve"> </w:t>
      </w:r>
      <w:r w:rsidRPr="00520861">
        <w:rPr>
          <w:bCs/>
          <w:sz w:val="28"/>
          <w:szCs w:val="28"/>
        </w:rPr>
        <w:t xml:space="preserve">з мінеральною щільністю кісткової тканини пишуть </w:t>
      </w:r>
      <w:hyperlink r:id="rId9" w:history="1">
        <w:proofErr w:type="spellStart"/>
        <w:r w:rsidRPr="00520861">
          <w:rPr>
            <w:sz w:val="28"/>
            <w:szCs w:val="28"/>
          </w:rPr>
          <w:t>Wang</w:t>
        </w:r>
        <w:proofErr w:type="spellEnd"/>
      </w:hyperlink>
      <w:r w:rsidRPr="00520861">
        <w:rPr>
          <w:sz w:val="28"/>
          <w:szCs w:val="28"/>
        </w:rPr>
        <w:t xml:space="preserve"> </w:t>
      </w:r>
      <w:r w:rsidR="00434493" w:rsidRPr="00520861">
        <w:rPr>
          <w:sz w:val="28"/>
          <w:szCs w:val="28"/>
        </w:rPr>
        <w:t xml:space="preserve">Z. </w:t>
      </w:r>
      <w:r w:rsidRPr="00520861">
        <w:rPr>
          <w:sz w:val="28"/>
          <w:szCs w:val="28"/>
        </w:rPr>
        <w:t>та співавтори [</w:t>
      </w:r>
      <w:r w:rsidR="00523A35" w:rsidRPr="00520861">
        <w:rPr>
          <w:rFonts w:eastAsia="Calibri"/>
          <w:sz w:val="28"/>
          <w:szCs w:val="28"/>
        </w:rPr>
        <w:t>559</w:t>
      </w:r>
      <w:r w:rsidRPr="00520861">
        <w:rPr>
          <w:sz w:val="28"/>
          <w:szCs w:val="28"/>
        </w:rPr>
        <w:t xml:space="preserve">]. </w:t>
      </w:r>
      <w:r w:rsidR="008D05CF" w:rsidRPr="00520861">
        <w:rPr>
          <w:sz w:val="28"/>
          <w:szCs w:val="28"/>
        </w:rPr>
        <w:br/>
      </w:r>
      <w:r w:rsidRPr="00520861">
        <w:rPr>
          <w:sz w:val="28"/>
          <w:szCs w:val="28"/>
        </w:rPr>
        <w:t>Існують відомості, що надмірна продукція ІL-6 може сприяти розвитку захворювань у період старіння [</w:t>
      </w:r>
      <w:r w:rsidR="00523A35" w:rsidRPr="00520861">
        <w:rPr>
          <w:sz w:val="28"/>
          <w:szCs w:val="28"/>
        </w:rPr>
        <w:t>425</w:t>
      </w:r>
      <w:r w:rsidRPr="00520861">
        <w:rPr>
          <w:sz w:val="28"/>
          <w:szCs w:val="28"/>
        </w:rPr>
        <w:t>].</w:t>
      </w:r>
      <w:r w:rsidRPr="00520861">
        <w:rPr>
          <w:bCs/>
          <w:sz w:val="28"/>
          <w:szCs w:val="28"/>
        </w:rPr>
        <w:t xml:space="preserve"> Також відомо, що </w:t>
      </w:r>
      <w:proofErr w:type="spellStart"/>
      <w:r w:rsidRPr="00520861">
        <w:rPr>
          <w:bCs/>
          <w:sz w:val="28"/>
          <w:szCs w:val="28"/>
        </w:rPr>
        <w:t>е</w:t>
      </w:r>
      <w:r w:rsidRPr="00520861">
        <w:rPr>
          <w:sz w:val="28"/>
          <w:szCs w:val="28"/>
        </w:rPr>
        <w:t>строгени</w:t>
      </w:r>
      <w:proofErr w:type="spellEnd"/>
      <w:r w:rsidRPr="00520861">
        <w:rPr>
          <w:sz w:val="28"/>
          <w:szCs w:val="28"/>
        </w:rPr>
        <w:t xml:space="preserve"> й андрогени пригнічують дію ІL-6 [</w:t>
      </w:r>
      <w:r w:rsidR="00523A35" w:rsidRPr="00520861">
        <w:rPr>
          <w:sz w:val="28"/>
          <w:szCs w:val="28"/>
        </w:rPr>
        <w:t>459</w:t>
      </w:r>
      <w:r w:rsidRPr="00520861">
        <w:rPr>
          <w:sz w:val="28"/>
          <w:szCs w:val="28"/>
        </w:rPr>
        <w:t>].</w:t>
      </w:r>
    </w:p>
    <w:p w14:paraId="0C6ED196" w14:textId="77777777" w:rsidR="00E70029" w:rsidRPr="00520861" w:rsidRDefault="00E70029" w:rsidP="00292D2E">
      <w:pPr>
        <w:widowControl w:val="0"/>
        <w:spacing w:line="360" w:lineRule="auto"/>
        <w:ind w:firstLine="708"/>
        <w:jc w:val="both"/>
        <w:rPr>
          <w:rFonts w:eastAsia="Calibri"/>
          <w:sz w:val="28"/>
          <w:szCs w:val="28"/>
        </w:rPr>
      </w:pPr>
      <w:r w:rsidRPr="00520861">
        <w:rPr>
          <w:bCs/>
          <w:sz w:val="28"/>
          <w:szCs w:val="28"/>
        </w:rPr>
        <w:t xml:space="preserve">До </w:t>
      </w:r>
      <w:proofErr w:type="spellStart"/>
      <w:r w:rsidRPr="00520861">
        <w:rPr>
          <w:bCs/>
          <w:sz w:val="28"/>
          <w:szCs w:val="28"/>
        </w:rPr>
        <w:t>антиостеокаластогенних</w:t>
      </w:r>
      <w:proofErr w:type="spellEnd"/>
      <w:r w:rsidRPr="00520861">
        <w:rPr>
          <w:bCs/>
          <w:sz w:val="28"/>
          <w:szCs w:val="28"/>
        </w:rPr>
        <w:t xml:space="preserve"> цитокінів, зокрема, належить інтерлейкін-10 </w:t>
      </w:r>
      <w:r w:rsidR="00B511A3" w:rsidRPr="00520861">
        <w:rPr>
          <w:bCs/>
          <w:sz w:val="28"/>
          <w:szCs w:val="28"/>
        </w:rPr>
        <w:br/>
      </w:r>
      <w:r w:rsidRPr="00520861">
        <w:rPr>
          <w:bCs/>
          <w:sz w:val="28"/>
          <w:szCs w:val="28"/>
        </w:rPr>
        <w:t xml:space="preserve">(IL-10) </w:t>
      </w:r>
      <w:r w:rsidRPr="00520861">
        <w:rPr>
          <w:rFonts w:eastAsia="Calibri"/>
          <w:bCs/>
          <w:sz w:val="28"/>
          <w:szCs w:val="28"/>
        </w:rPr>
        <w:t>[</w:t>
      </w:r>
      <w:r w:rsidR="00523A35" w:rsidRPr="00520861">
        <w:rPr>
          <w:rFonts w:eastAsia="Calibri"/>
          <w:bCs/>
          <w:sz w:val="28"/>
          <w:szCs w:val="28"/>
        </w:rPr>
        <w:t>232</w:t>
      </w:r>
      <w:r w:rsidRPr="00520861">
        <w:rPr>
          <w:rFonts w:eastAsia="Calibri"/>
          <w:bCs/>
          <w:sz w:val="28"/>
          <w:szCs w:val="28"/>
        </w:rPr>
        <w:t xml:space="preserve">, </w:t>
      </w:r>
      <w:r w:rsidR="00523A35" w:rsidRPr="00520861">
        <w:rPr>
          <w:rFonts w:eastAsia="Calibri"/>
          <w:bCs/>
          <w:sz w:val="28"/>
          <w:szCs w:val="28"/>
        </w:rPr>
        <w:t>590</w:t>
      </w:r>
      <w:r w:rsidRPr="00520861">
        <w:rPr>
          <w:rFonts w:eastAsia="Calibri"/>
          <w:sz w:val="28"/>
          <w:szCs w:val="28"/>
        </w:rPr>
        <w:t xml:space="preserve">]. </w:t>
      </w:r>
      <w:r w:rsidRPr="00520861">
        <w:rPr>
          <w:bCs/>
          <w:sz w:val="28"/>
          <w:szCs w:val="28"/>
        </w:rPr>
        <w:t>IL-10</w:t>
      </w:r>
      <w:r w:rsidRPr="00520861">
        <w:rPr>
          <w:sz w:val="28"/>
          <w:szCs w:val="28"/>
        </w:rPr>
        <w:t> (</w:t>
      </w:r>
      <w:proofErr w:type="spellStart"/>
      <w:r w:rsidRPr="00520861">
        <w:rPr>
          <w:iCs/>
          <w:sz w:val="28"/>
          <w:szCs w:val="28"/>
        </w:rPr>
        <w:t>Interleukin</w:t>
      </w:r>
      <w:proofErr w:type="spellEnd"/>
      <w:r w:rsidRPr="00520861">
        <w:rPr>
          <w:iCs/>
          <w:sz w:val="28"/>
          <w:szCs w:val="28"/>
        </w:rPr>
        <w:t xml:space="preserve"> 10</w:t>
      </w:r>
      <w:r w:rsidRPr="00520861">
        <w:rPr>
          <w:sz w:val="28"/>
          <w:szCs w:val="28"/>
        </w:rPr>
        <w:t xml:space="preserve">) – білок, кодований однойменним геном, це цитокін, який впливає на </w:t>
      </w:r>
      <w:proofErr w:type="spellStart"/>
      <w:r w:rsidRPr="00520861">
        <w:rPr>
          <w:sz w:val="28"/>
          <w:szCs w:val="28"/>
        </w:rPr>
        <w:t>імунорегуляцію</w:t>
      </w:r>
      <w:proofErr w:type="spellEnd"/>
      <w:r w:rsidRPr="00520861">
        <w:rPr>
          <w:sz w:val="28"/>
          <w:szCs w:val="28"/>
        </w:rPr>
        <w:t xml:space="preserve"> та відповідає за «</w:t>
      </w:r>
      <w:proofErr w:type="spellStart"/>
      <w:r w:rsidRPr="00520861">
        <w:rPr>
          <w:sz w:val="28"/>
          <w:szCs w:val="28"/>
        </w:rPr>
        <w:t>задавлення</w:t>
      </w:r>
      <w:proofErr w:type="spellEnd"/>
      <w:r w:rsidRPr="00520861">
        <w:rPr>
          <w:sz w:val="28"/>
          <w:szCs w:val="28"/>
        </w:rPr>
        <w:t xml:space="preserve">» запального процесу. </w:t>
      </w:r>
      <w:r w:rsidRPr="00520861">
        <w:rPr>
          <w:rFonts w:eastAsia="Calibri"/>
          <w:sz w:val="28"/>
          <w:szCs w:val="28"/>
        </w:rPr>
        <w:t xml:space="preserve">Також відомо, що </w:t>
      </w:r>
      <w:r w:rsidRPr="00520861">
        <w:rPr>
          <w:sz w:val="28"/>
          <w:szCs w:val="28"/>
        </w:rPr>
        <w:t xml:space="preserve">IL-10 бере участь в </w:t>
      </w:r>
      <w:proofErr w:type="spellStart"/>
      <w:r w:rsidRPr="00520861">
        <w:rPr>
          <w:sz w:val="28"/>
          <w:szCs w:val="28"/>
        </w:rPr>
        <w:t>інгібуванні</w:t>
      </w:r>
      <w:proofErr w:type="spellEnd"/>
      <w:r w:rsidRPr="00520861">
        <w:rPr>
          <w:sz w:val="28"/>
          <w:szCs w:val="28"/>
        </w:rPr>
        <w:t xml:space="preserve"> продукції </w:t>
      </w:r>
      <w:proofErr w:type="spellStart"/>
      <w:r w:rsidRPr="00520861">
        <w:rPr>
          <w:sz w:val="28"/>
          <w:szCs w:val="28"/>
        </w:rPr>
        <w:t>прозапальних</w:t>
      </w:r>
      <w:proofErr w:type="spellEnd"/>
      <w:r w:rsidRPr="00520861">
        <w:rPr>
          <w:sz w:val="28"/>
          <w:szCs w:val="28"/>
        </w:rPr>
        <w:t xml:space="preserve"> цитокінів, зокрема, IL-1B та IL-6.</w:t>
      </w:r>
    </w:p>
    <w:p w14:paraId="126B3246" w14:textId="77777777" w:rsidR="005B2BAD" w:rsidRPr="00520861" w:rsidRDefault="005B2BAD" w:rsidP="00292D2E">
      <w:pPr>
        <w:widowControl w:val="0"/>
        <w:tabs>
          <w:tab w:val="left" w:pos="284"/>
        </w:tabs>
        <w:spacing w:line="360" w:lineRule="auto"/>
        <w:ind w:firstLine="709"/>
        <w:jc w:val="both"/>
        <w:rPr>
          <w:sz w:val="28"/>
          <w:szCs w:val="28"/>
          <w:lang w:eastAsia="en-US"/>
        </w:rPr>
      </w:pPr>
      <w:r w:rsidRPr="00520861">
        <w:rPr>
          <w:sz w:val="28"/>
          <w:szCs w:val="28"/>
          <w:lang w:eastAsia="en-US"/>
        </w:rPr>
        <w:t xml:space="preserve">Процеси </w:t>
      </w:r>
      <w:proofErr w:type="spellStart"/>
      <w:r w:rsidRPr="00520861">
        <w:rPr>
          <w:sz w:val="28"/>
          <w:szCs w:val="28"/>
          <w:lang w:eastAsia="en-US"/>
        </w:rPr>
        <w:t>ремоделювання</w:t>
      </w:r>
      <w:proofErr w:type="spellEnd"/>
      <w:r w:rsidRPr="00520861">
        <w:rPr>
          <w:sz w:val="28"/>
          <w:szCs w:val="28"/>
          <w:lang w:eastAsia="en-US"/>
        </w:rPr>
        <w:t xml:space="preserve"> кісткової тка</w:t>
      </w:r>
      <w:r w:rsidR="008558FE" w:rsidRPr="00520861">
        <w:rPr>
          <w:sz w:val="28"/>
          <w:szCs w:val="28"/>
          <w:lang w:eastAsia="en-US"/>
        </w:rPr>
        <w:t xml:space="preserve">нини та тканин </w:t>
      </w:r>
      <w:proofErr w:type="spellStart"/>
      <w:r w:rsidR="008558FE" w:rsidRPr="00520861">
        <w:rPr>
          <w:sz w:val="28"/>
          <w:szCs w:val="28"/>
          <w:lang w:eastAsia="en-US"/>
        </w:rPr>
        <w:t>пародонта</w:t>
      </w:r>
      <w:proofErr w:type="spellEnd"/>
      <w:r w:rsidRPr="00520861">
        <w:rPr>
          <w:sz w:val="28"/>
          <w:szCs w:val="28"/>
          <w:lang w:eastAsia="en-US"/>
        </w:rPr>
        <w:t xml:space="preserve"> відбуваються постійно, особливості цих процесів, виклик</w:t>
      </w:r>
      <w:r w:rsidR="00B511A3" w:rsidRPr="00520861">
        <w:rPr>
          <w:sz w:val="28"/>
          <w:szCs w:val="28"/>
          <w:lang w:eastAsia="en-US"/>
        </w:rPr>
        <w:t xml:space="preserve">ані метаболічними порушеннями, </w:t>
      </w:r>
      <w:r w:rsidR="007C6FBE" w:rsidRPr="00520861">
        <w:rPr>
          <w:sz w:val="28"/>
          <w:szCs w:val="28"/>
          <w:lang w:eastAsia="en-US"/>
        </w:rPr>
        <w:br/>
      </w:r>
      <w:r w:rsidR="00C410C6" w:rsidRPr="00520861">
        <w:rPr>
          <w:sz w:val="28"/>
          <w:szCs w:val="28"/>
          <w:lang w:eastAsia="en-US"/>
        </w:rPr>
        <w:t>в</w:t>
      </w:r>
      <w:r w:rsidRPr="00520861">
        <w:rPr>
          <w:sz w:val="28"/>
          <w:szCs w:val="28"/>
          <w:lang w:eastAsia="en-US"/>
        </w:rPr>
        <w:t>пливають на мінеральну щільність кісткової тканини [</w:t>
      </w:r>
      <w:r w:rsidR="00523A35" w:rsidRPr="00520861">
        <w:rPr>
          <w:sz w:val="28"/>
          <w:szCs w:val="28"/>
          <w:lang w:eastAsia="en-US"/>
        </w:rPr>
        <w:t>507</w:t>
      </w:r>
      <w:r w:rsidRPr="00520861">
        <w:rPr>
          <w:sz w:val="28"/>
          <w:szCs w:val="28"/>
          <w:lang w:eastAsia="en-US"/>
        </w:rPr>
        <w:t xml:space="preserve">]. </w:t>
      </w:r>
      <w:proofErr w:type="spellStart"/>
      <w:r w:rsidRPr="00520861">
        <w:rPr>
          <w:sz w:val="28"/>
          <w:szCs w:val="28"/>
          <w:lang w:eastAsia="en-US"/>
        </w:rPr>
        <w:t>Макросомія</w:t>
      </w:r>
      <w:proofErr w:type="spellEnd"/>
      <w:r w:rsidRPr="00520861">
        <w:rPr>
          <w:sz w:val="28"/>
          <w:szCs w:val="28"/>
          <w:lang w:eastAsia="en-US"/>
        </w:rPr>
        <w:t xml:space="preserve"> </w:t>
      </w:r>
      <w:r w:rsidR="000C5378" w:rsidRPr="00520861">
        <w:rPr>
          <w:sz w:val="28"/>
          <w:szCs w:val="28"/>
          <w:lang w:eastAsia="en-US"/>
        </w:rPr>
        <w:t>плода</w:t>
      </w:r>
      <w:r w:rsidRPr="00520861">
        <w:rPr>
          <w:sz w:val="28"/>
          <w:szCs w:val="28"/>
          <w:lang w:eastAsia="en-US"/>
        </w:rPr>
        <w:t xml:space="preserve"> є </w:t>
      </w:r>
      <w:r w:rsidR="00F16775" w:rsidRPr="00520861">
        <w:rPr>
          <w:sz w:val="28"/>
          <w:szCs w:val="28"/>
          <w:lang w:eastAsia="en-US"/>
        </w:rPr>
        <w:br/>
      </w:r>
      <w:r w:rsidRPr="00520861">
        <w:rPr>
          <w:sz w:val="28"/>
          <w:szCs w:val="28"/>
          <w:lang w:eastAsia="en-US"/>
        </w:rPr>
        <w:lastRenderedPageBreak/>
        <w:t xml:space="preserve">станом, який суттєво пов’язаний із метаболічними порушеннями. Вивчення віддаленого впливу цього </w:t>
      </w:r>
      <w:r w:rsidR="00EC41B5" w:rsidRPr="00520861">
        <w:rPr>
          <w:sz w:val="28"/>
          <w:szCs w:val="28"/>
          <w:lang w:eastAsia="en-US"/>
        </w:rPr>
        <w:t>ВУ</w:t>
      </w:r>
      <w:r w:rsidRPr="00520861">
        <w:rPr>
          <w:sz w:val="28"/>
          <w:szCs w:val="28"/>
          <w:lang w:eastAsia="en-US"/>
        </w:rPr>
        <w:t xml:space="preserve"> стану на формування т</w:t>
      </w:r>
      <w:r w:rsidR="008558FE" w:rsidRPr="00520861">
        <w:rPr>
          <w:sz w:val="28"/>
          <w:szCs w:val="28"/>
          <w:lang w:eastAsia="en-US"/>
        </w:rPr>
        <w:t xml:space="preserve">а </w:t>
      </w:r>
      <w:proofErr w:type="spellStart"/>
      <w:r w:rsidR="008558FE" w:rsidRPr="00520861">
        <w:rPr>
          <w:sz w:val="28"/>
          <w:szCs w:val="28"/>
          <w:lang w:eastAsia="en-US"/>
        </w:rPr>
        <w:t>ремоделювання</w:t>
      </w:r>
      <w:proofErr w:type="spellEnd"/>
      <w:r w:rsidR="008558FE" w:rsidRPr="00520861">
        <w:rPr>
          <w:sz w:val="28"/>
          <w:szCs w:val="28"/>
          <w:lang w:eastAsia="en-US"/>
        </w:rPr>
        <w:t xml:space="preserve"> тканин </w:t>
      </w:r>
      <w:proofErr w:type="spellStart"/>
      <w:r w:rsidR="008558FE" w:rsidRPr="00520861">
        <w:rPr>
          <w:sz w:val="28"/>
          <w:szCs w:val="28"/>
          <w:lang w:eastAsia="en-US"/>
        </w:rPr>
        <w:t>пародонта</w:t>
      </w:r>
      <w:proofErr w:type="spellEnd"/>
      <w:r w:rsidRPr="00520861">
        <w:rPr>
          <w:sz w:val="28"/>
          <w:szCs w:val="28"/>
          <w:lang w:eastAsia="en-US"/>
        </w:rPr>
        <w:t xml:space="preserve"> </w:t>
      </w:r>
      <w:r w:rsidR="007C6FBE" w:rsidRPr="00520861">
        <w:rPr>
          <w:sz w:val="28"/>
          <w:szCs w:val="28"/>
          <w:lang w:eastAsia="en-US"/>
        </w:rPr>
        <w:br/>
      </w:r>
      <w:r w:rsidRPr="00520861">
        <w:rPr>
          <w:sz w:val="28"/>
          <w:szCs w:val="28"/>
          <w:lang w:eastAsia="en-US"/>
        </w:rPr>
        <w:t xml:space="preserve">є також одним із </w:t>
      </w:r>
      <w:r w:rsidR="00B511A3" w:rsidRPr="00520861">
        <w:rPr>
          <w:sz w:val="28"/>
          <w:szCs w:val="28"/>
          <w:lang w:eastAsia="en-US"/>
        </w:rPr>
        <w:t>прі</w:t>
      </w:r>
      <w:r w:rsidRPr="00520861">
        <w:rPr>
          <w:sz w:val="28"/>
          <w:szCs w:val="28"/>
          <w:lang w:eastAsia="en-US"/>
        </w:rPr>
        <w:t>оритетів даного дослідження.</w:t>
      </w:r>
    </w:p>
    <w:p w14:paraId="3574658C" w14:textId="77777777" w:rsidR="005B2BAD" w:rsidRPr="00520861" w:rsidRDefault="005B2BAD" w:rsidP="00292D2E">
      <w:pPr>
        <w:widowControl w:val="0"/>
        <w:tabs>
          <w:tab w:val="left" w:pos="2410"/>
        </w:tabs>
        <w:spacing w:line="360" w:lineRule="auto"/>
        <w:ind w:firstLine="708"/>
        <w:jc w:val="both"/>
        <w:rPr>
          <w:sz w:val="28"/>
          <w:szCs w:val="28"/>
          <w:shd w:val="clear" w:color="auto" w:fill="FFFFFF"/>
          <w:lang w:eastAsia="en-US"/>
        </w:rPr>
      </w:pPr>
      <w:r w:rsidRPr="00520861">
        <w:rPr>
          <w:sz w:val="28"/>
          <w:szCs w:val="28"/>
          <w:lang w:eastAsia="en-US"/>
        </w:rPr>
        <w:t>Згідно</w:t>
      </w:r>
      <w:r w:rsidR="00705FC1" w:rsidRPr="00520861">
        <w:rPr>
          <w:sz w:val="28"/>
          <w:szCs w:val="28"/>
          <w:lang w:eastAsia="en-US"/>
        </w:rPr>
        <w:t xml:space="preserve"> з</w:t>
      </w:r>
      <w:r w:rsidRPr="00520861">
        <w:rPr>
          <w:sz w:val="28"/>
          <w:szCs w:val="28"/>
          <w:lang w:eastAsia="en-US"/>
        </w:rPr>
        <w:t xml:space="preserve"> теперішн</w:t>
      </w:r>
      <w:r w:rsidR="00705FC1" w:rsidRPr="00520861">
        <w:rPr>
          <w:sz w:val="28"/>
          <w:szCs w:val="28"/>
          <w:lang w:eastAsia="en-US"/>
        </w:rPr>
        <w:t>ім</w:t>
      </w:r>
      <w:r w:rsidRPr="00520861">
        <w:rPr>
          <w:sz w:val="28"/>
          <w:szCs w:val="28"/>
          <w:lang w:eastAsia="en-US"/>
        </w:rPr>
        <w:t xml:space="preserve"> уявлення</w:t>
      </w:r>
      <w:r w:rsidR="00705FC1" w:rsidRPr="00520861">
        <w:rPr>
          <w:sz w:val="28"/>
          <w:szCs w:val="28"/>
          <w:lang w:eastAsia="en-US"/>
        </w:rPr>
        <w:t>м</w:t>
      </w:r>
      <w:r w:rsidRPr="00520861">
        <w:rPr>
          <w:sz w:val="28"/>
          <w:szCs w:val="28"/>
          <w:lang w:eastAsia="en-US"/>
        </w:rPr>
        <w:t xml:space="preserve"> про форм</w:t>
      </w:r>
      <w:r w:rsidR="00DC4FE2" w:rsidRPr="00520861">
        <w:rPr>
          <w:sz w:val="28"/>
          <w:szCs w:val="28"/>
          <w:lang w:eastAsia="en-US"/>
        </w:rPr>
        <w:t xml:space="preserve">ування порушень тканин </w:t>
      </w:r>
      <w:proofErr w:type="spellStart"/>
      <w:r w:rsidR="00DC4FE2" w:rsidRPr="00520861">
        <w:rPr>
          <w:sz w:val="28"/>
          <w:szCs w:val="28"/>
          <w:lang w:eastAsia="en-US"/>
        </w:rPr>
        <w:t>пародонта</w:t>
      </w:r>
      <w:proofErr w:type="spellEnd"/>
      <w:r w:rsidRPr="00520861">
        <w:rPr>
          <w:sz w:val="28"/>
          <w:szCs w:val="28"/>
          <w:lang w:eastAsia="en-US"/>
        </w:rPr>
        <w:t xml:space="preserve">, </w:t>
      </w:r>
      <w:r w:rsidR="007C6FBE" w:rsidRPr="00520861">
        <w:rPr>
          <w:sz w:val="28"/>
          <w:szCs w:val="28"/>
          <w:lang w:eastAsia="en-US"/>
        </w:rPr>
        <w:br/>
      </w:r>
      <w:r w:rsidRPr="00520861">
        <w:rPr>
          <w:sz w:val="28"/>
          <w:szCs w:val="28"/>
          <w:lang w:eastAsia="en-US"/>
        </w:rPr>
        <w:t xml:space="preserve">в узагальненому вигляді описаного в роботі </w:t>
      </w:r>
      <w:r w:rsidRPr="00520861">
        <w:rPr>
          <w:sz w:val="28"/>
          <w:szCs w:val="28"/>
          <w:shd w:val="clear" w:color="auto" w:fill="FFFFFF"/>
          <w:lang w:eastAsia="en-US"/>
        </w:rPr>
        <w:t>[</w:t>
      </w:r>
      <w:r w:rsidR="00523A35" w:rsidRPr="00520861">
        <w:rPr>
          <w:sz w:val="28"/>
          <w:szCs w:val="28"/>
          <w:shd w:val="clear" w:color="auto" w:fill="FFFFFF"/>
          <w:lang w:eastAsia="en-US"/>
        </w:rPr>
        <w:t>189</w:t>
      </w:r>
      <w:r w:rsidR="00823473" w:rsidRPr="00520861">
        <w:rPr>
          <w:sz w:val="28"/>
          <w:szCs w:val="28"/>
          <w:shd w:val="clear" w:color="auto" w:fill="FFFFFF"/>
          <w:lang w:eastAsia="en-US"/>
        </w:rPr>
        <w:t>]</w:t>
      </w:r>
      <w:r w:rsidRPr="00520861">
        <w:rPr>
          <w:sz w:val="28"/>
          <w:szCs w:val="28"/>
          <w:shd w:val="clear" w:color="auto" w:fill="FFFFFF"/>
          <w:lang w:eastAsia="en-US"/>
        </w:rPr>
        <w:t xml:space="preserve">, у відповідь на бактеріальну </w:t>
      </w:r>
      <w:r w:rsidR="00D24319" w:rsidRPr="00520861">
        <w:rPr>
          <w:sz w:val="28"/>
          <w:szCs w:val="28"/>
          <w:shd w:val="clear" w:color="auto" w:fill="FFFFFF"/>
          <w:lang w:eastAsia="en-US"/>
        </w:rPr>
        <w:br/>
      </w:r>
      <w:r w:rsidRPr="00520861">
        <w:rPr>
          <w:sz w:val="28"/>
          <w:szCs w:val="28"/>
          <w:shd w:val="clear" w:color="auto" w:fill="FFFFFF"/>
          <w:lang w:eastAsia="en-US"/>
        </w:rPr>
        <w:t xml:space="preserve">інфекцію відбувається збільшення концентрації </w:t>
      </w:r>
      <w:proofErr w:type="spellStart"/>
      <w:r w:rsidRPr="00520861">
        <w:rPr>
          <w:sz w:val="28"/>
          <w:szCs w:val="28"/>
          <w:shd w:val="clear" w:color="auto" w:fill="FFFFFF"/>
          <w:lang w:eastAsia="en-US"/>
        </w:rPr>
        <w:t>прозапальних</w:t>
      </w:r>
      <w:proofErr w:type="spellEnd"/>
      <w:r w:rsidRPr="00520861">
        <w:rPr>
          <w:sz w:val="28"/>
          <w:szCs w:val="28"/>
          <w:shd w:val="clear" w:color="auto" w:fill="FFFFFF"/>
          <w:lang w:eastAsia="en-US"/>
        </w:rPr>
        <w:t xml:space="preserve"> цитокінів, а також </w:t>
      </w:r>
      <w:r w:rsidR="008D05CF" w:rsidRPr="00520861">
        <w:rPr>
          <w:sz w:val="28"/>
          <w:szCs w:val="28"/>
          <w:shd w:val="clear" w:color="auto" w:fill="FFFFFF"/>
          <w:lang w:eastAsia="en-US"/>
        </w:rPr>
        <w:br/>
      </w:r>
      <w:r w:rsidRPr="00520861">
        <w:rPr>
          <w:sz w:val="28"/>
          <w:szCs w:val="28"/>
          <w:shd w:val="clear" w:color="auto" w:fill="FFFFFF"/>
          <w:lang w:eastAsia="en-US"/>
        </w:rPr>
        <w:t xml:space="preserve">зменшення концентрації протизапальних цитокінів, що призводить до </w:t>
      </w:r>
      <w:r w:rsidRPr="00520861">
        <w:rPr>
          <w:sz w:val="28"/>
          <w:szCs w:val="28"/>
          <w:lang w:eastAsia="en-US"/>
        </w:rPr>
        <w:t xml:space="preserve">зниження </w:t>
      </w:r>
      <w:r w:rsidR="008D05CF" w:rsidRPr="00520861">
        <w:rPr>
          <w:sz w:val="28"/>
          <w:szCs w:val="28"/>
          <w:lang w:eastAsia="en-US"/>
        </w:rPr>
        <w:br/>
      </w:r>
      <w:r w:rsidRPr="00520861">
        <w:rPr>
          <w:sz w:val="28"/>
          <w:szCs w:val="28"/>
          <w:lang w:eastAsia="en-US"/>
        </w:rPr>
        <w:t>механізмів імунного захисту [</w:t>
      </w:r>
      <w:r w:rsidR="00523A35" w:rsidRPr="00520861">
        <w:rPr>
          <w:sz w:val="28"/>
          <w:szCs w:val="28"/>
          <w:lang w:eastAsia="en-US"/>
        </w:rPr>
        <w:t>151</w:t>
      </w:r>
      <w:r w:rsidRPr="00520861">
        <w:rPr>
          <w:sz w:val="28"/>
          <w:szCs w:val="28"/>
          <w:lang w:eastAsia="en-US"/>
        </w:rPr>
        <w:t xml:space="preserve">] </w:t>
      </w:r>
      <w:r w:rsidRPr="00520861">
        <w:rPr>
          <w:sz w:val="28"/>
          <w:szCs w:val="28"/>
          <w:shd w:val="clear" w:color="auto" w:fill="FFFFFF"/>
          <w:lang w:eastAsia="en-US"/>
        </w:rPr>
        <w:t xml:space="preserve">та деструкції колагенових волокон. </w:t>
      </w:r>
    </w:p>
    <w:p w14:paraId="4D687597" w14:textId="77777777" w:rsidR="005B2BAD" w:rsidRPr="00520861" w:rsidRDefault="005B2BAD" w:rsidP="00292D2E">
      <w:pPr>
        <w:widowControl w:val="0"/>
        <w:spacing w:line="360" w:lineRule="auto"/>
        <w:ind w:firstLine="708"/>
        <w:jc w:val="both"/>
        <w:rPr>
          <w:rFonts w:eastAsia="Calibri"/>
          <w:b/>
          <w:sz w:val="28"/>
          <w:szCs w:val="28"/>
        </w:rPr>
      </w:pPr>
      <w:r w:rsidRPr="00520861">
        <w:rPr>
          <w:sz w:val="28"/>
          <w:szCs w:val="28"/>
          <w:lang w:eastAsia="en-US"/>
        </w:rPr>
        <w:t>Генетична детермінанта розви</w:t>
      </w:r>
      <w:r w:rsidR="001A1AB5" w:rsidRPr="00520861">
        <w:rPr>
          <w:sz w:val="28"/>
          <w:szCs w:val="28"/>
          <w:lang w:eastAsia="en-US"/>
        </w:rPr>
        <w:t xml:space="preserve">тку </w:t>
      </w:r>
      <w:proofErr w:type="spellStart"/>
      <w:r w:rsidR="001A1AB5" w:rsidRPr="00520861">
        <w:rPr>
          <w:sz w:val="28"/>
          <w:szCs w:val="28"/>
          <w:lang w:eastAsia="en-US"/>
        </w:rPr>
        <w:t>генералізованого</w:t>
      </w:r>
      <w:proofErr w:type="spellEnd"/>
      <w:r w:rsidR="001A1AB5" w:rsidRPr="00520861">
        <w:rPr>
          <w:sz w:val="28"/>
          <w:szCs w:val="28"/>
          <w:lang w:eastAsia="en-US"/>
        </w:rPr>
        <w:t xml:space="preserve"> </w:t>
      </w:r>
      <w:proofErr w:type="spellStart"/>
      <w:r w:rsidR="001A1AB5" w:rsidRPr="00520861">
        <w:rPr>
          <w:sz w:val="28"/>
          <w:szCs w:val="28"/>
          <w:lang w:eastAsia="en-US"/>
        </w:rPr>
        <w:t>пародонтиту</w:t>
      </w:r>
      <w:proofErr w:type="spellEnd"/>
      <w:r w:rsidRPr="00520861">
        <w:rPr>
          <w:sz w:val="28"/>
          <w:szCs w:val="28"/>
          <w:lang w:eastAsia="en-US"/>
        </w:rPr>
        <w:t xml:space="preserve"> досліджується тривалий час та є розробленою темою, проте маркери розвитку пародонтоз</w:t>
      </w:r>
      <w:r w:rsidR="001F38A1" w:rsidRPr="00520861">
        <w:rPr>
          <w:sz w:val="28"/>
          <w:szCs w:val="28"/>
          <w:lang w:eastAsia="en-US"/>
        </w:rPr>
        <w:t>у</w:t>
      </w:r>
      <w:r w:rsidR="009665AC" w:rsidRPr="00520861">
        <w:rPr>
          <w:sz w:val="28"/>
          <w:szCs w:val="28"/>
        </w:rPr>
        <w:t xml:space="preserve"> МГ</w:t>
      </w:r>
      <w:r w:rsidR="009665AC" w:rsidRPr="00520861">
        <w:rPr>
          <w:sz w:val="28"/>
          <w:szCs w:val="28"/>
          <w:lang w:eastAsia="en-US"/>
        </w:rPr>
        <w:t xml:space="preserve"> </w:t>
      </w:r>
      <w:r w:rsidRPr="00520861">
        <w:rPr>
          <w:sz w:val="28"/>
          <w:szCs w:val="28"/>
          <w:lang w:eastAsia="en-US"/>
        </w:rPr>
        <w:t>мето</w:t>
      </w:r>
      <w:r w:rsidR="007C5ED0" w:rsidRPr="00520861">
        <w:rPr>
          <w:sz w:val="28"/>
          <w:szCs w:val="28"/>
          <w:lang w:eastAsia="en-US"/>
        </w:rPr>
        <w:t>дами практично не досліджувалися</w:t>
      </w:r>
      <w:r w:rsidRPr="00520861">
        <w:rPr>
          <w:sz w:val="28"/>
          <w:szCs w:val="28"/>
          <w:lang w:eastAsia="en-US"/>
        </w:rPr>
        <w:t xml:space="preserve"> [</w:t>
      </w:r>
      <w:r w:rsidR="00523A35" w:rsidRPr="00520861">
        <w:rPr>
          <w:sz w:val="28"/>
          <w:szCs w:val="28"/>
          <w:lang w:eastAsia="en-US"/>
        </w:rPr>
        <w:t>140</w:t>
      </w:r>
      <w:r w:rsidRPr="00520861">
        <w:rPr>
          <w:sz w:val="28"/>
          <w:szCs w:val="28"/>
          <w:lang w:eastAsia="en-US"/>
        </w:rPr>
        <w:t xml:space="preserve">]. </w:t>
      </w:r>
    </w:p>
    <w:p w14:paraId="3B73F181" w14:textId="77777777" w:rsidR="005B2BAD" w:rsidRPr="00520861" w:rsidRDefault="007C5ED0" w:rsidP="00292D2E">
      <w:pPr>
        <w:widowControl w:val="0"/>
        <w:spacing w:line="360" w:lineRule="auto"/>
        <w:ind w:firstLine="720"/>
        <w:jc w:val="both"/>
        <w:rPr>
          <w:spacing w:val="-2"/>
          <w:sz w:val="28"/>
          <w:szCs w:val="28"/>
          <w:lang w:eastAsia="en-US"/>
        </w:rPr>
      </w:pPr>
      <w:r w:rsidRPr="00520861">
        <w:rPr>
          <w:sz w:val="28"/>
          <w:szCs w:val="28"/>
          <w:lang w:eastAsia="en-US"/>
        </w:rPr>
        <w:t>Як зазначалося</w:t>
      </w:r>
      <w:r w:rsidR="005B2BAD" w:rsidRPr="00520861">
        <w:rPr>
          <w:sz w:val="28"/>
          <w:szCs w:val="28"/>
          <w:lang w:eastAsia="en-US"/>
        </w:rPr>
        <w:t xml:space="preserve"> вище, RANKL є одним із найбільш значимих регуляторів </w:t>
      </w:r>
      <w:proofErr w:type="spellStart"/>
      <w:r w:rsidR="005B2BAD" w:rsidRPr="00520861">
        <w:rPr>
          <w:sz w:val="28"/>
          <w:szCs w:val="28"/>
          <w:lang w:eastAsia="en-US"/>
        </w:rPr>
        <w:t>остеокластогенезу</w:t>
      </w:r>
      <w:proofErr w:type="spellEnd"/>
      <w:r w:rsidR="005B2BAD" w:rsidRPr="00520861">
        <w:rPr>
          <w:sz w:val="28"/>
          <w:szCs w:val="28"/>
          <w:lang w:eastAsia="en-US"/>
        </w:rPr>
        <w:t xml:space="preserve"> [</w:t>
      </w:r>
      <w:r w:rsidR="00523A35" w:rsidRPr="00520861">
        <w:rPr>
          <w:sz w:val="28"/>
          <w:szCs w:val="28"/>
          <w:lang w:eastAsia="en-US"/>
        </w:rPr>
        <w:t>591</w:t>
      </w:r>
      <w:r w:rsidR="005B2BAD" w:rsidRPr="00520861">
        <w:rPr>
          <w:sz w:val="28"/>
          <w:szCs w:val="28"/>
          <w:lang w:eastAsia="en-US"/>
        </w:rPr>
        <w:t xml:space="preserve">]. </w:t>
      </w:r>
      <w:r w:rsidR="005B2BAD" w:rsidRPr="00520861">
        <w:rPr>
          <w:sz w:val="28"/>
          <w:szCs w:val="28"/>
          <w:shd w:val="clear" w:color="auto" w:fill="FFFFFF"/>
          <w:lang w:eastAsia="en-US"/>
        </w:rPr>
        <w:t xml:space="preserve">Підвищення рівня цитокінів </w:t>
      </w:r>
      <w:proofErr w:type="spellStart"/>
      <w:r w:rsidR="00D24319" w:rsidRPr="00520861">
        <w:rPr>
          <w:sz w:val="28"/>
          <w:szCs w:val="28"/>
          <w:shd w:val="clear" w:color="auto" w:fill="FFFFFF"/>
          <w:lang w:eastAsia="en-US"/>
        </w:rPr>
        <w:t>остеокластогенезу</w:t>
      </w:r>
      <w:proofErr w:type="spellEnd"/>
      <w:r w:rsidR="00D24319" w:rsidRPr="00520861">
        <w:rPr>
          <w:sz w:val="28"/>
          <w:szCs w:val="28"/>
          <w:shd w:val="clear" w:color="auto" w:fill="FFFFFF"/>
          <w:lang w:eastAsia="en-US"/>
        </w:rPr>
        <w:t xml:space="preserve"> у</w:t>
      </w:r>
      <w:r w:rsidR="005B2BAD" w:rsidRPr="00520861">
        <w:rPr>
          <w:sz w:val="28"/>
          <w:szCs w:val="28"/>
          <w:shd w:val="clear" w:color="auto" w:fill="FFFFFF"/>
          <w:lang w:eastAsia="en-US"/>
        </w:rPr>
        <w:t xml:space="preserve"> пацієнтів з </w:t>
      </w:r>
      <w:proofErr w:type="spellStart"/>
      <w:r w:rsidR="005B2BAD" w:rsidRPr="00520861">
        <w:rPr>
          <w:sz w:val="28"/>
          <w:szCs w:val="28"/>
          <w:shd w:val="clear" w:color="auto" w:fill="FFFFFF"/>
          <w:lang w:eastAsia="en-US"/>
        </w:rPr>
        <w:t>пародонтитом</w:t>
      </w:r>
      <w:proofErr w:type="spellEnd"/>
      <w:r w:rsidR="005B2BAD" w:rsidRPr="00520861">
        <w:rPr>
          <w:sz w:val="28"/>
          <w:szCs w:val="28"/>
          <w:shd w:val="clear" w:color="auto" w:fill="FFFFFF"/>
          <w:lang w:eastAsia="en-US"/>
        </w:rPr>
        <w:t xml:space="preserve"> стимулює </w:t>
      </w:r>
      <w:proofErr w:type="spellStart"/>
      <w:r w:rsidR="005B2BAD" w:rsidRPr="00520861">
        <w:rPr>
          <w:sz w:val="28"/>
          <w:szCs w:val="28"/>
          <w:shd w:val="clear" w:color="auto" w:fill="FFFFFF"/>
          <w:lang w:eastAsia="en-US"/>
        </w:rPr>
        <w:t>остеорезорбтивні</w:t>
      </w:r>
      <w:proofErr w:type="spellEnd"/>
      <w:r w:rsidR="005B2BAD" w:rsidRPr="00520861">
        <w:rPr>
          <w:sz w:val="28"/>
          <w:szCs w:val="28"/>
          <w:shd w:val="clear" w:color="auto" w:fill="FFFFFF"/>
          <w:lang w:eastAsia="en-US"/>
        </w:rPr>
        <w:t xml:space="preserve"> процеси, порушуючи баланс між </w:t>
      </w:r>
      <w:r w:rsidR="00D24319" w:rsidRPr="00520861">
        <w:rPr>
          <w:sz w:val="28"/>
          <w:szCs w:val="28"/>
          <w:shd w:val="clear" w:color="auto" w:fill="FFFFFF"/>
          <w:lang w:eastAsia="en-US"/>
        </w:rPr>
        <w:br/>
      </w:r>
      <w:r w:rsidR="005B2BAD" w:rsidRPr="00520861">
        <w:rPr>
          <w:sz w:val="28"/>
          <w:szCs w:val="28"/>
          <w:shd w:val="clear" w:color="auto" w:fill="FFFFFF"/>
          <w:lang w:eastAsia="en-US"/>
        </w:rPr>
        <w:t>резорбцією та відновленням [</w:t>
      </w:r>
      <w:r w:rsidR="00523A35" w:rsidRPr="00520861">
        <w:rPr>
          <w:sz w:val="28"/>
          <w:szCs w:val="28"/>
          <w:shd w:val="clear" w:color="auto" w:fill="FFFFFF"/>
          <w:lang w:eastAsia="en-US"/>
        </w:rPr>
        <w:t>19</w:t>
      </w:r>
      <w:r w:rsidR="005B2BAD" w:rsidRPr="00520861">
        <w:rPr>
          <w:sz w:val="28"/>
          <w:szCs w:val="28"/>
          <w:shd w:val="clear" w:color="auto" w:fill="FFFFFF"/>
          <w:lang w:eastAsia="en-US"/>
        </w:rPr>
        <w:t>].</w:t>
      </w:r>
      <w:r w:rsidR="00C90171" w:rsidRPr="00520861">
        <w:rPr>
          <w:sz w:val="28"/>
          <w:szCs w:val="28"/>
          <w:lang w:eastAsia="en-US"/>
        </w:rPr>
        <w:t xml:space="preserve"> </w:t>
      </w:r>
      <w:proofErr w:type="spellStart"/>
      <w:r w:rsidR="005B2BAD" w:rsidRPr="00520861">
        <w:rPr>
          <w:sz w:val="28"/>
          <w:szCs w:val="28"/>
          <w:lang w:eastAsia="en-US"/>
        </w:rPr>
        <w:t>Поліморфізми</w:t>
      </w:r>
      <w:proofErr w:type="spellEnd"/>
      <w:r w:rsidR="005B2BAD" w:rsidRPr="00520861">
        <w:rPr>
          <w:sz w:val="28"/>
          <w:szCs w:val="28"/>
          <w:lang w:eastAsia="en-US"/>
        </w:rPr>
        <w:t xml:space="preserve"> генів </w:t>
      </w:r>
      <w:r w:rsidR="005B2BAD" w:rsidRPr="00520861">
        <w:rPr>
          <w:i/>
          <w:iCs/>
          <w:sz w:val="28"/>
          <w:szCs w:val="28"/>
          <w:lang w:eastAsia="en-US"/>
        </w:rPr>
        <w:t>IL-1</w:t>
      </w:r>
      <w:r w:rsidR="005B2BAD" w:rsidRPr="00520861">
        <w:rPr>
          <w:i/>
          <w:sz w:val="28"/>
          <w:szCs w:val="28"/>
          <w:lang w:eastAsia="en-US"/>
        </w:rPr>
        <w:sym w:font="Symbol" w:char="F062"/>
      </w:r>
      <w:r w:rsidR="005B2BAD" w:rsidRPr="00520861">
        <w:rPr>
          <w:i/>
          <w:iCs/>
          <w:sz w:val="28"/>
          <w:szCs w:val="28"/>
          <w:lang w:eastAsia="en-US"/>
        </w:rPr>
        <w:t>, IL</w:t>
      </w:r>
      <w:r w:rsidR="00DC4FE2" w:rsidRPr="00520861">
        <w:rPr>
          <w:i/>
          <w:iCs/>
          <w:sz w:val="28"/>
          <w:szCs w:val="28"/>
          <w:lang w:eastAsia="en-US"/>
        </w:rPr>
        <w:t>-6</w:t>
      </w:r>
      <w:r w:rsidR="005B2BAD" w:rsidRPr="00520861">
        <w:rPr>
          <w:i/>
          <w:iCs/>
          <w:sz w:val="28"/>
          <w:szCs w:val="28"/>
          <w:lang w:eastAsia="en-US"/>
        </w:rPr>
        <w:t>, IL-10</w:t>
      </w:r>
      <w:r w:rsidR="005B2BAD" w:rsidRPr="00520861">
        <w:rPr>
          <w:iCs/>
          <w:sz w:val="28"/>
          <w:szCs w:val="28"/>
          <w:lang w:eastAsia="en-US"/>
        </w:rPr>
        <w:t xml:space="preserve"> </w:t>
      </w:r>
      <w:r w:rsidR="005B2BAD" w:rsidRPr="00520861">
        <w:rPr>
          <w:sz w:val="28"/>
          <w:szCs w:val="28"/>
          <w:lang w:eastAsia="en-US"/>
        </w:rPr>
        <w:t xml:space="preserve">та </w:t>
      </w:r>
      <w:r w:rsidR="005B2BAD" w:rsidRPr="00520861">
        <w:rPr>
          <w:i/>
          <w:sz w:val="28"/>
          <w:szCs w:val="28"/>
          <w:lang w:eastAsia="en-US"/>
        </w:rPr>
        <w:t>VDR</w:t>
      </w:r>
      <w:r w:rsidR="005B2BAD" w:rsidRPr="00520861">
        <w:rPr>
          <w:sz w:val="28"/>
          <w:szCs w:val="28"/>
          <w:lang w:eastAsia="en-US"/>
        </w:rPr>
        <w:t xml:space="preserve"> також залучені до формування порушень тканин </w:t>
      </w:r>
      <w:proofErr w:type="spellStart"/>
      <w:r w:rsidR="005B2BAD" w:rsidRPr="00520861">
        <w:rPr>
          <w:sz w:val="28"/>
          <w:szCs w:val="28"/>
          <w:lang w:eastAsia="en-US"/>
        </w:rPr>
        <w:t>па</w:t>
      </w:r>
      <w:r w:rsidR="005254E1" w:rsidRPr="00520861">
        <w:rPr>
          <w:sz w:val="28"/>
          <w:szCs w:val="28"/>
          <w:lang w:eastAsia="en-US"/>
        </w:rPr>
        <w:t>родонта</w:t>
      </w:r>
      <w:proofErr w:type="spellEnd"/>
      <w:r w:rsidR="005B2BAD" w:rsidRPr="00520861">
        <w:rPr>
          <w:sz w:val="28"/>
          <w:szCs w:val="28"/>
          <w:lang w:eastAsia="en-US"/>
        </w:rPr>
        <w:t xml:space="preserve">, про що в узагальненому вигляді зазначено в дослідженнях </w:t>
      </w:r>
      <w:proofErr w:type="spellStart"/>
      <w:r w:rsidR="00B82228" w:rsidRPr="00520861">
        <w:rPr>
          <w:sz w:val="28"/>
          <w:szCs w:val="28"/>
          <w:lang w:eastAsia="en-US"/>
        </w:rPr>
        <w:t>Laine</w:t>
      </w:r>
      <w:proofErr w:type="spellEnd"/>
      <w:r w:rsidR="00B82228" w:rsidRPr="00520861">
        <w:rPr>
          <w:sz w:val="28"/>
          <w:szCs w:val="28"/>
          <w:lang w:eastAsia="en-US"/>
        </w:rPr>
        <w:t xml:space="preserve"> M</w:t>
      </w:r>
      <w:r w:rsidR="00705FC1" w:rsidRPr="00520861">
        <w:rPr>
          <w:sz w:val="28"/>
          <w:szCs w:val="28"/>
          <w:lang w:eastAsia="en-US"/>
        </w:rPr>
        <w:t>.</w:t>
      </w:r>
      <w:r w:rsidR="008A62E5" w:rsidRPr="00520861">
        <w:rPr>
          <w:sz w:val="28"/>
          <w:szCs w:val="28"/>
          <w:lang w:eastAsia="en-US"/>
        </w:rPr>
        <w:t> </w:t>
      </w:r>
      <w:r w:rsidR="00B82228" w:rsidRPr="00520861">
        <w:rPr>
          <w:sz w:val="28"/>
          <w:szCs w:val="28"/>
          <w:lang w:eastAsia="en-US"/>
        </w:rPr>
        <w:t>L</w:t>
      </w:r>
      <w:r w:rsidR="00705FC1" w:rsidRPr="00520861">
        <w:rPr>
          <w:sz w:val="28"/>
          <w:szCs w:val="28"/>
          <w:lang w:eastAsia="en-US"/>
        </w:rPr>
        <w:t>.</w:t>
      </w:r>
      <w:r w:rsidR="00B82228" w:rsidRPr="00520861">
        <w:rPr>
          <w:sz w:val="28"/>
          <w:szCs w:val="28"/>
          <w:lang w:eastAsia="en-US"/>
        </w:rPr>
        <w:t xml:space="preserve"> </w:t>
      </w:r>
      <w:r w:rsidR="005B2BAD" w:rsidRPr="00520861">
        <w:rPr>
          <w:sz w:val="28"/>
          <w:szCs w:val="28"/>
          <w:lang w:eastAsia="en-US"/>
        </w:rPr>
        <w:t>та співавторів [</w:t>
      </w:r>
      <w:r w:rsidR="00523A35" w:rsidRPr="00520861">
        <w:rPr>
          <w:sz w:val="28"/>
          <w:szCs w:val="28"/>
          <w:lang w:eastAsia="en-US"/>
        </w:rPr>
        <w:t>395</w:t>
      </w:r>
      <w:r w:rsidR="005B2BAD" w:rsidRPr="00520861">
        <w:rPr>
          <w:sz w:val="28"/>
          <w:szCs w:val="28"/>
          <w:lang w:eastAsia="en-US"/>
        </w:rPr>
        <w:t>].</w:t>
      </w:r>
      <w:r w:rsidR="00C90171" w:rsidRPr="00520861">
        <w:rPr>
          <w:sz w:val="28"/>
          <w:szCs w:val="28"/>
          <w:lang w:eastAsia="en-US"/>
        </w:rPr>
        <w:t xml:space="preserve"> </w:t>
      </w:r>
      <w:r w:rsidR="005B2BAD" w:rsidRPr="00520861">
        <w:rPr>
          <w:bCs/>
          <w:sz w:val="28"/>
          <w:szCs w:val="28"/>
          <w:lang w:eastAsia="en-US"/>
        </w:rPr>
        <w:t>Участь IL-10 у процесах</w:t>
      </w:r>
      <w:r w:rsidR="005B2BAD" w:rsidRPr="00520861">
        <w:rPr>
          <w:sz w:val="28"/>
          <w:szCs w:val="28"/>
          <w:lang w:eastAsia="en-US"/>
        </w:rPr>
        <w:t xml:space="preserve"> </w:t>
      </w:r>
      <w:proofErr w:type="spellStart"/>
      <w:r w:rsidR="005B2BAD" w:rsidRPr="00520861">
        <w:rPr>
          <w:sz w:val="28"/>
          <w:szCs w:val="28"/>
          <w:lang w:eastAsia="en-US"/>
        </w:rPr>
        <w:t>інгібування</w:t>
      </w:r>
      <w:proofErr w:type="spellEnd"/>
      <w:r w:rsidR="005B2BAD" w:rsidRPr="00520861">
        <w:rPr>
          <w:sz w:val="28"/>
          <w:szCs w:val="28"/>
          <w:lang w:eastAsia="en-US"/>
        </w:rPr>
        <w:t xml:space="preserve"> формування </w:t>
      </w:r>
      <w:proofErr w:type="spellStart"/>
      <w:r w:rsidR="005B2BAD" w:rsidRPr="00520861">
        <w:rPr>
          <w:sz w:val="28"/>
          <w:szCs w:val="28"/>
          <w:lang w:eastAsia="en-US"/>
        </w:rPr>
        <w:t>остеокластів</w:t>
      </w:r>
      <w:proofErr w:type="spellEnd"/>
      <w:r w:rsidR="005B2BAD" w:rsidRPr="00520861">
        <w:rPr>
          <w:sz w:val="28"/>
          <w:szCs w:val="28"/>
          <w:lang w:eastAsia="en-US"/>
        </w:rPr>
        <w:t xml:space="preserve"> та посилення </w:t>
      </w:r>
      <w:proofErr w:type="spellStart"/>
      <w:r w:rsidR="005B2BAD" w:rsidRPr="00520861">
        <w:rPr>
          <w:sz w:val="28"/>
          <w:szCs w:val="28"/>
          <w:lang w:eastAsia="en-US"/>
        </w:rPr>
        <w:t>остеобластогенезу</w:t>
      </w:r>
      <w:proofErr w:type="spellEnd"/>
      <w:r w:rsidR="005B2BAD" w:rsidRPr="00520861">
        <w:rPr>
          <w:sz w:val="28"/>
          <w:szCs w:val="28"/>
          <w:lang w:eastAsia="en-US"/>
        </w:rPr>
        <w:t xml:space="preserve"> дослідили </w:t>
      </w:r>
      <w:proofErr w:type="spellStart"/>
      <w:r w:rsidR="00B82228" w:rsidRPr="00520861">
        <w:rPr>
          <w:sz w:val="28"/>
          <w:szCs w:val="28"/>
          <w:lang w:eastAsia="en-US"/>
        </w:rPr>
        <w:t>Zhang</w:t>
      </w:r>
      <w:proofErr w:type="spellEnd"/>
      <w:r w:rsidR="00B82228" w:rsidRPr="00520861">
        <w:rPr>
          <w:sz w:val="28"/>
          <w:szCs w:val="28"/>
          <w:lang w:eastAsia="en-US"/>
        </w:rPr>
        <w:t xml:space="preserve"> Q</w:t>
      </w:r>
      <w:r w:rsidR="00705FC1" w:rsidRPr="00520861">
        <w:rPr>
          <w:sz w:val="28"/>
          <w:szCs w:val="28"/>
          <w:lang w:eastAsia="en-US"/>
        </w:rPr>
        <w:t>.</w:t>
      </w:r>
      <w:r w:rsidR="00B82228" w:rsidRPr="00520861">
        <w:rPr>
          <w:sz w:val="28"/>
          <w:szCs w:val="28"/>
          <w:lang w:eastAsia="en-US"/>
        </w:rPr>
        <w:t xml:space="preserve"> </w:t>
      </w:r>
      <w:r w:rsidR="005B2BAD" w:rsidRPr="00520861">
        <w:rPr>
          <w:sz w:val="28"/>
          <w:szCs w:val="28"/>
          <w:lang w:eastAsia="en-US"/>
        </w:rPr>
        <w:t xml:space="preserve">та співавтори </w:t>
      </w:r>
      <w:r w:rsidR="005B2BAD" w:rsidRPr="00520861">
        <w:rPr>
          <w:bCs/>
          <w:sz w:val="28"/>
          <w:szCs w:val="28"/>
          <w:lang w:eastAsia="en-US"/>
        </w:rPr>
        <w:t>[</w:t>
      </w:r>
      <w:r w:rsidR="001D67D5" w:rsidRPr="00520861">
        <w:rPr>
          <w:bCs/>
          <w:sz w:val="28"/>
          <w:szCs w:val="28"/>
          <w:lang w:eastAsia="en-US"/>
        </w:rPr>
        <w:t>588</w:t>
      </w:r>
      <w:r w:rsidR="005B2BAD" w:rsidRPr="00520861">
        <w:rPr>
          <w:bCs/>
          <w:sz w:val="28"/>
          <w:szCs w:val="28"/>
          <w:lang w:eastAsia="en-US"/>
        </w:rPr>
        <w:t>].</w:t>
      </w:r>
      <w:r w:rsidR="005B2BAD" w:rsidRPr="00520861">
        <w:rPr>
          <w:sz w:val="28"/>
          <w:szCs w:val="28"/>
          <w:lang w:eastAsia="en-US"/>
        </w:rPr>
        <w:t xml:space="preserve"> </w:t>
      </w:r>
      <w:r w:rsidR="005B2BAD" w:rsidRPr="00520861">
        <w:rPr>
          <w:rFonts w:eastAsia="Calibri"/>
          <w:sz w:val="28"/>
          <w:szCs w:val="28"/>
        </w:rPr>
        <w:t xml:space="preserve">У їхній роботі розкрито </w:t>
      </w:r>
      <w:proofErr w:type="spellStart"/>
      <w:r w:rsidR="005B2BAD" w:rsidRPr="00520861">
        <w:rPr>
          <w:rFonts w:eastAsia="Calibri"/>
          <w:sz w:val="28"/>
          <w:szCs w:val="28"/>
        </w:rPr>
        <w:t>протективну</w:t>
      </w:r>
      <w:proofErr w:type="spellEnd"/>
      <w:r w:rsidR="005B2BAD" w:rsidRPr="00520861">
        <w:rPr>
          <w:rFonts w:eastAsia="Calibri"/>
          <w:sz w:val="28"/>
          <w:szCs w:val="28"/>
        </w:rPr>
        <w:t xml:space="preserve"> роль цього протизапального цитокіна, зокре</w:t>
      </w:r>
      <w:r w:rsidR="002074F5" w:rsidRPr="00520861">
        <w:rPr>
          <w:rFonts w:eastAsia="Calibri"/>
          <w:sz w:val="28"/>
          <w:szCs w:val="28"/>
        </w:rPr>
        <w:t xml:space="preserve">ма при хворобах тканин </w:t>
      </w:r>
      <w:proofErr w:type="spellStart"/>
      <w:r w:rsidR="002074F5" w:rsidRPr="00520861">
        <w:rPr>
          <w:rFonts w:eastAsia="Calibri"/>
          <w:sz w:val="28"/>
          <w:szCs w:val="28"/>
        </w:rPr>
        <w:t>пародонта</w:t>
      </w:r>
      <w:proofErr w:type="spellEnd"/>
      <w:r w:rsidR="005B2BAD" w:rsidRPr="00520861">
        <w:rPr>
          <w:rFonts w:eastAsia="Calibri"/>
          <w:sz w:val="28"/>
          <w:szCs w:val="28"/>
        </w:rPr>
        <w:t>.</w:t>
      </w:r>
      <w:r w:rsidR="00E70029" w:rsidRPr="00520861">
        <w:rPr>
          <w:sz w:val="28"/>
          <w:szCs w:val="28"/>
          <w:lang w:eastAsia="en-US"/>
        </w:rPr>
        <w:t xml:space="preserve"> </w:t>
      </w:r>
      <w:r w:rsidR="005B2BAD" w:rsidRPr="00520861">
        <w:rPr>
          <w:sz w:val="28"/>
          <w:szCs w:val="28"/>
          <w:lang w:eastAsia="en-US"/>
        </w:rPr>
        <w:t xml:space="preserve">Асоціація поліморфізму в гені </w:t>
      </w:r>
      <w:r w:rsidR="005B2BAD" w:rsidRPr="00520861">
        <w:rPr>
          <w:i/>
          <w:sz w:val="28"/>
          <w:szCs w:val="28"/>
          <w:lang w:eastAsia="en-US"/>
        </w:rPr>
        <w:t>IL-10</w:t>
      </w:r>
      <w:r w:rsidR="000C2DBD" w:rsidRPr="00520861">
        <w:rPr>
          <w:sz w:val="28"/>
          <w:szCs w:val="28"/>
          <w:lang w:eastAsia="en-US"/>
        </w:rPr>
        <w:t xml:space="preserve"> та </w:t>
      </w:r>
      <w:proofErr w:type="spellStart"/>
      <w:r w:rsidR="000C2DBD" w:rsidRPr="00520861">
        <w:rPr>
          <w:sz w:val="28"/>
          <w:szCs w:val="28"/>
          <w:lang w:eastAsia="en-US"/>
        </w:rPr>
        <w:t>хвороб</w:t>
      </w:r>
      <w:proofErr w:type="spellEnd"/>
      <w:r w:rsidR="000C2DBD" w:rsidRPr="00520861">
        <w:rPr>
          <w:sz w:val="28"/>
          <w:szCs w:val="28"/>
          <w:lang w:eastAsia="en-US"/>
        </w:rPr>
        <w:t xml:space="preserve"> тканин </w:t>
      </w:r>
      <w:proofErr w:type="spellStart"/>
      <w:r w:rsidR="000C2DBD" w:rsidRPr="00520861">
        <w:rPr>
          <w:sz w:val="28"/>
          <w:szCs w:val="28"/>
          <w:lang w:eastAsia="en-US"/>
        </w:rPr>
        <w:t>пародонта</w:t>
      </w:r>
      <w:proofErr w:type="spellEnd"/>
      <w:r w:rsidR="005B2BAD" w:rsidRPr="00520861">
        <w:rPr>
          <w:sz w:val="28"/>
          <w:szCs w:val="28"/>
          <w:lang w:eastAsia="en-US"/>
        </w:rPr>
        <w:t xml:space="preserve"> також</w:t>
      </w:r>
      <w:r w:rsidR="00174453" w:rsidRPr="00520861">
        <w:rPr>
          <w:sz w:val="28"/>
          <w:szCs w:val="28"/>
          <w:lang w:eastAsia="en-US"/>
        </w:rPr>
        <w:t xml:space="preserve"> </w:t>
      </w:r>
      <w:r w:rsidR="005B2BAD" w:rsidRPr="00520861">
        <w:rPr>
          <w:sz w:val="28"/>
          <w:szCs w:val="28"/>
          <w:lang w:eastAsia="en-US"/>
        </w:rPr>
        <w:t xml:space="preserve">висвітлена в </w:t>
      </w:r>
      <w:r w:rsidR="005B2BAD" w:rsidRPr="00520861">
        <w:rPr>
          <w:bCs/>
          <w:sz w:val="28"/>
          <w:szCs w:val="28"/>
          <w:lang w:eastAsia="en-US"/>
        </w:rPr>
        <w:t xml:space="preserve">роботі </w:t>
      </w:r>
      <w:proofErr w:type="spellStart"/>
      <w:r w:rsidR="005B2BAD" w:rsidRPr="00520861">
        <w:rPr>
          <w:sz w:val="28"/>
          <w:szCs w:val="28"/>
          <w:lang w:eastAsia="en-US"/>
        </w:rPr>
        <w:t>Atanasovska-Stojanovska</w:t>
      </w:r>
      <w:proofErr w:type="spellEnd"/>
      <w:r w:rsidR="005B2BAD" w:rsidRPr="00520861">
        <w:rPr>
          <w:sz w:val="28"/>
          <w:szCs w:val="28"/>
          <w:lang w:eastAsia="en-US"/>
        </w:rPr>
        <w:t xml:space="preserve"> </w:t>
      </w:r>
      <w:r w:rsidR="00DC4FE2" w:rsidRPr="00520861">
        <w:rPr>
          <w:sz w:val="28"/>
          <w:szCs w:val="28"/>
          <w:lang w:eastAsia="en-US"/>
        </w:rPr>
        <w:t>A.</w:t>
      </w:r>
      <w:r w:rsidR="00DC4FE2" w:rsidRPr="00520861">
        <w:rPr>
          <w:bCs/>
          <w:sz w:val="28"/>
          <w:szCs w:val="28"/>
          <w:lang w:eastAsia="en-US"/>
        </w:rPr>
        <w:t xml:space="preserve"> </w:t>
      </w:r>
      <w:r w:rsidR="005B2BAD" w:rsidRPr="00520861">
        <w:rPr>
          <w:bCs/>
          <w:sz w:val="28"/>
          <w:szCs w:val="28"/>
          <w:lang w:eastAsia="en-US"/>
        </w:rPr>
        <w:t>та співавторів [</w:t>
      </w:r>
      <w:r w:rsidR="001D67D5" w:rsidRPr="00520861">
        <w:rPr>
          <w:bCs/>
          <w:sz w:val="28"/>
          <w:szCs w:val="28"/>
          <w:lang w:eastAsia="en-US"/>
        </w:rPr>
        <w:t>240</w:t>
      </w:r>
      <w:r w:rsidR="005B2BAD" w:rsidRPr="00520861">
        <w:rPr>
          <w:bCs/>
          <w:sz w:val="28"/>
          <w:szCs w:val="28"/>
          <w:lang w:eastAsia="en-US"/>
        </w:rPr>
        <w:t xml:space="preserve">]. </w:t>
      </w:r>
      <w:r w:rsidR="005B2BAD" w:rsidRPr="00520861">
        <w:rPr>
          <w:bCs/>
          <w:spacing w:val="-2"/>
          <w:sz w:val="28"/>
          <w:szCs w:val="28"/>
          <w:lang w:eastAsia="en-US"/>
        </w:rPr>
        <w:t xml:space="preserve">Дослідники виявили </w:t>
      </w:r>
      <w:r w:rsidR="005B2BAD" w:rsidRPr="00520861">
        <w:rPr>
          <w:spacing w:val="-2"/>
          <w:sz w:val="28"/>
          <w:szCs w:val="28"/>
          <w:lang w:eastAsia="en-US"/>
        </w:rPr>
        <w:t xml:space="preserve">негативний (чи захисний) вплив генотипу AG </w:t>
      </w:r>
      <w:r w:rsidR="00705FC1" w:rsidRPr="00520861">
        <w:rPr>
          <w:spacing w:val="-2"/>
          <w:sz w:val="28"/>
          <w:szCs w:val="28"/>
          <w:lang w:eastAsia="en-US"/>
        </w:rPr>
        <w:t>у</w:t>
      </w:r>
      <w:r w:rsidR="005B2BAD" w:rsidRPr="00520861">
        <w:rPr>
          <w:spacing w:val="-2"/>
          <w:sz w:val="28"/>
          <w:szCs w:val="28"/>
          <w:lang w:eastAsia="en-US"/>
        </w:rPr>
        <w:t xml:space="preserve"> гені </w:t>
      </w:r>
      <w:r w:rsidR="005B2BAD" w:rsidRPr="00520861">
        <w:rPr>
          <w:i/>
          <w:spacing w:val="-2"/>
          <w:sz w:val="28"/>
          <w:szCs w:val="28"/>
          <w:lang w:eastAsia="en-US"/>
        </w:rPr>
        <w:t>IL-10</w:t>
      </w:r>
      <w:r w:rsidR="005B2BAD" w:rsidRPr="00520861">
        <w:rPr>
          <w:spacing w:val="-2"/>
          <w:sz w:val="28"/>
          <w:szCs w:val="28"/>
          <w:lang w:eastAsia="en-US"/>
        </w:rPr>
        <w:t xml:space="preserve">: -1082 на розвиток хронічного </w:t>
      </w:r>
      <w:proofErr w:type="spellStart"/>
      <w:r w:rsidR="005B2BAD" w:rsidRPr="00520861">
        <w:rPr>
          <w:spacing w:val="-2"/>
          <w:sz w:val="28"/>
          <w:szCs w:val="28"/>
          <w:lang w:eastAsia="en-US"/>
        </w:rPr>
        <w:t>пародонтиту</w:t>
      </w:r>
      <w:proofErr w:type="spellEnd"/>
      <w:r w:rsidR="005B2BAD" w:rsidRPr="00520861">
        <w:rPr>
          <w:spacing w:val="-2"/>
          <w:sz w:val="28"/>
          <w:szCs w:val="28"/>
          <w:lang w:eastAsia="en-US"/>
        </w:rPr>
        <w:t xml:space="preserve">, у той час вплив поліморфізму GG </w:t>
      </w:r>
      <w:r w:rsidR="00705FC1" w:rsidRPr="00520861">
        <w:rPr>
          <w:spacing w:val="-2"/>
          <w:sz w:val="28"/>
          <w:szCs w:val="28"/>
          <w:lang w:eastAsia="en-US"/>
        </w:rPr>
        <w:t>вони</w:t>
      </w:r>
      <w:r w:rsidR="005B2BAD" w:rsidRPr="00520861">
        <w:rPr>
          <w:spacing w:val="-2"/>
          <w:sz w:val="28"/>
          <w:szCs w:val="28"/>
          <w:lang w:eastAsia="en-US"/>
        </w:rPr>
        <w:t xml:space="preserve"> оцінили як позитивний (або </w:t>
      </w:r>
      <w:proofErr w:type="spellStart"/>
      <w:r w:rsidR="005B2BAD" w:rsidRPr="00520861">
        <w:rPr>
          <w:spacing w:val="-2"/>
          <w:sz w:val="28"/>
          <w:szCs w:val="28"/>
          <w:lang w:eastAsia="en-US"/>
        </w:rPr>
        <w:t>сприйнятний</w:t>
      </w:r>
      <w:proofErr w:type="spellEnd"/>
      <w:r w:rsidR="005B2BAD" w:rsidRPr="00520861">
        <w:rPr>
          <w:spacing w:val="-2"/>
          <w:sz w:val="28"/>
          <w:szCs w:val="28"/>
          <w:lang w:eastAsia="en-US"/>
        </w:rPr>
        <w:t xml:space="preserve">). </w:t>
      </w:r>
    </w:p>
    <w:p w14:paraId="6A04BEEC" w14:textId="77777777" w:rsidR="005B2BAD" w:rsidRPr="00520861" w:rsidRDefault="005B2BAD" w:rsidP="00292D2E">
      <w:pPr>
        <w:widowControl w:val="0"/>
        <w:spacing w:line="360" w:lineRule="auto"/>
        <w:ind w:firstLine="709"/>
        <w:jc w:val="both"/>
        <w:rPr>
          <w:sz w:val="28"/>
          <w:szCs w:val="28"/>
          <w:lang w:eastAsia="en-US"/>
        </w:rPr>
      </w:pPr>
      <w:r w:rsidRPr="00520861">
        <w:rPr>
          <w:sz w:val="28"/>
          <w:szCs w:val="28"/>
          <w:lang w:eastAsia="en-US"/>
        </w:rPr>
        <w:t xml:space="preserve">Про залучення гена </w:t>
      </w:r>
      <w:r w:rsidRPr="00520861">
        <w:rPr>
          <w:i/>
          <w:sz w:val="28"/>
          <w:szCs w:val="28"/>
          <w:lang w:eastAsia="en-US"/>
        </w:rPr>
        <w:t>VDR</w:t>
      </w:r>
      <w:r w:rsidRPr="00520861">
        <w:rPr>
          <w:sz w:val="28"/>
          <w:szCs w:val="28"/>
          <w:lang w:eastAsia="en-US"/>
        </w:rPr>
        <w:t xml:space="preserve"> до процесів формування </w:t>
      </w:r>
      <w:proofErr w:type="spellStart"/>
      <w:r w:rsidRPr="00520861">
        <w:rPr>
          <w:sz w:val="28"/>
          <w:szCs w:val="28"/>
          <w:lang w:eastAsia="en-US"/>
        </w:rPr>
        <w:t>пародонтиту</w:t>
      </w:r>
      <w:proofErr w:type="spellEnd"/>
      <w:r w:rsidRPr="00520861">
        <w:rPr>
          <w:sz w:val="28"/>
          <w:szCs w:val="28"/>
          <w:lang w:eastAsia="en-US"/>
        </w:rPr>
        <w:t xml:space="preserve"> існує значна </w:t>
      </w:r>
      <w:r w:rsidR="008D05CF" w:rsidRPr="00520861">
        <w:rPr>
          <w:sz w:val="28"/>
          <w:szCs w:val="28"/>
          <w:lang w:eastAsia="en-US"/>
        </w:rPr>
        <w:br/>
      </w:r>
      <w:r w:rsidRPr="00520861">
        <w:rPr>
          <w:sz w:val="28"/>
          <w:szCs w:val="28"/>
          <w:lang w:eastAsia="en-US"/>
        </w:rPr>
        <w:t>кількість досліджень, проте їх результати є суперечливими [</w:t>
      </w:r>
      <w:r w:rsidR="001D67D5" w:rsidRPr="00520861">
        <w:rPr>
          <w:sz w:val="28"/>
          <w:szCs w:val="28"/>
          <w:lang w:eastAsia="en-US"/>
        </w:rPr>
        <w:t>421, 556</w:t>
      </w:r>
      <w:r w:rsidRPr="00520861">
        <w:rPr>
          <w:sz w:val="28"/>
          <w:szCs w:val="28"/>
          <w:lang w:eastAsia="en-US"/>
        </w:rPr>
        <w:t>].</w:t>
      </w:r>
    </w:p>
    <w:p w14:paraId="531D5480" w14:textId="77777777" w:rsidR="005B2BAD" w:rsidRPr="00520861" w:rsidRDefault="005B2BAD" w:rsidP="00292D2E">
      <w:pPr>
        <w:widowControl w:val="0"/>
        <w:spacing w:line="360" w:lineRule="auto"/>
        <w:ind w:firstLine="709"/>
        <w:jc w:val="both"/>
        <w:rPr>
          <w:sz w:val="28"/>
          <w:szCs w:val="28"/>
          <w:lang w:eastAsia="en-US"/>
        </w:rPr>
      </w:pPr>
      <w:r w:rsidRPr="00520861">
        <w:rPr>
          <w:sz w:val="28"/>
          <w:szCs w:val="28"/>
          <w:lang w:eastAsia="en-US"/>
        </w:rPr>
        <w:t xml:space="preserve">Існування зв’язку між хронічним </w:t>
      </w:r>
      <w:proofErr w:type="spellStart"/>
      <w:r w:rsidRPr="00520861">
        <w:rPr>
          <w:sz w:val="28"/>
          <w:szCs w:val="28"/>
          <w:lang w:eastAsia="en-US"/>
        </w:rPr>
        <w:t>пародонтитом</w:t>
      </w:r>
      <w:proofErr w:type="spellEnd"/>
      <w:r w:rsidRPr="00520861">
        <w:rPr>
          <w:sz w:val="28"/>
          <w:szCs w:val="28"/>
          <w:lang w:eastAsia="en-US"/>
        </w:rPr>
        <w:t xml:space="preserve"> та </w:t>
      </w:r>
      <w:proofErr w:type="spellStart"/>
      <w:r w:rsidRPr="00520861">
        <w:rPr>
          <w:sz w:val="28"/>
          <w:szCs w:val="28"/>
          <w:lang w:eastAsia="en-US"/>
        </w:rPr>
        <w:t>остеопоротичними</w:t>
      </w:r>
      <w:proofErr w:type="spellEnd"/>
      <w:r w:rsidRPr="00520861">
        <w:rPr>
          <w:sz w:val="28"/>
          <w:szCs w:val="28"/>
          <w:lang w:eastAsia="en-US"/>
        </w:rPr>
        <w:t xml:space="preserve"> змінами, а також асоційованість цього зв’язку з варіантами гена </w:t>
      </w:r>
      <w:r w:rsidRPr="00520861">
        <w:rPr>
          <w:bCs/>
          <w:i/>
          <w:kern w:val="36"/>
          <w:sz w:val="28"/>
          <w:szCs w:val="28"/>
        </w:rPr>
        <w:t>ESR1: -397 T&gt;C (</w:t>
      </w:r>
      <w:proofErr w:type="spellStart"/>
      <w:r w:rsidRPr="00520861">
        <w:rPr>
          <w:bCs/>
          <w:i/>
          <w:kern w:val="36"/>
          <w:sz w:val="28"/>
          <w:szCs w:val="28"/>
        </w:rPr>
        <w:t>PvuII</w:t>
      </w:r>
      <w:proofErr w:type="spellEnd"/>
      <w:r w:rsidRPr="00520861">
        <w:rPr>
          <w:bCs/>
          <w:i/>
          <w:kern w:val="36"/>
          <w:sz w:val="28"/>
          <w:szCs w:val="28"/>
        </w:rPr>
        <w:t xml:space="preserve">) </w:t>
      </w:r>
      <w:r w:rsidRPr="00520861">
        <w:rPr>
          <w:bCs/>
          <w:kern w:val="36"/>
          <w:sz w:val="28"/>
          <w:szCs w:val="28"/>
        </w:rPr>
        <w:t xml:space="preserve">[rs2234693] </w:t>
      </w:r>
      <w:r w:rsidRPr="00520861">
        <w:rPr>
          <w:sz w:val="28"/>
          <w:szCs w:val="28"/>
          <w:lang w:eastAsia="en-US"/>
        </w:rPr>
        <w:t xml:space="preserve">дослідили </w:t>
      </w:r>
      <w:proofErr w:type="spellStart"/>
      <w:r w:rsidRPr="00520861">
        <w:rPr>
          <w:sz w:val="28"/>
          <w:szCs w:val="28"/>
          <w:lang w:eastAsia="en-US"/>
        </w:rPr>
        <w:t>Zhang</w:t>
      </w:r>
      <w:proofErr w:type="spellEnd"/>
      <w:r w:rsidRPr="00520861">
        <w:rPr>
          <w:sz w:val="28"/>
          <w:szCs w:val="28"/>
          <w:lang w:eastAsia="en-US"/>
        </w:rPr>
        <w:t xml:space="preserve"> </w:t>
      </w:r>
      <w:r w:rsidR="00B82228" w:rsidRPr="00520861">
        <w:rPr>
          <w:sz w:val="28"/>
          <w:szCs w:val="28"/>
          <w:lang w:eastAsia="en-US"/>
        </w:rPr>
        <w:t>X. </w:t>
      </w:r>
      <w:r w:rsidRPr="00520861">
        <w:rPr>
          <w:sz w:val="28"/>
          <w:szCs w:val="28"/>
          <w:lang w:eastAsia="en-US"/>
        </w:rPr>
        <w:t xml:space="preserve">та співавтори </w:t>
      </w:r>
      <w:r w:rsidRPr="00520861">
        <w:rPr>
          <w:bCs/>
          <w:sz w:val="28"/>
          <w:szCs w:val="28"/>
          <w:lang w:eastAsia="en-US"/>
        </w:rPr>
        <w:t>[</w:t>
      </w:r>
      <w:r w:rsidR="001D67D5" w:rsidRPr="00520861">
        <w:rPr>
          <w:bCs/>
          <w:sz w:val="28"/>
          <w:szCs w:val="28"/>
          <w:lang w:eastAsia="en-US"/>
        </w:rPr>
        <w:t>589</w:t>
      </w:r>
      <w:r w:rsidRPr="00520861">
        <w:rPr>
          <w:bCs/>
          <w:sz w:val="28"/>
          <w:szCs w:val="28"/>
          <w:lang w:eastAsia="en-US"/>
        </w:rPr>
        <w:t>]</w:t>
      </w:r>
      <w:r w:rsidRPr="00520861">
        <w:rPr>
          <w:sz w:val="28"/>
          <w:szCs w:val="28"/>
          <w:lang w:eastAsia="en-US"/>
        </w:rPr>
        <w:t xml:space="preserve">. Науковці довели, що у жінок – носіїв генотипу TT, які хворі на хронічний </w:t>
      </w:r>
      <w:proofErr w:type="spellStart"/>
      <w:r w:rsidRPr="00520861">
        <w:rPr>
          <w:sz w:val="28"/>
          <w:szCs w:val="28"/>
          <w:lang w:eastAsia="en-US"/>
        </w:rPr>
        <w:t>пародонтит</w:t>
      </w:r>
      <w:proofErr w:type="spellEnd"/>
      <w:r w:rsidRPr="00520861">
        <w:rPr>
          <w:sz w:val="28"/>
          <w:szCs w:val="28"/>
          <w:lang w:eastAsia="en-US"/>
        </w:rPr>
        <w:t xml:space="preserve">, у </w:t>
      </w:r>
      <w:proofErr w:type="spellStart"/>
      <w:r w:rsidRPr="00520861">
        <w:rPr>
          <w:sz w:val="28"/>
          <w:szCs w:val="28"/>
          <w:lang w:eastAsia="en-US"/>
        </w:rPr>
        <w:t>післяменопаузальному</w:t>
      </w:r>
      <w:proofErr w:type="spellEnd"/>
      <w:r w:rsidRPr="00520861">
        <w:rPr>
          <w:sz w:val="28"/>
          <w:szCs w:val="28"/>
          <w:lang w:eastAsia="en-US"/>
        </w:rPr>
        <w:t xml:space="preserve"> </w:t>
      </w:r>
      <w:r w:rsidR="00F16775" w:rsidRPr="00520861">
        <w:rPr>
          <w:sz w:val="28"/>
          <w:szCs w:val="28"/>
          <w:lang w:eastAsia="en-US"/>
        </w:rPr>
        <w:br/>
      </w:r>
      <w:r w:rsidRPr="00520861">
        <w:rPr>
          <w:sz w:val="28"/>
          <w:szCs w:val="28"/>
          <w:lang w:eastAsia="en-US"/>
        </w:rPr>
        <w:lastRenderedPageBreak/>
        <w:t xml:space="preserve">періоді, порівняно з </w:t>
      </w:r>
      <w:proofErr w:type="spellStart"/>
      <w:r w:rsidRPr="00520861">
        <w:rPr>
          <w:sz w:val="28"/>
          <w:szCs w:val="28"/>
          <w:lang w:eastAsia="en-US"/>
        </w:rPr>
        <w:t>доменопаузальним</w:t>
      </w:r>
      <w:proofErr w:type="spellEnd"/>
      <w:r w:rsidRPr="00520861">
        <w:rPr>
          <w:sz w:val="28"/>
          <w:szCs w:val="28"/>
          <w:lang w:eastAsia="en-US"/>
        </w:rPr>
        <w:t xml:space="preserve">, вірогідно знижується мінеральна щільність кісткової тканини трикутника </w:t>
      </w:r>
      <w:proofErr w:type="spellStart"/>
      <w:r w:rsidRPr="00520861">
        <w:rPr>
          <w:sz w:val="28"/>
          <w:szCs w:val="28"/>
          <w:lang w:eastAsia="en-US"/>
        </w:rPr>
        <w:t>Варда</w:t>
      </w:r>
      <w:proofErr w:type="spellEnd"/>
      <w:r w:rsidRPr="00520861">
        <w:rPr>
          <w:sz w:val="28"/>
          <w:szCs w:val="28"/>
          <w:lang w:eastAsia="en-US"/>
        </w:rPr>
        <w:t>.</w:t>
      </w:r>
    </w:p>
    <w:p w14:paraId="273F9A81" w14:textId="77777777" w:rsidR="005B2BAD" w:rsidRPr="00520861" w:rsidRDefault="005B2BAD" w:rsidP="00292D2E">
      <w:pPr>
        <w:widowControl w:val="0"/>
        <w:spacing w:line="360" w:lineRule="auto"/>
        <w:ind w:firstLine="851"/>
        <w:jc w:val="both"/>
        <w:rPr>
          <w:sz w:val="28"/>
          <w:szCs w:val="28"/>
        </w:rPr>
      </w:pPr>
      <w:r w:rsidRPr="00520861">
        <w:rPr>
          <w:rFonts w:eastAsia="Calibri"/>
          <w:sz w:val="28"/>
          <w:szCs w:val="28"/>
        </w:rPr>
        <w:t xml:space="preserve">Отже, пошук генетичних </w:t>
      </w:r>
      <w:proofErr w:type="spellStart"/>
      <w:r w:rsidRPr="00520861">
        <w:rPr>
          <w:rFonts w:eastAsia="Calibri"/>
          <w:sz w:val="28"/>
          <w:szCs w:val="28"/>
        </w:rPr>
        <w:t>предикторів</w:t>
      </w:r>
      <w:proofErr w:type="spellEnd"/>
      <w:r w:rsidRPr="00520861">
        <w:rPr>
          <w:rFonts w:eastAsia="Calibri"/>
          <w:sz w:val="28"/>
          <w:szCs w:val="28"/>
        </w:rPr>
        <w:t xml:space="preserve"> п</w:t>
      </w:r>
      <w:r w:rsidR="00DC4FE2" w:rsidRPr="00520861">
        <w:rPr>
          <w:rFonts w:eastAsia="Calibri"/>
          <w:sz w:val="28"/>
          <w:szCs w:val="28"/>
        </w:rPr>
        <w:t>орушень СГС</w:t>
      </w:r>
      <w:r w:rsidRPr="00520861">
        <w:rPr>
          <w:rFonts w:eastAsia="Calibri"/>
          <w:sz w:val="28"/>
          <w:szCs w:val="28"/>
        </w:rPr>
        <w:t xml:space="preserve">, карієсу тимчасових та постійних зубів та </w:t>
      </w:r>
      <w:proofErr w:type="spellStart"/>
      <w:r w:rsidRPr="00520861">
        <w:rPr>
          <w:rFonts w:eastAsia="Calibri"/>
          <w:sz w:val="28"/>
          <w:szCs w:val="28"/>
        </w:rPr>
        <w:t>хвороб</w:t>
      </w:r>
      <w:proofErr w:type="spellEnd"/>
      <w:r w:rsidRPr="00520861">
        <w:rPr>
          <w:rFonts w:eastAsia="Calibri"/>
          <w:sz w:val="28"/>
          <w:szCs w:val="28"/>
        </w:rPr>
        <w:t xml:space="preserve"> тк</w:t>
      </w:r>
      <w:r w:rsidR="00DC4FE2" w:rsidRPr="00520861">
        <w:rPr>
          <w:rFonts w:eastAsia="Calibri"/>
          <w:sz w:val="28"/>
          <w:szCs w:val="28"/>
        </w:rPr>
        <w:t xml:space="preserve">анин </w:t>
      </w:r>
      <w:proofErr w:type="spellStart"/>
      <w:r w:rsidR="00DC4FE2" w:rsidRPr="00520861">
        <w:rPr>
          <w:rFonts w:eastAsia="Calibri"/>
          <w:sz w:val="28"/>
          <w:szCs w:val="28"/>
        </w:rPr>
        <w:t>пародонта</w:t>
      </w:r>
      <w:proofErr w:type="spellEnd"/>
      <w:r w:rsidR="00DC4FE2" w:rsidRPr="00520861">
        <w:rPr>
          <w:rFonts w:eastAsia="Calibri"/>
          <w:sz w:val="28"/>
          <w:szCs w:val="28"/>
        </w:rPr>
        <w:t xml:space="preserve"> </w:t>
      </w:r>
      <w:r w:rsidRPr="00520861">
        <w:rPr>
          <w:rFonts w:eastAsia="Calibri"/>
          <w:sz w:val="28"/>
          <w:szCs w:val="28"/>
        </w:rPr>
        <w:t xml:space="preserve">серед </w:t>
      </w:r>
      <w:proofErr w:type="spellStart"/>
      <w:r w:rsidRPr="00520861">
        <w:rPr>
          <w:rFonts w:eastAsia="Calibri"/>
          <w:sz w:val="28"/>
          <w:szCs w:val="28"/>
        </w:rPr>
        <w:t>поліморфізмів</w:t>
      </w:r>
      <w:proofErr w:type="spellEnd"/>
      <w:r w:rsidRPr="00520861">
        <w:rPr>
          <w:rFonts w:eastAsia="Calibri"/>
          <w:sz w:val="28"/>
          <w:szCs w:val="28"/>
        </w:rPr>
        <w:t xml:space="preserve"> генів, </w:t>
      </w:r>
      <w:r w:rsidR="008359A1" w:rsidRPr="00520861">
        <w:rPr>
          <w:rFonts w:eastAsia="Calibri"/>
          <w:sz w:val="28"/>
          <w:szCs w:val="28"/>
        </w:rPr>
        <w:br/>
      </w:r>
      <w:r w:rsidRPr="00520861">
        <w:rPr>
          <w:rFonts w:eastAsia="Calibri"/>
          <w:sz w:val="28"/>
          <w:szCs w:val="28"/>
        </w:rPr>
        <w:t xml:space="preserve">відповідальних за формування та </w:t>
      </w:r>
      <w:proofErr w:type="spellStart"/>
      <w:r w:rsidRPr="00520861">
        <w:rPr>
          <w:rFonts w:eastAsia="Calibri"/>
          <w:sz w:val="28"/>
          <w:szCs w:val="28"/>
        </w:rPr>
        <w:t>ремоделювання</w:t>
      </w:r>
      <w:proofErr w:type="spellEnd"/>
      <w:r w:rsidRPr="00520861">
        <w:rPr>
          <w:rFonts w:eastAsia="Calibri"/>
          <w:sz w:val="28"/>
          <w:szCs w:val="28"/>
        </w:rPr>
        <w:t xml:space="preserve"> кісткової </w:t>
      </w:r>
      <w:r w:rsidR="00991143" w:rsidRPr="00520861">
        <w:rPr>
          <w:rFonts w:eastAsia="Calibri"/>
          <w:sz w:val="28"/>
          <w:szCs w:val="28"/>
        </w:rPr>
        <w:t xml:space="preserve">тканини в осіб, які народилися </w:t>
      </w:r>
      <w:r w:rsidRPr="00520861">
        <w:rPr>
          <w:rFonts w:eastAsia="Calibri"/>
          <w:sz w:val="28"/>
          <w:szCs w:val="28"/>
        </w:rPr>
        <w:t xml:space="preserve">з </w:t>
      </w:r>
      <w:proofErr w:type="spellStart"/>
      <w:r w:rsidRPr="00520861">
        <w:rPr>
          <w:rFonts w:eastAsia="Calibri"/>
          <w:sz w:val="28"/>
          <w:szCs w:val="28"/>
        </w:rPr>
        <w:t>макросомією</w:t>
      </w:r>
      <w:proofErr w:type="spellEnd"/>
      <w:r w:rsidRPr="00520861">
        <w:rPr>
          <w:rFonts w:eastAsia="Calibri"/>
          <w:sz w:val="28"/>
          <w:szCs w:val="28"/>
        </w:rPr>
        <w:t>, становить науковий інтерес.</w:t>
      </w:r>
    </w:p>
    <w:p w14:paraId="4E16FED6" w14:textId="77777777" w:rsidR="00941784" w:rsidRPr="00520861" w:rsidRDefault="005B2BAD" w:rsidP="00292D2E">
      <w:pPr>
        <w:widowControl w:val="0"/>
        <w:spacing w:line="360" w:lineRule="auto"/>
        <w:ind w:firstLine="851"/>
        <w:jc w:val="both"/>
        <w:rPr>
          <w:bCs/>
          <w:sz w:val="28"/>
          <w:szCs w:val="28"/>
          <w:lang w:eastAsia="en-US"/>
        </w:rPr>
      </w:pPr>
      <w:r w:rsidRPr="00520861">
        <w:rPr>
          <w:sz w:val="28"/>
          <w:szCs w:val="28"/>
        </w:rPr>
        <w:t xml:space="preserve">Після </w:t>
      </w:r>
      <w:r w:rsidRPr="00520861">
        <w:rPr>
          <w:rFonts w:eastAsia="Calibri"/>
          <w:sz w:val="28"/>
          <w:szCs w:val="28"/>
        </w:rPr>
        <w:t>аналізу літературних джерел, у якості</w:t>
      </w:r>
      <w:r w:rsidR="00174453" w:rsidRPr="00520861">
        <w:rPr>
          <w:rFonts w:eastAsia="Calibri"/>
          <w:sz w:val="28"/>
          <w:szCs w:val="28"/>
        </w:rPr>
        <w:t xml:space="preserve"> </w:t>
      </w:r>
      <w:r w:rsidRPr="00520861">
        <w:rPr>
          <w:rFonts w:eastAsia="Calibri"/>
          <w:sz w:val="28"/>
          <w:szCs w:val="28"/>
        </w:rPr>
        <w:t xml:space="preserve">оптимальних генів-кандидатів для </w:t>
      </w:r>
      <w:r w:rsidRPr="00520861">
        <w:rPr>
          <w:sz w:val="28"/>
          <w:szCs w:val="28"/>
        </w:rPr>
        <w:t xml:space="preserve">пошуку генетичних </w:t>
      </w:r>
      <w:proofErr w:type="spellStart"/>
      <w:r w:rsidRPr="00520861">
        <w:rPr>
          <w:sz w:val="28"/>
          <w:szCs w:val="28"/>
        </w:rPr>
        <w:t>предикторів</w:t>
      </w:r>
      <w:proofErr w:type="spellEnd"/>
      <w:r w:rsidRPr="00520861">
        <w:rPr>
          <w:sz w:val="28"/>
          <w:szCs w:val="28"/>
        </w:rPr>
        <w:t xml:space="preserve"> формува</w:t>
      </w:r>
      <w:r w:rsidR="00DC4FE2" w:rsidRPr="00520861">
        <w:rPr>
          <w:sz w:val="28"/>
          <w:szCs w:val="28"/>
        </w:rPr>
        <w:t>ння порушень СГС</w:t>
      </w:r>
      <w:r w:rsidRPr="00520861">
        <w:rPr>
          <w:sz w:val="28"/>
          <w:szCs w:val="28"/>
        </w:rPr>
        <w:t xml:space="preserve"> та прорізування тимчасових зубів зокрема, а </w:t>
      </w:r>
      <w:r w:rsidR="00862F4B" w:rsidRPr="00520861">
        <w:rPr>
          <w:sz w:val="28"/>
          <w:szCs w:val="28"/>
        </w:rPr>
        <w:t>також карієсу тимчасових зубів в</w:t>
      </w:r>
      <w:r w:rsidR="00991143" w:rsidRPr="00520861">
        <w:rPr>
          <w:sz w:val="28"/>
          <w:szCs w:val="28"/>
        </w:rPr>
        <w:t xml:space="preserve"> осіб, які народилися </w:t>
      </w:r>
      <w:r w:rsidRPr="00520861">
        <w:rPr>
          <w:sz w:val="28"/>
          <w:szCs w:val="28"/>
        </w:rPr>
        <w:t xml:space="preserve">з </w:t>
      </w:r>
      <w:proofErr w:type="spellStart"/>
      <w:r w:rsidRPr="00520861">
        <w:rPr>
          <w:sz w:val="28"/>
          <w:szCs w:val="28"/>
        </w:rPr>
        <w:t>макросомією</w:t>
      </w:r>
      <w:proofErr w:type="spellEnd"/>
      <w:r w:rsidRPr="00520861">
        <w:rPr>
          <w:sz w:val="28"/>
          <w:szCs w:val="28"/>
        </w:rPr>
        <w:t xml:space="preserve">, </w:t>
      </w:r>
      <w:r w:rsidRPr="00520861">
        <w:rPr>
          <w:rFonts w:eastAsia="Calibri"/>
          <w:sz w:val="28"/>
          <w:szCs w:val="28"/>
        </w:rPr>
        <w:t xml:space="preserve">були обрані варіанти генів </w:t>
      </w:r>
      <w:r w:rsidRPr="00520861">
        <w:rPr>
          <w:rFonts w:eastAsia="Calibri"/>
          <w:i/>
          <w:sz w:val="28"/>
          <w:szCs w:val="28"/>
        </w:rPr>
        <w:t xml:space="preserve">CYP19A1, ESR1, </w:t>
      </w:r>
      <w:r w:rsidRPr="00520861">
        <w:rPr>
          <w:rFonts w:eastAsia="Calibri"/>
          <w:bCs/>
          <w:i/>
          <w:sz w:val="28"/>
          <w:szCs w:val="28"/>
        </w:rPr>
        <w:t>RANKL, IL1, IL6</w:t>
      </w:r>
      <w:r w:rsidRPr="00520861">
        <w:rPr>
          <w:rFonts w:eastAsia="Calibri"/>
          <w:bCs/>
          <w:sz w:val="28"/>
          <w:szCs w:val="28"/>
        </w:rPr>
        <w:t xml:space="preserve"> та </w:t>
      </w:r>
      <w:r w:rsidRPr="00520861">
        <w:rPr>
          <w:rFonts w:eastAsia="Calibri"/>
          <w:bCs/>
          <w:i/>
          <w:sz w:val="28"/>
          <w:szCs w:val="28"/>
        </w:rPr>
        <w:t>IL10</w:t>
      </w:r>
      <w:r w:rsidRPr="00520861">
        <w:rPr>
          <w:rFonts w:eastAsia="Calibri"/>
          <w:bCs/>
          <w:sz w:val="28"/>
          <w:szCs w:val="28"/>
        </w:rPr>
        <w:t xml:space="preserve">, які у взаємодії регулюють формування, ріст та </w:t>
      </w:r>
      <w:proofErr w:type="spellStart"/>
      <w:r w:rsidRPr="00520861">
        <w:rPr>
          <w:rFonts w:eastAsia="Calibri"/>
          <w:bCs/>
          <w:sz w:val="28"/>
          <w:szCs w:val="28"/>
        </w:rPr>
        <w:t>ремоделювання</w:t>
      </w:r>
      <w:proofErr w:type="spellEnd"/>
      <w:r w:rsidRPr="00520861">
        <w:rPr>
          <w:rFonts w:eastAsia="Calibri"/>
          <w:bCs/>
          <w:sz w:val="28"/>
          <w:szCs w:val="28"/>
        </w:rPr>
        <w:t xml:space="preserve"> кісткової тканини.</w:t>
      </w:r>
      <w:r w:rsidR="00955CAC" w:rsidRPr="00520861">
        <w:rPr>
          <w:rFonts w:eastAsia="Calibri"/>
          <w:bCs/>
          <w:sz w:val="28"/>
          <w:szCs w:val="28"/>
        </w:rPr>
        <w:br/>
      </w:r>
      <w:r w:rsidR="00DD72EF" w:rsidRPr="00520861">
        <w:rPr>
          <w:rFonts w:eastAsia="Calibri"/>
          <w:sz w:val="28"/>
          <w:szCs w:val="28"/>
        </w:rPr>
        <w:t xml:space="preserve">А </w:t>
      </w:r>
      <w:r w:rsidR="00955CAC" w:rsidRPr="00520861">
        <w:rPr>
          <w:rFonts w:eastAsia="Calibri"/>
          <w:sz w:val="28"/>
          <w:szCs w:val="28"/>
        </w:rPr>
        <w:t>в</w:t>
      </w:r>
      <w:r w:rsidRPr="00520861">
        <w:rPr>
          <w:rFonts w:eastAsia="Calibri"/>
          <w:sz w:val="28"/>
          <w:szCs w:val="28"/>
        </w:rPr>
        <w:t xml:space="preserve"> процес формування карієсу пос</w:t>
      </w:r>
      <w:r w:rsidR="00952102" w:rsidRPr="00520861">
        <w:rPr>
          <w:rFonts w:eastAsia="Calibri"/>
          <w:sz w:val="28"/>
          <w:szCs w:val="28"/>
        </w:rPr>
        <w:t xml:space="preserve">тійних зубів та </w:t>
      </w:r>
      <w:proofErr w:type="spellStart"/>
      <w:r w:rsidR="00952102" w:rsidRPr="00520861">
        <w:rPr>
          <w:rFonts w:eastAsia="Calibri"/>
          <w:sz w:val="28"/>
          <w:szCs w:val="28"/>
        </w:rPr>
        <w:t>хвороб</w:t>
      </w:r>
      <w:proofErr w:type="spellEnd"/>
      <w:r w:rsidR="00952102" w:rsidRPr="00520861">
        <w:rPr>
          <w:rFonts w:eastAsia="Calibri"/>
          <w:sz w:val="28"/>
          <w:szCs w:val="28"/>
        </w:rPr>
        <w:t xml:space="preserve"> </w:t>
      </w:r>
      <w:proofErr w:type="spellStart"/>
      <w:r w:rsidR="00952102" w:rsidRPr="00520861">
        <w:rPr>
          <w:rFonts w:eastAsia="Calibri"/>
          <w:sz w:val="28"/>
          <w:szCs w:val="28"/>
        </w:rPr>
        <w:t>пародонта</w:t>
      </w:r>
      <w:proofErr w:type="spellEnd"/>
      <w:r w:rsidRPr="00520861">
        <w:rPr>
          <w:rFonts w:eastAsia="Calibri"/>
          <w:sz w:val="28"/>
          <w:szCs w:val="28"/>
        </w:rPr>
        <w:t xml:space="preserve"> в осіб, які на</w:t>
      </w:r>
      <w:r w:rsidR="00991143" w:rsidRPr="00520861">
        <w:rPr>
          <w:rFonts w:eastAsia="Calibri"/>
          <w:sz w:val="28"/>
          <w:szCs w:val="28"/>
        </w:rPr>
        <w:t>родилися</w:t>
      </w:r>
      <w:r w:rsidRPr="00520861">
        <w:rPr>
          <w:rFonts w:eastAsia="Calibri"/>
          <w:sz w:val="28"/>
          <w:szCs w:val="28"/>
        </w:rPr>
        <w:t xml:space="preserve"> </w:t>
      </w:r>
      <w:proofErr w:type="spellStart"/>
      <w:r w:rsidRPr="00520861">
        <w:rPr>
          <w:rFonts w:eastAsia="Calibri"/>
          <w:sz w:val="28"/>
          <w:szCs w:val="28"/>
        </w:rPr>
        <w:t>макросомами</w:t>
      </w:r>
      <w:proofErr w:type="spellEnd"/>
      <w:r w:rsidRPr="00520861">
        <w:rPr>
          <w:rFonts w:eastAsia="Calibri"/>
          <w:sz w:val="28"/>
          <w:szCs w:val="28"/>
        </w:rPr>
        <w:t xml:space="preserve">, можуть бути залучені </w:t>
      </w:r>
      <w:proofErr w:type="spellStart"/>
      <w:r w:rsidRPr="00520861">
        <w:rPr>
          <w:rFonts w:eastAsia="Calibri"/>
          <w:sz w:val="28"/>
          <w:szCs w:val="28"/>
        </w:rPr>
        <w:t>поліморфізми</w:t>
      </w:r>
      <w:proofErr w:type="spellEnd"/>
      <w:r w:rsidRPr="00520861">
        <w:rPr>
          <w:rFonts w:eastAsia="Calibri"/>
          <w:sz w:val="28"/>
          <w:szCs w:val="28"/>
        </w:rPr>
        <w:t xml:space="preserve"> генів </w:t>
      </w:r>
      <w:r w:rsidRPr="00520861">
        <w:rPr>
          <w:i/>
          <w:sz w:val="28"/>
          <w:szCs w:val="28"/>
          <w:lang w:eastAsia="en-US"/>
        </w:rPr>
        <w:t>CYP19A1, ESR1,</w:t>
      </w:r>
      <w:r w:rsidRPr="00520861">
        <w:rPr>
          <w:bCs/>
          <w:i/>
          <w:sz w:val="28"/>
          <w:szCs w:val="28"/>
          <w:lang w:eastAsia="en-US"/>
        </w:rPr>
        <w:t xml:space="preserve"> RANKL,</w:t>
      </w:r>
      <w:r w:rsidRPr="00520861">
        <w:rPr>
          <w:i/>
          <w:sz w:val="28"/>
          <w:szCs w:val="28"/>
          <w:lang w:eastAsia="en-US"/>
        </w:rPr>
        <w:t xml:space="preserve"> </w:t>
      </w:r>
      <w:r w:rsidRPr="00520861">
        <w:rPr>
          <w:bCs/>
          <w:i/>
          <w:sz w:val="28"/>
          <w:szCs w:val="28"/>
          <w:lang w:eastAsia="en-US"/>
        </w:rPr>
        <w:t>IL-1</w:t>
      </w:r>
      <w:r w:rsidRPr="00520861">
        <w:rPr>
          <w:i/>
          <w:sz w:val="28"/>
          <w:szCs w:val="28"/>
          <w:lang w:eastAsia="en-US"/>
        </w:rPr>
        <w:sym w:font="Symbol" w:char="F062"/>
      </w:r>
      <w:r w:rsidRPr="00520861">
        <w:rPr>
          <w:bCs/>
          <w:i/>
          <w:sz w:val="28"/>
          <w:szCs w:val="28"/>
          <w:lang w:eastAsia="en-US"/>
        </w:rPr>
        <w:t>, IL-6, IL-10</w:t>
      </w:r>
      <w:r w:rsidR="000E723B" w:rsidRPr="00520861">
        <w:rPr>
          <w:bCs/>
          <w:i/>
          <w:sz w:val="28"/>
          <w:szCs w:val="28"/>
          <w:lang w:eastAsia="en-US"/>
        </w:rPr>
        <w:t>,</w:t>
      </w:r>
      <w:r w:rsidRPr="00520861">
        <w:rPr>
          <w:sz w:val="28"/>
          <w:szCs w:val="28"/>
          <w:lang w:eastAsia="en-US"/>
        </w:rPr>
        <w:t xml:space="preserve"> </w:t>
      </w:r>
      <w:r w:rsidRPr="00520861">
        <w:rPr>
          <w:i/>
          <w:sz w:val="28"/>
          <w:szCs w:val="28"/>
          <w:lang w:eastAsia="en-US"/>
        </w:rPr>
        <w:t>VDR</w:t>
      </w:r>
      <w:r w:rsidR="000E723B" w:rsidRPr="00520861">
        <w:rPr>
          <w:bCs/>
          <w:sz w:val="28"/>
          <w:szCs w:val="28"/>
          <w:lang w:eastAsia="en-US"/>
        </w:rPr>
        <w:t xml:space="preserve"> та</w:t>
      </w:r>
      <w:r w:rsidR="000E723B" w:rsidRPr="00520861">
        <w:rPr>
          <w:i/>
          <w:sz w:val="28"/>
          <w:szCs w:val="28"/>
        </w:rPr>
        <w:t xml:space="preserve"> BMP7</w:t>
      </w:r>
      <w:r w:rsidRPr="00520861">
        <w:rPr>
          <w:i/>
          <w:sz w:val="28"/>
          <w:szCs w:val="28"/>
          <w:lang w:eastAsia="en-US"/>
        </w:rPr>
        <w:t>,</w:t>
      </w:r>
      <w:r w:rsidRPr="00520861">
        <w:rPr>
          <w:bCs/>
          <w:sz w:val="28"/>
          <w:szCs w:val="28"/>
          <w:lang w:eastAsia="en-US"/>
        </w:rPr>
        <w:t xml:space="preserve"> які</w:t>
      </w:r>
      <w:r w:rsidR="00E84F1C" w:rsidRPr="00520861">
        <w:rPr>
          <w:bCs/>
          <w:sz w:val="28"/>
          <w:szCs w:val="28"/>
          <w:lang w:eastAsia="en-US"/>
        </w:rPr>
        <w:t xml:space="preserve">, </w:t>
      </w:r>
      <w:proofErr w:type="spellStart"/>
      <w:r w:rsidR="00E84F1C" w:rsidRPr="00520861">
        <w:rPr>
          <w:bCs/>
          <w:sz w:val="28"/>
          <w:szCs w:val="28"/>
          <w:lang w:eastAsia="en-US"/>
        </w:rPr>
        <w:t>взаємодіючи</w:t>
      </w:r>
      <w:proofErr w:type="spellEnd"/>
      <w:r w:rsidR="00E84F1C" w:rsidRPr="00520861">
        <w:rPr>
          <w:bCs/>
          <w:sz w:val="28"/>
          <w:szCs w:val="28"/>
          <w:lang w:eastAsia="en-US"/>
        </w:rPr>
        <w:t xml:space="preserve"> між собою, в</w:t>
      </w:r>
      <w:r w:rsidRPr="00520861">
        <w:rPr>
          <w:bCs/>
          <w:sz w:val="28"/>
          <w:szCs w:val="28"/>
          <w:lang w:eastAsia="en-US"/>
        </w:rPr>
        <w:t>п</w:t>
      </w:r>
      <w:r w:rsidR="00093206" w:rsidRPr="00520861">
        <w:rPr>
          <w:bCs/>
          <w:sz w:val="28"/>
          <w:szCs w:val="28"/>
          <w:lang w:eastAsia="en-US"/>
        </w:rPr>
        <w:t>л</w:t>
      </w:r>
      <w:r w:rsidRPr="00520861">
        <w:rPr>
          <w:bCs/>
          <w:sz w:val="28"/>
          <w:szCs w:val="28"/>
          <w:lang w:eastAsia="en-US"/>
        </w:rPr>
        <w:t xml:space="preserve">ивають на формування твердих тканин зубів, регулюють </w:t>
      </w:r>
      <w:proofErr w:type="spellStart"/>
      <w:r w:rsidRPr="00520861">
        <w:rPr>
          <w:bCs/>
          <w:sz w:val="28"/>
          <w:szCs w:val="28"/>
          <w:lang w:eastAsia="en-US"/>
        </w:rPr>
        <w:t>цитокіновий</w:t>
      </w:r>
      <w:proofErr w:type="spellEnd"/>
      <w:r w:rsidRPr="00520861">
        <w:rPr>
          <w:bCs/>
          <w:sz w:val="28"/>
          <w:szCs w:val="28"/>
          <w:lang w:eastAsia="en-US"/>
        </w:rPr>
        <w:t xml:space="preserve"> баланс, </w:t>
      </w:r>
      <w:proofErr w:type="spellStart"/>
      <w:r w:rsidRPr="00520861">
        <w:rPr>
          <w:bCs/>
          <w:sz w:val="28"/>
          <w:szCs w:val="28"/>
          <w:lang w:eastAsia="en-US"/>
        </w:rPr>
        <w:t>ремоделювання</w:t>
      </w:r>
      <w:proofErr w:type="spellEnd"/>
      <w:r w:rsidRPr="00520861">
        <w:rPr>
          <w:bCs/>
          <w:sz w:val="28"/>
          <w:szCs w:val="28"/>
          <w:lang w:eastAsia="en-US"/>
        </w:rPr>
        <w:t xml:space="preserve"> кісткової </w:t>
      </w:r>
      <w:r w:rsidR="000C2DBD" w:rsidRPr="00520861">
        <w:rPr>
          <w:bCs/>
          <w:sz w:val="28"/>
          <w:szCs w:val="28"/>
          <w:lang w:eastAsia="en-US"/>
        </w:rPr>
        <w:t xml:space="preserve">тканини щелеп і тканин </w:t>
      </w:r>
      <w:proofErr w:type="spellStart"/>
      <w:r w:rsidR="000C2DBD" w:rsidRPr="00520861">
        <w:rPr>
          <w:bCs/>
          <w:sz w:val="28"/>
          <w:szCs w:val="28"/>
          <w:lang w:eastAsia="en-US"/>
        </w:rPr>
        <w:t>пародонта</w:t>
      </w:r>
      <w:proofErr w:type="spellEnd"/>
      <w:r w:rsidRPr="00520861">
        <w:rPr>
          <w:bCs/>
          <w:sz w:val="28"/>
          <w:szCs w:val="28"/>
          <w:lang w:eastAsia="en-US"/>
        </w:rPr>
        <w:t xml:space="preserve"> зокрема.</w:t>
      </w:r>
    </w:p>
    <w:p w14:paraId="633B2584" w14:textId="77777777" w:rsidR="001A46C0" w:rsidRPr="00520861" w:rsidRDefault="009D17F7" w:rsidP="00292D2E">
      <w:pPr>
        <w:widowControl w:val="0"/>
        <w:spacing w:line="360" w:lineRule="auto"/>
        <w:ind w:firstLine="851"/>
        <w:jc w:val="both"/>
        <w:rPr>
          <w:bCs/>
          <w:sz w:val="28"/>
          <w:szCs w:val="28"/>
          <w:lang w:eastAsia="en-US"/>
        </w:rPr>
      </w:pPr>
      <w:r w:rsidRPr="00520861">
        <w:rPr>
          <w:bCs/>
          <w:sz w:val="28"/>
          <w:szCs w:val="28"/>
          <w:lang w:eastAsia="en-US"/>
        </w:rPr>
        <w:t>Підсумовуючи вищевикладене</w:t>
      </w:r>
      <w:r w:rsidR="009D066C" w:rsidRPr="00520861">
        <w:rPr>
          <w:bCs/>
          <w:sz w:val="28"/>
          <w:szCs w:val="28"/>
          <w:lang w:eastAsia="en-US"/>
        </w:rPr>
        <w:t>,</w:t>
      </w:r>
      <w:r w:rsidR="00077D3B" w:rsidRPr="00520861">
        <w:rPr>
          <w:bCs/>
          <w:sz w:val="28"/>
          <w:szCs w:val="28"/>
          <w:lang w:eastAsia="en-US"/>
        </w:rPr>
        <w:t xml:space="preserve"> слід констатувати, що до</w:t>
      </w:r>
      <w:r w:rsidRPr="00520861">
        <w:rPr>
          <w:bCs/>
          <w:sz w:val="28"/>
          <w:szCs w:val="28"/>
          <w:lang w:eastAsia="en-US"/>
        </w:rPr>
        <w:t xml:space="preserve">тепер </w:t>
      </w:r>
      <w:r w:rsidR="005407D0" w:rsidRPr="00520861">
        <w:rPr>
          <w:bCs/>
          <w:sz w:val="28"/>
          <w:szCs w:val="28"/>
          <w:lang w:eastAsia="en-US"/>
        </w:rPr>
        <w:t xml:space="preserve">не досліджені особливості </w:t>
      </w:r>
      <w:r w:rsidR="008B1877" w:rsidRPr="00520861">
        <w:rPr>
          <w:bCs/>
          <w:sz w:val="28"/>
          <w:szCs w:val="28"/>
          <w:lang w:eastAsia="en-US"/>
        </w:rPr>
        <w:t>перебігу</w:t>
      </w:r>
      <w:r w:rsidR="005407D0" w:rsidRPr="00520861">
        <w:rPr>
          <w:bCs/>
          <w:sz w:val="28"/>
          <w:szCs w:val="28"/>
          <w:lang w:eastAsia="en-US"/>
        </w:rPr>
        <w:t xml:space="preserve"> стоматологічних захворювань </w:t>
      </w:r>
      <w:r w:rsidR="00077D3B" w:rsidRPr="00520861">
        <w:rPr>
          <w:bCs/>
          <w:sz w:val="28"/>
          <w:szCs w:val="28"/>
          <w:lang w:eastAsia="en-US"/>
        </w:rPr>
        <w:t>в</w:t>
      </w:r>
      <w:r w:rsidR="008819CC" w:rsidRPr="00520861">
        <w:rPr>
          <w:bCs/>
          <w:sz w:val="28"/>
          <w:szCs w:val="28"/>
          <w:lang w:eastAsia="en-US"/>
        </w:rPr>
        <w:t xml:space="preserve"> </w:t>
      </w:r>
      <w:r w:rsidR="00991143" w:rsidRPr="00520861">
        <w:rPr>
          <w:bCs/>
          <w:sz w:val="28"/>
          <w:szCs w:val="28"/>
          <w:lang w:eastAsia="en-US"/>
        </w:rPr>
        <w:t>осіб, які народилися</w:t>
      </w:r>
      <w:r w:rsidRPr="00520861">
        <w:rPr>
          <w:bCs/>
          <w:sz w:val="28"/>
          <w:szCs w:val="28"/>
          <w:lang w:eastAsia="en-US"/>
        </w:rPr>
        <w:t xml:space="preserve"> </w:t>
      </w:r>
      <w:proofErr w:type="spellStart"/>
      <w:r w:rsidRPr="00520861">
        <w:rPr>
          <w:bCs/>
          <w:sz w:val="28"/>
          <w:szCs w:val="28"/>
          <w:lang w:eastAsia="en-US"/>
        </w:rPr>
        <w:t>макросомами</w:t>
      </w:r>
      <w:proofErr w:type="spellEnd"/>
      <w:r w:rsidR="00077D3B" w:rsidRPr="00520861">
        <w:rPr>
          <w:bCs/>
          <w:sz w:val="28"/>
          <w:szCs w:val="28"/>
          <w:lang w:eastAsia="en-US"/>
        </w:rPr>
        <w:t>,</w:t>
      </w:r>
      <w:r w:rsidR="008819CC" w:rsidRPr="00520861">
        <w:rPr>
          <w:bCs/>
          <w:sz w:val="28"/>
          <w:szCs w:val="28"/>
          <w:lang w:eastAsia="en-US"/>
        </w:rPr>
        <w:t xml:space="preserve"> </w:t>
      </w:r>
      <w:r w:rsidR="00077D3B" w:rsidRPr="00520861">
        <w:rPr>
          <w:bCs/>
          <w:sz w:val="28"/>
          <w:szCs w:val="28"/>
          <w:lang w:eastAsia="en-US"/>
        </w:rPr>
        <w:t>у</w:t>
      </w:r>
      <w:r w:rsidR="005407D0" w:rsidRPr="00520861">
        <w:rPr>
          <w:bCs/>
          <w:sz w:val="28"/>
          <w:szCs w:val="28"/>
          <w:lang w:eastAsia="en-US"/>
        </w:rPr>
        <w:t xml:space="preserve"> залежності від </w:t>
      </w:r>
      <w:r w:rsidR="008819CC" w:rsidRPr="00520861">
        <w:rPr>
          <w:bCs/>
          <w:sz w:val="28"/>
          <w:szCs w:val="28"/>
          <w:lang w:eastAsia="en-US"/>
        </w:rPr>
        <w:t>їх антропоме</w:t>
      </w:r>
      <w:r w:rsidR="008460F9" w:rsidRPr="00520861">
        <w:rPr>
          <w:bCs/>
          <w:sz w:val="28"/>
          <w:szCs w:val="28"/>
          <w:lang w:eastAsia="en-US"/>
        </w:rPr>
        <w:t xml:space="preserve">тричних показників на момент народження, </w:t>
      </w:r>
      <w:r w:rsidR="00E859B4" w:rsidRPr="00520861">
        <w:rPr>
          <w:bCs/>
          <w:sz w:val="28"/>
          <w:szCs w:val="28"/>
          <w:lang w:eastAsia="en-US"/>
        </w:rPr>
        <w:t>а саме від в</w:t>
      </w:r>
      <w:r w:rsidR="008460F9" w:rsidRPr="00520861">
        <w:rPr>
          <w:bCs/>
          <w:sz w:val="28"/>
          <w:szCs w:val="28"/>
          <w:lang w:eastAsia="en-US"/>
        </w:rPr>
        <w:t>нутрішньоутробного</w:t>
      </w:r>
      <w:r w:rsidR="00174453" w:rsidRPr="00520861">
        <w:rPr>
          <w:bCs/>
          <w:sz w:val="28"/>
          <w:szCs w:val="28"/>
          <w:lang w:eastAsia="en-US"/>
        </w:rPr>
        <w:t xml:space="preserve"> </w:t>
      </w:r>
      <w:r w:rsidR="008460F9" w:rsidRPr="00520861">
        <w:rPr>
          <w:bCs/>
          <w:sz w:val="28"/>
          <w:szCs w:val="28"/>
          <w:lang w:eastAsia="en-US"/>
        </w:rPr>
        <w:t>гармонійного розвитку, відносної внутрішньоутробної недостатності маси тіла чи надмірної маси тіла (за даними професора Грищенка та</w:t>
      </w:r>
      <w:r w:rsidR="00E859B4" w:rsidRPr="00520861">
        <w:rPr>
          <w:bCs/>
          <w:sz w:val="28"/>
          <w:szCs w:val="28"/>
          <w:lang w:eastAsia="en-US"/>
        </w:rPr>
        <w:t xml:space="preserve"> співавторів – в</w:t>
      </w:r>
      <w:r w:rsidR="008460F9" w:rsidRPr="00520861">
        <w:rPr>
          <w:bCs/>
          <w:sz w:val="28"/>
          <w:szCs w:val="28"/>
          <w:lang w:eastAsia="en-US"/>
        </w:rPr>
        <w:t>нутрішньоутробного ожиріння).</w:t>
      </w:r>
      <w:r w:rsidR="008819CC" w:rsidRPr="00520861">
        <w:rPr>
          <w:bCs/>
          <w:sz w:val="28"/>
          <w:szCs w:val="28"/>
          <w:lang w:eastAsia="en-US"/>
        </w:rPr>
        <w:t xml:space="preserve"> Не висвітлені</w:t>
      </w:r>
      <w:r w:rsidR="00174453" w:rsidRPr="00520861">
        <w:rPr>
          <w:bCs/>
          <w:sz w:val="28"/>
          <w:szCs w:val="28"/>
          <w:lang w:eastAsia="en-US"/>
        </w:rPr>
        <w:t xml:space="preserve"> </w:t>
      </w:r>
      <w:r w:rsidR="008819CC" w:rsidRPr="00520861">
        <w:rPr>
          <w:bCs/>
          <w:sz w:val="28"/>
          <w:szCs w:val="28"/>
          <w:lang w:eastAsia="en-US"/>
        </w:rPr>
        <w:t xml:space="preserve">питання </w:t>
      </w:r>
      <w:r w:rsidRPr="00520861">
        <w:rPr>
          <w:bCs/>
          <w:sz w:val="28"/>
          <w:szCs w:val="28"/>
          <w:lang w:eastAsia="en-US"/>
        </w:rPr>
        <w:t xml:space="preserve">діагностики та </w:t>
      </w:r>
      <w:r w:rsidR="008819CC" w:rsidRPr="00520861">
        <w:rPr>
          <w:bCs/>
          <w:sz w:val="28"/>
          <w:szCs w:val="28"/>
          <w:lang w:eastAsia="en-US"/>
        </w:rPr>
        <w:t>прогнозування стоматологічних порушень</w:t>
      </w:r>
      <w:r w:rsidRPr="00520861">
        <w:rPr>
          <w:bCs/>
          <w:sz w:val="28"/>
          <w:szCs w:val="28"/>
          <w:lang w:eastAsia="en-US"/>
        </w:rPr>
        <w:t xml:space="preserve"> у таких осіб</w:t>
      </w:r>
      <w:r w:rsidR="008819CC" w:rsidRPr="00520861">
        <w:rPr>
          <w:bCs/>
          <w:sz w:val="28"/>
          <w:szCs w:val="28"/>
          <w:lang w:eastAsia="en-US"/>
        </w:rPr>
        <w:t>.</w:t>
      </w:r>
      <w:r w:rsidRPr="00520861">
        <w:rPr>
          <w:bCs/>
          <w:sz w:val="28"/>
          <w:szCs w:val="28"/>
          <w:lang w:eastAsia="en-US"/>
        </w:rPr>
        <w:t xml:space="preserve"> </w:t>
      </w:r>
      <w:r w:rsidR="0068683A" w:rsidRPr="00520861">
        <w:rPr>
          <w:bCs/>
          <w:sz w:val="28"/>
          <w:szCs w:val="28"/>
          <w:lang w:eastAsia="en-US"/>
        </w:rPr>
        <w:t>Невирішеність вищезазначених</w:t>
      </w:r>
      <w:r w:rsidRPr="00520861">
        <w:rPr>
          <w:bCs/>
          <w:sz w:val="28"/>
          <w:szCs w:val="28"/>
          <w:lang w:eastAsia="en-US"/>
        </w:rPr>
        <w:t xml:space="preserve"> питань обу</w:t>
      </w:r>
      <w:r w:rsidR="00895CF3" w:rsidRPr="00520861">
        <w:rPr>
          <w:bCs/>
          <w:sz w:val="28"/>
          <w:szCs w:val="28"/>
          <w:lang w:eastAsia="en-US"/>
        </w:rPr>
        <w:t>м</w:t>
      </w:r>
      <w:r w:rsidR="0068683A" w:rsidRPr="00520861">
        <w:rPr>
          <w:bCs/>
          <w:sz w:val="28"/>
          <w:szCs w:val="28"/>
          <w:lang w:eastAsia="en-US"/>
        </w:rPr>
        <w:t>овлює доцільність проведення таких</w:t>
      </w:r>
      <w:r w:rsidR="00895CF3" w:rsidRPr="00520861">
        <w:rPr>
          <w:bCs/>
          <w:sz w:val="28"/>
          <w:szCs w:val="28"/>
          <w:lang w:eastAsia="en-US"/>
        </w:rPr>
        <w:t xml:space="preserve"> досліджень</w:t>
      </w:r>
      <w:r w:rsidRPr="00520861">
        <w:rPr>
          <w:bCs/>
          <w:sz w:val="28"/>
          <w:szCs w:val="28"/>
          <w:lang w:eastAsia="en-US"/>
        </w:rPr>
        <w:t>.</w:t>
      </w:r>
    </w:p>
    <w:p w14:paraId="6F1B279F" w14:textId="77777777" w:rsidR="00E46AA8" w:rsidRPr="00520861" w:rsidRDefault="009D17F7" w:rsidP="00292D2E">
      <w:pPr>
        <w:widowControl w:val="0"/>
        <w:tabs>
          <w:tab w:val="left" w:pos="4111"/>
        </w:tabs>
        <w:spacing w:line="360" w:lineRule="auto"/>
        <w:ind w:firstLine="709"/>
        <w:jc w:val="both"/>
        <w:rPr>
          <w:rFonts w:eastAsia="Calibri"/>
          <w:spacing w:val="-1"/>
          <w:sz w:val="28"/>
          <w:szCs w:val="28"/>
          <w:lang w:eastAsia="en-US"/>
        </w:rPr>
      </w:pPr>
      <w:r w:rsidRPr="00520861">
        <w:rPr>
          <w:spacing w:val="-1"/>
          <w:sz w:val="28"/>
          <w:szCs w:val="28"/>
        </w:rPr>
        <w:t>Діагностичні та прогностичні критерії</w:t>
      </w:r>
      <w:r w:rsidR="00077D3B" w:rsidRPr="00520861">
        <w:rPr>
          <w:spacing w:val="-1"/>
          <w:sz w:val="28"/>
          <w:szCs w:val="28"/>
        </w:rPr>
        <w:t>,</w:t>
      </w:r>
      <w:r w:rsidRPr="00520861">
        <w:rPr>
          <w:rFonts w:eastAsia="Calibri"/>
          <w:spacing w:val="-1"/>
          <w:sz w:val="28"/>
          <w:szCs w:val="28"/>
          <w:lang w:eastAsia="en-US"/>
        </w:rPr>
        <w:t xml:space="preserve"> які треба розроб</w:t>
      </w:r>
      <w:r w:rsidR="00077D3B" w:rsidRPr="00520861">
        <w:rPr>
          <w:rFonts w:eastAsia="Calibri"/>
          <w:spacing w:val="-1"/>
          <w:sz w:val="28"/>
          <w:szCs w:val="28"/>
          <w:lang w:eastAsia="en-US"/>
        </w:rPr>
        <w:t>и</w:t>
      </w:r>
      <w:r w:rsidRPr="00520861">
        <w:rPr>
          <w:rFonts w:eastAsia="Calibri"/>
          <w:spacing w:val="-1"/>
          <w:sz w:val="28"/>
          <w:szCs w:val="28"/>
          <w:lang w:eastAsia="en-US"/>
        </w:rPr>
        <w:t>ти</w:t>
      </w:r>
      <w:r w:rsidR="00077D3B" w:rsidRPr="00520861">
        <w:rPr>
          <w:rFonts w:eastAsia="Calibri"/>
          <w:spacing w:val="-1"/>
          <w:sz w:val="28"/>
          <w:szCs w:val="28"/>
          <w:lang w:eastAsia="en-US"/>
        </w:rPr>
        <w:t>,</w:t>
      </w:r>
      <w:r w:rsidRPr="00520861">
        <w:rPr>
          <w:rFonts w:eastAsia="Calibri"/>
          <w:spacing w:val="-1"/>
          <w:sz w:val="28"/>
          <w:szCs w:val="28"/>
          <w:lang w:eastAsia="en-US"/>
        </w:rPr>
        <w:t xml:space="preserve"> </w:t>
      </w:r>
      <w:r w:rsidRPr="00520861">
        <w:rPr>
          <w:spacing w:val="-1"/>
          <w:sz w:val="28"/>
          <w:szCs w:val="28"/>
        </w:rPr>
        <w:t>будуть</w:t>
      </w:r>
      <w:r w:rsidR="00077D3B" w:rsidRPr="00520861">
        <w:rPr>
          <w:rFonts w:eastAsia="Calibri"/>
          <w:spacing w:val="-1"/>
          <w:sz w:val="28"/>
          <w:szCs w:val="28"/>
          <w:lang w:eastAsia="en-US"/>
        </w:rPr>
        <w:t xml:space="preserve"> використані </w:t>
      </w:r>
      <w:r w:rsidRPr="00520861">
        <w:rPr>
          <w:rFonts w:eastAsia="Calibri"/>
          <w:spacing w:val="-1"/>
          <w:sz w:val="28"/>
          <w:szCs w:val="28"/>
          <w:lang w:eastAsia="en-US"/>
        </w:rPr>
        <w:t xml:space="preserve">з метою передбачення стоматологічних порушень в </w:t>
      </w:r>
      <w:r w:rsidR="00604A80" w:rsidRPr="00520861">
        <w:rPr>
          <w:rFonts w:eastAsia="Calibri"/>
          <w:spacing w:val="-1"/>
          <w:sz w:val="28"/>
          <w:szCs w:val="28"/>
          <w:lang w:eastAsia="en-US"/>
        </w:rPr>
        <w:t>осіб, які народилися</w:t>
      </w:r>
      <w:r w:rsidRPr="00520861">
        <w:rPr>
          <w:rFonts w:eastAsia="Calibri"/>
          <w:spacing w:val="-1"/>
          <w:sz w:val="28"/>
          <w:szCs w:val="28"/>
          <w:lang w:eastAsia="en-US"/>
        </w:rPr>
        <w:t xml:space="preserve"> </w:t>
      </w:r>
      <w:proofErr w:type="spellStart"/>
      <w:r w:rsidRPr="00520861">
        <w:rPr>
          <w:rFonts w:eastAsia="Calibri"/>
          <w:spacing w:val="-1"/>
          <w:sz w:val="28"/>
          <w:szCs w:val="28"/>
          <w:lang w:eastAsia="en-US"/>
        </w:rPr>
        <w:t>макросомами</w:t>
      </w:r>
      <w:proofErr w:type="spellEnd"/>
      <w:r w:rsidR="00077D3B" w:rsidRPr="00520861">
        <w:rPr>
          <w:rFonts w:eastAsia="Calibri"/>
          <w:spacing w:val="-1"/>
          <w:sz w:val="28"/>
          <w:szCs w:val="28"/>
          <w:lang w:eastAsia="en-US"/>
        </w:rPr>
        <w:t>,</w:t>
      </w:r>
      <w:r w:rsidRPr="00520861">
        <w:rPr>
          <w:rFonts w:eastAsia="Calibri"/>
          <w:spacing w:val="-1"/>
          <w:sz w:val="28"/>
          <w:szCs w:val="28"/>
          <w:lang w:eastAsia="en-US"/>
        </w:rPr>
        <w:t xml:space="preserve"> </w:t>
      </w:r>
      <w:r w:rsidRPr="00520861">
        <w:rPr>
          <w:spacing w:val="-1"/>
          <w:sz w:val="28"/>
          <w:szCs w:val="28"/>
        </w:rPr>
        <w:t xml:space="preserve">та </w:t>
      </w:r>
      <w:r w:rsidRPr="00520861">
        <w:rPr>
          <w:rFonts w:eastAsia="Calibri"/>
          <w:spacing w:val="-1"/>
          <w:sz w:val="28"/>
          <w:szCs w:val="28"/>
          <w:lang w:eastAsia="en-US"/>
        </w:rPr>
        <w:t>можуть бути підґрунтям для вдосконалення наявних профілактичних</w:t>
      </w:r>
      <w:r w:rsidR="00D03BAA" w:rsidRPr="00520861">
        <w:rPr>
          <w:rFonts w:eastAsia="Calibri"/>
          <w:spacing w:val="-1"/>
          <w:sz w:val="28"/>
          <w:szCs w:val="28"/>
          <w:lang w:eastAsia="en-US"/>
        </w:rPr>
        <w:t xml:space="preserve"> програм та розробки</w:t>
      </w:r>
      <w:r w:rsidRPr="00520861">
        <w:rPr>
          <w:rFonts w:eastAsia="Calibri"/>
          <w:spacing w:val="-1"/>
          <w:sz w:val="28"/>
          <w:szCs w:val="28"/>
          <w:lang w:eastAsia="en-US"/>
        </w:rPr>
        <w:t xml:space="preserve"> персоналізованих профілактичних заходів</w:t>
      </w:r>
      <w:r w:rsidR="00077D3B" w:rsidRPr="00520861">
        <w:rPr>
          <w:rFonts w:eastAsia="Calibri"/>
          <w:spacing w:val="-1"/>
          <w:sz w:val="28"/>
          <w:szCs w:val="28"/>
          <w:lang w:eastAsia="en-US"/>
        </w:rPr>
        <w:t>,</w:t>
      </w:r>
      <w:r w:rsidRPr="00520861">
        <w:rPr>
          <w:rFonts w:eastAsia="Calibri"/>
          <w:spacing w:val="-1"/>
          <w:sz w:val="28"/>
          <w:szCs w:val="28"/>
          <w:lang w:eastAsia="en-US"/>
        </w:rPr>
        <w:t xml:space="preserve"> спрямованих на збереження стоматологічного здоров’я осіб із </w:t>
      </w:r>
      <w:proofErr w:type="spellStart"/>
      <w:r w:rsidRPr="00520861">
        <w:rPr>
          <w:rFonts w:eastAsia="Calibri"/>
          <w:spacing w:val="-1"/>
          <w:sz w:val="28"/>
          <w:szCs w:val="28"/>
          <w:lang w:eastAsia="en-US"/>
        </w:rPr>
        <w:t>перинатальною</w:t>
      </w:r>
      <w:proofErr w:type="spellEnd"/>
      <w:r w:rsidRPr="00520861">
        <w:rPr>
          <w:rFonts w:eastAsia="Calibri"/>
          <w:spacing w:val="-1"/>
          <w:sz w:val="28"/>
          <w:szCs w:val="28"/>
          <w:lang w:eastAsia="en-US"/>
        </w:rPr>
        <w:t xml:space="preserve"> патологією в анамнезі.</w:t>
      </w:r>
    </w:p>
    <w:p w14:paraId="7FCBE376" w14:textId="77777777" w:rsidR="00F16775" w:rsidRPr="00520861" w:rsidRDefault="00F16775" w:rsidP="00292D2E">
      <w:pPr>
        <w:widowControl w:val="0"/>
        <w:tabs>
          <w:tab w:val="left" w:pos="4111"/>
        </w:tabs>
        <w:spacing w:line="360" w:lineRule="auto"/>
        <w:ind w:firstLine="709"/>
        <w:jc w:val="both"/>
        <w:rPr>
          <w:rFonts w:eastAsia="Calibri"/>
          <w:spacing w:val="-1"/>
          <w:sz w:val="28"/>
          <w:szCs w:val="28"/>
          <w:lang w:eastAsia="en-US"/>
        </w:rPr>
      </w:pPr>
    </w:p>
    <w:p w14:paraId="4BE22ADD" w14:textId="77777777" w:rsidR="00CF641C" w:rsidRPr="00520861" w:rsidRDefault="00CF641C" w:rsidP="00292D2E">
      <w:pPr>
        <w:widowControl w:val="0"/>
        <w:spacing w:after="160" w:line="259" w:lineRule="auto"/>
        <w:jc w:val="center"/>
        <w:rPr>
          <w:rFonts w:eastAsia="Calibri"/>
          <w:b/>
          <w:sz w:val="28"/>
          <w:szCs w:val="28"/>
          <w:lang w:eastAsia="en-US"/>
        </w:rPr>
      </w:pPr>
      <w:r w:rsidRPr="00520861">
        <w:rPr>
          <w:rFonts w:eastAsia="Calibri"/>
          <w:b/>
          <w:sz w:val="28"/>
          <w:szCs w:val="28"/>
          <w:lang w:eastAsia="en-US"/>
        </w:rPr>
        <w:lastRenderedPageBreak/>
        <w:t>РОЗДІЛ 2</w:t>
      </w:r>
    </w:p>
    <w:p w14:paraId="3E934A02" w14:textId="77777777" w:rsidR="00CF641C" w:rsidRPr="00520861" w:rsidRDefault="00CF641C" w:rsidP="00292D2E">
      <w:pPr>
        <w:widowControl w:val="0"/>
        <w:spacing w:after="160" w:line="259" w:lineRule="auto"/>
        <w:jc w:val="center"/>
        <w:rPr>
          <w:rFonts w:eastAsia="Calibri"/>
          <w:b/>
          <w:sz w:val="28"/>
          <w:szCs w:val="28"/>
          <w:lang w:eastAsia="en-US"/>
        </w:rPr>
      </w:pPr>
    </w:p>
    <w:p w14:paraId="338B13E1" w14:textId="77777777" w:rsidR="00CF641C" w:rsidRPr="00520861" w:rsidRDefault="00CF641C" w:rsidP="00292D2E">
      <w:pPr>
        <w:widowControl w:val="0"/>
        <w:spacing w:after="160" w:line="259" w:lineRule="auto"/>
        <w:jc w:val="center"/>
        <w:rPr>
          <w:rFonts w:eastAsia="Calibri"/>
          <w:b/>
          <w:sz w:val="28"/>
          <w:szCs w:val="28"/>
          <w:lang w:eastAsia="en-US"/>
        </w:rPr>
      </w:pPr>
    </w:p>
    <w:p w14:paraId="798680D1" w14:textId="77777777" w:rsidR="00CF641C" w:rsidRPr="00520861" w:rsidRDefault="00CF641C" w:rsidP="00292D2E">
      <w:pPr>
        <w:widowControl w:val="0"/>
        <w:tabs>
          <w:tab w:val="left" w:pos="0"/>
        </w:tabs>
        <w:spacing w:line="360" w:lineRule="auto"/>
        <w:jc w:val="center"/>
        <w:rPr>
          <w:b/>
          <w:sz w:val="28"/>
          <w:szCs w:val="28"/>
        </w:rPr>
      </w:pPr>
      <w:r w:rsidRPr="00520861">
        <w:rPr>
          <w:b/>
          <w:sz w:val="28"/>
          <w:szCs w:val="28"/>
        </w:rPr>
        <w:t>ОБ’ЄКТИ ТА МЕТОДИ ДОСЛІДЖЕННЯ</w:t>
      </w:r>
    </w:p>
    <w:p w14:paraId="3808C936" w14:textId="77777777" w:rsidR="00CF641C" w:rsidRPr="00520861" w:rsidRDefault="00CF641C" w:rsidP="00292D2E">
      <w:pPr>
        <w:widowControl w:val="0"/>
        <w:spacing w:after="160" w:line="259" w:lineRule="auto"/>
        <w:jc w:val="center"/>
        <w:rPr>
          <w:rFonts w:eastAsia="Calibri"/>
          <w:b/>
          <w:sz w:val="28"/>
          <w:szCs w:val="28"/>
          <w:lang w:eastAsia="en-US"/>
        </w:rPr>
      </w:pPr>
    </w:p>
    <w:p w14:paraId="441BFD0D" w14:textId="77777777" w:rsidR="00CF641C" w:rsidRPr="00520861" w:rsidRDefault="00CF641C" w:rsidP="00292D2E">
      <w:pPr>
        <w:widowControl w:val="0"/>
        <w:spacing w:after="160" w:line="259" w:lineRule="auto"/>
        <w:ind w:left="709"/>
        <w:jc w:val="both"/>
        <w:rPr>
          <w:rFonts w:eastAsia="Calibri"/>
          <w:b/>
          <w:sz w:val="28"/>
          <w:szCs w:val="28"/>
          <w:lang w:eastAsia="en-US"/>
        </w:rPr>
      </w:pPr>
      <w:r w:rsidRPr="00520861">
        <w:rPr>
          <w:rFonts w:eastAsia="Calibri"/>
          <w:b/>
          <w:sz w:val="28"/>
          <w:szCs w:val="28"/>
          <w:lang w:eastAsia="en-US"/>
        </w:rPr>
        <w:t>2.1. Програма та дизайн дослідження</w:t>
      </w:r>
    </w:p>
    <w:p w14:paraId="00C7ACCD" w14:textId="77777777" w:rsidR="00CF641C" w:rsidRPr="00520861" w:rsidRDefault="00CF641C" w:rsidP="00292D2E">
      <w:pPr>
        <w:widowControl w:val="0"/>
        <w:spacing w:after="160" w:line="259" w:lineRule="auto"/>
        <w:jc w:val="both"/>
        <w:rPr>
          <w:rFonts w:eastAsia="Calibri"/>
          <w:b/>
          <w:sz w:val="28"/>
          <w:szCs w:val="28"/>
          <w:lang w:eastAsia="en-US"/>
        </w:rPr>
      </w:pPr>
    </w:p>
    <w:p w14:paraId="073CD61F" w14:textId="77777777" w:rsidR="00CF641C" w:rsidRPr="00520861" w:rsidRDefault="00CF641C" w:rsidP="00292D2E">
      <w:pPr>
        <w:widowControl w:val="0"/>
        <w:spacing w:line="360" w:lineRule="auto"/>
        <w:ind w:firstLine="708"/>
        <w:jc w:val="both"/>
        <w:rPr>
          <w:rFonts w:eastAsia="Calibri"/>
          <w:spacing w:val="-2"/>
          <w:sz w:val="28"/>
          <w:szCs w:val="28"/>
          <w:lang w:eastAsia="en-US"/>
        </w:rPr>
      </w:pPr>
      <w:r w:rsidRPr="00520861">
        <w:rPr>
          <w:rFonts w:eastAsia="Calibri"/>
          <w:spacing w:val="-2"/>
          <w:sz w:val="28"/>
          <w:szCs w:val="28"/>
          <w:lang w:eastAsia="en-US"/>
        </w:rPr>
        <w:t>Для досягнення мети та виконання поставлених завдань була розроблена та впроваджена наукова програма дослідження, яке було проведене у 2014 – 2020 роках.</w:t>
      </w:r>
    </w:p>
    <w:p w14:paraId="43EF05BB"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дослідженні брали участь особи популяції Харківської області й </w:t>
      </w:r>
      <w:r w:rsidRPr="00520861">
        <w:rPr>
          <w:rFonts w:eastAsia="Calibri"/>
          <w:sz w:val="28"/>
          <w:szCs w:val="28"/>
          <w:lang w:eastAsia="en-US"/>
        </w:rPr>
        <w:br/>
        <w:t>прилеглих (Донецької та Луганської) областей.</w:t>
      </w:r>
    </w:p>
    <w:p w14:paraId="43BBAB31"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 </w:t>
      </w:r>
      <w:r w:rsidRPr="00520861">
        <w:rPr>
          <w:rFonts w:eastAsia="Calibri"/>
          <w:i/>
          <w:sz w:val="28"/>
          <w:szCs w:val="28"/>
          <w:lang w:eastAsia="en-US"/>
        </w:rPr>
        <w:t>експериментальному</w:t>
      </w:r>
      <w:r w:rsidRPr="00520861">
        <w:rPr>
          <w:rFonts w:eastAsia="Calibri"/>
          <w:sz w:val="28"/>
          <w:szCs w:val="28"/>
          <w:lang w:eastAsia="en-US"/>
        </w:rPr>
        <w:t xml:space="preserve"> напрямі дослідження на 202 лабораторних тваринах (основні групи (</w:t>
      </w:r>
      <w:r w:rsidRPr="00520861">
        <w:rPr>
          <w:rFonts w:eastAsia="Calibri"/>
          <w:i/>
          <w:sz w:val="28"/>
          <w:szCs w:val="28"/>
          <w:lang w:eastAsia="en-US"/>
        </w:rPr>
        <w:t>n</w:t>
      </w:r>
      <w:r w:rsidRPr="00520861">
        <w:rPr>
          <w:rFonts w:eastAsia="Calibri"/>
          <w:sz w:val="28"/>
          <w:szCs w:val="28"/>
          <w:lang w:eastAsia="en-US"/>
        </w:rPr>
        <w:t>=162), контрольна група (</w:t>
      </w:r>
      <w:r w:rsidRPr="00520861">
        <w:rPr>
          <w:rFonts w:eastAsia="Calibri"/>
          <w:i/>
          <w:sz w:val="28"/>
          <w:szCs w:val="28"/>
          <w:lang w:eastAsia="en-US"/>
        </w:rPr>
        <w:t>n</w:t>
      </w:r>
      <w:r w:rsidRPr="00520861">
        <w:rPr>
          <w:rFonts w:eastAsia="Calibri"/>
          <w:sz w:val="28"/>
          <w:szCs w:val="28"/>
          <w:lang w:eastAsia="en-US"/>
        </w:rPr>
        <w:t xml:space="preserve">=40)) вивчено ланки патогенезу ВУ </w:t>
      </w:r>
      <w:r w:rsidRPr="00520861">
        <w:rPr>
          <w:rFonts w:eastAsia="Calibri"/>
          <w:sz w:val="28"/>
          <w:szCs w:val="28"/>
          <w:lang w:eastAsia="en-US"/>
        </w:rPr>
        <w:br/>
        <w:t xml:space="preserve">формування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при експериментально змодельованій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 з урахуванням </w:t>
      </w:r>
      <w:proofErr w:type="spellStart"/>
      <w:r w:rsidRPr="00520861">
        <w:rPr>
          <w:rFonts w:eastAsia="Calibri"/>
          <w:sz w:val="28"/>
          <w:szCs w:val="28"/>
          <w:lang w:eastAsia="en-US"/>
        </w:rPr>
        <w:t>соматометричних</w:t>
      </w:r>
      <w:proofErr w:type="spellEnd"/>
      <w:r w:rsidRPr="00520861">
        <w:rPr>
          <w:rFonts w:eastAsia="Calibri"/>
          <w:sz w:val="28"/>
          <w:szCs w:val="28"/>
          <w:lang w:eastAsia="en-US"/>
        </w:rPr>
        <w:t xml:space="preserve"> показників тварин на момент народження.</w:t>
      </w:r>
    </w:p>
    <w:p w14:paraId="11A34747"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В</w:t>
      </w:r>
      <w:r w:rsidRPr="00520861">
        <w:rPr>
          <w:rFonts w:eastAsia="Calibri"/>
          <w:b/>
          <w:sz w:val="28"/>
          <w:szCs w:val="28"/>
          <w:lang w:eastAsia="en-US"/>
        </w:rPr>
        <w:t xml:space="preserve"> </w:t>
      </w:r>
      <w:r w:rsidRPr="00520861">
        <w:rPr>
          <w:rFonts w:eastAsia="Calibri"/>
          <w:i/>
          <w:sz w:val="28"/>
          <w:szCs w:val="28"/>
          <w:lang w:eastAsia="en-US"/>
        </w:rPr>
        <w:t>анамнестичному</w:t>
      </w:r>
      <w:r w:rsidRPr="00520861">
        <w:rPr>
          <w:rFonts w:eastAsia="Calibri"/>
          <w:sz w:val="28"/>
          <w:szCs w:val="28"/>
          <w:lang w:eastAsia="en-US"/>
        </w:rPr>
        <w:t xml:space="preserve"> напрямі дослідження (опитування)</w:t>
      </w:r>
      <w:r w:rsidRPr="00520861">
        <w:rPr>
          <w:rFonts w:eastAsia="Calibri"/>
          <w:b/>
          <w:sz w:val="28"/>
          <w:szCs w:val="28"/>
          <w:lang w:eastAsia="en-US"/>
        </w:rPr>
        <w:t xml:space="preserve"> </w:t>
      </w:r>
      <w:r w:rsidRPr="00520861">
        <w:rPr>
          <w:rFonts w:eastAsia="Calibri"/>
          <w:sz w:val="28"/>
          <w:szCs w:val="28"/>
          <w:lang w:eastAsia="en-US"/>
        </w:rPr>
        <w:t xml:space="preserve">оцінено ризик </w:t>
      </w:r>
      <w:r w:rsidRPr="00520861">
        <w:rPr>
          <w:rFonts w:eastAsia="Calibri"/>
          <w:sz w:val="28"/>
          <w:szCs w:val="28"/>
          <w:lang w:eastAsia="en-US"/>
        </w:rPr>
        <w:br/>
        <w:t xml:space="preserve">виникнення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у 515 осіб різного віку. У період між 2014 та 2019 роками були опитані батьки 151 новонародженої дитини чи дитини грудного віку (ДГВ): основна група (ОГ) –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при народженні (далі по тексту дисертації –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w:t>
      </w:r>
      <w:r w:rsidRPr="00520861">
        <w:rPr>
          <w:rFonts w:eastAsia="Calibri"/>
          <w:i/>
          <w:sz w:val="28"/>
          <w:szCs w:val="28"/>
          <w:lang w:eastAsia="en-US"/>
        </w:rPr>
        <w:t>n</w:t>
      </w:r>
      <w:r w:rsidRPr="00520861">
        <w:rPr>
          <w:rFonts w:eastAsia="Calibri"/>
          <w:sz w:val="28"/>
          <w:szCs w:val="28"/>
          <w:lang w:eastAsia="en-US"/>
        </w:rPr>
        <w:t xml:space="preserve">=68, група порівняння (ГП) – </w:t>
      </w:r>
      <w:proofErr w:type="spellStart"/>
      <w:r w:rsidRPr="00520861">
        <w:rPr>
          <w:rFonts w:eastAsia="Calibri"/>
          <w:sz w:val="28"/>
          <w:szCs w:val="28"/>
          <w:lang w:eastAsia="en-US"/>
        </w:rPr>
        <w:t>нормосоми</w:t>
      </w:r>
      <w:proofErr w:type="spellEnd"/>
      <w:r w:rsidRPr="00520861">
        <w:rPr>
          <w:rFonts w:eastAsia="Calibri"/>
          <w:sz w:val="28"/>
          <w:szCs w:val="28"/>
          <w:lang w:eastAsia="en-US"/>
        </w:rPr>
        <w:t xml:space="preserve"> при народженні (далі по тексту дисертації – </w:t>
      </w:r>
      <w:proofErr w:type="spellStart"/>
      <w:r w:rsidRPr="00520861">
        <w:rPr>
          <w:rFonts w:eastAsia="Calibri"/>
          <w:sz w:val="28"/>
          <w:szCs w:val="28"/>
          <w:lang w:eastAsia="en-US"/>
        </w:rPr>
        <w:t>нормосоми</w:t>
      </w:r>
      <w:proofErr w:type="spellEnd"/>
      <w:r w:rsidRPr="00520861">
        <w:rPr>
          <w:rFonts w:eastAsia="Calibri"/>
          <w:sz w:val="28"/>
          <w:szCs w:val="28"/>
          <w:lang w:eastAsia="en-US"/>
        </w:rPr>
        <w:t xml:space="preserve">) </w:t>
      </w:r>
      <w:r w:rsidRPr="00520861">
        <w:rPr>
          <w:rFonts w:eastAsia="Calibri"/>
          <w:i/>
          <w:sz w:val="28"/>
          <w:szCs w:val="28"/>
          <w:lang w:eastAsia="en-US"/>
        </w:rPr>
        <w:t>n</w:t>
      </w:r>
      <w:r w:rsidRPr="00520861">
        <w:rPr>
          <w:rFonts w:eastAsia="Calibri"/>
          <w:sz w:val="28"/>
          <w:szCs w:val="28"/>
          <w:lang w:eastAsia="en-US"/>
        </w:rPr>
        <w:t xml:space="preserve">=83; батьки 123 дітей чи підлітків віком від 4 до 17 років (ОГ </w:t>
      </w:r>
      <w:r w:rsidRPr="00520861">
        <w:rPr>
          <w:rFonts w:eastAsia="Calibri"/>
          <w:i/>
          <w:sz w:val="28"/>
          <w:szCs w:val="28"/>
          <w:lang w:eastAsia="en-US"/>
        </w:rPr>
        <w:t>n</w:t>
      </w:r>
      <w:r w:rsidRPr="00520861">
        <w:rPr>
          <w:rFonts w:eastAsia="Calibri"/>
          <w:sz w:val="28"/>
          <w:szCs w:val="28"/>
          <w:lang w:eastAsia="en-US"/>
        </w:rPr>
        <w:t xml:space="preserve">=82, ГП </w:t>
      </w:r>
      <w:r w:rsidRPr="00520861">
        <w:rPr>
          <w:rFonts w:eastAsia="Calibri"/>
          <w:i/>
          <w:sz w:val="28"/>
          <w:szCs w:val="28"/>
          <w:lang w:eastAsia="en-US"/>
        </w:rPr>
        <w:t>n</w:t>
      </w:r>
      <w:r w:rsidRPr="00520861">
        <w:rPr>
          <w:rFonts w:eastAsia="Calibri"/>
          <w:sz w:val="28"/>
          <w:szCs w:val="28"/>
          <w:lang w:eastAsia="en-US"/>
        </w:rPr>
        <w:t xml:space="preserve">=41) та 241 особа віком від 18 до 55 років (ОГ </w:t>
      </w:r>
      <w:r w:rsidRPr="00520861">
        <w:rPr>
          <w:rFonts w:eastAsia="Calibri"/>
          <w:i/>
          <w:sz w:val="28"/>
          <w:szCs w:val="28"/>
          <w:lang w:eastAsia="en-US"/>
        </w:rPr>
        <w:t>n</w:t>
      </w:r>
      <w:r w:rsidRPr="00520861">
        <w:rPr>
          <w:rFonts w:eastAsia="Calibri"/>
          <w:sz w:val="28"/>
          <w:szCs w:val="28"/>
          <w:lang w:eastAsia="en-US"/>
        </w:rPr>
        <w:t xml:space="preserve">=114, ГП </w:t>
      </w:r>
      <w:r w:rsidRPr="00520861">
        <w:rPr>
          <w:rFonts w:eastAsia="Calibri"/>
          <w:i/>
          <w:sz w:val="28"/>
          <w:szCs w:val="28"/>
          <w:lang w:eastAsia="en-US"/>
        </w:rPr>
        <w:t>n</w:t>
      </w:r>
      <w:r w:rsidRPr="00520861">
        <w:rPr>
          <w:rFonts w:eastAsia="Calibri"/>
          <w:sz w:val="28"/>
          <w:szCs w:val="28"/>
          <w:lang w:eastAsia="en-US"/>
        </w:rPr>
        <w:t xml:space="preserve">=127). Основна група в усіх категоріях опитаних була розділена на 4 підгрупи в залежності від </w:t>
      </w:r>
      <w:proofErr w:type="spellStart"/>
      <w:r w:rsidRPr="00520861">
        <w:rPr>
          <w:rFonts w:eastAsia="Calibri"/>
          <w:sz w:val="28"/>
          <w:szCs w:val="28"/>
          <w:lang w:eastAsia="en-US"/>
        </w:rPr>
        <w:t>соматометричних</w:t>
      </w:r>
      <w:proofErr w:type="spellEnd"/>
      <w:r w:rsidRPr="00520861">
        <w:rPr>
          <w:rFonts w:eastAsia="Calibri"/>
          <w:sz w:val="28"/>
          <w:szCs w:val="28"/>
          <w:lang w:eastAsia="en-US"/>
        </w:rPr>
        <w:t xml:space="preserve"> показників при народженні.</w:t>
      </w:r>
    </w:p>
    <w:p w14:paraId="3FF2256B"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w:t>
      </w:r>
      <w:r w:rsidRPr="00520861">
        <w:rPr>
          <w:rFonts w:eastAsia="Calibri"/>
          <w:i/>
          <w:sz w:val="28"/>
          <w:szCs w:val="28"/>
          <w:lang w:eastAsia="en-US"/>
        </w:rPr>
        <w:t>клініко-ретроспективному</w:t>
      </w:r>
      <w:r w:rsidRPr="00520861">
        <w:rPr>
          <w:rFonts w:eastAsia="Calibri"/>
          <w:sz w:val="28"/>
          <w:szCs w:val="28"/>
          <w:lang w:eastAsia="en-US"/>
        </w:rPr>
        <w:t xml:space="preserve"> напрямі дослідження вивчено відхилення від </w:t>
      </w:r>
      <w:r w:rsidRPr="00520861">
        <w:rPr>
          <w:rFonts w:eastAsia="Calibri"/>
          <w:sz w:val="28"/>
          <w:szCs w:val="28"/>
          <w:lang w:eastAsia="en-US"/>
        </w:rPr>
        <w:br/>
        <w:t xml:space="preserve">норми строків прорізування зубів як одного з маркерів стоматологічної чи системної патології в дітей першого року життя. Для цього проведено аналіз 1454 історій розвитку дітей, які народилися з 1977 по 2013 роки: ОГ </w:t>
      </w:r>
      <w:r w:rsidRPr="00520861">
        <w:rPr>
          <w:rFonts w:eastAsia="Calibri"/>
          <w:i/>
          <w:sz w:val="28"/>
          <w:szCs w:val="28"/>
          <w:lang w:eastAsia="en-US"/>
        </w:rPr>
        <w:t>n</w:t>
      </w:r>
      <w:r w:rsidRPr="00520861">
        <w:rPr>
          <w:rFonts w:eastAsia="Calibri"/>
          <w:sz w:val="28"/>
          <w:szCs w:val="28"/>
          <w:lang w:eastAsia="en-US"/>
        </w:rPr>
        <w:t xml:space="preserve">=748 (з розділом на 4 </w:t>
      </w:r>
      <w:r w:rsidRPr="00520861">
        <w:rPr>
          <w:rFonts w:eastAsia="Calibri"/>
          <w:sz w:val="28"/>
          <w:szCs w:val="28"/>
          <w:lang w:eastAsia="en-US"/>
        </w:rPr>
        <w:br/>
        <w:t xml:space="preserve">підгрупи в залежності від </w:t>
      </w:r>
      <w:proofErr w:type="spellStart"/>
      <w:r w:rsidRPr="00520861">
        <w:rPr>
          <w:rFonts w:eastAsia="Calibri"/>
          <w:sz w:val="28"/>
          <w:szCs w:val="28"/>
          <w:lang w:eastAsia="en-US"/>
        </w:rPr>
        <w:t>соматометричних</w:t>
      </w:r>
      <w:proofErr w:type="spellEnd"/>
      <w:r w:rsidRPr="00520861">
        <w:rPr>
          <w:rFonts w:eastAsia="Calibri"/>
          <w:sz w:val="28"/>
          <w:szCs w:val="28"/>
          <w:lang w:eastAsia="en-US"/>
        </w:rPr>
        <w:t xml:space="preserve"> показників при народженні) та ГП </w:t>
      </w:r>
      <w:r w:rsidRPr="00520861">
        <w:rPr>
          <w:rFonts w:eastAsia="Calibri"/>
          <w:i/>
          <w:sz w:val="28"/>
          <w:szCs w:val="28"/>
          <w:lang w:eastAsia="en-US"/>
        </w:rPr>
        <w:t>n</w:t>
      </w:r>
      <w:r w:rsidRPr="00520861">
        <w:rPr>
          <w:rFonts w:eastAsia="Calibri"/>
          <w:sz w:val="28"/>
          <w:szCs w:val="28"/>
          <w:lang w:eastAsia="en-US"/>
        </w:rPr>
        <w:t xml:space="preserve">=706. Проаналізовано можливі передумови народження дитини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Для цього </w:t>
      </w:r>
      <w:r w:rsidRPr="00520861">
        <w:rPr>
          <w:rFonts w:eastAsia="Calibri"/>
          <w:sz w:val="28"/>
          <w:szCs w:val="28"/>
          <w:lang w:eastAsia="en-US"/>
        </w:rPr>
        <w:lastRenderedPageBreak/>
        <w:t xml:space="preserve">проведено аналіз 482 історій розвитку дітей, які народилися з 2001 по 2013 роки: ОГ </w:t>
      </w:r>
      <w:r w:rsidRPr="00520861">
        <w:rPr>
          <w:rFonts w:eastAsia="Calibri"/>
          <w:i/>
          <w:sz w:val="28"/>
          <w:szCs w:val="28"/>
          <w:lang w:eastAsia="en-US"/>
        </w:rPr>
        <w:t>n</w:t>
      </w:r>
      <w:r w:rsidRPr="00520861">
        <w:rPr>
          <w:rFonts w:eastAsia="Calibri"/>
          <w:sz w:val="28"/>
          <w:szCs w:val="28"/>
          <w:lang w:eastAsia="en-US"/>
        </w:rPr>
        <w:t xml:space="preserve">=248 (з розділом на 4 підгрупи) та ГП </w:t>
      </w:r>
      <w:r w:rsidRPr="00520861">
        <w:rPr>
          <w:rFonts w:eastAsia="Calibri"/>
          <w:i/>
          <w:sz w:val="28"/>
          <w:szCs w:val="28"/>
          <w:lang w:eastAsia="en-US"/>
        </w:rPr>
        <w:t>n</w:t>
      </w:r>
      <w:r w:rsidRPr="00520861">
        <w:rPr>
          <w:rFonts w:eastAsia="Calibri"/>
          <w:sz w:val="28"/>
          <w:szCs w:val="28"/>
          <w:lang w:eastAsia="en-US"/>
        </w:rPr>
        <w:t xml:space="preserve">=234. Ретроспективно проаналізовано </w:t>
      </w:r>
      <w:r w:rsidRPr="00520861">
        <w:rPr>
          <w:rFonts w:eastAsia="Calibri"/>
          <w:sz w:val="28"/>
          <w:szCs w:val="28"/>
          <w:lang w:eastAsia="en-US"/>
        </w:rPr>
        <w:br/>
        <w:t xml:space="preserve">індекси карієсу в дітей з моменту народження до досягнення ними 14-річного віку. Для цього проведено аналіз 482 історій розвитку дітей, які народилися з 1977 по 1991 роки: ОГ </w:t>
      </w:r>
      <w:r w:rsidRPr="00520861">
        <w:rPr>
          <w:rFonts w:eastAsia="Calibri"/>
          <w:i/>
          <w:sz w:val="28"/>
          <w:szCs w:val="28"/>
          <w:lang w:eastAsia="en-US"/>
        </w:rPr>
        <w:t>n</w:t>
      </w:r>
      <w:r w:rsidRPr="00520861">
        <w:rPr>
          <w:rFonts w:eastAsia="Calibri"/>
          <w:sz w:val="28"/>
          <w:szCs w:val="28"/>
          <w:lang w:eastAsia="en-US"/>
        </w:rPr>
        <w:t xml:space="preserve">=352 (з розділом на 4 підгрупи) та ГП </w:t>
      </w:r>
      <w:r w:rsidRPr="00520861">
        <w:rPr>
          <w:rFonts w:eastAsia="Calibri"/>
          <w:i/>
          <w:sz w:val="28"/>
          <w:szCs w:val="28"/>
          <w:lang w:eastAsia="en-US"/>
        </w:rPr>
        <w:t>n</w:t>
      </w:r>
      <w:r w:rsidRPr="00520861">
        <w:rPr>
          <w:rFonts w:eastAsia="Calibri"/>
          <w:sz w:val="28"/>
          <w:szCs w:val="28"/>
          <w:lang w:eastAsia="en-US"/>
        </w:rPr>
        <w:t xml:space="preserve">=329. </w:t>
      </w:r>
    </w:p>
    <w:p w14:paraId="47923D4E"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i/>
          <w:sz w:val="28"/>
          <w:szCs w:val="28"/>
          <w:lang w:eastAsia="en-US"/>
        </w:rPr>
        <w:t xml:space="preserve">У клінічному </w:t>
      </w:r>
      <w:r w:rsidRPr="00520861">
        <w:rPr>
          <w:rFonts w:eastAsia="Calibri"/>
          <w:sz w:val="28"/>
          <w:szCs w:val="28"/>
          <w:lang w:eastAsia="en-US"/>
        </w:rPr>
        <w:t xml:space="preserve">напрямі дослідження проаналізовано та вивчено стоматологічний статус 491 особи різного віку: ОГ </w:t>
      </w:r>
      <w:r w:rsidRPr="00520861">
        <w:rPr>
          <w:rFonts w:eastAsia="Calibri"/>
          <w:i/>
          <w:sz w:val="28"/>
          <w:szCs w:val="28"/>
          <w:lang w:eastAsia="en-US"/>
        </w:rPr>
        <w:t>n</w:t>
      </w:r>
      <w:r w:rsidRPr="00520861">
        <w:rPr>
          <w:rFonts w:eastAsia="Calibri"/>
          <w:sz w:val="28"/>
          <w:szCs w:val="28"/>
          <w:lang w:eastAsia="en-US"/>
        </w:rPr>
        <w:t xml:space="preserve">=314 (розділена на 4 підгрупи в залежності від </w:t>
      </w:r>
      <w:proofErr w:type="spellStart"/>
      <w:r w:rsidRPr="00520861">
        <w:rPr>
          <w:rFonts w:eastAsia="Calibri"/>
          <w:sz w:val="28"/>
          <w:szCs w:val="28"/>
          <w:lang w:eastAsia="en-US"/>
        </w:rPr>
        <w:t>соматометричних</w:t>
      </w:r>
      <w:proofErr w:type="spellEnd"/>
      <w:r w:rsidRPr="00520861">
        <w:rPr>
          <w:rFonts w:eastAsia="Calibri"/>
          <w:sz w:val="28"/>
          <w:szCs w:val="28"/>
          <w:lang w:eastAsia="en-US"/>
        </w:rPr>
        <w:t xml:space="preserve"> показників при народженні), ГП </w:t>
      </w:r>
      <w:r w:rsidRPr="00520861">
        <w:rPr>
          <w:rFonts w:eastAsia="Calibri"/>
          <w:i/>
          <w:sz w:val="28"/>
          <w:szCs w:val="28"/>
          <w:lang w:eastAsia="en-US"/>
        </w:rPr>
        <w:t>n</w:t>
      </w:r>
      <w:r w:rsidRPr="00520861">
        <w:rPr>
          <w:rFonts w:eastAsia="Calibri"/>
          <w:sz w:val="28"/>
          <w:szCs w:val="28"/>
          <w:lang w:eastAsia="en-US"/>
        </w:rPr>
        <w:t xml:space="preserve">=177. Обстежено 173 дитини у віці від однієї доби до двох місяців, які народилися у 2014–2017 роках (ОГ </w:t>
      </w:r>
      <w:r w:rsidRPr="00520861">
        <w:rPr>
          <w:rFonts w:eastAsia="Calibri"/>
          <w:i/>
          <w:sz w:val="28"/>
          <w:szCs w:val="28"/>
          <w:lang w:eastAsia="en-US"/>
        </w:rPr>
        <w:t>n</w:t>
      </w:r>
      <w:r w:rsidRPr="00520861">
        <w:rPr>
          <w:rFonts w:eastAsia="Calibri"/>
          <w:sz w:val="28"/>
          <w:szCs w:val="28"/>
          <w:lang w:eastAsia="en-US"/>
        </w:rPr>
        <w:t xml:space="preserve">=104, ГП </w:t>
      </w:r>
      <w:r w:rsidRPr="00520861">
        <w:rPr>
          <w:rFonts w:eastAsia="Calibri"/>
          <w:i/>
          <w:sz w:val="28"/>
          <w:szCs w:val="28"/>
          <w:lang w:eastAsia="en-US"/>
        </w:rPr>
        <w:t>n</w:t>
      </w:r>
      <w:r w:rsidRPr="00520861">
        <w:rPr>
          <w:rFonts w:eastAsia="Calibri"/>
          <w:sz w:val="28"/>
          <w:szCs w:val="28"/>
          <w:lang w:eastAsia="en-US"/>
        </w:rPr>
        <w:t xml:space="preserve">=69). Із цих дітей у віці від 4 до 20 місяців було повторно обстежено 140 дітей (ОГ </w:t>
      </w:r>
      <w:r w:rsidRPr="00520861">
        <w:rPr>
          <w:rFonts w:eastAsia="Calibri"/>
          <w:i/>
          <w:sz w:val="28"/>
          <w:szCs w:val="28"/>
          <w:lang w:eastAsia="en-US"/>
        </w:rPr>
        <w:t>n</w:t>
      </w:r>
      <w:r w:rsidRPr="00520861">
        <w:rPr>
          <w:rFonts w:eastAsia="Calibri"/>
          <w:sz w:val="28"/>
          <w:szCs w:val="28"/>
          <w:lang w:eastAsia="en-US"/>
        </w:rPr>
        <w:t xml:space="preserve">=85, ГП </w:t>
      </w:r>
      <w:r w:rsidRPr="00520861">
        <w:rPr>
          <w:rFonts w:eastAsia="Calibri"/>
          <w:i/>
          <w:sz w:val="28"/>
          <w:szCs w:val="28"/>
          <w:lang w:eastAsia="en-US"/>
        </w:rPr>
        <w:t>n</w:t>
      </w:r>
      <w:r w:rsidRPr="00520861">
        <w:rPr>
          <w:rFonts w:eastAsia="Calibri"/>
          <w:sz w:val="28"/>
          <w:szCs w:val="28"/>
          <w:lang w:eastAsia="en-US"/>
        </w:rPr>
        <w:t xml:space="preserve">=55), у віці 3 роки повторно обстежено 67 дітей (ОГ </w:t>
      </w:r>
      <w:r w:rsidRPr="00520861">
        <w:rPr>
          <w:rFonts w:eastAsia="Calibri"/>
          <w:i/>
          <w:sz w:val="28"/>
          <w:szCs w:val="28"/>
          <w:lang w:eastAsia="en-US"/>
        </w:rPr>
        <w:t>n</w:t>
      </w:r>
      <w:r w:rsidRPr="00520861">
        <w:rPr>
          <w:rFonts w:eastAsia="Calibri"/>
          <w:sz w:val="28"/>
          <w:szCs w:val="28"/>
          <w:lang w:eastAsia="en-US"/>
        </w:rPr>
        <w:t xml:space="preserve">=43, ГП </w:t>
      </w:r>
      <w:r w:rsidRPr="00520861">
        <w:rPr>
          <w:rFonts w:eastAsia="Calibri"/>
          <w:i/>
          <w:sz w:val="28"/>
          <w:szCs w:val="28"/>
          <w:lang w:eastAsia="en-US"/>
        </w:rPr>
        <w:t>n</w:t>
      </w:r>
      <w:r w:rsidRPr="00520861">
        <w:rPr>
          <w:rFonts w:eastAsia="Calibri"/>
          <w:sz w:val="28"/>
          <w:szCs w:val="28"/>
          <w:lang w:eastAsia="en-US"/>
        </w:rPr>
        <w:t>=24).</w:t>
      </w:r>
    </w:p>
    <w:p w14:paraId="5046C575" w14:textId="77777777" w:rsidR="00CF641C" w:rsidRPr="00520861" w:rsidRDefault="00CF641C" w:rsidP="00292D2E">
      <w:pPr>
        <w:widowControl w:val="0"/>
        <w:spacing w:line="360" w:lineRule="auto"/>
        <w:ind w:firstLine="709"/>
        <w:jc w:val="both"/>
        <w:rPr>
          <w:sz w:val="28"/>
          <w:szCs w:val="28"/>
        </w:rPr>
      </w:pPr>
      <w:r w:rsidRPr="00520861">
        <w:rPr>
          <w:rFonts w:eastAsia="Calibri"/>
          <w:sz w:val="28"/>
          <w:szCs w:val="28"/>
          <w:lang w:eastAsia="en-US"/>
        </w:rPr>
        <w:t xml:space="preserve">У віці 4,5–6,5 року було обстежено 53 дитини (ОГ </w:t>
      </w:r>
      <w:r w:rsidRPr="00520861">
        <w:rPr>
          <w:rFonts w:eastAsia="Calibri"/>
          <w:i/>
          <w:sz w:val="28"/>
          <w:szCs w:val="28"/>
          <w:lang w:eastAsia="en-US"/>
        </w:rPr>
        <w:t>n</w:t>
      </w:r>
      <w:r w:rsidRPr="00520861">
        <w:rPr>
          <w:rFonts w:eastAsia="Calibri"/>
          <w:sz w:val="28"/>
          <w:szCs w:val="28"/>
          <w:lang w:eastAsia="en-US"/>
        </w:rPr>
        <w:t xml:space="preserve">=40, ГП </w:t>
      </w:r>
      <w:r w:rsidRPr="00520861">
        <w:rPr>
          <w:rFonts w:eastAsia="Calibri"/>
          <w:i/>
          <w:sz w:val="28"/>
          <w:szCs w:val="28"/>
          <w:lang w:eastAsia="en-US"/>
        </w:rPr>
        <w:t>n</w:t>
      </w:r>
      <w:r w:rsidRPr="00520861">
        <w:rPr>
          <w:rFonts w:eastAsia="Calibri"/>
          <w:sz w:val="28"/>
          <w:szCs w:val="28"/>
          <w:lang w:eastAsia="en-US"/>
        </w:rPr>
        <w:t>=13)</w:t>
      </w:r>
      <w:r w:rsidRPr="00520861">
        <w:rPr>
          <w:sz w:val="28"/>
          <w:szCs w:val="28"/>
        </w:rPr>
        <w:t xml:space="preserve">. </w:t>
      </w:r>
    </w:p>
    <w:p w14:paraId="4611F777" w14:textId="77777777" w:rsidR="00CF641C" w:rsidRPr="00520861" w:rsidRDefault="00CF641C" w:rsidP="00292D2E">
      <w:pPr>
        <w:widowControl w:val="0"/>
        <w:spacing w:line="360" w:lineRule="auto"/>
        <w:ind w:firstLine="709"/>
        <w:jc w:val="both"/>
        <w:rPr>
          <w:sz w:val="28"/>
          <w:szCs w:val="28"/>
        </w:rPr>
      </w:pPr>
      <w:r w:rsidRPr="00520861">
        <w:rPr>
          <w:sz w:val="28"/>
          <w:szCs w:val="28"/>
        </w:rPr>
        <w:t xml:space="preserve">У віці 7–11 років </w:t>
      </w:r>
      <w:r w:rsidRPr="00520861">
        <w:rPr>
          <w:rFonts w:eastAsia="Calibri"/>
          <w:sz w:val="28"/>
          <w:szCs w:val="28"/>
          <w:lang w:eastAsia="en-US"/>
        </w:rPr>
        <w:t xml:space="preserve">було обстежено 46 дітей (ОГ </w:t>
      </w:r>
      <w:r w:rsidRPr="00520861">
        <w:rPr>
          <w:rFonts w:eastAsia="Calibri"/>
          <w:i/>
          <w:sz w:val="28"/>
          <w:szCs w:val="28"/>
          <w:lang w:eastAsia="en-US"/>
        </w:rPr>
        <w:t>n</w:t>
      </w:r>
      <w:r w:rsidRPr="00520861">
        <w:rPr>
          <w:rFonts w:eastAsia="Calibri"/>
          <w:sz w:val="28"/>
          <w:szCs w:val="28"/>
          <w:lang w:eastAsia="en-US"/>
        </w:rPr>
        <w:t xml:space="preserve">=30, ГП </w:t>
      </w:r>
      <w:r w:rsidRPr="00520861">
        <w:rPr>
          <w:rFonts w:eastAsia="Calibri"/>
          <w:i/>
          <w:sz w:val="28"/>
          <w:szCs w:val="28"/>
          <w:lang w:eastAsia="en-US"/>
        </w:rPr>
        <w:t>n</w:t>
      </w:r>
      <w:r w:rsidRPr="00520861">
        <w:rPr>
          <w:rFonts w:eastAsia="Calibri"/>
          <w:sz w:val="28"/>
          <w:szCs w:val="28"/>
          <w:lang w:eastAsia="en-US"/>
        </w:rPr>
        <w:t>=16)</w:t>
      </w:r>
      <w:r w:rsidRPr="00520861">
        <w:rPr>
          <w:sz w:val="28"/>
          <w:szCs w:val="28"/>
        </w:rPr>
        <w:t>.</w:t>
      </w:r>
    </w:p>
    <w:p w14:paraId="3A4F6187"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sz w:val="28"/>
          <w:szCs w:val="28"/>
        </w:rPr>
        <w:t xml:space="preserve">У віці 12–55 років було обстежено 219 </w:t>
      </w:r>
      <w:r w:rsidRPr="00520861">
        <w:rPr>
          <w:rFonts w:eastAsia="Calibri"/>
          <w:sz w:val="28"/>
          <w:szCs w:val="28"/>
          <w:lang w:eastAsia="en-US"/>
        </w:rPr>
        <w:t xml:space="preserve">осіб (ОГ </w:t>
      </w:r>
      <w:r w:rsidRPr="00520861">
        <w:rPr>
          <w:rFonts w:eastAsia="Calibri"/>
          <w:i/>
          <w:sz w:val="28"/>
          <w:szCs w:val="28"/>
          <w:lang w:eastAsia="en-US"/>
        </w:rPr>
        <w:t>n</w:t>
      </w:r>
      <w:r w:rsidRPr="00520861">
        <w:rPr>
          <w:rFonts w:eastAsia="Calibri"/>
          <w:sz w:val="28"/>
          <w:szCs w:val="28"/>
          <w:lang w:eastAsia="en-US"/>
        </w:rPr>
        <w:t xml:space="preserve">=140, ГП </w:t>
      </w:r>
      <w:r w:rsidRPr="00520861">
        <w:rPr>
          <w:rFonts w:eastAsia="Calibri"/>
          <w:i/>
          <w:sz w:val="28"/>
          <w:szCs w:val="28"/>
          <w:lang w:eastAsia="en-US"/>
        </w:rPr>
        <w:t>n</w:t>
      </w:r>
      <w:r w:rsidRPr="00520861">
        <w:rPr>
          <w:rFonts w:eastAsia="Calibri"/>
          <w:sz w:val="28"/>
          <w:szCs w:val="28"/>
          <w:lang w:eastAsia="en-US"/>
        </w:rPr>
        <w:t>=79).</w:t>
      </w:r>
    </w:p>
    <w:p w14:paraId="125D54F5"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i/>
          <w:sz w:val="28"/>
          <w:szCs w:val="28"/>
          <w:lang w:eastAsia="en-US"/>
        </w:rPr>
        <w:t>У клініко-біохімічному</w:t>
      </w:r>
      <w:r w:rsidRPr="00520861">
        <w:rPr>
          <w:rFonts w:eastAsia="Calibri"/>
          <w:b/>
          <w:sz w:val="28"/>
          <w:szCs w:val="28"/>
          <w:lang w:eastAsia="en-US"/>
        </w:rPr>
        <w:t xml:space="preserve"> </w:t>
      </w:r>
      <w:r w:rsidRPr="00520861">
        <w:rPr>
          <w:rFonts w:eastAsia="Calibri"/>
          <w:sz w:val="28"/>
          <w:szCs w:val="28"/>
          <w:lang w:eastAsia="en-US"/>
        </w:rPr>
        <w:t>напрямі дослідження в раніше обстежених осіб віком від 4 до 55 років вивчено патогенетичні механізми:</w:t>
      </w:r>
    </w:p>
    <w:p w14:paraId="2190F779" w14:textId="77777777" w:rsidR="00CF641C" w:rsidRPr="00520861" w:rsidRDefault="00CF641C" w:rsidP="008F1D77">
      <w:pPr>
        <w:widowControl w:val="0"/>
        <w:numPr>
          <w:ilvl w:val="0"/>
          <w:numId w:val="4"/>
        </w:numPr>
        <w:spacing w:after="160" w:line="360" w:lineRule="auto"/>
        <w:ind w:left="0" w:firstLine="0"/>
        <w:contextualSpacing/>
        <w:jc w:val="both"/>
        <w:rPr>
          <w:rFonts w:eastAsia="Calibri"/>
          <w:spacing w:val="-4"/>
          <w:sz w:val="28"/>
          <w:szCs w:val="28"/>
          <w:lang w:eastAsia="en-US"/>
        </w:rPr>
      </w:pPr>
      <w:r w:rsidRPr="00520861">
        <w:rPr>
          <w:rFonts w:eastAsia="Calibri"/>
          <w:sz w:val="28"/>
          <w:szCs w:val="28"/>
          <w:lang w:eastAsia="en-US"/>
        </w:rPr>
        <w:t xml:space="preserve">порушень стану СГС у 218 осіб (ОГ </w:t>
      </w:r>
      <w:r w:rsidRPr="00520861">
        <w:rPr>
          <w:rFonts w:eastAsia="Calibri"/>
          <w:i/>
          <w:sz w:val="28"/>
          <w:szCs w:val="28"/>
          <w:lang w:eastAsia="en-US"/>
        </w:rPr>
        <w:t>n</w:t>
      </w:r>
      <w:r w:rsidRPr="00520861">
        <w:rPr>
          <w:rFonts w:eastAsia="Calibri"/>
          <w:sz w:val="28"/>
          <w:szCs w:val="28"/>
          <w:lang w:eastAsia="en-US"/>
        </w:rPr>
        <w:t xml:space="preserve">=168, ГП </w:t>
      </w:r>
      <w:r w:rsidRPr="00520861">
        <w:rPr>
          <w:rFonts w:eastAsia="Calibri"/>
          <w:i/>
          <w:sz w:val="28"/>
          <w:szCs w:val="28"/>
          <w:lang w:eastAsia="en-US"/>
        </w:rPr>
        <w:t>n</w:t>
      </w:r>
      <w:r w:rsidRPr="00520861">
        <w:rPr>
          <w:rFonts w:eastAsia="Calibri"/>
          <w:sz w:val="28"/>
          <w:szCs w:val="28"/>
          <w:lang w:eastAsia="en-US"/>
        </w:rPr>
        <w:t xml:space="preserve">=50) з урахуванням їх </w:t>
      </w:r>
      <w:proofErr w:type="spellStart"/>
      <w:r w:rsidRPr="00520861">
        <w:rPr>
          <w:rFonts w:eastAsia="Calibri"/>
          <w:sz w:val="28"/>
          <w:szCs w:val="28"/>
          <w:lang w:eastAsia="en-US"/>
        </w:rPr>
        <w:t>соматометричних</w:t>
      </w:r>
      <w:proofErr w:type="spellEnd"/>
      <w:r w:rsidRPr="00520861">
        <w:rPr>
          <w:rFonts w:eastAsia="Calibri"/>
          <w:sz w:val="28"/>
          <w:szCs w:val="28"/>
          <w:lang w:eastAsia="en-US"/>
        </w:rPr>
        <w:t xml:space="preserve"> показників на момент народження. У РР учасників </w:t>
      </w:r>
      <w:r w:rsidRPr="00520861">
        <w:rPr>
          <w:rFonts w:eastAsia="Calibri"/>
          <w:spacing w:val="-4"/>
          <w:sz w:val="28"/>
          <w:szCs w:val="28"/>
          <w:lang w:eastAsia="en-US"/>
        </w:rPr>
        <w:t>дослідження проведено оцінювання показників мінерального обміну та маркерів функціональної активності остеобластів;</w:t>
      </w:r>
    </w:p>
    <w:p w14:paraId="5172A6D6" w14:textId="77777777" w:rsidR="00CF641C" w:rsidRPr="00520861" w:rsidRDefault="00CF641C" w:rsidP="008F1D77">
      <w:pPr>
        <w:widowControl w:val="0"/>
        <w:numPr>
          <w:ilvl w:val="0"/>
          <w:numId w:val="3"/>
        </w:numPr>
        <w:spacing w:after="16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порушень стану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202 осіб (ОГ </w:t>
      </w:r>
      <w:r w:rsidRPr="00520861">
        <w:rPr>
          <w:rFonts w:eastAsia="Calibri"/>
          <w:i/>
          <w:sz w:val="28"/>
          <w:szCs w:val="28"/>
          <w:lang w:eastAsia="en-US"/>
        </w:rPr>
        <w:t>n</w:t>
      </w:r>
      <w:r w:rsidRPr="00520861">
        <w:rPr>
          <w:rFonts w:eastAsia="Calibri"/>
          <w:sz w:val="28"/>
          <w:szCs w:val="28"/>
          <w:lang w:eastAsia="en-US"/>
        </w:rPr>
        <w:t xml:space="preserve">=151, ГП </w:t>
      </w:r>
      <w:r w:rsidRPr="00520861">
        <w:rPr>
          <w:rFonts w:eastAsia="Calibri"/>
          <w:i/>
          <w:sz w:val="28"/>
          <w:szCs w:val="28"/>
          <w:lang w:eastAsia="en-US"/>
        </w:rPr>
        <w:t>n</w:t>
      </w:r>
      <w:r w:rsidRPr="00520861">
        <w:rPr>
          <w:rFonts w:eastAsia="Calibri"/>
          <w:sz w:val="28"/>
          <w:szCs w:val="28"/>
          <w:lang w:eastAsia="en-US"/>
        </w:rPr>
        <w:t xml:space="preserve">=51) з урахуванням їх </w:t>
      </w:r>
      <w:proofErr w:type="spellStart"/>
      <w:r w:rsidRPr="00520861">
        <w:rPr>
          <w:rFonts w:eastAsia="Calibri"/>
          <w:sz w:val="28"/>
          <w:szCs w:val="28"/>
          <w:lang w:eastAsia="en-US"/>
        </w:rPr>
        <w:t>соматометричних</w:t>
      </w:r>
      <w:proofErr w:type="spellEnd"/>
      <w:r w:rsidRPr="00520861">
        <w:rPr>
          <w:rFonts w:eastAsia="Calibri"/>
          <w:sz w:val="28"/>
          <w:szCs w:val="28"/>
          <w:lang w:eastAsia="en-US"/>
        </w:rPr>
        <w:t xml:space="preserve"> показників на момент народження. У РР учасників </w:t>
      </w:r>
      <w:r w:rsidRPr="00520861">
        <w:rPr>
          <w:rFonts w:eastAsia="Calibri"/>
          <w:sz w:val="28"/>
          <w:szCs w:val="28"/>
          <w:lang w:eastAsia="en-US"/>
        </w:rPr>
        <w:br/>
        <w:t xml:space="preserve">дослідження проаналізовано динаміку змін активності ферментів </w:t>
      </w:r>
      <w:proofErr w:type="spellStart"/>
      <w:r w:rsidRPr="00520861">
        <w:rPr>
          <w:rFonts w:eastAsia="Calibri"/>
          <w:sz w:val="28"/>
          <w:szCs w:val="28"/>
          <w:lang w:eastAsia="en-US"/>
        </w:rPr>
        <w:t>трансамінування</w:t>
      </w:r>
      <w:proofErr w:type="spellEnd"/>
      <w:r w:rsidRPr="00520861">
        <w:rPr>
          <w:rFonts w:eastAsia="Calibri"/>
          <w:sz w:val="28"/>
          <w:szCs w:val="28"/>
          <w:lang w:eastAsia="en-US"/>
        </w:rPr>
        <w:t xml:space="preserve">, стану системного гуморального та місцевого імунітету та </w:t>
      </w:r>
      <w:proofErr w:type="spellStart"/>
      <w:r w:rsidRPr="00520861">
        <w:rPr>
          <w:rFonts w:eastAsia="Calibri"/>
          <w:sz w:val="28"/>
          <w:szCs w:val="28"/>
          <w:lang w:eastAsia="en-US"/>
        </w:rPr>
        <w:t>цитокіновий</w:t>
      </w:r>
      <w:proofErr w:type="spellEnd"/>
      <w:r w:rsidRPr="00520861">
        <w:rPr>
          <w:rFonts w:eastAsia="Calibri"/>
          <w:sz w:val="28"/>
          <w:szCs w:val="28"/>
          <w:lang w:eastAsia="en-US"/>
        </w:rPr>
        <w:t xml:space="preserve"> профіль;</w:t>
      </w:r>
    </w:p>
    <w:p w14:paraId="36773D54" w14:textId="77777777" w:rsidR="00CF641C" w:rsidRPr="00520861" w:rsidRDefault="00CF641C" w:rsidP="008F1D77">
      <w:pPr>
        <w:widowControl w:val="0"/>
        <w:numPr>
          <w:ilvl w:val="0"/>
          <w:numId w:val="4"/>
        </w:numPr>
        <w:spacing w:after="160" w:line="360" w:lineRule="auto"/>
        <w:ind w:left="0" w:firstLine="0"/>
        <w:contextualSpacing/>
        <w:jc w:val="both"/>
        <w:rPr>
          <w:rFonts w:eastAsia="Calibri"/>
          <w:spacing w:val="-2"/>
          <w:sz w:val="28"/>
          <w:szCs w:val="28"/>
          <w:lang w:eastAsia="en-US"/>
        </w:rPr>
      </w:pPr>
      <w:r w:rsidRPr="00520861">
        <w:rPr>
          <w:rFonts w:eastAsia="Calibri"/>
          <w:spacing w:val="-2"/>
          <w:sz w:val="28"/>
          <w:szCs w:val="28"/>
          <w:lang w:eastAsia="en-US"/>
        </w:rPr>
        <w:t xml:space="preserve">схильності до виникнення каріозних уражень у 210 осіб (ОГ </w:t>
      </w:r>
      <w:r w:rsidRPr="00520861">
        <w:rPr>
          <w:rFonts w:eastAsia="Calibri"/>
          <w:i/>
          <w:spacing w:val="-2"/>
          <w:sz w:val="28"/>
          <w:szCs w:val="28"/>
          <w:lang w:eastAsia="en-US"/>
        </w:rPr>
        <w:t>n</w:t>
      </w:r>
      <w:r w:rsidRPr="00520861">
        <w:rPr>
          <w:rFonts w:eastAsia="Calibri"/>
          <w:spacing w:val="-2"/>
          <w:sz w:val="28"/>
          <w:szCs w:val="28"/>
          <w:lang w:eastAsia="en-US"/>
        </w:rPr>
        <w:t xml:space="preserve">=163, ГП </w:t>
      </w:r>
      <w:r w:rsidRPr="00520861">
        <w:rPr>
          <w:rFonts w:eastAsia="Calibri"/>
          <w:i/>
          <w:spacing w:val="-2"/>
          <w:sz w:val="28"/>
          <w:szCs w:val="28"/>
          <w:lang w:eastAsia="en-US"/>
        </w:rPr>
        <w:t>n</w:t>
      </w:r>
      <w:r w:rsidRPr="00520861">
        <w:rPr>
          <w:rFonts w:eastAsia="Calibri"/>
          <w:spacing w:val="-2"/>
          <w:sz w:val="28"/>
          <w:szCs w:val="28"/>
          <w:lang w:eastAsia="en-US"/>
        </w:rPr>
        <w:t xml:space="preserve">=47) з урахуванням їх </w:t>
      </w:r>
      <w:proofErr w:type="spellStart"/>
      <w:r w:rsidRPr="00520861">
        <w:rPr>
          <w:rFonts w:eastAsia="Calibri"/>
          <w:spacing w:val="-2"/>
          <w:sz w:val="28"/>
          <w:szCs w:val="28"/>
          <w:lang w:eastAsia="en-US"/>
        </w:rPr>
        <w:t>соматометричних</w:t>
      </w:r>
      <w:proofErr w:type="spellEnd"/>
      <w:r w:rsidRPr="00520861">
        <w:rPr>
          <w:rFonts w:eastAsia="Calibri"/>
          <w:spacing w:val="-2"/>
          <w:sz w:val="28"/>
          <w:szCs w:val="28"/>
          <w:lang w:eastAsia="en-US"/>
        </w:rPr>
        <w:t xml:space="preserve"> показників на момент народження. У РР учасників дослідження проведено комплексну оцінку показників вуглеводного, білкового та ліпідного видів обміну; </w:t>
      </w:r>
      <w:proofErr w:type="spellStart"/>
      <w:r w:rsidRPr="00520861">
        <w:rPr>
          <w:rFonts w:eastAsia="Calibri"/>
          <w:spacing w:val="-2"/>
          <w:sz w:val="28"/>
          <w:szCs w:val="28"/>
          <w:lang w:eastAsia="en-US"/>
        </w:rPr>
        <w:t>антиоксидантно-прооксидантного</w:t>
      </w:r>
      <w:proofErr w:type="spellEnd"/>
      <w:r w:rsidRPr="00520861">
        <w:rPr>
          <w:rFonts w:eastAsia="Calibri"/>
          <w:spacing w:val="-2"/>
          <w:sz w:val="28"/>
          <w:szCs w:val="28"/>
          <w:lang w:eastAsia="en-US"/>
        </w:rPr>
        <w:t xml:space="preserve"> статусу та секреторної активності слинних залоз, вивчено динаміку окремих маркерів </w:t>
      </w:r>
      <w:proofErr w:type="spellStart"/>
      <w:r w:rsidRPr="00520861">
        <w:rPr>
          <w:rFonts w:eastAsia="Calibri"/>
          <w:spacing w:val="-2"/>
          <w:sz w:val="28"/>
          <w:szCs w:val="28"/>
          <w:lang w:eastAsia="en-US"/>
        </w:rPr>
        <w:t>цитокінового</w:t>
      </w:r>
      <w:proofErr w:type="spellEnd"/>
      <w:r w:rsidRPr="00520861">
        <w:rPr>
          <w:rFonts w:eastAsia="Calibri"/>
          <w:spacing w:val="-2"/>
          <w:sz w:val="28"/>
          <w:szCs w:val="28"/>
          <w:lang w:eastAsia="en-US"/>
        </w:rPr>
        <w:t xml:space="preserve"> профілю.</w:t>
      </w:r>
    </w:p>
    <w:p w14:paraId="1778945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i/>
          <w:sz w:val="28"/>
          <w:szCs w:val="28"/>
          <w:lang w:eastAsia="en-US"/>
        </w:rPr>
        <w:t>У молекулярно-генетичному</w:t>
      </w:r>
      <w:r w:rsidRPr="00520861">
        <w:rPr>
          <w:rFonts w:eastAsia="Calibri"/>
          <w:sz w:val="28"/>
          <w:szCs w:val="28"/>
          <w:lang w:eastAsia="en-US"/>
        </w:rPr>
        <w:t xml:space="preserve"> напрямі дослідження було проведене оцінювання </w:t>
      </w:r>
      <w:r w:rsidRPr="00520861">
        <w:rPr>
          <w:rFonts w:eastAsia="Calibri"/>
          <w:sz w:val="28"/>
          <w:szCs w:val="28"/>
          <w:lang w:eastAsia="en-US"/>
        </w:rPr>
        <w:lastRenderedPageBreak/>
        <w:t>певного набору генетичних передумов:</w:t>
      </w:r>
    </w:p>
    <w:p w14:paraId="07DF7266"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 до передчасного прорізування чи затримки прорізування тимчасових зубів. З раніше обстежених осіб відібрано 159 осіб, у яких </w:t>
      </w:r>
      <w:proofErr w:type="spellStart"/>
      <w:r w:rsidRPr="00520861">
        <w:rPr>
          <w:rFonts w:eastAsia="Calibri"/>
          <w:sz w:val="28"/>
          <w:szCs w:val="28"/>
          <w:lang w:eastAsia="en-US"/>
        </w:rPr>
        <w:t>збереглася</w:t>
      </w:r>
      <w:proofErr w:type="spellEnd"/>
      <w:r w:rsidRPr="00520861">
        <w:rPr>
          <w:rFonts w:eastAsia="Calibri"/>
          <w:sz w:val="28"/>
          <w:szCs w:val="28"/>
          <w:lang w:eastAsia="en-US"/>
        </w:rPr>
        <w:t xml:space="preserve"> інформація про терміни прорізування тимчасових зубів. Досліджувався вплив варіантів генів </w:t>
      </w:r>
      <w:r w:rsidRPr="00520861">
        <w:rPr>
          <w:rFonts w:eastAsia="Calibri"/>
          <w:i/>
          <w:sz w:val="28"/>
          <w:szCs w:val="28"/>
          <w:lang w:eastAsia="en-US"/>
        </w:rPr>
        <w:t>CYP19A1:</w:t>
      </w:r>
      <w:r w:rsidRPr="00520861">
        <w:rPr>
          <w:rFonts w:eastAsia="Calibri"/>
          <w:sz w:val="28"/>
          <w:szCs w:val="28"/>
          <w:lang w:eastAsia="en-US"/>
        </w:rPr>
        <w:t xml:space="preserve"> [rs2414096, rs936306], </w:t>
      </w:r>
      <w:r w:rsidRPr="00520861">
        <w:rPr>
          <w:rFonts w:eastAsia="Calibri"/>
          <w:i/>
          <w:sz w:val="28"/>
          <w:szCs w:val="28"/>
          <w:lang w:eastAsia="en-US"/>
        </w:rPr>
        <w:t xml:space="preserve">ESR1: </w:t>
      </w:r>
      <w:r w:rsidRPr="00520861">
        <w:rPr>
          <w:rFonts w:eastAsia="Calibri"/>
          <w:sz w:val="28"/>
          <w:szCs w:val="28"/>
          <w:lang w:eastAsia="en-US"/>
        </w:rPr>
        <w:t xml:space="preserve">[rs2234693, rs9340799],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w:t>
      </w:r>
      <w:r w:rsidRPr="00520861">
        <w:rPr>
          <w:rFonts w:eastAsia="Calibri"/>
          <w:sz w:val="28"/>
          <w:szCs w:val="28"/>
          <w:lang w:eastAsia="en-US"/>
        </w:rPr>
        <w:t xml:space="preserve"> [rs1143627], </w:t>
      </w:r>
      <w:r w:rsidRPr="00520861">
        <w:rPr>
          <w:rFonts w:eastAsia="Calibri"/>
          <w:i/>
          <w:sz w:val="28"/>
          <w:szCs w:val="28"/>
          <w:lang w:eastAsia="en-US"/>
        </w:rPr>
        <w:t>IL6:</w:t>
      </w:r>
      <w:r w:rsidRPr="00520861">
        <w:rPr>
          <w:rFonts w:eastAsia="Calibri"/>
          <w:sz w:val="28"/>
          <w:szCs w:val="28"/>
          <w:lang w:eastAsia="en-US"/>
        </w:rPr>
        <w:t xml:space="preserve"> [rs1800796], </w:t>
      </w:r>
      <w:r w:rsidRPr="00520861">
        <w:rPr>
          <w:rFonts w:eastAsia="Calibri"/>
          <w:i/>
          <w:sz w:val="28"/>
          <w:szCs w:val="28"/>
          <w:lang w:eastAsia="en-US"/>
        </w:rPr>
        <w:t>IL10:</w:t>
      </w:r>
      <w:r w:rsidRPr="00520861">
        <w:rPr>
          <w:rFonts w:eastAsia="Calibri"/>
          <w:sz w:val="28"/>
          <w:szCs w:val="28"/>
          <w:lang w:eastAsia="en-US"/>
        </w:rPr>
        <w:t xml:space="preserve"> [rs1800896] та </w:t>
      </w:r>
      <w:r w:rsidRPr="00520861">
        <w:rPr>
          <w:rFonts w:eastAsia="Calibri"/>
          <w:i/>
          <w:sz w:val="28"/>
          <w:szCs w:val="28"/>
          <w:lang w:eastAsia="en-US"/>
        </w:rPr>
        <w:t>RANKL:</w:t>
      </w:r>
      <w:r w:rsidRPr="00520861">
        <w:rPr>
          <w:rFonts w:eastAsia="Calibri"/>
          <w:sz w:val="28"/>
          <w:szCs w:val="28"/>
          <w:lang w:eastAsia="en-US"/>
        </w:rPr>
        <w:t xml:space="preserve"> [rs9594738, rs9594759];</w:t>
      </w:r>
    </w:p>
    <w:p w14:paraId="22346DA7"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 до формування порушень ЗЩС. З раніше обстежених осіб довільно відібрано 161 особу віком від 4 до 52 років. Проаналізовано вплив поліморфних варіантів генів </w:t>
      </w:r>
      <w:r w:rsidRPr="00520861">
        <w:rPr>
          <w:rFonts w:eastAsia="Calibri"/>
          <w:i/>
          <w:sz w:val="28"/>
          <w:szCs w:val="28"/>
          <w:lang w:eastAsia="en-US"/>
        </w:rPr>
        <w:t>CYP19A1:</w:t>
      </w:r>
      <w:r w:rsidRPr="00520861">
        <w:rPr>
          <w:rFonts w:eastAsia="Calibri"/>
          <w:sz w:val="28"/>
          <w:szCs w:val="28"/>
          <w:lang w:eastAsia="en-US"/>
        </w:rPr>
        <w:t xml:space="preserve"> [rs2414096, rs936306], </w:t>
      </w:r>
      <w:r w:rsidRPr="00520861">
        <w:rPr>
          <w:rFonts w:eastAsia="Calibri"/>
          <w:i/>
          <w:sz w:val="28"/>
          <w:szCs w:val="28"/>
          <w:lang w:eastAsia="en-US"/>
        </w:rPr>
        <w:t>ESR1:</w:t>
      </w:r>
      <w:r w:rsidRPr="00520861">
        <w:rPr>
          <w:rFonts w:eastAsia="Calibri"/>
          <w:sz w:val="28"/>
          <w:szCs w:val="28"/>
          <w:lang w:eastAsia="en-US"/>
        </w:rPr>
        <w:t xml:space="preserve"> [rs2234693, rs9340799], </w:t>
      </w:r>
      <w:r w:rsidRPr="00520861">
        <w:rPr>
          <w:rFonts w:eastAsia="Calibri"/>
          <w:i/>
          <w:sz w:val="28"/>
          <w:szCs w:val="28"/>
          <w:lang w:eastAsia="en-US"/>
        </w:rPr>
        <w:t>RANKL:</w:t>
      </w:r>
      <w:r w:rsidRPr="00520861">
        <w:rPr>
          <w:rFonts w:eastAsia="Calibri"/>
          <w:sz w:val="28"/>
          <w:szCs w:val="28"/>
          <w:lang w:eastAsia="en-US"/>
        </w:rPr>
        <w:t xml:space="preserve"> [rs9594738, rs9594759],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w:t>
      </w:r>
      <w:r w:rsidRPr="00520861">
        <w:rPr>
          <w:rFonts w:eastAsia="Calibri"/>
          <w:sz w:val="28"/>
          <w:szCs w:val="28"/>
          <w:lang w:eastAsia="en-US"/>
        </w:rPr>
        <w:t xml:space="preserve"> [rs1143627], </w:t>
      </w:r>
      <w:r w:rsidRPr="00520861">
        <w:rPr>
          <w:rFonts w:eastAsia="Calibri"/>
          <w:i/>
          <w:sz w:val="28"/>
          <w:szCs w:val="28"/>
          <w:lang w:eastAsia="en-US"/>
        </w:rPr>
        <w:t>IL6:</w:t>
      </w:r>
      <w:r w:rsidRPr="00520861">
        <w:rPr>
          <w:rFonts w:eastAsia="Calibri"/>
          <w:sz w:val="28"/>
          <w:szCs w:val="28"/>
          <w:lang w:eastAsia="en-US"/>
        </w:rPr>
        <w:t xml:space="preserve"> [rs1800796] та </w:t>
      </w:r>
      <w:r w:rsidRPr="00520861">
        <w:rPr>
          <w:rFonts w:eastAsia="Calibri"/>
          <w:i/>
          <w:sz w:val="28"/>
          <w:szCs w:val="28"/>
          <w:lang w:eastAsia="en-US"/>
        </w:rPr>
        <w:t>IL10:</w:t>
      </w:r>
      <w:r w:rsidRPr="00520861">
        <w:rPr>
          <w:rFonts w:eastAsia="Calibri"/>
          <w:sz w:val="28"/>
          <w:szCs w:val="28"/>
          <w:lang w:eastAsia="en-US"/>
        </w:rPr>
        <w:t xml:space="preserve"> [rs1800896] на формування порушень ЗЩС в осіб, які були народжені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w:t>
      </w:r>
    </w:p>
    <w:p w14:paraId="505F54CB"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 до розвитку РДК. </w:t>
      </w:r>
      <w:r w:rsidRPr="00520861">
        <w:rPr>
          <w:rFonts w:eastAsia="Calibri"/>
          <w:sz w:val="28"/>
          <w:szCs w:val="28"/>
          <w:lang w:val="ru-RU" w:eastAsia="en-US"/>
        </w:rPr>
        <w:t>З</w:t>
      </w:r>
      <w:r w:rsidRPr="00520861">
        <w:rPr>
          <w:rFonts w:eastAsia="Calibri"/>
          <w:sz w:val="28"/>
          <w:szCs w:val="28"/>
          <w:lang w:eastAsia="en-US"/>
        </w:rPr>
        <w:t xml:space="preserve"> раніше обстежених осіб відібрано 163 особи, у яких </w:t>
      </w:r>
      <w:proofErr w:type="spellStart"/>
      <w:r w:rsidRPr="00520861">
        <w:rPr>
          <w:rFonts w:eastAsia="Calibri"/>
          <w:sz w:val="28"/>
          <w:szCs w:val="28"/>
          <w:lang w:eastAsia="en-US"/>
        </w:rPr>
        <w:t>збереглася</w:t>
      </w:r>
      <w:proofErr w:type="spellEnd"/>
      <w:r w:rsidRPr="00520861">
        <w:rPr>
          <w:rFonts w:eastAsia="Calibri"/>
          <w:sz w:val="28"/>
          <w:szCs w:val="28"/>
          <w:lang w:eastAsia="en-US"/>
        </w:rPr>
        <w:t xml:space="preserve"> інформація про стоматологічний статус у дитинстві. Досліджено вплив </w:t>
      </w:r>
      <w:proofErr w:type="spellStart"/>
      <w:r w:rsidRPr="00520861">
        <w:rPr>
          <w:rFonts w:eastAsia="Calibri"/>
          <w:sz w:val="28"/>
          <w:szCs w:val="28"/>
          <w:lang w:eastAsia="en-US"/>
        </w:rPr>
        <w:t>однонуклеотидних</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поліморфізмів</w:t>
      </w:r>
      <w:proofErr w:type="spellEnd"/>
      <w:r w:rsidRPr="00520861">
        <w:rPr>
          <w:rFonts w:eastAsia="Calibri"/>
          <w:sz w:val="28"/>
          <w:szCs w:val="28"/>
          <w:lang w:eastAsia="en-US"/>
        </w:rPr>
        <w:t xml:space="preserve"> </w:t>
      </w:r>
      <w:r w:rsidRPr="00520861">
        <w:rPr>
          <w:rFonts w:eastAsia="Calibri"/>
          <w:i/>
          <w:sz w:val="28"/>
          <w:szCs w:val="28"/>
          <w:lang w:eastAsia="en-US"/>
        </w:rPr>
        <w:t>CYP19A1:</w:t>
      </w:r>
      <w:r w:rsidRPr="00520861">
        <w:rPr>
          <w:rFonts w:eastAsia="Calibri"/>
          <w:sz w:val="28"/>
          <w:szCs w:val="28"/>
          <w:lang w:eastAsia="en-US"/>
        </w:rPr>
        <w:t xml:space="preserve"> [rs2414096, rs936306], </w:t>
      </w:r>
      <w:r w:rsidRPr="00520861">
        <w:rPr>
          <w:rFonts w:eastAsia="Calibri"/>
          <w:i/>
          <w:sz w:val="28"/>
          <w:szCs w:val="28"/>
          <w:lang w:eastAsia="en-US"/>
        </w:rPr>
        <w:t>ESR1:</w:t>
      </w:r>
      <w:r w:rsidRPr="00520861">
        <w:rPr>
          <w:rFonts w:eastAsia="Calibri"/>
          <w:sz w:val="28"/>
          <w:szCs w:val="28"/>
          <w:lang w:eastAsia="en-US"/>
        </w:rPr>
        <w:t xml:space="preserve"> [rs2234693, rs9340799],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w:t>
      </w:r>
      <w:r w:rsidRPr="00520861">
        <w:rPr>
          <w:rFonts w:eastAsia="Calibri"/>
          <w:sz w:val="28"/>
          <w:szCs w:val="28"/>
          <w:lang w:eastAsia="en-US"/>
        </w:rPr>
        <w:t xml:space="preserve"> [rs1143627], </w:t>
      </w:r>
      <w:r w:rsidRPr="00520861">
        <w:rPr>
          <w:rFonts w:eastAsia="Calibri"/>
          <w:i/>
          <w:sz w:val="28"/>
          <w:szCs w:val="28"/>
          <w:lang w:eastAsia="en-US"/>
        </w:rPr>
        <w:t>IL6:</w:t>
      </w:r>
      <w:r w:rsidRPr="00520861">
        <w:rPr>
          <w:rFonts w:eastAsia="Calibri"/>
          <w:sz w:val="28"/>
          <w:szCs w:val="28"/>
          <w:lang w:eastAsia="en-US"/>
        </w:rPr>
        <w:t xml:space="preserve"> [rs1800796], </w:t>
      </w:r>
      <w:r w:rsidRPr="00520861">
        <w:rPr>
          <w:rFonts w:eastAsia="Calibri"/>
          <w:i/>
          <w:sz w:val="28"/>
          <w:szCs w:val="28"/>
          <w:lang w:eastAsia="en-US"/>
        </w:rPr>
        <w:t>IL10:</w:t>
      </w:r>
      <w:r w:rsidRPr="00520861">
        <w:rPr>
          <w:rFonts w:eastAsia="Calibri"/>
          <w:sz w:val="28"/>
          <w:szCs w:val="28"/>
          <w:lang w:eastAsia="en-US"/>
        </w:rPr>
        <w:t xml:space="preserve"> [rs1800896] та</w:t>
      </w:r>
      <w:r w:rsidRPr="00520861">
        <w:rPr>
          <w:rFonts w:eastAsia="Calibri"/>
          <w:i/>
          <w:sz w:val="28"/>
          <w:szCs w:val="28"/>
          <w:lang w:eastAsia="en-US"/>
        </w:rPr>
        <w:t xml:space="preserve"> RANKL:</w:t>
      </w:r>
      <w:r w:rsidRPr="00520861">
        <w:rPr>
          <w:rFonts w:eastAsia="Calibri"/>
          <w:sz w:val="28"/>
          <w:szCs w:val="28"/>
          <w:lang w:eastAsia="en-US"/>
        </w:rPr>
        <w:t xml:space="preserve"> [rs9594738, rs9594759] на ризик розвитку РДК в осіб, народжених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w:t>
      </w:r>
    </w:p>
    <w:p w14:paraId="7444C144"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 до різної інтенсивності карієсу постійних зубів. Із раніше обстежених осіб довільно відібрано 99 осіб віком від 11 до 55 років. Вивчено вплив варіантів генів </w:t>
      </w:r>
      <w:r w:rsidRPr="00520861">
        <w:rPr>
          <w:rFonts w:eastAsia="Calibri"/>
          <w:i/>
          <w:sz w:val="28"/>
          <w:szCs w:val="28"/>
          <w:lang w:eastAsia="en-US"/>
        </w:rPr>
        <w:t>CYP19A1</w:t>
      </w:r>
      <w:r w:rsidRPr="00520861">
        <w:rPr>
          <w:rFonts w:eastAsia="Calibri"/>
          <w:sz w:val="28"/>
          <w:szCs w:val="28"/>
          <w:lang w:eastAsia="en-US"/>
        </w:rPr>
        <w:t xml:space="preserve">: [rs2414096, rs936306], </w:t>
      </w:r>
      <w:r w:rsidRPr="00520861">
        <w:rPr>
          <w:rFonts w:eastAsia="Calibri"/>
          <w:i/>
          <w:sz w:val="28"/>
          <w:szCs w:val="28"/>
          <w:lang w:eastAsia="en-US"/>
        </w:rPr>
        <w:t>ESR1:</w:t>
      </w:r>
      <w:r w:rsidRPr="00520861">
        <w:rPr>
          <w:rFonts w:eastAsia="Calibri"/>
          <w:sz w:val="28"/>
          <w:szCs w:val="28"/>
          <w:lang w:eastAsia="en-US"/>
        </w:rPr>
        <w:t xml:space="preserve"> [rs2234693, rs9340799], </w:t>
      </w:r>
      <w:r w:rsidRPr="00520861">
        <w:rPr>
          <w:rFonts w:eastAsia="Calibri"/>
          <w:i/>
          <w:sz w:val="28"/>
          <w:szCs w:val="28"/>
          <w:lang w:eastAsia="en-US"/>
        </w:rPr>
        <w:t>RANKL:</w:t>
      </w:r>
      <w:r w:rsidRPr="00520861">
        <w:rPr>
          <w:rFonts w:eastAsia="Calibri"/>
          <w:sz w:val="28"/>
          <w:szCs w:val="28"/>
          <w:lang w:eastAsia="en-US"/>
        </w:rPr>
        <w:t xml:space="preserve"> [rs9594738, rs9594759], </w:t>
      </w:r>
      <w:r w:rsidRPr="00520861">
        <w:rPr>
          <w:rFonts w:eastAsia="Calibri"/>
          <w:i/>
          <w:sz w:val="28"/>
          <w:szCs w:val="28"/>
          <w:lang w:eastAsia="en-US"/>
        </w:rPr>
        <w:t>VDR:</w:t>
      </w:r>
      <w:r w:rsidRPr="00520861">
        <w:rPr>
          <w:rFonts w:eastAsia="Calibri"/>
          <w:sz w:val="28"/>
          <w:szCs w:val="28"/>
          <w:lang w:eastAsia="en-US"/>
        </w:rPr>
        <w:t xml:space="preserve"> [rs1544410, rs10735810], </w:t>
      </w:r>
      <w:r w:rsidRPr="00520861">
        <w:rPr>
          <w:rFonts w:eastAsia="Calibri"/>
          <w:i/>
          <w:sz w:val="28"/>
          <w:szCs w:val="28"/>
          <w:lang w:eastAsia="en-US"/>
        </w:rPr>
        <w:t>IL6:</w:t>
      </w:r>
      <w:r w:rsidRPr="00520861">
        <w:rPr>
          <w:rFonts w:eastAsia="Calibri"/>
          <w:sz w:val="28"/>
          <w:szCs w:val="28"/>
          <w:lang w:eastAsia="en-US"/>
        </w:rPr>
        <w:t xml:space="preserve"> [rs1800795],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w:t>
      </w:r>
      <w:r w:rsidRPr="00520861">
        <w:rPr>
          <w:rFonts w:eastAsia="Calibri"/>
          <w:sz w:val="28"/>
          <w:szCs w:val="28"/>
          <w:lang w:eastAsia="en-US"/>
        </w:rPr>
        <w:t xml:space="preserve"> [rs1143627], </w:t>
      </w:r>
      <w:r w:rsidRPr="00520861">
        <w:rPr>
          <w:rFonts w:eastAsia="Calibri"/>
          <w:sz w:val="28"/>
          <w:szCs w:val="28"/>
          <w:lang w:eastAsia="en-US"/>
        </w:rPr>
        <w:br/>
      </w:r>
      <w:r w:rsidRPr="00520861">
        <w:rPr>
          <w:rFonts w:eastAsia="Calibri"/>
          <w:i/>
          <w:sz w:val="28"/>
          <w:szCs w:val="28"/>
          <w:lang w:eastAsia="en-US"/>
        </w:rPr>
        <w:t>IL10:</w:t>
      </w:r>
      <w:r w:rsidRPr="00520861">
        <w:rPr>
          <w:rFonts w:eastAsia="Calibri"/>
          <w:sz w:val="28"/>
          <w:szCs w:val="28"/>
          <w:lang w:eastAsia="en-US"/>
        </w:rPr>
        <w:t xml:space="preserve"> [rs1800896] та </w:t>
      </w:r>
      <w:r w:rsidRPr="00520861">
        <w:rPr>
          <w:rFonts w:eastAsia="Calibri"/>
          <w:i/>
          <w:sz w:val="28"/>
          <w:szCs w:val="28"/>
          <w:lang w:eastAsia="en-US"/>
        </w:rPr>
        <w:t xml:space="preserve">BMP7: </w:t>
      </w:r>
      <w:r w:rsidRPr="00520861">
        <w:rPr>
          <w:rFonts w:eastAsia="Calibri"/>
          <w:sz w:val="28"/>
          <w:szCs w:val="28"/>
          <w:lang w:eastAsia="en-US"/>
        </w:rPr>
        <w:t xml:space="preserve">[rs72626594] на інтенсивність карієсу постійних зубів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w:t>
      </w:r>
    </w:p>
    <w:p w14:paraId="0CB73F8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 до різних варіантів перебігу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Із раніше </w:t>
      </w:r>
      <w:r w:rsidRPr="00520861">
        <w:rPr>
          <w:rFonts w:eastAsia="Calibri"/>
          <w:sz w:val="28"/>
          <w:szCs w:val="28"/>
          <w:lang w:eastAsia="en-US"/>
        </w:rPr>
        <w:br/>
        <w:t xml:space="preserve">обстежених осіб довільно відібрано 81 особу віком від 18 до 52 років. Проаналізовано асоціацію між поліморфними варіантами генів </w:t>
      </w:r>
      <w:r w:rsidRPr="00520861">
        <w:rPr>
          <w:rFonts w:eastAsia="Calibri"/>
          <w:i/>
          <w:sz w:val="28"/>
          <w:szCs w:val="28"/>
          <w:lang w:eastAsia="en-US"/>
        </w:rPr>
        <w:t>CYP19A1:</w:t>
      </w:r>
      <w:r w:rsidRPr="00520861">
        <w:rPr>
          <w:rFonts w:eastAsia="Calibri"/>
          <w:sz w:val="28"/>
          <w:szCs w:val="28"/>
          <w:lang w:eastAsia="en-US"/>
        </w:rPr>
        <w:t xml:space="preserve"> [rs2414096, rs936306], </w:t>
      </w:r>
      <w:r w:rsidRPr="00520861">
        <w:rPr>
          <w:rFonts w:eastAsia="Calibri"/>
          <w:i/>
          <w:sz w:val="28"/>
          <w:szCs w:val="28"/>
          <w:lang w:eastAsia="en-US"/>
        </w:rPr>
        <w:t xml:space="preserve">ESR1: </w:t>
      </w:r>
      <w:r w:rsidRPr="00520861">
        <w:rPr>
          <w:rFonts w:eastAsia="Calibri"/>
          <w:sz w:val="28"/>
          <w:szCs w:val="28"/>
          <w:lang w:eastAsia="en-US"/>
        </w:rPr>
        <w:t xml:space="preserve">[rs2234693, rs9340799],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w:t>
      </w:r>
      <w:r w:rsidRPr="00520861">
        <w:rPr>
          <w:rFonts w:eastAsia="Calibri"/>
          <w:sz w:val="28"/>
          <w:szCs w:val="28"/>
          <w:lang w:eastAsia="en-US"/>
        </w:rPr>
        <w:t xml:space="preserve"> [rs1143627], </w:t>
      </w:r>
      <w:r w:rsidRPr="00520861">
        <w:rPr>
          <w:rFonts w:eastAsia="Calibri"/>
          <w:i/>
          <w:sz w:val="28"/>
          <w:szCs w:val="28"/>
          <w:lang w:eastAsia="en-US"/>
        </w:rPr>
        <w:t>IL6:</w:t>
      </w:r>
      <w:r w:rsidRPr="00520861">
        <w:rPr>
          <w:rFonts w:eastAsia="Calibri"/>
          <w:sz w:val="28"/>
          <w:szCs w:val="28"/>
          <w:lang w:eastAsia="en-US"/>
        </w:rPr>
        <w:t xml:space="preserve"> [rs1800796], </w:t>
      </w:r>
      <w:r w:rsidRPr="00520861">
        <w:rPr>
          <w:rFonts w:eastAsia="Calibri"/>
          <w:i/>
          <w:sz w:val="28"/>
          <w:szCs w:val="28"/>
          <w:lang w:eastAsia="en-US"/>
        </w:rPr>
        <w:t>IL10:</w:t>
      </w:r>
      <w:r w:rsidRPr="00520861">
        <w:rPr>
          <w:rFonts w:eastAsia="Calibri"/>
          <w:sz w:val="28"/>
          <w:szCs w:val="28"/>
          <w:lang w:eastAsia="en-US"/>
        </w:rPr>
        <w:t xml:space="preserve"> [rs1800896], </w:t>
      </w:r>
      <w:r w:rsidRPr="00520861">
        <w:rPr>
          <w:rFonts w:eastAsia="Calibri"/>
          <w:i/>
          <w:sz w:val="28"/>
          <w:szCs w:val="28"/>
          <w:lang w:eastAsia="en-US"/>
        </w:rPr>
        <w:t xml:space="preserve">RANKL: </w:t>
      </w:r>
      <w:r w:rsidRPr="00520861">
        <w:rPr>
          <w:rFonts w:eastAsia="Calibri"/>
          <w:sz w:val="28"/>
          <w:szCs w:val="28"/>
          <w:lang w:eastAsia="en-US"/>
        </w:rPr>
        <w:t xml:space="preserve">[rs9594738, rs9594759] і </w:t>
      </w:r>
      <w:r w:rsidRPr="00520861">
        <w:rPr>
          <w:rFonts w:eastAsia="Calibri"/>
          <w:i/>
          <w:sz w:val="28"/>
          <w:szCs w:val="28"/>
          <w:lang w:eastAsia="en-US"/>
        </w:rPr>
        <w:t>VDR:</w:t>
      </w:r>
      <w:r w:rsidRPr="00520861">
        <w:rPr>
          <w:rFonts w:eastAsia="Calibri"/>
          <w:sz w:val="28"/>
          <w:szCs w:val="28"/>
          <w:lang w:eastAsia="en-US"/>
        </w:rPr>
        <w:t xml:space="preserve"> [rs1544410, rs10735810] </w:t>
      </w:r>
      <w:r w:rsidRPr="00520861">
        <w:rPr>
          <w:rFonts w:eastAsia="Calibri"/>
          <w:spacing w:val="-2"/>
          <w:sz w:val="28"/>
          <w:szCs w:val="28"/>
          <w:lang w:eastAsia="en-US"/>
        </w:rPr>
        <w:t xml:space="preserve">та формуванням порушень тканин </w:t>
      </w:r>
      <w:proofErr w:type="spellStart"/>
      <w:r w:rsidRPr="00520861">
        <w:rPr>
          <w:rFonts w:eastAsia="Calibri"/>
          <w:spacing w:val="-2"/>
          <w:sz w:val="28"/>
          <w:szCs w:val="28"/>
          <w:lang w:eastAsia="en-US"/>
        </w:rPr>
        <w:t>пародонта</w:t>
      </w:r>
      <w:proofErr w:type="spellEnd"/>
      <w:r w:rsidRPr="00520861">
        <w:rPr>
          <w:rFonts w:eastAsia="Calibri"/>
          <w:spacing w:val="-2"/>
          <w:sz w:val="28"/>
          <w:szCs w:val="28"/>
          <w:lang w:eastAsia="en-US"/>
        </w:rPr>
        <w:t xml:space="preserve"> з превалюванням запального (</w:t>
      </w:r>
      <w:proofErr w:type="spellStart"/>
      <w:r w:rsidRPr="00520861">
        <w:rPr>
          <w:rFonts w:eastAsia="Calibri"/>
          <w:spacing w:val="-2"/>
          <w:sz w:val="28"/>
          <w:szCs w:val="28"/>
          <w:lang w:eastAsia="en-US"/>
        </w:rPr>
        <w:t>пародонтит</w:t>
      </w:r>
      <w:proofErr w:type="spellEnd"/>
      <w:r w:rsidRPr="00520861">
        <w:rPr>
          <w:rFonts w:eastAsia="Calibri"/>
          <w:spacing w:val="-2"/>
          <w:sz w:val="28"/>
          <w:szCs w:val="28"/>
          <w:lang w:eastAsia="en-US"/>
        </w:rPr>
        <w:t xml:space="preserve">) чи дистрофічного (пародонтоз) варіантів перебігу в осіб, які народилися </w:t>
      </w:r>
      <w:proofErr w:type="spellStart"/>
      <w:r w:rsidRPr="00520861">
        <w:rPr>
          <w:rFonts w:eastAsia="Calibri"/>
          <w:spacing w:val="-2"/>
          <w:sz w:val="28"/>
          <w:szCs w:val="28"/>
          <w:lang w:eastAsia="en-US"/>
        </w:rPr>
        <w:t>макросомами</w:t>
      </w:r>
      <w:proofErr w:type="spellEnd"/>
      <w:r w:rsidRPr="00520861">
        <w:rPr>
          <w:rFonts w:eastAsia="Calibri"/>
          <w:spacing w:val="-2"/>
          <w:sz w:val="28"/>
          <w:szCs w:val="28"/>
          <w:lang w:eastAsia="en-US"/>
        </w:rPr>
        <w:t>.</w:t>
      </w:r>
    </w:p>
    <w:p w14:paraId="6D0CA7DB" w14:textId="77777777" w:rsidR="00CF641C" w:rsidRPr="00520861" w:rsidRDefault="00CF641C" w:rsidP="00292D2E">
      <w:pPr>
        <w:widowControl w:val="0"/>
        <w:spacing w:after="160" w:line="259" w:lineRule="auto"/>
        <w:ind w:left="709"/>
        <w:jc w:val="both"/>
        <w:rPr>
          <w:b/>
          <w:sz w:val="28"/>
          <w:szCs w:val="28"/>
        </w:rPr>
      </w:pPr>
    </w:p>
    <w:p w14:paraId="199074E5" w14:textId="77777777" w:rsidR="00CF641C" w:rsidRPr="00520861" w:rsidRDefault="00CF641C" w:rsidP="00292D2E">
      <w:pPr>
        <w:widowControl w:val="0"/>
        <w:spacing w:after="160" w:line="259" w:lineRule="auto"/>
        <w:ind w:left="709"/>
        <w:jc w:val="both"/>
        <w:rPr>
          <w:rFonts w:eastAsia="Calibri"/>
          <w:b/>
          <w:sz w:val="28"/>
          <w:szCs w:val="28"/>
          <w:lang w:eastAsia="en-US"/>
        </w:rPr>
      </w:pPr>
      <w:r w:rsidRPr="00520861">
        <w:rPr>
          <w:b/>
          <w:sz w:val="28"/>
          <w:szCs w:val="28"/>
        </w:rPr>
        <w:lastRenderedPageBreak/>
        <w:t>2.2. Загальна</w:t>
      </w:r>
      <w:r w:rsidRPr="00520861">
        <w:rPr>
          <w:rFonts w:eastAsia="Calibri"/>
          <w:b/>
          <w:sz w:val="28"/>
          <w:szCs w:val="28"/>
          <w:lang w:eastAsia="en-US"/>
        </w:rPr>
        <w:t xml:space="preserve"> характеристика об’єктів дослідження</w:t>
      </w:r>
    </w:p>
    <w:p w14:paraId="55E1443D" w14:textId="77777777" w:rsidR="00CF641C" w:rsidRPr="00520861" w:rsidRDefault="00CF641C" w:rsidP="00292D2E">
      <w:pPr>
        <w:widowControl w:val="0"/>
        <w:spacing w:after="160" w:line="259" w:lineRule="auto"/>
        <w:ind w:left="1129"/>
        <w:contextualSpacing/>
        <w:jc w:val="both"/>
        <w:rPr>
          <w:rFonts w:eastAsia="Calibri"/>
          <w:b/>
          <w:sz w:val="28"/>
          <w:szCs w:val="28"/>
          <w:lang w:eastAsia="en-US"/>
        </w:rPr>
      </w:pPr>
    </w:p>
    <w:p w14:paraId="3E03CA34" w14:textId="77777777" w:rsidR="00CF641C" w:rsidRPr="00520861" w:rsidRDefault="00CF641C" w:rsidP="00292D2E">
      <w:pPr>
        <w:widowControl w:val="0"/>
        <w:spacing w:line="360" w:lineRule="auto"/>
        <w:ind w:firstLine="720"/>
        <w:jc w:val="both"/>
        <w:rPr>
          <w:sz w:val="28"/>
          <w:szCs w:val="28"/>
        </w:rPr>
      </w:pPr>
      <w:r w:rsidRPr="00520861">
        <w:rPr>
          <w:sz w:val="28"/>
          <w:szCs w:val="28"/>
        </w:rPr>
        <w:t xml:space="preserve">Групи осіб, які брали участь у дослідженні, формувалися відповідно до вимог проблематики дисертаційної роботи, а саме: для порівняльного статистичного аналізу особливостей стоматологічного статусу осіб, які народилися </w:t>
      </w:r>
      <w:proofErr w:type="spellStart"/>
      <w:r w:rsidRPr="00520861">
        <w:rPr>
          <w:sz w:val="28"/>
          <w:szCs w:val="28"/>
        </w:rPr>
        <w:t>макросомами</w:t>
      </w:r>
      <w:proofErr w:type="spellEnd"/>
      <w:r w:rsidRPr="00520861">
        <w:rPr>
          <w:sz w:val="28"/>
          <w:szCs w:val="28"/>
        </w:rPr>
        <w:t xml:space="preserve">, та осіб, чиї параметри при народженні відповідали нормі. </w:t>
      </w:r>
      <w:r w:rsidRPr="00520861">
        <w:rPr>
          <w:rFonts w:eastAsia="Calibri"/>
          <w:sz w:val="28"/>
          <w:szCs w:val="28"/>
          <w:lang w:eastAsia="en-US"/>
        </w:rPr>
        <w:t xml:space="preserve">Усіх осіб ОГ, які були </w:t>
      </w:r>
      <w:r w:rsidRPr="00520861">
        <w:rPr>
          <w:rFonts w:eastAsia="Calibri"/>
          <w:sz w:val="28"/>
          <w:szCs w:val="28"/>
          <w:lang w:eastAsia="en-US"/>
        </w:rPr>
        <w:br/>
        <w:t xml:space="preserve">народжені великими до </w:t>
      </w:r>
      <w:proofErr w:type="spellStart"/>
      <w:r w:rsidRPr="00520861">
        <w:rPr>
          <w:rFonts w:eastAsia="Calibri"/>
          <w:sz w:val="28"/>
          <w:szCs w:val="28"/>
          <w:lang w:eastAsia="en-US"/>
        </w:rPr>
        <w:t>гестаційного</w:t>
      </w:r>
      <w:proofErr w:type="spellEnd"/>
      <w:r w:rsidRPr="00520861">
        <w:rPr>
          <w:rFonts w:eastAsia="Calibri"/>
          <w:sz w:val="28"/>
          <w:szCs w:val="28"/>
          <w:lang w:eastAsia="en-US"/>
        </w:rPr>
        <w:t xml:space="preserve"> віку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розділяли з використанням класифікації Грищенка В. І. й співавторів на гармонійно розвинених новонароджених, новонароджених із відносно зниженою масою тіла та новонароджених із </w:t>
      </w:r>
      <w:r w:rsidRPr="00520861">
        <w:rPr>
          <w:rFonts w:eastAsia="Calibri"/>
          <w:sz w:val="28"/>
          <w:szCs w:val="28"/>
          <w:lang w:eastAsia="en-US"/>
        </w:rPr>
        <w:br/>
        <w:t xml:space="preserve">надмірною масою тіла в поєднанні як з великою довжиною тіла, так й із середніми її значеннями на основі величини коефіцієнта гармонійності (або індексу маси тіла), який ураховує МРП дитини при народженні [82]. </w:t>
      </w:r>
    </w:p>
    <w:p w14:paraId="3270F1E7" w14:textId="77777777" w:rsidR="00CF641C" w:rsidRPr="00520861" w:rsidRDefault="00CF641C" w:rsidP="00292D2E">
      <w:pPr>
        <w:widowControl w:val="0"/>
        <w:spacing w:line="360" w:lineRule="auto"/>
        <w:ind w:firstLine="720"/>
        <w:jc w:val="both"/>
        <w:rPr>
          <w:rFonts w:eastAsia="Calibri"/>
          <w:spacing w:val="-2"/>
          <w:sz w:val="28"/>
          <w:szCs w:val="28"/>
          <w:lang w:eastAsia="en-US"/>
        </w:rPr>
      </w:pPr>
      <w:r w:rsidRPr="00520861">
        <w:rPr>
          <w:rFonts w:eastAsia="Calibri"/>
          <w:spacing w:val="-2"/>
          <w:sz w:val="28"/>
          <w:szCs w:val="28"/>
          <w:lang w:eastAsia="en-US"/>
        </w:rPr>
        <w:t xml:space="preserve">До підгрупи 1 було віднесено осіб, які народилися довгими та гармонійно розвиненими. Їхній індекс маси тіла (ІМТ) був зіставним із таким індексом у ГП. </w:t>
      </w:r>
    </w:p>
    <w:p w14:paraId="31FCE98F" w14:textId="77777777" w:rsidR="00CF641C" w:rsidRPr="00520861" w:rsidRDefault="00CF641C"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До підгрупи 2 віднесли осіб, які на момент народження були довгими та мали відносно знижену масу тіла (їхній ІМТ був вірогідно меншим, ніж у ГП). </w:t>
      </w:r>
    </w:p>
    <w:p w14:paraId="4E98E718" w14:textId="77777777" w:rsidR="00CF641C" w:rsidRPr="00520861" w:rsidRDefault="00CF641C"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Підгрупа 3 складалася з осіб, які при народженні були довгими та мали ознаки надмірної маси тіла (ІМТ був вірогідно більшим за такий індекс у ГП).</w:t>
      </w:r>
    </w:p>
    <w:p w14:paraId="5AE65CE2" w14:textId="77777777" w:rsidR="00CF641C" w:rsidRPr="00520861" w:rsidRDefault="00CF641C"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Підгрупа 4 складалася з дітей, довжина тіла яких при народженні була зіставною з довжиною тіла осіб ГП, а ІМТ свідчив про наявність надмірної маси тіла (ВУ ожиріння за даними проф. Грищенка В. І. й співавторів [82]).</w:t>
      </w:r>
    </w:p>
    <w:p w14:paraId="528629C9" w14:textId="77777777" w:rsidR="00CF641C" w:rsidRPr="00520861" w:rsidRDefault="00CF641C" w:rsidP="00292D2E">
      <w:pPr>
        <w:widowControl w:val="0"/>
        <w:spacing w:line="360" w:lineRule="auto"/>
        <w:ind w:firstLine="720"/>
        <w:jc w:val="both"/>
        <w:rPr>
          <w:bCs/>
          <w:sz w:val="28"/>
          <w:szCs w:val="28"/>
          <w:shd w:val="clear" w:color="auto" w:fill="FFFFFF"/>
        </w:rPr>
      </w:pPr>
      <w:r w:rsidRPr="00520861">
        <w:rPr>
          <w:sz w:val="28"/>
          <w:szCs w:val="28"/>
        </w:rPr>
        <w:t xml:space="preserve">Беручи до уваги, що кожному віковому проміжку притаманні певні </w:t>
      </w:r>
      <w:r w:rsidRPr="00520861">
        <w:rPr>
          <w:sz w:val="28"/>
          <w:szCs w:val="28"/>
        </w:rPr>
        <w:br/>
        <w:t>особливості стоматологічного статусу, в</w:t>
      </w:r>
      <w:r w:rsidRPr="00520861">
        <w:rPr>
          <w:bCs/>
          <w:sz w:val="28"/>
          <w:szCs w:val="28"/>
          <w:shd w:val="clear" w:color="auto" w:fill="FFFFFF"/>
        </w:rPr>
        <w:t xml:space="preserve">сі учасники дослідження також були розділені за їхнім віковим періодом </w:t>
      </w:r>
      <w:r w:rsidRPr="00520861">
        <w:rPr>
          <w:rFonts w:eastAsia="Calibri"/>
          <w:bCs/>
          <w:sz w:val="28"/>
          <w:szCs w:val="28"/>
          <w:lang w:eastAsia="en-US"/>
        </w:rPr>
        <w:t>(ВП) на момент дослідження</w:t>
      </w:r>
      <w:r w:rsidRPr="00520861">
        <w:rPr>
          <w:bCs/>
          <w:sz w:val="28"/>
          <w:szCs w:val="28"/>
          <w:shd w:val="clear" w:color="auto" w:fill="FFFFFF"/>
        </w:rPr>
        <w:t xml:space="preserve">. При визначенні ВП для осіб молодшого віку орієнтувалися на класифікацію </w:t>
      </w:r>
      <w:proofErr w:type="spellStart"/>
      <w:r w:rsidRPr="00520861">
        <w:rPr>
          <w:bCs/>
          <w:sz w:val="28"/>
          <w:szCs w:val="28"/>
        </w:rPr>
        <w:t>Зубкової</w:t>
      </w:r>
      <w:proofErr w:type="spellEnd"/>
      <w:r w:rsidRPr="00520861">
        <w:rPr>
          <w:bCs/>
          <w:sz w:val="28"/>
          <w:szCs w:val="28"/>
        </w:rPr>
        <w:t xml:space="preserve"> Л. П., </w:t>
      </w:r>
      <w:r w:rsidRPr="00520861">
        <w:rPr>
          <w:bCs/>
          <w:sz w:val="28"/>
          <w:szCs w:val="28"/>
        </w:rPr>
        <w:br/>
      </w:r>
      <w:proofErr w:type="spellStart"/>
      <w:r w:rsidRPr="00520861">
        <w:rPr>
          <w:bCs/>
          <w:sz w:val="28"/>
          <w:szCs w:val="28"/>
        </w:rPr>
        <w:t>Хорошилкіної</w:t>
      </w:r>
      <w:proofErr w:type="spellEnd"/>
      <w:r w:rsidRPr="00520861">
        <w:rPr>
          <w:bCs/>
          <w:sz w:val="28"/>
          <w:szCs w:val="28"/>
        </w:rPr>
        <w:t> Ф. Я. (1993)</w:t>
      </w:r>
      <w:r w:rsidRPr="00520861">
        <w:rPr>
          <w:bCs/>
          <w:sz w:val="28"/>
          <w:szCs w:val="28"/>
          <w:shd w:val="clear" w:color="auto" w:fill="FFFFFF"/>
        </w:rPr>
        <w:t xml:space="preserve"> [202]. </w:t>
      </w:r>
      <w:r w:rsidRPr="00520861">
        <w:rPr>
          <w:rFonts w:eastAsia="Calibri"/>
          <w:bCs/>
          <w:sz w:val="28"/>
          <w:szCs w:val="28"/>
          <w:lang w:eastAsia="en-US"/>
        </w:rPr>
        <w:t xml:space="preserve">За основу розділення на ВП учасників дослідження, які мали постійний прикус, прийнята класифікація ВООЗ. </w:t>
      </w:r>
    </w:p>
    <w:p w14:paraId="7FFDDC22" w14:textId="77777777" w:rsidR="00CF641C" w:rsidRPr="00520861" w:rsidRDefault="00CF641C" w:rsidP="00292D2E">
      <w:pPr>
        <w:widowControl w:val="0"/>
        <w:spacing w:line="360" w:lineRule="auto"/>
        <w:ind w:firstLine="708"/>
        <w:jc w:val="both"/>
        <w:rPr>
          <w:bCs/>
          <w:sz w:val="28"/>
          <w:szCs w:val="28"/>
        </w:rPr>
      </w:pPr>
      <w:r w:rsidRPr="00520861">
        <w:rPr>
          <w:bCs/>
          <w:sz w:val="28"/>
          <w:szCs w:val="28"/>
        </w:rPr>
        <w:t xml:space="preserve">Критерієм виключення з дослідження була наявність грубих вад розвитку, </w:t>
      </w:r>
      <w:r w:rsidRPr="00520861">
        <w:rPr>
          <w:bCs/>
          <w:sz w:val="28"/>
          <w:szCs w:val="28"/>
        </w:rPr>
        <w:br/>
        <w:t xml:space="preserve">відсутність відомостей про МРП при народженні, передчасне народження, маса тіла при народженні 2,7 кг і менше. </w:t>
      </w:r>
    </w:p>
    <w:p w14:paraId="48F2F591" w14:textId="77777777" w:rsidR="00CF641C" w:rsidRPr="00520861" w:rsidRDefault="00CF641C" w:rsidP="00292D2E">
      <w:pPr>
        <w:widowControl w:val="0"/>
        <w:autoSpaceDE w:val="0"/>
        <w:autoSpaceDN w:val="0"/>
        <w:adjustRightInd w:val="0"/>
        <w:spacing w:line="360" w:lineRule="auto"/>
        <w:ind w:firstLine="709"/>
        <w:jc w:val="both"/>
        <w:rPr>
          <w:rFonts w:eastAsia="Calibri"/>
          <w:i/>
          <w:color w:val="000000"/>
          <w:sz w:val="28"/>
          <w:szCs w:val="28"/>
          <w:lang w:eastAsia="en-US"/>
        </w:rPr>
      </w:pPr>
      <w:r w:rsidRPr="00520861">
        <w:rPr>
          <w:rFonts w:eastAsia="Calibri"/>
          <w:color w:val="000000"/>
          <w:sz w:val="28"/>
          <w:szCs w:val="28"/>
          <w:lang w:eastAsia="en-US"/>
        </w:rPr>
        <w:lastRenderedPageBreak/>
        <w:t xml:space="preserve">Критерії включення в дослідження такі: особа, яка дала згоду на участь </w:t>
      </w:r>
      <w:r w:rsidRPr="00520861">
        <w:rPr>
          <w:rFonts w:eastAsia="Calibri"/>
          <w:color w:val="000000"/>
          <w:sz w:val="28"/>
          <w:szCs w:val="28"/>
          <w:lang w:eastAsia="en-US"/>
        </w:rPr>
        <w:br/>
        <w:t>у дослідженні та в якої відсутні вищезазначені критерії виключення.</w:t>
      </w:r>
    </w:p>
    <w:p w14:paraId="2BC3A733" w14:textId="77777777" w:rsidR="00CF641C" w:rsidRPr="00520861" w:rsidRDefault="00CF641C" w:rsidP="00292D2E">
      <w:pPr>
        <w:widowControl w:val="0"/>
        <w:spacing w:line="360" w:lineRule="auto"/>
        <w:ind w:firstLine="708"/>
        <w:jc w:val="both"/>
        <w:rPr>
          <w:rFonts w:eastAsia="Calibri"/>
          <w:spacing w:val="-4"/>
          <w:sz w:val="28"/>
          <w:szCs w:val="28"/>
          <w:lang w:eastAsia="en-US"/>
        </w:rPr>
      </w:pPr>
      <w:r w:rsidRPr="00520861">
        <w:rPr>
          <w:rFonts w:eastAsia="Calibri"/>
          <w:sz w:val="28"/>
          <w:szCs w:val="28"/>
          <w:lang w:eastAsia="en-US"/>
        </w:rPr>
        <w:t>До першого вікового періоду (ВП-І) у межах нашого дослідження було віднесено дітей від народження до віку 1 року</w:t>
      </w:r>
      <w:r w:rsidRPr="00520861">
        <w:rPr>
          <w:bCs/>
          <w:sz w:val="28"/>
          <w:szCs w:val="28"/>
          <w:shd w:val="clear" w:color="auto" w:fill="FFFFFF"/>
        </w:rPr>
        <w:t xml:space="preserve">. До цього ВП також було віднесено дітей, які не мали зубів у віці 1 року, їх додатково обстежували на момент прорізування першого зуба (до віку 20 місяців). Дітей віком від 20 місяців до 3 років у нашому дослідженні не було. До другого вікового періоду (ВП-ІІ) було віднесено дітей в період сформованого тимчасового прикусу у віці від 3 до 4,5 року. До третього вікового періоду (ВП-ІІІ) віднесли дітей у період редукції тимчасового прикусу віком від 4,5 до 6 років, які ще не мали постійних зубів. До четвертого вікового періоду (ВП-ІV) було віднесено дітей у період змінного прикусу віком від 6 до 11 </w:t>
      </w:r>
      <w:r w:rsidRPr="00520861">
        <w:rPr>
          <w:rFonts w:eastAsia="Calibri"/>
          <w:sz w:val="28"/>
          <w:szCs w:val="28"/>
          <w:lang w:eastAsia="en-US"/>
        </w:rPr>
        <w:t xml:space="preserve">– </w:t>
      </w:r>
      <w:r w:rsidRPr="00520861">
        <w:rPr>
          <w:bCs/>
          <w:sz w:val="28"/>
          <w:szCs w:val="28"/>
          <w:shd w:val="clear" w:color="auto" w:fill="FFFFFF"/>
        </w:rPr>
        <w:t>12 років, у яких ще не почалися</w:t>
      </w:r>
      <w:r w:rsidRPr="00520861">
        <w:rPr>
          <w:rFonts w:eastAsia="Calibri"/>
          <w:sz w:val="28"/>
          <w:szCs w:val="28"/>
          <w:lang w:eastAsia="en-US"/>
        </w:rPr>
        <w:t xml:space="preserve"> процеси прорізування других постійних молярів</w:t>
      </w:r>
      <w:r w:rsidRPr="00520861">
        <w:rPr>
          <w:bCs/>
          <w:sz w:val="28"/>
          <w:szCs w:val="28"/>
          <w:shd w:val="clear" w:color="auto" w:fill="FFFFFF"/>
        </w:rPr>
        <w:t xml:space="preserve">. </w:t>
      </w:r>
      <w:r w:rsidRPr="00520861">
        <w:rPr>
          <w:rFonts w:eastAsia="Calibri"/>
          <w:sz w:val="28"/>
          <w:szCs w:val="28"/>
          <w:lang w:eastAsia="en-US"/>
        </w:rPr>
        <w:t>До п’ятого</w:t>
      </w:r>
      <w:r w:rsidRPr="00520861">
        <w:rPr>
          <w:rFonts w:eastAsia="Calibri"/>
          <w:i/>
          <w:sz w:val="28"/>
          <w:szCs w:val="28"/>
          <w:lang w:eastAsia="en-US"/>
        </w:rPr>
        <w:t xml:space="preserve"> </w:t>
      </w:r>
      <w:r w:rsidRPr="00520861">
        <w:rPr>
          <w:rFonts w:eastAsia="Calibri"/>
          <w:sz w:val="28"/>
          <w:szCs w:val="28"/>
          <w:lang w:eastAsia="en-US"/>
        </w:rPr>
        <w:t>вікового періоду</w:t>
      </w:r>
      <w:r w:rsidRPr="00520861">
        <w:rPr>
          <w:rFonts w:eastAsia="Calibri"/>
          <w:i/>
          <w:sz w:val="28"/>
          <w:szCs w:val="28"/>
          <w:lang w:eastAsia="en-US"/>
        </w:rPr>
        <w:t xml:space="preserve"> </w:t>
      </w:r>
      <w:r w:rsidRPr="00520861">
        <w:rPr>
          <w:bCs/>
          <w:sz w:val="28"/>
          <w:szCs w:val="28"/>
          <w:shd w:val="clear" w:color="auto" w:fill="FFFFFF"/>
        </w:rPr>
        <w:t xml:space="preserve">(ВП-V) </w:t>
      </w:r>
      <w:r w:rsidRPr="00520861">
        <w:rPr>
          <w:rFonts w:eastAsia="Calibri"/>
          <w:sz w:val="28"/>
          <w:szCs w:val="28"/>
          <w:lang w:eastAsia="en-US"/>
        </w:rPr>
        <w:t>було віднесено підлітків віком від 11 – 12 до 17 років, у яких на момент дослідження були наявні всі постійні зуби</w:t>
      </w:r>
      <w:r w:rsidR="00CF0349" w:rsidRPr="00520861">
        <w:rPr>
          <w:rFonts w:eastAsia="Calibri"/>
          <w:sz w:val="28"/>
          <w:szCs w:val="28"/>
          <w:lang w:eastAsia="en-US"/>
        </w:rPr>
        <w:t>,</w:t>
      </w:r>
      <w:r w:rsidRPr="00520861">
        <w:rPr>
          <w:rFonts w:eastAsia="Calibri"/>
          <w:sz w:val="28"/>
          <w:szCs w:val="28"/>
          <w:lang w:eastAsia="en-US"/>
        </w:rPr>
        <w:t xml:space="preserve"> за винятком третіх молярів. До </w:t>
      </w:r>
      <w:r w:rsidR="00CF0349" w:rsidRPr="00520861">
        <w:rPr>
          <w:rFonts w:eastAsia="Calibri"/>
          <w:sz w:val="28"/>
          <w:szCs w:val="28"/>
          <w:lang w:eastAsia="en-US"/>
        </w:rPr>
        <w:br/>
      </w:r>
      <w:r w:rsidRPr="00520861">
        <w:rPr>
          <w:rFonts w:eastAsia="Calibri"/>
          <w:sz w:val="28"/>
          <w:szCs w:val="28"/>
          <w:lang w:eastAsia="en-US"/>
        </w:rPr>
        <w:t>шостого вікового періоду</w:t>
      </w:r>
      <w:r w:rsidRPr="00520861">
        <w:rPr>
          <w:rFonts w:eastAsia="Calibri"/>
          <w:i/>
          <w:sz w:val="28"/>
          <w:szCs w:val="28"/>
          <w:lang w:eastAsia="en-US"/>
        </w:rPr>
        <w:t xml:space="preserve"> </w:t>
      </w:r>
      <w:r w:rsidRPr="00520861">
        <w:rPr>
          <w:bCs/>
          <w:sz w:val="28"/>
          <w:szCs w:val="28"/>
          <w:shd w:val="clear" w:color="auto" w:fill="FFFFFF"/>
        </w:rPr>
        <w:t xml:space="preserve">(ВП-VІ) </w:t>
      </w:r>
      <w:r w:rsidRPr="00520861">
        <w:rPr>
          <w:rFonts w:eastAsia="Calibri"/>
          <w:sz w:val="28"/>
          <w:szCs w:val="28"/>
          <w:lang w:eastAsia="en-US"/>
        </w:rPr>
        <w:t xml:space="preserve">було віднесено учасників дослідження віком 18 – 24 роки. Тобто період формування постійного прикусу в нашому дослідженні був розділений на </w:t>
      </w:r>
      <w:r w:rsidRPr="00520861">
        <w:rPr>
          <w:bCs/>
          <w:sz w:val="28"/>
          <w:szCs w:val="28"/>
          <w:shd w:val="clear" w:color="auto" w:fill="FFFFFF"/>
        </w:rPr>
        <w:t xml:space="preserve">ВП-V та ВП-VІ з метою виокремлення підлітків та урахування змін стану ПР, що притаманні підліткам у пубертатний період. Оскільки </w:t>
      </w:r>
      <w:r w:rsidRPr="00520861">
        <w:rPr>
          <w:bCs/>
          <w:sz w:val="28"/>
          <w:szCs w:val="28"/>
          <w:shd w:val="clear" w:color="auto" w:fill="FFFFFF"/>
        </w:rPr>
        <w:br/>
        <w:t xml:space="preserve">дослідження тривало декілька років, при аналізі біохімічних показників РР межі ВП-VІ було дещо розширено. </w:t>
      </w:r>
      <w:r w:rsidRPr="00520861">
        <w:rPr>
          <w:rFonts w:eastAsia="Calibri"/>
          <w:spacing w:val="-4"/>
          <w:sz w:val="28"/>
          <w:szCs w:val="28"/>
          <w:lang w:eastAsia="en-US"/>
        </w:rPr>
        <w:t xml:space="preserve">До сьомого вікового періоду </w:t>
      </w:r>
      <w:r w:rsidRPr="00520861">
        <w:rPr>
          <w:bCs/>
          <w:spacing w:val="-4"/>
          <w:sz w:val="28"/>
          <w:szCs w:val="28"/>
          <w:shd w:val="clear" w:color="auto" w:fill="FFFFFF"/>
        </w:rPr>
        <w:t>(ВП-VІІ)</w:t>
      </w:r>
      <w:r w:rsidRPr="00520861">
        <w:rPr>
          <w:rFonts w:eastAsia="Calibri"/>
          <w:spacing w:val="-4"/>
          <w:sz w:val="28"/>
          <w:szCs w:val="28"/>
          <w:lang w:eastAsia="en-US"/>
        </w:rPr>
        <w:t xml:space="preserve"> було віднесено учасників дослідження зі сформованим постійним прикусом віком 25 – 44 роки. Згідно з класифікацією ВООЗ цей вік уважається молодим [18]. До </w:t>
      </w:r>
      <w:r w:rsidRPr="00520861">
        <w:rPr>
          <w:bCs/>
          <w:spacing w:val="-4"/>
          <w:sz w:val="28"/>
          <w:szCs w:val="28"/>
          <w:shd w:val="clear" w:color="auto" w:fill="FFFFFF"/>
        </w:rPr>
        <w:t>ВП-VІІІ</w:t>
      </w:r>
      <w:r w:rsidRPr="00520861">
        <w:rPr>
          <w:rFonts w:eastAsia="Calibri"/>
          <w:spacing w:val="-4"/>
          <w:sz w:val="28"/>
          <w:szCs w:val="28"/>
          <w:lang w:eastAsia="en-US"/>
        </w:rPr>
        <w:t xml:space="preserve"> було віднесено </w:t>
      </w:r>
      <w:r w:rsidRPr="00520861">
        <w:rPr>
          <w:rFonts w:eastAsia="Calibri"/>
          <w:spacing w:val="-4"/>
          <w:sz w:val="28"/>
          <w:szCs w:val="28"/>
          <w:lang w:eastAsia="en-US"/>
        </w:rPr>
        <w:br/>
        <w:t xml:space="preserve">учасників дослідження віком від 45 до 55 років, який згідно з класифікацією ВООЗ </w:t>
      </w:r>
      <w:r w:rsidRPr="00520861">
        <w:rPr>
          <w:rFonts w:eastAsia="Calibri"/>
          <w:spacing w:val="-4"/>
          <w:sz w:val="28"/>
          <w:szCs w:val="28"/>
          <w:lang w:eastAsia="en-US"/>
        </w:rPr>
        <w:br/>
        <w:t>відноситься до пізнього віку.</w:t>
      </w:r>
    </w:p>
    <w:p w14:paraId="0BF21C1C" w14:textId="77777777" w:rsidR="00CF641C" w:rsidRPr="00520861" w:rsidRDefault="00CF641C" w:rsidP="00292D2E">
      <w:pPr>
        <w:widowControl w:val="0"/>
        <w:spacing w:line="360" w:lineRule="auto"/>
        <w:ind w:firstLine="708"/>
        <w:jc w:val="both"/>
        <w:rPr>
          <w:bCs/>
          <w:sz w:val="28"/>
          <w:szCs w:val="28"/>
          <w:shd w:val="clear" w:color="auto" w:fill="FFFFFF"/>
        </w:rPr>
      </w:pPr>
    </w:p>
    <w:p w14:paraId="622D03B6" w14:textId="77777777" w:rsidR="00CF641C" w:rsidRPr="00520861" w:rsidRDefault="00CF641C" w:rsidP="00292D2E">
      <w:pPr>
        <w:widowControl w:val="0"/>
        <w:spacing w:line="360" w:lineRule="auto"/>
        <w:ind w:firstLine="709"/>
        <w:jc w:val="both"/>
        <w:rPr>
          <w:b/>
          <w:sz w:val="28"/>
          <w:szCs w:val="28"/>
        </w:rPr>
      </w:pPr>
      <w:r w:rsidRPr="00520861">
        <w:rPr>
          <w:b/>
          <w:sz w:val="28"/>
          <w:szCs w:val="28"/>
        </w:rPr>
        <w:t>2.3. Характеристика груп обстежених осіб</w:t>
      </w:r>
    </w:p>
    <w:p w14:paraId="73F43707" w14:textId="77777777" w:rsidR="00CF641C" w:rsidRPr="00520861" w:rsidRDefault="00CF641C" w:rsidP="00292D2E">
      <w:pPr>
        <w:widowControl w:val="0"/>
        <w:spacing w:line="360" w:lineRule="auto"/>
        <w:contextualSpacing/>
        <w:jc w:val="both"/>
        <w:rPr>
          <w:sz w:val="28"/>
          <w:szCs w:val="28"/>
        </w:rPr>
      </w:pPr>
    </w:p>
    <w:p w14:paraId="7AF0068B"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При проведенні дослідження був використаний ряд незалежних методів. </w:t>
      </w:r>
      <w:r w:rsidRPr="00520861">
        <w:rPr>
          <w:sz w:val="28"/>
          <w:szCs w:val="28"/>
        </w:rPr>
        <w:br/>
        <w:t xml:space="preserve">Із груп обстежених </w:t>
      </w:r>
      <w:proofErr w:type="spellStart"/>
      <w:r w:rsidRPr="00520861">
        <w:rPr>
          <w:sz w:val="28"/>
          <w:szCs w:val="28"/>
        </w:rPr>
        <w:t>макросомів</w:t>
      </w:r>
      <w:proofErr w:type="spellEnd"/>
      <w:r w:rsidRPr="00520861">
        <w:rPr>
          <w:sz w:val="28"/>
          <w:szCs w:val="28"/>
        </w:rPr>
        <w:t xml:space="preserve"> і </w:t>
      </w:r>
      <w:proofErr w:type="spellStart"/>
      <w:r w:rsidRPr="00520861">
        <w:rPr>
          <w:sz w:val="28"/>
          <w:szCs w:val="28"/>
        </w:rPr>
        <w:t>нормосомів</w:t>
      </w:r>
      <w:proofErr w:type="spellEnd"/>
      <w:r w:rsidRPr="00520861">
        <w:rPr>
          <w:sz w:val="28"/>
          <w:szCs w:val="28"/>
        </w:rPr>
        <w:t xml:space="preserve"> були виділені окремі множини учасників, із специфічними характеристиками, які представлені далі. </w:t>
      </w:r>
    </w:p>
    <w:p w14:paraId="6537FE33" w14:textId="77777777" w:rsidR="00CF641C" w:rsidRPr="00520861" w:rsidRDefault="00CF641C" w:rsidP="00292D2E">
      <w:pPr>
        <w:widowControl w:val="0"/>
        <w:spacing w:line="360" w:lineRule="auto"/>
        <w:ind w:firstLine="709"/>
        <w:jc w:val="both"/>
        <w:rPr>
          <w:sz w:val="28"/>
          <w:szCs w:val="28"/>
        </w:rPr>
      </w:pPr>
      <w:r w:rsidRPr="00520861">
        <w:rPr>
          <w:b/>
          <w:sz w:val="28"/>
          <w:szCs w:val="28"/>
        </w:rPr>
        <w:lastRenderedPageBreak/>
        <w:t>2.3.1.</w:t>
      </w:r>
      <w:r w:rsidRPr="00520861">
        <w:rPr>
          <w:rFonts w:eastAsia="Calibri"/>
          <w:sz w:val="28"/>
          <w:szCs w:val="28"/>
          <w:lang w:eastAsia="en-US"/>
        </w:rPr>
        <w:t xml:space="preserve"> </w:t>
      </w:r>
      <w:r w:rsidRPr="00520861">
        <w:rPr>
          <w:b/>
          <w:sz w:val="28"/>
          <w:szCs w:val="28"/>
        </w:rPr>
        <w:t>Характеристика груп для клініко-ретроспективного дослідження.</w:t>
      </w:r>
      <w:r w:rsidRPr="00520861">
        <w:rPr>
          <w:sz w:val="28"/>
          <w:szCs w:val="28"/>
        </w:rPr>
        <w:t xml:space="preserve"> </w:t>
      </w:r>
      <w:r w:rsidRPr="00520861">
        <w:rPr>
          <w:sz w:val="28"/>
          <w:szCs w:val="28"/>
        </w:rPr>
        <w:br/>
        <w:t xml:space="preserve">З метою вивчення можливих причин формування </w:t>
      </w:r>
      <w:proofErr w:type="spellStart"/>
      <w:r w:rsidRPr="00520861">
        <w:rPr>
          <w:sz w:val="28"/>
          <w:szCs w:val="28"/>
        </w:rPr>
        <w:t>макросомії</w:t>
      </w:r>
      <w:proofErr w:type="spellEnd"/>
      <w:r w:rsidRPr="00520861">
        <w:rPr>
          <w:sz w:val="28"/>
          <w:szCs w:val="28"/>
        </w:rPr>
        <w:t xml:space="preserve"> плода,</w:t>
      </w:r>
      <w:r w:rsidRPr="00520861">
        <w:rPr>
          <w:rFonts w:eastAsia="Calibri"/>
          <w:sz w:val="28"/>
          <w:szCs w:val="28"/>
          <w:lang w:eastAsia="en-US"/>
        </w:rPr>
        <w:t xml:space="preserve"> </w:t>
      </w:r>
      <w:proofErr w:type="spellStart"/>
      <w:r w:rsidRPr="00520861">
        <w:rPr>
          <w:rFonts w:eastAsia="Calibri"/>
          <w:sz w:val="28"/>
          <w:szCs w:val="28"/>
          <w:lang w:eastAsia="en-US"/>
        </w:rPr>
        <w:t>оцінення</w:t>
      </w:r>
      <w:proofErr w:type="spellEnd"/>
      <w:r w:rsidRPr="00520861">
        <w:rPr>
          <w:rFonts w:eastAsia="Calibri"/>
          <w:sz w:val="28"/>
          <w:szCs w:val="28"/>
          <w:lang w:eastAsia="en-US"/>
        </w:rPr>
        <w:t xml:space="preserve"> </w:t>
      </w:r>
      <w:r w:rsidRPr="00520861">
        <w:rPr>
          <w:sz w:val="28"/>
          <w:szCs w:val="28"/>
        </w:rPr>
        <w:t xml:space="preserve">термінів початку прорізування зубів і швидкості росту тимчасових зубів у дітей першого року життя, народжених із </w:t>
      </w:r>
      <w:proofErr w:type="spellStart"/>
      <w:r w:rsidRPr="00520861">
        <w:rPr>
          <w:sz w:val="28"/>
          <w:szCs w:val="28"/>
        </w:rPr>
        <w:t>макросомією</w:t>
      </w:r>
      <w:proofErr w:type="spellEnd"/>
      <w:r w:rsidRPr="00520861">
        <w:rPr>
          <w:sz w:val="28"/>
          <w:szCs w:val="28"/>
        </w:rPr>
        <w:t xml:space="preserve">, та вивчення поширеності карієсу в дітей та підлітків, які народилися </w:t>
      </w:r>
      <w:proofErr w:type="spellStart"/>
      <w:r w:rsidRPr="00520861">
        <w:rPr>
          <w:sz w:val="28"/>
          <w:szCs w:val="28"/>
        </w:rPr>
        <w:t>макросомами</w:t>
      </w:r>
      <w:proofErr w:type="spellEnd"/>
      <w:r w:rsidRPr="00520861">
        <w:rPr>
          <w:sz w:val="28"/>
          <w:szCs w:val="28"/>
        </w:rPr>
        <w:t xml:space="preserve">, аналізувалися історії розвитку дітей </w:t>
      </w:r>
      <w:r w:rsidRPr="00520861">
        <w:rPr>
          <w:sz w:val="28"/>
          <w:szCs w:val="28"/>
        </w:rPr>
        <w:br/>
        <w:t xml:space="preserve">першого відділення Харківської міської дитячої поліклініки №23 </w:t>
      </w:r>
      <w:r w:rsidRPr="00520861">
        <w:rPr>
          <w:rFonts w:eastAsia="Calibri"/>
          <w:sz w:val="28"/>
          <w:szCs w:val="28"/>
          <w:lang w:eastAsia="en-US"/>
        </w:rPr>
        <w:t>(Україна)</w:t>
      </w:r>
      <w:r w:rsidRPr="00520861">
        <w:rPr>
          <w:sz w:val="28"/>
          <w:szCs w:val="28"/>
        </w:rPr>
        <w:t>.</w:t>
      </w:r>
    </w:p>
    <w:p w14:paraId="301FE689" w14:textId="77777777" w:rsidR="00CF641C" w:rsidRPr="00520861" w:rsidRDefault="00CF641C" w:rsidP="00292D2E">
      <w:pPr>
        <w:widowControl w:val="0"/>
        <w:spacing w:line="360" w:lineRule="auto"/>
        <w:ind w:firstLine="709"/>
        <w:jc w:val="both"/>
        <w:rPr>
          <w:b/>
          <w:sz w:val="28"/>
          <w:szCs w:val="28"/>
        </w:rPr>
      </w:pPr>
      <w:r w:rsidRPr="00520861">
        <w:rPr>
          <w:b/>
          <w:sz w:val="28"/>
          <w:szCs w:val="28"/>
        </w:rPr>
        <w:t xml:space="preserve">2.3.1.1. Виявлення чинників формування </w:t>
      </w:r>
      <w:proofErr w:type="spellStart"/>
      <w:r w:rsidRPr="00520861">
        <w:rPr>
          <w:b/>
          <w:sz w:val="28"/>
          <w:szCs w:val="28"/>
        </w:rPr>
        <w:t>макросомії</w:t>
      </w:r>
      <w:proofErr w:type="spellEnd"/>
      <w:r w:rsidRPr="00520861">
        <w:rPr>
          <w:b/>
          <w:sz w:val="28"/>
          <w:szCs w:val="28"/>
        </w:rPr>
        <w:t xml:space="preserve"> плода.</w:t>
      </w:r>
      <w:r w:rsidRPr="00520861">
        <w:rPr>
          <w:sz w:val="28"/>
          <w:szCs w:val="28"/>
        </w:rPr>
        <w:t xml:space="preserve"> Задля виявлення можливих передумов для народження дитини з </w:t>
      </w:r>
      <w:proofErr w:type="spellStart"/>
      <w:r w:rsidRPr="00520861">
        <w:rPr>
          <w:sz w:val="28"/>
          <w:szCs w:val="28"/>
        </w:rPr>
        <w:t>макросомією</w:t>
      </w:r>
      <w:proofErr w:type="spellEnd"/>
      <w:r w:rsidRPr="00520861">
        <w:rPr>
          <w:sz w:val="28"/>
          <w:szCs w:val="28"/>
        </w:rPr>
        <w:t xml:space="preserve"> аналізувалися історії розвитку дітей, які народилися з 2001 по 2013 рр. </w:t>
      </w:r>
      <w:r w:rsidRPr="00520861">
        <w:rPr>
          <w:rFonts w:eastAsia="Calibri"/>
          <w:sz w:val="28"/>
          <w:szCs w:val="28"/>
        </w:rPr>
        <w:t xml:space="preserve">Усього було досліджено 3236 історій розвитку дітей, з них 248 (7,66%) склали історії розвитку дітей, які були народжені </w:t>
      </w:r>
      <w:proofErr w:type="spellStart"/>
      <w:r w:rsidRPr="00520861">
        <w:rPr>
          <w:rFonts w:eastAsia="Calibri"/>
          <w:sz w:val="28"/>
          <w:szCs w:val="28"/>
        </w:rPr>
        <w:t>макросомами</w:t>
      </w:r>
      <w:proofErr w:type="spellEnd"/>
      <w:r w:rsidRPr="00520861">
        <w:rPr>
          <w:rFonts w:eastAsia="Calibri"/>
          <w:sz w:val="28"/>
          <w:szCs w:val="28"/>
        </w:rPr>
        <w:t xml:space="preserve">. Для проведення порівняльного аналізу з решти історій </w:t>
      </w:r>
      <w:r w:rsidRPr="00520861">
        <w:rPr>
          <w:rFonts w:eastAsia="Calibri"/>
          <w:sz w:val="28"/>
          <w:szCs w:val="28"/>
        </w:rPr>
        <w:br/>
        <w:t xml:space="preserve">довільно були відібрані 234 історії дітей відповідних років народження та статі, які народилися </w:t>
      </w:r>
      <w:proofErr w:type="spellStart"/>
      <w:r w:rsidRPr="00520861">
        <w:rPr>
          <w:rFonts w:eastAsia="Calibri"/>
          <w:sz w:val="28"/>
          <w:szCs w:val="28"/>
        </w:rPr>
        <w:t>нормосомами</w:t>
      </w:r>
      <w:proofErr w:type="spellEnd"/>
      <w:r w:rsidRPr="00520861">
        <w:rPr>
          <w:rFonts w:eastAsia="Calibri"/>
          <w:sz w:val="28"/>
          <w:szCs w:val="28"/>
        </w:rPr>
        <w:t>.</w:t>
      </w:r>
    </w:p>
    <w:p w14:paraId="52DBE0D9" w14:textId="77777777" w:rsidR="00CF641C" w:rsidRPr="00520861" w:rsidRDefault="00CF641C"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Основна група (ОГ) складалася з медичної документації дітей, народжених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гестаційний</w:t>
      </w:r>
      <w:proofErr w:type="spellEnd"/>
      <w:r w:rsidRPr="00520861">
        <w:rPr>
          <w:rFonts w:eastAsia="Calibri"/>
          <w:sz w:val="28"/>
          <w:szCs w:val="28"/>
          <w:lang w:eastAsia="en-US"/>
        </w:rPr>
        <w:t xml:space="preserve"> вік від 37 до 42 тижнів). Група порівняння (ГП) складалася з медичної документації дітей, народжених у межах від 37 до 42 тижнів з довжиною й масою тіла, які відповідають </w:t>
      </w:r>
      <w:proofErr w:type="spellStart"/>
      <w:r w:rsidRPr="00520861">
        <w:rPr>
          <w:rFonts w:eastAsia="Calibri"/>
          <w:sz w:val="28"/>
          <w:szCs w:val="28"/>
          <w:lang w:eastAsia="en-US"/>
        </w:rPr>
        <w:t>гестаційному</w:t>
      </w:r>
      <w:proofErr w:type="spellEnd"/>
      <w:r w:rsidRPr="00520861">
        <w:rPr>
          <w:rFonts w:eastAsia="Calibri"/>
          <w:sz w:val="28"/>
          <w:szCs w:val="28"/>
          <w:lang w:eastAsia="en-US"/>
        </w:rPr>
        <w:t xml:space="preserve"> віку (</w:t>
      </w:r>
      <w:proofErr w:type="spellStart"/>
      <w:r w:rsidRPr="00520861">
        <w:rPr>
          <w:rFonts w:eastAsia="Calibri"/>
          <w:sz w:val="28"/>
          <w:szCs w:val="28"/>
          <w:lang w:eastAsia="en-US"/>
        </w:rPr>
        <w:t>нормосомія</w:t>
      </w:r>
      <w:proofErr w:type="spellEnd"/>
      <w:r w:rsidRPr="00520861">
        <w:rPr>
          <w:rFonts w:eastAsia="Calibri"/>
          <w:sz w:val="28"/>
          <w:szCs w:val="28"/>
          <w:lang w:eastAsia="en-US"/>
        </w:rPr>
        <w:t xml:space="preserve">). У табл. Б.1.1 наведені осереднені МРП при народженні всіх учасників дослідження. </w:t>
      </w:r>
    </w:p>
    <w:p w14:paraId="584DBED2" w14:textId="77777777" w:rsidR="00CF641C" w:rsidRPr="00520861" w:rsidRDefault="00CF641C" w:rsidP="00292D2E">
      <w:pPr>
        <w:widowControl w:val="0"/>
        <w:spacing w:line="360" w:lineRule="auto"/>
        <w:ind w:firstLine="708"/>
        <w:jc w:val="both"/>
        <w:rPr>
          <w:spacing w:val="-4"/>
          <w:sz w:val="28"/>
          <w:szCs w:val="28"/>
        </w:rPr>
      </w:pPr>
      <w:r w:rsidRPr="00520861">
        <w:rPr>
          <w:b/>
          <w:sz w:val="28"/>
          <w:szCs w:val="28"/>
        </w:rPr>
        <w:t xml:space="preserve">2.3.1.2. Визначення осереднених термінів прорізування і швидкості росту зубів у дітей грудного віку, які народилися </w:t>
      </w:r>
      <w:proofErr w:type="spellStart"/>
      <w:r w:rsidRPr="00520861">
        <w:rPr>
          <w:b/>
          <w:sz w:val="28"/>
          <w:szCs w:val="28"/>
        </w:rPr>
        <w:t>макросомами</w:t>
      </w:r>
      <w:proofErr w:type="spellEnd"/>
      <w:r w:rsidRPr="00520861">
        <w:rPr>
          <w:b/>
          <w:sz w:val="28"/>
          <w:szCs w:val="28"/>
        </w:rPr>
        <w:t xml:space="preserve">. </w:t>
      </w:r>
      <w:r w:rsidRPr="00520861">
        <w:rPr>
          <w:sz w:val="28"/>
          <w:szCs w:val="28"/>
        </w:rPr>
        <w:t xml:space="preserve">Для визначення відмінностей в осереднених термінах початку прорізування зубів і швидкості їх росту в </w:t>
      </w:r>
      <w:proofErr w:type="spellStart"/>
      <w:r w:rsidRPr="00520861">
        <w:rPr>
          <w:sz w:val="28"/>
          <w:szCs w:val="28"/>
        </w:rPr>
        <w:t>макросомів</w:t>
      </w:r>
      <w:proofErr w:type="spellEnd"/>
      <w:r w:rsidRPr="00520861">
        <w:rPr>
          <w:sz w:val="28"/>
          <w:szCs w:val="28"/>
        </w:rPr>
        <w:t xml:space="preserve"> і </w:t>
      </w:r>
      <w:proofErr w:type="spellStart"/>
      <w:r w:rsidRPr="00520861">
        <w:rPr>
          <w:sz w:val="28"/>
          <w:szCs w:val="28"/>
        </w:rPr>
        <w:t>нормосомів</w:t>
      </w:r>
      <w:proofErr w:type="spellEnd"/>
      <w:r w:rsidRPr="00520861">
        <w:rPr>
          <w:sz w:val="28"/>
          <w:szCs w:val="28"/>
        </w:rPr>
        <w:t xml:space="preserve"> перших років життя було збільшено глибину пошуку. Загалом б</w:t>
      </w:r>
      <w:r w:rsidRPr="00520861">
        <w:rPr>
          <w:rFonts w:eastAsia="Calibri"/>
          <w:sz w:val="28"/>
          <w:szCs w:val="28"/>
          <w:lang w:eastAsia="en-US"/>
        </w:rPr>
        <w:t xml:space="preserve">уло проведено ретроспективний аналіз 9177 історій розвитку пацієнтів першого відділення Харківської міської дитячої поліклініки №23 (Україна). </w:t>
      </w:r>
      <w:r w:rsidRPr="00520861">
        <w:rPr>
          <w:rFonts w:eastAsia="Calibri"/>
          <w:spacing w:val="-4"/>
          <w:sz w:val="28"/>
          <w:szCs w:val="28"/>
          <w:lang w:eastAsia="en-US"/>
        </w:rPr>
        <w:t xml:space="preserve">Під час дослідження аналізувалися історії розвитку дітей, які народилися з 1977 по 2013 роки. </w:t>
      </w:r>
    </w:p>
    <w:p w14:paraId="399E5DE6"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До ОГ були віднесені 748 дітей (8,2% від загальної кількості проаналізованих документів; 485 хлопчиків та 263 дівчинки), народжених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й </w:t>
      </w:r>
      <w:proofErr w:type="spellStart"/>
      <w:r w:rsidRPr="00520861">
        <w:rPr>
          <w:rFonts w:eastAsia="Calibri"/>
          <w:sz w:val="28"/>
          <w:szCs w:val="28"/>
          <w:lang w:eastAsia="en-US"/>
        </w:rPr>
        <w:t>гестаційним</w:t>
      </w:r>
      <w:proofErr w:type="spellEnd"/>
      <w:r w:rsidRPr="00520861">
        <w:rPr>
          <w:rFonts w:eastAsia="Calibri"/>
          <w:sz w:val="28"/>
          <w:szCs w:val="28"/>
          <w:lang w:eastAsia="en-US"/>
        </w:rPr>
        <w:t xml:space="preserve"> віком від 37 до 42 тижнів. До ГП з решти історій розвитку дітей довільно були відібрані 706 дітей (413 хлопчиків і 293 дівчинки) з </w:t>
      </w:r>
      <w:proofErr w:type="spellStart"/>
      <w:r w:rsidRPr="00520861">
        <w:rPr>
          <w:rFonts w:eastAsia="Calibri"/>
          <w:sz w:val="28"/>
          <w:szCs w:val="28"/>
          <w:lang w:eastAsia="en-US"/>
        </w:rPr>
        <w:t>гестаційним</w:t>
      </w:r>
      <w:proofErr w:type="spellEnd"/>
      <w:r w:rsidRPr="00520861">
        <w:rPr>
          <w:rFonts w:eastAsia="Calibri"/>
          <w:sz w:val="28"/>
          <w:szCs w:val="28"/>
          <w:lang w:eastAsia="en-US"/>
        </w:rPr>
        <w:t xml:space="preserve"> віком у межах від 37 до 42 тижнів, з довжиною й масою тіла, які відповідають </w:t>
      </w:r>
      <w:proofErr w:type="spellStart"/>
      <w:r w:rsidRPr="00520861">
        <w:rPr>
          <w:rFonts w:eastAsia="Calibri"/>
          <w:sz w:val="28"/>
          <w:szCs w:val="28"/>
          <w:lang w:eastAsia="en-US"/>
        </w:rPr>
        <w:t>гестаційному</w:t>
      </w:r>
      <w:proofErr w:type="spellEnd"/>
      <w:r w:rsidRPr="00520861">
        <w:rPr>
          <w:rFonts w:eastAsia="Calibri"/>
          <w:sz w:val="28"/>
          <w:szCs w:val="28"/>
          <w:lang w:eastAsia="en-US"/>
        </w:rPr>
        <w:t xml:space="preserve"> віку </w:t>
      </w:r>
      <w:r w:rsidRPr="00520861">
        <w:rPr>
          <w:rFonts w:eastAsia="Calibri"/>
          <w:sz w:val="28"/>
          <w:szCs w:val="28"/>
          <w:lang w:eastAsia="en-US"/>
        </w:rPr>
        <w:br/>
      </w:r>
      <w:r w:rsidRPr="00520861">
        <w:rPr>
          <w:rFonts w:eastAsia="Calibri"/>
          <w:sz w:val="28"/>
          <w:szCs w:val="28"/>
          <w:lang w:eastAsia="en-US"/>
        </w:rPr>
        <w:lastRenderedPageBreak/>
        <w:t>(</w:t>
      </w:r>
      <w:proofErr w:type="spellStart"/>
      <w:r w:rsidRPr="00520861">
        <w:rPr>
          <w:rFonts w:eastAsia="Calibri"/>
          <w:sz w:val="28"/>
          <w:szCs w:val="28"/>
          <w:lang w:eastAsia="en-US"/>
        </w:rPr>
        <w:t>нормосомія</w:t>
      </w:r>
      <w:proofErr w:type="spellEnd"/>
      <w:r w:rsidRPr="00520861">
        <w:rPr>
          <w:rFonts w:eastAsia="Calibri"/>
          <w:sz w:val="28"/>
          <w:szCs w:val="28"/>
          <w:lang w:eastAsia="en-US"/>
        </w:rPr>
        <w:t xml:space="preserve"> плода). Маса тіла при народженні в учасників цієї групи була від 2,800 до 3,799 кг. Розподіл кількості проаналізованих історій розвитку дитини по роках як для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так і для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обох статей є рівномірним і зіставним.</w:t>
      </w:r>
    </w:p>
    <w:p w14:paraId="0B8511B5" w14:textId="77777777" w:rsidR="00CF641C" w:rsidRPr="00520861" w:rsidRDefault="00CF641C" w:rsidP="00292D2E">
      <w:pPr>
        <w:widowControl w:val="0"/>
        <w:spacing w:line="360" w:lineRule="auto"/>
        <w:ind w:firstLine="708"/>
        <w:jc w:val="both"/>
        <w:rPr>
          <w:rFonts w:eastAsia="Calibri"/>
          <w:color w:val="00000A"/>
          <w:sz w:val="28"/>
          <w:szCs w:val="28"/>
        </w:rPr>
      </w:pPr>
      <w:r w:rsidRPr="00520861">
        <w:rPr>
          <w:rFonts w:eastAsia="Calibri"/>
          <w:color w:val="00000A"/>
          <w:sz w:val="28"/>
          <w:szCs w:val="28"/>
        </w:rPr>
        <w:t xml:space="preserve">У табл. Б.1.2 представлений загальний обсяг статистичної вибірки МРП </w:t>
      </w:r>
      <w:r w:rsidRPr="00520861">
        <w:rPr>
          <w:rFonts w:eastAsia="Calibri"/>
          <w:color w:val="00000A"/>
          <w:sz w:val="28"/>
          <w:szCs w:val="28"/>
        </w:rPr>
        <w:br/>
        <w:t>новонароджених за групами й за роками народження.</w:t>
      </w:r>
    </w:p>
    <w:p w14:paraId="0B04F55E" w14:textId="77777777" w:rsidR="00CF641C" w:rsidRPr="00520861" w:rsidRDefault="00CF641C"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Для виявлення можливих особливостей у термінах прорізування та швидкостях росту тимчасових зубів усі діти ОГ додатково були розділені на 4 підгрупи з урахуванням коефіцієнта гармонійності згідно з класифікацією Грищенка В. І. та співавторів [82]. У табл. Б.1.3 представлені осереднені значення МРП усіх учасників </w:t>
      </w:r>
      <w:r w:rsidRPr="00520861">
        <w:rPr>
          <w:rFonts w:eastAsia="Calibri"/>
          <w:sz w:val="28"/>
          <w:szCs w:val="28"/>
          <w:lang w:eastAsia="en-US"/>
        </w:rPr>
        <w:br/>
        <w:t>дослідження з урахуванням індексу маси тіла дитини при народженні.</w:t>
      </w:r>
    </w:p>
    <w:p w14:paraId="5845DBDB" w14:textId="77777777" w:rsidR="00CF641C" w:rsidRPr="00520861" w:rsidRDefault="00CF641C" w:rsidP="00292D2E">
      <w:pPr>
        <w:widowControl w:val="0"/>
        <w:spacing w:line="360" w:lineRule="auto"/>
        <w:ind w:firstLine="708"/>
        <w:contextualSpacing/>
        <w:jc w:val="both"/>
        <w:rPr>
          <w:rFonts w:eastAsia="Calibri"/>
          <w:spacing w:val="-6"/>
          <w:sz w:val="28"/>
          <w:szCs w:val="28"/>
        </w:rPr>
      </w:pPr>
      <w:r w:rsidRPr="00520861">
        <w:rPr>
          <w:rFonts w:eastAsia="Calibri"/>
          <w:spacing w:val="-6"/>
          <w:sz w:val="28"/>
          <w:szCs w:val="28"/>
        </w:rPr>
        <w:t xml:space="preserve">Надійність відмінностей між коефіцієнтами регресійних моделей для різних груп і підгруп перевірялася з використанням </w:t>
      </w:r>
      <w:r w:rsidRPr="00520861">
        <w:rPr>
          <w:rFonts w:eastAsia="Calibri"/>
          <w:i/>
          <w:spacing w:val="-6"/>
          <w:sz w:val="28"/>
          <w:szCs w:val="28"/>
        </w:rPr>
        <w:t>t</w:t>
      </w:r>
      <w:r w:rsidRPr="00520861">
        <w:rPr>
          <w:rFonts w:eastAsia="Calibri"/>
          <w:spacing w:val="-6"/>
          <w:sz w:val="28"/>
          <w:szCs w:val="28"/>
        </w:rPr>
        <w:t>-статистики при рівні значущості 0,05 [198].</w:t>
      </w:r>
    </w:p>
    <w:p w14:paraId="0B10500E" w14:textId="77777777" w:rsidR="00CF641C" w:rsidRPr="00520861" w:rsidRDefault="00CF641C" w:rsidP="00292D2E">
      <w:pPr>
        <w:widowControl w:val="0"/>
        <w:spacing w:line="360" w:lineRule="auto"/>
        <w:ind w:firstLine="720"/>
        <w:jc w:val="both"/>
        <w:rPr>
          <w:sz w:val="28"/>
          <w:szCs w:val="28"/>
        </w:rPr>
      </w:pPr>
      <w:r w:rsidRPr="00520861">
        <w:rPr>
          <w:b/>
          <w:sz w:val="28"/>
          <w:szCs w:val="28"/>
        </w:rPr>
        <w:t>2.3.1.3.</w:t>
      </w:r>
      <w:r w:rsidRPr="00520861">
        <w:rPr>
          <w:rFonts w:eastAsia="Calibri"/>
          <w:b/>
          <w:sz w:val="28"/>
          <w:szCs w:val="28"/>
          <w:lang w:eastAsia="en-US"/>
        </w:rPr>
        <w:t xml:space="preserve"> </w:t>
      </w:r>
      <w:r w:rsidRPr="00520861">
        <w:rPr>
          <w:b/>
          <w:sz w:val="28"/>
          <w:szCs w:val="28"/>
        </w:rPr>
        <w:t>Вивчення поширеності карієсу в дітей.</w:t>
      </w:r>
      <w:r w:rsidRPr="00520861">
        <w:rPr>
          <w:sz w:val="28"/>
          <w:szCs w:val="28"/>
        </w:rPr>
        <w:t xml:space="preserve"> </w:t>
      </w:r>
      <w:r w:rsidRPr="00520861">
        <w:rPr>
          <w:rFonts w:eastAsia="Calibri"/>
          <w:sz w:val="28"/>
          <w:szCs w:val="28"/>
          <w:lang w:eastAsia="en-US"/>
        </w:rPr>
        <w:t xml:space="preserve">Для одержання відомостей про наявність каріозних уражень у дітей,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були проаналізовані історії розвитку дітей 1977 – 1992 років народження, що зберігаються в архіві КЗОЗ «Харківська міська дитяча поліклініка №23» (Україна), з моменту </w:t>
      </w:r>
      <w:r w:rsidRPr="00520861">
        <w:rPr>
          <w:rFonts w:eastAsia="Calibri"/>
          <w:sz w:val="28"/>
          <w:szCs w:val="28"/>
          <w:lang w:eastAsia="en-US"/>
        </w:rPr>
        <w:br/>
        <w:t>народження до досягнення ними 14-річного віку.</w:t>
      </w:r>
    </w:p>
    <w:p w14:paraId="0BDBE75B" w14:textId="77777777" w:rsidR="00CF641C" w:rsidRPr="00520861" w:rsidRDefault="00CF641C" w:rsidP="00292D2E">
      <w:pPr>
        <w:widowControl w:val="0"/>
        <w:spacing w:line="360" w:lineRule="auto"/>
        <w:ind w:firstLine="720"/>
        <w:contextualSpacing/>
        <w:jc w:val="both"/>
        <w:rPr>
          <w:rFonts w:eastAsia="Calibri"/>
          <w:sz w:val="28"/>
          <w:szCs w:val="28"/>
          <w:lang w:eastAsia="en-US"/>
        </w:rPr>
      </w:pPr>
      <w:r w:rsidRPr="00520861">
        <w:rPr>
          <w:rFonts w:eastAsia="Calibri"/>
          <w:sz w:val="28"/>
          <w:szCs w:val="28"/>
          <w:lang w:eastAsia="en-US"/>
        </w:rPr>
        <w:t xml:space="preserve">До ОГ були відібрані 352 історії розвитку дітей (230 хлопчиків та 122 </w:t>
      </w:r>
      <w:r w:rsidR="0002342D" w:rsidRPr="00520861">
        <w:rPr>
          <w:rFonts w:eastAsia="Calibri"/>
          <w:sz w:val="28"/>
          <w:szCs w:val="28"/>
          <w:lang w:eastAsia="en-US"/>
        </w:rPr>
        <w:br/>
      </w:r>
      <w:r w:rsidRPr="00520861">
        <w:rPr>
          <w:rFonts w:eastAsia="Calibri"/>
          <w:sz w:val="28"/>
          <w:szCs w:val="28"/>
          <w:lang w:eastAsia="en-US"/>
        </w:rPr>
        <w:t xml:space="preserve">дівчинки), народжених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ОГ була розділена на підгрупи за МРП дітей при народженні з використанням класифікації Грищенка В. І. та співавторів [82]. </w:t>
      </w:r>
    </w:p>
    <w:p w14:paraId="0E473F5D" w14:textId="77777777" w:rsidR="00CF641C" w:rsidRPr="00520861" w:rsidRDefault="00CF641C" w:rsidP="00292D2E">
      <w:pPr>
        <w:widowControl w:val="0"/>
        <w:spacing w:line="360" w:lineRule="auto"/>
        <w:ind w:firstLine="720"/>
        <w:contextualSpacing/>
        <w:jc w:val="both"/>
        <w:rPr>
          <w:rFonts w:eastAsia="Calibri"/>
          <w:sz w:val="28"/>
          <w:szCs w:val="28"/>
          <w:lang w:eastAsia="en-US"/>
        </w:rPr>
      </w:pPr>
      <w:r w:rsidRPr="00520861">
        <w:rPr>
          <w:rFonts w:eastAsia="Calibri"/>
          <w:spacing w:val="-2"/>
          <w:sz w:val="28"/>
          <w:szCs w:val="28"/>
          <w:lang w:eastAsia="en-US"/>
        </w:rPr>
        <w:t xml:space="preserve">До підгрупи 1 були віднесені історії розвитку 110 дітей (71 хлопчик та 39 </w:t>
      </w:r>
      <w:proofErr w:type="spellStart"/>
      <w:r w:rsidRPr="00520861">
        <w:rPr>
          <w:rFonts w:eastAsia="Calibri"/>
          <w:spacing w:val="-2"/>
          <w:sz w:val="28"/>
          <w:szCs w:val="28"/>
          <w:lang w:eastAsia="en-US"/>
        </w:rPr>
        <w:t>дівчаток</w:t>
      </w:r>
      <w:proofErr w:type="spellEnd"/>
      <w:r w:rsidRPr="00520861">
        <w:rPr>
          <w:rFonts w:eastAsia="Calibri"/>
          <w:spacing w:val="-2"/>
          <w:sz w:val="28"/>
          <w:szCs w:val="28"/>
          <w:lang w:eastAsia="en-US"/>
        </w:rPr>
        <w:t xml:space="preserve">). До </w:t>
      </w:r>
      <w:r w:rsidRPr="00520861">
        <w:rPr>
          <w:rFonts w:eastAsia="Calibri"/>
          <w:sz w:val="28"/>
          <w:szCs w:val="28"/>
          <w:lang w:eastAsia="en-US"/>
        </w:rPr>
        <w:t>підгрупи</w:t>
      </w:r>
      <w:r w:rsidRPr="00520861">
        <w:rPr>
          <w:rFonts w:eastAsia="Calibri"/>
          <w:spacing w:val="-2"/>
          <w:sz w:val="28"/>
          <w:szCs w:val="28"/>
          <w:lang w:eastAsia="en-US"/>
        </w:rPr>
        <w:t xml:space="preserve"> 2 віднесли історії розвитку 36 дітей (25 хлопчиків і 11 </w:t>
      </w:r>
      <w:proofErr w:type="spellStart"/>
      <w:r w:rsidRPr="00520861">
        <w:rPr>
          <w:rFonts w:eastAsia="Calibri"/>
          <w:spacing w:val="-2"/>
          <w:sz w:val="28"/>
          <w:szCs w:val="28"/>
          <w:lang w:eastAsia="en-US"/>
        </w:rPr>
        <w:t>дівчаток</w:t>
      </w:r>
      <w:proofErr w:type="spellEnd"/>
      <w:r w:rsidRPr="00520861">
        <w:rPr>
          <w:rFonts w:eastAsia="Calibri"/>
          <w:spacing w:val="-2"/>
          <w:sz w:val="28"/>
          <w:szCs w:val="28"/>
          <w:lang w:eastAsia="en-US"/>
        </w:rPr>
        <w:t xml:space="preserve">). До </w:t>
      </w:r>
      <w:r w:rsidRPr="00520861">
        <w:rPr>
          <w:rFonts w:eastAsia="Calibri"/>
          <w:sz w:val="28"/>
          <w:szCs w:val="28"/>
          <w:lang w:eastAsia="en-US"/>
        </w:rPr>
        <w:t>підгрупи</w:t>
      </w:r>
      <w:r w:rsidRPr="00520861">
        <w:rPr>
          <w:rFonts w:eastAsia="Calibri"/>
          <w:spacing w:val="-2"/>
          <w:sz w:val="28"/>
          <w:szCs w:val="28"/>
          <w:lang w:eastAsia="en-US"/>
        </w:rPr>
        <w:t xml:space="preserve"> 3 були віднесені історії розвитку 66 дітей (49 хлопчиків і 17 </w:t>
      </w:r>
      <w:proofErr w:type="spellStart"/>
      <w:r w:rsidRPr="00520861">
        <w:rPr>
          <w:rFonts w:eastAsia="Calibri"/>
          <w:spacing w:val="-2"/>
          <w:sz w:val="28"/>
          <w:szCs w:val="28"/>
          <w:lang w:eastAsia="en-US"/>
        </w:rPr>
        <w:t>дівчаток</w:t>
      </w:r>
      <w:proofErr w:type="spellEnd"/>
      <w:r w:rsidRPr="00520861">
        <w:rPr>
          <w:rFonts w:eastAsia="Calibri"/>
          <w:spacing w:val="-2"/>
          <w:sz w:val="28"/>
          <w:szCs w:val="28"/>
          <w:lang w:eastAsia="en-US"/>
        </w:rPr>
        <w:t xml:space="preserve">). До </w:t>
      </w:r>
      <w:r w:rsidRPr="00520861">
        <w:rPr>
          <w:rFonts w:eastAsia="Calibri"/>
          <w:sz w:val="28"/>
          <w:szCs w:val="28"/>
          <w:lang w:eastAsia="en-US"/>
        </w:rPr>
        <w:t>підгрупи</w:t>
      </w:r>
      <w:r w:rsidRPr="00520861">
        <w:rPr>
          <w:rFonts w:eastAsia="Calibri"/>
          <w:spacing w:val="-2"/>
          <w:sz w:val="28"/>
          <w:szCs w:val="28"/>
          <w:lang w:eastAsia="en-US"/>
        </w:rPr>
        <w:t xml:space="preserve"> 4 були віднесені історії розвитку 140 дітей (85 хлопчиків та 55 </w:t>
      </w:r>
      <w:proofErr w:type="spellStart"/>
      <w:r w:rsidRPr="00520861">
        <w:rPr>
          <w:rFonts w:eastAsia="Calibri"/>
          <w:spacing w:val="-2"/>
          <w:sz w:val="28"/>
          <w:szCs w:val="28"/>
          <w:lang w:eastAsia="en-US"/>
        </w:rPr>
        <w:t>дівчаток</w:t>
      </w:r>
      <w:proofErr w:type="spellEnd"/>
      <w:r w:rsidRPr="00520861">
        <w:rPr>
          <w:rFonts w:eastAsia="Calibri"/>
          <w:spacing w:val="-2"/>
          <w:sz w:val="28"/>
          <w:szCs w:val="28"/>
          <w:lang w:eastAsia="en-US"/>
        </w:rPr>
        <w:t xml:space="preserve">). </w:t>
      </w:r>
      <w:r w:rsidRPr="00520861">
        <w:rPr>
          <w:rFonts w:eastAsia="Calibri"/>
          <w:sz w:val="28"/>
          <w:szCs w:val="28"/>
          <w:lang w:eastAsia="en-US"/>
        </w:rPr>
        <w:t xml:space="preserve">До ГП довільно були відібрані 329 (196 хлопчиків та 133 дівчинки) історій розвитку дітей, у яких МРП при народженні відповідали нормі. </w:t>
      </w:r>
      <w:r w:rsidRPr="00520861">
        <w:rPr>
          <w:rFonts w:eastAsia="Calibri"/>
          <w:spacing w:val="-6"/>
          <w:sz w:val="28"/>
          <w:szCs w:val="28"/>
          <w:lang w:eastAsia="en-US"/>
        </w:rPr>
        <w:t>У табл. Б.1.4 наведені осереднені значення МРП учасників дослідження з ІМТ при народженні.</w:t>
      </w:r>
    </w:p>
    <w:p w14:paraId="5E569A31" w14:textId="77777777" w:rsidR="00CF641C" w:rsidRPr="00520861" w:rsidRDefault="00CF641C" w:rsidP="00292D2E">
      <w:pPr>
        <w:widowControl w:val="0"/>
        <w:spacing w:line="360" w:lineRule="auto"/>
        <w:ind w:firstLine="720"/>
        <w:jc w:val="both"/>
        <w:rPr>
          <w:rFonts w:eastAsia="Calibri"/>
          <w:sz w:val="28"/>
          <w:szCs w:val="28"/>
        </w:rPr>
      </w:pPr>
      <w:r w:rsidRPr="00520861">
        <w:rPr>
          <w:b/>
          <w:sz w:val="28"/>
          <w:szCs w:val="28"/>
        </w:rPr>
        <w:t xml:space="preserve">2.3.2. Характеристика груп осіб, які були залучені до опитування. </w:t>
      </w:r>
      <w:r w:rsidRPr="00520861">
        <w:rPr>
          <w:sz w:val="28"/>
          <w:szCs w:val="28"/>
        </w:rPr>
        <w:t xml:space="preserve">Опитування проводилося на базі Університетського стоматологічного центру ХНМУ, КЗОЗ «Харківська міська стоматологічна поліклініка №4», поліклінічного відділення </w:t>
      </w:r>
      <w:r w:rsidRPr="00520861">
        <w:rPr>
          <w:sz w:val="28"/>
          <w:szCs w:val="28"/>
        </w:rPr>
        <w:br/>
      </w:r>
      <w:r w:rsidRPr="00520861">
        <w:rPr>
          <w:sz w:val="28"/>
          <w:szCs w:val="28"/>
        </w:rPr>
        <w:lastRenderedPageBreak/>
        <w:t xml:space="preserve">Інституту охорони здоров’я дітей та підлітків Національної академії медичних наук України, </w:t>
      </w:r>
      <w:proofErr w:type="spellStart"/>
      <w:r w:rsidRPr="00520861">
        <w:rPr>
          <w:sz w:val="28"/>
          <w:szCs w:val="28"/>
        </w:rPr>
        <w:t>перинатального</w:t>
      </w:r>
      <w:proofErr w:type="spellEnd"/>
      <w:r w:rsidRPr="00520861">
        <w:rPr>
          <w:sz w:val="28"/>
          <w:szCs w:val="28"/>
        </w:rPr>
        <w:t xml:space="preserve"> стаціонару та пологового будинку комунального закладу охорони здоров’я «Харківський міський </w:t>
      </w:r>
      <w:proofErr w:type="spellStart"/>
      <w:r w:rsidRPr="00520861">
        <w:rPr>
          <w:sz w:val="28"/>
          <w:szCs w:val="28"/>
        </w:rPr>
        <w:t>перинатальний</w:t>
      </w:r>
      <w:proofErr w:type="spellEnd"/>
      <w:r w:rsidRPr="00520861">
        <w:rPr>
          <w:sz w:val="28"/>
          <w:szCs w:val="28"/>
        </w:rPr>
        <w:t xml:space="preserve"> центр», кафедри генетики та медицини плода Харківської медичної академії післядипломної освіти (ХМАПО), </w:t>
      </w:r>
      <w:r w:rsidRPr="00520861">
        <w:rPr>
          <w:rFonts w:eastAsia="Calibri"/>
          <w:sz w:val="28"/>
          <w:szCs w:val="28"/>
        </w:rPr>
        <w:t>КЗОЗ «Харківська міська дитяча поліклініка №23».</w:t>
      </w:r>
    </w:p>
    <w:p w14:paraId="3B66279D" w14:textId="77777777" w:rsidR="00CF641C" w:rsidRPr="00520861" w:rsidRDefault="00CF641C" w:rsidP="00292D2E">
      <w:pPr>
        <w:widowControl w:val="0"/>
        <w:spacing w:line="360" w:lineRule="auto"/>
        <w:ind w:firstLine="720"/>
        <w:jc w:val="both"/>
        <w:rPr>
          <w:b/>
          <w:sz w:val="28"/>
          <w:szCs w:val="28"/>
        </w:rPr>
      </w:pPr>
      <w:r w:rsidRPr="00520861">
        <w:rPr>
          <w:rFonts w:eastAsia="Calibri"/>
          <w:sz w:val="28"/>
          <w:szCs w:val="28"/>
          <w:lang w:eastAsia="en-US"/>
        </w:rPr>
        <w:t xml:space="preserve">У період між 2014 та 2019 рр. були опитані наступні категорії осіб (табл. 2.1): </w:t>
      </w:r>
    </w:p>
    <w:p w14:paraId="590A7565" w14:textId="77777777" w:rsidR="00CF641C" w:rsidRPr="00520861" w:rsidRDefault="00CF641C" w:rsidP="008F1D77">
      <w:pPr>
        <w:widowControl w:val="0"/>
        <w:numPr>
          <w:ilvl w:val="0"/>
          <w:numId w:val="2"/>
        </w:numPr>
        <w:spacing w:after="16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батьки 151 новонародженої дитини чи ДГВ (віком від однієї доби до 6 місяців). Обстежені 68 дітей,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склали ОГ, а діти відповідного віку із нормальними МРП при народженні (83 дитини) склали ГП. Середній вік у групах не вираховували, оскільки більшість дітей цієї вікової категорії була обстежена протягом першого тижня життя;</w:t>
      </w:r>
    </w:p>
    <w:p w14:paraId="014688D9" w14:textId="77777777" w:rsidR="00CF641C" w:rsidRPr="00520861" w:rsidRDefault="00CF641C" w:rsidP="008F1D77">
      <w:pPr>
        <w:widowControl w:val="0"/>
        <w:numPr>
          <w:ilvl w:val="0"/>
          <w:numId w:val="2"/>
        </w:numPr>
        <w:spacing w:after="160" w:line="360" w:lineRule="auto"/>
        <w:ind w:left="0" w:firstLine="0"/>
        <w:contextualSpacing/>
        <w:jc w:val="both"/>
        <w:rPr>
          <w:rFonts w:eastAsia="Calibri"/>
          <w:spacing w:val="-2"/>
          <w:sz w:val="28"/>
          <w:szCs w:val="28"/>
          <w:lang w:eastAsia="en-US"/>
        </w:rPr>
      </w:pPr>
      <w:r w:rsidRPr="00520861">
        <w:rPr>
          <w:rFonts w:eastAsia="Calibri"/>
          <w:spacing w:val="-2"/>
          <w:sz w:val="28"/>
          <w:szCs w:val="28"/>
          <w:lang w:eastAsia="en-US"/>
        </w:rPr>
        <w:t xml:space="preserve">батьки 123 дітей або підлітків (вік від 4 до 17 років). Вісімдесят дві дитини, які народилися з </w:t>
      </w:r>
      <w:proofErr w:type="spellStart"/>
      <w:r w:rsidRPr="00520861">
        <w:rPr>
          <w:rFonts w:eastAsia="Calibri"/>
          <w:spacing w:val="-2"/>
          <w:sz w:val="28"/>
          <w:szCs w:val="28"/>
          <w:lang w:eastAsia="en-US"/>
        </w:rPr>
        <w:t>макросомією</w:t>
      </w:r>
      <w:proofErr w:type="spellEnd"/>
      <w:r w:rsidRPr="00520861">
        <w:rPr>
          <w:rFonts w:eastAsia="Calibri"/>
          <w:spacing w:val="-2"/>
          <w:sz w:val="28"/>
          <w:szCs w:val="28"/>
          <w:lang w:eastAsia="en-US"/>
        </w:rPr>
        <w:t xml:space="preserve"> (середній вік 9,5 року), склали ОГ, а 41 дитину із МРП при народженні, що відповідали нормі (середній вік 9,8 року), було віднесено до ГП;</w:t>
      </w:r>
    </w:p>
    <w:p w14:paraId="09FCA88E" w14:textId="77777777" w:rsidR="00CF641C" w:rsidRPr="00520861" w:rsidRDefault="00CF641C" w:rsidP="008F1D77">
      <w:pPr>
        <w:widowControl w:val="0"/>
        <w:numPr>
          <w:ilvl w:val="0"/>
          <w:numId w:val="2"/>
        </w:numPr>
        <w:spacing w:after="160"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241 особа віком від 18 до 55 років. Опитані 114 осіб,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(середній вік 32,5 року), склали ОГ, а 127 осіб із МРП при народженні (середній вік 28,9 року) склали ГП. </w:t>
      </w:r>
      <w:r w:rsidRPr="00520861">
        <w:rPr>
          <w:rFonts w:eastAsia="Calibri"/>
          <w:spacing w:val="-4"/>
          <w:sz w:val="28"/>
          <w:szCs w:val="28"/>
          <w:lang w:eastAsia="en-US"/>
        </w:rPr>
        <w:t>Група порівняння в цій віковій категорії складалася з 93 осіб, яким було проведене стоматологічне обстеження, та 34 осіб, які зверталися з метою консультації або лікування в Університетський стоматологічний центр ХНМУ</w:t>
      </w:r>
      <w:r w:rsidRPr="00520861">
        <w:rPr>
          <w:rFonts w:eastAsia="Calibri"/>
          <w:sz w:val="28"/>
          <w:szCs w:val="28"/>
          <w:lang w:eastAsia="en-US"/>
        </w:rPr>
        <w:t xml:space="preserve">. </w:t>
      </w:r>
    </w:p>
    <w:p w14:paraId="3CDAFA26" w14:textId="77777777" w:rsidR="00CF641C" w:rsidRPr="00520861" w:rsidRDefault="00CF641C" w:rsidP="00292D2E">
      <w:pPr>
        <w:widowControl w:val="0"/>
        <w:spacing w:line="360" w:lineRule="auto"/>
        <w:ind w:firstLine="708"/>
        <w:jc w:val="right"/>
        <w:rPr>
          <w:rFonts w:eastAsia="Calibri"/>
          <w:i/>
          <w:sz w:val="28"/>
          <w:szCs w:val="28"/>
          <w:lang w:eastAsia="en-US"/>
        </w:rPr>
      </w:pPr>
      <w:r w:rsidRPr="00520861">
        <w:rPr>
          <w:rFonts w:eastAsia="Calibri"/>
          <w:i/>
          <w:sz w:val="28"/>
          <w:szCs w:val="28"/>
          <w:lang w:eastAsia="en-US"/>
        </w:rPr>
        <w:t>Таблиця 2.1</w:t>
      </w:r>
    </w:p>
    <w:p w14:paraId="37BB4960" w14:textId="77777777" w:rsidR="00CF641C" w:rsidRPr="00520861" w:rsidRDefault="00CF641C" w:rsidP="00292D2E">
      <w:pPr>
        <w:widowControl w:val="0"/>
        <w:spacing w:line="360" w:lineRule="auto"/>
        <w:ind w:firstLine="708"/>
        <w:jc w:val="center"/>
        <w:rPr>
          <w:rFonts w:eastAsia="Calibri"/>
          <w:b/>
          <w:sz w:val="28"/>
          <w:szCs w:val="28"/>
          <w:lang w:eastAsia="en-US"/>
        </w:rPr>
      </w:pPr>
      <w:r w:rsidRPr="00520861">
        <w:rPr>
          <w:rFonts w:eastAsia="Calibri"/>
          <w:b/>
          <w:sz w:val="28"/>
          <w:szCs w:val="28"/>
          <w:lang w:eastAsia="en-US"/>
        </w:rPr>
        <w:t xml:space="preserve">Зведені дані про кількість респондентів </w:t>
      </w:r>
      <w:r w:rsidRPr="00520861">
        <w:rPr>
          <w:rFonts w:eastAsia="Calibri"/>
          <w:b/>
          <w:i/>
          <w:sz w:val="28"/>
          <w:szCs w:val="28"/>
          <w:lang w:eastAsia="en-US"/>
        </w:rPr>
        <w:t>n</w:t>
      </w:r>
      <w:r w:rsidRPr="00520861">
        <w:rPr>
          <w:rFonts w:eastAsia="Calibri"/>
          <w:b/>
          <w:sz w:val="28"/>
          <w:szCs w:val="28"/>
          <w:lang w:eastAsia="en-US"/>
        </w:rPr>
        <w:t xml:space="preserve"> кожної вікової категорії у </w:t>
      </w:r>
      <w:r w:rsidRPr="00520861">
        <w:rPr>
          <w:rFonts w:eastAsia="Calibri"/>
          <w:b/>
          <w:sz w:val="28"/>
          <w:szCs w:val="28"/>
          <w:lang w:eastAsia="en-US"/>
        </w:rPr>
        <w:br/>
        <w:t xml:space="preserve">групах і підгрупах з </w:t>
      </w:r>
      <w:r w:rsidR="005B4FB6" w:rsidRPr="00520861">
        <w:rPr>
          <w:rFonts w:eastAsia="Calibri"/>
          <w:b/>
          <w:sz w:val="28"/>
          <w:szCs w:val="28"/>
          <w:lang w:eastAsia="en-US"/>
        </w:rPr>
        <w:t>розподілом на осіб чоловічої / жіночої</w:t>
      </w:r>
      <w:r w:rsidRPr="00520861">
        <w:rPr>
          <w:rFonts w:eastAsia="Calibri"/>
          <w:b/>
          <w:sz w:val="28"/>
          <w:szCs w:val="28"/>
          <w:lang w:eastAsia="en-US"/>
        </w:rPr>
        <w:t xml:space="preserve"> статі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2512"/>
        <w:gridCol w:w="2410"/>
        <w:gridCol w:w="2977"/>
      </w:tblGrid>
      <w:tr w:rsidR="00CF641C" w:rsidRPr="00520861" w14:paraId="0B7AEA8C" w14:textId="77777777" w:rsidTr="00292D2E">
        <w:trPr>
          <w:trHeight w:val="629"/>
          <w:jc w:val="center"/>
        </w:trPr>
        <w:tc>
          <w:tcPr>
            <w:tcW w:w="1980" w:type="dxa"/>
            <w:shd w:val="clear" w:color="auto" w:fill="auto"/>
          </w:tcPr>
          <w:p w14:paraId="26FAC7A3"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Група, </w:t>
            </w:r>
          </w:p>
          <w:p w14:paraId="7DC970E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підгрупа</w:t>
            </w:r>
          </w:p>
        </w:tc>
        <w:tc>
          <w:tcPr>
            <w:tcW w:w="2512" w:type="dxa"/>
            <w:shd w:val="clear" w:color="auto" w:fill="auto"/>
          </w:tcPr>
          <w:p w14:paraId="33FE6DEC" w14:textId="77777777" w:rsidR="00CF641C" w:rsidRPr="00520861" w:rsidRDefault="00CF641C" w:rsidP="00292D2E">
            <w:pPr>
              <w:widowControl w:val="0"/>
              <w:spacing w:line="360" w:lineRule="auto"/>
              <w:ind w:left="-147" w:right="-109"/>
              <w:jc w:val="center"/>
              <w:rPr>
                <w:sz w:val="28"/>
                <w:szCs w:val="28"/>
              </w:rPr>
            </w:pPr>
            <w:r w:rsidRPr="00520861">
              <w:rPr>
                <w:sz w:val="28"/>
                <w:szCs w:val="28"/>
              </w:rPr>
              <w:t>ДГВ</w:t>
            </w:r>
          </w:p>
          <w:p w14:paraId="42CBBC31" w14:textId="77777777" w:rsidR="00CF641C" w:rsidRPr="00520861" w:rsidRDefault="00CF641C" w:rsidP="00292D2E">
            <w:pPr>
              <w:widowControl w:val="0"/>
              <w:spacing w:line="360" w:lineRule="auto"/>
              <w:ind w:left="-147" w:right="-109"/>
              <w:jc w:val="center"/>
              <w:rPr>
                <w:sz w:val="28"/>
                <w:szCs w:val="28"/>
              </w:rPr>
            </w:pPr>
            <w:r w:rsidRPr="00520861">
              <w:rPr>
                <w:sz w:val="28"/>
                <w:szCs w:val="28"/>
              </w:rPr>
              <w:t>(1 доба – 6 місяців)</w:t>
            </w:r>
          </w:p>
        </w:tc>
        <w:tc>
          <w:tcPr>
            <w:tcW w:w="2410" w:type="dxa"/>
            <w:shd w:val="clear" w:color="auto" w:fill="auto"/>
          </w:tcPr>
          <w:p w14:paraId="1CFF8C41" w14:textId="77777777" w:rsidR="00CF641C" w:rsidRPr="00520861" w:rsidRDefault="00CF641C" w:rsidP="00292D2E">
            <w:pPr>
              <w:widowControl w:val="0"/>
              <w:spacing w:line="360" w:lineRule="auto"/>
              <w:ind w:right="-111"/>
              <w:jc w:val="center"/>
              <w:rPr>
                <w:rFonts w:eastAsia="Calibri"/>
                <w:sz w:val="28"/>
                <w:szCs w:val="28"/>
                <w:lang w:eastAsia="en-US"/>
              </w:rPr>
            </w:pPr>
            <w:r w:rsidRPr="00520861">
              <w:rPr>
                <w:rFonts w:eastAsia="Calibri"/>
                <w:sz w:val="28"/>
                <w:szCs w:val="28"/>
                <w:lang w:eastAsia="en-US"/>
              </w:rPr>
              <w:t>Діти та підлітки</w:t>
            </w:r>
          </w:p>
          <w:p w14:paraId="12B45509"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(4 – 17 років)</w:t>
            </w:r>
          </w:p>
        </w:tc>
        <w:tc>
          <w:tcPr>
            <w:tcW w:w="2977" w:type="dxa"/>
            <w:shd w:val="clear" w:color="auto" w:fill="auto"/>
          </w:tcPr>
          <w:p w14:paraId="2B2EEF5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Дорослі особи </w:t>
            </w:r>
          </w:p>
          <w:p w14:paraId="429FE758"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(18 – 55 років)</w:t>
            </w:r>
          </w:p>
        </w:tc>
      </w:tr>
      <w:tr w:rsidR="00CF641C" w:rsidRPr="00520861" w14:paraId="7EF0CE75" w14:textId="77777777" w:rsidTr="00292D2E">
        <w:trPr>
          <w:jc w:val="center"/>
        </w:trPr>
        <w:tc>
          <w:tcPr>
            <w:tcW w:w="1980" w:type="dxa"/>
            <w:shd w:val="clear" w:color="auto" w:fill="auto"/>
          </w:tcPr>
          <w:p w14:paraId="0584AC98"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ГП</w:t>
            </w:r>
          </w:p>
        </w:tc>
        <w:tc>
          <w:tcPr>
            <w:tcW w:w="2512" w:type="dxa"/>
            <w:shd w:val="clear" w:color="auto" w:fill="auto"/>
          </w:tcPr>
          <w:p w14:paraId="4DDDEB61" w14:textId="77777777" w:rsidR="00CF641C" w:rsidRPr="00520861" w:rsidRDefault="00CF641C" w:rsidP="00292D2E">
            <w:pPr>
              <w:widowControl w:val="0"/>
              <w:spacing w:line="360" w:lineRule="auto"/>
              <w:ind w:left="-147" w:right="-109"/>
              <w:jc w:val="center"/>
              <w:rPr>
                <w:rFonts w:eastAsia="Calibri"/>
                <w:sz w:val="28"/>
                <w:szCs w:val="28"/>
                <w:lang w:eastAsia="en-US"/>
              </w:rPr>
            </w:pPr>
            <w:r w:rsidRPr="00520861">
              <w:rPr>
                <w:rFonts w:eastAsia="Calibri"/>
                <w:sz w:val="28"/>
                <w:szCs w:val="28"/>
                <w:lang w:eastAsia="en-US"/>
              </w:rPr>
              <w:t>83 (52/31)</w:t>
            </w:r>
          </w:p>
        </w:tc>
        <w:tc>
          <w:tcPr>
            <w:tcW w:w="2410" w:type="dxa"/>
            <w:shd w:val="clear" w:color="auto" w:fill="auto"/>
          </w:tcPr>
          <w:p w14:paraId="559BCFD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41 (26/15)</w:t>
            </w:r>
          </w:p>
        </w:tc>
        <w:tc>
          <w:tcPr>
            <w:tcW w:w="2977" w:type="dxa"/>
            <w:shd w:val="clear" w:color="auto" w:fill="auto"/>
          </w:tcPr>
          <w:p w14:paraId="5582332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127 (77/52)</w:t>
            </w:r>
          </w:p>
        </w:tc>
      </w:tr>
      <w:tr w:rsidR="00CF641C" w:rsidRPr="00520861" w14:paraId="1025F8CB" w14:textId="77777777" w:rsidTr="00292D2E">
        <w:trPr>
          <w:jc w:val="center"/>
        </w:trPr>
        <w:tc>
          <w:tcPr>
            <w:tcW w:w="1980" w:type="dxa"/>
            <w:shd w:val="clear" w:color="auto" w:fill="auto"/>
          </w:tcPr>
          <w:p w14:paraId="772D4B4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ОГ</w:t>
            </w:r>
          </w:p>
        </w:tc>
        <w:tc>
          <w:tcPr>
            <w:tcW w:w="2512" w:type="dxa"/>
            <w:shd w:val="clear" w:color="auto" w:fill="auto"/>
          </w:tcPr>
          <w:p w14:paraId="1FAE98EC" w14:textId="77777777" w:rsidR="00CF641C" w:rsidRPr="00520861" w:rsidRDefault="00CF641C" w:rsidP="00292D2E">
            <w:pPr>
              <w:widowControl w:val="0"/>
              <w:spacing w:line="360" w:lineRule="auto"/>
              <w:ind w:left="-147" w:right="-109"/>
              <w:jc w:val="center"/>
              <w:rPr>
                <w:rFonts w:eastAsia="Calibri"/>
                <w:sz w:val="28"/>
                <w:szCs w:val="28"/>
                <w:lang w:eastAsia="en-US"/>
              </w:rPr>
            </w:pPr>
            <w:r w:rsidRPr="00520861">
              <w:rPr>
                <w:rFonts w:eastAsia="Calibri"/>
                <w:sz w:val="28"/>
                <w:szCs w:val="28"/>
                <w:lang w:eastAsia="en-US"/>
              </w:rPr>
              <w:t>68 (39/29)</w:t>
            </w:r>
          </w:p>
        </w:tc>
        <w:tc>
          <w:tcPr>
            <w:tcW w:w="2410" w:type="dxa"/>
            <w:shd w:val="clear" w:color="auto" w:fill="auto"/>
          </w:tcPr>
          <w:p w14:paraId="082D686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82 (49/33)</w:t>
            </w:r>
          </w:p>
        </w:tc>
        <w:tc>
          <w:tcPr>
            <w:tcW w:w="2977" w:type="dxa"/>
            <w:shd w:val="clear" w:color="auto" w:fill="auto"/>
          </w:tcPr>
          <w:p w14:paraId="510A387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114 (71/43)</w:t>
            </w:r>
          </w:p>
        </w:tc>
      </w:tr>
      <w:tr w:rsidR="00CF641C" w:rsidRPr="00520861" w14:paraId="39B7D8D9" w14:textId="77777777" w:rsidTr="00292D2E">
        <w:trPr>
          <w:jc w:val="center"/>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BC62E02"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1</w:t>
            </w:r>
          </w:p>
        </w:tc>
        <w:tc>
          <w:tcPr>
            <w:tcW w:w="2512" w:type="dxa"/>
            <w:shd w:val="clear" w:color="auto" w:fill="auto"/>
          </w:tcPr>
          <w:p w14:paraId="1CDFC74A" w14:textId="77777777" w:rsidR="00CF641C" w:rsidRPr="00520861" w:rsidRDefault="00CF641C" w:rsidP="00292D2E">
            <w:pPr>
              <w:widowControl w:val="0"/>
              <w:spacing w:line="360" w:lineRule="auto"/>
              <w:ind w:left="-147" w:right="-109"/>
              <w:jc w:val="center"/>
              <w:rPr>
                <w:rFonts w:eastAsia="Calibri"/>
                <w:sz w:val="28"/>
                <w:szCs w:val="28"/>
                <w:lang w:eastAsia="en-US"/>
              </w:rPr>
            </w:pPr>
            <w:r w:rsidRPr="00520861">
              <w:rPr>
                <w:rFonts w:eastAsia="Calibri"/>
                <w:sz w:val="28"/>
                <w:szCs w:val="28"/>
                <w:lang w:eastAsia="en-US"/>
              </w:rPr>
              <w:t>37 (22/15)</w:t>
            </w:r>
          </w:p>
        </w:tc>
        <w:tc>
          <w:tcPr>
            <w:tcW w:w="2410" w:type="dxa"/>
            <w:shd w:val="clear" w:color="auto" w:fill="auto"/>
          </w:tcPr>
          <w:p w14:paraId="4FED1D13"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30 (18/12)</w:t>
            </w:r>
          </w:p>
        </w:tc>
        <w:tc>
          <w:tcPr>
            <w:tcW w:w="2977" w:type="dxa"/>
            <w:shd w:val="clear" w:color="auto" w:fill="auto"/>
          </w:tcPr>
          <w:p w14:paraId="56814EC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27 (19/8)</w:t>
            </w:r>
          </w:p>
        </w:tc>
      </w:tr>
      <w:tr w:rsidR="00CF641C" w:rsidRPr="00520861" w14:paraId="2F48E509" w14:textId="77777777" w:rsidTr="00292D2E">
        <w:trPr>
          <w:trHeight w:val="374"/>
          <w:jc w:val="center"/>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D06CB48"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2</w:t>
            </w:r>
          </w:p>
        </w:tc>
        <w:tc>
          <w:tcPr>
            <w:tcW w:w="2512" w:type="dxa"/>
            <w:tcBorders>
              <w:top w:val="single" w:sz="4" w:space="0" w:color="auto"/>
              <w:left w:val="single" w:sz="4" w:space="0" w:color="auto"/>
              <w:bottom w:val="single" w:sz="4" w:space="0" w:color="auto"/>
              <w:right w:val="single" w:sz="4" w:space="0" w:color="auto"/>
            </w:tcBorders>
            <w:shd w:val="clear" w:color="auto" w:fill="auto"/>
          </w:tcPr>
          <w:p w14:paraId="68B169D0" w14:textId="77777777" w:rsidR="00CF641C" w:rsidRPr="00520861" w:rsidRDefault="00CF641C" w:rsidP="00292D2E">
            <w:pPr>
              <w:widowControl w:val="0"/>
              <w:spacing w:line="360" w:lineRule="auto"/>
              <w:ind w:left="-147" w:right="-109"/>
              <w:jc w:val="center"/>
              <w:rPr>
                <w:rFonts w:eastAsia="Calibri"/>
                <w:sz w:val="28"/>
                <w:szCs w:val="28"/>
                <w:lang w:eastAsia="en-US"/>
              </w:rPr>
            </w:pPr>
            <w:r w:rsidRPr="00520861">
              <w:rPr>
                <w:rFonts w:eastAsia="Calibri"/>
                <w:sz w:val="28"/>
                <w:szCs w:val="28"/>
                <w:lang w:eastAsia="en-US"/>
              </w:rPr>
              <w:t>14 (9/5)</w:t>
            </w:r>
          </w:p>
        </w:tc>
        <w:tc>
          <w:tcPr>
            <w:tcW w:w="2410" w:type="dxa"/>
            <w:shd w:val="clear" w:color="auto" w:fill="auto"/>
          </w:tcPr>
          <w:p w14:paraId="7935368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17 (10/7)</w:t>
            </w:r>
          </w:p>
        </w:tc>
        <w:tc>
          <w:tcPr>
            <w:tcW w:w="2977" w:type="dxa"/>
            <w:shd w:val="clear" w:color="auto" w:fill="auto"/>
          </w:tcPr>
          <w:p w14:paraId="097A2E2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18 (10/8)</w:t>
            </w:r>
          </w:p>
        </w:tc>
      </w:tr>
      <w:tr w:rsidR="00CF641C" w:rsidRPr="00520861" w14:paraId="65CDDE65" w14:textId="77777777" w:rsidTr="00292D2E">
        <w:trPr>
          <w:jc w:val="center"/>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A874876"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3</w:t>
            </w:r>
          </w:p>
        </w:tc>
        <w:tc>
          <w:tcPr>
            <w:tcW w:w="2512" w:type="dxa"/>
            <w:tcBorders>
              <w:top w:val="single" w:sz="4" w:space="0" w:color="auto"/>
              <w:left w:val="single" w:sz="4" w:space="0" w:color="auto"/>
              <w:bottom w:val="single" w:sz="4" w:space="0" w:color="auto"/>
              <w:right w:val="single" w:sz="4" w:space="0" w:color="auto"/>
            </w:tcBorders>
            <w:shd w:val="clear" w:color="auto" w:fill="auto"/>
          </w:tcPr>
          <w:p w14:paraId="52F3A790" w14:textId="77777777" w:rsidR="00CF641C" w:rsidRPr="00520861" w:rsidRDefault="00CF641C" w:rsidP="00292D2E">
            <w:pPr>
              <w:widowControl w:val="0"/>
              <w:spacing w:line="360" w:lineRule="auto"/>
              <w:ind w:left="-147" w:right="-109"/>
              <w:jc w:val="center"/>
              <w:rPr>
                <w:rFonts w:eastAsia="Calibri"/>
                <w:sz w:val="28"/>
                <w:szCs w:val="28"/>
                <w:lang w:eastAsia="en-US"/>
              </w:rPr>
            </w:pPr>
            <w:r w:rsidRPr="00520861">
              <w:rPr>
                <w:rFonts w:eastAsia="Calibri"/>
                <w:sz w:val="28"/>
                <w:szCs w:val="28"/>
                <w:lang w:eastAsia="en-US"/>
              </w:rPr>
              <w:t>10 (5/5)</w:t>
            </w:r>
          </w:p>
        </w:tc>
        <w:tc>
          <w:tcPr>
            <w:tcW w:w="2410" w:type="dxa"/>
            <w:shd w:val="clear" w:color="auto" w:fill="auto"/>
          </w:tcPr>
          <w:p w14:paraId="6870313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15 (10/5)</w:t>
            </w:r>
          </w:p>
        </w:tc>
        <w:tc>
          <w:tcPr>
            <w:tcW w:w="2977" w:type="dxa"/>
            <w:shd w:val="clear" w:color="auto" w:fill="auto"/>
          </w:tcPr>
          <w:p w14:paraId="331C755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23 (15/8)</w:t>
            </w:r>
          </w:p>
        </w:tc>
      </w:tr>
      <w:tr w:rsidR="00CF641C" w:rsidRPr="00520861" w14:paraId="740D1AEB" w14:textId="77777777" w:rsidTr="00292D2E">
        <w:trPr>
          <w:jc w:val="center"/>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5D9C274"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4</w:t>
            </w:r>
          </w:p>
        </w:tc>
        <w:tc>
          <w:tcPr>
            <w:tcW w:w="2512" w:type="dxa"/>
            <w:tcBorders>
              <w:top w:val="single" w:sz="4" w:space="0" w:color="auto"/>
              <w:left w:val="single" w:sz="4" w:space="0" w:color="auto"/>
              <w:bottom w:val="single" w:sz="4" w:space="0" w:color="auto"/>
              <w:right w:val="single" w:sz="4" w:space="0" w:color="auto"/>
            </w:tcBorders>
            <w:shd w:val="clear" w:color="auto" w:fill="auto"/>
          </w:tcPr>
          <w:p w14:paraId="2E0595FD" w14:textId="77777777" w:rsidR="00CF641C" w:rsidRPr="00520861" w:rsidRDefault="00CF641C" w:rsidP="00292D2E">
            <w:pPr>
              <w:widowControl w:val="0"/>
              <w:spacing w:line="360" w:lineRule="auto"/>
              <w:ind w:left="-147" w:right="-109"/>
              <w:jc w:val="center"/>
              <w:rPr>
                <w:rFonts w:eastAsia="Calibri"/>
                <w:sz w:val="28"/>
                <w:szCs w:val="28"/>
                <w:lang w:eastAsia="en-US"/>
              </w:rPr>
            </w:pPr>
            <w:r w:rsidRPr="00520861">
              <w:rPr>
                <w:rFonts w:eastAsia="Calibri"/>
                <w:sz w:val="28"/>
                <w:szCs w:val="28"/>
                <w:lang w:eastAsia="en-US"/>
              </w:rPr>
              <w:t>7 (4/3)</w:t>
            </w:r>
          </w:p>
        </w:tc>
        <w:tc>
          <w:tcPr>
            <w:tcW w:w="2410" w:type="dxa"/>
            <w:shd w:val="clear" w:color="auto" w:fill="auto"/>
          </w:tcPr>
          <w:p w14:paraId="2757C71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20 (11/9)</w:t>
            </w:r>
          </w:p>
        </w:tc>
        <w:tc>
          <w:tcPr>
            <w:tcW w:w="2977" w:type="dxa"/>
            <w:shd w:val="clear" w:color="auto" w:fill="auto"/>
          </w:tcPr>
          <w:p w14:paraId="6D7D1EA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46 (27/19)</w:t>
            </w:r>
          </w:p>
        </w:tc>
      </w:tr>
    </w:tbl>
    <w:p w14:paraId="35CEA321" w14:textId="77777777" w:rsidR="00CF641C" w:rsidRPr="00520861" w:rsidRDefault="00CF641C" w:rsidP="00292D2E">
      <w:pPr>
        <w:widowControl w:val="0"/>
        <w:spacing w:line="360" w:lineRule="auto"/>
        <w:ind w:firstLine="708"/>
        <w:contextualSpacing/>
        <w:jc w:val="both"/>
        <w:rPr>
          <w:spacing w:val="-2"/>
          <w:kern w:val="28"/>
          <w:sz w:val="28"/>
          <w:szCs w:val="28"/>
        </w:rPr>
      </w:pPr>
      <w:r w:rsidRPr="00520861">
        <w:rPr>
          <w:spacing w:val="-2"/>
          <w:kern w:val="28"/>
          <w:sz w:val="28"/>
          <w:szCs w:val="28"/>
        </w:rPr>
        <w:lastRenderedPageBreak/>
        <w:t>Групи були зіставними за кількістю осіб чоловічої та жіночої статі. Основна група розділялася на підгрупи за МРП при народженні з використанням класифікації Гри</w:t>
      </w:r>
      <w:r w:rsidR="00C81B92" w:rsidRPr="00520861">
        <w:rPr>
          <w:spacing w:val="-2"/>
          <w:kern w:val="28"/>
          <w:sz w:val="28"/>
          <w:szCs w:val="28"/>
        </w:rPr>
        <w:t>щенка В. І. та співавторів [82].</w:t>
      </w:r>
    </w:p>
    <w:p w14:paraId="53550945" w14:textId="77777777" w:rsidR="00CF641C" w:rsidRPr="00520861" w:rsidRDefault="00DF1E01" w:rsidP="001B7BE7">
      <w:pPr>
        <w:widowControl w:val="0"/>
        <w:spacing w:line="360" w:lineRule="auto"/>
        <w:ind w:firstLine="708"/>
        <w:contextualSpacing/>
        <w:jc w:val="both"/>
        <w:rPr>
          <w:spacing w:val="-2"/>
          <w:kern w:val="28"/>
          <w:sz w:val="28"/>
          <w:szCs w:val="28"/>
        </w:rPr>
      </w:pPr>
      <w:r w:rsidRPr="00520861">
        <w:rPr>
          <w:b/>
          <w:spacing w:val="-2"/>
          <w:kern w:val="28"/>
          <w:sz w:val="28"/>
          <w:szCs w:val="28"/>
        </w:rPr>
        <w:t>2.3.3. Характеристика груп осіб, які були залучені до клінічних досліджень.</w:t>
      </w:r>
      <w:r w:rsidR="00787B22" w:rsidRPr="00520861">
        <w:rPr>
          <w:spacing w:val="-2"/>
          <w:kern w:val="28"/>
          <w:sz w:val="28"/>
          <w:szCs w:val="28"/>
        </w:rPr>
        <w:t xml:space="preserve"> </w:t>
      </w:r>
      <w:r w:rsidR="00CF641C" w:rsidRPr="00520861">
        <w:rPr>
          <w:spacing w:val="-2"/>
          <w:kern w:val="28"/>
          <w:sz w:val="28"/>
          <w:szCs w:val="28"/>
        </w:rPr>
        <w:t xml:space="preserve">Обстеження учасників дослідження вікового періоду ВП-I проводилося на базі </w:t>
      </w:r>
      <w:r w:rsidR="002F01C7" w:rsidRPr="00520861">
        <w:rPr>
          <w:spacing w:val="-2"/>
          <w:kern w:val="28"/>
          <w:sz w:val="28"/>
          <w:szCs w:val="28"/>
        </w:rPr>
        <w:br/>
      </w:r>
      <w:r w:rsidR="00CF641C" w:rsidRPr="00520861">
        <w:rPr>
          <w:spacing w:val="-2"/>
          <w:kern w:val="28"/>
          <w:sz w:val="28"/>
          <w:szCs w:val="28"/>
        </w:rPr>
        <w:t xml:space="preserve">Харківського міського </w:t>
      </w:r>
      <w:proofErr w:type="spellStart"/>
      <w:r w:rsidR="00CF641C" w:rsidRPr="00520861">
        <w:rPr>
          <w:spacing w:val="-2"/>
          <w:kern w:val="28"/>
          <w:sz w:val="28"/>
          <w:szCs w:val="28"/>
        </w:rPr>
        <w:t>перинатального</w:t>
      </w:r>
      <w:proofErr w:type="spellEnd"/>
      <w:r w:rsidR="00CF641C" w:rsidRPr="00520861">
        <w:rPr>
          <w:spacing w:val="-2"/>
          <w:kern w:val="28"/>
          <w:sz w:val="28"/>
          <w:szCs w:val="28"/>
        </w:rPr>
        <w:t xml:space="preserve"> центру, кафедри генетики, медицини плода,</w:t>
      </w:r>
      <w:r w:rsidR="002F01C7" w:rsidRPr="00520861">
        <w:rPr>
          <w:spacing w:val="-2"/>
          <w:kern w:val="28"/>
          <w:sz w:val="28"/>
          <w:szCs w:val="28"/>
        </w:rPr>
        <w:br/>
      </w:r>
      <w:r w:rsidR="00CF641C" w:rsidRPr="00520861">
        <w:rPr>
          <w:spacing w:val="-2"/>
          <w:kern w:val="28"/>
          <w:sz w:val="28"/>
          <w:szCs w:val="28"/>
        </w:rPr>
        <w:t xml:space="preserve"> акушерства та гінекології ХМАПО, КЗОЗ «Харківська міська дитяча поліклініка №23» та Університетського стоматологічного центру Харківського національного медичного університету (ХНМУ), а також кафедри терапевтичної стоматології ХНМУ протягом 2014 – 2019 рр. </w:t>
      </w:r>
    </w:p>
    <w:p w14:paraId="00518592" w14:textId="77777777" w:rsidR="00CF641C" w:rsidRPr="00520861" w:rsidRDefault="00CF641C" w:rsidP="00292D2E">
      <w:pPr>
        <w:widowControl w:val="0"/>
        <w:spacing w:line="360" w:lineRule="auto"/>
        <w:ind w:firstLine="708"/>
        <w:contextualSpacing/>
        <w:jc w:val="both"/>
        <w:rPr>
          <w:kern w:val="28"/>
          <w:sz w:val="28"/>
          <w:szCs w:val="28"/>
        </w:rPr>
      </w:pPr>
      <w:r w:rsidRPr="00520861">
        <w:rPr>
          <w:kern w:val="28"/>
          <w:sz w:val="28"/>
          <w:szCs w:val="28"/>
        </w:rPr>
        <w:t xml:space="preserve">Із метою аналізу причин формування </w:t>
      </w:r>
      <w:proofErr w:type="spellStart"/>
      <w:r w:rsidRPr="00520861">
        <w:rPr>
          <w:kern w:val="28"/>
          <w:sz w:val="28"/>
          <w:szCs w:val="28"/>
        </w:rPr>
        <w:t>макросомії</w:t>
      </w:r>
      <w:proofErr w:type="spellEnd"/>
      <w:r w:rsidRPr="00520861">
        <w:rPr>
          <w:kern w:val="28"/>
          <w:sz w:val="28"/>
          <w:szCs w:val="28"/>
        </w:rPr>
        <w:t xml:space="preserve"> плода в обстеженій вибірці дітей, а також для виявлення та порівняння впливу кисневої недостатності – </w:t>
      </w:r>
      <w:proofErr w:type="spellStart"/>
      <w:r w:rsidRPr="00520861">
        <w:rPr>
          <w:kern w:val="28"/>
          <w:sz w:val="28"/>
          <w:szCs w:val="28"/>
        </w:rPr>
        <w:t>гіпоксично</w:t>
      </w:r>
      <w:proofErr w:type="spellEnd"/>
      <w:r w:rsidRPr="00520861">
        <w:rPr>
          <w:kern w:val="28"/>
          <w:sz w:val="28"/>
          <w:szCs w:val="28"/>
        </w:rPr>
        <w:t xml:space="preserve">-ішемічного ураження ЦНС (ГІУ ЦНС) – на формування стоматологічних аномалій у новонароджених та дітей грудного віку, народжених </w:t>
      </w:r>
      <w:proofErr w:type="spellStart"/>
      <w:r w:rsidRPr="00520861">
        <w:rPr>
          <w:kern w:val="28"/>
          <w:sz w:val="28"/>
          <w:szCs w:val="28"/>
        </w:rPr>
        <w:t>макросомами</w:t>
      </w:r>
      <w:proofErr w:type="spellEnd"/>
      <w:r w:rsidRPr="00520861">
        <w:rPr>
          <w:kern w:val="28"/>
          <w:sz w:val="28"/>
          <w:szCs w:val="28"/>
        </w:rPr>
        <w:t xml:space="preserve">, з такими в дітей, які народилися </w:t>
      </w:r>
      <w:proofErr w:type="spellStart"/>
      <w:r w:rsidRPr="00520861">
        <w:rPr>
          <w:kern w:val="28"/>
          <w:sz w:val="28"/>
          <w:szCs w:val="28"/>
        </w:rPr>
        <w:t>нормосомами</w:t>
      </w:r>
      <w:proofErr w:type="spellEnd"/>
      <w:r w:rsidRPr="00520861">
        <w:rPr>
          <w:kern w:val="28"/>
          <w:sz w:val="28"/>
          <w:szCs w:val="28"/>
        </w:rPr>
        <w:t xml:space="preserve">, було обстежено 126 немовлят (51 </w:t>
      </w:r>
      <w:r w:rsidRPr="00520861">
        <w:rPr>
          <w:kern w:val="28"/>
          <w:sz w:val="28"/>
          <w:szCs w:val="28"/>
        </w:rPr>
        <w:br/>
        <w:t xml:space="preserve">дівчинка та 75 хлопчиків), народжених у 2015 році у віці від кількох годин до кількох місяців. </w:t>
      </w:r>
      <w:r w:rsidRPr="00520861">
        <w:rPr>
          <w:spacing w:val="-2"/>
          <w:kern w:val="28"/>
          <w:sz w:val="28"/>
          <w:szCs w:val="28"/>
        </w:rPr>
        <w:t>Вибірка дітей була розділена на чотири групи. Першу групу склали 35 немов</w:t>
      </w:r>
      <w:r w:rsidRPr="00520861">
        <w:rPr>
          <w:kern w:val="28"/>
          <w:sz w:val="28"/>
          <w:szCs w:val="28"/>
        </w:rPr>
        <w:t xml:space="preserve">лят (23 хлопчики та 12 </w:t>
      </w:r>
      <w:proofErr w:type="spellStart"/>
      <w:r w:rsidRPr="00520861">
        <w:rPr>
          <w:kern w:val="28"/>
          <w:sz w:val="28"/>
          <w:szCs w:val="28"/>
        </w:rPr>
        <w:t>дівчаток</w:t>
      </w:r>
      <w:proofErr w:type="spellEnd"/>
      <w:r w:rsidRPr="00520861">
        <w:rPr>
          <w:kern w:val="28"/>
          <w:sz w:val="28"/>
          <w:szCs w:val="28"/>
        </w:rPr>
        <w:t xml:space="preserve">), які народилися з </w:t>
      </w:r>
      <w:proofErr w:type="spellStart"/>
      <w:r w:rsidRPr="00520861">
        <w:rPr>
          <w:kern w:val="28"/>
          <w:sz w:val="28"/>
          <w:szCs w:val="28"/>
        </w:rPr>
        <w:t>макросомією</w:t>
      </w:r>
      <w:proofErr w:type="spellEnd"/>
      <w:r w:rsidRPr="00520861">
        <w:rPr>
          <w:kern w:val="28"/>
          <w:sz w:val="28"/>
          <w:szCs w:val="28"/>
        </w:rPr>
        <w:t xml:space="preserve">. Другу групу склали 29 немовлят (15 хлопчиків і 14 </w:t>
      </w:r>
      <w:proofErr w:type="spellStart"/>
      <w:r w:rsidRPr="00520861">
        <w:rPr>
          <w:kern w:val="28"/>
          <w:sz w:val="28"/>
          <w:szCs w:val="28"/>
        </w:rPr>
        <w:t>дівчаток</w:t>
      </w:r>
      <w:proofErr w:type="spellEnd"/>
      <w:r w:rsidRPr="00520861">
        <w:rPr>
          <w:kern w:val="28"/>
          <w:sz w:val="28"/>
          <w:szCs w:val="28"/>
        </w:rPr>
        <w:t xml:space="preserve">), які мали стандартну масу тіла для </w:t>
      </w:r>
      <w:proofErr w:type="spellStart"/>
      <w:r w:rsidRPr="00520861">
        <w:rPr>
          <w:kern w:val="28"/>
          <w:sz w:val="28"/>
          <w:szCs w:val="28"/>
        </w:rPr>
        <w:t>гестаційного</w:t>
      </w:r>
      <w:proofErr w:type="spellEnd"/>
      <w:r w:rsidRPr="00520861">
        <w:rPr>
          <w:kern w:val="28"/>
          <w:sz w:val="28"/>
          <w:szCs w:val="28"/>
        </w:rPr>
        <w:t xml:space="preserve"> віку (</w:t>
      </w:r>
      <w:proofErr w:type="spellStart"/>
      <w:r w:rsidRPr="00520861">
        <w:rPr>
          <w:kern w:val="28"/>
          <w:sz w:val="28"/>
          <w:szCs w:val="28"/>
        </w:rPr>
        <w:t>нормосоми</w:t>
      </w:r>
      <w:proofErr w:type="spellEnd"/>
      <w:r w:rsidRPr="00520861">
        <w:rPr>
          <w:kern w:val="28"/>
          <w:sz w:val="28"/>
          <w:szCs w:val="28"/>
        </w:rPr>
        <w:t xml:space="preserve">). Третя група складалася з 24 (14 хлопчиків та 10 </w:t>
      </w:r>
      <w:proofErr w:type="spellStart"/>
      <w:r w:rsidRPr="00520861">
        <w:rPr>
          <w:kern w:val="28"/>
          <w:sz w:val="28"/>
          <w:szCs w:val="28"/>
        </w:rPr>
        <w:t>дівчаток</w:t>
      </w:r>
      <w:proofErr w:type="spellEnd"/>
      <w:r w:rsidRPr="00520861">
        <w:rPr>
          <w:kern w:val="28"/>
          <w:sz w:val="28"/>
          <w:szCs w:val="28"/>
        </w:rPr>
        <w:t xml:space="preserve">) немовлят, які народилися з ГІУ ЦНС та </w:t>
      </w:r>
      <w:proofErr w:type="spellStart"/>
      <w:r w:rsidRPr="00520861">
        <w:rPr>
          <w:kern w:val="28"/>
          <w:sz w:val="28"/>
          <w:szCs w:val="28"/>
        </w:rPr>
        <w:t>макросомією</w:t>
      </w:r>
      <w:proofErr w:type="spellEnd"/>
      <w:r w:rsidRPr="00520861">
        <w:rPr>
          <w:kern w:val="28"/>
          <w:sz w:val="28"/>
          <w:szCs w:val="28"/>
        </w:rPr>
        <w:t xml:space="preserve">. До четвертої групи були віднесені 38 (23 хлопчики та 15 </w:t>
      </w:r>
      <w:proofErr w:type="spellStart"/>
      <w:r w:rsidRPr="00520861">
        <w:rPr>
          <w:kern w:val="28"/>
          <w:sz w:val="28"/>
          <w:szCs w:val="28"/>
        </w:rPr>
        <w:t>дівчаток</w:t>
      </w:r>
      <w:proofErr w:type="spellEnd"/>
      <w:r w:rsidRPr="00520861">
        <w:rPr>
          <w:kern w:val="28"/>
          <w:sz w:val="28"/>
          <w:szCs w:val="28"/>
        </w:rPr>
        <w:t>) немовлят-</w:t>
      </w:r>
      <w:proofErr w:type="spellStart"/>
      <w:r w:rsidRPr="00520861">
        <w:rPr>
          <w:kern w:val="28"/>
          <w:sz w:val="28"/>
          <w:szCs w:val="28"/>
        </w:rPr>
        <w:t>нормосомів</w:t>
      </w:r>
      <w:proofErr w:type="spellEnd"/>
      <w:r w:rsidRPr="00520861">
        <w:rPr>
          <w:kern w:val="28"/>
          <w:sz w:val="28"/>
          <w:szCs w:val="28"/>
        </w:rPr>
        <w:t>, які народилися з ГІУ ЦНС.</w:t>
      </w:r>
    </w:p>
    <w:p w14:paraId="527DDBEC" w14:textId="77777777" w:rsidR="00CF641C" w:rsidRPr="00520861" w:rsidRDefault="00CF641C" w:rsidP="00292D2E">
      <w:pPr>
        <w:widowControl w:val="0"/>
        <w:spacing w:line="360" w:lineRule="auto"/>
        <w:ind w:firstLine="709"/>
        <w:contextualSpacing/>
        <w:jc w:val="both"/>
        <w:rPr>
          <w:kern w:val="28"/>
          <w:sz w:val="28"/>
          <w:szCs w:val="28"/>
        </w:rPr>
      </w:pPr>
      <w:r w:rsidRPr="00520861">
        <w:rPr>
          <w:kern w:val="28"/>
          <w:sz w:val="28"/>
          <w:szCs w:val="28"/>
        </w:rPr>
        <w:t xml:space="preserve">Далі з метою виявлення впливу </w:t>
      </w:r>
      <w:proofErr w:type="spellStart"/>
      <w:r w:rsidRPr="00520861">
        <w:rPr>
          <w:kern w:val="28"/>
          <w:sz w:val="28"/>
          <w:szCs w:val="28"/>
        </w:rPr>
        <w:t>соматометричних</w:t>
      </w:r>
      <w:proofErr w:type="spellEnd"/>
      <w:r w:rsidRPr="00520861">
        <w:rPr>
          <w:kern w:val="28"/>
          <w:sz w:val="28"/>
          <w:szCs w:val="28"/>
        </w:rPr>
        <w:t xml:space="preserve"> показників при народженні на стоматологічний статус новонароджених та дітей грудного віку було вивчено медичну документацію та обстежено 173 дитини (102 хлопчики та 71 дівчинка) віком від однієї доби до 3 місяців, які народилися в 2014 – 2017 рр. У число обстежених дітей увійшли й 126 немовлят, указаних вище. ОГ склали 104 дитини (63 хлопчики й 41 дівчинка), які були народжені з </w:t>
      </w:r>
      <w:proofErr w:type="spellStart"/>
      <w:r w:rsidRPr="00520861">
        <w:rPr>
          <w:kern w:val="28"/>
          <w:sz w:val="28"/>
          <w:szCs w:val="28"/>
        </w:rPr>
        <w:t>макросомією</w:t>
      </w:r>
      <w:proofErr w:type="spellEnd"/>
      <w:r w:rsidRPr="00520861">
        <w:rPr>
          <w:kern w:val="28"/>
          <w:sz w:val="28"/>
          <w:szCs w:val="28"/>
        </w:rPr>
        <w:t xml:space="preserve">, тобто їхні МРП були оцінені вище за 90-центильний рівень. Діагнози були </w:t>
      </w:r>
      <w:proofErr w:type="spellStart"/>
      <w:r w:rsidRPr="00520861">
        <w:rPr>
          <w:kern w:val="28"/>
          <w:sz w:val="28"/>
          <w:szCs w:val="28"/>
        </w:rPr>
        <w:t>верифіковані</w:t>
      </w:r>
      <w:proofErr w:type="spellEnd"/>
      <w:r w:rsidRPr="00520861">
        <w:rPr>
          <w:kern w:val="28"/>
          <w:sz w:val="28"/>
          <w:szCs w:val="28"/>
        </w:rPr>
        <w:t xml:space="preserve"> лікарями-</w:t>
      </w:r>
      <w:proofErr w:type="spellStart"/>
      <w:r w:rsidRPr="00520861">
        <w:rPr>
          <w:kern w:val="28"/>
          <w:sz w:val="28"/>
          <w:szCs w:val="28"/>
        </w:rPr>
        <w:t>неонатологами</w:t>
      </w:r>
      <w:proofErr w:type="spellEnd"/>
      <w:r w:rsidRPr="00520861">
        <w:rPr>
          <w:kern w:val="28"/>
          <w:sz w:val="28"/>
          <w:szCs w:val="28"/>
        </w:rPr>
        <w:t xml:space="preserve"> Харківського міського </w:t>
      </w:r>
      <w:proofErr w:type="spellStart"/>
      <w:r w:rsidRPr="00520861">
        <w:rPr>
          <w:kern w:val="28"/>
          <w:sz w:val="28"/>
          <w:szCs w:val="28"/>
        </w:rPr>
        <w:t>перинатального</w:t>
      </w:r>
      <w:proofErr w:type="spellEnd"/>
      <w:r w:rsidRPr="00520861">
        <w:rPr>
          <w:kern w:val="28"/>
          <w:sz w:val="28"/>
          <w:szCs w:val="28"/>
        </w:rPr>
        <w:t xml:space="preserve"> центру та кафедри генетики, акушерства та </w:t>
      </w:r>
      <w:r w:rsidRPr="00520861">
        <w:rPr>
          <w:kern w:val="28"/>
          <w:sz w:val="28"/>
          <w:szCs w:val="28"/>
        </w:rPr>
        <w:br/>
      </w:r>
      <w:r w:rsidRPr="00520861">
        <w:rPr>
          <w:kern w:val="28"/>
          <w:sz w:val="28"/>
          <w:szCs w:val="28"/>
        </w:rPr>
        <w:lastRenderedPageBreak/>
        <w:t>медицини плода ХМАПО.</w:t>
      </w:r>
    </w:p>
    <w:p w14:paraId="416ADB2E"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sz w:val="28"/>
          <w:szCs w:val="28"/>
        </w:rPr>
        <w:t>Особи ОГ усіх вікових періодів були розділені на чотири підгрупи згідно з МРП при народженні з використанням коефіцієнта гармонійності (</w:t>
      </w:r>
      <w:r w:rsidRPr="00520861">
        <w:rPr>
          <w:sz w:val="28"/>
          <w:szCs w:val="28"/>
          <w:shd w:val="clear" w:color="auto" w:fill="FFFFFF"/>
        </w:rPr>
        <w:t>Грищенко</w:t>
      </w:r>
      <w:r w:rsidRPr="00520861">
        <w:rPr>
          <w:bCs/>
          <w:sz w:val="28"/>
          <w:szCs w:val="28"/>
          <w:shd w:val="clear" w:color="auto" w:fill="FFFFFF"/>
        </w:rPr>
        <w:t> </w:t>
      </w:r>
      <w:r w:rsidRPr="00520861">
        <w:rPr>
          <w:sz w:val="28"/>
          <w:szCs w:val="28"/>
          <w:shd w:val="clear" w:color="auto" w:fill="FFFFFF"/>
        </w:rPr>
        <w:t xml:space="preserve">В. І. та співавтори </w:t>
      </w:r>
      <w:r w:rsidRPr="00520861">
        <w:rPr>
          <w:sz w:val="28"/>
          <w:szCs w:val="28"/>
        </w:rPr>
        <w:t xml:space="preserve">[82]). </w:t>
      </w:r>
      <w:r w:rsidRPr="00520861">
        <w:rPr>
          <w:rFonts w:eastAsia="Calibri"/>
          <w:sz w:val="28"/>
          <w:szCs w:val="28"/>
          <w:lang w:eastAsia="en-US"/>
        </w:rPr>
        <w:t xml:space="preserve">Відомості про МРП усіх учасників дослідження при народженні </w:t>
      </w:r>
      <w:r w:rsidRPr="00520861">
        <w:rPr>
          <w:sz w:val="28"/>
          <w:szCs w:val="28"/>
        </w:rPr>
        <w:t xml:space="preserve">були </w:t>
      </w:r>
      <w:proofErr w:type="spellStart"/>
      <w:r w:rsidRPr="00520861">
        <w:rPr>
          <w:sz w:val="28"/>
          <w:szCs w:val="28"/>
        </w:rPr>
        <w:t>викопійовані</w:t>
      </w:r>
      <w:proofErr w:type="spellEnd"/>
      <w:r w:rsidRPr="00520861">
        <w:rPr>
          <w:sz w:val="28"/>
          <w:szCs w:val="28"/>
        </w:rPr>
        <w:t xml:space="preserve"> із записів </w:t>
      </w:r>
      <w:r w:rsidRPr="00520861">
        <w:rPr>
          <w:rFonts w:eastAsia="Calibri"/>
          <w:sz w:val="28"/>
          <w:szCs w:val="28"/>
          <w:lang w:eastAsia="en-US"/>
        </w:rPr>
        <w:t xml:space="preserve">в обмінних картах пологових будинків, медичних картах стаціонарного хворого, історіях розвитку дітей, ідентифікаційних бирках чи браслетах новонароджених або іншої медичної документації, яка </w:t>
      </w:r>
      <w:proofErr w:type="spellStart"/>
      <w:r w:rsidRPr="00520861">
        <w:rPr>
          <w:rFonts w:eastAsia="Calibri"/>
          <w:sz w:val="28"/>
          <w:szCs w:val="28"/>
          <w:lang w:eastAsia="en-US"/>
        </w:rPr>
        <w:t>збереглася</w:t>
      </w:r>
      <w:proofErr w:type="spellEnd"/>
      <w:r w:rsidRPr="00520861">
        <w:rPr>
          <w:rFonts w:eastAsia="Calibri"/>
          <w:sz w:val="28"/>
          <w:szCs w:val="28"/>
          <w:lang w:eastAsia="en-US"/>
        </w:rPr>
        <w:t xml:space="preserve"> в архівах медичних закладів чи безпосередньо в учасників дослідження. </w:t>
      </w:r>
    </w:p>
    <w:p w14:paraId="3B6751E5"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shd w:val="clear" w:color="auto" w:fill="FFFFFF"/>
          <w:lang w:eastAsia="en-US"/>
        </w:rPr>
        <w:t xml:space="preserve">До підгрупи 1 була віднесена 51 особа </w:t>
      </w:r>
      <w:r w:rsidRPr="00520861">
        <w:rPr>
          <w:rFonts w:eastAsia="Calibri"/>
          <w:sz w:val="28"/>
          <w:szCs w:val="28"/>
          <w:lang w:eastAsia="en-US"/>
        </w:rPr>
        <w:t xml:space="preserve">(34 хлопчики та 17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w:t>
      </w:r>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eastAsia="en-US"/>
        </w:rPr>
        <w:br/>
        <w:t>До підгрупи 2 належали 18</w:t>
      </w:r>
      <w:r w:rsidRPr="00520861">
        <w:rPr>
          <w:rFonts w:eastAsia="Calibri"/>
          <w:sz w:val="28"/>
          <w:szCs w:val="28"/>
          <w:lang w:eastAsia="en-US"/>
        </w:rPr>
        <w:t xml:space="preserve"> осіб (12 хлопчиків і 6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w:t>
      </w:r>
      <w:r w:rsidRPr="00520861">
        <w:rPr>
          <w:rFonts w:eastAsia="Calibri"/>
          <w:sz w:val="28"/>
          <w:szCs w:val="28"/>
          <w:shd w:val="clear" w:color="auto" w:fill="FFFFFF"/>
          <w:lang w:eastAsia="en-US"/>
        </w:rPr>
        <w:t xml:space="preserve"> До підгрупи 3 були віднесені </w:t>
      </w:r>
      <w:r w:rsidRPr="00520861">
        <w:rPr>
          <w:rFonts w:eastAsia="Calibri"/>
          <w:sz w:val="28"/>
          <w:szCs w:val="28"/>
          <w:lang w:eastAsia="en-US"/>
        </w:rPr>
        <w:t xml:space="preserve">18 осіб (10 хлопчиків і 8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w:t>
      </w:r>
      <w:r w:rsidRPr="00520861">
        <w:rPr>
          <w:rFonts w:eastAsia="Calibri"/>
          <w:sz w:val="28"/>
          <w:szCs w:val="28"/>
          <w:shd w:val="clear" w:color="auto" w:fill="FFFFFF"/>
          <w:lang w:eastAsia="en-US"/>
        </w:rPr>
        <w:t>.</w:t>
      </w:r>
      <w:r w:rsidRPr="00520861">
        <w:rPr>
          <w:rFonts w:eastAsia="Calibri"/>
          <w:sz w:val="28"/>
          <w:szCs w:val="28"/>
          <w:lang w:eastAsia="en-US"/>
        </w:rPr>
        <w:t xml:space="preserve"> </w:t>
      </w:r>
      <w:r w:rsidRPr="00520861">
        <w:rPr>
          <w:rFonts w:eastAsia="Calibri"/>
          <w:sz w:val="28"/>
          <w:szCs w:val="28"/>
          <w:shd w:val="clear" w:color="auto" w:fill="FFFFFF"/>
          <w:lang w:eastAsia="en-US"/>
        </w:rPr>
        <w:t xml:space="preserve">До підгрупи 4 були віднесені 17 </w:t>
      </w:r>
      <w:r w:rsidRPr="00520861">
        <w:rPr>
          <w:rFonts w:eastAsia="Calibri"/>
          <w:sz w:val="28"/>
          <w:szCs w:val="28"/>
          <w:lang w:eastAsia="en-US"/>
        </w:rPr>
        <w:t xml:space="preserve">осіб (7 хлопчиків та 10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w:t>
      </w:r>
      <w:r w:rsidRPr="00520861">
        <w:rPr>
          <w:rFonts w:eastAsia="Calibri"/>
          <w:sz w:val="28"/>
          <w:szCs w:val="28"/>
          <w:shd w:val="clear" w:color="auto" w:fill="FFFFFF"/>
          <w:lang w:eastAsia="en-US"/>
        </w:rPr>
        <w:t xml:space="preserve">. </w:t>
      </w:r>
      <w:r w:rsidRPr="00520861">
        <w:rPr>
          <w:rFonts w:eastAsia="Calibri"/>
          <w:sz w:val="28"/>
          <w:szCs w:val="28"/>
          <w:lang w:eastAsia="en-US"/>
        </w:rPr>
        <w:t xml:space="preserve">Шістдесят дев’ять дітей (39 хлопчиків та 30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які мали середні МРП при народженні, склали ГП.</w:t>
      </w:r>
    </w:p>
    <w:p w14:paraId="05BDA466"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У табл. Б.1.5 представлені осереднені МРП задіяних у дослідженні дітей (104 дитини основної групи та 69 дітей групи порівняння) при народженні та при досягненні ними віку 1 рік.</w:t>
      </w:r>
    </w:p>
    <w:p w14:paraId="5758873D"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Для більшості із цих дітей були проведені повторні обстеження у віці від 4 до 20 місяців. У дослідженні брали участь 55 (31 хлопчик і 24 дівчинки) дітей ГП та 96 (57 хлопчиків, 39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дітей ОГ, а саме: підгрупи 1 (29 хлопчиків, 17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підгрупи 2 (11 хлопчиків, 5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підгрупи 3 (10 хлопчиків, 7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підгрупи 4 (7 хлопчиків, 10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w:t>
      </w:r>
    </w:p>
    <w:p w14:paraId="7A49131C" w14:textId="77777777" w:rsidR="00CF641C" w:rsidRPr="00520861" w:rsidRDefault="00CF641C" w:rsidP="00292D2E">
      <w:pPr>
        <w:widowControl w:val="0"/>
        <w:spacing w:line="360" w:lineRule="auto"/>
        <w:ind w:firstLine="708"/>
        <w:contextualSpacing/>
        <w:jc w:val="both"/>
        <w:rPr>
          <w:rFonts w:eastAsia="Calibri"/>
          <w:b/>
          <w:sz w:val="28"/>
          <w:szCs w:val="28"/>
          <w:lang w:eastAsia="en-US"/>
        </w:rPr>
      </w:pPr>
      <w:r w:rsidRPr="00520861">
        <w:rPr>
          <w:rFonts w:eastAsia="Calibri"/>
          <w:sz w:val="28"/>
          <w:szCs w:val="28"/>
          <w:lang w:eastAsia="en-US"/>
        </w:rPr>
        <w:t xml:space="preserve">Стоматологічне обстеження дітей віком 3 – 6 років (вікові періоди ВП-II та ВП-III) проводилося на базі Університетського стоматологічного центру (кафедра терапевтичної стоматології ХНМУ), КЗОЗ «Харківський міський </w:t>
      </w:r>
      <w:proofErr w:type="spellStart"/>
      <w:r w:rsidRPr="00520861">
        <w:rPr>
          <w:rFonts w:eastAsia="Calibri"/>
          <w:sz w:val="28"/>
          <w:szCs w:val="28"/>
          <w:lang w:eastAsia="en-US"/>
        </w:rPr>
        <w:t>перинатальний</w:t>
      </w:r>
      <w:proofErr w:type="spellEnd"/>
      <w:r w:rsidRPr="00520861">
        <w:rPr>
          <w:rFonts w:eastAsia="Calibri"/>
          <w:sz w:val="28"/>
          <w:szCs w:val="28"/>
          <w:lang w:eastAsia="en-US"/>
        </w:rPr>
        <w:t xml:space="preserve"> центр», на базі поліклінічного відділення ДУ «Інститут охорони здоров’я дітей та підлітків Національної академії медичних наук України» і КЗОЗ «Харківська міська дитяча поліклініка №23».</w:t>
      </w:r>
    </w:p>
    <w:p w14:paraId="606F2536"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Дослідження складалося з двох етапів. Перший етап був продовженням </w:t>
      </w:r>
      <w:r w:rsidRPr="00520861">
        <w:rPr>
          <w:rFonts w:eastAsia="Calibri"/>
          <w:sz w:val="28"/>
          <w:szCs w:val="28"/>
          <w:lang w:eastAsia="en-US"/>
        </w:rPr>
        <w:br/>
        <w:t xml:space="preserve">дослідження, розпочатого раніше, коли діти були обстежені при народженні, у віці 6 місяців та по досягненню ними віку 1 рік. Поточний етап включав обстеження цих </w:t>
      </w:r>
      <w:r w:rsidRPr="00520861">
        <w:rPr>
          <w:rFonts w:eastAsia="Calibri"/>
          <w:sz w:val="28"/>
          <w:szCs w:val="28"/>
          <w:lang w:eastAsia="en-US"/>
        </w:rPr>
        <w:lastRenderedPageBreak/>
        <w:t xml:space="preserve">самих 43 дітей (24 хлопчики та 19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у віці </w:t>
      </w:r>
      <w:r w:rsidRPr="00520861">
        <w:rPr>
          <w:rFonts w:eastAsia="Calibri"/>
          <w:sz w:val="28"/>
          <w:szCs w:val="28"/>
          <w:lang w:eastAsia="en-US"/>
        </w:rPr>
        <w:br/>
        <w:t xml:space="preserve">3 – 3,5 року. Групою порівняння для них стали 24 дитини (15 хлопчиків та 9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чиї параметри при народженні відповідали нормі (</w:t>
      </w:r>
      <w:proofErr w:type="spellStart"/>
      <w:r w:rsidRPr="00520861">
        <w:rPr>
          <w:rFonts w:eastAsia="Calibri"/>
          <w:sz w:val="28"/>
          <w:szCs w:val="28"/>
          <w:lang w:eastAsia="en-US"/>
        </w:rPr>
        <w:t>нормосоми</w:t>
      </w:r>
      <w:proofErr w:type="spellEnd"/>
      <w:r w:rsidRPr="00520861">
        <w:rPr>
          <w:rFonts w:eastAsia="Calibri"/>
          <w:sz w:val="28"/>
          <w:szCs w:val="28"/>
          <w:lang w:eastAsia="en-US"/>
        </w:rPr>
        <w:t>).</w:t>
      </w:r>
    </w:p>
    <w:p w14:paraId="22F37531" w14:textId="77777777" w:rsidR="00CF641C" w:rsidRPr="00520861" w:rsidRDefault="00CF641C" w:rsidP="00292D2E">
      <w:pPr>
        <w:widowControl w:val="0"/>
        <w:spacing w:line="360" w:lineRule="auto"/>
        <w:ind w:firstLine="708"/>
        <w:contextualSpacing/>
        <w:jc w:val="both"/>
        <w:rPr>
          <w:sz w:val="28"/>
          <w:szCs w:val="28"/>
        </w:rPr>
      </w:pPr>
      <w:r w:rsidRPr="00520861">
        <w:rPr>
          <w:rFonts w:eastAsia="Calibri"/>
          <w:sz w:val="28"/>
          <w:szCs w:val="28"/>
          <w:lang w:eastAsia="en-US"/>
        </w:rPr>
        <w:t>На другому етапі було обстежено 40 практично здорових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(24 хлопчики та 16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віком від 4,5 до 6,5 року. Подовжений до 6,5 року віковий діапазон пояснюється </w:t>
      </w:r>
      <w:r w:rsidRPr="00520861">
        <w:rPr>
          <w:rFonts w:eastAsia="Calibri"/>
          <w:bCs/>
          <w:iCs/>
          <w:sz w:val="28"/>
          <w:szCs w:val="28"/>
          <w:lang w:eastAsia="en-US"/>
        </w:rPr>
        <w:t xml:space="preserve">урахуванням особливостей термінів прорізування постійних зубів у дітей, які народилися з </w:t>
      </w:r>
      <w:proofErr w:type="spellStart"/>
      <w:r w:rsidRPr="00520861">
        <w:rPr>
          <w:rFonts w:eastAsia="Calibri"/>
          <w:bCs/>
          <w:iCs/>
          <w:sz w:val="28"/>
          <w:szCs w:val="28"/>
          <w:lang w:eastAsia="en-US"/>
        </w:rPr>
        <w:t>макросомією</w:t>
      </w:r>
      <w:proofErr w:type="spellEnd"/>
      <w:r w:rsidRPr="00520861">
        <w:rPr>
          <w:rFonts w:eastAsia="Calibri"/>
          <w:sz w:val="28"/>
          <w:szCs w:val="28"/>
          <w:lang w:eastAsia="en-US"/>
        </w:rPr>
        <w:t>.</w:t>
      </w:r>
      <w:r w:rsidRPr="00520861">
        <w:rPr>
          <w:sz w:val="28"/>
          <w:szCs w:val="28"/>
        </w:rPr>
        <w:t xml:space="preserve"> Групу порівняння для цього ВП склали 13 </w:t>
      </w:r>
      <w:r w:rsidRPr="00520861">
        <w:rPr>
          <w:rFonts w:eastAsia="Calibri"/>
          <w:sz w:val="28"/>
          <w:szCs w:val="28"/>
          <w:lang w:eastAsia="en-US"/>
        </w:rPr>
        <w:t xml:space="preserve">практично здорових </w:t>
      </w:r>
      <w:proofErr w:type="spellStart"/>
      <w:r w:rsidRPr="00520861">
        <w:rPr>
          <w:sz w:val="28"/>
          <w:szCs w:val="28"/>
        </w:rPr>
        <w:t>нормосомів</w:t>
      </w:r>
      <w:proofErr w:type="spellEnd"/>
      <w:r w:rsidRPr="00520861">
        <w:rPr>
          <w:sz w:val="28"/>
          <w:szCs w:val="28"/>
        </w:rPr>
        <w:t xml:space="preserve"> (7 хлопчиків та 6 </w:t>
      </w:r>
      <w:proofErr w:type="spellStart"/>
      <w:r w:rsidRPr="00520861">
        <w:rPr>
          <w:rFonts w:eastAsia="Calibri"/>
          <w:sz w:val="28"/>
          <w:szCs w:val="28"/>
          <w:lang w:eastAsia="en-US"/>
        </w:rPr>
        <w:t>дівчаток</w:t>
      </w:r>
      <w:proofErr w:type="spellEnd"/>
      <w:r w:rsidRPr="00520861">
        <w:rPr>
          <w:sz w:val="28"/>
          <w:szCs w:val="28"/>
        </w:rPr>
        <w:t>) віком від 4,5 до 6 років із різним станом стоматологічного здоров’я.</w:t>
      </w:r>
    </w:p>
    <w:p w14:paraId="70E393D7"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Із метою виявлення впливу </w:t>
      </w:r>
      <w:proofErr w:type="spellStart"/>
      <w:r w:rsidRPr="00520861">
        <w:rPr>
          <w:sz w:val="28"/>
          <w:szCs w:val="28"/>
        </w:rPr>
        <w:t>соматометричних</w:t>
      </w:r>
      <w:proofErr w:type="spellEnd"/>
      <w:r w:rsidRPr="00520861">
        <w:rPr>
          <w:sz w:val="28"/>
          <w:szCs w:val="28"/>
        </w:rPr>
        <w:t xml:space="preserve"> показників при народженні на стоматологічний статус діти всіх вікових категорій ОГ (</w:t>
      </w:r>
      <w:proofErr w:type="spellStart"/>
      <w:r w:rsidRPr="00520861">
        <w:rPr>
          <w:sz w:val="28"/>
          <w:szCs w:val="28"/>
        </w:rPr>
        <w:t>макросоми</w:t>
      </w:r>
      <w:proofErr w:type="spellEnd"/>
      <w:r w:rsidRPr="00520861">
        <w:rPr>
          <w:sz w:val="28"/>
          <w:szCs w:val="28"/>
        </w:rPr>
        <w:t>) були розділені на чотири підгрупи згідно з МРП при народженні з використанням коефіцієнта гармонійності (</w:t>
      </w:r>
      <w:r w:rsidRPr="00520861">
        <w:rPr>
          <w:sz w:val="28"/>
          <w:szCs w:val="28"/>
          <w:shd w:val="clear" w:color="auto" w:fill="FFFFFF"/>
        </w:rPr>
        <w:t>Грищенко</w:t>
      </w:r>
      <w:r w:rsidRPr="00520861">
        <w:rPr>
          <w:bCs/>
          <w:sz w:val="28"/>
          <w:szCs w:val="28"/>
          <w:shd w:val="clear" w:color="auto" w:fill="FFFFFF"/>
        </w:rPr>
        <w:t> </w:t>
      </w:r>
      <w:r w:rsidRPr="00520861">
        <w:rPr>
          <w:sz w:val="28"/>
          <w:szCs w:val="28"/>
          <w:shd w:val="clear" w:color="auto" w:fill="FFFFFF"/>
        </w:rPr>
        <w:t xml:space="preserve">В. І. та співавтори </w:t>
      </w:r>
      <w:r w:rsidRPr="00520861">
        <w:rPr>
          <w:sz w:val="28"/>
          <w:szCs w:val="28"/>
        </w:rPr>
        <w:t xml:space="preserve">[82]). Масо-ростові параметри при </w:t>
      </w:r>
      <w:r w:rsidRPr="00520861">
        <w:rPr>
          <w:sz w:val="28"/>
          <w:szCs w:val="28"/>
        </w:rPr>
        <w:br/>
        <w:t xml:space="preserve">народженні всіх учасників дослідження були </w:t>
      </w:r>
      <w:proofErr w:type="spellStart"/>
      <w:r w:rsidRPr="00520861">
        <w:rPr>
          <w:sz w:val="28"/>
          <w:szCs w:val="28"/>
        </w:rPr>
        <w:t>викопійовані</w:t>
      </w:r>
      <w:proofErr w:type="spellEnd"/>
      <w:r w:rsidRPr="00520861">
        <w:rPr>
          <w:sz w:val="28"/>
          <w:szCs w:val="28"/>
        </w:rPr>
        <w:t xml:space="preserve"> із записів в історіях розвитку дітей та обмінних карт пологових будинків.</w:t>
      </w:r>
      <w:r w:rsidRPr="00520861">
        <w:rPr>
          <w:rFonts w:eastAsia="Calibri"/>
          <w:sz w:val="28"/>
          <w:szCs w:val="28"/>
          <w:lang w:eastAsia="en-US"/>
        </w:rPr>
        <w:t xml:space="preserve"> </w:t>
      </w:r>
      <w:r w:rsidRPr="00520861">
        <w:rPr>
          <w:sz w:val="28"/>
          <w:szCs w:val="28"/>
        </w:rPr>
        <w:t>Зведені дані про кількість учасників у групах і підгрупах з розподілом на осіб чоловічої й жіночої статі у ВП-II та ВП-III демонструє табл. 2.2.</w:t>
      </w:r>
    </w:p>
    <w:p w14:paraId="65ABA467" w14:textId="77777777" w:rsidR="00CF641C" w:rsidRPr="00520861" w:rsidRDefault="00CF641C" w:rsidP="00292D2E">
      <w:pPr>
        <w:widowControl w:val="0"/>
        <w:spacing w:line="360" w:lineRule="auto"/>
        <w:ind w:firstLine="708"/>
        <w:jc w:val="right"/>
        <w:rPr>
          <w:rFonts w:eastAsia="Calibri"/>
          <w:i/>
          <w:sz w:val="28"/>
          <w:szCs w:val="28"/>
          <w:lang w:eastAsia="en-US"/>
        </w:rPr>
      </w:pPr>
      <w:r w:rsidRPr="00520861">
        <w:rPr>
          <w:rFonts w:eastAsia="Calibri"/>
          <w:i/>
          <w:sz w:val="28"/>
          <w:szCs w:val="28"/>
          <w:lang w:eastAsia="en-US"/>
        </w:rPr>
        <w:t>Таблиця 2.2</w:t>
      </w:r>
    </w:p>
    <w:p w14:paraId="04CEE2A8" w14:textId="77777777" w:rsidR="00CF641C" w:rsidRPr="00520861" w:rsidRDefault="00CF641C" w:rsidP="00292D2E">
      <w:pPr>
        <w:widowControl w:val="0"/>
        <w:spacing w:line="360" w:lineRule="auto"/>
        <w:ind w:firstLine="708"/>
        <w:jc w:val="center"/>
        <w:rPr>
          <w:rFonts w:eastAsia="Calibri"/>
          <w:b/>
          <w:sz w:val="28"/>
          <w:szCs w:val="28"/>
          <w:lang w:eastAsia="en-US"/>
        </w:rPr>
      </w:pPr>
      <w:r w:rsidRPr="00520861">
        <w:rPr>
          <w:rFonts w:eastAsia="Calibri"/>
          <w:b/>
          <w:sz w:val="28"/>
          <w:szCs w:val="28"/>
          <w:lang w:eastAsia="en-US"/>
        </w:rPr>
        <w:t xml:space="preserve">Зведені дані про кількість учасників у групах і підгрупах у ВП-ІІ та </w:t>
      </w:r>
    </w:p>
    <w:p w14:paraId="0FD9F557" w14:textId="77777777" w:rsidR="00CF641C" w:rsidRPr="00520861" w:rsidRDefault="00CF641C" w:rsidP="00292D2E">
      <w:pPr>
        <w:widowControl w:val="0"/>
        <w:spacing w:line="360" w:lineRule="auto"/>
        <w:ind w:firstLine="708"/>
        <w:jc w:val="center"/>
        <w:rPr>
          <w:rFonts w:eastAsia="Calibri"/>
          <w:b/>
          <w:sz w:val="28"/>
          <w:szCs w:val="28"/>
          <w:lang w:eastAsia="en-US"/>
        </w:rPr>
      </w:pPr>
      <w:r w:rsidRPr="00520861">
        <w:rPr>
          <w:rFonts w:eastAsia="Calibri"/>
          <w:b/>
          <w:sz w:val="28"/>
          <w:szCs w:val="28"/>
          <w:lang w:eastAsia="en-US"/>
        </w:rPr>
        <w:t>ВП-ІІІ ( з розподілом на осіб чоловічої / жіночої статі)</w:t>
      </w:r>
    </w:p>
    <w:tbl>
      <w:tblPr>
        <w:tblW w:w="101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7"/>
        <w:gridCol w:w="1501"/>
        <w:gridCol w:w="1418"/>
        <w:gridCol w:w="1376"/>
        <w:gridCol w:w="1377"/>
        <w:gridCol w:w="1377"/>
        <w:gridCol w:w="1377"/>
      </w:tblGrid>
      <w:tr w:rsidR="00CF641C" w:rsidRPr="00520861" w14:paraId="0D88FC42" w14:textId="77777777" w:rsidTr="00292D2E">
        <w:trPr>
          <w:jc w:val="center"/>
        </w:trPr>
        <w:tc>
          <w:tcPr>
            <w:tcW w:w="1717" w:type="dxa"/>
            <w:tcBorders>
              <w:top w:val="single" w:sz="4" w:space="0" w:color="auto"/>
              <w:left w:val="single" w:sz="4" w:space="0" w:color="auto"/>
              <w:bottom w:val="single" w:sz="4" w:space="0" w:color="auto"/>
              <w:right w:val="single" w:sz="4" w:space="0" w:color="auto"/>
            </w:tcBorders>
            <w:shd w:val="clear" w:color="auto" w:fill="auto"/>
            <w:hideMark/>
          </w:tcPr>
          <w:p w14:paraId="37A5C7D3"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Група, </w:t>
            </w:r>
          </w:p>
          <w:p w14:paraId="6DEFAC7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підгрупа</w:t>
            </w:r>
          </w:p>
        </w:tc>
        <w:tc>
          <w:tcPr>
            <w:tcW w:w="1501" w:type="dxa"/>
            <w:tcBorders>
              <w:top w:val="single" w:sz="4" w:space="0" w:color="auto"/>
              <w:left w:val="single" w:sz="4" w:space="0" w:color="auto"/>
              <w:bottom w:val="single" w:sz="4" w:space="0" w:color="auto"/>
              <w:right w:val="single" w:sz="4" w:space="0" w:color="auto"/>
            </w:tcBorders>
            <w:shd w:val="clear" w:color="auto" w:fill="auto"/>
            <w:hideMark/>
          </w:tcPr>
          <w:p w14:paraId="1EB91227" w14:textId="77777777" w:rsidR="00CF641C" w:rsidRPr="00520861" w:rsidRDefault="00CF641C" w:rsidP="00292D2E">
            <w:pPr>
              <w:widowControl w:val="0"/>
              <w:ind w:left="-254" w:right="-314"/>
              <w:jc w:val="center"/>
              <w:rPr>
                <w:rFonts w:eastAsia="Calibri"/>
                <w:sz w:val="28"/>
                <w:szCs w:val="28"/>
                <w:lang w:eastAsia="en-US"/>
              </w:rPr>
            </w:pPr>
            <w:r w:rsidRPr="00520861">
              <w:rPr>
                <w:rFonts w:eastAsia="Calibri"/>
                <w:sz w:val="28"/>
                <w:szCs w:val="28"/>
                <w:lang w:eastAsia="en-US"/>
              </w:rPr>
              <w:t xml:space="preserve">ГП </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14:paraId="3CFA1472" w14:textId="77777777" w:rsidR="00CF641C" w:rsidRPr="00520861" w:rsidRDefault="00CF641C" w:rsidP="00292D2E">
            <w:pPr>
              <w:widowControl w:val="0"/>
              <w:ind w:left="-254" w:right="-314"/>
              <w:jc w:val="center"/>
              <w:rPr>
                <w:rFonts w:eastAsia="Calibri"/>
                <w:sz w:val="28"/>
                <w:szCs w:val="28"/>
                <w:lang w:eastAsia="en-US"/>
              </w:rPr>
            </w:pPr>
            <w:r w:rsidRPr="00520861">
              <w:rPr>
                <w:rFonts w:eastAsia="Calibri"/>
                <w:sz w:val="28"/>
                <w:szCs w:val="28"/>
                <w:lang w:eastAsia="en-US"/>
              </w:rPr>
              <w:t>ОГ</w:t>
            </w:r>
          </w:p>
        </w:tc>
        <w:tc>
          <w:tcPr>
            <w:tcW w:w="1376" w:type="dxa"/>
            <w:tcBorders>
              <w:top w:val="single" w:sz="4" w:space="0" w:color="auto"/>
              <w:left w:val="single" w:sz="4" w:space="0" w:color="auto"/>
              <w:bottom w:val="single" w:sz="4" w:space="0" w:color="auto"/>
              <w:right w:val="single" w:sz="4" w:space="0" w:color="auto"/>
            </w:tcBorders>
            <w:shd w:val="clear" w:color="auto" w:fill="auto"/>
            <w:hideMark/>
          </w:tcPr>
          <w:p w14:paraId="60EF2EAE"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1</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52DEBE2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2</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46328C94"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3</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1C47E781"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4</w:t>
            </w:r>
          </w:p>
        </w:tc>
      </w:tr>
      <w:tr w:rsidR="00CF641C" w:rsidRPr="00520861" w14:paraId="3FB08B5B" w14:textId="77777777" w:rsidTr="00292D2E">
        <w:trPr>
          <w:jc w:val="center"/>
        </w:trPr>
        <w:tc>
          <w:tcPr>
            <w:tcW w:w="1717" w:type="dxa"/>
            <w:tcBorders>
              <w:top w:val="single" w:sz="4" w:space="0" w:color="auto"/>
              <w:left w:val="single" w:sz="4" w:space="0" w:color="auto"/>
              <w:bottom w:val="single" w:sz="4" w:space="0" w:color="auto"/>
              <w:right w:val="single" w:sz="4" w:space="0" w:color="auto"/>
            </w:tcBorders>
            <w:shd w:val="clear" w:color="auto" w:fill="auto"/>
            <w:hideMark/>
          </w:tcPr>
          <w:p w14:paraId="5B4232E3" w14:textId="77777777" w:rsidR="00CF641C" w:rsidRPr="00520861" w:rsidRDefault="00CF641C" w:rsidP="00292D2E">
            <w:pPr>
              <w:widowControl w:val="0"/>
              <w:spacing w:line="360" w:lineRule="auto"/>
              <w:ind w:right="-105"/>
              <w:jc w:val="center"/>
              <w:rPr>
                <w:rFonts w:eastAsia="Calibri"/>
                <w:sz w:val="28"/>
                <w:szCs w:val="28"/>
                <w:lang w:eastAsia="en-US"/>
              </w:rPr>
            </w:pPr>
            <w:r w:rsidRPr="00520861">
              <w:rPr>
                <w:rFonts w:eastAsia="Calibri"/>
                <w:sz w:val="28"/>
                <w:szCs w:val="28"/>
                <w:lang w:eastAsia="en-US"/>
              </w:rPr>
              <w:t>Діти</w:t>
            </w:r>
          </w:p>
          <w:p w14:paraId="15A7102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(3–3,5 року)</w:t>
            </w:r>
          </w:p>
        </w:tc>
        <w:tc>
          <w:tcPr>
            <w:tcW w:w="1501" w:type="dxa"/>
            <w:tcBorders>
              <w:top w:val="single" w:sz="4" w:space="0" w:color="auto"/>
              <w:left w:val="single" w:sz="4" w:space="0" w:color="auto"/>
              <w:bottom w:val="single" w:sz="4" w:space="0" w:color="auto"/>
              <w:right w:val="single" w:sz="4" w:space="0" w:color="auto"/>
            </w:tcBorders>
            <w:shd w:val="clear" w:color="auto" w:fill="auto"/>
            <w:hideMark/>
          </w:tcPr>
          <w:p w14:paraId="45243C6E"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24 </w:t>
            </w:r>
          </w:p>
          <w:p w14:paraId="1A2F16A3"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(15/9)</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14:paraId="1B843A6B"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43</w:t>
            </w:r>
          </w:p>
          <w:p w14:paraId="3AC1CE1F"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(24/19)</w:t>
            </w:r>
          </w:p>
        </w:tc>
        <w:tc>
          <w:tcPr>
            <w:tcW w:w="1376" w:type="dxa"/>
            <w:tcBorders>
              <w:top w:val="single" w:sz="4" w:space="0" w:color="auto"/>
              <w:left w:val="single" w:sz="4" w:space="0" w:color="auto"/>
              <w:bottom w:val="single" w:sz="4" w:space="0" w:color="auto"/>
              <w:right w:val="single" w:sz="4" w:space="0" w:color="auto"/>
            </w:tcBorders>
            <w:shd w:val="clear" w:color="auto" w:fill="auto"/>
            <w:hideMark/>
          </w:tcPr>
          <w:p w14:paraId="380D5E65"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17</w:t>
            </w:r>
          </w:p>
          <w:p w14:paraId="73EB0814"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(10/7)</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1AA1DAB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11</w:t>
            </w:r>
          </w:p>
          <w:p w14:paraId="4E510E53"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 (6/5)</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169F708E"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9 </w:t>
            </w:r>
          </w:p>
          <w:p w14:paraId="7DADA85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(5/4)</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0A20DB25"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6</w:t>
            </w:r>
          </w:p>
          <w:p w14:paraId="2983C886"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(3/3)</w:t>
            </w:r>
          </w:p>
        </w:tc>
      </w:tr>
      <w:tr w:rsidR="00CF641C" w:rsidRPr="00520861" w14:paraId="1255B7F6" w14:textId="77777777" w:rsidTr="00292D2E">
        <w:trPr>
          <w:jc w:val="center"/>
        </w:trPr>
        <w:tc>
          <w:tcPr>
            <w:tcW w:w="1717" w:type="dxa"/>
            <w:tcBorders>
              <w:top w:val="single" w:sz="4" w:space="0" w:color="auto"/>
              <w:left w:val="single" w:sz="4" w:space="0" w:color="auto"/>
              <w:bottom w:val="single" w:sz="4" w:space="0" w:color="auto"/>
              <w:right w:val="single" w:sz="4" w:space="0" w:color="auto"/>
            </w:tcBorders>
            <w:shd w:val="clear" w:color="auto" w:fill="auto"/>
            <w:hideMark/>
          </w:tcPr>
          <w:p w14:paraId="72DEF141"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Діти</w:t>
            </w:r>
          </w:p>
          <w:p w14:paraId="6DDA4A97" w14:textId="77777777" w:rsidR="00CF641C" w:rsidRPr="00520861" w:rsidRDefault="00CF641C" w:rsidP="00292D2E">
            <w:pPr>
              <w:widowControl w:val="0"/>
              <w:spacing w:line="360" w:lineRule="auto"/>
              <w:ind w:left="-120" w:right="-111"/>
              <w:jc w:val="center"/>
              <w:rPr>
                <w:rFonts w:eastAsia="Calibri"/>
                <w:sz w:val="28"/>
                <w:szCs w:val="28"/>
                <w:lang w:eastAsia="en-US"/>
              </w:rPr>
            </w:pPr>
            <w:r w:rsidRPr="00520861">
              <w:rPr>
                <w:rFonts w:eastAsia="Calibri"/>
                <w:sz w:val="28"/>
                <w:szCs w:val="28"/>
                <w:lang w:eastAsia="en-US"/>
              </w:rPr>
              <w:t>(4,5–6,5 року)</w:t>
            </w:r>
          </w:p>
        </w:tc>
        <w:tc>
          <w:tcPr>
            <w:tcW w:w="1501" w:type="dxa"/>
            <w:tcBorders>
              <w:top w:val="single" w:sz="4" w:space="0" w:color="auto"/>
              <w:left w:val="single" w:sz="4" w:space="0" w:color="auto"/>
              <w:bottom w:val="single" w:sz="4" w:space="0" w:color="auto"/>
              <w:right w:val="single" w:sz="4" w:space="0" w:color="auto"/>
            </w:tcBorders>
            <w:shd w:val="clear" w:color="auto" w:fill="auto"/>
            <w:hideMark/>
          </w:tcPr>
          <w:p w14:paraId="6A6C65F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13</w:t>
            </w:r>
          </w:p>
          <w:p w14:paraId="5B915A60"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(7/6)</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14:paraId="7244E8F1"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40</w:t>
            </w:r>
          </w:p>
          <w:p w14:paraId="58A95E1C" w14:textId="77777777" w:rsidR="00CF641C" w:rsidRPr="00520861" w:rsidRDefault="00CF641C" w:rsidP="00292D2E">
            <w:pPr>
              <w:widowControl w:val="0"/>
              <w:spacing w:line="360" w:lineRule="auto"/>
              <w:ind w:left="-254" w:right="-314" w:hanging="141"/>
              <w:jc w:val="center"/>
              <w:rPr>
                <w:rFonts w:eastAsia="Calibri"/>
                <w:sz w:val="28"/>
                <w:szCs w:val="28"/>
                <w:lang w:eastAsia="en-US"/>
              </w:rPr>
            </w:pPr>
            <w:r w:rsidRPr="00520861">
              <w:rPr>
                <w:rFonts w:eastAsia="Calibri"/>
                <w:sz w:val="28"/>
                <w:szCs w:val="28"/>
                <w:lang w:eastAsia="en-US"/>
              </w:rPr>
              <w:t xml:space="preserve"> (24/16)</w:t>
            </w:r>
          </w:p>
        </w:tc>
        <w:tc>
          <w:tcPr>
            <w:tcW w:w="1376" w:type="dxa"/>
            <w:tcBorders>
              <w:top w:val="single" w:sz="4" w:space="0" w:color="auto"/>
              <w:left w:val="single" w:sz="4" w:space="0" w:color="auto"/>
              <w:bottom w:val="single" w:sz="4" w:space="0" w:color="auto"/>
              <w:right w:val="single" w:sz="4" w:space="0" w:color="auto"/>
            </w:tcBorders>
            <w:shd w:val="clear" w:color="auto" w:fill="auto"/>
            <w:hideMark/>
          </w:tcPr>
          <w:p w14:paraId="748C3C0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14 </w:t>
            </w:r>
          </w:p>
          <w:p w14:paraId="42E89D6F"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(10/4)</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70EC7593"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8 </w:t>
            </w:r>
          </w:p>
          <w:p w14:paraId="3A6788D5"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(5/3)</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30F913BE"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7 </w:t>
            </w:r>
          </w:p>
          <w:p w14:paraId="5E773AF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(4/3)</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1F1EC305"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11</w:t>
            </w:r>
          </w:p>
          <w:p w14:paraId="7A2C58C0"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(5/6)</w:t>
            </w:r>
          </w:p>
        </w:tc>
      </w:tr>
    </w:tbl>
    <w:p w14:paraId="7D7F15BB" w14:textId="77777777" w:rsidR="00CF641C" w:rsidRPr="00520861" w:rsidRDefault="00CF641C" w:rsidP="00292D2E">
      <w:pPr>
        <w:widowControl w:val="0"/>
        <w:spacing w:line="360" w:lineRule="auto"/>
        <w:ind w:firstLine="708"/>
        <w:contextualSpacing/>
        <w:jc w:val="both"/>
        <w:rPr>
          <w:sz w:val="28"/>
          <w:szCs w:val="28"/>
        </w:rPr>
      </w:pPr>
    </w:p>
    <w:p w14:paraId="0F719E13"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sz w:val="28"/>
          <w:szCs w:val="28"/>
        </w:rPr>
        <w:t xml:space="preserve">Масо-ростові параметри при народженні для всіх учасників дослідження </w:t>
      </w:r>
      <w:r w:rsidRPr="00520861">
        <w:rPr>
          <w:rFonts w:eastAsia="Calibri"/>
          <w:sz w:val="28"/>
          <w:szCs w:val="28"/>
          <w:lang w:eastAsia="en-US"/>
        </w:rPr>
        <w:t>ВП-ІІ та ВП-ІІІ</w:t>
      </w:r>
      <w:r w:rsidRPr="00520861">
        <w:rPr>
          <w:sz w:val="28"/>
          <w:szCs w:val="28"/>
        </w:rPr>
        <w:t xml:space="preserve"> представлені в табл. Б.1.6.</w:t>
      </w:r>
    </w:p>
    <w:p w14:paraId="14C9EB30" w14:textId="77777777" w:rsidR="00CF641C" w:rsidRPr="00520861" w:rsidRDefault="00CF641C" w:rsidP="00292D2E">
      <w:pPr>
        <w:widowControl w:val="0"/>
        <w:spacing w:line="360" w:lineRule="auto"/>
        <w:ind w:firstLine="708"/>
        <w:contextualSpacing/>
        <w:jc w:val="both"/>
        <w:rPr>
          <w:rFonts w:eastAsia="Calibri"/>
          <w:spacing w:val="-4"/>
          <w:sz w:val="28"/>
          <w:szCs w:val="28"/>
          <w:lang w:eastAsia="en-US"/>
        </w:rPr>
      </w:pPr>
      <w:r w:rsidRPr="00520861">
        <w:rPr>
          <w:rFonts w:eastAsia="Calibri"/>
          <w:sz w:val="28"/>
          <w:szCs w:val="28"/>
          <w:lang w:eastAsia="en-US"/>
        </w:rPr>
        <w:t xml:space="preserve">Стоматологічне обстеження дітей </w:t>
      </w:r>
      <w:r w:rsidRPr="00520861">
        <w:rPr>
          <w:sz w:val="28"/>
          <w:szCs w:val="28"/>
        </w:rPr>
        <w:t xml:space="preserve">ВП-IV </w:t>
      </w:r>
      <w:r w:rsidRPr="00520861">
        <w:rPr>
          <w:rFonts w:eastAsia="Calibri"/>
          <w:sz w:val="28"/>
          <w:szCs w:val="28"/>
          <w:lang w:eastAsia="en-US"/>
        </w:rPr>
        <w:t xml:space="preserve">віком 7 – 11 років проводилося на базі </w:t>
      </w:r>
      <w:r w:rsidRPr="00520861">
        <w:rPr>
          <w:rFonts w:eastAsia="Calibri"/>
          <w:sz w:val="28"/>
          <w:szCs w:val="28"/>
          <w:lang w:eastAsia="en-US"/>
        </w:rPr>
        <w:lastRenderedPageBreak/>
        <w:t xml:space="preserve">Університетського стоматологічного центру (кафедра терапевтичної стоматології ХНМУ), поліклінічного відділення ДУ «Інститут охорони здоров’я дітей та підлітків Національної академії медичних наук України». </w:t>
      </w:r>
      <w:r w:rsidRPr="00520861">
        <w:rPr>
          <w:spacing w:val="-4"/>
          <w:sz w:val="28"/>
          <w:szCs w:val="28"/>
        </w:rPr>
        <w:t>Зведені дані про кількість учасників з розподілом на осіб чоловічої й жіночої статі у ВП-IV демонструє табл. 2.3.</w:t>
      </w:r>
    </w:p>
    <w:p w14:paraId="21505154" w14:textId="77777777" w:rsidR="00CF641C" w:rsidRPr="00520861" w:rsidRDefault="00CF641C" w:rsidP="00292D2E">
      <w:pPr>
        <w:widowControl w:val="0"/>
        <w:spacing w:line="360" w:lineRule="auto"/>
        <w:ind w:firstLine="708"/>
        <w:jc w:val="right"/>
        <w:rPr>
          <w:rFonts w:eastAsia="Calibri"/>
          <w:i/>
          <w:sz w:val="28"/>
          <w:szCs w:val="28"/>
          <w:lang w:eastAsia="en-US"/>
        </w:rPr>
      </w:pPr>
      <w:r w:rsidRPr="00520861">
        <w:rPr>
          <w:rFonts w:eastAsia="Calibri"/>
          <w:i/>
          <w:sz w:val="28"/>
          <w:szCs w:val="28"/>
          <w:lang w:eastAsia="en-US"/>
        </w:rPr>
        <w:t>Таблиця 2.3</w:t>
      </w:r>
    </w:p>
    <w:p w14:paraId="214CC288" w14:textId="77777777" w:rsidR="00CF641C" w:rsidRPr="00520861" w:rsidRDefault="00CF641C" w:rsidP="00292D2E">
      <w:pPr>
        <w:widowControl w:val="0"/>
        <w:spacing w:line="360" w:lineRule="auto"/>
        <w:ind w:firstLine="708"/>
        <w:jc w:val="center"/>
        <w:rPr>
          <w:rFonts w:eastAsia="Calibri"/>
          <w:b/>
          <w:sz w:val="28"/>
          <w:szCs w:val="28"/>
          <w:lang w:eastAsia="en-US"/>
        </w:rPr>
      </w:pPr>
      <w:r w:rsidRPr="00520861">
        <w:rPr>
          <w:rFonts w:eastAsia="Calibri"/>
          <w:b/>
          <w:sz w:val="28"/>
          <w:szCs w:val="28"/>
          <w:lang w:eastAsia="en-US"/>
        </w:rPr>
        <w:t>Зведені дані про кількість учасників у групах і підгрупах у ВП-IV</w:t>
      </w:r>
    </w:p>
    <w:p w14:paraId="18CFAC08" w14:textId="77777777" w:rsidR="00CF641C" w:rsidRPr="00520861" w:rsidRDefault="00CF641C" w:rsidP="00292D2E">
      <w:pPr>
        <w:widowControl w:val="0"/>
        <w:spacing w:line="360" w:lineRule="auto"/>
        <w:ind w:firstLine="708"/>
        <w:jc w:val="center"/>
        <w:rPr>
          <w:rFonts w:eastAsia="Calibri"/>
          <w:b/>
          <w:sz w:val="28"/>
          <w:szCs w:val="28"/>
          <w:lang w:eastAsia="en-US"/>
        </w:rPr>
      </w:pPr>
      <w:r w:rsidRPr="00520861">
        <w:rPr>
          <w:rFonts w:eastAsia="Calibri"/>
          <w:b/>
          <w:sz w:val="28"/>
          <w:szCs w:val="28"/>
          <w:lang w:eastAsia="en-US"/>
        </w:rPr>
        <w:t>( з розподілом на осіб чоловічої / жіночої статі)</w:t>
      </w:r>
    </w:p>
    <w:tbl>
      <w:tblPr>
        <w:tblW w:w="1003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1434"/>
        <w:gridCol w:w="1433"/>
        <w:gridCol w:w="1434"/>
        <w:gridCol w:w="1433"/>
        <w:gridCol w:w="1434"/>
        <w:gridCol w:w="1434"/>
      </w:tblGrid>
      <w:tr w:rsidR="00CF641C" w:rsidRPr="00520861" w14:paraId="37F06F9E" w14:textId="77777777" w:rsidTr="00292D2E">
        <w:tc>
          <w:tcPr>
            <w:tcW w:w="1433" w:type="dxa"/>
            <w:tcBorders>
              <w:top w:val="single" w:sz="4" w:space="0" w:color="auto"/>
              <w:left w:val="single" w:sz="4" w:space="0" w:color="auto"/>
              <w:bottom w:val="single" w:sz="4" w:space="0" w:color="auto"/>
              <w:right w:val="single" w:sz="4" w:space="0" w:color="auto"/>
            </w:tcBorders>
            <w:shd w:val="clear" w:color="auto" w:fill="auto"/>
            <w:hideMark/>
          </w:tcPr>
          <w:p w14:paraId="72077377" w14:textId="77777777" w:rsidR="00CF641C" w:rsidRPr="00520861" w:rsidRDefault="00CF641C" w:rsidP="00292D2E">
            <w:pPr>
              <w:widowControl w:val="0"/>
              <w:spacing w:line="360" w:lineRule="auto"/>
              <w:ind w:right="-60"/>
              <w:jc w:val="both"/>
              <w:rPr>
                <w:rFonts w:eastAsia="Calibri"/>
                <w:sz w:val="28"/>
                <w:szCs w:val="28"/>
                <w:lang w:eastAsia="en-US"/>
              </w:rPr>
            </w:pPr>
            <w:r w:rsidRPr="00520861">
              <w:rPr>
                <w:rFonts w:eastAsia="Calibri"/>
                <w:sz w:val="28"/>
                <w:szCs w:val="28"/>
                <w:lang w:eastAsia="en-US"/>
              </w:rPr>
              <w:t>Група, підгрупа</w:t>
            </w:r>
          </w:p>
        </w:tc>
        <w:tc>
          <w:tcPr>
            <w:tcW w:w="1434" w:type="dxa"/>
            <w:tcBorders>
              <w:top w:val="single" w:sz="4" w:space="0" w:color="auto"/>
              <w:left w:val="single" w:sz="4" w:space="0" w:color="auto"/>
              <w:bottom w:val="single" w:sz="4" w:space="0" w:color="auto"/>
              <w:right w:val="single" w:sz="4" w:space="0" w:color="auto"/>
            </w:tcBorders>
            <w:shd w:val="clear" w:color="auto" w:fill="auto"/>
            <w:hideMark/>
          </w:tcPr>
          <w:p w14:paraId="22E57DCA" w14:textId="77777777" w:rsidR="00CF641C" w:rsidRPr="00520861" w:rsidRDefault="00CF641C" w:rsidP="00292D2E">
            <w:pPr>
              <w:widowControl w:val="0"/>
              <w:ind w:left="-254" w:right="-314"/>
              <w:jc w:val="center"/>
              <w:rPr>
                <w:rFonts w:eastAsia="Calibri"/>
                <w:sz w:val="28"/>
                <w:szCs w:val="28"/>
                <w:lang w:eastAsia="en-US"/>
              </w:rPr>
            </w:pPr>
            <w:r w:rsidRPr="00520861">
              <w:rPr>
                <w:rFonts w:eastAsia="Calibri"/>
                <w:sz w:val="28"/>
                <w:szCs w:val="28"/>
                <w:lang w:eastAsia="en-US"/>
              </w:rPr>
              <w:t xml:space="preserve">ГП </w:t>
            </w:r>
          </w:p>
        </w:tc>
        <w:tc>
          <w:tcPr>
            <w:tcW w:w="1433" w:type="dxa"/>
            <w:tcBorders>
              <w:top w:val="single" w:sz="4" w:space="0" w:color="auto"/>
              <w:left w:val="single" w:sz="4" w:space="0" w:color="auto"/>
              <w:bottom w:val="single" w:sz="4" w:space="0" w:color="auto"/>
              <w:right w:val="single" w:sz="4" w:space="0" w:color="auto"/>
            </w:tcBorders>
            <w:shd w:val="clear" w:color="auto" w:fill="auto"/>
            <w:hideMark/>
          </w:tcPr>
          <w:p w14:paraId="5917750A" w14:textId="77777777" w:rsidR="00CF641C" w:rsidRPr="00520861" w:rsidRDefault="00CF641C" w:rsidP="00292D2E">
            <w:pPr>
              <w:widowControl w:val="0"/>
              <w:ind w:left="-254" w:right="-314"/>
              <w:jc w:val="center"/>
              <w:rPr>
                <w:rFonts w:eastAsia="Calibri"/>
                <w:sz w:val="28"/>
                <w:szCs w:val="28"/>
                <w:lang w:eastAsia="en-US"/>
              </w:rPr>
            </w:pPr>
            <w:r w:rsidRPr="00520861">
              <w:rPr>
                <w:rFonts w:eastAsia="Calibri"/>
                <w:sz w:val="28"/>
                <w:szCs w:val="28"/>
                <w:lang w:eastAsia="en-US"/>
              </w:rPr>
              <w:t>ОГ</w:t>
            </w:r>
          </w:p>
        </w:tc>
        <w:tc>
          <w:tcPr>
            <w:tcW w:w="1434" w:type="dxa"/>
            <w:tcBorders>
              <w:top w:val="single" w:sz="4" w:space="0" w:color="auto"/>
              <w:left w:val="single" w:sz="4" w:space="0" w:color="auto"/>
              <w:bottom w:val="single" w:sz="4" w:space="0" w:color="auto"/>
              <w:right w:val="single" w:sz="4" w:space="0" w:color="auto"/>
            </w:tcBorders>
            <w:shd w:val="clear" w:color="auto" w:fill="auto"/>
            <w:hideMark/>
          </w:tcPr>
          <w:p w14:paraId="73F1E57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1</w:t>
            </w:r>
          </w:p>
        </w:tc>
        <w:tc>
          <w:tcPr>
            <w:tcW w:w="1433" w:type="dxa"/>
            <w:tcBorders>
              <w:top w:val="single" w:sz="4" w:space="0" w:color="auto"/>
              <w:left w:val="single" w:sz="4" w:space="0" w:color="auto"/>
              <w:bottom w:val="single" w:sz="4" w:space="0" w:color="auto"/>
              <w:right w:val="single" w:sz="4" w:space="0" w:color="auto"/>
            </w:tcBorders>
            <w:shd w:val="clear" w:color="auto" w:fill="auto"/>
            <w:hideMark/>
          </w:tcPr>
          <w:p w14:paraId="21FDB29F"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2</w:t>
            </w:r>
          </w:p>
        </w:tc>
        <w:tc>
          <w:tcPr>
            <w:tcW w:w="1434" w:type="dxa"/>
            <w:tcBorders>
              <w:top w:val="single" w:sz="4" w:space="0" w:color="auto"/>
              <w:left w:val="single" w:sz="4" w:space="0" w:color="auto"/>
              <w:bottom w:val="single" w:sz="4" w:space="0" w:color="auto"/>
              <w:right w:val="single" w:sz="4" w:space="0" w:color="auto"/>
            </w:tcBorders>
            <w:shd w:val="clear" w:color="auto" w:fill="auto"/>
            <w:hideMark/>
          </w:tcPr>
          <w:p w14:paraId="1CBA38E2"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3</w:t>
            </w:r>
          </w:p>
        </w:tc>
        <w:tc>
          <w:tcPr>
            <w:tcW w:w="1434" w:type="dxa"/>
            <w:tcBorders>
              <w:top w:val="single" w:sz="4" w:space="0" w:color="auto"/>
              <w:left w:val="single" w:sz="4" w:space="0" w:color="auto"/>
              <w:bottom w:val="single" w:sz="4" w:space="0" w:color="auto"/>
              <w:right w:val="single" w:sz="4" w:space="0" w:color="auto"/>
            </w:tcBorders>
            <w:shd w:val="clear" w:color="auto" w:fill="auto"/>
            <w:hideMark/>
          </w:tcPr>
          <w:p w14:paraId="2F24F5A4"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4</w:t>
            </w:r>
          </w:p>
        </w:tc>
      </w:tr>
      <w:tr w:rsidR="00CF641C" w:rsidRPr="00520861" w14:paraId="689B53D9" w14:textId="77777777" w:rsidTr="00292D2E">
        <w:tc>
          <w:tcPr>
            <w:tcW w:w="1433" w:type="dxa"/>
            <w:tcBorders>
              <w:top w:val="single" w:sz="4" w:space="0" w:color="auto"/>
              <w:left w:val="single" w:sz="4" w:space="0" w:color="auto"/>
              <w:bottom w:val="single" w:sz="4" w:space="0" w:color="auto"/>
              <w:right w:val="single" w:sz="4" w:space="0" w:color="auto"/>
            </w:tcBorders>
            <w:shd w:val="clear" w:color="auto" w:fill="auto"/>
            <w:hideMark/>
          </w:tcPr>
          <w:p w14:paraId="1DF6CE7A" w14:textId="77777777" w:rsidR="00CF641C" w:rsidRPr="00520861" w:rsidRDefault="00CF641C" w:rsidP="00292D2E">
            <w:pPr>
              <w:widowControl w:val="0"/>
              <w:spacing w:line="360" w:lineRule="auto"/>
              <w:ind w:right="-105"/>
              <w:jc w:val="both"/>
              <w:rPr>
                <w:rFonts w:eastAsia="Calibri"/>
                <w:sz w:val="28"/>
                <w:szCs w:val="28"/>
                <w:lang w:eastAsia="en-US"/>
              </w:rPr>
            </w:pPr>
            <w:r w:rsidRPr="00520861">
              <w:rPr>
                <w:rFonts w:eastAsia="Calibri"/>
                <w:sz w:val="28"/>
                <w:szCs w:val="28"/>
                <w:lang w:eastAsia="en-US"/>
              </w:rPr>
              <w:t xml:space="preserve">Кількість </w:t>
            </w:r>
          </w:p>
          <w:p w14:paraId="205BDC23"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sz w:val="28"/>
                <w:szCs w:val="28"/>
                <w:lang w:eastAsia="en-US"/>
              </w:rPr>
              <w:t>(стать)</w:t>
            </w:r>
          </w:p>
        </w:tc>
        <w:tc>
          <w:tcPr>
            <w:tcW w:w="1434" w:type="dxa"/>
            <w:tcBorders>
              <w:top w:val="single" w:sz="4" w:space="0" w:color="auto"/>
              <w:left w:val="single" w:sz="4" w:space="0" w:color="auto"/>
              <w:bottom w:val="single" w:sz="4" w:space="0" w:color="auto"/>
              <w:right w:val="single" w:sz="4" w:space="0" w:color="auto"/>
            </w:tcBorders>
            <w:shd w:val="clear" w:color="auto" w:fill="auto"/>
            <w:hideMark/>
          </w:tcPr>
          <w:p w14:paraId="7F18FEEE"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14</w:t>
            </w:r>
          </w:p>
          <w:p w14:paraId="7CF8F6F4"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(8/6)</w:t>
            </w:r>
          </w:p>
        </w:tc>
        <w:tc>
          <w:tcPr>
            <w:tcW w:w="1433" w:type="dxa"/>
            <w:tcBorders>
              <w:top w:val="single" w:sz="4" w:space="0" w:color="auto"/>
              <w:left w:val="single" w:sz="4" w:space="0" w:color="auto"/>
              <w:bottom w:val="single" w:sz="4" w:space="0" w:color="auto"/>
              <w:right w:val="single" w:sz="4" w:space="0" w:color="auto"/>
            </w:tcBorders>
            <w:shd w:val="clear" w:color="auto" w:fill="auto"/>
            <w:hideMark/>
          </w:tcPr>
          <w:p w14:paraId="7626F0A3"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29 </w:t>
            </w:r>
          </w:p>
          <w:p w14:paraId="4EEAA31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(17/11)</w:t>
            </w:r>
          </w:p>
        </w:tc>
        <w:tc>
          <w:tcPr>
            <w:tcW w:w="1434" w:type="dxa"/>
            <w:tcBorders>
              <w:top w:val="single" w:sz="4" w:space="0" w:color="auto"/>
              <w:left w:val="single" w:sz="4" w:space="0" w:color="auto"/>
              <w:bottom w:val="single" w:sz="4" w:space="0" w:color="auto"/>
              <w:right w:val="single" w:sz="4" w:space="0" w:color="auto"/>
            </w:tcBorders>
            <w:shd w:val="clear" w:color="auto" w:fill="auto"/>
            <w:hideMark/>
          </w:tcPr>
          <w:p w14:paraId="1A8059CB"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8</w:t>
            </w:r>
          </w:p>
          <w:p w14:paraId="49017472"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(5/3)</w:t>
            </w:r>
          </w:p>
        </w:tc>
        <w:tc>
          <w:tcPr>
            <w:tcW w:w="1433" w:type="dxa"/>
            <w:tcBorders>
              <w:top w:val="single" w:sz="4" w:space="0" w:color="auto"/>
              <w:left w:val="single" w:sz="4" w:space="0" w:color="auto"/>
              <w:bottom w:val="single" w:sz="4" w:space="0" w:color="auto"/>
              <w:right w:val="single" w:sz="4" w:space="0" w:color="auto"/>
            </w:tcBorders>
            <w:shd w:val="clear" w:color="auto" w:fill="auto"/>
            <w:hideMark/>
          </w:tcPr>
          <w:p w14:paraId="57DD1FFD"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7</w:t>
            </w:r>
          </w:p>
          <w:p w14:paraId="5921204C"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 (5/2)</w:t>
            </w:r>
          </w:p>
        </w:tc>
        <w:tc>
          <w:tcPr>
            <w:tcW w:w="1434" w:type="dxa"/>
            <w:tcBorders>
              <w:top w:val="single" w:sz="4" w:space="0" w:color="auto"/>
              <w:left w:val="single" w:sz="4" w:space="0" w:color="auto"/>
              <w:bottom w:val="single" w:sz="4" w:space="0" w:color="auto"/>
              <w:right w:val="single" w:sz="4" w:space="0" w:color="auto"/>
            </w:tcBorders>
            <w:shd w:val="clear" w:color="auto" w:fill="auto"/>
            <w:hideMark/>
          </w:tcPr>
          <w:p w14:paraId="66E0F952"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7</w:t>
            </w:r>
          </w:p>
          <w:p w14:paraId="5FC9A657"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 (5/2)</w:t>
            </w:r>
          </w:p>
        </w:tc>
        <w:tc>
          <w:tcPr>
            <w:tcW w:w="1434" w:type="dxa"/>
            <w:tcBorders>
              <w:top w:val="single" w:sz="4" w:space="0" w:color="auto"/>
              <w:left w:val="single" w:sz="4" w:space="0" w:color="auto"/>
              <w:bottom w:val="single" w:sz="4" w:space="0" w:color="auto"/>
              <w:right w:val="single" w:sz="4" w:space="0" w:color="auto"/>
            </w:tcBorders>
            <w:shd w:val="clear" w:color="auto" w:fill="auto"/>
            <w:hideMark/>
          </w:tcPr>
          <w:p w14:paraId="55FF327E"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 xml:space="preserve">6 </w:t>
            </w:r>
          </w:p>
          <w:p w14:paraId="3A40F247"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(2/4)</w:t>
            </w:r>
          </w:p>
        </w:tc>
      </w:tr>
    </w:tbl>
    <w:p w14:paraId="29ECA5AB" w14:textId="77777777" w:rsidR="00CF641C" w:rsidRPr="00520861" w:rsidRDefault="00CF641C" w:rsidP="00292D2E">
      <w:pPr>
        <w:widowControl w:val="0"/>
        <w:spacing w:line="360" w:lineRule="auto"/>
        <w:ind w:firstLine="708"/>
        <w:contextualSpacing/>
        <w:jc w:val="both"/>
        <w:rPr>
          <w:sz w:val="28"/>
          <w:szCs w:val="28"/>
        </w:rPr>
      </w:pPr>
    </w:p>
    <w:p w14:paraId="769C51EE"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Для всіх учасників дослідження МРП при народженні наведені в табл. Б.1.7.</w:t>
      </w:r>
    </w:p>
    <w:p w14:paraId="66001C3B" w14:textId="77777777" w:rsidR="00CF641C" w:rsidRPr="00520861" w:rsidRDefault="00CF641C" w:rsidP="00292D2E">
      <w:pPr>
        <w:widowControl w:val="0"/>
        <w:spacing w:line="360" w:lineRule="auto"/>
        <w:ind w:firstLine="709"/>
        <w:jc w:val="both"/>
        <w:rPr>
          <w:b/>
          <w:spacing w:val="-4"/>
          <w:sz w:val="28"/>
          <w:szCs w:val="28"/>
        </w:rPr>
      </w:pPr>
      <w:r w:rsidRPr="00520861">
        <w:rPr>
          <w:rFonts w:eastAsia="Calibri"/>
          <w:sz w:val="28"/>
          <w:szCs w:val="28"/>
          <w:lang w:eastAsia="en-US"/>
        </w:rPr>
        <w:t xml:space="preserve">Обстеження учасників дослідження в період постійного прикусу проводилося на базі Університетського стоматологічного центру ХНМУ впродовж </w:t>
      </w:r>
      <w:r w:rsidRPr="00520861">
        <w:rPr>
          <w:rFonts w:eastAsia="Calibri"/>
          <w:sz w:val="28"/>
          <w:szCs w:val="28"/>
          <w:lang w:eastAsia="en-US"/>
        </w:rPr>
        <w:br/>
        <w:t xml:space="preserve">2014 – 2019 років. Обстежені 219 осіб з різним станом стоматологічного здоров’я; 140 осіб у віці від 11 до 55 років склали ОГ, а 79 осіб відповідного віку були віднесені до ГП. </w:t>
      </w:r>
      <w:r w:rsidRPr="00520861">
        <w:rPr>
          <w:spacing w:val="-4"/>
          <w:sz w:val="28"/>
          <w:szCs w:val="28"/>
        </w:rPr>
        <w:t xml:space="preserve">Розподіл кількості учасників дослідження по групах та підгрупах </w:t>
      </w:r>
      <w:r w:rsidRPr="00520861">
        <w:rPr>
          <w:spacing w:val="-4"/>
          <w:sz w:val="28"/>
          <w:szCs w:val="28"/>
        </w:rPr>
        <w:br/>
        <w:t xml:space="preserve">наведено в табл. 2.4. </w:t>
      </w:r>
    </w:p>
    <w:p w14:paraId="2D47FE8B" w14:textId="77777777" w:rsidR="00CF641C" w:rsidRPr="00520861" w:rsidRDefault="00CF641C" w:rsidP="00292D2E">
      <w:pPr>
        <w:widowControl w:val="0"/>
        <w:spacing w:line="360" w:lineRule="auto"/>
        <w:ind w:firstLine="708"/>
        <w:jc w:val="right"/>
        <w:rPr>
          <w:rFonts w:eastAsia="Calibri"/>
          <w:i/>
          <w:sz w:val="28"/>
          <w:szCs w:val="28"/>
          <w:lang w:eastAsia="en-US"/>
        </w:rPr>
      </w:pPr>
      <w:r w:rsidRPr="00520861">
        <w:rPr>
          <w:rFonts w:eastAsia="Calibri"/>
          <w:i/>
          <w:sz w:val="28"/>
          <w:szCs w:val="28"/>
          <w:lang w:eastAsia="en-US"/>
        </w:rPr>
        <w:t>Таблиця 2.4</w:t>
      </w:r>
    </w:p>
    <w:p w14:paraId="3DFCDEAE" w14:textId="77777777" w:rsidR="00CF641C" w:rsidRPr="00520861" w:rsidRDefault="00CF641C" w:rsidP="00292D2E">
      <w:pPr>
        <w:widowControl w:val="0"/>
        <w:spacing w:line="360" w:lineRule="auto"/>
        <w:ind w:firstLine="708"/>
        <w:jc w:val="center"/>
        <w:rPr>
          <w:rFonts w:eastAsia="Calibri"/>
          <w:b/>
          <w:sz w:val="28"/>
          <w:szCs w:val="28"/>
          <w:lang w:eastAsia="en-US"/>
        </w:rPr>
      </w:pPr>
      <w:r w:rsidRPr="00520861">
        <w:rPr>
          <w:rFonts w:eastAsia="Calibri"/>
          <w:b/>
          <w:sz w:val="28"/>
          <w:szCs w:val="28"/>
          <w:lang w:eastAsia="en-US"/>
        </w:rPr>
        <w:t xml:space="preserve">Зведені дані про кількість учасників у групах і підгрупах у ВП-V, ВП-VI, </w:t>
      </w:r>
      <w:r w:rsidRPr="00520861">
        <w:rPr>
          <w:rFonts w:eastAsia="Calibri"/>
          <w:b/>
          <w:sz w:val="28"/>
          <w:szCs w:val="28"/>
          <w:lang w:eastAsia="en-US"/>
        </w:rPr>
        <w:br/>
        <w:t>ВП-VIІ, ВП-VIІІ ( з розподілом на осіб чоловічої / жіночої статі)</w:t>
      </w:r>
    </w:p>
    <w:tbl>
      <w:tblPr>
        <w:tblW w:w="100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452"/>
        <w:gridCol w:w="1481"/>
        <w:gridCol w:w="1464"/>
        <w:gridCol w:w="1463"/>
        <w:gridCol w:w="1464"/>
        <w:gridCol w:w="1464"/>
      </w:tblGrid>
      <w:tr w:rsidR="00CF641C" w:rsidRPr="00520861" w14:paraId="0EC4DD47" w14:textId="77777777" w:rsidTr="00292D2E">
        <w:trPr>
          <w:jc w:val="center"/>
        </w:trPr>
        <w:tc>
          <w:tcPr>
            <w:tcW w:w="1257" w:type="dxa"/>
            <w:tcBorders>
              <w:top w:val="single" w:sz="4" w:space="0" w:color="auto"/>
              <w:left w:val="single" w:sz="4" w:space="0" w:color="auto"/>
              <w:bottom w:val="single" w:sz="4" w:space="0" w:color="auto"/>
              <w:right w:val="single" w:sz="4" w:space="0" w:color="auto"/>
            </w:tcBorders>
            <w:shd w:val="clear" w:color="auto" w:fill="auto"/>
            <w:hideMark/>
          </w:tcPr>
          <w:p w14:paraId="28F79E4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Група, </w:t>
            </w:r>
          </w:p>
          <w:p w14:paraId="3E8057F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підгрупа</w:t>
            </w:r>
          </w:p>
        </w:tc>
        <w:tc>
          <w:tcPr>
            <w:tcW w:w="1452" w:type="dxa"/>
            <w:tcBorders>
              <w:top w:val="single" w:sz="4" w:space="0" w:color="auto"/>
              <w:left w:val="single" w:sz="4" w:space="0" w:color="auto"/>
              <w:bottom w:val="single" w:sz="4" w:space="0" w:color="auto"/>
              <w:right w:val="single" w:sz="4" w:space="0" w:color="auto"/>
            </w:tcBorders>
            <w:shd w:val="clear" w:color="auto" w:fill="auto"/>
            <w:hideMark/>
          </w:tcPr>
          <w:p w14:paraId="5CBCA6AE" w14:textId="77777777" w:rsidR="00CF641C" w:rsidRPr="00520861" w:rsidRDefault="00CF641C" w:rsidP="00292D2E">
            <w:pPr>
              <w:widowControl w:val="0"/>
              <w:ind w:left="-254" w:right="-314"/>
              <w:jc w:val="center"/>
              <w:rPr>
                <w:rFonts w:eastAsia="Calibri"/>
                <w:sz w:val="28"/>
                <w:szCs w:val="28"/>
                <w:lang w:eastAsia="en-US"/>
              </w:rPr>
            </w:pPr>
            <w:r w:rsidRPr="00520861">
              <w:rPr>
                <w:rFonts w:eastAsia="Calibri"/>
                <w:sz w:val="28"/>
                <w:szCs w:val="28"/>
                <w:lang w:eastAsia="en-US"/>
              </w:rPr>
              <w:t xml:space="preserve">ГП </w:t>
            </w:r>
          </w:p>
        </w:tc>
        <w:tc>
          <w:tcPr>
            <w:tcW w:w="1481" w:type="dxa"/>
            <w:tcBorders>
              <w:top w:val="single" w:sz="4" w:space="0" w:color="auto"/>
              <w:left w:val="single" w:sz="4" w:space="0" w:color="auto"/>
              <w:bottom w:val="single" w:sz="4" w:space="0" w:color="auto"/>
              <w:right w:val="single" w:sz="4" w:space="0" w:color="auto"/>
            </w:tcBorders>
            <w:shd w:val="clear" w:color="auto" w:fill="auto"/>
            <w:hideMark/>
          </w:tcPr>
          <w:p w14:paraId="4C534145" w14:textId="77777777" w:rsidR="00CF641C" w:rsidRPr="00520861" w:rsidRDefault="00CF641C" w:rsidP="00292D2E">
            <w:pPr>
              <w:widowControl w:val="0"/>
              <w:ind w:left="-254" w:right="-314"/>
              <w:jc w:val="center"/>
              <w:rPr>
                <w:rFonts w:eastAsia="Calibri"/>
                <w:sz w:val="28"/>
                <w:szCs w:val="28"/>
                <w:lang w:eastAsia="en-US"/>
              </w:rPr>
            </w:pPr>
            <w:r w:rsidRPr="00520861">
              <w:rPr>
                <w:rFonts w:eastAsia="Calibri"/>
                <w:sz w:val="28"/>
                <w:szCs w:val="28"/>
                <w:lang w:eastAsia="en-US"/>
              </w:rPr>
              <w:t>ОГ</w:t>
            </w:r>
          </w:p>
        </w:tc>
        <w:tc>
          <w:tcPr>
            <w:tcW w:w="1464" w:type="dxa"/>
            <w:tcBorders>
              <w:top w:val="single" w:sz="4" w:space="0" w:color="auto"/>
              <w:left w:val="single" w:sz="4" w:space="0" w:color="auto"/>
              <w:bottom w:val="single" w:sz="4" w:space="0" w:color="auto"/>
              <w:right w:val="single" w:sz="4" w:space="0" w:color="auto"/>
            </w:tcBorders>
            <w:shd w:val="clear" w:color="auto" w:fill="auto"/>
            <w:hideMark/>
          </w:tcPr>
          <w:p w14:paraId="30FBC8A9"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1</w:t>
            </w:r>
          </w:p>
        </w:tc>
        <w:tc>
          <w:tcPr>
            <w:tcW w:w="1463" w:type="dxa"/>
            <w:tcBorders>
              <w:top w:val="single" w:sz="4" w:space="0" w:color="auto"/>
              <w:left w:val="single" w:sz="4" w:space="0" w:color="auto"/>
              <w:bottom w:val="single" w:sz="4" w:space="0" w:color="auto"/>
              <w:right w:val="single" w:sz="4" w:space="0" w:color="auto"/>
            </w:tcBorders>
            <w:shd w:val="clear" w:color="auto" w:fill="auto"/>
            <w:hideMark/>
          </w:tcPr>
          <w:p w14:paraId="464DD801"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2</w:t>
            </w:r>
          </w:p>
        </w:tc>
        <w:tc>
          <w:tcPr>
            <w:tcW w:w="1464" w:type="dxa"/>
            <w:tcBorders>
              <w:top w:val="single" w:sz="4" w:space="0" w:color="auto"/>
              <w:left w:val="single" w:sz="4" w:space="0" w:color="auto"/>
              <w:bottom w:val="single" w:sz="4" w:space="0" w:color="auto"/>
              <w:right w:val="single" w:sz="4" w:space="0" w:color="auto"/>
            </w:tcBorders>
            <w:shd w:val="clear" w:color="auto" w:fill="auto"/>
            <w:hideMark/>
          </w:tcPr>
          <w:p w14:paraId="33648BAF"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3</w:t>
            </w:r>
          </w:p>
        </w:tc>
        <w:tc>
          <w:tcPr>
            <w:tcW w:w="1464" w:type="dxa"/>
            <w:tcBorders>
              <w:top w:val="single" w:sz="4" w:space="0" w:color="auto"/>
              <w:left w:val="single" w:sz="4" w:space="0" w:color="auto"/>
              <w:bottom w:val="single" w:sz="4" w:space="0" w:color="auto"/>
              <w:right w:val="single" w:sz="4" w:space="0" w:color="auto"/>
            </w:tcBorders>
            <w:shd w:val="clear" w:color="auto" w:fill="auto"/>
            <w:hideMark/>
          </w:tcPr>
          <w:p w14:paraId="334F92F0" w14:textId="77777777" w:rsidR="00CF641C" w:rsidRPr="00520861" w:rsidRDefault="00CF641C" w:rsidP="00292D2E">
            <w:pPr>
              <w:widowControl w:val="0"/>
              <w:spacing w:line="360" w:lineRule="auto"/>
              <w:ind w:left="-254" w:right="-314"/>
              <w:jc w:val="center"/>
              <w:rPr>
                <w:rFonts w:eastAsia="Calibri"/>
                <w:sz w:val="28"/>
                <w:szCs w:val="28"/>
                <w:lang w:eastAsia="en-US"/>
              </w:rPr>
            </w:pPr>
            <w:r w:rsidRPr="00520861">
              <w:rPr>
                <w:rFonts w:eastAsia="Calibri"/>
                <w:sz w:val="28"/>
                <w:szCs w:val="28"/>
                <w:lang w:eastAsia="en-US"/>
              </w:rPr>
              <w:t>Підгрупа 4</w:t>
            </w:r>
          </w:p>
        </w:tc>
      </w:tr>
      <w:tr w:rsidR="00CF641C" w:rsidRPr="00520861" w14:paraId="000672C7" w14:textId="77777777" w:rsidTr="00292D2E">
        <w:trPr>
          <w:jc w:val="center"/>
        </w:trPr>
        <w:tc>
          <w:tcPr>
            <w:tcW w:w="1257" w:type="dxa"/>
            <w:tcBorders>
              <w:top w:val="single" w:sz="4" w:space="0" w:color="auto"/>
              <w:left w:val="single" w:sz="4" w:space="0" w:color="auto"/>
              <w:bottom w:val="single" w:sz="4" w:space="0" w:color="auto"/>
              <w:right w:val="single" w:sz="4" w:space="0" w:color="auto"/>
            </w:tcBorders>
            <w:shd w:val="clear" w:color="auto" w:fill="auto"/>
          </w:tcPr>
          <w:p w14:paraId="3169A956" w14:textId="77777777" w:rsidR="00CF641C" w:rsidRPr="00520861" w:rsidRDefault="00CF641C" w:rsidP="00292D2E">
            <w:pPr>
              <w:widowControl w:val="0"/>
              <w:ind w:right="-104"/>
              <w:jc w:val="center"/>
              <w:rPr>
                <w:rFonts w:eastAsia="Calibri"/>
                <w:sz w:val="28"/>
                <w:szCs w:val="28"/>
                <w:lang w:eastAsia="en-US"/>
              </w:rPr>
            </w:pPr>
            <w:r w:rsidRPr="00520861">
              <w:rPr>
                <w:rFonts w:eastAsia="Calibri"/>
                <w:sz w:val="28"/>
                <w:szCs w:val="28"/>
                <w:lang w:eastAsia="en-US"/>
              </w:rPr>
              <w:t>ВП</w:t>
            </w:r>
            <w:r w:rsidRPr="00520861">
              <w:rPr>
                <w:sz w:val="28"/>
                <w:szCs w:val="28"/>
              </w:rPr>
              <w:t>-V</w:t>
            </w:r>
          </w:p>
        </w:tc>
        <w:tc>
          <w:tcPr>
            <w:tcW w:w="1452" w:type="dxa"/>
            <w:tcBorders>
              <w:top w:val="single" w:sz="4" w:space="0" w:color="auto"/>
              <w:left w:val="single" w:sz="4" w:space="0" w:color="auto"/>
              <w:bottom w:val="single" w:sz="4" w:space="0" w:color="auto"/>
              <w:right w:val="single" w:sz="4" w:space="0" w:color="auto"/>
            </w:tcBorders>
            <w:shd w:val="clear" w:color="auto" w:fill="auto"/>
          </w:tcPr>
          <w:p w14:paraId="3D921917" w14:textId="77777777" w:rsidR="00CF641C" w:rsidRPr="00520861" w:rsidRDefault="00CF641C" w:rsidP="00292D2E">
            <w:pPr>
              <w:widowControl w:val="0"/>
              <w:ind w:right="-114" w:hanging="118"/>
              <w:jc w:val="center"/>
              <w:rPr>
                <w:rFonts w:eastAsia="Calibri"/>
                <w:sz w:val="28"/>
                <w:szCs w:val="28"/>
                <w:lang w:eastAsia="en-US"/>
              </w:rPr>
            </w:pPr>
            <w:r w:rsidRPr="00520861">
              <w:rPr>
                <w:rFonts w:eastAsia="Calibri"/>
                <w:sz w:val="28"/>
                <w:szCs w:val="28"/>
                <w:lang w:eastAsia="en-US"/>
              </w:rPr>
              <w:t xml:space="preserve">14 </w:t>
            </w:r>
          </w:p>
          <w:p w14:paraId="28D960D2" w14:textId="77777777" w:rsidR="00CF641C" w:rsidRPr="00520861" w:rsidRDefault="00CF641C" w:rsidP="00292D2E">
            <w:pPr>
              <w:widowControl w:val="0"/>
              <w:ind w:right="-114" w:hanging="118"/>
              <w:jc w:val="center"/>
              <w:rPr>
                <w:rFonts w:eastAsia="Calibri"/>
                <w:sz w:val="28"/>
                <w:szCs w:val="28"/>
                <w:lang w:eastAsia="en-US"/>
              </w:rPr>
            </w:pPr>
            <w:r w:rsidRPr="00520861">
              <w:rPr>
                <w:rFonts w:eastAsia="Calibri"/>
                <w:sz w:val="28"/>
                <w:szCs w:val="28"/>
                <w:lang w:eastAsia="en-US"/>
              </w:rPr>
              <w:t>(8/6)</w:t>
            </w:r>
          </w:p>
        </w:tc>
        <w:tc>
          <w:tcPr>
            <w:tcW w:w="1481" w:type="dxa"/>
            <w:tcBorders>
              <w:top w:val="single" w:sz="4" w:space="0" w:color="auto"/>
              <w:left w:val="single" w:sz="4" w:space="0" w:color="auto"/>
              <w:bottom w:val="single" w:sz="4" w:space="0" w:color="auto"/>
              <w:right w:val="single" w:sz="4" w:space="0" w:color="auto"/>
            </w:tcBorders>
            <w:shd w:val="clear" w:color="auto" w:fill="auto"/>
          </w:tcPr>
          <w:p w14:paraId="36642D7C" w14:textId="77777777" w:rsidR="00CF641C" w:rsidRPr="00520861" w:rsidRDefault="00CF641C" w:rsidP="00292D2E">
            <w:pPr>
              <w:widowControl w:val="0"/>
              <w:ind w:right="-106"/>
              <w:jc w:val="center"/>
              <w:rPr>
                <w:rFonts w:eastAsia="Calibri"/>
                <w:sz w:val="28"/>
                <w:szCs w:val="28"/>
                <w:lang w:eastAsia="en-US"/>
              </w:rPr>
            </w:pPr>
            <w:r w:rsidRPr="00520861">
              <w:rPr>
                <w:rFonts w:eastAsia="Calibri"/>
                <w:sz w:val="28"/>
                <w:szCs w:val="28"/>
                <w:lang w:eastAsia="en-US"/>
              </w:rPr>
              <w:t xml:space="preserve">26 </w:t>
            </w:r>
          </w:p>
          <w:p w14:paraId="3C31B5AE" w14:textId="77777777" w:rsidR="00CF641C" w:rsidRPr="00520861" w:rsidRDefault="00CF641C" w:rsidP="00292D2E">
            <w:pPr>
              <w:widowControl w:val="0"/>
              <w:ind w:right="-106"/>
              <w:jc w:val="center"/>
              <w:rPr>
                <w:rFonts w:eastAsia="Calibri"/>
                <w:sz w:val="28"/>
                <w:szCs w:val="28"/>
                <w:lang w:eastAsia="en-US"/>
              </w:rPr>
            </w:pPr>
            <w:r w:rsidRPr="00520861">
              <w:rPr>
                <w:rFonts w:eastAsia="Calibri"/>
                <w:sz w:val="28"/>
                <w:szCs w:val="28"/>
                <w:lang w:eastAsia="en-US"/>
              </w:rPr>
              <w:t>(16/10)</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5A13A090" w14:textId="77777777" w:rsidR="00CF641C" w:rsidRPr="00520861" w:rsidRDefault="00CF641C" w:rsidP="00292D2E">
            <w:pPr>
              <w:widowControl w:val="0"/>
              <w:tabs>
                <w:tab w:val="left" w:pos="748"/>
              </w:tabs>
              <w:ind w:right="-107"/>
              <w:jc w:val="center"/>
              <w:rPr>
                <w:rFonts w:eastAsia="Calibri"/>
                <w:sz w:val="28"/>
                <w:szCs w:val="28"/>
                <w:lang w:eastAsia="en-US"/>
              </w:rPr>
            </w:pPr>
            <w:r w:rsidRPr="00520861">
              <w:rPr>
                <w:rFonts w:eastAsia="Calibri"/>
                <w:sz w:val="28"/>
                <w:szCs w:val="28"/>
                <w:lang w:eastAsia="en-US"/>
              </w:rPr>
              <w:t xml:space="preserve">7 </w:t>
            </w:r>
          </w:p>
          <w:p w14:paraId="3E0391AC" w14:textId="77777777" w:rsidR="00CF641C" w:rsidRPr="00520861" w:rsidRDefault="00CF641C" w:rsidP="00292D2E">
            <w:pPr>
              <w:widowControl w:val="0"/>
              <w:tabs>
                <w:tab w:val="left" w:pos="748"/>
              </w:tabs>
              <w:ind w:right="-107"/>
              <w:jc w:val="center"/>
              <w:rPr>
                <w:rFonts w:eastAsia="Calibri"/>
                <w:sz w:val="28"/>
                <w:szCs w:val="28"/>
                <w:lang w:eastAsia="en-US"/>
              </w:rPr>
            </w:pPr>
            <w:r w:rsidRPr="00520861">
              <w:rPr>
                <w:rFonts w:eastAsia="Calibri"/>
                <w:sz w:val="28"/>
                <w:szCs w:val="28"/>
                <w:lang w:eastAsia="en-US"/>
              </w:rPr>
              <w:t>(4/3)</w:t>
            </w:r>
          </w:p>
        </w:tc>
        <w:tc>
          <w:tcPr>
            <w:tcW w:w="1463" w:type="dxa"/>
            <w:tcBorders>
              <w:top w:val="single" w:sz="4" w:space="0" w:color="auto"/>
              <w:left w:val="single" w:sz="4" w:space="0" w:color="auto"/>
              <w:bottom w:val="single" w:sz="4" w:space="0" w:color="auto"/>
              <w:right w:val="single" w:sz="4" w:space="0" w:color="auto"/>
            </w:tcBorders>
            <w:shd w:val="clear" w:color="auto" w:fill="auto"/>
          </w:tcPr>
          <w:p w14:paraId="29F859C3" w14:textId="77777777" w:rsidR="00CF641C" w:rsidRPr="00520861" w:rsidRDefault="00CF641C" w:rsidP="00292D2E">
            <w:pPr>
              <w:widowControl w:val="0"/>
              <w:tabs>
                <w:tab w:val="left" w:pos="40"/>
              </w:tabs>
              <w:ind w:right="-108"/>
              <w:jc w:val="center"/>
              <w:rPr>
                <w:rFonts w:eastAsia="Calibri"/>
                <w:sz w:val="28"/>
                <w:szCs w:val="28"/>
                <w:lang w:eastAsia="en-US"/>
              </w:rPr>
            </w:pPr>
            <w:r w:rsidRPr="00520861">
              <w:rPr>
                <w:rFonts w:eastAsia="Calibri"/>
                <w:sz w:val="28"/>
                <w:szCs w:val="28"/>
                <w:lang w:eastAsia="en-US"/>
              </w:rPr>
              <w:t xml:space="preserve">6 </w:t>
            </w:r>
          </w:p>
          <w:p w14:paraId="3798655B" w14:textId="77777777" w:rsidR="00CF641C" w:rsidRPr="00520861" w:rsidRDefault="00CF641C" w:rsidP="00292D2E">
            <w:pPr>
              <w:widowControl w:val="0"/>
              <w:tabs>
                <w:tab w:val="left" w:pos="40"/>
              </w:tabs>
              <w:ind w:right="-108"/>
              <w:jc w:val="center"/>
              <w:rPr>
                <w:rFonts w:eastAsia="Calibri"/>
                <w:sz w:val="28"/>
                <w:szCs w:val="28"/>
                <w:lang w:eastAsia="en-US"/>
              </w:rPr>
            </w:pPr>
            <w:r w:rsidRPr="00520861">
              <w:rPr>
                <w:rFonts w:eastAsia="Calibri"/>
                <w:sz w:val="28"/>
                <w:szCs w:val="28"/>
                <w:lang w:eastAsia="en-US"/>
              </w:rPr>
              <w:t>(3/3)</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6C7533E4" w14:textId="77777777" w:rsidR="00CF641C" w:rsidRPr="00520861" w:rsidRDefault="00CF641C" w:rsidP="00292D2E">
            <w:pPr>
              <w:widowControl w:val="0"/>
              <w:ind w:right="-123"/>
              <w:jc w:val="center"/>
              <w:rPr>
                <w:rFonts w:eastAsia="Calibri"/>
                <w:sz w:val="28"/>
                <w:szCs w:val="28"/>
                <w:lang w:eastAsia="en-US"/>
              </w:rPr>
            </w:pPr>
            <w:r w:rsidRPr="00520861">
              <w:rPr>
                <w:rFonts w:eastAsia="Calibri"/>
                <w:sz w:val="28"/>
                <w:szCs w:val="28"/>
                <w:lang w:eastAsia="en-US"/>
              </w:rPr>
              <w:t xml:space="preserve">6 </w:t>
            </w:r>
          </w:p>
          <w:p w14:paraId="675497E1" w14:textId="77777777" w:rsidR="00CF641C" w:rsidRPr="00520861" w:rsidRDefault="00CF641C" w:rsidP="00292D2E">
            <w:pPr>
              <w:widowControl w:val="0"/>
              <w:ind w:right="-123"/>
              <w:jc w:val="center"/>
              <w:rPr>
                <w:rFonts w:eastAsia="Calibri"/>
                <w:sz w:val="28"/>
                <w:szCs w:val="28"/>
                <w:lang w:eastAsia="en-US"/>
              </w:rPr>
            </w:pPr>
            <w:r w:rsidRPr="00520861">
              <w:rPr>
                <w:rFonts w:eastAsia="Calibri"/>
                <w:sz w:val="28"/>
                <w:szCs w:val="28"/>
                <w:lang w:eastAsia="en-US"/>
              </w:rPr>
              <w:t>(3/3)</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33537BDD" w14:textId="77777777" w:rsidR="00CF641C" w:rsidRPr="00520861" w:rsidRDefault="00CF641C" w:rsidP="00292D2E">
            <w:pPr>
              <w:widowControl w:val="0"/>
              <w:ind w:right="-3"/>
              <w:jc w:val="center"/>
              <w:rPr>
                <w:rFonts w:eastAsia="Calibri"/>
                <w:sz w:val="28"/>
                <w:szCs w:val="28"/>
                <w:lang w:eastAsia="en-US"/>
              </w:rPr>
            </w:pPr>
            <w:r w:rsidRPr="00520861">
              <w:rPr>
                <w:rFonts w:eastAsia="Calibri"/>
                <w:sz w:val="28"/>
                <w:szCs w:val="28"/>
                <w:lang w:eastAsia="en-US"/>
              </w:rPr>
              <w:t xml:space="preserve">7 </w:t>
            </w:r>
          </w:p>
          <w:p w14:paraId="24C3A10F" w14:textId="77777777" w:rsidR="00CF641C" w:rsidRPr="00520861" w:rsidRDefault="00CF641C" w:rsidP="00292D2E">
            <w:pPr>
              <w:widowControl w:val="0"/>
              <w:ind w:right="-3"/>
              <w:jc w:val="center"/>
              <w:rPr>
                <w:rFonts w:eastAsia="Calibri"/>
                <w:sz w:val="28"/>
                <w:szCs w:val="28"/>
                <w:lang w:eastAsia="en-US"/>
              </w:rPr>
            </w:pPr>
            <w:r w:rsidRPr="00520861">
              <w:rPr>
                <w:rFonts w:eastAsia="Calibri"/>
                <w:sz w:val="28"/>
                <w:szCs w:val="28"/>
                <w:lang w:eastAsia="en-US"/>
              </w:rPr>
              <w:t>(6/1)</w:t>
            </w:r>
          </w:p>
        </w:tc>
      </w:tr>
      <w:tr w:rsidR="00CF641C" w:rsidRPr="00520861" w14:paraId="6AFCE2D6" w14:textId="77777777" w:rsidTr="00292D2E">
        <w:trPr>
          <w:jc w:val="center"/>
        </w:trPr>
        <w:tc>
          <w:tcPr>
            <w:tcW w:w="1257" w:type="dxa"/>
            <w:tcBorders>
              <w:top w:val="single" w:sz="4" w:space="0" w:color="auto"/>
              <w:left w:val="single" w:sz="4" w:space="0" w:color="auto"/>
              <w:bottom w:val="single" w:sz="4" w:space="0" w:color="auto"/>
              <w:right w:val="single" w:sz="4" w:space="0" w:color="auto"/>
            </w:tcBorders>
            <w:shd w:val="clear" w:color="auto" w:fill="auto"/>
          </w:tcPr>
          <w:p w14:paraId="126DE3DC" w14:textId="77777777" w:rsidR="00CF641C" w:rsidRPr="00520861" w:rsidRDefault="00CF641C" w:rsidP="00292D2E">
            <w:pPr>
              <w:widowControl w:val="0"/>
              <w:ind w:right="-104"/>
              <w:jc w:val="center"/>
              <w:rPr>
                <w:sz w:val="28"/>
                <w:szCs w:val="28"/>
              </w:rPr>
            </w:pPr>
            <w:r w:rsidRPr="00520861">
              <w:rPr>
                <w:rFonts w:eastAsia="Calibri"/>
                <w:sz w:val="28"/>
                <w:szCs w:val="28"/>
                <w:lang w:eastAsia="en-US"/>
              </w:rPr>
              <w:t>ВП</w:t>
            </w:r>
            <w:r w:rsidRPr="00520861">
              <w:rPr>
                <w:sz w:val="28"/>
                <w:szCs w:val="28"/>
              </w:rPr>
              <w:t>-VІ</w:t>
            </w:r>
          </w:p>
        </w:tc>
        <w:tc>
          <w:tcPr>
            <w:tcW w:w="1452" w:type="dxa"/>
            <w:tcBorders>
              <w:top w:val="single" w:sz="4" w:space="0" w:color="auto"/>
              <w:left w:val="single" w:sz="4" w:space="0" w:color="auto"/>
              <w:bottom w:val="single" w:sz="4" w:space="0" w:color="auto"/>
              <w:right w:val="single" w:sz="4" w:space="0" w:color="auto"/>
            </w:tcBorders>
            <w:shd w:val="clear" w:color="auto" w:fill="auto"/>
          </w:tcPr>
          <w:p w14:paraId="1CCB1ECE" w14:textId="77777777" w:rsidR="00CF641C" w:rsidRPr="00520861" w:rsidRDefault="00CF641C" w:rsidP="00292D2E">
            <w:pPr>
              <w:widowControl w:val="0"/>
              <w:ind w:right="-114" w:hanging="118"/>
              <w:jc w:val="center"/>
              <w:rPr>
                <w:rFonts w:eastAsia="Calibri"/>
                <w:sz w:val="28"/>
                <w:szCs w:val="28"/>
                <w:lang w:eastAsia="en-US"/>
              </w:rPr>
            </w:pPr>
            <w:r w:rsidRPr="00520861">
              <w:rPr>
                <w:rFonts w:eastAsia="Calibri"/>
                <w:sz w:val="28"/>
                <w:szCs w:val="28"/>
                <w:lang w:eastAsia="en-US"/>
              </w:rPr>
              <w:t xml:space="preserve">27 </w:t>
            </w:r>
          </w:p>
          <w:p w14:paraId="37698897" w14:textId="77777777" w:rsidR="00CF641C" w:rsidRPr="00520861" w:rsidRDefault="00CF641C" w:rsidP="00292D2E">
            <w:pPr>
              <w:widowControl w:val="0"/>
              <w:ind w:right="-114" w:hanging="118"/>
              <w:jc w:val="center"/>
              <w:rPr>
                <w:rFonts w:eastAsia="Calibri"/>
                <w:sz w:val="28"/>
                <w:szCs w:val="28"/>
                <w:lang w:eastAsia="en-US"/>
              </w:rPr>
            </w:pPr>
            <w:r w:rsidRPr="00520861">
              <w:rPr>
                <w:rFonts w:eastAsia="Calibri"/>
                <w:sz w:val="28"/>
                <w:szCs w:val="28"/>
                <w:lang w:eastAsia="en-US"/>
              </w:rPr>
              <w:t>(16/11)</w:t>
            </w:r>
          </w:p>
        </w:tc>
        <w:tc>
          <w:tcPr>
            <w:tcW w:w="1481" w:type="dxa"/>
            <w:tcBorders>
              <w:top w:val="single" w:sz="4" w:space="0" w:color="auto"/>
              <w:left w:val="single" w:sz="4" w:space="0" w:color="auto"/>
              <w:bottom w:val="single" w:sz="4" w:space="0" w:color="auto"/>
              <w:right w:val="single" w:sz="4" w:space="0" w:color="auto"/>
            </w:tcBorders>
            <w:shd w:val="clear" w:color="auto" w:fill="auto"/>
          </w:tcPr>
          <w:p w14:paraId="66A9E29E" w14:textId="77777777" w:rsidR="00CF641C" w:rsidRPr="00520861" w:rsidRDefault="00CF641C" w:rsidP="00292D2E">
            <w:pPr>
              <w:widowControl w:val="0"/>
              <w:ind w:right="-106" w:hanging="107"/>
              <w:jc w:val="center"/>
              <w:rPr>
                <w:rFonts w:eastAsia="Calibri"/>
                <w:sz w:val="28"/>
                <w:szCs w:val="28"/>
                <w:lang w:eastAsia="en-US"/>
              </w:rPr>
            </w:pPr>
            <w:r w:rsidRPr="00520861">
              <w:rPr>
                <w:rFonts w:eastAsia="Calibri"/>
                <w:sz w:val="28"/>
                <w:szCs w:val="28"/>
                <w:lang w:eastAsia="en-US"/>
              </w:rPr>
              <w:t xml:space="preserve">39 </w:t>
            </w:r>
          </w:p>
          <w:p w14:paraId="1E67B878" w14:textId="77777777" w:rsidR="00CF641C" w:rsidRPr="00520861" w:rsidRDefault="00CF641C" w:rsidP="00292D2E">
            <w:pPr>
              <w:widowControl w:val="0"/>
              <w:ind w:right="-106" w:hanging="107"/>
              <w:jc w:val="center"/>
              <w:rPr>
                <w:rFonts w:eastAsia="Calibri"/>
                <w:sz w:val="28"/>
                <w:szCs w:val="28"/>
                <w:lang w:eastAsia="en-US"/>
              </w:rPr>
            </w:pPr>
            <w:r w:rsidRPr="00520861">
              <w:rPr>
                <w:rFonts w:eastAsia="Calibri"/>
                <w:sz w:val="28"/>
                <w:szCs w:val="28"/>
                <w:lang w:eastAsia="en-US"/>
              </w:rPr>
              <w:t>(26/13)</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0C1C8ABF" w14:textId="77777777" w:rsidR="00CF641C" w:rsidRPr="00520861" w:rsidRDefault="00CF641C" w:rsidP="00292D2E">
            <w:pPr>
              <w:widowControl w:val="0"/>
              <w:tabs>
                <w:tab w:val="left" w:pos="748"/>
              </w:tabs>
              <w:ind w:right="-107"/>
              <w:jc w:val="center"/>
              <w:rPr>
                <w:rFonts w:eastAsia="Calibri"/>
                <w:sz w:val="28"/>
                <w:szCs w:val="28"/>
                <w:lang w:eastAsia="en-US"/>
              </w:rPr>
            </w:pPr>
            <w:r w:rsidRPr="00520861">
              <w:rPr>
                <w:rFonts w:eastAsia="Calibri"/>
                <w:sz w:val="28"/>
                <w:szCs w:val="28"/>
                <w:lang w:eastAsia="en-US"/>
              </w:rPr>
              <w:t xml:space="preserve">10 </w:t>
            </w:r>
          </w:p>
          <w:p w14:paraId="3E0368E0" w14:textId="77777777" w:rsidR="00CF641C" w:rsidRPr="00520861" w:rsidRDefault="00CF641C" w:rsidP="00292D2E">
            <w:pPr>
              <w:widowControl w:val="0"/>
              <w:tabs>
                <w:tab w:val="left" w:pos="748"/>
              </w:tabs>
              <w:ind w:right="-107"/>
              <w:jc w:val="center"/>
              <w:rPr>
                <w:rFonts w:eastAsia="Calibri"/>
                <w:sz w:val="28"/>
                <w:szCs w:val="28"/>
                <w:lang w:eastAsia="en-US"/>
              </w:rPr>
            </w:pPr>
            <w:r w:rsidRPr="00520861">
              <w:rPr>
                <w:rFonts w:eastAsia="Calibri"/>
                <w:sz w:val="28"/>
                <w:szCs w:val="28"/>
                <w:lang w:eastAsia="en-US"/>
              </w:rPr>
              <w:t>(8/2)</w:t>
            </w:r>
          </w:p>
        </w:tc>
        <w:tc>
          <w:tcPr>
            <w:tcW w:w="1463" w:type="dxa"/>
            <w:tcBorders>
              <w:top w:val="single" w:sz="4" w:space="0" w:color="auto"/>
              <w:left w:val="single" w:sz="4" w:space="0" w:color="auto"/>
              <w:bottom w:val="single" w:sz="4" w:space="0" w:color="auto"/>
              <w:right w:val="single" w:sz="4" w:space="0" w:color="auto"/>
            </w:tcBorders>
            <w:shd w:val="clear" w:color="auto" w:fill="auto"/>
          </w:tcPr>
          <w:p w14:paraId="23DB28A7" w14:textId="77777777" w:rsidR="00CF641C" w:rsidRPr="00520861" w:rsidRDefault="00CF641C" w:rsidP="00292D2E">
            <w:pPr>
              <w:widowControl w:val="0"/>
              <w:tabs>
                <w:tab w:val="left" w:pos="40"/>
              </w:tabs>
              <w:ind w:right="-108"/>
              <w:jc w:val="center"/>
              <w:rPr>
                <w:rFonts w:eastAsia="Calibri"/>
                <w:sz w:val="28"/>
                <w:szCs w:val="28"/>
                <w:lang w:eastAsia="en-US"/>
              </w:rPr>
            </w:pPr>
            <w:r w:rsidRPr="00520861">
              <w:rPr>
                <w:rFonts w:eastAsia="Calibri"/>
                <w:sz w:val="28"/>
                <w:szCs w:val="28"/>
                <w:lang w:eastAsia="en-US"/>
              </w:rPr>
              <w:t xml:space="preserve">8 </w:t>
            </w:r>
          </w:p>
          <w:p w14:paraId="29B348E4" w14:textId="77777777" w:rsidR="00CF641C" w:rsidRPr="00520861" w:rsidRDefault="00CF641C" w:rsidP="00292D2E">
            <w:pPr>
              <w:widowControl w:val="0"/>
              <w:tabs>
                <w:tab w:val="left" w:pos="40"/>
              </w:tabs>
              <w:ind w:right="-108"/>
              <w:jc w:val="center"/>
              <w:rPr>
                <w:rFonts w:eastAsia="Calibri"/>
                <w:sz w:val="28"/>
                <w:szCs w:val="28"/>
                <w:lang w:eastAsia="en-US"/>
              </w:rPr>
            </w:pPr>
            <w:r w:rsidRPr="00520861">
              <w:rPr>
                <w:rFonts w:eastAsia="Calibri"/>
                <w:sz w:val="28"/>
                <w:szCs w:val="28"/>
                <w:lang w:eastAsia="en-US"/>
              </w:rPr>
              <w:t>(4/4)</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5E000B79" w14:textId="77777777" w:rsidR="00CF641C" w:rsidRPr="00520861" w:rsidRDefault="00CF641C" w:rsidP="00292D2E">
            <w:pPr>
              <w:widowControl w:val="0"/>
              <w:ind w:right="-123"/>
              <w:jc w:val="center"/>
              <w:rPr>
                <w:rFonts w:eastAsia="Calibri"/>
                <w:sz w:val="28"/>
                <w:szCs w:val="28"/>
                <w:lang w:eastAsia="en-US"/>
              </w:rPr>
            </w:pPr>
            <w:r w:rsidRPr="00520861">
              <w:rPr>
                <w:rFonts w:eastAsia="Calibri"/>
                <w:sz w:val="28"/>
                <w:szCs w:val="28"/>
                <w:lang w:eastAsia="en-US"/>
              </w:rPr>
              <w:t xml:space="preserve">9 </w:t>
            </w:r>
          </w:p>
          <w:p w14:paraId="42C50716" w14:textId="77777777" w:rsidR="00CF641C" w:rsidRPr="00520861" w:rsidRDefault="00CF641C" w:rsidP="00292D2E">
            <w:pPr>
              <w:widowControl w:val="0"/>
              <w:ind w:right="-123"/>
              <w:jc w:val="center"/>
              <w:rPr>
                <w:rFonts w:eastAsia="Calibri"/>
                <w:sz w:val="28"/>
                <w:szCs w:val="28"/>
                <w:lang w:eastAsia="en-US"/>
              </w:rPr>
            </w:pPr>
            <w:r w:rsidRPr="00520861">
              <w:rPr>
                <w:rFonts w:eastAsia="Calibri"/>
                <w:sz w:val="28"/>
                <w:szCs w:val="28"/>
                <w:lang w:eastAsia="en-US"/>
              </w:rPr>
              <w:t>(6/3)</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1BADA093" w14:textId="77777777" w:rsidR="00CF641C" w:rsidRPr="00520861" w:rsidRDefault="00CF641C" w:rsidP="00292D2E">
            <w:pPr>
              <w:widowControl w:val="0"/>
              <w:ind w:right="-3"/>
              <w:jc w:val="center"/>
              <w:rPr>
                <w:rFonts w:eastAsia="Calibri"/>
                <w:sz w:val="28"/>
                <w:szCs w:val="28"/>
                <w:lang w:eastAsia="en-US"/>
              </w:rPr>
            </w:pPr>
            <w:r w:rsidRPr="00520861">
              <w:rPr>
                <w:rFonts w:eastAsia="Calibri"/>
                <w:sz w:val="28"/>
                <w:szCs w:val="28"/>
                <w:lang w:eastAsia="en-US"/>
              </w:rPr>
              <w:t xml:space="preserve">12 </w:t>
            </w:r>
          </w:p>
          <w:p w14:paraId="6EF5E91D" w14:textId="77777777" w:rsidR="00CF641C" w:rsidRPr="00520861" w:rsidRDefault="00CF641C" w:rsidP="00292D2E">
            <w:pPr>
              <w:widowControl w:val="0"/>
              <w:ind w:right="-3"/>
              <w:jc w:val="center"/>
              <w:rPr>
                <w:rFonts w:eastAsia="Calibri"/>
                <w:sz w:val="28"/>
                <w:szCs w:val="28"/>
                <w:lang w:eastAsia="en-US"/>
              </w:rPr>
            </w:pPr>
            <w:r w:rsidRPr="00520861">
              <w:rPr>
                <w:rFonts w:eastAsia="Calibri"/>
                <w:sz w:val="28"/>
                <w:szCs w:val="28"/>
                <w:lang w:eastAsia="en-US"/>
              </w:rPr>
              <w:t>(8/4)</w:t>
            </w:r>
          </w:p>
        </w:tc>
      </w:tr>
      <w:tr w:rsidR="00CF641C" w:rsidRPr="00520861" w14:paraId="08F0657D" w14:textId="77777777" w:rsidTr="00292D2E">
        <w:trPr>
          <w:jc w:val="center"/>
        </w:trPr>
        <w:tc>
          <w:tcPr>
            <w:tcW w:w="1257" w:type="dxa"/>
            <w:tcBorders>
              <w:top w:val="single" w:sz="4" w:space="0" w:color="auto"/>
              <w:left w:val="single" w:sz="4" w:space="0" w:color="auto"/>
              <w:bottom w:val="single" w:sz="4" w:space="0" w:color="auto"/>
              <w:right w:val="single" w:sz="4" w:space="0" w:color="auto"/>
            </w:tcBorders>
            <w:shd w:val="clear" w:color="auto" w:fill="auto"/>
          </w:tcPr>
          <w:p w14:paraId="02971BC4" w14:textId="77777777" w:rsidR="00CF641C" w:rsidRPr="00520861" w:rsidRDefault="00CF641C" w:rsidP="00292D2E">
            <w:pPr>
              <w:widowControl w:val="0"/>
              <w:ind w:right="-104"/>
              <w:jc w:val="center"/>
              <w:rPr>
                <w:sz w:val="28"/>
                <w:szCs w:val="28"/>
              </w:rPr>
            </w:pPr>
            <w:r w:rsidRPr="00520861">
              <w:rPr>
                <w:rFonts w:eastAsia="Calibri"/>
                <w:sz w:val="28"/>
                <w:szCs w:val="28"/>
                <w:lang w:eastAsia="en-US"/>
              </w:rPr>
              <w:t>ВП-</w:t>
            </w:r>
            <w:r w:rsidRPr="00520861">
              <w:rPr>
                <w:sz w:val="28"/>
                <w:szCs w:val="28"/>
              </w:rPr>
              <w:t>VІІ</w:t>
            </w:r>
          </w:p>
        </w:tc>
        <w:tc>
          <w:tcPr>
            <w:tcW w:w="1452" w:type="dxa"/>
            <w:tcBorders>
              <w:top w:val="single" w:sz="4" w:space="0" w:color="auto"/>
              <w:left w:val="single" w:sz="4" w:space="0" w:color="auto"/>
              <w:bottom w:val="single" w:sz="4" w:space="0" w:color="auto"/>
              <w:right w:val="single" w:sz="4" w:space="0" w:color="auto"/>
            </w:tcBorders>
            <w:shd w:val="clear" w:color="auto" w:fill="auto"/>
          </w:tcPr>
          <w:p w14:paraId="7A10D098" w14:textId="77777777" w:rsidR="00CF641C" w:rsidRPr="00520861" w:rsidRDefault="00CF641C" w:rsidP="00292D2E">
            <w:pPr>
              <w:widowControl w:val="0"/>
              <w:ind w:right="-114" w:hanging="118"/>
              <w:jc w:val="center"/>
              <w:rPr>
                <w:rFonts w:eastAsia="Calibri"/>
                <w:sz w:val="28"/>
                <w:szCs w:val="28"/>
                <w:lang w:eastAsia="en-US"/>
              </w:rPr>
            </w:pPr>
            <w:r w:rsidRPr="00520861">
              <w:rPr>
                <w:rFonts w:eastAsia="Calibri"/>
                <w:sz w:val="28"/>
                <w:szCs w:val="28"/>
                <w:lang w:eastAsia="en-US"/>
              </w:rPr>
              <w:t xml:space="preserve">26 </w:t>
            </w:r>
          </w:p>
          <w:p w14:paraId="721F3F5E" w14:textId="77777777" w:rsidR="00CF641C" w:rsidRPr="00520861" w:rsidRDefault="00CF641C" w:rsidP="00292D2E">
            <w:pPr>
              <w:widowControl w:val="0"/>
              <w:ind w:right="-114" w:hanging="118"/>
              <w:jc w:val="center"/>
              <w:rPr>
                <w:rFonts w:eastAsia="Calibri"/>
                <w:sz w:val="28"/>
                <w:szCs w:val="28"/>
                <w:lang w:eastAsia="en-US"/>
              </w:rPr>
            </w:pPr>
            <w:r w:rsidRPr="00520861">
              <w:rPr>
                <w:rFonts w:eastAsia="Calibri"/>
                <w:sz w:val="28"/>
                <w:szCs w:val="28"/>
                <w:lang w:eastAsia="en-US"/>
              </w:rPr>
              <w:t>(15/11)</w:t>
            </w:r>
          </w:p>
        </w:tc>
        <w:tc>
          <w:tcPr>
            <w:tcW w:w="1481" w:type="dxa"/>
            <w:tcBorders>
              <w:top w:val="single" w:sz="4" w:space="0" w:color="auto"/>
              <w:left w:val="single" w:sz="4" w:space="0" w:color="auto"/>
              <w:bottom w:val="single" w:sz="4" w:space="0" w:color="auto"/>
              <w:right w:val="single" w:sz="4" w:space="0" w:color="auto"/>
            </w:tcBorders>
            <w:shd w:val="clear" w:color="auto" w:fill="auto"/>
          </w:tcPr>
          <w:p w14:paraId="33CEFC80" w14:textId="77777777" w:rsidR="00CF641C" w:rsidRPr="00520861" w:rsidRDefault="00CF641C" w:rsidP="00292D2E">
            <w:pPr>
              <w:widowControl w:val="0"/>
              <w:ind w:right="-106"/>
              <w:jc w:val="center"/>
              <w:rPr>
                <w:rFonts w:eastAsia="Calibri"/>
                <w:sz w:val="28"/>
                <w:szCs w:val="28"/>
                <w:lang w:eastAsia="en-US"/>
              </w:rPr>
            </w:pPr>
            <w:r w:rsidRPr="00520861">
              <w:rPr>
                <w:rFonts w:eastAsia="Calibri"/>
                <w:sz w:val="28"/>
                <w:szCs w:val="28"/>
                <w:lang w:eastAsia="en-US"/>
              </w:rPr>
              <w:t xml:space="preserve">50 </w:t>
            </w:r>
          </w:p>
          <w:p w14:paraId="26B97E03" w14:textId="77777777" w:rsidR="00CF641C" w:rsidRPr="00520861" w:rsidRDefault="00CF641C" w:rsidP="00292D2E">
            <w:pPr>
              <w:widowControl w:val="0"/>
              <w:ind w:right="-106"/>
              <w:jc w:val="center"/>
              <w:rPr>
                <w:rFonts w:eastAsia="Calibri"/>
                <w:sz w:val="28"/>
                <w:szCs w:val="28"/>
                <w:lang w:eastAsia="en-US"/>
              </w:rPr>
            </w:pPr>
            <w:r w:rsidRPr="00520861">
              <w:rPr>
                <w:rFonts w:eastAsia="Calibri"/>
                <w:sz w:val="28"/>
                <w:szCs w:val="28"/>
                <w:lang w:eastAsia="en-US"/>
              </w:rPr>
              <w:t>(30/20)</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352405D1" w14:textId="77777777" w:rsidR="00CF641C" w:rsidRPr="00520861" w:rsidRDefault="00CF641C" w:rsidP="00292D2E">
            <w:pPr>
              <w:widowControl w:val="0"/>
              <w:tabs>
                <w:tab w:val="left" w:pos="748"/>
              </w:tabs>
              <w:ind w:right="-107" w:hanging="159"/>
              <w:jc w:val="center"/>
              <w:rPr>
                <w:rFonts w:eastAsia="Calibri"/>
                <w:sz w:val="28"/>
                <w:szCs w:val="28"/>
                <w:lang w:eastAsia="en-US"/>
              </w:rPr>
            </w:pPr>
            <w:r w:rsidRPr="00520861">
              <w:rPr>
                <w:rFonts w:eastAsia="Calibri"/>
                <w:sz w:val="28"/>
                <w:szCs w:val="28"/>
                <w:lang w:eastAsia="en-US"/>
              </w:rPr>
              <w:t xml:space="preserve">12 </w:t>
            </w:r>
          </w:p>
          <w:p w14:paraId="41FFFCC4" w14:textId="77777777" w:rsidR="00CF641C" w:rsidRPr="00520861" w:rsidRDefault="00CF641C" w:rsidP="00292D2E">
            <w:pPr>
              <w:widowControl w:val="0"/>
              <w:tabs>
                <w:tab w:val="left" w:pos="748"/>
              </w:tabs>
              <w:ind w:right="-107" w:hanging="159"/>
              <w:jc w:val="center"/>
              <w:rPr>
                <w:rFonts w:eastAsia="Calibri"/>
                <w:sz w:val="28"/>
                <w:szCs w:val="28"/>
                <w:lang w:eastAsia="en-US"/>
              </w:rPr>
            </w:pPr>
            <w:r w:rsidRPr="00520861">
              <w:rPr>
                <w:rFonts w:eastAsia="Calibri"/>
                <w:sz w:val="28"/>
                <w:szCs w:val="28"/>
                <w:lang w:eastAsia="en-US"/>
              </w:rPr>
              <w:t>(8/4)</w:t>
            </w:r>
          </w:p>
        </w:tc>
        <w:tc>
          <w:tcPr>
            <w:tcW w:w="1463" w:type="dxa"/>
            <w:tcBorders>
              <w:top w:val="single" w:sz="4" w:space="0" w:color="auto"/>
              <w:left w:val="single" w:sz="4" w:space="0" w:color="auto"/>
              <w:bottom w:val="single" w:sz="4" w:space="0" w:color="auto"/>
              <w:right w:val="single" w:sz="4" w:space="0" w:color="auto"/>
            </w:tcBorders>
            <w:shd w:val="clear" w:color="auto" w:fill="auto"/>
          </w:tcPr>
          <w:p w14:paraId="1490BCE1" w14:textId="77777777" w:rsidR="00CF641C" w:rsidRPr="00520861" w:rsidRDefault="00CF641C" w:rsidP="00292D2E">
            <w:pPr>
              <w:widowControl w:val="0"/>
              <w:tabs>
                <w:tab w:val="left" w:pos="40"/>
              </w:tabs>
              <w:ind w:right="-108"/>
              <w:jc w:val="center"/>
              <w:rPr>
                <w:rFonts w:eastAsia="Calibri"/>
                <w:sz w:val="28"/>
                <w:szCs w:val="28"/>
                <w:lang w:eastAsia="en-US"/>
              </w:rPr>
            </w:pPr>
            <w:r w:rsidRPr="00520861">
              <w:rPr>
                <w:rFonts w:eastAsia="Calibri"/>
                <w:sz w:val="28"/>
                <w:szCs w:val="28"/>
                <w:lang w:eastAsia="en-US"/>
              </w:rPr>
              <w:t xml:space="preserve">7 </w:t>
            </w:r>
          </w:p>
          <w:p w14:paraId="0FAAB6C5" w14:textId="77777777" w:rsidR="00CF641C" w:rsidRPr="00520861" w:rsidRDefault="00CF641C" w:rsidP="00292D2E">
            <w:pPr>
              <w:widowControl w:val="0"/>
              <w:tabs>
                <w:tab w:val="left" w:pos="40"/>
              </w:tabs>
              <w:ind w:right="-108"/>
              <w:jc w:val="center"/>
              <w:rPr>
                <w:rFonts w:eastAsia="Calibri"/>
                <w:sz w:val="28"/>
                <w:szCs w:val="28"/>
                <w:lang w:eastAsia="en-US"/>
              </w:rPr>
            </w:pPr>
            <w:r w:rsidRPr="00520861">
              <w:rPr>
                <w:rFonts w:eastAsia="Calibri"/>
                <w:sz w:val="28"/>
                <w:szCs w:val="28"/>
                <w:lang w:eastAsia="en-US"/>
              </w:rPr>
              <w:t>(5/2)</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23324B6E" w14:textId="77777777" w:rsidR="00CF641C" w:rsidRPr="00520861" w:rsidRDefault="00CF641C" w:rsidP="00292D2E">
            <w:pPr>
              <w:widowControl w:val="0"/>
              <w:ind w:right="-123"/>
              <w:jc w:val="center"/>
              <w:rPr>
                <w:rFonts w:eastAsia="Calibri"/>
                <w:sz w:val="28"/>
                <w:szCs w:val="28"/>
                <w:lang w:eastAsia="en-US"/>
              </w:rPr>
            </w:pPr>
            <w:r w:rsidRPr="00520861">
              <w:rPr>
                <w:rFonts w:eastAsia="Calibri"/>
                <w:sz w:val="28"/>
                <w:szCs w:val="28"/>
                <w:lang w:eastAsia="en-US"/>
              </w:rPr>
              <w:t xml:space="preserve">9 </w:t>
            </w:r>
          </w:p>
          <w:p w14:paraId="5B8486B6" w14:textId="77777777" w:rsidR="00CF641C" w:rsidRPr="00520861" w:rsidRDefault="00CF641C" w:rsidP="00292D2E">
            <w:pPr>
              <w:widowControl w:val="0"/>
              <w:ind w:right="-123"/>
              <w:jc w:val="center"/>
              <w:rPr>
                <w:rFonts w:eastAsia="Calibri"/>
                <w:sz w:val="28"/>
                <w:szCs w:val="28"/>
                <w:lang w:eastAsia="en-US"/>
              </w:rPr>
            </w:pPr>
            <w:r w:rsidRPr="00520861">
              <w:rPr>
                <w:rFonts w:eastAsia="Calibri"/>
                <w:sz w:val="28"/>
                <w:szCs w:val="28"/>
                <w:lang w:eastAsia="en-US"/>
              </w:rPr>
              <w:t>(6/3)</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0630E676" w14:textId="77777777" w:rsidR="00CF641C" w:rsidRPr="00520861" w:rsidRDefault="00CF641C" w:rsidP="00292D2E">
            <w:pPr>
              <w:widowControl w:val="0"/>
              <w:ind w:right="-3" w:hanging="135"/>
              <w:jc w:val="center"/>
              <w:rPr>
                <w:rFonts w:eastAsia="Calibri"/>
                <w:sz w:val="28"/>
                <w:szCs w:val="28"/>
                <w:lang w:eastAsia="en-US"/>
              </w:rPr>
            </w:pPr>
            <w:r w:rsidRPr="00520861">
              <w:rPr>
                <w:rFonts w:eastAsia="Calibri"/>
                <w:sz w:val="28"/>
                <w:szCs w:val="28"/>
                <w:lang w:eastAsia="en-US"/>
              </w:rPr>
              <w:t xml:space="preserve">22 </w:t>
            </w:r>
          </w:p>
          <w:p w14:paraId="1D05F763" w14:textId="77777777" w:rsidR="00CF641C" w:rsidRPr="00520861" w:rsidRDefault="00CF641C" w:rsidP="00292D2E">
            <w:pPr>
              <w:widowControl w:val="0"/>
              <w:ind w:right="-3" w:hanging="135"/>
              <w:jc w:val="center"/>
              <w:rPr>
                <w:rFonts w:eastAsia="Calibri"/>
                <w:sz w:val="28"/>
                <w:szCs w:val="28"/>
                <w:lang w:eastAsia="en-US"/>
              </w:rPr>
            </w:pPr>
            <w:r w:rsidRPr="00520861">
              <w:rPr>
                <w:rFonts w:eastAsia="Calibri"/>
                <w:sz w:val="28"/>
                <w:szCs w:val="28"/>
                <w:lang w:eastAsia="en-US"/>
              </w:rPr>
              <w:t>(10/12)</w:t>
            </w:r>
          </w:p>
        </w:tc>
      </w:tr>
      <w:tr w:rsidR="00CF641C" w:rsidRPr="00520861" w14:paraId="560DDCC0" w14:textId="77777777" w:rsidTr="00292D2E">
        <w:trPr>
          <w:jc w:val="center"/>
        </w:trPr>
        <w:tc>
          <w:tcPr>
            <w:tcW w:w="1257" w:type="dxa"/>
            <w:tcBorders>
              <w:top w:val="single" w:sz="4" w:space="0" w:color="auto"/>
              <w:left w:val="single" w:sz="4" w:space="0" w:color="auto"/>
              <w:bottom w:val="single" w:sz="4" w:space="0" w:color="auto"/>
              <w:right w:val="single" w:sz="4" w:space="0" w:color="auto"/>
            </w:tcBorders>
            <w:shd w:val="clear" w:color="auto" w:fill="auto"/>
          </w:tcPr>
          <w:p w14:paraId="09721BB2" w14:textId="77777777" w:rsidR="00CF641C" w:rsidRPr="00520861" w:rsidRDefault="00CF641C" w:rsidP="00292D2E">
            <w:pPr>
              <w:widowControl w:val="0"/>
              <w:ind w:right="-104"/>
              <w:jc w:val="center"/>
              <w:rPr>
                <w:sz w:val="28"/>
                <w:szCs w:val="28"/>
              </w:rPr>
            </w:pPr>
            <w:r w:rsidRPr="00520861">
              <w:rPr>
                <w:rFonts w:eastAsia="Calibri"/>
                <w:sz w:val="28"/>
                <w:szCs w:val="28"/>
                <w:lang w:eastAsia="en-US"/>
              </w:rPr>
              <w:t>ВП</w:t>
            </w:r>
            <w:r w:rsidRPr="00520861">
              <w:rPr>
                <w:sz w:val="28"/>
                <w:szCs w:val="28"/>
              </w:rPr>
              <w:t>-VІІІ</w:t>
            </w:r>
          </w:p>
        </w:tc>
        <w:tc>
          <w:tcPr>
            <w:tcW w:w="1452" w:type="dxa"/>
            <w:tcBorders>
              <w:top w:val="single" w:sz="4" w:space="0" w:color="auto"/>
              <w:left w:val="single" w:sz="4" w:space="0" w:color="auto"/>
              <w:bottom w:val="single" w:sz="4" w:space="0" w:color="auto"/>
              <w:right w:val="single" w:sz="4" w:space="0" w:color="auto"/>
            </w:tcBorders>
            <w:shd w:val="clear" w:color="auto" w:fill="auto"/>
          </w:tcPr>
          <w:p w14:paraId="799D2060" w14:textId="77777777" w:rsidR="00CF641C" w:rsidRPr="00520861" w:rsidRDefault="00CF641C" w:rsidP="00292D2E">
            <w:pPr>
              <w:widowControl w:val="0"/>
              <w:ind w:right="-114" w:hanging="118"/>
              <w:jc w:val="center"/>
              <w:rPr>
                <w:rFonts w:eastAsia="Calibri"/>
                <w:sz w:val="28"/>
                <w:szCs w:val="28"/>
                <w:lang w:eastAsia="en-US"/>
              </w:rPr>
            </w:pPr>
            <w:r w:rsidRPr="00520861">
              <w:rPr>
                <w:rFonts w:eastAsia="Calibri"/>
                <w:sz w:val="28"/>
                <w:szCs w:val="28"/>
                <w:lang w:eastAsia="en-US"/>
              </w:rPr>
              <w:t xml:space="preserve">12 </w:t>
            </w:r>
          </w:p>
          <w:p w14:paraId="1BF0033B" w14:textId="77777777" w:rsidR="00CF641C" w:rsidRPr="00520861" w:rsidRDefault="00CF641C" w:rsidP="00292D2E">
            <w:pPr>
              <w:widowControl w:val="0"/>
              <w:ind w:right="-114" w:hanging="118"/>
              <w:jc w:val="center"/>
              <w:rPr>
                <w:rFonts w:eastAsia="Calibri"/>
                <w:sz w:val="28"/>
                <w:szCs w:val="28"/>
                <w:lang w:eastAsia="en-US"/>
              </w:rPr>
            </w:pPr>
            <w:r w:rsidRPr="00520861">
              <w:rPr>
                <w:rFonts w:eastAsia="Calibri"/>
                <w:sz w:val="28"/>
                <w:szCs w:val="28"/>
                <w:lang w:eastAsia="en-US"/>
              </w:rPr>
              <w:t>(7/5)</w:t>
            </w:r>
          </w:p>
        </w:tc>
        <w:tc>
          <w:tcPr>
            <w:tcW w:w="1481" w:type="dxa"/>
            <w:tcBorders>
              <w:top w:val="single" w:sz="4" w:space="0" w:color="auto"/>
              <w:left w:val="single" w:sz="4" w:space="0" w:color="auto"/>
              <w:bottom w:val="single" w:sz="4" w:space="0" w:color="auto"/>
              <w:right w:val="single" w:sz="4" w:space="0" w:color="auto"/>
            </w:tcBorders>
            <w:shd w:val="clear" w:color="auto" w:fill="auto"/>
          </w:tcPr>
          <w:p w14:paraId="61B8A7C1" w14:textId="77777777" w:rsidR="00CF641C" w:rsidRPr="00520861" w:rsidRDefault="00CF641C" w:rsidP="00292D2E">
            <w:pPr>
              <w:widowControl w:val="0"/>
              <w:ind w:right="-106" w:hanging="107"/>
              <w:jc w:val="center"/>
              <w:rPr>
                <w:rFonts w:eastAsia="Calibri"/>
                <w:sz w:val="28"/>
                <w:szCs w:val="28"/>
                <w:lang w:eastAsia="en-US"/>
              </w:rPr>
            </w:pPr>
            <w:r w:rsidRPr="00520861">
              <w:rPr>
                <w:rFonts w:eastAsia="Calibri"/>
                <w:sz w:val="28"/>
                <w:szCs w:val="28"/>
                <w:lang w:eastAsia="en-US"/>
              </w:rPr>
              <w:t xml:space="preserve">25 </w:t>
            </w:r>
          </w:p>
          <w:p w14:paraId="04086F3C" w14:textId="77777777" w:rsidR="00CF641C" w:rsidRPr="00520861" w:rsidRDefault="00CF641C" w:rsidP="00292D2E">
            <w:pPr>
              <w:widowControl w:val="0"/>
              <w:ind w:right="-106" w:hanging="107"/>
              <w:jc w:val="center"/>
              <w:rPr>
                <w:rFonts w:eastAsia="Calibri"/>
                <w:sz w:val="28"/>
                <w:szCs w:val="28"/>
                <w:lang w:eastAsia="en-US"/>
              </w:rPr>
            </w:pPr>
            <w:r w:rsidRPr="00520861">
              <w:rPr>
                <w:rFonts w:eastAsia="Calibri"/>
                <w:sz w:val="28"/>
                <w:szCs w:val="28"/>
                <w:lang w:eastAsia="en-US"/>
              </w:rPr>
              <w:t>(15/10)</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529FF549" w14:textId="77777777" w:rsidR="00CF641C" w:rsidRPr="00520861" w:rsidRDefault="00CF641C" w:rsidP="00292D2E">
            <w:pPr>
              <w:widowControl w:val="0"/>
              <w:tabs>
                <w:tab w:val="left" w:pos="748"/>
              </w:tabs>
              <w:ind w:right="-107"/>
              <w:jc w:val="center"/>
              <w:rPr>
                <w:rFonts w:eastAsia="Calibri"/>
                <w:sz w:val="28"/>
                <w:szCs w:val="28"/>
                <w:lang w:eastAsia="en-US"/>
              </w:rPr>
            </w:pPr>
            <w:r w:rsidRPr="00520861">
              <w:rPr>
                <w:rFonts w:eastAsia="Calibri"/>
                <w:sz w:val="28"/>
                <w:szCs w:val="28"/>
                <w:lang w:eastAsia="en-US"/>
              </w:rPr>
              <w:t xml:space="preserve">4 </w:t>
            </w:r>
          </w:p>
          <w:p w14:paraId="5D91DCF7" w14:textId="77777777" w:rsidR="00CF641C" w:rsidRPr="00520861" w:rsidRDefault="00CF641C" w:rsidP="00292D2E">
            <w:pPr>
              <w:widowControl w:val="0"/>
              <w:tabs>
                <w:tab w:val="left" w:pos="748"/>
              </w:tabs>
              <w:ind w:right="-107"/>
              <w:jc w:val="center"/>
              <w:rPr>
                <w:rFonts w:eastAsia="Calibri"/>
                <w:sz w:val="28"/>
                <w:szCs w:val="28"/>
                <w:lang w:eastAsia="en-US"/>
              </w:rPr>
            </w:pPr>
            <w:r w:rsidRPr="00520861">
              <w:rPr>
                <w:rFonts w:eastAsia="Calibri"/>
                <w:sz w:val="28"/>
                <w:szCs w:val="28"/>
                <w:lang w:eastAsia="en-US"/>
              </w:rPr>
              <w:t>(2/2)</w:t>
            </w:r>
          </w:p>
        </w:tc>
        <w:tc>
          <w:tcPr>
            <w:tcW w:w="1463" w:type="dxa"/>
            <w:tcBorders>
              <w:top w:val="single" w:sz="4" w:space="0" w:color="auto"/>
              <w:left w:val="single" w:sz="4" w:space="0" w:color="auto"/>
              <w:bottom w:val="single" w:sz="4" w:space="0" w:color="auto"/>
              <w:right w:val="single" w:sz="4" w:space="0" w:color="auto"/>
            </w:tcBorders>
            <w:shd w:val="clear" w:color="auto" w:fill="auto"/>
          </w:tcPr>
          <w:p w14:paraId="3FD6DBB4" w14:textId="77777777" w:rsidR="00CF641C" w:rsidRPr="00520861" w:rsidRDefault="00CF641C" w:rsidP="00292D2E">
            <w:pPr>
              <w:widowControl w:val="0"/>
              <w:tabs>
                <w:tab w:val="left" w:pos="40"/>
              </w:tabs>
              <w:ind w:right="-108"/>
              <w:jc w:val="center"/>
              <w:rPr>
                <w:rFonts w:eastAsia="Calibri"/>
                <w:sz w:val="28"/>
                <w:szCs w:val="28"/>
                <w:lang w:eastAsia="en-US"/>
              </w:rPr>
            </w:pPr>
            <w:r w:rsidRPr="00520861">
              <w:rPr>
                <w:rFonts w:eastAsia="Calibri"/>
                <w:sz w:val="28"/>
                <w:szCs w:val="28"/>
                <w:lang w:eastAsia="en-US"/>
              </w:rPr>
              <w:t xml:space="preserve">3 </w:t>
            </w:r>
          </w:p>
          <w:p w14:paraId="30B7586A" w14:textId="77777777" w:rsidR="00CF641C" w:rsidRPr="00520861" w:rsidRDefault="00CF641C" w:rsidP="00292D2E">
            <w:pPr>
              <w:widowControl w:val="0"/>
              <w:tabs>
                <w:tab w:val="left" w:pos="40"/>
              </w:tabs>
              <w:ind w:right="-108"/>
              <w:jc w:val="center"/>
              <w:rPr>
                <w:rFonts w:eastAsia="Calibri"/>
                <w:sz w:val="28"/>
                <w:szCs w:val="28"/>
                <w:lang w:eastAsia="en-US"/>
              </w:rPr>
            </w:pPr>
            <w:r w:rsidRPr="00520861">
              <w:rPr>
                <w:rFonts w:eastAsia="Calibri"/>
                <w:sz w:val="28"/>
                <w:szCs w:val="28"/>
                <w:lang w:eastAsia="en-US"/>
              </w:rPr>
              <w:t>(1/ 2)</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04C7B40D" w14:textId="77777777" w:rsidR="00CF641C" w:rsidRPr="00520861" w:rsidRDefault="00CF641C" w:rsidP="00292D2E">
            <w:pPr>
              <w:widowControl w:val="0"/>
              <w:ind w:right="-123"/>
              <w:jc w:val="center"/>
              <w:rPr>
                <w:rFonts w:eastAsia="Calibri"/>
                <w:sz w:val="28"/>
                <w:szCs w:val="28"/>
                <w:lang w:eastAsia="en-US"/>
              </w:rPr>
            </w:pPr>
            <w:r w:rsidRPr="00520861">
              <w:rPr>
                <w:rFonts w:eastAsia="Calibri"/>
                <w:sz w:val="28"/>
                <w:szCs w:val="28"/>
                <w:lang w:eastAsia="en-US"/>
              </w:rPr>
              <w:t xml:space="preserve">5 </w:t>
            </w:r>
          </w:p>
          <w:p w14:paraId="7C530C85" w14:textId="77777777" w:rsidR="00CF641C" w:rsidRPr="00520861" w:rsidRDefault="00CF641C" w:rsidP="00292D2E">
            <w:pPr>
              <w:widowControl w:val="0"/>
              <w:ind w:right="-123"/>
              <w:jc w:val="center"/>
              <w:rPr>
                <w:rFonts w:eastAsia="Calibri"/>
                <w:sz w:val="28"/>
                <w:szCs w:val="28"/>
                <w:lang w:eastAsia="en-US"/>
              </w:rPr>
            </w:pPr>
            <w:r w:rsidRPr="00520861">
              <w:rPr>
                <w:rFonts w:eastAsia="Calibri"/>
                <w:sz w:val="28"/>
                <w:szCs w:val="28"/>
                <w:lang w:eastAsia="en-US"/>
              </w:rPr>
              <w:t>(3/2)</w:t>
            </w:r>
          </w:p>
        </w:tc>
        <w:tc>
          <w:tcPr>
            <w:tcW w:w="1464" w:type="dxa"/>
            <w:tcBorders>
              <w:top w:val="single" w:sz="4" w:space="0" w:color="auto"/>
              <w:left w:val="single" w:sz="4" w:space="0" w:color="auto"/>
              <w:bottom w:val="single" w:sz="4" w:space="0" w:color="auto"/>
              <w:right w:val="single" w:sz="4" w:space="0" w:color="auto"/>
            </w:tcBorders>
            <w:shd w:val="clear" w:color="auto" w:fill="auto"/>
          </w:tcPr>
          <w:p w14:paraId="19143431" w14:textId="77777777" w:rsidR="00CF641C" w:rsidRPr="00520861" w:rsidRDefault="00CF641C" w:rsidP="00292D2E">
            <w:pPr>
              <w:widowControl w:val="0"/>
              <w:ind w:right="-3"/>
              <w:jc w:val="center"/>
              <w:rPr>
                <w:rFonts w:eastAsia="Calibri"/>
                <w:sz w:val="28"/>
                <w:szCs w:val="28"/>
                <w:lang w:eastAsia="en-US"/>
              </w:rPr>
            </w:pPr>
            <w:r w:rsidRPr="00520861">
              <w:rPr>
                <w:rFonts w:eastAsia="Calibri"/>
                <w:sz w:val="28"/>
                <w:szCs w:val="28"/>
                <w:lang w:eastAsia="en-US"/>
              </w:rPr>
              <w:t xml:space="preserve">13 </w:t>
            </w:r>
          </w:p>
          <w:p w14:paraId="3723089A" w14:textId="77777777" w:rsidR="00CF641C" w:rsidRPr="00520861" w:rsidRDefault="00CF641C" w:rsidP="00292D2E">
            <w:pPr>
              <w:widowControl w:val="0"/>
              <w:ind w:right="-3"/>
              <w:jc w:val="center"/>
              <w:rPr>
                <w:rFonts w:eastAsia="Calibri"/>
                <w:sz w:val="28"/>
                <w:szCs w:val="28"/>
                <w:lang w:eastAsia="en-US"/>
              </w:rPr>
            </w:pPr>
            <w:r w:rsidRPr="00520861">
              <w:rPr>
                <w:rFonts w:eastAsia="Calibri"/>
                <w:sz w:val="28"/>
                <w:szCs w:val="28"/>
                <w:lang w:eastAsia="en-US"/>
              </w:rPr>
              <w:t>(9/4)</w:t>
            </w:r>
          </w:p>
        </w:tc>
      </w:tr>
    </w:tbl>
    <w:p w14:paraId="6CDAA5A9" w14:textId="77777777" w:rsidR="00CF641C" w:rsidRPr="00520861" w:rsidRDefault="00CF641C" w:rsidP="00292D2E">
      <w:pPr>
        <w:widowControl w:val="0"/>
        <w:spacing w:line="360" w:lineRule="auto"/>
        <w:ind w:firstLine="709"/>
        <w:jc w:val="both"/>
        <w:rPr>
          <w:b/>
          <w:sz w:val="28"/>
          <w:szCs w:val="28"/>
        </w:rPr>
      </w:pPr>
      <w:r w:rsidRPr="00520861">
        <w:rPr>
          <w:rFonts w:eastAsia="Calibri"/>
          <w:sz w:val="28"/>
          <w:szCs w:val="28"/>
          <w:lang w:eastAsia="en-US"/>
        </w:rPr>
        <w:lastRenderedPageBreak/>
        <w:t xml:space="preserve">За значенням коефіцієнта гармонійності ВУ розвитку [82] усі учасники ОГ були розділені на чотири підгрупи. </w:t>
      </w:r>
      <w:proofErr w:type="spellStart"/>
      <w:r w:rsidRPr="00520861">
        <w:rPr>
          <w:sz w:val="28"/>
          <w:szCs w:val="28"/>
        </w:rPr>
        <w:t>Соматометричні</w:t>
      </w:r>
      <w:proofErr w:type="spellEnd"/>
      <w:r w:rsidRPr="00520861">
        <w:rPr>
          <w:sz w:val="28"/>
          <w:szCs w:val="28"/>
        </w:rPr>
        <w:t xml:space="preserve"> показники на момент </w:t>
      </w:r>
      <w:r w:rsidRPr="00520861">
        <w:rPr>
          <w:sz w:val="28"/>
          <w:szCs w:val="28"/>
        </w:rPr>
        <w:br/>
        <w:t>народження демонструє табл. Б.1.8.</w:t>
      </w:r>
    </w:p>
    <w:p w14:paraId="1B124486" w14:textId="77777777" w:rsidR="00CF641C" w:rsidRPr="00520861" w:rsidRDefault="00CF641C" w:rsidP="00292D2E">
      <w:pPr>
        <w:widowControl w:val="0"/>
        <w:spacing w:line="360" w:lineRule="auto"/>
        <w:ind w:firstLine="709"/>
        <w:jc w:val="both"/>
        <w:rPr>
          <w:rFonts w:eastAsia="Calibri"/>
          <w:spacing w:val="-1"/>
          <w:sz w:val="28"/>
          <w:szCs w:val="28"/>
          <w:lang w:eastAsia="en-US"/>
        </w:rPr>
      </w:pPr>
      <w:r w:rsidRPr="00520861">
        <w:rPr>
          <w:rFonts w:eastAsia="Calibri"/>
          <w:b/>
          <w:spacing w:val="-1"/>
          <w:sz w:val="28"/>
          <w:szCs w:val="28"/>
        </w:rPr>
        <w:t xml:space="preserve">2.3.4. </w:t>
      </w:r>
      <w:r w:rsidRPr="00520861">
        <w:rPr>
          <w:b/>
          <w:spacing w:val="-1"/>
          <w:sz w:val="28"/>
          <w:szCs w:val="28"/>
        </w:rPr>
        <w:t xml:space="preserve">Характеристика груп осіб, які були залучені до біохімічних </w:t>
      </w:r>
      <w:r w:rsidRPr="00520861">
        <w:rPr>
          <w:b/>
          <w:spacing w:val="-1"/>
          <w:sz w:val="28"/>
          <w:szCs w:val="28"/>
        </w:rPr>
        <w:br/>
        <w:t xml:space="preserve">досліджень. </w:t>
      </w:r>
      <w:r w:rsidRPr="00520861">
        <w:rPr>
          <w:rFonts w:eastAsia="Calibri"/>
          <w:spacing w:val="-1"/>
          <w:sz w:val="28"/>
          <w:szCs w:val="28"/>
          <w:lang w:eastAsia="en-US"/>
        </w:rPr>
        <w:t>Відповідно до мети дослідження всі особи ОГ були розділені за віком та в залежності від коефіцієнта гармонійності Грищенка В. І. [82]. Такий розподіл був обумовлений, у першу чергу, віковими особливостями перебігу метаболічних процесів та залежністю закономірностей обмінних процесів від гормонального фону.</w:t>
      </w:r>
    </w:p>
    <w:p w14:paraId="26DB9389" w14:textId="77777777" w:rsidR="00CF641C" w:rsidRPr="00520861" w:rsidRDefault="00CF641C" w:rsidP="00292D2E">
      <w:pPr>
        <w:widowControl w:val="0"/>
        <w:spacing w:line="360" w:lineRule="auto"/>
        <w:ind w:firstLine="709"/>
        <w:jc w:val="both"/>
        <w:rPr>
          <w:b/>
          <w:sz w:val="28"/>
          <w:szCs w:val="28"/>
        </w:rPr>
      </w:pPr>
      <w:r w:rsidRPr="00520861">
        <w:rPr>
          <w:rFonts w:eastAsia="Calibri"/>
          <w:sz w:val="28"/>
          <w:szCs w:val="28"/>
          <w:lang w:eastAsia="en-US"/>
        </w:rPr>
        <w:t xml:space="preserve">Відомо, що розподіл маси тіла, у тому числі й ВУ, знаходиться під контролем ендокринної системи. Зокрема, він визначається балансом соматотропного гормону (СТГ) та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[216], які забезпечують формування та розвиток кісткової/сполучної тканини та паренхіматозної/жирової, відповідно.</w:t>
      </w:r>
    </w:p>
    <w:p w14:paraId="50B7B3DA" w14:textId="77777777" w:rsidR="00CF641C" w:rsidRPr="00520861" w:rsidRDefault="00CF641C" w:rsidP="00292D2E">
      <w:pPr>
        <w:widowControl w:val="0"/>
        <w:spacing w:line="360" w:lineRule="auto"/>
        <w:ind w:right="-1" w:firstLine="709"/>
        <w:contextualSpacing/>
        <w:jc w:val="both"/>
        <w:rPr>
          <w:rFonts w:eastAsia="Calibri"/>
          <w:spacing w:val="-2"/>
          <w:sz w:val="28"/>
          <w:szCs w:val="28"/>
          <w:lang w:eastAsia="en-US"/>
        </w:rPr>
      </w:pPr>
      <w:r w:rsidRPr="00520861">
        <w:rPr>
          <w:rFonts w:eastAsia="Calibri"/>
          <w:sz w:val="28"/>
          <w:szCs w:val="28"/>
          <w:lang w:eastAsia="en-US"/>
        </w:rPr>
        <w:t xml:space="preserve">У нашому дослідженні до підгрупи 2 були віднесені особи,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та на момент народження мали велику довжину тіла та невеликий ІМТ. У них під час ВУ розвитку мала місце нестача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та збільшена продукція СТГ. В осіб, які були віднесені до підгрупи 1 (гармонійний ВУ розвиток), хоч і спостерігалася ВУ нестача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[216], проте, вірогідно, мало місце більш збалансоване співвідношення СТГ та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ніж в осіб підгрупи 2. В осіб, які були віднесені до підгрупи 3, при народженні спостерігалася велика довжина тіла та велика маса тіла. У них ВУ фіксувалася збільшена продукція обох гормонів – СТГ та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[216], що, з одного боку, обумовлювало формування надлишку жирової тканини, а з іншого – лінійний ріст. Розвиток осіб, віднесених до підгрупи 4, які при народженні мали стандартну довжину тіла та велику масу тіла, відбувався за умов ВУ відносної нестачі СТГ та надлишку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[216], наслідком чого стало </w:t>
      </w:r>
      <w:r w:rsidRPr="00520861">
        <w:rPr>
          <w:rFonts w:eastAsia="Calibri"/>
          <w:sz w:val="28"/>
          <w:szCs w:val="28"/>
          <w:lang w:eastAsia="en-US"/>
        </w:rPr>
        <w:br/>
        <w:t>надмірне наростання жирової тканини</w:t>
      </w:r>
      <w:r w:rsidRPr="00520861">
        <w:rPr>
          <w:rFonts w:eastAsia="Calibri"/>
          <w:spacing w:val="-2"/>
          <w:sz w:val="28"/>
          <w:szCs w:val="28"/>
          <w:lang w:eastAsia="en-US"/>
        </w:rPr>
        <w:t xml:space="preserve">. </w:t>
      </w:r>
    </w:p>
    <w:p w14:paraId="327B9E2B" w14:textId="77777777" w:rsidR="00CF641C" w:rsidRPr="00520861" w:rsidRDefault="00CF641C" w:rsidP="00292D2E">
      <w:pPr>
        <w:widowControl w:val="0"/>
        <w:spacing w:line="360" w:lineRule="auto"/>
        <w:ind w:right="-1" w:firstLine="709"/>
        <w:contextualSpacing/>
        <w:jc w:val="both"/>
        <w:rPr>
          <w:rFonts w:eastAsia="Calibri"/>
          <w:color w:val="000000"/>
          <w:sz w:val="28"/>
          <w:szCs w:val="28"/>
        </w:rPr>
      </w:pPr>
      <w:r w:rsidRPr="00520861">
        <w:rPr>
          <w:rFonts w:eastAsia="Calibri"/>
          <w:color w:val="000000"/>
          <w:sz w:val="28"/>
          <w:szCs w:val="28"/>
          <w:lang w:eastAsia="en-US"/>
        </w:rPr>
        <w:t>До</w:t>
      </w:r>
      <w:r w:rsidRPr="00520861">
        <w:rPr>
          <w:rFonts w:eastAsia="Calibri"/>
          <w:color w:val="000000"/>
          <w:sz w:val="28"/>
          <w:szCs w:val="28"/>
        </w:rPr>
        <w:t xml:space="preserve"> клініко-біохімічного та </w:t>
      </w:r>
      <w:r w:rsidRPr="00520861">
        <w:rPr>
          <w:rFonts w:eastAsia="Calibri"/>
          <w:sz w:val="28"/>
          <w:szCs w:val="28"/>
          <w:lang w:eastAsia="en-US"/>
        </w:rPr>
        <w:t>МГ</w:t>
      </w:r>
      <w:r w:rsidRPr="00520861">
        <w:rPr>
          <w:rFonts w:eastAsia="Calibri"/>
          <w:color w:val="000000"/>
          <w:sz w:val="28"/>
          <w:szCs w:val="28"/>
        </w:rPr>
        <w:t xml:space="preserve"> дослідження не залучалися особи, у яких була виявлена </w:t>
      </w:r>
      <w:r w:rsidRPr="00520861">
        <w:rPr>
          <w:rFonts w:eastAsia="Calibri"/>
          <w:color w:val="000000"/>
          <w:sz w:val="28"/>
          <w:szCs w:val="28"/>
          <w:lang w:eastAsia="en-US"/>
        </w:rPr>
        <w:t xml:space="preserve">наявність вад та аномалій розвитку, </w:t>
      </w:r>
      <w:r w:rsidRPr="00520861">
        <w:rPr>
          <w:rFonts w:eastAsia="Calibri"/>
          <w:color w:val="000000"/>
          <w:sz w:val="28"/>
          <w:szCs w:val="28"/>
        </w:rPr>
        <w:t>системних захворювань</w:t>
      </w:r>
      <w:r w:rsidRPr="00520861">
        <w:rPr>
          <w:rFonts w:eastAsia="Calibri"/>
          <w:color w:val="000000"/>
          <w:sz w:val="28"/>
          <w:szCs w:val="28"/>
          <w:lang w:eastAsia="en-US"/>
        </w:rPr>
        <w:t xml:space="preserve"> чи патологічних станів (наприклад, ожиріння, метаболічний синдром, цукровий діабет, </w:t>
      </w:r>
      <w:r w:rsidRPr="00520861">
        <w:rPr>
          <w:rFonts w:eastAsia="Calibri"/>
          <w:color w:val="000000"/>
          <w:sz w:val="28"/>
          <w:szCs w:val="28"/>
          <w:lang w:eastAsia="en-US"/>
        </w:rPr>
        <w:br/>
        <w:t xml:space="preserve">туберкульоз, синдром </w:t>
      </w:r>
      <w:proofErr w:type="spellStart"/>
      <w:r w:rsidRPr="00520861">
        <w:rPr>
          <w:rFonts w:eastAsia="Calibri"/>
          <w:color w:val="000000"/>
          <w:sz w:val="28"/>
          <w:szCs w:val="28"/>
          <w:lang w:eastAsia="en-US"/>
        </w:rPr>
        <w:t>Кушинга</w:t>
      </w:r>
      <w:proofErr w:type="spellEnd"/>
      <w:r w:rsidRPr="00520861">
        <w:rPr>
          <w:rFonts w:eastAsia="Calibri"/>
          <w:color w:val="000000"/>
          <w:sz w:val="28"/>
          <w:szCs w:val="28"/>
          <w:lang w:eastAsia="en-US"/>
        </w:rPr>
        <w:t xml:space="preserve">, </w:t>
      </w:r>
      <w:proofErr w:type="spellStart"/>
      <w:r w:rsidRPr="00520861">
        <w:rPr>
          <w:rFonts w:eastAsia="Calibri"/>
          <w:color w:val="000000"/>
          <w:sz w:val="28"/>
          <w:szCs w:val="28"/>
          <w:lang w:eastAsia="en-US"/>
        </w:rPr>
        <w:t>гіперпаратиреоз</w:t>
      </w:r>
      <w:proofErr w:type="spellEnd"/>
      <w:r w:rsidRPr="00520861">
        <w:rPr>
          <w:rFonts w:eastAsia="Calibri"/>
          <w:color w:val="000000"/>
          <w:sz w:val="28"/>
          <w:szCs w:val="28"/>
          <w:lang w:eastAsia="en-US"/>
        </w:rPr>
        <w:t xml:space="preserve"> чи </w:t>
      </w:r>
      <w:proofErr w:type="spellStart"/>
      <w:r w:rsidRPr="00520861">
        <w:rPr>
          <w:rFonts w:eastAsia="Calibri"/>
          <w:color w:val="000000"/>
          <w:sz w:val="28"/>
          <w:szCs w:val="28"/>
          <w:lang w:eastAsia="en-US"/>
        </w:rPr>
        <w:t>генералізований</w:t>
      </w:r>
      <w:proofErr w:type="spellEnd"/>
      <w:r w:rsidRPr="00520861">
        <w:rPr>
          <w:rFonts w:eastAsia="Calibri"/>
          <w:color w:val="000000"/>
          <w:sz w:val="28"/>
          <w:szCs w:val="28"/>
          <w:lang w:eastAsia="en-US"/>
        </w:rPr>
        <w:t xml:space="preserve"> остеопороз), які можуть впливати на кістковий метаболізм, </w:t>
      </w:r>
      <w:r w:rsidRPr="00520861">
        <w:rPr>
          <w:rFonts w:eastAsia="Calibri"/>
          <w:color w:val="000000"/>
          <w:sz w:val="28"/>
          <w:szCs w:val="28"/>
        </w:rPr>
        <w:t xml:space="preserve">або інших захворювань на стадії </w:t>
      </w:r>
      <w:r w:rsidRPr="00520861">
        <w:rPr>
          <w:rFonts w:eastAsia="Calibri"/>
          <w:color w:val="000000"/>
          <w:sz w:val="28"/>
          <w:szCs w:val="28"/>
        </w:rPr>
        <w:br/>
      </w:r>
      <w:r w:rsidRPr="00520861">
        <w:rPr>
          <w:rFonts w:eastAsia="Calibri"/>
          <w:color w:val="000000"/>
          <w:sz w:val="28"/>
          <w:szCs w:val="28"/>
        </w:rPr>
        <w:lastRenderedPageBreak/>
        <w:t>декомпенсації. Також не залучалися:</w:t>
      </w:r>
      <w:r w:rsidRPr="00520861">
        <w:rPr>
          <w:rFonts w:eastAsia="Calibri"/>
          <w:i/>
          <w:color w:val="000000"/>
          <w:sz w:val="28"/>
          <w:szCs w:val="28"/>
          <w:lang w:eastAsia="en-US"/>
        </w:rPr>
        <w:t xml:space="preserve"> </w:t>
      </w:r>
      <w:r w:rsidRPr="00520861">
        <w:rPr>
          <w:rFonts w:eastAsia="Calibri"/>
          <w:color w:val="000000"/>
          <w:sz w:val="28"/>
          <w:szCs w:val="28"/>
        </w:rPr>
        <w:t xml:space="preserve">вагітні або особи, які годували груддю; особи, які мали гострий стрес в анамнезі, проведення радіотерапії, які вживали будь-які медикаментозні препарати, у тому числі контрацептиви; особи, які проходили </w:t>
      </w:r>
      <w:proofErr w:type="spellStart"/>
      <w:r w:rsidRPr="00520861">
        <w:rPr>
          <w:rFonts w:eastAsia="Calibri"/>
          <w:color w:val="000000"/>
          <w:sz w:val="28"/>
          <w:szCs w:val="28"/>
        </w:rPr>
        <w:t>ортодонтичне</w:t>
      </w:r>
      <w:proofErr w:type="spellEnd"/>
      <w:r w:rsidRPr="00520861">
        <w:rPr>
          <w:rFonts w:eastAsia="Calibri"/>
          <w:color w:val="000000"/>
          <w:sz w:val="28"/>
          <w:szCs w:val="28"/>
        </w:rPr>
        <w:t xml:space="preserve"> лікування; особи, які палять.</w:t>
      </w:r>
    </w:p>
    <w:p w14:paraId="4B6FA7A5" w14:textId="77777777" w:rsidR="00CF641C" w:rsidRPr="00520861" w:rsidRDefault="00CF641C" w:rsidP="00292D2E">
      <w:pPr>
        <w:widowControl w:val="0"/>
        <w:spacing w:line="360" w:lineRule="auto"/>
        <w:ind w:right="-1" w:firstLine="709"/>
        <w:contextualSpacing/>
        <w:jc w:val="both"/>
        <w:rPr>
          <w:rFonts w:eastAsia="Calibri"/>
          <w:spacing w:val="-4"/>
          <w:sz w:val="28"/>
          <w:szCs w:val="28"/>
          <w:lang w:eastAsia="en-US"/>
        </w:rPr>
      </w:pPr>
      <w:r w:rsidRPr="00520861">
        <w:rPr>
          <w:rFonts w:eastAsia="Calibri"/>
          <w:spacing w:val="-4"/>
          <w:sz w:val="28"/>
          <w:szCs w:val="28"/>
          <w:lang w:eastAsia="en-US"/>
        </w:rPr>
        <w:t>На момент включення в дослідження всі учасники, за даними лікарів інших спеціальностей, не мали виявленої супутньої патології та їхній індекс маси тіла знаходився в межах 18,5 – 30 </w:t>
      </w:r>
      <w:r w:rsidRPr="00520861">
        <w:rPr>
          <w:rFonts w:eastAsia="Calibri"/>
          <w:bCs/>
          <w:spacing w:val="-4"/>
          <w:sz w:val="28"/>
          <w:szCs w:val="28"/>
          <w:lang w:eastAsia="en-US"/>
        </w:rPr>
        <w:t>кг/м</w:t>
      </w:r>
      <w:r w:rsidRPr="00520861">
        <w:rPr>
          <w:rFonts w:eastAsia="Calibri"/>
          <w:bCs/>
          <w:spacing w:val="-4"/>
          <w:sz w:val="28"/>
          <w:szCs w:val="28"/>
          <w:vertAlign w:val="superscript"/>
          <w:lang w:eastAsia="en-US"/>
        </w:rPr>
        <w:t>2</w:t>
      </w:r>
      <w:r w:rsidRPr="00520861">
        <w:rPr>
          <w:rFonts w:eastAsia="Calibri"/>
          <w:spacing w:val="-4"/>
          <w:sz w:val="28"/>
          <w:szCs w:val="28"/>
          <w:lang w:eastAsia="en-US"/>
        </w:rPr>
        <w:t>, тобто вони не мали ні дефіциту маси тіла, ані ожиріння.</w:t>
      </w:r>
    </w:p>
    <w:p w14:paraId="157F3E7C"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Існують відомості, що рівень досліджуваних цитокінів коливається не тільки залежно від віку учасника дослідження, а й від статі [526]</w:t>
      </w:r>
      <w:r w:rsidRPr="00520861">
        <w:rPr>
          <w:rFonts w:eastAsia="Calibri"/>
          <w:sz w:val="28"/>
          <w:szCs w:val="28"/>
        </w:rPr>
        <w:t xml:space="preserve">. </w:t>
      </w:r>
      <w:r w:rsidRPr="00520861">
        <w:rPr>
          <w:rFonts w:eastAsia="Calibri"/>
          <w:color w:val="000000"/>
          <w:sz w:val="28"/>
          <w:szCs w:val="28"/>
        </w:rPr>
        <w:t xml:space="preserve">Зокрема, така залежність підсилюється в дітей із метаболічними порушеннями. Тому </w:t>
      </w:r>
      <w:r w:rsidRPr="00520861">
        <w:rPr>
          <w:rFonts w:eastAsia="Calibri"/>
          <w:sz w:val="28"/>
          <w:szCs w:val="28"/>
          <w:lang w:eastAsia="en-US"/>
        </w:rPr>
        <w:t xml:space="preserve">групи та підгрупи </w:t>
      </w:r>
      <w:r w:rsidRPr="00520861">
        <w:rPr>
          <w:rFonts w:eastAsia="Calibri"/>
          <w:color w:val="000000"/>
          <w:sz w:val="28"/>
          <w:szCs w:val="28"/>
        </w:rPr>
        <w:t xml:space="preserve">були </w:t>
      </w:r>
      <w:proofErr w:type="spellStart"/>
      <w:r w:rsidRPr="00520861">
        <w:rPr>
          <w:rFonts w:eastAsia="Calibri"/>
          <w:color w:val="000000"/>
          <w:sz w:val="28"/>
          <w:szCs w:val="28"/>
        </w:rPr>
        <w:t>рівнопредставленими</w:t>
      </w:r>
      <w:proofErr w:type="spellEnd"/>
      <w:r w:rsidRPr="00520861">
        <w:rPr>
          <w:rFonts w:eastAsia="Calibri"/>
          <w:color w:val="000000"/>
          <w:sz w:val="28"/>
          <w:szCs w:val="28"/>
        </w:rPr>
        <w:t xml:space="preserve"> за кількістю учасників чоловічої й жіночої статі. </w:t>
      </w:r>
      <w:r w:rsidRPr="00520861">
        <w:rPr>
          <w:rFonts w:eastAsia="Calibri"/>
          <w:sz w:val="28"/>
          <w:szCs w:val="28"/>
          <w:lang w:eastAsia="en-US"/>
        </w:rPr>
        <w:t xml:space="preserve">У жінок </w:t>
      </w:r>
      <w:r w:rsidRPr="00520861">
        <w:rPr>
          <w:rFonts w:eastAsia="Calibri"/>
          <w:sz w:val="28"/>
          <w:szCs w:val="28"/>
          <w:lang w:eastAsia="en-US"/>
        </w:rPr>
        <w:br/>
        <w:t>було враховано фазу менструального циклу.</w:t>
      </w:r>
    </w:p>
    <w:p w14:paraId="4D8CD0D8"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 метою пояснення великої кількості аномалій прикусу в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на основі порівняння рівнів кальцію, фосфору та активності лужної фосфатази в нестимульованій РР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популяції Харківської області та прилеглих областей із такими в осіб, які народилися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було обстежено 168 осіб ОГ різного віку (від 4 до 55 років). П’ятдесят осіб-</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відповідного віку та статі були віднесені до ГП.</w:t>
      </w:r>
    </w:p>
    <w:p w14:paraId="2E34D858"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color w:val="000000"/>
          <w:sz w:val="28"/>
          <w:szCs w:val="28"/>
        </w:rPr>
        <w:t>З метою виявлення взаємозв’язку</w:t>
      </w:r>
      <w:r w:rsidRPr="00520861">
        <w:rPr>
          <w:rFonts w:eastAsia="Calibri"/>
          <w:kern w:val="36"/>
          <w:sz w:val="28"/>
          <w:szCs w:val="28"/>
        </w:rPr>
        <w:t xml:space="preserve"> </w:t>
      </w:r>
      <w:r w:rsidRPr="00520861">
        <w:rPr>
          <w:rFonts w:eastAsia="Calibri"/>
          <w:sz w:val="28"/>
          <w:szCs w:val="28"/>
          <w:lang w:eastAsia="en-US"/>
        </w:rPr>
        <w:t xml:space="preserve">між інтенсивністю карієсу тимчасових та постійних зубів та динамікою рівнів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ТБК-АП </w:t>
      </w:r>
      <w:r w:rsidRPr="00520861">
        <w:rPr>
          <w:rFonts w:eastAsia="Calibri"/>
          <w:kern w:val="36"/>
          <w:sz w:val="28"/>
          <w:szCs w:val="28"/>
        </w:rPr>
        <w:t xml:space="preserve">та ІL-6, </w:t>
      </w:r>
      <w:r w:rsidRPr="00520861">
        <w:rPr>
          <w:rFonts w:eastAsia="Calibri"/>
          <w:sz w:val="28"/>
          <w:szCs w:val="28"/>
          <w:lang w:eastAsia="en-US"/>
        </w:rPr>
        <w:t>а також</w:t>
      </w:r>
      <w:r w:rsidRPr="00520861">
        <w:rPr>
          <w:rFonts w:eastAsia="Calibri"/>
          <w:kern w:val="36"/>
          <w:sz w:val="28"/>
          <w:szCs w:val="28"/>
        </w:rPr>
        <w:t xml:space="preserve"> активністю α-амілази </w:t>
      </w:r>
      <w:r w:rsidRPr="00520861">
        <w:rPr>
          <w:rFonts w:eastAsia="Calibri"/>
          <w:sz w:val="28"/>
          <w:szCs w:val="28"/>
          <w:lang w:eastAsia="en-US"/>
        </w:rPr>
        <w:t>каталази та СОД</w:t>
      </w:r>
      <w:r w:rsidRPr="00520861">
        <w:rPr>
          <w:rFonts w:eastAsia="Calibri"/>
          <w:kern w:val="36"/>
          <w:sz w:val="28"/>
          <w:szCs w:val="28"/>
        </w:rPr>
        <w:t xml:space="preserve"> </w:t>
      </w:r>
      <w:r w:rsidRPr="00520861">
        <w:rPr>
          <w:rFonts w:eastAsia="Calibri"/>
          <w:sz w:val="28"/>
          <w:szCs w:val="28"/>
          <w:lang w:eastAsia="en-US"/>
        </w:rPr>
        <w:t xml:space="preserve">у нестимульованій РР осіб,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(враховуючи їх антропометричні показники при </w:t>
      </w:r>
      <w:r w:rsidRPr="00520861">
        <w:rPr>
          <w:rFonts w:eastAsia="Calibri"/>
          <w:sz w:val="28"/>
          <w:szCs w:val="28"/>
          <w:lang w:eastAsia="en-US"/>
        </w:rPr>
        <w:br/>
        <w:t xml:space="preserve">народженні) чи </w:t>
      </w:r>
      <w:proofErr w:type="spellStart"/>
      <w:r w:rsidRPr="00520861">
        <w:rPr>
          <w:rFonts w:eastAsia="Calibri"/>
          <w:sz w:val="28"/>
          <w:szCs w:val="28"/>
          <w:lang w:eastAsia="en-US"/>
        </w:rPr>
        <w:t>нормосомією</w:t>
      </w:r>
      <w:proofErr w:type="spellEnd"/>
      <w:r w:rsidRPr="00520861">
        <w:rPr>
          <w:rFonts w:eastAsia="Calibri"/>
          <w:sz w:val="28"/>
          <w:szCs w:val="28"/>
          <w:lang w:eastAsia="en-US"/>
        </w:rPr>
        <w:t xml:space="preserve">, із раніше обстежених осіб було відібрано 210 осіб віком від 4 до 55 років (163 ОГ та 47 ГП). </w:t>
      </w:r>
    </w:p>
    <w:p w14:paraId="3C5C74B2"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color w:val="000000"/>
          <w:sz w:val="28"/>
          <w:szCs w:val="28"/>
        </w:rPr>
        <w:t xml:space="preserve">З метою виявлення взаємозв’язку між особливостями перебігу захворювань тканин </w:t>
      </w:r>
      <w:proofErr w:type="spellStart"/>
      <w:r w:rsidRPr="00520861">
        <w:rPr>
          <w:color w:val="000000"/>
          <w:sz w:val="28"/>
          <w:szCs w:val="28"/>
        </w:rPr>
        <w:t>пародонта</w:t>
      </w:r>
      <w:proofErr w:type="spellEnd"/>
      <w:r w:rsidRPr="00520861">
        <w:rPr>
          <w:color w:val="000000"/>
          <w:sz w:val="28"/>
          <w:szCs w:val="28"/>
        </w:rPr>
        <w:t xml:space="preserve"> та динамікою рівнів </w:t>
      </w:r>
      <w:proofErr w:type="spellStart"/>
      <w:r w:rsidRPr="00520861">
        <w:rPr>
          <w:color w:val="000000"/>
          <w:sz w:val="28"/>
          <w:szCs w:val="28"/>
        </w:rPr>
        <w:t>АлАт</w:t>
      </w:r>
      <w:proofErr w:type="spellEnd"/>
      <w:r w:rsidRPr="00520861">
        <w:rPr>
          <w:color w:val="000000"/>
          <w:sz w:val="28"/>
          <w:szCs w:val="28"/>
        </w:rPr>
        <w:t xml:space="preserve"> та </w:t>
      </w:r>
      <w:proofErr w:type="spellStart"/>
      <w:r w:rsidRPr="00520861">
        <w:rPr>
          <w:color w:val="000000"/>
          <w:sz w:val="28"/>
          <w:szCs w:val="28"/>
        </w:rPr>
        <w:t>АсАт</w:t>
      </w:r>
      <w:proofErr w:type="spellEnd"/>
      <w:r w:rsidRPr="00520861">
        <w:rPr>
          <w:rFonts w:eastAsia="Calibri"/>
          <w:sz w:val="28"/>
          <w:szCs w:val="28"/>
          <w:lang w:eastAsia="en-US"/>
        </w:rPr>
        <w:t>, ІL-1β,</w:t>
      </w:r>
      <w:r w:rsidRPr="00520861">
        <w:rPr>
          <w:rFonts w:eastAsia="Calibri"/>
          <w:b/>
          <w:sz w:val="28"/>
          <w:szCs w:val="28"/>
          <w:lang w:eastAsia="en-US"/>
        </w:rPr>
        <w:t xml:space="preserve"> </w:t>
      </w:r>
      <w:r w:rsidRPr="00520861">
        <w:rPr>
          <w:rFonts w:eastAsia="Calibri"/>
          <w:sz w:val="28"/>
          <w:szCs w:val="28"/>
          <w:lang w:eastAsia="en-US"/>
        </w:rPr>
        <w:t xml:space="preserve">ІL-10, </w:t>
      </w:r>
      <w:proofErr w:type="spellStart"/>
      <w:r w:rsidRPr="00520861">
        <w:rPr>
          <w:rFonts w:eastAsia="Calibri"/>
          <w:sz w:val="28"/>
          <w:szCs w:val="28"/>
          <w:lang w:eastAsia="en-US"/>
        </w:rPr>
        <w:t>sIg</w:t>
      </w:r>
      <w:proofErr w:type="spellEnd"/>
      <w:r w:rsidRPr="00520861">
        <w:rPr>
          <w:rFonts w:eastAsia="Calibri"/>
          <w:sz w:val="28"/>
          <w:szCs w:val="28"/>
          <w:lang w:eastAsia="en-US"/>
        </w:rPr>
        <w:t xml:space="preserve"> A, </w:t>
      </w:r>
      <w:proofErr w:type="spellStart"/>
      <w:r w:rsidRPr="00520861">
        <w:rPr>
          <w:rFonts w:eastAsia="Calibri"/>
          <w:sz w:val="28"/>
          <w:szCs w:val="28"/>
          <w:lang w:eastAsia="en-US"/>
        </w:rPr>
        <w:t>IgM</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IgG</w:t>
      </w:r>
      <w:proofErr w:type="spellEnd"/>
      <w:r w:rsidRPr="00520861">
        <w:rPr>
          <w:rFonts w:eastAsia="Calibri"/>
          <w:sz w:val="28"/>
          <w:szCs w:val="28"/>
          <w:lang w:eastAsia="en-US"/>
        </w:rPr>
        <w:t xml:space="preserve"> та вмісту </w:t>
      </w:r>
      <w:proofErr w:type="spellStart"/>
      <w:r w:rsidRPr="00520861">
        <w:rPr>
          <w:color w:val="000000"/>
          <w:sz w:val="28"/>
          <w:szCs w:val="28"/>
        </w:rPr>
        <w:t>оксипроліну</w:t>
      </w:r>
      <w:proofErr w:type="spellEnd"/>
      <w:r w:rsidRPr="00520861">
        <w:rPr>
          <w:color w:val="000000"/>
          <w:sz w:val="28"/>
          <w:szCs w:val="28"/>
        </w:rPr>
        <w:t xml:space="preserve"> в РР осіб різного віку, які народилися </w:t>
      </w:r>
      <w:proofErr w:type="spellStart"/>
      <w:r w:rsidRPr="00520861">
        <w:rPr>
          <w:color w:val="000000"/>
          <w:sz w:val="28"/>
          <w:szCs w:val="28"/>
        </w:rPr>
        <w:t>макросомами</w:t>
      </w:r>
      <w:proofErr w:type="spellEnd"/>
      <w:r w:rsidRPr="00520861">
        <w:rPr>
          <w:color w:val="000000"/>
          <w:sz w:val="28"/>
          <w:szCs w:val="28"/>
        </w:rPr>
        <w:t xml:space="preserve">, із раніше обстежених осіб була відібрана та обстежена біохімічними методами </w:t>
      </w:r>
      <w:r w:rsidRPr="00520861">
        <w:rPr>
          <w:rFonts w:eastAsia="Calibri"/>
          <w:sz w:val="28"/>
          <w:szCs w:val="28"/>
          <w:lang w:eastAsia="en-US"/>
        </w:rPr>
        <w:t xml:space="preserve">151 особа ОГ віком від 4 до 55 років. П’ятдесят одна особа відповідного віку та статі, чиї антропометричні показники при народженні відповідали нормі, була віднесена до ГП. </w:t>
      </w:r>
      <w:r w:rsidRPr="00520861">
        <w:rPr>
          <w:rFonts w:eastAsia="Calibri"/>
          <w:sz w:val="28"/>
          <w:szCs w:val="28"/>
          <w:lang w:eastAsia="en-US"/>
        </w:rPr>
        <w:br/>
      </w:r>
      <w:r w:rsidRPr="00520861">
        <w:rPr>
          <w:rFonts w:eastAsia="Calibri"/>
          <w:spacing w:val="-2"/>
          <w:sz w:val="28"/>
          <w:szCs w:val="28"/>
          <w:lang w:eastAsia="en-US"/>
        </w:rPr>
        <w:lastRenderedPageBreak/>
        <w:t>Оскільки дослідження тривало декілька років, межі описаних вікових періодів для осіб дорослого віку при проведенні біохімічних досліджень були дещо розширені.</w:t>
      </w:r>
    </w:p>
    <w:p w14:paraId="41F5AA81" w14:textId="77777777" w:rsidR="00CF641C" w:rsidRPr="00520861" w:rsidRDefault="00CF641C"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Масо-ростові показники учасників дослідження на момент народження описані вище у відповідних вікових періодах.</w:t>
      </w:r>
    </w:p>
    <w:p w14:paraId="089AE88A" w14:textId="77777777" w:rsidR="00CF641C" w:rsidRPr="00520861" w:rsidRDefault="00CF641C" w:rsidP="00292D2E">
      <w:pPr>
        <w:widowControl w:val="0"/>
        <w:spacing w:line="360" w:lineRule="auto"/>
        <w:ind w:firstLine="709"/>
        <w:jc w:val="both"/>
        <w:rPr>
          <w:b/>
          <w:sz w:val="28"/>
          <w:szCs w:val="28"/>
        </w:rPr>
      </w:pPr>
      <w:r w:rsidRPr="00520861">
        <w:rPr>
          <w:rFonts w:eastAsia="Calibri"/>
          <w:b/>
          <w:sz w:val="28"/>
          <w:szCs w:val="28"/>
        </w:rPr>
        <w:t xml:space="preserve">2.3.5. </w:t>
      </w:r>
      <w:r w:rsidRPr="00520861">
        <w:rPr>
          <w:b/>
          <w:sz w:val="28"/>
          <w:szCs w:val="28"/>
        </w:rPr>
        <w:t xml:space="preserve">Характеристика груп осіб, які були залучені до молекулярно-генетичних досліджень. </w:t>
      </w:r>
      <w:r w:rsidRPr="00520861">
        <w:rPr>
          <w:rFonts w:eastAsia="Calibri"/>
          <w:sz w:val="28"/>
          <w:szCs w:val="28"/>
          <w:lang w:eastAsia="en-US"/>
        </w:rPr>
        <w:t xml:space="preserve">Загальна кількість учасників, які брали участь у МГ </w:t>
      </w:r>
      <w:r w:rsidRPr="00520861">
        <w:rPr>
          <w:rFonts w:eastAsia="Calibri"/>
          <w:sz w:val="28"/>
          <w:szCs w:val="28"/>
          <w:lang w:eastAsia="en-US"/>
        </w:rPr>
        <w:br/>
        <w:t xml:space="preserve">дослідженнях, склала 194 особи, а саме: 144 особи ОГ та 50 осіб ГП, які мешкають у </w:t>
      </w:r>
      <w:r w:rsidRPr="00520861">
        <w:rPr>
          <w:rFonts w:eastAsia="Calibri"/>
          <w:sz w:val="28"/>
          <w:szCs w:val="28"/>
          <w:lang w:eastAsia="en-US"/>
        </w:rPr>
        <w:br/>
        <w:t>Харківській та прилеглих областях (Україна). Співвідношення кількості осіб чоловічої статі до кількості осіб жіночої статі складало 3 до 2.</w:t>
      </w:r>
    </w:p>
    <w:p w14:paraId="39D7A929" w14:textId="77777777" w:rsidR="00CF641C" w:rsidRPr="00520861" w:rsidRDefault="00CF641C" w:rsidP="00292D2E">
      <w:pPr>
        <w:widowControl w:val="0"/>
        <w:spacing w:line="360" w:lineRule="auto"/>
        <w:ind w:firstLine="709"/>
        <w:jc w:val="both"/>
        <w:rPr>
          <w:rFonts w:eastAsia="Calibri"/>
          <w:spacing w:val="-4"/>
          <w:sz w:val="28"/>
          <w:szCs w:val="28"/>
          <w:lang w:eastAsia="en-US"/>
        </w:rPr>
      </w:pPr>
      <w:r w:rsidRPr="00520861">
        <w:rPr>
          <w:rFonts w:eastAsia="Calibri"/>
          <w:sz w:val="28"/>
          <w:szCs w:val="28"/>
          <w:lang w:eastAsia="en-US"/>
        </w:rPr>
        <w:t>З метою визначення асоціації між поліморфними варіантами</w:t>
      </w:r>
      <w:r w:rsidRPr="00520861">
        <w:rPr>
          <w:rFonts w:eastAsia="Calibri"/>
          <w:b/>
          <w:sz w:val="28"/>
          <w:szCs w:val="28"/>
          <w:lang w:eastAsia="en-US"/>
        </w:rPr>
        <w:t xml:space="preserve"> </w:t>
      </w:r>
      <w:r w:rsidRPr="00520861">
        <w:rPr>
          <w:rFonts w:eastAsia="Calibri"/>
          <w:i/>
          <w:sz w:val="28"/>
          <w:szCs w:val="28"/>
          <w:lang w:eastAsia="en-US"/>
        </w:rPr>
        <w:t xml:space="preserve">CYP19A1: </w:t>
      </w:r>
      <w:r w:rsidRPr="00520861">
        <w:rPr>
          <w:rFonts w:eastAsia="Calibri"/>
          <w:sz w:val="28"/>
          <w:szCs w:val="28"/>
          <w:lang w:eastAsia="en-US"/>
        </w:rPr>
        <w:t xml:space="preserve">[rs2414096, rs936306], </w:t>
      </w:r>
      <w:r w:rsidRPr="00520861">
        <w:rPr>
          <w:rFonts w:eastAsia="Calibri"/>
          <w:i/>
          <w:sz w:val="28"/>
          <w:szCs w:val="28"/>
          <w:lang w:eastAsia="en-US"/>
        </w:rPr>
        <w:t>ESR1</w:t>
      </w:r>
      <w:r w:rsidRPr="00520861">
        <w:rPr>
          <w:rFonts w:eastAsia="Calibri"/>
          <w:sz w:val="28"/>
          <w:szCs w:val="28"/>
          <w:lang w:eastAsia="en-US"/>
        </w:rPr>
        <w:t xml:space="preserve">: [rs2234693, rs9340799],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sz w:val="28"/>
          <w:szCs w:val="28"/>
          <w:lang w:eastAsia="en-US"/>
        </w:rPr>
        <w:t xml:space="preserve">: [rs1143627], </w:t>
      </w:r>
      <w:r w:rsidRPr="00520861">
        <w:rPr>
          <w:rFonts w:eastAsia="Calibri"/>
          <w:i/>
          <w:sz w:val="28"/>
          <w:szCs w:val="28"/>
          <w:lang w:eastAsia="en-US"/>
        </w:rPr>
        <w:t>IL6:</w:t>
      </w:r>
      <w:r w:rsidRPr="00520861">
        <w:rPr>
          <w:rFonts w:eastAsia="Calibri"/>
          <w:sz w:val="28"/>
          <w:szCs w:val="28"/>
          <w:lang w:eastAsia="en-US"/>
        </w:rPr>
        <w:t xml:space="preserve"> [rs1800796], </w:t>
      </w:r>
      <w:r w:rsidRPr="00520861">
        <w:rPr>
          <w:rFonts w:eastAsia="Calibri"/>
          <w:i/>
          <w:sz w:val="28"/>
          <w:szCs w:val="28"/>
          <w:lang w:eastAsia="en-US"/>
        </w:rPr>
        <w:t>IL10</w:t>
      </w:r>
      <w:r w:rsidRPr="00520861">
        <w:rPr>
          <w:rFonts w:eastAsia="Calibri"/>
          <w:sz w:val="28"/>
          <w:szCs w:val="28"/>
          <w:lang w:eastAsia="en-US"/>
        </w:rPr>
        <w:t>: [rs1800896]</w:t>
      </w:r>
      <w:r w:rsidRPr="00520861">
        <w:rPr>
          <w:sz w:val="28"/>
          <w:szCs w:val="28"/>
        </w:rPr>
        <w:t xml:space="preserve"> </w:t>
      </w:r>
      <w:r w:rsidRPr="00520861">
        <w:rPr>
          <w:rFonts w:eastAsia="Calibri"/>
          <w:sz w:val="28"/>
          <w:szCs w:val="28"/>
          <w:lang w:eastAsia="en-US"/>
        </w:rPr>
        <w:t>та</w:t>
      </w:r>
      <w:r w:rsidRPr="00520861">
        <w:rPr>
          <w:sz w:val="28"/>
          <w:szCs w:val="28"/>
        </w:rPr>
        <w:t xml:space="preserve"> </w:t>
      </w:r>
      <w:r w:rsidRPr="00520861">
        <w:rPr>
          <w:i/>
          <w:sz w:val="28"/>
          <w:szCs w:val="28"/>
        </w:rPr>
        <w:t>RANKL</w:t>
      </w:r>
      <w:r w:rsidRPr="00520861">
        <w:rPr>
          <w:sz w:val="28"/>
          <w:szCs w:val="28"/>
        </w:rPr>
        <w:t>: [rs9594738, rs9594759]</w:t>
      </w:r>
      <w:r w:rsidRPr="00520861">
        <w:rPr>
          <w:rFonts w:eastAsia="Calibri"/>
          <w:sz w:val="28"/>
          <w:szCs w:val="28"/>
          <w:lang w:eastAsia="en-US"/>
        </w:rPr>
        <w:t xml:space="preserve"> генів та порушенням термінів прорізування тимчасових зубів (передчасне прорізування або затримка прорізування)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МГ методом було обстежено 159 осіб у віці від 4 до 55 років, які проживають у Харкові та прилеглих областях. </w:t>
      </w:r>
      <w:r w:rsidRPr="00520861">
        <w:rPr>
          <w:rFonts w:eastAsia="Calibri"/>
          <w:spacing w:val="-4"/>
          <w:sz w:val="28"/>
          <w:szCs w:val="28"/>
          <w:lang w:eastAsia="en-US"/>
        </w:rPr>
        <w:t>Співвідношення чоловіків/жінок було 3/2. До поточного етапу дослідження залучалися лише особи, які зберегли інформацію про терміни прорізування тимчасових зубів.</w:t>
      </w:r>
    </w:p>
    <w:p w14:paraId="2181581F"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До основної групи передчасного прорізування (ОГ ПП) були віднесені 16 осіб-</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(середній вік – 15,7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12, 4,75 та 22,5 року відповідно) та мали задокументоване передчасне прорізування тимчасових зубів. Основна група із затримкою прорізування (ОГ ЗП) складалася з 25 осіб-</w:t>
      </w:r>
      <w:proofErr w:type="spellStart"/>
      <w:r w:rsidRPr="00520861">
        <w:rPr>
          <w:rFonts w:eastAsia="Calibri"/>
          <w:sz w:val="28"/>
          <w:szCs w:val="28"/>
          <w:lang w:eastAsia="en-US"/>
        </w:rPr>
        <w:t>макросомів</w:t>
      </w:r>
      <w:proofErr w:type="spellEnd"/>
      <w:r w:rsidRPr="00520861">
        <w:rPr>
          <w:rFonts w:eastAsia="Calibri"/>
          <w:color w:val="FF0000"/>
          <w:sz w:val="28"/>
          <w:szCs w:val="28"/>
          <w:lang w:eastAsia="en-US"/>
        </w:rPr>
        <w:t xml:space="preserve"> </w:t>
      </w:r>
      <w:r w:rsidRPr="00520861">
        <w:rPr>
          <w:rFonts w:eastAsia="Calibri"/>
          <w:sz w:val="28"/>
          <w:szCs w:val="28"/>
          <w:lang w:eastAsia="en-US"/>
        </w:rPr>
        <w:t xml:space="preserve">(середній вік – 21,32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21, 11 та 26 років відповідно), у яких була задокументована затримка прорізування тимчасових зубів. До групи порівняння 1 (ГП І) були віднесені 97 осіб-</w:t>
      </w:r>
      <w:proofErr w:type="spellStart"/>
      <w:r w:rsidRPr="00520861">
        <w:rPr>
          <w:rFonts w:eastAsia="Calibri"/>
          <w:sz w:val="28"/>
          <w:szCs w:val="28"/>
          <w:lang w:eastAsia="en-US"/>
        </w:rPr>
        <w:t>макросомів</w:t>
      </w:r>
      <w:proofErr w:type="spellEnd"/>
      <w:r w:rsidRPr="00520861">
        <w:rPr>
          <w:rFonts w:eastAsia="Calibri"/>
          <w:color w:val="FF0000"/>
          <w:sz w:val="28"/>
          <w:szCs w:val="28"/>
          <w:lang w:eastAsia="en-US"/>
        </w:rPr>
        <w:t xml:space="preserve"> </w:t>
      </w:r>
      <w:r w:rsidRPr="00520861">
        <w:rPr>
          <w:rFonts w:eastAsia="Calibri"/>
          <w:sz w:val="28"/>
          <w:szCs w:val="28"/>
          <w:lang w:eastAsia="en-US"/>
        </w:rPr>
        <w:t xml:space="preserve">(середній вік – 21,0 рік;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20, 9 та 29 років відповідно), які не мали ні передчасного прорізування, ані затримки прорізування тимчасових зубів. До групи порівняння 2 (ГП ІІ) було віднесено 21 особу-</w:t>
      </w:r>
      <w:proofErr w:type="spellStart"/>
      <w:r w:rsidRPr="00520861">
        <w:rPr>
          <w:rFonts w:eastAsia="Calibri"/>
          <w:sz w:val="28"/>
          <w:szCs w:val="28"/>
          <w:lang w:eastAsia="en-US"/>
        </w:rPr>
        <w:t>нормосома</w:t>
      </w:r>
      <w:proofErr w:type="spellEnd"/>
      <w:r w:rsidRPr="00520861">
        <w:rPr>
          <w:rFonts w:eastAsia="Calibri"/>
          <w:sz w:val="28"/>
          <w:szCs w:val="28"/>
          <w:lang w:eastAsia="en-US"/>
        </w:rPr>
        <w:t xml:space="preserve"> (середній вік – 20,3 року; медіана </w:t>
      </w:r>
      <w:r w:rsidRPr="00520861">
        <w:rPr>
          <w:rFonts w:eastAsia="Calibri"/>
          <w:i/>
          <w:sz w:val="28"/>
          <w:szCs w:val="28"/>
          <w:lang w:eastAsia="en-US"/>
        </w:rPr>
        <w:t>M</w:t>
      </w:r>
      <w:r w:rsidRPr="00520861">
        <w:rPr>
          <w:rFonts w:eastAsia="Calibri"/>
          <w:sz w:val="28"/>
          <w:szCs w:val="28"/>
          <w:lang w:eastAsia="en-US"/>
        </w:rPr>
        <w:t xml:space="preserve">, </w:t>
      </w:r>
      <w:r w:rsidRPr="00520861">
        <w:rPr>
          <w:rFonts w:eastAsia="Calibri"/>
          <w:sz w:val="28"/>
          <w:szCs w:val="28"/>
          <w:lang w:eastAsia="en-US"/>
        </w:rPr>
        <w:br/>
        <w:t xml:space="preserve">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21, 15 та 22 роки відповідно)</w:t>
      </w:r>
      <w:r w:rsidRPr="00520861">
        <w:rPr>
          <w:rFonts w:eastAsia="Calibri"/>
          <w:color w:val="FF0000"/>
          <w:sz w:val="28"/>
          <w:szCs w:val="28"/>
          <w:lang w:eastAsia="en-US"/>
        </w:rPr>
        <w:t xml:space="preserve"> </w:t>
      </w:r>
      <w:r w:rsidRPr="00520861">
        <w:rPr>
          <w:rFonts w:eastAsia="Calibri"/>
          <w:sz w:val="28"/>
          <w:szCs w:val="28"/>
          <w:lang w:eastAsia="en-US"/>
        </w:rPr>
        <w:t>і не мали ні передчасного прорізування, ані затримки прорізування тимчасових зубів.</w:t>
      </w:r>
    </w:p>
    <w:p w14:paraId="7A1E6903" w14:textId="77777777" w:rsidR="00CF641C" w:rsidRPr="00520861" w:rsidRDefault="00CF641C" w:rsidP="00292D2E">
      <w:pPr>
        <w:widowControl w:val="0"/>
        <w:spacing w:line="360" w:lineRule="auto"/>
        <w:ind w:firstLine="709"/>
        <w:jc w:val="both"/>
        <w:rPr>
          <w:rFonts w:eastAsia="Calibri"/>
          <w:b/>
          <w:sz w:val="28"/>
          <w:szCs w:val="28"/>
          <w:u w:val="single"/>
          <w:lang w:eastAsia="en-US"/>
        </w:rPr>
      </w:pPr>
      <w:r w:rsidRPr="00520861">
        <w:rPr>
          <w:rFonts w:eastAsia="Calibri"/>
          <w:sz w:val="28"/>
          <w:szCs w:val="28"/>
          <w:lang w:eastAsia="en-US"/>
        </w:rPr>
        <w:lastRenderedPageBreak/>
        <w:t xml:space="preserve">З метою вивчення асоціації між поліморфними варіантами генів </w:t>
      </w:r>
      <w:r w:rsidRPr="00520861">
        <w:rPr>
          <w:rFonts w:eastAsia="Calibri"/>
          <w:i/>
          <w:sz w:val="28"/>
          <w:szCs w:val="28"/>
          <w:lang w:eastAsia="en-US"/>
        </w:rPr>
        <w:t xml:space="preserve">CYP19A1: </w:t>
      </w:r>
      <w:r w:rsidRPr="00520861">
        <w:rPr>
          <w:rFonts w:eastAsia="Calibri"/>
          <w:sz w:val="28"/>
          <w:szCs w:val="28"/>
          <w:lang w:eastAsia="en-US"/>
        </w:rPr>
        <w:t xml:space="preserve">[rs2414096, rs936306], </w:t>
      </w:r>
      <w:r w:rsidRPr="00520861">
        <w:rPr>
          <w:rFonts w:eastAsia="Calibri"/>
          <w:i/>
          <w:sz w:val="28"/>
          <w:szCs w:val="28"/>
          <w:lang w:eastAsia="en-US"/>
        </w:rPr>
        <w:t>ESR1:</w:t>
      </w:r>
      <w:r w:rsidRPr="00520861">
        <w:rPr>
          <w:rFonts w:eastAsia="Calibri"/>
          <w:sz w:val="28"/>
          <w:szCs w:val="28"/>
          <w:lang w:eastAsia="en-US"/>
        </w:rPr>
        <w:t xml:space="preserve"> [rs2234693, rs9340799], </w:t>
      </w:r>
      <w:r w:rsidRPr="00520861">
        <w:rPr>
          <w:rFonts w:eastAsia="Calibri"/>
          <w:i/>
          <w:sz w:val="28"/>
          <w:szCs w:val="28"/>
          <w:lang w:eastAsia="en-US"/>
        </w:rPr>
        <w:t>RANKL:</w:t>
      </w:r>
      <w:r w:rsidRPr="00520861">
        <w:rPr>
          <w:rFonts w:eastAsia="Calibri"/>
          <w:sz w:val="28"/>
          <w:szCs w:val="28"/>
          <w:lang w:eastAsia="en-US"/>
        </w:rPr>
        <w:t xml:space="preserve"> [rs9594738, rs9594759],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 xml:space="preserve">: </w:t>
      </w:r>
      <w:r w:rsidRPr="00520861">
        <w:rPr>
          <w:rFonts w:eastAsia="Calibri"/>
          <w:sz w:val="28"/>
          <w:szCs w:val="28"/>
          <w:lang w:eastAsia="en-US"/>
        </w:rPr>
        <w:t xml:space="preserve">[rs1143627], </w:t>
      </w:r>
      <w:r w:rsidRPr="00520861">
        <w:rPr>
          <w:rFonts w:eastAsia="Calibri"/>
          <w:i/>
          <w:sz w:val="28"/>
          <w:szCs w:val="28"/>
          <w:lang w:eastAsia="en-US"/>
        </w:rPr>
        <w:t>IL6:</w:t>
      </w:r>
      <w:r w:rsidRPr="00520861">
        <w:rPr>
          <w:rFonts w:eastAsia="Calibri"/>
          <w:sz w:val="28"/>
          <w:szCs w:val="28"/>
          <w:lang w:eastAsia="en-US"/>
        </w:rPr>
        <w:t xml:space="preserve"> [rs1800796] і </w:t>
      </w:r>
      <w:r w:rsidRPr="00520861">
        <w:rPr>
          <w:rFonts w:eastAsia="Calibri"/>
          <w:i/>
          <w:sz w:val="28"/>
          <w:szCs w:val="28"/>
          <w:lang w:eastAsia="en-US"/>
        </w:rPr>
        <w:t>IL10:</w:t>
      </w:r>
      <w:r w:rsidRPr="00520861">
        <w:rPr>
          <w:rFonts w:eastAsia="Calibri"/>
          <w:sz w:val="28"/>
          <w:szCs w:val="28"/>
          <w:lang w:eastAsia="en-US"/>
        </w:rPr>
        <w:t xml:space="preserve"> [rs1800896] та формуванням </w:t>
      </w:r>
      <w:proofErr w:type="spellStart"/>
      <w:r w:rsidRPr="00520861">
        <w:rPr>
          <w:rFonts w:eastAsia="Calibri"/>
          <w:sz w:val="28"/>
          <w:szCs w:val="28"/>
          <w:lang w:eastAsia="en-US"/>
        </w:rPr>
        <w:t>зубо</w:t>
      </w:r>
      <w:proofErr w:type="spellEnd"/>
      <w:r w:rsidRPr="00520861">
        <w:rPr>
          <w:rFonts w:eastAsia="Calibri"/>
          <w:sz w:val="28"/>
          <w:szCs w:val="28"/>
          <w:lang w:eastAsia="en-US"/>
        </w:rPr>
        <w:t xml:space="preserve">-щелепних порушень в осіб популяції Харківської області та прилеглих областей, </w:t>
      </w:r>
      <w:r w:rsidRPr="00520861">
        <w:rPr>
          <w:rFonts w:eastAsia="Calibri"/>
          <w:sz w:val="28"/>
          <w:szCs w:val="28"/>
          <w:lang w:eastAsia="en-US"/>
        </w:rPr>
        <w:br/>
        <w:t xml:space="preserve">народжених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МГ методом обстежено 161 особу різного віку (від 4 до 55 років) та статі.</w:t>
      </w:r>
    </w:p>
    <w:p w14:paraId="7BAF8A6D"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Було проведене розділення учасників дослідження на групи за значенням їхнього дентального естетичного індексу (DAI) [278], який характеризує тяжкість </w:t>
      </w:r>
      <w:proofErr w:type="spellStart"/>
      <w:r w:rsidRPr="00520861">
        <w:rPr>
          <w:rFonts w:eastAsia="Calibri"/>
          <w:sz w:val="28"/>
          <w:szCs w:val="28"/>
          <w:lang w:eastAsia="en-US"/>
        </w:rPr>
        <w:t>зубощелепних</w:t>
      </w:r>
      <w:proofErr w:type="spellEnd"/>
      <w:r w:rsidRPr="00520861">
        <w:rPr>
          <w:rFonts w:eastAsia="Calibri"/>
          <w:sz w:val="28"/>
          <w:szCs w:val="28"/>
          <w:lang w:eastAsia="en-US"/>
        </w:rPr>
        <w:t xml:space="preserve"> аномалій (ЗЩА) і визначає потребу в </w:t>
      </w:r>
      <w:proofErr w:type="spellStart"/>
      <w:r w:rsidRPr="00520861">
        <w:rPr>
          <w:rFonts w:eastAsia="Calibri"/>
          <w:sz w:val="28"/>
          <w:szCs w:val="28"/>
          <w:lang w:eastAsia="en-US"/>
        </w:rPr>
        <w:t>ортодонтичному</w:t>
      </w:r>
      <w:proofErr w:type="spellEnd"/>
      <w:r w:rsidRPr="00520861">
        <w:rPr>
          <w:rFonts w:eastAsia="Calibri"/>
          <w:sz w:val="28"/>
          <w:szCs w:val="28"/>
          <w:lang w:eastAsia="en-US"/>
        </w:rPr>
        <w:t xml:space="preserve"> лікуванні. Уважалося, що при значеннях DAI, які дорівнюють або менші за 25 балів, порушення прикусу незначні та лікування або не потрібне, або пацієнт потребує незначного втручання. При значеннях DAI у 26 – 30 балів існують очевидні порушення прикусу та потреба в лікуванні. При значеннях індексу 31 – 35 балів існує нагальна потреба в лікуванні, а при значеннях вищих за 36 балів лікування є обов’язковим. У межах цього дослідження осіб, чий DAI був вищим за 35 балів, виявлено не було.</w:t>
      </w:r>
    </w:p>
    <w:p w14:paraId="185E7EFF"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Чисельність групи осіб,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та в яких DAI був оцінений між 26 і 30 балами, дорівнювала 79 та умовно була названа нами групою з </w:t>
      </w:r>
      <w:r w:rsidRPr="00520861">
        <w:rPr>
          <w:rFonts w:eastAsia="Calibri"/>
          <w:sz w:val="28"/>
          <w:szCs w:val="28"/>
          <w:lang w:eastAsia="en-US"/>
        </w:rPr>
        <w:br/>
        <w:t xml:space="preserve">помірними порушеннями прикусу (ГПП 26-30; середній вік – 21,4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22,9 та 29,5 року відповідно). Група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чий DAI був у межах 31 – 35 балів, складалася з 14 осіб та одержала умовну назву групи із значними порушеннями прикусу (ГЗП 31-35; середній вік – 28,8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28, 16,5 та 43 роки відповідно). У межах цього дослідження осіб, чий DAI був вищим за 35 балів, виявлено не було.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(51 особа), у яких значення DAI було меншим або дорівнювало 25 і вважалося умовною нормою, складали групу порівняння І (ГП І; середній вік – 18,7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16, 7,7 та 28 років відповідно). Група порівняння ІІ (ГП ІІ; середній вік – 22,2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20, 10 та 22 роки відповідно)</w:t>
      </w:r>
      <w:r w:rsidRPr="00520861">
        <w:rPr>
          <w:rFonts w:eastAsia="Calibri"/>
          <w:color w:val="FF0000"/>
          <w:sz w:val="28"/>
          <w:szCs w:val="28"/>
          <w:lang w:eastAsia="en-US"/>
        </w:rPr>
        <w:t xml:space="preserve"> </w:t>
      </w:r>
      <w:r w:rsidRPr="00520861">
        <w:rPr>
          <w:rFonts w:eastAsia="Calibri"/>
          <w:sz w:val="28"/>
          <w:szCs w:val="28"/>
          <w:lang w:eastAsia="en-US"/>
        </w:rPr>
        <w:t>складалася з 17 осіб-</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чий DAI також дорівнював або був меншим за 25 балів.</w:t>
      </w:r>
    </w:p>
    <w:p w14:paraId="7C3AB8CD"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Оскільки вищеназваний індекс був розроблений для оцінювання тяжкості ЗЩА </w:t>
      </w:r>
      <w:r w:rsidRPr="00520861">
        <w:rPr>
          <w:rFonts w:eastAsia="Calibri"/>
          <w:sz w:val="28"/>
          <w:szCs w:val="28"/>
          <w:lang w:eastAsia="en-US"/>
        </w:rPr>
        <w:lastRenderedPageBreak/>
        <w:t xml:space="preserve">в осіб у період постійного та змінного прикусу, ми його не могли використовувати для оцінювання порушень у дітей у період тимчасового прикусу. У ВП-ІІ та ВП-ІІІ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фізіологічними видами прикусу ми відносили до ГП-І, а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які мали </w:t>
      </w:r>
      <w:proofErr w:type="spellStart"/>
      <w:r w:rsidRPr="00520861">
        <w:rPr>
          <w:rFonts w:eastAsia="Calibri"/>
          <w:sz w:val="28"/>
          <w:szCs w:val="28"/>
          <w:lang w:eastAsia="en-US"/>
        </w:rPr>
        <w:t>зубо</w:t>
      </w:r>
      <w:proofErr w:type="spellEnd"/>
      <w:r w:rsidRPr="00520861">
        <w:rPr>
          <w:rFonts w:eastAsia="Calibri"/>
          <w:sz w:val="28"/>
          <w:szCs w:val="28"/>
          <w:lang w:eastAsia="en-US"/>
        </w:rPr>
        <w:t xml:space="preserve">-щелепні порушення, відносили до ГПП 26-30, бо значення </w:t>
      </w:r>
      <w:r w:rsidRPr="00520861">
        <w:rPr>
          <w:rFonts w:eastAsia="Calibri"/>
          <w:sz w:val="28"/>
          <w:szCs w:val="28"/>
          <w:lang w:eastAsia="en-US"/>
        </w:rPr>
        <w:br/>
        <w:t xml:space="preserve">індексу DAI понад 30 передбачають значні порушення ЗЩС. Такі порушення в тимчасовому прикусі, як правило, ще не встигають сформуватися. Значні порушення можуть бути виявлені, наприклад, у дітей із уродженою патологією, але таких дітей ми в дослідження не включали. </w:t>
      </w:r>
    </w:p>
    <w:p w14:paraId="73D08B34"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Діти-</w:t>
      </w:r>
      <w:proofErr w:type="spellStart"/>
      <w:r w:rsidRPr="00520861">
        <w:rPr>
          <w:rFonts w:eastAsia="Calibri"/>
          <w:sz w:val="28"/>
          <w:szCs w:val="28"/>
          <w:lang w:eastAsia="en-US"/>
        </w:rPr>
        <w:t>нормосоми</w:t>
      </w:r>
      <w:proofErr w:type="spellEnd"/>
      <w:r w:rsidRPr="00520861">
        <w:rPr>
          <w:rFonts w:eastAsia="Calibri"/>
          <w:sz w:val="28"/>
          <w:szCs w:val="28"/>
          <w:lang w:eastAsia="en-US"/>
        </w:rPr>
        <w:t xml:space="preserve"> в період тимчасового прикусу, які не мали ЗША, були віднесені до ГП-ІІ.</w:t>
      </w:r>
    </w:p>
    <w:p w14:paraId="2279381D" w14:textId="77777777" w:rsidR="00CF641C" w:rsidRPr="00520861" w:rsidRDefault="00CF641C" w:rsidP="00292D2E">
      <w:pPr>
        <w:widowControl w:val="0"/>
        <w:spacing w:line="360" w:lineRule="auto"/>
        <w:ind w:firstLine="720"/>
        <w:jc w:val="both"/>
        <w:rPr>
          <w:color w:val="000000"/>
          <w:sz w:val="28"/>
          <w:szCs w:val="28"/>
        </w:rPr>
      </w:pPr>
      <w:r w:rsidRPr="00520861">
        <w:rPr>
          <w:color w:val="000000"/>
          <w:sz w:val="28"/>
          <w:szCs w:val="28"/>
        </w:rPr>
        <w:t xml:space="preserve">З метою виявлення асоціації між поліморфними варіантами генів </w:t>
      </w:r>
      <w:r w:rsidRPr="00520861">
        <w:rPr>
          <w:i/>
          <w:color w:val="000000"/>
          <w:sz w:val="28"/>
          <w:szCs w:val="28"/>
        </w:rPr>
        <w:t>CYP19A1</w:t>
      </w:r>
      <w:r w:rsidRPr="00520861">
        <w:rPr>
          <w:color w:val="000000"/>
          <w:sz w:val="28"/>
          <w:szCs w:val="28"/>
        </w:rPr>
        <w:t xml:space="preserve"> [rs2414096, rs936306], </w:t>
      </w:r>
      <w:r w:rsidRPr="00520861">
        <w:rPr>
          <w:i/>
          <w:color w:val="000000"/>
          <w:sz w:val="28"/>
          <w:szCs w:val="28"/>
        </w:rPr>
        <w:t xml:space="preserve">ESR1 </w:t>
      </w:r>
      <w:r w:rsidRPr="00520861">
        <w:rPr>
          <w:color w:val="000000"/>
          <w:sz w:val="28"/>
          <w:szCs w:val="28"/>
        </w:rPr>
        <w:t xml:space="preserve">[rs2234693, rs9340799], </w:t>
      </w:r>
      <w:r w:rsidRPr="00520861">
        <w:rPr>
          <w:i/>
          <w:color w:val="000000"/>
          <w:sz w:val="28"/>
          <w:szCs w:val="28"/>
        </w:rPr>
        <w:t>RANKL</w:t>
      </w:r>
      <w:r w:rsidRPr="00520861">
        <w:rPr>
          <w:color w:val="000000"/>
          <w:sz w:val="28"/>
          <w:szCs w:val="28"/>
        </w:rPr>
        <w:t xml:space="preserve"> [rs9594738, rs9594759], </w:t>
      </w:r>
      <w:r w:rsidRPr="00520861">
        <w:rPr>
          <w:i/>
          <w:color w:val="000000"/>
          <w:sz w:val="28"/>
          <w:szCs w:val="28"/>
        </w:rPr>
        <w:t>IL1</w:t>
      </w:r>
      <w:r w:rsidRPr="00520861">
        <w:rPr>
          <w:i/>
          <w:color w:val="000000"/>
          <w:sz w:val="28"/>
          <w:szCs w:val="28"/>
        </w:rPr>
        <w:sym w:font="Symbol" w:char="F062"/>
      </w:r>
      <w:r w:rsidRPr="00520861">
        <w:rPr>
          <w:color w:val="000000"/>
          <w:sz w:val="28"/>
          <w:szCs w:val="28"/>
        </w:rPr>
        <w:t xml:space="preserve"> [rs1143627], </w:t>
      </w:r>
      <w:r w:rsidRPr="00520861">
        <w:rPr>
          <w:i/>
          <w:color w:val="000000"/>
          <w:sz w:val="28"/>
          <w:szCs w:val="28"/>
        </w:rPr>
        <w:t>IL10</w:t>
      </w:r>
      <w:r w:rsidRPr="00520861">
        <w:rPr>
          <w:color w:val="000000"/>
          <w:sz w:val="28"/>
          <w:szCs w:val="28"/>
        </w:rPr>
        <w:t xml:space="preserve"> [rs1800896], IL6 [rs1800795] та розвитком </w:t>
      </w:r>
      <w:r w:rsidRPr="00520861">
        <w:rPr>
          <w:rFonts w:eastAsia="Calibri"/>
          <w:sz w:val="28"/>
          <w:szCs w:val="28"/>
          <w:lang w:eastAsia="en-US"/>
        </w:rPr>
        <w:t xml:space="preserve">РДК </w:t>
      </w:r>
      <w:r w:rsidRPr="00520861">
        <w:rPr>
          <w:color w:val="000000"/>
          <w:sz w:val="28"/>
          <w:szCs w:val="28"/>
        </w:rPr>
        <w:t xml:space="preserve">в осіб, які народилися </w:t>
      </w:r>
      <w:proofErr w:type="spellStart"/>
      <w:r w:rsidRPr="00520861">
        <w:rPr>
          <w:color w:val="000000"/>
          <w:sz w:val="28"/>
          <w:szCs w:val="28"/>
        </w:rPr>
        <w:t>макросомами</w:t>
      </w:r>
      <w:proofErr w:type="spellEnd"/>
      <w:r w:rsidRPr="00520861">
        <w:rPr>
          <w:color w:val="000000"/>
          <w:sz w:val="28"/>
          <w:szCs w:val="28"/>
        </w:rPr>
        <w:t xml:space="preserve">, МГ </w:t>
      </w:r>
      <w:r w:rsidRPr="00520861">
        <w:rPr>
          <w:rFonts w:eastAsia="Calibri"/>
          <w:sz w:val="28"/>
          <w:szCs w:val="28"/>
          <w:lang w:eastAsia="en-US"/>
        </w:rPr>
        <w:t>методом були обстежені 163 особи: 59 осіб різної статі та віку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у яких був зафіксований ранній дитячий карієс і які склали основну групу з РДК (ОГ</w:t>
      </w:r>
      <w:r w:rsidR="00B8261D" w:rsidRPr="00520861">
        <w:rPr>
          <w:rFonts w:eastAsia="Calibri"/>
          <w:sz w:val="28"/>
          <w:szCs w:val="28"/>
          <w:lang w:eastAsia="en-US"/>
        </w:rPr>
        <w:t xml:space="preserve"> </w:t>
      </w:r>
      <w:r w:rsidRPr="00520861">
        <w:rPr>
          <w:rFonts w:eastAsia="Calibri"/>
          <w:sz w:val="28"/>
          <w:szCs w:val="28"/>
          <w:lang w:eastAsia="en-US"/>
        </w:rPr>
        <w:t>РДК;</w:t>
      </w:r>
      <w:r w:rsidRPr="00520861">
        <w:rPr>
          <w:rFonts w:eastAsia="Calibri"/>
          <w:color w:val="FF0000"/>
          <w:sz w:val="28"/>
          <w:szCs w:val="28"/>
          <w:lang w:eastAsia="en-US"/>
        </w:rPr>
        <w:t xml:space="preserve"> </w:t>
      </w:r>
      <w:r w:rsidRPr="00520861">
        <w:rPr>
          <w:rFonts w:eastAsia="Calibri"/>
          <w:sz w:val="28"/>
          <w:szCs w:val="28"/>
          <w:lang w:eastAsia="en-US"/>
        </w:rPr>
        <w:t xml:space="preserve">середній вік – 19,2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16, 7 та 27 років відповідно); 79 осіб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у яких РДК зафіксований не був, були віднесені до групи порівняння 1 (ГП-1; середній вік – 22,5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22, 11,75 та 30,25 року відповідно) та 25 осіб відповідних статі та віку, які не мали РДК та народилися з МРП, що відповідали нормі, були віднесені до групи порівняння 2 (ГП-2;</w:t>
      </w:r>
      <w:r w:rsidRPr="00520861">
        <w:rPr>
          <w:rFonts w:eastAsia="Calibri"/>
          <w:color w:val="FF0000"/>
          <w:sz w:val="28"/>
          <w:szCs w:val="28"/>
          <w:lang w:eastAsia="en-US"/>
        </w:rPr>
        <w:t xml:space="preserve"> </w:t>
      </w:r>
      <w:r w:rsidRPr="00520861">
        <w:rPr>
          <w:rFonts w:eastAsia="Calibri"/>
          <w:sz w:val="28"/>
          <w:szCs w:val="28"/>
          <w:lang w:eastAsia="en-US"/>
        </w:rPr>
        <w:t xml:space="preserve">середній вік – 22,3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20,5, 15 та 22 роки відповідно).</w:t>
      </w:r>
    </w:p>
    <w:p w14:paraId="1F6A6B82"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З метою дослідження впливу варіантів генів</w:t>
      </w:r>
      <w:r w:rsidRPr="00520861">
        <w:rPr>
          <w:rFonts w:eastAsia="Calibri"/>
          <w:i/>
          <w:sz w:val="28"/>
          <w:szCs w:val="28"/>
          <w:lang w:eastAsia="en-US"/>
        </w:rPr>
        <w:t xml:space="preserve"> CYP19A1</w:t>
      </w:r>
      <w:r w:rsidRPr="00520861">
        <w:rPr>
          <w:rFonts w:eastAsia="Calibri"/>
          <w:sz w:val="28"/>
          <w:szCs w:val="28"/>
          <w:lang w:eastAsia="en-US"/>
        </w:rPr>
        <w:t xml:space="preserve">: [rs2414096, rs936306], </w:t>
      </w:r>
      <w:r w:rsidRPr="00520861">
        <w:rPr>
          <w:rFonts w:eastAsia="Calibri"/>
          <w:i/>
          <w:sz w:val="28"/>
          <w:szCs w:val="28"/>
          <w:lang w:eastAsia="en-US"/>
        </w:rPr>
        <w:t>ESR1:</w:t>
      </w:r>
      <w:r w:rsidRPr="00520861">
        <w:rPr>
          <w:rFonts w:eastAsia="Calibri"/>
          <w:sz w:val="28"/>
          <w:szCs w:val="28"/>
          <w:lang w:eastAsia="en-US"/>
        </w:rPr>
        <w:t xml:space="preserve"> [rs2234693, rs9340799], </w:t>
      </w:r>
      <w:r w:rsidRPr="00520861">
        <w:rPr>
          <w:rFonts w:eastAsia="Calibri"/>
          <w:i/>
          <w:sz w:val="28"/>
          <w:szCs w:val="28"/>
          <w:lang w:eastAsia="en-US"/>
        </w:rPr>
        <w:t>RANKL:</w:t>
      </w:r>
      <w:r w:rsidRPr="00520861">
        <w:rPr>
          <w:rFonts w:eastAsia="Calibri"/>
          <w:sz w:val="28"/>
          <w:szCs w:val="28"/>
          <w:lang w:eastAsia="en-US"/>
        </w:rPr>
        <w:t xml:space="preserve"> [rs9594738, rs9594759], </w:t>
      </w:r>
      <w:r w:rsidRPr="00520861">
        <w:rPr>
          <w:rFonts w:eastAsia="Calibri"/>
          <w:i/>
          <w:sz w:val="28"/>
          <w:szCs w:val="28"/>
          <w:lang w:eastAsia="en-US"/>
        </w:rPr>
        <w:t>VDR</w:t>
      </w:r>
      <w:r w:rsidRPr="00520861">
        <w:rPr>
          <w:rFonts w:eastAsia="Calibri"/>
          <w:sz w:val="28"/>
          <w:szCs w:val="28"/>
          <w:lang w:eastAsia="en-US"/>
        </w:rPr>
        <w:t xml:space="preserve">: [rs1544410, rs10735810], </w:t>
      </w:r>
      <w:r w:rsidRPr="00520861">
        <w:rPr>
          <w:rFonts w:eastAsia="Calibri"/>
          <w:i/>
          <w:sz w:val="28"/>
          <w:szCs w:val="28"/>
          <w:lang w:eastAsia="en-US"/>
        </w:rPr>
        <w:t>IL6</w:t>
      </w:r>
      <w:r w:rsidRPr="00520861">
        <w:rPr>
          <w:rFonts w:eastAsia="Calibri"/>
          <w:sz w:val="28"/>
          <w:szCs w:val="28"/>
          <w:lang w:eastAsia="en-US"/>
        </w:rPr>
        <w:t xml:space="preserve">: [rs1800795],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w:t>
      </w:r>
      <w:r w:rsidRPr="00520861">
        <w:rPr>
          <w:rFonts w:eastAsia="Calibri"/>
          <w:sz w:val="28"/>
          <w:szCs w:val="28"/>
          <w:lang w:eastAsia="en-US"/>
        </w:rPr>
        <w:t xml:space="preserve"> [rs1143627] та </w:t>
      </w:r>
      <w:r w:rsidRPr="00520861">
        <w:rPr>
          <w:rFonts w:eastAsia="Calibri"/>
          <w:i/>
          <w:sz w:val="28"/>
          <w:szCs w:val="28"/>
          <w:lang w:eastAsia="en-US"/>
        </w:rPr>
        <w:t>IL10:</w:t>
      </w:r>
      <w:r w:rsidRPr="00520861">
        <w:rPr>
          <w:rFonts w:eastAsia="Calibri"/>
          <w:sz w:val="28"/>
          <w:szCs w:val="28"/>
          <w:lang w:eastAsia="en-US"/>
        </w:rPr>
        <w:t xml:space="preserve"> [rs1800896] на інтенсивність карієсу постійних зубів в осіб харківської популяції та прилеглих областей, які були народжені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МГ методом було обстежено 99 осіб різного віку (від 11 до 55 років) та статі.</w:t>
      </w:r>
    </w:p>
    <w:p w14:paraId="50AB0BD4"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З метою визначення можливих генетичних передумов розвитку різної </w:t>
      </w:r>
      <w:r w:rsidRPr="00520861">
        <w:rPr>
          <w:rFonts w:eastAsia="Calibri"/>
          <w:sz w:val="28"/>
          <w:szCs w:val="28"/>
          <w:lang w:eastAsia="en-US"/>
        </w:rPr>
        <w:br/>
      </w:r>
      <w:r w:rsidRPr="00520861">
        <w:rPr>
          <w:rFonts w:eastAsia="Calibri"/>
          <w:sz w:val="28"/>
          <w:szCs w:val="28"/>
          <w:lang w:eastAsia="en-US"/>
        </w:rPr>
        <w:lastRenderedPageBreak/>
        <w:t xml:space="preserve">інтенсивності каріозного процесу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було проведене розділення учасників МГ дослідження на групи за результатами визначення інтенсивності розвитку карієсу постійних зубів. Це визначення проводилося за </w:t>
      </w:r>
      <w:r w:rsidRPr="00520861">
        <w:rPr>
          <w:rFonts w:eastAsia="Calibri"/>
          <w:sz w:val="28"/>
          <w:szCs w:val="28"/>
          <w:lang w:eastAsia="en-US"/>
        </w:rPr>
        <w:br/>
        <w:t>загальноприйнятими правилами шляхом підрахунку кількості каріозних, пломбованих і видалених зубів (КПВ) у кожного учасника дослідження [124].</w:t>
      </w:r>
    </w:p>
    <w:p w14:paraId="4CF1A74C"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Усі учасники дослідження різних ВП були розділені на групи із низькою, середньою та високою інтенсивністю карієсу зубів. </w:t>
      </w:r>
      <w:r w:rsidRPr="00520861">
        <w:rPr>
          <w:sz w:val="28"/>
          <w:szCs w:val="28"/>
        </w:rPr>
        <w:t>Для оцінювання стану стоматологічного здоров’я ВООЗ пропонує два загальноприйняті вікові періоди – це 12 років та 34 – 44 роки [124]. У ці періоди показники КПВ відповідають певним рівням розвитку каріозного процесу. П</w:t>
      </w:r>
      <w:r w:rsidRPr="00520861">
        <w:rPr>
          <w:rFonts w:eastAsia="Calibri"/>
          <w:sz w:val="28"/>
          <w:szCs w:val="28"/>
          <w:lang w:eastAsia="en-US"/>
        </w:rPr>
        <w:t xml:space="preserve">ри оцінюванні інтенсивності каріозного процесу для </w:t>
      </w:r>
      <w:r w:rsidRPr="00520861">
        <w:rPr>
          <w:rFonts w:eastAsia="Calibri"/>
          <w:sz w:val="28"/>
          <w:szCs w:val="28"/>
          <w:lang w:eastAsia="en-US"/>
        </w:rPr>
        <w:br/>
        <w:t xml:space="preserve">неіндексних вікових періодів у публікаціях зустрічаються діаметрально різні значення індексів КПВ </w:t>
      </w:r>
      <w:r w:rsidRPr="00520861">
        <w:rPr>
          <w:rFonts w:eastAsia="Calibri"/>
          <w:sz w:val="28"/>
          <w:szCs w:val="28"/>
          <w:shd w:val="clear" w:color="auto" w:fill="FFFFFF"/>
          <w:lang w:eastAsia="en-US"/>
        </w:rPr>
        <w:t>[144, 210</w:t>
      </w:r>
      <w:r w:rsidRPr="00520861">
        <w:rPr>
          <w:rFonts w:eastAsia="Calibri"/>
          <w:sz w:val="28"/>
          <w:szCs w:val="28"/>
          <w:lang w:eastAsia="en-US"/>
        </w:rPr>
        <w:t>].</w:t>
      </w:r>
    </w:p>
    <w:p w14:paraId="6DABDBEF" w14:textId="77777777" w:rsidR="00CF641C" w:rsidRPr="00520861" w:rsidRDefault="00CF641C" w:rsidP="00292D2E">
      <w:pPr>
        <w:widowControl w:val="0"/>
        <w:spacing w:line="360" w:lineRule="auto"/>
        <w:ind w:firstLine="709"/>
        <w:contextualSpacing/>
        <w:jc w:val="both"/>
        <w:rPr>
          <w:sz w:val="28"/>
          <w:szCs w:val="28"/>
        </w:rPr>
      </w:pPr>
      <w:r w:rsidRPr="00520861">
        <w:rPr>
          <w:rFonts w:eastAsia="Calibri"/>
          <w:sz w:val="28"/>
          <w:szCs w:val="28"/>
          <w:lang w:eastAsia="en-US"/>
        </w:rPr>
        <w:t xml:space="preserve">У нашому дослідженні для визначення рівня інтенсивності карієсу в осіб різного віку ми орієнтувалися на округлені до цілих значення лінійної інтерполяції загальноприйнятих даних про інтенсивність карієсу в осіб для вікових груп 12 та </w:t>
      </w:r>
      <w:r w:rsidRPr="00520861">
        <w:rPr>
          <w:rFonts w:eastAsia="Calibri"/>
          <w:sz w:val="28"/>
          <w:szCs w:val="28"/>
          <w:lang w:eastAsia="en-US"/>
        </w:rPr>
        <w:br/>
        <w:t>35 – 45 років. У кожному ВП також ураховували середнє квадратичне відхилення </w:t>
      </w:r>
      <w:r w:rsidRPr="00520861">
        <w:rPr>
          <w:rFonts w:eastAsia="Calibri"/>
          <w:color w:val="333333"/>
          <w:sz w:val="28"/>
          <w:szCs w:val="28"/>
          <w:shd w:val="clear" w:color="auto" w:fill="FFFFFF"/>
          <w:lang w:eastAsia="en-US"/>
        </w:rPr>
        <w:t xml:space="preserve">(σ) </w:t>
      </w:r>
      <w:r w:rsidRPr="00520861">
        <w:rPr>
          <w:rFonts w:eastAsia="Calibri"/>
          <w:sz w:val="28"/>
          <w:szCs w:val="28"/>
          <w:lang w:eastAsia="en-US"/>
        </w:rPr>
        <w:t xml:space="preserve">від середнього значення інтенсивності карієсу </w:t>
      </w:r>
      <w:r w:rsidRPr="00520861">
        <w:rPr>
          <w:rFonts w:eastAsia="Calibri"/>
          <w:color w:val="333333"/>
          <w:sz w:val="28"/>
          <w:szCs w:val="28"/>
          <w:shd w:val="clear" w:color="auto" w:fill="FFFFFF"/>
          <w:lang w:eastAsia="en-US"/>
        </w:rPr>
        <w:t xml:space="preserve">(КПВ) </w:t>
      </w:r>
      <w:r w:rsidRPr="00520861">
        <w:rPr>
          <w:rFonts w:eastAsia="Calibri"/>
          <w:sz w:val="28"/>
          <w:szCs w:val="28"/>
          <w:shd w:val="clear" w:color="auto" w:fill="FFFFFF"/>
          <w:lang w:eastAsia="en-US"/>
        </w:rPr>
        <w:t>[144, 210].</w:t>
      </w:r>
      <w:r w:rsidRPr="00520861">
        <w:rPr>
          <w:sz w:val="28"/>
          <w:szCs w:val="28"/>
        </w:rPr>
        <w:t xml:space="preserve"> </w:t>
      </w:r>
    </w:p>
    <w:p w14:paraId="75214B0B"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Градація «дуже низький рівень» була об’єднана нами із градацією «низький рівень», а градація «дуже високий» – з градацією «високий рівень інтенсивності </w:t>
      </w:r>
      <w:r w:rsidRPr="00520861">
        <w:rPr>
          <w:rFonts w:eastAsia="Calibri"/>
          <w:sz w:val="28"/>
          <w:szCs w:val="28"/>
          <w:lang w:eastAsia="en-US"/>
        </w:rPr>
        <w:br/>
        <w:t>карієсу». Значення, які в нашому дослідженні відповідали «низькому», «середньому» та «високому» рівням інтенсивності карієсу для різних вікових періодів, наведені в табл. 2.5.</w:t>
      </w:r>
    </w:p>
    <w:p w14:paraId="1948E281"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Відзначимо, що такі інтерпольовані значення погоджуються з одержаними іншими українськими науковцями [127, 129, 179, 180] оцінками рівня інтенсивності карієсу в осіб, вік яких не відповідав загальноприйнятим для епідеміологічних </w:t>
      </w:r>
      <w:r w:rsidRPr="00520861">
        <w:rPr>
          <w:rFonts w:eastAsia="Calibri"/>
          <w:sz w:val="28"/>
          <w:szCs w:val="28"/>
          <w:lang w:eastAsia="en-US"/>
        </w:rPr>
        <w:br/>
        <w:t>досліджень віковим періодам.</w:t>
      </w:r>
    </w:p>
    <w:p w14:paraId="1C262BEF"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Були сформовані 3 групи учасників. До основної групи з високою інтенсивністю карієсу постійних зубів (ОГ ВІК) відібрано 49 осіб (середній вік – 31,4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31, 44 та 22 роки відповідно),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p>
    <w:p w14:paraId="7F7024B8" w14:textId="77777777" w:rsidR="00CF641C" w:rsidRPr="00520861" w:rsidRDefault="00CF641C" w:rsidP="00292D2E">
      <w:pPr>
        <w:widowControl w:val="0"/>
        <w:snapToGrid w:val="0"/>
        <w:spacing w:line="360" w:lineRule="auto"/>
        <w:ind w:firstLine="709"/>
        <w:contextualSpacing/>
        <w:jc w:val="right"/>
        <w:rPr>
          <w:i/>
          <w:sz w:val="28"/>
          <w:szCs w:val="28"/>
        </w:rPr>
      </w:pPr>
      <w:r w:rsidRPr="00520861">
        <w:rPr>
          <w:i/>
          <w:sz w:val="28"/>
          <w:szCs w:val="28"/>
        </w:rPr>
        <w:lastRenderedPageBreak/>
        <w:t>Таблиця 2.5</w:t>
      </w:r>
    </w:p>
    <w:p w14:paraId="0C3DB031" w14:textId="77777777" w:rsidR="00CF641C" w:rsidRPr="00520861" w:rsidRDefault="00CF641C" w:rsidP="00292D2E">
      <w:pPr>
        <w:widowControl w:val="0"/>
        <w:snapToGrid w:val="0"/>
        <w:spacing w:line="360" w:lineRule="auto"/>
        <w:ind w:firstLine="709"/>
        <w:contextualSpacing/>
        <w:jc w:val="center"/>
        <w:rPr>
          <w:b/>
          <w:sz w:val="28"/>
          <w:szCs w:val="28"/>
        </w:rPr>
      </w:pPr>
      <w:r w:rsidRPr="00520861">
        <w:rPr>
          <w:b/>
          <w:bCs/>
          <w:iCs/>
          <w:sz w:val="28"/>
          <w:szCs w:val="28"/>
        </w:rPr>
        <w:t xml:space="preserve">Інтерпретація результатів індексу </w:t>
      </w:r>
      <w:r w:rsidRPr="00520861">
        <w:rPr>
          <w:b/>
          <w:sz w:val="28"/>
          <w:szCs w:val="28"/>
        </w:rPr>
        <w:t xml:space="preserve">КПВ залежно від віку учасника </w:t>
      </w:r>
      <w:r w:rsidRPr="00520861">
        <w:rPr>
          <w:b/>
          <w:sz w:val="28"/>
          <w:szCs w:val="28"/>
        </w:rPr>
        <w:br/>
        <w:t>дослідження</w:t>
      </w:r>
    </w:p>
    <w:tbl>
      <w:tblPr>
        <w:tblW w:w="9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6"/>
        <w:gridCol w:w="1001"/>
        <w:gridCol w:w="1056"/>
        <w:gridCol w:w="1056"/>
        <w:gridCol w:w="1056"/>
        <w:gridCol w:w="1056"/>
        <w:gridCol w:w="1056"/>
        <w:gridCol w:w="1056"/>
      </w:tblGrid>
      <w:tr w:rsidR="00CF641C" w:rsidRPr="00520861" w14:paraId="205276B8" w14:textId="77777777" w:rsidTr="00292D2E">
        <w:trPr>
          <w:trHeight w:val="390"/>
          <w:jc w:val="center"/>
        </w:trPr>
        <w:tc>
          <w:tcPr>
            <w:tcW w:w="1826" w:type="dxa"/>
            <w:vMerge w:val="restart"/>
            <w:tcBorders>
              <w:top w:val="single" w:sz="4" w:space="0" w:color="auto"/>
              <w:left w:val="single" w:sz="4" w:space="0" w:color="auto"/>
              <w:bottom w:val="single" w:sz="4" w:space="0" w:color="auto"/>
              <w:right w:val="single" w:sz="4" w:space="0" w:color="auto"/>
            </w:tcBorders>
            <w:hideMark/>
          </w:tcPr>
          <w:p w14:paraId="359CF954" w14:textId="77777777" w:rsidR="00CF641C" w:rsidRPr="00520861" w:rsidRDefault="00CF641C" w:rsidP="00292D2E">
            <w:pPr>
              <w:widowControl w:val="0"/>
              <w:spacing w:line="360" w:lineRule="auto"/>
              <w:ind w:left="-36" w:firstLine="36"/>
              <w:contextualSpacing/>
              <w:jc w:val="center"/>
              <w:rPr>
                <w:sz w:val="28"/>
                <w:szCs w:val="28"/>
              </w:rPr>
            </w:pPr>
            <w:r w:rsidRPr="00520861">
              <w:rPr>
                <w:sz w:val="28"/>
                <w:szCs w:val="28"/>
              </w:rPr>
              <w:t xml:space="preserve">Рівень інтенсивності </w:t>
            </w:r>
          </w:p>
          <w:p w14:paraId="6215E7D3" w14:textId="77777777" w:rsidR="00CF641C" w:rsidRPr="00520861" w:rsidRDefault="00CF641C" w:rsidP="00292D2E">
            <w:pPr>
              <w:widowControl w:val="0"/>
              <w:spacing w:line="360" w:lineRule="auto"/>
              <w:ind w:left="-36" w:firstLine="36"/>
              <w:contextualSpacing/>
              <w:jc w:val="center"/>
              <w:rPr>
                <w:sz w:val="28"/>
                <w:szCs w:val="28"/>
              </w:rPr>
            </w:pPr>
            <w:r w:rsidRPr="00520861">
              <w:rPr>
                <w:sz w:val="28"/>
                <w:szCs w:val="28"/>
              </w:rPr>
              <w:t>Карієсу</w:t>
            </w:r>
          </w:p>
        </w:tc>
        <w:tc>
          <w:tcPr>
            <w:tcW w:w="7337" w:type="dxa"/>
            <w:gridSpan w:val="7"/>
            <w:tcBorders>
              <w:top w:val="single" w:sz="4" w:space="0" w:color="auto"/>
              <w:left w:val="single" w:sz="4" w:space="0" w:color="auto"/>
              <w:bottom w:val="single" w:sz="4" w:space="0" w:color="auto"/>
              <w:right w:val="single" w:sz="4" w:space="0" w:color="auto"/>
            </w:tcBorders>
            <w:hideMark/>
          </w:tcPr>
          <w:p w14:paraId="7D6B8176" w14:textId="77777777" w:rsidR="00CF641C" w:rsidRPr="00520861" w:rsidRDefault="00CF641C" w:rsidP="00292D2E">
            <w:pPr>
              <w:widowControl w:val="0"/>
              <w:spacing w:line="360" w:lineRule="auto"/>
              <w:contextualSpacing/>
              <w:jc w:val="center"/>
              <w:rPr>
                <w:sz w:val="28"/>
                <w:szCs w:val="28"/>
              </w:rPr>
            </w:pPr>
            <w:r w:rsidRPr="00520861">
              <w:rPr>
                <w:sz w:val="28"/>
                <w:szCs w:val="28"/>
              </w:rPr>
              <w:t>Показник інтенсивності карієсу (КПВ), бали</w:t>
            </w:r>
          </w:p>
        </w:tc>
      </w:tr>
      <w:tr w:rsidR="00CF641C" w:rsidRPr="00520861" w14:paraId="52E49191" w14:textId="77777777" w:rsidTr="00292D2E">
        <w:trPr>
          <w:trHeight w:val="61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A12539" w14:textId="77777777" w:rsidR="00CF641C" w:rsidRPr="00520861" w:rsidRDefault="00CF641C" w:rsidP="00292D2E">
            <w:pPr>
              <w:widowControl w:val="0"/>
              <w:spacing w:line="259" w:lineRule="auto"/>
              <w:rPr>
                <w:sz w:val="28"/>
                <w:szCs w:val="28"/>
              </w:rPr>
            </w:pPr>
          </w:p>
        </w:tc>
        <w:tc>
          <w:tcPr>
            <w:tcW w:w="1001" w:type="dxa"/>
            <w:tcBorders>
              <w:top w:val="single" w:sz="4" w:space="0" w:color="auto"/>
              <w:left w:val="single" w:sz="4" w:space="0" w:color="auto"/>
              <w:bottom w:val="single" w:sz="4" w:space="0" w:color="auto"/>
              <w:right w:val="single" w:sz="4" w:space="0" w:color="auto"/>
            </w:tcBorders>
            <w:hideMark/>
          </w:tcPr>
          <w:p w14:paraId="3F1DADE9" w14:textId="77777777" w:rsidR="00CF641C" w:rsidRPr="00520861" w:rsidRDefault="00CF641C" w:rsidP="00292D2E">
            <w:pPr>
              <w:widowControl w:val="0"/>
              <w:spacing w:line="360" w:lineRule="auto"/>
              <w:contextualSpacing/>
              <w:jc w:val="center"/>
              <w:rPr>
                <w:sz w:val="28"/>
                <w:szCs w:val="28"/>
              </w:rPr>
            </w:pPr>
            <w:r w:rsidRPr="00520861">
              <w:rPr>
                <w:sz w:val="28"/>
                <w:szCs w:val="28"/>
              </w:rPr>
              <w:t>12–14 років</w:t>
            </w:r>
          </w:p>
        </w:tc>
        <w:tc>
          <w:tcPr>
            <w:tcW w:w="1056" w:type="dxa"/>
            <w:tcBorders>
              <w:top w:val="single" w:sz="4" w:space="0" w:color="auto"/>
              <w:left w:val="single" w:sz="4" w:space="0" w:color="auto"/>
              <w:bottom w:val="single" w:sz="4" w:space="0" w:color="auto"/>
              <w:right w:val="single" w:sz="4" w:space="0" w:color="auto"/>
            </w:tcBorders>
            <w:hideMark/>
          </w:tcPr>
          <w:p w14:paraId="70A591F1" w14:textId="77777777" w:rsidR="00CF641C" w:rsidRPr="00520861" w:rsidRDefault="00CF641C" w:rsidP="00292D2E">
            <w:pPr>
              <w:widowControl w:val="0"/>
              <w:spacing w:line="360" w:lineRule="auto"/>
              <w:contextualSpacing/>
              <w:jc w:val="center"/>
              <w:rPr>
                <w:sz w:val="28"/>
                <w:szCs w:val="28"/>
              </w:rPr>
            </w:pPr>
            <w:r w:rsidRPr="00520861">
              <w:rPr>
                <w:rFonts w:eastAsia="Calibri"/>
                <w:sz w:val="28"/>
                <w:szCs w:val="28"/>
                <w:lang w:eastAsia="en-US"/>
              </w:rPr>
              <w:t>14</w:t>
            </w:r>
            <w:r w:rsidRPr="00520861">
              <w:rPr>
                <w:sz w:val="28"/>
                <w:szCs w:val="28"/>
              </w:rPr>
              <w:t>–</w:t>
            </w:r>
            <w:r w:rsidRPr="00520861">
              <w:rPr>
                <w:rFonts w:eastAsia="Calibri"/>
                <w:sz w:val="28"/>
                <w:szCs w:val="28"/>
                <w:lang w:eastAsia="en-US"/>
              </w:rPr>
              <w:t>17 років</w:t>
            </w:r>
          </w:p>
        </w:tc>
        <w:tc>
          <w:tcPr>
            <w:tcW w:w="1056" w:type="dxa"/>
            <w:tcBorders>
              <w:top w:val="single" w:sz="4" w:space="0" w:color="auto"/>
              <w:left w:val="single" w:sz="4" w:space="0" w:color="auto"/>
              <w:bottom w:val="single" w:sz="4" w:space="0" w:color="auto"/>
              <w:right w:val="single" w:sz="4" w:space="0" w:color="auto"/>
            </w:tcBorders>
            <w:hideMark/>
          </w:tcPr>
          <w:p w14:paraId="1ADCC3A3" w14:textId="77777777" w:rsidR="00CF641C" w:rsidRPr="00520861" w:rsidRDefault="00CF641C" w:rsidP="00292D2E">
            <w:pPr>
              <w:widowControl w:val="0"/>
              <w:spacing w:line="360" w:lineRule="auto"/>
              <w:ind w:firstLine="38"/>
              <w:contextualSpacing/>
              <w:jc w:val="center"/>
              <w:rPr>
                <w:sz w:val="28"/>
                <w:szCs w:val="28"/>
              </w:rPr>
            </w:pPr>
            <w:r w:rsidRPr="00520861">
              <w:rPr>
                <w:rFonts w:eastAsia="Calibri"/>
                <w:sz w:val="28"/>
                <w:szCs w:val="28"/>
                <w:lang w:eastAsia="en-US"/>
              </w:rPr>
              <w:t>18</w:t>
            </w:r>
            <w:r w:rsidRPr="00520861">
              <w:rPr>
                <w:sz w:val="28"/>
                <w:szCs w:val="28"/>
              </w:rPr>
              <w:t>–</w:t>
            </w:r>
            <w:r w:rsidRPr="00520861">
              <w:rPr>
                <w:rFonts w:eastAsia="Calibri"/>
                <w:sz w:val="28"/>
                <w:szCs w:val="28"/>
                <w:lang w:eastAsia="en-US"/>
              </w:rPr>
              <w:t>24 роки</w:t>
            </w:r>
          </w:p>
        </w:tc>
        <w:tc>
          <w:tcPr>
            <w:tcW w:w="1056" w:type="dxa"/>
            <w:tcBorders>
              <w:top w:val="single" w:sz="4" w:space="0" w:color="auto"/>
              <w:left w:val="single" w:sz="4" w:space="0" w:color="auto"/>
              <w:bottom w:val="single" w:sz="4" w:space="0" w:color="auto"/>
              <w:right w:val="single" w:sz="4" w:space="0" w:color="auto"/>
            </w:tcBorders>
            <w:hideMark/>
          </w:tcPr>
          <w:p w14:paraId="224A0C13" w14:textId="77777777" w:rsidR="00CF641C" w:rsidRPr="00520861" w:rsidRDefault="00CF641C" w:rsidP="00292D2E">
            <w:pPr>
              <w:widowControl w:val="0"/>
              <w:spacing w:line="360" w:lineRule="auto"/>
              <w:ind w:firstLine="38"/>
              <w:contextualSpacing/>
              <w:jc w:val="center"/>
              <w:rPr>
                <w:sz w:val="28"/>
                <w:szCs w:val="28"/>
              </w:rPr>
            </w:pPr>
            <w:r w:rsidRPr="00520861">
              <w:rPr>
                <w:rFonts w:eastAsia="Calibri"/>
                <w:sz w:val="28"/>
                <w:szCs w:val="28"/>
                <w:lang w:eastAsia="en-US"/>
              </w:rPr>
              <w:t>25</w:t>
            </w:r>
            <w:r w:rsidRPr="00520861">
              <w:rPr>
                <w:sz w:val="28"/>
                <w:szCs w:val="28"/>
              </w:rPr>
              <w:t>–</w:t>
            </w:r>
            <w:r w:rsidRPr="00520861">
              <w:rPr>
                <w:rFonts w:eastAsia="Calibri"/>
                <w:sz w:val="28"/>
                <w:szCs w:val="28"/>
                <w:lang w:eastAsia="en-US"/>
              </w:rPr>
              <w:t>29 років</w:t>
            </w:r>
          </w:p>
        </w:tc>
        <w:tc>
          <w:tcPr>
            <w:tcW w:w="1056" w:type="dxa"/>
            <w:tcBorders>
              <w:top w:val="single" w:sz="4" w:space="0" w:color="auto"/>
              <w:left w:val="single" w:sz="4" w:space="0" w:color="auto"/>
              <w:bottom w:val="single" w:sz="4" w:space="0" w:color="auto"/>
              <w:right w:val="single" w:sz="4" w:space="0" w:color="auto"/>
            </w:tcBorders>
            <w:hideMark/>
          </w:tcPr>
          <w:p w14:paraId="0DBDEFCD" w14:textId="77777777" w:rsidR="00CF641C" w:rsidRPr="00520861" w:rsidRDefault="00CF641C" w:rsidP="00292D2E">
            <w:pPr>
              <w:widowControl w:val="0"/>
              <w:spacing w:line="360" w:lineRule="auto"/>
              <w:ind w:firstLine="38"/>
              <w:contextualSpacing/>
              <w:jc w:val="center"/>
              <w:rPr>
                <w:sz w:val="28"/>
                <w:szCs w:val="28"/>
              </w:rPr>
            </w:pPr>
            <w:r w:rsidRPr="00520861">
              <w:rPr>
                <w:rFonts w:eastAsia="Calibri"/>
                <w:sz w:val="28"/>
                <w:szCs w:val="28"/>
                <w:lang w:eastAsia="en-US"/>
              </w:rPr>
              <w:t>30</w:t>
            </w:r>
            <w:r w:rsidRPr="00520861">
              <w:rPr>
                <w:sz w:val="28"/>
                <w:szCs w:val="28"/>
              </w:rPr>
              <w:t>–</w:t>
            </w:r>
            <w:r w:rsidRPr="00520861">
              <w:rPr>
                <w:rFonts w:eastAsia="Calibri"/>
                <w:sz w:val="28"/>
                <w:szCs w:val="28"/>
                <w:lang w:eastAsia="en-US"/>
              </w:rPr>
              <w:t>34 роки</w:t>
            </w:r>
          </w:p>
        </w:tc>
        <w:tc>
          <w:tcPr>
            <w:tcW w:w="1056" w:type="dxa"/>
            <w:tcBorders>
              <w:top w:val="single" w:sz="4" w:space="0" w:color="auto"/>
              <w:left w:val="single" w:sz="4" w:space="0" w:color="auto"/>
              <w:bottom w:val="single" w:sz="4" w:space="0" w:color="auto"/>
              <w:right w:val="single" w:sz="4" w:space="0" w:color="auto"/>
            </w:tcBorders>
            <w:hideMark/>
          </w:tcPr>
          <w:p w14:paraId="4AA5361B" w14:textId="77777777" w:rsidR="00CF641C" w:rsidRPr="00520861" w:rsidRDefault="00CF641C" w:rsidP="00292D2E">
            <w:pPr>
              <w:widowControl w:val="0"/>
              <w:spacing w:line="360" w:lineRule="auto"/>
              <w:ind w:firstLine="38"/>
              <w:contextualSpacing/>
              <w:jc w:val="center"/>
              <w:rPr>
                <w:sz w:val="28"/>
                <w:szCs w:val="28"/>
              </w:rPr>
            </w:pPr>
            <w:r w:rsidRPr="00520861">
              <w:rPr>
                <w:sz w:val="28"/>
                <w:szCs w:val="28"/>
              </w:rPr>
              <w:t>35–44 роки</w:t>
            </w:r>
          </w:p>
        </w:tc>
        <w:tc>
          <w:tcPr>
            <w:tcW w:w="1056" w:type="dxa"/>
            <w:tcBorders>
              <w:top w:val="single" w:sz="4" w:space="0" w:color="auto"/>
              <w:left w:val="single" w:sz="4" w:space="0" w:color="auto"/>
              <w:bottom w:val="single" w:sz="4" w:space="0" w:color="auto"/>
              <w:right w:val="single" w:sz="4" w:space="0" w:color="auto"/>
            </w:tcBorders>
            <w:hideMark/>
          </w:tcPr>
          <w:p w14:paraId="3F199136" w14:textId="77777777" w:rsidR="00CF641C" w:rsidRPr="00520861" w:rsidRDefault="00CF641C" w:rsidP="00292D2E">
            <w:pPr>
              <w:widowControl w:val="0"/>
              <w:spacing w:line="360" w:lineRule="auto"/>
              <w:contextualSpacing/>
              <w:jc w:val="center"/>
              <w:rPr>
                <w:sz w:val="28"/>
                <w:szCs w:val="28"/>
              </w:rPr>
            </w:pPr>
            <w:r w:rsidRPr="00520861">
              <w:rPr>
                <w:rFonts w:eastAsia="Calibri"/>
                <w:sz w:val="28"/>
                <w:szCs w:val="28"/>
                <w:lang w:eastAsia="en-US"/>
              </w:rPr>
              <w:t>44</w:t>
            </w:r>
            <w:r w:rsidRPr="00520861">
              <w:rPr>
                <w:sz w:val="28"/>
                <w:szCs w:val="28"/>
              </w:rPr>
              <w:t>–</w:t>
            </w:r>
            <w:r w:rsidRPr="00520861">
              <w:rPr>
                <w:rFonts w:eastAsia="Calibri"/>
                <w:sz w:val="28"/>
                <w:szCs w:val="28"/>
                <w:lang w:eastAsia="en-US"/>
              </w:rPr>
              <w:t>55 років</w:t>
            </w:r>
          </w:p>
        </w:tc>
      </w:tr>
      <w:tr w:rsidR="00CF641C" w:rsidRPr="00520861" w14:paraId="088FA168" w14:textId="77777777" w:rsidTr="00292D2E">
        <w:trPr>
          <w:jc w:val="center"/>
        </w:trPr>
        <w:tc>
          <w:tcPr>
            <w:tcW w:w="1826" w:type="dxa"/>
            <w:tcBorders>
              <w:top w:val="single" w:sz="4" w:space="0" w:color="auto"/>
              <w:left w:val="single" w:sz="4" w:space="0" w:color="auto"/>
              <w:bottom w:val="single" w:sz="4" w:space="0" w:color="auto"/>
              <w:right w:val="single" w:sz="4" w:space="0" w:color="auto"/>
            </w:tcBorders>
            <w:hideMark/>
          </w:tcPr>
          <w:p w14:paraId="25B1566C" w14:textId="77777777" w:rsidR="00CF641C" w:rsidRPr="00520861" w:rsidRDefault="00CF641C" w:rsidP="00292D2E">
            <w:pPr>
              <w:widowControl w:val="0"/>
              <w:spacing w:line="360" w:lineRule="auto"/>
              <w:ind w:hanging="80"/>
              <w:contextualSpacing/>
              <w:jc w:val="center"/>
              <w:rPr>
                <w:sz w:val="28"/>
                <w:szCs w:val="28"/>
              </w:rPr>
            </w:pPr>
            <w:r w:rsidRPr="00520861">
              <w:rPr>
                <w:sz w:val="28"/>
                <w:szCs w:val="28"/>
              </w:rPr>
              <w:t>Низький</w:t>
            </w:r>
          </w:p>
        </w:tc>
        <w:tc>
          <w:tcPr>
            <w:tcW w:w="1001" w:type="dxa"/>
            <w:tcBorders>
              <w:top w:val="single" w:sz="4" w:space="0" w:color="auto"/>
              <w:left w:val="single" w:sz="4" w:space="0" w:color="auto"/>
              <w:bottom w:val="single" w:sz="4" w:space="0" w:color="auto"/>
              <w:right w:val="single" w:sz="4" w:space="0" w:color="auto"/>
            </w:tcBorders>
            <w:hideMark/>
          </w:tcPr>
          <w:p w14:paraId="1F4D328C" w14:textId="77777777" w:rsidR="00CF641C" w:rsidRPr="00520861" w:rsidRDefault="00CF641C" w:rsidP="00292D2E">
            <w:pPr>
              <w:widowControl w:val="0"/>
              <w:spacing w:line="360" w:lineRule="auto"/>
              <w:ind w:hanging="104"/>
              <w:contextualSpacing/>
              <w:jc w:val="center"/>
              <w:rPr>
                <w:sz w:val="28"/>
                <w:szCs w:val="28"/>
              </w:rPr>
            </w:pPr>
            <w:r w:rsidRPr="00520861">
              <w:rPr>
                <w:rFonts w:eastAsia="Calibri"/>
                <w:sz w:val="28"/>
                <w:szCs w:val="28"/>
                <w:lang w:eastAsia="en-US"/>
              </w:rPr>
              <w:t>2 та нижче</w:t>
            </w:r>
          </w:p>
        </w:tc>
        <w:tc>
          <w:tcPr>
            <w:tcW w:w="1056" w:type="dxa"/>
            <w:tcBorders>
              <w:top w:val="single" w:sz="4" w:space="0" w:color="auto"/>
              <w:left w:val="single" w:sz="4" w:space="0" w:color="auto"/>
              <w:bottom w:val="single" w:sz="4" w:space="0" w:color="auto"/>
              <w:right w:val="single" w:sz="4" w:space="0" w:color="auto"/>
            </w:tcBorders>
            <w:hideMark/>
          </w:tcPr>
          <w:p w14:paraId="6F98D902" w14:textId="77777777" w:rsidR="00CF641C" w:rsidRPr="00520861" w:rsidRDefault="00CF641C" w:rsidP="00292D2E">
            <w:pPr>
              <w:widowControl w:val="0"/>
              <w:spacing w:line="360" w:lineRule="auto"/>
              <w:contextualSpacing/>
              <w:jc w:val="center"/>
              <w:rPr>
                <w:sz w:val="28"/>
                <w:szCs w:val="28"/>
              </w:rPr>
            </w:pPr>
            <w:r w:rsidRPr="00520861">
              <w:rPr>
                <w:rFonts w:eastAsia="Calibri"/>
                <w:sz w:val="28"/>
                <w:szCs w:val="28"/>
                <w:lang w:eastAsia="en-US"/>
              </w:rPr>
              <w:t>3 та нижче</w:t>
            </w:r>
          </w:p>
        </w:tc>
        <w:tc>
          <w:tcPr>
            <w:tcW w:w="1056" w:type="dxa"/>
            <w:tcBorders>
              <w:top w:val="single" w:sz="4" w:space="0" w:color="auto"/>
              <w:left w:val="single" w:sz="4" w:space="0" w:color="auto"/>
              <w:bottom w:val="single" w:sz="4" w:space="0" w:color="auto"/>
              <w:right w:val="single" w:sz="4" w:space="0" w:color="auto"/>
            </w:tcBorders>
            <w:hideMark/>
          </w:tcPr>
          <w:p w14:paraId="55CA0BC0" w14:textId="77777777" w:rsidR="00CF641C" w:rsidRPr="00520861" w:rsidRDefault="00CF641C" w:rsidP="00292D2E">
            <w:pPr>
              <w:widowControl w:val="0"/>
              <w:spacing w:line="360" w:lineRule="auto"/>
              <w:ind w:firstLine="38"/>
              <w:contextualSpacing/>
              <w:jc w:val="center"/>
              <w:rPr>
                <w:sz w:val="28"/>
                <w:szCs w:val="28"/>
              </w:rPr>
            </w:pPr>
            <w:r w:rsidRPr="00520861">
              <w:rPr>
                <w:rFonts w:eastAsia="Calibri"/>
                <w:sz w:val="28"/>
                <w:szCs w:val="28"/>
                <w:lang w:eastAsia="en-US"/>
              </w:rPr>
              <w:t>5 та нижче</w:t>
            </w:r>
          </w:p>
        </w:tc>
        <w:tc>
          <w:tcPr>
            <w:tcW w:w="1056" w:type="dxa"/>
            <w:tcBorders>
              <w:top w:val="single" w:sz="4" w:space="0" w:color="auto"/>
              <w:left w:val="single" w:sz="4" w:space="0" w:color="auto"/>
              <w:bottom w:val="single" w:sz="4" w:space="0" w:color="auto"/>
              <w:right w:val="single" w:sz="4" w:space="0" w:color="auto"/>
            </w:tcBorders>
            <w:hideMark/>
          </w:tcPr>
          <w:p w14:paraId="43319F7D" w14:textId="77777777" w:rsidR="00CF641C" w:rsidRPr="00520861" w:rsidRDefault="00CF641C" w:rsidP="00292D2E">
            <w:pPr>
              <w:widowControl w:val="0"/>
              <w:spacing w:line="360" w:lineRule="auto"/>
              <w:ind w:firstLine="38"/>
              <w:contextualSpacing/>
              <w:jc w:val="center"/>
              <w:rPr>
                <w:sz w:val="28"/>
                <w:szCs w:val="28"/>
              </w:rPr>
            </w:pPr>
            <w:r w:rsidRPr="00520861">
              <w:rPr>
                <w:rFonts w:eastAsia="Calibri"/>
                <w:sz w:val="28"/>
                <w:szCs w:val="28"/>
                <w:lang w:eastAsia="en-US"/>
              </w:rPr>
              <w:t>5 та нижче</w:t>
            </w:r>
          </w:p>
        </w:tc>
        <w:tc>
          <w:tcPr>
            <w:tcW w:w="1056" w:type="dxa"/>
            <w:tcBorders>
              <w:top w:val="single" w:sz="4" w:space="0" w:color="auto"/>
              <w:left w:val="single" w:sz="4" w:space="0" w:color="auto"/>
              <w:bottom w:val="single" w:sz="4" w:space="0" w:color="auto"/>
              <w:right w:val="single" w:sz="4" w:space="0" w:color="auto"/>
            </w:tcBorders>
            <w:hideMark/>
          </w:tcPr>
          <w:p w14:paraId="61C056F9" w14:textId="77777777" w:rsidR="00CF641C" w:rsidRPr="00520861" w:rsidRDefault="00CF641C" w:rsidP="00292D2E">
            <w:pPr>
              <w:widowControl w:val="0"/>
              <w:spacing w:line="360" w:lineRule="auto"/>
              <w:contextualSpacing/>
              <w:jc w:val="center"/>
              <w:rPr>
                <w:sz w:val="28"/>
                <w:szCs w:val="28"/>
              </w:rPr>
            </w:pPr>
            <w:r w:rsidRPr="00520861">
              <w:rPr>
                <w:rFonts w:eastAsia="Calibri"/>
                <w:sz w:val="28"/>
                <w:szCs w:val="28"/>
                <w:lang w:eastAsia="en-US"/>
              </w:rPr>
              <w:t>6 та нижче</w:t>
            </w:r>
          </w:p>
        </w:tc>
        <w:tc>
          <w:tcPr>
            <w:tcW w:w="1056" w:type="dxa"/>
            <w:tcBorders>
              <w:top w:val="single" w:sz="4" w:space="0" w:color="auto"/>
              <w:left w:val="single" w:sz="4" w:space="0" w:color="auto"/>
              <w:bottom w:val="single" w:sz="4" w:space="0" w:color="auto"/>
              <w:right w:val="single" w:sz="4" w:space="0" w:color="auto"/>
            </w:tcBorders>
            <w:hideMark/>
          </w:tcPr>
          <w:p w14:paraId="2AD5831F" w14:textId="77777777" w:rsidR="00CF641C" w:rsidRPr="00520861" w:rsidRDefault="00CF641C" w:rsidP="00292D2E">
            <w:pPr>
              <w:widowControl w:val="0"/>
              <w:spacing w:line="360" w:lineRule="auto"/>
              <w:contextualSpacing/>
              <w:jc w:val="center"/>
              <w:rPr>
                <w:sz w:val="28"/>
                <w:szCs w:val="28"/>
              </w:rPr>
            </w:pPr>
            <w:r w:rsidRPr="00520861">
              <w:rPr>
                <w:rFonts w:eastAsia="Calibri"/>
                <w:sz w:val="28"/>
                <w:szCs w:val="28"/>
                <w:lang w:eastAsia="en-US"/>
              </w:rPr>
              <w:t>6 та нижче</w:t>
            </w:r>
          </w:p>
        </w:tc>
        <w:tc>
          <w:tcPr>
            <w:tcW w:w="1056" w:type="dxa"/>
            <w:tcBorders>
              <w:top w:val="single" w:sz="4" w:space="0" w:color="auto"/>
              <w:left w:val="single" w:sz="4" w:space="0" w:color="auto"/>
              <w:bottom w:val="single" w:sz="4" w:space="0" w:color="auto"/>
              <w:right w:val="single" w:sz="4" w:space="0" w:color="auto"/>
            </w:tcBorders>
            <w:hideMark/>
          </w:tcPr>
          <w:p w14:paraId="5C140EFB" w14:textId="77777777" w:rsidR="00CF641C" w:rsidRPr="00520861" w:rsidRDefault="00CF641C" w:rsidP="00292D2E">
            <w:pPr>
              <w:widowControl w:val="0"/>
              <w:spacing w:line="360" w:lineRule="auto"/>
              <w:contextualSpacing/>
              <w:jc w:val="center"/>
              <w:rPr>
                <w:sz w:val="28"/>
                <w:szCs w:val="28"/>
              </w:rPr>
            </w:pPr>
            <w:r w:rsidRPr="00520861">
              <w:rPr>
                <w:rFonts w:eastAsia="Calibri"/>
                <w:sz w:val="28"/>
                <w:szCs w:val="28"/>
                <w:lang w:eastAsia="en-US"/>
              </w:rPr>
              <w:t>8 та нижче</w:t>
            </w:r>
          </w:p>
        </w:tc>
      </w:tr>
      <w:tr w:rsidR="00CF641C" w:rsidRPr="00520861" w14:paraId="5EB25A15" w14:textId="77777777" w:rsidTr="00292D2E">
        <w:trPr>
          <w:jc w:val="center"/>
        </w:trPr>
        <w:tc>
          <w:tcPr>
            <w:tcW w:w="1826" w:type="dxa"/>
            <w:tcBorders>
              <w:top w:val="single" w:sz="4" w:space="0" w:color="auto"/>
              <w:left w:val="single" w:sz="4" w:space="0" w:color="auto"/>
              <w:bottom w:val="single" w:sz="4" w:space="0" w:color="auto"/>
              <w:right w:val="single" w:sz="4" w:space="0" w:color="auto"/>
            </w:tcBorders>
            <w:hideMark/>
          </w:tcPr>
          <w:p w14:paraId="092FCDAE" w14:textId="77777777" w:rsidR="00CF641C" w:rsidRPr="00520861" w:rsidRDefault="00CF641C" w:rsidP="00292D2E">
            <w:pPr>
              <w:widowControl w:val="0"/>
              <w:spacing w:line="360" w:lineRule="auto"/>
              <w:ind w:hanging="80"/>
              <w:contextualSpacing/>
              <w:jc w:val="center"/>
              <w:rPr>
                <w:sz w:val="28"/>
                <w:szCs w:val="28"/>
              </w:rPr>
            </w:pPr>
            <w:r w:rsidRPr="00520861">
              <w:rPr>
                <w:sz w:val="28"/>
                <w:szCs w:val="28"/>
              </w:rPr>
              <w:t>Середній</w:t>
            </w:r>
          </w:p>
        </w:tc>
        <w:tc>
          <w:tcPr>
            <w:tcW w:w="1001" w:type="dxa"/>
            <w:tcBorders>
              <w:top w:val="single" w:sz="4" w:space="0" w:color="auto"/>
              <w:left w:val="single" w:sz="4" w:space="0" w:color="auto"/>
              <w:bottom w:val="single" w:sz="4" w:space="0" w:color="auto"/>
              <w:right w:val="single" w:sz="4" w:space="0" w:color="auto"/>
            </w:tcBorders>
            <w:hideMark/>
          </w:tcPr>
          <w:p w14:paraId="09F236D9" w14:textId="77777777" w:rsidR="00CF641C" w:rsidRPr="00520861" w:rsidRDefault="00CF641C" w:rsidP="00292D2E">
            <w:pPr>
              <w:widowControl w:val="0"/>
              <w:spacing w:line="360" w:lineRule="auto"/>
              <w:ind w:hanging="104"/>
              <w:contextualSpacing/>
              <w:jc w:val="center"/>
              <w:rPr>
                <w:sz w:val="28"/>
                <w:szCs w:val="28"/>
              </w:rPr>
            </w:pPr>
            <w:r w:rsidRPr="00520861">
              <w:rPr>
                <w:rFonts w:eastAsia="Calibri"/>
                <w:sz w:val="28"/>
                <w:szCs w:val="28"/>
                <w:lang w:eastAsia="en-US"/>
              </w:rPr>
              <w:t>3</w:t>
            </w:r>
            <w:r w:rsidRPr="00520861">
              <w:rPr>
                <w:sz w:val="28"/>
                <w:szCs w:val="28"/>
              </w:rPr>
              <w:t>–</w:t>
            </w:r>
            <w:r w:rsidRPr="00520861">
              <w:rPr>
                <w:rFonts w:eastAsia="Calibri"/>
                <w:sz w:val="28"/>
                <w:szCs w:val="28"/>
                <w:lang w:eastAsia="en-US"/>
              </w:rPr>
              <w:t>4</w:t>
            </w:r>
          </w:p>
        </w:tc>
        <w:tc>
          <w:tcPr>
            <w:tcW w:w="1056" w:type="dxa"/>
            <w:tcBorders>
              <w:top w:val="single" w:sz="4" w:space="0" w:color="auto"/>
              <w:left w:val="single" w:sz="4" w:space="0" w:color="auto"/>
              <w:bottom w:val="single" w:sz="4" w:space="0" w:color="auto"/>
              <w:right w:val="single" w:sz="4" w:space="0" w:color="auto"/>
            </w:tcBorders>
            <w:hideMark/>
          </w:tcPr>
          <w:p w14:paraId="2C2EE3DF" w14:textId="77777777" w:rsidR="00CF641C" w:rsidRPr="00520861" w:rsidRDefault="00CF641C" w:rsidP="00292D2E">
            <w:pPr>
              <w:widowControl w:val="0"/>
              <w:spacing w:line="360" w:lineRule="auto"/>
              <w:contextualSpacing/>
              <w:jc w:val="center"/>
              <w:rPr>
                <w:sz w:val="28"/>
                <w:szCs w:val="28"/>
              </w:rPr>
            </w:pPr>
            <w:r w:rsidRPr="00520861">
              <w:rPr>
                <w:sz w:val="28"/>
                <w:szCs w:val="28"/>
              </w:rPr>
              <w:t>4–6</w:t>
            </w:r>
          </w:p>
        </w:tc>
        <w:tc>
          <w:tcPr>
            <w:tcW w:w="1056" w:type="dxa"/>
            <w:tcBorders>
              <w:top w:val="single" w:sz="4" w:space="0" w:color="auto"/>
              <w:left w:val="single" w:sz="4" w:space="0" w:color="auto"/>
              <w:bottom w:val="single" w:sz="4" w:space="0" w:color="auto"/>
              <w:right w:val="single" w:sz="4" w:space="0" w:color="auto"/>
            </w:tcBorders>
            <w:hideMark/>
          </w:tcPr>
          <w:p w14:paraId="1DE8AEF7" w14:textId="77777777" w:rsidR="00CF641C" w:rsidRPr="00520861" w:rsidRDefault="00CF641C" w:rsidP="00292D2E">
            <w:pPr>
              <w:widowControl w:val="0"/>
              <w:spacing w:line="360" w:lineRule="auto"/>
              <w:ind w:firstLine="38"/>
              <w:contextualSpacing/>
              <w:jc w:val="center"/>
              <w:rPr>
                <w:sz w:val="28"/>
                <w:szCs w:val="28"/>
              </w:rPr>
            </w:pPr>
            <w:r w:rsidRPr="00520861">
              <w:rPr>
                <w:sz w:val="28"/>
                <w:szCs w:val="28"/>
              </w:rPr>
              <w:t>6–9</w:t>
            </w:r>
          </w:p>
        </w:tc>
        <w:tc>
          <w:tcPr>
            <w:tcW w:w="1056" w:type="dxa"/>
            <w:tcBorders>
              <w:top w:val="single" w:sz="4" w:space="0" w:color="auto"/>
              <w:left w:val="single" w:sz="4" w:space="0" w:color="auto"/>
              <w:bottom w:val="single" w:sz="4" w:space="0" w:color="auto"/>
              <w:right w:val="single" w:sz="4" w:space="0" w:color="auto"/>
            </w:tcBorders>
            <w:hideMark/>
          </w:tcPr>
          <w:p w14:paraId="028D021E" w14:textId="77777777" w:rsidR="00CF641C" w:rsidRPr="00520861" w:rsidRDefault="00CF641C" w:rsidP="00292D2E">
            <w:pPr>
              <w:widowControl w:val="0"/>
              <w:spacing w:line="360" w:lineRule="auto"/>
              <w:ind w:firstLine="38"/>
              <w:contextualSpacing/>
              <w:jc w:val="center"/>
              <w:rPr>
                <w:sz w:val="28"/>
                <w:szCs w:val="28"/>
              </w:rPr>
            </w:pPr>
            <w:r w:rsidRPr="00520861">
              <w:rPr>
                <w:sz w:val="28"/>
                <w:szCs w:val="28"/>
              </w:rPr>
              <w:t>6–10</w:t>
            </w:r>
          </w:p>
        </w:tc>
        <w:tc>
          <w:tcPr>
            <w:tcW w:w="1056" w:type="dxa"/>
            <w:tcBorders>
              <w:top w:val="single" w:sz="4" w:space="0" w:color="auto"/>
              <w:left w:val="single" w:sz="4" w:space="0" w:color="auto"/>
              <w:bottom w:val="single" w:sz="4" w:space="0" w:color="auto"/>
              <w:right w:val="single" w:sz="4" w:space="0" w:color="auto"/>
            </w:tcBorders>
            <w:hideMark/>
          </w:tcPr>
          <w:p w14:paraId="7696D7D7" w14:textId="77777777" w:rsidR="00CF641C" w:rsidRPr="00520861" w:rsidRDefault="00CF641C" w:rsidP="00292D2E">
            <w:pPr>
              <w:widowControl w:val="0"/>
              <w:spacing w:line="360" w:lineRule="auto"/>
              <w:contextualSpacing/>
              <w:jc w:val="center"/>
              <w:rPr>
                <w:sz w:val="28"/>
                <w:szCs w:val="28"/>
              </w:rPr>
            </w:pPr>
            <w:r w:rsidRPr="00520861">
              <w:rPr>
                <w:sz w:val="28"/>
                <w:szCs w:val="28"/>
              </w:rPr>
              <w:t>7–11</w:t>
            </w:r>
          </w:p>
        </w:tc>
        <w:tc>
          <w:tcPr>
            <w:tcW w:w="1056" w:type="dxa"/>
            <w:tcBorders>
              <w:top w:val="single" w:sz="4" w:space="0" w:color="auto"/>
              <w:left w:val="single" w:sz="4" w:space="0" w:color="auto"/>
              <w:bottom w:val="single" w:sz="4" w:space="0" w:color="auto"/>
              <w:right w:val="single" w:sz="4" w:space="0" w:color="auto"/>
            </w:tcBorders>
            <w:hideMark/>
          </w:tcPr>
          <w:p w14:paraId="13E353FD" w14:textId="77777777" w:rsidR="00CF641C" w:rsidRPr="00520861" w:rsidRDefault="00CF641C" w:rsidP="00292D2E">
            <w:pPr>
              <w:widowControl w:val="0"/>
              <w:spacing w:line="360" w:lineRule="auto"/>
              <w:contextualSpacing/>
              <w:jc w:val="center"/>
              <w:rPr>
                <w:sz w:val="28"/>
                <w:szCs w:val="28"/>
              </w:rPr>
            </w:pPr>
            <w:r w:rsidRPr="00520861">
              <w:rPr>
                <w:sz w:val="28"/>
                <w:szCs w:val="28"/>
              </w:rPr>
              <w:t>7–13</w:t>
            </w:r>
          </w:p>
        </w:tc>
        <w:tc>
          <w:tcPr>
            <w:tcW w:w="1056" w:type="dxa"/>
            <w:tcBorders>
              <w:top w:val="single" w:sz="4" w:space="0" w:color="auto"/>
              <w:left w:val="single" w:sz="4" w:space="0" w:color="auto"/>
              <w:bottom w:val="single" w:sz="4" w:space="0" w:color="auto"/>
              <w:right w:val="single" w:sz="4" w:space="0" w:color="auto"/>
            </w:tcBorders>
            <w:hideMark/>
          </w:tcPr>
          <w:p w14:paraId="1319C54A" w14:textId="77777777" w:rsidR="00CF641C" w:rsidRPr="00520861" w:rsidRDefault="00CF641C" w:rsidP="00292D2E">
            <w:pPr>
              <w:widowControl w:val="0"/>
              <w:spacing w:line="360" w:lineRule="auto"/>
              <w:contextualSpacing/>
              <w:jc w:val="center"/>
              <w:rPr>
                <w:sz w:val="28"/>
                <w:szCs w:val="28"/>
              </w:rPr>
            </w:pPr>
            <w:r w:rsidRPr="00520861">
              <w:rPr>
                <w:sz w:val="28"/>
                <w:szCs w:val="28"/>
              </w:rPr>
              <w:t>9–15</w:t>
            </w:r>
          </w:p>
        </w:tc>
      </w:tr>
      <w:tr w:rsidR="00CF641C" w:rsidRPr="00520861" w14:paraId="59BCD390" w14:textId="77777777" w:rsidTr="00292D2E">
        <w:trPr>
          <w:jc w:val="center"/>
        </w:trPr>
        <w:tc>
          <w:tcPr>
            <w:tcW w:w="1826" w:type="dxa"/>
            <w:tcBorders>
              <w:top w:val="single" w:sz="4" w:space="0" w:color="auto"/>
              <w:left w:val="single" w:sz="4" w:space="0" w:color="auto"/>
              <w:bottom w:val="single" w:sz="4" w:space="0" w:color="auto"/>
              <w:right w:val="single" w:sz="4" w:space="0" w:color="auto"/>
            </w:tcBorders>
            <w:hideMark/>
          </w:tcPr>
          <w:p w14:paraId="7B36CC4A" w14:textId="77777777" w:rsidR="00CF641C" w:rsidRPr="00520861" w:rsidRDefault="00CF641C" w:rsidP="00292D2E">
            <w:pPr>
              <w:widowControl w:val="0"/>
              <w:spacing w:line="360" w:lineRule="auto"/>
              <w:ind w:hanging="80"/>
              <w:contextualSpacing/>
              <w:jc w:val="center"/>
              <w:rPr>
                <w:sz w:val="28"/>
                <w:szCs w:val="28"/>
              </w:rPr>
            </w:pPr>
            <w:r w:rsidRPr="00520861">
              <w:rPr>
                <w:sz w:val="28"/>
                <w:szCs w:val="28"/>
              </w:rPr>
              <w:t>Високий</w:t>
            </w:r>
          </w:p>
        </w:tc>
        <w:tc>
          <w:tcPr>
            <w:tcW w:w="1001" w:type="dxa"/>
            <w:tcBorders>
              <w:top w:val="single" w:sz="4" w:space="0" w:color="auto"/>
              <w:left w:val="single" w:sz="4" w:space="0" w:color="auto"/>
              <w:bottom w:val="single" w:sz="4" w:space="0" w:color="auto"/>
              <w:right w:val="single" w:sz="4" w:space="0" w:color="auto"/>
            </w:tcBorders>
            <w:hideMark/>
          </w:tcPr>
          <w:p w14:paraId="00482BF9" w14:textId="77777777" w:rsidR="00CF641C" w:rsidRPr="00520861" w:rsidRDefault="00CF641C" w:rsidP="00292D2E">
            <w:pPr>
              <w:widowControl w:val="0"/>
              <w:spacing w:line="360" w:lineRule="auto"/>
              <w:ind w:hanging="104"/>
              <w:contextualSpacing/>
              <w:jc w:val="center"/>
              <w:rPr>
                <w:sz w:val="28"/>
                <w:szCs w:val="28"/>
              </w:rPr>
            </w:pPr>
            <w:r w:rsidRPr="00520861">
              <w:rPr>
                <w:sz w:val="28"/>
                <w:szCs w:val="28"/>
              </w:rPr>
              <w:t>5 та вище</w:t>
            </w:r>
          </w:p>
        </w:tc>
        <w:tc>
          <w:tcPr>
            <w:tcW w:w="1056" w:type="dxa"/>
            <w:tcBorders>
              <w:top w:val="single" w:sz="4" w:space="0" w:color="auto"/>
              <w:left w:val="single" w:sz="4" w:space="0" w:color="auto"/>
              <w:bottom w:val="single" w:sz="4" w:space="0" w:color="auto"/>
              <w:right w:val="single" w:sz="4" w:space="0" w:color="auto"/>
            </w:tcBorders>
            <w:hideMark/>
          </w:tcPr>
          <w:p w14:paraId="6BCB90F3" w14:textId="77777777" w:rsidR="00CF641C" w:rsidRPr="00520861" w:rsidRDefault="00CF641C" w:rsidP="00292D2E">
            <w:pPr>
              <w:widowControl w:val="0"/>
              <w:spacing w:line="360" w:lineRule="auto"/>
              <w:contextualSpacing/>
              <w:jc w:val="center"/>
              <w:rPr>
                <w:sz w:val="28"/>
                <w:szCs w:val="28"/>
              </w:rPr>
            </w:pPr>
            <w:r w:rsidRPr="00520861">
              <w:rPr>
                <w:sz w:val="28"/>
                <w:szCs w:val="28"/>
              </w:rPr>
              <w:t>7 та вище</w:t>
            </w:r>
          </w:p>
        </w:tc>
        <w:tc>
          <w:tcPr>
            <w:tcW w:w="1056" w:type="dxa"/>
            <w:tcBorders>
              <w:top w:val="single" w:sz="4" w:space="0" w:color="auto"/>
              <w:left w:val="single" w:sz="4" w:space="0" w:color="auto"/>
              <w:bottom w:val="single" w:sz="4" w:space="0" w:color="auto"/>
              <w:right w:val="single" w:sz="4" w:space="0" w:color="auto"/>
            </w:tcBorders>
            <w:hideMark/>
          </w:tcPr>
          <w:p w14:paraId="7B849B88" w14:textId="77777777" w:rsidR="00CF641C" w:rsidRPr="00520861" w:rsidRDefault="00CF641C" w:rsidP="00292D2E">
            <w:pPr>
              <w:widowControl w:val="0"/>
              <w:spacing w:line="360" w:lineRule="auto"/>
              <w:ind w:firstLine="38"/>
              <w:contextualSpacing/>
              <w:jc w:val="center"/>
              <w:rPr>
                <w:sz w:val="28"/>
                <w:szCs w:val="28"/>
              </w:rPr>
            </w:pPr>
            <w:r w:rsidRPr="00520861">
              <w:rPr>
                <w:sz w:val="28"/>
                <w:szCs w:val="28"/>
              </w:rPr>
              <w:t>10 та вище</w:t>
            </w:r>
          </w:p>
        </w:tc>
        <w:tc>
          <w:tcPr>
            <w:tcW w:w="1056" w:type="dxa"/>
            <w:tcBorders>
              <w:top w:val="single" w:sz="4" w:space="0" w:color="auto"/>
              <w:left w:val="single" w:sz="4" w:space="0" w:color="auto"/>
              <w:bottom w:val="single" w:sz="4" w:space="0" w:color="auto"/>
              <w:right w:val="single" w:sz="4" w:space="0" w:color="auto"/>
            </w:tcBorders>
            <w:hideMark/>
          </w:tcPr>
          <w:p w14:paraId="294FB628" w14:textId="77777777" w:rsidR="00CF641C" w:rsidRPr="00520861" w:rsidRDefault="00CF641C" w:rsidP="00292D2E">
            <w:pPr>
              <w:widowControl w:val="0"/>
              <w:spacing w:line="360" w:lineRule="auto"/>
              <w:ind w:firstLine="38"/>
              <w:contextualSpacing/>
              <w:jc w:val="center"/>
              <w:rPr>
                <w:sz w:val="28"/>
                <w:szCs w:val="28"/>
              </w:rPr>
            </w:pPr>
            <w:r w:rsidRPr="00520861">
              <w:rPr>
                <w:sz w:val="28"/>
                <w:szCs w:val="28"/>
              </w:rPr>
              <w:t>11 та вище</w:t>
            </w:r>
          </w:p>
        </w:tc>
        <w:tc>
          <w:tcPr>
            <w:tcW w:w="1056" w:type="dxa"/>
            <w:tcBorders>
              <w:top w:val="single" w:sz="4" w:space="0" w:color="auto"/>
              <w:left w:val="single" w:sz="4" w:space="0" w:color="auto"/>
              <w:bottom w:val="single" w:sz="4" w:space="0" w:color="auto"/>
              <w:right w:val="single" w:sz="4" w:space="0" w:color="auto"/>
            </w:tcBorders>
            <w:hideMark/>
          </w:tcPr>
          <w:p w14:paraId="720BD8D9" w14:textId="77777777" w:rsidR="00CF641C" w:rsidRPr="00520861" w:rsidRDefault="00CF641C" w:rsidP="00292D2E">
            <w:pPr>
              <w:widowControl w:val="0"/>
              <w:spacing w:line="360" w:lineRule="auto"/>
              <w:contextualSpacing/>
              <w:jc w:val="center"/>
              <w:rPr>
                <w:sz w:val="28"/>
                <w:szCs w:val="28"/>
              </w:rPr>
            </w:pPr>
            <w:r w:rsidRPr="00520861">
              <w:rPr>
                <w:rFonts w:eastAsia="Calibri"/>
                <w:sz w:val="28"/>
                <w:szCs w:val="28"/>
                <w:lang w:eastAsia="en-US"/>
              </w:rPr>
              <w:t>12 та вище</w:t>
            </w:r>
          </w:p>
        </w:tc>
        <w:tc>
          <w:tcPr>
            <w:tcW w:w="1056" w:type="dxa"/>
            <w:tcBorders>
              <w:top w:val="single" w:sz="4" w:space="0" w:color="auto"/>
              <w:left w:val="single" w:sz="4" w:space="0" w:color="auto"/>
              <w:bottom w:val="single" w:sz="4" w:space="0" w:color="auto"/>
              <w:right w:val="single" w:sz="4" w:space="0" w:color="auto"/>
            </w:tcBorders>
            <w:hideMark/>
          </w:tcPr>
          <w:p w14:paraId="4B8ADF23" w14:textId="77777777" w:rsidR="00CF641C" w:rsidRPr="00520861" w:rsidRDefault="00CF641C" w:rsidP="00292D2E">
            <w:pPr>
              <w:widowControl w:val="0"/>
              <w:spacing w:line="360" w:lineRule="auto"/>
              <w:contextualSpacing/>
              <w:jc w:val="center"/>
              <w:rPr>
                <w:sz w:val="28"/>
                <w:szCs w:val="28"/>
              </w:rPr>
            </w:pPr>
            <w:r w:rsidRPr="00520861">
              <w:rPr>
                <w:sz w:val="28"/>
                <w:szCs w:val="28"/>
              </w:rPr>
              <w:t>13 та вище</w:t>
            </w:r>
          </w:p>
        </w:tc>
        <w:tc>
          <w:tcPr>
            <w:tcW w:w="1056" w:type="dxa"/>
            <w:tcBorders>
              <w:top w:val="single" w:sz="4" w:space="0" w:color="auto"/>
              <w:left w:val="single" w:sz="4" w:space="0" w:color="auto"/>
              <w:bottom w:val="single" w:sz="4" w:space="0" w:color="auto"/>
              <w:right w:val="single" w:sz="4" w:space="0" w:color="auto"/>
            </w:tcBorders>
            <w:hideMark/>
          </w:tcPr>
          <w:p w14:paraId="299F278B" w14:textId="77777777" w:rsidR="00CF641C" w:rsidRPr="00520861" w:rsidRDefault="00CF641C" w:rsidP="00292D2E">
            <w:pPr>
              <w:widowControl w:val="0"/>
              <w:spacing w:line="360" w:lineRule="auto"/>
              <w:contextualSpacing/>
              <w:jc w:val="center"/>
              <w:rPr>
                <w:sz w:val="28"/>
                <w:szCs w:val="28"/>
              </w:rPr>
            </w:pPr>
            <w:r w:rsidRPr="00520861">
              <w:rPr>
                <w:sz w:val="28"/>
                <w:szCs w:val="28"/>
              </w:rPr>
              <w:t>16 та вище</w:t>
            </w:r>
          </w:p>
        </w:tc>
      </w:tr>
    </w:tbl>
    <w:p w14:paraId="3C0D33DF"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p>
    <w:p w14:paraId="618BD5D1" w14:textId="77777777" w:rsidR="00CF641C" w:rsidRPr="00520861" w:rsidRDefault="00CF641C" w:rsidP="00292D2E">
      <w:pPr>
        <w:widowControl w:val="0"/>
        <w:spacing w:line="360" w:lineRule="auto"/>
        <w:ind w:firstLine="709"/>
        <w:contextualSpacing/>
        <w:jc w:val="both"/>
        <w:rPr>
          <w:rFonts w:eastAsia="Calibri"/>
          <w:b/>
          <w:bCs/>
          <w:sz w:val="28"/>
          <w:szCs w:val="28"/>
          <w:lang w:eastAsia="en-US"/>
        </w:rPr>
      </w:pPr>
      <w:r w:rsidRPr="00520861">
        <w:rPr>
          <w:rFonts w:eastAsia="Calibri"/>
          <w:sz w:val="28"/>
          <w:szCs w:val="28"/>
          <w:lang w:eastAsia="en-US"/>
        </w:rPr>
        <w:t xml:space="preserve">До основної групи із середньою інтенсивністю карієсу зубів (ОГ СІК) відібрані 30 осіб (середній вік – 25,6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23, 20 та 28 років відповідно),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Двадцять осіб-</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(середній вік – 21,9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21,5, 13 та 24,75 року відповідно), які мали низьку інтенсивність карієсу зубів, було віднесено до групи порівняння (ГП). Очевидно, що з віком інтенсивність карієсу збільшується. Як зазначалося вище, ВООЗ у своїх рекомендаціях визначає шкали для оцінки інтенсивності карієсу у вікових періодах 12 і 35 – 45 років. Для періодів усередині зазначених меж </w:t>
      </w:r>
      <w:proofErr w:type="spellStart"/>
      <w:r w:rsidRPr="00520861">
        <w:rPr>
          <w:rFonts w:eastAsia="Calibri"/>
          <w:sz w:val="28"/>
          <w:szCs w:val="28"/>
          <w:lang w:eastAsia="en-US"/>
        </w:rPr>
        <w:t>логічно</w:t>
      </w:r>
      <w:proofErr w:type="spellEnd"/>
      <w:r w:rsidRPr="00520861">
        <w:rPr>
          <w:rFonts w:eastAsia="Calibri"/>
          <w:sz w:val="28"/>
          <w:szCs w:val="28"/>
          <w:lang w:eastAsia="en-US"/>
        </w:rPr>
        <w:t xml:space="preserve"> скористатися лінійно інтерпольованими значеннями. Отже, при аналізі впливу деякого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на каріозний процес у різних групах </w:t>
      </w:r>
      <w:r w:rsidRPr="00520861">
        <w:rPr>
          <w:rFonts w:eastAsia="Calibri"/>
          <w:sz w:val="28"/>
          <w:szCs w:val="28"/>
          <w:lang w:eastAsia="en-US"/>
        </w:rPr>
        <w:br/>
        <w:t>удається виключити можливий вплив відмінності у віці учасників.</w:t>
      </w:r>
    </w:p>
    <w:p w14:paraId="4C968AAB" w14:textId="77777777" w:rsidR="00CF641C" w:rsidRPr="00520861" w:rsidRDefault="00CF641C" w:rsidP="00292D2E">
      <w:pPr>
        <w:widowControl w:val="0"/>
        <w:spacing w:line="360" w:lineRule="auto"/>
        <w:ind w:firstLine="709"/>
        <w:jc w:val="both"/>
        <w:rPr>
          <w:rFonts w:eastAsia="Calibri"/>
          <w:sz w:val="28"/>
          <w:szCs w:val="28"/>
          <w:lang w:val="ru-RU" w:eastAsia="en-US"/>
        </w:rPr>
      </w:pPr>
      <w:r w:rsidRPr="00520861">
        <w:rPr>
          <w:sz w:val="28"/>
          <w:szCs w:val="28"/>
        </w:rPr>
        <w:t xml:space="preserve">З метою виявлення можливого впливу поліморфізму гена </w:t>
      </w:r>
      <w:r w:rsidRPr="00520861">
        <w:rPr>
          <w:rFonts w:eastAsia="Calibri"/>
          <w:i/>
          <w:sz w:val="28"/>
          <w:szCs w:val="28"/>
          <w:lang w:eastAsia="en-US"/>
        </w:rPr>
        <w:t>BMP7</w:t>
      </w:r>
      <w:r w:rsidRPr="00520861">
        <w:rPr>
          <w:rFonts w:eastAsia="Calibri"/>
          <w:sz w:val="28"/>
          <w:szCs w:val="28"/>
          <w:lang w:eastAsia="en-US"/>
        </w:rPr>
        <w:t>:</w:t>
      </w:r>
      <w:r w:rsidRPr="00520861">
        <w:rPr>
          <w:sz w:val="28"/>
          <w:szCs w:val="28"/>
        </w:rPr>
        <w:t xml:space="preserve"> [rs72626594] на розвиток каріозного процесу постійних зубів в осіб різного віку, які народилися </w:t>
      </w:r>
      <w:proofErr w:type="spellStart"/>
      <w:r w:rsidRPr="00520861">
        <w:rPr>
          <w:sz w:val="28"/>
          <w:szCs w:val="28"/>
        </w:rPr>
        <w:t>макросомами</w:t>
      </w:r>
      <w:proofErr w:type="spellEnd"/>
      <w:r w:rsidRPr="00520861">
        <w:rPr>
          <w:sz w:val="28"/>
          <w:szCs w:val="28"/>
        </w:rPr>
        <w:t>, популяції Харківської області та прилеглих областей МГ методом було обстежено 150 осіб</w:t>
      </w:r>
      <w:r w:rsidRPr="00520861">
        <w:rPr>
          <w:rFonts w:eastAsia="Calibri"/>
          <w:sz w:val="28"/>
          <w:szCs w:val="28"/>
          <w:lang w:eastAsia="en-US"/>
        </w:rPr>
        <w:t xml:space="preserve"> віком від 11 до 55 років. Основна група складалася із 100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У ГП було відібрано 50 осіб із МРП при народженні, які відповідали нормі. Додатково було проведене розділення учасників дослідження ОГ та ГП на підгрупи за значеннями інтенсивності (</w:t>
      </w:r>
      <w:r w:rsidRPr="00520861">
        <w:rPr>
          <w:rFonts w:eastAsia="Calibri"/>
          <w:sz w:val="28"/>
          <w:szCs w:val="28"/>
        </w:rPr>
        <w:t xml:space="preserve">низький, середній та </w:t>
      </w:r>
      <w:r w:rsidRPr="00520861">
        <w:rPr>
          <w:rFonts w:eastAsia="Calibri"/>
          <w:sz w:val="28"/>
          <w:szCs w:val="28"/>
        </w:rPr>
        <w:lastRenderedPageBreak/>
        <w:t xml:space="preserve">високий рівень) </w:t>
      </w:r>
      <w:r w:rsidRPr="00520861">
        <w:rPr>
          <w:rFonts w:eastAsia="Calibri"/>
          <w:sz w:val="28"/>
          <w:szCs w:val="28"/>
          <w:lang w:eastAsia="en-US"/>
        </w:rPr>
        <w:t>розвитку карієсу постійних зубів. Середній вік осіб ОГ становив 26,2 року, а середній вік осіб ГП склав 25,6 року.</w:t>
      </w:r>
    </w:p>
    <w:p w14:paraId="4652907F" w14:textId="77777777" w:rsidR="00CF641C" w:rsidRPr="00520861" w:rsidRDefault="00CF641C" w:rsidP="00292D2E">
      <w:pPr>
        <w:widowControl w:val="0"/>
        <w:spacing w:line="360" w:lineRule="auto"/>
        <w:ind w:firstLine="708"/>
        <w:jc w:val="both"/>
        <w:rPr>
          <w:rFonts w:eastAsia="Calibri"/>
          <w:sz w:val="28"/>
          <w:szCs w:val="28"/>
        </w:rPr>
      </w:pPr>
      <w:r w:rsidRPr="00520861">
        <w:rPr>
          <w:sz w:val="28"/>
          <w:szCs w:val="28"/>
        </w:rPr>
        <w:t>Беручи до уваги досить низьку очікувану частоту алеля А в популяції, для верифікації методу перед початком основного дослідження проводилося пробне тестування 20 осіб, відібраних випадково, стоматологічний статус яких не оцінювався.</w:t>
      </w:r>
    </w:p>
    <w:p w14:paraId="687E31D3" w14:textId="77777777" w:rsidR="00CF641C" w:rsidRPr="00520861" w:rsidRDefault="00CF641C" w:rsidP="00292D2E">
      <w:pPr>
        <w:widowControl w:val="0"/>
        <w:spacing w:line="360" w:lineRule="auto"/>
        <w:ind w:firstLine="720"/>
        <w:jc w:val="both"/>
        <w:rPr>
          <w:sz w:val="28"/>
          <w:szCs w:val="28"/>
        </w:rPr>
      </w:pPr>
      <w:r w:rsidRPr="00520861">
        <w:rPr>
          <w:sz w:val="28"/>
          <w:szCs w:val="28"/>
        </w:rPr>
        <w:t xml:space="preserve">З метою виявлення асоціації між поліморфними варіантами генів </w:t>
      </w:r>
      <w:r w:rsidRPr="00520861">
        <w:rPr>
          <w:i/>
          <w:sz w:val="28"/>
          <w:szCs w:val="28"/>
        </w:rPr>
        <w:t>CYP19A1:</w:t>
      </w:r>
      <w:r w:rsidRPr="00520861">
        <w:rPr>
          <w:sz w:val="28"/>
          <w:szCs w:val="28"/>
        </w:rPr>
        <w:t xml:space="preserve"> [rs2414096, rs936306], </w:t>
      </w:r>
      <w:r w:rsidRPr="00520861">
        <w:rPr>
          <w:i/>
          <w:sz w:val="28"/>
          <w:szCs w:val="28"/>
        </w:rPr>
        <w:t>ESR1:</w:t>
      </w:r>
      <w:r w:rsidRPr="00520861">
        <w:rPr>
          <w:sz w:val="28"/>
          <w:szCs w:val="28"/>
        </w:rPr>
        <w:t xml:space="preserve"> [rs2234693, rs9340799], </w:t>
      </w:r>
      <w:r w:rsidRPr="00520861">
        <w:rPr>
          <w:i/>
          <w:sz w:val="28"/>
          <w:szCs w:val="28"/>
        </w:rPr>
        <w:t>IL1</w:t>
      </w:r>
      <w:r w:rsidRPr="00520861">
        <w:rPr>
          <w:i/>
          <w:sz w:val="28"/>
          <w:szCs w:val="28"/>
        </w:rPr>
        <w:sym w:font="Symbol" w:char="F062"/>
      </w:r>
      <w:r w:rsidRPr="00520861">
        <w:rPr>
          <w:i/>
          <w:sz w:val="28"/>
          <w:szCs w:val="28"/>
        </w:rPr>
        <w:t>:</w:t>
      </w:r>
      <w:r w:rsidRPr="00520861">
        <w:rPr>
          <w:sz w:val="28"/>
          <w:szCs w:val="28"/>
        </w:rPr>
        <w:t xml:space="preserve"> [rs1143627], </w:t>
      </w:r>
      <w:r w:rsidRPr="00520861">
        <w:rPr>
          <w:i/>
          <w:sz w:val="28"/>
          <w:szCs w:val="28"/>
        </w:rPr>
        <w:t>IL6:</w:t>
      </w:r>
      <w:r w:rsidRPr="00520861">
        <w:rPr>
          <w:sz w:val="28"/>
          <w:szCs w:val="28"/>
        </w:rPr>
        <w:t xml:space="preserve"> [rs1800796], </w:t>
      </w:r>
      <w:r w:rsidRPr="00520861">
        <w:rPr>
          <w:i/>
          <w:sz w:val="28"/>
          <w:szCs w:val="28"/>
        </w:rPr>
        <w:t>IL10:</w:t>
      </w:r>
      <w:r w:rsidRPr="00520861">
        <w:rPr>
          <w:sz w:val="28"/>
          <w:szCs w:val="28"/>
        </w:rPr>
        <w:t xml:space="preserve"> [rs1800896], </w:t>
      </w:r>
      <w:r w:rsidRPr="00520861">
        <w:rPr>
          <w:i/>
          <w:sz w:val="28"/>
          <w:szCs w:val="28"/>
        </w:rPr>
        <w:t>RANKL:</w:t>
      </w:r>
      <w:r w:rsidRPr="00520861">
        <w:rPr>
          <w:sz w:val="28"/>
          <w:szCs w:val="28"/>
        </w:rPr>
        <w:t xml:space="preserve"> [rs9594738, </w:t>
      </w:r>
      <w:proofErr w:type="spellStart"/>
      <w:r w:rsidRPr="00520861">
        <w:rPr>
          <w:sz w:val="28"/>
          <w:szCs w:val="28"/>
        </w:rPr>
        <w:t>rs</w:t>
      </w:r>
      <w:proofErr w:type="spellEnd"/>
      <w:r w:rsidRPr="00520861">
        <w:rPr>
          <w:sz w:val="28"/>
          <w:szCs w:val="28"/>
        </w:rPr>
        <w:t xml:space="preserve"> 9594759] та </w:t>
      </w:r>
      <w:r w:rsidRPr="00520861">
        <w:rPr>
          <w:i/>
          <w:sz w:val="28"/>
          <w:szCs w:val="28"/>
        </w:rPr>
        <w:t>VDR:</w:t>
      </w:r>
      <w:r w:rsidRPr="00520861">
        <w:rPr>
          <w:sz w:val="28"/>
          <w:szCs w:val="28"/>
        </w:rPr>
        <w:t xml:space="preserve"> [rs1544410, rs10735810] та формуванням порушень тканин </w:t>
      </w:r>
      <w:proofErr w:type="spellStart"/>
      <w:r w:rsidRPr="00520861">
        <w:rPr>
          <w:sz w:val="28"/>
          <w:szCs w:val="28"/>
        </w:rPr>
        <w:t>пародонта</w:t>
      </w:r>
      <w:proofErr w:type="spellEnd"/>
      <w:r w:rsidRPr="00520861">
        <w:rPr>
          <w:sz w:val="28"/>
          <w:szCs w:val="28"/>
        </w:rPr>
        <w:t xml:space="preserve"> з превалюванням запального (</w:t>
      </w:r>
      <w:proofErr w:type="spellStart"/>
      <w:r w:rsidRPr="00520861">
        <w:rPr>
          <w:sz w:val="28"/>
          <w:szCs w:val="28"/>
        </w:rPr>
        <w:t>пародонтит</w:t>
      </w:r>
      <w:proofErr w:type="spellEnd"/>
      <w:r w:rsidRPr="00520861">
        <w:rPr>
          <w:sz w:val="28"/>
          <w:szCs w:val="28"/>
        </w:rPr>
        <w:t xml:space="preserve">) чи дистрофічного (пародонтоз) варіантів перебігу в осіб популяції Харківської області та прилеглих областей, які були народжені з </w:t>
      </w:r>
      <w:proofErr w:type="spellStart"/>
      <w:r w:rsidRPr="00520861">
        <w:rPr>
          <w:sz w:val="28"/>
          <w:szCs w:val="28"/>
        </w:rPr>
        <w:t>макросомією</w:t>
      </w:r>
      <w:proofErr w:type="spellEnd"/>
      <w:r w:rsidRPr="00520861">
        <w:rPr>
          <w:sz w:val="28"/>
          <w:szCs w:val="28"/>
        </w:rPr>
        <w:t xml:space="preserve">, МГ методом було обстежено 81 особу різного віку (від 18 до 55 років) та статі (співвідношення кількості осіб чоловічої та жіночої статі становило 3/2), які мешкають у </w:t>
      </w:r>
      <w:r w:rsidRPr="00520861">
        <w:rPr>
          <w:sz w:val="28"/>
          <w:szCs w:val="28"/>
        </w:rPr>
        <w:br/>
        <w:t>Харківській і прилеглих областях.</w:t>
      </w:r>
    </w:p>
    <w:p w14:paraId="4C4A55C0"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Учасники цього фрагмента дослідження були розділені на 3 групи. Учасників ОГ, у яких був діагностований хронічний </w:t>
      </w:r>
      <w:proofErr w:type="spellStart"/>
      <w:r w:rsidRPr="00520861">
        <w:rPr>
          <w:rFonts w:eastAsia="Calibri"/>
          <w:sz w:val="28"/>
          <w:szCs w:val="28"/>
          <w:lang w:eastAsia="en-US"/>
        </w:rPr>
        <w:t>пародонтит</w:t>
      </w:r>
      <w:proofErr w:type="spellEnd"/>
      <w:r w:rsidRPr="00520861">
        <w:rPr>
          <w:rFonts w:eastAsia="Calibri"/>
          <w:sz w:val="28"/>
          <w:szCs w:val="28"/>
          <w:lang w:eastAsia="en-US"/>
        </w:rPr>
        <w:t xml:space="preserve"> (початкового, першого або другого ступеня розвитку), відносили до основної групи із превалюванням запальних процесів у тканинах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(ОГ ПЗП). Ця група складалася з 38 осіб віком від 18 до 52 років (середній вік – 31,0 року; медіана </w:t>
      </w:r>
      <w:r w:rsidRPr="00520861">
        <w:rPr>
          <w:rFonts w:eastAsia="Calibri"/>
          <w:i/>
          <w:sz w:val="28"/>
          <w:szCs w:val="28"/>
          <w:lang w:eastAsia="en-US"/>
        </w:rPr>
        <w:t>M</w:t>
      </w:r>
      <w:r w:rsidRPr="00520861">
        <w:rPr>
          <w:rFonts w:eastAsia="Calibri"/>
          <w:sz w:val="28"/>
          <w:szCs w:val="28"/>
          <w:lang w:eastAsia="en-US"/>
        </w:rPr>
        <w:t xml:space="preserve">, перша </w:t>
      </w:r>
      <w:r w:rsidRPr="00520861">
        <w:rPr>
          <w:rFonts w:eastAsia="Calibri"/>
          <w:i/>
          <w:sz w:val="28"/>
          <w:szCs w:val="28"/>
          <w:lang w:eastAsia="en-US"/>
        </w:rPr>
        <w:t>Q1</w:t>
      </w:r>
      <w:r w:rsidRPr="00520861">
        <w:rPr>
          <w:rFonts w:eastAsia="Calibri"/>
          <w:sz w:val="28"/>
          <w:szCs w:val="28"/>
          <w:lang w:eastAsia="en-US"/>
        </w:rPr>
        <w:t xml:space="preserve"> та третя </w:t>
      </w:r>
      <w:r w:rsidRPr="00520861">
        <w:rPr>
          <w:rFonts w:eastAsia="Calibri"/>
          <w:i/>
          <w:sz w:val="28"/>
          <w:szCs w:val="28"/>
          <w:lang w:eastAsia="en-US"/>
        </w:rPr>
        <w:t>Q3</w:t>
      </w:r>
      <w:r w:rsidRPr="00520861">
        <w:rPr>
          <w:rFonts w:eastAsia="Calibri"/>
          <w:sz w:val="28"/>
          <w:szCs w:val="28"/>
          <w:lang w:eastAsia="en-US"/>
        </w:rPr>
        <w:t xml:space="preserve"> </w:t>
      </w:r>
      <w:proofErr w:type="spellStart"/>
      <w:r w:rsidRPr="00520861">
        <w:rPr>
          <w:rFonts w:eastAsia="Calibri"/>
          <w:sz w:val="28"/>
          <w:szCs w:val="28"/>
          <w:lang w:eastAsia="en-US"/>
        </w:rPr>
        <w:t>квартилі</w:t>
      </w:r>
      <w:proofErr w:type="spellEnd"/>
      <w:r w:rsidRPr="00520861">
        <w:rPr>
          <w:rFonts w:eastAsia="Calibri"/>
          <w:sz w:val="28"/>
          <w:szCs w:val="28"/>
          <w:lang w:eastAsia="en-US"/>
        </w:rPr>
        <w:t xml:space="preserve"> становлять 29, 23 та 35,25 року відповідно). Учасники ОГ, у яких був зафіксований </w:t>
      </w:r>
      <w:r w:rsidRPr="00520861">
        <w:rPr>
          <w:rFonts w:eastAsia="Calibri"/>
          <w:sz w:val="28"/>
          <w:szCs w:val="28"/>
          <w:lang w:eastAsia="en-US"/>
        </w:rPr>
        <w:br/>
        <w:t xml:space="preserve">пародонтоз (початкового, першого або другого ступеня розвитку), були віднесені до основної групи із превалюванням дистрофічних процесів у тканинах </w:t>
      </w:r>
      <w:r w:rsidRPr="00520861">
        <w:rPr>
          <w:rFonts w:eastAsia="Calibri"/>
          <w:sz w:val="28"/>
          <w:szCs w:val="28"/>
          <w:lang w:eastAsia="en-US"/>
        </w:rPr>
        <w:br/>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(ОГ ПДП). Ця група складалася з 28 осіб віком від 22 до 55 років (середній вік – 34,7 року; </w:t>
      </w:r>
      <w:r w:rsidRPr="00520861">
        <w:rPr>
          <w:rFonts w:eastAsia="Calibri"/>
          <w:i/>
          <w:sz w:val="28"/>
          <w:szCs w:val="28"/>
          <w:lang w:eastAsia="en-US"/>
        </w:rPr>
        <w:t>M</w:t>
      </w:r>
      <w:r w:rsidRPr="00520861">
        <w:rPr>
          <w:rFonts w:eastAsia="Calibri"/>
          <w:sz w:val="28"/>
          <w:szCs w:val="28"/>
          <w:lang w:eastAsia="en-US"/>
        </w:rPr>
        <w:t xml:space="preserve">, </w:t>
      </w:r>
      <w:r w:rsidRPr="00520861">
        <w:rPr>
          <w:rFonts w:eastAsia="Calibri"/>
          <w:i/>
          <w:sz w:val="28"/>
          <w:szCs w:val="28"/>
          <w:lang w:eastAsia="en-US"/>
        </w:rPr>
        <w:t>Q1</w:t>
      </w:r>
      <w:r w:rsidRPr="00520861">
        <w:rPr>
          <w:rFonts w:eastAsia="Calibri"/>
          <w:sz w:val="28"/>
          <w:szCs w:val="28"/>
          <w:lang w:eastAsia="en-US"/>
        </w:rPr>
        <w:t xml:space="preserve"> та </w:t>
      </w:r>
      <w:r w:rsidRPr="00520861">
        <w:rPr>
          <w:rFonts w:eastAsia="Calibri"/>
          <w:i/>
          <w:sz w:val="28"/>
          <w:szCs w:val="28"/>
          <w:lang w:eastAsia="en-US"/>
        </w:rPr>
        <w:t>Q3</w:t>
      </w:r>
      <w:r w:rsidRPr="00520861">
        <w:rPr>
          <w:rFonts w:eastAsia="Calibri"/>
          <w:sz w:val="28"/>
          <w:szCs w:val="28"/>
          <w:lang w:eastAsia="en-US"/>
        </w:rPr>
        <w:t xml:space="preserve"> становили 32, 23,75 та 46,25 року відповідно).</w:t>
      </w:r>
    </w:p>
    <w:p w14:paraId="5AC8886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 цьому етапі дослідження до ГП, яка складалася з 15 осіб, були відібрані особи віком від 18 до 43 років (середній вік – 25,2 року; </w:t>
      </w:r>
      <w:r w:rsidRPr="00520861">
        <w:rPr>
          <w:rFonts w:eastAsia="Calibri"/>
          <w:i/>
          <w:sz w:val="28"/>
          <w:szCs w:val="28"/>
          <w:lang w:eastAsia="en-US"/>
        </w:rPr>
        <w:t>M</w:t>
      </w:r>
      <w:r w:rsidRPr="00520861">
        <w:rPr>
          <w:rFonts w:eastAsia="Calibri"/>
          <w:sz w:val="28"/>
          <w:szCs w:val="28"/>
          <w:lang w:eastAsia="en-US"/>
        </w:rPr>
        <w:t xml:space="preserve">, </w:t>
      </w:r>
      <w:r w:rsidRPr="00520861">
        <w:rPr>
          <w:rFonts w:eastAsia="Calibri"/>
          <w:i/>
          <w:sz w:val="28"/>
          <w:szCs w:val="28"/>
          <w:lang w:eastAsia="en-US"/>
        </w:rPr>
        <w:t>Q1</w:t>
      </w:r>
      <w:r w:rsidRPr="00520861">
        <w:rPr>
          <w:rFonts w:eastAsia="Calibri"/>
          <w:sz w:val="28"/>
          <w:szCs w:val="28"/>
          <w:lang w:eastAsia="en-US"/>
        </w:rPr>
        <w:t xml:space="preserve"> та </w:t>
      </w:r>
      <w:r w:rsidRPr="00520861">
        <w:rPr>
          <w:rFonts w:eastAsia="Calibri"/>
          <w:i/>
          <w:sz w:val="28"/>
          <w:szCs w:val="28"/>
          <w:lang w:eastAsia="en-US"/>
        </w:rPr>
        <w:t>Q3</w:t>
      </w:r>
      <w:r w:rsidRPr="00520861">
        <w:rPr>
          <w:rFonts w:eastAsia="Calibri"/>
          <w:sz w:val="28"/>
          <w:szCs w:val="28"/>
          <w:lang w:eastAsia="en-US"/>
        </w:rPr>
        <w:t xml:space="preserve"> становили 22, 20 та 31 рік відповідно), як </w:t>
      </w:r>
      <w:proofErr w:type="spellStart"/>
      <w:r w:rsidRPr="00520861">
        <w:rPr>
          <w:rFonts w:eastAsia="Calibri"/>
          <w:sz w:val="28"/>
          <w:szCs w:val="28"/>
          <w:lang w:eastAsia="en-US"/>
        </w:rPr>
        <w:t>нормосоми</w:t>
      </w:r>
      <w:proofErr w:type="spellEnd"/>
      <w:r w:rsidRPr="00520861">
        <w:rPr>
          <w:rFonts w:eastAsia="Calibri"/>
          <w:sz w:val="28"/>
          <w:szCs w:val="28"/>
          <w:lang w:eastAsia="en-US"/>
        </w:rPr>
        <w:t xml:space="preserve">, так і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з умовно здоровим </w:t>
      </w:r>
      <w:r w:rsidRPr="00520861">
        <w:rPr>
          <w:rFonts w:eastAsia="Calibri"/>
          <w:sz w:val="28"/>
          <w:szCs w:val="28"/>
          <w:lang w:eastAsia="en-US"/>
        </w:rPr>
        <w:br/>
        <w:t xml:space="preserve">пародонтом. За умовно здоровий пародонт уважали клінічний стан, при якому на момент обстеження відсутні запалення, набряк, кровоточивість ясен та втрата </w:t>
      </w:r>
      <w:r w:rsidRPr="00520861">
        <w:rPr>
          <w:rFonts w:eastAsia="Calibri"/>
          <w:sz w:val="28"/>
          <w:szCs w:val="28"/>
          <w:lang w:eastAsia="en-US"/>
        </w:rPr>
        <w:br/>
        <w:t xml:space="preserve">прикріплення. Група була репрезентативною за статтю. По частоті генотипів, які </w:t>
      </w:r>
      <w:r w:rsidRPr="00520861">
        <w:rPr>
          <w:rFonts w:eastAsia="Calibri"/>
          <w:sz w:val="28"/>
          <w:szCs w:val="28"/>
          <w:lang w:eastAsia="en-US"/>
        </w:rPr>
        <w:br/>
      </w:r>
      <w:r w:rsidRPr="00520861">
        <w:rPr>
          <w:rFonts w:eastAsia="Calibri"/>
          <w:sz w:val="28"/>
          <w:szCs w:val="28"/>
          <w:lang w:eastAsia="en-US"/>
        </w:rPr>
        <w:lastRenderedPageBreak/>
        <w:t xml:space="preserve">асоціюються з ризиком розвитку </w:t>
      </w:r>
      <w:proofErr w:type="spellStart"/>
      <w:r w:rsidRPr="00520861">
        <w:rPr>
          <w:rFonts w:eastAsia="Calibri"/>
          <w:sz w:val="28"/>
          <w:szCs w:val="28"/>
          <w:lang w:eastAsia="en-US"/>
        </w:rPr>
        <w:t>хвороб</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учасники ГП </w:t>
      </w:r>
      <w:proofErr w:type="spellStart"/>
      <w:r w:rsidRPr="00520861">
        <w:rPr>
          <w:rFonts w:eastAsia="Calibri"/>
          <w:sz w:val="28"/>
          <w:szCs w:val="28"/>
          <w:lang w:eastAsia="en-US"/>
        </w:rPr>
        <w:t>нормосоми</w:t>
      </w:r>
      <w:proofErr w:type="spellEnd"/>
      <w:r w:rsidRPr="00520861">
        <w:rPr>
          <w:rFonts w:eastAsia="Calibri"/>
          <w:sz w:val="28"/>
          <w:szCs w:val="28"/>
          <w:lang w:eastAsia="en-US"/>
        </w:rPr>
        <w:t xml:space="preserve"> і </w:t>
      </w:r>
      <w:r w:rsidRPr="00520861">
        <w:rPr>
          <w:rFonts w:eastAsia="Calibri"/>
          <w:sz w:val="28"/>
          <w:szCs w:val="28"/>
          <w:lang w:eastAsia="en-US"/>
        </w:rPr>
        <w:br/>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між собою не відрізнялися.</w:t>
      </w:r>
    </w:p>
    <w:p w14:paraId="5A24E513" w14:textId="77777777" w:rsidR="00CF641C" w:rsidRPr="00520861" w:rsidRDefault="00CF641C" w:rsidP="00292D2E">
      <w:pPr>
        <w:widowControl w:val="0"/>
        <w:spacing w:line="360" w:lineRule="auto"/>
        <w:ind w:firstLine="720"/>
        <w:jc w:val="both"/>
        <w:rPr>
          <w:color w:val="000000"/>
          <w:spacing w:val="-2"/>
          <w:sz w:val="28"/>
          <w:szCs w:val="28"/>
        </w:rPr>
      </w:pPr>
      <w:r w:rsidRPr="00520861">
        <w:rPr>
          <w:rFonts w:eastAsia="Calibri"/>
          <w:spacing w:val="-2"/>
          <w:sz w:val="28"/>
          <w:szCs w:val="28"/>
          <w:lang w:eastAsia="en-US"/>
        </w:rPr>
        <w:t xml:space="preserve">Медіанні значення МРП при народженні в осіб ГП вірогідно не відрізнялися від таких в ОГ ПДП та ОГ ПЗП. </w:t>
      </w:r>
      <w:r w:rsidRPr="00520861">
        <w:rPr>
          <w:color w:val="000000"/>
          <w:spacing w:val="-2"/>
          <w:sz w:val="28"/>
          <w:szCs w:val="28"/>
        </w:rPr>
        <w:t xml:space="preserve">В осіб </w:t>
      </w:r>
      <w:r w:rsidRPr="00520861">
        <w:rPr>
          <w:rFonts w:eastAsia="Calibri"/>
          <w:spacing w:val="-2"/>
          <w:sz w:val="28"/>
          <w:szCs w:val="28"/>
          <w:lang w:eastAsia="en-US"/>
        </w:rPr>
        <w:t>ОГ ПДП</w:t>
      </w:r>
      <w:r w:rsidRPr="00520861">
        <w:rPr>
          <w:color w:val="000000"/>
          <w:spacing w:val="-2"/>
          <w:sz w:val="28"/>
          <w:szCs w:val="28"/>
        </w:rPr>
        <w:t xml:space="preserve"> при народженні</w:t>
      </w:r>
      <w:r w:rsidRPr="00520861">
        <w:rPr>
          <w:rFonts w:eastAsia="Calibri"/>
          <w:spacing w:val="-2"/>
          <w:sz w:val="28"/>
          <w:szCs w:val="28"/>
          <w:lang w:eastAsia="en-US"/>
        </w:rPr>
        <w:t xml:space="preserve"> маса тіла становила </w:t>
      </w:r>
      <w:r w:rsidRPr="00520861">
        <w:rPr>
          <w:color w:val="000000"/>
          <w:spacing w:val="-2"/>
          <w:sz w:val="28"/>
          <w:szCs w:val="28"/>
        </w:rPr>
        <w:t>4,2 (4,08; 4,5) кг, довжина тіла – 53 (52; 54) (м×10</w:t>
      </w:r>
      <w:r w:rsidRPr="00520861">
        <w:rPr>
          <w:color w:val="000000"/>
          <w:spacing w:val="-2"/>
          <w:sz w:val="28"/>
          <w:szCs w:val="28"/>
          <w:vertAlign w:val="superscript"/>
        </w:rPr>
        <w:t>2</w:t>
      </w:r>
      <w:r w:rsidRPr="00520861">
        <w:rPr>
          <w:color w:val="000000"/>
          <w:spacing w:val="-2"/>
          <w:sz w:val="28"/>
          <w:szCs w:val="28"/>
        </w:rPr>
        <w:t xml:space="preserve">), індекс маси тіла – 28,448 (26,819; 31,362). В осіб </w:t>
      </w:r>
      <w:r w:rsidRPr="00520861">
        <w:rPr>
          <w:rFonts w:eastAsia="Calibri"/>
          <w:spacing w:val="-2"/>
          <w:sz w:val="28"/>
          <w:szCs w:val="28"/>
          <w:lang w:eastAsia="en-US"/>
        </w:rPr>
        <w:t xml:space="preserve">ОГПЗП </w:t>
      </w:r>
      <w:r w:rsidRPr="00520861">
        <w:rPr>
          <w:color w:val="000000"/>
          <w:spacing w:val="-2"/>
          <w:sz w:val="28"/>
          <w:szCs w:val="28"/>
        </w:rPr>
        <w:t>при народженні</w:t>
      </w:r>
      <w:r w:rsidRPr="00520861">
        <w:rPr>
          <w:rFonts w:eastAsia="Calibri"/>
          <w:spacing w:val="-2"/>
          <w:sz w:val="28"/>
          <w:szCs w:val="28"/>
          <w:lang w:eastAsia="en-US"/>
        </w:rPr>
        <w:t xml:space="preserve"> м</w:t>
      </w:r>
      <w:r w:rsidRPr="00520861">
        <w:rPr>
          <w:color w:val="000000"/>
          <w:spacing w:val="-2"/>
          <w:sz w:val="28"/>
          <w:szCs w:val="28"/>
        </w:rPr>
        <w:t>аса тіла склала 4,2 (4,1; 4,4) кг, довжина тіла – 55 (53; 57) (м×10</w:t>
      </w:r>
      <w:r w:rsidRPr="00520861">
        <w:rPr>
          <w:color w:val="000000"/>
          <w:spacing w:val="-2"/>
          <w:sz w:val="28"/>
          <w:szCs w:val="28"/>
          <w:vertAlign w:val="superscript"/>
        </w:rPr>
        <w:t>2</w:t>
      </w:r>
      <w:r w:rsidRPr="00520861">
        <w:rPr>
          <w:color w:val="000000"/>
          <w:spacing w:val="-2"/>
          <w:sz w:val="28"/>
          <w:szCs w:val="28"/>
        </w:rPr>
        <w:t xml:space="preserve">), індекс маси тіла – 25,054 (21,869; 28,448). В осіб </w:t>
      </w:r>
      <w:r w:rsidRPr="00520861">
        <w:rPr>
          <w:rFonts w:eastAsia="Calibri"/>
          <w:spacing w:val="-2"/>
          <w:sz w:val="28"/>
          <w:szCs w:val="28"/>
          <w:lang w:eastAsia="en-US"/>
        </w:rPr>
        <w:t xml:space="preserve">ГП </w:t>
      </w:r>
      <w:r w:rsidRPr="00520861">
        <w:rPr>
          <w:color w:val="000000"/>
          <w:spacing w:val="-2"/>
          <w:sz w:val="28"/>
          <w:szCs w:val="28"/>
        </w:rPr>
        <w:t xml:space="preserve">при </w:t>
      </w:r>
      <w:r w:rsidRPr="00520861">
        <w:rPr>
          <w:color w:val="000000"/>
          <w:spacing w:val="-2"/>
          <w:sz w:val="28"/>
          <w:szCs w:val="28"/>
        </w:rPr>
        <w:br/>
        <w:t>народженні</w:t>
      </w:r>
      <w:r w:rsidRPr="00520861">
        <w:rPr>
          <w:rFonts w:eastAsia="Calibri"/>
          <w:spacing w:val="-2"/>
          <w:sz w:val="28"/>
          <w:szCs w:val="28"/>
          <w:lang w:eastAsia="en-US"/>
        </w:rPr>
        <w:t xml:space="preserve"> м</w:t>
      </w:r>
      <w:r w:rsidRPr="00520861">
        <w:rPr>
          <w:color w:val="000000"/>
          <w:spacing w:val="-2"/>
          <w:sz w:val="28"/>
          <w:szCs w:val="28"/>
        </w:rPr>
        <w:t>аса тіла дорівнювала 4,2 (3,6; 4,4) кг, довжина тіла – 54 (52; 57) см, індекс маси тіла – 25,054 (21,869; 28,448).</w:t>
      </w:r>
      <w:r w:rsidRPr="00520861">
        <w:rPr>
          <w:rFonts w:eastAsia="Calibri"/>
          <w:i/>
          <w:spacing w:val="-2"/>
          <w:sz w:val="28"/>
          <w:szCs w:val="28"/>
          <w:lang w:eastAsia="en-US"/>
        </w:rPr>
        <w:t xml:space="preserve"> </w:t>
      </w:r>
      <w:r w:rsidRPr="00520861">
        <w:rPr>
          <w:rFonts w:eastAsia="Calibri"/>
          <w:spacing w:val="-2"/>
          <w:sz w:val="28"/>
          <w:szCs w:val="28"/>
          <w:lang w:eastAsia="en-US"/>
        </w:rPr>
        <w:t>Значення тут наведені у форматі M</w:t>
      </w:r>
      <w:r w:rsidR="006359F1" w:rsidRPr="00520861">
        <w:rPr>
          <w:rFonts w:eastAsia="Calibri"/>
          <w:spacing w:val="-2"/>
          <w:sz w:val="28"/>
          <w:szCs w:val="28"/>
          <w:lang w:val="en-US" w:eastAsia="en-US"/>
        </w:rPr>
        <w:t>e</w:t>
      </w:r>
      <w:r w:rsidRPr="00520861">
        <w:rPr>
          <w:rFonts w:eastAsia="Calibri"/>
          <w:spacing w:val="-2"/>
          <w:sz w:val="28"/>
          <w:szCs w:val="28"/>
          <w:lang w:eastAsia="en-US"/>
        </w:rPr>
        <w:t xml:space="preserve"> (Q1; Q3).</w:t>
      </w:r>
    </w:p>
    <w:p w14:paraId="5475030F" w14:textId="77777777" w:rsidR="00CF641C" w:rsidRPr="00520861" w:rsidRDefault="00CF641C" w:rsidP="00292D2E">
      <w:pPr>
        <w:widowControl w:val="0"/>
        <w:spacing w:line="360" w:lineRule="auto"/>
        <w:ind w:firstLine="709"/>
        <w:jc w:val="both"/>
        <w:rPr>
          <w:rFonts w:eastAsia="Calibri"/>
          <w:b/>
          <w:sz w:val="28"/>
          <w:szCs w:val="28"/>
        </w:rPr>
      </w:pPr>
    </w:p>
    <w:p w14:paraId="28034BA4" w14:textId="77777777" w:rsidR="00CF641C" w:rsidRPr="00520861" w:rsidRDefault="00CF641C" w:rsidP="00292D2E">
      <w:pPr>
        <w:widowControl w:val="0"/>
        <w:spacing w:line="360" w:lineRule="auto"/>
        <w:ind w:firstLine="709"/>
        <w:jc w:val="both"/>
        <w:rPr>
          <w:rFonts w:eastAsia="Calibri"/>
          <w:b/>
          <w:sz w:val="28"/>
          <w:szCs w:val="28"/>
        </w:rPr>
      </w:pPr>
      <w:r w:rsidRPr="00520861">
        <w:rPr>
          <w:rFonts w:eastAsia="Calibri"/>
          <w:b/>
          <w:sz w:val="28"/>
          <w:szCs w:val="28"/>
        </w:rPr>
        <w:t>2.4. Характеристика анамнестичних (опитувальних) методів дослідження</w:t>
      </w:r>
    </w:p>
    <w:p w14:paraId="2179895A" w14:textId="77777777" w:rsidR="00CF641C" w:rsidRPr="00520861" w:rsidRDefault="00CF641C" w:rsidP="00292D2E">
      <w:pPr>
        <w:widowControl w:val="0"/>
        <w:spacing w:line="360" w:lineRule="auto"/>
        <w:ind w:firstLine="709"/>
        <w:jc w:val="both"/>
        <w:rPr>
          <w:rFonts w:eastAsia="Calibri"/>
          <w:b/>
          <w:sz w:val="28"/>
          <w:szCs w:val="28"/>
        </w:rPr>
      </w:pPr>
    </w:p>
    <w:p w14:paraId="4E971311" w14:textId="77777777" w:rsidR="00CF641C" w:rsidRPr="00520861" w:rsidRDefault="00CF641C" w:rsidP="00292D2E">
      <w:pPr>
        <w:widowControl w:val="0"/>
        <w:spacing w:line="360" w:lineRule="auto"/>
        <w:ind w:firstLine="709"/>
        <w:jc w:val="both"/>
        <w:rPr>
          <w:rFonts w:eastAsia="Calibri"/>
          <w:sz w:val="28"/>
          <w:szCs w:val="28"/>
        </w:rPr>
      </w:pPr>
      <w:r w:rsidRPr="00520861">
        <w:rPr>
          <w:rFonts w:eastAsia="Calibri"/>
          <w:sz w:val="28"/>
          <w:szCs w:val="28"/>
        </w:rPr>
        <w:t xml:space="preserve">Опитування проводилося на базі </w:t>
      </w:r>
      <w:proofErr w:type="spellStart"/>
      <w:r w:rsidRPr="00520861">
        <w:rPr>
          <w:rFonts w:eastAsia="Calibri"/>
          <w:sz w:val="28"/>
          <w:szCs w:val="28"/>
        </w:rPr>
        <w:t>перинатального</w:t>
      </w:r>
      <w:proofErr w:type="spellEnd"/>
      <w:r w:rsidRPr="00520861">
        <w:rPr>
          <w:rFonts w:eastAsia="Calibri"/>
          <w:sz w:val="28"/>
          <w:szCs w:val="28"/>
        </w:rPr>
        <w:t xml:space="preserve"> стаціонару та пологового будинку комунального закладу охорони здоров’я «Харківський міський </w:t>
      </w:r>
      <w:r w:rsidRPr="00520861">
        <w:rPr>
          <w:rFonts w:eastAsia="Calibri"/>
          <w:sz w:val="28"/>
          <w:szCs w:val="28"/>
        </w:rPr>
        <w:br/>
      </w:r>
      <w:proofErr w:type="spellStart"/>
      <w:r w:rsidRPr="00520861">
        <w:rPr>
          <w:rFonts w:eastAsia="Calibri"/>
          <w:sz w:val="28"/>
          <w:szCs w:val="28"/>
        </w:rPr>
        <w:t>перинатальний</w:t>
      </w:r>
      <w:proofErr w:type="spellEnd"/>
      <w:r w:rsidRPr="00520861">
        <w:rPr>
          <w:rFonts w:eastAsia="Calibri"/>
          <w:sz w:val="28"/>
          <w:szCs w:val="28"/>
        </w:rPr>
        <w:t xml:space="preserve"> центр»; кафедри генетики, медицини плода, акушерства та </w:t>
      </w:r>
      <w:r w:rsidRPr="00520861">
        <w:rPr>
          <w:rFonts w:eastAsia="Calibri"/>
          <w:sz w:val="28"/>
          <w:szCs w:val="28"/>
        </w:rPr>
        <w:br/>
        <w:t xml:space="preserve">гінекології ХМАПО; поліклінічного відділення та відділення ендокринології </w:t>
      </w:r>
      <w:r w:rsidRPr="00520861">
        <w:rPr>
          <w:rFonts w:eastAsia="Calibri"/>
          <w:sz w:val="28"/>
          <w:szCs w:val="28"/>
        </w:rPr>
        <w:br/>
        <w:t xml:space="preserve">І ОЗДП АМНУ; КЗОЗ «Харківська міська дитяча поліклініка №23»; </w:t>
      </w:r>
      <w:r w:rsidRPr="00520861">
        <w:rPr>
          <w:rFonts w:eastAsia="Calibri"/>
          <w:sz w:val="28"/>
          <w:szCs w:val="28"/>
        </w:rPr>
        <w:br/>
        <w:t>КЗОЗ «Харківська міська стоматологічна поліклініка №4» та Університетського стоматологічного центру ХНМУ (кафедра терапевтичної стоматології).</w:t>
      </w:r>
    </w:p>
    <w:p w14:paraId="14C3570F"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Розроблені та використані в цьому дослідженні опитувальники дають змогу охопити осіб різних вікових категорій [69, 70, 71]. Три «інструменти» дослідження розраховані на опитування батьків дитини першого року життя (далі – </w:t>
      </w:r>
      <w:r w:rsidRPr="00520861">
        <w:rPr>
          <w:rFonts w:eastAsia="Calibri"/>
          <w:sz w:val="28"/>
          <w:szCs w:val="28"/>
          <w:lang w:eastAsia="en-US"/>
        </w:rPr>
        <w:br/>
        <w:t xml:space="preserve">новонародженого або дитини грудного віку (ДГВ)), дітей або підлітків (далі – дітей) та осіб дорослого віку (далі – дорослі особи). При розробці опитувальників ураховувалися загальноприйняті стандарти. На першому етапі створення опитувальників були визначені напрямки дослідження, також були вибрані найбільш значущі для лікаря-стоматолога маніфестації та твердження при оцінюванні кожної вікової категорії. Створено попередні версії опитувальників та проведено пробне тестування. Зі складу заключних версій опитувальників були виключені питання, які не сприймалися однозначно, або в учасників дослідження виникали проблеми з відповідями. </w:t>
      </w:r>
      <w:r w:rsidRPr="00520861">
        <w:rPr>
          <w:rFonts w:eastAsia="Calibri"/>
          <w:sz w:val="28"/>
          <w:szCs w:val="28"/>
          <w:lang w:eastAsia="en-US"/>
        </w:rPr>
        <w:br/>
      </w:r>
      <w:r w:rsidRPr="00520861">
        <w:rPr>
          <w:rFonts w:eastAsia="Calibri"/>
          <w:sz w:val="28"/>
          <w:szCs w:val="28"/>
          <w:lang w:eastAsia="en-US"/>
        </w:rPr>
        <w:lastRenderedPageBreak/>
        <w:t xml:space="preserve">Остаточні варіанти опитувальників для всіх вікових категорій складаються із 70 </w:t>
      </w:r>
      <w:r w:rsidR="00C13551" w:rsidRPr="00520861">
        <w:rPr>
          <w:rFonts w:eastAsia="Calibri"/>
          <w:sz w:val="28"/>
          <w:szCs w:val="28"/>
          <w:lang w:eastAsia="en-US"/>
        </w:rPr>
        <w:br/>
      </w:r>
      <w:r w:rsidRPr="00520861">
        <w:rPr>
          <w:rFonts w:eastAsia="Calibri"/>
          <w:sz w:val="28"/>
          <w:szCs w:val="28"/>
          <w:lang w:eastAsia="en-US"/>
        </w:rPr>
        <w:t>питань, які входять до складу 11 шкал.</w:t>
      </w:r>
    </w:p>
    <w:p w14:paraId="24EF92C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Зіставлення між сумарною бальною оцінкою опитування й ступенем ризику виникнення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проводилося по результатах анкетування групи осіб (або батьків осіб, коли мова йде про дітей), які мали нормальні МРП при народженні. Адекватність висунутих гіпотез про нормальний розподіл результуючих балів їхніх відповідей по кожній шкалі окремо та сумарно по всіх шкалах була підтверджена за допомогою критерію </w:t>
      </w:r>
      <w:proofErr w:type="spellStart"/>
      <w:r w:rsidRPr="00520861">
        <w:rPr>
          <w:rFonts w:eastAsia="Calibri"/>
          <w:sz w:val="28"/>
          <w:szCs w:val="28"/>
          <w:lang w:eastAsia="en-US"/>
        </w:rPr>
        <w:t>Пірсона</w:t>
      </w:r>
      <w:proofErr w:type="spellEnd"/>
      <w:r w:rsidRPr="00520861">
        <w:rPr>
          <w:rFonts w:eastAsia="Calibri"/>
          <w:sz w:val="28"/>
          <w:szCs w:val="28"/>
          <w:lang w:eastAsia="en-US"/>
        </w:rPr>
        <w:t xml:space="preserve"> з рівнем значущості, який становив 0,05. Бальне значення максимуму нормального розподілу, який апроксимував експериментальну гістограму результатів, бралося за границю між ступенями «Ризик» та «Суттєвий ризик» виникнення патології. Границя між ступенями «Мінімальний ризик» і «Ризик», а також між ступенями «Суттєвий ризик» і «Високий ризик» визначалася як зміщення від максимального значення розподілу на величину середньоквадратичного відхилення в менший та більший боки відповідно з округленням до найближчого цілого значення. </w:t>
      </w:r>
      <w:r w:rsidRPr="00520861">
        <w:rPr>
          <w:rFonts w:eastAsia="Calibri"/>
          <w:sz w:val="28"/>
          <w:szCs w:val="28"/>
          <w:lang w:eastAsia="en-US"/>
        </w:rPr>
        <w:br/>
        <w:t>Відсутність ризику відповідала значенню 0 балів. Очевидна (або зовнішня) валідність опитувальника нами була підтверджена під час первинної апробації. Запитання у фінальних варіантах опитувальників сприймалися учасниками дослідження легко, проблем із заповненням опитувальників у лікарів не виникало. Дійсна (змістовна,</w:t>
      </w:r>
      <w:r w:rsidRPr="00520861">
        <w:rPr>
          <w:rFonts w:eastAsia="Calibri"/>
          <w:sz w:val="28"/>
          <w:szCs w:val="28"/>
          <w:lang w:eastAsia="en-US"/>
        </w:rPr>
        <w:br/>
        <w:t xml:space="preserve"> </w:t>
      </w:r>
      <w:proofErr w:type="spellStart"/>
      <w:r w:rsidRPr="00520861">
        <w:rPr>
          <w:rFonts w:eastAsia="Calibri"/>
          <w:sz w:val="28"/>
          <w:szCs w:val="28"/>
          <w:lang w:eastAsia="en-US"/>
        </w:rPr>
        <w:t>конструктна</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критеріальна</w:t>
      </w:r>
      <w:proofErr w:type="spellEnd"/>
      <w:r w:rsidRPr="00520861">
        <w:rPr>
          <w:rFonts w:eastAsia="Calibri"/>
          <w:sz w:val="28"/>
          <w:szCs w:val="28"/>
          <w:lang w:eastAsia="en-US"/>
        </w:rPr>
        <w:t xml:space="preserve">) валідність опитувальників визначалася за процедурою, запропонованою Кемпбеллом Д. Т. і </w:t>
      </w:r>
      <w:proofErr w:type="spellStart"/>
      <w:r w:rsidRPr="00520861">
        <w:rPr>
          <w:rFonts w:eastAsia="Calibri"/>
          <w:sz w:val="28"/>
          <w:szCs w:val="28"/>
          <w:lang w:eastAsia="en-US"/>
        </w:rPr>
        <w:t>Фіске</w:t>
      </w:r>
      <w:proofErr w:type="spellEnd"/>
      <w:r w:rsidRPr="00520861">
        <w:rPr>
          <w:rFonts w:eastAsia="Calibri"/>
          <w:sz w:val="28"/>
          <w:szCs w:val="28"/>
          <w:lang w:eastAsia="en-US"/>
        </w:rPr>
        <w:t xml:space="preserve"> Д. В. Ця процедура передбачає використання поряд з </w:t>
      </w:r>
      <w:proofErr w:type="spellStart"/>
      <w:r w:rsidRPr="00520861">
        <w:rPr>
          <w:rFonts w:eastAsia="Calibri"/>
          <w:sz w:val="28"/>
          <w:szCs w:val="28"/>
          <w:lang w:eastAsia="en-US"/>
        </w:rPr>
        <w:t>валідизуємим</w:t>
      </w:r>
      <w:proofErr w:type="spellEnd"/>
      <w:r w:rsidRPr="00520861">
        <w:rPr>
          <w:rFonts w:eastAsia="Calibri"/>
          <w:sz w:val="28"/>
          <w:szCs w:val="28"/>
          <w:lang w:eastAsia="en-US"/>
        </w:rPr>
        <w:t xml:space="preserve"> тестом набору інших – перевірених і </w:t>
      </w:r>
      <w:proofErr w:type="spellStart"/>
      <w:r w:rsidRPr="00520861">
        <w:rPr>
          <w:rFonts w:eastAsia="Calibri"/>
          <w:sz w:val="28"/>
          <w:szCs w:val="28"/>
          <w:lang w:eastAsia="en-US"/>
        </w:rPr>
        <w:t>валідизованих</w:t>
      </w:r>
      <w:proofErr w:type="spellEnd"/>
      <w:r w:rsidRPr="00520861">
        <w:rPr>
          <w:rFonts w:eastAsia="Calibri"/>
          <w:sz w:val="28"/>
          <w:szCs w:val="28"/>
          <w:lang w:eastAsia="en-US"/>
        </w:rPr>
        <w:t xml:space="preserve"> тестів. У цей набір повинні входити тести як пов’язані з </w:t>
      </w:r>
      <w:proofErr w:type="spellStart"/>
      <w:r w:rsidRPr="00520861">
        <w:rPr>
          <w:rFonts w:eastAsia="Calibri"/>
          <w:sz w:val="28"/>
          <w:szCs w:val="28"/>
          <w:lang w:eastAsia="en-US"/>
        </w:rPr>
        <w:t>валідизуємим</w:t>
      </w:r>
      <w:proofErr w:type="spellEnd"/>
      <w:r w:rsidRPr="00520861">
        <w:rPr>
          <w:rFonts w:eastAsia="Calibri"/>
          <w:sz w:val="28"/>
          <w:szCs w:val="28"/>
          <w:lang w:eastAsia="en-US"/>
        </w:rPr>
        <w:t xml:space="preserve"> опитувальником (</w:t>
      </w:r>
      <w:proofErr w:type="spellStart"/>
      <w:r w:rsidRPr="00520861">
        <w:rPr>
          <w:rFonts w:eastAsia="Calibri"/>
          <w:sz w:val="28"/>
          <w:szCs w:val="28"/>
          <w:lang w:eastAsia="en-US"/>
        </w:rPr>
        <w:t>висококорелюючі</w:t>
      </w:r>
      <w:proofErr w:type="spellEnd"/>
      <w:r w:rsidRPr="00520861">
        <w:rPr>
          <w:rFonts w:eastAsia="Calibri"/>
          <w:sz w:val="28"/>
          <w:szCs w:val="28"/>
          <w:lang w:eastAsia="en-US"/>
        </w:rPr>
        <w:t xml:space="preserve"> або </w:t>
      </w:r>
      <w:proofErr w:type="spellStart"/>
      <w:r w:rsidRPr="00520861">
        <w:rPr>
          <w:rFonts w:eastAsia="Calibri"/>
          <w:sz w:val="28"/>
          <w:szCs w:val="28"/>
          <w:lang w:eastAsia="en-US"/>
        </w:rPr>
        <w:t>конвергуючі</w:t>
      </w:r>
      <w:proofErr w:type="spellEnd"/>
      <w:r w:rsidRPr="00520861">
        <w:rPr>
          <w:rFonts w:eastAsia="Calibri"/>
          <w:sz w:val="28"/>
          <w:szCs w:val="28"/>
          <w:lang w:eastAsia="en-US"/>
        </w:rPr>
        <w:t>), так і не пов’язані з ним (</w:t>
      </w:r>
      <w:proofErr w:type="spellStart"/>
      <w:r w:rsidRPr="00520861">
        <w:rPr>
          <w:rFonts w:eastAsia="Calibri"/>
          <w:sz w:val="28"/>
          <w:szCs w:val="28"/>
          <w:lang w:eastAsia="en-US"/>
        </w:rPr>
        <w:t>слабокорелюючі</w:t>
      </w:r>
      <w:proofErr w:type="spellEnd"/>
      <w:r w:rsidRPr="00520861">
        <w:rPr>
          <w:rFonts w:eastAsia="Calibri"/>
          <w:sz w:val="28"/>
          <w:szCs w:val="28"/>
          <w:lang w:eastAsia="en-US"/>
        </w:rPr>
        <w:t xml:space="preserve"> або </w:t>
      </w:r>
      <w:proofErr w:type="spellStart"/>
      <w:r w:rsidRPr="00520861">
        <w:rPr>
          <w:rFonts w:eastAsia="Calibri"/>
          <w:sz w:val="28"/>
          <w:szCs w:val="28"/>
          <w:lang w:eastAsia="en-US"/>
        </w:rPr>
        <w:t>дискримінантні</w:t>
      </w:r>
      <w:proofErr w:type="spellEnd"/>
      <w:r w:rsidRPr="00520861">
        <w:rPr>
          <w:rFonts w:eastAsia="Calibri"/>
          <w:sz w:val="28"/>
          <w:szCs w:val="28"/>
          <w:lang w:eastAsia="en-US"/>
        </w:rPr>
        <w:t xml:space="preserve">). Валідність може вважатися задовільною, якщо коефіцієнти кореляцій </w:t>
      </w:r>
      <w:proofErr w:type="spellStart"/>
      <w:r w:rsidRPr="00520861">
        <w:rPr>
          <w:rFonts w:eastAsia="Calibri"/>
          <w:sz w:val="28"/>
          <w:szCs w:val="28"/>
          <w:lang w:eastAsia="en-US"/>
        </w:rPr>
        <w:t>валідизуємого</w:t>
      </w:r>
      <w:proofErr w:type="spellEnd"/>
      <w:r w:rsidRPr="00520861">
        <w:rPr>
          <w:rFonts w:eastAsia="Calibri"/>
          <w:sz w:val="28"/>
          <w:szCs w:val="28"/>
          <w:lang w:eastAsia="en-US"/>
        </w:rPr>
        <w:t xml:space="preserve"> тесту з групою </w:t>
      </w:r>
      <w:proofErr w:type="spellStart"/>
      <w:r w:rsidRPr="00520861">
        <w:rPr>
          <w:rFonts w:eastAsia="Calibri"/>
          <w:sz w:val="28"/>
          <w:szCs w:val="28"/>
          <w:lang w:eastAsia="en-US"/>
        </w:rPr>
        <w:t>конвергуючих</w:t>
      </w:r>
      <w:proofErr w:type="spellEnd"/>
      <w:r w:rsidRPr="00520861">
        <w:rPr>
          <w:rFonts w:eastAsia="Calibri"/>
          <w:sz w:val="28"/>
          <w:szCs w:val="28"/>
          <w:lang w:eastAsia="en-US"/>
        </w:rPr>
        <w:t xml:space="preserve"> тестів статистично значимо вищі за коефіцієнти кореляцій з групою </w:t>
      </w:r>
      <w:proofErr w:type="spellStart"/>
      <w:r w:rsidRPr="00520861">
        <w:rPr>
          <w:rFonts w:eastAsia="Calibri"/>
          <w:sz w:val="28"/>
          <w:szCs w:val="28"/>
          <w:lang w:eastAsia="en-US"/>
        </w:rPr>
        <w:t>дискримінантних</w:t>
      </w:r>
      <w:proofErr w:type="spellEnd"/>
      <w:r w:rsidRPr="00520861">
        <w:rPr>
          <w:rFonts w:eastAsia="Calibri"/>
          <w:sz w:val="28"/>
          <w:szCs w:val="28"/>
          <w:lang w:eastAsia="en-US"/>
        </w:rPr>
        <w:t xml:space="preserve"> тестів [235]. Факторна структура опитувальника не залежить від статі учасників. Результати порівняльного аналізу </w:t>
      </w:r>
      <w:r w:rsidRPr="00520861">
        <w:rPr>
          <w:rFonts w:eastAsia="Calibri"/>
          <w:sz w:val="28"/>
          <w:szCs w:val="28"/>
          <w:lang w:eastAsia="en-US"/>
        </w:rPr>
        <w:br/>
        <w:t xml:space="preserve">середніх значень за шкалами показали, що значущих відмінностей за статтю не </w:t>
      </w:r>
      <w:r w:rsidR="007E577C" w:rsidRPr="00520861">
        <w:rPr>
          <w:rFonts w:eastAsia="Calibri"/>
          <w:sz w:val="28"/>
          <w:szCs w:val="28"/>
          <w:lang w:eastAsia="en-US"/>
        </w:rPr>
        <w:br/>
      </w:r>
      <w:r w:rsidRPr="00520861">
        <w:rPr>
          <w:rFonts w:eastAsia="Calibri"/>
          <w:sz w:val="28"/>
          <w:szCs w:val="28"/>
          <w:lang w:eastAsia="en-US"/>
        </w:rPr>
        <w:t>виявлено (</w:t>
      </w:r>
      <w:r w:rsidR="008F04CE" w:rsidRPr="00520861">
        <w:rPr>
          <w:rFonts w:eastAsia="Calibri"/>
          <w:i/>
          <w:sz w:val="28"/>
          <w:szCs w:val="28"/>
          <w:lang w:eastAsia="en-US"/>
        </w:rPr>
        <w:t>p</w:t>
      </w:r>
      <w:r w:rsidR="00CD7533" w:rsidRPr="00520861">
        <w:rPr>
          <w:rFonts w:eastAsia="Calibri"/>
          <w:sz w:val="28"/>
          <w:szCs w:val="28"/>
          <w:lang w:eastAsia="en-US"/>
        </w:rPr>
        <w:t>&lt;</w:t>
      </w:r>
      <w:r w:rsidR="008F04CE" w:rsidRPr="00520861">
        <w:rPr>
          <w:rFonts w:eastAsia="Calibri"/>
          <w:sz w:val="28"/>
          <w:szCs w:val="28"/>
          <w:lang w:eastAsia="en-US"/>
        </w:rPr>
        <w:t>0,05</w:t>
      </w:r>
      <w:r w:rsidRPr="00520861">
        <w:rPr>
          <w:rFonts w:eastAsia="Calibri"/>
          <w:sz w:val="28"/>
          <w:szCs w:val="28"/>
          <w:lang w:eastAsia="en-US"/>
        </w:rPr>
        <w:t>).</w:t>
      </w:r>
    </w:p>
    <w:p w14:paraId="15DF665E"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Надійність опитувальника була оцінена за показниками стійкості та </w:t>
      </w:r>
      <w:r w:rsidRPr="00520861">
        <w:rPr>
          <w:rFonts w:eastAsia="Calibri"/>
          <w:sz w:val="28"/>
          <w:szCs w:val="28"/>
          <w:lang w:eastAsia="en-US"/>
        </w:rPr>
        <w:br/>
      </w:r>
      <w:r w:rsidRPr="00520861">
        <w:rPr>
          <w:rFonts w:eastAsia="Calibri"/>
          <w:sz w:val="28"/>
          <w:szCs w:val="28"/>
          <w:lang w:eastAsia="en-US"/>
        </w:rPr>
        <w:lastRenderedPageBreak/>
        <w:t>внутрішньої узгодженості. Для першого показника (</w:t>
      </w:r>
      <w:proofErr w:type="spellStart"/>
      <w:r w:rsidRPr="00520861">
        <w:rPr>
          <w:rFonts w:eastAsia="Calibri"/>
          <w:sz w:val="28"/>
          <w:szCs w:val="28"/>
          <w:lang w:eastAsia="en-US"/>
        </w:rPr>
        <w:t>ретестова</w:t>
      </w:r>
      <w:proofErr w:type="spellEnd"/>
      <w:r w:rsidRPr="00520861">
        <w:rPr>
          <w:rFonts w:eastAsia="Calibri"/>
          <w:sz w:val="28"/>
          <w:szCs w:val="28"/>
          <w:lang w:eastAsia="en-US"/>
        </w:rPr>
        <w:t xml:space="preserve"> надійність) коефіцієнт кореляції </w:t>
      </w:r>
      <w:proofErr w:type="spellStart"/>
      <w:r w:rsidRPr="00520861">
        <w:rPr>
          <w:rFonts w:eastAsia="Calibri"/>
          <w:sz w:val="28"/>
          <w:szCs w:val="28"/>
          <w:lang w:eastAsia="en-US"/>
        </w:rPr>
        <w:t>Пірсона</w:t>
      </w:r>
      <w:proofErr w:type="spellEnd"/>
      <w:r w:rsidRPr="00520861">
        <w:rPr>
          <w:rFonts w:eastAsia="Calibri"/>
          <w:sz w:val="28"/>
          <w:szCs w:val="28"/>
          <w:lang w:eastAsia="en-US"/>
        </w:rPr>
        <w:t xml:space="preserve"> між рознесеними в часі результатами заповнювання опитувальника окремою групою учасників дослідження становив 0,78, що перевищує </w:t>
      </w:r>
      <w:r w:rsidRPr="00520861">
        <w:rPr>
          <w:rFonts w:eastAsia="Calibri"/>
          <w:sz w:val="28"/>
          <w:szCs w:val="28"/>
          <w:lang w:eastAsia="en-US"/>
        </w:rPr>
        <w:br/>
        <w:t>загальноприйняту для надійних тестів величину 0,7.</w:t>
      </w:r>
    </w:p>
    <w:p w14:paraId="3666D7DA"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Інший показник – внутрішня узгодженість між окремими питаннями й діагностичною ознакою кожної шкали – оцінювався за альфа-індексом </w:t>
      </w:r>
      <w:proofErr w:type="spellStart"/>
      <w:r w:rsidRPr="00520861">
        <w:rPr>
          <w:rFonts w:eastAsia="Calibri"/>
          <w:sz w:val="28"/>
          <w:szCs w:val="28"/>
          <w:lang w:eastAsia="en-US"/>
        </w:rPr>
        <w:t>Кронбаха</w:t>
      </w:r>
      <w:proofErr w:type="spellEnd"/>
      <w:r w:rsidRPr="00520861">
        <w:rPr>
          <w:rFonts w:eastAsia="Calibri"/>
          <w:sz w:val="28"/>
          <w:szCs w:val="28"/>
          <w:lang w:eastAsia="en-US"/>
        </w:rPr>
        <w:t xml:space="preserve">. Його значення становило від 0,73 (достатня надійність) до 0,88 (добра надійність) для </w:t>
      </w:r>
      <w:r w:rsidRPr="00520861">
        <w:rPr>
          <w:rFonts w:eastAsia="Calibri"/>
          <w:sz w:val="28"/>
          <w:szCs w:val="28"/>
          <w:lang w:eastAsia="en-US"/>
        </w:rPr>
        <w:br/>
        <w:t>різних шкал. Отже, була підтверджена очевидна, змістовна й конструктивна валідність, надійність та внутрішня узгодженість опитувальників, що дозволило перейти до наступного етапу – їх клінічної апробації.</w:t>
      </w:r>
    </w:p>
    <w:p w14:paraId="22738669" w14:textId="77777777" w:rsidR="00CF641C" w:rsidRPr="00520861" w:rsidRDefault="00CF641C"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Тексти скринінг-опитувальників для батьків ДГВ, дітей та підлітків, а також дорослих осіб із алгоритмами оцінювання результатів опитування викладені в </w:t>
      </w:r>
      <w:r w:rsidRPr="00520861">
        <w:rPr>
          <w:rFonts w:eastAsia="Calibri"/>
          <w:sz w:val="28"/>
          <w:szCs w:val="28"/>
          <w:lang w:eastAsia="en-US"/>
        </w:rPr>
        <w:br/>
        <w:t>Додатках В.2, В.3, В.4 відповідно.</w:t>
      </w:r>
    </w:p>
    <w:p w14:paraId="44F8372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rPr>
        <w:t xml:space="preserve">Перевірка вірогідності різниці в частотах спостереження процентних </w:t>
      </w:r>
      <w:r w:rsidRPr="00520861">
        <w:rPr>
          <w:rFonts w:eastAsia="Calibri"/>
          <w:sz w:val="28"/>
          <w:szCs w:val="28"/>
        </w:rPr>
        <w:br/>
      </w:r>
      <w:r w:rsidRPr="00520861">
        <w:rPr>
          <w:rFonts w:eastAsia="Calibri"/>
          <w:sz w:val="28"/>
          <w:szCs w:val="28"/>
          <w:lang w:eastAsia="en-US"/>
        </w:rPr>
        <w:t xml:space="preserve">кількостей випадків спостереження виконувалася за припущення біноміального </w:t>
      </w:r>
      <w:r w:rsidRPr="00520861">
        <w:rPr>
          <w:rFonts w:eastAsia="Calibri"/>
          <w:sz w:val="28"/>
          <w:szCs w:val="28"/>
          <w:lang w:eastAsia="en-US"/>
        </w:rPr>
        <w:br/>
        <w:t xml:space="preserve">закону розподілу випадкової величини [74]. </w:t>
      </w:r>
    </w:p>
    <w:p w14:paraId="01696256" w14:textId="77777777" w:rsidR="00CF641C" w:rsidRPr="00520861" w:rsidRDefault="00CF641C" w:rsidP="00292D2E">
      <w:pPr>
        <w:widowControl w:val="0"/>
        <w:spacing w:line="360" w:lineRule="auto"/>
        <w:ind w:firstLine="708"/>
        <w:jc w:val="both"/>
        <w:rPr>
          <w:rFonts w:eastAsia="Calibri"/>
          <w:sz w:val="28"/>
          <w:szCs w:val="28"/>
          <w:lang w:eastAsia="en-US"/>
        </w:rPr>
      </w:pPr>
    </w:p>
    <w:p w14:paraId="42EE3E6E" w14:textId="77777777" w:rsidR="00CF641C" w:rsidRPr="00520861" w:rsidRDefault="00CF641C" w:rsidP="00292D2E">
      <w:pPr>
        <w:widowControl w:val="0"/>
        <w:spacing w:line="360" w:lineRule="auto"/>
        <w:ind w:firstLine="708"/>
        <w:jc w:val="both"/>
        <w:rPr>
          <w:rFonts w:eastAsia="Calibri"/>
          <w:b/>
          <w:sz w:val="28"/>
          <w:szCs w:val="28"/>
          <w:lang w:eastAsia="en-US"/>
        </w:rPr>
      </w:pPr>
      <w:r w:rsidRPr="00520861">
        <w:rPr>
          <w:rFonts w:eastAsia="Calibri"/>
          <w:b/>
          <w:sz w:val="28"/>
          <w:szCs w:val="28"/>
          <w:lang w:eastAsia="en-US"/>
        </w:rPr>
        <w:t xml:space="preserve">2.5. Характеристика методів клінічного та клініко-інструментального </w:t>
      </w:r>
      <w:r w:rsidRPr="00520861">
        <w:rPr>
          <w:rFonts w:eastAsia="Calibri"/>
          <w:b/>
          <w:sz w:val="28"/>
          <w:szCs w:val="28"/>
          <w:lang w:eastAsia="en-US"/>
        </w:rPr>
        <w:br/>
        <w:t>дослідження</w:t>
      </w:r>
    </w:p>
    <w:p w14:paraId="48DDDCDA" w14:textId="77777777" w:rsidR="00CF641C" w:rsidRPr="00520861" w:rsidRDefault="00CF641C" w:rsidP="002F01C7">
      <w:pPr>
        <w:widowControl w:val="0"/>
        <w:spacing w:line="360" w:lineRule="auto"/>
        <w:ind w:firstLine="708"/>
        <w:jc w:val="both"/>
        <w:rPr>
          <w:rFonts w:eastAsia="Calibri"/>
          <w:sz w:val="28"/>
          <w:szCs w:val="28"/>
          <w:lang w:eastAsia="en-US"/>
        </w:rPr>
      </w:pPr>
    </w:p>
    <w:p w14:paraId="026E62CD" w14:textId="77777777" w:rsidR="00CF641C" w:rsidRPr="00520861" w:rsidRDefault="00CF641C" w:rsidP="00292D2E">
      <w:pPr>
        <w:widowControl w:val="0"/>
        <w:spacing w:line="360" w:lineRule="auto"/>
        <w:ind w:firstLine="708"/>
        <w:jc w:val="both"/>
        <w:rPr>
          <w:sz w:val="28"/>
          <w:szCs w:val="28"/>
        </w:rPr>
      </w:pPr>
      <w:r w:rsidRPr="00520861">
        <w:rPr>
          <w:rFonts w:eastAsia="Calibri"/>
          <w:sz w:val="28"/>
          <w:szCs w:val="28"/>
          <w:lang w:eastAsia="en-US"/>
        </w:rPr>
        <w:t xml:space="preserve">Під час вивчення особливостей стоматологічного статусу новонароджених та дітей грудного віку використовувалася наведена в Додатку В.5 «Карта реєстрації стоматологічного статусу новонародженого та дитини грудного віку» [65]. </w:t>
      </w:r>
      <w:r w:rsidRPr="00520861">
        <w:rPr>
          <w:rFonts w:eastAsia="Calibri"/>
          <w:sz w:val="28"/>
          <w:szCs w:val="28"/>
          <w:lang w:eastAsia="en-US"/>
        </w:rPr>
        <w:br/>
        <w:t xml:space="preserve">Досліджувалися стан шкірних покривів </w:t>
      </w:r>
      <w:r w:rsidRPr="00520861">
        <w:rPr>
          <w:sz w:val="28"/>
          <w:szCs w:val="28"/>
        </w:rPr>
        <w:t>та симетричність обличчя й шиї, розмір ротової щілини, співвідношення губ у сагітальній площині, величина та форма червоної кайми губ, паралельність ясенних валиків, форма й вираженість еластичної ясенної мембрани, наявність поперечних складок на губах, розміри язика.</w:t>
      </w:r>
      <w:r w:rsidRPr="00520861">
        <w:rPr>
          <w:rFonts w:eastAsia="Calibri"/>
          <w:sz w:val="28"/>
          <w:szCs w:val="28"/>
          <w:lang w:eastAsia="en-US"/>
        </w:rPr>
        <w:t xml:space="preserve"> </w:t>
      </w:r>
      <w:r w:rsidRPr="00520861">
        <w:rPr>
          <w:rFonts w:eastAsia="Calibri"/>
          <w:sz w:val="28"/>
          <w:szCs w:val="28"/>
          <w:lang w:eastAsia="en-US"/>
        </w:rPr>
        <w:br/>
        <w:t xml:space="preserve">Зверталася увага на чистоту внутрішніх поверхонь губ, </w:t>
      </w:r>
      <w:proofErr w:type="spellStart"/>
      <w:r w:rsidRPr="00520861">
        <w:rPr>
          <w:rFonts w:eastAsia="Calibri"/>
          <w:sz w:val="28"/>
          <w:szCs w:val="28"/>
          <w:lang w:eastAsia="en-US"/>
        </w:rPr>
        <w:t>щік</w:t>
      </w:r>
      <w:proofErr w:type="spellEnd"/>
      <w:r w:rsidRPr="00520861">
        <w:rPr>
          <w:rFonts w:eastAsia="Calibri"/>
          <w:sz w:val="28"/>
          <w:szCs w:val="28"/>
          <w:lang w:eastAsia="en-US"/>
        </w:rPr>
        <w:t xml:space="preserve"> та </w:t>
      </w:r>
      <w:r w:rsidRPr="00520861">
        <w:rPr>
          <w:sz w:val="28"/>
          <w:szCs w:val="28"/>
        </w:rPr>
        <w:t>язика.</w:t>
      </w:r>
    </w:p>
    <w:p w14:paraId="5FD11083"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В</w:t>
      </w:r>
      <w:r w:rsidRPr="00520861">
        <w:rPr>
          <w:sz w:val="28"/>
          <w:szCs w:val="28"/>
        </w:rPr>
        <w:t xml:space="preserve">уздечки язика оцінювали </w:t>
      </w:r>
      <w:r w:rsidRPr="00520861">
        <w:rPr>
          <w:rFonts w:eastAsia="Calibri"/>
          <w:sz w:val="28"/>
          <w:szCs w:val="28"/>
          <w:lang w:eastAsia="en-US"/>
        </w:rPr>
        <w:t xml:space="preserve">за класифікацією </w:t>
      </w:r>
      <w:proofErr w:type="spellStart"/>
      <w:r w:rsidRPr="00520861">
        <w:rPr>
          <w:rFonts w:eastAsia="Calibri"/>
          <w:sz w:val="28"/>
          <w:szCs w:val="28"/>
          <w:lang w:eastAsia="en-US"/>
        </w:rPr>
        <w:t>Хорошилкіної</w:t>
      </w:r>
      <w:proofErr w:type="spellEnd"/>
      <w:r w:rsidRPr="00520861">
        <w:rPr>
          <w:rFonts w:eastAsia="Calibri"/>
          <w:sz w:val="28"/>
          <w:szCs w:val="28"/>
          <w:lang w:eastAsia="en-US"/>
        </w:rPr>
        <w:t xml:space="preserve"> </w:t>
      </w:r>
      <w:r w:rsidRPr="00520861">
        <w:rPr>
          <w:sz w:val="28"/>
          <w:szCs w:val="28"/>
        </w:rPr>
        <w:t xml:space="preserve">Ф. Я. </w:t>
      </w:r>
      <w:r w:rsidRPr="00520861">
        <w:rPr>
          <w:rFonts w:eastAsia="Calibri"/>
          <w:color w:val="000000"/>
          <w:sz w:val="28"/>
          <w:szCs w:val="28"/>
          <w:lang w:eastAsia="en-US"/>
        </w:rPr>
        <w:t>[202],</w:t>
      </w:r>
      <w:r w:rsidRPr="00520861">
        <w:rPr>
          <w:rFonts w:eastAsia="Calibri"/>
          <w:sz w:val="28"/>
          <w:szCs w:val="28"/>
          <w:lang w:eastAsia="en-US"/>
        </w:rPr>
        <w:t xml:space="preserve"> </w:t>
      </w:r>
      <w:r w:rsidRPr="00520861">
        <w:rPr>
          <w:rFonts w:eastAsia="Calibri"/>
          <w:color w:val="000000"/>
          <w:sz w:val="28"/>
          <w:szCs w:val="28"/>
          <w:lang w:eastAsia="en-US"/>
        </w:rPr>
        <w:t xml:space="preserve">звертаючи увагу на розміри, форму, щільність й особливості прикріплення вуздечок до </w:t>
      </w:r>
      <w:r w:rsidRPr="00520861">
        <w:rPr>
          <w:rFonts w:eastAsia="Calibri"/>
          <w:color w:val="000000"/>
          <w:sz w:val="28"/>
          <w:szCs w:val="28"/>
          <w:lang w:eastAsia="en-US"/>
        </w:rPr>
        <w:br/>
      </w:r>
      <w:r w:rsidRPr="00520861">
        <w:rPr>
          <w:rFonts w:eastAsia="Calibri"/>
          <w:color w:val="000000"/>
          <w:sz w:val="28"/>
          <w:szCs w:val="28"/>
          <w:lang w:eastAsia="en-US"/>
        </w:rPr>
        <w:lastRenderedPageBreak/>
        <w:t>нижньої поверхні язика та слизової альвеолярного відростка.</w:t>
      </w:r>
      <w:r w:rsidRPr="00520861">
        <w:rPr>
          <w:rFonts w:eastAsia="Calibri"/>
          <w:sz w:val="28"/>
          <w:szCs w:val="28"/>
          <w:lang w:eastAsia="en-US"/>
        </w:rPr>
        <w:t xml:space="preserve"> Форму, щільність й </w:t>
      </w:r>
      <w:r w:rsidRPr="00520861">
        <w:rPr>
          <w:rFonts w:eastAsia="Calibri"/>
          <w:sz w:val="28"/>
          <w:szCs w:val="28"/>
          <w:lang w:eastAsia="en-US"/>
        </w:rPr>
        <w:br/>
        <w:t xml:space="preserve">особливості прикріплення вуздечок верхньої та нижньої губ було оцінено за класифікацією </w:t>
      </w:r>
      <w:proofErr w:type="spellStart"/>
      <w:r w:rsidRPr="00520861">
        <w:rPr>
          <w:rFonts w:eastAsia="Calibri"/>
          <w:bCs/>
          <w:iCs/>
          <w:sz w:val="28"/>
          <w:szCs w:val="28"/>
          <w:lang w:eastAsia="en-US"/>
        </w:rPr>
        <w:t>Kotlow</w:t>
      </w:r>
      <w:proofErr w:type="spellEnd"/>
      <w:r w:rsidRPr="00520861">
        <w:rPr>
          <w:rFonts w:eastAsia="Calibri"/>
          <w:bCs/>
          <w:iCs/>
          <w:sz w:val="28"/>
          <w:szCs w:val="28"/>
          <w:lang w:eastAsia="en-US"/>
        </w:rPr>
        <w:t xml:space="preserve"> L.</w:t>
      </w:r>
      <w:r w:rsidRPr="00520861">
        <w:rPr>
          <w:rFonts w:eastAsia="Calibri"/>
          <w:color w:val="000000"/>
          <w:sz w:val="28"/>
          <w:szCs w:val="28"/>
          <w:lang w:eastAsia="en-US"/>
        </w:rPr>
        <w:t xml:space="preserve"> [385]</w:t>
      </w:r>
      <w:r w:rsidRPr="00520861">
        <w:rPr>
          <w:rFonts w:eastAsia="Calibri"/>
          <w:sz w:val="28"/>
          <w:szCs w:val="28"/>
          <w:lang w:eastAsia="en-US"/>
        </w:rPr>
        <w:t>. Оцінювалася форма піднебіння.</w:t>
      </w:r>
    </w:p>
    <w:p w14:paraId="72735AB7" w14:textId="77777777" w:rsidR="00CF641C" w:rsidRPr="00520861" w:rsidRDefault="00CF641C" w:rsidP="00292D2E">
      <w:pPr>
        <w:widowControl w:val="0"/>
        <w:spacing w:line="360" w:lineRule="auto"/>
        <w:ind w:firstLine="709"/>
        <w:jc w:val="both"/>
        <w:rPr>
          <w:sz w:val="28"/>
          <w:szCs w:val="28"/>
        </w:rPr>
      </w:pPr>
      <w:r w:rsidRPr="00520861">
        <w:rPr>
          <w:rFonts w:eastAsia="Calibri"/>
          <w:sz w:val="28"/>
          <w:szCs w:val="28"/>
          <w:lang w:eastAsia="en-US"/>
        </w:rPr>
        <w:t>При повторних обстеженнях тих самих дітей с</w:t>
      </w:r>
      <w:r w:rsidRPr="00520861">
        <w:rPr>
          <w:sz w:val="28"/>
          <w:szCs w:val="28"/>
        </w:rPr>
        <w:t xml:space="preserve">тупінь розвитку ЗЩС ми оцінювали, спираючись на хронологічні норми прорізування тимчасових зубів [529]. </w:t>
      </w:r>
      <w:r w:rsidRPr="00520861">
        <w:rPr>
          <w:rFonts w:eastAsia="Calibri"/>
          <w:sz w:val="28"/>
          <w:szCs w:val="28"/>
          <w:lang w:eastAsia="en-US"/>
        </w:rPr>
        <w:t xml:space="preserve">Хронологічною затримкою прорізування для тимчасових зубів прийнято вважати ситуацію, коли строк прорізування зубів перевищує свою середню регіональну </w:t>
      </w:r>
      <w:r w:rsidRPr="00520861">
        <w:rPr>
          <w:rFonts w:eastAsia="Calibri"/>
          <w:sz w:val="28"/>
          <w:szCs w:val="28"/>
          <w:lang w:eastAsia="en-US"/>
        </w:rPr>
        <w:br/>
        <w:t xml:space="preserve">норму на величину, що дорівнює двом стандартним відхиленням. І навпаки, хронологічно передчасним прорізуванням уважається ситуація, коли строк прорізування зубів є меншим за регіональну норму на два та більше стандартних відхилень. </w:t>
      </w:r>
      <w:r w:rsidRPr="00520861">
        <w:rPr>
          <w:rFonts w:eastAsia="Calibri"/>
          <w:sz w:val="28"/>
          <w:szCs w:val="28"/>
          <w:lang w:eastAsia="en-US"/>
        </w:rPr>
        <w:br/>
        <w:t>У нашому випадку, я</w:t>
      </w:r>
      <w:r w:rsidRPr="00520861">
        <w:rPr>
          <w:sz w:val="28"/>
          <w:szCs w:val="28"/>
        </w:rPr>
        <w:t>кщо прорізування першого зуба відбувалося у віці 4 місяці або раніше, фіксувалося передчасне прорізування зубів, а якщо в 11 місяців або пізніше – затримка прорізування.</w:t>
      </w:r>
    </w:p>
    <w:p w14:paraId="4E6C0941" w14:textId="77777777" w:rsidR="00CF641C" w:rsidRPr="00520861" w:rsidRDefault="00CF641C" w:rsidP="00292D2E">
      <w:pPr>
        <w:widowControl w:val="0"/>
        <w:spacing w:line="360" w:lineRule="auto"/>
        <w:ind w:firstLine="709"/>
        <w:jc w:val="both"/>
        <w:rPr>
          <w:sz w:val="28"/>
          <w:szCs w:val="28"/>
        </w:rPr>
      </w:pPr>
      <w:r w:rsidRPr="00520861">
        <w:rPr>
          <w:sz w:val="28"/>
          <w:szCs w:val="28"/>
        </w:rPr>
        <w:t xml:space="preserve">Із використанням принципу двох стандартних відхилень від медіанного значення кількості зубів у дітей харківської популяції у віці 1 рік ми провели аналіз </w:t>
      </w:r>
      <w:r w:rsidRPr="00520861">
        <w:rPr>
          <w:sz w:val="28"/>
          <w:szCs w:val="28"/>
        </w:rPr>
        <w:br/>
        <w:t xml:space="preserve">кількості зубів, які дитина мала по досягненню 1 року. Якщо дитина по досягненню цього віку мала 2 або менше зубів, фіксувався уповільнений темп росту зубів, а </w:t>
      </w:r>
      <w:r w:rsidRPr="00520861">
        <w:rPr>
          <w:sz w:val="28"/>
          <w:szCs w:val="28"/>
        </w:rPr>
        <w:br/>
        <w:t>якщо 11 чи більше – прискорений.</w:t>
      </w:r>
    </w:p>
    <w:p w14:paraId="21ABD64F" w14:textId="77777777" w:rsidR="00CF641C" w:rsidRPr="00520861" w:rsidRDefault="00CF641C" w:rsidP="00292D2E">
      <w:pPr>
        <w:widowControl w:val="0"/>
        <w:spacing w:line="360" w:lineRule="auto"/>
        <w:ind w:firstLine="709"/>
        <w:contextualSpacing/>
        <w:jc w:val="both"/>
        <w:rPr>
          <w:spacing w:val="-2"/>
          <w:sz w:val="28"/>
          <w:szCs w:val="28"/>
        </w:rPr>
      </w:pPr>
      <w:r w:rsidRPr="00520861">
        <w:rPr>
          <w:spacing w:val="-2"/>
          <w:sz w:val="28"/>
          <w:szCs w:val="28"/>
        </w:rPr>
        <w:t xml:space="preserve">Під час визначення стоматологічного статусу дітей було використано «Карту </w:t>
      </w:r>
      <w:r w:rsidRPr="00520861">
        <w:rPr>
          <w:spacing w:val="-2"/>
          <w:sz w:val="28"/>
          <w:szCs w:val="28"/>
        </w:rPr>
        <w:br/>
        <w:t xml:space="preserve">реєстрації стоматологічного статусу дитини або </w:t>
      </w:r>
      <w:proofErr w:type="spellStart"/>
      <w:r w:rsidRPr="00520861">
        <w:rPr>
          <w:spacing w:val="-2"/>
          <w:sz w:val="28"/>
          <w:szCs w:val="28"/>
        </w:rPr>
        <w:t>підлітка</w:t>
      </w:r>
      <w:proofErr w:type="spellEnd"/>
      <w:r w:rsidRPr="00520861">
        <w:rPr>
          <w:spacing w:val="-2"/>
          <w:sz w:val="28"/>
          <w:szCs w:val="28"/>
        </w:rPr>
        <w:t xml:space="preserve">» [66]. </w:t>
      </w:r>
    </w:p>
    <w:p w14:paraId="58496A6B" w14:textId="77777777" w:rsidR="00CF641C" w:rsidRPr="00520861" w:rsidRDefault="00CF641C" w:rsidP="00292D2E">
      <w:pPr>
        <w:widowControl w:val="0"/>
        <w:spacing w:line="360" w:lineRule="auto"/>
        <w:ind w:firstLine="709"/>
        <w:contextualSpacing/>
        <w:jc w:val="both"/>
        <w:rPr>
          <w:rFonts w:eastAsia="Calibri"/>
          <w:bCs/>
          <w:sz w:val="28"/>
          <w:szCs w:val="28"/>
          <w:lang w:eastAsia="en-US"/>
        </w:rPr>
      </w:pPr>
      <w:r w:rsidRPr="00520861">
        <w:rPr>
          <w:sz w:val="28"/>
          <w:szCs w:val="28"/>
        </w:rPr>
        <w:t xml:space="preserve">У період тимчасового прикусу всі учасники дослідження не проходили </w:t>
      </w:r>
      <w:proofErr w:type="spellStart"/>
      <w:r w:rsidRPr="00520861">
        <w:rPr>
          <w:sz w:val="28"/>
          <w:szCs w:val="28"/>
        </w:rPr>
        <w:t>ортодонтичного</w:t>
      </w:r>
      <w:proofErr w:type="spellEnd"/>
      <w:r w:rsidRPr="00520861">
        <w:rPr>
          <w:sz w:val="28"/>
          <w:szCs w:val="28"/>
        </w:rPr>
        <w:t xml:space="preserve"> лікування та не мали травм щелеп. О</w:t>
      </w:r>
      <w:r w:rsidRPr="00520861">
        <w:rPr>
          <w:rFonts w:eastAsia="Calibri"/>
          <w:bCs/>
          <w:sz w:val="28"/>
          <w:szCs w:val="28"/>
          <w:lang w:eastAsia="en-US"/>
        </w:rPr>
        <w:t xml:space="preserve">цінювання гігієнічного стану ПР учасників дослідження проводилося із використанням </w:t>
      </w:r>
      <w:r w:rsidRPr="00520861">
        <w:rPr>
          <w:rFonts w:eastAsia="Calibri"/>
          <w:bCs/>
          <w:iCs/>
          <w:sz w:val="28"/>
          <w:szCs w:val="28"/>
          <w:lang w:eastAsia="en-US"/>
        </w:rPr>
        <w:t>індексу Федорова – </w:t>
      </w:r>
      <w:proofErr w:type="spellStart"/>
      <w:r w:rsidRPr="00520861">
        <w:rPr>
          <w:rFonts w:eastAsia="Calibri"/>
          <w:bCs/>
          <w:iCs/>
          <w:sz w:val="28"/>
          <w:szCs w:val="28"/>
          <w:lang w:eastAsia="en-US"/>
        </w:rPr>
        <w:t>Володкіної</w:t>
      </w:r>
      <w:proofErr w:type="spellEnd"/>
      <w:r w:rsidRPr="00520861">
        <w:rPr>
          <w:rFonts w:eastAsia="Calibri"/>
          <w:bCs/>
          <w:iCs/>
          <w:sz w:val="28"/>
          <w:szCs w:val="28"/>
          <w:lang w:eastAsia="en-US"/>
        </w:rPr>
        <w:t xml:space="preserve">, 1971 </w:t>
      </w:r>
      <w:r w:rsidRPr="00520861">
        <w:rPr>
          <w:rFonts w:eastAsia="Calibri"/>
          <w:bCs/>
          <w:sz w:val="28"/>
          <w:szCs w:val="28"/>
          <w:lang w:eastAsia="en-US"/>
        </w:rPr>
        <w:t xml:space="preserve">[86]. </w:t>
      </w:r>
      <w:r w:rsidRPr="00520861">
        <w:rPr>
          <w:rFonts w:eastAsia="Calibri"/>
          <w:bCs/>
          <w:iCs/>
          <w:spacing w:val="-2"/>
          <w:sz w:val="28"/>
          <w:szCs w:val="28"/>
          <w:lang w:eastAsia="en-US"/>
        </w:rPr>
        <w:t xml:space="preserve">Якщо індексні зуби були відсутні, ураховуючи викладені в роботі </w:t>
      </w:r>
      <w:proofErr w:type="spellStart"/>
      <w:r w:rsidRPr="00520861">
        <w:rPr>
          <w:rFonts w:eastAsia="Calibri"/>
          <w:bCs/>
          <w:iCs/>
          <w:spacing w:val="-2"/>
          <w:sz w:val="28"/>
          <w:szCs w:val="28"/>
          <w:lang w:eastAsia="en-US"/>
        </w:rPr>
        <w:t>Леуса</w:t>
      </w:r>
      <w:proofErr w:type="spellEnd"/>
      <w:r w:rsidRPr="00520861">
        <w:rPr>
          <w:rFonts w:eastAsia="Calibri"/>
          <w:bCs/>
          <w:iCs/>
          <w:spacing w:val="-2"/>
          <w:sz w:val="28"/>
          <w:szCs w:val="28"/>
          <w:lang w:eastAsia="en-US"/>
        </w:rPr>
        <w:t xml:space="preserve"> П. А. [132] рекомендації, виявляли зубний наліт на шести поряд розташованих зубах або на інших зубах на верхній чи нижній щелепі з вестибулярної або оральної поверхонь.</w:t>
      </w:r>
      <w:r w:rsidRPr="00520861">
        <w:rPr>
          <w:rFonts w:eastAsia="Calibri"/>
          <w:bCs/>
          <w:sz w:val="28"/>
          <w:szCs w:val="28"/>
          <w:lang w:eastAsia="en-US"/>
        </w:rPr>
        <w:t xml:space="preserve"> </w:t>
      </w:r>
      <w:r w:rsidRPr="00520861">
        <w:rPr>
          <w:rFonts w:eastAsia="Calibri"/>
          <w:bCs/>
          <w:color w:val="000000"/>
          <w:sz w:val="28"/>
          <w:szCs w:val="28"/>
          <w:lang w:eastAsia="en-US"/>
        </w:rPr>
        <w:t xml:space="preserve">Поширеність карієсу виражалася у процентах. </w:t>
      </w:r>
      <w:r w:rsidRPr="00520861">
        <w:rPr>
          <w:rFonts w:eastAsia="Calibri"/>
          <w:sz w:val="28"/>
          <w:szCs w:val="28"/>
          <w:lang w:eastAsia="en-US"/>
        </w:rPr>
        <w:t>У всіх учасників дослідження виявляли інтенсивність карієсу [124, 234].</w:t>
      </w:r>
    </w:p>
    <w:p w14:paraId="13845CEC" w14:textId="77777777" w:rsidR="00CF641C" w:rsidRPr="00520861" w:rsidRDefault="00CF641C" w:rsidP="00292D2E">
      <w:pPr>
        <w:widowControl w:val="0"/>
        <w:spacing w:line="360" w:lineRule="auto"/>
        <w:ind w:firstLine="709"/>
        <w:contextualSpacing/>
        <w:jc w:val="both"/>
        <w:rPr>
          <w:sz w:val="28"/>
          <w:szCs w:val="28"/>
        </w:rPr>
      </w:pPr>
      <w:r w:rsidRPr="00520861">
        <w:rPr>
          <w:sz w:val="28"/>
          <w:szCs w:val="28"/>
        </w:rPr>
        <w:t xml:space="preserve">Кількісне оцінювання секрету функціонуючих малих слинних залоз проводилося на слизовій оболонці нижньої губи за методом </w:t>
      </w:r>
      <w:proofErr w:type="spellStart"/>
      <w:r w:rsidRPr="00520861">
        <w:rPr>
          <w:sz w:val="28"/>
          <w:szCs w:val="28"/>
        </w:rPr>
        <w:t>Яковлевої</w:t>
      </w:r>
      <w:proofErr w:type="spellEnd"/>
      <w:r w:rsidRPr="00520861">
        <w:rPr>
          <w:sz w:val="28"/>
          <w:szCs w:val="28"/>
        </w:rPr>
        <w:t xml:space="preserve"> В. І. [215]. Для цього </w:t>
      </w:r>
      <w:r w:rsidRPr="00520861">
        <w:rPr>
          <w:sz w:val="28"/>
          <w:szCs w:val="28"/>
        </w:rPr>
        <w:lastRenderedPageBreak/>
        <w:t xml:space="preserve">попередньо зважений фільтрувальний папір розміром 0,01 м × 0,035 м розміщували на висушеній слизовій оболонці на 1 хвилину та знову зважували. Різницю в масі паперу ділили на кількість малих слинних залоз, яку визначали методом прямого </w:t>
      </w:r>
      <w:r w:rsidRPr="00520861">
        <w:rPr>
          <w:sz w:val="28"/>
          <w:szCs w:val="28"/>
        </w:rPr>
        <w:br/>
        <w:t>підрахунку на попередньо забарвленій метиленовим синім ділянці слизової оболонки з розміром фільтрувального паперу (</w:t>
      </w:r>
      <w:r w:rsidRPr="00520861">
        <w:rPr>
          <w:bCs/>
          <w:sz w:val="28"/>
          <w:szCs w:val="28"/>
        </w:rPr>
        <w:t>3,5 м</w:t>
      </w:r>
      <w:r w:rsidRPr="00520861">
        <w:rPr>
          <w:bCs/>
          <w:sz w:val="28"/>
          <w:szCs w:val="28"/>
          <w:vertAlign w:val="superscript"/>
        </w:rPr>
        <w:t>2</w:t>
      </w:r>
      <w:r w:rsidRPr="00520861">
        <w:rPr>
          <w:sz w:val="28"/>
          <w:szCs w:val="28"/>
        </w:rPr>
        <w:t>× 10</w:t>
      </w:r>
      <w:r w:rsidRPr="00520861">
        <w:rPr>
          <w:sz w:val="28"/>
          <w:szCs w:val="28"/>
          <w:vertAlign w:val="superscript"/>
        </w:rPr>
        <w:t>-4</w:t>
      </w:r>
      <w:r w:rsidRPr="00520861">
        <w:rPr>
          <w:sz w:val="28"/>
          <w:szCs w:val="28"/>
        </w:rPr>
        <w:t xml:space="preserve">). </w:t>
      </w:r>
      <w:r w:rsidRPr="00520861">
        <w:rPr>
          <w:bCs/>
          <w:sz w:val="28"/>
          <w:szCs w:val="28"/>
        </w:rPr>
        <w:t>Кількість</w:t>
      </w:r>
      <w:r w:rsidRPr="00520861">
        <w:rPr>
          <w:sz w:val="28"/>
          <w:szCs w:val="28"/>
        </w:rPr>
        <w:t xml:space="preserve"> секрету, який </w:t>
      </w:r>
      <w:r w:rsidRPr="00520861">
        <w:rPr>
          <w:sz w:val="28"/>
          <w:szCs w:val="28"/>
        </w:rPr>
        <w:br/>
        <w:t>виділяється однією малою слинною залозою, фіксувалася у кг/</w:t>
      </w:r>
      <w:proofErr w:type="spellStart"/>
      <w:r w:rsidRPr="00520861">
        <w:rPr>
          <w:sz w:val="28"/>
          <w:szCs w:val="28"/>
        </w:rPr>
        <w:t>сек</w:t>
      </w:r>
      <w:proofErr w:type="spellEnd"/>
      <w:r w:rsidRPr="00520861">
        <w:rPr>
          <w:sz w:val="28"/>
          <w:szCs w:val="28"/>
        </w:rPr>
        <w:t xml:space="preserve"> × 6</w:t>
      </w:r>
      <w:r w:rsidRPr="00520861">
        <w:rPr>
          <w:sz w:val="28"/>
          <w:szCs w:val="28"/>
        </w:rPr>
        <w:sym w:font="Symbol" w:char="F0D7"/>
      </w:r>
      <w:r w:rsidRPr="00520861">
        <w:rPr>
          <w:sz w:val="28"/>
          <w:szCs w:val="28"/>
        </w:rPr>
        <w:t>10</w:t>
      </w:r>
      <w:r w:rsidRPr="00520861">
        <w:rPr>
          <w:sz w:val="28"/>
          <w:szCs w:val="28"/>
          <w:vertAlign w:val="superscript"/>
        </w:rPr>
        <w:t>-8</w:t>
      </w:r>
      <w:r w:rsidRPr="00520861">
        <w:rPr>
          <w:sz w:val="28"/>
          <w:szCs w:val="28"/>
        </w:rPr>
        <w:t>.</w:t>
      </w:r>
    </w:p>
    <w:p w14:paraId="57ED793D"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Поширеність та інтенсивність запалення в </w:t>
      </w:r>
      <w:proofErr w:type="spellStart"/>
      <w:r w:rsidRPr="00520861">
        <w:rPr>
          <w:rFonts w:eastAsia="Calibri"/>
          <w:sz w:val="28"/>
          <w:szCs w:val="28"/>
          <w:lang w:eastAsia="en-US"/>
        </w:rPr>
        <w:t>яснах</w:t>
      </w:r>
      <w:proofErr w:type="spellEnd"/>
      <w:r w:rsidRPr="00520861">
        <w:rPr>
          <w:rFonts w:eastAsia="Calibri"/>
          <w:sz w:val="28"/>
          <w:szCs w:val="28"/>
          <w:lang w:eastAsia="en-US"/>
        </w:rPr>
        <w:t xml:space="preserve"> оцінювалася за допомогою індексу РМА та виражалася у </w:t>
      </w:r>
      <w:r w:rsidRPr="00520861">
        <w:rPr>
          <w:rFonts w:eastAsia="Calibri"/>
          <w:bCs/>
          <w:color w:val="000000"/>
          <w:sz w:val="28"/>
          <w:szCs w:val="28"/>
          <w:lang w:eastAsia="en-US"/>
        </w:rPr>
        <w:t>процентах</w:t>
      </w:r>
      <w:r w:rsidRPr="00520861">
        <w:rPr>
          <w:rFonts w:eastAsia="Calibri"/>
          <w:sz w:val="28"/>
          <w:szCs w:val="28"/>
          <w:lang w:eastAsia="en-US"/>
        </w:rPr>
        <w:t xml:space="preserve"> [95].</w:t>
      </w:r>
    </w:p>
    <w:p w14:paraId="4C50F925" w14:textId="77777777" w:rsidR="00CF641C" w:rsidRPr="00520861" w:rsidRDefault="00CF641C" w:rsidP="00292D2E">
      <w:pPr>
        <w:widowControl w:val="0"/>
        <w:spacing w:line="360" w:lineRule="auto"/>
        <w:ind w:firstLine="709"/>
        <w:contextualSpacing/>
        <w:jc w:val="both"/>
        <w:rPr>
          <w:sz w:val="28"/>
          <w:szCs w:val="28"/>
        </w:rPr>
      </w:pPr>
      <w:r w:rsidRPr="00520861">
        <w:rPr>
          <w:sz w:val="28"/>
          <w:szCs w:val="28"/>
        </w:rPr>
        <w:t xml:space="preserve">Систематизація </w:t>
      </w:r>
      <w:proofErr w:type="spellStart"/>
      <w:r w:rsidRPr="00520861">
        <w:rPr>
          <w:sz w:val="28"/>
          <w:szCs w:val="28"/>
        </w:rPr>
        <w:t>ортодонтичної</w:t>
      </w:r>
      <w:proofErr w:type="spellEnd"/>
      <w:r w:rsidRPr="00520861">
        <w:rPr>
          <w:sz w:val="28"/>
          <w:szCs w:val="28"/>
        </w:rPr>
        <w:t xml:space="preserve"> патології проводилася за класифікацією </w:t>
      </w:r>
      <w:r w:rsidRPr="00520861">
        <w:rPr>
          <w:sz w:val="28"/>
          <w:szCs w:val="28"/>
        </w:rPr>
        <w:br/>
      </w:r>
      <w:proofErr w:type="spellStart"/>
      <w:r w:rsidRPr="00520861">
        <w:rPr>
          <w:sz w:val="28"/>
          <w:szCs w:val="28"/>
        </w:rPr>
        <w:t>зубощелепних</w:t>
      </w:r>
      <w:proofErr w:type="spellEnd"/>
      <w:r w:rsidRPr="00520861">
        <w:rPr>
          <w:sz w:val="28"/>
          <w:szCs w:val="28"/>
        </w:rPr>
        <w:t xml:space="preserve"> аномалій </w:t>
      </w:r>
      <w:proofErr w:type="spellStart"/>
      <w:r w:rsidRPr="00520861">
        <w:rPr>
          <w:sz w:val="28"/>
          <w:szCs w:val="28"/>
        </w:rPr>
        <w:t>Калвеліса</w:t>
      </w:r>
      <w:proofErr w:type="spellEnd"/>
      <w:r w:rsidRPr="00520861">
        <w:rPr>
          <w:sz w:val="28"/>
          <w:szCs w:val="28"/>
        </w:rPr>
        <w:t xml:space="preserve"> Д. А. (1957) [103], порушення в сагітальній площині фіксували за класифікацією </w:t>
      </w:r>
      <w:proofErr w:type="spellStart"/>
      <w:r w:rsidRPr="00520861">
        <w:rPr>
          <w:sz w:val="28"/>
          <w:szCs w:val="28"/>
        </w:rPr>
        <w:t>Енгля</w:t>
      </w:r>
      <w:proofErr w:type="spellEnd"/>
      <w:r w:rsidRPr="00520861">
        <w:rPr>
          <w:sz w:val="28"/>
          <w:szCs w:val="28"/>
        </w:rPr>
        <w:t xml:space="preserve"> Е. (</w:t>
      </w:r>
      <w:proofErr w:type="spellStart"/>
      <w:r w:rsidRPr="00520861">
        <w:rPr>
          <w:sz w:val="28"/>
          <w:szCs w:val="28"/>
        </w:rPr>
        <w:t>Edward</w:t>
      </w:r>
      <w:proofErr w:type="spellEnd"/>
      <w:r w:rsidRPr="00520861">
        <w:rPr>
          <w:sz w:val="28"/>
          <w:szCs w:val="28"/>
        </w:rPr>
        <w:t xml:space="preserve"> H. </w:t>
      </w:r>
      <w:proofErr w:type="spellStart"/>
      <w:r w:rsidRPr="00520861">
        <w:rPr>
          <w:sz w:val="28"/>
          <w:szCs w:val="28"/>
        </w:rPr>
        <w:t>Angle</w:t>
      </w:r>
      <w:proofErr w:type="spellEnd"/>
      <w:r w:rsidRPr="00520861">
        <w:rPr>
          <w:sz w:val="28"/>
          <w:szCs w:val="28"/>
        </w:rPr>
        <w:t>) [563].</w:t>
      </w:r>
    </w:p>
    <w:p w14:paraId="5972CE11" w14:textId="77777777" w:rsidR="00CF641C" w:rsidRPr="00520861" w:rsidRDefault="00CF641C" w:rsidP="00292D2E">
      <w:pPr>
        <w:widowControl w:val="0"/>
        <w:spacing w:line="360" w:lineRule="auto"/>
        <w:ind w:firstLine="709"/>
        <w:contextualSpacing/>
        <w:jc w:val="both"/>
        <w:rPr>
          <w:rFonts w:eastAsia="Calibri"/>
          <w:b/>
          <w:bCs/>
          <w:color w:val="000000"/>
          <w:sz w:val="28"/>
          <w:szCs w:val="28"/>
          <w:lang w:eastAsia="en-US"/>
        </w:rPr>
      </w:pPr>
      <w:r w:rsidRPr="00520861">
        <w:rPr>
          <w:rFonts w:eastAsia="Calibri"/>
          <w:bCs/>
          <w:color w:val="000000"/>
          <w:sz w:val="28"/>
          <w:szCs w:val="28"/>
          <w:lang w:eastAsia="en-US"/>
        </w:rPr>
        <w:t xml:space="preserve">Кількісний аналіз діагностичних моделей на цьому етапі проводився тільки для дітей віком 4,5 – 6,5 року (у період редукції тимчасового прикусу). Саме цей віковий проміжок ВООЗ розцінює як ключовий для оцінювання рівня </w:t>
      </w:r>
      <w:proofErr w:type="spellStart"/>
      <w:r w:rsidRPr="00520861">
        <w:rPr>
          <w:rFonts w:eastAsia="Calibri"/>
          <w:bCs/>
          <w:color w:val="000000"/>
          <w:sz w:val="28"/>
          <w:szCs w:val="28"/>
          <w:lang w:eastAsia="en-US"/>
        </w:rPr>
        <w:t>СтП</w:t>
      </w:r>
      <w:proofErr w:type="spellEnd"/>
      <w:r w:rsidRPr="00520861">
        <w:rPr>
          <w:rFonts w:eastAsia="Calibri"/>
          <w:bCs/>
          <w:color w:val="000000"/>
          <w:sz w:val="28"/>
          <w:szCs w:val="28"/>
          <w:lang w:eastAsia="en-US"/>
        </w:rPr>
        <w:t xml:space="preserve"> [27]. </w:t>
      </w:r>
      <w:r w:rsidRPr="00520861">
        <w:rPr>
          <w:rFonts w:eastAsia="Calibri"/>
          <w:color w:val="000000"/>
          <w:sz w:val="28"/>
          <w:szCs w:val="28"/>
          <w:lang w:eastAsia="en-US"/>
        </w:rPr>
        <w:t xml:space="preserve">Вимірювання піднебінного склепіння проводилося на діагностичних моделях згідно з рекомендаціями та врахуванням опорних точок, викладених у роботі </w:t>
      </w:r>
      <w:r w:rsidRPr="00520861">
        <w:rPr>
          <w:rFonts w:eastAsia="Calibri"/>
          <w:bCs/>
          <w:sz w:val="28"/>
          <w:szCs w:val="28"/>
          <w:lang w:eastAsia="en-US"/>
        </w:rPr>
        <w:t xml:space="preserve">[544]. </w:t>
      </w:r>
      <w:r w:rsidRPr="00520861">
        <w:rPr>
          <w:rFonts w:eastAsia="Calibri"/>
          <w:bCs/>
          <w:color w:val="000000"/>
          <w:sz w:val="28"/>
          <w:szCs w:val="28"/>
          <w:lang w:eastAsia="en-US"/>
        </w:rPr>
        <w:t xml:space="preserve">Оцінювалися </w:t>
      </w:r>
      <w:r w:rsidRPr="00520861">
        <w:rPr>
          <w:rFonts w:eastAsia="Calibri"/>
          <w:bCs/>
          <w:color w:val="000000"/>
          <w:sz w:val="28"/>
          <w:szCs w:val="28"/>
          <w:lang w:eastAsia="en-US"/>
        </w:rPr>
        <w:br/>
        <w:t xml:space="preserve">характер змикання зубних рядів для других молярів, різців й ікл у трьох </w:t>
      </w:r>
      <w:proofErr w:type="spellStart"/>
      <w:r w:rsidRPr="00520861">
        <w:rPr>
          <w:rFonts w:eastAsia="Calibri"/>
          <w:bCs/>
          <w:color w:val="000000"/>
          <w:sz w:val="28"/>
          <w:szCs w:val="28"/>
          <w:lang w:eastAsia="en-US"/>
        </w:rPr>
        <w:t>площинах</w:t>
      </w:r>
      <w:proofErr w:type="spellEnd"/>
      <w:r w:rsidRPr="00520861">
        <w:rPr>
          <w:rFonts w:eastAsia="Calibri"/>
          <w:bCs/>
          <w:color w:val="000000"/>
          <w:sz w:val="28"/>
          <w:szCs w:val="28"/>
          <w:lang w:eastAsia="en-US"/>
        </w:rPr>
        <w:t xml:space="preserve">, форма та розміри зубних рядів. Були оцінені аномалії окремих зубів. </w:t>
      </w:r>
    </w:p>
    <w:p w14:paraId="245842E9"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rFonts w:eastAsia="Calibri"/>
          <w:bCs/>
          <w:sz w:val="28"/>
          <w:szCs w:val="28"/>
          <w:lang w:eastAsia="en-US"/>
        </w:rPr>
        <w:t xml:space="preserve">При обстеженні дітей у період змінного прикусу оцінювання гігієнічного стану ПР учасників дослідження проводилося з використанням </w:t>
      </w:r>
      <w:r w:rsidRPr="00520861">
        <w:rPr>
          <w:rFonts w:eastAsia="Calibri"/>
          <w:bCs/>
          <w:iCs/>
          <w:sz w:val="28"/>
          <w:szCs w:val="28"/>
          <w:lang w:eastAsia="en-US"/>
        </w:rPr>
        <w:t xml:space="preserve">індексу </w:t>
      </w:r>
      <w:r w:rsidRPr="00520861">
        <w:rPr>
          <w:rFonts w:eastAsia="Calibri"/>
          <w:bCs/>
          <w:iCs/>
          <w:sz w:val="28"/>
          <w:szCs w:val="28"/>
          <w:lang w:eastAsia="en-US"/>
        </w:rPr>
        <w:br/>
        <w:t>Федорова – </w:t>
      </w:r>
      <w:proofErr w:type="spellStart"/>
      <w:r w:rsidRPr="00520861">
        <w:rPr>
          <w:rFonts w:eastAsia="Calibri"/>
          <w:bCs/>
          <w:iCs/>
          <w:sz w:val="28"/>
          <w:szCs w:val="28"/>
          <w:lang w:eastAsia="en-US"/>
        </w:rPr>
        <w:t>Володкіної</w:t>
      </w:r>
      <w:proofErr w:type="spellEnd"/>
      <w:r w:rsidRPr="00520861">
        <w:rPr>
          <w:rFonts w:eastAsia="Calibri"/>
          <w:bCs/>
          <w:iCs/>
          <w:sz w:val="28"/>
          <w:szCs w:val="28"/>
          <w:lang w:eastAsia="en-US"/>
        </w:rPr>
        <w:t xml:space="preserve"> (1971) [86]</w:t>
      </w:r>
      <w:r w:rsidRPr="00520861">
        <w:rPr>
          <w:rFonts w:eastAsia="Calibri"/>
          <w:bCs/>
          <w:sz w:val="28"/>
          <w:szCs w:val="28"/>
          <w:lang w:eastAsia="en-US"/>
        </w:rPr>
        <w:t xml:space="preserve">. </w:t>
      </w:r>
      <w:r w:rsidRPr="00520861">
        <w:rPr>
          <w:rFonts w:eastAsia="Calibri"/>
          <w:bCs/>
          <w:color w:val="000000"/>
          <w:sz w:val="28"/>
          <w:szCs w:val="28"/>
          <w:lang w:eastAsia="en-US"/>
        </w:rPr>
        <w:t xml:space="preserve">Поширеність карієсу визначалася у процентах. </w:t>
      </w:r>
      <w:r w:rsidRPr="00520861">
        <w:rPr>
          <w:rFonts w:eastAsia="Calibri"/>
          <w:sz w:val="28"/>
          <w:szCs w:val="28"/>
          <w:lang w:eastAsia="en-US"/>
        </w:rPr>
        <w:t xml:space="preserve">У всіх учасників дослідження визначали інтенсивність карієсу та найвищу інтенсивність карієсу (НІК, </w:t>
      </w:r>
      <w:proofErr w:type="spellStart"/>
      <w:r w:rsidRPr="00520861">
        <w:rPr>
          <w:rFonts w:eastAsia="Calibri"/>
          <w:sz w:val="28"/>
          <w:szCs w:val="28"/>
          <w:lang w:eastAsia="en-US"/>
        </w:rPr>
        <w:t>significant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caries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index</w:t>
      </w:r>
      <w:proofErr w:type="spellEnd"/>
      <w:r w:rsidRPr="00520861">
        <w:rPr>
          <w:rFonts w:eastAsia="Calibri"/>
          <w:sz w:val="28"/>
          <w:szCs w:val="28"/>
          <w:lang w:eastAsia="en-US"/>
        </w:rPr>
        <w:t xml:space="preserve"> – </w:t>
      </w:r>
      <w:proofErr w:type="spellStart"/>
      <w:r w:rsidRPr="00520861">
        <w:rPr>
          <w:rFonts w:eastAsia="Calibri"/>
          <w:sz w:val="28"/>
          <w:szCs w:val="28"/>
          <w:lang w:eastAsia="en-US"/>
        </w:rPr>
        <w:t>SiC</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Index</w:t>
      </w:r>
      <w:proofErr w:type="spellEnd"/>
      <w:r w:rsidRPr="00520861">
        <w:rPr>
          <w:rFonts w:eastAsia="Calibri"/>
          <w:sz w:val="28"/>
          <w:szCs w:val="28"/>
          <w:lang w:eastAsia="en-US"/>
        </w:rPr>
        <w:t>) [234, 263].</w:t>
      </w:r>
    </w:p>
    <w:p w14:paraId="690BAB3A" w14:textId="77777777" w:rsidR="00CF641C" w:rsidRPr="00520861" w:rsidRDefault="00CF641C" w:rsidP="00292D2E">
      <w:pPr>
        <w:widowControl w:val="0"/>
        <w:spacing w:line="360" w:lineRule="auto"/>
        <w:ind w:firstLine="709"/>
        <w:contextualSpacing/>
        <w:jc w:val="both"/>
        <w:rPr>
          <w:sz w:val="28"/>
          <w:szCs w:val="28"/>
        </w:rPr>
      </w:pPr>
      <w:r w:rsidRPr="00520861">
        <w:rPr>
          <w:rFonts w:eastAsia="Calibri"/>
          <w:sz w:val="28"/>
          <w:szCs w:val="28"/>
          <w:lang w:eastAsia="en-US"/>
        </w:rPr>
        <w:t xml:space="preserve">Проводилося визначення швидкості виділення змішаної нестимульованої РР, яку збирали зранку натще в градуйовані пробірки протягом 10 хвилин. Швидкість виділення виражалася у мл/хв. </w:t>
      </w:r>
      <w:r w:rsidRPr="00520861">
        <w:rPr>
          <w:sz w:val="28"/>
          <w:szCs w:val="28"/>
        </w:rPr>
        <w:t xml:space="preserve">Кількісне визначення секрету малих слинних залоз проводилося за методом </w:t>
      </w:r>
      <w:proofErr w:type="spellStart"/>
      <w:r w:rsidRPr="00520861">
        <w:rPr>
          <w:sz w:val="28"/>
          <w:szCs w:val="28"/>
        </w:rPr>
        <w:t>Яковлевої</w:t>
      </w:r>
      <w:proofErr w:type="spellEnd"/>
      <w:r w:rsidRPr="00520861">
        <w:rPr>
          <w:sz w:val="28"/>
          <w:szCs w:val="28"/>
        </w:rPr>
        <w:t xml:space="preserve"> В. І. [215]. Водневий показник вимірювався за допомогою індикаторного паперу з </w:t>
      </w:r>
      <w:proofErr w:type="spellStart"/>
      <w:r w:rsidRPr="00520861">
        <w:rPr>
          <w:sz w:val="28"/>
          <w:szCs w:val="28"/>
        </w:rPr>
        <w:t>pH</w:t>
      </w:r>
      <w:proofErr w:type="spellEnd"/>
      <w:r w:rsidRPr="00520861">
        <w:rPr>
          <w:sz w:val="28"/>
          <w:szCs w:val="28"/>
        </w:rPr>
        <w:t xml:space="preserve"> діапазоном 4,5 – 7,5 та інтервалом </w:t>
      </w:r>
      <w:r w:rsidRPr="00520861">
        <w:rPr>
          <w:sz w:val="28"/>
          <w:szCs w:val="28"/>
        </w:rPr>
        <w:br/>
        <w:t xml:space="preserve">кислотності 0,2 одиниці. </w:t>
      </w:r>
      <w:r w:rsidRPr="00520861">
        <w:rPr>
          <w:rFonts w:eastAsia="Calibri"/>
          <w:sz w:val="28"/>
          <w:szCs w:val="28"/>
          <w:lang w:eastAsia="en-US"/>
        </w:rPr>
        <w:t xml:space="preserve">Поширеність та інтенсивність запалення в </w:t>
      </w:r>
      <w:proofErr w:type="spellStart"/>
      <w:r w:rsidRPr="00520861">
        <w:rPr>
          <w:rFonts w:eastAsia="Calibri"/>
          <w:sz w:val="28"/>
          <w:szCs w:val="28"/>
          <w:lang w:eastAsia="en-US"/>
        </w:rPr>
        <w:t>яснах</w:t>
      </w:r>
      <w:proofErr w:type="spellEnd"/>
      <w:r w:rsidRPr="00520861">
        <w:rPr>
          <w:rFonts w:eastAsia="Calibri"/>
          <w:sz w:val="28"/>
          <w:szCs w:val="28"/>
          <w:lang w:eastAsia="en-US"/>
        </w:rPr>
        <w:t xml:space="preserve"> оцінювалася за допомогою індексу РМА та виражалася у процентах [</w:t>
      </w:r>
      <w:r w:rsidRPr="00520861">
        <w:rPr>
          <w:sz w:val="28"/>
          <w:szCs w:val="28"/>
        </w:rPr>
        <w:t>95</w:t>
      </w:r>
      <w:r w:rsidRPr="00520861">
        <w:rPr>
          <w:rFonts w:eastAsia="Calibri"/>
          <w:sz w:val="28"/>
          <w:szCs w:val="28"/>
          <w:lang w:eastAsia="en-US"/>
        </w:rPr>
        <w:t>].</w:t>
      </w:r>
    </w:p>
    <w:p w14:paraId="7FB4ADF4"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bCs/>
          <w:sz w:val="28"/>
          <w:szCs w:val="28"/>
        </w:rPr>
        <w:lastRenderedPageBreak/>
        <w:t xml:space="preserve">Морфологічний лицевий індекс </w:t>
      </w:r>
      <w:proofErr w:type="spellStart"/>
      <w:r w:rsidRPr="00520861">
        <w:rPr>
          <w:bCs/>
          <w:sz w:val="28"/>
          <w:szCs w:val="28"/>
        </w:rPr>
        <w:t>Ізара</w:t>
      </w:r>
      <w:proofErr w:type="spellEnd"/>
      <w:r w:rsidRPr="00520861">
        <w:rPr>
          <w:bCs/>
          <w:sz w:val="28"/>
          <w:szCs w:val="28"/>
        </w:rPr>
        <w:t xml:space="preserve"> (1930) обчислювали згідно з рекомендаціями, викладеними в роботі </w:t>
      </w:r>
      <w:r w:rsidRPr="00520861">
        <w:rPr>
          <w:sz w:val="28"/>
          <w:szCs w:val="28"/>
        </w:rPr>
        <w:t>[150].</w:t>
      </w:r>
      <w:r w:rsidRPr="00520861">
        <w:rPr>
          <w:bCs/>
          <w:sz w:val="28"/>
          <w:szCs w:val="28"/>
        </w:rPr>
        <w:t xml:space="preserve"> </w:t>
      </w:r>
      <w:r w:rsidRPr="00520861">
        <w:rPr>
          <w:rFonts w:eastAsia="Calibri"/>
          <w:bCs/>
          <w:color w:val="000000"/>
          <w:sz w:val="28"/>
          <w:szCs w:val="28"/>
          <w:lang w:eastAsia="en-US"/>
        </w:rPr>
        <w:t xml:space="preserve">При </w:t>
      </w:r>
      <w:proofErr w:type="spellStart"/>
      <w:r w:rsidRPr="00520861">
        <w:rPr>
          <w:rFonts w:eastAsia="Calibri"/>
          <w:bCs/>
          <w:color w:val="000000"/>
          <w:sz w:val="28"/>
          <w:szCs w:val="28"/>
          <w:lang w:eastAsia="en-US"/>
        </w:rPr>
        <w:t>внутрішньоротовому</w:t>
      </w:r>
      <w:proofErr w:type="spellEnd"/>
      <w:r w:rsidRPr="00520861">
        <w:rPr>
          <w:rFonts w:eastAsia="Calibri"/>
          <w:bCs/>
          <w:color w:val="000000"/>
          <w:sz w:val="28"/>
          <w:szCs w:val="28"/>
          <w:lang w:eastAsia="en-US"/>
        </w:rPr>
        <w:t xml:space="preserve"> огляді та по </w:t>
      </w:r>
      <w:r w:rsidRPr="00520861">
        <w:rPr>
          <w:rFonts w:eastAsia="Calibri"/>
          <w:bCs/>
          <w:color w:val="000000"/>
          <w:sz w:val="28"/>
          <w:szCs w:val="28"/>
          <w:lang w:eastAsia="en-US"/>
        </w:rPr>
        <w:br/>
        <w:t xml:space="preserve">діагностичних моделях оцінювалися характер змикання зубних рядів для молярів, </w:t>
      </w:r>
      <w:r w:rsidRPr="00520861">
        <w:rPr>
          <w:rFonts w:eastAsia="Calibri"/>
          <w:bCs/>
          <w:color w:val="000000"/>
          <w:sz w:val="28"/>
          <w:szCs w:val="28"/>
          <w:lang w:eastAsia="en-US"/>
        </w:rPr>
        <w:br/>
        <w:t xml:space="preserve">різців та ікл у трьох </w:t>
      </w:r>
      <w:proofErr w:type="spellStart"/>
      <w:r w:rsidRPr="00520861">
        <w:rPr>
          <w:rFonts w:eastAsia="Calibri"/>
          <w:bCs/>
          <w:color w:val="000000"/>
          <w:sz w:val="28"/>
          <w:szCs w:val="28"/>
          <w:lang w:eastAsia="en-US"/>
        </w:rPr>
        <w:t>площинах</w:t>
      </w:r>
      <w:proofErr w:type="spellEnd"/>
      <w:r w:rsidRPr="00520861">
        <w:rPr>
          <w:rFonts w:eastAsia="Calibri"/>
          <w:bCs/>
          <w:color w:val="000000"/>
          <w:sz w:val="28"/>
          <w:szCs w:val="28"/>
          <w:lang w:eastAsia="en-US"/>
        </w:rPr>
        <w:t>, форма та розміри зубних рядів. Були оцінені аномалії окремих зубів. Проводився кількісний аналіз діагностичних моделей: в</w:t>
      </w:r>
      <w:r w:rsidRPr="00520861">
        <w:rPr>
          <w:rFonts w:eastAsia="Calibri"/>
          <w:color w:val="000000"/>
          <w:sz w:val="28"/>
          <w:szCs w:val="28"/>
          <w:lang w:eastAsia="en-US"/>
        </w:rPr>
        <w:t xml:space="preserve">имірювання піднебінного склепіння згідно з рекомендаціями та врахуванням опорних точок, </w:t>
      </w:r>
      <w:r w:rsidRPr="00520861">
        <w:rPr>
          <w:rFonts w:eastAsia="Calibri"/>
          <w:color w:val="000000"/>
          <w:sz w:val="28"/>
          <w:szCs w:val="28"/>
          <w:lang w:eastAsia="en-US"/>
        </w:rPr>
        <w:br/>
        <w:t xml:space="preserve">викладених у </w:t>
      </w:r>
      <w:r w:rsidRPr="00520861">
        <w:rPr>
          <w:rFonts w:eastAsia="Calibri"/>
          <w:sz w:val="28"/>
          <w:szCs w:val="28"/>
          <w:lang w:eastAsia="en-US"/>
        </w:rPr>
        <w:t xml:space="preserve">роботі </w:t>
      </w:r>
      <w:r w:rsidRPr="00520861">
        <w:rPr>
          <w:rFonts w:eastAsia="Calibri"/>
          <w:bCs/>
          <w:sz w:val="28"/>
          <w:szCs w:val="28"/>
          <w:lang w:eastAsia="en-US"/>
        </w:rPr>
        <w:t>[415].</w:t>
      </w:r>
    </w:p>
    <w:p w14:paraId="51825A55" w14:textId="77777777" w:rsidR="00CF641C" w:rsidRPr="00520861" w:rsidRDefault="00CF641C" w:rsidP="00292D2E">
      <w:pPr>
        <w:widowControl w:val="0"/>
        <w:spacing w:line="360" w:lineRule="auto"/>
        <w:ind w:firstLine="709"/>
        <w:jc w:val="both"/>
        <w:rPr>
          <w:sz w:val="28"/>
          <w:szCs w:val="28"/>
        </w:rPr>
      </w:pPr>
      <w:r w:rsidRPr="00520861">
        <w:rPr>
          <w:sz w:val="28"/>
          <w:szCs w:val="28"/>
        </w:rPr>
        <w:t xml:space="preserve">Оскільки відома спадкова схильність до виникнення ЗЩА, додаткова увага </w:t>
      </w:r>
      <w:r w:rsidRPr="00520861">
        <w:rPr>
          <w:sz w:val="28"/>
          <w:szCs w:val="28"/>
        </w:rPr>
        <w:br/>
        <w:t>зверталася на відомості про генетичну схильність до ЗЩА з боку батька, матері чи близьких родичів кожної дитини, ці дані були одержані за допомогою анкетування.</w:t>
      </w:r>
    </w:p>
    <w:p w14:paraId="10D04FEA" w14:textId="77777777" w:rsidR="00CF641C" w:rsidRPr="00520861" w:rsidRDefault="00CF641C" w:rsidP="00292D2E">
      <w:pPr>
        <w:widowControl w:val="0"/>
        <w:spacing w:line="360" w:lineRule="auto"/>
        <w:ind w:firstLine="709"/>
        <w:contextualSpacing/>
        <w:jc w:val="both"/>
        <w:rPr>
          <w:rFonts w:eastAsia="Calibri"/>
          <w:sz w:val="28"/>
          <w:szCs w:val="28"/>
        </w:rPr>
      </w:pPr>
      <w:r w:rsidRPr="00520861">
        <w:rPr>
          <w:rFonts w:eastAsia="Calibri"/>
          <w:bCs/>
          <w:sz w:val="28"/>
          <w:szCs w:val="28"/>
          <w:lang w:eastAsia="en-US"/>
        </w:rPr>
        <w:t>При обстеженні осіб у період постійного прикусу</w:t>
      </w:r>
      <w:r w:rsidRPr="00520861">
        <w:rPr>
          <w:rFonts w:eastAsia="Calibri"/>
          <w:sz w:val="28"/>
          <w:szCs w:val="28"/>
        </w:rPr>
        <w:t xml:space="preserve"> використовували класифікації </w:t>
      </w:r>
      <w:proofErr w:type="spellStart"/>
      <w:r w:rsidRPr="00520861">
        <w:rPr>
          <w:rFonts w:eastAsia="Calibri"/>
          <w:sz w:val="28"/>
          <w:szCs w:val="28"/>
        </w:rPr>
        <w:t>Калвеліса</w:t>
      </w:r>
      <w:proofErr w:type="spellEnd"/>
      <w:r w:rsidRPr="00520861">
        <w:rPr>
          <w:rFonts w:eastAsia="Calibri"/>
          <w:sz w:val="28"/>
          <w:szCs w:val="28"/>
        </w:rPr>
        <w:t xml:space="preserve"> Д. А.</w:t>
      </w:r>
      <w:r w:rsidRPr="00520861">
        <w:rPr>
          <w:sz w:val="28"/>
          <w:szCs w:val="28"/>
        </w:rPr>
        <w:t xml:space="preserve"> (1957)</w:t>
      </w:r>
      <w:r w:rsidRPr="00520861">
        <w:rPr>
          <w:rFonts w:eastAsia="Calibri"/>
          <w:sz w:val="28"/>
          <w:szCs w:val="28"/>
        </w:rPr>
        <w:t xml:space="preserve"> та </w:t>
      </w:r>
      <w:proofErr w:type="spellStart"/>
      <w:r w:rsidRPr="00520861">
        <w:rPr>
          <w:rFonts w:eastAsia="Calibri"/>
          <w:sz w:val="28"/>
          <w:szCs w:val="28"/>
        </w:rPr>
        <w:t>Енгля</w:t>
      </w:r>
      <w:proofErr w:type="spellEnd"/>
      <w:r w:rsidRPr="00520861">
        <w:rPr>
          <w:rFonts w:eastAsia="Calibri"/>
          <w:sz w:val="28"/>
          <w:szCs w:val="28"/>
        </w:rPr>
        <w:t xml:space="preserve"> Е (1889). Виходячи з положення, що ЗЩА не є хворобою (єдиний етіологічний фактор), а є патологічним станом </w:t>
      </w:r>
      <w:proofErr w:type="spellStart"/>
      <w:r w:rsidRPr="00520861">
        <w:rPr>
          <w:rFonts w:eastAsia="Calibri"/>
          <w:sz w:val="28"/>
          <w:szCs w:val="28"/>
        </w:rPr>
        <w:t>мультифакторного</w:t>
      </w:r>
      <w:proofErr w:type="spellEnd"/>
      <w:r w:rsidRPr="00520861">
        <w:rPr>
          <w:rFonts w:eastAsia="Calibri"/>
          <w:sz w:val="28"/>
          <w:szCs w:val="28"/>
        </w:rPr>
        <w:t xml:space="preserve"> походження, а також з того, що </w:t>
      </w:r>
      <w:r w:rsidRPr="00520861">
        <w:rPr>
          <w:rFonts w:eastAsia="Calibri"/>
          <w:sz w:val="28"/>
          <w:szCs w:val="28"/>
          <w:lang w:eastAsia="en-US"/>
        </w:rPr>
        <w:t>кількісний склад ЗЩА</w:t>
      </w:r>
      <w:r w:rsidRPr="00520861">
        <w:rPr>
          <w:rFonts w:eastAsia="Calibri"/>
          <w:sz w:val="28"/>
          <w:szCs w:val="28"/>
        </w:rPr>
        <w:t xml:space="preserve"> та</w:t>
      </w:r>
      <w:r w:rsidRPr="00520861">
        <w:rPr>
          <w:rFonts w:eastAsia="Calibri"/>
          <w:sz w:val="28"/>
          <w:szCs w:val="28"/>
          <w:lang w:eastAsia="en-US"/>
        </w:rPr>
        <w:t xml:space="preserve"> критерії їх оцінювання в різних вікових періодах відрізняються</w:t>
      </w:r>
      <w:r w:rsidRPr="00520861">
        <w:rPr>
          <w:rFonts w:eastAsia="Calibri"/>
          <w:sz w:val="28"/>
          <w:szCs w:val="28"/>
        </w:rPr>
        <w:t>, ЗЩА в різних ВП були розглянуті окремо.</w:t>
      </w:r>
    </w:p>
    <w:p w14:paraId="2296801A" w14:textId="77777777" w:rsidR="00CF641C" w:rsidRPr="00520861" w:rsidRDefault="00CF641C" w:rsidP="00292D2E">
      <w:pPr>
        <w:widowControl w:val="0"/>
        <w:spacing w:line="360" w:lineRule="auto"/>
        <w:ind w:firstLine="709"/>
        <w:contextualSpacing/>
        <w:jc w:val="both"/>
        <w:rPr>
          <w:rFonts w:eastAsia="Calibri"/>
          <w:sz w:val="28"/>
          <w:szCs w:val="28"/>
        </w:rPr>
      </w:pPr>
      <w:r w:rsidRPr="00520861">
        <w:rPr>
          <w:rFonts w:eastAsia="Calibri"/>
          <w:sz w:val="28"/>
          <w:szCs w:val="28"/>
        </w:rPr>
        <w:t xml:space="preserve">У задачі нашого дослідження входило виявлення загальних закономірностей чи тенденцій у модифікаціях стану СГС, пов’язаних із </w:t>
      </w:r>
      <w:proofErr w:type="spellStart"/>
      <w:r w:rsidRPr="00520861">
        <w:rPr>
          <w:rFonts w:eastAsia="Calibri"/>
          <w:sz w:val="28"/>
          <w:szCs w:val="28"/>
        </w:rPr>
        <w:t>макросомією</w:t>
      </w:r>
      <w:proofErr w:type="spellEnd"/>
      <w:r w:rsidRPr="00520861">
        <w:rPr>
          <w:rFonts w:eastAsia="Calibri"/>
          <w:sz w:val="28"/>
          <w:szCs w:val="28"/>
        </w:rPr>
        <w:t xml:space="preserve">. Тому нижче проаналізовані узагальнені, сумарні по всіх ВП результати дослідження без </w:t>
      </w:r>
      <w:r w:rsidRPr="00520861">
        <w:rPr>
          <w:rFonts w:eastAsia="Calibri"/>
          <w:sz w:val="28"/>
          <w:szCs w:val="28"/>
        </w:rPr>
        <w:br/>
        <w:t>диференціювання якісного складу ЗЩА в учасників дослідження.</w:t>
      </w:r>
    </w:p>
    <w:p w14:paraId="02BD32DA" w14:textId="77777777" w:rsidR="00CF641C" w:rsidRPr="00520861" w:rsidRDefault="00CF641C" w:rsidP="00292D2E">
      <w:pPr>
        <w:widowControl w:val="0"/>
        <w:spacing w:line="360" w:lineRule="auto"/>
        <w:ind w:right="141" w:firstLine="708"/>
        <w:jc w:val="both"/>
        <w:rPr>
          <w:rFonts w:eastAsia="Calibri"/>
          <w:sz w:val="28"/>
          <w:szCs w:val="28"/>
          <w:lang w:eastAsia="en-US"/>
        </w:rPr>
      </w:pPr>
      <w:r w:rsidRPr="00520861">
        <w:rPr>
          <w:sz w:val="28"/>
          <w:szCs w:val="28"/>
        </w:rPr>
        <w:t>При обстеженні осіб у період постійного прикусу</w:t>
      </w:r>
      <w:r w:rsidRPr="00520861">
        <w:rPr>
          <w:rFonts w:eastAsia="Calibri"/>
          <w:bCs/>
          <w:sz w:val="28"/>
          <w:szCs w:val="28"/>
          <w:lang w:eastAsia="en-US"/>
        </w:rPr>
        <w:t xml:space="preserve"> гігієнічний стан ПР визначали за </w:t>
      </w:r>
      <w:r w:rsidRPr="00520861">
        <w:rPr>
          <w:rFonts w:eastAsia="Calibri"/>
          <w:bCs/>
          <w:iCs/>
          <w:sz w:val="28"/>
          <w:szCs w:val="28"/>
          <w:lang w:eastAsia="en-US"/>
        </w:rPr>
        <w:t>індексом OHI-S (</w:t>
      </w:r>
      <w:proofErr w:type="spellStart"/>
      <w:r w:rsidRPr="00520861">
        <w:rPr>
          <w:rFonts w:eastAsia="Calibri"/>
          <w:bCs/>
          <w:iCs/>
          <w:sz w:val="28"/>
          <w:szCs w:val="28"/>
          <w:lang w:eastAsia="en-US"/>
        </w:rPr>
        <w:t>Green</w:t>
      </w:r>
      <w:proofErr w:type="spellEnd"/>
      <w:r w:rsidRPr="00520861">
        <w:rPr>
          <w:rFonts w:eastAsia="Calibri"/>
          <w:bCs/>
          <w:iCs/>
          <w:sz w:val="28"/>
          <w:szCs w:val="28"/>
          <w:lang w:eastAsia="en-US"/>
        </w:rPr>
        <w:t> – </w:t>
      </w:r>
      <w:proofErr w:type="spellStart"/>
      <w:r w:rsidRPr="00520861">
        <w:rPr>
          <w:rFonts w:eastAsia="Calibri"/>
          <w:bCs/>
          <w:iCs/>
          <w:sz w:val="28"/>
          <w:szCs w:val="28"/>
          <w:lang w:eastAsia="en-US"/>
        </w:rPr>
        <w:t>Vermillion</w:t>
      </w:r>
      <w:proofErr w:type="spellEnd"/>
      <w:r w:rsidRPr="00520861">
        <w:rPr>
          <w:rFonts w:eastAsia="Calibri"/>
          <w:bCs/>
          <w:iCs/>
          <w:sz w:val="28"/>
          <w:szCs w:val="28"/>
          <w:lang w:eastAsia="en-US"/>
        </w:rPr>
        <w:t xml:space="preserve">, 1969) </w:t>
      </w:r>
      <w:r w:rsidRPr="00520861">
        <w:rPr>
          <w:sz w:val="28"/>
          <w:szCs w:val="28"/>
        </w:rPr>
        <w:t>[24]</w:t>
      </w:r>
      <w:r w:rsidRPr="00520861">
        <w:rPr>
          <w:rFonts w:eastAsia="Calibri"/>
          <w:bCs/>
          <w:sz w:val="28"/>
          <w:szCs w:val="28"/>
          <w:lang w:eastAsia="en-US"/>
        </w:rPr>
        <w:t xml:space="preserve">. </w:t>
      </w:r>
      <w:r w:rsidRPr="00520861">
        <w:rPr>
          <w:rFonts w:eastAsia="Calibri"/>
          <w:sz w:val="28"/>
          <w:szCs w:val="28"/>
          <w:lang w:eastAsia="en-US"/>
        </w:rPr>
        <w:t xml:space="preserve">Було проведене визначення поширеності та інтенсивності карієсу та обчислено індекс найвищої інтенсивності карієсу (НІК чи </w:t>
      </w:r>
      <w:proofErr w:type="spellStart"/>
      <w:r w:rsidRPr="00520861">
        <w:rPr>
          <w:rFonts w:eastAsia="Calibri"/>
          <w:bCs/>
          <w:sz w:val="28"/>
          <w:szCs w:val="28"/>
          <w:lang w:eastAsia="en-US"/>
        </w:rPr>
        <w:t>Significant</w:t>
      </w:r>
      <w:proofErr w:type="spellEnd"/>
      <w:r w:rsidRPr="00520861">
        <w:rPr>
          <w:rFonts w:eastAsia="Calibri"/>
          <w:bCs/>
          <w:sz w:val="28"/>
          <w:szCs w:val="28"/>
          <w:lang w:eastAsia="en-US"/>
        </w:rPr>
        <w:t xml:space="preserve"> </w:t>
      </w:r>
      <w:proofErr w:type="spellStart"/>
      <w:r w:rsidRPr="00520861">
        <w:rPr>
          <w:rFonts w:eastAsia="Calibri"/>
          <w:bCs/>
          <w:sz w:val="28"/>
          <w:szCs w:val="28"/>
          <w:lang w:eastAsia="en-US"/>
        </w:rPr>
        <w:t>Caries</w:t>
      </w:r>
      <w:proofErr w:type="spellEnd"/>
      <w:r w:rsidRPr="00520861">
        <w:rPr>
          <w:rFonts w:eastAsia="Calibri"/>
          <w:bCs/>
          <w:sz w:val="28"/>
          <w:szCs w:val="28"/>
          <w:lang w:eastAsia="en-US"/>
        </w:rPr>
        <w:t xml:space="preserve"> </w:t>
      </w:r>
      <w:proofErr w:type="spellStart"/>
      <w:r w:rsidRPr="00520861">
        <w:rPr>
          <w:rFonts w:eastAsia="Calibri"/>
          <w:bCs/>
          <w:sz w:val="28"/>
          <w:szCs w:val="28"/>
          <w:lang w:eastAsia="en-US"/>
        </w:rPr>
        <w:t>Index</w:t>
      </w:r>
      <w:proofErr w:type="spellEnd"/>
      <w:r w:rsidRPr="00520861">
        <w:rPr>
          <w:rFonts w:eastAsia="Calibri"/>
          <w:sz w:val="28"/>
          <w:szCs w:val="28"/>
          <w:lang w:eastAsia="en-US"/>
        </w:rPr>
        <w:t>) [234, 263].</w:t>
      </w:r>
    </w:p>
    <w:p w14:paraId="2F547AA9" w14:textId="77777777" w:rsidR="00CF641C" w:rsidRPr="00520861" w:rsidRDefault="00CF641C" w:rsidP="00292D2E">
      <w:pPr>
        <w:widowControl w:val="0"/>
        <w:spacing w:line="360" w:lineRule="auto"/>
        <w:ind w:right="141" w:firstLine="708"/>
        <w:jc w:val="both"/>
        <w:rPr>
          <w:sz w:val="28"/>
          <w:szCs w:val="28"/>
        </w:rPr>
      </w:pPr>
      <w:r w:rsidRPr="00520861">
        <w:rPr>
          <w:rFonts w:eastAsia="Calibri"/>
          <w:sz w:val="28"/>
          <w:szCs w:val="28"/>
          <w:lang w:eastAsia="en-US"/>
        </w:rPr>
        <w:t xml:space="preserve">Проводилося визначення швидкості виділення змішаної нестимульованої РР, яку збирали зранку натще в градуйовані пробірки протягом 10 хвилин. </w:t>
      </w:r>
      <w:r w:rsidRPr="00520861">
        <w:rPr>
          <w:sz w:val="28"/>
          <w:szCs w:val="28"/>
        </w:rPr>
        <w:t xml:space="preserve">Із метою кількісного оцінювання секрету малих слинних залоз був використаний метод </w:t>
      </w:r>
      <w:r w:rsidRPr="00520861">
        <w:rPr>
          <w:sz w:val="28"/>
          <w:szCs w:val="28"/>
        </w:rPr>
        <w:br/>
      </w:r>
      <w:proofErr w:type="spellStart"/>
      <w:r w:rsidRPr="00520861">
        <w:rPr>
          <w:sz w:val="28"/>
          <w:szCs w:val="28"/>
        </w:rPr>
        <w:t>Яковлевої</w:t>
      </w:r>
      <w:proofErr w:type="spellEnd"/>
      <w:r w:rsidRPr="00520861">
        <w:rPr>
          <w:sz w:val="28"/>
          <w:szCs w:val="28"/>
        </w:rPr>
        <w:t xml:space="preserve"> В. І. [215]. Водневий показник вимірювався за допомогою індикаторного паперу з </w:t>
      </w:r>
      <w:proofErr w:type="spellStart"/>
      <w:r w:rsidRPr="00520861">
        <w:rPr>
          <w:sz w:val="28"/>
          <w:szCs w:val="28"/>
        </w:rPr>
        <w:t>pH</w:t>
      </w:r>
      <w:proofErr w:type="spellEnd"/>
      <w:r w:rsidRPr="00520861">
        <w:rPr>
          <w:sz w:val="28"/>
          <w:szCs w:val="28"/>
        </w:rPr>
        <w:t xml:space="preserve"> діапазоном 4,5 – 7,5 та інтервалом кислотності 0,2 одиниці. Смужки тестового паперу занурювали в РР на 10 секунд і потім їх колір порівнювався зі шкалою, що входила до набору.</w:t>
      </w:r>
    </w:p>
    <w:p w14:paraId="56F27857" w14:textId="77777777" w:rsidR="00CF641C" w:rsidRPr="00520861" w:rsidRDefault="00CF641C" w:rsidP="00292D2E">
      <w:pPr>
        <w:widowControl w:val="0"/>
        <w:spacing w:line="360" w:lineRule="auto"/>
        <w:ind w:firstLine="708"/>
        <w:jc w:val="both"/>
        <w:rPr>
          <w:rFonts w:eastAsia="Calibri"/>
          <w:bCs/>
          <w:iCs/>
          <w:sz w:val="28"/>
          <w:szCs w:val="28"/>
          <w:lang w:eastAsia="en-US"/>
        </w:rPr>
      </w:pPr>
      <w:r w:rsidRPr="00520861">
        <w:rPr>
          <w:rFonts w:eastAsia="Calibri"/>
          <w:color w:val="000000"/>
          <w:sz w:val="28"/>
          <w:szCs w:val="28"/>
        </w:rPr>
        <w:lastRenderedPageBreak/>
        <w:t xml:space="preserve">При обстеженні тканин </w:t>
      </w:r>
      <w:proofErr w:type="spellStart"/>
      <w:r w:rsidRPr="00520861">
        <w:rPr>
          <w:rFonts w:eastAsia="Calibri"/>
          <w:color w:val="000000"/>
          <w:sz w:val="28"/>
          <w:szCs w:val="28"/>
        </w:rPr>
        <w:t>пародонта</w:t>
      </w:r>
      <w:proofErr w:type="spellEnd"/>
      <w:r w:rsidRPr="00520861">
        <w:rPr>
          <w:rFonts w:eastAsia="Calibri"/>
          <w:color w:val="000000"/>
          <w:sz w:val="28"/>
          <w:szCs w:val="28"/>
        </w:rPr>
        <w:t xml:space="preserve"> звертали увагу на рельєф, колір та форму ясенного краю, відзначалася наявність набряку, кровоточивості, клінічної втрати прикріплення [99]. При </w:t>
      </w:r>
      <w:r w:rsidRPr="00520861">
        <w:rPr>
          <w:rFonts w:eastAsia="Calibri"/>
          <w:bCs/>
          <w:iCs/>
          <w:color w:val="000000"/>
          <w:sz w:val="28"/>
          <w:szCs w:val="28"/>
        </w:rPr>
        <w:t xml:space="preserve">визначенні гігієнічного стану ПР використовувався </w:t>
      </w:r>
      <w:r w:rsidRPr="00520861">
        <w:rPr>
          <w:rFonts w:eastAsia="Calibri"/>
          <w:color w:val="000000"/>
          <w:sz w:val="28"/>
          <w:szCs w:val="28"/>
        </w:rPr>
        <w:t>гігієнічний індекс OHI-S (</w:t>
      </w:r>
      <w:proofErr w:type="spellStart"/>
      <w:r w:rsidRPr="00520861">
        <w:rPr>
          <w:rFonts w:eastAsia="Calibri"/>
          <w:color w:val="000000"/>
          <w:sz w:val="28"/>
          <w:szCs w:val="28"/>
        </w:rPr>
        <w:t>Green</w:t>
      </w:r>
      <w:proofErr w:type="spellEnd"/>
      <w:r w:rsidRPr="00520861">
        <w:rPr>
          <w:rFonts w:eastAsia="Calibri"/>
          <w:color w:val="000000"/>
          <w:sz w:val="28"/>
          <w:szCs w:val="28"/>
        </w:rPr>
        <w:t> – </w:t>
      </w:r>
      <w:proofErr w:type="spellStart"/>
      <w:r w:rsidRPr="00520861">
        <w:rPr>
          <w:rFonts w:eastAsia="Calibri"/>
          <w:color w:val="000000"/>
          <w:sz w:val="28"/>
          <w:szCs w:val="28"/>
        </w:rPr>
        <w:t>Vermillion</w:t>
      </w:r>
      <w:proofErr w:type="spellEnd"/>
      <w:r w:rsidRPr="00520861">
        <w:rPr>
          <w:rFonts w:eastAsia="Calibri"/>
          <w:color w:val="000000"/>
          <w:sz w:val="28"/>
          <w:szCs w:val="28"/>
        </w:rPr>
        <w:t>, 1969)</w:t>
      </w:r>
      <w:r w:rsidRPr="00520861">
        <w:rPr>
          <w:rFonts w:eastAsia="Calibri"/>
          <w:bCs/>
          <w:color w:val="000000"/>
          <w:sz w:val="28"/>
          <w:szCs w:val="28"/>
        </w:rPr>
        <w:t>.</w:t>
      </w:r>
      <w:r w:rsidRPr="00520861">
        <w:rPr>
          <w:rFonts w:eastAsia="Calibri"/>
          <w:color w:val="000000"/>
          <w:sz w:val="28"/>
          <w:szCs w:val="28"/>
        </w:rPr>
        <w:t xml:space="preserve"> Ознаки ураження </w:t>
      </w:r>
      <w:proofErr w:type="spellStart"/>
      <w:r w:rsidRPr="00520861">
        <w:rPr>
          <w:rFonts w:eastAsia="Calibri"/>
          <w:color w:val="000000"/>
          <w:sz w:val="28"/>
          <w:szCs w:val="28"/>
        </w:rPr>
        <w:t>пародонта</w:t>
      </w:r>
      <w:proofErr w:type="spellEnd"/>
      <w:r w:rsidRPr="00520861">
        <w:rPr>
          <w:rFonts w:eastAsia="Calibri"/>
          <w:color w:val="000000"/>
          <w:sz w:val="28"/>
          <w:szCs w:val="28"/>
        </w:rPr>
        <w:t xml:space="preserve">: визначення запалення в тканинах </w:t>
      </w:r>
      <w:proofErr w:type="spellStart"/>
      <w:r w:rsidRPr="00520861">
        <w:rPr>
          <w:rFonts w:eastAsia="Calibri"/>
          <w:color w:val="000000"/>
          <w:sz w:val="28"/>
          <w:szCs w:val="28"/>
        </w:rPr>
        <w:t>пародонта</w:t>
      </w:r>
      <w:proofErr w:type="spellEnd"/>
      <w:r w:rsidRPr="00520861">
        <w:rPr>
          <w:rFonts w:eastAsia="Calibri"/>
          <w:color w:val="000000"/>
          <w:sz w:val="28"/>
          <w:szCs w:val="28"/>
        </w:rPr>
        <w:t xml:space="preserve"> проводили за допомогою </w:t>
      </w:r>
      <w:proofErr w:type="spellStart"/>
      <w:r w:rsidRPr="00520861">
        <w:rPr>
          <w:rFonts w:eastAsia="Calibri"/>
          <w:color w:val="000000"/>
          <w:sz w:val="28"/>
          <w:szCs w:val="28"/>
        </w:rPr>
        <w:t>папілярно</w:t>
      </w:r>
      <w:proofErr w:type="spellEnd"/>
      <w:r w:rsidRPr="00520861">
        <w:rPr>
          <w:rFonts w:eastAsia="Calibri"/>
          <w:color w:val="000000"/>
          <w:sz w:val="28"/>
          <w:szCs w:val="28"/>
        </w:rPr>
        <w:t>-</w:t>
      </w:r>
      <w:proofErr w:type="spellStart"/>
      <w:r w:rsidRPr="00520861">
        <w:rPr>
          <w:rFonts w:eastAsia="Calibri"/>
          <w:color w:val="000000"/>
          <w:sz w:val="28"/>
          <w:szCs w:val="28"/>
        </w:rPr>
        <w:t>маргінально</w:t>
      </w:r>
      <w:proofErr w:type="spellEnd"/>
      <w:r w:rsidRPr="00520861">
        <w:rPr>
          <w:rFonts w:eastAsia="Calibri"/>
          <w:color w:val="000000"/>
          <w:sz w:val="28"/>
          <w:szCs w:val="28"/>
        </w:rPr>
        <w:t xml:space="preserve">-альвеолярного індексу (РМА) у модифікації </w:t>
      </w:r>
      <w:proofErr w:type="spellStart"/>
      <w:r w:rsidRPr="00520861">
        <w:rPr>
          <w:rFonts w:eastAsia="Calibri"/>
          <w:color w:val="000000"/>
          <w:sz w:val="28"/>
          <w:szCs w:val="28"/>
        </w:rPr>
        <w:t>Парма</w:t>
      </w:r>
      <w:proofErr w:type="spellEnd"/>
      <w:r w:rsidRPr="00520861">
        <w:rPr>
          <w:rFonts w:eastAsia="Calibri"/>
          <w:color w:val="000000"/>
          <w:sz w:val="28"/>
          <w:szCs w:val="28"/>
        </w:rPr>
        <w:t xml:space="preserve"> (%) (1960); визначення рецесії ясен — за </w:t>
      </w:r>
      <w:proofErr w:type="spellStart"/>
      <w:r w:rsidRPr="00520861">
        <w:rPr>
          <w:rFonts w:eastAsia="Calibri"/>
          <w:color w:val="000000"/>
          <w:sz w:val="28"/>
          <w:szCs w:val="28"/>
        </w:rPr>
        <w:t>Miller</w:t>
      </w:r>
      <w:proofErr w:type="spellEnd"/>
      <w:r w:rsidRPr="00520861">
        <w:rPr>
          <w:color w:val="000000"/>
          <w:sz w:val="28"/>
          <w:szCs w:val="28"/>
        </w:rPr>
        <w:t xml:space="preserve"> (1985); </w:t>
      </w:r>
      <w:r w:rsidRPr="00520861">
        <w:rPr>
          <w:rFonts w:eastAsia="Calibri"/>
          <w:color w:val="000000"/>
          <w:sz w:val="28"/>
          <w:szCs w:val="28"/>
        </w:rPr>
        <w:t xml:space="preserve">кровоточивість визначали за </w:t>
      </w:r>
      <w:proofErr w:type="spellStart"/>
      <w:r w:rsidRPr="00520861">
        <w:rPr>
          <w:rFonts w:eastAsia="Calibri"/>
          <w:color w:val="000000"/>
          <w:sz w:val="28"/>
          <w:szCs w:val="28"/>
        </w:rPr>
        <w:t>Muhleman-Cowel</w:t>
      </w:r>
      <w:proofErr w:type="spellEnd"/>
      <w:r w:rsidRPr="00520861">
        <w:rPr>
          <w:rFonts w:eastAsia="Calibri"/>
          <w:color w:val="000000"/>
          <w:sz w:val="28"/>
          <w:szCs w:val="28"/>
        </w:rPr>
        <w:t xml:space="preserve"> (1971). </w:t>
      </w:r>
      <w:r w:rsidRPr="00520861">
        <w:rPr>
          <w:rFonts w:eastAsia="Calibri"/>
          <w:bCs/>
          <w:iCs/>
          <w:color w:val="000000"/>
          <w:sz w:val="28"/>
          <w:szCs w:val="28"/>
        </w:rPr>
        <w:t xml:space="preserve">Ступінь деструкції підтримуючого апарату зуба для запобігання плутанини визначався не за глибиною </w:t>
      </w:r>
      <w:proofErr w:type="spellStart"/>
      <w:r w:rsidRPr="00520861">
        <w:rPr>
          <w:rFonts w:eastAsia="Calibri"/>
          <w:bCs/>
          <w:iCs/>
          <w:color w:val="000000"/>
          <w:sz w:val="28"/>
          <w:szCs w:val="28"/>
        </w:rPr>
        <w:t>пародонтальної</w:t>
      </w:r>
      <w:proofErr w:type="spellEnd"/>
      <w:r w:rsidRPr="00520861">
        <w:rPr>
          <w:rFonts w:eastAsia="Calibri"/>
          <w:bCs/>
          <w:iCs/>
          <w:color w:val="000000"/>
          <w:sz w:val="28"/>
          <w:szCs w:val="28"/>
        </w:rPr>
        <w:t xml:space="preserve"> кишені, а за відстанню між емалево-цементною межею та циркулярною зв’язкою за допомогою </w:t>
      </w:r>
      <w:proofErr w:type="spellStart"/>
      <w:r w:rsidRPr="00520861">
        <w:rPr>
          <w:rFonts w:eastAsia="Calibri"/>
          <w:bCs/>
          <w:iCs/>
          <w:color w:val="000000"/>
          <w:sz w:val="28"/>
          <w:szCs w:val="28"/>
        </w:rPr>
        <w:t>пародонтального</w:t>
      </w:r>
      <w:proofErr w:type="spellEnd"/>
      <w:r w:rsidRPr="00520861">
        <w:rPr>
          <w:rFonts w:eastAsia="Calibri"/>
          <w:bCs/>
          <w:iCs/>
          <w:color w:val="000000"/>
          <w:sz w:val="28"/>
          <w:szCs w:val="28"/>
        </w:rPr>
        <w:t xml:space="preserve"> зонда та фіксувався згідно з рекомендаціями, викладеними в роботі [116]</w:t>
      </w:r>
      <w:r w:rsidRPr="00520861">
        <w:rPr>
          <w:rFonts w:eastAsia="Calibri"/>
          <w:color w:val="000000"/>
          <w:sz w:val="28"/>
          <w:szCs w:val="28"/>
        </w:rPr>
        <w:t>.</w:t>
      </w:r>
      <w:r w:rsidRPr="00520861">
        <w:rPr>
          <w:rFonts w:eastAsia="Calibri"/>
          <w:bCs/>
          <w:iCs/>
          <w:color w:val="000000"/>
          <w:sz w:val="28"/>
          <w:szCs w:val="28"/>
        </w:rPr>
        <w:t xml:space="preserve"> П</w:t>
      </w:r>
      <w:r w:rsidRPr="00520861">
        <w:rPr>
          <w:rFonts w:eastAsia="Calibri"/>
          <w:color w:val="000000"/>
          <w:sz w:val="28"/>
          <w:szCs w:val="28"/>
        </w:rPr>
        <w:t xml:space="preserve">атологічні зміни в тканинах </w:t>
      </w:r>
      <w:proofErr w:type="spellStart"/>
      <w:r w:rsidRPr="00520861">
        <w:rPr>
          <w:rFonts w:eastAsia="Calibri"/>
          <w:color w:val="000000"/>
          <w:sz w:val="28"/>
          <w:szCs w:val="28"/>
        </w:rPr>
        <w:t>пародонта</w:t>
      </w:r>
      <w:proofErr w:type="spellEnd"/>
      <w:r w:rsidRPr="00520861">
        <w:rPr>
          <w:rFonts w:eastAsia="Calibri"/>
          <w:color w:val="000000"/>
          <w:sz w:val="28"/>
          <w:szCs w:val="28"/>
        </w:rPr>
        <w:t xml:space="preserve"> реєструвалися із застосуванням класифікації </w:t>
      </w:r>
      <w:proofErr w:type="spellStart"/>
      <w:r w:rsidRPr="00520861">
        <w:rPr>
          <w:rFonts w:eastAsia="Calibri"/>
          <w:color w:val="000000"/>
          <w:sz w:val="28"/>
          <w:szCs w:val="28"/>
        </w:rPr>
        <w:t>хвороб</w:t>
      </w:r>
      <w:proofErr w:type="spellEnd"/>
      <w:r w:rsidRPr="00520861">
        <w:rPr>
          <w:rFonts w:eastAsia="Calibri"/>
          <w:color w:val="000000"/>
          <w:sz w:val="28"/>
          <w:szCs w:val="28"/>
        </w:rPr>
        <w:t xml:space="preserve"> </w:t>
      </w:r>
      <w:proofErr w:type="spellStart"/>
      <w:r w:rsidRPr="00520861">
        <w:rPr>
          <w:rFonts w:eastAsia="Calibri"/>
          <w:color w:val="000000"/>
          <w:sz w:val="28"/>
          <w:szCs w:val="28"/>
        </w:rPr>
        <w:t>пародонта</w:t>
      </w:r>
      <w:proofErr w:type="spellEnd"/>
      <w:r w:rsidRPr="00520861">
        <w:rPr>
          <w:rFonts w:eastAsia="Calibri"/>
          <w:color w:val="000000"/>
          <w:sz w:val="28"/>
          <w:szCs w:val="28"/>
        </w:rPr>
        <w:t xml:space="preserve"> </w:t>
      </w:r>
      <w:r w:rsidRPr="00520861">
        <w:rPr>
          <w:rFonts w:eastAsia="Calibri"/>
          <w:color w:val="000000"/>
          <w:sz w:val="28"/>
          <w:szCs w:val="28"/>
        </w:rPr>
        <w:br/>
        <w:t>(Данилевський М. Ф., 1994</w:t>
      </w:r>
      <w:r w:rsidRPr="00520861">
        <w:rPr>
          <w:rFonts w:eastAsia="Calibri"/>
          <w:sz w:val="28"/>
          <w:szCs w:val="28"/>
        </w:rPr>
        <w:t>)</w:t>
      </w:r>
      <w:r w:rsidRPr="00520861">
        <w:rPr>
          <w:rFonts w:eastAsia="Calibri"/>
          <w:bCs/>
          <w:iCs/>
          <w:sz w:val="28"/>
          <w:szCs w:val="28"/>
          <w:lang w:eastAsia="en-US"/>
        </w:rPr>
        <w:t xml:space="preserve"> [85]. </w:t>
      </w:r>
    </w:p>
    <w:p w14:paraId="2EFF955F" w14:textId="77777777" w:rsidR="00CF641C" w:rsidRPr="00520861" w:rsidRDefault="00CF641C" w:rsidP="00292D2E">
      <w:pPr>
        <w:widowControl w:val="0"/>
        <w:spacing w:line="360" w:lineRule="auto"/>
        <w:ind w:firstLine="708"/>
        <w:jc w:val="both"/>
        <w:rPr>
          <w:rFonts w:eastAsia="Calibri"/>
          <w:bCs/>
          <w:iCs/>
          <w:sz w:val="28"/>
          <w:szCs w:val="28"/>
          <w:lang w:eastAsia="en-US"/>
        </w:rPr>
      </w:pPr>
      <w:r w:rsidRPr="00520861">
        <w:rPr>
          <w:rFonts w:eastAsia="Calibri"/>
          <w:sz w:val="28"/>
          <w:szCs w:val="28"/>
          <w:lang w:eastAsia="en-US"/>
        </w:rPr>
        <w:t>З метою підтвердження клінічних результатів вибірково були якісно (відповідно до методики, викладеної в</w:t>
      </w:r>
      <w:r w:rsidRPr="00520861">
        <w:rPr>
          <w:rFonts w:eastAsia="Calibri"/>
          <w:bCs/>
          <w:iCs/>
          <w:sz w:val="28"/>
          <w:szCs w:val="28"/>
          <w:lang w:eastAsia="en-US"/>
        </w:rPr>
        <w:t xml:space="preserve"> роботі [402]</w:t>
      </w:r>
      <w:r w:rsidRPr="00520861">
        <w:rPr>
          <w:rFonts w:eastAsia="Calibri"/>
          <w:sz w:val="28"/>
          <w:szCs w:val="28"/>
          <w:lang w:eastAsia="en-US"/>
        </w:rPr>
        <w:t xml:space="preserve">) і кількісно оцінені </w:t>
      </w:r>
      <w:proofErr w:type="spellStart"/>
      <w:r w:rsidRPr="00520861">
        <w:rPr>
          <w:rFonts w:eastAsia="Calibri"/>
          <w:sz w:val="28"/>
          <w:szCs w:val="28"/>
          <w:lang w:eastAsia="en-US"/>
        </w:rPr>
        <w:t>ортопантомограми</w:t>
      </w:r>
      <w:proofErr w:type="spellEnd"/>
      <w:r w:rsidRPr="00520861">
        <w:rPr>
          <w:rFonts w:eastAsia="Calibri"/>
          <w:sz w:val="28"/>
          <w:szCs w:val="28"/>
          <w:lang w:eastAsia="en-US"/>
        </w:rPr>
        <w:t xml:space="preserve"> (ОПТГ) учасників дослідження. Не оцінювалися ОПТГ із дефектами, ОПТГ, на яких не </w:t>
      </w:r>
      <w:proofErr w:type="spellStart"/>
      <w:r w:rsidRPr="00520861">
        <w:rPr>
          <w:rFonts w:eastAsia="Calibri"/>
          <w:sz w:val="28"/>
          <w:szCs w:val="28"/>
          <w:lang w:eastAsia="en-US"/>
        </w:rPr>
        <w:t>візуалізувався</w:t>
      </w:r>
      <w:proofErr w:type="spellEnd"/>
      <w:r w:rsidRPr="00520861">
        <w:rPr>
          <w:rFonts w:eastAsia="Calibri"/>
          <w:sz w:val="28"/>
          <w:szCs w:val="28"/>
          <w:lang w:eastAsia="en-US"/>
        </w:rPr>
        <w:t xml:space="preserve"> ментальний отвір, ОПТГ осіб, які проходили </w:t>
      </w:r>
      <w:proofErr w:type="spellStart"/>
      <w:r w:rsidRPr="00520861">
        <w:rPr>
          <w:rFonts w:eastAsia="Calibri"/>
          <w:sz w:val="28"/>
          <w:szCs w:val="28"/>
          <w:lang w:eastAsia="en-US"/>
        </w:rPr>
        <w:t>ортодонтичне</w:t>
      </w:r>
      <w:proofErr w:type="spellEnd"/>
      <w:r w:rsidRPr="00520861">
        <w:rPr>
          <w:rFonts w:eastAsia="Calibri"/>
          <w:sz w:val="28"/>
          <w:szCs w:val="28"/>
          <w:lang w:eastAsia="en-US"/>
        </w:rPr>
        <w:t xml:space="preserve"> лікування або мали в анамнезі травми чи інші захворювання щелеп.</w:t>
      </w:r>
    </w:p>
    <w:p w14:paraId="1E122957" w14:textId="77777777" w:rsidR="00CF641C" w:rsidRPr="00520861" w:rsidRDefault="00CF641C" w:rsidP="00292D2E">
      <w:pPr>
        <w:widowControl w:val="0"/>
        <w:spacing w:line="360" w:lineRule="auto"/>
        <w:ind w:firstLine="720"/>
        <w:jc w:val="both"/>
        <w:rPr>
          <w:rFonts w:eastAsia="Calibri"/>
          <w:sz w:val="28"/>
          <w:szCs w:val="28"/>
          <w:lang w:eastAsia="en-US"/>
        </w:rPr>
      </w:pPr>
      <w:r w:rsidRPr="00520861">
        <w:rPr>
          <w:rFonts w:eastAsia="Calibri"/>
          <w:color w:val="000000"/>
          <w:sz w:val="28"/>
          <w:szCs w:val="28"/>
        </w:rPr>
        <w:t>Групою фахівців кафедри терапевтичної стоматології всі досліджені ОПТГ були розділені на 3 частини</w:t>
      </w:r>
      <w:r w:rsidRPr="00520861">
        <w:rPr>
          <w:rFonts w:eastAsia="Calibri"/>
          <w:sz w:val="28"/>
          <w:szCs w:val="28"/>
          <w:lang w:eastAsia="en-US"/>
        </w:rPr>
        <w:t xml:space="preserve">: </w:t>
      </w:r>
      <w:r w:rsidRPr="00520861">
        <w:rPr>
          <w:rFonts w:eastAsia="Calibri"/>
          <w:color w:val="000000"/>
          <w:sz w:val="28"/>
          <w:szCs w:val="28"/>
        </w:rPr>
        <w:t xml:space="preserve">до першої відносили знімки із </w:t>
      </w:r>
      <w:proofErr w:type="spellStart"/>
      <w:r w:rsidRPr="00520861">
        <w:rPr>
          <w:rFonts w:eastAsia="Calibri"/>
          <w:color w:val="000000"/>
          <w:sz w:val="28"/>
          <w:szCs w:val="28"/>
        </w:rPr>
        <w:t>крупнопетлястим</w:t>
      </w:r>
      <w:proofErr w:type="spellEnd"/>
      <w:r w:rsidRPr="00520861">
        <w:rPr>
          <w:rFonts w:eastAsia="Calibri"/>
          <w:color w:val="000000"/>
          <w:sz w:val="28"/>
          <w:szCs w:val="28"/>
        </w:rPr>
        <w:t xml:space="preserve"> </w:t>
      </w:r>
      <w:r w:rsidRPr="00520861">
        <w:rPr>
          <w:rFonts w:eastAsia="Calibri"/>
          <w:color w:val="000000"/>
          <w:sz w:val="28"/>
          <w:szCs w:val="28"/>
        </w:rPr>
        <w:br/>
        <w:t xml:space="preserve">(розрідженим) малюнком і нерівномірною резорбцією кісткової тканини, до другої частини – знімки із світлішим тоном, </w:t>
      </w:r>
      <w:proofErr w:type="spellStart"/>
      <w:r w:rsidRPr="00520861">
        <w:rPr>
          <w:rFonts w:eastAsia="Calibri"/>
          <w:color w:val="000000"/>
          <w:sz w:val="28"/>
          <w:szCs w:val="28"/>
        </w:rPr>
        <w:t>дрібнопетлястим</w:t>
      </w:r>
      <w:proofErr w:type="spellEnd"/>
      <w:r w:rsidRPr="00520861">
        <w:rPr>
          <w:rFonts w:eastAsia="Calibri"/>
          <w:color w:val="000000"/>
          <w:sz w:val="28"/>
          <w:szCs w:val="28"/>
        </w:rPr>
        <w:t xml:space="preserve"> (щільним) малюнком та рівномірною горизонтальною резорбцією та</w:t>
      </w:r>
      <w:r w:rsidRPr="00520861">
        <w:rPr>
          <w:rFonts w:eastAsia="Calibri"/>
          <w:sz w:val="28"/>
          <w:szCs w:val="28"/>
          <w:lang w:eastAsia="en-US"/>
        </w:rPr>
        <w:t xml:space="preserve"> до третьої частини відносили зображення із чергуванням щільного та розрідженого малюнка.</w:t>
      </w:r>
    </w:p>
    <w:p w14:paraId="39C8C18D" w14:textId="77777777" w:rsidR="00CF641C" w:rsidRPr="00520861" w:rsidRDefault="00CF641C" w:rsidP="00292D2E">
      <w:pPr>
        <w:widowControl w:val="0"/>
        <w:spacing w:line="360" w:lineRule="auto"/>
        <w:ind w:right="141" w:firstLine="709"/>
        <w:jc w:val="both"/>
        <w:rPr>
          <w:rFonts w:eastAsia="Calibri"/>
          <w:sz w:val="28"/>
          <w:szCs w:val="28"/>
          <w:lang w:eastAsia="en-US"/>
        </w:rPr>
      </w:pPr>
      <w:r w:rsidRPr="00520861">
        <w:rPr>
          <w:rFonts w:eastAsia="Calibri"/>
          <w:color w:val="000000"/>
          <w:sz w:val="28"/>
          <w:szCs w:val="28"/>
        </w:rPr>
        <w:t xml:space="preserve">На досліджених </w:t>
      </w:r>
      <w:r w:rsidRPr="00520861">
        <w:rPr>
          <w:rFonts w:eastAsia="Calibri"/>
          <w:sz w:val="28"/>
          <w:szCs w:val="28"/>
          <w:lang w:eastAsia="en-US"/>
        </w:rPr>
        <w:t>ОПТГ</w:t>
      </w:r>
      <w:r w:rsidRPr="00520861">
        <w:rPr>
          <w:rFonts w:eastAsia="Calibri"/>
          <w:color w:val="000000"/>
          <w:sz w:val="28"/>
          <w:szCs w:val="28"/>
        </w:rPr>
        <w:t xml:space="preserve"> оцінювалося розташування третіх молярів або їхніх зачатків. Оскільки для всіх осіб </w:t>
      </w:r>
      <w:r w:rsidRPr="00520861">
        <w:rPr>
          <w:rFonts w:eastAsia="Calibri"/>
          <w:sz w:val="28"/>
          <w:szCs w:val="28"/>
        </w:rPr>
        <w:t xml:space="preserve">віком 45 – 55 років (ВП-VIIІ) було важко зібрати </w:t>
      </w:r>
      <w:r w:rsidRPr="00520861">
        <w:rPr>
          <w:rFonts w:eastAsia="Calibri"/>
          <w:sz w:val="28"/>
          <w:szCs w:val="28"/>
        </w:rPr>
        <w:br/>
        <w:t>анамнез (стосовно третіх молярів), а у ВП-V періоді формування вказаних зубів ще не закінчилося [402], кількість осіб, які мають РТМ на нижній і верхній щелепах, обчислювали для ВП-VII</w:t>
      </w:r>
      <w:r w:rsidRPr="00520861">
        <w:rPr>
          <w:rFonts w:eastAsia="Calibri"/>
          <w:sz w:val="28"/>
          <w:szCs w:val="28"/>
          <w:lang w:eastAsia="en-US"/>
        </w:rPr>
        <w:t xml:space="preserve">. Відомо, що формування тканин щелеп закінчується до 25 років, але, враховуючи одержані іншими науковцями відомості про те, що у віці </w:t>
      </w:r>
      <w:r w:rsidR="00353F20" w:rsidRPr="00520861">
        <w:rPr>
          <w:rFonts w:eastAsia="Calibri"/>
          <w:sz w:val="28"/>
          <w:szCs w:val="28"/>
          <w:lang w:eastAsia="en-US"/>
        </w:rPr>
        <w:lastRenderedPageBreak/>
        <w:t>20–21 рік 80</w:t>
      </w:r>
      <w:r w:rsidRPr="00520861">
        <w:rPr>
          <w:rFonts w:eastAsia="Calibri"/>
          <w:sz w:val="28"/>
          <w:szCs w:val="28"/>
          <w:lang w:eastAsia="en-US"/>
        </w:rPr>
        <w:t xml:space="preserve">% осіб мають сформовані корені третіх молярів </w:t>
      </w:r>
      <w:r w:rsidRPr="00520861">
        <w:rPr>
          <w:rFonts w:eastAsia="Calibri"/>
          <w:sz w:val="28"/>
          <w:szCs w:val="28"/>
        </w:rPr>
        <w:t xml:space="preserve">[183], </w:t>
      </w:r>
      <w:r w:rsidRPr="00520861">
        <w:rPr>
          <w:rFonts w:eastAsia="Calibri"/>
          <w:sz w:val="28"/>
          <w:szCs w:val="28"/>
          <w:lang w:eastAsia="en-US"/>
        </w:rPr>
        <w:t xml:space="preserve">і те, що середній вік обстежених у ВП-VI становив 22 роки, ми дослідили і цей віковий період. </w:t>
      </w:r>
    </w:p>
    <w:p w14:paraId="65B61AFB" w14:textId="77777777" w:rsidR="00CF641C" w:rsidRPr="00520861" w:rsidRDefault="00CF641C" w:rsidP="00292D2E">
      <w:pPr>
        <w:widowControl w:val="0"/>
        <w:spacing w:line="360" w:lineRule="auto"/>
        <w:ind w:firstLine="720"/>
        <w:jc w:val="both"/>
        <w:rPr>
          <w:rFonts w:eastAsia="Calibri"/>
          <w:color w:val="000000"/>
          <w:sz w:val="28"/>
          <w:szCs w:val="28"/>
        </w:rPr>
      </w:pPr>
      <w:r w:rsidRPr="00520861">
        <w:rPr>
          <w:rFonts w:eastAsia="Calibri"/>
          <w:color w:val="000000"/>
          <w:sz w:val="28"/>
          <w:szCs w:val="28"/>
        </w:rPr>
        <w:t xml:space="preserve">Для непрямого визначення оптичної щільності кісткової тканини використовувалися </w:t>
      </w:r>
      <w:proofErr w:type="spellStart"/>
      <w:r w:rsidRPr="00520861">
        <w:rPr>
          <w:rFonts w:eastAsia="Calibri"/>
          <w:color w:val="000000"/>
          <w:sz w:val="28"/>
          <w:szCs w:val="28"/>
        </w:rPr>
        <w:t>рентгенморфометричні</w:t>
      </w:r>
      <w:proofErr w:type="spellEnd"/>
      <w:r w:rsidRPr="00520861">
        <w:rPr>
          <w:rFonts w:eastAsia="Calibri"/>
          <w:color w:val="000000"/>
          <w:sz w:val="28"/>
          <w:szCs w:val="28"/>
        </w:rPr>
        <w:t xml:space="preserve"> індекси. Ментальний індекс</w:t>
      </w:r>
      <w:r w:rsidRPr="00520861">
        <w:rPr>
          <w:color w:val="000000"/>
          <w:sz w:val="28"/>
          <w:szCs w:val="28"/>
          <w:lang w:eastAsia="uk-UA"/>
        </w:rPr>
        <w:t xml:space="preserve"> (</w:t>
      </w:r>
      <w:r w:rsidRPr="00520861">
        <w:rPr>
          <w:rFonts w:eastAsia="Calibri"/>
          <w:color w:val="000000"/>
          <w:sz w:val="28"/>
          <w:szCs w:val="28"/>
        </w:rPr>
        <w:t xml:space="preserve">(MI), </w:t>
      </w:r>
      <w:proofErr w:type="spellStart"/>
      <w:r w:rsidRPr="00520861">
        <w:rPr>
          <w:color w:val="000000"/>
          <w:sz w:val="28"/>
          <w:szCs w:val="28"/>
        </w:rPr>
        <w:t>Taguchi</w:t>
      </w:r>
      <w:proofErr w:type="spellEnd"/>
      <w:r w:rsidRPr="00520861">
        <w:rPr>
          <w:color w:val="000000"/>
          <w:sz w:val="28"/>
          <w:szCs w:val="28"/>
        </w:rPr>
        <w:t> A., 1995)</w:t>
      </w:r>
      <w:r w:rsidRPr="00520861">
        <w:rPr>
          <w:rFonts w:eastAsia="Calibri"/>
          <w:color w:val="000000"/>
          <w:sz w:val="28"/>
          <w:szCs w:val="28"/>
        </w:rPr>
        <w:t xml:space="preserve">, або товщина кортикального шару нижньої щелепи, вимірювався на лінії, </w:t>
      </w:r>
      <w:r w:rsidRPr="00520861">
        <w:rPr>
          <w:rFonts w:eastAsia="Calibri"/>
          <w:color w:val="000000"/>
          <w:sz w:val="28"/>
          <w:szCs w:val="28"/>
        </w:rPr>
        <w:br/>
        <w:t xml:space="preserve">перпендикулярній до нижньої частини нижньої щелепи в середині ментального </w:t>
      </w:r>
      <w:r w:rsidRPr="00520861">
        <w:rPr>
          <w:rFonts w:eastAsia="Calibri"/>
          <w:sz w:val="28"/>
          <w:szCs w:val="28"/>
        </w:rPr>
        <w:t xml:space="preserve">отвору </w:t>
      </w:r>
      <w:r w:rsidRPr="00520861">
        <w:rPr>
          <w:rFonts w:eastAsia="Calibri"/>
          <w:bCs/>
          <w:iCs/>
          <w:sz w:val="28"/>
          <w:szCs w:val="28"/>
          <w:lang w:eastAsia="en-US"/>
        </w:rPr>
        <w:t xml:space="preserve">[242]; </w:t>
      </w:r>
      <w:r w:rsidRPr="00520861">
        <w:rPr>
          <w:rFonts w:eastAsia="Calibri"/>
          <w:color w:val="000000"/>
          <w:sz w:val="28"/>
          <w:szCs w:val="28"/>
        </w:rPr>
        <w:t xml:space="preserve">панорамний </w:t>
      </w:r>
      <w:proofErr w:type="spellStart"/>
      <w:r w:rsidRPr="00520861">
        <w:rPr>
          <w:rFonts w:eastAsia="Calibri"/>
          <w:color w:val="000000"/>
          <w:sz w:val="28"/>
          <w:szCs w:val="28"/>
        </w:rPr>
        <w:t>мандибулярний</w:t>
      </w:r>
      <w:proofErr w:type="spellEnd"/>
      <w:r w:rsidRPr="00520861">
        <w:rPr>
          <w:rFonts w:eastAsia="Calibri"/>
          <w:color w:val="000000"/>
          <w:sz w:val="28"/>
          <w:szCs w:val="28"/>
        </w:rPr>
        <w:t xml:space="preserve"> індекс </w:t>
      </w:r>
      <w:r w:rsidRPr="00520861">
        <w:rPr>
          <w:color w:val="000000"/>
          <w:sz w:val="28"/>
          <w:szCs w:val="28"/>
          <w:lang w:eastAsia="uk-UA"/>
        </w:rPr>
        <w:t>(</w:t>
      </w:r>
      <w:r w:rsidRPr="00520861">
        <w:rPr>
          <w:rFonts w:eastAsia="Calibri"/>
          <w:color w:val="000000"/>
          <w:sz w:val="28"/>
          <w:szCs w:val="28"/>
        </w:rPr>
        <w:t xml:space="preserve">(PMI), </w:t>
      </w:r>
      <w:proofErr w:type="spellStart"/>
      <w:r w:rsidRPr="00520861">
        <w:rPr>
          <w:color w:val="000000"/>
          <w:sz w:val="28"/>
          <w:szCs w:val="28"/>
          <w:lang w:eastAsia="uk-UA"/>
        </w:rPr>
        <w:t>Benson</w:t>
      </w:r>
      <w:proofErr w:type="spellEnd"/>
      <w:r w:rsidRPr="00520861">
        <w:rPr>
          <w:color w:val="000000"/>
          <w:sz w:val="28"/>
          <w:szCs w:val="28"/>
          <w:lang w:eastAsia="uk-UA"/>
        </w:rPr>
        <w:t xml:space="preserve"> B. W., 1991)</w:t>
      </w:r>
      <w:r w:rsidRPr="00520861">
        <w:rPr>
          <w:rFonts w:eastAsia="Calibri"/>
          <w:color w:val="000000"/>
          <w:sz w:val="28"/>
          <w:szCs w:val="28"/>
        </w:rPr>
        <w:t xml:space="preserve"> розраховували як відношення товщини кортикального шару нижньої щелепи (МІ) до </w:t>
      </w:r>
      <w:r w:rsidRPr="00520861">
        <w:rPr>
          <w:rFonts w:eastAsia="Calibri"/>
          <w:color w:val="000000"/>
          <w:sz w:val="28"/>
          <w:szCs w:val="28"/>
        </w:rPr>
        <w:br/>
        <w:t>відстані між серединою ментального отвору й нижнім краєм нижньої щелепи (L</w:t>
      </w:r>
      <w:r w:rsidRPr="00520861">
        <w:rPr>
          <w:rFonts w:eastAsia="Calibri"/>
          <w:color w:val="000000"/>
          <w:sz w:val="28"/>
          <w:szCs w:val="28"/>
          <w:vertAlign w:val="subscript"/>
        </w:rPr>
        <w:t>ОПТГ</w:t>
      </w:r>
      <w:r w:rsidRPr="00520861">
        <w:rPr>
          <w:rFonts w:eastAsia="Calibri"/>
          <w:color w:val="000000"/>
          <w:sz w:val="28"/>
          <w:szCs w:val="28"/>
        </w:rPr>
        <w:t>)</w:t>
      </w:r>
      <w:r w:rsidRPr="00520861">
        <w:rPr>
          <w:rFonts w:eastAsia="Calibri"/>
          <w:bCs/>
          <w:iCs/>
          <w:sz w:val="28"/>
          <w:szCs w:val="28"/>
          <w:lang w:eastAsia="en-US"/>
        </w:rPr>
        <w:t xml:space="preserve"> [242]; </w:t>
      </w:r>
      <w:r w:rsidRPr="00520861">
        <w:rPr>
          <w:rFonts w:eastAsia="Calibri"/>
          <w:color w:val="000000"/>
          <w:sz w:val="28"/>
          <w:szCs w:val="28"/>
        </w:rPr>
        <w:t>індекс PMI був обраний тому, що за його допомогою можна обчислювати оптичну щільність по панорамних знімках, зроблених на різному обладнанні</w:t>
      </w:r>
      <w:r w:rsidRPr="00520861">
        <w:rPr>
          <w:rFonts w:eastAsia="Calibri"/>
          <w:bCs/>
          <w:iCs/>
          <w:sz w:val="28"/>
          <w:szCs w:val="28"/>
          <w:lang w:eastAsia="en-US"/>
        </w:rPr>
        <w:t xml:space="preserve"> [242]. </w:t>
      </w:r>
      <w:r w:rsidRPr="00520861">
        <w:rPr>
          <w:rFonts w:eastAsia="Calibri"/>
          <w:color w:val="000000"/>
          <w:sz w:val="28"/>
          <w:szCs w:val="28"/>
        </w:rPr>
        <w:t>ОПТГ одержувалися за допомогою</w:t>
      </w:r>
      <w:r w:rsidRPr="00520861">
        <w:rPr>
          <w:rFonts w:eastAsia="Calibri"/>
          <w:bCs/>
          <w:iCs/>
          <w:sz w:val="28"/>
          <w:szCs w:val="28"/>
          <w:lang w:eastAsia="en-US"/>
        </w:rPr>
        <w:t xml:space="preserve"> </w:t>
      </w:r>
      <w:proofErr w:type="spellStart"/>
      <w:r w:rsidRPr="00520861">
        <w:rPr>
          <w:rFonts w:eastAsia="Calibri"/>
          <w:bCs/>
          <w:iCs/>
          <w:sz w:val="28"/>
          <w:szCs w:val="28"/>
          <w:lang w:eastAsia="en-US"/>
        </w:rPr>
        <w:t>Soredex</w:t>
      </w:r>
      <w:proofErr w:type="spellEnd"/>
      <w:r w:rsidRPr="00520861">
        <w:rPr>
          <w:rFonts w:eastAsia="Calibri"/>
          <w:bCs/>
          <w:iCs/>
          <w:sz w:val="28"/>
          <w:szCs w:val="28"/>
          <w:lang w:eastAsia="en-US"/>
        </w:rPr>
        <w:t xml:space="preserve"> CRANEX D, </w:t>
      </w:r>
      <w:proofErr w:type="spellStart"/>
      <w:r w:rsidRPr="00520861">
        <w:rPr>
          <w:rFonts w:eastAsia="Calibri"/>
          <w:bCs/>
          <w:iCs/>
          <w:sz w:val="28"/>
          <w:szCs w:val="28"/>
          <w:lang w:eastAsia="en-US"/>
        </w:rPr>
        <w:t>NewTom</w:t>
      </w:r>
      <w:proofErr w:type="spellEnd"/>
      <w:r w:rsidRPr="00520861">
        <w:rPr>
          <w:rFonts w:eastAsia="Calibri"/>
          <w:bCs/>
          <w:iCs/>
          <w:sz w:val="28"/>
          <w:szCs w:val="28"/>
          <w:lang w:eastAsia="en-US"/>
        </w:rPr>
        <w:t xml:space="preserve"> </w:t>
      </w:r>
      <w:proofErr w:type="spellStart"/>
      <w:r w:rsidRPr="00520861">
        <w:rPr>
          <w:rFonts w:eastAsia="Calibri"/>
          <w:bCs/>
          <w:iCs/>
          <w:sz w:val="28"/>
          <w:szCs w:val="28"/>
          <w:lang w:eastAsia="en-US"/>
        </w:rPr>
        <w:t>Giano</w:t>
      </w:r>
      <w:proofErr w:type="spellEnd"/>
      <w:r w:rsidRPr="00520861">
        <w:rPr>
          <w:rFonts w:eastAsia="Calibri"/>
          <w:bCs/>
          <w:iCs/>
          <w:sz w:val="28"/>
          <w:szCs w:val="28"/>
          <w:lang w:eastAsia="en-US"/>
        </w:rPr>
        <w:t xml:space="preserve"> HR чи </w:t>
      </w:r>
      <w:proofErr w:type="spellStart"/>
      <w:r w:rsidRPr="00520861">
        <w:rPr>
          <w:rFonts w:eastAsia="Calibri"/>
          <w:bCs/>
          <w:iCs/>
          <w:sz w:val="28"/>
          <w:szCs w:val="28"/>
          <w:lang w:eastAsia="en-US"/>
        </w:rPr>
        <w:t>Vatech</w:t>
      </w:r>
      <w:proofErr w:type="spellEnd"/>
      <w:r w:rsidRPr="00520861">
        <w:rPr>
          <w:rFonts w:eastAsia="Calibri"/>
          <w:bCs/>
          <w:iCs/>
          <w:sz w:val="28"/>
          <w:szCs w:val="28"/>
          <w:lang w:eastAsia="en-US"/>
        </w:rPr>
        <w:t xml:space="preserve"> </w:t>
      </w:r>
      <w:proofErr w:type="spellStart"/>
      <w:r w:rsidRPr="00520861">
        <w:rPr>
          <w:rFonts w:eastAsia="Calibri"/>
          <w:bCs/>
          <w:iCs/>
          <w:sz w:val="28"/>
          <w:szCs w:val="28"/>
          <w:lang w:eastAsia="en-US"/>
        </w:rPr>
        <w:t>co</w:t>
      </w:r>
      <w:proofErr w:type="spellEnd"/>
      <w:r w:rsidRPr="00520861">
        <w:rPr>
          <w:rFonts w:eastAsia="Calibri"/>
          <w:bCs/>
          <w:iCs/>
          <w:sz w:val="28"/>
          <w:szCs w:val="28"/>
          <w:lang w:eastAsia="en-US"/>
        </w:rPr>
        <w:t xml:space="preserve">. </w:t>
      </w:r>
      <w:proofErr w:type="spellStart"/>
      <w:r w:rsidRPr="00520861">
        <w:rPr>
          <w:rFonts w:eastAsia="Calibri"/>
          <w:bCs/>
          <w:iCs/>
          <w:sz w:val="28"/>
          <w:szCs w:val="28"/>
          <w:lang w:eastAsia="en-US"/>
        </w:rPr>
        <w:t>ltd</w:t>
      </w:r>
      <w:proofErr w:type="spellEnd"/>
      <w:r w:rsidRPr="00520861">
        <w:rPr>
          <w:rFonts w:eastAsia="Calibri"/>
          <w:bCs/>
          <w:iCs/>
          <w:sz w:val="28"/>
          <w:szCs w:val="28"/>
          <w:lang w:eastAsia="en-US"/>
        </w:rPr>
        <w:t xml:space="preserve"> </w:t>
      </w:r>
      <w:proofErr w:type="spellStart"/>
      <w:r w:rsidRPr="00520861">
        <w:rPr>
          <w:rFonts w:eastAsia="Calibri"/>
          <w:bCs/>
          <w:iCs/>
          <w:sz w:val="28"/>
          <w:szCs w:val="28"/>
          <w:lang w:eastAsia="en-US"/>
        </w:rPr>
        <w:t>Pax-Uni</w:t>
      </w:r>
      <w:proofErr w:type="spellEnd"/>
      <w:r w:rsidRPr="00520861">
        <w:rPr>
          <w:rFonts w:eastAsia="Calibri"/>
          <w:bCs/>
          <w:iCs/>
          <w:sz w:val="28"/>
          <w:szCs w:val="28"/>
          <w:lang w:eastAsia="en-US"/>
        </w:rPr>
        <w:t xml:space="preserve"> 3D </w:t>
      </w:r>
      <w:proofErr w:type="spellStart"/>
      <w:r w:rsidRPr="00520861">
        <w:rPr>
          <w:rFonts w:eastAsia="Calibri"/>
          <w:bCs/>
          <w:iCs/>
          <w:sz w:val="28"/>
          <w:szCs w:val="28"/>
          <w:lang w:eastAsia="en-US"/>
        </w:rPr>
        <w:t>ортопантомографів</w:t>
      </w:r>
      <w:proofErr w:type="spellEnd"/>
      <w:r w:rsidRPr="00520861">
        <w:rPr>
          <w:rFonts w:eastAsia="Calibri"/>
          <w:bCs/>
          <w:iCs/>
          <w:sz w:val="28"/>
          <w:szCs w:val="28"/>
          <w:lang w:eastAsia="en-US"/>
        </w:rPr>
        <w:t xml:space="preserve"> та томографів. </w:t>
      </w:r>
      <w:r w:rsidRPr="00520861">
        <w:rPr>
          <w:rFonts w:eastAsia="Calibri"/>
          <w:bCs/>
          <w:iCs/>
          <w:color w:val="000000"/>
          <w:sz w:val="28"/>
          <w:szCs w:val="28"/>
        </w:rPr>
        <w:t>Лінійні вимірювання проводилися програмою</w:t>
      </w:r>
      <w:r w:rsidRPr="00520861">
        <w:rPr>
          <w:rFonts w:eastAsia="Calibri"/>
          <w:bCs/>
          <w:iCs/>
          <w:sz w:val="28"/>
          <w:szCs w:val="28"/>
          <w:lang w:eastAsia="en-US"/>
        </w:rPr>
        <w:t xml:space="preserve"> E23D 2009 </w:t>
      </w:r>
      <w:proofErr w:type="spellStart"/>
      <w:r w:rsidRPr="00520861">
        <w:rPr>
          <w:rFonts w:eastAsia="Calibri"/>
          <w:color w:val="000000"/>
          <w:sz w:val="28"/>
          <w:szCs w:val="28"/>
        </w:rPr>
        <w:t>Viewer</w:t>
      </w:r>
      <w:proofErr w:type="spellEnd"/>
      <w:r w:rsidRPr="00520861">
        <w:rPr>
          <w:rFonts w:eastAsia="Calibri"/>
          <w:color w:val="000000"/>
          <w:sz w:val="28"/>
          <w:szCs w:val="28"/>
        </w:rPr>
        <w:t>.</w:t>
      </w:r>
    </w:p>
    <w:p w14:paraId="16360A72" w14:textId="77777777" w:rsidR="00CF641C" w:rsidRPr="00520861" w:rsidRDefault="00CF641C" w:rsidP="00292D2E">
      <w:pPr>
        <w:widowControl w:val="0"/>
        <w:spacing w:line="360" w:lineRule="auto"/>
        <w:ind w:firstLine="720"/>
        <w:jc w:val="both"/>
        <w:rPr>
          <w:rFonts w:eastAsia="Calibri"/>
          <w:color w:val="000000"/>
          <w:sz w:val="28"/>
          <w:szCs w:val="28"/>
        </w:rPr>
      </w:pPr>
      <w:r w:rsidRPr="00520861">
        <w:rPr>
          <w:rFonts w:eastAsia="Calibri"/>
          <w:sz w:val="28"/>
          <w:szCs w:val="28"/>
          <w:lang w:eastAsia="en-US"/>
        </w:rPr>
        <w:t xml:space="preserve">У ВП-VІ (18 – 24 роки) усі ОПТГ були зроблені на одному й тому самому </w:t>
      </w:r>
      <w:proofErr w:type="spellStart"/>
      <w:r w:rsidRPr="00520861">
        <w:rPr>
          <w:rFonts w:eastAsia="Calibri"/>
          <w:sz w:val="28"/>
          <w:szCs w:val="28"/>
          <w:lang w:eastAsia="en-US"/>
        </w:rPr>
        <w:t>ортопантомографі</w:t>
      </w:r>
      <w:proofErr w:type="spellEnd"/>
      <w:r w:rsidRPr="00520861">
        <w:rPr>
          <w:rFonts w:eastAsia="Calibri"/>
          <w:sz w:val="28"/>
          <w:szCs w:val="28"/>
          <w:lang w:eastAsia="en-US"/>
        </w:rPr>
        <w:t xml:space="preserve"> та одним і тим самим рентген-лаборантом. Завдяки цьому між </w:t>
      </w:r>
      <w:r w:rsidRPr="00520861">
        <w:rPr>
          <w:rFonts w:eastAsia="Calibri"/>
          <w:sz w:val="28"/>
          <w:szCs w:val="28"/>
          <w:lang w:eastAsia="en-US"/>
        </w:rPr>
        <w:br/>
        <w:t>підгрупами цього ВП можна порівняти не тільки відносні значення, які становить індекс PMI, а й абсолютні значення (L</w:t>
      </w:r>
      <w:r w:rsidRPr="00520861">
        <w:rPr>
          <w:rFonts w:eastAsia="Calibri"/>
          <w:color w:val="000000"/>
          <w:sz w:val="28"/>
          <w:szCs w:val="28"/>
          <w:vertAlign w:val="subscript"/>
        </w:rPr>
        <w:t>ОПТГ</w:t>
      </w:r>
      <w:r w:rsidRPr="00520861">
        <w:rPr>
          <w:rFonts w:eastAsia="Calibri"/>
          <w:sz w:val="28"/>
          <w:szCs w:val="28"/>
          <w:lang w:eastAsia="en-US"/>
        </w:rPr>
        <w:t xml:space="preserve"> та MI).</w:t>
      </w:r>
    </w:p>
    <w:p w14:paraId="323B632C" w14:textId="77777777" w:rsidR="00CF641C" w:rsidRPr="00520861" w:rsidRDefault="00CF641C" w:rsidP="00292D2E">
      <w:pPr>
        <w:widowControl w:val="0"/>
        <w:tabs>
          <w:tab w:val="left" w:pos="748"/>
        </w:tabs>
        <w:spacing w:line="360" w:lineRule="auto"/>
        <w:ind w:firstLine="709"/>
        <w:jc w:val="both"/>
        <w:rPr>
          <w:rFonts w:eastAsia="Calibri"/>
          <w:sz w:val="28"/>
          <w:szCs w:val="28"/>
          <w:lang w:eastAsia="en-US"/>
        </w:rPr>
      </w:pPr>
      <w:r w:rsidRPr="00520861">
        <w:rPr>
          <w:rFonts w:eastAsia="Calibri"/>
          <w:color w:val="000000"/>
          <w:sz w:val="28"/>
          <w:szCs w:val="28"/>
        </w:rPr>
        <w:t xml:space="preserve">Оскільки денситометрія є більш складною за виконанням процедурою, ніж </w:t>
      </w:r>
      <w:r w:rsidRPr="00520861">
        <w:rPr>
          <w:rFonts w:eastAsia="Calibri"/>
          <w:color w:val="000000"/>
          <w:sz w:val="28"/>
          <w:szCs w:val="28"/>
        </w:rPr>
        <w:br/>
        <w:t xml:space="preserve">одержання ОПТГ, визначення щільності кісткової тканини цим методом проводилося тільки в дослідженнях, які були зроблені за лікувальною необхідністю. Із учасників дослідження ОГ віком 25 – 55 років було задіяно 15 осіб, а саме: 7 осіб із об’єднаної </w:t>
      </w:r>
      <w:r w:rsidRPr="00520861">
        <w:rPr>
          <w:rFonts w:eastAsia="Calibri"/>
          <w:sz w:val="28"/>
          <w:szCs w:val="28"/>
          <w:lang w:eastAsia="en-US"/>
        </w:rPr>
        <w:t>підгрупи</w:t>
      </w:r>
      <w:r w:rsidRPr="00520861">
        <w:rPr>
          <w:rFonts w:eastAsia="Calibri"/>
          <w:color w:val="000000"/>
          <w:sz w:val="28"/>
          <w:szCs w:val="28"/>
        </w:rPr>
        <w:t xml:space="preserve"> 1 + </w:t>
      </w:r>
      <w:r w:rsidRPr="00520861">
        <w:rPr>
          <w:rFonts w:eastAsia="Calibri"/>
          <w:sz w:val="28"/>
          <w:szCs w:val="28"/>
          <w:lang w:eastAsia="en-US"/>
        </w:rPr>
        <w:t>підгрупи</w:t>
      </w:r>
      <w:r w:rsidRPr="00520861">
        <w:rPr>
          <w:rFonts w:eastAsia="Calibri"/>
          <w:color w:val="000000"/>
          <w:sz w:val="28"/>
          <w:szCs w:val="28"/>
        </w:rPr>
        <w:t xml:space="preserve"> 2 (середній вік 36,1 року) і 8 осіб із об’єднаної </w:t>
      </w:r>
      <w:r w:rsidRPr="00520861">
        <w:rPr>
          <w:rFonts w:eastAsia="Calibri"/>
          <w:sz w:val="28"/>
          <w:szCs w:val="28"/>
          <w:lang w:eastAsia="en-US"/>
        </w:rPr>
        <w:t>підгрупи</w:t>
      </w:r>
      <w:r w:rsidRPr="00520861">
        <w:rPr>
          <w:rFonts w:eastAsia="Calibri"/>
          <w:color w:val="000000"/>
          <w:sz w:val="28"/>
          <w:szCs w:val="28"/>
        </w:rPr>
        <w:t xml:space="preserve"> 3 + </w:t>
      </w:r>
      <w:r w:rsidRPr="00520861">
        <w:rPr>
          <w:rFonts w:eastAsia="Calibri"/>
          <w:sz w:val="28"/>
          <w:szCs w:val="28"/>
          <w:lang w:eastAsia="en-US"/>
        </w:rPr>
        <w:t>підгрупи</w:t>
      </w:r>
      <w:r w:rsidRPr="00520861">
        <w:rPr>
          <w:rFonts w:eastAsia="Calibri"/>
          <w:color w:val="000000"/>
          <w:sz w:val="28"/>
          <w:szCs w:val="28"/>
        </w:rPr>
        <w:t xml:space="preserve"> 4 (середній вік 36,0 року). У ГП було задіяно 8 осіб (середній вік 36,6 року).</w:t>
      </w:r>
      <w:r w:rsidRPr="00520861">
        <w:rPr>
          <w:rFonts w:eastAsia="Calibri"/>
          <w:sz w:val="28"/>
          <w:szCs w:val="28"/>
          <w:lang w:eastAsia="en-US"/>
        </w:rPr>
        <w:t xml:space="preserve"> </w:t>
      </w:r>
      <w:r w:rsidRPr="00520861">
        <w:rPr>
          <w:rFonts w:eastAsia="Calibri"/>
          <w:color w:val="000000"/>
          <w:sz w:val="28"/>
          <w:szCs w:val="28"/>
          <w:shd w:val="clear" w:color="auto" w:fill="FFFFFF"/>
          <w:lang w:eastAsia="en-US"/>
        </w:rPr>
        <w:t>Оптична</w:t>
      </w:r>
      <w:r w:rsidRPr="00520861">
        <w:rPr>
          <w:sz w:val="28"/>
          <w:szCs w:val="28"/>
        </w:rPr>
        <w:t xml:space="preserve"> щільність кортикальної кісткової тканини вимірювалася під ментальним отвором по краю нижньої щелепи, а </w:t>
      </w:r>
      <w:proofErr w:type="spellStart"/>
      <w:r w:rsidRPr="00520861">
        <w:rPr>
          <w:sz w:val="28"/>
          <w:szCs w:val="28"/>
        </w:rPr>
        <w:t>трабекулярної</w:t>
      </w:r>
      <w:proofErr w:type="spellEnd"/>
      <w:r w:rsidRPr="00520861">
        <w:rPr>
          <w:sz w:val="28"/>
          <w:szCs w:val="28"/>
        </w:rPr>
        <w:t xml:space="preserve"> кісткової тканини – в області </w:t>
      </w:r>
      <w:proofErr w:type="spellStart"/>
      <w:r w:rsidRPr="00520861">
        <w:rPr>
          <w:sz w:val="28"/>
          <w:szCs w:val="28"/>
        </w:rPr>
        <w:t>проєкції</w:t>
      </w:r>
      <w:proofErr w:type="spellEnd"/>
      <w:r w:rsidRPr="00520861">
        <w:rPr>
          <w:sz w:val="28"/>
          <w:szCs w:val="28"/>
        </w:rPr>
        <w:t xml:space="preserve"> верхівок коренів 45 та 46 зубів програмою </w:t>
      </w:r>
      <w:proofErr w:type="spellStart"/>
      <w:r w:rsidRPr="00520861">
        <w:rPr>
          <w:sz w:val="28"/>
          <w:szCs w:val="28"/>
        </w:rPr>
        <w:t>Easy</w:t>
      </w:r>
      <w:proofErr w:type="spellEnd"/>
      <w:r w:rsidRPr="00520861">
        <w:rPr>
          <w:sz w:val="28"/>
          <w:szCs w:val="28"/>
        </w:rPr>
        <w:t xml:space="preserve"> </w:t>
      </w:r>
      <w:proofErr w:type="spellStart"/>
      <w:r w:rsidRPr="00520861">
        <w:rPr>
          <w:sz w:val="28"/>
          <w:szCs w:val="28"/>
        </w:rPr>
        <w:t>Dent</w:t>
      </w:r>
      <w:proofErr w:type="spellEnd"/>
      <w:r w:rsidRPr="00520861">
        <w:rPr>
          <w:sz w:val="28"/>
          <w:szCs w:val="28"/>
        </w:rPr>
        <w:t xml:space="preserve"> 3D </w:t>
      </w:r>
      <w:proofErr w:type="spellStart"/>
      <w:r w:rsidRPr="00520861">
        <w:rPr>
          <w:sz w:val="28"/>
          <w:szCs w:val="28"/>
        </w:rPr>
        <w:t>Viewer</w:t>
      </w:r>
      <w:proofErr w:type="spellEnd"/>
      <w:r w:rsidRPr="00520861">
        <w:rPr>
          <w:sz w:val="28"/>
          <w:szCs w:val="28"/>
        </w:rPr>
        <w:t xml:space="preserve"> для аналізу томографічних досліджень, які були одержані за допомогою </w:t>
      </w:r>
      <w:proofErr w:type="spellStart"/>
      <w:r w:rsidRPr="00520861">
        <w:rPr>
          <w:sz w:val="28"/>
          <w:szCs w:val="28"/>
        </w:rPr>
        <w:t>конусно</w:t>
      </w:r>
      <w:proofErr w:type="spellEnd"/>
      <w:r w:rsidRPr="00520861">
        <w:rPr>
          <w:sz w:val="28"/>
          <w:szCs w:val="28"/>
        </w:rPr>
        <w:t xml:space="preserve">-променевого комп’ютерного томографа </w:t>
      </w:r>
      <w:proofErr w:type="spellStart"/>
      <w:r w:rsidRPr="00520861">
        <w:rPr>
          <w:rFonts w:eastAsia="Calibri"/>
          <w:color w:val="000000"/>
          <w:sz w:val="28"/>
          <w:szCs w:val="28"/>
          <w:shd w:val="clear" w:color="auto" w:fill="FFFFFF"/>
          <w:lang w:eastAsia="en-US"/>
        </w:rPr>
        <w:t>NewTom</w:t>
      </w:r>
      <w:proofErr w:type="spellEnd"/>
      <w:r w:rsidRPr="00520861">
        <w:rPr>
          <w:rFonts w:eastAsia="Calibri"/>
          <w:color w:val="000000"/>
          <w:sz w:val="28"/>
          <w:szCs w:val="28"/>
          <w:shd w:val="clear" w:color="auto" w:fill="FFFFFF"/>
          <w:lang w:eastAsia="en-US"/>
        </w:rPr>
        <w:t xml:space="preserve"> </w:t>
      </w:r>
      <w:proofErr w:type="spellStart"/>
      <w:r w:rsidRPr="00520861">
        <w:rPr>
          <w:rFonts w:eastAsia="Calibri"/>
          <w:color w:val="000000"/>
          <w:sz w:val="28"/>
          <w:szCs w:val="28"/>
          <w:shd w:val="clear" w:color="auto" w:fill="FFFFFF"/>
          <w:lang w:eastAsia="en-US"/>
        </w:rPr>
        <w:t>Giano</w:t>
      </w:r>
      <w:proofErr w:type="spellEnd"/>
      <w:r w:rsidRPr="00520861">
        <w:rPr>
          <w:rFonts w:eastAsia="Calibri"/>
          <w:color w:val="000000"/>
          <w:sz w:val="28"/>
          <w:szCs w:val="28"/>
          <w:shd w:val="clear" w:color="auto" w:fill="FFFFFF"/>
          <w:lang w:eastAsia="en-US"/>
        </w:rPr>
        <w:t xml:space="preserve"> HR. Також вимірювалися товщина кортикального шару по краю нижньої щелепи (</w:t>
      </w:r>
      <w:proofErr w:type="spellStart"/>
      <w:r w:rsidRPr="00520861">
        <w:rPr>
          <w:rFonts w:eastAsia="Calibri"/>
          <w:color w:val="000000"/>
          <w:sz w:val="28"/>
          <w:szCs w:val="28"/>
          <w:shd w:val="clear" w:color="auto" w:fill="FFFFFF"/>
          <w:lang w:eastAsia="en-US"/>
        </w:rPr>
        <w:t>МІ</w:t>
      </w:r>
      <w:r w:rsidRPr="00520861">
        <w:rPr>
          <w:rFonts w:eastAsia="Calibri"/>
          <w:color w:val="000000"/>
          <w:sz w:val="28"/>
          <w:szCs w:val="28"/>
          <w:shd w:val="clear" w:color="auto" w:fill="FFFFFF"/>
          <w:vertAlign w:val="subscript"/>
          <w:lang w:eastAsia="en-US"/>
        </w:rPr>
        <w:t>кт</w:t>
      </w:r>
      <w:proofErr w:type="spellEnd"/>
      <w:r w:rsidRPr="00520861">
        <w:rPr>
          <w:rFonts w:eastAsia="Calibri"/>
          <w:color w:val="000000"/>
          <w:sz w:val="28"/>
          <w:szCs w:val="28"/>
          <w:shd w:val="clear" w:color="auto" w:fill="FFFFFF"/>
          <w:lang w:eastAsia="en-US"/>
        </w:rPr>
        <w:t>) та</w:t>
      </w:r>
      <w:r w:rsidRPr="00520861">
        <w:rPr>
          <w:rFonts w:eastAsia="Calibri"/>
          <w:sz w:val="28"/>
          <w:szCs w:val="28"/>
          <w:lang w:eastAsia="en-US"/>
        </w:rPr>
        <w:t xml:space="preserve"> відстань між серединою </w:t>
      </w:r>
      <w:r w:rsidR="007E577C" w:rsidRPr="00520861">
        <w:rPr>
          <w:rFonts w:eastAsia="Calibri"/>
          <w:sz w:val="28"/>
          <w:szCs w:val="28"/>
          <w:lang w:eastAsia="en-US"/>
        </w:rPr>
        <w:br/>
      </w:r>
      <w:r w:rsidRPr="00520861">
        <w:rPr>
          <w:rFonts w:eastAsia="Calibri"/>
          <w:sz w:val="28"/>
          <w:szCs w:val="28"/>
          <w:lang w:eastAsia="en-US"/>
        </w:rPr>
        <w:lastRenderedPageBreak/>
        <w:t>ментального отвору й нижнім краєм нижньої щелепи (</w:t>
      </w:r>
      <w:proofErr w:type="spellStart"/>
      <w:r w:rsidRPr="00520861">
        <w:rPr>
          <w:rFonts w:eastAsia="Calibri"/>
          <w:sz w:val="28"/>
          <w:szCs w:val="28"/>
          <w:lang w:eastAsia="en-US"/>
        </w:rPr>
        <w:t>L</w:t>
      </w:r>
      <w:r w:rsidRPr="00520861">
        <w:rPr>
          <w:rFonts w:eastAsia="Calibri"/>
          <w:color w:val="000000"/>
          <w:sz w:val="28"/>
          <w:szCs w:val="28"/>
          <w:shd w:val="clear" w:color="auto" w:fill="FFFFFF"/>
          <w:vertAlign w:val="subscript"/>
          <w:lang w:eastAsia="en-US"/>
        </w:rPr>
        <w:t>кт</w:t>
      </w:r>
      <w:proofErr w:type="spellEnd"/>
      <w:r w:rsidRPr="00520861">
        <w:rPr>
          <w:rFonts w:eastAsia="Calibri"/>
          <w:sz w:val="28"/>
          <w:szCs w:val="28"/>
          <w:lang w:eastAsia="en-US"/>
        </w:rPr>
        <w:t>).</w:t>
      </w:r>
    </w:p>
    <w:p w14:paraId="2B586BD2" w14:textId="77777777" w:rsidR="00CF641C" w:rsidRPr="00520861" w:rsidRDefault="00CF641C" w:rsidP="00292D2E">
      <w:pPr>
        <w:widowControl w:val="0"/>
        <w:spacing w:line="360" w:lineRule="auto"/>
        <w:ind w:firstLine="709"/>
        <w:jc w:val="both"/>
        <w:rPr>
          <w:spacing w:val="-2"/>
          <w:sz w:val="28"/>
          <w:szCs w:val="28"/>
        </w:rPr>
      </w:pPr>
      <w:r w:rsidRPr="00520861">
        <w:rPr>
          <w:bCs/>
          <w:spacing w:val="-2"/>
          <w:sz w:val="28"/>
          <w:szCs w:val="28"/>
        </w:rPr>
        <w:t xml:space="preserve">Індекс </w:t>
      </w:r>
      <w:proofErr w:type="spellStart"/>
      <w:r w:rsidRPr="00520861">
        <w:rPr>
          <w:bCs/>
          <w:spacing w:val="-2"/>
          <w:sz w:val="28"/>
          <w:szCs w:val="28"/>
        </w:rPr>
        <w:t>Ізара</w:t>
      </w:r>
      <w:proofErr w:type="spellEnd"/>
      <w:r w:rsidRPr="00520861">
        <w:rPr>
          <w:bCs/>
          <w:spacing w:val="-2"/>
          <w:sz w:val="28"/>
          <w:szCs w:val="28"/>
        </w:rPr>
        <w:t xml:space="preserve"> обчислювали згідно з рекомендаціями, викладеними в роботі </w:t>
      </w:r>
      <w:r w:rsidRPr="00520861">
        <w:rPr>
          <w:spacing w:val="-2"/>
          <w:sz w:val="28"/>
          <w:szCs w:val="28"/>
        </w:rPr>
        <w:t>[</w:t>
      </w:r>
      <w:r w:rsidRPr="00520861">
        <w:rPr>
          <w:rFonts w:eastAsia="Calibri"/>
          <w:spacing w:val="-2"/>
          <w:sz w:val="28"/>
          <w:szCs w:val="28"/>
        </w:rPr>
        <w:t>150</w:t>
      </w:r>
      <w:r w:rsidRPr="00520861">
        <w:rPr>
          <w:spacing w:val="-2"/>
          <w:sz w:val="28"/>
          <w:szCs w:val="28"/>
        </w:rPr>
        <w:t>].</w:t>
      </w:r>
    </w:p>
    <w:p w14:paraId="7A2D3326" w14:textId="77777777" w:rsidR="00CF641C" w:rsidRPr="00520861" w:rsidRDefault="00CF641C" w:rsidP="00292D2E">
      <w:pPr>
        <w:widowControl w:val="0"/>
        <w:spacing w:line="360" w:lineRule="auto"/>
        <w:ind w:firstLine="709"/>
        <w:jc w:val="both"/>
        <w:rPr>
          <w:rFonts w:eastAsia="Calibri"/>
          <w:bCs/>
          <w:sz w:val="28"/>
          <w:szCs w:val="28"/>
          <w:lang w:eastAsia="en-US"/>
        </w:rPr>
      </w:pPr>
      <w:r w:rsidRPr="00520861">
        <w:rPr>
          <w:rFonts w:eastAsia="Calibri"/>
          <w:bCs/>
          <w:color w:val="000000"/>
          <w:sz w:val="28"/>
          <w:szCs w:val="28"/>
          <w:lang w:eastAsia="en-US"/>
        </w:rPr>
        <w:t xml:space="preserve">При </w:t>
      </w:r>
      <w:proofErr w:type="spellStart"/>
      <w:r w:rsidRPr="00520861">
        <w:rPr>
          <w:rFonts w:eastAsia="Calibri"/>
          <w:bCs/>
          <w:color w:val="000000"/>
          <w:sz w:val="28"/>
          <w:szCs w:val="28"/>
          <w:lang w:eastAsia="en-US"/>
        </w:rPr>
        <w:t>внутрішньоротовому</w:t>
      </w:r>
      <w:proofErr w:type="spellEnd"/>
      <w:r w:rsidRPr="00520861">
        <w:rPr>
          <w:rFonts w:eastAsia="Calibri"/>
          <w:bCs/>
          <w:color w:val="000000"/>
          <w:sz w:val="28"/>
          <w:szCs w:val="28"/>
          <w:lang w:eastAsia="en-US"/>
        </w:rPr>
        <w:t xml:space="preserve"> огляді та по діагностичних моделях оцінювалися характер змикання зубних рядів для молярів, різців та ікл у трьох </w:t>
      </w:r>
      <w:proofErr w:type="spellStart"/>
      <w:r w:rsidRPr="00520861">
        <w:rPr>
          <w:rFonts w:eastAsia="Calibri"/>
          <w:bCs/>
          <w:color w:val="000000"/>
          <w:sz w:val="28"/>
          <w:szCs w:val="28"/>
          <w:lang w:eastAsia="en-US"/>
        </w:rPr>
        <w:t>площинах</w:t>
      </w:r>
      <w:proofErr w:type="spellEnd"/>
      <w:r w:rsidRPr="00520861">
        <w:rPr>
          <w:rFonts w:eastAsia="Calibri"/>
          <w:bCs/>
          <w:color w:val="000000"/>
          <w:sz w:val="28"/>
          <w:szCs w:val="28"/>
          <w:lang w:eastAsia="en-US"/>
        </w:rPr>
        <w:t>, форма та розміри зубних рядів. Були оцінені аномалії окремих зубів. Проводився кількісний аналіз діагностичних моделей, а саме в</w:t>
      </w:r>
      <w:r w:rsidRPr="00520861">
        <w:rPr>
          <w:rFonts w:eastAsia="Calibri"/>
          <w:color w:val="000000"/>
          <w:sz w:val="28"/>
          <w:szCs w:val="28"/>
          <w:lang w:eastAsia="en-US"/>
        </w:rPr>
        <w:t xml:space="preserve">имірювання піднебінного склепіння </w:t>
      </w:r>
      <w:r w:rsidRPr="00520861">
        <w:rPr>
          <w:rFonts w:eastAsia="Calibri"/>
          <w:color w:val="000000"/>
          <w:sz w:val="28"/>
          <w:szCs w:val="28"/>
          <w:lang w:eastAsia="en-US"/>
        </w:rPr>
        <w:br/>
        <w:t xml:space="preserve">згідно з рекомендаціями та врахуванням опорних точок, викладених у </w:t>
      </w:r>
      <w:r w:rsidRPr="00520861">
        <w:rPr>
          <w:rFonts w:eastAsia="Calibri"/>
          <w:sz w:val="28"/>
          <w:szCs w:val="28"/>
          <w:lang w:eastAsia="en-US"/>
        </w:rPr>
        <w:t xml:space="preserve">роботі </w:t>
      </w:r>
      <w:r w:rsidRPr="00520861">
        <w:rPr>
          <w:rFonts w:eastAsia="Calibri"/>
          <w:bCs/>
          <w:sz w:val="28"/>
          <w:szCs w:val="28"/>
          <w:lang w:eastAsia="en-US"/>
        </w:rPr>
        <w:t>[</w:t>
      </w:r>
      <w:r w:rsidRPr="00520861">
        <w:rPr>
          <w:rFonts w:eastAsia="Calibri"/>
          <w:bCs/>
          <w:sz w:val="28"/>
          <w:szCs w:val="28"/>
        </w:rPr>
        <w:t>415</w:t>
      </w:r>
      <w:r w:rsidRPr="00520861">
        <w:rPr>
          <w:rFonts w:eastAsia="Calibri"/>
          <w:bCs/>
          <w:sz w:val="28"/>
          <w:szCs w:val="28"/>
          <w:lang w:eastAsia="en-US"/>
        </w:rPr>
        <w:t>].</w:t>
      </w:r>
    </w:p>
    <w:p w14:paraId="33102D2B" w14:textId="77777777" w:rsidR="00CF641C" w:rsidRPr="00520861" w:rsidRDefault="00CF641C" w:rsidP="00292D2E">
      <w:pPr>
        <w:widowControl w:val="0"/>
        <w:spacing w:line="360" w:lineRule="auto"/>
        <w:ind w:firstLine="709"/>
        <w:jc w:val="both"/>
        <w:rPr>
          <w:rFonts w:eastAsia="Calibri"/>
          <w:sz w:val="28"/>
          <w:szCs w:val="28"/>
          <w:lang w:eastAsia="en-US"/>
        </w:rPr>
      </w:pPr>
    </w:p>
    <w:p w14:paraId="0EA1A7E9" w14:textId="77777777" w:rsidR="00CF641C" w:rsidRPr="00520861" w:rsidRDefault="00CF641C" w:rsidP="00292D2E">
      <w:pPr>
        <w:widowControl w:val="0"/>
        <w:spacing w:line="360" w:lineRule="auto"/>
        <w:ind w:firstLine="709"/>
        <w:jc w:val="both"/>
        <w:rPr>
          <w:rFonts w:eastAsia="Calibri"/>
          <w:b/>
          <w:sz w:val="28"/>
          <w:szCs w:val="28"/>
        </w:rPr>
      </w:pPr>
      <w:r w:rsidRPr="00520861">
        <w:rPr>
          <w:rFonts w:eastAsia="Calibri"/>
          <w:b/>
          <w:sz w:val="28"/>
          <w:szCs w:val="28"/>
        </w:rPr>
        <w:t>2.6. Характеристика методів клініко-ретроспективного дослідження</w:t>
      </w:r>
    </w:p>
    <w:p w14:paraId="6AB34E96" w14:textId="77777777" w:rsidR="00CF641C" w:rsidRPr="00520861" w:rsidRDefault="00CF641C" w:rsidP="00292D2E">
      <w:pPr>
        <w:widowControl w:val="0"/>
        <w:spacing w:line="360" w:lineRule="auto"/>
        <w:ind w:firstLine="709"/>
        <w:jc w:val="both"/>
        <w:rPr>
          <w:rFonts w:eastAsia="Calibri"/>
          <w:b/>
          <w:sz w:val="28"/>
          <w:szCs w:val="28"/>
        </w:rPr>
      </w:pPr>
    </w:p>
    <w:p w14:paraId="7BDAD27D" w14:textId="77777777" w:rsidR="00CF641C" w:rsidRPr="00520861" w:rsidRDefault="00CF641C" w:rsidP="00292D2E">
      <w:pPr>
        <w:widowControl w:val="0"/>
        <w:spacing w:line="360" w:lineRule="auto"/>
        <w:ind w:firstLine="709"/>
        <w:jc w:val="both"/>
        <w:rPr>
          <w:rFonts w:eastAsia="Calibri"/>
          <w:sz w:val="28"/>
          <w:szCs w:val="28"/>
        </w:rPr>
      </w:pPr>
      <w:r w:rsidRPr="00520861">
        <w:rPr>
          <w:rFonts w:eastAsia="Calibri"/>
          <w:color w:val="000000"/>
          <w:sz w:val="28"/>
          <w:szCs w:val="28"/>
          <w:shd w:val="clear" w:color="auto" w:fill="FFFFFF"/>
          <w:lang w:eastAsia="en-US"/>
        </w:rPr>
        <w:t>Дослідження проводилося на базі</w:t>
      </w:r>
      <w:r w:rsidRPr="00520861">
        <w:rPr>
          <w:rFonts w:eastAsia="Calibri"/>
          <w:sz w:val="28"/>
          <w:szCs w:val="28"/>
          <w:lang w:eastAsia="en-US"/>
        </w:rPr>
        <w:t xml:space="preserve"> </w:t>
      </w:r>
      <w:r w:rsidRPr="00520861">
        <w:rPr>
          <w:rFonts w:eastAsia="Calibri"/>
          <w:sz w:val="28"/>
          <w:szCs w:val="28"/>
        </w:rPr>
        <w:t>КЗОЗ «Харківська міська дитяча поліклініка №23».</w:t>
      </w:r>
      <w:r w:rsidRPr="00520861">
        <w:rPr>
          <w:rFonts w:eastAsia="Calibri"/>
          <w:sz w:val="28"/>
          <w:szCs w:val="28"/>
          <w:lang w:eastAsia="en-US"/>
        </w:rPr>
        <w:t xml:space="preserve"> </w:t>
      </w:r>
      <w:r w:rsidRPr="00520861">
        <w:rPr>
          <w:rFonts w:eastAsia="Calibri"/>
          <w:sz w:val="28"/>
          <w:szCs w:val="28"/>
        </w:rPr>
        <w:t>Для оцінювання ступеня розвитку ЗЩС, спираючись на хронологічні норми прорізування зубів [529], ми обчислили середню кількість зубів у дитини, які прорізалися до віку один рік.</w:t>
      </w:r>
    </w:p>
    <w:p w14:paraId="14CA0B3C" w14:textId="77777777" w:rsidR="00CF641C" w:rsidRPr="00520861" w:rsidRDefault="00CF641C" w:rsidP="00292D2E">
      <w:pPr>
        <w:widowControl w:val="0"/>
        <w:spacing w:line="360" w:lineRule="auto"/>
        <w:ind w:firstLine="709"/>
        <w:jc w:val="both"/>
        <w:rPr>
          <w:rFonts w:eastAsia="Calibri"/>
          <w:sz w:val="28"/>
          <w:szCs w:val="28"/>
        </w:rPr>
      </w:pPr>
      <w:r w:rsidRPr="00520861">
        <w:rPr>
          <w:rFonts w:eastAsia="Calibri"/>
          <w:sz w:val="28"/>
          <w:szCs w:val="28"/>
        </w:rPr>
        <w:t xml:space="preserve">В історіях розвитку дітей виявляли записи про кількість зубів у віці від 4 до 12 місяців. Кожен запис про кількість зубів дитини представляли у вигляді крапки з відповідними координатами на площині «вік – кількість зубів». Усі записи для всіх обраних дітей утворюють на цій площині кореляційне поле крапок. Для отриманого такого кореляційного поля висувалася гіпотеза про лінійну залежність кількості зубів, що прорізалися, від віку дитини. За допомогою пакета STATISTICA 6.0. будували лінійну регресійну модель, </w:t>
      </w:r>
      <w:r w:rsidRPr="00520861">
        <w:rPr>
          <w:rFonts w:eastAsia="Calibri"/>
          <w:spacing w:val="-4"/>
          <w:sz w:val="28"/>
          <w:szCs w:val="28"/>
        </w:rPr>
        <w:t>на основі значень параметрів якої визначали осеред</w:t>
      </w:r>
      <w:r w:rsidRPr="00520861">
        <w:rPr>
          <w:rFonts w:eastAsia="Calibri"/>
          <w:sz w:val="28"/>
          <w:szCs w:val="28"/>
        </w:rPr>
        <w:t>нену кількість зубів та швидкість їхнього росту у віці від 4 місяців. Якщо перший в історії розвитку дитини запис про відсутність зубів відповідав більшому віку, ніж 4 місяці, то для всіх вікових градацій від 4 місяців до віку із запису також фіксували відомості «0 зубів». Для обробки таблиці кореляційного поля обирали модуль «Множинна регресія» (</w:t>
      </w:r>
      <w:proofErr w:type="spellStart"/>
      <w:r w:rsidRPr="00520861">
        <w:rPr>
          <w:rFonts w:eastAsia="Calibri"/>
          <w:sz w:val="28"/>
          <w:szCs w:val="28"/>
        </w:rPr>
        <w:t>Multiple</w:t>
      </w:r>
      <w:proofErr w:type="spellEnd"/>
      <w:r w:rsidRPr="00520861">
        <w:rPr>
          <w:rFonts w:eastAsia="Calibri"/>
          <w:sz w:val="28"/>
          <w:szCs w:val="28"/>
        </w:rPr>
        <w:t xml:space="preserve"> </w:t>
      </w:r>
      <w:proofErr w:type="spellStart"/>
      <w:r w:rsidRPr="00520861">
        <w:rPr>
          <w:rFonts w:eastAsia="Calibri"/>
          <w:sz w:val="28"/>
          <w:szCs w:val="28"/>
        </w:rPr>
        <w:t>regression</w:t>
      </w:r>
      <w:proofErr w:type="spellEnd"/>
      <w:r w:rsidRPr="00520861">
        <w:rPr>
          <w:rFonts w:eastAsia="Calibri"/>
          <w:sz w:val="28"/>
          <w:szCs w:val="28"/>
        </w:rPr>
        <w:t>) закладки «Статистики» (</w:t>
      </w:r>
      <w:proofErr w:type="spellStart"/>
      <w:r w:rsidRPr="00520861">
        <w:rPr>
          <w:rFonts w:eastAsia="Calibri"/>
          <w:sz w:val="28"/>
          <w:szCs w:val="28"/>
        </w:rPr>
        <w:t>Statistics</w:t>
      </w:r>
      <w:proofErr w:type="spellEnd"/>
      <w:r w:rsidRPr="00520861">
        <w:rPr>
          <w:rFonts w:eastAsia="Calibri"/>
          <w:sz w:val="28"/>
          <w:szCs w:val="28"/>
        </w:rPr>
        <w:t xml:space="preserve">). </w:t>
      </w:r>
      <w:r w:rsidRPr="00520861">
        <w:rPr>
          <w:rFonts w:eastAsia="Calibri"/>
          <w:sz w:val="28"/>
          <w:szCs w:val="28"/>
        </w:rPr>
        <w:br/>
        <w:t>У якості незалежної змінної обирали «вік», а в якості залежної – «кількість зубів».</w:t>
      </w:r>
    </w:p>
    <w:p w14:paraId="261DC029" w14:textId="77777777" w:rsidR="00CF641C" w:rsidRPr="00520861" w:rsidRDefault="00CF641C" w:rsidP="00292D2E">
      <w:pPr>
        <w:widowControl w:val="0"/>
        <w:spacing w:line="360" w:lineRule="auto"/>
        <w:ind w:firstLine="709"/>
        <w:jc w:val="both"/>
        <w:rPr>
          <w:rFonts w:eastAsia="Calibri"/>
          <w:sz w:val="28"/>
          <w:szCs w:val="28"/>
        </w:rPr>
      </w:pPr>
      <w:r w:rsidRPr="00520861">
        <w:rPr>
          <w:rFonts w:eastAsia="Calibri"/>
          <w:sz w:val="28"/>
          <w:szCs w:val="28"/>
        </w:rPr>
        <w:t xml:space="preserve">Додатково для підтвердження адекватності отриманих результатів перевіряли відповідність гістограм залишків (різниць між кількістю зубів у певний вік по записах із історій розвитку дитини та кількістю зубів, визначеною за моделлю регресії) </w:t>
      </w:r>
      <w:r w:rsidRPr="00520861">
        <w:rPr>
          <w:rFonts w:eastAsia="Calibri"/>
          <w:sz w:val="28"/>
          <w:szCs w:val="28"/>
        </w:rPr>
        <w:lastRenderedPageBreak/>
        <w:t xml:space="preserve">нормальному закону розподілу за критерієм </w:t>
      </w:r>
      <w:proofErr w:type="spellStart"/>
      <w:r w:rsidRPr="00520861">
        <w:rPr>
          <w:rFonts w:eastAsia="Calibri"/>
          <w:sz w:val="28"/>
          <w:szCs w:val="28"/>
        </w:rPr>
        <w:t>Пірсона</w:t>
      </w:r>
      <w:proofErr w:type="spellEnd"/>
      <w:r w:rsidRPr="00520861">
        <w:rPr>
          <w:rFonts w:eastAsia="Calibri"/>
          <w:sz w:val="28"/>
          <w:szCs w:val="28"/>
        </w:rPr>
        <w:t>. Якщо гістограми відповідали нормальному закону розподілу, то по отриманій лінійній регресії розраховувалася кількість зубів для віку 6 і 12 місяців, а також для будь-якого іншого обраного віку. Швидкість росту зубів безпосередньо є одним із обчислених параметрів регресії.</w:t>
      </w:r>
    </w:p>
    <w:p w14:paraId="5E61A3AF"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pacing w:val="-2"/>
          <w:sz w:val="28"/>
          <w:szCs w:val="28"/>
          <w:lang w:eastAsia="en-US"/>
        </w:rPr>
        <w:t xml:space="preserve">Описаний підхід може бути використано для визначення популяційних, </w:t>
      </w:r>
      <w:r w:rsidRPr="00520861">
        <w:rPr>
          <w:rFonts w:eastAsia="Calibri"/>
          <w:spacing w:val="-2"/>
          <w:sz w:val="28"/>
          <w:szCs w:val="28"/>
          <w:lang w:eastAsia="en-US"/>
        </w:rPr>
        <w:br/>
        <w:t>регіо</w:t>
      </w:r>
      <w:r w:rsidRPr="00520861">
        <w:rPr>
          <w:rFonts w:eastAsia="Calibri"/>
          <w:sz w:val="28"/>
          <w:szCs w:val="28"/>
          <w:lang w:eastAsia="en-US"/>
        </w:rPr>
        <w:t>нальних термінів прорізування зубів або осереднених значень термінів прорізування зубів у невеликих групах дітей, а також відмінностей між термінами прорізу</w:t>
      </w:r>
      <w:r w:rsidRPr="00520861">
        <w:rPr>
          <w:rFonts w:eastAsia="Calibri"/>
          <w:spacing w:val="-4"/>
          <w:sz w:val="28"/>
          <w:szCs w:val="28"/>
          <w:lang w:eastAsia="en-US"/>
        </w:rPr>
        <w:t>вання чи швидкістю росту зубів у дітей першого року життя з різним станом здоров’я.</w:t>
      </w:r>
    </w:p>
    <w:p w14:paraId="62D152A7"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Для одержання ретроспективних відомостей про наявність каріозних уражень у дітей,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були проаналізовані історії розвитку дітей 1977 – 1992 років народження з моменту народження до досягнення ними </w:t>
      </w:r>
      <w:r w:rsidRPr="00520861">
        <w:rPr>
          <w:rFonts w:eastAsia="Calibri"/>
          <w:sz w:val="28"/>
          <w:szCs w:val="28"/>
          <w:lang w:eastAsia="en-US"/>
        </w:rPr>
        <w:br/>
        <w:t xml:space="preserve">14-річного віку. </w:t>
      </w:r>
    </w:p>
    <w:p w14:paraId="135CC7F5"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Була визначена кількість та обчислена відповідна процентна кількість тих дітей, які мали записи про карієс тимчасових зубів, а також тих, які мали РДК. </w:t>
      </w:r>
      <w:r w:rsidRPr="00520861">
        <w:rPr>
          <w:rFonts w:eastAsia="Calibri"/>
          <w:sz w:val="28"/>
          <w:szCs w:val="28"/>
          <w:lang w:eastAsia="en-US"/>
        </w:rPr>
        <w:br/>
        <w:t xml:space="preserve">Окремо фіксувалися відомості про кількість та процентну кількість дітей віком до 3-х років, які мали каріозні ураження зубів. Також були проаналізовані відомості про кількість та процентну кількість дітей, які мали записи про карієс постійних </w:t>
      </w:r>
      <w:r w:rsidRPr="00520861">
        <w:rPr>
          <w:rFonts w:eastAsia="Calibri"/>
          <w:sz w:val="28"/>
          <w:szCs w:val="28"/>
          <w:lang w:eastAsia="en-US"/>
        </w:rPr>
        <w:br/>
        <w:t xml:space="preserve">зубів, ускладнений карієс тимчасових та постійних зубів. </w:t>
      </w:r>
    </w:p>
    <w:p w14:paraId="696FBC1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вибірці із дітей була проаналізована захворюваність гострим </w:t>
      </w:r>
      <w:proofErr w:type="spellStart"/>
      <w:r w:rsidRPr="00520861">
        <w:rPr>
          <w:rFonts w:eastAsia="Calibri"/>
          <w:sz w:val="28"/>
          <w:szCs w:val="28"/>
          <w:lang w:eastAsia="en-US"/>
        </w:rPr>
        <w:t>герпетичним</w:t>
      </w:r>
      <w:proofErr w:type="spellEnd"/>
      <w:r w:rsidRPr="00520861">
        <w:rPr>
          <w:rFonts w:eastAsia="Calibri"/>
          <w:sz w:val="28"/>
          <w:szCs w:val="28"/>
          <w:lang w:eastAsia="en-US"/>
        </w:rPr>
        <w:t xml:space="preserve"> стоматитом.</w:t>
      </w:r>
    </w:p>
    <w:p w14:paraId="7E8EF5F9" w14:textId="77777777" w:rsidR="00CF641C" w:rsidRPr="00520861" w:rsidRDefault="00CF641C" w:rsidP="00292D2E">
      <w:pPr>
        <w:widowControl w:val="0"/>
        <w:spacing w:line="360" w:lineRule="auto"/>
        <w:ind w:firstLine="708"/>
        <w:jc w:val="both"/>
        <w:rPr>
          <w:rFonts w:eastAsia="Calibri"/>
          <w:sz w:val="28"/>
          <w:szCs w:val="28"/>
          <w:lang w:eastAsia="en-US"/>
        </w:rPr>
      </w:pPr>
    </w:p>
    <w:p w14:paraId="4D7F3FD3" w14:textId="77777777" w:rsidR="00CF641C" w:rsidRPr="00520861" w:rsidRDefault="00CF641C" w:rsidP="00292D2E">
      <w:pPr>
        <w:widowControl w:val="0"/>
        <w:spacing w:line="360" w:lineRule="auto"/>
        <w:ind w:firstLine="709"/>
        <w:jc w:val="both"/>
        <w:rPr>
          <w:rFonts w:eastAsia="Calibri"/>
          <w:b/>
          <w:sz w:val="28"/>
          <w:szCs w:val="28"/>
        </w:rPr>
      </w:pPr>
      <w:r w:rsidRPr="00520861">
        <w:rPr>
          <w:rFonts w:eastAsia="Calibri"/>
          <w:b/>
          <w:sz w:val="28"/>
          <w:szCs w:val="28"/>
        </w:rPr>
        <w:t xml:space="preserve">2.7. Характеристика біохімічних та біофізичних методів дослідження </w:t>
      </w:r>
      <w:r w:rsidRPr="00520861">
        <w:rPr>
          <w:rFonts w:eastAsia="Calibri"/>
          <w:b/>
          <w:sz w:val="28"/>
          <w:szCs w:val="28"/>
        </w:rPr>
        <w:br/>
        <w:t>ротової рідини</w:t>
      </w:r>
    </w:p>
    <w:p w14:paraId="25C070EC" w14:textId="77777777" w:rsidR="00CF641C" w:rsidRPr="00520861" w:rsidRDefault="00CF641C" w:rsidP="00292D2E">
      <w:pPr>
        <w:widowControl w:val="0"/>
        <w:spacing w:line="360" w:lineRule="auto"/>
        <w:ind w:firstLine="709"/>
        <w:jc w:val="both"/>
        <w:rPr>
          <w:rFonts w:eastAsia="Calibri"/>
          <w:b/>
          <w:sz w:val="28"/>
          <w:szCs w:val="28"/>
        </w:rPr>
      </w:pPr>
    </w:p>
    <w:p w14:paraId="62B8DD75" w14:textId="77777777" w:rsidR="00CF641C" w:rsidRPr="00520861" w:rsidRDefault="00CF641C" w:rsidP="00292D2E">
      <w:pPr>
        <w:widowControl w:val="0"/>
        <w:spacing w:line="360" w:lineRule="auto"/>
        <w:ind w:firstLine="709"/>
        <w:jc w:val="both"/>
        <w:rPr>
          <w:rFonts w:eastAsia="Calibri"/>
          <w:color w:val="000000"/>
          <w:sz w:val="28"/>
          <w:szCs w:val="28"/>
          <w:shd w:val="clear" w:color="auto" w:fill="FFFFFF"/>
          <w:lang w:eastAsia="en-US"/>
        </w:rPr>
      </w:pPr>
      <w:r w:rsidRPr="00520861">
        <w:rPr>
          <w:rFonts w:eastAsia="Calibri"/>
          <w:color w:val="000000"/>
          <w:sz w:val="28"/>
          <w:szCs w:val="28"/>
          <w:shd w:val="clear" w:color="auto" w:fill="FFFFFF"/>
          <w:lang w:eastAsia="en-US"/>
        </w:rPr>
        <w:t>Дослідження проводилося на базі</w:t>
      </w:r>
      <w:r w:rsidRPr="00520861">
        <w:rPr>
          <w:rFonts w:eastAsia="Calibri"/>
          <w:sz w:val="28"/>
          <w:szCs w:val="28"/>
          <w:lang w:eastAsia="en-US"/>
        </w:rPr>
        <w:t xml:space="preserve"> </w:t>
      </w:r>
      <w:r w:rsidRPr="00520861">
        <w:rPr>
          <w:rFonts w:eastAsia="Calibri"/>
          <w:color w:val="000000"/>
          <w:sz w:val="28"/>
          <w:szCs w:val="28"/>
          <w:shd w:val="clear" w:color="auto" w:fill="FFFFFF"/>
          <w:lang w:eastAsia="en-US"/>
        </w:rPr>
        <w:t xml:space="preserve">Університетського стоматологічного центру ХНМУ, кафедри мікробіології, імунології та вірусології ХМАПО, кафедри </w:t>
      </w:r>
      <w:r w:rsidRPr="00520861">
        <w:rPr>
          <w:rFonts w:eastAsia="Calibri"/>
          <w:color w:val="000000"/>
          <w:sz w:val="28"/>
          <w:szCs w:val="28"/>
          <w:shd w:val="clear" w:color="auto" w:fill="FFFFFF"/>
          <w:lang w:eastAsia="en-US"/>
        </w:rPr>
        <w:br/>
        <w:t>біохімії </w:t>
      </w:r>
      <w:proofErr w:type="spellStart"/>
      <w:r w:rsidRPr="00520861">
        <w:rPr>
          <w:rFonts w:eastAsia="Calibri"/>
          <w:color w:val="000000"/>
          <w:sz w:val="28"/>
          <w:szCs w:val="28"/>
          <w:shd w:val="clear" w:color="auto" w:fill="FFFFFF"/>
          <w:lang w:eastAsia="en-US"/>
        </w:rPr>
        <w:t>НФаУ</w:t>
      </w:r>
      <w:proofErr w:type="spellEnd"/>
      <w:r w:rsidRPr="00520861">
        <w:rPr>
          <w:rFonts w:eastAsia="Calibri"/>
          <w:color w:val="000000"/>
          <w:sz w:val="28"/>
          <w:szCs w:val="28"/>
          <w:shd w:val="clear" w:color="auto" w:fill="FFFFFF"/>
          <w:lang w:eastAsia="en-US"/>
        </w:rPr>
        <w:t>, ДУ «Інститут патології хребта та суглобів ім. проф. М. І. </w:t>
      </w:r>
      <w:proofErr w:type="spellStart"/>
      <w:r w:rsidRPr="00520861">
        <w:rPr>
          <w:rFonts w:eastAsia="Calibri"/>
          <w:color w:val="000000"/>
          <w:sz w:val="28"/>
          <w:szCs w:val="28"/>
          <w:shd w:val="clear" w:color="auto" w:fill="FFFFFF"/>
          <w:lang w:eastAsia="en-US"/>
        </w:rPr>
        <w:t>Ситенка</w:t>
      </w:r>
      <w:proofErr w:type="spellEnd"/>
      <w:r w:rsidRPr="00520861">
        <w:rPr>
          <w:rFonts w:eastAsia="Calibri"/>
          <w:color w:val="000000"/>
          <w:sz w:val="28"/>
          <w:szCs w:val="28"/>
          <w:shd w:val="clear" w:color="auto" w:fill="FFFFFF"/>
          <w:lang w:eastAsia="en-US"/>
        </w:rPr>
        <w:t xml:space="preserve"> НАМН України» упродовж 2014 – 2019 років.</w:t>
      </w:r>
    </w:p>
    <w:p w14:paraId="6914B588" w14:textId="77777777" w:rsidR="00CF641C" w:rsidRPr="00520861" w:rsidRDefault="00CF641C" w:rsidP="00292D2E">
      <w:pPr>
        <w:widowControl w:val="0"/>
        <w:spacing w:line="360" w:lineRule="auto"/>
        <w:ind w:firstLine="720"/>
        <w:jc w:val="both"/>
        <w:rPr>
          <w:bCs/>
          <w:iCs/>
          <w:sz w:val="28"/>
          <w:szCs w:val="28"/>
        </w:rPr>
      </w:pPr>
      <w:r w:rsidRPr="00520861">
        <w:rPr>
          <w:bCs/>
          <w:iCs/>
          <w:sz w:val="28"/>
          <w:szCs w:val="28"/>
        </w:rPr>
        <w:t xml:space="preserve">У день проведення дослідження його учасникам не рекомендувалося чистити зуби, користуватися </w:t>
      </w:r>
      <w:proofErr w:type="spellStart"/>
      <w:r w:rsidRPr="00520861">
        <w:rPr>
          <w:bCs/>
          <w:iCs/>
          <w:sz w:val="28"/>
          <w:szCs w:val="28"/>
        </w:rPr>
        <w:t>ополіскувачами</w:t>
      </w:r>
      <w:proofErr w:type="spellEnd"/>
      <w:r w:rsidRPr="00520861">
        <w:rPr>
          <w:bCs/>
          <w:iCs/>
          <w:sz w:val="28"/>
          <w:szCs w:val="28"/>
        </w:rPr>
        <w:t xml:space="preserve"> для ПР, палити та довго перебувати під дією </w:t>
      </w:r>
      <w:r w:rsidRPr="00520861">
        <w:rPr>
          <w:bCs/>
          <w:iCs/>
          <w:sz w:val="28"/>
          <w:szCs w:val="28"/>
        </w:rPr>
        <w:lastRenderedPageBreak/>
        <w:t xml:space="preserve">прямих сонячних променів із метою виключення впливу на показники, що вивчались. </w:t>
      </w:r>
      <w:r w:rsidRPr="00520861">
        <w:rPr>
          <w:rFonts w:eastAsia="Calibri"/>
          <w:color w:val="000000"/>
          <w:sz w:val="28"/>
          <w:szCs w:val="28"/>
          <w:shd w:val="clear" w:color="auto" w:fill="FFFFFF"/>
          <w:lang w:eastAsia="en-US"/>
        </w:rPr>
        <w:t xml:space="preserve">Нестимульовану РР збирали натще </w:t>
      </w:r>
      <w:r w:rsidRPr="00520861">
        <w:rPr>
          <w:rFonts w:eastAsia="Calibri"/>
          <w:sz w:val="28"/>
          <w:szCs w:val="28"/>
          <w:lang w:eastAsia="en-US"/>
        </w:rPr>
        <w:t>між 8 – 9 годинами ранку</w:t>
      </w:r>
      <w:r w:rsidRPr="00520861">
        <w:rPr>
          <w:rFonts w:eastAsia="Calibri"/>
          <w:color w:val="000000"/>
          <w:sz w:val="28"/>
          <w:szCs w:val="28"/>
          <w:shd w:val="clear" w:color="auto" w:fill="FFFFFF"/>
          <w:lang w:eastAsia="en-US"/>
        </w:rPr>
        <w:t>.</w:t>
      </w:r>
      <w:r w:rsidRPr="00520861">
        <w:rPr>
          <w:rFonts w:eastAsia="Calibri"/>
          <w:color w:val="000000"/>
          <w:sz w:val="28"/>
          <w:szCs w:val="28"/>
        </w:rPr>
        <w:t xml:space="preserve"> Після споліскування ПР учасники досліджування нахиляли голову так, щоб РР вільно витікала в мірну пробірку</w:t>
      </w:r>
      <w:r w:rsidRPr="00520861">
        <w:rPr>
          <w:rFonts w:eastAsia="Calibri"/>
          <w:color w:val="333333"/>
          <w:sz w:val="28"/>
          <w:szCs w:val="28"/>
        </w:rPr>
        <w:t xml:space="preserve">. </w:t>
      </w:r>
      <w:r w:rsidRPr="00520861">
        <w:rPr>
          <w:rFonts w:eastAsia="Calibri"/>
          <w:sz w:val="28"/>
          <w:szCs w:val="28"/>
        </w:rPr>
        <w:t>Згідно з рекомендаціями, викладеними в роботі [270], протягом забору РР учасники дослідження мали дихати через ніс та уникати розмов.</w:t>
      </w:r>
      <w:r w:rsidRPr="00520861">
        <w:rPr>
          <w:bCs/>
          <w:iCs/>
          <w:sz w:val="28"/>
          <w:szCs w:val="28"/>
        </w:rPr>
        <w:t xml:space="preserve"> </w:t>
      </w:r>
      <w:r w:rsidRPr="00520861">
        <w:rPr>
          <w:rFonts w:eastAsia="Calibri"/>
          <w:sz w:val="28"/>
          <w:szCs w:val="28"/>
        </w:rPr>
        <w:t xml:space="preserve">Зразки РР </w:t>
      </w:r>
      <w:r w:rsidRPr="00520861">
        <w:rPr>
          <w:rFonts w:eastAsia="Calibri"/>
          <w:sz w:val="28"/>
          <w:szCs w:val="28"/>
        </w:rPr>
        <w:br/>
        <w:t xml:space="preserve">транспортувалися у лабораторію з дотриманням правил холодового ланцюга, де </w:t>
      </w:r>
      <w:r w:rsidRPr="00520861">
        <w:rPr>
          <w:rFonts w:eastAsia="Calibri"/>
          <w:sz w:val="28"/>
          <w:szCs w:val="28"/>
        </w:rPr>
        <w:br/>
        <w:t xml:space="preserve">після попереднього центрифугування (50 об./с) упродовж 300 секунд розділялися на декілька порцій. Промарковані зразки РР зберігалися у чистих </w:t>
      </w:r>
      <w:proofErr w:type="spellStart"/>
      <w:r w:rsidRPr="00520861">
        <w:rPr>
          <w:rFonts w:eastAsia="Calibri"/>
          <w:sz w:val="28"/>
          <w:szCs w:val="28"/>
        </w:rPr>
        <w:t>еппендорфах</w:t>
      </w:r>
      <w:proofErr w:type="spellEnd"/>
      <w:r w:rsidRPr="00520861">
        <w:rPr>
          <w:rFonts w:eastAsia="Calibri"/>
          <w:sz w:val="28"/>
          <w:szCs w:val="28"/>
        </w:rPr>
        <w:t xml:space="preserve"> при </w:t>
      </w:r>
      <w:r w:rsidRPr="00520861">
        <w:rPr>
          <w:rFonts w:eastAsia="Calibri"/>
          <w:sz w:val="28"/>
          <w:szCs w:val="28"/>
        </w:rPr>
        <w:br/>
        <w:t>температурі –20</w:t>
      </w:r>
      <w:r w:rsidRPr="00520861">
        <w:rPr>
          <w:rFonts w:eastAsia="Calibri"/>
          <w:b/>
          <w:sz w:val="28"/>
          <w:szCs w:val="28"/>
        </w:rPr>
        <w:t>°</w:t>
      </w:r>
      <w:r w:rsidRPr="00520861">
        <w:rPr>
          <w:rFonts w:eastAsia="Calibri"/>
          <w:sz w:val="28"/>
          <w:szCs w:val="28"/>
        </w:rPr>
        <w:t>C.</w:t>
      </w:r>
      <w:r w:rsidRPr="00520861">
        <w:rPr>
          <w:bCs/>
          <w:iCs/>
          <w:sz w:val="28"/>
          <w:szCs w:val="28"/>
        </w:rPr>
        <w:t xml:space="preserve"> </w:t>
      </w:r>
      <w:r w:rsidRPr="00520861">
        <w:rPr>
          <w:rFonts w:eastAsia="Calibri"/>
          <w:sz w:val="28"/>
          <w:szCs w:val="28"/>
          <w:lang w:eastAsia="en-US"/>
        </w:rPr>
        <w:t xml:space="preserve">Для дослідження РР були задіяні як біофізичні методи (визначення швидкості салівації за одиницю часу, яка відповідала об’єму виділеної за одиницю часу слини та виражалася у </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/с), так і біохімічні.</w:t>
      </w:r>
    </w:p>
    <w:p w14:paraId="5A850F0D" w14:textId="77777777" w:rsidR="00CF641C" w:rsidRPr="00520861" w:rsidRDefault="00CF641C" w:rsidP="00292D2E">
      <w:pPr>
        <w:widowControl w:val="0"/>
        <w:spacing w:line="360" w:lineRule="auto"/>
        <w:ind w:firstLine="708"/>
        <w:jc w:val="both"/>
        <w:rPr>
          <w:sz w:val="28"/>
          <w:szCs w:val="28"/>
        </w:rPr>
      </w:pPr>
      <w:r w:rsidRPr="00520861">
        <w:rPr>
          <w:sz w:val="28"/>
          <w:szCs w:val="28"/>
        </w:rPr>
        <w:t xml:space="preserve">Визначення водневого показника </w:t>
      </w:r>
      <w:proofErr w:type="spellStart"/>
      <w:r w:rsidRPr="00520861">
        <w:rPr>
          <w:sz w:val="28"/>
          <w:szCs w:val="28"/>
        </w:rPr>
        <w:t>pH</w:t>
      </w:r>
      <w:proofErr w:type="spellEnd"/>
      <w:r w:rsidRPr="00520861">
        <w:rPr>
          <w:sz w:val="28"/>
          <w:szCs w:val="28"/>
        </w:rPr>
        <w:t xml:space="preserve"> здійснювалося за допомогою смужок індикаторного паперу («</w:t>
      </w:r>
      <w:proofErr w:type="spellStart"/>
      <w:r w:rsidRPr="00520861">
        <w:rPr>
          <w:sz w:val="28"/>
          <w:szCs w:val="28"/>
        </w:rPr>
        <w:t>Lach</w:t>
      </w:r>
      <w:proofErr w:type="spellEnd"/>
      <w:r w:rsidRPr="00520861">
        <w:rPr>
          <w:sz w:val="28"/>
          <w:szCs w:val="28"/>
        </w:rPr>
        <w:t xml:space="preserve">: </w:t>
      </w:r>
      <w:proofErr w:type="spellStart"/>
      <w:r w:rsidRPr="00520861">
        <w:rPr>
          <w:sz w:val="28"/>
          <w:szCs w:val="28"/>
        </w:rPr>
        <w:t>Ner</w:t>
      </w:r>
      <w:proofErr w:type="spellEnd"/>
      <w:r w:rsidRPr="00520861">
        <w:rPr>
          <w:sz w:val="28"/>
          <w:szCs w:val="28"/>
        </w:rPr>
        <w:t>», Чеська Республіка) із градуюванням шкал 0,2 одиниці.</w:t>
      </w:r>
    </w:p>
    <w:p w14:paraId="3D9F4E19" w14:textId="77777777" w:rsidR="00CF641C" w:rsidRPr="00520861" w:rsidRDefault="00CF641C" w:rsidP="00292D2E">
      <w:pPr>
        <w:widowControl w:val="0"/>
        <w:spacing w:line="360" w:lineRule="auto"/>
        <w:ind w:firstLine="708"/>
        <w:jc w:val="both"/>
        <w:rPr>
          <w:spacing w:val="-4"/>
          <w:sz w:val="28"/>
          <w:szCs w:val="28"/>
        </w:rPr>
      </w:pPr>
      <w:r w:rsidRPr="00520861">
        <w:rPr>
          <w:rFonts w:eastAsia="Calibri"/>
          <w:sz w:val="28"/>
          <w:szCs w:val="28"/>
          <w:lang w:eastAsia="en-US"/>
        </w:rPr>
        <w:t>Рівень загального кальцію (моль/</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 xml:space="preserve">) визначали в РР спектрофотометричним методом за реакцією з </w:t>
      </w:r>
      <w:proofErr w:type="spellStart"/>
      <w:r w:rsidRPr="00520861">
        <w:rPr>
          <w:rFonts w:eastAsia="Calibri"/>
          <w:sz w:val="28"/>
          <w:szCs w:val="28"/>
          <w:lang w:eastAsia="en-US"/>
        </w:rPr>
        <w:t>арсеназо</w:t>
      </w:r>
      <w:proofErr w:type="spellEnd"/>
      <w:r w:rsidRPr="00520861">
        <w:rPr>
          <w:rFonts w:eastAsia="Calibri"/>
          <w:sz w:val="28"/>
          <w:szCs w:val="28"/>
          <w:lang w:eastAsia="en-US"/>
        </w:rPr>
        <w:t xml:space="preserve"> ІІІ. Суть методу полягає у вимірюванні забарвленого комплексу кальцію з </w:t>
      </w:r>
      <w:proofErr w:type="spellStart"/>
      <w:r w:rsidRPr="00520861">
        <w:rPr>
          <w:rFonts w:eastAsia="Calibri"/>
          <w:sz w:val="28"/>
          <w:szCs w:val="28"/>
          <w:lang w:eastAsia="en-US"/>
        </w:rPr>
        <w:t>арсеназо</w:t>
      </w:r>
      <w:proofErr w:type="spellEnd"/>
      <w:r w:rsidRPr="00520861">
        <w:rPr>
          <w:rFonts w:eastAsia="Calibri"/>
          <w:sz w:val="28"/>
          <w:szCs w:val="28"/>
          <w:lang w:eastAsia="en-US"/>
        </w:rPr>
        <w:t xml:space="preserve"> ІІІ [205</w:t>
      </w:r>
      <w:r w:rsidRPr="00520861">
        <w:rPr>
          <w:rFonts w:eastAsia="Calibri"/>
          <w:spacing w:val="-4"/>
          <w:sz w:val="28"/>
          <w:szCs w:val="28"/>
          <w:lang w:eastAsia="en-US"/>
        </w:rPr>
        <w:t>].</w:t>
      </w:r>
      <w:r w:rsidRPr="00520861">
        <w:rPr>
          <w:spacing w:val="-4"/>
          <w:sz w:val="28"/>
          <w:szCs w:val="28"/>
        </w:rPr>
        <w:t xml:space="preserve"> Визначення проводилося на спектрофотометрі «СФ-46» фірми «ЛОМО» (РФ) при довжині хвилі випромінювання (6,4 – 6,9) × 10</w:t>
      </w:r>
      <w:r w:rsidRPr="00520861">
        <w:rPr>
          <w:spacing w:val="-4"/>
          <w:sz w:val="28"/>
          <w:szCs w:val="28"/>
          <w:vertAlign w:val="superscript"/>
        </w:rPr>
        <w:t>–7</w:t>
      </w:r>
      <w:r w:rsidRPr="00520861">
        <w:rPr>
          <w:spacing w:val="-4"/>
          <w:sz w:val="28"/>
          <w:szCs w:val="28"/>
        </w:rPr>
        <w:t xml:space="preserve"> м.</w:t>
      </w:r>
    </w:p>
    <w:p w14:paraId="2383EFE6" w14:textId="77777777" w:rsidR="00CF641C" w:rsidRPr="00520861" w:rsidRDefault="00CF641C" w:rsidP="00292D2E">
      <w:pPr>
        <w:widowControl w:val="0"/>
        <w:spacing w:line="360" w:lineRule="auto"/>
        <w:ind w:firstLine="708"/>
        <w:jc w:val="both"/>
        <w:rPr>
          <w:rFonts w:eastAsia="Calibri"/>
          <w:iCs/>
          <w:sz w:val="28"/>
          <w:szCs w:val="28"/>
          <w:lang w:eastAsia="en-US"/>
        </w:rPr>
      </w:pPr>
      <w:r w:rsidRPr="00520861">
        <w:rPr>
          <w:rFonts w:eastAsia="Calibri"/>
          <w:sz w:val="28"/>
          <w:szCs w:val="28"/>
          <w:lang w:eastAsia="en-US"/>
        </w:rPr>
        <w:t>Визначення неорганічного фосфору (моль/</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 xml:space="preserve">) проводилося за реакцією з </w:t>
      </w:r>
      <w:r w:rsidRPr="00520861">
        <w:rPr>
          <w:rFonts w:eastAsia="Calibri"/>
          <w:sz w:val="28"/>
          <w:szCs w:val="28"/>
          <w:lang w:eastAsia="en-US"/>
        </w:rPr>
        <w:br/>
      </w:r>
      <w:proofErr w:type="spellStart"/>
      <w:r w:rsidRPr="00520861">
        <w:rPr>
          <w:rFonts w:eastAsia="Calibri"/>
          <w:sz w:val="28"/>
          <w:szCs w:val="28"/>
          <w:lang w:eastAsia="en-US"/>
        </w:rPr>
        <w:t>молібдатом</w:t>
      </w:r>
      <w:proofErr w:type="spellEnd"/>
      <w:r w:rsidRPr="00520861">
        <w:rPr>
          <w:rFonts w:eastAsia="Calibri"/>
          <w:sz w:val="28"/>
          <w:szCs w:val="28"/>
          <w:lang w:eastAsia="en-US"/>
        </w:rPr>
        <w:t xml:space="preserve"> амонію в кислому середовищі з використанням наборів ТОВ НВП </w:t>
      </w:r>
      <w:r w:rsidRPr="00520861">
        <w:rPr>
          <w:rFonts w:eastAsia="Calibri"/>
          <w:sz w:val="28"/>
          <w:szCs w:val="28"/>
          <w:lang w:eastAsia="en-US"/>
        </w:rPr>
        <w:br/>
        <w:t>«</w:t>
      </w:r>
      <w:proofErr w:type="spellStart"/>
      <w:r w:rsidRPr="00520861">
        <w:rPr>
          <w:rFonts w:eastAsia="Calibri"/>
          <w:sz w:val="28"/>
          <w:szCs w:val="28"/>
          <w:lang w:eastAsia="en-US"/>
        </w:rPr>
        <w:t>Філісід</w:t>
      </w:r>
      <w:proofErr w:type="spellEnd"/>
      <w:r w:rsidRPr="00520861">
        <w:rPr>
          <w:rFonts w:eastAsia="Calibri"/>
          <w:sz w:val="28"/>
          <w:szCs w:val="28"/>
          <w:lang w:eastAsia="en-US"/>
        </w:rPr>
        <w:t xml:space="preserve">-Діагностика» (м. Дніпро, Україна). Суть цього методу полягає в реакції </w:t>
      </w:r>
      <w:r w:rsidRPr="00520861">
        <w:rPr>
          <w:rFonts w:eastAsia="Calibri"/>
          <w:sz w:val="28"/>
          <w:szCs w:val="28"/>
          <w:lang w:eastAsia="en-US"/>
        </w:rPr>
        <w:br/>
        <w:t xml:space="preserve">фосфат-іонів у кислому середовищі з </w:t>
      </w:r>
      <w:proofErr w:type="spellStart"/>
      <w:r w:rsidRPr="00520861">
        <w:rPr>
          <w:rFonts w:eastAsia="Calibri"/>
          <w:sz w:val="28"/>
          <w:szCs w:val="28"/>
          <w:lang w:eastAsia="en-US"/>
        </w:rPr>
        <w:t>молібдатом</w:t>
      </w:r>
      <w:proofErr w:type="spellEnd"/>
      <w:r w:rsidRPr="00520861">
        <w:rPr>
          <w:rFonts w:eastAsia="Calibri"/>
          <w:sz w:val="28"/>
          <w:szCs w:val="28"/>
          <w:lang w:eastAsia="en-US"/>
        </w:rPr>
        <w:t xml:space="preserve"> амонію та формуванні </w:t>
      </w:r>
      <w:proofErr w:type="spellStart"/>
      <w:r w:rsidRPr="00520861">
        <w:rPr>
          <w:rFonts w:eastAsia="Calibri"/>
          <w:sz w:val="28"/>
          <w:szCs w:val="28"/>
          <w:lang w:eastAsia="en-US"/>
        </w:rPr>
        <w:t>фосформолібдатного</w:t>
      </w:r>
      <w:proofErr w:type="spellEnd"/>
      <w:r w:rsidRPr="00520861">
        <w:rPr>
          <w:rFonts w:eastAsia="Calibri"/>
          <w:sz w:val="28"/>
          <w:szCs w:val="28"/>
          <w:lang w:eastAsia="en-US"/>
        </w:rPr>
        <w:t xml:space="preserve"> комплексу жовтого кольору, інтенсивність якого пропорційна концентрації фосфатних іонів у зразку [81]. </w:t>
      </w:r>
      <w:r w:rsidRPr="00520861">
        <w:rPr>
          <w:sz w:val="28"/>
          <w:szCs w:val="28"/>
        </w:rPr>
        <w:t>Визначення проводилося на спектрофотометрі «СФ-46» фірми «ЛОМО» (РФ) при довжині хвилі випромінювання (3,4–3,9) ×10</w:t>
      </w:r>
      <w:r w:rsidRPr="00520861">
        <w:rPr>
          <w:sz w:val="28"/>
          <w:szCs w:val="28"/>
          <w:vertAlign w:val="superscript"/>
        </w:rPr>
        <w:t>–7</w:t>
      </w:r>
      <w:r w:rsidRPr="00520861">
        <w:rPr>
          <w:sz w:val="28"/>
          <w:szCs w:val="28"/>
        </w:rPr>
        <w:t xml:space="preserve"> м.</w:t>
      </w:r>
    </w:p>
    <w:p w14:paraId="179703BA" w14:textId="77777777" w:rsidR="00CF641C" w:rsidRPr="00520861" w:rsidRDefault="00CF641C" w:rsidP="00292D2E">
      <w:pPr>
        <w:widowControl w:val="0"/>
        <w:spacing w:line="360" w:lineRule="auto"/>
        <w:ind w:firstLine="708"/>
        <w:jc w:val="both"/>
        <w:rPr>
          <w:rFonts w:eastAsia="Calibri"/>
          <w:iCs/>
          <w:sz w:val="28"/>
          <w:szCs w:val="28"/>
          <w:lang w:eastAsia="en-US"/>
        </w:rPr>
      </w:pPr>
      <w:r w:rsidRPr="00520861">
        <w:rPr>
          <w:rFonts w:eastAsia="Calibri"/>
          <w:sz w:val="28"/>
          <w:szCs w:val="28"/>
          <w:lang w:eastAsia="en-US"/>
        </w:rPr>
        <w:t>Активність лужної фосфатази (од./</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 визначали за реакцією з n-</w:t>
      </w:r>
      <w:proofErr w:type="spellStart"/>
      <w:r w:rsidRPr="00520861">
        <w:rPr>
          <w:rFonts w:eastAsia="Calibri"/>
          <w:sz w:val="28"/>
          <w:szCs w:val="28"/>
          <w:lang w:eastAsia="en-US"/>
        </w:rPr>
        <w:t>нітрофеніл</w:t>
      </w:r>
      <w:proofErr w:type="spellEnd"/>
      <w:r w:rsidRPr="00520861">
        <w:rPr>
          <w:rFonts w:eastAsia="Calibri"/>
          <w:sz w:val="28"/>
          <w:szCs w:val="28"/>
          <w:lang w:eastAsia="en-US"/>
        </w:rPr>
        <w:t xml:space="preserve"> фосфатом із використанням наборів ТОВ «</w:t>
      </w:r>
      <w:proofErr w:type="spellStart"/>
      <w:r w:rsidRPr="00520861">
        <w:rPr>
          <w:rFonts w:eastAsia="Calibri"/>
          <w:sz w:val="28"/>
          <w:szCs w:val="28"/>
          <w:lang w:eastAsia="en-US"/>
        </w:rPr>
        <w:t>СпайнЛаб</w:t>
      </w:r>
      <w:proofErr w:type="spellEnd"/>
      <w:r w:rsidRPr="00520861">
        <w:rPr>
          <w:rFonts w:eastAsia="Calibri"/>
          <w:sz w:val="28"/>
          <w:szCs w:val="28"/>
          <w:lang w:eastAsia="en-US"/>
        </w:rPr>
        <w:t xml:space="preserve">» (м. Харків, Україна) згідно з рекомендаціями виробника. Суть методу полягає в тому, що лужна фосфатаза (ЛФ) </w:t>
      </w:r>
      <w:proofErr w:type="spellStart"/>
      <w:r w:rsidRPr="00520861">
        <w:rPr>
          <w:rFonts w:eastAsia="Calibri"/>
          <w:sz w:val="28"/>
          <w:szCs w:val="28"/>
          <w:lang w:eastAsia="en-US"/>
        </w:rPr>
        <w:t>каталізує</w:t>
      </w:r>
      <w:proofErr w:type="spellEnd"/>
      <w:r w:rsidRPr="00520861">
        <w:rPr>
          <w:rFonts w:eastAsia="Calibri"/>
          <w:sz w:val="28"/>
          <w:szCs w:val="28"/>
          <w:lang w:eastAsia="en-US"/>
        </w:rPr>
        <w:t xml:space="preserve"> гідроліз n-</w:t>
      </w:r>
      <w:proofErr w:type="spellStart"/>
      <w:r w:rsidRPr="00520861">
        <w:rPr>
          <w:rFonts w:eastAsia="Calibri"/>
          <w:sz w:val="28"/>
          <w:szCs w:val="28"/>
          <w:lang w:eastAsia="en-US"/>
        </w:rPr>
        <w:t>нітрофеніл</w:t>
      </w:r>
      <w:proofErr w:type="spellEnd"/>
      <w:r w:rsidRPr="00520861">
        <w:rPr>
          <w:rFonts w:eastAsia="Calibri"/>
          <w:sz w:val="28"/>
          <w:szCs w:val="28"/>
          <w:lang w:eastAsia="en-US"/>
        </w:rPr>
        <w:t xml:space="preserve"> фосфату при </w:t>
      </w:r>
      <w:proofErr w:type="spellStart"/>
      <w:r w:rsidRPr="00520861">
        <w:rPr>
          <w:rFonts w:eastAsia="Calibri"/>
          <w:sz w:val="28"/>
          <w:szCs w:val="28"/>
          <w:lang w:eastAsia="en-US"/>
        </w:rPr>
        <w:t>pH</w:t>
      </w:r>
      <w:proofErr w:type="spellEnd"/>
      <w:r w:rsidRPr="00520861">
        <w:rPr>
          <w:rFonts w:eastAsia="Calibri"/>
          <w:sz w:val="28"/>
          <w:szCs w:val="28"/>
          <w:lang w:eastAsia="en-US"/>
        </w:rPr>
        <w:t xml:space="preserve"> 10,4 з отриманням n-нітрофенолу та фосфату. Швидкість утворення n-нітрофенолу пропорційна каталітичній активності </w:t>
      </w:r>
      <w:r w:rsidRPr="00520861">
        <w:rPr>
          <w:rFonts w:eastAsia="Calibri"/>
          <w:sz w:val="28"/>
          <w:szCs w:val="28"/>
          <w:lang w:eastAsia="en-US"/>
        </w:rPr>
        <w:lastRenderedPageBreak/>
        <w:t xml:space="preserve">ЛФ, що міститься в пробі. Рекомендована для вимірювання на фотометрі оптичної щільності </w:t>
      </w:r>
      <w:r w:rsidRPr="00520861">
        <w:rPr>
          <w:sz w:val="28"/>
          <w:szCs w:val="28"/>
        </w:rPr>
        <w:t>довжина хвилі випромінювання</w:t>
      </w:r>
      <w:r w:rsidRPr="00520861">
        <w:rPr>
          <w:rFonts w:eastAsia="Calibri"/>
          <w:sz w:val="28"/>
          <w:szCs w:val="28"/>
          <w:lang w:eastAsia="en-US"/>
        </w:rPr>
        <w:t xml:space="preserve"> дорівнює 4,04 </w:t>
      </w:r>
      <w:r w:rsidRPr="00520861">
        <w:rPr>
          <w:sz w:val="28"/>
          <w:szCs w:val="28"/>
        </w:rPr>
        <w:t>× 10</w:t>
      </w:r>
      <w:r w:rsidRPr="00520861">
        <w:rPr>
          <w:sz w:val="28"/>
          <w:szCs w:val="28"/>
          <w:vertAlign w:val="superscript"/>
        </w:rPr>
        <w:t>–7</w:t>
      </w:r>
      <w:r w:rsidRPr="00520861">
        <w:rPr>
          <w:sz w:val="28"/>
          <w:szCs w:val="28"/>
        </w:rPr>
        <w:t xml:space="preserve"> м</w:t>
      </w:r>
      <w:r w:rsidRPr="00520861">
        <w:rPr>
          <w:rFonts w:eastAsia="Calibri"/>
          <w:sz w:val="28"/>
          <w:szCs w:val="28"/>
          <w:lang w:eastAsia="en-US"/>
        </w:rPr>
        <w:t xml:space="preserve"> [81].</w:t>
      </w:r>
      <w:r w:rsidRPr="00520861">
        <w:rPr>
          <w:sz w:val="28"/>
          <w:szCs w:val="28"/>
        </w:rPr>
        <w:t xml:space="preserve"> Визначення проводилося на спектрофотометрі «СФ-46» фірми «ЛОМО» (РФ) при довжині хвилі (3,9 – 4,4) × 10</w:t>
      </w:r>
      <w:r w:rsidRPr="00520861">
        <w:rPr>
          <w:sz w:val="28"/>
          <w:szCs w:val="28"/>
          <w:vertAlign w:val="superscript"/>
        </w:rPr>
        <w:t>–7</w:t>
      </w:r>
      <w:r w:rsidRPr="00520861">
        <w:rPr>
          <w:sz w:val="28"/>
          <w:szCs w:val="28"/>
        </w:rPr>
        <w:t xml:space="preserve"> м.</w:t>
      </w:r>
    </w:p>
    <w:p w14:paraId="1776C0C1" w14:textId="77777777" w:rsidR="00CF641C" w:rsidRPr="00520861" w:rsidRDefault="00CF641C" w:rsidP="00292D2E">
      <w:pPr>
        <w:widowControl w:val="0"/>
        <w:spacing w:line="360" w:lineRule="auto"/>
        <w:ind w:right="-1" w:firstLine="709"/>
        <w:jc w:val="both"/>
        <w:rPr>
          <w:sz w:val="28"/>
          <w:szCs w:val="28"/>
        </w:rPr>
      </w:pPr>
      <w:r w:rsidRPr="00520861">
        <w:rPr>
          <w:rFonts w:eastAsia="Calibri"/>
          <w:bCs/>
          <w:iCs/>
          <w:sz w:val="28"/>
          <w:szCs w:val="28"/>
          <w:lang w:eastAsia="en-US"/>
        </w:rPr>
        <w:t>Для оцінювання регуляції вуглеводного, білкового та жирового обміну визначалися ендокринні показники</w:t>
      </w:r>
      <w:r w:rsidRPr="00520861">
        <w:rPr>
          <w:sz w:val="28"/>
          <w:szCs w:val="28"/>
        </w:rPr>
        <w:t xml:space="preserve">. Уміст </w:t>
      </w:r>
      <w:proofErr w:type="spellStart"/>
      <w:r w:rsidRPr="00520861">
        <w:rPr>
          <w:sz w:val="28"/>
          <w:szCs w:val="28"/>
        </w:rPr>
        <w:t>лептину</w:t>
      </w:r>
      <w:proofErr w:type="spellEnd"/>
      <w:r w:rsidRPr="00520861">
        <w:rPr>
          <w:sz w:val="28"/>
          <w:szCs w:val="28"/>
        </w:rPr>
        <w:t xml:space="preserve"> </w:t>
      </w:r>
      <w:r w:rsidRPr="00520861">
        <w:rPr>
          <w:rFonts w:eastAsia="Calibri"/>
          <w:sz w:val="28"/>
          <w:szCs w:val="28"/>
          <w:lang w:eastAsia="en-US"/>
        </w:rPr>
        <w:t>(кг/</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w:t>
      </w:r>
      <w:r w:rsidRPr="00520861">
        <w:rPr>
          <w:sz w:val="28"/>
          <w:szCs w:val="28"/>
        </w:rPr>
        <w:t xml:space="preserve"> й </w:t>
      </w:r>
      <w:proofErr w:type="spellStart"/>
      <w:r w:rsidRPr="00520861">
        <w:rPr>
          <w:sz w:val="28"/>
          <w:szCs w:val="28"/>
        </w:rPr>
        <w:t>адипонектину</w:t>
      </w:r>
      <w:proofErr w:type="spellEnd"/>
      <w:r w:rsidRPr="00520861">
        <w:rPr>
          <w:sz w:val="28"/>
          <w:szCs w:val="28"/>
        </w:rPr>
        <w:t xml:space="preserve"> </w:t>
      </w:r>
      <w:r w:rsidRPr="00520861">
        <w:rPr>
          <w:rFonts w:eastAsia="Calibri"/>
          <w:sz w:val="28"/>
          <w:szCs w:val="28"/>
          <w:lang w:eastAsia="en-US"/>
        </w:rPr>
        <w:t>(кг/</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 xml:space="preserve">) </w:t>
      </w:r>
      <w:r w:rsidRPr="00520861">
        <w:rPr>
          <w:sz w:val="28"/>
          <w:szCs w:val="28"/>
        </w:rPr>
        <w:t xml:space="preserve">у РР визначали </w:t>
      </w:r>
      <w:proofErr w:type="spellStart"/>
      <w:r w:rsidRPr="00520861">
        <w:rPr>
          <w:sz w:val="28"/>
          <w:szCs w:val="28"/>
        </w:rPr>
        <w:t>імуноферментним</w:t>
      </w:r>
      <w:proofErr w:type="spellEnd"/>
      <w:r w:rsidRPr="00520861">
        <w:rPr>
          <w:sz w:val="28"/>
          <w:szCs w:val="28"/>
        </w:rPr>
        <w:t xml:space="preserve"> методом (ІФМ) наборами </w:t>
      </w:r>
      <w:proofErr w:type="spellStart"/>
      <w:r w:rsidRPr="00520861">
        <w:rPr>
          <w:sz w:val="28"/>
          <w:szCs w:val="28"/>
        </w:rPr>
        <w:t>Leptin</w:t>
      </w:r>
      <w:proofErr w:type="spellEnd"/>
      <w:r w:rsidRPr="00520861">
        <w:rPr>
          <w:sz w:val="28"/>
          <w:szCs w:val="28"/>
        </w:rPr>
        <w:t xml:space="preserve"> ELISA та </w:t>
      </w:r>
      <w:proofErr w:type="spellStart"/>
      <w:r w:rsidRPr="00520861">
        <w:rPr>
          <w:sz w:val="28"/>
          <w:szCs w:val="28"/>
        </w:rPr>
        <w:t>Adiponectin</w:t>
      </w:r>
      <w:proofErr w:type="spellEnd"/>
      <w:r w:rsidRPr="00520861">
        <w:rPr>
          <w:sz w:val="28"/>
          <w:szCs w:val="28"/>
        </w:rPr>
        <w:t xml:space="preserve"> ELISA («</w:t>
      </w:r>
      <w:proofErr w:type="spellStart"/>
      <w:r w:rsidRPr="00520861">
        <w:rPr>
          <w:sz w:val="28"/>
          <w:szCs w:val="28"/>
        </w:rPr>
        <w:t>Mediagnost</w:t>
      </w:r>
      <w:proofErr w:type="spellEnd"/>
      <w:r w:rsidRPr="00520861">
        <w:rPr>
          <w:sz w:val="28"/>
          <w:szCs w:val="28"/>
        </w:rPr>
        <w:t xml:space="preserve">», Німеччина) на </w:t>
      </w:r>
      <w:proofErr w:type="spellStart"/>
      <w:r w:rsidRPr="00520861">
        <w:rPr>
          <w:sz w:val="28"/>
          <w:szCs w:val="28"/>
        </w:rPr>
        <w:t>мікропланшетному</w:t>
      </w:r>
      <w:proofErr w:type="spellEnd"/>
      <w:r w:rsidRPr="00520861">
        <w:rPr>
          <w:sz w:val="28"/>
          <w:szCs w:val="28"/>
        </w:rPr>
        <w:t xml:space="preserve"> аналізаторі «</w:t>
      </w:r>
      <w:proofErr w:type="spellStart"/>
      <w:r w:rsidRPr="00520861">
        <w:rPr>
          <w:sz w:val="28"/>
          <w:szCs w:val="28"/>
        </w:rPr>
        <w:t>LisaScan</w:t>
      </w:r>
      <w:proofErr w:type="spellEnd"/>
      <w:r w:rsidRPr="00520861">
        <w:rPr>
          <w:sz w:val="28"/>
          <w:szCs w:val="28"/>
        </w:rPr>
        <w:t>» («</w:t>
      </w:r>
      <w:proofErr w:type="spellStart"/>
      <w:r w:rsidRPr="00520861">
        <w:rPr>
          <w:sz w:val="28"/>
          <w:szCs w:val="28"/>
        </w:rPr>
        <w:t>Erba</w:t>
      </w:r>
      <w:proofErr w:type="spellEnd"/>
      <w:r w:rsidRPr="00520861">
        <w:rPr>
          <w:sz w:val="28"/>
          <w:szCs w:val="28"/>
        </w:rPr>
        <w:t xml:space="preserve"> </w:t>
      </w:r>
      <w:proofErr w:type="spellStart"/>
      <w:r w:rsidRPr="00520861">
        <w:rPr>
          <w:sz w:val="28"/>
          <w:szCs w:val="28"/>
        </w:rPr>
        <w:t>Lachema</w:t>
      </w:r>
      <w:proofErr w:type="spellEnd"/>
      <w:r w:rsidRPr="00520861">
        <w:rPr>
          <w:sz w:val="28"/>
          <w:szCs w:val="28"/>
        </w:rPr>
        <w:t>», Чеська Республіка) при довжині хвилі 4,5 × 10</w:t>
      </w:r>
      <w:r w:rsidRPr="00520861">
        <w:rPr>
          <w:sz w:val="28"/>
          <w:szCs w:val="28"/>
          <w:vertAlign w:val="superscript"/>
        </w:rPr>
        <w:t>–7</w:t>
      </w:r>
      <w:r w:rsidRPr="00520861">
        <w:rPr>
          <w:sz w:val="28"/>
          <w:szCs w:val="28"/>
        </w:rPr>
        <w:t xml:space="preserve"> м згідно </w:t>
      </w:r>
      <w:r w:rsidRPr="00520861">
        <w:rPr>
          <w:sz w:val="28"/>
          <w:szCs w:val="28"/>
        </w:rPr>
        <w:br/>
        <w:t xml:space="preserve">з рекомендаціями фірми-виробника. Суть методу визначення </w:t>
      </w:r>
      <w:proofErr w:type="spellStart"/>
      <w:r w:rsidRPr="00520861">
        <w:rPr>
          <w:sz w:val="28"/>
          <w:szCs w:val="28"/>
        </w:rPr>
        <w:t>лептину</w:t>
      </w:r>
      <w:proofErr w:type="spellEnd"/>
      <w:r w:rsidRPr="00520861">
        <w:rPr>
          <w:sz w:val="28"/>
          <w:szCs w:val="28"/>
        </w:rPr>
        <w:t xml:space="preserve"> й </w:t>
      </w:r>
      <w:proofErr w:type="spellStart"/>
      <w:r w:rsidRPr="00520861">
        <w:rPr>
          <w:sz w:val="28"/>
          <w:szCs w:val="28"/>
        </w:rPr>
        <w:t>адипонектину</w:t>
      </w:r>
      <w:proofErr w:type="spellEnd"/>
      <w:r w:rsidRPr="00520861">
        <w:rPr>
          <w:sz w:val="28"/>
          <w:szCs w:val="28"/>
        </w:rPr>
        <w:t xml:space="preserve">, який застосований у цьому наборі, зводиться до так званого «сендвіч»-аналізу, який використовує два специфічних і </w:t>
      </w:r>
      <w:proofErr w:type="spellStart"/>
      <w:r w:rsidRPr="00520861">
        <w:rPr>
          <w:sz w:val="28"/>
          <w:szCs w:val="28"/>
        </w:rPr>
        <w:t>високоафінних</w:t>
      </w:r>
      <w:proofErr w:type="spellEnd"/>
      <w:r w:rsidRPr="00520861">
        <w:rPr>
          <w:sz w:val="28"/>
          <w:szCs w:val="28"/>
        </w:rPr>
        <w:t xml:space="preserve"> антитіла. </w:t>
      </w:r>
      <w:proofErr w:type="spellStart"/>
      <w:r w:rsidRPr="00520861">
        <w:rPr>
          <w:sz w:val="28"/>
          <w:szCs w:val="28"/>
        </w:rPr>
        <w:t>Лептин</w:t>
      </w:r>
      <w:proofErr w:type="spellEnd"/>
      <w:r w:rsidRPr="00520861">
        <w:rPr>
          <w:sz w:val="28"/>
          <w:szCs w:val="28"/>
        </w:rPr>
        <w:t xml:space="preserve"> у пробах РР зв’язується з першим антитілом, нанесеним на </w:t>
      </w:r>
      <w:proofErr w:type="spellStart"/>
      <w:r w:rsidRPr="00520861">
        <w:rPr>
          <w:sz w:val="28"/>
          <w:szCs w:val="28"/>
        </w:rPr>
        <w:t>мікропланшети</w:t>
      </w:r>
      <w:proofErr w:type="spellEnd"/>
      <w:r w:rsidRPr="00520861">
        <w:rPr>
          <w:sz w:val="28"/>
          <w:szCs w:val="28"/>
        </w:rPr>
        <w:t xml:space="preserve">. На наступному етапі іммобілізований </w:t>
      </w:r>
      <w:proofErr w:type="spellStart"/>
      <w:r w:rsidRPr="00520861">
        <w:rPr>
          <w:sz w:val="28"/>
          <w:szCs w:val="28"/>
        </w:rPr>
        <w:t>лептин</w:t>
      </w:r>
      <w:proofErr w:type="spellEnd"/>
      <w:r w:rsidRPr="00520861">
        <w:rPr>
          <w:sz w:val="28"/>
          <w:szCs w:val="28"/>
        </w:rPr>
        <w:t xml:space="preserve"> зв’язується з другим специфічним </w:t>
      </w:r>
      <w:proofErr w:type="spellStart"/>
      <w:r w:rsidRPr="00520861">
        <w:rPr>
          <w:sz w:val="28"/>
          <w:szCs w:val="28"/>
        </w:rPr>
        <w:t>антилептин</w:t>
      </w:r>
      <w:proofErr w:type="spellEnd"/>
      <w:r w:rsidRPr="00520861">
        <w:rPr>
          <w:sz w:val="28"/>
          <w:szCs w:val="28"/>
        </w:rPr>
        <w:t xml:space="preserve">-антитілом, яке є </w:t>
      </w:r>
      <w:proofErr w:type="spellStart"/>
      <w:r w:rsidRPr="00520861">
        <w:rPr>
          <w:sz w:val="28"/>
          <w:szCs w:val="28"/>
        </w:rPr>
        <w:t>біотинільованим</w:t>
      </w:r>
      <w:proofErr w:type="spellEnd"/>
      <w:r w:rsidRPr="00520861">
        <w:rPr>
          <w:sz w:val="28"/>
          <w:szCs w:val="28"/>
        </w:rPr>
        <w:t xml:space="preserve"> і застосовується в суміші з </w:t>
      </w:r>
      <w:proofErr w:type="spellStart"/>
      <w:r w:rsidRPr="00520861">
        <w:rPr>
          <w:sz w:val="28"/>
          <w:szCs w:val="28"/>
        </w:rPr>
        <w:t>коньюгатом</w:t>
      </w:r>
      <w:proofErr w:type="spellEnd"/>
      <w:r w:rsidRPr="00520861">
        <w:rPr>
          <w:sz w:val="28"/>
          <w:szCs w:val="28"/>
        </w:rPr>
        <w:t xml:space="preserve"> </w:t>
      </w:r>
      <w:proofErr w:type="spellStart"/>
      <w:r w:rsidRPr="00520861">
        <w:rPr>
          <w:sz w:val="28"/>
          <w:szCs w:val="28"/>
        </w:rPr>
        <w:t>стрептавідину</w:t>
      </w:r>
      <w:proofErr w:type="spellEnd"/>
      <w:r w:rsidRPr="00520861">
        <w:rPr>
          <w:sz w:val="28"/>
          <w:szCs w:val="28"/>
        </w:rPr>
        <w:t xml:space="preserve"> з ферментом </w:t>
      </w:r>
      <w:proofErr w:type="spellStart"/>
      <w:r w:rsidRPr="00520861">
        <w:rPr>
          <w:sz w:val="28"/>
          <w:szCs w:val="28"/>
        </w:rPr>
        <w:t>пероксидазою</w:t>
      </w:r>
      <w:proofErr w:type="spellEnd"/>
      <w:r w:rsidRPr="00520861">
        <w:rPr>
          <w:sz w:val="28"/>
          <w:szCs w:val="28"/>
        </w:rPr>
        <w:t xml:space="preserve">. Рівень </w:t>
      </w:r>
      <w:proofErr w:type="spellStart"/>
      <w:r w:rsidRPr="00520861">
        <w:rPr>
          <w:sz w:val="28"/>
          <w:szCs w:val="28"/>
        </w:rPr>
        <w:t>лептину</w:t>
      </w:r>
      <w:proofErr w:type="spellEnd"/>
      <w:r w:rsidRPr="00520861">
        <w:rPr>
          <w:sz w:val="28"/>
          <w:szCs w:val="28"/>
        </w:rPr>
        <w:t xml:space="preserve"> в зразках біологічних рідин кількісно </w:t>
      </w:r>
      <w:r w:rsidRPr="00520861">
        <w:rPr>
          <w:sz w:val="28"/>
          <w:szCs w:val="28"/>
        </w:rPr>
        <w:br/>
        <w:t xml:space="preserve">оцінюється по зміні кольору субстрату. Принцип кількісного визначення </w:t>
      </w:r>
      <w:proofErr w:type="spellStart"/>
      <w:r w:rsidRPr="00520861">
        <w:rPr>
          <w:sz w:val="28"/>
          <w:szCs w:val="28"/>
        </w:rPr>
        <w:t>адипонектину</w:t>
      </w:r>
      <w:proofErr w:type="spellEnd"/>
      <w:r w:rsidRPr="00520861">
        <w:rPr>
          <w:sz w:val="28"/>
          <w:szCs w:val="28"/>
        </w:rPr>
        <w:t xml:space="preserve"> є аналогічним.</w:t>
      </w:r>
    </w:p>
    <w:p w14:paraId="41CD58D8" w14:textId="77777777" w:rsidR="00CF641C" w:rsidRPr="00520861" w:rsidRDefault="00CF641C" w:rsidP="00292D2E">
      <w:pPr>
        <w:widowControl w:val="0"/>
        <w:spacing w:line="360" w:lineRule="auto"/>
        <w:ind w:right="-1" w:firstLine="709"/>
        <w:jc w:val="both"/>
        <w:rPr>
          <w:sz w:val="28"/>
          <w:szCs w:val="28"/>
        </w:rPr>
      </w:pPr>
      <w:r w:rsidRPr="00520861">
        <w:rPr>
          <w:sz w:val="28"/>
          <w:szCs w:val="28"/>
        </w:rPr>
        <w:t xml:space="preserve">Рівень </w:t>
      </w:r>
      <w:proofErr w:type="spellStart"/>
      <w:r w:rsidRPr="00520861">
        <w:rPr>
          <w:sz w:val="28"/>
          <w:szCs w:val="28"/>
        </w:rPr>
        <w:t>кортизолу</w:t>
      </w:r>
      <w:proofErr w:type="spellEnd"/>
      <w:r w:rsidRPr="00520861">
        <w:rPr>
          <w:sz w:val="28"/>
          <w:szCs w:val="28"/>
        </w:rPr>
        <w:t xml:space="preserve"> </w:t>
      </w:r>
      <w:r w:rsidRPr="00520861">
        <w:rPr>
          <w:rFonts w:eastAsia="Calibri"/>
          <w:sz w:val="28"/>
          <w:szCs w:val="28"/>
          <w:lang w:eastAsia="en-US"/>
        </w:rPr>
        <w:t>(кг/</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 xml:space="preserve">) </w:t>
      </w:r>
      <w:r w:rsidRPr="00520861">
        <w:rPr>
          <w:sz w:val="28"/>
          <w:szCs w:val="28"/>
        </w:rPr>
        <w:t>визначався ІФМ (набір НВЛ «</w:t>
      </w:r>
      <w:proofErr w:type="spellStart"/>
      <w:r w:rsidRPr="00520861">
        <w:rPr>
          <w:sz w:val="28"/>
          <w:szCs w:val="28"/>
        </w:rPr>
        <w:t>Гранум</w:t>
      </w:r>
      <w:proofErr w:type="spellEnd"/>
      <w:r w:rsidRPr="00520861">
        <w:rPr>
          <w:sz w:val="28"/>
          <w:szCs w:val="28"/>
        </w:rPr>
        <w:t xml:space="preserve">», Україна) на </w:t>
      </w:r>
      <w:proofErr w:type="spellStart"/>
      <w:r w:rsidRPr="00520861">
        <w:rPr>
          <w:sz w:val="28"/>
          <w:szCs w:val="28"/>
        </w:rPr>
        <w:t>мікропланшетному</w:t>
      </w:r>
      <w:proofErr w:type="spellEnd"/>
      <w:r w:rsidRPr="00520861">
        <w:rPr>
          <w:sz w:val="28"/>
          <w:szCs w:val="28"/>
        </w:rPr>
        <w:t xml:space="preserve"> </w:t>
      </w:r>
      <w:proofErr w:type="spellStart"/>
      <w:r w:rsidRPr="00520861">
        <w:rPr>
          <w:sz w:val="28"/>
          <w:szCs w:val="28"/>
        </w:rPr>
        <w:t>імуноферментному</w:t>
      </w:r>
      <w:proofErr w:type="spellEnd"/>
      <w:r w:rsidRPr="00520861">
        <w:rPr>
          <w:sz w:val="28"/>
          <w:szCs w:val="28"/>
        </w:rPr>
        <w:t xml:space="preserve"> аналізаторі «</w:t>
      </w:r>
      <w:proofErr w:type="spellStart"/>
      <w:r w:rsidRPr="00520861">
        <w:rPr>
          <w:sz w:val="28"/>
          <w:szCs w:val="28"/>
        </w:rPr>
        <w:t>Stat</w:t>
      </w:r>
      <w:proofErr w:type="spellEnd"/>
      <w:r w:rsidRPr="00520861">
        <w:rPr>
          <w:sz w:val="28"/>
          <w:szCs w:val="28"/>
        </w:rPr>
        <w:t xml:space="preserve"> </w:t>
      </w:r>
      <w:proofErr w:type="spellStart"/>
      <w:r w:rsidRPr="00520861">
        <w:rPr>
          <w:sz w:val="28"/>
          <w:szCs w:val="28"/>
        </w:rPr>
        <w:t>Fax</w:t>
      </w:r>
      <w:proofErr w:type="spellEnd"/>
      <w:r w:rsidRPr="00520861">
        <w:rPr>
          <w:sz w:val="28"/>
          <w:szCs w:val="28"/>
        </w:rPr>
        <w:t xml:space="preserve"> 4700» («</w:t>
      </w:r>
      <w:proofErr w:type="spellStart"/>
      <w:r w:rsidRPr="00520861">
        <w:rPr>
          <w:sz w:val="28"/>
          <w:szCs w:val="28"/>
        </w:rPr>
        <w:t>Awareness</w:t>
      </w:r>
      <w:proofErr w:type="spellEnd"/>
      <w:r w:rsidRPr="00520861">
        <w:rPr>
          <w:sz w:val="28"/>
          <w:szCs w:val="28"/>
        </w:rPr>
        <w:t xml:space="preserve"> </w:t>
      </w:r>
      <w:proofErr w:type="spellStart"/>
      <w:r w:rsidRPr="00520861">
        <w:rPr>
          <w:sz w:val="28"/>
          <w:szCs w:val="28"/>
        </w:rPr>
        <w:t>technology</w:t>
      </w:r>
      <w:proofErr w:type="spellEnd"/>
      <w:r w:rsidRPr="00520861">
        <w:rPr>
          <w:sz w:val="28"/>
          <w:szCs w:val="28"/>
        </w:rPr>
        <w:t xml:space="preserve"> </w:t>
      </w:r>
      <w:proofErr w:type="spellStart"/>
      <w:r w:rsidRPr="00520861">
        <w:rPr>
          <w:sz w:val="28"/>
          <w:szCs w:val="28"/>
        </w:rPr>
        <w:t>inc</w:t>
      </w:r>
      <w:proofErr w:type="spellEnd"/>
      <w:r w:rsidRPr="00520861">
        <w:rPr>
          <w:sz w:val="28"/>
          <w:szCs w:val="28"/>
        </w:rPr>
        <w:t>.», США) при довжині хвилі 4,5 × 10</w:t>
      </w:r>
      <w:r w:rsidRPr="00520861">
        <w:rPr>
          <w:sz w:val="28"/>
          <w:szCs w:val="28"/>
          <w:vertAlign w:val="superscript"/>
        </w:rPr>
        <w:t>–7</w:t>
      </w:r>
      <w:r w:rsidRPr="00520861">
        <w:rPr>
          <w:sz w:val="28"/>
          <w:szCs w:val="28"/>
        </w:rPr>
        <w:t xml:space="preserve"> м.</w:t>
      </w:r>
    </w:p>
    <w:p w14:paraId="7DD6412A" w14:textId="77777777" w:rsidR="00CF641C" w:rsidRPr="00520861" w:rsidRDefault="00CF641C" w:rsidP="00292D2E">
      <w:pPr>
        <w:widowControl w:val="0"/>
        <w:spacing w:line="360" w:lineRule="auto"/>
        <w:ind w:firstLine="708"/>
        <w:jc w:val="both"/>
        <w:rPr>
          <w:sz w:val="28"/>
          <w:szCs w:val="28"/>
        </w:rPr>
      </w:pPr>
      <w:r w:rsidRPr="00520861">
        <w:rPr>
          <w:sz w:val="28"/>
          <w:szCs w:val="28"/>
        </w:rPr>
        <w:t xml:space="preserve">З метою оцінювання секреторної активності слинних залоз проводилося визначення активності α-амілази </w:t>
      </w:r>
      <w:r w:rsidRPr="00520861">
        <w:rPr>
          <w:rFonts w:eastAsia="Calibri"/>
          <w:sz w:val="28"/>
          <w:szCs w:val="28"/>
          <w:lang w:eastAsia="en-US"/>
        </w:rPr>
        <w:t>(од./</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w:t>
      </w:r>
      <w:r w:rsidRPr="00520861">
        <w:rPr>
          <w:sz w:val="28"/>
          <w:szCs w:val="28"/>
        </w:rPr>
        <w:t xml:space="preserve"> Були використані </w:t>
      </w:r>
      <w:r w:rsidRPr="00520861">
        <w:rPr>
          <w:rFonts w:eastAsia="Calibri"/>
          <w:sz w:val="28"/>
          <w:szCs w:val="28"/>
          <w:lang w:eastAsia="en-US"/>
        </w:rPr>
        <w:t>набори «</w:t>
      </w:r>
      <w:r w:rsidRPr="00520861">
        <w:rPr>
          <w:sz w:val="28"/>
          <w:szCs w:val="28"/>
        </w:rPr>
        <w:t xml:space="preserve">α-АМІЛАЗА-кін. </w:t>
      </w:r>
      <w:proofErr w:type="spellStart"/>
      <w:r w:rsidRPr="00520861">
        <w:rPr>
          <w:sz w:val="28"/>
          <w:szCs w:val="28"/>
        </w:rPr>
        <w:t>СпЛ</w:t>
      </w:r>
      <w:proofErr w:type="spellEnd"/>
      <w:r w:rsidRPr="00520861">
        <w:rPr>
          <w:rFonts w:eastAsia="Calibri"/>
          <w:sz w:val="28"/>
          <w:szCs w:val="28"/>
          <w:lang w:eastAsia="en-US"/>
        </w:rPr>
        <w:t>» (ТОВ «</w:t>
      </w:r>
      <w:proofErr w:type="spellStart"/>
      <w:r w:rsidRPr="00520861">
        <w:rPr>
          <w:rFonts w:eastAsia="Calibri"/>
          <w:sz w:val="28"/>
          <w:szCs w:val="28"/>
          <w:lang w:eastAsia="en-US"/>
        </w:rPr>
        <w:t>СпайнЛаб</w:t>
      </w:r>
      <w:proofErr w:type="spellEnd"/>
      <w:r w:rsidRPr="00520861">
        <w:rPr>
          <w:rFonts w:eastAsia="Calibri"/>
          <w:sz w:val="28"/>
          <w:szCs w:val="28"/>
          <w:lang w:eastAsia="en-US"/>
        </w:rPr>
        <w:t>», м. Харків, Україна) згідно з рекомендаціями виробника</w:t>
      </w:r>
      <w:r w:rsidRPr="00520861">
        <w:rPr>
          <w:sz w:val="28"/>
          <w:szCs w:val="28"/>
        </w:rPr>
        <w:t>. Визначення проводилося на спектрофотометрі «СФ-46» фірми «ЛОМО» (РФ) при довжині хвилі (3,9 – 4,4) × 10</w:t>
      </w:r>
      <w:r w:rsidRPr="00520861">
        <w:rPr>
          <w:sz w:val="28"/>
          <w:szCs w:val="28"/>
          <w:vertAlign w:val="superscript"/>
        </w:rPr>
        <w:t>–7</w:t>
      </w:r>
      <w:r w:rsidRPr="00520861">
        <w:rPr>
          <w:sz w:val="28"/>
          <w:szCs w:val="28"/>
        </w:rPr>
        <w:t xml:space="preserve"> м.</w:t>
      </w:r>
    </w:p>
    <w:p w14:paraId="1F8EDB46" w14:textId="77777777" w:rsidR="00CF641C" w:rsidRPr="00520861" w:rsidRDefault="00CF641C" w:rsidP="00292D2E">
      <w:pPr>
        <w:widowControl w:val="0"/>
        <w:spacing w:line="360" w:lineRule="auto"/>
        <w:ind w:firstLine="708"/>
        <w:jc w:val="both"/>
        <w:rPr>
          <w:spacing w:val="-1"/>
          <w:sz w:val="28"/>
          <w:szCs w:val="28"/>
        </w:rPr>
      </w:pPr>
      <w:r w:rsidRPr="00520861">
        <w:rPr>
          <w:spacing w:val="-1"/>
          <w:sz w:val="28"/>
          <w:szCs w:val="28"/>
        </w:rPr>
        <w:t xml:space="preserve">Показниками </w:t>
      </w:r>
      <w:proofErr w:type="spellStart"/>
      <w:r w:rsidRPr="00520861">
        <w:rPr>
          <w:spacing w:val="-1"/>
          <w:sz w:val="28"/>
          <w:szCs w:val="28"/>
        </w:rPr>
        <w:t>антиоксидантно-прооксидантного</w:t>
      </w:r>
      <w:proofErr w:type="spellEnd"/>
      <w:r w:rsidRPr="00520861">
        <w:rPr>
          <w:spacing w:val="-1"/>
          <w:sz w:val="28"/>
          <w:szCs w:val="28"/>
        </w:rPr>
        <w:t xml:space="preserve"> статусу в РР учасників </w:t>
      </w:r>
      <w:r w:rsidRPr="00520861">
        <w:rPr>
          <w:spacing w:val="-1"/>
          <w:sz w:val="28"/>
          <w:szCs w:val="28"/>
        </w:rPr>
        <w:br/>
        <w:t>дослідження вважали активність СОД та каталази. Активність СОД</w:t>
      </w:r>
      <w:r w:rsidRPr="00520861">
        <w:rPr>
          <w:rFonts w:eastAsia="Calibri"/>
          <w:spacing w:val="-1"/>
          <w:sz w:val="28"/>
          <w:szCs w:val="28"/>
          <w:lang w:eastAsia="en-US"/>
        </w:rPr>
        <w:t xml:space="preserve"> (ум. од/кг білка)</w:t>
      </w:r>
      <w:r w:rsidRPr="00520861">
        <w:rPr>
          <w:spacing w:val="-1"/>
          <w:sz w:val="28"/>
          <w:szCs w:val="28"/>
        </w:rPr>
        <w:t xml:space="preserve"> визначали за методом </w:t>
      </w:r>
      <w:proofErr w:type="spellStart"/>
      <w:r w:rsidRPr="00520861">
        <w:rPr>
          <w:spacing w:val="-1"/>
          <w:sz w:val="28"/>
          <w:szCs w:val="28"/>
        </w:rPr>
        <w:t>Woolliams</w:t>
      </w:r>
      <w:proofErr w:type="spellEnd"/>
      <w:r w:rsidRPr="00520861">
        <w:rPr>
          <w:spacing w:val="-1"/>
          <w:sz w:val="28"/>
          <w:szCs w:val="28"/>
        </w:rPr>
        <w:t xml:space="preserve"> </w:t>
      </w:r>
      <w:r w:rsidRPr="00520861">
        <w:rPr>
          <w:spacing w:val="-1"/>
          <w:sz w:val="28"/>
          <w:szCs w:val="28"/>
          <w:lang w:val="en-US"/>
        </w:rPr>
        <w:t>J</w:t>
      </w:r>
      <w:r w:rsidRPr="00520861">
        <w:rPr>
          <w:spacing w:val="-1"/>
          <w:sz w:val="28"/>
          <w:szCs w:val="28"/>
        </w:rPr>
        <w:t xml:space="preserve">. A. </w:t>
      </w:r>
      <w:proofErr w:type="spellStart"/>
      <w:r w:rsidRPr="00520861">
        <w:rPr>
          <w:spacing w:val="-1"/>
          <w:sz w:val="28"/>
          <w:szCs w:val="28"/>
        </w:rPr>
        <w:t>et</w:t>
      </w:r>
      <w:proofErr w:type="spellEnd"/>
      <w:r w:rsidRPr="00520861">
        <w:rPr>
          <w:spacing w:val="-1"/>
          <w:sz w:val="28"/>
          <w:szCs w:val="28"/>
        </w:rPr>
        <w:t xml:space="preserve"> </w:t>
      </w:r>
      <w:proofErr w:type="spellStart"/>
      <w:r w:rsidRPr="00520861">
        <w:rPr>
          <w:spacing w:val="-1"/>
          <w:sz w:val="28"/>
          <w:szCs w:val="28"/>
        </w:rPr>
        <w:t>al</w:t>
      </w:r>
      <w:proofErr w:type="spellEnd"/>
      <w:r w:rsidRPr="00520861">
        <w:rPr>
          <w:spacing w:val="-1"/>
          <w:sz w:val="28"/>
          <w:szCs w:val="28"/>
        </w:rPr>
        <w:t xml:space="preserve">., (1983) [569]. Суть методу полягає в </w:t>
      </w:r>
      <w:proofErr w:type="spellStart"/>
      <w:r w:rsidRPr="00520861">
        <w:rPr>
          <w:spacing w:val="-1"/>
          <w:sz w:val="28"/>
          <w:szCs w:val="28"/>
        </w:rPr>
        <w:t>каталізації</w:t>
      </w:r>
      <w:proofErr w:type="spellEnd"/>
      <w:r w:rsidRPr="00520861">
        <w:rPr>
          <w:spacing w:val="-1"/>
          <w:sz w:val="28"/>
          <w:szCs w:val="28"/>
        </w:rPr>
        <w:t xml:space="preserve"> СОД </w:t>
      </w:r>
      <w:proofErr w:type="spellStart"/>
      <w:r w:rsidRPr="00520861">
        <w:rPr>
          <w:spacing w:val="-1"/>
          <w:sz w:val="28"/>
          <w:szCs w:val="28"/>
        </w:rPr>
        <w:t>дисмутації</w:t>
      </w:r>
      <w:proofErr w:type="spellEnd"/>
      <w:r w:rsidRPr="00520861">
        <w:rPr>
          <w:spacing w:val="-1"/>
          <w:sz w:val="28"/>
          <w:szCs w:val="28"/>
        </w:rPr>
        <w:t xml:space="preserve"> </w:t>
      </w:r>
      <w:proofErr w:type="spellStart"/>
      <w:r w:rsidRPr="00520861">
        <w:rPr>
          <w:spacing w:val="-1"/>
          <w:sz w:val="28"/>
          <w:szCs w:val="28"/>
        </w:rPr>
        <w:t>супероксиду</w:t>
      </w:r>
      <w:proofErr w:type="spellEnd"/>
      <w:r w:rsidRPr="00520861">
        <w:rPr>
          <w:spacing w:val="-1"/>
          <w:sz w:val="28"/>
          <w:szCs w:val="28"/>
        </w:rPr>
        <w:t xml:space="preserve">, який у процесі окислювання перетворюється у </w:t>
      </w:r>
      <w:r w:rsidRPr="00520861">
        <w:rPr>
          <w:spacing w:val="-1"/>
          <w:sz w:val="28"/>
          <w:szCs w:val="28"/>
        </w:rPr>
        <w:lastRenderedPageBreak/>
        <w:t xml:space="preserve">перекис водню й кисень. З метою створення </w:t>
      </w:r>
      <w:proofErr w:type="spellStart"/>
      <w:r w:rsidRPr="00520861">
        <w:rPr>
          <w:spacing w:val="-1"/>
          <w:sz w:val="28"/>
          <w:szCs w:val="28"/>
        </w:rPr>
        <w:t>супероксидних</w:t>
      </w:r>
      <w:proofErr w:type="spellEnd"/>
      <w:r w:rsidRPr="00520861">
        <w:rPr>
          <w:spacing w:val="-1"/>
          <w:sz w:val="28"/>
          <w:szCs w:val="28"/>
        </w:rPr>
        <w:t xml:space="preserve"> радикалів використовують </w:t>
      </w:r>
      <w:proofErr w:type="spellStart"/>
      <w:r w:rsidRPr="00520861">
        <w:rPr>
          <w:spacing w:val="-1"/>
          <w:sz w:val="28"/>
          <w:szCs w:val="28"/>
        </w:rPr>
        <w:t>ксантин</w:t>
      </w:r>
      <w:proofErr w:type="spellEnd"/>
      <w:r w:rsidRPr="00520861">
        <w:rPr>
          <w:spacing w:val="-1"/>
          <w:sz w:val="28"/>
          <w:szCs w:val="28"/>
        </w:rPr>
        <w:t xml:space="preserve"> та </w:t>
      </w:r>
      <w:proofErr w:type="spellStart"/>
      <w:r w:rsidRPr="00520861">
        <w:rPr>
          <w:spacing w:val="-1"/>
          <w:sz w:val="28"/>
          <w:szCs w:val="28"/>
        </w:rPr>
        <w:t>ксантиноксидазу</w:t>
      </w:r>
      <w:proofErr w:type="spellEnd"/>
      <w:r w:rsidRPr="00520861">
        <w:rPr>
          <w:spacing w:val="-1"/>
          <w:sz w:val="28"/>
          <w:szCs w:val="28"/>
        </w:rPr>
        <w:t xml:space="preserve">, які </w:t>
      </w:r>
      <w:r w:rsidRPr="00520861">
        <w:rPr>
          <w:rFonts w:eastAsia="Calibri"/>
          <w:spacing w:val="-1"/>
          <w:sz w:val="28"/>
          <w:szCs w:val="28"/>
          <w:lang w:eastAsia="en-US"/>
        </w:rPr>
        <w:t>що вступають у реакцію</w:t>
      </w:r>
      <w:r w:rsidRPr="00520861">
        <w:rPr>
          <w:spacing w:val="-1"/>
          <w:sz w:val="28"/>
          <w:szCs w:val="28"/>
        </w:rPr>
        <w:t xml:space="preserve"> з </w:t>
      </w:r>
      <w:r w:rsidRPr="00520861">
        <w:rPr>
          <w:rFonts w:eastAsia="Calibri"/>
          <w:spacing w:val="-1"/>
          <w:sz w:val="28"/>
          <w:szCs w:val="28"/>
          <w:shd w:val="clear" w:color="auto" w:fill="FFFFFF"/>
          <w:lang w:eastAsia="en-US"/>
        </w:rPr>
        <w:t>2-(4-йодфеніл)-3-(4-нітрофеніл)-5-феніл-2H-тетразолія хлоридом</w:t>
      </w:r>
      <w:r w:rsidRPr="00520861">
        <w:rPr>
          <w:spacing w:val="-1"/>
          <w:sz w:val="28"/>
          <w:szCs w:val="28"/>
        </w:rPr>
        <w:t xml:space="preserve"> із утворенням </w:t>
      </w:r>
      <w:proofErr w:type="spellStart"/>
      <w:r w:rsidRPr="00520861">
        <w:rPr>
          <w:spacing w:val="-1"/>
          <w:sz w:val="28"/>
          <w:szCs w:val="28"/>
        </w:rPr>
        <w:t>нітроформазану</w:t>
      </w:r>
      <w:proofErr w:type="spellEnd"/>
      <w:r w:rsidRPr="00520861">
        <w:rPr>
          <w:spacing w:val="-1"/>
          <w:sz w:val="28"/>
          <w:szCs w:val="28"/>
        </w:rPr>
        <w:t xml:space="preserve">. Для визначення активності СОД ураховується ступінь </w:t>
      </w:r>
      <w:proofErr w:type="spellStart"/>
      <w:r w:rsidRPr="00520861">
        <w:rPr>
          <w:spacing w:val="-1"/>
          <w:sz w:val="28"/>
          <w:szCs w:val="28"/>
        </w:rPr>
        <w:t>інгібування</w:t>
      </w:r>
      <w:proofErr w:type="spellEnd"/>
      <w:r w:rsidRPr="00520861">
        <w:rPr>
          <w:spacing w:val="-1"/>
          <w:sz w:val="28"/>
          <w:szCs w:val="28"/>
        </w:rPr>
        <w:t xml:space="preserve"> цієї реакції, тобто кількість </w:t>
      </w:r>
      <w:proofErr w:type="spellStart"/>
      <w:r w:rsidRPr="00520861">
        <w:rPr>
          <w:spacing w:val="-1"/>
          <w:sz w:val="28"/>
          <w:szCs w:val="28"/>
        </w:rPr>
        <w:t>нітроформазану</w:t>
      </w:r>
      <w:proofErr w:type="spellEnd"/>
      <w:r w:rsidRPr="00520861">
        <w:rPr>
          <w:spacing w:val="-1"/>
          <w:sz w:val="28"/>
          <w:szCs w:val="28"/>
        </w:rPr>
        <w:t>, що утворюється [433]. Визначення проводилося на спектрофотометрі «СФ-46», виробник «ЛОМО» (РФ) при довжині хвилі (</w:t>
      </w:r>
      <w:r w:rsidRPr="00520861">
        <w:rPr>
          <w:rFonts w:eastAsia="Calibri"/>
          <w:color w:val="000000"/>
          <w:spacing w:val="-1"/>
          <w:sz w:val="28"/>
          <w:szCs w:val="28"/>
          <w:shd w:val="clear" w:color="auto" w:fill="FFFFFF"/>
          <w:lang w:eastAsia="en-US"/>
        </w:rPr>
        <w:t>4,9 – 5,4) </w:t>
      </w:r>
      <w:r w:rsidRPr="00520861">
        <w:rPr>
          <w:spacing w:val="-1"/>
          <w:sz w:val="28"/>
          <w:szCs w:val="28"/>
        </w:rPr>
        <w:t>× 10</w:t>
      </w:r>
      <w:r w:rsidRPr="00520861">
        <w:rPr>
          <w:spacing w:val="-1"/>
          <w:sz w:val="28"/>
          <w:szCs w:val="28"/>
          <w:vertAlign w:val="superscript"/>
        </w:rPr>
        <w:t>–7</w:t>
      </w:r>
      <w:r w:rsidRPr="00520861">
        <w:rPr>
          <w:spacing w:val="-1"/>
          <w:sz w:val="28"/>
          <w:szCs w:val="28"/>
        </w:rPr>
        <w:t xml:space="preserve"> м</w:t>
      </w:r>
      <w:r w:rsidRPr="00520861">
        <w:rPr>
          <w:rFonts w:eastAsia="Calibri"/>
          <w:color w:val="000000"/>
          <w:spacing w:val="-1"/>
          <w:sz w:val="28"/>
          <w:szCs w:val="28"/>
          <w:shd w:val="clear" w:color="auto" w:fill="FFFFFF"/>
          <w:lang w:eastAsia="en-US"/>
        </w:rPr>
        <w:t>.</w:t>
      </w:r>
    </w:p>
    <w:p w14:paraId="467EDF60" w14:textId="77777777" w:rsidR="00CF641C" w:rsidRPr="00520861" w:rsidRDefault="00CF641C" w:rsidP="00292D2E">
      <w:pPr>
        <w:widowControl w:val="0"/>
        <w:spacing w:line="360" w:lineRule="auto"/>
        <w:ind w:firstLine="709"/>
        <w:jc w:val="both"/>
        <w:rPr>
          <w:sz w:val="28"/>
          <w:szCs w:val="28"/>
        </w:rPr>
      </w:pPr>
      <w:r w:rsidRPr="00520861">
        <w:rPr>
          <w:sz w:val="28"/>
          <w:szCs w:val="28"/>
        </w:rPr>
        <w:t xml:space="preserve">Активність каталази </w:t>
      </w:r>
      <w:r w:rsidRPr="00520861">
        <w:rPr>
          <w:rFonts w:eastAsia="Calibri"/>
          <w:sz w:val="28"/>
          <w:szCs w:val="28"/>
          <w:lang w:eastAsia="en-US"/>
        </w:rPr>
        <w:t xml:space="preserve">(моль/с на кг білка) </w:t>
      </w:r>
      <w:r w:rsidRPr="00520861">
        <w:rPr>
          <w:sz w:val="28"/>
          <w:szCs w:val="28"/>
        </w:rPr>
        <w:t xml:space="preserve">визначалася за реакцією перекису </w:t>
      </w:r>
      <w:r w:rsidRPr="00520861">
        <w:rPr>
          <w:sz w:val="28"/>
          <w:szCs w:val="28"/>
        </w:rPr>
        <w:br/>
        <w:t xml:space="preserve">водню з </w:t>
      </w:r>
      <w:proofErr w:type="spellStart"/>
      <w:r w:rsidRPr="00520861">
        <w:rPr>
          <w:sz w:val="28"/>
          <w:szCs w:val="28"/>
        </w:rPr>
        <w:t>молібдатом</w:t>
      </w:r>
      <w:proofErr w:type="spellEnd"/>
      <w:r w:rsidRPr="00520861">
        <w:rPr>
          <w:sz w:val="28"/>
          <w:szCs w:val="28"/>
        </w:rPr>
        <w:t xml:space="preserve"> амонію та з метаболітами, які містяться в пробі РР за методикою </w:t>
      </w:r>
      <w:proofErr w:type="spellStart"/>
      <w:r w:rsidRPr="00520861">
        <w:rPr>
          <w:sz w:val="28"/>
          <w:szCs w:val="28"/>
        </w:rPr>
        <w:t>Королюка</w:t>
      </w:r>
      <w:proofErr w:type="spellEnd"/>
      <w:r w:rsidRPr="00520861">
        <w:rPr>
          <w:sz w:val="28"/>
          <w:szCs w:val="28"/>
        </w:rPr>
        <w:t xml:space="preserve"> М. А. та співавторів. Суть методики полягає у використанні розчину, який складається з 1×10</w:t>
      </w:r>
      <w:r w:rsidRPr="00520861">
        <w:rPr>
          <w:sz w:val="28"/>
          <w:szCs w:val="28"/>
          <w:vertAlign w:val="superscript"/>
        </w:rPr>
        <w:t>–7</w:t>
      </w:r>
      <w:r w:rsidRPr="00520861">
        <w:rPr>
          <w:sz w:val="28"/>
          <w:szCs w:val="28"/>
        </w:rPr>
        <w:t xml:space="preserve"> </w:t>
      </w:r>
      <w:r w:rsidRPr="00520861">
        <w:rPr>
          <w:rFonts w:eastAsia="FreeSetC"/>
          <w:sz w:val="28"/>
          <w:szCs w:val="28"/>
          <w:lang w:eastAsia="en-US"/>
        </w:rPr>
        <w:t>м</w:t>
      </w:r>
      <w:r w:rsidRPr="00520861">
        <w:rPr>
          <w:rFonts w:eastAsia="FreeSetC"/>
          <w:sz w:val="28"/>
          <w:szCs w:val="28"/>
          <w:vertAlign w:val="superscript"/>
          <w:lang w:eastAsia="en-US"/>
        </w:rPr>
        <w:t>3</w:t>
      </w:r>
      <w:r w:rsidRPr="00520861">
        <w:rPr>
          <w:sz w:val="28"/>
          <w:szCs w:val="28"/>
        </w:rPr>
        <w:t xml:space="preserve"> РР, 1×10</w:t>
      </w:r>
      <w:r w:rsidRPr="00520861">
        <w:rPr>
          <w:sz w:val="28"/>
          <w:szCs w:val="28"/>
          <w:vertAlign w:val="superscript"/>
        </w:rPr>
        <w:t>–6</w:t>
      </w:r>
      <w:r w:rsidRPr="00520861">
        <w:rPr>
          <w:sz w:val="28"/>
          <w:szCs w:val="28"/>
        </w:rPr>
        <w:t xml:space="preserve"> </w:t>
      </w:r>
      <w:r w:rsidRPr="00520861">
        <w:rPr>
          <w:rFonts w:eastAsia="FreeSetC"/>
          <w:sz w:val="28"/>
          <w:szCs w:val="28"/>
          <w:lang w:eastAsia="en-US"/>
        </w:rPr>
        <w:t>м</w:t>
      </w:r>
      <w:r w:rsidRPr="00520861">
        <w:rPr>
          <w:rFonts w:eastAsia="FreeSetC"/>
          <w:sz w:val="28"/>
          <w:szCs w:val="28"/>
          <w:vertAlign w:val="superscript"/>
          <w:lang w:eastAsia="en-US"/>
        </w:rPr>
        <w:t>3</w:t>
      </w:r>
      <w:r w:rsidRPr="00520861">
        <w:rPr>
          <w:sz w:val="28"/>
          <w:szCs w:val="28"/>
        </w:rPr>
        <w:t xml:space="preserve"> дистильованої води та 2×10</w:t>
      </w:r>
      <w:r w:rsidRPr="00520861">
        <w:rPr>
          <w:sz w:val="28"/>
          <w:szCs w:val="28"/>
          <w:vertAlign w:val="superscript"/>
        </w:rPr>
        <w:t>–6</w:t>
      </w:r>
      <w:r w:rsidRPr="00520861">
        <w:rPr>
          <w:sz w:val="28"/>
          <w:szCs w:val="28"/>
        </w:rPr>
        <w:t xml:space="preserve"> </w:t>
      </w:r>
      <w:r w:rsidRPr="00520861">
        <w:rPr>
          <w:rFonts w:eastAsia="FreeSetC"/>
          <w:sz w:val="28"/>
          <w:szCs w:val="28"/>
          <w:lang w:eastAsia="en-US"/>
        </w:rPr>
        <w:t>м</w:t>
      </w:r>
      <w:r w:rsidRPr="00520861">
        <w:rPr>
          <w:rFonts w:eastAsia="FreeSetC"/>
          <w:sz w:val="28"/>
          <w:szCs w:val="28"/>
          <w:vertAlign w:val="superscript"/>
          <w:lang w:eastAsia="en-US"/>
        </w:rPr>
        <w:t>3</w:t>
      </w:r>
      <w:r w:rsidRPr="00520861">
        <w:rPr>
          <w:sz w:val="28"/>
          <w:szCs w:val="28"/>
        </w:rPr>
        <w:t xml:space="preserve"> 0,03% перекису водню. Через 600 секунд після змішування цього розчину із 4% </w:t>
      </w:r>
      <w:proofErr w:type="spellStart"/>
      <w:r w:rsidRPr="00520861">
        <w:rPr>
          <w:sz w:val="28"/>
          <w:szCs w:val="28"/>
        </w:rPr>
        <w:t>молібдату</w:t>
      </w:r>
      <w:proofErr w:type="spellEnd"/>
      <w:r w:rsidRPr="00520861">
        <w:rPr>
          <w:sz w:val="28"/>
          <w:szCs w:val="28"/>
        </w:rPr>
        <w:t xml:space="preserve"> амонію (1×10</w:t>
      </w:r>
      <w:r w:rsidRPr="00520861">
        <w:rPr>
          <w:sz w:val="28"/>
          <w:szCs w:val="28"/>
          <w:vertAlign w:val="superscript"/>
        </w:rPr>
        <w:t>–6</w:t>
      </w:r>
      <w:r w:rsidRPr="00520861">
        <w:rPr>
          <w:sz w:val="28"/>
          <w:szCs w:val="28"/>
        </w:rPr>
        <w:t xml:space="preserve"> </w:t>
      </w:r>
      <w:r w:rsidRPr="00520861">
        <w:rPr>
          <w:rFonts w:eastAsia="FreeSetC"/>
          <w:sz w:val="28"/>
          <w:szCs w:val="28"/>
          <w:lang w:eastAsia="en-US"/>
        </w:rPr>
        <w:t>м</w:t>
      </w:r>
      <w:r w:rsidRPr="00520861">
        <w:rPr>
          <w:rFonts w:eastAsia="FreeSetC"/>
          <w:sz w:val="28"/>
          <w:szCs w:val="28"/>
          <w:vertAlign w:val="superscript"/>
          <w:lang w:eastAsia="en-US"/>
        </w:rPr>
        <w:t>3</w:t>
      </w:r>
      <w:r w:rsidRPr="00520861">
        <w:rPr>
          <w:sz w:val="28"/>
          <w:szCs w:val="28"/>
        </w:rPr>
        <w:t>) та центрифугування протягом 600 с при 28,33 об./с проводилося спектрофотометричне вимірювання показників поглинання розчину, що утворювався [113]. Визначення проводилося на спектрофотометрі «СФ-46» фірми «ЛОМО» (РФ) при довжині хвилі (3,9 – 4,4) × 10</w:t>
      </w:r>
      <w:r w:rsidRPr="00520861">
        <w:rPr>
          <w:sz w:val="28"/>
          <w:szCs w:val="28"/>
          <w:vertAlign w:val="superscript"/>
        </w:rPr>
        <w:t>–7</w:t>
      </w:r>
      <w:r w:rsidRPr="00520861">
        <w:rPr>
          <w:sz w:val="28"/>
          <w:szCs w:val="28"/>
        </w:rPr>
        <w:t xml:space="preserve"> м.</w:t>
      </w:r>
    </w:p>
    <w:p w14:paraId="0C4C42A4" w14:textId="77777777" w:rsidR="00CF641C" w:rsidRPr="00520861" w:rsidRDefault="00CF641C" w:rsidP="00292D2E">
      <w:pPr>
        <w:widowControl w:val="0"/>
        <w:spacing w:line="360" w:lineRule="auto"/>
        <w:ind w:firstLine="709"/>
        <w:jc w:val="both"/>
        <w:rPr>
          <w:rFonts w:eastAsia="Calibri"/>
          <w:color w:val="000000"/>
          <w:sz w:val="28"/>
          <w:szCs w:val="28"/>
          <w:shd w:val="clear" w:color="auto" w:fill="FFFFFF"/>
          <w:lang w:eastAsia="en-US"/>
        </w:rPr>
      </w:pPr>
      <w:r w:rsidRPr="00520861">
        <w:rPr>
          <w:rFonts w:eastAsia="Calibri"/>
          <w:sz w:val="28"/>
          <w:szCs w:val="28"/>
          <w:lang w:eastAsia="en-US"/>
        </w:rPr>
        <w:t xml:space="preserve">Показники </w:t>
      </w:r>
      <w:proofErr w:type="spellStart"/>
      <w:r w:rsidRPr="00520861">
        <w:rPr>
          <w:rFonts w:eastAsia="Calibri"/>
          <w:sz w:val="28"/>
          <w:szCs w:val="28"/>
          <w:lang w:eastAsia="en-US"/>
        </w:rPr>
        <w:t>оксидативного</w:t>
      </w:r>
      <w:proofErr w:type="spellEnd"/>
      <w:r w:rsidRPr="00520861">
        <w:rPr>
          <w:rFonts w:eastAsia="Calibri"/>
          <w:sz w:val="28"/>
          <w:szCs w:val="28"/>
          <w:lang w:eastAsia="en-US"/>
        </w:rPr>
        <w:t xml:space="preserve"> стресу аналізуються за рівнем продуктів, що вступають у реакцію з </w:t>
      </w:r>
      <w:proofErr w:type="spellStart"/>
      <w:r w:rsidRPr="00520861">
        <w:rPr>
          <w:rFonts w:eastAsia="Calibri"/>
          <w:sz w:val="28"/>
          <w:szCs w:val="28"/>
          <w:lang w:eastAsia="en-US"/>
        </w:rPr>
        <w:t>тіобарбітуровою</w:t>
      </w:r>
      <w:proofErr w:type="spellEnd"/>
      <w:r w:rsidRPr="00520861">
        <w:rPr>
          <w:rFonts w:eastAsia="Calibri"/>
          <w:sz w:val="28"/>
          <w:szCs w:val="28"/>
          <w:lang w:eastAsia="en-US"/>
        </w:rPr>
        <w:t xml:space="preserve"> кислотою – ТБК-активних продуктів (моль/м</w:t>
      </w:r>
      <w:r w:rsidRPr="00520861">
        <w:rPr>
          <w:rFonts w:eastAsia="Calibri"/>
          <w:sz w:val="28"/>
          <w:szCs w:val="28"/>
          <w:vertAlign w:val="superscript"/>
          <w:lang w:eastAsia="en-US"/>
        </w:rPr>
        <w:t>3</w:t>
      </w:r>
      <w:r w:rsidRPr="00520861">
        <w:rPr>
          <w:rFonts w:eastAsia="Calibri"/>
          <w:sz w:val="28"/>
          <w:szCs w:val="28"/>
          <w:lang w:eastAsia="en-US"/>
        </w:rPr>
        <w:t xml:space="preserve">). Уміст цих продуктів визначали в реакції з 2-тіобарбітуровою кислотою [141]. </w:t>
      </w:r>
      <w:r w:rsidRPr="00520861">
        <w:rPr>
          <w:rFonts w:eastAsia="Calibri"/>
          <w:color w:val="000000"/>
          <w:sz w:val="28"/>
          <w:szCs w:val="28"/>
          <w:shd w:val="clear" w:color="auto" w:fill="FFFFFF"/>
          <w:lang w:eastAsia="en-US"/>
        </w:rPr>
        <w:t xml:space="preserve">Визначення проводилося на спектрофотометрі «СФ-46», виробник «ЛОМО» (РФ) при </w:t>
      </w:r>
      <w:r w:rsidRPr="00520861">
        <w:rPr>
          <w:rFonts w:eastAsia="Calibri"/>
          <w:color w:val="000000"/>
          <w:sz w:val="28"/>
          <w:szCs w:val="28"/>
          <w:shd w:val="clear" w:color="auto" w:fill="FFFFFF"/>
          <w:lang w:eastAsia="en-US"/>
        </w:rPr>
        <w:br/>
        <w:t>довжині хвилі (4,9 – 5,4) </w:t>
      </w:r>
      <w:r w:rsidRPr="00520861">
        <w:rPr>
          <w:sz w:val="28"/>
          <w:szCs w:val="28"/>
        </w:rPr>
        <w:t>× 10</w:t>
      </w:r>
      <w:r w:rsidRPr="00520861">
        <w:rPr>
          <w:sz w:val="28"/>
          <w:szCs w:val="28"/>
          <w:vertAlign w:val="superscript"/>
        </w:rPr>
        <w:t>–7</w:t>
      </w:r>
      <w:r w:rsidRPr="00520861">
        <w:rPr>
          <w:sz w:val="28"/>
          <w:szCs w:val="28"/>
        </w:rPr>
        <w:t xml:space="preserve"> м.</w:t>
      </w:r>
    </w:p>
    <w:p w14:paraId="64A53C1B" w14:textId="77777777" w:rsidR="00CF641C" w:rsidRPr="00520861" w:rsidRDefault="00CF641C" w:rsidP="00292D2E">
      <w:pPr>
        <w:widowControl w:val="0"/>
        <w:spacing w:line="360" w:lineRule="auto"/>
        <w:ind w:firstLine="709"/>
        <w:jc w:val="both"/>
        <w:rPr>
          <w:rFonts w:eastAsia="Calibri"/>
          <w:color w:val="000000"/>
          <w:sz w:val="28"/>
          <w:szCs w:val="28"/>
          <w:shd w:val="clear" w:color="auto" w:fill="FFFFFF"/>
          <w:lang w:eastAsia="en-US"/>
        </w:rPr>
      </w:pPr>
      <w:r w:rsidRPr="00520861">
        <w:rPr>
          <w:rFonts w:eastAsia="Calibri"/>
          <w:color w:val="000000"/>
          <w:sz w:val="28"/>
          <w:szCs w:val="28"/>
          <w:shd w:val="clear" w:color="auto" w:fill="FFFFFF"/>
          <w:lang w:eastAsia="en-US"/>
        </w:rPr>
        <w:t xml:space="preserve">З метою оцінювання стану адаптивних механізмів визначалася </w:t>
      </w:r>
      <w:r w:rsidRPr="00520861">
        <w:rPr>
          <w:rFonts w:eastAsia="Calibri"/>
          <w:sz w:val="28"/>
          <w:szCs w:val="28"/>
          <w:lang w:eastAsia="en-US"/>
        </w:rPr>
        <w:t xml:space="preserve">активність </w:t>
      </w:r>
      <w:r w:rsidRPr="00520861">
        <w:rPr>
          <w:rFonts w:eastAsia="Calibri"/>
          <w:sz w:val="28"/>
          <w:szCs w:val="28"/>
          <w:lang w:eastAsia="en-US"/>
        </w:rPr>
        <w:br/>
        <w:t xml:space="preserve">ферментів </w:t>
      </w:r>
      <w:proofErr w:type="spellStart"/>
      <w:r w:rsidRPr="00520861">
        <w:rPr>
          <w:rFonts w:eastAsia="Calibri"/>
          <w:sz w:val="28"/>
          <w:szCs w:val="28"/>
          <w:lang w:eastAsia="en-US"/>
        </w:rPr>
        <w:t>трансамінування</w:t>
      </w:r>
      <w:proofErr w:type="spellEnd"/>
      <w:r w:rsidRPr="00520861">
        <w:rPr>
          <w:rFonts w:eastAsia="Calibri"/>
          <w:sz w:val="28"/>
          <w:szCs w:val="28"/>
          <w:lang w:eastAsia="en-US"/>
        </w:rPr>
        <w:t xml:space="preserve"> –</w:t>
      </w:r>
      <w:r w:rsidRPr="00520861">
        <w:rPr>
          <w:color w:val="000000"/>
          <w:sz w:val="28"/>
          <w:szCs w:val="28"/>
        </w:rPr>
        <w:t xml:space="preserve"> </w:t>
      </w:r>
      <w:proofErr w:type="spellStart"/>
      <w:r w:rsidRPr="00520861">
        <w:rPr>
          <w:color w:val="000000"/>
          <w:sz w:val="28"/>
          <w:szCs w:val="28"/>
        </w:rPr>
        <w:t>АлАт</w:t>
      </w:r>
      <w:proofErr w:type="spellEnd"/>
      <w:r w:rsidRPr="00520861">
        <w:rPr>
          <w:rFonts w:eastAsia="Calibri"/>
          <w:sz w:val="28"/>
          <w:szCs w:val="28"/>
          <w:lang w:eastAsia="en-US"/>
        </w:rPr>
        <w:t xml:space="preserve"> </w:t>
      </w:r>
      <w:r w:rsidRPr="00520861">
        <w:rPr>
          <w:color w:val="000000"/>
          <w:sz w:val="28"/>
          <w:szCs w:val="28"/>
        </w:rPr>
        <w:t xml:space="preserve">та </w:t>
      </w:r>
      <w:proofErr w:type="spellStart"/>
      <w:r w:rsidRPr="00520861">
        <w:rPr>
          <w:color w:val="000000"/>
          <w:sz w:val="28"/>
          <w:szCs w:val="28"/>
        </w:rPr>
        <w:t>АсАт</w:t>
      </w:r>
      <w:proofErr w:type="spellEnd"/>
      <w:r w:rsidRPr="00520861">
        <w:rPr>
          <w:color w:val="000000"/>
          <w:sz w:val="28"/>
          <w:szCs w:val="28"/>
        </w:rPr>
        <w:t>. Визначення</w:t>
      </w:r>
      <w:r w:rsidRPr="00520861">
        <w:rPr>
          <w:sz w:val="28"/>
          <w:szCs w:val="28"/>
        </w:rPr>
        <w:t xml:space="preserve"> проводили </w:t>
      </w:r>
      <w:r w:rsidRPr="00520861">
        <w:rPr>
          <w:rFonts w:eastAsia="Calibri"/>
          <w:sz w:val="28"/>
          <w:szCs w:val="28"/>
          <w:lang w:eastAsia="en-US"/>
        </w:rPr>
        <w:t>з використанням наборів «</w:t>
      </w:r>
      <w:r w:rsidRPr="00520861">
        <w:rPr>
          <w:sz w:val="28"/>
          <w:szCs w:val="28"/>
        </w:rPr>
        <w:t xml:space="preserve">АЛТ-кін. </w:t>
      </w:r>
      <w:proofErr w:type="spellStart"/>
      <w:r w:rsidRPr="00520861">
        <w:rPr>
          <w:sz w:val="28"/>
          <w:szCs w:val="28"/>
        </w:rPr>
        <w:t>СпЛ</w:t>
      </w:r>
      <w:proofErr w:type="spellEnd"/>
      <w:r w:rsidRPr="00520861">
        <w:rPr>
          <w:rFonts w:eastAsia="Calibri"/>
          <w:sz w:val="28"/>
          <w:szCs w:val="28"/>
          <w:lang w:eastAsia="en-US"/>
        </w:rPr>
        <w:t>» та «</w:t>
      </w:r>
      <w:r w:rsidRPr="00520861">
        <w:rPr>
          <w:sz w:val="28"/>
          <w:szCs w:val="28"/>
        </w:rPr>
        <w:t xml:space="preserve">АСТ-кін. </w:t>
      </w:r>
      <w:proofErr w:type="spellStart"/>
      <w:r w:rsidRPr="00520861">
        <w:rPr>
          <w:sz w:val="28"/>
          <w:szCs w:val="28"/>
        </w:rPr>
        <w:t>СпЛ</w:t>
      </w:r>
      <w:proofErr w:type="spellEnd"/>
      <w:r w:rsidRPr="00520861">
        <w:rPr>
          <w:rFonts w:eastAsia="Calibri"/>
          <w:sz w:val="28"/>
          <w:szCs w:val="28"/>
          <w:lang w:eastAsia="en-US"/>
        </w:rPr>
        <w:t>» ТОВ «</w:t>
      </w:r>
      <w:proofErr w:type="spellStart"/>
      <w:r w:rsidRPr="00520861">
        <w:rPr>
          <w:rFonts w:eastAsia="Calibri"/>
          <w:sz w:val="28"/>
          <w:szCs w:val="28"/>
          <w:lang w:eastAsia="en-US"/>
        </w:rPr>
        <w:t>СпайнЛаб</w:t>
      </w:r>
      <w:proofErr w:type="spellEnd"/>
      <w:r w:rsidRPr="00520861">
        <w:rPr>
          <w:rFonts w:eastAsia="Calibri"/>
          <w:sz w:val="28"/>
          <w:szCs w:val="28"/>
          <w:lang w:eastAsia="en-US"/>
        </w:rPr>
        <w:t>» (м. Харків, Україна) згідно з рекомендаціями виробника та фіксували в од./м</w:t>
      </w:r>
      <w:r w:rsidRPr="00520861">
        <w:rPr>
          <w:rFonts w:eastAsia="Calibri"/>
          <w:sz w:val="28"/>
          <w:szCs w:val="28"/>
          <w:vertAlign w:val="superscript"/>
          <w:lang w:eastAsia="en-US"/>
        </w:rPr>
        <w:t>3</w:t>
      </w:r>
      <w:r w:rsidRPr="00520861">
        <w:rPr>
          <w:rFonts w:eastAsia="Calibri"/>
          <w:sz w:val="28"/>
          <w:szCs w:val="28"/>
          <w:lang w:eastAsia="en-US"/>
        </w:rPr>
        <w:t>.</w:t>
      </w:r>
      <w:r w:rsidRPr="00520861">
        <w:rPr>
          <w:rFonts w:eastAsia="Calibri"/>
          <w:color w:val="000000"/>
          <w:sz w:val="28"/>
          <w:szCs w:val="28"/>
          <w:shd w:val="clear" w:color="auto" w:fill="FFFFFF"/>
          <w:lang w:eastAsia="en-US"/>
        </w:rPr>
        <w:t xml:space="preserve"> Визначення проводилося на спектрофотометрі «СФ-46», виробник «ЛОМО» (РФ) при довжині хвилі </w:t>
      </w:r>
      <w:r w:rsidRPr="00520861">
        <w:rPr>
          <w:rFonts w:eastAsia="Calibri"/>
          <w:color w:val="000000"/>
          <w:sz w:val="28"/>
          <w:szCs w:val="28"/>
          <w:shd w:val="clear" w:color="auto" w:fill="FFFFFF"/>
          <w:lang w:eastAsia="en-US"/>
        </w:rPr>
        <w:br/>
        <w:t>(3,4 – 3,9) </w:t>
      </w:r>
      <w:r w:rsidRPr="00520861">
        <w:rPr>
          <w:sz w:val="28"/>
          <w:szCs w:val="28"/>
        </w:rPr>
        <w:t>× 10</w:t>
      </w:r>
      <w:r w:rsidRPr="00520861">
        <w:rPr>
          <w:sz w:val="28"/>
          <w:szCs w:val="28"/>
          <w:vertAlign w:val="superscript"/>
        </w:rPr>
        <w:t>–7</w:t>
      </w:r>
      <w:r w:rsidRPr="00520861">
        <w:rPr>
          <w:sz w:val="28"/>
          <w:szCs w:val="28"/>
        </w:rPr>
        <w:t xml:space="preserve"> м</w:t>
      </w:r>
      <w:r w:rsidRPr="00520861">
        <w:rPr>
          <w:rFonts w:eastAsia="Calibri"/>
          <w:color w:val="000000"/>
          <w:sz w:val="28"/>
          <w:szCs w:val="28"/>
          <w:shd w:val="clear" w:color="auto" w:fill="FFFFFF"/>
          <w:lang w:eastAsia="en-US"/>
        </w:rPr>
        <w:t>.</w:t>
      </w:r>
    </w:p>
    <w:p w14:paraId="31FFD04B" w14:textId="77777777" w:rsidR="00CF641C" w:rsidRPr="00520861" w:rsidRDefault="00CF641C" w:rsidP="00292D2E">
      <w:pPr>
        <w:widowControl w:val="0"/>
        <w:spacing w:line="360" w:lineRule="auto"/>
        <w:ind w:firstLine="708"/>
        <w:jc w:val="both"/>
        <w:rPr>
          <w:sz w:val="28"/>
          <w:szCs w:val="28"/>
        </w:rPr>
      </w:pPr>
      <w:r w:rsidRPr="00520861">
        <w:rPr>
          <w:sz w:val="28"/>
          <w:szCs w:val="28"/>
        </w:rPr>
        <w:t>Для оцінювання стану системного гуморального імунітету проводилося визначення імунологічних показників. Рівень</w:t>
      </w:r>
      <w:r w:rsidRPr="00520861">
        <w:rPr>
          <w:rFonts w:eastAsia="Calibri"/>
          <w:sz w:val="28"/>
          <w:szCs w:val="28"/>
          <w:lang w:eastAsia="en-US"/>
        </w:rPr>
        <w:t xml:space="preserve"> </w:t>
      </w:r>
      <w:proofErr w:type="spellStart"/>
      <w:r w:rsidRPr="00520861">
        <w:rPr>
          <w:rFonts w:eastAsia="Calibri"/>
          <w:sz w:val="28"/>
          <w:szCs w:val="28"/>
          <w:lang w:eastAsia="en-US"/>
        </w:rPr>
        <w:t>імуноглобулінів</w:t>
      </w:r>
      <w:proofErr w:type="spellEnd"/>
      <w:r w:rsidRPr="00520861">
        <w:rPr>
          <w:rFonts w:eastAsia="Calibri"/>
          <w:sz w:val="28"/>
          <w:szCs w:val="28"/>
          <w:lang w:eastAsia="en-US"/>
        </w:rPr>
        <w:t xml:space="preserve"> M (кг/</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 та G (кг/</w:t>
      </w:r>
      <w:r w:rsidRPr="00520861">
        <w:rPr>
          <w:rFonts w:eastAsia="FreeSetC"/>
          <w:sz w:val="28"/>
          <w:szCs w:val="28"/>
          <w:lang w:eastAsia="en-US"/>
        </w:rPr>
        <w:t>м</w:t>
      </w:r>
      <w:r w:rsidRPr="00520861">
        <w:rPr>
          <w:rFonts w:eastAsia="FreeSetC"/>
          <w:sz w:val="28"/>
          <w:szCs w:val="28"/>
          <w:vertAlign w:val="superscript"/>
          <w:lang w:eastAsia="en-US"/>
        </w:rPr>
        <w:t>3</w:t>
      </w:r>
      <w:r w:rsidRPr="00520861">
        <w:rPr>
          <w:rFonts w:eastAsia="Calibri"/>
          <w:sz w:val="28"/>
          <w:szCs w:val="28"/>
          <w:lang w:eastAsia="en-US"/>
        </w:rPr>
        <w:t xml:space="preserve">) </w:t>
      </w:r>
      <w:r w:rsidRPr="00520861">
        <w:rPr>
          <w:sz w:val="28"/>
          <w:szCs w:val="28"/>
        </w:rPr>
        <w:t xml:space="preserve">визначався </w:t>
      </w:r>
      <w:proofErr w:type="spellStart"/>
      <w:r w:rsidRPr="00520861">
        <w:rPr>
          <w:sz w:val="28"/>
          <w:szCs w:val="28"/>
        </w:rPr>
        <w:t>турбідиметричним</w:t>
      </w:r>
      <w:proofErr w:type="spellEnd"/>
      <w:r w:rsidRPr="00520861">
        <w:rPr>
          <w:sz w:val="28"/>
          <w:szCs w:val="28"/>
        </w:rPr>
        <w:t xml:space="preserve"> методом. Суть цього методу кількісного аналізу </w:t>
      </w:r>
      <w:r w:rsidRPr="00520861">
        <w:rPr>
          <w:sz w:val="28"/>
          <w:szCs w:val="28"/>
        </w:rPr>
        <w:br/>
        <w:t xml:space="preserve">полягає в тому, що фосфатні розчини відомої концентрації осаджують білкові </w:t>
      </w:r>
      <w:r w:rsidRPr="00520861">
        <w:rPr>
          <w:sz w:val="28"/>
          <w:szCs w:val="28"/>
        </w:rPr>
        <w:br/>
      </w:r>
      <w:r w:rsidRPr="00520861">
        <w:rPr>
          <w:sz w:val="28"/>
          <w:szCs w:val="28"/>
        </w:rPr>
        <w:lastRenderedPageBreak/>
        <w:t xml:space="preserve">фракції в пробі РР та проводиться вимірювання інтенсивності світла, яке поглинається суспензією твердої речовини [247]. </w:t>
      </w:r>
      <w:r w:rsidRPr="00520861">
        <w:rPr>
          <w:rFonts w:eastAsia="Calibri"/>
          <w:sz w:val="28"/>
          <w:szCs w:val="28"/>
          <w:lang w:eastAsia="en-US"/>
        </w:rPr>
        <w:t xml:space="preserve">Ступінь помутніння (каламутності) визначали </w:t>
      </w:r>
      <w:proofErr w:type="spellStart"/>
      <w:r w:rsidRPr="00520861">
        <w:rPr>
          <w:rFonts w:eastAsia="Calibri"/>
          <w:sz w:val="28"/>
          <w:szCs w:val="28"/>
          <w:lang w:eastAsia="en-US"/>
        </w:rPr>
        <w:t>нефелометрично</w:t>
      </w:r>
      <w:proofErr w:type="spellEnd"/>
      <w:r w:rsidRPr="00520861">
        <w:rPr>
          <w:rFonts w:eastAsia="Calibri"/>
          <w:sz w:val="28"/>
          <w:szCs w:val="28"/>
          <w:lang w:eastAsia="en-US"/>
        </w:rPr>
        <w:t xml:space="preserve"> (</w:t>
      </w:r>
      <w:proofErr w:type="spellStart"/>
      <w:r w:rsidRPr="00520861">
        <w:rPr>
          <w:sz w:val="28"/>
          <w:szCs w:val="28"/>
        </w:rPr>
        <w:t>турбідиметрично</w:t>
      </w:r>
      <w:proofErr w:type="spellEnd"/>
      <w:r w:rsidRPr="00520861">
        <w:rPr>
          <w:rFonts w:eastAsia="Calibri"/>
          <w:sz w:val="28"/>
          <w:szCs w:val="28"/>
          <w:lang w:eastAsia="en-US"/>
        </w:rPr>
        <w:t xml:space="preserve">) на спектрофотометрі «СФ-46», виробник «ЛОМО» (РФ) </w:t>
      </w:r>
      <w:r w:rsidRPr="00520861">
        <w:rPr>
          <w:sz w:val="28"/>
          <w:szCs w:val="28"/>
        </w:rPr>
        <w:t>при довжині хвилі (5,9 – 6,4) × 10</w:t>
      </w:r>
      <w:r w:rsidRPr="00520861">
        <w:rPr>
          <w:sz w:val="28"/>
          <w:szCs w:val="28"/>
          <w:vertAlign w:val="superscript"/>
        </w:rPr>
        <w:t>–7</w:t>
      </w:r>
      <w:r w:rsidRPr="00520861">
        <w:rPr>
          <w:sz w:val="28"/>
          <w:szCs w:val="28"/>
        </w:rPr>
        <w:t xml:space="preserve"> м.</w:t>
      </w:r>
    </w:p>
    <w:p w14:paraId="3DE6AA15" w14:textId="77777777" w:rsidR="00CF641C" w:rsidRPr="00520861" w:rsidRDefault="00CF641C" w:rsidP="00292D2E">
      <w:pPr>
        <w:widowControl w:val="0"/>
        <w:spacing w:line="360" w:lineRule="auto"/>
        <w:ind w:firstLine="709"/>
        <w:jc w:val="both"/>
        <w:rPr>
          <w:spacing w:val="-2"/>
          <w:sz w:val="28"/>
          <w:szCs w:val="28"/>
        </w:rPr>
      </w:pPr>
      <w:r w:rsidRPr="00520861">
        <w:rPr>
          <w:sz w:val="28"/>
          <w:szCs w:val="28"/>
        </w:rPr>
        <w:t xml:space="preserve">Для оцінювання стану місцевого імунітету визначалася концентрація </w:t>
      </w:r>
      <w:r w:rsidRPr="00520861">
        <w:rPr>
          <w:sz w:val="28"/>
          <w:szCs w:val="28"/>
        </w:rPr>
        <w:br/>
      </w:r>
      <w:r w:rsidRPr="00520861">
        <w:rPr>
          <w:rFonts w:eastAsia="Calibri"/>
          <w:sz w:val="28"/>
          <w:szCs w:val="28"/>
          <w:lang w:eastAsia="en-US"/>
        </w:rPr>
        <w:t>секреторного імуноглобуліну A (</w:t>
      </w:r>
      <w:r w:rsidRPr="00520861">
        <w:rPr>
          <w:rFonts w:eastAsia="FreeSetC"/>
          <w:sz w:val="28"/>
          <w:szCs w:val="28"/>
          <w:lang w:eastAsia="en-US"/>
        </w:rPr>
        <w:t>кг/м</w:t>
      </w:r>
      <w:r w:rsidRPr="00520861">
        <w:rPr>
          <w:rFonts w:eastAsia="FreeSetC"/>
          <w:sz w:val="28"/>
          <w:szCs w:val="28"/>
          <w:vertAlign w:val="superscript"/>
          <w:lang w:eastAsia="en-US"/>
        </w:rPr>
        <w:t>3</w:t>
      </w:r>
      <w:r w:rsidRPr="00520861">
        <w:rPr>
          <w:rFonts w:eastAsia="Calibri"/>
          <w:sz w:val="28"/>
          <w:szCs w:val="28"/>
          <w:lang w:eastAsia="en-US"/>
        </w:rPr>
        <w:t>), яка</w:t>
      </w:r>
      <w:r w:rsidRPr="00520861">
        <w:rPr>
          <w:sz w:val="28"/>
          <w:szCs w:val="28"/>
        </w:rPr>
        <w:t xml:space="preserve"> оцінювалася за допомогою «сендвіч»-варіанта ІФА, у якому в якості </w:t>
      </w:r>
      <w:proofErr w:type="spellStart"/>
      <w:r w:rsidRPr="00520861">
        <w:rPr>
          <w:sz w:val="28"/>
          <w:szCs w:val="28"/>
        </w:rPr>
        <w:t>імуносорбенту</w:t>
      </w:r>
      <w:proofErr w:type="spellEnd"/>
      <w:r w:rsidRPr="00520861">
        <w:rPr>
          <w:sz w:val="28"/>
          <w:szCs w:val="28"/>
        </w:rPr>
        <w:t xml:space="preserve"> виступає антитіло. Суть методу полягає в тому, що секреторний </w:t>
      </w:r>
      <w:proofErr w:type="spellStart"/>
      <w:r w:rsidRPr="00520861">
        <w:rPr>
          <w:sz w:val="28"/>
          <w:szCs w:val="28"/>
        </w:rPr>
        <w:t>IgA</w:t>
      </w:r>
      <w:proofErr w:type="spellEnd"/>
      <w:r w:rsidRPr="00520861">
        <w:rPr>
          <w:sz w:val="28"/>
          <w:szCs w:val="28"/>
        </w:rPr>
        <w:t xml:space="preserve"> із проби РР зв’язується з антитілами на твердій фазі. Комплекс, який утворився, виявляють за допомогою </w:t>
      </w:r>
      <w:proofErr w:type="spellStart"/>
      <w:r w:rsidRPr="00520861">
        <w:rPr>
          <w:sz w:val="28"/>
          <w:szCs w:val="28"/>
        </w:rPr>
        <w:t>коньюгату</w:t>
      </w:r>
      <w:proofErr w:type="spellEnd"/>
      <w:r w:rsidRPr="00520861">
        <w:rPr>
          <w:sz w:val="28"/>
          <w:szCs w:val="28"/>
        </w:rPr>
        <w:t xml:space="preserve"> мишиних </w:t>
      </w:r>
      <w:proofErr w:type="spellStart"/>
      <w:r w:rsidRPr="00520861">
        <w:rPr>
          <w:sz w:val="28"/>
          <w:szCs w:val="28"/>
        </w:rPr>
        <w:t>моноклональних</w:t>
      </w:r>
      <w:proofErr w:type="spellEnd"/>
      <w:r w:rsidRPr="00520861">
        <w:rPr>
          <w:sz w:val="28"/>
          <w:szCs w:val="28"/>
        </w:rPr>
        <w:t xml:space="preserve"> антитіл до альфа-ланцюга </w:t>
      </w:r>
      <w:proofErr w:type="spellStart"/>
      <w:r w:rsidRPr="00520861">
        <w:rPr>
          <w:sz w:val="28"/>
          <w:szCs w:val="28"/>
        </w:rPr>
        <w:t>IgA</w:t>
      </w:r>
      <w:proofErr w:type="spellEnd"/>
      <w:r w:rsidRPr="00520861">
        <w:rPr>
          <w:sz w:val="28"/>
          <w:szCs w:val="28"/>
        </w:rPr>
        <w:t xml:space="preserve"> з </w:t>
      </w:r>
      <w:proofErr w:type="spellStart"/>
      <w:r w:rsidRPr="00520861">
        <w:rPr>
          <w:sz w:val="28"/>
          <w:szCs w:val="28"/>
        </w:rPr>
        <w:t>пероксидазою</w:t>
      </w:r>
      <w:proofErr w:type="spellEnd"/>
      <w:r w:rsidRPr="00520861">
        <w:rPr>
          <w:sz w:val="28"/>
          <w:szCs w:val="28"/>
        </w:rPr>
        <w:t xml:space="preserve"> хрону. Візуалізація утворених імунних комплексів досягається додаванням розчину хромогену 3,3',5,5'-тетраметилбензидину. Визначення проводилося за допомогою наборів реактивів «Секреторний </w:t>
      </w:r>
      <w:proofErr w:type="spellStart"/>
      <w:r w:rsidRPr="00520861">
        <w:rPr>
          <w:sz w:val="28"/>
          <w:szCs w:val="28"/>
        </w:rPr>
        <w:t>IgA</w:t>
      </w:r>
      <w:proofErr w:type="spellEnd"/>
      <w:r w:rsidRPr="00520861">
        <w:rPr>
          <w:sz w:val="28"/>
          <w:szCs w:val="28"/>
        </w:rPr>
        <w:t xml:space="preserve"> - ІФА» фірми «</w:t>
      </w:r>
      <w:proofErr w:type="spellStart"/>
      <w:r w:rsidRPr="00520861">
        <w:rPr>
          <w:sz w:val="28"/>
          <w:szCs w:val="28"/>
        </w:rPr>
        <w:t>Хема</w:t>
      </w:r>
      <w:proofErr w:type="spellEnd"/>
      <w:r w:rsidRPr="00520861">
        <w:rPr>
          <w:sz w:val="28"/>
          <w:szCs w:val="28"/>
        </w:rPr>
        <w:t xml:space="preserve">» (РФ) на </w:t>
      </w:r>
      <w:proofErr w:type="spellStart"/>
      <w:r w:rsidRPr="00520861">
        <w:rPr>
          <w:sz w:val="28"/>
          <w:szCs w:val="28"/>
        </w:rPr>
        <w:t>мікропланшетному</w:t>
      </w:r>
      <w:proofErr w:type="spellEnd"/>
      <w:r w:rsidRPr="00520861">
        <w:rPr>
          <w:sz w:val="28"/>
          <w:szCs w:val="28"/>
        </w:rPr>
        <w:t xml:space="preserve"> аналізаторі </w:t>
      </w:r>
      <w:r w:rsidRPr="00520861">
        <w:rPr>
          <w:spacing w:val="-2"/>
          <w:sz w:val="28"/>
          <w:szCs w:val="28"/>
        </w:rPr>
        <w:t>«</w:t>
      </w:r>
      <w:proofErr w:type="spellStart"/>
      <w:r w:rsidRPr="00520861">
        <w:rPr>
          <w:spacing w:val="-2"/>
          <w:sz w:val="28"/>
          <w:szCs w:val="28"/>
        </w:rPr>
        <w:t>LisaScan</w:t>
      </w:r>
      <w:proofErr w:type="spellEnd"/>
      <w:r w:rsidRPr="00520861">
        <w:rPr>
          <w:spacing w:val="-2"/>
          <w:sz w:val="28"/>
          <w:szCs w:val="28"/>
        </w:rPr>
        <w:t>» фірми «</w:t>
      </w:r>
      <w:proofErr w:type="spellStart"/>
      <w:r w:rsidRPr="00520861">
        <w:rPr>
          <w:spacing w:val="-2"/>
          <w:sz w:val="28"/>
          <w:szCs w:val="28"/>
        </w:rPr>
        <w:t>Erba</w:t>
      </w:r>
      <w:proofErr w:type="spellEnd"/>
      <w:r w:rsidRPr="00520861">
        <w:rPr>
          <w:spacing w:val="-2"/>
          <w:sz w:val="28"/>
          <w:szCs w:val="28"/>
        </w:rPr>
        <w:t xml:space="preserve"> </w:t>
      </w:r>
      <w:proofErr w:type="spellStart"/>
      <w:r w:rsidRPr="00520861">
        <w:rPr>
          <w:spacing w:val="-2"/>
          <w:sz w:val="28"/>
          <w:szCs w:val="28"/>
        </w:rPr>
        <w:t>Lachema</w:t>
      </w:r>
      <w:proofErr w:type="spellEnd"/>
      <w:r w:rsidRPr="00520861">
        <w:rPr>
          <w:spacing w:val="-2"/>
          <w:sz w:val="28"/>
          <w:szCs w:val="28"/>
        </w:rPr>
        <w:t>» (Чеська Республіка) при довжині хвилі 4,5×10</w:t>
      </w:r>
      <w:r w:rsidRPr="00520861">
        <w:rPr>
          <w:spacing w:val="-2"/>
          <w:sz w:val="28"/>
          <w:szCs w:val="28"/>
          <w:vertAlign w:val="superscript"/>
        </w:rPr>
        <w:t>–7</w:t>
      </w:r>
      <w:r w:rsidRPr="00520861">
        <w:rPr>
          <w:spacing w:val="-2"/>
          <w:sz w:val="28"/>
          <w:szCs w:val="28"/>
        </w:rPr>
        <w:t xml:space="preserve"> м.</w:t>
      </w:r>
    </w:p>
    <w:p w14:paraId="5517C37D" w14:textId="77777777" w:rsidR="00CF641C" w:rsidRPr="00520861" w:rsidRDefault="00CF641C" w:rsidP="00292D2E">
      <w:pPr>
        <w:widowControl w:val="0"/>
        <w:spacing w:line="360" w:lineRule="auto"/>
        <w:ind w:firstLine="709"/>
        <w:jc w:val="both"/>
        <w:rPr>
          <w:sz w:val="28"/>
          <w:szCs w:val="28"/>
        </w:rPr>
      </w:pPr>
      <w:r w:rsidRPr="00520861">
        <w:rPr>
          <w:sz w:val="28"/>
          <w:szCs w:val="28"/>
        </w:rPr>
        <w:t xml:space="preserve">Уміст </w:t>
      </w:r>
      <w:r w:rsidRPr="00520861">
        <w:rPr>
          <w:rFonts w:eastAsia="Calibri"/>
          <w:sz w:val="28"/>
          <w:szCs w:val="28"/>
          <w:lang w:eastAsia="en-US"/>
        </w:rPr>
        <w:t>інтерлейкіну-6 (кг/м</w:t>
      </w:r>
      <w:r w:rsidRPr="00520861">
        <w:rPr>
          <w:rFonts w:eastAsia="Calibri"/>
          <w:sz w:val="28"/>
          <w:szCs w:val="28"/>
          <w:vertAlign w:val="superscript"/>
          <w:lang w:eastAsia="en-US"/>
        </w:rPr>
        <w:t>3</w:t>
      </w:r>
      <w:r w:rsidRPr="00520861">
        <w:rPr>
          <w:rFonts w:eastAsia="Calibri"/>
          <w:sz w:val="28"/>
          <w:szCs w:val="28"/>
          <w:lang w:eastAsia="en-US"/>
        </w:rPr>
        <w:t>), інтерлейкіну-1β (кг/м</w:t>
      </w:r>
      <w:r w:rsidRPr="00520861">
        <w:rPr>
          <w:rFonts w:eastAsia="Calibri"/>
          <w:sz w:val="28"/>
          <w:szCs w:val="28"/>
          <w:vertAlign w:val="superscript"/>
          <w:lang w:eastAsia="en-US"/>
        </w:rPr>
        <w:t>3</w:t>
      </w:r>
      <w:r w:rsidRPr="00520861">
        <w:rPr>
          <w:rFonts w:eastAsia="Calibri"/>
          <w:sz w:val="28"/>
          <w:szCs w:val="28"/>
          <w:lang w:eastAsia="en-US"/>
        </w:rPr>
        <w:t>) та інтерлейкіну-10 (кг/м</w:t>
      </w:r>
      <w:r w:rsidRPr="00520861">
        <w:rPr>
          <w:rFonts w:eastAsia="Calibri"/>
          <w:sz w:val="28"/>
          <w:szCs w:val="28"/>
          <w:vertAlign w:val="superscript"/>
          <w:lang w:eastAsia="en-US"/>
        </w:rPr>
        <w:t>3</w:t>
      </w:r>
      <w:r w:rsidRPr="00520861">
        <w:rPr>
          <w:rFonts w:eastAsia="Calibri"/>
          <w:sz w:val="28"/>
          <w:szCs w:val="28"/>
          <w:lang w:eastAsia="en-US"/>
        </w:rPr>
        <w:t xml:space="preserve">) </w:t>
      </w:r>
      <w:r w:rsidRPr="00520861">
        <w:rPr>
          <w:sz w:val="28"/>
          <w:szCs w:val="28"/>
        </w:rPr>
        <w:t xml:space="preserve">визначали ІФМ за допомогою стандартних наборів реактивів («Вектор </w:t>
      </w:r>
      <w:proofErr w:type="spellStart"/>
      <w:r w:rsidRPr="00520861">
        <w:rPr>
          <w:sz w:val="28"/>
          <w:szCs w:val="28"/>
        </w:rPr>
        <w:t>Бест</w:t>
      </w:r>
      <w:proofErr w:type="spellEnd"/>
      <w:r w:rsidRPr="00520861">
        <w:rPr>
          <w:sz w:val="28"/>
          <w:szCs w:val="28"/>
        </w:rPr>
        <w:t xml:space="preserve">», РФ) на </w:t>
      </w:r>
      <w:proofErr w:type="spellStart"/>
      <w:r w:rsidRPr="00520861">
        <w:rPr>
          <w:sz w:val="28"/>
          <w:szCs w:val="28"/>
        </w:rPr>
        <w:t>мікропланшетному</w:t>
      </w:r>
      <w:proofErr w:type="spellEnd"/>
      <w:r w:rsidRPr="00520861">
        <w:rPr>
          <w:sz w:val="28"/>
          <w:szCs w:val="28"/>
        </w:rPr>
        <w:t xml:space="preserve"> аналізаторі «</w:t>
      </w:r>
      <w:proofErr w:type="spellStart"/>
      <w:r w:rsidRPr="00520861">
        <w:rPr>
          <w:sz w:val="28"/>
          <w:szCs w:val="28"/>
        </w:rPr>
        <w:t>LisaScan</w:t>
      </w:r>
      <w:proofErr w:type="spellEnd"/>
      <w:r w:rsidRPr="00520861">
        <w:rPr>
          <w:sz w:val="28"/>
          <w:szCs w:val="28"/>
        </w:rPr>
        <w:t>» («</w:t>
      </w:r>
      <w:proofErr w:type="spellStart"/>
      <w:r w:rsidRPr="00520861">
        <w:rPr>
          <w:sz w:val="28"/>
          <w:szCs w:val="28"/>
        </w:rPr>
        <w:t>Erba</w:t>
      </w:r>
      <w:proofErr w:type="spellEnd"/>
      <w:r w:rsidRPr="00520861">
        <w:rPr>
          <w:sz w:val="28"/>
          <w:szCs w:val="28"/>
        </w:rPr>
        <w:t xml:space="preserve"> </w:t>
      </w:r>
      <w:proofErr w:type="spellStart"/>
      <w:r w:rsidRPr="00520861">
        <w:rPr>
          <w:sz w:val="28"/>
          <w:szCs w:val="28"/>
        </w:rPr>
        <w:t>Lachema</w:t>
      </w:r>
      <w:proofErr w:type="spellEnd"/>
      <w:r w:rsidRPr="00520861">
        <w:rPr>
          <w:sz w:val="28"/>
          <w:szCs w:val="28"/>
        </w:rPr>
        <w:t>», Чеська Республіка) при довжині хвилі 4,5×10</w:t>
      </w:r>
      <w:r w:rsidRPr="00520861">
        <w:rPr>
          <w:sz w:val="28"/>
          <w:szCs w:val="28"/>
          <w:vertAlign w:val="superscript"/>
        </w:rPr>
        <w:t>–7</w:t>
      </w:r>
      <w:r w:rsidRPr="00520861">
        <w:rPr>
          <w:sz w:val="28"/>
          <w:szCs w:val="28"/>
        </w:rPr>
        <w:t xml:space="preserve"> м.</w:t>
      </w:r>
    </w:p>
    <w:p w14:paraId="0BB386C7" w14:textId="77777777" w:rsidR="00CF641C" w:rsidRPr="00520861" w:rsidRDefault="00CF641C" w:rsidP="00292D2E">
      <w:pPr>
        <w:widowControl w:val="0"/>
        <w:spacing w:line="360" w:lineRule="auto"/>
        <w:ind w:right="-1" w:firstLine="709"/>
        <w:jc w:val="both"/>
        <w:rPr>
          <w:sz w:val="28"/>
          <w:szCs w:val="28"/>
        </w:rPr>
      </w:pPr>
      <w:r w:rsidRPr="00520861">
        <w:rPr>
          <w:sz w:val="28"/>
          <w:szCs w:val="28"/>
        </w:rPr>
        <w:t xml:space="preserve">З метою оцінки балансу анаболізму та катаболізму </w:t>
      </w:r>
      <w:proofErr w:type="spellStart"/>
      <w:r w:rsidRPr="00520861">
        <w:rPr>
          <w:sz w:val="28"/>
          <w:szCs w:val="28"/>
        </w:rPr>
        <w:t>нітрогеновмісних</w:t>
      </w:r>
      <w:proofErr w:type="spellEnd"/>
      <w:r w:rsidRPr="00520861">
        <w:rPr>
          <w:sz w:val="28"/>
          <w:szCs w:val="28"/>
        </w:rPr>
        <w:t xml:space="preserve"> </w:t>
      </w:r>
      <w:proofErr w:type="spellStart"/>
      <w:r w:rsidRPr="00520861">
        <w:rPr>
          <w:sz w:val="28"/>
          <w:szCs w:val="28"/>
        </w:rPr>
        <w:t>сполук</w:t>
      </w:r>
      <w:proofErr w:type="spellEnd"/>
      <w:r w:rsidRPr="00520861">
        <w:rPr>
          <w:sz w:val="28"/>
          <w:szCs w:val="28"/>
        </w:rPr>
        <w:t xml:space="preserve"> визначався вміст сумарного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(кг/м</w:t>
      </w:r>
      <w:r w:rsidRPr="00520861">
        <w:rPr>
          <w:rFonts w:eastAsia="Calibri"/>
          <w:sz w:val="28"/>
          <w:szCs w:val="28"/>
          <w:vertAlign w:val="superscript"/>
          <w:lang w:eastAsia="en-US"/>
        </w:rPr>
        <w:t>3</w:t>
      </w:r>
      <w:r w:rsidRPr="00520861">
        <w:rPr>
          <w:rFonts w:eastAsia="Calibri"/>
          <w:sz w:val="28"/>
          <w:szCs w:val="28"/>
          <w:lang w:eastAsia="en-US"/>
        </w:rPr>
        <w:t xml:space="preserve">). Визначення проводилося </w:t>
      </w:r>
      <w:r w:rsidRPr="00520861">
        <w:rPr>
          <w:sz w:val="28"/>
          <w:szCs w:val="28"/>
        </w:rPr>
        <w:t xml:space="preserve">за методом </w:t>
      </w:r>
      <w:proofErr w:type="spellStart"/>
      <w:r w:rsidRPr="00520861">
        <w:rPr>
          <w:sz w:val="28"/>
          <w:szCs w:val="28"/>
        </w:rPr>
        <w:t>Крель</w:t>
      </w:r>
      <w:proofErr w:type="spellEnd"/>
      <w:r w:rsidRPr="00520861">
        <w:rPr>
          <w:sz w:val="28"/>
          <w:szCs w:val="28"/>
        </w:rPr>
        <w:t> – </w:t>
      </w:r>
      <w:proofErr w:type="spellStart"/>
      <w:r w:rsidRPr="00520861">
        <w:rPr>
          <w:sz w:val="28"/>
          <w:szCs w:val="28"/>
        </w:rPr>
        <w:t>Фурцевої</w:t>
      </w:r>
      <w:proofErr w:type="spellEnd"/>
      <w:r w:rsidRPr="00520861">
        <w:rPr>
          <w:sz w:val="28"/>
          <w:szCs w:val="28"/>
        </w:rPr>
        <w:t xml:space="preserve">, який базується на проведенні кольорової реакції </w:t>
      </w:r>
      <w:r w:rsidRPr="00520861">
        <w:rPr>
          <w:sz w:val="28"/>
          <w:szCs w:val="28"/>
        </w:rPr>
        <w:br/>
        <w:t xml:space="preserve">окислювальної поліконденсації </w:t>
      </w:r>
      <w:proofErr w:type="spellStart"/>
      <w:r w:rsidRPr="00520861">
        <w:rPr>
          <w:sz w:val="28"/>
          <w:szCs w:val="28"/>
        </w:rPr>
        <w:t>гідроксипроліну</w:t>
      </w:r>
      <w:proofErr w:type="spellEnd"/>
      <w:r w:rsidRPr="00520861">
        <w:rPr>
          <w:sz w:val="28"/>
          <w:szCs w:val="28"/>
        </w:rPr>
        <w:t xml:space="preserve"> пара-</w:t>
      </w:r>
      <w:proofErr w:type="spellStart"/>
      <w:r w:rsidRPr="00520861">
        <w:rPr>
          <w:sz w:val="28"/>
          <w:szCs w:val="28"/>
        </w:rPr>
        <w:t>диметиламінобензальдегіду</w:t>
      </w:r>
      <w:proofErr w:type="spellEnd"/>
      <w:r w:rsidRPr="00520861">
        <w:rPr>
          <w:sz w:val="28"/>
          <w:szCs w:val="28"/>
        </w:rPr>
        <w:t xml:space="preserve"> в кислому середовищі в присутності </w:t>
      </w:r>
      <w:proofErr w:type="spellStart"/>
      <w:r w:rsidRPr="00520861">
        <w:rPr>
          <w:sz w:val="28"/>
          <w:szCs w:val="28"/>
        </w:rPr>
        <w:t>окислювача</w:t>
      </w:r>
      <w:proofErr w:type="spellEnd"/>
      <w:r w:rsidRPr="00520861">
        <w:rPr>
          <w:sz w:val="28"/>
          <w:szCs w:val="28"/>
        </w:rPr>
        <w:t xml:space="preserve"> хлораміну з подальшим </w:t>
      </w:r>
      <w:r w:rsidRPr="00520861">
        <w:rPr>
          <w:sz w:val="28"/>
          <w:szCs w:val="28"/>
        </w:rPr>
        <w:br/>
      </w:r>
      <w:proofErr w:type="spellStart"/>
      <w:r w:rsidRPr="00520861">
        <w:rPr>
          <w:sz w:val="28"/>
          <w:szCs w:val="28"/>
        </w:rPr>
        <w:t>фотоколориметруванням</w:t>
      </w:r>
      <w:proofErr w:type="spellEnd"/>
      <w:r w:rsidRPr="00520861">
        <w:rPr>
          <w:sz w:val="28"/>
          <w:szCs w:val="28"/>
        </w:rPr>
        <w:t>. Визначення проводилося на колориметрі фотоелектричному КФК-2МП, виробник ВО «ЗОМЗ» (РФ) при довжині хвилі 5,4×10</w:t>
      </w:r>
      <w:r w:rsidRPr="00520861">
        <w:rPr>
          <w:sz w:val="28"/>
          <w:szCs w:val="28"/>
          <w:vertAlign w:val="superscript"/>
        </w:rPr>
        <w:t>–7</w:t>
      </w:r>
      <w:r w:rsidRPr="00520861">
        <w:rPr>
          <w:sz w:val="28"/>
          <w:szCs w:val="28"/>
        </w:rPr>
        <w:t xml:space="preserve"> м [117].</w:t>
      </w:r>
    </w:p>
    <w:p w14:paraId="01463725"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Через різну кількість отриманої РР, а також через те, що різні набори розраховані на різну кількість визначень, загальна кількість осіб</w:t>
      </w:r>
      <w:r w:rsidRPr="00520861">
        <w:rPr>
          <w:rFonts w:eastAsia="Calibri"/>
          <w:i/>
          <w:sz w:val="28"/>
          <w:szCs w:val="28"/>
          <w:lang w:eastAsia="en-US"/>
        </w:rPr>
        <w:t xml:space="preserve"> n</w:t>
      </w:r>
      <w:r w:rsidRPr="00520861">
        <w:rPr>
          <w:rFonts w:eastAsia="Calibri"/>
          <w:sz w:val="28"/>
          <w:szCs w:val="28"/>
          <w:lang w:eastAsia="en-US"/>
        </w:rPr>
        <w:t xml:space="preserve">, обстежених тим чи </w:t>
      </w:r>
      <w:r w:rsidRPr="00520861">
        <w:rPr>
          <w:rFonts w:eastAsia="Calibri"/>
          <w:sz w:val="28"/>
          <w:szCs w:val="28"/>
          <w:lang w:eastAsia="en-US"/>
        </w:rPr>
        <w:br/>
        <w:t xml:space="preserve">іншим методом, змінювалась. </w:t>
      </w:r>
    </w:p>
    <w:p w14:paraId="7DBE386A" w14:textId="77777777" w:rsidR="00CF641C" w:rsidRPr="00520861" w:rsidRDefault="00CF641C" w:rsidP="00292D2E">
      <w:pPr>
        <w:widowControl w:val="0"/>
        <w:spacing w:line="360" w:lineRule="auto"/>
        <w:ind w:firstLine="708"/>
        <w:jc w:val="both"/>
        <w:rPr>
          <w:rFonts w:eastAsia="Calibri"/>
          <w:b/>
          <w:sz w:val="28"/>
          <w:szCs w:val="28"/>
          <w:lang w:eastAsia="en-US"/>
        </w:rPr>
      </w:pPr>
      <w:r w:rsidRPr="00520861">
        <w:rPr>
          <w:rFonts w:eastAsia="Calibri"/>
          <w:sz w:val="28"/>
          <w:szCs w:val="28"/>
          <w:lang w:eastAsia="en-US"/>
        </w:rPr>
        <w:t xml:space="preserve">Конкретні значення </w:t>
      </w:r>
      <w:r w:rsidRPr="00520861">
        <w:rPr>
          <w:rFonts w:eastAsia="Calibri"/>
          <w:i/>
          <w:sz w:val="28"/>
          <w:szCs w:val="28"/>
          <w:lang w:eastAsia="en-US"/>
        </w:rPr>
        <w:t>n</w:t>
      </w:r>
      <w:r w:rsidRPr="00520861">
        <w:rPr>
          <w:rFonts w:eastAsia="Calibri"/>
          <w:sz w:val="28"/>
          <w:szCs w:val="28"/>
          <w:lang w:eastAsia="en-US"/>
        </w:rPr>
        <w:t xml:space="preserve"> указані в таблицях поряд із визначеними біохімічними показниками.</w:t>
      </w:r>
    </w:p>
    <w:p w14:paraId="058740A2" w14:textId="77777777" w:rsidR="00CF641C" w:rsidRPr="00520861" w:rsidRDefault="00CF641C" w:rsidP="00292D2E">
      <w:pPr>
        <w:widowControl w:val="0"/>
        <w:tabs>
          <w:tab w:val="left" w:pos="5820"/>
        </w:tabs>
        <w:spacing w:after="160" w:line="256" w:lineRule="auto"/>
        <w:ind w:left="709"/>
        <w:rPr>
          <w:rFonts w:eastAsia="Calibri"/>
          <w:i/>
          <w:sz w:val="28"/>
          <w:szCs w:val="28"/>
          <w:lang w:eastAsia="en-US"/>
        </w:rPr>
      </w:pPr>
      <w:r w:rsidRPr="00520861">
        <w:rPr>
          <w:rFonts w:eastAsia="Calibri"/>
          <w:b/>
          <w:sz w:val="28"/>
          <w:szCs w:val="28"/>
        </w:rPr>
        <w:lastRenderedPageBreak/>
        <w:t>2.8. Характеристика методів молекулярно-генетичного дослідження</w:t>
      </w:r>
    </w:p>
    <w:p w14:paraId="30C74B1D" w14:textId="77777777" w:rsidR="00CF641C" w:rsidRPr="00520861" w:rsidRDefault="00CF641C" w:rsidP="00292D2E">
      <w:pPr>
        <w:widowControl w:val="0"/>
        <w:spacing w:line="360" w:lineRule="auto"/>
        <w:ind w:firstLine="709"/>
        <w:jc w:val="both"/>
        <w:rPr>
          <w:rFonts w:eastAsia="Calibri"/>
          <w:bCs/>
          <w:sz w:val="28"/>
          <w:szCs w:val="28"/>
          <w:lang w:eastAsia="en-US"/>
        </w:rPr>
      </w:pPr>
    </w:p>
    <w:p w14:paraId="68995D37" w14:textId="77777777" w:rsidR="00CF641C" w:rsidRPr="00520861" w:rsidRDefault="00CF641C" w:rsidP="00292D2E">
      <w:pPr>
        <w:widowControl w:val="0"/>
        <w:spacing w:line="360" w:lineRule="auto"/>
        <w:ind w:firstLine="709"/>
        <w:jc w:val="both"/>
        <w:rPr>
          <w:rFonts w:eastAsia="Calibri"/>
          <w:color w:val="000000"/>
          <w:sz w:val="28"/>
          <w:szCs w:val="28"/>
          <w:shd w:val="clear" w:color="auto" w:fill="FFFFFF"/>
          <w:lang w:eastAsia="en-US"/>
        </w:rPr>
      </w:pPr>
      <w:r w:rsidRPr="00520861">
        <w:rPr>
          <w:rFonts w:eastAsia="Calibri"/>
          <w:color w:val="000000"/>
          <w:sz w:val="28"/>
          <w:szCs w:val="28"/>
          <w:shd w:val="clear" w:color="auto" w:fill="FFFFFF"/>
          <w:lang w:eastAsia="en-US"/>
        </w:rPr>
        <w:t>Дослідження проводилося на базі</w:t>
      </w:r>
      <w:r w:rsidRPr="00520861">
        <w:rPr>
          <w:rFonts w:eastAsia="Calibri"/>
          <w:sz w:val="28"/>
          <w:szCs w:val="28"/>
          <w:lang w:eastAsia="en-US"/>
        </w:rPr>
        <w:t xml:space="preserve"> </w:t>
      </w:r>
      <w:r w:rsidRPr="00520861">
        <w:rPr>
          <w:rFonts w:eastAsia="Calibri"/>
          <w:color w:val="000000"/>
          <w:sz w:val="28"/>
          <w:szCs w:val="28"/>
          <w:shd w:val="clear" w:color="auto" w:fill="FFFFFF"/>
          <w:lang w:eastAsia="en-US"/>
        </w:rPr>
        <w:t>Університетського стоматологічного центру ХНМУ та приватного підприємства «Медична лабораторія «Аналітика».</w:t>
      </w:r>
    </w:p>
    <w:p w14:paraId="5E9A0455"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 xml:space="preserve">Дослідження складалося з декількох етапів: забір матеріалу, виділення </w:t>
      </w:r>
      <w:r w:rsidRPr="00520861">
        <w:rPr>
          <w:rFonts w:eastAsia="Calibri"/>
          <w:color w:val="000000"/>
          <w:sz w:val="28"/>
          <w:szCs w:val="28"/>
          <w:lang w:eastAsia="en-US"/>
        </w:rPr>
        <w:br/>
        <w:t>нуклеїнових кислот із біологічного матеріалу, ампліфікація та аналіз результатів.</w:t>
      </w:r>
    </w:p>
    <w:p w14:paraId="55A52CA9" w14:textId="77777777" w:rsidR="00CF641C" w:rsidRPr="00520861" w:rsidRDefault="00CF641C" w:rsidP="00292D2E">
      <w:pPr>
        <w:widowControl w:val="0"/>
        <w:spacing w:line="360" w:lineRule="auto"/>
        <w:ind w:firstLine="709"/>
        <w:jc w:val="both"/>
        <w:rPr>
          <w:rFonts w:eastAsia="Calibri"/>
          <w:color w:val="000000"/>
          <w:spacing w:val="-4"/>
          <w:sz w:val="28"/>
          <w:szCs w:val="28"/>
          <w:lang w:eastAsia="en-US"/>
        </w:rPr>
      </w:pPr>
      <w:proofErr w:type="spellStart"/>
      <w:r w:rsidRPr="00520861">
        <w:rPr>
          <w:rFonts w:eastAsia="Calibri"/>
          <w:color w:val="000000"/>
          <w:spacing w:val="-4"/>
          <w:sz w:val="28"/>
          <w:szCs w:val="28"/>
          <w:lang w:eastAsia="en-US"/>
        </w:rPr>
        <w:t>Зішкряб</w:t>
      </w:r>
      <w:proofErr w:type="spellEnd"/>
      <w:r w:rsidRPr="00520861">
        <w:rPr>
          <w:rFonts w:eastAsia="Calibri"/>
          <w:color w:val="000000"/>
          <w:spacing w:val="-4"/>
          <w:sz w:val="28"/>
          <w:szCs w:val="28"/>
          <w:lang w:eastAsia="en-US"/>
        </w:rPr>
        <w:t xml:space="preserve"> епітеліальних клітин, узятий за допомогою одноразового стерильного </w:t>
      </w:r>
      <w:r w:rsidRPr="00520861">
        <w:rPr>
          <w:rFonts w:eastAsia="Calibri"/>
          <w:color w:val="000000"/>
          <w:spacing w:val="-4"/>
          <w:sz w:val="28"/>
          <w:szCs w:val="28"/>
          <w:lang w:eastAsia="en-US"/>
        </w:rPr>
        <w:br/>
        <w:t>зонда із внутрішньої поверхні щоки, переносився в пластикову пробірку із 5</w:t>
      </w:r>
      <w:r w:rsidRPr="00520861">
        <w:rPr>
          <w:spacing w:val="-4"/>
          <w:sz w:val="28"/>
          <w:szCs w:val="28"/>
        </w:rPr>
        <w:t>×10</w:t>
      </w:r>
      <w:r w:rsidRPr="00520861">
        <w:rPr>
          <w:spacing w:val="-4"/>
          <w:sz w:val="28"/>
          <w:szCs w:val="28"/>
          <w:vertAlign w:val="superscript"/>
        </w:rPr>
        <w:t>–7</w:t>
      </w:r>
      <w:r w:rsidRPr="00520861">
        <w:rPr>
          <w:rFonts w:eastAsia="Calibri"/>
          <w:color w:val="000000"/>
          <w:spacing w:val="-4"/>
          <w:sz w:val="28"/>
          <w:szCs w:val="28"/>
          <w:lang w:eastAsia="en-US"/>
        </w:rPr>
        <w:t xml:space="preserve"> м</w:t>
      </w:r>
      <w:r w:rsidRPr="00520861">
        <w:rPr>
          <w:rFonts w:eastAsia="Calibri"/>
          <w:color w:val="000000"/>
          <w:spacing w:val="-4"/>
          <w:sz w:val="28"/>
          <w:szCs w:val="28"/>
          <w:vertAlign w:val="superscript"/>
          <w:lang w:eastAsia="en-US"/>
        </w:rPr>
        <w:t>3</w:t>
      </w:r>
      <w:r w:rsidRPr="00520861">
        <w:rPr>
          <w:rFonts w:eastAsia="Calibri"/>
          <w:color w:val="000000"/>
          <w:spacing w:val="-4"/>
          <w:sz w:val="28"/>
          <w:szCs w:val="28"/>
          <w:lang w:eastAsia="en-US"/>
        </w:rPr>
        <w:t xml:space="preserve"> стерильного фізіологічного розчину. </w:t>
      </w:r>
      <w:r w:rsidRPr="00520861">
        <w:rPr>
          <w:rFonts w:eastAsia="Calibri"/>
          <w:color w:val="000000"/>
          <w:spacing w:val="-6"/>
          <w:sz w:val="28"/>
          <w:szCs w:val="28"/>
          <w:lang w:eastAsia="en-US"/>
        </w:rPr>
        <w:t xml:space="preserve">Після цього, дотримуючись вимог холодового ланцюга, препарат направляли в медичну лабораторію «Аналітика». </w:t>
      </w:r>
      <w:proofErr w:type="spellStart"/>
      <w:r w:rsidRPr="00520861">
        <w:rPr>
          <w:rFonts w:eastAsia="Calibri"/>
          <w:color w:val="000000"/>
          <w:spacing w:val="-6"/>
          <w:sz w:val="28"/>
          <w:szCs w:val="28"/>
          <w:lang w:eastAsia="en-US"/>
        </w:rPr>
        <w:t>Зішкряб</w:t>
      </w:r>
      <w:proofErr w:type="spellEnd"/>
      <w:r w:rsidRPr="00520861">
        <w:rPr>
          <w:rFonts w:eastAsia="Calibri"/>
          <w:color w:val="000000"/>
          <w:spacing w:val="-6"/>
          <w:sz w:val="28"/>
          <w:szCs w:val="28"/>
          <w:lang w:eastAsia="en-US"/>
        </w:rPr>
        <w:t xml:space="preserve"> епітеліальних </w:t>
      </w:r>
      <w:r w:rsidRPr="00520861">
        <w:rPr>
          <w:rFonts w:eastAsia="Calibri"/>
          <w:color w:val="000000"/>
          <w:spacing w:val="-4"/>
          <w:sz w:val="28"/>
          <w:szCs w:val="28"/>
          <w:lang w:eastAsia="en-US"/>
        </w:rPr>
        <w:t xml:space="preserve">клітин одразу брали в роботу. ДНК виділялася набором «Проба-НК» НПО ДНК-технологія (РФ) із </w:t>
      </w:r>
      <w:proofErr w:type="spellStart"/>
      <w:r w:rsidRPr="00520861">
        <w:rPr>
          <w:rFonts w:eastAsia="Calibri"/>
          <w:color w:val="000000"/>
          <w:spacing w:val="-4"/>
          <w:sz w:val="28"/>
          <w:szCs w:val="28"/>
          <w:lang w:eastAsia="en-US"/>
        </w:rPr>
        <w:t>букального</w:t>
      </w:r>
      <w:proofErr w:type="spellEnd"/>
      <w:r w:rsidRPr="00520861">
        <w:rPr>
          <w:rFonts w:eastAsia="Calibri"/>
          <w:color w:val="000000"/>
          <w:spacing w:val="-4"/>
          <w:sz w:val="28"/>
          <w:szCs w:val="28"/>
          <w:lang w:eastAsia="en-US"/>
        </w:rPr>
        <w:t xml:space="preserve"> епітелію згідно з рекомендаціями фірми-виробника.</w:t>
      </w:r>
    </w:p>
    <w:p w14:paraId="3CAF2BEE"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Безпосередньо після виділення ДНК проводилося </w:t>
      </w:r>
      <w:proofErr w:type="spellStart"/>
      <w:r w:rsidRPr="00520861">
        <w:rPr>
          <w:rFonts w:eastAsia="Calibri"/>
          <w:sz w:val="28"/>
          <w:szCs w:val="28"/>
          <w:lang w:eastAsia="en-US"/>
        </w:rPr>
        <w:t>генотипування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однонуклеотидних</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поліморфізмів</w:t>
      </w:r>
      <w:proofErr w:type="spellEnd"/>
      <w:r w:rsidRPr="00520861">
        <w:rPr>
          <w:rFonts w:eastAsia="Calibri"/>
          <w:sz w:val="28"/>
          <w:szCs w:val="28"/>
          <w:lang w:eastAsia="en-US"/>
        </w:rPr>
        <w:t xml:space="preserve"> (SNP) з використанням наборів «Остеопороз» (серійні номери: С0409U-2, D1104U-2) НПО ДНК-технологія (РФ) за допомогою </w:t>
      </w:r>
      <w:proofErr w:type="spellStart"/>
      <w:r w:rsidRPr="00520861">
        <w:rPr>
          <w:rFonts w:eastAsia="Calibri"/>
          <w:sz w:val="28"/>
          <w:szCs w:val="28"/>
          <w:lang w:eastAsia="en-US"/>
        </w:rPr>
        <w:t>полімеразної</w:t>
      </w:r>
      <w:proofErr w:type="spellEnd"/>
      <w:r w:rsidRPr="00520861">
        <w:rPr>
          <w:rFonts w:eastAsia="Calibri"/>
          <w:sz w:val="28"/>
          <w:szCs w:val="28"/>
          <w:lang w:eastAsia="en-US"/>
        </w:rPr>
        <w:t xml:space="preserve"> ланцюгової реакції (ПЛР) в реальному часі (</w:t>
      </w:r>
      <w:proofErr w:type="spellStart"/>
      <w:r w:rsidRPr="00520861">
        <w:rPr>
          <w:rFonts w:eastAsia="Calibri"/>
          <w:sz w:val="28"/>
          <w:szCs w:val="28"/>
          <w:lang w:eastAsia="en-US"/>
        </w:rPr>
        <w:t>Real-Time</w:t>
      </w:r>
      <w:proofErr w:type="spellEnd"/>
      <w:r w:rsidRPr="00520861">
        <w:rPr>
          <w:rFonts w:eastAsia="Calibri"/>
          <w:sz w:val="28"/>
          <w:szCs w:val="28"/>
          <w:lang w:eastAsia="en-US"/>
        </w:rPr>
        <w:t xml:space="preserve"> PCR). </w:t>
      </w:r>
      <w:r w:rsidRPr="00520861">
        <w:rPr>
          <w:rFonts w:eastAsia="Calibri"/>
          <w:spacing w:val="-6"/>
          <w:sz w:val="28"/>
          <w:szCs w:val="28"/>
          <w:lang w:eastAsia="en-US"/>
        </w:rPr>
        <w:t xml:space="preserve">Набір «Остеопороз» включає 16 </w:t>
      </w:r>
      <w:proofErr w:type="spellStart"/>
      <w:r w:rsidRPr="00520861">
        <w:rPr>
          <w:rFonts w:eastAsia="Calibri"/>
          <w:spacing w:val="-6"/>
          <w:sz w:val="28"/>
          <w:szCs w:val="28"/>
          <w:lang w:eastAsia="en-US"/>
        </w:rPr>
        <w:t>поліморфізмів</w:t>
      </w:r>
      <w:proofErr w:type="spellEnd"/>
      <w:r w:rsidRPr="00520861">
        <w:rPr>
          <w:rFonts w:eastAsia="Calibri"/>
          <w:spacing w:val="-6"/>
          <w:sz w:val="28"/>
          <w:szCs w:val="28"/>
          <w:lang w:eastAsia="en-US"/>
        </w:rPr>
        <w:t xml:space="preserve">, серед яких є </w:t>
      </w:r>
      <w:r w:rsidRPr="00520861">
        <w:rPr>
          <w:rFonts w:eastAsia="Calibri"/>
          <w:i/>
          <w:spacing w:val="-6"/>
          <w:sz w:val="28"/>
          <w:szCs w:val="28"/>
          <w:lang w:eastAsia="en-US"/>
        </w:rPr>
        <w:t>CYP19A1: A&gt;G</w:t>
      </w:r>
      <w:r w:rsidRPr="00520861">
        <w:rPr>
          <w:rFonts w:eastAsia="Calibri"/>
          <w:spacing w:val="-6"/>
          <w:sz w:val="28"/>
          <w:szCs w:val="28"/>
          <w:lang w:eastAsia="en-US"/>
        </w:rPr>
        <w:t xml:space="preserve"> [rs2414096]; </w:t>
      </w:r>
      <w:r w:rsidRPr="00520861">
        <w:rPr>
          <w:rFonts w:eastAsia="Calibri"/>
          <w:i/>
          <w:spacing w:val="-6"/>
          <w:sz w:val="28"/>
          <w:szCs w:val="28"/>
          <w:lang w:eastAsia="en-US"/>
        </w:rPr>
        <w:t>CYP19A1: C&gt;T</w:t>
      </w:r>
      <w:r w:rsidRPr="00520861">
        <w:rPr>
          <w:rFonts w:eastAsia="Calibri"/>
          <w:spacing w:val="-6"/>
          <w:sz w:val="28"/>
          <w:szCs w:val="28"/>
          <w:lang w:eastAsia="en-US"/>
        </w:rPr>
        <w:t xml:space="preserve"> [rs936306]; </w:t>
      </w:r>
      <w:r w:rsidRPr="00520861">
        <w:rPr>
          <w:rFonts w:eastAsia="Calibri"/>
          <w:i/>
          <w:spacing w:val="-6"/>
          <w:sz w:val="28"/>
          <w:szCs w:val="28"/>
          <w:lang w:eastAsia="en-US"/>
        </w:rPr>
        <w:t>ESR1: -397 T&gt;C</w:t>
      </w:r>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PvuII</w:t>
      </w:r>
      <w:proofErr w:type="spellEnd"/>
      <w:r w:rsidRPr="00520861">
        <w:rPr>
          <w:rFonts w:eastAsia="Calibri"/>
          <w:spacing w:val="-6"/>
          <w:sz w:val="28"/>
          <w:szCs w:val="28"/>
          <w:lang w:eastAsia="en-US"/>
        </w:rPr>
        <w:t xml:space="preserve">]; </w:t>
      </w:r>
      <w:r w:rsidRPr="00520861">
        <w:rPr>
          <w:rFonts w:eastAsia="Calibri"/>
          <w:i/>
          <w:spacing w:val="-6"/>
          <w:sz w:val="28"/>
          <w:szCs w:val="28"/>
          <w:lang w:eastAsia="en-US"/>
        </w:rPr>
        <w:t>ESR1: -351 G&gt;A</w:t>
      </w:r>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XbaI</w:t>
      </w:r>
      <w:proofErr w:type="spellEnd"/>
      <w:r w:rsidRPr="00520861">
        <w:rPr>
          <w:rFonts w:eastAsia="Calibri"/>
          <w:spacing w:val="-6"/>
          <w:sz w:val="28"/>
          <w:szCs w:val="28"/>
          <w:lang w:eastAsia="en-US"/>
        </w:rPr>
        <w:t xml:space="preserve">]; </w:t>
      </w:r>
      <w:r w:rsidRPr="00520861">
        <w:rPr>
          <w:rFonts w:eastAsia="Calibri"/>
          <w:i/>
          <w:spacing w:val="-6"/>
          <w:sz w:val="28"/>
          <w:szCs w:val="28"/>
          <w:lang w:eastAsia="en-US"/>
        </w:rPr>
        <w:t>IL6: -174 G&gt;C</w:t>
      </w:r>
      <w:r w:rsidRPr="00520861">
        <w:rPr>
          <w:rFonts w:eastAsia="Calibri"/>
          <w:spacing w:val="-6"/>
          <w:sz w:val="28"/>
          <w:szCs w:val="28"/>
          <w:lang w:eastAsia="en-US"/>
        </w:rPr>
        <w:t xml:space="preserve">; </w:t>
      </w:r>
      <w:r w:rsidRPr="00520861">
        <w:rPr>
          <w:rFonts w:eastAsia="Calibri"/>
          <w:i/>
          <w:spacing w:val="-6"/>
          <w:sz w:val="28"/>
          <w:szCs w:val="28"/>
          <w:lang w:eastAsia="en-US"/>
        </w:rPr>
        <w:t xml:space="preserve">RANKL: C&gt;T </w:t>
      </w:r>
      <w:r w:rsidRPr="00520861">
        <w:rPr>
          <w:rFonts w:eastAsia="Calibri"/>
          <w:spacing w:val="-6"/>
          <w:sz w:val="28"/>
          <w:szCs w:val="28"/>
          <w:lang w:eastAsia="en-US"/>
        </w:rPr>
        <w:t xml:space="preserve">[rs9594738]; </w:t>
      </w:r>
      <w:r w:rsidRPr="00520861">
        <w:rPr>
          <w:rFonts w:eastAsia="Calibri"/>
          <w:i/>
          <w:spacing w:val="-6"/>
          <w:sz w:val="28"/>
          <w:szCs w:val="28"/>
          <w:lang w:eastAsia="en-US"/>
        </w:rPr>
        <w:t>RANKL: C&gt;T</w:t>
      </w:r>
      <w:r w:rsidRPr="00520861">
        <w:rPr>
          <w:rFonts w:eastAsia="Calibri"/>
          <w:spacing w:val="-6"/>
          <w:sz w:val="28"/>
          <w:szCs w:val="28"/>
          <w:lang w:eastAsia="en-US"/>
        </w:rPr>
        <w:t xml:space="preserve"> [rs9594759]; </w:t>
      </w:r>
      <w:r w:rsidRPr="00520861">
        <w:rPr>
          <w:rFonts w:eastAsia="Calibri"/>
          <w:i/>
          <w:spacing w:val="-6"/>
          <w:sz w:val="28"/>
          <w:szCs w:val="28"/>
          <w:lang w:eastAsia="en-US"/>
        </w:rPr>
        <w:t>VDR: 283 A&gt;G (</w:t>
      </w:r>
      <w:proofErr w:type="spellStart"/>
      <w:r w:rsidRPr="00520861">
        <w:rPr>
          <w:rFonts w:eastAsia="Calibri"/>
          <w:i/>
          <w:spacing w:val="-6"/>
          <w:sz w:val="28"/>
          <w:szCs w:val="28"/>
          <w:lang w:eastAsia="en-US"/>
        </w:rPr>
        <w:t>BsmI</w:t>
      </w:r>
      <w:proofErr w:type="spellEnd"/>
      <w:r w:rsidRPr="00520861">
        <w:rPr>
          <w:rFonts w:eastAsia="Calibri"/>
          <w:i/>
          <w:spacing w:val="-6"/>
          <w:sz w:val="28"/>
          <w:szCs w:val="28"/>
          <w:lang w:eastAsia="en-US"/>
        </w:rPr>
        <w:t>)</w:t>
      </w:r>
      <w:r w:rsidRPr="00520861">
        <w:rPr>
          <w:rFonts w:eastAsia="Calibri"/>
          <w:spacing w:val="-6"/>
          <w:sz w:val="28"/>
          <w:szCs w:val="28"/>
          <w:lang w:eastAsia="en-US"/>
        </w:rPr>
        <w:t xml:space="preserve"> та </w:t>
      </w:r>
      <w:r w:rsidRPr="00520861">
        <w:rPr>
          <w:rFonts w:eastAsia="Calibri"/>
          <w:i/>
          <w:spacing w:val="-6"/>
          <w:sz w:val="28"/>
          <w:szCs w:val="28"/>
          <w:lang w:eastAsia="en-US"/>
        </w:rPr>
        <w:t>VDR: 2 A&gt;G (</w:t>
      </w:r>
      <w:proofErr w:type="spellStart"/>
      <w:r w:rsidRPr="00520861">
        <w:rPr>
          <w:rFonts w:eastAsia="Calibri"/>
          <w:i/>
          <w:spacing w:val="-6"/>
          <w:sz w:val="28"/>
          <w:szCs w:val="28"/>
          <w:lang w:eastAsia="en-US"/>
        </w:rPr>
        <w:t>FokI</w:t>
      </w:r>
      <w:proofErr w:type="spellEnd"/>
      <w:r w:rsidRPr="00520861">
        <w:rPr>
          <w:rFonts w:eastAsia="Calibri"/>
          <w:i/>
          <w:spacing w:val="-6"/>
          <w:sz w:val="28"/>
          <w:szCs w:val="28"/>
          <w:lang w:eastAsia="en-US"/>
        </w:rPr>
        <w:t>)</w:t>
      </w:r>
      <w:r w:rsidRPr="00520861">
        <w:rPr>
          <w:rFonts w:eastAsia="Calibri"/>
          <w:spacing w:val="-6"/>
          <w:sz w:val="28"/>
          <w:szCs w:val="28"/>
          <w:lang w:eastAsia="en-US"/>
        </w:rPr>
        <w:t>.</w:t>
      </w:r>
    </w:p>
    <w:p w14:paraId="27352FD1"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У дослідженні використовувалися наступні засоби вимірювальної техніки: термостат «Гном» (ДНК-технологія); центрифуга лабораторна «</w:t>
      </w:r>
      <w:proofErr w:type="spellStart"/>
      <w:r w:rsidRPr="00520861">
        <w:rPr>
          <w:rFonts w:eastAsia="Calibri"/>
          <w:sz w:val="28"/>
          <w:szCs w:val="28"/>
          <w:lang w:eastAsia="en-US"/>
        </w:rPr>
        <w:t>MiniSpin</w:t>
      </w:r>
      <w:proofErr w:type="spellEnd"/>
      <w:r w:rsidRPr="00520861">
        <w:rPr>
          <w:rFonts w:eastAsia="Calibri"/>
          <w:sz w:val="28"/>
          <w:szCs w:val="28"/>
          <w:lang w:eastAsia="en-US"/>
        </w:rPr>
        <w:t>» (</w:t>
      </w:r>
      <w:proofErr w:type="spellStart"/>
      <w:r w:rsidRPr="00520861">
        <w:rPr>
          <w:rFonts w:eastAsia="Calibri"/>
          <w:sz w:val="28"/>
          <w:szCs w:val="28"/>
          <w:lang w:eastAsia="en-US"/>
        </w:rPr>
        <w:t>Eppendorf</w:t>
      </w:r>
      <w:proofErr w:type="spellEnd"/>
      <w:r w:rsidRPr="00520861">
        <w:rPr>
          <w:rFonts w:eastAsia="Calibri"/>
          <w:sz w:val="28"/>
          <w:szCs w:val="28"/>
          <w:lang w:eastAsia="en-US"/>
        </w:rPr>
        <w:t xml:space="preserve">); центрифуга </w:t>
      </w:r>
      <w:proofErr w:type="spellStart"/>
      <w:r w:rsidRPr="00520861">
        <w:rPr>
          <w:rFonts w:eastAsia="Calibri"/>
          <w:sz w:val="28"/>
          <w:szCs w:val="28"/>
          <w:lang w:eastAsia="en-US"/>
        </w:rPr>
        <w:t>Вортекс</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Microspin</w:t>
      </w:r>
      <w:proofErr w:type="spellEnd"/>
      <w:r w:rsidRPr="00520861">
        <w:rPr>
          <w:rFonts w:eastAsia="Calibri"/>
          <w:sz w:val="28"/>
          <w:szCs w:val="28"/>
          <w:lang w:eastAsia="en-US"/>
        </w:rPr>
        <w:t xml:space="preserve"> FV-2400»; </w:t>
      </w:r>
      <w:proofErr w:type="spellStart"/>
      <w:r w:rsidRPr="00520861">
        <w:rPr>
          <w:rFonts w:eastAsia="Calibri"/>
          <w:sz w:val="28"/>
          <w:szCs w:val="28"/>
          <w:lang w:eastAsia="en-US"/>
        </w:rPr>
        <w:t>ампліфікатор</w:t>
      </w:r>
      <w:proofErr w:type="spellEnd"/>
      <w:r w:rsidRPr="00520861">
        <w:rPr>
          <w:rFonts w:eastAsia="Calibri"/>
          <w:sz w:val="28"/>
          <w:szCs w:val="28"/>
          <w:lang w:eastAsia="en-US"/>
        </w:rPr>
        <w:t xml:space="preserve"> «ДТ-96»; </w:t>
      </w:r>
      <w:proofErr w:type="spellStart"/>
      <w:r w:rsidRPr="00520861">
        <w:rPr>
          <w:rFonts w:eastAsia="Calibri"/>
          <w:sz w:val="28"/>
          <w:szCs w:val="28"/>
          <w:lang w:eastAsia="en-US"/>
        </w:rPr>
        <w:t>ампліфікатор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ДТлайт</w:t>
      </w:r>
      <w:proofErr w:type="spellEnd"/>
      <w:r w:rsidRPr="00520861">
        <w:rPr>
          <w:rFonts w:eastAsia="Calibri"/>
          <w:sz w:val="28"/>
          <w:szCs w:val="28"/>
          <w:lang w:eastAsia="en-US"/>
        </w:rPr>
        <w:t xml:space="preserve">»; дозатор </w:t>
      </w:r>
      <w:proofErr w:type="spellStart"/>
      <w:r w:rsidRPr="00520861">
        <w:rPr>
          <w:rFonts w:eastAsia="Calibri"/>
          <w:sz w:val="28"/>
          <w:szCs w:val="28"/>
          <w:lang w:eastAsia="en-US"/>
        </w:rPr>
        <w:t>одноканальний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Колор</w:t>
      </w:r>
      <w:proofErr w:type="spellEnd"/>
      <w:r w:rsidRPr="00520861">
        <w:rPr>
          <w:rFonts w:eastAsia="Calibri"/>
          <w:sz w:val="28"/>
          <w:szCs w:val="28"/>
          <w:lang w:eastAsia="en-US"/>
        </w:rPr>
        <w:t>» (5 – 50) </w:t>
      </w:r>
      <w:r w:rsidRPr="00520861">
        <w:rPr>
          <w:sz w:val="28"/>
          <w:szCs w:val="28"/>
        </w:rPr>
        <w:t>× 10</w:t>
      </w:r>
      <w:r w:rsidRPr="00520861">
        <w:rPr>
          <w:sz w:val="28"/>
          <w:szCs w:val="28"/>
          <w:vertAlign w:val="superscript"/>
        </w:rPr>
        <w:t>–9</w:t>
      </w:r>
      <w:r w:rsidRPr="00520861">
        <w:rPr>
          <w:rFonts w:eastAsia="Calibri"/>
          <w:sz w:val="28"/>
          <w:szCs w:val="28"/>
          <w:lang w:eastAsia="en-US"/>
        </w:rPr>
        <w:t xml:space="preserve"> м</w:t>
      </w:r>
      <w:r w:rsidRPr="00520861">
        <w:rPr>
          <w:rFonts w:eastAsia="Calibri"/>
          <w:sz w:val="28"/>
          <w:szCs w:val="28"/>
          <w:vertAlign w:val="superscript"/>
          <w:lang w:eastAsia="en-US"/>
        </w:rPr>
        <w:t>3</w:t>
      </w:r>
      <w:r w:rsidRPr="00520861">
        <w:rPr>
          <w:rFonts w:eastAsia="Calibri"/>
          <w:sz w:val="28"/>
          <w:szCs w:val="28"/>
          <w:lang w:eastAsia="en-US"/>
        </w:rPr>
        <w:t xml:space="preserve">; дозатор </w:t>
      </w:r>
      <w:proofErr w:type="spellStart"/>
      <w:r w:rsidRPr="00520861">
        <w:rPr>
          <w:rFonts w:eastAsia="Calibri"/>
          <w:sz w:val="28"/>
          <w:szCs w:val="28"/>
          <w:lang w:eastAsia="en-US"/>
        </w:rPr>
        <w:t>одноканальний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Колор</w:t>
      </w:r>
      <w:proofErr w:type="spellEnd"/>
      <w:r w:rsidRPr="00520861">
        <w:rPr>
          <w:rFonts w:eastAsia="Calibri"/>
          <w:sz w:val="28"/>
          <w:szCs w:val="28"/>
          <w:lang w:eastAsia="en-US"/>
        </w:rPr>
        <w:t>» (2 – 20) </w:t>
      </w:r>
      <w:r w:rsidRPr="00520861">
        <w:rPr>
          <w:sz w:val="28"/>
          <w:szCs w:val="28"/>
        </w:rPr>
        <w:t>× 10</w:t>
      </w:r>
      <w:r w:rsidRPr="00520861">
        <w:rPr>
          <w:sz w:val="28"/>
          <w:szCs w:val="28"/>
          <w:vertAlign w:val="superscript"/>
        </w:rPr>
        <w:t>–8</w:t>
      </w:r>
      <w:r w:rsidRPr="00520861">
        <w:rPr>
          <w:rFonts w:eastAsia="Calibri"/>
          <w:sz w:val="28"/>
          <w:szCs w:val="28"/>
          <w:lang w:eastAsia="en-US"/>
        </w:rPr>
        <w:t xml:space="preserve"> м</w:t>
      </w:r>
      <w:r w:rsidRPr="00520861">
        <w:rPr>
          <w:rFonts w:eastAsia="Calibri"/>
          <w:sz w:val="28"/>
          <w:szCs w:val="28"/>
          <w:vertAlign w:val="superscript"/>
          <w:lang w:eastAsia="en-US"/>
        </w:rPr>
        <w:t>3</w:t>
      </w:r>
      <w:r w:rsidRPr="00520861">
        <w:rPr>
          <w:rFonts w:eastAsia="Calibri"/>
          <w:sz w:val="28"/>
          <w:szCs w:val="28"/>
          <w:lang w:eastAsia="en-US"/>
        </w:rPr>
        <w:t xml:space="preserve">; дозатор </w:t>
      </w:r>
      <w:proofErr w:type="spellStart"/>
      <w:r w:rsidRPr="00520861">
        <w:rPr>
          <w:rFonts w:eastAsia="Calibri"/>
          <w:sz w:val="28"/>
          <w:szCs w:val="28"/>
          <w:lang w:eastAsia="en-US"/>
        </w:rPr>
        <w:t>одноканальний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Колор</w:t>
      </w:r>
      <w:proofErr w:type="spellEnd"/>
      <w:r w:rsidRPr="00520861">
        <w:rPr>
          <w:rFonts w:eastAsia="Calibri"/>
          <w:sz w:val="28"/>
          <w:szCs w:val="28"/>
          <w:lang w:eastAsia="en-US"/>
        </w:rPr>
        <w:t>» (1 – 10) </w:t>
      </w:r>
      <w:r w:rsidRPr="00520861">
        <w:rPr>
          <w:sz w:val="28"/>
          <w:szCs w:val="28"/>
        </w:rPr>
        <w:t>× 10</w:t>
      </w:r>
      <w:r w:rsidRPr="00520861">
        <w:rPr>
          <w:sz w:val="28"/>
          <w:szCs w:val="28"/>
          <w:vertAlign w:val="superscript"/>
        </w:rPr>
        <w:t>–7</w:t>
      </w:r>
      <w:r w:rsidRPr="00520861">
        <w:rPr>
          <w:rFonts w:eastAsia="Calibri"/>
          <w:sz w:val="28"/>
          <w:szCs w:val="28"/>
          <w:lang w:eastAsia="en-US"/>
        </w:rPr>
        <w:t xml:space="preserve"> м</w:t>
      </w:r>
      <w:r w:rsidRPr="00520861">
        <w:rPr>
          <w:rFonts w:eastAsia="Calibri"/>
          <w:sz w:val="28"/>
          <w:szCs w:val="28"/>
          <w:vertAlign w:val="superscript"/>
          <w:lang w:eastAsia="en-US"/>
        </w:rPr>
        <w:t>3</w:t>
      </w:r>
      <w:r w:rsidRPr="00520861">
        <w:rPr>
          <w:rFonts w:eastAsia="Calibri"/>
          <w:sz w:val="28"/>
          <w:szCs w:val="28"/>
          <w:lang w:eastAsia="en-US"/>
        </w:rPr>
        <w:t>.</w:t>
      </w:r>
    </w:p>
    <w:p w14:paraId="3E781D0C" w14:textId="77777777" w:rsidR="00CF641C" w:rsidRPr="00520861" w:rsidRDefault="00CF641C" w:rsidP="00292D2E">
      <w:pPr>
        <w:widowControl w:val="0"/>
        <w:spacing w:line="360" w:lineRule="auto"/>
        <w:ind w:firstLine="709"/>
        <w:jc w:val="both"/>
        <w:rPr>
          <w:rFonts w:eastAsia="Calibri"/>
          <w:spacing w:val="-2"/>
          <w:sz w:val="28"/>
          <w:szCs w:val="28"/>
          <w:lang w:eastAsia="en-US"/>
        </w:rPr>
      </w:pPr>
      <w:r w:rsidRPr="00520861">
        <w:rPr>
          <w:rFonts w:eastAsia="Calibri"/>
          <w:spacing w:val="-2"/>
          <w:sz w:val="28"/>
          <w:szCs w:val="28"/>
          <w:lang w:eastAsia="en-US"/>
        </w:rPr>
        <w:t xml:space="preserve">Реєстрація сигналів та інтерпретація результатів флуоресценції </w:t>
      </w:r>
      <w:proofErr w:type="spellStart"/>
      <w:r w:rsidRPr="00520861">
        <w:rPr>
          <w:rFonts w:eastAsia="Calibri"/>
          <w:spacing w:val="-2"/>
          <w:sz w:val="28"/>
          <w:szCs w:val="28"/>
          <w:lang w:eastAsia="en-US"/>
        </w:rPr>
        <w:t>ампліфікованих</w:t>
      </w:r>
      <w:proofErr w:type="spellEnd"/>
      <w:r w:rsidRPr="00520861">
        <w:rPr>
          <w:rFonts w:eastAsia="Calibri"/>
          <w:spacing w:val="-2"/>
          <w:sz w:val="28"/>
          <w:szCs w:val="28"/>
          <w:lang w:eastAsia="en-US"/>
        </w:rPr>
        <w:t xml:space="preserve"> фрагментів </w:t>
      </w:r>
      <w:proofErr w:type="spellStart"/>
      <w:r w:rsidRPr="00520861">
        <w:rPr>
          <w:rFonts w:eastAsia="Calibri"/>
          <w:spacing w:val="-2"/>
          <w:sz w:val="28"/>
          <w:szCs w:val="28"/>
          <w:lang w:eastAsia="en-US"/>
        </w:rPr>
        <w:t>геномної</w:t>
      </w:r>
      <w:proofErr w:type="spellEnd"/>
      <w:r w:rsidRPr="00520861">
        <w:rPr>
          <w:rFonts w:eastAsia="Calibri"/>
          <w:spacing w:val="-2"/>
          <w:sz w:val="28"/>
          <w:szCs w:val="28"/>
          <w:lang w:eastAsia="en-US"/>
        </w:rPr>
        <w:t xml:space="preserve"> ДНК проводилася </w:t>
      </w:r>
      <w:proofErr w:type="spellStart"/>
      <w:r w:rsidRPr="00520861">
        <w:rPr>
          <w:rFonts w:eastAsia="Calibri"/>
          <w:spacing w:val="-2"/>
          <w:sz w:val="28"/>
          <w:szCs w:val="28"/>
          <w:lang w:eastAsia="en-US"/>
        </w:rPr>
        <w:t>ампліфікатором</w:t>
      </w:r>
      <w:proofErr w:type="spellEnd"/>
      <w:r w:rsidRPr="00520861">
        <w:rPr>
          <w:rFonts w:eastAsia="Calibri"/>
          <w:spacing w:val="-2"/>
          <w:sz w:val="28"/>
          <w:szCs w:val="28"/>
          <w:lang w:eastAsia="en-US"/>
        </w:rPr>
        <w:t xml:space="preserve"> автоматично за допомогою вбудованого програмного забезпечення. Режими ампліфікації наведено в табл. Б.1.9. </w:t>
      </w:r>
    </w:p>
    <w:p w14:paraId="20FF3113"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Проводиться одночасна </w:t>
      </w:r>
      <w:proofErr w:type="spellStart"/>
      <w:r w:rsidRPr="00520861">
        <w:rPr>
          <w:rFonts w:eastAsia="Calibri"/>
          <w:sz w:val="28"/>
          <w:szCs w:val="28"/>
          <w:lang w:eastAsia="en-US"/>
        </w:rPr>
        <w:t>детекція</w:t>
      </w:r>
      <w:proofErr w:type="spellEnd"/>
      <w:r w:rsidRPr="00520861">
        <w:rPr>
          <w:rFonts w:eastAsia="Calibri"/>
          <w:sz w:val="28"/>
          <w:szCs w:val="28"/>
          <w:lang w:eastAsia="en-US"/>
        </w:rPr>
        <w:t xml:space="preserve"> двох </w:t>
      </w:r>
      <w:proofErr w:type="spellStart"/>
      <w:r w:rsidRPr="00520861">
        <w:rPr>
          <w:rFonts w:eastAsia="Calibri"/>
          <w:sz w:val="28"/>
          <w:szCs w:val="28"/>
          <w:lang w:eastAsia="en-US"/>
        </w:rPr>
        <w:t>алельних</w:t>
      </w:r>
      <w:proofErr w:type="spellEnd"/>
      <w:r w:rsidRPr="00520861">
        <w:rPr>
          <w:rFonts w:eastAsia="Calibri"/>
          <w:sz w:val="28"/>
          <w:szCs w:val="28"/>
          <w:lang w:eastAsia="en-US"/>
        </w:rPr>
        <w:t xml:space="preserve"> варіантів поліморфізму, що </w:t>
      </w:r>
      <w:r w:rsidRPr="00520861">
        <w:rPr>
          <w:rFonts w:eastAsia="Calibri"/>
          <w:sz w:val="28"/>
          <w:szCs w:val="28"/>
          <w:lang w:eastAsia="en-US"/>
        </w:rPr>
        <w:br/>
        <w:t xml:space="preserve">відображено на рис. 2.1. </w:t>
      </w:r>
    </w:p>
    <w:p w14:paraId="790A65F6" w14:textId="77777777" w:rsidR="00CF641C" w:rsidRPr="00520861" w:rsidRDefault="00CF641C" w:rsidP="00292D2E">
      <w:pPr>
        <w:widowControl w:val="0"/>
        <w:spacing w:after="200" w:line="276"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64D6FB81" wp14:editId="267B8318">
            <wp:extent cx="4686300" cy="7124700"/>
            <wp:effectExtent l="0" t="0" r="0" b="0"/>
            <wp:docPr id="1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86300" cy="7124700"/>
                    </a:xfrm>
                    <a:prstGeom prst="rect">
                      <a:avLst/>
                    </a:prstGeom>
                    <a:noFill/>
                    <a:ln>
                      <a:noFill/>
                    </a:ln>
                  </pic:spPr>
                </pic:pic>
              </a:graphicData>
            </a:graphic>
          </wp:inline>
        </w:drawing>
      </w:r>
    </w:p>
    <w:p w14:paraId="1EF69A30"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2.1. Фрагменти робочого файлу. Середня панель демонструє графік </w:t>
      </w:r>
      <w:r w:rsidRPr="00520861">
        <w:rPr>
          <w:rFonts w:eastAsia="Calibri"/>
          <w:sz w:val="28"/>
          <w:szCs w:val="28"/>
          <w:lang w:eastAsia="en-US"/>
        </w:rPr>
        <w:br/>
        <w:t xml:space="preserve">залежності флуоресценції </w:t>
      </w:r>
      <w:proofErr w:type="spellStart"/>
      <w:r w:rsidRPr="00520861">
        <w:rPr>
          <w:rFonts w:eastAsia="Calibri"/>
          <w:sz w:val="28"/>
          <w:szCs w:val="28"/>
          <w:lang w:eastAsia="en-US"/>
        </w:rPr>
        <w:t>геномної</w:t>
      </w:r>
      <w:proofErr w:type="spellEnd"/>
      <w:r w:rsidRPr="00520861">
        <w:rPr>
          <w:rFonts w:eastAsia="Calibri"/>
          <w:sz w:val="28"/>
          <w:szCs w:val="28"/>
          <w:lang w:eastAsia="en-US"/>
        </w:rPr>
        <w:t xml:space="preserve"> ДНК від температури плавлення зразків (набір «Остеопороз» НВО «ДНК-технологія»). Червоним кольором виділений результат ампліфікації зразка №239, одержаний по гену</w:t>
      </w:r>
      <w:r w:rsidRPr="00520861">
        <w:rPr>
          <w:rFonts w:eastAsia="Calibri"/>
          <w:i/>
          <w:sz w:val="28"/>
          <w:szCs w:val="28"/>
          <w:lang w:eastAsia="en-US"/>
        </w:rPr>
        <w:t xml:space="preserve"> </w:t>
      </w:r>
      <w:r w:rsidRPr="00520861">
        <w:rPr>
          <w:rFonts w:eastAsia="Calibri"/>
          <w:sz w:val="28"/>
          <w:szCs w:val="28"/>
          <w:lang w:eastAsia="en-US"/>
        </w:rPr>
        <w:t>ESR1: -3</w:t>
      </w:r>
      <w:r w:rsidR="007E577C" w:rsidRPr="00520861">
        <w:rPr>
          <w:rFonts w:eastAsia="Calibri"/>
          <w:sz w:val="28"/>
          <w:szCs w:val="28"/>
          <w:lang w:eastAsia="en-US"/>
        </w:rPr>
        <w:t>97 T&gt;C (</w:t>
      </w:r>
      <w:proofErr w:type="spellStart"/>
      <w:r w:rsidR="007E577C" w:rsidRPr="00520861">
        <w:rPr>
          <w:rFonts w:eastAsia="Calibri"/>
          <w:sz w:val="28"/>
          <w:szCs w:val="28"/>
          <w:lang w:eastAsia="en-US"/>
        </w:rPr>
        <w:t>PvuII</w:t>
      </w:r>
      <w:proofErr w:type="spellEnd"/>
      <w:r w:rsidR="007E577C" w:rsidRPr="00520861">
        <w:rPr>
          <w:rFonts w:eastAsia="Calibri"/>
          <w:sz w:val="28"/>
          <w:szCs w:val="28"/>
          <w:lang w:eastAsia="en-US"/>
        </w:rPr>
        <w:t>) [rs</w:t>
      </w:r>
      <w:r w:rsidRPr="00520861">
        <w:rPr>
          <w:rFonts w:eastAsia="Calibri"/>
          <w:sz w:val="28"/>
          <w:szCs w:val="28"/>
          <w:lang w:eastAsia="en-US"/>
        </w:rPr>
        <w:t xml:space="preserve">2234693]. Більш широкою кривою на вставці блакитного кольору позначений графік </w:t>
      </w:r>
      <w:r w:rsidRPr="00520861">
        <w:rPr>
          <w:rFonts w:eastAsia="Calibri"/>
          <w:sz w:val="28"/>
          <w:szCs w:val="28"/>
          <w:lang w:eastAsia="en-US"/>
        </w:rPr>
        <w:br/>
        <w:t>залежності флуоресценції від температури плавлення зразка.</w:t>
      </w:r>
    </w:p>
    <w:p w14:paraId="7585D4D0"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Наявність внутрішнього контролю кількості ДНК в </w:t>
      </w:r>
      <w:proofErr w:type="spellStart"/>
      <w:r w:rsidRPr="00520861">
        <w:rPr>
          <w:rFonts w:eastAsia="Calibri"/>
          <w:sz w:val="28"/>
          <w:szCs w:val="28"/>
          <w:lang w:eastAsia="en-US"/>
        </w:rPr>
        <w:t>ампліфікаційній</w:t>
      </w:r>
      <w:proofErr w:type="spellEnd"/>
      <w:r w:rsidRPr="00520861">
        <w:rPr>
          <w:rFonts w:eastAsia="Calibri"/>
          <w:sz w:val="28"/>
          <w:szCs w:val="28"/>
          <w:lang w:eastAsia="en-US"/>
        </w:rPr>
        <w:t xml:space="preserve"> пробірці знижує ймовірність помилок </w:t>
      </w:r>
      <w:proofErr w:type="spellStart"/>
      <w:r w:rsidRPr="00520861">
        <w:rPr>
          <w:rFonts w:eastAsia="Calibri"/>
          <w:sz w:val="28"/>
          <w:szCs w:val="28"/>
          <w:lang w:eastAsia="en-US"/>
        </w:rPr>
        <w:t>генотипування</w:t>
      </w:r>
      <w:proofErr w:type="spellEnd"/>
      <w:r w:rsidRPr="00520861">
        <w:rPr>
          <w:rFonts w:eastAsia="Calibri"/>
          <w:sz w:val="28"/>
          <w:szCs w:val="28"/>
          <w:lang w:eastAsia="en-US"/>
        </w:rPr>
        <w:t xml:space="preserve">. На наведено результати флуоресцентної </w:t>
      </w:r>
      <w:proofErr w:type="spellStart"/>
      <w:r w:rsidRPr="00520861">
        <w:rPr>
          <w:rFonts w:eastAsia="Calibri"/>
          <w:sz w:val="28"/>
          <w:szCs w:val="28"/>
          <w:lang w:eastAsia="en-US"/>
        </w:rPr>
        <w:t>детекції</w:t>
      </w:r>
      <w:proofErr w:type="spellEnd"/>
      <w:r w:rsidRPr="00520861">
        <w:rPr>
          <w:rFonts w:eastAsia="Calibri"/>
          <w:sz w:val="28"/>
          <w:szCs w:val="28"/>
          <w:lang w:eastAsia="en-US"/>
        </w:rPr>
        <w:t xml:space="preserve"> продуктів ПЛР.</w:t>
      </w:r>
    </w:p>
    <w:p w14:paraId="2A42244D"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Молекулярно-генетичний аналіз поліморфних варіантів </w:t>
      </w:r>
      <w:r w:rsidRPr="00520861">
        <w:rPr>
          <w:rFonts w:eastAsia="Calibri"/>
          <w:bCs/>
          <w:i/>
          <w:sz w:val="28"/>
          <w:szCs w:val="28"/>
          <w:lang w:eastAsia="en-US"/>
        </w:rPr>
        <w:t>IL10</w:t>
      </w:r>
      <w:r w:rsidRPr="00520861">
        <w:rPr>
          <w:rFonts w:eastAsia="Calibri"/>
          <w:bCs/>
          <w:sz w:val="28"/>
          <w:szCs w:val="28"/>
          <w:lang w:eastAsia="en-US"/>
        </w:rPr>
        <w:t xml:space="preserve"> [rs1800896] та </w:t>
      </w:r>
      <w:r w:rsidRPr="00520861">
        <w:rPr>
          <w:rFonts w:eastAsia="Calibri"/>
          <w:bCs/>
          <w:i/>
          <w:sz w:val="28"/>
          <w:szCs w:val="28"/>
          <w:lang w:eastAsia="en-US"/>
        </w:rPr>
        <w:t>IL1</w:t>
      </w:r>
      <w:r w:rsidRPr="00520861">
        <w:rPr>
          <w:rFonts w:eastAsia="Calibri"/>
          <w:bCs/>
          <w:i/>
          <w:sz w:val="28"/>
          <w:szCs w:val="28"/>
          <w:lang w:eastAsia="en-US"/>
        </w:rPr>
        <w:sym w:font="Symbol" w:char="F062"/>
      </w:r>
      <w:r w:rsidRPr="00520861">
        <w:rPr>
          <w:rFonts w:eastAsia="Calibri"/>
          <w:bCs/>
          <w:i/>
          <w:sz w:val="28"/>
          <w:szCs w:val="28"/>
          <w:lang w:eastAsia="en-US"/>
        </w:rPr>
        <w:t xml:space="preserve">: </w:t>
      </w:r>
      <w:r w:rsidRPr="00520861">
        <w:rPr>
          <w:rFonts w:eastAsia="Calibri"/>
          <w:bCs/>
          <w:sz w:val="28"/>
          <w:szCs w:val="28"/>
          <w:lang w:eastAsia="en-US"/>
        </w:rPr>
        <w:t>[rs1143627] генів</w:t>
      </w:r>
      <w:r w:rsidRPr="00520861">
        <w:rPr>
          <w:rFonts w:eastAsia="Calibri"/>
          <w:bCs/>
          <w:i/>
          <w:sz w:val="28"/>
          <w:szCs w:val="28"/>
          <w:lang w:eastAsia="en-US"/>
        </w:rPr>
        <w:t xml:space="preserve"> </w:t>
      </w:r>
      <w:r w:rsidRPr="00520861">
        <w:rPr>
          <w:rFonts w:eastAsia="Calibri"/>
          <w:sz w:val="28"/>
          <w:szCs w:val="28"/>
          <w:lang w:eastAsia="en-US"/>
        </w:rPr>
        <w:t xml:space="preserve">проводився аналогічним методом (рис. 2.2) із використанням наборів реагентів для аналізу </w:t>
      </w:r>
      <w:proofErr w:type="spellStart"/>
      <w:r w:rsidRPr="00520861">
        <w:rPr>
          <w:rFonts w:eastAsia="Calibri"/>
          <w:sz w:val="28"/>
          <w:szCs w:val="28"/>
          <w:lang w:eastAsia="en-US"/>
        </w:rPr>
        <w:t>однонуклеотидних</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поліморфізмів</w:t>
      </w:r>
      <w:proofErr w:type="spellEnd"/>
      <w:r w:rsidRPr="00520861">
        <w:rPr>
          <w:rFonts w:eastAsia="Calibri"/>
          <w:sz w:val="28"/>
          <w:szCs w:val="28"/>
          <w:lang w:eastAsia="en-US"/>
        </w:rPr>
        <w:t xml:space="preserve"> «</w:t>
      </w:r>
      <w:r w:rsidRPr="00520861">
        <w:rPr>
          <w:rFonts w:eastAsia="Calibri"/>
          <w:bCs/>
          <w:i/>
          <w:sz w:val="28"/>
          <w:szCs w:val="28"/>
          <w:lang w:eastAsia="en-US"/>
        </w:rPr>
        <w:t>G: -1082 A</w:t>
      </w:r>
      <w:r w:rsidRPr="00520861">
        <w:rPr>
          <w:rFonts w:eastAsia="Calibri"/>
          <w:sz w:val="28"/>
          <w:szCs w:val="28"/>
          <w:lang w:eastAsia="en-US"/>
        </w:rPr>
        <w:t xml:space="preserve"> в гені </w:t>
      </w:r>
      <w:r w:rsidRPr="00520861">
        <w:rPr>
          <w:rFonts w:eastAsia="Calibri"/>
          <w:bCs/>
          <w:i/>
          <w:sz w:val="28"/>
          <w:szCs w:val="28"/>
          <w:lang w:eastAsia="en-US"/>
        </w:rPr>
        <w:t>IL10</w:t>
      </w:r>
      <w:r w:rsidRPr="00520861">
        <w:rPr>
          <w:rFonts w:eastAsia="Calibri"/>
          <w:bCs/>
          <w:sz w:val="28"/>
          <w:szCs w:val="28"/>
          <w:lang w:eastAsia="en-US"/>
        </w:rPr>
        <w:t>» (</w:t>
      </w:r>
      <w:r w:rsidRPr="00520861">
        <w:rPr>
          <w:rFonts w:eastAsia="Calibri"/>
          <w:sz w:val="28"/>
          <w:szCs w:val="28"/>
          <w:lang w:eastAsia="en-US"/>
        </w:rPr>
        <w:t>серійні номери: 02/S186/18</w:t>
      </w:r>
      <w:r w:rsidRPr="00520861">
        <w:rPr>
          <w:rFonts w:eastAsia="Calibri"/>
          <w:bCs/>
          <w:sz w:val="28"/>
          <w:szCs w:val="28"/>
          <w:lang w:eastAsia="en-US"/>
        </w:rPr>
        <w:t>)</w:t>
      </w:r>
      <w:r w:rsidRPr="00520861">
        <w:rPr>
          <w:rFonts w:eastAsia="Calibri"/>
          <w:bCs/>
          <w:i/>
          <w:sz w:val="28"/>
          <w:szCs w:val="28"/>
          <w:lang w:eastAsia="en-US"/>
        </w:rPr>
        <w:t xml:space="preserve"> </w:t>
      </w:r>
      <w:r w:rsidRPr="00520861">
        <w:rPr>
          <w:rFonts w:eastAsia="Calibri"/>
          <w:bCs/>
          <w:sz w:val="28"/>
          <w:szCs w:val="28"/>
          <w:lang w:eastAsia="en-US"/>
        </w:rPr>
        <w:t>та «</w:t>
      </w:r>
      <w:r w:rsidRPr="00520861">
        <w:rPr>
          <w:rFonts w:eastAsia="Calibri"/>
          <w:bCs/>
          <w:i/>
          <w:sz w:val="28"/>
          <w:szCs w:val="28"/>
          <w:lang w:eastAsia="en-US"/>
        </w:rPr>
        <w:t>T−31 C</w:t>
      </w:r>
      <w:r w:rsidRPr="00520861">
        <w:rPr>
          <w:rFonts w:eastAsia="Calibri"/>
          <w:bCs/>
          <w:sz w:val="28"/>
          <w:szCs w:val="28"/>
          <w:lang w:eastAsia="en-US"/>
        </w:rPr>
        <w:t xml:space="preserve"> в гені </w:t>
      </w:r>
      <w:r w:rsidRPr="00520861">
        <w:rPr>
          <w:rFonts w:eastAsia="Calibri"/>
          <w:bCs/>
          <w:i/>
          <w:sz w:val="28"/>
          <w:szCs w:val="28"/>
          <w:lang w:eastAsia="en-US"/>
        </w:rPr>
        <w:t>IL1</w:t>
      </w:r>
      <w:r w:rsidRPr="00520861">
        <w:rPr>
          <w:rFonts w:eastAsia="Calibri"/>
          <w:bCs/>
          <w:i/>
          <w:sz w:val="28"/>
          <w:szCs w:val="28"/>
          <w:lang w:eastAsia="en-US"/>
        </w:rPr>
        <w:sym w:font="Symbol" w:char="F062"/>
      </w:r>
      <w:r w:rsidRPr="00520861">
        <w:rPr>
          <w:rFonts w:eastAsia="Calibri"/>
          <w:bCs/>
          <w:sz w:val="28"/>
          <w:szCs w:val="28"/>
          <w:lang w:eastAsia="en-US"/>
        </w:rPr>
        <w:t>»</w:t>
      </w:r>
      <w:r w:rsidRPr="00520861">
        <w:rPr>
          <w:rFonts w:eastAsia="Calibri"/>
          <w:sz w:val="28"/>
          <w:szCs w:val="28"/>
          <w:lang w:eastAsia="en-US"/>
        </w:rPr>
        <w:t xml:space="preserve"> (серійні номери: 07/S277/17, 03/S277/18) НВО «</w:t>
      </w:r>
      <w:proofErr w:type="spellStart"/>
      <w:r w:rsidRPr="00520861">
        <w:rPr>
          <w:rFonts w:eastAsia="Calibri"/>
          <w:sz w:val="28"/>
          <w:szCs w:val="28"/>
          <w:lang w:eastAsia="en-US"/>
        </w:rPr>
        <w:t>Літех</w:t>
      </w:r>
      <w:proofErr w:type="spellEnd"/>
      <w:r w:rsidRPr="00520861">
        <w:rPr>
          <w:rFonts w:eastAsia="Calibri"/>
          <w:sz w:val="28"/>
          <w:szCs w:val="28"/>
          <w:lang w:eastAsia="en-US"/>
        </w:rPr>
        <w:t>»</w:t>
      </w:r>
      <w:r w:rsidRPr="00520861">
        <w:rPr>
          <w:rFonts w:eastAsia="Calibri"/>
          <w:bCs/>
          <w:sz w:val="28"/>
          <w:szCs w:val="28"/>
          <w:lang w:eastAsia="en-US"/>
        </w:rPr>
        <w:t xml:space="preserve"> </w:t>
      </w:r>
      <w:r w:rsidRPr="00520861">
        <w:rPr>
          <w:rFonts w:eastAsia="Calibri"/>
          <w:sz w:val="28"/>
          <w:szCs w:val="28"/>
          <w:lang w:eastAsia="en-US"/>
        </w:rPr>
        <w:t xml:space="preserve">«SNP-ЕКСПРЕСС-РВ» (РФ). </w:t>
      </w:r>
    </w:p>
    <w:p w14:paraId="467777D0" w14:textId="77777777" w:rsidR="00CF641C" w:rsidRPr="00520861" w:rsidRDefault="00CF641C" w:rsidP="00292D2E">
      <w:pPr>
        <w:widowControl w:val="0"/>
        <w:spacing w:line="360" w:lineRule="auto"/>
        <w:jc w:val="center"/>
        <w:rPr>
          <w:rFonts w:eastAsia="Calibri"/>
          <w:bCs/>
          <w:i/>
          <w:sz w:val="28"/>
          <w:szCs w:val="28"/>
          <w:lang w:eastAsia="en-US"/>
        </w:rPr>
      </w:pPr>
      <w:r w:rsidRPr="00520861">
        <w:rPr>
          <w:rFonts w:eastAsia="Calibri"/>
          <w:noProof/>
          <w:sz w:val="28"/>
          <w:szCs w:val="28"/>
          <w:lang w:val="ru-RU"/>
        </w:rPr>
        <w:drawing>
          <wp:inline distT="0" distB="0" distL="0" distR="0" wp14:anchorId="6B60F387" wp14:editId="016B6AA6">
            <wp:extent cx="6400800" cy="3438525"/>
            <wp:effectExtent l="0" t="0" r="0" b="0"/>
            <wp:docPr id="18" name="Рисунок 3" descr="C:\Users\Olyushka\Desktop\литех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Olyushka\Desktop\литех .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00800" cy="3438525"/>
                    </a:xfrm>
                    <a:prstGeom prst="rect">
                      <a:avLst/>
                    </a:prstGeom>
                    <a:noFill/>
                    <a:ln>
                      <a:noFill/>
                    </a:ln>
                  </pic:spPr>
                </pic:pic>
              </a:graphicData>
            </a:graphic>
          </wp:inline>
        </w:drawing>
      </w:r>
    </w:p>
    <w:p w14:paraId="703C383B"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2.2. Графік залежності флуоресценції </w:t>
      </w:r>
      <w:proofErr w:type="spellStart"/>
      <w:r w:rsidRPr="00520861">
        <w:rPr>
          <w:rFonts w:eastAsia="Calibri"/>
          <w:sz w:val="28"/>
          <w:szCs w:val="28"/>
          <w:lang w:eastAsia="en-US"/>
        </w:rPr>
        <w:t>геномної</w:t>
      </w:r>
      <w:proofErr w:type="spellEnd"/>
      <w:r w:rsidRPr="00520861">
        <w:rPr>
          <w:rFonts w:eastAsia="Calibri"/>
          <w:sz w:val="28"/>
          <w:szCs w:val="28"/>
          <w:lang w:eastAsia="en-US"/>
        </w:rPr>
        <w:t xml:space="preserve"> ДНК від температури плавлення зразків. Набір «T−31 C в гені IL1b» </w:t>
      </w:r>
      <w:r w:rsidRPr="00520861">
        <w:rPr>
          <w:rFonts w:eastAsia="Calibri"/>
          <w:sz w:val="28"/>
          <w:szCs w:val="28"/>
          <w:lang w:eastAsia="en-US"/>
        </w:rPr>
        <w:br/>
        <w:t>(НВО «</w:t>
      </w:r>
      <w:proofErr w:type="spellStart"/>
      <w:r w:rsidRPr="00520861">
        <w:rPr>
          <w:rFonts w:eastAsia="Calibri"/>
          <w:sz w:val="28"/>
          <w:szCs w:val="28"/>
          <w:lang w:eastAsia="en-US"/>
        </w:rPr>
        <w:t>Літех</w:t>
      </w:r>
      <w:proofErr w:type="spellEnd"/>
      <w:r w:rsidRPr="00520861">
        <w:rPr>
          <w:rFonts w:eastAsia="Calibri"/>
          <w:sz w:val="28"/>
          <w:szCs w:val="28"/>
          <w:lang w:eastAsia="en-US"/>
        </w:rPr>
        <w:t>» «SNP-ЕКСПРЕСС-РВ»).</w:t>
      </w:r>
    </w:p>
    <w:p w14:paraId="51462F30" w14:textId="77777777" w:rsidR="00CF641C" w:rsidRPr="00520861" w:rsidRDefault="00CF641C" w:rsidP="00292D2E">
      <w:pPr>
        <w:widowControl w:val="0"/>
        <w:spacing w:line="360" w:lineRule="auto"/>
        <w:ind w:firstLine="708"/>
        <w:jc w:val="both"/>
        <w:rPr>
          <w:rFonts w:eastAsia="Calibri"/>
          <w:sz w:val="28"/>
          <w:szCs w:val="28"/>
          <w:lang w:eastAsia="en-US"/>
        </w:rPr>
      </w:pPr>
    </w:p>
    <w:p w14:paraId="0C8D12BE" w14:textId="77777777" w:rsidR="00CF641C" w:rsidRPr="00520861" w:rsidRDefault="00CF641C" w:rsidP="00292D2E">
      <w:pPr>
        <w:widowControl w:val="0"/>
        <w:spacing w:line="360" w:lineRule="auto"/>
        <w:ind w:firstLine="708"/>
        <w:jc w:val="both"/>
        <w:rPr>
          <w:rFonts w:eastAsia="Calibri"/>
          <w:spacing w:val="-2"/>
          <w:sz w:val="28"/>
          <w:szCs w:val="28"/>
          <w:lang w:eastAsia="en-US"/>
        </w:rPr>
      </w:pPr>
      <w:r w:rsidRPr="00520861">
        <w:rPr>
          <w:rFonts w:eastAsia="Calibri"/>
          <w:spacing w:val="-2"/>
          <w:sz w:val="28"/>
          <w:szCs w:val="28"/>
          <w:lang w:eastAsia="en-US"/>
        </w:rPr>
        <w:t xml:space="preserve">Частоти генотипів для кожного варіанта генів були перевірені на відповідність рівновазі </w:t>
      </w:r>
      <w:proofErr w:type="spellStart"/>
      <w:r w:rsidRPr="00520861">
        <w:rPr>
          <w:rFonts w:eastAsia="Calibri"/>
          <w:spacing w:val="-2"/>
          <w:sz w:val="28"/>
          <w:szCs w:val="28"/>
          <w:lang w:eastAsia="en-US"/>
        </w:rPr>
        <w:t>Харді</w:t>
      </w:r>
      <w:proofErr w:type="spellEnd"/>
      <w:r w:rsidRPr="00520861">
        <w:rPr>
          <w:rFonts w:eastAsia="Calibri"/>
          <w:spacing w:val="-2"/>
          <w:sz w:val="28"/>
          <w:szCs w:val="28"/>
          <w:lang w:eastAsia="en-US"/>
        </w:rPr>
        <w:t> – </w:t>
      </w:r>
      <w:proofErr w:type="spellStart"/>
      <w:r w:rsidRPr="00520861">
        <w:rPr>
          <w:rFonts w:eastAsia="Calibri"/>
          <w:spacing w:val="-2"/>
          <w:sz w:val="28"/>
          <w:szCs w:val="28"/>
          <w:lang w:eastAsia="en-US"/>
        </w:rPr>
        <w:t>Вайнберга</w:t>
      </w:r>
      <w:proofErr w:type="spellEnd"/>
      <w:r w:rsidRPr="00520861">
        <w:rPr>
          <w:rFonts w:eastAsia="Calibri"/>
          <w:spacing w:val="-2"/>
          <w:sz w:val="28"/>
          <w:szCs w:val="28"/>
          <w:lang w:eastAsia="en-US"/>
        </w:rPr>
        <w:t xml:space="preserve"> за критерієм </w:t>
      </w:r>
      <w:r w:rsidRPr="00520861">
        <w:rPr>
          <w:rFonts w:eastAsia="Calibri"/>
          <w:spacing w:val="-2"/>
          <w:sz w:val="28"/>
          <w:szCs w:val="28"/>
          <w:lang w:eastAsia="en-US"/>
        </w:rPr>
        <w:sym w:font="Symbol" w:char="F063"/>
      </w:r>
      <w:r w:rsidRPr="00520861">
        <w:rPr>
          <w:rFonts w:eastAsia="Calibri"/>
          <w:spacing w:val="-2"/>
          <w:sz w:val="28"/>
          <w:szCs w:val="28"/>
          <w:vertAlign w:val="superscript"/>
          <w:lang w:eastAsia="en-US"/>
        </w:rPr>
        <w:t xml:space="preserve">2 </w:t>
      </w:r>
      <w:r w:rsidRPr="00520861">
        <w:rPr>
          <w:rFonts w:eastAsia="Calibri"/>
          <w:spacing w:val="-2"/>
          <w:sz w:val="28"/>
          <w:szCs w:val="28"/>
          <w:lang w:eastAsia="en-US"/>
        </w:rPr>
        <w:t xml:space="preserve">при </w:t>
      </w:r>
      <w:r w:rsidR="008F04CE" w:rsidRPr="00520861">
        <w:rPr>
          <w:rFonts w:eastAsia="Calibri"/>
          <w:i/>
          <w:sz w:val="28"/>
          <w:szCs w:val="28"/>
          <w:lang w:eastAsia="en-US"/>
        </w:rPr>
        <w:t>p</w:t>
      </w:r>
      <w:r w:rsidR="00CD7533" w:rsidRPr="00520861">
        <w:rPr>
          <w:rFonts w:eastAsia="Calibri"/>
          <w:sz w:val="28"/>
          <w:szCs w:val="28"/>
          <w:lang w:eastAsia="en-US"/>
        </w:rPr>
        <w:t>&lt;</w:t>
      </w:r>
      <w:r w:rsidR="008F04CE" w:rsidRPr="00520861">
        <w:rPr>
          <w:rFonts w:eastAsia="Calibri"/>
          <w:sz w:val="28"/>
          <w:szCs w:val="28"/>
          <w:lang w:eastAsia="en-US"/>
        </w:rPr>
        <w:t>0,05</w:t>
      </w:r>
      <w:r w:rsidR="008F04CE" w:rsidRPr="00520861">
        <w:rPr>
          <w:rFonts w:eastAsia="Calibri"/>
          <w:sz w:val="28"/>
          <w:szCs w:val="28"/>
          <w:lang w:val="ru-RU" w:eastAsia="en-US"/>
        </w:rPr>
        <w:t xml:space="preserve"> </w:t>
      </w:r>
      <w:r w:rsidRPr="00520861">
        <w:rPr>
          <w:rFonts w:eastAsia="Calibri"/>
          <w:spacing w:val="-2"/>
          <w:sz w:val="28"/>
          <w:szCs w:val="28"/>
          <w:lang w:eastAsia="en-US"/>
        </w:rPr>
        <w:t xml:space="preserve">за допомогою ресурсу [345]. </w:t>
      </w:r>
    </w:p>
    <w:p w14:paraId="1B14AF62" w14:textId="77777777" w:rsidR="00CF641C" w:rsidRPr="00520861" w:rsidRDefault="00CF641C" w:rsidP="00292D2E">
      <w:pPr>
        <w:widowControl w:val="0"/>
        <w:spacing w:line="360" w:lineRule="auto"/>
        <w:ind w:firstLine="708"/>
        <w:jc w:val="both"/>
        <w:rPr>
          <w:rFonts w:eastAsia="Calibri"/>
          <w:bCs/>
          <w:sz w:val="28"/>
          <w:szCs w:val="28"/>
          <w:lang w:eastAsia="en-US"/>
        </w:rPr>
      </w:pPr>
      <w:r w:rsidRPr="00520861">
        <w:rPr>
          <w:rFonts w:eastAsia="Calibri"/>
          <w:bCs/>
          <w:sz w:val="28"/>
          <w:szCs w:val="28"/>
          <w:lang w:eastAsia="en-US"/>
        </w:rPr>
        <w:t xml:space="preserve">Цей закон описує розподіл генів у сталій популяції. Його виконання забезпечує можливість поширювати висновки, одержані для обмеженої групи обстежених осіб у </w:t>
      </w:r>
      <w:r w:rsidRPr="00520861">
        <w:rPr>
          <w:rFonts w:eastAsia="Calibri"/>
          <w:sz w:val="28"/>
          <w:szCs w:val="28"/>
          <w:lang w:eastAsia="en-US"/>
        </w:rPr>
        <w:t>дослідженнях рівня «випадок – контроль»</w:t>
      </w:r>
      <w:r w:rsidRPr="00520861">
        <w:rPr>
          <w:rFonts w:eastAsia="Calibri"/>
          <w:bCs/>
          <w:sz w:val="28"/>
          <w:szCs w:val="28"/>
          <w:lang w:eastAsia="en-US"/>
        </w:rPr>
        <w:t xml:space="preserve">, на популяцію </w:t>
      </w:r>
      <w:proofErr w:type="spellStart"/>
      <w:r w:rsidRPr="00520861">
        <w:rPr>
          <w:rFonts w:eastAsia="Calibri"/>
          <w:bCs/>
          <w:sz w:val="28"/>
          <w:szCs w:val="28"/>
          <w:lang w:eastAsia="en-US"/>
        </w:rPr>
        <w:t>вцілому</w:t>
      </w:r>
      <w:proofErr w:type="spellEnd"/>
      <w:r w:rsidRPr="00520861">
        <w:rPr>
          <w:rFonts w:eastAsia="Calibri"/>
          <w:bCs/>
          <w:sz w:val="28"/>
          <w:szCs w:val="28"/>
          <w:lang w:eastAsia="en-US"/>
        </w:rPr>
        <w:t xml:space="preserve"> [276].</w:t>
      </w:r>
    </w:p>
    <w:p w14:paraId="03990A7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Аналіз моделей </w:t>
      </w:r>
      <w:proofErr w:type="spellStart"/>
      <w:r w:rsidRPr="00520861">
        <w:rPr>
          <w:rFonts w:eastAsia="Calibri"/>
          <w:sz w:val="28"/>
          <w:szCs w:val="28"/>
          <w:lang w:eastAsia="en-US"/>
        </w:rPr>
        <w:t>пенетрантності</w:t>
      </w:r>
      <w:proofErr w:type="spellEnd"/>
      <w:r w:rsidRPr="00520861">
        <w:rPr>
          <w:rFonts w:eastAsia="Calibri"/>
          <w:sz w:val="28"/>
          <w:szCs w:val="28"/>
          <w:lang w:eastAsia="en-US"/>
        </w:rPr>
        <w:t xml:space="preserve"> захворювання (далі – просто «моделі </w:t>
      </w:r>
      <w:r w:rsidRPr="00520861">
        <w:rPr>
          <w:rFonts w:eastAsia="Calibri"/>
          <w:sz w:val="28"/>
          <w:szCs w:val="28"/>
          <w:lang w:eastAsia="en-US"/>
        </w:rPr>
        <w:br/>
      </w:r>
      <w:r w:rsidRPr="00520861">
        <w:rPr>
          <w:rFonts w:eastAsia="Calibri"/>
          <w:sz w:val="28"/>
          <w:szCs w:val="28"/>
          <w:lang w:eastAsia="en-US"/>
        </w:rPr>
        <w:lastRenderedPageBreak/>
        <w:t xml:space="preserve">успадкування») – це сучасний стандарт генетичного дослідження [164]. Моделі розраховуються для того, щоб виявити, який генотип (мінорний, мажорний чи гетерозиготний) найбільш важливий для клінічного прогнозу ризику або протекції. Були </w:t>
      </w:r>
      <w:r w:rsidRPr="00520861">
        <w:rPr>
          <w:rFonts w:eastAsia="Calibri"/>
          <w:sz w:val="28"/>
          <w:szCs w:val="28"/>
          <w:lang w:eastAsia="en-US"/>
        </w:rPr>
        <w:br/>
        <w:t xml:space="preserve">розглянуті такі стандартні тестові моделі: адитивна, рецесивна, домінантна,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та мультиплікативна.</w:t>
      </w:r>
    </w:p>
    <w:p w14:paraId="21330BC3"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Клінічно-прогностичний сенс цих моделей пояснюється наступним чином. Якщо із певним мінорним алелем A асоційоване захворювання із параметром генетичної </w:t>
      </w:r>
      <w:proofErr w:type="spellStart"/>
      <w:r w:rsidRPr="00520861">
        <w:rPr>
          <w:rFonts w:eastAsia="Calibri"/>
          <w:sz w:val="28"/>
          <w:szCs w:val="28"/>
          <w:lang w:eastAsia="en-US"/>
        </w:rPr>
        <w:t>пенетрантності</w:t>
      </w:r>
      <w:proofErr w:type="spellEnd"/>
      <w:r w:rsidRPr="00520861">
        <w:rPr>
          <w:rFonts w:eastAsia="Calibri"/>
          <w:sz w:val="28"/>
          <w:szCs w:val="28"/>
          <w:lang w:eastAsia="en-US"/>
        </w:rPr>
        <w:t xml:space="preserve"> (чи успадкування) γ &gt; 1, то мультиплікативна модель указує на те, що ризик захворювання збільшується γ-</w:t>
      </w:r>
      <w:proofErr w:type="spellStart"/>
      <w:r w:rsidRPr="00520861">
        <w:rPr>
          <w:rFonts w:eastAsia="Calibri"/>
          <w:sz w:val="28"/>
          <w:szCs w:val="28"/>
          <w:lang w:eastAsia="en-US"/>
        </w:rPr>
        <w:t>кратно</w:t>
      </w:r>
      <w:proofErr w:type="spellEnd"/>
      <w:r w:rsidRPr="00520861">
        <w:rPr>
          <w:rFonts w:eastAsia="Calibri"/>
          <w:sz w:val="28"/>
          <w:szCs w:val="28"/>
          <w:lang w:eastAsia="en-US"/>
        </w:rPr>
        <w:t xml:space="preserve"> з кожним додатковим алелем A в порівнянні з ризиком, який існує за мажорного генотипу. Адитивна модель </w:t>
      </w:r>
      <w:r w:rsidRPr="00520861">
        <w:rPr>
          <w:rFonts w:eastAsia="Calibri"/>
          <w:sz w:val="28"/>
          <w:szCs w:val="28"/>
          <w:lang w:eastAsia="en-US"/>
        </w:rPr>
        <w:br/>
        <w:t xml:space="preserve">установлює, що ризик захворювання збільшується в γ разів для гетерозиготного генотипу й у 2γ разів для генотипу AA. Для рецесивної моделі збільшення ризику захворювання в γ разів відбувається тільки за наявності двох екземплярів алеля A, а в разі домінантної моделі – як за наявності одного, так і двох </w:t>
      </w:r>
      <w:proofErr w:type="spellStart"/>
      <w:r w:rsidRPr="00520861">
        <w:rPr>
          <w:rFonts w:eastAsia="Calibri"/>
          <w:sz w:val="28"/>
          <w:szCs w:val="28"/>
          <w:lang w:eastAsia="en-US"/>
        </w:rPr>
        <w:t>алелей</w:t>
      </w:r>
      <w:proofErr w:type="spellEnd"/>
      <w:r w:rsidRPr="00520861">
        <w:rPr>
          <w:rFonts w:eastAsia="Calibri"/>
          <w:sz w:val="28"/>
          <w:szCs w:val="28"/>
          <w:lang w:eastAsia="en-US"/>
        </w:rPr>
        <w:t xml:space="preserve"> A </w:t>
      </w:r>
      <w:r w:rsidRPr="00520861">
        <w:rPr>
          <w:rFonts w:eastAsia="Calibri"/>
          <w:bCs/>
          <w:sz w:val="28"/>
          <w:szCs w:val="28"/>
          <w:lang w:eastAsia="en-US"/>
        </w:rPr>
        <w:t>[276]</w:t>
      </w:r>
      <w:r w:rsidRPr="00520861">
        <w:rPr>
          <w:rFonts w:eastAsia="Calibri"/>
          <w:sz w:val="28"/>
          <w:szCs w:val="28"/>
          <w:lang w:eastAsia="en-US"/>
        </w:rPr>
        <w:t>.</w:t>
      </w:r>
    </w:p>
    <w:p w14:paraId="3E5708D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Вибір найкращої моделі успадкування здійснювався на основі порівняння </w:t>
      </w:r>
      <w:r w:rsidRPr="00520861">
        <w:rPr>
          <w:rFonts w:eastAsia="Calibri"/>
          <w:sz w:val="28"/>
          <w:szCs w:val="28"/>
          <w:lang w:eastAsia="en-US"/>
        </w:rPr>
        <w:br/>
        <w:t xml:space="preserve">показників </w:t>
      </w:r>
      <w:r w:rsidRPr="00520861">
        <w:rPr>
          <w:rFonts w:eastAsia="Calibri"/>
          <w:sz w:val="28"/>
          <w:szCs w:val="28"/>
          <w:lang w:eastAsia="en-US"/>
        </w:rPr>
        <w:sym w:font="Symbol" w:char="F063"/>
      </w:r>
      <w:r w:rsidRPr="00520861">
        <w:rPr>
          <w:rFonts w:eastAsia="Calibri"/>
          <w:sz w:val="28"/>
          <w:szCs w:val="28"/>
          <w:vertAlign w:val="superscript"/>
          <w:lang w:eastAsia="en-US"/>
        </w:rPr>
        <w:t>2</w:t>
      </w:r>
      <w:r w:rsidRPr="00520861">
        <w:rPr>
          <w:rFonts w:eastAsia="Calibri"/>
          <w:sz w:val="28"/>
          <w:szCs w:val="28"/>
          <w:lang w:eastAsia="en-US"/>
        </w:rPr>
        <w:t xml:space="preserve"> із поправкою </w:t>
      </w:r>
      <w:proofErr w:type="spellStart"/>
      <w:r w:rsidRPr="00520861">
        <w:rPr>
          <w:rFonts w:eastAsia="Calibri"/>
          <w:sz w:val="28"/>
          <w:szCs w:val="28"/>
          <w:lang w:eastAsia="en-US"/>
        </w:rPr>
        <w:t>Йєтса</w:t>
      </w:r>
      <w:proofErr w:type="spellEnd"/>
      <w:r w:rsidRPr="00520861">
        <w:rPr>
          <w:rFonts w:eastAsia="Calibri"/>
          <w:sz w:val="28"/>
          <w:szCs w:val="28"/>
          <w:lang w:eastAsia="en-US"/>
        </w:rPr>
        <w:t xml:space="preserve">. </w:t>
      </w:r>
    </w:p>
    <w:p w14:paraId="2BFAE125"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Для порівняння ризиків розвитку захворювання в групах використовували </w:t>
      </w:r>
      <w:r w:rsidRPr="00520861">
        <w:rPr>
          <w:rFonts w:eastAsia="Calibri"/>
          <w:sz w:val="28"/>
          <w:szCs w:val="28"/>
          <w:lang w:eastAsia="en-US"/>
        </w:rPr>
        <w:br/>
        <w:t>показник «відношення шансів» (BШ) і його 95% довірчий інтервал (ДI).</w:t>
      </w:r>
    </w:p>
    <w:p w14:paraId="529C1564" w14:textId="77777777" w:rsidR="00CF641C" w:rsidRPr="00520861" w:rsidRDefault="00CF641C" w:rsidP="00292D2E">
      <w:pPr>
        <w:widowControl w:val="0"/>
        <w:spacing w:line="360" w:lineRule="auto"/>
        <w:ind w:firstLine="708"/>
        <w:jc w:val="both"/>
        <w:rPr>
          <w:sz w:val="28"/>
          <w:szCs w:val="28"/>
          <w:shd w:val="clear" w:color="auto" w:fill="FFFFFF"/>
        </w:rPr>
      </w:pPr>
      <w:r w:rsidRPr="00520861">
        <w:rPr>
          <w:sz w:val="28"/>
          <w:szCs w:val="28"/>
        </w:rPr>
        <w:t xml:space="preserve">Для перевірки можливості асоціації поліморфізму </w:t>
      </w:r>
      <w:r w:rsidRPr="00520861">
        <w:rPr>
          <w:i/>
          <w:sz w:val="28"/>
          <w:szCs w:val="28"/>
        </w:rPr>
        <w:t>BMP7</w:t>
      </w:r>
      <w:r w:rsidRPr="00520861">
        <w:rPr>
          <w:sz w:val="28"/>
          <w:szCs w:val="28"/>
        </w:rPr>
        <w:t xml:space="preserve">: [rs72626594] гена з розвитком карієсу постійних зубів було розроблено методику визначення </w:t>
      </w:r>
      <w:proofErr w:type="spellStart"/>
      <w:r w:rsidRPr="00520861">
        <w:rPr>
          <w:sz w:val="28"/>
          <w:szCs w:val="28"/>
        </w:rPr>
        <w:t>алелей</w:t>
      </w:r>
      <w:proofErr w:type="spellEnd"/>
      <w:r w:rsidRPr="00520861">
        <w:rPr>
          <w:sz w:val="28"/>
          <w:szCs w:val="28"/>
        </w:rPr>
        <w:t xml:space="preserve"> A та G цього поліморфізму за допомогою алель-специфічної ампліфікації. Підбір </w:t>
      </w:r>
      <w:proofErr w:type="spellStart"/>
      <w:r w:rsidRPr="00520861">
        <w:rPr>
          <w:sz w:val="28"/>
          <w:szCs w:val="28"/>
        </w:rPr>
        <w:t>праймерів</w:t>
      </w:r>
      <w:proofErr w:type="spellEnd"/>
      <w:r w:rsidRPr="00520861">
        <w:rPr>
          <w:sz w:val="28"/>
          <w:szCs w:val="28"/>
        </w:rPr>
        <w:t xml:space="preserve"> було проведено з використанням опції </w:t>
      </w:r>
      <w:proofErr w:type="spellStart"/>
      <w:r w:rsidRPr="00520861">
        <w:rPr>
          <w:sz w:val="28"/>
          <w:szCs w:val="28"/>
        </w:rPr>
        <w:t>Primer</w:t>
      </w:r>
      <w:proofErr w:type="spellEnd"/>
      <w:r w:rsidRPr="00520861">
        <w:rPr>
          <w:sz w:val="28"/>
          <w:szCs w:val="28"/>
        </w:rPr>
        <w:t xml:space="preserve"> </w:t>
      </w:r>
      <w:proofErr w:type="spellStart"/>
      <w:r w:rsidRPr="00520861">
        <w:rPr>
          <w:sz w:val="28"/>
          <w:szCs w:val="28"/>
        </w:rPr>
        <w:t>Blast</w:t>
      </w:r>
      <w:proofErr w:type="spellEnd"/>
      <w:r w:rsidRPr="00520861">
        <w:rPr>
          <w:sz w:val="28"/>
          <w:szCs w:val="28"/>
        </w:rPr>
        <w:t xml:space="preserve"> на сайті</w:t>
      </w:r>
      <w:r w:rsidRPr="00520861">
        <w:rPr>
          <w:rFonts w:eastAsia="Calibri"/>
          <w:sz w:val="28"/>
          <w:szCs w:val="28"/>
          <w:lang w:eastAsia="en-US"/>
        </w:rPr>
        <w:t xml:space="preserve"> ресурсу</w:t>
      </w:r>
      <w:r w:rsidRPr="00520861">
        <w:rPr>
          <w:sz w:val="28"/>
          <w:szCs w:val="28"/>
        </w:rPr>
        <w:t xml:space="preserve"> [576] NCBI (США)</w:t>
      </w:r>
      <w:r w:rsidRPr="00520861">
        <w:rPr>
          <w:color w:val="000000"/>
          <w:sz w:val="28"/>
          <w:szCs w:val="28"/>
          <w:shd w:val="clear" w:color="auto" w:fill="FFFFFF"/>
        </w:rPr>
        <w:t xml:space="preserve">. </w:t>
      </w:r>
      <w:r w:rsidRPr="00520861">
        <w:rPr>
          <w:sz w:val="28"/>
          <w:szCs w:val="28"/>
          <w:shd w:val="clear" w:color="auto" w:fill="FFFFFF"/>
        </w:rPr>
        <w:t>Опис методики викладений у Додатку В.6.</w:t>
      </w:r>
    </w:p>
    <w:p w14:paraId="48ED8C12" w14:textId="77777777" w:rsidR="00CF641C" w:rsidRPr="00520861" w:rsidRDefault="00CF641C" w:rsidP="00292D2E">
      <w:pPr>
        <w:widowControl w:val="0"/>
        <w:spacing w:line="360" w:lineRule="auto"/>
        <w:ind w:firstLine="709"/>
        <w:jc w:val="both"/>
        <w:rPr>
          <w:b/>
          <w:sz w:val="28"/>
          <w:szCs w:val="28"/>
        </w:rPr>
      </w:pPr>
    </w:p>
    <w:p w14:paraId="5C237A36" w14:textId="77777777" w:rsidR="00CF641C" w:rsidRPr="00520861" w:rsidRDefault="00CF641C" w:rsidP="00292D2E">
      <w:pPr>
        <w:widowControl w:val="0"/>
        <w:spacing w:line="360" w:lineRule="auto"/>
        <w:ind w:firstLine="709"/>
        <w:jc w:val="both"/>
        <w:rPr>
          <w:b/>
          <w:sz w:val="28"/>
          <w:szCs w:val="28"/>
        </w:rPr>
      </w:pPr>
      <w:r w:rsidRPr="00520861">
        <w:rPr>
          <w:b/>
          <w:sz w:val="28"/>
          <w:szCs w:val="28"/>
        </w:rPr>
        <w:t xml:space="preserve">2.9. Характеристика експериментальних груп </w:t>
      </w:r>
    </w:p>
    <w:p w14:paraId="58144421" w14:textId="77777777" w:rsidR="00CF641C" w:rsidRPr="00520861" w:rsidRDefault="00CF641C" w:rsidP="00292D2E">
      <w:pPr>
        <w:widowControl w:val="0"/>
        <w:spacing w:line="360" w:lineRule="auto"/>
        <w:ind w:firstLine="709"/>
        <w:jc w:val="both"/>
        <w:rPr>
          <w:b/>
          <w:sz w:val="28"/>
          <w:szCs w:val="28"/>
        </w:rPr>
      </w:pPr>
    </w:p>
    <w:p w14:paraId="1C869004"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Експериментальні дослідження було виконано на базі експериментальної </w:t>
      </w:r>
      <w:r w:rsidRPr="00520861">
        <w:rPr>
          <w:rFonts w:eastAsia="Calibri"/>
          <w:sz w:val="28"/>
          <w:szCs w:val="28"/>
          <w:lang w:eastAsia="en-US"/>
        </w:rPr>
        <w:br/>
        <w:t xml:space="preserve">біологічної клініки ХНМУ, кафедри патологічної анатомії ХНМУ. Дослідження з </w:t>
      </w:r>
      <w:r w:rsidRPr="00520861">
        <w:rPr>
          <w:rFonts w:eastAsia="Calibri"/>
          <w:sz w:val="28"/>
          <w:szCs w:val="28"/>
          <w:lang w:eastAsia="en-US"/>
        </w:rPr>
        <w:br/>
        <w:t>використанням конфокального мікроскопа проводилися на базі лабораторії</w:t>
      </w:r>
      <w:r w:rsidRPr="00520861">
        <w:rPr>
          <w:rFonts w:eastAsia="Calibri"/>
          <w:sz w:val="28"/>
          <w:szCs w:val="28"/>
          <w:lang w:eastAsia="en-US"/>
        </w:rPr>
        <w:br/>
        <w:t>«</w:t>
      </w:r>
      <w:proofErr w:type="spellStart"/>
      <w:r w:rsidRPr="00520861">
        <w:rPr>
          <w:rFonts w:eastAsia="Calibri"/>
          <w:sz w:val="28"/>
          <w:szCs w:val="28"/>
          <w:lang w:eastAsia="en-US"/>
        </w:rPr>
        <w:t>Біоматематика</w:t>
      </w:r>
      <w:proofErr w:type="spellEnd"/>
      <w:r w:rsidRPr="00520861">
        <w:rPr>
          <w:rFonts w:eastAsia="Calibri"/>
          <w:sz w:val="28"/>
          <w:szCs w:val="28"/>
          <w:lang w:eastAsia="en-US"/>
        </w:rPr>
        <w:t>» Інституту фізіології Чеської академії наук.</w:t>
      </w:r>
    </w:p>
    <w:p w14:paraId="714F9DC0" w14:textId="77777777" w:rsidR="00CF641C" w:rsidRPr="00520861" w:rsidRDefault="00CF641C" w:rsidP="00292D2E">
      <w:pPr>
        <w:widowControl w:val="0"/>
        <w:spacing w:line="360" w:lineRule="auto"/>
        <w:ind w:firstLine="709"/>
        <w:jc w:val="both"/>
        <w:rPr>
          <w:b/>
          <w:sz w:val="28"/>
          <w:szCs w:val="28"/>
        </w:rPr>
      </w:pPr>
      <w:r w:rsidRPr="00520861">
        <w:rPr>
          <w:rFonts w:eastAsia="Calibri"/>
          <w:sz w:val="28"/>
          <w:szCs w:val="28"/>
          <w:lang w:eastAsia="en-US"/>
        </w:rPr>
        <w:lastRenderedPageBreak/>
        <w:t xml:space="preserve">Для вивчення особливостей морфогенезу ЗЩС був поставлений експеримент з моделювання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w:t>
      </w:r>
      <w:r w:rsidRPr="00520861">
        <w:rPr>
          <w:bCs/>
          <w:sz w:val="28"/>
          <w:szCs w:val="28"/>
        </w:rPr>
        <w:t xml:space="preserve"> на щурах популяції </w:t>
      </w:r>
      <w:r w:rsidRPr="00520861">
        <w:rPr>
          <w:rFonts w:eastAsia="Calibri"/>
          <w:sz w:val="28"/>
          <w:szCs w:val="28"/>
          <w:lang w:eastAsia="en-US"/>
        </w:rPr>
        <w:t xml:space="preserve">WAG. Утримання й маніпуляції з експериментальними тваринами відповідали національним «Спільним етичним принципам досліджень на тваринах» (Україна, 2001), які узгоджуються з </w:t>
      </w:r>
      <w:r w:rsidRPr="00520861">
        <w:rPr>
          <w:rFonts w:eastAsia="Calibri"/>
          <w:sz w:val="28"/>
          <w:szCs w:val="28"/>
          <w:lang w:eastAsia="en-US"/>
        </w:rPr>
        <w:br/>
        <w:t xml:space="preserve">положеннями «Європейської конвенції про захист хребетних тварин, що використовуються для експериментальних та інших наукових цілей» (Страсбург, 1986). </w:t>
      </w:r>
    </w:p>
    <w:p w14:paraId="1663C6B7"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Для діагностики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застосували стандартний клінічний критерій – маса тіла більше 90-центильного рівня у великому масиві новонароджених щурят (</w:t>
      </w:r>
      <w:r w:rsidRPr="00520861">
        <w:rPr>
          <w:rFonts w:eastAsia="Calibri"/>
          <w:i/>
          <w:sz w:val="28"/>
          <w:szCs w:val="28"/>
          <w:lang w:eastAsia="en-US"/>
        </w:rPr>
        <w:t>n</w:t>
      </w:r>
      <w:r w:rsidRPr="00520861">
        <w:rPr>
          <w:rFonts w:eastAsia="Calibri"/>
          <w:sz w:val="28"/>
          <w:szCs w:val="28"/>
          <w:lang w:eastAsia="en-US"/>
        </w:rPr>
        <w:t>=500). За цими даними була обчислена медіанна маса тіла щурів при народженні (50-центильний рівень), що дорівнювала 5,28×10</w:t>
      </w:r>
      <w:r w:rsidRPr="00520861">
        <w:rPr>
          <w:rFonts w:eastAsia="Calibri"/>
          <w:sz w:val="28"/>
          <w:szCs w:val="28"/>
          <w:vertAlign w:val="superscript"/>
          <w:lang w:eastAsia="en-US"/>
        </w:rPr>
        <w:t>–3</w:t>
      </w:r>
      <w:r w:rsidRPr="00520861">
        <w:rPr>
          <w:rFonts w:eastAsia="Calibri"/>
          <w:sz w:val="28"/>
          <w:szCs w:val="28"/>
          <w:lang w:eastAsia="en-US"/>
        </w:rPr>
        <w:t xml:space="preserve"> кг. Щурів з масою тіла при </w:t>
      </w:r>
      <w:r w:rsidRPr="00520861">
        <w:rPr>
          <w:rFonts w:eastAsia="Calibri"/>
          <w:sz w:val="28"/>
          <w:szCs w:val="28"/>
          <w:lang w:eastAsia="en-US"/>
        </w:rPr>
        <w:br/>
        <w:t>народженні більшою або рівною 6,3×10</w:t>
      </w:r>
      <w:r w:rsidRPr="00520861">
        <w:rPr>
          <w:rFonts w:eastAsia="Calibri"/>
          <w:sz w:val="28"/>
          <w:szCs w:val="28"/>
          <w:vertAlign w:val="superscript"/>
          <w:lang w:eastAsia="en-US"/>
        </w:rPr>
        <w:t>–3</w:t>
      </w:r>
      <w:r w:rsidRPr="00520861">
        <w:rPr>
          <w:rFonts w:eastAsia="Calibri"/>
          <w:sz w:val="28"/>
          <w:szCs w:val="28"/>
          <w:lang w:eastAsia="en-US"/>
        </w:rPr>
        <w:t xml:space="preserve"> кг уважали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w:t>
      </w:r>
    </w:p>
    <w:p w14:paraId="0CCB069E"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Моделювання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проводилося за чотирма різними експериментальними моделями. </w:t>
      </w:r>
    </w:p>
    <w:p w14:paraId="63C98E59"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Модель 1. Тварини зрілого віку (8 – 9 місяців) перед спарюванням і під час вагітності перебували на висококалорійній дієті [84]. Інформація про вміст поживних речовин і калорійність дієти, а також перевірка її результативності за </w:t>
      </w:r>
      <w:proofErr w:type="spellStart"/>
      <w:r w:rsidRPr="00520861">
        <w:rPr>
          <w:rFonts w:eastAsia="Calibri"/>
          <w:sz w:val="28"/>
          <w:szCs w:val="28"/>
          <w:lang w:eastAsia="en-US"/>
        </w:rPr>
        <w:t>глюкозотолерантним</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інсулінотолерантним</w:t>
      </w:r>
      <w:proofErr w:type="spellEnd"/>
      <w:r w:rsidRPr="00520861">
        <w:rPr>
          <w:rFonts w:eastAsia="Calibri"/>
          <w:sz w:val="28"/>
          <w:szCs w:val="28"/>
          <w:lang w:eastAsia="en-US"/>
        </w:rPr>
        <w:t xml:space="preserve"> тестами наявна в роботі [353]. В основні групи відбиралися особини з їхнього потомства, маса яких при народженні була більшою за 90-центильний рівень (</w:t>
      </w:r>
      <w:r w:rsidRPr="00520861">
        <w:rPr>
          <w:rFonts w:eastAsia="Calibri"/>
          <w:i/>
          <w:sz w:val="28"/>
          <w:szCs w:val="28"/>
          <w:lang w:eastAsia="en-US"/>
        </w:rPr>
        <w:t>m</w:t>
      </w:r>
      <w:r w:rsidRPr="00520861">
        <w:rPr>
          <w:rFonts w:eastAsia="Calibri"/>
          <w:sz w:val="28"/>
          <w:szCs w:val="28"/>
          <w:lang w:eastAsia="en-US"/>
        </w:rPr>
        <w:t xml:space="preserve"> ≥ 6,3×10</w:t>
      </w:r>
      <w:r w:rsidRPr="00520861">
        <w:rPr>
          <w:rFonts w:eastAsia="Calibri"/>
          <w:sz w:val="28"/>
          <w:szCs w:val="28"/>
          <w:vertAlign w:val="superscript"/>
          <w:lang w:eastAsia="en-US"/>
        </w:rPr>
        <w:t>–3</w:t>
      </w:r>
      <w:r w:rsidRPr="00520861">
        <w:rPr>
          <w:rFonts w:eastAsia="Calibri"/>
          <w:sz w:val="28"/>
          <w:szCs w:val="28"/>
          <w:lang w:eastAsia="en-US"/>
        </w:rPr>
        <w:t xml:space="preserve"> кг). </w:t>
      </w:r>
    </w:p>
    <w:p w14:paraId="4666D9F4"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 Модель 2. Молоді тварини віком 3 – 5 місяців із середніми МРП перед спарюванням і під час вагітності перебували на стандартному раціоні віварію (1,67×10</w:t>
      </w:r>
      <w:r w:rsidRPr="00520861">
        <w:rPr>
          <w:rFonts w:eastAsia="Calibri"/>
          <w:sz w:val="28"/>
          <w:szCs w:val="28"/>
          <w:vertAlign w:val="superscript"/>
          <w:lang w:eastAsia="en-US"/>
        </w:rPr>
        <w:t>7</w:t>
      </w:r>
      <w:r w:rsidRPr="00520861">
        <w:rPr>
          <w:rFonts w:eastAsia="Calibri"/>
          <w:sz w:val="28"/>
          <w:szCs w:val="28"/>
          <w:lang w:eastAsia="en-US"/>
        </w:rPr>
        <w:t xml:space="preserve"> </w:t>
      </w:r>
      <w:proofErr w:type="spellStart"/>
      <w:r w:rsidRPr="00520861">
        <w:rPr>
          <w:rFonts w:eastAsia="Calibri"/>
          <w:sz w:val="28"/>
          <w:szCs w:val="28"/>
          <w:lang w:eastAsia="en-US"/>
        </w:rPr>
        <w:t>Дж</w:t>
      </w:r>
      <w:proofErr w:type="spellEnd"/>
      <w:r w:rsidRPr="00520861">
        <w:rPr>
          <w:rFonts w:eastAsia="Calibri"/>
          <w:sz w:val="28"/>
          <w:szCs w:val="28"/>
          <w:lang w:eastAsia="en-US"/>
        </w:rPr>
        <w:t xml:space="preserve">/кг, 5% жирів) [353]. Із їхнього потомства в основні групи відбиралися особини із ВУ стимуляцією ростових процесів, маса яких при народженні була більшою за </w:t>
      </w:r>
      <w:r w:rsidRPr="00520861">
        <w:rPr>
          <w:rFonts w:eastAsia="Calibri"/>
          <w:sz w:val="28"/>
          <w:szCs w:val="28"/>
          <w:lang w:eastAsia="en-US"/>
        </w:rPr>
        <w:br/>
        <w:t>90-центильний рівень (</w:t>
      </w:r>
      <w:r w:rsidRPr="00520861">
        <w:rPr>
          <w:rFonts w:eastAsia="Calibri"/>
          <w:i/>
          <w:sz w:val="28"/>
          <w:szCs w:val="28"/>
          <w:lang w:eastAsia="en-US"/>
        </w:rPr>
        <w:t>m</w:t>
      </w:r>
      <w:r w:rsidRPr="00520861">
        <w:rPr>
          <w:rFonts w:eastAsia="Calibri"/>
          <w:sz w:val="28"/>
          <w:szCs w:val="28"/>
          <w:lang w:eastAsia="en-US"/>
        </w:rPr>
        <w:t xml:space="preserve"> ≥ 6,3×10</w:t>
      </w:r>
      <w:r w:rsidRPr="00520861">
        <w:rPr>
          <w:rFonts w:eastAsia="Calibri"/>
          <w:sz w:val="28"/>
          <w:szCs w:val="28"/>
          <w:vertAlign w:val="superscript"/>
          <w:lang w:eastAsia="en-US"/>
        </w:rPr>
        <w:t>–3</w:t>
      </w:r>
      <w:r w:rsidRPr="00520861">
        <w:rPr>
          <w:rFonts w:eastAsia="Calibri"/>
          <w:sz w:val="28"/>
          <w:szCs w:val="28"/>
          <w:lang w:eastAsia="en-US"/>
        </w:rPr>
        <w:t xml:space="preserve"> кг). </w:t>
      </w:r>
    </w:p>
    <w:p w14:paraId="72C43583"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Модель 3 [84]. Молоді тварини віком 3 – 5 місяців перед спарюванням і під час вагітності перебували на висококалорійній дієті [353]. Із їхнього потомства в основні групи відбиралися особини, маса яких при народженні була більшою за </w:t>
      </w:r>
      <w:r w:rsidRPr="00520861">
        <w:rPr>
          <w:rFonts w:eastAsia="Calibri"/>
          <w:sz w:val="28"/>
          <w:szCs w:val="28"/>
          <w:lang w:eastAsia="en-US"/>
        </w:rPr>
        <w:br/>
        <w:t>90-центильний рівень (</w:t>
      </w:r>
      <w:r w:rsidRPr="00520861">
        <w:rPr>
          <w:rFonts w:eastAsia="Calibri"/>
          <w:i/>
          <w:sz w:val="28"/>
          <w:szCs w:val="28"/>
          <w:lang w:eastAsia="en-US"/>
        </w:rPr>
        <w:t>m</w:t>
      </w:r>
      <w:r w:rsidRPr="00520861">
        <w:rPr>
          <w:rFonts w:eastAsia="Calibri"/>
          <w:sz w:val="28"/>
          <w:szCs w:val="28"/>
          <w:lang w:eastAsia="en-US"/>
        </w:rPr>
        <w:t xml:space="preserve"> ≥ 6,3×10</w:t>
      </w:r>
      <w:r w:rsidRPr="00520861">
        <w:rPr>
          <w:rFonts w:eastAsia="Calibri"/>
          <w:sz w:val="28"/>
          <w:szCs w:val="28"/>
          <w:vertAlign w:val="superscript"/>
          <w:lang w:eastAsia="en-US"/>
        </w:rPr>
        <w:t>–3</w:t>
      </w:r>
      <w:r w:rsidRPr="00520861">
        <w:rPr>
          <w:rFonts w:eastAsia="Calibri"/>
          <w:sz w:val="28"/>
          <w:szCs w:val="28"/>
          <w:lang w:eastAsia="en-US"/>
        </w:rPr>
        <w:t xml:space="preserve"> кг). У 12</w:t>
      </w:r>
      <w:r w:rsidR="00611A5B" w:rsidRPr="00520861">
        <w:rPr>
          <w:rFonts w:eastAsia="Calibri"/>
          <w:sz w:val="28"/>
          <w:szCs w:val="28"/>
          <w:lang w:eastAsia="en-US"/>
        </w:rPr>
        <w:t>%</w:t>
      </w:r>
      <w:r w:rsidRPr="00520861">
        <w:rPr>
          <w:rFonts w:eastAsia="Calibri"/>
          <w:sz w:val="28"/>
          <w:szCs w:val="28"/>
          <w:lang w:eastAsia="en-US"/>
        </w:rPr>
        <w:t xml:space="preserve"> новонароджених щурів при цьому способі моделювання зафіксовано </w:t>
      </w:r>
      <w:proofErr w:type="spellStart"/>
      <w:r w:rsidRPr="00520861">
        <w:rPr>
          <w:rFonts w:eastAsia="Calibri"/>
          <w:sz w:val="28"/>
          <w:szCs w:val="28"/>
          <w:lang w:eastAsia="en-US"/>
        </w:rPr>
        <w:t>макросомію</w:t>
      </w:r>
      <w:proofErr w:type="spellEnd"/>
      <w:r w:rsidRPr="00520861">
        <w:rPr>
          <w:rFonts w:eastAsia="Calibri"/>
          <w:sz w:val="28"/>
          <w:szCs w:val="28"/>
          <w:lang w:eastAsia="en-US"/>
        </w:rPr>
        <w:t xml:space="preserve">. </w:t>
      </w:r>
    </w:p>
    <w:p w14:paraId="6C45D48E"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Модель 4. Молоді тварини віком 3 – 5 місяців перед спарюванням і під час </w:t>
      </w:r>
      <w:r w:rsidRPr="00520861">
        <w:rPr>
          <w:rFonts w:eastAsia="Calibri"/>
          <w:sz w:val="28"/>
          <w:szCs w:val="28"/>
          <w:lang w:eastAsia="en-US"/>
        </w:rPr>
        <w:br/>
      </w:r>
      <w:r w:rsidRPr="00520861">
        <w:rPr>
          <w:rFonts w:eastAsia="Calibri"/>
          <w:sz w:val="28"/>
          <w:szCs w:val="28"/>
          <w:lang w:eastAsia="en-US"/>
        </w:rPr>
        <w:lastRenderedPageBreak/>
        <w:t xml:space="preserve">вагітності перебували на висококалорійній дієті й у гіпокінетичних умовах [68]. </w:t>
      </w:r>
      <w:r w:rsidRPr="00520861">
        <w:rPr>
          <w:rFonts w:eastAsia="Calibri"/>
          <w:sz w:val="28"/>
          <w:szCs w:val="28"/>
          <w:lang w:eastAsia="en-US"/>
        </w:rPr>
        <w:br/>
        <w:t xml:space="preserve">Усі особини з потомства, маса тіла яких при народженні була більшою за </w:t>
      </w:r>
      <w:r w:rsidRPr="00520861">
        <w:rPr>
          <w:rFonts w:eastAsia="Calibri"/>
          <w:sz w:val="28"/>
          <w:szCs w:val="28"/>
          <w:lang w:eastAsia="en-US"/>
        </w:rPr>
        <w:br/>
        <w:t>90-центильний рівень (</w:t>
      </w:r>
      <w:r w:rsidRPr="00520861">
        <w:rPr>
          <w:rFonts w:eastAsia="Calibri"/>
          <w:i/>
          <w:sz w:val="28"/>
          <w:szCs w:val="28"/>
          <w:lang w:eastAsia="en-US"/>
        </w:rPr>
        <w:t>m</w:t>
      </w:r>
      <w:r w:rsidRPr="00520861">
        <w:rPr>
          <w:rFonts w:eastAsia="Calibri"/>
          <w:sz w:val="28"/>
          <w:szCs w:val="28"/>
          <w:lang w:eastAsia="en-US"/>
        </w:rPr>
        <w:t xml:space="preserve"> ≥ 6,3×10</w:t>
      </w:r>
      <w:r w:rsidRPr="00520861">
        <w:rPr>
          <w:rFonts w:eastAsia="Calibri"/>
          <w:sz w:val="28"/>
          <w:szCs w:val="28"/>
          <w:vertAlign w:val="superscript"/>
          <w:lang w:eastAsia="en-US"/>
        </w:rPr>
        <w:t>–3</w:t>
      </w:r>
      <w:r w:rsidRPr="00520861">
        <w:rPr>
          <w:rFonts w:eastAsia="Calibri"/>
          <w:sz w:val="28"/>
          <w:szCs w:val="28"/>
          <w:lang w:eastAsia="en-US"/>
        </w:rPr>
        <w:t xml:space="preserve"> кг), склали основну групу 4. </w:t>
      </w:r>
    </w:p>
    <w:p w14:paraId="4DF83010"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color w:val="221122"/>
          <w:sz w:val="28"/>
          <w:szCs w:val="28"/>
          <w:lang w:eastAsia="en-US"/>
        </w:rPr>
        <w:t xml:space="preserve">Утримання експериментальних тварин у гіпокінетичних умовах може викликати розвиток адаптаційного синдрому та </w:t>
      </w:r>
      <w:r w:rsidRPr="00520861">
        <w:rPr>
          <w:rFonts w:eastAsia="Calibri"/>
          <w:sz w:val="28"/>
          <w:szCs w:val="28"/>
          <w:lang w:eastAsia="en-US"/>
        </w:rPr>
        <w:t>використовується в експериментальних моделях стресу.</w:t>
      </w:r>
      <w:r w:rsidRPr="00520861">
        <w:rPr>
          <w:rFonts w:eastAsia="Calibri"/>
          <w:color w:val="221122"/>
          <w:sz w:val="28"/>
          <w:szCs w:val="28"/>
          <w:lang w:eastAsia="en-US"/>
        </w:rPr>
        <w:t xml:space="preserve"> Т</w:t>
      </w:r>
      <w:r w:rsidRPr="00520861">
        <w:rPr>
          <w:rFonts w:eastAsia="Calibri"/>
          <w:sz w:val="28"/>
          <w:szCs w:val="28"/>
          <w:lang w:eastAsia="en-US"/>
        </w:rPr>
        <w:t>ому застосовані в четвертій моделі гіпокінетичні умови були «помірними» або «нежорсткими» [6], а саме</w:t>
      </w:r>
      <w:r w:rsidRPr="00520861">
        <w:rPr>
          <w:rFonts w:eastAsia="Calibri"/>
          <w:color w:val="221122"/>
          <w:sz w:val="28"/>
          <w:szCs w:val="28"/>
          <w:lang w:eastAsia="en-US"/>
        </w:rPr>
        <w:t xml:space="preserve">: </w:t>
      </w:r>
      <w:r w:rsidRPr="00520861">
        <w:rPr>
          <w:rFonts w:eastAsia="Calibri"/>
          <w:sz w:val="28"/>
          <w:szCs w:val="28"/>
          <w:lang w:eastAsia="en-US"/>
        </w:rPr>
        <w:t xml:space="preserve">для обмеження рухової активності тварину поміщали в клітку розміром 0,20×0,20×0,25 м, яка має меншу площу для вільного переміщення (приблизно втричі перевищує розмір тварини). </w:t>
      </w:r>
    </w:p>
    <w:p w14:paraId="4558C5FB" w14:textId="77777777" w:rsidR="00CF641C" w:rsidRPr="00520861" w:rsidRDefault="00CF641C" w:rsidP="00292D2E">
      <w:pPr>
        <w:widowControl w:val="0"/>
        <w:spacing w:line="360" w:lineRule="auto"/>
        <w:ind w:firstLine="708"/>
        <w:jc w:val="both"/>
        <w:rPr>
          <w:rFonts w:eastAsia="Calibri"/>
          <w:spacing w:val="-2"/>
          <w:sz w:val="28"/>
          <w:szCs w:val="28"/>
          <w:lang w:eastAsia="en-US"/>
        </w:rPr>
      </w:pPr>
      <w:r w:rsidRPr="00520861">
        <w:rPr>
          <w:rFonts w:eastAsia="Calibri"/>
          <w:sz w:val="28"/>
          <w:szCs w:val="28"/>
          <w:lang w:eastAsia="en-US"/>
        </w:rPr>
        <w:t xml:space="preserve">Тварини при народженні мали різну довжину </w:t>
      </w:r>
      <w:r w:rsidRPr="00520861">
        <w:rPr>
          <w:rFonts w:eastAsia="Calibri"/>
          <w:i/>
          <w:sz w:val="28"/>
          <w:szCs w:val="28"/>
          <w:lang w:eastAsia="en-US"/>
        </w:rPr>
        <w:t>l</w:t>
      </w:r>
      <w:r w:rsidRPr="00520861">
        <w:rPr>
          <w:rFonts w:eastAsia="Calibri"/>
          <w:sz w:val="28"/>
          <w:szCs w:val="28"/>
          <w:lang w:eastAsia="en-US"/>
        </w:rPr>
        <w:t xml:space="preserve"> (в одиницях 10</w:t>
      </w:r>
      <w:r w:rsidRPr="00520861">
        <w:rPr>
          <w:rFonts w:eastAsia="Calibri"/>
          <w:sz w:val="28"/>
          <w:szCs w:val="28"/>
          <w:vertAlign w:val="superscript"/>
          <w:lang w:eastAsia="en-US"/>
        </w:rPr>
        <w:t>–2</w:t>
      </w:r>
      <w:r w:rsidRPr="00520861">
        <w:rPr>
          <w:rFonts w:eastAsia="Calibri"/>
          <w:sz w:val="28"/>
          <w:szCs w:val="28"/>
          <w:lang w:eastAsia="en-US"/>
        </w:rPr>
        <w:t xml:space="preserve"> м) і масу </w:t>
      </w:r>
      <w:r w:rsidRPr="00520861">
        <w:rPr>
          <w:rFonts w:eastAsia="Calibri"/>
          <w:i/>
          <w:sz w:val="28"/>
          <w:szCs w:val="28"/>
          <w:lang w:eastAsia="en-US"/>
        </w:rPr>
        <w:t>m</w:t>
      </w:r>
      <w:r w:rsidRPr="00520861">
        <w:rPr>
          <w:rFonts w:eastAsia="Calibri"/>
          <w:sz w:val="28"/>
          <w:szCs w:val="28"/>
          <w:lang w:eastAsia="en-US"/>
        </w:rPr>
        <w:t xml:space="preserve"> (в одиницях 10</w:t>
      </w:r>
      <w:r w:rsidRPr="00520861">
        <w:rPr>
          <w:rFonts w:eastAsia="Calibri"/>
          <w:sz w:val="28"/>
          <w:szCs w:val="28"/>
          <w:vertAlign w:val="superscript"/>
          <w:lang w:eastAsia="en-US"/>
        </w:rPr>
        <w:t>–3</w:t>
      </w:r>
      <w:r w:rsidRPr="00520861">
        <w:rPr>
          <w:rFonts w:eastAsia="Calibri"/>
          <w:sz w:val="28"/>
          <w:szCs w:val="28"/>
          <w:lang w:eastAsia="en-US"/>
        </w:rPr>
        <w:t xml:space="preserve"> кг) тіла </w:t>
      </w:r>
      <w:r w:rsidRPr="00520861">
        <w:rPr>
          <w:rFonts w:eastAsia="Calibri"/>
          <w:sz w:val="28"/>
          <w:szCs w:val="28"/>
          <w:lang w:val="ru-RU" w:eastAsia="en-US"/>
        </w:rPr>
        <w:t>та</w:t>
      </w:r>
      <w:r w:rsidRPr="00520861">
        <w:rPr>
          <w:rFonts w:eastAsia="Calibri"/>
          <w:sz w:val="28"/>
          <w:szCs w:val="28"/>
          <w:lang w:eastAsia="en-US"/>
        </w:rPr>
        <w:t xml:space="preserve"> індекс маси тіла тварини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w:t>
      </w:r>
      <w:r w:rsidRPr="00520861">
        <w:rPr>
          <w:rFonts w:eastAsia="Calibri"/>
          <w:i/>
          <w:sz w:val="28"/>
          <w:szCs w:val="28"/>
          <w:lang w:eastAsia="en-US"/>
        </w:rPr>
        <w:t>m</w:t>
      </w:r>
      <w:r w:rsidRPr="00520861">
        <w:rPr>
          <w:rFonts w:eastAsia="Calibri"/>
          <w:sz w:val="28"/>
          <w:szCs w:val="28"/>
          <w:lang w:eastAsia="en-US"/>
        </w:rPr>
        <w:t>/</w:t>
      </w:r>
      <w:r w:rsidRPr="00520861">
        <w:rPr>
          <w:rFonts w:eastAsia="Calibri"/>
          <w:i/>
          <w:sz w:val="28"/>
          <w:szCs w:val="28"/>
          <w:lang w:eastAsia="en-US"/>
        </w:rPr>
        <w:t>l</w:t>
      </w:r>
      <w:r w:rsidRPr="00520861">
        <w:rPr>
          <w:rFonts w:eastAsia="Calibri"/>
          <w:sz w:val="28"/>
          <w:szCs w:val="28"/>
          <w:vertAlign w:val="superscript"/>
          <w:lang w:eastAsia="en-US"/>
        </w:rPr>
        <w:t>2</w:t>
      </w:r>
      <w:r w:rsidRPr="00520861">
        <w:rPr>
          <w:rFonts w:eastAsia="Calibri"/>
          <w:sz w:val="28"/>
          <w:szCs w:val="28"/>
          <w:lang w:eastAsia="en-US"/>
        </w:rPr>
        <w:t xml:space="preserve">. Спочатку стан ЗЩС щурів популяції WAG було проаналізовано із прив’язкою до способу моделювання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але потім ми прийшли до висновку, що використання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при </w:t>
      </w:r>
      <w:r w:rsidRPr="00520861">
        <w:rPr>
          <w:rFonts w:eastAsia="Calibri"/>
          <w:sz w:val="28"/>
          <w:szCs w:val="28"/>
          <w:lang w:eastAsia="en-US"/>
        </w:rPr>
        <w:br/>
        <w:t xml:space="preserve">народженні було більш коректним. </w:t>
      </w:r>
      <w:r w:rsidRPr="00520861">
        <w:rPr>
          <w:rFonts w:eastAsia="Calibri"/>
          <w:spacing w:val="-2"/>
          <w:sz w:val="28"/>
          <w:szCs w:val="28"/>
          <w:lang w:eastAsia="en-US"/>
        </w:rPr>
        <w:t xml:space="preserve">За основу градацій </w:t>
      </w:r>
      <w:proofErr w:type="spellStart"/>
      <w:r w:rsidRPr="00520861">
        <w:rPr>
          <w:rFonts w:eastAsia="Calibri"/>
          <w:spacing w:val="-2"/>
          <w:sz w:val="28"/>
          <w:szCs w:val="28"/>
          <w:lang w:eastAsia="en-US"/>
        </w:rPr>
        <w:t>ІМТт</w:t>
      </w:r>
      <w:proofErr w:type="spellEnd"/>
      <w:r w:rsidRPr="00520861">
        <w:rPr>
          <w:rFonts w:eastAsia="Calibri"/>
          <w:spacing w:val="-2"/>
          <w:sz w:val="28"/>
          <w:szCs w:val="28"/>
          <w:lang w:eastAsia="en-US"/>
        </w:rPr>
        <w:t xml:space="preserve"> щурів були взяті значення, що виявилися найбільш результативними в попередньому аналізі по моделях.</w:t>
      </w:r>
    </w:p>
    <w:p w14:paraId="79B004C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Табл. 2.6 демонструє загальну кількість щурів у групах та їх </w:t>
      </w:r>
      <w:proofErr w:type="spellStart"/>
      <w:r w:rsidRPr="00520861">
        <w:rPr>
          <w:rFonts w:eastAsia="Calibri"/>
          <w:sz w:val="28"/>
          <w:szCs w:val="28"/>
          <w:lang w:eastAsia="en-US"/>
        </w:rPr>
        <w:t>соматометричні</w:t>
      </w:r>
      <w:proofErr w:type="spellEnd"/>
      <w:r w:rsidRPr="00520861">
        <w:rPr>
          <w:rFonts w:eastAsia="Calibri"/>
          <w:sz w:val="28"/>
          <w:szCs w:val="28"/>
          <w:lang w:eastAsia="en-US"/>
        </w:rPr>
        <w:t xml:space="preserve"> показники на момент народження.</w:t>
      </w:r>
    </w:p>
    <w:p w14:paraId="70B50569" w14:textId="77777777" w:rsidR="00CF641C" w:rsidRPr="00520861" w:rsidRDefault="00CF641C" w:rsidP="00292D2E">
      <w:pPr>
        <w:widowControl w:val="0"/>
        <w:spacing w:line="360" w:lineRule="auto"/>
        <w:ind w:firstLine="708"/>
        <w:jc w:val="both"/>
        <w:rPr>
          <w:rFonts w:eastAsia="Calibri"/>
          <w:spacing w:val="-2"/>
          <w:sz w:val="28"/>
          <w:szCs w:val="28"/>
          <w:lang w:eastAsia="en-US"/>
        </w:rPr>
      </w:pPr>
      <w:r w:rsidRPr="00520861">
        <w:rPr>
          <w:rFonts w:eastAsia="Calibri"/>
          <w:spacing w:val="-2"/>
          <w:sz w:val="28"/>
          <w:szCs w:val="28"/>
          <w:lang w:eastAsia="en-US"/>
        </w:rPr>
        <w:t xml:space="preserve">Тварини, </w:t>
      </w:r>
      <w:proofErr w:type="spellStart"/>
      <w:r w:rsidRPr="00520861">
        <w:rPr>
          <w:rFonts w:eastAsia="Calibri"/>
          <w:spacing w:val="-2"/>
          <w:sz w:val="28"/>
          <w:szCs w:val="28"/>
          <w:lang w:eastAsia="en-US"/>
        </w:rPr>
        <w:t>ІМТт</w:t>
      </w:r>
      <w:proofErr w:type="spellEnd"/>
      <w:r w:rsidRPr="00520861">
        <w:rPr>
          <w:rFonts w:eastAsia="Calibri"/>
          <w:spacing w:val="-2"/>
          <w:sz w:val="28"/>
          <w:szCs w:val="28"/>
          <w:lang w:eastAsia="en-US"/>
        </w:rPr>
        <w:t xml:space="preserve"> яких був зіставним із контрольними тваринами та перебував у межах від 0,205</w:t>
      </w:r>
      <w:r w:rsidRPr="00520861">
        <w:rPr>
          <w:rFonts w:eastAsia="Calibri"/>
          <w:i/>
          <w:spacing w:val="-2"/>
          <w:sz w:val="28"/>
          <w:szCs w:val="28"/>
          <w:lang w:eastAsia="en-US"/>
        </w:rPr>
        <w:t xml:space="preserve"> </w:t>
      </w:r>
      <w:r w:rsidRPr="00520861">
        <w:rPr>
          <w:rFonts w:eastAsia="Calibri"/>
          <w:spacing w:val="-2"/>
          <w:sz w:val="28"/>
          <w:szCs w:val="28"/>
          <w:lang w:eastAsia="en-US"/>
        </w:rPr>
        <w:t xml:space="preserve">до 0,244, були віднесені до основної групи 1. Ці тварини мали умовну назву «гармонійно розвинені». До цієї групи переважно відійшло потомство </w:t>
      </w:r>
      <w:r w:rsidRPr="00520861">
        <w:rPr>
          <w:rFonts w:eastAsia="Calibri"/>
          <w:spacing w:val="-2"/>
          <w:sz w:val="28"/>
          <w:szCs w:val="28"/>
          <w:lang w:eastAsia="en-US"/>
        </w:rPr>
        <w:br/>
        <w:t xml:space="preserve">тварин зрілого віку, які перед спарюванням та під час вагітності знаходилися на </w:t>
      </w:r>
      <w:r w:rsidRPr="00520861">
        <w:rPr>
          <w:rFonts w:eastAsia="Calibri"/>
          <w:spacing w:val="-2"/>
          <w:sz w:val="28"/>
          <w:szCs w:val="28"/>
          <w:lang w:eastAsia="en-US"/>
        </w:rPr>
        <w:br/>
        <w:t>висококалорійній дієті (модель 1).</w:t>
      </w:r>
    </w:p>
    <w:p w14:paraId="6B9D7E5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Тварин, значення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яких при народженні було меншим або дорівнювало 0,204, </w:t>
      </w:r>
      <w:proofErr w:type="spellStart"/>
      <w:r w:rsidRPr="00520861">
        <w:rPr>
          <w:rFonts w:eastAsia="Calibri"/>
          <w:sz w:val="28"/>
          <w:szCs w:val="28"/>
          <w:lang w:eastAsia="en-US"/>
        </w:rPr>
        <w:t>бул</w:t>
      </w:r>
      <w:proofErr w:type="spellEnd"/>
      <w:r w:rsidRPr="00520861">
        <w:rPr>
          <w:rFonts w:eastAsia="Calibri"/>
          <w:sz w:val="28"/>
          <w:szCs w:val="28"/>
          <w:lang w:val="ru-RU" w:eastAsia="en-US"/>
        </w:rPr>
        <w:t>о</w:t>
      </w:r>
      <w:r w:rsidRPr="00520861">
        <w:rPr>
          <w:rFonts w:eastAsia="Calibri"/>
          <w:sz w:val="28"/>
          <w:szCs w:val="28"/>
          <w:lang w:eastAsia="en-US"/>
        </w:rPr>
        <w:t xml:space="preserve"> віднесено до основної групи 2. Такі тварини при народженні мали велику довжину тіла й відносну недостатність маси. Переважно до цієї групи було </w:t>
      </w:r>
      <w:r w:rsidRPr="00520861">
        <w:rPr>
          <w:rFonts w:eastAsia="Calibri"/>
          <w:sz w:val="28"/>
          <w:szCs w:val="28"/>
          <w:lang w:eastAsia="en-US"/>
        </w:rPr>
        <w:br/>
        <w:t xml:space="preserve">віднесене потомство тварин, які перед спарюванням та під час вагітності </w:t>
      </w:r>
      <w:r w:rsidRPr="00520861">
        <w:rPr>
          <w:rFonts w:eastAsia="Calibri"/>
          <w:sz w:val="28"/>
          <w:szCs w:val="28"/>
          <w:lang w:eastAsia="en-US"/>
        </w:rPr>
        <w:br/>
        <w:t>знаходилися на стандартному раціоні віварію (модель 2).</w:t>
      </w:r>
    </w:p>
    <w:p w14:paraId="14057AF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Тварини зі значенням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вищим за 0,244, склали основну групу 3. Тварини цієї групи були народжені зі стандартною довжиною тіла, але з великими значеннями маси тіла та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(з ознаками ВУ ожиріння). </w:t>
      </w:r>
    </w:p>
    <w:p w14:paraId="314A6291" w14:textId="77777777" w:rsidR="00CF641C" w:rsidRPr="00520861" w:rsidRDefault="00CF641C" w:rsidP="00292D2E">
      <w:pPr>
        <w:widowControl w:val="0"/>
        <w:tabs>
          <w:tab w:val="left" w:pos="7410"/>
          <w:tab w:val="right" w:pos="9354"/>
        </w:tabs>
        <w:spacing w:line="360" w:lineRule="auto"/>
        <w:jc w:val="right"/>
        <w:rPr>
          <w:rFonts w:eastAsia="Calibri"/>
          <w:i/>
          <w:iCs/>
          <w:sz w:val="28"/>
          <w:szCs w:val="28"/>
          <w:lang w:eastAsia="en-US"/>
        </w:rPr>
      </w:pPr>
      <w:r w:rsidRPr="00520861">
        <w:rPr>
          <w:rFonts w:eastAsia="Calibri"/>
          <w:i/>
          <w:iCs/>
          <w:sz w:val="28"/>
          <w:szCs w:val="28"/>
          <w:lang w:eastAsia="en-US"/>
        </w:rPr>
        <w:lastRenderedPageBreak/>
        <w:t>Таблиця 2.6</w:t>
      </w:r>
    </w:p>
    <w:p w14:paraId="0DB4278D"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bCs/>
          <w:sz w:val="28"/>
          <w:szCs w:val="28"/>
          <w:lang w:eastAsia="en-US"/>
        </w:rPr>
        <w:t xml:space="preserve">Медіанні значення </w:t>
      </w:r>
      <w:proofErr w:type="spellStart"/>
      <w:r w:rsidRPr="00520861">
        <w:rPr>
          <w:rFonts w:eastAsia="Calibri"/>
          <w:b/>
          <w:bCs/>
          <w:sz w:val="28"/>
          <w:szCs w:val="28"/>
          <w:lang w:eastAsia="en-US"/>
        </w:rPr>
        <w:t>Me</w:t>
      </w:r>
      <w:proofErr w:type="spellEnd"/>
      <w:r w:rsidRPr="00520861">
        <w:rPr>
          <w:rFonts w:eastAsia="Calibri"/>
          <w:b/>
          <w:bCs/>
          <w:sz w:val="28"/>
          <w:szCs w:val="28"/>
          <w:lang w:eastAsia="en-US"/>
        </w:rPr>
        <w:t xml:space="preserve"> (Q3; Q1) маси та довжини тіла, а також </w:t>
      </w:r>
      <w:proofErr w:type="spellStart"/>
      <w:r w:rsidRPr="00520861">
        <w:rPr>
          <w:rFonts w:eastAsia="Calibri"/>
          <w:b/>
          <w:bCs/>
          <w:sz w:val="28"/>
          <w:szCs w:val="28"/>
          <w:lang w:eastAsia="en-US"/>
        </w:rPr>
        <w:t>ІМТт</w:t>
      </w:r>
      <w:proofErr w:type="spellEnd"/>
      <w:r w:rsidRPr="00520861">
        <w:rPr>
          <w:rFonts w:eastAsia="Calibri"/>
          <w:b/>
          <w:bCs/>
          <w:sz w:val="28"/>
          <w:szCs w:val="28"/>
          <w:lang w:eastAsia="en-US"/>
        </w:rPr>
        <w:t xml:space="preserve"> у різних групах при народженні</w:t>
      </w:r>
    </w:p>
    <w:tbl>
      <w:tblPr>
        <w:tblW w:w="9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45"/>
        <w:gridCol w:w="1842"/>
        <w:gridCol w:w="2267"/>
        <w:gridCol w:w="2027"/>
        <w:gridCol w:w="2113"/>
      </w:tblGrid>
      <w:tr w:rsidR="00CF641C" w:rsidRPr="00520861" w14:paraId="406A5568" w14:textId="77777777" w:rsidTr="00292D2E">
        <w:trPr>
          <w:jc w:val="center"/>
        </w:trPr>
        <w:tc>
          <w:tcPr>
            <w:tcW w:w="164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35DFBA7" w14:textId="77777777" w:rsidR="00CF641C" w:rsidRPr="00520861" w:rsidRDefault="00CF641C" w:rsidP="00292D2E">
            <w:pPr>
              <w:widowControl w:val="0"/>
              <w:spacing w:line="360" w:lineRule="auto"/>
              <w:jc w:val="center"/>
              <w:rPr>
                <w:sz w:val="28"/>
                <w:szCs w:val="28"/>
              </w:rPr>
            </w:pPr>
            <w:r w:rsidRPr="00520861">
              <w:rPr>
                <w:sz w:val="28"/>
                <w:szCs w:val="28"/>
              </w:rPr>
              <w:t xml:space="preserve">Група </w:t>
            </w:r>
          </w:p>
          <w:p w14:paraId="578C0EAF" w14:textId="77777777" w:rsidR="00CF641C" w:rsidRPr="00520861" w:rsidRDefault="00CF641C" w:rsidP="00292D2E">
            <w:pPr>
              <w:widowControl w:val="0"/>
              <w:spacing w:line="360" w:lineRule="auto"/>
              <w:jc w:val="center"/>
              <w:rPr>
                <w:sz w:val="28"/>
                <w:szCs w:val="28"/>
              </w:rPr>
            </w:pPr>
            <w:r w:rsidRPr="00520861">
              <w:rPr>
                <w:sz w:val="28"/>
                <w:szCs w:val="28"/>
              </w:rPr>
              <w:t>дослідження</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31C2152" w14:textId="77777777" w:rsidR="00CF641C" w:rsidRPr="00520861" w:rsidRDefault="00CF641C" w:rsidP="00292D2E">
            <w:pPr>
              <w:widowControl w:val="0"/>
              <w:spacing w:line="360" w:lineRule="auto"/>
              <w:jc w:val="center"/>
              <w:rPr>
                <w:sz w:val="28"/>
                <w:szCs w:val="28"/>
              </w:rPr>
            </w:pPr>
            <w:r w:rsidRPr="00520861">
              <w:rPr>
                <w:sz w:val="28"/>
                <w:szCs w:val="28"/>
              </w:rPr>
              <w:t xml:space="preserve">Кількість тварин у групі, </w:t>
            </w:r>
            <w:r w:rsidRPr="00520861">
              <w:rPr>
                <w:i/>
                <w:sz w:val="28"/>
                <w:szCs w:val="28"/>
              </w:rPr>
              <w:t>n</w:t>
            </w:r>
          </w:p>
        </w:tc>
        <w:tc>
          <w:tcPr>
            <w:tcW w:w="22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9372725" w14:textId="77777777" w:rsidR="00CF641C" w:rsidRPr="00520861" w:rsidRDefault="00CF641C" w:rsidP="00292D2E">
            <w:pPr>
              <w:widowControl w:val="0"/>
              <w:spacing w:line="360" w:lineRule="auto"/>
              <w:jc w:val="center"/>
              <w:rPr>
                <w:sz w:val="28"/>
                <w:szCs w:val="28"/>
              </w:rPr>
            </w:pPr>
            <w:r w:rsidRPr="00520861">
              <w:rPr>
                <w:sz w:val="28"/>
                <w:szCs w:val="28"/>
              </w:rPr>
              <w:t xml:space="preserve">Маса тіла, </w:t>
            </w:r>
            <w:r w:rsidRPr="00520861">
              <w:rPr>
                <w:i/>
                <w:sz w:val="28"/>
                <w:szCs w:val="28"/>
              </w:rPr>
              <w:t>m</w:t>
            </w:r>
          </w:p>
          <w:p w14:paraId="33E5A6E9" w14:textId="77777777" w:rsidR="00CF641C" w:rsidRPr="00520861" w:rsidRDefault="00CF641C" w:rsidP="00292D2E">
            <w:pPr>
              <w:widowControl w:val="0"/>
              <w:spacing w:line="360" w:lineRule="auto"/>
              <w:jc w:val="center"/>
              <w:rPr>
                <w:sz w:val="28"/>
                <w:szCs w:val="28"/>
              </w:rPr>
            </w:pPr>
            <w:r w:rsidRPr="00520861">
              <w:rPr>
                <w:sz w:val="28"/>
                <w:szCs w:val="28"/>
              </w:rPr>
              <w:t>(у кг×10</w:t>
            </w:r>
            <w:r w:rsidRPr="00520861">
              <w:rPr>
                <w:sz w:val="28"/>
                <w:szCs w:val="28"/>
                <w:vertAlign w:val="superscript"/>
              </w:rPr>
              <w:t>3</w:t>
            </w:r>
            <w:r w:rsidRPr="00520861">
              <w:rPr>
                <w:sz w:val="28"/>
                <w:szCs w:val="28"/>
              </w:rPr>
              <w:t>)</w:t>
            </w:r>
          </w:p>
        </w:tc>
        <w:tc>
          <w:tcPr>
            <w:tcW w:w="202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C4104C6" w14:textId="77777777" w:rsidR="00CF641C" w:rsidRPr="00520861" w:rsidRDefault="00CF641C" w:rsidP="00292D2E">
            <w:pPr>
              <w:widowControl w:val="0"/>
              <w:spacing w:line="360" w:lineRule="auto"/>
              <w:jc w:val="center"/>
              <w:rPr>
                <w:sz w:val="28"/>
                <w:szCs w:val="28"/>
              </w:rPr>
            </w:pPr>
            <w:r w:rsidRPr="00520861">
              <w:rPr>
                <w:sz w:val="28"/>
                <w:szCs w:val="28"/>
              </w:rPr>
              <w:t xml:space="preserve">Довжина тіла, </w:t>
            </w:r>
            <w:r w:rsidRPr="00520861">
              <w:rPr>
                <w:i/>
                <w:sz w:val="28"/>
                <w:szCs w:val="28"/>
              </w:rPr>
              <w:t>l</w:t>
            </w:r>
          </w:p>
          <w:p w14:paraId="3560E863" w14:textId="77777777" w:rsidR="00CF641C" w:rsidRPr="00520861" w:rsidRDefault="00CF641C" w:rsidP="00292D2E">
            <w:pPr>
              <w:widowControl w:val="0"/>
              <w:spacing w:line="360" w:lineRule="auto"/>
              <w:jc w:val="center"/>
              <w:rPr>
                <w:sz w:val="28"/>
                <w:szCs w:val="28"/>
              </w:rPr>
            </w:pPr>
            <w:r w:rsidRPr="00520861">
              <w:rPr>
                <w:sz w:val="28"/>
                <w:szCs w:val="28"/>
              </w:rPr>
              <w:t>(у м×10</w:t>
            </w:r>
            <w:r w:rsidRPr="00520861">
              <w:rPr>
                <w:sz w:val="28"/>
                <w:szCs w:val="28"/>
                <w:vertAlign w:val="superscript"/>
              </w:rPr>
              <w:t>2</w:t>
            </w:r>
            <w:r w:rsidRPr="00520861">
              <w:rPr>
                <w:sz w:val="28"/>
                <w:szCs w:val="28"/>
              </w:rPr>
              <w:t>)</w:t>
            </w:r>
          </w:p>
        </w:tc>
        <w:tc>
          <w:tcPr>
            <w:tcW w:w="211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1BFEA3D" w14:textId="77777777" w:rsidR="00CF641C" w:rsidRPr="00520861" w:rsidRDefault="00CF641C" w:rsidP="00292D2E">
            <w:pPr>
              <w:widowControl w:val="0"/>
              <w:spacing w:line="360" w:lineRule="auto"/>
              <w:jc w:val="center"/>
              <w:rPr>
                <w:sz w:val="28"/>
                <w:szCs w:val="28"/>
              </w:rPr>
            </w:pPr>
            <w:proofErr w:type="spellStart"/>
            <w:r w:rsidRPr="00520861">
              <w:rPr>
                <w:rFonts w:eastAsia="Calibri"/>
                <w:sz w:val="28"/>
                <w:szCs w:val="28"/>
                <w:lang w:eastAsia="en-US"/>
              </w:rPr>
              <w:t>ІМТт</w:t>
            </w:r>
            <w:proofErr w:type="spellEnd"/>
            <w:r w:rsidRPr="00520861">
              <w:rPr>
                <w:sz w:val="28"/>
                <w:szCs w:val="28"/>
              </w:rPr>
              <w:t xml:space="preserve">, </w:t>
            </w:r>
            <w:r w:rsidRPr="00520861">
              <w:rPr>
                <w:i/>
                <w:sz w:val="28"/>
                <w:szCs w:val="28"/>
              </w:rPr>
              <w:t>m</w:t>
            </w:r>
            <w:r w:rsidRPr="00520861">
              <w:rPr>
                <w:sz w:val="28"/>
                <w:szCs w:val="28"/>
              </w:rPr>
              <w:t>/</w:t>
            </w:r>
            <w:r w:rsidRPr="00520861">
              <w:rPr>
                <w:i/>
                <w:sz w:val="28"/>
                <w:szCs w:val="28"/>
              </w:rPr>
              <w:t>l</w:t>
            </w:r>
            <w:r w:rsidRPr="00520861">
              <w:rPr>
                <w:sz w:val="28"/>
                <w:szCs w:val="28"/>
              </w:rPr>
              <w:t>²</w:t>
            </w:r>
          </w:p>
          <w:p w14:paraId="1A8A22EB" w14:textId="77777777" w:rsidR="00CF641C" w:rsidRPr="00520861" w:rsidRDefault="00CF641C" w:rsidP="00292D2E">
            <w:pPr>
              <w:widowControl w:val="0"/>
              <w:spacing w:line="360" w:lineRule="auto"/>
              <w:jc w:val="center"/>
              <w:rPr>
                <w:sz w:val="28"/>
                <w:szCs w:val="28"/>
              </w:rPr>
            </w:pPr>
            <w:r w:rsidRPr="00520861">
              <w:rPr>
                <w:sz w:val="28"/>
                <w:szCs w:val="28"/>
              </w:rPr>
              <w:t>(у кг/м</w:t>
            </w:r>
            <w:r w:rsidRPr="00520861">
              <w:rPr>
                <w:sz w:val="28"/>
                <w:szCs w:val="28"/>
                <w:vertAlign w:val="superscript"/>
              </w:rPr>
              <w:t>2</w:t>
            </w:r>
            <w:r w:rsidRPr="00520861">
              <w:rPr>
                <w:sz w:val="28"/>
                <w:szCs w:val="28"/>
              </w:rPr>
              <w:t xml:space="preserve"> ×10</w:t>
            </w:r>
            <w:r w:rsidRPr="00520861">
              <w:rPr>
                <w:sz w:val="28"/>
                <w:szCs w:val="28"/>
                <w:vertAlign w:val="superscript"/>
              </w:rPr>
              <w:t>–1</w:t>
            </w:r>
            <w:r w:rsidRPr="00520861">
              <w:rPr>
                <w:sz w:val="28"/>
                <w:szCs w:val="28"/>
              </w:rPr>
              <w:t>)</w:t>
            </w:r>
          </w:p>
        </w:tc>
      </w:tr>
      <w:tr w:rsidR="00CF641C" w:rsidRPr="00520861" w14:paraId="7542237A" w14:textId="77777777" w:rsidTr="00292D2E">
        <w:trPr>
          <w:jc w:val="center"/>
        </w:trPr>
        <w:tc>
          <w:tcPr>
            <w:tcW w:w="164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A5B4DEC" w14:textId="77777777" w:rsidR="00CF641C" w:rsidRPr="00520861" w:rsidRDefault="00CF641C" w:rsidP="00292D2E">
            <w:pPr>
              <w:widowControl w:val="0"/>
              <w:spacing w:line="360" w:lineRule="auto"/>
              <w:rPr>
                <w:sz w:val="28"/>
                <w:szCs w:val="28"/>
              </w:rPr>
            </w:pPr>
            <w:r w:rsidRPr="00520861">
              <w:rPr>
                <w:sz w:val="28"/>
                <w:szCs w:val="28"/>
              </w:rPr>
              <w:t>Контроль</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BC93A1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40</w:t>
            </w:r>
          </w:p>
        </w:tc>
        <w:tc>
          <w:tcPr>
            <w:tcW w:w="22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1C658A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5,80</w:t>
            </w:r>
          </w:p>
          <w:p w14:paraId="1143BF6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(6,00;5,53)</w:t>
            </w:r>
          </w:p>
        </w:tc>
        <w:tc>
          <w:tcPr>
            <w:tcW w:w="202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F12D038"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5,00</w:t>
            </w:r>
          </w:p>
          <w:p w14:paraId="3FCAF393"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(5,20;5,00)</w:t>
            </w:r>
          </w:p>
        </w:tc>
        <w:tc>
          <w:tcPr>
            <w:tcW w:w="211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7EF125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0,227</w:t>
            </w:r>
          </w:p>
          <w:p w14:paraId="59A049F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(0,240;0,216)</w:t>
            </w:r>
          </w:p>
        </w:tc>
      </w:tr>
      <w:tr w:rsidR="00CF641C" w:rsidRPr="00520861" w14:paraId="4550B577" w14:textId="77777777" w:rsidTr="00292D2E">
        <w:trPr>
          <w:jc w:val="center"/>
        </w:trPr>
        <w:tc>
          <w:tcPr>
            <w:tcW w:w="164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557F99B" w14:textId="77777777" w:rsidR="00CF641C" w:rsidRPr="00520861" w:rsidRDefault="00CF641C" w:rsidP="00292D2E">
            <w:pPr>
              <w:widowControl w:val="0"/>
              <w:spacing w:line="360" w:lineRule="auto"/>
              <w:rPr>
                <w:sz w:val="28"/>
                <w:szCs w:val="28"/>
              </w:rPr>
            </w:pPr>
            <w:r w:rsidRPr="00520861">
              <w:rPr>
                <w:sz w:val="28"/>
                <w:szCs w:val="28"/>
              </w:rPr>
              <w:t>Група 1</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B0F739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40</w:t>
            </w:r>
          </w:p>
        </w:tc>
        <w:tc>
          <w:tcPr>
            <w:tcW w:w="22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AD16DB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6,70</w:t>
            </w:r>
            <w:r w:rsidRPr="00520861">
              <w:rPr>
                <w:sz w:val="28"/>
                <w:szCs w:val="28"/>
              </w:rPr>
              <w:t>*; **</w:t>
            </w:r>
          </w:p>
          <w:p w14:paraId="0F6B293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(7,00;6,40)</w:t>
            </w:r>
          </w:p>
          <w:p w14:paraId="1D185EF3"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4AFF4673"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=0,00039</w:t>
            </w:r>
          </w:p>
        </w:tc>
        <w:tc>
          <w:tcPr>
            <w:tcW w:w="202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E3E9021"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5,40</w:t>
            </w:r>
            <w:r w:rsidRPr="00520861">
              <w:rPr>
                <w:sz w:val="28"/>
                <w:szCs w:val="28"/>
              </w:rPr>
              <w:t>*; **</w:t>
            </w:r>
          </w:p>
          <w:p w14:paraId="012C207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 (5,70 5,20)</w:t>
            </w:r>
          </w:p>
          <w:p w14:paraId="14E69DAC"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6E3B8F8C"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tc>
        <w:tc>
          <w:tcPr>
            <w:tcW w:w="211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DFEDEC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0,230**</w:t>
            </w:r>
          </w:p>
          <w:p w14:paraId="35B6B7D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(0,237; 0,217)</w:t>
            </w:r>
          </w:p>
          <w:p w14:paraId="3DB78AB2"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tc>
      </w:tr>
      <w:tr w:rsidR="00CF641C" w:rsidRPr="00520861" w14:paraId="278BE767" w14:textId="77777777" w:rsidTr="00292D2E">
        <w:trPr>
          <w:jc w:val="center"/>
        </w:trPr>
        <w:tc>
          <w:tcPr>
            <w:tcW w:w="164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44E7829" w14:textId="77777777" w:rsidR="00CF641C" w:rsidRPr="00520861" w:rsidRDefault="00CF641C" w:rsidP="00292D2E">
            <w:pPr>
              <w:widowControl w:val="0"/>
              <w:spacing w:line="360" w:lineRule="auto"/>
              <w:rPr>
                <w:sz w:val="28"/>
                <w:szCs w:val="28"/>
              </w:rPr>
            </w:pPr>
            <w:r w:rsidRPr="00520861">
              <w:rPr>
                <w:sz w:val="28"/>
                <w:szCs w:val="28"/>
              </w:rPr>
              <w:t>Група 2</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164A63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40</w:t>
            </w:r>
          </w:p>
        </w:tc>
        <w:tc>
          <w:tcPr>
            <w:tcW w:w="22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D4A8132"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7,30</w:t>
            </w:r>
            <w:r w:rsidRPr="00520861">
              <w:rPr>
                <w:sz w:val="28"/>
                <w:szCs w:val="28"/>
              </w:rPr>
              <w:t>*</w:t>
            </w:r>
          </w:p>
          <w:p w14:paraId="0E4B51DB"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 (7,80;6,90)</w:t>
            </w:r>
          </w:p>
          <w:p w14:paraId="7A8FE73E"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tc>
        <w:tc>
          <w:tcPr>
            <w:tcW w:w="202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DA72790"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6,20</w:t>
            </w:r>
            <w:r w:rsidRPr="00520861">
              <w:rPr>
                <w:sz w:val="28"/>
                <w:szCs w:val="28"/>
              </w:rPr>
              <w:t>*</w:t>
            </w:r>
          </w:p>
          <w:p w14:paraId="10A5AAD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 (6,40;6,00)</w:t>
            </w:r>
          </w:p>
          <w:p w14:paraId="3E97A065"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tc>
        <w:tc>
          <w:tcPr>
            <w:tcW w:w="211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9F11590"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0,190</w:t>
            </w:r>
            <w:r w:rsidRPr="00520861">
              <w:rPr>
                <w:sz w:val="28"/>
                <w:szCs w:val="28"/>
              </w:rPr>
              <w:t>*</w:t>
            </w:r>
          </w:p>
          <w:p w14:paraId="10D50B1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 (0,196; 0,181)</w:t>
            </w:r>
          </w:p>
          <w:p w14:paraId="5817E3D2"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tc>
      </w:tr>
      <w:tr w:rsidR="00CF641C" w:rsidRPr="00520861" w14:paraId="726E8477" w14:textId="77777777" w:rsidTr="00292D2E">
        <w:trPr>
          <w:jc w:val="center"/>
        </w:trPr>
        <w:tc>
          <w:tcPr>
            <w:tcW w:w="164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D39146A" w14:textId="77777777" w:rsidR="00CF641C" w:rsidRPr="00520861" w:rsidRDefault="00CF641C" w:rsidP="00292D2E">
            <w:pPr>
              <w:widowControl w:val="0"/>
              <w:spacing w:line="360" w:lineRule="auto"/>
              <w:rPr>
                <w:sz w:val="28"/>
                <w:szCs w:val="28"/>
              </w:rPr>
            </w:pPr>
            <w:r w:rsidRPr="00520861">
              <w:rPr>
                <w:sz w:val="28"/>
                <w:szCs w:val="28"/>
              </w:rPr>
              <w:t>Група 3</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1D0F09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43</w:t>
            </w:r>
          </w:p>
        </w:tc>
        <w:tc>
          <w:tcPr>
            <w:tcW w:w="22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7AB8329"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6,</w:t>
            </w:r>
            <w:r w:rsidRPr="00520861">
              <w:rPr>
                <w:sz w:val="28"/>
                <w:szCs w:val="28"/>
              </w:rPr>
              <w:t>50*; **; †</w:t>
            </w:r>
          </w:p>
          <w:p w14:paraId="69D3AAB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 (6,75;6,35)</w:t>
            </w:r>
          </w:p>
          <w:p w14:paraId="7848FAC1"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22C8BADF"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09B5C120"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=0,03708</w:t>
            </w:r>
          </w:p>
        </w:tc>
        <w:tc>
          <w:tcPr>
            <w:tcW w:w="202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CBEA060"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5,00**; †</w:t>
            </w:r>
          </w:p>
          <w:p w14:paraId="581B3BB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(5,10;4,85)</w:t>
            </w:r>
          </w:p>
          <w:p w14:paraId="27CFE30F"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6D4673AA" w14:textId="77777777" w:rsidR="00CF641C" w:rsidRPr="00520861" w:rsidRDefault="00CF641C" w:rsidP="00292D2E">
            <w:pPr>
              <w:widowControl w:val="0"/>
              <w:spacing w:line="360" w:lineRule="auto"/>
              <w:jc w:val="center"/>
              <w:rPr>
                <w:rFonts w:eastAsia="Calibri"/>
                <w:sz w:val="28"/>
                <w:szCs w:val="28"/>
                <w:lang w:eastAsia="en-US"/>
              </w:rPr>
            </w:pPr>
            <w:r w:rsidRPr="00520861">
              <w:rPr>
                <w:i/>
                <w:sz w:val="28"/>
                <w:szCs w:val="28"/>
              </w:rPr>
              <w:t>p</w:t>
            </w:r>
            <w:r w:rsidRPr="00520861">
              <w:rPr>
                <w:sz w:val="28"/>
                <w:szCs w:val="28"/>
              </w:rPr>
              <w:t>&lt;0,00001</w:t>
            </w:r>
          </w:p>
        </w:tc>
        <w:tc>
          <w:tcPr>
            <w:tcW w:w="211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2D029F5"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0,263</w:t>
            </w:r>
            <w:r w:rsidRPr="00520861">
              <w:rPr>
                <w:sz w:val="28"/>
                <w:szCs w:val="28"/>
              </w:rPr>
              <w:t>*; **; †</w:t>
            </w:r>
          </w:p>
          <w:p w14:paraId="46E676B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 (0,282; 0,255)</w:t>
            </w:r>
          </w:p>
          <w:p w14:paraId="12662F97"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753C8227"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2D5A0B41"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tc>
      </w:tr>
      <w:tr w:rsidR="00CF641C" w:rsidRPr="00520861" w14:paraId="10D0F33F" w14:textId="77777777" w:rsidTr="00292D2E">
        <w:trPr>
          <w:jc w:val="center"/>
        </w:trPr>
        <w:tc>
          <w:tcPr>
            <w:tcW w:w="164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4DCD0DB" w14:textId="77777777" w:rsidR="00CF641C" w:rsidRPr="00520861" w:rsidRDefault="00CF641C" w:rsidP="00292D2E">
            <w:pPr>
              <w:widowControl w:val="0"/>
              <w:spacing w:line="360" w:lineRule="auto"/>
              <w:rPr>
                <w:sz w:val="28"/>
                <w:szCs w:val="28"/>
              </w:rPr>
            </w:pPr>
            <w:r w:rsidRPr="00520861">
              <w:rPr>
                <w:sz w:val="28"/>
                <w:szCs w:val="28"/>
              </w:rPr>
              <w:t>Група 4</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6450C5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39</w:t>
            </w:r>
          </w:p>
        </w:tc>
        <w:tc>
          <w:tcPr>
            <w:tcW w:w="226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1F75AF1"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7,00</w:t>
            </w:r>
            <w:r w:rsidRPr="00520861">
              <w:rPr>
                <w:sz w:val="28"/>
                <w:szCs w:val="28"/>
              </w:rPr>
              <w:t>*; †; ††</w:t>
            </w:r>
          </w:p>
          <w:p w14:paraId="1968BAC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 (7,45;6,75)</w:t>
            </w:r>
          </w:p>
          <w:p w14:paraId="61D214FF"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537C5706"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=0,00205;</w:t>
            </w:r>
          </w:p>
          <w:p w14:paraId="64235998"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tc>
        <w:tc>
          <w:tcPr>
            <w:tcW w:w="202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B3102F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5,20</w:t>
            </w:r>
            <w:r w:rsidRPr="00520861">
              <w:rPr>
                <w:sz w:val="28"/>
                <w:szCs w:val="28"/>
              </w:rPr>
              <w:t>*; **; †; ††</w:t>
            </w:r>
          </w:p>
          <w:p w14:paraId="624AD8E0"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(5,40;5,00)</w:t>
            </w:r>
          </w:p>
          <w:p w14:paraId="6C6EF6D8"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=0,00455;</w:t>
            </w:r>
          </w:p>
          <w:p w14:paraId="7800A4C4"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4BBDED69"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=0,00021;</w:t>
            </w:r>
          </w:p>
          <w:p w14:paraId="5049B8E0"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=0,00001</w:t>
            </w:r>
          </w:p>
        </w:tc>
        <w:tc>
          <w:tcPr>
            <w:tcW w:w="211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7463A26"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eastAsia="en-US"/>
              </w:rPr>
              <w:t>0,263</w:t>
            </w:r>
            <w:r w:rsidRPr="00520861">
              <w:rPr>
                <w:sz w:val="28"/>
                <w:szCs w:val="28"/>
              </w:rPr>
              <w:t>*; **; †</w:t>
            </w:r>
          </w:p>
          <w:p w14:paraId="1C31964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 (0,273; 0,251)</w:t>
            </w:r>
          </w:p>
          <w:p w14:paraId="355FE14A"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3A529B24"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p w14:paraId="0E1683F4" w14:textId="77777777" w:rsidR="00CF641C" w:rsidRPr="00520861" w:rsidRDefault="00CF641C" w:rsidP="00292D2E">
            <w:pPr>
              <w:widowControl w:val="0"/>
              <w:spacing w:line="360" w:lineRule="auto"/>
              <w:jc w:val="center"/>
              <w:rPr>
                <w:sz w:val="28"/>
                <w:szCs w:val="28"/>
              </w:rPr>
            </w:pPr>
            <w:r w:rsidRPr="00520861">
              <w:rPr>
                <w:i/>
                <w:sz w:val="28"/>
                <w:szCs w:val="28"/>
              </w:rPr>
              <w:t>p</w:t>
            </w:r>
            <w:r w:rsidRPr="00520861">
              <w:rPr>
                <w:sz w:val="28"/>
                <w:szCs w:val="28"/>
              </w:rPr>
              <w:t>&lt;0,00001</w:t>
            </w:r>
          </w:p>
        </w:tc>
      </w:tr>
    </w:tbl>
    <w:p w14:paraId="3B1075EE" w14:textId="77777777" w:rsidR="00CF641C" w:rsidRPr="00520861" w:rsidRDefault="00CF641C" w:rsidP="00292D2E">
      <w:pPr>
        <w:widowControl w:val="0"/>
        <w:spacing w:line="360" w:lineRule="auto"/>
        <w:ind w:right="-1" w:firstLine="708"/>
        <w:jc w:val="both"/>
        <w:rPr>
          <w:rFonts w:eastAsia="Calibri"/>
          <w:sz w:val="28"/>
          <w:szCs w:val="28"/>
          <w:lang w:eastAsia="en-US"/>
        </w:rPr>
      </w:pPr>
      <w:r w:rsidRPr="00520861">
        <w:rPr>
          <w:rFonts w:eastAsia="Calibri"/>
          <w:sz w:val="28"/>
          <w:szCs w:val="28"/>
          <w:lang w:eastAsia="en-US"/>
        </w:rPr>
        <w:t xml:space="preserve">Примітки: * – відмінність від групи контролю вірогідна з імовірністю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 xml:space="preserve">0,05; ** – відмінність від групи 1 вірогідна з імовірністю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 xml:space="preserve">0,05; </w:t>
      </w:r>
    </w:p>
    <w:p w14:paraId="0188EE3A" w14:textId="77777777" w:rsidR="00CF641C" w:rsidRPr="00520861" w:rsidRDefault="00CF641C" w:rsidP="00292D2E">
      <w:pPr>
        <w:widowControl w:val="0"/>
        <w:spacing w:line="360" w:lineRule="auto"/>
        <w:ind w:right="-1" w:firstLine="708"/>
        <w:jc w:val="both"/>
        <w:rPr>
          <w:rFonts w:eastAsia="Calibri"/>
          <w:sz w:val="28"/>
          <w:szCs w:val="28"/>
          <w:lang w:eastAsia="en-US"/>
        </w:rPr>
      </w:pPr>
      <w:r w:rsidRPr="00520861">
        <w:rPr>
          <w:rFonts w:eastAsia="Calibri"/>
          <w:sz w:val="28"/>
          <w:szCs w:val="28"/>
          <w:lang w:eastAsia="en-US"/>
        </w:rPr>
        <w:t xml:space="preserve">† – відмінність від групи 2 вірогідна з імовірністю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 xml:space="preserve">0,05; </w:t>
      </w:r>
    </w:p>
    <w:p w14:paraId="7D27D479" w14:textId="77777777" w:rsidR="00CF641C" w:rsidRPr="00520861" w:rsidRDefault="00CF641C" w:rsidP="00292D2E">
      <w:pPr>
        <w:widowControl w:val="0"/>
        <w:spacing w:line="360" w:lineRule="auto"/>
        <w:ind w:right="-1" w:firstLine="708"/>
        <w:jc w:val="both"/>
        <w:rPr>
          <w:rFonts w:eastAsia="Calibri"/>
          <w:sz w:val="28"/>
          <w:szCs w:val="28"/>
          <w:lang w:eastAsia="en-US"/>
        </w:rPr>
      </w:pPr>
      <w:r w:rsidRPr="00520861">
        <w:rPr>
          <w:rFonts w:eastAsia="Calibri"/>
          <w:sz w:val="28"/>
          <w:szCs w:val="28"/>
          <w:lang w:eastAsia="en-US"/>
        </w:rPr>
        <w:t xml:space="preserve">†† – відмінність від групи 3 вірогідна з імовірністю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r w:rsidR="00DA2423" w:rsidRPr="00520861">
        <w:rPr>
          <w:rFonts w:eastAsia="Calibri"/>
          <w:sz w:val="28"/>
          <w:szCs w:val="28"/>
          <w:lang w:eastAsia="en-US"/>
        </w:rPr>
        <w:t xml:space="preserve"> </w:t>
      </w:r>
    </w:p>
    <w:p w14:paraId="7C0F290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Переважно до цієї групи відійшло потомство молодих тварин, які перед </w:t>
      </w:r>
      <w:r w:rsidRPr="00520861">
        <w:rPr>
          <w:rFonts w:eastAsia="Calibri"/>
          <w:sz w:val="28"/>
          <w:szCs w:val="28"/>
          <w:lang w:eastAsia="en-US"/>
        </w:rPr>
        <w:br/>
        <w:t>спарюванням та під час вагітності були на висококалорійній дієті (модель 3).</w:t>
      </w:r>
    </w:p>
    <w:p w14:paraId="6CA50B43"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До основної групи 4 було віднесено тварин із середніми значеннями довжини тіла при народженні,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яких також свідчив про ВУ ожиріння (був вищим за 0,244). Оскільки до формування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цих тварин було залучено не лише </w:t>
      </w:r>
      <w:r w:rsidRPr="00520861">
        <w:rPr>
          <w:rFonts w:eastAsia="Calibri"/>
          <w:sz w:val="28"/>
          <w:szCs w:val="28"/>
          <w:lang w:eastAsia="en-US"/>
        </w:rPr>
        <w:br/>
        <w:t xml:space="preserve">фактор </w:t>
      </w:r>
      <w:proofErr w:type="spellStart"/>
      <w:r w:rsidRPr="00520861">
        <w:rPr>
          <w:rFonts w:eastAsia="Calibri"/>
          <w:sz w:val="28"/>
          <w:szCs w:val="28"/>
          <w:lang w:eastAsia="en-US"/>
        </w:rPr>
        <w:t>гіперкалорійної</w:t>
      </w:r>
      <w:proofErr w:type="spellEnd"/>
      <w:r w:rsidRPr="00520861">
        <w:rPr>
          <w:rFonts w:eastAsia="Calibri"/>
          <w:sz w:val="28"/>
          <w:szCs w:val="28"/>
          <w:lang w:eastAsia="en-US"/>
        </w:rPr>
        <w:t xml:space="preserve"> дієти, а й чинник гіпокінетичних умов утримання вагітних самиць, ми аналізували їх окремо від тварин групи 3.</w:t>
      </w:r>
    </w:p>
    <w:p w14:paraId="12AE0BF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До групи контролю</w:t>
      </w:r>
      <w:r w:rsidRPr="00520861">
        <w:rPr>
          <w:rFonts w:eastAsia="Calibri"/>
          <w:bCs/>
          <w:sz w:val="28"/>
          <w:szCs w:val="28"/>
          <w:lang w:eastAsia="en-US"/>
        </w:rPr>
        <w:t xml:space="preserve"> </w:t>
      </w:r>
      <w:r w:rsidRPr="00520861">
        <w:rPr>
          <w:rFonts w:eastAsia="Calibri"/>
          <w:sz w:val="28"/>
          <w:szCs w:val="28"/>
          <w:lang w:eastAsia="en-US"/>
        </w:rPr>
        <w:t xml:space="preserve">було віднесено новонароджених тварин, маса тіла яких була в межах одного стандартного відхилення від медіанної маси тіла, а вагітність матерів цих тварин відбувалася за звичайних умов і стандартного харчового раціону. Для формування всіх груп були відібрані новонароджені щури з різних </w:t>
      </w:r>
      <w:proofErr w:type="spellStart"/>
      <w:r w:rsidRPr="00520861">
        <w:rPr>
          <w:rFonts w:eastAsia="Calibri"/>
          <w:sz w:val="28"/>
          <w:szCs w:val="28"/>
          <w:lang w:eastAsia="en-US"/>
        </w:rPr>
        <w:t>послідів</w:t>
      </w:r>
      <w:proofErr w:type="spellEnd"/>
      <w:r w:rsidRPr="00520861">
        <w:rPr>
          <w:rFonts w:eastAsia="Calibri"/>
          <w:sz w:val="28"/>
          <w:szCs w:val="28"/>
          <w:lang w:eastAsia="en-US"/>
        </w:rPr>
        <w:t>. Усі групи були репрезентативними за наявністю щурят чоловічої й жіночої статі.</w:t>
      </w:r>
    </w:p>
    <w:p w14:paraId="3A0CE71B"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Щури виводилися з експерименту на 1, 12, 40 – 42, 90 (далі – 3-місячні тварини), 180 (далі – 6-місячні тварини), 360 – 365 (далі – 12-місячні тварини) та 540 – 545 (далі – 18-місячні тварини) добу після народження. Безпосередньо після </w:t>
      </w:r>
      <w:r w:rsidRPr="00520861">
        <w:rPr>
          <w:rFonts w:eastAsia="Calibri"/>
          <w:sz w:val="28"/>
          <w:szCs w:val="28"/>
          <w:lang w:eastAsia="en-US"/>
        </w:rPr>
        <w:br/>
        <w:t xml:space="preserve">народження щури були зважені й поділені на групи відповідно до їх МРП. Повторне </w:t>
      </w:r>
      <w:r w:rsidRPr="00520861">
        <w:rPr>
          <w:rFonts w:eastAsia="Calibri"/>
          <w:sz w:val="28"/>
          <w:szCs w:val="28"/>
          <w:lang w:eastAsia="en-US"/>
        </w:rPr>
        <w:br/>
      </w:r>
      <w:proofErr w:type="spellStart"/>
      <w:r w:rsidRPr="00520861">
        <w:rPr>
          <w:rFonts w:eastAsia="Calibri"/>
          <w:sz w:val="28"/>
          <w:szCs w:val="28"/>
          <w:lang w:eastAsia="en-US"/>
        </w:rPr>
        <w:t>соматометричне</w:t>
      </w:r>
      <w:proofErr w:type="spellEnd"/>
      <w:r w:rsidRPr="00520861">
        <w:rPr>
          <w:rFonts w:eastAsia="Calibri"/>
          <w:sz w:val="28"/>
          <w:szCs w:val="28"/>
          <w:lang w:eastAsia="en-US"/>
        </w:rPr>
        <w:t xml:space="preserve"> обстеження було проведене при виведенні тварин з експерименту. Результати </w:t>
      </w:r>
      <w:proofErr w:type="spellStart"/>
      <w:r w:rsidRPr="00520861">
        <w:rPr>
          <w:rFonts w:eastAsia="Calibri"/>
          <w:sz w:val="28"/>
          <w:szCs w:val="28"/>
          <w:lang w:eastAsia="en-US"/>
        </w:rPr>
        <w:t>соматометричного</w:t>
      </w:r>
      <w:proofErr w:type="spellEnd"/>
      <w:r w:rsidRPr="00520861">
        <w:rPr>
          <w:rFonts w:eastAsia="Calibri"/>
          <w:sz w:val="28"/>
          <w:szCs w:val="28"/>
          <w:lang w:eastAsia="en-US"/>
        </w:rPr>
        <w:t xml:space="preserve"> обстеження в кожній із досліджуваних груп </w:t>
      </w:r>
      <w:r w:rsidRPr="00520861">
        <w:rPr>
          <w:rFonts w:eastAsia="Calibri"/>
          <w:sz w:val="28"/>
          <w:szCs w:val="28"/>
          <w:lang w:eastAsia="en-US"/>
        </w:rPr>
        <w:br/>
        <w:t xml:space="preserve">представлені в табл. Б.1.10 та табл. Б.1.11. </w:t>
      </w:r>
    </w:p>
    <w:p w14:paraId="1C0AC663" w14:textId="77777777" w:rsidR="00CF641C" w:rsidRPr="00520861" w:rsidRDefault="00CF641C" w:rsidP="00292D2E">
      <w:pPr>
        <w:widowControl w:val="0"/>
        <w:spacing w:line="360" w:lineRule="auto"/>
        <w:ind w:firstLine="708"/>
        <w:jc w:val="both"/>
        <w:rPr>
          <w:rFonts w:eastAsia="Calibri"/>
          <w:sz w:val="28"/>
          <w:szCs w:val="28"/>
          <w:lang w:eastAsia="en-US"/>
        </w:rPr>
      </w:pPr>
    </w:p>
    <w:p w14:paraId="646973B1" w14:textId="77777777" w:rsidR="00CF641C" w:rsidRPr="00520861" w:rsidRDefault="00CF641C" w:rsidP="00292D2E">
      <w:pPr>
        <w:widowControl w:val="0"/>
        <w:spacing w:line="360" w:lineRule="auto"/>
        <w:ind w:firstLine="709"/>
        <w:jc w:val="both"/>
        <w:rPr>
          <w:b/>
          <w:sz w:val="28"/>
          <w:szCs w:val="28"/>
        </w:rPr>
      </w:pPr>
      <w:r w:rsidRPr="00520861">
        <w:rPr>
          <w:b/>
          <w:sz w:val="28"/>
          <w:szCs w:val="28"/>
        </w:rPr>
        <w:t xml:space="preserve">2.10. Характеристика гістологічних, гістохімічних та </w:t>
      </w:r>
      <w:proofErr w:type="spellStart"/>
      <w:r w:rsidRPr="00520861">
        <w:rPr>
          <w:b/>
          <w:sz w:val="28"/>
          <w:szCs w:val="28"/>
        </w:rPr>
        <w:t>морфометричних</w:t>
      </w:r>
      <w:proofErr w:type="spellEnd"/>
      <w:r w:rsidRPr="00520861">
        <w:rPr>
          <w:b/>
          <w:sz w:val="28"/>
          <w:szCs w:val="28"/>
        </w:rPr>
        <w:t xml:space="preserve"> методів дослідження. </w:t>
      </w:r>
    </w:p>
    <w:p w14:paraId="3C884230" w14:textId="77777777" w:rsidR="00CF641C" w:rsidRPr="00520861" w:rsidRDefault="00CF641C" w:rsidP="00292D2E">
      <w:pPr>
        <w:widowControl w:val="0"/>
        <w:spacing w:line="360" w:lineRule="auto"/>
        <w:ind w:firstLine="709"/>
        <w:jc w:val="both"/>
        <w:rPr>
          <w:b/>
          <w:sz w:val="28"/>
          <w:szCs w:val="28"/>
        </w:rPr>
      </w:pPr>
    </w:p>
    <w:p w14:paraId="52601310" w14:textId="77777777" w:rsidR="00CF641C" w:rsidRPr="00520861" w:rsidRDefault="00CF641C" w:rsidP="00292D2E">
      <w:pPr>
        <w:widowControl w:val="0"/>
        <w:spacing w:line="360" w:lineRule="auto"/>
        <w:ind w:firstLine="709"/>
        <w:jc w:val="both"/>
        <w:rPr>
          <w:b/>
          <w:sz w:val="28"/>
          <w:szCs w:val="28"/>
        </w:rPr>
      </w:pPr>
      <w:proofErr w:type="spellStart"/>
      <w:r w:rsidRPr="00520861">
        <w:rPr>
          <w:rFonts w:eastAsia="Calibri"/>
          <w:sz w:val="28"/>
          <w:szCs w:val="28"/>
          <w:lang w:eastAsia="en-US"/>
        </w:rPr>
        <w:t>Зубощелепні</w:t>
      </w:r>
      <w:proofErr w:type="spellEnd"/>
      <w:r w:rsidRPr="00520861">
        <w:rPr>
          <w:rFonts w:eastAsia="Calibri"/>
          <w:sz w:val="28"/>
          <w:szCs w:val="28"/>
          <w:lang w:eastAsia="en-US"/>
        </w:rPr>
        <w:t xml:space="preserve"> блоки верхньої та нижньої щелеп, привушних слинних залоз, а також фрагментів СОПР </w:t>
      </w:r>
      <w:r w:rsidRPr="00520861">
        <w:rPr>
          <w:bCs/>
          <w:color w:val="000000"/>
          <w:sz w:val="28"/>
          <w:szCs w:val="28"/>
        </w:rPr>
        <w:t xml:space="preserve">для стандартної проводки фіксували в 10% нейтральному формаліні й заливали парафіном за загальноприйнятою методикою. </w:t>
      </w:r>
      <w:r w:rsidRPr="00520861">
        <w:rPr>
          <w:sz w:val="28"/>
          <w:szCs w:val="28"/>
        </w:rPr>
        <w:t xml:space="preserve">У кожної тварини зразки СОПР були відібрані в одних і тих же топографічних ділянках, а саме – перехідна складка та слизова </w:t>
      </w:r>
      <w:proofErr w:type="spellStart"/>
      <w:r w:rsidRPr="00520861">
        <w:rPr>
          <w:sz w:val="28"/>
          <w:szCs w:val="28"/>
        </w:rPr>
        <w:t>щік</w:t>
      </w:r>
      <w:proofErr w:type="spellEnd"/>
      <w:r w:rsidRPr="00520861">
        <w:rPr>
          <w:sz w:val="28"/>
          <w:szCs w:val="28"/>
        </w:rPr>
        <w:t xml:space="preserve"> (з області </w:t>
      </w:r>
      <w:proofErr w:type="spellStart"/>
      <w:r w:rsidRPr="00520861">
        <w:rPr>
          <w:sz w:val="28"/>
          <w:szCs w:val="28"/>
        </w:rPr>
        <w:t>проєкції</w:t>
      </w:r>
      <w:proofErr w:type="spellEnd"/>
      <w:r w:rsidRPr="00520861">
        <w:rPr>
          <w:sz w:val="28"/>
          <w:szCs w:val="28"/>
        </w:rPr>
        <w:t xml:space="preserve"> коренів жувальних зубів верхньої та нижньої щелеп). </w:t>
      </w:r>
      <w:r w:rsidRPr="00520861">
        <w:rPr>
          <w:rFonts w:eastAsia="Calibri"/>
          <w:sz w:val="28"/>
          <w:szCs w:val="28"/>
          <w:lang w:eastAsia="en-US"/>
        </w:rPr>
        <w:t xml:space="preserve">Зразки малих слинних залоз були взяті з тих самих топографічних ділянок (слизова </w:t>
      </w:r>
      <w:proofErr w:type="spellStart"/>
      <w:r w:rsidRPr="00520861">
        <w:rPr>
          <w:rFonts w:eastAsia="Calibri"/>
          <w:sz w:val="28"/>
          <w:szCs w:val="28"/>
          <w:lang w:eastAsia="en-US"/>
        </w:rPr>
        <w:t>щік</w:t>
      </w:r>
      <w:proofErr w:type="spellEnd"/>
      <w:r w:rsidRPr="00520861">
        <w:rPr>
          <w:rFonts w:eastAsia="Calibri"/>
          <w:sz w:val="28"/>
          <w:szCs w:val="28"/>
          <w:lang w:eastAsia="en-US"/>
        </w:rPr>
        <w:t>). Для вивчення світлооптичним методом</w:t>
      </w:r>
      <w:r w:rsidRPr="00520861">
        <w:rPr>
          <w:bCs/>
          <w:sz w:val="28"/>
          <w:szCs w:val="28"/>
        </w:rPr>
        <w:t xml:space="preserve"> зрі</w:t>
      </w:r>
      <w:r w:rsidRPr="00520861">
        <w:rPr>
          <w:bCs/>
          <w:color w:val="000000"/>
          <w:sz w:val="28"/>
          <w:szCs w:val="28"/>
        </w:rPr>
        <w:t xml:space="preserve">зи </w:t>
      </w:r>
      <w:r w:rsidRPr="00520861">
        <w:rPr>
          <w:bCs/>
          <w:color w:val="000000"/>
          <w:sz w:val="28"/>
          <w:szCs w:val="28"/>
        </w:rPr>
        <w:br/>
      </w:r>
      <w:r w:rsidRPr="00520861">
        <w:rPr>
          <w:bCs/>
          <w:color w:val="000000"/>
          <w:sz w:val="28"/>
          <w:szCs w:val="28"/>
        </w:rPr>
        <w:lastRenderedPageBreak/>
        <w:t>товщиною 5 – 6 </w:t>
      </w:r>
      <w:proofErr w:type="spellStart"/>
      <w:r w:rsidRPr="00520861">
        <w:rPr>
          <w:bCs/>
          <w:color w:val="000000"/>
          <w:sz w:val="28"/>
          <w:szCs w:val="28"/>
        </w:rPr>
        <w:t>мкм</w:t>
      </w:r>
      <w:proofErr w:type="spellEnd"/>
      <w:r w:rsidRPr="00520861">
        <w:rPr>
          <w:bCs/>
          <w:color w:val="000000"/>
          <w:sz w:val="28"/>
          <w:szCs w:val="28"/>
        </w:rPr>
        <w:t xml:space="preserve"> забарвлювали гематоксиліном й еозином за Ван </w:t>
      </w:r>
      <w:proofErr w:type="spellStart"/>
      <w:r w:rsidRPr="00520861">
        <w:rPr>
          <w:bCs/>
          <w:color w:val="000000"/>
          <w:sz w:val="28"/>
          <w:szCs w:val="28"/>
        </w:rPr>
        <w:t>Гізоном</w:t>
      </w:r>
      <w:proofErr w:type="spellEnd"/>
      <w:r w:rsidRPr="00520861">
        <w:rPr>
          <w:bCs/>
          <w:color w:val="000000"/>
          <w:sz w:val="28"/>
          <w:szCs w:val="28"/>
        </w:rPr>
        <w:t xml:space="preserve"> для виявлення ступеня склерозу тканин, </w:t>
      </w:r>
      <w:proofErr w:type="spellStart"/>
      <w:r w:rsidRPr="00520861">
        <w:rPr>
          <w:rFonts w:eastAsia="Calibri"/>
          <w:sz w:val="28"/>
          <w:szCs w:val="28"/>
          <w:lang w:eastAsia="en-US"/>
        </w:rPr>
        <w:t>галоціанін</w:t>
      </w:r>
      <w:proofErr w:type="spellEnd"/>
      <w:r w:rsidRPr="00520861">
        <w:rPr>
          <w:rFonts w:eastAsia="Calibri"/>
          <w:sz w:val="28"/>
          <w:szCs w:val="28"/>
          <w:lang w:eastAsia="en-US"/>
        </w:rPr>
        <w:t xml:space="preserve">-хромовими галунами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для оцінювання стану РНК у клітинах, ставили PAS-реакцію для оцінювання вмісту глюкопротеїдів у тканинах [142, 171, 464].</w:t>
      </w:r>
    </w:p>
    <w:p w14:paraId="4AC82EAB"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color w:val="FF0000"/>
          <w:sz w:val="28"/>
          <w:szCs w:val="28"/>
          <w:lang w:eastAsia="en-US"/>
        </w:rPr>
        <w:t xml:space="preserve"> </w:t>
      </w:r>
      <w:proofErr w:type="spellStart"/>
      <w:r w:rsidRPr="00520861">
        <w:rPr>
          <w:rFonts w:eastAsia="Calibri"/>
          <w:sz w:val="28"/>
          <w:szCs w:val="28"/>
          <w:lang w:eastAsia="en-US"/>
        </w:rPr>
        <w:t>Імуногістохімічне</w:t>
      </w:r>
      <w:proofErr w:type="spellEnd"/>
      <w:r w:rsidRPr="00520861">
        <w:rPr>
          <w:rFonts w:eastAsia="Calibri"/>
          <w:sz w:val="28"/>
          <w:szCs w:val="28"/>
          <w:lang w:eastAsia="en-US"/>
        </w:rPr>
        <w:t xml:space="preserve"> дослідження проводили постановкою реакції на фактор фон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(VIII фактор) </w:t>
      </w:r>
      <w:proofErr w:type="spellStart"/>
      <w:r w:rsidRPr="00520861">
        <w:rPr>
          <w:rFonts w:eastAsia="Calibri"/>
          <w:sz w:val="28"/>
          <w:szCs w:val="28"/>
          <w:lang w:eastAsia="en-US"/>
        </w:rPr>
        <w:t>згортальної</w:t>
      </w:r>
      <w:proofErr w:type="spellEnd"/>
      <w:r w:rsidRPr="00520861">
        <w:rPr>
          <w:rFonts w:eastAsia="Calibri"/>
          <w:sz w:val="28"/>
          <w:szCs w:val="28"/>
          <w:lang w:eastAsia="en-US"/>
        </w:rPr>
        <w:t xml:space="preserve"> системи крові набором реактивів фірми «</w:t>
      </w:r>
      <w:proofErr w:type="spellStart"/>
      <w:r w:rsidRPr="00520861">
        <w:rPr>
          <w:rFonts w:eastAsia="Calibri"/>
          <w:sz w:val="28"/>
          <w:szCs w:val="28"/>
          <w:lang w:eastAsia="en-US"/>
        </w:rPr>
        <w:t>Thermo</w:t>
      </w:r>
      <w:proofErr w:type="spellEnd"/>
      <w:r w:rsidRPr="00520861">
        <w:rPr>
          <w:rFonts w:eastAsia="Calibri"/>
          <w:sz w:val="28"/>
          <w:szCs w:val="28"/>
          <w:lang w:eastAsia="en-US"/>
        </w:rPr>
        <w:t xml:space="preserve"> </w:t>
      </w:r>
      <w:r w:rsidRPr="00520861">
        <w:rPr>
          <w:rFonts w:eastAsia="Calibri"/>
          <w:sz w:val="28"/>
          <w:szCs w:val="28"/>
          <w:lang w:val="en-US" w:eastAsia="en-US"/>
        </w:rPr>
        <w:t>S</w:t>
      </w:r>
      <w:proofErr w:type="spellStart"/>
      <w:r w:rsidRPr="00520861">
        <w:rPr>
          <w:rFonts w:eastAsia="Calibri"/>
          <w:sz w:val="28"/>
          <w:szCs w:val="28"/>
          <w:lang w:eastAsia="en-US"/>
        </w:rPr>
        <w:t>ientific</w:t>
      </w:r>
      <w:proofErr w:type="spellEnd"/>
      <w:r w:rsidRPr="00520861">
        <w:rPr>
          <w:rFonts w:eastAsia="Calibri"/>
          <w:sz w:val="28"/>
          <w:szCs w:val="28"/>
          <w:lang w:eastAsia="en-US"/>
        </w:rPr>
        <w:t xml:space="preserve">» (США), що дозволило оцінити </w:t>
      </w:r>
      <w:proofErr w:type="spellStart"/>
      <w:r w:rsidRPr="00520861">
        <w:rPr>
          <w:rFonts w:eastAsia="Calibri"/>
          <w:sz w:val="28"/>
          <w:szCs w:val="28"/>
          <w:lang w:eastAsia="en-US"/>
        </w:rPr>
        <w:t>ендотеліальний</w:t>
      </w:r>
      <w:proofErr w:type="spellEnd"/>
      <w:r w:rsidRPr="00520861">
        <w:rPr>
          <w:rFonts w:eastAsia="Calibri"/>
          <w:sz w:val="28"/>
          <w:szCs w:val="28"/>
          <w:lang w:eastAsia="en-US"/>
        </w:rPr>
        <w:t xml:space="preserve"> покрив кровоносних судин. Постановку </w:t>
      </w:r>
      <w:proofErr w:type="spellStart"/>
      <w:r w:rsidRPr="00520861">
        <w:rPr>
          <w:rFonts w:eastAsia="Calibri"/>
          <w:sz w:val="28"/>
          <w:szCs w:val="28"/>
          <w:lang w:eastAsia="en-US"/>
        </w:rPr>
        <w:t>імуногістохімічного</w:t>
      </w:r>
      <w:proofErr w:type="spellEnd"/>
      <w:r w:rsidRPr="00520861">
        <w:rPr>
          <w:rFonts w:eastAsia="Calibri"/>
          <w:sz w:val="28"/>
          <w:szCs w:val="28"/>
          <w:lang w:eastAsia="en-US"/>
        </w:rPr>
        <w:t xml:space="preserve"> забарвлення здійснювали згідно з рекомендаціями фірми-виробника. Реакція </w:t>
      </w:r>
      <w:proofErr w:type="spellStart"/>
      <w:r w:rsidRPr="00520861">
        <w:rPr>
          <w:rFonts w:eastAsia="Calibri"/>
          <w:sz w:val="28"/>
          <w:szCs w:val="28"/>
          <w:lang w:eastAsia="en-US"/>
        </w:rPr>
        <w:t>візуалізувалася</w:t>
      </w:r>
      <w:proofErr w:type="spellEnd"/>
      <w:r w:rsidRPr="00520861">
        <w:rPr>
          <w:rFonts w:eastAsia="Calibri"/>
          <w:sz w:val="28"/>
          <w:szCs w:val="28"/>
          <w:lang w:eastAsia="en-US"/>
        </w:rPr>
        <w:t xml:space="preserve"> за допомогою набору «</w:t>
      </w:r>
      <w:proofErr w:type="spellStart"/>
      <w:r w:rsidRPr="00520861">
        <w:rPr>
          <w:rFonts w:eastAsia="Calibri"/>
          <w:sz w:val="28"/>
          <w:szCs w:val="28"/>
          <w:lang w:eastAsia="en-US"/>
        </w:rPr>
        <w:t>UltraVision</w:t>
      </w:r>
      <w:proofErr w:type="spellEnd"/>
      <w:r w:rsidRPr="00520861">
        <w:rPr>
          <w:rFonts w:eastAsia="Calibri"/>
          <w:sz w:val="28"/>
          <w:szCs w:val="28"/>
          <w:lang w:eastAsia="en-US"/>
        </w:rPr>
        <w:t xml:space="preserve"> LP </w:t>
      </w:r>
      <w:proofErr w:type="spellStart"/>
      <w:r w:rsidRPr="00520861">
        <w:rPr>
          <w:rFonts w:eastAsia="Calibri"/>
          <w:sz w:val="28"/>
          <w:szCs w:val="28"/>
          <w:lang w:eastAsia="en-US"/>
        </w:rPr>
        <w:t>Detection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System</w:t>
      </w:r>
      <w:proofErr w:type="spellEnd"/>
      <w:r w:rsidRPr="00520861">
        <w:rPr>
          <w:rFonts w:eastAsia="Calibri"/>
          <w:sz w:val="28"/>
          <w:szCs w:val="28"/>
          <w:lang w:eastAsia="en-US"/>
        </w:rPr>
        <w:t xml:space="preserve"> HRP </w:t>
      </w:r>
      <w:proofErr w:type="spellStart"/>
      <w:r w:rsidRPr="00520861">
        <w:rPr>
          <w:rFonts w:eastAsia="Calibri"/>
          <w:sz w:val="28"/>
          <w:szCs w:val="28"/>
          <w:lang w:eastAsia="en-US"/>
        </w:rPr>
        <w:t>Polymer</w:t>
      </w:r>
      <w:proofErr w:type="spellEnd"/>
      <w:r w:rsidRPr="00520861">
        <w:rPr>
          <w:rFonts w:eastAsia="Calibri"/>
          <w:sz w:val="28"/>
          <w:szCs w:val="28"/>
          <w:lang w:eastAsia="en-US"/>
        </w:rPr>
        <w:t xml:space="preserve"> &amp; DAB </w:t>
      </w:r>
      <w:proofErr w:type="spellStart"/>
      <w:r w:rsidRPr="00520861">
        <w:rPr>
          <w:rFonts w:eastAsia="Calibri"/>
          <w:sz w:val="28"/>
          <w:szCs w:val="28"/>
          <w:lang w:eastAsia="en-US"/>
        </w:rPr>
        <w:t>Plus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Chromogen</w:t>
      </w:r>
      <w:proofErr w:type="spellEnd"/>
      <w:r w:rsidRPr="00520861">
        <w:rPr>
          <w:rFonts w:eastAsia="Calibri"/>
          <w:sz w:val="28"/>
          <w:szCs w:val="28"/>
          <w:lang w:eastAsia="en-US"/>
        </w:rPr>
        <w:t>» («</w:t>
      </w:r>
      <w:proofErr w:type="spellStart"/>
      <w:r w:rsidRPr="00520861">
        <w:rPr>
          <w:rFonts w:eastAsia="Calibri"/>
          <w:sz w:val="28"/>
          <w:szCs w:val="28"/>
          <w:lang w:eastAsia="en-US"/>
        </w:rPr>
        <w:t>Thermo</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Scientific</w:t>
      </w:r>
      <w:proofErr w:type="spellEnd"/>
      <w:r w:rsidRPr="00520861">
        <w:rPr>
          <w:rFonts w:eastAsia="Calibri"/>
          <w:sz w:val="28"/>
          <w:szCs w:val="28"/>
          <w:lang w:eastAsia="en-US"/>
        </w:rPr>
        <w:t xml:space="preserve">»). </w:t>
      </w:r>
      <w:r w:rsidRPr="00520861">
        <w:rPr>
          <w:rFonts w:eastAsia="Calibri"/>
          <w:spacing w:val="-6"/>
          <w:sz w:val="28"/>
          <w:szCs w:val="28"/>
          <w:lang w:eastAsia="en-US"/>
        </w:rPr>
        <w:t xml:space="preserve">Для виявлення інтенсивності </w:t>
      </w:r>
      <w:proofErr w:type="spellStart"/>
      <w:r w:rsidRPr="00520861">
        <w:rPr>
          <w:rFonts w:eastAsia="Calibri"/>
          <w:spacing w:val="-6"/>
          <w:sz w:val="28"/>
          <w:szCs w:val="28"/>
          <w:lang w:eastAsia="en-US"/>
        </w:rPr>
        <w:t>апоптозу</w:t>
      </w:r>
      <w:proofErr w:type="spellEnd"/>
      <w:r w:rsidRPr="00520861">
        <w:rPr>
          <w:rFonts w:eastAsia="Calibri"/>
          <w:spacing w:val="-6"/>
          <w:sz w:val="28"/>
          <w:szCs w:val="28"/>
          <w:lang w:eastAsia="en-US"/>
        </w:rPr>
        <w:t xml:space="preserve"> в </w:t>
      </w:r>
      <w:proofErr w:type="spellStart"/>
      <w:r w:rsidRPr="00520861">
        <w:rPr>
          <w:rFonts w:eastAsia="Calibri"/>
          <w:spacing w:val="-6"/>
          <w:sz w:val="28"/>
          <w:szCs w:val="28"/>
          <w:lang w:eastAsia="en-US"/>
        </w:rPr>
        <w:t>гландулоцитах</w:t>
      </w:r>
      <w:proofErr w:type="spellEnd"/>
      <w:r w:rsidRPr="00520861">
        <w:rPr>
          <w:rFonts w:eastAsia="Calibri"/>
          <w:spacing w:val="-6"/>
          <w:sz w:val="28"/>
          <w:szCs w:val="28"/>
          <w:lang w:eastAsia="en-US"/>
        </w:rPr>
        <w:t xml:space="preserve"> ставили </w:t>
      </w:r>
      <w:proofErr w:type="spellStart"/>
      <w:r w:rsidRPr="00520861">
        <w:rPr>
          <w:rFonts w:eastAsia="Calibri"/>
          <w:spacing w:val="-6"/>
          <w:sz w:val="28"/>
          <w:szCs w:val="28"/>
          <w:lang w:eastAsia="en-US"/>
        </w:rPr>
        <w:t>імуногістохімічну</w:t>
      </w:r>
      <w:proofErr w:type="spellEnd"/>
      <w:r w:rsidRPr="00520861">
        <w:rPr>
          <w:rFonts w:eastAsia="Calibri"/>
          <w:spacing w:val="-6"/>
          <w:sz w:val="28"/>
          <w:szCs w:val="28"/>
          <w:lang w:eastAsia="en-US"/>
        </w:rPr>
        <w:t xml:space="preserve"> реакцію з </w:t>
      </w:r>
      <w:proofErr w:type="spellStart"/>
      <w:r w:rsidRPr="00520861">
        <w:rPr>
          <w:rFonts w:eastAsia="Calibri"/>
          <w:spacing w:val="-6"/>
          <w:sz w:val="28"/>
          <w:szCs w:val="28"/>
          <w:lang w:eastAsia="en-US"/>
        </w:rPr>
        <w:t>Caspase</w:t>
      </w:r>
      <w:proofErr w:type="spellEnd"/>
      <w:r w:rsidRPr="00520861">
        <w:rPr>
          <w:rFonts w:eastAsia="Calibri"/>
          <w:spacing w:val="-6"/>
          <w:sz w:val="28"/>
          <w:szCs w:val="28"/>
          <w:lang w:eastAsia="en-US"/>
        </w:rPr>
        <w:t xml:space="preserve"> 3 з </w:t>
      </w:r>
      <w:proofErr w:type="spellStart"/>
      <w:r w:rsidRPr="00520861">
        <w:rPr>
          <w:rFonts w:eastAsia="Calibri"/>
          <w:spacing w:val="-6"/>
          <w:sz w:val="28"/>
          <w:szCs w:val="28"/>
          <w:lang w:eastAsia="en-US"/>
        </w:rPr>
        <w:t>дозабарвленням</w:t>
      </w:r>
      <w:proofErr w:type="spellEnd"/>
      <w:r w:rsidRPr="00520861">
        <w:rPr>
          <w:rFonts w:eastAsia="Calibri"/>
          <w:spacing w:val="-6"/>
          <w:sz w:val="28"/>
          <w:szCs w:val="28"/>
          <w:lang w:eastAsia="en-US"/>
        </w:rPr>
        <w:t xml:space="preserve"> гематоксиліном Майєра («</w:t>
      </w:r>
      <w:proofErr w:type="spellStart"/>
      <w:r w:rsidRPr="00520861">
        <w:rPr>
          <w:rFonts w:eastAsia="Calibri"/>
          <w:spacing w:val="-6"/>
          <w:sz w:val="28"/>
          <w:szCs w:val="28"/>
          <w:lang w:eastAsia="en-US"/>
        </w:rPr>
        <w:t>Termo</w:t>
      </w:r>
      <w:proofErr w:type="spellEnd"/>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Scientific</w:t>
      </w:r>
      <w:proofErr w:type="spellEnd"/>
      <w:r w:rsidRPr="00520861">
        <w:rPr>
          <w:rFonts w:eastAsia="Calibri"/>
          <w:spacing w:val="-6"/>
          <w:sz w:val="28"/>
          <w:szCs w:val="28"/>
          <w:lang w:eastAsia="en-US"/>
        </w:rPr>
        <w:t>», США). Для ідентифікації реакції використовували систему візуалізації «</w:t>
      </w:r>
      <w:proofErr w:type="spellStart"/>
      <w:r w:rsidRPr="00520861">
        <w:rPr>
          <w:rFonts w:eastAsia="Calibri"/>
          <w:spacing w:val="-6"/>
          <w:sz w:val="28"/>
          <w:szCs w:val="28"/>
          <w:lang w:eastAsia="en-US"/>
        </w:rPr>
        <w:t>Quanto</w:t>
      </w:r>
      <w:proofErr w:type="spellEnd"/>
      <w:r w:rsidRPr="00520861">
        <w:rPr>
          <w:rFonts w:eastAsia="Calibri"/>
          <w:spacing w:val="-6"/>
          <w:sz w:val="28"/>
          <w:szCs w:val="28"/>
          <w:lang w:eastAsia="en-US"/>
        </w:rPr>
        <w:t>» («</w:t>
      </w:r>
      <w:proofErr w:type="spellStart"/>
      <w:r w:rsidRPr="00520861">
        <w:rPr>
          <w:rFonts w:eastAsia="Calibri"/>
          <w:spacing w:val="-6"/>
          <w:sz w:val="28"/>
          <w:szCs w:val="28"/>
          <w:lang w:eastAsia="en-US"/>
        </w:rPr>
        <w:t>Termo</w:t>
      </w:r>
      <w:proofErr w:type="spellEnd"/>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Scientific</w:t>
      </w:r>
      <w:proofErr w:type="spellEnd"/>
      <w:r w:rsidRPr="00520861">
        <w:rPr>
          <w:rFonts w:eastAsia="Calibri"/>
          <w:spacing w:val="-6"/>
          <w:sz w:val="28"/>
          <w:szCs w:val="28"/>
          <w:lang w:eastAsia="en-US"/>
        </w:rPr>
        <w:t xml:space="preserve">», США) з нанесенням 3-діамінобензидин </w:t>
      </w:r>
      <w:proofErr w:type="spellStart"/>
      <w:r w:rsidRPr="00520861">
        <w:rPr>
          <w:rFonts w:eastAsia="Calibri"/>
          <w:spacing w:val="-6"/>
          <w:sz w:val="28"/>
          <w:szCs w:val="28"/>
          <w:lang w:eastAsia="en-US"/>
        </w:rPr>
        <w:t>тетрахлориду</w:t>
      </w:r>
      <w:proofErr w:type="spellEnd"/>
      <w:r w:rsidRPr="00520861">
        <w:rPr>
          <w:rFonts w:eastAsia="Calibri"/>
          <w:spacing w:val="-6"/>
          <w:sz w:val="28"/>
          <w:szCs w:val="28"/>
          <w:lang w:eastAsia="en-US"/>
        </w:rPr>
        <w:t xml:space="preserve"> як </w:t>
      </w:r>
      <w:proofErr w:type="spellStart"/>
      <w:r w:rsidRPr="00520861">
        <w:rPr>
          <w:rFonts w:eastAsia="Calibri"/>
          <w:spacing w:val="-6"/>
          <w:sz w:val="28"/>
          <w:szCs w:val="28"/>
          <w:lang w:eastAsia="en-US"/>
        </w:rPr>
        <w:t>хромогена</w:t>
      </w:r>
      <w:proofErr w:type="spellEnd"/>
      <w:r w:rsidRPr="00520861">
        <w:rPr>
          <w:rFonts w:eastAsia="Calibri"/>
          <w:spacing w:val="-6"/>
          <w:sz w:val="28"/>
          <w:szCs w:val="28"/>
          <w:lang w:eastAsia="en-US"/>
        </w:rPr>
        <w:t xml:space="preserve"> [110]. </w:t>
      </w:r>
    </w:p>
    <w:p w14:paraId="7CB33880" w14:textId="77777777" w:rsidR="00CF641C" w:rsidRPr="00520861" w:rsidRDefault="00CF641C" w:rsidP="00292D2E">
      <w:pPr>
        <w:widowControl w:val="0"/>
        <w:spacing w:line="360" w:lineRule="auto"/>
        <w:ind w:firstLine="709"/>
        <w:jc w:val="both"/>
        <w:rPr>
          <w:rFonts w:eastAsia="Calibri"/>
          <w:spacing w:val="-4"/>
          <w:sz w:val="28"/>
          <w:szCs w:val="28"/>
          <w:lang w:eastAsia="en-US"/>
        </w:rPr>
      </w:pPr>
      <w:r w:rsidRPr="00520861">
        <w:rPr>
          <w:rFonts w:eastAsia="Calibri"/>
          <w:spacing w:val="-4"/>
          <w:sz w:val="28"/>
          <w:szCs w:val="28"/>
          <w:lang w:eastAsia="en-US"/>
        </w:rPr>
        <w:t>Мікропрепарати вивчали на мікроскопі «</w:t>
      </w:r>
      <w:proofErr w:type="spellStart"/>
      <w:r w:rsidRPr="00520861">
        <w:rPr>
          <w:rFonts w:eastAsia="Calibri"/>
          <w:spacing w:val="-4"/>
          <w:sz w:val="28"/>
          <w:szCs w:val="28"/>
          <w:lang w:eastAsia="en-US"/>
        </w:rPr>
        <w:t>Axiostar-plus</w:t>
      </w:r>
      <w:proofErr w:type="spellEnd"/>
      <w:r w:rsidRPr="00520861">
        <w:rPr>
          <w:rFonts w:eastAsia="Calibri"/>
          <w:spacing w:val="-4"/>
          <w:sz w:val="28"/>
          <w:szCs w:val="28"/>
          <w:lang w:eastAsia="en-US"/>
        </w:rPr>
        <w:t>» («</w:t>
      </w:r>
      <w:proofErr w:type="spellStart"/>
      <w:r w:rsidRPr="00520861">
        <w:rPr>
          <w:rFonts w:eastAsia="Calibri"/>
          <w:spacing w:val="-4"/>
          <w:sz w:val="28"/>
          <w:szCs w:val="28"/>
          <w:lang w:eastAsia="en-US"/>
        </w:rPr>
        <w:t>Zeiss</w:t>
      </w:r>
      <w:proofErr w:type="spellEnd"/>
      <w:r w:rsidRPr="00520861">
        <w:rPr>
          <w:rFonts w:eastAsia="Calibri"/>
          <w:spacing w:val="-4"/>
          <w:sz w:val="28"/>
          <w:szCs w:val="28"/>
          <w:lang w:eastAsia="en-US"/>
        </w:rPr>
        <w:t xml:space="preserve">», Німеччина), </w:t>
      </w:r>
      <w:r w:rsidRPr="00520861">
        <w:rPr>
          <w:rFonts w:eastAsia="Calibri"/>
          <w:spacing w:val="-4"/>
          <w:sz w:val="28"/>
          <w:szCs w:val="28"/>
          <w:lang w:eastAsia="en-US"/>
        </w:rPr>
        <w:br/>
        <w:t>використовуючи фотокамеру «</w:t>
      </w:r>
      <w:proofErr w:type="spellStart"/>
      <w:r w:rsidRPr="00520861">
        <w:rPr>
          <w:rFonts w:eastAsia="Calibri"/>
          <w:spacing w:val="-4"/>
          <w:sz w:val="28"/>
          <w:szCs w:val="28"/>
          <w:lang w:eastAsia="en-US"/>
        </w:rPr>
        <w:t>ProgRes</w:t>
      </w:r>
      <w:proofErr w:type="spellEnd"/>
      <w:r w:rsidRPr="00520861">
        <w:rPr>
          <w:rFonts w:eastAsia="Calibri"/>
          <w:spacing w:val="-4"/>
          <w:sz w:val="28"/>
          <w:szCs w:val="28"/>
          <w:lang w:eastAsia="en-US"/>
        </w:rPr>
        <w:t xml:space="preserve"> C 10 </w:t>
      </w:r>
      <w:proofErr w:type="spellStart"/>
      <w:r w:rsidRPr="00520861">
        <w:rPr>
          <w:rFonts w:eastAsia="Calibri"/>
          <w:spacing w:val="-4"/>
          <w:sz w:val="28"/>
          <w:szCs w:val="28"/>
          <w:lang w:eastAsia="en-US"/>
        </w:rPr>
        <w:t>plus</w:t>
      </w:r>
      <w:proofErr w:type="spellEnd"/>
      <w:r w:rsidRPr="00520861">
        <w:rPr>
          <w:rFonts w:eastAsia="Calibri"/>
          <w:spacing w:val="-4"/>
          <w:sz w:val="28"/>
          <w:szCs w:val="28"/>
          <w:lang w:eastAsia="en-US"/>
        </w:rPr>
        <w:t>». Морфометрію здійснювали на цифрових зображеннях за допомогою комп’ютерного забезпечення «</w:t>
      </w:r>
      <w:proofErr w:type="spellStart"/>
      <w:r w:rsidRPr="00520861">
        <w:rPr>
          <w:rFonts w:eastAsia="Calibri"/>
          <w:spacing w:val="-4"/>
          <w:sz w:val="28"/>
          <w:szCs w:val="28"/>
          <w:lang w:eastAsia="en-US"/>
        </w:rPr>
        <w:t>БіоТест</w:t>
      </w:r>
      <w:proofErr w:type="spellEnd"/>
      <w:r w:rsidRPr="00520861">
        <w:rPr>
          <w:rFonts w:eastAsia="Calibri"/>
          <w:spacing w:val="-4"/>
          <w:sz w:val="28"/>
          <w:szCs w:val="28"/>
          <w:lang w:eastAsia="en-US"/>
        </w:rPr>
        <w:t xml:space="preserve">» (РФ). </w:t>
      </w:r>
    </w:p>
    <w:p w14:paraId="028B734D"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Оптична густина мікропрепаратів при постановці гістохімічних реакцій визначалася згідно з рекомендаціями, викладеними в праці [188].</w:t>
      </w:r>
    </w:p>
    <w:p w14:paraId="3AD2FA8F"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pacing w:val="-2"/>
          <w:sz w:val="28"/>
          <w:szCs w:val="28"/>
          <w:lang w:eastAsia="en-US"/>
        </w:rPr>
        <w:t xml:space="preserve">Крім гістологічного опису препаратів, при світловій мікроскопії була виконана різноманітна морфометрія, що дозволило </w:t>
      </w:r>
      <w:proofErr w:type="spellStart"/>
      <w:r w:rsidRPr="00520861">
        <w:rPr>
          <w:rFonts w:eastAsia="Calibri"/>
          <w:spacing w:val="-2"/>
          <w:sz w:val="28"/>
          <w:szCs w:val="28"/>
          <w:lang w:eastAsia="en-US"/>
        </w:rPr>
        <w:t>об’єктивізувати</w:t>
      </w:r>
      <w:proofErr w:type="spellEnd"/>
      <w:r w:rsidRPr="00520861">
        <w:rPr>
          <w:rFonts w:eastAsia="Calibri"/>
          <w:spacing w:val="-2"/>
          <w:sz w:val="28"/>
          <w:szCs w:val="28"/>
          <w:lang w:eastAsia="en-US"/>
        </w:rPr>
        <w:t xml:space="preserve"> гістологічні особливос</w:t>
      </w:r>
      <w:r w:rsidRPr="00520861">
        <w:rPr>
          <w:rFonts w:eastAsia="Calibri"/>
          <w:sz w:val="28"/>
          <w:szCs w:val="28"/>
          <w:lang w:eastAsia="en-US"/>
        </w:rPr>
        <w:t xml:space="preserve">ті тканин, що вивчалися. Для підтвердження та візуалізації структурних змін у </w:t>
      </w:r>
      <w:r w:rsidRPr="00520861">
        <w:rPr>
          <w:rFonts w:eastAsia="Calibri"/>
          <w:sz w:val="28"/>
          <w:szCs w:val="28"/>
          <w:lang w:eastAsia="en-US"/>
        </w:rPr>
        <w:br/>
        <w:t xml:space="preserve">досліджуваних тварин були використані тривимірні зображення, отримані за допомогою конфокальної мікроскопії. Було виготовлено та забарвлено гематоксиліном й еозином серійні зрізи товщиною 20 – 80 </w:t>
      </w:r>
      <w:proofErr w:type="spellStart"/>
      <w:r w:rsidRPr="00520861">
        <w:rPr>
          <w:rFonts w:eastAsia="Calibri"/>
          <w:sz w:val="28"/>
          <w:szCs w:val="28"/>
          <w:lang w:eastAsia="en-US"/>
        </w:rPr>
        <w:t>мкм</w:t>
      </w:r>
      <w:proofErr w:type="spellEnd"/>
      <w:r w:rsidRPr="00520861">
        <w:rPr>
          <w:rFonts w:eastAsia="Calibri"/>
          <w:sz w:val="28"/>
          <w:szCs w:val="28"/>
          <w:lang w:eastAsia="en-US"/>
        </w:rPr>
        <w:t xml:space="preserve"> привушних слинних залоз, СОПР</w:t>
      </w:r>
      <w:r w:rsidRPr="00520861">
        <w:rPr>
          <w:sz w:val="28"/>
          <w:szCs w:val="28"/>
        </w:rPr>
        <w:t>,</w:t>
      </w:r>
      <w:r w:rsidRPr="00520861">
        <w:rPr>
          <w:rFonts w:eastAsia="Calibri"/>
          <w:sz w:val="28"/>
          <w:szCs w:val="28"/>
          <w:lang w:eastAsia="en-US"/>
        </w:rPr>
        <w:t xml:space="preserve"> </w:t>
      </w:r>
      <w:r w:rsidRPr="00520861">
        <w:rPr>
          <w:rFonts w:eastAsia="Calibri"/>
          <w:sz w:val="28"/>
          <w:szCs w:val="28"/>
          <w:lang w:eastAsia="en-US"/>
        </w:rPr>
        <w:br/>
        <w:t>зокрема малих слинних залоз шестимісячних щурів.</w:t>
      </w:r>
    </w:p>
    <w:p w14:paraId="4AE31286" w14:textId="77777777" w:rsidR="00CF641C" w:rsidRPr="00520861" w:rsidRDefault="00CF641C" w:rsidP="00292D2E">
      <w:pPr>
        <w:widowControl w:val="0"/>
        <w:spacing w:line="360" w:lineRule="auto"/>
        <w:ind w:firstLine="708"/>
        <w:jc w:val="both"/>
        <w:rPr>
          <w:rFonts w:eastAsia="Calibri"/>
          <w:spacing w:val="-2"/>
          <w:sz w:val="28"/>
          <w:szCs w:val="28"/>
          <w:lang w:eastAsia="en-US"/>
        </w:rPr>
      </w:pPr>
      <w:r w:rsidRPr="00520861">
        <w:rPr>
          <w:rFonts w:eastAsia="Calibri"/>
          <w:spacing w:val="-2"/>
          <w:sz w:val="28"/>
          <w:szCs w:val="28"/>
          <w:lang w:eastAsia="en-US"/>
        </w:rPr>
        <w:t xml:space="preserve">Усі результати конфокальної лазерної </w:t>
      </w:r>
      <w:proofErr w:type="spellStart"/>
      <w:r w:rsidRPr="00520861">
        <w:rPr>
          <w:rFonts w:eastAsia="Calibri"/>
          <w:spacing w:val="-2"/>
          <w:sz w:val="28"/>
          <w:szCs w:val="28"/>
          <w:lang w:eastAsia="en-US"/>
        </w:rPr>
        <w:t>сканувальної</w:t>
      </w:r>
      <w:proofErr w:type="spellEnd"/>
      <w:r w:rsidRPr="00520861">
        <w:rPr>
          <w:rFonts w:eastAsia="Calibri"/>
          <w:spacing w:val="-2"/>
          <w:sz w:val="28"/>
          <w:szCs w:val="28"/>
          <w:lang w:eastAsia="en-US"/>
        </w:rPr>
        <w:t xml:space="preserve"> мікроскопії були отримані за допомогою лазерного </w:t>
      </w:r>
      <w:proofErr w:type="spellStart"/>
      <w:r w:rsidRPr="00520861">
        <w:rPr>
          <w:rFonts w:eastAsia="Calibri"/>
          <w:spacing w:val="-2"/>
          <w:sz w:val="28"/>
          <w:szCs w:val="28"/>
          <w:lang w:eastAsia="en-US"/>
        </w:rPr>
        <w:t>сканувального</w:t>
      </w:r>
      <w:proofErr w:type="spellEnd"/>
      <w:r w:rsidRPr="00520861">
        <w:rPr>
          <w:rFonts w:eastAsia="Calibri"/>
          <w:spacing w:val="-2"/>
          <w:sz w:val="28"/>
          <w:szCs w:val="28"/>
          <w:lang w:eastAsia="en-US"/>
        </w:rPr>
        <w:t xml:space="preserve"> конфокального мікроскопа </w:t>
      </w:r>
      <w:proofErr w:type="spellStart"/>
      <w:r w:rsidRPr="00520861">
        <w:rPr>
          <w:rFonts w:eastAsia="Calibri"/>
          <w:spacing w:val="-2"/>
          <w:sz w:val="28"/>
          <w:szCs w:val="28"/>
          <w:lang w:eastAsia="en-US"/>
        </w:rPr>
        <w:t>Leica</w:t>
      </w:r>
      <w:proofErr w:type="spellEnd"/>
      <w:r w:rsidRPr="00520861">
        <w:rPr>
          <w:rFonts w:eastAsia="Calibri"/>
          <w:spacing w:val="-2"/>
          <w:sz w:val="28"/>
          <w:szCs w:val="28"/>
          <w:lang w:eastAsia="en-US"/>
        </w:rPr>
        <w:t xml:space="preserve"> SP8 AOBS на інвертованому стенді мікроскопа «</w:t>
      </w:r>
      <w:proofErr w:type="spellStart"/>
      <w:r w:rsidRPr="00520861">
        <w:rPr>
          <w:rFonts w:eastAsia="Calibri"/>
          <w:spacing w:val="-2"/>
          <w:sz w:val="28"/>
          <w:szCs w:val="28"/>
          <w:lang w:eastAsia="en-US"/>
        </w:rPr>
        <w:t>Leica</w:t>
      </w:r>
      <w:proofErr w:type="spellEnd"/>
      <w:r w:rsidRPr="00520861">
        <w:rPr>
          <w:rFonts w:eastAsia="Calibri"/>
          <w:spacing w:val="-2"/>
          <w:sz w:val="28"/>
          <w:szCs w:val="28"/>
          <w:lang w:eastAsia="en-US"/>
        </w:rPr>
        <w:t xml:space="preserve"> DMi8», установленому у відділенні </w:t>
      </w:r>
      <w:r w:rsidRPr="00520861">
        <w:rPr>
          <w:rFonts w:eastAsia="Calibri"/>
          <w:spacing w:val="-2"/>
          <w:sz w:val="28"/>
          <w:szCs w:val="28"/>
          <w:lang w:eastAsia="en-US"/>
        </w:rPr>
        <w:br/>
      </w:r>
      <w:r w:rsidRPr="00520861">
        <w:rPr>
          <w:rFonts w:eastAsia="Calibri"/>
          <w:spacing w:val="-4"/>
          <w:sz w:val="28"/>
          <w:szCs w:val="28"/>
          <w:lang w:eastAsia="en-US"/>
        </w:rPr>
        <w:lastRenderedPageBreak/>
        <w:t>«</w:t>
      </w:r>
      <w:proofErr w:type="spellStart"/>
      <w:r w:rsidRPr="00520861">
        <w:rPr>
          <w:rFonts w:eastAsia="Calibri"/>
          <w:spacing w:val="-4"/>
          <w:sz w:val="28"/>
          <w:szCs w:val="28"/>
          <w:lang w:eastAsia="en-US"/>
        </w:rPr>
        <w:t>Біоматематика</w:t>
      </w:r>
      <w:proofErr w:type="spellEnd"/>
      <w:r w:rsidRPr="00520861">
        <w:rPr>
          <w:rFonts w:eastAsia="Calibri"/>
          <w:spacing w:val="-4"/>
          <w:sz w:val="28"/>
          <w:szCs w:val="28"/>
          <w:lang w:eastAsia="en-US"/>
        </w:rPr>
        <w:t>» Інституту фізіології Чеської академії наук (м. Прага, Чехія). Опис налаш</w:t>
      </w:r>
      <w:r w:rsidRPr="00520861">
        <w:rPr>
          <w:rFonts w:eastAsia="Calibri"/>
          <w:spacing w:val="-2"/>
          <w:sz w:val="28"/>
          <w:szCs w:val="28"/>
          <w:lang w:eastAsia="en-US"/>
        </w:rPr>
        <w:t xml:space="preserve">тування обладнання та форм графічного представлення результатів детально </w:t>
      </w:r>
      <w:r w:rsidR="00E25E93" w:rsidRPr="00520861">
        <w:rPr>
          <w:rFonts w:eastAsia="Calibri"/>
          <w:spacing w:val="-2"/>
          <w:sz w:val="28"/>
          <w:szCs w:val="28"/>
          <w:lang w:eastAsia="en-US"/>
        </w:rPr>
        <w:br/>
      </w:r>
      <w:r w:rsidRPr="00520861">
        <w:rPr>
          <w:rFonts w:eastAsia="Calibri"/>
          <w:spacing w:val="-2"/>
          <w:sz w:val="28"/>
          <w:szCs w:val="28"/>
          <w:lang w:eastAsia="en-US"/>
        </w:rPr>
        <w:t xml:space="preserve">викладений у Додатку В.1. </w:t>
      </w:r>
    </w:p>
    <w:p w14:paraId="044A6F9B" w14:textId="77777777" w:rsidR="00CF641C" w:rsidRPr="00520861" w:rsidRDefault="00CF641C" w:rsidP="00292D2E">
      <w:pPr>
        <w:widowControl w:val="0"/>
        <w:autoSpaceDE w:val="0"/>
        <w:autoSpaceDN w:val="0"/>
        <w:adjustRightInd w:val="0"/>
        <w:spacing w:line="360" w:lineRule="auto"/>
        <w:ind w:firstLine="708"/>
        <w:jc w:val="both"/>
        <w:rPr>
          <w:rFonts w:eastAsia="Calibri"/>
          <w:sz w:val="28"/>
          <w:szCs w:val="28"/>
          <w:lang w:eastAsia="en-US"/>
        </w:rPr>
      </w:pPr>
      <w:r w:rsidRPr="00520861">
        <w:rPr>
          <w:rFonts w:eastAsia="Calibri"/>
          <w:sz w:val="28"/>
          <w:szCs w:val="28"/>
          <w:lang w:eastAsia="en-US"/>
        </w:rPr>
        <w:t xml:space="preserve">Для визначення середніх параметрів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у зразку слинної залози зі стека мікрофотографій було обрано шар (оптичний зріз), де поперечний перетин окремого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досягає максимуму (рис. 2.3). Оскільки </w:t>
      </w:r>
      <w:proofErr w:type="spellStart"/>
      <w:r w:rsidRPr="00520861">
        <w:rPr>
          <w:rFonts w:eastAsia="Calibri"/>
          <w:sz w:val="28"/>
          <w:szCs w:val="28"/>
          <w:lang w:eastAsia="en-US"/>
        </w:rPr>
        <w:t>ацинуси</w:t>
      </w:r>
      <w:proofErr w:type="spellEnd"/>
      <w:r w:rsidRPr="00520861">
        <w:rPr>
          <w:rFonts w:eastAsia="Calibri"/>
          <w:sz w:val="28"/>
          <w:szCs w:val="28"/>
          <w:lang w:eastAsia="en-US"/>
        </w:rPr>
        <w:t xml:space="preserve"> розташовані на різній глибині в зразку, їх питомі значення повинні визначатися з різних мікрофотографій. У кожної тварини в кожній групі аналізували хоча б одну привушну та малу слинну залозу, якщо зразок залози містив не менше ніж 40 – 120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w:t>
      </w:r>
    </w:p>
    <w:p w14:paraId="36A84761" w14:textId="77777777" w:rsidR="00CF641C" w:rsidRPr="00520861" w:rsidRDefault="00CF641C" w:rsidP="00292D2E">
      <w:pPr>
        <w:widowControl w:val="0"/>
        <w:spacing w:line="360" w:lineRule="auto"/>
        <w:ind w:right="-1" w:firstLine="708"/>
        <w:jc w:val="both"/>
        <w:rPr>
          <w:sz w:val="28"/>
          <w:szCs w:val="28"/>
        </w:rPr>
      </w:pPr>
      <w:r w:rsidRPr="00520861">
        <w:rPr>
          <w:sz w:val="28"/>
          <w:szCs w:val="28"/>
        </w:rPr>
        <w:t xml:space="preserve">По стеках конфокальних мікрофотографій оцінено активність проліферації епітелію СОПР за допомогою підрахунку середньої кількості </w:t>
      </w:r>
      <w:proofErr w:type="spellStart"/>
      <w:r w:rsidRPr="00520861">
        <w:rPr>
          <w:sz w:val="28"/>
          <w:szCs w:val="28"/>
        </w:rPr>
        <w:t>акантотичних</w:t>
      </w:r>
      <w:proofErr w:type="spellEnd"/>
      <w:r w:rsidRPr="00520861">
        <w:rPr>
          <w:sz w:val="28"/>
          <w:szCs w:val="28"/>
        </w:rPr>
        <w:t xml:space="preserve"> виростів на одиницю довжини </w:t>
      </w:r>
      <w:proofErr w:type="spellStart"/>
      <w:r w:rsidRPr="00520861">
        <w:rPr>
          <w:sz w:val="28"/>
          <w:szCs w:val="28"/>
        </w:rPr>
        <w:t>мікросекції</w:t>
      </w:r>
      <w:proofErr w:type="spellEnd"/>
      <w:r w:rsidRPr="00520861">
        <w:rPr>
          <w:sz w:val="28"/>
          <w:szCs w:val="28"/>
        </w:rPr>
        <w:t xml:space="preserve">, а також вимірювання глибини </w:t>
      </w:r>
      <w:proofErr w:type="spellStart"/>
      <w:r w:rsidRPr="00520861">
        <w:rPr>
          <w:sz w:val="28"/>
          <w:szCs w:val="28"/>
        </w:rPr>
        <w:t>акантозу</w:t>
      </w:r>
      <w:proofErr w:type="spellEnd"/>
      <w:r w:rsidRPr="00520861">
        <w:rPr>
          <w:sz w:val="28"/>
          <w:szCs w:val="28"/>
        </w:rPr>
        <w:t xml:space="preserve"> на препаратах СОПР. У тварин основних та контрольної груп з використанням плагіну </w:t>
      </w:r>
      <w:proofErr w:type="spellStart"/>
      <w:r w:rsidRPr="00520861">
        <w:rPr>
          <w:sz w:val="28"/>
          <w:szCs w:val="28"/>
        </w:rPr>
        <w:t>Measure</w:t>
      </w:r>
      <w:proofErr w:type="spellEnd"/>
      <w:r w:rsidRPr="00520861">
        <w:rPr>
          <w:sz w:val="28"/>
          <w:szCs w:val="28"/>
        </w:rPr>
        <w:t xml:space="preserve"> у програмі </w:t>
      </w:r>
      <w:proofErr w:type="spellStart"/>
      <w:r w:rsidRPr="00520861">
        <w:rPr>
          <w:sz w:val="28"/>
          <w:szCs w:val="28"/>
        </w:rPr>
        <w:t>Fiji</w:t>
      </w:r>
      <w:proofErr w:type="spellEnd"/>
      <w:r w:rsidRPr="00520861">
        <w:rPr>
          <w:sz w:val="28"/>
          <w:szCs w:val="28"/>
        </w:rPr>
        <w:t xml:space="preserve"> [495] були визначені довжина кривої </w:t>
      </w:r>
      <w:proofErr w:type="spellStart"/>
      <w:r w:rsidRPr="00520861">
        <w:rPr>
          <w:sz w:val="28"/>
          <w:szCs w:val="28"/>
        </w:rPr>
        <w:t>акантотичних</w:t>
      </w:r>
      <w:proofErr w:type="spellEnd"/>
      <w:r w:rsidRPr="00520861">
        <w:rPr>
          <w:sz w:val="28"/>
          <w:szCs w:val="28"/>
        </w:rPr>
        <w:t xml:space="preserve"> виростів (L1 на рис. 2.4), а також довжина верхньої межі, на якій базується лінія </w:t>
      </w:r>
      <w:proofErr w:type="spellStart"/>
      <w:r w:rsidRPr="00520861">
        <w:rPr>
          <w:sz w:val="28"/>
          <w:szCs w:val="28"/>
        </w:rPr>
        <w:t>акантотичних</w:t>
      </w:r>
      <w:proofErr w:type="spellEnd"/>
      <w:r w:rsidRPr="00520861">
        <w:rPr>
          <w:sz w:val="28"/>
          <w:szCs w:val="28"/>
        </w:rPr>
        <w:t xml:space="preserve"> виростів епітелію (L2 на рис. 2.4). </w:t>
      </w:r>
    </w:p>
    <w:p w14:paraId="70C7254F"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bCs/>
          <w:color w:val="000000"/>
          <w:sz w:val="28"/>
          <w:szCs w:val="28"/>
        </w:rPr>
        <w:t>У новонароджених щурів для морфологічного аналізу використовувалися м’які та тверді тканини верхніх і нижніх щелеп.</w:t>
      </w:r>
      <w:r w:rsidRPr="00520861">
        <w:rPr>
          <w:rFonts w:eastAsia="Calibri"/>
          <w:sz w:val="28"/>
          <w:szCs w:val="28"/>
          <w:lang w:eastAsia="en-US"/>
        </w:rPr>
        <w:t xml:space="preserve"> На гістологічних зрізах визначали середню товщину шару емалі та середню площу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на верхівках зубних зачатків перших молярів.</w:t>
      </w:r>
    </w:p>
    <w:p w14:paraId="22EF361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тварин віком 12 та 40 діб вимірювалися довжини коронок зубів. Довжини коронок різців (тварини 12 діб) і молярів (тварини 40 діб) оцінювалися з використанням </w:t>
      </w:r>
      <w:proofErr w:type="spellStart"/>
      <w:r w:rsidRPr="00520861">
        <w:rPr>
          <w:rFonts w:eastAsia="Calibri"/>
          <w:sz w:val="28"/>
          <w:szCs w:val="28"/>
          <w:lang w:eastAsia="en-US"/>
        </w:rPr>
        <w:t>стереолупи</w:t>
      </w:r>
      <w:proofErr w:type="spellEnd"/>
      <w:r w:rsidRPr="00520861">
        <w:rPr>
          <w:rFonts w:eastAsia="Calibri"/>
          <w:sz w:val="28"/>
          <w:szCs w:val="28"/>
          <w:lang w:eastAsia="en-US"/>
        </w:rPr>
        <w:t xml:space="preserve"> МБС-9. Ураховуючи те, що в однієї й тієї ж самої тварини моляри верхньої та нижньої щелеп подібні [172], виміри проводилися лише на верхніх щелепах. На щічній поверхні вимірювалася відстань від емалево-цементної межі до найвищої точки найдовшого горба зуба. </w:t>
      </w:r>
    </w:p>
    <w:p w14:paraId="4DFA197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Ділянки </w:t>
      </w:r>
      <w:proofErr w:type="spellStart"/>
      <w:r w:rsidRPr="00520861">
        <w:rPr>
          <w:rFonts w:eastAsia="Calibri"/>
          <w:sz w:val="28"/>
          <w:szCs w:val="28"/>
          <w:lang w:eastAsia="en-US"/>
        </w:rPr>
        <w:t>демінералізації</w:t>
      </w:r>
      <w:proofErr w:type="spellEnd"/>
      <w:r w:rsidRPr="00520861">
        <w:rPr>
          <w:rFonts w:eastAsia="Calibri"/>
          <w:sz w:val="28"/>
          <w:szCs w:val="28"/>
          <w:lang w:eastAsia="en-US"/>
        </w:rPr>
        <w:t xml:space="preserve"> емалі виявляли висушуванням. Фотофіксація препаратів проводилася з масштабними вказівниками.</w:t>
      </w:r>
    </w:p>
    <w:p w14:paraId="0EAEFA24"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тварин віком 90, 180, 360 та 540 діб для морфологічного аналізу використовували </w:t>
      </w:r>
      <w:r w:rsidRPr="00520861">
        <w:rPr>
          <w:bCs/>
          <w:color w:val="000000"/>
          <w:sz w:val="28"/>
          <w:szCs w:val="28"/>
        </w:rPr>
        <w:t>м’які та тверді тканини верхніх і нижніх щелеп.</w:t>
      </w:r>
    </w:p>
    <w:p w14:paraId="69BEF4B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10E7054D" wp14:editId="09C307C9">
            <wp:extent cx="6381750" cy="68675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81750" cy="6867525"/>
                    </a:xfrm>
                    <a:prstGeom prst="rect">
                      <a:avLst/>
                    </a:prstGeom>
                    <a:noFill/>
                    <a:ln>
                      <a:noFill/>
                    </a:ln>
                  </pic:spPr>
                </pic:pic>
              </a:graphicData>
            </a:graphic>
          </wp:inline>
        </w:drawing>
      </w:r>
    </w:p>
    <w:p w14:paraId="5DC009AB"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2.3. Фрагмент робочого файлу стека мікрофотографій малої слинної </w:t>
      </w:r>
      <w:r w:rsidRPr="00520861">
        <w:rPr>
          <w:rFonts w:eastAsia="Calibri"/>
          <w:sz w:val="28"/>
          <w:szCs w:val="28"/>
          <w:lang w:eastAsia="en-US"/>
        </w:rPr>
        <w:br/>
        <w:t>залози та схематична діаграма, що показує вимірювання (за допомогою плагіну «</w:t>
      </w:r>
      <w:proofErr w:type="spellStart"/>
      <w:r w:rsidRPr="00520861">
        <w:rPr>
          <w:rFonts w:eastAsia="Calibri"/>
          <w:sz w:val="28"/>
          <w:szCs w:val="28"/>
          <w:lang w:eastAsia="en-US"/>
        </w:rPr>
        <w:t>Measure</w:t>
      </w:r>
      <w:proofErr w:type="spellEnd"/>
      <w:r w:rsidRPr="00520861">
        <w:rPr>
          <w:rFonts w:eastAsia="Calibri"/>
          <w:sz w:val="28"/>
          <w:szCs w:val="28"/>
          <w:lang w:eastAsia="en-US"/>
        </w:rPr>
        <w:t xml:space="preserve">» програми </w:t>
      </w:r>
      <w:proofErr w:type="spellStart"/>
      <w:r w:rsidRPr="00520861">
        <w:rPr>
          <w:rFonts w:eastAsia="Calibri"/>
          <w:sz w:val="28"/>
          <w:szCs w:val="28"/>
          <w:lang w:eastAsia="en-US"/>
        </w:rPr>
        <w:t>Fiji</w:t>
      </w:r>
      <w:proofErr w:type="spellEnd"/>
      <w:r w:rsidRPr="00520861">
        <w:rPr>
          <w:rFonts w:eastAsia="Calibri"/>
          <w:sz w:val="28"/>
          <w:szCs w:val="28"/>
          <w:lang w:eastAsia="en-US"/>
        </w:rPr>
        <w:t xml:space="preserve"> [495]) периметра поперечного перерізу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малої слинної залози в найширшій його частині (позначено пунктирною жовтою лінією), площі просвіту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(зелена лінія), периметра поперечного перерізу кожного </w:t>
      </w:r>
      <w:proofErr w:type="spellStart"/>
      <w:r w:rsidRPr="00520861">
        <w:rPr>
          <w:rFonts w:eastAsia="Calibri"/>
          <w:sz w:val="28"/>
          <w:szCs w:val="28"/>
          <w:lang w:eastAsia="en-US"/>
        </w:rPr>
        <w:t>гландулоцита</w:t>
      </w:r>
      <w:proofErr w:type="spellEnd"/>
      <w:r w:rsidRPr="00520861">
        <w:rPr>
          <w:rFonts w:eastAsia="Calibri"/>
          <w:sz w:val="28"/>
          <w:szCs w:val="28"/>
          <w:lang w:eastAsia="en-US"/>
        </w:rPr>
        <w:t xml:space="preserve"> в </w:t>
      </w:r>
      <w:proofErr w:type="spellStart"/>
      <w:r w:rsidRPr="00520861">
        <w:rPr>
          <w:rFonts w:eastAsia="Calibri"/>
          <w:sz w:val="28"/>
          <w:szCs w:val="28"/>
          <w:lang w:eastAsia="en-US"/>
        </w:rPr>
        <w:t>ацинусі</w:t>
      </w:r>
      <w:proofErr w:type="spellEnd"/>
      <w:r w:rsidRPr="00520861">
        <w:rPr>
          <w:rFonts w:eastAsia="Calibri"/>
          <w:sz w:val="28"/>
          <w:szCs w:val="28"/>
          <w:lang w:eastAsia="en-US"/>
        </w:rPr>
        <w:t xml:space="preserve">, периметра кожного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в найширшій його частині </w:t>
      </w:r>
      <w:r w:rsidRPr="00520861">
        <w:rPr>
          <w:rFonts w:eastAsia="Calibri"/>
          <w:sz w:val="28"/>
          <w:szCs w:val="28"/>
          <w:lang w:eastAsia="en-US"/>
        </w:rPr>
        <w:br/>
        <w:t>(червона лінія). Підраховувалась висота цитоплазми (блакитна стрілка).</w:t>
      </w:r>
    </w:p>
    <w:p w14:paraId="2B3FCD7F" w14:textId="77777777" w:rsidR="00CF641C" w:rsidRPr="00520861" w:rsidRDefault="00CF641C" w:rsidP="00292D2E">
      <w:pPr>
        <w:widowControl w:val="0"/>
        <w:spacing w:line="360" w:lineRule="auto"/>
        <w:ind w:firstLine="708"/>
        <w:jc w:val="center"/>
        <w:rPr>
          <w:rFonts w:eastAsia="Calibri"/>
          <w:sz w:val="28"/>
          <w:szCs w:val="28"/>
          <w:lang w:eastAsia="en-US"/>
        </w:rPr>
        <w:sectPr w:rsidR="00CF641C" w:rsidRPr="00520861" w:rsidSect="00354C93">
          <w:headerReference w:type="default" r:id="rId13"/>
          <w:pgSz w:w="11906" w:h="16838"/>
          <w:pgMar w:top="1134" w:right="624" w:bottom="1134" w:left="1134" w:header="709" w:footer="709" w:gutter="0"/>
          <w:pgNumType w:start="14"/>
          <w:cols w:space="708"/>
          <w:docGrid w:linePitch="360"/>
        </w:sectPr>
      </w:pPr>
    </w:p>
    <w:p w14:paraId="49BB5BF3" w14:textId="77777777" w:rsidR="00CF641C" w:rsidRPr="00520861" w:rsidRDefault="00CF641C" w:rsidP="00292D2E">
      <w:pPr>
        <w:widowControl w:val="0"/>
        <w:spacing w:line="360" w:lineRule="auto"/>
        <w:jc w:val="center"/>
        <w:rPr>
          <w:sz w:val="28"/>
          <w:szCs w:val="28"/>
        </w:rPr>
      </w:pPr>
      <w:r w:rsidRPr="00520861">
        <w:rPr>
          <w:noProof/>
          <w:sz w:val="28"/>
          <w:szCs w:val="28"/>
          <w:lang w:val="ru-RU"/>
        </w:rPr>
        <w:lastRenderedPageBreak/>
        <w:drawing>
          <wp:inline distT="0" distB="0" distL="0" distR="0" wp14:anchorId="1A0E5A77" wp14:editId="33B1380C">
            <wp:extent cx="7905750" cy="3962400"/>
            <wp:effectExtent l="0" t="0" r="0" b="0"/>
            <wp:docPr id="20" name="Рисунок 20" descr="Рис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Рис_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905750" cy="3962400"/>
                    </a:xfrm>
                    <a:prstGeom prst="rect">
                      <a:avLst/>
                    </a:prstGeom>
                    <a:noFill/>
                    <a:ln>
                      <a:noFill/>
                    </a:ln>
                  </pic:spPr>
                </pic:pic>
              </a:graphicData>
            </a:graphic>
          </wp:inline>
        </w:drawing>
      </w:r>
    </w:p>
    <w:p w14:paraId="33C358D0" w14:textId="77777777" w:rsidR="00CF641C" w:rsidRPr="00520861" w:rsidRDefault="00CF641C" w:rsidP="00292D2E">
      <w:pPr>
        <w:widowControl w:val="0"/>
        <w:spacing w:line="360" w:lineRule="auto"/>
        <w:ind w:firstLine="708"/>
        <w:jc w:val="center"/>
        <w:rPr>
          <w:sz w:val="28"/>
          <w:szCs w:val="28"/>
        </w:rPr>
      </w:pPr>
      <w:r w:rsidRPr="00520861">
        <w:rPr>
          <w:sz w:val="28"/>
          <w:szCs w:val="28"/>
        </w:rPr>
        <w:t xml:space="preserve">Рис. 2.4. Фрагмент епітелію слизової оболонки із ділянки </w:t>
      </w:r>
      <w:proofErr w:type="spellStart"/>
      <w:r w:rsidRPr="00520861">
        <w:rPr>
          <w:sz w:val="28"/>
          <w:szCs w:val="28"/>
        </w:rPr>
        <w:t>проєкції</w:t>
      </w:r>
      <w:proofErr w:type="spellEnd"/>
      <w:r w:rsidRPr="00520861">
        <w:rPr>
          <w:sz w:val="28"/>
          <w:szCs w:val="28"/>
        </w:rPr>
        <w:t xml:space="preserve"> коренів </w:t>
      </w:r>
      <w:r w:rsidRPr="00520861">
        <w:rPr>
          <w:sz w:val="28"/>
          <w:szCs w:val="28"/>
        </w:rPr>
        <w:br/>
        <w:t xml:space="preserve">жувальних зубів 6-місячних тварин групи 4: </w:t>
      </w:r>
    </w:p>
    <w:p w14:paraId="6832EDBD" w14:textId="77777777" w:rsidR="00CF641C" w:rsidRPr="00520861" w:rsidRDefault="00CF641C" w:rsidP="00292D2E">
      <w:pPr>
        <w:widowControl w:val="0"/>
        <w:spacing w:line="360" w:lineRule="auto"/>
        <w:ind w:firstLine="708"/>
        <w:jc w:val="center"/>
        <w:rPr>
          <w:sz w:val="28"/>
          <w:szCs w:val="28"/>
        </w:rPr>
      </w:pPr>
      <w:r w:rsidRPr="00520861">
        <w:rPr>
          <w:i/>
          <w:sz w:val="28"/>
          <w:szCs w:val="28"/>
        </w:rPr>
        <w:t>a</w:t>
      </w:r>
      <w:r w:rsidRPr="00520861">
        <w:rPr>
          <w:sz w:val="28"/>
          <w:szCs w:val="28"/>
        </w:rPr>
        <w:t xml:space="preserve">) – максимальна </w:t>
      </w:r>
      <w:proofErr w:type="spellStart"/>
      <w:r w:rsidRPr="00520861">
        <w:rPr>
          <w:sz w:val="28"/>
          <w:szCs w:val="28"/>
        </w:rPr>
        <w:t>проєкція</w:t>
      </w:r>
      <w:proofErr w:type="spellEnd"/>
      <w:r w:rsidRPr="00520861">
        <w:rPr>
          <w:sz w:val="28"/>
          <w:szCs w:val="28"/>
        </w:rPr>
        <w:t xml:space="preserve"> (62 оптичні зрізи). Фізичний розмір видимих областей 778,28</w:t>
      </w:r>
      <w:r w:rsidRPr="00520861">
        <w:rPr>
          <w:rFonts w:eastAsia="Calibri"/>
          <w:sz w:val="28"/>
          <w:szCs w:val="28"/>
          <w:lang w:eastAsia="en-US"/>
        </w:rPr>
        <w:t>×</w:t>
      </w:r>
      <w:r w:rsidRPr="00520861">
        <w:rPr>
          <w:sz w:val="28"/>
          <w:szCs w:val="28"/>
        </w:rPr>
        <w:t>763,96</w:t>
      </w:r>
      <w:r w:rsidRPr="00520861">
        <w:rPr>
          <w:rFonts w:eastAsia="Calibri"/>
          <w:sz w:val="28"/>
          <w:szCs w:val="28"/>
          <w:lang w:eastAsia="en-US"/>
        </w:rPr>
        <w:t>×</w:t>
      </w:r>
      <w:r w:rsidRPr="00520861">
        <w:rPr>
          <w:sz w:val="28"/>
          <w:szCs w:val="28"/>
        </w:rPr>
        <w:t>42,6 (у м</w:t>
      </w:r>
      <w:r w:rsidRPr="00520861">
        <w:rPr>
          <w:rFonts w:eastAsia="Calibri"/>
          <w:sz w:val="28"/>
          <w:szCs w:val="28"/>
          <w:lang w:eastAsia="en-US"/>
        </w:rPr>
        <w:t>×10</w:t>
      </w:r>
      <w:r w:rsidRPr="00520861">
        <w:rPr>
          <w:rFonts w:eastAsia="Calibri"/>
          <w:sz w:val="28"/>
          <w:szCs w:val="28"/>
          <w:vertAlign w:val="superscript"/>
          <w:lang w:eastAsia="en-US"/>
        </w:rPr>
        <w:t>6</w:t>
      </w:r>
      <w:r w:rsidRPr="00520861">
        <w:rPr>
          <w:rFonts w:eastAsia="Calibri"/>
          <w:sz w:val="28"/>
          <w:szCs w:val="28"/>
          <w:lang w:eastAsia="en-US"/>
        </w:rPr>
        <w:t>)</w:t>
      </w:r>
      <w:r w:rsidRPr="00520861">
        <w:rPr>
          <w:sz w:val="28"/>
          <w:szCs w:val="28"/>
        </w:rPr>
        <w:t xml:space="preserve">; </w:t>
      </w:r>
    </w:p>
    <w:p w14:paraId="04D7651F" w14:textId="77777777" w:rsidR="00CF641C" w:rsidRPr="00520861" w:rsidRDefault="00CF641C" w:rsidP="00292D2E">
      <w:pPr>
        <w:widowControl w:val="0"/>
        <w:spacing w:line="360" w:lineRule="auto"/>
        <w:ind w:firstLine="708"/>
        <w:jc w:val="center"/>
        <w:rPr>
          <w:sz w:val="28"/>
          <w:szCs w:val="28"/>
        </w:rPr>
      </w:pPr>
      <w:r w:rsidRPr="00520861">
        <w:rPr>
          <w:i/>
          <w:sz w:val="28"/>
          <w:szCs w:val="28"/>
        </w:rPr>
        <w:t>б</w:t>
      </w:r>
      <w:r w:rsidRPr="00520861">
        <w:rPr>
          <w:sz w:val="28"/>
          <w:szCs w:val="28"/>
        </w:rPr>
        <w:t xml:space="preserve">) – те ж саме, що на </w:t>
      </w:r>
      <w:r w:rsidRPr="00520861">
        <w:rPr>
          <w:i/>
          <w:sz w:val="28"/>
          <w:szCs w:val="28"/>
        </w:rPr>
        <w:t>а</w:t>
      </w:r>
      <w:r w:rsidRPr="00520861">
        <w:rPr>
          <w:sz w:val="28"/>
          <w:szCs w:val="28"/>
        </w:rPr>
        <w:t xml:space="preserve">), а також схематична діаграма, яка показує </w:t>
      </w:r>
      <w:proofErr w:type="spellStart"/>
      <w:r w:rsidRPr="00520861">
        <w:rPr>
          <w:sz w:val="28"/>
          <w:szCs w:val="28"/>
        </w:rPr>
        <w:t>акантотичні</w:t>
      </w:r>
      <w:proofErr w:type="spellEnd"/>
      <w:r w:rsidRPr="00520861">
        <w:rPr>
          <w:sz w:val="28"/>
          <w:szCs w:val="28"/>
        </w:rPr>
        <w:t xml:space="preserve"> вирости. Жовта лінія, L1, повторює форму </w:t>
      </w:r>
      <w:proofErr w:type="spellStart"/>
      <w:r w:rsidRPr="00520861">
        <w:rPr>
          <w:sz w:val="28"/>
          <w:szCs w:val="28"/>
        </w:rPr>
        <w:t>акантотичних</w:t>
      </w:r>
      <w:proofErr w:type="spellEnd"/>
      <w:r w:rsidRPr="00520861">
        <w:rPr>
          <w:sz w:val="28"/>
          <w:szCs w:val="28"/>
        </w:rPr>
        <w:t xml:space="preserve"> виростів. Блакитна лінія, L2, зображує верхню межу </w:t>
      </w:r>
      <w:proofErr w:type="spellStart"/>
      <w:r w:rsidRPr="00520861">
        <w:rPr>
          <w:sz w:val="28"/>
          <w:szCs w:val="28"/>
        </w:rPr>
        <w:t>акантотичних</w:t>
      </w:r>
      <w:proofErr w:type="spellEnd"/>
      <w:r w:rsidRPr="00520861">
        <w:rPr>
          <w:sz w:val="28"/>
          <w:szCs w:val="28"/>
        </w:rPr>
        <w:t xml:space="preserve"> виростів. Товста блакитна лінія, L, зображує основу одного </w:t>
      </w:r>
      <w:proofErr w:type="spellStart"/>
      <w:r w:rsidRPr="00520861">
        <w:rPr>
          <w:sz w:val="28"/>
          <w:szCs w:val="28"/>
        </w:rPr>
        <w:t>акантотичного</w:t>
      </w:r>
      <w:proofErr w:type="spellEnd"/>
      <w:r w:rsidRPr="00520861">
        <w:rPr>
          <w:sz w:val="28"/>
          <w:szCs w:val="28"/>
        </w:rPr>
        <w:t xml:space="preserve"> виросту (трикутника). </w:t>
      </w:r>
      <w:r w:rsidRPr="00520861">
        <w:rPr>
          <w:sz w:val="28"/>
          <w:szCs w:val="28"/>
        </w:rPr>
        <w:br/>
        <w:t xml:space="preserve">Червона лінія, H, становить схематичне зображення глибини </w:t>
      </w:r>
      <w:proofErr w:type="spellStart"/>
      <w:r w:rsidRPr="00520861">
        <w:rPr>
          <w:sz w:val="28"/>
          <w:szCs w:val="28"/>
        </w:rPr>
        <w:t>акантозу</w:t>
      </w:r>
      <w:proofErr w:type="spellEnd"/>
      <w:r w:rsidRPr="00520861">
        <w:rPr>
          <w:sz w:val="28"/>
          <w:szCs w:val="28"/>
        </w:rPr>
        <w:t>.</w:t>
      </w:r>
    </w:p>
    <w:p w14:paraId="564F1A98" w14:textId="77777777" w:rsidR="00CF641C" w:rsidRPr="00520861" w:rsidRDefault="00CF641C" w:rsidP="00292D2E">
      <w:pPr>
        <w:widowControl w:val="0"/>
        <w:spacing w:line="360" w:lineRule="auto"/>
        <w:ind w:firstLine="708"/>
        <w:jc w:val="center"/>
        <w:rPr>
          <w:sz w:val="28"/>
          <w:szCs w:val="28"/>
        </w:rPr>
        <w:sectPr w:rsidR="00CF641C" w:rsidRPr="00520861" w:rsidSect="00292D2E">
          <w:pgSz w:w="16838" w:h="11906" w:orient="landscape"/>
          <w:pgMar w:top="1134" w:right="1134" w:bottom="567" w:left="1134" w:header="709" w:footer="709" w:gutter="0"/>
          <w:cols w:space="708"/>
          <w:docGrid w:linePitch="360"/>
        </w:sectPr>
      </w:pPr>
      <w:r w:rsidRPr="00520861">
        <w:rPr>
          <w:sz w:val="28"/>
          <w:szCs w:val="28"/>
        </w:rPr>
        <w:t xml:space="preserve">Забарвлення гематоксиліном та еозином. Об’єктив ACS APO 40x NA1.15 </w:t>
      </w:r>
      <w:proofErr w:type="spellStart"/>
      <w:r w:rsidRPr="00520861">
        <w:rPr>
          <w:sz w:val="28"/>
          <w:szCs w:val="28"/>
        </w:rPr>
        <w:t>Oil</w:t>
      </w:r>
      <w:proofErr w:type="spellEnd"/>
      <w:r w:rsidRPr="00520861">
        <w:rPr>
          <w:sz w:val="28"/>
          <w:szCs w:val="28"/>
        </w:rPr>
        <w:t xml:space="preserve"> CS.</w:t>
      </w:r>
    </w:p>
    <w:p w14:paraId="33BC2C3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Визначалася площа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на межі між плащовим та </w:t>
      </w:r>
      <w:proofErr w:type="spellStart"/>
      <w:r w:rsidRPr="00520861">
        <w:rPr>
          <w:rFonts w:eastAsia="Calibri"/>
          <w:sz w:val="28"/>
          <w:szCs w:val="28"/>
          <w:lang w:eastAsia="en-US"/>
        </w:rPr>
        <w:t>навколопульпарним</w:t>
      </w:r>
      <w:proofErr w:type="spellEnd"/>
      <w:r w:rsidRPr="00520861">
        <w:rPr>
          <w:rFonts w:eastAsia="Calibri"/>
          <w:sz w:val="28"/>
          <w:szCs w:val="28"/>
          <w:lang w:eastAsia="en-US"/>
        </w:rPr>
        <w:t xml:space="preserve"> дентином оцінювався вміст РНК (у цитоплазмі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шляхом забарвлювання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а також уміст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 xml:space="preserve"> (у кістковій тканині щелеп постановкою PAS–реакції). Ділянки </w:t>
      </w:r>
      <w:proofErr w:type="spellStart"/>
      <w:r w:rsidRPr="00520861">
        <w:rPr>
          <w:rFonts w:eastAsia="Calibri"/>
          <w:sz w:val="28"/>
          <w:szCs w:val="28"/>
          <w:lang w:eastAsia="en-US"/>
        </w:rPr>
        <w:t>демінералізації</w:t>
      </w:r>
      <w:proofErr w:type="spellEnd"/>
      <w:r w:rsidRPr="00520861">
        <w:rPr>
          <w:rFonts w:eastAsia="Calibri"/>
          <w:sz w:val="28"/>
          <w:szCs w:val="28"/>
          <w:lang w:eastAsia="en-US"/>
        </w:rPr>
        <w:t xml:space="preserve"> емалі та каріозні порожнини виявляли висушуванням та забарвленням метиленовим синім. За допомогою </w:t>
      </w:r>
      <w:proofErr w:type="spellStart"/>
      <w:r w:rsidRPr="00520861">
        <w:rPr>
          <w:rFonts w:eastAsia="Calibri"/>
          <w:sz w:val="28"/>
          <w:szCs w:val="28"/>
          <w:lang w:eastAsia="en-US"/>
        </w:rPr>
        <w:t>стереолупи</w:t>
      </w:r>
      <w:proofErr w:type="spellEnd"/>
      <w:r w:rsidRPr="00520861">
        <w:rPr>
          <w:rFonts w:eastAsia="Calibri"/>
          <w:sz w:val="28"/>
          <w:szCs w:val="28"/>
          <w:lang w:eastAsia="en-US"/>
        </w:rPr>
        <w:t xml:space="preserve"> МБС-9 підраховували інтенсивність ураження зубів каріозним процесом (кількість зубів із каріозними порожнинами) та глибину каріозного ураження за методикою, запропонованою в роботі </w:t>
      </w:r>
      <w:proofErr w:type="spellStart"/>
      <w:r w:rsidRPr="00520861">
        <w:rPr>
          <w:rFonts w:eastAsia="Calibri"/>
          <w:sz w:val="28"/>
          <w:szCs w:val="28"/>
          <w:lang w:eastAsia="en-US"/>
        </w:rPr>
        <w:t>Пилипюк</w:t>
      </w:r>
      <w:proofErr w:type="spellEnd"/>
      <w:r w:rsidRPr="00520861">
        <w:rPr>
          <w:rFonts w:eastAsia="Calibri"/>
          <w:sz w:val="28"/>
          <w:szCs w:val="28"/>
          <w:lang w:eastAsia="en-US"/>
        </w:rPr>
        <w:t xml:space="preserve"> О. Ю. [155]. Оцінку інтенсивності </w:t>
      </w:r>
      <w:r w:rsidRPr="00520861">
        <w:rPr>
          <w:rFonts w:eastAsia="Calibri"/>
          <w:sz w:val="28"/>
          <w:szCs w:val="28"/>
          <w:lang w:eastAsia="en-US"/>
        </w:rPr>
        <w:br/>
        <w:t>карієсу проводили за показниками кількості каріозних порожнин і зубів у середньому на одного щура.</w:t>
      </w:r>
    </w:p>
    <w:p w14:paraId="54F9CCAB"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Додатково в щурів віком 90 та 180 діб досліджували тканини привушних слинних залоз та СОПР, зокрема малих (молярних) слинних залоз. В епітелії слизової оболонки щурів віком 180 діб вимірювалася «глибина» </w:t>
      </w:r>
      <w:proofErr w:type="spellStart"/>
      <w:r w:rsidRPr="00520861">
        <w:rPr>
          <w:rFonts w:eastAsia="Calibri"/>
          <w:sz w:val="28"/>
          <w:szCs w:val="28"/>
          <w:lang w:eastAsia="en-US"/>
        </w:rPr>
        <w:t>акантозу</w:t>
      </w:r>
      <w:proofErr w:type="spellEnd"/>
      <w:r w:rsidRPr="00520861">
        <w:rPr>
          <w:rFonts w:eastAsia="Calibri"/>
          <w:sz w:val="28"/>
          <w:szCs w:val="28"/>
          <w:lang w:eastAsia="en-US"/>
        </w:rPr>
        <w:t xml:space="preserve">. </w:t>
      </w:r>
    </w:p>
    <w:p w14:paraId="0E2D91EB" w14:textId="77777777" w:rsidR="00CF641C" w:rsidRPr="00520861" w:rsidRDefault="00CF641C" w:rsidP="00292D2E">
      <w:pPr>
        <w:widowControl w:val="0"/>
        <w:spacing w:line="360" w:lineRule="auto"/>
        <w:ind w:firstLine="708"/>
        <w:jc w:val="both"/>
        <w:rPr>
          <w:sz w:val="28"/>
          <w:szCs w:val="28"/>
        </w:rPr>
      </w:pPr>
      <w:r w:rsidRPr="00520861">
        <w:rPr>
          <w:rFonts w:eastAsia="Calibri"/>
          <w:sz w:val="28"/>
          <w:szCs w:val="28"/>
          <w:lang w:eastAsia="en-US"/>
        </w:rPr>
        <w:t xml:space="preserve">При дослідженні привушних слинних залоз у тримісячних та шестимісячних тварин оцінювалася абсолютна й відносна маса слинних залоз, підраховувалася </w:t>
      </w:r>
      <w:r w:rsidRPr="00520861">
        <w:rPr>
          <w:rFonts w:eastAsia="Calibri"/>
          <w:sz w:val="28"/>
          <w:szCs w:val="28"/>
          <w:lang w:eastAsia="en-US"/>
        </w:rPr>
        <w:br/>
        <w:t xml:space="preserve">кількість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на фіксованій площі зрізу (</w:t>
      </w:r>
      <w:r w:rsidRPr="00520861">
        <w:rPr>
          <w:rFonts w:eastAsia="Calibri"/>
          <w:sz w:val="28"/>
          <w:szCs w:val="28"/>
        </w:rPr>
        <w:t>7,5</w:t>
      </w:r>
      <w:r w:rsidRPr="00520861">
        <w:rPr>
          <w:rFonts w:eastAsia="Calibri"/>
          <w:sz w:val="28"/>
          <w:szCs w:val="28"/>
          <w:lang w:eastAsia="en-US"/>
        </w:rPr>
        <w:t>×10</w:t>
      </w:r>
      <w:r w:rsidRPr="00520861">
        <w:rPr>
          <w:rFonts w:eastAsia="Calibri"/>
          <w:sz w:val="28"/>
          <w:szCs w:val="28"/>
          <w:vertAlign w:val="superscript"/>
          <w:lang w:eastAsia="en-US"/>
        </w:rPr>
        <w:t>–10</w:t>
      </w:r>
      <w:r w:rsidRPr="00520861">
        <w:rPr>
          <w:rFonts w:eastAsia="Calibri"/>
          <w:sz w:val="28"/>
          <w:szCs w:val="28"/>
          <w:lang w:eastAsia="en-US"/>
        </w:rPr>
        <w:t xml:space="preserve"> </w:t>
      </w:r>
      <w:r w:rsidRPr="00520861">
        <w:rPr>
          <w:rFonts w:eastAsia="Calibri"/>
          <w:sz w:val="28"/>
          <w:szCs w:val="28"/>
        </w:rPr>
        <w:t>м</w:t>
      </w:r>
      <w:r w:rsidRPr="00520861">
        <w:rPr>
          <w:rFonts w:eastAsia="Calibri"/>
          <w:sz w:val="28"/>
          <w:szCs w:val="28"/>
          <w:vertAlign w:val="superscript"/>
        </w:rPr>
        <w:t>2</w:t>
      </w:r>
      <w:r w:rsidRPr="00520861">
        <w:rPr>
          <w:rFonts w:eastAsia="Calibri"/>
          <w:sz w:val="28"/>
          <w:szCs w:val="28"/>
          <w:lang w:eastAsia="en-US"/>
        </w:rPr>
        <w:t xml:space="preserve">), визначалася площа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оцінювався вміст РНК у цитоплазмі (забарвлення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 xml:space="preserve"> у слині, яка була виявлена в протоках та просвітах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(PAS–реакція). </w:t>
      </w:r>
      <w:r w:rsidRPr="00520861">
        <w:rPr>
          <w:sz w:val="28"/>
          <w:szCs w:val="28"/>
        </w:rPr>
        <w:t xml:space="preserve">Тільки в шестимісячних тварин проводилося виявлення </w:t>
      </w:r>
      <w:r w:rsidRPr="00520861">
        <w:rPr>
          <w:sz w:val="28"/>
          <w:szCs w:val="28"/>
        </w:rPr>
        <w:br/>
        <w:t xml:space="preserve">інтенсивності </w:t>
      </w:r>
      <w:proofErr w:type="spellStart"/>
      <w:r w:rsidRPr="00520861">
        <w:rPr>
          <w:sz w:val="28"/>
          <w:szCs w:val="28"/>
        </w:rPr>
        <w:t>апоптозу</w:t>
      </w:r>
      <w:proofErr w:type="spellEnd"/>
      <w:r w:rsidRPr="00520861">
        <w:rPr>
          <w:sz w:val="28"/>
          <w:szCs w:val="28"/>
        </w:rPr>
        <w:t xml:space="preserve"> в </w:t>
      </w:r>
      <w:proofErr w:type="spellStart"/>
      <w:r w:rsidRPr="00520861">
        <w:rPr>
          <w:sz w:val="28"/>
          <w:szCs w:val="28"/>
        </w:rPr>
        <w:t>гландулоцитах</w:t>
      </w:r>
      <w:proofErr w:type="spellEnd"/>
      <w:r w:rsidRPr="00520861">
        <w:rPr>
          <w:sz w:val="28"/>
          <w:szCs w:val="28"/>
        </w:rPr>
        <w:t xml:space="preserve"> (реакція на </w:t>
      </w:r>
      <w:proofErr w:type="spellStart"/>
      <w:r w:rsidRPr="00520861">
        <w:rPr>
          <w:sz w:val="28"/>
          <w:szCs w:val="28"/>
        </w:rPr>
        <w:t>Caspase</w:t>
      </w:r>
      <w:proofErr w:type="spellEnd"/>
      <w:r w:rsidRPr="00520861">
        <w:rPr>
          <w:sz w:val="28"/>
          <w:szCs w:val="28"/>
        </w:rPr>
        <w:t xml:space="preserve"> 3). </w:t>
      </w:r>
    </w:p>
    <w:p w14:paraId="05439707"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sz w:val="28"/>
          <w:szCs w:val="28"/>
        </w:rPr>
        <w:t xml:space="preserve">Також у кожному зі зразків привушних слинних залоз на зображеннях, </w:t>
      </w:r>
      <w:r w:rsidRPr="00520861">
        <w:rPr>
          <w:sz w:val="28"/>
          <w:szCs w:val="28"/>
        </w:rPr>
        <w:br/>
        <w:t xml:space="preserve">зроблених за допомогою конфокальної мікроскопії, були виміряні наступні </w:t>
      </w:r>
      <w:r w:rsidRPr="00520861">
        <w:rPr>
          <w:sz w:val="28"/>
          <w:szCs w:val="28"/>
        </w:rPr>
        <w:br/>
        <w:t xml:space="preserve">параметри: площа поперечного перерізу </w:t>
      </w:r>
      <w:proofErr w:type="spellStart"/>
      <w:r w:rsidRPr="00520861">
        <w:rPr>
          <w:sz w:val="28"/>
          <w:szCs w:val="28"/>
        </w:rPr>
        <w:t>ацинуса</w:t>
      </w:r>
      <w:proofErr w:type="spellEnd"/>
      <w:r w:rsidRPr="00520861">
        <w:rPr>
          <w:sz w:val="28"/>
          <w:szCs w:val="28"/>
        </w:rPr>
        <w:t xml:space="preserve"> залози в найширшій його частині, площа просвіту </w:t>
      </w:r>
      <w:proofErr w:type="spellStart"/>
      <w:r w:rsidRPr="00520861">
        <w:rPr>
          <w:sz w:val="28"/>
          <w:szCs w:val="28"/>
        </w:rPr>
        <w:t>ацинуса</w:t>
      </w:r>
      <w:proofErr w:type="spellEnd"/>
      <w:r w:rsidRPr="00520861">
        <w:rPr>
          <w:sz w:val="28"/>
          <w:szCs w:val="28"/>
        </w:rPr>
        <w:t xml:space="preserve">, площа поперечного перерізу кожного </w:t>
      </w:r>
      <w:proofErr w:type="spellStart"/>
      <w:r w:rsidRPr="00520861">
        <w:rPr>
          <w:sz w:val="28"/>
          <w:szCs w:val="28"/>
        </w:rPr>
        <w:t>гландулоцита</w:t>
      </w:r>
      <w:proofErr w:type="spellEnd"/>
      <w:r w:rsidRPr="00520861">
        <w:rPr>
          <w:sz w:val="28"/>
          <w:szCs w:val="28"/>
        </w:rPr>
        <w:t xml:space="preserve"> в </w:t>
      </w:r>
      <w:proofErr w:type="spellStart"/>
      <w:r w:rsidRPr="00520861">
        <w:rPr>
          <w:sz w:val="28"/>
          <w:szCs w:val="28"/>
        </w:rPr>
        <w:t>ацинусі</w:t>
      </w:r>
      <w:proofErr w:type="spellEnd"/>
      <w:r w:rsidRPr="00520861">
        <w:rPr>
          <w:sz w:val="28"/>
          <w:szCs w:val="28"/>
        </w:rPr>
        <w:t xml:space="preserve">, периметр кожного </w:t>
      </w:r>
      <w:proofErr w:type="spellStart"/>
      <w:r w:rsidRPr="00520861">
        <w:rPr>
          <w:sz w:val="28"/>
          <w:szCs w:val="28"/>
        </w:rPr>
        <w:t>ацинуса</w:t>
      </w:r>
      <w:proofErr w:type="spellEnd"/>
      <w:r w:rsidRPr="00520861">
        <w:rPr>
          <w:sz w:val="28"/>
          <w:szCs w:val="28"/>
        </w:rPr>
        <w:t xml:space="preserve"> в найширшій його частині. Підраховувалася кількість </w:t>
      </w:r>
      <w:proofErr w:type="spellStart"/>
      <w:r w:rsidRPr="00520861">
        <w:rPr>
          <w:sz w:val="28"/>
          <w:szCs w:val="28"/>
        </w:rPr>
        <w:t>сероцитів</w:t>
      </w:r>
      <w:proofErr w:type="spellEnd"/>
      <w:r w:rsidRPr="00520861">
        <w:rPr>
          <w:sz w:val="28"/>
          <w:szCs w:val="28"/>
        </w:rPr>
        <w:t xml:space="preserve"> у поперечному перерізі </w:t>
      </w:r>
      <w:proofErr w:type="spellStart"/>
      <w:r w:rsidRPr="00520861">
        <w:rPr>
          <w:sz w:val="28"/>
          <w:szCs w:val="28"/>
        </w:rPr>
        <w:t>ацинуса</w:t>
      </w:r>
      <w:proofErr w:type="spellEnd"/>
      <w:r w:rsidRPr="00520861">
        <w:rPr>
          <w:sz w:val="28"/>
          <w:szCs w:val="28"/>
        </w:rPr>
        <w:t>.</w:t>
      </w:r>
    </w:p>
    <w:p w14:paraId="0D0592EE" w14:textId="77777777" w:rsidR="00CF641C" w:rsidRPr="00520861" w:rsidRDefault="00CF641C" w:rsidP="00292D2E">
      <w:pPr>
        <w:widowControl w:val="0"/>
        <w:spacing w:line="360" w:lineRule="auto"/>
        <w:ind w:firstLine="708"/>
        <w:jc w:val="both"/>
        <w:rPr>
          <w:sz w:val="28"/>
          <w:szCs w:val="28"/>
          <w:shd w:val="clear" w:color="auto" w:fill="FFFFFF"/>
        </w:rPr>
      </w:pPr>
      <w:r w:rsidRPr="00520861">
        <w:rPr>
          <w:rFonts w:eastAsia="Calibri"/>
          <w:sz w:val="28"/>
          <w:szCs w:val="28"/>
          <w:lang w:eastAsia="en-US"/>
        </w:rPr>
        <w:t xml:space="preserve">При дослідженні малих слинних залоз у кожному зі зразків вимірювали такі ж параметри, як і для </w:t>
      </w:r>
      <w:r w:rsidRPr="00520861">
        <w:rPr>
          <w:sz w:val="28"/>
          <w:szCs w:val="28"/>
        </w:rPr>
        <w:t>привушних слинних залоз</w:t>
      </w:r>
      <w:r w:rsidRPr="00520861">
        <w:rPr>
          <w:rFonts w:eastAsia="Calibri"/>
          <w:sz w:val="28"/>
          <w:szCs w:val="28"/>
          <w:lang w:eastAsia="en-US"/>
        </w:rPr>
        <w:t xml:space="preserve">. Кількість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у перерізі </w:t>
      </w:r>
      <w:r w:rsidRPr="00520861">
        <w:rPr>
          <w:rFonts w:eastAsia="Calibri"/>
          <w:sz w:val="28"/>
          <w:szCs w:val="28"/>
          <w:lang w:eastAsia="en-US"/>
        </w:rPr>
        <w:br/>
        <w:t xml:space="preserve">кожного окремого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w:t>
      </w:r>
      <w:r w:rsidRPr="00520861">
        <w:rPr>
          <w:rFonts w:eastAsia="Calibri"/>
          <w:iCs/>
          <w:sz w:val="28"/>
          <w:szCs w:val="28"/>
          <w:lang w:eastAsia="en-US"/>
        </w:rPr>
        <w:t xml:space="preserve">підраховувалася у тому оптичному зрізі, де </w:t>
      </w:r>
      <w:proofErr w:type="spellStart"/>
      <w:r w:rsidRPr="00520861">
        <w:rPr>
          <w:rFonts w:eastAsia="Calibri"/>
          <w:iCs/>
          <w:sz w:val="28"/>
          <w:szCs w:val="28"/>
          <w:lang w:eastAsia="en-US"/>
        </w:rPr>
        <w:t>ацинус</w:t>
      </w:r>
      <w:proofErr w:type="spellEnd"/>
      <w:r w:rsidRPr="00520861">
        <w:rPr>
          <w:rFonts w:eastAsia="Calibri"/>
          <w:iCs/>
          <w:sz w:val="28"/>
          <w:szCs w:val="28"/>
          <w:lang w:eastAsia="en-US"/>
        </w:rPr>
        <w:t xml:space="preserve"> мав максимальний розмір.</w:t>
      </w:r>
    </w:p>
    <w:p w14:paraId="29E26E75" w14:textId="77777777" w:rsidR="00CF641C" w:rsidRPr="00520861" w:rsidRDefault="00CF641C" w:rsidP="00292D2E">
      <w:pPr>
        <w:widowControl w:val="0"/>
        <w:autoSpaceDE w:val="0"/>
        <w:autoSpaceDN w:val="0"/>
        <w:adjustRightInd w:val="0"/>
        <w:spacing w:line="360" w:lineRule="auto"/>
        <w:ind w:firstLine="708"/>
        <w:jc w:val="both"/>
        <w:rPr>
          <w:rFonts w:eastAsia="Calibri"/>
          <w:iCs/>
          <w:sz w:val="28"/>
          <w:szCs w:val="28"/>
          <w:lang w:eastAsia="en-US"/>
        </w:rPr>
      </w:pPr>
      <w:r w:rsidRPr="00520861">
        <w:rPr>
          <w:rFonts w:eastAsia="Calibri"/>
          <w:iCs/>
          <w:sz w:val="28"/>
          <w:szCs w:val="28"/>
          <w:lang w:eastAsia="en-US"/>
        </w:rPr>
        <w:lastRenderedPageBreak/>
        <w:t xml:space="preserve">Процентні частки відносної площі комплексів </w:t>
      </w:r>
      <w:proofErr w:type="spellStart"/>
      <w:r w:rsidRPr="00520861">
        <w:rPr>
          <w:rFonts w:eastAsia="Calibri"/>
          <w:iCs/>
          <w:sz w:val="28"/>
          <w:szCs w:val="28"/>
          <w:lang w:eastAsia="en-US"/>
        </w:rPr>
        <w:t>гландулоцитів</w:t>
      </w:r>
      <w:proofErr w:type="spellEnd"/>
      <w:r w:rsidRPr="00520861">
        <w:rPr>
          <w:rFonts w:eastAsia="Calibri"/>
          <w:iCs/>
          <w:sz w:val="28"/>
          <w:szCs w:val="28"/>
          <w:lang w:eastAsia="en-US"/>
        </w:rPr>
        <w:t xml:space="preserve"> в </w:t>
      </w:r>
      <w:proofErr w:type="spellStart"/>
      <w:r w:rsidRPr="00520861">
        <w:rPr>
          <w:rFonts w:eastAsia="Calibri"/>
          <w:iCs/>
          <w:sz w:val="28"/>
          <w:szCs w:val="28"/>
          <w:lang w:eastAsia="en-US"/>
        </w:rPr>
        <w:t>ацинусі</w:t>
      </w:r>
      <w:proofErr w:type="spellEnd"/>
      <w:r w:rsidRPr="00520861">
        <w:rPr>
          <w:rFonts w:eastAsia="Calibri"/>
          <w:iCs/>
          <w:sz w:val="28"/>
          <w:szCs w:val="28"/>
          <w:lang w:eastAsia="en-US"/>
        </w:rPr>
        <w:t xml:space="preserve">, площі </w:t>
      </w:r>
      <w:proofErr w:type="spellStart"/>
      <w:r w:rsidRPr="00520861">
        <w:rPr>
          <w:rFonts w:eastAsia="Calibri"/>
          <w:iCs/>
          <w:sz w:val="28"/>
          <w:szCs w:val="28"/>
          <w:lang w:eastAsia="en-US"/>
        </w:rPr>
        <w:t>ацинарного</w:t>
      </w:r>
      <w:proofErr w:type="spellEnd"/>
      <w:r w:rsidRPr="00520861">
        <w:rPr>
          <w:rFonts w:eastAsia="Calibri"/>
          <w:iCs/>
          <w:sz w:val="28"/>
          <w:szCs w:val="28"/>
          <w:lang w:eastAsia="en-US"/>
        </w:rPr>
        <w:t xml:space="preserve"> просвіту та відносну площу строми залози визначали за допомогою сітки </w:t>
      </w:r>
      <w:proofErr w:type="spellStart"/>
      <w:r w:rsidRPr="00520861">
        <w:rPr>
          <w:rFonts w:eastAsia="Calibri"/>
          <w:iCs/>
          <w:sz w:val="28"/>
          <w:szCs w:val="28"/>
          <w:lang w:eastAsia="en-US"/>
        </w:rPr>
        <w:t>Автанділова</w:t>
      </w:r>
      <w:proofErr w:type="spellEnd"/>
      <w:r w:rsidRPr="00520861">
        <w:rPr>
          <w:rFonts w:eastAsia="Calibri"/>
          <w:iCs/>
          <w:sz w:val="28"/>
          <w:szCs w:val="28"/>
          <w:lang w:eastAsia="en-US"/>
        </w:rPr>
        <w:t xml:space="preserve">. </w:t>
      </w:r>
      <w:r w:rsidRPr="00520861">
        <w:rPr>
          <w:sz w:val="28"/>
          <w:szCs w:val="28"/>
        </w:rPr>
        <w:t>Перевірка гіпотез про відмінність середніх значень у малих групах проводилася методами непараметричної статистики [130].</w:t>
      </w:r>
    </w:p>
    <w:p w14:paraId="6EB4489B" w14:textId="77777777" w:rsidR="00CF641C" w:rsidRPr="00520861" w:rsidRDefault="00CF641C" w:rsidP="00292D2E">
      <w:pPr>
        <w:widowControl w:val="0"/>
        <w:spacing w:line="360" w:lineRule="auto"/>
        <w:ind w:firstLine="708"/>
        <w:jc w:val="both"/>
        <w:rPr>
          <w:sz w:val="28"/>
          <w:szCs w:val="28"/>
        </w:rPr>
      </w:pPr>
      <w:r w:rsidRPr="00520861">
        <w:rPr>
          <w:sz w:val="28"/>
          <w:szCs w:val="28"/>
        </w:rPr>
        <w:t xml:space="preserve">Методи </w:t>
      </w:r>
      <w:proofErr w:type="spellStart"/>
      <w:r w:rsidRPr="00520861">
        <w:rPr>
          <w:sz w:val="28"/>
          <w:szCs w:val="28"/>
        </w:rPr>
        <w:t>варіаційно</w:t>
      </w:r>
      <w:proofErr w:type="spellEnd"/>
      <w:r w:rsidRPr="00520861">
        <w:rPr>
          <w:sz w:val="28"/>
          <w:szCs w:val="28"/>
        </w:rPr>
        <w:t>-статистичного та клініко-інформаційного аналізу, які були використані в дисертаційному дослідженні, висвітлені в Додатку В.7.</w:t>
      </w:r>
    </w:p>
    <w:p w14:paraId="155254CD" w14:textId="77777777" w:rsidR="00CF641C" w:rsidRPr="00520861" w:rsidRDefault="00CF641C" w:rsidP="00292D2E">
      <w:pPr>
        <w:widowControl w:val="0"/>
        <w:spacing w:line="360" w:lineRule="auto"/>
        <w:ind w:firstLine="708"/>
        <w:jc w:val="both"/>
        <w:rPr>
          <w:rFonts w:eastAsia="Calibri"/>
          <w:b/>
          <w:sz w:val="28"/>
          <w:szCs w:val="28"/>
          <w:lang w:eastAsia="en-US"/>
        </w:rPr>
      </w:pPr>
    </w:p>
    <w:p w14:paraId="128C04EE" w14:textId="77777777" w:rsidR="00CF641C" w:rsidRPr="00520861" w:rsidRDefault="00CF641C" w:rsidP="00292D2E">
      <w:pPr>
        <w:widowControl w:val="0"/>
        <w:spacing w:line="360" w:lineRule="auto"/>
        <w:ind w:firstLine="708"/>
        <w:jc w:val="both"/>
        <w:rPr>
          <w:rFonts w:eastAsia="Calibri"/>
          <w:b/>
          <w:sz w:val="28"/>
          <w:szCs w:val="28"/>
          <w:lang w:eastAsia="en-US"/>
        </w:rPr>
      </w:pPr>
      <w:r w:rsidRPr="00520861">
        <w:rPr>
          <w:b/>
          <w:sz w:val="28"/>
          <w:szCs w:val="28"/>
        </w:rPr>
        <w:t xml:space="preserve">2.11. </w:t>
      </w:r>
      <w:r w:rsidRPr="00520861">
        <w:rPr>
          <w:rFonts w:eastAsia="Calibri"/>
          <w:b/>
          <w:sz w:val="28"/>
          <w:szCs w:val="28"/>
          <w:lang w:eastAsia="en-US"/>
        </w:rPr>
        <w:t>Деонтологічні та етичні аспекти дослідження</w:t>
      </w:r>
    </w:p>
    <w:p w14:paraId="20A5EABD" w14:textId="77777777" w:rsidR="00CF641C" w:rsidRPr="00520861" w:rsidRDefault="00CF641C" w:rsidP="00292D2E">
      <w:pPr>
        <w:widowControl w:val="0"/>
        <w:spacing w:line="360" w:lineRule="auto"/>
        <w:ind w:firstLine="708"/>
        <w:rPr>
          <w:rFonts w:eastAsia="Calibri"/>
          <w:sz w:val="28"/>
          <w:szCs w:val="28"/>
          <w:lang w:eastAsia="en-US"/>
        </w:rPr>
      </w:pPr>
    </w:p>
    <w:p w14:paraId="182B2B0E"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Роботу було проведено відповідно до Міжнародних конвенцій та діючого в </w:t>
      </w:r>
      <w:r w:rsidRPr="00520861">
        <w:rPr>
          <w:rFonts w:eastAsia="Calibri"/>
          <w:sz w:val="28"/>
          <w:szCs w:val="28"/>
          <w:lang w:eastAsia="en-US"/>
        </w:rPr>
        <w:br/>
        <w:t>Україні законодавства, відповідно до вимог Європейської конвенції по захисту хребетних тварин, що використовуються для експериментальних та інших наукових цілей (Страсбург, 18.03.1986 р.), директиви Ради Європейського економічного товариства по захисту хребетних тварин (Страсбург, 24.11.1986, принципів ІСН GСP (2008 р.). Утримання та маніпуляції з експериментальними тваринами відповідали національним «Загальним етичним принципам досліджень на тваринах» (Україна, 2001), які узгоджуються з положеннями Гельсінської декларації, прийнятої Генеральною асамблеєю Всесвітньої медичної асоціації (1964 – 2000) та Статутом Української асоціації з біоетики та нормами GLP (1992).</w:t>
      </w:r>
    </w:p>
    <w:p w14:paraId="4B1F7C1F"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Дослідження було виконано з мінімальними психологічними втратами з боку пацієнтів. Пацієнти були повністю інформовані про мету та методи дослідження, про потенційні користь і ризик, а також можливий дискомфорт при проведенні діагностики. Відповідно до міжнародних норм проведення клінічних досліджень усі учасники дослідження чи їх законні опікуни, якщо у дослідженні брали участь неповнолітні діти, письмово погодилися прийняти участь у дослідженні.</w:t>
      </w:r>
    </w:p>
    <w:p w14:paraId="11E98868" w14:textId="77777777" w:rsidR="00CF641C" w:rsidRPr="00520861" w:rsidRDefault="00CF641C" w:rsidP="00292D2E">
      <w:pPr>
        <w:widowControl w:val="0"/>
        <w:spacing w:line="360" w:lineRule="auto"/>
        <w:ind w:firstLine="708"/>
        <w:jc w:val="both"/>
        <w:rPr>
          <w:rFonts w:eastAsia="Calibri"/>
          <w:sz w:val="28"/>
          <w:szCs w:val="28"/>
          <w:lang w:val="ru-RU" w:eastAsia="en-US"/>
        </w:rPr>
      </w:pPr>
      <w:r w:rsidRPr="00520861">
        <w:rPr>
          <w:rFonts w:eastAsia="Calibri"/>
          <w:sz w:val="28"/>
          <w:szCs w:val="28"/>
          <w:lang w:eastAsia="en-US"/>
        </w:rPr>
        <w:t xml:space="preserve">Робота була розглянута та одержала позитивну оцінку комісії з питань етики та біоетики Харківського національного медичного університету (протокол №2 від 10 червня 2020 р). </w:t>
      </w:r>
    </w:p>
    <w:p w14:paraId="4722BAC6" w14:textId="77777777" w:rsidR="00CF641C" w:rsidRPr="00520861" w:rsidRDefault="00CF641C" w:rsidP="00292D2E">
      <w:pPr>
        <w:widowControl w:val="0"/>
        <w:tabs>
          <w:tab w:val="left" w:pos="4111"/>
        </w:tabs>
        <w:spacing w:line="360" w:lineRule="auto"/>
        <w:ind w:firstLine="709"/>
        <w:jc w:val="both"/>
        <w:rPr>
          <w:rFonts w:eastAsia="Calibri"/>
          <w:spacing w:val="-1"/>
          <w:sz w:val="28"/>
          <w:szCs w:val="28"/>
          <w:lang w:val="ru-RU" w:eastAsia="en-US"/>
        </w:rPr>
      </w:pPr>
    </w:p>
    <w:p w14:paraId="1A64123A" w14:textId="77777777" w:rsidR="00CF641C" w:rsidRPr="00520861" w:rsidRDefault="000E2BEC" w:rsidP="000E2BEC">
      <w:pPr>
        <w:widowControl w:val="0"/>
        <w:tabs>
          <w:tab w:val="left" w:pos="4111"/>
        </w:tabs>
        <w:spacing w:line="360" w:lineRule="auto"/>
        <w:ind w:firstLine="709"/>
        <w:jc w:val="both"/>
        <w:rPr>
          <w:rFonts w:eastAsia="Calibri"/>
          <w:spacing w:val="-1"/>
          <w:sz w:val="28"/>
          <w:szCs w:val="28"/>
          <w:lang w:val="ru-RU" w:eastAsia="en-US"/>
        </w:rPr>
      </w:pPr>
      <w:r w:rsidRPr="00520861">
        <w:rPr>
          <w:rFonts w:eastAsia="Calibri"/>
          <w:spacing w:val="-1"/>
          <w:sz w:val="28"/>
          <w:szCs w:val="28"/>
          <w:lang w:val="ru-RU" w:eastAsia="en-US"/>
        </w:rPr>
        <w:br w:type="page"/>
      </w:r>
    </w:p>
    <w:p w14:paraId="0C1BFBD0" w14:textId="77777777" w:rsidR="00CF641C" w:rsidRPr="00520861" w:rsidRDefault="00CF641C" w:rsidP="00292D2E">
      <w:pPr>
        <w:widowControl w:val="0"/>
        <w:jc w:val="center"/>
        <w:rPr>
          <w:rFonts w:eastAsiaTheme="minorHAnsi"/>
          <w:b/>
          <w:sz w:val="28"/>
          <w:szCs w:val="28"/>
          <w:lang w:eastAsia="en-US"/>
        </w:rPr>
      </w:pPr>
      <w:r w:rsidRPr="00520861">
        <w:rPr>
          <w:rFonts w:eastAsiaTheme="minorHAnsi"/>
          <w:b/>
          <w:sz w:val="28"/>
          <w:szCs w:val="28"/>
          <w:lang w:eastAsia="en-US"/>
        </w:rPr>
        <w:lastRenderedPageBreak/>
        <w:t>РОЗДІЛ 3</w:t>
      </w:r>
    </w:p>
    <w:p w14:paraId="28980BA4" w14:textId="77777777" w:rsidR="00CF641C" w:rsidRPr="00520861" w:rsidRDefault="00CF641C" w:rsidP="00292D2E">
      <w:pPr>
        <w:widowControl w:val="0"/>
        <w:jc w:val="center"/>
        <w:rPr>
          <w:rFonts w:eastAsiaTheme="minorHAnsi"/>
          <w:b/>
          <w:sz w:val="28"/>
          <w:szCs w:val="28"/>
          <w:lang w:eastAsia="en-US"/>
        </w:rPr>
      </w:pPr>
    </w:p>
    <w:p w14:paraId="6C036B71" w14:textId="77777777" w:rsidR="00CF641C" w:rsidRPr="00520861" w:rsidRDefault="00CF641C" w:rsidP="00292D2E">
      <w:pPr>
        <w:widowControl w:val="0"/>
        <w:jc w:val="center"/>
        <w:rPr>
          <w:rFonts w:eastAsiaTheme="minorHAnsi"/>
          <w:b/>
          <w:sz w:val="28"/>
          <w:szCs w:val="28"/>
          <w:lang w:eastAsia="en-US"/>
        </w:rPr>
      </w:pPr>
    </w:p>
    <w:p w14:paraId="5A3DB839" w14:textId="77777777" w:rsidR="00CF641C" w:rsidRPr="00520861" w:rsidRDefault="00CF641C" w:rsidP="00292D2E">
      <w:pPr>
        <w:widowControl w:val="0"/>
        <w:jc w:val="center"/>
        <w:rPr>
          <w:rFonts w:eastAsiaTheme="minorHAnsi"/>
          <w:b/>
          <w:sz w:val="28"/>
          <w:szCs w:val="28"/>
          <w:lang w:eastAsia="en-US"/>
        </w:rPr>
      </w:pPr>
      <w:r w:rsidRPr="00520861">
        <w:rPr>
          <w:rFonts w:eastAsiaTheme="minorHAnsi"/>
          <w:b/>
          <w:sz w:val="28"/>
          <w:szCs w:val="28"/>
          <w:lang w:eastAsia="en-US"/>
        </w:rPr>
        <w:t>РЕЗУЛЬТАТИ МОРФОЛОГІЧНИХ ДОСЛІДЖЕНЬ</w:t>
      </w:r>
    </w:p>
    <w:p w14:paraId="0CD14B63" w14:textId="77777777" w:rsidR="00CF641C" w:rsidRPr="00520861" w:rsidRDefault="00CF641C" w:rsidP="00292D2E">
      <w:pPr>
        <w:widowControl w:val="0"/>
        <w:spacing w:line="360" w:lineRule="auto"/>
        <w:jc w:val="both"/>
        <w:rPr>
          <w:rFonts w:eastAsia="Calibri"/>
          <w:bCs/>
          <w:color w:val="000000"/>
          <w:sz w:val="28"/>
          <w:szCs w:val="28"/>
          <w:shd w:val="clear" w:color="auto" w:fill="FFFFFF"/>
          <w:lang w:eastAsia="en-US"/>
        </w:rPr>
      </w:pPr>
    </w:p>
    <w:p w14:paraId="5445BEEC" w14:textId="77777777" w:rsidR="00CF641C" w:rsidRPr="00520861" w:rsidRDefault="00CF641C" w:rsidP="00292D2E">
      <w:pPr>
        <w:widowControl w:val="0"/>
        <w:spacing w:line="360" w:lineRule="auto"/>
        <w:ind w:firstLine="708"/>
        <w:jc w:val="both"/>
        <w:rPr>
          <w:rFonts w:eastAsia="Calibri"/>
          <w:b/>
          <w:bCs/>
          <w:color w:val="000000"/>
          <w:sz w:val="28"/>
          <w:szCs w:val="28"/>
          <w:shd w:val="clear" w:color="auto" w:fill="FFFFFF"/>
          <w:lang w:eastAsia="en-US"/>
        </w:rPr>
      </w:pPr>
      <w:r w:rsidRPr="00520861">
        <w:rPr>
          <w:rFonts w:eastAsia="Calibri"/>
          <w:b/>
          <w:bCs/>
          <w:color w:val="000000"/>
          <w:sz w:val="28"/>
          <w:szCs w:val="28"/>
          <w:shd w:val="clear" w:color="auto" w:fill="FFFFFF"/>
          <w:lang w:eastAsia="en-US"/>
        </w:rPr>
        <w:t xml:space="preserve">3.1. Морфологічні зміни в зачатках зубів та в тканинах, що їх оточують, у новонароджених щурів із експериментально змодельованою внутрішньоутробною </w:t>
      </w:r>
      <w:proofErr w:type="spellStart"/>
      <w:r w:rsidRPr="00520861">
        <w:rPr>
          <w:rFonts w:eastAsia="Calibri"/>
          <w:b/>
          <w:bCs/>
          <w:color w:val="000000"/>
          <w:sz w:val="28"/>
          <w:szCs w:val="28"/>
          <w:shd w:val="clear" w:color="auto" w:fill="FFFFFF"/>
          <w:lang w:eastAsia="en-US"/>
        </w:rPr>
        <w:t>макросомією</w:t>
      </w:r>
      <w:proofErr w:type="spellEnd"/>
    </w:p>
    <w:p w14:paraId="12BA5926" w14:textId="77777777" w:rsidR="00CF641C" w:rsidRPr="00520861" w:rsidRDefault="00CF641C" w:rsidP="00292D2E">
      <w:pPr>
        <w:widowControl w:val="0"/>
        <w:spacing w:line="360" w:lineRule="auto"/>
        <w:ind w:firstLine="708"/>
        <w:jc w:val="both"/>
        <w:rPr>
          <w:rFonts w:eastAsia="Calibri"/>
          <w:b/>
          <w:bCs/>
          <w:color w:val="000000"/>
          <w:sz w:val="28"/>
          <w:szCs w:val="28"/>
          <w:shd w:val="clear" w:color="auto" w:fill="FFFFFF"/>
          <w:lang w:eastAsia="en-US"/>
        </w:rPr>
      </w:pPr>
    </w:p>
    <w:p w14:paraId="11FAD27C"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bCs/>
          <w:color w:val="000000"/>
          <w:sz w:val="28"/>
          <w:szCs w:val="28"/>
          <w:shd w:val="clear" w:color="auto" w:fill="FFFFFF"/>
          <w:lang w:eastAsia="en-US"/>
        </w:rPr>
        <w:t xml:space="preserve">При моделюванні внутрішньоутробної </w:t>
      </w:r>
      <w:proofErr w:type="spellStart"/>
      <w:r w:rsidRPr="00520861">
        <w:rPr>
          <w:rFonts w:eastAsia="Calibri"/>
          <w:bCs/>
          <w:color w:val="000000"/>
          <w:sz w:val="28"/>
          <w:szCs w:val="28"/>
          <w:shd w:val="clear" w:color="auto" w:fill="FFFFFF"/>
          <w:lang w:eastAsia="en-US"/>
        </w:rPr>
        <w:t>макросомії</w:t>
      </w:r>
      <w:proofErr w:type="spellEnd"/>
      <w:r w:rsidRPr="00520861">
        <w:rPr>
          <w:rFonts w:eastAsia="Calibri"/>
          <w:bCs/>
          <w:color w:val="000000"/>
          <w:sz w:val="28"/>
          <w:szCs w:val="28"/>
          <w:shd w:val="clear" w:color="auto" w:fill="FFFFFF"/>
          <w:lang w:eastAsia="en-US"/>
        </w:rPr>
        <w:t xml:space="preserve"> відомими моделями</w:t>
      </w:r>
      <w:r w:rsidRPr="00520861">
        <w:rPr>
          <w:rFonts w:eastAsia="Calibri"/>
          <w:sz w:val="28"/>
          <w:szCs w:val="28"/>
        </w:rPr>
        <w:t xml:space="preserve"> 10% – 17% щурів від загальної кількості всіх новонароджених тварин мали масу при народженні, яка є вищою за 2 стандартних відхилення від середньої маси тіла всіх новонароджених щурів, а отже свідчить про </w:t>
      </w:r>
      <w:proofErr w:type="spellStart"/>
      <w:r w:rsidRPr="00520861">
        <w:rPr>
          <w:rFonts w:eastAsia="Calibri"/>
          <w:sz w:val="28"/>
          <w:szCs w:val="28"/>
        </w:rPr>
        <w:t>макросомію</w:t>
      </w:r>
      <w:proofErr w:type="spellEnd"/>
      <w:r w:rsidRPr="00520861">
        <w:rPr>
          <w:rFonts w:eastAsia="Calibri"/>
          <w:sz w:val="28"/>
          <w:szCs w:val="28"/>
        </w:rPr>
        <w:t xml:space="preserve"> плода. </w:t>
      </w:r>
      <w:r w:rsidRPr="00520861">
        <w:rPr>
          <w:rFonts w:eastAsia="Calibri"/>
          <w:sz w:val="28"/>
          <w:szCs w:val="28"/>
          <w:lang w:eastAsia="en-US"/>
        </w:rPr>
        <w:t xml:space="preserve">При моделюванні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запропонованим способом </w:t>
      </w:r>
      <w:r w:rsidRPr="00520861">
        <w:rPr>
          <w:rFonts w:eastAsia="Calibri"/>
          <w:sz w:val="28"/>
          <w:szCs w:val="28"/>
          <w:lang w:val="ru-RU" w:eastAsia="en-US"/>
        </w:rPr>
        <w:t>[</w:t>
      </w:r>
      <w:r w:rsidRPr="00520861">
        <w:rPr>
          <w:rFonts w:eastAsia="Calibri"/>
          <w:sz w:val="28"/>
          <w:szCs w:val="28"/>
          <w:lang w:eastAsia="en-US"/>
        </w:rPr>
        <w:t>68</w:t>
      </w:r>
      <w:r w:rsidRPr="00520861">
        <w:rPr>
          <w:rFonts w:eastAsia="Calibri"/>
          <w:sz w:val="28"/>
          <w:szCs w:val="28"/>
          <w:lang w:val="ru-RU" w:eastAsia="en-US"/>
        </w:rPr>
        <w:t xml:space="preserve">] </w:t>
      </w:r>
      <w:r w:rsidRPr="00520861">
        <w:rPr>
          <w:rFonts w:eastAsia="Calibri"/>
          <w:sz w:val="28"/>
          <w:szCs w:val="28"/>
          <w:lang w:eastAsia="en-US"/>
        </w:rPr>
        <w:t xml:space="preserve">30% щурів-нащадків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w:t>
      </w:r>
    </w:p>
    <w:p w14:paraId="5E69A40E"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bCs/>
          <w:color w:val="000000"/>
          <w:sz w:val="28"/>
          <w:szCs w:val="28"/>
          <w:shd w:val="clear" w:color="auto" w:fill="FFFFFF"/>
          <w:lang w:eastAsia="en-US"/>
        </w:rPr>
        <w:t xml:space="preserve">При аналізі масо-ростового відношення </w:t>
      </w:r>
      <w:r w:rsidRPr="00520861">
        <w:rPr>
          <w:rFonts w:eastAsia="Calibri"/>
          <w:bCs/>
          <w:i/>
          <w:color w:val="000000"/>
          <w:sz w:val="28"/>
          <w:szCs w:val="28"/>
          <w:shd w:val="clear" w:color="auto" w:fill="FFFFFF"/>
          <w:lang w:eastAsia="en-US"/>
        </w:rPr>
        <w:t>m</w:t>
      </w:r>
      <w:r w:rsidRPr="00520861">
        <w:rPr>
          <w:rFonts w:eastAsia="Calibri"/>
          <w:bCs/>
          <w:color w:val="000000"/>
          <w:sz w:val="28"/>
          <w:szCs w:val="28"/>
          <w:shd w:val="clear" w:color="auto" w:fill="FFFFFF"/>
          <w:lang w:eastAsia="en-US"/>
        </w:rPr>
        <w:t>/</w:t>
      </w:r>
      <w:r w:rsidRPr="00520861">
        <w:rPr>
          <w:rFonts w:eastAsia="Calibri"/>
          <w:bCs/>
          <w:i/>
          <w:color w:val="000000"/>
          <w:sz w:val="28"/>
          <w:szCs w:val="28"/>
          <w:shd w:val="clear" w:color="auto" w:fill="FFFFFF"/>
          <w:lang w:eastAsia="en-US"/>
        </w:rPr>
        <w:t>l</w:t>
      </w:r>
      <w:r w:rsidRPr="00520861">
        <w:rPr>
          <w:rFonts w:eastAsia="Calibri"/>
          <w:bCs/>
          <w:color w:val="000000"/>
          <w:sz w:val="28"/>
          <w:szCs w:val="28"/>
          <w:shd w:val="clear" w:color="auto" w:fill="FFFFFF"/>
          <w:lang w:eastAsia="en-US"/>
        </w:rPr>
        <w:t xml:space="preserve">² (табл. Б.1.10) у новонароджених експериментальних тварин виявилося, що у більшості щурів групи 1 значення </w:t>
      </w:r>
      <w:proofErr w:type="spellStart"/>
      <w:r w:rsidRPr="00520861">
        <w:rPr>
          <w:rFonts w:eastAsia="Calibri"/>
          <w:sz w:val="28"/>
          <w:szCs w:val="28"/>
          <w:lang w:eastAsia="en-US"/>
        </w:rPr>
        <w:t>ІМТт</w:t>
      </w:r>
      <w:proofErr w:type="spellEnd"/>
      <w:r w:rsidRPr="00520861">
        <w:rPr>
          <w:rFonts w:eastAsia="Calibri"/>
          <w:bCs/>
          <w:color w:val="000000"/>
          <w:sz w:val="28"/>
          <w:szCs w:val="28"/>
          <w:shd w:val="clear" w:color="auto" w:fill="FFFFFF"/>
          <w:lang w:eastAsia="en-US"/>
        </w:rPr>
        <w:t xml:space="preserve"> близькі до таких у групі контролю. У тварин групи 2, через їх значну довжину тіла при народженні, виявлені ознаки відносного заниження маси тіла. У групі 3 більшість щурів мали ознаки ВУ ожиріння. У групі 4, хоч і не виявлена вірогідна відмінність МРП від контролю, проте його медіанне значення виявилося істотно вищим за таке у контрольних тварин. </w:t>
      </w:r>
    </w:p>
    <w:p w14:paraId="15C79218"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color w:val="000000"/>
          <w:sz w:val="28"/>
          <w:szCs w:val="28"/>
          <w:shd w:val="clear" w:color="auto" w:fill="FFFFFF"/>
          <w:lang w:eastAsia="en-US"/>
        </w:rPr>
        <w:t xml:space="preserve">При морфологічному дослідженні СОПР щурів контрольної групи </w:t>
      </w:r>
      <w:r w:rsidRPr="00520861">
        <w:rPr>
          <w:rFonts w:eastAsia="Calibri"/>
          <w:sz w:val="28"/>
          <w:szCs w:val="28"/>
          <w:lang w:eastAsia="en-US"/>
        </w:rPr>
        <w:t xml:space="preserve">відзначається добре розвинене МЦР кровоносної системи у стромі </w:t>
      </w:r>
      <w:r w:rsidRPr="00520861">
        <w:rPr>
          <w:rFonts w:eastAsia="Calibri"/>
          <w:color w:val="000000"/>
          <w:sz w:val="28"/>
          <w:szCs w:val="28"/>
          <w:shd w:val="clear" w:color="auto" w:fill="FFFFFF"/>
          <w:lang w:eastAsia="en-US"/>
        </w:rPr>
        <w:t>(рис. 3.1</w:t>
      </w:r>
      <w:r w:rsidRPr="00520861">
        <w:rPr>
          <w:rFonts w:eastAsia="Calibri"/>
          <w:i/>
          <w:color w:val="000000"/>
          <w:sz w:val="28"/>
          <w:szCs w:val="28"/>
          <w:shd w:val="clear" w:color="auto" w:fill="FFFFFF"/>
          <w:lang w:eastAsia="en-US"/>
        </w:rPr>
        <w:t>а</w:t>
      </w:r>
      <w:r w:rsidRPr="00520861">
        <w:rPr>
          <w:rFonts w:eastAsia="Calibri"/>
          <w:color w:val="000000"/>
          <w:sz w:val="28"/>
          <w:szCs w:val="28"/>
          <w:shd w:val="clear" w:color="auto" w:fill="FFFFFF"/>
          <w:lang w:eastAsia="en-US"/>
        </w:rPr>
        <w:t>)</w:t>
      </w:r>
      <w:r w:rsidRPr="00520861">
        <w:rPr>
          <w:rFonts w:eastAsia="Calibri"/>
          <w:sz w:val="28"/>
          <w:szCs w:val="28"/>
          <w:lang w:eastAsia="en-US"/>
        </w:rPr>
        <w:t xml:space="preserve">. У базальному шарі </w:t>
      </w:r>
      <w:proofErr w:type="spellStart"/>
      <w:r w:rsidRPr="00520861">
        <w:rPr>
          <w:rFonts w:eastAsia="Calibri"/>
          <w:sz w:val="28"/>
          <w:szCs w:val="28"/>
          <w:lang w:eastAsia="en-US"/>
        </w:rPr>
        <w:t>епітеліоцити</w:t>
      </w:r>
      <w:proofErr w:type="spellEnd"/>
      <w:r w:rsidRPr="00520861">
        <w:rPr>
          <w:rFonts w:eastAsia="Calibri"/>
          <w:sz w:val="28"/>
          <w:szCs w:val="28"/>
          <w:lang w:eastAsia="en-US"/>
        </w:rPr>
        <w:t xml:space="preserve"> мають різко подовжену форму, що є свідченням активного </w:t>
      </w:r>
      <w:proofErr w:type="spellStart"/>
      <w:r w:rsidRPr="00520861">
        <w:rPr>
          <w:rFonts w:eastAsia="Calibri"/>
          <w:sz w:val="28"/>
          <w:szCs w:val="28"/>
          <w:lang w:eastAsia="en-US"/>
        </w:rPr>
        <w:t>проліферативного</w:t>
      </w:r>
      <w:proofErr w:type="spellEnd"/>
      <w:r w:rsidRPr="00520861">
        <w:rPr>
          <w:rFonts w:eastAsia="Calibri"/>
          <w:sz w:val="28"/>
          <w:szCs w:val="28"/>
          <w:lang w:eastAsia="en-US"/>
        </w:rPr>
        <w:t xml:space="preserve"> процесу</w:t>
      </w:r>
      <w:r w:rsidRPr="00520861">
        <w:rPr>
          <w:rFonts w:eastAsia="Calibri"/>
          <w:sz w:val="28"/>
          <w:szCs w:val="28"/>
          <w:lang w:val="ru-RU" w:eastAsia="en-US"/>
        </w:rPr>
        <w:t xml:space="preserve"> [45]</w:t>
      </w:r>
      <w:r w:rsidRPr="00520861">
        <w:rPr>
          <w:rFonts w:eastAsia="Calibri"/>
          <w:sz w:val="28"/>
          <w:szCs w:val="28"/>
          <w:lang w:eastAsia="en-US"/>
        </w:rPr>
        <w:t xml:space="preserve">. У власній пластинці слизової оболонки </w:t>
      </w:r>
      <w:proofErr w:type="spellStart"/>
      <w:r w:rsidRPr="00520861">
        <w:rPr>
          <w:rFonts w:eastAsia="Calibri"/>
          <w:sz w:val="28"/>
          <w:szCs w:val="28"/>
          <w:lang w:eastAsia="en-US"/>
        </w:rPr>
        <w:t>щік</w:t>
      </w:r>
      <w:proofErr w:type="spellEnd"/>
      <w:r w:rsidRPr="00520861">
        <w:rPr>
          <w:rFonts w:eastAsia="Calibri"/>
          <w:sz w:val="28"/>
          <w:szCs w:val="28"/>
          <w:lang w:eastAsia="en-US"/>
        </w:rPr>
        <w:t xml:space="preserve"> </w:t>
      </w:r>
      <w:r w:rsidRPr="00520861">
        <w:rPr>
          <w:rFonts w:eastAsia="Calibri"/>
          <w:b/>
          <w:sz w:val="28"/>
          <w:szCs w:val="28"/>
          <w:lang w:eastAsia="en-US"/>
        </w:rPr>
        <w:t>с</w:t>
      </w:r>
      <w:r w:rsidRPr="00520861">
        <w:rPr>
          <w:rFonts w:eastAsia="Calibri"/>
          <w:sz w:val="28"/>
          <w:szCs w:val="28"/>
          <w:lang w:eastAsia="en-US"/>
        </w:rPr>
        <w:t xml:space="preserve">постерігається значна кількість малих (молярних) слинних залоз, у багатоклітинній сполучній тканині спостерігається значна кількість фібробластів, зустрічаються макрофаги, поодинокі лімфоцити. </w:t>
      </w:r>
    </w:p>
    <w:p w14:paraId="243C5081" w14:textId="77777777" w:rsidR="00CF641C" w:rsidRPr="00520861" w:rsidRDefault="00CF641C" w:rsidP="00292D2E">
      <w:pPr>
        <w:widowControl w:val="0"/>
        <w:spacing w:line="360" w:lineRule="auto"/>
        <w:ind w:firstLine="709"/>
        <w:jc w:val="both"/>
        <w:rPr>
          <w:rFonts w:eastAsia="Calibri"/>
          <w:color w:val="000000"/>
          <w:sz w:val="28"/>
          <w:szCs w:val="28"/>
          <w:shd w:val="clear" w:color="auto" w:fill="FFFFFF"/>
          <w:lang w:eastAsia="en-US"/>
        </w:rPr>
      </w:pPr>
      <w:r w:rsidRPr="00520861">
        <w:rPr>
          <w:rFonts w:eastAsia="Calibri"/>
          <w:bCs/>
          <w:color w:val="000000"/>
          <w:sz w:val="28"/>
          <w:szCs w:val="28"/>
          <w:shd w:val="clear" w:color="auto" w:fill="FFFFFF"/>
          <w:lang w:eastAsia="en-US"/>
        </w:rPr>
        <w:t xml:space="preserve">У щурів як основної, так і контрольної груп зачатки різців та перших молярів переважно знаходяться на стадії гістогенезу (завершальна стадія пренатального </w:t>
      </w:r>
      <w:r w:rsidRPr="00520861">
        <w:rPr>
          <w:rFonts w:eastAsia="Calibri"/>
          <w:bCs/>
          <w:color w:val="000000"/>
          <w:sz w:val="28"/>
          <w:szCs w:val="28"/>
          <w:shd w:val="clear" w:color="auto" w:fill="FFFFFF"/>
          <w:lang w:eastAsia="en-US"/>
        </w:rPr>
        <w:br/>
      </w:r>
      <w:r w:rsidRPr="00520861">
        <w:rPr>
          <w:rFonts w:eastAsia="Calibri"/>
          <w:bCs/>
          <w:color w:val="000000"/>
          <w:sz w:val="28"/>
          <w:szCs w:val="28"/>
          <w:shd w:val="clear" w:color="auto" w:fill="FFFFFF"/>
          <w:lang w:eastAsia="en-US"/>
        </w:rPr>
        <w:lastRenderedPageBreak/>
        <w:t xml:space="preserve">розвитку зубів). </w:t>
      </w:r>
      <w:r w:rsidRPr="00520861">
        <w:rPr>
          <w:rFonts w:eastAsia="Calibri"/>
          <w:color w:val="000000"/>
          <w:sz w:val="28"/>
          <w:szCs w:val="28"/>
          <w:shd w:val="clear" w:color="auto" w:fill="FFFFFF"/>
          <w:lang w:eastAsia="en-US"/>
        </w:rPr>
        <w:t xml:space="preserve">При морфологічному дослідженні зачатків зубів контрольної групи було виявлено, що тканини, які в подальшому сформують емаль і дентин зуба (дентин, що формується, і емаль, що формується), щільні, товсті, добре профарбовані, мають рівну поверхню, контакт емалевого шару з шаром дентину міцний. </w:t>
      </w:r>
    </w:p>
    <w:p w14:paraId="38E917AA" w14:textId="77777777" w:rsidR="00CF641C" w:rsidRPr="00520861" w:rsidRDefault="00CF641C" w:rsidP="00292D2E">
      <w:pPr>
        <w:widowControl w:val="0"/>
        <w:spacing w:line="360" w:lineRule="auto"/>
        <w:ind w:firstLine="708"/>
        <w:jc w:val="both"/>
        <w:rPr>
          <w:rFonts w:eastAsia="Calibri"/>
          <w:color w:val="000000"/>
          <w:sz w:val="28"/>
          <w:szCs w:val="28"/>
          <w:shd w:val="clear" w:color="auto" w:fill="FFFFFF"/>
          <w:lang w:eastAsia="en-US"/>
        </w:rPr>
      </w:pPr>
      <w:r w:rsidRPr="00520861">
        <w:rPr>
          <w:rFonts w:eastAsia="Calibri"/>
          <w:color w:val="000000"/>
          <w:sz w:val="28"/>
          <w:szCs w:val="28"/>
          <w:shd w:val="clear" w:color="auto" w:fill="FFFFFF"/>
          <w:lang w:eastAsia="en-US"/>
        </w:rPr>
        <w:t xml:space="preserve">Тканини, асоційовані з пульпою (пульпа зубного сосочка), крім смужки </w:t>
      </w:r>
      <w:proofErr w:type="spellStart"/>
      <w:r w:rsidRPr="00520861">
        <w:rPr>
          <w:rFonts w:eastAsia="Calibri"/>
          <w:color w:val="000000"/>
          <w:sz w:val="28"/>
          <w:szCs w:val="28"/>
          <w:shd w:val="clear" w:color="auto" w:fill="FFFFFF"/>
          <w:lang w:eastAsia="en-US"/>
        </w:rPr>
        <w:t>одонтобластів</w:t>
      </w:r>
      <w:proofErr w:type="spellEnd"/>
      <w:r w:rsidRPr="00520861">
        <w:rPr>
          <w:rFonts w:eastAsia="Calibri"/>
          <w:color w:val="000000"/>
          <w:sz w:val="28"/>
          <w:szCs w:val="28"/>
          <w:shd w:val="clear" w:color="auto" w:fill="FFFFFF"/>
          <w:lang w:eastAsia="en-US"/>
        </w:rPr>
        <w:t xml:space="preserve">, орієнтованих до периферії, у центральній зоні містять велику кількість безладно розташованих </w:t>
      </w:r>
      <w:proofErr w:type="spellStart"/>
      <w:r w:rsidRPr="00520861">
        <w:rPr>
          <w:rFonts w:eastAsia="Calibri"/>
          <w:color w:val="000000"/>
          <w:sz w:val="28"/>
          <w:szCs w:val="28"/>
          <w:shd w:val="clear" w:color="auto" w:fill="FFFFFF"/>
          <w:lang w:eastAsia="en-US"/>
        </w:rPr>
        <w:t>пульпоцитів</w:t>
      </w:r>
      <w:proofErr w:type="spellEnd"/>
      <w:r w:rsidRPr="00520861">
        <w:rPr>
          <w:rFonts w:eastAsia="Calibri"/>
          <w:color w:val="000000"/>
          <w:sz w:val="28"/>
          <w:szCs w:val="28"/>
          <w:shd w:val="clear" w:color="auto" w:fill="FFFFFF"/>
          <w:lang w:eastAsia="en-US"/>
        </w:rPr>
        <w:t xml:space="preserve">. Медіанне значення площі тіл </w:t>
      </w:r>
      <w:proofErr w:type="spellStart"/>
      <w:r w:rsidRPr="00520861">
        <w:rPr>
          <w:rFonts w:eastAsia="Calibri"/>
          <w:color w:val="000000"/>
          <w:sz w:val="28"/>
          <w:szCs w:val="28"/>
          <w:shd w:val="clear" w:color="auto" w:fill="FFFFFF"/>
          <w:lang w:eastAsia="en-US"/>
        </w:rPr>
        <w:t>одонтобластів</w:t>
      </w:r>
      <w:proofErr w:type="spellEnd"/>
      <w:r w:rsidRPr="00520861">
        <w:rPr>
          <w:rFonts w:eastAsia="Calibri"/>
          <w:color w:val="000000"/>
          <w:sz w:val="28"/>
          <w:szCs w:val="28"/>
          <w:shd w:val="clear" w:color="auto" w:fill="FFFFFF"/>
          <w:lang w:eastAsia="en-US"/>
        </w:rPr>
        <w:t xml:space="preserve"> </w:t>
      </w:r>
      <w:r w:rsidRPr="00520861">
        <w:rPr>
          <w:rFonts w:eastAsia="Calibri"/>
          <w:color w:val="000000"/>
          <w:sz w:val="28"/>
          <w:szCs w:val="28"/>
          <w:shd w:val="clear" w:color="auto" w:fill="FFFFFF"/>
          <w:lang w:eastAsia="en-US"/>
        </w:rPr>
        <w:br/>
        <w:t xml:space="preserve">(табл. 3.1) є вищим за таке у тварин основних груп, тіла </w:t>
      </w:r>
      <w:proofErr w:type="spellStart"/>
      <w:r w:rsidRPr="00520861">
        <w:rPr>
          <w:rFonts w:eastAsia="Calibri"/>
          <w:color w:val="000000"/>
          <w:sz w:val="28"/>
          <w:szCs w:val="28"/>
          <w:shd w:val="clear" w:color="auto" w:fill="FFFFFF"/>
          <w:lang w:eastAsia="en-US"/>
        </w:rPr>
        <w:t>одонтобластів</w:t>
      </w:r>
      <w:proofErr w:type="spellEnd"/>
      <w:r w:rsidRPr="00520861">
        <w:rPr>
          <w:rFonts w:eastAsia="Calibri"/>
          <w:color w:val="000000"/>
          <w:sz w:val="28"/>
          <w:szCs w:val="28"/>
          <w:shd w:val="clear" w:color="auto" w:fill="FFFFFF"/>
          <w:lang w:eastAsia="en-US"/>
        </w:rPr>
        <w:t xml:space="preserve"> мають грушоподібну форму (рис. 3.2</w:t>
      </w:r>
      <w:r w:rsidRPr="00520861">
        <w:rPr>
          <w:rFonts w:eastAsia="Calibri"/>
          <w:i/>
          <w:color w:val="000000"/>
          <w:sz w:val="28"/>
          <w:szCs w:val="28"/>
          <w:shd w:val="clear" w:color="auto" w:fill="FFFFFF"/>
          <w:lang w:eastAsia="en-US"/>
        </w:rPr>
        <w:t>а</w:t>
      </w:r>
      <w:r w:rsidRPr="00520861">
        <w:rPr>
          <w:rFonts w:eastAsia="Calibri"/>
          <w:color w:val="000000"/>
          <w:sz w:val="28"/>
          <w:szCs w:val="28"/>
          <w:shd w:val="clear" w:color="auto" w:fill="FFFFFF"/>
          <w:lang w:eastAsia="en-US"/>
        </w:rPr>
        <w:t>),.</w:t>
      </w:r>
    </w:p>
    <w:p w14:paraId="613DB47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Стан слизової оболонки щурів групи 1, порівняно з контрольними тваринами, суттєво не відрізняється</w:t>
      </w:r>
      <w:r w:rsidRPr="00520861">
        <w:rPr>
          <w:rFonts w:eastAsia="Calibri"/>
          <w:sz w:val="28"/>
          <w:szCs w:val="28"/>
          <w:lang w:val="ru-RU" w:eastAsia="en-US"/>
        </w:rPr>
        <w:t xml:space="preserve"> [45]</w:t>
      </w:r>
      <w:r w:rsidRPr="00520861">
        <w:rPr>
          <w:rFonts w:eastAsia="Calibri"/>
          <w:sz w:val="28"/>
          <w:szCs w:val="28"/>
          <w:lang w:eastAsia="en-US"/>
        </w:rPr>
        <w:t>. Медіанне значення товщини емалевого шару (табл. 3.1) також є близьким до такого в групі контролю</w:t>
      </w:r>
      <w:r w:rsidRPr="00520861">
        <w:rPr>
          <w:rFonts w:eastAsia="Calibri"/>
          <w:color w:val="000000"/>
          <w:sz w:val="28"/>
          <w:szCs w:val="28"/>
          <w:shd w:val="clear" w:color="auto" w:fill="FFFFFF"/>
          <w:lang w:eastAsia="en-US"/>
        </w:rPr>
        <w:t xml:space="preserve">. </w:t>
      </w:r>
      <w:r w:rsidRPr="00520861">
        <w:rPr>
          <w:rFonts w:eastAsia="Calibri"/>
          <w:sz w:val="28"/>
          <w:szCs w:val="28"/>
          <w:lang w:eastAsia="en-US"/>
        </w:rPr>
        <w:t>У периферійній частині пульпи зубного сосочка (</w:t>
      </w:r>
      <w:r w:rsidRPr="00520861">
        <w:rPr>
          <w:rFonts w:eastAsia="Calibri"/>
          <w:color w:val="000000"/>
          <w:sz w:val="28"/>
          <w:szCs w:val="28"/>
          <w:shd w:val="clear" w:color="auto" w:fill="FFFFFF"/>
          <w:lang w:eastAsia="en-US"/>
        </w:rPr>
        <w:t>рис. 3.2</w:t>
      </w:r>
      <w:r w:rsidRPr="00520861">
        <w:rPr>
          <w:rFonts w:eastAsiaTheme="minorHAnsi"/>
          <w:sz w:val="28"/>
          <w:szCs w:val="28"/>
          <w:lang w:eastAsia="en-US"/>
        </w:rPr>
        <w:t xml:space="preserve"> </w:t>
      </w:r>
      <w:r w:rsidRPr="00520861">
        <w:rPr>
          <w:rFonts w:eastAsia="Calibri"/>
          <w:i/>
          <w:color w:val="000000"/>
          <w:sz w:val="28"/>
          <w:szCs w:val="28"/>
          <w:shd w:val="clear" w:color="auto" w:fill="FFFFFF"/>
          <w:lang w:eastAsia="en-US"/>
        </w:rPr>
        <w:t>б</w:t>
      </w:r>
      <w:r w:rsidRPr="00520861">
        <w:rPr>
          <w:rFonts w:eastAsia="Calibri"/>
          <w:color w:val="000000"/>
          <w:sz w:val="28"/>
          <w:szCs w:val="28"/>
          <w:shd w:val="clear" w:color="auto" w:fill="FFFFFF"/>
          <w:lang w:eastAsia="en-US"/>
        </w:rPr>
        <w:t>)</w:t>
      </w:r>
      <w:r w:rsidRPr="00520861">
        <w:rPr>
          <w:rFonts w:eastAsia="Calibri"/>
          <w:sz w:val="28"/>
          <w:szCs w:val="28"/>
          <w:lang w:eastAsia="en-US"/>
        </w:rPr>
        <w:t xml:space="preserve"> тіла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мають видовжену форму, орієнтовану до </w:t>
      </w:r>
      <w:r w:rsidRPr="00520861">
        <w:rPr>
          <w:rFonts w:eastAsia="Calibri"/>
          <w:sz w:val="28"/>
          <w:szCs w:val="28"/>
          <w:lang w:eastAsia="en-US"/>
        </w:rPr>
        <w:br/>
        <w:t>дентину, що свідчить про більший ступінь їхньої зрілості, ніж у тварин-</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інших груп. Але порівняно з контролем, кількість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суттєво зменшена. </w:t>
      </w:r>
    </w:p>
    <w:p w14:paraId="17402B2B"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drawing>
          <wp:inline distT="0" distB="0" distL="0" distR="0" wp14:anchorId="30BFF805" wp14:editId="4F9A96DE">
            <wp:extent cx="6411600" cy="2538000"/>
            <wp:effectExtent l="0" t="0" r="0" b="0"/>
            <wp:docPr id="21"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pic:spPr>
                </pic:pic>
              </a:graphicData>
            </a:graphic>
          </wp:inline>
        </w:drawing>
      </w:r>
    </w:p>
    <w:p w14:paraId="13C4DB7A" w14:textId="77777777" w:rsidR="00CF641C" w:rsidRPr="00520861" w:rsidRDefault="00CF641C" w:rsidP="00292D2E">
      <w:pPr>
        <w:widowControl w:val="0"/>
        <w:spacing w:line="360" w:lineRule="auto"/>
        <w:ind w:firstLine="709"/>
        <w:jc w:val="center"/>
        <w:rPr>
          <w:rFonts w:eastAsia="Calibri"/>
          <w:color w:val="000000"/>
          <w:sz w:val="28"/>
          <w:szCs w:val="28"/>
          <w:shd w:val="clear" w:color="auto" w:fill="FFFFFF"/>
          <w:lang w:eastAsia="en-US"/>
        </w:rPr>
      </w:pPr>
      <w:r w:rsidRPr="00520861">
        <w:rPr>
          <w:rFonts w:eastAsia="Calibri"/>
          <w:color w:val="000000"/>
          <w:sz w:val="28"/>
          <w:szCs w:val="28"/>
          <w:shd w:val="clear" w:color="auto" w:fill="FFFFFF"/>
          <w:lang w:eastAsia="en-US"/>
        </w:rPr>
        <w:t xml:space="preserve">Рис. 3.1. Фрагмент слизової оболонки новонароджених щурів: а) – групи контролю (у багатоклітинній власній пластинці слизової оболонки спостерігається </w:t>
      </w:r>
      <w:r w:rsidRPr="00520861">
        <w:rPr>
          <w:rFonts w:eastAsia="Calibri"/>
          <w:color w:val="000000"/>
          <w:sz w:val="28"/>
          <w:szCs w:val="28"/>
          <w:shd w:val="clear" w:color="auto" w:fill="FFFFFF"/>
          <w:lang w:eastAsia="en-US"/>
        </w:rPr>
        <w:br/>
        <w:t>велика кількість судин МЦР);</w:t>
      </w:r>
    </w:p>
    <w:p w14:paraId="02249C69" w14:textId="77777777" w:rsidR="00CF641C" w:rsidRPr="00520861" w:rsidRDefault="00CF641C" w:rsidP="00292D2E">
      <w:pPr>
        <w:widowControl w:val="0"/>
        <w:spacing w:line="360" w:lineRule="auto"/>
        <w:ind w:firstLine="709"/>
        <w:jc w:val="center"/>
        <w:rPr>
          <w:rFonts w:eastAsia="Calibri"/>
          <w:color w:val="000000"/>
          <w:sz w:val="28"/>
          <w:szCs w:val="28"/>
          <w:shd w:val="clear" w:color="auto" w:fill="FFFFFF"/>
          <w:lang w:eastAsia="en-US"/>
        </w:rPr>
      </w:pPr>
      <w:r w:rsidRPr="00520861">
        <w:rPr>
          <w:rFonts w:eastAsia="Calibri"/>
          <w:color w:val="000000"/>
          <w:sz w:val="28"/>
          <w:szCs w:val="28"/>
          <w:shd w:val="clear" w:color="auto" w:fill="FFFFFF"/>
          <w:lang w:eastAsia="en-US"/>
        </w:rPr>
        <w:t xml:space="preserve">б) – групи 4 (у </w:t>
      </w:r>
      <w:proofErr w:type="spellStart"/>
      <w:r w:rsidRPr="00520861">
        <w:rPr>
          <w:rFonts w:eastAsia="Calibri"/>
          <w:color w:val="000000"/>
          <w:sz w:val="28"/>
          <w:szCs w:val="28"/>
          <w:shd w:val="clear" w:color="auto" w:fill="FFFFFF"/>
          <w:lang w:eastAsia="en-US"/>
        </w:rPr>
        <w:t>малоклітинній</w:t>
      </w:r>
      <w:proofErr w:type="spellEnd"/>
      <w:r w:rsidRPr="00520861">
        <w:rPr>
          <w:rFonts w:eastAsia="Calibri"/>
          <w:color w:val="000000"/>
          <w:sz w:val="28"/>
          <w:szCs w:val="28"/>
          <w:shd w:val="clear" w:color="auto" w:fill="FFFFFF"/>
          <w:lang w:eastAsia="en-US"/>
        </w:rPr>
        <w:t xml:space="preserve"> власній пластинці слизової оболонки спостерігається венозне повнокров’я (∆)).</w:t>
      </w:r>
    </w:p>
    <w:p w14:paraId="51910764" w14:textId="77777777" w:rsidR="00CF641C" w:rsidRPr="00520861" w:rsidRDefault="00CF641C" w:rsidP="00292D2E">
      <w:pPr>
        <w:widowControl w:val="0"/>
        <w:spacing w:line="360" w:lineRule="auto"/>
        <w:ind w:firstLine="709"/>
        <w:jc w:val="center"/>
        <w:rPr>
          <w:rFonts w:eastAsia="Calibri"/>
          <w:color w:val="000000"/>
          <w:sz w:val="28"/>
          <w:szCs w:val="28"/>
          <w:shd w:val="clear" w:color="auto" w:fill="FFFFFF"/>
          <w:lang w:eastAsia="en-US"/>
        </w:rPr>
      </w:pPr>
      <w:r w:rsidRPr="00520861">
        <w:rPr>
          <w:rFonts w:eastAsia="Calibri"/>
          <w:color w:val="000000"/>
          <w:sz w:val="28"/>
          <w:szCs w:val="28"/>
          <w:shd w:val="clear" w:color="auto" w:fill="FFFFFF"/>
          <w:lang w:eastAsia="en-US"/>
        </w:rPr>
        <w:t xml:space="preserve">Забарвлення гематоксиліном та еозином. Збільшення </w:t>
      </w:r>
      <w:r w:rsidRPr="00520861">
        <w:rPr>
          <w:rFonts w:eastAsia="Calibri"/>
          <w:sz w:val="28"/>
          <w:szCs w:val="28"/>
          <w:lang w:eastAsia="en-US"/>
        </w:rPr>
        <w:sym w:font="Symbol" w:char="F0B4"/>
      </w:r>
      <w:r w:rsidRPr="00520861">
        <w:rPr>
          <w:rFonts w:eastAsia="Calibri"/>
          <w:sz w:val="28"/>
          <w:szCs w:val="28"/>
          <w:lang w:eastAsia="en-US"/>
        </w:rPr>
        <w:t xml:space="preserve"> </w:t>
      </w:r>
      <w:r w:rsidRPr="00520861">
        <w:rPr>
          <w:rFonts w:eastAsia="Calibri"/>
          <w:color w:val="000000"/>
          <w:sz w:val="28"/>
          <w:szCs w:val="28"/>
          <w:shd w:val="clear" w:color="auto" w:fill="FFFFFF"/>
          <w:lang w:eastAsia="en-US"/>
        </w:rPr>
        <w:t>400.</w:t>
      </w:r>
    </w:p>
    <w:p w14:paraId="43D5575B" w14:textId="77777777" w:rsidR="00CF641C" w:rsidRPr="00520861" w:rsidRDefault="00CF641C" w:rsidP="00292D2E">
      <w:pPr>
        <w:widowControl w:val="0"/>
        <w:spacing w:line="360" w:lineRule="auto"/>
        <w:jc w:val="right"/>
        <w:rPr>
          <w:rFonts w:eastAsia="Calibri"/>
          <w:i/>
          <w:iCs/>
          <w:sz w:val="28"/>
          <w:szCs w:val="28"/>
          <w:lang w:eastAsia="en-US"/>
        </w:rPr>
      </w:pPr>
      <w:r w:rsidRPr="00520861">
        <w:rPr>
          <w:rFonts w:eastAsia="Calibri"/>
          <w:i/>
          <w:iCs/>
          <w:sz w:val="28"/>
          <w:szCs w:val="28"/>
          <w:lang w:eastAsia="en-US"/>
        </w:rPr>
        <w:lastRenderedPageBreak/>
        <w:t xml:space="preserve">Таблиця 3.1 </w:t>
      </w:r>
    </w:p>
    <w:p w14:paraId="6A85083C" w14:textId="77777777" w:rsidR="00CF641C" w:rsidRPr="00520861" w:rsidRDefault="00CF641C" w:rsidP="00292D2E">
      <w:pPr>
        <w:widowControl w:val="0"/>
        <w:spacing w:line="360" w:lineRule="auto"/>
        <w:jc w:val="center"/>
        <w:rPr>
          <w:rFonts w:eastAsia="Calibri"/>
          <w:b/>
          <w:bCs/>
          <w:sz w:val="28"/>
          <w:szCs w:val="28"/>
          <w:lang w:eastAsia="en-US"/>
        </w:rPr>
      </w:pPr>
      <w:r w:rsidRPr="00520861">
        <w:rPr>
          <w:rFonts w:eastAsia="Calibri"/>
          <w:b/>
          <w:bCs/>
          <w:sz w:val="28"/>
          <w:szCs w:val="28"/>
          <w:lang w:eastAsia="en-US"/>
        </w:rPr>
        <w:t xml:space="preserve">Медіанні значення </w:t>
      </w:r>
      <w:proofErr w:type="spellStart"/>
      <w:r w:rsidRPr="00520861">
        <w:rPr>
          <w:rFonts w:eastAsia="Calibri"/>
          <w:b/>
          <w:bCs/>
          <w:sz w:val="28"/>
          <w:szCs w:val="28"/>
          <w:lang w:eastAsia="en-US"/>
        </w:rPr>
        <w:t>Me</w:t>
      </w:r>
      <w:proofErr w:type="spellEnd"/>
      <w:r w:rsidRPr="00520861">
        <w:rPr>
          <w:rFonts w:eastAsia="Calibri"/>
          <w:b/>
          <w:bCs/>
          <w:sz w:val="28"/>
          <w:szCs w:val="28"/>
          <w:lang w:eastAsia="en-US"/>
        </w:rPr>
        <w:t xml:space="preserve"> (Q3;Q1) товщини емалевого шару та площі тіл </w:t>
      </w:r>
      <w:r w:rsidRPr="00520861">
        <w:rPr>
          <w:rFonts w:eastAsia="Calibri"/>
          <w:b/>
          <w:bCs/>
          <w:sz w:val="28"/>
          <w:szCs w:val="28"/>
          <w:lang w:eastAsia="en-US"/>
        </w:rPr>
        <w:br/>
      </w:r>
      <w:proofErr w:type="spellStart"/>
      <w:r w:rsidRPr="00520861">
        <w:rPr>
          <w:rFonts w:eastAsia="Calibri"/>
          <w:b/>
          <w:bCs/>
          <w:sz w:val="28"/>
          <w:szCs w:val="28"/>
          <w:lang w:eastAsia="en-US"/>
        </w:rPr>
        <w:t>одонтобластів</w:t>
      </w:r>
      <w:proofErr w:type="spellEnd"/>
      <w:r w:rsidRPr="00520861">
        <w:rPr>
          <w:rFonts w:eastAsia="Calibri"/>
          <w:b/>
          <w:bCs/>
          <w:sz w:val="28"/>
          <w:szCs w:val="28"/>
          <w:lang w:eastAsia="en-US"/>
        </w:rPr>
        <w:t xml:space="preserve"> у групах новонароджених щурів</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21"/>
        <w:gridCol w:w="4089"/>
        <w:gridCol w:w="4508"/>
      </w:tblGrid>
      <w:tr w:rsidR="00CF641C" w:rsidRPr="00520861" w14:paraId="3A0A875A" w14:textId="77777777" w:rsidTr="00292D2E">
        <w:trPr>
          <w:jc w:val="center"/>
        </w:trPr>
        <w:tc>
          <w:tcPr>
            <w:tcW w:w="132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C99DF42" w14:textId="77777777" w:rsidR="00CF641C" w:rsidRPr="00520861" w:rsidRDefault="00CF641C" w:rsidP="00292D2E">
            <w:pPr>
              <w:widowControl w:val="0"/>
              <w:spacing w:line="360" w:lineRule="auto"/>
              <w:jc w:val="center"/>
              <w:rPr>
                <w:sz w:val="28"/>
                <w:szCs w:val="28"/>
              </w:rPr>
            </w:pPr>
            <w:r w:rsidRPr="00520861">
              <w:rPr>
                <w:sz w:val="28"/>
                <w:szCs w:val="28"/>
              </w:rPr>
              <w:t xml:space="preserve">Групи </w:t>
            </w:r>
          </w:p>
        </w:tc>
        <w:tc>
          <w:tcPr>
            <w:tcW w:w="408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616AB51" w14:textId="77777777" w:rsidR="00CF641C" w:rsidRPr="00520861" w:rsidRDefault="00CF641C" w:rsidP="00292D2E">
            <w:pPr>
              <w:widowControl w:val="0"/>
              <w:spacing w:line="360" w:lineRule="auto"/>
              <w:jc w:val="center"/>
              <w:rPr>
                <w:sz w:val="28"/>
                <w:szCs w:val="28"/>
              </w:rPr>
            </w:pPr>
            <w:r w:rsidRPr="00520861">
              <w:rPr>
                <w:sz w:val="28"/>
                <w:szCs w:val="28"/>
              </w:rPr>
              <w:t xml:space="preserve">Товщина емалевого шару </w:t>
            </w:r>
            <w:r w:rsidRPr="00520861">
              <w:rPr>
                <w:sz w:val="28"/>
                <w:szCs w:val="28"/>
                <w:lang w:val="ru-RU"/>
              </w:rPr>
              <w:t>(</w:t>
            </w:r>
            <w:r w:rsidRPr="00520861">
              <w:rPr>
                <w:sz w:val="28"/>
                <w:szCs w:val="28"/>
              </w:rPr>
              <w:t>м×10</w:t>
            </w:r>
            <w:r w:rsidRPr="00520861">
              <w:rPr>
                <w:sz w:val="28"/>
                <w:szCs w:val="28"/>
                <w:vertAlign w:val="superscript"/>
              </w:rPr>
              <w:t>6</w:t>
            </w:r>
            <w:r w:rsidRPr="00520861">
              <w:rPr>
                <w:sz w:val="28"/>
                <w:szCs w:val="28"/>
                <w:lang w:val="ru-RU"/>
              </w:rPr>
              <w:t>)</w:t>
            </w:r>
          </w:p>
        </w:tc>
        <w:tc>
          <w:tcPr>
            <w:tcW w:w="450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EB6E8B7" w14:textId="77777777" w:rsidR="00CF641C" w:rsidRPr="00520861" w:rsidRDefault="00CF641C" w:rsidP="00292D2E">
            <w:pPr>
              <w:widowControl w:val="0"/>
              <w:spacing w:line="360" w:lineRule="auto"/>
              <w:jc w:val="center"/>
              <w:rPr>
                <w:sz w:val="28"/>
                <w:szCs w:val="28"/>
              </w:rPr>
            </w:pPr>
            <w:r w:rsidRPr="00520861">
              <w:rPr>
                <w:sz w:val="28"/>
                <w:szCs w:val="28"/>
              </w:rPr>
              <w:t xml:space="preserve">Площа тіла </w:t>
            </w:r>
            <w:proofErr w:type="spellStart"/>
            <w:r w:rsidRPr="00520861">
              <w:rPr>
                <w:sz w:val="28"/>
                <w:szCs w:val="28"/>
              </w:rPr>
              <w:t>одонтобластів</w:t>
            </w:r>
            <w:proofErr w:type="spellEnd"/>
            <w:r w:rsidRPr="00520861">
              <w:rPr>
                <w:sz w:val="28"/>
                <w:szCs w:val="28"/>
              </w:rPr>
              <w:t xml:space="preserve"> </w:t>
            </w:r>
            <w:r w:rsidRPr="00520861">
              <w:rPr>
                <w:sz w:val="28"/>
                <w:szCs w:val="28"/>
                <w:lang w:val="en-US"/>
              </w:rPr>
              <w:t>(</w:t>
            </w:r>
            <w:r w:rsidRPr="00520861">
              <w:rPr>
                <w:sz w:val="28"/>
                <w:szCs w:val="28"/>
              </w:rPr>
              <w:t>м</w:t>
            </w:r>
            <w:r w:rsidRPr="00520861">
              <w:rPr>
                <w:sz w:val="28"/>
                <w:szCs w:val="28"/>
                <w:vertAlign w:val="superscript"/>
              </w:rPr>
              <w:t>2</w:t>
            </w:r>
            <w:r w:rsidRPr="00520861">
              <w:rPr>
                <w:sz w:val="28"/>
                <w:szCs w:val="28"/>
              </w:rPr>
              <w:t>×10</w:t>
            </w:r>
            <w:r w:rsidRPr="00520861">
              <w:rPr>
                <w:sz w:val="28"/>
                <w:szCs w:val="28"/>
                <w:vertAlign w:val="superscript"/>
              </w:rPr>
              <w:t>12</w:t>
            </w:r>
            <w:r w:rsidRPr="00520861">
              <w:rPr>
                <w:i/>
                <w:sz w:val="28"/>
                <w:szCs w:val="28"/>
                <w:lang w:val="en-US"/>
              </w:rPr>
              <w:t>)</w:t>
            </w:r>
          </w:p>
        </w:tc>
      </w:tr>
      <w:tr w:rsidR="00CF641C" w:rsidRPr="00520861" w14:paraId="7D074066" w14:textId="77777777" w:rsidTr="00292D2E">
        <w:trPr>
          <w:jc w:val="center"/>
        </w:trPr>
        <w:tc>
          <w:tcPr>
            <w:tcW w:w="132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0F75D7D" w14:textId="77777777" w:rsidR="00CF641C" w:rsidRPr="00520861" w:rsidRDefault="00CF641C" w:rsidP="00292D2E">
            <w:pPr>
              <w:widowControl w:val="0"/>
              <w:spacing w:line="360" w:lineRule="auto"/>
              <w:jc w:val="center"/>
              <w:rPr>
                <w:sz w:val="28"/>
                <w:szCs w:val="28"/>
              </w:rPr>
            </w:pPr>
            <w:r w:rsidRPr="00520861">
              <w:rPr>
                <w:sz w:val="28"/>
                <w:szCs w:val="28"/>
              </w:rPr>
              <w:t>Контроль</w:t>
            </w:r>
          </w:p>
        </w:tc>
        <w:tc>
          <w:tcPr>
            <w:tcW w:w="408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CA5D6C"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5,36</w:t>
            </w:r>
            <w:r w:rsidRPr="00520861">
              <w:rPr>
                <w:rFonts w:eastAsia="Calibri"/>
                <w:sz w:val="28"/>
                <w:szCs w:val="28"/>
                <w:lang w:eastAsia="en-US"/>
              </w:rPr>
              <w:t xml:space="preserve"> </w:t>
            </w:r>
            <w:r w:rsidRPr="00520861">
              <w:rPr>
                <w:rFonts w:eastAsia="Calibri"/>
                <w:sz w:val="28"/>
                <w:szCs w:val="28"/>
                <w:lang w:val="ru-RU" w:eastAsia="en-US"/>
              </w:rPr>
              <w:t>(5,</w:t>
            </w:r>
            <w:r w:rsidRPr="00520861">
              <w:rPr>
                <w:rFonts w:eastAsia="Calibri"/>
                <w:sz w:val="28"/>
                <w:szCs w:val="28"/>
                <w:lang w:eastAsia="en-US"/>
              </w:rPr>
              <w:t>46</w:t>
            </w:r>
            <w:r w:rsidRPr="00520861">
              <w:rPr>
                <w:rFonts w:eastAsia="Calibri"/>
                <w:sz w:val="28"/>
                <w:szCs w:val="28"/>
                <w:lang w:val="ru-RU" w:eastAsia="en-US"/>
              </w:rPr>
              <w:t>;5,15)</w:t>
            </w:r>
          </w:p>
        </w:tc>
        <w:tc>
          <w:tcPr>
            <w:tcW w:w="450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A6EF05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ru-RU" w:eastAsia="en-US"/>
              </w:rPr>
              <w:t>2</w:t>
            </w:r>
            <w:r w:rsidRPr="00520861">
              <w:rPr>
                <w:rFonts w:eastAsia="Calibri"/>
                <w:sz w:val="28"/>
                <w:szCs w:val="28"/>
                <w:lang w:eastAsia="en-US"/>
              </w:rPr>
              <w:t xml:space="preserve">8,84 </w:t>
            </w:r>
            <w:r w:rsidRPr="00520861">
              <w:rPr>
                <w:rFonts w:eastAsia="Calibri"/>
                <w:sz w:val="28"/>
                <w:szCs w:val="28"/>
                <w:lang w:val="ru-RU" w:eastAsia="en-US"/>
              </w:rPr>
              <w:t>(34,22;22,40)</w:t>
            </w:r>
          </w:p>
        </w:tc>
      </w:tr>
      <w:tr w:rsidR="00CF641C" w:rsidRPr="00520861" w14:paraId="48B3A619" w14:textId="77777777" w:rsidTr="00292D2E">
        <w:trPr>
          <w:jc w:val="center"/>
        </w:trPr>
        <w:tc>
          <w:tcPr>
            <w:tcW w:w="132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A3E807E" w14:textId="77777777" w:rsidR="00CF641C" w:rsidRPr="00520861" w:rsidRDefault="00CF641C" w:rsidP="00292D2E">
            <w:pPr>
              <w:widowControl w:val="0"/>
              <w:spacing w:line="360" w:lineRule="auto"/>
              <w:jc w:val="center"/>
              <w:rPr>
                <w:sz w:val="28"/>
                <w:szCs w:val="28"/>
              </w:rPr>
            </w:pPr>
            <w:r w:rsidRPr="00520861">
              <w:rPr>
                <w:sz w:val="28"/>
                <w:szCs w:val="28"/>
              </w:rPr>
              <w:t>Група 1</w:t>
            </w:r>
          </w:p>
        </w:tc>
        <w:tc>
          <w:tcPr>
            <w:tcW w:w="408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AD429ED"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5,</w:t>
            </w:r>
            <w:r w:rsidRPr="00520861">
              <w:rPr>
                <w:rFonts w:eastAsia="Calibri"/>
                <w:sz w:val="28"/>
                <w:szCs w:val="28"/>
                <w:lang w:eastAsia="en-US"/>
              </w:rPr>
              <w:t xml:space="preserve">34 </w:t>
            </w:r>
            <w:r w:rsidRPr="00520861">
              <w:rPr>
                <w:rFonts w:eastAsia="Calibri"/>
                <w:sz w:val="28"/>
                <w:szCs w:val="28"/>
                <w:lang w:val="ru-RU" w:eastAsia="en-US"/>
              </w:rPr>
              <w:t>(5,</w:t>
            </w:r>
            <w:r w:rsidRPr="00520861">
              <w:rPr>
                <w:rFonts w:eastAsia="Calibri"/>
                <w:sz w:val="28"/>
                <w:szCs w:val="28"/>
                <w:lang w:eastAsia="en-US"/>
              </w:rPr>
              <w:t>89</w:t>
            </w:r>
            <w:r w:rsidRPr="00520861">
              <w:rPr>
                <w:rFonts w:eastAsia="Calibri"/>
                <w:sz w:val="28"/>
                <w:szCs w:val="28"/>
                <w:lang w:val="ru-RU" w:eastAsia="en-US"/>
              </w:rPr>
              <w:t>;5,05)</w:t>
            </w:r>
          </w:p>
        </w:tc>
        <w:tc>
          <w:tcPr>
            <w:tcW w:w="450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859663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24,12</w:t>
            </w:r>
            <w:r w:rsidRPr="00520861">
              <w:rPr>
                <w:rFonts w:eastAsia="Calibri"/>
                <w:sz w:val="28"/>
                <w:szCs w:val="28"/>
                <w:lang w:eastAsia="en-US"/>
              </w:rPr>
              <w:t xml:space="preserve"> </w:t>
            </w:r>
            <w:r w:rsidRPr="00520861">
              <w:rPr>
                <w:rFonts w:eastAsia="Calibri"/>
                <w:sz w:val="28"/>
                <w:szCs w:val="28"/>
                <w:lang w:val="ru-RU" w:eastAsia="en-US"/>
              </w:rPr>
              <w:t>(28,00;19,63)</w:t>
            </w:r>
          </w:p>
        </w:tc>
      </w:tr>
      <w:tr w:rsidR="00CF641C" w:rsidRPr="00520861" w14:paraId="6D97A03E" w14:textId="77777777" w:rsidTr="00292D2E">
        <w:trPr>
          <w:trHeight w:val="485"/>
          <w:jc w:val="center"/>
        </w:trPr>
        <w:tc>
          <w:tcPr>
            <w:tcW w:w="132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EF7DD8E" w14:textId="77777777" w:rsidR="00CF641C" w:rsidRPr="00520861" w:rsidRDefault="00CF641C" w:rsidP="00292D2E">
            <w:pPr>
              <w:widowControl w:val="0"/>
              <w:spacing w:line="360" w:lineRule="auto"/>
              <w:jc w:val="center"/>
              <w:rPr>
                <w:sz w:val="28"/>
                <w:szCs w:val="28"/>
                <w:lang w:val="ru-RU"/>
              </w:rPr>
            </w:pPr>
            <w:r w:rsidRPr="00520861">
              <w:rPr>
                <w:sz w:val="28"/>
                <w:szCs w:val="28"/>
              </w:rPr>
              <w:t>Група</w:t>
            </w:r>
            <w:r w:rsidRPr="00520861">
              <w:rPr>
                <w:sz w:val="28"/>
                <w:szCs w:val="28"/>
                <w:lang w:val="ru-RU"/>
              </w:rPr>
              <w:t xml:space="preserve"> 2</w:t>
            </w:r>
          </w:p>
        </w:tc>
        <w:tc>
          <w:tcPr>
            <w:tcW w:w="408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5FB6D9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ru-RU" w:eastAsia="en-US"/>
              </w:rPr>
              <w:t>8,45</w:t>
            </w:r>
            <w:r w:rsidRPr="00520861">
              <w:rPr>
                <w:sz w:val="28"/>
                <w:szCs w:val="28"/>
                <w:lang w:val="ru-RU"/>
              </w:rPr>
              <w:t>*</w:t>
            </w:r>
            <w:r w:rsidRPr="00520861">
              <w:rPr>
                <w:sz w:val="28"/>
                <w:szCs w:val="28"/>
              </w:rPr>
              <w:t xml:space="preserve"> </w:t>
            </w:r>
            <w:r w:rsidRPr="00520861">
              <w:rPr>
                <w:rFonts w:eastAsia="Calibri"/>
                <w:sz w:val="28"/>
                <w:szCs w:val="28"/>
                <w:lang w:val="ru-RU" w:eastAsia="en-US"/>
              </w:rPr>
              <w:t>(10,</w:t>
            </w:r>
            <w:r w:rsidRPr="00520861">
              <w:rPr>
                <w:rFonts w:eastAsia="Calibri"/>
                <w:sz w:val="28"/>
                <w:szCs w:val="28"/>
                <w:lang w:eastAsia="en-US"/>
              </w:rPr>
              <w:t>86</w:t>
            </w:r>
            <w:r w:rsidRPr="00520861">
              <w:rPr>
                <w:rFonts w:eastAsia="Calibri"/>
                <w:sz w:val="28"/>
                <w:szCs w:val="28"/>
                <w:lang w:val="ru-RU" w:eastAsia="en-US"/>
              </w:rPr>
              <w:t>;5,87)</w:t>
            </w:r>
            <w:r w:rsidRPr="00520861">
              <w:rPr>
                <w:rFonts w:eastAsia="Calibri"/>
                <w:sz w:val="28"/>
                <w:szCs w:val="28"/>
                <w:lang w:eastAsia="en-US"/>
              </w:rPr>
              <w:t>,</w:t>
            </w:r>
          </w:p>
          <w:p w14:paraId="49A763D6" w14:textId="77777777" w:rsidR="00CF641C" w:rsidRPr="00520861" w:rsidRDefault="00CF641C" w:rsidP="00292D2E">
            <w:pPr>
              <w:widowControl w:val="0"/>
              <w:spacing w:line="360" w:lineRule="auto"/>
              <w:jc w:val="center"/>
              <w:rPr>
                <w:sz w:val="28"/>
                <w:szCs w:val="28"/>
                <w:lang w:val="ru-RU"/>
              </w:rPr>
            </w:pPr>
            <w:r w:rsidRPr="00520861">
              <w:rPr>
                <w:i/>
                <w:sz w:val="28"/>
                <w:szCs w:val="28"/>
                <w:lang w:val="en-US"/>
              </w:rPr>
              <w:t>p</w:t>
            </w:r>
            <w:r w:rsidRPr="00520861">
              <w:rPr>
                <w:sz w:val="28"/>
                <w:szCs w:val="28"/>
                <w:lang w:val="ru-RU"/>
              </w:rPr>
              <w:t>=0</w:t>
            </w:r>
            <w:r w:rsidRPr="00520861">
              <w:rPr>
                <w:sz w:val="28"/>
                <w:szCs w:val="28"/>
              </w:rPr>
              <w:t>,</w:t>
            </w:r>
            <w:r w:rsidRPr="00520861">
              <w:rPr>
                <w:sz w:val="28"/>
                <w:szCs w:val="28"/>
                <w:lang w:val="ru-RU"/>
              </w:rPr>
              <w:t>04252</w:t>
            </w:r>
          </w:p>
        </w:tc>
        <w:tc>
          <w:tcPr>
            <w:tcW w:w="450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5ADF4DD" w14:textId="77777777" w:rsidR="00CF641C" w:rsidRPr="00520861" w:rsidRDefault="00CF641C" w:rsidP="00292D2E">
            <w:pPr>
              <w:widowControl w:val="0"/>
              <w:spacing w:line="360" w:lineRule="auto"/>
              <w:jc w:val="center"/>
              <w:rPr>
                <w:sz w:val="28"/>
                <w:szCs w:val="28"/>
                <w:lang w:val="ru-RU"/>
              </w:rPr>
            </w:pPr>
            <w:r w:rsidRPr="00520861">
              <w:rPr>
                <w:sz w:val="28"/>
                <w:szCs w:val="28"/>
                <w:lang w:val="ru-RU"/>
              </w:rPr>
              <w:t>20,13</w:t>
            </w:r>
            <w:r w:rsidRPr="00520861">
              <w:rPr>
                <w:sz w:val="28"/>
                <w:szCs w:val="28"/>
              </w:rPr>
              <w:t xml:space="preserve"> </w:t>
            </w:r>
            <w:r w:rsidRPr="00520861">
              <w:rPr>
                <w:rFonts w:eastAsia="Calibri"/>
                <w:sz w:val="28"/>
                <w:szCs w:val="28"/>
                <w:lang w:val="ru-RU" w:eastAsia="en-US"/>
              </w:rPr>
              <w:t>(30,45;17,22)</w:t>
            </w:r>
          </w:p>
        </w:tc>
      </w:tr>
      <w:tr w:rsidR="00CF641C" w:rsidRPr="00520861" w14:paraId="267DB770" w14:textId="77777777" w:rsidTr="00292D2E">
        <w:trPr>
          <w:jc w:val="center"/>
        </w:trPr>
        <w:tc>
          <w:tcPr>
            <w:tcW w:w="132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EB622E" w14:textId="77777777" w:rsidR="00CF641C" w:rsidRPr="00520861" w:rsidRDefault="00CF641C" w:rsidP="00292D2E">
            <w:pPr>
              <w:widowControl w:val="0"/>
              <w:spacing w:line="360" w:lineRule="auto"/>
              <w:jc w:val="center"/>
              <w:rPr>
                <w:sz w:val="28"/>
                <w:szCs w:val="28"/>
                <w:lang w:val="ru-RU"/>
              </w:rPr>
            </w:pPr>
            <w:r w:rsidRPr="00520861">
              <w:rPr>
                <w:sz w:val="28"/>
                <w:szCs w:val="28"/>
                <w:lang w:val="ru-RU"/>
              </w:rPr>
              <w:t>Г</w:t>
            </w:r>
            <w:proofErr w:type="spellStart"/>
            <w:r w:rsidRPr="00520861">
              <w:rPr>
                <w:sz w:val="28"/>
                <w:szCs w:val="28"/>
              </w:rPr>
              <w:t>рупа</w:t>
            </w:r>
            <w:proofErr w:type="spellEnd"/>
            <w:r w:rsidRPr="00520861">
              <w:rPr>
                <w:sz w:val="28"/>
                <w:szCs w:val="28"/>
                <w:lang w:val="ru-RU"/>
              </w:rPr>
              <w:t xml:space="preserve"> 3</w:t>
            </w:r>
          </w:p>
        </w:tc>
        <w:tc>
          <w:tcPr>
            <w:tcW w:w="408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D228210"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val="ru-RU" w:eastAsia="en-US"/>
              </w:rPr>
              <w:t>2,15</w:t>
            </w:r>
            <w:r w:rsidRPr="00520861">
              <w:rPr>
                <w:sz w:val="28"/>
                <w:szCs w:val="28"/>
                <w:lang w:val="ru-RU"/>
              </w:rPr>
              <w:t>*</w:t>
            </w:r>
            <w:r w:rsidRPr="00520861">
              <w:rPr>
                <w:sz w:val="28"/>
                <w:szCs w:val="28"/>
              </w:rPr>
              <w:t xml:space="preserve"> </w:t>
            </w:r>
            <w:r w:rsidRPr="00520861">
              <w:rPr>
                <w:rFonts w:eastAsia="Calibri"/>
                <w:sz w:val="28"/>
                <w:szCs w:val="28"/>
                <w:lang w:val="ru-RU" w:eastAsia="en-US"/>
              </w:rPr>
              <w:t>(3,13;2,05)</w:t>
            </w:r>
            <w:r w:rsidRPr="00520861">
              <w:rPr>
                <w:rFonts w:eastAsia="Calibri"/>
                <w:sz w:val="28"/>
                <w:szCs w:val="28"/>
                <w:lang w:eastAsia="en-US"/>
              </w:rPr>
              <w:t>,</w:t>
            </w:r>
            <w:r w:rsidRPr="00520861">
              <w:rPr>
                <w:sz w:val="28"/>
                <w:szCs w:val="28"/>
              </w:rPr>
              <w:t xml:space="preserve"> </w:t>
            </w:r>
          </w:p>
          <w:p w14:paraId="4FE46352" w14:textId="77777777" w:rsidR="00CF641C" w:rsidRPr="00520861" w:rsidRDefault="00CF641C" w:rsidP="00292D2E">
            <w:pPr>
              <w:widowControl w:val="0"/>
              <w:spacing w:line="360" w:lineRule="auto"/>
              <w:jc w:val="center"/>
              <w:rPr>
                <w:sz w:val="28"/>
                <w:szCs w:val="28"/>
                <w:lang w:val="ru-RU"/>
              </w:rPr>
            </w:pPr>
            <w:r w:rsidRPr="00520861">
              <w:rPr>
                <w:i/>
                <w:sz w:val="28"/>
                <w:szCs w:val="28"/>
                <w:lang w:val="en-US"/>
              </w:rPr>
              <w:t>p</w:t>
            </w:r>
            <w:r w:rsidRPr="00520861">
              <w:rPr>
                <w:sz w:val="28"/>
                <w:szCs w:val="28"/>
                <w:lang w:val="ru-RU"/>
              </w:rPr>
              <w:t>=0</w:t>
            </w:r>
            <w:r w:rsidRPr="00520861">
              <w:rPr>
                <w:sz w:val="28"/>
                <w:szCs w:val="28"/>
              </w:rPr>
              <w:t>,</w:t>
            </w:r>
            <w:r w:rsidRPr="00520861">
              <w:rPr>
                <w:sz w:val="28"/>
                <w:szCs w:val="28"/>
                <w:lang w:val="ru-RU"/>
              </w:rPr>
              <w:t>00049</w:t>
            </w:r>
          </w:p>
        </w:tc>
        <w:tc>
          <w:tcPr>
            <w:tcW w:w="450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7C333E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ru-RU" w:eastAsia="en-US"/>
              </w:rPr>
              <w:t>13,16</w:t>
            </w:r>
            <w:r w:rsidRPr="00520861">
              <w:rPr>
                <w:sz w:val="28"/>
                <w:szCs w:val="28"/>
                <w:lang w:val="ru-RU"/>
              </w:rPr>
              <w:t>*</w:t>
            </w:r>
            <w:r w:rsidRPr="00520861">
              <w:rPr>
                <w:sz w:val="28"/>
                <w:szCs w:val="28"/>
              </w:rPr>
              <w:t xml:space="preserve"> </w:t>
            </w:r>
            <w:r w:rsidRPr="00520861">
              <w:rPr>
                <w:rFonts w:eastAsia="Calibri"/>
                <w:sz w:val="28"/>
                <w:szCs w:val="28"/>
                <w:lang w:val="ru-RU" w:eastAsia="en-US"/>
              </w:rPr>
              <w:t>(15,73;10,79)</w:t>
            </w:r>
            <w:r w:rsidRPr="00520861">
              <w:rPr>
                <w:rFonts w:eastAsia="Calibri"/>
                <w:sz w:val="28"/>
                <w:szCs w:val="28"/>
                <w:lang w:eastAsia="en-US"/>
              </w:rPr>
              <w:t>,</w:t>
            </w:r>
          </w:p>
          <w:p w14:paraId="66AA1893" w14:textId="77777777" w:rsidR="00CF641C" w:rsidRPr="00520861" w:rsidRDefault="00CF641C" w:rsidP="00292D2E">
            <w:pPr>
              <w:widowControl w:val="0"/>
              <w:spacing w:line="360" w:lineRule="auto"/>
              <w:jc w:val="center"/>
              <w:rPr>
                <w:sz w:val="28"/>
                <w:szCs w:val="28"/>
                <w:lang w:val="ru-RU"/>
              </w:rPr>
            </w:pPr>
            <w:r w:rsidRPr="00520861">
              <w:rPr>
                <w:i/>
                <w:sz w:val="28"/>
                <w:szCs w:val="28"/>
                <w:lang w:val="en-US"/>
              </w:rPr>
              <w:t>p</w:t>
            </w:r>
            <w:r w:rsidRPr="00520861">
              <w:rPr>
                <w:sz w:val="28"/>
                <w:szCs w:val="28"/>
                <w:lang w:val="ru-RU"/>
              </w:rPr>
              <w:t>&lt;0</w:t>
            </w:r>
            <w:r w:rsidRPr="00520861">
              <w:rPr>
                <w:sz w:val="28"/>
                <w:szCs w:val="28"/>
              </w:rPr>
              <w:t>,</w:t>
            </w:r>
            <w:r w:rsidRPr="00520861">
              <w:rPr>
                <w:sz w:val="28"/>
                <w:szCs w:val="28"/>
                <w:lang w:val="ru-RU"/>
              </w:rPr>
              <w:t>00001</w:t>
            </w:r>
          </w:p>
        </w:tc>
      </w:tr>
      <w:tr w:rsidR="00CF641C" w:rsidRPr="00520861" w14:paraId="2FC04770" w14:textId="77777777" w:rsidTr="00292D2E">
        <w:trPr>
          <w:jc w:val="center"/>
        </w:trPr>
        <w:tc>
          <w:tcPr>
            <w:tcW w:w="132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FF31D14" w14:textId="77777777" w:rsidR="00CF641C" w:rsidRPr="00520861" w:rsidRDefault="00CF641C" w:rsidP="00292D2E">
            <w:pPr>
              <w:widowControl w:val="0"/>
              <w:spacing w:line="360" w:lineRule="auto"/>
              <w:jc w:val="center"/>
              <w:rPr>
                <w:sz w:val="28"/>
                <w:szCs w:val="28"/>
                <w:lang w:val="ru-RU"/>
              </w:rPr>
            </w:pPr>
            <w:r w:rsidRPr="00520861">
              <w:rPr>
                <w:sz w:val="28"/>
                <w:szCs w:val="28"/>
              </w:rPr>
              <w:t>Група</w:t>
            </w:r>
            <w:r w:rsidRPr="00520861">
              <w:rPr>
                <w:sz w:val="28"/>
                <w:szCs w:val="28"/>
                <w:lang w:val="ru-RU"/>
              </w:rPr>
              <w:t xml:space="preserve"> 4</w:t>
            </w:r>
          </w:p>
        </w:tc>
        <w:tc>
          <w:tcPr>
            <w:tcW w:w="408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CAF567D"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val="ru-RU" w:eastAsia="en-US"/>
              </w:rPr>
              <w:t>2,74</w:t>
            </w:r>
            <w:r w:rsidRPr="00520861">
              <w:rPr>
                <w:sz w:val="28"/>
                <w:szCs w:val="28"/>
                <w:lang w:val="ru-RU"/>
              </w:rPr>
              <w:t>*</w:t>
            </w:r>
            <w:r w:rsidRPr="00520861">
              <w:rPr>
                <w:sz w:val="28"/>
                <w:szCs w:val="28"/>
              </w:rPr>
              <w:t xml:space="preserve"> </w:t>
            </w:r>
            <w:r w:rsidRPr="00520861">
              <w:rPr>
                <w:rFonts w:eastAsia="Calibri"/>
                <w:sz w:val="28"/>
                <w:szCs w:val="28"/>
                <w:lang w:val="ru-RU" w:eastAsia="en-US"/>
              </w:rPr>
              <w:t>(3,</w:t>
            </w:r>
            <w:r w:rsidRPr="00520861">
              <w:rPr>
                <w:rFonts w:eastAsia="Calibri"/>
                <w:sz w:val="28"/>
                <w:szCs w:val="28"/>
                <w:lang w:eastAsia="en-US"/>
              </w:rPr>
              <w:t>34</w:t>
            </w:r>
            <w:r w:rsidRPr="00520861">
              <w:rPr>
                <w:rFonts w:eastAsia="Calibri"/>
                <w:sz w:val="28"/>
                <w:szCs w:val="28"/>
                <w:lang w:val="ru-RU" w:eastAsia="en-US"/>
              </w:rPr>
              <w:t>;2,29)</w:t>
            </w:r>
            <w:r w:rsidRPr="00520861">
              <w:rPr>
                <w:rFonts w:eastAsia="Calibri"/>
                <w:sz w:val="28"/>
                <w:szCs w:val="28"/>
                <w:lang w:eastAsia="en-US"/>
              </w:rPr>
              <w:t>,</w:t>
            </w:r>
            <w:r w:rsidRPr="00520861">
              <w:rPr>
                <w:sz w:val="28"/>
                <w:szCs w:val="28"/>
              </w:rPr>
              <w:t xml:space="preserve"> </w:t>
            </w:r>
          </w:p>
          <w:p w14:paraId="1D95EB87" w14:textId="77777777" w:rsidR="00CF641C" w:rsidRPr="00520861" w:rsidRDefault="00CF641C" w:rsidP="00292D2E">
            <w:pPr>
              <w:widowControl w:val="0"/>
              <w:spacing w:line="360" w:lineRule="auto"/>
              <w:jc w:val="center"/>
              <w:rPr>
                <w:sz w:val="28"/>
                <w:szCs w:val="28"/>
                <w:lang w:val="ru-RU"/>
              </w:rPr>
            </w:pPr>
            <w:r w:rsidRPr="00520861">
              <w:rPr>
                <w:i/>
                <w:sz w:val="28"/>
                <w:szCs w:val="28"/>
                <w:lang w:val="en-US"/>
              </w:rPr>
              <w:t>p</w:t>
            </w:r>
            <w:r w:rsidRPr="00520861">
              <w:rPr>
                <w:sz w:val="28"/>
                <w:szCs w:val="28"/>
                <w:lang w:val="ru-RU"/>
              </w:rPr>
              <w:t>=0</w:t>
            </w:r>
            <w:r w:rsidRPr="00520861">
              <w:rPr>
                <w:sz w:val="28"/>
                <w:szCs w:val="28"/>
              </w:rPr>
              <w:t>,</w:t>
            </w:r>
            <w:r w:rsidRPr="00520861">
              <w:rPr>
                <w:sz w:val="28"/>
                <w:szCs w:val="28"/>
                <w:lang w:val="ru-RU"/>
              </w:rPr>
              <w:t>00049</w:t>
            </w:r>
          </w:p>
        </w:tc>
        <w:tc>
          <w:tcPr>
            <w:tcW w:w="450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B796619"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val="ru-RU" w:eastAsia="en-US"/>
              </w:rPr>
              <w:t>17,00</w:t>
            </w:r>
            <w:r w:rsidRPr="00520861">
              <w:rPr>
                <w:sz w:val="28"/>
                <w:szCs w:val="28"/>
                <w:lang w:val="ru-RU"/>
              </w:rPr>
              <w:t>*</w:t>
            </w:r>
            <w:r w:rsidRPr="00520861">
              <w:rPr>
                <w:sz w:val="28"/>
                <w:szCs w:val="28"/>
              </w:rPr>
              <w:t xml:space="preserve"> </w:t>
            </w:r>
            <w:r w:rsidRPr="00520861">
              <w:rPr>
                <w:rFonts w:eastAsia="Calibri"/>
                <w:sz w:val="28"/>
                <w:szCs w:val="28"/>
                <w:lang w:val="ru-RU" w:eastAsia="en-US"/>
              </w:rPr>
              <w:t>(19,44;13,31)</w:t>
            </w:r>
            <w:r w:rsidRPr="00520861">
              <w:rPr>
                <w:rFonts w:eastAsia="Calibri"/>
                <w:sz w:val="28"/>
                <w:szCs w:val="28"/>
                <w:lang w:eastAsia="en-US"/>
              </w:rPr>
              <w:t>,</w:t>
            </w:r>
            <w:r w:rsidRPr="00520861">
              <w:rPr>
                <w:sz w:val="28"/>
                <w:szCs w:val="28"/>
              </w:rPr>
              <w:t xml:space="preserve"> </w:t>
            </w:r>
          </w:p>
          <w:p w14:paraId="1B4E8E92" w14:textId="77777777" w:rsidR="00CF641C" w:rsidRPr="00520861" w:rsidRDefault="00CF641C" w:rsidP="00292D2E">
            <w:pPr>
              <w:widowControl w:val="0"/>
              <w:spacing w:line="360" w:lineRule="auto"/>
              <w:jc w:val="center"/>
              <w:rPr>
                <w:sz w:val="28"/>
                <w:szCs w:val="28"/>
                <w:lang w:val="ru-RU"/>
              </w:rPr>
            </w:pPr>
            <w:r w:rsidRPr="00520861">
              <w:rPr>
                <w:i/>
                <w:sz w:val="28"/>
                <w:szCs w:val="28"/>
                <w:lang w:val="en-US"/>
              </w:rPr>
              <w:t>p</w:t>
            </w:r>
            <w:r w:rsidRPr="00520861">
              <w:rPr>
                <w:sz w:val="28"/>
                <w:szCs w:val="28"/>
                <w:lang w:val="ru-RU"/>
              </w:rPr>
              <w:t>=0</w:t>
            </w:r>
            <w:r w:rsidRPr="00520861">
              <w:rPr>
                <w:sz w:val="28"/>
                <w:szCs w:val="28"/>
              </w:rPr>
              <w:t>,</w:t>
            </w:r>
            <w:r w:rsidRPr="00520861">
              <w:rPr>
                <w:sz w:val="28"/>
                <w:szCs w:val="28"/>
                <w:lang w:val="ru-RU"/>
              </w:rPr>
              <w:t>00001</w:t>
            </w:r>
          </w:p>
        </w:tc>
      </w:tr>
    </w:tbl>
    <w:p w14:paraId="7E8169B4" w14:textId="77777777" w:rsidR="00CF641C" w:rsidRPr="00520861" w:rsidRDefault="00CF641C" w:rsidP="00292D2E">
      <w:pPr>
        <w:widowControl w:val="0"/>
        <w:spacing w:line="360" w:lineRule="auto"/>
        <w:ind w:right="225" w:firstLine="708"/>
        <w:jc w:val="both"/>
        <w:rPr>
          <w:rFonts w:eastAsia="Calibri"/>
          <w:sz w:val="28"/>
          <w:szCs w:val="28"/>
          <w:lang w:eastAsia="en-US"/>
        </w:rPr>
      </w:pPr>
      <w:r w:rsidRPr="00520861">
        <w:rPr>
          <w:rFonts w:eastAsia="Calibri"/>
          <w:sz w:val="28"/>
          <w:szCs w:val="28"/>
          <w:lang w:eastAsia="en-US"/>
        </w:rPr>
        <w:t>Примітка:</w:t>
      </w:r>
      <w:r w:rsidRPr="00520861">
        <w:rPr>
          <w:rFonts w:eastAsia="Calibri"/>
          <w:b/>
          <w:i/>
          <w:sz w:val="28"/>
          <w:szCs w:val="28"/>
          <w:lang w:eastAsia="en-US"/>
        </w:rPr>
        <w:t xml:space="preserve"> </w:t>
      </w:r>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відмінність від групи контролю вірогідна з ймовірністю </w:t>
      </w:r>
      <w:r w:rsidRPr="00520861">
        <w:rPr>
          <w:rFonts w:eastAsia="Calibri"/>
          <w:sz w:val="28"/>
          <w:szCs w:val="28"/>
          <w:lang w:eastAsia="en-US"/>
        </w:rPr>
        <w:br/>
        <w:t xml:space="preserve">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45C10C4F" w14:textId="77777777" w:rsidR="00CF641C" w:rsidRPr="00520861" w:rsidRDefault="00CF641C" w:rsidP="00292D2E">
      <w:pPr>
        <w:widowControl w:val="0"/>
        <w:spacing w:line="360" w:lineRule="auto"/>
        <w:ind w:firstLine="709"/>
        <w:jc w:val="center"/>
        <w:rPr>
          <w:rFonts w:eastAsia="Calibri"/>
          <w:color w:val="000000"/>
          <w:sz w:val="28"/>
          <w:szCs w:val="28"/>
          <w:shd w:val="clear" w:color="auto" w:fill="FFFFFF"/>
          <w:lang w:eastAsia="en-US"/>
        </w:rPr>
      </w:pPr>
    </w:p>
    <w:p w14:paraId="1A021E86" w14:textId="77777777" w:rsidR="00CF641C" w:rsidRPr="00520861" w:rsidRDefault="00CF641C" w:rsidP="00292D2E">
      <w:pPr>
        <w:widowControl w:val="0"/>
        <w:spacing w:line="360" w:lineRule="auto"/>
        <w:jc w:val="center"/>
        <w:rPr>
          <w:rFonts w:eastAsia="Calibri"/>
          <w:color w:val="000000"/>
          <w:sz w:val="28"/>
          <w:szCs w:val="28"/>
          <w:shd w:val="clear" w:color="auto" w:fill="FFFFFF"/>
          <w:lang w:eastAsia="en-US"/>
        </w:rPr>
      </w:pPr>
      <w:r w:rsidRPr="00520861">
        <w:rPr>
          <w:rFonts w:eastAsia="Calibri"/>
          <w:noProof/>
          <w:color w:val="000000"/>
          <w:sz w:val="28"/>
          <w:szCs w:val="28"/>
          <w:shd w:val="clear" w:color="auto" w:fill="FFFFFF"/>
          <w:lang w:val="ru-RU"/>
        </w:rPr>
        <w:drawing>
          <wp:inline distT="0" distB="0" distL="0" distR="0" wp14:anchorId="789AA9EF" wp14:editId="607631E7">
            <wp:extent cx="6411600" cy="2538000"/>
            <wp:effectExtent l="0" t="0" r="0" b="0"/>
            <wp:docPr id="22" name="Рисунок 22" descr="D:\тер стом\научн работа 1\дд друк\ на защиту\Маша\Рис\Рис3.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D:\тер стом\научн работа 1\дд друк\ на защиту\Маша\Рис\Рис3.2.jpg"/>
                    <pic:cNvPicPr preferRelativeResize="0">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5E59BCC4" w14:textId="77777777" w:rsidR="00CF641C" w:rsidRPr="00520861" w:rsidRDefault="00CF641C" w:rsidP="00292D2E">
      <w:pPr>
        <w:widowControl w:val="0"/>
        <w:shd w:val="clear" w:color="auto" w:fill="FFFFFF"/>
        <w:spacing w:line="360" w:lineRule="auto"/>
        <w:ind w:firstLine="709"/>
        <w:jc w:val="center"/>
        <w:rPr>
          <w:rFonts w:eastAsia="Calibri"/>
          <w:sz w:val="28"/>
          <w:szCs w:val="28"/>
          <w:lang w:eastAsia="en-US"/>
        </w:rPr>
      </w:pPr>
      <w:r w:rsidRPr="00520861">
        <w:rPr>
          <w:rFonts w:eastAsia="Calibri"/>
          <w:sz w:val="28"/>
          <w:szCs w:val="28"/>
          <w:lang w:eastAsia="en-US"/>
        </w:rPr>
        <w:t>Рис. 3.2.</w:t>
      </w:r>
      <w:r w:rsidRPr="00520861">
        <w:rPr>
          <w:rFonts w:eastAsia="Calibri"/>
          <w:b/>
          <w:sz w:val="28"/>
          <w:szCs w:val="28"/>
          <w:lang w:eastAsia="en-US"/>
        </w:rPr>
        <w:t xml:space="preserve"> </w:t>
      </w:r>
      <w:r w:rsidRPr="00520861">
        <w:rPr>
          <w:rFonts w:eastAsia="Calibri"/>
          <w:sz w:val="28"/>
          <w:szCs w:val="28"/>
          <w:lang w:eastAsia="en-US"/>
        </w:rPr>
        <w:t xml:space="preserve">Фрагмент </w:t>
      </w:r>
      <w:proofErr w:type="spellStart"/>
      <w:r w:rsidRPr="00520861">
        <w:rPr>
          <w:rFonts w:eastAsia="Calibri"/>
          <w:sz w:val="28"/>
          <w:szCs w:val="28"/>
          <w:lang w:eastAsia="en-US"/>
        </w:rPr>
        <w:t>одонтобластичного</w:t>
      </w:r>
      <w:proofErr w:type="spellEnd"/>
      <w:r w:rsidRPr="00520861">
        <w:rPr>
          <w:rFonts w:eastAsia="Calibri"/>
          <w:sz w:val="28"/>
          <w:szCs w:val="28"/>
          <w:lang w:eastAsia="en-US"/>
        </w:rPr>
        <w:t xml:space="preserve"> шару пульпи зубного сосочка </w:t>
      </w:r>
      <w:r w:rsidRPr="00520861">
        <w:rPr>
          <w:rFonts w:eastAsia="Calibri"/>
          <w:sz w:val="28"/>
          <w:szCs w:val="28"/>
          <w:lang w:eastAsia="en-US"/>
        </w:rPr>
        <w:br/>
        <w:t xml:space="preserve">новонароджених щурів: </w:t>
      </w:r>
      <w:r w:rsidRPr="00520861">
        <w:rPr>
          <w:rFonts w:eastAsia="Calibri"/>
          <w:i/>
          <w:sz w:val="28"/>
          <w:szCs w:val="28"/>
          <w:lang w:eastAsia="en-US"/>
        </w:rPr>
        <w:t>а</w:t>
      </w:r>
      <w:r w:rsidRPr="00520861">
        <w:rPr>
          <w:rFonts w:eastAsia="Calibri"/>
          <w:sz w:val="28"/>
          <w:szCs w:val="28"/>
          <w:lang w:eastAsia="en-US"/>
        </w:rPr>
        <w:t xml:space="preserve">) – групи контролю (спостерігаються тіла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грушоподібної форми, орієнтовані до периферії (∆)); </w:t>
      </w:r>
    </w:p>
    <w:p w14:paraId="33AB8CFC" w14:textId="77777777" w:rsidR="00CF641C" w:rsidRPr="00520861" w:rsidRDefault="00CF641C" w:rsidP="00292D2E">
      <w:pPr>
        <w:widowControl w:val="0"/>
        <w:shd w:val="clear" w:color="auto" w:fill="FFFFFF"/>
        <w:spacing w:line="360" w:lineRule="auto"/>
        <w:ind w:firstLine="709"/>
        <w:jc w:val="center"/>
        <w:rPr>
          <w:sz w:val="28"/>
          <w:szCs w:val="28"/>
        </w:rPr>
      </w:pPr>
      <w:r w:rsidRPr="00520861">
        <w:rPr>
          <w:bCs/>
          <w:i/>
          <w:color w:val="000000"/>
          <w:sz w:val="28"/>
          <w:szCs w:val="28"/>
          <w:shd w:val="clear" w:color="auto" w:fill="FFFFFF"/>
          <w:lang w:eastAsia="en-US"/>
        </w:rPr>
        <w:t>б</w:t>
      </w:r>
      <w:r w:rsidRPr="00520861">
        <w:rPr>
          <w:bCs/>
          <w:color w:val="000000"/>
          <w:sz w:val="28"/>
          <w:szCs w:val="28"/>
          <w:shd w:val="clear" w:color="auto" w:fill="FFFFFF"/>
          <w:lang w:eastAsia="en-US"/>
        </w:rPr>
        <w:t>)</w:t>
      </w:r>
      <w:r w:rsidRPr="00520861">
        <w:rPr>
          <w:b/>
          <w:bCs/>
          <w:color w:val="000000"/>
          <w:sz w:val="28"/>
          <w:szCs w:val="28"/>
          <w:shd w:val="clear" w:color="auto" w:fill="FFFFFF"/>
          <w:lang w:eastAsia="en-US"/>
        </w:rPr>
        <w:t xml:space="preserve"> – </w:t>
      </w:r>
      <w:r w:rsidRPr="00520861">
        <w:rPr>
          <w:rFonts w:eastAsia="Calibri"/>
          <w:sz w:val="28"/>
          <w:szCs w:val="28"/>
          <w:lang w:eastAsia="en-US"/>
        </w:rPr>
        <w:t xml:space="preserve">групи 1 (спостерігаються тіла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видовженої форми, орієнтовані до дентину. Порівняно з контролем, кількість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суттєво зменшена (∆)). </w:t>
      </w:r>
      <w:r w:rsidRPr="00520861">
        <w:rPr>
          <w:sz w:val="28"/>
          <w:szCs w:val="28"/>
          <w:lang w:eastAsia="en-US"/>
        </w:rPr>
        <w:t xml:space="preserve">Забарвлення гематоксиліном та еозином. Збільшення </w:t>
      </w:r>
      <w:r w:rsidRPr="00520861">
        <w:rPr>
          <w:rFonts w:eastAsia="Calibri"/>
          <w:sz w:val="28"/>
          <w:szCs w:val="28"/>
          <w:lang w:eastAsia="en-US"/>
        </w:rPr>
        <w:sym w:font="Symbol" w:char="F0B4"/>
      </w:r>
      <w:r w:rsidRPr="00520861">
        <w:rPr>
          <w:sz w:val="28"/>
          <w:szCs w:val="28"/>
          <w:lang w:eastAsia="en-US"/>
        </w:rPr>
        <w:t>400.</w:t>
      </w:r>
    </w:p>
    <w:p w14:paraId="574C7AF5"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Медіанні значення площі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(табл. 3.1) є дещо меншими, ніж у контрольних тварин, але вірогідно не відрізняються.</w:t>
      </w:r>
    </w:p>
    <w:p w14:paraId="2C15F9EC" w14:textId="77777777" w:rsidR="00CF641C" w:rsidRPr="00520861" w:rsidRDefault="00CF641C" w:rsidP="00292D2E">
      <w:pPr>
        <w:widowControl w:val="0"/>
        <w:spacing w:line="360" w:lineRule="auto"/>
        <w:ind w:firstLine="708"/>
        <w:jc w:val="both"/>
        <w:rPr>
          <w:rFonts w:eastAsia="Calibri"/>
          <w:color w:val="000000"/>
          <w:spacing w:val="-4"/>
          <w:sz w:val="28"/>
          <w:szCs w:val="28"/>
          <w:shd w:val="clear" w:color="auto" w:fill="FFFFFF"/>
          <w:lang w:eastAsia="en-US"/>
        </w:rPr>
      </w:pPr>
      <w:r w:rsidRPr="00520861">
        <w:rPr>
          <w:rFonts w:eastAsia="Calibri"/>
          <w:color w:val="000000"/>
          <w:sz w:val="28"/>
          <w:szCs w:val="28"/>
          <w:shd w:val="clear" w:color="auto" w:fill="FFFFFF"/>
          <w:lang w:eastAsia="en-US"/>
        </w:rPr>
        <w:t xml:space="preserve">При дослідженні слизової оболонки щурів групи 2 виявлено, що судинна мережа МЦР густіша, ніж у групі контролю </w:t>
      </w:r>
      <w:r w:rsidRPr="00520861">
        <w:rPr>
          <w:rFonts w:eastAsia="Calibri"/>
          <w:color w:val="000000"/>
          <w:sz w:val="28"/>
          <w:szCs w:val="28"/>
          <w:shd w:val="clear" w:color="auto" w:fill="FFFFFF"/>
          <w:lang w:val="ru-RU" w:eastAsia="en-US"/>
        </w:rPr>
        <w:t>[45]</w:t>
      </w:r>
      <w:r w:rsidRPr="00520861">
        <w:rPr>
          <w:rFonts w:eastAsia="Calibri"/>
          <w:color w:val="000000"/>
          <w:sz w:val="28"/>
          <w:szCs w:val="28"/>
          <w:shd w:val="clear" w:color="auto" w:fill="FFFFFF"/>
          <w:lang w:eastAsia="en-US"/>
        </w:rPr>
        <w:t>. Шари емалі і дентину, які формуються, досить товсті (рис. 3</w:t>
      </w:r>
      <w:r w:rsidRPr="00520861">
        <w:rPr>
          <w:rFonts w:eastAsia="Calibri"/>
          <w:color w:val="000000"/>
          <w:sz w:val="28"/>
          <w:szCs w:val="28"/>
          <w:shd w:val="clear" w:color="auto" w:fill="FFFFFF"/>
          <w:lang w:val="ru-RU" w:eastAsia="en-US"/>
        </w:rPr>
        <w:t>.3</w:t>
      </w:r>
      <w:r w:rsidRPr="00520861">
        <w:rPr>
          <w:rFonts w:eastAsia="Calibri"/>
          <w:i/>
          <w:color w:val="000000"/>
          <w:sz w:val="28"/>
          <w:szCs w:val="28"/>
          <w:shd w:val="clear" w:color="auto" w:fill="FFFFFF"/>
          <w:lang w:eastAsia="en-US"/>
        </w:rPr>
        <w:t>а</w:t>
      </w:r>
      <w:r w:rsidRPr="00520861">
        <w:rPr>
          <w:rFonts w:eastAsia="Calibri"/>
          <w:color w:val="000000"/>
          <w:sz w:val="28"/>
          <w:szCs w:val="28"/>
          <w:shd w:val="clear" w:color="auto" w:fill="FFFFFF"/>
          <w:lang w:eastAsia="en-US"/>
        </w:rPr>
        <w:t xml:space="preserve">). Медіанне значення товщини зазначеного емалевого шару, визначене на молярах новонароджених тварин, є вірогідно вищим за таке у групі </w:t>
      </w:r>
      <w:r w:rsidRPr="00520861">
        <w:rPr>
          <w:rFonts w:eastAsia="Calibri"/>
          <w:color w:val="000000"/>
          <w:sz w:val="28"/>
          <w:szCs w:val="28"/>
          <w:shd w:val="clear" w:color="auto" w:fill="FFFFFF"/>
          <w:lang w:eastAsia="en-US"/>
        </w:rPr>
        <w:br/>
        <w:t>контролю, а також у інших основних групах (табл. 3.1). Добре забарвлена емаль має нерівну поверхню, місцями є гіпоплазія</w:t>
      </w:r>
      <w:r w:rsidRPr="00520861">
        <w:rPr>
          <w:rFonts w:eastAsia="Calibri"/>
          <w:sz w:val="28"/>
          <w:szCs w:val="28"/>
          <w:lang w:eastAsia="en-US"/>
        </w:rPr>
        <w:t xml:space="preserve"> або навіть аплазія емалі. </w:t>
      </w:r>
      <w:r w:rsidRPr="00520861">
        <w:rPr>
          <w:rFonts w:eastAsia="Calibri"/>
          <w:spacing w:val="-4"/>
          <w:sz w:val="28"/>
          <w:szCs w:val="28"/>
          <w:lang w:eastAsia="en-US"/>
        </w:rPr>
        <w:t xml:space="preserve">Шар дентину </w:t>
      </w:r>
      <w:r w:rsidRPr="00520861">
        <w:rPr>
          <w:rFonts w:eastAsia="Calibri"/>
          <w:color w:val="000000"/>
          <w:spacing w:val="-4"/>
          <w:sz w:val="28"/>
          <w:szCs w:val="28"/>
          <w:shd w:val="clear" w:color="auto" w:fill="FFFFFF"/>
          <w:lang w:eastAsia="en-US"/>
        </w:rPr>
        <w:t xml:space="preserve">нерівно забарвлений, також із заглибленнями, що свідчить про його нерівномірне </w:t>
      </w:r>
      <w:proofErr w:type="spellStart"/>
      <w:r w:rsidRPr="00520861">
        <w:rPr>
          <w:rFonts w:eastAsia="Calibri"/>
          <w:color w:val="000000"/>
          <w:spacing w:val="-4"/>
          <w:sz w:val="28"/>
          <w:szCs w:val="28"/>
          <w:shd w:val="clear" w:color="auto" w:fill="FFFFFF"/>
          <w:lang w:eastAsia="en-US"/>
        </w:rPr>
        <w:t>звапнення</w:t>
      </w:r>
      <w:proofErr w:type="spellEnd"/>
      <w:r w:rsidRPr="00520861">
        <w:rPr>
          <w:rFonts w:eastAsia="Calibri"/>
          <w:color w:val="000000"/>
          <w:spacing w:val="-4"/>
          <w:sz w:val="28"/>
          <w:szCs w:val="28"/>
          <w:shd w:val="clear" w:color="auto" w:fill="FFFFFF"/>
          <w:lang w:eastAsia="en-US"/>
        </w:rPr>
        <w:t xml:space="preserve">. </w:t>
      </w:r>
    </w:p>
    <w:p w14:paraId="6221A24E"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деяких препаратах у периферійній зоні пульпи зубного сосочка виявляються ділянки без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(несформовані або </w:t>
      </w:r>
      <w:proofErr w:type="spellStart"/>
      <w:r w:rsidRPr="00520861">
        <w:rPr>
          <w:rFonts w:eastAsia="Calibri"/>
          <w:sz w:val="28"/>
          <w:szCs w:val="28"/>
          <w:lang w:eastAsia="en-US"/>
        </w:rPr>
        <w:t>деструктуровані</w:t>
      </w:r>
      <w:proofErr w:type="spellEnd"/>
      <w:r w:rsidRPr="00520861">
        <w:rPr>
          <w:rFonts w:eastAsia="Calibri"/>
          <w:sz w:val="28"/>
          <w:szCs w:val="28"/>
          <w:lang w:eastAsia="en-US"/>
        </w:rPr>
        <w:t xml:space="preserve">). Тіла збережених </w:t>
      </w:r>
      <w:r w:rsidRPr="00520861">
        <w:rPr>
          <w:rFonts w:eastAsia="Calibri"/>
          <w:sz w:val="28"/>
          <w:szCs w:val="28"/>
          <w:lang w:eastAsia="en-US"/>
        </w:rPr>
        <w:br/>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мають різну форму, більшість має </w:t>
      </w:r>
      <w:proofErr w:type="spellStart"/>
      <w:r w:rsidRPr="00520861">
        <w:rPr>
          <w:rFonts w:eastAsia="Calibri"/>
          <w:sz w:val="28"/>
          <w:szCs w:val="28"/>
          <w:lang w:eastAsia="en-US"/>
        </w:rPr>
        <w:t>овально</w:t>
      </w:r>
      <w:proofErr w:type="spellEnd"/>
      <w:r w:rsidRPr="00520861">
        <w:rPr>
          <w:rFonts w:eastAsia="Calibri"/>
          <w:sz w:val="28"/>
          <w:szCs w:val="28"/>
          <w:lang w:eastAsia="en-US"/>
        </w:rPr>
        <w:t xml:space="preserve">-опуклу форму, вони не орієнтовані до дентину, що свідчить про їхню незрілість у порівнянні з групою контролю. Площа тіл окремих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(табл. 3.1) дуже різна, проте вірогідно від групи контролю не відрізняється. </w:t>
      </w:r>
    </w:p>
    <w:p w14:paraId="3F5C86CB"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Найбільш суттєві відмінності від контролю виявлено при мікроскопії препаратів груп 3 та 4 [45]. У слизовій оболонці щурів групи 3</w:t>
      </w:r>
      <w:r w:rsidRPr="00520861">
        <w:rPr>
          <w:rFonts w:eastAsia="Calibri"/>
          <w:b/>
          <w:sz w:val="28"/>
          <w:szCs w:val="28"/>
          <w:lang w:eastAsia="en-US"/>
        </w:rPr>
        <w:t xml:space="preserve">, </w:t>
      </w:r>
      <w:r w:rsidRPr="00520861">
        <w:rPr>
          <w:rFonts w:eastAsia="Calibri"/>
          <w:sz w:val="28"/>
          <w:szCs w:val="28"/>
          <w:lang w:eastAsia="en-US"/>
        </w:rPr>
        <w:t xml:space="preserve">порівняно з контрольними тваринами, спостерігається помітне зменшення кількості </w:t>
      </w:r>
      <w:proofErr w:type="spellStart"/>
      <w:r w:rsidRPr="00520861">
        <w:rPr>
          <w:rFonts w:eastAsia="Calibri"/>
          <w:sz w:val="28"/>
          <w:szCs w:val="28"/>
          <w:lang w:eastAsia="en-US"/>
        </w:rPr>
        <w:t>мікросудин</w:t>
      </w:r>
      <w:proofErr w:type="spellEnd"/>
      <w:r w:rsidRPr="00520861">
        <w:rPr>
          <w:rFonts w:eastAsia="Calibri"/>
          <w:sz w:val="28"/>
          <w:szCs w:val="28"/>
          <w:lang w:eastAsia="en-US"/>
        </w:rPr>
        <w:t xml:space="preserve">. У власній пластинці слизової оболонки спостерігається зменшена кількість фібробластів. </w:t>
      </w:r>
    </w:p>
    <w:p w14:paraId="5BABE845"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Шар емалі, що формується, у тварин цієї групи є вірогідно меншим, ніж у </w:t>
      </w:r>
      <w:r w:rsidRPr="00520861">
        <w:rPr>
          <w:rFonts w:eastAsia="Calibri"/>
          <w:sz w:val="28"/>
          <w:szCs w:val="28"/>
          <w:lang w:eastAsia="en-US"/>
        </w:rPr>
        <w:br/>
        <w:t xml:space="preserve">контрольних тварин (табл. 3.1). Забарвлення </w:t>
      </w:r>
      <w:r w:rsidRPr="00520861">
        <w:rPr>
          <w:sz w:val="28"/>
          <w:szCs w:val="28"/>
          <w:lang w:eastAsia="en-US"/>
        </w:rPr>
        <w:t>гематоксиліном та еозином</w:t>
      </w:r>
      <w:r w:rsidRPr="00520861">
        <w:rPr>
          <w:rFonts w:eastAsia="Calibri"/>
          <w:sz w:val="28"/>
          <w:szCs w:val="28"/>
          <w:lang w:eastAsia="en-US"/>
        </w:rPr>
        <w:t xml:space="preserve"> дентину, який формується, неоднорідне (рис. 3.3</w:t>
      </w:r>
      <w:r w:rsidRPr="00520861">
        <w:rPr>
          <w:rFonts w:eastAsia="Calibri"/>
          <w:i/>
          <w:sz w:val="28"/>
          <w:szCs w:val="28"/>
          <w:lang w:eastAsia="en-US"/>
        </w:rPr>
        <w:t>б</w:t>
      </w:r>
      <w:r w:rsidRPr="00520861">
        <w:rPr>
          <w:rFonts w:eastAsia="Calibri"/>
          <w:sz w:val="28"/>
          <w:szCs w:val="28"/>
          <w:lang w:eastAsia="en-US"/>
        </w:rPr>
        <w:t xml:space="preserve">). </w:t>
      </w:r>
    </w:p>
    <w:p w14:paraId="6CFA86B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Пульпа зубного сосочка – зі зменшеною кількістю </w:t>
      </w:r>
      <w:proofErr w:type="spellStart"/>
      <w:r w:rsidRPr="00520861">
        <w:rPr>
          <w:rFonts w:eastAsia="Calibri"/>
          <w:sz w:val="28"/>
          <w:szCs w:val="28"/>
          <w:lang w:eastAsia="en-US"/>
        </w:rPr>
        <w:t>пульпоцитів</w:t>
      </w:r>
      <w:proofErr w:type="spellEnd"/>
      <w:r w:rsidRPr="00520861">
        <w:rPr>
          <w:rFonts w:eastAsia="Calibri"/>
          <w:sz w:val="28"/>
          <w:szCs w:val="28"/>
          <w:lang w:eastAsia="en-US"/>
        </w:rPr>
        <w:t xml:space="preserve"> 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деяких тварин у пульпі зубного сосочка спостерігається повнокров'я. </w:t>
      </w:r>
      <w:proofErr w:type="spellStart"/>
      <w:r w:rsidRPr="00520861">
        <w:rPr>
          <w:rFonts w:eastAsia="Calibri"/>
          <w:sz w:val="28"/>
          <w:szCs w:val="28"/>
          <w:lang w:eastAsia="en-US"/>
        </w:rPr>
        <w:t>Одонтобласти</w:t>
      </w:r>
      <w:proofErr w:type="spellEnd"/>
      <w:r w:rsidRPr="00520861">
        <w:rPr>
          <w:rFonts w:eastAsia="Calibri"/>
          <w:sz w:val="28"/>
          <w:szCs w:val="28"/>
          <w:lang w:eastAsia="en-US"/>
        </w:rPr>
        <w:t xml:space="preserve"> також мають ознаки незрілості (рис. 3</w:t>
      </w:r>
      <w:r w:rsidRPr="00520861">
        <w:rPr>
          <w:rFonts w:eastAsia="Calibri"/>
          <w:sz w:val="28"/>
          <w:szCs w:val="28"/>
          <w:lang w:val="ru-RU" w:eastAsia="en-US"/>
        </w:rPr>
        <w:t>.4</w:t>
      </w:r>
      <w:r w:rsidRPr="00520861">
        <w:rPr>
          <w:rFonts w:eastAsia="Calibri"/>
          <w:i/>
          <w:sz w:val="28"/>
          <w:szCs w:val="28"/>
          <w:lang w:eastAsia="en-US"/>
        </w:rPr>
        <w:t>а</w:t>
      </w:r>
      <w:r w:rsidRPr="00520861">
        <w:rPr>
          <w:rFonts w:eastAsia="Calibri"/>
          <w:sz w:val="28"/>
          <w:szCs w:val="28"/>
          <w:lang w:eastAsia="en-US"/>
        </w:rPr>
        <w:t>): малі розміри тіл (табл. 3.1), округла форма і слабко виражена орієнтація на дентин.</w:t>
      </w:r>
    </w:p>
    <w:p w14:paraId="620E1628"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Капілярна мережа слизової оболонки щурів групи 4 нерівномірна.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ділянки зі зменшеною кількістю судин, звертає на себе увагу більш виражене, ніж у тварин інших груп, венозне повнокров’я (рис. 3.1</w:t>
      </w:r>
      <w:r w:rsidRPr="00520861">
        <w:rPr>
          <w:rFonts w:eastAsia="Calibri"/>
          <w:i/>
          <w:sz w:val="28"/>
          <w:szCs w:val="28"/>
          <w:lang w:eastAsia="en-US"/>
        </w:rPr>
        <w:t>б</w:t>
      </w:r>
      <w:r w:rsidRPr="00520861">
        <w:rPr>
          <w:rFonts w:eastAsia="Calibri"/>
          <w:sz w:val="28"/>
          <w:szCs w:val="28"/>
          <w:lang w:eastAsia="en-US"/>
        </w:rPr>
        <w:t xml:space="preserve">). Товщина емалевого і </w:t>
      </w:r>
      <w:proofErr w:type="spellStart"/>
      <w:r w:rsidRPr="00520861">
        <w:rPr>
          <w:rFonts w:eastAsia="Calibri"/>
          <w:sz w:val="28"/>
          <w:szCs w:val="28"/>
          <w:lang w:eastAsia="en-US"/>
        </w:rPr>
        <w:t>дентинного</w:t>
      </w:r>
      <w:proofErr w:type="spellEnd"/>
      <w:r w:rsidRPr="00520861">
        <w:rPr>
          <w:rFonts w:eastAsia="Calibri"/>
          <w:sz w:val="28"/>
          <w:szCs w:val="28"/>
          <w:lang w:eastAsia="en-US"/>
        </w:rPr>
        <w:t xml:space="preserve"> шарів (табл. 3.1) у тварин цієї групи вірогідно менша, ніж у контролі.</w:t>
      </w:r>
    </w:p>
    <w:p w14:paraId="5174DF10"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noProof/>
          <w:sz w:val="28"/>
          <w:szCs w:val="28"/>
          <w:lang w:val="ru-RU"/>
        </w:rPr>
        <w:lastRenderedPageBreak/>
        <w:drawing>
          <wp:inline distT="0" distB="0" distL="0" distR="0" wp14:anchorId="31656354" wp14:editId="19A06363">
            <wp:extent cx="6410325" cy="2538025"/>
            <wp:effectExtent l="0" t="0" r="0" b="0"/>
            <wp:docPr id="23" name="Рисунок 23" descr="D:\тер стом\научн работа 1\дд друк\ на защиту\Маша\Рис\Рис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тер стом\научн работа 1\дд друк\ на защиту\Маша\Рис\Рис3.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420847" cy="2542191"/>
                    </a:xfrm>
                    <a:prstGeom prst="rect">
                      <a:avLst/>
                    </a:prstGeom>
                    <a:noFill/>
                    <a:ln>
                      <a:noFill/>
                    </a:ln>
                  </pic:spPr>
                </pic:pic>
              </a:graphicData>
            </a:graphic>
          </wp:inline>
        </w:drawing>
      </w:r>
    </w:p>
    <w:p w14:paraId="0B9E3D2F" w14:textId="77777777" w:rsidR="00CF641C" w:rsidRPr="00520861" w:rsidRDefault="00CF641C" w:rsidP="00292D2E">
      <w:pPr>
        <w:widowControl w:val="0"/>
        <w:spacing w:line="360" w:lineRule="auto"/>
        <w:ind w:firstLine="709"/>
        <w:jc w:val="center"/>
        <w:rPr>
          <w:rFonts w:eastAsia="Calibri"/>
          <w:sz w:val="28"/>
          <w:szCs w:val="28"/>
          <w:lang w:eastAsia="en-US"/>
        </w:rPr>
      </w:pPr>
      <w:r w:rsidRPr="00520861">
        <w:rPr>
          <w:rFonts w:eastAsia="Calibri"/>
          <w:sz w:val="28"/>
          <w:szCs w:val="28"/>
          <w:lang w:eastAsia="en-US"/>
        </w:rPr>
        <w:t>Рис. 3.3.</w:t>
      </w:r>
      <w:r w:rsidRPr="00520861">
        <w:rPr>
          <w:rFonts w:eastAsia="Calibri"/>
          <w:sz w:val="28"/>
          <w:szCs w:val="28"/>
          <w:lang w:val="ru-RU" w:eastAsia="en-US"/>
        </w:rPr>
        <w:t xml:space="preserve"> </w:t>
      </w:r>
      <w:r w:rsidRPr="00520861">
        <w:rPr>
          <w:rFonts w:eastAsia="Calibri"/>
          <w:sz w:val="28"/>
          <w:szCs w:val="28"/>
          <w:lang w:eastAsia="en-US"/>
        </w:rPr>
        <w:t xml:space="preserve">Фрагмент зачатка моляра нижньої щелепи новонароджених щурів: </w:t>
      </w:r>
    </w:p>
    <w:p w14:paraId="509DFBC8" w14:textId="77777777" w:rsidR="00CF641C" w:rsidRPr="00520861" w:rsidRDefault="00CF641C" w:rsidP="00292D2E">
      <w:pPr>
        <w:widowControl w:val="0"/>
        <w:spacing w:line="360" w:lineRule="auto"/>
        <w:ind w:firstLine="709"/>
        <w:jc w:val="center"/>
        <w:rPr>
          <w:rFonts w:eastAsia="Calibri"/>
          <w:sz w:val="28"/>
          <w:szCs w:val="28"/>
          <w:lang w:eastAsia="en-US"/>
        </w:rPr>
      </w:pPr>
      <w:r w:rsidRPr="00520861">
        <w:rPr>
          <w:rFonts w:eastAsia="Calibri"/>
          <w:i/>
          <w:sz w:val="28"/>
          <w:szCs w:val="28"/>
          <w:lang w:eastAsia="en-US"/>
        </w:rPr>
        <w:t>а</w:t>
      </w:r>
      <w:r w:rsidRPr="00520861">
        <w:rPr>
          <w:rFonts w:eastAsia="Calibri"/>
          <w:sz w:val="28"/>
          <w:szCs w:val="28"/>
          <w:lang w:eastAsia="en-US"/>
        </w:rPr>
        <w:t xml:space="preserve">) – групи 2; </w:t>
      </w:r>
    </w:p>
    <w:p w14:paraId="57D0FAFA" w14:textId="77777777" w:rsidR="00CF641C" w:rsidRPr="00520861" w:rsidRDefault="00CF641C" w:rsidP="00292D2E">
      <w:pPr>
        <w:widowControl w:val="0"/>
        <w:spacing w:line="360" w:lineRule="auto"/>
        <w:ind w:firstLine="709"/>
        <w:jc w:val="center"/>
        <w:rPr>
          <w:sz w:val="28"/>
          <w:szCs w:val="28"/>
          <w:lang w:eastAsia="en-US"/>
        </w:rPr>
      </w:pPr>
      <w:r w:rsidRPr="00520861">
        <w:rPr>
          <w:rFonts w:eastAsia="Calibri"/>
          <w:i/>
          <w:sz w:val="28"/>
          <w:szCs w:val="28"/>
          <w:lang w:eastAsia="en-US"/>
        </w:rPr>
        <w:t>б</w:t>
      </w:r>
      <w:r w:rsidRPr="00520861">
        <w:rPr>
          <w:rFonts w:eastAsia="Calibri"/>
          <w:sz w:val="28"/>
          <w:szCs w:val="28"/>
          <w:lang w:eastAsia="en-US"/>
        </w:rPr>
        <w:t>) – групи 3. Примітки:</w:t>
      </w:r>
      <w:r w:rsidRPr="00520861">
        <w:rPr>
          <w:rFonts w:eastAsia="Calibri"/>
          <w:b/>
          <w:i/>
          <w:sz w:val="28"/>
          <w:szCs w:val="28"/>
          <w:lang w:eastAsia="en-US"/>
        </w:rPr>
        <w:t xml:space="preserve"> </w:t>
      </w:r>
      <w:r w:rsidRPr="00520861">
        <w:rPr>
          <w:rFonts w:eastAsia="Calibri"/>
          <w:sz w:val="28"/>
          <w:szCs w:val="28"/>
          <w:lang w:eastAsia="en-US"/>
        </w:rPr>
        <w:t xml:space="preserve">1 – </w:t>
      </w:r>
      <w:proofErr w:type="spellStart"/>
      <w:r w:rsidRPr="00520861">
        <w:rPr>
          <w:rFonts w:eastAsia="Calibri"/>
          <w:sz w:val="28"/>
          <w:szCs w:val="28"/>
          <w:lang w:eastAsia="en-US"/>
        </w:rPr>
        <w:t>одонтобластичний</w:t>
      </w:r>
      <w:proofErr w:type="spellEnd"/>
      <w:r w:rsidRPr="00520861">
        <w:rPr>
          <w:rFonts w:eastAsia="Calibri"/>
          <w:sz w:val="28"/>
          <w:szCs w:val="28"/>
          <w:lang w:eastAsia="en-US"/>
        </w:rPr>
        <w:t xml:space="preserve"> шар пульпи; 2 – шар </w:t>
      </w:r>
      <w:proofErr w:type="spellStart"/>
      <w:r w:rsidRPr="00520861">
        <w:rPr>
          <w:rFonts w:eastAsia="Calibri"/>
          <w:sz w:val="28"/>
          <w:szCs w:val="28"/>
          <w:lang w:eastAsia="en-US"/>
        </w:rPr>
        <w:t>предентину</w:t>
      </w:r>
      <w:proofErr w:type="spellEnd"/>
      <w:r w:rsidRPr="00520861">
        <w:rPr>
          <w:rFonts w:eastAsia="Calibri"/>
          <w:sz w:val="28"/>
          <w:szCs w:val="28"/>
          <w:lang w:eastAsia="en-US"/>
        </w:rPr>
        <w:t>; 3 – шар плащового дентину, що формується; 4 – шар емалі, що формується</w:t>
      </w:r>
      <w:r w:rsidRPr="00520861">
        <w:rPr>
          <w:rFonts w:eastAsia="Calibri"/>
          <w:sz w:val="28"/>
          <w:szCs w:val="28"/>
          <w:lang w:val="ru-RU" w:eastAsia="en-US"/>
        </w:rPr>
        <w:t xml:space="preserve">; </w:t>
      </w:r>
      <w:r w:rsidRPr="00520861">
        <w:rPr>
          <w:rFonts w:eastAsia="Calibri"/>
          <w:sz w:val="28"/>
          <w:szCs w:val="28"/>
          <w:lang w:eastAsia="en-US"/>
        </w:rPr>
        <w:t xml:space="preserve">5 – </w:t>
      </w:r>
      <w:proofErr w:type="spellStart"/>
      <w:r w:rsidRPr="00520861">
        <w:rPr>
          <w:rFonts w:eastAsia="Calibri"/>
          <w:sz w:val="28"/>
          <w:szCs w:val="28"/>
          <w:lang w:eastAsia="en-US"/>
        </w:rPr>
        <w:t>енамелобласти</w:t>
      </w:r>
      <w:proofErr w:type="spellEnd"/>
      <w:r w:rsidRPr="00520861">
        <w:rPr>
          <w:rFonts w:eastAsia="Calibri"/>
          <w:sz w:val="28"/>
          <w:szCs w:val="28"/>
          <w:lang w:eastAsia="en-US"/>
        </w:rPr>
        <w:t>.</w:t>
      </w:r>
      <w:r w:rsidRPr="00520861">
        <w:rPr>
          <w:rFonts w:eastAsia="Calibri"/>
          <w:b/>
          <w:sz w:val="28"/>
          <w:szCs w:val="28"/>
          <w:lang w:eastAsia="en-US"/>
        </w:rPr>
        <w:t xml:space="preserve"> </w:t>
      </w:r>
      <w:r w:rsidRPr="00520861">
        <w:rPr>
          <w:sz w:val="28"/>
          <w:szCs w:val="28"/>
          <w:lang w:eastAsia="en-US"/>
        </w:rPr>
        <w:t xml:space="preserve">Забарвлення гематоксиліном та еозином. </w:t>
      </w:r>
    </w:p>
    <w:p w14:paraId="07392210" w14:textId="77777777" w:rsidR="00CF641C" w:rsidRPr="00520861" w:rsidRDefault="00CF641C" w:rsidP="00292D2E">
      <w:pPr>
        <w:widowControl w:val="0"/>
        <w:spacing w:line="360" w:lineRule="auto"/>
        <w:ind w:firstLine="709"/>
        <w:jc w:val="center"/>
        <w:rPr>
          <w:sz w:val="28"/>
          <w:szCs w:val="28"/>
          <w:lang w:eastAsia="en-US"/>
        </w:rPr>
      </w:pPr>
      <w:r w:rsidRPr="00520861">
        <w:rPr>
          <w:sz w:val="28"/>
          <w:szCs w:val="28"/>
          <w:lang w:eastAsia="en-US"/>
        </w:rPr>
        <w:t xml:space="preserve">Збільшення </w:t>
      </w:r>
      <w:r w:rsidRPr="00520861">
        <w:rPr>
          <w:rFonts w:eastAsia="Calibri"/>
          <w:sz w:val="28"/>
          <w:szCs w:val="28"/>
          <w:lang w:eastAsia="en-US"/>
        </w:rPr>
        <w:sym w:font="Symbol" w:char="F0B4"/>
      </w:r>
      <w:r w:rsidRPr="00520861">
        <w:rPr>
          <w:sz w:val="28"/>
          <w:szCs w:val="28"/>
          <w:lang w:eastAsia="en-US"/>
        </w:rPr>
        <w:t>400.</w:t>
      </w:r>
    </w:p>
    <w:p w14:paraId="35DC801A" w14:textId="77777777" w:rsidR="00CF641C" w:rsidRPr="00520861" w:rsidRDefault="00CF641C" w:rsidP="00292D2E">
      <w:pPr>
        <w:widowControl w:val="0"/>
        <w:spacing w:line="360" w:lineRule="auto"/>
        <w:ind w:firstLine="709"/>
        <w:jc w:val="center"/>
        <w:rPr>
          <w:sz w:val="28"/>
          <w:szCs w:val="28"/>
          <w:lang w:eastAsia="en-US"/>
        </w:rPr>
      </w:pPr>
    </w:p>
    <w:p w14:paraId="672B3970"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noProof/>
          <w:sz w:val="28"/>
          <w:szCs w:val="28"/>
          <w:lang w:val="ru-RU"/>
        </w:rPr>
        <w:drawing>
          <wp:inline distT="0" distB="0" distL="0" distR="0" wp14:anchorId="39118696" wp14:editId="7064F61E">
            <wp:extent cx="6411600" cy="2538000"/>
            <wp:effectExtent l="0" t="0" r="0" b="0"/>
            <wp:docPr id="24" name="Рисунок 24" descr="D:\тер стом\научн работа 1\дд друк\ на защиту\Маша\Рис\Рис3.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D:\тер стом\научн работа 1\дд друк\ на защиту\Маша\Рис\Рис3.4.jpg"/>
                    <pic:cNvPicPr preferRelativeResize="0">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00476F48" w14:textId="77777777" w:rsidR="00CF641C" w:rsidRPr="00520861" w:rsidRDefault="00CF641C" w:rsidP="00292D2E">
      <w:pPr>
        <w:widowControl w:val="0"/>
        <w:spacing w:line="360" w:lineRule="auto"/>
        <w:ind w:firstLine="567"/>
        <w:jc w:val="center"/>
        <w:rPr>
          <w:rFonts w:eastAsia="Calibri"/>
          <w:sz w:val="28"/>
          <w:szCs w:val="28"/>
          <w:lang w:eastAsia="en-US"/>
        </w:rPr>
      </w:pPr>
      <w:r w:rsidRPr="00520861">
        <w:rPr>
          <w:rFonts w:eastAsia="Calibri"/>
          <w:sz w:val="28"/>
          <w:szCs w:val="28"/>
          <w:lang w:eastAsia="en-US"/>
        </w:rPr>
        <w:t xml:space="preserve">Рис. 3.4. Фрагмент </w:t>
      </w:r>
      <w:proofErr w:type="spellStart"/>
      <w:r w:rsidRPr="00520861">
        <w:rPr>
          <w:rFonts w:eastAsia="Calibri"/>
          <w:sz w:val="28"/>
          <w:szCs w:val="28"/>
          <w:lang w:eastAsia="en-US"/>
        </w:rPr>
        <w:t>одонтобластичного</w:t>
      </w:r>
      <w:proofErr w:type="spellEnd"/>
      <w:r w:rsidRPr="00520861">
        <w:rPr>
          <w:rFonts w:eastAsia="Calibri"/>
          <w:sz w:val="28"/>
          <w:szCs w:val="28"/>
          <w:lang w:eastAsia="en-US"/>
        </w:rPr>
        <w:t xml:space="preserve"> шару пульпи зубного сосочка </w:t>
      </w:r>
    </w:p>
    <w:p w14:paraId="4F84DEB8" w14:textId="77777777" w:rsidR="00CF641C" w:rsidRPr="00520861" w:rsidRDefault="00CF641C" w:rsidP="00292D2E">
      <w:pPr>
        <w:widowControl w:val="0"/>
        <w:spacing w:line="360" w:lineRule="auto"/>
        <w:ind w:firstLine="567"/>
        <w:jc w:val="center"/>
        <w:rPr>
          <w:rFonts w:eastAsia="Calibri"/>
          <w:sz w:val="28"/>
          <w:szCs w:val="28"/>
          <w:lang w:eastAsia="en-US"/>
        </w:rPr>
      </w:pPr>
      <w:r w:rsidRPr="00520861">
        <w:rPr>
          <w:rFonts w:eastAsia="Calibri"/>
          <w:sz w:val="28"/>
          <w:szCs w:val="28"/>
          <w:lang w:eastAsia="en-US"/>
        </w:rPr>
        <w:t>новонароджених щурів</w:t>
      </w:r>
      <w:r w:rsidRPr="00520861">
        <w:rPr>
          <w:rFonts w:eastAsia="Calibri"/>
          <w:sz w:val="28"/>
          <w:szCs w:val="28"/>
          <w:lang w:val="ru-RU" w:eastAsia="en-US"/>
        </w:rPr>
        <w:t>:</w:t>
      </w:r>
      <w:r w:rsidRPr="00520861">
        <w:rPr>
          <w:rFonts w:eastAsia="Calibri"/>
          <w:sz w:val="28"/>
          <w:szCs w:val="28"/>
          <w:lang w:eastAsia="en-US"/>
        </w:rPr>
        <w:t xml:space="preserve"> </w:t>
      </w:r>
    </w:p>
    <w:p w14:paraId="37611036" w14:textId="77777777" w:rsidR="00CF641C" w:rsidRPr="00520861" w:rsidRDefault="00CF641C" w:rsidP="00292D2E">
      <w:pPr>
        <w:widowControl w:val="0"/>
        <w:spacing w:line="360" w:lineRule="auto"/>
        <w:ind w:firstLine="567"/>
        <w:jc w:val="center"/>
        <w:rPr>
          <w:rFonts w:eastAsia="Calibri"/>
          <w:sz w:val="28"/>
          <w:szCs w:val="28"/>
          <w:lang w:eastAsia="en-US"/>
        </w:rPr>
      </w:pPr>
      <w:r w:rsidRPr="00520861">
        <w:rPr>
          <w:rFonts w:eastAsia="Calibri"/>
          <w:i/>
          <w:sz w:val="28"/>
          <w:szCs w:val="28"/>
          <w:lang w:eastAsia="en-US"/>
        </w:rPr>
        <w:t>а</w:t>
      </w:r>
      <w:r w:rsidRPr="00520861">
        <w:rPr>
          <w:rFonts w:eastAsia="Calibri"/>
          <w:sz w:val="28"/>
          <w:szCs w:val="28"/>
          <w:lang w:val="ru-RU" w:eastAsia="en-US"/>
        </w:rPr>
        <w:t>)</w:t>
      </w:r>
      <w:r w:rsidRPr="00520861">
        <w:rPr>
          <w:rFonts w:eastAsia="Calibri"/>
          <w:sz w:val="28"/>
          <w:szCs w:val="28"/>
          <w:lang w:eastAsia="en-US"/>
        </w:rPr>
        <w:t xml:space="preserve"> – групи 3; </w:t>
      </w:r>
    </w:p>
    <w:p w14:paraId="21B7C7E7" w14:textId="77777777" w:rsidR="00CF641C" w:rsidRPr="00520861" w:rsidRDefault="00CF641C" w:rsidP="00292D2E">
      <w:pPr>
        <w:widowControl w:val="0"/>
        <w:spacing w:line="360" w:lineRule="auto"/>
        <w:ind w:firstLine="567"/>
        <w:jc w:val="center"/>
        <w:rPr>
          <w:rFonts w:eastAsia="Calibri"/>
          <w:sz w:val="28"/>
          <w:szCs w:val="28"/>
          <w:lang w:val="ru-RU" w:eastAsia="en-US"/>
        </w:rPr>
      </w:pPr>
      <w:r w:rsidRPr="00520861">
        <w:rPr>
          <w:rFonts w:eastAsia="Calibri"/>
          <w:i/>
          <w:sz w:val="28"/>
          <w:szCs w:val="28"/>
          <w:lang w:eastAsia="en-US"/>
        </w:rPr>
        <w:t>б</w:t>
      </w:r>
      <w:r w:rsidRPr="00520861">
        <w:rPr>
          <w:rFonts w:eastAsia="Calibri"/>
          <w:sz w:val="28"/>
          <w:szCs w:val="28"/>
          <w:lang w:val="ru-RU" w:eastAsia="en-US"/>
        </w:rPr>
        <w:t>)</w:t>
      </w:r>
      <w:r w:rsidRPr="00520861">
        <w:rPr>
          <w:rFonts w:eastAsia="Calibri"/>
          <w:sz w:val="28"/>
          <w:szCs w:val="28"/>
          <w:lang w:eastAsia="en-US"/>
        </w:rPr>
        <w:t xml:space="preserve"> – групи 4. Спостерігаються</w:t>
      </w:r>
      <w:r w:rsidRPr="00520861">
        <w:rPr>
          <w:rFonts w:eastAsia="Calibri"/>
          <w:b/>
          <w:sz w:val="28"/>
          <w:szCs w:val="28"/>
          <w:lang w:eastAsia="en-US"/>
        </w:rPr>
        <w:t xml:space="preserve"> </w:t>
      </w:r>
      <w:r w:rsidRPr="00520861">
        <w:rPr>
          <w:rFonts w:eastAsia="Calibri"/>
          <w:sz w:val="28"/>
          <w:szCs w:val="28"/>
          <w:lang w:eastAsia="en-US"/>
        </w:rPr>
        <w:t xml:space="preserve">малі розміри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та слабка їхня орієнтація у напрямку дентину (∆).</w:t>
      </w:r>
      <w:r w:rsidRPr="00520861">
        <w:rPr>
          <w:rFonts w:eastAsia="Calibri"/>
          <w:sz w:val="28"/>
          <w:szCs w:val="28"/>
          <w:lang w:val="ru-RU" w:eastAsia="en-US"/>
        </w:rPr>
        <w:t xml:space="preserve"> </w:t>
      </w:r>
    </w:p>
    <w:p w14:paraId="227CAC0E" w14:textId="77777777" w:rsidR="00CF641C" w:rsidRPr="00520861" w:rsidRDefault="00CF641C" w:rsidP="00292D2E">
      <w:pPr>
        <w:widowControl w:val="0"/>
        <w:spacing w:line="360" w:lineRule="auto"/>
        <w:ind w:firstLine="567"/>
        <w:jc w:val="center"/>
        <w:rPr>
          <w:sz w:val="28"/>
          <w:szCs w:val="28"/>
          <w:lang w:eastAsia="en-US"/>
        </w:rPr>
      </w:pPr>
      <w:r w:rsidRPr="00520861">
        <w:rPr>
          <w:sz w:val="28"/>
          <w:szCs w:val="28"/>
          <w:lang w:eastAsia="en-US"/>
        </w:rPr>
        <w:t xml:space="preserve">Забарвлення гематоксиліном та еозином. Збільшення </w:t>
      </w:r>
      <w:r w:rsidRPr="00520861">
        <w:rPr>
          <w:rFonts w:eastAsia="Calibri"/>
          <w:sz w:val="28"/>
          <w:szCs w:val="28"/>
          <w:lang w:eastAsia="en-US"/>
        </w:rPr>
        <w:sym w:font="Symbol" w:char="F0B4"/>
      </w:r>
      <w:r w:rsidRPr="00520861">
        <w:rPr>
          <w:sz w:val="28"/>
          <w:szCs w:val="28"/>
          <w:lang w:eastAsia="en-US"/>
        </w:rPr>
        <w:t>400.</w:t>
      </w:r>
    </w:p>
    <w:p w14:paraId="23E16556" w14:textId="77777777" w:rsidR="00CF641C" w:rsidRPr="00520861" w:rsidRDefault="00CF641C" w:rsidP="00292D2E">
      <w:pPr>
        <w:widowControl w:val="0"/>
        <w:spacing w:line="360" w:lineRule="auto"/>
        <w:ind w:firstLine="567"/>
        <w:jc w:val="both"/>
        <w:rPr>
          <w:rFonts w:eastAsia="Calibri"/>
          <w:spacing w:val="-4"/>
          <w:sz w:val="28"/>
          <w:szCs w:val="28"/>
          <w:lang w:eastAsia="en-US"/>
        </w:rPr>
      </w:pPr>
      <w:r w:rsidRPr="00520861">
        <w:rPr>
          <w:rFonts w:eastAsia="Calibri"/>
          <w:sz w:val="28"/>
          <w:szCs w:val="28"/>
          <w:lang w:eastAsia="en-US"/>
        </w:rPr>
        <w:lastRenderedPageBreak/>
        <w:t xml:space="preserve">У </w:t>
      </w:r>
      <w:r w:rsidRPr="00520861">
        <w:rPr>
          <w:rFonts w:eastAsia="Calibri"/>
          <w:spacing w:val="-4"/>
          <w:sz w:val="28"/>
          <w:szCs w:val="28"/>
          <w:lang w:eastAsia="en-US"/>
        </w:rPr>
        <w:t xml:space="preserve">деяких ділянках дентин взагалі не проглядається, але поверхня емалі і дентину рівна. </w:t>
      </w:r>
    </w:p>
    <w:p w14:paraId="18F95C53"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sz w:val="28"/>
          <w:szCs w:val="28"/>
          <w:lang w:eastAsia="en-US"/>
        </w:rPr>
        <w:t xml:space="preserve">У тканині пульпи зубного сосочка </w:t>
      </w:r>
      <w:proofErr w:type="spellStart"/>
      <w:r w:rsidRPr="00520861">
        <w:rPr>
          <w:rFonts w:eastAsia="Calibri"/>
          <w:sz w:val="28"/>
          <w:szCs w:val="28"/>
          <w:lang w:eastAsia="en-US"/>
        </w:rPr>
        <w:t>одонтобласти</w:t>
      </w:r>
      <w:proofErr w:type="spellEnd"/>
      <w:r w:rsidRPr="00520861">
        <w:rPr>
          <w:rFonts w:eastAsia="Calibri"/>
          <w:sz w:val="28"/>
          <w:szCs w:val="28"/>
          <w:lang w:eastAsia="en-US"/>
        </w:rPr>
        <w:t xml:space="preserve"> мало диференційовані, у капілярній мережі пульпи, як і у тварин групи 3, спостерігається повнокров'я. Розміри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вірогідно менші, ніж у контрольній групі (табл. 3.1), а самі </w:t>
      </w:r>
      <w:proofErr w:type="spellStart"/>
      <w:r w:rsidRPr="00520861">
        <w:rPr>
          <w:rFonts w:eastAsia="Calibri"/>
          <w:sz w:val="28"/>
          <w:szCs w:val="28"/>
          <w:lang w:eastAsia="en-US"/>
        </w:rPr>
        <w:t>одонтобласти</w:t>
      </w:r>
      <w:proofErr w:type="spellEnd"/>
      <w:r w:rsidRPr="00520861">
        <w:rPr>
          <w:rFonts w:eastAsia="Calibri"/>
          <w:sz w:val="28"/>
          <w:szCs w:val="28"/>
          <w:lang w:eastAsia="en-US"/>
        </w:rPr>
        <w:t xml:space="preserve"> слабко орієнтовані у напрямку до дентину </w:t>
      </w:r>
      <w:r w:rsidRPr="00520861">
        <w:rPr>
          <w:rFonts w:eastAsia="Calibri"/>
          <w:color w:val="000000"/>
          <w:sz w:val="28"/>
          <w:szCs w:val="28"/>
          <w:shd w:val="clear" w:color="auto" w:fill="FFFFFF"/>
          <w:lang w:eastAsia="en-US"/>
        </w:rPr>
        <w:t>(рис. 3</w:t>
      </w:r>
      <w:r w:rsidRPr="00520861">
        <w:rPr>
          <w:rFonts w:eastAsia="Calibri"/>
          <w:color w:val="000000"/>
          <w:sz w:val="28"/>
          <w:szCs w:val="28"/>
          <w:shd w:val="clear" w:color="auto" w:fill="FFFFFF"/>
          <w:lang w:val="ru-RU" w:eastAsia="en-US"/>
        </w:rPr>
        <w:t>.4</w:t>
      </w:r>
      <w:r w:rsidRPr="00520861">
        <w:rPr>
          <w:rFonts w:eastAsia="Calibri"/>
          <w:i/>
          <w:color w:val="000000"/>
          <w:sz w:val="28"/>
          <w:szCs w:val="28"/>
          <w:shd w:val="clear" w:color="auto" w:fill="FFFFFF"/>
          <w:lang w:eastAsia="en-US"/>
        </w:rPr>
        <w:t>б</w:t>
      </w:r>
      <w:r w:rsidRPr="00520861">
        <w:rPr>
          <w:rFonts w:eastAsia="Calibri"/>
          <w:color w:val="000000"/>
          <w:sz w:val="28"/>
          <w:szCs w:val="28"/>
          <w:shd w:val="clear" w:color="auto" w:fill="FFFFFF"/>
          <w:lang w:eastAsia="en-US"/>
        </w:rPr>
        <w:t>)</w:t>
      </w:r>
      <w:r w:rsidRPr="00520861">
        <w:rPr>
          <w:rFonts w:eastAsia="Calibri"/>
          <w:sz w:val="28"/>
          <w:szCs w:val="28"/>
          <w:lang w:eastAsia="en-US"/>
        </w:rPr>
        <w:t>.</w:t>
      </w:r>
    </w:p>
    <w:p w14:paraId="3157ABF4" w14:textId="77777777" w:rsidR="00CF641C" w:rsidRPr="00520861" w:rsidRDefault="00CF641C" w:rsidP="00292D2E">
      <w:pPr>
        <w:widowControl w:val="0"/>
        <w:spacing w:line="360" w:lineRule="auto"/>
        <w:ind w:firstLine="567"/>
        <w:jc w:val="both"/>
        <w:rPr>
          <w:rFonts w:eastAsia="Calibri"/>
          <w:sz w:val="28"/>
          <w:szCs w:val="28"/>
          <w:lang w:eastAsia="en-US"/>
        </w:rPr>
      </w:pPr>
      <w:r w:rsidRPr="00520861">
        <w:rPr>
          <w:rFonts w:eastAsiaTheme="minorHAnsi"/>
          <w:sz w:val="28"/>
          <w:szCs w:val="28"/>
          <w:lang w:eastAsia="en-US"/>
        </w:rPr>
        <w:t xml:space="preserve">Отже, у всіх новонароджених щурів основної групи виявлено порушення морфогенезу зачатків зубів і прилеглих тканин. Різний масо-ростовий коефіцієнт тварин при народженні та різний спосіб моделювання </w:t>
      </w:r>
      <w:proofErr w:type="spellStart"/>
      <w:r w:rsidRPr="00520861">
        <w:rPr>
          <w:rFonts w:eastAsiaTheme="minorHAnsi"/>
          <w:sz w:val="28"/>
          <w:szCs w:val="28"/>
          <w:lang w:eastAsia="en-US"/>
        </w:rPr>
        <w:t>їхьої</w:t>
      </w:r>
      <w:proofErr w:type="spellEnd"/>
      <w:r w:rsidRPr="00520861">
        <w:rPr>
          <w:rFonts w:eastAsiaTheme="minorHAnsi"/>
          <w:sz w:val="28"/>
          <w:szCs w:val="28"/>
          <w:lang w:eastAsia="en-US"/>
        </w:rPr>
        <w:t xml:space="preserve"> великої маси тіла обумовлює специфіку та особливості порушень.</w:t>
      </w:r>
    </w:p>
    <w:p w14:paraId="0B6C7447" w14:textId="77777777" w:rsidR="00CF641C" w:rsidRPr="00520861" w:rsidRDefault="00CF641C" w:rsidP="00292D2E">
      <w:pPr>
        <w:widowControl w:val="0"/>
        <w:spacing w:line="360" w:lineRule="auto"/>
        <w:ind w:firstLine="567"/>
        <w:jc w:val="both"/>
        <w:rPr>
          <w:rFonts w:eastAsia="Calibri"/>
          <w:sz w:val="28"/>
          <w:szCs w:val="28"/>
          <w:lang w:eastAsia="en-US"/>
        </w:rPr>
      </w:pPr>
    </w:p>
    <w:p w14:paraId="5AB589F4" w14:textId="77777777" w:rsidR="00CF641C" w:rsidRPr="00520861" w:rsidRDefault="00CF641C" w:rsidP="00292D2E">
      <w:pPr>
        <w:widowControl w:val="0"/>
        <w:spacing w:line="360" w:lineRule="auto"/>
        <w:ind w:firstLine="709"/>
        <w:jc w:val="both"/>
        <w:rPr>
          <w:rFonts w:eastAsia="Calibri"/>
          <w:b/>
          <w:sz w:val="28"/>
          <w:szCs w:val="28"/>
          <w:shd w:val="clear" w:color="auto" w:fill="FFFFFF"/>
          <w:lang w:eastAsia="en-US"/>
        </w:rPr>
      </w:pPr>
      <w:r w:rsidRPr="00520861">
        <w:rPr>
          <w:rFonts w:eastAsia="Calibri"/>
          <w:b/>
          <w:sz w:val="28"/>
          <w:szCs w:val="28"/>
          <w:shd w:val="clear" w:color="auto" w:fill="FFFFFF"/>
          <w:lang w:eastAsia="en-US"/>
        </w:rPr>
        <w:t>3.2. Особливості морфогенезу зубів щурів у віці 12 та 40 діб при</w:t>
      </w:r>
      <w:r w:rsidRPr="00520861">
        <w:rPr>
          <w:rFonts w:eastAsia="Calibri"/>
          <w:b/>
          <w:sz w:val="28"/>
          <w:szCs w:val="28"/>
          <w:shd w:val="clear" w:color="auto" w:fill="FFFFFF"/>
          <w:lang w:eastAsia="en-US"/>
        </w:rPr>
        <w:br/>
        <w:t xml:space="preserve"> експериментально змодельованій внутрішньоутробній </w:t>
      </w:r>
      <w:proofErr w:type="spellStart"/>
      <w:r w:rsidRPr="00520861">
        <w:rPr>
          <w:rFonts w:eastAsia="Calibri"/>
          <w:b/>
          <w:sz w:val="28"/>
          <w:szCs w:val="28"/>
          <w:shd w:val="clear" w:color="auto" w:fill="FFFFFF"/>
          <w:lang w:eastAsia="en-US"/>
        </w:rPr>
        <w:t>макросомії</w:t>
      </w:r>
      <w:proofErr w:type="spellEnd"/>
      <w:r w:rsidRPr="00520861">
        <w:rPr>
          <w:rFonts w:eastAsia="Calibri"/>
          <w:b/>
          <w:sz w:val="28"/>
          <w:szCs w:val="28"/>
          <w:shd w:val="clear" w:color="auto" w:fill="FFFFFF"/>
          <w:lang w:eastAsia="en-US"/>
        </w:rPr>
        <w:t xml:space="preserve"> </w:t>
      </w:r>
    </w:p>
    <w:p w14:paraId="017A3E65" w14:textId="77777777" w:rsidR="00CF641C" w:rsidRPr="00520861" w:rsidRDefault="00CF641C" w:rsidP="00292D2E">
      <w:pPr>
        <w:widowControl w:val="0"/>
        <w:spacing w:line="360" w:lineRule="auto"/>
        <w:ind w:firstLine="851"/>
        <w:jc w:val="both"/>
        <w:rPr>
          <w:rFonts w:eastAsia="Calibri"/>
          <w:b/>
          <w:sz w:val="28"/>
          <w:szCs w:val="28"/>
          <w:shd w:val="clear" w:color="auto" w:fill="FFFFFF"/>
          <w:lang w:eastAsia="en-US"/>
        </w:rPr>
      </w:pPr>
    </w:p>
    <w:p w14:paraId="49B8599F"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У віці 12 діб у всіх тварин групи контролю різці (рис. 3</w:t>
      </w:r>
      <w:r w:rsidRPr="00520861">
        <w:rPr>
          <w:rFonts w:eastAsia="Calibri"/>
          <w:sz w:val="28"/>
          <w:szCs w:val="28"/>
          <w:lang w:val="ru-RU" w:eastAsia="en-US"/>
        </w:rPr>
        <w:t>.5</w:t>
      </w:r>
      <w:r w:rsidRPr="00520861">
        <w:rPr>
          <w:rFonts w:eastAsia="Calibri"/>
          <w:sz w:val="28"/>
          <w:szCs w:val="28"/>
          <w:lang w:eastAsia="en-US"/>
        </w:rPr>
        <w:t>)</w:t>
      </w:r>
      <w:r w:rsidRPr="00520861">
        <w:rPr>
          <w:rFonts w:eastAsia="Calibri"/>
          <w:sz w:val="28"/>
          <w:szCs w:val="28"/>
          <w:lang w:val="ru-RU" w:eastAsia="en-US"/>
        </w:rPr>
        <w:t xml:space="preserve"> </w:t>
      </w:r>
      <w:r w:rsidRPr="00520861">
        <w:rPr>
          <w:rFonts w:eastAsia="Calibri"/>
          <w:sz w:val="28"/>
          <w:szCs w:val="28"/>
          <w:lang w:eastAsia="en-US"/>
        </w:rPr>
        <w:t xml:space="preserve">на верхній та нижній щелепах </w:t>
      </w:r>
      <w:r w:rsidRPr="00520861">
        <w:rPr>
          <w:rFonts w:eastAsia="Calibri"/>
          <w:sz w:val="28"/>
          <w:szCs w:val="28"/>
          <w:lang w:val="ru-RU" w:eastAsia="en-US"/>
        </w:rPr>
        <w:t>у</w:t>
      </w:r>
      <w:r w:rsidRPr="00520861">
        <w:rPr>
          <w:rFonts w:eastAsia="Calibri"/>
          <w:sz w:val="28"/>
          <w:szCs w:val="28"/>
          <w:lang w:eastAsia="en-US"/>
        </w:rPr>
        <w:t>же прорізалися.</w:t>
      </w:r>
    </w:p>
    <w:p w14:paraId="4052F3B1" w14:textId="77777777" w:rsidR="00CF641C" w:rsidRPr="00520861" w:rsidRDefault="00CF641C" w:rsidP="00292D2E">
      <w:pPr>
        <w:widowControl w:val="0"/>
        <w:spacing w:line="360" w:lineRule="auto"/>
        <w:jc w:val="center"/>
        <w:rPr>
          <w:rFonts w:eastAsia="Calibri"/>
          <w:noProof/>
          <w:sz w:val="28"/>
          <w:szCs w:val="28"/>
          <w:lang w:val="ru-RU"/>
        </w:rPr>
      </w:pPr>
      <w:r w:rsidRPr="00520861">
        <w:rPr>
          <w:rFonts w:eastAsia="Calibri"/>
          <w:noProof/>
          <w:sz w:val="28"/>
          <w:szCs w:val="28"/>
          <w:lang w:val="ru-RU"/>
        </w:rPr>
        <w:drawing>
          <wp:inline distT="0" distB="0" distL="0" distR="0" wp14:anchorId="6C42BDA1" wp14:editId="5771B682">
            <wp:extent cx="3340800" cy="4500000"/>
            <wp:effectExtent l="0" t="7937" r="4127" b="4128"/>
            <wp:docPr id="25" name="Рисунок 7" descr="контроль-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контроль-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3340800" cy="4500000"/>
                    </a:xfrm>
                    <a:prstGeom prst="rect">
                      <a:avLst/>
                    </a:prstGeom>
                    <a:noFill/>
                    <a:ln>
                      <a:noFill/>
                    </a:ln>
                  </pic:spPr>
                </pic:pic>
              </a:graphicData>
            </a:graphic>
          </wp:inline>
        </w:drawing>
      </w:r>
    </w:p>
    <w:p w14:paraId="495BA4D1" w14:textId="77777777" w:rsidR="00CF641C" w:rsidRPr="00520861" w:rsidRDefault="00CF641C" w:rsidP="00292D2E">
      <w:pPr>
        <w:widowControl w:val="0"/>
        <w:spacing w:line="360" w:lineRule="auto"/>
        <w:ind w:right="140" w:firstLine="708"/>
        <w:jc w:val="center"/>
        <w:rPr>
          <w:rFonts w:eastAsia="Calibri"/>
          <w:sz w:val="28"/>
          <w:szCs w:val="28"/>
          <w:lang w:eastAsia="en-US"/>
        </w:rPr>
      </w:pPr>
      <w:r w:rsidRPr="00520861">
        <w:rPr>
          <w:rFonts w:eastAsia="Calibri"/>
          <w:sz w:val="28"/>
          <w:szCs w:val="28"/>
          <w:lang w:eastAsia="en-US"/>
        </w:rPr>
        <w:t xml:space="preserve">Рис. 3.5. </w:t>
      </w:r>
      <w:proofErr w:type="spellStart"/>
      <w:r w:rsidRPr="00520861">
        <w:rPr>
          <w:rFonts w:eastAsia="Calibri"/>
          <w:sz w:val="28"/>
          <w:szCs w:val="28"/>
          <w:lang w:eastAsia="en-US"/>
        </w:rPr>
        <w:t>Зубощелепні</w:t>
      </w:r>
      <w:proofErr w:type="spellEnd"/>
      <w:r w:rsidRPr="00520861">
        <w:rPr>
          <w:rFonts w:eastAsia="Calibri"/>
          <w:sz w:val="28"/>
          <w:szCs w:val="28"/>
          <w:lang w:eastAsia="en-US"/>
        </w:rPr>
        <w:t xml:space="preserve"> блоки щура групи контролю віком 12 діб (верхня та нижня щелепи), стрілками позначені різці, в правій панелі їх збільшене зображення. У правій панелі – збільшення </w:t>
      </w:r>
      <w:r w:rsidRPr="00520861">
        <w:rPr>
          <w:rFonts w:eastAsia="Calibri"/>
          <w:sz w:val="28"/>
          <w:szCs w:val="28"/>
          <w:lang w:eastAsia="en-US"/>
        </w:rPr>
        <w:sym w:font="Symbol" w:char="F0B4"/>
      </w:r>
      <w:r w:rsidRPr="00520861">
        <w:rPr>
          <w:rFonts w:eastAsia="Calibri"/>
          <w:sz w:val="28"/>
          <w:szCs w:val="28"/>
          <w:lang w:eastAsia="en-US"/>
        </w:rPr>
        <w:t xml:space="preserve"> 40.</w:t>
      </w:r>
    </w:p>
    <w:p w14:paraId="5BCEC5C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 У тварин груп 1, 3 та 4 (рис. 3.6) спостерігається така ж ситуація, а медіанні значення довжин коронок різців верхньої щелепи вірогідно не відрізняються від таких у групі контролю (табл. 3.2). </w:t>
      </w:r>
    </w:p>
    <w:p w14:paraId="26858988"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Цікавими є результати вимірювання значень довжини коронок різців у щурів-</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групи 2</w:t>
      </w:r>
      <w:r w:rsidRPr="00520861">
        <w:rPr>
          <w:rFonts w:eastAsia="Calibri"/>
          <w:sz w:val="28"/>
          <w:szCs w:val="28"/>
          <w:lang w:val="ru-RU" w:eastAsia="en-US"/>
        </w:rPr>
        <w:t xml:space="preserve"> [38]</w:t>
      </w:r>
      <w:r w:rsidRPr="00520861">
        <w:rPr>
          <w:rFonts w:eastAsia="Calibri"/>
          <w:sz w:val="28"/>
          <w:szCs w:val="28"/>
          <w:lang w:eastAsia="en-US"/>
        </w:rPr>
        <w:t xml:space="preserve">. На 12 добу життя у двох із п’яти тварин у цій групі прорізування різців тільки починалося (рис. 3.7). </w:t>
      </w:r>
    </w:p>
    <w:p w14:paraId="6BF9E904"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трьох інших тварин цієї групи довжина різців була меншою за таку у контрольних тварин, отже медіанні значення довжини коронок різців вірогідно менші від контрольних (табл. 3.2). </w:t>
      </w:r>
    </w:p>
    <w:p w14:paraId="6D6D2AA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Аналіз стану прорізування молярів у експериментальних тварин у віці 40 – 42 доби не виявив вірогідної різниці між тваринами основних та контрольної групи (табл. 3.2). </w:t>
      </w:r>
    </w:p>
    <w:p w14:paraId="100A073D"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всіх тварин жувальні зуби (рис. 3.8, 3.9) прорізалися повністю [38]. Слід </w:t>
      </w:r>
      <w:r w:rsidR="00645ADA" w:rsidRPr="00520861">
        <w:rPr>
          <w:rFonts w:eastAsia="Calibri"/>
          <w:sz w:val="28"/>
          <w:szCs w:val="28"/>
          <w:lang w:eastAsia="en-US"/>
        </w:rPr>
        <w:br/>
      </w:r>
      <w:r w:rsidRPr="00520861">
        <w:rPr>
          <w:rFonts w:eastAsia="Calibri"/>
          <w:sz w:val="28"/>
          <w:szCs w:val="28"/>
          <w:lang w:eastAsia="en-US"/>
        </w:rPr>
        <w:t xml:space="preserve">зауважити тенденцію до меншої довжини коронки молярів у тварин груп 3 та 4. </w:t>
      </w:r>
    </w:p>
    <w:p w14:paraId="6BC4560C" w14:textId="77777777" w:rsidR="00CF641C" w:rsidRPr="00520861" w:rsidRDefault="00CF641C" w:rsidP="00292D2E">
      <w:pPr>
        <w:widowControl w:val="0"/>
        <w:spacing w:line="360" w:lineRule="auto"/>
        <w:jc w:val="right"/>
        <w:rPr>
          <w:rFonts w:eastAsia="Calibri"/>
          <w:i/>
          <w:sz w:val="28"/>
          <w:szCs w:val="28"/>
          <w:lang w:eastAsia="en-US"/>
        </w:rPr>
      </w:pPr>
      <w:r w:rsidRPr="00520861">
        <w:rPr>
          <w:rFonts w:eastAsia="Calibri"/>
          <w:i/>
          <w:sz w:val="28"/>
          <w:szCs w:val="28"/>
          <w:lang w:eastAsia="en-US"/>
        </w:rPr>
        <w:t xml:space="preserve">Таблиця 3.2 </w:t>
      </w:r>
    </w:p>
    <w:p w14:paraId="6625EE9D"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 xml:space="preserve">3; </w:t>
      </w:r>
      <w:r w:rsidRPr="00520861">
        <w:rPr>
          <w:rFonts w:eastAsia="Calibri"/>
          <w:b/>
          <w:bCs/>
          <w:sz w:val="28"/>
          <w:szCs w:val="28"/>
          <w:lang w:val="en-US" w:eastAsia="en-US"/>
        </w:rPr>
        <w:t>Q</w:t>
      </w:r>
      <w:r w:rsidRPr="00520861">
        <w:rPr>
          <w:rFonts w:eastAsia="Calibri"/>
          <w:b/>
          <w:bCs/>
          <w:sz w:val="28"/>
          <w:szCs w:val="28"/>
          <w:lang w:eastAsia="en-US"/>
        </w:rPr>
        <w:t xml:space="preserve">1) </w:t>
      </w:r>
      <w:r w:rsidRPr="00520861">
        <w:rPr>
          <w:rFonts w:eastAsia="Calibri"/>
          <w:b/>
          <w:sz w:val="28"/>
          <w:szCs w:val="28"/>
          <w:lang w:eastAsia="en-US"/>
        </w:rPr>
        <w:t xml:space="preserve">довжини коронок різців у </w:t>
      </w:r>
      <w:r w:rsidRPr="00520861">
        <w:rPr>
          <w:rFonts w:eastAsia="Calibri"/>
          <w:b/>
          <w:bCs/>
          <w:sz w:val="28"/>
          <w:szCs w:val="28"/>
          <w:lang w:eastAsia="en-US"/>
        </w:rPr>
        <w:t xml:space="preserve">експериментальних тварин віком </w:t>
      </w:r>
      <w:r w:rsidRPr="00520861">
        <w:rPr>
          <w:rFonts w:eastAsia="Calibri"/>
          <w:b/>
          <w:sz w:val="28"/>
          <w:szCs w:val="28"/>
          <w:lang w:eastAsia="en-US"/>
        </w:rPr>
        <w:t>12 діб та молярів у експериментальних тварин віком 40 діб, (</w:t>
      </w:r>
      <w:r w:rsidRPr="00520861">
        <w:rPr>
          <w:rFonts w:eastAsia="Calibri"/>
          <w:b/>
          <w:sz w:val="28"/>
          <w:szCs w:val="28"/>
          <w:lang w:val="ru-RU" w:eastAsia="en-US"/>
        </w:rPr>
        <w:t>м×</w:t>
      </w:r>
      <w:r w:rsidRPr="00520861">
        <w:rPr>
          <w:rFonts w:eastAsia="Calibri"/>
          <w:b/>
          <w:sz w:val="28"/>
          <w:szCs w:val="28"/>
          <w:lang w:eastAsia="en-US"/>
        </w:rPr>
        <w:t>10</w:t>
      </w:r>
      <w:r w:rsidRPr="00520861">
        <w:rPr>
          <w:rFonts w:eastAsia="Calibri"/>
          <w:b/>
          <w:sz w:val="28"/>
          <w:szCs w:val="28"/>
          <w:vertAlign w:val="superscript"/>
          <w:lang w:eastAsia="en-US"/>
        </w:rPr>
        <w:t>3</w:t>
      </w:r>
      <w:r w:rsidRPr="00520861">
        <w:rPr>
          <w:rFonts w:eastAsia="Calibri"/>
          <w:b/>
          <w:sz w:val="28"/>
          <w:szCs w:val="28"/>
          <w:lang w:eastAsia="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5"/>
        <w:gridCol w:w="2147"/>
        <w:gridCol w:w="2127"/>
        <w:gridCol w:w="2268"/>
        <w:gridCol w:w="2268"/>
      </w:tblGrid>
      <w:tr w:rsidR="00CF641C" w:rsidRPr="00520861" w14:paraId="4BE1B208" w14:textId="77777777" w:rsidTr="00292D2E">
        <w:trPr>
          <w:trHeight w:val="270"/>
          <w:jc w:val="center"/>
        </w:trPr>
        <w:tc>
          <w:tcPr>
            <w:tcW w:w="1255" w:type="dxa"/>
            <w:vMerge w:val="restart"/>
            <w:tcBorders>
              <w:top w:val="single" w:sz="4" w:space="0" w:color="auto"/>
              <w:left w:val="single" w:sz="4" w:space="0" w:color="auto"/>
              <w:bottom w:val="single" w:sz="4" w:space="0" w:color="auto"/>
              <w:right w:val="single" w:sz="4" w:space="0" w:color="auto"/>
            </w:tcBorders>
            <w:hideMark/>
          </w:tcPr>
          <w:p w14:paraId="583FD85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Групи</w:t>
            </w:r>
          </w:p>
        </w:tc>
        <w:tc>
          <w:tcPr>
            <w:tcW w:w="2147" w:type="dxa"/>
            <w:vMerge w:val="restart"/>
            <w:tcBorders>
              <w:top w:val="single" w:sz="4" w:space="0" w:color="auto"/>
              <w:left w:val="single" w:sz="4" w:space="0" w:color="auto"/>
              <w:bottom w:val="single" w:sz="4" w:space="0" w:color="auto"/>
              <w:right w:val="single" w:sz="4" w:space="0" w:color="auto"/>
            </w:tcBorders>
            <w:hideMark/>
          </w:tcPr>
          <w:p w14:paraId="245C9E7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Різці, тварини віком 12 діб</w:t>
            </w:r>
          </w:p>
        </w:tc>
        <w:tc>
          <w:tcPr>
            <w:tcW w:w="6663" w:type="dxa"/>
            <w:gridSpan w:val="3"/>
            <w:tcBorders>
              <w:top w:val="single" w:sz="4" w:space="0" w:color="auto"/>
              <w:left w:val="single" w:sz="4" w:space="0" w:color="auto"/>
              <w:bottom w:val="single" w:sz="4" w:space="0" w:color="auto"/>
              <w:right w:val="single" w:sz="4" w:space="0" w:color="auto"/>
            </w:tcBorders>
            <w:hideMark/>
          </w:tcPr>
          <w:p w14:paraId="1037E891"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Моляри, тварини віком 40 діб</w:t>
            </w:r>
          </w:p>
        </w:tc>
      </w:tr>
      <w:tr w:rsidR="00CF641C" w:rsidRPr="00520861" w14:paraId="3DAB39A2" w14:textId="77777777" w:rsidTr="00292D2E">
        <w:trPr>
          <w:trHeight w:val="210"/>
          <w:jc w:val="center"/>
        </w:trPr>
        <w:tc>
          <w:tcPr>
            <w:tcW w:w="1255" w:type="dxa"/>
            <w:vMerge/>
            <w:tcBorders>
              <w:top w:val="single" w:sz="4" w:space="0" w:color="auto"/>
              <w:left w:val="single" w:sz="4" w:space="0" w:color="auto"/>
              <w:bottom w:val="single" w:sz="4" w:space="0" w:color="auto"/>
              <w:right w:val="single" w:sz="4" w:space="0" w:color="auto"/>
            </w:tcBorders>
            <w:vAlign w:val="center"/>
            <w:hideMark/>
          </w:tcPr>
          <w:p w14:paraId="2C77AEF4" w14:textId="77777777" w:rsidR="00CF641C" w:rsidRPr="00520861" w:rsidRDefault="00CF641C" w:rsidP="00292D2E">
            <w:pPr>
              <w:widowControl w:val="0"/>
              <w:spacing w:line="360" w:lineRule="auto"/>
              <w:rPr>
                <w:rFonts w:eastAsia="Calibri"/>
                <w:sz w:val="28"/>
                <w:szCs w:val="28"/>
                <w:lang w:eastAsia="en-US"/>
              </w:rPr>
            </w:pPr>
          </w:p>
        </w:tc>
        <w:tc>
          <w:tcPr>
            <w:tcW w:w="2147" w:type="dxa"/>
            <w:vMerge/>
            <w:tcBorders>
              <w:top w:val="single" w:sz="4" w:space="0" w:color="auto"/>
              <w:left w:val="single" w:sz="4" w:space="0" w:color="auto"/>
              <w:bottom w:val="single" w:sz="4" w:space="0" w:color="auto"/>
              <w:right w:val="single" w:sz="4" w:space="0" w:color="auto"/>
            </w:tcBorders>
            <w:vAlign w:val="center"/>
            <w:hideMark/>
          </w:tcPr>
          <w:p w14:paraId="067F9C83" w14:textId="77777777" w:rsidR="00CF641C" w:rsidRPr="00520861" w:rsidRDefault="00CF641C" w:rsidP="00292D2E">
            <w:pPr>
              <w:widowControl w:val="0"/>
              <w:spacing w:line="360" w:lineRule="auto"/>
              <w:rPr>
                <w:rFonts w:eastAsia="Calibri"/>
                <w:sz w:val="28"/>
                <w:szCs w:val="28"/>
                <w:lang w:eastAsia="en-US"/>
              </w:rPr>
            </w:pPr>
          </w:p>
        </w:tc>
        <w:tc>
          <w:tcPr>
            <w:tcW w:w="2127" w:type="dxa"/>
            <w:tcBorders>
              <w:top w:val="single" w:sz="4" w:space="0" w:color="auto"/>
              <w:left w:val="single" w:sz="4" w:space="0" w:color="auto"/>
              <w:bottom w:val="single" w:sz="4" w:space="0" w:color="auto"/>
              <w:right w:val="single" w:sz="4" w:space="0" w:color="auto"/>
            </w:tcBorders>
            <w:hideMark/>
          </w:tcPr>
          <w:p w14:paraId="68A4073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Перший моляр</w:t>
            </w:r>
          </w:p>
        </w:tc>
        <w:tc>
          <w:tcPr>
            <w:tcW w:w="2268" w:type="dxa"/>
            <w:tcBorders>
              <w:top w:val="single" w:sz="4" w:space="0" w:color="auto"/>
              <w:left w:val="single" w:sz="4" w:space="0" w:color="auto"/>
              <w:bottom w:val="single" w:sz="4" w:space="0" w:color="auto"/>
              <w:right w:val="single" w:sz="4" w:space="0" w:color="auto"/>
            </w:tcBorders>
            <w:hideMark/>
          </w:tcPr>
          <w:p w14:paraId="77B5703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Другий моляр</w:t>
            </w:r>
          </w:p>
        </w:tc>
        <w:tc>
          <w:tcPr>
            <w:tcW w:w="2268" w:type="dxa"/>
            <w:tcBorders>
              <w:top w:val="single" w:sz="4" w:space="0" w:color="auto"/>
              <w:left w:val="single" w:sz="4" w:space="0" w:color="auto"/>
              <w:bottom w:val="single" w:sz="4" w:space="0" w:color="auto"/>
              <w:right w:val="single" w:sz="4" w:space="0" w:color="auto"/>
            </w:tcBorders>
            <w:hideMark/>
          </w:tcPr>
          <w:p w14:paraId="069FDB4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Третій моляр</w:t>
            </w:r>
          </w:p>
        </w:tc>
      </w:tr>
      <w:tr w:rsidR="00CF641C" w:rsidRPr="00520861" w14:paraId="43188151" w14:textId="77777777" w:rsidTr="00292D2E">
        <w:trPr>
          <w:trHeight w:val="552"/>
          <w:jc w:val="center"/>
        </w:trPr>
        <w:tc>
          <w:tcPr>
            <w:tcW w:w="1255" w:type="dxa"/>
            <w:tcBorders>
              <w:top w:val="single" w:sz="4" w:space="0" w:color="auto"/>
              <w:left w:val="single" w:sz="4" w:space="0" w:color="auto"/>
              <w:bottom w:val="single" w:sz="4" w:space="0" w:color="auto"/>
              <w:right w:val="single" w:sz="4" w:space="0" w:color="auto"/>
            </w:tcBorders>
            <w:hideMark/>
          </w:tcPr>
          <w:p w14:paraId="6CCEE0B4" w14:textId="77777777" w:rsidR="00CF641C" w:rsidRPr="00520861" w:rsidRDefault="00CF641C" w:rsidP="00292D2E">
            <w:pPr>
              <w:widowControl w:val="0"/>
              <w:spacing w:line="360" w:lineRule="auto"/>
              <w:rPr>
                <w:rFonts w:eastAsia="Calibri"/>
                <w:sz w:val="28"/>
                <w:szCs w:val="28"/>
                <w:lang w:eastAsia="en-US"/>
              </w:rPr>
            </w:pPr>
            <w:r w:rsidRPr="00520861">
              <w:rPr>
                <w:rFonts w:eastAsia="Calibri"/>
                <w:sz w:val="28"/>
                <w:szCs w:val="28"/>
                <w:lang w:eastAsia="en-US"/>
              </w:rPr>
              <w:t>Контроль</w:t>
            </w:r>
          </w:p>
        </w:tc>
        <w:tc>
          <w:tcPr>
            <w:tcW w:w="2147" w:type="dxa"/>
            <w:tcBorders>
              <w:top w:val="single" w:sz="4" w:space="0" w:color="auto"/>
              <w:left w:val="single" w:sz="4" w:space="0" w:color="auto"/>
              <w:bottom w:val="single" w:sz="4" w:space="0" w:color="auto"/>
              <w:right w:val="single" w:sz="4" w:space="0" w:color="auto"/>
            </w:tcBorders>
            <w:hideMark/>
          </w:tcPr>
          <w:p w14:paraId="578F45F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0,71 </w:t>
            </w:r>
            <w:r w:rsidRPr="00520861">
              <w:rPr>
                <w:rFonts w:eastAsia="Calibri"/>
                <w:sz w:val="28"/>
                <w:szCs w:val="28"/>
                <w:lang w:val="en-US" w:eastAsia="en-US"/>
              </w:rPr>
              <w:t>(</w:t>
            </w:r>
            <w:r w:rsidRPr="00520861">
              <w:rPr>
                <w:rFonts w:eastAsia="Calibri"/>
                <w:sz w:val="28"/>
                <w:szCs w:val="28"/>
                <w:lang w:eastAsia="en-US"/>
              </w:rPr>
              <w:t>0,63</w:t>
            </w:r>
            <w:r w:rsidRPr="00520861">
              <w:rPr>
                <w:rFonts w:eastAsia="Calibri"/>
                <w:sz w:val="28"/>
                <w:szCs w:val="28"/>
                <w:lang w:val="en-US" w:eastAsia="en-US"/>
              </w:rPr>
              <w:t xml:space="preserve">; </w:t>
            </w:r>
            <w:r w:rsidRPr="00520861">
              <w:rPr>
                <w:rFonts w:eastAsia="Calibri"/>
                <w:sz w:val="28"/>
                <w:szCs w:val="28"/>
                <w:lang w:eastAsia="en-US"/>
              </w:rPr>
              <w:t>0,76</w:t>
            </w:r>
            <w:r w:rsidRPr="00520861">
              <w:rPr>
                <w:rFonts w:eastAsia="Calibri"/>
                <w:sz w:val="28"/>
                <w:szCs w:val="28"/>
                <w:lang w:val="en-US" w:eastAsia="en-US"/>
              </w:rPr>
              <w:t>)</w:t>
            </w:r>
          </w:p>
        </w:tc>
        <w:tc>
          <w:tcPr>
            <w:tcW w:w="2127" w:type="dxa"/>
            <w:tcBorders>
              <w:top w:val="single" w:sz="4" w:space="0" w:color="auto"/>
              <w:left w:val="single" w:sz="4" w:space="0" w:color="auto"/>
              <w:bottom w:val="single" w:sz="4" w:space="0" w:color="auto"/>
              <w:right w:val="single" w:sz="4" w:space="0" w:color="auto"/>
            </w:tcBorders>
            <w:hideMark/>
          </w:tcPr>
          <w:p w14:paraId="2E7BCFD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1,64 </w:t>
            </w:r>
            <w:r w:rsidRPr="00520861">
              <w:rPr>
                <w:rFonts w:eastAsia="Calibri"/>
                <w:sz w:val="28"/>
                <w:szCs w:val="28"/>
                <w:lang w:val="en-US" w:eastAsia="en-US"/>
              </w:rPr>
              <w:t>(</w:t>
            </w:r>
            <w:r w:rsidRPr="00520861">
              <w:rPr>
                <w:rFonts w:eastAsia="Calibri"/>
                <w:sz w:val="28"/>
                <w:szCs w:val="28"/>
                <w:lang w:eastAsia="en-US"/>
              </w:rPr>
              <w:t>1,6</w:t>
            </w:r>
            <w:r w:rsidRPr="00520861">
              <w:rPr>
                <w:rFonts w:eastAsia="Calibri"/>
                <w:sz w:val="28"/>
                <w:szCs w:val="28"/>
                <w:lang w:val="en-US" w:eastAsia="en-US"/>
              </w:rPr>
              <w:t xml:space="preserve">0; </w:t>
            </w:r>
            <w:r w:rsidRPr="00520861">
              <w:rPr>
                <w:rFonts w:eastAsia="Calibri"/>
                <w:sz w:val="28"/>
                <w:szCs w:val="28"/>
                <w:lang w:eastAsia="en-US"/>
              </w:rPr>
              <w:t>1,69</w:t>
            </w:r>
            <w:r w:rsidRPr="00520861">
              <w:rPr>
                <w:rFonts w:eastAsia="Calibri"/>
                <w:sz w:val="28"/>
                <w:szCs w:val="28"/>
                <w:lang w:val="en-US" w:eastAsia="en-US"/>
              </w:rPr>
              <w:t>)</w:t>
            </w:r>
          </w:p>
        </w:tc>
        <w:tc>
          <w:tcPr>
            <w:tcW w:w="2268" w:type="dxa"/>
            <w:tcBorders>
              <w:top w:val="single" w:sz="4" w:space="0" w:color="auto"/>
              <w:left w:val="single" w:sz="4" w:space="0" w:color="auto"/>
              <w:bottom w:val="single" w:sz="4" w:space="0" w:color="auto"/>
              <w:right w:val="single" w:sz="4" w:space="0" w:color="auto"/>
            </w:tcBorders>
            <w:hideMark/>
          </w:tcPr>
          <w:p w14:paraId="5EE19DB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1,41 </w:t>
            </w:r>
            <w:r w:rsidRPr="00520861">
              <w:rPr>
                <w:rFonts w:eastAsia="Calibri"/>
                <w:sz w:val="28"/>
                <w:szCs w:val="28"/>
                <w:lang w:val="en-US" w:eastAsia="en-US"/>
              </w:rPr>
              <w:t>(</w:t>
            </w:r>
            <w:r w:rsidRPr="00520861">
              <w:rPr>
                <w:rFonts w:eastAsia="Calibri"/>
                <w:sz w:val="28"/>
                <w:szCs w:val="28"/>
                <w:lang w:eastAsia="en-US"/>
              </w:rPr>
              <w:t>1,33; 1,45</w:t>
            </w:r>
            <w:r w:rsidRPr="00520861">
              <w:rPr>
                <w:rFonts w:eastAsia="Calibri"/>
                <w:sz w:val="28"/>
                <w:szCs w:val="28"/>
                <w:lang w:val="en-US" w:eastAsia="en-US"/>
              </w:rPr>
              <w:t>)</w:t>
            </w:r>
          </w:p>
        </w:tc>
        <w:tc>
          <w:tcPr>
            <w:tcW w:w="2268" w:type="dxa"/>
            <w:tcBorders>
              <w:top w:val="single" w:sz="4" w:space="0" w:color="auto"/>
              <w:left w:val="single" w:sz="4" w:space="0" w:color="auto"/>
              <w:bottom w:val="single" w:sz="4" w:space="0" w:color="auto"/>
              <w:right w:val="single" w:sz="4" w:space="0" w:color="auto"/>
            </w:tcBorders>
            <w:hideMark/>
          </w:tcPr>
          <w:p w14:paraId="106D105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1,20 </w:t>
            </w:r>
            <w:r w:rsidRPr="00520861">
              <w:rPr>
                <w:rFonts w:eastAsia="Calibri"/>
                <w:sz w:val="28"/>
                <w:szCs w:val="28"/>
                <w:lang w:val="en-US" w:eastAsia="en-US"/>
              </w:rPr>
              <w:t>(</w:t>
            </w:r>
            <w:r w:rsidRPr="00520861">
              <w:rPr>
                <w:rFonts w:eastAsia="Calibri"/>
                <w:sz w:val="28"/>
                <w:szCs w:val="28"/>
                <w:lang w:eastAsia="en-US"/>
              </w:rPr>
              <w:t>1,15</w:t>
            </w:r>
            <w:r w:rsidRPr="00520861">
              <w:rPr>
                <w:rFonts w:eastAsia="Calibri"/>
                <w:sz w:val="28"/>
                <w:szCs w:val="28"/>
                <w:lang w:val="en-US" w:eastAsia="en-US"/>
              </w:rPr>
              <w:t>;</w:t>
            </w:r>
            <w:r w:rsidRPr="00520861">
              <w:rPr>
                <w:rFonts w:eastAsia="Calibri"/>
                <w:sz w:val="28"/>
                <w:szCs w:val="28"/>
                <w:lang w:eastAsia="en-US"/>
              </w:rPr>
              <w:t>1,22</w:t>
            </w:r>
            <w:r w:rsidRPr="00520861">
              <w:rPr>
                <w:rFonts w:eastAsia="Calibri"/>
                <w:sz w:val="28"/>
                <w:szCs w:val="28"/>
                <w:lang w:val="en-US" w:eastAsia="en-US"/>
              </w:rPr>
              <w:t>)</w:t>
            </w:r>
          </w:p>
        </w:tc>
      </w:tr>
      <w:tr w:rsidR="00CF641C" w:rsidRPr="00520861" w14:paraId="3809070C" w14:textId="77777777" w:rsidTr="00292D2E">
        <w:trPr>
          <w:jc w:val="center"/>
        </w:trPr>
        <w:tc>
          <w:tcPr>
            <w:tcW w:w="1255" w:type="dxa"/>
            <w:tcBorders>
              <w:top w:val="single" w:sz="4" w:space="0" w:color="auto"/>
              <w:left w:val="single" w:sz="4" w:space="0" w:color="auto"/>
              <w:bottom w:val="single" w:sz="4" w:space="0" w:color="auto"/>
              <w:right w:val="single" w:sz="4" w:space="0" w:color="auto"/>
            </w:tcBorders>
          </w:tcPr>
          <w:p w14:paraId="1E25E49B" w14:textId="77777777" w:rsidR="00CF641C" w:rsidRPr="00520861" w:rsidRDefault="00CF641C" w:rsidP="00292D2E">
            <w:pPr>
              <w:widowControl w:val="0"/>
              <w:spacing w:line="360" w:lineRule="auto"/>
              <w:rPr>
                <w:rFonts w:eastAsia="Calibri"/>
                <w:sz w:val="28"/>
                <w:szCs w:val="28"/>
                <w:lang w:eastAsia="en-US"/>
              </w:rPr>
            </w:pPr>
            <w:r w:rsidRPr="00520861">
              <w:rPr>
                <w:rFonts w:eastAsia="Calibri"/>
                <w:sz w:val="28"/>
                <w:szCs w:val="28"/>
                <w:lang w:eastAsia="en-US"/>
              </w:rPr>
              <w:t>Група 1</w:t>
            </w:r>
          </w:p>
        </w:tc>
        <w:tc>
          <w:tcPr>
            <w:tcW w:w="2147" w:type="dxa"/>
            <w:tcBorders>
              <w:top w:val="single" w:sz="4" w:space="0" w:color="auto"/>
              <w:left w:val="single" w:sz="4" w:space="0" w:color="auto"/>
              <w:bottom w:val="single" w:sz="4" w:space="0" w:color="auto"/>
              <w:right w:val="single" w:sz="4" w:space="0" w:color="auto"/>
            </w:tcBorders>
          </w:tcPr>
          <w:p w14:paraId="2EBFE288"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0,71 </w:t>
            </w:r>
            <w:r w:rsidRPr="00520861">
              <w:rPr>
                <w:rFonts w:eastAsia="Calibri"/>
                <w:sz w:val="28"/>
                <w:szCs w:val="28"/>
                <w:lang w:val="en-US" w:eastAsia="en-US"/>
              </w:rPr>
              <w:t>(</w:t>
            </w:r>
            <w:r w:rsidRPr="00520861">
              <w:rPr>
                <w:rFonts w:eastAsia="Calibri"/>
                <w:sz w:val="28"/>
                <w:szCs w:val="28"/>
                <w:lang w:eastAsia="en-US"/>
              </w:rPr>
              <w:t>0,64</w:t>
            </w:r>
            <w:r w:rsidRPr="00520861">
              <w:rPr>
                <w:rFonts w:eastAsia="Calibri"/>
                <w:sz w:val="28"/>
                <w:szCs w:val="28"/>
                <w:lang w:val="en-US" w:eastAsia="en-US"/>
              </w:rPr>
              <w:t xml:space="preserve">; </w:t>
            </w:r>
            <w:r w:rsidRPr="00520861">
              <w:rPr>
                <w:rFonts w:eastAsia="Calibri"/>
                <w:sz w:val="28"/>
                <w:szCs w:val="28"/>
                <w:lang w:eastAsia="en-US"/>
              </w:rPr>
              <w:t>0,74)</w:t>
            </w:r>
          </w:p>
        </w:tc>
        <w:tc>
          <w:tcPr>
            <w:tcW w:w="2127" w:type="dxa"/>
            <w:tcBorders>
              <w:top w:val="single" w:sz="4" w:space="0" w:color="auto"/>
              <w:left w:val="single" w:sz="4" w:space="0" w:color="auto"/>
              <w:bottom w:val="single" w:sz="4" w:space="0" w:color="auto"/>
              <w:right w:val="single" w:sz="4" w:space="0" w:color="auto"/>
            </w:tcBorders>
          </w:tcPr>
          <w:p w14:paraId="1262352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1,65 </w:t>
            </w:r>
            <w:r w:rsidRPr="00520861">
              <w:rPr>
                <w:rFonts w:eastAsia="Calibri"/>
                <w:sz w:val="28"/>
                <w:szCs w:val="28"/>
                <w:lang w:val="en-US" w:eastAsia="en-US"/>
              </w:rPr>
              <w:t>(</w:t>
            </w:r>
            <w:r w:rsidRPr="00520861">
              <w:rPr>
                <w:rFonts w:eastAsia="Calibri"/>
                <w:sz w:val="28"/>
                <w:szCs w:val="28"/>
                <w:lang w:eastAsia="en-US"/>
              </w:rPr>
              <w:t>1,62</w:t>
            </w:r>
            <w:r w:rsidRPr="00520861">
              <w:rPr>
                <w:rFonts w:eastAsia="Calibri"/>
                <w:sz w:val="28"/>
                <w:szCs w:val="28"/>
                <w:lang w:val="en-US" w:eastAsia="en-US"/>
              </w:rPr>
              <w:t xml:space="preserve">; </w:t>
            </w:r>
            <w:r w:rsidRPr="00520861">
              <w:rPr>
                <w:rFonts w:eastAsia="Calibri"/>
                <w:sz w:val="28"/>
                <w:szCs w:val="28"/>
                <w:lang w:eastAsia="en-US"/>
              </w:rPr>
              <w:t>1,71)</w:t>
            </w:r>
          </w:p>
        </w:tc>
        <w:tc>
          <w:tcPr>
            <w:tcW w:w="2268" w:type="dxa"/>
            <w:tcBorders>
              <w:top w:val="single" w:sz="4" w:space="0" w:color="auto"/>
              <w:left w:val="single" w:sz="4" w:space="0" w:color="auto"/>
              <w:bottom w:val="single" w:sz="4" w:space="0" w:color="auto"/>
              <w:right w:val="single" w:sz="4" w:space="0" w:color="auto"/>
            </w:tcBorders>
          </w:tcPr>
          <w:p w14:paraId="5C9EDAE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1,41 </w:t>
            </w:r>
            <w:r w:rsidRPr="00520861">
              <w:rPr>
                <w:rFonts w:eastAsia="Calibri"/>
                <w:sz w:val="28"/>
                <w:szCs w:val="28"/>
                <w:lang w:val="en-US" w:eastAsia="en-US"/>
              </w:rPr>
              <w:t>(</w:t>
            </w:r>
            <w:r w:rsidRPr="00520861">
              <w:rPr>
                <w:rFonts w:eastAsia="Calibri"/>
                <w:sz w:val="28"/>
                <w:szCs w:val="28"/>
                <w:lang w:eastAsia="en-US"/>
              </w:rPr>
              <w:t>1,38</w:t>
            </w:r>
            <w:r w:rsidRPr="00520861">
              <w:rPr>
                <w:rFonts w:eastAsia="Calibri"/>
                <w:sz w:val="28"/>
                <w:szCs w:val="28"/>
                <w:lang w:val="en-US" w:eastAsia="en-US"/>
              </w:rPr>
              <w:t xml:space="preserve">; </w:t>
            </w:r>
            <w:r w:rsidRPr="00520861">
              <w:rPr>
                <w:rFonts w:eastAsia="Calibri"/>
                <w:sz w:val="28"/>
                <w:szCs w:val="28"/>
                <w:lang w:eastAsia="en-US"/>
              </w:rPr>
              <w:t>1,45)</w:t>
            </w:r>
          </w:p>
        </w:tc>
        <w:tc>
          <w:tcPr>
            <w:tcW w:w="2268" w:type="dxa"/>
            <w:tcBorders>
              <w:top w:val="single" w:sz="4" w:space="0" w:color="auto"/>
              <w:left w:val="single" w:sz="4" w:space="0" w:color="auto"/>
              <w:bottom w:val="single" w:sz="4" w:space="0" w:color="auto"/>
              <w:right w:val="single" w:sz="4" w:space="0" w:color="auto"/>
            </w:tcBorders>
          </w:tcPr>
          <w:p w14:paraId="5540F522"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1,2</w:t>
            </w:r>
            <w:r w:rsidRPr="00520861">
              <w:rPr>
                <w:rFonts w:eastAsia="Calibri"/>
                <w:sz w:val="28"/>
                <w:szCs w:val="28"/>
                <w:lang w:val="en-US" w:eastAsia="en-US"/>
              </w:rPr>
              <w:t>0</w:t>
            </w:r>
            <w:r w:rsidRPr="00520861">
              <w:rPr>
                <w:rFonts w:eastAsia="Calibri"/>
                <w:sz w:val="28"/>
                <w:szCs w:val="28"/>
                <w:lang w:eastAsia="en-US"/>
              </w:rPr>
              <w:t xml:space="preserve"> </w:t>
            </w:r>
            <w:r w:rsidRPr="00520861">
              <w:rPr>
                <w:rFonts w:eastAsia="Calibri"/>
                <w:sz w:val="28"/>
                <w:szCs w:val="28"/>
                <w:lang w:val="en-US" w:eastAsia="en-US"/>
              </w:rPr>
              <w:t>(</w:t>
            </w:r>
            <w:r w:rsidRPr="00520861">
              <w:rPr>
                <w:rFonts w:eastAsia="Calibri"/>
                <w:sz w:val="28"/>
                <w:szCs w:val="28"/>
                <w:lang w:eastAsia="en-US"/>
              </w:rPr>
              <w:t>1,20;</w:t>
            </w:r>
            <w:r w:rsidRPr="00520861">
              <w:rPr>
                <w:rFonts w:eastAsia="Calibri"/>
                <w:sz w:val="28"/>
                <w:szCs w:val="28"/>
                <w:lang w:val="en-US" w:eastAsia="en-US"/>
              </w:rPr>
              <w:t xml:space="preserve"> </w:t>
            </w:r>
            <w:r w:rsidRPr="00520861">
              <w:rPr>
                <w:rFonts w:eastAsia="Calibri"/>
                <w:sz w:val="28"/>
                <w:szCs w:val="28"/>
                <w:lang w:eastAsia="en-US"/>
              </w:rPr>
              <w:t>1,22</w:t>
            </w:r>
            <w:r w:rsidRPr="00520861">
              <w:rPr>
                <w:rFonts w:eastAsia="Calibri"/>
                <w:sz w:val="28"/>
                <w:szCs w:val="28"/>
                <w:lang w:val="en-US" w:eastAsia="en-US"/>
              </w:rPr>
              <w:t>)</w:t>
            </w:r>
          </w:p>
        </w:tc>
      </w:tr>
      <w:tr w:rsidR="00CF641C" w:rsidRPr="00520861" w14:paraId="72B3A5E7" w14:textId="77777777" w:rsidTr="00292D2E">
        <w:trPr>
          <w:jc w:val="center"/>
        </w:trPr>
        <w:tc>
          <w:tcPr>
            <w:tcW w:w="1255" w:type="dxa"/>
            <w:tcBorders>
              <w:top w:val="single" w:sz="4" w:space="0" w:color="auto"/>
              <w:left w:val="single" w:sz="4" w:space="0" w:color="auto"/>
              <w:bottom w:val="single" w:sz="4" w:space="0" w:color="auto"/>
              <w:right w:val="single" w:sz="4" w:space="0" w:color="auto"/>
            </w:tcBorders>
          </w:tcPr>
          <w:p w14:paraId="4D602E33" w14:textId="77777777" w:rsidR="00CF641C" w:rsidRPr="00520861" w:rsidRDefault="00CF641C" w:rsidP="00292D2E">
            <w:pPr>
              <w:widowControl w:val="0"/>
              <w:spacing w:line="360" w:lineRule="auto"/>
              <w:rPr>
                <w:rFonts w:eastAsia="Calibri"/>
                <w:sz w:val="28"/>
                <w:szCs w:val="28"/>
                <w:lang w:eastAsia="en-US"/>
              </w:rPr>
            </w:pPr>
            <w:r w:rsidRPr="00520861">
              <w:rPr>
                <w:rFonts w:eastAsia="Calibri"/>
                <w:sz w:val="28"/>
                <w:szCs w:val="28"/>
                <w:lang w:eastAsia="en-US"/>
              </w:rPr>
              <w:t>Група 2</w:t>
            </w:r>
          </w:p>
        </w:tc>
        <w:tc>
          <w:tcPr>
            <w:tcW w:w="2147" w:type="dxa"/>
            <w:tcBorders>
              <w:top w:val="single" w:sz="4" w:space="0" w:color="auto"/>
              <w:left w:val="single" w:sz="4" w:space="0" w:color="auto"/>
              <w:bottom w:val="single" w:sz="4" w:space="0" w:color="auto"/>
              <w:right w:val="single" w:sz="4" w:space="0" w:color="auto"/>
            </w:tcBorders>
          </w:tcPr>
          <w:p w14:paraId="7DD9485E" w14:textId="77777777" w:rsidR="00CF641C" w:rsidRPr="00520861" w:rsidRDefault="00CF641C" w:rsidP="00292D2E">
            <w:pPr>
              <w:widowControl w:val="0"/>
              <w:spacing w:line="360" w:lineRule="auto"/>
              <w:ind w:hanging="88"/>
              <w:jc w:val="center"/>
              <w:rPr>
                <w:rFonts w:eastAsia="Calibri"/>
                <w:sz w:val="28"/>
                <w:szCs w:val="28"/>
                <w:lang w:eastAsia="en-US"/>
              </w:rPr>
            </w:pPr>
            <w:r w:rsidRPr="00520861">
              <w:rPr>
                <w:rFonts w:eastAsia="Calibri"/>
                <w:sz w:val="28"/>
                <w:szCs w:val="28"/>
                <w:lang w:eastAsia="en-US"/>
              </w:rPr>
              <w:t xml:space="preserve">0,35* </w:t>
            </w:r>
          </w:p>
          <w:p w14:paraId="13BA494B" w14:textId="77777777" w:rsidR="00CF641C" w:rsidRPr="00520861" w:rsidRDefault="00CF641C" w:rsidP="00292D2E">
            <w:pPr>
              <w:widowControl w:val="0"/>
              <w:spacing w:line="360" w:lineRule="auto"/>
              <w:ind w:hanging="88"/>
              <w:jc w:val="center"/>
              <w:rPr>
                <w:rFonts w:eastAsia="Calibri"/>
                <w:sz w:val="28"/>
                <w:szCs w:val="28"/>
                <w:lang w:eastAsia="en-US"/>
              </w:rPr>
            </w:pPr>
            <w:r w:rsidRPr="00520861">
              <w:rPr>
                <w:rFonts w:eastAsia="Calibri"/>
                <w:sz w:val="28"/>
                <w:szCs w:val="28"/>
                <w:lang w:val="en-US" w:eastAsia="en-US"/>
              </w:rPr>
              <w:t>(</w:t>
            </w:r>
            <w:r w:rsidRPr="00520861">
              <w:rPr>
                <w:rFonts w:eastAsia="Calibri"/>
                <w:sz w:val="28"/>
                <w:szCs w:val="28"/>
                <w:lang w:eastAsia="en-US"/>
              </w:rPr>
              <w:t>0,12</w:t>
            </w:r>
            <w:r w:rsidRPr="00520861">
              <w:rPr>
                <w:rFonts w:eastAsia="Calibri"/>
                <w:sz w:val="28"/>
                <w:szCs w:val="28"/>
                <w:lang w:val="en-US" w:eastAsia="en-US"/>
              </w:rPr>
              <w:t xml:space="preserve">; </w:t>
            </w:r>
            <w:r w:rsidRPr="00520861">
              <w:rPr>
                <w:rFonts w:eastAsia="Calibri"/>
                <w:sz w:val="28"/>
                <w:szCs w:val="28"/>
                <w:lang w:eastAsia="en-US"/>
              </w:rPr>
              <w:t>0,54)</w:t>
            </w:r>
          </w:p>
          <w:p w14:paraId="6C9A818F" w14:textId="77777777" w:rsidR="00CF641C" w:rsidRPr="00520861" w:rsidRDefault="00CF641C" w:rsidP="00292D2E">
            <w:pPr>
              <w:widowControl w:val="0"/>
              <w:spacing w:line="360" w:lineRule="auto"/>
              <w:jc w:val="center"/>
              <w:rPr>
                <w:rFonts w:eastAsia="Calibri"/>
                <w:sz w:val="28"/>
                <w:szCs w:val="28"/>
                <w:lang w:val="en-US"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00016</w:t>
            </w:r>
          </w:p>
        </w:tc>
        <w:tc>
          <w:tcPr>
            <w:tcW w:w="2127" w:type="dxa"/>
            <w:tcBorders>
              <w:top w:val="single" w:sz="4" w:space="0" w:color="auto"/>
              <w:left w:val="single" w:sz="4" w:space="0" w:color="auto"/>
              <w:bottom w:val="single" w:sz="4" w:space="0" w:color="auto"/>
              <w:right w:val="single" w:sz="4" w:space="0" w:color="auto"/>
            </w:tcBorders>
          </w:tcPr>
          <w:p w14:paraId="7E693771"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1,65 </w:t>
            </w:r>
            <w:r w:rsidRPr="00520861">
              <w:rPr>
                <w:rFonts w:eastAsia="Calibri"/>
                <w:sz w:val="28"/>
                <w:szCs w:val="28"/>
                <w:lang w:val="en-US" w:eastAsia="en-US"/>
              </w:rPr>
              <w:t>(</w:t>
            </w:r>
            <w:r w:rsidRPr="00520861">
              <w:rPr>
                <w:rFonts w:eastAsia="Calibri"/>
                <w:sz w:val="28"/>
                <w:szCs w:val="28"/>
                <w:lang w:eastAsia="en-US"/>
              </w:rPr>
              <w:t>1,61;</w:t>
            </w:r>
            <w:r w:rsidRPr="00520861">
              <w:rPr>
                <w:rFonts w:eastAsia="Calibri"/>
                <w:sz w:val="28"/>
                <w:szCs w:val="28"/>
                <w:lang w:val="en-US" w:eastAsia="en-US"/>
              </w:rPr>
              <w:t xml:space="preserve"> </w:t>
            </w:r>
            <w:r w:rsidRPr="00520861">
              <w:rPr>
                <w:rFonts w:eastAsia="Calibri"/>
                <w:sz w:val="28"/>
                <w:szCs w:val="28"/>
                <w:lang w:eastAsia="en-US"/>
              </w:rPr>
              <w:t>1,69</w:t>
            </w:r>
            <w:r w:rsidRPr="00520861">
              <w:rPr>
                <w:rFonts w:eastAsia="Calibri"/>
                <w:sz w:val="28"/>
                <w:szCs w:val="28"/>
                <w:lang w:val="en-US" w:eastAsia="en-US"/>
              </w:rPr>
              <w:t>)</w:t>
            </w:r>
          </w:p>
        </w:tc>
        <w:tc>
          <w:tcPr>
            <w:tcW w:w="2268" w:type="dxa"/>
            <w:tcBorders>
              <w:top w:val="single" w:sz="4" w:space="0" w:color="auto"/>
              <w:left w:val="single" w:sz="4" w:space="0" w:color="auto"/>
              <w:bottom w:val="single" w:sz="4" w:space="0" w:color="auto"/>
              <w:right w:val="single" w:sz="4" w:space="0" w:color="auto"/>
            </w:tcBorders>
          </w:tcPr>
          <w:p w14:paraId="2580EADB"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1,43 </w:t>
            </w:r>
            <w:r w:rsidRPr="00520861">
              <w:rPr>
                <w:rFonts w:eastAsia="Calibri"/>
                <w:sz w:val="28"/>
                <w:szCs w:val="28"/>
                <w:lang w:val="en-US" w:eastAsia="en-US"/>
              </w:rPr>
              <w:t>(</w:t>
            </w:r>
            <w:r w:rsidRPr="00520861">
              <w:rPr>
                <w:rFonts w:eastAsia="Calibri"/>
                <w:sz w:val="28"/>
                <w:szCs w:val="28"/>
                <w:lang w:eastAsia="en-US"/>
              </w:rPr>
              <w:t>1,41</w:t>
            </w:r>
            <w:r w:rsidRPr="00520861">
              <w:rPr>
                <w:rFonts w:eastAsia="Calibri"/>
                <w:sz w:val="28"/>
                <w:szCs w:val="28"/>
                <w:lang w:val="en-US" w:eastAsia="en-US"/>
              </w:rPr>
              <w:t xml:space="preserve">; </w:t>
            </w:r>
            <w:r w:rsidRPr="00520861">
              <w:rPr>
                <w:rFonts w:eastAsia="Calibri"/>
                <w:sz w:val="28"/>
                <w:szCs w:val="28"/>
                <w:lang w:eastAsia="en-US"/>
              </w:rPr>
              <w:t>1,45</w:t>
            </w:r>
            <w:r w:rsidRPr="00520861">
              <w:rPr>
                <w:rFonts w:eastAsia="Calibri"/>
                <w:sz w:val="28"/>
                <w:szCs w:val="28"/>
                <w:lang w:val="en-US" w:eastAsia="en-US"/>
              </w:rPr>
              <w:t>)</w:t>
            </w:r>
          </w:p>
        </w:tc>
        <w:tc>
          <w:tcPr>
            <w:tcW w:w="2268" w:type="dxa"/>
            <w:tcBorders>
              <w:top w:val="single" w:sz="4" w:space="0" w:color="auto"/>
              <w:left w:val="single" w:sz="4" w:space="0" w:color="auto"/>
              <w:bottom w:val="single" w:sz="4" w:space="0" w:color="auto"/>
              <w:right w:val="single" w:sz="4" w:space="0" w:color="auto"/>
            </w:tcBorders>
          </w:tcPr>
          <w:p w14:paraId="5DBE9053"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1,2</w:t>
            </w:r>
            <w:r w:rsidRPr="00520861">
              <w:rPr>
                <w:rFonts w:eastAsia="Calibri"/>
                <w:sz w:val="28"/>
                <w:szCs w:val="28"/>
                <w:lang w:val="en-US" w:eastAsia="en-US"/>
              </w:rPr>
              <w:t>0</w:t>
            </w:r>
            <w:r w:rsidRPr="00520861">
              <w:rPr>
                <w:rFonts w:eastAsia="Calibri"/>
                <w:sz w:val="28"/>
                <w:szCs w:val="28"/>
                <w:lang w:eastAsia="en-US"/>
              </w:rPr>
              <w:t xml:space="preserve"> </w:t>
            </w:r>
            <w:r w:rsidRPr="00520861">
              <w:rPr>
                <w:rFonts w:eastAsia="Calibri"/>
                <w:sz w:val="28"/>
                <w:szCs w:val="28"/>
                <w:lang w:val="en-US" w:eastAsia="en-US"/>
              </w:rPr>
              <w:t>(</w:t>
            </w:r>
            <w:r w:rsidRPr="00520861">
              <w:rPr>
                <w:rFonts w:eastAsia="Calibri"/>
                <w:sz w:val="28"/>
                <w:szCs w:val="28"/>
                <w:lang w:eastAsia="en-US"/>
              </w:rPr>
              <w:t>1,19; 1,22)</w:t>
            </w:r>
          </w:p>
        </w:tc>
      </w:tr>
      <w:tr w:rsidR="00CF641C" w:rsidRPr="00520861" w14:paraId="3141F22F" w14:textId="77777777" w:rsidTr="00292D2E">
        <w:trPr>
          <w:jc w:val="center"/>
        </w:trPr>
        <w:tc>
          <w:tcPr>
            <w:tcW w:w="1255" w:type="dxa"/>
            <w:tcBorders>
              <w:top w:val="single" w:sz="4" w:space="0" w:color="auto"/>
              <w:left w:val="single" w:sz="4" w:space="0" w:color="auto"/>
              <w:bottom w:val="single" w:sz="4" w:space="0" w:color="auto"/>
              <w:right w:val="single" w:sz="4" w:space="0" w:color="auto"/>
            </w:tcBorders>
            <w:hideMark/>
          </w:tcPr>
          <w:p w14:paraId="70F08261" w14:textId="77777777" w:rsidR="00CF641C" w:rsidRPr="00520861" w:rsidRDefault="00CF641C" w:rsidP="00292D2E">
            <w:pPr>
              <w:widowControl w:val="0"/>
              <w:spacing w:line="360" w:lineRule="auto"/>
              <w:rPr>
                <w:rFonts w:eastAsia="Calibri"/>
                <w:sz w:val="28"/>
                <w:szCs w:val="28"/>
                <w:lang w:eastAsia="en-US"/>
              </w:rPr>
            </w:pPr>
            <w:r w:rsidRPr="00520861">
              <w:rPr>
                <w:rFonts w:eastAsia="Calibri"/>
                <w:sz w:val="28"/>
                <w:szCs w:val="28"/>
                <w:lang w:eastAsia="en-US"/>
              </w:rPr>
              <w:t>Група 3</w:t>
            </w:r>
          </w:p>
        </w:tc>
        <w:tc>
          <w:tcPr>
            <w:tcW w:w="2147" w:type="dxa"/>
            <w:tcBorders>
              <w:top w:val="single" w:sz="4" w:space="0" w:color="auto"/>
              <w:left w:val="single" w:sz="4" w:space="0" w:color="auto"/>
              <w:bottom w:val="single" w:sz="4" w:space="0" w:color="auto"/>
              <w:right w:val="single" w:sz="4" w:space="0" w:color="auto"/>
            </w:tcBorders>
            <w:hideMark/>
          </w:tcPr>
          <w:p w14:paraId="55C6BFF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0,68 </w:t>
            </w:r>
            <w:r w:rsidRPr="00520861">
              <w:rPr>
                <w:rFonts w:eastAsia="Calibri"/>
                <w:sz w:val="28"/>
                <w:szCs w:val="28"/>
                <w:lang w:val="en-US" w:eastAsia="en-US"/>
              </w:rPr>
              <w:t>(</w:t>
            </w:r>
            <w:r w:rsidRPr="00520861">
              <w:rPr>
                <w:rFonts w:eastAsia="Calibri"/>
                <w:sz w:val="28"/>
                <w:szCs w:val="28"/>
                <w:lang w:eastAsia="en-US"/>
              </w:rPr>
              <w:t>0,64;</w:t>
            </w:r>
            <w:r w:rsidRPr="00520861">
              <w:rPr>
                <w:rFonts w:eastAsia="Calibri"/>
                <w:sz w:val="28"/>
                <w:szCs w:val="28"/>
                <w:lang w:val="en-US" w:eastAsia="en-US"/>
              </w:rPr>
              <w:t xml:space="preserve"> </w:t>
            </w:r>
            <w:r w:rsidRPr="00520861">
              <w:rPr>
                <w:rFonts w:eastAsia="Calibri"/>
                <w:sz w:val="28"/>
                <w:szCs w:val="28"/>
                <w:lang w:eastAsia="en-US"/>
              </w:rPr>
              <w:t>0,73)</w:t>
            </w:r>
          </w:p>
        </w:tc>
        <w:tc>
          <w:tcPr>
            <w:tcW w:w="2127" w:type="dxa"/>
            <w:tcBorders>
              <w:top w:val="single" w:sz="4" w:space="0" w:color="auto"/>
              <w:left w:val="single" w:sz="4" w:space="0" w:color="auto"/>
              <w:bottom w:val="single" w:sz="4" w:space="0" w:color="auto"/>
              <w:right w:val="single" w:sz="4" w:space="0" w:color="auto"/>
            </w:tcBorders>
            <w:hideMark/>
          </w:tcPr>
          <w:p w14:paraId="44C05DB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1,62 </w:t>
            </w:r>
            <w:r w:rsidRPr="00520861">
              <w:rPr>
                <w:rFonts w:eastAsia="Calibri"/>
                <w:sz w:val="28"/>
                <w:szCs w:val="28"/>
                <w:lang w:val="en-US" w:eastAsia="en-US"/>
              </w:rPr>
              <w:t>(</w:t>
            </w:r>
            <w:r w:rsidRPr="00520861">
              <w:rPr>
                <w:rFonts w:eastAsia="Calibri"/>
                <w:sz w:val="28"/>
                <w:szCs w:val="28"/>
                <w:lang w:eastAsia="en-US"/>
              </w:rPr>
              <w:t>1,57;</w:t>
            </w:r>
            <w:r w:rsidRPr="00520861">
              <w:rPr>
                <w:rFonts w:eastAsia="Calibri"/>
                <w:sz w:val="28"/>
                <w:szCs w:val="28"/>
                <w:lang w:val="en-US" w:eastAsia="en-US"/>
              </w:rPr>
              <w:t xml:space="preserve"> </w:t>
            </w:r>
            <w:r w:rsidRPr="00520861">
              <w:rPr>
                <w:rFonts w:eastAsia="Calibri"/>
                <w:sz w:val="28"/>
                <w:szCs w:val="28"/>
                <w:lang w:eastAsia="en-US"/>
              </w:rPr>
              <w:t>1,71)</w:t>
            </w:r>
          </w:p>
        </w:tc>
        <w:tc>
          <w:tcPr>
            <w:tcW w:w="2268" w:type="dxa"/>
            <w:tcBorders>
              <w:top w:val="single" w:sz="4" w:space="0" w:color="auto"/>
              <w:left w:val="single" w:sz="4" w:space="0" w:color="auto"/>
              <w:bottom w:val="single" w:sz="4" w:space="0" w:color="auto"/>
              <w:right w:val="single" w:sz="4" w:space="0" w:color="auto"/>
            </w:tcBorders>
            <w:hideMark/>
          </w:tcPr>
          <w:p w14:paraId="22D94680"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1,40 </w:t>
            </w:r>
            <w:r w:rsidRPr="00520861">
              <w:rPr>
                <w:rFonts w:eastAsia="Calibri"/>
                <w:sz w:val="28"/>
                <w:szCs w:val="28"/>
                <w:lang w:val="en-US" w:eastAsia="en-US"/>
              </w:rPr>
              <w:t>(</w:t>
            </w:r>
            <w:r w:rsidRPr="00520861">
              <w:rPr>
                <w:rFonts w:eastAsia="Calibri"/>
                <w:sz w:val="28"/>
                <w:szCs w:val="28"/>
                <w:lang w:eastAsia="en-US"/>
              </w:rPr>
              <w:t>1,36; 1,44</w:t>
            </w:r>
            <w:r w:rsidRPr="00520861">
              <w:rPr>
                <w:rFonts w:eastAsia="Calibri"/>
                <w:sz w:val="28"/>
                <w:szCs w:val="28"/>
                <w:lang w:val="en-US" w:eastAsia="en-US"/>
              </w:rPr>
              <w:t>)</w:t>
            </w:r>
          </w:p>
        </w:tc>
        <w:tc>
          <w:tcPr>
            <w:tcW w:w="2268" w:type="dxa"/>
            <w:tcBorders>
              <w:top w:val="single" w:sz="4" w:space="0" w:color="auto"/>
              <w:left w:val="single" w:sz="4" w:space="0" w:color="auto"/>
              <w:bottom w:val="single" w:sz="4" w:space="0" w:color="auto"/>
              <w:right w:val="single" w:sz="4" w:space="0" w:color="auto"/>
            </w:tcBorders>
            <w:hideMark/>
          </w:tcPr>
          <w:p w14:paraId="04725560"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1,19 </w:t>
            </w:r>
            <w:r w:rsidRPr="00520861">
              <w:rPr>
                <w:rFonts w:eastAsia="Calibri"/>
                <w:sz w:val="28"/>
                <w:szCs w:val="28"/>
                <w:lang w:val="en-US" w:eastAsia="en-US"/>
              </w:rPr>
              <w:t>(</w:t>
            </w:r>
            <w:r w:rsidRPr="00520861">
              <w:rPr>
                <w:rFonts w:eastAsia="Calibri"/>
                <w:sz w:val="28"/>
                <w:szCs w:val="28"/>
                <w:lang w:eastAsia="en-US"/>
              </w:rPr>
              <w:t>1,16</w:t>
            </w:r>
            <w:r w:rsidRPr="00520861">
              <w:rPr>
                <w:rFonts w:eastAsia="Calibri"/>
                <w:sz w:val="28"/>
                <w:szCs w:val="28"/>
                <w:lang w:val="en-US" w:eastAsia="en-US"/>
              </w:rPr>
              <w:t xml:space="preserve">; </w:t>
            </w:r>
            <w:r w:rsidRPr="00520861">
              <w:rPr>
                <w:rFonts w:eastAsia="Calibri"/>
                <w:sz w:val="28"/>
                <w:szCs w:val="28"/>
                <w:lang w:eastAsia="en-US"/>
              </w:rPr>
              <w:t>1,22</w:t>
            </w:r>
            <w:r w:rsidRPr="00520861">
              <w:rPr>
                <w:rFonts w:eastAsia="Calibri"/>
                <w:sz w:val="28"/>
                <w:szCs w:val="28"/>
                <w:lang w:val="en-US" w:eastAsia="en-US"/>
              </w:rPr>
              <w:t>)</w:t>
            </w:r>
          </w:p>
        </w:tc>
      </w:tr>
      <w:tr w:rsidR="00CF641C" w:rsidRPr="00520861" w14:paraId="21678561" w14:textId="77777777" w:rsidTr="00292D2E">
        <w:trPr>
          <w:jc w:val="center"/>
        </w:trPr>
        <w:tc>
          <w:tcPr>
            <w:tcW w:w="1255" w:type="dxa"/>
            <w:tcBorders>
              <w:top w:val="single" w:sz="4" w:space="0" w:color="auto"/>
              <w:left w:val="single" w:sz="4" w:space="0" w:color="auto"/>
              <w:bottom w:val="single" w:sz="4" w:space="0" w:color="auto"/>
              <w:right w:val="single" w:sz="4" w:space="0" w:color="auto"/>
            </w:tcBorders>
            <w:hideMark/>
          </w:tcPr>
          <w:p w14:paraId="49F4B24A" w14:textId="77777777" w:rsidR="00CF641C" w:rsidRPr="00520861" w:rsidRDefault="00CF641C" w:rsidP="00292D2E">
            <w:pPr>
              <w:widowControl w:val="0"/>
              <w:spacing w:line="360" w:lineRule="auto"/>
              <w:rPr>
                <w:rFonts w:eastAsia="Calibri"/>
                <w:sz w:val="28"/>
                <w:szCs w:val="28"/>
                <w:lang w:eastAsia="en-US"/>
              </w:rPr>
            </w:pPr>
            <w:r w:rsidRPr="00520861">
              <w:rPr>
                <w:rFonts w:eastAsia="Calibri"/>
                <w:sz w:val="28"/>
                <w:szCs w:val="28"/>
                <w:lang w:eastAsia="en-US"/>
              </w:rPr>
              <w:t>Група 4</w:t>
            </w:r>
          </w:p>
        </w:tc>
        <w:tc>
          <w:tcPr>
            <w:tcW w:w="2147" w:type="dxa"/>
            <w:tcBorders>
              <w:top w:val="single" w:sz="4" w:space="0" w:color="auto"/>
              <w:left w:val="single" w:sz="4" w:space="0" w:color="auto"/>
              <w:bottom w:val="single" w:sz="4" w:space="0" w:color="auto"/>
              <w:right w:val="single" w:sz="4" w:space="0" w:color="auto"/>
            </w:tcBorders>
            <w:hideMark/>
          </w:tcPr>
          <w:p w14:paraId="4B68AA1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0,66 </w:t>
            </w:r>
            <w:r w:rsidRPr="00520861">
              <w:rPr>
                <w:rFonts w:eastAsia="Calibri"/>
                <w:sz w:val="28"/>
                <w:szCs w:val="28"/>
                <w:lang w:val="en-US" w:eastAsia="en-US"/>
              </w:rPr>
              <w:t>(</w:t>
            </w:r>
            <w:r w:rsidRPr="00520861">
              <w:rPr>
                <w:rFonts w:eastAsia="Calibri"/>
                <w:sz w:val="28"/>
                <w:szCs w:val="28"/>
                <w:lang w:eastAsia="en-US"/>
              </w:rPr>
              <w:t>0,63</w:t>
            </w:r>
            <w:r w:rsidRPr="00520861">
              <w:rPr>
                <w:rFonts w:eastAsia="Calibri"/>
                <w:sz w:val="28"/>
                <w:szCs w:val="28"/>
                <w:lang w:val="en-US" w:eastAsia="en-US"/>
              </w:rPr>
              <w:t xml:space="preserve"> </w:t>
            </w:r>
            <w:r w:rsidRPr="00520861">
              <w:rPr>
                <w:rFonts w:eastAsia="Calibri"/>
                <w:sz w:val="28"/>
                <w:szCs w:val="28"/>
                <w:lang w:eastAsia="en-US"/>
              </w:rPr>
              <w:t>;0,69</w:t>
            </w:r>
            <w:r w:rsidRPr="00520861">
              <w:rPr>
                <w:rFonts w:eastAsia="Calibri"/>
                <w:sz w:val="28"/>
                <w:szCs w:val="28"/>
                <w:lang w:val="en-US" w:eastAsia="en-US"/>
              </w:rPr>
              <w:t>)</w:t>
            </w:r>
          </w:p>
        </w:tc>
        <w:tc>
          <w:tcPr>
            <w:tcW w:w="2127" w:type="dxa"/>
            <w:tcBorders>
              <w:top w:val="single" w:sz="4" w:space="0" w:color="auto"/>
              <w:left w:val="single" w:sz="4" w:space="0" w:color="auto"/>
              <w:bottom w:val="single" w:sz="4" w:space="0" w:color="auto"/>
              <w:right w:val="single" w:sz="4" w:space="0" w:color="auto"/>
            </w:tcBorders>
            <w:hideMark/>
          </w:tcPr>
          <w:p w14:paraId="0951C25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1,62 </w:t>
            </w:r>
            <w:r w:rsidRPr="00520861">
              <w:rPr>
                <w:rFonts w:eastAsia="Calibri"/>
                <w:sz w:val="28"/>
                <w:szCs w:val="28"/>
                <w:lang w:val="en-US" w:eastAsia="en-US"/>
              </w:rPr>
              <w:t>(</w:t>
            </w:r>
            <w:r w:rsidRPr="00520861">
              <w:rPr>
                <w:rFonts w:eastAsia="Calibri"/>
                <w:sz w:val="28"/>
                <w:szCs w:val="28"/>
                <w:lang w:eastAsia="en-US"/>
              </w:rPr>
              <w:t>1,60;</w:t>
            </w:r>
            <w:r w:rsidRPr="00520861">
              <w:rPr>
                <w:rFonts w:eastAsia="Calibri"/>
                <w:sz w:val="28"/>
                <w:szCs w:val="28"/>
                <w:lang w:val="en-US" w:eastAsia="en-US"/>
              </w:rPr>
              <w:t xml:space="preserve"> </w:t>
            </w:r>
            <w:r w:rsidRPr="00520861">
              <w:rPr>
                <w:rFonts w:eastAsia="Calibri"/>
                <w:sz w:val="28"/>
                <w:szCs w:val="28"/>
                <w:lang w:eastAsia="en-US"/>
              </w:rPr>
              <w:t>1,62</w:t>
            </w:r>
            <w:r w:rsidRPr="00520861">
              <w:rPr>
                <w:rFonts w:eastAsia="Calibri"/>
                <w:sz w:val="28"/>
                <w:szCs w:val="28"/>
                <w:lang w:val="en-US" w:eastAsia="en-US"/>
              </w:rPr>
              <w:t>)</w:t>
            </w:r>
          </w:p>
        </w:tc>
        <w:tc>
          <w:tcPr>
            <w:tcW w:w="2268" w:type="dxa"/>
            <w:tcBorders>
              <w:top w:val="single" w:sz="4" w:space="0" w:color="auto"/>
              <w:left w:val="single" w:sz="4" w:space="0" w:color="auto"/>
              <w:bottom w:val="single" w:sz="4" w:space="0" w:color="auto"/>
              <w:right w:val="single" w:sz="4" w:space="0" w:color="auto"/>
            </w:tcBorders>
            <w:hideMark/>
          </w:tcPr>
          <w:p w14:paraId="209A68B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1,38 </w:t>
            </w:r>
            <w:r w:rsidRPr="00520861">
              <w:rPr>
                <w:rFonts w:eastAsia="Calibri"/>
                <w:sz w:val="28"/>
                <w:szCs w:val="28"/>
                <w:lang w:val="en-US" w:eastAsia="en-US"/>
              </w:rPr>
              <w:t>(</w:t>
            </w:r>
            <w:r w:rsidRPr="00520861">
              <w:rPr>
                <w:rFonts w:eastAsia="Calibri"/>
                <w:sz w:val="28"/>
                <w:szCs w:val="28"/>
                <w:lang w:eastAsia="en-US"/>
              </w:rPr>
              <w:t>1,36</w:t>
            </w:r>
            <w:r w:rsidRPr="00520861">
              <w:rPr>
                <w:rFonts w:eastAsia="Calibri"/>
                <w:sz w:val="28"/>
                <w:szCs w:val="28"/>
                <w:lang w:val="en-US" w:eastAsia="en-US"/>
              </w:rPr>
              <w:t xml:space="preserve">; </w:t>
            </w:r>
            <w:r w:rsidRPr="00520861">
              <w:rPr>
                <w:rFonts w:eastAsia="Calibri"/>
                <w:sz w:val="28"/>
                <w:szCs w:val="28"/>
                <w:lang w:eastAsia="en-US"/>
              </w:rPr>
              <w:t>1,4</w:t>
            </w:r>
            <w:r w:rsidRPr="00520861">
              <w:rPr>
                <w:rFonts w:eastAsia="Calibri"/>
                <w:sz w:val="28"/>
                <w:szCs w:val="28"/>
                <w:lang w:val="en-US" w:eastAsia="en-US"/>
              </w:rPr>
              <w:t>0)</w:t>
            </w:r>
          </w:p>
        </w:tc>
        <w:tc>
          <w:tcPr>
            <w:tcW w:w="2268" w:type="dxa"/>
            <w:tcBorders>
              <w:top w:val="single" w:sz="4" w:space="0" w:color="auto"/>
              <w:left w:val="single" w:sz="4" w:space="0" w:color="auto"/>
              <w:bottom w:val="single" w:sz="4" w:space="0" w:color="auto"/>
              <w:right w:val="single" w:sz="4" w:space="0" w:color="auto"/>
            </w:tcBorders>
            <w:hideMark/>
          </w:tcPr>
          <w:p w14:paraId="5EB002C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1,18 </w:t>
            </w:r>
            <w:r w:rsidRPr="00520861">
              <w:rPr>
                <w:rFonts w:eastAsia="Calibri"/>
                <w:sz w:val="28"/>
                <w:szCs w:val="28"/>
                <w:lang w:val="en-US" w:eastAsia="en-US"/>
              </w:rPr>
              <w:t>(</w:t>
            </w:r>
            <w:r w:rsidRPr="00520861">
              <w:rPr>
                <w:rFonts w:eastAsia="Calibri"/>
                <w:sz w:val="28"/>
                <w:szCs w:val="28"/>
                <w:lang w:eastAsia="en-US"/>
              </w:rPr>
              <w:t>1,16; 1,18</w:t>
            </w:r>
            <w:r w:rsidRPr="00520861">
              <w:rPr>
                <w:rFonts w:eastAsia="Calibri"/>
                <w:sz w:val="28"/>
                <w:szCs w:val="28"/>
                <w:lang w:val="en-US" w:eastAsia="en-US"/>
              </w:rPr>
              <w:t>)</w:t>
            </w:r>
          </w:p>
        </w:tc>
      </w:tr>
    </w:tbl>
    <w:p w14:paraId="1B74A219" w14:textId="77777777" w:rsidR="00CF641C" w:rsidRPr="00520861" w:rsidRDefault="00CF641C" w:rsidP="00292D2E">
      <w:pPr>
        <w:widowControl w:val="0"/>
        <w:spacing w:line="360" w:lineRule="auto"/>
        <w:ind w:right="83" w:firstLine="708"/>
        <w:jc w:val="both"/>
        <w:rPr>
          <w:rFonts w:eastAsia="Calibri"/>
          <w:sz w:val="28"/>
          <w:szCs w:val="28"/>
          <w:lang w:eastAsia="en-US"/>
        </w:rPr>
      </w:pPr>
      <w:r w:rsidRPr="00520861">
        <w:rPr>
          <w:rFonts w:eastAsia="Calibri"/>
          <w:sz w:val="28"/>
          <w:szCs w:val="28"/>
          <w:lang w:eastAsia="en-US"/>
        </w:rPr>
        <w:t>Примітка: *</w:t>
      </w:r>
      <w:r w:rsidRPr="00520861">
        <w:rPr>
          <w:sz w:val="28"/>
          <w:szCs w:val="28"/>
        </w:rPr>
        <w:t>–</w:t>
      </w:r>
      <w:r w:rsidRPr="00520861">
        <w:rPr>
          <w:rFonts w:eastAsia="Calibri"/>
          <w:sz w:val="28"/>
          <w:szCs w:val="28"/>
          <w:lang w:eastAsia="en-US"/>
        </w:rPr>
        <w:t xml:space="preserve"> відмінність від групи контролю вірогідна із ймовірністю </w:t>
      </w:r>
      <w:r w:rsidRPr="00520861">
        <w:rPr>
          <w:rFonts w:eastAsia="Calibri"/>
          <w:sz w:val="28"/>
          <w:szCs w:val="28"/>
          <w:lang w:eastAsia="en-US"/>
        </w:rPr>
        <w:br/>
        <w:t xml:space="preserve">похибки </w:t>
      </w:r>
      <w:r w:rsidR="008F04CE" w:rsidRPr="00520861">
        <w:rPr>
          <w:rFonts w:eastAsia="Calibri"/>
          <w:i/>
          <w:sz w:val="28"/>
          <w:szCs w:val="28"/>
          <w:lang w:eastAsia="en-US"/>
        </w:rPr>
        <w:t>p</w:t>
      </w:r>
      <w:r w:rsidR="00CD7533" w:rsidRPr="00520861">
        <w:rPr>
          <w:rFonts w:eastAsia="Calibri"/>
          <w:sz w:val="28"/>
          <w:szCs w:val="28"/>
          <w:lang w:eastAsia="en-US"/>
        </w:rPr>
        <w:t>&lt;</w:t>
      </w:r>
      <w:r w:rsidR="008F04CE" w:rsidRPr="00520861">
        <w:rPr>
          <w:rFonts w:eastAsia="Calibri"/>
          <w:sz w:val="28"/>
          <w:szCs w:val="28"/>
          <w:lang w:eastAsia="en-US"/>
        </w:rPr>
        <w:t>0,05</w:t>
      </w:r>
      <w:r w:rsidRPr="00520861">
        <w:rPr>
          <w:sz w:val="28"/>
          <w:szCs w:val="28"/>
        </w:rPr>
        <w:t xml:space="preserve"> </w:t>
      </w:r>
      <w:r w:rsidRPr="00520861">
        <w:rPr>
          <w:rFonts w:eastAsia="Calibri"/>
          <w:sz w:val="28"/>
          <w:szCs w:val="28"/>
          <w:lang w:eastAsia="en-US"/>
        </w:rPr>
        <w:t>за критерієм Манна – Уітні.</w:t>
      </w:r>
    </w:p>
    <w:p w14:paraId="647B53F9" w14:textId="77777777" w:rsidR="00CF641C" w:rsidRPr="00520861" w:rsidRDefault="00CF641C" w:rsidP="00292D2E">
      <w:pPr>
        <w:widowControl w:val="0"/>
        <w:spacing w:line="360" w:lineRule="auto"/>
        <w:jc w:val="center"/>
        <w:rPr>
          <w:rFonts w:eastAsia="Calibri"/>
          <w:noProof/>
          <w:sz w:val="28"/>
          <w:szCs w:val="28"/>
          <w:lang w:val="ru-RU"/>
        </w:rPr>
      </w:pPr>
      <w:r w:rsidRPr="00520861">
        <w:rPr>
          <w:rFonts w:eastAsia="Calibri"/>
          <w:noProof/>
          <w:sz w:val="28"/>
          <w:szCs w:val="28"/>
          <w:lang w:val="ru-RU"/>
        </w:rPr>
        <w:lastRenderedPageBreak/>
        <w:drawing>
          <wp:inline distT="0" distB="0" distL="0" distR="0" wp14:anchorId="40737E28" wp14:editId="29BB91B6">
            <wp:extent cx="3340800" cy="4500000"/>
            <wp:effectExtent l="0" t="7937" r="4127" b="4128"/>
            <wp:docPr id="26" name="Рисунок 3" descr="гипокин нов-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гипокин нов-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3340800" cy="4500000"/>
                    </a:xfrm>
                    <a:prstGeom prst="rect">
                      <a:avLst/>
                    </a:prstGeom>
                    <a:noFill/>
                    <a:ln>
                      <a:noFill/>
                    </a:ln>
                  </pic:spPr>
                </pic:pic>
              </a:graphicData>
            </a:graphic>
          </wp:inline>
        </w:drawing>
      </w:r>
    </w:p>
    <w:p w14:paraId="6A516ED1"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3.6. </w:t>
      </w:r>
      <w:proofErr w:type="spellStart"/>
      <w:r w:rsidRPr="00520861">
        <w:rPr>
          <w:rFonts w:eastAsia="Calibri"/>
          <w:sz w:val="28"/>
          <w:szCs w:val="28"/>
          <w:lang w:eastAsia="en-US"/>
        </w:rPr>
        <w:t>Зубощелепні</w:t>
      </w:r>
      <w:proofErr w:type="spellEnd"/>
      <w:r w:rsidRPr="00520861">
        <w:rPr>
          <w:rFonts w:eastAsia="Calibri"/>
          <w:sz w:val="28"/>
          <w:szCs w:val="28"/>
          <w:lang w:eastAsia="en-US"/>
        </w:rPr>
        <w:t xml:space="preserve"> блоки щура групи 4 віком 12 діб (верхня та нижня щелепи), стрілками позначені різці, в правій панелі їх збільшене зображення. </w:t>
      </w:r>
    </w:p>
    <w:p w14:paraId="51152F53"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У правій панелі – збільшення </w:t>
      </w:r>
      <w:r w:rsidRPr="00520861">
        <w:rPr>
          <w:rFonts w:eastAsia="Calibri"/>
          <w:sz w:val="28"/>
          <w:szCs w:val="28"/>
          <w:lang w:eastAsia="en-US"/>
        </w:rPr>
        <w:sym w:font="Symbol" w:char="F0B4"/>
      </w:r>
      <w:r w:rsidRPr="00520861">
        <w:rPr>
          <w:rFonts w:eastAsia="Calibri"/>
          <w:sz w:val="28"/>
          <w:szCs w:val="28"/>
          <w:lang w:eastAsia="en-US"/>
        </w:rPr>
        <w:t>40.</w:t>
      </w:r>
    </w:p>
    <w:p w14:paraId="34C57678" w14:textId="77777777" w:rsidR="00CF641C" w:rsidRPr="00520861" w:rsidRDefault="00CF641C" w:rsidP="00292D2E">
      <w:pPr>
        <w:widowControl w:val="0"/>
        <w:spacing w:line="360" w:lineRule="auto"/>
        <w:ind w:firstLine="708"/>
        <w:jc w:val="both"/>
        <w:rPr>
          <w:rFonts w:eastAsia="Calibri"/>
          <w:sz w:val="28"/>
          <w:szCs w:val="28"/>
          <w:lang w:eastAsia="en-US"/>
        </w:rPr>
      </w:pPr>
    </w:p>
    <w:p w14:paraId="165EA1F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drawing>
          <wp:inline distT="0" distB="0" distL="0" distR="0" wp14:anchorId="1BD1AA0B" wp14:editId="557520F1">
            <wp:extent cx="3340800" cy="4500000"/>
            <wp:effectExtent l="0" t="7937" r="4127" b="4128"/>
            <wp:docPr id="27" name="Рисунок 6" descr="Безымянный-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Безымянный-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3340800" cy="4500000"/>
                    </a:xfrm>
                    <a:prstGeom prst="rect">
                      <a:avLst/>
                    </a:prstGeom>
                    <a:noFill/>
                    <a:ln>
                      <a:noFill/>
                    </a:ln>
                  </pic:spPr>
                </pic:pic>
              </a:graphicData>
            </a:graphic>
          </wp:inline>
        </w:drawing>
      </w:r>
    </w:p>
    <w:p w14:paraId="4778B921"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3.7. </w:t>
      </w:r>
      <w:proofErr w:type="spellStart"/>
      <w:r w:rsidRPr="00520861">
        <w:rPr>
          <w:rFonts w:eastAsia="Calibri"/>
          <w:sz w:val="28"/>
          <w:szCs w:val="28"/>
          <w:lang w:eastAsia="en-US"/>
        </w:rPr>
        <w:t>Зубощелепні</w:t>
      </w:r>
      <w:proofErr w:type="spellEnd"/>
      <w:r w:rsidRPr="00520861">
        <w:rPr>
          <w:rFonts w:eastAsia="Calibri"/>
          <w:sz w:val="28"/>
          <w:szCs w:val="28"/>
          <w:lang w:eastAsia="en-US"/>
        </w:rPr>
        <w:t xml:space="preserve"> блоки щура групи 2 віком 12 діб (верхня та нижня щелепи), стрілками позначені різці, у правій панелі їхнє збільшене зображення. </w:t>
      </w:r>
    </w:p>
    <w:p w14:paraId="7D630180"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У правій панелі – збільшення </w:t>
      </w:r>
      <w:r w:rsidRPr="00520861">
        <w:rPr>
          <w:rFonts w:eastAsia="Calibri"/>
          <w:sz w:val="28"/>
          <w:szCs w:val="28"/>
          <w:lang w:eastAsia="en-US"/>
        </w:rPr>
        <w:sym w:font="Symbol" w:char="F0B4"/>
      </w:r>
      <w:r w:rsidRPr="00520861">
        <w:rPr>
          <w:rFonts w:eastAsia="Calibri"/>
          <w:sz w:val="28"/>
          <w:szCs w:val="28"/>
          <w:lang w:eastAsia="en-US"/>
        </w:rPr>
        <w:t xml:space="preserve"> 40.</w:t>
      </w:r>
    </w:p>
    <w:p w14:paraId="5A3D758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097D9931" wp14:editId="326AA5E6">
            <wp:extent cx="3506400" cy="4860000"/>
            <wp:effectExtent l="8890" t="0" r="8255" b="8255"/>
            <wp:docPr id="28" name="Рисунок 2" descr="контроль-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контроль-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3506400" cy="4860000"/>
                    </a:xfrm>
                    <a:prstGeom prst="rect">
                      <a:avLst/>
                    </a:prstGeom>
                    <a:noFill/>
                    <a:ln>
                      <a:noFill/>
                    </a:ln>
                  </pic:spPr>
                </pic:pic>
              </a:graphicData>
            </a:graphic>
          </wp:inline>
        </w:drawing>
      </w:r>
    </w:p>
    <w:p w14:paraId="02D2706C"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3.8. </w:t>
      </w:r>
      <w:proofErr w:type="spellStart"/>
      <w:r w:rsidRPr="00520861">
        <w:rPr>
          <w:rFonts w:eastAsia="Calibri"/>
          <w:sz w:val="28"/>
          <w:szCs w:val="28"/>
          <w:lang w:eastAsia="en-US"/>
        </w:rPr>
        <w:t>Зубощелепні</w:t>
      </w:r>
      <w:proofErr w:type="spellEnd"/>
      <w:r w:rsidRPr="00520861">
        <w:rPr>
          <w:rFonts w:eastAsia="Calibri"/>
          <w:sz w:val="28"/>
          <w:szCs w:val="28"/>
          <w:lang w:eastAsia="en-US"/>
        </w:rPr>
        <w:t xml:space="preserve"> блоки щура групи контролю віком 40 діб (верхня та нижня щелепи).</w:t>
      </w:r>
    </w:p>
    <w:p w14:paraId="5E2F916F" w14:textId="77777777" w:rsidR="00CF641C" w:rsidRPr="00520861" w:rsidRDefault="00CF641C" w:rsidP="00292D2E">
      <w:pPr>
        <w:widowControl w:val="0"/>
        <w:spacing w:line="360" w:lineRule="auto"/>
        <w:jc w:val="center"/>
        <w:rPr>
          <w:rFonts w:eastAsia="Calibri"/>
          <w:sz w:val="28"/>
          <w:szCs w:val="28"/>
          <w:lang w:eastAsia="en-US"/>
        </w:rPr>
      </w:pPr>
    </w:p>
    <w:p w14:paraId="61EB43F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drawing>
          <wp:inline distT="0" distB="0" distL="0" distR="0" wp14:anchorId="406B2BC4" wp14:editId="6A7AD56B">
            <wp:extent cx="3492000" cy="4860000"/>
            <wp:effectExtent l="1905" t="0" r="0" b="0"/>
            <wp:docPr id="29" name="Рисунок 1" descr="Молоды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Молодые-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3492000" cy="4860000"/>
                    </a:xfrm>
                    <a:prstGeom prst="rect">
                      <a:avLst/>
                    </a:prstGeom>
                    <a:noFill/>
                    <a:ln>
                      <a:noFill/>
                    </a:ln>
                  </pic:spPr>
                </pic:pic>
              </a:graphicData>
            </a:graphic>
          </wp:inline>
        </w:drawing>
      </w:r>
    </w:p>
    <w:p w14:paraId="199C2AA3"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3.9. </w:t>
      </w:r>
      <w:proofErr w:type="spellStart"/>
      <w:r w:rsidRPr="00520861">
        <w:rPr>
          <w:rFonts w:eastAsia="Calibri"/>
          <w:sz w:val="28"/>
          <w:szCs w:val="28"/>
          <w:lang w:eastAsia="en-US"/>
        </w:rPr>
        <w:t>Зубощелепні</w:t>
      </w:r>
      <w:proofErr w:type="spellEnd"/>
      <w:r w:rsidRPr="00520861">
        <w:rPr>
          <w:rFonts w:eastAsia="Calibri"/>
          <w:sz w:val="28"/>
          <w:szCs w:val="28"/>
          <w:lang w:eastAsia="en-US"/>
        </w:rPr>
        <w:t xml:space="preserve"> блоки щура групи 3 віком 40 діб (верхня та нижня щелепи). Стрілками позначені каріозні порожнини, у лівій </w:t>
      </w:r>
      <w:proofErr w:type="spellStart"/>
      <w:r w:rsidRPr="00520861">
        <w:rPr>
          <w:rFonts w:eastAsia="Calibri"/>
          <w:sz w:val="28"/>
          <w:szCs w:val="28"/>
          <w:lang w:eastAsia="en-US"/>
        </w:rPr>
        <w:t>панелій</w:t>
      </w:r>
      <w:proofErr w:type="spellEnd"/>
      <w:r w:rsidRPr="00520861">
        <w:rPr>
          <w:rFonts w:eastAsia="Calibri"/>
          <w:sz w:val="28"/>
          <w:szCs w:val="28"/>
          <w:lang w:eastAsia="en-US"/>
        </w:rPr>
        <w:t xml:space="preserve"> їхнє збільшене </w:t>
      </w:r>
      <w:r w:rsidRPr="00520861">
        <w:rPr>
          <w:rFonts w:eastAsia="Calibri"/>
          <w:sz w:val="28"/>
          <w:szCs w:val="28"/>
          <w:lang w:eastAsia="en-US"/>
        </w:rPr>
        <w:br/>
        <w:t>зображення.</w:t>
      </w:r>
    </w:p>
    <w:p w14:paraId="171C6E02"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pacing w:val="-6"/>
          <w:sz w:val="28"/>
          <w:szCs w:val="28"/>
          <w:lang w:eastAsia="en-US"/>
        </w:rPr>
        <w:lastRenderedPageBreak/>
        <w:t xml:space="preserve">Цікавим на нашу думку є факт наявності ділянок </w:t>
      </w:r>
      <w:proofErr w:type="spellStart"/>
      <w:r w:rsidRPr="00520861">
        <w:rPr>
          <w:rFonts w:eastAsia="Calibri"/>
          <w:spacing w:val="-6"/>
          <w:sz w:val="28"/>
          <w:szCs w:val="28"/>
          <w:lang w:eastAsia="en-US"/>
        </w:rPr>
        <w:t>демінералізації</w:t>
      </w:r>
      <w:proofErr w:type="spellEnd"/>
      <w:r w:rsidRPr="00520861">
        <w:rPr>
          <w:rFonts w:eastAsia="Calibri"/>
          <w:spacing w:val="-6"/>
          <w:sz w:val="28"/>
          <w:szCs w:val="28"/>
          <w:lang w:eastAsia="en-US"/>
        </w:rPr>
        <w:t xml:space="preserve"> емалі, які були виявлені практично у всіх щурів основних груп у такому молодому віці (приблизно через два тижні після ймовірного прорізування молярів).</w:t>
      </w:r>
      <w:r w:rsidRPr="00520861">
        <w:rPr>
          <w:rFonts w:eastAsia="Calibri"/>
          <w:sz w:val="28"/>
          <w:szCs w:val="28"/>
          <w:lang w:eastAsia="en-US"/>
        </w:rPr>
        <w:t xml:space="preserve"> </w:t>
      </w:r>
      <w:r w:rsidRPr="00520861">
        <w:rPr>
          <w:rFonts w:eastAsia="Calibri"/>
          <w:spacing w:val="-6"/>
          <w:sz w:val="28"/>
          <w:szCs w:val="28"/>
          <w:lang w:eastAsia="en-US"/>
        </w:rPr>
        <w:t>Причому в групі 3 було дві тварини, які мали навіть каріозні порожнини на других молярах нижньої щелепи (рис. 3</w:t>
      </w:r>
      <w:r w:rsidRPr="00520861">
        <w:rPr>
          <w:rFonts w:eastAsia="Calibri"/>
          <w:spacing w:val="-6"/>
          <w:sz w:val="28"/>
          <w:szCs w:val="28"/>
          <w:lang w:val="ru-RU" w:eastAsia="en-US"/>
        </w:rPr>
        <w:t>.9</w:t>
      </w:r>
      <w:r w:rsidRPr="00520861">
        <w:rPr>
          <w:rFonts w:eastAsia="Calibri"/>
          <w:spacing w:val="-6"/>
          <w:sz w:val="28"/>
          <w:szCs w:val="28"/>
          <w:lang w:eastAsia="en-US"/>
        </w:rPr>
        <w:t xml:space="preserve">). </w:t>
      </w:r>
    </w:p>
    <w:p w14:paraId="38B4FE72"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Отже, у 12-денних щурів, які народилися зі стимуляцією ростових процесів, спостерігається затримка прорізування різців, а у 40-денних тварин з ознаками ВУ ожиріння спостерігається тенденція до зменшення висоти молярів та каріозні </w:t>
      </w:r>
      <w:r w:rsidRPr="00520861">
        <w:rPr>
          <w:rFonts w:eastAsia="Calibri"/>
          <w:sz w:val="28"/>
          <w:szCs w:val="28"/>
          <w:lang w:eastAsia="en-US"/>
        </w:rPr>
        <w:br/>
        <w:t xml:space="preserve">порожнини. </w:t>
      </w:r>
    </w:p>
    <w:p w14:paraId="12922C57" w14:textId="77777777" w:rsidR="00CF641C" w:rsidRPr="00520861" w:rsidRDefault="00CF641C" w:rsidP="00292D2E">
      <w:pPr>
        <w:widowControl w:val="0"/>
        <w:spacing w:line="360" w:lineRule="auto"/>
        <w:jc w:val="both"/>
        <w:rPr>
          <w:rFonts w:eastAsia="Calibri"/>
          <w:sz w:val="28"/>
          <w:szCs w:val="28"/>
          <w:lang w:eastAsia="en-US"/>
        </w:rPr>
      </w:pPr>
    </w:p>
    <w:p w14:paraId="0CBBBFAE" w14:textId="77777777" w:rsidR="00CF641C" w:rsidRPr="00520861" w:rsidRDefault="00CF641C" w:rsidP="00292D2E">
      <w:pPr>
        <w:widowControl w:val="0"/>
        <w:spacing w:line="360" w:lineRule="auto"/>
        <w:ind w:firstLine="709"/>
        <w:jc w:val="both"/>
        <w:rPr>
          <w:rFonts w:eastAsia="Calibri"/>
          <w:b/>
          <w:bCs/>
          <w:sz w:val="28"/>
          <w:szCs w:val="28"/>
          <w:lang w:eastAsia="en-US"/>
        </w:rPr>
      </w:pPr>
      <w:r w:rsidRPr="00520861">
        <w:rPr>
          <w:rFonts w:eastAsia="Calibri"/>
          <w:b/>
          <w:bCs/>
          <w:sz w:val="28"/>
          <w:szCs w:val="28"/>
          <w:lang w:eastAsia="en-US"/>
        </w:rPr>
        <w:t xml:space="preserve">3.3. </w:t>
      </w:r>
      <w:proofErr w:type="spellStart"/>
      <w:r w:rsidRPr="00520861">
        <w:rPr>
          <w:rFonts w:eastAsia="Calibri"/>
          <w:b/>
          <w:bCs/>
          <w:sz w:val="28"/>
          <w:szCs w:val="28"/>
          <w:lang w:eastAsia="en-US"/>
        </w:rPr>
        <w:t>Морфофункціональний</w:t>
      </w:r>
      <w:proofErr w:type="spellEnd"/>
      <w:r w:rsidRPr="00520861">
        <w:rPr>
          <w:rFonts w:eastAsia="Calibri"/>
          <w:b/>
          <w:bCs/>
          <w:sz w:val="28"/>
          <w:szCs w:val="28"/>
          <w:lang w:eastAsia="en-US"/>
        </w:rPr>
        <w:t xml:space="preserve"> стан тканин і органів </w:t>
      </w:r>
      <w:proofErr w:type="spellStart"/>
      <w:r w:rsidRPr="00520861">
        <w:rPr>
          <w:rFonts w:eastAsiaTheme="minorHAnsi"/>
          <w:b/>
          <w:sz w:val="28"/>
          <w:szCs w:val="28"/>
          <w:lang w:eastAsia="en-US"/>
        </w:rPr>
        <w:t>зубо</w:t>
      </w:r>
      <w:proofErr w:type="spellEnd"/>
      <w:r w:rsidRPr="00520861">
        <w:rPr>
          <w:rFonts w:eastAsiaTheme="minorHAnsi"/>
          <w:b/>
          <w:sz w:val="28"/>
          <w:szCs w:val="28"/>
          <w:lang w:eastAsia="en-US"/>
        </w:rPr>
        <w:t>-щелепної</w:t>
      </w:r>
      <w:r w:rsidRPr="00520861">
        <w:rPr>
          <w:rFonts w:eastAsia="Calibri"/>
          <w:b/>
          <w:bCs/>
          <w:sz w:val="28"/>
          <w:szCs w:val="28"/>
          <w:lang w:eastAsia="en-US"/>
        </w:rPr>
        <w:br/>
        <w:t xml:space="preserve">ділянки тримісячних щурів при експериментально змодельованій внутрішньоутробній </w:t>
      </w:r>
      <w:proofErr w:type="spellStart"/>
      <w:r w:rsidRPr="00520861">
        <w:rPr>
          <w:rFonts w:eastAsia="Calibri"/>
          <w:b/>
          <w:bCs/>
          <w:sz w:val="28"/>
          <w:szCs w:val="28"/>
          <w:lang w:eastAsia="en-US"/>
        </w:rPr>
        <w:t>макросомії</w:t>
      </w:r>
      <w:proofErr w:type="spellEnd"/>
    </w:p>
    <w:p w14:paraId="19B520EC" w14:textId="77777777" w:rsidR="00CF641C" w:rsidRPr="00520861" w:rsidRDefault="00CF641C" w:rsidP="00292D2E">
      <w:pPr>
        <w:widowControl w:val="0"/>
        <w:spacing w:line="360" w:lineRule="auto"/>
        <w:ind w:firstLine="851"/>
        <w:jc w:val="both"/>
        <w:rPr>
          <w:rFonts w:eastAsia="Calibri"/>
          <w:b/>
          <w:bCs/>
          <w:sz w:val="28"/>
          <w:szCs w:val="28"/>
          <w:lang w:eastAsia="en-US"/>
        </w:rPr>
      </w:pPr>
    </w:p>
    <w:p w14:paraId="54BCC5BD"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Як видно із таблиць 2.2 та 2.3, по досягненню щурами віку 3 місяці вірогідні відмінності між МРП тварин груп 1, 2, 3 та тваринами групи контрою відсутні. </w:t>
      </w:r>
    </w:p>
    <w:p w14:paraId="68FAD2DA"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тварин групи 1 зафіксована тенденція до зниження МРП. Щури групи 2 у віці 3 місяці зберегли здатність до прискореного росту. У щурів групи 3 </w:t>
      </w:r>
      <w:proofErr w:type="spellStart"/>
      <w:r w:rsidRPr="00520861">
        <w:rPr>
          <w:rFonts w:eastAsia="Calibri"/>
          <w:sz w:val="28"/>
          <w:szCs w:val="28"/>
          <w:lang w:eastAsia="en-US"/>
        </w:rPr>
        <w:t>соматометрична</w:t>
      </w:r>
      <w:proofErr w:type="spellEnd"/>
      <w:r w:rsidRPr="00520861">
        <w:rPr>
          <w:rFonts w:eastAsia="Calibri"/>
          <w:sz w:val="28"/>
          <w:szCs w:val="28"/>
          <w:lang w:eastAsia="en-US"/>
        </w:rPr>
        <w:t xml:space="preserve"> різниця, яка була при народженні, нівелювалася. У щурів групи 4 зафіксовано </w:t>
      </w:r>
      <w:r w:rsidR="00645ADA" w:rsidRPr="00520861">
        <w:rPr>
          <w:rFonts w:eastAsia="Calibri"/>
          <w:sz w:val="28"/>
          <w:szCs w:val="28"/>
          <w:lang w:eastAsia="en-US"/>
        </w:rPr>
        <w:br/>
      </w:r>
      <w:r w:rsidRPr="00520861">
        <w:rPr>
          <w:rFonts w:eastAsia="Calibri"/>
          <w:sz w:val="28"/>
          <w:szCs w:val="28"/>
          <w:lang w:eastAsia="en-US"/>
        </w:rPr>
        <w:t>уповільнене зростання та уповільнений набір маси тіла зі зменшенням МРП.</w:t>
      </w:r>
    </w:p>
    <w:p w14:paraId="7977E450" w14:textId="77777777" w:rsidR="00CF641C" w:rsidRPr="00520861" w:rsidRDefault="00CF641C" w:rsidP="00292D2E">
      <w:pPr>
        <w:widowControl w:val="0"/>
        <w:spacing w:line="360" w:lineRule="auto"/>
        <w:ind w:firstLine="709"/>
        <w:rPr>
          <w:rFonts w:eastAsia="Calibri"/>
          <w:b/>
          <w:bCs/>
          <w:sz w:val="28"/>
          <w:szCs w:val="28"/>
          <w:lang w:eastAsia="en-US"/>
        </w:rPr>
      </w:pPr>
      <w:r w:rsidRPr="00520861">
        <w:rPr>
          <w:rFonts w:eastAsia="Calibri"/>
          <w:b/>
          <w:bCs/>
          <w:sz w:val="28"/>
          <w:szCs w:val="28"/>
          <w:lang w:eastAsia="en-US"/>
        </w:rPr>
        <w:t xml:space="preserve">3.3.1. Стан привушних слинних залоз. </w:t>
      </w:r>
      <w:r w:rsidRPr="00520861">
        <w:rPr>
          <w:rFonts w:eastAsia="Calibri"/>
          <w:bCs/>
          <w:sz w:val="28"/>
          <w:szCs w:val="28"/>
          <w:lang w:eastAsia="en-US"/>
        </w:rPr>
        <w:t>Медіанне значення</w:t>
      </w:r>
      <w:r w:rsidRPr="00520861">
        <w:rPr>
          <w:rFonts w:eastAsia="Calibri"/>
          <w:sz w:val="28"/>
          <w:szCs w:val="28"/>
          <w:lang w:eastAsia="en-US"/>
        </w:rPr>
        <w:t xml:space="preserve"> маси привушних слинних залоз у групі 2 (табл. 3.3) виявилося вірогідно більшим за таке у групі контролю. У інших основних групах воно є в межах статистичної похибки щодо показників контрольної групи.</w:t>
      </w:r>
    </w:p>
    <w:p w14:paraId="077EB937" w14:textId="77777777" w:rsidR="00CF641C" w:rsidRPr="00520861" w:rsidRDefault="00CF641C" w:rsidP="00292D2E">
      <w:pPr>
        <w:widowControl w:val="0"/>
        <w:spacing w:line="360" w:lineRule="auto"/>
        <w:ind w:firstLine="709"/>
        <w:jc w:val="both"/>
        <w:rPr>
          <w:rFonts w:eastAsia="Calibri"/>
          <w:spacing w:val="-2"/>
          <w:sz w:val="28"/>
          <w:szCs w:val="28"/>
          <w:lang w:eastAsia="en-US"/>
        </w:rPr>
      </w:pPr>
      <w:r w:rsidRPr="00520861">
        <w:rPr>
          <w:rFonts w:eastAsia="Calibri"/>
          <w:sz w:val="28"/>
          <w:szCs w:val="28"/>
          <w:lang w:eastAsia="en-US"/>
        </w:rPr>
        <w:t xml:space="preserve">Відносна маса </w:t>
      </w:r>
      <w:proofErr w:type="spellStart"/>
      <w:r w:rsidRPr="00520861">
        <w:rPr>
          <w:rFonts w:eastAsia="Calibri"/>
          <w:sz w:val="28"/>
          <w:szCs w:val="28"/>
          <w:lang w:eastAsia="en-US"/>
        </w:rPr>
        <w:t>органа</w:t>
      </w:r>
      <w:proofErr w:type="spellEnd"/>
      <w:r w:rsidRPr="00520861">
        <w:rPr>
          <w:rFonts w:eastAsia="Calibri"/>
          <w:sz w:val="28"/>
          <w:szCs w:val="28"/>
          <w:lang w:eastAsia="en-US"/>
        </w:rPr>
        <w:t xml:space="preserve">, а саме відношення маси привушної слинної залози до маси тіла експериментальної тварини, є більш цінним </w:t>
      </w:r>
      <w:proofErr w:type="spellStart"/>
      <w:r w:rsidRPr="00520861">
        <w:rPr>
          <w:rFonts w:eastAsia="Calibri"/>
          <w:sz w:val="28"/>
          <w:szCs w:val="28"/>
          <w:lang w:eastAsia="en-US"/>
        </w:rPr>
        <w:t>органометричним</w:t>
      </w:r>
      <w:proofErr w:type="spellEnd"/>
      <w:r w:rsidRPr="00520861">
        <w:rPr>
          <w:rFonts w:eastAsia="Calibri"/>
          <w:sz w:val="28"/>
          <w:szCs w:val="28"/>
          <w:lang w:eastAsia="en-US"/>
        </w:rPr>
        <w:t xml:space="preserve"> показником. Виявляється, що в середньому відносна маса привушних слинних залоз у всіх основних групах перевищує показники групи контролю (табл. 6), але перевищення має різний ступінь: мінімальний (у межах статистичної похибки) – у тварин груп 1, 2 та 3, максимальний – у тварин групи 4. </w:t>
      </w:r>
      <w:proofErr w:type="spellStart"/>
      <w:r w:rsidRPr="00520861">
        <w:rPr>
          <w:rFonts w:eastAsia="Calibri"/>
          <w:sz w:val="28"/>
          <w:szCs w:val="28"/>
          <w:lang w:eastAsia="en-US"/>
        </w:rPr>
        <w:t>Мікроскопіювання</w:t>
      </w:r>
      <w:proofErr w:type="spellEnd"/>
      <w:r w:rsidRPr="00520861">
        <w:rPr>
          <w:rFonts w:eastAsia="Calibri"/>
          <w:sz w:val="28"/>
          <w:szCs w:val="28"/>
          <w:lang w:eastAsia="en-US"/>
        </w:rPr>
        <w:t xml:space="preserve"> привушних слинних залоз тварин групи контролю показало, що тканина представлена множинними залозами </w:t>
      </w:r>
      <w:r w:rsidRPr="00520861">
        <w:rPr>
          <w:rFonts w:eastAsia="Calibri"/>
          <w:sz w:val="28"/>
          <w:szCs w:val="28"/>
          <w:lang w:eastAsia="en-US"/>
        </w:rPr>
        <w:br/>
      </w:r>
      <w:r w:rsidRPr="00520861">
        <w:rPr>
          <w:rFonts w:eastAsia="Calibri"/>
          <w:sz w:val="28"/>
          <w:szCs w:val="28"/>
          <w:lang w:eastAsia="en-US"/>
        </w:rPr>
        <w:lastRenderedPageBreak/>
        <w:t xml:space="preserve">екзокринного типу, вкритими одним шаром серозних </w:t>
      </w:r>
      <w:proofErr w:type="spellStart"/>
      <w:r w:rsidRPr="00520861">
        <w:rPr>
          <w:rFonts w:eastAsia="Calibri"/>
          <w:sz w:val="28"/>
          <w:szCs w:val="28"/>
          <w:lang w:eastAsia="en-US"/>
        </w:rPr>
        <w:t>гландулоцитів</w:t>
      </w:r>
      <w:proofErr w:type="spellEnd"/>
      <w:r w:rsidRPr="00520861">
        <w:rPr>
          <w:rFonts w:eastAsia="Calibri"/>
          <w:sz w:val="28"/>
          <w:szCs w:val="28"/>
          <w:lang w:val="ru-RU" w:eastAsia="en-US"/>
        </w:rPr>
        <w:t xml:space="preserve"> [</w:t>
      </w:r>
      <w:r w:rsidRPr="00520861">
        <w:rPr>
          <w:rFonts w:eastAsia="Calibri"/>
          <w:sz w:val="28"/>
          <w:szCs w:val="28"/>
          <w:lang w:eastAsia="en-US"/>
        </w:rPr>
        <w:t>58</w:t>
      </w:r>
      <w:r w:rsidRPr="00520861">
        <w:rPr>
          <w:rFonts w:eastAsia="Calibri"/>
          <w:sz w:val="28"/>
          <w:szCs w:val="28"/>
          <w:lang w:val="ru-RU" w:eastAsia="en-US"/>
        </w:rPr>
        <w:t>]</w:t>
      </w:r>
      <w:r w:rsidRPr="00520861">
        <w:rPr>
          <w:rFonts w:eastAsia="Calibri"/>
          <w:sz w:val="28"/>
          <w:szCs w:val="28"/>
          <w:lang w:eastAsia="en-US"/>
        </w:rPr>
        <w:t xml:space="preserve">. У зв’язку </w:t>
      </w:r>
      <w:r w:rsidRPr="00520861">
        <w:rPr>
          <w:rFonts w:eastAsia="Calibri"/>
          <w:spacing w:val="-2"/>
          <w:sz w:val="28"/>
          <w:szCs w:val="28"/>
          <w:lang w:eastAsia="en-US"/>
        </w:rPr>
        <w:t xml:space="preserve">з фізіологічним </w:t>
      </w:r>
      <w:proofErr w:type="spellStart"/>
      <w:r w:rsidRPr="00520861">
        <w:rPr>
          <w:rFonts w:eastAsia="Calibri"/>
          <w:spacing w:val="-2"/>
          <w:sz w:val="28"/>
          <w:szCs w:val="28"/>
          <w:lang w:eastAsia="en-US"/>
        </w:rPr>
        <w:t>апоптозом</w:t>
      </w:r>
      <w:proofErr w:type="spellEnd"/>
      <w:r w:rsidRPr="00520861">
        <w:rPr>
          <w:rFonts w:eastAsia="Calibri"/>
          <w:spacing w:val="-2"/>
          <w:sz w:val="28"/>
          <w:szCs w:val="28"/>
          <w:lang w:eastAsia="en-US"/>
        </w:rPr>
        <w:t xml:space="preserve"> епітеліальний покрив залоз є у стані постійного оновлення.</w:t>
      </w:r>
    </w:p>
    <w:p w14:paraId="2394390A"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 площі </w:t>
      </w:r>
      <w:r w:rsidRPr="00520861">
        <w:rPr>
          <w:rFonts w:eastAsia="Calibri"/>
          <w:bCs/>
          <w:sz w:val="28"/>
          <w:szCs w:val="28"/>
          <w:lang w:eastAsia="en-US"/>
        </w:rPr>
        <w:t>750 (м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bCs/>
          <w:sz w:val="28"/>
          <w:szCs w:val="28"/>
          <w:lang w:eastAsia="en-US"/>
        </w:rPr>
        <w:t>)</w:t>
      </w:r>
      <w:r w:rsidRPr="00520861">
        <w:rPr>
          <w:rFonts w:eastAsia="Calibri"/>
          <w:sz w:val="28"/>
          <w:szCs w:val="28"/>
          <w:lang w:eastAsia="en-US"/>
        </w:rPr>
        <w:t xml:space="preserve"> мікропрепаратів групи контролю в середньому зафіксовано 158 екземплярів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із медіаною – 156 (табл. 3.3). </w:t>
      </w:r>
    </w:p>
    <w:p w14:paraId="085D081B" w14:textId="77777777" w:rsidR="00CF641C" w:rsidRPr="00520861" w:rsidRDefault="00CF641C" w:rsidP="00292D2E">
      <w:pPr>
        <w:widowControl w:val="0"/>
        <w:spacing w:line="360" w:lineRule="auto"/>
        <w:jc w:val="right"/>
        <w:rPr>
          <w:rFonts w:eastAsia="Calibri"/>
          <w:i/>
          <w:sz w:val="28"/>
          <w:szCs w:val="28"/>
          <w:lang w:eastAsia="en-US"/>
        </w:rPr>
      </w:pPr>
      <w:r w:rsidRPr="00520861">
        <w:rPr>
          <w:rFonts w:eastAsia="Calibri"/>
          <w:i/>
          <w:iCs/>
          <w:sz w:val="28"/>
          <w:szCs w:val="28"/>
          <w:lang w:eastAsia="en-US"/>
        </w:rPr>
        <w:t>Таблиця 3.3</w:t>
      </w:r>
    </w:p>
    <w:p w14:paraId="740CB49E" w14:textId="77777777" w:rsidR="00CF641C" w:rsidRPr="00520861" w:rsidRDefault="00CF641C" w:rsidP="00292D2E">
      <w:pPr>
        <w:widowControl w:val="0"/>
        <w:spacing w:line="360" w:lineRule="auto"/>
        <w:ind w:right="140"/>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3;</w:t>
      </w:r>
      <w:r w:rsidRPr="00520861">
        <w:rPr>
          <w:rFonts w:eastAsia="Calibri"/>
          <w:b/>
          <w:bCs/>
          <w:sz w:val="28"/>
          <w:szCs w:val="28"/>
          <w:lang w:val="en-US" w:eastAsia="en-US"/>
        </w:rPr>
        <w:t>Q</w:t>
      </w:r>
      <w:r w:rsidRPr="00520861">
        <w:rPr>
          <w:rFonts w:eastAsia="Calibri"/>
          <w:b/>
          <w:bCs/>
          <w:sz w:val="28"/>
          <w:szCs w:val="28"/>
          <w:lang w:eastAsia="en-US"/>
        </w:rPr>
        <w:t xml:space="preserve">1) маси привушних слинних залоз </w:t>
      </w:r>
      <w:r w:rsidRPr="00520861">
        <w:rPr>
          <w:rFonts w:eastAsia="Calibri"/>
          <w:b/>
          <w:sz w:val="28"/>
          <w:szCs w:val="28"/>
        </w:rPr>
        <w:t>(кг</w:t>
      </w:r>
      <w:r w:rsidRPr="00520861">
        <w:rPr>
          <w:rFonts w:eastAsia="Calibri"/>
          <w:b/>
          <w:sz w:val="28"/>
          <w:szCs w:val="28"/>
          <w:lang w:val="ru-RU"/>
        </w:rPr>
        <w:sym w:font="Symbol" w:char="F0B4"/>
      </w:r>
      <w:r w:rsidRPr="00520861">
        <w:rPr>
          <w:rFonts w:eastAsia="Calibri"/>
          <w:b/>
          <w:sz w:val="28"/>
          <w:szCs w:val="28"/>
        </w:rPr>
        <w:t>10</w:t>
      </w:r>
      <w:r w:rsidRPr="00520861">
        <w:rPr>
          <w:rFonts w:eastAsia="Calibri"/>
          <w:b/>
          <w:sz w:val="28"/>
          <w:szCs w:val="28"/>
          <w:vertAlign w:val="superscript"/>
        </w:rPr>
        <w:t>5</w:t>
      </w:r>
      <w:r w:rsidRPr="00520861">
        <w:rPr>
          <w:rFonts w:eastAsia="Calibri"/>
          <w:b/>
          <w:sz w:val="28"/>
          <w:szCs w:val="28"/>
        </w:rPr>
        <w:t>)</w:t>
      </w:r>
      <w:r w:rsidRPr="00520861">
        <w:rPr>
          <w:rFonts w:eastAsia="Calibri"/>
          <w:b/>
          <w:bCs/>
          <w:sz w:val="28"/>
          <w:szCs w:val="28"/>
          <w:lang w:eastAsia="en-US"/>
        </w:rPr>
        <w:t xml:space="preserve">, </w:t>
      </w:r>
      <w:r w:rsidRPr="00520861">
        <w:rPr>
          <w:rFonts w:eastAsia="Calibri"/>
          <w:b/>
          <w:bCs/>
          <w:sz w:val="28"/>
          <w:szCs w:val="28"/>
          <w:lang w:eastAsia="en-US"/>
        </w:rPr>
        <w:br/>
        <w:t xml:space="preserve">відношення маси слинних залоз до маси тіла, а також кількості </w:t>
      </w:r>
      <w:proofErr w:type="spellStart"/>
      <w:r w:rsidRPr="00520861">
        <w:rPr>
          <w:rFonts w:eastAsia="Calibri"/>
          <w:b/>
          <w:bCs/>
          <w:sz w:val="28"/>
          <w:szCs w:val="28"/>
          <w:lang w:eastAsia="en-US"/>
        </w:rPr>
        <w:t>гландулоцитів</w:t>
      </w:r>
      <w:proofErr w:type="spellEnd"/>
      <w:r w:rsidRPr="00520861">
        <w:rPr>
          <w:rFonts w:eastAsia="Calibri"/>
          <w:b/>
          <w:bCs/>
          <w:sz w:val="28"/>
          <w:szCs w:val="28"/>
          <w:lang w:eastAsia="en-US"/>
        </w:rPr>
        <w:t xml:space="preserve"> на площі зрізу 750 (м</w:t>
      </w:r>
      <w:r w:rsidRPr="00520861">
        <w:rPr>
          <w:rFonts w:eastAsia="Calibri"/>
          <w:b/>
          <w:bCs/>
          <w:sz w:val="28"/>
          <w:szCs w:val="28"/>
          <w:vertAlign w:val="superscript"/>
          <w:lang w:eastAsia="en-US"/>
        </w:rPr>
        <w:t xml:space="preserve">2 </w:t>
      </w:r>
      <w:r w:rsidRPr="00520861">
        <w:rPr>
          <w:rFonts w:eastAsia="Calibri"/>
          <w:b/>
          <w:bCs/>
          <w:sz w:val="28"/>
          <w:szCs w:val="28"/>
          <w:lang w:eastAsia="en-US"/>
        </w:rPr>
        <w:t>×10</w:t>
      </w:r>
      <w:r w:rsidRPr="00520861">
        <w:rPr>
          <w:rFonts w:eastAsia="Calibri"/>
          <w:b/>
          <w:bCs/>
          <w:sz w:val="28"/>
          <w:szCs w:val="28"/>
          <w:vertAlign w:val="superscript"/>
          <w:lang w:eastAsia="en-US"/>
        </w:rPr>
        <w:t>12</w:t>
      </w:r>
      <w:r w:rsidRPr="00520861">
        <w:rPr>
          <w:rFonts w:eastAsia="Calibri"/>
          <w:b/>
          <w:bCs/>
          <w:sz w:val="28"/>
          <w:szCs w:val="28"/>
          <w:lang w:eastAsia="en-US"/>
        </w:rPr>
        <w:t>) у 3-місячних експериментальних тварин</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3"/>
        <w:gridCol w:w="2465"/>
        <w:gridCol w:w="3402"/>
        <w:gridCol w:w="2835"/>
      </w:tblGrid>
      <w:tr w:rsidR="00CF641C" w:rsidRPr="00520861" w14:paraId="725549DD" w14:textId="77777777" w:rsidTr="00292D2E">
        <w:tc>
          <w:tcPr>
            <w:tcW w:w="1363" w:type="dxa"/>
            <w:tcBorders>
              <w:top w:val="single" w:sz="4" w:space="0" w:color="auto"/>
              <w:left w:val="single" w:sz="4" w:space="0" w:color="auto"/>
              <w:bottom w:val="single" w:sz="4" w:space="0" w:color="auto"/>
              <w:right w:val="single" w:sz="4" w:space="0" w:color="auto"/>
            </w:tcBorders>
          </w:tcPr>
          <w:p w14:paraId="267A162C" w14:textId="77777777" w:rsidR="00CF641C" w:rsidRPr="00520861" w:rsidRDefault="00CF641C" w:rsidP="00292D2E">
            <w:pPr>
              <w:widowControl w:val="0"/>
              <w:spacing w:line="360" w:lineRule="auto"/>
              <w:rPr>
                <w:rFonts w:eastAsia="Calibri"/>
                <w:sz w:val="28"/>
                <w:szCs w:val="28"/>
              </w:rPr>
            </w:pPr>
          </w:p>
          <w:p w14:paraId="34B16ABB" w14:textId="77777777" w:rsidR="00CF641C" w:rsidRPr="00520861" w:rsidRDefault="00CF641C" w:rsidP="00292D2E">
            <w:pPr>
              <w:widowControl w:val="0"/>
              <w:spacing w:line="360" w:lineRule="auto"/>
              <w:rPr>
                <w:rFonts w:eastAsia="Calibri"/>
                <w:sz w:val="28"/>
                <w:szCs w:val="28"/>
                <w:lang w:val="ru-RU"/>
              </w:rPr>
            </w:pPr>
            <w:r w:rsidRPr="00520861">
              <w:rPr>
                <w:rFonts w:eastAsia="Calibri"/>
                <w:sz w:val="28"/>
                <w:szCs w:val="28"/>
              </w:rPr>
              <w:t>Груп</w:t>
            </w:r>
            <w:r w:rsidRPr="00520861">
              <w:rPr>
                <w:rFonts w:eastAsia="Calibri"/>
                <w:sz w:val="28"/>
                <w:szCs w:val="28"/>
                <w:lang w:val="ru-RU"/>
              </w:rPr>
              <w:t>а</w:t>
            </w:r>
          </w:p>
        </w:tc>
        <w:tc>
          <w:tcPr>
            <w:tcW w:w="2465" w:type="dxa"/>
            <w:tcBorders>
              <w:top w:val="single" w:sz="4" w:space="0" w:color="auto"/>
              <w:left w:val="single" w:sz="4" w:space="0" w:color="auto"/>
              <w:bottom w:val="single" w:sz="4" w:space="0" w:color="auto"/>
              <w:right w:val="single" w:sz="4" w:space="0" w:color="auto"/>
            </w:tcBorders>
            <w:hideMark/>
          </w:tcPr>
          <w:p w14:paraId="15584C1F" w14:textId="77777777" w:rsidR="00CF641C" w:rsidRPr="00520861" w:rsidRDefault="00CF641C" w:rsidP="00292D2E">
            <w:pPr>
              <w:widowControl w:val="0"/>
              <w:spacing w:line="360" w:lineRule="auto"/>
              <w:ind w:left="-51"/>
              <w:jc w:val="center"/>
              <w:rPr>
                <w:rFonts w:eastAsia="Calibri"/>
                <w:sz w:val="28"/>
                <w:szCs w:val="28"/>
                <w:lang w:val="ru-RU"/>
              </w:rPr>
            </w:pPr>
            <w:r w:rsidRPr="00520861">
              <w:rPr>
                <w:rFonts w:eastAsia="Calibri"/>
                <w:sz w:val="28"/>
                <w:szCs w:val="28"/>
              </w:rPr>
              <w:t xml:space="preserve">Абсолютна маса слинних залоз </w:t>
            </w:r>
          </w:p>
        </w:tc>
        <w:tc>
          <w:tcPr>
            <w:tcW w:w="3402" w:type="dxa"/>
            <w:tcBorders>
              <w:top w:val="single" w:sz="4" w:space="0" w:color="auto"/>
              <w:left w:val="single" w:sz="4" w:space="0" w:color="auto"/>
              <w:bottom w:val="single" w:sz="4" w:space="0" w:color="auto"/>
              <w:right w:val="single" w:sz="4" w:space="0" w:color="auto"/>
            </w:tcBorders>
            <w:hideMark/>
          </w:tcPr>
          <w:p w14:paraId="776CFFF9"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rPr>
              <w:t>Відношення маси слинних залоз</w:t>
            </w:r>
            <w:r w:rsidRPr="00520861">
              <w:rPr>
                <w:rFonts w:eastAsia="Calibri"/>
                <w:sz w:val="28"/>
                <w:szCs w:val="28"/>
                <w:lang w:val="ru-RU"/>
              </w:rPr>
              <w:t>/</w:t>
            </w:r>
            <w:r w:rsidRPr="00520861">
              <w:rPr>
                <w:rFonts w:eastAsia="Calibri"/>
                <w:sz w:val="28"/>
                <w:szCs w:val="28"/>
              </w:rPr>
              <w:t>маси тіла (%)</w:t>
            </w:r>
          </w:p>
        </w:tc>
        <w:tc>
          <w:tcPr>
            <w:tcW w:w="2835" w:type="dxa"/>
            <w:tcBorders>
              <w:top w:val="single" w:sz="4" w:space="0" w:color="auto"/>
              <w:left w:val="single" w:sz="4" w:space="0" w:color="auto"/>
              <w:bottom w:val="single" w:sz="4" w:space="0" w:color="auto"/>
              <w:right w:val="single" w:sz="4" w:space="0" w:color="auto"/>
            </w:tcBorders>
            <w:hideMark/>
          </w:tcPr>
          <w:p w14:paraId="2BA4F4EF"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rPr>
              <w:t xml:space="preserve">Кількість </w:t>
            </w:r>
            <w:proofErr w:type="spellStart"/>
            <w:r w:rsidRPr="00520861">
              <w:rPr>
                <w:rFonts w:eastAsia="Calibri"/>
                <w:sz w:val="28"/>
                <w:szCs w:val="28"/>
              </w:rPr>
              <w:t>гландулоцитів</w:t>
            </w:r>
            <w:proofErr w:type="spellEnd"/>
            <w:r w:rsidRPr="00520861">
              <w:rPr>
                <w:rFonts w:eastAsia="Calibri"/>
                <w:sz w:val="28"/>
                <w:szCs w:val="28"/>
              </w:rPr>
              <w:t xml:space="preserve"> (екземпляри)</w:t>
            </w:r>
          </w:p>
        </w:tc>
      </w:tr>
      <w:tr w:rsidR="00CF641C" w:rsidRPr="00520861" w14:paraId="6AAE86C7" w14:textId="77777777" w:rsidTr="00292D2E">
        <w:tc>
          <w:tcPr>
            <w:tcW w:w="1363" w:type="dxa"/>
            <w:tcBorders>
              <w:top w:val="single" w:sz="4" w:space="0" w:color="auto"/>
              <w:left w:val="single" w:sz="4" w:space="0" w:color="auto"/>
              <w:bottom w:val="single" w:sz="4" w:space="0" w:color="auto"/>
              <w:right w:val="single" w:sz="4" w:space="0" w:color="auto"/>
            </w:tcBorders>
          </w:tcPr>
          <w:p w14:paraId="4CFFA9B5" w14:textId="77777777" w:rsidR="00CF641C" w:rsidRPr="00520861" w:rsidRDefault="00CF641C" w:rsidP="00292D2E">
            <w:pPr>
              <w:widowControl w:val="0"/>
              <w:spacing w:line="360" w:lineRule="auto"/>
              <w:rPr>
                <w:rFonts w:eastAsia="Calibri"/>
                <w:sz w:val="28"/>
                <w:szCs w:val="28"/>
                <w:lang w:val="en-US"/>
              </w:rPr>
            </w:pPr>
            <w:r w:rsidRPr="00520861">
              <w:rPr>
                <w:rFonts w:eastAsia="Calibri"/>
                <w:sz w:val="28"/>
                <w:szCs w:val="28"/>
                <w:lang w:val="ru-RU"/>
              </w:rPr>
              <w:t>К</w:t>
            </w:r>
            <w:proofErr w:type="spellStart"/>
            <w:r w:rsidRPr="00520861">
              <w:rPr>
                <w:rFonts w:eastAsia="Calibri"/>
                <w:sz w:val="28"/>
                <w:szCs w:val="28"/>
              </w:rPr>
              <w:t>онтроль</w:t>
            </w:r>
            <w:proofErr w:type="spellEnd"/>
          </w:p>
        </w:tc>
        <w:tc>
          <w:tcPr>
            <w:tcW w:w="2465" w:type="dxa"/>
            <w:tcBorders>
              <w:top w:val="single" w:sz="4" w:space="0" w:color="auto"/>
              <w:left w:val="single" w:sz="4" w:space="0" w:color="auto"/>
              <w:bottom w:val="single" w:sz="4" w:space="0" w:color="auto"/>
              <w:right w:val="single" w:sz="4" w:space="0" w:color="auto"/>
            </w:tcBorders>
          </w:tcPr>
          <w:p w14:paraId="071E5980"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rPr>
              <w:t xml:space="preserve">1,78 </w:t>
            </w:r>
            <w:r w:rsidRPr="00520861">
              <w:rPr>
                <w:rFonts w:eastAsia="Calibri"/>
                <w:sz w:val="28"/>
                <w:szCs w:val="28"/>
                <w:lang w:val="ru-RU" w:eastAsia="en-US"/>
              </w:rPr>
              <w:t xml:space="preserve"> (</w:t>
            </w:r>
            <w:r w:rsidRPr="00520861">
              <w:rPr>
                <w:rFonts w:eastAsia="Calibri"/>
                <w:sz w:val="28"/>
                <w:szCs w:val="28"/>
              </w:rPr>
              <w:t>1,85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rPr>
              <w:t>1,71</w:t>
            </w:r>
            <w:r w:rsidRPr="00520861">
              <w:rPr>
                <w:rFonts w:eastAsia="Calibri"/>
                <w:sz w:val="28"/>
                <w:szCs w:val="28"/>
                <w:lang w:val="ru-RU" w:eastAsia="en-US"/>
              </w:rPr>
              <w:t>)</w:t>
            </w:r>
          </w:p>
        </w:tc>
        <w:tc>
          <w:tcPr>
            <w:tcW w:w="3402" w:type="dxa"/>
            <w:tcBorders>
              <w:top w:val="single" w:sz="4" w:space="0" w:color="auto"/>
              <w:left w:val="single" w:sz="4" w:space="0" w:color="auto"/>
              <w:bottom w:val="single" w:sz="4" w:space="0" w:color="auto"/>
              <w:right w:val="single" w:sz="4" w:space="0" w:color="auto"/>
            </w:tcBorders>
          </w:tcPr>
          <w:p w14:paraId="325C47B0"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rPr>
              <w:t xml:space="preserve">0,1425 </w:t>
            </w:r>
            <w:r w:rsidRPr="00520861">
              <w:rPr>
                <w:rFonts w:eastAsia="Calibri"/>
                <w:sz w:val="28"/>
                <w:szCs w:val="28"/>
                <w:lang w:val="ru-RU" w:eastAsia="en-US"/>
              </w:rPr>
              <w:t>(</w:t>
            </w:r>
            <w:r w:rsidRPr="00520861">
              <w:rPr>
                <w:rFonts w:eastAsia="Calibri"/>
                <w:sz w:val="28"/>
                <w:szCs w:val="28"/>
              </w:rPr>
              <w:t>0,1450</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rPr>
              <w:t>0,1275</w:t>
            </w:r>
            <w:r w:rsidRPr="00520861">
              <w:rPr>
                <w:rFonts w:eastAsia="Calibri"/>
                <w:sz w:val="28"/>
                <w:szCs w:val="28"/>
                <w:lang w:val="ru-RU" w:eastAsia="en-US"/>
              </w:rPr>
              <w:t>)</w:t>
            </w:r>
          </w:p>
        </w:tc>
        <w:tc>
          <w:tcPr>
            <w:tcW w:w="2835" w:type="dxa"/>
            <w:tcBorders>
              <w:top w:val="single" w:sz="4" w:space="0" w:color="auto"/>
              <w:left w:val="single" w:sz="4" w:space="0" w:color="auto"/>
              <w:bottom w:val="single" w:sz="4" w:space="0" w:color="auto"/>
              <w:right w:val="single" w:sz="4" w:space="0" w:color="auto"/>
            </w:tcBorders>
          </w:tcPr>
          <w:p w14:paraId="1936E9A8"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rPr>
              <w:t xml:space="preserve">156 </w:t>
            </w:r>
            <w:r w:rsidRPr="00520861">
              <w:rPr>
                <w:rFonts w:eastAsia="Calibri"/>
                <w:sz w:val="28"/>
                <w:szCs w:val="28"/>
                <w:lang w:val="ru-RU" w:eastAsia="en-US"/>
              </w:rPr>
              <w:t>(</w:t>
            </w:r>
            <w:r w:rsidRPr="00520861">
              <w:rPr>
                <w:rFonts w:eastAsia="Calibri"/>
                <w:sz w:val="28"/>
                <w:szCs w:val="28"/>
                <w:lang w:eastAsia="en-US"/>
              </w:rPr>
              <w:t>183</w:t>
            </w:r>
            <w:r w:rsidRPr="00520861">
              <w:rPr>
                <w:rFonts w:eastAsia="Calibri"/>
                <w:sz w:val="28"/>
                <w:szCs w:val="28"/>
                <w:lang w:val="en-US" w:eastAsia="en-US"/>
              </w:rPr>
              <w:t>;</w:t>
            </w:r>
            <w:r w:rsidRPr="00520861">
              <w:rPr>
                <w:rFonts w:eastAsia="Calibri"/>
                <w:sz w:val="28"/>
                <w:szCs w:val="28"/>
                <w:lang w:eastAsia="en-US"/>
              </w:rPr>
              <w:t xml:space="preserve"> 125</w:t>
            </w:r>
            <w:r w:rsidRPr="00520861">
              <w:rPr>
                <w:rFonts w:eastAsia="Calibri"/>
                <w:sz w:val="28"/>
                <w:szCs w:val="28"/>
                <w:lang w:val="ru-RU" w:eastAsia="en-US"/>
              </w:rPr>
              <w:t>)</w:t>
            </w:r>
          </w:p>
        </w:tc>
      </w:tr>
      <w:tr w:rsidR="00CF641C" w:rsidRPr="00520861" w14:paraId="1042260C" w14:textId="77777777" w:rsidTr="00292D2E">
        <w:tc>
          <w:tcPr>
            <w:tcW w:w="1363" w:type="dxa"/>
            <w:tcBorders>
              <w:top w:val="single" w:sz="4" w:space="0" w:color="auto"/>
              <w:left w:val="single" w:sz="4" w:space="0" w:color="auto"/>
              <w:bottom w:val="single" w:sz="4" w:space="0" w:color="auto"/>
              <w:right w:val="single" w:sz="4" w:space="0" w:color="auto"/>
            </w:tcBorders>
          </w:tcPr>
          <w:p w14:paraId="44757BB3" w14:textId="77777777" w:rsidR="00CF641C" w:rsidRPr="00520861" w:rsidRDefault="00CF641C" w:rsidP="00292D2E">
            <w:pPr>
              <w:widowControl w:val="0"/>
              <w:spacing w:line="360" w:lineRule="auto"/>
              <w:rPr>
                <w:rFonts w:eastAsia="Calibri"/>
                <w:sz w:val="28"/>
                <w:szCs w:val="28"/>
              </w:rPr>
            </w:pPr>
            <w:r w:rsidRPr="00520861">
              <w:rPr>
                <w:rFonts w:eastAsia="Calibri"/>
                <w:sz w:val="28"/>
                <w:szCs w:val="28"/>
              </w:rPr>
              <w:t xml:space="preserve">Група 1 </w:t>
            </w:r>
          </w:p>
          <w:p w14:paraId="6A176215" w14:textId="77777777" w:rsidR="00CF641C" w:rsidRPr="00520861" w:rsidRDefault="00CF641C" w:rsidP="00292D2E">
            <w:pPr>
              <w:widowControl w:val="0"/>
              <w:spacing w:line="360" w:lineRule="auto"/>
              <w:rPr>
                <w:rFonts w:eastAsia="Calibri"/>
                <w:sz w:val="28"/>
                <w:szCs w:val="28"/>
              </w:rPr>
            </w:pPr>
          </w:p>
        </w:tc>
        <w:tc>
          <w:tcPr>
            <w:tcW w:w="2465" w:type="dxa"/>
            <w:tcBorders>
              <w:top w:val="single" w:sz="4" w:space="0" w:color="auto"/>
              <w:left w:val="single" w:sz="4" w:space="0" w:color="auto"/>
              <w:bottom w:val="single" w:sz="4" w:space="0" w:color="auto"/>
              <w:right w:val="single" w:sz="4" w:space="0" w:color="auto"/>
            </w:tcBorders>
          </w:tcPr>
          <w:p w14:paraId="1E1ABA97"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rPr>
              <w:t xml:space="preserve">2,23 </w:t>
            </w:r>
            <w:r w:rsidRPr="00520861">
              <w:rPr>
                <w:rFonts w:eastAsia="Calibri"/>
                <w:sz w:val="28"/>
                <w:szCs w:val="28"/>
                <w:lang w:val="ru-RU" w:eastAsia="en-US"/>
              </w:rPr>
              <w:t>(</w:t>
            </w:r>
            <w:r w:rsidRPr="00520861">
              <w:rPr>
                <w:rFonts w:eastAsia="Calibri"/>
                <w:sz w:val="28"/>
                <w:szCs w:val="28"/>
              </w:rPr>
              <w:t>2,25</w:t>
            </w:r>
            <w:r w:rsidRPr="00520861">
              <w:rPr>
                <w:rFonts w:eastAsia="Calibri"/>
                <w:sz w:val="28"/>
                <w:szCs w:val="28"/>
                <w:lang w:val="en-US" w:eastAsia="en-US"/>
              </w:rPr>
              <w:t>;</w:t>
            </w:r>
            <w:r w:rsidRPr="00520861">
              <w:rPr>
                <w:rFonts w:eastAsia="Calibri"/>
                <w:sz w:val="28"/>
                <w:szCs w:val="28"/>
              </w:rPr>
              <w:t xml:space="preserve"> 1,85</w:t>
            </w:r>
            <w:r w:rsidRPr="00520861">
              <w:rPr>
                <w:rFonts w:eastAsia="Calibri"/>
                <w:sz w:val="28"/>
                <w:szCs w:val="28"/>
                <w:lang w:val="ru-RU" w:eastAsia="en-US"/>
              </w:rPr>
              <w:t xml:space="preserve">) </w:t>
            </w: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lang w:val="ru-RU" w:eastAsia="en-US"/>
              </w:rPr>
              <w:t>0,0547</w:t>
            </w:r>
          </w:p>
        </w:tc>
        <w:tc>
          <w:tcPr>
            <w:tcW w:w="3402" w:type="dxa"/>
            <w:tcBorders>
              <w:top w:val="single" w:sz="4" w:space="0" w:color="auto"/>
              <w:left w:val="single" w:sz="4" w:space="0" w:color="auto"/>
              <w:bottom w:val="single" w:sz="4" w:space="0" w:color="auto"/>
              <w:right w:val="single" w:sz="4" w:space="0" w:color="auto"/>
            </w:tcBorders>
          </w:tcPr>
          <w:p w14:paraId="0274E91C"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lang w:val="ru-RU"/>
              </w:rPr>
              <w:t>0,161</w:t>
            </w:r>
            <w:r w:rsidRPr="00520861">
              <w:rPr>
                <w:rFonts w:eastAsia="Calibri"/>
                <w:sz w:val="28"/>
                <w:szCs w:val="28"/>
              </w:rPr>
              <w:t xml:space="preserve">0 </w:t>
            </w:r>
            <w:r w:rsidRPr="00520861">
              <w:rPr>
                <w:rFonts w:eastAsia="Calibri"/>
                <w:sz w:val="28"/>
                <w:szCs w:val="28"/>
                <w:lang w:val="ru-RU" w:eastAsia="en-US"/>
              </w:rPr>
              <w:t>(</w:t>
            </w:r>
            <w:r w:rsidRPr="00520861">
              <w:rPr>
                <w:rFonts w:eastAsia="Calibri"/>
                <w:sz w:val="28"/>
                <w:szCs w:val="28"/>
                <w:lang w:val="ru-RU"/>
              </w:rPr>
              <w:t>0,1625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0,137</w:t>
            </w:r>
            <w:r w:rsidRPr="00520861">
              <w:rPr>
                <w:rFonts w:eastAsia="Calibri"/>
                <w:sz w:val="28"/>
                <w:szCs w:val="28"/>
              </w:rPr>
              <w:t>0</w:t>
            </w:r>
            <w:r w:rsidRPr="00520861">
              <w:rPr>
                <w:rFonts w:eastAsia="Calibri"/>
                <w:sz w:val="28"/>
                <w:szCs w:val="28"/>
                <w:lang w:val="ru-RU" w:eastAsia="en-US"/>
              </w:rPr>
              <w:t xml:space="preserve">) </w:t>
            </w:r>
          </w:p>
          <w:p w14:paraId="5A1F77C4" w14:textId="77777777" w:rsidR="00CF641C" w:rsidRPr="00520861" w:rsidRDefault="00CF641C" w:rsidP="00292D2E">
            <w:pPr>
              <w:widowControl w:val="0"/>
              <w:spacing w:line="360" w:lineRule="auto"/>
              <w:ind w:firstLine="142"/>
              <w:jc w:val="center"/>
              <w:rPr>
                <w:rFonts w:eastAsia="Calibri"/>
                <w:sz w:val="28"/>
                <w:szCs w:val="28"/>
                <w:lang w:val="ru-RU" w:eastAsia="en-US"/>
              </w:rPr>
            </w:pPr>
            <w:r w:rsidRPr="00520861">
              <w:rPr>
                <w:rFonts w:eastAsia="Calibri"/>
                <w:i/>
                <w:sz w:val="28"/>
                <w:szCs w:val="28"/>
                <w:lang w:val="en-US" w:eastAsia="en-US"/>
              </w:rPr>
              <w:t>p</w:t>
            </w:r>
            <w:r w:rsidRPr="00520861">
              <w:rPr>
                <w:rFonts w:eastAsia="Calibri"/>
                <w:sz w:val="28"/>
                <w:szCs w:val="28"/>
                <w:lang w:val="en-US" w:eastAsia="en-US"/>
              </w:rPr>
              <w:t>=0,0547</w:t>
            </w:r>
          </w:p>
        </w:tc>
        <w:tc>
          <w:tcPr>
            <w:tcW w:w="2835" w:type="dxa"/>
            <w:tcBorders>
              <w:top w:val="single" w:sz="4" w:space="0" w:color="auto"/>
              <w:left w:val="single" w:sz="4" w:space="0" w:color="auto"/>
              <w:bottom w:val="single" w:sz="4" w:space="0" w:color="auto"/>
              <w:right w:val="single" w:sz="4" w:space="0" w:color="auto"/>
            </w:tcBorders>
          </w:tcPr>
          <w:p w14:paraId="04427493" w14:textId="77777777" w:rsidR="00CF641C" w:rsidRPr="00520861" w:rsidRDefault="00CF641C" w:rsidP="00292D2E">
            <w:pPr>
              <w:widowControl w:val="0"/>
              <w:spacing w:line="360" w:lineRule="auto"/>
              <w:ind w:firstLine="142"/>
              <w:jc w:val="center"/>
              <w:rPr>
                <w:rFonts w:eastAsia="Calibri"/>
                <w:sz w:val="28"/>
                <w:szCs w:val="28"/>
                <w:lang w:val="en-US"/>
              </w:rPr>
            </w:pPr>
            <w:r w:rsidRPr="00520861">
              <w:rPr>
                <w:rFonts w:eastAsia="Calibri"/>
                <w:sz w:val="28"/>
                <w:szCs w:val="28"/>
                <w:lang w:val="en-US"/>
              </w:rPr>
              <w:t>185</w:t>
            </w:r>
            <w:r w:rsidRPr="00520861">
              <w:rPr>
                <w:rFonts w:eastAsia="Calibri"/>
                <w:sz w:val="28"/>
                <w:szCs w:val="28"/>
              </w:rPr>
              <w:t xml:space="preserve"> </w:t>
            </w:r>
            <w:r w:rsidRPr="00520861">
              <w:rPr>
                <w:rFonts w:eastAsia="Calibri"/>
                <w:sz w:val="28"/>
                <w:szCs w:val="28"/>
                <w:lang w:val="ru-RU" w:eastAsia="en-US"/>
              </w:rPr>
              <w:t>(</w:t>
            </w:r>
            <w:r w:rsidRPr="00520861">
              <w:rPr>
                <w:rFonts w:eastAsia="Calibri"/>
                <w:sz w:val="28"/>
                <w:szCs w:val="28"/>
                <w:lang w:eastAsia="en-US"/>
              </w:rPr>
              <w:t>187</w:t>
            </w:r>
            <w:r w:rsidRPr="00520861">
              <w:rPr>
                <w:rFonts w:eastAsia="Calibri"/>
                <w:sz w:val="28"/>
                <w:szCs w:val="28"/>
                <w:lang w:val="en-US" w:eastAsia="en-US"/>
              </w:rPr>
              <w:t>;</w:t>
            </w:r>
            <w:r w:rsidRPr="00520861">
              <w:rPr>
                <w:rFonts w:eastAsia="Calibri"/>
                <w:sz w:val="28"/>
                <w:szCs w:val="28"/>
                <w:lang w:eastAsia="en-US"/>
              </w:rPr>
              <w:t xml:space="preserve"> 145</w:t>
            </w:r>
            <w:r w:rsidRPr="00520861">
              <w:rPr>
                <w:rFonts w:eastAsia="Calibri"/>
                <w:sz w:val="28"/>
                <w:szCs w:val="28"/>
                <w:lang w:val="ru-RU" w:eastAsia="en-US"/>
              </w:rPr>
              <w:t xml:space="preserve">) </w:t>
            </w:r>
          </w:p>
          <w:p w14:paraId="047ED1C5" w14:textId="77777777" w:rsidR="00CF641C" w:rsidRPr="00520861" w:rsidRDefault="00CF641C" w:rsidP="00292D2E">
            <w:pPr>
              <w:widowControl w:val="0"/>
              <w:spacing w:line="360" w:lineRule="auto"/>
              <w:ind w:firstLine="142"/>
              <w:jc w:val="center"/>
              <w:rPr>
                <w:rFonts w:eastAsia="Calibri"/>
                <w:sz w:val="28"/>
                <w:szCs w:val="28"/>
                <w:lang w:val="ru-RU" w:eastAsia="en-US"/>
              </w:rPr>
            </w:pP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lang w:val="ru-RU" w:eastAsia="en-US"/>
              </w:rPr>
              <w:t>0,3544</w:t>
            </w:r>
          </w:p>
        </w:tc>
      </w:tr>
      <w:tr w:rsidR="00CF641C" w:rsidRPr="00520861" w14:paraId="0690F959" w14:textId="77777777" w:rsidTr="00292D2E">
        <w:tc>
          <w:tcPr>
            <w:tcW w:w="1363" w:type="dxa"/>
            <w:tcBorders>
              <w:top w:val="single" w:sz="4" w:space="0" w:color="auto"/>
              <w:left w:val="single" w:sz="4" w:space="0" w:color="auto"/>
              <w:bottom w:val="single" w:sz="4" w:space="0" w:color="auto"/>
              <w:right w:val="single" w:sz="4" w:space="0" w:color="auto"/>
            </w:tcBorders>
          </w:tcPr>
          <w:p w14:paraId="54BA45AB" w14:textId="77777777" w:rsidR="00CF641C" w:rsidRPr="00520861" w:rsidRDefault="00CF641C" w:rsidP="00292D2E">
            <w:pPr>
              <w:widowControl w:val="0"/>
              <w:spacing w:line="360" w:lineRule="auto"/>
              <w:rPr>
                <w:rFonts w:eastAsia="Calibri"/>
                <w:sz w:val="28"/>
                <w:szCs w:val="28"/>
              </w:rPr>
            </w:pPr>
            <w:r w:rsidRPr="00520861">
              <w:rPr>
                <w:rFonts w:eastAsia="Calibri"/>
                <w:sz w:val="28"/>
                <w:szCs w:val="28"/>
              </w:rPr>
              <w:t xml:space="preserve">Група 2 </w:t>
            </w:r>
          </w:p>
          <w:p w14:paraId="090F8A84" w14:textId="77777777" w:rsidR="00CF641C" w:rsidRPr="00520861" w:rsidRDefault="00CF641C" w:rsidP="00292D2E">
            <w:pPr>
              <w:widowControl w:val="0"/>
              <w:spacing w:line="360" w:lineRule="auto"/>
              <w:rPr>
                <w:rFonts w:eastAsia="Calibri"/>
                <w:sz w:val="28"/>
                <w:szCs w:val="28"/>
                <w:lang w:val="en-US"/>
              </w:rPr>
            </w:pPr>
          </w:p>
        </w:tc>
        <w:tc>
          <w:tcPr>
            <w:tcW w:w="2465" w:type="dxa"/>
            <w:tcBorders>
              <w:top w:val="single" w:sz="4" w:space="0" w:color="auto"/>
              <w:left w:val="single" w:sz="4" w:space="0" w:color="auto"/>
              <w:bottom w:val="single" w:sz="4" w:space="0" w:color="auto"/>
              <w:right w:val="single" w:sz="4" w:space="0" w:color="auto"/>
            </w:tcBorders>
          </w:tcPr>
          <w:p w14:paraId="344191D1" w14:textId="77777777" w:rsidR="00CF641C" w:rsidRPr="00520861" w:rsidRDefault="00CF641C" w:rsidP="00292D2E">
            <w:pPr>
              <w:widowControl w:val="0"/>
              <w:spacing w:line="360" w:lineRule="auto"/>
              <w:ind w:firstLine="142"/>
              <w:jc w:val="center"/>
              <w:rPr>
                <w:rFonts w:eastAsia="Calibri"/>
                <w:sz w:val="28"/>
                <w:szCs w:val="28"/>
                <w:lang w:val="ru-RU"/>
              </w:rPr>
            </w:pPr>
            <w:r w:rsidRPr="00520861">
              <w:rPr>
                <w:rFonts w:eastAsia="Calibri"/>
                <w:sz w:val="28"/>
                <w:szCs w:val="28"/>
                <w:lang w:val="ru-RU"/>
              </w:rPr>
              <w:t>2</w:t>
            </w:r>
            <w:r w:rsidRPr="00520861">
              <w:rPr>
                <w:rFonts w:eastAsia="Calibri"/>
                <w:sz w:val="28"/>
                <w:szCs w:val="28"/>
              </w:rPr>
              <w:t>,</w:t>
            </w:r>
            <w:r w:rsidRPr="00520861">
              <w:rPr>
                <w:rFonts w:eastAsia="Calibri"/>
                <w:sz w:val="28"/>
                <w:szCs w:val="28"/>
                <w:lang w:val="ru-RU"/>
              </w:rPr>
              <w:t>55*</w:t>
            </w:r>
            <w:r w:rsidRPr="00520861">
              <w:rPr>
                <w:rFonts w:eastAsia="Calibri"/>
                <w:sz w:val="28"/>
                <w:szCs w:val="28"/>
              </w:rPr>
              <w:t xml:space="preserve"> </w:t>
            </w:r>
            <w:r w:rsidRPr="00520861">
              <w:rPr>
                <w:rFonts w:eastAsia="Calibri"/>
                <w:sz w:val="28"/>
                <w:szCs w:val="28"/>
                <w:lang w:val="ru-RU" w:eastAsia="en-US"/>
              </w:rPr>
              <w:t>(</w:t>
            </w:r>
            <w:r w:rsidRPr="00520861">
              <w:rPr>
                <w:rFonts w:eastAsia="Calibri"/>
                <w:sz w:val="28"/>
                <w:szCs w:val="28"/>
                <w:lang w:val="ru-RU"/>
              </w:rPr>
              <w:t>2</w:t>
            </w:r>
            <w:r w:rsidRPr="00520861">
              <w:rPr>
                <w:rFonts w:eastAsia="Calibri"/>
                <w:sz w:val="28"/>
                <w:szCs w:val="28"/>
              </w:rPr>
              <w:t>,</w:t>
            </w:r>
            <w:r w:rsidRPr="00520861">
              <w:rPr>
                <w:rFonts w:eastAsia="Calibri"/>
                <w:sz w:val="28"/>
                <w:szCs w:val="28"/>
                <w:lang w:val="ru-RU"/>
              </w:rPr>
              <w:t>64</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2</w:t>
            </w:r>
            <w:r w:rsidRPr="00520861">
              <w:rPr>
                <w:rFonts w:eastAsia="Calibri"/>
                <w:sz w:val="28"/>
                <w:szCs w:val="28"/>
              </w:rPr>
              <w:t>,</w:t>
            </w:r>
            <w:r w:rsidRPr="00520861">
              <w:rPr>
                <w:rFonts w:eastAsia="Calibri"/>
                <w:sz w:val="28"/>
                <w:szCs w:val="28"/>
                <w:lang w:val="ru-RU"/>
              </w:rPr>
              <w:t>48</w:t>
            </w:r>
            <w:r w:rsidRPr="00520861">
              <w:rPr>
                <w:rFonts w:eastAsia="Calibri"/>
                <w:sz w:val="28"/>
                <w:szCs w:val="28"/>
                <w:lang w:val="ru-RU" w:eastAsia="en-US"/>
              </w:rPr>
              <w:t xml:space="preserve">) </w:t>
            </w: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lang w:val="ru-RU" w:eastAsia="en-US"/>
              </w:rPr>
              <w:t>0,0103</w:t>
            </w:r>
          </w:p>
        </w:tc>
        <w:tc>
          <w:tcPr>
            <w:tcW w:w="3402" w:type="dxa"/>
            <w:tcBorders>
              <w:top w:val="single" w:sz="4" w:space="0" w:color="auto"/>
              <w:left w:val="single" w:sz="4" w:space="0" w:color="auto"/>
              <w:bottom w:val="single" w:sz="4" w:space="0" w:color="auto"/>
              <w:right w:val="single" w:sz="4" w:space="0" w:color="auto"/>
            </w:tcBorders>
          </w:tcPr>
          <w:p w14:paraId="5283CAAD"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rPr>
              <w:t xml:space="preserve">0,1590 </w:t>
            </w:r>
            <w:r w:rsidRPr="00520861">
              <w:rPr>
                <w:rFonts w:eastAsia="Calibri"/>
                <w:sz w:val="28"/>
                <w:szCs w:val="28"/>
                <w:lang w:val="ru-RU" w:eastAsia="en-US"/>
              </w:rPr>
              <w:t>(</w:t>
            </w:r>
            <w:r w:rsidRPr="00520861">
              <w:rPr>
                <w:rFonts w:eastAsia="Calibri"/>
                <w:sz w:val="28"/>
                <w:szCs w:val="28"/>
              </w:rPr>
              <w:t>0,1708</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rPr>
              <w:t>0,1480</w:t>
            </w:r>
            <w:r w:rsidRPr="00520861">
              <w:rPr>
                <w:rFonts w:eastAsia="Calibri"/>
                <w:sz w:val="28"/>
                <w:szCs w:val="28"/>
                <w:lang w:val="ru-RU" w:eastAsia="en-US"/>
              </w:rPr>
              <w:t xml:space="preserve">) </w:t>
            </w:r>
          </w:p>
          <w:p w14:paraId="25034131" w14:textId="77777777" w:rsidR="00CF641C" w:rsidRPr="00520861" w:rsidRDefault="00CF641C" w:rsidP="00292D2E">
            <w:pPr>
              <w:widowControl w:val="0"/>
              <w:spacing w:line="360" w:lineRule="auto"/>
              <w:ind w:firstLine="142"/>
              <w:jc w:val="center"/>
              <w:rPr>
                <w:rFonts w:eastAsia="Calibri"/>
                <w:sz w:val="28"/>
                <w:szCs w:val="28"/>
                <w:lang w:val="ru-RU" w:eastAsia="en-US"/>
              </w:rPr>
            </w:pPr>
            <w:r w:rsidRPr="00520861">
              <w:rPr>
                <w:rFonts w:eastAsia="Calibri"/>
                <w:i/>
                <w:sz w:val="28"/>
                <w:szCs w:val="28"/>
                <w:lang w:val="en-US" w:eastAsia="en-US"/>
              </w:rPr>
              <w:t>p</w:t>
            </w:r>
            <w:r w:rsidRPr="00520861">
              <w:rPr>
                <w:rFonts w:eastAsia="Calibri"/>
                <w:sz w:val="28"/>
                <w:szCs w:val="28"/>
                <w:lang w:val="en-US" w:eastAsia="en-US"/>
              </w:rPr>
              <w:t>=0,0881</w:t>
            </w:r>
          </w:p>
        </w:tc>
        <w:tc>
          <w:tcPr>
            <w:tcW w:w="2835" w:type="dxa"/>
            <w:tcBorders>
              <w:top w:val="single" w:sz="4" w:space="0" w:color="auto"/>
              <w:left w:val="single" w:sz="4" w:space="0" w:color="auto"/>
              <w:bottom w:val="single" w:sz="4" w:space="0" w:color="auto"/>
              <w:right w:val="single" w:sz="4" w:space="0" w:color="auto"/>
            </w:tcBorders>
          </w:tcPr>
          <w:p w14:paraId="08E8AF53" w14:textId="77777777" w:rsidR="00CF641C" w:rsidRPr="00520861" w:rsidRDefault="00CF641C" w:rsidP="00292D2E">
            <w:pPr>
              <w:widowControl w:val="0"/>
              <w:spacing w:line="360" w:lineRule="auto"/>
              <w:ind w:firstLine="142"/>
              <w:jc w:val="center"/>
              <w:rPr>
                <w:rFonts w:eastAsia="Calibri"/>
                <w:sz w:val="28"/>
                <w:szCs w:val="28"/>
                <w:lang w:val="en-US"/>
              </w:rPr>
            </w:pPr>
            <w:r w:rsidRPr="00520861">
              <w:rPr>
                <w:rFonts w:eastAsia="Calibri"/>
                <w:sz w:val="28"/>
                <w:szCs w:val="28"/>
                <w:lang w:val="en-US"/>
              </w:rPr>
              <w:t>115</w:t>
            </w:r>
            <w:r w:rsidRPr="00520861">
              <w:rPr>
                <w:rFonts w:eastAsia="Calibri"/>
                <w:sz w:val="28"/>
                <w:szCs w:val="28"/>
                <w:lang w:val="ru-RU"/>
              </w:rPr>
              <w:t>*</w:t>
            </w:r>
            <w:r w:rsidRPr="00520861">
              <w:rPr>
                <w:rFonts w:eastAsia="Calibri"/>
                <w:sz w:val="28"/>
                <w:szCs w:val="28"/>
              </w:rPr>
              <w:t xml:space="preserve"> </w:t>
            </w:r>
            <w:r w:rsidRPr="00520861">
              <w:rPr>
                <w:rFonts w:eastAsia="Calibri"/>
                <w:sz w:val="28"/>
                <w:szCs w:val="28"/>
                <w:lang w:val="ru-RU" w:eastAsia="en-US"/>
              </w:rPr>
              <w:t>(</w:t>
            </w:r>
            <w:r w:rsidRPr="00520861">
              <w:rPr>
                <w:rFonts w:eastAsia="Calibri"/>
                <w:sz w:val="28"/>
                <w:szCs w:val="28"/>
                <w:lang w:val="en-US"/>
              </w:rPr>
              <w:t>1</w:t>
            </w:r>
            <w:r w:rsidRPr="00520861">
              <w:rPr>
                <w:rFonts w:eastAsia="Calibri"/>
                <w:sz w:val="28"/>
                <w:szCs w:val="28"/>
                <w:lang w:val="ru-RU"/>
              </w:rPr>
              <w:t>2</w:t>
            </w:r>
            <w:r w:rsidRPr="00520861">
              <w:rPr>
                <w:rFonts w:eastAsia="Calibri"/>
                <w:sz w:val="28"/>
                <w:szCs w:val="28"/>
                <w:lang w:val="en-US"/>
              </w:rPr>
              <w:t>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en-US"/>
              </w:rPr>
              <w:t>110</w:t>
            </w:r>
            <w:r w:rsidRPr="00520861">
              <w:rPr>
                <w:rFonts w:eastAsia="Calibri"/>
                <w:sz w:val="28"/>
                <w:szCs w:val="28"/>
                <w:lang w:val="ru-RU" w:eastAsia="en-US"/>
              </w:rPr>
              <w:t xml:space="preserve">) </w:t>
            </w:r>
          </w:p>
          <w:p w14:paraId="619AB14E" w14:textId="77777777" w:rsidR="00CF641C" w:rsidRPr="00520861" w:rsidRDefault="00CF641C" w:rsidP="00292D2E">
            <w:pPr>
              <w:widowControl w:val="0"/>
              <w:spacing w:line="360" w:lineRule="auto"/>
              <w:ind w:firstLine="142"/>
              <w:jc w:val="center"/>
              <w:rPr>
                <w:rFonts w:eastAsia="Calibri"/>
                <w:sz w:val="28"/>
                <w:szCs w:val="28"/>
                <w:lang w:val="ru-RU" w:eastAsia="en-US"/>
              </w:rPr>
            </w:pP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lang w:val="ru-RU" w:eastAsia="en-US"/>
              </w:rPr>
              <w:t>0,0203</w:t>
            </w:r>
          </w:p>
        </w:tc>
      </w:tr>
      <w:tr w:rsidR="00CF641C" w:rsidRPr="00520861" w14:paraId="66B5BE36" w14:textId="77777777" w:rsidTr="00292D2E">
        <w:tc>
          <w:tcPr>
            <w:tcW w:w="1363" w:type="dxa"/>
            <w:tcBorders>
              <w:top w:val="single" w:sz="4" w:space="0" w:color="auto"/>
              <w:left w:val="single" w:sz="4" w:space="0" w:color="auto"/>
              <w:bottom w:val="single" w:sz="4" w:space="0" w:color="auto"/>
              <w:right w:val="single" w:sz="4" w:space="0" w:color="auto"/>
            </w:tcBorders>
            <w:hideMark/>
          </w:tcPr>
          <w:p w14:paraId="02BA700D" w14:textId="77777777" w:rsidR="00CF641C" w:rsidRPr="00520861" w:rsidRDefault="00CF641C" w:rsidP="00292D2E">
            <w:pPr>
              <w:widowControl w:val="0"/>
              <w:spacing w:line="360" w:lineRule="auto"/>
              <w:rPr>
                <w:rFonts w:eastAsia="Calibri"/>
                <w:sz w:val="28"/>
                <w:szCs w:val="28"/>
              </w:rPr>
            </w:pPr>
            <w:r w:rsidRPr="00520861">
              <w:rPr>
                <w:rFonts w:eastAsia="Calibri"/>
                <w:sz w:val="28"/>
                <w:szCs w:val="28"/>
              </w:rPr>
              <w:t>Група 3</w:t>
            </w:r>
          </w:p>
          <w:p w14:paraId="45695659" w14:textId="77777777" w:rsidR="00CF641C" w:rsidRPr="00520861" w:rsidRDefault="00CF641C" w:rsidP="00292D2E">
            <w:pPr>
              <w:widowControl w:val="0"/>
              <w:spacing w:line="360" w:lineRule="auto"/>
              <w:rPr>
                <w:rFonts w:eastAsia="Calibri"/>
                <w:sz w:val="28"/>
                <w:szCs w:val="28"/>
              </w:rPr>
            </w:pPr>
          </w:p>
        </w:tc>
        <w:tc>
          <w:tcPr>
            <w:tcW w:w="2465" w:type="dxa"/>
            <w:tcBorders>
              <w:top w:val="single" w:sz="4" w:space="0" w:color="auto"/>
              <w:left w:val="single" w:sz="4" w:space="0" w:color="auto"/>
              <w:bottom w:val="single" w:sz="4" w:space="0" w:color="auto"/>
              <w:right w:val="single" w:sz="4" w:space="0" w:color="auto"/>
            </w:tcBorders>
            <w:hideMark/>
          </w:tcPr>
          <w:p w14:paraId="752273F1" w14:textId="77777777" w:rsidR="00CF641C" w:rsidRPr="00520861" w:rsidRDefault="00CF641C" w:rsidP="00292D2E">
            <w:pPr>
              <w:widowControl w:val="0"/>
              <w:spacing w:line="360" w:lineRule="auto"/>
              <w:ind w:firstLine="142"/>
              <w:jc w:val="center"/>
              <w:rPr>
                <w:rFonts w:eastAsia="Calibri"/>
                <w:sz w:val="28"/>
                <w:szCs w:val="28"/>
                <w:lang w:val="ru-RU"/>
              </w:rPr>
            </w:pPr>
            <w:r w:rsidRPr="00520861">
              <w:rPr>
                <w:rFonts w:eastAsia="Calibri"/>
                <w:sz w:val="28"/>
                <w:szCs w:val="28"/>
                <w:lang w:val="ru-RU"/>
              </w:rPr>
              <w:t>1</w:t>
            </w:r>
            <w:r w:rsidRPr="00520861">
              <w:rPr>
                <w:rFonts w:eastAsia="Calibri"/>
                <w:sz w:val="28"/>
                <w:szCs w:val="28"/>
              </w:rPr>
              <w:t>,</w:t>
            </w:r>
            <w:r w:rsidRPr="00520861">
              <w:rPr>
                <w:rFonts w:eastAsia="Calibri"/>
                <w:sz w:val="28"/>
                <w:szCs w:val="28"/>
                <w:lang w:val="ru-RU"/>
              </w:rPr>
              <w:t>80</w:t>
            </w:r>
            <w:r w:rsidRPr="00520861">
              <w:rPr>
                <w:rFonts w:eastAsia="Calibri"/>
                <w:sz w:val="28"/>
                <w:szCs w:val="28"/>
              </w:rPr>
              <w:t xml:space="preserve"> </w:t>
            </w:r>
            <w:r w:rsidRPr="00520861">
              <w:rPr>
                <w:rFonts w:eastAsia="Calibri"/>
                <w:sz w:val="28"/>
                <w:szCs w:val="28"/>
                <w:lang w:val="ru-RU" w:eastAsia="en-US"/>
              </w:rPr>
              <w:t>(</w:t>
            </w:r>
            <w:r w:rsidRPr="00520861">
              <w:rPr>
                <w:rFonts w:eastAsia="Calibri"/>
                <w:sz w:val="28"/>
                <w:szCs w:val="28"/>
                <w:lang w:val="ru-RU"/>
              </w:rPr>
              <w:t>2</w:t>
            </w:r>
            <w:r w:rsidRPr="00520861">
              <w:rPr>
                <w:rFonts w:eastAsia="Calibri"/>
                <w:sz w:val="28"/>
                <w:szCs w:val="28"/>
              </w:rPr>
              <w:t>,</w:t>
            </w:r>
            <w:r w:rsidRPr="00520861">
              <w:rPr>
                <w:rFonts w:eastAsia="Calibri"/>
                <w:sz w:val="28"/>
                <w:szCs w:val="28"/>
                <w:lang w:val="ru-RU"/>
              </w:rPr>
              <w:t>43</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1</w:t>
            </w:r>
            <w:r w:rsidRPr="00520861">
              <w:rPr>
                <w:rFonts w:eastAsia="Calibri"/>
                <w:sz w:val="28"/>
                <w:szCs w:val="28"/>
              </w:rPr>
              <w:t>,</w:t>
            </w:r>
            <w:r w:rsidRPr="00520861">
              <w:rPr>
                <w:rFonts w:eastAsia="Calibri"/>
                <w:sz w:val="28"/>
                <w:szCs w:val="28"/>
                <w:lang w:val="ru-RU"/>
              </w:rPr>
              <w:t>76</w:t>
            </w:r>
            <w:r w:rsidRPr="00520861">
              <w:rPr>
                <w:rFonts w:eastAsia="Calibri"/>
                <w:sz w:val="28"/>
                <w:szCs w:val="28"/>
              </w:rPr>
              <w:t xml:space="preserve">) </w:t>
            </w: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rPr>
              <w:t>0,4688</w:t>
            </w:r>
          </w:p>
        </w:tc>
        <w:tc>
          <w:tcPr>
            <w:tcW w:w="3402" w:type="dxa"/>
            <w:tcBorders>
              <w:top w:val="single" w:sz="4" w:space="0" w:color="auto"/>
              <w:left w:val="single" w:sz="4" w:space="0" w:color="auto"/>
              <w:bottom w:val="single" w:sz="4" w:space="0" w:color="auto"/>
              <w:right w:val="single" w:sz="4" w:space="0" w:color="auto"/>
            </w:tcBorders>
            <w:hideMark/>
          </w:tcPr>
          <w:p w14:paraId="45C6CCB3"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lang w:val="ru-RU"/>
              </w:rPr>
              <w:t>0,177</w:t>
            </w:r>
            <w:r w:rsidRPr="00520861">
              <w:rPr>
                <w:rFonts w:eastAsia="Calibri"/>
                <w:sz w:val="28"/>
                <w:szCs w:val="28"/>
              </w:rPr>
              <w:t xml:space="preserve">0 </w:t>
            </w:r>
            <w:r w:rsidRPr="00520861">
              <w:rPr>
                <w:rFonts w:eastAsia="Calibri"/>
                <w:sz w:val="28"/>
                <w:szCs w:val="28"/>
                <w:lang w:val="ru-RU" w:eastAsia="en-US"/>
              </w:rPr>
              <w:t>(</w:t>
            </w:r>
            <w:r w:rsidRPr="00520861">
              <w:rPr>
                <w:rFonts w:eastAsia="Calibri"/>
                <w:sz w:val="28"/>
                <w:szCs w:val="28"/>
                <w:lang w:val="ru-RU"/>
              </w:rPr>
              <w:t>0,1985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0,1518</w:t>
            </w:r>
            <w:r w:rsidRPr="00520861">
              <w:rPr>
                <w:rFonts w:eastAsia="Calibri"/>
                <w:sz w:val="28"/>
                <w:szCs w:val="28"/>
                <w:lang w:val="ru-RU" w:eastAsia="en-US"/>
              </w:rPr>
              <w:t xml:space="preserve">) </w:t>
            </w: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lang w:val="ru-RU"/>
              </w:rPr>
              <w:t>1,0000</w:t>
            </w:r>
          </w:p>
        </w:tc>
        <w:tc>
          <w:tcPr>
            <w:tcW w:w="2835" w:type="dxa"/>
            <w:tcBorders>
              <w:top w:val="single" w:sz="4" w:space="0" w:color="auto"/>
              <w:left w:val="single" w:sz="4" w:space="0" w:color="auto"/>
              <w:bottom w:val="single" w:sz="4" w:space="0" w:color="auto"/>
              <w:right w:val="single" w:sz="4" w:space="0" w:color="auto"/>
            </w:tcBorders>
            <w:hideMark/>
          </w:tcPr>
          <w:p w14:paraId="76A7DB72" w14:textId="77777777" w:rsidR="00CF641C" w:rsidRPr="00520861" w:rsidRDefault="00CF641C" w:rsidP="00292D2E">
            <w:pPr>
              <w:widowControl w:val="0"/>
              <w:spacing w:line="360" w:lineRule="auto"/>
              <w:ind w:firstLine="142"/>
              <w:jc w:val="center"/>
              <w:rPr>
                <w:rFonts w:eastAsia="Calibri"/>
                <w:sz w:val="28"/>
                <w:szCs w:val="28"/>
                <w:lang w:val="ru-RU"/>
              </w:rPr>
            </w:pPr>
            <w:r w:rsidRPr="00520861">
              <w:rPr>
                <w:rFonts w:eastAsia="Calibri"/>
                <w:sz w:val="28"/>
                <w:szCs w:val="28"/>
                <w:lang w:val="ru-RU"/>
              </w:rPr>
              <w:t>183</w:t>
            </w:r>
            <w:r w:rsidRPr="00520861">
              <w:rPr>
                <w:rFonts w:eastAsia="Calibri"/>
                <w:sz w:val="28"/>
                <w:szCs w:val="28"/>
              </w:rPr>
              <w:t xml:space="preserve"> </w:t>
            </w:r>
            <w:r w:rsidRPr="00520861">
              <w:rPr>
                <w:rFonts w:eastAsia="Calibri"/>
                <w:sz w:val="28"/>
                <w:szCs w:val="28"/>
                <w:lang w:val="ru-RU" w:eastAsia="en-US"/>
              </w:rPr>
              <w:t>(</w:t>
            </w:r>
            <w:r w:rsidRPr="00520861">
              <w:rPr>
                <w:rFonts w:eastAsia="Calibri"/>
                <w:sz w:val="28"/>
                <w:szCs w:val="28"/>
                <w:lang w:val="ru-RU"/>
              </w:rPr>
              <w:t>188</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144</w:t>
            </w:r>
            <w:r w:rsidRPr="00520861">
              <w:rPr>
                <w:rFonts w:eastAsia="Calibri"/>
                <w:sz w:val="28"/>
                <w:szCs w:val="28"/>
                <w:lang w:val="ru-RU" w:eastAsia="en-US"/>
              </w:rPr>
              <w:t xml:space="preserve">) </w:t>
            </w:r>
          </w:p>
          <w:p w14:paraId="209A9E40" w14:textId="77777777" w:rsidR="00CF641C" w:rsidRPr="00520861" w:rsidRDefault="00CF641C" w:rsidP="00292D2E">
            <w:pPr>
              <w:widowControl w:val="0"/>
              <w:spacing w:line="360" w:lineRule="auto"/>
              <w:ind w:firstLine="142"/>
              <w:jc w:val="center"/>
              <w:rPr>
                <w:rFonts w:eastAsia="Calibri"/>
                <w:sz w:val="28"/>
                <w:szCs w:val="28"/>
                <w:lang w:val="ru-RU" w:eastAsia="en-US"/>
              </w:rPr>
            </w:pP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lang w:val="ru-RU" w:eastAsia="en-US"/>
              </w:rPr>
              <w:t>0,3544</w:t>
            </w:r>
          </w:p>
        </w:tc>
      </w:tr>
      <w:tr w:rsidR="00CF641C" w:rsidRPr="00520861" w14:paraId="006EAC71" w14:textId="77777777" w:rsidTr="00292D2E">
        <w:tc>
          <w:tcPr>
            <w:tcW w:w="1363" w:type="dxa"/>
            <w:tcBorders>
              <w:top w:val="single" w:sz="4" w:space="0" w:color="auto"/>
              <w:left w:val="single" w:sz="4" w:space="0" w:color="auto"/>
              <w:bottom w:val="single" w:sz="4" w:space="0" w:color="auto"/>
              <w:right w:val="single" w:sz="4" w:space="0" w:color="auto"/>
            </w:tcBorders>
            <w:hideMark/>
          </w:tcPr>
          <w:p w14:paraId="654F09F6" w14:textId="77777777" w:rsidR="00CF641C" w:rsidRPr="00520861" w:rsidRDefault="00CF641C" w:rsidP="00292D2E">
            <w:pPr>
              <w:widowControl w:val="0"/>
              <w:spacing w:line="360" w:lineRule="auto"/>
              <w:rPr>
                <w:rFonts w:eastAsia="Calibri"/>
                <w:sz w:val="28"/>
                <w:szCs w:val="28"/>
              </w:rPr>
            </w:pPr>
            <w:r w:rsidRPr="00520861">
              <w:rPr>
                <w:rFonts w:eastAsia="Calibri"/>
                <w:sz w:val="28"/>
                <w:szCs w:val="28"/>
              </w:rPr>
              <w:t xml:space="preserve"> Група 4</w:t>
            </w:r>
          </w:p>
          <w:p w14:paraId="243E153C" w14:textId="77777777" w:rsidR="00CF641C" w:rsidRPr="00520861" w:rsidRDefault="00CF641C" w:rsidP="00292D2E">
            <w:pPr>
              <w:widowControl w:val="0"/>
              <w:spacing w:line="360" w:lineRule="auto"/>
              <w:rPr>
                <w:rFonts w:eastAsia="Calibri"/>
                <w:sz w:val="28"/>
                <w:szCs w:val="28"/>
              </w:rPr>
            </w:pPr>
          </w:p>
        </w:tc>
        <w:tc>
          <w:tcPr>
            <w:tcW w:w="2465" w:type="dxa"/>
            <w:tcBorders>
              <w:top w:val="single" w:sz="4" w:space="0" w:color="auto"/>
              <w:left w:val="single" w:sz="4" w:space="0" w:color="auto"/>
              <w:bottom w:val="single" w:sz="4" w:space="0" w:color="auto"/>
              <w:right w:val="single" w:sz="4" w:space="0" w:color="auto"/>
            </w:tcBorders>
            <w:hideMark/>
          </w:tcPr>
          <w:p w14:paraId="7CC163BA" w14:textId="77777777" w:rsidR="00CF641C" w:rsidRPr="00520861" w:rsidRDefault="00CF641C" w:rsidP="00292D2E">
            <w:pPr>
              <w:widowControl w:val="0"/>
              <w:spacing w:line="360" w:lineRule="auto"/>
              <w:ind w:firstLine="142"/>
              <w:jc w:val="center"/>
              <w:rPr>
                <w:rFonts w:eastAsia="Calibri"/>
                <w:sz w:val="28"/>
                <w:szCs w:val="28"/>
                <w:lang w:val="ru-RU"/>
              </w:rPr>
            </w:pPr>
            <w:r w:rsidRPr="00520861">
              <w:rPr>
                <w:rFonts w:eastAsia="Calibri"/>
                <w:sz w:val="28"/>
                <w:szCs w:val="28"/>
                <w:lang w:val="ru-RU"/>
              </w:rPr>
              <w:t>2</w:t>
            </w:r>
            <w:r w:rsidRPr="00520861">
              <w:rPr>
                <w:rFonts w:eastAsia="Calibri"/>
                <w:sz w:val="28"/>
                <w:szCs w:val="28"/>
              </w:rPr>
              <w:t>,</w:t>
            </w:r>
            <w:r w:rsidRPr="00520861">
              <w:rPr>
                <w:rFonts w:eastAsia="Calibri"/>
                <w:sz w:val="28"/>
                <w:szCs w:val="28"/>
                <w:lang w:val="ru-RU"/>
              </w:rPr>
              <w:t>20</w:t>
            </w:r>
            <w:r w:rsidRPr="00520861">
              <w:rPr>
                <w:rFonts w:eastAsia="Calibri"/>
                <w:sz w:val="28"/>
                <w:szCs w:val="28"/>
              </w:rPr>
              <w:t xml:space="preserve"> </w:t>
            </w:r>
            <w:r w:rsidRPr="00520861">
              <w:rPr>
                <w:rFonts w:eastAsia="Calibri"/>
                <w:sz w:val="28"/>
                <w:szCs w:val="28"/>
                <w:lang w:val="ru-RU" w:eastAsia="en-US"/>
              </w:rPr>
              <w:t>(</w:t>
            </w:r>
            <w:r w:rsidRPr="00520861">
              <w:rPr>
                <w:rFonts w:eastAsia="Calibri"/>
                <w:sz w:val="28"/>
                <w:szCs w:val="28"/>
                <w:lang w:val="ru-RU"/>
              </w:rPr>
              <w:t>2</w:t>
            </w:r>
            <w:r w:rsidRPr="00520861">
              <w:rPr>
                <w:rFonts w:eastAsia="Calibri"/>
                <w:sz w:val="28"/>
                <w:szCs w:val="28"/>
              </w:rPr>
              <w:t>,</w:t>
            </w:r>
            <w:r w:rsidRPr="00520861">
              <w:rPr>
                <w:rFonts w:eastAsia="Calibri"/>
                <w:sz w:val="28"/>
                <w:szCs w:val="28"/>
                <w:lang w:val="ru-RU"/>
              </w:rPr>
              <w:t>35</w:t>
            </w:r>
            <w:r w:rsidRPr="00520861">
              <w:rPr>
                <w:rFonts w:eastAsia="Calibri"/>
                <w:sz w:val="28"/>
                <w:szCs w:val="28"/>
                <w:lang w:val="en-US" w:eastAsia="en-US"/>
              </w:rPr>
              <w:t>;</w:t>
            </w:r>
            <w:r w:rsidRPr="00520861">
              <w:rPr>
                <w:rFonts w:eastAsia="Calibri"/>
                <w:sz w:val="28"/>
                <w:szCs w:val="28"/>
                <w:lang w:val="ru-RU"/>
              </w:rPr>
              <w:t xml:space="preserve"> 2</w:t>
            </w:r>
            <w:r w:rsidRPr="00520861">
              <w:rPr>
                <w:rFonts w:eastAsia="Calibri"/>
                <w:sz w:val="28"/>
                <w:szCs w:val="28"/>
              </w:rPr>
              <w:t>,</w:t>
            </w:r>
            <w:r w:rsidRPr="00520861">
              <w:rPr>
                <w:rFonts w:eastAsia="Calibri"/>
                <w:sz w:val="28"/>
                <w:szCs w:val="28"/>
                <w:lang w:val="ru-RU"/>
              </w:rPr>
              <w:t>10</w:t>
            </w:r>
            <w:r w:rsidRPr="00520861">
              <w:rPr>
                <w:rFonts w:eastAsia="Calibri"/>
                <w:sz w:val="28"/>
                <w:szCs w:val="28"/>
                <w:lang w:val="ru-RU" w:eastAsia="en-US"/>
              </w:rPr>
              <w:t xml:space="preserve">) </w:t>
            </w:r>
          </w:p>
          <w:p w14:paraId="221BDAF9" w14:textId="77777777" w:rsidR="00CF641C" w:rsidRPr="00520861" w:rsidRDefault="00CF641C" w:rsidP="00292D2E">
            <w:pPr>
              <w:widowControl w:val="0"/>
              <w:spacing w:line="360" w:lineRule="auto"/>
              <w:ind w:firstLine="142"/>
              <w:jc w:val="center"/>
              <w:rPr>
                <w:rFonts w:eastAsia="Calibri"/>
                <w:sz w:val="28"/>
                <w:szCs w:val="28"/>
                <w:lang w:val="ru-RU" w:eastAsia="en-US"/>
              </w:rPr>
            </w:pPr>
            <w:r w:rsidRPr="00520861">
              <w:rPr>
                <w:rFonts w:eastAsia="Calibri"/>
                <w:i/>
                <w:sz w:val="28"/>
                <w:szCs w:val="28"/>
                <w:lang w:val="en-US" w:eastAsia="en-US"/>
              </w:rPr>
              <w:t>p</w:t>
            </w:r>
            <w:r w:rsidRPr="00520861">
              <w:rPr>
                <w:rFonts w:eastAsia="Calibri"/>
                <w:sz w:val="28"/>
                <w:szCs w:val="28"/>
                <w:lang w:val="en-US" w:eastAsia="en-US"/>
              </w:rPr>
              <w:t>=0,0547</w:t>
            </w:r>
          </w:p>
        </w:tc>
        <w:tc>
          <w:tcPr>
            <w:tcW w:w="3402" w:type="dxa"/>
            <w:tcBorders>
              <w:top w:val="single" w:sz="4" w:space="0" w:color="auto"/>
              <w:left w:val="single" w:sz="4" w:space="0" w:color="auto"/>
              <w:bottom w:val="single" w:sz="4" w:space="0" w:color="auto"/>
              <w:right w:val="single" w:sz="4" w:space="0" w:color="auto"/>
            </w:tcBorders>
            <w:hideMark/>
          </w:tcPr>
          <w:p w14:paraId="21AC3470" w14:textId="77777777" w:rsidR="00CF641C" w:rsidRPr="00520861" w:rsidRDefault="00CF641C" w:rsidP="00292D2E">
            <w:pPr>
              <w:widowControl w:val="0"/>
              <w:spacing w:line="360" w:lineRule="auto"/>
              <w:ind w:hanging="103"/>
              <w:jc w:val="center"/>
              <w:rPr>
                <w:rFonts w:eastAsia="Calibri"/>
                <w:sz w:val="28"/>
                <w:szCs w:val="28"/>
                <w:lang w:val="ru-RU" w:eastAsia="en-US"/>
              </w:rPr>
            </w:pPr>
            <w:r w:rsidRPr="00520861">
              <w:rPr>
                <w:rFonts w:eastAsia="Calibri"/>
                <w:sz w:val="28"/>
                <w:szCs w:val="28"/>
              </w:rPr>
              <w:t>0,2960</w:t>
            </w:r>
            <w:r w:rsidRPr="00520861">
              <w:rPr>
                <w:rFonts w:eastAsia="Calibri"/>
                <w:sz w:val="28"/>
                <w:szCs w:val="28"/>
                <w:lang w:val="ru-RU"/>
              </w:rPr>
              <w:t>*</w:t>
            </w:r>
            <w:r w:rsidRPr="00520861">
              <w:rPr>
                <w:rFonts w:eastAsia="Calibri"/>
                <w:sz w:val="28"/>
                <w:szCs w:val="28"/>
              </w:rPr>
              <w:t xml:space="preserve"> </w:t>
            </w:r>
            <w:r w:rsidRPr="00520861">
              <w:rPr>
                <w:rFonts w:eastAsia="Calibri"/>
                <w:sz w:val="28"/>
                <w:szCs w:val="28"/>
                <w:lang w:val="ru-RU" w:eastAsia="en-US"/>
              </w:rPr>
              <w:t>(</w:t>
            </w:r>
            <w:r w:rsidRPr="00520861">
              <w:rPr>
                <w:rFonts w:eastAsia="Calibri"/>
                <w:sz w:val="28"/>
                <w:szCs w:val="28"/>
              </w:rPr>
              <w:t>0,3115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rPr>
              <w:t>0,2440</w:t>
            </w:r>
            <w:r w:rsidRPr="00520861">
              <w:rPr>
                <w:rFonts w:eastAsia="Calibri"/>
                <w:sz w:val="28"/>
                <w:szCs w:val="28"/>
                <w:lang w:val="ru-RU" w:eastAsia="en-US"/>
              </w:rPr>
              <w:t xml:space="preserve">) </w:t>
            </w:r>
          </w:p>
          <w:p w14:paraId="66646615" w14:textId="77777777" w:rsidR="00CF641C" w:rsidRPr="00520861" w:rsidRDefault="00CF641C" w:rsidP="00292D2E">
            <w:pPr>
              <w:widowControl w:val="0"/>
              <w:spacing w:line="360" w:lineRule="auto"/>
              <w:ind w:hanging="103"/>
              <w:jc w:val="center"/>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=0,0065</w:t>
            </w:r>
          </w:p>
        </w:tc>
        <w:tc>
          <w:tcPr>
            <w:tcW w:w="2835" w:type="dxa"/>
            <w:tcBorders>
              <w:top w:val="single" w:sz="4" w:space="0" w:color="auto"/>
              <w:left w:val="single" w:sz="4" w:space="0" w:color="auto"/>
              <w:bottom w:val="single" w:sz="4" w:space="0" w:color="auto"/>
              <w:right w:val="single" w:sz="4" w:space="0" w:color="auto"/>
            </w:tcBorders>
            <w:hideMark/>
          </w:tcPr>
          <w:p w14:paraId="34AD12B7" w14:textId="77777777" w:rsidR="00CF641C" w:rsidRPr="00520861" w:rsidRDefault="00CF641C" w:rsidP="00292D2E">
            <w:pPr>
              <w:widowControl w:val="0"/>
              <w:spacing w:line="360" w:lineRule="auto"/>
              <w:ind w:firstLine="142"/>
              <w:jc w:val="center"/>
              <w:rPr>
                <w:rFonts w:eastAsia="Calibri"/>
                <w:sz w:val="28"/>
                <w:szCs w:val="28"/>
              </w:rPr>
            </w:pPr>
            <w:r w:rsidRPr="00520861">
              <w:rPr>
                <w:rFonts w:eastAsia="Calibri"/>
                <w:sz w:val="28"/>
                <w:szCs w:val="28"/>
              </w:rPr>
              <w:t xml:space="preserve">129 </w:t>
            </w:r>
            <w:r w:rsidRPr="00520861">
              <w:rPr>
                <w:rFonts w:eastAsia="Calibri"/>
                <w:sz w:val="28"/>
                <w:szCs w:val="28"/>
                <w:lang w:val="ru-RU" w:eastAsia="en-US"/>
              </w:rPr>
              <w:t>(</w:t>
            </w:r>
            <w:r w:rsidRPr="00520861">
              <w:rPr>
                <w:rFonts w:eastAsia="Calibri"/>
                <w:sz w:val="28"/>
                <w:szCs w:val="28"/>
                <w:lang w:eastAsia="en-US"/>
              </w:rPr>
              <w:t>140</w:t>
            </w:r>
            <w:r w:rsidRPr="00520861">
              <w:rPr>
                <w:rFonts w:eastAsia="Calibri"/>
                <w:sz w:val="28"/>
                <w:szCs w:val="28"/>
                <w:lang w:val="en-US" w:eastAsia="en-US"/>
              </w:rPr>
              <w:t>;</w:t>
            </w:r>
            <w:r w:rsidRPr="00520861">
              <w:rPr>
                <w:rFonts w:eastAsia="Calibri"/>
                <w:sz w:val="28"/>
                <w:szCs w:val="28"/>
                <w:lang w:eastAsia="en-US"/>
              </w:rPr>
              <w:t>123</w:t>
            </w:r>
            <w:r w:rsidRPr="00520861">
              <w:rPr>
                <w:rFonts w:eastAsia="Calibri"/>
                <w:sz w:val="28"/>
                <w:szCs w:val="28"/>
                <w:lang w:val="ru-RU" w:eastAsia="en-US"/>
              </w:rPr>
              <w:t xml:space="preserve">) </w:t>
            </w:r>
          </w:p>
          <w:p w14:paraId="6EB3BD36" w14:textId="77777777" w:rsidR="00CF641C" w:rsidRPr="00520861" w:rsidRDefault="00CF641C" w:rsidP="00292D2E">
            <w:pPr>
              <w:widowControl w:val="0"/>
              <w:spacing w:line="360" w:lineRule="auto"/>
              <w:ind w:firstLine="142"/>
              <w:jc w:val="center"/>
              <w:rPr>
                <w:rFonts w:eastAsia="Calibri"/>
                <w:sz w:val="28"/>
                <w:szCs w:val="28"/>
                <w:lang w:val="ru-RU" w:eastAsia="en-US"/>
              </w:rPr>
            </w:pPr>
            <w:r w:rsidRPr="00520861">
              <w:rPr>
                <w:rFonts w:eastAsia="Calibri"/>
                <w:i/>
                <w:sz w:val="28"/>
                <w:szCs w:val="28"/>
                <w:lang w:val="en-US" w:eastAsia="en-US"/>
              </w:rPr>
              <w:t>p</w:t>
            </w:r>
            <w:r w:rsidRPr="00520861">
              <w:rPr>
                <w:rFonts w:eastAsia="Calibri"/>
                <w:sz w:val="28"/>
                <w:szCs w:val="28"/>
                <w:lang w:val="en-US" w:eastAsia="en-US"/>
              </w:rPr>
              <w:t>=0,1185</w:t>
            </w:r>
          </w:p>
        </w:tc>
      </w:tr>
    </w:tbl>
    <w:p w14:paraId="30DA2D37" w14:textId="77777777" w:rsidR="00CF641C" w:rsidRPr="00520861" w:rsidRDefault="00CF641C" w:rsidP="00292D2E">
      <w:pPr>
        <w:widowControl w:val="0"/>
        <w:spacing w:line="360" w:lineRule="auto"/>
        <w:ind w:right="-284" w:firstLine="708"/>
        <w:rPr>
          <w:rFonts w:eastAsia="Calibri"/>
          <w:sz w:val="28"/>
          <w:szCs w:val="28"/>
          <w:lang w:eastAsia="en-US"/>
        </w:rPr>
      </w:pPr>
      <w:r w:rsidRPr="00520861">
        <w:rPr>
          <w:rFonts w:eastAsia="Calibri"/>
          <w:sz w:val="28"/>
          <w:szCs w:val="28"/>
          <w:lang w:eastAsia="en-US"/>
        </w:rPr>
        <w:t xml:space="preserve">Примітка: * </w:t>
      </w:r>
      <w:r w:rsidRPr="00520861">
        <w:rPr>
          <w:sz w:val="28"/>
          <w:szCs w:val="28"/>
        </w:rPr>
        <w:t>–</w:t>
      </w:r>
      <w:r w:rsidRPr="00520861">
        <w:rPr>
          <w:rFonts w:eastAsia="Calibri"/>
          <w:sz w:val="28"/>
          <w:szCs w:val="28"/>
          <w:lang w:eastAsia="en-US"/>
        </w:rPr>
        <w:t xml:space="preserve"> відмінність від групи контролю вірогідна з ймовірністю 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 xml:space="preserve">0,05 </w:t>
      </w:r>
      <w:r w:rsidRPr="00520861">
        <w:rPr>
          <w:sz w:val="28"/>
          <w:szCs w:val="28"/>
        </w:rPr>
        <w:t>за критерієм Манна – Уітні.</w:t>
      </w:r>
    </w:p>
    <w:p w14:paraId="3D05595E" w14:textId="77777777" w:rsidR="00CF641C" w:rsidRPr="00520861" w:rsidRDefault="00CF641C" w:rsidP="00292D2E">
      <w:pPr>
        <w:widowControl w:val="0"/>
        <w:spacing w:line="360" w:lineRule="auto"/>
        <w:ind w:right="-284" w:firstLine="708"/>
        <w:rPr>
          <w:rFonts w:eastAsia="Calibri"/>
          <w:sz w:val="28"/>
          <w:szCs w:val="28"/>
          <w:lang w:eastAsia="en-US"/>
        </w:rPr>
      </w:pPr>
    </w:p>
    <w:p w14:paraId="11424DF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Ядра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знаходяться в різних стадіях (камбіальній, активного функціонування, </w:t>
      </w:r>
      <w:proofErr w:type="spellStart"/>
      <w:r w:rsidRPr="00520861">
        <w:rPr>
          <w:rFonts w:eastAsia="Calibri"/>
          <w:sz w:val="28"/>
          <w:szCs w:val="28"/>
          <w:lang w:eastAsia="en-US"/>
        </w:rPr>
        <w:t>апоптотичній</w:t>
      </w:r>
      <w:proofErr w:type="spellEnd"/>
      <w:r w:rsidRPr="00520861">
        <w:rPr>
          <w:rFonts w:eastAsia="Calibri"/>
          <w:sz w:val="28"/>
          <w:szCs w:val="28"/>
          <w:lang w:eastAsia="en-US"/>
        </w:rPr>
        <w:t xml:space="preserve">). Розміри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різні, форма більшості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округла, хоча трапляються ядра довгастої форми, що мають великі розміри. Середнє значення площі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дорівнювало 16,18 (</w:t>
      </w: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bCs/>
          <w:sz w:val="28"/>
          <w:szCs w:val="28"/>
          <w:lang w:eastAsia="en-US"/>
        </w:rPr>
        <w:t>)</w:t>
      </w:r>
      <w:r w:rsidRPr="00520861">
        <w:rPr>
          <w:rFonts w:eastAsia="Calibri"/>
          <w:sz w:val="28"/>
          <w:szCs w:val="28"/>
          <w:lang w:eastAsia="en-US"/>
        </w:rPr>
        <w:t xml:space="preserve"> (медіана – </w:t>
      </w:r>
      <w:r w:rsidRPr="00520861">
        <w:rPr>
          <w:rFonts w:eastAsia="Calibri"/>
          <w:sz w:val="28"/>
          <w:szCs w:val="28"/>
        </w:rPr>
        <w:t>15,4</w:t>
      </w:r>
      <w:r w:rsidRPr="00520861">
        <w:rPr>
          <w:rFonts w:eastAsia="Calibri"/>
          <w:sz w:val="28"/>
          <w:szCs w:val="28"/>
          <w:lang w:eastAsia="en-US"/>
        </w:rPr>
        <w:t xml:space="preserve"> (</w:t>
      </w: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bCs/>
          <w:sz w:val="28"/>
          <w:szCs w:val="28"/>
          <w:lang w:eastAsia="en-US"/>
        </w:rPr>
        <w:t>)</w:t>
      </w:r>
      <w:r w:rsidRPr="00520861">
        <w:rPr>
          <w:rFonts w:eastAsia="Calibri"/>
          <w:sz w:val="28"/>
          <w:szCs w:val="28"/>
          <w:lang w:eastAsia="en-US"/>
        </w:rPr>
        <w:t xml:space="preserve">, табл. 3.4). У просвітах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візуалізується</w:t>
      </w:r>
      <w:proofErr w:type="spellEnd"/>
      <w:r w:rsidRPr="00520861">
        <w:rPr>
          <w:rFonts w:eastAsia="Calibri"/>
          <w:sz w:val="28"/>
          <w:szCs w:val="28"/>
          <w:lang w:eastAsia="en-US"/>
        </w:rPr>
        <w:t xml:space="preserve"> слина, що має пінистий вигляд (рис. 3.10</w:t>
      </w:r>
      <w:r w:rsidRPr="00520861">
        <w:rPr>
          <w:rFonts w:eastAsia="Calibri"/>
          <w:i/>
          <w:sz w:val="28"/>
          <w:szCs w:val="28"/>
          <w:lang w:eastAsia="en-US"/>
        </w:rPr>
        <w:t>а</w:t>
      </w:r>
      <w:r w:rsidRPr="00520861">
        <w:rPr>
          <w:rFonts w:eastAsia="Calibri"/>
          <w:sz w:val="28"/>
          <w:szCs w:val="28"/>
          <w:lang w:eastAsia="en-US"/>
        </w:rPr>
        <w:t xml:space="preserve">). На препаратах, забарвлених </w:t>
      </w:r>
      <w:proofErr w:type="spellStart"/>
      <w:r w:rsidRPr="00520861">
        <w:rPr>
          <w:rFonts w:eastAsia="Calibri"/>
          <w:sz w:val="28"/>
          <w:szCs w:val="28"/>
          <w:lang w:eastAsia="en-US"/>
        </w:rPr>
        <w:t>галоціаніном</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візуалізується</w:t>
      </w:r>
      <w:proofErr w:type="spellEnd"/>
      <w:r w:rsidRPr="00520861">
        <w:rPr>
          <w:rFonts w:eastAsia="Calibri"/>
          <w:sz w:val="28"/>
          <w:szCs w:val="28"/>
          <w:lang w:eastAsia="en-US"/>
        </w:rPr>
        <w:t xml:space="preserve"> плямистість: групи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із темними ядрами чергуються з групами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з ядрами світлішими (рис. 3.10</w:t>
      </w:r>
      <w:r w:rsidRPr="00520861">
        <w:rPr>
          <w:rFonts w:eastAsia="Calibri"/>
          <w:i/>
          <w:sz w:val="28"/>
          <w:szCs w:val="28"/>
          <w:lang w:eastAsia="en-US"/>
        </w:rPr>
        <w:t>б</w:t>
      </w:r>
      <w:r w:rsidRPr="00520861">
        <w:rPr>
          <w:rFonts w:eastAsia="Calibri"/>
          <w:sz w:val="28"/>
          <w:szCs w:val="28"/>
          <w:lang w:eastAsia="en-US"/>
        </w:rPr>
        <w:t xml:space="preserve">). </w:t>
      </w:r>
    </w:p>
    <w:p w14:paraId="37B4F02A" w14:textId="77777777" w:rsidR="00CF641C" w:rsidRPr="00520861" w:rsidRDefault="00CF641C" w:rsidP="00292D2E">
      <w:pPr>
        <w:widowControl w:val="0"/>
        <w:spacing w:line="360" w:lineRule="auto"/>
        <w:ind w:firstLine="708"/>
        <w:jc w:val="both"/>
        <w:rPr>
          <w:rFonts w:eastAsia="Calibri"/>
          <w:sz w:val="28"/>
          <w:szCs w:val="28"/>
          <w:lang w:eastAsia="en-US"/>
        </w:rPr>
        <w:sectPr w:rsidR="00CF641C" w:rsidRPr="00520861" w:rsidSect="00C13551">
          <w:headerReference w:type="default" r:id="rId24"/>
          <w:pgSz w:w="11906" w:h="16838"/>
          <w:pgMar w:top="1134" w:right="624" w:bottom="1134" w:left="1134" w:header="709" w:footer="709" w:gutter="0"/>
          <w:pgNumType w:start="116"/>
          <w:cols w:space="708"/>
          <w:docGrid w:linePitch="360"/>
        </w:sectPr>
      </w:pPr>
    </w:p>
    <w:p w14:paraId="336E5E64" w14:textId="77777777" w:rsidR="00CF641C" w:rsidRPr="00520861" w:rsidRDefault="00CF641C" w:rsidP="00292D2E">
      <w:pPr>
        <w:widowControl w:val="0"/>
        <w:spacing w:line="360" w:lineRule="auto"/>
        <w:jc w:val="right"/>
        <w:rPr>
          <w:rFonts w:eastAsia="Calibri"/>
          <w:i/>
          <w:sz w:val="28"/>
          <w:szCs w:val="28"/>
          <w:lang w:eastAsia="en-US"/>
        </w:rPr>
      </w:pPr>
      <w:r w:rsidRPr="00520861">
        <w:rPr>
          <w:rFonts w:eastAsia="Calibri"/>
          <w:i/>
          <w:iCs/>
          <w:sz w:val="28"/>
          <w:szCs w:val="28"/>
          <w:lang w:eastAsia="en-US"/>
        </w:rPr>
        <w:lastRenderedPageBreak/>
        <w:t>Таблиця 3.4</w:t>
      </w:r>
    </w:p>
    <w:p w14:paraId="2C27E1B8" w14:textId="77777777" w:rsidR="00CF641C" w:rsidRPr="00520861" w:rsidRDefault="00CF641C" w:rsidP="00292D2E">
      <w:pPr>
        <w:widowControl w:val="0"/>
        <w:spacing w:line="360" w:lineRule="auto"/>
        <w:ind w:right="-284"/>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 xml:space="preserve">3; </w:t>
      </w:r>
      <w:r w:rsidRPr="00520861">
        <w:rPr>
          <w:rFonts w:eastAsia="Calibri"/>
          <w:b/>
          <w:bCs/>
          <w:sz w:val="28"/>
          <w:szCs w:val="28"/>
          <w:lang w:val="en-US" w:eastAsia="en-US"/>
        </w:rPr>
        <w:t>Q</w:t>
      </w:r>
      <w:r w:rsidRPr="00520861">
        <w:rPr>
          <w:rFonts w:eastAsia="Calibri"/>
          <w:b/>
          <w:bCs/>
          <w:sz w:val="28"/>
          <w:szCs w:val="28"/>
          <w:lang w:eastAsia="en-US"/>
        </w:rPr>
        <w:t xml:space="preserve">1) площі </w:t>
      </w:r>
      <w:proofErr w:type="spellStart"/>
      <w:r w:rsidRPr="00520861">
        <w:rPr>
          <w:rFonts w:eastAsia="Calibri"/>
          <w:b/>
          <w:bCs/>
          <w:sz w:val="28"/>
          <w:szCs w:val="28"/>
          <w:lang w:eastAsia="en-US"/>
        </w:rPr>
        <w:t>ядер</w:t>
      </w:r>
      <w:proofErr w:type="spellEnd"/>
      <w:r w:rsidRPr="00520861">
        <w:rPr>
          <w:rFonts w:eastAsia="Calibri"/>
          <w:b/>
          <w:bCs/>
          <w:sz w:val="28"/>
          <w:szCs w:val="28"/>
          <w:lang w:eastAsia="en-US"/>
        </w:rPr>
        <w:t xml:space="preserve"> </w:t>
      </w:r>
      <w:proofErr w:type="spellStart"/>
      <w:r w:rsidRPr="00520861">
        <w:rPr>
          <w:rFonts w:eastAsia="Calibri"/>
          <w:b/>
          <w:bCs/>
          <w:sz w:val="28"/>
          <w:szCs w:val="28"/>
          <w:lang w:eastAsia="en-US"/>
        </w:rPr>
        <w:t>гландулоцитів</w:t>
      </w:r>
      <w:proofErr w:type="spellEnd"/>
      <w:r w:rsidRPr="00520861">
        <w:rPr>
          <w:rFonts w:eastAsia="Calibri"/>
          <w:b/>
          <w:bCs/>
          <w:sz w:val="28"/>
          <w:szCs w:val="28"/>
          <w:lang w:eastAsia="en-US"/>
        </w:rPr>
        <w:t xml:space="preserve">, оптичної щільності цитоплазми, </w:t>
      </w:r>
      <w:proofErr w:type="spellStart"/>
      <w:r w:rsidRPr="00520861">
        <w:rPr>
          <w:rFonts w:eastAsia="Calibri"/>
          <w:b/>
          <w:bCs/>
          <w:sz w:val="28"/>
          <w:szCs w:val="28"/>
          <w:lang w:eastAsia="en-US"/>
        </w:rPr>
        <w:t>ядер</w:t>
      </w:r>
      <w:proofErr w:type="spellEnd"/>
      <w:r w:rsidRPr="00520861">
        <w:rPr>
          <w:rFonts w:eastAsia="Calibri"/>
          <w:b/>
          <w:bCs/>
          <w:sz w:val="28"/>
          <w:szCs w:val="28"/>
          <w:lang w:eastAsia="en-US"/>
        </w:rPr>
        <w:t xml:space="preserve"> </w:t>
      </w:r>
      <w:proofErr w:type="spellStart"/>
      <w:r w:rsidRPr="00520861">
        <w:rPr>
          <w:rFonts w:eastAsia="Calibri"/>
          <w:b/>
          <w:bCs/>
          <w:sz w:val="28"/>
          <w:szCs w:val="28"/>
          <w:lang w:eastAsia="en-US"/>
        </w:rPr>
        <w:t>гландулоцитів</w:t>
      </w:r>
      <w:proofErr w:type="spellEnd"/>
      <w:r w:rsidRPr="00520861">
        <w:rPr>
          <w:rFonts w:eastAsia="Calibri"/>
          <w:b/>
          <w:bCs/>
          <w:sz w:val="28"/>
          <w:szCs w:val="28"/>
          <w:lang w:eastAsia="en-US"/>
        </w:rPr>
        <w:t xml:space="preserve"> та рідини у просвітах привушних слинних залоз експериментальних тварин.</w:t>
      </w:r>
    </w:p>
    <w:tbl>
      <w:tblPr>
        <w:tblW w:w="144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41"/>
        <w:gridCol w:w="2370"/>
        <w:gridCol w:w="3477"/>
        <w:gridCol w:w="3402"/>
        <w:gridCol w:w="3446"/>
      </w:tblGrid>
      <w:tr w:rsidR="00CF641C" w:rsidRPr="00520861" w14:paraId="51358E75" w14:textId="77777777" w:rsidTr="00292D2E">
        <w:trPr>
          <w:jc w:val="center"/>
        </w:trPr>
        <w:tc>
          <w:tcPr>
            <w:tcW w:w="1741" w:type="dxa"/>
            <w:tcBorders>
              <w:top w:val="single" w:sz="4" w:space="0" w:color="auto"/>
              <w:left w:val="single" w:sz="4" w:space="0" w:color="auto"/>
              <w:bottom w:val="single" w:sz="4" w:space="0" w:color="auto"/>
              <w:right w:val="single" w:sz="4" w:space="0" w:color="auto"/>
            </w:tcBorders>
          </w:tcPr>
          <w:p w14:paraId="110B1CF3" w14:textId="77777777" w:rsidR="00CF641C" w:rsidRPr="00520861" w:rsidRDefault="00CF641C" w:rsidP="00292D2E">
            <w:pPr>
              <w:widowControl w:val="0"/>
              <w:spacing w:line="360" w:lineRule="auto"/>
              <w:ind w:right="-284" w:hanging="109"/>
              <w:jc w:val="center"/>
              <w:rPr>
                <w:rFonts w:eastAsia="Calibri"/>
                <w:sz w:val="28"/>
                <w:szCs w:val="28"/>
              </w:rPr>
            </w:pPr>
          </w:p>
          <w:p w14:paraId="7262463B" w14:textId="77777777" w:rsidR="00CF641C" w:rsidRPr="00520861" w:rsidRDefault="00CF641C" w:rsidP="00292D2E">
            <w:pPr>
              <w:widowControl w:val="0"/>
              <w:spacing w:line="360" w:lineRule="auto"/>
              <w:ind w:right="-79" w:hanging="109"/>
              <w:jc w:val="center"/>
              <w:rPr>
                <w:rFonts w:eastAsia="Calibri"/>
                <w:sz w:val="28"/>
                <w:szCs w:val="28"/>
              </w:rPr>
            </w:pPr>
            <w:r w:rsidRPr="00520861">
              <w:rPr>
                <w:rFonts w:eastAsia="Calibri"/>
                <w:sz w:val="28"/>
                <w:szCs w:val="28"/>
              </w:rPr>
              <w:t>Група</w:t>
            </w:r>
          </w:p>
        </w:tc>
        <w:tc>
          <w:tcPr>
            <w:tcW w:w="2370" w:type="dxa"/>
            <w:tcBorders>
              <w:top w:val="single" w:sz="4" w:space="0" w:color="auto"/>
              <w:left w:val="single" w:sz="4" w:space="0" w:color="auto"/>
              <w:bottom w:val="single" w:sz="4" w:space="0" w:color="auto"/>
              <w:right w:val="single" w:sz="4" w:space="0" w:color="auto"/>
            </w:tcBorders>
            <w:hideMark/>
          </w:tcPr>
          <w:p w14:paraId="3F2D28DD" w14:textId="77777777" w:rsidR="00CF641C" w:rsidRPr="00520861" w:rsidRDefault="00CF641C" w:rsidP="00292D2E">
            <w:pPr>
              <w:widowControl w:val="0"/>
              <w:spacing w:line="360" w:lineRule="auto"/>
              <w:ind w:right="-84" w:hanging="109"/>
              <w:jc w:val="center"/>
              <w:rPr>
                <w:rFonts w:eastAsia="Calibri"/>
                <w:sz w:val="28"/>
                <w:szCs w:val="28"/>
              </w:rPr>
            </w:pPr>
            <w:r w:rsidRPr="00520861">
              <w:rPr>
                <w:rFonts w:eastAsia="Calibri"/>
                <w:sz w:val="28"/>
                <w:szCs w:val="28"/>
              </w:rPr>
              <w:t xml:space="preserve">Площа </w:t>
            </w:r>
            <w:proofErr w:type="spellStart"/>
            <w:r w:rsidRPr="00520861">
              <w:rPr>
                <w:rFonts w:eastAsia="Calibri"/>
                <w:sz w:val="28"/>
                <w:szCs w:val="28"/>
              </w:rPr>
              <w:t>ядер</w:t>
            </w:r>
            <w:proofErr w:type="spellEnd"/>
            <w:r w:rsidRPr="00520861">
              <w:rPr>
                <w:rFonts w:eastAsia="Calibri"/>
                <w:sz w:val="28"/>
                <w:szCs w:val="28"/>
              </w:rPr>
              <w:t xml:space="preserve"> </w:t>
            </w:r>
            <w:proofErr w:type="spellStart"/>
            <w:r w:rsidRPr="00520861">
              <w:rPr>
                <w:rFonts w:eastAsia="Calibri"/>
                <w:sz w:val="28"/>
                <w:szCs w:val="28"/>
              </w:rPr>
              <w:t>гландулоцитів</w:t>
            </w:r>
            <w:proofErr w:type="spellEnd"/>
          </w:p>
          <w:p w14:paraId="4285819F"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p>
        </w:tc>
        <w:tc>
          <w:tcPr>
            <w:tcW w:w="3477" w:type="dxa"/>
            <w:tcBorders>
              <w:top w:val="single" w:sz="4" w:space="0" w:color="auto"/>
              <w:left w:val="single" w:sz="4" w:space="0" w:color="auto"/>
              <w:bottom w:val="single" w:sz="4" w:space="0" w:color="auto"/>
              <w:right w:val="single" w:sz="4" w:space="0" w:color="auto"/>
            </w:tcBorders>
            <w:hideMark/>
          </w:tcPr>
          <w:p w14:paraId="16CA9AB7" w14:textId="77777777" w:rsidR="00CF641C" w:rsidRPr="00520861" w:rsidRDefault="00CF641C" w:rsidP="00292D2E">
            <w:pPr>
              <w:widowControl w:val="0"/>
              <w:spacing w:line="360" w:lineRule="auto"/>
              <w:ind w:right="-21" w:hanging="109"/>
              <w:jc w:val="center"/>
              <w:rPr>
                <w:rFonts w:eastAsia="Calibri"/>
                <w:sz w:val="28"/>
                <w:szCs w:val="28"/>
              </w:rPr>
            </w:pPr>
            <w:r w:rsidRPr="00520861">
              <w:rPr>
                <w:rFonts w:eastAsia="Calibri"/>
                <w:sz w:val="28"/>
                <w:szCs w:val="28"/>
              </w:rPr>
              <w:t xml:space="preserve">Оптична густина </w:t>
            </w:r>
            <w:proofErr w:type="spellStart"/>
            <w:r w:rsidRPr="00520861">
              <w:rPr>
                <w:rFonts w:eastAsia="Calibri"/>
                <w:sz w:val="28"/>
                <w:szCs w:val="28"/>
              </w:rPr>
              <w:t>ядер</w:t>
            </w:r>
            <w:proofErr w:type="spellEnd"/>
            <w:r w:rsidRPr="00520861">
              <w:rPr>
                <w:rFonts w:eastAsia="Calibri"/>
                <w:sz w:val="28"/>
                <w:szCs w:val="28"/>
              </w:rPr>
              <w:t xml:space="preserve"> </w:t>
            </w:r>
            <w:proofErr w:type="spellStart"/>
            <w:r w:rsidRPr="00520861">
              <w:rPr>
                <w:rFonts w:eastAsia="Calibri"/>
                <w:sz w:val="28"/>
                <w:szCs w:val="28"/>
              </w:rPr>
              <w:t>гландулоцитів</w:t>
            </w:r>
            <w:proofErr w:type="spellEnd"/>
          </w:p>
          <w:p w14:paraId="759E0BCF" w14:textId="77777777" w:rsidR="00CF641C" w:rsidRPr="00520861" w:rsidRDefault="00CF641C" w:rsidP="00292D2E">
            <w:pPr>
              <w:widowControl w:val="0"/>
              <w:spacing w:line="360" w:lineRule="auto"/>
              <w:ind w:right="-21" w:hanging="109"/>
              <w:jc w:val="center"/>
              <w:rPr>
                <w:rFonts w:eastAsia="Calibri"/>
                <w:sz w:val="28"/>
                <w:szCs w:val="28"/>
              </w:rPr>
            </w:pPr>
            <w:r w:rsidRPr="00520861">
              <w:rPr>
                <w:rFonts w:eastAsia="Calibri"/>
                <w:sz w:val="28"/>
                <w:szCs w:val="28"/>
              </w:rPr>
              <w:t xml:space="preserve">(забарвлення за </w:t>
            </w:r>
            <w:proofErr w:type="spellStart"/>
            <w:r w:rsidRPr="00520861">
              <w:rPr>
                <w:rFonts w:eastAsia="Calibri"/>
                <w:sz w:val="28"/>
                <w:szCs w:val="28"/>
              </w:rPr>
              <w:t>Ейнарсоном</w:t>
            </w:r>
            <w:proofErr w:type="spellEnd"/>
            <w:r w:rsidRPr="00520861">
              <w:rPr>
                <w:rFonts w:eastAsia="Calibri"/>
                <w:sz w:val="28"/>
                <w:szCs w:val="28"/>
              </w:rPr>
              <w:t xml:space="preserve"> (</w:t>
            </w:r>
            <w:proofErr w:type="spellStart"/>
            <w:r w:rsidRPr="00520861">
              <w:rPr>
                <w:rFonts w:eastAsia="Calibri"/>
                <w:sz w:val="28"/>
                <w:szCs w:val="28"/>
              </w:rPr>
              <w:t>ум.од.опт</w:t>
            </w:r>
            <w:proofErr w:type="spellEnd"/>
            <w:r w:rsidRPr="00520861">
              <w:rPr>
                <w:rFonts w:eastAsia="Calibri"/>
                <w:sz w:val="28"/>
                <w:szCs w:val="28"/>
              </w:rPr>
              <w:t>. густини))</w:t>
            </w:r>
          </w:p>
        </w:tc>
        <w:tc>
          <w:tcPr>
            <w:tcW w:w="3402" w:type="dxa"/>
            <w:tcBorders>
              <w:top w:val="single" w:sz="4" w:space="0" w:color="auto"/>
              <w:left w:val="single" w:sz="4" w:space="0" w:color="auto"/>
              <w:bottom w:val="single" w:sz="4" w:space="0" w:color="auto"/>
              <w:right w:val="single" w:sz="4" w:space="0" w:color="auto"/>
            </w:tcBorders>
            <w:hideMark/>
          </w:tcPr>
          <w:p w14:paraId="4B380048" w14:textId="77777777" w:rsidR="00CF641C" w:rsidRPr="00520861" w:rsidRDefault="00CF641C" w:rsidP="00292D2E">
            <w:pPr>
              <w:widowControl w:val="0"/>
              <w:spacing w:line="360" w:lineRule="auto"/>
              <w:ind w:right="-63" w:hanging="109"/>
              <w:jc w:val="center"/>
              <w:rPr>
                <w:rFonts w:eastAsia="Calibri"/>
                <w:sz w:val="28"/>
                <w:szCs w:val="28"/>
              </w:rPr>
            </w:pPr>
            <w:r w:rsidRPr="00520861">
              <w:rPr>
                <w:rFonts w:eastAsia="Calibri"/>
                <w:sz w:val="28"/>
                <w:szCs w:val="28"/>
              </w:rPr>
              <w:t xml:space="preserve">Оптична густина цитоплазми </w:t>
            </w:r>
            <w:proofErr w:type="spellStart"/>
            <w:r w:rsidRPr="00520861">
              <w:rPr>
                <w:rFonts w:eastAsia="Calibri"/>
                <w:sz w:val="28"/>
                <w:szCs w:val="28"/>
              </w:rPr>
              <w:t>гландулоцитів</w:t>
            </w:r>
            <w:proofErr w:type="spellEnd"/>
          </w:p>
          <w:p w14:paraId="3E6F9C34" w14:textId="77777777" w:rsidR="00CF641C" w:rsidRPr="00520861" w:rsidRDefault="00CF641C" w:rsidP="00292D2E">
            <w:pPr>
              <w:widowControl w:val="0"/>
              <w:spacing w:line="360" w:lineRule="auto"/>
              <w:ind w:right="-63" w:hanging="109"/>
              <w:jc w:val="center"/>
              <w:rPr>
                <w:rFonts w:eastAsia="Calibri"/>
                <w:sz w:val="28"/>
                <w:szCs w:val="28"/>
              </w:rPr>
            </w:pPr>
            <w:r w:rsidRPr="00520861">
              <w:rPr>
                <w:rFonts w:eastAsia="Calibri"/>
                <w:sz w:val="28"/>
                <w:szCs w:val="28"/>
              </w:rPr>
              <w:t xml:space="preserve">(забарвлення за </w:t>
            </w:r>
            <w:proofErr w:type="spellStart"/>
            <w:r w:rsidRPr="00520861">
              <w:rPr>
                <w:rFonts w:eastAsia="Calibri"/>
                <w:sz w:val="28"/>
                <w:szCs w:val="28"/>
              </w:rPr>
              <w:t>Ейнарсоном</w:t>
            </w:r>
            <w:proofErr w:type="spellEnd"/>
            <w:r w:rsidRPr="00520861">
              <w:rPr>
                <w:rFonts w:eastAsia="Calibri"/>
                <w:sz w:val="28"/>
                <w:szCs w:val="28"/>
              </w:rPr>
              <w:t xml:space="preserve"> (</w:t>
            </w:r>
            <w:proofErr w:type="spellStart"/>
            <w:r w:rsidRPr="00520861">
              <w:rPr>
                <w:rFonts w:eastAsia="Calibri"/>
                <w:sz w:val="28"/>
                <w:szCs w:val="28"/>
              </w:rPr>
              <w:t>ум.од.опт</w:t>
            </w:r>
            <w:proofErr w:type="spellEnd"/>
            <w:r w:rsidRPr="00520861">
              <w:rPr>
                <w:rFonts w:eastAsia="Calibri"/>
                <w:sz w:val="28"/>
                <w:szCs w:val="28"/>
              </w:rPr>
              <w:t>. густини))</w:t>
            </w:r>
          </w:p>
        </w:tc>
        <w:tc>
          <w:tcPr>
            <w:tcW w:w="3446" w:type="dxa"/>
            <w:tcBorders>
              <w:top w:val="single" w:sz="4" w:space="0" w:color="auto"/>
              <w:left w:val="single" w:sz="4" w:space="0" w:color="auto"/>
              <w:bottom w:val="single" w:sz="4" w:space="0" w:color="auto"/>
              <w:right w:val="single" w:sz="4" w:space="0" w:color="auto"/>
            </w:tcBorders>
            <w:hideMark/>
          </w:tcPr>
          <w:p w14:paraId="5AC84CC2" w14:textId="77777777" w:rsidR="00CF641C" w:rsidRPr="00520861" w:rsidRDefault="00CF641C" w:rsidP="00292D2E">
            <w:pPr>
              <w:widowControl w:val="0"/>
              <w:spacing w:line="360" w:lineRule="auto"/>
              <w:ind w:right="-123" w:hanging="109"/>
              <w:jc w:val="center"/>
              <w:rPr>
                <w:rFonts w:eastAsia="Calibri"/>
                <w:sz w:val="28"/>
                <w:szCs w:val="28"/>
              </w:rPr>
            </w:pPr>
            <w:r w:rsidRPr="00520861">
              <w:rPr>
                <w:rFonts w:eastAsia="Calibri"/>
                <w:sz w:val="28"/>
                <w:szCs w:val="28"/>
              </w:rPr>
              <w:t>Оптична густина рідини у просвіті кінцевих відділів (</w:t>
            </w:r>
            <w:r w:rsidRPr="00520861">
              <w:rPr>
                <w:rFonts w:eastAsia="Calibri"/>
                <w:sz w:val="28"/>
                <w:szCs w:val="28"/>
                <w:lang w:val="en-US"/>
              </w:rPr>
              <w:t>PAS</w:t>
            </w:r>
            <w:r w:rsidRPr="00520861">
              <w:rPr>
                <w:rFonts w:eastAsia="Calibri"/>
                <w:sz w:val="28"/>
                <w:szCs w:val="28"/>
              </w:rPr>
              <w:t xml:space="preserve">-реакція, </w:t>
            </w:r>
            <w:r w:rsidRPr="00520861">
              <w:rPr>
                <w:rFonts w:eastAsia="Calibri"/>
                <w:sz w:val="28"/>
                <w:szCs w:val="28"/>
              </w:rPr>
              <w:br/>
            </w:r>
            <w:proofErr w:type="spellStart"/>
            <w:r w:rsidRPr="00520861">
              <w:rPr>
                <w:rFonts w:eastAsia="Calibri"/>
                <w:sz w:val="28"/>
                <w:szCs w:val="28"/>
              </w:rPr>
              <w:t>ум.од.опт.густини</w:t>
            </w:r>
            <w:proofErr w:type="spellEnd"/>
            <w:r w:rsidRPr="00520861">
              <w:rPr>
                <w:rFonts w:eastAsia="Calibri"/>
                <w:sz w:val="28"/>
                <w:szCs w:val="28"/>
              </w:rPr>
              <w:t>)</w:t>
            </w:r>
          </w:p>
        </w:tc>
      </w:tr>
      <w:tr w:rsidR="00CF641C" w:rsidRPr="00520861" w14:paraId="638C94B1" w14:textId="77777777" w:rsidTr="00292D2E">
        <w:trPr>
          <w:jc w:val="center"/>
        </w:trPr>
        <w:tc>
          <w:tcPr>
            <w:tcW w:w="1741" w:type="dxa"/>
            <w:tcBorders>
              <w:top w:val="single" w:sz="4" w:space="0" w:color="auto"/>
              <w:left w:val="single" w:sz="4" w:space="0" w:color="auto"/>
              <w:bottom w:val="single" w:sz="4" w:space="0" w:color="auto"/>
              <w:right w:val="single" w:sz="4" w:space="0" w:color="auto"/>
            </w:tcBorders>
          </w:tcPr>
          <w:p w14:paraId="0EA7127F" w14:textId="77777777" w:rsidR="00CF641C" w:rsidRPr="00520861" w:rsidRDefault="00CF641C" w:rsidP="00292D2E">
            <w:pPr>
              <w:widowControl w:val="0"/>
              <w:spacing w:line="360" w:lineRule="auto"/>
              <w:ind w:right="-284"/>
              <w:rPr>
                <w:rFonts w:eastAsia="Calibri"/>
                <w:sz w:val="28"/>
                <w:szCs w:val="28"/>
                <w:lang w:val="ru-RU"/>
              </w:rPr>
            </w:pPr>
            <w:r w:rsidRPr="00520861">
              <w:rPr>
                <w:rFonts w:eastAsia="Calibri"/>
                <w:sz w:val="28"/>
                <w:szCs w:val="28"/>
                <w:lang w:val="ru-RU"/>
              </w:rPr>
              <w:t>К</w:t>
            </w:r>
            <w:proofErr w:type="spellStart"/>
            <w:r w:rsidRPr="00520861">
              <w:rPr>
                <w:rFonts w:eastAsia="Calibri"/>
                <w:sz w:val="28"/>
                <w:szCs w:val="28"/>
              </w:rPr>
              <w:t>онтроль</w:t>
            </w:r>
            <w:proofErr w:type="spellEnd"/>
          </w:p>
        </w:tc>
        <w:tc>
          <w:tcPr>
            <w:tcW w:w="2370" w:type="dxa"/>
            <w:tcBorders>
              <w:top w:val="single" w:sz="4" w:space="0" w:color="auto"/>
              <w:left w:val="single" w:sz="4" w:space="0" w:color="auto"/>
              <w:bottom w:val="single" w:sz="4" w:space="0" w:color="auto"/>
              <w:right w:val="single" w:sz="4" w:space="0" w:color="auto"/>
            </w:tcBorders>
          </w:tcPr>
          <w:p w14:paraId="3A7D4C82"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15,4 </w:t>
            </w:r>
            <w:r w:rsidRPr="00520861">
              <w:rPr>
                <w:rFonts w:eastAsia="Calibri"/>
                <w:sz w:val="28"/>
                <w:szCs w:val="28"/>
                <w:lang w:val="ru-RU" w:eastAsia="en-US"/>
              </w:rPr>
              <w:t>(</w:t>
            </w:r>
            <w:r w:rsidRPr="00520861">
              <w:rPr>
                <w:rFonts w:eastAsia="Calibri"/>
                <w:sz w:val="28"/>
                <w:szCs w:val="28"/>
                <w:lang w:val="ru-RU"/>
              </w:rPr>
              <w:t>18,7</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12,7</w:t>
            </w:r>
            <w:r w:rsidRPr="00520861">
              <w:rPr>
                <w:rFonts w:eastAsia="Calibri"/>
                <w:sz w:val="28"/>
                <w:szCs w:val="28"/>
                <w:lang w:val="ru-RU" w:eastAsia="en-US"/>
              </w:rPr>
              <w:t>)</w:t>
            </w:r>
          </w:p>
        </w:tc>
        <w:tc>
          <w:tcPr>
            <w:tcW w:w="3477" w:type="dxa"/>
            <w:tcBorders>
              <w:top w:val="single" w:sz="4" w:space="0" w:color="auto"/>
              <w:left w:val="single" w:sz="4" w:space="0" w:color="auto"/>
              <w:bottom w:val="single" w:sz="4" w:space="0" w:color="auto"/>
              <w:right w:val="single" w:sz="4" w:space="0" w:color="auto"/>
            </w:tcBorders>
          </w:tcPr>
          <w:p w14:paraId="73ECDDCE"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sz w:val="28"/>
                <w:szCs w:val="28"/>
              </w:rPr>
              <w:t xml:space="preserve">0,575 </w:t>
            </w:r>
            <w:r w:rsidRPr="00520861">
              <w:rPr>
                <w:rFonts w:eastAsia="Calibri"/>
                <w:sz w:val="28"/>
                <w:szCs w:val="28"/>
                <w:lang w:val="ru-RU" w:eastAsia="en-US"/>
              </w:rPr>
              <w:t>(</w:t>
            </w:r>
            <w:r w:rsidRPr="00520861">
              <w:rPr>
                <w:rFonts w:eastAsia="Calibri"/>
                <w:sz w:val="28"/>
                <w:szCs w:val="28"/>
              </w:rPr>
              <w:t>0,704</w:t>
            </w:r>
            <w:r w:rsidRPr="00520861">
              <w:rPr>
                <w:rFonts w:eastAsia="Calibri"/>
                <w:sz w:val="28"/>
                <w:szCs w:val="28"/>
                <w:lang w:val="en-US" w:eastAsia="en-US"/>
              </w:rPr>
              <w:t>;</w:t>
            </w:r>
            <w:r w:rsidRPr="00520861">
              <w:rPr>
                <w:rFonts w:eastAsia="Calibri"/>
                <w:sz w:val="28"/>
                <w:szCs w:val="28"/>
              </w:rPr>
              <w:t xml:space="preserve"> 0,504</w:t>
            </w:r>
            <w:r w:rsidRPr="00520861">
              <w:rPr>
                <w:rFonts w:eastAsia="Calibri"/>
                <w:sz w:val="28"/>
                <w:szCs w:val="28"/>
                <w:lang w:val="ru-RU" w:eastAsia="en-US"/>
              </w:rPr>
              <w:t>)</w:t>
            </w:r>
          </w:p>
        </w:tc>
        <w:tc>
          <w:tcPr>
            <w:tcW w:w="3402" w:type="dxa"/>
            <w:tcBorders>
              <w:top w:val="single" w:sz="4" w:space="0" w:color="auto"/>
              <w:left w:val="single" w:sz="4" w:space="0" w:color="auto"/>
              <w:bottom w:val="single" w:sz="4" w:space="0" w:color="auto"/>
              <w:right w:val="single" w:sz="4" w:space="0" w:color="auto"/>
            </w:tcBorders>
          </w:tcPr>
          <w:p w14:paraId="61062C15"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0,308 </w:t>
            </w:r>
            <w:r w:rsidRPr="00520861">
              <w:rPr>
                <w:rFonts w:eastAsia="Calibri"/>
                <w:sz w:val="28"/>
                <w:szCs w:val="28"/>
                <w:lang w:val="ru-RU" w:eastAsia="en-US"/>
              </w:rPr>
              <w:t>(</w:t>
            </w:r>
            <w:r w:rsidRPr="00520861">
              <w:rPr>
                <w:rFonts w:eastAsia="Calibri"/>
                <w:sz w:val="28"/>
                <w:szCs w:val="28"/>
                <w:lang w:val="ru-RU"/>
              </w:rPr>
              <w:t>0,366</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0,263</w:t>
            </w:r>
            <w:r w:rsidRPr="00520861">
              <w:rPr>
                <w:rFonts w:eastAsia="Calibri"/>
                <w:sz w:val="28"/>
                <w:szCs w:val="28"/>
                <w:lang w:val="ru-RU" w:eastAsia="en-US"/>
              </w:rPr>
              <w:t>)</w:t>
            </w:r>
          </w:p>
        </w:tc>
        <w:tc>
          <w:tcPr>
            <w:tcW w:w="3446" w:type="dxa"/>
            <w:tcBorders>
              <w:top w:val="single" w:sz="4" w:space="0" w:color="auto"/>
              <w:left w:val="single" w:sz="4" w:space="0" w:color="auto"/>
              <w:bottom w:val="single" w:sz="4" w:space="0" w:color="auto"/>
              <w:right w:val="single" w:sz="4" w:space="0" w:color="auto"/>
            </w:tcBorders>
          </w:tcPr>
          <w:p w14:paraId="44D61265"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0,076 </w:t>
            </w:r>
            <w:r w:rsidRPr="00520861">
              <w:rPr>
                <w:rFonts w:eastAsia="Calibri"/>
                <w:sz w:val="28"/>
                <w:szCs w:val="28"/>
                <w:lang w:val="ru-RU" w:eastAsia="en-US"/>
              </w:rPr>
              <w:t>(</w:t>
            </w:r>
            <w:r w:rsidRPr="00520861">
              <w:rPr>
                <w:rFonts w:eastAsia="Calibri"/>
                <w:sz w:val="28"/>
                <w:szCs w:val="28"/>
                <w:lang w:val="ru-RU"/>
              </w:rPr>
              <w:t>0,091</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0,058</w:t>
            </w:r>
            <w:r w:rsidRPr="00520861">
              <w:rPr>
                <w:rFonts w:eastAsia="Calibri"/>
                <w:sz w:val="28"/>
                <w:szCs w:val="28"/>
                <w:lang w:val="ru-RU" w:eastAsia="en-US"/>
              </w:rPr>
              <w:t>)</w:t>
            </w:r>
          </w:p>
        </w:tc>
      </w:tr>
      <w:tr w:rsidR="00CF641C" w:rsidRPr="00520861" w14:paraId="1EA246C8" w14:textId="77777777" w:rsidTr="00292D2E">
        <w:trPr>
          <w:jc w:val="center"/>
        </w:trPr>
        <w:tc>
          <w:tcPr>
            <w:tcW w:w="1741" w:type="dxa"/>
            <w:tcBorders>
              <w:top w:val="single" w:sz="4" w:space="0" w:color="auto"/>
              <w:left w:val="single" w:sz="4" w:space="0" w:color="auto"/>
              <w:bottom w:val="single" w:sz="4" w:space="0" w:color="auto"/>
              <w:right w:val="single" w:sz="4" w:space="0" w:color="auto"/>
            </w:tcBorders>
          </w:tcPr>
          <w:p w14:paraId="233128A3" w14:textId="77777777" w:rsidR="00CF641C" w:rsidRPr="00520861" w:rsidRDefault="00CF641C" w:rsidP="00292D2E">
            <w:pPr>
              <w:widowControl w:val="0"/>
              <w:spacing w:line="360" w:lineRule="auto"/>
              <w:ind w:right="-284"/>
              <w:rPr>
                <w:rFonts w:eastAsia="Calibri"/>
                <w:sz w:val="28"/>
                <w:szCs w:val="28"/>
              </w:rPr>
            </w:pPr>
            <w:r w:rsidRPr="00520861">
              <w:rPr>
                <w:rFonts w:eastAsia="Calibri"/>
                <w:sz w:val="28"/>
                <w:szCs w:val="28"/>
              </w:rPr>
              <w:t>Група 1</w:t>
            </w:r>
          </w:p>
        </w:tc>
        <w:tc>
          <w:tcPr>
            <w:tcW w:w="2370" w:type="dxa"/>
            <w:tcBorders>
              <w:top w:val="single" w:sz="4" w:space="0" w:color="auto"/>
              <w:left w:val="single" w:sz="4" w:space="0" w:color="auto"/>
              <w:bottom w:val="single" w:sz="4" w:space="0" w:color="auto"/>
              <w:right w:val="single" w:sz="4" w:space="0" w:color="auto"/>
            </w:tcBorders>
          </w:tcPr>
          <w:p w14:paraId="2FF0C2FE"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sz w:val="28"/>
                <w:szCs w:val="28"/>
              </w:rPr>
              <w:t xml:space="preserve">15,5 </w:t>
            </w:r>
            <w:r w:rsidRPr="00520861">
              <w:rPr>
                <w:rFonts w:eastAsia="Calibri"/>
                <w:sz w:val="28"/>
                <w:szCs w:val="28"/>
                <w:lang w:val="ru-RU" w:eastAsia="en-US"/>
              </w:rPr>
              <w:t>(</w:t>
            </w:r>
            <w:r w:rsidRPr="00520861">
              <w:rPr>
                <w:rFonts w:eastAsia="Calibri"/>
                <w:sz w:val="28"/>
                <w:szCs w:val="28"/>
              </w:rPr>
              <w:t>18,8</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rPr>
              <w:t>12,5</w:t>
            </w:r>
            <w:r w:rsidRPr="00520861">
              <w:rPr>
                <w:rFonts w:eastAsia="Calibri"/>
                <w:sz w:val="28"/>
                <w:szCs w:val="28"/>
                <w:lang w:val="ru-RU" w:eastAsia="en-US"/>
              </w:rPr>
              <w:t>)</w:t>
            </w:r>
          </w:p>
          <w:p w14:paraId="42755294"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=0,955003</w:t>
            </w:r>
          </w:p>
        </w:tc>
        <w:tc>
          <w:tcPr>
            <w:tcW w:w="3477" w:type="dxa"/>
            <w:tcBorders>
              <w:top w:val="single" w:sz="4" w:space="0" w:color="auto"/>
              <w:left w:val="single" w:sz="4" w:space="0" w:color="auto"/>
              <w:bottom w:val="single" w:sz="4" w:space="0" w:color="auto"/>
              <w:right w:val="single" w:sz="4" w:space="0" w:color="auto"/>
            </w:tcBorders>
          </w:tcPr>
          <w:p w14:paraId="29EDDC79"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0,580 </w:t>
            </w:r>
            <w:r w:rsidRPr="00520861">
              <w:rPr>
                <w:rFonts w:eastAsia="Calibri"/>
                <w:sz w:val="28"/>
                <w:szCs w:val="28"/>
                <w:lang w:val="ru-RU" w:eastAsia="en-US"/>
              </w:rPr>
              <w:t>(</w:t>
            </w:r>
            <w:r w:rsidRPr="00520861">
              <w:rPr>
                <w:rFonts w:eastAsia="Calibri"/>
                <w:sz w:val="28"/>
                <w:szCs w:val="28"/>
                <w:lang w:val="ru-RU"/>
              </w:rPr>
              <w:t>0,669</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0,508</w:t>
            </w:r>
            <w:r w:rsidRPr="00520861">
              <w:rPr>
                <w:rFonts w:eastAsia="Calibri"/>
                <w:sz w:val="28"/>
                <w:szCs w:val="28"/>
                <w:lang w:val="ru-RU" w:eastAsia="en-US"/>
              </w:rPr>
              <w:t>)</w:t>
            </w:r>
          </w:p>
          <w:p w14:paraId="252FC63B"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i/>
                <w:sz w:val="28"/>
                <w:szCs w:val="28"/>
                <w:lang w:val="en-US" w:eastAsia="en-US"/>
              </w:rPr>
              <w:t>p</w:t>
            </w:r>
            <w:r w:rsidRPr="00520861">
              <w:rPr>
                <w:rFonts w:eastAsia="Calibri"/>
                <w:sz w:val="28"/>
                <w:szCs w:val="28"/>
                <w:lang w:val="en-US" w:eastAsia="en-US"/>
              </w:rPr>
              <w:t>=0,461573</w:t>
            </w:r>
          </w:p>
        </w:tc>
        <w:tc>
          <w:tcPr>
            <w:tcW w:w="3402" w:type="dxa"/>
            <w:tcBorders>
              <w:top w:val="single" w:sz="4" w:space="0" w:color="auto"/>
              <w:left w:val="single" w:sz="4" w:space="0" w:color="auto"/>
              <w:bottom w:val="single" w:sz="4" w:space="0" w:color="auto"/>
              <w:right w:val="single" w:sz="4" w:space="0" w:color="auto"/>
            </w:tcBorders>
          </w:tcPr>
          <w:p w14:paraId="34D488B8"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0,342* </w:t>
            </w:r>
            <w:r w:rsidRPr="00520861">
              <w:rPr>
                <w:rFonts w:eastAsia="Calibri"/>
                <w:sz w:val="28"/>
                <w:szCs w:val="28"/>
                <w:lang w:val="ru-RU" w:eastAsia="en-US"/>
              </w:rPr>
              <w:t>(</w:t>
            </w:r>
            <w:r w:rsidRPr="00520861">
              <w:rPr>
                <w:rFonts w:eastAsia="Calibri"/>
                <w:sz w:val="28"/>
                <w:szCs w:val="28"/>
                <w:lang w:val="ru-RU"/>
              </w:rPr>
              <w:t>0,392</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0,290</w:t>
            </w:r>
            <w:r w:rsidRPr="00520861">
              <w:rPr>
                <w:rFonts w:eastAsia="Calibri"/>
                <w:sz w:val="28"/>
                <w:szCs w:val="28"/>
                <w:lang w:val="ru-RU" w:eastAsia="en-US"/>
              </w:rPr>
              <w:t>)</w:t>
            </w:r>
          </w:p>
          <w:p w14:paraId="588DD907"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i/>
                <w:sz w:val="28"/>
                <w:szCs w:val="28"/>
                <w:lang w:val="en-US" w:eastAsia="en-US"/>
              </w:rPr>
              <w:t>p</w:t>
            </w:r>
            <w:r w:rsidRPr="00520861">
              <w:rPr>
                <w:rFonts w:eastAsia="Calibri"/>
                <w:sz w:val="28"/>
                <w:szCs w:val="28"/>
                <w:lang w:val="en-US" w:eastAsia="en-US"/>
              </w:rPr>
              <w:t>=0,003775</w:t>
            </w:r>
          </w:p>
        </w:tc>
        <w:tc>
          <w:tcPr>
            <w:tcW w:w="3446" w:type="dxa"/>
            <w:tcBorders>
              <w:top w:val="single" w:sz="4" w:space="0" w:color="auto"/>
              <w:left w:val="single" w:sz="4" w:space="0" w:color="auto"/>
              <w:bottom w:val="single" w:sz="4" w:space="0" w:color="auto"/>
              <w:right w:val="single" w:sz="4" w:space="0" w:color="auto"/>
            </w:tcBorders>
          </w:tcPr>
          <w:p w14:paraId="54CBC7BF"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0,059 </w:t>
            </w:r>
            <w:r w:rsidRPr="00520861">
              <w:rPr>
                <w:rFonts w:eastAsia="Calibri"/>
                <w:sz w:val="28"/>
                <w:szCs w:val="28"/>
                <w:lang w:val="ru-RU" w:eastAsia="en-US"/>
              </w:rPr>
              <w:t>(</w:t>
            </w:r>
            <w:r w:rsidRPr="00520861">
              <w:rPr>
                <w:rFonts w:eastAsia="Calibri"/>
                <w:sz w:val="28"/>
                <w:szCs w:val="28"/>
                <w:lang w:val="ru-RU"/>
              </w:rPr>
              <w:t>0,100</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0,042</w:t>
            </w:r>
            <w:r w:rsidRPr="00520861">
              <w:rPr>
                <w:rFonts w:eastAsia="Calibri"/>
                <w:sz w:val="28"/>
                <w:szCs w:val="28"/>
                <w:lang w:val="ru-RU" w:eastAsia="en-US"/>
              </w:rPr>
              <w:t>)</w:t>
            </w:r>
          </w:p>
          <w:p w14:paraId="28BABAF0"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=0,450161</w:t>
            </w:r>
          </w:p>
        </w:tc>
      </w:tr>
      <w:tr w:rsidR="00CF641C" w:rsidRPr="00520861" w14:paraId="23C77A65" w14:textId="77777777" w:rsidTr="00292D2E">
        <w:trPr>
          <w:jc w:val="center"/>
        </w:trPr>
        <w:tc>
          <w:tcPr>
            <w:tcW w:w="1741" w:type="dxa"/>
            <w:tcBorders>
              <w:top w:val="single" w:sz="4" w:space="0" w:color="auto"/>
              <w:left w:val="single" w:sz="4" w:space="0" w:color="auto"/>
              <w:bottom w:val="single" w:sz="4" w:space="0" w:color="auto"/>
              <w:right w:val="single" w:sz="4" w:space="0" w:color="auto"/>
            </w:tcBorders>
          </w:tcPr>
          <w:p w14:paraId="528225F8" w14:textId="77777777" w:rsidR="00CF641C" w:rsidRPr="00520861" w:rsidRDefault="00CF641C" w:rsidP="00292D2E">
            <w:pPr>
              <w:widowControl w:val="0"/>
              <w:spacing w:line="360" w:lineRule="auto"/>
              <w:ind w:right="-284"/>
              <w:rPr>
                <w:rFonts w:eastAsia="Calibri"/>
                <w:sz w:val="28"/>
                <w:szCs w:val="28"/>
              </w:rPr>
            </w:pPr>
            <w:r w:rsidRPr="00520861">
              <w:rPr>
                <w:rFonts w:eastAsia="Calibri"/>
                <w:sz w:val="28"/>
                <w:szCs w:val="28"/>
              </w:rPr>
              <w:t>Група 2</w:t>
            </w:r>
          </w:p>
        </w:tc>
        <w:tc>
          <w:tcPr>
            <w:tcW w:w="2370" w:type="dxa"/>
            <w:tcBorders>
              <w:top w:val="single" w:sz="4" w:space="0" w:color="auto"/>
              <w:left w:val="single" w:sz="4" w:space="0" w:color="auto"/>
              <w:bottom w:val="single" w:sz="4" w:space="0" w:color="auto"/>
              <w:right w:val="single" w:sz="4" w:space="0" w:color="auto"/>
            </w:tcBorders>
          </w:tcPr>
          <w:p w14:paraId="65F78797" w14:textId="77777777" w:rsidR="00CF641C" w:rsidRPr="00520861" w:rsidRDefault="00CF641C" w:rsidP="00292D2E">
            <w:pPr>
              <w:widowControl w:val="0"/>
              <w:spacing w:line="360" w:lineRule="auto"/>
              <w:ind w:right="-284" w:hanging="109"/>
              <w:jc w:val="center"/>
              <w:rPr>
                <w:rFonts w:eastAsia="Calibri"/>
                <w:sz w:val="28"/>
                <w:szCs w:val="28"/>
                <w:lang w:val="en-US"/>
              </w:rPr>
            </w:pPr>
            <w:r w:rsidRPr="00520861">
              <w:rPr>
                <w:rFonts w:eastAsia="Calibri"/>
                <w:sz w:val="28"/>
                <w:szCs w:val="28"/>
                <w:lang w:val="en-US"/>
              </w:rPr>
              <w:t>27,5</w:t>
            </w:r>
            <w:r w:rsidRPr="00520861">
              <w:rPr>
                <w:rFonts w:eastAsia="Calibri"/>
                <w:sz w:val="28"/>
                <w:szCs w:val="28"/>
                <w:lang w:val="ru-RU"/>
              </w:rPr>
              <w:t xml:space="preserve">* </w:t>
            </w:r>
            <w:r w:rsidRPr="00520861">
              <w:rPr>
                <w:rFonts w:eastAsia="Calibri"/>
                <w:sz w:val="28"/>
                <w:szCs w:val="28"/>
                <w:lang w:val="ru-RU" w:eastAsia="en-US"/>
              </w:rPr>
              <w:t>(</w:t>
            </w:r>
            <w:r w:rsidRPr="00520861">
              <w:rPr>
                <w:rFonts w:eastAsia="Calibri"/>
                <w:sz w:val="28"/>
                <w:szCs w:val="28"/>
                <w:lang w:val="en-US"/>
              </w:rPr>
              <w:t>32,9</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en-US"/>
              </w:rPr>
              <w:t>23,</w:t>
            </w:r>
            <w:r w:rsidRPr="00520861">
              <w:rPr>
                <w:rFonts w:eastAsia="Calibri"/>
                <w:sz w:val="28"/>
                <w:szCs w:val="28"/>
              </w:rPr>
              <w:t>5</w:t>
            </w:r>
            <w:r w:rsidRPr="00520861">
              <w:rPr>
                <w:rFonts w:eastAsia="Calibri"/>
                <w:sz w:val="28"/>
                <w:szCs w:val="28"/>
                <w:lang w:val="ru-RU" w:eastAsia="en-US"/>
              </w:rPr>
              <w:t>)</w:t>
            </w:r>
          </w:p>
          <w:p w14:paraId="6419864B" w14:textId="77777777" w:rsidR="00CF641C" w:rsidRPr="00520861" w:rsidRDefault="00CF641C" w:rsidP="00292D2E">
            <w:pPr>
              <w:widowControl w:val="0"/>
              <w:spacing w:line="360" w:lineRule="auto"/>
              <w:ind w:right="-284" w:hanging="32"/>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&lt;0,000001</w:t>
            </w:r>
          </w:p>
        </w:tc>
        <w:tc>
          <w:tcPr>
            <w:tcW w:w="3477" w:type="dxa"/>
            <w:tcBorders>
              <w:top w:val="single" w:sz="4" w:space="0" w:color="auto"/>
              <w:left w:val="single" w:sz="4" w:space="0" w:color="auto"/>
              <w:bottom w:val="single" w:sz="4" w:space="0" w:color="auto"/>
              <w:right w:val="single" w:sz="4" w:space="0" w:color="auto"/>
            </w:tcBorders>
          </w:tcPr>
          <w:p w14:paraId="4241CE4D" w14:textId="77777777" w:rsidR="00CF641C" w:rsidRPr="00520861" w:rsidRDefault="00CF641C" w:rsidP="00292D2E">
            <w:pPr>
              <w:widowControl w:val="0"/>
              <w:spacing w:line="360" w:lineRule="auto"/>
              <w:ind w:right="-284" w:hanging="109"/>
              <w:jc w:val="center"/>
              <w:rPr>
                <w:rFonts w:eastAsia="Calibri"/>
                <w:sz w:val="28"/>
                <w:szCs w:val="28"/>
                <w:lang w:val="ru-RU" w:eastAsia="en-US"/>
              </w:rPr>
            </w:pPr>
            <w:r w:rsidRPr="00520861">
              <w:rPr>
                <w:rFonts w:eastAsia="Calibri"/>
                <w:sz w:val="28"/>
                <w:szCs w:val="28"/>
                <w:lang w:val="ru-RU"/>
              </w:rPr>
              <w:t xml:space="preserve">0,528* </w:t>
            </w:r>
            <w:r w:rsidRPr="00520861">
              <w:rPr>
                <w:rFonts w:eastAsia="Calibri"/>
                <w:sz w:val="28"/>
                <w:szCs w:val="28"/>
                <w:lang w:val="ru-RU" w:eastAsia="en-US"/>
              </w:rPr>
              <w:t>(</w:t>
            </w:r>
            <w:r w:rsidRPr="00520861">
              <w:rPr>
                <w:rFonts w:eastAsia="Calibri"/>
                <w:sz w:val="28"/>
                <w:szCs w:val="28"/>
                <w:lang w:val="ru-RU"/>
              </w:rPr>
              <w:t>0,560</w:t>
            </w:r>
            <w:r w:rsidRPr="00520861">
              <w:rPr>
                <w:rFonts w:eastAsia="Calibri"/>
                <w:sz w:val="28"/>
                <w:szCs w:val="28"/>
                <w:lang w:val="en-US" w:eastAsia="en-US"/>
              </w:rPr>
              <w:t>;</w:t>
            </w:r>
            <w:r w:rsidRPr="00520861">
              <w:rPr>
                <w:rFonts w:eastAsia="Calibri"/>
                <w:sz w:val="28"/>
                <w:szCs w:val="28"/>
              </w:rPr>
              <w:t xml:space="preserve"> </w:t>
            </w:r>
            <w:r w:rsidRPr="00520861">
              <w:rPr>
                <w:rFonts w:eastAsia="Calibri"/>
                <w:sz w:val="28"/>
                <w:szCs w:val="28"/>
                <w:lang w:val="ru-RU"/>
              </w:rPr>
              <w:t>0,488</w:t>
            </w:r>
            <w:r w:rsidRPr="00520861">
              <w:rPr>
                <w:rFonts w:eastAsia="Calibri"/>
                <w:sz w:val="28"/>
                <w:szCs w:val="28"/>
                <w:lang w:val="ru-RU" w:eastAsia="en-US"/>
              </w:rPr>
              <w:t>)</w:t>
            </w:r>
          </w:p>
          <w:p w14:paraId="71943EC1"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i/>
                <w:sz w:val="28"/>
                <w:szCs w:val="28"/>
                <w:lang w:val="en-US" w:eastAsia="en-US"/>
              </w:rPr>
              <w:t>p</w:t>
            </w:r>
            <w:r w:rsidRPr="00520861">
              <w:rPr>
                <w:rFonts w:eastAsia="Calibri"/>
                <w:sz w:val="28"/>
                <w:szCs w:val="28"/>
                <w:lang w:val="en-US" w:eastAsia="en-US"/>
              </w:rPr>
              <w:t>=0,000104</w:t>
            </w:r>
          </w:p>
        </w:tc>
        <w:tc>
          <w:tcPr>
            <w:tcW w:w="3402" w:type="dxa"/>
            <w:tcBorders>
              <w:top w:val="single" w:sz="4" w:space="0" w:color="auto"/>
              <w:left w:val="single" w:sz="4" w:space="0" w:color="auto"/>
              <w:bottom w:val="single" w:sz="4" w:space="0" w:color="auto"/>
              <w:right w:val="single" w:sz="4" w:space="0" w:color="auto"/>
            </w:tcBorders>
          </w:tcPr>
          <w:p w14:paraId="5F3869B2"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0,386* </w:t>
            </w:r>
            <w:r w:rsidRPr="00520861">
              <w:rPr>
                <w:rFonts w:eastAsia="Calibri"/>
                <w:sz w:val="28"/>
                <w:szCs w:val="28"/>
                <w:lang w:val="ru-RU" w:eastAsia="en-US"/>
              </w:rPr>
              <w:t>(</w:t>
            </w:r>
            <w:r w:rsidRPr="00520861">
              <w:rPr>
                <w:rFonts w:eastAsia="Calibri"/>
                <w:sz w:val="28"/>
                <w:szCs w:val="28"/>
                <w:lang w:val="ru-RU"/>
              </w:rPr>
              <w:t>0,425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0,323</w:t>
            </w:r>
            <w:r w:rsidRPr="00520861">
              <w:rPr>
                <w:rFonts w:eastAsia="Calibri"/>
                <w:sz w:val="28"/>
                <w:szCs w:val="28"/>
                <w:lang w:val="ru-RU" w:eastAsia="en-US"/>
              </w:rPr>
              <w:t>)</w:t>
            </w:r>
          </w:p>
          <w:p w14:paraId="123BCDF9"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i/>
                <w:sz w:val="28"/>
                <w:szCs w:val="28"/>
                <w:lang w:val="en-US" w:eastAsia="en-US"/>
              </w:rPr>
              <w:t>p</w:t>
            </w:r>
            <w:r w:rsidRPr="00520861">
              <w:rPr>
                <w:rFonts w:eastAsia="Calibri"/>
                <w:sz w:val="28"/>
                <w:szCs w:val="28"/>
                <w:lang w:val="en-US" w:eastAsia="en-US"/>
              </w:rPr>
              <w:t>=0,000003</w:t>
            </w:r>
          </w:p>
        </w:tc>
        <w:tc>
          <w:tcPr>
            <w:tcW w:w="3446" w:type="dxa"/>
            <w:tcBorders>
              <w:top w:val="single" w:sz="4" w:space="0" w:color="auto"/>
              <w:left w:val="single" w:sz="4" w:space="0" w:color="auto"/>
              <w:bottom w:val="single" w:sz="4" w:space="0" w:color="auto"/>
              <w:right w:val="single" w:sz="4" w:space="0" w:color="auto"/>
            </w:tcBorders>
          </w:tcPr>
          <w:p w14:paraId="1B598A0C" w14:textId="77777777" w:rsidR="00CF641C" w:rsidRPr="00520861" w:rsidRDefault="00CF641C" w:rsidP="00292D2E">
            <w:pPr>
              <w:widowControl w:val="0"/>
              <w:spacing w:line="360" w:lineRule="auto"/>
              <w:ind w:right="-284" w:hanging="109"/>
              <w:jc w:val="center"/>
              <w:rPr>
                <w:rFonts w:eastAsia="Calibri"/>
                <w:sz w:val="28"/>
                <w:szCs w:val="28"/>
                <w:lang w:val="en-US"/>
              </w:rPr>
            </w:pPr>
            <w:r w:rsidRPr="00520861">
              <w:rPr>
                <w:rFonts w:eastAsia="Calibri"/>
                <w:sz w:val="28"/>
                <w:szCs w:val="28"/>
                <w:lang w:val="en-US"/>
              </w:rPr>
              <w:t>0,039</w:t>
            </w:r>
            <w:r w:rsidRPr="00520861">
              <w:rPr>
                <w:rFonts w:eastAsia="Calibri"/>
                <w:sz w:val="28"/>
                <w:szCs w:val="28"/>
                <w:lang w:val="ru-RU"/>
              </w:rPr>
              <w:t xml:space="preserve">* </w:t>
            </w:r>
            <w:r w:rsidRPr="00520861">
              <w:rPr>
                <w:rFonts w:eastAsia="Calibri"/>
                <w:sz w:val="28"/>
                <w:szCs w:val="28"/>
                <w:lang w:val="ru-RU" w:eastAsia="en-US"/>
              </w:rPr>
              <w:t>(</w:t>
            </w:r>
            <w:r w:rsidRPr="00520861">
              <w:rPr>
                <w:rFonts w:eastAsia="Calibri"/>
                <w:sz w:val="28"/>
                <w:szCs w:val="28"/>
                <w:lang w:val="en-US"/>
              </w:rPr>
              <w:t>0,039</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en-US"/>
              </w:rPr>
              <w:t>0,039</w:t>
            </w:r>
            <w:r w:rsidRPr="00520861">
              <w:rPr>
                <w:rFonts w:eastAsia="Calibri"/>
                <w:sz w:val="28"/>
                <w:szCs w:val="28"/>
                <w:lang w:val="ru-RU" w:eastAsia="en-US"/>
              </w:rPr>
              <w:t>)</w:t>
            </w:r>
          </w:p>
          <w:p w14:paraId="5511B7DD"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=0,003867</w:t>
            </w:r>
          </w:p>
        </w:tc>
      </w:tr>
      <w:tr w:rsidR="00CF641C" w:rsidRPr="00520861" w14:paraId="34A89F9F" w14:textId="77777777" w:rsidTr="00292D2E">
        <w:trPr>
          <w:jc w:val="center"/>
        </w:trPr>
        <w:tc>
          <w:tcPr>
            <w:tcW w:w="1741" w:type="dxa"/>
            <w:tcBorders>
              <w:top w:val="single" w:sz="4" w:space="0" w:color="auto"/>
              <w:left w:val="single" w:sz="4" w:space="0" w:color="auto"/>
              <w:bottom w:val="single" w:sz="4" w:space="0" w:color="auto"/>
              <w:right w:val="single" w:sz="4" w:space="0" w:color="auto"/>
            </w:tcBorders>
            <w:hideMark/>
          </w:tcPr>
          <w:p w14:paraId="36AF37C1" w14:textId="77777777" w:rsidR="00CF641C" w:rsidRPr="00520861" w:rsidRDefault="00CF641C" w:rsidP="00292D2E">
            <w:pPr>
              <w:widowControl w:val="0"/>
              <w:spacing w:line="360" w:lineRule="auto"/>
              <w:ind w:right="-284"/>
              <w:rPr>
                <w:rFonts w:eastAsia="Calibri"/>
                <w:sz w:val="28"/>
                <w:szCs w:val="28"/>
              </w:rPr>
            </w:pPr>
            <w:r w:rsidRPr="00520861">
              <w:rPr>
                <w:rFonts w:eastAsia="Calibri"/>
                <w:sz w:val="28"/>
                <w:szCs w:val="28"/>
              </w:rPr>
              <w:t>Група 3</w:t>
            </w:r>
          </w:p>
        </w:tc>
        <w:tc>
          <w:tcPr>
            <w:tcW w:w="2370" w:type="dxa"/>
            <w:tcBorders>
              <w:top w:val="single" w:sz="4" w:space="0" w:color="auto"/>
              <w:left w:val="single" w:sz="4" w:space="0" w:color="auto"/>
              <w:bottom w:val="single" w:sz="4" w:space="0" w:color="auto"/>
              <w:right w:val="single" w:sz="4" w:space="0" w:color="auto"/>
            </w:tcBorders>
            <w:hideMark/>
          </w:tcPr>
          <w:p w14:paraId="7AFAB064" w14:textId="77777777" w:rsidR="00CF641C" w:rsidRPr="00520861" w:rsidRDefault="00CF641C" w:rsidP="00292D2E">
            <w:pPr>
              <w:widowControl w:val="0"/>
              <w:spacing w:line="360" w:lineRule="auto"/>
              <w:ind w:right="-284" w:hanging="109"/>
              <w:jc w:val="center"/>
              <w:rPr>
                <w:rFonts w:eastAsia="Calibri"/>
                <w:sz w:val="28"/>
                <w:szCs w:val="28"/>
                <w:lang w:val="en-US"/>
              </w:rPr>
            </w:pPr>
            <w:r w:rsidRPr="00520861">
              <w:rPr>
                <w:rFonts w:eastAsia="Calibri"/>
                <w:sz w:val="28"/>
                <w:szCs w:val="28"/>
                <w:lang w:val="en-US"/>
              </w:rPr>
              <w:t>21,7</w:t>
            </w:r>
            <w:r w:rsidRPr="00520861">
              <w:rPr>
                <w:rFonts w:eastAsia="Calibri"/>
                <w:sz w:val="28"/>
                <w:szCs w:val="28"/>
                <w:lang w:val="ru-RU"/>
              </w:rPr>
              <w:t xml:space="preserve">* </w:t>
            </w:r>
            <w:r w:rsidRPr="00520861">
              <w:rPr>
                <w:rFonts w:eastAsia="Calibri"/>
                <w:sz w:val="28"/>
                <w:szCs w:val="28"/>
                <w:lang w:val="ru-RU" w:eastAsia="en-US"/>
              </w:rPr>
              <w:t>(</w:t>
            </w:r>
            <w:r w:rsidRPr="00520861">
              <w:rPr>
                <w:rFonts w:eastAsia="Calibri"/>
                <w:sz w:val="28"/>
                <w:szCs w:val="28"/>
                <w:lang w:val="en-US"/>
              </w:rPr>
              <w:t>27,7</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en-US"/>
              </w:rPr>
              <w:t>16,6</w:t>
            </w:r>
            <w:r w:rsidRPr="00520861">
              <w:rPr>
                <w:rFonts w:eastAsia="Calibri"/>
                <w:sz w:val="28"/>
                <w:szCs w:val="28"/>
                <w:lang w:val="ru-RU" w:eastAsia="en-US"/>
              </w:rPr>
              <w:t>)</w:t>
            </w:r>
          </w:p>
          <w:p w14:paraId="7E4DDEE4" w14:textId="77777777" w:rsidR="00CF641C" w:rsidRPr="00520861" w:rsidRDefault="00CF641C" w:rsidP="00292D2E">
            <w:pPr>
              <w:widowControl w:val="0"/>
              <w:spacing w:line="360" w:lineRule="auto"/>
              <w:ind w:right="-284" w:hanging="32"/>
              <w:rPr>
                <w:rFonts w:eastAsia="Calibri"/>
                <w:sz w:val="28"/>
                <w:szCs w:val="28"/>
                <w:lang w:val="en-US"/>
              </w:rPr>
            </w:pPr>
            <w:r w:rsidRPr="00520861">
              <w:rPr>
                <w:rFonts w:eastAsia="Calibri"/>
                <w:i/>
                <w:sz w:val="28"/>
                <w:szCs w:val="28"/>
                <w:lang w:val="en-US" w:eastAsia="en-US"/>
              </w:rPr>
              <w:t>p</w:t>
            </w:r>
            <w:r w:rsidRPr="00520861">
              <w:rPr>
                <w:rFonts w:eastAsia="Calibri"/>
                <w:sz w:val="28"/>
                <w:szCs w:val="28"/>
                <w:lang w:val="en-US" w:eastAsia="en-US"/>
              </w:rPr>
              <w:t>&lt;0,000001</w:t>
            </w:r>
          </w:p>
        </w:tc>
        <w:tc>
          <w:tcPr>
            <w:tcW w:w="3477" w:type="dxa"/>
            <w:tcBorders>
              <w:top w:val="single" w:sz="4" w:space="0" w:color="auto"/>
              <w:left w:val="single" w:sz="4" w:space="0" w:color="auto"/>
              <w:bottom w:val="single" w:sz="4" w:space="0" w:color="auto"/>
              <w:right w:val="single" w:sz="4" w:space="0" w:color="auto"/>
            </w:tcBorders>
            <w:hideMark/>
          </w:tcPr>
          <w:p w14:paraId="0C6CC6B2"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0,462* </w:t>
            </w:r>
            <w:r w:rsidRPr="00520861">
              <w:rPr>
                <w:rFonts w:eastAsia="Calibri"/>
                <w:sz w:val="28"/>
                <w:szCs w:val="28"/>
                <w:lang w:val="ru-RU" w:eastAsia="en-US"/>
              </w:rPr>
              <w:t>(</w:t>
            </w:r>
            <w:r w:rsidRPr="00520861">
              <w:rPr>
                <w:rFonts w:eastAsia="Calibri"/>
                <w:sz w:val="28"/>
                <w:szCs w:val="28"/>
                <w:lang w:val="ru-RU"/>
              </w:rPr>
              <w:t>0,517</w:t>
            </w:r>
            <w:r w:rsidRPr="00520861">
              <w:rPr>
                <w:rFonts w:eastAsia="Calibri"/>
                <w:sz w:val="28"/>
                <w:szCs w:val="28"/>
                <w:lang w:val="en-US" w:eastAsia="en-US"/>
              </w:rPr>
              <w:t>;</w:t>
            </w:r>
            <w:r w:rsidRPr="00520861">
              <w:rPr>
                <w:rFonts w:eastAsia="Calibri"/>
                <w:sz w:val="28"/>
                <w:szCs w:val="28"/>
              </w:rPr>
              <w:t xml:space="preserve"> </w:t>
            </w:r>
            <w:r w:rsidRPr="00520861">
              <w:rPr>
                <w:rFonts w:eastAsia="Calibri"/>
                <w:sz w:val="28"/>
                <w:szCs w:val="28"/>
                <w:lang w:val="ru-RU"/>
              </w:rPr>
              <w:t>0,416</w:t>
            </w:r>
            <w:r w:rsidRPr="00520861">
              <w:rPr>
                <w:rFonts w:eastAsia="Calibri"/>
                <w:sz w:val="28"/>
                <w:szCs w:val="28"/>
                <w:lang w:val="ru-RU" w:eastAsia="en-US"/>
              </w:rPr>
              <w:t>)</w:t>
            </w:r>
          </w:p>
          <w:p w14:paraId="440F4380"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&lt;0,000001</w:t>
            </w:r>
          </w:p>
        </w:tc>
        <w:tc>
          <w:tcPr>
            <w:tcW w:w="3402" w:type="dxa"/>
            <w:tcBorders>
              <w:top w:val="single" w:sz="4" w:space="0" w:color="auto"/>
              <w:left w:val="single" w:sz="4" w:space="0" w:color="auto"/>
              <w:bottom w:val="single" w:sz="4" w:space="0" w:color="auto"/>
              <w:right w:val="single" w:sz="4" w:space="0" w:color="auto"/>
            </w:tcBorders>
            <w:hideMark/>
          </w:tcPr>
          <w:p w14:paraId="189D5F1E"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0,254* </w:t>
            </w:r>
            <w:r w:rsidRPr="00520861">
              <w:rPr>
                <w:rFonts w:eastAsia="Calibri"/>
                <w:sz w:val="28"/>
                <w:szCs w:val="28"/>
                <w:lang w:val="ru-RU" w:eastAsia="en-US"/>
              </w:rPr>
              <w:t>(</w:t>
            </w:r>
            <w:r w:rsidRPr="00520861">
              <w:rPr>
                <w:rFonts w:eastAsia="Calibri"/>
                <w:sz w:val="28"/>
                <w:szCs w:val="28"/>
                <w:lang w:val="ru-RU"/>
              </w:rPr>
              <w:t>0,298</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0,221</w:t>
            </w:r>
            <w:r w:rsidRPr="00520861">
              <w:rPr>
                <w:rFonts w:eastAsia="Calibri"/>
                <w:sz w:val="28"/>
                <w:szCs w:val="28"/>
              </w:rPr>
              <w:t>)</w:t>
            </w:r>
          </w:p>
          <w:p w14:paraId="6856BEAA"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&lt;0,000001</w:t>
            </w:r>
          </w:p>
        </w:tc>
        <w:tc>
          <w:tcPr>
            <w:tcW w:w="3446" w:type="dxa"/>
            <w:tcBorders>
              <w:top w:val="single" w:sz="4" w:space="0" w:color="auto"/>
              <w:left w:val="single" w:sz="4" w:space="0" w:color="auto"/>
              <w:bottom w:val="single" w:sz="4" w:space="0" w:color="auto"/>
              <w:right w:val="single" w:sz="4" w:space="0" w:color="auto"/>
            </w:tcBorders>
            <w:hideMark/>
          </w:tcPr>
          <w:p w14:paraId="62DD6582"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0,125* </w:t>
            </w:r>
            <w:r w:rsidRPr="00520861">
              <w:rPr>
                <w:rFonts w:eastAsia="Calibri"/>
                <w:sz w:val="28"/>
                <w:szCs w:val="28"/>
                <w:lang w:val="ru-RU" w:eastAsia="en-US"/>
              </w:rPr>
              <w:t>(</w:t>
            </w:r>
            <w:r w:rsidRPr="00520861">
              <w:rPr>
                <w:rFonts w:eastAsia="Calibri"/>
                <w:sz w:val="28"/>
                <w:szCs w:val="28"/>
                <w:lang w:val="ru-RU"/>
              </w:rPr>
              <w:t>0,127</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0,118</w:t>
            </w:r>
            <w:r w:rsidRPr="00520861">
              <w:rPr>
                <w:rFonts w:eastAsia="Calibri"/>
                <w:sz w:val="28"/>
                <w:szCs w:val="28"/>
                <w:lang w:val="ru-RU" w:eastAsia="en-US"/>
              </w:rPr>
              <w:t>)</w:t>
            </w:r>
          </w:p>
          <w:p w14:paraId="628C1FB0"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=0,001299</w:t>
            </w:r>
          </w:p>
        </w:tc>
      </w:tr>
      <w:tr w:rsidR="00CF641C" w:rsidRPr="00520861" w14:paraId="6F9C0963" w14:textId="77777777" w:rsidTr="00292D2E">
        <w:trPr>
          <w:jc w:val="center"/>
        </w:trPr>
        <w:tc>
          <w:tcPr>
            <w:tcW w:w="1741" w:type="dxa"/>
            <w:tcBorders>
              <w:top w:val="single" w:sz="4" w:space="0" w:color="auto"/>
              <w:left w:val="single" w:sz="4" w:space="0" w:color="auto"/>
              <w:bottom w:val="single" w:sz="4" w:space="0" w:color="auto"/>
              <w:right w:val="single" w:sz="4" w:space="0" w:color="auto"/>
            </w:tcBorders>
            <w:hideMark/>
          </w:tcPr>
          <w:p w14:paraId="440053D4" w14:textId="77777777" w:rsidR="00CF641C" w:rsidRPr="00520861" w:rsidRDefault="00CF641C" w:rsidP="00292D2E">
            <w:pPr>
              <w:widowControl w:val="0"/>
              <w:spacing w:line="360" w:lineRule="auto"/>
              <w:ind w:right="-284"/>
              <w:rPr>
                <w:rFonts w:eastAsia="Calibri"/>
                <w:sz w:val="28"/>
                <w:szCs w:val="28"/>
              </w:rPr>
            </w:pPr>
            <w:r w:rsidRPr="00520861">
              <w:rPr>
                <w:rFonts w:eastAsia="Calibri"/>
                <w:sz w:val="28"/>
                <w:szCs w:val="28"/>
              </w:rPr>
              <w:t>Група 4</w:t>
            </w:r>
          </w:p>
        </w:tc>
        <w:tc>
          <w:tcPr>
            <w:tcW w:w="2370" w:type="dxa"/>
            <w:tcBorders>
              <w:top w:val="single" w:sz="4" w:space="0" w:color="auto"/>
              <w:left w:val="single" w:sz="4" w:space="0" w:color="auto"/>
              <w:bottom w:val="single" w:sz="4" w:space="0" w:color="auto"/>
              <w:right w:val="single" w:sz="4" w:space="0" w:color="auto"/>
            </w:tcBorders>
            <w:hideMark/>
          </w:tcPr>
          <w:p w14:paraId="5B9CC747" w14:textId="77777777" w:rsidR="00CF641C" w:rsidRPr="00520861" w:rsidRDefault="00CF641C" w:rsidP="00292D2E">
            <w:pPr>
              <w:widowControl w:val="0"/>
              <w:spacing w:line="360" w:lineRule="auto"/>
              <w:ind w:right="-284" w:hanging="109"/>
              <w:jc w:val="center"/>
              <w:rPr>
                <w:rFonts w:eastAsia="Calibri"/>
                <w:sz w:val="28"/>
                <w:szCs w:val="28"/>
                <w:lang w:val="en-US"/>
              </w:rPr>
            </w:pPr>
            <w:r w:rsidRPr="00520861">
              <w:rPr>
                <w:rFonts w:eastAsia="Calibri"/>
                <w:sz w:val="28"/>
                <w:szCs w:val="28"/>
                <w:lang w:val="en-US"/>
              </w:rPr>
              <w:t>24,8</w:t>
            </w:r>
            <w:r w:rsidRPr="00520861">
              <w:rPr>
                <w:rFonts w:eastAsia="Calibri"/>
                <w:sz w:val="28"/>
                <w:szCs w:val="28"/>
                <w:lang w:val="ru-RU"/>
              </w:rPr>
              <w:t xml:space="preserve">* </w:t>
            </w:r>
            <w:r w:rsidRPr="00520861">
              <w:rPr>
                <w:rFonts w:eastAsia="Calibri"/>
                <w:sz w:val="28"/>
                <w:szCs w:val="28"/>
                <w:lang w:val="ru-RU" w:eastAsia="en-US"/>
              </w:rPr>
              <w:t>(</w:t>
            </w:r>
            <w:r w:rsidRPr="00520861">
              <w:rPr>
                <w:rFonts w:eastAsia="Calibri"/>
                <w:sz w:val="28"/>
                <w:szCs w:val="28"/>
                <w:lang w:val="en-US"/>
              </w:rPr>
              <w:t>31,9</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en-US"/>
              </w:rPr>
              <w:t>18,1</w:t>
            </w:r>
            <w:r w:rsidRPr="00520861">
              <w:rPr>
                <w:rFonts w:eastAsia="Calibri"/>
                <w:sz w:val="28"/>
                <w:szCs w:val="28"/>
                <w:lang w:val="ru-RU" w:eastAsia="en-US"/>
              </w:rPr>
              <w:t>)</w:t>
            </w:r>
          </w:p>
          <w:p w14:paraId="2895D1C6" w14:textId="77777777" w:rsidR="00CF641C" w:rsidRPr="00520861" w:rsidRDefault="00CF641C" w:rsidP="00292D2E">
            <w:pPr>
              <w:widowControl w:val="0"/>
              <w:spacing w:line="360" w:lineRule="auto"/>
              <w:ind w:right="-284" w:hanging="32"/>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&lt;0,000001</w:t>
            </w:r>
          </w:p>
        </w:tc>
        <w:tc>
          <w:tcPr>
            <w:tcW w:w="3477" w:type="dxa"/>
            <w:tcBorders>
              <w:top w:val="single" w:sz="4" w:space="0" w:color="auto"/>
              <w:left w:val="single" w:sz="4" w:space="0" w:color="auto"/>
              <w:bottom w:val="single" w:sz="4" w:space="0" w:color="auto"/>
              <w:right w:val="single" w:sz="4" w:space="0" w:color="auto"/>
            </w:tcBorders>
            <w:hideMark/>
          </w:tcPr>
          <w:p w14:paraId="169D70C0"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0,399* </w:t>
            </w:r>
            <w:r w:rsidRPr="00520861">
              <w:rPr>
                <w:rFonts w:eastAsia="Calibri"/>
                <w:sz w:val="28"/>
                <w:szCs w:val="28"/>
                <w:lang w:val="ru-RU" w:eastAsia="en-US"/>
              </w:rPr>
              <w:t>(</w:t>
            </w:r>
            <w:r w:rsidRPr="00520861">
              <w:rPr>
                <w:rFonts w:eastAsia="Calibri"/>
                <w:sz w:val="28"/>
                <w:szCs w:val="28"/>
                <w:lang w:val="ru-RU"/>
              </w:rPr>
              <w:t>0,528</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0,339</w:t>
            </w:r>
            <w:r w:rsidRPr="00520861">
              <w:rPr>
                <w:rFonts w:eastAsia="Calibri"/>
                <w:sz w:val="28"/>
                <w:szCs w:val="28"/>
                <w:lang w:val="ru-RU" w:eastAsia="en-US"/>
              </w:rPr>
              <w:t>)</w:t>
            </w:r>
          </w:p>
          <w:p w14:paraId="30FB24BB"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i/>
                <w:sz w:val="28"/>
                <w:szCs w:val="28"/>
                <w:lang w:val="en-US" w:eastAsia="en-US"/>
              </w:rPr>
              <w:t>p</w:t>
            </w:r>
            <w:r w:rsidRPr="00520861">
              <w:rPr>
                <w:rFonts w:eastAsia="Calibri"/>
                <w:sz w:val="28"/>
                <w:szCs w:val="28"/>
                <w:lang w:val="en-US" w:eastAsia="en-US"/>
              </w:rPr>
              <w:t>&lt;0,000001</w:t>
            </w:r>
          </w:p>
        </w:tc>
        <w:tc>
          <w:tcPr>
            <w:tcW w:w="3402" w:type="dxa"/>
            <w:tcBorders>
              <w:top w:val="single" w:sz="4" w:space="0" w:color="auto"/>
              <w:left w:val="single" w:sz="4" w:space="0" w:color="auto"/>
              <w:bottom w:val="single" w:sz="4" w:space="0" w:color="auto"/>
              <w:right w:val="single" w:sz="4" w:space="0" w:color="auto"/>
            </w:tcBorders>
            <w:hideMark/>
          </w:tcPr>
          <w:p w14:paraId="2DBCEF81"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sz w:val="28"/>
                <w:szCs w:val="28"/>
              </w:rPr>
              <w:t>0,259</w:t>
            </w:r>
            <w:r w:rsidRPr="00520861">
              <w:rPr>
                <w:rFonts w:eastAsia="Calibri"/>
                <w:sz w:val="28"/>
                <w:szCs w:val="28"/>
                <w:lang w:val="ru-RU"/>
              </w:rPr>
              <w:t>*</w:t>
            </w:r>
            <w:r w:rsidRPr="00520861">
              <w:rPr>
                <w:rFonts w:eastAsia="Calibri"/>
                <w:sz w:val="28"/>
                <w:szCs w:val="28"/>
              </w:rPr>
              <w:t xml:space="preserve"> </w:t>
            </w:r>
            <w:r w:rsidRPr="00520861">
              <w:rPr>
                <w:rFonts w:eastAsia="Calibri"/>
                <w:sz w:val="28"/>
                <w:szCs w:val="28"/>
                <w:lang w:val="ru-RU" w:eastAsia="en-US"/>
              </w:rPr>
              <w:t>(</w:t>
            </w:r>
            <w:r w:rsidRPr="00520861">
              <w:rPr>
                <w:rFonts w:eastAsia="Calibri"/>
                <w:sz w:val="28"/>
                <w:szCs w:val="28"/>
              </w:rPr>
              <w:t>0,336</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rPr>
              <w:t>0,210</w:t>
            </w:r>
            <w:r w:rsidRPr="00520861">
              <w:rPr>
                <w:rFonts w:eastAsia="Calibri"/>
                <w:sz w:val="28"/>
                <w:szCs w:val="28"/>
                <w:lang w:val="ru-RU" w:eastAsia="en-US"/>
              </w:rPr>
              <w:t>)</w:t>
            </w:r>
          </w:p>
          <w:p w14:paraId="443CEBF9"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i/>
                <w:sz w:val="28"/>
                <w:szCs w:val="28"/>
                <w:lang w:val="en-US" w:eastAsia="en-US"/>
              </w:rPr>
              <w:t>p</w:t>
            </w:r>
            <w:r w:rsidRPr="00520861">
              <w:rPr>
                <w:rFonts w:eastAsia="Calibri"/>
                <w:sz w:val="28"/>
                <w:szCs w:val="28"/>
                <w:lang w:val="en-US" w:eastAsia="en-US"/>
              </w:rPr>
              <w:t>&lt;0,000001</w:t>
            </w:r>
          </w:p>
        </w:tc>
        <w:tc>
          <w:tcPr>
            <w:tcW w:w="3446" w:type="dxa"/>
            <w:tcBorders>
              <w:top w:val="single" w:sz="4" w:space="0" w:color="auto"/>
              <w:left w:val="single" w:sz="4" w:space="0" w:color="auto"/>
              <w:bottom w:val="single" w:sz="4" w:space="0" w:color="auto"/>
              <w:right w:val="single" w:sz="4" w:space="0" w:color="auto"/>
            </w:tcBorders>
            <w:hideMark/>
          </w:tcPr>
          <w:p w14:paraId="70358D90" w14:textId="77777777" w:rsidR="00CF641C" w:rsidRPr="00520861" w:rsidRDefault="00CF641C" w:rsidP="00292D2E">
            <w:pPr>
              <w:widowControl w:val="0"/>
              <w:spacing w:line="360" w:lineRule="auto"/>
              <w:ind w:right="-284" w:hanging="109"/>
              <w:jc w:val="center"/>
              <w:rPr>
                <w:rFonts w:eastAsia="Calibri"/>
                <w:sz w:val="28"/>
                <w:szCs w:val="28"/>
                <w:lang w:val="ru-RU"/>
              </w:rPr>
            </w:pPr>
            <w:r w:rsidRPr="00520861">
              <w:rPr>
                <w:rFonts w:eastAsia="Calibri"/>
                <w:sz w:val="28"/>
                <w:szCs w:val="28"/>
                <w:lang w:val="ru-RU"/>
              </w:rPr>
              <w:t xml:space="preserve">0,105* </w:t>
            </w:r>
            <w:r w:rsidRPr="00520861">
              <w:rPr>
                <w:rFonts w:eastAsia="Calibri"/>
                <w:sz w:val="28"/>
                <w:szCs w:val="28"/>
                <w:lang w:val="ru-RU" w:eastAsia="en-US"/>
              </w:rPr>
              <w:t>(</w:t>
            </w:r>
            <w:r w:rsidRPr="00520861">
              <w:rPr>
                <w:rFonts w:eastAsia="Calibri"/>
                <w:sz w:val="28"/>
                <w:szCs w:val="28"/>
                <w:lang w:val="ru-RU"/>
              </w:rPr>
              <w:t>0,166</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rPr>
              <w:t>0,092</w:t>
            </w:r>
            <w:r w:rsidRPr="00520861">
              <w:rPr>
                <w:rFonts w:eastAsia="Calibri"/>
                <w:sz w:val="28"/>
                <w:szCs w:val="28"/>
                <w:lang w:val="ru-RU" w:eastAsia="en-US"/>
              </w:rPr>
              <w:t>)</w:t>
            </w:r>
          </w:p>
          <w:p w14:paraId="5184D2E9" w14:textId="77777777" w:rsidR="00CF641C" w:rsidRPr="00520861" w:rsidRDefault="00CF641C" w:rsidP="00292D2E">
            <w:pPr>
              <w:widowControl w:val="0"/>
              <w:spacing w:line="360" w:lineRule="auto"/>
              <w:ind w:right="-284" w:hanging="109"/>
              <w:jc w:val="center"/>
              <w:rPr>
                <w:rFonts w:eastAsia="Calibri"/>
                <w:sz w:val="28"/>
                <w:szCs w:val="28"/>
              </w:rPr>
            </w:pPr>
            <w:r w:rsidRPr="00520861">
              <w:rPr>
                <w:rFonts w:eastAsia="Calibri"/>
                <w:sz w:val="28"/>
                <w:szCs w:val="28"/>
                <w:lang w:val="en-US" w:eastAsia="en-US"/>
              </w:rPr>
              <w:t>p=0,004956</w:t>
            </w:r>
          </w:p>
        </w:tc>
      </w:tr>
    </w:tbl>
    <w:p w14:paraId="50210583" w14:textId="77777777" w:rsidR="00CF641C" w:rsidRPr="00520861" w:rsidRDefault="00CF641C" w:rsidP="00292D2E">
      <w:pPr>
        <w:widowControl w:val="0"/>
        <w:spacing w:line="360" w:lineRule="auto"/>
        <w:ind w:right="-1" w:firstLine="708"/>
        <w:rPr>
          <w:rFonts w:eastAsia="Calibri"/>
          <w:sz w:val="28"/>
          <w:szCs w:val="28"/>
          <w:lang w:eastAsia="en-US"/>
        </w:rPr>
        <w:sectPr w:rsidR="00CF641C" w:rsidRPr="00520861" w:rsidSect="00292D2E">
          <w:pgSz w:w="16838" w:h="11906" w:orient="landscape"/>
          <w:pgMar w:top="1134" w:right="1134" w:bottom="624" w:left="1134" w:header="709" w:footer="709" w:gutter="0"/>
          <w:pgNumType w:start="129"/>
          <w:cols w:space="708"/>
          <w:docGrid w:linePitch="360"/>
        </w:sectPr>
      </w:pPr>
      <w:r w:rsidRPr="00520861">
        <w:rPr>
          <w:rFonts w:eastAsia="Calibri"/>
          <w:sz w:val="28"/>
          <w:szCs w:val="28"/>
          <w:lang w:eastAsia="en-US"/>
        </w:rPr>
        <w:t>Примітка: *</w:t>
      </w:r>
      <w:r w:rsidRPr="00520861">
        <w:rPr>
          <w:sz w:val="28"/>
          <w:szCs w:val="28"/>
        </w:rPr>
        <w:t>–</w:t>
      </w:r>
      <w:r w:rsidRPr="00520861">
        <w:rPr>
          <w:rFonts w:eastAsia="Calibri"/>
          <w:sz w:val="28"/>
          <w:szCs w:val="28"/>
          <w:lang w:eastAsia="en-US"/>
        </w:rPr>
        <w:t xml:space="preserve"> відмінність від групи контролю вірогідна з ймовірністю 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1DDD57D2" w14:textId="77777777" w:rsidR="00CF641C" w:rsidRPr="00520861" w:rsidRDefault="00CF641C" w:rsidP="00292D2E">
      <w:pPr>
        <w:widowControl w:val="0"/>
        <w:spacing w:line="360" w:lineRule="auto"/>
        <w:jc w:val="both"/>
        <w:rPr>
          <w:sz w:val="28"/>
          <w:szCs w:val="28"/>
          <w:lang w:eastAsia="en-US"/>
        </w:rPr>
      </w:pPr>
      <w:r w:rsidRPr="00520861">
        <w:rPr>
          <w:noProof/>
          <w:sz w:val="28"/>
          <w:szCs w:val="28"/>
          <w:lang w:val="ru-RU"/>
        </w:rPr>
        <w:lastRenderedPageBreak/>
        <w:drawing>
          <wp:inline distT="0" distB="0" distL="0" distR="0" wp14:anchorId="055A5433" wp14:editId="755CD256">
            <wp:extent cx="6411600" cy="5115600"/>
            <wp:effectExtent l="0" t="0" r="8255" b="8890"/>
            <wp:docPr id="30" name="Рисунок 30" descr="D:\тер стом\научн работа 1\дд друк\ на защиту\Маша\Рис\Рис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тер стом\научн работа 1\дд друк\ на защиту\Маша\Рис\Рис3.1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411600" cy="5115600"/>
                    </a:xfrm>
                    <a:prstGeom prst="rect">
                      <a:avLst/>
                    </a:prstGeom>
                    <a:noFill/>
                    <a:ln>
                      <a:noFill/>
                    </a:ln>
                  </pic:spPr>
                </pic:pic>
              </a:graphicData>
            </a:graphic>
          </wp:inline>
        </w:drawing>
      </w:r>
    </w:p>
    <w:p w14:paraId="4F7ED5FA" w14:textId="77777777" w:rsidR="00CF641C" w:rsidRPr="00520861" w:rsidRDefault="00CF641C" w:rsidP="00292D2E">
      <w:pPr>
        <w:widowControl w:val="0"/>
        <w:spacing w:line="360" w:lineRule="auto"/>
        <w:ind w:firstLine="709"/>
        <w:jc w:val="center"/>
        <w:rPr>
          <w:spacing w:val="-2"/>
          <w:sz w:val="28"/>
          <w:szCs w:val="28"/>
          <w:lang w:eastAsia="en-US"/>
        </w:rPr>
      </w:pPr>
      <w:r w:rsidRPr="00520861">
        <w:rPr>
          <w:spacing w:val="-2"/>
          <w:sz w:val="28"/>
          <w:szCs w:val="28"/>
          <w:lang w:eastAsia="en-US"/>
        </w:rPr>
        <w:t xml:space="preserve">Рис. 3.10. Ділянка привушних слинних залоз тримісячних щурів: </w:t>
      </w:r>
    </w:p>
    <w:p w14:paraId="4FE3A49F" w14:textId="77777777" w:rsidR="00CF641C" w:rsidRPr="00520861" w:rsidRDefault="00CF641C" w:rsidP="00292D2E">
      <w:pPr>
        <w:widowControl w:val="0"/>
        <w:spacing w:line="360" w:lineRule="auto"/>
        <w:ind w:firstLine="709"/>
        <w:jc w:val="center"/>
        <w:rPr>
          <w:spacing w:val="-2"/>
          <w:sz w:val="28"/>
          <w:szCs w:val="28"/>
          <w:lang w:eastAsia="en-US"/>
        </w:rPr>
      </w:pPr>
      <w:r w:rsidRPr="00520861">
        <w:rPr>
          <w:spacing w:val="-2"/>
          <w:sz w:val="28"/>
          <w:szCs w:val="28"/>
          <w:lang w:eastAsia="en-US"/>
        </w:rPr>
        <w:t xml:space="preserve">а) – групи контролю (звертає на себе увагу велика кількість морфологічно неоднорідної слини в просвітах кінцевих відділів); </w:t>
      </w:r>
    </w:p>
    <w:p w14:paraId="6B2F4891" w14:textId="77777777" w:rsidR="00CF641C" w:rsidRPr="00520861" w:rsidRDefault="00CF641C" w:rsidP="00292D2E">
      <w:pPr>
        <w:widowControl w:val="0"/>
        <w:spacing w:line="360" w:lineRule="auto"/>
        <w:ind w:firstLine="709"/>
        <w:jc w:val="center"/>
        <w:rPr>
          <w:spacing w:val="-2"/>
          <w:sz w:val="28"/>
          <w:szCs w:val="28"/>
          <w:lang w:eastAsia="en-US"/>
        </w:rPr>
      </w:pPr>
      <w:r w:rsidRPr="00520861">
        <w:rPr>
          <w:spacing w:val="-2"/>
          <w:sz w:val="28"/>
          <w:szCs w:val="28"/>
          <w:lang w:eastAsia="en-US"/>
        </w:rPr>
        <w:t xml:space="preserve">б) – групи контролю (домінування </w:t>
      </w:r>
      <w:proofErr w:type="spellStart"/>
      <w:r w:rsidRPr="00520861">
        <w:rPr>
          <w:spacing w:val="-2"/>
          <w:sz w:val="28"/>
          <w:szCs w:val="28"/>
          <w:lang w:eastAsia="en-US"/>
        </w:rPr>
        <w:t>гетерохромних</w:t>
      </w:r>
      <w:proofErr w:type="spellEnd"/>
      <w:r w:rsidRPr="00520861">
        <w:rPr>
          <w:spacing w:val="-2"/>
          <w:sz w:val="28"/>
          <w:szCs w:val="28"/>
          <w:lang w:eastAsia="en-US"/>
        </w:rPr>
        <w:t xml:space="preserve"> </w:t>
      </w:r>
      <w:proofErr w:type="spellStart"/>
      <w:r w:rsidRPr="00520861">
        <w:rPr>
          <w:spacing w:val="-2"/>
          <w:sz w:val="28"/>
          <w:szCs w:val="28"/>
          <w:lang w:eastAsia="en-US"/>
        </w:rPr>
        <w:t>ядер</w:t>
      </w:r>
      <w:proofErr w:type="spellEnd"/>
      <w:r w:rsidRPr="00520861">
        <w:rPr>
          <w:spacing w:val="-2"/>
          <w:sz w:val="28"/>
          <w:szCs w:val="28"/>
          <w:lang w:eastAsia="en-US"/>
        </w:rPr>
        <w:t xml:space="preserve">); </w:t>
      </w:r>
    </w:p>
    <w:p w14:paraId="0FFFD698" w14:textId="77777777" w:rsidR="00CF641C" w:rsidRPr="00520861" w:rsidRDefault="00CF641C" w:rsidP="00292D2E">
      <w:pPr>
        <w:widowControl w:val="0"/>
        <w:spacing w:line="360" w:lineRule="auto"/>
        <w:ind w:firstLine="709"/>
        <w:jc w:val="center"/>
        <w:rPr>
          <w:spacing w:val="-2"/>
          <w:sz w:val="28"/>
          <w:szCs w:val="28"/>
          <w:lang w:eastAsia="en-US"/>
        </w:rPr>
      </w:pPr>
      <w:r w:rsidRPr="00520861">
        <w:rPr>
          <w:spacing w:val="-2"/>
          <w:sz w:val="28"/>
          <w:szCs w:val="28"/>
          <w:lang w:eastAsia="en-US"/>
        </w:rPr>
        <w:t>в) – групи контролю (</w:t>
      </w:r>
      <w:proofErr w:type="spellStart"/>
      <w:r w:rsidRPr="00520861">
        <w:rPr>
          <w:spacing w:val="-2"/>
          <w:sz w:val="28"/>
          <w:szCs w:val="28"/>
          <w:lang w:eastAsia="en-US"/>
        </w:rPr>
        <w:t>фуксинофілія</w:t>
      </w:r>
      <w:proofErr w:type="spellEnd"/>
      <w:r w:rsidRPr="00520861">
        <w:rPr>
          <w:spacing w:val="-2"/>
          <w:sz w:val="28"/>
          <w:szCs w:val="28"/>
          <w:lang w:eastAsia="en-US"/>
        </w:rPr>
        <w:t xml:space="preserve"> цитоплазми і субстанції в просвіті кінцевих відділів); </w:t>
      </w:r>
    </w:p>
    <w:p w14:paraId="64D838B1" w14:textId="77777777" w:rsidR="00CF641C" w:rsidRPr="00520861" w:rsidRDefault="00CF641C" w:rsidP="00292D2E">
      <w:pPr>
        <w:widowControl w:val="0"/>
        <w:spacing w:line="360" w:lineRule="auto"/>
        <w:ind w:firstLine="709"/>
        <w:jc w:val="center"/>
        <w:rPr>
          <w:spacing w:val="-2"/>
          <w:sz w:val="28"/>
          <w:szCs w:val="28"/>
          <w:lang w:eastAsia="en-US"/>
        </w:rPr>
      </w:pPr>
      <w:r w:rsidRPr="00520861">
        <w:rPr>
          <w:spacing w:val="-2"/>
          <w:sz w:val="28"/>
          <w:szCs w:val="28"/>
          <w:lang w:eastAsia="en-US"/>
        </w:rPr>
        <w:t xml:space="preserve">г) – групи 1 (у протоці слинної залози є </w:t>
      </w:r>
      <w:proofErr w:type="spellStart"/>
      <w:r w:rsidRPr="00520861">
        <w:rPr>
          <w:spacing w:val="-2"/>
          <w:sz w:val="28"/>
          <w:szCs w:val="28"/>
          <w:lang w:eastAsia="en-US"/>
        </w:rPr>
        <w:t>галоціанін</w:t>
      </w:r>
      <w:proofErr w:type="spellEnd"/>
      <w:r w:rsidRPr="00520861">
        <w:rPr>
          <w:spacing w:val="-2"/>
          <w:sz w:val="28"/>
          <w:szCs w:val="28"/>
          <w:lang w:eastAsia="en-US"/>
        </w:rPr>
        <w:t xml:space="preserve"> негативна слина, що має гранульований вигляд). Забарвлення: а), г) – гематоксиліном та еозином; б) –  </w:t>
      </w:r>
      <w:proofErr w:type="spellStart"/>
      <w:r w:rsidRPr="00520861">
        <w:rPr>
          <w:spacing w:val="-2"/>
          <w:sz w:val="28"/>
          <w:szCs w:val="28"/>
          <w:lang w:eastAsia="en-US"/>
        </w:rPr>
        <w:t>галоціанін</w:t>
      </w:r>
      <w:proofErr w:type="spellEnd"/>
      <w:r w:rsidRPr="00520861">
        <w:rPr>
          <w:spacing w:val="-2"/>
          <w:sz w:val="28"/>
          <w:szCs w:val="28"/>
          <w:lang w:eastAsia="en-US"/>
        </w:rPr>
        <w:t xml:space="preserve">-хромовими галунами за </w:t>
      </w:r>
      <w:proofErr w:type="spellStart"/>
      <w:r w:rsidRPr="00520861">
        <w:rPr>
          <w:spacing w:val="-2"/>
          <w:sz w:val="28"/>
          <w:szCs w:val="28"/>
          <w:lang w:eastAsia="en-US"/>
        </w:rPr>
        <w:t>Ейнарсоном</w:t>
      </w:r>
      <w:proofErr w:type="spellEnd"/>
      <w:r w:rsidRPr="00520861">
        <w:rPr>
          <w:spacing w:val="-2"/>
          <w:sz w:val="28"/>
          <w:szCs w:val="28"/>
          <w:lang w:eastAsia="en-US"/>
        </w:rPr>
        <w:t xml:space="preserve">; в) – PAS–реакція. Збільшення </w:t>
      </w:r>
      <w:r w:rsidRPr="00520861">
        <w:rPr>
          <w:rFonts w:eastAsia="Calibri"/>
          <w:spacing w:val="-2"/>
          <w:sz w:val="28"/>
          <w:szCs w:val="28"/>
          <w:lang w:eastAsia="en-US"/>
        </w:rPr>
        <w:sym w:font="Symbol" w:char="F0B4"/>
      </w:r>
      <w:r w:rsidRPr="00520861">
        <w:rPr>
          <w:rFonts w:eastAsia="Calibri"/>
          <w:spacing w:val="-2"/>
          <w:sz w:val="28"/>
          <w:szCs w:val="28"/>
          <w:lang w:eastAsia="en-US"/>
        </w:rPr>
        <w:t xml:space="preserve"> </w:t>
      </w:r>
      <w:r w:rsidRPr="00520861">
        <w:rPr>
          <w:spacing w:val="-2"/>
          <w:sz w:val="28"/>
          <w:szCs w:val="28"/>
          <w:lang w:eastAsia="en-US"/>
        </w:rPr>
        <w:t>400.</w:t>
      </w:r>
    </w:p>
    <w:p w14:paraId="5603D656" w14:textId="77777777" w:rsidR="00CF641C" w:rsidRPr="00520861" w:rsidRDefault="00CF641C" w:rsidP="00292D2E">
      <w:pPr>
        <w:widowControl w:val="0"/>
        <w:spacing w:line="360" w:lineRule="auto"/>
        <w:ind w:firstLine="708"/>
        <w:jc w:val="both"/>
        <w:rPr>
          <w:rFonts w:eastAsia="Calibri"/>
          <w:sz w:val="28"/>
          <w:szCs w:val="28"/>
          <w:lang w:eastAsia="en-US"/>
        </w:rPr>
      </w:pPr>
    </w:p>
    <w:p w14:paraId="6C427AA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Можна припустити, що така картина є ознакою функціонального стану – перші менше, а другі більше активні в синтезі білків. Медіанні значення оптичної густини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дорівнювали 0,575 ум. од. опт. густини, а медіанні </w:t>
      </w:r>
      <w:r w:rsidRPr="00520861">
        <w:rPr>
          <w:rFonts w:eastAsia="Calibri"/>
          <w:spacing w:val="-4"/>
          <w:sz w:val="28"/>
          <w:szCs w:val="28"/>
          <w:lang w:eastAsia="en-US"/>
        </w:rPr>
        <w:t xml:space="preserve">значення </w:t>
      </w:r>
      <w:r w:rsidRPr="00520861">
        <w:rPr>
          <w:rFonts w:eastAsia="Calibri"/>
          <w:spacing w:val="-4"/>
          <w:sz w:val="28"/>
          <w:szCs w:val="28"/>
          <w:lang w:eastAsia="en-US"/>
        </w:rPr>
        <w:br/>
      </w:r>
      <w:r w:rsidRPr="00520861">
        <w:rPr>
          <w:rFonts w:eastAsia="Calibri"/>
          <w:spacing w:val="-4"/>
          <w:sz w:val="28"/>
          <w:szCs w:val="28"/>
          <w:lang w:eastAsia="en-US"/>
        </w:rPr>
        <w:lastRenderedPageBreak/>
        <w:t>концентрації нуклеїнових кислот у цитоплазмі – 0,308 ум. од. опт. густини (табл. 3.4).</w:t>
      </w:r>
      <w:r w:rsidRPr="00520861">
        <w:rPr>
          <w:rFonts w:eastAsia="Calibri"/>
          <w:sz w:val="28"/>
          <w:szCs w:val="28"/>
          <w:lang w:eastAsia="en-US"/>
        </w:rPr>
        <w:t xml:space="preserve"> </w:t>
      </w:r>
    </w:p>
    <w:p w14:paraId="4D676714"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Вірогідних відмінностей абсолютної та відносної мас привушних слинних залоз між щурами групи 1 і групи контролю не виявлено (табл. 3.3). У щурів групи 1 кінцеві відділи дуже малих розмірів, більша частина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не сформована, визначається велика кількість клітин, що лежать шарами [42].</w:t>
      </w:r>
      <w:r w:rsidRPr="00520861">
        <w:rPr>
          <w:rFonts w:eastAsiaTheme="minorHAnsi"/>
          <w:sz w:val="28"/>
          <w:szCs w:val="28"/>
          <w:lang w:eastAsia="en-US"/>
        </w:rPr>
        <w:t xml:space="preserve"> </w:t>
      </w:r>
      <w:r w:rsidRPr="00520861">
        <w:rPr>
          <w:rFonts w:eastAsia="Calibri"/>
          <w:sz w:val="28"/>
          <w:szCs w:val="28"/>
          <w:lang w:eastAsia="en-US"/>
        </w:rPr>
        <w:t xml:space="preserve">Медіанна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на площі 750 (м2 ×1012) мікропрепаратів у щурів цієї групи була найбільшою серед усіх груп (табл. 3.3). </w:t>
      </w:r>
    </w:p>
    <w:p w14:paraId="12EA3605" w14:textId="77777777" w:rsidR="00CF641C" w:rsidRPr="00520861" w:rsidRDefault="00CF641C" w:rsidP="00292D2E">
      <w:pPr>
        <w:widowControl w:val="0"/>
        <w:spacing w:line="360" w:lineRule="auto"/>
        <w:ind w:firstLine="708"/>
        <w:jc w:val="both"/>
        <w:rPr>
          <w:rFonts w:eastAsia="Calibri"/>
          <w:spacing w:val="-4"/>
          <w:sz w:val="28"/>
          <w:szCs w:val="28"/>
          <w:lang w:eastAsia="en-US"/>
        </w:rPr>
      </w:pPr>
      <w:r w:rsidRPr="00520861">
        <w:rPr>
          <w:rFonts w:eastAsia="Calibri"/>
          <w:spacing w:val="-2"/>
          <w:sz w:val="28"/>
          <w:szCs w:val="28"/>
          <w:lang w:eastAsia="en-US"/>
        </w:rPr>
        <w:t xml:space="preserve">При постановці PAS–реакції у тварин контрольної групи цитоплазма </w:t>
      </w:r>
      <w:proofErr w:type="spellStart"/>
      <w:r w:rsidRPr="00520861">
        <w:rPr>
          <w:rFonts w:eastAsia="Calibri"/>
          <w:spacing w:val="-2"/>
          <w:sz w:val="28"/>
          <w:szCs w:val="28"/>
          <w:lang w:eastAsia="en-US"/>
        </w:rPr>
        <w:t>гландулоцитів</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фуксинофільна</w:t>
      </w:r>
      <w:proofErr w:type="spellEnd"/>
      <w:r w:rsidRPr="00520861">
        <w:rPr>
          <w:rFonts w:eastAsia="Calibri"/>
          <w:spacing w:val="-2"/>
          <w:sz w:val="28"/>
          <w:szCs w:val="28"/>
          <w:lang w:eastAsia="en-US"/>
        </w:rPr>
        <w:t xml:space="preserve"> (рис. 3.10</w:t>
      </w:r>
      <w:r w:rsidRPr="00520861">
        <w:rPr>
          <w:rFonts w:eastAsia="Calibri"/>
          <w:i/>
          <w:spacing w:val="-2"/>
          <w:sz w:val="28"/>
          <w:szCs w:val="28"/>
          <w:lang w:eastAsia="en-US"/>
        </w:rPr>
        <w:t>в</w:t>
      </w:r>
      <w:r w:rsidRPr="00520861">
        <w:rPr>
          <w:rFonts w:eastAsia="Calibri"/>
          <w:spacing w:val="-2"/>
          <w:sz w:val="28"/>
          <w:szCs w:val="28"/>
          <w:lang w:eastAsia="en-US"/>
        </w:rPr>
        <w:t xml:space="preserve">), неоднорідна, </w:t>
      </w:r>
      <w:proofErr w:type="spellStart"/>
      <w:r w:rsidRPr="00520861">
        <w:rPr>
          <w:rFonts w:eastAsia="Calibri"/>
          <w:spacing w:val="-2"/>
          <w:sz w:val="28"/>
          <w:szCs w:val="28"/>
          <w:lang w:eastAsia="en-US"/>
        </w:rPr>
        <w:t>гранулярно-комкувата</w:t>
      </w:r>
      <w:proofErr w:type="spellEnd"/>
      <w:r w:rsidRPr="00520861">
        <w:rPr>
          <w:rFonts w:eastAsia="Calibri"/>
          <w:spacing w:val="-2"/>
          <w:sz w:val="28"/>
          <w:szCs w:val="28"/>
          <w:lang w:eastAsia="en-US"/>
        </w:rPr>
        <w:t xml:space="preserve">. Просвіт у переважної більшості </w:t>
      </w:r>
      <w:proofErr w:type="spellStart"/>
      <w:r w:rsidRPr="00520861">
        <w:rPr>
          <w:rFonts w:eastAsia="Calibri"/>
          <w:spacing w:val="-2"/>
          <w:sz w:val="28"/>
          <w:szCs w:val="28"/>
          <w:lang w:eastAsia="en-US"/>
        </w:rPr>
        <w:t>ацинусів</w:t>
      </w:r>
      <w:proofErr w:type="spellEnd"/>
      <w:r w:rsidRPr="00520861">
        <w:rPr>
          <w:rFonts w:eastAsia="Calibri"/>
          <w:spacing w:val="-2"/>
          <w:sz w:val="28"/>
          <w:szCs w:val="28"/>
          <w:lang w:eastAsia="en-US"/>
        </w:rPr>
        <w:t xml:space="preserve"> заповнений аналогічними масами. Визначаючи оптичну густину рідини у просвітах </w:t>
      </w:r>
      <w:proofErr w:type="spellStart"/>
      <w:r w:rsidRPr="00520861">
        <w:rPr>
          <w:rFonts w:eastAsia="Calibri"/>
          <w:spacing w:val="-2"/>
          <w:sz w:val="28"/>
          <w:szCs w:val="28"/>
          <w:lang w:eastAsia="en-US"/>
        </w:rPr>
        <w:t>ацинусів</w:t>
      </w:r>
      <w:proofErr w:type="spellEnd"/>
      <w:r w:rsidRPr="00520861">
        <w:rPr>
          <w:rFonts w:eastAsia="Calibri"/>
          <w:spacing w:val="-2"/>
          <w:sz w:val="28"/>
          <w:szCs w:val="28"/>
          <w:lang w:eastAsia="en-US"/>
        </w:rPr>
        <w:t xml:space="preserve"> на мікропрепаратах із постановкою PAS–реакції </w:t>
      </w:r>
      <w:r w:rsidRPr="00520861">
        <w:rPr>
          <w:rFonts w:eastAsia="Calibri"/>
          <w:spacing w:val="-4"/>
          <w:sz w:val="28"/>
          <w:szCs w:val="28"/>
          <w:lang w:eastAsia="en-US"/>
        </w:rPr>
        <w:t xml:space="preserve">(табл. 3.4) виявили, що медіана цього показника дорівнювала 0,076 ум. од. опт. густини. </w:t>
      </w:r>
    </w:p>
    <w:p w14:paraId="3E2729CB"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Ядра невеликого, проте зіставного з контролем, розміру (табл. 3.4). Інтенсивність забарвлення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галоціанін</w:t>
      </w:r>
      <w:proofErr w:type="spellEnd"/>
      <w:r w:rsidRPr="00520861">
        <w:rPr>
          <w:rFonts w:eastAsia="Calibri"/>
          <w:sz w:val="28"/>
          <w:szCs w:val="28"/>
          <w:lang w:eastAsia="en-US"/>
        </w:rPr>
        <w:t xml:space="preserve">-хромовими галунами, порівняно з групою контролю, також знаходиться в межах статистичної похибки (табл. 3.4). </w:t>
      </w:r>
    </w:p>
    <w:p w14:paraId="7F7B31A0"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Оптична густина цитоплазми під час цієї гістохімічної реакції виявилася вірогідно більшою, ніж у групі контролю, що свідчить про вищий уміст РНК. Більшу </w:t>
      </w:r>
      <w:r w:rsidR="00736619" w:rsidRPr="00520861">
        <w:rPr>
          <w:rFonts w:eastAsia="Calibri"/>
          <w:sz w:val="28"/>
          <w:szCs w:val="28"/>
          <w:lang w:eastAsia="en-US"/>
        </w:rPr>
        <w:br/>
      </w:r>
      <w:r w:rsidRPr="00520861">
        <w:rPr>
          <w:rFonts w:eastAsia="Calibri"/>
          <w:sz w:val="28"/>
          <w:szCs w:val="28"/>
          <w:lang w:eastAsia="en-US"/>
        </w:rPr>
        <w:t xml:space="preserve">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разом із дещо більшим умістом РНК можна трактувати як гістологічну ознаку більшої продукції білків в слину (рис. 3.10</w:t>
      </w:r>
      <w:r w:rsidRPr="00520861">
        <w:rPr>
          <w:rFonts w:eastAsia="Calibri"/>
          <w:i/>
          <w:sz w:val="28"/>
          <w:szCs w:val="28"/>
          <w:lang w:eastAsia="en-US"/>
        </w:rPr>
        <w:t>г</w:t>
      </w:r>
      <w:r w:rsidRPr="00520861">
        <w:rPr>
          <w:rFonts w:eastAsia="Calibri"/>
          <w:sz w:val="28"/>
          <w:szCs w:val="28"/>
          <w:lang w:eastAsia="en-US"/>
        </w:rPr>
        <w:t xml:space="preserve">). </w:t>
      </w:r>
    </w:p>
    <w:p w14:paraId="342BC20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При постановці PAS-реакції в щурів групи 1 оптична густина матеріалу в центрі кінцевих відділів вірогідно не відрізняється від групи контролю (табл. 3.4). </w:t>
      </w:r>
    </w:p>
    <w:p w14:paraId="0DBE9C5F" w14:textId="77777777" w:rsidR="00CF641C" w:rsidRPr="00520861" w:rsidRDefault="00CF641C" w:rsidP="00292D2E">
      <w:pPr>
        <w:widowControl w:val="0"/>
        <w:spacing w:line="360" w:lineRule="auto"/>
        <w:ind w:firstLine="708"/>
        <w:jc w:val="both"/>
        <w:rPr>
          <w:rFonts w:eastAsia="Calibri"/>
          <w:spacing w:val="-6"/>
          <w:sz w:val="28"/>
          <w:szCs w:val="28"/>
          <w:lang w:eastAsia="en-US"/>
        </w:rPr>
      </w:pPr>
      <w:r w:rsidRPr="00520861">
        <w:rPr>
          <w:rFonts w:eastAsia="Calibri"/>
          <w:sz w:val="28"/>
          <w:szCs w:val="28"/>
          <w:lang w:eastAsia="en-US"/>
        </w:rPr>
        <w:t xml:space="preserve">У щурів групи 2 абсолютна маса привушних слинних залоз вірогідно більша, ніж у групі контролю. Має місце також невірогідне перевищення відносної маси слинних залоз (табл. 3.3). Підраховуючи кількість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на площі 750 (</w:t>
      </w: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sz w:val="28"/>
          <w:szCs w:val="28"/>
          <w:lang w:eastAsia="en-US"/>
        </w:rPr>
        <w:t xml:space="preserve"> мікропрепаратів, виявлено, що у тварин групи 2 у середньому спостерігається вірогідне зниження значення цього показника порівняно з контролем [42]. У слинних залозах щурів цієї групи епітелій низький, площа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різко збільшена (табл. 3.4). </w:t>
      </w:r>
      <w:r w:rsidRPr="00520861">
        <w:rPr>
          <w:rFonts w:eastAsia="Calibri"/>
          <w:spacing w:val="-6"/>
          <w:sz w:val="28"/>
          <w:szCs w:val="28"/>
          <w:lang w:eastAsia="en-US"/>
        </w:rPr>
        <w:t xml:space="preserve">Привертає увагу наявність клітин із дуже великими ядрами, котрі можна вважати </w:t>
      </w:r>
      <w:proofErr w:type="spellStart"/>
      <w:r w:rsidRPr="00520861">
        <w:rPr>
          <w:rFonts w:eastAsia="Calibri"/>
          <w:spacing w:val="-6"/>
          <w:sz w:val="28"/>
          <w:szCs w:val="28"/>
          <w:lang w:eastAsia="en-US"/>
        </w:rPr>
        <w:t>поліплоїдними</w:t>
      </w:r>
      <w:proofErr w:type="spellEnd"/>
      <w:r w:rsidRPr="00520861">
        <w:rPr>
          <w:rFonts w:eastAsia="Calibri"/>
          <w:spacing w:val="-6"/>
          <w:sz w:val="28"/>
          <w:szCs w:val="28"/>
          <w:lang w:eastAsia="en-US"/>
        </w:rPr>
        <w:t xml:space="preserve"> (рис. 3.11</w:t>
      </w:r>
      <w:r w:rsidRPr="00520861">
        <w:rPr>
          <w:rFonts w:eastAsia="Calibri"/>
          <w:i/>
          <w:spacing w:val="-6"/>
          <w:sz w:val="28"/>
          <w:szCs w:val="28"/>
          <w:lang w:eastAsia="en-US"/>
        </w:rPr>
        <w:t>а</w:t>
      </w:r>
      <w:r w:rsidRPr="00520861">
        <w:rPr>
          <w:rFonts w:eastAsia="Calibri"/>
          <w:spacing w:val="-6"/>
          <w:sz w:val="28"/>
          <w:szCs w:val="28"/>
          <w:lang w:eastAsia="en-US"/>
        </w:rPr>
        <w:t xml:space="preserve">). Їхня поява свідчить про підвищене МФ «навантаження» </w:t>
      </w:r>
      <w:proofErr w:type="spellStart"/>
      <w:r w:rsidRPr="00520861">
        <w:rPr>
          <w:rFonts w:eastAsia="Calibri"/>
          <w:spacing w:val="-6"/>
          <w:sz w:val="28"/>
          <w:szCs w:val="28"/>
          <w:lang w:eastAsia="en-US"/>
        </w:rPr>
        <w:t>сероцитів</w:t>
      </w:r>
      <w:proofErr w:type="spellEnd"/>
      <w:r w:rsidRPr="00520861">
        <w:rPr>
          <w:rFonts w:eastAsia="Calibri"/>
          <w:spacing w:val="-6"/>
          <w:sz w:val="28"/>
          <w:szCs w:val="28"/>
          <w:lang w:eastAsia="en-US"/>
        </w:rPr>
        <w:t xml:space="preserve">. Оптична густина </w:t>
      </w:r>
      <w:proofErr w:type="spellStart"/>
      <w:r w:rsidRPr="00520861">
        <w:rPr>
          <w:rFonts w:eastAsia="Calibri"/>
          <w:spacing w:val="-6"/>
          <w:sz w:val="28"/>
          <w:szCs w:val="28"/>
          <w:lang w:eastAsia="en-US"/>
        </w:rPr>
        <w:t>ядер</w:t>
      </w:r>
      <w:proofErr w:type="spellEnd"/>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сероцитів</w:t>
      </w:r>
      <w:proofErr w:type="spellEnd"/>
      <w:r w:rsidRPr="00520861">
        <w:rPr>
          <w:rFonts w:eastAsia="Calibri"/>
          <w:spacing w:val="-6"/>
          <w:sz w:val="28"/>
          <w:szCs w:val="28"/>
          <w:lang w:eastAsia="en-US"/>
        </w:rPr>
        <w:t xml:space="preserve"> (табл. 3.4) вірогідно більша за контрольну. </w:t>
      </w:r>
    </w:p>
    <w:p w14:paraId="6481B397" w14:textId="77777777" w:rsidR="00CF641C" w:rsidRPr="00520861" w:rsidRDefault="00CF641C" w:rsidP="00292D2E">
      <w:pPr>
        <w:widowControl w:val="0"/>
        <w:spacing w:line="360" w:lineRule="auto"/>
        <w:jc w:val="both"/>
        <w:rPr>
          <w:sz w:val="28"/>
          <w:szCs w:val="28"/>
          <w:lang w:eastAsia="en-US"/>
        </w:rPr>
      </w:pPr>
      <w:r w:rsidRPr="00520861">
        <w:rPr>
          <w:noProof/>
          <w:sz w:val="28"/>
          <w:szCs w:val="28"/>
          <w:lang w:val="ru-RU"/>
        </w:rPr>
        <w:lastRenderedPageBreak/>
        <w:drawing>
          <wp:inline distT="0" distB="0" distL="0" distR="0" wp14:anchorId="04FE14B9" wp14:editId="226DAAD7">
            <wp:extent cx="6411600" cy="5191200"/>
            <wp:effectExtent l="0" t="0" r="8255" b="9525"/>
            <wp:docPr id="31" name="Рисунок 31" descr="D:\тер стом\научн работа 1\дд друк\ на защиту\Маша\Рис\Рис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тер стом\научн работа 1\дд друк\ на защиту\Маша\Рис\Рис3.13.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411600" cy="5191200"/>
                    </a:xfrm>
                    <a:prstGeom prst="rect">
                      <a:avLst/>
                    </a:prstGeom>
                    <a:noFill/>
                    <a:ln>
                      <a:noFill/>
                    </a:ln>
                  </pic:spPr>
                </pic:pic>
              </a:graphicData>
            </a:graphic>
          </wp:inline>
        </w:drawing>
      </w:r>
    </w:p>
    <w:p w14:paraId="5ED381D8" w14:textId="77777777" w:rsidR="00CF641C" w:rsidRPr="00520861" w:rsidRDefault="00CF641C" w:rsidP="00292D2E">
      <w:pPr>
        <w:widowControl w:val="0"/>
        <w:spacing w:line="360" w:lineRule="auto"/>
        <w:ind w:firstLine="709"/>
        <w:jc w:val="center"/>
        <w:rPr>
          <w:sz w:val="28"/>
          <w:szCs w:val="28"/>
          <w:lang w:eastAsia="en-US"/>
        </w:rPr>
      </w:pPr>
      <w:r w:rsidRPr="00520861">
        <w:rPr>
          <w:sz w:val="28"/>
          <w:szCs w:val="28"/>
          <w:lang w:eastAsia="en-US"/>
        </w:rPr>
        <w:t>Рис. 3.11. Ділянка привушних слинних залоз тримісячних щурів:</w:t>
      </w:r>
    </w:p>
    <w:p w14:paraId="73291B13" w14:textId="77777777" w:rsidR="00CF641C" w:rsidRPr="00520861" w:rsidRDefault="00CF641C" w:rsidP="00292D2E">
      <w:pPr>
        <w:widowControl w:val="0"/>
        <w:spacing w:line="360" w:lineRule="auto"/>
        <w:ind w:firstLine="708"/>
        <w:jc w:val="center"/>
        <w:rPr>
          <w:sz w:val="28"/>
          <w:szCs w:val="28"/>
          <w:lang w:eastAsia="en-US"/>
        </w:rPr>
      </w:pPr>
      <w:r w:rsidRPr="00520861">
        <w:rPr>
          <w:i/>
          <w:sz w:val="28"/>
          <w:szCs w:val="28"/>
          <w:lang w:eastAsia="en-US"/>
        </w:rPr>
        <w:t>а</w:t>
      </w:r>
      <w:r w:rsidRPr="00520861">
        <w:rPr>
          <w:sz w:val="28"/>
          <w:szCs w:val="28"/>
          <w:lang w:eastAsia="en-US"/>
        </w:rPr>
        <w:t xml:space="preserve">) – групи 2 (ядра </w:t>
      </w:r>
      <w:proofErr w:type="spellStart"/>
      <w:r w:rsidRPr="00520861">
        <w:rPr>
          <w:sz w:val="28"/>
          <w:szCs w:val="28"/>
          <w:lang w:eastAsia="en-US"/>
        </w:rPr>
        <w:t>сероцитів</w:t>
      </w:r>
      <w:proofErr w:type="spellEnd"/>
      <w:r w:rsidRPr="00520861">
        <w:rPr>
          <w:sz w:val="28"/>
          <w:szCs w:val="28"/>
          <w:lang w:eastAsia="en-US"/>
        </w:rPr>
        <w:t xml:space="preserve"> крупніші, ніж в групі контролю, часто зустрічаються </w:t>
      </w:r>
      <w:proofErr w:type="spellStart"/>
      <w:r w:rsidRPr="00520861">
        <w:rPr>
          <w:sz w:val="28"/>
          <w:szCs w:val="28"/>
          <w:lang w:eastAsia="en-US"/>
        </w:rPr>
        <w:t>поліплоїдні</w:t>
      </w:r>
      <w:proofErr w:type="spellEnd"/>
      <w:r w:rsidRPr="00520861">
        <w:rPr>
          <w:sz w:val="28"/>
          <w:szCs w:val="28"/>
          <w:lang w:eastAsia="en-US"/>
        </w:rPr>
        <w:t xml:space="preserve"> ядра (∆));</w:t>
      </w:r>
    </w:p>
    <w:p w14:paraId="0B009F6B" w14:textId="77777777" w:rsidR="00CF641C" w:rsidRPr="00520861" w:rsidRDefault="00CF641C" w:rsidP="00292D2E">
      <w:pPr>
        <w:widowControl w:val="0"/>
        <w:spacing w:line="360" w:lineRule="auto"/>
        <w:ind w:firstLine="708"/>
        <w:jc w:val="center"/>
        <w:rPr>
          <w:sz w:val="28"/>
          <w:szCs w:val="28"/>
          <w:lang w:eastAsia="en-US"/>
        </w:rPr>
      </w:pPr>
      <w:r w:rsidRPr="00520861">
        <w:rPr>
          <w:i/>
          <w:sz w:val="28"/>
          <w:szCs w:val="28"/>
          <w:lang w:eastAsia="en-US"/>
        </w:rPr>
        <w:t>б</w:t>
      </w:r>
      <w:r w:rsidRPr="00520861">
        <w:rPr>
          <w:sz w:val="28"/>
          <w:szCs w:val="28"/>
          <w:lang w:eastAsia="en-US"/>
        </w:rPr>
        <w:t xml:space="preserve">) – групи 2 (зменшення ступеня </w:t>
      </w:r>
      <w:proofErr w:type="spellStart"/>
      <w:r w:rsidRPr="00520861">
        <w:rPr>
          <w:sz w:val="28"/>
          <w:szCs w:val="28"/>
          <w:lang w:eastAsia="en-US"/>
        </w:rPr>
        <w:t>фуксинофілії</w:t>
      </w:r>
      <w:proofErr w:type="spellEnd"/>
      <w:r w:rsidRPr="00520861">
        <w:rPr>
          <w:sz w:val="28"/>
          <w:szCs w:val="28"/>
          <w:lang w:eastAsia="en-US"/>
        </w:rPr>
        <w:t xml:space="preserve"> цитоплазми </w:t>
      </w:r>
      <w:proofErr w:type="spellStart"/>
      <w:r w:rsidRPr="00520861">
        <w:rPr>
          <w:sz w:val="28"/>
          <w:szCs w:val="28"/>
          <w:lang w:eastAsia="en-US"/>
        </w:rPr>
        <w:t>сероцитів</w:t>
      </w:r>
      <w:proofErr w:type="spellEnd"/>
      <w:r w:rsidRPr="00520861">
        <w:rPr>
          <w:sz w:val="28"/>
          <w:szCs w:val="28"/>
          <w:lang w:eastAsia="en-US"/>
        </w:rPr>
        <w:t xml:space="preserve"> та субстанції у просвіті кінцевих відділів);</w:t>
      </w:r>
    </w:p>
    <w:p w14:paraId="31F0748F" w14:textId="77777777" w:rsidR="00CF641C" w:rsidRPr="00520861" w:rsidRDefault="00CF641C" w:rsidP="00292D2E">
      <w:pPr>
        <w:widowControl w:val="0"/>
        <w:spacing w:line="360" w:lineRule="auto"/>
        <w:ind w:firstLine="708"/>
        <w:jc w:val="center"/>
        <w:rPr>
          <w:sz w:val="28"/>
          <w:szCs w:val="28"/>
          <w:lang w:eastAsia="en-US"/>
        </w:rPr>
      </w:pPr>
      <w:r w:rsidRPr="00520861">
        <w:rPr>
          <w:i/>
          <w:sz w:val="28"/>
          <w:szCs w:val="28"/>
          <w:lang w:eastAsia="en-US"/>
        </w:rPr>
        <w:t>в</w:t>
      </w:r>
      <w:r w:rsidRPr="00520861">
        <w:rPr>
          <w:sz w:val="28"/>
          <w:szCs w:val="28"/>
          <w:lang w:eastAsia="en-US"/>
        </w:rPr>
        <w:t xml:space="preserve">) – групи 3 (маленькі кінцеві відділи та значна </w:t>
      </w:r>
      <w:proofErr w:type="spellStart"/>
      <w:r w:rsidRPr="00520861">
        <w:rPr>
          <w:sz w:val="28"/>
          <w:szCs w:val="28"/>
          <w:lang w:eastAsia="en-US"/>
        </w:rPr>
        <w:t>фуксинофілія</w:t>
      </w:r>
      <w:proofErr w:type="spellEnd"/>
      <w:r w:rsidRPr="00520861">
        <w:rPr>
          <w:sz w:val="28"/>
          <w:szCs w:val="28"/>
          <w:lang w:eastAsia="en-US"/>
        </w:rPr>
        <w:t xml:space="preserve"> цитоплазми </w:t>
      </w:r>
      <w:proofErr w:type="spellStart"/>
      <w:r w:rsidRPr="00520861">
        <w:rPr>
          <w:sz w:val="28"/>
          <w:szCs w:val="28"/>
          <w:lang w:eastAsia="en-US"/>
        </w:rPr>
        <w:t>сероцитів</w:t>
      </w:r>
      <w:proofErr w:type="spellEnd"/>
      <w:r w:rsidRPr="00520861">
        <w:rPr>
          <w:sz w:val="28"/>
          <w:szCs w:val="28"/>
          <w:lang w:eastAsia="en-US"/>
        </w:rPr>
        <w:t xml:space="preserve"> і субстанції в просвіті кінцевих відділів);</w:t>
      </w:r>
    </w:p>
    <w:p w14:paraId="70B45DA0" w14:textId="77777777" w:rsidR="00CF641C" w:rsidRPr="00520861" w:rsidRDefault="00CF641C" w:rsidP="00292D2E">
      <w:pPr>
        <w:widowControl w:val="0"/>
        <w:spacing w:line="360" w:lineRule="auto"/>
        <w:ind w:firstLine="708"/>
        <w:jc w:val="center"/>
        <w:rPr>
          <w:sz w:val="28"/>
          <w:szCs w:val="28"/>
          <w:lang w:eastAsia="en-US"/>
        </w:rPr>
      </w:pPr>
      <w:r w:rsidRPr="00520861">
        <w:rPr>
          <w:i/>
          <w:sz w:val="28"/>
          <w:szCs w:val="28"/>
          <w:lang w:eastAsia="en-US"/>
        </w:rPr>
        <w:t>г</w:t>
      </w:r>
      <w:r w:rsidRPr="00520861">
        <w:rPr>
          <w:sz w:val="28"/>
          <w:szCs w:val="28"/>
          <w:lang w:eastAsia="en-US"/>
        </w:rPr>
        <w:t xml:space="preserve">) – групи 4 (кінцеві відділи формуються малою кількістю серицитів). </w:t>
      </w:r>
      <w:r w:rsidRPr="00520861">
        <w:rPr>
          <w:spacing w:val="-6"/>
          <w:sz w:val="28"/>
          <w:szCs w:val="28"/>
          <w:lang w:eastAsia="en-US"/>
        </w:rPr>
        <w:t xml:space="preserve">Забарвлення: </w:t>
      </w:r>
      <w:r w:rsidRPr="00520861">
        <w:rPr>
          <w:i/>
          <w:spacing w:val="-6"/>
          <w:sz w:val="28"/>
          <w:szCs w:val="28"/>
          <w:lang w:eastAsia="en-US"/>
        </w:rPr>
        <w:t>а</w:t>
      </w:r>
      <w:r w:rsidRPr="00520861">
        <w:rPr>
          <w:spacing w:val="-6"/>
          <w:sz w:val="28"/>
          <w:szCs w:val="28"/>
          <w:lang w:eastAsia="en-US"/>
        </w:rPr>
        <w:t xml:space="preserve">) – гематоксиліном та еозином; </w:t>
      </w:r>
      <w:r w:rsidRPr="00520861">
        <w:rPr>
          <w:i/>
          <w:spacing w:val="-6"/>
          <w:sz w:val="28"/>
          <w:szCs w:val="28"/>
          <w:lang w:eastAsia="en-US"/>
        </w:rPr>
        <w:t>б</w:t>
      </w:r>
      <w:r w:rsidRPr="00520861">
        <w:rPr>
          <w:spacing w:val="-6"/>
          <w:sz w:val="28"/>
          <w:szCs w:val="28"/>
          <w:lang w:eastAsia="en-US"/>
        </w:rPr>
        <w:t xml:space="preserve">), </w:t>
      </w:r>
      <w:r w:rsidRPr="00520861">
        <w:rPr>
          <w:i/>
          <w:spacing w:val="-6"/>
          <w:sz w:val="28"/>
          <w:szCs w:val="28"/>
          <w:lang w:eastAsia="en-US"/>
        </w:rPr>
        <w:t>в</w:t>
      </w:r>
      <w:r w:rsidRPr="00520861">
        <w:rPr>
          <w:spacing w:val="-6"/>
          <w:sz w:val="28"/>
          <w:szCs w:val="28"/>
          <w:lang w:eastAsia="en-US"/>
        </w:rPr>
        <w:t xml:space="preserve">), </w:t>
      </w:r>
      <w:r w:rsidRPr="00520861">
        <w:rPr>
          <w:i/>
          <w:spacing w:val="-6"/>
          <w:sz w:val="28"/>
          <w:szCs w:val="28"/>
          <w:lang w:eastAsia="en-US"/>
        </w:rPr>
        <w:t>г</w:t>
      </w:r>
      <w:r w:rsidRPr="00520861">
        <w:rPr>
          <w:spacing w:val="-6"/>
          <w:sz w:val="28"/>
          <w:szCs w:val="28"/>
          <w:lang w:eastAsia="en-US"/>
        </w:rPr>
        <w:t xml:space="preserve">) – </w:t>
      </w:r>
      <w:r w:rsidRPr="00520861">
        <w:rPr>
          <w:spacing w:val="-6"/>
          <w:sz w:val="28"/>
          <w:szCs w:val="28"/>
          <w:lang w:val="en-US" w:eastAsia="en-US"/>
        </w:rPr>
        <w:t>PAS</w:t>
      </w:r>
      <w:r w:rsidRPr="00520861">
        <w:rPr>
          <w:spacing w:val="-6"/>
          <w:sz w:val="28"/>
          <w:szCs w:val="28"/>
          <w:lang w:eastAsia="en-US"/>
        </w:rPr>
        <w:t xml:space="preserve">–реакція. Збільшення </w:t>
      </w:r>
      <w:r w:rsidRPr="00520861">
        <w:rPr>
          <w:spacing w:val="-6"/>
          <w:sz w:val="28"/>
          <w:szCs w:val="28"/>
          <w:lang w:val="ru-RU" w:eastAsia="en-US"/>
        </w:rPr>
        <w:sym w:font="Symbol" w:char="F0B4"/>
      </w:r>
      <w:r w:rsidRPr="00520861">
        <w:rPr>
          <w:spacing w:val="-6"/>
          <w:sz w:val="28"/>
          <w:szCs w:val="28"/>
          <w:lang w:eastAsia="en-US"/>
        </w:rPr>
        <w:t>400.</w:t>
      </w:r>
    </w:p>
    <w:p w14:paraId="5278AE7F" w14:textId="77777777" w:rsidR="00CF641C" w:rsidRPr="00520861" w:rsidRDefault="00CF641C" w:rsidP="00292D2E">
      <w:pPr>
        <w:widowControl w:val="0"/>
        <w:spacing w:line="360" w:lineRule="auto"/>
        <w:jc w:val="center"/>
        <w:rPr>
          <w:rFonts w:eastAsia="Calibri"/>
          <w:sz w:val="28"/>
          <w:szCs w:val="28"/>
          <w:lang w:eastAsia="en-US"/>
        </w:rPr>
      </w:pPr>
    </w:p>
    <w:p w14:paraId="7ACB233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Такий самий зсув (у бік збільшення) спостерігався при визначенні оптичної густини цитоплазми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що підтверджує висновок про МФ активність окремого </w:t>
      </w:r>
      <w:proofErr w:type="spellStart"/>
      <w:r w:rsidRPr="00520861">
        <w:rPr>
          <w:rFonts w:eastAsia="Calibri"/>
          <w:sz w:val="28"/>
          <w:szCs w:val="28"/>
          <w:lang w:eastAsia="en-US"/>
        </w:rPr>
        <w:t>сероцита</w:t>
      </w:r>
      <w:proofErr w:type="spellEnd"/>
      <w:r w:rsidRPr="00520861">
        <w:rPr>
          <w:rFonts w:eastAsia="Calibri"/>
          <w:sz w:val="28"/>
          <w:szCs w:val="28"/>
          <w:lang w:eastAsia="en-US"/>
        </w:rPr>
        <w:t xml:space="preserve">. </w:t>
      </w:r>
    </w:p>
    <w:p w14:paraId="5E12D017"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При постановці PAS–реакції в щурів цієї групи </w:t>
      </w:r>
      <w:proofErr w:type="spellStart"/>
      <w:r w:rsidRPr="00520861">
        <w:rPr>
          <w:rFonts w:eastAsia="Calibri"/>
          <w:sz w:val="28"/>
          <w:szCs w:val="28"/>
          <w:lang w:eastAsia="en-US"/>
        </w:rPr>
        <w:t>фуксинофілія</w:t>
      </w:r>
      <w:proofErr w:type="spellEnd"/>
      <w:r w:rsidRPr="00520861">
        <w:rPr>
          <w:rFonts w:eastAsia="Calibri"/>
          <w:sz w:val="28"/>
          <w:szCs w:val="28"/>
          <w:lang w:eastAsia="en-US"/>
        </w:rPr>
        <w:t xml:space="preserve"> виявляє «пінистість» умісту просвітів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Оптична густина вмісту просвітів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під час PAS–реакції (рис. 3.11</w:t>
      </w:r>
      <w:r w:rsidRPr="00520861">
        <w:rPr>
          <w:rFonts w:eastAsia="Calibri"/>
          <w:i/>
          <w:sz w:val="28"/>
          <w:szCs w:val="28"/>
          <w:lang w:eastAsia="en-US"/>
        </w:rPr>
        <w:t>б</w:t>
      </w:r>
      <w:r w:rsidRPr="00520861">
        <w:rPr>
          <w:rFonts w:eastAsia="Calibri"/>
          <w:sz w:val="28"/>
          <w:szCs w:val="28"/>
          <w:lang w:eastAsia="en-US"/>
        </w:rPr>
        <w:t xml:space="preserve">) виявилася вірогідно меншою, ніж у контролі. Отже, можна припустити рідшу консистенцію слини через менший уміст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w:t>
      </w:r>
    </w:p>
    <w:p w14:paraId="12C5FDC4"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щурів групи 3 відносна маса слинних залоз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збільшена порівняно з контролем (табл. 3.3). Мікроскопічна картина слинних залоз щурів групи 3 відрізняються від контролю тим, що просвіти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заповнені більш щільним умістом, картина «пінистості» відсутня, кінцеві відділи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часто не мають просвітів – «змикаються» [42].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ділянки розміром з </w:t>
      </w:r>
      <w:proofErr w:type="spellStart"/>
      <w:r w:rsidRPr="00520861">
        <w:rPr>
          <w:rFonts w:eastAsia="Calibri"/>
          <w:sz w:val="28"/>
          <w:szCs w:val="28"/>
          <w:lang w:eastAsia="en-US"/>
        </w:rPr>
        <w:t>ацинус</w:t>
      </w:r>
      <w:proofErr w:type="spellEnd"/>
      <w:r w:rsidRPr="00520861">
        <w:rPr>
          <w:rFonts w:eastAsia="Calibri"/>
          <w:sz w:val="28"/>
          <w:szCs w:val="28"/>
          <w:lang w:eastAsia="en-US"/>
        </w:rPr>
        <w:t xml:space="preserve">, у яких епітелій загинув, а фрагменти його розкладу спостерігаються у просвіті цих ділянок. Медіанна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на площі 750 (</w:t>
      </w: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bCs/>
          <w:sz w:val="28"/>
          <w:szCs w:val="28"/>
          <w:lang w:eastAsia="en-US"/>
        </w:rPr>
        <w:t>)</w:t>
      </w:r>
      <w:r w:rsidRPr="00520861">
        <w:rPr>
          <w:rFonts w:eastAsia="Calibri"/>
          <w:sz w:val="28"/>
          <w:szCs w:val="28"/>
          <w:lang w:eastAsia="en-US"/>
        </w:rPr>
        <w:t xml:space="preserve"> мікропрепаратів – зіставна з такою у групі контролю (табл. 3.3). Окремі </w:t>
      </w:r>
      <w:proofErr w:type="spellStart"/>
      <w:r w:rsidRPr="00520861">
        <w:rPr>
          <w:rFonts w:eastAsia="Calibri"/>
          <w:sz w:val="28"/>
          <w:szCs w:val="28"/>
          <w:lang w:eastAsia="en-US"/>
        </w:rPr>
        <w:t>сероцити</w:t>
      </w:r>
      <w:proofErr w:type="spellEnd"/>
      <w:r w:rsidRPr="00520861">
        <w:rPr>
          <w:rFonts w:eastAsia="Calibri"/>
          <w:sz w:val="28"/>
          <w:szCs w:val="28"/>
          <w:lang w:eastAsia="en-US"/>
        </w:rPr>
        <w:t xml:space="preserve"> мають дуже великі ядра, що, очевидно, демонструє поліплоїдію. </w:t>
      </w:r>
      <w:r w:rsidRPr="00520861">
        <w:rPr>
          <w:rFonts w:eastAsia="Calibri"/>
          <w:bCs/>
          <w:sz w:val="28"/>
          <w:szCs w:val="28"/>
          <w:lang w:eastAsia="en-US"/>
        </w:rPr>
        <w:t xml:space="preserve">Медіанні значення розмірів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слинних залоз щурів групи 3 вірогідно більші за такі у тварин групи контролю (табл. 3.4). </w:t>
      </w:r>
    </w:p>
    <w:p w14:paraId="50A501E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Виявлено, що у тварин цієї групи в мікропрепаратах забарвлених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оптична густина цитоплазми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вірогідно менша у порівнянні з контролем, тобто містить РНК зменшеної щільності розміщення (табл. 3.4). </w:t>
      </w:r>
      <w:r w:rsidRPr="00520861">
        <w:rPr>
          <w:rFonts w:eastAsia="Calibri"/>
          <w:spacing w:val="-4"/>
          <w:sz w:val="28"/>
          <w:szCs w:val="28"/>
          <w:lang w:eastAsia="en-US"/>
        </w:rPr>
        <w:t xml:space="preserve">Оптична густина </w:t>
      </w:r>
      <w:proofErr w:type="spellStart"/>
      <w:r w:rsidRPr="00520861">
        <w:rPr>
          <w:rFonts w:eastAsia="Calibri"/>
          <w:spacing w:val="-4"/>
          <w:sz w:val="28"/>
          <w:szCs w:val="28"/>
          <w:lang w:eastAsia="en-US"/>
        </w:rPr>
        <w:t>ядер</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сероцитів</w:t>
      </w:r>
      <w:proofErr w:type="spellEnd"/>
      <w:r w:rsidRPr="00520861">
        <w:rPr>
          <w:rFonts w:eastAsia="Calibri"/>
          <w:spacing w:val="-4"/>
          <w:sz w:val="28"/>
          <w:szCs w:val="28"/>
          <w:lang w:eastAsia="en-US"/>
        </w:rPr>
        <w:t xml:space="preserve"> також виявилася вірогідно меншою, тобто ядра менш </w:t>
      </w:r>
      <w:proofErr w:type="spellStart"/>
      <w:r w:rsidRPr="00520861">
        <w:rPr>
          <w:rFonts w:eastAsia="Calibri"/>
          <w:spacing w:val="-4"/>
          <w:sz w:val="28"/>
          <w:szCs w:val="28"/>
          <w:lang w:eastAsia="en-US"/>
        </w:rPr>
        <w:t>гетерохромні</w:t>
      </w:r>
      <w:proofErr w:type="spellEnd"/>
      <w:r w:rsidRPr="00520861">
        <w:rPr>
          <w:rFonts w:eastAsia="Calibri"/>
          <w:sz w:val="28"/>
          <w:szCs w:val="28"/>
          <w:lang w:eastAsia="en-US"/>
        </w:rPr>
        <w:t>.</w:t>
      </w:r>
    </w:p>
    <w:p w14:paraId="6546A92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При постановці PAS–реакції зафіксована інтенсивна </w:t>
      </w:r>
      <w:proofErr w:type="spellStart"/>
      <w:r w:rsidRPr="00520861">
        <w:rPr>
          <w:rFonts w:eastAsia="Calibri"/>
          <w:sz w:val="28"/>
          <w:szCs w:val="28"/>
          <w:lang w:eastAsia="en-US"/>
        </w:rPr>
        <w:t>фуксинофілія</w:t>
      </w:r>
      <w:proofErr w:type="spellEnd"/>
      <w:r w:rsidRPr="00520861">
        <w:rPr>
          <w:rFonts w:eastAsia="Calibri"/>
          <w:sz w:val="28"/>
          <w:szCs w:val="28"/>
          <w:lang w:eastAsia="en-US"/>
        </w:rPr>
        <w:t xml:space="preserve"> як навколо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так і в апікальній частині кінцевих відділів (рис. 3.11</w:t>
      </w:r>
      <w:r w:rsidRPr="00520861">
        <w:rPr>
          <w:rFonts w:eastAsia="Calibri"/>
          <w:i/>
          <w:sz w:val="28"/>
          <w:szCs w:val="28"/>
          <w:lang w:eastAsia="en-US"/>
        </w:rPr>
        <w:t>в</w:t>
      </w:r>
      <w:r w:rsidRPr="00520861">
        <w:rPr>
          <w:rFonts w:eastAsia="Calibri"/>
          <w:sz w:val="28"/>
          <w:szCs w:val="28"/>
          <w:lang w:eastAsia="en-US"/>
        </w:rPr>
        <w:t xml:space="preserve">). Кінцеві відділи здебільшого заповнені дрібнозернистим умістом на гомогенному </w:t>
      </w:r>
      <w:r w:rsidR="00645ADA" w:rsidRPr="00520861">
        <w:rPr>
          <w:rFonts w:eastAsia="Calibri"/>
          <w:sz w:val="28"/>
          <w:szCs w:val="28"/>
          <w:lang w:eastAsia="en-US"/>
        </w:rPr>
        <w:br/>
      </w:r>
      <w:proofErr w:type="spellStart"/>
      <w:r w:rsidRPr="00520861">
        <w:rPr>
          <w:rFonts w:eastAsia="Calibri"/>
          <w:sz w:val="28"/>
          <w:szCs w:val="28"/>
          <w:lang w:eastAsia="en-US"/>
        </w:rPr>
        <w:t>фуксинофільному</w:t>
      </w:r>
      <w:proofErr w:type="spellEnd"/>
      <w:r w:rsidRPr="00520861">
        <w:rPr>
          <w:rFonts w:eastAsia="Calibri"/>
          <w:sz w:val="28"/>
          <w:szCs w:val="28"/>
          <w:lang w:eastAsia="en-US"/>
        </w:rPr>
        <w:t xml:space="preserve"> тлі. Оптична густина рідини у просвітах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під час цієї реакції також вірогідно більша (майже в 1,6 рази), ніж у групі контролю (табл. 3.4), що свідчить про збільшений уміст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 xml:space="preserve"> у слині. </w:t>
      </w:r>
    </w:p>
    <w:p w14:paraId="62D3F36A"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щурів групи 4 абсолютна маса привушних слинних залоз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збільшена, а оцінка їхньої середньої відносної маси порівняно з масою слинних залоз тварин групи контролю виявляється вірогідно (у понад 2 рази) збільшеною (табл. 3.3). Кількість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на площі 750 (</w:t>
      </w: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bCs/>
          <w:sz w:val="28"/>
          <w:szCs w:val="28"/>
          <w:lang w:eastAsia="en-US"/>
        </w:rPr>
        <w:t>)</w:t>
      </w:r>
      <w:r w:rsidRPr="00520861">
        <w:rPr>
          <w:rFonts w:eastAsia="Calibri"/>
          <w:sz w:val="28"/>
          <w:szCs w:val="28"/>
          <w:lang w:eastAsia="en-US"/>
        </w:rPr>
        <w:t xml:space="preserve"> мікропрепаратів щодо контролю (табл. 3.3)</w:t>
      </w:r>
      <w:r w:rsidRPr="00520861">
        <w:rPr>
          <w:rFonts w:eastAsia="Calibri"/>
          <w:sz w:val="28"/>
          <w:szCs w:val="28"/>
          <w:lang w:val="ru-RU" w:eastAsia="en-US"/>
        </w:rPr>
        <w:t xml:space="preserve"> </w:t>
      </w:r>
      <w:r w:rsidRPr="00520861">
        <w:rPr>
          <w:rFonts w:eastAsia="Calibri"/>
          <w:sz w:val="28"/>
          <w:szCs w:val="28"/>
          <w:lang w:eastAsia="en-US"/>
        </w:rPr>
        <w:t xml:space="preserve">була в межах статистичної похибки [42]. У препаратах епітелій низький, слина піниста, але більш </w:t>
      </w:r>
      <w:proofErr w:type="spellStart"/>
      <w:r w:rsidRPr="00520861">
        <w:rPr>
          <w:rFonts w:eastAsia="Calibri"/>
          <w:sz w:val="28"/>
          <w:szCs w:val="28"/>
          <w:lang w:eastAsia="en-US"/>
        </w:rPr>
        <w:t>дрібнопухирчаста</w:t>
      </w:r>
      <w:proofErr w:type="spellEnd"/>
      <w:r w:rsidRPr="00520861">
        <w:rPr>
          <w:rFonts w:eastAsia="Calibri"/>
          <w:sz w:val="28"/>
          <w:szCs w:val="28"/>
          <w:lang w:eastAsia="en-US"/>
        </w:rPr>
        <w:t xml:space="preserve">. У деяких тварин </w:t>
      </w:r>
      <w:proofErr w:type="spellStart"/>
      <w:r w:rsidRPr="00520861">
        <w:rPr>
          <w:rFonts w:eastAsia="Calibri"/>
          <w:sz w:val="28"/>
          <w:szCs w:val="28"/>
          <w:lang w:eastAsia="en-US"/>
        </w:rPr>
        <w:t>ацинуси</w:t>
      </w:r>
      <w:proofErr w:type="spellEnd"/>
      <w:r w:rsidRPr="00520861">
        <w:rPr>
          <w:rFonts w:eastAsia="Calibri"/>
          <w:sz w:val="28"/>
          <w:szCs w:val="28"/>
          <w:lang w:eastAsia="en-US"/>
        </w:rPr>
        <w:t xml:space="preserve"> мають дуже </w:t>
      </w:r>
      <w:r w:rsidRPr="00520861">
        <w:rPr>
          <w:rFonts w:eastAsia="Calibri"/>
          <w:sz w:val="28"/>
          <w:szCs w:val="28"/>
          <w:lang w:eastAsia="en-US"/>
        </w:rPr>
        <w:lastRenderedPageBreak/>
        <w:t>малий розмір (рис. 3.11</w:t>
      </w:r>
      <w:r w:rsidRPr="00520861">
        <w:rPr>
          <w:rFonts w:eastAsia="Calibri"/>
          <w:i/>
          <w:sz w:val="28"/>
          <w:szCs w:val="28"/>
          <w:lang w:eastAsia="en-US"/>
        </w:rPr>
        <w:t>г</w:t>
      </w:r>
      <w:r w:rsidRPr="00520861">
        <w:rPr>
          <w:rFonts w:eastAsia="Calibri"/>
          <w:sz w:val="28"/>
          <w:szCs w:val="28"/>
          <w:lang w:eastAsia="en-US"/>
        </w:rPr>
        <w:t xml:space="preserve">). Площа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вірогідно більша, ніж у контролі (табл. 3.4). Оптична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при забарвленні на нуклеїнові кислоти вірогідно менша у порівнянні з контролем. </w:t>
      </w:r>
      <w:proofErr w:type="spellStart"/>
      <w:r w:rsidRPr="00520861">
        <w:rPr>
          <w:rFonts w:eastAsia="Calibri"/>
          <w:sz w:val="28"/>
          <w:szCs w:val="28"/>
          <w:lang w:eastAsia="en-US"/>
        </w:rPr>
        <w:t>Малооб’ємна</w:t>
      </w:r>
      <w:proofErr w:type="spellEnd"/>
      <w:r w:rsidRPr="00520861">
        <w:rPr>
          <w:rFonts w:eastAsia="Calibri"/>
          <w:sz w:val="28"/>
          <w:szCs w:val="28"/>
          <w:lang w:eastAsia="en-US"/>
        </w:rPr>
        <w:t xml:space="preserve"> цитоплазма має оптичну густину </w:t>
      </w:r>
      <w:r w:rsidR="00645ADA" w:rsidRPr="00520861">
        <w:rPr>
          <w:rFonts w:eastAsia="Calibri"/>
          <w:sz w:val="28"/>
          <w:szCs w:val="28"/>
          <w:lang w:eastAsia="en-US"/>
        </w:rPr>
        <w:br/>
      </w:r>
      <w:r w:rsidRPr="00520861">
        <w:rPr>
          <w:rFonts w:eastAsia="Calibri"/>
          <w:sz w:val="28"/>
          <w:szCs w:val="28"/>
          <w:lang w:eastAsia="en-US"/>
        </w:rPr>
        <w:t xml:space="preserve">вірогідно меншу за таку у групі контролю. </w:t>
      </w:r>
    </w:p>
    <w:p w14:paraId="782E16D3"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просвітах кінцевих відділів накопичується слина, ступінь </w:t>
      </w:r>
      <w:proofErr w:type="spellStart"/>
      <w:r w:rsidRPr="00520861">
        <w:rPr>
          <w:rFonts w:eastAsia="Calibri"/>
          <w:sz w:val="28"/>
          <w:szCs w:val="28"/>
          <w:lang w:eastAsia="en-US"/>
        </w:rPr>
        <w:t>фуксинофілії</w:t>
      </w:r>
      <w:proofErr w:type="spellEnd"/>
      <w:r w:rsidRPr="00520861">
        <w:rPr>
          <w:rFonts w:eastAsia="Calibri"/>
          <w:sz w:val="28"/>
          <w:szCs w:val="28"/>
          <w:lang w:eastAsia="en-US"/>
        </w:rPr>
        <w:t xml:space="preserve"> якої вірогідно вищий, ніж у групі контролю (табл. 3.4). </w:t>
      </w:r>
    </w:p>
    <w:p w14:paraId="1B2E9D62" w14:textId="77777777" w:rsidR="00CF641C" w:rsidRPr="00520861" w:rsidRDefault="00CF641C" w:rsidP="00292D2E">
      <w:pPr>
        <w:widowControl w:val="0"/>
        <w:spacing w:line="360" w:lineRule="auto"/>
        <w:ind w:right="-1" w:firstLine="851"/>
        <w:jc w:val="both"/>
        <w:rPr>
          <w:rFonts w:eastAsia="Calibri"/>
          <w:bCs/>
          <w:sz w:val="28"/>
          <w:szCs w:val="28"/>
        </w:rPr>
      </w:pPr>
      <w:r w:rsidRPr="00520861">
        <w:rPr>
          <w:rFonts w:eastAsia="Calibri"/>
          <w:bCs/>
          <w:sz w:val="28"/>
          <w:szCs w:val="28"/>
        </w:rPr>
        <w:t xml:space="preserve">Підсумовуючи одержані відомості, можна дійти висновку, що тварини групи 2 мають рідшу консистенцію слини через менший уміст глюкопротеїдів, а в слинних залозах тварин груп 3 та 4 продукується слина із підвищеним умістом </w:t>
      </w:r>
      <w:proofErr w:type="spellStart"/>
      <w:r w:rsidRPr="00520861">
        <w:rPr>
          <w:rFonts w:eastAsia="Calibri"/>
          <w:bCs/>
          <w:sz w:val="28"/>
          <w:szCs w:val="28"/>
        </w:rPr>
        <w:t>глікопротеїдів</w:t>
      </w:r>
      <w:proofErr w:type="spellEnd"/>
      <w:r w:rsidRPr="00520861">
        <w:rPr>
          <w:rFonts w:eastAsia="Calibri"/>
          <w:bCs/>
          <w:sz w:val="28"/>
          <w:szCs w:val="28"/>
        </w:rPr>
        <w:t xml:space="preserve">, а не білків. </w:t>
      </w:r>
    </w:p>
    <w:p w14:paraId="66586E79" w14:textId="77777777" w:rsidR="00CF641C" w:rsidRPr="00520861" w:rsidRDefault="00CF641C" w:rsidP="00292D2E">
      <w:pPr>
        <w:widowControl w:val="0"/>
        <w:spacing w:line="360" w:lineRule="auto"/>
        <w:ind w:firstLine="851"/>
        <w:jc w:val="both"/>
        <w:rPr>
          <w:rFonts w:eastAsia="Calibri"/>
          <w:b/>
          <w:bCs/>
          <w:sz w:val="28"/>
          <w:szCs w:val="28"/>
          <w:lang w:eastAsia="en-US"/>
        </w:rPr>
      </w:pPr>
      <w:r w:rsidRPr="00520861">
        <w:rPr>
          <w:rFonts w:eastAsia="Calibri"/>
          <w:b/>
          <w:sz w:val="28"/>
          <w:szCs w:val="28"/>
          <w:lang w:eastAsia="en-US"/>
        </w:rPr>
        <w:t xml:space="preserve">3.3.2. </w:t>
      </w:r>
      <w:r w:rsidRPr="00520861">
        <w:rPr>
          <w:rFonts w:eastAsia="Calibri"/>
          <w:b/>
          <w:bCs/>
          <w:sz w:val="28"/>
          <w:szCs w:val="28"/>
          <w:lang w:eastAsia="en-US"/>
        </w:rPr>
        <w:t xml:space="preserve">Стан </w:t>
      </w:r>
      <w:r w:rsidRPr="00520861">
        <w:rPr>
          <w:rFonts w:eastAsiaTheme="minorHAnsi"/>
          <w:b/>
          <w:sz w:val="28"/>
          <w:szCs w:val="28"/>
          <w:lang w:eastAsia="en-US"/>
        </w:rPr>
        <w:t>пульпи та</w:t>
      </w:r>
      <w:r w:rsidRPr="00520861">
        <w:rPr>
          <w:rFonts w:eastAsia="Calibri"/>
          <w:b/>
          <w:bCs/>
          <w:sz w:val="28"/>
          <w:szCs w:val="28"/>
          <w:lang w:eastAsia="en-US"/>
        </w:rPr>
        <w:t xml:space="preserve"> </w:t>
      </w:r>
      <w:r w:rsidRPr="00520861">
        <w:rPr>
          <w:rFonts w:eastAsiaTheme="minorHAnsi"/>
          <w:b/>
          <w:sz w:val="28"/>
          <w:szCs w:val="28"/>
          <w:lang w:eastAsia="en-US"/>
        </w:rPr>
        <w:t>твердих тканин жувальних зубів</w:t>
      </w:r>
      <w:r w:rsidRPr="00520861">
        <w:rPr>
          <w:rFonts w:eastAsia="Calibri"/>
          <w:b/>
          <w:bCs/>
          <w:sz w:val="28"/>
          <w:szCs w:val="28"/>
          <w:lang w:eastAsia="en-US"/>
        </w:rPr>
        <w:t xml:space="preserve">. </w:t>
      </w:r>
      <w:r w:rsidRPr="00520861">
        <w:rPr>
          <w:rFonts w:eastAsia="Calibri"/>
          <w:sz w:val="28"/>
          <w:szCs w:val="28"/>
          <w:lang w:eastAsia="en-US"/>
        </w:rPr>
        <w:t xml:space="preserve">Пульпа молярів у 3-місячних тварин групи контролю багатоклітинна по периферії: спостерігаються тіла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які розташовані в декілька рядів (рис. 3.12</w:t>
      </w:r>
      <w:r w:rsidRPr="00520861">
        <w:rPr>
          <w:rFonts w:eastAsia="Calibri"/>
          <w:i/>
          <w:sz w:val="28"/>
          <w:szCs w:val="28"/>
          <w:lang w:eastAsia="en-US"/>
        </w:rPr>
        <w:t>а</w:t>
      </w:r>
      <w:r w:rsidRPr="00520861">
        <w:rPr>
          <w:rFonts w:eastAsia="Calibri"/>
          <w:sz w:val="28"/>
          <w:szCs w:val="28"/>
          <w:lang w:eastAsia="en-US"/>
        </w:rPr>
        <w:t xml:space="preserve">). </w:t>
      </w:r>
    </w:p>
    <w:p w14:paraId="699308CC" w14:textId="77777777" w:rsidR="00CF641C" w:rsidRPr="00520861" w:rsidRDefault="00CF641C" w:rsidP="00292D2E">
      <w:pPr>
        <w:widowControl w:val="0"/>
        <w:spacing w:line="360" w:lineRule="auto"/>
        <w:ind w:firstLine="708"/>
        <w:contextualSpacing/>
        <w:jc w:val="both"/>
        <w:rPr>
          <w:rFonts w:eastAsia="Calibri"/>
          <w:color w:val="000000" w:themeColor="text1"/>
          <w:spacing w:val="-1"/>
          <w:sz w:val="28"/>
          <w:szCs w:val="28"/>
          <w:lang w:eastAsia="en-US"/>
        </w:rPr>
      </w:pPr>
      <w:r w:rsidRPr="00520861">
        <w:rPr>
          <w:rFonts w:eastAsia="Calibri"/>
          <w:spacing w:val="-1"/>
          <w:sz w:val="28"/>
          <w:szCs w:val="28"/>
          <w:lang w:eastAsia="en-US"/>
        </w:rPr>
        <w:t>У 3-місячних тварин групи 1 стан пульпи подібний до такого у контрольних тварин</w:t>
      </w:r>
      <w:r w:rsidRPr="00520861">
        <w:rPr>
          <w:rFonts w:eastAsia="Calibri"/>
          <w:spacing w:val="-1"/>
          <w:sz w:val="28"/>
          <w:szCs w:val="28"/>
          <w:lang w:val="ru-RU" w:eastAsia="en-US"/>
        </w:rPr>
        <w:t xml:space="preserve"> [60]</w:t>
      </w:r>
      <w:r w:rsidRPr="00520861">
        <w:rPr>
          <w:rFonts w:eastAsia="Calibri"/>
          <w:spacing w:val="-1"/>
          <w:sz w:val="28"/>
          <w:szCs w:val="28"/>
          <w:lang w:eastAsia="en-US"/>
        </w:rPr>
        <w:t xml:space="preserve">. Розміри тіл </w:t>
      </w:r>
      <w:proofErr w:type="spellStart"/>
      <w:r w:rsidRPr="00520861">
        <w:rPr>
          <w:rFonts w:eastAsia="Calibri"/>
          <w:spacing w:val="-1"/>
          <w:sz w:val="28"/>
          <w:szCs w:val="28"/>
          <w:lang w:eastAsia="en-US"/>
        </w:rPr>
        <w:t>одонтобластів</w:t>
      </w:r>
      <w:proofErr w:type="spellEnd"/>
      <w:r w:rsidRPr="00520861">
        <w:rPr>
          <w:rFonts w:eastAsia="Calibri"/>
          <w:spacing w:val="-1"/>
          <w:sz w:val="28"/>
          <w:szCs w:val="28"/>
          <w:lang w:eastAsia="en-US"/>
        </w:rPr>
        <w:t xml:space="preserve"> у тримісячних тварин групи 1 є дещо </w:t>
      </w:r>
      <w:r w:rsidRPr="00520861">
        <w:rPr>
          <w:rFonts w:eastAsia="Calibri"/>
          <w:color w:val="000000" w:themeColor="text1"/>
          <w:spacing w:val="-1"/>
          <w:sz w:val="28"/>
          <w:szCs w:val="28"/>
          <w:lang w:eastAsia="en-US"/>
        </w:rPr>
        <w:t xml:space="preserve">меншими за контрольні (табл. 3.5), показники густини цитоплазми відростків </w:t>
      </w:r>
      <w:proofErr w:type="spellStart"/>
      <w:r w:rsidRPr="00520861">
        <w:rPr>
          <w:rFonts w:eastAsia="Calibri"/>
          <w:color w:val="000000" w:themeColor="text1"/>
          <w:spacing w:val="-1"/>
          <w:sz w:val="28"/>
          <w:szCs w:val="28"/>
          <w:lang w:eastAsia="en-US"/>
        </w:rPr>
        <w:t>одонтобластів</w:t>
      </w:r>
      <w:proofErr w:type="spellEnd"/>
      <w:r w:rsidRPr="00520861">
        <w:rPr>
          <w:rFonts w:eastAsia="Calibri"/>
          <w:color w:val="000000" w:themeColor="text1"/>
          <w:spacing w:val="-1"/>
          <w:sz w:val="28"/>
          <w:szCs w:val="28"/>
          <w:lang w:eastAsia="en-US"/>
        </w:rPr>
        <w:t xml:space="preserve"> при забарвленні за </w:t>
      </w:r>
      <w:proofErr w:type="spellStart"/>
      <w:r w:rsidRPr="00520861">
        <w:rPr>
          <w:rFonts w:eastAsia="Calibri"/>
          <w:color w:val="000000" w:themeColor="text1"/>
          <w:spacing w:val="-1"/>
          <w:sz w:val="28"/>
          <w:szCs w:val="28"/>
          <w:lang w:eastAsia="en-US"/>
        </w:rPr>
        <w:t>Ейнарсоном</w:t>
      </w:r>
      <w:proofErr w:type="spellEnd"/>
      <w:r w:rsidRPr="00520861">
        <w:rPr>
          <w:rFonts w:eastAsia="Calibri"/>
          <w:color w:val="000000" w:themeColor="text1"/>
          <w:spacing w:val="-1"/>
          <w:sz w:val="28"/>
          <w:szCs w:val="28"/>
          <w:lang w:eastAsia="en-US"/>
        </w:rPr>
        <w:t xml:space="preserve"> зіставні з контрольними (табл. 3.5). </w:t>
      </w:r>
    </w:p>
    <w:p w14:paraId="48C56914" w14:textId="77777777" w:rsidR="00CF641C" w:rsidRPr="00520861" w:rsidRDefault="00CF641C" w:rsidP="00292D2E">
      <w:pPr>
        <w:widowControl w:val="0"/>
        <w:spacing w:line="360" w:lineRule="auto"/>
        <w:jc w:val="right"/>
        <w:rPr>
          <w:rFonts w:eastAsia="Calibri"/>
          <w:i/>
          <w:iCs/>
          <w:sz w:val="28"/>
          <w:szCs w:val="28"/>
          <w:lang w:eastAsia="en-US"/>
        </w:rPr>
      </w:pPr>
      <w:r w:rsidRPr="00520861">
        <w:rPr>
          <w:rFonts w:eastAsia="Calibri"/>
          <w:i/>
          <w:iCs/>
          <w:sz w:val="28"/>
          <w:szCs w:val="28"/>
          <w:lang w:eastAsia="en-US"/>
        </w:rPr>
        <w:t xml:space="preserve">Таблиця 3.5 </w:t>
      </w:r>
    </w:p>
    <w:p w14:paraId="585CFE7A" w14:textId="77777777" w:rsidR="00CF641C" w:rsidRPr="00520861" w:rsidRDefault="00CF641C" w:rsidP="00292D2E">
      <w:pPr>
        <w:widowControl w:val="0"/>
        <w:spacing w:line="360" w:lineRule="auto"/>
        <w:contextualSpacing/>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 xml:space="preserve">3; </w:t>
      </w:r>
      <w:r w:rsidRPr="00520861">
        <w:rPr>
          <w:rFonts w:eastAsia="Calibri"/>
          <w:b/>
          <w:bCs/>
          <w:sz w:val="28"/>
          <w:szCs w:val="28"/>
          <w:lang w:val="en-US" w:eastAsia="en-US"/>
        </w:rPr>
        <w:t>Q</w:t>
      </w:r>
      <w:r w:rsidRPr="00520861">
        <w:rPr>
          <w:rFonts w:eastAsia="Calibri"/>
          <w:b/>
          <w:bCs/>
          <w:sz w:val="28"/>
          <w:szCs w:val="28"/>
          <w:lang w:eastAsia="en-US"/>
        </w:rPr>
        <w:t xml:space="preserve">1) оптичної густини </w:t>
      </w:r>
      <w:r w:rsidRPr="00520861">
        <w:rPr>
          <w:rFonts w:eastAsia="Calibri"/>
          <w:b/>
          <w:sz w:val="28"/>
          <w:szCs w:val="28"/>
        </w:rPr>
        <w:t>цитоплазми</w:t>
      </w:r>
      <w:r w:rsidRPr="00520861">
        <w:rPr>
          <w:rFonts w:eastAsia="Calibri"/>
          <w:b/>
          <w:bCs/>
          <w:sz w:val="28"/>
          <w:szCs w:val="28"/>
          <w:lang w:eastAsia="en-US"/>
        </w:rPr>
        <w:t xml:space="preserve"> відростків </w:t>
      </w:r>
      <w:proofErr w:type="spellStart"/>
      <w:r w:rsidRPr="00520861">
        <w:rPr>
          <w:rFonts w:eastAsia="Calibri"/>
          <w:b/>
          <w:bCs/>
          <w:sz w:val="28"/>
          <w:szCs w:val="28"/>
          <w:lang w:eastAsia="en-US"/>
        </w:rPr>
        <w:t>одонтобластів</w:t>
      </w:r>
      <w:proofErr w:type="spellEnd"/>
      <w:r w:rsidRPr="00520861">
        <w:rPr>
          <w:rFonts w:eastAsia="Calibri"/>
          <w:b/>
          <w:bCs/>
          <w:sz w:val="28"/>
          <w:szCs w:val="28"/>
          <w:lang w:eastAsia="en-US"/>
        </w:rPr>
        <w:t xml:space="preserve"> </w:t>
      </w:r>
      <w:r w:rsidRPr="00520861">
        <w:rPr>
          <w:rFonts w:eastAsiaTheme="minorHAnsi"/>
          <w:b/>
          <w:sz w:val="28"/>
          <w:szCs w:val="28"/>
          <w:lang w:eastAsia="en-US"/>
        </w:rPr>
        <w:t xml:space="preserve">та площі тіл </w:t>
      </w:r>
      <w:proofErr w:type="spellStart"/>
      <w:r w:rsidRPr="00520861">
        <w:rPr>
          <w:rFonts w:eastAsiaTheme="minorHAnsi"/>
          <w:b/>
          <w:sz w:val="28"/>
          <w:szCs w:val="28"/>
          <w:lang w:eastAsia="en-US"/>
        </w:rPr>
        <w:t>одонтобластів</w:t>
      </w:r>
      <w:proofErr w:type="spellEnd"/>
      <w:r w:rsidRPr="00520861">
        <w:rPr>
          <w:rFonts w:eastAsiaTheme="minorHAnsi"/>
          <w:b/>
          <w:sz w:val="28"/>
          <w:szCs w:val="28"/>
          <w:lang w:eastAsia="en-US"/>
        </w:rPr>
        <w:t xml:space="preserve"> у 3-місячних експериментальних тварин</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2"/>
        <w:gridCol w:w="4526"/>
        <w:gridCol w:w="3615"/>
      </w:tblGrid>
      <w:tr w:rsidR="00CF641C" w:rsidRPr="00520861" w14:paraId="094065F6" w14:textId="77777777" w:rsidTr="00292D2E">
        <w:trPr>
          <w:trHeight w:val="591"/>
          <w:jc w:val="center"/>
        </w:trPr>
        <w:tc>
          <w:tcPr>
            <w:tcW w:w="1352" w:type="dxa"/>
            <w:tcBorders>
              <w:top w:val="single" w:sz="4" w:space="0" w:color="auto"/>
              <w:left w:val="single" w:sz="4" w:space="0" w:color="auto"/>
              <w:right w:val="single" w:sz="4" w:space="0" w:color="auto"/>
            </w:tcBorders>
            <w:tcMar>
              <w:top w:w="0" w:type="dxa"/>
              <w:left w:w="57" w:type="dxa"/>
              <w:bottom w:w="0" w:type="dxa"/>
              <w:right w:w="57" w:type="dxa"/>
            </w:tcMar>
            <w:hideMark/>
          </w:tcPr>
          <w:p w14:paraId="029B82D6" w14:textId="77777777" w:rsidR="00CF641C" w:rsidRPr="00520861" w:rsidRDefault="00CF641C" w:rsidP="00292D2E">
            <w:pPr>
              <w:widowControl w:val="0"/>
              <w:spacing w:line="360" w:lineRule="auto"/>
              <w:contextualSpacing/>
              <w:rPr>
                <w:sz w:val="28"/>
                <w:szCs w:val="28"/>
              </w:rPr>
            </w:pPr>
          </w:p>
          <w:p w14:paraId="22F71087" w14:textId="77777777" w:rsidR="00CF641C" w:rsidRPr="00520861" w:rsidRDefault="00CF641C" w:rsidP="00292D2E">
            <w:pPr>
              <w:widowControl w:val="0"/>
              <w:spacing w:line="360" w:lineRule="auto"/>
              <w:contextualSpacing/>
              <w:rPr>
                <w:rFonts w:eastAsia="Calibri"/>
                <w:sz w:val="28"/>
                <w:szCs w:val="28"/>
              </w:rPr>
            </w:pPr>
            <w:r w:rsidRPr="00520861">
              <w:rPr>
                <w:sz w:val="28"/>
                <w:szCs w:val="28"/>
              </w:rPr>
              <w:t xml:space="preserve"> Група </w:t>
            </w:r>
          </w:p>
        </w:tc>
        <w:tc>
          <w:tcPr>
            <w:tcW w:w="4526" w:type="dxa"/>
            <w:tcBorders>
              <w:top w:val="single" w:sz="4" w:space="0" w:color="auto"/>
              <w:left w:val="single" w:sz="4" w:space="0" w:color="auto"/>
              <w:right w:val="single" w:sz="4" w:space="0" w:color="auto"/>
            </w:tcBorders>
            <w:tcMar>
              <w:top w:w="0" w:type="dxa"/>
              <w:left w:w="57" w:type="dxa"/>
              <w:bottom w:w="0" w:type="dxa"/>
              <w:right w:w="57" w:type="dxa"/>
            </w:tcMar>
            <w:hideMark/>
          </w:tcPr>
          <w:p w14:paraId="7B41DB2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Оптична густина цитоплазми (забарвлення за </w:t>
            </w:r>
            <w:proofErr w:type="spellStart"/>
            <w:r w:rsidRPr="00520861">
              <w:rPr>
                <w:rFonts w:eastAsia="Calibri"/>
                <w:sz w:val="28"/>
                <w:szCs w:val="28"/>
              </w:rPr>
              <w:t>Ейнарсоном</w:t>
            </w:r>
            <w:proofErr w:type="spellEnd"/>
            <w:r w:rsidRPr="00520861">
              <w:rPr>
                <w:rFonts w:eastAsia="Calibri"/>
                <w:sz w:val="28"/>
                <w:szCs w:val="28"/>
              </w:rPr>
              <w:t xml:space="preserve"> (</w:t>
            </w:r>
            <w:proofErr w:type="spellStart"/>
            <w:r w:rsidRPr="00520861">
              <w:rPr>
                <w:rFonts w:eastAsia="Calibri"/>
                <w:sz w:val="28"/>
                <w:szCs w:val="28"/>
              </w:rPr>
              <w:t>ум.од.опт</w:t>
            </w:r>
            <w:proofErr w:type="spellEnd"/>
            <w:r w:rsidRPr="00520861">
              <w:rPr>
                <w:rFonts w:eastAsia="Calibri"/>
                <w:sz w:val="28"/>
                <w:szCs w:val="28"/>
              </w:rPr>
              <w:t>. густини))</w:t>
            </w:r>
          </w:p>
        </w:tc>
        <w:tc>
          <w:tcPr>
            <w:tcW w:w="3615" w:type="dxa"/>
            <w:tcBorders>
              <w:top w:val="single" w:sz="4" w:space="0" w:color="auto"/>
              <w:left w:val="single" w:sz="4" w:space="0" w:color="auto"/>
              <w:right w:val="single" w:sz="4" w:space="0" w:color="auto"/>
            </w:tcBorders>
          </w:tcPr>
          <w:p w14:paraId="2880EB97" w14:textId="77777777" w:rsidR="00CF641C" w:rsidRPr="00520861" w:rsidRDefault="00CF641C" w:rsidP="00292D2E">
            <w:pPr>
              <w:widowControl w:val="0"/>
              <w:spacing w:line="360" w:lineRule="auto"/>
              <w:jc w:val="center"/>
              <w:rPr>
                <w:sz w:val="28"/>
                <w:szCs w:val="28"/>
              </w:rPr>
            </w:pPr>
          </w:p>
          <w:p w14:paraId="74DACEE7" w14:textId="77777777" w:rsidR="00CF641C" w:rsidRPr="00520861" w:rsidRDefault="00CF641C" w:rsidP="00292D2E">
            <w:pPr>
              <w:widowControl w:val="0"/>
              <w:spacing w:line="360" w:lineRule="auto"/>
              <w:jc w:val="center"/>
              <w:rPr>
                <w:sz w:val="28"/>
                <w:szCs w:val="28"/>
              </w:rPr>
            </w:pPr>
            <w:r w:rsidRPr="00520861">
              <w:rPr>
                <w:sz w:val="28"/>
                <w:szCs w:val="28"/>
              </w:rPr>
              <w:t xml:space="preserve">Площа тіла </w:t>
            </w:r>
            <w:proofErr w:type="spellStart"/>
            <w:r w:rsidRPr="00520861">
              <w:rPr>
                <w:sz w:val="28"/>
                <w:szCs w:val="28"/>
              </w:rPr>
              <w:t>одонтобластів</w:t>
            </w:r>
            <w:proofErr w:type="spellEnd"/>
            <w:r w:rsidRPr="00520861">
              <w:rPr>
                <w:sz w:val="28"/>
                <w:szCs w:val="28"/>
              </w:rPr>
              <w:t xml:space="preserve"> (</w:t>
            </w:r>
            <w:r w:rsidRPr="00520861">
              <w:rPr>
                <w:rFonts w:eastAsia="Calibri"/>
                <w:bCs/>
                <w:sz w:val="28"/>
                <w:szCs w:val="28"/>
                <w:lang w:eastAsia="en-US"/>
              </w:rPr>
              <w:t>м</w:t>
            </w:r>
            <w:r w:rsidRPr="00520861">
              <w:rPr>
                <w:rFonts w:eastAsia="Calibri"/>
                <w:bCs/>
                <w:sz w:val="28"/>
                <w:szCs w:val="28"/>
                <w:vertAlign w:val="superscript"/>
                <w:lang w:eastAsia="en-US"/>
              </w:rPr>
              <w:t xml:space="preserve"> </w:t>
            </w:r>
            <w:r w:rsidRPr="00520861">
              <w:rPr>
                <w:rFonts w:eastAsia="Calibri"/>
                <w:bCs/>
                <w:sz w:val="28"/>
                <w:szCs w:val="28"/>
                <w:lang w:eastAsia="en-US"/>
              </w:rPr>
              <w:t>×10</w:t>
            </w:r>
            <w:r w:rsidRPr="00520861">
              <w:rPr>
                <w:rFonts w:eastAsia="Calibri"/>
                <w:bCs/>
                <w:sz w:val="28"/>
                <w:szCs w:val="28"/>
                <w:vertAlign w:val="superscript"/>
                <w:lang w:eastAsia="en-US"/>
              </w:rPr>
              <w:t>6</w:t>
            </w:r>
            <w:r w:rsidRPr="00520861">
              <w:rPr>
                <w:sz w:val="28"/>
                <w:szCs w:val="28"/>
              </w:rPr>
              <w:t>)</w:t>
            </w:r>
          </w:p>
        </w:tc>
      </w:tr>
      <w:tr w:rsidR="00CF641C" w:rsidRPr="00520861" w14:paraId="39E534AD" w14:textId="77777777" w:rsidTr="00292D2E">
        <w:trPr>
          <w:jc w:val="center"/>
        </w:trPr>
        <w:tc>
          <w:tcPr>
            <w:tcW w:w="1352" w:type="dxa"/>
            <w:tcBorders>
              <w:top w:val="single" w:sz="4" w:space="0" w:color="auto"/>
              <w:left w:val="single" w:sz="4" w:space="0" w:color="auto"/>
              <w:bottom w:val="single" w:sz="4" w:space="0" w:color="auto"/>
              <w:right w:val="single" w:sz="4" w:space="0" w:color="auto"/>
            </w:tcBorders>
            <w:hideMark/>
          </w:tcPr>
          <w:p w14:paraId="06945388" w14:textId="77777777" w:rsidR="00CF641C" w:rsidRPr="00520861" w:rsidRDefault="00CF641C" w:rsidP="00292D2E">
            <w:pPr>
              <w:widowControl w:val="0"/>
              <w:spacing w:line="360" w:lineRule="auto"/>
              <w:ind w:right="-173"/>
              <w:contextualSpacing/>
              <w:rPr>
                <w:rFonts w:eastAsia="Calibri"/>
                <w:sz w:val="28"/>
                <w:szCs w:val="28"/>
              </w:rPr>
            </w:pPr>
            <w:r w:rsidRPr="00520861">
              <w:rPr>
                <w:rFonts w:eastAsia="Calibri"/>
                <w:sz w:val="28"/>
                <w:szCs w:val="28"/>
              </w:rPr>
              <w:t xml:space="preserve">Контроль </w:t>
            </w:r>
          </w:p>
        </w:tc>
        <w:tc>
          <w:tcPr>
            <w:tcW w:w="4526" w:type="dxa"/>
            <w:tcBorders>
              <w:top w:val="single" w:sz="4" w:space="0" w:color="auto"/>
              <w:left w:val="single" w:sz="4" w:space="0" w:color="auto"/>
              <w:bottom w:val="single" w:sz="4" w:space="0" w:color="auto"/>
              <w:right w:val="single" w:sz="4" w:space="0" w:color="auto"/>
            </w:tcBorders>
          </w:tcPr>
          <w:p w14:paraId="03552EA0"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0,119 (0,250; 0,102)</w:t>
            </w:r>
          </w:p>
        </w:tc>
        <w:tc>
          <w:tcPr>
            <w:tcW w:w="3615" w:type="dxa"/>
            <w:tcBorders>
              <w:top w:val="single" w:sz="4" w:space="0" w:color="auto"/>
              <w:left w:val="single" w:sz="4" w:space="0" w:color="auto"/>
              <w:bottom w:val="single" w:sz="4" w:space="0" w:color="auto"/>
              <w:right w:val="single" w:sz="4" w:space="0" w:color="auto"/>
            </w:tcBorders>
          </w:tcPr>
          <w:p w14:paraId="75EA55A9"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9,87 (11,23; 9,18)</w:t>
            </w:r>
          </w:p>
        </w:tc>
      </w:tr>
      <w:tr w:rsidR="00CF641C" w:rsidRPr="00520861" w14:paraId="52AF246E" w14:textId="77777777" w:rsidTr="00292D2E">
        <w:trPr>
          <w:jc w:val="center"/>
        </w:trPr>
        <w:tc>
          <w:tcPr>
            <w:tcW w:w="1352" w:type="dxa"/>
            <w:tcBorders>
              <w:top w:val="single" w:sz="4" w:space="0" w:color="auto"/>
              <w:left w:val="single" w:sz="4" w:space="0" w:color="auto"/>
              <w:bottom w:val="single" w:sz="4" w:space="0" w:color="auto"/>
              <w:right w:val="single" w:sz="4" w:space="0" w:color="auto"/>
            </w:tcBorders>
          </w:tcPr>
          <w:p w14:paraId="29229A34"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1 </w:t>
            </w:r>
          </w:p>
        </w:tc>
        <w:tc>
          <w:tcPr>
            <w:tcW w:w="4526" w:type="dxa"/>
            <w:tcBorders>
              <w:top w:val="single" w:sz="4" w:space="0" w:color="auto"/>
              <w:left w:val="single" w:sz="4" w:space="0" w:color="auto"/>
              <w:bottom w:val="single" w:sz="4" w:space="0" w:color="auto"/>
              <w:right w:val="single" w:sz="4" w:space="0" w:color="auto"/>
            </w:tcBorders>
          </w:tcPr>
          <w:p w14:paraId="2F829010"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0,324</w:t>
            </w:r>
            <w:r w:rsidRPr="00520861">
              <w:rPr>
                <w:rFonts w:eastAsia="Calibri"/>
                <w:sz w:val="28"/>
                <w:szCs w:val="28"/>
                <w:lang w:eastAsia="en-US"/>
              </w:rPr>
              <w:t>*</w:t>
            </w:r>
            <w:r w:rsidRPr="00520861">
              <w:rPr>
                <w:rFonts w:eastAsiaTheme="minorHAnsi"/>
                <w:sz w:val="28"/>
                <w:szCs w:val="28"/>
                <w:lang w:eastAsia="en-US"/>
              </w:rPr>
              <w:t xml:space="preserve"> (0,350; 0,142), </w:t>
            </w:r>
            <w:r w:rsidRPr="00520861">
              <w:rPr>
                <w:i/>
                <w:sz w:val="28"/>
                <w:szCs w:val="28"/>
              </w:rPr>
              <w:t>p</w:t>
            </w:r>
            <w:r w:rsidRPr="00520861">
              <w:rPr>
                <w:sz w:val="28"/>
                <w:szCs w:val="28"/>
              </w:rPr>
              <w:t>=0,0009</w:t>
            </w:r>
          </w:p>
        </w:tc>
        <w:tc>
          <w:tcPr>
            <w:tcW w:w="3615" w:type="dxa"/>
            <w:tcBorders>
              <w:top w:val="single" w:sz="4" w:space="0" w:color="auto"/>
              <w:left w:val="single" w:sz="4" w:space="0" w:color="auto"/>
              <w:bottom w:val="single" w:sz="4" w:space="0" w:color="auto"/>
              <w:right w:val="single" w:sz="4" w:space="0" w:color="auto"/>
            </w:tcBorders>
          </w:tcPr>
          <w:p w14:paraId="3EDD811E"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7,79</w:t>
            </w:r>
            <w:r w:rsidRPr="00520861">
              <w:rPr>
                <w:rFonts w:eastAsia="Calibri"/>
                <w:sz w:val="28"/>
                <w:szCs w:val="28"/>
                <w:lang w:eastAsia="en-US"/>
              </w:rPr>
              <w:t>*</w:t>
            </w:r>
            <w:r w:rsidRPr="00520861">
              <w:rPr>
                <w:rFonts w:eastAsiaTheme="minorHAnsi"/>
                <w:sz w:val="28"/>
                <w:szCs w:val="28"/>
                <w:lang w:eastAsia="en-US"/>
              </w:rPr>
              <w:t xml:space="preserve"> (8,12; 7,58), </w:t>
            </w:r>
            <w:r w:rsidRPr="00520861">
              <w:rPr>
                <w:i/>
                <w:sz w:val="28"/>
                <w:szCs w:val="28"/>
              </w:rPr>
              <w:t>p</w:t>
            </w:r>
            <w:r w:rsidRPr="00520861">
              <w:rPr>
                <w:sz w:val="28"/>
                <w:szCs w:val="28"/>
              </w:rPr>
              <w:t>=0,00091</w:t>
            </w:r>
          </w:p>
        </w:tc>
      </w:tr>
      <w:tr w:rsidR="00CF641C" w:rsidRPr="00520861" w14:paraId="72FBE2C2" w14:textId="77777777" w:rsidTr="00292D2E">
        <w:trPr>
          <w:jc w:val="center"/>
        </w:trPr>
        <w:tc>
          <w:tcPr>
            <w:tcW w:w="1352" w:type="dxa"/>
            <w:tcBorders>
              <w:top w:val="single" w:sz="4" w:space="0" w:color="auto"/>
              <w:left w:val="single" w:sz="4" w:space="0" w:color="auto"/>
              <w:bottom w:val="single" w:sz="4" w:space="0" w:color="auto"/>
              <w:right w:val="single" w:sz="4" w:space="0" w:color="auto"/>
            </w:tcBorders>
          </w:tcPr>
          <w:p w14:paraId="24156335" w14:textId="77777777" w:rsidR="00CF641C" w:rsidRPr="00520861" w:rsidRDefault="00CF641C" w:rsidP="00292D2E">
            <w:pPr>
              <w:widowControl w:val="0"/>
              <w:spacing w:line="360" w:lineRule="auto"/>
              <w:contextualSpacing/>
              <w:jc w:val="both"/>
              <w:rPr>
                <w:sz w:val="28"/>
                <w:szCs w:val="28"/>
              </w:rPr>
            </w:pPr>
            <w:r w:rsidRPr="00520861">
              <w:rPr>
                <w:sz w:val="28"/>
                <w:szCs w:val="28"/>
              </w:rPr>
              <w:t>Група 2</w:t>
            </w:r>
          </w:p>
        </w:tc>
        <w:tc>
          <w:tcPr>
            <w:tcW w:w="4526" w:type="dxa"/>
            <w:tcBorders>
              <w:top w:val="single" w:sz="4" w:space="0" w:color="auto"/>
              <w:left w:val="single" w:sz="4" w:space="0" w:color="auto"/>
              <w:bottom w:val="single" w:sz="4" w:space="0" w:color="auto"/>
              <w:right w:val="single" w:sz="4" w:space="0" w:color="auto"/>
            </w:tcBorders>
          </w:tcPr>
          <w:p w14:paraId="638BBA86"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0,318</w:t>
            </w:r>
            <w:r w:rsidRPr="00520861">
              <w:rPr>
                <w:rFonts w:eastAsia="Calibri"/>
                <w:sz w:val="28"/>
                <w:szCs w:val="28"/>
                <w:lang w:eastAsia="en-US"/>
              </w:rPr>
              <w:t>*</w:t>
            </w:r>
            <w:r w:rsidRPr="00520861">
              <w:rPr>
                <w:rFonts w:eastAsiaTheme="minorHAnsi"/>
                <w:sz w:val="28"/>
                <w:szCs w:val="28"/>
                <w:lang w:eastAsia="en-US"/>
              </w:rPr>
              <w:t xml:space="preserve"> (0,473; 0,280), </w:t>
            </w:r>
            <w:r w:rsidRPr="00520861">
              <w:rPr>
                <w:i/>
                <w:sz w:val="28"/>
                <w:szCs w:val="28"/>
              </w:rPr>
              <w:t>p</w:t>
            </w:r>
            <w:r w:rsidRPr="00520861">
              <w:rPr>
                <w:sz w:val="28"/>
                <w:szCs w:val="28"/>
                <w:lang w:val="en-US"/>
              </w:rPr>
              <w:t>&lt;</w:t>
            </w:r>
            <w:r w:rsidRPr="00520861">
              <w:rPr>
                <w:sz w:val="28"/>
                <w:szCs w:val="28"/>
              </w:rPr>
              <w:t>0,000</w:t>
            </w:r>
            <w:r w:rsidRPr="00520861">
              <w:rPr>
                <w:sz w:val="28"/>
                <w:szCs w:val="28"/>
                <w:lang w:val="en-US"/>
              </w:rPr>
              <w:t>1</w:t>
            </w:r>
          </w:p>
        </w:tc>
        <w:tc>
          <w:tcPr>
            <w:tcW w:w="3615" w:type="dxa"/>
            <w:tcBorders>
              <w:top w:val="single" w:sz="4" w:space="0" w:color="auto"/>
              <w:left w:val="single" w:sz="4" w:space="0" w:color="auto"/>
              <w:bottom w:val="single" w:sz="4" w:space="0" w:color="auto"/>
              <w:right w:val="single" w:sz="4" w:space="0" w:color="auto"/>
            </w:tcBorders>
          </w:tcPr>
          <w:p w14:paraId="027F9175"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8,72 (10,17; 8,60)</w:t>
            </w:r>
          </w:p>
        </w:tc>
      </w:tr>
      <w:tr w:rsidR="00CF641C" w:rsidRPr="00520861" w14:paraId="17E5A96D" w14:textId="77777777" w:rsidTr="00292D2E">
        <w:trPr>
          <w:trHeight w:val="198"/>
          <w:jc w:val="center"/>
        </w:trPr>
        <w:tc>
          <w:tcPr>
            <w:tcW w:w="1352" w:type="dxa"/>
            <w:tcBorders>
              <w:top w:val="single" w:sz="4" w:space="0" w:color="auto"/>
              <w:left w:val="single" w:sz="4" w:space="0" w:color="auto"/>
              <w:bottom w:val="single" w:sz="4" w:space="0" w:color="auto"/>
              <w:right w:val="single" w:sz="4" w:space="0" w:color="auto"/>
            </w:tcBorders>
            <w:hideMark/>
          </w:tcPr>
          <w:p w14:paraId="44372198"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3 </w:t>
            </w:r>
          </w:p>
        </w:tc>
        <w:tc>
          <w:tcPr>
            <w:tcW w:w="4526" w:type="dxa"/>
            <w:tcBorders>
              <w:top w:val="single" w:sz="4" w:space="0" w:color="auto"/>
              <w:left w:val="single" w:sz="4" w:space="0" w:color="auto"/>
              <w:bottom w:val="single" w:sz="4" w:space="0" w:color="auto"/>
              <w:right w:val="single" w:sz="4" w:space="0" w:color="auto"/>
            </w:tcBorders>
          </w:tcPr>
          <w:p w14:paraId="12108B07"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0,350</w:t>
            </w:r>
            <w:r w:rsidRPr="00520861">
              <w:rPr>
                <w:rFonts w:eastAsia="Calibri"/>
                <w:sz w:val="28"/>
                <w:szCs w:val="28"/>
                <w:lang w:eastAsia="en-US"/>
              </w:rPr>
              <w:t>*</w:t>
            </w:r>
            <w:r w:rsidRPr="00520861">
              <w:rPr>
                <w:rFonts w:eastAsiaTheme="minorHAnsi"/>
                <w:sz w:val="28"/>
                <w:szCs w:val="28"/>
                <w:lang w:eastAsia="en-US"/>
              </w:rPr>
              <w:t xml:space="preserve"> (0,429; 0,269), </w:t>
            </w:r>
            <w:r w:rsidRPr="00520861">
              <w:rPr>
                <w:i/>
                <w:sz w:val="28"/>
                <w:szCs w:val="28"/>
              </w:rPr>
              <w:t>p</w:t>
            </w:r>
            <w:r w:rsidRPr="00520861">
              <w:rPr>
                <w:sz w:val="28"/>
                <w:szCs w:val="28"/>
                <w:lang w:val="en-US"/>
              </w:rPr>
              <w:t>&lt;</w:t>
            </w:r>
            <w:r w:rsidRPr="00520861">
              <w:rPr>
                <w:sz w:val="28"/>
                <w:szCs w:val="28"/>
              </w:rPr>
              <w:t>0,0001</w:t>
            </w:r>
          </w:p>
        </w:tc>
        <w:tc>
          <w:tcPr>
            <w:tcW w:w="3615" w:type="dxa"/>
            <w:tcBorders>
              <w:top w:val="single" w:sz="4" w:space="0" w:color="auto"/>
              <w:left w:val="single" w:sz="4" w:space="0" w:color="auto"/>
              <w:bottom w:val="single" w:sz="4" w:space="0" w:color="auto"/>
              <w:right w:val="single" w:sz="4" w:space="0" w:color="auto"/>
            </w:tcBorders>
          </w:tcPr>
          <w:p w14:paraId="1FB257F9"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6,75</w:t>
            </w:r>
            <w:r w:rsidRPr="00520861">
              <w:rPr>
                <w:rFonts w:eastAsia="Calibri"/>
                <w:sz w:val="28"/>
                <w:szCs w:val="28"/>
                <w:lang w:eastAsia="en-US"/>
              </w:rPr>
              <w:t>*</w:t>
            </w:r>
            <w:r w:rsidRPr="00520861">
              <w:rPr>
                <w:rFonts w:eastAsiaTheme="minorHAnsi"/>
                <w:sz w:val="28"/>
                <w:szCs w:val="28"/>
                <w:lang w:eastAsia="en-US"/>
              </w:rPr>
              <w:t xml:space="preserve"> (7,01; 6,11), </w:t>
            </w:r>
            <w:r w:rsidRPr="00520861">
              <w:rPr>
                <w:i/>
                <w:sz w:val="28"/>
                <w:szCs w:val="28"/>
              </w:rPr>
              <w:t>p</w:t>
            </w:r>
            <w:r w:rsidRPr="00520861">
              <w:rPr>
                <w:sz w:val="28"/>
                <w:szCs w:val="28"/>
              </w:rPr>
              <w:t>=0,00146</w:t>
            </w:r>
          </w:p>
        </w:tc>
      </w:tr>
      <w:tr w:rsidR="00CF641C" w:rsidRPr="00520861" w14:paraId="6313007A" w14:textId="77777777" w:rsidTr="00292D2E">
        <w:trPr>
          <w:jc w:val="center"/>
        </w:trPr>
        <w:tc>
          <w:tcPr>
            <w:tcW w:w="1352" w:type="dxa"/>
            <w:tcBorders>
              <w:top w:val="single" w:sz="4" w:space="0" w:color="auto"/>
              <w:left w:val="single" w:sz="4" w:space="0" w:color="auto"/>
              <w:bottom w:val="single" w:sz="4" w:space="0" w:color="auto"/>
              <w:right w:val="single" w:sz="4" w:space="0" w:color="auto"/>
            </w:tcBorders>
            <w:hideMark/>
          </w:tcPr>
          <w:p w14:paraId="60A17664"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4 </w:t>
            </w:r>
          </w:p>
        </w:tc>
        <w:tc>
          <w:tcPr>
            <w:tcW w:w="4526" w:type="dxa"/>
            <w:tcBorders>
              <w:top w:val="single" w:sz="4" w:space="0" w:color="auto"/>
              <w:left w:val="single" w:sz="4" w:space="0" w:color="auto"/>
              <w:bottom w:val="single" w:sz="4" w:space="0" w:color="auto"/>
              <w:right w:val="single" w:sz="4" w:space="0" w:color="auto"/>
            </w:tcBorders>
          </w:tcPr>
          <w:p w14:paraId="2D47B238"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0,339</w:t>
            </w:r>
            <w:r w:rsidRPr="00520861">
              <w:rPr>
                <w:rFonts w:eastAsia="Calibri"/>
                <w:sz w:val="28"/>
                <w:szCs w:val="28"/>
                <w:lang w:eastAsia="en-US"/>
              </w:rPr>
              <w:t>*</w:t>
            </w:r>
            <w:r w:rsidRPr="00520861">
              <w:rPr>
                <w:rFonts w:eastAsiaTheme="minorHAnsi"/>
                <w:sz w:val="28"/>
                <w:szCs w:val="28"/>
                <w:lang w:eastAsia="en-US"/>
              </w:rPr>
              <w:t xml:space="preserve"> (0,376; 0,226), </w:t>
            </w:r>
            <w:r w:rsidRPr="00520861">
              <w:rPr>
                <w:i/>
                <w:sz w:val="28"/>
                <w:szCs w:val="28"/>
              </w:rPr>
              <w:t>p</w:t>
            </w:r>
            <w:r w:rsidRPr="00520861">
              <w:rPr>
                <w:sz w:val="28"/>
                <w:szCs w:val="28"/>
              </w:rPr>
              <w:t>=0,0001</w:t>
            </w:r>
          </w:p>
        </w:tc>
        <w:tc>
          <w:tcPr>
            <w:tcW w:w="3615" w:type="dxa"/>
            <w:tcBorders>
              <w:top w:val="single" w:sz="4" w:space="0" w:color="auto"/>
              <w:left w:val="single" w:sz="4" w:space="0" w:color="auto"/>
              <w:bottom w:val="single" w:sz="4" w:space="0" w:color="auto"/>
              <w:right w:val="single" w:sz="4" w:space="0" w:color="auto"/>
            </w:tcBorders>
          </w:tcPr>
          <w:p w14:paraId="328CEAA8"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6,16</w:t>
            </w:r>
            <w:r w:rsidRPr="00520861">
              <w:rPr>
                <w:rFonts w:eastAsia="Calibri"/>
                <w:sz w:val="28"/>
                <w:szCs w:val="28"/>
                <w:lang w:eastAsia="en-US"/>
              </w:rPr>
              <w:t>*</w:t>
            </w:r>
            <w:r w:rsidRPr="00520861">
              <w:rPr>
                <w:rFonts w:eastAsiaTheme="minorHAnsi"/>
                <w:sz w:val="28"/>
                <w:szCs w:val="28"/>
                <w:lang w:eastAsia="en-US"/>
              </w:rPr>
              <w:t xml:space="preserve"> (6,54; 5,67), </w:t>
            </w:r>
            <w:r w:rsidRPr="00520861">
              <w:rPr>
                <w:i/>
                <w:sz w:val="28"/>
                <w:szCs w:val="28"/>
              </w:rPr>
              <w:t>p</w:t>
            </w:r>
            <w:r w:rsidRPr="00520861">
              <w:rPr>
                <w:sz w:val="28"/>
                <w:szCs w:val="28"/>
              </w:rPr>
              <w:t>=0,00195</w:t>
            </w:r>
          </w:p>
        </w:tc>
      </w:tr>
    </w:tbl>
    <w:p w14:paraId="6B06332A"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67E5D33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643FC555" wp14:editId="7D8235CD">
            <wp:extent cx="6411525" cy="5334000"/>
            <wp:effectExtent l="0" t="0" r="8890" b="0"/>
            <wp:docPr id="32" name="Рисунок 32" descr="D:\тер стом\научн работа 1\дд друк\ на защиту\Маша\Рис\Рис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тер стом\научн работа 1\дд друк\ на защиту\Маша\Рис\Рис3.14.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415555" cy="5337353"/>
                    </a:xfrm>
                    <a:prstGeom prst="rect">
                      <a:avLst/>
                    </a:prstGeom>
                    <a:noFill/>
                    <a:ln>
                      <a:noFill/>
                    </a:ln>
                  </pic:spPr>
                </pic:pic>
              </a:graphicData>
            </a:graphic>
          </wp:inline>
        </w:drawing>
      </w:r>
    </w:p>
    <w:p w14:paraId="76E48951"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3.12. Пульпа зуба 90-денних щурів: </w:t>
      </w:r>
    </w:p>
    <w:p w14:paraId="3874EC4D"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i/>
          <w:sz w:val="28"/>
          <w:szCs w:val="28"/>
          <w:lang w:eastAsia="en-US"/>
        </w:rPr>
        <w:t>а</w:t>
      </w:r>
      <w:r w:rsidRPr="00520861">
        <w:rPr>
          <w:rFonts w:eastAsia="Calibri"/>
          <w:sz w:val="28"/>
          <w:szCs w:val="28"/>
          <w:lang w:eastAsia="en-US"/>
        </w:rPr>
        <w:t xml:space="preserve">) – групи контролю (тіла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периферійному шарі пульпи розташовані в декілька рядів); </w:t>
      </w:r>
    </w:p>
    <w:p w14:paraId="789A13D2"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i/>
          <w:sz w:val="28"/>
          <w:szCs w:val="28"/>
          <w:lang w:eastAsia="en-US"/>
        </w:rPr>
        <w:t>б</w:t>
      </w:r>
      <w:r w:rsidRPr="00520861">
        <w:rPr>
          <w:rFonts w:eastAsia="Calibri"/>
          <w:sz w:val="28"/>
          <w:szCs w:val="28"/>
          <w:lang w:eastAsia="en-US"/>
        </w:rPr>
        <w:t xml:space="preserve">) – групи 2 (спостерігаються тіла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видовженої форми, </w:t>
      </w:r>
      <w:r w:rsidR="00B2556A" w:rsidRPr="00520861">
        <w:rPr>
          <w:rFonts w:eastAsia="Calibri"/>
          <w:sz w:val="28"/>
          <w:szCs w:val="28"/>
          <w:lang w:eastAsia="en-US"/>
        </w:rPr>
        <w:br/>
      </w:r>
      <w:r w:rsidRPr="00520861">
        <w:rPr>
          <w:rFonts w:eastAsia="Calibri"/>
          <w:sz w:val="28"/>
          <w:szCs w:val="28"/>
          <w:lang w:eastAsia="en-US"/>
        </w:rPr>
        <w:t xml:space="preserve">розташовані в декілька рядів); </w:t>
      </w:r>
    </w:p>
    <w:p w14:paraId="49F754ED"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i/>
          <w:sz w:val="28"/>
          <w:szCs w:val="28"/>
          <w:lang w:eastAsia="en-US"/>
        </w:rPr>
        <w:t>в</w:t>
      </w:r>
      <w:r w:rsidRPr="00520861">
        <w:rPr>
          <w:rFonts w:eastAsia="Calibri"/>
          <w:sz w:val="28"/>
          <w:szCs w:val="28"/>
          <w:lang w:eastAsia="en-US"/>
        </w:rPr>
        <w:t xml:space="preserve">) – групи 3 (спостерігаються явища фокального серозного пульпіту з локальним </w:t>
      </w:r>
      <w:proofErr w:type="spellStart"/>
      <w:r w:rsidRPr="00520861">
        <w:rPr>
          <w:rFonts w:eastAsia="Calibri"/>
          <w:sz w:val="28"/>
          <w:szCs w:val="28"/>
          <w:lang w:eastAsia="en-US"/>
        </w:rPr>
        <w:t>макрофагально-лімфоцитарним</w:t>
      </w:r>
      <w:proofErr w:type="spellEnd"/>
      <w:r w:rsidRPr="00520861">
        <w:rPr>
          <w:rFonts w:eastAsia="Calibri"/>
          <w:sz w:val="28"/>
          <w:szCs w:val="28"/>
          <w:lang w:eastAsia="en-US"/>
        </w:rPr>
        <w:t xml:space="preserve"> інфільтратом (∆)). </w:t>
      </w:r>
    </w:p>
    <w:p w14:paraId="3081E8D5"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i/>
          <w:sz w:val="28"/>
          <w:szCs w:val="28"/>
          <w:lang w:eastAsia="en-US"/>
        </w:rPr>
        <w:t>г</w:t>
      </w:r>
      <w:r w:rsidRPr="00520861">
        <w:rPr>
          <w:rFonts w:eastAsia="Calibri"/>
          <w:sz w:val="28"/>
          <w:szCs w:val="28"/>
          <w:lang w:eastAsia="en-US"/>
        </w:rPr>
        <w:t xml:space="preserve">) – групи 4 (спостерігається один шар негусто розташованих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округлої форми). Забарвлення: </w:t>
      </w:r>
      <w:r w:rsidRPr="00520861">
        <w:rPr>
          <w:rFonts w:eastAsia="Calibri"/>
          <w:i/>
          <w:sz w:val="28"/>
          <w:szCs w:val="28"/>
          <w:lang w:eastAsia="en-US"/>
        </w:rPr>
        <w:t>а</w:t>
      </w:r>
      <w:r w:rsidRPr="00520861">
        <w:rPr>
          <w:rFonts w:eastAsia="Calibri"/>
          <w:sz w:val="28"/>
          <w:szCs w:val="28"/>
          <w:lang w:eastAsia="en-US"/>
        </w:rPr>
        <w:t xml:space="preserve">) – </w:t>
      </w:r>
      <w:proofErr w:type="spellStart"/>
      <w:r w:rsidRPr="00520861">
        <w:rPr>
          <w:rFonts w:eastAsia="Calibri"/>
          <w:sz w:val="28"/>
          <w:szCs w:val="28"/>
          <w:lang w:eastAsia="en-US"/>
        </w:rPr>
        <w:t>пікрофуксином</w:t>
      </w:r>
      <w:proofErr w:type="spellEnd"/>
      <w:r w:rsidRPr="00520861">
        <w:rPr>
          <w:rFonts w:eastAsia="Calibri"/>
          <w:sz w:val="28"/>
          <w:szCs w:val="28"/>
          <w:lang w:eastAsia="en-US"/>
        </w:rPr>
        <w:t xml:space="preserve"> за ван </w:t>
      </w:r>
      <w:proofErr w:type="spellStart"/>
      <w:r w:rsidRPr="00520861">
        <w:rPr>
          <w:rFonts w:eastAsia="Calibri"/>
          <w:sz w:val="28"/>
          <w:szCs w:val="28"/>
          <w:lang w:eastAsia="en-US"/>
        </w:rPr>
        <w:t>Гізоном</w:t>
      </w:r>
      <w:proofErr w:type="spellEnd"/>
      <w:r w:rsidRPr="00520861">
        <w:rPr>
          <w:rFonts w:eastAsia="Calibri"/>
          <w:sz w:val="28"/>
          <w:szCs w:val="28"/>
          <w:lang w:eastAsia="en-US"/>
        </w:rPr>
        <w:t xml:space="preserve">; </w:t>
      </w:r>
      <w:r w:rsidRPr="00520861">
        <w:rPr>
          <w:rFonts w:eastAsia="Calibri"/>
          <w:i/>
          <w:sz w:val="28"/>
          <w:szCs w:val="28"/>
          <w:lang w:eastAsia="en-US"/>
        </w:rPr>
        <w:t>б</w:t>
      </w:r>
      <w:r w:rsidRPr="00520861">
        <w:rPr>
          <w:rFonts w:eastAsia="Calibri"/>
          <w:sz w:val="28"/>
          <w:szCs w:val="28"/>
          <w:lang w:eastAsia="en-US"/>
        </w:rPr>
        <w:t xml:space="preserve">), </w:t>
      </w:r>
      <w:r w:rsidRPr="00520861">
        <w:rPr>
          <w:rFonts w:eastAsia="Calibri"/>
          <w:i/>
          <w:sz w:val="28"/>
          <w:szCs w:val="28"/>
          <w:lang w:eastAsia="en-US"/>
        </w:rPr>
        <w:t>в</w:t>
      </w:r>
      <w:r w:rsidRPr="00520861">
        <w:rPr>
          <w:rFonts w:eastAsia="Calibri"/>
          <w:sz w:val="28"/>
          <w:szCs w:val="28"/>
          <w:lang w:eastAsia="en-US"/>
        </w:rPr>
        <w:t xml:space="preserve">), </w:t>
      </w:r>
      <w:r w:rsidRPr="00520861">
        <w:rPr>
          <w:rFonts w:eastAsia="Calibri"/>
          <w:i/>
          <w:sz w:val="28"/>
          <w:szCs w:val="28"/>
          <w:lang w:eastAsia="en-US"/>
        </w:rPr>
        <w:t>г</w:t>
      </w:r>
      <w:r w:rsidRPr="00520861">
        <w:rPr>
          <w:rFonts w:eastAsia="Calibri"/>
          <w:sz w:val="28"/>
          <w:szCs w:val="28"/>
          <w:lang w:eastAsia="en-US"/>
        </w:rPr>
        <w:t xml:space="preserve">) – гематоксиліном та еозином; </w:t>
      </w:r>
      <w:r w:rsidRPr="00520861">
        <w:rPr>
          <w:rFonts w:eastAsia="Calibri"/>
          <w:sz w:val="28"/>
          <w:szCs w:val="28"/>
          <w:lang w:eastAsia="en-US"/>
        </w:rPr>
        <w:br/>
        <w:t xml:space="preserve">збільшення </w:t>
      </w:r>
      <w:r w:rsidRPr="00520861">
        <w:rPr>
          <w:rFonts w:eastAsia="Calibri"/>
          <w:sz w:val="28"/>
          <w:szCs w:val="28"/>
          <w:lang w:eastAsia="en-US"/>
        </w:rPr>
        <w:sym w:font="Symbol" w:char="F0B4"/>
      </w:r>
      <w:r w:rsidRPr="00520861">
        <w:rPr>
          <w:rFonts w:eastAsia="Calibri"/>
          <w:sz w:val="28"/>
          <w:szCs w:val="28"/>
          <w:lang w:eastAsia="en-US"/>
        </w:rPr>
        <w:t>400.</w:t>
      </w:r>
    </w:p>
    <w:p w14:paraId="02CDF9F7"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32FB3041"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sz w:val="28"/>
          <w:szCs w:val="28"/>
          <w:lang w:eastAsia="en-US"/>
        </w:rPr>
        <w:lastRenderedPageBreak/>
        <w:t xml:space="preserve">У тримісячних </w:t>
      </w:r>
      <w:r w:rsidRPr="00520861">
        <w:rPr>
          <w:rFonts w:eastAsia="Calibri"/>
          <w:color w:val="000000" w:themeColor="text1"/>
          <w:sz w:val="28"/>
          <w:szCs w:val="28"/>
          <w:lang w:eastAsia="en-US"/>
        </w:rPr>
        <w:t>тварин групи 2 (рис.</w:t>
      </w:r>
      <w:r w:rsidRPr="00520861">
        <w:rPr>
          <w:rFonts w:eastAsia="Calibri"/>
          <w:sz w:val="28"/>
          <w:szCs w:val="28"/>
          <w:lang w:eastAsia="en-US"/>
        </w:rPr>
        <w:t xml:space="preserve"> 3.12</w:t>
      </w:r>
      <w:r w:rsidRPr="00520861">
        <w:rPr>
          <w:rFonts w:eastAsia="Calibri"/>
          <w:i/>
          <w:sz w:val="28"/>
          <w:szCs w:val="28"/>
          <w:lang w:eastAsia="en-US"/>
        </w:rPr>
        <w:t>б</w:t>
      </w:r>
      <w:r w:rsidRPr="00520861">
        <w:rPr>
          <w:rFonts w:eastAsia="Calibri"/>
          <w:color w:val="000000" w:themeColor="text1"/>
          <w:sz w:val="28"/>
          <w:szCs w:val="28"/>
          <w:lang w:eastAsia="en-US"/>
        </w:rPr>
        <w:t>)</w:t>
      </w:r>
      <w:r w:rsidRPr="00520861">
        <w:rPr>
          <w:rFonts w:eastAsia="Calibri"/>
          <w:color w:val="000000" w:themeColor="text1"/>
          <w:sz w:val="28"/>
          <w:szCs w:val="28"/>
          <w:lang w:val="ru-RU" w:eastAsia="en-US"/>
        </w:rPr>
        <w:t xml:space="preserve"> </w:t>
      </w:r>
      <w:r w:rsidRPr="00520861">
        <w:rPr>
          <w:rFonts w:eastAsia="Calibri"/>
          <w:color w:val="000000" w:themeColor="text1"/>
          <w:sz w:val="28"/>
          <w:szCs w:val="28"/>
          <w:lang w:eastAsia="en-US"/>
        </w:rPr>
        <w:t xml:space="preserve">пульпа має схожий з контролем стан </w:t>
      </w:r>
      <w:r w:rsidRPr="00520861">
        <w:rPr>
          <w:rFonts w:eastAsia="Calibri"/>
          <w:color w:val="000000" w:themeColor="text1"/>
          <w:sz w:val="28"/>
          <w:szCs w:val="28"/>
          <w:lang w:val="ru-RU" w:eastAsia="en-US"/>
        </w:rPr>
        <w:t>[60]</w:t>
      </w:r>
      <w:r w:rsidRPr="00520861">
        <w:rPr>
          <w:rFonts w:eastAsia="Calibri"/>
          <w:color w:val="000000" w:themeColor="text1"/>
          <w:sz w:val="28"/>
          <w:szCs w:val="28"/>
          <w:lang w:eastAsia="en-US"/>
        </w:rPr>
        <w:t xml:space="preserve">. У цих тварин розміри тіл </w:t>
      </w:r>
      <w:proofErr w:type="spellStart"/>
      <w:r w:rsidRPr="00520861">
        <w:rPr>
          <w:rFonts w:eastAsia="Calibri"/>
          <w:color w:val="000000" w:themeColor="text1"/>
          <w:sz w:val="28"/>
          <w:szCs w:val="28"/>
          <w:lang w:eastAsia="en-US"/>
        </w:rPr>
        <w:t>одонобластів</w:t>
      </w:r>
      <w:proofErr w:type="spellEnd"/>
      <w:r w:rsidRPr="00520861">
        <w:rPr>
          <w:rFonts w:eastAsia="Calibri"/>
          <w:color w:val="000000" w:themeColor="text1"/>
          <w:sz w:val="28"/>
          <w:szCs w:val="28"/>
          <w:lang w:eastAsia="en-US"/>
        </w:rPr>
        <w:t xml:space="preserve"> зіставні з контролем (табл. 3.5). </w:t>
      </w:r>
    </w:p>
    <w:p w14:paraId="6976F7F1"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У пульпі тримісячних тварин групи 3 тіла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маленького розміру (табл. 3.5), розташовані не густо,</w:t>
      </w:r>
      <w:r w:rsidRPr="00520861">
        <w:rPr>
          <w:rFonts w:eastAsia="Calibri"/>
          <w:b/>
          <w:color w:val="000000" w:themeColor="text1"/>
          <w:sz w:val="28"/>
          <w:szCs w:val="28"/>
          <w:lang w:eastAsia="en-US"/>
        </w:rPr>
        <w:t xml:space="preserve"> </w:t>
      </w:r>
      <w:r w:rsidRPr="00520861">
        <w:rPr>
          <w:rFonts w:eastAsia="Calibri"/>
          <w:color w:val="000000" w:themeColor="text1"/>
          <w:sz w:val="28"/>
          <w:szCs w:val="28"/>
          <w:lang w:eastAsia="en-US"/>
        </w:rPr>
        <w:t>темного кольору</w:t>
      </w:r>
      <w:r w:rsidRPr="00520861">
        <w:rPr>
          <w:rFonts w:eastAsia="Calibri"/>
          <w:color w:val="000000" w:themeColor="text1"/>
          <w:sz w:val="28"/>
          <w:szCs w:val="28"/>
          <w:lang w:val="ru-RU" w:eastAsia="en-US"/>
        </w:rPr>
        <w:t xml:space="preserve"> [60]</w:t>
      </w:r>
      <w:r w:rsidRPr="00520861">
        <w:rPr>
          <w:rFonts w:eastAsia="Calibri"/>
          <w:color w:val="000000" w:themeColor="text1"/>
          <w:sz w:val="28"/>
          <w:szCs w:val="28"/>
          <w:lang w:eastAsia="en-US"/>
        </w:rPr>
        <w:t xml:space="preserve">. </w:t>
      </w:r>
    </w:p>
    <w:p w14:paraId="1412D097"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Значна </w:t>
      </w:r>
      <w:proofErr w:type="spellStart"/>
      <w:r w:rsidRPr="00520861">
        <w:rPr>
          <w:rFonts w:eastAsia="Calibri"/>
          <w:color w:val="000000" w:themeColor="text1"/>
          <w:sz w:val="28"/>
          <w:szCs w:val="28"/>
          <w:lang w:eastAsia="en-US"/>
        </w:rPr>
        <w:t>атрофізація</w:t>
      </w:r>
      <w:proofErr w:type="spellEnd"/>
      <w:r w:rsidRPr="00520861">
        <w:rPr>
          <w:rFonts w:eastAsia="Calibri"/>
          <w:color w:val="000000" w:themeColor="text1"/>
          <w:sz w:val="28"/>
          <w:szCs w:val="28"/>
          <w:lang w:eastAsia="en-US"/>
        </w:rPr>
        <w:t xml:space="preserve"> пульпи у тварин цієї групи проявлялася у компенсаторному збільшенні РНК у відростках (порівняно з контрольними тваринами). У пульпі деяких тварин спостерігаються локальні </w:t>
      </w:r>
      <w:proofErr w:type="spellStart"/>
      <w:r w:rsidRPr="00520861">
        <w:rPr>
          <w:rFonts w:eastAsia="Calibri"/>
          <w:color w:val="000000" w:themeColor="text1"/>
          <w:sz w:val="28"/>
          <w:szCs w:val="28"/>
          <w:lang w:eastAsia="en-US"/>
        </w:rPr>
        <w:t>макрофагально-лімфоцитарні</w:t>
      </w:r>
      <w:proofErr w:type="spellEnd"/>
      <w:r w:rsidRPr="00520861">
        <w:rPr>
          <w:rFonts w:eastAsia="Calibri"/>
          <w:color w:val="000000" w:themeColor="text1"/>
          <w:sz w:val="28"/>
          <w:szCs w:val="28"/>
          <w:lang w:eastAsia="en-US"/>
        </w:rPr>
        <w:t xml:space="preserve"> інфільтрати, які виникли внаслідок ускладнень каріозного процесу (рис. </w:t>
      </w:r>
      <w:r w:rsidRPr="00520861">
        <w:rPr>
          <w:rFonts w:eastAsia="Calibri"/>
          <w:sz w:val="28"/>
          <w:szCs w:val="28"/>
          <w:lang w:eastAsia="en-US"/>
        </w:rPr>
        <w:t>3.12</w:t>
      </w:r>
      <w:r w:rsidRPr="00520861">
        <w:rPr>
          <w:rFonts w:eastAsia="Calibri"/>
          <w:i/>
          <w:sz w:val="28"/>
          <w:szCs w:val="28"/>
          <w:lang w:eastAsia="en-US"/>
        </w:rPr>
        <w:t>в</w:t>
      </w:r>
      <w:r w:rsidRPr="00520861">
        <w:rPr>
          <w:rFonts w:eastAsia="Calibri"/>
          <w:color w:val="000000" w:themeColor="text1"/>
          <w:sz w:val="28"/>
          <w:szCs w:val="28"/>
          <w:lang w:eastAsia="en-US"/>
        </w:rPr>
        <w:t xml:space="preserve">). </w:t>
      </w:r>
    </w:p>
    <w:p w14:paraId="30D8E3E2"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У тримісячних тварин групи 4 у периферійній зоні пульпи тіла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розташовані в один шар (рис. 3.12</w:t>
      </w:r>
      <w:r w:rsidRPr="00520861">
        <w:rPr>
          <w:rFonts w:eastAsia="Calibri"/>
          <w:i/>
          <w:color w:val="000000" w:themeColor="text1"/>
          <w:sz w:val="28"/>
          <w:szCs w:val="28"/>
          <w:lang w:eastAsia="en-US"/>
        </w:rPr>
        <w:t>г</w:t>
      </w:r>
      <w:r w:rsidRPr="00520861">
        <w:rPr>
          <w:rFonts w:eastAsia="Calibri"/>
          <w:color w:val="000000" w:themeColor="text1"/>
          <w:sz w:val="28"/>
          <w:szCs w:val="28"/>
          <w:lang w:eastAsia="en-US"/>
        </w:rPr>
        <w:t xml:space="preserve">), спостерігається їхня виражена </w:t>
      </w:r>
      <w:proofErr w:type="spellStart"/>
      <w:r w:rsidRPr="00520861">
        <w:rPr>
          <w:rFonts w:eastAsia="Calibri"/>
          <w:color w:val="000000" w:themeColor="text1"/>
          <w:sz w:val="28"/>
          <w:szCs w:val="28"/>
          <w:lang w:eastAsia="en-US"/>
        </w:rPr>
        <w:t>атрофізація</w:t>
      </w:r>
      <w:proofErr w:type="spellEnd"/>
      <w:r w:rsidRPr="00520861">
        <w:rPr>
          <w:rFonts w:eastAsia="Calibri"/>
          <w:color w:val="000000" w:themeColor="text1"/>
          <w:sz w:val="28"/>
          <w:szCs w:val="28"/>
          <w:lang w:eastAsia="en-US"/>
        </w:rPr>
        <w:t xml:space="preserve"> [60]. Розмір тіл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у середньому на 41% менший, ніж у контролі (табл. 3.5). </w:t>
      </w:r>
    </w:p>
    <w:p w14:paraId="0BAB2355"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Таким чином, у щурів груп 3 та 4 спостерігається зменшена кількість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по периметру </w:t>
      </w:r>
      <w:proofErr w:type="spellStart"/>
      <w:r w:rsidRPr="00520861">
        <w:rPr>
          <w:rFonts w:eastAsia="Calibri"/>
          <w:color w:val="000000" w:themeColor="text1"/>
          <w:sz w:val="28"/>
          <w:szCs w:val="28"/>
          <w:lang w:eastAsia="en-US"/>
        </w:rPr>
        <w:t>пульпової</w:t>
      </w:r>
      <w:proofErr w:type="spellEnd"/>
      <w:r w:rsidRPr="00520861">
        <w:rPr>
          <w:rFonts w:eastAsia="Calibri"/>
          <w:color w:val="000000" w:themeColor="text1"/>
          <w:sz w:val="28"/>
          <w:szCs w:val="28"/>
          <w:lang w:eastAsia="en-US"/>
        </w:rPr>
        <w:t xml:space="preserve"> камери, </w:t>
      </w:r>
      <w:proofErr w:type="spellStart"/>
      <w:r w:rsidRPr="00520861">
        <w:rPr>
          <w:rFonts w:eastAsia="Calibri"/>
          <w:color w:val="000000" w:themeColor="text1"/>
          <w:sz w:val="28"/>
          <w:szCs w:val="28"/>
          <w:lang w:eastAsia="en-US"/>
        </w:rPr>
        <w:t>візуалізуються</w:t>
      </w:r>
      <w:proofErr w:type="spellEnd"/>
      <w:r w:rsidRPr="00520861">
        <w:rPr>
          <w:rFonts w:eastAsia="Calibri"/>
          <w:color w:val="000000" w:themeColor="text1"/>
          <w:sz w:val="28"/>
          <w:szCs w:val="28"/>
          <w:lang w:eastAsia="en-US"/>
        </w:rPr>
        <w:t xml:space="preserve"> навіть ділянки, де </w:t>
      </w:r>
      <w:proofErr w:type="spellStart"/>
      <w:r w:rsidRPr="00520861">
        <w:rPr>
          <w:rFonts w:eastAsia="Calibri"/>
          <w:color w:val="000000" w:themeColor="text1"/>
          <w:sz w:val="28"/>
          <w:szCs w:val="28"/>
          <w:lang w:eastAsia="en-US"/>
        </w:rPr>
        <w:t>одонтобласти</w:t>
      </w:r>
      <w:proofErr w:type="spellEnd"/>
      <w:r w:rsidRPr="00520861">
        <w:rPr>
          <w:rFonts w:eastAsia="Calibri"/>
          <w:color w:val="000000" w:themeColor="text1"/>
          <w:sz w:val="28"/>
          <w:szCs w:val="28"/>
          <w:lang w:eastAsia="en-US"/>
        </w:rPr>
        <w:t xml:space="preserve"> повністю відсутні. Високий рівень РНК у цитоплазмі відростків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у цих тварин у три місяці (табл. 3.5) носить компенсаторний характер і свідчить про те, що </w:t>
      </w:r>
      <w:proofErr w:type="spellStart"/>
      <w:r w:rsidRPr="00520861">
        <w:rPr>
          <w:rFonts w:eastAsia="Calibri"/>
          <w:color w:val="000000" w:themeColor="text1"/>
          <w:sz w:val="28"/>
          <w:szCs w:val="28"/>
          <w:lang w:eastAsia="en-US"/>
        </w:rPr>
        <w:t>атрофізація</w:t>
      </w:r>
      <w:proofErr w:type="spellEnd"/>
      <w:r w:rsidRPr="00520861">
        <w:rPr>
          <w:rFonts w:eastAsia="Calibri"/>
          <w:color w:val="000000" w:themeColor="text1"/>
          <w:sz w:val="28"/>
          <w:szCs w:val="28"/>
          <w:lang w:eastAsia="en-US"/>
        </w:rPr>
        <w:t xml:space="preserve"> шару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уже відбулася. </w:t>
      </w:r>
    </w:p>
    <w:p w14:paraId="3F771945"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Стан твердих тканин зубів оцінювали, у першу чергу, за кількістю каріозних уражень. </w:t>
      </w:r>
    </w:p>
    <w:p w14:paraId="5711380B" w14:textId="77777777" w:rsidR="00CF641C" w:rsidRPr="00520861" w:rsidRDefault="00CF641C" w:rsidP="00292D2E">
      <w:pPr>
        <w:widowControl w:val="0"/>
        <w:spacing w:line="360" w:lineRule="auto"/>
        <w:ind w:firstLine="708"/>
        <w:contextualSpacing/>
        <w:jc w:val="both"/>
        <w:rPr>
          <w:rFonts w:eastAsia="Calibri"/>
          <w:spacing w:val="-2"/>
          <w:sz w:val="28"/>
          <w:szCs w:val="28"/>
          <w:lang w:eastAsia="en-US"/>
        </w:rPr>
      </w:pPr>
      <w:r w:rsidRPr="00520861">
        <w:rPr>
          <w:rFonts w:eastAsia="Calibri"/>
          <w:sz w:val="28"/>
          <w:szCs w:val="28"/>
          <w:lang w:eastAsia="en-US"/>
        </w:rPr>
        <w:t xml:space="preserve">Як демонструє табл. 3.6. у досліджуваному віковому періоді у тварин групи 1 спостерігаються вірогідно вищі, ніж у контролі, проте найменші серед інших основних груп значення показників карієсу. Медіанне значення кількості каріозних </w:t>
      </w:r>
      <w:r w:rsidRPr="00520861">
        <w:rPr>
          <w:rFonts w:eastAsia="Calibri"/>
          <w:spacing w:val="-2"/>
          <w:sz w:val="28"/>
          <w:szCs w:val="28"/>
          <w:lang w:eastAsia="en-US"/>
        </w:rPr>
        <w:t>уражень у тварин групи 2 також було вірогідно вищим за таке у контрольних тварин.</w:t>
      </w:r>
    </w:p>
    <w:p w14:paraId="4A9FDEE1"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 тварин груп 3 та 4 каріозних уражень практично вдвічі більше, ніж у контролі, відмінності також є вірогідними. Для виявлення можливого зв’язку між індексом маси тіла тварини при народженні та кількістю в неї зубів із карієсом були розраховані коефіцієнти кореляції </w:t>
      </w:r>
      <w:proofErr w:type="spellStart"/>
      <w:r w:rsidRPr="00520861">
        <w:rPr>
          <w:rFonts w:eastAsia="Calibri"/>
          <w:sz w:val="28"/>
          <w:szCs w:val="28"/>
          <w:lang w:eastAsia="en-US"/>
        </w:rPr>
        <w:t>Пірсона</w:t>
      </w:r>
      <w:proofErr w:type="spellEnd"/>
      <w:r w:rsidRPr="00520861">
        <w:rPr>
          <w:rFonts w:eastAsia="Calibri"/>
          <w:sz w:val="28"/>
          <w:szCs w:val="28"/>
          <w:lang w:eastAsia="en-US"/>
        </w:rPr>
        <w:t>, які представлені в табл. 3.7.</w:t>
      </w:r>
    </w:p>
    <w:p w14:paraId="72363241"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Видно, що через невелику кількість тварин у окремих підгрупах надійних даних для них практично немає. Проте, в обох групах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ожирінням (група 3 та 4) величина </w:t>
      </w:r>
      <w:proofErr w:type="spellStart"/>
      <w:r w:rsidRPr="00520861">
        <w:rPr>
          <w:rFonts w:eastAsia="Calibri"/>
          <w:sz w:val="28"/>
          <w:szCs w:val="28"/>
          <w:lang w:eastAsia="en-US"/>
        </w:rPr>
        <w:t>коєфіціенту</w:t>
      </w:r>
      <w:proofErr w:type="spellEnd"/>
      <w:r w:rsidRPr="00520861">
        <w:rPr>
          <w:rFonts w:eastAsia="Calibri"/>
          <w:sz w:val="28"/>
          <w:szCs w:val="28"/>
          <w:lang w:eastAsia="en-US"/>
        </w:rPr>
        <w:t xml:space="preserve"> кореляції свідчить про наявність кореляції середньої сили, хоча, як уже було сказано, невірогідної, через невелику кількість випадків.</w:t>
      </w:r>
    </w:p>
    <w:p w14:paraId="2432E39F" w14:textId="77777777" w:rsidR="00CF641C" w:rsidRPr="00520861" w:rsidRDefault="00CF641C" w:rsidP="00292D2E">
      <w:pPr>
        <w:widowControl w:val="0"/>
        <w:spacing w:line="360" w:lineRule="auto"/>
        <w:contextualSpacing/>
        <w:jc w:val="right"/>
        <w:rPr>
          <w:rFonts w:eastAsiaTheme="minorHAnsi"/>
          <w:i/>
          <w:sz w:val="28"/>
          <w:szCs w:val="28"/>
          <w:lang w:eastAsia="en-US"/>
        </w:rPr>
      </w:pPr>
      <w:r w:rsidRPr="00520861">
        <w:rPr>
          <w:rFonts w:eastAsiaTheme="minorHAnsi"/>
          <w:i/>
          <w:sz w:val="28"/>
          <w:szCs w:val="28"/>
          <w:lang w:eastAsia="en-US"/>
        </w:rPr>
        <w:lastRenderedPageBreak/>
        <w:t>Таблиця 3.6</w:t>
      </w:r>
    </w:p>
    <w:p w14:paraId="4F5315EA" w14:textId="77777777" w:rsidR="00CF641C" w:rsidRPr="00520861" w:rsidRDefault="00CF641C" w:rsidP="00292D2E">
      <w:pPr>
        <w:widowControl w:val="0"/>
        <w:spacing w:line="360" w:lineRule="auto"/>
        <w:contextualSpacing/>
        <w:jc w:val="center"/>
        <w:rPr>
          <w:rFonts w:eastAsiaTheme="minorHAnsi"/>
          <w:b/>
          <w:sz w:val="28"/>
          <w:szCs w:val="28"/>
          <w:lang w:eastAsia="en-US"/>
        </w:rPr>
      </w:pPr>
      <w:r w:rsidRPr="00520861">
        <w:rPr>
          <w:rFonts w:eastAsia="Calibri"/>
          <w:b/>
          <w:bCs/>
          <w:sz w:val="28"/>
          <w:szCs w:val="28"/>
          <w:lang w:eastAsia="en-US"/>
        </w:rPr>
        <w:t xml:space="preserve">Медіанні значення </w:t>
      </w:r>
      <w:proofErr w:type="spellStart"/>
      <w:r w:rsidRPr="00520861">
        <w:rPr>
          <w:rFonts w:eastAsia="Calibri"/>
          <w:b/>
          <w:bCs/>
          <w:sz w:val="28"/>
          <w:szCs w:val="28"/>
          <w:lang w:eastAsia="en-US"/>
        </w:rPr>
        <w:t>Me</w:t>
      </w:r>
      <w:proofErr w:type="spellEnd"/>
      <w:r w:rsidRPr="00520861">
        <w:rPr>
          <w:rFonts w:eastAsia="Calibri"/>
          <w:b/>
          <w:bCs/>
          <w:sz w:val="28"/>
          <w:szCs w:val="28"/>
          <w:lang w:eastAsia="en-US"/>
        </w:rPr>
        <w:t xml:space="preserve"> (Q3; Q1) п</w:t>
      </w:r>
      <w:r w:rsidRPr="00520861">
        <w:rPr>
          <w:rFonts w:eastAsiaTheme="minorHAnsi"/>
          <w:b/>
          <w:sz w:val="28"/>
          <w:szCs w:val="28"/>
          <w:lang w:eastAsia="en-US"/>
        </w:rPr>
        <w:t xml:space="preserve">оказників інтенсивності каріозних уражень та площі тіл </w:t>
      </w:r>
      <w:proofErr w:type="spellStart"/>
      <w:r w:rsidRPr="00520861">
        <w:rPr>
          <w:rFonts w:eastAsiaTheme="minorHAnsi"/>
          <w:b/>
          <w:sz w:val="28"/>
          <w:szCs w:val="28"/>
          <w:lang w:eastAsia="en-US"/>
        </w:rPr>
        <w:t>одонтобластів</w:t>
      </w:r>
      <w:proofErr w:type="spellEnd"/>
      <w:r w:rsidRPr="00520861">
        <w:rPr>
          <w:rFonts w:eastAsiaTheme="minorHAnsi"/>
          <w:b/>
          <w:sz w:val="28"/>
          <w:szCs w:val="28"/>
          <w:lang w:eastAsia="en-US"/>
        </w:rPr>
        <w:t xml:space="preserve"> у групах тримісячних експериментальних тварин</w:t>
      </w:r>
    </w:p>
    <w:tbl>
      <w:tblPr>
        <w:tblStyle w:val="41"/>
        <w:tblW w:w="9918" w:type="dxa"/>
        <w:jc w:val="right"/>
        <w:tblLook w:val="04A0" w:firstRow="1" w:lastRow="0" w:firstColumn="1" w:lastColumn="0" w:noHBand="0" w:noVBand="1"/>
      </w:tblPr>
      <w:tblGrid>
        <w:gridCol w:w="2806"/>
        <w:gridCol w:w="7112"/>
      </w:tblGrid>
      <w:tr w:rsidR="00CF641C" w:rsidRPr="00520861" w14:paraId="33E5DADE" w14:textId="77777777" w:rsidTr="00292D2E">
        <w:trPr>
          <w:jc w:val="right"/>
        </w:trPr>
        <w:tc>
          <w:tcPr>
            <w:tcW w:w="2806" w:type="dxa"/>
            <w:tcBorders>
              <w:top w:val="single" w:sz="4" w:space="0" w:color="auto"/>
              <w:left w:val="single" w:sz="4" w:space="0" w:color="auto"/>
              <w:right w:val="single" w:sz="4" w:space="0" w:color="auto"/>
            </w:tcBorders>
            <w:vAlign w:val="center"/>
          </w:tcPr>
          <w:p w14:paraId="417C92F7" w14:textId="77777777" w:rsidR="00CF641C" w:rsidRPr="00520861" w:rsidRDefault="00CF641C" w:rsidP="00292D2E">
            <w:pPr>
              <w:widowControl w:val="0"/>
              <w:spacing w:line="360" w:lineRule="auto"/>
              <w:jc w:val="center"/>
              <w:rPr>
                <w:rFonts w:eastAsia="Calibri" w:cs="Times New Roman"/>
                <w:sz w:val="28"/>
                <w:szCs w:val="28"/>
              </w:rPr>
            </w:pPr>
            <w:r w:rsidRPr="00520861">
              <w:rPr>
                <w:rFonts w:cs="Times New Roman"/>
                <w:sz w:val="28"/>
                <w:szCs w:val="28"/>
              </w:rPr>
              <w:t>Група дослідження</w:t>
            </w:r>
          </w:p>
        </w:tc>
        <w:tc>
          <w:tcPr>
            <w:tcW w:w="7112" w:type="dxa"/>
          </w:tcPr>
          <w:p w14:paraId="631EE937"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 xml:space="preserve">Кількість каріозних зубів, </w:t>
            </w:r>
            <w:r w:rsidRPr="00520861">
              <w:rPr>
                <w:rFonts w:eastAsiaTheme="minorHAnsi" w:cs="Times New Roman"/>
                <w:i/>
                <w:sz w:val="28"/>
                <w:szCs w:val="28"/>
              </w:rPr>
              <w:t>n</w:t>
            </w:r>
          </w:p>
        </w:tc>
      </w:tr>
      <w:tr w:rsidR="00CF641C" w:rsidRPr="00520861" w14:paraId="78CD9D02" w14:textId="77777777" w:rsidTr="00292D2E">
        <w:trPr>
          <w:jc w:val="right"/>
        </w:trPr>
        <w:tc>
          <w:tcPr>
            <w:tcW w:w="2806" w:type="dxa"/>
          </w:tcPr>
          <w:p w14:paraId="140A421B"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Контроль</w:t>
            </w:r>
          </w:p>
        </w:tc>
        <w:tc>
          <w:tcPr>
            <w:tcW w:w="7112" w:type="dxa"/>
          </w:tcPr>
          <w:p w14:paraId="6896B5E9"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3,00 (3,75; 3,00)</w:t>
            </w:r>
          </w:p>
        </w:tc>
      </w:tr>
      <w:tr w:rsidR="00CF641C" w:rsidRPr="00520861" w14:paraId="1F9B6DCD" w14:textId="77777777" w:rsidTr="00292D2E">
        <w:trPr>
          <w:jc w:val="right"/>
        </w:trPr>
        <w:tc>
          <w:tcPr>
            <w:tcW w:w="2806" w:type="dxa"/>
          </w:tcPr>
          <w:p w14:paraId="030D4F1D"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Група 1</w:t>
            </w:r>
          </w:p>
        </w:tc>
        <w:tc>
          <w:tcPr>
            <w:tcW w:w="7112" w:type="dxa"/>
          </w:tcPr>
          <w:p w14:paraId="30A0C8E7"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4,00</w:t>
            </w:r>
            <w:r w:rsidRPr="00520861">
              <w:rPr>
                <w:rFonts w:eastAsia="Calibri" w:cs="Times New Roman"/>
                <w:sz w:val="28"/>
                <w:szCs w:val="28"/>
              </w:rPr>
              <w:t>*</w:t>
            </w:r>
            <w:r w:rsidRPr="00520861">
              <w:rPr>
                <w:rFonts w:eastAsiaTheme="minorHAnsi" w:cs="Times New Roman"/>
                <w:sz w:val="28"/>
                <w:szCs w:val="28"/>
              </w:rPr>
              <w:t xml:space="preserve"> (4,00; 4,00),</w:t>
            </w:r>
          </w:p>
          <w:p w14:paraId="234816B2" w14:textId="77777777" w:rsidR="00CF641C" w:rsidRPr="00520861" w:rsidRDefault="00CF641C" w:rsidP="00292D2E">
            <w:pPr>
              <w:widowControl w:val="0"/>
              <w:spacing w:line="360" w:lineRule="auto"/>
              <w:ind w:right="-112"/>
              <w:jc w:val="center"/>
              <w:rPr>
                <w:rFonts w:eastAsiaTheme="minorHAnsi" w:cs="Times New Roman"/>
                <w:sz w:val="28"/>
                <w:szCs w:val="28"/>
              </w:rPr>
            </w:pPr>
            <w:r w:rsidRPr="00520861">
              <w:rPr>
                <w:rFonts w:eastAsiaTheme="minorHAnsi" w:cs="Times New Roman"/>
                <w:sz w:val="28"/>
                <w:szCs w:val="28"/>
              </w:rPr>
              <w:t xml:space="preserve"> </w:t>
            </w:r>
            <w:r w:rsidRPr="00520861">
              <w:rPr>
                <w:rFonts w:cs="Times New Roman"/>
                <w:i/>
                <w:sz w:val="28"/>
                <w:szCs w:val="28"/>
              </w:rPr>
              <w:t>p</w:t>
            </w:r>
            <w:r w:rsidRPr="00520861">
              <w:rPr>
                <w:rFonts w:cs="Times New Roman"/>
                <w:sz w:val="28"/>
                <w:szCs w:val="28"/>
              </w:rPr>
              <w:t>=0,0268</w:t>
            </w:r>
          </w:p>
        </w:tc>
      </w:tr>
      <w:tr w:rsidR="00CF641C" w:rsidRPr="00520861" w14:paraId="10DC7A36" w14:textId="77777777" w:rsidTr="00292D2E">
        <w:trPr>
          <w:jc w:val="right"/>
        </w:trPr>
        <w:tc>
          <w:tcPr>
            <w:tcW w:w="2806" w:type="dxa"/>
          </w:tcPr>
          <w:p w14:paraId="28D021B9"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Група 2</w:t>
            </w:r>
          </w:p>
        </w:tc>
        <w:tc>
          <w:tcPr>
            <w:tcW w:w="7112" w:type="dxa"/>
          </w:tcPr>
          <w:p w14:paraId="53AA7E4A"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6,00</w:t>
            </w:r>
            <w:r w:rsidRPr="00520861">
              <w:rPr>
                <w:rFonts w:eastAsia="Calibri" w:cs="Times New Roman"/>
                <w:sz w:val="28"/>
                <w:szCs w:val="28"/>
              </w:rPr>
              <w:t>*</w:t>
            </w:r>
            <w:r w:rsidRPr="00520861">
              <w:rPr>
                <w:rFonts w:eastAsiaTheme="minorHAnsi" w:cs="Times New Roman"/>
                <w:sz w:val="28"/>
                <w:szCs w:val="28"/>
              </w:rPr>
              <w:t xml:space="preserve"> (6,00; 4,00),</w:t>
            </w:r>
          </w:p>
          <w:p w14:paraId="4EBBACAE"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 xml:space="preserve"> </w:t>
            </w:r>
            <w:r w:rsidRPr="00520861">
              <w:rPr>
                <w:rFonts w:cs="Times New Roman"/>
                <w:i/>
                <w:sz w:val="28"/>
                <w:szCs w:val="28"/>
              </w:rPr>
              <w:t>p</w:t>
            </w:r>
            <w:r w:rsidRPr="00520861">
              <w:rPr>
                <w:rFonts w:cs="Times New Roman"/>
                <w:sz w:val="28"/>
                <w:szCs w:val="28"/>
              </w:rPr>
              <w:t>=0,0139</w:t>
            </w:r>
          </w:p>
        </w:tc>
      </w:tr>
      <w:tr w:rsidR="00CF641C" w:rsidRPr="00520861" w14:paraId="6090B48D" w14:textId="77777777" w:rsidTr="00292D2E">
        <w:trPr>
          <w:jc w:val="right"/>
        </w:trPr>
        <w:tc>
          <w:tcPr>
            <w:tcW w:w="2806" w:type="dxa"/>
          </w:tcPr>
          <w:p w14:paraId="75492BC7"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Група 3</w:t>
            </w:r>
          </w:p>
        </w:tc>
        <w:tc>
          <w:tcPr>
            <w:tcW w:w="7112" w:type="dxa"/>
          </w:tcPr>
          <w:p w14:paraId="13215A0C"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7,50</w:t>
            </w:r>
            <w:r w:rsidRPr="00520861">
              <w:rPr>
                <w:rFonts w:eastAsia="Calibri" w:cs="Times New Roman"/>
                <w:sz w:val="28"/>
                <w:szCs w:val="28"/>
              </w:rPr>
              <w:t>*</w:t>
            </w:r>
            <w:r w:rsidRPr="00520861">
              <w:rPr>
                <w:rFonts w:eastAsiaTheme="minorHAnsi" w:cs="Times New Roman"/>
                <w:sz w:val="28"/>
                <w:szCs w:val="28"/>
              </w:rPr>
              <w:t xml:space="preserve"> (8,25; 7,00),</w:t>
            </w:r>
          </w:p>
          <w:p w14:paraId="01882F71"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 xml:space="preserve"> </w:t>
            </w:r>
            <w:r w:rsidRPr="00520861">
              <w:rPr>
                <w:rFonts w:cs="Times New Roman"/>
                <w:i/>
                <w:sz w:val="28"/>
                <w:szCs w:val="28"/>
              </w:rPr>
              <w:t>p</w:t>
            </w:r>
            <w:r w:rsidRPr="00520861">
              <w:rPr>
                <w:rFonts w:cs="Times New Roman"/>
                <w:sz w:val="28"/>
                <w:szCs w:val="28"/>
              </w:rPr>
              <w:t>=0,0017</w:t>
            </w:r>
          </w:p>
        </w:tc>
      </w:tr>
      <w:tr w:rsidR="00CF641C" w:rsidRPr="00520861" w14:paraId="5DCC2C63" w14:textId="77777777" w:rsidTr="00292D2E">
        <w:trPr>
          <w:jc w:val="right"/>
        </w:trPr>
        <w:tc>
          <w:tcPr>
            <w:tcW w:w="2806" w:type="dxa"/>
          </w:tcPr>
          <w:p w14:paraId="2A6B6F66"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Група 4</w:t>
            </w:r>
          </w:p>
        </w:tc>
        <w:tc>
          <w:tcPr>
            <w:tcW w:w="7112" w:type="dxa"/>
          </w:tcPr>
          <w:p w14:paraId="769D69C1"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7,00</w:t>
            </w:r>
            <w:r w:rsidRPr="00520861">
              <w:rPr>
                <w:rFonts w:eastAsia="Calibri" w:cs="Times New Roman"/>
                <w:sz w:val="28"/>
                <w:szCs w:val="28"/>
              </w:rPr>
              <w:t>*</w:t>
            </w:r>
            <w:r w:rsidRPr="00520861">
              <w:rPr>
                <w:rFonts w:eastAsiaTheme="minorHAnsi" w:cs="Times New Roman"/>
                <w:sz w:val="28"/>
                <w:szCs w:val="28"/>
              </w:rPr>
              <w:t xml:space="preserve"> (7,75; 7,00), </w:t>
            </w:r>
          </w:p>
          <w:p w14:paraId="0FEEF8D1"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cs="Times New Roman"/>
                <w:i/>
                <w:sz w:val="28"/>
                <w:szCs w:val="28"/>
              </w:rPr>
              <w:t>p</w:t>
            </w:r>
            <w:r w:rsidRPr="00520861">
              <w:rPr>
                <w:rFonts w:cs="Times New Roman"/>
                <w:sz w:val="28"/>
                <w:szCs w:val="28"/>
              </w:rPr>
              <w:t>=0,0034</w:t>
            </w:r>
          </w:p>
        </w:tc>
      </w:tr>
    </w:tbl>
    <w:p w14:paraId="7CCFB039"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p>
    <w:p w14:paraId="46A867E1"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45A5EF3D" w14:textId="77777777" w:rsidR="00CF641C" w:rsidRPr="00520861" w:rsidRDefault="00CF641C"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t>Таблиця 3.7</w:t>
      </w:r>
    </w:p>
    <w:p w14:paraId="09D7E276" w14:textId="77777777" w:rsidR="00CF641C" w:rsidRPr="00520861" w:rsidRDefault="00CF641C" w:rsidP="00292D2E">
      <w:pPr>
        <w:widowControl w:val="0"/>
        <w:spacing w:line="360" w:lineRule="auto"/>
        <w:contextualSpacing/>
        <w:jc w:val="center"/>
        <w:rPr>
          <w:rFonts w:eastAsia="Calibri"/>
          <w:b/>
          <w:sz w:val="28"/>
          <w:szCs w:val="28"/>
          <w:lang w:eastAsia="en-US"/>
        </w:rPr>
      </w:pPr>
      <w:r w:rsidRPr="00520861">
        <w:rPr>
          <w:rFonts w:eastAsia="Calibri"/>
          <w:b/>
          <w:sz w:val="28"/>
          <w:szCs w:val="28"/>
          <w:lang w:eastAsia="en-US"/>
        </w:rPr>
        <w:t xml:space="preserve">Коефіцієнти кореляції </w:t>
      </w:r>
      <w:proofErr w:type="spellStart"/>
      <w:r w:rsidRPr="00520861">
        <w:rPr>
          <w:rFonts w:eastAsia="Calibri"/>
          <w:b/>
          <w:sz w:val="28"/>
          <w:szCs w:val="28"/>
          <w:lang w:eastAsia="en-US"/>
        </w:rPr>
        <w:t>Пірсона</w:t>
      </w:r>
      <w:proofErr w:type="spellEnd"/>
      <w:r w:rsidRPr="00520861">
        <w:rPr>
          <w:rFonts w:eastAsia="Calibri"/>
          <w:b/>
          <w:sz w:val="28"/>
          <w:szCs w:val="28"/>
          <w:lang w:eastAsia="en-US"/>
        </w:rPr>
        <w:t xml:space="preserve"> між значеннями індексів маси тіла при </w:t>
      </w:r>
      <w:r w:rsidRPr="00520861">
        <w:rPr>
          <w:rFonts w:eastAsia="Calibri"/>
          <w:b/>
          <w:sz w:val="28"/>
          <w:szCs w:val="28"/>
          <w:lang w:eastAsia="en-US"/>
        </w:rPr>
        <w:br/>
        <w:t xml:space="preserve">народженні та кількістю уражених карієсом зубів </w:t>
      </w:r>
      <w:r w:rsidRPr="00520861">
        <w:rPr>
          <w:rFonts w:eastAsiaTheme="minorHAnsi"/>
          <w:b/>
          <w:sz w:val="28"/>
          <w:szCs w:val="28"/>
          <w:lang w:eastAsia="en-US"/>
        </w:rPr>
        <w:t xml:space="preserve">у групах тримісячних </w:t>
      </w:r>
      <w:r w:rsidRPr="00520861">
        <w:rPr>
          <w:rFonts w:eastAsiaTheme="minorHAnsi"/>
          <w:b/>
          <w:sz w:val="28"/>
          <w:szCs w:val="28"/>
          <w:lang w:eastAsia="en-US"/>
        </w:rPr>
        <w:br/>
        <w:t>експериментальних тварин</w:t>
      </w:r>
    </w:p>
    <w:tbl>
      <w:tblPr>
        <w:tblStyle w:val="121"/>
        <w:tblW w:w="9809" w:type="dxa"/>
        <w:tblInd w:w="250" w:type="dxa"/>
        <w:tblLayout w:type="fixed"/>
        <w:tblLook w:val="04A0" w:firstRow="1" w:lastRow="0" w:firstColumn="1" w:lastColumn="0" w:noHBand="0" w:noVBand="1"/>
      </w:tblPr>
      <w:tblGrid>
        <w:gridCol w:w="2689"/>
        <w:gridCol w:w="2232"/>
        <w:gridCol w:w="2336"/>
        <w:gridCol w:w="2552"/>
      </w:tblGrid>
      <w:tr w:rsidR="00CF641C" w:rsidRPr="00520861" w14:paraId="6AB75734" w14:textId="77777777" w:rsidTr="00292D2E">
        <w:tc>
          <w:tcPr>
            <w:tcW w:w="2689" w:type="dxa"/>
            <w:tcBorders>
              <w:top w:val="single" w:sz="4" w:space="0" w:color="auto"/>
              <w:left w:val="single" w:sz="4" w:space="0" w:color="auto"/>
              <w:bottom w:val="single" w:sz="4" w:space="0" w:color="auto"/>
              <w:right w:val="single" w:sz="4" w:space="0" w:color="auto"/>
            </w:tcBorders>
            <w:vAlign w:val="center"/>
            <w:hideMark/>
          </w:tcPr>
          <w:p w14:paraId="3A17808A" w14:textId="77777777" w:rsidR="00CF641C" w:rsidRPr="00520861" w:rsidRDefault="00CF641C" w:rsidP="00292D2E">
            <w:pPr>
              <w:widowControl w:val="0"/>
              <w:spacing w:line="360" w:lineRule="auto"/>
              <w:contextualSpacing/>
              <w:rPr>
                <w:rFonts w:eastAsia="Calibri"/>
                <w:sz w:val="28"/>
                <w:szCs w:val="28"/>
              </w:rPr>
            </w:pPr>
            <w:r w:rsidRPr="00520861">
              <w:rPr>
                <w:rFonts w:eastAsia="Calibri"/>
                <w:sz w:val="28"/>
                <w:szCs w:val="28"/>
              </w:rPr>
              <w:t>Групи</w:t>
            </w:r>
          </w:p>
        </w:tc>
        <w:tc>
          <w:tcPr>
            <w:tcW w:w="2232" w:type="dxa"/>
            <w:tcBorders>
              <w:top w:val="single" w:sz="4" w:space="0" w:color="auto"/>
              <w:left w:val="single" w:sz="4" w:space="0" w:color="auto"/>
              <w:bottom w:val="single" w:sz="4" w:space="0" w:color="auto"/>
              <w:right w:val="single" w:sz="4" w:space="0" w:color="auto"/>
            </w:tcBorders>
            <w:hideMark/>
          </w:tcPr>
          <w:p w14:paraId="32AB0666" w14:textId="77777777" w:rsidR="00CF641C" w:rsidRPr="00520861" w:rsidRDefault="00CF641C" w:rsidP="00292D2E">
            <w:pPr>
              <w:widowControl w:val="0"/>
              <w:spacing w:line="360" w:lineRule="auto"/>
              <w:ind w:right="-108"/>
              <w:contextualSpacing/>
              <w:jc w:val="center"/>
              <w:rPr>
                <w:rFonts w:eastAsia="Calibri"/>
                <w:sz w:val="28"/>
                <w:szCs w:val="28"/>
              </w:rPr>
            </w:pPr>
            <w:r w:rsidRPr="00520861">
              <w:rPr>
                <w:rFonts w:eastAsia="Calibri"/>
                <w:sz w:val="28"/>
                <w:szCs w:val="28"/>
              </w:rPr>
              <w:t xml:space="preserve">Кількість тварин, </w:t>
            </w:r>
            <w:r w:rsidRPr="00520861">
              <w:rPr>
                <w:rFonts w:eastAsia="Calibri"/>
                <w:i/>
                <w:sz w:val="28"/>
                <w:szCs w:val="28"/>
              </w:rPr>
              <w:t>n</w:t>
            </w:r>
          </w:p>
        </w:tc>
        <w:tc>
          <w:tcPr>
            <w:tcW w:w="2336" w:type="dxa"/>
            <w:tcBorders>
              <w:top w:val="single" w:sz="4" w:space="0" w:color="auto"/>
              <w:left w:val="single" w:sz="4" w:space="0" w:color="auto"/>
              <w:bottom w:val="single" w:sz="4" w:space="0" w:color="auto"/>
              <w:right w:val="single" w:sz="4" w:space="0" w:color="auto"/>
            </w:tcBorders>
            <w:hideMark/>
          </w:tcPr>
          <w:p w14:paraId="66214FD8" w14:textId="77777777" w:rsidR="00CF641C" w:rsidRPr="00520861" w:rsidRDefault="00CF641C" w:rsidP="00292D2E">
            <w:pPr>
              <w:widowControl w:val="0"/>
              <w:spacing w:line="360" w:lineRule="auto"/>
              <w:ind w:right="-108"/>
              <w:contextualSpacing/>
              <w:jc w:val="center"/>
              <w:rPr>
                <w:rFonts w:eastAsia="Calibri"/>
                <w:sz w:val="28"/>
                <w:szCs w:val="28"/>
              </w:rPr>
            </w:pPr>
            <w:r w:rsidRPr="00520861">
              <w:rPr>
                <w:rFonts w:eastAsia="Calibri"/>
                <w:sz w:val="28"/>
                <w:szCs w:val="28"/>
              </w:rPr>
              <w:t xml:space="preserve">Кореляція </w:t>
            </w:r>
            <w:proofErr w:type="spellStart"/>
            <w:r w:rsidRPr="00520861">
              <w:rPr>
                <w:rFonts w:eastAsia="Calibri"/>
                <w:sz w:val="28"/>
                <w:szCs w:val="28"/>
              </w:rPr>
              <w:t>Пірсона</w:t>
            </w:r>
            <w:proofErr w:type="spellEnd"/>
            <w:r w:rsidRPr="00520861">
              <w:rPr>
                <w:rFonts w:eastAsia="Calibri"/>
                <w:sz w:val="28"/>
                <w:szCs w:val="28"/>
              </w:rPr>
              <w:t xml:space="preserve">, </w:t>
            </w:r>
            <w:r w:rsidRPr="00520861">
              <w:rPr>
                <w:rFonts w:eastAsia="Calibri"/>
                <w:i/>
                <w:sz w:val="28"/>
                <w:szCs w:val="28"/>
              </w:rPr>
              <w:t>r</w:t>
            </w:r>
          </w:p>
        </w:tc>
        <w:tc>
          <w:tcPr>
            <w:tcW w:w="2552" w:type="dxa"/>
            <w:tcBorders>
              <w:top w:val="single" w:sz="4" w:space="0" w:color="auto"/>
              <w:left w:val="single" w:sz="4" w:space="0" w:color="auto"/>
              <w:bottom w:val="single" w:sz="4" w:space="0" w:color="auto"/>
              <w:right w:val="single" w:sz="4" w:space="0" w:color="auto"/>
            </w:tcBorders>
            <w:hideMark/>
          </w:tcPr>
          <w:p w14:paraId="2700F4AD" w14:textId="77777777" w:rsidR="00CF641C" w:rsidRPr="00520861" w:rsidRDefault="00CF641C" w:rsidP="00292D2E">
            <w:pPr>
              <w:widowControl w:val="0"/>
              <w:spacing w:line="360" w:lineRule="auto"/>
              <w:ind w:right="-108"/>
              <w:contextualSpacing/>
              <w:jc w:val="center"/>
              <w:rPr>
                <w:rFonts w:eastAsia="Calibri"/>
                <w:sz w:val="28"/>
                <w:szCs w:val="28"/>
              </w:rPr>
            </w:pPr>
            <w:r w:rsidRPr="00520861">
              <w:rPr>
                <w:rFonts w:eastAsia="Calibri"/>
                <w:sz w:val="28"/>
                <w:szCs w:val="28"/>
              </w:rPr>
              <w:t xml:space="preserve">Ймовірність </w:t>
            </w:r>
            <w:r w:rsidRPr="00520861">
              <w:rPr>
                <w:rFonts w:eastAsia="Calibri"/>
                <w:sz w:val="28"/>
                <w:szCs w:val="28"/>
              </w:rPr>
              <w:br/>
              <w:t xml:space="preserve">похибки, </w:t>
            </w:r>
            <w:r w:rsidRPr="00520861">
              <w:rPr>
                <w:rFonts w:eastAsia="Calibri"/>
                <w:i/>
                <w:sz w:val="28"/>
                <w:szCs w:val="28"/>
              </w:rPr>
              <w:t>p</w:t>
            </w:r>
          </w:p>
        </w:tc>
      </w:tr>
      <w:tr w:rsidR="00CF641C" w:rsidRPr="00520861" w14:paraId="07470645" w14:textId="77777777" w:rsidTr="00292D2E">
        <w:tc>
          <w:tcPr>
            <w:tcW w:w="2689" w:type="dxa"/>
            <w:tcBorders>
              <w:top w:val="single" w:sz="4" w:space="0" w:color="auto"/>
              <w:left w:val="single" w:sz="4" w:space="0" w:color="auto"/>
              <w:bottom w:val="single" w:sz="4" w:space="0" w:color="auto"/>
              <w:right w:val="single" w:sz="4" w:space="0" w:color="auto"/>
            </w:tcBorders>
            <w:hideMark/>
          </w:tcPr>
          <w:p w14:paraId="1699553D" w14:textId="77777777" w:rsidR="00CF641C" w:rsidRPr="00520861" w:rsidRDefault="00CF641C" w:rsidP="00292D2E">
            <w:pPr>
              <w:widowControl w:val="0"/>
              <w:spacing w:line="360" w:lineRule="auto"/>
              <w:contextualSpacing/>
              <w:rPr>
                <w:rFonts w:eastAsia="Calibri"/>
                <w:sz w:val="28"/>
                <w:szCs w:val="28"/>
              </w:rPr>
            </w:pPr>
            <w:r w:rsidRPr="00520861">
              <w:rPr>
                <w:rFonts w:eastAsia="Calibri"/>
                <w:sz w:val="28"/>
                <w:szCs w:val="28"/>
              </w:rPr>
              <w:t>Контроль</w:t>
            </w:r>
          </w:p>
        </w:tc>
        <w:tc>
          <w:tcPr>
            <w:tcW w:w="2232" w:type="dxa"/>
            <w:tcBorders>
              <w:top w:val="single" w:sz="4" w:space="0" w:color="auto"/>
              <w:left w:val="single" w:sz="4" w:space="0" w:color="auto"/>
              <w:bottom w:val="single" w:sz="4" w:space="0" w:color="auto"/>
              <w:right w:val="single" w:sz="4" w:space="0" w:color="auto"/>
            </w:tcBorders>
            <w:hideMark/>
          </w:tcPr>
          <w:p w14:paraId="1367B57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w:t>
            </w:r>
          </w:p>
        </w:tc>
        <w:tc>
          <w:tcPr>
            <w:tcW w:w="2336" w:type="dxa"/>
            <w:tcBorders>
              <w:top w:val="single" w:sz="4" w:space="0" w:color="auto"/>
              <w:left w:val="single" w:sz="4" w:space="0" w:color="auto"/>
              <w:bottom w:val="single" w:sz="4" w:space="0" w:color="auto"/>
              <w:right w:val="single" w:sz="4" w:space="0" w:color="auto"/>
            </w:tcBorders>
            <w:hideMark/>
          </w:tcPr>
          <w:p w14:paraId="0CAA5C5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0,118</w:t>
            </w:r>
          </w:p>
        </w:tc>
        <w:tc>
          <w:tcPr>
            <w:tcW w:w="2552" w:type="dxa"/>
            <w:tcBorders>
              <w:top w:val="single" w:sz="4" w:space="0" w:color="auto"/>
              <w:left w:val="single" w:sz="4" w:space="0" w:color="auto"/>
              <w:bottom w:val="single" w:sz="4" w:space="0" w:color="auto"/>
              <w:right w:val="single" w:sz="4" w:space="0" w:color="auto"/>
            </w:tcBorders>
            <w:hideMark/>
          </w:tcPr>
          <w:p w14:paraId="7EA47C7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0,824</w:t>
            </w:r>
          </w:p>
        </w:tc>
      </w:tr>
      <w:tr w:rsidR="00CF641C" w:rsidRPr="00520861" w14:paraId="21BE71A2" w14:textId="77777777" w:rsidTr="00292D2E">
        <w:tc>
          <w:tcPr>
            <w:tcW w:w="2689" w:type="dxa"/>
            <w:tcBorders>
              <w:top w:val="single" w:sz="4" w:space="0" w:color="auto"/>
              <w:left w:val="single" w:sz="4" w:space="0" w:color="auto"/>
              <w:bottom w:val="single" w:sz="4" w:space="0" w:color="auto"/>
              <w:right w:val="single" w:sz="4" w:space="0" w:color="auto"/>
            </w:tcBorders>
          </w:tcPr>
          <w:p w14:paraId="4AC84B6C"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1 </w:t>
            </w:r>
          </w:p>
        </w:tc>
        <w:tc>
          <w:tcPr>
            <w:tcW w:w="2232" w:type="dxa"/>
            <w:tcBorders>
              <w:top w:val="single" w:sz="4" w:space="0" w:color="auto"/>
              <w:left w:val="single" w:sz="4" w:space="0" w:color="auto"/>
              <w:bottom w:val="single" w:sz="4" w:space="0" w:color="auto"/>
              <w:right w:val="single" w:sz="4" w:space="0" w:color="auto"/>
            </w:tcBorders>
          </w:tcPr>
          <w:p w14:paraId="01025D9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w:t>
            </w:r>
          </w:p>
        </w:tc>
        <w:tc>
          <w:tcPr>
            <w:tcW w:w="2336" w:type="dxa"/>
            <w:tcBorders>
              <w:top w:val="single" w:sz="4" w:space="0" w:color="auto"/>
              <w:left w:val="single" w:sz="4" w:space="0" w:color="auto"/>
              <w:bottom w:val="single" w:sz="4" w:space="0" w:color="auto"/>
              <w:right w:val="single" w:sz="4" w:space="0" w:color="auto"/>
            </w:tcBorders>
          </w:tcPr>
          <w:p w14:paraId="52CCCD7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0,141</w:t>
            </w:r>
          </w:p>
        </w:tc>
        <w:tc>
          <w:tcPr>
            <w:tcW w:w="2552" w:type="dxa"/>
            <w:tcBorders>
              <w:top w:val="single" w:sz="4" w:space="0" w:color="auto"/>
              <w:left w:val="single" w:sz="4" w:space="0" w:color="auto"/>
              <w:bottom w:val="single" w:sz="4" w:space="0" w:color="auto"/>
              <w:right w:val="single" w:sz="4" w:space="0" w:color="auto"/>
            </w:tcBorders>
          </w:tcPr>
          <w:p w14:paraId="15F2E16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0,820</w:t>
            </w:r>
          </w:p>
        </w:tc>
      </w:tr>
      <w:tr w:rsidR="00CF641C" w:rsidRPr="00520861" w14:paraId="6E28BD09" w14:textId="77777777" w:rsidTr="00292D2E">
        <w:tc>
          <w:tcPr>
            <w:tcW w:w="2689" w:type="dxa"/>
            <w:tcBorders>
              <w:top w:val="single" w:sz="4" w:space="0" w:color="auto"/>
              <w:left w:val="single" w:sz="4" w:space="0" w:color="auto"/>
              <w:bottom w:val="single" w:sz="4" w:space="0" w:color="auto"/>
              <w:right w:val="single" w:sz="4" w:space="0" w:color="auto"/>
            </w:tcBorders>
          </w:tcPr>
          <w:p w14:paraId="221A0A54" w14:textId="77777777" w:rsidR="00CF641C" w:rsidRPr="00520861" w:rsidRDefault="00CF641C" w:rsidP="00292D2E">
            <w:pPr>
              <w:widowControl w:val="0"/>
              <w:spacing w:line="360" w:lineRule="auto"/>
              <w:contextualSpacing/>
              <w:jc w:val="both"/>
              <w:rPr>
                <w:sz w:val="28"/>
                <w:szCs w:val="28"/>
              </w:rPr>
            </w:pPr>
            <w:r w:rsidRPr="00520861">
              <w:rPr>
                <w:sz w:val="28"/>
                <w:szCs w:val="28"/>
              </w:rPr>
              <w:t>Група 2</w:t>
            </w:r>
          </w:p>
        </w:tc>
        <w:tc>
          <w:tcPr>
            <w:tcW w:w="2232" w:type="dxa"/>
            <w:tcBorders>
              <w:top w:val="single" w:sz="4" w:space="0" w:color="auto"/>
              <w:left w:val="single" w:sz="4" w:space="0" w:color="auto"/>
              <w:bottom w:val="single" w:sz="4" w:space="0" w:color="auto"/>
              <w:right w:val="single" w:sz="4" w:space="0" w:color="auto"/>
            </w:tcBorders>
          </w:tcPr>
          <w:p w14:paraId="5C0AEE03"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w:t>
            </w:r>
          </w:p>
        </w:tc>
        <w:tc>
          <w:tcPr>
            <w:tcW w:w="2336" w:type="dxa"/>
            <w:tcBorders>
              <w:top w:val="single" w:sz="4" w:space="0" w:color="auto"/>
              <w:left w:val="single" w:sz="4" w:space="0" w:color="auto"/>
              <w:bottom w:val="single" w:sz="4" w:space="0" w:color="auto"/>
              <w:right w:val="single" w:sz="4" w:space="0" w:color="auto"/>
            </w:tcBorders>
          </w:tcPr>
          <w:p w14:paraId="2A59DD7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0,308</w:t>
            </w:r>
          </w:p>
        </w:tc>
        <w:tc>
          <w:tcPr>
            <w:tcW w:w="2552" w:type="dxa"/>
            <w:tcBorders>
              <w:top w:val="single" w:sz="4" w:space="0" w:color="auto"/>
              <w:left w:val="single" w:sz="4" w:space="0" w:color="auto"/>
              <w:bottom w:val="single" w:sz="4" w:space="0" w:color="auto"/>
              <w:right w:val="single" w:sz="4" w:space="0" w:color="auto"/>
            </w:tcBorders>
          </w:tcPr>
          <w:p w14:paraId="5491885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0,614</w:t>
            </w:r>
          </w:p>
        </w:tc>
      </w:tr>
      <w:tr w:rsidR="00CF641C" w:rsidRPr="00520861" w14:paraId="6DBA5C1C" w14:textId="77777777" w:rsidTr="00292D2E">
        <w:tc>
          <w:tcPr>
            <w:tcW w:w="2689" w:type="dxa"/>
            <w:tcBorders>
              <w:top w:val="single" w:sz="4" w:space="0" w:color="auto"/>
              <w:left w:val="single" w:sz="4" w:space="0" w:color="auto"/>
              <w:bottom w:val="single" w:sz="4" w:space="0" w:color="auto"/>
              <w:right w:val="single" w:sz="4" w:space="0" w:color="auto"/>
            </w:tcBorders>
            <w:hideMark/>
          </w:tcPr>
          <w:p w14:paraId="2BE8E208"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3 </w:t>
            </w:r>
          </w:p>
        </w:tc>
        <w:tc>
          <w:tcPr>
            <w:tcW w:w="2232" w:type="dxa"/>
            <w:tcBorders>
              <w:top w:val="single" w:sz="4" w:space="0" w:color="auto"/>
              <w:left w:val="single" w:sz="4" w:space="0" w:color="auto"/>
              <w:bottom w:val="single" w:sz="4" w:space="0" w:color="auto"/>
              <w:right w:val="single" w:sz="4" w:space="0" w:color="auto"/>
            </w:tcBorders>
            <w:hideMark/>
          </w:tcPr>
          <w:p w14:paraId="203405C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8</w:t>
            </w:r>
          </w:p>
        </w:tc>
        <w:tc>
          <w:tcPr>
            <w:tcW w:w="2336" w:type="dxa"/>
            <w:tcBorders>
              <w:top w:val="single" w:sz="4" w:space="0" w:color="auto"/>
              <w:left w:val="single" w:sz="4" w:space="0" w:color="auto"/>
              <w:bottom w:val="single" w:sz="4" w:space="0" w:color="auto"/>
              <w:right w:val="single" w:sz="4" w:space="0" w:color="auto"/>
            </w:tcBorders>
            <w:hideMark/>
          </w:tcPr>
          <w:p w14:paraId="06CE77F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0,536</w:t>
            </w:r>
          </w:p>
        </w:tc>
        <w:tc>
          <w:tcPr>
            <w:tcW w:w="2552" w:type="dxa"/>
            <w:tcBorders>
              <w:top w:val="single" w:sz="4" w:space="0" w:color="auto"/>
              <w:left w:val="single" w:sz="4" w:space="0" w:color="auto"/>
              <w:bottom w:val="single" w:sz="4" w:space="0" w:color="auto"/>
              <w:right w:val="single" w:sz="4" w:space="0" w:color="auto"/>
            </w:tcBorders>
            <w:hideMark/>
          </w:tcPr>
          <w:p w14:paraId="39DCFBF3"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0,171</w:t>
            </w:r>
          </w:p>
        </w:tc>
      </w:tr>
      <w:tr w:rsidR="00CF641C" w:rsidRPr="00520861" w14:paraId="6C90A3C7" w14:textId="77777777" w:rsidTr="00292D2E">
        <w:tc>
          <w:tcPr>
            <w:tcW w:w="2689" w:type="dxa"/>
            <w:tcBorders>
              <w:top w:val="single" w:sz="4" w:space="0" w:color="auto"/>
              <w:left w:val="single" w:sz="4" w:space="0" w:color="auto"/>
              <w:bottom w:val="single" w:sz="4" w:space="0" w:color="auto"/>
              <w:right w:val="single" w:sz="4" w:space="0" w:color="auto"/>
            </w:tcBorders>
            <w:hideMark/>
          </w:tcPr>
          <w:p w14:paraId="216C9F47"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4 </w:t>
            </w:r>
          </w:p>
        </w:tc>
        <w:tc>
          <w:tcPr>
            <w:tcW w:w="2232" w:type="dxa"/>
            <w:tcBorders>
              <w:top w:val="single" w:sz="4" w:space="0" w:color="auto"/>
              <w:left w:val="single" w:sz="4" w:space="0" w:color="auto"/>
              <w:bottom w:val="single" w:sz="4" w:space="0" w:color="auto"/>
              <w:right w:val="single" w:sz="4" w:space="0" w:color="auto"/>
            </w:tcBorders>
            <w:hideMark/>
          </w:tcPr>
          <w:p w14:paraId="5F27191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w:t>
            </w:r>
          </w:p>
        </w:tc>
        <w:tc>
          <w:tcPr>
            <w:tcW w:w="2336" w:type="dxa"/>
            <w:tcBorders>
              <w:top w:val="single" w:sz="4" w:space="0" w:color="auto"/>
              <w:left w:val="single" w:sz="4" w:space="0" w:color="auto"/>
              <w:bottom w:val="single" w:sz="4" w:space="0" w:color="auto"/>
              <w:right w:val="single" w:sz="4" w:space="0" w:color="auto"/>
            </w:tcBorders>
            <w:hideMark/>
          </w:tcPr>
          <w:p w14:paraId="79F99CC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0,614</w:t>
            </w:r>
          </w:p>
        </w:tc>
        <w:tc>
          <w:tcPr>
            <w:tcW w:w="2552" w:type="dxa"/>
            <w:tcBorders>
              <w:top w:val="single" w:sz="4" w:space="0" w:color="auto"/>
              <w:left w:val="single" w:sz="4" w:space="0" w:color="auto"/>
              <w:bottom w:val="single" w:sz="4" w:space="0" w:color="auto"/>
              <w:right w:val="single" w:sz="4" w:space="0" w:color="auto"/>
            </w:tcBorders>
            <w:hideMark/>
          </w:tcPr>
          <w:p w14:paraId="78017FC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0,195</w:t>
            </w:r>
          </w:p>
        </w:tc>
      </w:tr>
      <w:tr w:rsidR="00CF641C" w:rsidRPr="00520861" w14:paraId="0D4E8F89" w14:textId="77777777" w:rsidTr="00292D2E">
        <w:tc>
          <w:tcPr>
            <w:tcW w:w="2689" w:type="dxa"/>
            <w:tcBorders>
              <w:top w:val="single" w:sz="4" w:space="0" w:color="auto"/>
              <w:left w:val="single" w:sz="4" w:space="0" w:color="auto"/>
              <w:bottom w:val="single" w:sz="4" w:space="0" w:color="auto"/>
              <w:right w:val="single" w:sz="4" w:space="0" w:color="auto"/>
            </w:tcBorders>
            <w:hideMark/>
          </w:tcPr>
          <w:p w14:paraId="03E7EE13" w14:textId="77777777" w:rsidR="00CF641C" w:rsidRPr="00520861" w:rsidRDefault="00CF641C" w:rsidP="00292D2E">
            <w:pPr>
              <w:widowControl w:val="0"/>
              <w:spacing w:line="360" w:lineRule="auto"/>
              <w:contextualSpacing/>
              <w:rPr>
                <w:rFonts w:eastAsia="Calibri"/>
                <w:sz w:val="28"/>
                <w:szCs w:val="28"/>
              </w:rPr>
            </w:pPr>
            <w:proofErr w:type="spellStart"/>
            <w:r w:rsidRPr="00520861">
              <w:rPr>
                <w:rFonts w:eastAsia="Calibri"/>
                <w:sz w:val="28"/>
                <w:szCs w:val="28"/>
              </w:rPr>
              <w:t>Макросоми</w:t>
            </w:r>
            <w:proofErr w:type="spellEnd"/>
            <w:r w:rsidRPr="00520861">
              <w:rPr>
                <w:rFonts w:eastAsia="Calibri"/>
                <w:sz w:val="28"/>
                <w:szCs w:val="28"/>
              </w:rPr>
              <w:t xml:space="preserve"> разом</w:t>
            </w:r>
          </w:p>
        </w:tc>
        <w:tc>
          <w:tcPr>
            <w:tcW w:w="2232" w:type="dxa"/>
            <w:tcBorders>
              <w:top w:val="single" w:sz="4" w:space="0" w:color="auto"/>
              <w:left w:val="single" w:sz="4" w:space="0" w:color="auto"/>
              <w:bottom w:val="single" w:sz="4" w:space="0" w:color="auto"/>
              <w:right w:val="single" w:sz="4" w:space="0" w:color="auto"/>
            </w:tcBorders>
            <w:hideMark/>
          </w:tcPr>
          <w:p w14:paraId="73A50E3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24</w:t>
            </w:r>
          </w:p>
        </w:tc>
        <w:tc>
          <w:tcPr>
            <w:tcW w:w="2336" w:type="dxa"/>
            <w:tcBorders>
              <w:top w:val="single" w:sz="4" w:space="0" w:color="auto"/>
              <w:left w:val="single" w:sz="4" w:space="0" w:color="auto"/>
              <w:bottom w:val="single" w:sz="4" w:space="0" w:color="auto"/>
              <w:right w:val="single" w:sz="4" w:space="0" w:color="auto"/>
            </w:tcBorders>
            <w:hideMark/>
          </w:tcPr>
          <w:p w14:paraId="1E1F407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0,616*</w:t>
            </w:r>
          </w:p>
        </w:tc>
        <w:tc>
          <w:tcPr>
            <w:tcW w:w="2552" w:type="dxa"/>
            <w:tcBorders>
              <w:top w:val="single" w:sz="4" w:space="0" w:color="auto"/>
              <w:left w:val="single" w:sz="4" w:space="0" w:color="auto"/>
              <w:bottom w:val="single" w:sz="4" w:space="0" w:color="auto"/>
              <w:right w:val="single" w:sz="4" w:space="0" w:color="auto"/>
            </w:tcBorders>
            <w:hideMark/>
          </w:tcPr>
          <w:p w14:paraId="2FF962C3"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0,001*</w:t>
            </w:r>
          </w:p>
        </w:tc>
      </w:tr>
      <w:tr w:rsidR="00CF641C" w:rsidRPr="00520861" w14:paraId="7EE1EF7B" w14:textId="77777777" w:rsidTr="00292D2E">
        <w:tc>
          <w:tcPr>
            <w:tcW w:w="2689" w:type="dxa"/>
            <w:tcBorders>
              <w:top w:val="single" w:sz="4" w:space="0" w:color="auto"/>
              <w:left w:val="single" w:sz="4" w:space="0" w:color="auto"/>
              <w:bottom w:val="single" w:sz="4" w:space="0" w:color="auto"/>
              <w:right w:val="single" w:sz="4" w:space="0" w:color="auto"/>
            </w:tcBorders>
            <w:hideMark/>
          </w:tcPr>
          <w:p w14:paraId="19E53331" w14:textId="77777777" w:rsidR="00CF641C" w:rsidRPr="00520861" w:rsidRDefault="00CF641C" w:rsidP="00292D2E">
            <w:pPr>
              <w:widowControl w:val="0"/>
              <w:spacing w:line="360" w:lineRule="auto"/>
              <w:contextualSpacing/>
              <w:rPr>
                <w:rFonts w:eastAsia="Calibri"/>
                <w:sz w:val="28"/>
                <w:szCs w:val="28"/>
              </w:rPr>
            </w:pPr>
            <w:r w:rsidRPr="00520861">
              <w:rPr>
                <w:rFonts w:eastAsia="Calibri"/>
                <w:sz w:val="28"/>
                <w:szCs w:val="28"/>
              </w:rPr>
              <w:t>Усі разом</w:t>
            </w:r>
          </w:p>
        </w:tc>
        <w:tc>
          <w:tcPr>
            <w:tcW w:w="2232" w:type="dxa"/>
            <w:tcBorders>
              <w:top w:val="single" w:sz="4" w:space="0" w:color="auto"/>
              <w:left w:val="single" w:sz="4" w:space="0" w:color="auto"/>
              <w:bottom w:val="single" w:sz="4" w:space="0" w:color="auto"/>
              <w:right w:val="single" w:sz="4" w:space="0" w:color="auto"/>
            </w:tcBorders>
            <w:hideMark/>
          </w:tcPr>
          <w:p w14:paraId="08E9B00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30</w:t>
            </w:r>
          </w:p>
        </w:tc>
        <w:tc>
          <w:tcPr>
            <w:tcW w:w="2336" w:type="dxa"/>
            <w:tcBorders>
              <w:top w:val="single" w:sz="4" w:space="0" w:color="auto"/>
              <w:left w:val="single" w:sz="4" w:space="0" w:color="auto"/>
              <w:bottom w:val="single" w:sz="4" w:space="0" w:color="auto"/>
              <w:right w:val="single" w:sz="4" w:space="0" w:color="auto"/>
            </w:tcBorders>
            <w:hideMark/>
          </w:tcPr>
          <w:p w14:paraId="0812AC2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0,503*</w:t>
            </w:r>
          </w:p>
        </w:tc>
        <w:tc>
          <w:tcPr>
            <w:tcW w:w="2552" w:type="dxa"/>
            <w:tcBorders>
              <w:top w:val="single" w:sz="4" w:space="0" w:color="auto"/>
              <w:left w:val="single" w:sz="4" w:space="0" w:color="auto"/>
              <w:bottom w:val="single" w:sz="4" w:space="0" w:color="auto"/>
              <w:right w:val="single" w:sz="4" w:space="0" w:color="auto"/>
            </w:tcBorders>
            <w:hideMark/>
          </w:tcPr>
          <w:p w14:paraId="4F62083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0,005*</w:t>
            </w:r>
          </w:p>
        </w:tc>
      </w:tr>
    </w:tbl>
    <w:p w14:paraId="3CAD4928"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ймовірність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 xml:space="preserve">0,05 за критерієм </w:t>
      </w:r>
      <w:r w:rsidRPr="00520861">
        <w:rPr>
          <w:rFonts w:eastAsia="Calibri"/>
          <w:sz w:val="28"/>
          <w:szCs w:val="28"/>
          <w:lang w:eastAsia="en-US"/>
        </w:rPr>
        <w:sym w:font="Symbol" w:char="F063"/>
      </w:r>
      <w:r w:rsidRPr="00520861">
        <w:rPr>
          <w:rFonts w:eastAsia="Calibri"/>
          <w:sz w:val="28"/>
          <w:szCs w:val="28"/>
          <w:vertAlign w:val="superscript"/>
          <w:lang w:eastAsia="en-US"/>
        </w:rPr>
        <w:t>2</w:t>
      </w:r>
      <w:r w:rsidRPr="00520861">
        <w:rPr>
          <w:rFonts w:eastAsia="Calibri"/>
          <w:sz w:val="28"/>
          <w:szCs w:val="28"/>
          <w:lang w:eastAsia="en-US"/>
        </w:rPr>
        <w:t>.</w:t>
      </w:r>
    </w:p>
    <w:p w14:paraId="5EDC4697"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lastRenderedPageBreak/>
        <w:t>При збільшенні статистики (для рядків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разом» та «усі групи разом») виявляються надійні кореляційні зв’язки: має місце помірна (0,25&lt;|</w:t>
      </w:r>
      <w:r w:rsidRPr="00520861">
        <w:rPr>
          <w:rFonts w:eastAsia="Calibri"/>
          <w:i/>
          <w:sz w:val="28"/>
          <w:szCs w:val="28"/>
          <w:lang w:eastAsia="en-US"/>
        </w:rPr>
        <w:t>r</w:t>
      </w:r>
      <w:r w:rsidRPr="00520861">
        <w:rPr>
          <w:rFonts w:eastAsia="Calibri"/>
          <w:sz w:val="28"/>
          <w:szCs w:val="28"/>
          <w:lang w:eastAsia="en-US"/>
        </w:rPr>
        <w:t>|≤0,75) позитивна кореляція.</w:t>
      </w:r>
    </w:p>
    <w:p w14:paraId="438CFE80"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Слід вказати, що в усіх тварин основних груп уже у віці 3 місяців крім карієсу, також спостерігалися виражені порушення зубів некаріозного походження (стирання зубів, ерозії) та тріщини емалі. </w:t>
      </w:r>
    </w:p>
    <w:p w14:paraId="130C40B5" w14:textId="77777777" w:rsidR="00CF641C" w:rsidRPr="00520861" w:rsidRDefault="00CF641C" w:rsidP="00292D2E">
      <w:pPr>
        <w:widowControl w:val="0"/>
        <w:spacing w:line="360" w:lineRule="auto"/>
        <w:ind w:firstLine="709"/>
        <w:contextualSpacing/>
        <w:jc w:val="both"/>
        <w:rPr>
          <w:rFonts w:eastAsia="Calibri"/>
          <w:b/>
          <w:sz w:val="28"/>
          <w:szCs w:val="28"/>
          <w:lang w:eastAsia="en-US"/>
        </w:rPr>
      </w:pPr>
      <w:r w:rsidRPr="00520861">
        <w:rPr>
          <w:rFonts w:eastAsia="Calibri"/>
          <w:sz w:val="28"/>
          <w:szCs w:val="28"/>
          <w:lang w:eastAsia="en-US"/>
        </w:rPr>
        <w:t xml:space="preserve">Вивчаючи причинно-наслідкові зв’язки морфологічних змін у ПР, а також </w:t>
      </w:r>
      <w:r w:rsidRPr="00520861">
        <w:rPr>
          <w:rFonts w:eastAsia="Calibri"/>
          <w:sz w:val="28"/>
          <w:szCs w:val="28"/>
          <w:lang w:eastAsia="en-US"/>
        </w:rPr>
        <w:br/>
      </w:r>
      <w:proofErr w:type="spellStart"/>
      <w:r w:rsidRPr="00520861">
        <w:rPr>
          <w:rFonts w:eastAsia="Calibri"/>
          <w:sz w:val="28"/>
          <w:szCs w:val="28"/>
          <w:lang w:eastAsia="en-US"/>
        </w:rPr>
        <w:t>адаптаційно</w:t>
      </w:r>
      <w:proofErr w:type="spellEnd"/>
      <w:r w:rsidRPr="00520861">
        <w:rPr>
          <w:rFonts w:eastAsia="Calibri"/>
          <w:sz w:val="28"/>
          <w:szCs w:val="28"/>
          <w:lang w:eastAsia="en-US"/>
        </w:rPr>
        <w:t xml:space="preserve">-компенсаторні зміни </w:t>
      </w:r>
      <w:proofErr w:type="spellStart"/>
      <w:r w:rsidRPr="00520861">
        <w:rPr>
          <w:rFonts w:eastAsia="Calibri"/>
          <w:sz w:val="28"/>
          <w:szCs w:val="28"/>
          <w:lang w:eastAsia="en-US"/>
        </w:rPr>
        <w:t>зубощелепного</w:t>
      </w:r>
      <w:proofErr w:type="spellEnd"/>
      <w:r w:rsidRPr="00520861">
        <w:rPr>
          <w:rFonts w:eastAsia="Calibri"/>
          <w:sz w:val="28"/>
          <w:szCs w:val="28"/>
          <w:lang w:eastAsia="en-US"/>
        </w:rPr>
        <w:t xml:space="preserve"> апарату особин,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підтверджується твердження про</w:t>
      </w:r>
      <w:r w:rsidRPr="00520861">
        <w:rPr>
          <w:bCs/>
          <w:sz w:val="28"/>
          <w:szCs w:val="28"/>
        </w:rPr>
        <w:t xml:space="preserve"> ендогенну природу карієсу: незавершеність мінералізації твердих тканин зубів є морфологічною основою для розвитку патологічного процесу. </w:t>
      </w:r>
    </w:p>
    <w:p w14:paraId="581B08D0" w14:textId="77777777" w:rsidR="00CF641C" w:rsidRPr="00520861" w:rsidRDefault="00CF641C" w:rsidP="00292D2E">
      <w:pPr>
        <w:widowControl w:val="0"/>
        <w:spacing w:line="360" w:lineRule="auto"/>
        <w:ind w:firstLine="709"/>
        <w:jc w:val="both"/>
        <w:rPr>
          <w:rFonts w:eastAsia="Calibri"/>
          <w:color w:val="000000" w:themeColor="text1"/>
          <w:sz w:val="28"/>
          <w:szCs w:val="28"/>
          <w:lang w:eastAsia="en-US"/>
        </w:rPr>
      </w:pPr>
      <w:r w:rsidRPr="00520861">
        <w:rPr>
          <w:rFonts w:eastAsia="Calibri"/>
          <w:b/>
          <w:sz w:val="28"/>
          <w:szCs w:val="28"/>
          <w:lang w:eastAsia="en-US"/>
        </w:rPr>
        <w:t xml:space="preserve">3.3.3. </w:t>
      </w:r>
      <w:r w:rsidRPr="00520861">
        <w:rPr>
          <w:rFonts w:eastAsia="Calibri"/>
          <w:b/>
          <w:bCs/>
          <w:sz w:val="28"/>
          <w:szCs w:val="28"/>
          <w:lang w:eastAsia="en-US"/>
        </w:rPr>
        <w:t xml:space="preserve">Стан тканин </w:t>
      </w:r>
      <w:proofErr w:type="spellStart"/>
      <w:r w:rsidRPr="00520861">
        <w:rPr>
          <w:rFonts w:eastAsia="Calibri"/>
          <w:b/>
          <w:bCs/>
          <w:sz w:val="28"/>
          <w:szCs w:val="28"/>
          <w:lang w:eastAsia="en-US"/>
        </w:rPr>
        <w:t>пародонта</w:t>
      </w:r>
      <w:proofErr w:type="spellEnd"/>
      <w:r w:rsidRPr="00520861">
        <w:rPr>
          <w:rFonts w:eastAsia="Calibri"/>
          <w:b/>
          <w:bCs/>
          <w:sz w:val="28"/>
          <w:szCs w:val="28"/>
          <w:lang w:eastAsia="en-US"/>
        </w:rPr>
        <w:t xml:space="preserve"> в межах жувальних зубів. </w:t>
      </w:r>
      <w:r w:rsidRPr="00520861">
        <w:rPr>
          <w:rFonts w:eastAsia="Calibri"/>
          <w:color w:val="000000" w:themeColor="text1"/>
          <w:sz w:val="28"/>
          <w:szCs w:val="28"/>
          <w:lang w:eastAsia="en-US"/>
        </w:rPr>
        <w:t xml:space="preserve">У віці 3 місяців суттєвих змін тканин </w:t>
      </w:r>
      <w:proofErr w:type="spellStart"/>
      <w:r w:rsidRPr="00520861">
        <w:rPr>
          <w:rFonts w:eastAsia="Calibri"/>
          <w:color w:val="000000" w:themeColor="text1"/>
          <w:sz w:val="28"/>
          <w:szCs w:val="28"/>
          <w:lang w:eastAsia="en-US"/>
        </w:rPr>
        <w:t>пародонта</w:t>
      </w:r>
      <w:proofErr w:type="spellEnd"/>
      <w:r w:rsidRPr="00520861">
        <w:rPr>
          <w:rFonts w:eastAsia="Calibri"/>
          <w:color w:val="000000" w:themeColor="text1"/>
          <w:sz w:val="28"/>
          <w:szCs w:val="28"/>
          <w:lang w:eastAsia="en-US"/>
        </w:rPr>
        <w:t xml:space="preserve"> у тварин групи контролю не виявлено. </w:t>
      </w:r>
    </w:p>
    <w:p w14:paraId="202E0216" w14:textId="77777777" w:rsidR="00CF641C" w:rsidRPr="00520861" w:rsidRDefault="00CF641C" w:rsidP="00292D2E">
      <w:pPr>
        <w:widowControl w:val="0"/>
        <w:spacing w:line="360" w:lineRule="auto"/>
        <w:ind w:firstLine="709"/>
        <w:jc w:val="both"/>
        <w:rPr>
          <w:rFonts w:eastAsia="Calibri"/>
          <w:b/>
          <w:bCs/>
          <w:sz w:val="28"/>
          <w:szCs w:val="28"/>
          <w:lang w:eastAsia="en-US"/>
        </w:rPr>
      </w:pPr>
      <w:r w:rsidRPr="00520861">
        <w:rPr>
          <w:rFonts w:eastAsia="Calibri"/>
          <w:sz w:val="28"/>
          <w:szCs w:val="28"/>
          <w:lang w:eastAsia="en-US"/>
        </w:rPr>
        <w:t xml:space="preserve">Стан слизової оболонки ясен 3-місячних щурів групи контролю задовільний, </w:t>
      </w:r>
      <w:proofErr w:type="spellStart"/>
      <w:r w:rsidRPr="00520861">
        <w:rPr>
          <w:rFonts w:eastAsia="Calibri"/>
          <w:sz w:val="28"/>
          <w:szCs w:val="28"/>
          <w:lang w:eastAsia="en-US"/>
        </w:rPr>
        <w:t>візуалізується</w:t>
      </w:r>
      <w:proofErr w:type="spellEnd"/>
      <w:r w:rsidRPr="00520861">
        <w:rPr>
          <w:rFonts w:eastAsia="Calibri"/>
          <w:sz w:val="28"/>
          <w:szCs w:val="28"/>
          <w:lang w:eastAsia="en-US"/>
        </w:rPr>
        <w:t xml:space="preserve"> добре розвинена мережа судин МЦР. У міжзубних проміжках спостерігається щільне прикріплення епітеліального шару на рівні емалево-цементної межі (рис. 3.13</w:t>
      </w:r>
      <w:r w:rsidRPr="00520861">
        <w:rPr>
          <w:rFonts w:eastAsia="Calibri"/>
          <w:i/>
          <w:sz w:val="28"/>
          <w:szCs w:val="28"/>
          <w:lang w:eastAsia="en-US"/>
        </w:rPr>
        <w:t>а</w:t>
      </w:r>
      <w:r w:rsidRPr="00520861">
        <w:rPr>
          <w:rFonts w:eastAsia="Calibri"/>
          <w:sz w:val="28"/>
          <w:szCs w:val="28"/>
          <w:lang w:eastAsia="en-US"/>
        </w:rPr>
        <w:t xml:space="preserve">). </w:t>
      </w:r>
    </w:p>
    <w:p w14:paraId="2012B666"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При вивченні активності фактору фон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в СОПР у 3-місячних щурів</w:t>
      </w:r>
      <w:r w:rsidRPr="00520861">
        <w:rPr>
          <w:rFonts w:eastAsiaTheme="minorHAnsi"/>
          <w:sz w:val="28"/>
          <w:szCs w:val="28"/>
          <w:lang w:eastAsia="en-US"/>
        </w:rPr>
        <w:t xml:space="preserve"> </w:t>
      </w:r>
      <w:r w:rsidRPr="00520861">
        <w:rPr>
          <w:rFonts w:eastAsia="Calibri"/>
          <w:sz w:val="28"/>
          <w:szCs w:val="28"/>
          <w:lang w:eastAsia="en-US"/>
        </w:rPr>
        <w:t xml:space="preserve">виявлено, що в групі контролю </w:t>
      </w:r>
      <w:proofErr w:type="spellStart"/>
      <w:r w:rsidRPr="00520861">
        <w:rPr>
          <w:rFonts w:eastAsia="Calibri"/>
          <w:sz w:val="28"/>
          <w:szCs w:val="28"/>
          <w:lang w:eastAsia="en-US"/>
        </w:rPr>
        <w:t>імуногістохімічна</w:t>
      </w:r>
      <w:proofErr w:type="spellEnd"/>
      <w:r w:rsidRPr="00520861">
        <w:rPr>
          <w:rFonts w:eastAsia="Calibri"/>
          <w:sz w:val="28"/>
          <w:szCs w:val="28"/>
          <w:lang w:eastAsia="en-US"/>
        </w:rPr>
        <w:t xml:space="preserve"> реакція позитивна у більшій кількості </w:t>
      </w:r>
      <w:proofErr w:type="spellStart"/>
      <w:r w:rsidRPr="00520861">
        <w:rPr>
          <w:rFonts w:eastAsia="Calibri"/>
          <w:sz w:val="28"/>
          <w:szCs w:val="28"/>
          <w:lang w:eastAsia="en-US"/>
        </w:rPr>
        <w:t>ендотеліоцитів</w:t>
      </w:r>
      <w:proofErr w:type="spellEnd"/>
      <w:r w:rsidRPr="00520861">
        <w:rPr>
          <w:rFonts w:eastAsia="Calibri"/>
          <w:sz w:val="28"/>
          <w:szCs w:val="28"/>
          <w:lang w:eastAsia="en-US"/>
        </w:rPr>
        <w:t xml:space="preserve"> судин МЦР (рис. 3.14) [57], а в основних групах кількість </w:t>
      </w:r>
      <w:proofErr w:type="spellStart"/>
      <w:r w:rsidRPr="00520861">
        <w:rPr>
          <w:rFonts w:eastAsia="Calibri"/>
          <w:sz w:val="28"/>
          <w:szCs w:val="28"/>
          <w:lang w:eastAsia="en-US"/>
        </w:rPr>
        <w:t>ендотеліоцитів</w:t>
      </w:r>
      <w:proofErr w:type="spellEnd"/>
      <w:r w:rsidRPr="00520861">
        <w:rPr>
          <w:rFonts w:eastAsia="Calibri"/>
          <w:sz w:val="28"/>
          <w:szCs w:val="28"/>
          <w:lang w:eastAsia="en-US"/>
        </w:rPr>
        <w:t xml:space="preserve"> зменшена.</w:t>
      </w:r>
    </w:p>
    <w:p w14:paraId="08EC2792"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слизовій оболонці міжзубних проміжків тварин групи 1 спостерігається дуже тонкий епітеліальний шар, який кріпиться до кореня зуба нижче емалево-цементної межі. У цих тварин МЦР добре розвинене. </w:t>
      </w:r>
    </w:p>
    <w:p w14:paraId="66B6CE93"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Специфічне забарвлення ендотелію знижене, що свідчить про більш низьку продукцію VIII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в цитоплазмі [41]. </w:t>
      </w:r>
    </w:p>
    <w:p w14:paraId="0E1FC2A2"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дрібних венах деяких тварин у ділянках порушеної структурної цілісності ендотелію звертає на себе увагу слабко виражений </w:t>
      </w:r>
      <w:proofErr w:type="spellStart"/>
      <w:r w:rsidRPr="00520861">
        <w:rPr>
          <w:rFonts w:eastAsia="Calibri"/>
          <w:sz w:val="28"/>
          <w:szCs w:val="28"/>
          <w:lang w:eastAsia="en-US"/>
        </w:rPr>
        <w:t>акантоз</w:t>
      </w:r>
      <w:proofErr w:type="spellEnd"/>
      <w:r w:rsidRPr="00520861">
        <w:rPr>
          <w:rFonts w:eastAsia="Calibri"/>
          <w:sz w:val="28"/>
          <w:szCs w:val="28"/>
          <w:lang w:eastAsia="en-US"/>
        </w:rPr>
        <w:t xml:space="preserve">, наявність парієтальних тромбів </w:t>
      </w:r>
      <w:r w:rsidRPr="00520861">
        <w:rPr>
          <w:rFonts w:eastAsiaTheme="minorHAnsi"/>
          <w:sz w:val="28"/>
          <w:szCs w:val="28"/>
          <w:lang w:eastAsia="en-US"/>
        </w:rPr>
        <w:t>(рис. 3.15</w:t>
      </w:r>
      <w:r w:rsidRPr="00520861">
        <w:rPr>
          <w:rFonts w:eastAsiaTheme="minorHAnsi"/>
          <w:i/>
          <w:sz w:val="28"/>
          <w:szCs w:val="28"/>
          <w:lang w:eastAsia="en-US"/>
        </w:rPr>
        <w:t>а</w:t>
      </w:r>
      <w:r w:rsidRPr="00520861">
        <w:rPr>
          <w:rFonts w:eastAsiaTheme="minorHAnsi"/>
          <w:sz w:val="28"/>
          <w:szCs w:val="28"/>
          <w:lang w:eastAsia="en-US"/>
        </w:rPr>
        <w:t>)</w:t>
      </w:r>
      <w:r w:rsidRPr="00520861">
        <w:rPr>
          <w:rFonts w:eastAsia="Calibri"/>
          <w:sz w:val="28"/>
          <w:szCs w:val="28"/>
          <w:lang w:eastAsia="en-US"/>
        </w:rPr>
        <w:t xml:space="preserve">, причому </w:t>
      </w:r>
      <w:proofErr w:type="spellStart"/>
      <w:r w:rsidRPr="00520861">
        <w:rPr>
          <w:rFonts w:eastAsia="Calibri"/>
          <w:sz w:val="28"/>
          <w:szCs w:val="28"/>
          <w:lang w:eastAsia="en-US"/>
        </w:rPr>
        <w:t>тромботичні</w:t>
      </w:r>
      <w:proofErr w:type="spellEnd"/>
      <w:r w:rsidRPr="00520861">
        <w:rPr>
          <w:rFonts w:eastAsia="Calibri"/>
          <w:sz w:val="28"/>
          <w:szCs w:val="28"/>
          <w:lang w:eastAsia="en-US"/>
        </w:rPr>
        <w:t xml:space="preserve"> маси </w:t>
      </w:r>
      <w:proofErr w:type="spellStart"/>
      <w:r w:rsidRPr="00520861">
        <w:rPr>
          <w:rFonts w:eastAsia="Calibri"/>
          <w:sz w:val="28"/>
          <w:szCs w:val="28"/>
          <w:lang w:eastAsia="en-US"/>
        </w:rPr>
        <w:t>специфічно</w:t>
      </w:r>
      <w:proofErr w:type="spellEnd"/>
      <w:r w:rsidRPr="00520861">
        <w:rPr>
          <w:rFonts w:eastAsia="Calibri"/>
          <w:sz w:val="28"/>
          <w:szCs w:val="28"/>
          <w:lang w:eastAsia="en-US"/>
        </w:rPr>
        <w:t xml:space="preserve"> забарвлені на </w:t>
      </w:r>
      <w:r w:rsidRPr="00520861">
        <w:rPr>
          <w:rFonts w:eastAsia="Calibri"/>
          <w:sz w:val="28"/>
          <w:szCs w:val="28"/>
          <w:lang w:eastAsia="en-US"/>
        </w:rPr>
        <w:br/>
        <w:t xml:space="preserve">VIII фактор. </w:t>
      </w:r>
    </w:p>
    <w:p w14:paraId="737A8389"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noProof/>
          <w:sz w:val="28"/>
          <w:szCs w:val="28"/>
          <w:lang w:val="ru-RU"/>
        </w:rPr>
        <w:lastRenderedPageBreak/>
        <w:drawing>
          <wp:inline distT="0" distB="0" distL="0" distR="0" wp14:anchorId="0756F735" wp14:editId="2E5657F0">
            <wp:extent cx="6411600" cy="2538000"/>
            <wp:effectExtent l="0" t="0" r="0" b="0"/>
            <wp:docPr id="33" name="Рисунок 33" descr="D:\тер стом\научн работа 1\дд друк\ на защиту\Маша\Рис\Рис3.1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D:\тер стом\научн работа 1\дд друк\ на защиту\Маша\Рис\Рис3.15.jpg"/>
                    <pic:cNvPicPr preferRelativeResize="0">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3E1511EF" w14:textId="77777777" w:rsidR="00CF641C" w:rsidRPr="00520861" w:rsidRDefault="00CF641C" w:rsidP="00292D2E">
      <w:pPr>
        <w:widowControl w:val="0"/>
        <w:spacing w:line="360" w:lineRule="auto"/>
        <w:ind w:firstLine="708"/>
        <w:jc w:val="center"/>
        <w:rPr>
          <w:rFonts w:eastAsia="Calibri"/>
          <w:spacing w:val="-4"/>
          <w:sz w:val="28"/>
          <w:szCs w:val="28"/>
          <w:lang w:eastAsia="en-US"/>
        </w:rPr>
      </w:pPr>
      <w:r w:rsidRPr="00520861">
        <w:rPr>
          <w:rFonts w:eastAsia="Calibri"/>
          <w:sz w:val="28"/>
          <w:szCs w:val="28"/>
          <w:lang w:eastAsia="en-US"/>
        </w:rPr>
        <w:t xml:space="preserve">Рис. 3.13. Пародонт 90-денних щурів: </w:t>
      </w:r>
      <w:r w:rsidRPr="00520861">
        <w:rPr>
          <w:rFonts w:eastAsia="Calibri"/>
          <w:i/>
          <w:spacing w:val="-4"/>
          <w:sz w:val="28"/>
          <w:szCs w:val="28"/>
          <w:lang w:eastAsia="en-US"/>
        </w:rPr>
        <w:t>а</w:t>
      </w:r>
      <w:r w:rsidRPr="00520861">
        <w:rPr>
          <w:rFonts w:eastAsia="Calibri"/>
          <w:spacing w:val="-4"/>
          <w:sz w:val="28"/>
          <w:szCs w:val="28"/>
          <w:lang w:eastAsia="en-US"/>
        </w:rPr>
        <w:t xml:space="preserve">) – групи контролю (спостерігається щільне прикріплення епітеліального шару на рівні емалево-цементної межі (∆)); </w:t>
      </w:r>
    </w:p>
    <w:p w14:paraId="495DDEB5"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i/>
          <w:sz w:val="28"/>
          <w:szCs w:val="28"/>
          <w:lang w:eastAsia="en-US"/>
        </w:rPr>
        <w:t>б</w:t>
      </w:r>
      <w:r w:rsidRPr="00520861">
        <w:rPr>
          <w:rFonts w:eastAsia="Calibri"/>
          <w:sz w:val="28"/>
          <w:szCs w:val="28"/>
          <w:lang w:eastAsia="en-US"/>
        </w:rPr>
        <w:t xml:space="preserve">) – групи 2 (спостерігається </w:t>
      </w:r>
      <w:proofErr w:type="spellStart"/>
      <w:r w:rsidRPr="00520861">
        <w:rPr>
          <w:rFonts w:eastAsia="Calibri"/>
          <w:sz w:val="28"/>
          <w:szCs w:val="28"/>
          <w:lang w:eastAsia="en-US"/>
        </w:rPr>
        <w:t>виразкування</w:t>
      </w:r>
      <w:proofErr w:type="spellEnd"/>
      <w:r w:rsidRPr="00520861">
        <w:rPr>
          <w:rFonts w:eastAsia="Calibri"/>
          <w:sz w:val="28"/>
          <w:szCs w:val="28"/>
          <w:lang w:eastAsia="en-US"/>
        </w:rPr>
        <w:t xml:space="preserve"> слизової оболонки з відсутністю епітеліального шару, прикріплення епітеліального шару нижче емалево-цементної межі (∆)). Забарвлення: </w:t>
      </w:r>
      <w:r w:rsidRPr="00520861">
        <w:rPr>
          <w:rFonts w:eastAsia="Calibri"/>
          <w:i/>
          <w:sz w:val="28"/>
          <w:szCs w:val="28"/>
          <w:lang w:eastAsia="en-US"/>
        </w:rPr>
        <w:t>а</w:t>
      </w:r>
      <w:r w:rsidRPr="00520861">
        <w:rPr>
          <w:rFonts w:eastAsia="Calibri"/>
          <w:sz w:val="28"/>
          <w:szCs w:val="28"/>
          <w:lang w:eastAsia="en-US"/>
        </w:rPr>
        <w:t xml:space="preserve">) – </w:t>
      </w:r>
      <w:proofErr w:type="spellStart"/>
      <w:r w:rsidRPr="00520861">
        <w:rPr>
          <w:rFonts w:eastAsia="Calibri"/>
          <w:sz w:val="28"/>
          <w:szCs w:val="28"/>
          <w:lang w:eastAsia="en-US"/>
        </w:rPr>
        <w:t>пікрофуксином</w:t>
      </w:r>
      <w:proofErr w:type="spellEnd"/>
      <w:r w:rsidRPr="00520861">
        <w:rPr>
          <w:rFonts w:eastAsia="Calibri"/>
          <w:sz w:val="28"/>
          <w:szCs w:val="28"/>
          <w:lang w:eastAsia="en-US"/>
        </w:rPr>
        <w:t xml:space="preserve"> за ван </w:t>
      </w:r>
      <w:proofErr w:type="spellStart"/>
      <w:r w:rsidRPr="00520861">
        <w:rPr>
          <w:rFonts w:eastAsia="Calibri"/>
          <w:sz w:val="28"/>
          <w:szCs w:val="28"/>
          <w:lang w:eastAsia="en-US"/>
        </w:rPr>
        <w:t>Гізоном</w:t>
      </w:r>
      <w:proofErr w:type="spellEnd"/>
      <w:r w:rsidRPr="00520861">
        <w:rPr>
          <w:rFonts w:eastAsia="Calibri"/>
          <w:sz w:val="28"/>
          <w:szCs w:val="28"/>
          <w:lang w:eastAsia="en-US"/>
        </w:rPr>
        <w:t xml:space="preserve">; </w:t>
      </w:r>
      <w:r w:rsidRPr="00520861">
        <w:rPr>
          <w:rFonts w:eastAsia="Calibri"/>
          <w:i/>
          <w:sz w:val="28"/>
          <w:szCs w:val="28"/>
          <w:lang w:eastAsia="en-US"/>
        </w:rPr>
        <w:t>б</w:t>
      </w:r>
      <w:r w:rsidRPr="00520861">
        <w:rPr>
          <w:rFonts w:eastAsia="Calibri"/>
          <w:sz w:val="28"/>
          <w:szCs w:val="28"/>
          <w:lang w:eastAsia="en-US"/>
        </w:rPr>
        <w:t xml:space="preserve">) –гематоксиліном та еозином; збільшення </w:t>
      </w:r>
      <w:r w:rsidRPr="00520861">
        <w:rPr>
          <w:rFonts w:eastAsia="Calibri"/>
          <w:sz w:val="28"/>
          <w:szCs w:val="28"/>
          <w:lang w:eastAsia="en-US"/>
        </w:rPr>
        <w:sym w:font="Symbol" w:char="F0B4"/>
      </w:r>
      <w:r w:rsidRPr="00520861">
        <w:rPr>
          <w:rFonts w:eastAsia="Calibri"/>
          <w:sz w:val="28"/>
          <w:szCs w:val="28"/>
          <w:lang w:eastAsia="en-US"/>
        </w:rPr>
        <w:t>400.</w:t>
      </w:r>
    </w:p>
    <w:p w14:paraId="31359A46" w14:textId="77777777" w:rsidR="00CF641C" w:rsidRPr="00520861" w:rsidRDefault="00CF641C" w:rsidP="00292D2E">
      <w:pPr>
        <w:widowControl w:val="0"/>
        <w:spacing w:line="360" w:lineRule="auto"/>
        <w:ind w:firstLine="708"/>
        <w:jc w:val="both"/>
        <w:rPr>
          <w:rFonts w:eastAsia="Calibri"/>
          <w:sz w:val="28"/>
          <w:szCs w:val="28"/>
          <w:lang w:eastAsia="en-US"/>
        </w:rPr>
      </w:pPr>
    </w:p>
    <w:p w14:paraId="706C4512" w14:textId="77777777" w:rsidR="00CF641C" w:rsidRPr="00520861" w:rsidRDefault="00CF641C" w:rsidP="00292D2E">
      <w:pPr>
        <w:widowControl w:val="0"/>
        <w:spacing w:line="360" w:lineRule="auto"/>
        <w:jc w:val="both"/>
        <w:rPr>
          <w:rFonts w:eastAsia="Calibri"/>
          <w:sz w:val="28"/>
          <w:szCs w:val="28"/>
          <w:lang w:val="ru-RU" w:eastAsia="en-US"/>
        </w:rPr>
      </w:pPr>
      <w:r w:rsidRPr="00520861">
        <w:rPr>
          <w:rFonts w:eastAsia="Calibri"/>
          <w:noProof/>
          <w:sz w:val="28"/>
          <w:szCs w:val="28"/>
          <w:lang w:val="ru-RU"/>
        </w:rPr>
        <w:drawing>
          <wp:inline distT="0" distB="0" distL="0" distR="0" wp14:anchorId="4178680E" wp14:editId="433CC112">
            <wp:extent cx="6411600" cy="2538000"/>
            <wp:effectExtent l="0" t="0" r="0" b="0"/>
            <wp:docPr id="34" name="Рисунок 34" descr="D:\тер стом\научн работа 1\дд друк\ на защиту\Маша\Рис\Рис3.1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D:\тер стом\научн работа 1\дд друк\ на защиту\Маша\Рис\Рис3.16.jpg"/>
                    <pic:cNvPicPr preferRelativeResize="0">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04A2B4FC" w14:textId="77777777" w:rsidR="00CF641C" w:rsidRPr="00520861" w:rsidRDefault="00CF641C" w:rsidP="00292D2E">
      <w:pPr>
        <w:widowControl w:val="0"/>
        <w:spacing w:line="360" w:lineRule="auto"/>
        <w:ind w:firstLine="708"/>
        <w:contextualSpacing/>
        <w:jc w:val="center"/>
        <w:rPr>
          <w:rFonts w:eastAsia="Calibri"/>
          <w:sz w:val="28"/>
          <w:szCs w:val="28"/>
          <w:lang w:val="ru-RU" w:eastAsia="en-US"/>
        </w:rPr>
      </w:pPr>
      <w:r w:rsidRPr="00520861">
        <w:rPr>
          <w:rFonts w:eastAsia="Calibri"/>
          <w:sz w:val="28"/>
          <w:szCs w:val="28"/>
          <w:lang w:eastAsia="en-US"/>
        </w:rPr>
        <w:t xml:space="preserve">Рис. 3.14. </w:t>
      </w:r>
      <w:proofErr w:type="spellStart"/>
      <w:r w:rsidRPr="00520861">
        <w:rPr>
          <w:rFonts w:eastAsia="Calibri"/>
          <w:sz w:val="28"/>
          <w:szCs w:val="28"/>
          <w:lang w:eastAsia="en-US"/>
        </w:rPr>
        <w:t>Морфофункціональний</w:t>
      </w:r>
      <w:proofErr w:type="spellEnd"/>
      <w:r w:rsidRPr="00520861">
        <w:rPr>
          <w:rFonts w:eastAsia="Calibri"/>
          <w:sz w:val="28"/>
          <w:szCs w:val="28"/>
          <w:lang w:eastAsia="en-US"/>
        </w:rPr>
        <w:t xml:space="preserve"> стан МЦР слизової оболонки альвеолярного відростка </w:t>
      </w:r>
      <w:proofErr w:type="spellStart"/>
      <w:r w:rsidRPr="00520861">
        <w:rPr>
          <w:rFonts w:eastAsia="Calibri"/>
          <w:sz w:val="28"/>
          <w:szCs w:val="28"/>
          <w:lang w:eastAsia="en-US"/>
        </w:rPr>
        <w:t>н.ч</w:t>
      </w:r>
      <w:proofErr w:type="spellEnd"/>
      <w:r w:rsidRPr="00520861">
        <w:rPr>
          <w:rFonts w:eastAsia="Calibri"/>
          <w:sz w:val="28"/>
          <w:szCs w:val="28"/>
          <w:lang w:eastAsia="en-US"/>
        </w:rPr>
        <w:t xml:space="preserve">. 90-денних </w:t>
      </w:r>
      <w:r w:rsidRPr="00520861">
        <w:rPr>
          <w:rFonts w:eastAsia="Calibri"/>
          <w:sz w:val="28"/>
          <w:szCs w:val="28"/>
          <w:lang w:val="ru-RU" w:eastAsia="en-US"/>
        </w:rPr>
        <w:t xml:space="preserve">щурят </w:t>
      </w:r>
      <w:proofErr w:type="spellStart"/>
      <w:r w:rsidRPr="00520861">
        <w:rPr>
          <w:rFonts w:eastAsia="Calibri"/>
          <w:sz w:val="28"/>
          <w:szCs w:val="28"/>
          <w:lang w:val="ru-RU" w:eastAsia="en-US"/>
        </w:rPr>
        <w:t>групи</w:t>
      </w:r>
      <w:proofErr w:type="spellEnd"/>
      <w:r w:rsidRPr="00520861">
        <w:rPr>
          <w:rFonts w:eastAsia="Calibri"/>
          <w:sz w:val="28"/>
          <w:szCs w:val="28"/>
          <w:lang w:val="ru-RU" w:eastAsia="en-US"/>
        </w:rPr>
        <w:t xml:space="preserve"> контролю: </w:t>
      </w:r>
      <w:r w:rsidRPr="00520861">
        <w:rPr>
          <w:rFonts w:eastAsia="Calibri"/>
          <w:i/>
          <w:sz w:val="28"/>
          <w:szCs w:val="28"/>
          <w:lang w:eastAsia="en-US"/>
        </w:rPr>
        <w:t>а</w:t>
      </w:r>
      <w:r w:rsidRPr="00520861">
        <w:rPr>
          <w:rFonts w:eastAsia="Calibri"/>
          <w:sz w:val="28"/>
          <w:szCs w:val="28"/>
          <w:lang w:val="ru-RU" w:eastAsia="en-US"/>
        </w:rPr>
        <w:t>)</w:t>
      </w:r>
      <w:r w:rsidRPr="00520861">
        <w:rPr>
          <w:rFonts w:eastAsia="Calibri"/>
          <w:sz w:val="28"/>
          <w:szCs w:val="28"/>
          <w:lang w:eastAsia="en-US"/>
        </w:rPr>
        <w:t xml:space="preserve"> – с</w:t>
      </w:r>
      <w:proofErr w:type="spellStart"/>
      <w:r w:rsidRPr="00520861">
        <w:rPr>
          <w:rFonts w:eastAsia="Calibri"/>
          <w:sz w:val="28"/>
          <w:szCs w:val="28"/>
          <w:lang w:val="ru-RU" w:eastAsia="en-US"/>
        </w:rPr>
        <w:t>постерігається</w:t>
      </w:r>
      <w:proofErr w:type="spellEnd"/>
      <w:r w:rsidRPr="00520861">
        <w:rPr>
          <w:rFonts w:eastAsia="Calibri"/>
          <w:sz w:val="28"/>
          <w:szCs w:val="28"/>
          <w:lang w:val="ru-RU" w:eastAsia="en-US"/>
        </w:rPr>
        <w:t xml:space="preserve"> невелика </w:t>
      </w:r>
      <w:proofErr w:type="spellStart"/>
      <w:r w:rsidRPr="00520861">
        <w:rPr>
          <w:rFonts w:eastAsia="Calibri"/>
          <w:sz w:val="28"/>
          <w:szCs w:val="28"/>
          <w:lang w:val="ru-RU" w:eastAsia="en-US"/>
        </w:rPr>
        <w:t>судина</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що</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містить</w:t>
      </w:r>
      <w:proofErr w:type="spellEnd"/>
      <w:r w:rsidRPr="00520861">
        <w:rPr>
          <w:rFonts w:eastAsia="Calibri"/>
          <w:sz w:val="28"/>
          <w:szCs w:val="28"/>
          <w:lang w:val="ru-RU" w:eastAsia="en-US"/>
        </w:rPr>
        <w:t xml:space="preserve"> VIII фактор, видно антиген-</w:t>
      </w:r>
      <w:proofErr w:type="spellStart"/>
      <w:r w:rsidRPr="00520861">
        <w:rPr>
          <w:rFonts w:eastAsia="Calibri"/>
          <w:sz w:val="28"/>
          <w:szCs w:val="28"/>
          <w:lang w:val="ru-RU" w:eastAsia="en-US"/>
        </w:rPr>
        <w:t>позитивний</w:t>
      </w:r>
      <w:proofErr w:type="spellEnd"/>
      <w:r w:rsidRPr="00520861">
        <w:rPr>
          <w:rFonts w:eastAsia="Calibri"/>
          <w:sz w:val="28"/>
          <w:szCs w:val="28"/>
          <w:lang w:val="ru-RU" w:eastAsia="en-US"/>
        </w:rPr>
        <w:t xml:space="preserve"> ободок </w:t>
      </w:r>
      <w:proofErr w:type="spellStart"/>
      <w:r w:rsidRPr="00520861">
        <w:rPr>
          <w:rFonts w:eastAsia="Calibri"/>
          <w:sz w:val="28"/>
          <w:szCs w:val="28"/>
          <w:lang w:val="ru-RU" w:eastAsia="en-US"/>
        </w:rPr>
        <w:t>капіляра</w:t>
      </w:r>
      <w:proofErr w:type="spellEnd"/>
      <w:r w:rsidRPr="00520861">
        <w:rPr>
          <w:rFonts w:eastAsia="Calibri"/>
          <w:sz w:val="28"/>
          <w:szCs w:val="28"/>
          <w:lang w:eastAsia="en-US"/>
        </w:rPr>
        <w:t>;</w:t>
      </w:r>
      <w:r w:rsidRPr="00520861">
        <w:rPr>
          <w:rFonts w:eastAsia="Calibri"/>
          <w:sz w:val="28"/>
          <w:szCs w:val="28"/>
          <w:lang w:val="ru-RU" w:eastAsia="en-US"/>
        </w:rPr>
        <w:t xml:space="preserve"> </w:t>
      </w:r>
    </w:p>
    <w:p w14:paraId="7105DB52" w14:textId="77777777" w:rsidR="00CF641C" w:rsidRPr="00520861" w:rsidRDefault="00CF641C" w:rsidP="00292D2E">
      <w:pPr>
        <w:widowControl w:val="0"/>
        <w:spacing w:line="360" w:lineRule="auto"/>
        <w:ind w:firstLine="708"/>
        <w:contextualSpacing/>
        <w:jc w:val="center"/>
        <w:rPr>
          <w:rFonts w:eastAsia="Calibri"/>
          <w:sz w:val="28"/>
          <w:szCs w:val="28"/>
          <w:lang w:val="ru-RU" w:eastAsia="en-US"/>
        </w:rPr>
      </w:pPr>
      <w:r w:rsidRPr="00520861">
        <w:rPr>
          <w:rFonts w:eastAsia="Calibri"/>
          <w:i/>
          <w:sz w:val="28"/>
          <w:szCs w:val="28"/>
          <w:lang w:eastAsia="en-US"/>
        </w:rPr>
        <w:t>б</w:t>
      </w:r>
      <w:r w:rsidRPr="00520861">
        <w:rPr>
          <w:rFonts w:eastAsia="Calibri"/>
          <w:sz w:val="28"/>
          <w:szCs w:val="28"/>
          <w:lang w:val="ru-RU" w:eastAsia="en-US"/>
        </w:rPr>
        <w:t>)</w:t>
      </w:r>
      <w:r w:rsidRPr="00520861">
        <w:rPr>
          <w:rFonts w:eastAsia="Calibri"/>
          <w:sz w:val="28"/>
          <w:szCs w:val="28"/>
          <w:lang w:eastAsia="en-US"/>
        </w:rPr>
        <w:t xml:space="preserve"> – у</w:t>
      </w:r>
      <w:r w:rsidRPr="00520861">
        <w:rPr>
          <w:rFonts w:eastAsia="Calibri"/>
          <w:sz w:val="28"/>
          <w:szCs w:val="28"/>
          <w:lang w:val="ru-RU" w:eastAsia="en-US"/>
        </w:rPr>
        <w:t xml:space="preserve"> </w:t>
      </w:r>
      <w:proofErr w:type="spellStart"/>
      <w:r w:rsidRPr="00520861">
        <w:rPr>
          <w:rFonts w:eastAsia="Calibri"/>
          <w:sz w:val="28"/>
          <w:szCs w:val="28"/>
          <w:lang w:val="ru-RU" w:eastAsia="en-US"/>
        </w:rPr>
        <w:t>центрі</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мікрофотогафіі</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спостерігається</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артеріола</w:t>
      </w:r>
      <w:proofErr w:type="spellEnd"/>
      <w:r w:rsidRPr="00520861">
        <w:rPr>
          <w:rFonts w:eastAsia="Calibri"/>
          <w:sz w:val="28"/>
          <w:szCs w:val="28"/>
          <w:lang w:val="ru-RU" w:eastAsia="en-US"/>
        </w:rPr>
        <w:t xml:space="preserve">, </w:t>
      </w:r>
      <w:r w:rsidRPr="00520861">
        <w:rPr>
          <w:rFonts w:eastAsia="Calibri"/>
          <w:sz w:val="28"/>
          <w:szCs w:val="28"/>
          <w:lang w:eastAsia="en-US"/>
        </w:rPr>
        <w:t>у</w:t>
      </w:r>
      <w:r w:rsidRPr="00520861">
        <w:rPr>
          <w:rFonts w:eastAsia="Calibri"/>
          <w:sz w:val="28"/>
          <w:szCs w:val="28"/>
          <w:lang w:val="ru-RU" w:eastAsia="en-US"/>
        </w:rPr>
        <w:t xml:space="preserve"> </w:t>
      </w:r>
      <w:proofErr w:type="spellStart"/>
      <w:r w:rsidRPr="00520861">
        <w:rPr>
          <w:rFonts w:eastAsia="Calibri"/>
          <w:sz w:val="28"/>
          <w:szCs w:val="28"/>
          <w:lang w:val="ru-RU" w:eastAsia="en-US"/>
        </w:rPr>
        <w:t>просвіті</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якої</w:t>
      </w:r>
      <w:proofErr w:type="spellEnd"/>
      <w:r w:rsidRPr="00520861">
        <w:rPr>
          <w:rFonts w:eastAsia="Calibri"/>
          <w:sz w:val="28"/>
          <w:szCs w:val="28"/>
          <w:lang w:val="ru-RU" w:eastAsia="en-US"/>
        </w:rPr>
        <w:t xml:space="preserve"> кров, </w:t>
      </w:r>
      <w:proofErr w:type="spellStart"/>
      <w:r w:rsidRPr="00520861">
        <w:rPr>
          <w:rFonts w:eastAsia="Calibri"/>
          <w:sz w:val="28"/>
          <w:szCs w:val="28"/>
          <w:lang w:val="ru-RU" w:eastAsia="en-US"/>
        </w:rPr>
        <w:t>збагачена</w:t>
      </w:r>
      <w:proofErr w:type="spellEnd"/>
      <w:r w:rsidRPr="00520861">
        <w:rPr>
          <w:rFonts w:eastAsia="Calibri"/>
          <w:sz w:val="28"/>
          <w:szCs w:val="28"/>
          <w:lang w:val="ru-RU" w:eastAsia="en-US"/>
        </w:rPr>
        <w:t xml:space="preserve"> VIII фактором</w:t>
      </w:r>
      <w:r w:rsidRPr="00520861">
        <w:rPr>
          <w:rFonts w:eastAsia="Calibri"/>
          <w:sz w:val="28"/>
          <w:szCs w:val="28"/>
          <w:lang w:eastAsia="en-US"/>
        </w:rPr>
        <w:t xml:space="preserve">, а ендотелій містить зменшену кількість </w:t>
      </w:r>
      <w:r w:rsidRPr="00520861">
        <w:rPr>
          <w:rFonts w:eastAsia="Calibri"/>
          <w:sz w:val="28"/>
          <w:szCs w:val="28"/>
          <w:lang w:val="ru-RU" w:eastAsia="en-US"/>
        </w:rPr>
        <w:t>VIII фактор</w:t>
      </w:r>
      <w:r w:rsidRPr="00520861">
        <w:rPr>
          <w:rFonts w:eastAsia="Calibri"/>
          <w:sz w:val="28"/>
          <w:szCs w:val="28"/>
          <w:lang w:eastAsia="en-US"/>
        </w:rPr>
        <w:t xml:space="preserve">а. </w:t>
      </w:r>
    </w:p>
    <w:p w14:paraId="08BBC657" w14:textId="77777777" w:rsidR="00CF641C" w:rsidRPr="00520861" w:rsidRDefault="00CF641C" w:rsidP="00292D2E">
      <w:pPr>
        <w:widowControl w:val="0"/>
        <w:spacing w:line="360" w:lineRule="auto"/>
        <w:ind w:firstLine="708"/>
        <w:contextualSpacing/>
        <w:jc w:val="center"/>
        <w:rPr>
          <w:rFonts w:eastAsia="Calibri"/>
          <w:sz w:val="28"/>
          <w:szCs w:val="28"/>
          <w:lang w:val="ru-RU" w:eastAsia="en-US"/>
        </w:rPr>
      </w:pPr>
      <w:proofErr w:type="spellStart"/>
      <w:r w:rsidRPr="00520861">
        <w:rPr>
          <w:rFonts w:eastAsia="Calibri"/>
          <w:sz w:val="28"/>
          <w:szCs w:val="28"/>
          <w:lang w:val="ru-RU" w:eastAsia="en-US"/>
        </w:rPr>
        <w:t>Імуногістохімічн</w:t>
      </w:r>
      <w:proofErr w:type="spellEnd"/>
      <w:r w:rsidRPr="00520861">
        <w:rPr>
          <w:rFonts w:eastAsia="Calibri"/>
          <w:sz w:val="28"/>
          <w:szCs w:val="28"/>
          <w:lang w:eastAsia="en-US"/>
        </w:rPr>
        <w:t>а</w:t>
      </w:r>
      <w:r w:rsidRPr="00520861">
        <w:rPr>
          <w:rFonts w:eastAsia="Calibri"/>
          <w:sz w:val="28"/>
          <w:szCs w:val="28"/>
          <w:lang w:val="ru-RU" w:eastAsia="en-US"/>
        </w:rPr>
        <w:t xml:space="preserve"> </w:t>
      </w:r>
      <w:r w:rsidRPr="00520861">
        <w:rPr>
          <w:rFonts w:eastAsia="Calibri"/>
          <w:sz w:val="28"/>
          <w:szCs w:val="28"/>
          <w:lang w:eastAsia="en-US"/>
        </w:rPr>
        <w:t xml:space="preserve">реакція на </w:t>
      </w:r>
      <w:r w:rsidRPr="00520861">
        <w:rPr>
          <w:rFonts w:eastAsia="Calibri"/>
          <w:sz w:val="28"/>
          <w:szCs w:val="28"/>
          <w:lang w:val="ru-RU" w:eastAsia="en-US"/>
        </w:rPr>
        <w:t xml:space="preserve">VIII фактор; </w:t>
      </w:r>
      <w:proofErr w:type="spellStart"/>
      <w:r w:rsidRPr="00520861">
        <w:rPr>
          <w:rFonts w:eastAsia="Calibri"/>
          <w:sz w:val="28"/>
          <w:szCs w:val="28"/>
          <w:lang w:val="ru-RU" w:eastAsia="en-US"/>
        </w:rPr>
        <w:t>збільшення</w:t>
      </w:r>
      <w:proofErr w:type="spellEnd"/>
      <w:r w:rsidRPr="00520861">
        <w:rPr>
          <w:rFonts w:eastAsia="Calibri"/>
          <w:sz w:val="28"/>
          <w:szCs w:val="28"/>
          <w:lang w:val="ru-RU" w:eastAsia="en-US"/>
        </w:rPr>
        <w:t xml:space="preserve"> </w:t>
      </w:r>
      <w:r w:rsidRPr="00520861">
        <w:rPr>
          <w:rFonts w:eastAsia="Calibri"/>
          <w:sz w:val="28"/>
          <w:szCs w:val="28"/>
          <w:lang w:val="ru-RU" w:eastAsia="en-US"/>
        </w:rPr>
        <w:sym w:font="Symbol" w:char="F0B4"/>
      </w:r>
      <w:r w:rsidRPr="00520861">
        <w:rPr>
          <w:rFonts w:eastAsia="Calibri"/>
          <w:sz w:val="28"/>
          <w:szCs w:val="28"/>
          <w:lang w:val="ru-RU" w:eastAsia="en-US"/>
        </w:rPr>
        <w:t>400.</w:t>
      </w:r>
    </w:p>
    <w:p w14:paraId="26B49A4D" w14:textId="77777777" w:rsidR="00CF641C" w:rsidRPr="00520861" w:rsidRDefault="00CF641C" w:rsidP="00292D2E">
      <w:pPr>
        <w:widowControl w:val="0"/>
        <w:spacing w:line="360" w:lineRule="auto"/>
        <w:contextualSpacing/>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0CC79D2B" wp14:editId="60E534FD">
            <wp:extent cx="5553075" cy="6681460"/>
            <wp:effectExtent l="0" t="0" r="0" b="5715"/>
            <wp:docPr id="35" name="Рисунок 35" descr="D:\тер стом\научн работа 1\дд друк\ на защиту\Маша\Рис\Рис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тер стом\научн работа 1\дд друк\ на защиту\Маша\Рис\Рис3.17.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57962" cy="6687340"/>
                    </a:xfrm>
                    <a:prstGeom prst="rect">
                      <a:avLst/>
                    </a:prstGeom>
                    <a:noFill/>
                    <a:ln>
                      <a:noFill/>
                    </a:ln>
                  </pic:spPr>
                </pic:pic>
              </a:graphicData>
            </a:graphic>
          </wp:inline>
        </w:drawing>
      </w:r>
    </w:p>
    <w:p w14:paraId="79903344"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sz w:val="28"/>
          <w:szCs w:val="28"/>
          <w:lang w:eastAsia="en-US"/>
        </w:rPr>
        <w:t xml:space="preserve">Рис. 3.15. </w:t>
      </w:r>
      <w:proofErr w:type="spellStart"/>
      <w:r w:rsidRPr="00520861">
        <w:rPr>
          <w:rFonts w:eastAsia="Calibri"/>
          <w:sz w:val="28"/>
          <w:szCs w:val="28"/>
          <w:lang w:eastAsia="en-US"/>
        </w:rPr>
        <w:t>Морфофункціональний</w:t>
      </w:r>
      <w:proofErr w:type="spellEnd"/>
      <w:r w:rsidRPr="00520861">
        <w:rPr>
          <w:rFonts w:eastAsia="Calibri"/>
          <w:sz w:val="28"/>
          <w:szCs w:val="28"/>
          <w:lang w:eastAsia="en-US"/>
        </w:rPr>
        <w:t xml:space="preserve"> стан МЦР слизової оболонки альвеолярного відростка </w:t>
      </w:r>
      <w:proofErr w:type="spellStart"/>
      <w:r w:rsidRPr="00520861">
        <w:rPr>
          <w:rFonts w:eastAsia="Calibri"/>
          <w:sz w:val="28"/>
          <w:szCs w:val="28"/>
          <w:lang w:eastAsia="en-US"/>
        </w:rPr>
        <w:t>н.ч</w:t>
      </w:r>
      <w:proofErr w:type="spellEnd"/>
      <w:r w:rsidRPr="00520861">
        <w:rPr>
          <w:rFonts w:eastAsia="Calibri"/>
          <w:sz w:val="28"/>
          <w:szCs w:val="28"/>
          <w:lang w:eastAsia="en-US"/>
        </w:rPr>
        <w:t xml:space="preserve">. 90-денних щурів: </w:t>
      </w:r>
      <w:r w:rsidRPr="00520861">
        <w:rPr>
          <w:rFonts w:eastAsia="Calibri"/>
          <w:i/>
          <w:sz w:val="28"/>
          <w:szCs w:val="28"/>
          <w:lang w:eastAsia="en-US"/>
        </w:rPr>
        <w:t>а</w:t>
      </w:r>
      <w:r w:rsidRPr="00520861">
        <w:rPr>
          <w:rFonts w:eastAsia="Calibri"/>
          <w:sz w:val="28"/>
          <w:szCs w:val="28"/>
          <w:lang w:eastAsia="en-US"/>
        </w:rPr>
        <w:t xml:space="preserve">) – групи 1 (пристінковий тромб, що формується, з невеликим умістом DAB); </w:t>
      </w:r>
      <w:r w:rsidRPr="00520861">
        <w:rPr>
          <w:rFonts w:eastAsia="Calibri"/>
          <w:i/>
          <w:sz w:val="28"/>
          <w:szCs w:val="28"/>
          <w:lang w:eastAsia="en-US"/>
        </w:rPr>
        <w:t>б</w:t>
      </w:r>
      <w:r w:rsidRPr="00520861">
        <w:rPr>
          <w:rFonts w:eastAsia="Calibri"/>
          <w:sz w:val="28"/>
          <w:szCs w:val="28"/>
          <w:lang w:eastAsia="en-US"/>
        </w:rPr>
        <w:t xml:space="preserve">) – групи 1 (осередок </w:t>
      </w:r>
      <w:proofErr w:type="spellStart"/>
      <w:r w:rsidRPr="00520861">
        <w:rPr>
          <w:rFonts w:eastAsia="Calibri"/>
          <w:sz w:val="28"/>
          <w:szCs w:val="28"/>
          <w:lang w:eastAsia="en-US"/>
        </w:rPr>
        <w:t>макрофагально-лимфоцитарної</w:t>
      </w:r>
      <w:proofErr w:type="spellEnd"/>
      <w:r w:rsidRPr="00520861">
        <w:rPr>
          <w:rFonts w:eastAsia="Calibri"/>
          <w:sz w:val="28"/>
          <w:szCs w:val="28"/>
          <w:lang w:eastAsia="en-US"/>
        </w:rPr>
        <w:t xml:space="preserve"> інфільтрації з великою кількістю капілярів); </w:t>
      </w:r>
      <w:r w:rsidRPr="00520861">
        <w:rPr>
          <w:rFonts w:eastAsia="Calibri"/>
          <w:i/>
          <w:sz w:val="28"/>
          <w:szCs w:val="28"/>
          <w:lang w:eastAsia="en-US"/>
        </w:rPr>
        <w:t>в</w:t>
      </w:r>
      <w:r w:rsidRPr="00520861">
        <w:rPr>
          <w:rFonts w:eastAsia="Calibri"/>
          <w:sz w:val="28"/>
          <w:szCs w:val="28"/>
          <w:lang w:eastAsia="en-US"/>
        </w:rPr>
        <w:t>) – групи 2 (</w:t>
      </w:r>
      <w:proofErr w:type="spellStart"/>
      <w:r w:rsidRPr="00520861">
        <w:rPr>
          <w:rFonts w:eastAsia="Calibri"/>
          <w:sz w:val="28"/>
          <w:szCs w:val="28"/>
          <w:lang w:eastAsia="en-US"/>
        </w:rPr>
        <w:t>венула</w:t>
      </w:r>
      <w:proofErr w:type="spellEnd"/>
      <w:r w:rsidRPr="00520861">
        <w:rPr>
          <w:rFonts w:eastAsia="Calibri"/>
          <w:sz w:val="28"/>
          <w:szCs w:val="28"/>
          <w:lang w:eastAsia="en-US"/>
        </w:rPr>
        <w:t xml:space="preserve">, по контуру якої невелика кількість DAB); </w:t>
      </w:r>
      <w:r w:rsidRPr="00520861">
        <w:rPr>
          <w:rFonts w:eastAsia="Calibri"/>
          <w:i/>
          <w:sz w:val="28"/>
          <w:szCs w:val="28"/>
          <w:lang w:eastAsia="en-US"/>
        </w:rPr>
        <w:t>г</w:t>
      </w:r>
      <w:r w:rsidRPr="00520861">
        <w:rPr>
          <w:rFonts w:eastAsia="Calibri"/>
          <w:sz w:val="28"/>
          <w:szCs w:val="28"/>
          <w:lang w:eastAsia="en-US"/>
        </w:rPr>
        <w:t>) – групи 2 (</w:t>
      </w:r>
      <w:proofErr w:type="spellStart"/>
      <w:r w:rsidRPr="00520861">
        <w:rPr>
          <w:rFonts w:eastAsia="Calibri"/>
          <w:sz w:val="28"/>
          <w:szCs w:val="28"/>
          <w:lang w:eastAsia="en-US"/>
        </w:rPr>
        <w:t>підепітеліальний</w:t>
      </w:r>
      <w:proofErr w:type="spellEnd"/>
      <w:r w:rsidRPr="00520861">
        <w:rPr>
          <w:rFonts w:eastAsia="Calibri"/>
          <w:sz w:val="28"/>
          <w:szCs w:val="28"/>
          <w:lang w:eastAsia="en-US"/>
        </w:rPr>
        <w:t xml:space="preserve"> крововилив, відсутність </w:t>
      </w:r>
      <w:r w:rsidRPr="00520861">
        <w:rPr>
          <w:rFonts w:eastAsia="Calibri"/>
          <w:sz w:val="28"/>
          <w:szCs w:val="28"/>
          <w:lang w:eastAsia="en-US"/>
        </w:rPr>
        <w:br/>
        <w:t xml:space="preserve">активності VIII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w:t>
      </w:r>
      <w:r w:rsidRPr="00520861">
        <w:rPr>
          <w:rFonts w:eastAsia="Calibri"/>
          <w:i/>
          <w:sz w:val="28"/>
          <w:szCs w:val="28"/>
          <w:lang w:eastAsia="en-US"/>
        </w:rPr>
        <w:t>д</w:t>
      </w:r>
      <w:r w:rsidRPr="00520861">
        <w:rPr>
          <w:rFonts w:eastAsia="Calibri"/>
          <w:sz w:val="28"/>
          <w:szCs w:val="28"/>
          <w:lang w:eastAsia="en-US"/>
        </w:rPr>
        <w:t xml:space="preserve">) – група 3 (мілкі судини з невеликою кількістю DAB); </w:t>
      </w:r>
      <w:r w:rsidRPr="00520861">
        <w:rPr>
          <w:rFonts w:eastAsia="Calibri"/>
          <w:sz w:val="28"/>
          <w:szCs w:val="28"/>
          <w:lang w:eastAsia="en-US"/>
        </w:rPr>
        <w:br/>
      </w:r>
      <w:r w:rsidRPr="00520861">
        <w:rPr>
          <w:rFonts w:eastAsia="Calibri"/>
          <w:i/>
          <w:sz w:val="28"/>
          <w:szCs w:val="28"/>
          <w:lang w:eastAsia="en-US"/>
        </w:rPr>
        <w:t>е</w:t>
      </w:r>
      <w:r w:rsidRPr="00520861">
        <w:rPr>
          <w:rFonts w:eastAsia="Calibri"/>
          <w:sz w:val="28"/>
          <w:szCs w:val="28"/>
          <w:lang w:eastAsia="en-US"/>
        </w:rPr>
        <w:t xml:space="preserve">) – групи 4 (мала кількість гематогенних капілярів, </w:t>
      </w:r>
      <w:proofErr w:type="spellStart"/>
      <w:r w:rsidRPr="00520861">
        <w:rPr>
          <w:rFonts w:eastAsia="Calibri"/>
          <w:sz w:val="28"/>
          <w:szCs w:val="28"/>
          <w:lang w:eastAsia="en-US"/>
        </w:rPr>
        <w:t>ендотеліоцит</w:t>
      </w:r>
      <w:proofErr w:type="spellEnd"/>
      <w:r w:rsidRPr="00520861">
        <w:rPr>
          <w:rFonts w:eastAsia="Calibri"/>
          <w:sz w:val="28"/>
          <w:szCs w:val="28"/>
          <w:lang w:eastAsia="en-US"/>
        </w:rPr>
        <w:t xml:space="preserve"> з малим умістом DAB). </w:t>
      </w:r>
      <w:proofErr w:type="spellStart"/>
      <w:r w:rsidRPr="00520861">
        <w:rPr>
          <w:rFonts w:eastAsia="Calibri"/>
          <w:sz w:val="28"/>
          <w:szCs w:val="28"/>
          <w:lang w:eastAsia="en-US"/>
        </w:rPr>
        <w:t>Імуногістохімічна</w:t>
      </w:r>
      <w:proofErr w:type="spellEnd"/>
      <w:r w:rsidRPr="00520861">
        <w:rPr>
          <w:rFonts w:eastAsia="Calibri"/>
          <w:sz w:val="28"/>
          <w:szCs w:val="28"/>
          <w:lang w:eastAsia="en-US"/>
        </w:rPr>
        <w:t xml:space="preserve"> реакція на </w:t>
      </w:r>
      <w:r w:rsidRPr="00520861">
        <w:rPr>
          <w:rFonts w:eastAsia="Calibri"/>
          <w:sz w:val="28"/>
          <w:szCs w:val="28"/>
          <w:lang w:val="ru-RU" w:eastAsia="en-US"/>
        </w:rPr>
        <w:t>VIII</w:t>
      </w:r>
      <w:r w:rsidRPr="00520861">
        <w:rPr>
          <w:rFonts w:eastAsia="Calibri"/>
          <w:sz w:val="28"/>
          <w:szCs w:val="28"/>
          <w:lang w:eastAsia="en-US"/>
        </w:rPr>
        <w:t xml:space="preserve"> фактор; збільшення </w:t>
      </w:r>
      <w:r w:rsidRPr="00520861">
        <w:rPr>
          <w:rFonts w:eastAsia="Calibri"/>
          <w:sz w:val="28"/>
          <w:szCs w:val="28"/>
          <w:lang w:val="ru-RU" w:eastAsia="en-US"/>
        </w:rPr>
        <w:sym w:font="Symbol" w:char="F0B4"/>
      </w:r>
      <w:r w:rsidRPr="00520861">
        <w:rPr>
          <w:rFonts w:eastAsia="Calibri"/>
          <w:sz w:val="28"/>
          <w:szCs w:val="28"/>
          <w:lang w:eastAsia="en-US"/>
        </w:rPr>
        <w:t>400.</w:t>
      </w:r>
    </w:p>
    <w:p w14:paraId="2C0BB9DB"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lastRenderedPageBreak/>
        <w:t xml:space="preserve">Згідно з даними, наведеними в табл. 3.8, у тварин цієї групи, порівняно з контролем, спостерігається вірогідне зниження продукції </w:t>
      </w:r>
      <w:r w:rsidRPr="00520861">
        <w:rPr>
          <w:rFonts w:eastAsia="Calibri"/>
          <w:sz w:val="28"/>
          <w:szCs w:val="28"/>
          <w:lang w:val="en-US" w:eastAsia="en-US"/>
        </w:rPr>
        <w:t>VIII</w:t>
      </w:r>
      <w:r w:rsidRPr="00520861">
        <w:rPr>
          <w:rFonts w:eastAsia="Calibri"/>
          <w:sz w:val="28"/>
          <w:szCs w:val="28"/>
          <w:lang w:eastAsia="en-US"/>
        </w:rPr>
        <w:t xml:space="preserve">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в цитоплазмі. </w:t>
      </w:r>
    </w:p>
    <w:p w14:paraId="58E5CDAA"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деяких тварин у слизовій оболонці спостерігаються осередки </w:t>
      </w:r>
      <w:proofErr w:type="spellStart"/>
      <w:r w:rsidRPr="00520861">
        <w:rPr>
          <w:rFonts w:eastAsia="Calibri"/>
          <w:sz w:val="28"/>
          <w:szCs w:val="28"/>
          <w:lang w:eastAsia="en-US"/>
        </w:rPr>
        <w:t>макрофагально-лимфоцитарної</w:t>
      </w:r>
      <w:proofErr w:type="spellEnd"/>
      <w:r w:rsidRPr="00520861">
        <w:rPr>
          <w:rFonts w:eastAsia="Calibri"/>
          <w:sz w:val="28"/>
          <w:szCs w:val="28"/>
          <w:lang w:eastAsia="en-US"/>
        </w:rPr>
        <w:t xml:space="preserve"> інфільтрації з великою кількістю капілярів </w:t>
      </w:r>
      <w:r w:rsidRPr="00520861">
        <w:rPr>
          <w:rFonts w:eastAsiaTheme="minorHAnsi"/>
          <w:sz w:val="28"/>
          <w:szCs w:val="28"/>
          <w:lang w:eastAsia="en-US"/>
        </w:rPr>
        <w:t xml:space="preserve">(рис. 3.15 </w:t>
      </w:r>
      <w:r w:rsidRPr="00520861">
        <w:rPr>
          <w:rFonts w:eastAsiaTheme="minorHAnsi"/>
          <w:i/>
          <w:sz w:val="28"/>
          <w:szCs w:val="28"/>
          <w:lang w:eastAsia="en-US"/>
        </w:rPr>
        <w:t>б</w:t>
      </w:r>
      <w:r w:rsidRPr="00520861">
        <w:rPr>
          <w:rFonts w:eastAsiaTheme="minorHAnsi"/>
          <w:sz w:val="28"/>
          <w:szCs w:val="28"/>
          <w:lang w:eastAsia="en-US"/>
        </w:rPr>
        <w:t>)</w:t>
      </w:r>
      <w:r w:rsidRPr="00520861">
        <w:rPr>
          <w:rFonts w:eastAsia="Calibri"/>
          <w:sz w:val="28"/>
          <w:szCs w:val="28"/>
          <w:lang w:eastAsia="en-US"/>
        </w:rPr>
        <w:t xml:space="preserve"> (схожі на грануляційну тканину).</w:t>
      </w:r>
    </w:p>
    <w:p w14:paraId="030FDB10" w14:textId="77777777" w:rsidR="00CF641C" w:rsidRPr="00520861" w:rsidRDefault="00CF641C" w:rsidP="00292D2E">
      <w:pPr>
        <w:widowControl w:val="0"/>
        <w:spacing w:line="360" w:lineRule="auto"/>
        <w:ind w:firstLine="708"/>
        <w:jc w:val="right"/>
        <w:rPr>
          <w:rFonts w:eastAsia="Calibri"/>
          <w:i/>
          <w:iCs/>
          <w:sz w:val="28"/>
          <w:szCs w:val="28"/>
          <w:lang w:eastAsia="en-US"/>
        </w:rPr>
      </w:pPr>
      <w:r w:rsidRPr="00520861">
        <w:rPr>
          <w:rFonts w:eastAsia="Calibri"/>
          <w:i/>
          <w:iCs/>
          <w:sz w:val="28"/>
          <w:szCs w:val="28"/>
          <w:lang w:eastAsia="en-US"/>
        </w:rPr>
        <w:t xml:space="preserve">Таблиця 3.8 </w:t>
      </w:r>
    </w:p>
    <w:p w14:paraId="1253A24C"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bCs/>
          <w:sz w:val="28"/>
          <w:szCs w:val="28"/>
          <w:lang w:eastAsia="en-US"/>
        </w:rPr>
        <w:t xml:space="preserve">Медіанні значення </w:t>
      </w:r>
      <w:proofErr w:type="spellStart"/>
      <w:r w:rsidRPr="00520861">
        <w:rPr>
          <w:rFonts w:eastAsia="Calibri"/>
          <w:b/>
          <w:bCs/>
          <w:sz w:val="28"/>
          <w:szCs w:val="28"/>
          <w:lang w:eastAsia="en-US"/>
        </w:rPr>
        <w:t>Me</w:t>
      </w:r>
      <w:proofErr w:type="spellEnd"/>
      <w:r w:rsidRPr="00520861">
        <w:rPr>
          <w:rFonts w:eastAsia="Calibri"/>
          <w:b/>
          <w:bCs/>
          <w:sz w:val="28"/>
          <w:szCs w:val="28"/>
          <w:lang w:eastAsia="en-US"/>
        </w:rPr>
        <w:t xml:space="preserve"> (Q3;Q1) оптичної густини  </w:t>
      </w:r>
      <w:r w:rsidRPr="00520861">
        <w:rPr>
          <w:rFonts w:eastAsia="Calibri"/>
          <w:b/>
          <w:sz w:val="28"/>
          <w:szCs w:val="28"/>
          <w:lang w:eastAsia="en-US"/>
        </w:rPr>
        <w:t xml:space="preserve">фактору </w:t>
      </w:r>
      <w:proofErr w:type="spellStart"/>
      <w:r w:rsidRPr="00520861">
        <w:rPr>
          <w:rFonts w:eastAsia="Calibri"/>
          <w:b/>
          <w:sz w:val="28"/>
          <w:szCs w:val="28"/>
          <w:lang w:eastAsia="en-US"/>
        </w:rPr>
        <w:t>Віллебранда</w:t>
      </w:r>
      <w:proofErr w:type="spellEnd"/>
      <w:r w:rsidRPr="00520861">
        <w:rPr>
          <w:rFonts w:eastAsia="Calibri"/>
          <w:b/>
          <w:sz w:val="28"/>
          <w:szCs w:val="28"/>
          <w:lang w:eastAsia="en-US"/>
        </w:rPr>
        <w:t xml:space="preserve"> </w:t>
      </w:r>
      <w:r w:rsidRPr="00520861">
        <w:rPr>
          <w:rFonts w:eastAsia="Calibri"/>
          <w:b/>
          <w:sz w:val="28"/>
          <w:szCs w:val="28"/>
          <w:lang w:eastAsia="en-US"/>
        </w:rPr>
        <w:br/>
        <w:t>(</w:t>
      </w:r>
      <w:proofErr w:type="spellStart"/>
      <w:r w:rsidRPr="00520861">
        <w:rPr>
          <w:rFonts w:eastAsia="Calibri"/>
          <w:b/>
          <w:sz w:val="28"/>
          <w:szCs w:val="28"/>
          <w:lang w:eastAsia="en-US"/>
        </w:rPr>
        <w:t>імуногістохімічна</w:t>
      </w:r>
      <w:proofErr w:type="spellEnd"/>
      <w:r w:rsidRPr="00520861">
        <w:rPr>
          <w:rFonts w:eastAsia="Calibri"/>
          <w:b/>
          <w:sz w:val="28"/>
          <w:szCs w:val="28"/>
          <w:lang w:eastAsia="en-US"/>
        </w:rPr>
        <w:t xml:space="preserve"> реакція) в </w:t>
      </w:r>
      <w:proofErr w:type="spellStart"/>
      <w:r w:rsidRPr="00520861">
        <w:rPr>
          <w:rFonts w:eastAsia="Calibri"/>
          <w:b/>
          <w:sz w:val="28"/>
          <w:szCs w:val="28"/>
          <w:lang w:eastAsia="en-US"/>
        </w:rPr>
        <w:t>ендотеліоцитах</w:t>
      </w:r>
      <w:proofErr w:type="spellEnd"/>
      <w:r w:rsidRPr="00520861">
        <w:rPr>
          <w:rFonts w:eastAsia="Calibri"/>
          <w:b/>
          <w:sz w:val="28"/>
          <w:szCs w:val="28"/>
          <w:lang w:eastAsia="en-US"/>
        </w:rPr>
        <w:t xml:space="preserve"> власної пластинки слизової </w:t>
      </w:r>
      <w:r w:rsidRPr="00520861">
        <w:rPr>
          <w:rFonts w:eastAsia="Calibri"/>
          <w:b/>
          <w:sz w:val="28"/>
          <w:szCs w:val="28"/>
          <w:lang w:eastAsia="en-US"/>
        </w:rPr>
        <w:br/>
        <w:t xml:space="preserve">оболонки ротової порожнини </w:t>
      </w:r>
      <w:r w:rsidRPr="00520861">
        <w:rPr>
          <w:rFonts w:eastAsia="Calibri"/>
          <w:b/>
          <w:bCs/>
          <w:sz w:val="28"/>
          <w:szCs w:val="28"/>
          <w:lang w:eastAsia="en-US"/>
        </w:rPr>
        <w:t>експериментальних тварин</w:t>
      </w:r>
    </w:p>
    <w:tbl>
      <w:tblPr>
        <w:tblW w:w="89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4"/>
        <w:gridCol w:w="7533"/>
      </w:tblGrid>
      <w:tr w:rsidR="00CF641C" w:rsidRPr="00520861" w14:paraId="09C42808" w14:textId="77777777" w:rsidTr="00292D2E">
        <w:trPr>
          <w:jc w:val="center"/>
        </w:trPr>
        <w:tc>
          <w:tcPr>
            <w:tcW w:w="1454" w:type="dxa"/>
            <w:tcBorders>
              <w:top w:val="single" w:sz="4" w:space="0" w:color="auto"/>
              <w:left w:val="single" w:sz="4" w:space="0" w:color="auto"/>
              <w:bottom w:val="single" w:sz="4" w:space="0" w:color="auto"/>
              <w:right w:val="single" w:sz="4" w:space="0" w:color="auto"/>
            </w:tcBorders>
            <w:hideMark/>
          </w:tcPr>
          <w:p w14:paraId="2D85FAE8" w14:textId="77777777" w:rsidR="00CF641C" w:rsidRPr="00520861" w:rsidRDefault="00CF641C" w:rsidP="00292D2E">
            <w:pPr>
              <w:widowControl w:val="0"/>
              <w:spacing w:line="360" w:lineRule="auto"/>
              <w:rPr>
                <w:sz w:val="28"/>
                <w:szCs w:val="28"/>
              </w:rPr>
            </w:pPr>
            <w:r w:rsidRPr="00520861">
              <w:rPr>
                <w:sz w:val="28"/>
                <w:szCs w:val="28"/>
              </w:rPr>
              <w:t>Групи</w:t>
            </w:r>
          </w:p>
        </w:tc>
        <w:tc>
          <w:tcPr>
            <w:tcW w:w="7533" w:type="dxa"/>
            <w:tcBorders>
              <w:top w:val="single" w:sz="4" w:space="0" w:color="auto"/>
              <w:left w:val="single" w:sz="4" w:space="0" w:color="auto"/>
              <w:bottom w:val="single" w:sz="4" w:space="0" w:color="auto"/>
              <w:right w:val="single" w:sz="4" w:space="0" w:color="auto"/>
            </w:tcBorders>
            <w:hideMark/>
          </w:tcPr>
          <w:p w14:paraId="07F750BB"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rPr>
              <w:t xml:space="preserve">Оптична густина фактору </w:t>
            </w:r>
            <w:proofErr w:type="spellStart"/>
            <w:r w:rsidRPr="00520861">
              <w:rPr>
                <w:rFonts w:eastAsia="Calibri"/>
                <w:sz w:val="28"/>
                <w:szCs w:val="28"/>
              </w:rPr>
              <w:t>Віллебранда</w:t>
            </w:r>
            <w:proofErr w:type="spellEnd"/>
            <w:r w:rsidRPr="00520861">
              <w:rPr>
                <w:rFonts w:eastAsia="Calibri"/>
                <w:sz w:val="28"/>
                <w:szCs w:val="28"/>
                <w:lang w:eastAsia="en-US"/>
              </w:rPr>
              <w:t xml:space="preserve">, </w:t>
            </w:r>
          </w:p>
          <w:p w14:paraId="35E0BD1F" w14:textId="77777777" w:rsidR="00CF641C" w:rsidRPr="00520861" w:rsidRDefault="00CF641C" w:rsidP="00292D2E">
            <w:pPr>
              <w:widowControl w:val="0"/>
              <w:spacing w:line="360" w:lineRule="auto"/>
              <w:jc w:val="center"/>
              <w:rPr>
                <w:rFonts w:eastAsia="Calibri"/>
                <w:sz w:val="28"/>
                <w:szCs w:val="28"/>
                <w:lang w:eastAsia="en-US"/>
              </w:rPr>
            </w:pPr>
            <w:proofErr w:type="spellStart"/>
            <w:r w:rsidRPr="00520861">
              <w:rPr>
                <w:rFonts w:eastAsia="Calibri"/>
                <w:sz w:val="28"/>
                <w:szCs w:val="28"/>
              </w:rPr>
              <w:t>ум.од.опт</w:t>
            </w:r>
            <w:proofErr w:type="spellEnd"/>
            <w:r w:rsidRPr="00520861">
              <w:rPr>
                <w:rFonts w:eastAsia="Calibri"/>
                <w:sz w:val="28"/>
                <w:szCs w:val="28"/>
              </w:rPr>
              <w:t>. густини</w:t>
            </w:r>
          </w:p>
        </w:tc>
      </w:tr>
      <w:tr w:rsidR="00CF641C" w:rsidRPr="00520861" w14:paraId="087803E9" w14:textId="77777777" w:rsidTr="00292D2E">
        <w:trPr>
          <w:jc w:val="center"/>
        </w:trPr>
        <w:tc>
          <w:tcPr>
            <w:tcW w:w="1454" w:type="dxa"/>
            <w:tcBorders>
              <w:top w:val="single" w:sz="4" w:space="0" w:color="auto"/>
              <w:left w:val="single" w:sz="4" w:space="0" w:color="auto"/>
              <w:bottom w:val="single" w:sz="4" w:space="0" w:color="auto"/>
              <w:right w:val="single" w:sz="4" w:space="0" w:color="auto"/>
            </w:tcBorders>
            <w:hideMark/>
          </w:tcPr>
          <w:p w14:paraId="45405F3F" w14:textId="77777777" w:rsidR="00CF641C" w:rsidRPr="00520861" w:rsidRDefault="00CF641C" w:rsidP="00292D2E">
            <w:pPr>
              <w:widowControl w:val="0"/>
              <w:spacing w:line="360" w:lineRule="auto"/>
              <w:rPr>
                <w:rFonts w:eastAsia="Calibri"/>
                <w:sz w:val="28"/>
                <w:szCs w:val="28"/>
                <w:lang w:val="en-US"/>
              </w:rPr>
            </w:pPr>
            <w:r w:rsidRPr="00520861">
              <w:rPr>
                <w:rFonts w:eastAsia="Calibri"/>
                <w:sz w:val="28"/>
                <w:szCs w:val="28"/>
                <w:lang w:val="ru-RU"/>
              </w:rPr>
              <w:t>Контроль</w:t>
            </w:r>
            <w:r w:rsidRPr="00520861">
              <w:rPr>
                <w:rFonts w:eastAsia="Calibri"/>
                <w:sz w:val="28"/>
                <w:szCs w:val="28"/>
              </w:rPr>
              <w:t xml:space="preserve"> </w:t>
            </w:r>
          </w:p>
        </w:tc>
        <w:tc>
          <w:tcPr>
            <w:tcW w:w="7533" w:type="dxa"/>
            <w:tcBorders>
              <w:top w:val="single" w:sz="4" w:space="0" w:color="auto"/>
              <w:left w:val="single" w:sz="4" w:space="0" w:color="auto"/>
              <w:bottom w:val="single" w:sz="4" w:space="0" w:color="auto"/>
              <w:right w:val="single" w:sz="4" w:space="0" w:color="auto"/>
            </w:tcBorders>
            <w:hideMark/>
          </w:tcPr>
          <w:p w14:paraId="5192D165"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0,247</w:t>
            </w:r>
            <w:r w:rsidRPr="00520861">
              <w:rPr>
                <w:rFonts w:eastAsia="Calibri"/>
                <w:sz w:val="28"/>
                <w:szCs w:val="28"/>
                <w:lang w:eastAsia="en-US"/>
              </w:rPr>
              <w:t xml:space="preserve"> </w:t>
            </w:r>
            <w:r w:rsidRPr="00520861">
              <w:rPr>
                <w:rFonts w:eastAsia="Calibri"/>
                <w:sz w:val="28"/>
                <w:szCs w:val="28"/>
                <w:lang w:val="ru-RU" w:eastAsia="en-US"/>
              </w:rPr>
              <w:t>(</w:t>
            </w:r>
            <w:r w:rsidRPr="00520861">
              <w:rPr>
                <w:rFonts w:eastAsia="Calibri"/>
                <w:sz w:val="28"/>
                <w:szCs w:val="28"/>
                <w:lang w:eastAsia="en-US"/>
              </w:rPr>
              <w:t>0,277</w:t>
            </w:r>
            <w:r w:rsidRPr="00520861">
              <w:rPr>
                <w:rFonts w:eastAsia="Calibri"/>
                <w:sz w:val="28"/>
                <w:szCs w:val="28"/>
                <w:lang w:val="en-US" w:eastAsia="en-US"/>
              </w:rPr>
              <w:t>; 0,202</w:t>
            </w:r>
            <w:r w:rsidRPr="00520861">
              <w:rPr>
                <w:rFonts w:eastAsia="Calibri"/>
                <w:sz w:val="28"/>
                <w:szCs w:val="28"/>
                <w:lang w:val="ru-RU" w:eastAsia="en-US"/>
              </w:rPr>
              <w:t>)</w:t>
            </w:r>
          </w:p>
        </w:tc>
      </w:tr>
      <w:tr w:rsidR="00CF641C" w:rsidRPr="00520861" w14:paraId="12FD52B5" w14:textId="77777777" w:rsidTr="00292D2E">
        <w:trPr>
          <w:jc w:val="center"/>
        </w:trPr>
        <w:tc>
          <w:tcPr>
            <w:tcW w:w="1454" w:type="dxa"/>
            <w:tcBorders>
              <w:top w:val="single" w:sz="4" w:space="0" w:color="auto"/>
              <w:left w:val="single" w:sz="4" w:space="0" w:color="auto"/>
              <w:bottom w:val="single" w:sz="4" w:space="0" w:color="auto"/>
              <w:right w:val="single" w:sz="4" w:space="0" w:color="auto"/>
            </w:tcBorders>
          </w:tcPr>
          <w:p w14:paraId="7F3AAA8D" w14:textId="77777777" w:rsidR="00CF641C" w:rsidRPr="00520861" w:rsidRDefault="00CF641C" w:rsidP="00292D2E">
            <w:pPr>
              <w:widowControl w:val="0"/>
              <w:spacing w:line="360" w:lineRule="auto"/>
              <w:jc w:val="both"/>
              <w:rPr>
                <w:sz w:val="28"/>
                <w:szCs w:val="28"/>
                <w:lang w:val="ru-RU"/>
              </w:rPr>
            </w:pPr>
            <w:r w:rsidRPr="00520861">
              <w:rPr>
                <w:sz w:val="28"/>
                <w:szCs w:val="28"/>
              </w:rPr>
              <w:t>Група</w:t>
            </w:r>
            <w:r w:rsidRPr="00520861">
              <w:rPr>
                <w:sz w:val="28"/>
                <w:szCs w:val="28"/>
                <w:lang w:val="ru-RU"/>
              </w:rPr>
              <w:t xml:space="preserve"> 1</w:t>
            </w:r>
          </w:p>
        </w:tc>
        <w:tc>
          <w:tcPr>
            <w:tcW w:w="7533" w:type="dxa"/>
            <w:tcBorders>
              <w:top w:val="single" w:sz="4" w:space="0" w:color="auto"/>
              <w:left w:val="single" w:sz="4" w:space="0" w:color="auto"/>
              <w:bottom w:val="single" w:sz="4" w:space="0" w:color="auto"/>
              <w:right w:val="single" w:sz="4" w:space="0" w:color="auto"/>
            </w:tcBorders>
          </w:tcPr>
          <w:p w14:paraId="08ADEA2C"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0,187</w:t>
            </w:r>
            <w:r w:rsidRPr="00520861">
              <w:rPr>
                <w:sz w:val="28"/>
                <w:szCs w:val="28"/>
              </w:rPr>
              <w:t>*</w:t>
            </w:r>
            <w:r w:rsidRPr="00520861">
              <w:rPr>
                <w:rFonts w:eastAsia="Calibri"/>
                <w:sz w:val="28"/>
                <w:szCs w:val="28"/>
                <w:lang w:eastAsia="en-US"/>
              </w:rPr>
              <w:t xml:space="preserve"> </w:t>
            </w:r>
            <w:r w:rsidRPr="00520861">
              <w:rPr>
                <w:rFonts w:eastAsia="Calibri"/>
                <w:sz w:val="28"/>
                <w:szCs w:val="28"/>
                <w:lang w:val="ru-RU" w:eastAsia="en-US"/>
              </w:rPr>
              <w:t>(</w:t>
            </w:r>
            <w:r w:rsidRPr="00520861">
              <w:rPr>
                <w:rFonts w:eastAsia="Calibri"/>
                <w:sz w:val="28"/>
                <w:szCs w:val="28"/>
                <w:lang w:val="en-US" w:eastAsia="en-US"/>
              </w:rPr>
              <w:t>0,210; 0,156</w:t>
            </w:r>
            <w:r w:rsidRPr="00520861">
              <w:rPr>
                <w:rFonts w:eastAsia="Calibri"/>
                <w:sz w:val="28"/>
                <w:szCs w:val="28"/>
                <w:lang w:val="ru-RU" w:eastAsia="en-US"/>
              </w:rPr>
              <w:t>)</w:t>
            </w:r>
            <w:r w:rsidRPr="00520861">
              <w:rPr>
                <w:rFonts w:eastAsia="Calibri"/>
                <w:sz w:val="28"/>
                <w:szCs w:val="28"/>
                <w:lang w:eastAsia="en-US"/>
              </w:rPr>
              <w:t xml:space="preserve"> </w:t>
            </w:r>
            <w:r w:rsidRPr="00520861">
              <w:rPr>
                <w:rFonts w:eastAsia="Calibri"/>
                <w:i/>
                <w:sz w:val="28"/>
                <w:szCs w:val="28"/>
                <w:lang w:val="en-US" w:eastAsia="en-US"/>
              </w:rPr>
              <w:t>p</w:t>
            </w:r>
            <w:r w:rsidRPr="00520861">
              <w:rPr>
                <w:rFonts w:eastAsia="Calibri"/>
                <w:sz w:val="28"/>
                <w:szCs w:val="28"/>
                <w:lang w:val="ru-RU" w:eastAsia="en-US"/>
              </w:rPr>
              <w:t>=0</w:t>
            </w:r>
            <w:r w:rsidRPr="00520861">
              <w:rPr>
                <w:rFonts w:eastAsia="Calibri"/>
                <w:sz w:val="28"/>
                <w:szCs w:val="28"/>
                <w:lang w:val="en-US" w:eastAsia="en-US"/>
              </w:rPr>
              <w:t>,</w:t>
            </w:r>
            <w:r w:rsidRPr="00520861">
              <w:rPr>
                <w:rFonts w:eastAsia="Calibri"/>
                <w:sz w:val="28"/>
                <w:szCs w:val="28"/>
                <w:lang w:val="ru-RU" w:eastAsia="en-US"/>
              </w:rPr>
              <w:t>000</w:t>
            </w:r>
            <w:r w:rsidRPr="00520861">
              <w:rPr>
                <w:rFonts w:eastAsia="Calibri"/>
                <w:sz w:val="28"/>
                <w:szCs w:val="28"/>
                <w:lang w:val="en-US" w:eastAsia="en-US"/>
              </w:rPr>
              <w:t>24</w:t>
            </w:r>
          </w:p>
        </w:tc>
      </w:tr>
      <w:tr w:rsidR="00CF641C" w:rsidRPr="00520861" w14:paraId="60C3DD19" w14:textId="77777777" w:rsidTr="00292D2E">
        <w:trPr>
          <w:jc w:val="center"/>
        </w:trPr>
        <w:tc>
          <w:tcPr>
            <w:tcW w:w="1454" w:type="dxa"/>
            <w:tcBorders>
              <w:top w:val="single" w:sz="4" w:space="0" w:color="auto"/>
              <w:left w:val="single" w:sz="4" w:space="0" w:color="auto"/>
              <w:bottom w:val="single" w:sz="4" w:space="0" w:color="auto"/>
              <w:right w:val="single" w:sz="4" w:space="0" w:color="auto"/>
            </w:tcBorders>
          </w:tcPr>
          <w:p w14:paraId="1B5AB07D" w14:textId="77777777" w:rsidR="00CF641C" w:rsidRPr="00520861" w:rsidRDefault="00CF641C" w:rsidP="00292D2E">
            <w:pPr>
              <w:widowControl w:val="0"/>
              <w:spacing w:line="360" w:lineRule="auto"/>
              <w:jc w:val="both"/>
              <w:rPr>
                <w:sz w:val="28"/>
                <w:szCs w:val="28"/>
                <w:lang w:val="ru-RU"/>
              </w:rPr>
            </w:pPr>
            <w:r w:rsidRPr="00520861">
              <w:rPr>
                <w:sz w:val="28"/>
                <w:szCs w:val="28"/>
              </w:rPr>
              <w:t>Група</w:t>
            </w:r>
            <w:r w:rsidRPr="00520861">
              <w:rPr>
                <w:sz w:val="28"/>
                <w:szCs w:val="28"/>
                <w:lang w:val="ru-RU"/>
              </w:rPr>
              <w:t xml:space="preserve"> 2 </w:t>
            </w:r>
          </w:p>
        </w:tc>
        <w:tc>
          <w:tcPr>
            <w:tcW w:w="7533" w:type="dxa"/>
            <w:tcBorders>
              <w:top w:val="single" w:sz="4" w:space="0" w:color="auto"/>
              <w:left w:val="single" w:sz="4" w:space="0" w:color="auto"/>
              <w:bottom w:val="single" w:sz="4" w:space="0" w:color="auto"/>
              <w:right w:val="single" w:sz="4" w:space="0" w:color="auto"/>
            </w:tcBorders>
          </w:tcPr>
          <w:p w14:paraId="013170DF"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0,217</w:t>
            </w:r>
            <w:r w:rsidRPr="00520861">
              <w:rPr>
                <w:rFonts w:eastAsia="Calibri"/>
                <w:sz w:val="28"/>
                <w:szCs w:val="28"/>
                <w:lang w:eastAsia="en-US"/>
              </w:rPr>
              <w:t xml:space="preserve"> </w:t>
            </w:r>
            <w:r w:rsidRPr="00520861">
              <w:rPr>
                <w:rFonts w:eastAsia="Calibri"/>
                <w:sz w:val="28"/>
                <w:szCs w:val="28"/>
                <w:lang w:val="ru-RU" w:eastAsia="en-US"/>
              </w:rPr>
              <w:t>(</w:t>
            </w:r>
            <w:r w:rsidRPr="00520861">
              <w:rPr>
                <w:rFonts w:eastAsia="Calibri"/>
                <w:sz w:val="28"/>
                <w:szCs w:val="28"/>
                <w:lang w:val="en-US" w:eastAsia="en-US"/>
              </w:rPr>
              <w:t>0,241; 0,202</w:t>
            </w:r>
            <w:r w:rsidRPr="00520861">
              <w:rPr>
                <w:rFonts w:eastAsia="Calibri"/>
                <w:sz w:val="28"/>
                <w:szCs w:val="28"/>
                <w:lang w:val="ru-RU" w:eastAsia="en-US"/>
              </w:rPr>
              <w:t>)</w:t>
            </w:r>
            <w:r w:rsidRPr="00520861">
              <w:rPr>
                <w:rFonts w:eastAsia="Calibri"/>
                <w:sz w:val="28"/>
                <w:szCs w:val="28"/>
                <w:lang w:eastAsia="en-US"/>
              </w:rPr>
              <w:t xml:space="preserve"> </w:t>
            </w:r>
            <w:r w:rsidRPr="00520861">
              <w:rPr>
                <w:rFonts w:eastAsia="Calibri"/>
                <w:i/>
                <w:sz w:val="28"/>
                <w:szCs w:val="28"/>
                <w:lang w:val="en-US" w:eastAsia="en-US"/>
              </w:rPr>
              <w:t>p</w:t>
            </w:r>
            <w:r w:rsidRPr="00520861">
              <w:rPr>
                <w:rFonts w:eastAsia="Calibri"/>
                <w:sz w:val="28"/>
                <w:szCs w:val="28"/>
                <w:lang w:val="ru-RU" w:eastAsia="en-US"/>
              </w:rPr>
              <w:t>=0</w:t>
            </w:r>
            <w:r w:rsidRPr="00520861">
              <w:rPr>
                <w:rFonts w:eastAsia="Calibri"/>
                <w:sz w:val="28"/>
                <w:szCs w:val="28"/>
                <w:lang w:val="en-US" w:eastAsia="en-US"/>
              </w:rPr>
              <w:t>,</w:t>
            </w:r>
            <w:r w:rsidRPr="00520861">
              <w:rPr>
                <w:rFonts w:eastAsia="Calibri"/>
                <w:sz w:val="28"/>
                <w:szCs w:val="28"/>
                <w:lang w:val="ru-RU" w:eastAsia="en-US"/>
              </w:rPr>
              <w:t>1</w:t>
            </w:r>
            <w:r w:rsidRPr="00520861">
              <w:rPr>
                <w:rFonts w:eastAsia="Calibri"/>
                <w:sz w:val="28"/>
                <w:szCs w:val="28"/>
                <w:lang w:val="en-US" w:eastAsia="en-US"/>
              </w:rPr>
              <w:t>2524</w:t>
            </w:r>
          </w:p>
        </w:tc>
      </w:tr>
      <w:tr w:rsidR="00CF641C" w:rsidRPr="00520861" w14:paraId="4531CFCB" w14:textId="77777777" w:rsidTr="00292D2E">
        <w:trPr>
          <w:jc w:val="center"/>
        </w:trPr>
        <w:tc>
          <w:tcPr>
            <w:tcW w:w="1454" w:type="dxa"/>
            <w:tcBorders>
              <w:top w:val="single" w:sz="4" w:space="0" w:color="auto"/>
              <w:left w:val="single" w:sz="4" w:space="0" w:color="auto"/>
              <w:bottom w:val="single" w:sz="4" w:space="0" w:color="auto"/>
              <w:right w:val="single" w:sz="4" w:space="0" w:color="auto"/>
            </w:tcBorders>
            <w:hideMark/>
          </w:tcPr>
          <w:p w14:paraId="5505E9DD" w14:textId="77777777" w:rsidR="00CF641C" w:rsidRPr="00520861" w:rsidRDefault="00CF641C" w:rsidP="00292D2E">
            <w:pPr>
              <w:widowControl w:val="0"/>
              <w:spacing w:line="360" w:lineRule="auto"/>
              <w:jc w:val="both"/>
              <w:rPr>
                <w:sz w:val="28"/>
                <w:szCs w:val="28"/>
              </w:rPr>
            </w:pPr>
            <w:r w:rsidRPr="00520861">
              <w:rPr>
                <w:sz w:val="28"/>
                <w:szCs w:val="28"/>
                <w:lang w:val="ru-RU"/>
              </w:rPr>
              <w:t>Г</w:t>
            </w:r>
            <w:proofErr w:type="spellStart"/>
            <w:r w:rsidRPr="00520861">
              <w:rPr>
                <w:sz w:val="28"/>
                <w:szCs w:val="28"/>
              </w:rPr>
              <w:t>рупа</w:t>
            </w:r>
            <w:proofErr w:type="spellEnd"/>
            <w:r w:rsidRPr="00520861">
              <w:rPr>
                <w:sz w:val="28"/>
                <w:szCs w:val="28"/>
                <w:lang w:val="ru-RU"/>
              </w:rPr>
              <w:t xml:space="preserve"> 3</w:t>
            </w:r>
          </w:p>
        </w:tc>
        <w:tc>
          <w:tcPr>
            <w:tcW w:w="7533" w:type="dxa"/>
            <w:tcBorders>
              <w:top w:val="single" w:sz="4" w:space="0" w:color="auto"/>
              <w:left w:val="single" w:sz="4" w:space="0" w:color="auto"/>
              <w:bottom w:val="single" w:sz="4" w:space="0" w:color="auto"/>
              <w:right w:val="single" w:sz="4" w:space="0" w:color="auto"/>
            </w:tcBorders>
            <w:hideMark/>
          </w:tcPr>
          <w:p w14:paraId="5EE9AA29"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0,153</w:t>
            </w:r>
            <w:r w:rsidRPr="00520861">
              <w:rPr>
                <w:sz w:val="28"/>
                <w:szCs w:val="28"/>
              </w:rPr>
              <w:t>*</w:t>
            </w:r>
            <w:r w:rsidRPr="00520861">
              <w:rPr>
                <w:rFonts w:eastAsia="Calibri"/>
                <w:sz w:val="28"/>
                <w:szCs w:val="28"/>
                <w:lang w:eastAsia="en-US"/>
              </w:rPr>
              <w:t xml:space="preserve"> </w:t>
            </w:r>
            <w:r w:rsidRPr="00520861">
              <w:rPr>
                <w:rFonts w:eastAsia="Calibri"/>
                <w:sz w:val="28"/>
                <w:szCs w:val="28"/>
                <w:lang w:val="ru-RU" w:eastAsia="en-US"/>
              </w:rPr>
              <w:t>(</w:t>
            </w:r>
            <w:r w:rsidRPr="00520861">
              <w:rPr>
                <w:rFonts w:eastAsia="Calibri"/>
                <w:sz w:val="28"/>
                <w:szCs w:val="28"/>
                <w:lang w:val="en-US" w:eastAsia="en-US"/>
              </w:rPr>
              <w:t>0,187; 0,130</w:t>
            </w:r>
            <w:r w:rsidRPr="00520861">
              <w:rPr>
                <w:rFonts w:eastAsia="Calibri"/>
                <w:sz w:val="28"/>
                <w:szCs w:val="28"/>
                <w:lang w:val="ru-RU" w:eastAsia="en-US"/>
              </w:rPr>
              <w:t>)</w:t>
            </w:r>
            <w:r w:rsidRPr="00520861">
              <w:rPr>
                <w:rFonts w:eastAsia="Calibri"/>
                <w:sz w:val="28"/>
                <w:szCs w:val="28"/>
                <w:lang w:eastAsia="en-US"/>
              </w:rPr>
              <w:t xml:space="preserve"> </w:t>
            </w:r>
            <w:proofErr w:type="gramStart"/>
            <w:r w:rsidRPr="00520861">
              <w:rPr>
                <w:rFonts w:eastAsia="Calibri"/>
                <w:i/>
                <w:sz w:val="28"/>
                <w:szCs w:val="28"/>
                <w:lang w:val="en-US" w:eastAsia="en-US"/>
              </w:rPr>
              <w:t>p</w:t>
            </w:r>
            <w:r w:rsidRPr="00520861">
              <w:rPr>
                <w:rFonts w:eastAsia="Calibri"/>
                <w:sz w:val="28"/>
                <w:szCs w:val="28"/>
                <w:lang w:val="en-US" w:eastAsia="en-US"/>
              </w:rPr>
              <w:t>&lt;</w:t>
            </w:r>
            <w:proofErr w:type="gramEnd"/>
            <w:r w:rsidRPr="00520861">
              <w:rPr>
                <w:rFonts w:eastAsia="Calibri"/>
                <w:sz w:val="28"/>
                <w:szCs w:val="28"/>
                <w:lang w:val="ru-RU" w:eastAsia="en-US"/>
              </w:rPr>
              <w:t>0</w:t>
            </w:r>
            <w:r w:rsidRPr="00520861">
              <w:rPr>
                <w:rFonts w:eastAsia="Calibri"/>
                <w:sz w:val="28"/>
                <w:szCs w:val="28"/>
                <w:lang w:val="en-US" w:eastAsia="en-US"/>
              </w:rPr>
              <w:t>,</w:t>
            </w:r>
            <w:r w:rsidRPr="00520861">
              <w:rPr>
                <w:rFonts w:eastAsia="Calibri"/>
                <w:sz w:val="28"/>
                <w:szCs w:val="28"/>
                <w:lang w:val="ru-RU" w:eastAsia="en-US"/>
              </w:rPr>
              <w:t>0000</w:t>
            </w:r>
            <w:r w:rsidRPr="00520861">
              <w:rPr>
                <w:rFonts w:eastAsia="Calibri"/>
                <w:sz w:val="28"/>
                <w:szCs w:val="28"/>
                <w:lang w:val="en-US" w:eastAsia="en-US"/>
              </w:rPr>
              <w:t>1</w:t>
            </w:r>
          </w:p>
        </w:tc>
      </w:tr>
      <w:tr w:rsidR="00CF641C" w:rsidRPr="00520861" w14:paraId="5097D807" w14:textId="77777777" w:rsidTr="00292D2E">
        <w:trPr>
          <w:jc w:val="center"/>
        </w:trPr>
        <w:tc>
          <w:tcPr>
            <w:tcW w:w="1454" w:type="dxa"/>
            <w:tcBorders>
              <w:top w:val="single" w:sz="4" w:space="0" w:color="auto"/>
              <w:left w:val="single" w:sz="4" w:space="0" w:color="auto"/>
              <w:bottom w:val="single" w:sz="4" w:space="0" w:color="auto"/>
              <w:right w:val="single" w:sz="4" w:space="0" w:color="auto"/>
            </w:tcBorders>
            <w:hideMark/>
          </w:tcPr>
          <w:p w14:paraId="22FD83FA" w14:textId="77777777" w:rsidR="00CF641C" w:rsidRPr="00520861" w:rsidRDefault="00CF641C" w:rsidP="00292D2E">
            <w:pPr>
              <w:widowControl w:val="0"/>
              <w:spacing w:line="360" w:lineRule="auto"/>
              <w:jc w:val="both"/>
              <w:rPr>
                <w:sz w:val="28"/>
                <w:szCs w:val="28"/>
                <w:lang w:val="ru-RU"/>
              </w:rPr>
            </w:pPr>
            <w:r w:rsidRPr="00520861">
              <w:rPr>
                <w:sz w:val="28"/>
                <w:szCs w:val="28"/>
              </w:rPr>
              <w:t>Група</w:t>
            </w:r>
            <w:r w:rsidRPr="00520861">
              <w:rPr>
                <w:sz w:val="28"/>
                <w:szCs w:val="28"/>
                <w:lang w:val="ru-RU"/>
              </w:rPr>
              <w:t xml:space="preserve"> 4 </w:t>
            </w:r>
          </w:p>
        </w:tc>
        <w:tc>
          <w:tcPr>
            <w:tcW w:w="7533" w:type="dxa"/>
            <w:tcBorders>
              <w:top w:val="single" w:sz="4" w:space="0" w:color="auto"/>
              <w:left w:val="single" w:sz="4" w:space="0" w:color="auto"/>
              <w:bottom w:val="single" w:sz="4" w:space="0" w:color="auto"/>
              <w:right w:val="single" w:sz="4" w:space="0" w:color="auto"/>
            </w:tcBorders>
            <w:hideMark/>
          </w:tcPr>
          <w:p w14:paraId="72BCD081"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0,113</w:t>
            </w:r>
            <w:r w:rsidRPr="00520861">
              <w:rPr>
                <w:sz w:val="28"/>
                <w:szCs w:val="28"/>
              </w:rPr>
              <w:t xml:space="preserve">* </w:t>
            </w:r>
            <w:r w:rsidRPr="00520861">
              <w:rPr>
                <w:rFonts w:eastAsia="Calibri"/>
                <w:sz w:val="28"/>
                <w:szCs w:val="28"/>
                <w:lang w:val="ru-RU" w:eastAsia="en-US"/>
              </w:rPr>
              <w:t>(</w:t>
            </w:r>
            <w:r w:rsidRPr="00520861">
              <w:rPr>
                <w:rFonts w:eastAsia="Calibri"/>
                <w:sz w:val="28"/>
                <w:szCs w:val="28"/>
                <w:lang w:val="en-US" w:eastAsia="en-US"/>
              </w:rPr>
              <w:t>0,127; 0,107</w:t>
            </w:r>
            <w:r w:rsidRPr="00520861">
              <w:rPr>
                <w:rFonts w:eastAsia="Calibri"/>
                <w:sz w:val="28"/>
                <w:szCs w:val="28"/>
                <w:lang w:val="ru-RU" w:eastAsia="en-US"/>
              </w:rPr>
              <w:t>)</w:t>
            </w:r>
            <w:r w:rsidRPr="00520861">
              <w:rPr>
                <w:rFonts w:eastAsia="Calibri"/>
                <w:sz w:val="28"/>
                <w:szCs w:val="28"/>
                <w:lang w:eastAsia="en-US"/>
              </w:rPr>
              <w:t xml:space="preserve"> </w:t>
            </w:r>
            <w:proofErr w:type="gramStart"/>
            <w:r w:rsidRPr="00520861">
              <w:rPr>
                <w:rFonts w:eastAsia="Calibri"/>
                <w:i/>
                <w:sz w:val="28"/>
                <w:szCs w:val="28"/>
                <w:lang w:val="en-US" w:eastAsia="en-US"/>
              </w:rPr>
              <w:t>p</w:t>
            </w:r>
            <w:r w:rsidRPr="00520861">
              <w:rPr>
                <w:rFonts w:eastAsia="Calibri"/>
                <w:sz w:val="28"/>
                <w:szCs w:val="28"/>
                <w:lang w:val="en-US" w:eastAsia="en-US"/>
              </w:rPr>
              <w:t>&lt;</w:t>
            </w:r>
            <w:proofErr w:type="gramEnd"/>
            <w:r w:rsidRPr="00520861">
              <w:rPr>
                <w:rFonts w:eastAsia="Calibri"/>
                <w:sz w:val="28"/>
                <w:szCs w:val="28"/>
                <w:lang w:val="ru-RU" w:eastAsia="en-US"/>
              </w:rPr>
              <w:t>0</w:t>
            </w:r>
            <w:r w:rsidRPr="00520861">
              <w:rPr>
                <w:rFonts w:eastAsia="Calibri"/>
                <w:sz w:val="28"/>
                <w:szCs w:val="28"/>
                <w:lang w:val="en-US" w:eastAsia="en-US"/>
              </w:rPr>
              <w:t>,</w:t>
            </w:r>
            <w:r w:rsidRPr="00520861">
              <w:rPr>
                <w:rFonts w:eastAsia="Calibri"/>
                <w:sz w:val="28"/>
                <w:szCs w:val="28"/>
                <w:lang w:val="ru-RU" w:eastAsia="en-US"/>
              </w:rPr>
              <w:t>0000</w:t>
            </w:r>
            <w:r w:rsidRPr="00520861">
              <w:rPr>
                <w:rFonts w:eastAsia="Calibri"/>
                <w:sz w:val="28"/>
                <w:szCs w:val="28"/>
                <w:lang w:val="en-US" w:eastAsia="en-US"/>
              </w:rPr>
              <w:t>1</w:t>
            </w:r>
          </w:p>
        </w:tc>
      </w:tr>
    </w:tbl>
    <w:p w14:paraId="6C47656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0A0ADB1F" w14:textId="77777777" w:rsidR="00CF641C" w:rsidRPr="00520861" w:rsidRDefault="00CF641C" w:rsidP="00292D2E">
      <w:pPr>
        <w:widowControl w:val="0"/>
        <w:spacing w:line="360" w:lineRule="auto"/>
        <w:ind w:firstLine="708"/>
        <w:jc w:val="both"/>
        <w:rPr>
          <w:rFonts w:eastAsia="Calibri"/>
          <w:sz w:val="28"/>
          <w:szCs w:val="28"/>
          <w:lang w:eastAsia="en-US"/>
        </w:rPr>
      </w:pPr>
    </w:p>
    <w:p w14:paraId="5D84E38A"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тварин групи 2 місцями спостерігаються </w:t>
      </w:r>
      <w:proofErr w:type="spellStart"/>
      <w:r w:rsidRPr="00520861">
        <w:rPr>
          <w:rFonts w:eastAsia="Calibri"/>
          <w:sz w:val="28"/>
          <w:szCs w:val="28"/>
          <w:lang w:eastAsia="en-US"/>
        </w:rPr>
        <w:t>виразкування</w:t>
      </w:r>
      <w:proofErr w:type="spellEnd"/>
      <w:r w:rsidRPr="00520861">
        <w:rPr>
          <w:rFonts w:eastAsia="Calibri"/>
          <w:sz w:val="28"/>
          <w:szCs w:val="28"/>
          <w:lang w:eastAsia="en-US"/>
        </w:rPr>
        <w:t xml:space="preserve"> СОПР, деколи з відсутністю епітеліального шару. Має місце прикріплення епітеліального шару слизової оболонки нижче емалево-цементної межі з формуванням кишень (рис. 3.13</w:t>
      </w:r>
      <w:r w:rsidRPr="00520861">
        <w:rPr>
          <w:rFonts w:eastAsia="Calibri"/>
          <w:i/>
          <w:sz w:val="28"/>
          <w:szCs w:val="28"/>
          <w:lang w:eastAsia="en-US"/>
        </w:rPr>
        <w:t>б</w:t>
      </w:r>
      <w:r w:rsidRPr="00520861">
        <w:rPr>
          <w:rFonts w:eastAsia="Calibri"/>
          <w:sz w:val="28"/>
          <w:szCs w:val="28"/>
          <w:lang w:eastAsia="en-US"/>
        </w:rPr>
        <w:t>).</w:t>
      </w:r>
    </w:p>
    <w:p w14:paraId="4E1A1693"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слизовій оболонці </w:t>
      </w:r>
      <w:proofErr w:type="spellStart"/>
      <w:r w:rsidRPr="00520861">
        <w:rPr>
          <w:rFonts w:eastAsia="Calibri"/>
          <w:sz w:val="28"/>
          <w:szCs w:val="28"/>
          <w:lang w:eastAsia="en-US"/>
        </w:rPr>
        <w:t>спостегігається</w:t>
      </w:r>
      <w:proofErr w:type="spellEnd"/>
      <w:r w:rsidRPr="00520861">
        <w:rPr>
          <w:rFonts w:eastAsia="Calibri"/>
          <w:sz w:val="28"/>
          <w:szCs w:val="28"/>
          <w:lang w:eastAsia="en-US"/>
        </w:rPr>
        <w:t xml:space="preserve"> розгалужене МЦР. При вивченні активності фактору фон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[41] фіксуються мічені </w:t>
      </w:r>
      <w:proofErr w:type="spellStart"/>
      <w:r w:rsidRPr="00520861">
        <w:rPr>
          <w:rFonts w:eastAsia="Calibri"/>
          <w:sz w:val="28"/>
          <w:szCs w:val="28"/>
          <w:lang w:eastAsia="en-US"/>
        </w:rPr>
        <w:t>ендотеліоцити</w:t>
      </w:r>
      <w:proofErr w:type="spellEnd"/>
      <w:r w:rsidRPr="00520861">
        <w:rPr>
          <w:rFonts w:eastAsia="Calibri"/>
          <w:sz w:val="28"/>
          <w:szCs w:val="28"/>
          <w:lang w:eastAsia="en-US"/>
        </w:rPr>
        <w:t xml:space="preserve"> (рис. 3.15</w:t>
      </w:r>
      <w:r w:rsidRPr="00520861">
        <w:rPr>
          <w:rFonts w:eastAsia="Calibri"/>
          <w:i/>
          <w:sz w:val="28"/>
          <w:szCs w:val="28"/>
          <w:lang w:eastAsia="en-US"/>
        </w:rPr>
        <w:t>в</w:t>
      </w:r>
      <w:r w:rsidRPr="00520861">
        <w:rPr>
          <w:rFonts w:eastAsia="Calibri"/>
          <w:sz w:val="28"/>
          <w:szCs w:val="28"/>
          <w:lang w:eastAsia="en-US"/>
        </w:rPr>
        <w:t xml:space="preserve">), проте ступінь їхнього специфічного забарвлення на VIII фактор вірогідно від контролю не відрізняється (табл. 3.8). У деяких тварин цієї групи є ознаки підвищених витрат </w:t>
      </w:r>
      <w:r w:rsidRPr="00520861">
        <w:rPr>
          <w:rFonts w:eastAsia="Calibri"/>
          <w:sz w:val="28"/>
          <w:szCs w:val="28"/>
          <w:lang w:val="ru-RU" w:eastAsia="en-US"/>
        </w:rPr>
        <w:t>VIII</w:t>
      </w:r>
      <w:r w:rsidRPr="00520861">
        <w:rPr>
          <w:rFonts w:eastAsia="Calibri"/>
          <w:sz w:val="28"/>
          <w:szCs w:val="28"/>
          <w:lang w:eastAsia="en-US"/>
        </w:rPr>
        <w:t xml:space="preserve">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для підтримки гомеостазу (рис. 3.15</w:t>
      </w:r>
      <w:r w:rsidRPr="00520861">
        <w:rPr>
          <w:rFonts w:eastAsia="Calibri"/>
          <w:i/>
          <w:sz w:val="28"/>
          <w:szCs w:val="28"/>
          <w:lang w:eastAsia="en-US"/>
        </w:rPr>
        <w:t>г</w:t>
      </w:r>
      <w:r w:rsidRPr="00520861">
        <w:rPr>
          <w:rFonts w:eastAsia="Calibri"/>
          <w:sz w:val="28"/>
          <w:szCs w:val="28"/>
          <w:lang w:eastAsia="en-US"/>
        </w:rPr>
        <w:t xml:space="preserve">), оскільки на препаратах спостерігаються </w:t>
      </w:r>
      <w:proofErr w:type="spellStart"/>
      <w:r w:rsidRPr="00520861">
        <w:rPr>
          <w:rFonts w:eastAsia="Calibri"/>
          <w:sz w:val="28"/>
          <w:szCs w:val="28"/>
          <w:lang w:eastAsia="en-US"/>
        </w:rPr>
        <w:t>субепітеліальні</w:t>
      </w:r>
      <w:proofErr w:type="spellEnd"/>
      <w:r w:rsidRPr="00520861">
        <w:rPr>
          <w:rFonts w:eastAsia="Calibri"/>
          <w:sz w:val="28"/>
          <w:szCs w:val="28"/>
          <w:lang w:eastAsia="en-US"/>
        </w:rPr>
        <w:t xml:space="preserve"> крововиливи і відсутність </w:t>
      </w:r>
      <w:proofErr w:type="spellStart"/>
      <w:r w:rsidRPr="00520861">
        <w:rPr>
          <w:rFonts w:eastAsia="Calibri"/>
          <w:sz w:val="28"/>
          <w:szCs w:val="28"/>
          <w:lang w:eastAsia="en-US"/>
        </w:rPr>
        <w:t>діамінобензідіну</w:t>
      </w:r>
      <w:proofErr w:type="spellEnd"/>
      <w:r w:rsidRPr="00520861">
        <w:rPr>
          <w:rFonts w:eastAsia="Calibri"/>
          <w:sz w:val="28"/>
          <w:szCs w:val="28"/>
          <w:lang w:eastAsia="en-US"/>
        </w:rPr>
        <w:t>.</w:t>
      </w:r>
    </w:p>
    <w:p w14:paraId="59E0DF64"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sz w:val="28"/>
          <w:szCs w:val="28"/>
          <w:lang w:eastAsia="en-US"/>
        </w:rPr>
        <w:t>У</w:t>
      </w:r>
      <w:r w:rsidRPr="00520861">
        <w:rPr>
          <w:rFonts w:eastAsia="Calibri"/>
          <w:color w:val="000000" w:themeColor="text1"/>
          <w:sz w:val="28"/>
          <w:szCs w:val="28"/>
          <w:lang w:eastAsia="en-US"/>
        </w:rPr>
        <w:t xml:space="preserve"> тварин групи 3 епітелій слизової оболонки прикріплений на емалево-</w:t>
      </w:r>
      <w:r w:rsidRPr="00520861">
        <w:rPr>
          <w:rFonts w:eastAsia="Calibri"/>
          <w:color w:val="000000" w:themeColor="text1"/>
          <w:sz w:val="28"/>
          <w:szCs w:val="28"/>
          <w:lang w:eastAsia="en-US"/>
        </w:rPr>
        <w:br/>
      </w:r>
      <w:r w:rsidRPr="00520861">
        <w:rPr>
          <w:rFonts w:eastAsia="Calibri"/>
          <w:color w:val="000000" w:themeColor="text1"/>
          <w:sz w:val="28"/>
          <w:szCs w:val="28"/>
          <w:lang w:val="ru-RU" w:eastAsia="en-US"/>
        </w:rPr>
        <w:t>-</w:t>
      </w:r>
      <w:r w:rsidRPr="00520861">
        <w:rPr>
          <w:rFonts w:eastAsia="Calibri"/>
          <w:color w:val="000000" w:themeColor="text1"/>
          <w:sz w:val="28"/>
          <w:szCs w:val="28"/>
          <w:lang w:eastAsia="en-US"/>
        </w:rPr>
        <w:t>цементній межі.</w:t>
      </w:r>
    </w:p>
    <w:p w14:paraId="22E6DEF0"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lastRenderedPageBreak/>
        <w:t xml:space="preserve">При вивченні активності фактору фон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у</w:t>
      </w:r>
      <w:r w:rsidRPr="00520861">
        <w:rPr>
          <w:rFonts w:eastAsia="Calibri"/>
          <w:color w:val="000000" w:themeColor="text1"/>
          <w:sz w:val="28"/>
          <w:szCs w:val="28"/>
          <w:lang w:eastAsia="en-US"/>
        </w:rPr>
        <w:t xml:space="preserve"> тварин цієї групи</w:t>
      </w:r>
      <w:r w:rsidRPr="00520861">
        <w:rPr>
          <w:rFonts w:eastAsia="Calibri"/>
          <w:sz w:val="28"/>
          <w:szCs w:val="28"/>
          <w:lang w:eastAsia="en-US"/>
        </w:rPr>
        <w:t xml:space="preserve"> спостерігається картина, протилежна такій у тварин груп 1 та 2 [41]</w:t>
      </w:r>
      <w:r w:rsidRPr="00520861">
        <w:rPr>
          <w:rFonts w:eastAsia="Calibri"/>
          <w:color w:val="000000" w:themeColor="text1"/>
          <w:sz w:val="28"/>
          <w:szCs w:val="28"/>
          <w:lang w:eastAsia="en-US"/>
        </w:rPr>
        <w:t>: м</w:t>
      </w:r>
      <w:r w:rsidRPr="00520861">
        <w:rPr>
          <w:rFonts w:eastAsia="Calibri"/>
          <w:sz w:val="28"/>
          <w:szCs w:val="28"/>
          <w:lang w:eastAsia="en-US"/>
        </w:rPr>
        <w:t xml:space="preserve">ережа МЦР не дуже розвинена,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судини, вистелені ендотелієм із умістом антигену, проте в цитоплазмі зерна барвника містяться в невеликій кількості (рис. 3.15</w:t>
      </w:r>
      <w:r w:rsidRPr="00520861">
        <w:rPr>
          <w:rFonts w:eastAsia="Calibri"/>
          <w:i/>
          <w:sz w:val="28"/>
          <w:szCs w:val="28"/>
          <w:lang w:eastAsia="en-US"/>
        </w:rPr>
        <w:t>д</w:t>
      </w:r>
      <w:r w:rsidRPr="00520861">
        <w:rPr>
          <w:rFonts w:eastAsia="Calibri"/>
          <w:sz w:val="28"/>
          <w:szCs w:val="28"/>
          <w:lang w:eastAsia="en-US"/>
        </w:rPr>
        <w:t xml:space="preserve">). </w:t>
      </w:r>
    </w:p>
    <w:p w14:paraId="0E036E57" w14:textId="77777777" w:rsidR="00CF641C" w:rsidRPr="00520861" w:rsidRDefault="00CF641C" w:rsidP="00292D2E">
      <w:pPr>
        <w:widowControl w:val="0"/>
        <w:spacing w:line="360" w:lineRule="auto"/>
        <w:ind w:firstLine="708"/>
        <w:contextualSpacing/>
        <w:jc w:val="both"/>
        <w:rPr>
          <w:rFonts w:eastAsia="Calibri"/>
          <w:color w:val="000000" w:themeColor="text1"/>
          <w:spacing w:val="-4"/>
          <w:sz w:val="28"/>
          <w:szCs w:val="28"/>
          <w:lang w:eastAsia="en-US"/>
        </w:rPr>
      </w:pPr>
      <w:r w:rsidRPr="00520861">
        <w:rPr>
          <w:rFonts w:eastAsia="Calibri"/>
          <w:spacing w:val="-4"/>
          <w:sz w:val="28"/>
          <w:szCs w:val="28"/>
          <w:lang w:eastAsia="en-US"/>
        </w:rPr>
        <w:t xml:space="preserve">У препаратах щурів групи 3 мічених </w:t>
      </w:r>
      <w:proofErr w:type="spellStart"/>
      <w:r w:rsidRPr="00520861">
        <w:rPr>
          <w:rFonts w:eastAsia="Calibri"/>
          <w:spacing w:val="-4"/>
          <w:sz w:val="28"/>
          <w:szCs w:val="28"/>
          <w:lang w:eastAsia="en-US"/>
        </w:rPr>
        <w:t>діамінобензідіном</w:t>
      </w:r>
      <w:proofErr w:type="spellEnd"/>
      <w:r w:rsidRPr="00520861">
        <w:rPr>
          <w:rFonts w:eastAsia="Calibri"/>
          <w:spacing w:val="-4"/>
          <w:sz w:val="28"/>
          <w:szCs w:val="28"/>
          <w:lang w:eastAsia="en-US"/>
        </w:rPr>
        <w:t xml:space="preserve"> </w:t>
      </w:r>
      <w:proofErr w:type="spellStart"/>
      <w:r w:rsidRPr="00520861">
        <w:rPr>
          <w:rFonts w:eastAsia="Calibri"/>
          <w:spacing w:val="-4"/>
          <w:sz w:val="28"/>
          <w:szCs w:val="28"/>
          <w:lang w:eastAsia="en-US"/>
        </w:rPr>
        <w:t>ендотеліоцитів</w:t>
      </w:r>
      <w:proofErr w:type="spellEnd"/>
      <w:r w:rsidRPr="00520861">
        <w:rPr>
          <w:rFonts w:eastAsia="Calibri"/>
          <w:spacing w:val="-4"/>
          <w:sz w:val="28"/>
          <w:szCs w:val="28"/>
          <w:lang w:eastAsia="en-US"/>
        </w:rPr>
        <w:t xml:space="preserve"> помітно менше, ніж у групі контролю. Вірогідно знижений також і ступінь специфічного забарвлення (табл. 3.8)</w:t>
      </w:r>
      <w:r w:rsidRPr="00520861">
        <w:rPr>
          <w:rFonts w:eastAsia="Calibri"/>
          <w:spacing w:val="-4"/>
          <w:sz w:val="28"/>
          <w:szCs w:val="28"/>
          <w:lang w:val="ru-RU" w:eastAsia="en-US"/>
        </w:rPr>
        <w:t>.</w:t>
      </w:r>
      <w:r w:rsidRPr="00520861">
        <w:rPr>
          <w:rFonts w:eastAsia="Calibri"/>
          <w:color w:val="000000" w:themeColor="text1"/>
          <w:spacing w:val="-4"/>
          <w:sz w:val="28"/>
          <w:szCs w:val="28"/>
          <w:lang w:eastAsia="en-US"/>
        </w:rPr>
        <w:t xml:space="preserve"> </w:t>
      </w:r>
      <w:r w:rsidRPr="00520861">
        <w:rPr>
          <w:rFonts w:eastAsia="Calibri"/>
          <w:color w:val="000000" w:themeColor="text1"/>
          <w:sz w:val="28"/>
          <w:szCs w:val="28"/>
          <w:lang w:eastAsia="en-US"/>
        </w:rPr>
        <w:t xml:space="preserve">Стан слизової оболонки ясен щурів групи 4 схожий на такий у тварин групи 3. </w:t>
      </w:r>
      <w:r w:rsidRPr="00520861">
        <w:rPr>
          <w:rFonts w:eastAsia="Calibri"/>
          <w:sz w:val="28"/>
          <w:szCs w:val="28"/>
          <w:lang w:eastAsia="en-US"/>
        </w:rPr>
        <w:t xml:space="preserve">У тварин групи 4 також виявлено мінімальну кількість судин МЦР, шар власної пластинки слизової оболонки тонкий, пухкий і </w:t>
      </w:r>
      <w:proofErr w:type="spellStart"/>
      <w:r w:rsidRPr="00520861">
        <w:rPr>
          <w:rFonts w:eastAsia="Calibri"/>
          <w:sz w:val="28"/>
          <w:szCs w:val="28"/>
          <w:lang w:eastAsia="en-US"/>
        </w:rPr>
        <w:t>маловаскуляризований</w:t>
      </w:r>
      <w:proofErr w:type="spellEnd"/>
      <w:r w:rsidRPr="00520861">
        <w:rPr>
          <w:rFonts w:eastAsia="Calibri"/>
          <w:sz w:val="28"/>
          <w:szCs w:val="28"/>
          <w:lang w:eastAsia="en-US"/>
        </w:rPr>
        <w:t>.</w:t>
      </w:r>
    </w:p>
    <w:p w14:paraId="34ACA838" w14:textId="77777777" w:rsidR="00CF641C" w:rsidRPr="00520861" w:rsidRDefault="00CF641C" w:rsidP="00292D2E">
      <w:pPr>
        <w:widowControl w:val="0"/>
        <w:spacing w:line="360" w:lineRule="auto"/>
        <w:ind w:firstLine="708"/>
        <w:contextualSpacing/>
        <w:jc w:val="both"/>
        <w:rPr>
          <w:rFonts w:eastAsia="Calibri"/>
          <w:spacing w:val="-2"/>
          <w:sz w:val="28"/>
          <w:szCs w:val="28"/>
          <w:lang w:eastAsia="en-US"/>
        </w:rPr>
      </w:pPr>
      <w:r w:rsidRPr="00520861">
        <w:rPr>
          <w:rFonts w:eastAsia="Calibri"/>
          <w:sz w:val="28"/>
          <w:szCs w:val="28"/>
          <w:lang w:eastAsia="en-US"/>
        </w:rPr>
        <w:t xml:space="preserve"> При вивченні активності фактору фон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зафіксовано меншу кількість мічених </w:t>
      </w:r>
      <w:proofErr w:type="spellStart"/>
      <w:r w:rsidRPr="00520861">
        <w:rPr>
          <w:rFonts w:eastAsia="Calibri"/>
          <w:sz w:val="28"/>
          <w:szCs w:val="28"/>
          <w:lang w:eastAsia="en-US"/>
        </w:rPr>
        <w:t>ендотеліоцитів</w:t>
      </w:r>
      <w:proofErr w:type="spellEnd"/>
      <w:r w:rsidRPr="00520861">
        <w:rPr>
          <w:rFonts w:eastAsia="Calibri"/>
          <w:sz w:val="28"/>
          <w:szCs w:val="28"/>
          <w:lang w:eastAsia="en-US"/>
        </w:rPr>
        <w:t xml:space="preserve"> (рис. 3.15</w:t>
      </w:r>
      <w:r w:rsidRPr="00520861">
        <w:rPr>
          <w:rFonts w:eastAsia="Calibri"/>
          <w:i/>
          <w:sz w:val="28"/>
          <w:szCs w:val="28"/>
          <w:lang w:eastAsia="en-US"/>
        </w:rPr>
        <w:t>е</w:t>
      </w:r>
      <w:r w:rsidRPr="00520861">
        <w:rPr>
          <w:rFonts w:eastAsia="Calibri"/>
          <w:sz w:val="28"/>
          <w:szCs w:val="28"/>
          <w:lang w:eastAsia="en-US"/>
        </w:rPr>
        <w:t>), ніж у групі контролю та інших основних групах</w:t>
      </w:r>
      <w:r w:rsidRPr="00520861">
        <w:rPr>
          <w:rFonts w:eastAsia="Calibri"/>
          <w:spacing w:val="-4"/>
          <w:sz w:val="28"/>
          <w:szCs w:val="28"/>
          <w:lang w:eastAsia="en-US"/>
        </w:rPr>
        <w:t xml:space="preserve">. </w:t>
      </w:r>
      <w:r w:rsidRPr="00520861">
        <w:rPr>
          <w:rFonts w:eastAsia="Calibri"/>
          <w:spacing w:val="-2"/>
          <w:sz w:val="28"/>
          <w:szCs w:val="28"/>
          <w:lang w:eastAsia="en-US"/>
        </w:rPr>
        <w:t xml:space="preserve">Оптична густина фактору </w:t>
      </w:r>
      <w:proofErr w:type="spellStart"/>
      <w:r w:rsidRPr="00520861">
        <w:rPr>
          <w:rFonts w:eastAsia="Calibri"/>
          <w:spacing w:val="-2"/>
          <w:sz w:val="28"/>
          <w:szCs w:val="28"/>
          <w:lang w:eastAsia="en-US"/>
        </w:rPr>
        <w:t>Віллебранда</w:t>
      </w:r>
      <w:proofErr w:type="spellEnd"/>
      <w:r w:rsidRPr="00520861">
        <w:rPr>
          <w:rFonts w:eastAsia="Calibri"/>
          <w:spacing w:val="-2"/>
          <w:sz w:val="28"/>
          <w:szCs w:val="28"/>
          <w:lang w:eastAsia="en-US"/>
        </w:rPr>
        <w:t xml:space="preserve"> в </w:t>
      </w:r>
      <w:proofErr w:type="spellStart"/>
      <w:r w:rsidRPr="00520861">
        <w:rPr>
          <w:rFonts w:eastAsia="Calibri"/>
          <w:spacing w:val="-2"/>
          <w:sz w:val="28"/>
          <w:szCs w:val="28"/>
          <w:lang w:eastAsia="en-US"/>
        </w:rPr>
        <w:t>ендотеліоцитах</w:t>
      </w:r>
      <w:proofErr w:type="spellEnd"/>
      <w:r w:rsidRPr="00520861">
        <w:rPr>
          <w:rFonts w:eastAsia="Calibri"/>
          <w:spacing w:val="-2"/>
          <w:sz w:val="28"/>
          <w:szCs w:val="28"/>
          <w:lang w:eastAsia="en-US"/>
        </w:rPr>
        <w:t xml:space="preserve"> власної пластинки слизової оболонки цих тварин є найнижчою</w:t>
      </w:r>
      <w:r w:rsidRPr="00520861">
        <w:rPr>
          <w:rFonts w:eastAsia="Calibri"/>
          <w:spacing w:val="-2"/>
          <w:sz w:val="28"/>
          <w:szCs w:val="28"/>
          <w:lang w:val="ru-RU" w:eastAsia="en-US"/>
        </w:rPr>
        <w:t xml:space="preserve"> </w:t>
      </w:r>
      <w:r w:rsidRPr="00520861">
        <w:rPr>
          <w:rFonts w:eastAsia="Calibri"/>
          <w:sz w:val="28"/>
          <w:szCs w:val="28"/>
          <w:lang w:eastAsia="en-US"/>
        </w:rPr>
        <w:t>[41]</w:t>
      </w:r>
      <w:r w:rsidRPr="00520861">
        <w:rPr>
          <w:rFonts w:eastAsia="Calibri"/>
          <w:spacing w:val="-2"/>
          <w:sz w:val="28"/>
          <w:szCs w:val="28"/>
          <w:lang w:eastAsia="en-US"/>
        </w:rPr>
        <w:t xml:space="preserve">, що свідчить про дефіцит цього </w:t>
      </w:r>
      <w:proofErr w:type="spellStart"/>
      <w:r w:rsidRPr="00520861">
        <w:rPr>
          <w:rFonts w:eastAsia="Calibri"/>
          <w:spacing w:val="-2"/>
          <w:sz w:val="28"/>
          <w:szCs w:val="28"/>
          <w:lang w:eastAsia="en-US"/>
        </w:rPr>
        <w:t>фактора</w:t>
      </w:r>
      <w:proofErr w:type="spellEnd"/>
      <w:r w:rsidRPr="00520861">
        <w:rPr>
          <w:rFonts w:eastAsia="Calibri"/>
          <w:spacing w:val="-2"/>
          <w:sz w:val="28"/>
          <w:szCs w:val="28"/>
          <w:lang w:eastAsia="en-US"/>
        </w:rPr>
        <w:t xml:space="preserve"> в ендотелії (табл. 3.8).</w:t>
      </w:r>
    </w:p>
    <w:p w14:paraId="5EBE310D"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у тварин контрольної групи міцно з’єднана з цементом кореня зуба. Добре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волокна </w:t>
      </w:r>
      <w:proofErr w:type="spellStart"/>
      <w:r w:rsidRPr="00520861">
        <w:rPr>
          <w:rFonts w:eastAsia="Calibri"/>
          <w:sz w:val="28"/>
          <w:szCs w:val="28"/>
          <w:lang w:eastAsia="en-US"/>
        </w:rPr>
        <w:t>періодонту</w:t>
      </w:r>
      <w:proofErr w:type="spellEnd"/>
      <w:r w:rsidRPr="00520861">
        <w:rPr>
          <w:rFonts w:eastAsia="Calibri"/>
          <w:sz w:val="28"/>
          <w:szCs w:val="28"/>
          <w:lang w:eastAsia="en-US"/>
        </w:rPr>
        <w:t>, які досить густо розташовані (рис. 3.16</w:t>
      </w:r>
      <w:r w:rsidRPr="00520861">
        <w:rPr>
          <w:rFonts w:eastAsia="Calibri"/>
          <w:i/>
          <w:sz w:val="28"/>
          <w:szCs w:val="28"/>
          <w:lang w:eastAsia="en-US"/>
        </w:rPr>
        <w:t>а</w:t>
      </w:r>
      <w:r w:rsidRPr="00520861">
        <w:rPr>
          <w:rFonts w:eastAsia="Calibri"/>
          <w:sz w:val="28"/>
          <w:szCs w:val="28"/>
          <w:lang w:eastAsia="en-US"/>
        </w:rPr>
        <w:t xml:space="preserve">). </w:t>
      </w:r>
    </w:p>
    <w:p w14:paraId="416CAF37"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тримісячних тварин групи 1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збережена, у нижній третині коренів зубів шар цементу товстий і рівний.</w:t>
      </w:r>
      <w:r w:rsidRPr="00520861">
        <w:rPr>
          <w:rFonts w:eastAsia="Calibri"/>
          <w:sz w:val="28"/>
          <w:szCs w:val="28"/>
          <w:lang w:val="ru-RU" w:eastAsia="en-US"/>
        </w:rPr>
        <w:t xml:space="preserve"> </w:t>
      </w:r>
      <w:r w:rsidRPr="00520861">
        <w:rPr>
          <w:rFonts w:eastAsia="Calibri"/>
          <w:sz w:val="28"/>
          <w:szCs w:val="28"/>
          <w:lang w:eastAsia="en-US"/>
        </w:rPr>
        <w:t xml:space="preserve">У тварин групи 2 спостерігається «розрідження» волокон </w:t>
      </w:r>
      <w:proofErr w:type="spellStart"/>
      <w:r w:rsidRPr="00520861">
        <w:rPr>
          <w:rFonts w:eastAsia="Calibri"/>
          <w:sz w:val="28"/>
          <w:szCs w:val="28"/>
          <w:lang w:eastAsia="en-US"/>
        </w:rPr>
        <w:t>періодонту</w:t>
      </w:r>
      <w:proofErr w:type="spellEnd"/>
      <w:r w:rsidRPr="00520861">
        <w:rPr>
          <w:rFonts w:eastAsia="Calibri"/>
          <w:sz w:val="28"/>
          <w:szCs w:val="28"/>
          <w:lang w:eastAsia="en-US"/>
        </w:rPr>
        <w:t xml:space="preserve">, а в апікальній третині коренів молярів має місце </w:t>
      </w:r>
      <w:proofErr w:type="spellStart"/>
      <w:r w:rsidRPr="00520861">
        <w:rPr>
          <w:rFonts w:eastAsia="Calibri"/>
          <w:sz w:val="28"/>
          <w:szCs w:val="28"/>
          <w:lang w:eastAsia="en-US"/>
        </w:rPr>
        <w:t>гіперпродукція</w:t>
      </w:r>
      <w:proofErr w:type="spellEnd"/>
      <w:r w:rsidRPr="00520861">
        <w:rPr>
          <w:rFonts w:eastAsia="Calibri"/>
          <w:sz w:val="28"/>
          <w:szCs w:val="28"/>
          <w:lang w:eastAsia="en-US"/>
        </w:rPr>
        <w:t xml:space="preserve"> вторинного цементу. Проте у декількох тварин цієї групи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без порушень, цемент кореня повноцінний.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у тварин групи 3 в цьому віці має правильну будову. </w:t>
      </w:r>
    </w:p>
    <w:p w14:paraId="018AB59D"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нижній третині коренів спостерігаються виражені явища компенсаторного </w:t>
      </w:r>
      <w:proofErr w:type="spellStart"/>
      <w:r w:rsidRPr="00520861">
        <w:rPr>
          <w:rFonts w:eastAsia="Calibri"/>
          <w:sz w:val="28"/>
          <w:szCs w:val="28"/>
          <w:lang w:eastAsia="en-US"/>
        </w:rPr>
        <w:t>гіперцементозу</w:t>
      </w:r>
      <w:proofErr w:type="spellEnd"/>
      <w:r w:rsidRPr="00520861">
        <w:rPr>
          <w:rFonts w:eastAsia="Calibri"/>
          <w:sz w:val="28"/>
          <w:szCs w:val="28"/>
          <w:lang w:eastAsia="en-US"/>
        </w:rPr>
        <w:t xml:space="preserve">, цемент нерівний, містить багато колагену (рис. </w:t>
      </w:r>
      <w:r w:rsidRPr="00520861">
        <w:rPr>
          <w:rFonts w:eastAsia="Calibri"/>
          <w:sz w:val="28"/>
          <w:szCs w:val="28"/>
          <w:lang w:val="ru-RU" w:eastAsia="en-US"/>
        </w:rPr>
        <w:t>3.16</w:t>
      </w:r>
      <w:r w:rsidRPr="00520861">
        <w:rPr>
          <w:rFonts w:eastAsia="Calibri"/>
          <w:i/>
          <w:sz w:val="28"/>
          <w:szCs w:val="28"/>
          <w:lang w:eastAsia="en-US"/>
        </w:rPr>
        <w:t>б</w:t>
      </w:r>
      <w:r w:rsidRPr="00520861">
        <w:rPr>
          <w:rFonts w:eastAsia="Calibri"/>
          <w:sz w:val="28"/>
          <w:szCs w:val="28"/>
          <w:lang w:eastAsia="en-US"/>
        </w:rPr>
        <w:t xml:space="preserve">). </w:t>
      </w:r>
      <w:proofErr w:type="spellStart"/>
      <w:r w:rsidRPr="00520861">
        <w:rPr>
          <w:rFonts w:eastAsia="Calibri"/>
          <w:color w:val="000000" w:themeColor="text1"/>
          <w:sz w:val="28"/>
          <w:szCs w:val="28"/>
          <w:lang w:eastAsia="en-US"/>
        </w:rPr>
        <w:t>Періодонтальна</w:t>
      </w:r>
      <w:proofErr w:type="spellEnd"/>
      <w:r w:rsidRPr="00520861">
        <w:rPr>
          <w:rFonts w:eastAsia="Calibri"/>
          <w:color w:val="000000" w:themeColor="text1"/>
          <w:sz w:val="28"/>
          <w:szCs w:val="28"/>
          <w:lang w:eastAsia="en-US"/>
        </w:rPr>
        <w:t xml:space="preserve"> зв’язка у тварин групи 4 також у задовільному стані. </w:t>
      </w:r>
    </w:p>
    <w:p w14:paraId="4165F957"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Кістковий мозок та </w:t>
      </w:r>
      <w:proofErr w:type="spellStart"/>
      <w:r w:rsidRPr="00520861">
        <w:rPr>
          <w:rFonts w:eastAsia="Calibri"/>
          <w:color w:val="000000" w:themeColor="text1"/>
          <w:sz w:val="28"/>
          <w:szCs w:val="28"/>
          <w:lang w:eastAsia="en-US"/>
        </w:rPr>
        <w:t>інтерстиційна</w:t>
      </w:r>
      <w:proofErr w:type="spellEnd"/>
      <w:r w:rsidRPr="00520861">
        <w:rPr>
          <w:rFonts w:eastAsia="Calibri"/>
          <w:color w:val="000000" w:themeColor="text1"/>
          <w:sz w:val="28"/>
          <w:szCs w:val="28"/>
          <w:lang w:eastAsia="en-US"/>
        </w:rPr>
        <w:t xml:space="preserve"> речовина у тварин групи контролю щільні </w:t>
      </w:r>
      <w:r w:rsidRPr="00520861">
        <w:rPr>
          <w:rFonts w:eastAsia="Calibri"/>
          <w:sz w:val="28"/>
          <w:szCs w:val="28"/>
          <w:lang w:eastAsia="en-US"/>
        </w:rPr>
        <w:t>(рис. 3.17</w:t>
      </w:r>
      <w:r w:rsidRPr="00520861">
        <w:rPr>
          <w:rFonts w:eastAsia="Calibri"/>
          <w:i/>
          <w:sz w:val="28"/>
          <w:szCs w:val="28"/>
          <w:lang w:eastAsia="en-US"/>
        </w:rPr>
        <w:t>а</w:t>
      </w:r>
      <w:r w:rsidRPr="00520861">
        <w:rPr>
          <w:rFonts w:eastAsia="Calibri"/>
          <w:sz w:val="28"/>
          <w:szCs w:val="28"/>
          <w:lang w:eastAsia="en-US"/>
        </w:rPr>
        <w:t>)</w:t>
      </w:r>
      <w:r w:rsidRPr="00520861">
        <w:rPr>
          <w:rFonts w:eastAsia="Calibri"/>
          <w:color w:val="000000" w:themeColor="text1"/>
          <w:sz w:val="28"/>
          <w:szCs w:val="28"/>
          <w:lang w:eastAsia="en-US"/>
        </w:rPr>
        <w:t xml:space="preserve">, остеоцити рівномірно розташовані. З метою визначення органічної складової кісткової тканини проведено оцінювання кількості </w:t>
      </w:r>
      <w:proofErr w:type="spellStart"/>
      <w:r w:rsidRPr="00520861">
        <w:rPr>
          <w:rFonts w:eastAsia="Calibri"/>
          <w:color w:val="000000" w:themeColor="text1"/>
          <w:sz w:val="28"/>
          <w:szCs w:val="28"/>
          <w:lang w:eastAsia="en-US"/>
        </w:rPr>
        <w:t>глікопротеїдів</w:t>
      </w:r>
      <w:proofErr w:type="spellEnd"/>
      <w:r w:rsidRPr="00520861">
        <w:rPr>
          <w:rFonts w:eastAsia="Calibri"/>
          <w:color w:val="000000" w:themeColor="text1"/>
          <w:sz w:val="28"/>
          <w:szCs w:val="28"/>
          <w:lang w:eastAsia="en-US"/>
        </w:rPr>
        <w:t xml:space="preserve"> у кістковій тканині альвеолярних відростків щелеп за допомогою PAS–реакції. </w:t>
      </w:r>
    </w:p>
    <w:p w14:paraId="001B4604" w14:textId="77777777" w:rsidR="00CF641C" w:rsidRPr="00520861" w:rsidRDefault="00CF641C" w:rsidP="00292D2E">
      <w:pPr>
        <w:widowControl w:val="0"/>
        <w:spacing w:line="360" w:lineRule="auto"/>
        <w:contextualSpacing/>
        <w:jc w:val="both"/>
        <w:rPr>
          <w:rFonts w:eastAsia="Calibri"/>
          <w:sz w:val="28"/>
          <w:szCs w:val="28"/>
          <w:lang w:eastAsia="en-US"/>
        </w:rPr>
      </w:pPr>
      <w:r w:rsidRPr="00520861">
        <w:rPr>
          <w:rFonts w:eastAsia="Calibri"/>
          <w:noProof/>
          <w:sz w:val="28"/>
          <w:szCs w:val="28"/>
          <w:lang w:val="ru-RU"/>
        </w:rPr>
        <w:lastRenderedPageBreak/>
        <w:drawing>
          <wp:inline distT="0" distB="0" distL="0" distR="0" wp14:anchorId="542EBADB" wp14:editId="1FC34172">
            <wp:extent cx="6472800" cy="2538000"/>
            <wp:effectExtent l="0" t="0" r="4445" b="0"/>
            <wp:docPr id="36" name="Рисунок 36" descr="D:\тер стом\научн работа 1\дд друк\ на защиту\Маша\Рис\Рис3.1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D:\тер стом\научн работа 1\дд друк\ на защиту\Маша\Рис\Рис3.18.jpg"/>
                    <pic:cNvPicPr preferRelativeResize="0">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472800" cy="2538000"/>
                    </a:xfrm>
                    <a:prstGeom prst="rect">
                      <a:avLst/>
                    </a:prstGeom>
                    <a:noFill/>
                    <a:ln>
                      <a:noFill/>
                    </a:ln>
                  </pic:spPr>
                </pic:pic>
              </a:graphicData>
            </a:graphic>
          </wp:inline>
        </w:drawing>
      </w:r>
    </w:p>
    <w:p w14:paraId="3159CA5E"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sz w:val="28"/>
          <w:szCs w:val="28"/>
          <w:lang w:eastAsia="en-US"/>
        </w:rPr>
        <w:t xml:space="preserve">Рис. 3.16. Пародонт 90 денних щурів: </w:t>
      </w:r>
    </w:p>
    <w:p w14:paraId="5CB5337E"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i/>
          <w:sz w:val="28"/>
          <w:szCs w:val="28"/>
          <w:lang w:eastAsia="en-US"/>
        </w:rPr>
        <w:t>а</w:t>
      </w:r>
      <w:r w:rsidRPr="00520861">
        <w:rPr>
          <w:rFonts w:eastAsia="Calibri"/>
          <w:sz w:val="28"/>
          <w:szCs w:val="28"/>
          <w:lang w:eastAsia="en-US"/>
        </w:rPr>
        <w:t xml:space="preserve">) – групи контролю (щільно розташовані волокна </w:t>
      </w:r>
      <w:proofErr w:type="spellStart"/>
      <w:r w:rsidRPr="00520861">
        <w:rPr>
          <w:rFonts w:eastAsia="Calibri"/>
          <w:sz w:val="28"/>
          <w:szCs w:val="28"/>
          <w:lang w:eastAsia="en-US"/>
        </w:rPr>
        <w:t>періодонту</w:t>
      </w:r>
      <w:proofErr w:type="spellEnd"/>
      <w:r w:rsidRPr="00520861">
        <w:rPr>
          <w:rFonts w:eastAsia="Calibri"/>
          <w:sz w:val="28"/>
          <w:szCs w:val="28"/>
          <w:lang w:eastAsia="en-US"/>
        </w:rPr>
        <w:t xml:space="preserve">); </w:t>
      </w:r>
    </w:p>
    <w:p w14:paraId="2E854B9B"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i/>
          <w:sz w:val="28"/>
          <w:szCs w:val="28"/>
          <w:lang w:eastAsia="en-US"/>
        </w:rPr>
        <w:t>б</w:t>
      </w:r>
      <w:r w:rsidRPr="00520861">
        <w:rPr>
          <w:rFonts w:eastAsia="Calibri"/>
          <w:sz w:val="28"/>
          <w:szCs w:val="28"/>
          <w:lang w:eastAsia="en-US"/>
        </w:rPr>
        <w:t xml:space="preserve">) – групи 3 (спостерігається велика кількість колагену, компенсаторний </w:t>
      </w:r>
      <w:proofErr w:type="spellStart"/>
      <w:r w:rsidRPr="00520861">
        <w:rPr>
          <w:rFonts w:eastAsia="Calibri"/>
          <w:sz w:val="28"/>
          <w:szCs w:val="28"/>
          <w:lang w:eastAsia="en-US"/>
        </w:rPr>
        <w:t>гіперцементоз</w:t>
      </w:r>
      <w:proofErr w:type="spellEnd"/>
      <w:r w:rsidRPr="00520861">
        <w:rPr>
          <w:rFonts w:eastAsia="Calibri"/>
          <w:sz w:val="28"/>
          <w:szCs w:val="28"/>
          <w:lang w:eastAsia="en-US"/>
        </w:rPr>
        <w:t xml:space="preserve"> (↨)). Забарвлення </w:t>
      </w:r>
      <w:proofErr w:type="spellStart"/>
      <w:r w:rsidRPr="00520861">
        <w:rPr>
          <w:rFonts w:eastAsia="Calibri"/>
          <w:sz w:val="28"/>
          <w:szCs w:val="28"/>
          <w:lang w:eastAsia="en-US"/>
        </w:rPr>
        <w:t>пікрофуксином</w:t>
      </w:r>
      <w:proofErr w:type="spellEnd"/>
      <w:r w:rsidRPr="00520861">
        <w:rPr>
          <w:rFonts w:eastAsia="Calibri"/>
          <w:sz w:val="28"/>
          <w:szCs w:val="28"/>
          <w:lang w:eastAsia="en-US"/>
        </w:rPr>
        <w:t xml:space="preserve"> за ван </w:t>
      </w:r>
      <w:proofErr w:type="spellStart"/>
      <w:r w:rsidRPr="00520861">
        <w:rPr>
          <w:rFonts w:eastAsia="Calibri"/>
          <w:sz w:val="28"/>
          <w:szCs w:val="28"/>
          <w:lang w:eastAsia="en-US"/>
        </w:rPr>
        <w:t>Гізоном</w:t>
      </w:r>
      <w:proofErr w:type="spellEnd"/>
      <w:r w:rsidRPr="00520861">
        <w:rPr>
          <w:rFonts w:eastAsia="Calibri"/>
          <w:sz w:val="28"/>
          <w:szCs w:val="28"/>
          <w:lang w:eastAsia="en-US"/>
        </w:rPr>
        <w:t xml:space="preserve">; збільшення </w:t>
      </w:r>
      <w:r w:rsidRPr="00520861">
        <w:rPr>
          <w:rFonts w:eastAsia="Calibri"/>
          <w:sz w:val="28"/>
          <w:szCs w:val="28"/>
          <w:lang w:eastAsia="en-US"/>
        </w:rPr>
        <w:sym w:font="Symbol" w:char="F0B4"/>
      </w:r>
      <w:r w:rsidRPr="00520861">
        <w:rPr>
          <w:rFonts w:eastAsia="Calibri"/>
          <w:sz w:val="28"/>
          <w:szCs w:val="28"/>
          <w:lang w:eastAsia="en-US"/>
        </w:rPr>
        <w:t>100.</w:t>
      </w:r>
    </w:p>
    <w:p w14:paraId="4AB24330"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33C86606" w14:textId="77777777" w:rsidR="00CF641C" w:rsidRPr="00520861" w:rsidRDefault="00CF641C" w:rsidP="00292D2E">
      <w:pPr>
        <w:widowControl w:val="0"/>
        <w:spacing w:line="360" w:lineRule="auto"/>
        <w:contextualSpacing/>
        <w:jc w:val="both"/>
        <w:rPr>
          <w:rFonts w:eastAsia="Calibri"/>
          <w:b/>
          <w:color w:val="000000" w:themeColor="text1"/>
          <w:sz w:val="28"/>
          <w:szCs w:val="28"/>
          <w:lang w:eastAsia="en-US"/>
        </w:rPr>
      </w:pPr>
      <w:r w:rsidRPr="00520861">
        <w:rPr>
          <w:rFonts w:eastAsia="Calibri"/>
          <w:b/>
          <w:noProof/>
          <w:color w:val="000000" w:themeColor="text1"/>
          <w:sz w:val="28"/>
          <w:szCs w:val="28"/>
          <w:lang w:val="ru-RU"/>
        </w:rPr>
        <w:drawing>
          <wp:inline distT="0" distB="0" distL="0" distR="0" wp14:anchorId="20B27CBF" wp14:editId="7A68660D">
            <wp:extent cx="6411600" cy="2538000"/>
            <wp:effectExtent l="0" t="0" r="0" b="0"/>
            <wp:docPr id="37" name="Рисунок 37" descr="D:\тер стом\научн работа 1\дд друк\ на защиту\Маша\Рис\Рис3.1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D:\тер стом\научн работа 1\дд друк\ на защиту\Маша\Рис\Рис3.19.jpg"/>
                    <pic:cNvPicPr preferRelativeResize="0">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29FEC900"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sz w:val="28"/>
          <w:szCs w:val="28"/>
          <w:lang w:eastAsia="en-US"/>
        </w:rPr>
        <w:t>Рис. 3.17. Альвеолярна кістка 90 денних щурів</w:t>
      </w:r>
      <w:r w:rsidRPr="00520861">
        <w:rPr>
          <w:rFonts w:eastAsia="Calibri"/>
          <w:sz w:val="28"/>
          <w:szCs w:val="28"/>
          <w:lang w:val="ru-RU" w:eastAsia="en-US"/>
        </w:rPr>
        <w:t>:</w:t>
      </w:r>
      <w:r w:rsidRPr="00520861">
        <w:rPr>
          <w:rFonts w:eastAsia="Calibri"/>
          <w:sz w:val="28"/>
          <w:szCs w:val="28"/>
          <w:lang w:eastAsia="en-US"/>
        </w:rPr>
        <w:t xml:space="preserve"> </w:t>
      </w:r>
    </w:p>
    <w:p w14:paraId="2E71D028"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i/>
          <w:sz w:val="28"/>
          <w:szCs w:val="28"/>
          <w:lang w:eastAsia="en-US"/>
        </w:rPr>
        <w:t>а</w:t>
      </w:r>
      <w:r w:rsidRPr="00520861">
        <w:rPr>
          <w:rFonts w:eastAsia="Calibri"/>
          <w:sz w:val="28"/>
          <w:szCs w:val="28"/>
          <w:lang w:eastAsia="en-US"/>
        </w:rPr>
        <w:t xml:space="preserve">) – групи контролю (спостерігаються товсті кісткові </w:t>
      </w:r>
      <w:proofErr w:type="spellStart"/>
      <w:r w:rsidRPr="00520861">
        <w:rPr>
          <w:rFonts w:eastAsia="Calibri"/>
          <w:sz w:val="28"/>
          <w:szCs w:val="28"/>
          <w:lang w:eastAsia="en-US"/>
        </w:rPr>
        <w:t>трабекули</w:t>
      </w:r>
      <w:proofErr w:type="spellEnd"/>
      <w:r w:rsidRPr="00520861">
        <w:rPr>
          <w:rFonts w:eastAsia="Calibri"/>
          <w:sz w:val="28"/>
          <w:szCs w:val="28"/>
          <w:lang w:eastAsia="en-US"/>
        </w:rPr>
        <w:t xml:space="preserve">, цемент </w:t>
      </w:r>
      <w:r w:rsidRPr="00520861">
        <w:rPr>
          <w:rFonts w:eastAsia="Calibri"/>
          <w:sz w:val="28"/>
          <w:szCs w:val="28"/>
          <w:lang w:eastAsia="en-US"/>
        </w:rPr>
        <w:br/>
        <w:t xml:space="preserve">кореня,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 </w:t>
      </w:r>
    </w:p>
    <w:p w14:paraId="5F4B4920"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i/>
          <w:sz w:val="28"/>
          <w:szCs w:val="28"/>
          <w:lang w:eastAsia="en-US"/>
        </w:rPr>
        <w:t>б</w:t>
      </w:r>
      <w:r w:rsidRPr="00520861">
        <w:rPr>
          <w:rFonts w:eastAsia="Calibri"/>
          <w:sz w:val="28"/>
          <w:szCs w:val="28"/>
          <w:lang w:eastAsia="en-US"/>
        </w:rPr>
        <w:t xml:space="preserve">) – групи 4 (спостерігаються тонкі, негусто розташовані кісткові </w:t>
      </w:r>
      <w:proofErr w:type="spellStart"/>
      <w:r w:rsidRPr="00520861">
        <w:rPr>
          <w:rFonts w:eastAsia="Calibri"/>
          <w:sz w:val="28"/>
          <w:szCs w:val="28"/>
          <w:lang w:eastAsia="en-US"/>
        </w:rPr>
        <w:t>трабекули</w:t>
      </w:r>
      <w:proofErr w:type="spellEnd"/>
      <w:r w:rsidRPr="00520861">
        <w:rPr>
          <w:rFonts w:eastAsia="Calibri"/>
          <w:sz w:val="28"/>
          <w:szCs w:val="28"/>
          <w:lang w:eastAsia="en-US"/>
        </w:rPr>
        <w:t xml:space="preserve">, цемент кореня,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 </w:t>
      </w:r>
    </w:p>
    <w:p w14:paraId="66412C1C"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sz w:val="28"/>
          <w:szCs w:val="28"/>
          <w:lang w:eastAsia="en-US"/>
        </w:rPr>
        <w:t xml:space="preserve">Забарвлення: </w:t>
      </w:r>
      <w:r w:rsidRPr="00520861">
        <w:rPr>
          <w:rFonts w:eastAsia="Calibri"/>
          <w:i/>
          <w:sz w:val="28"/>
          <w:szCs w:val="28"/>
          <w:lang w:eastAsia="en-US"/>
        </w:rPr>
        <w:t>а</w:t>
      </w:r>
      <w:r w:rsidRPr="00520861">
        <w:rPr>
          <w:rFonts w:eastAsia="Calibri"/>
          <w:sz w:val="28"/>
          <w:szCs w:val="28"/>
          <w:lang w:eastAsia="en-US"/>
        </w:rPr>
        <w:t xml:space="preserve">) – PAS–реакція; </w:t>
      </w:r>
      <w:r w:rsidRPr="00520861">
        <w:rPr>
          <w:rFonts w:eastAsia="Calibri"/>
          <w:sz w:val="28"/>
          <w:szCs w:val="28"/>
          <w:lang w:eastAsia="en-US"/>
        </w:rPr>
        <w:br/>
      </w:r>
      <w:r w:rsidRPr="00520861">
        <w:rPr>
          <w:rFonts w:eastAsia="Calibri"/>
          <w:i/>
          <w:sz w:val="28"/>
          <w:szCs w:val="28"/>
          <w:lang w:eastAsia="en-US"/>
        </w:rPr>
        <w:t>б</w:t>
      </w:r>
      <w:r w:rsidRPr="00520861">
        <w:rPr>
          <w:rFonts w:eastAsia="Calibri"/>
          <w:sz w:val="28"/>
          <w:szCs w:val="28"/>
          <w:lang w:eastAsia="en-US"/>
        </w:rPr>
        <w:t xml:space="preserve">) –гематоксилін та еозин; збільшення </w:t>
      </w:r>
      <w:r w:rsidRPr="00520861">
        <w:rPr>
          <w:rFonts w:eastAsia="Calibri"/>
          <w:sz w:val="28"/>
          <w:szCs w:val="28"/>
          <w:lang w:eastAsia="en-US"/>
        </w:rPr>
        <w:sym w:font="Symbol" w:char="F0B4"/>
      </w:r>
      <w:r w:rsidRPr="00520861">
        <w:rPr>
          <w:rFonts w:eastAsia="Calibri"/>
          <w:sz w:val="28"/>
          <w:szCs w:val="28"/>
          <w:lang w:eastAsia="en-US"/>
        </w:rPr>
        <w:t>100.</w:t>
      </w:r>
    </w:p>
    <w:p w14:paraId="6D46260E"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p>
    <w:p w14:paraId="372ED8E7"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lastRenderedPageBreak/>
        <w:t xml:space="preserve">У кістковій тканині альвеолярного відростка тварин групи 1 спостерігається зменшена кількість остеобластів, оптична густина кісткової тканини вірогідно вища за таку у контрольних тварин (табл. 3.9). У тварин групи 2 значення оптичної густини кісткової тканини зіставні з такими у контролі (табл. 3.9). У тварин групи 3 зафіксовані тонкі кісткові балки, значення оптичної густини кісткової тканини вірогідно вищі за такі у контролі (табл. 3.9). У тварин групи 4 спостерігалися тонкі кісткові </w:t>
      </w:r>
      <w:proofErr w:type="spellStart"/>
      <w:r w:rsidRPr="00520861">
        <w:rPr>
          <w:rFonts w:eastAsia="Calibri"/>
          <w:color w:val="000000" w:themeColor="text1"/>
          <w:sz w:val="28"/>
          <w:szCs w:val="28"/>
          <w:lang w:eastAsia="en-US"/>
        </w:rPr>
        <w:t>трабекули</w:t>
      </w:r>
      <w:proofErr w:type="spellEnd"/>
      <w:r w:rsidRPr="00520861">
        <w:rPr>
          <w:rFonts w:eastAsia="Calibri"/>
          <w:color w:val="000000" w:themeColor="text1"/>
          <w:sz w:val="28"/>
          <w:szCs w:val="28"/>
          <w:lang w:eastAsia="en-US"/>
        </w:rPr>
        <w:t xml:space="preserve"> </w:t>
      </w:r>
      <w:r w:rsidRPr="00520861">
        <w:rPr>
          <w:rFonts w:eastAsia="Calibri"/>
          <w:sz w:val="28"/>
          <w:szCs w:val="28"/>
          <w:lang w:eastAsia="en-US"/>
        </w:rPr>
        <w:t>(рис. 3.17</w:t>
      </w:r>
      <w:r w:rsidRPr="00520861">
        <w:rPr>
          <w:rFonts w:eastAsia="Calibri"/>
          <w:i/>
          <w:sz w:val="28"/>
          <w:szCs w:val="28"/>
          <w:lang w:eastAsia="en-US"/>
        </w:rPr>
        <w:t>б</w:t>
      </w:r>
      <w:r w:rsidRPr="00520861">
        <w:rPr>
          <w:rFonts w:eastAsia="Calibri"/>
          <w:sz w:val="28"/>
          <w:szCs w:val="28"/>
          <w:lang w:eastAsia="en-US"/>
        </w:rPr>
        <w:t>)</w:t>
      </w:r>
      <w:r w:rsidRPr="00520861">
        <w:rPr>
          <w:rFonts w:eastAsia="Calibri"/>
          <w:color w:val="000000" w:themeColor="text1"/>
          <w:sz w:val="28"/>
          <w:szCs w:val="28"/>
          <w:lang w:eastAsia="en-US"/>
        </w:rPr>
        <w:t xml:space="preserve"> та найнижча оптична густина кісткової тканини (табл. 3.9).</w:t>
      </w:r>
    </w:p>
    <w:p w14:paraId="1B43EC76" w14:textId="77777777" w:rsidR="00CF641C" w:rsidRPr="00520861" w:rsidRDefault="00CF641C" w:rsidP="00292D2E">
      <w:pPr>
        <w:widowControl w:val="0"/>
        <w:spacing w:line="360" w:lineRule="auto"/>
        <w:jc w:val="right"/>
        <w:rPr>
          <w:rFonts w:eastAsia="Calibri"/>
          <w:i/>
          <w:iCs/>
          <w:sz w:val="28"/>
          <w:szCs w:val="28"/>
          <w:lang w:eastAsia="en-US"/>
        </w:rPr>
      </w:pPr>
      <w:r w:rsidRPr="00520861">
        <w:rPr>
          <w:rFonts w:eastAsia="Calibri"/>
          <w:i/>
          <w:iCs/>
          <w:sz w:val="28"/>
          <w:szCs w:val="28"/>
          <w:lang w:eastAsia="en-US"/>
        </w:rPr>
        <w:t xml:space="preserve">Таблиця 3.9 </w:t>
      </w:r>
    </w:p>
    <w:p w14:paraId="17D33CD7" w14:textId="77777777" w:rsidR="00CF641C" w:rsidRPr="00520861" w:rsidRDefault="00CF641C" w:rsidP="00292D2E">
      <w:pPr>
        <w:widowControl w:val="0"/>
        <w:spacing w:line="360" w:lineRule="auto"/>
        <w:contextualSpacing/>
        <w:jc w:val="center"/>
        <w:rPr>
          <w:rFonts w:eastAsia="Calibri"/>
          <w:b/>
          <w:bCs/>
          <w:sz w:val="28"/>
          <w:szCs w:val="28"/>
          <w:lang w:eastAsia="en-US"/>
        </w:rPr>
      </w:pPr>
      <w:r w:rsidRPr="00520861">
        <w:rPr>
          <w:rFonts w:eastAsia="Calibri"/>
          <w:b/>
          <w:bCs/>
          <w:sz w:val="28"/>
          <w:szCs w:val="28"/>
          <w:lang w:eastAsia="en-US"/>
        </w:rPr>
        <w:t xml:space="preserve">Медіанні значення </w:t>
      </w:r>
      <w:proofErr w:type="spellStart"/>
      <w:r w:rsidRPr="00520861">
        <w:rPr>
          <w:rFonts w:eastAsia="Calibri"/>
          <w:b/>
          <w:bCs/>
          <w:sz w:val="28"/>
          <w:szCs w:val="28"/>
          <w:lang w:eastAsia="en-US"/>
        </w:rPr>
        <w:t>Me</w:t>
      </w:r>
      <w:proofErr w:type="spellEnd"/>
      <w:r w:rsidRPr="00520861">
        <w:rPr>
          <w:rFonts w:eastAsia="Calibri"/>
          <w:b/>
          <w:bCs/>
          <w:sz w:val="28"/>
          <w:szCs w:val="28"/>
          <w:lang w:eastAsia="en-US"/>
        </w:rPr>
        <w:t xml:space="preserve"> (Q3; Q1) оптичної густини кісткової тканини </w:t>
      </w:r>
      <w:r w:rsidRPr="00520861">
        <w:rPr>
          <w:rFonts w:eastAsia="Calibri"/>
          <w:b/>
          <w:bCs/>
          <w:sz w:val="28"/>
          <w:szCs w:val="28"/>
          <w:lang w:eastAsia="en-US"/>
        </w:rPr>
        <w:br/>
        <w:t>альвеолярних відростків тримісячних експериментальних тварин</w:t>
      </w:r>
    </w:p>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8647"/>
      </w:tblGrid>
      <w:tr w:rsidR="00CF641C" w:rsidRPr="00520861" w14:paraId="1DDD15D9" w14:textId="77777777" w:rsidTr="00292D2E">
        <w:trPr>
          <w:trHeight w:val="304"/>
          <w:jc w:val="center"/>
        </w:trPr>
        <w:tc>
          <w:tcPr>
            <w:tcW w:w="1413" w:type="dxa"/>
            <w:tcBorders>
              <w:top w:val="single" w:sz="4" w:space="0" w:color="auto"/>
              <w:left w:val="single" w:sz="4" w:space="0" w:color="auto"/>
              <w:right w:val="single" w:sz="4" w:space="0" w:color="auto"/>
            </w:tcBorders>
            <w:tcMar>
              <w:top w:w="0" w:type="dxa"/>
              <w:left w:w="57" w:type="dxa"/>
              <w:bottom w:w="0" w:type="dxa"/>
              <w:right w:w="57" w:type="dxa"/>
            </w:tcMar>
            <w:hideMark/>
          </w:tcPr>
          <w:p w14:paraId="1DD1D302" w14:textId="77777777" w:rsidR="00CF641C" w:rsidRPr="00520861" w:rsidRDefault="00CF641C" w:rsidP="00292D2E">
            <w:pPr>
              <w:widowControl w:val="0"/>
              <w:spacing w:line="360" w:lineRule="auto"/>
              <w:contextualSpacing/>
              <w:rPr>
                <w:rFonts w:eastAsia="Calibri"/>
                <w:sz w:val="28"/>
                <w:szCs w:val="28"/>
              </w:rPr>
            </w:pPr>
            <w:r w:rsidRPr="00520861">
              <w:rPr>
                <w:sz w:val="28"/>
                <w:szCs w:val="28"/>
              </w:rPr>
              <w:t xml:space="preserve">Групи </w:t>
            </w:r>
          </w:p>
        </w:tc>
        <w:tc>
          <w:tcPr>
            <w:tcW w:w="8647" w:type="dxa"/>
            <w:tcBorders>
              <w:top w:val="single" w:sz="4" w:space="0" w:color="auto"/>
              <w:left w:val="single" w:sz="4" w:space="0" w:color="auto"/>
              <w:right w:val="single" w:sz="4" w:space="0" w:color="auto"/>
            </w:tcBorders>
            <w:tcMar>
              <w:top w:w="0" w:type="dxa"/>
              <w:left w:w="57" w:type="dxa"/>
              <w:bottom w:w="0" w:type="dxa"/>
              <w:right w:w="57" w:type="dxa"/>
            </w:tcMar>
            <w:hideMark/>
          </w:tcPr>
          <w:p w14:paraId="1598B17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Оптична густина кісткової тканини (PAS–реакція, </w:t>
            </w:r>
            <w:proofErr w:type="spellStart"/>
            <w:r w:rsidRPr="00520861">
              <w:rPr>
                <w:rFonts w:eastAsia="Calibri"/>
                <w:sz w:val="28"/>
                <w:szCs w:val="28"/>
              </w:rPr>
              <w:t>ум.од.опт</w:t>
            </w:r>
            <w:proofErr w:type="spellEnd"/>
            <w:r w:rsidRPr="00520861">
              <w:rPr>
                <w:rFonts w:eastAsia="Calibri"/>
                <w:sz w:val="28"/>
                <w:szCs w:val="28"/>
              </w:rPr>
              <w:t>. густини)</w:t>
            </w:r>
          </w:p>
        </w:tc>
      </w:tr>
      <w:tr w:rsidR="00CF641C" w:rsidRPr="00520861" w14:paraId="19CDFDB5"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hideMark/>
          </w:tcPr>
          <w:p w14:paraId="459BE3B9" w14:textId="77777777" w:rsidR="00CF641C" w:rsidRPr="00520861" w:rsidRDefault="00CF641C" w:rsidP="00292D2E">
            <w:pPr>
              <w:widowControl w:val="0"/>
              <w:spacing w:line="360" w:lineRule="auto"/>
              <w:contextualSpacing/>
              <w:rPr>
                <w:rFonts w:eastAsia="Calibri"/>
                <w:sz w:val="28"/>
                <w:szCs w:val="28"/>
              </w:rPr>
            </w:pPr>
            <w:r w:rsidRPr="00520861">
              <w:rPr>
                <w:rFonts w:eastAsia="Calibri"/>
                <w:sz w:val="28"/>
                <w:szCs w:val="28"/>
              </w:rPr>
              <w:t xml:space="preserve">Контроль </w:t>
            </w:r>
          </w:p>
        </w:tc>
        <w:tc>
          <w:tcPr>
            <w:tcW w:w="8647" w:type="dxa"/>
            <w:tcBorders>
              <w:top w:val="single" w:sz="4" w:space="0" w:color="auto"/>
              <w:left w:val="single" w:sz="4" w:space="0" w:color="auto"/>
              <w:bottom w:val="single" w:sz="4" w:space="0" w:color="auto"/>
              <w:right w:val="single" w:sz="4" w:space="0" w:color="auto"/>
            </w:tcBorders>
          </w:tcPr>
          <w:p w14:paraId="087C0B66"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0,088 (0,103; 0,077)</w:t>
            </w:r>
          </w:p>
        </w:tc>
      </w:tr>
      <w:tr w:rsidR="00CF641C" w:rsidRPr="00520861" w14:paraId="54727B23"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tcPr>
          <w:p w14:paraId="0E8ABE55"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1 </w:t>
            </w:r>
          </w:p>
        </w:tc>
        <w:tc>
          <w:tcPr>
            <w:tcW w:w="8647" w:type="dxa"/>
            <w:tcBorders>
              <w:top w:val="single" w:sz="4" w:space="0" w:color="auto"/>
              <w:left w:val="single" w:sz="4" w:space="0" w:color="auto"/>
              <w:bottom w:val="single" w:sz="4" w:space="0" w:color="auto"/>
              <w:right w:val="single" w:sz="4" w:space="0" w:color="auto"/>
            </w:tcBorders>
          </w:tcPr>
          <w:p w14:paraId="7BB4717B"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0,128</w:t>
            </w:r>
            <w:r w:rsidRPr="00520861">
              <w:rPr>
                <w:rFonts w:eastAsia="Calibri"/>
                <w:sz w:val="28"/>
                <w:szCs w:val="28"/>
                <w:lang w:eastAsia="en-US"/>
              </w:rPr>
              <w:t>*</w:t>
            </w:r>
            <w:r w:rsidRPr="00520861">
              <w:rPr>
                <w:rFonts w:eastAsiaTheme="minorHAnsi"/>
                <w:sz w:val="28"/>
                <w:szCs w:val="28"/>
                <w:lang w:eastAsia="en-US"/>
              </w:rPr>
              <w:t xml:space="preserve"> (0,160; 0,114), </w:t>
            </w:r>
            <w:r w:rsidRPr="00520861">
              <w:rPr>
                <w:i/>
                <w:sz w:val="28"/>
                <w:szCs w:val="28"/>
              </w:rPr>
              <w:t>p</w:t>
            </w:r>
            <w:r w:rsidRPr="00520861">
              <w:rPr>
                <w:sz w:val="28"/>
                <w:szCs w:val="28"/>
                <w:lang w:val="en-US"/>
              </w:rPr>
              <w:t>&lt;</w:t>
            </w:r>
            <w:r w:rsidRPr="00520861">
              <w:rPr>
                <w:sz w:val="28"/>
                <w:szCs w:val="28"/>
              </w:rPr>
              <w:t>0,0001</w:t>
            </w:r>
          </w:p>
        </w:tc>
      </w:tr>
      <w:tr w:rsidR="00CF641C" w:rsidRPr="00520861" w14:paraId="7A9746E5"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tcPr>
          <w:p w14:paraId="46EAC681" w14:textId="77777777" w:rsidR="00CF641C" w:rsidRPr="00520861" w:rsidRDefault="00CF641C" w:rsidP="00292D2E">
            <w:pPr>
              <w:widowControl w:val="0"/>
              <w:spacing w:line="360" w:lineRule="auto"/>
              <w:contextualSpacing/>
              <w:jc w:val="both"/>
              <w:rPr>
                <w:sz w:val="28"/>
                <w:szCs w:val="28"/>
              </w:rPr>
            </w:pPr>
            <w:r w:rsidRPr="00520861">
              <w:rPr>
                <w:sz w:val="28"/>
                <w:szCs w:val="28"/>
              </w:rPr>
              <w:t>Група 2</w:t>
            </w:r>
          </w:p>
        </w:tc>
        <w:tc>
          <w:tcPr>
            <w:tcW w:w="8647" w:type="dxa"/>
            <w:tcBorders>
              <w:top w:val="single" w:sz="4" w:space="0" w:color="auto"/>
              <w:left w:val="single" w:sz="4" w:space="0" w:color="auto"/>
              <w:bottom w:val="single" w:sz="4" w:space="0" w:color="auto"/>
              <w:right w:val="single" w:sz="4" w:space="0" w:color="auto"/>
            </w:tcBorders>
          </w:tcPr>
          <w:p w14:paraId="37CE2612"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 xml:space="preserve">0,096 (0,107; 0,077), </w:t>
            </w:r>
            <w:r w:rsidRPr="00520861">
              <w:rPr>
                <w:i/>
                <w:sz w:val="28"/>
                <w:szCs w:val="28"/>
              </w:rPr>
              <w:t>p</w:t>
            </w:r>
            <w:r w:rsidRPr="00520861">
              <w:rPr>
                <w:sz w:val="28"/>
                <w:szCs w:val="28"/>
              </w:rPr>
              <w:t>=0,5633</w:t>
            </w:r>
          </w:p>
        </w:tc>
      </w:tr>
      <w:tr w:rsidR="00CF641C" w:rsidRPr="00520861" w14:paraId="2A351285" w14:textId="77777777" w:rsidTr="00292D2E">
        <w:trPr>
          <w:trHeight w:val="198"/>
          <w:jc w:val="center"/>
        </w:trPr>
        <w:tc>
          <w:tcPr>
            <w:tcW w:w="1413" w:type="dxa"/>
            <w:tcBorders>
              <w:top w:val="single" w:sz="4" w:space="0" w:color="auto"/>
              <w:left w:val="single" w:sz="4" w:space="0" w:color="auto"/>
              <w:bottom w:val="single" w:sz="4" w:space="0" w:color="auto"/>
              <w:right w:val="single" w:sz="4" w:space="0" w:color="auto"/>
            </w:tcBorders>
            <w:hideMark/>
          </w:tcPr>
          <w:p w14:paraId="1887AE8A"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3 </w:t>
            </w:r>
          </w:p>
        </w:tc>
        <w:tc>
          <w:tcPr>
            <w:tcW w:w="8647" w:type="dxa"/>
            <w:tcBorders>
              <w:top w:val="single" w:sz="4" w:space="0" w:color="auto"/>
              <w:left w:val="single" w:sz="4" w:space="0" w:color="auto"/>
              <w:bottom w:val="single" w:sz="4" w:space="0" w:color="auto"/>
              <w:right w:val="single" w:sz="4" w:space="0" w:color="auto"/>
            </w:tcBorders>
          </w:tcPr>
          <w:p w14:paraId="283F949D"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0,104</w:t>
            </w:r>
            <w:r w:rsidRPr="00520861">
              <w:rPr>
                <w:rFonts w:eastAsia="Calibri"/>
                <w:sz w:val="28"/>
                <w:szCs w:val="28"/>
                <w:lang w:eastAsia="en-US"/>
              </w:rPr>
              <w:t>*</w:t>
            </w:r>
            <w:r w:rsidRPr="00520861">
              <w:rPr>
                <w:rFonts w:eastAsiaTheme="minorHAnsi"/>
                <w:sz w:val="28"/>
                <w:szCs w:val="28"/>
                <w:lang w:eastAsia="en-US"/>
              </w:rPr>
              <w:t xml:space="preserve"> (0,121; 0,094), </w:t>
            </w:r>
            <w:r w:rsidRPr="00520861">
              <w:rPr>
                <w:i/>
                <w:sz w:val="28"/>
                <w:szCs w:val="28"/>
              </w:rPr>
              <w:t>p</w:t>
            </w:r>
            <w:r w:rsidRPr="00520861">
              <w:rPr>
                <w:sz w:val="28"/>
                <w:szCs w:val="28"/>
              </w:rPr>
              <w:t>=0,0134</w:t>
            </w:r>
          </w:p>
        </w:tc>
      </w:tr>
      <w:tr w:rsidR="00CF641C" w:rsidRPr="00520861" w14:paraId="6A9D324C"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hideMark/>
          </w:tcPr>
          <w:p w14:paraId="511436BB"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4 </w:t>
            </w:r>
          </w:p>
        </w:tc>
        <w:tc>
          <w:tcPr>
            <w:tcW w:w="8647" w:type="dxa"/>
            <w:tcBorders>
              <w:top w:val="single" w:sz="4" w:space="0" w:color="auto"/>
              <w:left w:val="single" w:sz="4" w:space="0" w:color="auto"/>
              <w:bottom w:val="single" w:sz="4" w:space="0" w:color="auto"/>
              <w:right w:val="single" w:sz="4" w:space="0" w:color="auto"/>
            </w:tcBorders>
          </w:tcPr>
          <w:p w14:paraId="0F84898A"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 xml:space="preserve">0,081 (0,101; 0,068), </w:t>
            </w:r>
            <w:r w:rsidRPr="00520861">
              <w:rPr>
                <w:i/>
                <w:sz w:val="28"/>
                <w:szCs w:val="28"/>
              </w:rPr>
              <w:t>p</w:t>
            </w:r>
            <w:r w:rsidRPr="00520861">
              <w:rPr>
                <w:sz w:val="28"/>
                <w:szCs w:val="28"/>
              </w:rPr>
              <w:t>=0,1115</w:t>
            </w:r>
          </w:p>
        </w:tc>
      </w:tr>
    </w:tbl>
    <w:p w14:paraId="2B9F6C2C"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1E05904E"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p>
    <w:p w14:paraId="567DBC47"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Отже, стан пульпи, твердих тканин зубів та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3-місячних щурів, які народилися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має МФ особливості, які можна трактувати як прояви зменшення стійкості до дії </w:t>
      </w:r>
      <w:proofErr w:type="spellStart"/>
      <w:r w:rsidRPr="00520861">
        <w:rPr>
          <w:rFonts w:eastAsia="Calibri"/>
          <w:sz w:val="28"/>
          <w:szCs w:val="28"/>
          <w:lang w:eastAsia="en-US"/>
        </w:rPr>
        <w:t>уражуючих</w:t>
      </w:r>
      <w:proofErr w:type="spellEnd"/>
      <w:r w:rsidRPr="00520861">
        <w:rPr>
          <w:rFonts w:eastAsia="Calibri"/>
          <w:sz w:val="28"/>
          <w:szCs w:val="28"/>
          <w:lang w:eastAsia="en-US"/>
        </w:rPr>
        <w:t xml:space="preserve"> факторів.</w:t>
      </w:r>
    </w:p>
    <w:p w14:paraId="30ACD59F"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718C08D4" w14:textId="77777777" w:rsidR="00CF641C" w:rsidRPr="00520861" w:rsidRDefault="00CF641C" w:rsidP="00292D2E">
      <w:pPr>
        <w:widowControl w:val="0"/>
        <w:spacing w:line="360" w:lineRule="auto"/>
        <w:ind w:firstLine="708"/>
        <w:jc w:val="both"/>
        <w:rPr>
          <w:rFonts w:eastAsia="Calibri"/>
          <w:b/>
          <w:bCs/>
          <w:sz w:val="28"/>
          <w:szCs w:val="28"/>
          <w:lang w:eastAsia="en-US"/>
        </w:rPr>
      </w:pPr>
      <w:r w:rsidRPr="00520861">
        <w:rPr>
          <w:rFonts w:eastAsia="Calibri"/>
          <w:b/>
          <w:bCs/>
          <w:sz w:val="28"/>
          <w:szCs w:val="28"/>
          <w:lang w:eastAsia="en-US"/>
        </w:rPr>
        <w:t xml:space="preserve">3.4. </w:t>
      </w:r>
      <w:proofErr w:type="spellStart"/>
      <w:r w:rsidRPr="00520861">
        <w:rPr>
          <w:rFonts w:eastAsia="Calibri"/>
          <w:b/>
          <w:bCs/>
          <w:sz w:val="28"/>
          <w:szCs w:val="28"/>
          <w:lang w:eastAsia="en-US"/>
        </w:rPr>
        <w:t>Морфофункціональний</w:t>
      </w:r>
      <w:proofErr w:type="spellEnd"/>
      <w:r w:rsidRPr="00520861">
        <w:rPr>
          <w:rFonts w:eastAsia="Calibri"/>
          <w:b/>
          <w:bCs/>
          <w:sz w:val="28"/>
          <w:szCs w:val="28"/>
          <w:lang w:eastAsia="en-US"/>
        </w:rPr>
        <w:t xml:space="preserve"> стан тканин і органів </w:t>
      </w:r>
      <w:proofErr w:type="spellStart"/>
      <w:r w:rsidRPr="00520861">
        <w:rPr>
          <w:rFonts w:eastAsia="Calibri"/>
          <w:b/>
          <w:bCs/>
          <w:sz w:val="28"/>
          <w:szCs w:val="28"/>
          <w:lang w:eastAsia="en-US"/>
        </w:rPr>
        <w:t>зубо</w:t>
      </w:r>
      <w:proofErr w:type="spellEnd"/>
      <w:r w:rsidRPr="00520861">
        <w:rPr>
          <w:rFonts w:eastAsia="Calibri"/>
          <w:b/>
          <w:bCs/>
          <w:sz w:val="28"/>
          <w:szCs w:val="28"/>
          <w:lang w:eastAsia="en-US"/>
        </w:rPr>
        <w:t>-щелепної</w:t>
      </w:r>
      <w:r w:rsidRPr="00520861">
        <w:rPr>
          <w:rFonts w:eastAsia="Calibri"/>
          <w:b/>
          <w:bCs/>
          <w:sz w:val="28"/>
          <w:szCs w:val="28"/>
          <w:lang w:eastAsia="en-US"/>
        </w:rPr>
        <w:br/>
        <w:t xml:space="preserve">ділянки шестимісячних щурів при експериментально змодельованій внутрішньоутробній </w:t>
      </w:r>
      <w:proofErr w:type="spellStart"/>
      <w:r w:rsidRPr="00520861">
        <w:rPr>
          <w:rFonts w:eastAsia="Calibri"/>
          <w:b/>
          <w:bCs/>
          <w:sz w:val="28"/>
          <w:szCs w:val="28"/>
          <w:lang w:eastAsia="en-US"/>
        </w:rPr>
        <w:t>макросомії</w:t>
      </w:r>
      <w:proofErr w:type="spellEnd"/>
    </w:p>
    <w:p w14:paraId="243BA594" w14:textId="77777777" w:rsidR="00CF641C" w:rsidRPr="00520861" w:rsidRDefault="00CF641C" w:rsidP="00292D2E">
      <w:pPr>
        <w:widowControl w:val="0"/>
        <w:spacing w:line="360" w:lineRule="auto"/>
        <w:ind w:left="709" w:hanging="1"/>
        <w:jc w:val="both"/>
        <w:rPr>
          <w:rFonts w:eastAsia="Calibri"/>
          <w:b/>
          <w:sz w:val="28"/>
          <w:szCs w:val="28"/>
          <w:lang w:eastAsia="en-US"/>
        </w:rPr>
      </w:pPr>
    </w:p>
    <w:p w14:paraId="1F4BDC49" w14:textId="77777777" w:rsidR="00CF641C" w:rsidRPr="00520861" w:rsidRDefault="00CF641C" w:rsidP="00292D2E">
      <w:pPr>
        <w:widowControl w:val="0"/>
        <w:spacing w:line="360" w:lineRule="auto"/>
        <w:ind w:firstLine="708"/>
        <w:contextualSpacing/>
        <w:jc w:val="both"/>
        <w:rPr>
          <w:rFonts w:eastAsiaTheme="minorHAnsi"/>
          <w:sz w:val="28"/>
          <w:szCs w:val="28"/>
          <w:lang w:eastAsia="en-US"/>
        </w:rPr>
      </w:pPr>
      <w:r w:rsidRPr="00520861">
        <w:rPr>
          <w:rFonts w:eastAsia="Calibri"/>
          <w:sz w:val="28"/>
          <w:szCs w:val="28"/>
          <w:lang w:eastAsia="en-US"/>
        </w:rPr>
        <w:t>П</w:t>
      </w:r>
      <w:r w:rsidRPr="00520861">
        <w:rPr>
          <w:sz w:val="28"/>
          <w:szCs w:val="28"/>
        </w:rPr>
        <w:t xml:space="preserve">о досягненні щурами шестимісячного віку медіанні значення маси тіла, довжини тіла та </w:t>
      </w:r>
      <w:proofErr w:type="spellStart"/>
      <w:r w:rsidRPr="00520861">
        <w:rPr>
          <w:sz w:val="28"/>
          <w:szCs w:val="28"/>
        </w:rPr>
        <w:t>ІМТт</w:t>
      </w:r>
      <w:proofErr w:type="spellEnd"/>
      <w:r w:rsidRPr="00520861">
        <w:rPr>
          <w:rFonts w:eastAsia="Calibri"/>
          <w:i/>
          <w:sz w:val="28"/>
          <w:szCs w:val="28"/>
          <w:lang w:eastAsia="en-US"/>
        </w:rPr>
        <w:t xml:space="preserve"> </w:t>
      </w:r>
      <w:r w:rsidRPr="00520861">
        <w:rPr>
          <w:rFonts w:eastAsia="Calibri"/>
          <w:sz w:val="28"/>
          <w:szCs w:val="28"/>
          <w:lang w:eastAsia="en-US"/>
        </w:rPr>
        <w:t>в основних групах були зіставними з такими у контролі.</w:t>
      </w:r>
      <w:r w:rsidRPr="00520861">
        <w:rPr>
          <w:rFonts w:eastAsiaTheme="minorHAnsi"/>
          <w:sz w:val="28"/>
          <w:szCs w:val="28"/>
          <w:lang w:eastAsia="en-US"/>
        </w:rPr>
        <w:t xml:space="preserve"> </w:t>
      </w:r>
      <w:proofErr w:type="spellStart"/>
      <w:r w:rsidRPr="00520861">
        <w:rPr>
          <w:rFonts w:eastAsiaTheme="minorHAnsi"/>
          <w:sz w:val="28"/>
          <w:szCs w:val="28"/>
          <w:lang w:eastAsia="en-US"/>
        </w:rPr>
        <w:t>С</w:t>
      </w:r>
      <w:r w:rsidRPr="00520861">
        <w:rPr>
          <w:rFonts w:eastAsia="Calibri"/>
          <w:sz w:val="28"/>
          <w:szCs w:val="28"/>
          <w:lang w:eastAsia="en-US"/>
        </w:rPr>
        <w:t>оматометричні</w:t>
      </w:r>
      <w:proofErr w:type="spellEnd"/>
      <w:r w:rsidRPr="00520861">
        <w:rPr>
          <w:rFonts w:eastAsia="Calibri"/>
          <w:sz w:val="28"/>
          <w:szCs w:val="28"/>
          <w:lang w:eastAsia="en-US"/>
        </w:rPr>
        <w:t xml:space="preserve"> показники щурів групи 4 найменші серед усіх інших груп (табл. Б.1.11). </w:t>
      </w:r>
    </w:p>
    <w:p w14:paraId="3C4E94DE" w14:textId="77777777" w:rsidR="00CF641C" w:rsidRPr="00520861" w:rsidRDefault="00CF641C" w:rsidP="00292D2E">
      <w:pPr>
        <w:widowControl w:val="0"/>
        <w:spacing w:line="360" w:lineRule="auto"/>
        <w:ind w:firstLine="851"/>
        <w:jc w:val="both"/>
        <w:rPr>
          <w:rFonts w:eastAsia="Calibri"/>
          <w:b/>
          <w:sz w:val="28"/>
          <w:szCs w:val="28"/>
          <w:lang w:eastAsia="en-US"/>
        </w:rPr>
      </w:pPr>
      <w:r w:rsidRPr="00520861">
        <w:rPr>
          <w:rFonts w:eastAsia="Calibri"/>
          <w:b/>
          <w:sz w:val="28"/>
          <w:szCs w:val="28"/>
          <w:lang w:eastAsia="en-US"/>
        </w:rPr>
        <w:lastRenderedPageBreak/>
        <w:t>3</w:t>
      </w:r>
      <w:r w:rsidRPr="00520861">
        <w:rPr>
          <w:rFonts w:eastAsia="Calibri"/>
          <w:b/>
          <w:sz w:val="28"/>
          <w:szCs w:val="28"/>
          <w:lang w:val="ru-RU" w:eastAsia="en-US"/>
        </w:rPr>
        <w:t>.4.</w:t>
      </w:r>
      <w:r w:rsidRPr="00520861">
        <w:rPr>
          <w:rFonts w:eastAsia="Calibri"/>
          <w:b/>
          <w:sz w:val="28"/>
          <w:szCs w:val="28"/>
          <w:lang w:eastAsia="en-US"/>
        </w:rPr>
        <w:t>1. С</w:t>
      </w:r>
      <w:proofErr w:type="spellStart"/>
      <w:r w:rsidRPr="00520861">
        <w:rPr>
          <w:rFonts w:eastAsia="Calibri"/>
          <w:b/>
          <w:sz w:val="28"/>
          <w:szCs w:val="28"/>
          <w:lang w:val="ru-RU" w:eastAsia="en-US"/>
        </w:rPr>
        <w:t>тан</w:t>
      </w:r>
      <w:proofErr w:type="spellEnd"/>
      <w:r w:rsidRPr="00520861">
        <w:rPr>
          <w:rFonts w:eastAsia="Calibri"/>
          <w:b/>
          <w:sz w:val="28"/>
          <w:szCs w:val="28"/>
          <w:lang w:val="ru-RU" w:eastAsia="en-US"/>
        </w:rPr>
        <w:t xml:space="preserve"> </w:t>
      </w:r>
      <w:proofErr w:type="spellStart"/>
      <w:r w:rsidRPr="00520861">
        <w:rPr>
          <w:rFonts w:eastAsia="Calibri"/>
          <w:b/>
          <w:sz w:val="28"/>
          <w:szCs w:val="28"/>
          <w:lang w:val="ru-RU" w:eastAsia="en-US"/>
        </w:rPr>
        <w:t>привушних</w:t>
      </w:r>
      <w:proofErr w:type="spellEnd"/>
      <w:r w:rsidRPr="00520861">
        <w:rPr>
          <w:rFonts w:eastAsia="Calibri"/>
          <w:b/>
          <w:sz w:val="28"/>
          <w:szCs w:val="28"/>
          <w:lang w:val="ru-RU" w:eastAsia="en-US"/>
        </w:rPr>
        <w:t xml:space="preserve"> </w:t>
      </w:r>
      <w:proofErr w:type="spellStart"/>
      <w:r w:rsidRPr="00520861">
        <w:rPr>
          <w:rFonts w:eastAsia="Calibri"/>
          <w:b/>
          <w:sz w:val="28"/>
          <w:szCs w:val="28"/>
          <w:lang w:val="ru-RU" w:eastAsia="en-US"/>
        </w:rPr>
        <w:t>слинних</w:t>
      </w:r>
      <w:proofErr w:type="spellEnd"/>
      <w:r w:rsidRPr="00520861">
        <w:rPr>
          <w:rFonts w:eastAsia="Calibri"/>
          <w:b/>
          <w:sz w:val="28"/>
          <w:szCs w:val="28"/>
          <w:lang w:val="ru-RU" w:eastAsia="en-US"/>
        </w:rPr>
        <w:t xml:space="preserve"> </w:t>
      </w:r>
      <w:proofErr w:type="spellStart"/>
      <w:r w:rsidRPr="00520861">
        <w:rPr>
          <w:rFonts w:eastAsia="Calibri"/>
          <w:b/>
          <w:sz w:val="28"/>
          <w:szCs w:val="28"/>
          <w:lang w:val="ru-RU" w:eastAsia="en-US"/>
        </w:rPr>
        <w:t>залоз</w:t>
      </w:r>
      <w:proofErr w:type="spellEnd"/>
      <w:r w:rsidRPr="00520861">
        <w:rPr>
          <w:rFonts w:eastAsia="Calibri"/>
          <w:b/>
          <w:sz w:val="28"/>
          <w:szCs w:val="28"/>
          <w:lang w:val="ru-RU" w:eastAsia="en-US"/>
        </w:rPr>
        <w:t xml:space="preserve">. </w:t>
      </w:r>
      <w:proofErr w:type="spellStart"/>
      <w:r w:rsidRPr="00520861">
        <w:rPr>
          <w:rFonts w:eastAsia="Calibri"/>
          <w:sz w:val="28"/>
          <w:szCs w:val="28"/>
          <w:lang w:val="ru-RU" w:eastAsia="en-US"/>
        </w:rPr>
        <w:t>Медіани</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відношення</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маси</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слинних</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залоз</w:t>
      </w:r>
      <w:proofErr w:type="spellEnd"/>
      <w:r w:rsidRPr="00520861">
        <w:rPr>
          <w:rFonts w:eastAsia="Calibri"/>
          <w:sz w:val="28"/>
          <w:szCs w:val="28"/>
          <w:lang w:val="ru-RU" w:eastAsia="en-US"/>
        </w:rPr>
        <w:t xml:space="preserve"> до </w:t>
      </w:r>
      <w:proofErr w:type="spellStart"/>
      <w:r w:rsidRPr="00520861">
        <w:rPr>
          <w:rFonts w:eastAsia="Calibri"/>
          <w:sz w:val="28"/>
          <w:szCs w:val="28"/>
          <w:lang w:val="ru-RU" w:eastAsia="en-US"/>
        </w:rPr>
        <w:t>маси</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тіла</w:t>
      </w:r>
      <w:proofErr w:type="spellEnd"/>
      <w:r w:rsidRPr="00520861">
        <w:rPr>
          <w:rFonts w:eastAsia="Calibri"/>
          <w:sz w:val="28"/>
          <w:szCs w:val="28"/>
          <w:lang w:val="ru-RU" w:eastAsia="en-US"/>
        </w:rPr>
        <w:t xml:space="preserve"> тварин в </w:t>
      </w:r>
      <w:proofErr w:type="spellStart"/>
      <w:r w:rsidRPr="00520861">
        <w:rPr>
          <w:rFonts w:eastAsia="Calibri"/>
          <w:sz w:val="28"/>
          <w:szCs w:val="28"/>
          <w:lang w:val="ru-RU" w:eastAsia="en-US"/>
        </w:rPr>
        <w:t>основних</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групах</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були</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невірогідно</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менші</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порівняно</w:t>
      </w:r>
      <w:proofErr w:type="spellEnd"/>
      <w:r w:rsidRPr="00520861">
        <w:rPr>
          <w:rFonts w:eastAsia="Calibri"/>
          <w:sz w:val="28"/>
          <w:szCs w:val="28"/>
          <w:lang w:val="ru-RU" w:eastAsia="en-US"/>
        </w:rPr>
        <w:t xml:space="preserve"> з </w:t>
      </w:r>
      <w:r w:rsidRPr="00520861">
        <w:rPr>
          <w:rFonts w:eastAsia="Calibri"/>
          <w:sz w:val="28"/>
          <w:szCs w:val="28"/>
          <w:lang w:val="ru-RU" w:eastAsia="en-US"/>
        </w:rPr>
        <w:br/>
      </w:r>
      <w:proofErr w:type="spellStart"/>
      <w:r w:rsidRPr="00520861">
        <w:rPr>
          <w:rFonts w:eastAsia="Calibri"/>
          <w:sz w:val="28"/>
          <w:szCs w:val="28"/>
          <w:lang w:val="ru-RU" w:eastAsia="en-US"/>
        </w:rPr>
        <w:t>контрольними</w:t>
      </w:r>
      <w:proofErr w:type="spellEnd"/>
      <w:r w:rsidRPr="00520861">
        <w:rPr>
          <w:rFonts w:eastAsia="Calibri"/>
          <w:sz w:val="28"/>
          <w:szCs w:val="28"/>
          <w:lang w:val="ru-RU" w:eastAsia="en-US"/>
        </w:rPr>
        <w:t xml:space="preserve"> щурами (табл. </w:t>
      </w:r>
      <w:r w:rsidRPr="00520861">
        <w:rPr>
          <w:rFonts w:eastAsia="Calibri"/>
          <w:sz w:val="28"/>
          <w:szCs w:val="28"/>
          <w:lang w:eastAsia="en-US"/>
        </w:rPr>
        <w:t>3.10</w:t>
      </w:r>
      <w:r w:rsidRPr="00520861">
        <w:rPr>
          <w:rFonts w:eastAsia="Calibri"/>
          <w:sz w:val="28"/>
          <w:szCs w:val="28"/>
          <w:lang w:val="ru-RU" w:eastAsia="en-US"/>
        </w:rPr>
        <w:t xml:space="preserve">). </w:t>
      </w:r>
    </w:p>
    <w:p w14:paraId="2DB1D2E7" w14:textId="77777777" w:rsidR="00CF641C" w:rsidRPr="00520861" w:rsidRDefault="00CF641C" w:rsidP="00292D2E">
      <w:pPr>
        <w:widowControl w:val="0"/>
        <w:spacing w:line="360" w:lineRule="auto"/>
        <w:ind w:firstLine="708"/>
        <w:jc w:val="both"/>
        <w:rPr>
          <w:rFonts w:eastAsia="Calibri"/>
          <w:spacing w:val="-4"/>
          <w:sz w:val="28"/>
          <w:szCs w:val="28"/>
          <w:lang w:eastAsia="en-US"/>
        </w:rPr>
      </w:pPr>
      <w:r w:rsidRPr="00520861">
        <w:rPr>
          <w:rFonts w:eastAsia="Calibri"/>
          <w:sz w:val="28"/>
          <w:szCs w:val="28"/>
          <w:lang w:eastAsia="en-US"/>
        </w:rPr>
        <w:t xml:space="preserve">У щурів контрольної групи паренхіма добре збережена, </w:t>
      </w:r>
      <w:proofErr w:type="spellStart"/>
      <w:r w:rsidRPr="00520861">
        <w:rPr>
          <w:rFonts w:eastAsia="Calibri"/>
          <w:sz w:val="28"/>
          <w:szCs w:val="28"/>
          <w:lang w:eastAsia="en-US"/>
        </w:rPr>
        <w:t>інтерстицій</w:t>
      </w:r>
      <w:proofErr w:type="spellEnd"/>
      <w:r w:rsidRPr="00520861">
        <w:rPr>
          <w:rFonts w:eastAsia="Calibri"/>
          <w:sz w:val="28"/>
          <w:szCs w:val="28"/>
          <w:lang w:eastAsia="en-US"/>
        </w:rPr>
        <w:t xml:space="preserve"> тонкий, без лейкоцитарних інфільтратів. Однак </w:t>
      </w:r>
      <w:proofErr w:type="spellStart"/>
      <w:r w:rsidRPr="00520861">
        <w:rPr>
          <w:rFonts w:eastAsia="Calibri"/>
          <w:sz w:val="28"/>
          <w:szCs w:val="28"/>
          <w:lang w:eastAsia="en-US"/>
        </w:rPr>
        <w:t>перидуктально</w:t>
      </w:r>
      <w:proofErr w:type="spellEnd"/>
      <w:r w:rsidRPr="00520861">
        <w:rPr>
          <w:rFonts w:eastAsia="Calibri"/>
          <w:sz w:val="28"/>
          <w:szCs w:val="28"/>
          <w:lang w:eastAsia="en-US"/>
        </w:rPr>
        <w:t xml:space="preserve"> спостерігався незначний склероз. При забарвленні </w:t>
      </w:r>
      <w:proofErr w:type="spellStart"/>
      <w:r w:rsidRPr="00520861">
        <w:rPr>
          <w:rFonts w:eastAsia="Calibri"/>
          <w:sz w:val="28"/>
          <w:szCs w:val="28"/>
          <w:lang w:eastAsia="en-US"/>
        </w:rPr>
        <w:t>галоціанін</w:t>
      </w:r>
      <w:proofErr w:type="spellEnd"/>
      <w:r w:rsidRPr="00520861">
        <w:rPr>
          <w:rFonts w:eastAsia="Calibri"/>
          <w:sz w:val="28"/>
          <w:szCs w:val="28"/>
          <w:lang w:eastAsia="en-US"/>
        </w:rPr>
        <w:t xml:space="preserve">-хромовими галунами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спостерігали велику кількість </w:t>
      </w:r>
      <w:proofErr w:type="spellStart"/>
      <w:r w:rsidRPr="00520861">
        <w:rPr>
          <w:rFonts w:eastAsia="Calibri"/>
          <w:sz w:val="28"/>
          <w:szCs w:val="28"/>
          <w:lang w:eastAsia="en-US"/>
        </w:rPr>
        <w:t>інтенсивно</w:t>
      </w:r>
      <w:proofErr w:type="spellEnd"/>
      <w:r w:rsidRPr="00520861">
        <w:rPr>
          <w:rFonts w:eastAsia="Calibri"/>
          <w:sz w:val="28"/>
          <w:szCs w:val="28"/>
          <w:lang w:eastAsia="en-US"/>
        </w:rPr>
        <w:t xml:space="preserve"> забарвлених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що є свідченням домінування </w:t>
      </w:r>
      <w:proofErr w:type="spellStart"/>
      <w:r w:rsidRPr="00520861">
        <w:rPr>
          <w:rFonts w:eastAsia="Calibri"/>
          <w:sz w:val="28"/>
          <w:szCs w:val="28"/>
          <w:lang w:eastAsia="en-US"/>
        </w:rPr>
        <w:t>спіралізованого</w:t>
      </w:r>
      <w:proofErr w:type="spellEnd"/>
      <w:r w:rsidRPr="00520861">
        <w:rPr>
          <w:rFonts w:eastAsia="Calibri"/>
          <w:sz w:val="28"/>
          <w:szCs w:val="28"/>
          <w:lang w:eastAsia="en-US"/>
        </w:rPr>
        <w:t xml:space="preserve"> неактивного хроматину. </w:t>
      </w:r>
      <w:r w:rsidRPr="00520861">
        <w:rPr>
          <w:rFonts w:eastAsia="Calibri"/>
          <w:spacing w:val="-4"/>
          <w:sz w:val="28"/>
          <w:szCs w:val="28"/>
          <w:lang w:eastAsia="en-US"/>
        </w:rPr>
        <w:t xml:space="preserve">Частина </w:t>
      </w:r>
      <w:proofErr w:type="spellStart"/>
      <w:r w:rsidRPr="00520861">
        <w:rPr>
          <w:rFonts w:eastAsia="Calibri"/>
          <w:spacing w:val="-4"/>
          <w:sz w:val="28"/>
          <w:szCs w:val="28"/>
          <w:lang w:eastAsia="en-US"/>
        </w:rPr>
        <w:t>сероцитів</w:t>
      </w:r>
      <w:proofErr w:type="spellEnd"/>
      <w:r w:rsidRPr="00520861">
        <w:rPr>
          <w:rFonts w:eastAsia="Calibri"/>
          <w:spacing w:val="-4"/>
          <w:sz w:val="28"/>
          <w:szCs w:val="28"/>
          <w:lang w:eastAsia="en-US"/>
        </w:rPr>
        <w:t xml:space="preserve"> має </w:t>
      </w:r>
      <w:proofErr w:type="spellStart"/>
      <w:r w:rsidRPr="00520861">
        <w:rPr>
          <w:rFonts w:eastAsia="Calibri"/>
          <w:spacing w:val="-4"/>
          <w:sz w:val="28"/>
          <w:szCs w:val="28"/>
          <w:lang w:eastAsia="en-US"/>
        </w:rPr>
        <w:t>еухромне</w:t>
      </w:r>
      <w:proofErr w:type="spellEnd"/>
      <w:r w:rsidRPr="00520861">
        <w:rPr>
          <w:rFonts w:eastAsia="Calibri"/>
          <w:spacing w:val="-4"/>
          <w:sz w:val="28"/>
          <w:szCs w:val="28"/>
          <w:lang w:eastAsia="en-US"/>
        </w:rPr>
        <w:t xml:space="preserve"> ядро, в якому добре проглядається ядерце. В табл. 3.10 і 3.11 наведені результати морфометрії. </w:t>
      </w:r>
    </w:p>
    <w:p w14:paraId="19F4C1F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віці 6 місяців як абсолютна, так і відносна маса привушних слинних залоз тварин в групі 1 вірогідно не відрізнялася від групи контролю (табл. 3.10). </w:t>
      </w:r>
    </w:p>
    <w:p w14:paraId="5DC2A0C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Мікроскопічно визначено розширення </w:t>
      </w:r>
      <w:proofErr w:type="spellStart"/>
      <w:r w:rsidRPr="00520861">
        <w:rPr>
          <w:rFonts w:eastAsia="Calibri"/>
          <w:sz w:val="28"/>
          <w:szCs w:val="28"/>
          <w:lang w:eastAsia="en-US"/>
        </w:rPr>
        <w:t>інтерстицію</w:t>
      </w:r>
      <w:proofErr w:type="spellEnd"/>
      <w:r w:rsidRPr="00520861">
        <w:rPr>
          <w:rFonts w:eastAsia="Calibri"/>
          <w:sz w:val="28"/>
          <w:szCs w:val="28"/>
          <w:lang w:eastAsia="en-US"/>
        </w:rPr>
        <w:t xml:space="preserve">, наявність слабко вираженого </w:t>
      </w:r>
      <w:proofErr w:type="spellStart"/>
      <w:r w:rsidRPr="00520861">
        <w:rPr>
          <w:rFonts w:eastAsia="Calibri"/>
          <w:sz w:val="28"/>
          <w:szCs w:val="28"/>
          <w:lang w:eastAsia="en-US"/>
        </w:rPr>
        <w:t>макрофагально-лімфоцитарного</w:t>
      </w:r>
      <w:proofErr w:type="spellEnd"/>
      <w:r w:rsidRPr="00520861">
        <w:rPr>
          <w:rFonts w:eastAsia="Calibri"/>
          <w:sz w:val="28"/>
          <w:szCs w:val="28"/>
          <w:lang w:eastAsia="en-US"/>
        </w:rPr>
        <w:t xml:space="preserve"> інфільтрату, місцями спостерігали істотну домішку </w:t>
      </w:r>
      <w:proofErr w:type="spellStart"/>
      <w:r w:rsidRPr="00520861">
        <w:rPr>
          <w:rFonts w:eastAsia="Calibri"/>
          <w:sz w:val="28"/>
          <w:szCs w:val="28"/>
          <w:lang w:eastAsia="en-US"/>
        </w:rPr>
        <w:t>поліморфонуклеарів</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Сероцити</w:t>
      </w:r>
      <w:proofErr w:type="spellEnd"/>
      <w:r w:rsidRPr="00520861">
        <w:rPr>
          <w:rFonts w:eastAsia="Calibri"/>
          <w:sz w:val="28"/>
          <w:szCs w:val="28"/>
          <w:lang w:eastAsia="en-US"/>
        </w:rPr>
        <w:t xml:space="preserve"> мають ядра різного розміру, є дуже великі (</w:t>
      </w:r>
      <w:proofErr w:type="spellStart"/>
      <w:r w:rsidRPr="00520861">
        <w:rPr>
          <w:rFonts w:eastAsia="Calibri"/>
          <w:sz w:val="28"/>
          <w:szCs w:val="28"/>
          <w:lang w:eastAsia="en-US"/>
        </w:rPr>
        <w:t>поліплоїдні</w:t>
      </w:r>
      <w:proofErr w:type="spellEnd"/>
      <w:r w:rsidRPr="00520861">
        <w:rPr>
          <w:rFonts w:eastAsia="Calibri"/>
          <w:sz w:val="28"/>
          <w:szCs w:val="28"/>
          <w:lang w:eastAsia="en-US"/>
        </w:rPr>
        <w:t xml:space="preserve">), їхня кількість на фіксованій площі зрізу вірогідно більше, ніж у контролі. Площа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збільшена (табл. 3.11). Оптична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знижена внаслідок збільшення кількості </w:t>
      </w:r>
      <w:proofErr w:type="spellStart"/>
      <w:r w:rsidRPr="00520861">
        <w:rPr>
          <w:rFonts w:eastAsia="Calibri"/>
          <w:sz w:val="28"/>
          <w:szCs w:val="28"/>
          <w:lang w:eastAsia="en-US"/>
        </w:rPr>
        <w:t>еухромних</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а оптична густина цитоплазми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при забарвленні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зіставна з такою у групі контролю (табл. 3.11). Тобто, </w:t>
      </w:r>
      <w:r w:rsidRPr="00520861">
        <w:rPr>
          <w:rFonts w:eastAsiaTheme="minorHAnsi"/>
          <w:sz w:val="28"/>
          <w:szCs w:val="28"/>
          <w:lang w:eastAsia="en-US"/>
        </w:rPr>
        <w:t>МФ</w:t>
      </w:r>
      <w:r w:rsidRPr="00520861">
        <w:rPr>
          <w:rFonts w:eastAsia="Calibri"/>
          <w:sz w:val="28"/>
          <w:szCs w:val="28"/>
          <w:lang w:eastAsia="en-US"/>
        </w:rPr>
        <w:t xml:space="preserve"> стан привушних слинних залоз у шестимісячних щурів групи 1 на тому ж рівні, що й у контрольних тварин.</w:t>
      </w:r>
    </w:p>
    <w:p w14:paraId="0E9E25DF"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тварин групи 2 порівняно з групою контролю абсолютна медіанна маса слинних залоз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збільшена, а відносна маса зменшена (табл. 3.10). Мікроскопічно </w:t>
      </w:r>
      <w:proofErr w:type="spellStart"/>
      <w:r w:rsidRPr="00520861">
        <w:rPr>
          <w:rFonts w:eastAsia="Calibri"/>
          <w:sz w:val="28"/>
          <w:szCs w:val="28"/>
          <w:lang w:eastAsia="en-US"/>
        </w:rPr>
        <w:t>інтерстицій</w:t>
      </w:r>
      <w:proofErr w:type="spellEnd"/>
      <w:r w:rsidRPr="00520861">
        <w:rPr>
          <w:rFonts w:eastAsia="Calibri"/>
          <w:sz w:val="28"/>
          <w:szCs w:val="28"/>
          <w:lang w:eastAsia="en-US"/>
        </w:rPr>
        <w:t xml:space="preserve"> тонкий, не </w:t>
      </w:r>
      <w:proofErr w:type="spellStart"/>
      <w:r w:rsidRPr="00520861">
        <w:rPr>
          <w:rFonts w:eastAsia="Calibri"/>
          <w:sz w:val="28"/>
          <w:szCs w:val="28"/>
          <w:lang w:eastAsia="en-US"/>
        </w:rPr>
        <w:t>склерозований</w:t>
      </w:r>
      <w:proofErr w:type="spellEnd"/>
      <w:r w:rsidRPr="00520861">
        <w:rPr>
          <w:rFonts w:eastAsia="Calibri"/>
          <w:sz w:val="28"/>
          <w:szCs w:val="28"/>
          <w:lang w:eastAsia="en-US"/>
        </w:rPr>
        <w:t xml:space="preserve">, кінцеві відділи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широкі. Привертає увагу, що тільки у тварин цієї основної групи немає фокусів загибелі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але місцями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ділянки з так званими «спокійними» </w:t>
      </w:r>
      <w:proofErr w:type="spellStart"/>
      <w:r w:rsidRPr="00520861">
        <w:rPr>
          <w:rFonts w:eastAsia="Calibri"/>
          <w:sz w:val="28"/>
          <w:szCs w:val="28"/>
          <w:lang w:eastAsia="en-US"/>
        </w:rPr>
        <w:t>сероцитами</w:t>
      </w:r>
      <w:proofErr w:type="spellEnd"/>
      <w:r w:rsidRPr="00520861">
        <w:rPr>
          <w:rFonts w:eastAsia="Calibri"/>
          <w:sz w:val="28"/>
          <w:szCs w:val="28"/>
          <w:lang w:eastAsia="en-US"/>
        </w:rPr>
        <w:t xml:space="preserve">, які ще не функціонують і не утворюють </w:t>
      </w:r>
      <w:proofErr w:type="spellStart"/>
      <w:r w:rsidRPr="00520861">
        <w:rPr>
          <w:rFonts w:eastAsia="Calibri"/>
          <w:sz w:val="28"/>
          <w:szCs w:val="28"/>
          <w:lang w:eastAsia="en-US"/>
        </w:rPr>
        <w:t>ацинус</w:t>
      </w:r>
      <w:proofErr w:type="spellEnd"/>
      <w:r w:rsidRPr="00520861">
        <w:rPr>
          <w:rFonts w:eastAsia="Calibri"/>
          <w:sz w:val="28"/>
          <w:szCs w:val="28"/>
          <w:lang w:eastAsia="en-US"/>
        </w:rPr>
        <w:t xml:space="preserve">. Середня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на фіксованій площі зрізу вірогідно знижена порівняно з групою контролю (табл. 3.10). Ядра </w:t>
      </w:r>
      <w:r w:rsidRPr="00520861">
        <w:rPr>
          <w:rFonts w:eastAsia="Calibri"/>
          <w:sz w:val="28"/>
          <w:szCs w:val="28"/>
          <w:lang w:eastAsia="en-US"/>
        </w:rPr>
        <w:br/>
        <w:t xml:space="preserve">здебільшого дрібніші, ніж у контролі, а оптична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при забарвленні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вірогідно збільшена. Відзначається також вірогідне зменшення оптичної густини цитоплазми (табл. 3.11). </w:t>
      </w:r>
    </w:p>
    <w:p w14:paraId="641F84FF" w14:textId="77777777" w:rsidR="00CF641C" w:rsidRPr="00520861" w:rsidRDefault="00CF641C" w:rsidP="00292D2E">
      <w:pPr>
        <w:widowControl w:val="0"/>
        <w:spacing w:line="360" w:lineRule="auto"/>
        <w:ind w:firstLine="709"/>
        <w:jc w:val="right"/>
        <w:rPr>
          <w:rFonts w:eastAsia="Calibri"/>
          <w:iCs/>
          <w:sz w:val="28"/>
          <w:szCs w:val="28"/>
          <w:lang w:eastAsia="en-US"/>
        </w:rPr>
      </w:pPr>
      <w:r w:rsidRPr="00520861">
        <w:rPr>
          <w:rFonts w:eastAsia="Calibri"/>
          <w:i/>
          <w:iCs/>
          <w:sz w:val="28"/>
          <w:szCs w:val="28"/>
          <w:lang w:eastAsia="en-US"/>
        </w:rPr>
        <w:lastRenderedPageBreak/>
        <w:t>Таблиця 3.10</w:t>
      </w:r>
      <w:r w:rsidRPr="00520861">
        <w:rPr>
          <w:rFonts w:eastAsia="Calibri"/>
          <w:iCs/>
          <w:sz w:val="28"/>
          <w:szCs w:val="28"/>
          <w:lang w:eastAsia="en-US"/>
        </w:rPr>
        <w:t xml:space="preserve"> </w:t>
      </w:r>
    </w:p>
    <w:p w14:paraId="283E1230" w14:textId="77777777" w:rsidR="00CF641C" w:rsidRPr="00520861" w:rsidRDefault="00CF641C" w:rsidP="00292D2E">
      <w:pPr>
        <w:widowControl w:val="0"/>
        <w:spacing w:line="360" w:lineRule="auto"/>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 xml:space="preserve">3; </w:t>
      </w:r>
      <w:r w:rsidRPr="00520861">
        <w:rPr>
          <w:rFonts w:eastAsia="Calibri"/>
          <w:b/>
          <w:bCs/>
          <w:sz w:val="28"/>
          <w:szCs w:val="28"/>
          <w:lang w:val="en-US" w:eastAsia="en-US"/>
        </w:rPr>
        <w:t>Q</w:t>
      </w:r>
      <w:r w:rsidRPr="00520861">
        <w:rPr>
          <w:rFonts w:eastAsia="Calibri"/>
          <w:b/>
          <w:bCs/>
          <w:sz w:val="28"/>
          <w:szCs w:val="28"/>
          <w:lang w:eastAsia="en-US"/>
        </w:rPr>
        <w:t xml:space="preserve">1) маси привушних слинних залоз </w:t>
      </w:r>
      <w:r w:rsidRPr="00520861">
        <w:rPr>
          <w:rFonts w:eastAsia="Calibri"/>
          <w:b/>
          <w:sz w:val="28"/>
          <w:szCs w:val="28"/>
        </w:rPr>
        <w:t>(кг</w:t>
      </w:r>
      <w:r w:rsidRPr="00520861">
        <w:rPr>
          <w:rFonts w:eastAsia="Calibri"/>
          <w:b/>
          <w:sz w:val="28"/>
          <w:szCs w:val="28"/>
          <w:lang w:val="ru-RU"/>
        </w:rPr>
        <w:sym w:font="Symbol" w:char="F0B4"/>
      </w:r>
      <w:r w:rsidRPr="00520861">
        <w:rPr>
          <w:rFonts w:eastAsia="Calibri"/>
          <w:b/>
          <w:sz w:val="28"/>
          <w:szCs w:val="28"/>
        </w:rPr>
        <w:t>10</w:t>
      </w:r>
      <w:r w:rsidRPr="00520861">
        <w:rPr>
          <w:rFonts w:eastAsia="Calibri"/>
          <w:b/>
          <w:sz w:val="28"/>
          <w:szCs w:val="28"/>
          <w:vertAlign w:val="superscript"/>
        </w:rPr>
        <w:t>5</w:t>
      </w:r>
      <w:r w:rsidRPr="00520861">
        <w:rPr>
          <w:rFonts w:eastAsia="Calibri"/>
          <w:b/>
          <w:sz w:val="28"/>
          <w:szCs w:val="28"/>
        </w:rPr>
        <w:t>)</w:t>
      </w:r>
      <w:r w:rsidRPr="00520861">
        <w:rPr>
          <w:rFonts w:eastAsia="Calibri"/>
          <w:b/>
          <w:bCs/>
          <w:sz w:val="28"/>
          <w:szCs w:val="28"/>
          <w:lang w:eastAsia="en-US"/>
        </w:rPr>
        <w:t xml:space="preserve">, </w:t>
      </w:r>
      <w:r w:rsidRPr="00520861">
        <w:rPr>
          <w:rFonts w:eastAsia="Calibri"/>
          <w:b/>
          <w:bCs/>
          <w:sz w:val="28"/>
          <w:szCs w:val="28"/>
          <w:lang w:eastAsia="en-US"/>
        </w:rPr>
        <w:br/>
        <w:t xml:space="preserve">відношення маси слинних залоз до маси тіла, а також кількості </w:t>
      </w:r>
      <w:proofErr w:type="spellStart"/>
      <w:r w:rsidRPr="00520861">
        <w:rPr>
          <w:rFonts w:eastAsia="Calibri"/>
          <w:b/>
          <w:bCs/>
          <w:sz w:val="28"/>
          <w:szCs w:val="28"/>
          <w:lang w:eastAsia="en-US"/>
        </w:rPr>
        <w:t>гландулоцитів</w:t>
      </w:r>
      <w:proofErr w:type="spellEnd"/>
      <w:r w:rsidRPr="00520861">
        <w:rPr>
          <w:rFonts w:eastAsia="Calibri"/>
          <w:b/>
          <w:bCs/>
          <w:sz w:val="28"/>
          <w:szCs w:val="28"/>
          <w:lang w:eastAsia="en-US"/>
        </w:rPr>
        <w:t xml:space="preserve"> на площі зрізу 750 </w:t>
      </w:r>
      <w:r w:rsidRPr="00520861">
        <w:rPr>
          <w:rFonts w:eastAsia="Calibri"/>
          <w:b/>
          <w:sz w:val="28"/>
          <w:szCs w:val="28"/>
          <w:lang w:eastAsia="en-US"/>
        </w:rPr>
        <w:t>(</w:t>
      </w:r>
      <w:r w:rsidRPr="00520861">
        <w:rPr>
          <w:rFonts w:eastAsia="Calibri"/>
          <w:b/>
          <w:bCs/>
          <w:sz w:val="28"/>
          <w:szCs w:val="28"/>
          <w:lang w:eastAsia="en-US"/>
        </w:rPr>
        <w:t>м</w:t>
      </w:r>
      <w:r w:rsidRPr="00520861">
        <w:rPr>
          <w:rFonts w:eastAsia="Calibri"/>
          <w:b/>
          <w:bCs/>
          <w:sz w:val="28"/>
          <w:szCs w:val="28"/>
          <w:vertAlign w:val="superscript"/>
          <w:lang w:eastAsia="en-US"/>
        </w:rPr>
        <w:t xml:space="preserve">2 </w:t>
      </w:r>
      <w:r w:rsidRPr="00520861">
        <w:rPr>
          <w:rFonts w:eastAsia="Calibri"/>
          <w:b/>
          <w:bCs/>
          <w:sz w:val="28"/>
          <w:szCs w:val="28"/>
          <w:lang w:eastAsia="en-US"/>
        </w:rPr>
        <w:t>×10</w:t>
      </w:r>
      <w:r w:rsidRPr="00520861">
        <w:rPr>
          <w:rFonts w:eastAsia="Calibri"/>
          <w:b/>
          <w:bCs/>
          <w:sz w:val="28"/>
          <w:szCs w:val="28"/>
          <w:vertAlign w:val="superscript"/>
          <w:lang w:eastAsia="en-US"/>
        </w:rPr>
        <w:t>12</w:t>
      </w:r>
      <w:r w:rsidRPr="00520861">
        <w:rPr>
          <w:rFonts w:eastAsia="Calibri"/>
          <w:b/>
          <w:bCs/>
          <w:sz w:val="28"/>
          <w:szCs w:val="28"/>
          <w:lang w:eastAsia="en-US"/>
        </w:rPr>
        <w:t>)</w:t>
      </w:r>
      <w:r w:rsidRPr="00520861">
        <w:rPr>
          <w:rFonts w:eastAsia="Calibri"/>
          <w:b/>
          <w:bCs/>
          <w:sz w:val="28"/>
          <w:szCs w:val="28"/>
          <w:vertAlign w:val="superscript"/>
          <w:lang w:eastAsia="en-US"/>
        </w:rPr>
        <w:t xml:space="preserve"> </w:t>
      </w:r>
      <w:r w:rsidRPr="00520861">
        <w:rPr>
          <w:rFonts w:eastAsia="Calibri"/>
          <w:b/>
          <w:bCs/>
          <w:sz w:val="28"/>
          <w:szCs w:val="28"/>
          <w:lang w:eastAsia="en-US"/>
        </w:rPr>
        <w:t>у 6-місячних експериментальних тварин</w:t>
      </w:r>
    </w:p>
    <w:tbl>
      <w:tblPr>
        <w:tblW w:w="980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9"/>
        <w:gridCol w:w="1871"/>
        <w:gridCol w:w="3261"/>
        <w:gridCol w:w="3288"/>
      </w:tblGrid>
      <w:tr w:rsidR="00CF641C" w:rsidRPr="00520861" w14:paraId="701585D3" w14:textId="77777777" w:rsidTr="00292D2E">
        <w:tc>
          <w:tcPr>
            <w:tcW w:w="1389" w:type="dxa"/>
            <w:vAlign w:val="center"/>
          </w:tcPr>
          <w:p w14:paraId="704C9653" w14:textId="77777777" w:rsidR="00CF641C" w:rsidRPr="00520861" w:rsidRDefault="00CF641C" w:rsidP="00292D2E">
            <w:pPr>
              <w:widowControl w:val="0"/>
              <w:spacing w:line="360" w:lineRule="auto"/>
              <w:rPr>
                <w:rFonts w:eastAsia="Calibri"/>
                <w:sz w:val="28"/>
                <w:szCs w:val="28"/>
              </w:rPr>
            </w:pPr>
            <w:r w:rsidRPr="00520861">
              <w:rPr>
                <w:rFonts w:eastAsia="Calibri"/>
                <w:sz w:val="28"/>
                <w:szCs w:val="28"/>
              </w:rPr>
              <w:t>Групи</w:t>
            </w:r>
          </w:p>
        </w:tc>
        <w:tc>
          <w:tcPr>
            <w:tcW w:w="1871" w:type="dxa"/>
            <w:vAlign w:val="center"/>
          </w:tcPr>
          <w:p w14:paraId="452FD4A7"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Маса слинних залоз</w:t>
            </w:r>
          </w:p>
        </w:tc>
        <w:tc>
          <w:tcPr>
            <w:tcW w:w="3261" w:type="dxa"/>
            <w:vAlign w:val="center"/>
          </w:tcPr>
          <w:p w14:paraId="56FDF717" w14:textId="77777777" w:rsidR="00CF641C" w:rsidRPr="00520861" w:rsidRDefault="00CF641C" w:rsidP="00292D2E">
            <w:pPr>
              <w:widowControl w:val="0"/>
              <w:spacing w:line="360" w:lineRule="auto"/>
              <w:ind w:right="-136" w:hanging="78"/>
              <w:jc w:val="center"/>
              <w:rPr>
                <w:rFonts w:eastAsia="Calibri"/>
                <w:sz w:val="28"/>
                <w:szCs w:val="28"/>
              </w:rPr>
            </w:pPr>
            <w:r w:rsidRPr="00520861">
              <w:rPr>
                <w:rFonts w:eastAsia="Calibri"/>
                <w:sz w:val="28"/>
                <w:szCs w:val="28"/>
              </w:rPr>
              <w:t>Відношення маси слинних залоз до маси тіла (%)</w:t>
            </w:r>
          </w:p>
        </w:tc>
        <w:tc>
          <w:tcPr>
            <w:tcW w:w="3288" w:type="dxa"/>
            <w:vAlign w:val="center"/>
          </w:tcPr>
          <w:p w14:paraId="67FD00D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Кількість </w:t>
            </w:r>
            <w:proofErr w:type="spellStart"/>
            <w:r w:rsidRPr="00520861">
              <w:rPr>
                <w:rFonts w:eastAsia="Calibri"/>
                <w:sz w:val="28"/>
                <w:szCs w:val="28"/>
              </w:rPr>
              <w:t>сероцитів</w:t>
            </w:r>
            <w:proofErr w:type="spellEnd"/>
            <w:r w:rsidRPr="00520861">
              <w:rPr>
                <w:rFonts w:eastAsia="Calibri"/>
                <w:sz w:val="28"/>
                <w:szCs w:val="28"/>
              </w:rPr>
              <w:t xml:space="preserve"> на площі зрізу (екземпляри)</w:t>
            </w:r>
          </w:p>
        </w:tc>
      </w:tr>
      <w:tr w:rsidR="00CF641C" w:rsidRPr="00520861" w14:paraId="20778F00" w14:textId="77777777" w:rsidTr="00292D2E">
        <w:tc>
          <w:tcPr>
            <w:tcW w:w="1389" w:type="dxa"/>
          </w:tcPr>
          <w:p w14:paraId="04BBF46E" w14:textId="77777777" w:rsidR="00CF641C" w:rsidRPr="00520861" w:rsidRDefault="00CF641C" w:rsidP="00292D2E">
            <w:pPr>
              <w:widowControl w:val="0"/>
              <w:spacing w:line="360" w:lineRule="auto"/>
              <w:rPr>
                <w:rFonts w:eastAsia="Calibri"/>
                <w:sz w:val="28"/>
                <w:szCs w:val="28"/>
              </w:rPr>
            </w:pPr>
            <w:r w:rsidRPr="00520861">
              <w:rPr>
                <w:rFonts w:eastAsia="Calibri"/>
                <w:sz w:val="28"/>
                <w:szCs w:val="28"/>
              </w:rPr>
              <w:t xml:space="preserve">Контроль </w:t>
            </w:r>
          </w:p>
        </w:tc>
        <w:tc>
          <w:tcPr>
            <w:tcW w:w="1871" w:type="dxa"/>
          </w:tcPr>
          <w:p w14:paraId="399CCE58"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5,</w:t>
            </w:r>
            <w:proofErr w:type="gramStart"/>
            <w:r w:rsidRPr="00520861">
              <w:rPr>
                <w:rFonts w:eastAsia="Calibri"/>
                <w:sz w:val="28"/>
                <w:szCs w:val="28"/>
                <w:lang w:val="ru-RU" w:eastAsia="en-US"/>
              </w:rPr>
              <w:t>30</w:t>
            </w:r>
            <w:r w:rsidRPr="00520861">
              <w:rPr>
                <w:rFonts w:eastAsia="Calibri"/>
                <w:sz w:val="28"/>
                <w:szCs w:val="28"/>
                <w:lang w:eastAsia="en-US"/>
              </w:rPr>
              <w:t xml:space="preserve">  </w:t>
            </w:r>
            <w:r w:rsidRPr="00520861">
              <w:rPr>
                <w:rFonts w:eastAsia="Calibri"/>
                <w:sz w:val="28"/>
                <w:szCs w:val="28"/>
                <w:lang w:val="ru-RU" w:eastAsia="en-US"/>
              </w:rPr>
              <w:t>(</w:t>
            </w:r>
            <w:proofErr w:type="gramEnd"/>
            <w:r w:rsidRPr="00520861">
              <w:rPr>
                <w:rFonts w:eastAsia="Calibri"/>
                <w:sz w:val="28"/>
                <w:szCs w:val="28"/>
                <w:lang w:val="ru-RU" w:eastAsia="en-US"/>
              </w:rPr>
              <w:t>6,</w:t>
            </w:r>
            <w:r w:rsidRPr="00520861">
              <w:rPr>
                <w:rFonts w:eastAsia="Calibri"/>
                <w:sz w:val="28"/>
                <w:szCs w:val="28"/>
                <w:lang w:val="en-US" w:eastAsia="en-US"/>
              </w:rPr>
              <w:t>0;</w:t>
            </w:r>
            <w:r w:rsidRPr="00520861">
              <w:rPr>
                <w:rFonts w:eastAsia="Calibri"/>
                <w:sz w:val="28"/>
                <w:szCs w:val="28"/>
                <w:lang w:val="ru-RU" w:eastAsia="en-US"/>
              </w:rPr>
              <w:t>4,9)</w:t>
            </w:r>
          </w:p>
        </w:tc>
        <w:tc>
          <w:tcPr>
            <w:tcW w:w="3261" w:type="dxa"/>
          </w:tcPr>
          <w:p w14:paraId="4FA4CA27"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0,034</w:t>
            </w:r>
            <w:r w:rsidRPr="00520861">
              <w:rPr>
                <w:rFonts w:eastAsia="Calibri"/>
                <w:sz w:val="28"/>
                <w:szCs w:val="28"/>
                <w:lang w:eastAsia="en-US"/>
              </w:rPr>
              <w:t xml:space="preserve"> </w:t>
            </w:r>
            <w:r w:rsidRPr="00520861">
              <w:rPr>
                <w:rFonts w:eastAsia="Calibri"/>
                <w:sz w:val="28"/>
                <w:szCs w:val="28"/>
                <w:lang w:val="ru-RU" w:eastAsia="en-US"/>
              </w:rPr>
              <w:t>(0,036</w:t>
            </w:r>
            <w:r w:rsidRPr="00520861">
              <w:rPr>
                <w:rFonts w:eastAsia="Calibri"/>
                <w:sz w:val="28"/>
                <w:szCs w:val="28"/>
                <w:lang w:val="en-US" w:eastAsia="en-US"/>
              </w:rPr>
              <w:t>;</w:t>
            </w:r>
            <w:r w:rsidRPr="00520861">
              <w:rPr>
                <w:rFonts w:eastAsia="Calibri"/>
                <w:sz w:val="28"/>
                <w:szCs w:val="28"/>
                <w:lang w:val="ru-RU" w:eastAsia="en-US"/>
              </w:rPr>
              <w:t>0,033)</w:t>
            </w:r>
          </w:p>
        </w:tc>
        <w:tc>
          <w:tcPr>
            <w:tcW w:w="3288" w:type="dxa"/>
          </w:tcPr>
          <w:p w14:paraId="7FEC1F3E"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115</w:t>
            </w:r>
            <w:r w:rsidRPr="00520861">
              <w:rPr>
                <w:rFonts w:eastAsia="Calibri"/>
                <w:sz w:val="28"/>
                <w:szCs w:val="28"/>
                <w:lang w:eastAsia="en-US"/>
              </w:rPr>
              <w:t xml:space="preserve"> </w:t>
            </w:r>
            <w:r w:rsidRPr="00520861">
              <w:rPr>
                <w:rFonts w:eastAsia="Calibri"/>
                <w:sz w:val="28"/>
                <w:szCs w:val="28"/>
                <w:lang w:val="ru-RU" w:eastAsia="en-US"/>
              </w:rPr>
              <w:t>(130</w:t>
            </w:r>
            <w:r w:rsidRPr="00520861">
              <w:rPr>
                <w:rFonts w:eastAsia="Calibri"/>
                <w:sz w:val="28"/>
                <w:szCs w:val="28"/>
                <w:lang w:val="en-US" w:eastAsia="en-US"/>
              </w:rPr>
              <w:t>;</w:t>
            </w:r>
            <w:r w:rsidRPr="00520861">
              <w:rPr>
                <w:rFonts w:eastAsia="Calibri"/>
                <w:sz w:val="28"/>
                <w:szCs w:val="28"/>
                <w:lang w:val="ru-RU" w:eastAsia="en-US"/>
              </w:rPr>
              <w:t>111)</w:t>
            </w:r>
          </w:p>
        </w:tc>
      </w:tr>
      <w:tr w:rsidR="00CF641C" w:rsidRPr="00520861" w14:paraId="1555339D" w14:textId="77777777" w:rsidTr="00292D2E">
        <w:tc>
          <w:tcPr>
            <w:tcW w:w="1389" w:type="dxa"/>
            <w:tcBorders>
              <w:top w:val="single" w:sz="4" w:space="0" w:color="auto"/>
              <w:left w:val="single" w:sz="4" w:space="0" w:color="auto"/>
              <w:bottom w:val="single" w:sz="4" w:space="0" w:color="auto"/>
              <w:right w:val="single" w:sz="4" w:space="0" w:color="auto"/>
            </w:tcBorders>
          </w:tcPr>
          <w:p w14:paraId="25B5C80C"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1 </w:t>
            </w:r>
          </w:p>
        </w:tc>
        <w:tc>
          <w:tcPr>
            <w:tcW w:w="1871" w:type="dxa"/>
          </w:tcPr>
          <w:p w14:paraId="49C82E0E"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5,45</w:t>
            </w:r>
            <w:r w:rsidRPr="00520861">
              <w:rPr>
                <w:rFonts w:eastAsia="Calibri"/>
                <w:sz w:val="28"/>
                <w:szCs w:val="28"/>
                <w:lang w:eastAsia="en-US"/>
              </w:rPr>
              <w:t xml:space="preserve"> </w:t>
            </w:r>
            <w:r w:rsidRPr="00520861">
              <w:rPr>
                <w:rFonts w:eastAsia="Calibri"/>
                <w:sz w:val="28"/>
                <w:szCs w:val="28"/>
                <w:lang w:val="ru-RU" w:eastAsia="en-US"/>
              </w:rPr>
              <w:t>(7,9</w:t>
            </w:r>
            <w:r w:rsidRPr="00520861">
              <w:rPr>
                <w:rFonts w:eastAsia="Calibri"/>
                <w:sz w:val="28"/>
                <w:szCs w:val="28"/>
                <w:lang w:val="en-US" w:eastAsia="en-US"/>
              </w:rPr>
              <w:t>;</w:t>
            </w:r>
            <w:r w:rsidRPr="00520861">
              <w:rPr>
                <w:rFonts w:eastAsia="Calibri"/>
                <w:sz w:val="28"/>
                <w:szCs w:val="28"/>
                <w:lang w:val="ru-RU" w:eastAsia="en-US"/>
              </w:rPr>
              <w:t>4,7)</w:t>
            </w:r>
          </w:p>
        </w:tc>
        <w:tc>
          <w:tcPr>
            <w:tcW w:w="3261" w:type="dxa"/>
          </w:tcPr>
          <w:p w14:paraId="1F9BA3AF"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0,032</w:t>
            </w:r>
            <w:r w:rsidRPr="00520861">
              <w:rPr>
                <w:rFonts w:eastAsia="Calibri"/>
                <w:sz w:val="28"/>
                <w:szCs w:val="28"/>
                <w:lang w:eastAsia="en-US"/>
              </w:rPr>
              <w:t xml:space="preserve"> </w:t>
            </w:r>
            <w:r w:rsidRPr="00520861">
              <w:rPr>
                <w:rFonts w:eastAsia="Calibri"/>
                <w:sz w:val="28"/>
                <w:szCs w:val="28"/>
                <w:lang w:val="ru-RU" w:eastAsia="en-US"/>
              </w:rPr>
              <w:t>(0,033</w:t>
            </w:r>
            <w:r w:rsidRPr="00520861">
              <w:rPr>
                <w:rFonts w:eastAsia="Calibri"/>
                <w:sz w:val="28"/>
                <w:szCs w:val="28"/>
                <w:lang w:val="en-US" w:eastAsia="en-US"/>
              </w:rPr>
              <w:t>;</w:t>
            </w:r>
            <w:r w:rsidRPr="00520861">
              <w:rPr>
                <w:rFonts w:eastAsia="Calibri"/>
                <w:sz w:val="28"/>
                <w:szCs w:val="28"/>
                <w:lang w:val="ru-RU" w:eastAsia="en-US"/>
              </w:rPr>
              <w:t>0,030)</w:t>
            </w:r>
          </w:p>
        </w:tc>
        <w:tc>
          <w:tcPr>
            <w:tcW w:w="3288" w:type="dxa"/>
          </w:tcPr>
          <w:p w14:paraId="30E326D3" w14:textId="77777777" w:rsidR="00CF641C" w:rsidRPr="00520861" w:rsidRDefault="00CF641C" w:rsidP="00292D2E">
            <w:pPr>
              <w:widowControl w:val="0"/>
              <w:spacing w:line="360" w:lineRule="auto"/>
              <w:jc w:val="center"/>
              <w:rPr>
                <w:rFonts w:eastAsia="Calibri"/>
                <w:sz w:val="28"/>
                <w:szCs w:val="28"/>
                <w:lang w:val="en-US"/>
              </w:rPr>
            </w:pPr>
            <w:r w:rsidRPr="00520861">
              <w:rPr>
                <w:rFonts w:eastAsia="Calibri"/>
                <w:sz w:val="28"/>
                <w:szCs w:val="28"/>
                <w:lang w:val="ru-RU" w:eastAsia="en-US"/>
              </w:rPr>
              <w:t>142</w:t>
            </w:r>
            <w:proofErr w:type="gramStart"/>
            <w:r w:rsidRPr="00520861">
              <w:rPr>
                <w:rFonts w:eastAsia="Calibri"/>
                <w:sz w:val="28"/>
                <w:szCs w:val="28"/>
                <w:lang w:eastAsia="en-US"/>
              </w:rPr>
              <w:t>*</w:t>
            </w:r>
            <w:r w:rsidRPr="00520861">
              <w:rPr>
                <w:rFonts w:eastAsia="Calibri"/>
                <w:sz w:val="28"/>
                <w:szCs w:val="28"/>
                <w:lang w:val="ru-RU"/>
              </w:rPr>
              <w:t xml:space="preserve"> </w:t>
            </w:r>
            <w:r w:rsidRPr="00520861">
              <w:rPr>
                <w:rFonts w:eastAsia="Calibri"/>
                <w:sz w:val="28"/>
                <w:szCs w:val="28"/>
                <w:lang w:val="ru-RU" w:eastAsia="en-US"/>
              </w:rPr>
              <w:t xml:space="preserve"> (</w:t>
            </w:r>
            <w:proofErr w:type="gramEnd"/>
            <w:r w:rsidRPr="00520861">
              <w:rPr>
                <w:rFonts w:eastAsia="Calibri"/>
                <w:sz w:val="28"/>
                <w:szCs w:val="28"/>
                <w:lang w:val="ru-RU" w:eastAsia="en-US"/>
              </w:rPr>
              <w:t>156</w:t>
            </w:r>
            <w:r w:rsidRPr="00520861">
              <w:rPr>
                <w:rFonts w:eastAsia="Calibri"/>
                <w:sz w:val="28"/>
                <w:szCs w:val="28"/>
                <w:lang w:val="en-US" w:eastAsia="en-US"/>
              </w:rPr>
              <w:t>;</w:t>
            </w:r>
            <w:r w:rsidRPr="00520861">
              <w:rPr>
                <w:rFonts w:eastAsia="Calibri"/>
                <w:sz w:val="28"/>
                <w:szCs w:val="28"/>
                <w:lang w:val="ru-RU" w:eastAsia="en-US"/>
              </w:rPr>
              <w:t>133)</w:t>
            </w:r>
            <w:r w:rsidRPr="00520861">
              <w:rPr>
                <w:rFonts w:eastAsia="Calibri"/>
                <w:sz w:val="28"/>
                <w:szCs w:val="28"/>
                <w:lang w:eastAsia="en-US"/>
              </w:rPr>
              <w:t>,</w:t>
            </w:r>
            <w:r w:rsidRPr="00520861">
              <w:rPr>
                <w:rFonts w:eastAsia="Calibri"/>
                <w:sz w:val="28"/>
                <w:szCs w:val="28"/>
              </w:rPr>
              <w:t xml:space="preserve"> </w:t>
            </w:r>
            <w:r w:rsidRPr="00520861">
              <w:rPr>
                <w:i/>
                <w:sz w:val="28"/>
                <w:szCs w:val="28"/>
                <w:lang w:val="en-US"/>
              </w:rPr>
              <w:t>p</w:t>
            </w:r>
            <w:r w:rsidRPr="00520861">
              <w:rPr>
                <w:sz w:val="28"/>
                <w:szCs w:val="28"/>
                <w:lang w:val="en-US"/>
              </w:rPr>
              <w:t>=</w:t>
            </w:r>
            <w:r w:rsidRPr="00520861">
              <w:rPr>
                <w:sz w:val="28"/>
                <w:szCs w:val="28"/>
                <w:lang w:val="ru-RU"/>
              </w:rPr>
              <w:t>0,042</w:t>
            </w:r>
          </w:p>
        </w:tc>
      </w:tr>
      <w:tr w:rsidR="00CF641C" w:rsidRPr="00520861" w14:paraId="61C61F60" w14:textId="77777777" w:rsidTr="00292D2E">
        <w:tc>
          <w:tcPr>
            <w:tcW w:w="1389" w:type="dxa"/>
            <w:tcBorders>
              <w:top w:val="single" w:sz="4" w:space="0" w:color="auto"/>
              <w:left w:val="single" w:sz="4" w:space="0" w:color="auto"/>
              <w:bottom w:val="single" w:sz="4" w:space="0" w:color="auto"/>
              <w:right w:val="single" w:sz="4" w:space="0" w:color="auto"/>
            </w:tcBorders>
          </w:tcPr>
          <w:p w14:paraId="00A9C20A"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ru-RU"/>
              </w:rPr>
              <w:t xml:space="preserve"> 2</w:t>
            </w:r>
            <w:r w:rsidRPr="00520861">
              <w:rPr>
                <w:sz w:val="28"/>
                <w:szCs w:val="28"/>
              </w:rPr>
              <w:t xml:space="preserve"> </w:t>
            </w:r>
          </w:p>
        </w:tc>
        <w:tc>
          <w:tcPr>
            <w:tcW w:w="1871" w:type="dxa"/>
          </w:tcPr>
          <w:p w14:paraId="0B85AF5C"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6,45</w:t>
            </w:r>
            <w:r w:rsidRPr="00520861">
              <w:rPr>
                <w:rFonts w:eastAsia="Calibri"/>
                <w:sz w:val="28"/>
                <w:szCs w:val="28"/>
                <w:lang w:eastAsia="en-US"/>
              </w:rPr>
              <w:t xml:space="preserve"> </w:t>
            </w:r>
            <w:r w:rsidRPr="00520861">
              <w:rPr>
                <w:rFonts w:eastAsia="Calibri"/>
                <w:sz w:val="28"/>
                <w:szCs w:val="28"/>
                <w:lang w:val="ru-RU" w:eastAsia="en-US"/>
              </w:rPr>
              <w:t>(7,7</w:t>
            </w:r>
            <w:r w:rsidRPr="00520861">
              <w:rPr>
                <w:rFonts w:eastAsia="Calibri"/>
                <w:sz w:val="28"/>
                <w:szCs w:val="28"/>
                <w:lang w:val="en-US" w:eastAsia="en-US"/>
              </w:rPr>
              <w:t>;</w:t>
            </w:r>
            <w:r w:rsidRPr="00520861">
              <w:rPr>
                <w:rFonts w:eastAsia="Calibri"/>
                <w:sz w:val="28"/>
                <w:szCs w:val="28"/>
                <w:lang w:val="ru-RU" w:eastAsia="en-US"/>
              </w:rPr>
              <w:t>4,6)</w:t>
            </w:r>
          </w:p>
        </w:tc>
        <w:tc>
          <w:tcPr>
            <w:tcW w:w="3261" w:type="dxa"/>
          </w:tcPr>
          <w:p w14:paraId="22A518F8"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0,029</w:t>
            </w:r>
            <w:r w:rsidRPr="00520861">
              <w:rPr>
                <w:rFonts w:eastAsia="Calibri"/>
                <w:sz w:val="28"/>
                <w:szCs w:val="28"/>
                <w:lang w:eastAsia="en-US"/>
              </w:rPr>
              <w:t xml:space="preserve"> </w:t>
            </w:r>
            <w:r w:rsidRPr="00520861">
              <w:rPr>
                <w:rFonts w:eastAsia="Calibri"/>
                <w:sz w:val="28"/>
                <w:szCs w:val="28"/>
                <w:lang w:val="ru-RU" w:eastAsia="en-US"/>
              </w:rPr>
              <w:t>(0,032</w:t>
            </w:r>
            <w:r w:rsidRPr="00520861">
              <w:rPr>
                <w:rFonts w:eastAsia="Calibri"/>
                <w:sz w:val="28"/>
                <w:szCs w:val="28"/>
                <w:lang w:val="en-US" w:eastAsia="en-US"/>
              </w:rPr>
              <w:t>;</w:t>
            </w:r>
            <w:r w:rsidRPr="00520861">
              <w:rPr>
                <w:rFonts w:eastAsia="Calibri"/>
                <w:sz w:val="28"/>
                <w:szCs w:val="28"/>
                <w:lang w:val="ru-RU" w:eastAsia="en-US"/>
              </w:rPr>
              <w:t>0,022)</w:t>
            </w:r>
          </w:p>
        </w:tc>
        <w:tc>
          <w:tcPr>
            <w:tcW w:w="3288" w:type="dxa"/>
          </w:tcPr>
          <w:p w14:paraId="32BB9815" w14:textId="77777777" w:rsidR="00CF641C" w:rsidRPr="00520861" w:rsidRDefault="00CF641C" w:rsidP="00292D2E">
            <w:pPr>
              <w:widowControl w:val="0"/>
              <w:spacing w:line="360" w:lineRule="auto"/>
              <w:jc w:val="center"/>
              <w:rPr>
                <w:rFonts w:eastAsia="Calibri"/>
                <w:sz w:val="28"/>
                <w:szCs w:val="28"/>
                <w:lang w:val="en-US"/>
              </w:rPr>
            </w:pPr>
            <w:r w:rsidRPr="00520861">
              <w:rPr>
                <w:rFonts w:eastAsia="Calibri"/>
                <w:sz w:val="28"/>
                <w:szCs w:val="28"/>
                <w:lang w:val="ru-RU" w:eastAsia="en-US"/>
              </w:rPr>
              <w:t>104</w:t>
            </w:r>
            <w:r w:rsidRPr="00520861">
              <w:rPr>
                <w:rFonts w:eastAsia="Calibri"/>
                <w:sz w:val="28"/>
                <w:szCs w:val="28"/>
                <w:lang w:eastAsia="en-US"/>
              </w:rPr>
              <w:t>*</w:t>
            </w:r>
            <w:r w:rsidRPr="00520861">
              <w:rPr>
                <w:rFonts w:eastAsia="Calibri"/>
                <w:sz w:val="28"/>
                <w:szCs w:val="28"/>
                <w:lang w:val="en-US"/>
              </w:rPr>
              <w:t xml:space="preserve"> </w:t>
            </w:r>
            <w:r w:rsidRPr="00520861">
              <w:rPr>
                <w:rFonts w:eastAsia="Calibri"/>
                <w:sz w:val="28"/>
                <w:szCs w:val="28"/>
                <w:lang w:val="ru-RU" w:eastAsia="en-US"/>
              </w:rPr>
              <w:t>(105</w:t>
            </w:r>
            <w:r w:rsidRPr="00520861">
              <w:rPr>
                <w:rFonts w:eastAsia="Calibri"/>
                <w:sz w:val="28"/>
                <w:szCs w:val="28"/>
                <w:lang w:val="en-US" w:eastAsia="en-US"/>
              </w:rPr>
              <w:t>;</w:t>
            </w:r>
            <w:r w:rsidRPr="00520861">
              <w:rPr>
                <w:rFonts w:eastAsia="Calibri"/>
                <w:sz w:val="28"/>
                <w:szCs w:val="28"/>
                <w:lang w:val="ru-RU" w:eastAsia="en-US"/>
              </w:rPr>
              <w:t>102)</w:t>
            </w:r>
            <w:r w:rsidRPr="00520861">
              <w:rPr>
                <w:rFonts w:eastAsia="Calibri"/>
                <w:sz w:val="28"/>
                <w:szCs w:val="28"/>
                <w:lang w:eastAsia="en-US"/>
              </w:rPr>
              <w:t>,</w:t>
            </w:r>
            <w:r w:rsidRPr="00520861">
              <w:rPr>
                <w:rFonts w:eastAsia="Calibri"/>
                <w:sz w:val="28"/>
                <w:szCs w:val="28"/>
              </w:rPr>
              <w:t xml:space="preserve"> </w:t>
            </w:r>
            <w:r w:rsidRPr="00520861">
              <w:rPr>
                <w:i/>
                <w:sz w:val="28"/>
                <w:szCs w:val="28"/>
                <w:lang w:val="en-US"/>
              </w:rPr>
              <w:t>p</w:t>
            </w:r>
            <w:r w:rsidRPr="00520861">
              <w:rPr>
                <w:sz w:val="28"/>
                <w:szCs w:val="28"/>
                <w:lang w:val="en-US"/>
              </w:rPr>
              <w:t>=</w:t>
            </w:r>
            <w:r w:rsidRPr="00520861">
              <w:rPr>
                <w:rFonts w:eastAsia="Calibri"/>
                <w:sz w:val="28"/>
                <w:szCs w:val="28"/>
                <w:lang w:val="en-US"/>
              </w:rPr>
              <w:t>0</w:t>
            </w:r>
            <w:r w:rsidRPr="00520861">
              <w:rPr>
                <w:rFonts w:eastAsia="Calibri"/>
                <w:sz w:val="28"/>
                <w:szCs w:val="28"/>
              </w:rPr>
              <w:t>,</w:t>
            </w:r>
            <w:r w:rsidRPr="00520861">
              <w:rPr>
                <w:rFonts w:eastAsia="Calibri"/>
                <w:sz w:val="28"/>
                <w:szCs w:val="28"/>
                <w:lang w:val="en-US"/>
              </w:rPr>
              <w:t>015</w:t>
            </w:r>
          </w:p>
        </w:tc>
      </w:tr>
      <w:tr w:rsidR="00CF641C" w:rsidRPr="00520861" w14:paraId="736290C7" w14:textId="77777777" w:rsidTr="00292D2E">
        <w:tc>
          <w:tcPr>
            <w:tcW w:w="1389" w:type="dxa"/>
            <w:tcBorders>
              <w:top w:val="single" w:sz="4" w:space="0" w:color="auto"/>
              <w:left w:val="single" w:sz="4" w:space="0" w:color="auto"/>
              <w:bottom w:val="single" w:sz="4" w:space="0" w:color="auto"/>
              <w:right w:val="single" w:sz="4" w:space="0" w:color="auto"/>
            </w:tcBorders>
          </w:tcPr>
          <w:p w14:paraId="08AEA1D9" w14:textId="77777777" w:rsidR="00CF641C" w:rsidRPr="00520861" w:rsidRDefault="00CF641C" w:rsidP="00292D2E">
            <w:pPr>
              <w:widowControl w:val="0"/>
              <w:spacing w:line="360" w:lineRule="auto"/>
              <w:jc w:val="both"/>
              <w:rPr>
                <w:sz w:val="28"/>
                <w:szCs w:val="28"/>
              </w:rPr>
            </w:pPr>
            <w:r w:rsidRPr="00520861">
              <w:rPr>
                <w:sz w:val="28"/>
                <w:szCs w:val="28"/>
                <w:lang w:val="ru-RU"/>
              </w:rPr>
              <w:t>Г</w:t>
            </w:r>
            <w:proofErr w:type="spellStart"/>
            <w:r w:rsidRPr="00520861">
              <w:rPr>
                <w:sz w:val="28"/>
                <w:szCs w:val="28"/>
              </w:rPr>
              <w:t>рупа</w:t>
            </w:r>
            <w:proofErr w:type="spellEnd"/>
            <w:r w:rsidRPr="00520861">
              <w:rPr>
                <w:sz w:val="28"/>
                <w:szCs w:val="28"/>
                <w:lang w:val="ru-RU"/>
              </w:rPr>
              <w:t xml:space="preserve"> </w:t>
            </w:r>
            <w:r w:rsidRPr="00520861">
              <w:rPr>
                <w:sz w:val="28"/>
                <w:szCs w:val="28"/>
              </w:rPr>
              <w:t>3</w:t>
            </w:r>
            <w:r w:rsidRPr="00520861">
              <w:rPr>
                <w:sz w:val="28"/>
                <w:szCs w:val="28"/>
                <w:lang w:val="ru-RU"/>
              </w:rPr>
              <w:t xml:space="preserve"> </w:t>
            </w:r>
          </w:p>
        </w:tc>
        <w:tc>
          <w:tcPr>
            <w:tcW w:w="1871" w:type="dxa"/>
          </w:tcPr>
          <w:p w14:paraId="2E83B649"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4,75</w:t>
            </w:r>
            <w:r w:rsidRPr="00520861">
              <w:rPr>
                <w:rFonts w:eastAsia="Calibri"/>
                <w:sz w:val="28"/>
                <w:szCs w:val="28"/>
                <w:lang w:eastAsia="en-US"/>
              </w:rPr>
              <w:t xml:space="preserve"> </w:t>
            </w:r>
            <w:r w:rsidRPr="00520861">
              <w:rPr>
                <w:rFonts w:eastAsia="Calibri"/>
                <w:sz w:val="28"/>
                <w:szCs w:val="28"/>
                <w:lang w:val="ru-RU" w:eastAsia="en-US"/>
              </w:rPr>
              <w:t>(6,1</w:t>
            </w:r>
            <w:r w:rsidRPr="00520861">
              <w:rPr>
                <w:rFonts w:eastAsia="Calibri"/>
                <w:sz w:val="28"/>
                <w:szCs w:val="28"/>
                <w:lang w:val="en-US" w:eastAsia="en-US"/>
              </w:rPr>
              <w:t>;</w:t>
            </w:r>
            <w:r w:rsidRPr="00520861">
              <w:rPr>
                <w:rFonts w:eastAsia="Calibri"/>
                <w:sz w:val="28"/>
                <w:szCs w:val="28"/>
                <w:lang w:val="ru-RU" w:eastAsia="en-US"/>
              </w:rPr>
              <w:t>4,1)</w:t>
            </w:r>
          </w:p>
        </w:tc>
        <w:tc>
          <w:tcPr>
            <w:tcW w:w="3261" w:type="dxa"/>
          </w:tcPr>
          <w:p w14:paraId="0DF4C7B1"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0,025</w:t>
            </w:r>
            <w:r w:rsidRPr="00520861">
              <w:rPr>
                <w:rFonts w:eastAsia="Calibri"/>
                <w:sz w:val="28"/>
                <w:szCs w:val="28"/>
                <w:lang w:eastAsia="en-US"/>
              </w:rPr>
              <w:t xml:space="preserve"> </w:t>
            </w:r>
            <w:r w:rsidRPr="00520861">
              <w:rPr>
                <w:rFonts w:eastAsia="Calibri"/>
                <w:sz w:val="28"/>
                <w:szCs w:val="28"/>
                <w:lang w:val="ru-RU" w:eastAsia="en-US"/>
              </w:rPr>
              <w:t>(0,028</w:t>
            </w:r>
            <w:r w:rsidRPr="00520861">
              <w:rPr>
                <w:rFonts w:eastAsia="Calibri"/>
                <w:sz w:val="28"/>
                <w:szCs w:val="28"/>
                <w:lang w:val="en-US" w:eastAsia="en-US"/>
              </w:rPr>
              <w:t>;</w:t>
            </w:r>
            <w:r w:rsidRPr="00520861">
              <w:rPr>
                <w:rFonts w:eastAsia="Calibri"/>
                <w:sz w:val="28"/>
                <w:szCs w:val="28"/>
                <w:lang w:val="ru-RU" w:eastAsia="en-US"/>
              </w:rPr>
              <w:t>0,024)</w:t>
            </w:r>
          </w:p>
        </w:tc>
        <w:tc>
          <w:tcPr>
            <w:tcW w:w="3288" w:type="dxa"/>
          </w:tcPr>
          <w:p w14:paraId="029D9B7C"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137</w:t>
            </w:r>
            <w:r w:rsidRPr="00520861">
              <w:rPr>
                <w:rFonts w:eastAsia="Calibri"/>
                <w:sz w:val="28"/>
                <w:szCs w:val="28"/>
                <w:lang w:eastAsia="en-US"/>
              </w:rPr>
              <w:t xml:space="preserve"> </w:t>
            </w:r>
            <w:r w:rsidRPr="00520861">
              <w:rPr>
                <w:rFonts w:eastAsia="Calibri"/>
                <w:sz w:val="28"/>
                <w:szCs w:val="28"/>
                <w:lang w:val="ru-RU" w:eastAsia="en-US"/>
              </w:rPr>
              <w:t>(150</w:t>
            </w:r>
            <w:r w:rsidRPr="00520861">
              <w:rPr>
                <w:rFonts w:eastAsia="Calibri"/>
                <w:sz w:val="28"/>
                <w:szCs w:val="28"/>
                <w:lang w:val="en-US" w:eastAsia="en-US"/>
              </w:rPr>
              <w:t>;</w:t>
            </w:r>
            <w:r w:rsidRPr="00520861">
              <w:rPr>
                <w:rFonts w:eastAsia="Calibri"/>
                <w:sz w:val="28"/>
                <w:szCs w:val="28"/>
                <w:lang w:val="ru-RU" w:eastAsia="en-US"/>
              </w:rPr>
              <w:t>122)</w:t>
            </w:r>
          </w:p>
        </w:tc>
      </w:tr>
      <w:tr w:rsidR="00CF641C" w:rsidRPr="00520861" w14:paraId="1DD99CEF" w14:textId="77777777" w:rsidTr="00292D2E">
        <w:tc>
          <w:tcPr>
            <w:tcW w:w="1389" w:type="dxa"/>
            <w:tcBorders>
              <w:top w:val="single" w:sz="4" w:space="0" w:color="auto"/>
              <w:left w:val="single" w:sz="4" w:space="0" w:color="auto"/>
              <w:bottom w:val="single" w:sz="4" w:space="0" w:color="auto"/>
              <w:right w:val="single" w:sz="4" w:space="0" w:color="auto"/>
            </w:tcBorders>
          </w:tcPr>
          <w:p w14:paraId="27590CFF"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4 </w:t>
            </w:r>
          </w:p>
        </w:tc>
        <w:tc>
          <w:tcPr>
            <w:tcW w:w="1871" w:type="dxa"/>
          </w:tcPr>
          <w:p w14:paraId="1E545001"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4,30</w:t>
            </w:r>
            <w:r w:rsidRPr="00520861">
              <w:rPr>
                <w:rFonts w:eastAsia="Calibri"/>
                <w:sz w:val="28"/>
                <w:szCs w:val="28"/>
                <w:lang w:eastAsia="en-US"/>
              </w:rPr>
              <w:t xml:space="preserve"> </w:t>
            </w:r>
            <w:r w:rsidRPr="00520861">
              <w:rPr>
                <w:rFonts w:eastAsia="Calibri"/>
                <w:sz w:val="28"/>
                <w:szCs w:val="28"/>
                <w:lang w:val="ru-RU" w:eastAsia="en-US"/>
              </w:rPr>
              <w:t>(4,7</w:t>
            </w:r>
            <w:r w:rsidRPr="00520861">
              <w:rPr>
                <w:rFonts w:eastAsia="Calibri"/>
                <w:sz w:val="28"/>
                <w:szCs w:val="28"/>
                <w:lang w:val="en-US" w:eastAsia="en-US"/>
              </w:rPr>
              <w:t>;</w:t>
            </w:r>
            <w:r w:rsidRPr="00520861">
              <w:rPr>
                <w:rFonts w:eastAsia="Calibri"/>
                <w:sz w:val="28"/>
                <w:szCs w:val="28"/>
                <w:lang w:val="ru-RU" w:eastAsia="en-US"/>
              </w:rPr>
              <w:t>4,1)</w:t>
            </w:r>
          </w:p>
        </w:tc>
        <w:tc>
          <w:tcPr>
            <w:tcW w:w="3261" w:type="dxa"/>
          </w:tcPr>
          <w:p w14:paraId="238E0723"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0,028</w:t>
            </w:r>
            <w:r w:rsidRPr="00520861">
              <w:rPr>
                <w:rFonts w:eastAsia="Calibri"/>
                <w:sz w:val="28"/>
                <w:szCs w:val="28"/>
                <w:lang w:eastAsia="en-US"/>
              </w:rPr>
              <w:t xml:space="preserve"> </w:t>
            </w:r>
            <w:r w:rsidRPr="00520861">
              <w:rPr>
                <w:rFonts w:eastAsia="Calibri"/>
                <w:sz w:val="28"/>
                <w:szCs w:val="28"/>
                <w:lang w:val="ru-RU" w:eastAsia="en-US"/>
              </w:rPr>
              <w:t>(0,029</w:t>
            </w:r>
            <w:r w:rsidRPr="00520861">
              <w:rPr>
                <w:rFonts w:eastAsia="Calibri"/>
                <w:sz w:val="28"/>
                <w:szCs w:val="28"/>
                <w:lang w:val="en-US" w:eastAsia="en-US"/>
              </w:rPr>
              <w:t>;</w:t>
            </w:r>
            <w:r w:rsidRPr="00520861">
              <w:rPr>
                <w:rFonts w:eastAsia="Calibri"/>
                <w:sz w:val="28"/>
                <w:szCs w:val="28"/>
                <w:lang w:val="ru-RU" w:eastAsia="en-US"/>
              </w:rPr>
              <w:t>0,026)</w:t>
            </w:r>
          </w:p>
        </w:tc>
        <w:tc>
          <w:tcPr>
            <w:tcW w:w="3288" w:type="dxa"/>
          </w:tcPr>
          <w:p w14:paraId="1AB49C37" w14:textId="77777777" w:rsidR="00CF641C" w:rsidRPr="00520861" w:rsidRDefault="00CF641C" w:rsidP="00292D2E">
            <w:pPr>
              <w:widowControl w:val="0"/>
              <w:spacing w:line="360" w:lineRule="auto"/>
              <w:jc w:val="center"/>
              <w:rPr>
                <w:rFonts w:eastAsia="Calibri"/>
                <w:sz w:val="28"/>
                <w:szCs w:val="28"/>
                <w:lang w:val="en-US"/>
              </w:rPr>
            </w:pPr>
            <w:r w:rsidRPr="00520861">
              <w:rPr>
                <w:rFonts w:eastAsia="Calibri"/>
                <w:sz w:val="28"/>
                <w:szCs w:val="28"/>
                <w:lang w:val="ru-RU" w:eastAsia="en-US"/>
              </w:rPr>
              <w:t>138</w:t>
            </w:r>
            <w:proofErr w:type="gramStart"/>
            <w:r w:rsidRPr="00520861">
              <w:rPr>
                <w:rFonts w:eastAsia="Calibri"/>
                <w:sz w:val="28"/>
                <w:szCs w:val="28"/>
                <w:lang w:eastAsia="en-US"/>
              </w:rPr>
              <w:t>*</w:t>
            </w:r>
            <w:r w:rsidRPr="00520861">
              <w:rPr>
                <w:rFonts w:eastAsia="Calibri"/>
                <w:sz w:val="28"/>
                <w:szCs w:val="28"/>
              </w:rPr>
              <w:t xml:space="preserve"> </w:t>
            </w:r>
            <w:r w:rsidRPr="00520861">
              <w:rPr>
                <w:rFonts w:eastAsia="Calibri"/>
                <w:sz w:val="28"/>
                <w:szCs w:val="28"/>
                <w:lang w:val="ru-RU" w:eastAsia="en-US"/>
              </w:rPr>
              <w:t xml:space="preserve"> (</w:t>
            </w:r>
            <w:proofErr w:type="gramEnd"/>
            <w:r w:rsidRPr="00520861">
              <w:rPr>
                <w:rFonts w:eastAsia="Calibri"/>
                <w:sz w:val="28"/>
                <w:szCs w:val="28"/>
                <w:lang w:val="ru-RU" w:eastAsia="en-US"/>
              </w:rPr>
              <w:t>170</w:t>
            </w:r>
            <w:r w:rsidRPr="00520861">
              <w:rPr>
                <w:rFonts w:eastAsia="Calibri"/>
                <w:sz w:val="28"/>
                <w:szCs w:val="28"/>
                <w:lang w:val="en-US" w:eastAsia="en-US"/>
              </w:rPr>
              <w:t>;</w:t>
            </w:r>
            <w:r w:rsidRPr="00520861">
              <w:rPr>
                <w:rFonts w:eastAsia="Calibri"/>
                <w:sz w:val="28"/>
                <w:szCs w:val="28"/>
                <w:lang w:val="ru-RU" w:eastAsia="en-US"/>
              </w:rPr>
              <w:t>134)</w:t>
            </w:r>
            <w:r w:rsidRPr="00520861">
              <w:rPr>
                <w:rFonts w:eastAsia="Calibri"/>
                <w:sz w:val="28"/>
                <w:szCs w:val="28"/>
                <w:lang w:eastAsia="en-US"/>
              </w:rPr>
              <w:t>,</w:t>
            </w:r>
            <w:r w:rsidRPr="00520861">
              <w:rPr>
                <w:rFonts w:eastAsia="Calibri"/>
                <w:sz w:val="28"/>
                <w:szCs w:val="28"/>
              </w:rPr>
              <w:t xml:space="preserve"> </w:t>
            </w:r>
            <w:r w:rsidRPr="00520861">
              <w:rPr>
                <w:rFonts w:eastAsia="Calibri"/>
                <w:sz w:val="28"/>
                <w:szCs w:val="28"/>
                <w:lang w:val="ru-RU"/>
              </w:rPr>
              <w:t xml:space="preserve"> </w:t>
            </w:r>
            <w:r w:rsidRPr="00520861">
              <w:rPr>
                <w:i/>
                <w:sz w:val="28"/>
                <w:szCs w:val="28"/>
                <w:lang w:val="en-US"/>
              </w:rPr>
              <w:t>p</w:t>
            </w:r>
            <w:r w:rsidRPr="00520861">
              <w:rPr>
                <w:sz w:val="28"/>
                <w:szCs w:val="28"/>
                <w:lang w:val="en-US"/>
              </w:rPr>
              <w:t>=</w:t>
            </w:r>
            <w:r w:rsidRPr="00520861">
              <w:rPr>
                <w:sz w:val="28"/>
                <w:szCs w:val="28"/>
                <w:lang w:val="ru-RU"/>
              </w:rPr>
              <w:t>0,025</w:t>
            </w:r>
          </w:p>
        </w:tc>
      </w:tr>
    </w:tbl>
    <w:p w14:paraId="40664415" w14:textId="77777777" w:rsidR="00CF641C" w:rsidRPr="00520861" w:rsidRDefault="00CF641C" w:rsidP="00292D2E">
      <w:pPr>
        <w:widowControl w:val="0"/>
        <w:spacing w:line="360" w:lineRule="auto"/>
        <w:ind w:firstLine="708"/>
        <w:jc w:val="both"/>
        <w:rPr>
          <w:rFonts w:eastAsia="Calibri"/>
          <w:sz w:val="28"/>
          <w:szCs w:val="28"/>
        </w:rPr>
      </w:pPr>
      <w:r w:rsidRPr="00520861">
        <w:rPr>
          <w:sz w:val="28"/>
          <w:szCs w:val="28"/>
        </w:rPr>
        <w:t xml:space="preserve">Примітка: * – відмінність від групи контролю вірогідна із ймовірністю похибки </w:t>
      </w:r>
      <w:r w:rsidRPr="00520861">
        <w:rPr>
          <w:i/>
          <w:sz w:val="28"/>
          <w:szCs w:val="28"/>
          <w:lang w:val="en-US"/>
        </w:rPr>
        <w:t>p</w:t>
      </w:r>
      <w:r w:rsidR="0018359D" w:rsidRPr="00520861">
        <w:rPr>
          <w:rFonts w:eastAsia="Calibri"/>
          <w:sz w:val="28"/>
          <w:szCs w:val="28"/>
          <w:lang w:eastAsia="en-US"/>
        </w:rPr>
        <w:t>&lt;</w:t>
      </w:r>
      <w:r w:rsidRPr="00520861">
        <w:rPr>
          <w:sz w:val="28"/>
          <w:szCs w:val="28"/>
        </w:rPr>
        <w:t>0,05 за критерієм Манна – Уітні.</w:t>
      </w:r>
    </w:p>
    <w:p w14:paraId="2E4EA981" w14:textId="77777777" w:rsidR="00CF641C" w:rsidRPr="00520861" w:rsidRDefault="00CF641C" w:rsidP="00292D2E">
      <w:pPr>
        <w:widowControl w:val="0"/>
        <w:spacing w:line="360" w:lineRule="auto"/>
        <w:ind w:firstLine="708"/>
        <w:jc w:val="right"/>
        <w:rPr>
          <w:rFonts w:eastAsia="Calibri"/>
          <w:sz w:val="28"/>
          <w:szCs w:val="28"/>
          <w:lang w:eastAsia="en-US"/>
        </w:rPr>
      </w:pPr>
    </w:p>
    <w:p w14:paraId="1AC98578" w14:textId="77777777" w:rsidR="00CF641C" w:rsidRPr="00520861" w:rsidRDefault="00CF641C" w:rsidP="00292D2E">
      <w:pPr>
        <w:widowControl w:val="0"/>
        <w:spacing w:line="360" w:lineRule="auto"/>
        <w:ind w:firstLine="708"/>
        <w:jc w:val="right"/>
        <w:rPr>
          <w:rFonts w:eastAsia="Calibri"/>
          <w:i/>
          <w:iCs/>
          <w:sz w:val="28"/>
          <w:szCs w:val="28"/>
          <w:lang w:eastAsia="en-US"/>
        </w:rPr>
      </w:pPr>
      <w:r w:rsidRPr="00520861">
        <w:rPr>
          <w:rFonts w:eastAsia="Calibri"/>
          <w:i/>
          <w:iCs/>
          <w:sz w:val="28"/>
          <w:szCs w:val="28"/>
          <w:lang w:eastAsia="en-US"/>
        </w:rPr>
        <w:t xml:space="preserve">Таблиця 3.11 </w:t>
      </w:r>
    </w:p>
    <w:p w14:paraId="40120AA2" w14:textId="77777777" w:rsidR="00CF641C" w:rsidRPr="00520861" w:rsidRDefault="00CF641C" w:rsidP="00292D2E">
      <w:pPr>
        <w:widowControl w:val="0"/>
        <w:spacing w:line="360" w:lineRule="auto"/>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 xml:space="preserve">3; </w:t>
      </w:r>
      <w:r w:rsidRPr="00520861">
        <w:rPr>
          <w:rFonts w:eastAsia="Calibri"/>
          <w:b/>
          <w:bCs/>
          <w:sz w:val="28"/>
          <w:szCs w:val="28"/>
          <w:lang w:val="en-US" w:eastAsia="en-US"/>
        </w:rPr>
        <w:t>Q</w:t>
      </w:r>
      <w:r w:rsidRPr="00520861">
        <w:rPr>
          <w:rFonts w:eastAsia="Calibri"/>
          <w:b/>
          <w:bCs/>
          <w:sz w:val="28"/>
          <w:szCs w:val="28"/>
          <w:lang w:eastAsia="en-US"/>
        </w:rPr>
        <w:t xml:space="preserve">1) площі </w:t>
      </w:r>
      <w:proofErr w:type="spellStart"/>
      <w:r w:rsidRPr="00520861">
        <w:rPr>
          <w:rFonts w:eastAsia="Calibri"/>
          <w:b/>
          <w:bCs/>
          <w:sz w:val="28"/>
          <w:szCs w:val="28"/>
          <w:lang w:eastAsia="en-US"/>
        </w:rPr>
        <w:t>ядер</w:t>
      </w:r>
      <w:proofErr w:type="spellEnd"/>
      <w:r w:rsidRPr="00520861">
        <w:rPr>
          <w:rFonts w:eastAsia="Calibri"/>
          <w:b/>
          <w:bCs/>
          <w:sz w:val="28"/>
          <w:szCs w:val="28"/>
          <w:lang w:eastAsia="en-US"/>
        </w:rPr>
        <w:t xml:space="preserve">, оптичної густини цитоплазми, </w:t>
      </w:r>
      <w:proofErr w:type="spellStart"/>
      <w:r w:rsidRPr="00520861">
        <w:rPr>
          <w:rFonts w:eastAsia="Calibri"/>
          <w:b/>
          <w:bCs/>
          <w:sz w:val="28"/>
          <w:szCs w:val="28"/>
          <w:lang w:eastAsia="en-US"/>
        </w:rPr>
        <w:t>ядер</w:t>
      </w:r>
      <w:proofErr w:type="spellEnd"/>
      <w:r w:rsidRPr="00520861">
        <w:rPr>
          <w:rFonts w:eastAsia="Calibri"/>
          <w:b/>
          <w:bCs/>
          <w:sz w:val="28"/>
          <w:szCs w:val="28"/>
          <w:lang w:eastAsia="en-US"/>
        </w:rPr>
        <w:t xml:space="preserve"> </w:t>
      </w:r>
      <w:proofErr w:type="spellStart"/>
      <w:r w:rsidRPr="00520861">
        <w:rPr>
          <w:rFonts w:eastAsia="Calibri"/>
          <w:b/>
          <w:bCs/>
          <w:sz w:val="28"/>
          <w:szCs w:val="28"/>
          <w:lang w:eastAsia="en-US"/>
        </w:rPr>
        <w:t>сероцитів</w:t>
      </w:r>
      <w:proofErr w:type="spellEnd"/>
      <w:r w:rsidRPr="00520861">
        <w:rPr>
          <w:rFonts w:eastAsia="Calibri"/>
          <w:b/>
          <w:bCs/>
          <w:sz w:val="28"/>
          <w:szCs w:val="28"/>
          <w:lang w:eastAsia="en-US"/>
        </w:rPr>
        <w:t xml:space="preserve"> привушних слинних залоз 6-ти місячних експериментальних тварин</w:t>
      </w:r>
    </w:p>
    <w:tbl>
      <w:tblPr>
        <w:tblW w:w="10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8"/>
        <w:gridCol w:w="2345"/>
        <w:gridCol w:w="2834"/>
        <w:gridCol w:w="3182"/>
        <w:gridCol w:w="14"/>
      </w:tblGrid>
      <w:tr w:rsidR="00CF641C" w:rsidRPr="00520861" w14:paraId="0EE43A6D" w14:textId="77777777" w:rsidTr="00292D2E">
        <w:trPr>
          <w:trHeight w:val="390"/>
          <w:jc w:val="center"/>
        </w:trPr>
        <w:tc>
          <w:tcPr>
            <w:tcW w:w="1628" w:type="dxa"/>
            <w:vMerge w:val="restart"/>
            <w:tcMar>
              <w:left w:w="57" w:type="dxa"/>
              <w:right w:w="57" w:type="dxa"/>
            </w:tcMar>
            <w:vAlign w:val="center"/>
          </w:tcPr>
          <w:p w14:paraId="0F2ED1F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Групи</w:t>
            </w:r>
          </w:p>
        </w:tc>
        <w:tc>
          <w:tcPr>
            <w:tcW w:w="2345" w:type="dxa"/>
            <w:vMerge w:val="restart"/>
            <w:tcMar>
              <w:left w:w="57" w:type="dxa"/>
              <w:right w:w="57" w:type="dxa"/>
            </w:tcMar>
            <w:vAlign w:val="center"/>
          </w:tcPr>
          <w:p w14:paraId="123A379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Площа </w:t>
            </w:r>
            <w:proofErr w:type="spellStart"/>
            <w:r w:rsidRPr="00520861">
              <w:rPr>
                <w:rFonts w:eastAsia="Calibri"/>
                <w:sz w:val="28"/>
                <w:szCs w:val="28"/>
              </w:rPr>
              <w:t>ядер</w:t>
            </w:r>
            <w:proofErr w:type="spellEnd"/>
            <w:r w:rsidRPr="00520861">
              <w:rPr>
                <w:rFonts w:eastAsia="Calibri"/>
                <w:sz w:val="28"/>
                <w:szCs w:val="28"/>
              </w:rPr>
              <w:t xml:space="preserve"> </w:t>
            </w:r>
            <w:proofErr w:type="spellStart"/>
            <w:r w:rsidRPr="00520861">
              <w:rPr>
                <w:rFonts w:eastAsia="Calibri"/>
                <w:sz w:val="28"/>
                <w:szCs w:val="28"/>
              </w:rPr>
              <w:t>сероцитів</w:t>
            </w:r>
            <w:proofErr w:type="spellEnd"/>
            <w:r w:rsidRPr="00520861">
              <w:rPr>
                <w:rFonts w:eastAsia="Calibri"/>
                <w:sz w:val="28"/>
                <w:szCs w:val="28"/>
              </w:rPr>
              <w:t xml:space="preserve">, </w:t>
            </w:r>
            <w:r w:rsidRPr="00520861">
              <w:rPr>
                <w:rFonts w:eastAsia="Calibri"/>
                <w:sz w:val="28"/>
                <w:szCs w:val="28"/>
                <w:lang w:eastAsia="en-US"/>
              </w:rPr>
              <w:t>(</w:t>
            </w: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bCs/>
                <w:sz w:val="28"/>
                <w:szCs w:val="28"/>
                <w:lang w:eastAsia="en-US"/>
              </w:rPr>
              <w:t>)</w:t>
            </w:r>
          </w:p>
        </w:tc>
        <w:tc>
          <w:tcPr>
            <w:tcW w:w="6030" w:type="dxa"/>
            <w:gridSpan w:val="3"/>
            <w:tcMar>
              <w:left w:w="57" w:type="dxa"/>
              <w:right w:w="57" w:type="dxa"/>
            </w:tcMar>
            <w:vAlign w:val="center"/>
          </w:tcPr>
          <w:p w14:paraId="5E73788A" w14:textId="77777777" w:rsidR="00CF641C" w:rsidRPr="00520861" w:rsidRDefault="00CF641C" w:rsidP="00292D2E">
            <w:pPr>
              <w:widowControl w:val="0"/>
              <w:spacing w:line="276" w:lineRule="auto"/>
              <w:jc w:val="center"/>
              <w:rPr>
                <w:rFonts w:eastAsia="Calibri"/>
                <w:sz w:val="28"/>
                <w:szCs w:val="28"/>
              </w:rPr>
            </w:pPr>
            <w:r w:rsidRPr="00520861">
              <w:rPr>
                <w:rFonts w:eastAsia="Calibri"/>
                <w:sz w:val="28"/>
                <w:szCs w:val="28"/>
              </w:rPr>
              <w:t>Оптична густина (</w:t>
            </w:r>
            <w:proofErr w:type="spellStart"/>
            <w:r w:rsidRPr="00520861">
              <w:rPr>
                <w:rFonts w:eastAsia="Calibri"/>
                <w:sz w:val="28"/>
                <w:szCs w:val="28"/>
              </w:rPr>
              <w:t>заб</w:t>
            </w:r>
            <w:proofErr w:type="spellEnd"/>
            <w:r w:rsidRPr="00520861">
              <w:rPr>
                <w:rFonts w:eastAsia="Calibri"/>
                <w:sz w:val="28"/>
                <w:szCs w:val="28"/>
              </w:rPr>
              <w:t xml:space="preserve">. за </w:t>
            </w:r>
            <w:proofErr w:type="spellStart"/>
            <w:r w:rsidRPr="00520861">
              <w:rPr>
                <w:rFonts w:eastAsia="Calibri"/>
                <w:sz w:val="28"/>
                <w:szCs w:val="28"/>
              </w:rPr>
              <w:t>Ейнарсоном</w:t>
            </w:r>
            <w:proofErr w:type="spellEnd"/>
            <w:r w:rsidRPr="00520861">
              <w:rPr>
                <w:rFonts w:eastAsia="Calibri"/>
                <w:sz w:val="28"/>
                <w:szCs w:val="28"/>
              </w:rPr>
              <w:t>,</w:t>
            </w:r>
            <w:r w:rsidRPr="00520861">
              <w:rPr>
                <w:rFonts w:eastAsia="Calibri"/>
                <w:sz w:val="28"/>
                <w:szCs w:val="28"/>
                <w:lang w:val="ru-RU"/>
              </w:rPr>
              <w:t xml:space="preserve"> </w:t>
            </w:r>
            <w:r w:rsidRPr="00520861">
              <w:rPr>
                <w:rFonts w:eastAsia="Calibri"/>
                <w:sz w:val="28"/>
                <w:szCs w:val="28"/>
              </w:rPr>
              <w:t>ум. од.)</w:t>
            </w:r>
          </w:p>
        </w:tc>
      </w:tr>
      <w:tr w:rsidR="00CF641C" w:rsidRPr="00520861" w14:paraId="7748AC7F" w14:textId="77777777" w:rsidTr="00292D2E">
        <w:trPr>
          <w:gridAfter w:val="1"/>
          <w:wAfter w:w="14" w:type="dxa"/>
          <w:trHeight w:val="738"/>
          <w:jc w:val="center"/>
        </w:trPr>
        <w:tc>
          <w:tcPr>
            <w:tcW w:w="1628" w:type="dxa"/>
            <w:vMerge/>
            <w:tcMar>
              <w:left w:w="57" w:type="dxa"/>
              <w:right w:w="57" w:type="dxa"/>
            </w:tcMar>
            <w:vAlign w:val="center"/>
          </w:tcPr>
          <w:p w14:paraId="64A2177A" w14:textId="77777777" w:rsidR="00CF641C" w:rsidRPr="00520861" w:rsidRDefault="00CF641C" w:rsidP="00292D2E">
            <w:pPr>
              <w:widowControl w:val="0"/>
              <w:spacing w:line="360" w:lineRule="auto"/>
              <w:jc w:val="center"/>
              <w:rPr>
                <w:rFonts w:eastAsia="Calibri"/>
                <w:sz w:val="28"/>
                <w:szCs w:val="28"/>
              </w:rPr>
            </w:pPr>
          </w:p>
        </w:tc>
        <w:tc>
          <w:tcPr>
            <w:tcW w:w="2345" w:type="dxa"/>
            <w:vMerge/>
            <w:tcMar>
              <w:left w:w="57" w:type="dxa"/>
              <w:right w:w="57" w:type="dxa"/>
            </w:tcMar>
            <w:vAlign w:val="center"/>
          </w:tcPr>
          <w:p w14:paraId="396B7FC8" w14:textId="77777777" w:rsidR="00CF641C" w:rsidRPr="00520861" w:rsidRDefault="00CF641C" w:rsidP="00292D2E">
            <w:pPr>
              <w:widowControl w:val="0"/>
              <w:spacing w:line="360" w:lineRule="auto"/>
              <w:jc w:val="center"/>
              <w:rPr>
                <w:rFonts w:eastAsia="Calibri"/>
                <w:sz w:val="28"/>
                <w:szCs w:val="28"/>
              </w:rPr>
            </w:pPr>
          </w:p>
        </w:tc>
        <w:tc>
          <w:tcPr>
            <w:tcW w:w="2834" w:type="dxa"/>
            <w:tcMar>
              <w:left w:w="57" w:type="dxa"/>
              <w:right w:w="57" w:type="dxa"/>
            </w:tcMar>
            <w:vAlign w:val="center"/>
          </w:tcPr>
          <w:p w14:paraId="6C11FB0A" w14:textId="77777777" w:rsidR="00CF641C" w:rsidRPr="00520861" w:rsidRDefault="00CF641C" w:rsidP="00292D2E">
            <w:pPr>
              <w:widowControl w:val="0"/>
              <w:spacing w:line="276" w:lineRule="auto"/>
              <w:jc w:val="center"/>
              <w:rPr>
                <w:rFonts w:eastAsia="Calibri"/>
                <w:sz w:val="28"/>
                <w:szCs w:val="28"/>
              </w:rPr>
            </w:pPr>
            <w:proofErr w:type="spellStart"/>
            <w:r w:rsidRPr="00520861">
              <w:rPr>
                <w:rFonts w:eastAsia="Calibri"/>
                <w:sz w:val="28"/>
                <w:szCs w:val="28"/>
              </w:rPr>
              <w:t>ядер</w:t>
            </w:r>
            <w:proofErr w:type="spellEnd"/>
            <w:r w:rsidRPr="00520861">
              <w:rPr>
                <w:rFonts w:eastAsia="Calibri"/>
                <w:sz w:val="28"/>
                <w:szCs w:val="28"/>
              </w:rPr>
              <w:t xml:space="preserve"> </w:t>
            </w:r>
            <w:proofErr w:type="spellStart"/>
            <w:r w:rsidRPr="00520861">
              <w:rPr>
                <w:rFonts w:eastAsia="Calibri"/>
                <w:sz w:val="28"/>
                <w:szCs w:val="28"/>
              </w:rPr>
              <w:t>сероцитів</w:t>
            </w:r>
            <w:proofErr w:type="spellEnd"/>
          </w:p>
        </w:tc>
        <w:tc>
          <w:tcPr>
            <w:tcW w:w="3182" w:type="dxa"/>
            <w:tcMar>
              <w:left w:w="57" w:type="dxa"/>
              <w:right w:w="57" w:type="dxa"/>
            </w:tcMar>
            <w:vAlign w:val="center"/>
          </w:tcPr>
          <w:p w14:paraId="08D8913E" w14:textId="77777777" w:rsidR="00CF641C" w:rsidRPr="00520861" w:rsidRDefault="00CF641C" w:rsidP="00292D2E">
            <w:pPr>
              <w:widowControl w:val="0"/>
              <w:spacing w:line="276" w:lineRule="auto"/>
              <w:jc w:val="center"/>
              <w:rPr>
                <w:rFonts w:eastAsia="Calibri"/>
                <w:sz w:val="28"/>
                <w:szCs w:val="28"/>
              </w:rPr>
            </w:pPr>
            <w:r w:rsidRPr="00520861">
              <w:rPr>
                <w:rFonts w:eastAsia="Calibri"/>
                <w:sz w:val="28"/>
                <w:szCs w:val="28"/>
              </w:rPr>
              <w:t xml:space="preserve">цитоплазми </w:t>
            </w:r>
            <w:proofErr w:type="spellStart"/>
            <w:r w:rsidRPr="00520861">
              <w:rPr>
                <w:rFonts w:eastAsia="Calibri"/>
                <w:sz w:val="28"/>
                <w:szCs w:val="28"/>
              </w:rPr>
              <w:t>сероцитів</w:t>
            </w:r>
            <w:proofErr w:type="spellEnd"/>
            <w:r w:rsidRPr="00520861">
              <w:rPr>
                <w:rFonts w:eastAsia="Calibri"/>
                <w:sz w:val="28"/>
                <w:szCs w:val="28"/>
              </w:rPr>
              <w:t xml:space="preserve"> </w:t>
            </w:r>
          </w:p>
        </w:tc>
      </w:tr>
      <w:tr w:rsidR="00CF641C" w:rsidRPr="00520861" w14:paraId="11CC1E8B" w14:textId="77777777" w:rsidTr="00292D2E">
        <w:trPr>
          <w:gridAfter w:val="1"/>
          <w:wAfter w:w="14" w:type="dxa"/>
          <w:jc w:val="center"/>
        </w:trPr>
        <w:tc>
          <w:tcPr>
            <w:tcW w:w="1628" w:type="dxa"/>
            <w:tcBorders>
              <w:top w:val="single" w:sz="4" w:space="0" w:color="auto"/>
              <w:left w:val="single" w:sz="4" w:space="0" w:color="auto"/>
              <w:bottom w:val="single" w:sz="4" w:space="0" w:color="auto"/>
              <w:right w:val="single" w:sz="4" w:space="0" w:color="auto"/>
            </w:tcBorders>
          </w:tcPr>
          <w:p w14:paraId="3A0E6E16" w14:textId="77777777" w:rsidR="00CF641C" w:rsidRPr="00520861" w:rsidRDefault="00CF641C" w:rsidP="00292D2E">
            <w:pPr>
              <w:widowControl w:val="0"/>
              <w:spacing w:line="360" w:lineRule="auto"/>
              <w:rPr>
                <w:rFonts w:eastAsia="Calibri"/>
                <w:sz w:val="28"/>
                <w:szCs w:val="28"/>
                <w:lang w:val="en-US"/>
              </w:rPr>
            </w:pPr>
            <w:r w:rsidRPr="00520861">
              <w:rPr>
                <w:rFonts w:eastAsia="Calibri"/>
                <w:sz w:val="28"/>
                <w:szCs w:val="28"/>
                <w:lang w:val="ru-RU"/>
              </w:rPr>
              <w:t>Контроль</w:t>
            </w:r>
            <w:r w:rsidRPr="00520861">
              <w:rPr>
                <w:rFonts w:eastAsia="Calibri"/>
                <w:sz w:val="28"/>
                <w:szCs w:val="28"/>
              </w:rPr>
              <w:t xml:space="preserve"> </w:t>
            </w:r>
          </w:p>
        </w:tc>
        <w:tc>
          <w:tcPr>
            <w:tcW w:w="2345" w:type="dxa"/>
          </w:tcPr>
          <w:p w14:paraId="56A215D6"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22,2</w:t>
            </w:r>
            <w:r w:rsidRPr="00520861">
              <w:rPr>
                <w:rFonts w:eastAsiaTheme="minorHAnsi"/>
                <w:sz w:val="28"/>
                <w:szCs w:val="28"/>
                <w:lang w:eastAsia="en-US"/>
              </w:rPr>
              <w:t xml:space="preserve"> </w:t>
            </w:r>
            <w:r w:rsidRPr="00520861">
              <w:rPr>
                <w:rFonts w:eastAsiaTheme="minorHAnsi"/>
                <w:sz w:val="28"/>
                <w:szCs w:val="28"/>
                <w:lang w:val="ru-RU" w:eastAsia="en-US"/>
              </w:rPr>
              <w:t>(32,1</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21,4)</w:t>
            </w:r>
          </w:p>
        </w:tc>
        <w:tc>
          <w:tcPr>
            <w:tcW w:w="2834" w:type="dxa"/>
          </w:tcPr>
          <w:p w14:paraId="232C9666"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0,388</w:t>
            </w:r>
            <w:r w:rsidRPr="00520861">
              <w:rPr>
                <w:rFonts w:eastAsiaTheme="minorHAnsi"/>
                <w:sz w:val="28"/>
                <w:szCs w:val="28"/>
                <w:lang w:eastAsia="en-US"/>
              </w:rPr>
              <w:t xml:space="preserve"> </w:t>
            </w:r>
            <w:r w:rsidRPr="00520861">
              <w:rPr>
                <w:rFonts w:eastAsiaTheme="minorHAnsi"/>
                <w:sz w:val="28"/>
                <w:szCs w:val="28"/>
                <w:lang w:val="ru-RU" w:eastAsia="en-US"/>
              </w:rPr>
              <w:t>(0,395</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0,294)</w:t>
            </w:r>
          </w:p>
        </w:tc>
        <w:tc>
          <w:tcPr>
            <w:tcW w:w="3182" w:type="dxa"/>
          </w:tcPr>
          <w:p w14:paraId="009290DD"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0,113</w:t>
            </w:r>
            <w:r w:rsidRPr="00520861">
              <w:rPr>
                <w:rFonts w:eastAsiaTheme="minorHAnsi"/>
                <w:sz w:val="28"/>
                <w:szCs w:val="28"/>
                <w:lang w:eastAsia="en-US"/>
              </w:rPr>
              <w:t xml:space="preserve"> </w:t>
            </w:r>
            <w:r w:rsidRPr="00520861">
              <w:rPr>
                <w:rFonts w:eastAsiaTheme="minorHAnsi"/>
                <w:sz w:val="28"/>
                <w:szCs w:val="28"/>
                <w:lang w:val="ru-RU" w:eastAsia="en-US"/>
              </w:rPr>
              <w:t>(0,114</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0,112)</w:t>
            </w:r>
          </w:p>
        </w:tc>
      </w:tr>
      <w:tr w:rsidR="00CF641C" w:rsidRPr="00520861" w14:paraId="0F9E0FBD" w14:textId="77777777" w:rsidTr="00292D2E">
        <w:trPr>
          <w:gridAfter w:val="1"/>
          <w:wAfter w:w="14" w:type="dxa"/>
          <w:jc w:val="center"/>
        </w:trPr>
        <w:tc>
          <w:tcPr>
            <w:tcW w:w="1628" w:type="dxa"/>
            <w:tcBorders>
              <w:top w:val="single" w:sz="4" w:space="0" w:color="auto"/>
              <w:left w:val="single" w:sz="4" w:space="0" w:color="auto"/>
              <w:bottom w:val="single" w:sz="4" w:space="0" w:color="auto"/>
              <w:right w:val="single" w:sz="4" w:space="0" w:color="auto"/>
            </w:tcBorders>
          </w:tcPr>
          <w:p w14:paraId="5EBC6D13"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1 </w:t>
            </w:r>
          </w:p>
        </w:tc>
        <w:tc>
          <w:tcPr>
            <w:tcW w:w="2345" w:type="dxa"/>
          </w:tcPr>
          <w:p w14:paraId="7DB1482E"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26,5</w:t>
            </w:r>
            <w:r w:rsidRPr="00520861">
              <w:rPr>
                <w:rFonts w:eastAsiaTheme="minorHAnsi"/>
                <w:sz w:val="28"/>
                <w:szCs w:val="28"/>
                <w:lang w:eastAsia="en-US"/>
              </w:rPr>
              <w:t xml:space="preserve"> </w:t>
            </w:r>
            <w:r w:rsidRPr="00520861">
              <w:rPr>
                <w:rFonts w:eastAsiaTheme="minorHAnsi"/>
                <w:sz w:val="28"/>
                <w:szCs w:val="28"/>
                <w:lang w:val="ru-RU" w:eastAsia="en-US"/>
              </w:rPr>
              <w:t>(32,0</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23,5)</w:t>
            </w:r>
          </w:p>
        </w:tc>
        <w:tc>
          <w:tcPr>
            <w:tcW w:w="2834" w:type="dxa"/>
          </w:tcPr>
          <w:p w14:paraId="152AFFCE"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0,326</w:t>
            </w:r>
            <w:r w:rsidRPr="00520861">
              <w:rPr>
                <w:rFonts w:eastAsiaTheme="minorHAnsi"/>
                <w:sz w:val="28"/>
                <w:szCs w:val="28"/>
                <w:lang w:eastAsia="en-US"/>
              </w:rPr>
              <w:t xml:space="preserve"> </w:t>
            </w:r>
            <w:r w:rsidRPr="00520861">
              <w:rPr>
                <w:rFonts w:eastAsiaTheme="minorHAnsi"/>
                <w:sz w:val="28"/>
                <w:szCs w:val="28"/>
                <w:lang w:val="ru-RU" w:eastAsia="en-US"/>
              </w:rPr>
              <w:t>(0,364</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0,303)</w:t>
            </w:r>
          </w:p>
        </w:tc>
        <w:tc>
          <w:tcPr>
            <w:tcW w:w="3182" w:type="dxa"/>
          </w:tcPr>
          <w:p w14:paraId="2DA43550"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0,125</w:t>
            </w:r>
            <w:r w:rsidRPr="00520861">
              <w:rPr>
                <w:rFonts w:eastAsiaTheme="minorHAnsi"/>
                <w:sz w:val="28"/>
                <w:szCs w:val="28"/>
                <w:lang w:eastAsia="en-US"/>
              </w:rPr>
              <w:t xml:space="preserve"> </w:t>
            </w:r>
            <w:r w:rsidRPr="00520861">
              <w:rPr>
                <w:rFonts w:eastAsiaTheme="minorHAnsi"/>
                <w:sz w:val="28"/>
                <w:szCs w:val="28"/>
                <w:lang w:val="ru-RU" w:eastAsia="en-US"/>
              </w:rPr>
              <w:t>(0,148</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0,123)</w:t>
            </w:r>
          </w:p>
        </w:tc>
      </w:tr>
      <w:tr w:rsidR="00CF641C" w:rsidRPr="00520861" w14:paraId="7EBD3D0E" w14:textId="77777777" w:rsidTr="00292D2E">
        <w:trPr>
          <w:gridAfter w:val="1"/>
          <w:wAfter w:w="14" w:type="dxa"/>
          <w:jc w:val="center"/>
        </w:trPr>
        <w:tc>
          <w:tcPr>
            <w:tcW w:w="1628" w:type="dxa"/>
            <w:tcBorders>
              <w:top w:val="single" w:sz="4" w:space="0" w:color="auto"/>
              <w:left w:val="single" w:sz="4" w:space="0" w:color="auto"/>
              <w:bottom w:val="single" w:sz="4" w:space="0" w:color="auto"/>
              <w:right w:val="single" w:sz="4" w:space="0" w:color="auto"/>
            </w:tcBorders>
          </w:tcPr>
          <w:p w14:paraId="3DCE78B0"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ru-RU"/>
              </w:rPr>
              <w:t xml:space="preserve"> 2 </w:t>
            </w:r>
          </w:p>
        </w:tc>
        <w:tc>
          <w:tcPr>
            <w:tcW w:w="2345" w:type="dxa"/>
          </w:tcPr>
          <w:p w14:paraId="34F8C62A" w14:textId="77777777" w:rsidR="00CF641C" w:rsidRPr="00520861" w:rsidRDefault="00CF641C" w:rsidP="00292D2E">
            <w:pPr>
              <w:widowControl w:val="0"/>
              <w:spacing w:line="360" w:lineRule="auto"/>
              <w:jc w:val="center"/>
              <w:rPr>
                <w:sz w:val="28"/>
                <w:szCs w:val="28"/>
                <w:lang w:val="en-US"/>
              </w:rPr>
            </w:pPr>
            <w:r w:rsidRPr="00520861">
              <w:rPr>
                <w:sz w:val="28"/>
                <w:szCs w:val="28"/>
                <w:lang w:val="ru-RU"/>
              </w:rPr>
              <w:t>20</w:t>
            </w:r>
            <w:r w:rsidRPr="00520861">
              <w:rPr>
                <w:sz w:val="28"/>
                <w:szCs w:val="28"/>
                <w:lang w:val="en-US"/>
              </w:rPr>
              <w:t>,7</w:t>
            </w:r>
            <w:r w:rsidRPr="00520861">
              <w:rPr>
                <w:sz w:val="28"/>
                <w:szCs w:val="28"/>
              </w:rPr>
              <w:t xml:space="preserve"> </w:t>
            </w:r>
            <w:r w:rsidRPr="00520861">
              <w:rPr>
                <w:rFonts w:eastAsiaTheme="minorHAnsi"/>
                <w:sz w:val="28"/>
                <w:szCs w:val="28"/>
                <w:lang w:val="ru-RU" w:eastAsia="en-US"/>
              </w:rPr>
              <w:t>(2</w:t>
            </w:r>
            <w:r w:rsidRPr="00520861">
              <w:rPr>
                <w:rFonts w:eastAsiaTheme="minorHAnsi"/>
                <w:sz w:val="28"/>
                <w:szCs w:val="28"/>
                <w:lang w:val="en-US" w:eastAsia="en-US"/>
              </w:rPr>
              <w:t>4</w:t>
            </w:r>
            <w:r w:rsidRPr="00520861">
              <w:rPr>
                <w:rFonts w:eastAsiaTheme="minorHAnsi"/>
                <w:sz w:val="28"/>
                <w:szCs w:val="28"/>
                <w:lang w:val="ru-RU" w:eastAsia="en-US"/>
              </w:rPr>
              <w:t>,6</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1</w:t>
            </w:r>
            <w:r w:rsidRPr="00520861">
              <w:rPr>
                <w:rFonts w:eastAsiaTheme="minorHAnsi"/>
                <w:sz w:val="28"/>
                <w:szCs w:val="28"/>
                <w:lang w:val="en-US" w:eastAsia="en-US"/>
              </w:rPr>
              <w:t>8</w:t>
            </w:r>
            <w:r w:rsidRPr="00520861">
              <w:rPr>
                <w:rFonts w:eastAsiaTheme="minorHAnsi"/>
                <w:sz w:val="28"/>
                <w:szCs w:val="28"/>
                <w:lang w:val="ru-RU" w:eastAsia="en-US"/>
              </w:rPr>
              <w:t>,4)</w:t>
            </w:r>
          </w:p>
        </w:tc>
        <w:tc>
          <w:tcPr>
            <w:tcW w:w="2834" w:type="dxa"/>
          </w:tcPr>
          <w:p w14:paraId="46D70503"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rPr>
              <w:t>0</w:t>
            </w:r>
            <w:r w:rsidRPr="00520861">
              <w:rPr>
                <w:rFonts w:eastAsia="Calibri"/>
                <w:sz w:val="28"/>
                <w:szCs w:val="28"/>
                <w:lang w:val="en-US"/>
              </w:rPr>
              <w:t>,745</w:t>
            </w:r>
            <w:r w:rsidRPr="00520861">
              <w:rPr>
                <w:rFonts w:eastAsia="Calibri"/>
                <w:sz w:val="28"/>
                <w:szCs w:val="28"/>
                <w:lang w:eastAsia="en-US"/>
              </w:rPr>
              <w:t xml:space="preserve">* </w:t>
            </w:r>
            <w:r w:rsidRPr="00520861">
              <w:rPr>
                <w:rFonts w:eastAsiaTheme="minorHAnsi"/>
                <w:sz w:val="28"/>
                <w:szCs w:val="28"/>
                <w:lang w:val="ru-RU" w:eastAsia="en-US"/>
              </w:rPr>
              <w:t>(0</w:t>
            </w:r>
            <w:r w:rsidRPr="00520861">
              <w:rPr>
                <w:rFonts w:eastAsiaTheme="minorHAnsi"/>
                <w:sz w:val="28"/>
                <w:szCs w:val="28"/>
                <w:lang w:val="en-US" w:eastAsia="en-US"/>
              </w:rPr>
              <w:t>,815;</w:t>
            </w:r>
            <w:r w:rsidRPr="00520861">
              <w:rPr>
                <w:rFonts w:eastAsiaTheme="minorHAnsi"/>
                <w:sz w:val="28"/>
                <w:szCs w:val="28"/>
                <w:lang w:eastAsia="en-US"/>
              </w:rPr>
              <w:t xml:space="preserve"> </w:t>
            </w:r>
            <w:r w:rsidRPr="00520861">
              <w:rPr>
                <w:rFonts w:eastAsiaTheme="minorHAnsi"/>
                <w:sz w:val="28"/>
                <w:szCs w:val="28"/>
                <w:lang w:val="en-US" w:eastAsia="en-US"/>
              </w:rPr>
              <w:t>0,674</w:t>
            </w:r>
            <w:r w:rsidRPr="00520861">
              <w:rPr>
                <w:rFonts w:eastAsiaTheme="minorHAnsi"/>
                <w:sz w:val="28"/>
                <w:szCs w:val="28"/>
                <w:lang w:val="ru-RU" w:eastAsia="en-US"/>
              </w:rPr>
              <w:t>)</w:t>
            </w:r>
            <w:r w:rsidRPr="00520861">
              <w:rPr>
                <w:rFonts w:eastAsia="Calibri"/>
                <w:sz w:val="28"/>
                <w:szCs w:val="28"/>
                <w:lang w:eastAsia="en-US"/>
              </w:rPr>
              <w:t xml:space="preserve"> </w:t>
            </w:r>
            <w:r w:rsidRPr="00520861">
              <w:rPr>
                <w:rFonts w:eastAsia="Calibri"/>
                <w:i/>
                <w:sz w:val="28"/>
                <w:szCs w:val="28"/>
                <w:lang w:val="en-US"/>
              </w:rPr>
              <w:t>p</w:t>
            </w:r>
            <w:r w:rsidRPr="00520861">
              <w:rPr>
                <w:rFonts w:eastAsia="Calibri"/>
                <w:sz w:val="28"/>
                <w:szCs w:val="28"/>
                <w:lang w:val="en-US"/>
              </w:rPr>
              <w:t>=</w:t>
            </w:r>
            <w:r w:rsidRPr="00520861">
              <w:rPr>
                <w:rFonts w:eastAsia="Calibri"/>
                <w:sz w:val="28"/>
                <w:szCs w:val="28"/>
                <w:lang w:val="ru-RU"/>
              </w:rPr>
              <w:t>0,032</w:t>
            </w:r>
          </w:p>
        </w:tc>
        <w:tc>
          <w:tcPr>
            <w:tcW w:w="3182" w:type="dxa"/>
          </w:tcPr>
          <w:p w14:paraId="41E81011" w14:textId="77777777" w:rsidR="00CF641C" w:rsidRPr="00520861" w:rsidRDefault="00CF641C" w:rsidP="00292D2E">
            <w:pPr>
              <w:widowControl w:val="0"/>
              <w:spacing w:line="360" w:lineRule="auto"/>
              <w:jc w:val="center"/>
              <w:rPr>
                <w:rFonts w:eastAsia="Calibri"/>
                <w:sz w:val="28"/>
                <w:szCs w:val="28"/>
                <w:lang w:val="ru-RU"/>
              </w:rPr>
            </w:pPr>
            <w:r w:rsidRPr="00520861">
              <w:rPr>
                <w:rFonts w:eastAsia="Calibri"/>
                <w:sz w:val="28"/>
                <w:szCs w:val="28"/>
                <w:lang w:val="ru-RU"/>
              </w:rPr>
              <w:t>0</w:t>
            </w:r>
            <w:r w:rsidRPr="00520861">
              <w:rPr>
                <w:rFonts w:eastAsia="Calibri"/>
                <w:sz w:val="28"/>
                <w:szCs w:val="28"/>
                <w:lang w:val="en-US"/>
              </w:rPr>
              <w:t>,</w:t>
            </w:r>
            <w:r w:rsidRPr="00520861">
              <w:rPr>
                <w:rFonts w:eastAsia="Calibri"/>
                <w:sz w:val="28"/>
                <w:szCs w:val="28"/>
              </w:rPr>
              <w:t>0</w:t>
            </w:r>
            <w:r w:rsidRPr="00520861">
              <w:rPr>
                <w:rFonts w:eastAsia="Calibri"/>
                <w:sz w:val="28"/>
                <w:szCs w:val="28"/>
                <w:lang w:val="en-US"/>
              </w:rPr>
              <w:t>77</w:t>
            </w:r>
            <w:r w:rsidRPr="00520861">
              <w:rPr>
                <w:rFonts w:eastAsia="Calibri"/>
                <w:sz w:val="28"/>
                <w:szCs w:val="28"/>
                <w:lang w:val="ru-RU"/>
              </w:rPr>
              <w:t xml:space="preserve"> *</w:t>
            </w:r>
            <w:r w:rsidRPr="00520861">
              <w:rPr>
                <w:rFonts w:eastAsia="Calibri"/>
                <w:sz w:val="28"/>
                <w:szCs w:val="28"/>
              </w:rPr>
              <w:t xml:space="preserve"> </w:t>
            </w:r>
            <w:r w:rsidRPr="00520861">
              <w:rPr>
                <w:rFonts w:eastAsiaTheme="minorHAnsi"/>
                <w:sz w:val="28"/>
                <w:szCs w:val="28"/>
                <w:lang w:val="ru-RU" w:eastAsia="en-US"/>
              </w:rPr>
              <w:t>(</w:t>
            </w:r>
            <w:r w:rsidRPr="00520861">
              <w:rPr>
                <w:rFonts w:eastAsiaTheme="minorHAnsi"/>
                <w:sz w:val="28"/>
                <w:szCs w:val="28"/>
                <w:lang w:val="en-US" w:eastAsia="en-US"/>
              </w:rPr>
              <w:t>0,089;</w:t>
            </w:r>
            <w:r w:rsidRPr="00520861">
              <w:rPr>
                <w:rFonts w:eastAsiaTheme="minorHAnsi"/>
                <w:sz w:val="28"/>
                <w:szCs w:val="28"/>
                <w:lang w:eastAsia="en-US"/>
              </w:rPr>
              <w:t xml:space="preserve"> </w:t>
            </w:r>
            <w:r w:rsidRPr="00520861">
              <w:rPr>
                <w:rFonts w:eastAsiaTheme="minorHAnsi"/>
                <w:sz w:val="28"/>
                <w:szCs w:val="28"/>
                <w:lang w:val="en-US" w:eastAsia="en-US"/>
              </w:rPr>
              <w:t>0,073</w:t>
            </w:r>
            <w:r w:rsidRPr="00520861">
              <w:rPr>
                <w:rFonts w:eastAsiaTheme="minorHAnsi"/>
                <w:sz w:val="28"/>
                <w:szCs w:val="28"/>
                <w:lang w:val="ru-RU" w:eastAsia="en-US"/>
              </w:rPr>
              <w:t>)</w:t>
            </w:r>
            <w:r w:rsidRPr="00520861">
              <w:rPr>
                <w:rFonts w:eastAsia="Calibri"/>
                <w:sz w:val="28"/>
                <w:szCs w:val="28"/>
              </w:rPr>
              <w:t xml:space="preserve"> </w:t>
            </w:r>
            <w:r w:rsidRPr="00520861">
              <w:rPr>
                <w:rFonts w:eastAsia="Calibri"/>
                <w:i/>
                <w:sz w:val="28"/>
                <w:szCs w:val="28"/>
                <w:lang w:val="en-US"/>
              </w:rPr>
              <w:t>p</w:t>
            </w:r>
            <w:r w:rsidRPr="00520861">
              <w:rPr>
                <w:rFonts w:eastAsia="Calibri"/>
                <w:sz w:val="28"/>
                <w:szCs w:val="28"/>
                <w:lang w:val="en-US"/>
              </w:rPr>
              <w:t>=</w:t>
            </w:r>
            <w:r w:rsidRPr="00520861">
              <w:rPr>
                <w:rFonts w:eastAsia="Calibri"/>
                <w:sz w:val="28"/>
                <w:szCs w:val="28"/>
                <w:lang w:val="ru-RU"/>
              </w:rPr>
              <w:t>0,047</w:t>
            </w:r>
          </w:p>
        </w:tc>
      </w:tr>
      <w:tr w:rsidR="00CF641C" w:rsidRPr="00520861" w14:paraId="767677E9" w14:textId="77777777" w:rsidTr="00292D2E">
        <w:trPr>
          <w:gridAfter w:val="1"/>
          <w:wAfter w:w="14" w:type="dxa"/>
          <w:jc w:val="center"/>
        </w:trPr>
        <w:tc>
          <w:tcPr>
            <w:tcW w:w="1628" w:type="dxa"/>
            <w:tcBorders>
              <w:top w:val="single" w:sz="4" w:space="0" w:color="auto"/>
              <w:left w:val="single" w:sz="4" w:space="0" w:color="auto"/>
              <w:bottom w:val="single" w:sz="4" w:space="0" w:color="auto"/>
              <w:right w:val="single" w:sz="4" w:space="0" w:color="auto"/>
            </w:tcBorders>
          </w:tcPr>
          <w:p w14:paraId="3CDC3CF8" w14:textId="77777777" w:rsidR="00CF641C" w:rsidRPr="00520861" w:rsidRDefault="00CF641C" w:rsidP="00292D2E">
            <w:pPr>
              <w:widowControl w:val="0"/>
              <w:spacing w:line="360" w:lineRule="auto"/>
              <w:jc w:val="both"/>
              <w:rPr>
                <w:sz w:val="28"/>
                <w:szCs w:val="28"/>
              </w:rPr>
            </w:pPr>
            <w:r w:rsidRPr="00520861">
              <w:rPr>
                <w:sz w:val="28"/>
                <w:szCs w:val="28"/>
                <w:lang w:val="ru-RU"/>
              </w:rPr>
              <w:t>Г</w:t>
            </w:r>
            <w:proofErr w:type="spellStart"/>
            <w:r w:rsidRPr="00520861">
              <w:rPr>
                <w:sz w:val="28"/>
                <w:szCs w:val="28"/>
              </w:rPr>
              <w:t>рупа</w:t>
            </w:r>
            <w:proofErr w:type="spellEnd"/>
            <w:r w:rsidRPr="00520861">
              <w:rPr>
                <w:sz w:val="28"/>
                <w:szCs w:val="28"/>
                <w:lang w:val="ru-RU"/>
              </w:rPr>
              <w:t xml:space="preserve"> 3 </w:t>
            </w:r>
          </w:p>
        </w:tc>
        <w:tc>
          <w:tcPr>
            <w:tcW w:w="2345" w:type="dxa"/>
          </w:tcPr>
          <w:p w14:paraId="681BCBBC"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23,5</w:t>
            </w:r>
            <w:r w:rsidRPr="00520861">
              <w:rPr>
                <w:rFonts w:eastAsiaTheme="minorHAnsi"/>
                <w:sz w:val="28"/>
                <w:szCs w:val="28"/>
                <w:lang w:eastAsia="en-US"/>
              </w:rPr>
              <w:t xml:space="preserve"> </w:t>
            </w:r>
            <w:r w:rsidRPr="00520861">
              <w:rPr>
                <w:rFonts w:eastAsiaTheme="minorHAnsi"/>
                <w:sz w:val="28"/>
                <w:szCs w:val="28"/>
                <w:lang w:val="ru-RU" w:eastAsia="en-US"/>
              </w:rPr>
              <w:t>(27,5</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22,1)</w:t>
            </w:r>
          </w:p>
        </w:tc>
        <w:tc>
          <w:tcPr>
            <w:tcW w:w="2834" w:type="dxa"/>
          </w:tcPr>
          <w:p w14:paraId="0D63DCBE"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0,401</w:t>
            </w:r>
            <w:r w:rsidRPr="00520861">
              <w:rPr>
                <w:rFonts w:eastAsiaTheme="minorHAnsi"/>
                <w:sz w:val="28"/>
                <w:szCs w:val="28"/>
                <w:lang w:eastAsia="en-US"/>
              </w:rPr>
              <w:t xml:space="preserve"> </w:t>
            </w:r>
            <w:r w:rsidRPr="00520861">
              <w:rPr>
                <w:rFonts w:eastAsiaTheme="minorHAnsi"/>
                <w:sz w:val="28"/>
                <w:szCs w:val="28"/>
                <w:lang w:val="ru-RU" w:eastAsia="en-US"/>
              </w:rPr>
              <w:t>(0,454</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0,362)</w:t>
            </w:r>
          </w:p>
        </w:tc>
        <w:tc>
          <w:tcPr>
            <w:tcW w:w="3182" w:type="dxa"/>
          </w:tcPr>
          <w:p w14:paraId="4B1818A6" w14:textId="77777777" w:rsidR="00CF641C" w:rsidRPr="00520861" w:rsidRDefault="00CF641C" w:rsidP="00292D2E">
            <w:pPr>
              <w:widowControl w:val="0"/>
              <w:spacing w:line="360" w:lineRule="auto"/>
              <w:jc w:val="center"/>
              <w:rPr>
                <w:rFonts w:eastAsia="Calibri"/>
                <w:sz w:val="28"/>
                <w:szCs w:val="28"/>
                <w:lang w:val="ru-RU"/>
              </w:rPr>
            </w:pPr>
            <w:r w:rsidRPr="00520861">
              <w:rPr>
                <w:rFonts w:eastAsiaTheme="minorHAnsi"/>
                <w:sz w:val="28"/>
                <w:szCs w:val="28"/>
                <w:lang w:val="ru-RU" w:eastAsia="en-US"/>
              </w:rPr>
              <w:t>0,218</w:t>
            </w:r>
            <w:r w:rsidRPr="00520861">
              <w:rPr>
                <w:rFonts w:eastAsia="Calibri"/>
                <w:sz w:val="28"/>
                <w:szCs w:val="28"/>
                <w:lang w:val="ru-RU"/>
              </w:rPr>
              <w:t>*</w:t>
            </w:r>
            <w:r w:rsidRPr="00520861">
              <w:rPr>
                <w:rFonts w:eastAsiaTheme="minorHAnsi"/>
                <w:sz w:val="28"/>
                <w:szCs w:val="28"/>
                <w:lang w:val="ru-RU" w:eastAsia="en-US"/>
              </w:rPr>
              <w:t xml:space="preserve"> (0,242</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0,143)</w:t>
            </w:r>
            <w:r w:rsidRPr="00520861">
              <w:rPr>
                <w:rFonts w:eastAsia="Calibri"/>
                <w:sz w:val="28"/>
                <w:szCs w:val="28"/>
                <w:lang w:val="ru-RU"/>
              </w:rPr>
              <w:t xml:space="preserve"> </w:t>
            </w:r>
            <w:r w:rsidRPr="00520861">
              <w:rPr>
                <w:rFonts w:eastAsia="Calibri"/>
                <w:i/>
                <w:sz w:val="28"/>
                <w:szCs w:val="28"/>
                <w:lang w:val="en-US"/>
              </w:rPr>
              <w:t>p</w:t>
            </w:r>
            <w:r w:rsidRPr="00520861">
              <w:rPr>
                <w:rFonts w:eastAsia="Calibri"/>
                <w:sz w:val="28"/>
                <w:szCs w:val="28"/>
                <w:lang w:val="en-US"/>
              </w:rPr>
              <w:t>=</w:t>
            </w:r>
            <w:r w:rsidRPr="00520861">
              <w:rPr>
                <w:rFonts w:eastAsia="Calibri"/>
                <w:sz w:val="28"/>
                <w:szCs w:val="28"/>
                <w:lang w:val="ru-RU"/>
              </w:rPr>
              <w:t>0</w:t>
            </w:r>
            <w:r w:rsidRPr="00520861">
              <w:rPr>
                <w:rFonts w:eastAsia="Calibri"/>
                <w:sz w:val="28"/>
                <w:szCs w:val="28"/>
              </w:rPr>
              <w:t>,</w:t>
            </w:r>
            <w:r w:rsidRPr="00520861">
              <w:rPr>
                <w:rFonts w:eastAsia="Calibri"/>
                <w:sz w:val="28"/>
                <w:szCs w:val="28"/>
                <w:lang w:val="ru-RU"/>
              </w:rPr>
              <w:t>047</w:t>
            </w:r>
          </w:p>
        </w:tc>
      </w:tr>
      <w:tr w:rsidR="00CF641C" w:rsidRPr="00520861" w14:paraId="490B3D55" w14:textId="77777777" w:rsidTr="00292D2E">
        <w:trPr>
          <w:gridAfter w:val="1"/>
          <w:wAfter w:w="14" w:type="dxa"/>
          <w:trHeight w:val="782"/>
          <w:jc w:val="center"/>
        </w:trPr>
        <w:tc>
          <w:tcPr>
            <w:tcW w:w="1628" w:type="dxa"/>
            <w:tcBorders>
              <w:top w:val="single" w:sz="4" w:space="0" w:color="auto"/>
              <w:left w:val="single" w:sz="4" w:space="0" w:color="auto"/>
              <w:bottom w:val="single" w:sz="4" w:space="0" w:color="auto"/>
              <w:right w:val="single" w:sz="4" w:space="0" w:color="auto"/>
            </w:tcBorders>
          </w:tcPr>
          <w:p w14:paraId="39E31D28"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4 </w:t>
            </w:r>
          </w:p>
        </w:tc>
        <w:tc>
          <w:tcPr>
            <w:tcW w:w="2345" w:type="dxa"/>
          </w:tcPr>
          <w:p w14:paraId="58E25694" w14:textId="77777777" w:rsidR="00CF641C" w:rsidRPr="00520861" w:rsidRDefault="00CF641C" w:rsidP="00292D2E">
            <w:pPr>
              <w:widowControl w:val="0"/>
              <w:spacing w:line="360" w:lineRule="auto"/>
              <w:jc w:val="center"/>
              <w:rPr>
                <w:rFonts w:eastAsia="Calibri"/>
                <w:sz w:val="28"/>
                <w:szCs w:val="28"/>
              </w:rPr>
            </w:pPr>
            <w:r w:rsidRPr="00520861">
              <w:rPr>
                <w:rFonts w:eastAsiaTheme="minorHAnsi"/>
                <w:sz w:val="28"/>
                <w:szCs w:val="28"/>
                <w:lang w:val="ru-RU" w:eastAsia="en-US"/>
              </w:rPr>
              <w:t>30,2</w:t>
            </w:r>
            <w:proofErr w:type="gramStart"/>
            <w:r w:rsidRPr="00520861">
              <w:rPr>
                <w:rFonts w:eastAsia="Calibri"/>
                <w:sz w:val="28"/>
                <w:szCs w:val="28"/>
                <w:lang w:eastAsia="en-US"/>
              </w:rPr>
              <w:t>*</w:t>
            </w:r>
            <w:r w:rsidRPr="00520861">
              <w:rPr>
                <w:rFonts w:eastAsia="Calibri"/>
                <w:sz w:val="28"/>
                <w:szCs w:val="28"/>
              </w:rPr>
              <w:t xml:space="preserve"> </w:t>
            </w:r>
            <w:r w:rsidRPr="00520861">
              <w:rPr>
                <w:rFonts w:eastAsiaTheme="minorHAnsi"/>
                <w:sz w:val="28"/>
                <w:szCs w:val="28"/>
                <w:lang w:val="ru-RU" w:eastAsia="en-US"/>
              </w:rPr>
              <w:t xml:space="preserve"> (</w:t>
            </w:r>
            <w:proofErr w:type="gramEnd"/>
            <w:r w:rsidRPr="00520861">
              <w:rPr>
                <w:rFonts w:eastAsiaTheme="minorHAnsi"/>
                <w:sz w:val="28"/>
                <w:szCs w:val="28"/>
                <w:lang w:val="ru-RU" w:eastAsia="en-US"/>
              </w:rPr>
              <w:t>33,1</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26,6)</w:t>
            </w:r>
            <w:r w:rsidRPr="00520861">
              <w:rPr>
                <w:rFonts w:eastAsia="Calibri"/>
                <w:sz w:val="28"/>
                <w:szCs w:val="28"/>
              </w:rPr>
              <w:t xml:space="preserve"> </w:t>
            </w:r>
            <w:r w:rsidRPr="00520861">
              <w:rPr>
                <w:rFonts w:eastAsia="Calibri"/>
                <w:sz w:val="28"/>
                <w:szCs w:val="28"/>
                <w:lang w:val="ru-RU"/>
              </w:rPr>
              <w:t xml:space="preserve"> </w:t>
            </w:r>
            <w:r w:rsidRPr="00520861">
              <w:rPr>
                <w:rFonts w:eastAsia="Calibri"/>
                <w:i/>
                <w:sz w:val="28"/>
                <w:szCs w:val="28"/>
                <w:lang w:val="en-US"/>
              </w:rPr>
              <w:t>p</w:t>
            </w:r>
            <w:r w:rsidRPr="00520861">
              <w:rPr>
                <w:rFonts w:eastAsia="Calibri"/>
                <w:sz w:val="28"/>
                <w:szCs w:val="28"/>
                <w:lang w:val="en-US"/>
              </w:rPr>
              <w:t>=</w:t>
            </w:r>
            <w:r w:rsidRPr="00520861">
              <w:rPr>
                <w:rFonts w:eastAsia="Calibri"/>
                <w:sz w:val="28"/>
                <w:szCs w:val="28"/>
                <w:lang w:val="ru-RU"/>
              </w:rPr>
              <w:t>0</w:t>
            </w:r>
            <w:r w:rsidRPr="00520861">
              <w:rPr>
                <w:rFonts w:eastAsia="Calibri"/>
                <w:sz w:val="28"/>
                <w:szCs w:val="28"/>
              </w:rPr>
              <w:t>,</w:t>
            </w:r>
            <w:r w:rsidRPr="00520861">
              <w:rPr>
                <w:rFonts w:eastAsia="Calibri"/>
                <w:sz w:val="28"/>
                <w:szCs w:val="28"/>
                <w:lang w:val="ru-RU"/>
              </w:rPr>
              <w:t>047</w:t>
            </w:r>
          </w:p>
        </w:tc>
        <w:tc>
          <w:tcPr>
            <w:tcW w:w="2834" w:type="dxa"/>
          </w:tcPr>
          <w:p w14:paraId="7E205DCE" w14:textId="77777777" w:rsidR="00CF641C" w:rsidRPr="00520861" w:rsidRDefault="00CF641C" w:rsidP="00292D2E">
            <w:pPr>
              <w:widowControl w:val="0"/>
              <w:spacing w:line="360" w:lineRule="auto"/>
              <w:jc w:val="center"/>
              <w:rPr>
                <w:rFonts w:eastAsiaTheme="minorHAnsi"/>
                <w:sz w:val="28"/>
                <w:szCs w:val="28"/>
                <w:lang w:val="en-US" w:eastAsia="en-US"/>
              </w:rPr>
            </w:pPr>
            <w:r w:rsidRPr="00520861">
              <w:rPr>
                <w:rFonts w:eastAsiaTheme="minorHAnsi"/>
                <w:sz w:val="28"/>
                <w:szCs w:val="28"/>
                <w:lang w:val="ru-RU" w:eastAsia="en-US"/>
              </w:rPr>
              <w:t>0,574</w:t>
            </w:r>
            <w:r w:rsidRPr="00520861">
              <w:rPr>
                <w:rFonts w:eastAsiaTheme="minorHAnsi"/>
                <w:sz w:val="28"/>
                <w:szCs w:val="28"/>
                <w:lang w:eastAsia="en-US"/>
              </w:rPr>
              <w:t xml:space="preserve"> </w:t>
            </w:r>
            <w:r w:rsidRPr="00520861">
              <w:rPr>
                <w:rFonts w:eastAsiaTheme="minorHAnsi"/>
                <w:sz w:val="28"/>
                <w:szCs w:val="28"/>
                <w:lang w:val="ru-RU" w:eastAsia="en-US"/>
              </w:rPr>
              <w:t>(0,756</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0,545)</w:t>
            </w:r>
          </w:p>
        </w:tc>
        <w:tc>
          <w:tcPr>
            <w:tcW w:w="3182" w:type="dxa"/>
          </w:tcPr>
          <w:p w14:paraId="3ABB9335" w14:textId="77777777" w:rsidR="00CF641C" w:rsidRPr="00520861" w:rsidRDefault="00CF641C" w:rsidP="00292D2E">
            <w:pPr>
              <w:widowControl w:val="0"/>
              <w:spacing w:line="360" w:lineRule="auto"/>
              <w:jc w:val="center"/>
              <w:rPr>
                <w:rFonts w:eastAsia="Calibri"/>
                <w:sz w:val="28"/>
                <w:szCs w:val="28"/>
                <w:lang w:val="ru-RU"/>
              </w:rPr>
            </w:pPr>
            <w:r w:rsidRPr="00520861">
              <w:rPr>
                <w:rFonts w:eastAsiaTheme="minorHAnsi"/>
                <w:sz w:val="28"/>
                <w:szCs w:val="28"/>
                <w:lang w:val="ru-RU" w:eastAsia="en-US"/>
              </w:rPr>
              <w:t>0,349</w:t>
            </w:r>
            <w:r w:rsidRPr="00520861">
              <w:rPr>
                <w:rFonts w:eastAsia="Calibri"/>
                <w:sz w:val="28"/>
                <w:szCs w:val="28"/>
                <w:lang w:val="ru-RU"/>
              </w:rPr>
              <w:t>*</w:t>
            </w:r>
            <w:r w:rsidRPr="00520861">
              <w:rPr>
                <w:rFonts w:eastAsiaTheme="minorHAnsi"/>
                <w:sz w:val="28"/>
                <w:szCs w:val="28"/>
                <w:lang w:val="ru-RU" w:eastAsia="en-US"/>
              </w:rPr>
              <w:t xml:space="preserve"> (0,362</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ru-RU" w:eastAsia="en-US"/>
              </w:rPr>
              <w:t>0,338</w:t>
            </w:r>
            <w:proofErr w:type="gramStart"/>
            <w:r w:rsidRPr="00520861">
              <w:rPr>
                <w:rFonts w:eastAsiaTheme="minorHAnsi"/>
                <w:sz w:val="28"/>
                <w:szCs w:val="28"/>
                <w:lang w:val="ru-RU" w:eastAsia="en-US"/>
              </w:rPr>
              <w:t>)</w:t>
            </w:r>
            <w:r w:rsidRPr="00520861">
              <w:rPr>
                <w:rFonts w:eastAsia="Calibri"/>
                <w:sz w:val="28"/>
                <w:szCs w:val="28"/>
              </w:rPr>
              <w:t xml:space="preserve"> </w:t>
            </w:r>
            <w:r w:rsidRPr="00520861">
              <w:rPr>
                <w:rFonts w:eastAsia="Calibri"/>
                <w:sz w:val="28"/>
                <w:szCs w:val="28"/>
                <w:lang w:val="ru-RU"/>
              </w:rPr>
              <w:t xml:space="preserve"> </w:t>
            </w:r>
            <w:r w:rsidRPr="00520861">
              <w:rPr>
                <w:rFonts w:eastAsia="Calibri"/>
                <w:i/>
                <w:sz w:val="28"/>
                <w:szCs w:val="28"/>
                <w:lang w:val="en-US"/>
              </w:rPr>
              <w:t>p</w:t>
            </w:r>
            <w:proofErr w:type="gramEnd"/>
            <w:r w:rsidRPr="00520861">
              <w:rPr>
                <w:rFonts w:eastAsia="Calibri"/>
                <w:sz w:val="28"/>
                <w:szCs w:val="28"/>
                <w:lang w:val="en-US"/>
              </w:rPr>
              <w:t>=</w:t>
            </w:r>
            <w:r w:rsidRPr="00520861">
              <w:rPr>
                <w:rFonts w:eastAsia="Calibri"/>
                <w:sz w:val="28"/>
                <w:szCs w:val="28"/>
                <w:lang w:val="ru-RU"/>
              </w:rPr>
              <w:t>0,009</w:t>
            </w:r>
          </w:p>
        </w:tc>
      </w:tr>
    </w:tbl>
    <w:p w14:paraId="4F3CC0FE"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68C4A551" w14:textId="77777777" w:rsidR="00CF641C" w:rsidRPr="00520861" w:rsidRDefault="00CF641C" w:rsidP="00292D2E">
      <w:pPr>
        <w:widowControl w:val="0"/>
        <w:spacing w:line="360" w:lineRule="auto"/>
        <w:jc w:val="both"/>
        <w:rPr>
          <w:rFonts w:eastAsia="Calibri"/>
          <w:sz w:val="28"/>
          <w:szCs w:val="28"/>
          <w:lang w:eastAsia="en-US"/>
        </w:rPr>
        <w:sectPr w:rsidR="00CF641C" w:rsidRPr="00520861" w:rsidSect="00292D2E">
          <w:pgSz w:w="11906" w:h="16838"/>
          <w:pgMar w:top="1134" w:right="624" w:bottom="1134" w:left="1134" w:header="709" w:footer="709" w:gutter="0"/>
          <w:pgNumType w:start="130"/>
          <w:cols w:space="708"/>
          <w:docGrid w:linePitch="360"/>
        </w:sectPr>
      </w:pPr>
    </w:p>
    <w:p w14:paraId="5B06F47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Отже, залози </w:t>
      </w:r>
      <w:r w:rsidRPr="00520861">
        <w:rPr>
          <w:rFonts w:eastAsiaTheme="minorHAnsi"/>
          <w:sz w:val="28"/>
          <w:szCs w:val="28"/>
          <w:lang w:eastAsia="en-US"/>
        </w:rPr>
        <w:t>МФ</w:t>
      </w:r>
      <w:r w:rsidRPr="00520861">
        <w:rPr>
          <w:rFonts w:eastAsia="Calibri"/>
          <w:sz w:val="28"/>
          <w:szCs w:val="28"/>
          <w:lang w:eastAsia="en-US"/>
        </w:rPr>
        <w:t xml:space="preserve"> високоактивні, але навантаження на окремі </w:t>
      </w:r>
      <w:proofErr w:type="spellStart"/>
      <w:r w:rsidRPr="00520861">
        <w:rPr>
          <w:rFonts w:eastAsia="Calibri"/>
          <w:sz w:val="28"/>
          <w:szCs w:val="28"/>
          <w:lang w:eastAsia="en-US"/>
        </w:rPr>
        <w:t>сероцити</w:t>
      </w:r>
      <w:proofErr w:type="spellEnd"/>
      <w:r w:rsidRPr="00520861">
        <w:rPr>
          <w:rFonts w:eastAsia="Calibri"/>
          <w:sz w:val="28"/>
          <w:szCs w:val="28"/>
          <w:lang w:eastAsia="en-US"/>
        </w:rPr>
        <w:t xml:space="preserve"> </w:t>
      </w:r>
      <w:r w:rsidR="00645ADA" w:rsidRPr="00520861">
        <w:rPr>
          <w:rFonts w:eastAsia="Calibri"/>
          <w:sz w:val="28"/>
          <w:szCs w:val="28"/>
          <w:lang w:eastAsia="en-US"/>
        </w:rPr>
        <w:br/>
      </w:r>
      <w:r w:rsidRPr="00520861">
        <w:rPr>
          <w:rFonts w:eastAsia="Calibri"/>
          <w:sz w:val="28"/>
          <w:szCs w:val="28"/>
          <w:lang w:eastAsia="en-US"/>
        </w:rPr>
        <w:t>відносно невелике.</w:t>
      </w:r>
    </w:p>
    <w:p w14:paraId="34DE0DA4"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шестимісячних тварин групи 3 абсолютна й відносна маси слинних залоз виявилися меншими, ніж у контрольних тварин (табл. 3.10). </w:t>
      </w:r>
    </w:p>
    <w:p w14:paraId="45BE293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Під час </w:t>
      </w:r>
      <w:proofErr w:type="spellStart"/>
      <w:r w:rsidRPr="00520861">
        <w:rPr>
          <w:rFonts w:eastAsia="Calibri"/>
          <w:sz w:val="28"/>
          <w:szCs w:val="28"/>
          <w:lang w:eastAsia="en-US"/>
        </w:rPr>
        <w:t>мікроскопіювання</w:t>
      </w:r>
      <w:proofErr w:type="spellEnd"/>
      <w:r w:rsidRPr="00520861">
        <w:rPr>
          <w:rFonts w:eastAsia="Calibri"/>
          <w:sz w:val="28"/>
          <w:szCs w:val="28"/>
          <w:lang w:eastAsia="en-US"/>
        </w:rPr>
        <w:t xml:space="preserve"> виявлений розвиток </w:t>
      </w:r>
      <w:proofErr w:type="spellStart"/>
      <w:r w:rsidRPr="00520861">
        <w:rPr>
          <w:rFonts w:eastAsia="Calibri"/>
          <w:sz w:val="28"/>
          <w:szCs w:val="28"/>
          <w:lang w:eastAsia="en-US"/>
        </w:rPr>
        <w:t>інтерстиціального</w:t>
      </w:r>
      <w:proofErr w:type="spellEnd"/>
      <w:r w:rsidRPr="00520861">
        <w:rPr>
          <w:rFonts w:eastAsia="Calibri"/>
          <w:sz w:val="28"/>
          <w:szCs w:val="28"/>
          <w:lang w:eastAsia="en-US"/>
        </w:rPr>
        <w:t xml:space="preserve"> склерозу – вираженого </w:t>
      </w:r>
      <w:proofErr w:type="spellStart"/>
      <w:r w:rsidRPr="00520861">
        <w:rPr>
          <w:rFonts w:eastAsia="Calibri"/>
          <w:sz w:val="28"/>
          <w:szCs w:val="28"/>
          <w:lang w:eastAsia="en-US"/>
        </w:rPr>
        <w:t>перидуктального</w:t>
      </w:r>
      <w:proofErr w:type="spellEnd"/>
      <w:r w:rsidRPr="00520861">
        <w:rPr>
          <w:rFonts w:eastAsia="Calibri"/>
          <w:sz w:val="28"/>
          <w:szCs w:val="28"/>
          <w:lang w:eastAsia="en-US"/>
        </w:rPr>
        <w:t xml:space="preserve"> склерозу (рис. 3.18</w:t>
      </w:r>
      <w:r w:rsidRPr="00520861">
        <w:rPr>
          <w:rFonts w:eastAsia="Calibri"/>
          <w:i/>
          <w:sz w:val="28"/>
          <w:szCs w:val="28"/>
          <w:lang w:eastAsia="en-US"/>
        </w:rPr>
        <w:t>а</w:t>
      </w:r>
      <w:r w:rsidRPr="00520861">
        <w:rPr>
          <w:rFonts w:eastAsia="Calibri"/>
          <w:sz w:val="28"/>
          <w:szCs w:val="28"/>
          <w:lang w:eastAsia="en-US"/>
        </w:rPr>
        <w:t xml:space="preserve">). Спостерігалося розширення строми не тільки внаслідок склерозу, але й через виражений набряк і наявність </w:t>
      </w:r>
      <w:proofErr w:type="spellStart"/>
      <w:r w:rsidRPr="00520861">
        <w:rPr>
          <w:rFonts w:eastAsia="Calibri"/>
          <w:sz w:val="28"/>
          <w:szCs w:val="28"/>
          <w:lang w:eastAsia="en-US"/>
        </w:rPr>
        <w:t>марофагально-лімфоцитарної</w:t>
      </w:r>
      <w:proofErr w:type="spellEnd"/>
      <w:r w:rsidRPr="00520861">
        <w:rPr>
          <w:rFonts w:eastAsia="Calibri"/>
          <w:sz w:val="28"/>
          <w:szCs w:val="28"/>
          <w:lang w:eastAsia="en-US"/>
        </w:rPr>
        <w:t xml:space="preserve"> інфільтрації. Виявлені дрібні ділянки руйнування паренхіми. </w:t>
      </w:r>
      <w:proofErr w:type="spellStart"/>
      <w:r w:rsidRPr="00520861">
        <w:rPr>
          <w:rFonts w:eastAsia="Calibri"/>
          <w:sz w:val="28"/>
          <w:szCs w:val="28"/>
          <w:lang w:eastAsia="en-US"/>
        </w:rPr>
        <w:t>Сероцити</w:t>
      </w:r>
      <w:proofErr w:type="spellEnd"/>
      <w:r w:rsidRPr="00520861">
        <w:rPr>
          <w:rFonts w:eastAsia="Calibri"/>
          <w:sz w:val="28"/>
          <w:szCs w:val="28"/>
          <w:lang w:eastAsia="en-US"/>
        </w:rPr>
        <w:t xml:space="preserve"> навколо фокусів руйнування мають феномен </w:t>
      </w:r>
      <w:proofErr w:type="spellStart"/>
      <w:r w:rsidRPr="00520861">
        <w:rPr>
          <w:rFonts w:eastAsia="Calibri"/>
          <w:sz w:val="28"/>
          <w:szCs w:val="28"/>
          <w:lang w:eastAsia="en-US"/>
        </w:rPr>
        <w:t>маргінації</w:t>
      </w:r>
      <w:proofErr w:type="spellEnd"/>
      <w:r w:rsidRPr="00520861">
        <w:rPr>
          <w:rFonts w:eastAsia="Calibri"/>
          <w:sz w:val="28"/>
          <w:szCs w:val="28"/>
          <w:lang w:eastAsia="en-US"/>
        </w:rPr>
        <w:t xml:space="preserve"> хроматину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Ядра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різного розміру, деякі ядра дуже великі, </w:t>
      </w:r>
      <w:proofErr w:type="spellStart"/>
      <w:r w:rsidRPr="00520861">
        <w:rPr>
          <w:rFonts w:eastAsia="Calibri"/>
          <w:sz w:val="28"/>
          <w:szCs w:val="28"/>
          <w:lang w:eastAsia="en-US"/>
        </w:rPr>
        <w:t>гіперхромні</w:t>
      </w:r>
      <w:proofErr w:type="spellEnd"/>
      <w:r w:rsidRPr="00520861">
        <w:rPr>
          <w:rFonts w:eastAsia="Calibri"/>
          <w:sz w:val="28"/>
          <w:szCs w:val="28"/>
          <w:lang w:eastAsia="en-US"/>
        </w:rPr>
        <w:t xml:space="preserve">, вочевидь, </w:t>
      </w:r>
      <w:proofErr w:type="spellStart"/>
      <w:r w:rsidRPr="00520861">
        <w:rPr>
          <w:rFonts w:eastAsia="Calibri"/>
          <w:sz w:val="28"/>
          <w:szCs w:val="28"/>
          <w:lang w:eastAsia="en-US"/>
        </w:rPr>
        <w:t>поліплоїдні</w:t>
      </w:r>
      <w:proofErr w:type="spellEnd"/>
      <w:r w:rsidRPr="00520861">
        <w:rPr>
          <w:rFonts w:eastAsia="Calibri"/>
          <w:sz w:val="28"/>
          <w:szCs w:val="28"/>
          <w:lang w:eastAsia="en-US"/>
        </w:rPr>
        <w:t xml:space="preserve"> (рис. 3.18</w:t>
      </w:r>
      <w:r w:rsidRPr="00520861">
        <w:rPr>
          <w:rFonts w:eastAsia="Calibri"/>
          <w:i/>
          <w:sz w:val="28"/>
          <w:szCs w:val="28"/>
          <w:lang w:eastAsia="en-US"/>
        </w:rPr>
        <w:t>б</w:t>
      </w:r>
      <w:r w:rsidRPr="00520861">
        <w:rPr>
          <w:rFonts w:eastAsia="Calibri"/>
          <w:sz w:val="28"/>
          <w:szCs w:val="28"/>
          <w:lang w:eastAsia="en-US"/>
        </w:rPr>
        <w:t xml:space="preserve">). </w:t>
      </w:r>
      <w:proofErr w:type="spellStart"/>
      <w:r w:rsidRPr="00520861">
        <w:rPr>
          <w:rFonts w:eastAsia="Calibri"/>
          <w:sz w:val="28"/>
          <w:szCs w:val="28"/>
          <w:lang w:eastAsia="en-US"/>
        </w:rPr>
        <w:t>Візуалізується</w:t>
      </w:r>
      <w:proofErr w:type="spellEnd"/>
      <w:r w:rsidRPr="00520861">
        <w:rPr>
          <w:rFonts w:eastAsia="Calibri"/>
          <w:sz w:val="28"/>
          <w:szCs w:val="28"/>
          <w:lang w:eastAsia="en-US"/>
        </w:rPr>
        <w:t xml:space="preserve"> значна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із двома ядрами. Під час морфометрії визначили, що у тварин групи 3 середня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на фіксованій площі зрізу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збільшена порівняно з контролем (табл. 3.10). Медіанні значення площі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як і оптична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зіставні з контрольними, а оптична густина цитоплазми вірогідно збільшена щодо контролю (табл. 3.11). Тобто порівняно з контролем наявні ознаки склерозу, що розвивається, а також </w:t>
      </w:r>
      <w:proofErr w:type="spellStart"/>
      <w:r w:rsidRPr="00520861">
        <w:rPr>
          <w:rFonts w:eastAsia="Calibri"/>
          <w:sz w:val="28"/>
          <w:szCs w:val="28"/>
          <w:lang w:eastAsia="en-US"/>
        </w:rPr>
        <w:t>атрофізації</w:t>
      </w:r>
      <w:proofErr w:type="spellEnd"/>
      <w:r w:rsidRPr="00520861">
        <w:rPr>
          <w:rFonts w:eastAsia="Calibri"/>
          <w:sz w:val="28"/>
          <w:szCs w:val="28"/>
          <w:lang w:eastAsia="en-US"/>
        </w:rPr>
        <w:t xml:space="preserve"> залози з компенсаторною, більш інтенсивною продукцією білків одним </w:t>
      </w:r>
      <w:proofErr w:type="spellStart"/>
      <w:r w:rsidRPr="00520861">
        <w:rPr>
          <w:rFonts w:eastAsia="Calibri"/>
          <w:sz w:val="28"/>
          <w:szCs w:val="28"/>
          <w:lang w:eastAsia="en-US"/>
        </w:rPr>
        <w:t>сероцитом</w:t>
      </w:r>
      <w:proofErr w:type="spellEnd"/>
      <w:r w:rsidRPr="00520861">
        <w:rPr>
          <w:rFonts w:eastAsia="Calibri"/>
          <w:sz w:val="28"/>
          <w:szCs w:val="28"/>
          <w:lang w:eastAsia="en-US"/>
        </w:rPr>
        <w:t xml:space="preserve">. </w:t>
      </w:r>
    </w:p>
    <w:p w14:paraId="2B3F03C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Тварини групи 4, у віці 6 місяців мали абсолютну і відносну масу привушних слинних залоз, зіставну з такою у тварини групи 3, тобто знижену щодо контролю (табл. 3.10). Мікроскопічно місцями </w:t>
      </w:r>
      <w:proofErr w:type="spellStart"/>
      <w:r w:rsidRPr="00520861">
        <w:rPr>
          <w:rFonts w:eastAsia="Calibri"/>
          <w:sz w:val="28"/>
          <w:szCs w:val="28"/>
          <w:lang w:eastAsia="en-US"/>
        </w:rPr>
        <w:t>візуалізується</w:t>
      </w:r>
      <w:proofErr w:type="spellEnd"/>
      <w:r w:rsidRPr="00520861">
        <w:rPr>
          <w:rFonts w:eastAsia="Calibri"/>
          <w:sz w:val="28"/>
          <w:szCs w:val="28"/>
          <w:lang w:eastAsia="en-US"/>
        </w:rPr>
        <w:t xml:space="preserve"> ще більше розширення строми, </w:t>
      </w:r>
      <w:proofErr w:type="spellStart"/>
      <w:r w:rsidRPr="00520861">
        <w:rPr>
          <w:rFonts w:eastAsia="Calibri"/>
          <w:sz w:val="28"/>
          <w:szCs w:val="28"/>
          <w:lang w:eastAsia="en-US"/>
        </w:rPr>
        <w:t>перидуктальний</w:t>
      </w:r>
      <w:proofErr w:type="spellEnd"/>
      <w:r w:rsidRPr="00520861">
        <w:rPr>
          <w:rFonts w:eastAsia="Calibri"/>
          <w:sz w:val="28"/>
          <w:szCs w:val="28"/>
          <w:lang w:eastAsia="en-US"/>
        </w:rPr>
        <w:t xml:space="preserve"> склероз, наявність </w:t>
      </w:r>
      <w:proofErr w:type="spellStart"/>
      <w:r w:rsidRPr="00520861">
        <w:rPr>
          <w:rFonts w:eastAsia="Calibri"/>
          <w:sz w:val="28"/>
          <w:szCs w:val="28"/>
          <w:lang w:eastAsia="en-US"/>
        </w:rPr>
        <w:t>макрофагально-лімфоцитарного</w:t>
      </w:r>
      <w:proofErr w:type="spellEnd"/>
      <w:r w:rsidRPr="00520861">
        <w:rPr>
          <w:rFonts w:eastAsia="Calibri"/>
          <w:sz w:val="28"/>
          <w:szCs w:val="28"/>
          <w:lang w:eastAsia="en-US"/>
        </w:rPr>
        <w:t xml:space="preserve"> інфільтрату зі збільшеною кількістю активних фібробластів і еозинофілів (рис. 3.19</w:t>
      </w:r>
      <w:r w:rsidRPr="00520861">
        <w:rPr>
          <w:rFonts w:eastAsia="Calibri"/>
          <w:i/>
          <w:sz w:val="28"/>
          <w:szCs w:val="28"/>
          <w:lang w:eastAsia="en-US"/>
        </w:rPr>
        <w:t>а</w:t>
      </w:r>
      <w:r w:rsidRPr="00520861">
        <w:rPr>
          <w:rFonts w:eastAsia="Calibri"/>
          <w:sz w:val="28"/>
          <w:szCs w:val="28"/>
          <w:lang w:eastAsia="en-US"/>
        </w:rPr>
        <w:t xml:space="preserve">). Здебільшого </w:t>
      </w:r>
      <w:proofErr w:type="spellStart"/>
      <w:r w:rsidRPr="00520861">
        <w:rPr>
          <w:rFonts w:eastAsia="Calibri"/>
          <w:sz w:val="28"/>
          <w:szCs w:val="28"/>
          <w:lang w:eastAsia="en-US"/>
        </w:rPr>
        <w:t>сероцити</w:t>
      </w:r>
      <w:proofErr w:type="spellEnd"/>
      <w:r w:rsidRPr="00520861">
        <w:rPr>
          <w:rFonts w:eastAsia="Calibri"/>
          <w:sz w:val="28"/>
          <w:szCs w:val="28"/>
          <w:lang w:eastAsia="en-US"/>
        </w:rPr>
        <w:t xml:space="preserve"> невисокі, ядра різного розміру, багато дуже великих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Місцями спостерігалися дрібні ділянки з ознаками загибелі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(рис. 3.19</w:t>
      </w:r>
      <w:r w:rsidRPr="00520861">
        <w:rPr>
          <w:rFonts w:eastAsia="Calibri"/>
          <w:i/>
          <w:sz w:val="28"/>
          <w:szCs w:val="28"/>
          <w:lang w:eastAsia="en-US"/>
        </w:rPr>
        <w:t>б</w:t>
      </w:r>
      <w:r w:rsidRPr="00520861">
        <w:rPr>
          <w:rFonts w:eastAsia="Calibri"/>
          <w:sz w:val="28"/>
          <w:szCs w:val="28"/>
          <w:lang w:eastAsia="en-US"/>
        </w:rPr>
        <w:t xml:space="preserve">). </w:t>
      </w:r>
    </w:p>
    <w:p w14:paraId="2B8003D7" w14:textId="77777777" w:rsidR="00CF641C" w:rsidRPr="00520861" w:rsidRDefault="00CF641C" w:rsidP="00292D2E">
      <w:pPr>
        <w:widowControl w:val="0"/>
        <w:spacing w:line="360" w:lineRule="auto"/>
        <w:ind w:right="-1" w:firstLine="708"/>
        <w:jc w:val="both"/>
        <w:rPr>
          <w:rFonts w:eastAsia="Calibri"/>
          <w:sz w:val="28"/>
          <w:szCs w:val="28"/>
          <w:lang w:eastAsia="en-US"/>
        </w:rPr>
      </w:pPr>
      <w:r w:rsidRPr="00520861">
        <w:rPr>
          <w:rFonts w:eastAsia="Calibri"/>
          <w:sz w:val="28"/>
          <w:szCs w:val="28"/>
          <w:lang w:eastAsia="en-US"/>
        </w:rPr>
        <w:t xml:space="preserve">Під час морфометрії виявлено вірогідне суттєве збільшення кількості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на фіксованій площі зрізу порівняно з групою контролю (табл. 3.11). Середня площа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також виявилася збільшеною щодо контролю, але вірогідність не виявили – як уже зазначено, розмір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дуже різниться. Оптична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і цитоплазми при забарвленні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також збільшена щодо контролю (табл. 3.11).</w:t>
      </w:r>
    </w:p>
    <w:p w14:paraId="69202B31" w14:textId="77777777" w:rsidR="00CF641C" w:rsidRPr="00520861" w:rsidRDefault="00CF641C" w:rsidP="00292D2E">
      <w:pPr>
        <w:widowControl w:val="0"/>
        <w:spacing w:line="360" w:lineRule="auto"/>
        <w:ind w:right="-186"/>
        <w:jc w:val="both"/>
        <w:rPr>
          <w:rFonts w:eastAsia="Calibri"/>
          <w:sz w:val="28"/>
          <w:szCs w:val="28"/>
          <w:lang w:eastAsia="en-US"/>
        </w:rPr>
      </w:pPr>
      <w:r w:rsidRPr="00520861">
        <w:rPr>
          <w:rFonts w:eastAsia="Calibri"/>
          <w:noProof/>
          <w:sz w:val="28"/>
          <w:szCs w:val="28"/>
          <w:lang w:val="ru-RU"/>
        </w:rPr>
        <w:lastRenderedPageBreak/>
        <w:drawing>
          <wp:inline distT="0" distB="0" distL="0" distR="0" wp14:anchorId="1220098B" wp14:editId="721AE70B">
            <wp:extent cx="6411600" cy="2538000"/>
            <wp:effectExtent l="0" t="0" r="0" b="0"/>
            <wp:docPr id="38" name="Рисунок 38" descr="D:\тер стом\научн работа 1\дд друк\ на защиту\Маша\Рис\Рис3.2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D:\тер стом\научн работа 1\дд друк\ на защиту\Маша\Рис\Рис3.20.jpg"/>
                    <pic:cNvPicPr preferRelativeResize="0">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1225D9B6" w14:textId="77777777" w:rsidR="00CF641C" w:rsidRPr="00520861" w:rsidRDefault="00CF641C" w:rsidP="00292D2E">
      <w:pPr>
        <w:widowControl w:val="0"/>
        <w:spacing w:line="360" w:lineRule="auto"/>
        <w:ind w:right="-1" w:firstLine="708"/>
        <w:jc w:val="center"/>
        <w:rPr>
          <w:rFonts w:eastAsia="Calibri"/>
          <w:sz w:val="28"/>
          <w:szCs w:val="28"/>
          <w:lang w:eastAsia="en-US"/>
        </w:rPr>
      </w:pPr>
      <w:r w:rsidRPr="00520861">
        <w:rPr>
          <w:rFonts w:eastAsia="Calibri"/>
          <w:sz w:val="28"/>
          <w:szCs w:val="28"/>
          <w:lang w:eastAsia="en-US"/>
        </w:rPr>
        <w:t xml:space="preserve">Рис.3.18. Ділянка слинної залози 180-денного щура групи 3: </w:t>
      </w:r>
    </w:p>
    <w:p w14:paraId="511DC59A" w14:textId="77777777" w:rsidR="00CF641C" w:rsidRPr="00520861" w:rsidRDefault="00CF641C" w:rsidP="00292D2E">
      <w:pPr>
        <w:widowControl w:val="0"/>
        <w:spacing w:line="360" w:lineRule="auto"/>
        <w:ind w:right="-1" w:firstLine="708"/>
        <w:jc w:val="center"/>
        <w:rPr>
          <w:rFonts w:eastAsia="Calibri"/>
          <w:sz w:val="28"/>
          <w:szCs w:val="28"/>
          <w:lang w:eastAsia="en-US"/>
        </w:rPr>
      </w:pPr>
      <w:r w:rsidRPr="00520861">
        <w:rPr>
          <w:rFonts w:eastAsia="Calibri"/>
          <w:i/>
          <w:sz w:val="28"/>
          <w:szCs w:val="28"/>
          <w:lang w:eastAsia="en-US"/>
        </w:rPr>
        <w:t>а</w:t>
      </w:r>
      <w:r w:rsidRPr="00520861">
        <w:rPr>
          <w:rFonts w:eastAsia="Calibri"/>
          <w:sz w:val="28"/>
          <w:szCs w:val="28"/>
          <w:lang w:eastAsia="en-US"/>
        </w:rPr>
        <w:t xml:space="preserve">) – виражений </w:t>
      </w:r>
      <w:proofErr w:type="spellStart"/>
      <w:r w:rsidRPr="00520861">
        <w:rPr>
          <w:rFonts w:eastAsia="Calibri"/>
          <w:sz w:val="28"/>
          <w:szCs w:val="28"/>
          <w:lang w:eastAsia="en-US"/>
        </w:rPr>
        <w:t>перидуктальний</w:t>
      </w:r>
      <w:proofErr w:type="spellEnd"/>
      <w:r w:rsidRPr="00520861">
        <w:rPr>
          <w:rFonts w:eastAsia="Calibri"/>
          <w:sz w:val="28"/>
          <w:szCs w:val="28"/>
          <w:lang w:eastAsia="en-US"/>
        </w:rPr>
        <w:t xml:space="preserve"> склероз (забарвлення гематоксиліном та еозином; збільшення </w:t>
      </w:r>
      <w:r w:rsidRPr="00520861">
        <w:rPr>
          <w:rFonts w:eastAsia="Calibri"/>
          <w:sz w:val="28"/>
          <w:szCs w:val="28"/>
          <w:lang w:val="ru-RU" w:eastAsia="en-US"/>
        </w:rPr>
        <w:sym w:font="Symbol" w:char="F0B4"/>
      </w:r>
      <w:r w:rsidRPr="00520861">
        <w:rPr>
          <w:rFonts w:eastAsia="Calibri"/>
          <w:sz w:val="28"/>
          <w:szCs w:val="28"/>
          <w:lang w:eastAsia="en-US"/>
        </w:rPr>
        <w:t xml:space="preserve">100); </w:t>
      </w:r>
    </w:p>
    <w:p w14:paraId="7E327E68" w14:textId="77777777" w:rsidR="00CF641C" w:rsidRPr="00520861" w:rsidRDefault="00CF641C" w:rsidP="00292D2E">
      <w:pPr>
        <w:widowControl w:val="0"/>
        <w:spacing w:line="360" w:lineRule="auto"/>
        <w:ind w:right="-1" w:firstLine="708"/>
        <w:jc w:val="center"/>
        <w:rPr>
          <w:rFonts w:eastAsia="Calibri"/>
          <w:sz w:val="28"/>
          <w:szCs w:val="28"/>
          <w:lang w:eastAsia="en-US"/>
        </w:rPr>
      </w:pPr>
      <w:r w:rsidRPr="00520861">
        <w:rPr>
          <w:rFonts w:eastAsia="Calibri"/>
          <w:i/>
          <w:sz w:val="28"/>
          <w:szCs w:val="28"/>
          <w:lang w:eastAsia="en-US"/>
        </w:rPr>
        <w:t>б</w:t>
      </w:r>
      <w:r w:rsidRPr="00520861">
        <w:rPr>
          <w:rFonts w:eastAsia="Calibri"/>
          <w:sz w:val="28"/>
          <w:szCs w:val="28"/>
          <w:lang w:eastAsia="en-US"/>
        </w:rPr>
        <w:t xml:space="preserve">) – велика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з крупними (</w:t>
      </w:r>
      <w:proofErr w:type="spellStart"/>
      <w:r w:rsidRPr="00520861">
        <w:rPr>
          <w:rFonts w:eastAsia="Calibri"/>
          <w:sz w:val="28"/>
          <w:szCs w:val="28"/>
          <w:lang w:eastAsia="en-US"/>
        </w:rPr>
        <w:t>поліпооїдними</w:t>
      </w:r>
      <w:proofErr w:type="spellEnd"/>
      <w:r w:rsidRPr="00520861">
        <w:rPr>
          <w:rFonts w:eastAsia="Calibri"/>
          <w:sz w:val="28"/>
          <w:szCs w:val="28"/>
          <w:lang w:eastAsia="en-US"/>
        </w:rPr>
        <w:t>) ядрами (</w:t>
      </w:r>
      <w:r w:rsidRPr="00520861">
        <w:rPr>
          <w:rFonts w:eastAsia="Calibri"/>
          <w:sz w:val="28"/>
          <w:szCs w:val="28"/>
          <w:lang w:eastAsia="en-US"/>
        </w:rPr>
        <w:sym w:font="Symbol" w:char="F0D1"/>
      </w:r>
      <w:r w:rsidRPr="00520861">
        <w:rPr>
          <w:rFonts w:eastAsia="Calibri"/>
          <w:sz w:val="28"/>
          <w:szCs w:val="28"/>
          <w:lang w:eastAsia="en-US"/>
        </w:rPr>
        <w:t xml:space="preserve">), та з </w:t>
      </w:r>
      <w:proofErr w:type="spellStart"/>
      <w:r w:rsidRPr="00520861">
        <w:rPr>
          <w:rFonts w:eastAsia="Calibri"/>
          <w:sz w:val="28"/>
          <w:szCs w:val="28"/>
          <w:lang w:eastAsia="en-US"/>
        </w:rPr>
        <w:t>еухромними</w:t>
      </w:r>
      <w:proofErr w:type="spellEnd"/>
      <w:r w:rsidRPr="00520861">
        <w:rPr>
          <w:rFonts w:eastAsia="Calibri"/>
          <w:sz w:val="28"/>
          <w:szCs w:val="28"/>
          <w:lang w:eastAsia="en-US"/>
        </w:rPr>
        <w:t xml:space="preserve"> ядрами (∆) (забарвлення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збільшення </w:t>
      </w:r>
      <w:r w:rsidRPr="00520861">
        <w:rPr>
          <w:rFonts w:eastAsia="Calibri"/>
          <w:sz w:val="28"/>
          <w:szCs w:val="28"/>
          <w:lang w:val="ru-RU" w:eastAsia="en-US"/>
        </w:rPr>
        <w:sym w:font="Symbol" w:char="F0B4"/>
      </w:r>
      <w:r w:rsidRPr="00520861">
        <w:rPr>
          <w:rFonts w:eastAsia="Calibri"/>
          <w:sz w:val="28"/>
          <w:szCs w:val="28"/>
          <w:lang w:eastAsia="en-US"/>
        </w:rPr>
        <w:t>400).</w:t>
      </w:r>
    </w:p>
    <w:p w14:paraId="72285756" w14:textId="77777777" w:rsidR="00CF641C" w:rsidRPr="00520861" w:rsidRDefault="00CF641C" w:rsidP="00292D2E">
      <w:pPr>
        <w:widowControl w:val="0"/>
        <w:spacing w:line="360" w:lineRule="auto"/>
        <w:ind w:right="-1" w:firstLine="709"/>
        <w:jc w:val="both"/>
        <w:rPr>
          <w:rFonts w:eastAsia="Calibri"/>
          <w:sz w:val="28"/>
          <w:szCs w:val="28"/>
          <w:lang w:eastAsia="en-US"/>
        </w:rPr>
      </w:pPr>
    </w:p>
    <w:p w14:paraId="10AB6C51" w14:textId="77777777" w:rsidR="00CF641C" w:rsidRPr="00520861" w:rsidRDefault="00CF641C" w:rsidP="00292D2E">
      <w:pPr>
        <w:widowControl w:val="0"/>
        <w:spacing w:line="360" w:lineRule="auto"/>
        <w:ind w:right="-1"/>
        <w:jc w:val="both"/>
        <w:rPr>
          <w:rFonts w:eastAsia="Calibri"/>
          <w:sz w:val="28"/>
          <w:szCs w:val="28"/>
          <w:lang w:eastAsia="en-US"/>
        </w:rPr>
      </w:pPr>
      <w:r w:rsidRPr="00520861">
        <w:rPr>
          <w:rFonts w:eastAsia="Calibri"/>
          <w:noProof/>
          <w:sz w:val="28"/>
          <w:szCs w:val="28"/>
          <w:lang w:val="ru-RU"/>
        </w:rPr>
        <w:drawing>
          <wp:inline distT="0" distB="0" distL="0" distR="0" wp14:anchorId="0D1E9120" wp14:editId="68B2437A">
            <wp:extent cx="6411600" cy="2538000"/>
            <wp:effectExtent l="0" t="0" r="0" b="0"/>
            <wp:docPr id="39" name="Рисунок 39" descr="D:\тер стом\научн работа 1\дд друк\ на защиту\Маша\Рис\Рис3.2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D:\тер стом\научн работа 1\дд друк\ на защиту\Маша\Рис\Рис3.21.jpg"/>
                    <pic:cNvPicPr preferRelativeResize="0">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1B670C76"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3.19. Ділянка слинної залози 180-денного щура групи 4: </w:t>
      </w:r>
    </w:p>
    <w:p w14:paraId="5B55C4B6"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i/>
          <w:sz w:val="28"/>
          <w:szCs w:val="28"/>
          <w:lang w:eastAsia="en-US"/>
        </w:rPr>
        <w:t>а</w:t>
      </w:r>
      <w:r w:rsidRPr="00520861">
        <w:rPr>
          <w:rFonts w:eastAsia="Calibri"/>
          <w:sz w:val="28"/>
          <w:szCs w:val="28"/>
          <w:lang w:eastAsia="en-US"/>
        </w:rPr>
        <w:t xml:space="preserve">) – </w:t>
      </w:r>
      <w:proofErr w:type="spellStart"/>
      <w:r w:rsidRPr="00520861">
        <w:rPr>
          <w:rFonts w:eastAsia="Calibri"/>
          <w:sz w:val="28"/>
          <w:szCs w:val="28"/>
          <w:lang w:eastAsia="en-US"/>
        </w:rPr>
        <w:t>перидуктальний</w:t>
      </w:r>
      <w:proofErr w:type="spellEnd"/>
      <w:r w:rsidRPr="00520861">
        <w:rPr>
          <w:rFonts w:eastAsia="Calibri"/>
          <w:sz w:val="28"/>
          <w:szCs w:val="28"/>
          <w:lang w:eastAsia="en-US"/>
        </w:rPr>
        <w:t xml:space="preserve"> інфільтрат, хронічний </w:t>
      </w:r>
      <w:proofErr w:type="spellStart"/>
      <w:r w:rsidRPr="00520861">
        <w:rPr>
          <w:rFonts w:eastAsia="Calibri"/>
          <w:sz w:val="28"/>
          <w:szCs w:val="28"/>
          <w:lang w:eastAsia="en-US"/>
        </w:rPr>
        <w:t>сіалоаденіт</w:t>
      </w:r>
      <w:proofErr w:type="spellEnd"/>
      <w:r w:rsidRPr="00520861">
        <w:rPr>
          <w:rFonts w:eastAsia="Calibri"/>
          <w:sz w:val="28"/>
          <w:szCs w:val="28"/>
          <w:lang w:eastAsia="en-US"/>
        </w:rPr>
        <w:t xml:space="preserve">, поступове згасання паренхіми, ядра великі, у кінцевих відділах просвіти відсутні (PAS–реакція); </w:t>
      </w:r>
    </w:p>
    <w:p w14:paraId="04685CA7"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i/>
          <w:sz w:val="28"/>
          <w:szCs w:val="28"/>
          <w:lang w:eastAsia="en-US"/>
        </w:rPr>
        <w:t>б</w:t>
      </w:r>
      <w:r w:rsidRPr="00520861">
        <w:rPr>
          <w:rFonts w:eastAsia="Calibri"/>
          <w:sz w:val="28"/>
          <w:szCs w:val="28"/>
          <w:lang w:eastAsia="en-US"/>
        </w:rPr>
        <w:t xml:space="preserve">) – по центру знімка залоза, у якій є явища загибелі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і їхньої </w:t>
      </w:r>
      <w:r w:rsidRPr="00520861">
        <w:rPr>
          <w:rFonts w:eastAsia="Calibri"/>
          <w:sz w:val="28"/>
          <w:szCs w:val="28"/>
          <w:lang w:eastAsia="en-US"/>
        </w:rPr>
        <w:br/>
        <w:t>регенерації (</w:t>
      </w:r>
      <w:proofErr w:type="spellStart"/>
      <w:r w:rsidRPr="00520861">
        <w:rPr>
          <w:rFonts w:eastAsia="Calibri"/>
          <w:sz w:val="28"/>
          <w:szCs w:val="28"/>
          <w:lang w:eastAsia="en-US"/>
        </w:rPr>
        <w:t>поліплоїдні</w:t>
      </w:r>
      <w:proofErr w:type="spellEnd"/>
      <w:r w:rsidRPr="00520861">
        <w:rPr>
          <w:rFonts w:eastAsia="Calibri"/>
          <w:sz w:val="28"/>
          <w:szCs w:val="28"/>
          <w:lang w:eastAsia="en-US"/>
        </w:rPr>
        <w:t xml:space="preserve"> ядра) </w:t>
      </w:r>
      <w:r w:rsidRPr="00520861">
        <w:rPr>
          <w:rFonts w:eastAsia="Calibri"/>
          <w:sz w:val="28"/>
          <w:szCs w:val="28"/>
          <w:lang w:eastAsia="en-US"/>
        </w:rPr>
        <w:sym w:font="Symbol" w:char="F0D1"/>
      </w:r>
      <w:r w:rsidRPr="00520861">
        <w:rPr>
          <w:rFonts w:eastAsia="Calibri"/>
          <w:sz w:val="28"/>
          <w:szCs w:val="28"/>
          <w:lang w:eastAsia="en-US"/>
        </w:rPr>
        <w:t xml:space="preserve">. </w:t>
      </w:r>
      <w:r w:rsidRPr="00520861">
        <w:rPr>
          <w:rFonts w:eastAsia="Calibri"/>
          <w:sz w:val="28"/>
          <w:szCs w:val="28"/>
          <w:lang w:eastAsia="en-US"/>
        </w:rPr>
        <w:br/>
        <w:t xml:space="preserve">Забарвлення гематоксиліном та еозином; збільшення </w:t>
      </w:r>
      <w:r w:rsidRPr="00520861">
        <w:rPr>
          <w:rFonts w:eastAsia="Calibri"/>
          <w:sz w:val="28"/>
          <w:szCs w:val="28"/>
          <w:lang w:val="ru-RU" w:eastAsia="en-US"/>
        </w:rPr>
        <w:sym w:font="Symbol" w:char="F0B4"/>
      </w:r>
      <w:r w:rsidRPr="00520861">
        <w:rPr>
          <w:rFonts w:eastAsia="Calibri"/>
          <w:sz w:val="28"/>
          <w:szCs w:val="28"/>
          <w:lang w:eastAsia="en-US"/>
        </w:rPr>
        <w:t>400.</w:t>
      </w:r>
    </w:p>
    <w:p w14:paraId="32B720AD"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Виявлені фокуси загибелі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а ті </w:t>
      </w:r>
      <w:proofErr w:type="spellStart"/>
      <w:r w:rsidRPr="00520861">
        <w:rPr>
          <w:rFonts w:eastAsia="Calibri"/>
          <w:sz w:val="28"/>
          <w:szCs w:val="28"/>
          <w:lang w:eastAsia="en-US"/>
        </w:rPr>
        <w:t>гландулоцити</w:t>
      </w:r>
      <w:proofErr w:type="spellEnd"/>
      <w:r w:rsidRPr="00520861">
        <w:rPr>
          <w:rFonts w:eastAsia="Calibri"/>
          <w:sz w:val="28"/>
          <w:szCs w:val="28"/>
          <w:lang w:eastAsia="en-US"/>
        </w:rPr>
        <w:t xml:space="preserve">, що залишилися, функціонують із більшим навантаженням. </w:t>
      </w:r>
    </w:p>
    <w:p w14:paraId="366D548E"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Була поставлена </w:t>
      </w:r>
      <w:proofErr w:type="spellStart"/>
      <w:r w:rsidRPr="00520861">
        <w:rPr>
          <w:rFonts w:eastAsia="Calibri"/>
          <w:sz w:val="28"/>
          <w:szCs w:val="28"/>
          <w:lang w:eastAsia="en-US"/>
        </w:rPr>
        <w:t>імуногістохімічна</w:t>
      </w:r>
      <w:proofErr w:type="spellEnd"/>
      <w:r w:rsidRPr="00520861">
        <w:rPr>
          <w:rFonts w:eastAsia="Calibri"/>
          <w:sz w:val="28"/>
          <w:szCs w:val="28"/>
          <w:lang w:eastAsia="en-US"/>
        </w:rPr>
        <w:t xml:space="preserve"> реакція з використанням антитіл до </w:t>
      </w:r>
      <w:proofErr w:type="spellStart"/>
      <w:r w:rsidRPr="00520861">
        <w:rPr>
          <w:rFonts w:eastAsia="Calibri"/>
          <w:sz w:val="28"/>
          <w:szCs w:val="28"/>
          <w:lang w:eastAsia="en-US"/>
        </w:rPr>
        <w:t>Caspase</w:t>
      </w:r>
      <w:proofErr w:type="spellEnd"/>
      <w:r w:rsidRPr="00520861">
        <w:rPr>
          <w:rFonts w:eastAsia="Calibri"/>
          <w:sz w:val="28"/>
          <w:szCs w:val="28"/>
          <w:lang w:eastAsia="en-US"/>
        </w:rPr>
        <w:t xml:space="preserve"> 3, яка є маркером </w:t>
      </w:r>
      <w:proofErr w:type="spellStart"/>
      <w:r w:rsidRPr="00520861">
        <w:rPr>
          <w:rFonts w:eastAsia="Calibri"/>
          <w:sz w:val="28"/>
          <w:szCs w:val="28"/>
          <w:lang w:eastAsia="en-US"/>
        </w:rPr>
        <w:t>апоптозу</w:t>
      </w:r>
      <w:proofErr w:type="spellEnd"/>
      <w:r w:rsidRPr="00520861">
        <w:rPr>
          <w:rFonts w:eastAsia="Calibri"/>
          <w:sz w:val="28"/>
          <w:szCs w:val="28"/>
          <w:lang w:eastAsia="en-US"/>
        </w:rPr>
        <w:t xml:space="preserve">. Якщо у тварин контрольної групи мічені </w:t>
      </w:r>
      <w:proofErr w:type="spellStart"/>
      <w:r w:rsidRPr="00520861">
        <w:rPr>
          <w:rFonts w:eastAsia="Calibri"/>
          <w:sz w:val="28"/>
          <w:szCs w:val="28"/>
          <w:lang w:eastAsia="en-US"/>
        </w:rPr>
        <w:t>гландулоцити</w:t>
      </w:r>
      <w:proofErr w:type="spellEnd"/>
      <w:r w:rsidRPr="00520861">
        <w:rPr>
          <w:rFonts w:eastAsia="Calibri"/>
          <w:sz w:val="28"/>
          <w:szCs w:val="28"/>
          <w:lang w:eastAsia="en-US"/>
        </w:rPr>
        <w:t xml:space="preserve"> є поодинокими (рис. 3.20</w:t>
      </w:r>
      <w:r w:rsidRPr="00520861">
        <w:rPr>
          <w:rFonts w:eastAsia="Calibri"/>
          <w:i/>
          <w:sz w:val="28"/>
          <w:szCs w:val="28"/>
          <w:lang w:eastAsia="en-US"/>
        </w:rPr>
        <w:t>а</w:t>
      </w:r>
      <w:r w:rsidRPr="00520861">
        <w:rPr>
          <w:rFonts w:eastAsia="Calibri"/>
          <w:sz w:val="28"/>
          <w:szCs w:val="28"/>
          <w:lang w:eastAsia="en-US"/>
        </w:rPr>
        <w:t xml:space="preserve">) і вони спостерігаються не в кожному полі зору, то у тварин групи 1 мічені </w:t>
      </w:r>
      <w:proofErr w:type="spellStart"/>
      <w:r w:rsidRPr="00520861">
        <w:rPr>
          <w:rFonts w:eastAsia="Calibri"/>
          <w:sz w:val="28"/>
          <w:szCs w:val="28"/>
          <w:lang w:eastAsia="en-US"/>
        </w:rPr>
        <w:t>гландулоцити</w:t>
      </w:r>
      <w:proofErr w:type="spellEnd"/>
      <w:r w:rsidRPr="00520861">
        <w:rPr>
          <w:rFonts w:eastAsia="Calibri"/>
          <w:sz w:val="28"/>
          <w:szCs w:val="28"/>
          <w:lang w:eastAsia="en-US"/>
        </w:rPr>
        <w:t xml:space="preserve"> трапляються частіше, ніж у контрольних </w:t>
      </w:r>
      <w:proofErr w:type="spellStart"/>
      <w:r w:rsidRPr="00520861">
        <w:rPr>
          <w:rFonts w:eastAsia="Calibri"/>
          <w:sz w:val="28"/>
          <w:szCs w:val="28"/>
          <w:lang w:eastAsia="en-US"/>
        </w:rPr>
        <w:t>тванин</w:t>
      </w:r>
      <w:proofErr w:type="spellEnd"/>
      <w:r w:rsidRPr="00520861">
        <w:rPr>
          <w:rFonts w:eastAsia="Calibri"/>
          <w:sz w:val="28"/>
          <w:szCs w:val="28"/>
          <w:lang w:eastAsia="en-US"/>
        </w:rPr>
        <w:t xml:space="preserve"> </w:t>
      </w:r>
      <w:r w:rsidRPr="00520861">
        <w:rPr>
          <w:rFonts w:eastAsia="Calibri"/>
          <w:sz w:val="28"/>
          <w:szCs w:val="28"/>
          <w:lang w:eastAsia="en-US"/>
        </w:rPr>
        <w:br/>
        <w:t>(рис. 3.20</w:t>
      </w:r>
      <w:r w:rsidRPr="00520861">
        <w:rPr>
          <w:rFonts w:eastAsia="Calibri"/>
          <w:i/>
          <w:sz w:val="28"/>
          <w:szCs w:val="28"/>
          <w:lang w:eastAsia="en-US"/>
        </w:rPr>
        <w:t>б</w:t>
      </w:r>
      <w:r w:rsidRPr="00520861">
        <w:rPr>
          <w:rFonts w:eastAsia="Calibri"/>
          <w:sz w:val="28"/>
          <w:szCs w:val="28"/>
          <w:lang w:eastAsia="en-US"/>
        </w:rPr>
        <w:t xml:space="preserve">). А при збільшенні ступеня ВУ ожиріння в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(група 3, рис. 3.20</w:t>
      </w:r>
      <w:r w:rsidRPr="00520861">
        <w:rPr>
          <w:rFonts w:eastAsia="Calibri"/>
          <w:i/>
          <w:sz w:val="28"/>
          <w:szCs w:val="28"/>
          <w:lang w:eastAsia="en-US"/>
        </w:rPr>
        <w:t>в</w:t>
      </w:r>
      <w:r w:rsidRPr="00520861">
        <w:rPr>
          <w:rFonts w:eastAsia="Calibri"/>
          <w:sz w:val="28"/>
          <w:szCs w:val="28"/>
          <w:lang w:eastAsia="en-US"/>
        </w:rPr>
        <w:t>) та, особливо, при гіпокінетичному способі життя вагітних самиць (група 4, рис. 3.20</w:t>
      </w:r>
      <w:r w:rsidRPr="00520861">
        <w:rPr>
          <w:rFonts w:eastAsia="Calibri"/>
          <w:i/>
          <w:sz w:val="28"/>
          <w:szCs w:val="28"/>
          <w:lang w:eastAsia="en-US"/>
        </w:rPr>
        <w:t>г</w:t>
      </w:r>
      <w:r w:rsidRPr="00520861">
        <w:rPr>
          <w:rFonts w:eastAsia="Calibri"/>
          <w:sz w:val="28"/>
          <w:szCs w:val="28"/>
          <w:lang w:eastAsia="en-US"/>
        </w:rPr>
        <w:t xml:space="preserve">), мічені клітини трапляються у великій кількості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w:t>
      </w:r>
    </w:p>
    <w:p w14:paraId="1B519EE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drawing>
          <wp:inline distT="0" distB="0" distL="0" distR="0" wp14:anchorId="19D38AC5" wp14:editId="637F6D2C">
            <wp:extent cx="6195870" cy="4943475"/>
            <wp:effectExtent l="0" t="0" r="0" b="0"/>
            <wp:docPr id="40" name="Рисунок 40" descr="D:\тер стом\научн работа 1\дд друк\ на защиту\Маша\Рис\Рис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тер стом\научн работа 1\дд друк\ на защиту\Маша\Рис\Рис3.2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205374" cy="4951058"/>
                    </a:xfrm>
                    <a:prstGeom prst="rect">
                      <a:avLst/>
                    </a:prstGeom>
                    <a:noFill/>
                    <a:ln>
                      <a:noFill/>
                    </a:ln>
                  </pic:spPr>
                </pic:pic>
              </a:graphicData>
            </a:graphic>
          </wp:inline>
        </w:drawing>
      </w:r>
    </w:p>
    <w:p w14:paraId="254A0386"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3.20. Ділянка слинної залози 180-денних щурів: </w:t>
      </w:r>
      <w:r w:rsidRPr="00520861">
        <w:rPr>
          <w:rFonts w:eastAsia="Calibri"/>
          <w:i/>
          <w:sz w:val="28"/>
          <w:szCs w:val="28"/>
          <w:lang w:eastAsia="en-US"/>
        </w:rPr>
        <w:t>а</w:t>
      </w:r>
      <w:r w:rsidRPr="00520861">
        <w:rPr>
          <w:rFonts w:eastAsia="Calibri"/>
          <w:sz w:val="28"/>
          <w:szCs w:val="28"/>
          <w:lang w:eastAsia="en-US"/>
        </w:rPr>
        <w:t xml:space="preserve">) – групи контролю; </w:t>
      </w:r>
      <w:r w:rsidRPr="00520861">
        <w:rPr>
          <w:rFonts w:eastAsia="Calibri"/>
          <w:i/>
          <w:sz w:val="28"/>
          <w:szCs w:val="28"/>
          <w:lang w:eastAsia="en-US"/>
        </w:rPr>
        <w:t>б</w:t>
      </w:r>
      <w:r w:rsidRPr="00520861">
        <w:rPr>
          <w:rFonts w:eastAsia="Calibri"/>
          <w:sz w:val="28"/>
          <w:szCs w:val="28"/>
          <w:lang w:eastAsia="en-US"/>
        </w:rPr>
        <w:t xml:space="preserve">) – групи 1; </w:t>
      </w:r>
      <w:r w:rsidRPr="00520861">
        <w:rPr>
          <w:rFonts w:eastAsia="Calibri"/>
          <w:i/>
          <w:sz w:val="28"/>
          <w:szCs w:val="28"/>
          <w:lang w:eastAsia="en-US"/>
        </w:rPr>
        <w:t>в</w:t>
      </w:r>
      <w:r w:rsidRPr="00520861">
        <w:rPr>
          <w:rFonts w:eastAsia="Calibri"/>
          <w:sz w:val="28"/>
          <w:szCs w:val="28"/>
          <w:lang w:eastAsia="en-US"/>
        </w:rPr>
        <w:t xml:space="preserve">) – групи 3; </w:t>
      </w:r>
      <w:r w:rsidRPr="00520861">
        <w:rPr>
          <w:rFonts w:eastAsia="Calibri"/>
          <w:i/>
          <w:sz w:val="28"/>
          <w:szCs w:val="28"/>
          <w:lang w:eastAsia="en-US"/>
        </w:rPr>
        <w:t>г</w:t>
      </w:r>
      <w:r w:rsidRPr="00520861">
        <w:rPr>
          <w:rFonts w:eastAsia="Calibri"/>
          <w:sz w:val="28"/>
          <w:szCs w:val="28"/>
          <w:lang w:eastAsia="en-US"/>
        </w:rPr>
        <w:t xml:space="preserve">) – групи 4.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кінцеві відділи, в яких </w:t>
      </w:r>
      <w:proofErr w:type="spellStart"/>
      <w:r w:rsidRPr="00520861">
        <w:rPr>
          <w:rFonts w:eastAsia="Calibri"/>
          <w:sz w:val="28"/>
          <w:szCs w:val="28"/>
          <w:lang w:eastAsia="en-US"/>
        </w:rPr>
        <w:t>гландулоцити</w:t>
      </w:r>
      <w:proofErr w:type="spellEnd"/>
      <w:r w:rsidRPr="00520861">
        <w:rPr>
          <w:rFonts w:eastAsia="Calibri"/>
          <w:sz w:val="28"/>
          <w:szCs w:val="28"/>
          <w:lang w:eastAsia="en-US"/>
        </w:rPr>
        <w:t xml:space="preserve"> мічені антитілами до </w:t>
      </w:r>
      <w:r w:rsidRPr="00520861">
        <w:rPr>
          <w:rFonts w:eastAsia="Calibri"/>
          <w:sz w:val="28"/>
          <w:szCs w:val="28"/>
          <w:lang w:val="en-US" w:eastAsia="en-US"/>
        </w:rPr>
        <w:t>Caspase</w:t>
      </w:r>
      <w:r w:rsidRPr="00520861">
        <w:rPr>
          <w:rFonts w:eastAsia="Calibri"/>
          <w:sz w:val="28"/>
          <w:szCs w:val="28"/>
          <w:lang w:eastAsia="en-US"/>
        </w:rPr>
        <w:t xml:space="preserve"> 3. </w:t>
      </w:r>
      <w:proofErr w:type="spellStart"/>
      <w:r w:rsidRPr="00520861">
        <w:rPr>
          <w:rFonts w:eastAsia="Calibri"/>
          <w:sz w:val="28"/>
          <w:szCs w:val="28"/>
          <w:lang w:eastAsia="en-US"/>
        </w:rPr>
        <w:t>Імуногістохімічна</w:t>
      </w:r>
      <w:proofErr w:type="spellEnd"/>
      <w:r w:rsidRPr="00520861">
        <w:rPr>
          <w:rFonts w:eastAsia="Calibri"/>
          <w:sz w:val="28"/>
          <w:szCs w:val="28"/>
          <w:lang w:eastAsia="en-US"/>
        </w:rPr>
        <w:t xml:space="preserve"> реакція з </w:t>
      </w:r>
      <w:r w:rsidRPr="00520861">
        <w:rPr>
          <w:rFonts w:eastAsia="Calibri"/>
          <w:sz w:val="28"/>
          <w:szCs w:val="28"/>
          <w:lang w:val="en-US" w:eastAsia="en-US"/>
        </w:rPr>
        <w:t>Caspase</w:t>
      </w:r>
      <w:r w:rsidRPr="00520861">
        <w:rPr>
          <w:rFonts w:eastAsia="Calibri"/>
          <w:sz w:val="28"/>
          <w:szCs w:val="28"/>
          <w:lang w:eastAsia="en-US"/>
        </w:rPr>
        <w:t xml:space="preserve"> 3, </w:t>
      </w:r>
      <w:r w:rsidRPr="00520861">
        <w:rPr>
          <w:rFonts w:eastAsia="Calibri"/>
          <w:sz w:val="28"/>
          <w:szCs w:val="28"/>
          <w:lang w:eastAsia="en-US"/>
        </w:rPr>
        <w:br/>
      </w:r>
      <w:proofErr w:type="spellStart"/>
      <w:r w:rsidRPr="00520861">
        <w:rPr>
          <w:rFonts w:eastAsia="Calibri"/>
          <w:sz w:val="28"/>
          <w:szCs w:val="28"/>
          <w:lang w:eastAsia="en-US"/>
        </w:rPr>
        <w:t>дозабарвлювання</w:t>
      </w:r>
      <w:proofErr w:type="spellEnd"/>
      <w:r w:rsidRPr="00520861">
        <w:rPr>
          <w:rFonts w:eastAsia="Calibri"/>
          <w:sz w:val="28"/>
          <w:szCs w:val="28"/>
          <w:lang w:eastAsia="en-US"/>
        </w:rPr>
        <w:t xml:space="preserve"> гематоксиліном Майєра;</w:t>
      </w:r>
      <w:r w:rsidRPr="00520861">
        <w:rPr>
          <w:rFonts w:eastAsiaTheme="minorHAnsi"/>
          <w:sz w:val="28"/>
          <w:szCs w:val="28"/>
          <w:lang w:eastAsia="en-US"/>
        </w:rPr>
        <w:t xml:space="preserve"> </w:t>
      </w:r>
      <w:r w:rsidRPr="00520861">
        <w:rPr>
          <w:rFonts w:eastAsia="Calibri"/>
          <w:sz w:val="28"/>
          <w:szCs w:val="28"/>
          <w:lang w:eastAsia="en-US"/>
        </w:rPr>
        <w:t xml:space="preserve">збільшення </w:t>
      </w:r>
      <w:r w:rsidRPr="00520861">
        <w:rPr>
          <w:rFonts w:eastAsia="Calibri"/>
          <w:sz w:val="28"/>
          <w:szCs w:val="28"/>
          <w:lang w:val="ru-RU" w:eastAsia="en-US"/>
        </w:rPr>
        <w:sym w:font="Symbol" w:char="F0B4"/>
      </w:r>
      <w:r w:rsidRPr="00520861">
        <w:rPr>
          <w:rFonts w:eastAsia="Calibri"/>
          <w:sz w:val="28"/>
          <w:szCs w:val="28"/>
          <w:lang w:eastAsia="en-US"/>
        </w:rPr>
        <w:t>400</w:t>
      </w:r>
    </w:p>
    <w:p w14:paraId="2375EBF8"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Порівняння інтенсивності </w:t>
      </w:r>
      <w:proofErr w:type="spellStart"/>
      <w:r w:rsidRPr="00520861">
        <w:rPr>
          <w:rFonts w:eastAsia="Calibri"/>
          <w:sz w:val="28"/>
          <w:szCs w:val="28"/>
          <w:lang w:eastAsia="en-US"/>
        </w:rPr>
        <w:t>імуногістохімічної</w:t>
      </w:r>
      <w:proofErr w:type="spellEnd"/>
      <w:r w:rsidRPr="00520861">
        <w:rPr>
          <w:rFonts w:eastAsia="Calibri"/>
          <w:sz w:val="28"/>
          <w:szCs w:val="28"/>
          <w:lang w:eastAsia="en-US"/>
        </w:rPr>
        <w:t xml:space="preserve"> реакції на </w:t>
      </w:r>
      <w:proofErr w:type="spellStart"/>
      <w:r w:rsidRPr="00520861">
        <w:rPr>
          <w:rFonts w:eastAsia="Calibri"/>
          <w:sz w:val="28"/>
          <w:szCs w:val="28"/>
          <w:lang w:eastAsia="en-US"/>
        </w:rPr>
        <w:t>Caspase</w:t>
      </w:r>
      <w:proofErr w:type="spellEnd"/>
      <w:r w:rsidRPr="00520861">
        <w:rPr>
          <w:rFonts w:eastAsia="Calibri"/>
          <w:sz w:val="28"/>
          <w:szCs w:val="28"/>
          <w:lang w:eastAsia="en-US"/>
        </w:rPr>
        <w:t xml:space="preserve"> 3 загалом у всіх групах виявило, що існує таке співвідношення: К &lt; гр. 2 &lt; гр. 1 &lt; гр. 3 &lt; гр. 4. </w:t>
      </w:r>
    </w:p>
    <w:p w14:paraId="7DEA5D1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Матеріал експерименту також досліджувався з використанням конфокальної лазерної </w:t>
      </w:r>
      <w:proofErr w:type="spellStart"/>
      <w:r w:rsidRPr="00520861">
        <w:rPr>
          <w:rFonts w:eastAsia="Calibri"/>
          <w:sz w:val="28"/>
          <w:szCs w:val="28"/>
          <w:lang w:eastAsia="en-US"/>
        </w:rPr>
        <w:t>сканувальної</w:t>
      </w:r>
      <w:proofErr w:type="spellEnd"/>
      <w:r w:rsidRPr="00520861">
        <w:rPr>
          <w:rFonts w:eastAsia="Calibri"/>
          <w:sz w:val="28"/>
          <w:szCs w:val="28"/>
          <w:lang w:eastAsia="en-US"/>
        </w:rPr>
        <w:t xml:space="preserve"> мікроскопії. Серії оптичних зрізів, які одержали за допомогою цього методу, дали змогу визначити в кожному </w:t>
      </w:r>
      <w:proofErr w:type="spellStart"/>
      <w:r w:rsidRPr="00520861">
        <w:rPr>
          <w:rFonts w:eastAsia="Calibri"/>
          <w:sz w:val="28"/>
          <w:szCs w:val="28"/>
          <w:lang w:eastAsia="en-US"/>
        </w:rPr>
        <w:t>ацинусі</w:t>
      </w:r>
      <w:proofErr w:type="spellEnd"/>
      <w:r w:rsidRPr="00520861">
        <w:rPr>
          <w:rFonts w:eastAsia="Calibri"/>
          <w:sz w:val="28"/>
          <w:szCs w:val="28"/>
          <w:lang w:eastAsia="en-US"/>
        </w:rPr>
        <w:t xml:space="preserve"> площу поперечного перерізу в найширшій його частині, а також інші параметри. У всіх тварин основних груп поперечний переріз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його периметр,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в </w:t>
      </w:r>
      <w:proofErr w:type="spellStart"/>
      <w:r w:rsidRPr="00520861">
        <w:rPr>
          <w:rFonts w:eastAsia="Calibri"/>
          <w:sz w:val="28"/>
          <w:szCs w:val="28"/>
          <w:lang w:eastAsia="en-US"/>
        </w:rPr>
        <w:t>ацинусі</w:t>
      </w:r>
      <w:proofErr w:type="spellEnd"/>
      <w:r w:rsidRPr="00520861">
        <w:rPr>
          <w:rFonts w:eastAsia="Calibri"/>
          <w:sz w:val="28"/>
          <w:szCs w:val="28"/>
          <w:lang w:eastAsia="en-US"/>
        </w:rPr>
        <w:t xml:space="preserve"> та площа окремого </w:t>
      </w:r>
      <w:proofErr w:type="spellStart"/>
      <w:r w:rsidRPr="00520861">
        <w:rPr>
          <w:rFonts w:eastAsia="Calibri"/>
          <w:sz w:val="28"/>
          <w:szCs w:val="28"/>
          <w:lang w:eastAsia="en-US"/>
        </w:rPr>
        <w:t>сероцита</w:t>
      </w:r>
      <w:proofErr w:type="spellEnd"/>
      <w:r w:rsidRPr="00520861">
        <w:rPr>
          <w:rFonts w:eastAsia="Calibri"/>
          <w:sz w:val="28"/>
          <w:szCs w:val="28"/>
          <w:lang w:eastAsia="en-US"/>
        </w:rPr>
        <w:t xml:space="preserve"> виявилися більшими, ніж у контролі (табл. 3.12). Особливо цікавою є ситуація з тваринами групи 2. У них показники поперечного перерізу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периметра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та площі окремого </w:t>
      </w:r>
      <w:proofErr w:type="spellStart"/>
      <w:r w:rsidRPr="00520861">
        <w:rPr>
          <w:rFonts w:eastAsia="Calibri"/>
          <w:sz w:val="28"/>
          <w:szCs w:val="28"/>
          <w:lang w:eastAsia="en-US"/>
        </w:rPr>
        <w:t>сероцита</w:t>
      </w:r>
      <w:proofErr w:type="spellEnd"/>
      <w:r w:rsidRPr="00520861">
        <w:rPr>
          <w:rFonts w:eastAsia="Calibri"/>
          <w:sz w:val="28"/>
          <w:szCs w:val="28"/>
          <w:lang w:eastAsia="en-US"/>
        </w:rPr>
        <w:t xml:space="preserve"> мають максимальні значення. </w:t>
      </w:r>
    </w:p>
    <w:p w14:paraId="23020696"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які народилися з ожирінням, особливо на тлі гіпокінезії матері, спостерігали збільшену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у поперечному перерізі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w:t>
      </w:r>
      <w:r w:rsidRPr="00520861">
        <w:rPr>
          <w:rFonts w:eastAsia="Calibri"/>
          <w:sz w:val="28"/>
          <w:szCs w:val="28"/>
          <w:lang w:eastAsia="en-US"/>
        </w:rPr>
        <w:br/>
        <w:t xml:space="preserve">(рис. 3.21), хоча розміри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не відрізнялися від контролю. </w:t>
      </w:r>
    </w:p>
    <w:p w14:paraId="1FC36A0F" w14:textId="77777777" w:rsidR="00CF641C" w:rsidRPr="00520861" w:rsidRDefault="00CF641C" w:rsidP="00292D2E">
      <w:pPr>
        <w:widowControl w:val="0"/>
        <w:spacing w:line="360" w:lineRule="auto"/>
        <w:ind w:firstLine="709"/>
        <w:jc w:val="right"/>
        <w:rPr>
          <w:rFonts w:eastAsia="Calibri"/>
          <w:i/>
          <w:iCs/>
          <w:sz w:val="28"/>
          <w:szCs w:val="28"/>
          <w:lang w:eastAsia="en-US"/>
        </w:rPr>
      </w:pPr>
      <w:r w:rsidRPr="00520861">
        <w:rPr>
          <w:rFonts w:eastAsia="Calibri"/>
          <w:i/>
          <w:iCs/>
          <w:sz w:val="28"/>
          <w:szCs w:val="28"/>
          <w:lang w:eastAsia="en-US"/>
        </w:rPr>
        <w:t>Таблиця 3.12</w:t>
      </w:r>
    </w:p>
    <w:p w14:paraId="26C87274" w14:textId="77777777" w:rsidR="00CF641C" w:rsidRPr="00520861" w:rsidRDefault="00CF641C" w:rsidP="00292D2E">
      <w:pPr>
        <w:widowControl w:val="0"/>
        <w:spacing w:line="360" w:lineRule="auto"/>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 xml:space="preserve">3; </w:t>
      </w:r>
      <w:r w:rsidRPr="00520861">
        <w:rPr>
          <w:rFonts w:eastAsia="Calibri"/>
          <w:b/>
          <w:bCs/>
          <w:sz w:val="28"/>
          <w:szCs w:val="28"/>
          <w:lang w:val="en-US" w:eastAsia="en-US"/>
        </w:rPr>
        <w:t>Q</w:t>
      </w:r>
      <w:r w:rsidRPr="00520861">
        <w:rPr>
          <w:rFonts w:eastAsia="Calibri"/>
          <w:b/>
          <w:bCs/>
          <w:sz w:val="28"/>
          <w:szCs w:val="28"/>
          <w:lang w:eastAsia="en-US"/>
        </w:rPr>
        <w:t xml:space="preserve">1) </w:t>
      </w:r>
      <w:proofErr w:type="spellStart"/>
      <w:r w:rsidRPr="00520861">
        <w:rPr>
          <w:rFonts w:eastAsia="Calibri"/>
          <w:b/>
          <w:bCs/>
          <w:sz w:val="28"/>
          <w:szCs w:val="28"/>
          <w:lang w:eastAsia="en-US"/>
        </w:rPr>
        <w:t>морфометричних</w:t>
      </w:r>
      <w:proofErr w:type="spellEnd"/>
      <w:r w:rsidRPr="00520861">
        <w:rPr>
          <w:rFonts w:eastAsia="Calibri"/>
          <w:b/>
          <w:bCs/>
          <w:sz w:val="28"/>
          <w:szCs w:val="28"/>
          <w:lang w:eastAsia="en-US"/>
        </w:rPr>
        <w:t xml:space="preserve"> параметрів привушних слинних залоз 6-ти місячних експериментальних тварин</w:t>
      </w:r>
    </w:p>
    <w:tbl>
      <w:tblPr>
        <w:tblW w:w="99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98"/>
        <w:gridCol w:w="2383"/>
        <w:gridCol w:w="2011"/>
        <w:gridCol w:w="2268"/>
        <w:gridCol w:w="2004"/>
      </w:tblGrid>
      <w:tr w:rsidR="00CF641C" w:rsidRPr="00520861" w14:paraId="0021A830" w14:textId="77777777" w:rsidTr="00292D2E">
        <w:trPr>
          <w:jc w:val="center"/>
        </w:trPr>
        <w:tc>
          <w:tcPr>
            <w:tcW w:w="1298" w:type="dxa"/>
          </w:tcPr>
          <w:p w14:paraId="72DB9E09" w14:textId="77777777" w:rsidR="00CF641C" w:rsidRPr="00520861" w:rsidRDefault="00CF641C" w:rsidP="00292D2E">
            <w:pPr>
              <w:widowControl w:val="0"/>
              <w:spacing w:line="360" w:lineRule="auto"/>
              <w:ind w:left="-50" w:right="-18"/>
              <w:jc w:val="center"/>
              <w:rPr>
                <w:sz w:val="28"/>
                <w:szCs w:val="28"/>
              </w:rPr>
            </w:pPr>
            <w:r w:rsidRPr="00520861">
              <w:rPr>
                <w:sz w:val="28"/>
                <w:szCs w:val="28"/>
              </w:rPr>
              <w:t xml:space="preserve">Група </w:t>
            </w:r>
          </w:p>
        </w:tc>
        <w:tc>
          <w:tcPr>
            <w:tcW w:w="2383" w:type="dxa"/>
          </w:tcPr>
          <w:p w14:paraId="6E4AAD90" w14:textId="77777777" w:rsidR="00CF641C" w:rsidRPr="00520861" w:rsidRDefault="00CF641C" w:rsidP="00292D2E">
            <w:pPr>
              <w:widowControl w:val="0"/>
              <w:autoSpaceDE w:val="0"/>
              <w:autoSpaceDN w:val="0"/>
              <w:adjustRightInd w:val="0"/>
              <w:spacing w:line="360" w:lineRule="auto"/>
              <w:jc w:val="center"/>
              <w:rPr>
                <w:rFonts w:eastAsia="Calibri"/>
                <w:sz w:val="28"/>
                <w:szCs w:val="28"/>
                <w:lang w:eastAsia="en-US"/>
              </w:rPr>
            </w:pPr>
            <w:r w:rsidRPr="00520861">
              <w:rPr>
                <w:sz w:val="28"/>
                <w:szCs w:val="28"/>
              </w:rPr>
              <w:t xml:space="preserve">Площа поперечного перерізу </w:t>
            </w:r>
            <w:proofErr w:type="spellStart"/>
            <w:r w:rsidRPr="00520861">
              <w:rPr>
                <w:sz w:val="28"/>
                <w:szCs w:val="28"/>
              </w:rPr>
              <w:t>ацинуса</w:t>
            </w:r>
            <w:proofErr w:type="spellEnd"/>
            <w:r w:rsidRPr="00520861">
              <w:rPr>
                <w:sz w:val="28"/>
                <w:szCs w:val="28"/>
              </w:rPr>
              <w:t xml:space="preserve"> </w:t>
            </w:r>
            <w:r w:rsidRPr="00520861">
              <w:rPr>
                <w:rFonts w:eastAsia="Calibri"/>
                <w:sz w:val="28"/>
                <w:szCs w:val="28"/>
                <w:lang w:eastAsia="en-US"/>
              </w:rPr>
              <w:t>(</w:t>
            </w: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bCs/>
                <w:sz w:val="28"/>
                <w:szCs w:val="28"/>
                <w:lang w:eastAsia="en-US"/>
              </w:rPr>
              <w:t>)</w:t>
            </w:r>
          </w:p>
        </w:tc>
        <w:tc>
          <w:tcPr>
            <w:tcW w:w="2011" w:type="dxa"/>
          </w:tcPr>
          <w:p w14:paraId="41F1558A" w14:textId="77777777" w:rsidR="00CF641C" w:rsidRPr="00520861" w:rsidRDefault="00CF641C" w:rsidP="00292D2E">
            <w:pPr>
              <w:widowControl w:val="0"/>
              <w:autoSpaceDE w:val="0"/>
              <w:autoSpaceDN w:val="0"/>
              <w:adjustRightInd w:val="0"/>
              <w:spacing w:line="360" w:lineRule="auto"/>
              <w:jc w:val="center"/>
              <w:rPr>
                <w:sz w:val="28"/>
                <w:szCs w:val="28"/>
                <w:lang w:val="ru-RU"/>
              </w:rPr>
            </w:pPr>
            <w:r w:rsidRPr="00520861">
              <w:rPr>
                <w:sz w:val="28"/>
                <w:szCs w:val="28"/>
              </w:rPr>
              <w:t xml:space="preserve">Периметр </w:t>
            </w:r>
            <w:proofErr w:type="spellStart"/>
            <w:r w:rsidRPr="00520861">
              <w:rPr>
                <w:sz w:val="28"/>
                <w:szCs w:val="28"/>
              </w:rPr>
              <w:t>ацинуса</w:t>
            </w:r>
            <w:proofErr w:type="spellEnd"/>
            <w:r w:rsidRPr="00520861">
              <w:rPr>
                <w:sz w:val="28"/>
                <w:szCs w:val="28"/>
              </w:rPr>
              <w:t xml:space="preserve"> </w:t>
            </w:r>
            <w:r w:rsidRPr="00520861">
              <w:rPr>
                <w:sz w:val="28"/>
                <w:szCs w:val="28"/>
                <w:lang w:val="ru-RU"/>
              </w:rPr>
              <w:t>(</w:t>
            </w:r>
            <w:r w:rsidRPr="00520861">
              <w:rPr>
                <w:sz w:val="28"/>
                <w:szCs w:val="28"/>
              </w:rPr>
              <w:t>м×10</w:t>
            </w:r>
            <w:r w:rsidRPr="00520861">
              <w:rPr>
                <w:sz w:val="28"/>
                <w:szCs w:val="28"/>
                <w:vertAlign w:val="superscript"/>
              </w:rPr>
              <w:t>6</w:t>
            </w:r>
            <w:r w:rsidRPr="00520861">
              <w:rPr>
                <w:sz w:val="28"/>
                <w:szCs w:val="28"/>
                <w:lang w:val="ru-RU"/>
              </w:rPr>
              <w:t>)</w:t>
            </w:r>
          </w:p>
        </w:tc>
        <w:tc>
          <w:tcPr>
            <w:tcW w:w="2268" w:type="dxa"/>
          </w:tcPr>
          <w:p w14:paraId="626B5C15" w14:textId="77777777" w:rsidR="00CF641C" w:rsidRPr="00520861" w:rsidRDefault="00CF641C" w:rsidP="00292D2E">
            <w:pPr>
              <w:widowControl w:val="0"/>
              <w:spacing w:line="360" w:lineRule="auto"/>
              <w:jc w:val="center"/>
              <w:rPr>
                <w:sz w:val="28"/>
                <w:szCs w:val="28"/>
                <w:lang w:val="ru-RU"/>
              </w:rPr>
            </w:pPr>
            <w:r w:rsidRPr="00520861">
              <w:rPr>
                <w:sz w:val="28"/>
                <w:szCs w:val="28"/>
              </w:rPr>
              <w:t xml:space="preserve">Площа поперечного перерізу </w:t>
            </w:r>
            <w:proofErr w:type="spellStart"/>
            <w:r w:rsidRPr="00520861">
              <w:rPr>
                <w:sz w:val="28"/>
                <w:szCs w:val="28"/>
              </w:rPr>
              <w:t>сероцита</w:t>
            </w:r>
            <w:proofErr w:type="spellEnd"/>
            <w:r w:rsidRPr="00520861">
              <w:rPr>
                <w:sz w:val="28"/>
                <w:szCs w:val="28"/>
              </w:rPr>
              <w:t xml:space="preserve"> </w:t>
            </w:r>
            <w:r w:rsidRPr="00520861">
              <w:rPr>
                <w:rFonts w:eastAsia="Calibri"/>
                <w:sz w:val="28"/>
                <w:szCs w:val="28"/>
                <w:lang w:eastAsia="en-US"/>
              </w:rPr>
              <w:t>(</w:t>
            </w:r>
            <w:r w:rsidRPr="00520861">
              <w:rPr>
                <w:rFonts w:eastAsia="Calibri"/>
                <w:bCs/>
                <w:sz w:val="28"/>
                <w:szCs w:val="28"/>
                <w:lang w:eastAsia="en-US"/>
              </w:rPr>
              <w:t>м</w:t>
            </w:r>
            <w:r w:rsidRPr="00520861">
              <w:rPr>
                <w:rFonts w:eastAsia="Calibri"/>
                <w:bCs/>
                <w:sz w:val="28"/>
                <w:szCs w:val="28"/>
                <w:vertAlign w:val="superscript"/>
                <w:lang w:eastAsia="en-US"/>
              </w:rPr>
              <w:t xml:space="preserve">2 </w:t>
            </w:r>
            <w:r w:rsidRPr="00520861">
              <w:rPr>
                <w:rFonts w:eastAsia="Calibri"/>
                <w:bCs/>
                <w:sz w:val="28"/>
                <w:szCs w:val="28"/>
                <w:lang w:eastAsia="en-US"/>
              </w:rPr>
              <w:t>×10</w:t>
            </w:r>
            <w:r w:rsidRPr="00520861">
              <w:rPr>
                <w:rFonts w:eastAsia="Calibri"/>
                <w:bCs/>
                <w:sz w:val="28"/>
                <w:szCs w:val="28"/>
                <w:vertAlign w:val="superscript"/>
                <w:lang w:eastAsia="en-US"/>
              </w:rPr>
              <w:t>12</w:t>
            </w:r>
            <w:r w:rsidRPr="00520861">
              <w:rPr>
                <w:rFonts w:eastAsia="Calibri"/>
                <w:bCs/>
                <w:sz w:val="28"/>
                <w:szCs w:val="28"/>
                <w:lang w:eastAsia="en-US"/>
              </w:rPr>
              <w:t>)</w:t>
            </w:r>
          </w:p>
        </w:tc>
        <w:tc>
          <w:tcPr>
            <w:tcW w:w="2004" w:type="dxa"/>
          </w:tcPr>
          <w:p w14:paraId="4BB8805F" w14:textId="77777777" w:rsidR="00CF641C" w:rsidRPr="00520861" w:rsidRDefault="00CF641C" w:rsidP="00292D2E">
            <w:pPr>
              <w:widowControl w:val="0"/>
              <w:spacing w:line="360" w:lineRule="auto"/>
              <w:jc w:val="center"/>
              <w:rPr>
                <w:sz w:val="28"/>
                <w:szCs w:val="28"/>
              </w:rPr>
            </w:pPr>
            <w:r w:rsidRPr="00520861">
              <w:rPr>
                <w:sz w:val="28"/>
                <w:szCs w:val="28"/>
              </w:rPr>
              <w:t xml:space="preserve">Кількість </w:t>
            </w:r>
            <w:proofErr w:type="spellStart"/>
            <w:r w:rsidRPr="00520861">
              <w:rPr>
                <w:sz w:val="28"/>
                <w:szCs w:val="28"/>
              </w:rPr>
              <w:t>сероцитів</w:t>
            </w:r>
            <w:proofErr w:type="spellEnd"/>
            <w:r w:rsidRPr="00520861">
              <w:rPr>
                <w:sz w:val="28"/>
                <w:szCs w:val="28"/>
              </w:rPr>
              <w:t xml:space="preserve"> у перерізі </w:t>
            </w:r>
            <w:proofErr w:type="spellStart"/>
            <w:r w:rsidRPr="00520861">
              <w:rPr>
                <w:sz w:val="28"/>
                <w:szCs w:val="28"/>
              </w:rPr>
              <w:t>ацинуса</w:t>
            </w:r>
            <w:proofErr w:type="spellEnd"/>
          </w:p>
        </w:tc>
      </w:tr>
      <w:tr w:rsidR="00CF641C" w:rsidRPr="00520861" w14:paraId="348CA2BA" w14:textId="77777777" w:rsidTr="00292D2E">
        <w:trPr>
          <w:jc w:val="center"/>
        </w:trPr>
        <w:tc>
          <w:tcPr>
            <w:tcW w:w="1298" w:type="dxa"/>
            <w:tcBorders>
              <w:top w:val="single" w:sz="4" w:space="0" w:color="auto"/>
              <w:left w:val="single" w:sz="4" w:space="0" w:color="auto"/>
              <w:bottom w:val="single" w:sz="4" w:space="0" w:color="auto"/>
              <w:right w:val="single" w:sz="4" w:space="0" w:color="auto"/>
            </w:tcBorders>
          </w:tcPr>
          <w:p w14:paraId="263DED97" w14:textId="77777777" w:rsidR="00CF641C" w:rsidRPr="00520861" w:rsidRDefault="00CF641C" w:rsidP="00292D2E">
            <w:pPr>
              <w:widowControl w:val="0"/>
              <w:spacing w:line="360" w:lineRule="auto"/>
              <w:ind w:left="-83"/>
              <w:rPr>
                <w:sz w:val="28"/>
                <w:szCs w:val="28"/>
              </w:rPr>
            </w:pPr>
            <w:r w:rsidRPr="00520861">
              <w:rPr>
                <w:sz w:val="28"/>
                <w:szCs w:val="28"/>
              </w:rPr>
              <w:t xml:space="preserve">Контроль </w:t>
            </w:r>
          </w:p>
        </w:tc>
        <w:tc>
          <w:tcPr>
            <w:tcW w:w="2383" w:type="dxa"/>
            <w:tcBorders>
              <w:top w:val="single" w:sz="4" w:space="0" w:color="auto"/>
              <w:left w:val="single" w:sz="4" w:space="0" w:color="auto"/>
              <w:bottom w:val="single" w:sz="4" w:space="0" w:color="auto"/>
              <w:right w:val="single" w:sz="4" w:space="0" w:color="auto"/>
            </w:tcBorders>
          </w:tcPr>
          <w:p w14:paraId="30D07D85" w14:textId="77777777" w:rsidR="00CF641C" w:rsidRPr="00520861" w:rsidRDefault="00CF641C" w:rsidP="00292D2E">
            <w:pPr>
              <w:widowControl w:val="0"/>
              <w:spacing w:line="360" w:lineRule="auto"/>
              <w:ind w:right="-138"/>
              <w:jc w:val="center"/>
              <w:rPr>
                <w:rFonts w:eastAsia="Calibri"/>
                <w:sz w:val="28"/>
                <w:szCs w:val="28"/>
                <w:lang w:val="en-US" w:eastAsia="en-US"/>
              </w:rPr>
            </w:pPr>
            <w:r w:rsidRPr="00520861">
              <w:rPr>
                <w:rFonts w:eastAsia="Calibri"/>
                <w:sz w:val="28"/>
                <w:szCs w:val="28"/>
                <w:lang w:val="ru-RU" w:eastAsia="en-US"/>
              </w:rPr>
              <w:t>631</w:t>
            </w:r>
            <w:r w:rsidRPr="00520861">
              <w:rPr>
                <w:rFonts w:eastAsia="Calibri"/>
                <w:sz w:val="28"/>
                <w:szCs w:val="28"/>
                <w:lang w:eastAsia="en-US"/>
              </w:rPr>
              <w:t xml:space="preserve"> </w:t>
            </w:r>
            <w:r w:rsidRPr="00520861">
              <w:rPr>
                <w:rFonts w:eastAsia="Calibri"/>
                <w:sz w:val="28"/>
                <w:szCs w:val="28"/>
                <w:lang w:val="ru-RU" w:eastAsia="en-US"/>
              </w:rPr>
              <w:t>(796</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485)</w:t>
            </w:r>
          </w:p>
        </w:tc>
        <w:tc>
          <w:tcPr>
            <w:tcW w:w="2011" w:type="dxa"/>
            <w:tcBorders>
              <w:top w:val="single" w:sz="4" w:space="0" w:color="auto"/>
              <w:left w:val="single" w:sz="4" w:space="0" w:color="auto"/>
              <w:bottom w:val="single" w:sz="4" w:space="0" w:color="auto"/>
              <w:right w:val="single" w:sz="4" w:space="0" w:color="auto"/>
            </w:tcBorders>
          </w:tcPr>
          <w:p w14:paraId="496C1A01"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96</w:t>
            </w:r>
            <w:r w:rsidRPr="00520861">
              <w:rPr>
                <w:rFonts w:eastAsia="Calibri"/>
                <w:sz w:val="28"/>
                <w:szCs w:val="28"/>
                <w:lang w:eastAsia="en-US"/>
              </w:rPr>
              <w:t xml:space="preserve"> </w:t>
            </w:r>
            <w:r w:rsidRPr="00520861">
              <w:rPr>
                <w:rFonts w:eastAsia="Calibri"/>
                <w:sz w:val="28"/>
                <w:szCs w:val="28"/>
                <w:lang w:val="ru-RU" w:eastAsia="en-US"/>
              </w:rPr>
              <w:t>(108</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84)</w:t>
            </w:r>
          </w:p>
        </w:tc>
        <w:tc>
          <w:tcPr>
            <w:tcW w:w="2268" w:type="dxa"/>
            <w:tcBorders>
              <w:top w:val="single" w:sz="4" w:space="0" w:color="auto"/>
              <w:left w:val="single" w:sz="4" w:space="0" w:color="auto"/>
              <w:bottom w:val="single" w:sz="4" w:space="0" w:color="auto"/>
              <w:right w:val="single" w:sz="4" w:space="0" w:color="auto"/>
            </w:tcBorders>
          </w:tcPr>
          <w:p w14:paraId="532E652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ru-RU" w:eastAsia="en-US"/>
              </w:rPr>
              <w:t>106</w:t>
            </w:r>
            <w:r w:rsidRPr="00520861">
              <w:rPr>
                <w:rFonts w:eastAsia="Calibri"/>
                <w:sz w:val="28"/>
                <w:szCs w:val="28"/>
                <w:lang w:eastAsia="en-US"/>
              </w:rPr>
              <w:t xml:space="preserve"> </w:t>
            </w:r>
            <w:r w:rsidRPr="00520861">
              <w:rPr>
                <w:rFonts w:eastAsia="Calibri"/>
                <w:sz w:val="28"/>
                <w:szCs w:val="28"/>
                <w:lang w:val="ru-RU" w:eastAsia="en-US"/>
              </w:rPr>
              <w:t>(133</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67)</w:t>
            </w:r>
          </w:p>
        </w:tc>
        <w:tc>
          <w:tcPr>
            <w:tcW w:w="2004" w:type="dxa"/>
            <w:tcBorders>
              <w:top w:val="single" w:sz="4" w:space="0" w:color="auto"/>
              <w:left w:val="single" w:sz="4" w:space="0" w:color="auto"/>
              <w:bottom w:val="single" w:sz="4" w:space="0" w:color="auto"/>
              <w:right w:val="single" w:sz="4" w:space="0" w:color="auto"/>
            </w:tcBorders>
          </w:tcPr>
          <w:p w14:paraId="35EBDD11"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6,2</w:t>
            </w:r>
            <w:r w:rsidRPr="00520861">
              <w:rPr>
                <w:rFonts w:eastAsia="Calibri"/>
                <w:sz w:val="28"/>
                <w:szCs w:val="28"/>
                <w:lang w:eastAsia="en-US"/>
              </w:rPr>
              <w:t xml:space="preserve"> </w:t>
            </w:r>
            <w:r w:rsidRPr="00520861">
              <w:rPr>
                <w:rFonts w:eastAsia="Calibri"/>
                <w:sz w:val="28"/>
                <w:szCs w:val="28"/>
                <w:lang w:val="ru-RU" w:eastAsia="en-US"/>
              </w:rPr>
              <w:t>(7</w:t>
            </w:r>
            <w:r w:rsidRPr="00520861">
              <w:rPr>
                <w:rFonts w:eastAsia="Calibri"/>
                <w:sz w:val="28"/>
                <w:szCs w:val="28"/>
                <w:lang w:eastAsia="en-US"/>
              </w:rPr>
              <w:t>,1</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5,8)</w:t>
            </w:r>
          </w:p>
        </w:tc>
      </w:tr>
      <w:tr w:rsidR="00CF641C" w:rsidRPr="00520861" w14:paraId="5F8C464E" w14:textId="77777777" w:rsidTr="00292D2E">
        <w:trPr>
          <w:jc w:val="center"/>
        </w:trPr>
        <w:tc>
          <w:tcPr>
            <w:tcW w:w="1298" w:type="dxa"/>
            <w:tcBorders>
              <w:top w:val="single" w:sz="4" w:space="0" w:color="auto"/>
              <w:left w:val="single" w:sz="4" w:space="0" w:color="auto"/>
              <w:bottom w:val="single" w:sz="4" w:space="0" w:color="auto"/>
              <w:right w:val="single" w:sz="4" w:space="0" w:color="auto"/>
            </w:tcBorders>
          </w:tcPr>
          <w:p w14:paraId="124B9356"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1 </w:t>
            </w:r>
          </w:p>
        </w:tc>
        <w:tc>
          <w:tcPr>
            <w:tcW w:w="2383" w:type="dxa"/>
          </w:tcPr>
          <w:p w14:paraId="786014F1" w14:textId="77777777" w:rsidR="00CF641C" w:rsidRPr="00520861" w:rsidRDefault="00CF641C" w:rsidP="00292D2E">
            <w:pPr>
              <w:widowControl w:val="0"/>
              <w:spacing w:line="360" w:lineRule="auto"/>
              <w:jc w:val="center"/>
              <w:rPr>
                <w:sz w:val="28"/>
                <w:szCs w:val="28"/>
                <w:lang w:val="ru-RU"/>
              </w:rPr>
            </w:pPr>
            <w:r w:rsidRPr="00520861">
              <w:rPr>
                <w:rFonts w:eastAsia="Calibri"/>
                <w:sz w:val="28"/>
                <w:szCs w:val="28"/>
                <w:lang w:val="ru-RU" w:eastAsia="en-US"/>
              </w:rPr>
              <w:t>889</w:t>
            </w:r>
            <w:r w:rsidRPr="00520861">
              <w:rPr>
                <w:sz w:val="28"/>
                <w:szCs w:val="28"/>
                <w:lang w:val="en-US"/>
              </w:rPr>
              <w:t>*</w:t>
            </w:r>
            <w:r w:rsidRPr="00520861">
              <w:rPr>
                <w:sz w:val="28"/>
                <w:szCs w:val="28"/>
              </w:rPr>
              <w:t xml:space="preserve"> </w:t>
            </w:r>
            <w:r w:rsidRPr="00520861">
              <w:rPr>
                <w:rFonts w:eastAsia="Calibri"/>
                <w:sz w:val="28"/>
                <w:szCs w:val="28"/>
                <w:lang w:val="ru-RU" w:eastAsia="en-US"/>
              </w:rPr>
              <w:t>(934</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877)</w:t>
            </w:r>
            <w:r w:rsidRPr="00520861">
              <w:rPr>
                <w:sz w:val="28"/>
                <w:szCs w:val="28"/>
                <w:lang w:val="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w:t>
            </w:r>
            <w:r w:rsidRPr="00520861">
              <w:rPr>
                <w:sz w:val="28"/>
                <w:szCs w:val="28"/>
                <w:lang w:val="ru-RU"/>
              </w:rPr>
              <w:t>11</w:t>
            </w:r>
          </w:p>
        </w:tc>
        <w:tc>
          <w:tcPr>
            <w:tcW w:w="2011" w:type="dxa"/>
          </w:tcPr>
          <w:p w14:paraId="1910656D" w14:textId="77777777" w:rsidR="00CF641C" w:rsidRPr="00520861" w:rsidRDefault="00CF641C" w:rsidP="00292D2E">
            <w:pPr>
              <w:widowControl w:val="0"/>
              <w:spacing w:line="360" w:lineRule="auto"/>
              <w:ind w:right="-75"/>
              <w:jc w:val="center"/>
              <w:rPr>
                <w:rFonts w:eastAsia="Calibri"/>
                <w:sz w:val="28"/>
                <w:szCs w:val="28"/>
                <w:lang w:val="ru-RU" w:eastAsia="en-US"/>
              </w:rPr>
            </w:pPr>
            <w:r w:rsidRPr="00520861">
              <w:rPr>
                <w:rFonts w:eastAsia="Calibri"/>
                <w:sz w:val="28"/>
                <w:szCs w:val="28"/>
                <w:lang w:val="ru-RU" w:eastAsia="en-US"/>
              </w:rPr>
              <w:t>114</w:t>
            </w:r>
            <w:r w:rsidRPr="00520861">
              <w:rPr>
                <w:sz w:val="28"/>
                <w:szCs w:val="28"/>
                <w:lang w:val="en-US"/>
              </w:rPr>
              <w:t>*</w:t>
            </w:r>
            <w:r w:rsidRPr="00520861">
              <w:rPr>
                <w:rFonts w:eastAsia="Calibri"/>
                <w:sz w:val="28"/>
                <w:szCs w:val="28"/>
                <w:lang w:val="ru-RU" w:eastAsia="en-US"/>
              </w:rPr>
              <w:t xml:space="preserve"> (117</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113)</w:t>
            </w:r>
            <w:r w:rsidRPr="00520861">
              <w:rPr>
                <w:rFonts w:eastAsia="Calibri"/>
                <w:sz w:val="28"/>
                <w:szCs w:val="28"/>
                <w:lang w:eastAsia="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w:t>
            </w:r>
            <w:r w:rsidRPr="00520861">
              <w:rPr>
                <w:sz w:val="28"/>
                <w:szCs w:val="28"/>
                <w:lang w:val="ru-RU"/>
              </w:rPr>
              <w:t>06</w:t>
            </w:r>
          </w:p>
        </w:tc>
        <w:tc>
          <w:tcPr>
            <w:tcW w:w="2268" w:type="dxa"/>
          </w:tcPr>
          <w:p w14:paraId="250FD473"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ru-RU" w:eastAsia="en-US"/>
              </w:rPr>
              <w:t>118</w:t>
            </w:r>
            <w:r w:rsidRPr="00520861">
              <w:rPr>
                <w:rFonts w:eastAsia="Calibri"/>
                <w:sz w:val="28"/>
                <w:szCs w:val="28"/>
                <w:lang w:eastAsia="en-US"/>
              </w:rPr>
              <w:t xml:space="preserve"> </w:t>
            </w:r>
            <w:r w:rsidRPr="00520861">
              <w:rPr>
                <w:rFonts w:eastAsia="Calibri"/>
                <w:sz w:val="28"/>
                <w:szCs w:val="28"/>
                <w:lang w:val="ru-RU" w:eastAsia="en-US"/>
              </w:rPr>
              <w:t>(139</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116)</w:t>
            </w:r>
          </w:p>
        </w:tc>
        <w:tc>
          <w:tcPr>
            <w:tcW w:w="2004" w:type="dxa"/>
          </w:tcPr>
          <w:p w14:paraId="6B560F0D"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7,0</w:t>
            </w:r>
            <w:r w:rsidRPr="00520861">
              <w:rPr>
                <w:rFonts w:eastAsia="Calibri"/>
                <w:sz w:val="28"/>
                <w:szCs w:val="28"/>
                <w:lang w:eastAsia="en-US"/>
              </w:rPr>
              <w:t xml:space="preserve"> </w:t>
            </w:r>
            <w:r w:rsidRPr="00520861">
              <w:rPr>
                <w:rFonts w:eastAsia="Calibri"/>
                <w:sz w:val="28"/>
                <w:szCs w:val="28"/>
                <w:lang w:val="ru-RU" w:eastAsia="en-US"/>
              </w:rPr>
              <w:t>(7,7</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6,4)</w:t>
            </w:r>
          </w:p>
        </w:tc>
      </w:tr>
      <w:tr w:rsidR="00CF641C" w:rsidRPr="00520861" w14:paraId="74781FB8" w14:textId="77777777" w:rsidTr="00292D2E">
        <w:trPr>
          <w:jc w:val="center"/>
        </w:trPr>
        <w:tc>
          <w:tcPr>
            <w:tcW w:w="1298" w:type="dxa"/>
            <w:tcBorders>
              <w:top w:val="single" w:sz="4" w:space="0" w:color="auto"/>
              <w:left w:val="single" w:sz="4" w:space="0" w:color="auto"/>
              <w:bottom w:val="single" w:sz="4" w:space="0" w:color="auto"/>
              <w:right w:val="single" w:sz="4" w:space="0" w:color="auto"/>
            </w:tcBorders>
          </w:tcPr>
          <w:p w14:paraId="2371FD6C"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ru-RU"/>
              </w:rPr>
              <w:t xml:space="preserve"> 2</w:t>
            </w:r>
          </w:p>
        </w:tc>
        <w:tc>
          <w:tcPr>
            <w:tcW w:w="2383" w:type="dxa"/>
          </w:tcPr>
          <w:p w14:paraId="6713DEF7" w14:textId="77777777" w:rsidR="00CF641C" w:rsidRPr="00520861" w:rsidRDefault="00CF641C" w:rsidP="00292D2E">
            <w:pPr>
              <w:widowControl w:val="0"/>
              <w:spacing w:line="360" w:lineRule="auto"/>
              <w:jc w:val="center"/>
              <w:rPr>
                <w:sz w:val="28"/>
                <w:szCs w:val="28"/>
                <w:lang w:val="en-US"/>
              </w:rPr>
            </w:pPr>
            <w:r w:rsidRPr="00520861">
              <w:rPr>
                <w:rFonts w:eastAsia="Calibri"/>
                <w:sz w:val="28"/>
                <w:szCs w:val="28"/>
                <w:lang w:val="ru-RU" w:eastAsia="en-US"/>
              </w:rPr>
              <w:t>1123</w:t>
            </w:r>
            <w:r w:rsidRPr="00520861">
              <w:rPr>
                <w:sz w:val="28"/>
                <w:szCs w:val="28"/>
                <w:lang w:val="en-US"/>
              </w:rPr>
              <w:t>*</w:t>
            </w:r>
            <w:r w:rsidRPr="00520861">
              <w:rPr>
                <w:rFonts w:eastAsia="Calibri"/>
                <w:sz w:val="28"/>
                <w:szCs w:val="28"/>
                <w:lang w:val="ru-RU" w:eastAsia="en-US"/>
              </w:rPr>
              <w:t xml:space="preserve"> (1137</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820)</w:t>
            </w:r>
            <w:r w:rsidRPr="00520861">
              <w:rPr>
                <w:sz w:val="28"/>
                <w:szCs w:val="28"/>
                <w:lang w:val="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w:t>
            </w:r>
            <w:r w:rsidRPr="00520861">
              <w:rPr>
                <w:sz w:val="28"/>
                <w:szCs w:val="28"/>
                <w:lang w:val="ru-RU"/>
              </w:rPr>
              <w:t>06</w:t>
            </w:r>
          </w:p>
        </w:tc>
        <w:tc>
          <w:tcPr>
            <w:tcW w:w="2011" w:type="dxa"/>
          </w:tcPr>
          <w:p w14:paraId="005D958E" w14:textId="77777777" w:rsidR="00CF641C" w:rsidRPr="00520861" w:rsidRDefault="00CF641C" w:rsidP="00292D2E">
            <w:pPr>
              <w:widowControl w:val="0"/>
              <w:spacing w:line="360" w:lineRule="auto"/>
              <w:ind w:hanging="108"/>
              <w:jc w:val="center"/>
              <w:rPr>
                <w:sz w:val="28"/>
                <w:szCs w:val="28"/>
                <w:lang w:val="ru-RU"/>
              </w:rPr>
            </w:pPr>
            <w:r w:rsidRPr="00520861">
              <w:rPr>
                <w:rFonts w:eastAsia="Calibri"/>
                <w:sz w:val="28"/>
                <w:szCs w:val="28"/>
                <w:lang w:val="ru-RU" w:eastAsia="en-US"/>
              </w:rPr>
              <w:t>134</w:t>
            </w:r>
            <w:r w:rsidRPr="00520861">
              <w:rPr>
                <w:sz w:val="28"/>
                <w:szCs w:val="28"/>
                <w:lang w:val="en-US"/>
              </w:rPr>
              <w:t>*</w:t>
            </w:r>
            <w:r w:rsidRPr="00520861">
              <w:rPr>
                <w:rFonts w:eastAsia="Calibri"/>
                <w:sz w:val="28"/>
                <w:szCs w:val="28"/>
                <w:lang w:val="ru-RU" w:eastAsia="en-US"/>
              </w:rPr>
              <w:t xml:space="preserve"> (135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117)</w:t>
            </w:r>
          </w:p>
          <w:p w14:paraId="213F2AAD" w14:textId="77777777" w:rsidR="00CF641C" w:rsidRPr="00520861" w:rsidRDefault="00CF641C" w:rsidP="00292D2E">
            <w:pPr>
              <w:widowControl w:val="0"/>
              <w:spacing w:line="360" w:lineRule="auto"/>
              <w:jc w:val="center"/>
              <w:rPr>
                <w:sz w:val="28"/>
                <w:szCs w:val="28"/>
                <w:lang w:val="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w:t>
            </w:r>
            <w:r w:rsidRPr="00520861">
              <w:rPr>
                <w:sz w:val="28"/>
                <w:szCs w:val="28"/>
                <w:lang w:val="ru-RU"/>
              </w:rPr>
              <w:t>06</w:t>
            </w:r>
          </w:p>
        </w:tc>
        <w:tc>
          <w:tcPr>
            <w:tcW w:w="2268" w:type="dxa"/>
          </w:tcPr>
          <w:p w14:paraId="0F54EA45" w14:textId="77777777" w:rsidR="00CF641C" w:rsidRPr="00520861" w:rsidRDefault="00CF641C" w:rsidP="00292D2E">
            <w:pPr>
              <w:widowControl w:val="0"/>
              <w:spacing w:line="360" w:lineRule="auto"/>
              <w:jc w:val="center"/>
              <w:rPr>
                <w:sz w:val="28"/>
                <w:szCs w:val="28"/>
                <w:lang w:val="ru-RU"/>
              </w:rPr>
            </w:pPr>
            <w:r w:rsidRPr="00520861">
              <w:rPr>
                <w:rFonts w:eastAsia="Calibri"/>
                <w:sz w:val="28"/>
                <w:szCs w:val="28"/>
                <w:lang w:val="ru-RU" w:eastAsia="en-US"/>
              </w:rPr>
              <w:t>160</w:t>
            </w:r>
            <w:r w:rsidRPr="00520861">
              <w:rPr>
                <w:sz w:val="28"/>
                <w:szCs w:val="28"/>
                <w:lang w:val="ru-RU"/>
              </w:rPr>
              <w:t>*</w:t>
            </w:r>
            <w:r w:rsidRPr="00520861">
              <w:rPr>
                <w:rFonts w:eastAsia="Calibri"/>
                <w:sz w:val="28"/>
                <w:szCs w:val="28"/>
                <w:lang w:val="ru-RU" w:eastAsia="en-US"/>
              </w:rPr>
              <w:t xml:space="preserve"> (162</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123)</w:t>
            </w:r>
          </w:p>
          <w:p w14:paraId="47AC1C80" w14:textId="77777777" w:rsidR="00CF641C" w:rsidRPr="00520861" w:rsidRDefault="00CF641C" w:rsidP="00292D2E">
            <w:pPr>
              <w:widowControl w:val="0"/>
              <w:spacing w:line="360" w:lineRule="auto"/>
              <w:jc w:val="center"/>
              <w:rPr>
                <w:sz w:val="28"/>
                <w:szCs w:val="28"/>
                <w:lang w:val="en-US"/>
              </w:rPr>
            </w:pPr>
            <w:r w:rsidRPr="00520861">
              <w:rPr>
                <w:i/>
                <w:sz w:val="28"/>
                <w:szCs w:val="28"/>
                <w:lang w:val="en-US"/>
              </w:rPr>
              <w:t>p</w:t>
            </w:r>
            <w:r w:rsidRPr="00520861">
              <w:rPr>
                <w:sz w:val="28"/>
                <w:szCs w:val="28"/>
                <w:lang w:val="en-US"/>
              </w:rPr>
              <w:t>=</w:t>
            </w:r>
            <w:r w:rsidRPr="00520861">
              <w:rPr>
                <w:sz w:val="28"/>
                <w:szCs w:val="28"/>
                <w:lang w:val="ru-RU"/>
              </w:rPr>
              <w:t>0</w:t>
            </w:r>
            <w:r w:rsidRPr="00520861">
              <w:rPr>
                <w:sz w:val="28"/>
                <w:szCs w:val="28"/>
              </w:rPr>
              <w:t>,</w:t>
            </w:r>
            <w:r w:rsidRPr="00520861">
              <w:rPr>
                <w:sz w:val="28"/>
                <w:szCs w:val="28"/>
                <w:lang w:val="ru-RU"/>
              </w:rPr>
              <w:t>04</w:t>
            </w:r>
            <w:r w:rsidRPr="00520861">
              <w:rPr>
                <w:sz w:val="28"/>
                <w:szCs w:val="28"/>
                <w:lang w:val="en-US"/>
              </w:rPr>
              <w:t>5</w:t>
            </w:r>
          </w:p>
        </w:tc>
        <w:tc>
          <w:tcPr>
            <w:tcW w:w="2004" w:type="dxa"/>
          </w:tcPr>
          <w:p w14:paraId="30CE469F"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7,0</w:t>
            </w:r>
            <w:r w:rsidRPr="00520861">
              <w:rPr>
                <w:rFonts w:eastAsia="Calibri"/>
                <w:sz w:val="28"/>
                <w:szCs w:val="28"/>
                <w:lang w:eastAsia="en-US"/>
              </w:rPr>
              <w:t xml:space="preserve"> </w:t>
            </w:r>
            <w:r w:rsidRPr="00520861">
              <w:rPr>
                <w:rFonts w:eastAsia="Calibri"/>
                <w:sz w:val="28"/>
                <w:szCs w:val="28"/>
                <w:lang w:val="ru-RU" w:eastAsia="en-US"/>
              </w:rPr>
              <w:t>(7,0</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6,8)</w:t>
            </w:r>
          </w:p>
        </w:tc>
      </w:tr>
      <w:tr w:rsidR="00CF641C" w:rsidRPr="00520861" w14:paraId="2912FA27" w14:textId="77777777" w:rsidTr="00292D2E">
        <w:trPr>
          <w:jc w:val="center"/>
        </w:trPr>
        <w:tc>
          <w:tcPr>
            <w:tcW w:w="1298" w:type="dxa"/>
            <w:tcBorders>
              <w:top w:val="single" w:sz="4" w:space="0" w:color="auto"/>
              <w:left w:val="single" w:sz="4" w:space="0" w:color="auto"/>
              <w:bottom w:val="single" w:sz="4" w:space="0" w:color="auto"/>
              <w:right w:val="single" w:sz="4" w:space="0" w:color="auto"/>
            </w:tcBorders>
          </w:tcPr>
          <w:p w14:paraId="3F65CD81" w14:textId="77777777" w:rsidR="00CF641C" w:rsidRPr="00520861" w:rsidRDefault="00CF641C" w:rsidP="00292D2E">
            <w:pPr>
              <w:widowControl w:val="0"/>
              <w:spacing w:line="360" w:lineRule="auto"/>
              <w:jc w:val="both"/>
              <w:rPr>
                <w:sz w:val="28"/>
                <w:szCs w:val="28"/>
              </w:rPr>
            </w:pPr>
            <w:r w:rsidRPr="00520861">
              <w:rPr>
                <w:sz w:val="28"/>
                <w:szCs w:val="28"/>
                <w:lang w:val="ru-RU"/>
              </w:rPr>
              <w:t>Г</w:t>
            </w:r>
            <w:proofErr w:type="spellStart"/>
            <w:r w:rsidRPr="00520861">
              <w:rPr>
                <w:sz w:val="28"/>
                <w:szCs w:val="28"/>
              </w:rPr>
              <w:t>рупа</w:t>
            </w:r>
            <w:proofErr w:type="spellEnd"/>
            <w:r w:rsidRPr="00520861">
              <w:rPr>
                <w:sz w:val="28"/>
                <w:szCs w:val="28"/>
                <w:lang w:val="ru-RU"/>
              </w:rPr>
              <w:t xml:space="preserve"> 3 </w:t>
            </w:r>
          </w:p>
        </w:tc>
        <w:tc>
          <w:tcPr>
            <w:tcW w:w="2383" w:type="dxa"/>
          </w:tcPr>
          <w:p w14:paraId="3F89AADA" w14:textId="77777777" w:rsidR="00CF641C" w:rsidRPr="00520861" w:rsidRDefault="00CF641C" w:rsidP="00292D2E">
            <w:pPr>
              <w:widowControl w:val="0"/>
              <w:spacing w:line="360" w:lineRule="auto"/>
              <w:jc w:val="center"/>
              <w:rPr>
                <w:sz w:val="28"/>
                <w:szCs w:val="28"/>
              </w:rPr>
            </w:pPr>
            <w:r w:rsidRPr="00520861">
              <w:rPr>
                <w:rFonts w:eastAsia="Calibri"/>
                <w:sz w:val="28"/>
                <w:szCs w:val="28"/>
                <w:lang w:val="ru-RU" w:eastAsia="en-US"/>
              </w:rPr>
              <w:t>881</w:t>
            </w:r>
            <w:r w:rsidRPr="00520861">
              <w:rPr>
                <w:sz w:val="28"/>
                <w:szCs w:val="28"/>
                <w:lang w:val="en-US"/>
              </w:rPr>
              <w:t>*</w:t>
            </w:r>
            <w:r w:rsidRPr="00520861">
              <w:rPr>
                <w:rFonts w:eastAsia="Calibri"/>
                <w:sz w:val="28"/>
                <w:szCs w:val="28"/>
                <w:lang w:val="ru-RU" w:eastAsia="en-US"/>
              </w:rPr>
              <w:t xml:space="preserve"> (892</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732)</w:t>
            </w:r>
            <w:r w:rsidRPr="00520861">
              <w:rPr>
                <w:rFonts w:eastAsia="Calibri"/>
                <w:sz w:val="28"/>
                <w:szCs w:val="28"/>
                <w:lang w:eastAsia="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w:t>
            </w:r>
            <w:r w:rsidRPr="00520861">
              <w:rPr>
                <w:sz w:val="28"/>
                <w:szCs w:val="28"/>
              </w:rPr>
              <w:t>45</w:t>
            </w:r>
          </w:p>
        </w:tc>
        <w:tc>
          <w:tcPr>
            <w:tcW w:w="2011" w:type="dxa"/>
          </w:tcPr>
          <w:p w14:paraId="1F6C30A2"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113</w:t>
            </w:r>
            <w:r w:rsidRPr="00520861">
              <w:rPr>
                <w:rFonts w:eastAsia="Calibri"/>
                <w:sz w:val="28"/>
                <w:szCs w:val="28"/>
                <w:lang w:eastAsia="en-US"/>
              </w:rPr>
              <w:t xml:space="preserve"> </w:t>
            </w:r>
            <w:r w:rsidRPr="00520861">
              <w:rPr>
                <w:rFonts w:eastAsia="Calibri"/>
                <w:sz w:val="28"/>
                <w:szCs w:val="28"/>
                <w:lang w:val="ru-RU" w:eastAsia="en-US"/>
              </w:rPr>
              <w:t>(113</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103)</w:t>
            </w:r>
          </w:p>
        </w:tc>
        <w:tc>
          <w:tcPr>
            <w:tcW w:w="2268" w:type="dxa"/>
          </w:tcPr>
          <w:p w14:paraId="14927C9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ru-RU" w:eastAsia="en-US"/>
              </w:rPr>
              <w:t>118</w:t>
            </w:r>
            <w:r w:rsidRPr="00520861">
              <w:rPr>
                <w:rFonts w:eastAsia="Calibri"/>
                <w:sz w:val="28"/>
                <w:szCs w:val="28"/>
                <w:lang w:eastAsia="en-US"/>
              </w:rPr>
              <w:t xml:space="preserve"> </w:t>
            </w:r>
            <w:r w:rsidRPr="00520861">
              <w:rPr>
                <w:rFonts w:eastAsia="Calibri"/>
                <w:sz w:val="28"/>
                <w:szCs w:val="28"/>
                <w:lang w:val="ru-RU" w:eastAsia="en-US"/>
              </w:rPr>
              <w:t>(124</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97)</w:t>
            </w:r>
          </w:p>
        </w:tc>
        <w:tc>
          <w:tcPr>
            <w:tcW w:w="2004" w:type="dxa"/>
          </w:tcPr>
          <w:p w14:paraId="52C34AA2" w14:textId="77777777" w:rsidR="00CF641C" w:rsidRPr="00520861" w:rsidRDefault="00CF641C" w:rsidP="00292D2E">
            <w:pPr>
              <w:widowControl w:val="0"/>
              <w:spacing w:line="360" w:lineRule="auto"/>
              <w:jc w:val="center"/>
              <w:rPr>
                <w:sz w:val="28"/>
                <w:szCs w:val="28"/>
                <w:lang w:val="ru-RU"/>
              </w:rPr>
            </w:pPr>
            <w:r w:rsidRPr="00520861">
              <w:rPr>
                <w:rFonts w:eastAsia="Calibri"/>
                <w:sz w:val="28"/>
                <w:szCs w:val="28"/>
                <w:lang w:val="ru-RU" w:eastAsia="en-US"/>
              </w:rPr>
              <w:t>7,3</w:t>
            </w:r>
            <w:r w:rsidRPr="00520861">
              <w:rPr>
                <w:sz w:val="28"/>
                <w:szCs w:val="28"/>
                <w:lang w:val="ru-RU"/>
              </w:rPr>
              <w:t>*</w:t>
            </w:r>
            <w:r w:rsidRPr="00520861">
              <w:rPr>
                <w:rFonts w:eastAsia="Calibri"/>
                <w:sz w:val="28"/>
                <w:szCs w:val="28"/>
                <w:lang w:val="ru-RU" w:eastAsia="en-US"/>
              </w:rPr>
              <w:t xml:space="preserve"> (7,9</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7,1)</w:t>
            </w:r>
            <w:r w:rsidRPr="00520861">
              <w:rPr>
                <w:sz w:val="28"/>
                <w:szCs w:val="28"/>
                <w:lang w:val="ru-RU"/>
              </w:rPr>
              <w:t xml:space="preserve"> </w:t>
            </w:r>
            <w:r w:rsidRPr="00520861">
              <w:rPr>
                <w:i/>
                <w:sz w:val="28"/>
                <w:szCs w:val="28"/>
                <w:lang w:val="en-US"/>
              </w:rPr>
              <w:t>p</w:t>
            </w:r>
            <w:r w:rsidRPr="00520861">
              <w:rPr>
                <w:sz w:val="28"/>
                <w:szCs w:val="28"/>
                <w:lang w:val="en-US"/>
              </w:rPr>
              <w:t>=</w:t>
            </w:r>
            <w:r w:rsidRPr="00520861">
              <w:rPr>
                <w:sz w:val="28"/>
                <w:szCs w:val="28"/>
                <w:lang w:val="ru-RU"/>
              </w:rPr>
              <w:t>0,035</w:t>
            </w:r>
          </w:p>
        </w:tc>
      </w:tr>
      <w:tr w:rsidR="00CF641C" w:rsidRPr="00520861" w14:paraId="2A4634B8" w14:textId="77777777" w:rsidTr="00292D2E">
        <w:trPr>
          <w:jc w:val="center"/>
        </w:trPr>
        <w:tc>
          <w:tcPr>
            <w:tcW w:w="1298" w:type="dxa"/>
            <w:tcBorders>
              <w:top w:val="single" w:sz="4" w:space="0" w:color="auto"/>
              <w:left w:val="single" w:sz="4" w:space="0" w:color="auto"/>
              <w:bottom w:val="single" w:sz="4" w:space="0" w:color="auto"/>
              <w:right w:val="single" w:sz="4" w:space="0" w:color="auto"/>
            </w:tcBorders>
          </w:tcPr>
          <w:p w14:paraId="581360B7"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4 </w:t>
            </w:r>
          </w:p>
        </w:tc>
        <w:tc>
          <w:tcPr>
            <w:tcW w:w="2383" w:type="dxa"/>
          </w:tcPr>
          <w:p w14:paraId="7A722F4F" w14:textId="77777777" w:rsidR="00CF641C" w:rsidRPr="00520861" w:rsidRDefault="00CF641C" w:rsidP="00292D2E">
            <w:pPr>
              <w:widowControl w:val="0"/>
              <w:spacing w:line="360" w:lineRule="auto"/>
              <w:jc w:val="center"/>
              <w:rPr>
                <w:sz w:val="28"/>
                <w:szCs w:val="28"/>
                <w:lang w:val="en-US"/>
              </w:rPr>
            </w:pPr>
            <w:r w:rsidRPr="00520861">
              <w:rPr>
                <w:rFonts w:eastAsia="Calibri"/>
                <w:sz w:val="28"/>
                <w:szCs w:val="28"/>
                <w:lang w:val="ru-RU" w:eastAsia="en-US"/>
              </w:rPr>
              <w:t>814,3</w:t>
            </w:r>
            <w:r w:rsidRPr="00520861">
              <w:rPr>
                <w:sz w:val="28"/>
                <w:szCs w:val="28"/>
                <w:lang w:val="en-US"/>
              </w:rPr>
              <w:t>*</w:t>
            </w:r>
            <w:r w:rsidRPr="00520861">
              <w:rPr>
                <w:rFonts w:eastAsia="Calibri"/>
                <w:sz w:val="28"/>
                <w:szCs w:val="28"/>
                <w:lang w:val="ru-RU" w:eastAsia="en-US"/>
              </w:rPr>
              <w:t xml:space="preserve"> (915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772)</w:t>
            </w:r>
          </w:p>
          <w:p w14:paraId="098DD9F2" w14:textId="77777777" w:rsidR="00CF641C" w:rsidRPr="00520861" w:rsidRDefault="00CF641C" w:rsidP="00292D2E">
            <w:pPr>
              <w:widowControl w:val="0"/>
              <w:spacing w:line="360" w:lineRule="auto"/>
              <w:jc w:val="center"/>
              <w:rPr>
                <w:sz w:val="28"/>
                <w:szCs w:val="28"/>
                <w:lang w:val="en-US"/>
              </w:rPr>
            </w:pPr>
            <w:r w:rsidRPr="00520861">
              <w:rPr>
                <w:sz w:val="28"/>
                <w:szCs w:val="28"/>
                <w:lang w:val="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w:t>
            </w:r>
            <w:r w:rsidRPr="00520861">
              <w:rPr>
                <w:sz w:val="28"/>
                <w:szCs w:val="28"/>
                <w:lang w:val="ru-RU"/>
              </w:rPr>
              <w:t>32</w:t>
            </w:r>
          </w:p>
        </w:tc>
        <w:tc>
          <w:tcPr>
            <w:tcW w:w="2011" w:type="dxa"/>
          </w:tcPr>
          <w:p w14:paraId="21EED04A" w14:textId="77777777" w:rsidR="00CF641C" w:rsidRPr="00520861" w:rsidRDefault="00CF641C" w:rsidP="00292D2E">
            <w:pPr>
              <w:widowControl w:val="0"/>
              <w:spacing w:line="360" w:lineRule="auto"/>
              <w:ind w:hanging="108"/>
              <w:jc w:val="center"/>
              <w:rPr>
                <w:sz w:val="28"/>
                <w:szCs w:val="28"/>
                <w:lang w:val="ru-RU"/>
              </w:rPr>
            </w:pPr>
            <w:r w:rsidRPr="00520861">
              <w:rPr>
                <w:rFonts w:eastAsia="Calibri"/>
                <w:sz w:val="28"/>
                <w:szCs w:val="28"/>
                <w:lang w:val="ru-RU" w:eastAsia="en-US"/>
              </w:rPr>
              <w:t>109</w:t>
            </w:r>
            <w:r w:rsidRPr="00520861">
              <w:rPr>
                <w:sz w:val="28"/>
                <w:szCs w:val="28"/>
                <w:lang w:val="en-US"/>
              </w:rPr>
              <w:t>*</w:t>
            </w:r>
            <w:r w:rsidRPr="00520861">
              <w:rPr>
                <w:rFonts w:eastAsia="Calibri"/>
                <w:sz w:val="28"/>
                <w:szCs w:val="28"/>
                <w:lang w:val="ru-RU" w:eastAsia="en-US"/>
              </w:rPr>
              <w:t xml:space="preserve"> (116</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106)</w:t>
            </w:r>
          </w:p>
          <w:p w14:paraId="61B96346" w14:textId="77777777" w:rsidR="00CF641C" w:rsidRPr="00520861" w:rsidRDefault="00CF641C" w:rsidP="00292D2E">
            <w:pPr>
              <w:widowControl w:val="0"/>
              <w:spacing w:line="360" w:lineRule="auto"/>
              <w:jc w:val="center"/>
              <w:rPr>
                <w:sz w:val="28"/>
                <w:szCs w:val="28"/>
                <w:lang w:val="en-US"/>
              </w:rPr>
            </w:pPr>
            <w:r w:rsidRPr="00520861">
              <w:rPr>
                <w:sz w:val="28"/>
                <w:szCs w:val="28"/>
                <w:lang w:val="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w:t>
            </w:r>
            <w:r w:rsidRPr="00520861">
              <w:rPr>
                <w:sz w:val="28"/>
                <w:szCs w:val="28"/>
                <w:lang w:val="ru-RU"/>
              </w:rPr>
              <w:t>32</w:t>
            </w:r>
          </w:p>
        </w:tc>
        <w:tc>
          <w:tcPr>
            <w:tcW w:w="2268" w:type="dxa"/>
          </w:tcPr>
          <w:p w14:paraId="20225DB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ru-RU" w:eastAsia="en-US"/>
              </w:rPr>
              <w:t>110</w:t>
            </w:r>
            <w:r w:rsidRPr="00520861">
              <w:rPr>
                <w:rFonts w:eastAsia="Calibri"/>
                <w:sz w:val="28"/>
                <w:szCs w:val="28"/>
                <w:lang w:eastAsia="en-US"/>
              </w:rPr>
              <w:t xml:space="preserve"> </w:t>
            </w:r>
            <w:r w:rsidRPr="00520861">
              <w:rPr>
                <w:rFonts w:eastAsia="Calibri"/>
                <w:sz w:val="28"/>
                <w:szCs w:val="28"/>
                <w:lang w:val="ru-RU" w:eastAsia="en-US"/>
              </w:rPr>
              <w:t>(115</w:t>
            </w:r>
            <w:r w:rsidRPr="00520861">
              <w:rPr>
                <w:rFonts w:eastAsia="Calibri"/>
                <w:sz w:val="28"/>
                <w:szCs w:val="28"/>
                <w:lang w:val="en-US" w:eastAsia="en-US"/>
              </w:rPr>
              <w:t>;</w:t>
            </w:r>
            <w:r w:rsidRPr="00520861">
              <w:rPr>
                <w:rFonts w:eastAsia="Calibri"/>
                <w:sz w:val="28"/>
                <w:szCs w:val="28"/>
                <w:lang w:eastAsia="en-US"/>
              </w:rPr>
              <w:t xml:space="preserve"> </w:t>
            </w:r>
            <w:r w:rsidRPr="00520861">
              <w:rPr>
                <w:rFonts w:eastAsia="Calibri"/>
                <w:sz w:val="28"/>
                <w:szCs w:val="28"/>
                <w:lang w:val="ru-RU" w:eastAsia="en-US"/>
              </w:rPr>
              <w:t>106)</w:t>
            </w:r>
          </w:p>
        </w:tc>
        <w:tc>
          <w:tcPr>
            <w:tcW w:w="2004" w:type="dxa"/>
          </w:tcPr>
          <w:p w14:paraId="6171A418" w14:textId="77777777" w:rsidR="00CF641C" w:rsidRPr="00520861" w:rsidRDefault="00CF641C" w:rsidP="00292D2E">
            <w:pPr>
              <w:widowControl w:val="0"/>
              <w:spacing w:line="360" w:lineRule="auto"/>
              <w:jc w:val="center"/>
              <w:rPr>
                <w:sz w:val="28"/>
                <w:szCs w:val="28"/>
                <w:lang w:val="ru-RU"/>
              </w:rPr>
            </w:pPr>
            <w:r w:rsidRPr="00520861">
              <w:rPr>
                <w:rFonts w:eastAsia="Calibri"/>
                <w:sz w:val="28"/>
                <w:szCs w:val="28"/>
                <w:lang w:val="ru-RU" w:eastAsia="en-US"/>
              </w:rPr>
              <w:t>7,3</w:t>
            </w:r>
            <w:r w:rsidRPr="00520861">
              <w:rPr>
                <w:sz w:val="28"/>
                <w:szCs w:val="28"/>
                <w:lang w:val="ru-RU"/>
              </w:rPr>
              <w:t>*</w:t>
            </w:r>
            <w:r w:rsidRPr="00520861">
              <w:rPr>
                <w:rFonts w:eastAsia="Calibri"/>
                <w:sz w:val="28"/>
                <w:szCs w:val="28"/>
                <w:lang w:val="ru-RU" w:eastAsia="en-US"/>
              </w:rPr>
              <w:t xml:space="preserve"> (8,8</w:t>
            </w:r>
            <w:r w:rsidRPr="00520861">
              <w:rPr>
                <w:rFonts w:eastAsia="Calibri"/>
                <w:sz w:val="28"/>
                <w:szCs w:val="28"/>
                <w:lang w:val="en-US" w:eastAsia="en-US"/>
              </w:rPr>
              <w:t>;</w:t>
            </w:r>
            <w:r w:rsidRPr="00520861">
              <w:rPr>
                <w:rFonts w:eastAsia="Calibri"/>
                <w:sz w:val="28"/>
                <w:szCs w:val="28"/>
                <w:lang w:val="ru-RU" w:eastAsia="en-US"/>
              </w:rPr>
              <w:t xml:space="preserve"> 7,0)</w:t>
            </w:r>
          </w:p>
          <w:p w14:paraId="5FB12786" w14:textId="77777777" w:rsidR="00CF641C" w:rsidRPr="00520861" w:rsidRDefault="00CF641C" w:rsidP="00292D2E">
            <w:pPr>
              <w:widowControl w:val="0"/>
              <w:spacing w:line="360" w:lineRule="auto"/>
              <w:jc w:val="center"/>
              <w:rPr>
                <w:sz w:val="28"/>
                <w:szCs w:val="28"/>
                <w:lang w:val="en-US"/>
              </w:rPr>
            </w:pPr>
            <w:r w:rsidRPr="00520861">
              <w:rPr>
                <w:sz w:val="28"/>
                <w:szCs w:val="28"/>
                <w:lang w:val="ru-RU"/>
              </w:rPr>
              <w:t xml:space="preserve"> </w:t>
            </w:r>
            <w:r w:rsidRPr="00520861">
              <w:rPr>
                <w:i/>
                <w:sz w:val="28"/>
                <w:szCs w:val="28"/>
                <w:lang w:val="en-US"/>
              </w:rPr>
              <w:t>p</w:t>
            </w:r>
            <w:r w:rsidRPr="00520861">
              <w:rPr>
                <w:sz w:val="28"/>
                <w:szCs w:val="28"/>
                <w:lang w:val="en-US"/>
              </w:rPr>
              <w:t>=</w:t>
            </w:r>
            <w:r w:rsidRPr="00520861">
              <w:rPr>
                <w:sz w:val="28"/>
                <w:szCs w:val="28"/>
                <w:lang w:val="ru-RU"/>
              </w:rPr>
              <w:t>0,0</w:t>
            </w:r>
            <w:r w:rsidRPr="00520861">
              <w:rPr>
                <w:sz w:val="28"/>
                <w:szCs w:val="28"/>
                <w:lang w:val="en-US"/>
              </w:rPr>
              <w:t>20</w:t>
            </w:r>
          </w:p>
        </w:tc>
      </w:tr>
    </w:tbl>
    <w:p w14:paraId="6261460B"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48C8ED9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2A8C275F" wp14:editId="5DCF410D">
            <wp:extent cx="5303981" cy="6381750"/>
            <wp:effectExtent l="0" t="0" r="0" b="0"/>
            <wp:docPr id="41" name="Рисунок 41" descr="D:\тер стом\научн работа 1\дд друк\ на защиту\Маша\Рис\Рис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тер стом\научн работа 1\дд друк\ на защиту\Маша\Рис\Рис3.23.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316545" cy="6396867"/>
                    </a:xfrm>
                    <a:prstGeom prst="rect">
                      <a:avLst/>
                    </a:prstGeom>
                    <a:noFill/>
                    <a:ln>
                      <a:noFill/>
                    </a:ln>
                  </pic:spPr>
                </pic:pic>
              </a:graphicData>
            </a:graphic>
          </wp:inline>
        </w:drawing>
      </w:r>
    </w:p>
    <w:p w14:paraId="5F505CCD" w14:textId="77777777" w:rsidR="00CF641C" w:rsidRPr="00520861" w:rsidRDefault="00CF641C" w:rsidP="00292D2E">
      <w:pPr>
        <w:widowControl w:val="0"/>
        <w:spacing w:line="360" w:lineRule="auto"/>
        <w:ind w:firstLine="708"/>
        <w:jc w:val="center"/>
        <w:rPr>
          <w:sz w:val="28"/>
          <w:szCs w:val="28"/>
        </w:rPr>
      </w:pPr>
      <w:r w:rsidRPr="00520861">
        <w:rPr>
          <w:rFonts w:eastAsia="Calibri"/>
          <w:sz w:val="28"/>
          <w:szCs w:val="28"/>
          <w:lang w:eastAsia="en-US"/>
        </w:rPr>
        <w:t>Рис. 3.21.</w:t>
      </w:r>
      <w:r w:rsidRPr="00520861">
        <w:rPr>
          <w:sz w:val="28"/>
          <w:szCs w:val="28"/>
        </w:rPr>
        <w:t xml:space="preserve"> Ділянки привушних слинних залоз 180-денних щурів: </w:t>
      </w:r>
      <w:r w:rsidRPr="00520861">
        <w:rPr>
          <w:i/>
          <w:sz w:val="28"/>
          <w:szCs w:val="28"/>
        </w:rPr>
        <w:t>а</w:t>
      </w:r>
      <w:r w:rsidRPr="00520861">
        <w:rPr>
          <w:sz w:val="28"/>
          <w:szCs w:val="28"/>
        </w:rPr>
        <w:t xml:space="preserve">) – групи </w:t>
      </w:r>
      <w:r w:rsidRPr="00520861">
        <w:rPr>
          <w:sz w:val="28"/>
          <w:szCs w:val="28"/>
        </w:rPr>
        <w:br/>
        <w:t xml:space="preserve">контролю (максимальна </w:t>
      </w:r>
      <w:proofErr w:type="spellStart"/>
      <w:r w:rsidRPr="00520861">
        <w:rPr>
          <w:sz w:val="28"/>
          <w:szCs w:val="28"/>
        </w:rPr>
        <w:t>проєкція</w:t>
      </w:r>
      <w:proofErr w:type="spellEnd"/>
      <w:r w:rsidRPr="00520861">
        <w:rPr>
          <w:sz w:val="28"/>
          <w:szCs w:val="28"/>
        </w:rPr>
        <w:t xml:space="preserve"> стеку конфокальних мікрофотографій з кольоровим кодуванням глибини, 31 оптичний зріз, фізичний розмір видимої площі – 277,24×277,24×32,9 (м×10</w:t>
      </w:r>
      <w:r w:rsidRPr="00520861">
        <w:rPr>
          <w:sz w:val="28"/>
          <w:szCs w:val="28"/>
          <w:vertAlign w:val="superscript"/>
        </w:rPr>
        <w:t>6</w:t>
      </w:r>
      <w:r w:rsidRPr="00520861">
        <w:rPr>
          <w:sz w:val="28"/>
          <w:szCs w:val="28"/>
        </w:rPr>
        <w:t xml:space="preserve">)); </w:t>
      </w:r>
      <w:r w:rsidRPr="00520861">
        <w:rPr>
          <w:i/>
          <w:sz w:val="28"/>
          <w:szCs w:val="28"/>
        </w:rPr>
        <w:t>б</w:t>
      </w:r>
      <w:r w:rsidRPr="00520861">
        <w:rPr>
          <w:sz w:val="28"/>
          <w:szCs w:val="28"/>
        </w:rPr>
        <w:t xml:space="preserve">) – групи 3 (максимальна </w:t>
      </w:r>
      <w:proofErr w:type="spellStart"/>
      <w:r w:rsidRPr="00520861">
        <w:rPr>
          <w:sz w:val="28"/>
          <w:szCs w:val="28"/>
        </w:rPr>
        <w:t>проєкція</w:t>
      </w:r>
      <w:proofErr w:type="spellEnd"/>
      <w:r w:rsidRPr="00520861">
        <w:rPr>
          <w:sz w:val="28"/>
          <w:szCs w:val="28"/>
        </w:rPr>
        <w:t xml:space="preserve"> стеку конфокальних мікрофотографій з кольоровим кодуванням глибини, 52 оптичних зрізи, фізичний розмір видимої площі – 277,24×277,24×36</w:t>
      </w:r>
      <w:r w:rsidRPr="00520861">
        <w:rPr>
          <w:sz w:val="28"/>
          <w:szCs w:val="28"/>
          <w:lang w:val="ru-RU"/>
        </w:rPr>
        <w:t></w:t>
      </w:r>
      <w:r w:rsidRPr="00520861">
        <w:rPr>
          <w:sz w:val="28"/>
          <w:szCs w:val="28"/>
        </w:rPr>
        <w:t>0 (м×10</w:t>
      </w:r>
      <w:r w:rsidRPr="00520861">
        <w:rPr>
          <w:sz w:val="28"/>
          <w:szCs w:val="28"/>
          <w:vertAlign w:val="superscript"/>
        </w:rPr>
        <w:t>6</w:t>
      </w:r>
      <w:r w:rsidRPr="00520861">
        <w:rPr>
          <w:sz w:val="28"/>
          <w:szCs w:val="28"/>
        </w:rPr>
        <w:t xml:space="preserve">)); </w:t>
      </w:r>
      <w:r w:rsidRPr="00520861">
        <w:rPr>
          <w:i/>
          <w:sz w:val="28"/>
          <w:szCs w:val="28"/>
        </w:rPr>
        <w:t>в</w:t>
      </w:r>
      <w:r w:rsidRPr="00520861">
        <w:rPr>
          <w:sz w:val="28"/>
          <w:szCs w:val="28"/>
        </w:rPr>
        <w:t xml:space="preserve">) – групи 4 (максимальна </w:t>
      </w:r>
      <w:proofErr w:type="spellStart"/>
      <w:r w:rsidRPr="00520861">
        <w:rPr>
          <w:sz w:val="28"/>
          <w:szCs w:val="28"/>
        </w:rPr>
        <w:t>проєкція</w:t>
      </w:r>
      <w:proofErr w:type="spellEnd"/>
      <w:r w:rsidRPr="00520861">
        <w:rPr>
          <w:sz w:val="28"/>
          <w:szCs w:val="28"/>
        </w:rPr>
        <w:t xml:space="preserve"> стеку конфокальних мікрофотографій з кольоровим кодуванням глибини, 39 оптичних зрізів, фізичний розмір видимої площі – 277,24×277,24×27</w:t>
      </w:r>
      <w:r w:rsidRPr="00520861">
        <w:rPr>
          <w:sz w:val="28"/>
          <w:szCs w:val="28"/>
          <w:lang w:val="ru-RU"/>
        </w:rPr>
        <w:t></w:t>
      </w:r>
      <w:r w:rsidRPr="00520861">
        <w:rPr>
          <w:sz w:val="28"/>
          <w:szCs w:val="28"/>
        </w:rPr>
        <w:t>3 (м×10</w:t>
      </w:r>
      <w:r w:rsidRPr="00520861">
        <w:rPr>
          <w:sz w:val="28"/>
          <w:szCs w:val="28"/>
          <w:vertAlign w:val="superscript"/>
        </w:rPr>
        <w:t>6</w:t>
      </w:r>
      <w:r w:rsidRPr="00520861">
        <w:rPr>
          <w:sz w:val="28"/>
          <w:szCs w:val="28"/>
        </w:rPr>
        <w:t xml:space="preserve">)). Гематоксилін та еозин. Об’єктив ACS APO 40× NA1.15 </w:t>
      </w:r>
      <w:proofErr w:type="spellStart"/>
      <w:r w:rsidRPr="00520861">
        <w:rPr>
          <w:sz w:val="28"/>
          <w:szCs w:val="28"/>
        </w:rPr>
        <w:t>Oil</w:t>
      </w:r>
      <w:proofErr w:type="spellEnd"/>
      <w:r w:rsidRPr="00520861">
        <w:rPr>
          <w:sz w:val="28"/>
          <w:szCs w:val="28"/>
        </w:rPr>
        <w:t xml:space="preserve"> </w:t>
      </w:r>
      <w:r w:rsidRPr="00520861">
        <w:rPr>
          <w:sz w:val="28"/>
          <w:szCs w:val="28"/>
          <w:lang w:val="en-US"/>
        </w:rPr>
        <w:t>and</w:t>
      </w:r>
      <w:r w:rsidRPr="00520861">
        <w:rPr>
          <w:sz w:val="28"/>
          <w:szCs w:val="28"/>
        </w:rPr>
        <w:t xml:space="preserve"> </w:t>
      </w:r>
      <w:r w:rsidRPr="00520861">
        <w:rPr>
          <w:sz w:val="28"/>
          <w:szCs w:val="28"/>
          <w:lang w:val="en-US"/>
        </w:rPr>
        <w:t>Water</w:t>
      </w:r>
      <w:r w:rsidRPr="00520861">
        <w:rPr>
          <w:sz w:val="28"/>
          <w:szCs w:val="28"/>
        </w:rPr>
        <w:t xml:space="preserve"> </w:t>
      </w:r>
      <w:r w:rsidRPr="00520861">
        <w:rPr>
          <w:sz w:val="28"/>
          <w:szCs w:val="28"/>
        </w:rPr>
        <w:lastRenderedPageBreak/>
        <w:t>CS</w:t>
      </w:r>
      <w:r w:rsidRPr="00520861">
        <w:rPr>
          <w:sz w:val="28"/>
          <w:szCs w:val="28"/>
          <w:lang w:val="ru-RU"/>
        </w:rPr>
        <w:t></w:t>
      </w:r>
      <w:r w:rsidRPr="00520861">
        <w:rPr>
          <w:sz w:val="28"/>
          <w:szCs w:val="28"/>
          <w:lang w:val="ru-RU"/>
        </w:rPr>
        <w:t></w:t>
      </w:r>
      <w:r w:rsidRPr="00520861">
        <w:rPr>
          <w:sz w:val="28"/>
          <w:szCs w:val="28"/>
        </w:rPr>
        <w:t></w:t>
      </w:r>
    </w:p>
    <w:p w14:paraId="29050A3A"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Морфометрія на зображеннях, що отримані за допомогою конфокальної мікроскопії, підтверджує та доповнює дані, які були одержані за допомогою світлової мікроскопії [62]. Виявилося, що у щурів групи 2 збільшена площа цитоплазми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Тобто, з урахуванням отриманих раніше даних з’ясувалося, що в їхніх </w:t>
      </w:r>
      <w:proofErr w:type="spellStart"/>
      <w:r w:rsidRPr="00520861">
        <w:rPr>
          <w:rFonts w:eastAsia="Calibri"/>
          <w:sz w:val="28"/>
          <w:szCs w:val="28"/>
          <w:lang w:eastAsia="en-US"/>
        </w:rPr>
        <w:t>сероцитах</w:t>
      </w:r>
      <w:proofErr w:type="spellEnd"/>
      <w:r w:rsidRPr="00520861">
        <w:rPr>
          <w:rFonts w:eastAsia="Calibri"/>
          <w:sz w:val="28"/>
          <w:szCs w:val="28"/>
          <w:lang w:eastAsia="en-US"/>
        </w:rPr>
        <w:t xml:space="preserve"> утворюються запаси секрету в більшій кількості, ніж у контролі. У щурів групи 1 відбувається такий самий процес, але він є менш вираженим. У щурів групи 3 запаси секрету зменшені, а у щурів групи 4 зафіксовано найбільше зменшення.</w:t>
      </w:r>
    </w:p>
    <w:p w14:paraId="4166202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Отже, результати </w:t>
      </w:r>
      <w:proofErr w:type="spellStart"/>
      <w:r w:rsidRPr="00520861">
        <w:rPr>
          <w:rFonts w:eastAsia="Calibri"/>
          <w:sz w:val="28"/>
          <w:szCs w:val="28"/>
          <w:lang w:eastAsia="en-US"/>
        </w:rPr>
        <w:t>каріометрії</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цитофотометрії</w:t>
      </w:r>
      <w:proofErr w:type="spellEnd"/>
      <w:r w:rsidRPr="00520861">
        <w:rPr>
          <w:rFonts w:eastAsia="Calibri"/>
          <w:sz w:val="28"/>
          <w:szCs w:val="28"/>
          <w:lang w:eastAsia="en-US"/>
        </w:rPr>
        <w:t xml:space="preserve"> свідчать, що </w:t>
      </w:r>
      <w:r w:rsidRPr="00520861">
        <w:rPr>
          <w:rFonts w:eastAsiaTheme="minorHAnsi"/>
          <w:sz w:val="28"/>
          <w:szCs w:val="28"/>
          <w:lang w:eastAsia="en-US"/>
        </w:rPr>
        <w:t>МФ</w:t>
      </w:r>
      <w:r w:rsidRPr="00520861">
        <w:rPr>
          <w:rFonts w:eastAsia="Calibri"/>
          <w:sz w:val="28"/>
          <w:szCs w:val="28"/>
          <w:lang w:eastAsia="en-US"/>
        </w:rPr>
        <w:t xml:space="preserve"> активність окремого </w:t>
      </w:r>
      <w:proofErr w:type="spellStart"/>
      <w:r w:rsidRPr="00520861">
        <w:rPr>
          <w:rFonts w:eastAsia="Calibri"/>
          <w:sz w:val="28"/>
          <w:szCs w:val="28"/>
          <w:lang w:eastAsia="en-US"/>
        </w:rPr>
        <w:t>сероцита</w:t>
      </w:r>
      <w:proofErr w:type="spellEnd"/>
      <w:r w:rsidRPr="00520861">
        <w:rPr>
          <w:rFonts w:eastAsia="Calibri"/>
          <w:sz w:val="28"/>
          <w:szCs w:val="28"/>
          <w:lang w:eastAsia="en-US"/>
        </w:rPr>
        <w:t xml:space="preserve"> з віком знижується, запаси секрету збільшуються.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надлишком маси тіла при народженні, особливо у тварин, моделювання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яких передбачало гіпокінезію вагітної самиці, з віком спостерігалися ознаки збільшення </w:t>
      </w:r>
      <w:r w:rsidRPr="00520861">
        <w:rPr>
          <w:rFonts w:eastAsiaTheme="minorHAnsi"/>
          <w:sz w:val="28"/>
          <w:szCs w:val="28"/>
          <w:lang w:eastAsia="en-US"/>
        </w:rPr>
        <w:t>МФ</w:t>
      </w:r>
      <w:r w:rsidRPr="00520861">
        <w:rPr>
          <w:rFonts w:eastAsia="Calibri"/>
          <w:sz w:val="28"/>
          <w:szCs w:val="28"/>
          <w:lang w:eastAsia="en-US"/>
        </w:rPr>
        <w:t xml:space="preserve"> активності залози, але це збільшення лімітоване. Тому в них зафіксований більш виражений </w:t>
      </w:r>
      <w:proofErr w:type="spellStart"/>
      <w:r w:rsidRPr="00520861">
        <w:rPr>
          <w:rFonts w:eastAsia="Calibri"/>
          <w:sz w:val="28"/>
          <w:szCs w:val="28"/>
          <w:lang w:eastAsia="en-US"/>
        </w:rPr>
        <w:t>апоптоз</w:t>
      </w:r>
      <w:proofErr w:type="spellEnd"/>
      <w:r w:rsidRPr="00520861">
        <w:rPr>
          <w:rFonts w:eastAsia="Calibri"/>
          <w:sz w:val="28"/>
          <w:szCs w:val="28"/>
          <w:lang w:eastAsia="en-US"/>
        </w:rPr>
        <w:t xml:space="preserve">, запаси секрету в </w:t>
      </w:r>
      <w:proofErr w:type="spellStart"/>
      <w:r w:rsidRPr="00520861">
        <w:rPr>
          <w:rFonts w:eastAsia="Calibri"/>
          <w:sz w:val="28"/>
          <w:szCs w:val="28"/>
          <w:lang w:eastAsia="en-US"/>
        </w:rPr>
        <w:t>сероцитах</w:t>
      </w:r>
      <w:proofErr w:type="spellEnd"/>
      <w:r w:rsidRPr="00520861">
        <w:rPr>
          <w:rFonts w:eastAsia="Calibri"/>
          <w:sz w:val="28"/>
          <w:szCs w:val="28"/>
          <w:lang w:eastAsia="en-US"/>
        </w:rPr>
        <w:t xml:space="preserve"> зменшуються. </w:t>
      </w:r>
    </w:p>
    <w:p w14:paraId="05ED0E4E" w14:textId="77777777" w:rsidR="00CF641C" w:rsidRPr="00520861" w:rsidRDefault="00CF641C" w:rsidP="00292D2E">
      <w:pPr>
        <w:widowControl w:val="0"/>
        <w:spacing w:line="360" w:lineRule="auto"/>
        <w:ind w:firstLine="708"/>
        <w:jc w:val="both"/>
        <w:rPr>
          <w:rFonts w:eastAsiaTheme="minorHAnsi"/>
          <w:bCs/>
          <w:sz w:val="28"/>
          <w:szCs w:val="28"/>
          <w:lang w:eastAsia="en-US"/>
        </w:rPr>
      </w:pPr>
      <w:r w:rsidRPr="00520861">
        <w:rPr>
          <w:rFonts w:eastAsiaTheme="minorHAnsi"/>
          <w:b/>
          <w:sz w:val="28"/>
          <w:szCs w:val="28"/>
          <w:lang w:eastAsia="en-US"/>
        </w:rPr>
        <w:t xml:space="preserve">3.4.2. Стан малих (молярних) слинних </w:t>
      </w:r>
      <w:r w:rsidRPr="00520861">
        <w:rPr>
          <w:rFonts w:eastAsia="Calibri"/>
          <w:b/>
          <w:bCs/>
          <w:sz w:val="28"/>
          <w:szCs w:val="28"/>
          <w:lang w:eastAsia="en-US"/>
        </w:rPr>
        <w:t xml:space="preserve">залоз. </w:t>
      </w:r>
      <w:r w:rsidRPr="00520861">
        <w:rPr>
          <w:rFonts w:eastAsiaTheme="minorHAnsi"/>
          <w:bCs/>
          <w:spacing w:val="-6"/>
          <w:sz w:val="28"/>
          <w:szCs w:val="28"/>
          <w:lang w:eastAsia="en-US"/>
        </w:rPr>
        <w:t xml:space="preserve">Аналіз особливостей малих слинних залоз на рівні тканин (табл. 3.13), виявив, що в групі 2 та групі 3, порівняно з контролем, у структурі залоз спостерігалася більш виражена строма і менш виражена паренхіма. </w:t>
      </w:r>
    </w:p>
    <w:p w14:paraId="724A8366" w14:textId="77777777" w:rsidR="00CF641C" w:rsidRPr="00520861" w:rsidRDefault="00CF641C" w:rsidP="00292D2E">
      <w:pPr>
        <w:widowControl w:val="0"/>
        <w:spacing w:line="360" w:lineRule="auto"/>
        <w:ind w:firstLine="708"/>
        <w:jc w:val="right"/>
        <w:rPr>
          <w:rFonts w:eastAsia="Calibri"/>
          <w:bCs/>
          <w:i/>
          <w:sz w:val="28"/>
          <w:szCs w:val="28"/>
          <w:lang w:val="ru-RU" w:eastAsia="en-US"/>
        </w:rPr>
      </w:pPr>
      <w:proofErr w:type="spellStart"/>
      <w:r w:rsidRPr="00520861">
        <w:rPr>
          <w:rFonts w:eastAsia="Calibri"/>
          <w:bCs/>
          <w:i/>
          <w:sz w:val="28"/>
          <w:szCs w:val="28"/>
          <w:lang w:val="ru-RU" w:eastAsia="en-US"/>
        </w:rPr>
        <w:t>Таблиця</w:t>
      </w:r>
      <w:proofErr w:type="spellEnd"/>
      <w:r w:rsidRPr="00520861">
        <w:rPr>
          <w:rFonts w:eastAsia="Calibri"/>
          <w:bCs/>
          <w:i/>
          <w:sz w:val="28"/>
          <w:szCs w:val="28"/>
          <w:lang w:val="ru-RU" w:eastAsia="en-US"/>
        </w:rPr>
        <w:t xml:space="preserve"> 3.13 </w:t>
      </w:r>
    </w:p>
    <w:p w14:paraId="2F9FE1AF" w14:textId="77777777" w:rsidR="00CF641C" w:rsidRPr="00520861" w:rsidRDefault="00CF641C" w:rsidP="00292D2E">
      <w:pPr>
        <w:widowControl w:val="0"/>
        <w:spacing w:line="360" w:lineRule="auto"/>
        <w:jc w:val="center"/>
        <w:rPr>
          <w:rFonts w:eastAsia="Calibri"/>
          <w:b/>
          <w:bCs/>
          <w:sz w:val="28"/>
          <w:szCs w:val="28"/>
          <w:lang w:eastAsia="en-US"/>
        </w:rPr>
      </w:pPr>
      <w:r w:rsidRPr="00520861">
        <w:rPr>
          <w:rFonts w:eastAsia="Calibri"/>
          <w:b/>
          <w:bCs/>
          <w:sz w:val="28"/>
          <w:szCs w:val="28"/>
          <w:lang w:eastAsia="en-US"/>
        </w:rPr>
        <w:t xml:space="preserve">Відносні значення </w:t>
      </w:r>
      <w:proofErr w:type="spellStart"/>
      <w:r w:rsidRPr="00520861">
        <w:rPr>
          <w:rFonts w:eastAsia="Calibri"/>
          <w:b/>
          <w:bCs/>
          <w:sz w:val="28"/>
          <w:szCs w:val="28"/>
          <w:lang w:eastAsia="en-US"/>
        </w:rPr>
        <w:t>морфометричних</w:t>
      </w:r>
      <w:proofErr w:type="spellEnd"/>
      <w:r w:rsidRPr="00520861">
        <w:rPr>
          <w:rFonts w:eastAsia="Calibri"/>
          <w:b/>
          <w:bCs/>
          <w:sz w:val="28"/>
          <w:szCs w:val="28"/>
          <w:lang w:eastAsia="en-US"/>
        </w:rPr>
        <w:t xml:space="preserve"> параметрів малих слинних залоз </w:t>
      </w:r>
      <w:r w:rsidRPr="00520861">
        <w:rPr>
          <w:rFonts w:eastAsia="Calibri"/>
          <w:b/>
          <w:bCs/>
          <w:sz w:val="28"/>
          <w:szCs w:val="28"/>
          <w:lang w:eastAsia="en-US"/>
        </w:rPr>
        <w:br/>
        <w:t>6-ти місячних експериментальних тварин</w:t>
      </w:r>
    </w:p>
    <w:tbl>
      <w:tblPr>
        <w:tblStyle w:val="41"/>
        <w:tblW w:w="10065" w:type="dxa"/>
        <w:tblInd w:w="-5" w:type="dxa"/>
        <w:tblLayout w:type="fixed"/>
        <w:tblLook w:val="04A0" w:firstRow="1" w:lastRow="0" w:firstColumn="1" w:lastColumn="0" w:noHBand="0" w:noVBand="1"/>
      </w:tblPr>
      <w:tblGrid>
        <w:gridCol w:w="1591"/>
        <w:gridCol w:w="2835"/>
        <w:gridCol w:w="2835"/>
        <w:gridCol w:w="2804"/>
      </w:tblGrid>
      <w:tr w:rsidR="00CF641C" w:rsidRPr="00520861" w14:paraId="3364C062" w14:textId="77777777" w:rsidTr="00292D2E">
        <w:tc>
          <w:tcPr>
            <w:tcW w:w="1591" w:type="dxa"/>
          </w:tcPr>
          <w:p w14:paraId="23A1B358" w14:textId="77777777" w:rsidR="00CF641C" w:rsidRPr="00520861" w:rsidRDefault="00CF641C" w:rsidP="00292D2E">
            <w:pPr>
              <w:widowControl w:val="0"/>
              <w:spacing w:line="360" w:lineRule="auto"/>
              <w:rPr>
                <w:rFonts w:cs="Times New Roman"/>
                <w:sz w:val="28"/>
                <w:szCs w:val="28"/>
                <w:lang w:val="ru-RU"/>
              </w:rPr>
            </w:pPr>
          </w:p>
          <w:p w14:paraId="0D69F65D" w14:textId="77777777" w:rsidR="00CF641C" w:rsidRPr="00520861" w:rsidRDefault="00CF641C" w:rsidP="00292D2E">
            <w:pPr>
              <w:widowControl w:val="0"/>
              <w:spacing w:line="360" w:lineRule="auto"/>
              <w:rPr>
                <w:rFonts w:cs="Times New Roman"/>
                <w:sz w:val="28"/>
                <w:szCs w:val="28"/>
              </w:rPr>
            </w:pPr>
            <w:r w:rsidRPr="00520861">
              <w:rPr>
                <w:rFonts w:cs="Times New Roman"/>
                <w:sz w:val="28"/>
                <w:szCs w:val="28"/>
              </w:rPr>
              <w:t xml:space="preserve">Група </w:t>
            </w:r>
          </w:p>
          <w:p w14:paraId="351CF486" w14:textId="77777777" w:rsidR="00CF641C" w:rsidRPr="00520861" w:rsidRDefault="00CF641C" w:rsidP="00292D2E">
            <w:pPr>
              <w:widowControl w:val="0"/>
              <w:spacing w:line="360" w:lineRule="auto"/>
              <w:rPr>
                <w:rFonts w:cs="Times New Roman"/>
                <w:sz w:val="28"/>
                <w:szCs w:val="28"/>
                <w:lang w:val="en-US"/>
              </w:rPr>
            </w:pPr>
            <w:r w:rsidRPr="00520861">
              <w:rPr>
                <w:rFonts w:cs="Times New Roman"/>
                <w:sz w:val="28"/>
                <w:szCs w:val="28"/>
              </w:rPr>
              <w:t>дослідження</w:t>
            </w:r>
          </w:p>
        </w:tc>
        <w:tc>
          <w:tcPr>
            <w:tcW w:w="2835" w:type="dxa"/>
          </w:tcPr>
          <w:p w14:paraId="32DD8F00"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rPr>
              <w:t xml:space="preserve">Відносна площа перерізу паренхіматозної тканини слинної залози, </w:t>
            </w:r>
            <w:r w:rsidRPr="00520861">
              <w:rPr>
                <w:rFonts w:cs="Times New Roman"/>
                <w:sz w:val="28"/>
                <w:szCs w:val="28"/>
                <w:lang w:val="ru-RU"/>
              </w:rPr>
              <w:t>(%)</w:t>
            </w:r>
          </w:p>
        </w:tc>
        <w:tc>
          <w:tcPr>
            <w:tcW w:w="2835" w:type="dxa"/>
          </w:tcPr>
          <w:p w14:paraId="78C3B010"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rPr>
              <w:t xml:space="preserve">Відносна площа перерізу просвіту </w:t>
            </w:r>
            <w:proofErr w:type="spellStart"/>
            <w:r w:rsidRPr="00520861">
              <w:rPr>
                <w:rFonts w:cs="Times New Roman"/>
                <w:sz w:val="28"/>
                <w:szCs w:val="28"/>
              </w:rPr>
              <w:t>концевого</w:t>
            </w:r>
            <w:proofErr w:type="spellEnd"/>
            <w:r w:rsidRPr="00520861">
              <w:rPr>
                <w:rFonts w:cs="Times New Roman"/>
                <w:sz w:val="28"/>
                <w:szCs w:val="28"/>
              </w:rPr>
              <w:t xml:space="preserve"> </w:t>
            </w:r>
            <w:proofErr w:type="spellStart"/>
            <w:r w:rsidRPr="00520861">
              <w:rPr>
                <w:rFonts w:cs="Times New Roman"/>
                <w:sz w:val="28"/>
                <w:szCs w:val="28"/>
              </w:rPr>
              <w:t>відділа</w:t>
            </w:r>
            <w:proofErr w:type="spellEnd"/>
            <w:r w:rsidRPr="00520861">
              <w:rPr>
                <w:rFonts w:cs="Times New Roman"/>
                <w:sz w:val="28"/>
                <w:szCs w:val="28"/>
              </w:rPr>
              <w:t xml:space="preserve"> </w:t>
            </w:r>
          </w:p>
          <w:p w14:paraId="06465771"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rPr>
              <w:t xml:space="preserve">слинної залози, </w:t>
            </w:r>
            <w:r w:rsidRPr="00520861">
              <w:rPr>
                <w:rFonts w:cs="Times New Roman"/>
                <w:sz w:val="28"/>
                <w:szCs w:val="28"/>
                <w:lang w:val="ru-RU"/>
              </w:rPr>
              <w:t>(%)</w:t>
            </w:r>
          </w:p>
        </w:tc>
        <w:tc>
          <w:tcPr>
            <w:tcW w:w="2804" w:type="dxa"/>
          </w:tcPr>
          <w:p w14:paraId="539546D1"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rPr>
              <w:t>Відносна площа перерізу строми</w:t>
            </w:r>
          </w:p>
          <w:p w14:paraId="20CAA5AE" w14:textId="77777777" w:rsidR="00CF641C" w:rsidRPr="00520861" w:rsidRDefault="00CF641C" w:rsidP="00292D2E">
            <w:pPr>
              <w:widowControl w:val="0"/>
              <w:spacing w:line="360" w:lineRule="auto"/>
              <w:jc w:val="center"/>
              <w:rPr>
                <w:rFonts w:cs="Times New Roman"/>
                <w:sz w:val="28"/>
                <w:szCs w:val="28"/>
              </w:rPr>
            </w:pPr>
            <w:r w:rsidRPr="00520861">
              <w:rPr>
                <w:rFonts w:cs="Times New Roman"/>
                <w:sz w:val="28"/>
                <w:szCs w:val="28"/>
              </w:rPr>
              <w:t xml:space="preserve">слинної залози, </w:t>
            </w:r>
          </w:p>
          <w:p w14:paraId="1942D151" w14:textId="77777777" w:rsidR="00CF641C" w:rsidRPr="00520861" w:rsidRDefault="00CF641C" w:rsidP="00292D2E">
            <w:pPr>
              <w:widowControl w:val="0"/>
              <w:spacing w:line="360" w:lineRule="auto"/>
              <w:jc w:val="center"/>
              <w:rPr>
                <w:rFonts w:cs="Times New Roman"/>
                <w:sz w:val="28"/>
                <w:szCs w:val="28"/>
              </w:rPr>
            </w:pPr>
            <w:r w:rsidRPr="00520861">
              <w:rPr>
                <w:rFonts w:cs="Times New Roman"/>
                <w:sz w:val="28"/>
                <w:szCs w:val="28"/>
                <w:lang w:val="ru-RU"/>
              </w:rPr>
              <w:t>(%)</w:t>
            </w:r>
          </w:p>
        </w:tc>
      </w:tr>
      <w:tr w:rsidR="00CF641C" w:rsidRPr="00520861" w14:paraId="74BEC442" w14:textId="77777777" w:rsidTr="00292D2E">
        <w:tc>
          <w:tcPr>
            <w:tcW w:w="1591" w:type="dxa"/>
          </w:tcPr>
          <w:p w14:paraId="3B352CAB" w14:textId="77777777" w:rsidR="00CF641C" w:rsidRPr="00520861" w:rsidRDefault="00CF641C" w:rsidP="00292D2E">
            <w:pPr>
              <w:widowControl w:val="0"/>
              <w:spacing w:line="360" w:lineRule="auto"/>
              <w:rPr>
                <w:rFonts w:cs="Times New Roman"/>
                <w:sz w:val="28"/>
                <w:szCs w:val="28"/>
                <w:lang w:val="ru-RU"/>
              </w:rPr>
            </w:pPr>
            <w:r w:rsidRPr="00520861">
              <w:rPr>
                <w:rFonts w:cs="Times New Roman"/>
                <w:sz w:val="28"/>
                <w:szCs w:val="28"/>
              </w:rPr>
              <w:t>Контроль</w:t>
            </w:r>
          </w:p>
        </w:tc>
        <w:tc>
          <w:tcPr>
            <w:tcW w:w="2835" w:type="dxa"/>
          </w:tcPr>
          <w:p w14:paraId="01FF7763"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59,3</w:t>
            </w:r>
          </w:p>
        </w:tc>
        <w:tc>
          <w:tcPr>
            <w:tcW w:w="2835" w:type="dxa"/>
          </w:tcPr>
          <w:p w14:paraId="4093CD95"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1,8</w:t>
            </w:r>
          </w:p>
        </w:tc>
        <w:tc>
          <w:tcPr>
            <w:tcW w:w="2804" w:type="dxa"/>
          </w:tcPr>
          <w:p w14:paraId="0142A4F4"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3</w:t>
            </w:r>
            <w:r w:rsidRPr="00520861">
              <w:rPr>
                <w:rFonts w:cs="Times New Roman"/>
                <w:sz w:val="28"/>
                <w:szCs w:val="28"/>
                <w:lang w:val="en-US"/>
              </w:rPr>
              <w:t>8</w:t>
            </w:r>
            <w:r w:rsidRPr="00520861">
              <w:rPr>
                <w:rFonts w:cs="Times New Roman"/>
                <w:sz w:val="28"/>
                <w:szCs w:val="28"/>
                <w:lang w:val="ru-RU"/>
              </w:rPr>
              <w:t>,9</w:t>
            </w:r>
          </w:p>
        </w:tc>
      </w:tr>
      <w:tr w:rsidR="00CF641C" w:rsidRPr="00520861" w14:paraId="287D5E00" w14:textId="77777777" w:rsidTr="00292D2E">
        <w:trPr>
          <w:trHeight w:val="521"/>
        </w:trPr>
        <w:tc>
          <w:tcPr>
            <w:tcW w:w="1591" w:type="dxa"/>
          </w:tcPr>
          <w:p w14:paraId="557C0AD8" w14:textId="77777777" w:rsidR="00CF641C" w:rsidRPr="00520861" w:rsidRDefault="00CF641C" w:rsidP="00292D2E">
            <w:pPr>
              <w:widowControl w:val="0"/>
              <w:spacing w:line="360" w:lineRule="auto"/>
              <w:rPr>
                <w:rFonts w:cs="Times New Roman"/>
                <w:sz w:val="28"/>
                <w:szCs w:val="28"/>
              </w:rPr>
            </w:pPr>
            <w:r w:rsidRPr="00520861">
              <w:rPr>
                <w:rFonts w:cs="Times New Roman"/>
                <w:sz w:val="28"/>
                <w:szCs w:val="28"/>
              </w:rPr>
              <w:t>Група 1</w:t>
            </w:r>
          </w:p>
        </w:tc>
        <w:tc>
          <w:tcPr>
            <w:tcW w:w="2835" w:type="dxa"/>
          </w:tcPr>
          <w:p w14:paraId="12B8D105"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56,0</w:t>
            </w:r>
          </w:p>
        </w:tc>
        <w:tc>
          <w:tcPr>
            <w:tcW w:w="2835" w:type="dxa"/>
          </w:tcPr>
          <w:p w14:paraId="57376A68"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9,0;</w:t>
            </w:r>
            <w:r w:rsidRPr="00520861">
              <w:rPr>
                <w:rFonts w:cs="Times New Roman"/>
                <w:sz w:val="28"/>
                <w:szCs w:val="28"/>
              </w:rPr>
              <w:t xml:space="preserve"> </w:t>
            </w:r>
            <w:r w:rsidRPr="00520861">
              <w:rPr>
                <w:rFonts w:cs="Times New Roman"/>
                <w:i/>
                <w:sz w:val="28"/>
                <w:szCs w:val="28"/>
                <w:lang w:val="en-US"/>
              </w:rPr>
              <w:t>p</w:t>
            </w:r>
            <w:r w:rsidRPr="00520861">
              <w:rPr>
                <w:rFonts w:cs="Times New Roman"/>
                <w:sz w:val="28"/>
                <w:szCs w:val="28"/>
                <w:lang w:val="en-US"/>
              </w:rPr>
              <w:t>=0,027</w:t>
            </w:r>
          </w:p>
        </w:tc>
        <w:tc>
          <w:tcPr>
            <w:tcW w:w="2804" w:type="dxa"/>
          </w:tcPr>
          <w:p w14:paraId="03F9FD77"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en-US"/>
              </w:rPr>
              <w:t>35</w:t>
            </w:r>
            <w:r w:rsidRPr="00520861">
              <w:rPr>
                <w:rFonts w:cs="Times New Roman"/>
                <w:sz w:val="28"/>
                <w:szCs w:val="28"/>
                <w:lang w:val="ru-RU"/>
              </w:rPr>
              <w:t>,0</w:t>
            </w:r>
          </w:p>
        </w:tc>
      </w:tr>
      <w:tr w:rsidR="00CF641C" w:rsidRPr="00520861" w14:paraId="32833D1C" w14:textId="77777777" w:rsidTr="00292D2E">
        <w:tc>
          <w:tcPr>
            <w:tcW w:w="1591" w:type="dxa"/>
          </w:tcPr>
          <w:p w14:paraId="6C8C0070" w14:textId="77777777" w:rsidR="00CF641C" w:rsidRPr="00520861" w:rsidRDefault="00CF641C" w:rsidP="00292D2E">
            <w:pPr>
              <w:widowControl w:val="0"/>
              <w:spacing w:line="360" w:lineRule="auto"/>
              <w:rPr>
                <w:rFonts w:cs="Times New Roman"/>
                <w:sz w:val="28"/>
                <w:szCs w:val="28"/>
                <w:lang w:val="en-US"/>
              </w:rPr>
            </w:pPr>
            <w:r w:rsidRPr="00520861">
              <w:rPr>
                <w:rFonts w:cs="Times New Roman"/>
                <w:sz w:val="28"/>
                <w:szCs w:val="28"/>
              </w:rPr>
              <w:t>Група 2</w:t>
            </w:r>
            <w:r w:rsidRPr="00520861">
              <w:rPr>
                <w:rFonts w:cs="Times New Roman"/>
                <w:sz w:val="28"/>
                <w:szCs w:val="28"/>
                <w:lang w:val="en-US"/>
              </w:rPr>
              <w:t xml:space="preserve"> </w:t>
            </w:r>
          </w:p>
        </w:tc>
        <w:tc>
          <w:tcPr>
            <w:tcW w:w="2835" w:type="dxa"/>
          </w:tcPr>
          <w:p w14:paraId="51F9ABBE"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54,1</w:t>
            </w:r>
          </w:p>
        </w:tc>
        <w:tc>
          <w:tcPr>
            <w:tcW w:w="2835" w:type="dxa"/>
          </w:tcPr>
          <w:p w14:paraId="723E76F4"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3,9;</w:t>
            </w:r>
            <w:r w:rsidRPr="00520861">
              <w:rPr>
                <w:rFonts w:cs="Times New Roman"/>
                <w:sz w:val="28"/>
                <w:szCs w:val="28"/>
              </w:rPr>
              <w:t xml:space="preserve"> </w:t>
            </w:r>
            <w:r w:rsidRPr="00520861">
              <w:rPr>
                <w:rFonts w:cs="Times New Roman"/>
                <w:i/>
                <w:sz w:val="28"/>
                <w:szCs w:val="28"/>
                <w:lang w:val="en-US"/>
              </w:rPr>
              <w:t>p</w:t>
            </w:r>
            <w:r w:rsidRPr="00520861">
              <w:rPr>
                <w:rFonts w:cs="Times New Roman"/>
                <w:sz w:val="28"/>
                <w:szCs w:val="28"/>
                <w:lang w:val="en-US"/>
              </w:rPr>
              <w:t>=0,037</w:t>
            </w:r>
          </w:p>
        </w:tc>
        <w:tc>
          <w:tcPr>
            <w:tcW w:w="2804" w:type="dxa"/>
          </w:tcPr>
          <w:p w14:paraId="61667429"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42,0</w:t>
            </w:r>
          </w:p>
        </w:tc>
      </w:tr>
      <w:tr w:rsidR="00CF641C" w:rsidRPr="00520861" w14:paraId="40EF9602" w14:textId="77777777" w:rsidTr="00292D2E">
        <w:tc>
          <w:tcPr>
            <w:tcW w:w="1591" w:type="dxa"/>
          </w:tcPr>
          <w:p w14:paraId="6FCC2A72" w14:textId="77777777" w:rsidR="00CF641C" w:rsidRPr="00520861" w:rsidRDefault="00CF641C" w:rsidP="00292D2E">
            <w:pPr>
              <w:widowControl w:val="0"/>
              <w:spacing w:line="360" w:lineRule="auto"/>
              <w:rPr>
                <w:rFonts w:cs="Times New Roman"/>
                <w:sz w:val="28"/>
                <w:szCs w:val="28"/>
              </w:rPr>
            </w:pPr>
            <w:r w:rsidRPr="00520861">
              <w:rPr>
                <w:rFonts w:cs="Times New Roman"/>
                <w:sz w:val="28"/>
                <w:szCs w:val="28"/>
              </w:rPr>
              <w:t>Група 3</w:t>
            </w:r>
            <w:r w:rsidRPr="00520861">
              <w:rPr>
                <w:rFonts w:cs="Times New Roman"/>
                <w:sz w:val="28"/>
                <w:szCs w:val="28"/>
                <w:vertAlign w:val="subscript"/>
              </w:rPr>
              <w:t xml:space="preserve"> </w:t>
            </w:r>
          </w:p>
        </w:tc>
        <w:tc>
          <w:tcPr>
            <w:tcW w:w="2835" w:type="dxa"/>
          </w:tcPr>
          <w:p w14:paraId="06853800"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55</w:t>
            </w:r>
            <w:r w:rsidRPr="00520861">
              <w:rPr>
                <w:rFonts w:cs="Times New Roman"/>
                <w:sz w:val="28"/>
                <w:szCs w:val="28"/>
                <w:lang w:val="ru-RU"/>
              </w:rPr>
              <w:t>,</w:t>
            </w:r>
            <w:r w:rsidRPr="00520861">
              <w:rPr>
                <w:rFonts w:cs="Times New Roman"/>
                <w:sz w:val="28"/>
                <w:szCs w:val="28"/>
                <w:lang w:val="en-US"/>
              </w:rPr>
              <w:t>9</w:t>
            </w:r>
          </w:p>
        </w:tc>
        <w:tc>
          <w:tcPr>
            <w:tcW w:w="2835" w:type="dxa"/>
          </w:tcPr>
          <w:p w14:paraId="3FC210B9"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1,6</w:t>
            </w:r>
          </w:p>
        </w:tc>
        <w:tc>
          <w:tcPr>
            <w:tcW w:w="2804" w:type="dxa"/>
          </w:tcPr>
          <w:p w14:paraId="13084FF1"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42,5</w:t>
            </w:r>
          </w:p>
        </w:tc>
      </w:tr>
      <w:tr w:rsidR="00CF641C" w:rsidRPr="00520861" w14:paraId="43AF0D1B" w14:textId="77777777" w:rsidTr="00292D2E">
        <w:tc>
          <w:tcPr>
            <w:tcW w:w="1591" w:type="dxa"/>
          </w:tcPr>
          <w:p w14:paraId="425AB32D" w14:textId="77777777" w:rsidR="00CF641C" w:rsidRPr="00520861" w:rsidRDefault="00CF641C" w:rsidP="00292D2E">
            <w:pPr>
              <w:widowControl w:val="0"/>
              <w:spacing w:line="360" w:lineRule="auto"/>
              <w:rPr>
                <w:rFonts w:cs="Times New Roman"/>
                <w:sz w:val="28"/>
                <w:szCs w:val="28"/>
                <w:vertAlign w:val="subscript"/>
                <w:lang w:val="ru-RU"/>
              </w:rPr>
            </w:pPr>
            <w:r w:rsidRPr="00520861">
              <w:rPr>
                <w:rFonts w:cs="Times New Roman"/>
                <w:sz w:val="28"/>
                <w:szCs w:val="28"/>
              </w:rPr>
              <w:t xml:space="preserve">Група 4 </w:t>
            </w:r>
          </w:p>
        </w:tc>
        <w:tc>
          <w:tcPr>
            <w:tcW w:w="2835" w:type="dxa"/>
          </w:tcPr>
          <w:p w14:paraId="2C98A721"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61</w:t>
            </w:r>
            <w:r w:rsidRPr="00520861">
              <w:rPr>
                <w:rFonts w:cs="Times New Roman"/>
                <w:sz w:val="28"/>
                <w:szCs w:val="28"/>
                <w:lang w:val="ru-RU"/>
              </w:rPr>
              <w:t>,</w:t>
            </w:r>
            <w:r w:rsidRPr="00520861">
              <w:rPr>
                <w:rFonts w:cs="Times New Roman"/>
                <w:sz w:val="28"/>
                <w:szCs w:val="28"/>
                <w:lang w:val="en-US"/>
              </w:rPr>
              <w:t>9</w:t>
            </w:r>
          </w:p>
        </w:tc>
        <w:tc>
          <w:tcPr>
            <w:tcW w:w="2835" w:type="dxa"/>
          </w:tcPr>
          <w:p w14:paraId="77507866"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0,6;</w:t>
            </w:r>
            <w:r w:rsidRPr="00520861">
              <w:rPr>
                <w:rFonts w:cs="Times New Roman"/>
                <w:sz w:val="28"/>
                <w:szCs w:val="28"/>
              </w:rPr>
              <w:t xml:space="preserve"> </w:t>
            </w:r>
            <w:r w:rsidRPr="00520861">
              <w:rPr>
                <w:rFonts w:cs="Times New Roman"/>
                <w:i/>
                <w:sz w:val="28"/>
                <w:szCs w:val="28"/>
                <w:lang w:val="en-US"/>
              </w:rPr>
              <w:t>p</w:t>
            </w:r>
            <w:r w:rsidRPr="00520861">
              <w:rPr>
                <w:rFonts w:cs="Times New Roman"/>
                <w:sz w:val="28"/>
                <w:szCs w:val="28"/>
                <w:lang w:val="en-US"/>
              </w:rPr>
              <w:t>=0,024</w:t>
            </w:r>
          </w:p>
        </w:tc>
        <w:tc>
          <w:tcPr>
            <w:tcW w:w="2804" w:type="dxa"/>
          </w:tcPr>
          <w:p w14:paraId="6527D1F8"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en-US"/>
              </w:rPr>
              <w:t>37</w:t>
            </w:r>
            <w:r w:rsidRPr="00520861">
              <w:rPr>
                <w:rFonts w:cs="Times New Roman"/>
                <w:sz w:val="28"/>
                <w:szCs w:val="28"/>
                <w:lang w:val="ru-RU"/>
              </w:rPr>
              <w:t>,5</w:t>
            </w:r>
          </w:p>
        </w:tc>
      </w:tr>
    </w:tbl>
    <w:p w14:paraId="2D96A1DF" w14:textId="77777777" w:rsidR="00CF641C" w:rsidRPr="00520861" w:rsidRDefault="00CF641C" w:rsidP="00292D2E">
      <w:pPr>
        <w:widowControl w:val="0"/>
        <w:spacing w:line="360" w:lineRule="auto"/>
        <w:ind w:firstLine="708"/>
        <w:jc w:val="both"/>
        <w:rPr>
          <w:rFonts w:eastAsia="Calibri"/>
          <w:spacing w:val="-8"/>
          <w:sz w:val="28"/>
          <w:szCs w:val="28"/>
          <w:lang w:eastAsia="en-US"/>
        </w:rPr>
      </w:pPr>
      <w:r w:rsidRPr="00520861">
        <w:rPr>
          <w:spacing w:val="-8"/>
          <w:sz w:val="28"/>
          <w:szCs w:val="28"/>
        </w:rPr>
        <w:t xml:space="preserve">Примітка. * – </w:t>
      </w:r>
      <w:r w:rsidRPr="00520861">
        <w:rPr>
          <w:rFonts w:eastAsia="Calibri"/>
          <w:spacing w:val="-8"/>
          <w:sz w:val="28"/>
          <w:szCs w:val="28"/>
          <w:lang w:eastAsia="en-US"/>
        </w:rPr>
        <w:t xml:space="preserve">відмінність від групи контролю вірогідна із ймовірністю похибки </w:t>
      </w:r>
      <w:r w:rsidRPr="00520861">
        <w:rPr>
          <w:rFonts w:eastAsia="Calibri"/>
          <w:i/>
          <w:spacing w:val="-8"/>
          <w:sz w:val="28"/>
          <w:szCs w:val="28"/>
          <w:lang w:val="en-US" w:eastAsia="en-US"/>
        </w:rPr>
        <w:lastRenderedPageBreak/>
        <w:t>p</w:t>
      </w:r>
      <w:r w:rsidR="0018359D" w:rsidRPr="00520861">
        <w:rPr>
          <w:rFonts w:eastAsia="Calibri"/>
          <w:sz w:val="28"/>
          <w:szCs w:val="28"/>
          <w:lang w:eastAsia="en-US"/>
        </w:rPr>
        <w:t>&lt;</w:t>
      </w:r>
      <w:r w:rsidRPr="00520861">
        <w:rPr>
          <w:rFonts w:eastAsia="Calibri"/>
          <w:spacing w:val="-8"/>
          <w:sz w:val="28"/>
          <w:szCs w:val="28"/>
          <w:lang w:eastAsia="en-US"/>
        </w:rPr>
        <w:t>0,05</w:t>
      </w:r>
      <w:r w:rsidRPr="00520861">
        <w:rPr>
          <w:sz w:val="28"/>
          <w:szCs w:val="28"/>
        </w:rPr>
        <w:t xml:space="preserve"> за критерієм Манна – Уітні</w:t>
      </w:r>
      <w:r w:rsidRPr="00520861">
        <w:rPr>
          <w:rFonts w:eastAsia="Calibri"/>
          <w:spacing w:val="-8"/>
          <w:sz w:val="28"/>
          <w:szCs w:val="28"/>
          <w:lang w:eastAsia="en-US"/>
        </w:rPr>
        <w:t>.</w:t>
      </w:r>
    </w:p>
    <w:p w14:paraId="06CCB26B" w14:textId="77777777" w:rsidR="00CF641C" w:rsidRPr="00520861" w:rsidRDefault="00CF641C" w:rsidP="00292D2E">
      <w:pPr>
        <w:widowControl w:val="0"/>
        <w:spacing w:line="360" w:lineRule="auto"/>
        <w:ind w:firstLine="708"/>
        <w:jc w:val="both"/>
        <w:rPr>
          <w:rFonts w:eastAsia="Calibri"/>
          <w:b/>
          <w:sz w:val="28"/>
          <w:szCs w:val="28"/>
          <w:lang w:eastAsia="en-US"/>
        </w:rPr>
      </w:pPr>
      <w:r w:rsidRPr="00520861">
        <w:rPr>
          <w:rFonts w:eastAsiaTheme="minorHAnsi"/>
          <w:bCs/>
          <w:sz w:val="28"/>
          <w:szCs w:val="28"/>
          <w:lang w:eastAsia="en-US"/>
        </w:rPr>
        <w:t xml:space="preserve">У препаратах тварин групи 1, паренхіма залози є також </w:t>
      </w:r>
      <w:proofErr w:type="spellStart"/>
      <w:r w:rsidRPr="00520861">
        <w:rPr>
          <w:rFonts w:eastAsiaTheme="minorHAnsi"/>
          <w:bCs/>
          <w:sz w:val="28"/>
          <w:szCs w:val="28"/>
          <w:lang w:eastAsia="en-US"/>
        </w:rPr>
        <w:t>гіпопластичною</w:t>
      </w:r>
      <w:proofErr w:type="spellEnd"/>
      <w:r w:rsidRPr="00520861">
        <w:rPr>
          <w:rFonts w:eastAsiaTheme="minorHAnsi"/>
          <w:bCs/>
          <w:sz w:val="28"/>
          <w:szCs w:val="28"/>
          <w:lang w:eastAsia="en-US"/>
        </w:rPr>
        <w:t xml:space="preserve">, </w:t>
      </w:r>
      <w:r w:rsidR="00645ADA" w:rsidRPr="00520861">
        <w:rPr>
          <w:rFonts w:eastAsiaTheme="minorHAnsi"/>
          <w:bCs/>
          <w:sz w:val="28"/>
          <w:szCs w:val="28"/>
          <w:lang w:eastAsia="en-US"/>
        </w:rPr>
        <w:br/>
      </w:r>
      <w:r w:rsidRPr="00520861">
        <w:rPr>
          <w:rFonts w:eastAsiaTheme="minorHAnsi"/>
          <w:bCs/>
          <w:sz w:val="28"/>
          <w:szCs w:val="28"/>
          <w:lang w:eastAsia="en-US"/>
        </w:rPr>
        <w:t xml:space="preserve">оскільки в </w:t>
      </w:r>
      <w:proofErr w:type="spellStart"/>
      <w:r w:rsidRPr="00520861">
        <w:rPr>
          <w:rFonts w:eastAsiaTheme="minorHAnsi"/>
          <w:bCs/>
          <w:sz w:val="28"/>
          <w:szCs w:val="28"/>
          <w:lang w:eastAsia="en-US"/>
        </w:rPr>
        <w:t>ацинусі</w:t>
      </w:r>
      <w:proofErr w:type="spellEnd"/>
      <w:r w:rsidRPr="00520861">
        <w:rPr>
          <w:rFonts w:eastAsiaTheme="minorHAnsi"/>
          <w:bCs/>
          <w:sz w:val="28"/>
          <w:szCs w:val="28"/>
          <w:lang w:eastAsia="en-US"/>
        </w:rPr>
        <w:t xml:space="preserve"> цих тварин є відносно великий поперечний переріз просвіту. </w:t>
      </w:r>
    </w:p>
    <w:p w14:paraId="75E57481" w14:textId="77777777" w:rsidR="00CF641C" w:rsidRPr="00520861" w:rsidRDefault="00CF641C" w:rsidP="00292D2E">
      <w:pPr>
        <w:widowControl w:val="0"/>
        <w:autoSpaceDE w:val="0"/>
        <w:autoSpaceDN w:val="0"/>
        <w:adjustRightInd w:val="0"/>
        <w:spacing w:line="360" w:lineRule="auto"/>
        <w:ind w:firstLine="708"/>
        <w:jc w:val="both"/>
        <w:rPr>
          <w:rFonts w:eastAsiaTheme="minorHAnsi"/>
          <w:bCs/>
          <w:sz w:val="28"/>
          <w:szCs w:val="28"/>
          <w:lang w:eastAsia="en-US"/>
        </w:rPr>
      </w:pPr>
      <w:r w:rsidRPr="00520861">
        <w:rPr>
          <w:rFonts w:eastAsiaTheme="minorHAnsi"/>
          <w:bCs/>
          <w:sz w:val="28"/>
          <w:szCs w:val="28"/>
          <w:lang w:eastAsia="en-US"/>
        </w:rPr>
        <w:t xml:space="preserve">Тобто паренхіму залоз у експериментальних тварин можна вважати </w:t>
      </w:r>
      <w:proofErr w:type="spellStart"/>
      <w:r w:rsidRPr="00520861">
        <w:rPr>
          <w:rFonts w:eastAsiaTheme="minorHAnsi"/>
          <w:bCs/>
          <w:sz w:val="28"/>
          <w:szCs w:val="28"/>
          <w:lang w:eastAsia="en-US"/>
        </w:rPr>
        <w:t>гіпопластичною</w:t>
      </w:r>
      <w:proofErr w:type="spellEnd"/>
      <w:r w:rsidRPr="00520861">
        <w:rPr>
          <w:rFonts w:eastAsiaTheme="minorHAnsi"/>
          <w:bCs/>
          <w:sz w:val="28"/>
          <w:szCs w:val="28"/>
          <w:lang w:eastAsia="en-US"/>
        </w:rPr>
        <w:t xml:space="preserve"> у всіх основних групах, за винятком групи 4</w:t>
      </w:r>
      <w:r w:rsidRPr="00520861">
        <w:rPr>
          <w:rFonts w:eastAsiaTheme="minorHAnsi"/>
          <w:bCs/>
          <w:sz w:val="28"/>
          <w:szCs w:val="28"/>
          <w:lang w:val="ru-RU" w:eastAsia="en-US"/>
        </w:rPr>
        <w:t xml:space="preserve"> [323]</w:t>
      </w:r>
      <w:r w:rsidRPr="00520861">
        <w:rPr>
          <w:rFonts w:eastAsiaTheme="minorHAnsi"/>
          <w:bCs/>
          <w:sz w:val="28"/>
          <w:szCs w:val="28"/>
          <w:lang w:eastAsia="en-US"/>
        </w:rPr>
        <w:t xml:space="preserve">. Очевидно, що площа поперечного перерізу </w:t>
      </w:r>
      <w:proofErr w:type="spellStart"/>
      <w:r w:rsidRPr="00520861">
        <w:rPr>
          <w:rFonts w:eastAsiaTheme="minorHAnsi"/>
          <w:bCs/>
          <w:sz w:val="28"/>
          <w:szCs w:val="28"/>
          <w:lang w:eastAsia="en-US"/>
        </w:rPr>
        <w:t>ацинуса</w:t>
      </w:r>
      <w:proofErr w:type="spellEnd"/>
      <w:r w:rsidRPr="00520861">
        <w:rPr>
          <w:rFonts w:eastAsiaTheme="minorHAnsi"/>
          <w:bCs/>
          <w:sz w:val="28"/>
          <w:szCs w:val="28"/>
          <w:lang w:eastAsia="en-US"/>
        </w:rPr>
        <w:t xml:space="preserve"> залежить від кількості </w:t>
      </w:r>
      <w:proofErr w:type="spellStart"/>
      <w:r w:rsidRPr="00520861">
        <w:rPr>
          <w:rFonts w:eastAsiaTheme="minorHAnsi"/>
          <w:bCs/>
          <w:sz w:val="28"/>
          <w:szCs w:val="28"/>
          <w:lang w:eastAsia="en-US"/>
        </w:rPr>
        <w:t>гландулоцитів</w:t>
      </w:r>
      <w:proofErr w:type="spellEnd"/>
      <w:r w:rsidRPr="00520861">
        <w:rPr>
          <w:rFonts w:eastAsiaTheme="minorHAnsi"/>
          <w:bCs/>
          <w:sz w:val="28"/>
          <w:szCs w:val="28"/>
          <w:lang w:eastAsia="en-US"/>
        </w:rPr>
        <w:t xml:space="preserve"> та від розміру </w:t>
      </w:r>
      <w:r w:rsidR="00645ADA" w:rsidRPr="00520861">
        <w:rPr>
          <w:rFonts w:eastAsiaTheme="minorHAnsi"/>
          <w:bCs/>
          <w:sz w:val="28"/>
          <w:szCs w:val="28"/>
          <w:lang w:eastAsia="en-US"/>
        </w:rPr>
        <w:br/>
      </w:r>
      <w:r w:rsidRPr="00520861">
        <w:rPr>
          <w:rFonts w:eastAsiaTheme="minorHAnsi"/>
          <w:bCs/>
          <w:sz w:val="28"/>
          <w:szCs w:val="28"/>
          <w:lang w:eastAsia="en-US"/>
        </w:rPr>
        <w:t xml:space="preserve">кожного з них, що відображає ступінь </w:t>
      </w:r>
      <w:r w:rsidRPr="00520861">
        <w:rPr>
          <w:rFonts w:eastAsiaTheme="minorHAnsi"/>
          <w:sz w:val="28"/>
          <w:szCs w:val="28"/>
          <w:lang w:eastAsia="en-US"/>
        </w:rPr>
        <w:t>МФ</w:t>
      </w:r>
      <w:r w:rsidRPr="00520861">
        <w:rPr>
          <w:rFonts w:eastAsiaTheme="minorHAnsi"/>
          <w:bCs/>
          <w:sz w:val="28"/>
          <w:szCs w:val="28"/>
          <w:lang w:eastAsia="en-US"/>
        </w:rPr>
        <w:t xml:space="preserve"> навантаження на слинну залозу. </w:t>
      </w:r>
    </w:p>
    <w:p w14:paraId="7EB37D8F" w14:textId="77777777" w:rsidR="00CF641C" w:rsidRPr="00520861" w:rsidRDefault="00CF641C" w:rsidP="00292D2E">
      <w:pPr>
        <w:widowControl w:val="0"/>
        <w:autoSpaceDE w:val="0"/>
        <w:autoSpaceDN w:val="0"/>
        <w:adjustRightInd w:val="0"/>
        <w:spacing w:line="360" w:lineRule="auto"/>
        <w:ind w:firstLine="708"/>
        <w:jc w:val="both"/>
        <w:rPr>
          <w:rFonts w:eastAsiaTheme="minorHAnsi"/>
          <w:bCs/>
          <w:sz w:val="28"/>
          <w:szCs w:val="28"/>
          <w:lang w:eastAsia="en-US"/>
        </w:rPr>
      </w:pPr>
      <w:r w:rsidRPr="00520861">
        <w:rPr>
          <w:rFonts w:eastAsiaTheme="minorHAnsi"/>
          <w:bCs/>
          <w:sz w:val="28"/>
          <w:szCs w:val="28"/>
          <w:lang w:eastAsia="en-US"/>
        </w:rPr>
        <w:t xml:space="preserve">Аналіз середніх </w:t>
      </w:r>
      <w:proofErr w:type="spellStart"/>
      <w:r w:rsidRPr="00520861">
        <w:rPr>
          <w:rFonts w:eastAsiaTheme="minorHAnsi"/>
          <w:bCs/>
          <w:sz w:val="28"/>
          <w:szCs w:val="28"/>
          <w:lang w:eastAsia="en-US"/>
        </w:rPr>
        <w:t>морфометричних</w:t>
      </w:r>
      <w:proofErr w:type="spellEnd"/>
      <w:r w:rsidRPr="00520861">
        <w:rPr>
          <w:rFonts w:eastAsiaTheme="minorHAnsi"/>
          <w:bCs/>
          <w:sz w:val="28"/>
          <w:szCs w:val="28"/>
          <w:lang w:eastAsia="en-US"/>
        </w:rPr>
        <w:t xml:space="preserve"> показників окремих </w:t>
      </w:r>
      <w:proofErr w:type="spellStart"/>
      <w:r w:rsidRPr="00520861">
        <w:rPr>
          <w:rFonts w:eastAsiaTheme="minorHAnsi"/>
          <w:bCs/>
          <w:sz w:val="28"/>
          <w:szCs w:val="28"/>
          <w:lang w:eastAsia="en-US"/>
        </w:rPr>
        <w:t>ацинусів</w:t>
      </w:r>
      <w:proofErr w:type="spellEnd"/>
      <w:r w:rsidRPr="00520861">
        <w:rPr>
          <w:rFonts w:eastAsiaTheme="minorHAnsi"/>
          <w:bCs/>
          <w:sz w:val="28"/>
          <w:szCs w:val="28"/>
          <w:lang w:eastAsia="en-US"/>
        </w:rPr>
        <w:t xml:space="preserve"> свідчить про зменшення загальної площі перерізу </w:t>
      </w:r>
      <w:proofErr w:type="spellStart"/>
      <w:r w:rsidRPr="00520861">
        <w:rPr>
          <w:rFonts w:eastAsiaTheme="minorHAnsi"/>
          <w:bCs/>
          <w:sz w:val="28"/>
          <w:szCs w:val="28"/>
          <w:lang w:eastAsia="en-US"/>
        </w:rPr>
        <w:t>мукозних</w:t>
      </w:r>
      <w:proofErr w:type="spellEnd"/>
      <w:r w:rsidRPr="00520861">
        <w:rPr>
          <w:rFonts w:eastAsiaTheme="minorHAnsi"/>
          <w:bCs/>
          <w:sz w:val="28"/>
          <w:szCs w:val="28"/>
          <w:lang w:eastAsia="en-US"/>
        </w:rPr>
        <w:t xml:space="preserve"> (слизових) </w:t>
      </w:r>
      <w:proofErr w:type="spellStart"/>
      <w:r w:rsidRPr="00520861">
        <w:rPr>
          <w:rFonts w:eastAsiaTheme="minorHAnsi"/>
          <w:bCs/>
          <w:sz w:val="28"/>
          <w:szCs w:val="28"/>
          <w:lang w:eastAsia="en-US"/>
        </w:rPr>
        <w:t>ацинарних</w:t>
      </w:r>
      <w:proofErr w:type="spellEnd"/>
      <w:r w:rsidRPr="00520861">
        <w:rPr>
          <w:rFonts w:eastAsiaTheme="minorHAnsi"/>
          <w:bCs/>
          <w:sz w:val="28"/>
          <w:szCs w:val="28"/>
          <w:lang w:eastAsia="en-US"/>
        </w:rPr>
        <w:t xml:space="preserve"> клітин у тварин усіх основних груп (див. табл. 3.14</w:t>
      </w:r>
      <w:r w:rsidRPr="00520861">
        <w:rPr>
          <w:rFonts w:eastAsiaTheme="minorHAnsi"/>
          <w:bCs/>
          <w:sz w:val="28"/>
          <w:szCs w:val="28"/>
          <w:lang w:val="ru-RU" w:eastAsia="en-US"/>
        </w:rPr>
        <w:t xml:space="preserve">), </w:t>
      </w:r>
      <w:r w:rsidRPr="00520861">
        <w:rPr>
          <w:rFonts w:eastAsiaTheme="minorHAnsi"/>
          <w:bCs/>
          <w:sz w:val="28"/>
          <w:szCs w:val="28"/>
          <w:lang w:eastAsia="en-US"/>
        </w:rPr>
        <w:t>проте</w:t>
      </w:r>
      <w:r w:rsidRPr="00520861">
        <w:rPr>
          <w:rFonts w:eastAsiaTheme="minorHAnsi"/>
          <w:bCs/>
          <w:sz w:val="28"/>
          <w:szCs w:val="28"/>
          <w:lang w:val="ru-RU" w:eastAsia="en-US"/>
        </w:rPr>
        <w:t xml:space="preserve"> </w:t>
      </w:r>
      <w:r w:rsidRPr="00520861">
        <w:rPr>
          <w:rFonts w:eastAsiaTheme="minorHAnsi"/>
          <w:bCs/>
          <w:sz w:val="28"/>
          <w:szCs w:val="28"/>
          <w:lang w:eastAsia="en-US"/>
        </w:rPr>
        <w:t xml:space="preserve">вірогідно площа поперечного перерізу </w:t>
      </w:r>
      <w:proofErr w:type="spellStart"/>
      <w:r w:rsidRPr="00520861">
        <w:rPr>
          <w:rFonts w:eastAsiaTheme="minorHAnsi"/>
          <w:bCs/>
          <w:sz w:val="28"/>
          <w:szCs w:val="28"/>
          <w:lang w:eastAsia="en-US"/>
        </w:rPr>
        <w:t>ацинуса</w:t>
      </w:r>
      <w:proofErr w:type="spellEnd"/>
      <w:r w:rsidRPr="00520861">
        <w:rPr>
          <w:rFonts w:eastAsiaTheme="minorHAnsi"/>
          <w:bCs/>
          <w:sz w:val="28"/>
          <w:szCs w:val="28"/>
          <w:lang w:val="ru-RU" w:eastAsia="en-US"/>
        </w:rPr>
        <w:t xml:space="preserve"> </w:t>
      </w:r>
      <w:proofErr w:type="spellStart"/>
      <w:r w:rsidRPr="00520861">
        <w:rPr>
          <w:rFonts w:eastAsiaTheme="minorHAnsi"/>
          <w:bCs/>
          <w:sz w:val="28"/>
          <w:szCs w:val="28"/>
          <w:lang w:val="ru-RU" w:eastAsia="en-US"/>
        </w:rPr>
        <w:t>зменшується</w:t>
      </w:r>
      <w:proofErr w:type="spellEnd"/>
      <w:r w:rsidRPr="00520861">
        <w:rPr>
          <w:rFonts w:eastAsiaTheme="minorHAnsi"/>
          <w:bCs/>
          <w:sz w:val="28"/>
          <w:szCs w:val="28"/>
          <w:lang w:val="ru-RU" w:eastAsia="en-US"/>
        </w:rPr>
        <w:t xml:space="preserve"> </w:t>
      </w:r>
      <w:proofErr w:type="spellStart"/>
      <w:r w:rsidRPr="00520861">
        <w:rPr>
          <w:rFonts w:eastAsiaTheme="minorHAnsi"/>
          <w:bCs/>
          <w:sz w:val="28"/>
          <w:szCs w:val="28"/>
          <w:lang w:val="ru-RU" w:eastAsia="en-US"/>
        </w:rPr>
        <w:t>лише</w:t>
      </w:r>
      <w:proofErr w:type="spellEnd"/>
      <w:r w:rsidRPr="00520861">
        <w:rPr>
          <w:rFonts w:eastAsiaTheme="minorHAnsi"/>
          <w:bCs/>
          <w:sz w:val="28"/>
          <w:szCs w:val="28"/>
          <w:lang w:val="ru-RU" w:eastAsia="en-US"/>
        </w:rPr>
        <w:t xml:space="preserve"> у </w:t>
      </w:r>
      <w:r w:rsidRPr="00520861">
        <w:rPr>
          <w:rFonts w:eastAsiaTheme="minorHAnsi"/>
          <w:bCs/>
          <w:sz w:val="28"/>
          <w:szCs w:val="28"/>
          <w:lang w:eastAsia="en-US"/>
        </w:rPr>
        <w:t>групі 3.</w:t>
      </w:r>
    </w:p>
    <w:p w14:paraId="46E4CB2A" w14:textId="77777777" w:rsidR="00CF641C" w:rsidRPr="00520861" w:rsidRDefault="00CF641C" w:rsidP="00292D2E">
      <w:pPr>
        <w:widowControl w:val="0"/>
        <w:autoSpaceDE w:val="0"/>
        <w:autoSpaceDN w:val="0"/>
        <w:adjustRightInd w:val="0"/>
        <w:spacing w:line="360" w:lineRule="auto"/>
        <w:ind w:firstLine="708"/>
        <w:jc w:val="both"/>
        <w:rPr>
          <w:rFonts w:eastAsiaTheme="minorHAnsi"/>
          <w:bCs/>
          <w:sz w:val="28"/>
          <w:szCs w:val="28"/>
          <w:lang w:eastAsia="en-US"/>
        </w:rPr>
      </w:pPr>
      <w:r w:rsidRPr="00520861">
        <w:rPr>
          <w:rFonts w:eastAsiaTheme="minorHAnsi"/>
          <w:bCs/>
          <w:sz w:val="28"/>
          <w:szCs w:val="28"/>
          <w:lang w:eastAsia="en-US"/>
        </w:rPr>
        <w:t xml:space="preserve">Зменшення площі </w:t>
      </w:r>
      <w:proofErr w:type="spellStart"/>
      <w:r w:rsidRPr="00520861">
        <w:rPr>
          <w:rFonts w:eastAsiaTheme="minorHAnsi"/>
          <w:bCs/>
          <w:sz w:val="28"/>
          <w:szCs w:val="28"/>
          <w:lang w:eastAsia="en-US"/>
        </w:rPr>
        <w:t>пореречного</w:t>
      </w:r>
      <w:proofErr w:type="spellEnd"/>
      <w:r w:rsidRPr="00520861">
        <w:rPr>
          <w:rFonts w:eastAsiaTheme="minorHAnsi"/>
          <w:bCs/>
          <w:sz w:val="28"/>
          <w:szCs w:val="28"/>
          <w:lang w:eastAsia="en-US"/>
        </w:rPr>
        <w:t xml:space="preserve"> перерізу </w:t>
      </w:r>
      <w:proofErr w:type="spellStart"/>
      <w:r w:rsidRPr="00520861">
        <w:rPr>
          <w:rFonts w:eastAsiaTheme="minorHAnsi"/>
          <w:bCs/>
          <w:sz w:val="28"/>
          <w:szCs w:val="28"/>
          <w:lang w:eastAsia="en-US"/>
        </w:rPr>
        <w:t>мукоцитів</w:t>
      </w:r>
      <w:proofErr w:type="spellEnd"/>
      <w:r w:rsidRPr="00520861">
        <w:rPr>
          <w:rFonts w:eastAsiaTheme="minorHAnsi"/>
          <w:bCs/>
          <w:sz w:val="28"/>
          <w:szCs w:val="28"/>
          <w:lang w:eastAsia="en-US"/>
        </w:rPr>
        <w:t xml:space="preserve"> у малих слинних залозах тварин із різних основних груп відбувається через декілька різних механізмів. У тварин групи 1 розмір </w:t>
      </w:r>
      <w:proofErr w:type="spellStart"/>
      <w:r w:rsidRPr="00520861">
        <w:rPr>
          <w:rFonts w:eastAsiaTheme="minorHAnsi"/>
          <w:bCs/>
          <w:sz w:val="28"/>
          <w:szCs w:val="28"/>
          <w:lang w:eastAsia="en-US"/>
        </w:rPr>
        <w:t>ацинуса</w:t>
      </w:r>
      <w:proofErr w:type="spellEnd"/>
      <w:r w:rsidRPr="00520861">
        <w:rPr>
          <w:rFonts w:eastAsiaTheme="minorHAnsi"/>
          <w:bCs/>
          <w:sz w:val="28"/>
          <w:szCs w:val="28"/>
          <w:lang w:eastAsia="en-US"/>
        </w:rPr>
        <w:t xml:space="preserve"> зіставний з таким у контрольній групі, проте середні значення висоти цитоплазми є найменшими серед усіх досліджуваних тварин </w:t>
      </w:r>
      <w:r w:rsidRPr="00520861">
        <w:rPr>
          <w:rFonts w:eastAsiaTheme="minorHAnsi"/>
          <w:bCs/>
          <w:sz w:val="28"/>
          <w:szCs w:val="28"/>
          <w:lang w:eastAsia="en-US"/>
        </w:rPr>
        <w:br/>
        <w:t xml:space="preserve">(табл. 3.14). Зниження висоти цитоплазми в </w:t>
      </w:r>
      <w:proofErr w:type="spellStart"/>
      <w:r w:rsidRPr="00520861">
        <w:rPr>
          <w:rFonts w:eastAsiaTheme="minorHAnsi"/>
          <w:bCs/>
          <w:sz w:val="28"/>
          <w:szCs w:val="28"/>
          <w:lang w:eastAsia="en-US"/>
        </w:rPr>
        <w:t>мукоцитах</w:t>
      </w:r>
      <w:proofErr w:type="spellEnd"/>
      <w:r w:rsidRPr="00520861">
        <w:rPr>
          <w:rFonts w:eastAsiaTheme="minorHAnsi"/>
          <w:bCs/>
          <w:sz w:val="28"/>
          <w:szCs w:val="28"/>
          <w:lang w:eastAsia="en-US"/>
        </w:rPr>
        <w:t xml:space="preserve"> є маркером зменшення накопичення слини в цитоплазмі.</w:t>
      </w:r>
    </w:p>
    <w:p w14:paraId="5252D99B" w14:textId="77777777" w:rsidR="00CF641C" w:rsidRPr="00520861" w:rsidRDefault="00CF641C" w:rsidP="00292D2E">
      <w:pPr>
        <w:widowControl w:val="0"/>
        <w:autoSpaceDE w:val="0"/>
        <w:autoSpaceDN w:val="0"/>
        <w:adjustRightInd w:val="0"/>
        <w:spacing w:line="360" w:lineRule="auto"/>
        <w:ind w:firstLine="708"/>
        <w:jc w:val="both"/>
        <w:rPr>
          <w:rFonts w:eastAsiaTheme="minorHAnsi"/>
          <w:bCs/>
          <w:sz w:val="28"/>
          <w:szCs w:val="28"/>
          <w:lang w:eastAsia="en-US"/>
        </w:rPr>
      </w:pPr>
      <w:r w:rsidRPr="00520861">
        <w:rPr>
          <w:rFonts w:eastAsiaTheme="minorHAnsi"/>
          <w:bCs/>
          <w:sz w:val="28"/>
          <w:szCs w:val="28"/>
          <w:lang w:eastAsia="en-US"/>
        </w:rPr>
        <w:t xml:space="preserve">У тварин групи 2 середні значення розміру </w:t>
      </w:r>
      <w:proofErr w:type="spellStart"/>
      <w:r w:rsidRPr="00520861">
        <w:rPr>
          <w:rFonts w:eastAsiaTheme="minorHAnsi"/>
          <w:bCs/>
          <w:sz w:val="28"/>
          <w:szCs w:val="28"/>
          <w:lang w:eastAsia="en-US"/>
        </w:rPr>
        <w:t>ацинуса</w:t>
      </w:r>
      <w:proofErr w:type="spellEnd"/>
      <w:r w:rsidRPr="00520861">
        <w:rPr>
          <w:rFonts w:eastAsiaTheme="minorHAnsi"/>
          <w:bCs/>
          <w:sz w:val="28"/>
          <w:szCs w:val="28"/>
          <w:lang w:eastAsia="en-US"/>
        </w:rPr>
        <w:t xml:space="preserve"> (рис. 3.22</w:t>
      </w:r>
      <w:r w:rsidRPr="00520861">
        <w:rPr>
          <w:rFonts w:eastAsiaTheme="minorHAnsi"/>
          <w:bCs/>
          <w:i/>
          <w:sz w:val="28"/>
          <w:szCs w:val="28"/>
          <w:lang w:eastAsia="en-US"/>
        </w:rPr>
        <w:t>б</w:t>
      </w:r>
      <w:r w:rsidRPr="00520861">
        <w:rPr>
          <w:rFonts w:eastAsiaTheme="minorHAnsi"/>
          <w:bCs/>
          <w:sz w:val="28"/>
          <w:szCs w:val="28"/>
          <w:lang w:eastAsia="en-US"/>
        </w:rPr>
        <w:t>) зіставні з такими у групі контролю (рис. 3.22</w:t>
      </w:r>
      <w:r w:rsidRPr="00520861">
        <w:rPr>
          <w:rFonts w:eastAsiaTheme="minorHAnsi"/>
          <w:bCs/>
          <w:i/>
          <w:sz w:val="28"/>
          <w:szCs w:val="28"/>
          <w:lang w:eastAsia="en-US"/>
        </w:rPr>
        <w:t>а</w:t>
      </w:r>
      <w:r w:rsidRPr="00520861">
        <w:rPr>
          <w:rFonts w:eastAsiaTheme="minorHAnsi"/>
          <w:bCs/>
          <w:sz w:val="28"/>
          <w:szCs w:val="28"/>
          <w:lang w:eastAsia="en-US"/>
        </w:rPr>
        <w:t>), проте висота цитоплазми менша, ніж у тварин контрольної групи</w:t>
      </w:r>
      <w:r w:rsidRPr="00520861">
        <w:rPr>
          <w:rFonts w:eastAsiaTheme="minorHAnsi"/>
          <w:bCs/>
          <w:sz w:val="28"/>
          <w:szCs w:val="28"/>
          <w:lang w:val="ru-RU" w:eastAsia="en-US"/>
        </w:rPr>
        <w:t xml:space="preserve"> [323]</w:t>
      </w:r>
      <w:r w:rsidRPr="00520861">
        <w:rPr>
          <w:rFonts w:eastAsiaTheme="minorHAnsi"/>
          <w:bCs/>
          <w:sz w:val="28"/>
          <w:szCs w:val="28"/>
          <w:lang w:eastAsia="en-US"/>
        </w:rPr>
        <w:t xml:space="preserve">. </w:t>
      </w:r>
    </w:p>
    <w:p w14:paraId="4F72F6DC" w14:textId="77777777" w:rsidR="00CF641C" w:rsidRPr="00520861" w:rsidRDefault="00CF641C" w:rsidP="00292D2E">
      <w:pPr>
        <w:widowControl w:val="0"/>
        <w:autoSpaceDE w:val="0"/>
        <w:autoSpaceDN w:val="0"/>
        <w:adjustRightInd w:val="0"/>
        <w:spacing w:line="360" w:lineRule="auto"/>
        <w:ind w:firstLine="708"/>
        <w:jc w:val="both"/>
        <w:rPr>
          <w:rFonts w:eastAsiaTheme="minorHAnsi"/>
          <w:bCs/>
          <w:sz w:val="28"/>
          <w:szCs w:val="28"/>
          <w:lang w:eastAsia="en-US"/>
        </w:rPr>
      </w:pPr>
      <w:r w:rsidRPr="00520861">
        <w:rPr>
          <w:rFonts w:eastAsiaTheme="minorHAnsi"/>
          <w:bCs/>
          <w:sz w:val="28"/>
          <w:szCs w:val="28"/>
          <w:lang w:eastAsia="en-US"/>
        </w:rPr>
        <w:t xml:space="preserve">Менший розмір і нижча висота </w:t>
      </w:r>
      <w:proofErr w:type="spellStart"/>
      <w:r w:rsidRPr="00520861">
        <w:rPr>
          <w:rFonts w:eastAsiaTheme="minorHAnsi"/>
          <w:bCs/>
          <w:sz w:val="28"/>
          <w:szCs w:val="28"/>
          <w:lang w:eastAsia="en-US"/>
        </w:rPr>
        <w:t>мукоцитів</w:t>
      </w:r>
      <w:proofErr w:type="spellEnd"/>
      <w:r w:rsidRPr="00520861">
        <w:rPr>
          <w:rFonts w:eastAsiaTheme="minorHAnsi"/>
          <w:bCs/>
          <w:sz w:val="28"/>
          <w:szCs w:val="28"/>
          <w:lang w:eastAsia="en-US"/>
        </w:rPr>
        <w:t xml:space="preserve"> спостерігається у тварин групи 3</w:t>
      </w:r>
      <w:r w:rsidRPr="00520861">
        <w:rPr>
          <w:rFonts w:eastAsiaTheme="minorHAnsi"/>
          <w:bCs/>
          <w:sz w:val="28"/>
          <w:szCs w:val="28"/>
          <w:lang w:val="ru-RU" w:eastAsia="en-US"/>
        </w:rPr>
        <w:t xml:space="preserve"> [323]</w:t>
      </w:r>
      <w:r w:rsidRPr="00520861">
        <w:rPr>
          <w:rFonts w:eastAsiaTheme="minorHAnsi"/>
          <w:bCs/>
          <w:sz w:val="28"/>
          <w:szCs w:val="28"/>
          <w:lang w:eastAsia="en-US"/>
        </w:rPr>
        <w:t xml:space="preserve">. Незначне зменшення розміру </w:t>
      </w:r>
      <w:proofErr w:type="spellStart"/>
      <w:r w:rsidRPr="00520861">
        <w:rPr>
          <w:rFonts w:eastAsiaTheme="minorHAnsi"/>
          <w:bCs/>
          <w:sz w:val="28"/>
          <w:szCs w:val="28"/>
          <w:lang w:eastAsia="en-US"/>
        </w:rPr>
        <w:t>ацинуса</w:t>
      </w:r>
      <w:proofErr w:type="spellEnd"/>
      <w:r w:rsidRPr="00520861">
        <w:rPr>
          <w:rFonts w:eastAsiaTheme="minorHAnsi"/>
          <w:bCs/>
          <w:sz w:val="28"/>
          <w:szCs w:val="28"/>
          <w:lang w:eastAsia="en-US"/>
        </w:rPr>
        <w:t xml:space="preserve"> супроводжується невеликим зниженням висоти </w:t>
      </w:r>
      <w:proofErr w:type="spellStart"/>
      <w:r w:rsidRPr="00520861">
        <w:rPr>
          <w:rFonts w:eastAsiaTheme="minorHAnsi"/>
          <w:bCs/>
          <w:sz w:val="28"/>
          <w:szCs w:val="28"/>
          <w:lang w:eastAsia="en-US"/>
        </w:rPr>
        <w:t>мукоцита</w:t>
      </w:r>
      <w:proofErr w:type="spellEnd"/>
      <w:r w:rsidRPr="00520861">
        <w:rPr>
          <w:rFonts w:eastAsiaTheme="minorHAnsi"/>
          <w:bCs/>
          <w:sz w:val="28"/>
          <w:szCs w:val="28"/>
          <w:lang w:eastAsia="en-US"/>
        </w:rPr>
        <w:t xml:space="preserve">, що призводить до зменшення загальної площі, зайнятої </w:t>
      </w:r>
      <w:proofErr w:type="spellStart"/>
      <w:r w:rsidRPr="00520861">
        <w:rPr>
          <w:rFonts w:eastAsiaTheme="minorHAnsi"/>
          <w:bCs/>
          <w:sz w:val="28"/>
          <w:szCs w:val="28"/>
          <w:lang w:eastAsia="en-US"/>
        </w:rPr>
        <w:t>мукоцитами</w:t>
      </w:r>
      <w:proofErr w:type="spellEnd"/>
      <w:r w:rsidRPr="00520861">
        <w:rPr>
          <w:rFonts w:eastAsiaTheme="minorHAnsi"/>
          <w:bCs/>
          <w:sz w:val="28"/>
          <w:szCs w:val="28"/>
          <w:lang w:eastAsia="en-US"/>
        </w:rPr>
        <w:t xml:space="preserve"> в </w:t>
      </w:r>
      <w:proofErr w:type="spellStart"/>
      <w:r w:rsidRPr="00520861">
        <w:rPr>
          <w:rFonts w:eastAsiaTheme="minorHAnsi"/>
          <w:bCs/>
          <w:sz w:val="28"/>
          <w:szCs w:val="28"/>
          <w:lang w:eastAsia="en-US"/>
        </w:rPr>
        <w:t>ацинусі</w:t>
      </w:r>
      <w:proofErr w:type="spellEnd"/>
      <w:r w:rsidRPr="00520861">
        <w:rPr>
          <w:rFonts w:eastAsiaTheme="minorHAnsi"/>
          <w:bCs/>
          <w:sz w:val="28"/>
          <w:szCs w:val="28"/>
          <w:lang w:eastAsia="en-US"/>
        </w:rPr>
        <w:t xml:space="preserve"> в групі 4 (рис. 3.22</w:t>
      </w:r>
      <w:r w:rsidRPr="00520861">
        <w:rPr>
          <w:rFonts w:eastAsiaTheme="minorHAnsi"/>
          <w:bCs/>
          <w:i/>
          <w:sz w:val="28"/>
          <w:szCs w:val="28"/>
          <w:lang w:eastAsia="en-US"/>
        </w:rPr>
        <w:t>в</w:t>
      </w:r>
      <w:r w:rsidRPr="00520861">
        <w:rPr>
          <w:rFonts w:eastAsiaTheme="minorHAnsi"/>
          <w:bCs/>
          <w:sz w:val="28"/>
          <w:szCs w:val="28"/>
          <w:lang w:eastAsia="en-US"/>
        </w:rPr>
        <w:t xml:space="preserve">). У цій групі також спостерігається вірогідне </w:t>
      </w:r>
      <w:r w:rsidR="00645ADA" w:rsidRPr="00520861">
        <w:rPr>
          <w:rFonts w:eastAsiaTheme="minorHAnsi"/>
          <w:bCs/>
          <w:sz w:val="28"/>
          <w:szCs w:val="28"/>
          <w:lang w:eastAsia="en-US"/>
        </w:rPr>
        <w:br/>
      </w:r>
      <w:r w:rsidRPr="00520861">
        <w:rPr>
          <w:rFonts w:eastAsiaTheme="minorHAnsi"/>
          <w:bCs/>
          <w:sz w:val="28"/>
          <w:szCs w:val="28"/>
          <w:lang w:eastAsia="en-US"/>
        </w:rPr>
        <w:t xml:space="preserve">зменшення кількості </w:t>
      </w:r>
      <w:proofErr w:type="spellStart"/>
      <w:r w:rsidRPr="00520861">
        <w:rPr>
          <w:rFonts w:eastAsiaTheme="minorHAnsi"/>
          <w:bCs/>
          <w:sz w:val="28"/>
          <w:szCs w:val="28"/>
          <w:lang w:eastAsia="en-US"/>
        </w:rPr>
        <w:t>мукоцитів</w:t>
      </w:r>
      <w:proofErr w:type="spellEnd"/>
      <w:r w:rsidRPr="00520861">
        <w:rPr>
          <w:rFonts w:eastAsiaTheme="minorHAnsi"/>
          <w:bCs/>
          <w:sz w:val="28"/>
          <w:szCs w:val="28"/>
          <w:lang w:eastAsia="en-US"/>
        </w:rPr>
        <w:t xml:space="preserve"> в </w:t>
      </w:r>
      <w:proofErr w:type="spellStart"/>
      <w:r w:rsidRPr="00520861">
        <w:rPr>
          <w:rFonts w:eastAsiaTheme="minorHAnsi"/>
          <w:bCs/>
          <w:sz w:val="28"/>
          <w:szCs w:val="28"/>
          <w:lang w:eastAsia="en-US"/>
        </w:rPr>
        <w:t>ацинусі</w:t>
      </w:r>
      <w:proofErr w:type="spellEnd"/>
      <w:r w:rsidRPr="00520861">
        <w:rPr>
          <w:rFonts w:eastAsiaTheme="minorHAnsi"/>
          <w:bCs/>
          <w:sz w:val="28"/>
          <w:szCs w:val="28"/>
          <w:lang w:eastAsia="en-US"/>
        </w:rPr>
        <w:t xml:space="preserve"> малої слинної залози (табл. 3.14). </w:t>
      </w:r>
    </w:p>
    <w:p w14:paraId="087530D0" w14:textId="77777777" w:rsidR="00CF641C" w:rsidRPr="00520861" w:rsidRDefault="00CF641C" w:rsidP="00292D2E">
      <w:pPr>
        <w:widowControl w:val="0"/>
        <w:autoSpaceDE w:val="0"/>
        <w:autoSpaceDN w:val="0"/>
        <w:adjustRightInd w:val="0"/>
        <w:spacing w:line="360" w:lineRule="auto"/>
        <w:ind w:firstLine="708"/>
        <w:jc w:val="both"/>
        <w:rPr>
          <w:rFonts w:eastAsiaTheme="minorHAnsi"/>
          <w:bCs/>
          <w:sz w:val="28"/>
          <w:szCs w:val="28"/>
          <w:lang w:eastAsia="en-US"/>
        </w:rPr>
      </w:pPr>
      <w:r w:rsidRPr="00520861">
        <w:rPr>
          <w:rFonts w:eastAsiaTheme="minorHAnsi"/>
          <w:bCs/>
          <w:sz w:val="28"/>
          <w:szCs w:val="28"/>
          <w:lang w:eastAsia="en-US"/>
        </w:rPr>
        <w:t xml:space="preserve">Крім того виявляється, що зовнішня межа </w:t>
      </w:r>
      <w:proofErr w:type="spellStart"/>
      <w:r w:rsidRPr="00520861">
        <w:rPr>
          <w:rFonts w:eastAsiaTheme="minorHAnsi"/>
          <w:bCs/>
          <w:sz w:val="28"/>
          <w:szCs w:val="28"/>
          <w:lang w:eastAsia="en-US"/>
        </w:rPr>
        <w:t>ацинусів</w:t>
      </w:r>
      <w:proofErr w:type="spellEnd"/>
      <w:r w:rsidRPr="00520861">
        <w:rPr>
          <w:rFonts w:eastAsiaTheme="minorHAnsi"/>
          <w:bCs/>
          <w:sz w:val="28"/>
          <w:szCs w:val="28"/>
          <w:lang w:eastAsia="en-US"/>
        </w:rPr>
        <w:t xml:space="preserve"> у малих слинних залозах є нерівною у тварин у групах 3 та 4 (рис. 3.22</w:t>
      </w:r>
      <w:r w:rsidRPr="00520861">
        <w:rPr>
          <w:rFonts w:eastAsiaTheme="minorHAnsi"/>
          <w:bCs/>
          <w:i/>
          <w:sz w:val="28"/>
          <w:szCs w:val="28"/>
          <w:lang w:eastAsia="en-US"/>
        </w:rPr>
        <w:t>в</w:t>
      </w:r>
      <w:r w:rsidRPr="00520861">
        <w:rPr>
          <w:rFonts w:eastAsiaTheme="minorHAnsi"/>
          <w:bCs/>
          <w:sz w:val="28"/>
          <w:szCs w:val="28"/>
          <w:lang w:eastAsia="en-US"/>
        </w:rPr>
        <w:t xml:space="preserve">). </w:t>
      </w:r>
    </w:p>
    <w:p w14:paraId="12DE5BB4" w14:textId="77777777" w:rsidR="00CF641C" w:rsidRPr="00520861" w:rsidRDefault="00CF641C" w:rsidP="00292D2E">
      <w:pPr>
        <w:widowControl w:val="0"/>
        <w:autoSpaceDE w:val="0"/>
        <w:autoSpaceDN w:val="0"/>
        <w:adjustRightInd w:val="0"/>
        <w:spacing w:line="360" w:lineRule="auto"/>
        <w:ind w:firstLine="708"/>
        <w:jc w:val="both"/>
        <w:rPr>
          <w:rFonts w:eastAsiaTheme="minorHAnsi"/>
          <w:bCs/>
          <w:spacing w:val="-4"/>
          <w:sz w:val="28"/>
          <w:szCs w:val="28"/>
          <w:lang w:eastAsia="en-US"/>
        </w:rPr>
      </w:pPr>
      <w:r w:rsidRPr="00520861">
        <w:rPr>
          <w:rFonts w:eastAsiaTheme="minorHAnsi"/>
          <w:bCs/>
          <w:spacing w:val="-4"/>
          <w:sz w:val="28"/>
          <w:szCs w:val="28"/>
          <w:lang w:eastAsia="en-US"/>
        </w:rPr>
        <w:t xml:space="preserve">Середнє значення площі паренхіматозної тканини в </w:t>
      </w:r>
      <w:proofErr w:type="spellStart"/>
      <w:r w:rsidRPr="00520861">
        <w:rPr>
          <w:rFonts w:eastAsiaTheme="minorHAnsi"/>
          <w:bCs/>
          <w:spacing w:val="-4"/>
          <w:sz w:val="28"/>
          <w:szCs w:val="28"/>
          <w:lang w:eastAsia="en-US"/>
        </w:rPr>
        <w:t>ацинусах</w:t>
      </w:r>
      <w:proofErr w:type="spellEnd"/>
      <w:r w:rsidRPr="00520861">
        <w:rPr>
          <w:rFonts w:eastAsiaTheme="minorHAnsi"/>
          <w:bCs/>
          <w:spacing w:val="-4"/>
          <w:sz w:val="28"/>
          <w:szCs w:val="28"/>
          <w:lang w:eastAsia="en-US"/>
        </w:rPr>
        <w:t xml:space="preserve"> малих слинних залоз є, на наш погляд, більш інформативним показником, який виявляється меншим у тварин усіх основних груп порівняно з контрольною групою (табл. 3.14). У щурів групи</w:t>
      </w:r>
      <w:r w:rsidRPr="00520861">
        <w:rPr>
          <w:rFonts w:eastAsiaTheme="minorHAnsi"/>
          <w:b/>
          <w:bCs/>
          <w:spacing w:val="-4"/>
          <w:sz w:val="28"/>
          <w:szCs w:val="28"/>
          <w:lang w:eastAsia="en-US"/>
        </w:rPr>
        <w:t xml:space="preserve"> </w:t>
      </w:r>
      <w:r w:rsidRPr="00520861">
        <w:rPr>
          <w:rFonts w:eastAsiaTheme="minorHAnsi"/>
          <w:bCs/>
          <w:spacing w:val="-4"/>
          <w:sz w:val="28"/>
          <w:szCs w:val="28"/>
          <w:lang w:eastAsia="en-US"/>
        </w:rPr>
        <w:lastRenderedPageBreak/>
        <w:t>3, порівняно з контролем, зниження в межах 95% довірчого інтервалу є вірогідним [323].</w:t>
      </w:r>
    </w:p>
    <w:p w14:paraId="7770CE72" w14:textId="77777777" w:rsidR="00CF641C" w:rsidRPr="00520861" w:rsidRDefault="00CF641C" w:rsidP="00292D2E">
      <w:pPr>
        <w:widowControl w:val="0"/>
        <w:autoSpaceDE w:val="0"/>
        <w:autoSpaceDN w:val="0"/>
        <w:adjustRightInd w:val="0"/>
        <w:spacing w:line="360" w:lineRule="auto"/>
        <w:ind w:firstLine="708"/>
        <w:jc w:val="both"/>
        <w:rPr>
          <w:rFonts w:eastAsiaTheme="minorHAnsi"/>
          <w:bCs/>
          <w:sz w:val="28"/>
          <w:szCs w:val="28"/>
          <w:lang w:eastAsia="en-US"/>
        </w:rPr>
        <w:sectPr w:rsidR="00CF641C" w:rsidRPr="00520861" w:rsidSect="00292D2E">
          <w:pgSz w:w="11906" w:h="16838"/>
          <w:pgMar w:top="1134" w:right="624" w:bottom="1134" w:left="1134" w:header="709" w:footer="709" w:gutter="0"/>
          <w:cols w:space="708"/>
          <w:docGrid w:linePitch="360"/>
        </w:sectPr>
      </w:pPr>
    </w:p>
    <w:p w14:paraId="3DACE53F" w14:textId="77777777" w:rsidR="00CF641C" w:rsidRPr="00520861" w:rsidRDefault="00CF641C" w:rsidP="00292D2E">
      <w:pPr>
        <w:widowControl w:val="0"/>
        <w:spacing w:line="360" w:lineRule="auto"/>
        <w:ind w:firstLine="708"/>
        <w:jc w:val="right"/>
        <w:rPr>
          <w:rFonts w:eastAsia="Calibri"/>
          <w:bCs/>
          <w:i/>
          <w:sz w:val="28"/>
          <w:szCs w:val="28"/>
          <w:lang w:val="ru-RU" w:eastAsia="en-US"/>
        </w:rPr>
      </w:pPr>
      <w:proofErr w:type="spellStart"/>
      <w:r w:rsidRPr="00520861">
        <w:rPr>
          <w:rFonts w:eastAsia="Calibri"/>
          <w:bCs/>
          <w:i/>
          <w:sz w:val="28"/>
          <w:szCs w:val="28"/>
          <w:lang w:val="ru-RU" w:eastAsia="en-US"/>
        </w:rPr>
        <w:lastRenderedPageBreak/>
        <w:t>Таблиця</w:t>
      </w:r>
      <w:proofErr w:type="spellEnd"/>
      <w:r w:rsidRPr="00520861">
        <w:rPr>
          <w:rFonts w:eastAsia="Calibri"/>
          <w:bCs/>
          <w:i/>
          <w:sz w:val="28"/>
          <w:szCs w:val="28"/>
          <w:lang w:val="ru-RU" w:eastAsia="en-US"/>
        </w:rPr>
        <w:t xml:space="preserve"> 3.14 </w:t>
      </w:r>
    </w:p>
    <w:p w14:paraId="2CE38937" w14:textId="77777777" w:rsidR="00CF641C" w:rsidRPr="00520861" w:rsidRDefault="00CF641C" w:rsidP="00292D2E">
      <w:pPr>
        <w:widowControl w:val="0"/>
        <w:spacing w:line="360" w:lineRule="auto"/>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ru-RU" w:eastAsia="en-US"/>
        </w:rPr>
        <w:t>(</w:t>
      </w:r>
      <w:r w:rsidRPr="00520861">
        <w:rPr>
          <w:rFonts w:eastAsia="Calibri"/>
          <w:b/>
          <w:bCs/>
          <w:sz w:val="28"/>
          <w:szCs w:val="28"/>
          <w:lang w:val="en-US" w:eastAsia="en-US"/>
        </w:rPr>
        <w:t>Q</w:t>
      </w:r>
      <w:r w:rsidRPr="00520861">
        <w:rPr>
          <w:rFonts w:eastAsia="Calibri"/>
          <w:b/>
          <w:bCs/>
          <w:sz w:val="28"/>
          <w:szCs w:val="28"/>
          <w:lang w:val="ru-RU" w:eastAsia="en-US"/>
        </w:rPr>
        <w:t xml:space="preserve">3; </w:t>
      </w:r>
      <w:r w:rsidRPr="00520861">
        <w:rPr>
          <w:rFonts w:eastAsia="Calibri"/>
          <w:b/>
          <w:bCs/>
          <w:sz w:val="28"/>
          <w:szCs w:val="28"/>
          <w:lang w:val="en-US" w:eastAsia="en-US"/>
        </w:rPr>
        <w:t>Q</w:t>
      </w:r>
      <w:r w:rsidRPr="00520861">
        <w:rPr>
          <w:rFonts w:eastAsia="Calibri"/>
          <w:b/>
          <w:bCs/>
          <w:sz w:val="28"/>
          <w:szCs w:val="28"/>
          <w:lang w:val="ru-RU" w:eastAsia="en-US"/>
        </w:rPr>
        <w:t xml:space="preserve">1) </w:t>
      </w:r>
      <w:proofErr w:type="spellStart"/>
      <w:r w:rsidRPr="00520861">
        <w:rPr>
          <w:rFonts w:eastAsia="Calibri"/>
          <w:b/>
          <w:bCs/>
          <w:sz w:val="28"/>
          <w:szCs w:val="28"/>
          <w:lang w:eastAsia="en-US"/>
        </w:rPr>
        <w:t>морфометричних</w:t>
      </w:r>
      <w:proofErr w:type="spellEnd"/>
      <w:r w:rsidRPr="00520861">
        <w:rPr>
          <w:rFonts w:eastAsia="Calibri"/>
          <w:b/>
          <w:bCs/>
          <w:sz w:val="28"/>
          <w:szCs w:val="28"/>
          <w:lang w:eastAsia="en-US"/>
        </w:rPr>
        <w:t xml:space="preserve"> параметрів малих слинних залоз 6-ти місячних </w:t>
      </w:r>
      <w:r w:rsidRPr="00520861">
        <w:rPr>
          <w:rFonts w:eastAsia="Calibri"/>
          <w:b/>
          <w:bCs/>
          <w:sz w:val="28"/>
          <w:szCs w:val="28"/>
          <w:lang w:eastAsia="en-US"/>
        </w:rPr>
        <w:br/>
        <w:t>експериментальних тварин</w:t>
      </w:r>
    </w:p>
    <w:tbl>
      <w:tblPr>
        <w:tblStyle w:val="41"/>
        <w:tblW w:w="14601" w:type="dxa"/>
        <w:tblInd w:w="108" w:type="dxa"/>
        <w:tblLayout w:type="fixed"/>
        <w:tblLook w:val="04A0" w:firstRow="1" w:lastRow="0" w:firstColumn="1" w:lastColumn="0" w:noHBand="0" w:noVBand="1"/>
      </w:tblPr>
      <w:tblGrid>
        <w:gridCol w:w="993"/>
        <w:gridCol w:w="2268"/>
        <w:gridCol w:w="2126"/>
        <w:gridCol w:w="2551"/>
        <w:gridCol w:w="1843"/>
        <w:gridCol w:w="2410"/>
        <w:gridCol w:w="2410"/>
      </w:tblGrid>
      <w:tr w:rsidR="00CF641C" w:rsidRPr="00520861" w14:paraId="5A971A39" w14:textId="77777777" w:rsidTr="00292D2E">
        <w:trPr>
          <w:trHeight w:val="1497"/>
        </w:trPr>
        <w:tc>
          <w:tcPr>
            <w:tcW w:w="993" w:type="dxa"/>
          </w:tcPr>
          <w:p w14:paraId="3013C8F7" w14:textId="77777777" w:rsidR="00CF641C" w:rsidRPr="00520861" w:rsidRDefault="00CF641C" w:rsidP="00292D2E">
            <w:pPr>
              <w:widowControl w:val="0"/>
              <w:spacing w:line="360" w:lineRule="auto"/>
              <w:rPr>
                <w:rFonts w:cs="Times New Roman"/>
                <w:sz w:val="28"/>
                <w:szCs w:val="28"/>
                <w:lang w:val="en-US"/>
              </w:rPr>
            </w:pPr>
            <w:r w:rsidRPr="00520861">
              <w:rPr>
                <w:rFonts w:cs="Times New Roman"/>
                <w:sz w:val="28"/>
                <w:szCs w:val="28"/>
              </w:rPr>
              <w:t xml:space="preserve">Група </w:t>
            </w:r>
          </w:p>
        </w:tc>
        <w:tc>
          <w:tcPr>
            <w:tcW w:w="2268" w:type="dxa"/>
          </w:tcPr>
          <w:p w14:paraId="0211783D" w14:textId="77777777" w:rsidR="00CF641C" w:rsidRPr="00520861" w:rsidRDefault="00CF641C" w:rsidP="00292D2E">
            <w:pPr>
              <w:widowControl w:val="0"/>
              <w:spacing w:line="360" w:lineRule="auto"/>
              <w:ind w:right="-246" w:hanging="161"/>
              <w:jc w:val="center"/>
              <w:rPr>
                <w:rFonts w:cs="Times New Roman"/>
                <w:sz w:val="28"/>
                <w:szCs w:val="28"/>
              </w:rPr>
            </w:pPr>
            <w:r w:rsidRPr="00520861">
              <w:rPr>
                <w:rFonts w:cs="Times New Roman"/>
                <w:sz w:val="28"/>
                <w:szCs w:val="28"/>
              </w:rPr>
              <w:t>П</w:t>
            </w:r>
            <w:r w:rsidRPr="00520861">
              <w:rPr>
                <w:rFonts w:cs="Times New Roman"/>
                <w:sz w:val="28"/>
                <w:szCs w:val="28"/>
                <w:lang w:val="ru-RU"/>
              </w:rPr>
              <w:t xml:space="preserve">лоща поперечного </w:t>
            </w:r>
            <w:proofErr w:type="spellStart"/>
            <w:r w:rsidRPr="00520861">
              <w:rPr>
                <w:rFonts w:cs="Times New Roman"/>
                <w:sz w:val="28"/>
                <w:szCs w:val="28"/>
                <w:lang w:val="ru-RU"/>
              </w:rPr>
              <w:t>перерізу</w:t>
            </w:r>
            <w:proofErr w:type="spellEnd"/>
            <w:r w:rsidRPr="00520861">
              <w:rPr>
                <w:rFonts w:cs="Times New Roman"/>
                <w:sz w:val="28"/>
                <w:szCs w:val="28"/>
                <w:lang w:val="ru-RU"/>
              </w:rPr>
              <w:t xml:space="preserve"> </w:t>
            </w:r>
            <w:proofErr w:type="spellStart"/>
            <w:r w:rsidRPr="00520861">
              <w:rPr>
                <w:rFonts w:cs="Times New Roman"/>
                <w:sz w:val="28"/>
                <w:szCs w:val="28"/>
                <w:lang w:val="ru-RU"/>
              </w:rPr>
              <w:t>ацинуса</w:t>
            </w:r>
            <w:proofErr w:type="spellEnd"/>
            <w:r w:rsidRPr="00520861">
              <w:rPr>
                <w:rFonts w:cs="Times New Roman"/>
                <w:sz w:val="28"/>
                <w:szCs w:val="28"/>
                <w:lang w:val="ru-RU"/>
              </w:rPr>
              <w:t xml:space="preserve"> (</w:t>
            </w:r>
            <w:r w:rsidRPr="00520861">
              <w:rPr>
                <w:rFonts w:cs="Times New Roman"/>
                <w:sz w:val="28"/>
                <w:szCs w:val="28"/>
              </w:rPr>
              <w:t>м</w:t>
            </w:r>
            <w:r w:rsidRPr="00520861">
              <w:rPr>
                <w:rFonts w:cs="Times New Roman"/>
                <w:sz w:val="28"/>
                <w:szCs w:val="28"/>
                <w:vertAlign w:val="superscript"/>
              </w:rPr>
              <w:t>2</w:t>
            </w:r>
            <w:r w:rsidRPr="00520861">
              <w:rPr>
                <w:rFonts w:cs="Times New Roman"/>
                <w:sz w:val="28"/>
                <w:szCs w:val="28"/>
              </w:rPr>
              <w:t>×10</w:t>
            </w:r>
            <w:r w:rsidRPr="00520861">
              <w:rPr>
                <w:rFonts w:cs="Times New Roman"/>
                <w:sz w:val="28"/>
                <w:szCs w:val="28"/>
                <w:vertAlign w:val="superscript"/>
              </w:rPr>
              <w:t>12</w:t>
            </w:r>
            <w:r w:rsidRPr="00520861">
              <w:rPr>
                <w:rFonts w:cs="Times New Roman"/>
                <w:sz w:val="28"/>
                <w:szCs w:val="28"/>
                <w:lang w:val="ru-RU"/>
              </w:rPr>
              <w:t>)</w:t>
            </w:r>
          </w:p>
        </w:tc>
        <w:tc>
          <w:tcPr>
            <w:tcW w:w="2126" w:type="dxa"/>
          </w:tcPr>
          <w:p w14:paraId="733E5ABA"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rPr>
              <w:t>П</w:t>
            </w:r>
            <w:r w:rsidRPr="00520861">
              <w:rPr>
                <w:rFonts w:cs="Times New Roman"/>
                <w:sz w:val="28"/>
                <w:szCs w:val="28"/>
                <w:lang w:val="ru-RU"/>
              </w:rPr>
              <w:t xml:space="preserve">лоща </w:t>
            </w:r>
            <w:proofErr w:type="spellStart"/>
            <w:r w:rsidRPr="00520861">
              <w:rPr>
                <w:rFonts w:cs="Times New Roman"/>
                <w:sz w:val="28"/>
                <w:szCs w:val="28"/>
                <w:lang w:val="ru-RU"/>
              </w:rPr>
              <w:t>перерізу</w:t>
            </w:r>
            <w:proofErr w:type="spellEnd"/>
            <w:r w:rsidRPr="00520861">
              <w:rPr>
                <w:rFonts w:cs="Times New Roman"/>
                <w:sz w:val="28"/>
                <w:szCs w:val="28"/>
                <w:lang w:val="ru-RU"/>
              </w:rPr>
              <w:t xml:space="preserve"> </w:t>
            </w:r>
            <w:r w:rsidRPr="00520861">
              <w:rPr>
                <w:rFonts w:cs="Times New Roman"/>
                <w:sz w:val="28"/>
                <w:szCs w:val="28"/>
              </w:rPr>
              <w:t xml:space="preserve">просвіту </w:t>
            </w:r>
            <w:proofErr w:type="spellStart"/>
            <w:r w:rsidRPr="00520861">
              <w:rPr>
                <w:rFonts w:cs="Times New Roman"/>
                <w:sz w:val="28"/>
                <w:szCs w:val="28"/>
                <w:lang w:val="ru-RU"/>
              </w:rPr>
              <w:t>ацинуса</w:t>
            </w:r>
            <w:proofErr w:type="spellEnd"/>
            <w:r w:rsidRPr="00520861">
              <w:rPr>
                <w:rFonts w:cs="Times New Roman"/>
                <w:sz w:val="28"/>
                <w:szCs w:val="28"/>
                <w:lang w:val="ru-RU"/>
              </w:rPr>
              <w:t xml:space="preserve"> (</w:t>
            </w:r>
            <w:r w:rsidRPr="00520861">
              <w:rPr>
                <w:rFonts w:cs="Times New Roman"/>
                <w:sz w:val="28"/>
                <w:szCs w:val="28"/>
              </w:rPr>
              <w:t>м</w:t>
            </w:r>
            <w:r w:rsidRPr="00520861">
              <w:rPr>
                <w:rFonts w:cs="Times New Roman"/>
                <w:sz w:val="28"/>
                <w:szCs w:val="28"/>
                <w:vertAlign w:val="superscript"/>
              </w:rPr>
              <w:t>2</w:t>
            </w:r>
            <w:r w:rsidRPr="00520861">
              <w:rPr>
                <w:rFonts w:cs="Times New Roman"/>
                <w:sz w:val="28"/>
                <w:szCs w:val="28"/>
              </w:rPr>
              <w:t>×10</w:t>
            </w:r>
            <w:r w:rsidRPr="00520861">
              <w:rPr>
                <w:rFonts w:cs="Times New Roman"/>
                <w:sz w:val="28"/>
                <w:szCs w:val="28"/>
                <w:vertAlign w:val="superscript"/>
              </w:rPr>
              <w:t>12</w:t>
            </w:r>
            <w:r w:rsidRPr="00520861">
              <w:rPr>
                <w:rFonts w:cs="Times New Roman"/>
                <w:sz w:val="28"/>
                <w:szCs w:val="28"/>
                <w:lang w:val="ru-RU"/>
              </w:rPr>
              <w:t>)</w:t>
            </w:r>
          </w:p>
        </w:tc>
        <w:tc>
          <w:tcPr>
            <w:tcW w:w="2551" w:type="dxa"/>
          </w:tcPr>
          <w:p w14:paraId="3A2B95F9" w14:textId="77777777" w:rsidR="00CF641C" w:rsidRPr="00520861" w:rsidRDefault="00CF641C" w:rsidP="00292D2E">
            <w:pPr>
              <w:widowControl w:val="0"/>
              <w:spacing w:line="360" w:lineRule="auto"/>
              <w:ind w:left="-108" w:right="-142" w:firstLine="14"/>
              <w:jc w:val="center"/>
              <w:rPr>
                <w:rFonts w:cs="Times New Roman"/>
                <w:sz w:val="28"/>
                <w:szCs w:val="28"/>
              </w:rPr>
            </w:pPr>
            <w:r w:rsidRPr="00520861">
              <w:rPr>
                <w:rFonts w:cs="Times New Roman"/>
                <w:sz w:val="28"/>
                <w:szCs w:val="28"/>
              </w:rPr>
              <w:t>П</w:t>
            </w:r>
            <w:r w:rsidRPr="00520861">
              <w:rPr>
                <w:rFonts w:cs="Times New Roman"/>
                <w:sz w:val="28"/>
                <w:szCs w:val="28"/>
                <w:lang w:val="ru-RU"/>
              </w:rPr>
              <w:t>лоща</w:t>
            </w:r>
            <w:r w:rsidRPr="00520861">
              <w:rPr>
                <w:rFonts w:cs="Times New Roman"/>
                <w:sz w:val="28"/>
                <w:szCs w:val="28"/>
              </w:rPr>
              <w:t xml:space="preserve"> паренхіми у поперечному перерізі </w:t>
            </w:r>
            <w:proofErr w:type="spellStart"/>
            <w:r w:rsidRPr="00520861">
              <w:rPr>
                <w:rFonts w:cs="Times New Roman"/>
                <w:sz w:val="28"/>
                <w:szCs w:val="28"/>
              </w:rPr>
              <w:t>ацинуса</w:t>
            </w:r>
            <w:proofErr w:type="spellEnd"/>
            <w:r w:rsidRPr="00520861">
              <w:rPr>
                <w:rFonts w:cs="Times New Roman"/>
                <w:sz w:val="28"/>
                <w:szCs w:val="28"/>
                <w:lang w:val="ru-RU"/>
              </w:rPr>
              <w:t xml:space="preserve"> (</w:t>
            </w:r>
            <w:r w:rsidRPr="00520861">
              <w:rPr>
                <w:rFonts w:cs="Times New Roman"/>
                <w:sz w:val="28"/>
                <w:szCs w:val="28"/>
              </w:rPr>
              <w:t>м</w:t>
            </w:r>
            <w:r w:rsidRPr="00520861">
              <w:rPr>
                <w:rFonts w:cs="Times New Roman"/>
                <w:sz w:val="28"/>
                <w:szCs w:val="28"/>
                <w:vertAlign w:val="superscript"/>
              </w:rPr>
              <w:t>2</w:t>
            </w:r>
            <w:r w:rsidRPr="00520861">
              <w:rPr>
                <w:rFonts w:cs="Times New Roman"/>
                <w:sz w:val="28"/>
                <w:szCs w:val="28"/>
              </w:rPr>
              <w:t>×10</w:t>
            </w:r>
            <w:r w:rsidRPr="00520861">
              <w:rPr>
                <w:rFonts w:cs="Times New Roman"/>
                <w:sz w:val="28"/>
                <w:szCs w:val="28"/>
                <w:vertAlign w:val="superscript"/>
              </w:rPr>
              <w:t>12</w:t>
            </w:r>
            <w:r w:rsidRPr="00520861">
              <w:rPr>
                <w:rFonts w:cs="Times New Roman"/>
                <w:sz w:val="28"/>
                <w:szCs w:val="28"/>
                <w:lang w:val="ru-RU"/>
              </w:rPr>
              <w:t>)</w:t>
            </w:r>
          </w:p>
        </w:tc>
        <w:tc>
          <w:tcPr>
            <w:tcW w:w="1843" w:type="dxa"/>
          </w:tcPr>
          <w:p w14:paraId="35253A5D" w14:textId="77777777" w:rsidR="00CF641C" w:rsidRPr="00520861" w:rsidRDefault="00CF641C" w:rsidP="00292D2E">
            <w:pPr>
              <w:widowControl w:val="0"/>
              <w:spacing w:line="360" w:lineRule="auto"/>
              <w:jc w:val="center"/>
              <w:rPr>
                <w:rFonts w:cs="Times New Roman"/>
                <w:sz w:val="28"/>
                <w:szCs w:val="28"/>
              </w:rPr>
            </w:pPr>
            <w:r w:rsidRPr="00520861">
              <w:rPr>
                <w:rFonts w:cs="Times New Roman"/>
                <w:sz w:val="28"/>
                <w:szCs w:val="28"/>
              </w:rPr>
              <w:t>П</w:t>
            </w:r>
            <w:proofErr w:type="spellStart"/>
            <w:r w:rsidRPr="00520861">
              <w:rPr>
                <w:rFonts w:cs="Times New Roman"/>
                <w:sz w:val="28"/>
                <w:szCs w:val="28"/>
                <w:lang w:val="ru-RU"/>
              </w:rPr>
              <w:t>ериметр</w:t>
            </w:r>
            <w:proofErr w:type="spellEnd"/>
            <w:r w:rsidRPr="00520861">
              <w:rPr>
                <w:rFonts w:cs="Times New Roman"/>
                <w:sz w:val="28"/>
                <w:szCs w:val="28"/>
                <w:lang w:val="ru-RU"/>
              </w:rPr>
              <w:t xml:space="preserve"> </w:t>
            </w:r>
            <w:proofErr w:type="spellStart"/>
            <w:r w:rsidRPr="00520861">
              <w:rPr>
                <w:rFonts w:cs="Times New Roman"/>
                <w:sz w:val="28"/>
                <w:szCs w:val="28"/>
                <w:lang w:val="ru-RU"/>
              </w:rPr>
              <w:t>ацинуса</w:t>
            </w:r>
            <w:proofErr w:type="spellEnd"/>
            <w:r w:rsidRPr="00520861">
              <w:rPr>
                <w:rFonts w:cs="Times New Roman"/>
                <w:sz w:val="28"/>
                <w:szCs w:val="28"/>
                <w:lang w:val="ru-RU"/>
              </w:rPr>
              <w:t xml:space="preserve"> (</w:t>
            </w:r>
            <w:r w:rsidRPr="00520861">
              <w:rPr>
                <w:rFonts w:cs="Times New Roman"/>
                <w:sz w:val="28"/>
                <w:szCs w:val="28"/>
              </w:rPr>
              <w:t>м×10</w:t>
            </w:r>
            <w:r w:rsidRPr="00520861">
              <w:rPr>
                <w:rFonts w:cs="Times New Roman"/>
                <w:sz w:val="28"/>
                <w:szCs w:val="28"/>
                <w:vertAlign w:val="superscript"/>
              </w:rPr>
              <w:t>6</w:t>
            </w:r>
            <w:r w:rsidRPr="00520861">
              <w:rPr>
                <w:rFonts w:cs="Times New Roman"/>
                <w:sz w:val="28"/>
                <w:szCs w:val="28"/>
                <w:lang w:val="ru-RU"/>
              </w:rPr>
              <w:t>)</w:t>
            </w:r>
          </w:p>
        </w:tc>
        <w:tc>
          <w:tcPr>
            <w:tcW w:w="2410" w:type="dxa"/>
          </w:tcPr>
          <w:p w14:paraId="703CD182"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rPr>
              <w:t xml:space="preserve">Кількість </w:t>
            </w:r>
            <w:proofErr w:type="spellStart"/>
            <w:r w:rsidRPr="00520861">
              <w:rPr>
                <w:rFonts w:cs="Times New Roman"/>
                <w:sz w:val="28"/>
                <w:szCs w:val="28"/>
              </w:rPr>
              <w:t>мукоцитів</w:t>
            </w:r>
            <w:proofErr w:type="spellEnd"/>
            <w:r w:rsidRPr="00520861">
              <w:rPr>
                <w:rFonts w:cs="Times New Roman"/>
                <w:sz w:val="28"/>
                <w:szCs w:val="28"/>
              </w:rPr>
              <w:t xml:space="preserve"> у перерізі </w:t>
            </w:r>
            <w:proofErr w:type="spellStart"/>
            <w:r w:rsidRPr="00520861">
              <w:rPr>
                <w:rFonts w:cs="Times New Roman"/>
                <w:sz w:val="28"/>
                <w:szCs w:val="28"/>
              </w:rPr>
              <w:t>ацинуса</w:t>
            </w:r>
            <w:proofErr w:type="spellEnd"/>
          </w:p>
        </w:tc>
        <w:tc>
          <w:tcPr>
            <w:tcW w:w="2410" w:type="dxa"/>
          </w:tcPr>
          <w:p w14:paraId="683E4C41" w14:textId="77777777" w:rsidR="00CF641C" w:rsidRPr="00520861" w:rsidRDefault="00CF641C" w:rsidP="00292D2E">
            <w:pPr>
              <w:widowControl w:val="0"/>
              <w:spacing w:line="360" w:lineRule="auto"/>
              <w:ind w:hanging="104"/>
              <w:jc w:val="center"/>
              <w:rPr>
                <w:rFonts w:cs="Times New Roman"/>
                <w:sz w:val="28"/>
                <w:szCs w:val="28"/>
              </w:rPr>
            </w:pPr>
            <w:r w:rsidRPr="00520861">
              <w:rPr>
                <w:rFonts w:cs="Times New Roman"/>
                <w:sz w:val="28"/>
                <w:szCs w:val="28"/>
              </w:rPr>
              <w:t xml:space="preserve">Висота </w:t>
            </w:r>
            <w:r w:rsidRPr="00520861">
              <w:rPr>
                <w:rFonts w:cs="Times New Roman"/>
                <w:sz w:val="28"/>
                <w:szCs w:val="28"/>
              </w:rPr>
              <w:br/>
              <w:t>цитоплазми</w:t>
            </w:r>
          </w:p>
          <w:p w14:paraId="39004656" w14:textId="77777777" w:rsidR="00CF641C" w:rsidRPr="00520861" w:rsidRDefault="00CF641C" w:rsidP="00292D2E">
            <w:pPr>
              <w:widowControl w:val="0"/>
              <w:spacing w:line="360" w:lineRule="auto"/>
              <w:jc w:val="center"/>
              <w:rPr>
                <w:rFonts w:cs="Times New Roman"/>
                <w:sz w:val="28"/>
                <w:szCs w:val="28"/>
              </w:rPr>
            </w:pPr>
            <w:r w:rsidRPr="00520861">
              <w:rPr>
                <w:rFonts w:cs="Times New Roman"/>
                <w:sz w:val="28"/>
                <w:szCs w:val="28"/>
                <w:lang w:val="ru-RU"/>
              </w:rPr>
              <w:t>(</w:t>
            </w:r>
            <w:r w:rsidRPr="00520861">
              <w:rPr>
                <w:rFonts w:cs="Times New Roman"/>
                <w:sz w:val="28"/>
                <w:szCs w:val="28"/>
              </w:rPr>
              <w:t>м×10</w:t>
            </w:r>
            <w:r w:rsidRPr="00520861">
              <w:rPr>
                <w:rFonts w:cs="Times New Roman"/>
                <w:sz w:val="28"/>
                <w:szCs w:val="28"/>
                <w:vertAlign w:val="superscript"/>
              </w:rPr>
              <w:t>6</w:t>
            </w:r>
            <w:r w:rsidRPr="00520861">
              <w:rPr>
                <w:rFonts w:cs="Times New Roman"/>
                <w:sz w:val="28"/>
                <w:szCs w:val="28"/>
                <w:lang w:val="ru-RU"/>
              </w:rPr>
              <w:t>)</w:t>
            </w:r>
          </w:p>
        </w:tc>
      </w:tr>
      <w:tr w:rsidR="00CF641C" w:rsidRPr="00520861" w14:paraId="4C581FEB" w14:textId="77777777" w:rsidTr="00292D2E">
        <w:tc>
          <w:tcPr>
            <w:tcW w:w="993" w:type="dxa"/>
          </w:tcPr>
          <w:p w14:paraId="71D5D365" w14:textId="77777777" w:rsidR="00CF641C" w:rsidRPr="00520861" w:rsidRDefault="00CF641C" w:rsidP="00292D2E">
            <w:pPr>
              <w:widowControl w:val="0"/>
              <w:spacing w:line="360" w:lineRule="auto"/>
              <w:rPr>
                <w:rFonts w:cs="Times New Roman"/>
                <w:sz w:val="28"/>
                <w:szCs w:val="28"/>
              </w:rPr>
            </w:pPr>
            <w:r w:rsidRPr="00520861">
              <w:rPr>
                <w:rFonts w:cs="Times New Roman"/>
                <w:sz w:val="28"/>
                <w:szCs w:val="28"/>
              </w:rPr>
              <w:t>Контроль</w:t>
            </w:r>
          </w:p>
        </w:tc>
        <w:tc>
          <w:tcPr>
            <w:tcW w:w="2268" w:type="dxa"/>
          </w:tcPr>
          <w:p w14:paraId="331BCFF7"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2034,3</w:t>
            </w:r>
          </w:p>
          <w:p w14:paraId="4D05FD63" w14:textId="77777777" w:rsidR="00CF641C" w:rsidRPr="00520861" w:rsidRDefault="00CF641C" w:rsidP="00292D2E">
            <w:pPr>
              <w:widowControl w:val="0"/>
              <w:spacing w:line="360" w:lineRule="auto"/>
              <w:ind w:right="-112" w:hanging="119"/>
              <w:jc w:val="center"/>
              <w:rPr>
                <w:rFonts w:cs="Times New Roman"/>
                <w:sz w:val="28"/>
                <w:szCs w:val="28"/>
                <w:lang w:val="en-US"/>
              </w:rPr>
            </w:pPr>
            <w:r w:rsidRPr="00520861">
              <w:rPr>
                <w:rFonts w:cs="Times New Roman"/>
                <w:sz w:val="28"/>
                <w:szCs w:val="28"/>
                <w:lang w:val="en-US"/>
              </w:rPr>
              <w:t xml:space="preserve">(2166,5; 1895,9) </w:t>
            </w:r>
          </w:p>
        </w:tc>
        <w:tc>
          <w:tcPr>
            <w:tcW w:w="2126" w:type="dxa"/>
          </w:tcPr>
          <w:p w14:paraId="79D6A3D1" w14:textId="77777777" w:rsidR="00CF641C" w:rsidRPr="00520861" w:rsidRDefault="00CF641C" w:rsidP="00292D2E">
            <w:pPr>
              <w:widowControl w:val="0"/>
              <w:spacing w:line="360" w:lineRule="auto"/>
              <w:jc w:val="center"/>
              <w:rPr>
                <w:rFonts w:cs="Times New Roman"/>
                <w:sz w:val="28"/>
                <w:szCs w:val="28"/>
              </w:rPr>
            </w:pPr>
            <w:r w:rsidRPr="00520861">
              <w:rPr>
                <w:rFonts w:cs="Times New Roman"/>
                <w:sz w:val="28"/>
                <w:szCs w:val="28"/>
              </w:rPr>
              <w:t>51,4</w:t>
            </w:r>
          </w:p>
          <w:p w14:paraId="3A57757F"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w:t>
            </w:r>
            <w:r w:rsidRPr="00520861">
              <w:rPr>
                <w:rFonts w:cs="Times New Roman"/>
                <w:sz w:val="28"/>
                <w:szCs w:val="28"/>
              </w:rPr>
              <w:t>72,4</w:t>
            </w:r>
            <w:r w:rsidRPr="00520861">
              <w:rPr>
                <w:rFonts w:cs="Times New Roman"/>
                <w:sz w:val="28"/>
                <w:szCs w:val="28"/>
                <w:lang w:val="en-US"/>
              </w:rPr>
              <w:t xml:space="preserve">; </w:t>
            </w:r>
            <w:r w:rsidRPr="00520861">
              <w:rPr>
                <w:rFonts w:cs="Times New Roman"/>
                <w:sz w:val="28"/>
                <w:szCs w:val="28"/>
              </w:rPr>
              <w:t>40,4</w:t>
            </w:r>
            <w:r w:rsidRPr="00520861">
              <w:rPr>
                <w:rFonts w:cs="Times New Roman"/>
                <w:sz w:val="28"/>
                <w:szCs w:val="28"/>
                <w:lang w:val="en-US"/>
              </w:rPr>
              <w:t>)</w:t>
            </w:r>
          </w:p>
        </w:tc>
        <w:tc>
          <w:tcPr>
            <w:tcW w:w="2551" w:type="dxa"/>
          </w:tcPr>
          <w:p w14:paraId="48436A9E"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1962,6</w:t>
            </w:r>
          </w:p>
          <w:p w14:paraId="5D5E154D" w14:textId="77777777" w:rsidR="00CF641C" w:rsidRPr="00520861" w:rsidRDefault="00CF641C" w:rsidP="00292D2E">
            <w:pPr>
              <w:widowControl w:val="0"/>
              <w:spacing w:line="360" w:lineRule="auto"/>
              <w:ind w:right="-142"/>
              <w:jc w:val="center"/>
              <w:rPr>
                <w:rFonts w:cs="Times New Roman"/>
                <w:sz w:val="28"/>
                <w:szCs w:val="28"/>
                <w:lang w:val="en-US"/>
              </w:rPr>
            </w:pPr>
            <w:r w:rsidRPr="00520861">
              <w:rPr>
                <w:rFonts w:cs="Times New Roman"/>
                <w:sz w:val="28"/>
                <w:szCs w:val="28"/>
                <w:lang w:val="en-US"/>
              </w:rPr>
              <w:t>(2101,6; 1827,8)</w:t>
            </w:r>
          </w:p>
        </w:tc>
        <w:tc>
          <w:tcPr>
            <w:tcW w:w="1843" w:type="dxa"/>
          </w:tcPr>
          <w:p w14:paraId="7D640602"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176,5</w:t>
            </w:r>
          </w:p>
          <w:p w14:paraId="01476F2B" w14:textId="77777777" w:rsidR="00CF641C" w:rsidRPr="00520861" w:rsidRDefault="00CF641C" w:rsidP="00292D2E">
            <w:pPr>
              <w:widowControl w:val="0"/>
              <w:spacing w:line="360" w:lineRule="auto"/>
              <w:ind w:left="-67" w:right="-98"/>
              <w:jc w:val="center"/>
              <w:rPr>
                <w:rFonts w:cs="Times New Roman"/>
                <w:sz w:val="28"/>
                <w:szCs w:val="28"/>
                <w:lang w:val="en-US"/>
              </w:rPr>
            </w:pPr>
            <w:r w:rsidRPr="00520861">
              <w:rPr>
                <w:rFonts w:cs="Times New Roman"/>
                <w:sz w:val="28"/>
                <w:szCs w:val="28"/>
                <w:lang w:val="en-US"/>
              </w:rPr>
              <w:t>(184,2; 168,2)</w:t>
            </w:r>
          </w:p>
        </w:tc>
        <w:tc>
          <w:tcPr>
            <w:tcW w:w="2410" w:type="dxa"/>
          </w:tcPr>
          <w:p w14:paraId="2C808297"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11,6</w:t>
            </w:r>
          </w:p>
          <w:p w14:paraId="591E96A6"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(12,2; 10,9)</w:t>
            </w:r>
          </w:p>
        </w:tc>
        <w:tc>
          <w:tcPr>
            <w:tcW w:w="2410" w:type="dxa"/>
          </w:tcPr>
          <w:p w14:paraId="058641B3"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21,7</w:t>
            </w:r>
          </w:p>
          <w:p w14:paraId="0A9334AA"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(23,6; 20,1)</w:t>
            </w:r>
          </w:p>
        </w:tc>
      </w:tr>
      <w:tr w:rsidR="00CF641C" w:rsidRPr="00520861" w14:paraId="47749391" w14:textId="77777777" w:rsidTr="00292D2E">
        <w:tc>
          <w:tcPr>
            <w:tcW w:w="993" w:type="dxa"/>
          </w:tcPr>
          <w:p w14:paraId="6BCD631E" w14:textId="77777777" w:rsidR="00CF641C" w:rsidRPr="00520861" w:rsidRDefault="00CF641C" w:rsidP="00292D2E">
            <w:pPr>
              <w:widowControl w:val="0"/>
              <w:spacing w:line="360" w:lineRule="auto"/>
              <w:rPr>
                <w:rFonts w:cs="Times New Roman"/>
                <w:sz w:val="28"/>
                <w:szCs w:val="28"/>
              </w:rPr>
            </w:pPr>
            <w:r w:rsidRPr="00520861">
              <w:rPr>
                <w:rFonts w:cs="Times New Roman"/>
                <w:sz w:val="28"/>
                <w:szCs w:val="28"/>
              </w:rPr>
              <w:t>Група 1</w:t>
            </w:r>
          </w:p>
        </w:tc>
        <w:tc>
          <w:tcPr>
            <w:tcW w:w="2268" w:type="dxa"/>
          </w:tcPr>
          <w:p w14:paraId="4160738E"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1993,5</w:t>
            </w:r>
          </w:p>
          <w:p w14:paraId="2C3DD997" w14:textId="77777777" w:rsidR="00CF641C" w:rsidRPr="00520861" w:rsidRDefault="00CF641C" w:rsidP="00292D2E">
            <w:pPr>
              <w:widowControl w:val="0"/>
              <w:spacing w:line="360" w:lineRule="auto"/>
              <w:ind w:left="-119" w:right="-112"/>
              <w:jc w:val="center"/>
              <w:rPr>
                <w:rFonts w:cs="Times New Roman"/>
                <w:sz w:val="28"/>
                <w:szCs w:val="28"/>
                <w:lang w:val="en-US"/>
              </w:rPr>
            </w:pPr>
            <w:r w:rsidRPr="00520861">
              <w:rPr>
                <w:rFonts w:cs="Times New Roman"/>
                <w:sz w:val="28"/>
                <w:szCs w:val="28"/>
                <w:lang w:val="en-US"/>
              </w:rPr>
              <w:t>(2058,7; 1773,2)</w:t>
            </w:r>
          </w:p>
        </w:tc>
        <w:tc>
          <w:tcPr>
            <w:tcW w:w="2126" w:type="dxa"/>
          </w:tcPr>
          <w:p w14:paraId="5BD148E0"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104,0</w:t>
            </w:r>
          </w:p>
          <w:p w14:paraId="06E59D1C"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(474,5; 81,1)</w:t>
            </w:r>
          </w:p>
        </w:tc>
        <w:tc>
          <w:tcPr>
            <w:tcW w:w="2551" w:type="dxa"/>
          </w:tcPr>
          <w:p w14:paraId="31C8E595"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1604,5</w:t>
            </w:r>
          </w:p>
          <w:p w14:paraId="031C57A1" w14:textId="77777777" w:rsidR="00CF641C" w:rsidRPr="00520861" w:rsidRDefault="00CF641C" w:rsidP="00292D2E">
            <w:pPr>
              <w:widowControl w:val="0"/>
              <w:spacing w:line="360" w:lineRule="auto"/>
              <w:ind w:left="-110" w:right="-142" w:hanging="284"/>
              <w:jc w:val="center"/>
              <w:rPr>
                <w:rFonts w:cs="Times New Roman"/>
                <w:sz w:val="28"/>
                <w:szCs w:val="28"/>
                <w:lang w:val="en-US"/>
              </w:rPr>
            </w:pPr>
            <w:r w:rsidRPr="00520861">
              <w:rPr>
                <w:rFonts w:cs="Times New Roman"/>
                <w:sz w:val="28"/>
                <w:szCs w:val="28"/>
                <w:lang w:val="en-US"/>
              </w:rPr>
              <w:t>(1669,3;</w:t>
            </w:r>
            <w:r w:rsidRPr="00520861">
              <w:rPr>
                <w:rFonts w:cs="Times New Roman"/>
                <w:sz w:val="28"/>
                <w:szCs w:val="28"/>
                <w:lang w:val="ru-RU"/>
              </w:rPr>
              <w:t xml:space="preserve"> </w:t>
            </w:r>
            <w:r w:rsidRPr="00520861">
              <w:rPr>
                <w:rFonts w:cs="Times New Roman"/>
                <w:sz w:val="28"/>
                <w:szCs w:val="28"/>
                <w:lang w:val="en-US"/>
              </w:rPr>
              <w:t>1525,3)</w:t>
            </w:r>
          </w:p>
        </w:tc>
        <w:tc>
          <w:tcPr>
            <w:tcW w:w="1843" w:type="dxa"/>
          </w:tcPr>
          <w:p w14:paraId="715A6E70"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174,2</w:t>
            </w:r>
          </w:p>
          <w:p w14:paraId="354BAC50" w14:textId="77777777" w:rsidR="00CF641C" w:rsidRPr="00520861" w:rsidRDefault="00CF641C" w:rsidP="00292D2E">
            <w:pPr>
              <w:widowControl w:val="0"/>
              <w:spacing w:line="360" w:lineRule="auto"/>
              <w:ind w:left="-67" w:right="-240"/>
              <w:jc w:val="center"/>
              <w:rPr>
                <w:rFonts w:cs="Times New Roman"/>
                <w:sz w:val="28"/>
                <w:szCs w:val="28"/>
                <w:lang w:val="en-US"/>
              </w:rPr>
            </w:pPr>
            <w:r w:rsidRPr="00520861">
              <w:rPr>
                <w:rFonts w:cs="Times New Roman"/>
                <w:sz w:val="28"/>
                <w:szCs w:val="28"/>
                <w:lang w:val="en-US"/>
              </w:rPr>
              <w:t>(176,3; 167,6)</w:t>
            </w:r>
          </w:p>
        </w:tc>
        <w:tc>
          <w:tcPr>
            <w:tcW w:w="2410" w:type="dxa"/>
          </w:tcPr>
          <w:p w14:paraId="331E3994"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11,85</w:t>
            </w:r>
          </w:p>
          <w:p w14:paraId="2993A54E" w14:textId="77777777" w:rsidR="00CF641C" w:rsidRPr="00520861" w:rsidRDefault="00CF641C" w:rsidP="00292D2E">
            <w:pPr>
              <w:widowControl w:val="0"/>
              <w:spacing w:line="360" w:lineRule="auto"/>
              <w:ind w:right="-54"/>
              <w:jc w:val="center"/>
              <w:rPr>
                <w:rFonts w:cs="Times New Roman"/>
                <w:sz w:val="28"/>
                <w:szCs w:val="28"/>
                <w:lang w:val="en-US"/>
              </w:rPr>
            </w:pPr>
            <w:r w:rsidRPr="00520861">
              <w:rPr>
                <w:rFonts w:cs="Times New Roman"/>
                <w:sz w:val="28"/>
                <w:szCs w:val="28"/>
                <w:lang w:val="en-US"/>
              </w:rPr>
              <w:t>(12,15; 11,39)</w:t>
            </w:r>
          </w:p>
        </w:tc>
        <w:tc>
          <w:tcPr>
            <w:tcW w:w="2410" w:type="dxa"/>
          </w:tcPr>
          <w:p w14:paraId="20396034"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15,0</w:t>
            </w:r>
            <w:r w:rsidRPr="00520861">
              <w:rPr>
                <w:rFonts w:cs="Times New Roman"/>
                <w:sz w:val="28"/>
                <w:szCs w:val="28"/>
              </w:rPr>
              <w:t>*</w:t>
            </w:r>
          </w:p>
          <w:p w14:paraId="542C6D93" w14:textId="77777777" w:rsidR="00CF641C" w:rsidRPr="00520861" w:rsidRDefault="00CF641C" w:rsidP="00292D2E">
            <w:pPr>
              <w:widowControl w:val="0"/>
              <w:spacing w:line="360" w:lineRule="auto"/>
              <w:ind w:left="-112" w:right="-106" w:hanging="110"/>
              <w:jc w:val="center"/>
              <w:rPr>
                <w:rFonts w:cs="Times New Roman"/>
                <w:sz w:val="28"/>
                <w:szCs w:val="28"/>
                <w:lang w:val="en-US"/>
              </w:rPr>
            </w:pPr>
            <w:r w:rsidRPr="00520861">
              <w:rPr>
                <w:rFonts w:cs="Times New Roman"/>
                <w:sz w:val="28"/>
                <w:szCs w:val="28"/>
                <w:lang w:val="en-US"/>
              </w:rPr>
              <w:t xml:space="preserve">(18,2; 13,4) </w:t>
            </w:r>
            <w:r w:rsidRPr="00520861">
              <w:rPr>
                <w:rFonts w:cs="Times New Roman"/>
                <w:i/>
                <w:sz w:val="28"/>
                <w:szCs w:val="28"/>
                <w:lang w:val="en-US"/>
              </w:rPr>
              <w:t>p</w:t>
            </w:r>
            <w:r w:rsidRPr="00520861">
              <w:rPr>
                <w:rFonts w:cs="Times New Roman"/>
                <w:sz w:val="28"/>
                <w:szCs w:val="28"/>
                <w:lang w:val="en-US"/>
              </w:rPr>
              <w:t>=0,037</w:t>
            </w:r>
          </w:p>
        </w:tc>
      </w:tr>
      <w:tr w:rsidR="00CF641C" w:rsidRPr="00520861" w14:paraId="09141395" w14:textId="77777777" w:rsidTr="00292D2E">
        <w:tc>
          <w:tcPr>
            <w:tcW w:w="993" w:type="dxa"/>
          </w:tcPr>
          <w:p w14:paraId="5E4E027B" w14:textId="77777777" w:rsidR="00CF641C" w:rsidRPr="00520861" w:rsidRDefault="00CF641C" w:rsidP="00292D2E">
            <w:pPr>
              <w:widowControl w:val="0"/>
              <w:spacing w:line="360" w:lineRule="auto"/>
              <w:rPr>
                <w:rFonts w:cs="Times New Roman"/>
                <w:sz w:val="28"/>
                <w:szCs w:val="28"/>
              </w:rPr>
            </w:pPr>
            <w:r w:rsidRPr="00520861">
              <w:rPr>
                <w:rFonts w:cs="Times New Roman"/>
                <w:sz w:val="28"/>
                <w:szCs w:val="28"/>
              </w:rPr>
              <w:t>Група 2</w:t>
            </w:r>
          </w:p>
        </w:tc>
        <w:tc>
          <w:tcPr>
            <w:tcW w:w="2268" w:type="dxa"/>
          </w:tcPr>
          <w:p w14:paraId="71C21C98" w14:textId="77777777" w:rsidR="00CF641C" w:rsidRPr="00520861" w:rsidRDefault="00CF641C" w:rsidP="00292D2E">
            <w:pPr>
              <w:widowControl w:val="0"/>
              <w:spacing w:line="360" w:lineRule="auto"/>
              <w:ind w:left="-303" w:firstLine="303"/>
              <w:jc w:val="center"/>
              <w:rPr>
                <w:rFonts w:cs="Times New Roman"/>
                <w:sz w:val="28"/>
                <w:szCs w:val="28"/>
                <w:lang w:val="en-US"/>
              </w:rPr>
            </w:pPr>
            <w:r w:rsidRPr="00520861">
              <w:rPr>
                <w:rFonts w:cs="Times New Roman"/>
                <w:sz w:val="28"/>
                <w:szCs w:val="28"/>
                <w:lang w:val="en-US"/>
              </w:rPr>
              <w:t>1676,5</w:t>
            </w:r>
          </w:p>
          <w:p w14:paraId="3ECFF359" w14:textId="77777777" w:rsidR="00CF641C" w:rsidRPr="00520861" w:rsidRDefault="00CF641C" w:rsidP="00292D2E">
            <w:pPr>
              <w:widowControl w:val="0"/>
              <w:spacing w:line="360" w:lineRule="auto"/>
              <w:ind w:left="-303" w:right="-45" w:firstLine="303"/>
              <w:jc w:val="center"/>
              <w:rPr>
                <w:rFonts w:cs="Times New Roman"/>
                <w:sz w:val="28"/>
                <w:szCs w:val="28"/>
                <w:lang w:val="en-US"/>
              </w:rPr>
            </w:pPr>
            <w:r w:rsidRPr="00520861">
              <w:rPr>
                <w:rFonts w:cs="Times New Roman"/>
                <w:sz w:val="28"/>
                <w:szCs w:val="28"/>
              </w:rPr>
              <w:t>(</w:t>
            </w:r>
            <w:r w:rsidRPr="00520861">
              <w:rPr>
                <w:rFonts w:cs="Times New Roman"/>
                <w:sz w:val="28"/>
                <w:szCs w:val="28"/>
                <w:lang w:val="en-US"/>
              </w:rPr>
              <w:t>2476,9; 963,9)</w:t>
            </w:r>
          </w:p>
        </w:tc>
        <w:tc>
          <w:tcPr>
            <w:tcW w:w="2126" w:type="dxa"/>
          </w:tcPr>
          <w:p w14:paraId="4AB7682F"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91,9</w:t>
            </w:r>
          </w:p>
          <w:p w14:paraId="7924BE85"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rPr>
              <w:t>(</w:t>
            </w:r>
            <w:r w:rsidRPr="00520861">
              <w:rPr>
                <w:rFonts w:cs="Times New Roman"/>
                <w:sz w:val="28"/>
                <w:szCs w:val="28"/>
                <w:lang w:val="en-US"/>
              </w:rPr>
              <w:t>124,6; 75,8)</w:t>
            </w:r>
          </w:p>
        </w:tc>
        <w:tc>
          <w:tcPr>
            <w:tcW w:w="2551" w:type="dxa"/>
          </w:tcPr>
          <w:p w14:paraId="11ADE04B"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1584,6</w:t>
            </w:r>
          </w:p>
          <w:p w14:paraId="568246FB"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(2352,3; 888,2)</w:t>
            </w:r>
          </w:p>
        </w:tc>
        <w:tc>
          <w:tcPr>
            <w:tcW w:w="1843" w:type="dxa"/>
          </w:tcPr>
          <w:p w14:paraId="5EE9EBB1"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155,4</w:t>
            </w:r>
          </w:p>
          <w:p w14:paraId="4F03BD57" w14:textId="77777777" w:rsidR="00CF641C" w:rsidRPr="00520861" w:rsidRDefault="00CF641C" w:rsidP="00292D2E">
            <w:pPr>
              <w:widowControl w:val="0"/>
              <w:spacing w:line="360" w:lineRule="auto"/>
              <w:ind w:right="-31"/>
              <w:jc w:val="center"/>
              <w:rPr>
                <w:rFonts w:cs="Times New Roman"/>
                <w:sz w:val="28"/>
                <w:szCs w:val="28"/>
                <w:lang w:val="en-US"/>
              </w:rPr>
            </w:pPr>
            <w:r w:rsidRPr="00520861">
              <w:rPr>
                <w:rFonts w:cs="Times New Roman"/>
                <w:sz w:val="28"/>
                <w:szCs w:val="28"/>
                <w:lang w:val="en-US"/>
              </w:rPr>
              <w:t>(192,6; 121,9)</w:t>
            </w:r>
          </w:p>
        </w:tc>
        <w:tc>
          <w:tcPr>
            <w:tcW w:w="2410" w:type="dxa"/>
          </w:tcPr>
          <w:p w14:paraId="5D839CDA"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9,8</w:t>
            </w:r>
          </w:p>
          <w:p w14:paraId="1D2546C4"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(11,0; 8,6)</w:t>
            </w:r>
          </w:p>
        </w:tc>
        <w:tc>
          <w:tcPr>
            <w:tcW w:w="2410" w:type="dxa"/>
          </w:tcPr>
          <w:p w14:paraId="3A189270"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17,5</w:t>
            </w:r>
          </w:p>
          <w:p w14:paraId="5BB6A63B"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(22,0; 13,0)</w:t>
            </w:r>
          </w:p>
        </w:tc>
      </w:tr>
      <w:tr w:rsidR="00CF641C" w:rsidRPr="00520861" w14:paraId="25CF3276" w14:textId="77777777" w:rsidTr="00292D2E">
        <w:tc>
          <w:tcPr>
            <w:tcW w:w="993" w:type="dxa"/>
          </w:tcPr>
          <w:p w14:paraId="623FEF0D" w14:textId="77777777" w:rsidR="00CF641C" w:rsidRPr="00520861" w:rsidRDefault="00CF641C" w:rsidP="00292D2E">
            <w:pPr>
              <w:widowControl w:val="0"/>
              <w:spacing w:line="360" w:lineRule="auto"/>
              <w:rPr>
                <w:rFonts w:cs="Times New Roman"/>
                <w:sz w:val="28"/>
                <w:szCs w:val="28"/>
              </w:rPr>
            </w:pPr>
            <w:r w:rsidRPr="00520861">
              <w:rPr>
                <w:rFonts w:cs="Times New Roman"/>
                <w:sz w:val="28"/>
                <w:szCs w:val="28"/>
              </w:rPr>
              <w:t>Група 3</w:t>
            </w:r>
          </w:p>
        </w:tc>
        <w:tc>
          <w:tcPr>
            <w:tcW w:w="2268" w:type="dxa"/>
          </w:tcPr>
          <w:p w14:paraId="49C2C134"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1333,6</w:t>
            </w:r>
            <w:r w:rsidRPr="00520861">
              <w:rPr>
                <w:rFonts w:cs="Times New Roman"/>
                <w:sz w:val="28"/>
                <w:szCs w:val="28"/>
              </w:rPr>
              <w:t>*</w:t>
            </w:r>
          </w:p>
          <w:p w14:paraId="4F7ACEEB" w14:textId="77777777" w:rsidR="00CF641C" w:rsidRPr="00520861" w:rsidRDefault="00CF641C" w:rsidP="00292D2E">
            <w:pPr>
              <w:widowControl w:val="0"/>
              <w:spacing w:line="360" w:lineRule="auto"/>
              <w:ind w:right="-111"/>
              <w:jc w:val="center"/>
              <w:rPr>
                <w:rFonts w:cs="Times New Roman"/>
                <w:sz w:val="28"/>
                <w:szCs w:val="28"/>
                <w:lang w:val="en-US"/>
              </w:rPr>
            </w:pPr>
            <w:r w:rsidRPr="00520861">
              <w:rPr>
                <w:rFonts w:cs="Times New Roman"/>
                <w:sz w:val="28"/>
                <w:szCs w:val="28"/>
                <w:lang w:val="en-US"/>
              </w:rPr>
              <w:t xml:space="preserve">(1388,4; 1207,5) </w:t>
            </w:r>
            <w:r w:rsidRPr="00520861">
              <w:rPr>
                <w:rFonts w:cs="Times New Roman"/>
                <w:i/>
                <w:sz w:val="28"/>
                <w:szCs w:val="28"/>
                <w:lang w:val="en-US"/>
              </w:rPr>
              <w:t>p</w:t>
            </w:r>
            <w:r w:rsidRPr="00520861">
              <w:rPr>
                <w:rFonts w:cs="Times New Roman"/>
                <w:sz w:val="28"/>
                <w:szCs w:val="28"/>
                <w:lang w:val="en-US"/>
              </w:rPr>
              <w:t>=0,028</w:t>
            </w:r>
          </w:p>
        </w:tc>
        <w:tc>
          <w:tcPr>
            <w:tcW w:w="2126" w:type="dxa"/>
          </w:tcPr>
          <w:p w14:paraId="3560DDD8"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0,0</w:t>
            </w:r>
          </w:p>
          <w:p w14:paraId="602B8474"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(91,1; 0,0)</w:t>
            </w:r>
          </w:p>
        </w:tc>
        <w:tc>
          <w:tcPr>
            <w:tcW w:w="2551" w:type="dxa"/>
          </w:tcPr>
          <w:p w14:paraId="00853FF2"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1333,6</w:t>
            </w:r>
            <w:r w:rsidRPr="00520861">
              <w:rPr>
                <w:rFonts w:cs="Times New Roman"/>
                <w:sz w:val="28"/>
                <w:szCs w:val="28"/>
              </w:rPr>
              <w:t>*</w:t>
            </w:r>
          </w:p>
          <w:p w14:paraId="12F2C650"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(1388,4; 1203,6) p=0,014</w:t>
            </w:r>
          </w:p>
        </w:tc>
        <w:tc>
          <w:tcPr>
            <w:tcW w:w="1843" w:type="dxa"/>
          </w:tcPr>
          <w:p w14:paraId="06AEA2AA" w14:textId="77777777" w:rsidR="00CF641C" w:rsidRPr="00520861" w:rsidRDefault="00CF641C" w:rsidP="00292D2E">
            <w:pPr>
              <w:widowControl w:val="0"/>
              <w:spacing w:line="360" w:lineRule="auto"/>
              <w:jc w:val="center"/>
              <w:rPr>
                <w:rFonts w:cs="Times New Roman"/>
                <w:sz w:val="28"/>
                <w:szCs w:val="28"/>
                <w:u w:val="single"/>
                <w:lang w:val="en-US"/>
              </w:rPr>
            </w:pPr>
            <w:r w:rsidRPr="00520861">
              <w:rPr>
                <w:rFonts w:cs="Times New Roman"/>
                <w:sz w:val="28"/>
                <w:szCs w:val="28"/>
                <w:lang w:val="en-US"/>
              </w:rPr>
              <w:t>138,4</w:t>
            </w:r>
            <w:r w:rsidRPr="00520861">
              <w:rPr>
                <w:rFonts w:cs="Times New Roman"/>
                <w:sz w:val="28"/>
                <w:szCs w:val="28"/>
              </w:rPr>
              <w:t>*</w:t>
            </w:r>
          </w:p>
          <w:p w14:paraId="74A30A31"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(146,2; 136,8) p=0,028</w:t>
            </w:r>
          </w:p>
        </w:tc>
        <w:tc>
          <w:tcPr>
            <w:tcW w:w="2410" w:type="dxa"/>
          </w:tcPr>
          <w:p w14:paraId="2DCAE55D"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11,3</w:t>
            </w:r>
          </w:p>
          <w:p w14:paraId="5BCDDDB3"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(11,3; 11,1)</w:t>
            </w:r>
          </w:p>
        </w:tc>
        <w:tc>
          <w:tcPr>
            <w:tcW w:w="2410" w:type="dxa"/>
          </w:tcPr>
          <w:p w14:paraId="03BF0FB8"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19,4</w:t>
            </w:r>
          </w:p>
          <w:p w14:paraId="53CACAB4"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(20,5; 15,9)</w:t>
            </w:r>
          </w:p>
        </w:tc>
      </w:tr>
      <w:tr w:rsidR="00CF641C" w:rsidRPr="00520861" w14:paraId="1B84B05F" w14:textId="77777777" w:rsidTr="00292D2E">
        <w:tc>
          <w:tcPr>
            <w:tcW w:w="993" w:type="dxa"/>
          </w:tcPr>
          <w:p w14:paraId="18CF8EE5" w14:textId="77777777" w:rsidR="00CF641C" w:rsidRPr="00520861" w:rsidRDefault="00CF641C" w:rsidP="00292D2E">
            <w:pPr>
              <w:widowControl w:val="0"/>
              <w:spacing w:line="360" w:lineRule="auto"/>
              <w:rPr>
                <w:rFonts w:cs="Times New Roman"/>
                <w:sz w:val="28"/>
                <w:szCs w:val="28"/>
              </w:rPr>
            </w:pPr>
            <w:r w:rsidRPr="00520861">
              <w:rPr>
                <w:rFonts w:cs="Times New Roman"/>
                <w:sz w:val="28"/>
                <w:szCs w:val="28"/>
              </w:rPr>
              <w:t>Група 4</w:t>
            </w:r>
          </w:p>
        </w:tc>
        <w:tc>
          <w:tcPr>
            <w:tcW w:w="2268" w:type="dxa"/>
          </w:tcPr>
          <w:p w14:paraId="6DA9993E"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1480,4</w:t>
            </w:r>
          </w:p>
          <w:p w14:paraId="1E68C641" w14:textId="77777777" w:rsidR="00CF641C" w:rsidRPr="00520861" w:rsidRDefault="00CF641C" w:rsidP="00292D2E">
            <w:pPr>
              <w:widowControl w:val="0"/>
              <w:spacing w:line="360" w:lineRule="auto"/>
              <w:ind w:left="-119" w:right="-45"/>
              <w:jc w:val="center"/>
              <w:rPr>
                <w:rFonts w:cs="Times New Roman"/>
                <w:sz w:val="28"/>
                <w:szCs w:val="28"/>
                <w:lang w:val="en-US"/>
              </w:rPr>
            </w:pPr>
            <w:r w:rsidRPr="00520861">
              <w:rPr>
                <w:rFonts w:cs="Times New Roman"/>
                <w:sz w:val="28"/>
                <w:szCs w:val="28"/>
                <w:lang w:val="en-US"/>
              </w:rPr>
              <w:t>(1734,8; 1320,6)</w:t>
            </w:r>
          </w:p>
        </w:tc>
        <w:tc>
          <w:tcPr>
            <w:tcW w:w="2126" w:type="dxa"/>
          </w:tcPr>
          <w:p w14:paraId="348A604A"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6,4</w:t>
            </w:r>
            <w:r w:rsidRPr="00520861">
              <w:rPr>
                <w:rFonts w:cs="Times New Roman"/>
                <w:sz w:val="28"/>
                <w:szCs w:val="28"/>
              </w:rPr>
              <w:t>*</w:t>
            </w:r>
          </w:p>
          <w:p w14:paraId="3B9CC4F5" w14:textId="77777777" w:rsidR="00CF641C" w:rsidRPr="00520861" w:rsidRDefault="00CF641C" w:rsidP="00292D2E">
            <w:pPr>
              <w:widowControl w:val="0"/>
              <w:spacing w:line="360" w:lineRule="auto"/>
              <w:ind w:right="-255" w:hanging="247"/>
              <w:jc w:val="center"/>
              <w:rPr>
                <w:rFonts w:cs="Times New Roman"/>
                <w:sz w:val="28"/>
                <w:szCs w:val="28"/>
                <w:lang w:val="en-US"/>
              </w:rPr>
            </w:pPr>
            <w:r w:rsidRPr="00520861">
              <w:rPr>
                <w:rFonts w:cs="Times New Roman"/>
                <w:sz w:val="28"/>
                <w:szCs w:val="28"/>
                <w:lang w:val="en-US"/>
              </w:rPr>
              <w:t>(19,5; 0,0) p=0,014</w:t>
            </w:r>
          </w:p>
        </w:tc>
        <w:tc>
          <w:tcPr>
            <w:tcW w:w="2551" w:type="dxa"/>
          </w:tcPr>
          <w:p w14:paraId="083CCF30"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1480,4</w:t>
            </w:r>
          </w:p>
          <w:p w14:paraId="1FE5124C" w14:textId="77777777" w:rsidR="00CF641C" w:rsidRPr="00520861" w:rsidRDefault="00CF641C" w:rsidP="00292D2E">
            <w:pPr>
              <w:widowControl w:val="0"/>
              <w:spacing w:line="360" w:lineRule="auto"/>
              <w:ind w:left="-156" w:right="-142"/>
              <w:jc w:val="center"/>
              <w:rPr>
                <w:rFonts w:cs="Times New Roman"/>
                <w:sz w:val="28"/>
                <w:szCs w:val="28"/>
                <w:lang w:val="en-US"/>
              </w:rPr>
            </w:pPr>
            <w:r w:rsidRPr="00520861">
              <w:rPr>
                <w:rFonts w:cs="Times New Roman"/>
                <w:sz w:val="28"/>
                <w:szCs w:val="28"/>
                <w:lang w:val="en-US"/>
              </w:rPr>
              <w:t>(1697,4; 1314,2)</w:t>
            </w:r>
          </w:p>
        </w:tc>
        <w:tc>
          <w:tcPr>
            <w:tcW w:w="1843" w:type="dxa"/>
          </w:tcPr>
          <w:p w14:paraId="31FBA761"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145,2</w:t>
            </w:r>
          </w:p>
          <w:p w14:paraId="1E510FCE" w14:textId="77777777" w:rsidR="00CF641C" w:rsidRPr="00520861" w:rsidRDefault="00CF641C" w:rsidP="00292D2E">
            <w:pPr>
              <w:widowControl w:val="0"/>
              <w:spacing w:line="360" w:lineRule="auto"/>
              <w:ind w:left="-67" w:right="-98" w:hanging="67"/>
              <w:jc w:val="center"/>
              <w:rPr>
                <w:rFonts w:cs="Times New Roman"/>
                <w:sz w:val="28"/>
                <w:szCs w:val="28"/>
                <w:lang w:val="en-US"/>
              </w:rPr>
            </w:pPr>
            <w:r w:rsidRPr="00520861">
              <w:rPr>
                <w:rFonts w:cs="Times New Roman"/>
                <w:sz w:val="28"/>
                <w:szCs w:val="28"/>
                <w:lang w:val="en-US"/>
              </w:rPr>
              <w:t>(159,7; 138,5)</w:t>
            </w:r>
          </w:p>
        </w:tc>
        <w:tc>
          <w:tcPr>
            <w:tcW w:w="2410" w:type="dxa"/>
          </w:tcPr>
          <w:p w14:paraId="26D803F7"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10,2</w:t>
            </w:r>
            <w:r w:rsidRPr="00520861">
              <w:rPr>
                <w:rFonts w:cs="Times New Roman"/>
                <w:sz w:val="28"/>
                <w:szCs w:val="28"/>
              </w:rPr>
              <w:t>*</w:t>
            </w:r>
          </w:p>
          <w:p w14:paraId="481CE210" w14:textId="77777777" w:rsidR="00CF641C" w:rsidRPr="00520861" w:rsidRDefault="00CF641C" w:rsidP="00292D2E">
            <w:pPr>
              <w:widowControl w:val="0"/>
              <w:spacing w:line="360" w:lineRule="auto"/>
              <w:ind w:left="-103" w:right="-114" w:hanging="111"/>
              <w:jc w:val="center"/>
              <w:rPr>
                <w:rFonts w:cs="Times New Roman"/>
                <w:sz w:val="28"/>
                <w:szCs w:val="28"/>
                <w:lang w:val="en-US"/>
              </w:rPr>
            </w:pPr>
            <w:r w:rsidRPr="00520861">
              <w:rPr>
                <w:rFonts w:cs="Times New Roman"/>
                <w:sz w:val="28"/>
                <w:szCs w:val="28"/>
                <w:lang w:val="en-US"/>
              </w:rPr>
              <w:t>(10,4; 10,1)</w:t>
            </w:r>
            <w:r w:rsidRPr="00520861">
              <w:rPr>
                <w:rFonts w:cs="Times New Roman"/>
                <w:sz w:val="28"/>
                <w:szCs w:val="28"/>
                <w:lang w:val="ru-RU"/>
              </w:rPr>
              <w:t xml:space="preserve"> </w:t>
            </w:r>
            <w:r w:rsidRPr="00520861">
              <w:rPr>
                <w:rFonts w:cs="Times New Roman"/>
                <w:i/>
                <w:sz w:val="28"/>
                <w:szCs w:val="28"/>
                <w:lang w:val="en-US"/>
              </w:rPr>
              <w:t>p</w:t>
            </w:r>
            <w:r w:rsidRPr="00520861">
              <w:rPr>
                <w:rFonts w:cs="Times New Roman"/>
                <w:sz w:val="28"/>
                <w:szCs w:val="28"/>
                <w:lang w:val="en-US"/>
              </w:rPr>
              <w:t>=0,050</w:t>
            </w:r>
          </w:p>
        </w:tc>
        <w:tc>
          <w:tcPr>
            <w:tcW w:w="2410" w:type="dxa"/>
          </w:tcPr>
          <w:p w14:paraId="171956A8" w14:textId="77777777" w:rsidR="00CF641C" w:rsidRPr="00520861" w:rsidRDefault="00CF641C" w:rsidP="00292D2E">
            <w:pPr>
              <w:widowControl w:val="0"/>
              <w:spacing w:line="360" w:lineRule="auto"/>
              <w:jc w:val="center"/>
              <w:rPr>
                <w:rFonts w:cs="Times New Roman"/>
                <w:sz w:val="28"/>
                <w:szCs w:val="28"/>
                <w:lang w:val="ru-RU"/>
              </w:rPr>
            </w:pPr>
            <w:r w:rsidRPr="00520861">
              <w:rPr>
                <w:rFonts w:cs="Times New Roman"/>
                <w:sz w:val="28"/>
                <w:szCs w:val="28"/>
                <w:lang w:val="ru-RU"/>
              </w:rPr>
              <w:t>20,4</w:t>
            </w:r>
          </w:p>
          <w:p w14:paraId="421E3283" w14:textId="77777777" w:rsidR="00CF641C" w:rsidRPr="00520861" w:rsidRDefault="00CF641C" w:rsidP="00292D2E">
            <w:pPr>
              <w:widowControl w:val="0"/>
              <w:spacing w:line="360" w:lineRule="auto"/>
              <w:jc w:val="center"/>
              <w:rPr>
                <w:rFonts w:cs="Times New Roman"/>
                <w:sz w:val="28"/>
                <w:szCs w:val="28"/>
                <w:lang w:val="en-US"/>
              </w:rPr>
            </w:pPr>
            <w:r w:rsidRPr="00520861">
              <w:rPr>
                <w:rFonts w:cs="Times New Roman"/>
                <w:sz w:val="28"/>
                <w:szCs w:val="28"/>
                <w:lang w:val="en-US"/>
              </w:rPr>
              <w:t>(</w:t>
            </w:r>
            <w:r w:rsidRPr="00520861">
              <w:rPr>
                <w:rFonts w:cs="Times New Roman"/>
                <w:sz w:val="28"/>
                <w:szCs w:val="28"/>
                <w:lang w:val="ru-RU"/>
              </w:rPr>
              <w:t>21,3</w:t>
            </w:r>
            <w:r w:rsidRPr="00520861">
              <w:rPr>
                <w:rFonts w:cs="Times New Roman"/>
                <w:sz w:val="28"/>
                <w:szCs w:val="28"/>
                <w:lang w:val="en-US"/>
              </w:rPr>
              <w:t xml:space="preserve">; </w:t>
            </w:r>
            <w:r w:rsidRPr="00520861">
              <w:rPr>
                <w:rFonts w:cs="Times New Roman"/>
                <w:sz w:val="28"/>
                <w:szCs w:val="28"/>
                <w:lang w:val="ru-RU"/>
              </w:rPr>
              <w:t>19,6</w:t>
            </w:r>
            <w:r w:rsidRPr="00520861">
              <w:rPr>
                <w:rFonts w:cs="Times New Roman"/>
                <w:sz w:val="28"/>
                <w:szCs w:val="28"/>
                <w:lang w:val="en-US"/>
              </w:rPr>
              <w:t>)</w:t>
            </w:r>
          </w:p>
        </w:tc>
      </w:tr>
    </w:tbl>
    <w:p w14:paraId="4C6EEBC0" w14:textId="77777777" w:rsidR="00CF641C" w:rsidRPr="00520861" w:rsidRDefault="00CF641C" w:rsidP="00292D2E">
      <w:pPr>
        <w:widowControl w:val="0"/>
        <w:spacing w:line="360" w:lineRule="auto"/>
        <w:ind w:firstLine="708"/>
        <w:jc w:val="both"/>
        <w:rPr>
          <w:rFonts w:eastAsia="Calibri"/>
          <w:sz w:val="28"/>
          <w:szCs w:val="28"/>
          <w:lang w:eastAsia="en-US"/>
        </w:rPr>
        <w:sectPr w:rsidR="00CF641C" w:rsidRPr="00520861" w:rsidSect="00292D2E">
          <w:pgSz w:w="16838" w:h="11906" w:orient="landscape"/>
          <w:pgMar w:top="1134" w:right="624" w:bottom="1134" w:left="1134" w:header="709" w:footer="709" w:gutter="0"/>
          <w:cols w:space="708"/>
          <w:docGrid w:linePitch="360"/>
        </w:sect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56570A47" w14:textId="77777777" w:rsidR="00CF641C" w:rsidRPr="00520861" w:rsidRDefault="00CF641C" w:rsidP="00292D2E">
      <w:pPr>
        <w:widowControl w:val="0"/>
        <w:autoSpaceDE w:val="0"/>
        <w:autoSpaceDN w:val="0"/>
        <w:adjustRightInd w:val="0"/>
        <w:spacing w:line="360"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72FF6BE2" wp14:editId="4BDAA6FA">
            <wp:extent cx="5819749" cy="6981825"/>
            <wp:effectExtent l="0" t="0" r="0" b="0"/>
            <wp:docPr id="42" name="Рисунок 42" descr="D:\тер стом\научн работа 1\дд друк\ на защиту\Маша\Рис\Рис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тер стом\научн работа 1\дд друк\ на защиту\Маша\Рис\Рис3.24.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820962" cy="6983280"/>
                    </a:xfrm>
                    <a:prstGeom prst="rect">
                      <a:avLst/>
                    </a:prstGeom>
                    <a:noFill/>
                    <a:ln>
                      <a:noFill/>
                    </a:ln>
                  </pic:spPr>
                </pic:pic>
              </a:graphicData>
            </a:graphic>
          </wp:inline>
        </w:drawing>
      </w:r>
    </w:p>
    <w:p w14:paraId="6432245A" w14:textId="77777777" w:rsidR="00CF641C" w:rsidRPr="00520861" w:rsidRDefault="00CF641C" w:rsidP="00292D2E">
      <w:pPr>
        <w:widowControl w:val="0"/>
        <w:autoSpaceDE w:val="0"/>
        <w:autoSpaceDN w:val="0"/>
        <w:adjustRightInd w:val="0"/>
        <w:spacing w:line="360" w:lineRule="auto"/>
        <w:ind w:firstLine="708"/>
        <w:jc w:val="center"/>
        <w:rPr>
          <w:rFonts w:eastAsiaTheme="minorHAnsi"/>
          <w:bCs/>
          <w:sz w:val="28"/>
          <w:szCs w:val="28"/>
          <w:lang w:eastAsia="en-US"/>
        </w:rPr>
      </w:pPr>
      <w:r w:rsidRPr="00520861">
        <w:rPr>
          <w:rFonts w:eastAsia="Calibri"/>
          <w:sz w:val="28"/>
          <w:szCs w:val="28"/>
          <w:lang w:eastAsia="en-US"/>
        </w:rPr>
        <w:t xml:space="preserve">Рис. 3.22. Ділянки малої щічної слинної залози 6-місячних щурів: </w:t>
      </w:r>
      <w:r w:rsidRPr="00520861">
        <w:rPr>
          <w:rFonts w:eastAsia="Calibri"/>
          <w:i/>
          <w:sz w:val="28"/>
          <w:szCs w:val="28"/>
          <w:lang w:eastAsia="en-US"/>
        </w:rPr>
        <w:t>а</w:t>
      </w:r>
      <w:r w:rsidRPr="00520861">
        <w:rPr>
          <w:rFonts w:eastAsia="Calibri"/>
          <w:sz w:val="28"/>
          <w:szCs w:val="28"/>
          <w:lang w:eastAsia="en-US"/>
        </w:rPr>
        <w:t xml:space="preserve">) – групи контролю (максимальна </w:t>
      </w:r>
      <w:proofErr w:type="spellStart"/>
      <w:r w:rsidRPr="00520861">
        <w:rPr>
          <w:rFonts w:eastAsia="Calibri"/>
          <w:sz w:val="28"/>
          <w:szCs w:val="28"/>
          <w:lang w:eastAsia="en-US"/>
        </w:rPr>
        <w:t>проєкція</w:t>
      </w:r>
      <w:proofErr w:type="spellEnd"/>
      <w:r w:rsidRPr="00520861">
        <w:rPr>
          <w:rFonts w:eastAsia="Calibri"/>
          <w:sz w:val="28"/>
          <w:szCs w:val="28"/>
          <w:lang w:eastAsia="en-US"/>
        </w:rPr>
        <w:t xml:space="preserve"> з кольоровим кодуванням глибини, 47 оптичних зрізів, розмір 276,79</w:t>
      </w:r>
      <w:r w:rsidRPr="00520861">
        <w:rPr>
          <w:sz w:val="28"/>
          <w:szCs w:val="28"/>
        </w:rPr>
        <w:sym w:font="Symbol" w:char="F0B4"/>
      </w:r>
      <w:r w:rsidRPr="00520861">
        <w:rPr>
          <w:rFonts w:eastAsia="Calibri"/>
          <w:sz w:val="28"/>
          <w:szCs w:val="28"/>
          <w:lang w:eastAsia="en-US"/>
        </w:rPr>
        <w:t>276,79</w:t>
      </w:r>
      <w:r w:rsidRPr="00520861">
        <w:rPr>
          <w:sz w:val="28"/>
          <w:szCs w:val="28"/>
        </w:rPr>
        <w:sym w:font="Symbol" w:char="F0B4"/>
      </w:r>
      <w:r w:rsidRPr="00520861">
        <w:rPr>
          <w:rFonts w:eastAsia="Calibri"/>
          <w:sz w:val="28"/>
          <w:szCs w:val="28"/>
          <w:lang w:eastAsia="en-US"/>
        </w:rPr>
        <w:t xml:space="preserve">32,2 </w:t>
      </w:r>
      <w:r w:rsidRPr="00520861">
        <w:rPr>
          <w:sz w:val="28"/>
          <w:szCs w:val="28"/>
        </w:rPr>
        <w:t>(м×10</w:t>
      </w:r>
      <w:r w:rsidRPr="00520861">
        <w:rPr>
          <w:sz w:val="28"/>
          <w:szCs w:val="28"/>
          <w:vertAlign w:val="superscript"/>
        </w:rPr>
        <w:t>6</w:t>
      </w:r>
      <w:r w:rsidRPr="00520861">
        <w:rPr>
          <w:sz w:val="28"/>
          <w:szCs w:val="28"/>
        </w:rPr>
        <w:t>)</w:t>
      </w:r>
      <w:r w:rsidRPr="00520861">
        <w:rPr>
          <w:rFonts w:eastAsia="Calibri"/>
          <w:sz w:val="28"/>
          <w:szCs w:val="28"/>
          <w:lang w:eastAsia="en-US"/>
        </w:rPr>
        <w:t xml:space="preserve">); </w:t>
      </w:r>
      <w:r w:rsidRPr="00520861">
        <w:rPr>
          <w:rFonts w:eastAsia="Calibri"/>
          <w:i/>
          <w:sz w:val="28"/>
          <w:szCs w:val="28"/>
          <w:lang w:eastAsia="en-US"/>
        </w:rPr>
        <w:t>б</w:t>
      </w:r>
      <w:r w:rsidRPr="00520861">
        <w:rPr>
          <w:rFonts w:eastAsia="Calibri"/>
          <w:sz w:val="28"/>
          <w:szCs w:val="28"/>
          <w:lang w:eastAsia="en-US"/>
        </w:rPr>
        <w:t>)</w:t>
      </w:r>
      <w:r w:rsidRPr="00520861">
        <w:rPr>
          <w:sz w:val="28"/>
          <w:szCs w:val="28"/>
        </w:rPr>
        <w:t xml:space="preserve"> – групи 2 (максимальна </w:t>
      </w:r>
      <w:proofErr w:type="spellStart"/>
      <w:r w:rsidRPr="00520861">
        <w:rPr>
          <w:sz w:val="28"/>
          <w:szCs w:val="28"/>
        </w:rPr>
        <w:t>проєкція</w:t>
      </w:r>
      <w:proofErr w:type="spellEnd"/>
      <w:r w:rsidRPr="00520861">
        <w:rPr>
          <w:sz w:val="28"/>
          <w:szCs w:val="28"/>
        </w:rPr>
        <w:t xml:space="preserve"> з </w:t>
      </w:r>
      <w:r w:rsidR="00645ADA" w:rsidRPr="00520861">
        <w:rPr>
          <w:sz w:val="28"/>
          <w:szCs w:val="28"/>
        </w:rPr>
        <w:br/>
      </w:r>
      <w:r w:rsidRPr="00520861">
        <w:rPr>
          <w:sz w:val="28"/>
          <w:szCs w:val="28"/>
        </w:rPr>
        <w:t xml:space="preserve">кольоровим кодуванням глибини, 53 оптичні зрізи, </w:t>
      </w:r>
      <w:r w:rsidRPr="00520861">
        <w:rPr>
          <w:rFonts w:eastAsia="Calibri"/>
          <w:sz w:val="28"/>
          <w:szCs w:val="28"/>
          <w:lang w:eastAsia="en-US"/>
        </w:rPr>
        <w:t>розмір</w:t>
      </w:r>
      <w:r w:rsidRPr="00520861">
        <w:rPr>
          <w:sz w:val="28"/>
          <w:szCs w:val="28"/>
        </w:rPr>
        <w:t xml:space="preserve"> 276,79</w:t>
      </w:r>
      <w:r w:rsidRPr="00520861">
        <w:rPr>
          <w:sz w:val="28"/>
          <w:szCs w:val="28"/>
        </w:rPr>
        <w:sym w:font="Symbol" w:char="F0B4"/>
      </w:r>
      <w:r w:rsidRPr="00520861">
        <w:rPr>
          <w:sz w:val="28"/>
          <w:szCs w:val="28"/>
        </w:rPr>
        <w:t>276,79</w:t>
      </w:r>
      <w:r w:rsidRPr="00520861">
        <w:rPr>
          <w:sz w:val="28"/>
          <w:szCs w:val="28"/>
        </w:rPr>
        <w:sym w:font="Symbol" w:char="F0B4"/>
      </w:r>
      <w:r w:rsidRPr="00520861">
        <w:rPr>
          <w:sz w:val="28"/>
          <w:szCs w:val="28"/>
        </w:rPr>
        <w:t>36,4 (м×10</w:t>
      </w:r>
      <w:r w:rsidRPr="00520861">
        <w:rPr>
          <w:sz w:val="28"/>
          <w:szCs w:val="28"/>
          <w:vertAlign w:val="superscript"/>
        </w:rPr>
        <w:t>6</w:t>
      </w:r>
      <w:r w:rsidRPr="00520861">
        <w:rPr>
          <w:sz w:val="28"/>
          <w:szCs w:val="28"/>
        </w:rPr>
        <w:t xml:space="preserve">)); </w:t>
      </w:r>
      <w:r w:rsidRPr="00520861">
        <w:rPr>
          <w:i/>
          <w:sz w:val="28"/>
          <w:szCs w:val="28"/>
        </w:rPr>
        <w:t>в</w:t>
      </w:r>
      <w:r w:rsidRPr="00520861">
        <w:rPr>
          <w:sz w:val="28"/>
          <w:szCs w:val="28"/>
        </w:rPr>
        <w:t xml:space="preserve">) – групи 4 (максимальна </w:t>
      </w:r>
      <w:proofErr w:type="spellStart"/>
      <w:r w:rsidRPr="00520861">
        <w:rPr>
          <w:sz w:val="28"/>
          <w:szCs w:val="28"/>
        </w:rPr>
        <w:t>проєкція</w:t>
      </w:r>
      <w:proofErr w:type="spellEnd"/>
      <w:r w:rsidRPr="00520861">
        <w:rPr>
          <w:sz w:val="28"/>
          <w:szCs w:val="28"/>
        </w:rPr>
        <w:t xml:space="preserve"> з кольоровим кодуванням глибини, 33 оптичні зрізи, </w:t>
      </w:r>
      <w:r w:rsidRPr="00520861">
        <w:rPr>
          <w:rFonts w:eastAsia="Calibri"/>
          <w:sz w:val="28"/>
          <w:szCs w:val="28"/>
          <w:lang w:eastAsia="en-US"/>
        </w:rPr>
        <w:t>розмір</w:t>
      </w:r>
      <w:r w:rsidRPr="00520861">
        <w:rPr>
          <w:sz w:val="28"/>
          <w:szCs w:val="28"/>
        </w:rPr>
        <w:t xml:space="preserve"> 276,79</w:t>
      </w:r>
      <w:r w:rsidRPr="00520861">
        <w:rPr>
          <w:sz w:val="28"/>
          <w:szCs w:val="28"/>
        </w:rPr>
        <w:sym w:font="Symbol" w:char="F0B4"/>
      </w:r>
      <w:r w:rsidRPr="00520861">
        <w:rPr>
          <w:sz w:val="28"/>
          <w:szCs w:val="28"/>
        </w:rPr>
        <w:t>276,79</w:t>
      </w:r>
      <w:r w:rsidRPr="00520861">
        <w:rPr>
          <w:sz w:val="28"/>
          <w:szCs w:val="28"/>
        </w:rPr>
        <w:sym w:font="Symbol" w:char="F0B4"/>
      </w:r>
      <w:r w:rsidRPr="00520861">
        <w:rPr>
          <w:sz w:val="28"/>
          <w:szCs w:val="28"/>
        </w:rPr>
        <w:t>22,4 (м×10</w:t>
      </w:r>
      <w:r w:rsidRPr="00520861">
        <w:rPr>
          <w:sz w:val="28"/>
          <w:szCs w:val="28"/>
          <w:vertAlign w:val="superscript"/>
        </w:rPr>
        <w:t>6</w:t>
      </w:r>
      <w:r w:rsidRPr="00520861">
        <w:rPr>
          <w:sz w:val="28"/>
          <w:szCs w:val="28"/>
        </w:rPr>
        <w:t xml:space="preserve">)). </w:t>
      </w:r>
      <w:r w:rsidRPr="00520861">
        <w:rPr>
          <w:sz w:val="28"/>
          <w:szCs w:val="28"/>
        </w:rPr>
        <w:br/>
        <w:t>Забарвлення гематоксиліном і еозином</w:t>
      </w:r>
      <w:r w:rsidRPr="00520861">
        <w:rPr>
          <w:bCs/>
          <w:sz w:val="28"/>
          <w:szCs w:val="28"/>
        </w:rPr>
        <w:t>, о</w:t>
      </w:r>
      <w:r w:rsidRPr="00520861">
        <w:rPr>
          <w:sz w:val="28"/>
          <w:szCs w:val="28"/>
        </w:rPr>
        <w:t>б’єктив ACS APO 40</w:t>
      </w:r>
      <w:r w:rsidRPr="00520861">
        <w:rPr>
          <w:sz w:val="28"/>
          <w:szCs w:val="28"/>
        </w:rPr>
        <w:sym w:font="Symbol" w:char="F0B4"/>
      </w:r>
      <w:r w:rsidRPr="00520861">
        <w:rPr>
          <w:sz w:val="28"/>
          <w:szCs w:val="28"/>
        </w:rPr>
        <w:t xml:space="preserve">1.15 </w:t>
      </w:r>
      <w:proofErr w:type="spellStart"/>
      <w:r w:rsidRPr="00520861">
        <w:rPr>
          <w:sz w:val="28"/>
          <w:szCs w:val="28"/>
        </w:rPr>
        <w:t>Oil</w:t>
      </w:r>
      <w:proofErr w:type="spellEnd"/>
      <w:r w:rsidRPr="00520861">
        <w:rPr>
          <w:sz w:val="28"/>
          <w:szCs w:val="28"/>
        </w:rPr>
        <w:t xml:space="preserve"> CS </w:t>
      </w:r>
      <w:r w:rsidRPr="00520861">
        <w:rPr>
          <w:sz w:val="28"/>
          <w:szCs w:val="28"/>
        </w:rPr>
        <w:sym w:font="Symbol" w:char="F0A5"/>
      </w:r>
      <w:r w:rsidRPr="00520861">
        <w:rPr>
          <w:sz w:val="28"/>
          <w:szCs w:val="28"/>
        </w:rPr>
        <w:t>.</w:t>
      </w:r>
    </w:p>
    <w:p w14:paraId="72A97360" w14:textId="77777777" w:rsidR="00CF641C" w:rsidRPr="00520861" w:rsidRDefault="00CF641C" w:rsidP="00292D2E">
      <w:pPr>
        <w:widowControl w:val="0"/>
        <w:autoSpaceDE w:val="0"/>
        <w:autoSpaceDN w:val="0"/>
        <w:adjustRightInd w:val="0"/>
        <w:spacing w:line="360" w:lineRule="auto"/>
        <w:ind w:firstLine="708"/>
        <w:jc w:val="both"/>
        <w:rPr>
          <w:rFonts w:eastAsiaTheme="minorHAnsi"/>
          <w:sz w:val="28"/>
          <w:szCs w:val="28"/>
          <w:lang w:eastAsia="en-US"/>
        </w:rPr>
      </w:pPr>
      <w:r w:rsidRPr="00520861">
        <w:rPr>
          <w:rFonts w:eastAsiaTheme="minorHAnsi"/>
          <w:bCs/>
          <w:sz w:val="28"/>
          <w:szCs w:val="28"/>
          <w:lang w:eastAsia="en-US"/>
        </w:rPr>
        <w:lastRenderedPageBreak/>
        <w:t xml:space="preserve">Значення математичного очікування середньої площі поперечного перерізу </w:t>
      </w:r>
      <w:proofErr w:type="spellStart"/>
      <w:r w:rsidRPr="00520861">
        <w:rPr>
          <w:rFonts w:eastAsiaTheme="minorHAnsi"/>
          <w:bCs/>
          <w:sz w:val="28"/>
          <w:szCs w:val="28"/>
          <w:lang w:eastAsia="en-US"/>
        </w:rPr>
        <w:t>ацинусу</w:t>
      </w:r>
      <w:proofErr w:type="spellEnd"/>
      <w:r w:rsidRPr="00520861">
        <w:rPr>
          <w:rFonts w:eastAsiaTheme="minorHAnsi"/>
          <w:bCs/>
          <w:sz w:val="28"/>
          <w:szCs w:val="28"/>
          <w:lang w:eastAsia="en-US"/>
        </w:rPr>
        <w:t xml:space="preserve"> слинної залози у групах 1 та 2 зіставне з таким у групі контролю.</w:t>
      </w:r>
      <w:r w:rsidRPr="00520861">
        <w:rPr>
          <w:rFonts w:eastAsiaTheme="minorHAnsi"/>
          <w:sz w:val="28"/>
          <w:szCs w:val="28"/>
          <w:lang w:eastAsia="en-US"/>
        </w:rPr>
        <w:t xml:space="preserve"> Водночас у групі 3 воно вірогідне, а у групі 4 – </w:t>
      </w:r>
      <w:proofErr w:type="spellStart"/>
      <w:r w:rsidRPr="00520861">
        <w:rPr>
          <w:rFonts w:eastAsiaTheme="minorHAnsi"/>
          <w:sz w:val="28"/>
          <w:szCs w:val="28"/>
          <w:lang w:eastAsia="en-US"/>
        </w:rPr>
        <w:t>невірогідно</w:t>
      </w:r>
      <w:proofErr w:type="spellEnd"/>
      <w:r w:rsidRPr="00520861">
        <w:rPr>
          <w:rFonts w:eastAsiaTheme="minorHAnsi"/>
          <w:sz w:val="28"/>
          <w:szCs w:val="28"/>
          <w:lang w:eastAsia="en-US"/>
        </w:rPr>
        <w:t xml:space="preserve"> менше, порівняно з контролем</w:t>
      </w:r>
      <w:r w:rsidRPr="00520861">
        <w:rPr>
          <w:rFonts w:eastAsiaTheme="minorHAnsi"/>
          <w:sz w:val="28"/>
          <w:szCs w:val="28"/>
          <w:lang w:val="ru-RU" w:eastAsia="en-US"/>
        </w:rPr>
        <w:t xml:space="preserve"> [323]</w:t>
      </w:r>
      <w:r w:rsidRPr="00520861">
        <w:rPr>
          <w:rFonts w:eastAsiaTheme="minorHAnsi"/>
          <w:sz w:val="28"/>
          <w:szCs w:val="28"/>
          <w:lang w:eastAsia="en-US"/>
        </w:rPr>
        <w:t xml:space="preserve">. Середнє значення площі просвіту </w:t>
      </w:r>
      <w:proofErr w:type="spellStart"/>
      <w:r w:rsidRPr="00520861">
        <w:rPr>
          <w:rFonts w:eastAsiaTheme="minorHAnsi"/>
          <w:sz w:val="28"/>
          <w:szCs w:val="28"/>
          <w:lang w:eastAsia="en-US"/>
        </w:rPr>
        <w:t>ацинуса</w:t>
      </w:r>
      <w:proofErr w:type="spellEnd"/>
      <w:r w:rsidRPr="00520861">
        <w:rPr>
          <w:rFonts w:eastAsiaTheme="minorHAnsi"/>
          <w:sz w:val="28"/>
          <w:szCs w:val="28"/>
          <w:lang w:eastAsia="en-US"/>
        </w:rPr>
        <w:t xml:space="preserve"> малої слинної залози вірогідно збільшене у тварин групи 1 (табл. 3.14). </w:t>
      </w:r>
    </w:p>
    <w:p w14:paraId="69BC0C2E" w14:textId="77777777" w:rsidR="00CF641C" w:rsidRPr="00520861" w:rsidRDefault="00CF641C" w:rsidP="00292D2E">
      <w:pPr>
        <w:widowControl w:val="0"/>
        <w:spacing w:line="360" w:lineRule="auto"/>
        <w:ind w:firstLine="851"/>
        <w:contextualSpacing/>
        <w:jc w:val="both"/>
        <w:rPr>
          <w:rFonts w:eastAsiaTheme="minorHAnsi"/>
          <w:spacing w:val="-2"/>
          <w:sz w:val="28"/>
          <w:szCs w:val="28"/>
          <w:lang w:eastAsia="en-US"/>
        </w:rPr>
      </w:pPr>
      <w:r w:rsidRPr="00520861">
        <w:rPr>
          <w:rFonts w:eastAsiaTheme="minorHAnsi"/>
          <w:sz w:val="28"/>
          <w:szCs w:val="28"/>
          <w:lang w:eastAsia="en-US"/>
        </w:rPr>
        <w:t xml:space="preserve">Отже, у тварин основної групи </w:t>
      </w:r>
      <w:proofErr w:type="spellStart"/>
      <w:r w:rsidRPr="00520861">
        <w:rPr>
          <w:rFonts w:eastAsiaTheme="minorHAnsi"/>
          <w:sz w:val="28"/>
          <w:szCs w:val="28"/>
          <w:lang w:eastAsia="en-US"/>
        </w:rPr>
        <w:t>морфометричні</w:t>
      </w:r>
      <w:proofErr w:type="spellEnd"/>
      <w:r w:rsidRPr="00520861">
        <w:rPr>
          <w:rFonts w:eastAsiaTheme="minorHAnsi"/>
          <w:sz w:val="28"/>
          <w:szCs w:val="28"/>
          <w:lang w:eastAsia="en-US"/>
        </w:rPr>
        <w:t xml:space="preserve"> параметри малих слинних залоз свідчать про те, що їхня </w:t>
      </w:r>
      <w:proofErr w:type="spellStart"/>
      <w:r w:rsidRPr="00520861">
        <w:rPr>
          <w:rFonts w:eastAsiaTheme="minorHAnsi"/>
          <w:sz w:val="28"/>
          <w:szCs w:val="28"/>
          <w:lang w:eastAsia="en-US"/>
        </w:rPr>
        <w:t>гіпопластичність</w:t>
      </w:r>
      <w:proofErr w:type="spellEnd"/>
      <w:r w:rsidRPr="00520861">
        <w:rPr>
          <w:rFonts w:eastAsiaTheme="minorHAnsi"/>
          <w:sz w:val="28"/>
          <w:szCs w:val="28"/>
          <w:lang w:eastAsia="en-US"/>
        </w:rPr>
        <w:t xml:space="preserve"> або пов’язана із віком </w:t>
      </w:r>
      <w:proofErr w:type="spellStart"/>
      <w:r w:rsidRPr="00520861">
        <w:rPr>
          <w:rFonts w:eastAsiaTheme="minorHAnsi"/>
          <w:sz w:val="28"/>
          <w:szCs w:val="28"/>
          <w:lang w:eastAsia="en-US"/>
        </w:rPr>
        <w:t>атрофізація</w:t>
      </w:r>
      <w:proofErr w:type="spellEnd"/>
      <w:r w:rsidRPr="00520861">
        <w:rPr>
          <w:rFonts w:eastAsiaTheme="minorHAnsi"/>
          <w:sz w:val="28"/>
          <w:szCs w:val="28"/>
          <w:lang w:eastAsia="en-US"/>
        </w:rPr>
        <w:t xml:space="preserve">, існує </w:t>
      </w:r>
      <w:r w:rsidRPr="00520861">
        <w:rPr>
          <w:rFonts w:eastAsiaTheme="minorHAnsi"/>
          <w:spacing w:val="-2"/>
          <w:sz w:val="28"/>
          <w:szCs w:val="28"/>
          <w:lang w:eastAsia="en-US"/>
        </w:rPr>
        <w:t>на тканинному рівні в усіх тварин. Ці відмінності найбільш виражені у тварин групи 3 та групи 4.</w:t>
      </w:r>
    </w:p>
    <w:p w14:paraId="6E2C2689"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Theme="minorHAnsi"/>
          <w:b/>
          <w:sz w:val="28"/>
          <w:szCs w:val="28"/>
          <w:lang w:eastAsia="en-US"/>
        </w:rPr>
        <w:t>3.4.3. Стан пульпи та твердих тканин жувальних зубів</w:t>
      </w:r>
      <w:r w:rsidRPr="00520861">
        <w:rPr>
          <w:rFonts w:eastAsiaTheme="minorHAnsi"/>
          <w:sz w:val="28"/>
          <w:szCs w:val="28"/>
          <w:lang w:eastAsia="en-US"/>
        </w:rPr>
        <w:t xml:space="preserve">. У тварин віком 6 місяців у пульпі молярів спостерігалося деяке зменшення кількості </w:t>
      </w:r>
      <w:proofErr w:type="spellStart"/>
      <w:r w:rsidRPr="00520861">
        <w:rPr>
          <w:rFonts w:eastAsiaTheme="minorHAnsi"/>
          <w:sz w:val="28"/>
          <w:szCs w:val="28"/>
          <w:lang w:eastAsia="en-US"/>
        </w:rPr>
        <w:t>одонтобластів</w:t>
      </w:r>
      <w:proofErr w:type="spellEnd"/>
      <w:r w:rsidRPr="00520861">
        <w:rPr>
          <w:rFonts w:eastAsiaTheme="minorHAnsi"/>
          <w:sz w:val="28"/>
          <w:szCs w:val="28"/>
          <w:lang w:eastAsia="en-US"/>
        </w:rPr>
        <w:t xml:space="preserve">, проте пульпа була добре збережена та вміщувала багаторядні </w:t>
      </w:r>
      <w:proofErr w:type="spellStart"/>
      <w:r w:rsidRPr="00520861">
        <w:rPr>
          <w:rFonts w:eastAsiaTheme="minorHAnsi"/>
          <w:sz w:val="28"/>
          <w:szCs w:val="28"/>
          <w:lang w:eastAsia="en-US"/>
        </w:rPr>
        <w:t>одонтобласти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пульпоцити</w:t>
      </w:r>
      <w:proofErr w:type="spellEnd"/>
      <w:r w:rsidRPr="00520861">
        <w:rPr>
          <w:rFonts w:eastAsiaTheme="minorHAnsi"/>
          <w:sz w:val="28"/>
          <w:szCs w:val="28"/>
          <w:lang w:eastAsia="en-US"/>
        </w:rPr>
        <w:t xml:space="preserve"> (фіброцити, фібробласти), рівномірно розподілені по пульпі. Добре </w:t>
      </w:r>
      <w:proofErr w:type="spellStart"/>
      <w:r w:rsidRPr="00520861">
        <w:rPr>
          <w:rFonts w:eastAsiaTheme="minorHAnsi"/>
          <w:sz w:val="28"/>
          <w:szCs w:val="28"/>
          <w:lang w:eastAsia="en-US"/>
        </w:rPr>
        <w:t>візуалізувалися</w:t>
      </w:r>
      <w:proofErr w:type="spellEnd"/>
      <w:r w:rsidRPr="00520861">
        <w:rPr>
          <w:rFonts w:eastAsiaTheme="minorHAnsi"/>
          <w:sz w:val="28"/>
          <w:szCs w:val="28"/>
          <w:lang w:eastAsia="en-US"/>
        </w:rPr>
        <w:t xml:space="preserve"> судини МЦР. </w:t>
      </w:r>
      <w:r w:rsidRPr="00520861">
        <w:rPr>
          <w:rFonts w:eastAsia="Calibri"/>
          <w:color w:val="000000" w:themeColor="text1"/>
          <w:sz w:val="28"/>
          <w:szCs w:val="28"/>
          <w:lang w:eastAsia="en-US"/>
        </w:rPr>
        <w:t xml:space="preserve">З метою визначення вмісту РНК у відростках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які знаходяться в </w:t>
      </w:r>
      <w:proofErr w:type="spellStart"/>
      <w:r w:rsidRPr="00520861">
        <w:rPr>
          <w:rFonts w:eastAsia="Calibri"/>
          <w:color w:val="000000" w:themeColor="text1"/>
          <w:sz w:val="28"/>
          <w:szCs w:val="28"/>
          <w:lang w:eastAsia="en-US"/>
        </w:rPr>
        <w:t>дентинних</w:t>
      </w:r>
      <w:proofErr w:type="spellEnd"/>
      <w:r w:rsidRPr="00520861">
        <w:rPr>
          <w:rFonts w:eastAsia="Calibri"/>
          <w:color w:val="000000" w:themeColor="text1"/>
          <w:sz w:val="28"/>
          <w:szCs w:val="28"/>
          <w:lang w:eastAsia="en-US"/>
        </w:rPr>
        <w:t xml:space="preserve"> канальцях, була використана гістохімічна реакція за </w:t>
      </w:r>
      <w:proofErr w:type="spellStart"/>
      <w:r w:rsidRPr="00520861">
        <w:rPr>
          <w:rFonts w:eastAsia="Calibri"/>
          <w:color w:val="000000" w:themeColor="text1"/>
          <w:sz w:val="28"/>
          <w:szCs w:val="28"/>
          <w:lang w:eastAsia="en-US"/>
        </w:rPr>
        <w:t>Ейнарсоном</w:t>
      </w:r>
      <w:proofErr w:type="spellEnd"/>
      <w:r w:rsidRPr="00520861">
        <w:rPr>
          <w:rFonts w:eastAsia="Calibri"/>
          <w:color w:val="000000" w:themeColor="text1"/>
          <w:sz w:val="28"/>
          <w:szCs w:val="28"/>
          <w:lang w:eastAsia="en-US"/>
        </w:rPr>
        <w:t xml:space="preserve">. Виявилося, що в контрольних тварин у віці 6 місяців відростки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мають інтенсивне забарвлення </w:t>
      </w:r>
      <w:proofErr w:type="spellStart"/>
      <w:r w:rsidRPr="00520861">
        <w:rPr>
          <w:rFonts w:eastAsia="Calibri"/>
          <w:color w:val="000000" w:themeColor="text1"/>
          <w:sz w:val="28"/>
          <w:szCs w:val="28"/>
          <w:lang w:eastAsia="en-US"/>
        </w:rPr>
        <w:t>галоціаніном</w:t>
      </w:r>
      <w:proofErr w:type="spellEnd"/>
      <w:r w:rsidRPr="00520861">
        <w:rPr>
          <w:rFonts w:eastAsia="Calibri"/>
          <w:color w:val="000000" w:themeColor="text1"/>
          <w:sz w:val="28"/>
          <w:szCs w:val="28"/>
          <w:lang w:eastAsia="en-US"/>
        </w:rPr>
        <w:t xml:space="preserve"> (табл. 3.15).</w:t>
      </w:r>
    </w:p>
    <w:p w14:paraId="2ECF5034" w14:textId="77777777" w:rsidR="00CF641C" w:rsidRPr="00520861" w:rsidRDefault="00CF641C" w:rsidP="00292D2E">
      <w:pPr>
        <w:widowControl w:val="0"/>
        <w:spacing w:line="360" w:lineRule="auto"/>
        <w:contextualSpacing/>
        <w:jc w:val="right"/>
        <w:rPr>
          <w:rFonts w:eastAsia="Calibri"/>
          <w:i/>
          <w:iCs/>
          <w:sz w:val="28"/>
          <w:szCs w:val="28"/>
          <w:lang w:eastAsia="en-US"/>
        </w:rPr>
      </w:pPr>
      <w:r w:rsidRPr="00520861">
        <w:rPr>
          <w:rFonts w:eastAsia="Calibri"/>
          <w:i/>
          <w:iCs/>
          <w:sz w:val="28"/>
          <w:szCs w:val="28"/>
          <w:lang w:eastAsia="en-US"/>
        </w:rPr>
        <w:t xml:space="preserve">Таблиця 3.15  </w:t>
      </w:r>
    </w:p>
    <w:p w14:paraId="6244AD3C" w14:textId="77777777" w:rsidR="00CF641C" w:rsidRPr="00520861" w:rsidRDefault="00CF641C" w:rsidP="00292D2E">
      <w:pPr>
        <w:widowControl w:val="0"/>
        <w:spacing w:line="360" w:lineRule="auto"/>
        <w:contextualSpacing/>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 xml:space="preserve">3; </w:t>
      </w:r>
      <w:r w:rsidRPr="00520861">
        <w:rPr>
          <w:rFonts w:eastAsia="Calibri"/>
          <w:b/>
          <w:bCs/>
          <w:sz w:val="28"/>
          <w:szCs w:val="28"/>
          <w:lang w:val="en-US" w:eastAsia="en-US"/>
        </w:rPr>
        <w:t>Q</w:t>
      </w:r>
      <w:r w:rsidRPr="00520861">
        <w:rPr>
          <w:rFonts w:eastAsia="Calibri"/>
          <w:b/>
          <w:bCs/>
          <w:sz w:val="28"/>
          <w:szCs w:val="28"/>
          <w:lang w:eastAsia="en-US"/>
        </w:rPr>
        <w:t xml:space="preserve">1) оптичної густини відростків </w:t>
      </w:r>
      <w:proofErr w:type="spellStart"/>
      <w:r w:rsidRPr="00520861">
        <w:rPr>
          <w:rFonts w:eastAsia="Calibri"/>
          <w:b/>
          <w:bCs/>
          <w:sz w:val="28"/>
          <w:szCs w:val="28"/>
          <w:lang w:eastAsia="en-US"/>
        </w:rPr>
        <w:t>одонтобластів</w:t>
      </w:r>
      <w:proofErr w:type="spellEnd"/>
      <w:r w:rsidRPr="00520861">
        <w:rPr>
          <w:rFonts w:eastAsia="Calibri"/>
          <w:b/>
          <w:bCs/>
          <w:sz w:val="28"/>
          <w:szCs w:val="28"/>
          <w:lang w:eastAsia="en-US"/>
        </w:rPr>
        <w:t xml:space="preserve"> </w:t>
      </w:r>
      <w:r w:rsidRPr="00520861">
        <w:rPr>
          <w:rFonts w:eastAsiaTheme="minorHAnsi"/>
          <w:b/>
          <w:sz w:val="28"/>
          <w:szCs w:val="28"/>
          <w:lang w:eastAsia="en-US"/>
        </w:rPr>
        <w:t xml:space="preserve">та площі тіл </w:t>
      </w:r>
      <w:proofErr w:type="spellStart"/>
      <w:r w:rsidRPr="00520861">
        <w:rPr>
          <w:rFonts w:eastAsiaTheme="minorHAnsi"/>
          <w:b/>
          <w:sz w:val="28"/>
          <w:szCs w:val="28"/>
          <w:lang w:eastAsia="en-US"/>
        </w:rPr>
        <w:t>одонтобластів</w:t>
      </w:r>
      <w:proofErr w:type="spellEnd"/>
      <w:r w:rsidRPr="00520861">
        <w:rPr>
          <w:rFonts w:eastAsiaTheme="minorHAnsi"/>
          <w:b/>
          <w:sz w:val="28"/>
          <w:szCs w:val="28"/>
          <w:lang w:eastAsia="en-US"/>
        </w:rPr>
        <w:t xml:space="preserve"> </w:t>
      </w:r>
      <w:r w:rsidRPr="00520861">
        <w:rPr>
          <w:rFonts w:eastAsia="Calibri"/>
          <w:b/>
          <w:bCs/>
          <w:sz w:val="28"/>
          <w:szCs w:val="28"/>
          <w:lang w:eastAsia="en-US"/>
        </w:rPr>
        <w:t>6-ти місячних експериментальних тварин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4536"/>
        <w:gridCol w:w="3969"/>
      </w:tblGrid>
      <w:tr w:rsidR="00CF641C" w:rsidRPr="00520861" w14:paraId="225A00CE" w14:textId="77777777" w:rsidTr="00292D2E">
        <w:trPr>
          <w:jc w:val="center"/>
        </w:trPr>
        <w:tc>
          <w:tcPr>
            <w:tcW w:w="1413" w:type="dxa"/>
            <w:tcBorders>
              <w:top w:val="single" w:sz="4" w:space="0" w:color="auto"/>
              <w:left w:val="single" w:sz="4" w:space="0" w:color="auto"/>
              <w:right w:val="single" w:sz="4" w:space="0" w:color="auto"/>
            </w:tcBorders>
            <w:tcMar>
              <w:top w:w="0" w:type="dxa"/>
              <w:left w:w="57" w:type="dxa"/>
              <w:bottom w:w="0" w:type="dxa"/>
              <w:right w:w="57" w:type="dxa"/>
            </w:tcMar>
            <w:hideMark/>
          </w:tcPr>
          <w:p w14:paraId="7FB6C889" w14:textId="77777777" w:rsidR="00CF641C" w:rsidRPr="00520861" w:rsidRDefault="00CF641C" w:rsidP="00292D2E">
            <w:pPr>
              <w:widowControl w:val="0"/>
              <w:spacing w:line="360" w:lineRule="auto"/>
              <w:contextualSpacing/>
              <w:rPr>
                <w:sz w:val="28"/>
                <w:szCs w:val="28"/>
              </w:rPr>
            </w:pPr>
            <w:r w:rsidRPr="00520861">
              <w:rPr>
                <w:sz w:val="28"/>
                <w:szCs w:val="28"/>
              </w:rPr>
              <w:t xml:space="preserve">Група </w:t>
            </w:r>
          </w:p>
          <w:p w14:paraId="223825A2" w14:textId="77777777" w:rsidR="00CF641C" w:rsidRPr="00520861" w:rsidRDefault="00CF641C" w:rsidP="00292D2E">
            <w:pPr>
              <w:widowControl w:val="0"/>
              <w:spacing w:line="360" w:lineRule="auto"/>
              <w:contextualSpacing/>
              <w:rPr>
                <w:rFonts w:eastAsia="Calibri"/>
                <w:sz w:val="28"/>
                <w:szCs w:val="28"/>
              </w:rPr>
            </w:pPr>
          </w:p>
        </w:tc>
        <w:tc>
          <w:tcPr>
            <w:tcW w:w="4536" w:type="dxa"/>
            <w:tcBorders>
              <w:top w:val="single" w:sz="4" w:space="0" w:color="auto"/>
              <w:left w:val="single" w:sz="4" w:space="0" w:color="auto"/>
              <w:bottom w:val="single" w:sz="4" w:space="0" w:color="auto"/>
              <w:right w:val="single" w:sz="4" w:space="0" w:color="auto"/>
            </w:tcBorders>
          </w:tcPr>
          <w:p w14:paraId="5F08870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Оптична густина цитоплазми відростків </w:t>
            </w:r>
            <w:proofErr w:type="spellStart"/>
            <w:r w:rsidRPr="00520861">
              <w:rPr>
                <w:rFonts w:eastAsia="Calibri"/>
                <w:sz w:val="28"/>
                <w:szCs w:val="28"/>
              </w:rPr>
              <w:t>одонтобластів</w:t>
            </w:r>
            <w:proofErr w:type="spellEnd"/>
            <w:r w:rsidRPr="00520861">
              <w:rPr>
                <w:rFonts w:eastAsia="Calibri"/>
                <w:sz w:val="28"/>
                <w:szCs w:val="28"/>
              </w:rPr>
              <w:t xml:space="preserve"> (забарвлення за </w:t>
            </w:r>
            <w:proofErr w:type="spellStart"/>
            <w:r w:rsidRPr="00520861">
              <w:rPr>
                <w:rFonts w:eastAsia="Calibri"/>
                <w:sz w:val="28"/>
                <w:szCs w:val="28"/>
              </w:rPr>
              <w:t>Ейнарсоном</w:t>
            </w:r>
            <w:proofErr w:type="spellEnd"/>
            <w:r w:rsidRPr="00520861">
              <w:rPr>
                <w:rFonts w:eastAsia="Calibri"/>
                <w:sz w:val="28"/>
                <w:szCs w:val="28"/>
              </w:rPr>
              <w:t xml:space="preserve">, </w:t>
            </w:r>
            <w:proofErr w:type="spellStart"/>
            <w:r w:rsidRPr="00520861">
              <w:rPr>
                <w:rFonts w:eastAsia="Calibri"/>
                <w:sz w:val="28"/>
                <w:szCs w:val="28"/>
              </w:rPr>
              <w:t>ум.од.опт</w:t>
            </w:r>
            <w:proofErr w:type="spellEnd"/>
            <w:r w:rsidRPr="00520861">
              <w:rPr>
                <w:rFonts w:eastAsia="Calibri"/>
                <w:sz w:val="28"/>
                <w:szCs w:val="28"/>
              </w:rPr>
              <w:t>. густини)</w:t>
            </w:r>
          </w:p>
        </w:tc>
        <w:tc>
          <w:tcPr>
            <w:tcW w:w="3969" w:type="dxa"/>
            <w:tcBorders>
              <w:top w:val="single" w:sz="4" w:space="0" w:color="auto"/>
              <w:left w:val="single" w:sz="4" w:space="0" w:color="auto"/>
              <w:bottom w:val="single" w:sz="4" w:space="0" w:color="auto"/>
              <w:right w:val="single" w:sz="4" w:space="0" w:color="auto"/>
            </w:tcBorders>
          </w:tcPr>
          <w:p w14:paraId="6531D756" w14:textId="77777777" w:rsidR="00CF641C" w:rsidRPr="00520861" w:rsidRDefault="00CF641C" w:rsidP="00292D2E">
            <w:pPr>
              <w:widowControl w:val="0"/>
              <w:spacing w:line="360" w:lineRule="auto"/>
              <w:jc w:val="center"/>
              <w:rPr>
                <w:sz w:val="28"/>
                <w:szCs w:val="28"/>
              </w:rPr>
            </w:pPr>
          </w:p>
          <w:p w14:paraId="441EE15F" w14:textId="77777777" w:rsidR="00CF641C" w:rsidRPr="00520861" w:rsidRDefault="00CF641C" w:rsidP="00292D2E">
            <w:pPr>
              <w:widowControl w:val="0"/>
              <w:spacing w:line="360" w:lineRule="auto"/>
              <w:jc w:val="center"/>
              <w:rPr>
                <w:sz w:val="28"/>
                <w:szCs w:val="28"/>
              </w:rPr>
            </w:pPr>
            <w:r w:rsidRPr="00520861">
              <w:rPr>
                <w:sz w:val="28"/>
                <w:szCs w:val="28"/>
              </w:rPr>
              <w:t xml:space="preserve">Площа тіла </w:t>
            </w:r>
            <w:proofErr w:type="spellStart"/>
            <w:r w:rsidRPr="00520861">
              <w:rPr>
                <w:sz w:val="28"/>
                <w:szCs w:val="28"/>
              </w:rPr>
              <w:t>одонтобластів</w:t>
            </w:r>
            <w:proofErr w:type="spellEnd"/>
            <w:r w:rsidRPr="00520861">
              <w:rPr>
                <w:sz w:val="28"/>
                <w:szCs w:val="28"/>
              </w:rPr>
              <w:t xml:space="preserve"> </w:t>
            </w:r>
          </w:p>
          <w:p w14:paraId="6FB8DF43" w14:textId="77777777" w:rsidR="00CF641C" w:rsidRPr="00520861" w:rsidRDefault="00CF641C" w:rsidP="00292D2E">
            <w:pPr>
              <w:widowControl w:val="0"/>
              <w:spacing w:line="360" w:lineRule="auto"/>
              <w:jc w:val="center"/>
              <w:rPr>
                <w:rFonts w:eastAsiaTheme="minorHAnsi"/>
                <w:sz w:val="28"/>
                <w:szCs w:val="28"/>
                <w:lang w:eastAsia="en-US"/>
              </w:rPr>
            </w:pPr>
            <w:r w:rsidRPr="00520861">
              <w:rPr>
                <w:sz w:val="28"/>
                <w:szCs w:val="28"/>
                <w:lang w:val="ru-RU"/>
              </w:rPr>
              <w:t>(</w:t>
            </w:r>
            <w:r w:rsidRPr="00520861">
              <w:rPr>
                <w:sz w:val="28"/>
                <w:szCs w:val="28"/>
              </w:rPr>
              <w:t>м</w:t>
            </w:r>
            <w:r w:rsidRPr="00520861">
              <w:rPr>
                <w:sz w:val="28"/>
                <w:szCs w:val="28"/>
                <w:vertAlign w:val="superscript"/>
              </w:rPr>
              <w:t>2</w:t>
            </w:r>
            <w:r w:rsidRPr="00520861">
              <w:rPr>
                <w:sz w:val="28"/>
                <w:szCs w:val="28"/>
              </w:rPr>
              <w:t>×10</w:t>
            </w:r>
            <w:r w:rsidRPr="00520861">
              <w:rPr>
                <w:sz w:val="28"/>
                <w:szCs w:val="28"/>
                <w:vertAlign w:val="superscript"/>
              </w:rPr>
              <w:t>12</w:t>
            </w:r>
            <w:r w:rsidRPr="00520861">
              <w:rPr>
                <w:sz w:val="28"/>
                <w:szCs w:val="28"/>
                <w:lang w:val="ru-RU"/>
              </w:rPr>
              <w:t>)</w:t>
            </w:r>
          </w:p>
        </w:tc>
      </w:tr>
      <w:tr w:rsidR="00CF641C" w:rsidRPr="00520861" w14:paraId="02A995A8"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hideMark/>
          </w:tcPr>
          <w:p w14:paraId="71DDB53A" w14:textId="77777777" w:rsidR="00CF641C" w:rsidRPr="00520861" w:rsidRDefault="00CF641C" w:rsidP="00292D2E">
            <w:pPr>
              <w:widowControl w:val="0"/>
              <w:spacing w:line="360" w:lineRule="auto"/>
              <w:contextualSpacing/>
              <w:rPr>
                <w:rFonts w:eastAsia="Calibri"/>
                <w:sz w:val="28"/>
                <w:szCs w:val="28"/>
              </w:rPr>
            </w:pPr>
            <w:r w:rsidRPr="00520861">
              <w:rPr>
                <w:rFonts w:eastAsia="Calibri"/>
                <w:sz w:val="28"/>
                <w:szCs w:val="28"/>
              </w:rPr>
              <w:t xml:space="preserve">Контроль </w:t>
            </w:r>
          </w:p>
        </w:tc>
        <w:tc>
          <w:tcPr>
            <w:tcW w:w="4536" w:type="dxa"/>
            <w:tcBorders>
              <w:top w:val="single" w:sz="4" w:space="0" w:color="auto"/>
              <w:left w:val="single" w:sz="4" w:space="0" w:color="auto"/>
              <w:bottom w:val="single" w:sz="4" w:space="0" w:color="auto"/>
              <w:right w:val="single" w:sz="4" w:space="0" w:color="auto"/>
            </w:tcBorders>
          </w:tcPr>
          <w:p w14:paraId="617E5C77"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0,379 (0,408; 0,344)</w:t>
            </w:r>
          </w:p>
        </w:tc>
        <w:tc>
          <w:tcPr>
            <w:tcW w:w="3969" w:type="dxa"/>
            <w:tcBorders>
              <w:top w:val="single" w:sz="4" w:space="0" w:color="auto"/>
              <w:left w:val="single" w:sz="4" w:space="0" w:color="auto"/>
              <w:bottom w:val="single" w:sz="4" w:space="0" w:color="auto"/>
              <w:right w:val="single" w:sz="4" w:space="0" w:color="auto"/>
            </w:tcBorders>
          </w:tcPr>
          <w:p w14:paraId="47AE3EBC"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9,83 (11,33; 9,21)</w:t>
            </w:r>
          </w:p>
        </w:tc>
      </w:tr>
      <w:tr w:rsidR="00CF641C" w:rsidRPr="00520861" w14:paraId="2F3F1C6F"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tcPr>
          <w:p w14:paraId="3EDEFBF6" w14:textId="77777777" w:rsidR="00CF641C" w:rsidRPr="00520861" w:rsidRDefault="00CF641C" w:rsidP="00292D2E">
            <w:pPr>
              <w:widowControl w:val="0"/>
              <w:spacing w:line="360" w:lineRule="auto"/>
              <w:contextualSpacing/>
              <w:jc w:val="both"/>
              <w:rPr>
                <w:sz w:val="28"/>
                <w:szCs w:val="28"/>
              </w:rPr>
            </w:pPr>
            <w:r w:rsidRPr="00520861">
              <w:rPr>
                <w:sz w:val="28"/>
                <w:szCs w:val="28"/>
              </w:rPr>
              <w:t>Група 1</w:t>
            </w:r>
          </w:p>
        </w:tc>
        <w:tc>
          <w:tcPr>
            <w:tcW w:w="4536" w:type="dxa"/>
            <w:tcBorders>
              <w:top w:val="single" w:sz="4" w:space="0" w:color="auto"/>
              <w:left w:val="single" w:sz="4" w:space="0" w:color="auto"/>
              <w:bottom w:val="single" w:sz="4" w:space="0" w:color="auto"/>
              <w:right w:val="single" w:sz="4" w:space="0" w:color="auto"/>
            </w:tcBorders>
          </w:tcPr>
          <w:p w14:paraId="0B74F379" w14:textId="77777777" w:rsidR="00CF641C" w:rsidRPr="00520861" w:rsidRDefault="00CF641C" w:rsidP="00292D2E">
            <w:pPr>
              <w:widowControl w:val="0"/>
              <w:spacing w:line="360" w:lineRule="auto"/>
              <w:contextualSpacing/>
              <w:jc w:val="center"/>
              <w:rPr>
                <w:rFonts w:eastAsiaTheme="minorHAnsi"/>
                <w:sz w:val="28"/>
                <w:szCs w:val="28"/>
                <w:lang w:val="en-US" w:eastAsia="en-US"/>
              </w:rPr>
            </w:pPr>
            <w:r w:rsidRPr="00520861">
              <w:rPr>
                <w:rFonts w:eastAsiaTheme="minorHAnsi"/>
                <w:sz w:val="28"/>
                <w:szCs w:val="28"/>
                <w:lang w:eastAsia="en-US"/>
              </w:rPr>
              <w:t>0,293</w:t>
            </w:r>
            <w:r w:rsidRPr="00520861">
              <w:rPr>
                <w:rFonts w:eastAsia="Calibri"/>
                <w:sz w:val="28"/>
                <w:szCs w:val="28"/>
                <w:lang w:eastAsia="en-US"/>
              </w:rPr>
              <w:t>*</w:t>
            </w:r>
            <w:r w:rsidRPr="00520861">
              <w:rPr>
                <w:rFonts w:eastAsiaTheme="minorHAnsi"/>
                <w:sz w:val="28"/>
                <w:szCs w:val="28"/>
                <w:lang w:eastAsia="en-US"/>
              </w:rPr>
              <w:t xml:space="preserve"> (0,301; 0,285), </w:t>
            </w:r>
            <w:r w:rsidRPr="00520861">
              <w:rPr>
                <w:i/>
                <w:sz w:val="28"/>
                <w:szCs w:val="28"/>
              </w:rPr>
              <w:t>p</w:t>
            </w:r>
            <w:r w:rsidRPr="00520861">
              <w:rPr>
                <w:sz w:val="28"/>
                <w:szCs w:val="28"/>
                <w:lang w:val="en-US"/>
              </w:rPr>
              <w:t>&lt;</w:t>
            </w:r>
            <w:r w:rsidRPr="00520861">
              <w:rPr>
                <w:sz w:val="28"/>
                <w:szCs w:val="28"/>
              </w:rPr>
              <w:t>0,000</w:t>
            </w:r>
            <w:r w:rsidRPr="00520861">
              <w:rPr>
                <w:sz w:val="28"/>
                <w:szCs w:val="28"/>
                <w:lang w:val="en-US"/>
              </w:rPr>
              <w:t>1</w:t>
            </w:r>
          </w:p>
        </w:tc>
        <w:tc>
          <w:tcPr>
            <w:tcW w:w="3969" w:type="dxa"/>
            <w:tcBorders>
              <w:top w:val="single" w:sz="4" w:space="0" w:color="auto"/>
              <w:left w:val="single" w:sz="4" w:space="0" w:color="auto"/>
              <w:bottom w:val="single" w:sz="4" w:space="0" w:color="auto"/>
              <w:right w:val="single" w:sz="4" w:space="0" w:color="auto"/>
            </w:tcBorders>
          </w:tcPr>
          <w:p w14:paraId="20AD310A"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7,25</w:t>
            </w:r>
            <w:r w:rsidRPr="00520861">
              <w:rPr>
                <w:rFonts w:eastAsia="Calibri"/>
                <w:sz w:val="28"/>
                <w:szCs w:val="28"/>
                <w:lang w:eastAsia="en-US"/>
              </w:rPr>
              <w:t>*</w:t>
            </w:r>
            <w:r w:rsidRPr="00520861">
              <w:rPr>
                <w:rFonts w:eastAsiaTheme="minorHAnsi"/>
                <w:sz w:val="28"/>
                <w:szCs w:val="28"/>
                <w:lang w:eastAsia="en-US"/>
              </w:rPr>
              <w:t xml:space="preserve"> (7,71; 6,11), </w:t>
            </w:r>
            <w:r w:rsidRPr="00520861">
              <w:rPr>
                <w:i/>
                <w:sz w:val="28"/>
                <w:szCs w:val="28"/>
              </w:rPr>
              <w:t>p</w:t>
            </w:r>
            <w:r w:rsidRPr="00520861">
              <w:rPr>
                <w:sz w:val="28"/>
                <w:szCs w:val="28"/>
              </w:rPr>
              <w:t>=0,00006</w:t>
            </w:r>
          </w:p>
        </w:tc>
      </w:tr>
      <w:tr w:rsidR="00CF641C" w:rsidRPr="00520861" w14:paraId="06CCAB0B"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tcPr>
          <w:p w14:paraId="233292F6" w14:textId="77777777" w:rsidR="00CF641C" w:rsidRPr="00520861" w:rsidRDefault="00CF641C" w:rsidP="00292D2E">
            <w:pPr>
              <w:widowControl w:val="0"/>
              <w:spacing w:line="360" w:lineRule="auto"/>
              <w:contextualSpacing/>
              <w:jc w:val="both"/>
              <w:rPr>
                <w:sz w:val="28"/>
                <w:szCs w:val="28"/>
              </w:rPr>
            </w:pPr>
            <w:r w:rsidRPr="00520861">
              <w:rPr>
                <w:sz w:val="28"/>
                <w:szCs w:val="28"/>
              </w:rPr>
              <w:t>Група 2</w:t>
            </w:r>
          </w:p>
        </w:tc>
        <w:tc>
          <w:tcPr>
            <w:tcW w:w="4536" w:type="dxa"/>
            <w:tcBorders>
              <w:top w:val="single" w:sz="4" w:space="0" w:color="auto"/>
              <w:left w:val="single" w:sz="4" w:space="0" w:color="auto"/>
              <w:bottom w:val="single" w:sz="4" w:space="0" w:color="auto"/>
              <w:right w:val="single" w:sz="4" w:space="0" w:color="auto"/>
            </w:tcBorders>
          </w:tcPr>
          <w:p w14:paraId="663CA987"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0,502</w:t>
            </w:r>
            <w:r w:rsidRPr="00520861">
              <w:rPr>
                <w:rFonts w:eastAsia="Calibri"/>
                <w:sz w:val="28"/>
                <w:szCs w:val="28"/>
                <w:lang w:eastAsia="en-US"/>
              </w:rPr>
              <w:t>*</w:t>
            </w:r>
            <w:r w:rsidRPr="00520861">
              <w:rPr>
                <w:rFonts w:eastAsiaTheme="minorHAnsi"/>
                <w:sz w:val="28"/>
                <w:szCs w:val="28"/>
                <w:lang w:eastAsia="en-US"/>
              </w:rPr>
              <w:t xml:space="preserve"> (0,522; 0,407), </w:t>
            </w:r>
            <w:r w:rsidRPr="00520861">
              <w:rPr>
                <w:i/>
                <w:sz w:val="28"/>
                <w:szCs w:val="28"/>
              </w:rPr>
              <w:t>p</w:t>
            </w:r>
            <w:r w:rsidRPr="00520861">
              <w:rPr>
                <w:sz w:val="28"/>
                <w:szCs w:val="28"/>
              </w:rPr>
              <w:t>=0,0016</w:t>
            </w:r>
          </w:p>
        </w:tc>
        <w:tc>
          <w:tcPr>
            <w:tcW w:w="3969" w:type="dxa"/>
            <w:tcBorders>
              <w:top w:val="single" w:sz="4" w:space="0" w:color="auto"/>
              <w:left w:val="single" w:sz="4" w:space="0" w:color="auto"/>
              <w:bottom w:val="single" w:sz="4" w:space="0" w:color="auto"/>
              <w:right w:val="single" w:sz="4" w:space="0" w:color="auto"/>
            </w:tcBorders>
          </w:tcPr>
          <w:p w14:paraId="404088CB"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7,39</w:t>
            </w:r>
            <w:r w:rsidRPr="00520861">
              <w:rPr>
                <w:rFonts w:eastAsia="Calibri"/>
                <w:sz w:val="28"/>
                <w:szCs w:val="28"/>
                <w:lang w:eastAsia="en-US"/>
              </w:rPr>
              <w:t>*</w:t>
            </w:r>
            <w:r w:rsidRPr="00520861">
              <w:rPr>
                <w:rFonts w:eastAsiaTheme="minorHAnsi"/>
                <w:sz w:val="28"/>
                <w:szCs w:val="28"/>
                <w:lang w:eastAsia="en-US"/>
              </w:rPr>
              <w:t xml:space="preserve"> (7,90; 7,22), </w:t>
            </w:r>
            <w:r w:rsidRPr="00520861">
              <w:rPr>
                <w:i/>
                <w:sz w:val="28"/>
                <w:szCs w:val="28"/>
              </w:rPr>
              <w:t>p</w:t>
            </w:r>
            <w:r w:rsidRPr="00520861">
              <w:rPr>
                <w:sz w:val="28"/>
                <w:szCs w:val="28"/>
              </w:rPr>
              <w:t>=0,00009</w:t>
            </w:r>
          </w:p>
        </w:tc>
      </w:tr>
      <w:tr w:rsidR="00CF641C" w:rsidRPr="00520861" w14:paraId="33ABA57C" w14:textId="77777777" w:rsidTr="00292D2E">
        <w:trPr>
          <w:trHeight w:val="176"/>
          <w:jc w:val="center"/>
        </w:trPr>
        <w:tc>
          <w:tcPr>
            <w:tcW w:w="1413" w:type="dxa"/>
            <w:tcBorders>
              <w:top w:val="single" w:sz="4" w:space="0" w:color="auto"/>
              <w:left w:val="single" w:sz="4" w:space="0" w:color="auto"/>
              <w:bottom w:val="single" w:sz="4" w:space="0" w:color="auto"/>
              <w:right w:val="single" w:sz="4" w:space="0" w:color="auto"/>
            </w:tcBorders>
            <w:hideMark/>
          </w:tcPr>
          <w:p w14:paraId="74CA698F"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3 </w:t>
            </w:r>
          </w:p>
        </w:tc>
        <w:tc>
          <w:tcPr>
            <w:tcW w:w="4536" w:type="dxa"/>
            <w:tcBorders>
              <w:top w:val="single" w:sz="4" w:space="0" w:color="auto"/>
              <w:left w:val="single" w:sz="4" w:space="0" w:color="auto"/>
              <w:bottom w:val="single" w:sz="4" w:space="0" w:color="auto"/>
              <w:right w:val="single" w:sz="4" w:space="0" w:color="auto"/>
            </w:tcBorders>
          </w:tcPr>
          <w:p w14:paraId="1440855E" w14:textId="77777777" w:rsidR="00CF641C" w:rsidRPr="00520861" w:rsidRDefault="00CF641C" w:rsidP="00292D2E">
            <w:pPr>
              <w:widowControl w:val="0"/>
              <w:spacing w:line="360" w:lineRule="auto"/>
              <w:contextualSpacing/>
              <w:jc w:val="center"/>
              <w:rPr>
                <w:rFonts w:eastAsiaTheme="minorHAnsi"/>
                <w:sz w:val="28"/>
                <w:szCs w:val="28"/>
                <w:lang w:val="en-US" w:eastAsia="en-US"/>
              </w:rPr>
            </w:pPr>
            <w:r w:rsidRPr="00520861">
              <w:rPr>
                <w:rFonts w:eastAsiaTheme="minorHAnsi"/>
                <w:sz w:val="28"/>
                <w:szCs w:val="28"/>
                <w:lang w:eastAsia="en-US"/>
              </w:rPr>
              <w:t>0,613</w:t>
            </w:r>
            <w:r w:rsidRPr="00520861">
              <w:rPr>
                <w:rFonts w:eastAsia="Calibri"/>
                <w:sz w:val="28"/>
                <w:szCs w:val="28"/>
                <w:lang w:eastAsia="en-US"/>
              </w:rPr>
              <w:t>*</w:t>
            </w:r>
            <w:r w:rsidRPr="00520861">
              <w:rPr>
                <w:rFonts w:eastAsiaTheme="minorHAnsi"/>
                <w:sz w:val="28"/>
                <w:szCs w:val="28"/>
                <w:lang w:eastAsia="en-US"/>
              </w:rPr>
              <w:t xml:space="preserve"> (0,658; 0,419), </w:t>
            </w:r>
            <w:r w:rsidRPr="00520861">
              <w:rPr>
                <w:i/>
                <w:sz w:val="28"/>
                <w:szCs w:val="28"/>
              </w:rPr>
              <w:t>p</w:t>
            </w:r>
            <w:r w:rsidRPr="00520861">
              <w:rPr>
                <w:sz w:val="28"/>
                <w:szCs w:val="28"/>
                <w:lang w:val="en-US"/>
              </w:rPr>
              <w:t>&lt;</w:t>
            </w:r>
            <w:r w:rsidRPr="00520861">
              <w:rPr>
                <w:sz w:val="28"/>
                <w:szCs w:val="28"/>
              </w:rPr>
              <w:t>0,000</w:t>
            </w:r>
            <w:r w:rsidRPr="00520861">
              <w:rPr>
                <w:sz w:val="28"/>
                <w:szCs w:val="28"/>
                <w:lang w:val="en-US"/>
              </w:rPr>
              <w:t>05</w:t>
            </w:r>
          </w:p>
        </w:tc>
        <w:tc>
          <w:tcPr>
            <w:tcW w:w="3969" w:type="dxa"/>
            <w:tcBorders>
              <w:top w:val="single" w:sz="4" w:space="0" w:color="auto"/>
              <w:left w:val="single" w:sz="4" w:space="0" w:color="auto"/>
              <w:bottom w:val="single" w:sz="4" w:space="0" w:color="auto"/>
              <w:right w:val="single" w:sz="4" w:space="0" w:color="auto"/>
            </w:tcBorders>
          </w:tcPr>
          <w:p w14:paraId="0A4928B7"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6,84</w:t>
            </w:r>
            <w:r w:rsidRPr="00520861">
              <w:rPr>
                <w:rFonts w:eastAsia="Calibri"/>
                <w:sz w:val="28"/>
                <w:szCs w:val="28"/>
                <w:lang w:eastAsia="en-US"/>
              </w:rPr>
              <w:t>*</w:t>
            </w:r>
            <w:r w:rsidRPr="00520861">
              <w:rPr>
                <w:rFonts w:eastAsiaTheme="minorHAnsi"/>
                <w:sz w:val="28"/>
                <w:szCs w:val="28"/>
                <w:lang w:eastAsia="en-US"/>
              </w:rPr>
              <w:t xml:space="preserve"> (7,23; 5,94), </w:t>
            </w:r>
            <w:r w:rsidRPr="00520861">
              <w:rPr>
                <w:i/>
                <w:sz w:val="28"/>
                <w:szCs w:val="28"/>
              </w:rPr>
              <w:t>p</w:t>
            </w:r>
            <w:r w:rsidRPr="00520861">
              <w:rPr>
                <w:sz w:val="28"/>
                <w:szCs w:val="28"/>
              </w:rPr>
              <w:t>=0,00003</w:t>
            </w:r>
          </w:p>
        </w:tc>
      </w:tr>
      <w:tr w:rsidR="00CF641C" w:rsidRPr="00520861" w14:paraId="76703D8A"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hideMark/>
          </w:tcPr>
          <w:p w14:paraId="5AF857F1"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4 </w:t>
            </w:r>
          </w:p>
        </w:tc>
        <w:tc>
          <w:tcPr>
            <w:tcW w:w="4536" w:type="dxa"/>
            <w:tcBorders>
              <w:top w:val="single" w:sz="4" w:space="0" w:color="auto"/>
              <w:left w:val="single" w:sz="4" w:space="0" w:color="auto"/>
              <w:bottom w:val="single" w:sz="4" w:space="0" w:color="auto"/>
              <w:right w:val="single" w:sz="4" w:space="0" w:color="auto"/>
            </w:tcBorders>
          </w:tcPr>
          <w:p w14:paraId="0452A6D9" w14:textId="77777777" w:rsidR="00CF641C" w:rsidRPr="00520861" w:rsidRDefault="00CF641C" w:rsidP="00292D2E">
            <w:pPr>
              <w:widowControl w:val="0"/>
              <w:spacing w:line="360" w:lineRule="auto"/>
              <w:contextualSpacing/>
              <w:jc w:val="center"/>
              <w:rPr>
                <w:rFonts w:eastAsiaTheme="minorHAnsi"/>
                <w:sz w:val="28"/>
                <w:szCs w:val="28"/>
                <w:lang w:val="en-US" w:eastAsia="en-US"/>
              </w:rPr>
            </w:pPr>
            <w:r w:rsidRPr="00520861">
              <w:rPr>
                <w:rFonts w:eastAsiaTheme="minorHAnsi"/>
                <w:sz w:val="28"/>
                <w:szCs w:val="28"/>
                <w:lang w:eastAsia="en-US"/>
              </w:rPr>
              <w:t>0,490</w:t>
            </w:r>
            <w:r w:rsidRPr="00520861">
              <w:rPr>
                <w:rFonts w:eastAsia="Calibri"/>
                <w:sz w:val="28"/>
                <w:szCs w:val="28"/>
                <w:lang w:eastAsia="en-US"/>
              </w:rPr>
              <w:t>*</w:t>
            </w:r>
            <w:r w:rsidRPr="00520861">
              <w:rPr>
                <w:rFonts w:eastAsiaTheme="minorHAnsi"/>
                <w:sz w:val="28"/>
                <w:szCs w:val="28"/>
                <w:lang w:eastAsia="en-US"/>
              </w:rPr>
              <w:t xml:space="preserve"> (0,574; 0,460), </w:t>
            </w:r>
            <w:r w:rsidRPr="00520861">
              <w:rPr>
                <w:i/>
                <w:sz w:val="28"/>
                <w:szCs w:val="28"/>
              </w:rPr>
              <w:t>p</w:t>
            </w:r>
            <w:r w:rsidRPr="00520861">
              <w:rPr>
                <w:sz w:val="28"/>
                <w:szCs w:val="28"/>
                <w:lang w:val="en-US"/>
              </w:rPr>
              <w:t>&lt;</w:t>
            </w:r>
            <w:r w:rsidRPr="00520861">
              <w:rPr>
                <w:sz w:val="28"/>
                <w:szCs w:val="28"/>
              </w:rPr>
              <w:t>0,000</w:t>
            </w:r>
            <w:r w:rsidRPr="00520861">
              <w:rPr>
                <w:sz w:val="28"/>
                <w:szCs w:val="28"/>
                <w:lang w:val="en-US"/>
              </w:rPr>
              <w:t>05</w:t>
            </w:r>
          </w:p>
        </w:tc>
        <w:tc>
          <w:tcPr>
            <w:tcW w:w="3969" w:type="dxa"/>
            <w:tcBorders>
              <w:top w:val="single" w:sz="4" w:space="0" w:color="auto"/>
              <w:left w:val="single" w:sz="4" w:space="0" w:color="auto"/>
              <w:bottom w:val="single" w:sz="4" w:space="0" w:color="auto"/>
              <w:right w:val="single" w:sz="4" w:space="0" w:color="auto"/>
            </w:tcBorders>
          </w:tcPr>
          <w:p w14:paraId="71D794B1" w14:textId="77777777" w:rsidR="00CF641C" w:rsidRPr="00520861" w:rsidRDefault="00CF641C"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4,53</w:t>
            </w:r>
            <w:r w:rsidRPr="00520861">
              <w:rPr>
                <w:rFonts w:eastAsia="Calibri"/>
                <w:sz w:val="28"/>
                <w:szCs w:val="28"/>
                <w:lang w:eastAsia="en-US"/>
              </w:rPr>
              <w:t>*</w:t>
            </w:r>
            <w:r w:rsidRPr="00520861">
              <w:rPr>
                <w:rFonts w:eastAsiaTheme="minorHAnsi"/>
                <w:sz w:val="28"/>
                <w:szCs w:val="28"/>
                <w:lang w:eastAsia="en-US"/>
              </w:rPr>
              <w:t xml:space="preserve"> (5,21; 4,35), </w:t>
            </w:r>
            <w:r w:rsidRPr="00520861">
              <w:rPr>
                <w:i/>
                <w:sz w:val="28"/>
                <w:szCs w:val="28"/>
              </w:rPr>
              <w:t>p</w:t>
            </w:r>
            <w:r w:rsidRPr="00520861">
              <w:rPr>
                <w:sz w:val="28"/>
                <w:szCs w:val="28"/>
              </w:rPr>
              <w:t>=0,00002</w:t>
            </w:r>
          </w:p>
        </w:tc>
      </w:tr>
    </w:tbl>
    <w:p w14:paraId="4AF5BF0F"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50AF79E4"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color w:val="000000" w:themeColor="text1"/>
          <w:sz w:val="28"/>
          <w:szCs w:val="28"/>
          <w:lang w:eastAsia="en-US"/>
        </w:rPr>
        <w:lastRenderedPageBreak/>
        <w:t xml:space="preserve">По досягненні тваринами групи 1 віку 6 місяців суттєвих змін стану пульпи не спостерігається, її стан зіставний із таким у контрольних тварин. У тварин цієї групи показники оптичної густини цитоплазми відростків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вірогідно нижчі за такі у контрольних тварин (табл. 3.15).</w:t>
      </w:r>
    </w:p>
    <w:p w14:paraId="76E3F8B1"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sz w:val="28"/>
          <w:szCs w:val="28"/>
          <w:lang w:eastAsia="en-US"/>
        </w:rPr>
        <w:t xml:space="preserve">У </w:t>
      </w:r>
      <w:r w:rsidRPr="00520861">
        <w:rPr>
          <w:rFonts w:eastAsia="Calibri"/>
          <w:color w:val="000000" w:themeColor="text1"/>
          <w:sz w:val="28"/>
          <w:szCs w:val="28"/>
          <w:lang w:eastAsia="en-US"/>
        </w:rPr>
        <w:t>деяких</w:t>
      </w:r>
      <w:r w:rsidRPr="00520861">
        <w:rPr>
          <w:rFonts w:eastAsia="Calibri"/>
          <w:sz w:val="28"/>
          <w:szCs w:val="28"/>
          <w:lang w:eastAsia="en-US"/>
        </w:rPr>
        <w:t xml:space="preserve"> шестимісячних </w:t>
      </w:r>
      <w:r w:rsidRPr="00520861">
        <w:rPr>
          <w:rFonts w:eastAsia="Calibri"/>
          <w:color w:val="000000" w:themeColor="text1"/>
          <w:sz w:val="28"/>
          <w:szCs w:val="28"/>
          <w:lang w:eastAsia="en-US"/>
        </w:rPr>
        <w:t xml:space="preserve">тварин групи 2 спостерігаються ділянки пульпи без шару </w:t>
      </w:r>
      <w:proofErr w:type="spellStart"/>
      <w:r w:rsidRPr="00520861">
        <w:rPr>
          <w:rFonts w:eastAsia="Calibri"/>
          <w:color w:val="000000" w:themeColor="text1"/>
          <w:sz w:val="28"/>
          <w:szCs w:val="28"/>
          <w:lang w:eastAsia="en-US"/>
        </w:rPr>
        <w:t>одонобластів</w:t>
      </w:r>
      <w:proofErr w:type="spellEnd"/>
      <w:r w:rsidRPr="00520861">
        <w:rPr>
          <w:rFonts w:eastAsia="Calibri"/>
          <w:color w:val="000000" w:themeColor="text1"/>
          <w:sz w:val="28"/>
          <w:szCs w:val="28"/>
          <w:lang w:eastAsia="en-US"/>
        </w:rPr>
        <w:t xml:space="preserve">. </w:t>
      </w:r>
      <w:proofErr w:type="spellStart"/>
      <w:r w:rsidRPr="00520861">
        <w:rPr>
          <w:rFonts w:eastAsia="Calibri"/>
          <w:color w:val="000000" w:themeColor="text1"/>
          <w:sz w:val="28"/>
          <w:szCs w:val="28"/>
          <w:lang w:eastAsia="en-US"/>
        </w:rPr>
        <w:t>Одонобласти</w:t>
      </w:r>
      <w:proofErr w:type="spellEnd"/>
      <w:r w:rsidRPr="00520861">
        <w:rPr>
          <w:rFonts w:eastAsia="Calibri"/>
          <w:color w:val="000000" w:themeColor="text1"/>
          <w:sz w:val="28"/>
          <w:szCs w:val="28"/>
          <w:lang w:eastAsia="en-US"/>
        </w:rPr>
        <w:t xml:space="preserve">, що залишилися –  крупніші ніж у групі контролю (табл. 3.15). Процес </w:t>
      </w:r>
      <w:proofErr w:type="spellStart"/>
      <w:r w:rsidRPr="00520861">
        <w:rPr>
          <w:rFonts w:eastAsia="Calibri"/>
          <w:color w:val="000000" w:themeColor="text1"/>
          <w:sz w:val="28"/>
          <w:szCs w:val="28"/>
          <w:lang w:eastAsia="en-US"/>
        </w:rPr>
        <w:t>атрофізації</w:t>
      </w:r>
      <w:proofErr w:type="spellEnd"/>
      <w:r w:rsidRPr="00520861">
        <w:rPr>
          <w:rFonts w:eastAsia="Calibri"/>
          <w:color w:val="000000" w:themeColor="text1"/>
          <w:sz w:val="28"/>
          <w:szCs w:val="28"/>
          <w:lang w:eastAsia="en-US"/>
        </w:rPr>
        <w:t xml:space="preserve"> пульпи та компенсаторного збільшення РНК у цитоплазмі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w:t>
      </w:r>
      <w:proofErr w:type="spellStart"/>
      <w:r w:rsidRPr="00520861">
        <w:rPr>
          <w:rFonts w:eastAsia="Calibri"/>
          <w:color w:val="000000" w:themeColor="text1"/>
          <w:sz w:val="28"/>
          <w:szCs w:val="28"/>
          <w:lang w:eastAsia="en-US"/>
        </w:rPr>
        <w:t>інтенсивно</w:t>
      </w:r>
      <w:proofErr w:type="spellEnd"/>
      <w:r w:rsidRPr="00520861">
        <w:rPr>
          <w:rFonts w:eastAsia="Calibri"/>
          <w:color w:val="000000" w:themeColor="text1"/>
          <w:sz w:val="28"/>
          <w:szCs w:val="28"/>
          <w:lang w:eastAsia="en-US"/>
        </w:rPr>
        <w:t xml:space="preserve"> виражений. У пульпі зубів тварин цієї групи при забарвленні за Ван </w:t>
      </w:r>
      <w:proofErr w:type="spellStart"/>
      <w:r w:rsidRPr="00520861">
        <w:rPr>
          <w:rFonts w:eastAsia="Calibri"/>
          <w:color w:val="000000" w:themeColor="text1"/>
          <w:sz w:val="28"/>
          <w:szCs w:val="28"/>
          <w:lang w:eastAsia="en-US"/>
        </w:rPr>
        <w:t>Гізоном</w:t>
      </w:r>
      <w:proofErr w:type="spellEnd"/>
      <w:r w:rsidRPr="00520861">
        <w:rPr>
          <w:rFonts w:eastAsia="Calibri"/>
          <w:color w:val="000000" w:themeColor="text1"/>
          <w:sz w:val="28"/>
          <w:szCs w:val="28"/>
          <w:lang w:eastAsia="en-US"/>
        </w:rPr>
        <w:t xml:space="preserve"> спостерігається збільшення кількості </w:t>
      </w:r>
      <w:proofErr w:type="spellStart"/>
      <w:r w:rsidRPr="00520861">
        <w:rPr>
          <w:rFonts w:eastAsia="Calibri"/>
          <w:color w:val="000000" w:themeColor="text1"/>
          <w:sz w:val="28"/>
          <w:szCs w:val="28"/>
          <w:lang w:eastAsia="en-US"/>
        </w:rPr>
        <w:t>фуксинофільного</w:t>
      </w:r>
      <w:proofErr w:type="spellEnd"/>
      <w:r w:rsidRPr="00520861">
        <w:rPr>
          <w:rFonts w:eastAsia="Calibri"/>
          <w:color w:val="000000" w:themeColor="text1"/>
          <w:sz w:val="28"/>
          <w:szCs w:val="28"/>
          <w:lang w:eastAsia="en-US"/>
        </w:rPr>
        <w:t xml:space="preserve"> колагену (рис. 3.23</w:t>
      </w:r>
      <w:r w:rsidRPr="00520861">
        <w:rPr>
          <w:rFonts w:eastAsia="Calibri"/>
          <w:i/>
          <w:color w:val="000000" w:themeColor="text1"/>
          <w:sz w:val="28"/>
          <w:szCs w:val="28"/>
          <w:lang w:eastAsia="en-US"/>
        </w:rPr>
        <w:t>а</w:t>
      </w:r>
      <w:r w:rsidRPr="00520861">
        <w:rPr>
          <w:rFonts w:eastAsia="Calibri"/>
          <w:color w:val="000000" w:themeColor="text1"/>
          <w:sz w:val="28"/>
          <w:szCs w:val="28"/>
          <w:lang w:eastAsia="en-US"/>
        </w:rPr>
        <w:t xml:space="preserve">), що підтверджує думку про швидку </w:t>
      </w:r>
      <w:proofErr w:type="spellStart"/>
      <w:r w:rsidRPr="00520861">
        <w:rPr>
          <w:rFonts w:eastAsia="Calibri"/>
          <w:color w:val="000000" w:themeColor="text1"/>
          <w:sz w:val="28"/>
          <w:szCs w:val="28"/>
          <w:lang w:eastAsia="en-US"/>
        </w:rPr>
        <w:t>атрофізацію</w:t>
      </w:r>
      <w:proofErr w:type="spellEnd"/>
      <w:r w:rsidRPr="00520861">
        <w:rPr>
          <w:rFonts w:eastAsia="Calibri"/>
          <w:color w:val="000000" w:themeColor="text1"/>
          <w:sz w:val="28"/>
          <w:szCs w:val="28"/>
          <w:lang w:eastAsia="en-US"/>
        </w:rPr>
        <w:t xml:space="preserve"> пульпи.</w:t>
      </w:r>
    </w:p>
    <w:p w14:paraId="22C8887A"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У тварин групи 3 спостерігається </w:t>
      </w:r>
      <w:proofErr w:type="spellStart"/>
      <w:r w:rsidRPr="00520861">
        <w:rPr>
          <w:rFonts w:eastAsia="Calibri"/>
          <w:color w:val="000000" w:themeColor="text1"/>
          <w:sz w:val="28"/>
          <w:szCs w:val="28"/>
          <w:lang w:eastAsia="en-US"/>
        </w:rPr>
        <w:t>гіпопластичний</w:t>
      </w:r>
      <w:proofErr w:type="spellEnd"/>
      <w:r w:rsidRPr="00520861">
        <w:rPr>
          <w:rFonts w:eastAsia="Calibri"/>
          <w:color w:val="000000" w:themeColor="text1"/>
          <w:sz w:val="28"/>
          <w:szCs w:val="28"/>
          <w:lang w:eastAsia="en-US"/>
        </w:rPr>
        <w:t xml:space="preserve"> стан пульпи, явища </w:t>
      </w:r>
      <w:proofErr w:type="spellStart"/>
      <w:r w:rsidRPr="00520861">
        <w:rPr>
          <w:rFonts w:eastAsia="Calibri"/>
          <w:color w:val="000000" w:themeColor="text1"/>
          <w:sz w:val="28"/>
          <w:szCs w:val="28"/>
          <w:lang w:eastAsia="en-US"/>
        </w:rPr>
        <w:t>периваскулярного</w:t>
      </w:r>
      <w:proofErr w:type="spellEnd"/>
      <w:r w:rsidRPr="00520861">
        <w:rPr>
          <w:rFonts w:eastAsia="Calibri"/>
          <w:color w:val="000000" w:themeColor="text1"/>
          <w:sz w:val="28"/>
          <w:szCs w:val="28"/>
          <w:lang w:eastAsia="en-US"/>
        </w:rPr>
        <w:t xml:space="preserve"> склерозу (рис. 3.23</w:t>
      </w:r>
      <w:r w:rsidRPr="00520861">
        <w:rPr>
          <w:rFonts w:eastAsia="Calibri"/>
          <w:i/>
          <w:color w:val="000000" w:themeColor="text1"/>
          <w:sz w:val="28"/>
          <w:szCs w:val="28"/>
          <w:lang w:eastAsia="en-US"/>
        </w:rPr>
        <w:t>б</w:t>
      </w:r>
      <w:r w:rsidRPr="00520861">
        <w:rPr>
          <w:rFonts w:eastAsia="Calibri"/>
          <w:color w:val="000000" w:themeColor="text1"/>
          <w:sz w:val="28"/>
          <w:szCs w:val="28"/>
          <w:lang w:eastAsia="en-US"/>
        </w:rPr>
        <w:t xml:space="preserve">). У тварин цієї групи медіанні значення тіл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менші за контрольні на третину (табл. 3.15), а компенсаторне збільшення вмісту РНК у цитоплазмі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 максимальне відносно інших щурів ОГ.</w:t>
      </w:r>
    </w:p>
    <w:p w14:paraId="022872A3" w14:textId="77777777" w:rsidR="00CF641C" w:rsidRPr="00520861" w:rsidRDefault="00CF641C" w:rsidP="00292D2E">
      <w:pPr>
        <w:widowControl w:val="0"/>
        <w:spacing w:line="360" w:lineRule="auto"/>
        <w:ind w:firstLine="708"/>
        <w:contextualSpacing/>
        <w:jc w:val="both"/>
        <w:rPr>
          <w:rFonts w:eastAsia="Calibri"/>
          <w:color w:val="000000" w:themeColor="text1"/>
          <w:spacing w:val="-6"/>
          <w:sz w:val="28"/>
          <w:szCs w:val="28"/>
          <w:lang w:eastAsia="en-US"/>
        </w:rPr>
      </w:pPr>
      <w:r w:rsidRPr="00520861">
        <w:rPr>
          <w:rFonts w:eastAsia="Calibri"/>
          <w:color w:val="000000" w:themeColor="text1"/>
          <w:sz w:val="28"/>
          <w:szCs w:val="28"/>
          <w:lang w:eastAsia="en-US"/>
        </w:rPr>
        <w:t xml:space="preserve">До віку 6 місяців </w:t>
      </w:r>
      <w:proofErr w:type="spellStart"/>
      <w:r w:rsidRPr="00520861">
        <w:rPr>
          <w:rFonts w:eastAsia="Calibri"/>
          <w:color w:val="000000" w:themeColor="text1"/>
          <w:sz w:val="28"/>
          <w:szCs w:val="28"/>
          <w:lang w:eastAsia="en-US"/>
        </w:rPr>
        <w:t>атрофізація</w:t>
      </w:r>
      <w:proofErr w:type="spellEnd"/>
      <w:r w:rsidRPr="00520861">
        <w:rPr>
          <w:rFonts w:eastAsia="Calibri"/>
          <w:color w:val="000000" w:themeColor="text1"/>
          <w:sz w:val="28"/>
          <w:szCs w:val="28"/>
          <w:lang w:eastAsia="en-US"/>
        </w:rPr>
        <w:t xml:space="preserve"> пульпи у тварин групи 4 прогресує – середній розмір тіл </w:t>
      </w:r>
      <w:proofErr w:type="spellStart"/>
      <w:r w:rsidRPr="00520861">
        <w:rPr>
          <w:rFonts w:eastAsia="Calibri"/>
          <w:color w:val="000000" w:themeColor="text1"/>
          <w:sz w:val="28"/>
          <w:szCs w:val="28"/>
          <w:lang w:eastAsia="en-US"/>
        </w:rPr>
        <w:t>одонтобластів</w:t>
      </w:r>
      <w:proofErr w:type="spellEnd"/>
      <w:r w:rsidRPr="00520861">
        <w:rPr>
          <w:rFonts w:eastAsia="Calibri"/>
          <w:color w:val="000000" w:themeColor="text1"/>
          <w:sz w:val="28"/>
          <w:szCs w:val="28"/>
          <w:lang w:eastAsia="en-US"/>
        </w:rPr>
        <w:t xml:space="preserve"> на 55% менший, ніж у контролі. Спостерігаються ділянки пульпи, де </w:t>
      </w:r>
      <w:proofErr w:type="spellStart"/>
      <w:r w:rsidRPr="00520861">
        <w:rPr>
          <w:rFonts w:eastAsia="Calibri"/>
          <w:color w:val="000000" w:themeColor="text1"/>
          <w:sz w:val="28"/>
          <w:szCs w:val="28"/>
          <w:lang w:eastAsia="en-US"/>
        </w:rPr>
        <w:t>одонтобласти</w:t>
      </w:r>
      <w:proofErr w:type="spellEnd"/>
      <w:r w:rsidRPr="00520861">
        <w:rPr>
          <w:rFonts w:eastAsia="Calibri"/>
          <w:color w:val="000000" w:themeColor="text1"/>
          <w:sz w:val="28"/>
          <w:szCs w:val="28"/>
          <w:lang w:eastAsia="en-US"/>
        </w:rPr>
        <w:t xml:space="preserve"> відсутні, а центральна частина пульпи багатоклітинна з домінуванням фіброцитів. </w:t>
      </w:r>
      <w:r w:rsidRPr="00520861">
        <w:rPr>
          <w:rFonts w:eastAsia="Calibri"/>
          <w:color w:val="000000" w:themeColor="text1"/>
          <w:spacing w:val="-6"/>
          <w:sz w:val="28"/>
          <w:szCs w:val="28"/>
          <w:lang w:eastAsia="en-US"/>
        </w:rPr>
        <w:t xml:space="preserve">Високий рівень РНК у тварин груп 3 та 4 має компенсаторний характер і свідчить про те, що </w:t>
      </w:r>
      <w:proofErr w:type="spellStart"/>
      <w:r w:rsidRPr="00520861">
        <w:rPr>
          <w:rFonts w:eastAsia="Calibri"/>
          <w:color w:val="000000" w:themeColor="text1"/>
          <w:spacing w:val="-6"/>
          <w:sz w:val="28"/>
          <w:szCs w:val="28"/>
          <w:lang w:eastAsia="en-US"/>
        </w:rPr>
        <w:t>атрофізація</w:t>
      </w:r>
      <w:proofErr w:type="spellEnd"/>
      <w:r w:rsidRPr="00520861">
        <w:rPr>
          <w:rFonts w:eastAsia="Calibri"/>
          <w:color w:val="000000" w:themeColor="text1"/>
          <w:spacing w:val="-6"/>
          <w:sz w:val="28"/>
          <w:szCs w:val="28"/>
          <w:lang w:eastAsia="en-US"/>
        </w:rPr>
        <w:t xml:space="preserve"> </w:t>
      </w:r>
      <w:proofErr w:type="spellStart"/>
      <w:r w:rsidRPr="00520861">
        <w:rPr>
          <w:rFonts w:eastAsia="Calibri"/>
          <w:color w:val="000000" w:themeColor="text1"/>
          <w:spacing w:val="-6"/>
          <w:sz w:val="28"/>
          <w:szCs w:val="28"/>
          <w:lang w:eastAsia="en-US"/>
        </w:rPr>
        <w:t>одонтобластів</w:t>
      </w:r>
      <w:proofErr w:type="spellEnd"/>
      <w:r w:rsidRPr="00520861">
        <w:rPr>
          <w:rFonts w:eastAsia="Calibri"/>
          <w:color w:val="000000" w:themeColor="text1"/>
          <w:spacing w:val="-6"/>
          <w:sz w:val="28"/>
          <w:szCs w:val="28"/>
          <w:lang w:eastAsia="en-US"/>
        </w:rPr>
        <w:t xml:space="preserve"> посилилася (табл. 3.15). </w:t>
      </w:r>
    </w:p>
    <w:p w14:paraId="64C2812C"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Медіанні значення кількості каріозних уражень у тварин груп 1 та 2 були </w:t>
      </w:r>
      <w:r w:rsidR="005F69B6" w:rsidRPr="00520861">
        <w:rPr>
          <w:rFonts w:eastAsia="Calibri"/>
          <w:sz w:val="28"/>
          <w:szCs w:val="28"/>
          <w:lang w:eastAsia="en-US"/>
        </w:rPr>
        <w:br/>
      </w:r>
      <w:r w:rsidRPr="00520861">
        <w:rPr>
          <w:rFonts w:eastAsia="Calibri"/>
          <w:sz w:val="28"/>
          <w:szCs w:val="28"/>
          <w:lang w:eastAsia="en-US"/>
        </w:rPr>
        <w:t xml:space="preserve">зіставними з контролем (табл. 3.16). У щурів груп 3 та 4 медіанні значення кількості каріозних уражень вірогідно вищі, ніж у контролі. Для виявлення можливого зв’язку між значенням індексу маси тіла тварини при народженні та кількістю в неї зубів із карієсом були розраховані коефіцієнти кореляції </w:t>
      </w:r>
      <w:proofErr w:type="spellStart"/>
      <w:r w:rsidRPr="00520861">
        <w:rPr>
          <w:rFonts w:eastAsia="Calibri"/>
          <w:sz w:val="28"/>
          <w:szCs w:val="28"/>
          <w:lang w:eastAsia="en-US"/>
        </w:rPr>
        <w:t>Пірсона</w:t>
      </w:r>
      <w:proofErr w:type="spellEnd"/>
      <w:r w:rsidRPr="00520861">
        <w:rPr>
          <w:rFonts w:eastAsia="Calibri"/>
          <w:sz w:val="28"/>
          <w:szCs w:val="28"/>
          <w:lang w:eastAsia="en-US"/>
        </w:rPr>
        <w:t>. Результати наведені в таблиці 3.17. Для 6-місячних щурів контрольної групи вірогідно спостерігається сильна кореляція (|</w:t>
      </w:r>
      <w:r w:rsidRPr="00520861">
        <w:rPr>
          <w:rFonts w:eastAsia="Calibri"/>
          <w:i/>
          <w:sz w:val="28"/>
          <w:szCs w:val="28"/>
          <w:lang w:eastAsia="en-US"/>
        </w:rPr>
        <w:t>r</w:t>
      </w:r>
      <w:r w:rsidRPr="00520861">
        <w:rPr>
          <w:rFonts w:eastAsia="Calibri"/>
          <w:sz w:val="28"/>
          <w:szCs w:val="28"/>
          <w:lang w:eastAsia="en-US"/>
        </w:rPr>
        <w:t>|&gt;0.75</w:t>
      </w:r>
      <w:r w:rsidRPr="00520861">
        <w:rPr>
          <w:rFonts w:eastAsia="Calibri"/>
          <w:spacing w:val="-2"/>
          <w:sz w:val="28"/>
          <w:szCs w:val="28"/>
          <w:lang w:eastAsia="en-US"/>
        </w:rPr>
        <w:t>). При збільшенні статистики (для рядків «</w:t>
      </w:r>
      <w:proofErr w:type="spellStart"/>
      <w:r w:rsidRPr="00520861">
        <w:rPr>
          <w:rFonts w:eastAsia="Calibri"/>
          <w:spacing w:val="-2"/>
          <w:sz w:val="28"/>
          <w:szCs w:val="28"/>
          <w:lang w:eastAsia="en-US"/>
        </w:rPr>
        <w:t>макросоми</w:t>
      </w:r>
      <w:proofErr w:type="spellEnd"/>
      <w:r w:rsidRPr="00520861">
        <w:rPr>
          <w:rFonts w:eastAsia="Calibri"/>
          <w:spacing w:val="-2"/>
          <w:sz w:val="28"/>
          <w:szCs w:val="28"/>
          <w:lang w:eastAsia="en-US"/>
        </w:rPr>
        <w:t xml:space="preserve"> разом» та «всі групи разом») виявляються надійні кореляційні зв’язки– сильна позитивна кореляція.</w:t>
      </w:r>
      <w:r w:rsidRPr="00520861">
        <w:rPr>
          <w:rFonts w:eastAsia="Calibri"/>
          <w:sz w:val="28"/>
          <w:szCs w:val="28"/>
          <w:lang w:eastAsia="en-US"/>
        </w:rPr>
        <w:t xml:space="preserve"> У всіх групах тварин спостерігалися виражені порушення зубів некаріозного походження (стирання зубів, ерозії) та тріщини емалі. У деяких тварин внаслідок </w:t>
      </w:r>
      <w:proofErr w:type="spellStart"/>
      <w:r w:rsidRPr="00520861">
        <w:rPr>
          <w:rFonts w:eastAsia="Calibri"/>
          <w:sz w:val="28"/>
          <w:szCs w:val="28"/>
          <w:lang w:eastAsia="en-US"/>
        </w:rPr>
        <w:t>стертості</w:t>
      </w:r>
      <w:proofErr w:type="spellEnd"/>
      <w:r w:rsidRPr="00520861">
        <w:rPr>
          <w:rFonts w:eastAsia="Calibri"/>
          <w:sz w:val="28"/>
          <w:szCs w:val="28"/>
          <w:lang w:eastAsia="en-US"/>
        </w:rPr>
        <w:t xml:space="preserve"> емалі і дентину спостерігалася відкрита </w:t>
      </w:r>
      <w:proofErr w:type="spellStart"/>
      <w:r w:rsidRPr="00520861">
        <w:rPr>
          <w:rFonts w:eastAsia="Calibri"/>
          <w:sz w:val="28"/>
          <w:szCs w:val="28"/>
          <w:lang w:eastAsia="en-US"/>
        </w:rPr>
        <w:t>пульпова</w:t>
      </w:r>
      <w:proofErr w:type="spellEnd"/>
      <w:r w:rsidRPr="00520861">
        <w:rPr>
          <w:rFonts w:eastAsia="Calibri"/>
          <w:sz w:val="28"/>
          <w:szCs w:val="28"/>
          <w:lang w:eastAsia="en-US"/>
        </w:rPr>
        <w:t xml:space="preserve"> камера молярів (рис. 3.24). </w:t>
      </w:r>
    </w:p>
    <w:p w14:paraId="14E26A67" w14:textId="77777777" w:rsidR="00CF641C" w:rsidRPr="00520861" w:rsidRDefault="00CF641C" w:rsidP="00292D2E">
      <w:pPr>
        <w:widowControl w:val="0"/>
        <w:spacing w:line="360" w:lineRule="auto"/>
        <w:contextualSpacing/>
        <w:jc w:val="center"/>
        <w:rPr>
          <w:rFonts w:eastAsia="Calibri"/>
          <w:color w:val="000000" w:themeColor="text1"/>
          <w:sz w:val="28"/>
          <w:szCs w:val="28"/>
          <w:lang w:eastAsia="en-US"/>
        </w:rPr>
      </w:pPr>
      <w:r w:rsidRPr="00520861">
        <w:rPr>
          <w:rFonts w:eastAsia="Calibri"/>
          <w:noProof/>
          <w:color w:val="000000" w:themeColor="text1"/>
          <w:sz w:val="28"/>
          <w:szCs w:val="28"/>
          <w:lang w:val="ru-RU"/>
        </w:rPr>
        <w:lastRenderedPageBreak/>
        <w:drawing>
          <wp:inline distT="0" distB="0" distL="0" distR="0" wp14:anchorId="1E4491A0" wp14:editId="47936192">
            <wp:extent cx="6411600" cy="2538000"/>
            <wp:effectExtent l="0" t="0" r="0" b="0"/>
            <wp:docPr id="43" name="Рисунок 43" descr="D:\тер стом\научн работа 1\дд друк\ на защиту\Маша\Рис\Рис3.2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D:\тер стом\научн работа 1\дд друк\ на защиту\Маша\Рис\Рис3.25.jpg"/>
                    <pic:cNvPicPr preferRelativeResize="0">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4D18ADBC"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color w:val="000000" w:themeColor="text1"/>
          <w:sz w:val="28"/>
          <w:szCs w:val="28"/>
          <w:lang w:eastAsia="en-US"/>
        </w:rPr>
        <w:t xml:space="preserve">Рис. 3.23. </w:t>
      </w:r>
      <w:r w:rsidRPr="00520861">
        <w:rPr>
          <w:rFonts w:eastAsia="Calibri"/>
          <w:sz w:val="28"/>
          <w:szCs w:val="28"/>
          <w:lang w:eastAsia="en-US"/>
        </w:rPr>
        <w:t>Пульпа зуба 180-денних щурів:</w:t>
      </w:r>
    </w:p>
    <w:p w14:paraId="46CDE79A"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sz w:val="28"/>
          <w:szCs w:val="28"/>
          <w:lang w:eastAsia="en-US"/>
        </w:rPr>
        <w:t xml:space="preserve"> </w:t>
      </w:r>
      <w:r w:rsidRPr="00520861">
        <w:rPr>
          <w:rFonts w:eastAsia="Calibri"/>
          <w:i/>
          <w:sz w:val="28"/>
          <w:szCs w:val="28"/>
          <w:lang w:eastAsia="en-US"/>
        </w:rPr>
        <w:t>а</w:t>
      </w:r>
      <w:r w:rsidRPr="00520861">
        <w:rPr>
          <w:rFonts w:eastAsia="Calibri"/>
          <w:sz w:val="28"/>
          <w:szCs w:val="28"/>
          <w:lang w:eastAsia="en-US"/>
        </w:rPr>
        <w:t xml:space="preserve">) – групи 2 (спостерігається велика кількість </w:t>
      </w:r>
      <w:proofErr w:type="spellStart"/>
      <w:r w:rsidRPr="00520861">
        <w:rPr>
          <w:rFonts w:eastAsia="Calibri"/>
          <w:color w:val="000000" w:themeColor="text1"/>
          <w:sz w:val="28"/>
          <w:szCs w:val="28"/>
          <w:lang w:eastAsia="en-US"/>
        </w:rPr>
        <w:t>фуксинофільного</w:t>
      </w:r>
      <w:proofErr w:type="spellEnd"/>
      <w:r w:rsidRPr="00520861">
        <w:rPr>
          <w:rFonts w:eastAsia="Calibri"/>
          <w:color w:val="000000" w:themeColor="text1"/>
          <w:sz w:val="28"/>
          <w:szCs w:val="28"/>
          <w:lang w:eastAsia="en-US"/>
        </w:rPr>
        <w:t xml:space="preserve"> </w:t>
      </w:r>
      <w:r w:rsidRPr="00520861">
        <w:rPr>
          <w:rFonts w:eastAsia="Calibri"/>
          <w:sz w:val="28"/>
          <w:szCs w:val="28"/>
          <w:lang w:eastAsia="en-US"/>
        </w:rPr>
        <w:t xml:space="preserve">колагену, який заміщує відмерлу пульпу); </w:t>
      </w:r>
    </w:p>
    <w:p w14:paraId="643AE4C5"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i/>
          <w:sz w:val="28"/>
          <w:szCs w:val="28"/>
          <w:lang w:eastAsia="en-US"/>
        </w:rPr>
        <w:t>б</w:t>
      </w:r>
      <w:r w:rsidRPr="00520861">
        <w:rPr>
          <w:rFonts w:eastAsia="Calibri"/>
          <w:sz w:val="28"/>
          <w:szCs w:val="28"/>
          <w:lang w:eastAsia="en-US"/>
        </w:rPr>
        <w:t xml:space="preserve">) – групи 3 (спостерігається </w:t>
      </w:r>
      <w:proofErr w:type="spellStart"/>
      <w:r w:rsidRPr="00520861">
        <w:rPr>
          <w:rFonts w:eastAsia="Calibri"/>
          <w:color w:val="000000" w:themeColor="text1"/>
          <w:sz w:val="28"/>
          <w:szCs w:val="28"/>
          <w:lang w:eastAsia="en-US"/>
        </w:rPr>
        <w:t>гіпопластичний</w:t>
      </w:r>
      <w:proofErr w:type="spellEnd"/>
      <w:r w:rsidRPr="00520861">
        <w:rPr>
          <w:rFonts w:eastAsia="Calibri"/>
          <w:color w:val="000000" w:themeColor="text1"/>
          <w:sz w:val="28"/>
          <w:szCs w:val="28"/>
          <w:lang w:eastAsia="en-US"/>
        </w:rPr>
        <w:t xml:space="preserve"> стан пульпи</w:t>
      </w:r>
      <w:r w:rsidRPr="00520861">
        <w:rPr>
          <w:rFonts w:eastAsia="Calibri"/>
          <w:sz w:val="28"/>
          <w:szCs w:val="28"/>
          <w:lang w:eastAsia="en-US"/>
        </w:rPr>
        <w:t xml:space="preserve"> </w:t>
      </w:r>
      <w:r w:rsidRPr="00520861">
        <w:rPr>
          <w:rFonts w:eastAsia="Calibri"/>
          <w:sz w:val="28"/>
          <w:szCs w:val="28"/>
          <w:lang w:eastAsia="en-US"/>
        </w:rPr>
        <w:br/>
      </w:r>
      <w:proofErr w:type="spellStart"/>
      <w:r w:rsidRPr="00520861">
        <w:rPr>
          <w:rFonts w:eastAsia="Calibri"/>
          <w:sz w:val="28"/>
          <w:szCs w:val="28"/>
          <w:lang w:eastAsia="en-US"/>
        </w:rPr>
        <w:t>периваскулярний</w:t>
      </w:r>
      <w:proofErr w:type="spellEnd"/>
      <w:r w:rsidRPr="00520861">
        <w:rPr>
          <w:rFonts w:eastAsia="Calibri"/>
          <w:sz w:val="28"/>
          <w:szCs w:val="28"/>
          <w:lang w:eastAsia="en-US"/>
        </w:rPr>
        <w:t xml:space="preserve"> склероз). </w:t>
      </w:r>
    </w:p>
    <w:p w14:paraId="42675400" w14:textId="77777777" w:rsidR="00CF641C" w:rsidRPr="00520861" w:rsidRDefault="00CF641C" w:rsidP="00292D2E">
      <w:pPr>
        <w:widowControl w:val="0"/>
        <w:spacing w:line="360" w:lineRule="auto"/>
        <w:ind w:firstLine="708"/>
        <w:contextualSpacing/>
        <w:jc w:val="center"/>
        <w:rPr>
          <w:rFonts w:eastAsia="Calibri"/>
          <w:sz w:val="28"/>
          <w:szCs w:val="28"/>
          <w:lang w:eastAsia="en-US"/>
        </w:rPr>
      </w:pPr>
      <w:r w:rsidRPr="00520861">
        <w:rPr>
          <w:rFonts w:eastAsia="Calibri"/>
          <w:sz w:val="28"/>
          <w:szCs w:val="28"/>
          <w:lang w:eastAsia="en-US"/>
        </w:rPr>
        <w:t xml:space="preserve">Забарвлення </w:t>
      </w:r>
      <w:proofErr w:type="spellStart"/>
      <w:r w:rsidRPr="00520861">
        <w:rPr>
          <w:rFonts w:eastAsia="Calibri"/>
          <w:sz w:val="28"/>
          <w:szCs w:val="28"/>
          <w:lang w:eastAsia="en-US"/>
        </w:rPr>
        <w:t>пікрофуксином</w:t>
      </w:r>
      <w:proofErr w:type="spellEnd"/>
      <w:r w:rsidRPr="00520861">
        <w:rPr>
          <w:rFonts w:eastAsia="Calibri"/>
          <w:sz w:val="28"/>
          <w:szCs w:val="28"/>
          <w:lang w:eastAsia="en-US"/>
        </w:rPr>
        <w:t xml:space="preserve"> за ван </w:t>
      </w:r>
      <w:proofErr w:type="spellStart"/>
      <w:r w:rsidRPr="00520861">
        <w:rPr>
          <w:rFonts w:eastAsia="Calibri"/>
          <w:sz w:val="28"/>
          <w:szCs w:val="28"/>
          <w:lang w:eastAsia="en-US"/>
        </w:rPr>
        <w:t>Гізоном</w:t>
      </w:r>
      <w:proofErr w:type="spellEnd"/>
      <w:r w:rsidRPr="00520861">
        <w:rPr>
          <w:rFonts w:eastAsia="Calibri"/>
          <w:sz w:val="28"/>
          <w:szCs w:val="28"/>
          <w:lang w:eastAsia="en-US"/>
        </w:rPr>
        <w:t xml:space="preserve">; збільшення </w:t>
      </w:r>
      <w:r w:rsidRPr="00520861">
        <w:rPr>
          <w:rFonts w:eastAsia="Calibri"/>
          <w:sz w:val="28"/>
          <w:szCs w:val="28"/>
          <w:lang w:eastAsia="en-US"/>
        </w:rPr>
        <w:sym w:font="Symbol" w:char="F0B4"/>
      </w:r>
      <w:r w:rsidRPr="00520861">
        <w:rPr>
          <w:rFonts w:eastAsia="Calibri"/>
          <w:sz w:val="28"/>
          <w:szCs w:val="28"/>
          <w:lang w:eastAsia="en-US"/>
        </w:rPr>
        <w:t>400.</w:t>
      </w:r>
    </w:p>
    <w:p w14:paraId="110E5633"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6E0D9FF7" w14:textId="77777777" w:rsidR="00CF641C" w:rsidRPr="00520861" w:rsidRDefault="00CF641C" w:rsidP="00292D2E">
      <w:pPr>
        <w:widowControl w:val="0"/>
        <w:spacing w:line="360" w:lineRule="auto"/>
        <w:contextualSpacing/>
        <w:jc w:val="right"/>
        <w:rPr>
          <w:rFonts w:eastAsiaTheme="minorHAnsi"/>
          <w:i/>
          <w:sz w:val="28"/>
          <w:szCs w:val="28"/>
          <w:lang w:eastAsia="en-US"/>
        </w:rPr>
      </w:pPr>
      <w:r w:rsidRPr="00520861">
        <w:rPr>
          <w:rFonts w:eastAsiaTheme="minorHAnsi"/>
          <w:i/>
          <w:sz w:val="28"/>
          <w:szCs w:val="28"/>
          <w:lang w:eastAsia="en-US"/>
        </w:rPr>
        <w:t xml:space="preserve">Таблиця 3.16 </w:t>
      </w:r>
    </w:p>
    <w:p w14:paraId="1BBEC4D6" w14:textId="77777777" w:rsidR="00CF641C" w:rsidRPr="00520861" w:rsidRDefault="00CF641C" w:rsidP="00292D2E">
      <w:pPr>
        <w:widowControl w:val="0"/>
        <w:spacing w:line="360" w:lineRule="auto"/>
        <w:contextualSpacing/>
        <w:jc w:val="center"/>
        <w:rPr>
          <w:rFonts w:eastAsiaTheme="minorHAnsi"/>
          <w:b/>
          <w:sz w:val="28"/>
          <w:szCs w:val="28"/>
          <w:lang w:eastAsia="en-US"/>
        </w:rPr>
      </w:pPr>
      <w:r w:rsidRPr="00520861">
        <w:rPr>
          <w:rFonts w:eastAsia="Calibri"/>
          <w:b/>
          <w:bCs/>
          <w:sz w:val="28"/>
          <w:szCs w:val="28"/>
          <w:lang w:eastAsia="en-US"/>
        </w:rPr>
        <w:t xml:space="preserve">Медіанні значення </w:t>
      </w:r>
      <w:proofErr w:type="spellStart"/>
      <w:r w:rsidRPr="00520861">
        <w:rPr>
          <w:rFonts w:eastAsia="Calibri"/>
          <w:b/>
          <w:bCs/>
          <w:sz w:val="28"/>
          <w:szCs w:val="28"/>
          <w:lang w:eastAsia="en-US"/>
        </w:rPr>
        <w:t>Me</w:t>
      </w:r>
      <w:proofErr w:type="spellEnd"/>
      <w:r w:rsidRPr="00520861">
        <w:rPr>
          <w:rFonts w:eastAsia="Calibri"/>
          <w:b/>
          <w:bCs/>
          <w:sz w:val="28"/>
          <w:szCs w:val="28"/>
          <w:lang w:val="ru-RU" w:eastAsia="en-US"/>
        </w:rPr>
        <w:t xml:space="preserve"> </w:t>
      </w:r>
      <w:r w:rsidRPr="00520861">
        <w:rPr>
          <w:rFonts w:eastAsia="Calibri"/>
          <w:b/>
          <w:bCs/>
          <w:sz w:val="28"/>
          <w:szCs w:val="28"/>
          <w:lang w:eastAsia="en-US"/>
        </w:rPr>
        <w:t>(Q3; Q1) п</w:t>
      </w:r>
      <w:r w:rsidRPr="00520861">
        <w:rPr>
          <w:rFonts w:eastAsiaTheme="minorHAnsi"/>
          <w:b/>
          <w:sz w:val="28"/>
          <w:szCs w:val="28"/>
          <w:lang w:eastAsia="en-US"/>
        </w:rPr>
        <w:t>оказників інтенсивності каріозних уражень у групах 6-и місячних експериментальних тварин</w:t>
      </w:r>
    </w:p>
    <w:tbl>
      <w:tblPr>
        <w:tblStyle w:val="41"/>
        <w:tblW w:w="0" w:type="auto"/>
        <w:jc w:val="center"/>
        <w:tblLook w:val="04A0" w:firstRow="1" w:lastRow="0" w:firstColumn="1" w:lastColumn="0" w:noHBand="0" w:noVBand="1"/>
      </w:tblPr>
      <w:tblGrid>
        <w:gridCol w:w="2660"/>
        <w:gridCol w:w="4678"/>
      </w:tblGrid>
      <w:tr w:rsidR="00CF641C" w:rsidRPr="00520861" w14:paraId="293C7A7C" w14:textId="77777777" w:rsidTr="00292D2E">
        <w:trPr>
          <w:jc w:val="center"/>
        </w:trPr>
        <w:tc>
          <w:tcPr>
            <w:tcW w:w="2660" w:type="dxa"/>
            <w:tcBorders>
              <w:top w:val="single" w:sz="4" w:space="0" w:color="auto"/>
              <w:left w:val="single" w:sz="4" w:space="0" w:color="auto"/>
              <w:right w:val="single" w:sz="4" w:space="0" w:color="auto"/>
            </w:tcBorders>
            <w:vAlign w:val="center"/>
          </w:tcPr>
          <w:p w14:paraId="00921432" w14:textId="77777777" w:rsidR="00CF641C" w:rsidRPr="00520861" w:rsidRDefault="00CF641C" w:rsidP="00292D2E">
            <w:pPr>
              <w:widowControl w:val="0"/>
              <w:spacing w:line="360" w:lineRule="auto"/>
              <w:rPr>
                <w:rFonts w:eastAsia="Calibri" w:cs="Times New Roman"/>
                <w:sz w:val="28"/>
                <w:szCs w:val="28"/>
              </w:rPr>
            </w:pPr>
            <w:r w:rsidRPr="00520861">
              <w:rPr>
                <w:rFonts w:cs="Times New Roman"/>
                <w:sz w:val="28"/>
                <w:szCs w:val="28"/>
              </w:rPr>
              <w:t xml:space="preserve">Група </w:t>
            </w:r>
          </w:p>
        </w:tc>
        <w:tc>
          <w:tcPr>
            <w:tcW w:w="4678" w:type="dxa"/>
          </w:tcPr>
          <w:p w14:paraId="7F1D7C74"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 xml:space="preserve">Кількість каріозних зубів, </w:t>
            </w:r>
            <w:r w:rsidRPr="00520861">
              <w:rPr>
                <w:rFonts w:eastAsiaTheme="minorHAnsi" w:cs="Times New Roman"/>
                <w:i/>
                <w:sz w:val="28"/>
                <w:szCs w:val="28"/>
              </w:rPr>
              <w:t>n</w:t>
            </w:r>
          </w:p>
        </w:tc>
      </w:tr>
      <w:tr w:rsidR="00CF641C" w:rsidRPr="00520861" w14:paraId="48050138" w14:textId="77777777" w:rsidTr="00292D2E">
        <w:trPr>
          <w:jc w:val="center"/>
        </w:trPr>
        <w:tc>
          <w:tcPr>
            <w:tcW w:w="2660" w:type="dxa"/>
          </w:tcPr>
          <w:p w14:paraId="1033AE4F" w14:textId="77777777" w:rsidR="00CF641C" w:rsidRPr="00520861" w:rsidRDefault="00CF641C" w:rsidP="00292D2E">
            <w:pPr>
              <w:widowControl w:val="0"/>
              <w:spacing w:line="360" w:lineRule="auto"/>
              <w:jc w:val="both"/>
              <w:rPr>
                <w:rFonts w:eastAsiaTheme="minorHAnsi" w:cs="Times New Roman"/>
                <w:sz w:val="28"/>
                <w:szCs w:val="28"/>
              </w:rPr>
            </w:pPr>
            <w:r w:rsidRPr="00520861">
              <w:rPr>
                <w:rFonts w:eastAsiaTheme="minorHAnsi" w:cs="Times New Roman"/>
                <w:sz w:val="28"/>
                <w:szCs w:val="28"/>
              </w:rPr>
              <w:t>Контроль</w:t>
            </w:r>
          </w:p>
        </w:tc>
        <w:tc>
          <w:tcPr>
            <w:tcW w:w="4678" w:type="dxa"/>
          </w:tcPr>
          <w:p w14:paraId="29B2B636"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6,00 (6,75; 6,00)</w:t>
            </w:r>
          </w:p>
        </w:tc>
      </w:tr>
      <w:tr w:rsidR="00CF641C" w:rsidRPr="00520861" w14:paraId="79256A5C" w14:textId="77777777" w:rsidTr="00292D2E">
        <w:trPr>
          <w:jc w:val="center"/>
        </w:trPr>
        <w:tc>
          <w:tcPr>
            <w:tcW w:w="2660" w:type="dxa"/>
          </w:tcPr>
          <w:p w14:paraId="030CA5C0" w14:textId="77777777" w:rsidR="00CF641C" w:rsidRPr="00520861" w:rsidRDefault="00CF641C" w:rsidP="00292D2E">
            <w:pPr>
              <w:widowControl w:val="0"/>
              <w:spacing w:line="360" w:lineRule="auto"/>
              <w:jc w:val="both"/>
              <w:rPr>
                <w:rFonts w:eastAsiaTheme="minorHAnsi" w:cs="Times New Roman"/>
                <w:sz w:val="28"/>
                <w:szCs w:val="28"/>
              </w:rPr>
            </w:pPr>
            <w:r w:rsidRPr="00520861">
              <w:rPr>
                <w:rFonts w:eastAsiaTheme="minorHAnsi" w:cs="Times New Roman"/>
                <w:sz w:val="28"/>
                <w:szCs w:val="28"/>
              </w:rPr>
              <w:t>Група 1</w:t>
            </w:r>
          </w:p>
        </w:tc>
        <w:tc>
          <w:tcPr>
            <w:tcW w:w="4678" w:type="dxa"/>
          </w:tcPr>
          <w:p w14:paraId="173F7984"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6,00 (7,00; 5,00)</w:t>
            </w:r>
          </w:p>
        </w:tc>
      </w:tr>
      <w:tr w:rsidR="00CF641C" w:rsidRPr="00520861" w14:paraId="79B3F9C1" w14:textId="77777777" w:rsidTr="00292D2E">
        <w:trPr>
          <w:jc w:val="center"/>
        </w:trPr>
        <w:tc>
          <w:tcPr>
            <w:tcW w:w="2660" w:type="dxa"/>
          </w:tcPr>
          <w:p w14:paraId="2B6E3F1D" w14:textId="77777777" w:rsidR="00CF641C" w:rsidRPr="00520861" w:rsidRDefault="00CF641C" w:rsidP="00292D2E">
            <w:pPr>
              <w:widowControl w:val="0"/>
              <w:spacing w:line="360" w:lineRule="auto"/>
              <w:jc w:val="both"/>
              <w:rPr>
                <w:rFonts w:eastAsiaTheme="minorHAnsi" w:cs="Times New Roman"/>
                <w:sz w:val="28"/>
                <w:szCs w:val="28"/>
              </w:rPr>
            </w:pPr>
            <w:r w:rsidRPr="00520861">
              <w:rPr>
                <w:rFonts w:eastAsiaTheme="minorHAnsi" w:cs="Times New Roman"/>
                <w:sz w:val="28"/>
                <w:szCs w:val="28"/>
              </w:rPr>
              <w:t>Група 2</w:t>
            </w:r>
          </w:p>
        </w:tc>
        <w:tc>
          <w:tcPr>
            <w:tcW w:w="4678" w:type="dxa"/>
          </w:tcPr>
          <w:p w14:paraId="3F780065"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6,00 (6,00; 5,25)</w:t>
            </w:r>
          </w:p>
        </w:tc>
      </w:tr>
      <w:tr w:rsidR="00CF641C" w:rsidRPr="00520861" w14:paraId="74E77AF7" w14:textId="77777777" w:rsidTr="00292D2E">
        <w:trPr>
          <w:jc w:val="center"/>
        </w:trPr>
        <w:tc>
          <w:tcPr>
            <w:tcW w:w="2660" w:type="dxa"/>
          </w:tcPr>
          <w:p w14:paraId="088163DE" w14:textId="77777777" w:rsidR="00CF641C" w:rsidRPr="00520861" w:rsidRDefault="00CF641C" w:rsidP="00292D2E">
            <w:pPr>
              <w:widowControl w:val="0"/>
              <w:spacing w:line="360" w:lineRule="auto"/>
              <w:jc w:val="both"/>
              <w:rPr>
                <w:rFonts w:eastAsiaTheme="minorHAnsi" w:cs="Times New Roman"/>
                <w:sz w:val="28"/>
                <w:szCs w:val="28"/>
              </w:rPr>
            </w:pPr>
            <w:r w:rsidRPr="00520861">
              <w:rPr>
                <w:rFonts w:eastAsiaTheme="minorHAnsi" w:cs="Times New Roman"/>
                <w:sz w:val="28"/>
                <w:szCs w:val="28"/>
              </w:rPr>
              <w:t>Група 3</w:t>
            </w:r>
          </w:p>
        </w:tc>
        <w:tc>
          <w:tcPr>
            <w:tcW w:w="4678" w:type="dxa"/>
          </w:tcPr>
          <w:p w14:paraId="66E0EDC6"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8,50</w:t>
            </w:r>
            <w:r w:rsidRPr="00520861">
              <w:rPr>
                <w:rFonts w:eastAsia="Calibri" w:cs="Times New Roman"/>
                <w:sz w:val="28"/>
                <w:szCs w:val="28"/>
              </w:rPr>
              <w:t>*</w:t>
            </w:r>
            <w:r w:rsidRPr="00520861">
              <w:rPr>
                <w:rFonts w:eastAsiaTheme="minorHAnsi" w:cs="Times New Roman"/>
                <w:sz w:val="28"/>
                <w:szCs w:val="28"/>
              </w:rPr>
              <w:t xml:space="preserve"> (9,75; 8,00), </w:t>
            </w:r>
          </w:p>
          <w:p w14:paraId="5E0EB2A0"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cs="Times New Roman"/>
                <w:i/>
                <w:sz w:val="28"/>
                <w:szCs w:val="28"/>
              </w:rPr>
              <w:t>p</w:t>
            </w:r>
            <w:r w:rsidRPr="00520861">
              <w:rPr>
                <w:rFonts w:cs="Times New Roman"/>
                <w:sz w:val="28"/>
                <w:szCs w:val="28"/>
              </w:rPr>
              <w:t>=0,00340</w:t>
            </w:r>
          </w:p>
        </w:tc>
      </w:tr>
      <w:tr w:rsidR="00CF641C" w:rsidRPr="00520861" w14:paraId="6ACE933D" w14:textId="77777777" w:rsidTr="00292D2E">
        <w:trPr>
          <w:jc w:val="center"/>
        </w:trPr>
        <w:tc>
          <w:tcPr>
            <w:tcW w:w="2660" w:type="dxa"/>
          </w:tcPr>
          <w:p w14:paraId="6F654393" w14:textId="77777777" w:rsidR="00CF641C" w:rsidRPr="00520861" w:rsidRDefault="00CF641C" w:rsidP="00292D2E">
            <w:pPr>
              <w:widowControl w:val="0"/>
              <w:spacing w:line="360" w:lineRule="auto"/>
              <w:jc w:val="both"/>
              <w:rPr>
                <w:rFonts w:eastAsiaTheme="minorHAnsi" w:cs="Times New Roman"/>
                <w:sz w:val="28"/>
                <w:szCs w:val="28"/>
              </w:rPr>
            </w:pPr>
            <w:r w:rsidRPr="00520861">
              <w:rPr>
                <w:rFonts w:eastAsiaTheme="minorHAnsi" w:cs="Times New Roman"/>
                <w:sz w:val="28"/>
                <w:szCs w:val="28"/>
              </w:rPr>
              <w:t>Група 4</w:t>
            </w:r>
          </w:p>
        </w:tc>
        <w:tc>
          <w:tcPr>
            <w:tcW w:w="4678" w:type="dxa"/>
          </w:tcPr>
          <w:p w14:paraId="1ADE4355"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8,00</w:t>
            </w:r>
            <w:r w:rsidRPr="00520861">
              <w:rPr>
                <w:rFonts w:eastAsia="Calibri" w:cs="Times New Roman"/>
                <w:sz w:val="28"/>
                <w:szCs w:val="28"/>
              </w:rPr>
              <w:t>*</w:t>
            </w:r>
            <w:r w:rsidRPr="00520861">
              <w:rPr>
                <w:rFonts w:eastAsiaTheme="minorHAnsi" w:cs="Times New Roman"/>
                <w:sz w:val="28"/>
                <w:szCs w:val="28"/>
              </w:rPr>
              <w:t xml:space="preserve"> (10,00; 8,00), </w:t>
            </w:r>
          </w:p>
          <w:p w14:paraId="5BC9E121" w14:textId="77777777" w:rsidR="00CF641C" w:rsidRPr="00520861" w:rsidRDefault="00CF641C" w:rsidP="00292D2E">
            <w:pPr>
              <w:widowControl w:val="0"/>
              <w:spacing w:line="360" w:lineRule="auto"/>
              <w:jc w:val="center"/>
              <w:rPr>
                <w:rFonts w:eastAsiaTheme="minorHAnsi" w:cs="Times New Roman"/>
                <w:sz w:val="28"/>
                <w:szCs w:val="28"/>
              </w:rPr>
            </w:pPr>
            <w:r w:rsidRPr="00520861">
              <w:rPr>
                <w:rFonts w:cs="Times New Roman"/>
                <w:i/>
                <w:sz w:val="28"/>
                <w:szCs w:val="28"/>
              </w:rPr>
              <w:t>p</w:t>
            </w:r>
            <w:r w:rsidRPr="00520861">
              <w:rPr>
                <w:rFonts w:cs="Times New Roman"/>
                <w:sz w:val="28"/>
                <w:szCs w:val="28"/>
              </w:rPr>
              <w:t>=0,00506</w:t>
            </w:r>
          </w:p>
        </w:tc>
      </w:tr>
    </w:tbl>
    <w:p w14:paraId="11F38CB7"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4769FE34" w14:textId="77777777" w:rsidR="00CF641C" w:rsidRPr="00520861" w:rsidRDefault="00CF641C" w:rsidP="00292D2E">
      <w:pPr>
        <w:widowControl w:val="0"/>
        <w:spacing w:line="360" w:lineRule="auto"/>
        <w:contextualSpacing/>
        <w:jc w:val="both"/>
        <w:rPr>
          <w:rFonts w:eastAsia="Calibri"/>
          <w:sz w:val="28"/>
          <w:szCs w:val="28"/>
          <w:lang w:eastAsia="en-US"/>
        </w:rPr>
      </w:pPr>
    </w:p>
    <w:p w14:paraId="4849F3CC" w14:textId="77777777" w:rsidR="00CF641C" w:rsidRPr="00520861" w:rsidRDefault="00CF641C"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lastRenderedPageBreak/>
        <w:t xml:space="preserve">Таблиця 3.17 </w:t>
      </w:r>
    </w:p>
    <w:p w14:paraId="581AA9F5" w14:textId="77777777" w:rsidR="00CF641C" w:rsidRPr="00520861" w:rsidRDefault="00CF641C" w:rsidP="00292D2E">
      <w:pPr>
        <w:widowControl w:val="0"/>
        <w:spacing w:line="360" w:lineRule="auto"/>
        <w:contextualSpacing/>
        <w:jc w:val="center"/>
        <w:rPr>
          <w:rFonts w:eastAsia="Calibri"/>
          <w:b/>
          <w:sz w:val="28"/>
          <w:szCs w:val="28"/>
          <w:lang w:eastAsia="en-US"/>
        </w:rPr>
      </w:pPr>
      <w:r w:rsidRPr="00520861">
        <w:rPr>
          <w:rFonts w:eastAsia="Calibri"/>
          <w:b/>
          <w:sz w:val="28"/>
          <w:szCs w:val="28"/>
          <w:lang w:eastAsia="en-US"/>
        </w:rPr>
        <w:t xml:space="preserve">Коефіцієнти кореляції </w:t>
      </w:r>
      <w:proofErr w:type="spellStart"/>
      <w:r w:rsidRPr="00520861">
        <w:rPr>
          <w:rFonts w:eastAsia="Calibri"/>
          <w:b/>
          <w:sz w:val="28"/>
          <w:szCs w:val="28"/>
          <w:lang w:eastAsia="en-US"/>
        </w:rPr>
        <w:t>Пірсона</w:t>
      </w:r>
      <w:proofErr w:type="spellEnd"/>
      <w:r w:rsidRPr="00520861">
        <w:rPr>
          <w:rFonts w:eastAsia="Calibri"/>
          <w:b/>
          <w:sz w:val="28"/>
          <w:szCs w:val="28"/>
          <w:lang w:eastAsia="en-US"/>
        </w:rPr>
        <w:t xml:space="preserve"> між значеннями індексів маси тіла при </w:t>
      </w:r>
      <w:r w:rsidRPr="00520861">
        <w:rPr>
          <w:rFonts w:eastAsia="Calibri"/>
          <w:b/>
          <w:sz w:val="28"/>
          <w:szCs w:val="28"/>
          <w:lang w:eastAsia="en-US"/>
        </w:rPr>
        <w:br/>
        <w:t xml:space="preserve">народженні та кількістю уражених карієсом зубів у тварин </w:t>
      </w:r>
      <w:r w:rsidRPr="00520861">
        <w:rPr>
          <w:rFonts w:eastAsia="Calibri"/>
          <w:b/>
          <w:sz w:val="28"/>
          <w:szCs w:val="28"/>
          <w:lang w:eastAsia="en-US"/>
        </w:rPr>
        <w:br/>
        <w:t>віком 6 місяців</w:t>
      </w:r>
    </w:p>
    <w:tbl>
      <w:tblPr>
        <w:tblStyle w:val="121"/>
        <w:tblW w:w="0" w:type="auto"/>
        <w:jc w:val="center"/>
        <w:tblLayout w:type="fixed"/>
        <w:tblLook w:val="04A0" w:firstRow="1" w:lastRow="0" w:firstColumn="1" w:lastColumn="0" w:noHBand="0" w:noVBand="1"/>
      </w:tblPr>
      <w:tblGrid>
        <w:gridCol w:w="2376"/>
        <w:gridCol w:w="1588"/>
        <w:gridCol w:w="1843"/>
        <w:gridCol w:w="3402"/>
      </w:tblGrid>
      <w:tr w:rsidR="00CF641C" w:rsidRPr="00520861" w14:paraId="509B37CE" w14:textId="77777777" w:rsidTr="00292D2E">
        <w:trPr>
          <w:jc w:val="center"/>
        </w:trPr>
        <w:tc>
          <w:tcPr>
            <w:tcW w:w="2376" w:type="dxa"/>
            <w:vMerge w:val="restart"/>
            <w:tcBorders>
              <w:top w:val="single" w:sz="4" w:space="0" w:color="auto"/>
              <w:left w:val="single" w:sz="4" w:space="0" w:color="auto"/>
              <w:right w:val="single" w:sz="4" w:space="0" w:color="auto"/>
            </w:tcBorders>
            <w:vAlign w:val="center"/>
            <w:hideMark/>
          </w:tcPr>
          <w:p w14:paraId="11F6F579" w14:textId="77777777" w:rsidR="00CF641C" w:rsidRPr="00520861" w:rsidRDefault="00CF641C" w:rsidP="00292D2E">
            <w:pPr>
              <w:widowControl w:val="0"/>
              <w:spacing w:line="360" w:lineRule="auto"/>
              <w:contextualSpacing/>
              <w:jc w:val="center"/>
              <w:rPr>
                <w:sz w:val="28"/>
                <w:szCs w:val="28"/>
              </w:rPr>
            </w:pPr>
            <w:r w:rsidRPr="00520861">
              <w:rPr>
                <w:sz w:val="28"/>
                <w:szCs w:val="28"/>
              </w:rPr>
              <w:t xml:space="preserve">Група </w:t>
            </w:r>
          </w:p>
          <w:p w14:paraId="4A33D1C9" w14:textId="77777777" w:rsidR="00CF641C" w:rsidRPr="00520861" w:rsidRDefault="00CF641C" w:rsidP="00292D2E">
            <w:pPr>
              <w:widowControl w:val="0"/>
              <w:spacing w:line="360" w:lineRule="auto"/>
              <w:contextualSpacing/>
              <w:jc w:val="center"/>
              <w:rPr>
                <w:rFonts w:eastAsia="Calibri"/>
                <w:sz w:val="28"/>
                <w:szCs w:val="28"/>
              </w:rPr>
            </w:pPr>
            <w:r w:rsidRPr="00520861">
              <w:rPr>
                <w:sz w:val="28"/>
                <w:szCs w:val="28"/>
              </w:rPr>
              <w:t>Дослідження</w:t>
            </w:r>
          </w:p>
        </w:tc>
        <w:tc>
          <w:tcPr>
            <w:tcW w:w="6833" w:type="dxa"/>
            <w:gridSpan w:val="3"/>
            <w:hideMark/>
          </w:tcPr>
          <w:p w14:paraId="4103FA0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Тварини віком 180 діб</w:t>
            </w:r>
          </w:p>
        </w:tc>
      </w:tr>
      <w:tr w:rsidR="00CF641C" w:rsidRPr="00520861" w14:paraId="6FF5F0F8" w14:textId="77777777" w:rsidTr="00292D2E">
        <w:trPr>
          <w:jc w:val="center"/>
        </w:trPr>
        <w:tc>
          <w:tcPr>
            <w:tcW w:w="2376" w:type="dxa"/>
            <w:vMerge/>
            <w:tcBorders>
              <w:top w:val="single" w:sz="4" w:space="0" w:color="auto"/>
              <w:left w:val="single" w:sz="4" w:space="0" w:color="auto"/>
              <w:bottom w:val="single" w:sz="4" w:space="0" w:color="auto"/>
              <w:right w:val="single" w:sz="4" w:space="0" w:color="auto"/>
            </w:tcBorders>
            <w:vAlign w:val="center"/>
            <w:hideMark/>
          </w:tcPr>
          <w:p w14:paraId="6DB8B732" w14:textId="77777777" w:rsidR="00CF641C" w:rsidRPr="00520861" w:rsidRDefault="00CF641C" w:rsidP="00292D2E">
            <w:pPr>
              <w:widowControl w:val="0"/>
              <w:spacing w:line="360" w:lineRule="auto"/>
              <w:contextualSpacing/>
              <w:rPr>
                <w:rFonts w:eastAsia="Calibri"/>
                <w:sz w:val="28"/>
                <w:szCs w:val="28"/>
              </w:rPr>
            </w:pPr>
          </w:p>
        </w:tc>
        <w:tc>
          <w:tcPr>
            <w:tcW w:w="1588" w:type="dxa"/>
            <w:tcBorders>
              <w:top w:val="single" w:sz="4" w:space="0" w:color="auto"/>
              <w:left w:val="single" w:sz="4" w:space="0" w:color="auto"/>
              <w:bottom w:val="single" w:sz="4" w:space="0" w:color="auto"/>
              <w:right w:val="single" w:sz="4" w:space="0" w:color="auto"/>
            </w:tcBorders>
            <w:hideMark/>
          </w:tcPr>
          <w:p w14:paraId="6258DF70" w14:textId="77777777" w:rsidR="00CF641C" w:rsidRPr="00520861" w:rsidRDefault="00CF641C" w:rsidP="00292D2E">
            <w:pPr>
              <w:widowControl w:val="0"/>
              <w:spacing w:line="360" w:lineRule="auto"/>
              <w:ind w:right="-108"/>
              <w:contextualSpacing/>
              <w:jc w:val="center"/>
              <w:rPr>
                <w:rFonts w:eastAsia="Calibri"/>
                <w:sz w:val="28"/>
                <w:szCs w:val="28"/>
              </w:rPr>
            </w:pPr>
            <w:r w:rsidRPr="00520861">
              <w:rPr>
                <w:rFonts w:eastAsia="Calibri"/>
                <w:sz w:val="28"/>
                <w:szCs w:val="28"/>
              </w:rPr>
              <w:t xml:space="preserve">Кількість тварин, </w:t>
            </w:r>
            <w:r w:rsidRPr="00520861">
              <w:rPr>
                <w:rFonts w:eastAsia="Calibri"/>
                <w:i/>
                <w:sz w:val="28"/>
                <w:szCs w:val="28"/>
              </w:rPr>
              <w:t>n</w:t>
            </w:r>
          </w:p>
        </w:tc>
        <w:tc>
          <w:tcPr>
            <w:tcW w:w="1843" w:type="dxa"/>
            <w:tcBorders>
              <w:top w:val="single" w:sz="4" w:space="0" w:color="auto"/>
              <w:left w:val="single" w:sz="4" w:space="0" w:color="auto"/>
              <w:bottom w:val="single" w:sz="4" w:space="0" w:color="auto"/>
              <w:right w:val="single" w:sz="4" w:space="0" w:color="auto"/>
            </w:tcBorders>
            <w:hideMark/>
          </w:tcPr>
          <w:p w14:paraId="0680C9A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Кореляція </w:t>
            </w:r>
            <w:proofErr w:type="spellStart"/>
            <w:r w:rsidRPr="00520861">
              <w:rPr>
                <w:rFonts w:eastAsia="Calibri"/>
                <w:sz w:val="28"/>
                <w:szCs w:val="28"/>
              </w:rPr>
              <w:t>Пірсона</w:t>
            </w:r>
            <w:proofErr w:type="spellEnd"/>
            <w:r w:rsidRPr="00520861">
              <w:rPr>
                <w:rFonts w:eastAsia="Calibri"/>
                <w:sz w:val="28"/>
                <w:szCs w:val="28"/>
              </w:rPr>
              <w:t xml:space="preserve">, </w:t>
            </w:r>
            <w:r w:rsidRPr="00520861">
              <w:rPr>
                <w:rFonts w:eastAsia="Calibri"/>
                <w:i/>
                <w:sz w:val="28"/>
                <w:szCs w:val="28"/>
              </w:rPr>
              <w:t>r</w:t>
            </w:r>
          </w:p>
        </w:tc>
        <w:tc>
          <w:tcPr>
            <w:tcW w:w="3402" w:type="dxa"/>
            <w:tcBorders>
              <w:top w:val="single" w:sz="4" w:space="0" w:color="auto"/>
              <w:left w:val="single" w:sz="4" w:space="0" w:color="auto"/>
              <w:bottom w:val="single" w:sz="4" w:space="0" w:color="auto"/>
              <w:right w:val="single" w:sz="4" w:space="0" w:color="auto"/>
            </w:tcBorders>
            <w:hideMark/>
          </w:tcPr>
          <w:p w14:paraId="15C47F62" w14:textId="77777777" w:rsidR="00CF641C" w:rsidRPr="00520861" w:rsidRDefault="00CF641C" w:rsidP="00292D2E">
            <w:pPr>
              <w:widowControl w:val="0"/>
              <w:spacing w:line="360" w:lineRule="auto"/>
              <w:ind w:right="-108"/>
              <w:contextualSpacing/>
              <w:jc w:val="center"/>
              <w:rPr>
                <w:rFonts w:eastAsia="Calibri"/>
                <w:sz w:val="28"/>
                <w:szCs w:val="28"/>
              </w:rPr>
            </w:pPr>
            <w:r w:rsidRPr="00520861">
              <w:rPr>
                <w:rFonts w:eastAsia="Calibri"/>
                <w:sz w:val="28"/>
                <w:szCs w:val="28"/>
              </w:rPr>
              <w:t>Ймовірність</w:t>
            </w:r>
          </w:p>
          <w:p w14:paraId="2E578E2C" w14:textId="77777777" w:rsidR="00CF641C" w:rsidRPr="00520861" w:rsidRDefault="00CF641C" w:rsidP="00292D2E">
            <w:pPr>
              <w:widowControl w:val="0"/>
              <w:spacing w:line="360" w:lineRule="auto"/>
              <w:ind w:right="-108"/>
              <w:contextualSpacing/>
              <w:jc w:val="center"/>
              <w:rPr>
                <w:rFonts w:eastAsia="Calibri"/>
                <w:sz w:val="28"/>
                <w:szCs w:val="28"/>
              </w:rPr>
            </w:pPr>
            <w:r w:rsidRPr="00520861">
              <w:rPr>
                <w:rFonts w:eastAsia="Calibri"/>
                <w:sz w:val="28"/>
                <w:szCs w:val="28"/>
              </w:rPr>
              <w:t xml:space="preserve">похибки, </w:t>
            </w:r>
            <w:r w:rsidRPr="00520861">
              <w:rPr>
                <w:rFonts w:eastAsia="Calibri"/>
                <w:i/>
                <w:sz w:val="28"/>
                <w:szCs w:val="28"/>
              </w:rPr>
              <w:t>p</w:t>
            </w:r>
          </w:p>
        </w:tc>
      </w:tr>
      <w:tr w:rsidR="00CF641C" w:rsidRPr="00520861" w14:paraId="57C0C115" w14:textId="77777777" w:rsidTr="00292D2E">
        <w:trPr>
          <w:jc w:val="center"/>
        </w:trPr>
        <w:tc>
          <w:tcPr>
            <w:tcW w:w="2376" w:type="dxa"/>
            <w:tcBorders>
              <w:top w:val="single" w:sz="4" w:space="0" w:color="auto"/>
              <w:left w:val="single" w:sz="4" w:space="0" w:color="auto"/>
              <w:bottom w:val="single" w:sz="4" w:space="0" w:color="auto"/>
              <w:right w:val="single" w:sz="4" w:space="0" w:color="auto"/>
            </w:tcBorders>
            <w:hideMark/>
          </w:tcPr>
          <w:p w14:paraId="492A42C5" w14:textId="77777777" w:rsidR="00CF641C" w:rsidRPr="00520861" w:rsidRDefault="00CF641C" w:rsidP="00292D2E">
            <w:pPr>
              <w:widowControl w:val="0"/>
              <w:spacing w:line="360" w:lineRule="auto"/>
              <w:contextualSpacing/>
              <w:rPr>
                <w:rFonts w:eastAsia="Calibri"/>
                <w:sz w:val="28"/>
                <w:szCs w:val="28"/>
              </w:rPr>
            </w:pPr>
            <w:r w:rsidRPr="00520861">
              <w:rPr>
                <w:rFonts w:eastAsia="Calibri"/>
                <w:sz w:val="28"/>
                <w:szCs w:val="28"/>
              </w:rPr>
              <w:t>Контроль</w:t>
            </w:r>
          </w:p>
        </w:tc>
        <w:tc>
          <w:tcPr>
            <w:tcW w:w="1588" w:type="dxa"/>
            <w:tcBorders>
              <w:top w:val="single" w:sz="4" w:space="0" w:color="auto"/>
              <w:left w:val="single" w:sz="4" w:space="0" w:color="auto"/>
              <w:bottom w:val="single" w:sz="4" w:space="0" w:color="auto"/>
              <w:right w:val="single" w:sz="4" w:space="0" w:color="auto"/>
            </w:tcBorders>
            <w:hideMark/>
          </w:tcPr>
          <w:p w14:paraId="75504FF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w:t>
            </w:r>
          </w:p>
        </w:tc>
        <w:tc>
          <w:tcPr>
            <w:tcW w:w="1843" w:type="dxa"/>
            <w:tcBorders>
              <w:top w:val="single" w:sz="4" w:space="0" w:color="auto"/>
              <w:left w:val="single" w:sz="4" w:space="0" w:color="auto"/>
              <w:bottom w:val="single" w:sz="4" w:space="0" w:color="auto"/>
              <w:right w:val="single" w:sz="4" w:space="0" w:color="auto"/>
            </w:tcBorders>
            <w:hideMark/>
          </w:tcPr>
          <w:p w14:paraId="25188CC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0,885*</w:t>
            </w:r>
          </w:p>
        </w:tc>
        <w:tc>
          <w:tcPr>
            <w:tcW w:w="3402" w:type="dxa"/>
            <w:tcBorders>
              <w:top w:val="single" w:sz="4" w:space="0" w:color="auto"/>
              <w:left w:val="single" w:sz="4" w:space="0" w:color="auto"/>
              <w:bottom w:val="single" w:sz="4" w:space="0" w:color="auto"/>
              <w:right w:val="single" w:sz="4" w:space="0" w:color="auto"/>
            </w:tcBorders>
            <w:hideMark/>
          </w:tcPr>
          <w:p w14:paraId="39DC694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0,019*</w:t>
            </w:r>
          </w:p>
        </w:tc>
      </w:tr>
      <w:tr w:rsidR="00CF641C" w:rsidRPr="00520861" w14:paraId="3071A44E" w14:textId="77777777" w:rsidTr="00292D2E">
        <w:trPr>
          <w:jc w:val="center"/>
        </w:trPr>
        <w:tc>
          <w:tcPr>
            <w:tcW w:w="2376" w:type="dxa"/>
            <w:tcBorders>
              <w:top w:val="single" w:sz="4" w:space="0" w:color="auto"/>
              <w:left w:val="single" w:sz="4" w:space="0" w:color="auto"/>
              <w:bottom w:val="single" w:sz="4" w:space="0" w:color="auto"/>
              <w:right w:val="single" w:sz="4" w:space="0" w:color="auto"/>
            </w:tcBorders>
          </w:tcPr>
          <w:p w14:paraId="18BC241D"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1 </w:t>
            </w:r>
          </w:p>
        </w:tc>
        <w:tc>
          <w:tcPr>
            <w:tcW w:w="1588" w:type="dxa"/>
            <w:tcBorders>
              <w:top w:val="single" w:sz="4" w:space="0" w:color="auto"/>
              <w:left w:val="single" w:sz="4" w:space="0" w:color="auto"/>
              <w:bottom w:val="single" w:sz="4" w:space="0" w:color="auto"/>
              <w:right w:val="single" w:sz="4" w:space="0" w:color="auto"/>
            </w:tcBorders>
          </w:tcPr>
          <w:p w14:paraId="04C22C1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w:t>
            </w:r>
          </w:p>
        </w:tc>
        <w:tc>
          <w:tcPr>
            <w:tcW w:w="1843" w:type="dxa"/>
            <w:tcBorders>
              <w:top w:val="single" w:sz="4" w:space="0" w:color="auto"/>
              <w:left w:val="single" w:sz="4" w:space="0" w:color="auto"/>
              <w:bottom w:val="single" w:sz="4" w:space="0" w:color="auto"/>
              <w:right w:val="single" w:sz="4" w:space="0" w:color="auto"/>
            </w:tcBorders>
          </w:tcPr>
          <w:p w14:paraId="2821AFF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0,316</w:t>
            </w:r>
          </w:p>
        </w:tc>
        <w:tc>
          <w:tcPr>
            <w:tcW w:w="3402" w:type="dxa"/>
            <w:tcBorders>
              <w:top w:val="single" w:sz="4" w:space="0" w:color="auto"/>
              <w:left w:val="single" w:sz="4" w:space="0" w:color="auto"/>
              <w:bottom w:val="single" w:sz="4" w:space="0" w:color="auto"/>
              <w:right w:val="single" w:sz="4" w:space="0" w:color="auto"/>
            </w:tcBorders>
          </w:tcPr>
          <w:p w14:paraId="2F677EA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0,542</w:t>
            </w:r>
          </w:p>
        </w:tc>
      </w:tr>
      <w:tr w:rsidR="00CF641C" w:rsidRPr="00520861" w14:paraId="079AF3C4" w14:textId="77777777" w:rsidTr="00292D2E">
        <w:trPr>
          <w:jc w:val="center"/>
        </w:trPr>
        <w:tc>
          <w:tcPr>
            <w:tcW w:w="2376" w:type="dxa"/>
            <w:tcBorders>
              <w:top w:val="single" w:sz="4" w:space="0" w:color="auto"/>
              <w:left w:val="single" w:sz="4" w:space="0" w:color="auto"/>
              <w:bottom w:val="single" w:sz="4" w:space="0" w:color="auto"/>
              <w:right w:val="single" w:sz="4" w:space="0" w:color="auto"/>
            </w:tcBorders>
          </w:tcPr>
          <w:p w14:paraId="12B9188F" w14:textId="77777777" w:rsidR="00CF641C" w:rsidRPr="00520861" w:rsidRDefault="00CF641C" w:rsidP="00292D2E">
            <w:pPr>
              <w:widowControl w:val="0"/>
              <w:spacing w:line="360" w:lineRule="auto"/>
              <w:contextualSpacing/>
              <w:jc w:val="both"/>
              <w:rPr>
                <w:sz w:val="28"/>
                <w:szCs w:val="28"/>
              </w:rPr>
            </w:pPr>
            <w:r w:rsidRPr="00520861">
              <w:rPr>
                <w:sz w:val="28"/>
                <w:szCs w:val="28"/>
              </w:rPr>
              <w:t>Група 2</w:t>
            </w:r>
          </w:p>
        </w:tc>
        <w:tc>
          <w:tcPr>
            <w:tcW w:w="1588" w:type="dxa"/>
            <w:tcBorders>
              <w:top w:val="single" w:sz="4" w:space="0" w:color="auto"/>
              <w:left w:val="single" w:sz="4" w:space="0" w:color="auto"/>
              <w:bottom w:val="single" w:sz="4" w:space="0" w:color="auto"/>
              <w:right w:val="single" w:sz="4" w:space="0" w:color="auto"/>
            </w:tcBorders>
          </w:tcPr>
          <w:p w14:paraId="61EFDFB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w:t>
            </w:r>
          </w:p>
        </w:tc>
        <w:tc>
          <w:tcPr>
            <w:tcW w:w="1843" w:type="dxa"/>
            <w:tcBorders>
              <w:top w:val="single" w:sz="4" w:space="0" w:color="auto"/>
              <w:left w:val="single" w:sz="4" w:space="0" w:color="auto"/>
              <w:bottom w:val="single" w:sz="4" w:space="0" w:color="auto"/>
              <w:right w:val="single" w:sz="4" w:space="0" w:color="auto"/>
            </w:tcBorders>
          </w:tcPr>
          <w:p w14:paraId="4A66716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0,665</w:t>
            </w:r>
          </w:p>
        </w:tc>
        <w:tc>
          <w:tcPr>
            <w:tcW w:w="3402" w:type="dxa"/>
            <w:tcBorders>
              <w:top w:val="single" w:sz="4" w:space="0" w:color="auto"/>
              <w:left w:val="single" w:sz="4" w:space="0" w:color="auto"/>
              <w:bottom w:val="single" w:sz="4" w:space="0" w:color="auto"/>
              <w:right w:val="single" w:sz="4" w:space="0" w:color="auto"/>
            </w:tcBorders>
          </w:tcPr>
          <w:p w14:paraId="57197B4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0,158</w:t>
            </w:r>
          </w:p>
        </w:tc>
      </w:tr>
      <w:tr w:rsidR="00CF641C" w:rsidRPr="00520861" w14:paraId="2DB6E0FE" w14:textId="77777777" w:rsidTr="00292D2E">
        <w:trPr>
          <w:jc w:val="center"/>
        </w:trPr>
        <w:tc>
          <w:tcPr>
            <w:tcW w:w="2376" w:type="dxa"/>
            <w:tcBorders>
              <w:top w:val="single" w:sz="4" w:space="0" w:color="auto"/>
              <w:left w:val="single" w:sz="4" w:space="0" w:color="auto"/>
              <w:bottom w:val="single" w:sz="4" w:space="0" w:color="auto"/>
              <w:right w:val="single" w:sz="4" w:space="0" w:color="auto"/>
            </w:tcBorders>
            <w:hideMark/>
          </w:tcPr>
          <w:p w14:paraId="5E8656AE"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3 </w:t>
            </w:r>
          </w:p>
        </w:tc>
        <w:tc>
          <w:tcPr>
            <w:tcW w:w="1588" w:type="dxa"/>
            <w:tcBorders>
              <w:top w:val="single" w:sz="4" w:space="0" w:color="auto"/>
              <w:left w:val="single" w:sz="4" w:space="0" w:color="auto"/>
              <w:bottom w:val="single" w:sz="4" w:space="0" w:color="auto"/>
              <w:right w:val="single" w:sz="4" w:space="0" w:color="auto"/>
            </w:tcBorders>
            <w:hideMark/>
          </w:tcPr>
          <w:p w14:paraId="62B83F0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w:t>
            </w:r>
          </w:p>
        </w:tc>
        <w:tc>
          <w:tcPr>
            <w:tcW w:w="1843" w:type="dxa"/>
            <w:tcBorders>
              <w:top w:val="single" w:sz="4" w:space="0" w:color="auto"/>
              <w:left w:val="single" w:sz="4" w:space="0" w:color="auto"/>
              <w:bottom w:val="single" w:sz="4" w:space="0" w:color="auto"/>
              <w:right w:val="single" w:sz="4" w:space="0" w:color="auto"/>
            </w:tcBorders>
            <w:hideMark/>
          </w:tcPr>
          <w:p w14:paraId="5157E0D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0,204</w:t>
            </w:r>
          </w:p>
        </w:tc>
        <w:tc>
          <w:tcPr>
            <w:tcW w:w="3402" w:type="dxa"/>
            <w:tcBorders>
              <w:top w:val="single" w:sz="4" w:space="0" w:color="auto"/>
              <w:left w:val="single" w:sz="4" w:space="0" w:color="auto"/>
              <w:bottom w:val="single" w:sz="4" w:space="0" w:color="auto"/>
              <w:right w:val="single" w:sz="4" w:space="0" w:color="auto"/>
            </w:tcBorders>
            <w:hideMark/>
          </w:tcPr>
          <w:p w14:paraId="335A63E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0,698</w:t>
            </w:r>
          </w:p>
        </w:tc>
      </w:tr>
      <w:tr w:rsidR="00CF641C" w:rsidRPr="00520861" w14:paraId="5B997B9E" w14:textId="77777777" w:rsidTr="00292D2E">
        <w:trPr>
          <w:jc w:val="center"/>
        </w:trPr>
        <w:tc>
          <w:tcPr>
            <w:tcW w:w="2376" w:type="dxa"/>
            <w:tcBorders>
              <w:top w:val="single" w:sz="4" w:space="0" w:color="auto"/>
              <w:left w:val="single" w:sz="4" w:space="0" w:color="auto"/>
              <w:bottom w:val="single" w:sz="4" w:space="0" w:color="auto"/>
              <w:right w:val="single" w:sz="4" w:space="0" w:color="auto"/>
            </w:tcBorders>
            <w:hideMark/>
          </w:tcPr>
          <w:p w14:paraId="5BE24ED5"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4 </w:t>
            </w:r>
          </w:p>
        </w:tc>
        <w:tc>
          <w:tcPr>
            <w:tcW w:w="1588" w:type="dxa"/>
            <w:tcBorders>
              <w:top w:val="single" w:sz="4" w:space="0" w:color="auto"/>
              <w:left w:val="single" w:sz="4" w:space="0" w:color="auto"/>
              <w:bottom w:val="single" w:sz="4" w:space="0" w:color="auto"/>
              <w:right w:val="single" w:sz="4" w:space="0" w:color="auto"/>
            </w:tcBorders>
            <w:hideMark/>
          </w:tcPr>
          <w:p w14:paraId="13F7241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w:t>
            </w:r>
          </w:p>
        </w:tc>
        <w:tc>
          <w:tcPr>
            <w:tcW w:w="1843" w:type="dxa"/>
            <w:tcBorders>
              <w:top w:val="single" w:sz="4" w:space="0" w:color="auto"/>
              <w:left w:val="single" w:sz="4" w:space="0" w:color="auto"/>
              <w:bottom w:val="single" w:sz="4" w:space="0" w:color="auto"/>
              <w:right w:val="single" w:sz="4" w:space="0" w:color="auto"/>
            </w:tcBorders>
            <w:hideMark/>
          </w:tcPr>
          <w:p w14:paraId="0B2F35C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0,793</w:t>
            </w:r>
          </w:p>
        </w:tc>
        <w:tc>
          <w:tcPr>
            <w:tcW w:w="3402" w:type="dxa"/>
            <w:tcBorders>
              <w:top w:val="single" w:sz="4" w:space="0" w:color="auto"/>
              <w:left w:val="single" w:sz="4" w:space="0" w:color="auto"/>
              <w:bottom w:val="single" w:sz="4" w:space="0" w:color="auto"/>
              <w:right w:val="single" w:sz="4" w:space="0" w:color="auto"/>
            </w:tcBorders>
            <w:hideMark/>
          </w:tcPr>
          <w:p w14:paraId="2D2E12F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0,109</w:t>
            </w:r>
          </w:p>
        </w:tc>
      </w:tr>
      <w:tr w:rsidR="00CF641C" w:rsidRPr="00520861" w14:paraId="74B40EC9" w14:textId="77777777" w:rsidTr="00292D2E">
        <w:trPr>
          <w:jc w:val="center"/>
        </w:trPr>
        <w:tc>
          <w:tcPr>
            <w:tcW w:w="2376" w:type="dxa"/>
            <w:tcBorders>
              <w:top w:val="single" w:sz="4" w:space="0" w:color="auto"/>
              <w:left w:val="single" w:sz="4" w:space="0" w:color="auto"/>
              <w:bottom w:val="single" w:sz="4" w:space="0" w:color="auto"/>
              <w:right w:val="single" w:sz="4" w:space="0" w:color="auto"/>
            </w:tcBorders>
            <w:hideMark/>
          </w:tcPr>
          <w:p w14:paraId="2A2854F6" w14:textId="77777777" w:rsidR="00CF641C" w:rsidRPr="00520861" w:rsidRDefault="00CF641C" w:rsidP="00292D2E">
            <w:pPr>
              <w:widowControl w:val="0"/>
              <w:spacing w:line="360" w:lineRule="auto"/>
              <w:contextualSpacing/>
              <w:rPr>
                <w:rFonts w:eastAsia="Calibri"/>
                <w:sz w:val="28"/>
                <w:szCs w:val="28"/>
              </w:rPr>
            </w:pPr>
            <w:proofErr w:type="spellStart"/>
            <w:r w:rsidRPr="00520861">
              <w:rPr>
                <w:rFonts w:eastAsia="Calibri"/>
                <w:sz w:val="28"/>
                <w:szCs w:val="28"/>
              </w:rPr>
              <w:t>Макросоми</w:t>
            </w:r>
            <w:proofErr w:type="spellEnd"/>
            <w:r w:rsidRPr="00520861">
              <w:rPr>
                <w:rFonts w:eastAsia="Calibri"/>
                <w:sz w:val="28"/>
                <w:szCs w:val="28"/>
              </w:rPr>
              <w:t xml:space="preserve"> разом</w:t>
            </w:r>
          </w:p>
        </w:tc>
        <w:tc>
          <w:tcPr>
            <w:tcW w:w="1588" w:type="dxa"/>
            <w:tcBorders>
              <w:top w:val="single" w:sz="4" w:space="0" w:color="auto"/>
              <w:left w:val="single" w:sz="4" w:space="0" w:color="auto"/>
              <w:bottom w:val="single" w:sz="4" w:space="0" w:color="auto"/>
              <w:right w:val="single" w:sz="4" w:space="0" w:color="auto"/>
            </w:tcBorders>
            <w:hideMark/>
          </w:tcPr>
          <w:p w14:paraId="68501EC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23</w:t>
            </w:r>
          </w:p>
        </w:tc>
        <w:tc>
          <w:tcPr>
            <w:tcW w:w="1843" w:type="dxa"/>
            <w:tcBorders>
              <w:top w:val="single" w:sz="4" w:space="0" w:color="auto"/>
              <w:left w:val="single" w:sz="4" w:space="0" w:color="auto"/>
              <w:bottom w:val="single" w:sz="4" w:space="0" w:color="auto"/>
              <w:right w:val="single" w:sz="4" w:space="0" w:color="auto"/>
            </w:tcBorders>
            <w:hideMark/>
          </w:tcPr>
          <w:p w14:paraId="64BAC2F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0,792*</w:t>
            </w:r>
          </w:p>
        </w:tc>
        <w:tc>
          <w:tcPr>
            <w:tcW w:w="3402" w:type="dxa"/>
            <w:tcBorders>
              <w:top w:val="single" w:sz="4" w:space="0" w:color="auto"/>
              <w:left w:val="single" w:sz="4" w:space="0" w:color="auto"/>
              <w:bottom w:val="single" w:sz="4" w:space="0" w:color="auto"/>
              <w:right w:val="single" w:sz="4" w:space="0" w:color="auto"/>
            </w:tcBorders>
            <w:hideMark/>
          </w:tcPr>
          <w:p w14:paraId="6BD565E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lang w:val="en-US"/>
              </w:rPr>
              <w:t>&lt;</w:t>
            </w:r>
            <w:r w:rsidRPr="00520861">
              <w:rPr>
                <w:rFonts w:eastAsia="Calibri"/>
                <w:sz w:val="28"/>
                <w:szCs w:val="28"/>
              </w:rPr>
              <w:t>0,00</w:t>
            </w:r>
            <w:r w:rsidRPr="00520861">
              <w:rPr>
                <w:rFonts w:eastAsia="Calibri"/>
                <w:sz w:val="28"/>
                <w:szCs w:val="28"/>
                <w:lang w:val="en-US"/>
              </w:rPr>
              <w:t>1</w:t>
            </w:r>
            <w:r w:rsidRPr="00520861">
              <w:rPr>
                <w:rFonts w:eastAsia="Calibri"/>
                <w:sz w:val="28"/>
                <w:szCs w:val="28"/>
              </w:rPr>
              <w:t>*</w:t>
            </w:r>
          </w:p>
        </w:tc>
      </w:tr>
      <w:tr w:rsidR="00CF641C" w:rsidRPr="00520861" w14:paraId="3346AAF4" w14:textId="77777777" w:rsidTr="00292D2E">
        <w:trPr>
          <w:jc w:val="center"/>
        </w:trPr>
        <w:tc>
          <w:tcPr>
            <w:tcW w:w="2376" w:type="dxa"/>
            <w:tcBorders>
              <w:top w:val="single" w:sz="4" w:space="0" w:color="auto"/>
              <w:left w:val="single" w:sz="4" w:space="0" w:color="auto"/>
              <w:bottom w:val="single" w:sz="4" w:space="0" w:color="auto"/>
              <w:right w:val="single" w:sz="4" w:space="0" w:color="auto"/>
            </w:tcBorders>
            <w:hideMark/>
          </w:tcPr>
          <w:p w14:paraId="3AA81F32" w14:textId="77777777" w:rsidR="00CF641C" w:rsidRPr="00520861" w:rsidRDefault="00CF641C" w:rsidP="00292D2E">
            <w:pPr>
              <w:widowControl w:val="0"/>
              <w:spacing w:line="360" w:lineRule="auto"/>
              <w:contextualSpacing/>
              <w:rPr>
                <w:rFonts w:eastAsia="Calibri"/>
                <w:sz w:val="28"/>
                <w:szCs w:val="28"/>
              </w:rPr>
            </w:pPr>
            <w:r w:rsidRPr="00520861">
              <w:rPr>
                <w:rFonts w:eastAsia="Calibri"/>
                <w:sz w:val="28"/>
                <w:szCs w:val="28"/>
              </w:rPr>
              <w:t>Усі групи разом</w:t>
            </w:r>
          </w:p>
        </w:tc>
        <w:tc>
          <w:tcPr>
            <w:tcW w:w="1588" w:type="dxa"/>
            <w:tcBorders>
              <w:top w:val="single" w:sz="4" w:space="0" w:color="auto"/>
              <w:left w:val="single" w:sz="4" w:space="0" w:color="auto"/>
              <w:bottom w:val="single" w:sz="4" w:space="0" w:color="auto"/>
              <w:right w:val="single" w:sz="4" w:space="0" w:color="auto"/>
            </w:tcBorders>
            <w:hideMark/>
          </w:tcPr>
          <w:p w14:paraId="5EC18379"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29</w:t>
            </w:r>
          </w:p>
        </w:tc>
        <w:tc>
          <w:tcPr>
            <w:tcW w:w="1843" w:type="dxa"/>
            <w:tcBorders>
              <w:top w:val="single" w:sz="4" w:space="0" w:color="auto"/>
              <w:left w:val="single" w:sz="4" w:space="0" w:color="auto"/>
              <w:bottom w:val="single" w:sz="4" w:space="0" w:color="auto"/>
              <w:right w:val="single" w:sz="4" w:space="0" w:color="auto"/>
            </w:tcBorders>
            <w:hideMark/>
          </w:tcPr>
          <w:p w14:paraId="40DDAFA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0,793*</w:t>
            </w:r>
          </w:p>
        </w:tc>
        <w:tc>
          <w:tcPr>
            <w:tcW w:w="3402" w:type="dxa"/>
            <w:tcBorders>
              <w:top w:val="single" w:sz="4" w:space="0" w:color="auto"/>
              <w:left w:val="single" w:sz="4" w:space="0" w:color="auto"/>
              <w:bottom w:val="single" w:sz="4" w:space="0" w:color="auto"/>
              <w:right w:val="single" w:sz="4" w:space="0" w:color="auto"/>
            </w:tcBorders>
            <w:hideMark/>
          </w:tcPr>
          <w:p w14:paraId="13A81BF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lang w:val="en-US"/>
              </w:rPr>
              <w:t>&lt;</w:t>
            </w:r>
            <w:r w:rsidRPr="00520861">
              <w:rPr>
                <w:rFonts w:eastAsia="Calibri"/>
                <w:sz w:val="28"/>
                <w:szCs w:val="28"/>
              </w:rPr>
              <w:t>0,00</w:t>
            </w:r>
            <w:r w:rsidRPr="00520861">
              <w:rPr>
                <w:rFonts w:eastAsia="Calibri"/>
                <w:sz w:val="28"/>
                <w:szCs w:val="28"/>
                <w:lang w:val="en-US"/>
              </w:rPr>
              <w:t>1</w:t>
            </w:r>
            <w:r w:rsidRPr="00520861">
              <w:rPr>
                <w:rFonts w:eastAsia="Calibri"/>
                <w:sz w:val="28"/>
                <w:szCs w:val="28"/>
              </w:rPr>
              <w:t>*</w:t>
            </w:r>
          </w:p>
        </w:tc>
      </w:tr>
    </w:tbl>
    <w:p w14:paraId="391917A6"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ймовірність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 xml:space="preserve">0,05 за критерієм </w:t>
      </w:r>
      <w:r w:rsidRPr="00520861">
        <w:rPr>
          <w:rFonts w:eastAsia="Calibri"/>
          <w:sz w:val="28"/>
          <w:szCs w:val="28"/>
          <w:lang w:eastAsia="en-US"/>
        </w:rPr>
        <w:sym w:font="Symbol" w:char="F063"/>
      </w:r>
      <w:r w:rsidRPr="00520861">
        <w:rPr>
          <w:rFonts w:eastAsia="Calibri"/>
          <w:sz w:val="28"/>
          <w:szCs w:val="28"/>
          <w:vertAlign w:val="superscript"/>
          <w:lang w:eastAsia="en-US"/>
        </w:rPr>
        <w:t>2</w:t>
      </w:r>
      <w:r w:rsidRPr="00520861">
        <w:rPr>
          <w:rFonts w:eastAsia="Calibri"/>
          <w:sz w:val="28"/>
          <w:szCs w:val="28"/>
          <w:lang w:eastAsia="en-US"/>
        </w:rPr>
        <w:t>.</w:t>
      </w:r>
    </w:p>
    <w:p w14:paraId="12AD2050"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16BD4AD9" w14:textId="77777777" w:rsidR="00CF641C" w:rsidRPr="00520861" w:rsidRDefault="00CF641C" w:rsidP="00292D2E">
      <w:pPr>
        <w:widowControl w:val="0"/>
        <w:spacing w:line="360" w:lineRule="auto"/>
        <w:contextualSpacing/>
        <w:jc w:val="center"/>
        <w:rPr>
          <w:rFonts w:eastAsia="Calibri"/>
          <w:sz w:val="28"/>
          <w:szCs w:val="28"/>
          <w:lang w:eastAsia="en-US"/>
        </w:rPr>
      </w:pPr>
      <w:r w:rsidRPr="00520861">
        <w:rPr>
          <w:rFonts w:eastAsia="Calibri"/>
          <w:noProof/>
          <w:sz w:val="28"/>
          <w:szCs w:val="28"/>
          <w:lang w:val="ru-RU"/>
        </w:rPr>
        <w:drawing>
          <wp:inline distT="0" distB="0" distL="0" distR="0" wp14:anchorId="7C12EB96" wp14:editId="7CE4D99E">
            <wp:extent cx="6411600" cy="2538000"/>
            <wp:effectExtent l="0" t="0" r="0" b="0"/>
            <wp:docPr id="44" name="Рисунок 44" descr="D:\тер стом\научн работа 1\дд друк\ на защиту\Маша\Рис\Рис3.2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descr="D:\тер стом\научн работа 1\дд друк\ на защиту\Маша\Рис\Рис3.26.jpg"/>
                    <pic:cNvPicPr preferRelativeResize="0">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76ED19A1" w14:textId="77777777" w:rsidR="00CF641C" w:rsidRPr="00520861" w:rsidRDefault="00CF641C" w:rsidP="00292D2E">
      <w:pPr>
        <w:widowControl w:val="0"/>
        <w:spacing w:line="360" w:lineRule="auto"/>
        <w:ind w:firstLine="567"/>
        <w:contextualSpacing/>
        <w:jc w:val="center"/>
        <w:rPr>
          <w:rFonts w:eastAsia="Calibri"/>
          <w:sz w:val="28"/>
          <w:szCs w:val="28"/>
          <w:lang w:eastAsia="en-US"/>
        </w:rPr>
      </w:pPr>
      <w:r w:rsidRPr="00520861">
        <w:rPr>
          <w:rFonts w:eastAsia="Calibri"/>
          <w:sz w:val="28"/>
          <w:szCs w:val="28"/>
          <w:lang w:eastAsia="en-US"/>
        </w:rPr>
        <w:t>Рис. 3</w:t>
      </w:r>
      <w:r w:rsidRPr="00520861">
        <w:rPr>
          <w:rFonts w:eastAsia="Calibri"/>
          <w:sz w:val="28"/>
          <w:szCs w:val="28"/>
          <w:lang w:val="ru-RU" w:eastAsia="en-US"/>
        </w:rPr>
        <w:t>.24</w:t>
      </w:r>
      <w:r w:rsidRPr="00520861">
        <w:rPr>
          <w:rFonts w:eastAsia="Calibri"/>
          <w:sz w:val="28"/>
          <w:szCs w:val="28"/>
          <w:lang w:eastAsia="en-US"/>
        </w:rPr>
        <w:t>. Моляр нижньої щелепи 180-денних щурів:</w:t>
      </w:r>
    </w:p>
    <w:p w14:paraId="00FD3B8A" w14:textId="77777777" w:rsidR="00CF641C" w:rsidRPr="00520861" w:rsidRDefault="00CF641C" w:rsidP="00292D2E">
      <w:pPr>
        <w:widowControl w:val="0"/>
        <w:spacing w:line="360" w:lineRule="auto"/>
        <w:ind w:firstLine="567"/>
        <w:contextualSpacing/>
        <w:jc w:val="center"/>
        <w:rPr>
          <w:rFonts w:eastAsia="Calibri"/>
          <w:sz w:val="28"/>
          <w:szCs w:val="28"/>
          <w:lang w:eastAsia="en-US"/>
        </w:rPr>
      </w:pPr>
      <w:r w:rsidRPr="00520861">
        <w:rPr>
          <w:rFonts w:eastAsia="Calibri"/>
          <w:i/>
          <w:sz w:val="28"/>
          <w:szCs w:val="28"/>
          <w:lang w:eastAsia="en-US"/>
        </w:rPr>
        <w:t>а</w:t>
      </w:r>
      <w:r w:rsidRPr="00520861">
        <w:rPr>
          <w:rFonts w:eastAsia="Calibri"/>
          <w:sz w:val="28"/>
          <w:szCs w:val="28"/>
          <w:lang w:eastAsia="en-US"/>
        </w:rPr>
        <w:t xml:space="preserve">) – групи 2 (значна </w:t>
      </w:r>
      <w:proofErr w:type="spellStart"/>
      <w:r w:rsidRPr="00520861">
        <w:rPr>
          <w:rFonts w:eastAsia="Calibri"/>
          <w:sz w:val="28"/>
          <w:szCs w:val="28"/>
          <w:lang w:eastAsia="en-US"/>
        </w:rPr>
        <w:t>стертість</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оклюзійної</w:t>
      </w:r>
      <w:proofErr w:type="spellEnd"/>
      <w:r w:rsidRPr="00520861">
        <w:rPr>
          <w:rFonts w:eastAsia="Calibri"/>
          <w:sz w:val="28"/>
          <w:szCs w:val="28"/>
          <w:lang w:eastAsia="en-US"/>
        </w:rPr>
        <w:t xml:space="preserve"> поверхні моляра з оголенням рогу пульпи), Забарвлення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w:t>
      </w:r>
      <w:r w:rsidRPr="00520861">
        <w:rPr>
          <w:rFonts w:eastAsia="Calibri"/>
          <w:sz w:val="28"/>
          <w:szCs w:val="28"/>
          <w:lang w:eastAsia="en-US"/>
        </w:rPr>
        <w:sym w:font="Symbol" w:char="F0B4"/>
      </w:r>
      <w:r w:rsidRPr="00520861">
        <w:rPr>
          <w:rFonts w:eastAsia="Calibri"/>
          <w:sz w:val="28"/>
          <w:szCs w:val="28"/>
          <w:lang w:eastAsia="en-US"/>
        </w:rPr>
        <w:t xml:space="preserve">50; </w:t>
      </w:r>
    </w:p>
    <w:p w14:paraId="0DE1CEF7" w14:textId="77777777" w:rsidR="00CF641C" w:rsidRPr="00520861" w:rsidRDefault="00CF641C" w:rsidP="00292D2E">
      <w:pPr>
        <w:widowControl w:val="0"/>
        <w:spacing w:line="360" w:lineRule="auto"/>
        <w:ind w:firstLine="567"/>
        <w:contextualSpacing/>
        <w:jc w:val="center"/>
        <w:rPr>
          <w:sz w:val="28"/>
          <w:szCs w:val="28"/>
        </w:rPr>
      </w:pPr>
      <w:r w:rsidRPr="00520861">
        <w:rPr>
          <w:rFonts w:eastAsia="Calibri"/>
          <w:i/>
          <w:sz w:val="28"/>
          <w:szCs w:val="28"/>
          <w:lang w:eastAsia="en-US"/>
        </w:rPr>
        <w:t>б</w:t>
      </w:r>
      <w:r w:rsidRPr="00520861">
        <w:rPr>
          <w:rFonts w:eastAsia="Calibri"/>
          <w:sz w:val="28"/>
          <w:szCs w:val="28"/>
          <w:lang w:eastAsia="en-US"/>
        </w:rPr>
        <w:t xml:space="preserve">) – групи 1 (незначна </w:t>
      </w:r>
      <w:proofErr w:type="spellStart"/>
      <w:r w:rsidRPr="00520861">
        <w:rPr>
          <w:rFonts w:eastAsia="Calibri"/>
          <w:sz w:val="28"/>
          <w:szCs w:val="28"/>
          <w:lang w:eastAsia="en-US"/>
        </w:rPr>
        <w:t>стертістьоклюзійної</w:t>
      </w:r>
      <w:proofErr w:type="spellEnd"/>
      <w:r w:rsidRPr="00520861">
        <w:rPr>
          <w:rFonts w:eastAsia="Calibri"/>
          <w:sz w:val="28"/>
          <w:szCs w:val="28"/>
          <w:lang w:eastAsia="en-US"/>
        </w:rPr>
        <w:t xml:space="preserve"> поверхні).</w:t>
      </w:r>
      <w:r w:rsidRPr="00520861">
        <w:rPr>
          <w:sz w:val="28"/>
          <w:szCs w:val="28"/>
        </w:rPr>
        <w:t xml:space="preserve"> </w:t>
      </w:r>
    </w:p>
    <w:p w14:paraId="2ACD8531" w14:textId="77777777" w:rsidR="00CF641C" w:rsidRPr="00520861" w:rsidRDefault="00CF641C" w:rsidP="00292D2E">
      <w:pPr>
        <w:widowControl w:val="0"/>
        <w:spacing w:line="360" w:lineRule="auto"/>
        <w:ind w:firstLine="567"/>
        <w:contextualSpacing/>
        <w:jc w:val="center"/>
        <w:rPr>
          <w:rFonts w:eastAsia="Calibri"/>
          <w:sz w:val="28"/>
          <w:szCs w:val="28"/>
          <w:lang w:eastAsia="en-US"/>
        </w:rPr>
      </w:pPr>
      <w:r w:rsidRPr="00520861">
        <w:rPr>
          <w:sz w:val="28"/>
          <w:szCs w:val="28"/>
        </w:rPr>
        <w:t>Забарвлення гематоксиліном і еозином</w:t>
      </w:r>
      <w:r w:rsidRPr="00520861">
        <w:rPr>
          <w:bCs/>
          <w:sz w:val="28"/>
          <w:szCs w:val="28"/>
        </w:rPr>
        <w:t>,</w:t>
      </w:r>
      <w:r w:rsidRPr="00520861">
        <w:rPr>
          <w:rFonts w:eastAsia="Calibri"/>
          <w:sz w:val="28"/>
          <w:szCs w:val="28"/>
          <w:lang w:eastAsia="en-US"/>
        </w:rPr>
        <w:t xml:space="preserve"> збільшення </w:t>
      </w:r>
      <w:r w:rsidRPr="00520861">
        <w:rPr>
          <w:rFonts w:eastAsia="Calibri"/>
          <w:sz w:val="28"/>
          <w:szCs w:val="28"/>
          <w:lang w:eastAsia="en-US"/>
        </w:rPr>
        <w:sym w:font="Symbol" w:char="F0B4"/>
      </w:r>
      <w:r w:rsidRPr="00520861">
        <w:rPr>
          <w:rFonts w:eastAsia="Calibri"/>
          <w:sz w:val="28"/>
          <w:szCs w:val="28"/>
          <w:lang w:eastAsia="en-US"/>
        </w:rPr>
        <w:t>100.</w:t>
      </w:r>
    </w:p>
    <w:p w14:paraId="297B7544"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lastRenderedPageBreak/>
        <w:t xml:space="preserve">«Лідера» по стиранню зубів виявити не вдалося, але процеси були менше виражені у тварин групи 1. Порівнюючи результати інтенсивності карієсу у тримісячних та шестимісячних тварин (зокрема, у групі 4), можна стверджувати, що чим більший індекс маси тіла має тварина при народженні, тим вища схильність до виникнення каріозних уражень. Якщо екстраполювати одержані відомості на людський організм, можна очікувати, що в осіб,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з ознаками ВУ ожиріння, буде схильність до виникнення каріозних уражень.</w:t>
      </w:r>
    </w:p>
    <w:p w14:paraId="004E8657" w14:textId="77777777" w:rsidR="00CF641C" w:rsidRPr="00520861" w:rsidRDefault="00CF641C" w:rsidP="00292D2E">
      <w:pPr>
        <w:widowControl w:val="0"/>
        <w:spacing w:line="360" w:lineRule="auto"/>
        <w:ind w:firstLine="708"/>
        <w:contextualSpacing/>
        <w:jc w:val="both"/>
        <w:rPr>
          <w:rFonts w:eastAsia="Calibri"/>
          <w:b/>
          <w:sz w:val="28"/>
          <w:szCs w:val="28"/>
          <w:lang w:eastAsia="en-US"/>
        </w:rPr>
      </w:pPr>
      <w:r w:rsidRPr="00520861">
        <w:rPr>
          <w:b/>
          <w:sz w:val="28"/>
          <w:szCs w:val="28"/>
        </w:rPr>
        <w:t xml:space="preserve">3.4.4. Стан тканин </w:t>
      </w:r>
      <w:proofErr w:type="spellStart"/>
      <w:r w:rsidRPr="00520861">
        <w:rPr>
          <w:b/>
          <w:sz w:val="28"/>
          <w:szCs w:val="28"/>
        </w:rPr>
        <w:t>пародонта</w:t>
      </w:r>
      <w:proofErr w:type="spellEnd"/>
      <w:r w:rsidRPr="00520861">
        <w:rPr>
          <w:b/>
          <w:sz w:val="28"/>
          <w:szCs w:val="28"/>
        </w:rPr>
        <w:t xml:space="preserve"> в межах жувальних зубів</w:t>
      </w:r>
      <w:r w:rsidRPr="00520861">
        <w:rPr>
          <w:rFonts w:eastAsia="Calibri"/>
          <w:b/>
          <w:sz w:val="28"/>
          <w:szCs w:val="28"/>
          <w:lang w:eastAsia="en-US"/>
        </w:rPr>
        <w:t xml:space="preserve">. </w:t>
      </w:r>
      <w:r w:rsidRPr="00520861">
        <w:rPr>
          <w:rFonts w:eastAsia="Calibri"/>
          <w:sz w:val="28"/>
          <w:szCs w:val="28"/>
          <w:lang w:eastAsia="en-US"/>
        </w:rPr>
        <w:t xml:space="preserve">Стан слизової оболонки ясен щурів групи контролю задовільний, </w:t>
      </w:r>
      <w:proofErr w:type="spellStart"/>
      <w:r w:rsidRPr="00520861">
        <w:rPr>
          <w:rFonts w:eastAsia="Calibri"/>
          <w:sz w:val="28"/>
          <w:szCs w:val="28"/>
          <w:lang w:eastAsia="en-US"/>
        </w:rPr>
        <w:t>візуалізується</w:t>
      </w:r>
      <w:proofErr w:type="spellEnd"/>
      <w:r w:rsidRPr="00520861">
        <w:rPr>
          <w:rFonts w:eastAsia="Calibri"/>
          <w:sz w:val="28"/>
          <w:szCs w:val="28"/>
          <w:lang w:eastAsia="en-US"/>
        </w:rPr>
        <w:t xml:space="preserve"> його адекватне кровопостачання (густа сітка судин МЦР). У міжзубних проміжках спостерігається щільне прикріплення епітеліального шару на рівні емалево-цементної межі</w:t>
      </w:r>
      <w:r w:rsidRPr="00520861">
        <w:rPr>
          <w:rFonts w:eastAsia="Calibri"/>
          <w:b/>
          <w:sz w:val="28"/>
          <w:szCs w:val="28"/>
          <w:lang w:eastAsia="en-US"/>
        </w:rPr>
        <w:t>.</w:t>
      </w:r>
      <w:r w:rsidRPr="00520861">
        <w:rPr>
          <w:rFonts w:eastAsia="Calibri"/>
          <w:sz w:val="28"/>
          <w:szCs w:val="28"/>
          <w:lang w:eastAsia="en-US"/>
        </w:rPr>
        <w:t xml:space="preserve"> </w:t>
      </w:r>
    </w:p>
    <w:p w14:paraId="5F845E28"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sz w:val="28"/>
          <w:szCs w:val="28"/>
          <w:lang w:eastAsia="en-US"/>
        </w:rPr>
        <w:t xml:space="preserve">У тварин груп 1 та 2 місцями спостерігається </w:t>
      </w:r>
      <w:proofErr w:type="spellStart"/>
      <w:r w:rsidRPr="00520861">
        <w:rPr>
          <w:rFonts w:eastAsia="Calibri"/>
          <w:sz w:val="28"/>
          <w:szCs w:val="28"/>
          <w:lang w:eastAsia="en-US"/>
        </w:rPr>
        <w:t>виразкування</w:t>
      </w:r>
      <w:proofErr w:type="spellEnd"/>
      <w:r w:rsidRPr="00520861">
        <w:rPr>
          <w:rFonts w:eastAsia="Calibri"/>
          <w:sz w:val="28"/>
          <w:szCs w:val="28"/>
          <w:lang w:eastAsia="en-US"/>
        </w:rPr>
        <w:t xml:space="preserve"> слизової оболонки, дуже тонкий епітеліальний шар, який кріпиться до кореня зуба нижче </w:t>
      </w:r>
      <w:r w:rsidRPr="00520861">
        <w:rPr>
          <w:rFonts w:eastAsia="Calibri"/>
          <w:sz w:val="28"/>
          <w:szCs w:val="28"/>
          <w:lang w:eastAsia="en-US"/>
        </w:rPr>
        <w:br/>
        <w:t>емалево-цементної межі, спостерігаються процеси формування кишень.</w:t>
      </w:r>
      <w:r w:rsidRPr="00520861">
        <w:rPr>
          <w:rFonts w:eastAsia="Calibri"/>
          <w:color w:val="000000" w:themeColor="text1"/>
          <w:sz w:val="28"/>
          <w:szCs w:val="28"/>
          <w:lang w:eastAsia="en-US"/>
        </w:rPr>
        <w:t xml:space="preserve"> </w:t>
      </w:r>
    </w:p>
    <w:p w14:paraId="741CFC9C" w14:textId="77777777" w:rsidR="00CF641C" w:rsidRPr="00520861" w:rsidRDefault="00CF641C" w:rsidP="00292D2E">
      <w:pPr>
        <w:widowControl w:val="0"/>
        <w:spacing w:line="360" w:lineRule="auto"/>
        <w:ind w:right="-2" w:firstLine="708"/>
        <w:jc w:val="both"/>
        <w:rPr>
          <w:spacing w:val="-6"/>
          <w:sz w:val="28"/>
          <w:szCs w:val="28"/>
        </w:rPr>
      </w:pPr>
      <w:proofErr w:type="spellStart"/>
      <w:r w:rsidRPr="00520861">
        <w:rPr>
          <w:sz w:val="28"/>
          <w:szCs w:val="28"/>
        </w:rPr>
        <w:t>Морфометричні</w:t>
      </w:r>
      <w:proofErr w:type="spellEnd"/>
      <w:r w:rsidRPr="00520861">
        <w:rPr>
          <w:sz w:val="28"/>
          <w:szCs w:val="28"/>
        </w:rPr>
        <w:t xml:space="preserve"> дані, отримані при оцінюванні гістологічних особливостей епітелію СОПР за допомогою конфокальної мікроскопії</w:t>
      </w:r>
      <w:r w:rsidRPr="00520861">
        <w:rPr>
          <w:rFonts w:eastAsiaTheme="minorHAnsi"/>
          <w:sz w:val="28"/>
          <w:szCs w:val="28"/>
          <w:lang w:eastAsia="en-US"/>
        </w:rPr>
        <w:t xml:space="preserve"> </w:t>
      </w:r>
      <w:r w:rsidRPr="00520861">
        <w:rPr>
          <w:sz w:val="28"/>
          <w:szCs w:val="28"/>
        </w:rPr>
        <w:t xml:space="preserve">(табл. 3.18), вказують на </w:t>
      </w:r>
      <w:r w:rsidR="00B2556A" w:rsidRPr="00520861">
        <w:rPr>
          <w:sz w:val="28"/>
          <w:szCs w:val="28"/>
        </w:rPr>
        <w:br/>
      </w:r>
      <w:r w:rsidRPr="00520861">
        <w:rPr>
          <w:sz w:val="28"/>
          <w:szCs w:val="28"/>
        </w:rPr>
        <w:t xml:space="preserve">виражену </w:t>
      </w:r>
      <w:proofErr w:type="spellStart"/>
      <w:r w:rsidRPr="00520861">
        <w:rPr>
          <w:sz w:val="28"/>
          <w:szCs w:val="28"/>
        </w:rPr>
        <w:t>гіперпроліферацію</w:t>
      </w:r>
      <w:proofErr w:type="spellEnd"/>
      <w:r w:rsidRPr="00520861">
        <w:rPr>
          <w:sz w:val="28"/>
          <w:szCs w:val="28"/>
        </w:rPr>
        <w:t xml:space="preserve"> епітелію слизової </w:t>
      </w:r>
      <w:r w:rsidRPr="00520861">
        <w:rPr>
          <w:spacing w:val="-6"/>
          <w:sz w:val="28"/>
          <w:szCs w:val="28"/>
        </w:rPr>
        <w:t xml:space="preserve">оболонки у тварин основних груп </w:t>
      </w:r>
      <w:r w:rsidR="00B2556A" w:rsidRPr="00520861">
        <w:rPr>
          <w:spacing w:val="-6"/>
          <w:sz w:val="28"/>
          <w:szCs w:val="28"/>
        </w:rPr>
        <w:br/>
      </w:r>
      <w:r w:rsidRPr="00520861">
        <w:rPr>
          <w:spacing w:val="-6"/>
          <w:sz w:val="28"/>
          <w:szCs w:val="28"/>
        </w:rPr>
        <w:t>порівняно з тваринами контрольної групи (рис. 3.25</w:t>
      </w:r>
      <w:r w:rsidRPr="00520861">
        <w:rPr>
          <w:i/>
          <w:spacing w:val="-6"/>
          <w:sz w:val="28"/>
          <w:szCs w:val="28"/>
        </w:rPr>
        <w:t>а</w:t>
      </w:r>
      <w:r w:rsidRPr="00520861">
        <w:rPr>
          <w:spacing w:val="-6"/>
          <w:sz w:val="28"/>
          <w:szCs w:val="28"/>
        </w:rPr>
        <w:t>, 3.26</w:t>
      </w:r>
      <w:r w:rsidRPr="00520861">
        <w:rPr>
          <w:i/>
          <w:spacing w:val="-6"/>
          <w:sz w:val="28"/>
          <w:szCs w:val="28"/>
        </w:rPr>
        <w:t>а</w:t>
      </w:r>
      <w:r w:rsidRPr="00520861">
        <w:rPr>
          <w:spacing w:val="-6"/>
          <w:sz w:val="28"/>
          <w:szCs w:val="28"/>
        </w:rPr>
        <w:t>).</w:t>
      </w:r>
    </w:p>
    <w:p w14:paraId="1713D593" w14:textId="77777777" w:rsidR="00CF641C" w:rsidRPr="00520861" w:rsidRDefault="00CF641C" w:rsidP="00292D2E">
      <w:pPr>
        <w:widowControl w:val="0"/>
        <w:spacing w:line="360" w:lineRule="auto"/>
        <w:ind w:right="-2"/>
        <w:jc w:val="right"/>
        <w:rPr>
          <w:i/>
          <w:sz w:val="28"/>
          <w:szCs w:val="28"/>
          <w:lang w:val="ru-RU"/>
        </w:rPr>
      </w:pPr>
      <w:r w:rsidRPr="00520861">
        <w:rPr>
          <w:i/>
          <w:sz w:val="28"/>
          <w:szCs w:val="28"/>
        </w:rPr>
        <w:t>Таблиця 3.18</w:t>
      </w:r>
    </w:p>
    <w:p w14:paraId="6EF52744" w14:textId="77777777" w:rsidR="00CF641C" w:rsidRPr="00520861" w:rsidRDefault="00CF641C" w:rsidP="00292D2E">
      <w:pPr>
        <w:widowControl w:val="0"/>
        <w:spacing w:line="360" w:lineRule="auto"/>
        <w:ind w:right="-2"/>
        <w:jc w:val="center"/>
        <w:rPr>
          <w:b/>
          <w:sz w:val="28"/>
          <w:szCs w:val="28"/>
        </w:rPr>
      </w:pPr>
      <w:r w:rsidRPr="00520861">
        <w:rPr>
          <w:b/>
          <w:sz w:val="28"/>
          <w:szCs w:val="28"/>
        </w:rPr>
        <w:t xml:space="preserve">Результати </w:t>
      </w:r>
      <w:proofErr w:type="spellStart"/>
      <w:r w:rsidRPr="00520861">
        <w:rPr>
          <w:b/>
          <w:sz w:val="28"/>
          <w:szCs w:val="28"/>
        </w:rPr>
        <w:t>морфометричних</w:t>
      </w:r>
      <w:proofErr w:type="spellEnd"/>
      <w:r w:rsidRPr="00520861">
        <w:rPr>
          <w:b/>
          <w:sz w:val="28"/>
          <w:szCs w:val="28"/>
        </w:rPr>
        <w:t xml:space="preserve"> досліджень глибини </w:t>
      </w:r>
      <w:proofErr w:type="spellStart"/>
      <w:r w:rsidRPr="00520861">
        <w:rPr>
          <w:b/>
          <w:sz w:val="28"/>
          <w:szCs w:val="28"/>
        </w:rPr>
        <w:t>акантотичних</w:t>
      </w:r>
      <w:proofErr w:type="spellEnd"/>
      <w:r w:rsidRPr="00520861">
        <w:rPr>
          <w:b/>
          <w:sz w:val="28"/>
          <w:szCs w:val="28"/>
        </w:rPr>
        <w:t xml:space="preserve"> виростів </w:t>
      </w:r>
      <w:r w:rsidRPr="00520861">
        <w:rPr>
          <w:b/>
          <w:sz w:val="28"/>
          <w:szCs w:val="28"/>
        </w:rPr>
        <w:br/>
        <w:t xml:space="preserve">епітелію слизової оболонки порожнини рота у 6-ти місячних </w:t>
      </w:r>
      <w:r w:rsidRPr="00520861">
        <w:rPr>
          <w:b/>
          <w:sz w:val="28"/>
          <w:szCs w:val="28"/>
        </w:rPr>
        <w:br/>
        <w:t>експериментальних тварин</w:t>
      </w:r>
    </w:p>
    <w:tbl>
      <w:tblPr>
        <w:tblW w:w="985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2155"/>
        <w:gridCol w:w="2160"/>
        <w:gridCol w:w="2133"/>
        <w:gridCol w:w="1134"/>
        <w:gridCol w:w="992"/>
      </w:tblGrid>
      <w:tr w:rsidR="00CF641C" w:rsidRPr="00520861" w14:paraId="218781E1" w14:textId="77777777" w:rsidTr="00292D2E">
        <w:tc>
          <w:tcPr>
            <w:tcW w:w="1276" w:type="dxa"/>
            <w:tcBorders>
              <w:top w:val="single" w:sz="4" w:space="0" w:color="000000"/>
              <w:left w:val="single" w:sz="4" w:space="0" w:color="000000"/>
              <w:bottom w:val="single" w:sz="4" w:space="0" w:color="000000"/>
              <w:right w:val="single" w:sz="4" w:space="0" w:color="000000"/>
            </w:tcBorders>
            <w:hideMark/>
          </w:tcPr>
          <w:p w14:paraId="4DF044C1" w14:textId="77777777" w:rsidR="00CF641C" w:rsidRPr="00520861" w:rsidRDefault="00CF641C" w:rsidP="00292D2E">
            <w:pPr>
              <w:widowControl w:val="0"/>
              <w:spacing w:line="360" w:lineRule="auto"/>
              <w:ind w:right="65"/>
              <w:rPr>
                <w:sz w:val="28"/>
                <w:szCs w:val="28"/>
                <w:lang w:val="ru-RU"/>
              </w:rPr>
            </w:pPr>
            <w:r w:rsidRPr="00520861">
              <w:rPr>
                <w:sz w:val="28"/>
                <w:szCs w:val="28"/>
              </w:rPr>
              <w:t>Групи</w:t>
            </w:r>
          </w:p>
        </w:tc>
        <w:tc>
          <w:tcPr>
            <w:tcW w:w="2155" w:type="dxa"/>
            <w:tcBorders>
              <w:top w:val="single" w:sz="4" w:space="0" w:color="000000"/>
              <w:left w:val="single" w:sz="4" w:space="0" w:color="000000"/>
              <w:bottom w:val="single" w:sz="4" w:space="0" w:color="000000"/>
              <w:right w:val="single" w:sz="4" w:space="0" w:color="000000"/>
            </w:tcBorders>
            <w:hideMark/>
          </w:tcPr>
          <w:p w14:paraId="158A6D11" w14:textId="77777777" w:rsidR="00CF641C" w:rsidRPr="00520861" w:rsidRDefault="00CF641C" w:rsidP="00292D2E">
            <w:pPr>
              <w:widowControl w:val="0"/>
              <w:spacing w:line="360" w:lineRule="auto"/>
              <w:ind w:hanging="98"/>
              <w:jc w:val="center"/>
              <w:rPr>
                <w:sz w:val="28"/>
                <w:szCs w:val="28"/>
              </w:rPr>
            </w:pPr>
            <w:r w:rsidRPr="00520861">
              <w:rPr>
                <w:sz w:val="28"/>
                <w:szCs w:val="28"/>
              </w:rPr>
              <w:t>Кількість зразків</w:t>
            </w:r>
          </w:p>
        </w:tc>
        <w:tc>
          <w:tcPr>
            <w:tcW w:w="2160" w:type="dxa"/>
            <w:tcBorders>
              <w:top w:val="single" w:sz="4" w:space="0" w:color="000000"/>
              <w:left w:val="single" w:sz="4" w:space="0" w:color="000000"/>
              <w:bottom w:val="single" w:sz="4" w:space="0" w:color="000000"/>
              <w:right w:val="single" w:sz="4" w:space="0" w:color="000000"/>
            </w:tcBorders>
            <w:hideMark/>
          </w:tcPr>
          <w:p w14:paraId="7A86ED8E" w14:textId="77777777" w:rsidR="00CF641C" w:rsidRPr="00520861" w:rsidRDefault="00CF641C" w:rsidP="00292D2E">
            <w:pPr>
              <w:widowControl w:val="0"/>
              <w:spacing w:line="360" w:lineRule="auto"/>
              <w:ind w:left="-220" w:right="-80"/>
              <w:jc w:val="center"/>
              <w:rPr>
                <w:sz w:val="28"/>
                <w:szCs w:val="28"/>
              </w:rPr>
            </w:pPr>
            <w:r w:rsidRPr="00520861">
              <w:rPr>
                <w:sz w:val="28"/>
                <w:szCs w:val="28"/>
              </w:rPr>
              <w:t>Основа</w:t>
            </w:r>
            <w:r w:rsidRPr="00520861">
              <w:rPr>
                <w:sz w:val="28"/>
                <w:szCs w:val="28"/>
                <w:lang w:val="ru-RU"/>
              </w:rPr>
              <w:t xml:space="preserve"> </w:t>
            </w:r>
            <w:r w:rsidRPr="00520861">
              <w:rPr>
                <w:sz w:val="28"/>
                <w:szCs w:val="28"/>
                <w:lang w:val="en-US"/>
              </w:rPr>
              <w:t>L</w:t>
            </w:r>
            <w:r w:rsidRPr="00520861">
              <w:rPr>
                <w:sz w:val="28"/>
                <w:szCs w:val="28"/>
              </w:rPr>
              <w:t xml:space="preserve">, </w:t>
            </w:r>
            <w:proofErr w:type="spellStart"/>
            <w:r w:rsidRPr="00520861">
              <w:rPr>
                <w:sz w:val="28"/>
                <w:szCs w:val="28"/>
              </w:rPr>
              <w:t>ум.од</w:t>
            </w:r>
            <w:proofErr w:type="spellEnd"/>
          </w:p>
        </w:tc>
        <w:tc>
          <w:tcPr>
            <w:tcW w:w="2133" w:type="dxa"/>
            <w:tcBorders>
              <w:top w:val="single" w:sz="4" w:space="0" w:color="000000"/>
              <w:left w:val="single" w:sz="4" w:space="0" w:color="000000"/>
              <w:bottom w:val="single" w:sz="4" w:space="0" w:color="000000"/>
              <w:right w:val="single" w:sz="4" w:space="0" w:color="000000"/>
            </w:tcBorders>
            <w:hideMark/>
          </w:tcPr>
          <w:p w14:paraId="25544C43" w14:textId="77777777" w:rsidR="00CF641C" w:rsidRPr="00520861" w:rsidRDefault="00CF641C" w:rsidP="00292D2E">
            <w:pPr>
              <w:widowControl w:val="0"/>
              <w:spacing w:line="360" w:lineRule="auto"/>
              <w:ind w:left="-101" w:right="-101"/>
              <w:jc w:val="center"/>
              <w:rPr>
                <w:sz w:val="28"/>
                <w:szCs w:val="28"/>
              </w:rPr>
            </w:pPr>
            <w:proofErr w:type="spellStart"/>
            <w:r w:rsidRPr="00520861">
              <w:rPr>
                <w:sz w:val="28"/>
                <w:szCs w:val="28"/>
                <w:lang w:val="ru-RU"/>
              </w:rPr>
              <w:t>Висота</w:t>
            </w:r>
            <w:proofErr w:type="spellEnd"/>
            <w:r w:rsidRPr="00520861">
              <w:rPr>
                <w:sz w:val="28"/>
                <w:szCs w:val="28"/>
                <w:lang w:val="ru-RU"/>
              </w:rPr>
              <w:t xml:space="preserve"> H,</w:t>
            </w:r>
            <w:r w:rsidRPr="00520861">
              <w:rPr>
                <w:sz w:val="28"/>
                <w:szCs w:val="28"/>
              </w:rPr>
              <w:t xml:space="preserve"> ум. од</w:t>
            </w:r>
          </w:p>
        </w:tc>
        <w:tc>
          <w:tcPr>
            <w:tcW w:w="1134" w:type="dxa"/>
            <w:tcBorders>
              <w:top w:val="single" w:sz="4" w:space="0" w:color="000000"/>
              <w:left w:val="single" w:sz="4" w:space="0" w:color="000000"/>
              <w:bottom w:val="single" w:sz="4" w:space="0" w:color="000000"/>
              <w:right w:val="single" w:sz="4" w:space="0" w:color="000000"/>
            </w:tcBorders>
          </w:tcPr>
          <w:p w14:paraId="2DFE5A91" w14:textId="77777777" w:rsidR="00CF641C" w:rsidRPr="00520861" w:rsidRDefault="00CF641C" w:rsidP="00292D2E">
            <w:pPr>
              <w:widowControl w:val="0"/>
              <w:spacing w:line="360" w:lineRule="auto"/>
              <w:ind w:right="-115"/>
              <w:jc w:val="center"/>
              <w:rPr>
                <w:sz w:val="28"/>
                <w:szCs w:val="28"/>
                <w:lang w:val="ru-RU"/>
              </w:rPr>
            </w:pPr>
            <w:r w:rsidRPr="00520861">
              <w:rPr>
                <w:sz w:val="28"/>
                <w:szCs w:val="28"/>
                <w:lang w:val="ru-RU"/>
              </w:rPr>
              <w:t>H/L</w:t>
            </w:r>
          </w:p>
        </w:tc>
        <w:tc>
          <w:tcPr>
            <w:tcW w:w="992" w:type="dxa"/>
            <w:tcBorders>
              <w:top w:val="single" w:sz="4" w:space="0" w:color="000000"/>
              <w:left w:val="single" w:sz="4" w:space="0" w:color="000000"/>
              <w:bottom w:val="single" w:sz="4" w:space="0" w:color="000000"/>
              <w:right w:val="single" w:sz="4" w:space="0" w:color="000000"/>
            </w:tcBorders>
          </w:tcPr>
          <w:p w14:paraId="11E5374F" w14:textId="77777777" w:rsidR="00CF641C" w:rsidRPr="00520861" w:rsidRDefault="00CF641C" w:rsidP="00292D2E">
            <w:pPr>
              <w:widowControl w:val="0"/>
              <w:spacing w:line="360" w:lineRule="auto"/>
              <w:ind w:left="-107" w:right="-104" w:firstLine="107"/>
              <w:rPr>
                <w:sz w:val="28"/>
                <w:szCs w:val="28"/>
                <w:lang w:val="ru-RU"/>
              </w:rPr>
            </w:pPr>
            <w:r w:rsidRPr="00520861">
              <w:rPr>
                <w:sz w:val="28"/>
                <w:szCs w:val="28"/>
                <w:lang w:val="ru-RU"/>
              </w:rPr>
              <w:t>L1 /L2</w:t>
            </w:r>
          </w:p>
        </w:tc>
      </w:tr>
      <w:tr w:rsidR="00CF641C" w:rsidRPr="00520861" w14:paraId="37048CA8" w14:textId="77777777" w:rsidTr="00292D2E">
        <w:tc>
          <w:tcPr>
            <w:tcW w:w="1276" w:type="dxa"/>
            <w:tcBorders>
              <w:top w:val="single" w:sz="4" w:space="0" w:color="000000"/>
              <w:left w:val="single" w:sz="4" w:space="0" w:color="000000"/>
              <w:bottom w:val="single" w:sz="4" w:space="0" w:color="000000"/>
              <w:right w:val="single" w:sz="4" w:space="0" w:color="000000"/>
            </w:tcBorders>
          </w:tcPr>
          <w:p w14:paraId="668E66B5" w14:textId="77777777" w:rsidR="00CF641C" w:rsidRPr="00520861" w:rsidRDefault="00CF641C" w:rsidP="00292D2E">
            <w:pPr>
              <w:widowControl w:val="0"/>
              <w:spacing w:line="360" w:lineRule="auto"/>
              <w:ind w:right="-426"/>
              <w:rPr>
                <w:sz w:val="28"/>
                <w:szCs w:val="28"/>
              </w:rPr>
            </w:pPr>
            <w:r w:rsidRPr="00520861">
              <w:rPr>
                <w:sz w:val="28"/>
                <w:szCs w:val="28"/>
              </w:rPr>
              <w:t>Контроль</w:t>
            </w:r>
          </w:p>
        </w:tc>
        <w:tc>
          <w:tcPr>
            <w:tcW w:w="2155" w:type="dxa"/>
            <w:tcBorders>
              <w:top w:val="single" w:sz="4" w:space="0" w:color="000000"/>
              <w:left w:val="single" w:sz="4" w:space="0" w:color="000000"/>
              <w:bottom w:val="single" w:sz="4" w:space="0" w:color="000000"/>
              <w:right w:val="single" w:sz="4" w:space="0" w:color="000000"/>
            </w:tcBorders>
          </w:tcPr>
          <w:p w14:paraId="00072305" w14:textId="77777777" w:rsidR="00CF641C" w:rsidRPr="00520861" w:rsidRDefault="00CF641C" w:rsidP="00292D2E">
            <w:pPr>
              <w:widowControl w:val="0"/>
              <w:spacing w:line="360" w:lineRule="auto"/>
              <w:ind w:hanging="98"/>
              <w:jc w:val="center"/>
              <w:rPr>
                <w:sz w:val="28"/>
                <w:szCs w:val="28"/>
                <w:lang w:val="ru-RU"/>
              </w:rPr>
            </w:pPr>
            <w:r w:rsidRPr="00520861">
              <w:rPr>
                <w:sz w:val="28"/>
                <w:szCs w:val="28"/>
                <w:lang w:val="ru-RU"/>
              </w:rPr>
              <w:t>8</w:t>
            </w:r>
          </w:p>
        </w:tc>
        <w:tc>
          <w:tcPr>
            <w:tcW w:w="2160" w:type="dxa"/>
            <w:tcBorders>
              <w:top w:val="single" w:sz="4" w:space="0" w:color="000000"/>
              <w:left w:val="single" w:sz="4" w:space="0" w:color="000000"/>
              <w:bottom w:val="single" w:sz="4" w:space="0" w:color="000000"/>
              <w:right w:val="single" w:sz="4" w:space="0" w:color="000000"/>
            </w:tcBorders>
          </w:tcPr>
          <w:p w14:paraId="2CD7348F" w14:textId="77777777" w:rsidR="00CF641C" w:rsidRPr="00520861" w:rsidRDefault="00CF641C" w:rsidP="00292D2E">
            <w:pPr>
              <w:widowControl w:val="0"/>
              <w:spacing w:line="360" w:lineRule="auto"/>
              <w:ind w:left="-220" w:right="-426"/>
              <w:jc w:val="center"/>
              <w:rPr>
                <w:sz w:val="28"/>
                <w:szCs w:val="28"/>
                <w:lang w:val="ru-RU"/>
              </w:rPr>
            </w:pPr>
            <w:r w:rsidRPr="00520861">
              <w:rPr>
                <w:sz w:val="28"/>
                <w:szCs w:val="28"/>
                <w:lang w:val="ru-RU"/>
              </w:rPr>
              <w:t>430</w:t>
            </w:r>
          </w:p>
        </w:tc>
        <w:tc>
          <w:tcPr>
            <w:tcW w:w="2133" w:type="dxa"/>
            <w:tcBorders>
              <w:top w:val="single" w:sz="4" w:space="0" w:color="000000"/>
              <w:left w:val="single" w:sz="4" w:space="0" w:color="000000"/>
              <w:bottom w:val="single" w:sz="4" w:space="0" w:color="000000"/>
              <w:right w:val="single" w:sz="4" w:space="0" w:color="000000"/>
            </w:tcBorders>
          </w:tcPr>
          <w:p w14:paraId="57081F33" w14:textId="77777777" w:rsidR="00CF641C" w:rsidRPr="00520861" w:rsidRDefault="00CF641C" w:rsidP="00292D2E">
            <w:pPr>
              <w:widowControl w:val="0"/>
              <w:spacing w:line="360" w:lineRule="auto"/>
              <w:ind w:left="-101" w:right="-101"/>
              <w:jc w:val="center"/>
              <w:rPr>
                <w:sz w:val="28"/>
                <w:szCs w:val="28"/>
              </w:rPr>
            </w:pPr>
            <w:r w:rsidRPr="00520861">
              <w:rPr>
                <w:sz w:val="28"/>
                <w:szCs w:val="28"/>
                <w:lang w:val="ru-RU"/>
              </w:rPr>
              <w:t>302</w:t>
            </w:r>
          </w:p>
        </w:tc>
        <w:tc>
          <w:tcPr>
            <w:tcW w:w="1134" w:type="dxa"/>
            <w:tcBorders>
              <w:top w:val="single" w:sz="4" w:space="0" w:color="000000"/>
              <w:left w:val="single" w:sz="4" w:space="0" w:color="000000"/>
              <w:bottom w:val="single" w:sz="4" w:space="0" w:color="000000"/>
              <w:right w:val="single" w:sz="4" w:space="0" w:color="000000"/>
            </w:tcBorders>
          </w:tcPr>
          <w:p w14:paraId="6DA1D96A" w14:textId="77777777" w:rsidR="00CF641C" w:rsidRPr="00520861" w:rsidRDefault="00CF641C" w:rsidP="00292D2E">
            <w:pPr>
              <w:widowControl w:val="0"/>
              <w:spacing w:line="360" w:lineRule="auto"/>
              <w:ind w:right="-115"/>
              <w:jc w:val="center"/>
              <w:rPr>
                <w:sz w:val="28"/>
                <w:szCs w:val="28"/>
                <w:lang w:val="ru-RU"/>
              </w:rPr>
            </w:pPr>
            <w:r w:rsidRPr="00520861">
              <w:rPr>
                <w:sz w:val="28"/>
                <w:szCs w:val="28"/>
                <w:lang w:val="ru-RU"/>
              </w:rPr>
              <w:t>0,68</w:t>
            </w:r>
          </w:p>
        </w:tc>
        <w:tc>
          <w:tcPr>
            <w:tcW w:w="992" w:type="dxa"/>
            <w:tcBorders>
              <w:top w:val="single" w:sz="4" w:space="0" w:color="000000"/>
              <w:left w:val="single" w:sz="4" w:space="0" w:color="000000"/>
              <w:bottom w:val="single" w:sz="4" w:space="0" w:color="000000"/>
              <w:right w:val="single" w:sz="4" w:space="0" w:color="000000"/>
            </w:tcBorders>
          </w:tcPr>
          <w:p w14:paraId="751EBB4E" w14:textId="77777777" w:rsidR="00CF641C" w:rsidRPr="00520861" w:rsidRDefault="00CF641C" w:rsidP="00292D2E">
            <w:pPr>
              <w:widowControl w:val="0"/>
              <w:spacing w:line="360" w:lineRule="auto"/>
              <w:ind w:right="28"/>
              <w:jc w:val="center"/>
              <w:rPr>
                <w:sz w:val="28"/>
                <w:szCs w:val="28"/>
                <w:lang w:val="ru-RU"/>
              </w:rPr>
            </w:pPr>
            <w:r w:rsidRPr="00520861">
              <w:rPr>
                <w:sz w:val="28"/>
                <w:szCs w:val="28"/>
                <w:lang w:val="ru-RU"/>
              </w:rPr>
              <w:t>1,70</w:t>
            </w:r>
          </w:p>
        </w:tc>
      </w:tr>
      <w:tr w:rsidR="00CF641C" w:rsidRPr="00520861" w14:paraId="41336169" w14:textId="77777777" w:rsidTr="00292D2E">
        <w:tc>
          <w:tcPr>
            <w:tcW w:w="1276" w:type="dxa"/>
            <w:tcBorders>
              <w:top w:val="single" w:sz="4" w:space="0" w:color="000000"/>
              <w:left w:val="single" w:sz="4" w:space="0" w:color="000000"/>
              <w:bottom w:val="single" w:sz="4" w:space="0" w:color="000000"/>
              <w:right w:val="single" w:sz="4" w:space="0" w:color="000000"/>
            </w:tcBorders>
          </w:tcPr>
          <w:p w14:paraId="4494E378" w14:textId="77777777" w:rsidR="00CF641C" w:rsidRPr="00520861" w:rsidRDefault="00CF641C" w:rsidP="00292D2E">
            <w:pPr>
              <w:widowControl w:val="0"/>
              <w:spacing w:line="360" w:lineRule="auto"/>
              <w:ind w:right="-426"/>
              <w:rPr>
                <w:sz w:val="28"/>
                <w:szCs w:val="28"/>
              </w:rPr>
            </w:pPr>
            <w:r w:rsidRPr="00520861">
              <w:rPr>
                <w:sz w:val="28"/>
                <w:szCs w:val="28"/>
              </w:rPr>
              <w:t>Група 1</w:t>
            </w:r>
          </w:p>
        </w:tc>
        <w:tc>
          <w:tcPr>
            <w:tcW w:w="2155" w:type="dxa"/>
            <w:tcBorders>
              <w:top w:val="single" w:sz="4" w:space="0" w:color="000000"/>
              <w:left w:val="single" w:sz="4" w:space="0" w:color="000000"/>
              <w:bottom w:val="single" w:sz="4" w:space="0" w:color="000000"/>
              <w:right w:val="single" w:sz="4" w:space="0" w:color="000000"/>
            </w:tcBorders>
          </w:tcPr>
          <w:p w14:paraId="1EE755A7" w14:textId="77777777" w:rsidR="00CF641C" w:rsidRPr="00520861" w:rsidRDefault="00CF641C" w:rsidP="00292D2E">
            <w:pPr>
              <w:widowControl w:val="0"/>
              <w:spacing w:line="360" w:lineRule="auto"/>
              <w:ind w:hanging="98"/>
              <w:jc w:val="center"/>
              <w:rPr>
                <w:sz w:val="28"/>
                <w:szCs w:val="28"/>
                <w:lang w:val="ru-RU"/>
              </w:rPr>
            </w:pPr>
            <w:r w:rsidRPr="00520861">
              <w:rPr>
                <w:sz w:val="28"/>
                <w:szCs w:val="28"/>
                <w:lang w:val="ru-RU"/>
              </w:rPr>
              <w:t>8</w:t>
            </w:r>
          </w:p>
        </w:tc>
        <w:tc>
          <w:tcPr>
            <w:tcW w:w="2160" w:type="dxa"/>
            <w:tcBorders>
              <w:top w:val="single" w:sz="4" w:space="0" w:color="000000"/>
              <w:left w:val="single" w:sz="4" w:space="0" w:color="000000"/>
              <w:bottom w:val="single" w:sz="4" w:space="0" w:color="000000"/>
              <w:right w:val="single" w:sz="4" w:space="0" w:color="000000"/>
            </w:tcBorders>
          </w:tcPr>
          <w:p w14:paraId="2BCDA017" w14:textId="77777777" w:rsidR="00CF641C" w:rsidRPr="00520861" w:rsidRDefault="00CF641C" w:rsidP="00292D2E">
            <w:pPr>
              <w:widowControl w:val="0"/>
              <w:spacing w:line="360" w:lineRule="auto"/>
              <w:ind w:left="-220" w:right="-426"/>
              <w:jc w:val="center"/>
              <w:rPr>
                <w:sz w:val="28"/>
                <w:szCs w:val="28"/>
                <w:lang w:val="ru-RU"/>
              </w:rPr>
            </w:pPr>
            <w:r w:rsidRPr="00520861">
              <w:rPr>
                <w:sz w:val="28"/>
                <w:szCs w:val="28"/>
                <w:lang w:val="ru-RU"/>
              </w:rPr>
              <w:t>317</w:t>
            </w:r>
          </w:p>
        </w:tc>
        <w:tc>
          <w:tcPr>
            <w:tcW w:w="2133" w:type="dxa"/>
            <w:tcBorders>
              <w:top w:val="single" w:sz="4" w:space="0" w:color="000000"/>
              <w:left w:val="single" w:sz="4" w:space="0" w:color="000000"/>
              <w:bottom w:val="single" w:sz="4" w:space="0" w:color="000000"/>
              <w:right w:val="single" w:sz="4" w:space="0" w:color="000000"/>
            </w:tcBorders>
          </w:tcPr>
          <w:p w14:paraId="0A836395" w14:textId="77777777" w:rsidR="00CF641C" w:rsidRPr="00520861" w:rsidRDefault="00CF641C" w:rsidP="00292D2E">
            <w:pPr>
              <w:widowControl w:val="0"/>
              <w:spacing w:line="360" w:lineRule="auto"/>
              <w:ind w:left="-101" w:right="-101"/>
              <w:jc w:val="center"/>
              <w:rPr>
                <w:sz w:val="28"/>
                <w:szCs w:val="28"/>
                <w:lang w:val="ru-RU"/>
              </w:rPr>
            </w:pPr>
            <w:r w:rsidRPr="00520861">
              <w:rPr>
                <w:sz w:val="28"/>
                <w:szCs w:val="28"/>
                <w:lang w:val="ru-RU"/>
              </w:rPr>
              <w:t>297</w:t>
            </w:r>
          </w:p>
        </w:tc>
        <w:tc>
          <w:tcPr>
            <w:tcW w:w="1134" w:type="dxa"/>
            <w:tcBorders>
              <w:top w:val="single" w:sz="4" w:space="0" w:color="000000"/>
              <w:left w:val="single" w:sz="4" w:space="0" w:color="000000"/>
              <w:bottom w:val="single" w:sz="4" w:space="0" w:color="000000"/>
              <w:right w:val="single" w:sz="4" w:space="0" w:color="000000"/>
            </w:tcBorders>
          </w:tcPr>
          <w:p w14:paraId="6D8FFAB5" w14:textId="77777777" w:rsidR="00CF641C" w:rsidRPr="00520861" w:rsidRDefault="00CF641C" w:rsidP="00292D2E">
            <w:pPr>
              <w:widowControl w:val="0"/>
              <w:spacing w:line="360" w:lineRule="auto"/>
              <w:ind w:right="-115"/>
              <w:jc w:val="center"/>
              <w:rPr>
                <w:sz w:val="28"/>
                <w:szCs w:val="28"/>
                <w:lang w:val="ru-RU"/>
              </w:rPr>
            </w:pPr>
            <w:r w:rsidRPr="00520861">
              <w:rPr>
                <w:sz w:val="28"/>
                <w:szCs w:val="28"/>
                <w:lang w:val="ru-RU"/>
              </w:rPr>
              <w:t>0,90</w:t>
            </w:r>
          </w:p>
        </w:tc>
        <w:tc>
          <w:tcPr>
            <w:tcW w:w="992" w:type="dxa"/>
            <w:tcBorders>
              <w:top w:val="single" w:sz="4" w:space="0" w:color="000000"/>
              <w:left w:val="single" w:sz="4" w:space="0" w:color="000000"/>
              <w:bottom w:val="single" w:sz="4" w:space="0" w:color="000000"/>
              <w:right w:val="single" w:sz="4" w:space="0" w:color="000000"/>
            </w:tcBorders>
          </w:tcPr>
          <w:p w14:paraId="4791D8B5" w14:textId="77777777" w:rsidR="00CF641C" w:rsidRPr="00520861" w:rsidRDefault="00CF641C" w:rsidP="00292D2E">
            <w:pPr>
              <w:widowControl w:val="0"/>
              <w:spacing w:line="360" w:lineRule="auto"/>
              <w:ind w:right="28"/>
              <w:jc w:val="center"/>
              <w:rPr>
                <w:sz w:val="28"/>
                <w:szCs w:val="28"/>
                <w:lang w:val="ru-RU"/>
              </w:rPr>
            </w:pPr>
            <w:r w:rsidRPr="00520861">
              <w:rPr>
                <w:sz w:val="28"/>
                <w:szCs w:val="28"/>
                <w:lang w:val="ru-RU"/>
              </w:rPr>
              <w:t>2,10</w:t>
            </w:r>
          </w:p>
        </w:tc>
      </w:tr>
      <w:tr w:rsidR="00CF641C" w:rsidRPr="00520861" w14:paraId="689D56DA" w14:textId="77777777" w:rsidTr="00292D2E">
        <w:tc>
          <w:tcPr>
            <w:tcW w:w="1276" w:type="dxa"/>
            <w:tcBorders>
              <w:top w:val="single" w:sz="4" w:space="0" w:color="000000"/>
              <w:left w:val="single" w:sz="4" w:space="0" w:color="000000"/>
              <w:bottom w:val="single" w:sz="4" w:space="0" w:color="000000"/>
              <w:right w:val="single" w:sz="4" w:space="0" w:color="000000"/>
            </w:tcBorders>
            <w:hideMark/>
          </w:tcPr>
          <w:p w14:paraId="6B2CC1D3" w14:textId="77777777" w:rsidR="00CF641C" w:rsidRPr="00520861" w:rsidRDefault="00CF641C" w:rsidP="00292D2E">
            <w:pPr>
              <w:widowControl w:val="0"/>
              <w:spacing w:line="360" w:lineRule="auto"/>
              <w:ind w:right="-426"/>
              <w:rPr>
                <w:sz w:val="28"/>
                <w:szCs w:val="28"/>
              </w:rPr>
            </w:pPr>
            <w:r w:rsidRPr="00520861">
              <w:rPr>
                <w:sz w:val="28"/>
                <w:szCs w:val="28"/>
              </w:rPr>
              <w:t>Група 2</w:t>
            </w:r>
          </w:p>
        </w:tc>
        <w:tc>
          <w:tcPr>
            <w:tcW w:w="2155" w:type="dxa"/>
            <w:tcBorders>
              <w:top w:val="single" w:sz="4" w:space="0" w:color="000000"/>
              <w:left w:val="single" w:sz="4" w:space="0" w:color="000000"/>
              <w:bottom w:val="single" w:sz="4" w:space="0" w:color="000000"/>
              <w:right w:val="single" w:sz="4" w:space="0" w:color="000000"/>
            </w:tcBorders>
            <w:hideMark/>
          </w:tcPr>
          <w:p w14:paraId="2F149CD6" w14:textId="77777777" w:rsidR="00CF641C" w:rsidRPr="00520861" w:rsidRDefault="00CF641C" w:rsidP="00292D2E">
            <w:pPr>
              <w:widowControl w:val="0"/>
              <w:spacing w:line="360" w:lineRule="auto"/>
              <w:ind w:hanging="98"/>
              <w:jc w:val="center"/>
              <w:rPr>
                <w:sz w:val="28"/>
                <w:szCs w:val="28"/>
                <w:lang w:val="ru-RU"/>
              </w:rPr>
            </w:pPr>
            <w:r w:rsidRPr="00520861">
              <w:rPr>
                <w:sz w:val="28"/>
                <w:szCs w:val="28"/>
                <w:lang w:val="ru-RU"/>
              </w:rPr>
              <w:t>5</w:t>
            </w:r>
          </w:p>
        </w:tc>
        <w:tc>
          <w:tcPr>
            <w:tcW w:w="2160" w:type="dxa"/>
            <w:tcBorders>
              <w:top w:val="single" w:sz="4" w:space="0" w:color="000000"/>
              <w:left w:val="single" w:sz="4" w:space="0" w:color="000000"/>
              <w:bottom w:val="single" w:sz="4" w:space="0" w:color="000000"/>
              <w:right w:val="single" w:sz="4" w:space="0" w:color="000000"/>
            </w:tcBorders>
            <w:hideMark/>
          </w:tcPr>
          <w:p w14:paraId="44D187D9" w14:textId="77777777" w:rsidR="00CF641C" w:rsidRPr="00520861" w:rsidRDefault="00CF641C" w:rsidP="00292D2E">
            <w:pPr>
              <w:widowControl w:val="0"/>
              <w:spacing w:line="360" w:lineRule="auto"/>
              <w:ind w:left="-220" w:right="-426"/>
              <w:jc w:val="center"/>
              <w:rPr>
                <w:sz w:val="28"/>
                <w:szCs w:val="28"/>
                <w:lang w:val="ru-RU"/>
              </w:rPr>
            </w:pPr>
            <w:r w:rsidRPr="00520861">
              <w:rPr>
                <w:sz w:val="28"/>
                <w:szCs w:val="28"/>
                <w:lang w:val="ru-RU"/>
              </w:rPr>
              <w:t>537</w:t>
            </w:r>
          </w:p>
        </w:tc>
        <w:tc>
          <w:tcPr>
            <w:tcW w:w="2133" w:type="dxa"/>
            <w:tcBorders>
              <w:top w:val="single" w:sz="4" w:space="0" w:color="000000"/>
              <w:left w:val="single" w:sz="4" w:space="0" w:color="000000"/>
              <w:bottom w:val="single" w:sz="4" w:space="0" w:color="000000"/>
              <w:right w:val="single" w:sz="4" w:space="0" w:color="000000"/>
            </w:tcBorders>
            <w:hideMark/>
          </w:tcPr>
          <w:p w14:paraId="35555BF6" w14:textId="77777777" w:rsidR="00CF641C" w:rsidRPr="00520861" w:rsidRDefault="00CF641C" w:rsidP="00292D2E">
            <w:pPr>
              <w:widowControl w:val="0"/>
              <w:spacing w:line="360" w:lineRule="auto"/>
              <w:ind w:left="-101" w:right="-101"/>
              <w:jc w:val="center"/>
              <w:rPr>
                <w:sz w:val="28"/>
                <w:szCs w:val="28"/>
                <w:lang w:val="ru-RU"/>
              </w:rPr>
            </w:pPr>
            <w:r w:rsidRPr="00520861">
              <w:rPr>
                <w:sz w:val="28"/>
                <w:szCs w:val="28"/>
                <w:lang w:val="ru-RU"/>
              </w:rPr>
              <w:t>384</w:t>
            </w:r>
          </w:p>
        </w:tc>
        <w:tc>
          <w:tcPr>
            <w:tcW w:w="1134" w:type="dxa"/>
            <w:tcBorders>
              <w:top w:val="single" w:sz="4" w:space="0" w:color="000000"/>
              <w:left w:val="single" w:sz="4" w:space="0" w:color="000000"/>
              <w:bottom w:val="single" w:sz="4" w:space="0" w:color="000000"/>
              <w:right w:val="single" w:sz="4" w:space="0" w:color="000000"/>
            </w:tcBorders>
            <w:hideMark/>
          </w:tcPr>
          <w:p w14:paraId="26B5B4D3" w14:textId="77777777" w:rsidR="00CF641C" w:rsidRPr="00520861" w:rsidRDefault="00CF641C" w:rsidP="00292D2E">
            <w:pPr>
              <w:widowControl w:val="0"/>
              <w:spacing w:line="360" w:lineRule="auto"/>
              <w:ind w:right="-115"/>
              <w:jc w:val="center"/>
              <w:rPr>
                <w:sz w:val="28"/>
                <w:szCs w:val="28"/>
                <w:lang w:val="ru-RU"/>
              </w:rPr>
            </w:pPr>
            <w:r w:rsidRPr="00520861">
              <w:rPr>
                <w:sz w:val="28"/>
                <w:szCs w:val="28"/>
                <w:lang w:val="ru-RU"/>
              </w:rPr>
              <w:t>0,71</w:t>
            </w:r>
          </w:p>
        </w:tc>
        <w:tc>
          <w:tcPr>
            <w:tcW w:w="992" w:type="dxa"/>
            <w:tcBorders>
              <w:top w:val="single" w:sz="4" w:space="0" w:color="000000"/>
              <w:left w:val="single" w:sz="4" w:space="0" w:color="000000"/>
              <w:bottom w:val="single" w:sz="4" w:space="0" w:color="000000"/>
              <w:right w:val="single" w:sz="4" w:space="0" w:color="000000"/>
            </w:tcBorders>
            <w:hideMark/>
          </w:tcPr>
          <w:p w14:paraId="23E6CEEE" w14:textId="77777777" w:rsidR="00CF641C" w:rsidRPr="00520861" w:rsidRDefault="00CF641C" w:rsidP="00292D2E">
            <w:pPr>
              <w:widowControl w:val="0"/>
              <w:spacing w:line="360" w:lineRule="auto"/>
              <w:ind w:right="28"/>
              <w:jc w:val="center"/>
              <w:rPr>
                <w:sz w:val="28"/>
                <w:szCs w:val="28"/>
                <w:lang w:val="ru-RU"/>
              </w:rPr>
            </w:pPr>
            <w:r w:rsidRPr="00520861">
              <w:rPr>
                <w:sz w:val="28"/>
                <w:szCs w:val="28"/>
                <w:lang w:val="ru-RU"/>
              </w:rPr>
              <w:t>1,73</w:t>
            </w:r>
          </w:p>
        </w:tc>
      </w:tr>
      <w:tr w:rsidR="00CF641C" w:rsidRPr="00520861" w14:paraId="03061DA2" w14:textId="77777777" w:rsidTr="00292D2E">
        <w:tc>
          <w:tcPr>
            <w:tcW w:w="1276" w:type="dxa"/>
            <w:tcBorders>
              <w:top w:val="single" w:sz="4" w:space="0" w:color="000000"/>
              <w:left w:val="single" w:sz="4" w:space="0" w:color="000000"/>
              <w:bottom w:val="single" w:sz="4" w:space="0" w:color="000000"/>
              <w:right w:val="single" w:sz="4" w:space="0" w:color="000000"/>
            </w:tcBorders>
            <w:hideMark/>
          </w:tcPr>
          <w:p w14:paraId="7719D397" w14:textId="77777777" w:rsidR="00CF641C" w:rsidRPr="00520861" w:rsidRDefault="00CF641C" w:rsidP="00292D2E">
            <w:pPr>
              <w:widowControl w:val="0"/>
              <w:spacing w:line="360" w:lineRule="auto"/>
              <w:ind w:right="-426"/>
              <w:rPr>
                <w:sz w:val="28"/>
                <w:szCs w:val="28"/>
              </w:rPr>
            </w:pPr>
            <w:r w:rsidRPr="00520861">
              <w:rPr>
                <w:sz w:val="28"/>
                <w:szCs w:val="28"/>
              </w:rPr>
              <w:t>Група 3</w:t>
            </w:r>
          </w:p>
        </w:tc>
        <w:tc>
          <w:tcPr>
            <w:tcW w:w="2155" w:type="dxa"/>
            <w:tcBorders>
              <w:top w:val="single" w:sz="4" w:space="0" w:color="000000"/>
              <w:left w:val="single" w:sz="4" w:space="0" w:color="000000"/>
              <w:bottom w:val="single" w:sz="4" w:space="0" w:color="000000"/>
              <w:right w:val="single" w:sz="4" w:space="0" w:color="000000"/>
            </w:tcBorders>
            <w:hideMark/>
          </w:tcPr>
          <w:p w14:paraId="34D7455D" w14:textId="77777777" w:rsidR="00CF641C" w:rsidRPr="00520861" w:rsidRDefault="00CF641C" w:rsidP="00292D2E">
            <w:pPr>
              <w:widowControl w:val="0"/>
              <w:spacing w:line="360" w:lineRule="auto"/>
              <w:ind w:hanging="98"/>
              <w:jc w:val="center"/>
              <w:rPr>
                <w:sz w:val="28"/>
                <w:szCs w:val="28"/>
                <w:lang w:val="ru-RU"/>
              </w:rPr>
            </w:pPr>
            <w:r w:rsidRPr="00520861">
              <w:rPr>
                <w:sz w:val="28"/>
                <w:szCs w:val="28"/>
                <w:lang w:val="ru-RU"/>
              </w:rPr>
              <w:t>9</w:t>
            </w:r>
          </w:p>
        </w:tc>
        <w:tc>
          <w:tcPr>
            <w:tcW w:w="2160" w:type="dxa"/>
            <w:tcBorders>
              <w:top w:val="single" w:sz="4" w:space="0" w:color="000000"/>
              <w:left w:val="single" w:sz="4" w:space="0" w:color="000000"/>
              <w:bottom w:val="single" w:sz="4" w:space="0" w:color="000000"/>
              <w:right w:val="single" w:sz="4" w:space="0" w:color="000000"/>
            </w:tcBorders>
            <w:hideMark/>
          </w:tcPr>
          <w:p w14:paraId="418CBDDA" w14:textId="77777777" w:rsidR="00CF641C" w:rsidRPr="00520861" w:rsidRDefault="00CF641C" w:rsidP="00292D2E">
            <w:pPr>
              <w:widowControl w:val="0"/>
              <w:spacing w:line="360" w:lineRule="auto"/>
              <w:ind w:left="-220" w:right="-426"/>
              <w:jc w:val="center"/>
              <w:rPr>
                <w:sz w:val="28"/>
                <w:szCs w:val="28"/>
                <w:lang w:val="ru-RU"/>
              </w:rPr>
            </w:pPr>
            <w:r w:rsidRPr="00520861">
              <w:rPr>
                <w:sz w:val="28"/>
                <w:szCs w:val="28"/>
                <w:lang w:val="ru-RU"/>
              </w:rPr>
              <w:t>474</w:t>
            </w:r>
          </w:p>
        </w:tc>
        <w:tc>
          <w:tcPr>
            <w:tcW w:w="2133" w:type="dxa"/>
            <w:tcBorders>
              <w:top w:val="single" w:sz="4" w:space="0" w:color="000000"/>
              <w:left w:val="single" w:sz="4" w:space="0" w:color="000000"/>
              <w:bottom w:val="single" w:sz="4" w:space="0" w:color="000000"/>
              <w:right w:val="single" w:sz="4" w:space="0" w:color="000000"/>
            </w:tcBorders>
            <w:hideMark/>
          </w:tcPr>
          <w:p w14:paraId="4F5C2F75" w14:textId="77777777" w:rsidR="00CF641C" w:rsidRPr="00520861" w:rsidRDefault="00CF641C" w:rsidP="00292D2E">
            <w:pPr>
              <w:widowControl w:val="0"/>
              <w:spacing w:line="360" w:lineRule="auto"/>
              <w:ind w:left="-101" w:right="-101"/>
              <w:jc w:val="center"/>
              <w:rPr>
                <w:sz w:val="28"/>
                <w:szCs w:val="28"/>
                <w:lang w:val="ru-RU"/>
              </w:rPr>
            </w:pPr>
            <w:r w:rsidRPr="00520861">
              <w:rPr>
                <w:sz w:val="28"/>
                <w:szCs w:val="28"/>
                <w:lang w:val="ru-RU"/>
              </w:rPr>
              <w:t>512*</w:t>
            </w:r>
          </w:p>
        </w:tc>
        <w:tc>
          <w:tcPr>
            <w:tcW w:w="1134" w:type="dxa"/>
            <w:tcBorders>
              <w:top w:val="single" w:sz="4" w:space="0" w:color="000000"/>
              <w:left w:val="single" w:sz="4" w:space="0" w:color="000000"/>
              <w:bottom w:val="single" w:sz="4" w:space="0" w:color="000000"/>
              <w:right w:val="single" w:sz="4" w:space="0" w:color="000000"/>
            </w:tcBorders>
            <w:hideMark/>
          </w:tcPr>
          <w:p w14:paraId="1E957E7D" w14:textId="77777777" w:rsidR="00CF641C" w:rsidRPr="00520861" w:rsidRDefault="00CF641C" w:rsidP="00292D2E">
            <w:pPr>
              <w:widowControl w:val="0"/>
              <w:spacing w:line="360" w:lineRule="auto"/>
              <w:ind w:right="-115"/>
              <w:jc w:val="center"/>
              <w:rPr>
                <w:sz w:val="28"/>
                <w:szCs w:val="28"/>
                <w:lang w:val="ru-RU"/>
              </w:rPr>
            </w:pPr>
            <w:r w:rsidRPr="00520861">
              <w:rPr>
                <w:sz w:val="28"/>
                <w:szCs w:val="28"/>
                <w:lang w:val="ru-RU"/>
              </w:rPr>
              <w:t>1,23*</w:t>
            </w:r>
          </w:p>
        </w:tc>
        <w:tc>
          <w:tcPr>
            <w:tcW w:w="992" w:type="dxa"/>
            <w:tcBorders>
              <w:top w:val="single" w:sz="4" w:space="0" w:color="000000"/>
              <w:left w:val="single" w:sz="4" w:space="0" w:color="000000"/>
              <w:bottom w:val="single" w:sz="4" w:space="0" w:color="000000"/>
              <w:right w:val="single" w:sz="4" w:space="0" w:color="000000"/>
            </w:tcBorders>
            <w:hideMark/>
          </w:tcPr>
          <w:p w14:paraId="682232DC" w14:textId="77777777" w:rsidR="00CF641C" w:rsidRPr="00520861" w:rsidRDefault="00CF641C" w:rsidP="00292D2E">
            <w:pPr>
              <w:widowControl w:val="0"/>
              <w:spacing w:line="360" w:lineRule="auto"/>
              <w:ind w:right="28"/>
              <w:jc w:val="center"/>
              <w:rPr>
                <w:sz w:val="28"/>
                <w:szCs w:val="28"/>
                <w:lang w:val="ru-RU"/>
              </w:rPr>
            </w:pPr>
            <w:r w:rsidRPr="00520861">
              <w:rPr>
                <w:sz w:val="28"/>
                <w:szCs w:val="28"/>
                <w:lang w:val="ru-RU"/>
              </w:rPr>
              <w:t>2,71*</w:t>
            </w:r>
          </w:p>
        </w:tc>
      </w:tr>
      <w:tr w:rsidR="00CF641C" w:rsidRPr="00520861" w14:paraId="0C7AE922" w14:textId="77777777" w:rsidTr="00292D2E">
        <w:tc>
          <w:tcPr>
            <w:tcW w:w="1276" w:type="dxa"/>
            <w:tcBorders>
              <w:top w:val="single" w:sz="4" w:space="0" w:color="000000"/>
              <w:left w:val="single" w:sz="4" w:space="0" w:color="000000"/>
              <w:bottom w:val="single" w:sz="4" w:space="0" w:color="000000"/>
              <w:right w:val="single" w:sz="4" w:space="0" w:color="000000"/>
            </w:tcBorders>
            <w:hideMark/>
          </w:tcPr>
          <w:p w14:paraId="1CAB7F0F" w14:textId="77777777" w:rsidR="00CF641C" w:rsidRPr="00520861" w:rsidRDefault="00CF641C" w:rsidP="00292D2E">
            <w:pPr>
              <w:widowControl w:val="0"/>
              <w:spacing w:line="360" w:lineRule="auto"/>
              <w:ind w:right="-426"/>
              <w:rPr>
                <w:sz w:val="28"/>
                <w:szCs w:val="28"/>
              </w:rPr>
            </w:pPr>
            <w:r w:rsidRPr="00520861">
              <w:rPr>
                <w:sz w:val="28"/>
                <w:szCs w:val="28"/>
              </w:rPr>
              <w:t>Група 4</w:t>
            </w:r>
          </w:p>
        </w:tc>
        <w:tc>
          <w:tcPr>
            <w:tcW w:w="2155" w:type="dxa"/>
            <w:tcBorders>
              <w:top w:val="single" w:sz="4" w:space="0" w:color="000000"/>
              <w:left w:val="single" w:sz="4" w:space="0" w:color="000000"/>
              <w:bottom w:val="single" w:sz="4" w:space="0" w:color="000000"/>
              <w:right w:val="single" w:sz="4" w:space="0" w:color="000000"/>
            </w:tcBorders>
            <w:hideMark/>
          </w:tcPr>
          <w:p w14:paraId="7A36268F" w14:textId="77777777" w:rsidR="00CF641C" w:rsidRPr="00520861" w:rsidRDefault="00CF641C" w:rsidP="00292D2E">
            <w:pPr>
              <w:widowControl w:val="0"/>
              <w:spacing w:line="360" w:lineRule="auto"/>
              <w:ind w:hanging="98"/>
              <w:jc w:val="center"/>
              <w:rPr>
                <w:sz w:val="28"/>
                <w:szCs w:val="28"/>
                <w:lang w:val="ru-RU"/>
              </w:rPr>
            </w:pPr>
            <w:r w:rsidRPr="00520861">
              <w:rPr>
                <w:sz w:val="28"/>
                <w:szCs w:val="28"/>
                <w:lang w:val="ru-RU"/>
              </w:rPr>
              <w:t>7</w:t>
            </w:r>
          </w:p>
        </w:tc>
        <w:tc>
          <w:tcPr>
            <w:tcW w:w="2160" w:type="dxa"/>
            <w:tcBorders>
              <w:top w:val="single" w:sz="4" w:space="0" w:color="000000"/>
              <w:left w:val="single" w:sz="4" w:space="0" w:color="000000"/>
              <w:bottom w:val="single" w:sz="4" w:space="0" w:color="000000"/>
              <w:right w:val="single" w:sz="4" w:space="0" w:color="000000"/>
            </w:tcBorders>
            <w:hideMark/>
          </w:tcPr>
          <w:p w14:paraId="0A723111" w14:textId="77777777" w:rsidR="00CF641C" w:rsidRPr="00520861" w:rsidRDefault="00CF641C" w:rsidP="00292D2E">
            <w:pPr>
              <w:widowControl w:val="0"/>
              <w:spacing w:line="360" w:lineRule="auto"/>
              <w:ind w:left="-220" w:right="-426"/>
              <w:jc w:val="center"/>
              <w:rPr>
                <w:sz w:val="28"/>
                <w:szCs w:val="28"/>
                <w:lang w:val="ru-RU"/>
              </w:rPr>
            </w:pPr>
            <w:r w:rsidRPr="00520861">
              <w:rPr>
                <w:sz w:val="28"/>
                <w:szCs w:val="28"/>
                <w:lang w:val="ru-RU"/>
              </w:rPr>
              <w:t>444</w:t>
            </w:r>
          </w:p>
        </w:tc>
        <w:tc>
          <w:tcPr>
            <w:tcW w:w="2133" w:type="dxa"/>
            <w:tcBorders>
              <w:top w:val="single" w:sz="4" w:space="0" w:color="000000"/>
              <w:left w:val="single" w:sz="4" w:space="0" w:color="000000"/>
              <w:bottom w:val="single" w:sz="4" w:space="0" w:color="000000"/>
              <w:right w:val="single" w:sz="4" w:space="0" w:color="000000"/>
            </w:tcBorders>
            <w:hideMark/>
          </w:tcPr>
          <w:p w14:paraId="59D1090E" w14:textId="77777777" w:rsidR="00CF641C" w:rsidRPr="00520861" w:rsidRDefault="00CF641C" w:rsidP="00292D2E">
            <w:pPr>
              <w:widowControl w:val="0"/>
              <w:spacing w:line="360" w:lineRule="auto"/>
              <w:ind w:left="-101" w:right="-101"/>
              <w:jc w:val="center"/>
              <w:rPr>
                <w:sz w:val="28"/>
                <w:szCs w:val="28"/>
                <w:lang w:val="ru-RU"/>
              </w:rPr>
            </w:pPr>
            <w:r w:rsidRPr="00520861">
              <w:rPr>
                <w:sz w:val="28"/>
                <w:szCs w:val="28"/>
                <w:lang w:val="ru-RU"/>
              </w:rPr>
              <w:t>456</w:t>
            </w:r>
          </w:p>
        </w:tc>
        <w:tc>
          <w:tcPr>
            <w:tcW w:w="1134" w:type="dxa"/>
            <w:tcBorders>
              <w:top w:val="single" w:sz="4" w:space="0" w:color="000000"/>
              <w:left w:val="single" w:sz="4" w:space="0" w:color="000000"/>
              <w:bottom w:val="single" w:sz="4" w:space="0" w:color="000000"/>
              <w:right w:val="single" w:sz="4" w:space="0" w:color="000000"/>
            </w:tcBorders>
            <w:hideMark/>
          </w:tcPr>
          <w:p w14:paraId="43553A8C" w14:textId="77777777" w:rsidR="00CF641C" w:rsidRPr="00520861" w:rsidRDefault="00CF641C" w:rsidP="00292D2E">
            <w:pPr>
              <w:widowControl w:val="0"/>
              <w:spacing w:line="360" w:lineRule="auto"/>
              <w:ind w:right="-115"/>
              <w:jc w:val="center"/>
              <w:rPr>
                <w:sz w:val="28"/>
                <w:szCs w:val="28"/>
                <w:lang w:val="ru-RU"/>
              </w:rPr>
            </w:pPr>
            <w:r w:rsidRPr="00520861">
              <w:rPr>
                <w:sz w:val="28"/>
                <w:szCs w:val="28"/>
                <w:lang w:val="ru-RU"/>
              </w:rPr>
              <w:t>1,10</w:t>
            </w:r>
          </w:p>
        </w:tc>
        <w:tc>
          <w:tcPr>
            <w:tcW w:w="992" w:type="dxa"/>
            <w:tcBorders>
              <w:top w:val="single" w:sz="4" w:space="0" w:color="000000"/>
              <w:left w:val="single" w:sz="4" w:space="0" w:color="000000"/>
              <w:bottom w:val="single" w:sz="4" w:space="0" w:color="000000"/>
              <w:right w:val="single" w:sz="4" w:space="0" w:color="000000"/>
            </w:tcBorders>
            <w:hideMark/>
          </w:tcPr>
          <w:p w14:paraId="37B3EC3E" w14:textId="77777777" w:rsidR="00CF641C" w:rsidRPr="00520861" w:rsidRDefault="00CF641C" w:rsidP="00292D2E">
            <w:pPr>
              <w:widowControl w:val="0"/>
              <w:spacing w:line="360" w:lineRule="auto"/>
              <w:ind w:right="28"/>
              <w:jc w:val="center"/>
              <w:rPr>
                <w:sz w:val="28"/>
                <w:szCs w:val="28"/>
                <w:lang w:val="ru-RU"/>
              </w:rPr>
            </w:pPr>
            <w:r w:rsidRPr="00520861">
              <w:rPr>
                <w:sz w:val="28"/>
                <w:szCs w:val="28"/>
                <w:lang w:val="ru-RU"/>
              </w:rPr>
              <w:t>2,46</w:t>
            </w:r>
          </w:p>
        </w:tc>
      </w:tr>
    </w:tbl>
    <w:p w14:paraId="624E7253"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7684C419" w14:textId="77777777" w:rsidR="00CF641C" w:rsidRPr="00520861" w:rsidRDefault="00CF641C" w:rsidP="00292D2E">
      <w:pPr>
        <w:widowControl w:val="0"/>
        <w:spacing w:line="360" w:lineRule="auto"/>
        <w:jc w:val="center"/>
        <w:rPr>
          <w:sz w:val="28"/>
          <w:szCs w:val="28"/>
        </w:rPr>
      </w:pPr>
      <w:r w:rsidRPr="00520861">
        <w:rPr>
          <w:noProof/>
          <w:sz w:val="28"/>
          <w:szCs w:val="28"/>
          <w:lang w:val="ru-RU"/>
        </w:rPr>
        <w:lastRenderedPageBreak/>
        <w:drawing>
          <wp:inline distT="0" distB="0" distL="0" distR="0" wp14:anchorId="727D739D" wp14:editId="51C9398E">
            <wp:extent cx="6410960" cy="7296150"/>
            <wp:effectExtent l="0" t="0" r="8890" b="0"/>
            <wp:docPr id="45" name="Рисунок 45" descr="D:\тер стом\научн работа 1\дд друк\ на защиту\Маша\Рис\Рис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тер стом\научн работа 1\дд друк\ на защиту\Маша\Рис\Рис3.30.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410960" cy="7296150"/>
                    </a:xfrm>
                    <a:prstGeom prst="rect">
                      <a:avLst/>
                    </a:prstGeom>
                    <a:noFill/>
                    <a:ln>
                      <a:noFill/>
                    </a:ln>
                  </pic:spPr>
                </pic:pic>
              </a:graphicData>
            </a:graphic>
          </wp:inline>
        </w:drawing>
      </w:r>
    </w:p>
    <w:p w14:paraId="5E63ED24" w14:textId="77777777" w:rsidR="00CF641C" w:rsidRPr="00520861" w:rsidRDefault="00CF641C" w:rsidP="00292D2E">
      <w:pPr>
        <w:widowControl w:val="0"/>
        <w:spacing w:line="360" w:lineRule="auto"/>
        <w:ind w:firstLine="708"/>
        <w:jc w:val="center"/>
        <w:rPr>
          <w:sz w:val="28"/>
          <w:szCs w:val="28"/>
        </w:rPr>
      </w:pPr>
      <w:r w:rsidRPr="00520861">
        <w:rPr>
          <w:rFonts w:eastAsia="Calibri"/>
          <w:sz w:val="28"/>
          <w:szCs w:val="28"/>
          <w:lang w:eastAsia="en-US"/>
        </w:rPr>
        <w:t>Рис.</w:t>
      </w:r>
      <w:r w:rsidRPr="00520861">
        <w:rPr>
          <w:sz w:val="28"/>
          <w:szCs w:val="28"/>
        </w:rPr>
        <w:t xml:space="preserve"> 3.25. Ділянки епітелію слизової оболонки 6-місячних тварини: </w:t>
      </w:r>
    </w:p>
    <w:p w14:paraId="3A8D53DF" w14:textId="77777777" w:rsidR="00CF641C" w:rsidRPr="00520861" w:rsidRDefault="00CF641C" w:rsidP="00292D2E">
      <w:pPr>
        <w:widowControl w:val="0"/>
        <w:spacing w:line="360" w:lineRule="auto"/>
        <w:jc w:val="center"/>
        <w:rPr>
          <w:sz w:val="28"/>
          <w:szCs w:val="28"/>
        </w:rPr>
      </w:pPr>
      <w:r w:rsidRPr="00520861">
        <w:rPr>
          <w:i/>
          <w:sz w:val="28"/>
          <w:szCs w:val="28"/>
        </w:rPr>
        <w:t>а</w:t>
      </w:r>
      <w:r w:rsidRPr="00520861">
        <w:rPr>
          <w:sz w:val="28"/>
          <w:szCs w:val="28"/>
        </w:rPr>
        <w:t xml:space="preserve">) – групи контролю (максимальна </w:t>
      </w:r>
      <w:proofErr w:type="spellStart"/>
      <w:r w:rsidRPr="00520861">
        <w:rPr>
          <w:sz w:val="28"/>
          <w:szCs w:val="28"/>
        </w:rPr>
        <w:t>проєкція</w:t>
      </w:r>
      <w:proofErr w:type="spellEnd"/>
      <w:r w:rsidRPr="00520861">
        <w:rPr>
          <w:sz w:val="28"/>
          <w:szCs w:val="28"/>
        </w:rPr>
        <w:t xml:space="preserve"> з кольоровим кодуванням глибини, </w:t>
      </w:r>
      <w:r w:rsidRPr="00520861">
        <w:rPr>
          <w:sz w:val="28"/>
          <w:szCs w:val="28"/>
        </w:rPr>
        <w:br/>
        <w:t>50 оптичних зрізів, розмір 525,69</w:t>
      </w:r>
      <w:r w:rsidRPr="00520861">
        <w:rPr>
          <w:rFonts w:eastAsia="Calibri"/>
          <w:sz w:val="28"/>
          <w:szCs w:val="28"/>
          <w:lang w:eastAsia="en-US"/>
        </w:rPr>
        <w:sym w:font="Symbol" w:char="F0B4"/>
      </w:r>
      <w:r w:rsidRPr="00520861">
        <w:rPr>
          <w:sz w:val="28"/>
          <w:szCs w:val="28"/>
        </w:rPr>
        <w:t>770,04</w:t>
      </w:r>
      <w:r w:rsidRPr="00520861">
        <w:rPr>
          <w:rFonts w:eastAsia="Calibri"/>
          <w:sz w:val="28"/>
          <w:szCs w:val="28"/>
          <w:lang w:eastAsia="en-US"/>
        </w:rPr>
        <w:sym w:font="Symbol" w:char="F0B4"/>
      </w:r>
      <w:r w:rsidRPr="00520861">
        <w:rPr>
          <w:sz w:val="28"/>
          <w:szCs w:val="28"/>
        </w:rPr>
        <w:t>35 (м</w:t>
      </w:r>
      <w:r w:rsidRPr="00520861">
        <w:rPr>
          <w:rFonts w:eastAsia="Calibri"/>
          <w:sz w:val="28"/>
          <w:szCs w:val="28"/>
          <w:lang w:eastAsia="en-US"/>
        </w:rPr>
        <w:sym w:font="Symbol" w:char="F0B4"/>
      </w:r>
      <w:r w:rsidRPr="00520861">
        <w:rPr>
          <w:sz w:val="28"/>
          <w:szCs w:val="28"/>
        </w:rPr>
        <w:t>10</w:t>
      </w:r>
      <w:r w:rsidRPr="00520861">
        <w:rPr>
          <w:sz w:val="28"/>
          <w:szCs w:val="28"/>
          <w:vertAlign w:val="superscript"/>
        </w:rPr>
        <w:t>6</w:t>
      </w:r>
      <w:r w:rsidRPr="00520861">
        <w:rPr>
          <w:sz w:val="28"/>
          <w:szCs w:val="28"/>
        </w:rPr>
        <w:t xml:space="preserve">)); </w:t>
      </w:r>
    </w:p>
    <w:p w14:paraId="5AD76B06" w14:textId="77777777" w:rsidR="00CF641C" w:rsidRPr="00520861" w:rsidRDefault="00CF641C" w:rsidP="00292D2E">
      <w:pPr>
        <w:widowControl w:val="0"/>
        <w:spacing w:line="360" w:lineRule="auto"/>
        <w:jc w:val="center"/>
        <w:rPr>
          <w:sz w:val="28"/>
          <w:szCs w:val="28"/>
        </w:rPr>
      </w:pPr>
      <w:r w:rsidRPr="00520861">
        <w:rPr>
          <w:i/>
          <w:sz w:val="28"/>
          <w:szCs w:val="28"/>
        </w:rPr>
        <w:t>б</w:t>
      </w:r>
      <w:r w:rsidRPr="00520861">
        <w:rPr>
          <w:sz w:val="28"/>
          <w:szCs w:val="28"/>
        </w:rPr>
        <w:t xml:space="preserve">) – групи 3 (максимальна </w:t>
      </w:r>
      <w:proofErr w:type="spellStart"/>
      <w:r w:rsidRPr="00520861">
        <w:rPr>
          <w:sz w:val="28"/>
          <w:szCs w:val="28"/>
        </w:rPr>
        <w:t>проєкція</w:t>
      </w:r>
      <w:proofErr w:type="spellEnd"/>
      <w:r w:rsidRPr="00520861">
        <w:rPr>
          <w:sz w:val="28"/>
          <w:szCs w:val="28"/>
        </w:rPr>
        <w:t xml:space="preserve"> з кольоровим кодуванням глибини, 35 оптичних зрізів, розмір 280,80</w:t>
      </w:r>
      <w:r w:rsidRPr="00520861">
        <w:rPr>
          <w:rFonts w:eastAsia="Calibri"/>
          <w:sz w:val="28"/>
          <w:szCs w:val="28"/>
          <w:lang w:eastAsia="en-US"/>
        </w:rPr>
        <w:sym w:font="Symbol" w:char="F0B4"/>
      </w:r>
      <w:r w:rsidRPr="00520861">
        <w:rPr>
          <w:sz w:val="28"/>
          <w:szCs w:val="28"/>
        </w:rPr>
        <w:t>770,31</w:t>
      </w:r>
      <w:r w:rsidRPr="00520861">
        <w:rPr>
          <w:rFonts w:eastAsia="Calibri"/>
          <w:sz w:val="28"/>
          <w:szCs w:val="28"/>
          <w:lang w:eastAsia="en-US"/>
        </w:rPr>
        <w:sym w:font="Symbol" w:char="F0B4"/>
      </w:r>
      <w:r w:rsidRPr="00520861">
        <w:rPr>
          <w:sz w:val="28"/>
          <w:szCs w:val="28"/>
        </w:rPr>
        <w:t>24,5(м</w:t>
      </w:r>
      <w:r w:rsidRPr="00520861">
        <w:rPr>
          <w:rFonts w:eastAsia="Calibri"/>
          <w:sz w:val="28"/>
          <w:szCs w:val="28"/>
          <w:lang w:eastAsia="en-US"/>
        </w:rPr>
        <w:sym w:font="Symbol" w:char="F0B4"/>
      </w:r>
      <w:r w:rsidRPr="00520861">
        <w:rPr>
          <w:sz w:val="28"/>
          <w:szCs w:val="28"/>
        </w:rPr>
        <w:t>10</w:t>
      </w:r>
      <w:r w:rsidRPr="00520861">
        <w:rPr>
          <w:sz w:val="28"/>
          <w:szCs w:val="28"/>
          <w:vertAlign w:val="superscript"/>
        </w:rPr>
        <w:t>6</w:t>
      </w:r>
      <w:r w:rsidRPr="00520861">
        <w:rPr>
          <w:sz w:val="28"/>
          <w:szCs w:val="28"/>
        </w:rPr>
        <w:t xml:space="preserve">)). </w:t>
      </w:r>
      <w:r w:rsidR="000D08FB" w:rsidRPr="00520861">
        <w:rPr>
          <w:sz w:val="28"/>
          <w:szCs w:val="28"/>
        </w:rPr>
        <w:t xml:space="preserve">Забарвлення гематоксиліном і </w:t>
      </w:r>
      <w:r w:rsidR="000D08FB" w:rsidRPr="00520861">
        <w:rPr>
          <w:sz w:val="28"/>
          <w:szCs w:val="28"/>
        </w:rPr>
        <w:br/>
        <w:t>еозином</w:t>
      </w:r>
      <w:r w:rsidR="000D08FB" w:rsidRPr="00520861">
        <w:rPr>
          <w:bCs/>
          <w:sz w:val="28"/>
          <w:szCs w:val="28"/>
        </w:rPr>
        <w:t>,</w:t>
      </w:r>
      <w:r w:rsidR="000D08FB" w:rsidRPr="00520861">
        <w:rPr>
          <w:sz w:val="28"/>
          <w:szCs w:val="28"/>
        </w:rPr>
        <w:t xml:space="preserve"> о</w:t>
      </w:r>
      <w:r w:rsidRPr="00520861">
        <w:rPr>
          <w:sz w:val="28"/>
          <w:szCs w:val="28"/>
        </w:rPr>
        <w:t>б’єктив ACS APO 40</w:t>
      </w:r>
      <w:r w:rsidRPr="00520861">
        <w:rPr>
          <w:sz w:val="28"/>
          <w:szCs w:val="28"/>
        </w:rPr>
        <w:sym w:font="Symbol" w:char="F0B4"/>
      </w:r>
      <w:r w:rsidRPr="00520861">
        <w:rPr>
          <w:sz w:val="28"/>
          <w:szCs w:val="28"/>
        </w:rPr>
        <w:t xml:space="preserve">1.15 </w:t>
      </w:r>
      <w:proofErr w:type="spellStart"/>
      <w:r w:rsidRPr="00520861">
        <w:rPr>
          <w:sz w:val="28"/>
          <w:szCs w:val="28"/>
        </w:rPr>
        <w:t>Oil</w:t>
      </w:r>
      <w:proofErr w:type="spellEnd"/>
      <w:r w:rsidRPr="00520861">
        <w:rPr>
          <w:sz w:val="28"/>
          <w:szCs w:val="28"/>
        </w:rPr>
        <w:t xml:space="preserve"> CS </w:t>
      </w:r>
      <w:r w:rsidRPr="00520861">
        <w:rPr>
          <w:sz w:val="28"/>
          <w:szCs w:val="28"/>
        </w:rPr>
        <w:sym w:font="Symbol" w:char="F0A5"/>
      </w:r>
      <w:r w:rsidRPr="00520861">
        <w:rPr>
          <w:sz w:val="28"/>
          <w:szCs w:val="28"/>
        </w:rPr>
        <w:t>.</w:t>
      </w:r>
    </w:p>
    <w:p w14:paraId="1531BD4B" w14:textId="77777777" w:rsidR="00CF641C" w:rsidRPr="00520861" w:rsidRDefault="00CF641C" w:rsidP="00292D2E">
      <w:pPr>
        <w:widowControl w:val="0"/>
        <w:spacing w:line="360" w:lineRule="auto"/>
        <w:ind w:right="-1"/>
        <w:jc w:val="both"/>
        <w:rPr>
          <w:sz w:val="28"/>
          <w:szCs w:val="28"/>
        </w:rPr>
      </w:pPr>
      <w:r w:rsidRPr="00520861">
        <w:rPr>
          <w:noProof/>
          <w:sz w:val="28"/>
          <w:szCs w:val="28"/>
          <w:lang w:val="ru-RU"/>
        </w:rPr>
        <w:lastRenderedPageBreak/>
        <w:drawing>
          <wp:inline distT="0" distB="0" distL="0" distR="0" wp14:anchorId="2FB1EF9A" wp14:editId="5841B9D1">
            <wp:extent cx="6411600" cy="2538000"/>
            <wp:effectExtent l="0" t="0" r="0" b="0"/>
            <wp:docPr id="46" name="Рисунок 46" descr="D:\тер стом\научн работа 1\дд друк\ на защиту\Маша\Рис\Рис3.2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D:\тер стом\научн работа 1\дд друк\ на защиту\Маша\Рис\Рис3.27.jpg"/>
                    <pic:cNvPicPr preferRelativeResize="0">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3037A03E" w14:textId="77777777" w:rsidR="00CF641C" w:rsidRPr="00520861" w:rsidRDefault="00CF641C" w:rsidP="00292D2E">
      <w:pPr>
        <w:widowControl w:val="0"/>
        <w:spacing w:line="360" w:lineRule="auto"/>
        <w:ind w:right="-1" w:firstLine="709"/>
        <w:jc w:val="center"/>
        <w:rPr>
          <w:rFonts w:eastAsia="Calibri"/>
          <w:sz w:val="28"/>
          <w:szCs w:val="28"/>
          <w:lang w:eastAsia="en-US"/>
        </w:rPr>
      </w:pPr>
      <w:r w:rsidRPr="00520861">
        <w:rPr>
          <w:rFonts w:eastAsia="Calibri"/>
          <w:sz w:val="28"/>
          <w:szCs w:val="28"/>
          <w:lang w:eastAsia="en-US"/>
        </w:rPr>
        <w:t>Рис.</w:t>
      </w:r>
      <w:r w:rsidRPr="00520861">
        <w:rPr>
          <w:sz w:val="28"/>
          <w:szCs w:val="28"/>
        </w:rPr>
        <w:t xml:space="preserve"> 3.26. </w:t>
      </w:r>
      <w:proofErr w:type="spellStart"/>
      <w:r w:rsidRPr="00520861">
        <w:rPr>
          <w:sz w:val="28"/>
          <w:szCs w:val="28"/>
        </w:rPr>
        <w:t>Акантотичні</w:t>
      </w:r>
      <w:proofErr w:type="spellEnd"/>
      <w:r w:rsidRPr="00520861">
        <w:rPr>
          <w:sz w:val="28"/>
          <w:szCs w:val="28"/>
        </w:rPr>
        <w:t xml:space="preserve"> вирости в епітелії слизової оболонки ротової порожнини у тварини: </w:t>
      </w:r>
      <w:r w:rsidRPr="00520861">
        <w:rPr>
          <w:i/>
          <w:sz w:val="28"/>
          <w:szCs w:val="28"/>
        </w:rPr>
        <w:t>а</w:t>
      </w:r>
      <w:r w:rsidRPr="00520861">
        <w:rPr>
          <w:sz w:val="28"/>
          <w:szCs w:val="28"/>
        </w:rPr>
        <w:t xml:space="preserve">) – контрольної групи (нещільне розташування </w:t>
      </w:r>
      <w:proofErr w:type="spellStart"/>
      <w:r w:rsidRPr="00520861">
        <w:rPr>
          <w:sz w:val="28"/>
          <w:szCs w:val="28"/>
        </w:rPr>
        <w:t>епітеліоцитів</w:t>
      </w:r>
      <w:proofErr w:type="spellEnd"/>
      <w:r w:rsidRPr="00520861">
        <w:rPr>
          <w:sz w:val="28"/>
          <w:szCs w:val="28"/>
        </w:rPr>
        <w:t xml:space="preserve"> у </w:t>
      </w:r>
      <w:r w:rsidR="005F69B6" w:rsidRPr="00520861">
        <w:rPr>
          <w:sz w:val="28"/>
          <w:szCs w:val="28"/>
        </w:rPr>
        <w:br/>
      </w:r>
      <w:r w:rsidRPr="00520861">
        <w:rPr>
          <w:sz w:val="28"/>
          <w:szCs w:val="28"/>
        </w:rPr>
        <w:t>базальній мембрані;</w:t>
      </w:r>
      <w:r w:rsidRPr="00520861">
        <w:rPr>
          <w:rFonts w:eastAsia="Calibri"/>
          <w:sz w:val="28"/>
          <w:szCs w:val="28"/>
          <w:lang w:eastAsia="en-US"/>
        </w:rPr>
        <w:t xml:space="preserve"> збільшення </w:t>
      </w:r>
      <w:r w:rsidRPr="00520861">
        <w:rPr>
          <w:rFonts w:eastAsia="Calibri"/>
          <w:sz w:val="28"/>
          <w:szCs w:val="28"/>
          <w:lang w:eastAsia="en-US"/>
        </w:rPr>
        <w:sym w:font="Symbol" w:char="F0B4"/>
      </w:r>
      <w:r w:rsidRPr="00520861">
        <w:rPr>
          <w:rFonts w:eastAsia="Calibri"/>
          <w:sz w:val="28"/>
          <w:szCs w:val="28"/>
          <w:lang w:eastAsia="en-US"/>
        </w:rPr>
        <w:t xml:space="preserve">400); </w:t>
      </w:r>
      <w:r w:rsidRPr="00520861">
        <w:rPr>
          <w:rFonts w:eastAsia="Calibri"/>
          <w:i/>
          <w:sz w:val="28"/>
          <w:szCs w:val="28"/>
          <w:lang w:eastAsia="en-US"/>
        </w:rPr>
        <w:t>б</w:t>
      </w:r>
      <w:r w:rsidRPr="00520861">
        <w:rPr>
          <w:rFonts w:eastAsia="Calibri"/>
          <w:sz w:val="28"/>
          <w:szCs w:val="28"/>
          <w:lang w:eastAsia="en-US"/>
        </w:rPr>
        <w:t>) – групи 3 (т</w:t>
      </w:r>
      <w:r w:rsidRPr="00520861">
        <w:rPr>
          <w:sz w:val="28"/>
          <w:szCs w:val="28"/>
        </w:rPr>
        <w:t xml:space="preserve">онкі та довгі </w:t>
      </w:r>
      <w:proofErr w:type="spellStart"/>
      <w:r w:rsidRPr="00520861">
        <w:rPr>
          <w:sz w:val="28"/>
          <w:szCs w:val="28"/>
        </w:rPr>
        <w:t>акантотичні</w:t>
      </w:r>
      <w:proofErr w:type="spellEnd"/>
      <w:r w:rsidRPr="00520861">
        <w:rPr>
          <w:sz w:val="28"/>
          <w:szCs w:val="28"/>
        </w:rPr>
        <w:t xml:space="preserve"> </w:t>
      </w:r>
      <w:r w:rsidR="005F69B6" w:rsidRPr="00520861">
        <w:rPr>
          <w:sz w:val="28"/>
          <w:szCs w:val="28"/>
        </w:rPr>
        <w:br/>
      </w:r>
      <w:r w:rsidRPr="00520861">
        <w:rPr>
          <w:sz w:val="28"/>
          <w:szCs w:val="28"/>
        </w:rPr>
        <w:t xml:space="preserve">вирости; збільшення </w:t>
      </w:r>
      <w:r w:rsidRPr="00520861">
        <w:rPr>
          <w:rFonts w:eastAsia="Calibri"/>
          <w:sz w:val="28"/>
          <w:szCs w:val="28"/>
          <w:lang w:eastAsia="en-US"/>
        </w:rPr>
        <w:sym w:font="Symbol" w:char="F0B4"/>
      </w:r>
      <w:r w:rsidRPr="00520861">
        <w:rPr>
          <w:rFonts w:eastAsia="Calibri"/>
          <w:sz w:val="28"/>
          <w:szCs w:val="28"/>
          <w:lang w:eastAsia="en-US"/>
        </w:rPr>
        <w:t>100).</w:t>
      </w:r>
      <w:r w:rsidRPr="00520861">
        <w:rPr>
          <w:sz w:val="28"/>
          <w:szCs w:val="28"/>
        </w:rPr>
        <w:t xml:space="preserve"> </w:t>
      </w:r>
      <w:r w:rsidRPr="00520861">
        <w:rPr>
          <w:rFonts w:eastAsia="Calibri"/>
          <w:sz w:val="28"/>
          <w:szCs w:val="28"/>
          <w:lang w:eastAsia="en-US"/>
        </w:rPr>
        <w:t xml:space="preserve">Забарвлення </w:t>
      </w:r>
      <w:proofErr w:type="spellStart"/>
      <w:r w:rsidRPr="00520861">
        <w:rPr>
          <w:rFonts w:eastAsia="Calibri"/>
          <w:sz w:val="28"/>
          <w:szCs w:val="28"/>
          <w:lang w:eastAsia="en-US"/>
        </w:rPr>
        <w:t>пікрофуксином</w:t>
      </w:r>
      <w:proofErr w:type="spellEnd"/>
      <w:r w:rsidRPr="00520861">
        <w:rPr>
          <w:rFonts w:eastAsia="Calibri"/>
          <w:sz w:val="28"/>
          <w:szCs w:val="28"/>
          <w:lang w:eastAsia="en-US"/>
        </w:rPr>
        <w:t xml:space="preserve"> за ван </w:t>
      </w:r>
      <w:proofErr w:type="spellStart"/>
      <w:r w:rsidRPr="00520861">
        <w:rPr>
          <w:rFonts w:eastAsia="Calibri"/>
          <w:sz w:val="28"/>
          <w:szCs w:val="28"/>
          <w:lang w:eastAsia="en-US"/>
        </w:rPr>
        <w:t>Гізоном</w:t>
      </w:r>
      <w:proofErr w:type="spellEnd"/>
      <w:r w:rsidRPr="00520861">
        <w:rPr>
          <w:rFonts w:eastAsia="Calibri"/>
          <w:sz w:val="28"/>
          <w:szCs w:val="28"/>
          <w:lang w:eastAsia="en-US"/>
        </w:rPr>
        <w:t>.</w:t>
      </w:r>
    </w:p>
    <w:p w14:paraId="610B34A0" w14:textId="77777777" w:rsidR="00CF641C" w:rsidRPr="00520861" w:rsidRDefault="00CF641C" w:rsidP="00292D2E">
      <w:pPr>
        <w:widowControl w:val="0"/>
        <w:spacing w:line="360" w:lineRule="auto"/>
        <w:ind w:right="-284" w:firstLine="709"/>
        <w:jc w:val="center"/>
        <w:rPr>
          <w:sz w:val="28"/>
          <w:szCs w:val="28"/>
        </w:rPr>
      </w:pPr>
    </w:p>
    <w:p w14:paraId="05EED09F" w14:textId="77777777" w:rsidR="00CF641C" w:rsidRPr="00520861" w:rsidRDefault="00CF641C" w:rsidP="00292D2E">
      <w:pPr>
        <w:widowControl w:val="0"/>
        <w:spacing w:line="360" w:lineRule="auto"/>
        <w:ind w:right="-2" w:firstLine="708"/>
        <w:jc w:val="both"/>
        <w:rPr>
          <w:sz w:val="28"/>
          <w:szCs w:val="28"/>
        </w:rPr>
      </w:pPr>
      <w:r w:rsidRPr="00520861">
        <w:rPr>
          <w:sz w:val="28"/>
          <w:szCs w:val="28"/>
        </w:rPr>
        <w:t xml:space="preserve">Розвиток епітеліального пласта оцінювали, аналізуючи ступінь його </w:t>
      </w:r>
      <w:proofErr w:type="spellStart"/>
      <w:r w:rsidRPr="00520861">
        <w:rPr>
          <w:sz w:val="28"/>
          <w:szCs w:val="28"/>
        </w:rPr>
        <w:t>акантозу</w:t>
      </w:r>
      <w:proofErr w:type="spellEnd"/>
      <w:r w:rsidRPr="00520861">
        <w:rPr>
          <w:sz w:val="28"/>
          <w:szCs w:val="28"/>
        </w:rPr>
        <w:t xml:space="preserve"> </w:t>
      </w:r>
      <w:r w:rsidRPr="00520861">
        <w:rPr>
          <w:sz w:val="28"/>
          <w:szCs w:val="28"/>
          <w:lang w:val="ru-RU"/>
        </w:rPr>
        <w:t>[322]</w:t>
      </w:r>
      <w:r w:rsidRPr="00520861">
        <w:rPr>
          <w:sz w:val="28"/>
          <w:szCs w:val="28"/>
        </w:rPr>
        <w:t xml:space="preserve">. Осереднені за групами значення </w:t>
      </w:r>
      <w:r w:rsidRPr="00520861">
        <w:rPr>
          <w:i/>
          <w:sz w:val="28"/>
          <w:szCs w:val="28"/>
        </w:rPr>
        <w:t>H</w:t>
      </w:r>
      <w:r w:rsidRPr="00520861">
        <w:rPr>
          <w:sz w:val="28"/>
          <w:szCs w:val="28"/>
        </w:rPr>
        <w:t xml:space="preserve"> і </w:t>
      </w:r>
      <w:r w:rsidRPr="00520861">
        <w:rPr>
          <w:i/>
          <w:sz w:val="28"/>
          <w:szCs w:val="28"/>
        </w:rPr>
        <w:t>L</w:t>
      </w:r>
      <w:r w:rsidRPr="00520861">
        <w:rPr>
          <w:sz w:val="28"/>
          <w:szCs w:val="28"/>
        </w:rPr>
        <w:t xml:space="preserve"> (відношення основи трикутника, яким замінювали кожний </w:t>
      </w:r>
      <w:proofErr w:type="spellStart"/>
      <w:r w:rsidRPr="00520861">
        <w:rPr>
          <w:sz w:val="28"/>
          <w:szCs w:val="28"/>
        </w:rPr>
        <w:t>акантотичний</w:t>
      </w:r>
      <w:proofErr w:type="spellEnd"/>
      <w:r w:rsidRPr="00520861">
        <w:rPr>
          <w:sz w:val="28"/>
          <w:szCs w:val="28"/>
        </w:rPr>
        <w:t xml:space="preserve"> виріст, до його висоти) у відносних одиницях.</w:t>
      </w:r>
      <w:r w:rsidRPr="00520861">
        <w:rPr>
          <w:sz w:val="28"/>
          <w:szCs w:val="28"/>
          <w:lang w:val="ru-RU"/>
        </w:rPr>
        <w:t xml:space="preserve"> С</w:t>
      </w:r>
      <w:proofErr w:type="spellStart"/>
      <w:r w:rsidRPr="00520861">
        <w:rPr>
          <w:sz w:val="28"/>
          <w:szCs w:val="28"/>
        </w:rPr>
        <w:t>піввідношення</w:t>
      </w:r>
      <w:proofErr w:type="spellEnd"/>
      <w:r w:rsidRPr="00520861">
        <w:rPr>
          <w:sz w:val="28"/>
          <w:szCs w:val="28"/>
        </w:rPr>
        <w:t xml:space="preserve"> </w:t>
      </w:r>
      <w:r w:rsidRPr="00520861">
        <w:rPr>
          <w:i/>
          <w:sz w:val="28"/>
          <w:szCs w:val="28"/>
        </w:rPr>
        <w:t>H</w:t>
      </w:r>
      <w:r w:rsidRPr="00520861">
        <w:rPr>
          <w:sz w:val="28"/>
          <w:szCs w:val="28"/>
        </w:rPr>
        <w:t>/</w:t>
      </w:r>
      <w:r w:rsidRPr="00520861">
        <w:rPr>
          <w:i/>
          <w:sz w:val="28"/>
          <w:szCs w:val="28"/>
        </w:rPr>
        <w:t>L</w:t>
      </w:r>
      <w:r w:rsidRPr="00520861">
        <w:rPr>
          <w:sz w:val="28"/>
          <w:szCs w:val="28"/>
        </w:rPr>
        <w:t xml:space="preserve"> та </w:t>
      </w:r>
      <w:r w:rsidRPr="00520861">
        <w:rPr>
          <w:i/>
          <w:sz w:val="28"/>
          <w:szCs w:val="28"/>
        </w:rPr>
        <w:t>L</w:t>
      </w:r>
      <w:r w:rsidRPr="00520861">
        <w:rPr>
          <w:sz w:val="28"/>
          <w:szCs w:val="28"/>
        </w:rPr>
        <w:t>1/</w:t>
      </w:r>
      <w:r w:rsidRPr="00520861">
        <w:rPr>
          <w:i/>
          <w:sz w:val="28"/>
          <w:szCs w:val="28"/>
        </w:rPr>
        <w:t>L</w:t>
      </w:r>
      <w:r w:rsidRPr="00520861">
        <w:rPr>
          <w:sz w:val="28"/>
          <w:szCs w:val="28"/>
        </w:rPr>
        <w:t>2 (рис. 2.4) наведені в табл. 3.18.</w:t>
      </w:r>
    </w:p>
    <w:p w14:paraId="35C605DB" w14:textId="77777777" w:rsidR="00CF641C" w:rsidRPr="00520861" w:rsidRDefault="00CF641C" w:rsidP="00292D2E">
      <w:pPr>
        <w:widowControl w:val="0"/>
        <w:spacing w:line="360" w:lineRule="auto"/>
        <w:ind w:firstLine="708"/>
        <w:jc w:val="both"/>
        <w:rPr>
          <w:sz w:val="28"/>
          <w:szCs w:val="28"/>
        </w:rPr>
      </w:pPr>
      <w:r w:rsidRPr="00520861">
        <w:rPr>
          <w:sz w:val="28"/>
          <w:szCs w:val="28"/>
        </w:rPr>
        <w:t xml:space="preserve">У тварин групи 1 (табл. 3.18) </w:t>
      </w:r>
      <w:proofErr w:type="spellStart"/>
      <w:r w:rsidRPr="00520861">
        <w:rPr>
          <w:sz w:val="28"/>
          <w:szCs w:val="28"/>
        </w:rPr>
        <w:t>акантотичні</w:t>
      </w:r>
      <w:proofErr w:type="spellEnd"/>
      <w:r w:rsidRPr="00520861">
        <w:rPr>
          <w:sz w:val="28"/>
          <w:szCs w:val="28"/>
        </w:rPr>
        <w:t xml:space="preserve"> вирости спостерігаються частіше, ніж у групі контролю, а їх глибина (висота </w:t>
      </w:r>
      <w:r w:rsidRPr="00520861">
        <w:rPr>
          <w:i/>
          <w:sz w:val="28"/>
          <w:szCs w:val="28"/>
        </w:rPr>
        <w:t>Н</w:t>
      </w:r>
      <w:r w:rsidRPr="00520861">
        <w:rPr>
          <w:sz w:val="28"/>
          <w:szCs w:val="28"/>
        </w:rPr>
        <w:t>) зіставна з контрольною</w:t>
      </w:r>
      <w:r w:rsidRPr="00520861">
        <w:rPr>
          <w:sz w:val="28"/>
          <w:szCs w:val="28"/>
          <w:lang w:val="ru-RU"/>
        </w:rPr>
        <w:t xml:space="preserve"> [322]</w:t>
      </w:r>
      <w:r w:rsidRPr="00520861">
        <w:rPr>
          <w:sz w:val="28"/>
          <w:szCs w:val="28"/>
        </w:rPr>
        <w:t xml:space="preserve">. Такий стан слизової оболонки порожнини рота можна трактувати як результат </w:t>
      </w:r>
      <w:proofErr w:type="spellStart"/>
      <w:r w:rsidRPr="00520861">
        <w:rPr>
          <w:sz w:val="28"/>
          <w:szCs w:val="28"/>
        </w:rPr>
        <w:t>атрофізації</w:t>
      </w:r>
      <w:proofErr w:type="spellEnd"/>
      <w:r w:rsidRPr="00520861">
        <w:rPr>
          <w:sz w:val="28"/>
          <w:szCs w:val="28"/>
        </w:rPr>
        <w:t xml:space="preserve">, яка розпочалася вже у віці 6 місяців. Індекс </w:t>
      </w:r>
      <w:r w:rsidRPr="00520861">
        <w:rPr>
          <w:i/>
          <w:sz w:val="28"/>
          <w:szCs w:val="28"/>
          <w:lang w:val="en-US"/>
        </w:rPr>
        <w:t>L</w:t>
      </w:r>
      <w:r w:rsidRPr="00520861">
        <w:rPr>
          <w:sz w:val="28"/>
          <w:szCs w:val="28"/>
        </w:rPr>
        <w:t xml:space="preserve"> для тварин групи 1 вірогідно нижчий, ніж у групах 2 та 3, а індекс </w:t>
      </w:r>
      <w:r w:rsidRPr="00520861">
        <w:rPr>
          <w:i/>
          <w:sz w:val="28"/>
          <w:szCs w:val="28"/>
        </w:rPr>
        <w:t>Н</w:t>
      </w:r>
      <w:r w:rsidRPr="00520861">
        <w:rPr>
          <w:sz w:val="28"/>
          <w:szCs w:val="28"/>
        </w:rPr>
        <w:t xml:space="preserve"> – вірогідно нижчий, ніж у групі 3 (</w:t>
      </w:r>
      <w:r w:rsidR="006D73AD" w:rsidRPr="00520861">
        <w:rPr>
          <w:i/>
          <w:sz w:val="28"/>
          <w:szCs w:val="28"/>
          <w:lang w:val="en-US"/>
        </w:rPr>
        <w:t>p</w:t>
      </w:r>
      <w:r w:rsidR="0018359D" w:rsidRPr="00520861">
        <w:rPr>
          <w:rFonts w:eastAsia="Calibri"/>
          <w:sz w:val="28"/>
          <w:szCs w:val="28"/>
          <w:lang w:eastAsia="en-US"/>
        </w:rPr>
        <w:t>&lt;</w:t>
      </w:r>
      <w:r w:rsidR="006D73AD" w:rsidRPr="00520861">
        <w:rPr>
          <w:sz w:val="28"/>
          <w:szCs w:val="28"/>
        </w:rPr>
        <w:t>0,05</w:t>
      </w:r>
      <w:r w:rsidRPr="00520861">
        <w:rPr>
          <w:sz w:val="28"/>
          <w:szCs w:val="28"/>
        </w:rPr>
        <w:t xml:space="preserve">). Власна </w:t>
      </w:r>
      <w:r w:rsidR="005F69B6" w:rsidRPr="00520861">
        <w:rPr>
          <w:sz w:val="28"/>
          <w:szCs w:val="28"/>
        </w:rPr>
        <w:br/>
      </w:r>
      <w:r w:rsidRPr="00520861">
        <w:rPr>
          <w:sz w:val="28"/>
          <w:szCs w:val="28"/>
        </w:rPr>
        <w:t>пластинка слизової оболонки цих тварин, порівняно з іншими тваринами, інфільтрована більшою кількістю макрофагів і лімфоцитів (рис. 3.27).</w:t>
      </w:r>
    </w:p>
    <w:p w14:paraId="08DB6ED7" w14:textId="77777777" w:rsidR="00CF641C" w:rsidRPr="00520861" w:rsidRDefault="00CF641C" w:rsidP="00292D2E">
      <w:pPr>
        <w:widowControl w:val="0"/>
        <w:spacing w:line="360" w:lineRule="auto"/>
        <w:ind w:firstLine="567"/>
        <w:jc w:val="both"/>
        <w:rPr>
          <w:sz w:val="28"/>
          <w:szCs w:val="28"/>
        </w:rPr>
      </w:pPr>
      <w:r w:rsidRPr="00520861">
        <w:rPr>
          <w:sz w:val="28"/>
          <w:szCs w:val="28"/>
        </w:rPr>
        <w:t xml:space="preserve">Тварини групи 2 у слизовій оболонці ротової порожнини мають численні </w:t>
      </w:r>
      <w:r w:rsidR="005F69B6" w:rsidRPr="00520861">
        <w:rPr>
          <w:sz w:val="28"/>
          <w:szCs w:val="28"/>
        </w:rPr>
        <w:br/>
      </w:r>
      <w:proofErr w:type="spellStart"/>
      <w:r w:rsidRPr="00520861">
        <w:rPr>
          <w:sz w:val="28"/>
          <w:szCs w:val="28"/>
        </w:rPr>
        <w:t>двоядерні</w:t>
      </w:r>
      <w:proofErr w:type="spellEnd"/>
      <w:r w:rsidRPr="00520861">
        <w:rPr>
          <w:sz w:val="28"/>
          <w:szCs w:val="28"/>
        </w:rPr>
        <w:t xml:space="preserve"> </w:t>
      </w:r>
      <w:proofErr w:type="spellStart"/>
      <w:r w:rsidRPr="00520861">
        <w:rPr>
          <w:sz w:val="28"/>
          <w:szCs w:val="28"/>
        </w:rPr>
        <w:t>епітеліоцити</w:t>
      </w:r>
      <w:proofErr w:type="spellEnd"/>
      <w:r w:rsidRPr="00520861">
        <w:rPr>
          <w:sz w:val="28"/>
          <w:szCs w:val="28"/>
        </w:rPr>
        <w:t xml:space="preserve"> (рис. 3.28), у них </w:t>
      </w:r>
      <w:proofErr w:type="spellStart"/>
      <w:r w:rsidRPr="00520861">
        <w:rPr>
          <w:sz w:val="28"/>
          <w:szCs w:val="28"/>
        </w:rPr>
        <w:t>спостерігаєтся</w:t>
      </w:r>
      <w:proofErr w:type="spellEnd"/>
      <w:r w:rsidRPr="00520861">
        <w:rPr>
          <w:sz w:val="28"/>
          <w:szCs w:val="28"/>
        </w:rPr>
        <w:t xml:space="preserve"> частково відсутня базальна мембрана</w:t>
      </w:r>
      <w:r w:rsidRPr="00520861">
        <w:rPr>
          <w:sz w:val="28"/>
          <w:szCs w:val="28"/>
          <w:lang w:val="ru-RU"/>
        </w:rPr>
        <w:t xml:space="preserve"> [322]</w:t>
      </w:r>
      <w:r w:rsidRPr="00520861">
        <w:rPr>
          <w:sz w:val="28"/>
          <w:szCs w:val="28"/>
        </w:rPr>
        <w:t xml:space="preserve">. Власна пластинка слизової оболонки просочена макрофагами та </w:t>
      </w:r>
      <w:r w:rsidR="005F69B6" w:rsidRPr="00520861">
        <w:rPr>
          <w:sz w:val="28"/>
          <w:szCs w:val="28"/>
        </w:rPr>
        <w:br/>
      </w:r>
      <w:r w:rsidRPr="00520861">
        <w:rPr>
          <w:sz w:val="28"/>
          <w:szCs w:val="28"/>
        </w:rPr>
        <w:t xml:space="preserve">лімфоцитами, а </w:t>
      </w:r>
      <w:proofErr w:type="spellStart"/>
      <w:r w:rsidRPr="00520861">
        <w:rPr>
          <w:sz w:val="28"/>
          <w:szCs w:val="28"/>
        </w:rPr>
        <w:t>морфометричні</w:t>
      </w:r>
      <w:proofErr w:type="spellEnd"/>
      <w:r w:rsidRPr="00520861">
        <w:rPr>
          <w:sz w:val="28"/>
          <w:szCs w:val="28"/>
        </w:rPr>
        <w:t xml:space="preserve"> показники (табл. 3.18) виявляють рівень </w:t>
      </w:r>
      <w:proofErr w:type="spellStart"/>
      <w:r w:rsidRPr="00520861">
        <w:rPr>
          <w:sz w:val="28"/>
          <w:szCs w:val="28"/>
        </w:rPr>
        <w:t>акантозу</w:t>
      </w:r>
      <w:proofErr w:type="spellEnd"/>
      <w:r w:rsidRPr="00520861">
        <w:rPr>
          <w:sz w:val="28"/>
          <w:szCs w:val="28"/>
        </w:rPr>
        <w:t xml:space="preserve">, </w:t>
      </w:r>
      <w:r w:rsidR="005F69B6" w:rsidRPr="00520861">
        <w:rPr>
          <w:sz w:val="28"/>
          <w:szCs w:val="28"/>
        </w:rPr>
        <w:br/>
      </w:r>
      <w:r w:rsidRPr="00520861">
        <w:rPr>
          <w:sz w:val="28"/>
          <w:szCs w:val="28"/>
        </w:rPr>
        <w:t xml:space="preserve">зіставний з таким у контрольній групі. </w:t>
      </w:r>
    </w:p>
    <w:p w14:paraId="6537DE22" w14:textId="77777777" w:rsidR="00CF641C" w:rsidRPr="00520861" w:rsidRDefault="00CF641C" w:rsidP="00292D2E">
      <w:pPr>
        <w:widowControl w:val="0"/>
        <w:spacing w:line="360" w:lineRule="auto"/>
        <w:ind w:firstLine="567"/>
        <w:jc w:val="both"/>
        <w:rPr>
          <w:sz w:val="28"/>
          <w:szCs w:val="28"/>
        </w:rPr>
      </w:pPr>
      <w:r w:rsidRPr="00520861">
        <w:rPr>
          <w:sz w:val="28"/>
          <w:szCs w:val="28"/>
        </w:rPr>
        <w:lastRenderedPageBreak/>
        <w:t xml:space="preserve">У групі 2 індекси </w:t>
      </w:r>
      <w:r w:rsidRPr="00520861">
        <w:rPr>
          <w:i/>
          <w:sz w:val="28"/>
          <w:szCs w:val="28"/>
          <w:lang w:val="en-US"/>
        </w:rPr>
        <w:t>H</w:t>
      </w:r>
      <w:r w:rsidRPr="00520861">
        <w:rPr>
          <w:sz w:val="28"/>
          <w:szCs w:val="28"/>
        </w:rPr>
        <w:t>/</w:t>
      </w:r>
      <w:r w:rsidRPr="00520861">
        <w:rPr>
          <w:i/>
          <w:sz w:val="28"/>
          <w:szCs w:val="28"/>
          <w:lang w:val="en-US"/>
        </w:rPr>
        <w:t>L</w:t>
      </w:r>
      <w:r w:rsidRPr="00520861">
        <w:rPr>
          <w:sz w:val="28"/>
          <w:szCs w:val="28"/>
        </w:rPr>
        <w:t xml:space="preserve"> та </w:t>
      </w:r>
      <w:r w:rsidRPr="00520861">
        <w:rPr>
          <w:i/>
          <w:sz w:val="28"/>
          <w:szCs w:val="28"/>
          <w:lang w:val="en-US"/>
        </w:rPr>
        <w:t>L</w:t>
      </w:r>
      <w:r w:rsidRPr="00520861">
        <w:rPr>
          <w:sz w:val="28"/>
          <w:szCs w:val="28"/>
        </w:rPr>
        <w:t>1/</w:t>
      </w:r>
      <w:r w:rsidRPr="00520861">
        <w:rPr>
          <w:i/>
          <w:sz w:val="28"/>
          <w:szCs w:val="28"/>
          <w:lang w:val="en-US"/>
        </w:rPr>
        <w:t>L</w:t>
      </w:r>
      <w:r w:rsidRPr="00520861">
        <w:rPr>
          <w:sz w:val="28"/>
          <w:szCs w:val="28"/>
        </w:rPr>
        <w:t xml:space="preserve">2 вірогідно нижчі, ніж аналогічні показники для групи 4, а індекс </w:t>
      </w:r>
      <w:r w:rsidRPr="00520861">
        <w:rPr>
          <w:i/>
          <w:sz w:val="28"/>
          <w:szCs w:val="28"/>
          <w:lang w:val="en-US"/>
        </w:rPr>
        <w:t>L</w:t>
      </w:r>
      <w:r w:rsidRPr="00520861">
        <w:rPr>
          <w:sz w:val="28"/>
          <w:szCs w:val="28"/>
        </w:rPr>
        <w:t xml:space="preserve"> вірогідно вищий, ніж такий для групи 1 (</w:t>
      </w:r>
      <w:r w:rsidR="006D73AD" w:rsidRPr="00520861">
        <w:rPr>
          <w:i/>
          <w:sz w:val="28"/>
          <w:szCs w:val="28"/>
          <w:lang w:val="en-US"/>
        </w:rPr>
        <w:t>p</w:t>
      </w:r>
      <w:r w:rsidR="0018359D" w:rsidRPr="00520861">
        <w:rPr>
          <w:rFonts w:eastAsia="Calibri"/>
          <w:sz w:val="28"/>
          <w:szCs w:val="28"/>
          <w:lang w:eastAsia="en-US"/>
        </w:rPr>
        <w:t>&lt;</w:t>
      </w:r>
      <w:r w:rsidR="006D73AD" w:rsidRPr="00520861">
        <w:rPr>
          <w:sz w:val="28"/>
          <w:szCs w:val="28"/>
        </w:rPr>
        <w:t>0,05</w:t>
      </w:r>
      <w:r w:rsidRPr="00520861">
        <w:rPr>
          <w:sz w:val="28"/>
          <w:szCs w:val="28"/>
        </w:rPr>
        <w:t xml:space="preserve">). Тобто у тварин цієї групи </w:t>
      </w:r>
      <w:proofErr w:type="spellStart"/>
      <w:r w:rsidRPr="00520861">
        <w:rPr>
          <w:sz w:val="28"/>
          <w:szCs w:val="28"/>
        </w:rPr>
        <w:t>гіперпроліферація</w:t>
      </w:r>
      <w:proofErr w:type="spellEnd"/>
      <w:r w:rsidRPr="00520861">
        <w:rPr>
          <w:sz w:val="28"/>
          <w:szCs w:val="28"/>
        </w:rPr>
        <w:t xml:space="preserve"> епітелію слизової оболонки в ротовій порожнині практично відсутня, або незначно виражена.</w:t>
      </w:r>
    </w:p>
    <w:p w14:paraId="2B51A8C0" w14:textId="77777777" w:rsidR="00CF641C" w:rsidRPr="00520861" w:rsidRDefault="00CF641C" w:rsidP="00292D2E">
      <w:pPr>
        <w:widowControl w:val="0"/>
        <w:spacing w:line="360" w:lineRule="auto"/>
        <w:ind w:firstLine="708"/>
        <w:contextualSpacing/>
        <w:jc w:val="both"/>
        <w:rPr>
          <w:sz w:val="28"/>
          <w:szCs w:val="28"/>
        </w:rPr>
      </w:pPr>
      <w:r w:rsidRPr="00520861">
        <w:rPr>
          <w:rFonts w:eastAsia="Calibri"/>
          <w:sz w:val="28"/>
          <w:szCs w:val="28"/>
          <w:lang w:eastAsia="en-US"/>
        </w:rPr>
        <w:t xml:space="preserve">При оцінюванні </w:t>
      </w:r>
      <w:r w:rsidRPr="00520861">
        <w:rPr>
          <w:sz w:val="28"/>
          <w:szCs w:val="28"/>
        </w:rPr>
        <w:t xml:space="preserve">гістологічних особливостей епітелію СОПР у тварин груп 3 та 4 виявляються численні вузькі та глибокі </w:t>
      </w:r>
      <w:proofErr w:type="spellStart"/>
      <w:r w:rsidRPr="00520861">
        <w:rPr>
          <w:sz w:val="28"/>
          <w:szCs w:val="28"/>
        </w:rPr>
        <w:t>акантотичні</w:t>
      </w:r>
      <w:proofErr w:type="spellEnd"/>
      <w:r w:rsidRPr="00520861">
        <w:rPr>
          <w:sz w:val="28"/>
          <w:szCs w:val="28"/>
        </w:rPr>
        <w:t xml:space="preserve"> вирости (рис. 3.25</w:t>
      </w:r>
      <w:r w:rsidRPr="00520861">
        <w:rPr>
          <w:i/>
          <w:sz w:val="28"/>
          <w:szCs w:val="28"/>
        </w:rPr>
        <w:t>б</w:t>
      </w:r>
      <w:r w:rsidRPr="00520861">
        <w:rPr>
          <w:sz w:val="28"/>
          <w:szCs w:val="28"/>
        </w:rPr>
        <w:t>, 3.26</w:t>
      </w:r>
      <w:r w:rsidRPr="00520861">
        <w:rPr>
          <w:i/>
          <w:sz w:val="28"/>
          <w:szCs w:val="28"/>
        </w:rPr>
        <w:t>б</w:t>
      </w:r>
      <w:r w:rsidRPr="00520861">
        <w:rPr>
          <w:sz w:val="28"/>
          <w:szCs w:val="28"/>
        </w:rPr>
        <w:t xml:space="preserve">), а в базальному шарі на верхівці </w:t>
      </w:r>
      <w:proofErr w:type="spellStart"/>
      <w:r w:rsidRPr="00520861">
        <w:rPr>
          <w:sz w:val="28"/>
          <w:szCs w:val="28"/>
        </w:rPr>
        <w:t>акантотичних</w:t>
      </w:r>
      <w:proofErr w:type="spellEnd"/>
      <w:r w:rsidRPr="00520861">
        <w:rPr>
          <w:sz w:val="28"/>
          <w:szCs w:val="28"/>
        </w:rPr>
        <w:t xml:space="preserve"> виступів </w:t>
      </w:r>
      <w:proofErr w:type="spellStart"/>
      <w:r w:rsidRPr="00520861">
        <w:rPr>
          <w:sz w:val="28"/>
          <w:szCs w:val="28"/>
        </w:rPr>
        <w:t>візуалізуються</w:t>
      </w:r>
      <w:proofErr w:type="spellEnd"/>
      <w:r w:rsidRPr="00520861">
        <w:rPr>
          <w:sz w:val="28"/>
          <w:szCs w:val="28"/>
        </w:rPr>
        <w:t xml:space="preserve"> щільно</w:t>
      </w:r>
      <w:r w:rsidR="000F28A8" w:rsidRPr="00520861">
        <w:rPr>
          <w:sz w:val="28"/>
          <w:szCs w:val="28"/>
        </w:rPr>
        <w:t xml:space="preserve"> </w:t>
      </w:r>
      <w:r w:rsidRPr="00520861">
        <w:rPr>
          <w:sz w:val="28"/>
          <w:szCs w:val="28"/>
        </w:rPr>
        <w:t xml:space="preserve">розташовані «юні» </w:t>
      </w:r>
      <w:proofErr w:type="spellStart"/>
      <w:r w:rsidRPr="00520861">
        <w:rPr>
          <w:sz w:val="28"/>
          <w:szCs w:val="28"/>
        </w:rPr>
        <w:t>епітеліоцити</w:t>
      </w:r>
      <w:proofErr w:type="spellEnd"/>
      <w:r w:rsidRPr="00520861">
        <w:rPr>
          <w:sz w:val="28"/>
          <w:szCs w:val="28"/>
        </w:rPr>
        <w:t xml:space="preserve"> [322]. Крім того, базальний шар частково відсутній. Шипуватий шар містить численні </w:t>
      </w:r>
      <w:proofErr w:type="spellStart"/>
      <w:r w:rsidRPr="00520861">
        <w:rPr>
          <w:sz w:val="28"/>
          <w:szCs w:val="28"/>
        </w:rPr>
        <w:t>двоядерні</w:t>
      </w:r>
      <w:proofErr w:type="spellEnd"/>
      <w:r w:rsidRPr="00520861">
        <w:rPr>
          <w:sz w:val="28"/>
          <w:szCs w:val="28"/>
        </w:rPr>
        <w:t xml:space="preserve"> </w:t>
      </w:r>
      <w:proofErr w:type="spellStart"/>
      <w:r w:rsidRPr="00520861">
        <w:rPr>
          <w:sz w:val="28"/>
          <w:szCs w:val="28"/>
        </w:rPr>
        <w:t>епітеліоцити</w:t>
      </w:r>
      <w:proofErr w:type="spellEnd"/>
      <w:r w:rsidRPr="00520861">
        <w:rPr>
          <w:sz w:val="28"/>
          <w:szCs w:val="28"/>
        </w:rPr>
        <w:t xml:space="preserve">. </w:t>
      </w:r>
    </w:p>
    <w:p w14:paraId="76C3A4E3" w14:textId="77777777" w:rsidR="00CF641C" w:rsidRPr="00520861" w:rsidRDefault="00CF641C" w:rsidP="00292D2E">
      <w:pPr>
        <w:widowControl w:val="0"/>
        <w:spacing w:line="360" w:lineRule="auto"/>
        <w:ind w:firstLine="708"/>
        <w:contextualSpacing/>
        <w:jc w:val="both"/>
        <w:rPr>
          <w:rFonts w:eastAsia="Calibri"/>
          <w:color w:val="000000" w:themeColor="text1"/>
          <w:spacing w:val="-1"/>
          <w:sz w:val="28"/>
          <w:szCs w:val="28"/>
          <w:lang w:eastAsia="en-US"/>
        </w:rPr>
      </w:pPr>
      <w:r w:rsidRPr="00520861">
        <w:rPr>
          <w:rFonts w:eastAsia="Calibri"/>
          <w:color w:val="000000" w:themeColor="text1"/>
          <w:spacing w:val="-1"/>
          <w:sz w:val="28"/>
          <w:szCs w:val="28"/>
          <w:lang w:eastAsia="en-US"/>
        </w:rPr>
        <w:t>У тварин групи 3 епітелій слизової оболонки прикріплений на емалево-цемен</w:t>
      </w:r>
      <w:r w:rsidRPr="00520861">
        <w:rPr>
          <w:rFonts w:eastAsia="Calibri"/>
          <w:color w:val="000000" w:themeColor="text1"/>
          <w:sz w:val="28"/>
          <w:szCs w:val="28"/>
          <w:lang w:eastAsia="en-US"/>
        </w:rPr>
        <w:t xml:space="preserve">тній межі. </w:t>
      </w:r>
      <w:r w:rsidRPr="00520861">
        <w:rPr>
          <w:rFonts w:eastAsia="Calibri"/>
          <w:color w:val="000000" w:themeColor="text1"/>
          <w:spacing w:val="-1"/>
          <w:sz w:val="28"/>
          <w:szCs w:val="28"/>
          <w:lang w:eastAsia="en-US"/>
        </w:rPr>
        <w:t xml:space="preserve">Незважаючи на ознаки </w:t>
      </w:r>
      <w:proofErr w:type="spellStart"/>
      <w:r w:rsidRPr="00520861">
        <w:rPr>
          <w:rFonts w:eastAsia="Calibri"/>
          <w:color w:val="000000" w:themeColor="text1"/>
          <w:spacing w:val="-1"/>
          <w:sz w:val="28"/>
          <w:szCs w:val="28"/>
          <w:lang w:eastAsia="en-US"/>
        </w:rPr>
        <w:t>виразкування</w:t>
      </w:r>
      <w:proofErr w:type="spellEnd"/>
      <w:r w:rsidRPr="00520861">
        <w:rPr>
          <w:rFonts w:eastAsia="Calibri"/>
          <w:color w:val="000000" w:themeColor="text1"/>
          <w:spacing w:val="-1"/>
          <w:sz w:val="28"/>
          <w:szCs w:val="28"/>
          <w:lang w:eastAsia="en-US"/>
        </w:rPr>
        <w:t xml:space="preserve"> слизової оболонки міжзубних сосочків, які були присутні у деяких зразках, кишені у тварин цієї групи не спостерігаються. Стан слизової оболонки ясен щурів групи 4 схожий на такий у тварин групи 3 </w:t>
      </w:r>
      <w:r w:rsidRPr="00520861">
        <w:rPr>
          <w:rFonts w:eastAsia="Calibri"/>
          <w:color w:val="000000" w:themeColor="text1"/>
          <w:spacing w:val="-1"/>
          <w:sz w:val="28"/>
          <w:szCs w:val="28"/>
          <w:lang w:val="ru-RU" w:eastAsia="en-US"/>
        </w:rPr>
        <w:t>[61]</w:t>
      </w:r>
      <w:r w:rsidRPr="00520861">
        <w:rPr>
          <w:rFonts w:eastAsia="Calibri"/>
          <w:color w:val="000000" w:themeColor="text1"/>
          <w:spacing w:val="-1"/>
          <w:sz w:val="28"/>
          <w:szCs w:val="28"/>
          <w:lang w:eastAsia="en-US"/>
        </w:rPr>
        <w:t xml:space="preserve">. </w:t>
      </w:r>
    </w:p>
    <w:p w14:paraId="4A99A22F"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у тварин контрольної групи міцно з’єднана з цементом кореня зуба, добре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волокна </w:t>
      </w:r>
      <w:proofErr w:type="spellStart"/>
      <w:r w:rsidRPr="00520861">
        <w:rPr>
          <w:rFonts w:eastAsia="Calibri"/>
          <w:sz w:val="28"/>
          <w:szCs w:val="28"/>
          <w:lang w:eastAsia="en-US"/>
        </w:rPr>
        <w:t>періодонту</w:t>
      </w:r>
      <w:proofErr w:type="spellEnd"/>
      <w:r w:rsidRPr="00520861">
        <w:rPr>
          <w:rFonts w:eastAsia="Calibri"/>
          <w:sz w:val="28"/>
          <w:szCs w:val="28"/>
          <w:lang w:eastAsia="en-US"/>
        </w:rPr>
        <w:t xml:space="preserve">, які досить густо розташовані (рис. 3.29). </w:t>
      </w:r>
    </w:p>
    <w:p w14:paraId="02EFB986" w14:textId="77777777" w:rsidR="00CF641C" w:rsidRPr="00520861" w:rsidRDefault="00CF641C" w:rsidP="00292D2E">
      <w:pPr>
        <w:widowControl w:val="0"/>
        <w:spacing w:line="360" w:lineRule="auto"/>
        <w:ind w:right="-1"/>
        <w:jc w:val="center"/>
        <w:rPr>
          <w:sz w:val="28"/>
          <w:szCs w:val="28"/>
        </w:rPr>
      </w:pPr>
      <w:r w:rsidRPr="00520861">
        <w:rPr>
          <w:noProof/>
          <w:sz w:val="28"/>
          <w:szCs w:val="28"/>
          <w:lang w:val="ru-RU"/>
        </w:rPr>
        <w:drawing>
          <wp:inline distT="0" distB="0" distL="0" distR="0" wp14:anchorId="6C825CB7" wp14:editId="602BD7DB">
            <wp:extent cx="6411600" cy="2293200"/>
            <wp:effectExtent l="0" t="0" r="8255" b="0"/>
            <wp:docPr id="47" name="Рисунок 47" descr="D:\тер стом\научн работа 1\дд друк\ на защиту\Маша\Рис\Рис3.28-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тер стом\научн работа 1\дд друк\ на защиту\Маша\Рис\Рис3.28-3.29.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411600" cy="2293200"/>
                    </a:xfrm>
                    <a:prstGeom prst="rect">
                      <a:avLst/>
                    </a:prstGeom>
                    <a:noFill/>
                    <a:ln>
                      <a:noFill/>
                    </a:ln>
                  </pic:spPr>
                </pic:pic>
              </a:graphicData>
            </a:graphic>
          </wp:inline>
        </w:drawing>
      </w:r>
    </w:p>
    <w:tbl>
      <w:tblPr>
        <w:tblStyle w:val="4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4"/>
        <w:gridCol w:w="5074"/>
      </w:tblGrid>
      <w:tr w:rsidR="00CF641C" w:rsidRPr="00520861" w14:paraId="176A4E94" w14:textId="77777777" w:rsidTr="00292D2E">
        <w:tc>
          <w:tcPr>
            <w:tcW w:w="5074" w:type="dxa"/>
          </w:tcPr>
          <w:p w14:paraId="41ACF1FE" w14:textId="77777777" w:rsidR="00CF641C" w:rsidRPr="00520861" w:rsidRDefault="00CF641C" w:rsidP="00292D2E">
            <w:pPr>
              <w:widowControl w:val="0"/>
              <w:spacing w:line="360" w:lineRule="auto"/>
              <w:ind w:right="-1" w:firstLine="731"/>
              <w:jc w:val="center"/>
              <w:rPr>
                <w:rFonts w:eastAsia="Calibri" w:cs="Times New Roman"/>
                <w:sz w:val="28"/>
                <w:szCs w:val="28"/>
              </w:rPr>
            </w:pPr>
            <w:r w:rsidRPr="00520861">
              <w:rPr>
                <w:rFonts w:eastAsia="Calibri" w:cs="Times New Roman"/>
                <w:sz w:val="28"/>
                <w:szCs w:val="28"/>
              </w:rPr>
              <w:t>Рис.</w:t>
            </w:r>
            <w:r w:rsidRPr="00520861">
              <w:rPr>
                <w:rFonts w:cs="Times New Roman"/>
                <w:sz w:val="28"/>
                <w:szCs w:val="28"/>
              </w:rPr>
              <w:t xml:space="preserve"> 3.27. Щільна </w:t>
            </w:r>
            <w:proofErr w:type="spellStart"/>
            <w:r w:rsidRPr="00520861">
              <w:rPr>
                <w:rFonts w:cs="Times New Roman"/>
                <w:sz w:val="28"/>
                <w:szCs w:val="28"/>
              </w:rPr>
              <w:t>макрофагально-лімфоцитна</w:t>
            </w:r>
            <w:proofErr w:type="spellEnd"/>
            <w:r w:rsidRPr="00520861">
              <w:rPr>
                <w:rFonts w:cs="Times New Roman"/>
                <w:sz w:val="28"/>
                <w:szCs w:val="28"/>
              </w:rPr>
              <w:t xml:space="preserve"> інфільтрація власної пластинки слизової оболонки тварини групи 1. </w:t>
            </w:r>
            <w:r w:rsidRPr="00520861">
              <w:rPr>
                <w:rFonts w:eastAsiaTheme="minorHAnsi" w:cs="Times New Roman"/>
                <w:bCs/>
                <w:sz w:val="28"/>
                <w:szCs w:val="28"/>
              </w:rPr>
              <w:t>Забарвлення гематоксиліном і еозином;</w:t>
            </w:r>
            <w:r w:rsidRPr="00520861">
              <w:rPr>
                <w:rFonts w:cs="Times New Roman"/>
                <w:sz w:val="28"/>
                <w:szCs w:val="28"/>
              </w:rPr>
              <w:t xml:space="preserve"> збільшення ×400.</w:t>
            </w:r>
          </w:p>
        </w:tc>
        <w:tc>
          <w:tcPr>
            <w:tcW w:w="5074" w:type="dxa"/>
          </w:tcPr>
          <w:p w14:paraId="22CC6C7A" w14:textId="77777777" w:rsidR="00CF641C" w:rsidRPr="00520861" w:rsidRDefault="00CF641C" w:rsidP="00292D2E">
            <w:pPr>
              <w:widowControl w:val="0"/>
              <w:spacing w:line="360" w:lineRule="auto"/>
              <w:ind w:right="-1" w:firstLine="608"/>
              <w:jc w:val="center"/>
              <w:rPr>
                <w:rFonts w:eastAsia="Calibri" w:cs="Times New Roman"/>
                <w:sz w:val="28"/>
                <w:szCs w:val="28"/>
              </w:rPr>
            </w:pPr>
            <w:r w:rsidRPr="00520861">
              <w:rPr>
                <w:rFonts w:eastAsia="Calibri" w:cs="Times New Roman"/>
                <w:sz w:val="28"/>
                <w:szCs w:val="28"/>
              </w:rPr>
              <w:t>Рис.</w:t>
            </w:r>
            <w:r w:rsidRPr="00520861">
              <w:rPr>
                <w:rFonts w:cs="Times New Roman"/>
                <w:sz w:val="28"/>
                <w:szCs w:val="28"/>
              </w:rPr>
              <w:t xml:space="preserve"> 3.28. Епітелій слизової оболонки порожнини рота тварини групи 2. Гіперплазія епітелію; ядра </w:t>
            </w:r>
            <w:proofErr w:type="spellStart"/>
            <w:r w:rsidRPr="00520861">
              <w:rPr>
                <w:rFonts w:cs="Times New Roman"/>
                <w:sz w:val="28"/>
                <w:szCs w:val="28"/>
              </w:rPr>
              <w:t>епітеліоцитів</w:t>
            </w:r>
            <w:proofErr w:type="spellEnd"/>
            <w:r w:rsidRPr="00520861">
              <w:rPr>
                <w:rFonts w:cs="Times New Roman"/>
                <w:sz w:val="28"/>
                <w:szCs w:val="28"/>
              </w:rPr>
              <w:t xml:space="preserve"> у шипуватому шарі великі та світлі, видно ядерця. </w:t>
            </w:r>
            <w:r w:rsidRPr="00520861">
              <w:rPr>
                <w:rFonts w:eastAsia="Calibri" w:cs="Times New Roman"/>
                <w:sz w:val="28"/>
                <w:szCs w:val="28"/>
              </w:rPr>
              <w:t xml:space="preserve">Забарвлення за </w:t>
            </w:r>
            <w:proofErr w:type="spellStart"/>
            <w:r w:rsidRPr="00520861">
              <w:rPr>
                <w:rFonts w:eastAsia="Calibri" w:cs="Times New Roman"/>
                <w:sz w:val="28"/>
                <w:szCs w:val="28"/>
              </w:rPr>
              <w:t>Ейнарсоном</w:t>
            </w:r>
            <w:proofErr w:type="spellEnd"/>
            <w:r w:rsidRPr="00520861">
              <w:rPr>
                <w:rFonts w:cs="Times New Roman"/>
                <w:sz w:val="28"/>
                <w:szCs w:val="28"/>
              </w:rPr>
              <w:t>;</w:t>
            </w:r>
            <w:r w:rsidRPr="00520861">
              <w:rPr>
                <w:rFonts w:eastAsiaTheme="minorHAnsi" w:cs="Times New Roman"/>
                <w:sz w:val="28"/>
                <w:szCs w:val="28"/>
              </w:rPr>
              <w:t xml:space="preserve"> </w:t>
            </w:r>
            <w:r w:rsidRPr="00520861">
              <w:rPr>
                <w:rFonts w:cs="Times New Roman"/>
                <w:sz w:val="28"/>
                <w:szCs w:val="28"/>
              </w:rPr>
              <w:t>збільшення ×400.</w:t>
            </w:r>
          </w:p>
        </w:tc>
      </w:tr>
    </w:tbl>
    <w:p w14:paraId="64553777"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lastRenderedPageBreak/>
        <w:t xml:space="preserve">У деяких тварин групи 1 спостерігається потоншення </w:t>
      </w:r>
      <w:proofErr w:type="spellStart"/>
      <w:r w:rsidRPr="00520861">
        <w:rPr>
          <w:rFonts w:eastAsia="Calibri"/>
          <w:sz w:val="28"/>
          <w:szCs w:val="28"/>
          <w:lang w:eastAsia="en-US"/>
        </w:rPr>
        <w:t>періодонтальної</w:t>
      </w:r>
      <w:proofErr w:type="spellEnd"/>
      <w:r w:rsidRPr="00520861">
        <w:rPr>
          <w:rFonts w:eastAsia="Calibri"/>
          <w:sz w:val="28"/>
          <w:szCs w:val="28"/>
          <w:lang w:eastAsia="en-US"/>
        </w:rPr>
        <w:t xml:space="preserve"> зв’язки, яка вміщає багато клітин. Практично в усіх тварин цієї групи у шестимісячному віці спостерігаються явища </w:t>
      </w:r>
      <w:proofErr w:type="spellStart"/>
      <w:r w:rsidRPr="00520861">
        <w:rPr>
          <w:rFonts w:eastAsia="Calibri"/>
          <w:sz w:val="28"/>
          <w:szCs w:val="28"/>
          <w:lang w:eastAsia="en-US"/>
        </w:rPr>
        <w:t>гіперцементозу</w:t>
      </w:r>
      <w:proofErr w:type="spellEnd"/>
      <w:r w:rsidRPr="00520861">
        <w:rPr>
          <w:rFonts w:eastAsia="Calibri"/>
          <w:sz w:val="28"/>
          <w:szCs w:val="28"/>
          <w:lang w:eastAsia="en-US"/>
        </w:rPr>
        <w:t xml:space="preserve"> – відкладення вторинного цементу, як реакція на стирання зубів (рис. 3.30). Спостерігаються ділянки, де цемент кореня розташований впритул до альвеолярної кістки,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відсутня, очевидно, що фіксація такої зв’язки до цементу кореня неміцна. </w:t>
      </w:r>
    </w:p>
    <w:p w14:paraId="343DB6CF" w14:textId="77777777" w:rsidR="00CF641C" w:rsidRPr="00520861" w:rsidRDefault="00CF641C" w:rsidP="00292D2E">
      <w:pPr>
        <w:widowControl w:val="0"/>
        <w:spacing w:line="360" w:lineRule="auto"/>
        <w:jc w:val="both"/>
        <w:rPr>
          <w:sz w:val="28"/>
          <w:szCs w:val="28"/>
        </w:rPr>
      </w:pPr>
      <w:r w:rsidRPr="00520861">
        <w:rPr>
          <w:noProof/>
          <w:sz w:val="28"/>
          <w:szCs w:val="28"/>
          <w:lang w:val="ru-RU"/>
        </w:rPr>
        <w:drawing>
          <wp:inline distT="0" distB="0" distL="0" distR="0" wp14:anchorId="0D04E4AC" wp14:editId="0FC5547B">
            <wp:extent cx="6411600" cy="2271600"/>
            <wp:effectExtent l="0" t="0" r="8255" b="0"/>
            <wp:docPr id="48" name="Рисунок 48" descr="D:\тер стом\научн работа 1\дд друк\ на защиту\Маша\Рис\Рис3.31-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тер стом\научн работа 1\дд друк\ на защиту\Маша\Рис\Рис3.31-3.32.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411600" cy="2271600"/>
                    </a:xfrm>
                    <a:prstGeom prst="rect">
                      <a:avLst/>
                    </a:prstGeom>
                    <a:noFill/>
                    <a:ln>
                      <a:noFill/>
                    </a:ln>
                  </pic:spPr>
                </pic:pic>
              </a:graphicData>
            </a:graphic>
          </wp:inline>
        </w:drawing>
      </w:r>
    </w:p>
    <w:tbl>
      <w:tblPr>
        <w:tblStyle w:val="4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9"/>
        <w:gridCol w:w="237"/>
        <w:gridCol w:w="4705"/>
      </w:tblGrid>
      <w:tr w:rsidR="00CF641C" w:rsidRPr="00520861" w14:paraId="78286A1F" w14:textId="77777777" w:rsidTr="00292D2E">
        <w:trPr>
          <w:jc w:val="center"/>
        </w:trPr>
        <w:tc>
          <w:tcPr>
            <w:tcW w:w="5069" w:type="dxa"/>
          </w:tcPr>
          <w:p w14:paraId="3E9AF03A" w14:textId="77777777" w:rsidR="00CF641C" w:rsidRPr="00520861" w:rsidRDefault="00CF641C" w:rsidP="00292D2E">
            <w:pPr>
              <w:widowControl w:val="0"/>
              <w:spacing w:line="360" w:lineRule="auto"/>
              <w:ind w:firstLine="604"/>
              <w:contextualSpacing/>
              <w:jc w:val="center"/>
              <w:rPr>
                <w:rFonts w:eastAsia="Calibri" w:cs="Times New Roman"/>
                <w:sz w:val="28"/>
                <w:szCs w:val="28"/>
              </w:rPr>
            </w:pPr>
            <w:r w:rsidRPr="00520861">
              <w:rPr>
                <w:rFonts w:eastAsia="Calibri" w:cs="Times New Roman"/>
                <w:sz w:val="28"/>
                <w:szCs w:val="28"/>
              </w:rPr>
              <w:t xml:space="preserve">Рис. 3.29. Пародонт 6-и місячного щура групи контролю. Волокна </w:t>
            </w:r>
            <w:proofErr w:type="spellStart"/>
            <w:r w:rsidRPr="00520861">
              <w:rPr>
                <w:rFonts w:eastAsia="Calibri" w:cs="Times New Roman"/>
                <w:sz w:val="28"/>
                <w:szCs w:val="28"/>
              </w:rPr>
              <w:t>періодонта</w:t>
            </w:r>
            <w:proofErr w:type="spellEnd"/>
            <w:r w:rsidRPr="00520861">
              <w:rPr>
                <w:rFonts w:eastAsia="Calibri" w:cs="Times New Roman"/>
                <w:sz w:val="28"/>
                <w:szCs w:val="28"/>
              </w:rPr>
              <w:t xml:space="preserve"> густо розташовані, цемент кореня рівний. Забарвлення гематоксиліном та </w:t>
            </w:r>
            <w:r w:rsidRPr="00520861">
              <w:rPr>
                <w:rFonts w:eastAsia="Calibri" w:cs="Times New Roman"/>
                <w:sz w:val="28"/>
                <w:szCs w:val="28"/>
              </w:rPr>
              <w:br/>
              <w:t xml:space="preserve">еозином; збільшення </w:t>
            </w:r>
            <w:r w:rsidRPr="00520861">
              <w:rPr>
                <w:rFonts w:eastAsia="Calibri" w:cs="Times New Roman"/>
                <w:sz w:val="28"/>
                <w:szCs w:val="28"/>
              </w:rPr>
              <w:sym w:font="Symbol" w:char="F0B4"/>
            </w:r>
            <w:r w:rsidRPr="00520861">
              <w:rPr>
                <w:rFonts w:eastAsia="Calibri" w:cs="Times New Roman"/>
                <w:sz w:val="28"/>
                <w:szCs w:val="28"/>
              </w:rPr>
              <w:t>400.</w:t>
            </w:r>
          </w:p>
        </w:tc>
        <w:tc>
          <w:tcPr>
            <w:tcW w:w="237" w:type="dxa"/>
          </w:tcPr>
          <w:p w14:paraId="58FEB06B" w14:textId="77777777" w:rsidR="00CF641C" w:rsidRPr="00520861" w:rsidRDefault="00CF641C" w:rsidP="00292D2E">
            <w:pPr>
              <w:widowControl w:val="0"/>
              <w:spacing w:line="360" w:lineRule="auto"/>
              <w:contextualSpacing/>
              <w:jc w:val="both"/>
              <w:rPr>
                <w:rFonts w:eastAsia="Calibri" w:cs="Times New Roman"/>
                <w:sz w:val="28"/>
                <w:szCs w:val="28"/>
              </w:rPr>
            </w:pPr>
          </w:p>
        </w:tc>
        <w:tc>
          <w:tcPr>
            <w:tcW w:w="4705" w:type="dxa"/>
          </w:tcPr>
          <w:p w14:paraId="3DC2E06C" w14:textId="77777777" w:rsidR="00CF641C" w:rsidRPr="00520861" w:rsidRDefault="00CF641C" w:rsidP="00292D2E">
            <w:pPr>
              <w:widowControl w:val="0"/>
              <w:spacing w:line="360" w:lineRule="auto"/>
              <w:ind w:left="-28" w:firstLine="709"/>
              <w:contextualSpacing/>
              <w:rPr>
                <w:rFonts w:eastAsia="Calibri" w:cs="Times New Roman"/>
                <w:sz w:val="28"/>
                <w:szCs w:val="28"/>
              </w:rPr>
            </w:pPr>
            <w:r w:rsidRPr="00520861">
              <w:rPr>
                <w:rFonts w:eastAsia="Calibri" w:cs="Times New Roman"/>
                <w:sz w:val="28"/>
                <w:szCs w:val="28"/>
              </w:rPr>
              <w:t xml:space="preserve">Рис. 3.30. Пульпа та пародонт 6-и місячного щура групи 1. Спостерігається компенсаторний </w:t>
            </w:r>
            <w:proofErr w:type="spellStart"/>
            <w:r w:rsidRPr="00520861">
              <w:rPr>
                <w:rFonts w:eastAsia="Calibri" w:cs="Times New Roman"/>
                <w:sz w:val="28"/>
                <w:szCs w:val="28"/>
              </w:rPr>
              <w:t>гіперцементоз</w:t>
            </w:r>
            <w:proofErr w:type="spellEnd"/>
            <w:r w:rsidRPr="00520861">
              <w:rPr>
                <w:rFonts w:eastAsia="Calibri" w:cs="Times New Roman"/>
                <w:sz w:val="28"/>
                <w:szCs w:val="28"/>
              </w:rPr>
              <w:t xml:space="preserve"> (↨). Забарвлення гематоксиліном та еозином; збільшення </w:t>
            </w:r>
            <w:r w:rsidRPr="00520861">
              <w:rPr>
                <w:rFonts w:eastAsia="Calibri" w:cs="Times New Roman"/>
                <w:sz w:val="28"/>
                <w:szCs w:val="28"/>
              </w:rPr>
              <w:sym w:font="Symbol" w:char="F0B4"/>
            </w:r>
            <w:r w:rsidRPr="00520861">
              <w:rPr>
                <w:rFonts w:eastAsia="Calibri" w:cs="Times New Roman"/>
                <w:sz w:val="28"/>
                <w:szCs w:val="28"/>
              </w:rPr>
              <w:t>100.</w:t>
            </w:r>
          </w:p>
        </w:tc>
      </w:tr>
    </w:tbl>
    <w:p w14:paraId="417C0DC4"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4F28DE43"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тварин групи 2 спостерігається «розрідження» волокон </w:t>
      </w:r>
      <w:proofErr w:type="spellStart"/>
      <w:r w:rsidRPr="00520861">
        <w:rPr>
          <w:rFonts w:eastAsia="Calibri"/>
          <w:sz w:val="28"/>
          <w:szCs w:val="28"/>
          <w:lang w:eastAsia="en-US"/>
        </w:rPr>
        <w:t>періодонту</w:t>
      </w:r>
      <w:proofErr w:type="spellEnd"/>
      <w:r w:rsidRPr="00520861">
        <w:rPr>
          <w:rFonts w:eastAsia="Calibri"/>
          <w:sz w:val="28"/>
          <w:szCs w:val="28"/>
          <w:lang w:eastAsia="en-US"/>
        </w:rPr>
        <w:t xml:space="preserve">, а в апікальній третині коренів молярів має місце </w:t>
      </w:r>
      <w:proofErr w:type="spellStart"/>
      <w:r w:rsidRPr="00520861">
        <w:rPr>
          <w:rFonts w:eastAsia="Calibri"/>
          <w:sz w:val="28"/>
          <w:szCs w:val="28"/>
          <w:lang w:eastAsia="en-US"/>
        </w:rPr>
        <w:t>гіперпродукція</w:t>
      </w:r>
      <w:proofErr w:type="spellEnd"/>
      <w:r w:rsidRPr="00520861">
        <w:rPr>
          <w:rFonts w:eastAsia="Calibri"/>
          <w:sz w:val="28"/>
          <w:szCs w:val="28"/>
          <w:lang w:eastAsia="en-US"/>
        </w:rPr>
        <w:t xml:space="preserve"> вторинного цементу. Втім, у декількох тварин цієї групи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без порушень, цемент кореня повноцінний.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у тварин груп 3 та 4 має правильну будову. </w:t>
      </w:r>
      <w:r w:rsidR="00B15C06" w:rsidRPr="00520861">
        <w:rPr>
          <w:rFonts w:eastAsia="Calibri"/>
          <w:sz w:val="28"/>
          <w:szCs w:val="28"/>
          <w:lang w:eastAsia="en-US"/>
        </w:rPr>
        <w:br/>
      </w:r>
      <w:r w:rsidRPr="00520861">
        <w:rPr>
          <w:rFonts w:eastAsia="Calibri"/>
          <w:sz w:val="28"/>
          <w:szCs w:val="28"/>
          <w:lang w:eastAsia="en-US"/>
        </w:rPr>
        <w:t xml:space="preserve">Цемент кореня містить значну кількість колагену, поверхня його нерівна, в апікальній частині коренів фіксується </w:t>
      </w:r>
      <w:proofErr w:type="spellStart"/>
      <w:r w:rsidRPr="00520861">
        <w:rPr>
          <w:rFonts w:eastAsia="Calibri"/>
          <w:sz w:val="28"/>
          <w:szCs w:val="28"/>
          <w:lang w:eastAsia="en-US"/>
        </w:rPr>
        <w:t>гіперцементоз</w:t>
      </w:r>
      <w:proofErr w:type="spellEnd"/>
      <w:r w:rsidRPr="00520861">
        <w:rPr>
          <w:rFonts w:eastAsia="Calibri"/>
          <w:color w:val="000000" w:themeColor="text1"/>
          <w:sz w:val="28"/>
          <w:szCs w:val="28"/>
          <w:lang w:eastAsia="en-US"/>
        </w:rPr>
        <w:t xml:space="preserve">. </w:t>
      </w:r>
    </w:p>
    <w:p w14:paraId="6DE383CF"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Кістковий мозок та </w:t>
      </w:r>
      <w:proofErr w:type="spellStart"/>
      <w:r w:rsidRPr="00520861">
        <w:rPr>
          <w:rFonts w:eastAsia="Calibri"/>
          <w:color w:val="000000" w:themeColor="text1"/>
          <w:sz w:val="28"/>
          <w:szCs w:val="28"/>
          <w:lang w:eastAsia="en-US"/>
        </w:rPr>
        <w:t>інтерстиційна</w:t>
      </w:r>
      <w:proofErr w:type="spellEnd"/>
      <w:r w:rsidRPr="00520861">
        <w:rPr>
          <w:rFonts w:eastAsia="Calibri"/>
          <w:color w:val="000000" w:themeColor="text1"/>
          <w:sz w:val="28"/>
          <w:szCs w:val="28"/>
          <w:lang w:eastAsia="en-US"/>
        </w:rPr>
        <w:t xml:space="preserve"> речовина у тварин групи контролю щільні. У тварин групи 1 у віці 6 місяців оптична густина кісткової тканини (PAS–реакція) </w:t>
      </w:r>
      <w:r w:rsidR="00B15C06" w:rsidRPr="00520861">
        <w:rPr>
          <w:rFonts w:eastAsia="Calibri"/>
          <w:color w:val="000000" w:themeColor="text1"/>
          <w:sz w:val="28"/>
          <w:szCs w:val="28"/>
          <w:lang w:eastAsia="en-US"/>
        </w:rPr>
        <w:br/>
      </w:r>
      <w:r w:rsidRPr="00520861">
        <w:rPr>
          <w:rFonts w:eastAsia="Calibri"/>
          <w:color w:val="000000" w:themeColor="text1"/>
          <w:sz w:val="28"/>
          <w:szCs w:val="28"/>
          <w:lang w:eastAsia="en-US"/>
        </w:rPr>
        <w:t xml:space="preserve">зіставна з такою у групі контролю (табл. 3.19). </w:t>
      </w:r>
    </w:p>
    <w:p w14:paraId="4C448360" w14:textId="77777777" w:rsidR="00CF641C" w:rsidRPr="00520861" w:rsidRDefault="00CF641C" w:rsidP="00292D2E">
      <w:pPr>
        <w:widowControl w:val="0"/>
        <w:spacing w:line="360" w:lineRule="auto"/>
        <w:ind w:firstLine="709"/>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У деяких шестимісячних тварин групи 2, хоча альвеолярна кістка і масивна, </w:t>
      </w:r>
      <w:r w:rsidRPr="00520861">
        <w:rPr>
          <w:rFonts w:eastAsia="Calibri"/>
          <w:color w:val="000000" w:themeColor="text1"/>
          <w:sz w:val="28"/>
          <w:szCs w:val="28"/>
          <w:lang w:eastAsia="en-US"/>
        </w:rPr>
        <w:lastRenderedPageBreak/>
        <w:t xml:space="preserve">спостерігаються спустошені лакуни кісткового мозку. </w:t>
      </w:r>
    </w:p>
    <w:p w14:paraId="7B70D85B" w14:textId="77777777" w:rsidR="00CF641C" w:rsidRPr="00520861" w:rsidRDefault="00CF641C" w:rsidP="00292D2E">
      <w:pPr>
        <w:widowControl w:val="0"/>
        <w:spacing w:line="360" w:lineRule="auto"/>
        <w:ind w:firstLine="709"/>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Проліферація всіх клітин червоного кісткового мозку </w:t>
      </w:r>
      <w:proofErr w:type="spellStart"/>
      <w:r w:rsidRPr="00520861">
        <w:rPr>
          <w:rFonts w:eastAsia="Calibri"/>
          <w:color w:val="000000" w:themeColor="text1"/>
          <w:sz w:val="28"/>
          <w:szCs w:val="28"/>
          <w:lang w:eastAsia="en-US"/>
        </w:rPr>
        <w:t>атрофізована</w:t>
      </w:r>
      <w:proofErr w:type="spellEnd"/>
      <w:r w:rsidRPr="00520861">
        <w:rPr>
          <w:rFonts w:eastAsia="Calibri"/>
          <w:color w:val="000000" w:themeColor="text1"/>
          <w:sz w:val="28"/>
          <w:szCs w:val="28"/>
          <w:lang w:eastAsia="en-US"/>
        </w:rPr>
        <w:t xml:space="preserve">. У тварин цієї групи (табл. 3.19) відбувається збільшення оптичної густини кісткової тканини, у </w:t>
      </w:r>
      <w:proofErr w:type="spellStart"/>
      <w:r w:rsidRPr="00520861">
        <w:rPr>
          <w:rFonts w:eastAsia="Calibri"/>
          <w:color w:val="000000" w:themeColor="text1"/>
          <w:sz w:val="28"/>
          <w:szCs w:val="28"/>
          <w:lang w:eastAsia="en-US"/>
        </w:rPr>
        <w:t>порівнянняі</w:t>
      </w:r>
      <w:proofErr w:type="spellEnd"/>
      <w:r w:rsidRPr="00520861">
        <w:rPr>
          <w:rFonts w:eastAsia="Calibri"/>
          <w:color w:val="000000" w:themeColor="text1"/>
          <w:sz w:val="28"/>
          <w:szCs w:val="28"/>
          <w:lang w:eastAsia="en-US"/>
        </w:rPr>
        <w:t xml:space="preserve"> з контролем. </w:t>
      </w:r>
    </w:p>
    <w:p w14:paraId="33291D23" w14:textId="77777777" w:rsidR="00CF641C" w:rsidRPr="00520861" w:rsidRDefault="00CF641C" w:rsidP="00292D2E">
      <w:pPr>
        <w:widowControl w:val="0"/>
        <w:spacing w:line="360" w:lineRule="auto"/>
        <w:ind w:firstLine="709"/>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У щурів групи 3 спостерігаються тонкі кісткові балки. Значення оптичної </w:t>
      </w:r>
      <w:r w:rsidR="00B15C06" w:rsidRPr="00520861">
        <w:rPr>
          <w:rFonts w:eastAsia="Calibri"/>
          <w:color w:val="000000" w:themeColor="text1"/>
          <w:sz w:val="28"/>
          <w:szCs w:val="28"/>
          <w:lang w:eastAsia="en-US"/>
        </w:rPr>
        <w:br/>
      </w:r>
      <w:r w:rsidRPr="00520861">
        <w:rPr>
          <w:rFonts w:eastAsia="Calibri"/>
          <w:color w:val="000000" w:themeColor="text1"/>
          <w:sz w:val="28"/>
          <w:szCs w:val="28"/>
          <w:lang w:eastAsia="en-US"/>
        </w:rPr>
        <w:t xml:space="preserve">густини кісткової тканини у них виявилися вірогідно нижчими за контрольні значення та найнижчими серед усіх тварин, які народилися </w:t>
      </w:r>
      <w:proofErr w:type="spellStart"/>
      <w:r w:rsidRPr="00520861">
        <w:rPr>
          <w:rFonts w:eastAsia="Calibri"/>
          <w:color w:val="000000" w:themeColor="text1"/>
          <w:sz w:val="28"/>
          <w:szCs w:val="28"/>
          <w:lang w:eastAsia="en-US"/>
        </w:rPr>
        <w:t>макросомами</w:t>
      </w:r>
      <w:proofErr w:type="spellEnd"/>
      <w:r w:rsidRPr="00520861">
        <w:rPr>
          <w:rFonts w:eastAsia="Calibri"/>
          <w:color w:val="000000" w:themeColor="text1"/>
          <w:sz w:val="28"/>
          <w:szCs w:val="28"/>
          <w:lang w:eastAsia="en-US"/>
        </w:rPr>
        <w:t xml:space="preserve">. </w:t>
      </w:r>
    </w:p>
    <w:p w14:paraId="4B4F87C7" w14:textId="77777777" w:rsidR="00CF641C" w:rsidRPr="00520861" w:rsidRDefault="00CF641C" w:rsidP="00292D2E">
      <w:pPr>
        <w:widowControl w:val="0"/>
        <w:spacing w:line="360" w:lineRule="auto"/>
        <w:contextualSpacing/>
        <w:jc w:val="right"/>
        <w:rPr>
          <w:rFonts w:eastAsia="Calibri"/>
          <w:i/>
          <w:iCs/>
          <w:sz w:val="28"/>
          <w:szCs w:val="28"/>
          <w:lang w:eastAsia="en-US"/>
        </w:rPr>
      </w:pPr>
      <w:r w:rsidRPr="00520861">
        <w:rPr>
          <w:rFonts w:eastAsia="Calibri"/>
          <w:i/>
          <w:iCs/>
          <w:sz w:val="28"/>
          <w:szCs w:val="28"/>
          <w:lang w:eastAsia="en-US"/>
        </w:rPr>
        <w:t xml:space="preserve">Таблиця 3.19 </w:t>
      </w:r>
    </w:p>
    <w:p w14:paraId="4518C2BF" w14:textId="77777777" w:rsidR="00CF641C" w:rsidRPr="00520861" w:rsidRDefault="00CF641C" w:rsidP="00292D2E">
      <w:pPr>
        <w:widowControl w:val="0"/>
        <w:spacing w:line="360" w:lineRule="auto"/>
        <w:contextualSpacing/>
        <w:jc w:val="center"/>
        <w:rPr>
          <w:rFonts w:eastAsia="Calibri"/>
          <w:b/>
          <w:bCs/>
          <w:sz w:val="28"/>
          <w:szCs w:val="28"/>
          <w:lang w:eastAsia="en-US"/>
        </w:rPr>
      </w:pPr>
      <w:r w:rsidRPr="00520861">
        <w:rPr>
          <w:rFonts w:eastAsia="Calibri"/>
          <w:b/>
          <w:bCs/>
          <w:sz w:val="28"/>
          <w:szCs w:val="28"/>
          <w:lang w:eastAsia="en-US"/>
        </w:rPr>
        <w:t xml:space="preserve">Медіанні значення </w:t>
      </w:r>
      <w:r w:rsidRPr="00520861">
        <w:rPr>
          <w:rFonts w:eastAsia="Calibri"/>
          <w:b/>
          <w:bCs/>
          <w:sz w:val="28"/>
          <w:szCs w:val="28"/>
          <w:lang w:val="en-US" w:eastAsia="en-US"/>
        </w:rPr>
        <w:t>Me</w:t>
      </w:r>
      <w:r w:rsidRPr="00520861">
        <w:rPr>
          <w:rFonts w:eastAsia="Calibri"/>
          <w:b/>
          <w:bCs/>
          <w:sz w:val="28"/>
          <w:szCs w:val="28"/>
          <w:lang w:eastAsia="en-US"/>
        </w:rPr>
        <w:t xml:space="preserve"> (</w:t>
      </w:r>
      <w:r w:rsidRPr="00520861">
        <w:rPr>
          <w:rFonts w:eastAsia="Calibri"/>
          <w:b/>
          <w:bCs/>
          <w:sz w:val="28"/>
          <w:szCs w:val="28"/>
          <w:lang w:val="en-US" w:eastAsia="en-US"/>
        </w:rPr>
        <w:t>Q</w:t>
      </w:r>
      <w:r w:rsidRPr="00520861">
        <w:rPr>
          <w:rFonts w:eastAsia="Calibri"/>
          <w:b/>
          <w:bCs/>
          <w:sz w:val="28"/>
          <w:szCs w:val="28"/>
          <w:lang w:eastAsia="en-US"/>
        </w:rPr>
        <w:t xml:space="preserve">3; </w:t>
      </w:r>
      <w:r w:rsidRPr="00520861">
        <w:rPr>
          <w:rFonts w:eastAsia="Calibri"/>
          <w:b/>
          <w:bCs/>
          <w:sz w:val="28"/>
          <w:szCs w:val="28"/>
          <w:lang w:val="en-US" w:eastAsia="en-US"/>
        </w:rPr>
        <w:t>Q</w:t>
      </w:r>
      <w:r w:rsidRPr="00520861">
        <w:rPr>
          <w:rFonts w:eastAsia="Calibri"/>
          <w:b/>
          <w:bCs/>
          <w:sz w:val="28"/>
          <w:szCs w:val="28"/>
          <w:lang w:eastAsia="en-US"/>
        </w:rPr>
        <w:t>1) оптичної густини кісткової тканини альвеолярних відростків 6-и місячних експериментальних тварин</w:t>
      </w:r>
    </w:p>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8647"/>
      </w:tblGrid>
      <w:tr w:rsidR="00CF641C" w:rsidRPr="00520861" w14:paraId="23D2E5A7" w14:textId="77777777" w:rsidTr="00292D2E">
        <w:trPr>
          <w:jc w:val="center"/>
        </w:trPr>
        <w:tc>
          <w:tcPr>
            <w:tcW w:w="1413" w:type="dxa"/>
            <w:tcBorders>
              <w:top w:val="single" w:sz="4" w:space="0" w:color="auto"/>
              <w:left w:val="single" w:sz="4" w:space="0" w:color="auto"/>
              <w:right w:val="single" w:sz="4" w:space="0" w:color="auto"/>
            </w:tcBorders>
            <w:tcMar>
              <w:top w:w="0" w:type="dxa"/>
              <w:left w:w="57" w:type="dxa"/>
              <w:bottom w:w="0" w:type="dxa"/>
              <w:right w:w="57" w:type="dxa"/>
            </w:tcMar>
            <w:hideMark/>
          </w:tcPr>
          <w:p w14:paraId="61F3F0FA" w14:textId="77777777" w:rsidR="00CF641C" w:rsidRPr="00520861" w:rsidRDefault="00CF641C" w:rsidP="00292D2E">
            <w:pPr>
              <w:widowControl w:val="0"/>
              <w:spacing w:line="360" w:lineRule="auto"/>
              <w:contextualSpacing/>
              <w:jc w:val="center"/>
              <w:rPr>
                <w:rFonts w:eastAsia="Calibri"/>
                <w:sz w:val="28"/>
                <w:szCs w:val="28"/>
              </w:rPr>
            </w:pPr>
            <w:r w:rsidRPr="00520861">
              <w:rPr>
                <w:sz w:val="28"/>
                <w:szCs w:val="28"/>
              </w:rPr>
              <w:t>Група</w:t>
            </w:r>
          </w:p>
        </w:tc>
        <w:tc>
          <w:tcPr>
            <w:tcW w:w="8647" w:type="dxa"/>
            <w:tcBorders>
              <w:top w:val="single" w:sz="4" w:space="0" w:color="auto"/>
              <w:left w:val="single" w:sz="4" w:space="0" w:color="auto"/>
              <w:bottom w:val="single" w:sz="4" w:space="0" w:color="auto"/>
              <w:right w:val="single" w:sz="4" w:space="0" w:color="auto"/>
            </w:tcBorders>
          </w:tcPr>
          <w:p w14:paraId="66708D9F" w14:textId="77777777" w:rsidR="00CF641C" w:rsidRPr="00520861" w:rsidRDefault="00CF641C" w:rsidP="00292D2E">
            <w:pPr>
              <w:widowControl w:val="0"/>
              <w:spacing w:line="360" w:lineRule="auto"/>
              <w:ind w:right="-104"/>
              <w:contextualSpacing/>
              <w:jc w:val="center"/>
              <w:rPr>
                <w:rFonts w:eastAsia="Calibri"/>
                <w:sz w:val="28"/>
                <w:szCs w:val="28"/>
              </w:rPr>
            </w:pPr>
            <w:r w:rsidRPr="00520861">
              <w:rPr>
                <w:rFonts w:eastAsia="Calibri"/>
                <w:sz w:val="28"/>
                <w:szCs w:val="28"/>
              </w:rPr>
              <w:t>Оптична густина кісткової тканини</w:t>
            </w:r>
          </w:p>
          <w:p w14:paraId="06F5EEB2" w14:textId="77777777" w:rsidR="00CF641C" w:rsidRPr="00520861" w:rsidRDefault="00CF641C" w:rsidP="00292D2E">
            <w:pPr>
              <w:widowControl w:val="0"/>
              <w:spacing w:line="360" w:lineRule="auto"/>
              <w:ind w:right="-104"/>
              <w:contextualSpacing/>
              <w:jc w:val="center"/>
              <w:rPr>
                <w:rFonts w:eastAsia="Calibri"/>
                <w:sz w:val="28"/>
                <w:szCs w:val="28"/>
              </w:rPr>
            </w:pPr>
            <w:r w:rsidRPr="00520861">
              <w:rPr>
                <w:rFonts w:eastAsia="Calibri"/>
                <w:sz w:val="28"/>
                <w:szCs w:val="28"/>
              </w:rPr>
              <w:t xml:space="preserve"> (PAS- реакція, </w:t>
            </w:r>
            <w:proofErr w:type="spellStart"/>
            <w:r w:rsidRPr="00520861">
              <w:rPr>
                <w:rFonts w:eastAsia="Calibri"/>
                <w:sz w:val="28"/>
                <w:szCs w:val="28"/>
              </w:rPr>
              <w:t>ум.од.опт</w:t>
            </w:r>
            <w:proofErr w:type="spellEnd"/>
            <w:r w:rsidRPr="00520861">
              <w:rPr>
                <w:rFonts w:eastAsia="Calibri"/>
                <w:sz w:val="28"/>
                <w:szCs w:val="28"/>
              </w:rPr>
              <w:t>. густини)</w:t>
            </w:r>
          </w:p>
        </w:tc>
      </w:tr>
      <w:tr w:rsidR="00CF641C" w:rsidRPr="00520861" w14:paraId="1AF86447"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hideMark/>
          </w:tcPr>
          <w:p w14:paraId="6CC0F9FA" w14:textId="77777777" w:rsidR="00CF641C" w:rsidRPr="00520861" w:rsidRDefault="00CF641C" w:rsidP="00292D2E">
            <w:pPr>
              <w:widowControl w:val="0"/>
              <w:spacing w:line="360" w:lineRule="auto"/>
              <w:contextualSpacing/>
              <w:rPr>
                <w:rFonts w:eastAsia="Calibri"/>
                <w:sz w:val="28"/>
                <w:szCs w:val="28"/>
              </w:rPr>
            </w:pPr>
            <w:r w:rsidRPr="00520861">
              <w:rPr>
                <w:rFonts w:eastAsia="Calibri"/>
                <w:sz w:val="28"/>
                <w:szCs w:val="28"/>
              </w:rPr>
              <w:t xml:space="preserve">Контроль </w:t>
            </w:r>
          </w:p>
        </w:tc>
        <w:tc>
          <w:tcPr>
            <w:tcW w:w="8647" w:type="dxa"/>
            <w:tcBorders>
              <w:top w:val="single" w:sz="4" w:space="0" w:color="auto"/>
              <w:left w:val="single" w:sz="4" w:space="0" w:color="auto"/>
              <w:bottom w:val="single" w:sz="4" w:space="0" w:color="auto"/>
              <w:right w:val="single" w:sz="4" w:space="0" w:color="auto"/>
            </w:tcBorders>
          </w:tcPr>
          <w:p w14:paraId="4242E282"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 xml:space="preserve">0,096 (0,124; 0,086) </w:t>
            </w:r>
          </w:p>
        </w:tc>
      </w:tr>
      <w:tr w:rsidR="00CF641C" w:rsidRPr="00520861" w14:paraId="6FE291BB"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tcPr>
          <w:p w14:paraId="462BC378" w14:textId="77777777" w:rsidR="00CF641C" w:rsidRPr="00520861" w:rsidRDefault="00CF641C" w:rsidP="00292D2E">
            <w:pPr>
              <w:widowControl w:val="0"/>
              <w:spacing w:line="360" w:lineRule="auto"/>
              <w:contextualSpacing/>
              <w:jc w:val="both"/>
              <w:rPr>
                <w:sz w:val="28"/>
                <w:szCs w:val="28"/>
              </w:rPr>
            </w:pPr>
            <w:r w:rsidRPr="00520861">
              <w:rPr>
                <w:sz w:val="28"/>
                <w:szCs w:val="28"/>
              </w:rPr>
              <w:t>Група 1</w:t>
            </w:r>
          </w:p>
        </w:tc>
        <w:tc>
          <w:tcPr>
            <w:tcW w:w="8647" w:type="dxa"/>
            <w:tcBorders>
              <w:top w:val="single" w:sz="4" w:space="0" w:color="auto"/>
              <w:left w:val="single" w:sz="4" w:space="0" w:color="auto"/>
              <w:bottom w:val="single" w:sz="4" w:space="0" w:color="auto"/>
              <w:right w:val="single" w:sz="4" w:space="0" w:color="auto"/>
            </w:tcBorders>
          </w:tcPr>
          <w:p w14:paraId="17F6BDF8"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 xml:space="preserve">0,101 (0,124; 0,093),  </w:t>
            </w:r>
            <w:r w:rsidRPr="00520861">
              <w:rPr>
                <w:i/>
                <w:sz w:val="28"/>
                <w:szCs w:val="28"/>
              </w:rPr>
              <w:t>p</w:t>
            </w:r>
            <w:r w:rsidRPr="00520861">
              <w:rPr>
                <w:sz w:val="28"/>
                <w:szCs w:val="28"/>
              </w:rPr>
              <w:t>=0,3643</w:t>
            </w:r>
          </w:p>
        </w:tc>
      </w:tr>
      <w:tr w:rsidR="00CF641C" w:rsidRPr="00520861" w14:paraId="2C7F7A89"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tcPr>
          <w:p w14:paraId="61FDAD71" w14:textId="77777777" w:rsidR="00CF641C" w:rsidRPr="00520861" w:rsidRDefault="00CF641C" w:rsidP="00292D2E">
            <w:pPr>
              <w:widowControl w:val="0"/>
              <w:spacing w:line="360" w:lineRule="auto"/>
              <w:contextualSpacing/>
              <w:jc w:val="both"/>
              <w:rPr>
                <w:sz w:val="28"/>
                <w:szCs w:val="28"/>
              </w:rPr>
            </w:pPr>
            <w:r w:rsidRPr="00520861">
              <w:rPr>
                <w:sz w:val="28"/>
                <w:szCs w:val="28"/>
              </w:rPr>
              <w:t>Група 2</w:t>
            </w:r>
          </w:p>
        </w:tc>
        <w:tc>
          <w:tcPr>
            <w:tcW w:w="8647" w:type="dxa"/>
            <w:tcBorders>
              <w:top w:val="single" w:sz="4" w:space="0" w:color="auto"/>
              <w:left w:val="single" w:sz="4" w:space="0" w:color="auto"/>
              <w:bottom w:val="single" w:sz="4" w:space="0" w:color="auto"/>
              <w:right w:val="single" w:sz="4" w:space="0" w:color="auto"/>
            </w:tcBorders>
          </w:tcPr>
          <w:p w14:paraId="5BF3A14A"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0,123</w:t>
            </w:r>
            <w:r w:rsidRPr="00520861">
              <w:rPr>
                <w:rFonts w:eastAsia="Calibri"/>
                <w:sz w:val="28"/>
                <w:szCs w:val="28"/>
                <w:lang w:eastAsia="en-US"/>
              </w:rPr>
              <w:t>*</w:t>
            </w:r>
            <w:r w:rsidRPr="00520861">
              <w:rPr>
                <w:rFonts w:eastAsiaTheme="minorHAnsi"/>
                <w:sz w:val="28"/>
                <w:szCs w:val="28"/>
                <w:lang w:eastAsia="en-US"/>
              </w:rPr>
              <w:t xml:space="preserve"> (0,151; 0,107), </w:t>
            </w:r>
            <w:r w:rsidRPr="00520861">
              <w:rPr>
                <w:i/>
                <w:sz w:val="28"/>
                <w:szCs w:val="28"/>
              </w:rPr>
              <w:t>p</w:t>
            </w:r>
            <w:r w:rsidRPr="00520861">
              <w:rPr>
                <w:sz w:val="28"/>
                <w:szCs w:val="28"/>
              </w:rPr>
              <w:t>=0,0001</w:t>
            </w:r>
          </w:p>
        </w:tc>
      </w:tr>
      <w:tr w:rsidR="00CF641C" w:rsidRPr="00520861" w14:paraId="11D77AE4" w14:textId="77777777" w:rsidTr="00292D2E">
        <w:trPr>
          <w:trHeight w:val="120"/>
          <w:jc w:val="center"/>
        </w:trPr>
        <w:tc>
          <w:tcPr>
            <w:tcW w:w="1413" w:type="dxa"/>
            <w:tcBorders>
              <w:top w:val="single" w:sz="4" w:space="0" w:color="auto"/>
              <w:left w:val="single" w:sz="4" w:space="0" w:color="auto"/>
              <w:bottom w:val="single" w:sz="4" w:space="0" w:color="auto"/>
              <w:right w:val="single" w:sz="4" w:space="0" w:color="auto"/>
            </w:tcBorders>
            <w:hideMark/>
          </w:tcPr>
          <w:p w14:paraId="318CADC4"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3 </w:t>
            </w:r>
          </w:p>
        </w:tc>
        <w:tc>
          <w:tcPr>
            <w:tcW w:w="8647" w:type="dxa"/>
            <w:tcBorders>
              <w:top w:val="single" w:sz="4" w:space="0" w:color="auto"/>
              <w:left w:val="single" w:sz="4" w:space="0" w:color="auto"/>
              <w:bottom w:val="single" w:sz="4" w:space="0" w:color="auto"/>
              <w:right w:val="single" w:sz="4" w:space="0" w:color="auto"/>
            </w:tcBorders>
          </w:tcPr>
          <w:p w14:paraId="7CF3036E"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0,083</w:t>
            </w:r>
            <w:r w:rsidRPr="00520861">
              <w:rPr>
                <w:rFonts w:eastAsia="Calibri"/>
                <w:sz w:val="28"/>
                <w:szCs w:val="28"/>
                <w:lang w:eastAsia="en-US"/>
              </w:rPr>
              <w:t>*</w:t>
            </w:r>
            <w:r w:rsidRPr="00520861">
              <w:rPr>
                <w:rFonts w:eastAsiaTheme="minorHAnsi"/>
                <w:sz w:val="28"/>
                <w:szCs w:val="28"/>
                <w:lang w:eastAsia="en-US"/>
              </w:rPr>
              <w:t xml:space="preserve"> (0,100; 0,061), </w:t>
            </w:r>
            <w:r w:rsidRPr="00520861">
              <w:rPr>
                <w:i/>
                <w:sz w:val="28"/>
                <w:szCs w:val="28"/>
              </w:rPr>
              <w:t>p</w:t>
            </w:r>
            <w:r w:rsidRPr="00520861">
              <w:rPr>
                <w:sz w:val="28"/>
                <w:szCs w:val="28"/>
              </w:rPr>
              <w:t>=0,0026</w:t>
            </w:r>
          </w:p>
        </w:tc>
      </w:tr>
      <w:tr w:rsidR="00CF641C" w:rsidRPr="00520861" w14:paraId="1FAAD39E" w14:textId="77777777" w:rsidTr="00292D2E">
        <w:trPr>
          <w:jc w:val="center"/>
        </w:trPr>
        <w:tc>
          <w:tcPr>
            <w:tcW w:w="1413" w:type="dxa"/>
            <w:tcBorders>
              <w:top w:val="single" w:sz="4" w:space="0" w:color="auto"/>
              <w:left w:val="single" w:sz="4" w:space="0" w:color="auto"/>
              <w:bottom w:val="single" w:sz="4" w:space="0" w:color="auto"/>
              <w:right w:val="single" w:sz="4" w:space="0" w:color="auto"/>
            </w:tcBorders>
            <w:hideMark/>
          </w:tcPr>
          <w:p w14:paraId="12922DE9" w14:textId="77777777" w:rsidR="00CF641C" w:rsidRPr="00520861" w:rsidRDefault="00CF641C" w:rsidP="00292D2E">
            <w:pPr>
              <w:widowControl w:val="0"/>
              <w:spacing w:line="360" w:lineRule="auto"/>
              <w:contextualSpacing/>
              <w:jc w:val="both"/>
              <w:rPr>
                <w:sz w:val="28"/>
                <w:szCs w:val="28"/>
              </w:rPr>
            </w:pPr>
            <w:r w:rsidRPr="00520861">
              <w:rPr>
                <w:sz w:val="28"/>
                <w:szCs w:val="28"/>
              </w:rPr>
              <w:t xml:space="preserve">Група 4 </w:t>
            </w:r>
          </w:p>
        </w:tc>
        <w:tc>
          <w:tcPr>
            <w:tcW w:w="8647" w:type="dxa"/>
            <w:tcBorders>
              <w:top w:val="single" w:sz="4" w:space="0" w:color="auto"/>
              <w:left w:val="single" w:sz="4" w:space="0" w:color="auto"/>
              <w:bottom w:val="single" w:sz="4" w:space="0" w:color="auto"/>
              <w:right w:val="single" w:sz="4" w:space="0" w:color="auto"/>
            </w:tcBorders>
          </w:tcPr>
          <w:p w14:paraId="0CF7F626" w14:textId="77777777" w:rsidR="00CF641C" w:rsidRPr="00520861" w:rsidRDefault="00CF641C" w:rsidP="00292D2E">
            <w:pPr>
              <w:widowControl w:val="0"/>
              <w:spacing w:line="360" w:lineRule="auto"/>
              <w:contextualSpacing/>
              <w:jc w:val="center"/>
              <w:rPr>
                <w:rFonts w:eastAsiaTheme="minorHAnsi"/>
                <w:sz w:val="28"/>
                <w:szCs w:val="28"/>
                <w:lang w:eastAsia="en-US"/>
              </w:rPr>
            </w:pPr>
            <w:r w:rsidRPr="00520861">
              <w:rPr>
                <w:rFonts w:eastAsiaTheme="minorHAnsi"/>
                <w:sz w:val="28"/>
                <w:szCs w:val="28"/>
                <w:lang w:eastAsia="en-US"/>
              </w:rPr>
              <w:t>0,094</w:t>
            </w:r>
            <w:r w:rsidRPr="00520861">
              <w:rPr>
                <w:rFonts w:eastAsia="Calibri"/>
                <w:sz w:val="28"/>
                <w:szCs w:val="28"/>
                <w:lang w:eastAsia="en-US"/>
              </w:rPr>
              <w:t>*</w:t>
            </w:r>
            <w:r w:rsidRPr="00520861">
              <w:rPr>
                <w:rFonts w:eastAsiaTheme="minorHAnsi"/>
                <w:sz w:val="28"/>
                <w:szCs w:val="28"/>
                <w:lang w:eastAsia="en-US"/>
              </w:rPr>
              <w:t xml:space="preserve"> (0,115; 0,079), </w:t>
            </w:r>
            <w:r w:rsidRPr="00520861">
              <w:rPr>
                <w:i/>
                <w:sz w:val="28"/>
                <w:szCs w:val="28"/>
              </w:rPr>
              <w:t>p</w:t>
            </w:r>
            <w:r w:rsidRPr="00520861">
              <w:rPr>
                <w:sz w:val="28"/>
                <w:szCs w:val="28"/>
              </w:rPr>
              <w:t>=0,0496</w:t>
            </w:r>
          </w:p>
        </w:tc>
      </w:tr>
    </w:tbl>
    <w:p w14:paraId="778516A2" w14:textId="77777777" w:rsidR="00CF641C" w:rsidRPr="00520861" w:rsidRDefault="00CF641C" w:rsidP="00B15C06">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з ймовірністю похибки </w:t>
      </w:r>
      <w:r w:rsidRPr="00520861">
        <w:rPr>
          <w:rFonts w:eastAsia="Calibri"/>
          <w:i/>
          <w:sz w:val="28"/>
          <w:szCs w:val="28"/>
          <w:lang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47C23492" w14:textId="77777777" w:rsidR="00CF641C" w:rsidRPr="00520861" w:rsidRDefault="00CF641C" w:rsidP="00B15C06">
      <w:pPr>
        <w:widowControl w:val="0"/>
        <w:spacing w:line="360" w:lineRule="auto"/>
        <w:ind w:firstLine="708"/>
        <w:contextualSpacing/>
        <w:jc w:val="both"/>
        <w:rPr>
          <w:rFonts w:eastAsia="Calibri"/>
          <w:sz w:val="28"/>
          <w:szCs w:val="28"/>
          <w:lang w:eastAsia="en-US"/>
        </w:rPr>
      </w:pPr>
    </w:p>
    <w:p w14:paraId="0067984A" w14:textId="77777777" w:rsidR="00CF641C" w:rsidRPr="00520861" w:rsidRDefault="00CF641C" w:rsidP="00292D2E">
      <w:pPr>
        <w:widowControl w:val="0"/>
        <w:spacing w:line="360" w:lineRule="auto"/>
        <w:ind w:firstLine="708"/>
        <w:contextualSpacing/>
        <w:jc w:val="both"/>
        <w:rPr>
          <w:rFonts w:eastAsia="Calibri"/>
          <w:color w:val="000000" w:themeColor="text1"/>
          <w:sz w:val="28"/>
          <w:szCs w:val="28"/>
          <w:lang w:eastAsia="en-US"/>
        </w:rPr>
      </w:pPr>
      <w:r w:rsidRPr="00520861">
        <w:rPr>
          <w:rFonts w:eastAsia="Calibri"/>
          <w:color w:val="000000" w:themeColor="text1"/>
          <w:sz w:val="28"/>
          <w:szCs w:val="28"/>
          <w:lang w:eastAsia="en-US"/>
        </w:rPr>
        <w:t xml:space="preserve">У тварин групи 4, по досягненню ними віку 6 місяців, уміст </w:t>
      </w:r>
      <w:proofErr w:type="spellStart"/>
      <w:r w:rsidRPr="00520861">
        <w:rPr>
          <w:rFonts w:eastAsia="Calibri"/>
          <w:color w:val="000000" w:themeColor="text1"/>
          <w:sz w:val="28"/>
          <w:szCs w:val="28"/>
          <w:lang w:eastAsia="en-US"/>
        </w:rPr>
        <w:t>глікопротеїдів</w:t>
      </w:r>
      <w:proofErr w:type="spellEnd"/>
      <w:r w:rsidRPr="00520861">
        <w:rPr>
          <w:rFonts w:eastAsia="Calibri"/>
          <w:color w:val="000000" w:themeColor="text1"/>
          <w:sz w:val="28"/>
          <w:szCs w:val="28"/>
          <w:lang w:eastAsia="en-US"/>
        </w:rPr>
        <w:t xml:space="preserve"> у кістковій тканині наближається до показників тварин групи контролю, але все ж таки є вірогідно меншим за такі (табл. 3.19).</w:t>
      </w:r>
    </w:p>
    <w:p w14:paraId="2149FACB" w14:textId="77777777" w:rsidR="00CF641C" w:rsidRPr="00520861" w:rsidRDefault="00CF641C" w:rsidP="00B15C06">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Отже, у 6-місячних тварин ОГ спостерігаються морфологічні особливості покривного епітелію слизової оболонки порожнини рота і </w:t>
      </w:r>
      <w:proofErr w:type="spellStart"/>
      <w:r w:rsidRPr="00520861">
        <w:rPr>
          <w:rFonts w:eastAsia="Calibri"/>
          <w:sz w:val="28"/>
          <w:szCs w:val="28"/>
          <w:lang w:eastAsia="en-US"/>
        </w:rPr>
        <w:t>гландулярного</w:t>
      </w:r>
      <w:proofErr w:type="spellEnd"/>
      <w:r w:rsidRPr="00520861">
        <w:rPr>
          <w:rFonts w:eastAsia="Calibri"/>
          <w:sz w:val="28"/>
          <w:szCs w:val="28"/>
          <w:lang w:eastAsia="en-US"/>
        </w:rPr>
        <w:t xml:space="preserve"> епітелію малих слинних залоз. Ці зміни можуть бути </w:t>
      </w:r>
      <w:proofErr w:type="spellStart"/>
      <w:r w:rsidRPr="00520861">
        <w:rPr>
          <w:rFonts w:eastAsia="Calibri"/>
          <w:sz w:val="28"/>
          <w:szCs w:val="28"/>
          <w:lang w:eastAsia="en-US"/>
        </w:rPr>
        <w:t>преморбідним</w:t>
      </w:r>
      <w:proofErr w:type="spellEnd"/>
      <w:r w:rsidRPr="00520861">
        <w:rPr>
          <w:rFonts w:eastAsia="Calibri"/>
          <w:sz w:val="28"/>
          <w:szCs w:val="28"/>
          <w:lang w:eastAsia="en-US"/>
        </w:rPr>
        <w:t xml:space="preserve"> фоном, який обумовлює більш тяжкий перебіг численних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за умови народження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з вираженим ВУ ожирінням. Висока інтенсивність </w:t>
      </w:r>
      <w:proofErr w:type="spellStart"/>
      <w:r w:rsidRPr="00520861">
        <w:rPr>
          <w:rFonts w:eastAsia="Calibri"/>
          <w:sz w:val="28"/>
          <w:szCs w:val="28"/>
          <w:lang w:eastAsia="en-US"/>
        </w:rPr>
        <w:t>проліферативних</w:t>
      </w:r>
      <w:proofErr w:type="spellEnd"/>
      <w:r w:rsidRPr="00520861">
        <w:rPr>
          <w:rFonts w:eastAsia="Calibri"/>
          <w:sz w:val="28"/>
          <w:szCs w:val="28"/>
          <w:lang w:eastAsia="en-US"/>
        </w:rPr>
        <w:t xml:space="preserve"> процесів у молодому та ранньому зрілому віці, яка спостерігається за наявності ВУ збільшеної маси тіла, може реалізуватися у вичерпаність </w:t>
      </w:r>
      <w:proofErr w:type="spellStart"/>
      <w:r w:rsidRPr="00520861">
        <w:rPr>
          <w:rFonts w:eastAsia="Calibri"/>
          <w:sz w:val="28"/>
          <w:szCs w:val="28"/>
          <w:lang w:eastAsia="en-US"/>
        </w:rPr>
        <w:t>компенсаторно</w:t>
      </w:r>
      <w:proofErr w:type="spellEnd"/>
      <w:r w:rsidRPr="00520861">
        <w:rPr>
          <w:rFonts w:eastAsia="Calibri"/>
          <w:sz w:val="28"/>
          <w:szCs w:val="28"/>
          <w:lang w:eastAsia="en-US"/>
        </w:rPr>
        <w:t>-пристосувальних процесів у дорослому віці.</w:t>
      </w:r>
    </w:p>
    <w:p w14:paraId="2E270229" w14:textId="77777777" w:rsidR="00CF641C" w:rsidRPr="00520861" w:rsidRDefault="00CF641C" w:rsidP="00292D2E">
      <w:pPr>
        <w:widowControl w:val="0"/>
        <w:spacing w:line="360" w:lineRule="auto"/>
        <w:ind w:firstLine="709"/>
        <w:jc w:val="both"/>
        <w:rPr>
          <w:rFonts w:eastAsia="Calibri"/>
          <w:b/>
          <w:bCs/>
          <w:sz w:val="28"/>
          <w:szCs w:val="28"/>
          <w:lang w:eastAsia="en-US"/>
        </w:rPr>
      </w:pPr>
      <w:r w:rsidRPr="00520861">
        <w:rPr>
          <w:rFonts w:eastAsia="Calibri"/>
          <w:b/>
          <w:bCs/>
          <w:sz w:val="28"/>
          <w:szCs w:val="28"/>
          <w:lang w:eastAsia="en-US"/>
        </w:rPr>
        <w:lastRenderedPageBreak/>
        <w:t xml:space="preserve">3.5. </w:t>
      </w:r>
      <w:proofErr w:type="spellStart"/>
      <w:r w:rsidRPr="00520861">
        <w:rPr>
          <w:rFonts w:eastAsia="Calibri"/>
          <w:b/>
          <w:bCs/>
          <w:sz w:val="28"/>
          <w:szCs w:val="28"/>
          <w:lang w:eastAsia="en-US"/>
        </w:rPr>
        <w:t>Морфофункціональний</w:t>
      </w:r>
      <w:proofErr w:type="spellEnd"/>
      <w:r w:rsidRPr="00520861">
        <w:rPr>
          <w:rFonts w:eastAsia="Calibri"/>
          <w:b/>
          <w:bCs/>
          <w:sz w:val="28"/>
          <w:szCs w:val="28"/>
          <w:lang w:eastAsia="en-US"/>
        </w:rPr>
        <w:t xml:space="preserve"> стан тканин і органів </w:t>
      </w:r>
      <w:proofErr w:type="spellStart"/>
      <w:r w:rsidRPr="00520861">
        <w:rPr>
          <w:rFonts w:eastAsiaTheme="minorHAnsi"/>
          <w:b/>
          <w:sz w:val="28"/>
          <w:szCs w:val="28"/>
          <w:lang w:eastAsia="en-US"/>
        </w:rPr>
        <w:t>зубо</w:t>
      </w:r>
      <w:proofErr w:type="spellEnd"/>
      <w:r w:rsidRPr="00520861">
        <w:rPr>
          <w:rFonts w:eastAsiaTheme="minorHAnsi"/>
          <w:b/>
          <w:sz w:val="28"/>
          <w:szCs w:val="28"/>
          <w:lang w:eastAsia="en-US"/>
        </w:rPr>
        <w:t>-щелепної ділянки</w:t>
      </w:r>
      <w:r w:rsidRPr="00520861">
        <w:rPr>
          <w:rFonts w:eastAsiaTheme="minorHAnsi"/>
          <w:sz w:val="28"/>
          <w:szCs w:val="28"/>
          <w:lang w:eastAsia="en-US"/>
        </w:rPr>
        <w:t xml:space="preserve"> </w:t>
      </w:r>
      <w:r w:rsidRPr="00520861">
        <w:rPr>
          <w:rFonts w:eastAsiaTheme="minorHAnsi"/>
          <w:sz w:val="28"/>
          <w:szCs w:val="28"/>
          <w:lang w:eastAsia="en-US"/>
        </w:rPr>
        <w:br/>
      </w:r>
      <w:r w:rsidRPr="00520861">
        <w:rPr>
          <w:rFonts w:eastAsia="Calibri"/>
          <w:b/>
          <w:bCs/>
          <w:sz w:val="28"/>
          <w:szCs w:val="28"/>
          <w:lang w:eastAsia="en-US"/>
        </w:rPr>
        <w:t xml:space="preserve">у дванадцяти- та </w:t>
      </w:r>
      <w:proofErr w:type="spellStart"/>
      <w:r w:rsidRPr="00520861">
        <w:rPr>
          <w:rFonts w:eastAsia="Calibri"/>
          <w:b/>
          <w:bCs/>
          <w:sz w:val="28"/>
          <w:szCs w:val="28"/>
          <w:lang w:eastAsia="en-US"/>
        </w:rPr>
        <w:t>вісімнадцятимісячних</w:t>
      </w:r>
      <w:proofErr w:type="spellEnd"/>
      <w:r w:rsidRPr="00520861">
        <w:rPr>
          <w:rFonts w:eastAsia="Calibri"/>
          <w:b/>
          <w:bCs/>
          <w:sz w:val="28"/>
          <w:szCs w:val="28"/>
          <w:lang w:eastAsia="en-US"/>
        </w:rPr>
        <w:t xml:space="preserve"> щурів при експериментально </w:t>
      </w:r>
      <w:r w:rsidR="0032385A" w:rsidRPr="00520861">
        <w:rPr>
          <w:rFonts w:eastAsia="Calibri"/>
          <w:b/>
          <w:bCs/>
          <w:sz w:val="28"/>
          <w:szCs w:val="28"/>
          <w:lang w:eastAsia="en-US"/>
        </w:rPr>
        <w:br/>
      </w:r>
      <w:r w:rsidRPr="00520861">
        <w:rPr>
          <w:rFonts w:eastAsia="Calibri"/>
          <w:b/>
          <w:bCs/>
          <w:sz w:val="28"/>
          <w:szCs w:val="28"/>
          <w:lang w:eastAsia="en-US"/>
        </w:rPr>
        <w:t xml:space="preserve">змодельованій внутрішньоутробній </w:t>
      </w:r>
      <w:proofErr w:type="spellStart"/>
      <w:r w:rsidRPr="00520861">
        <w:rPr>
          <w:rFonts w:eastAsia="Calibri"/>
          <w:b/>
          <w:bCs/>
          <w:sz w:val="28"/>
          <w:szCs w:val="28"/>
          <w:lang w:eastAsia="en-US"/>
        </w:rPr>
        <w:t>макросомії</w:t>
      </w:r>
      <w:proofErr w:type="spellEnd"/>
    </w:p>
    <w:p w14:paraId="298A9A8A" w14:textId="77777777" w:rsidR="00CF641C" w:rsidRPr="00520861" w:rsidRDefault="00CF641C" w:rsidP="00292D2E">
      <w:pPr>
        <w:widowControl w:val="0"/>
        <w:spacing w:line="360" w:lineRule="auto"/>
        <w:ind w:left="709"/>
        <w:jc w:val="both"/>
        <w:rPr>
          <w:rFonts w:eastAsia="Calibri"/>
          <w:b/>
          <w:sz w:val="28"/>
          <w:szCs w:val="28"/>
          <w:lang w:eastAsia="en-US"/>
        </w:rPr>
      </w:pPr>
    </w:p>
    <w:p w14:paraId="45576A16"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У</w:t>
      </w:r>
      <w:r w:rsidRPr="00520861">
        <w:rPr>
          <w:rFonts w:eastAsia="Calibri"/>
          <w:b/>
          <w:sz w:val="28"/>
          <w:szCs w:val="28"/>
          <w:lang w:eastAsia="en-US"/>
        </w:rPr>
        <w:t xml:space="preserve"> </w:t>
      </w:r>
      <w:r w:rsidRPr="00520861">
        <w:rPr>
          <w:rFonts w:eastAsia="Calibri"/>
          <w:sz w:val="28"/>
          <w:szCs w:val="28"/>
          <w:lang w:eastAsia="en-US"/>
        </w:rPr>
        <w:t xml:space="preserve">віці 12 місяців щури,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проявляли тенденцію перевищення маси тіла відносно групи контролю, при цьому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групи 2 та групи 3 виявилися найбільшими за розміром у цьому віці, а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групи 4, виношені в умовах материнської гіпокінезії – дрібнішими, різниця з групою контролю не є вірогідною. Подібні відмінності від контрольних тварин збереглись у щурів усіх основних груп і по досягненню ними віку 18 місяців.</w:t>
      </w:r>
    </w:p>
    <w:p w14:paraId="458DB28C" w14:textId="77777777" w:rsidR="00CF641C" w:rsidRPr="00520861" w:rsidRDefault="00CF641C" w:rsidP="00292D2E">
      <w:pPr>
        <w:widowControl w:val="0"/>
        <w:spacing w:line="360" w:lineRule="auto"/>
        <w:ind w:firstLine="709"/>
        <w:jc w:val="both"/>
        <w:rPr>
          <w:rFonts w:eastAsia="Calibri"/>
          <w:spacing w:val="-1"/>
          <w:sz w:val="28"/>
          <w:szCs w:val="28"/>
          <w:lang w:eastAsia="en-US"/>
        </w:rPr>
      </w:pPr>
      <w:r w:rsidRPr="00520861">
        <w:rPr>
          <w:rFonts w:eastAsia="Calibri"/>
          <w:b/>
          <w:sz w:val="28"/>
          <w:szCs w:val="28"/>
          <w:lang w:eastAsia="en-US"/>
        </w:rPr>
        <w:t>3.5.1. Стан пульпи та твердих тканин жувальних зубів</w:t>
      </w:r>
      <w:r w:rsidRPr="00520861">
        <w:rPr>
          <w:rFonts w:eastAsia="Calibri"/>
          <w:b/>
          <w:spacing w:val="-1"/>
          <w:sz w:val="28"/>
          <w:szCs w:val="28"/>
          <w:lang w:eastAsia="en-US"/>
        </w:rPr>
        <w:t xml:space="preserve">. </w:t>
      </w:r>
      <w:r w:rsidRPr="00520861">
        <w:rPr>
          <w:rFonts w:eastAsia="Calibri"/>
          <w:spacing w:val="-1"/>
          <w:sz w:val="28"/>
          <w:szCs w:val="28"/>
          <w:lang w:eastAsia="en-US"/>
        </w:rPr>
        <w:t>Пульпа молярів у більшості 12-місячних тварин групи контролю добре розвинена</w:t>
      </w:r>
      <w:r w:rsidRPr="00520861">
        <w:rPr>
          <w:rFonts w:eastAsia="Calibri"/>
          <w:spacing w:val="-1"/>
          <w:sz w:val="28"/>
          <w:szCs w:val="28"/>
          <w:lang w:val="ru-RU" w:eastAsia="en-US"/>
        </w:rPr>
        <w:t xml:space="preserve"> </w:t>
      </w:r>
      <w:r w:rsidRPr="00520861">
        <w:rPr>
          <w:rFonts w:eastAsia="Calibri"/>
          <w:spacing w:val="-1"/>
          <w:sz w:val="28"/>
          <w:szCs w:val="28"/>
          <w:lang w:eastAsia="en-US"/>
        </w:rPr>
        <w:t>(</w:t>
      </w:r>
      <w:r w:rsidRPr="00520861">
        <w:rPr>
          <w:rFonts w:eastAsia="Calibri"/>
          <w:bCs/>
          <w:spacing w:val="-1"/>
          <w:sz w:val="28"/>
          <w:szCs w:val="28"/>
          <w:lang w:eastAsia="en-US"/>
        </w:rPr>
        <w:t>рис. 3.31</w:t>
      </w:r>
      <w:r w:rsidRPr="00520861">
        <w:rPr>
          <w:rFonts w:eastAsia="Calibri"/>
          <w:bCs/>
          <w:spacing w:val="-1"/>
          <w:sz w:val="28"/>
          <w:szCs w:val="28"/>
          <w:lang w:val="en-US" w:eastAsia="en-US"/>
        </w:rPr>
        <w:t>a</w:t>
      </w:r>
      <w:r w:rsidRPr="00520861">
        <w:rPr>
          <w:rFonts w:eastAsia="Calibri"/>
          <w:spacing w:val="-1"/>
          <w:sz w:val="28"/>
          <w:szCs w:val="28"/>
          <w:lang w:eastAsia="en-US"/>
        </w:rPr>
        <w:t xml:space="preserve">), без ознак запалення, колагенових волокон небагато, тіла </w:t>
      </w:r>
      <w:proofErr w:type="spellStart"/>
      <w:r w:rsidRPr="00520861">
        <w:rPr>
          <w:rFonts w:eastAsia="Calibri"/>
          <w:spacing w:val="-1"/>
          <w:sz w:val="28"/>
          <w:szCs w:val="28"/>
          <w:lang w:eastAsia="en-US"/>
        </w:rPr>
        <w:t>одонтобластів</w:t>
      </w:r>
      <w:proofErr w:type="spellEnd"/>
      <w:r w:rsidRPr="00520861">
        <w:rPr>
          <w:rFonts w:eastAsia="Calibri"/>
          <w:spacing w:val="-1"/>
          <w:sz w:val="28"/>
          <w:szCs w:val="28"/>
          <w:lang w:eastAsia="en-US"/>
        </w:rPr>
        <w:t xml:space="preserve"> багаторядні</w:t>
      </w:r>
      <w:r w:rsidRPr="00520861">
        <w:rPr>
          <w:rFonts w:eastAsia="Calibri"/>
          <w:spacing w:val="-1"/>
          <w:sz w:val="28"/>
          <w:szCs w:val="28"/>
          <w:lang w:val="ru-RU" w:eastAsia="en-US"/>
        </w:rPr>
        <w:t xml:space="preserve"> [59]</w:t>
      </w:r>
      <w:r w:rsidRPr="00520861">
        <w:rPr>
          <w:rFonts w:eastAsia="Calibri"/>
          <w:spacing w:val="-1"/>
          <w:sz w:val="28"/>
          <w:szCs w:val="28"/>
          <w:lang w:eastAsia="en-US"/>
        </w:rPr>
        <w:t xml:space="preserve">. </w:t>
      </w:r>
    </w:p>
    <w:p w14:paraId="6807758E" w14:textId="77777777" w:rsidR="00CF641C" w:rsidRPr="00520861" w:rsidRDefault="00CF641C" w:rsidP="00292D2E">
      <w:pPr>
        <w:widowControl w:val="0"/>
        <w:spacing w:line="360" w:lineRule="auto"/>
        <w:ind w:firstLine="709"/>
        <w:jc w:val="both"/>
        <w:rPr>
          <w:rFonts w:eastAsia="Calibri"/>
          <w:b/>
          <w:sz w:val="28"/>
          <w:szCs w:val="28"/>
          <w:lang w:eastAsia="en-US"/>
        </w:rPr>
      </w:pPr>
      <w:r w:rsidRPr="00520861">
        <w:rPr>
          <w:rFonts w:eastAsia="Calibri"/>
          <w:sz w:val="28"/>
          <w:szCs w:val="28"/>
          <w:lang w:eastAsia="en-US"/>
        </w:rPr>
        <w:t xml:space="preserve">Утім, </w:t>
      </w:r>
      <w:r w:rsidRPr="00520861">
        <w:rPr>
          <w:rFonts w:eastAsiaTheme="minorHAnsi"/>
          <w:sz w:val="28"/>
          <w:szCs w:val="28"/>
          <w:lang w:eastAsia="en-US"/>
        </w:rPr>
        <w:t>трапляються</w:t>
      </w:r>
      <w:r w:rsidRPr="00520861">
        <w:rPr>
          <w:rFonts w:eastAsia="Calibri"/>
          <w:sz w:val="28"/>
          <w:szCs w:val="28"/>
          <w:lang w:eastAsia="en-US"/>
        </w:rPr>
        <w:t xml:space="preserve"> тварини, пульпа жувальних зубів яких місцями втратила </w:t>
      </w:r>
      <w:proofErr w:type="spellStart"/>
      <w:r w:rsidRPr="00520861">
        <w:rPr>
          <w:rFonts w:eastAsia="Calibri"/>
          <w:sz w:val="28"/>
          <w:szCs w:val="28"/>
          <w:lang w:eastAsia="en-US"/>
        </w:rPr>
        <w:t>одонтобластичний</w:t>
      </w:r>
      <w:proofErr w:type="spellEnd"/>
      <w:r w:rsidRPr="00520861">
        <w:rPr>
          <w:rFonts w:eastAsia="Calibri"/>
          <w:sz w:val="28"/>
          <w:szCs w:val="28"/>
          <w:lang w:eastAsia="en-US"/>
        </w:rPr>
        <w:t xml:space="preserve"> шар.</w:t>
      </w:r>
      <w:r w:rsidRPr="00520861">
        <w:rPr>
          <w:rFonts w:eastAsia="Calibri"/>
          <w:sz w:val="28"/>
          <w:szCs w:val="28"/>
          <w:lang w:val="ru-RU" w:eastAsia="en-US"/>
        </w:rPr>
        <w:t xml:space="preserve"> </w:t>
      </w:r>
      <w:r w:rsidRPr="00520861">
        <w:rPr>
          <w:rFonts w:eastAsia="Calibri"/>
          <w:sz w:val="28"/>
          <w:szCs w:val="28"/>
          <w:lang w:eastAsia="en-US"/>
        </w:rPr>
        <w:t xml:space="preserve">У переважної більшості контрольних тварин віком 18 місяців пульпа залишається збереженою. Судини МЦР добре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У контрольних тварин віком 12 та 18 місяців медіанні значення розмірів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периферійного шару пульпи зіставні (</w:t>
      </w:r>
      <w:r w:rsidRPr="00520861">
        <w:rPr>
          <w:rFonts w:eastAsia="Calibri"/>
          <w:bCs/>
          <w:sz w:val="28"/>
          <w:szCs w:val="28"/>
          <w:lang w:eastAsia="en-US"/>
        </w:rPr>
        <w:t>табл. 3.20)</w:t>
      </w:r>
      <w:r w:rsidRPr="00520861">
        <w:rPr>
          <w:rFonts w:eastAsia="Calibri"/>
          <w:sz w:val="28"/>
          <w:szCs w:val="28"/>
          <w:lang w:eastAsia="en-US"/>
        </w:rPr>
        <w:t xml:space="preserve">. </w:t>
      </w:r>
    </w:p>
    <w:p w14:paraId="0135BA7B"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контрольних тварин у віці 18 місяців дентин також у задовільному стані. При аналізі результатів гістохімічної реакції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w:t>
      </w:r>
      <w:r w:rsidRPr="00520861">
        <w:rPr>
          <w:rFonts w:eastAsia="Calibri"/>
          <w:bCs/>
          <w:sz w:val="28"/>
          <w:szCs w:val="28"/>
          <w:lang w:eastAsia="en-US"/>
        </w:rPr>
        <w:t>табл. 3.21</w:t>
      </w:r>
      <w:r w:rsidRPr="00520861">
        <w:rPr>
          <w:rFonts w:eastAsia="Calibri"/>
          <w:sz w:val="28"/>
          <w:szCs w:val="28"/>
          <w:lang w:eastAsia="en-US"/>
        </w:rPr>
        <w:t xml:space="preserve">) простежується підвищення інтенсивності забарвлювання </w:t>
      </w:r>
      <w:proofErr w:type="spellStart"/>
      <w:r w:rsidRPr="00520861">
        <w:rPr>
          <w:rFonts w:eastAsia="Calibri"/>
          <w:sz w:val="28"/>
          <w:szCs w:val="28"/>
          <w:lang w:eastAsia="en-US"/>
        </w:rPr>
        <w:t>галоціаніном</w:t>
      </w:r>
      <w:proofErr w:type="spellEnd"/>
      <w:r w:rsidRPr="00520861">
        <w:rPr>
          <w:rFonts w:eastAsia="Calibri"/>
          <w:sz w:val="28"/>
          <w:szCs w:val="28"/>
          <w:lang w:eastAsia="en-US"/>
        </w:rPr>
        <w:t xml:space="preserve">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внутрішніх шарах дентину (</w:t>
      </w:r>
      <w:proofErr w:type="spellStart"/>
      <w:r w:rsidRPr="00520861">
        <w:rPr>
          <w:rFonts w:eastAsia="Calibri"/>
          <w:sz w:val="28"/>
          <w:szCs w:val="28"/>
          <w:lang w:eastAsia="en-US"/>
        </w:rPr>
        <w:t>навколопульпарний</w:t>
      </w:r>
      <w:proofErr w:type="spellEnd"/>
      <w:r w:rsidRPr="00520861">
        <w:rPr>
          <w:rFonts w:eastAsia="Calibri"/>
          <w:sz w:val="28"/>
          <w:szCs w:val="28"/>
          <w:lang w:eastAsia="en-US"/>
        </w:rPr>
        <w:t xml:space="preserve"> дентин), порівняно із зовнішніми </w:t>
      </w:r>
      <w:r w:rsidRPr="00520861">
        <w:rPr>
          <w:rFonts w:eastAsia="Calibri"/>
          <w:sz w:val="28"/>
          <w:szCs w:val="28"/>
          <w:lang w:eastAsia="en-US"/>
        </w:rPr>
        <w:br/>
        <w:t xml:space="preserve">шарами. </w:t>
      </w:r>
    </w:p>
    <w:p w14:paraId="053FB7C3"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Виявилося, що вміст РНК у відростках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дуже різний: у коронковій частині зубів – високий, </w:t>
      </w:r>
      <w:proofErr w:type="spellStart"/>
      <w:r w:rsidRPr="00520861">
        <w:rPr>
          <w:rFonts w:eastAsia="Calibri"/>
          <w:sz w:val="28"/>
          <w:szCs w:val="28"/>
          <w:lang w:eastAsia="en-US"/>
        </w:rPr>
        <w:t>увздовж</w:t>
      </w:r>
      <w:proofErr w:type="spellEnd"/>
      <w:r w:rsidRPr="00520861">
        <w:rPr>
          <w:rFonts w:eastAsia="Calibri"/>
          <w:sz w:val="28"/>
          <w:szCs w:val="28"/>
          <w:lang w:eastAsia="en-US"/>
        </w:rPr>
        <w:t xml:space="preserve"> кореня – низький, на верхівці кореня зуба – трохи вищий, але також низький. У цих тварин, порівняно з віком 12 місяців, спостерігається незначне збільшення вмісту РНК у відростках, яке поєднується зі зменшенням кількості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пульпі та має компенсаторне значення.</w:t>
      </w:r>
      <w:r w:rsidRPr="00520861">
        <w:rPr>
          <w:rFonts w:eastAsia="Calibri"/>
          <w:color w:val="FF0000"/>
          <w:sz w:val="28"/>
          <w:szCs w:val="28"/>
          <w:lang w:eastAsia="en-US"/>
        </w:rPr>
        <w:t xml:space="preserve"> </w:t>
      </w:r>
      <w:r w:rsidRPr="00520861">
        <w:rPr>
          <w:rFonts w:eastAsia="Calibri"/>
          <w:sz w:val="28"/>
          <w:szCs w:val="28"/>
          <w:lang w:eastAsia="en-US"/>
        </w:rPr>
        <w:t xml:space="preserve">Саме морфометрія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w:t>
      </w:r>
      <w:r w:rsidRPr="00520861">
        <w:rPr>
          <w:rFonts w:eastAsia="Calibri"/>
          <w:bCs/>
          <w:sz w:val="28"/>
          <w:szCs w:val="28"/>
          <w:lang w:eastAsia="en-US"/>
        </w:rPr>
        <w:t>табл. 3.21</w:t>
      </w:r>
      <w:r w:rsidRPr="00520861">
        <w:rPr>
          <w:rFonts w:eastAsia="Calibri"/>
          <w:sz w:val="28"/>
          <w:szCs w:val="28"/>
          <w:lang w:eastAsia="en-US"/>
        </w:rPr>
        <w:t xml:space="preserve">) виявляє вікову </w:t>
      </w:r>
      <w:proofErr w:type="spellStart"/>
      <w:r w:rsidRPr="00520861">
        <w:rPr>
          <w:rFonts w:eastAsia="Calibri"/>
          <w:sz w:val="28"/>
          <w:szCs w:val="28"/>
          <w:lang w:eastAsia="en-US"/>
        </w:rPr>
        <w:t>атрофізацію</w:t>
      </w:r>
      <w:proofErr w:type="spellEnd"/>
      <w:r w:rsidRPr="00520861">
        <w:rPr>
          <w:rFonts w:eastAsia="Calibri"/>
          <w:sz w:val="28"/>
          <w:szCs w:val="28"/>
          <w:lang w:eastAsia="en-US"/>
        </w:rPr>
        <w:t xml:space="preserve"> пульпи та </w:t>
      </w:r>
      <w:r w:rsidRPr="00520861">
        <w:rPr>
          <w:rFonts w:eastAsia="Calibri"/>
          <w:sz w:val="28"/>
          <w:szCs w:val="28"/>
          <w:lang w:eastAsia="en-US"/>
        </w:rPr>
        <w:br/>
        <w:t xml:space="preserve">компенсаторне підвищення вмісту РНК у цитоплазмі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w:t>
      </w:r>
    </w:p>
    <w:p w14:paraId="7879545B" w14:textId="77777777" w:rsidR="00CF641C" w:rsidRPr="00520861" w:rsidRDefault="00CF641C" w:rsidP="00292D2E">
      <w:pPr>
        <w:widowControl w:val="0"/>
        <w:spacing w:line="360" w:lineRule="auto"/>
        <w:ind w:right="140"/>
        <w:jc w:val="center"/>
        <w:rPr>
          <w:rFonts w:eastAsia="Calibri"/>
          <w:spacing w:val="-6"/>
          <w:sz w:val="28"/>
          <w:szCs w:val="28"/>
          <w:lang w:eastAsia="en-US"/>
        </w:rPr>
      </w:pPr>
      <w:r w:rsidRPr="00520861">
        <w:rPr>
          <w:rFonts w:eastAsia="Calibri"/>
          <w:noProof/>
          <w:spacing w:val="-6"/>
          <w:sz w:val="28"/>
          <w:szCs w:val="28"/>
          <w:lang w:val="ru-RU"/>
        </w:rPr>
        <w:lastRenderedPageBreak/>
        <w:drawing>
          <wp:inline distT="0" distB="0" distL="0" distR="0" wp14:anchorId="2046BCCA" wp14:editId="54C55D82">
            <wp:extent cx="4857115" cy="1885950"/>
            <wp:effectExtent l="0" t="0" r="635" b="0"/>
            <wp:docPr id="49" name="Рисунок 49" descr="D:\тер стом\научн работа 1\дд друк\ на защиту\Маша\Рис\Рис3.3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descr="D:\тер стом\научн работа 1\дд друк\ на защиту\Маша\Рис\Рис3.33.jpg"/>
                    <pic:cNvPicPr preferRelativeResize="0">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857115" cy="1885950"/>
                    </a:xfrm>
                    <a:prstGeom prst="rect">
                      <a:avLst/>
                    </a:prstGeom>
                    <a:noFill/>
                    <a:ln>
                      <a:noFill/>
                    </a:ln>
                  </pic:spPr>
                </pic:pic>
              </a:graphicData>
            </a:graphic>
          </wp:inline>
        </w:drawing>
      </w:r>
    </w:p>
    <w:p w14:paraId="61A62C50" w14:textId="77777777" w:rsidR="00CF641C" w:rsidRPr="00520861" w:rsidRDefault="00CF641C" w:rsidP="00292D2E">
      <w:pPr>
        <w:widowControl w:val="0"/>
        <w:spacing w:line="360" w:lineRule="auto"/>
        <w:ind w:right="140" w:firstLine="709"/>
        <w:jc w:val="center"/>
        <w:rPr>
          <w:rFonts w:eastAsia="Calibri"/>
          <w:bCs/>
          <w:kern w:val="28"/>
          <w:sz w:val="28"/>
          <w:szCs w:val="28"/>
          <w:lang w:eastAsia="en-US"/>
        </w:rPr>
      </w:pPr>
      <w:r w:rsidRPr="00520861">
        <w:rPr>
          <w:rFonts w:eastAsia="Calibri"/>
          <w:kern w:val="28"/>
          <w:sz w:val="28"/>
          <w:szCs w:val="28"/>
          <w:lang w:eastAsia="en-US"/>
        </w:rPr>
        <w:t>Рис. 3.31.</w:t>
      </w:r>
      <w:r w:rsidRPr="00520861">
        <w:rPr>
          <w:rFonts w:eastAsia="Calibri"/>
          <w:b/>
          <w:kern w:val="28"/>
          <w:sz w:val="28"/>
          <w:szCs w:val="28"/>
          <w:lang w:eastAsia="en-US"/>
        </w:rPr>
        <w:t xml:space="preserve"> </w:t>
      </w:r>
      <w:r w:rsidRPr="00520861">
        <w:rPr>
          <w:rFonts w:eastAsia="Calibri"/>
          <w:bCs/>
          <w:kern w:val="28"/>
          <w:sz w:val="28"/>
          <w:szCs w:val="28"/>
          <w:lang w:eastAsia="en-US"/>
        </w:rPr>
        <w:t xml:space="preserve">Пульпа моляра нижньої щелепи 12-місячних щурів: </w:t>
      </w:r>
      <w:r w:rsidRPr="00520861">
        <w:rPr>
          <w:rFonts w:eastAsia="Calibri"/>
          <w:i/>
          <w:kern w:val="28"/>
          <w:sz w:val="28"/>
          <w:szCs w:val="28"/>
          <w:lang w:eastAsia="en-US"/>
        </w:rPr>
        <w:t>а</w:t>
      </w:r>
      <w:r w:rsidRPr="00520861">
        <w:rPr>
          <w:rFonts w:eastAsia="Calibri"/>
          <w:kern w:val="28"/>
          <w:sz w:val="28"/>
          <w:szCs w:val="28"/>
          <w:lang w:eastAsia="en-US"/>
        </w:rPr>
        <w:t>) –</w:t>
      </w:r>
      <w:r w:rsidRPr="00520861">
        <w:rPr>
          <w:rFonts w:eastAsia="Calibri"/>
          <w:b/>
          <w:kern w:val="28"/>
          <w:sz w:val="28"/>
          <w:szCs w:val="28"/>
          <w:lang w:eastAsia="en-US"/>
        </w:rPr>
        <w:t xml:space="preserve"> </w:t>
      </w:r>
      <w:r w:rsidRPr="00520861">
        <w:rPr>
          <w:rFonts w:eastAsia="Calibri"/>
          <w:bCs/>
          <w:kern w:val="28"/>
          <w:sz w:val="28"/>
          <w:szCs w:val="28"/>
          <w:lang w:eastAsia="en-US"/>
        </w:rPr>
        <w:t xml:space="preserve">групи контролю (тіла </w:t>
      </w:r>
      <w:proofErr w:type="spellStart"/>
      <w:r w:rsidRPr="00520861">
        <w:rPr>
          <w:rFonts w:eastAsia="Calibri"/>
          <w:bCs/>
          <w:kern w:val="28"/>
          <w:sz w:val="28"/>
          <w:szCs w:val="28"/>
          <w:lang w:eastAsia="en-US"/>
        </w:rPr>
        <w:t>одонтобластів</w:t>
      </w:r>
      <w:proofErr w:type="spellEnd"/>
      <w:r w:rsidRPr="00520861">
        <w:rPr>
          <w:rFonts w:eastAsia="Calibri"/>
          <w:bCs/>
          <w:kern w:val="28"/>
          <w:sz w:val="28"/>
          <w:szCs w:val="28"/>
          <w:lang w:eastAsia="en-US"/>
        </w:rPr>
        <w:t xml:space="preserve"> видовженої форми, розташовані в декілька рядів); </w:t>
      </w:r>
    </w:p>
    <w:p w14:paraId="3EFEE064" w14:textId="77777777" w:rsidR="00CF641C" w:rsidRPr="00520861" w:rsidRDefault="00CF641C" w:rsidP="00292D2E">
      <w:pPr>
        <w:widowControl w:val="0"/>
        <w:spacing w:line="360" w:lineRule="auto"/>
        <w:ind w:right="140"/>
        <w:jc w:val="center"/>
        <w:rPr>
          <w:rFonts w:eastAsia="Calibri"/>
          <w:bCs/>
          <w:kern w:val="28"/>
          <w:sz w:val="28"/>
          <w:szCs w:val="28"/>
          <w:lang w:eastAsia="en-US"/>
        </w:rPr>
      </w:pPr>
      <w:r w:rsidRPr="00520861">
        <w:rPr>
          <w:rFonts w:eastAsia="Calibri"/>
          <w:bCs/>
          <w:i/>
          <w:kern w:val="28"/>
          <w:sz w:val="28"/>
          <w:szCs w:val="28"/>
          <w:lang w:eastAsia="en-US"/>
        </w:rPr>
        <w:t>б</w:t>
      </w:r>
      <w:r w:rsidRPr="00520861">
        <w:rPr>
          <w:rFonts w:eastAsia="Calibri"/>
          <w:bCs/>
          <w:kern w:val="28"/>
          <w:sz w:val="28"/>
          <w:szCs w:val="28"/>
          <w:lang w:eastAsia="en-US"/>
        </w:rPr>
        <w:t>) – групи 4 (</w:t>
      </w:r>
      <w:proofErr w:type="spellStart"/>
      <w:r w:rsidRPr="00520861">
        <w:rPr>
          <w:rFonts w:eastAsia="Calibri"/>
          <w:bCs/>
          <w:kern w:val="28"/>
          <w:sz w:val="28"/>
          <w:szCs w:val="28"/>
          <w:lang w:eastAsia="en-US"/>
        </w:rPr>
        <w:t>одонтобласти</w:t>
      </w:r>
      <w:proofErr w:type="spellEnd"/>
      <w:r w:rsidRPr="00520861">
        <w:rPr>
          <w:rFonts w:eastAsia="Calibri"/>
          <w:bCs/>
          <w:kern w:val="28"/>
          <w:sz w:val="28"/>
          <w:szCs w:val="28"/>
          <w:lang w:eastAsia="en-US"/>
        </w:rPr>
        <w:t xml:space="preserve"> зменшеного розміру, округлої форми, збільшення кількості </w:t>
      </w:r>
      <w:proofErr w:type="spellStart"/>
      <w:r w:rsidRPr="00520861">
        <w:rPr>
          <w:rFonts w:eastAsia="Calibri"/>
          <w:bCs/>
          <w:kern w:val="28"/>
          <w:sz w:val="28"/>
          <w:szCs w:val="28"/>
          <w:lang w:eastAsia="en-US"/>
        </w:rPr>
        <w:t>фуксинофільного</w:t>
      </w:r>
      <w:proofErr w:type="spellEnd"/>
      <w:r w:rsidRPr="00520861">
        <w:rPr>
          <w:rFonts w:eastAsia="Calibri"/>
          <w:bCs/>
          <w:kern w:val="28"/>
          <w:sz w:val="28"/>
          <w:szCs w:val="28"/>
          <w:lang w:eastAsia="en-US"/>
        </w:rPr>
        <w:t xml:space="preserve"> колагену). Забарвлення </w:t>
      </w:r>
      <w:proofErr w:type="spellStart"/>
      <w:r w:rsidRPr="00520861">
        <w:rPr>
          <w:rFonts w:eastAsia="Calibri"/>
          <w:bCs/>
          <w:kern w:val="28"/>
          <w:sz w:val="28"/>
          <w:szCs w:val="28"/>
          <w:lang w:eastAsia="en-US"/>
        </w:rPr>
        <w:t>пікрофуксином</w:t>
      </w:r>
      <w:proofErr w:type="spellEnd"/>
      <w:r w:rsidRPr="00520861">
        <w:rPr>
          <w:rFonts w:eastAsia="Calibri"/>
          <w:bCs/>
          <w:kern w:val="28"/>
          <w:sz w:val="28"/>
          <w:szCs w:val="28"/>
          <w:lang w:eastAsia="en-US"/>
        </w:rPr>
        <w:t xml:space="preserve"> за ван </w:t>
      </w:r>
      <w:proofErr w:type="spellStart"/>
      <w:r w:rsidRPr="00520861">
        <w:rPr>
          <w:rFonts w:eastAsia="Calibri"/>
          <w:bCs/>
          <w:kern w:val="28"/>
          <w:sz w:val="28"/>
          <w:szCs w:val="28"/>
          <w:lang w:eastAsia="en-US"/>
        </w:rPr>
        <w:t>Гізоном</w:t>
      </w:r>
      <w:proofErr w:type="spellEnd"/>
      <w:r w:rsidRPr="00520861">
        <w:rPr>
          <w:rFonts w:eastAsia="Calibri"/>
          <w:bCs/>
          <w:kern w:val="28"/>
          <w:sz w:val="28"/>
          <w:szCs w:val="28"/>
          <w:lang w:eastAsia="en-US"/>
        </w:rPr>
        <w:t xml:space="preserve">; </w:t>
      </w:r>
    </w:p>
    <w:p w14:paraId="52F3224F" w14:textId="77777777" w:rsidR="00CF641C" w:rsidRPr="00520861" w:rsidRDefault="00CF641C" w:rsidP="00292D2E">
      <w:pPr>
        <w:widowControl w:val="0"/>
        <w:spacing w:line="360" w:lineRule="auto"/>
        <w:ind w:right="140"/>
        <w:jc w:val="center"/>
        <w:rPr>
          <w:rFonts w:eastAsia="Calibri"/>
          <w:bCs/>
          <w:kern w:val="28"/>
          <w:sz w:val="28"/>
          <w:szCs w:val="28"/>
          <w:lang w:eastAsia="en-US"/>
        </w:rPr>
      </w:pPr>
      <w:r w:rsidRPr="00520861">
        <w:rPr>
          <w:rFonts w:eastAsia="Calibri"/>
          <w:bCs/>
          <w:kern w:val="28"/>
          <w:sz w:val="28"/>
          <w:szCs w:val="28"/>
          <w:lang w:eastAsia="en-US"/>
        </w:rPr>
        <w:t xml:space="preserve">збільшення </w:t>
      </w:r>
      <w:r w:rsidRPr="00520861">
        <w:rPr>
          <w:rFonts w:eastAsia="Calibri"/>
          <w:kern w:val="28"/>
          <w:sz w:val="28"/>
          <w:szCs w:val="28"/>
          <w:lang w:eastAsia="en-US"/>
        </w:rPr>
        <w:sym w:font="Symbol" w:char="F0B4"/>
      </w:r>
      <w:r w:rsidRPr="00520861">
        <w:rPr>
          <w:rFonts w:eastAsia="Calibri"/>
          <w:bCs/>
          <w:kern w:val="28"/>
          <w:sz w:val="28"/>
          <w:szCs w:val="28"/>
          <w:lang w:eastAsia="en-US"/>
        </w:rPr>
        <w:t>400.</w:t>
      </w:r>
    </w:p>
    <w:p w14:paraId="54782390" w14:textId="77777777" w:rsidR="00CF641C" w:rsidRPr="00520861" w:rsidRDefault="00CF641C" w:rsidP="00292D2E">
      <w:pPr>
        <w:widowControl w:val="0"/>
        <w:spacing w:line="360" w:lineRule="auto"/>
        <w:jc w:val="right"/>
        <w:rPr>
          <w:rFonts w:eastAsia="Calibri"/>
          <w:i/>
          <w:sz w:val="28"/>
          <w:szCs w:val="28"/>
          <w:lang w:eastAsia="en-US"/>
        </w:rPr>
      </w:pPr>
    </w:p>
    <w:p w14:paraId="1FF9369D" w14:textId="77777777" w:rsidR="00CF641C" w:rsidRPr="00520861" w:rsidRDefault="00CF641C" w:rsidP="00292D2E">
      <w:pPr>
        <w:widowControl w:val="0"/>
        <w:spacing w:line="360" w:lineRule="auto"/>
        <w:jc w:val="right"/>
        <w:rPr>
          <w:rFonts w:eastAsia="Calibri"/>
          <w:i/>
          <w:sz w:val="28"/>
          <w:szCs w:val="28"/>
          <w:lang w:eastAsia="en-US"/>
        </w:rPr>
      </w:pPr>
      <w:r w:rsidRPr="00520861">
        <w:rPr>
          <w:rFonts w:eastAsia="Calibri"/>
          <w:i/>
          <w:sz w:val="28"/>
          <w:szCs w:val="28"/>
          <w:lang w:eastAsia="en-US"/>
        </w:rPr>
        <w:t xml:space="preserve">Таблиця 3.20 </w:t>
      </w:r>
    </w:p>
    <w:p w14:paraId="36B0DCB5" w14:textId="77777777" w:rsidR="00CF641C" w:rsidRPr="00520861" w:rsidRDefault="00CF641C" w:rsidP="00292D2E">
      <w:pPr>
        <w:widowControl w:val="0"/>
        <w:spacing w:line="360" w:lineRule="auto"/>
        <w:jc w:val="center"/>
        <w:rPr>
          <w:rFonts w:eastAsia="Calibri"/>
          <w:b/>
          <w:bCs/>
          <w:spacing w:val="-4"/>
          <w:sz w:val="28"/>
          <w:szCs w:val="28"/>
          <w:lang w:eastAsia="en-US"/>
        </w:rPr>
      </w:pPr>
      <w:r w:rsidRPr="00520861">
        <w:rPr>
          <w:rFonts w:eastAsia="Calibri"/>
          <w:b/>
          <w:sz w:val="28"/>
          <w:szCs w:val="28"/>
          <w:lang w:eastAsia="en-US"/>
        </w:rPr>
        <w:t xml:space="preserve">Медіанні значення </w:t>
      </w:r>
      <w:proofErr w:type="spellStart"/>
      <w:r w:rsidRPr="00520861">
        <w:rPr>
          <w:rFonts w:eastAsia="Calibri"/>
          <w:b/>
          <w:sz w:val="28"/>
          <w:szCs w:val="28"/>
          <w:lang w:eastAsia="en-US"/>
        </w:rPr>
        <w:t>Me</w:t>
      </w:r>
      <w:proofErr w:type="spellEnd"/>
      <w:r w:rsidRPr="00520861">
        <w:rPr>
          <w:rFonts w:eastAsia="Calibri"/>
          <w:b/>
          <w:sz w:val="28"/>
          <w:szCs w:val="28"/>
          <w:lang w:eastAsia="en-US"/>
        </w:rPr>
        <w:t xml:space="preserve"> (Q3; Q1) показників інтенсивності карієсу і площі тіл </w:t>
      </w:r>
      <w:proofErr w:type="spellStart"/>
      <w:r w:rsidRPr="00520861">
        <w:rPr>
          <w:rFonts w:eastAsia="Calibri"/>
          <w:b/>
          <w:sz w:val="28"/>
          <w:szCs w:val="28"/>
          <w:lang w:eastAsia="en-US"/>
        </w:rPr>
        <w:t>одонтобластів</w:t>
      </w:r>
      <w:proofErr w:type="spellEnd"/>
      <w:r w:rsidRPr="00520861">
        <w:rPr>
          <w:rFonts w:eastAsia="Calibri"/>
          <w:b/>
          <w:sz w:val="28"/>
          <w:szCs w:val="28"/>
          <w:lang w:eastAsia="en-US"/>
        </w:rPr>
        <w:t xml:space="preserve"> у групах експериментальних тварин </w:t>
      </w:r>
      <w:r w:rsidRPr="00520861">
        <w:rPr>
          <w:rFonts w:eastAsia="Calibri"/>
          <w:b/>
          <w:bCs/>
          <w:spacing w:val="-4"/>
          <w:sz w:val="28"/>
          <w:szCs w:val="28"/>
          <w:lang w:eastAsia="en-US"/>
        </w:rPr>
        <w:t>віком 12 та 18 місяців</w:t>
      </w:r>
    </w:p>
    <w:tbl>
      <w:tblPr>
        <w:tblW w:w="10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2289"/>
        <w:gridCol w:w="2126"/>
        <w:gridCol w:w="2276"/>
        <w:gridCol w:w="2126"/>
        <w:gridCol w:w="10"/>
      </w:tblGrid>
      <w:tr w:rsidR="00CF641C" w:rsidRPr="00520861" w14:paraId="5D5B8F6B" w14:textId="77777777" w:rsidTr="00292D2E">
        <w:trPr>
          <w:gridAfter w:val="1"/>
          <w:wAfter w:w="10" w:type="dxa"/>
        </w:trPr>
        <w:tc>
          <w:tcPr>
            <w:tcW w:w="1242" w:type="dxa"/>
            <w:vMerge w:val="restart"/>
            <w:tcBorders>
              <w:top w:val="single" w:sz="4" w:space="0" w:color="auto"/>
              <w:left w:val="single" w:sz="4" w:space="0" w:color="auto"/>
              <w:right w:val="single" w:sz="4" w:space="0" w:color="auto"/>
            </w:tcBorders>
            <w:shd w:val="clear" w:color="auto" w:fill="auto"/>
            <w:vAlign w:val="center"/>
          </w:tcPr>
          <w:p w14:paraId="3A0FE405" w14:textId="77777777" w:rsidR="00CF641C" w:rsidRPr="00520861" w:rsidRDefault="00CF641C" w:rsidP="00292D2E">
            <w:pPr>
              <w:widowControl w:val="0"/>
              <w:spacing w:line="360" w:lineRule="auto"/>
              <w:jc w:val="center"/>
              <w:rPr>
                <w:rFonts w:eastAsia="Calibri"/>
                <w:sz w:val="28"/>
                <w:szCs w:val="28"/>
              </w:rPr>
            </w:pPr>
            <w:r w:rsidRPr="00520861">
              <w:rPr>
                <w:sz w:val="28"/>
                <w:szCs w:val="28"/>
              </w:rPr>
              <w:t>Група</w:t>
            </w:r>
          </w:p>
        </w:tc>
        <w:tc>
          <w:tcPr>
            <w:tcW w:w="2289" w:type="dxa"/>
            <w:shd w:val="clear" w:color="auto" w:fill="auto"/>
          </w:tcPr>
          <w:p w14:paraId="0EAB6C9C"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Кількість каріозних зубів,</w:t>
            </w:r>
            <w:r w:rsidRPr="00520861">
              <w:rPr>
                <w:rFonts w:eastAsia="Calibri"/>
                <w:sz w:val="28"/>
                <w:szCs w:val="28"/>
                <w:lang w:val="en-US" w:eastAsia="en-US"/>
              </w:rPr>
              <w:t xml:space="preserve"> </w:t>
            </w:r>
            <w:r w:rsidRPr="00520861">
              <w:rPr>
                <w:rFonts w:eastAsia="Calibri"/>
                <w:i/>
                <w:sz w:val="28"/>
                <w:szCs w:val="28"/>
                <w:lang w:eastAsia="en-US"/>
              </w:rPr>
              <w:t>n</w:t>
            </w:r>
          </w:p>
        </w:tc>
        <w:tc>
          <w:tcPr>
            <w:tcW w:w="2126" w:type="dxa"/>
            <w:shd w:val="clear" w:color="auto" w:fill="auto"/>
          </w:tcPr>
          <w:p w14:paraId="61725983" w14:textId="77777777" w:rsidR="00CF641C" w:rsidRPr="00520861" w:rsidRDefault="00CF641C" w:rsidP="00292D2E">
            <w:pPr>
              <w:widowControl w:val="0"/>
              <w:spacing w:line="360" w:lineRule="auto"/>
              <w:jc w:val="center"/>
              <w:rPr>
                <w:sz w:val="28"/>
                <w:szCs w:val="28"/>
              </w:rPr>
            </w:pPr>
            <w:r w:rsidRPr="00520861">
              <w:rPr>
                <w:sz w:val="28"/>
                <w:szCs w:val="28"/>
              </w:rPr>
              <w:t xml:space="preserve">Площа тіла </w:t>
            </w:r>
            <w:proofErr w:type="spellStart"/>
            <w:r w:rsidRPr="00520861">
              <w:rPr>
                <w:sz w:val="28"/>
                <w:szCs w:val="28"/>
              </w:rPr>
              <w:t>одонтобластів</w:t>
            </w:r>
            <w:proofErr w:type="spellEnd"/>
            <w:r w:rsidRPr="00520861">
              <w:rPr>
                <w:sz w:val="28"/>
                <w:szCs w:val="28"/>
              </w:rPr>
              <w:t xml:space="preserve"> </w:t>
            </w:r>
          </w:p>
          <w:p w14:paraId="7AE0E34F" w14:textId="77777777" w:rsidR="00CF641C" w:rsidRPr="00520861" w:rsidRDefault="00CF641C" w:rsidP="00292D2E">
            <w:pPr>
              <w:widowControl w:val="0"/>
              <w:spacing w:line="360" w:lineRule="auto"/>
              <w:jc w:val="center"/>
              <w:rPr>
                <w:rFonts w:eastAsia="Calibri"/>
                <w:sz w:val="28"/>
                <w:szCs w:val="28"/>
                <w:lang w:eastAsia="en-US"/>
              </w:rPr>
            </w:pPr>
            <w:r w:rsidRPr="00520861">
              <w:rPr>
                <w:sz w:val="28"/>
                <w:szCs w:val="28"/>
              </w:rPr>
              <w:t>(м</w:t>
            </w:r>
            <w:r w:rsidRPr="00520861">
              <w:rPr>
                <w:sz w:val="28"/>
                <w:szCs w:val="28"/>
                <w:vertAlign w:val="superscript"/>
                <w:lang w:val="en-US"/>
              </w:rPr>
              <w:t>2</w:t>
            </w:r>
            <w:r w:rsidRPr="00520861">
              <w:rPr>
                <w:sz w:val="28"/>
                <w:szCs w:val="28"/>
              </w:rPr>
              <w:t>×</w:t>
            </w:r>
            <w:r w:rsidRPr="00520861">
              <w:rPr>
                <w:sz w:val="28"/>
                <w:szCs w:val="28"/>
                <w:lang w:val="en-US"/>
              </w:rPr>
              <w:t>10</w:t>
            </w:r>
            <w:r w:rsidRPr="00520861">
              <w:rPr>
                <w:sz w:val="28"/>
                <w:szCs w:val="28"/>
                <w:vertAlign w:val="superscript"/>
                <w:lang w:val="en-US"/>
              </w:rPr>
              <w:t>12</w:t>
            </w:r>
            <w:r w:rsidRPr="00520861">
              <w:rPr>
                <w:sz w:val="28"/>
                <w:szCs w:val="28"/>
              </w:rPr>
              <w:t>)</w:t>
            </w:r>
          </w:p>
        </w:tc>
        <w:tc>
          <w:tcPr>
            <w:tcW w:w="2276" w:type="dxa"/>
            <w:shd w:val="clear" w:color="auto" w:fill="auto"/>
          </w:tcPr>
          <w:p w14:paraId="207D3D0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Кількість каріозних зубів, </w:t>
            </w:r>
            <w:r w:rsidRPr="00520861">
              <w:rPr>
                <w:rFonts w:eastAsia="Calibri"/>
                <w:i/>
                <w:sz w:val="28"/>
                <w:szCs w:val="28"/>
                <w:lang w:val="en-US" w:eastAsia="en-US"/>
              </w:rPr>
              <w:t>n</w:t>
            </w:r>
          </w:p>
        </w:tc>
        <w:tc>
          <w:tcPr>
            <w:tcW w:w="2126" w:type="dxa"/>
            <w:shd w:val="clear" w:color="auto" w:fill="auto"/>
          </w:tcPr>
          <w:p w14:paraId="7F9BA5D6" w14:textId="77777777" w:rsidR="00CF641C" w:rsidRPr="00520861" w:rsidRDefault="00CF641C" w:rsidP="00292D2E">
            <w:pPr>
              <w:widowControl w:val="0"/>
              <w:spacing w:line="360" w:lineRule="auto"/>
              <w:jc w:val="center"/>
              <w:rPr>
                <w:sz w:val="28"/>
                <w:szCs w:val="28"/>
              </w:rPr>
            </w:pPr>
            <w:r w:rsidRPr="00520861">
              <w:rPr>
                <w:sz w:val="28"/>
                <w:szCs w:val="28"/>
              </w:rPr>
              <w:t xml:space="preserve">Площа тіла </w:t>
            </w:r>
            <w:proofErr w:type="spellStart"/>
            <w:r w:rsidRPr="00520861">
              <w:rPr>
                <w:sz w:val="28"/>
                <w:szCs w:val="28"/>
              </w:rPr>
              <w:t>одонтобластів</w:t>
            </w:r>
            <w:proofErr w:type="spellEnd"/>
            <w:r w:rsidRPr="00520861">
              <w:rPr>
                <w:sz w:val="28"/>
                <w:szCs w:val="28"/>
              </w:rPr>
              <w:t xml:space="preserve"> </w:t>
            </w:r>
          </w:p>
          <w:p w14:paraId="1135F097" w14:textId="77777777" w:rsidR="00CF641C" w:rsidRPr="00520861" w:rsidRDefault="00CF641C" w:rsidP="00292D2E">
            <w:pPr>
              <w:widowControl w:val="0"/>
              <w:spacing w:line="360" w:lineRule="auto"/>
              <w:jc w:val="center"/>
              <w:rPr>
                <w:rFonts w:eastAsia="Calibri"/>
                <w:sz w:val="28"/>
                <w:szCs w:val="28"/>
                <w:lang w:eastAsia="en-US"/>
              </w:rPr>
            </w:pPr>
            <w:r w:rsidRPr="00520861">
              <w:rPr>
                <w:sz w:val="28"/>
                <w:szCs w:val="28"/>
              </w:rPr>
              <w:t>(м</w:t>
            </w:r>
            <w:r w:rsidRPr="00520861">
              <w:rPr>
                <w:sz w:val="28"/>
                <w:szCs w:val="28"/>
                <w:vertAlign w:val="superscript"/>
                <w:lang w:val="en-US"/>
              </w:rPr>
              <w:t>2</w:t>
            </w:r>
            <w:r w:rsidRPr="00520861">
              <w:rPr>
                <w:sz w:val="28"/>
                <w:szCs w:val="28"/>
              </w:rPr>
              <w:t>×</w:t>
            </w:r>
            <w:r w:rsidRPr="00520861">
              <w:rPr>
                <w:sz w:val="28"/>
                <w:szCs w:val="28"/>
                <w:lang w:val="en-US"/>
              </w:rPr>
              <w:t>10</w:t>
            </w:r>
            <w:r w:rsidRPr="00520861">
              <w:rPr>
                <w:sz w:val="28"/>
                <w:szCs w:val="28"/>
                <w:vertAlign w:val="superscript"/>
                <w:lang w:val="en-US"/>
              </w:rPr>
              <w:t>12</w:t>
            </w:r>
            <w:r w:rsidRPr="00520861">
              <w:rPr>
                <w:sz w:val="28"/>
                <w:szCs w:val="28"/>
              </w:rPr>
              <w:t>)</w:t>
            </w:r>
          </w:p>
        </w:tc>
      </w:tr>
      <w:tr w:rsidR="00CF641C" w:rsidRPr="00520861" w14:paraId="2C660DB5" w14:textId="77777777" w:rsidTr="00292D2E">
        <w:tc>
          <w:tcPr>
            <w:tcW w:w="1242" w:type="dxa"/>
            <w:vMerge/>
            <w:shd w:val="clear" w:color="auto" w:fill="auto"/>
          </w:tcPr>
          <w:p w14:paraId="1C99EF6A" w14:textId="77777777" w:rsidR="00CF641C" w:rsidRPr="00520861" w:rsidRDefault="00CF641C" w:rsidP="00292D2E">
            <w:pPr>
              <w:widowControl w:val="0"/>
              <w:spacing w:line="360" w:lineRule="auto"/>
              <w:jc w:val="both"/>
              <w:rPr>
                <w:rFonts w:eastAsia="Calibri"/>
                <w:sz w:val="28"/>
                <w:szCs w:val="28"/>
                <w:lang w:eastAsia="en-US"/>
              </w:rPr>
            </w:pPr>
          </w:p>
        </w:tc>
        <w:tc>
          <w:tcPr>
            <w:tcW w:w="4415" w:type="dxa"/>
            <w:gridSpan w:val="2"/>
            <w:shd w:val="clear" w:color="auto" w:fill="auto"/>
          </w:tcPr>
          <w:p w14:paraId="58826C6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Тварини віком 12 місяців</w:t>
            </w:r>
          </w:p>
        </w:tc>
        <w:tc>
          <w:tcPr>
            <w:tcW w:w="4412" w:type="dxa"/>
            <w:gridSpan w:val="3"/>
            <w:shd w:val="clear" w:color="auto" w:fill="auto"/>
          </w:tcPr>
          <w:p w14:paraId="1E869746"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eastAsia="en-US"/>
              </w:rPr>
              <w:t>Тварини віком 18 місяців</w:t>
            </w:r>
          </w:p>
        </w:tc>
      </w:tr>
      <w:tr w:rsidR="00CF641C" w:rsidRPr="00520861" w14:paraId="04F3957C" w14:textId="77777777" w:rsidTr="00292D2E">
        <w:trPr>
          <w:gridAfter w:val="1"/>
          <w:wAfter w:w="10" w:type="dxa"/>
        </w:trPr>
        <w:tc>
          <w:tcPr>
            <w:tcW w:w="1242" w:type="dxa"/>
            <w:shd w:val="clear" w:color="auto" w:fill="auto"/>
          </w:tcPr>
          <w:p w14:paraId="622891D9" w14:textId="77777777" w:rsidR="00CF641C" w:rsidRPr="00520861" w:rsidRDefault="00CF641C" w:rsidP="00292D2E">
            <w:pPr>
              <w:widowControl w:val="0"/>
              <w:spacing w:line="360" w:lineRule="auto"/>
              <w:ind w:right="-136" w:hanging="142"/>
              <w:jc w:val="both"/>
              <w:rPr>
                <w:rFonts w:eastAsia="Calibri"/>
                <w:sz w:val="28"/>
                <w:szCs w:val="28"/>
                <w:lang w:eastAsia="en-US"/>
              </w:rPr>
            </w:pPr>
            <w:r w:rsidRPr="00520861">
              <w:rPr>
                <w:rFonts w:eastAsia="Calibri"/>
                <w:sz w:val="28"/>
                <w:szCs w:val="28"/>
                <w:lang w:eastAsia="en-US"/>
              </w:rPr>
              <w:t>Контроль</w:t>
            </w:r>
          </w:p>
        </w:tc>
        <w:tc>
          <w:tcPr>
            <w:tcW w:w="2289" w:type="dxa"/>
            <w:shd w:val="clear" w:color="auto" w:fill="auto"/>
          </w:tcPr>
          <w:p w14:paraId="49701B68"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6,00</w:t>
            </w:r>
            <w:r w:rsidRPr="00520861">
              <w:rPr>
                <w:rFonts w:eastAsia="Calibri"/>
                <w:sz w:val="28"/>
                <w:szCs w:val="28"/>
                <w:lang w:eastAsia="en-US"/>
              </w:rPr>
              <w:t xml:space="preserve"> (</w:t>
            </w:r>
            <w:r w:rsidRPr="00520861">
              <w:rPr>
                <w:rFonts w:eastAsia="Calibri"/>
                <w:sz w:val="28"/>
                <w:szCs w:val="28"/>
                <w:lang w:val="en-US" w:eastAsia="en-US"/>
              </w:rPr>
              <w:t xml:space="preserve">6,00; </w:t>
            </w:r>
            <w:r w:rsidRPr="00520861">
              <w:rPr>
                <w:rFonts w:eastAsia="Calibri"/>
                <w:sz w:val="28"/>
                <w:szCs w:val="28"/>
                <w:lang w:eastAsia="en-US"/>
              </w:rPr>
              <w:t>5,00)</w:t>
            </w:r>
          </w:p>
        </w:tc>
        <w:tc>
          <w:tcPr>
            <w:tcW w:w="2126" w:type="dxa"/>
            <w:shd w:val="clear" w:color="auto" w:fill="auto"/>
          </w:tcPr>
          <w:p w14:paraId="6CD83BFF"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8,29</w:t>
            </w:r>
            <w:r w:rsidRPr="00520861">
              <w:rPr>
                <w:rFonts w:eastAsia="Calibri"/>
                <w:sz w:val="28"/>
                <w:szCs w:val="28"/>
                <w:lang w:eastAsia="en-US"/>
              </w:rPr>
              <w:t xml:space="preserve"> (</w:t>
            </w:r>
            <w:r w:rsidRPr="00520861">
              <w:rPr>
                <w:rFonts w:eastAsia="Calibri"/>
                <w:sz w:val="28"/>
                <w:szCs w:val="28"/>
                <w:lang w:val="en-US" w:eastAsia="en-US"/>
              </w:rPr>
              <w:t xml:space="preserve">9,58; </w:t>
            </w:r>
            <w:r w:rsidRPr="00520861">
              <w:rPr>
                <w:rFonts w:eastAsia="Calibri"/>
                <w:sz w:val="28"/>
                <w:szCs w:val="28"/>
                <w:lang w:eastAsia="en-US"/>
              </w:rPr>
              <w:t>8,24)</w:t>
            </w:r>
          </w:p>
        </w:tc>
        <w:tc>
          <w:tcPr>
            <w:tcW w:w="2276" w:type="dxa"/>
            <w:shd w:val="clear" w:color="auto" w:fill="auto"/>
          </w:tcPr>
          <w:p w14:paraId="3E828FF6"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6,00</w:t>
            </w:r>
            <w:r w:rsidRPr="00520861">
              <w:rPr>
                <w:rFonts w:eastAsia="Calibri"/>
                <w:sz w:val="28"/>
                <w:szCs w:val="28"/>
                <w:lang w:eastAsia="en-US"/>
              </w:rPr>
              <w:t xml:space="preserve"> (</w:t>
            </w:r>
            <w:r w:rsidRPr="00520861">
              <w:rPr>
                <w:rFonts w:eastAsia="Calibri"/>
                <w:sz w:val="28"/>
                <w:szCs w:val="28"/>
                <w:lang w:val="en-US" w:eastAsia="en-US"/>
              </w:rPr>
              <w:t xml:space="preserve">6,00; </w:t>
            </w:r>
            <w:r w:rsidRPr="00520861">
              <w:rPr>
                <w:rFonts w:eastAsia="Calibri"/>
                <w:sz w:val="28"/>
                <w:szCs w:val="28"/>
                <w:lang w:eastAsia="en-US"/>
              </w:rPr>
              <w:t>6,00)</w:t>
            </w:r>
          </w:p>
        </w:tc>
        <w:tc>
          <w:tcPr>
            <w:tcW w:w="2126" w:type="dxa"/>
            <w:shd w:val="clear" w:color="auto" w:fill="auto"/>
          </w:tcPr>
          <w:p w14:paraId="31D9A09E"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8,69</w:t>
            </w:r>
            <w:r w:rsidRPr="00520861">
              <w:rPr>
                <w:rFonts w:eastAsia="Calibri"/>
                <w:sz w:val="28"/>
                <w:szCs w:val="28"/>
                <w:lang w:eastAsia="en-US"/>
              </w:rPr>
              <w:t xml:space="preserve"> (</w:t>
            </w:r>
            <w:r w:rsidRPr="00520861">
              <w:rPr>
                <w:rFonts w:eastAsia="Calibri"/>
                <w:sz w:val="28"/>
                <w:szCs w:val="28"/>
                <w:lang w:val="ru-RU" w:eastAsia="en-US"/>
              </w:rPr>
              <w:t>8,77</w:t>
            </w:r>
            <w:r w:rsidRPr="00520861">
              <w:rPr>
                <w:rFonts w:eastAsia="Calibri"/>
                <w:sz w:val="28"/>
                <w:szCs w:val="28"/>
                <w:lang w:val="en-US" w:eastAsia="en-US"/>
              </w:rPr>
              <w:t xml:space="preserve">; </w:t>
            </w:r>
            <w:r w:rsidRPr="00520861">
              <w:rPr>
                <w:rFonts w:eastAsia="Calibri"/>
                <w:sz w:val="28"/>
                <w:szCs w:val="28"/>
                <w:lang w:val="ru-RU" w:eastAsia="en-US"/>
              </w:rPr>
              <w:t>6,85</w:t>
            </w:r>
            <w:r w:rsidRPr="00520861">
              <w:rPr>
                <w:rFonts w:eastAsia="Calibri"/>
                <w:sz w:val="28"/>
                <w:szCs w:val="28"/>
                <w:lang w:eastAsia="en-US"/>
              </w:rPr>
              <w:t>)</w:t>
            </w:r>
          </w:p>
        </w:tc>
      </w:tr>
      <w:tr w:rsidR="00CF641C" w:rsidRPr="00520861" w14:paraId="0C7B6677" w14:textId="77777777" w:rsidTr="00292D2E">
        <w:trPr>
          <w:gridAfter w:val="1"/>
          <w:wAfter w:w="10" w:type="dxa"/>
        </w:trPr>
        <w:tc>
          <w:tcPr>
            <w:tcW w:w="1242" w:type="dxa"/>
            <w:shd w:val="clear" w:color="auto" w:fill="auto"/>
          </w:tcPr>
          <w:p w14:paraId="0FBA5F7C"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sz w:val="28"/>
                <w:szCs w:val="28"/>
                <w:lang w:eastAsia="en-US"/>
              </w:rPr>
              <w:t>Група 1</w:t>
            </w:r>
          </w:p>
        </w:tc>
        <w:tc>
          <w:tcPr>
            <w:tcW w:w="2289" w:type="dxa"/>
            <w:shd w:val="clear" w:color="auto" w:fill="auto"/>
          </w:tcPr>
          <w:p w14:paraId="7BEDDCAE"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7,00</w:t>
            </w:r>
            <w:r w:rsidRPr="00520861">
              <w:rPr>
                <w:rFonts w:eastAsia="Calibri"/>
                <w:sz w:val="28"/>
                <w:szCs w:val="28"/>
                <w:lang w:eastAsia="en-US"/>
              </w:rPr>
              <w:t xml:space="preserve"> (</w:t>
            </w:r>
            <w:r w:rsidRPr="00520861">
              <w:rPr>
                <w:rFonts w:eastAsia="Calibri"/>
                <w:sz w:val="28"/>
                <w:szCs w:val="28"/>
                <w:lang w:val="en-US" w:eastAsia="en-US"/>
              </w:rPr>
              <w:t xml:space="preserve">8,00; </w:t>
            </w:r>
            <w:r w:rsidRPr="00520861">
              <w:rPr>
                <w:rFonts w:eastAsia="Calibri"/>
                <w:sz w:val="28"/>
                <w:szCs w:val="28"/>
                <w:lang w:eastAsia="en-US"/>
              </w:rPr>
              <w:t>6,00)</w:t>
            </w:r>
          </w:p>
          <w:p w14:paraId="6F37E7BC"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0827</w:t>
            </w:r>
          </w:p>
        </w:tc>
        <w:tc>
          <w:tcPr>
            <w:tcW w:w="2126" w:type="dxa"/>
            <w:shd w:val="clear" w:color="auto" w:fill="auto"/>
          </w:tcPr>
          <w:p w14:paraId="4EC2001F" w14:textId="77777777" w:rsidR="00CF641C" w:rsidRPr="00520861" w:rsidRDefault="00CF641C" w:rsidP="00292D2E">
            <w:pPr>
              <w:widowControl w:val="0"/>
              <w:spacing w:line="360" w:lineRule="auto"/>
              <w:ind w:right="-105"/>
              <w:jc w:val="center"/>
              <w:rPr>
                <w:rFonts w:eastAsia="Calibri"/>
                <w:sz w:val="28"/>
                <w:szCs w:val="28"/>
                <w:lang w:val="ru-RU" w:eastAsia="en-US"/>
              </w:rPr>
            </w:pPr>
            <w:r w:rsidRPr="00520861">
              <w:rPr>
                <w:rFonts w:eastAsia="Calibri"/>
                <w:sz w:val="28"/>
                <w:szCs w:val="28"/>
                <w:lang w:val="ru-RU" w:eastAsia="en-US"/>
              </w:rPr>
              <w:t>7,01*</w:t>
            </w:r>
            <w:r w:rsidRPr="00520861">
              <w:rPr>
                <w:rFonts w:eastAsia="Calibri"/>
                <w:sz w:val="28"/>
                <w:szCs w:val="28"/>
                <w:lang w:eastAsia="en-US"/>
              </w:rPr>
              <w:t xml:space="preserve"> (</w:t>
            </w:r>
            <w:r w:rsidRPr="00520861">
              <w:rPr>
                <w:rFonts w:eastAsia="Calibri"/>
                <w:sz w:val="28"/>
                <w:szCs w:val="28"/>
                <w:lang w:val="en-US" w:eastAsia="en-US"/>
              </w:rPr>
              <w:t xml:space="preserve">7,06; </w:t>
            </w:r>
            <w:r w:rsidRPr="00520861">
              <w:rPr>
                <w:rFonts w:eastAsia="Calibri"/>
                <w:sz w:val="28"/>
                <w:szCs w:val="28"/>
                <w:lang w:eastAsia="en-US"/>
              </w:rPr>
              <w:t>6,36)</w:t>
            </w:r>
          </w:p>
          <w:p w14:paraId="038B839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0012</w:t>
            </w:r>
          </w:p>
        </w:tc>
        <w:tc>
          <w:tcPr>
            <w:tcW w:w="2276" w:type="dxa"/>
            <w:shd w:val="clear" w:color="auto" w:fill="auto"/>
          </w:tcPr>
          <w:p w14:paraId="1A44525C"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6,50</w:t>
            </w:r>
            <w:r w:rsidRPr="00520861">
              <w:rPr>
                <w:rFonts w:eastAsia="Calibri"/>
                <w:sz w:val="28"/>
                <w:szCs w:val="28"/>
                <w:lang w:eastAsia="en-US"/>
              </w:rPr>
              <w:t xml:space="preserve"> (</w:t>
            </w:r>
            <w:r w:rsidRPr="00520861">
              <w:rPr>
                <w:rFonts w:eastAsia="Calibri"/>
                <w:sz w:val="28"/>
                <w:szCs w:val="28"/>
                <w:lang w:val="en-US" w:eastAsia="en-US"/>
              </w:rPr>
              <w:t xml:space="preserve">7,00; </w:t>
            </w:r>
            <w:r w:rsidRPr="00520861">
              <w:rPr>
                <w:rFonts w:eastAsia="Calibri"/>
                <w:sz w:val="28"/>
                <w:szCs w:val="28"/>
                <w:lang w:eastAsia="en-US"/>
              </w:rPr>
              <w:t>6,00)</w:t>
            </w:r>
          </w:p>
          <w:p w14:paraId="4A185BB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i/>
                <w:sz w:val="28"/>
                <w:szCs w:val="28"/>
                <w:lang w:eastAsia="en-US"/>
              </w:rPr>
              <w:t>p</w:t>
            </w:r>
            <w:r w:rsidRPr="00520861">
              <w:rPr>
                <w:rFonts w:eastAsia="Calibri"/>
                <w:sz w:val="28"/>
                <w:szCs w:val="28"/>
                <w:lang w:eastAsia="en-US"/>
              </w:rPr>
              <w:t>=0,5006</w:t>
            </w:r>
          </w:p>
        </w:tc>
        <w:tc>
          <w:tcPr>
            <w:tcW w:w="2126" w:type="dxa"/>
            <w:shd w:val="clear" w:color="auto" w:fill="auto"/>
          </w:tcPr>
          <w:p w14:paraId="2383D347"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7,34</w:t>
            </w:r>
            <w:r w:rsidRPr="00520861">
              <w:rPr>
                <w:rFonts w:eastAsia="Calibri"/>
                <w:sz w:val="28"/>
                <w:szCs w:val="28"/>
                <w:lang w:eastAsia="en-US"/>
              </w:rPr>
              <w:t xml:space="preserve"> (7,78</w:t>
            </w:r>
            <w:r w:rsidRPr="00520861">
              <w:rPr>
                <w:rFonts w:eastAsia="Calibri"/>
                <w:sz w:val="28"/>
                <w:szCs w:val="28"/>
                <w:lang w:val="en-US" w:eastAsia="en-US"/>
              </w:rPr>
              <w:t>; 6,95</w:t>
            </w:r>
            <w:r w:rsidRPr="00520861">
              <w:rPr>
                <w:rFonts w:eastAsia="Calibri"/>
                <w:sz w:val="28"/>
                <w:szCs w:val="28"/>
                <w:lang w:eastAsia="en-US"/>
              </w:rPr>
              <w:t>)</w:t>
            </w:r>
          </w:p>
          <w:p w14:paraId="134D0311" w14:textId="77777777" w:rsidR="00CF641C" w:rsidRPr="00520861" w:rsidRDefault="00CF641C" w:rsidP="00292D2E">
            <w:pPr>
              <w:widowControl w:val="0"/>
              <w:spacing w:line="360" w:lineRule="auto"/>
              <w:jc w:val="center"/>
              <w:rPr>
                <w:rFonts w:eastAsia="Calibri"/>
                <w:sz w:val="28"/>
                <w:szCs w:val="28"/>
                <w:lang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3017</w:t>
            </w:r>
          </w:p>
        </w:tc>
      </w:tr>
      <w:tr w:rsidR="00CF641C" w:rsidRPr="00520861" w14:paraId="3055C6FD" w14:textId="77777777" w:rsidTr="00292D2E">
        <w:trPr>
          <w:gridAfter w:val="1"/>
          <w:wAfter w:w="10" w:type="dxa"/>
        </w:trPr>
        <w:tc>
          <w:tcPr>
            <w:tcW w:w="1242" w:type="dxa"/>
            <w:shd w:val="clear" w:color="auto" w:fill="auto"/>
          </w:tcPr>
          <w:p w14:paraId="75169B0D"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sz w:val="28"/>
                <w:szCs w:val="28"/>
                <w:lang w:eastAsia="en-US"/>
              </w:rPr>
              <w:t>Група 2</w:t>
            </w:r>
          </w:p>
        </w:tc>
        <w:tc>
          <w:tcPr>
            <w:tcW w:w="2289" w:type="dxa"/>
            <w:shd w:val="clear" w:color="auto" w:fill="auto"/>
          </w:tcPr>
          <w:p w14:paraId="7F4727EC"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6,00</w:t>
            </w:r>
            <w:r w:rsidRPr="00520861">
              <w:rPr>
                <w:rFonts w:eastAsia="Calibri"/>
                <w:sz w:val="28"/>
                <w:szCs w:val="28"/>
                <w:lang w:eastAsia="en-US"/>
              </w:rPr>
              <w:t xml:space="preserve"> (</w:t>
            </w:r>
            <w:r w:rsidRPr="00520861">
              <w:rPr>
                <w:rFonts w:eastAsia="Calibri"/>
                <w:sz w:val="28"/>
                <w:szCs w:val="28"/>
                <w:lang w:val="en-US" w:eastAsia="en-US"/>
              </w:rPr>
              <w:t xml:space="preserve">6,75; </w:t>
            </w:r>
            <w:r w:rsidRPr="00520861">
              <w:rPr>
                <w:rFonts w:eastAsia="Calibri"/>
                <w:sz w:val="28"/>
                <w:szCs w:val="28"/>
                <w:lang w:eastAsia="en-US"/>
              </w:rPr>
              <w:t>5,25)</w:t>
            </w:r>
          </w:p>
          <w:p w14:paraId="67D37FA5"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5676</w:t>
            </w:r>
          </w:p>
        </w:tc>
        <w:tc>
          <w:tcPr>
            <w:tcW w:w="2126" w:type="dxa"/>
            <w:shd w:val="clear" w:color="auto" w:fill="auto"/>
          </w:tcPr>
          <w:p w14:paraId="37D4C0F9" w14:textId="77777777" w:rsidR="00CF641C" w:rsidRPr="00520861" w:rsidRDefault="00CF641C" w:rsidP="00292D2E">
            <w:pPr>
              <w:widowControl w:val="0"/>
              <w:spacing w:line="360" w:lineRule="auto"/>
              <w:ind w:hanging="100"/>
              <w:jc w:val="center"/>
              <w:rPr>
                <w:rFonts w:eastAsia="Calibri"/>
                <w:sz w:val="28"/>
                <w:szCs w:val="28"/>
                <w:lang w:val="ru-RU" w:eastAsia="en-US"/>
              </w:rPr>
            </w:pPr>
            <w:r w:rsidRPr="00520861">
              <w:rPr>
                <w:rFonts w:eastAsia="Calibri"/>
                <w:sz w:val="28"/>
                <w:szCs w:val="28"/>
                <w:lang w:val="ru-RU" w:eastAsia="en-US"/>
              </w:rPr>
              <w:t>7,62*</w:t>
            </w:r>
            <w:r w:rsidRPr="00520861">
              <w:rPr>
                <w:rFonts w:eastAsia="Calibri"/>
                <w:sz w:val="28"/>
                <w:szCs w:val="28"/>
                <w:lang w:eastAsia="en-US"/>
              </w:rPr>
              <w:t>(</w:t>
            </w:r>
            <w:r w:rsidRPr="00520861">
              <w:rPr>
                <w:rFonts w:eastAsia="Calibri"/>
                <w:sz w:val="28"/>
                <w:szCs w:val="28"/>
                <w:lang w:val="en-US" w:eastAsia="en-US"/>
              </w:rPr>
              <w:t xml:space="preserve">7,83; </w:t>
            </w:r>
            <w:r w:rsidRPr="00520861">
              <w:rPr>
                <w:rFonts w:eastAsia="Calibri"/>
                <w:sz w:val="28"/>
                <w:szCs w:val="28"/>
                <w:lang w:eastAsia="en-US"/>
              </w:rPr>
              <w:t>7,27)</w:t>
            </w:r>
          </w:p>
          <w:p w14:paraId="77FBD6BD"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0127</w:t>
            </w:r>
          </w:p>
        </w:tc>
        <w:tc>
          <w:tcPr>
            <w:tcW w:w="2276" w:type="dxa"/>
            <w:shd w:val="clear" w:color="auto" w:fill="auto"/>
          </w:tcPr>
          <w:p w14:paraId="1369F90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7,00</w:t>
            </w:r>
            <w:r w:rsidRPr="00520861">
              <w:rPr>
                <w:rFonts w:eastAsia="Calibri"/>
                <w:sz w:val="28"/>
                <w:szCs w:val="28"/>
                <w:lang w:eastAsia="en-US"/>
              </w:rPr>
              <w:t xml:space="preserve"> (</w:t>
            </w:r>
            <w:r w:rsidRPr="00520861">
              <w:rPr>
                <w:rFonts w:eastAsia="Calibri"/>
                <w:sz w:val="28"/>
                <w:szCs w:val="28"/>
                <w:lang w:val="en-US" w:eastAsia="en-US"/>
              </w:rPr>
              <w:t xml:space="preserve">8,00; </w:t>
            </w:r>
            <w:r w:rsidRPr="00520861">
              <w:rPr>
                <w:rFonts w:eastAsia="Calibri"/>
                <w:sz w:val="28"/>
                <w:szCs w:val="28"/>
                <w:lang w:eastAsia="en-US"/>
              </w:rPr>
              <w:t>6,00)</w:t>
            </w:r>
          </w:p>
          <w:p w14:paraId="6383A928"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i/>
                <w:sz w:val="28"/>
                <w:szCs w:val="28"/>
                <w:lang w:eastAsia="en-US"/>
              </w:rPr>
              <w:t>p</w:t>
            </w:r>
            <w:r w:rsidRPr="00520861">
              <w:rPr>
                <w:rFonts w:eastAsia="Calibri"/>
                <w:sz w:val="28"/>
                <w:szCs w:val="28"/>
                <w:lang w:eastAsia="en-US"/>
              </w:rPr>
              <w:t>=0,2701</w:t>
            </w:r>
          </w:p>
        </w:tc>
        <w:tc>
          <w:tcPr>
            <w:tcW w:w="2126" w:type="dxa"/>
            <w:shd w:val="clear" w:color="auto" w:fill="auto"/>
          </w:tcPr>
          <w:p w14:paraId="4CFD4A08"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6,55</w:t>
            </w:r>
            <w:r w:rsidRPr="00520861">
              <w:rPr>
                <w:rFonts w:eastAsia="Calibri"/>
                <w:sz w:val="28"/>
                <w:szCs w:val="28"/>
                <w:lang w:eastAsia="en-US"/>
              </w:rPr>
              <w:t xml:space="preserve"> (8,06</w:t>
            </w:r>
            <w:r w:rsidRPr="00520861">
              <w:rPr>
                <w:rFonts w:eastAsia="Calibri"/>
                <w:sz w:val="28"/>
                <w:szCs w:val="28"/>
                <w:lang w:val="en-US" w:eastAsia="en-US"/>
              </w:rPr>
              <w:t>; 5,78</w:t>
            </w:r>
            <w:r w:rsidRPr="00520861">
              <w:rPr>
                <w:rFonts w:eastAsia="Calibri"/>
                <w:sz w:val="28"/>
                <w:szCs w:val="28"/>
                <w:lang w:eastAsia="en-US"/>
              </w:rPr>
              <w:t>)</w:t>
            </w:r>
          </w:p>
          <w:p w14:paraId="2C0E0154" w14:textId="77777777" w:rsidR="00CF641C" w:rsidRPr="00520861" w:rsidRDefault="00CF641C" w:rsidP="00292D2E">
            <w:pPr>
              <w:widowControl w:val="0"/>
              <w:spacing w:line="360" w:lineRule="auto"/>
              <w:jc w:val="center"/>
              <w:rPr>
                <w:rFonts w:eastAsia="Calibri"/>
                <w:sz w:val="28"/>
                <w:szCs w:val="28"/>
                <w:lang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1073</w:t>
            </w:r>
          </w:p>
        </w:tc>
      </w:tr>
      <w:tr w:rsidR="00CF641C" w:rsidRPr="00520861" w14:paraId="47EC68B3" w14:textId="77777777" w:rsidTr="00292D2E">
        <w:trPr>
          <w:gridAfter w:val="1"/>
          <w:wAfter w:w="10" w:type="dxa"/>
        </w:trPr>
        <w:tc>
          <w:tcPr>
            <w:tcW w:w="1242" w:type="dxa"/>
            <w:shd w:val="clear" w:color="auto" w:fill="auto"/>
          </w:tcPr>
          <w:p w14:paraId="65BF98B9"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sz w:val="28"/>
                <w:szCs w:val="28"/>
                <w:lang w:eastAsia="en-US"/>
              </w:rPr>
              <w:t>Група 3</w:t>
            </w:r>
          </w:p>
        </w:tc>
        <w:tc>
          <w:tcPr>
            <w:tcW w:w="2289" w:type="dxa"/>
            <w:shd w:val="clear" w:color="auto" w:fill="auto"/>
          </w:tcPr>
          <w:p w14:paraId="0252CF9F" w14:textId="77777777" w:rsidR="00CF641C" w:rsidRPr="00520861" w:rsidRDefault="00CF641C" w:rsidP="00292D2E">
            <w:pPr>
              <w:widowControl w:val="0"/>
              <w:spacing w:line="360" w:lineRule="auto"/>
              <w:ind w:right="-109" w:hanging="88"/>
              <w:jc w:val="center"/>
              <w:rPr>
                <w:rFonts w:eastAsia="Calibri"/>
                <w:sz w:val="28"/>
                <w:szCs w:val="28"/>
                <w:lang w:val="ru-RU" w:eastAsia="en-US"/>
              </w:rPr>
            </w:pPr>
            <w:r w:rsidRPr="00520861">
              <w:rPr>
                <w:rFonts w:eastAsia="Calibri"/>
                <w:sz w:val="28"/>
                <w:szCs w:val="28"/>
                <w:lang w:val="ru-RU" w:eastAsia="en-US"/>
              </w:rPr>
              <w:t>9,00*</w:t>
            </w:r>
            <w:r w:rsidRPr="00520861">
              <w:rPr>
                <w:rFonts w:eastAsia="Calibri"/>
                <w:sz w:val="28"/>
                <w:szCs w:val="28"/>
                <w:lang w:eastAsia="en-US"/>
              </w:rPr>
              <w:t xml:space="preserve"> (</w:t>
            </w:r>
            <w:r w:rsidRPr="00520861">
              <w:rPr>
                <w:rFonts w:eastAsia="Calibri"/>
                <w:sz w:val="28"/>
                <w:szCs w:val="28"/>
                <w:lang w:val="en-US" w:eastAsia="en-US"/>
              </w:rPr>
              <w:t xml:space="preserve">11,00; </w:t>
            </w:r>
            <w:r w:rsidRPr="00520861">
              <w:rPr>
                <w:rFonts w:eastAsia="Calibri"/>
                <w:sz w:val="28"/>
                <w:szCs w:val="28"/>
                <w:lang w:eastAsia="en-US"/>
              </w:rPr>
              <w:t>9,00)</w:t>
            </w:r>
          </w:p>
          <w:p w14:paraId="3DF3B525"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0086</w:t>
            </w:r>
          </w:p>
        </w:tc>
        <w:tc>
          <w:tcPr>
            <w:tcW w:w="2126" w:type="dxa"/>
            <w:shd w:val="clear" w:color="auto" w:fill="auto"/>
          </w:tcPr>
          <w:p w14:paraId="497910A1" w14:textId="77777777" w:rsidR="00CF641C" w:rsidRPr="00520861" w:rsidRDefault="00CF641C" w:rsidP="00292D2E">
            <w:pPr>
              <w:widowControl w:val="0"/>
              <w:spacing w:line="360" w:lineRule="auto"/>
              <w:ind w:right="-105" w:hanging="100"/>
              <w:jc w:val="center"/>
              <w:rPr>
                <w:rFonts w:eastAsia="Calibri"/>
                <w:sz w:val="28"/>
                <w:szCs w:val="28"/>
                <w:lang w:val="ru-RU" w:eastAsia="en-US"/>
              </w:rPr>
            </w:pPr>
            <w:r w:rsidRPr="00520861">
              <w:rPr>
                <w:rFonts w:eastAsia="Calibri"/>
                <w:sz w:val="28"/>
                <w:szCs w:val="28"/>
                <w:lang w:val="ru-RU" w:eastAsia="en-US"/>
              </w:rPr>
              <w:t>5,80*</w:t>
            </w:r>
            <w:r w:rsidRPr="00520861">
              <w:rPr>
                <w:rFonts w:eastAsia="Calibri"/>
                <w:sz w:val="28"/>
                <w:szCs w:val="28"/>
                <w:lang w:eastAsia="en-US"/>
              </w:rPr>
              <w:t xml:space="preserve"> (</w:t>
            </w:r>
            <w:r w:rsidRPr="00520861">
              <w:rPr>
                <w:rFonts w:eastAsia="Calibri"/>
                <w:sz w:val="28"/>
                <w:szCs w:val="28"/>
                <w:lang w:val="en-US" w:eastAsia="en-US"/>
              </w:rPr>
              <w:t xml:space="preserve">6,26; </w:t>
            </w:r>
            <w:r w:rsidRPr="00520861">
              <w:rPr>
                <w:rFonts w:eastAsia="Calibri"/>
                <w:sz w:val="28"/>
                <w:szCs w:val="28"/>
                <w:lang w:eastAsia="en-US"/>
              </w:rPr>
              <w:t>4,61)</w:t>
            </w:r>
          </w:p>
          <w:p w14:paraId="447FC635"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0009</w:t>
            </w:r>
          </w:p>
        </w:tc>
        <w:tc>
          <w:tcPr>
            <w:tcW w:w="2276" w:type="dxa"/>
            <w:shd w:val="clear" w:color="auto" w:fill="auto"/>
          </w:tcPr>
          <w:p w14:paraId="74E3B14C" w14:textId="77777777" w:rsidR="00CF641C" w:rsidRPr="00520861" w:rsidRDefault="00CF641C" w:rsidP="00292D2E">
            <w:pPr>
              <w:widowControl w:val="0"/>
              <w:spacing w:line="360" w:lineRule="auto"/>
              <w:ind w:left="-104" w:right="-108" w:hanging="104"/>
              <w:jc w:val="center"/>
              <w:rPr>
                <w:rFonts w:eastAsia="Calibri"/>
                <w:sz w:val="28"/>
                <w:szCs w:val="28"/>
                <w:lang w:val="ru-RU" w:eastAsia="en-US"/>
              </w:rPr>
            </w:pPr>
            <w:r w:rsidRPr="00520861">
              <w:rPr>
                <w:rFonts w:eastAsia="Calibri"/>
                <w:sz w:val="28"/>
                <w:szCs w:val="28"/>
                <w:lang w:val="ru-RU" w:eastAsia="en-US"/>
              </w:rPr>
              <w:t>10,00</w:t>
            </w:r>
            <w:r w:rsidRPr="00520861">
              <w:rPr>
                <w:rFonts w:eastAsia="Calibri"/>
                <w:sz w:val="28"/>
                <w:szCs w:val="28"/>
                <w:lang w:eastAsia="en-US"/>
              </w:rPr>
              <w:t>*(</w:t>
            </w:r>
            <w:r w:rsidRPr="00520861">
              <w:rPr>
                <w:rFonts w:eastAsia="Calibri"/>
                <w:sz w:val="28"/>
                <w:szCs w:val="28"/>
                <w:lang w:val="en-US" w:eastAsia="en-US"/>
              </w:rPr>
              <w:t>11,5</w:t>
            </w:r>
            <w:r w:rsidRPr="00520861">
              <w:rPr>
                <w:rFonts w:eastAsia="Calibri"/>
                <w:sz w:val="28"/>
                <w:szCs w:val="28"/>
                <w:lang w:eastAsia="en-US"/>
              </w:rPr>
              <w:t>0</w:t>
            </w:r>
            <w:r w:rsidRPr="00520861">
              <w:rPr>
                <w:rFonts w:eastAsia="Calibri"/>
                <w:sz w:val="28"/>
                <w:szCs w:val="28"/>
                <w:lang w:val="en-US" w:eastAsia="en-US"/>
              </w:rPr>
              <w:t xml:space="preserve">; </w:t>
            </w:r>
            <w:r w:rsidRPr="00520861">
              <w:rPr>
                <w:rFonts w:eastAsia="Calibri"/>
                <w:sz w:val="28"/>
                <w:szCs w:val="28"/>
                <w:lang w:eastAsia="en-US"/>
              </w:rPr>
              <w:t>8,50)</w:t>
            </w:r>
          </w:p>
          <w:p w14:paraId="5E15ACD7" w14:textId="77777777" w:rsidR="00CF641C" w:rsidRPr="00520861" w:rsidRDefault="00CF641C" w:rsidP="00292D2E">
            <w:pPr>
              <w:widowControl w:val="0"/>
              <w:spacing w:line="360" w:lineRule="auto"/>
              <w:ind w:left="-104"/>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0087</w:t>
            </w:r>
          </w:p>
        </w:tc>
        <w:tc>
          <w:tcPr>
            <w:tcW w:w="2126" w:type="dxa"/>
            <w:shd w:val="clear" w:color="auto" w:fill="auto"/>
          </w:tcPr>
          <w:p w14:paraId="0094943E" w14:textId="77777777" w:rsidR="00CF641C" w:rsidRPr="00520861" w:rsidRDefault="00CF641C" w:rsidP="00292D2E">
            <w:pPr>
              <w:widowControl w:val="0"/>
              <w:spacing w:line="360" w:lineRule="auto"/>
              <w:ind w:right="-110" w:hanging="109"/>
              <w:jc w:val="center"/>
              <w:rPr>
                <w:rFonts w:eastAsia="Calibri"/>
                <w:sz w:val="28"/>
                <w:szCs w:val="28"/>
                <w:lang w:val="ru-RU" w:eastAsia="en-US"/>
              </w:rPr>
            </w:pPr>
            <w:r w:rsidRPr="00520861">
              <w:rPr>
                <w:rFonts w:eastAsia="Calibri"/>
                <w:sz w:val="28"/>
                <w:szCs w:val="28"/>
                <w:lang w:val="ru-RU" w:eastAsia="en-US"/>
              </w:rPr>
              <w:t>5,58*</w:t>
            </w:r>
            <w:r w:rsidRPr="00520861">
              <w:rPr>
                <w:rFonts w:eastAsia="Calibri"/>
                <w:sz w:val="28"/>
                <w:szCs w:val="28"/>
                <w:lang w:eastAsia="en-US"/>
              </w:rPr>
              <w:t xml:space="preserve"> (6,80</w:t>
            </w:r>
            <w:r w:rsidRPr="00520861">
              <w:rPr>
                <w:rFonts w:eastAsia="Calibri"/>
                <w:sz w:val="28"/>
                <w:szCs w:val="28"/>
                <w:lang w:val="en-US" w:eastAsia="en-US"/>
              </w:rPr>
              <w:t>; 5,16</w:t>
            </w:r>
            <w:r w:rsidRPr="00520861">
              <w:rPr>
                <w:rFonts w:eastAsia="Calibri"/>
                <w:sz w:val="28"/>
                <w:szCs w:val="28"/>
                <w:lang w:eastAsia="en-US"/>
              </w:rPr>
              <w:t>)</w:t>
            </w:r>
          </w:p>
          <w:p w14:paraId="5F07C3B9" w14:textId="77777777" w:rsidR="00CF641C" w:rsidRPr="00520861" w:rsidRDefault="00CF641C" w:rsidP="00292D2E">
            <w:pPr>
              <w:widowControl w:val="0"/>
              <w:spacing w:line="360" w:lineRule="auto"/>
              <w:jc w:val="center"/>
              <w:rPr>
                <w:rFonts w:eastAsia="Calibri"/>
                <w:sz w:val="28"/>
                <w:szCs w:val="28"/>
                <w:lang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0148</w:t>
            </w:r>
          </w:p>
        </w:tc>
      </w:tr>
      <w:tr w:rsidR="00CF641C" w:rsidRPr="00520861" w14:paraId="41807607" w14:textId="77777777" w:rsidTr="00292D2E">
        <w:trPr>
          <w:gridAfter w:val="1"/>
          <w:wAfter w:w="10" w:type="dxa"/>
        </w:trPr>
        <w:tc>
          <w:tcPr>
            <w:tcW w:w="1242" w:type="dxa"/>
            <w:shd w:val="clear" w:color="auto" w:fill="auto"/>
          </w:tcPr>
          <w:p w14:paraId="53796DD2" w14:textId="77777777" w:rsidR="00CF641C" w:rsidRPr="00520861" w:rsidRDefault="00CF641C" w:rsidP="00292D2E">
            <w:pPr>
              <w:widowControl w:val="0"/>
              <w:spacing w:line="360" w:lineRule="auto"/>
              <w:jc w:val="both"/>
              <w:rPr>
                <w:rFonts w:eastAsia="Calibri"/>
                <w:sz w:val="28"/>
                <w:szCs w:val="28"/>
                <w:lang w:eastAsia="en-US"/>
              </w:rPr>
            </w:pPr>
            <w:r w:rsidRPr="00520861">
              <w:rPr>
                <w:rFonts w:eastAsia="Calibri"/>
                <w:sz w:val="28"/>
                <w:szCs w:val="28"/>
                <w:lang w:eastAsia="en-US"/>
              </w:rPr>
              <w:t>Група 4</w:t>
            </w:r>
          </w:p>
        </w:tc>
        <w:tc>
          <w:tcPr>
            <w:tcW w:w="2289" w:type="dxa"/>
            <w:shd w:val="clear" w:color="auto" w:fill="auto"/>
          </w:tcPr>
          <w:p w14:paraId="74770679"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8,00*</w:t>
            </w:r>
            <w:r w:rsidRPr="00520861">
              <w:rPr>
                <w:rFonts w:eastAsia="Calibri"/>
                <w:sz w:val="28"/>
                <w:szCs w:val="28"/>
                <w:lang w:eastAsia="en-US"/>
              </w:rPr>
              <w:t xml:space="preserve"> (</w:t>
            </w:r>
            <w:r w:rsidRPr="00520861">
              <w:rPr>
                <w:rFonts w:eastAsia="Calibri"/>
                <w:sz w:val="28"/>
                <w:szCs w:val="28"/>
                <w:lang w:val="en-US" w:eastAsia="en-US"/>
              </w:rPr>
              <w:t xml:space="preserve">8,75; </w:t>
            </w:r>
            <w:r w:rsidRPr="00520861">
              <w:rPr>
                <w:rFonts w:eastAsia="Calibri"/>
                <w:sz w:val="28"/>
                <w:szCs w:val="28"/>
                <w:lang w:eastAsia="en-US"/>
              </w:rPr>
              <w:t>7,25)</w:t>
            </w:r>
          </w:p>
          <w:p w14:paraId="15405376"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0204</w:t>
            </w:r>
          </w:p>
        </w:tc>
        <w:tc>
          <w:tcPr>
            <w:tcW w:w="2126" w:type="dxa"/>
            <w:shd w:val="clear" w:color="auto" w:fill="auto"/>
          </w:tcPr>
          <w:p w14:paraId="5FCE80F3" w14:textId="77777777" w:rsidR="00CF641C" w:rsidRPr="00520861" w:rsidRDefault="00CF641C" w:rsidP="00292D2E">
            <w:pPr>
              <w:widowControl w:val="0"/>
              <w:spacing w:line="360" w:lineRule="auto"/>
              <w:ind w:right="-105"/>
              <w:jc w:val="center"/>
              <w:rPr>
                <w:rFonts w:eastAsia="Calibri"/>
                <w:sz w:val="28"/>
                <w:szCs w:val="28"/>
                <w:lang w:val="ru-RU" w:eastAsia="en-US"/>
              </w:rPr>
            </w:pPr>
            <w:r w:rsidRPr="00520861">
              <w:rPr>
                <w:rFonts w:eastAsia="Calibri"/>
                <w:sz w:val="28"/>
                <w:szCs w:val="28"/>
                <w:lang w:val="ru-RU" w:eastAsia="en-US"/>
              </w:rPr>
              <w:t>5,11*</w:t>
            </w:r>
            <w:r w:rsidRPr="00520861">
              <w:rPr>
                <w:rFonts w:eastAsia="Calibri"/>
                <w:sz w:val="28"/>
                <w:szCs w:val="28"/>
                <w:lang w:eastAsia="en-US"/>
              </w:rPr>
              <w:t xml:space="preserve"> (</w:t>
            </w:r>
            <w:r w:rsidRPr="00520861">
              <w:rPr>
                <w:rFonts w:eastAsia="Calibri"/>
                <w:sz w:val="28"/>
                <w:szCs w:val="28"/>
                <w:lang w:val="en-US" w:eastAsia="en-US"/>
              </w:rPr>
              <w:t xml:space="preserve">5,36; </w:t>
            </w:r>
            <w:r w:rsidRPr="00520861">
              <w:rPr>
                <w:rFonts w:eastAsia="Calibri"/>
                <w:sz w:val="28"/>
                <w:szCs w:val="28"/>
                <w:lang w:eastAsia="en-US"/>
              </w:rPr>
              <w:t>4,93)</w:t>
            </w:r>
          </w:p>
          <w:p w14:paraId="1035D521"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0009</w:t>
            </w:r>
          </w:p>
        </w:tc>
        <w:tc>
          <w:tcPr>
            <w:tcW w:w="2276" w:type="dxa"/>
            <w:shd w:val="clear" w:color="auto" w:fill="auto"/>
          </w:tcPr>
          <w:p w14:paraId="7C3E0736" w14:textId="77777777" w:rsidR="00CF641C" w:rsidRPr="00520861" w:rsidRDefault="00CF641C" w:rsidP="00292D2E">
            <w:pPr>
              <w:widowControl w:val="0"/>
              <w:spacing w:line="360" w:lineRule="auto"/>
              <w:ind w:left="-104" w:right="-115"/>
              <w:jc w:val="center"/>
              <w:rPr>
                <w:rFonts w:eastAsia="Calibri"/>
                <w:sz w:val="28"/>
                <w:szCs w:val="28"/>
                <w:lang w:val="ru-RU" w:eastAsia="en-US"/>
              </w:rPr>
            </w:pPr>
            <w:r w:rsidRPr="00520861">
              <w:rPr>
                <w:rFonts w:eastAsia="Calibri"/>
                <w:sz w:val="28"/>
                <w:szCs w:val="28"/>
                <w:lang w:val="ru-RU" w:eastAsia="en-US"/>
              </w:rPr>
              <w:t>10,00</w:t>
            </w:r>
            <w:r w:rsidRPr="00520861">
              <w:rPr>
                <w:rFonts w:eastAsia="Calibri"/>
                <w:sz w:val="28"/>
                <w:szCs w:val="28"/>
                <w:lang w:eastAsia="en-US"/>
              </w:rPr>
              <w:t>*(</w:t>
            </w:r>
            <w:r w:rsidRPr="00520861">
              <w:rPr>
                <w:rFonts w:eastAsia="Calibri"/>
                <w:sz w:val="28"/>
                <w:szCs w:val="28"/>
                <w:lang w:val="en-US" w:eastAsia="en-US"/>
              </w:rPr>
              <w:t xml:space="preserve">11,00; </w:t>
            </w:r>
            <w:r w:rsidRPr="00520861">
              <w:rPr>
                <w:rFonts w:eastAsia="Calibri"/>
                <w:sz w:val="28"/>
                <w:szCs w:val="28"/>
                <w:lang w:val="ru-RU" w:eastAsia="en-US"/>
              </w:rPr>
              <w:t>10</w:t>
            </w:r>
            <w:r w:rsidRPr="00520861">
              <w:rPr>
                <w:rFonts w:eastAsia="Calibri"/>
                <w:sz w:val="28"/>
                <w:szCs w:val="28"/>
                <w:lang w:eastAsia="en-US"/>
              </w:rPr>
              <w:t xml:space="preserve">,00)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0074</w:t>
            </w:r>
          </w:p>
        </w:tc>
        <w:tc>
          <w:tcPr>
            <w:tcW w:w="2126" w:type="dxa"/>
            <w:shd w:val="clear" w:color="auto" w:fill="auto"/>
          </w:tcPr>
          <w:p w14:paraId="72A7939B" w14:textId="77777777" w:rsidR="00CF641C" w:rsidRPr="00520861" w:rsidRDefault="00CF641C" w:rsidP="00292D2E">
            <w:pPr>
              <w:widowControl w:val="0"/>
              <w:spacing w:line="360" w:lineRule="auto"/>
              <w:ind w:hanging="109"/>
              <w:jc w:val="center"/>
              <w:rPr>
                <w:rFonts w:eastAsia="Calibri"/>
                <w:sz w:val="28"/>
                <w:szCs w:val="28"/>
                <w:lang w:val="ru-RU" w:eastAsia="en-US"/>
              </w:rPr>
            </w:pPr>
            <w:r w:rsidRPr="00520861">
              <w:rPr>
                <w:rFonts w:eastAsia="Calibri"/>
                <w:sz w:val="28"/>
                <w:szCs w:val="28"/>
                <w:lang w:val="ru-RU" w:eastAsia="en-US"/>
              </w:rPr>
              <w:t>5,40*</w:t>
            </w:r>
            <w:r w:rsidRPr="00520861">
              <w:rPr>
                <w:rFonts w:eastAsia="Calibri"/>
                <w:sz w:val="28"/>
                <w:szCs w:val="28"/>
                <w:lang w:eastAsia="en-US"/>
              </w:rPr>
              <w:t xml:space="preserve"> (5,92</w:t>
            </w:r>
            <w:r w:rsidRPr="00520861">
              <w:rPr>
                <w:rFonts w:eastAsia="Calibri"/>
                <w:sz w:val="28"/>
                <w:szCs w:val="28"/>
                <w:lang w:val="en-US" w:eastAsia="en-US"/>
              </w:rPr>
              <w:t>; 5,32</w:t>
            </w:r>
            <w:r w:rsidRPr="00520861">
              <w:rPr>
                <w:rFonts w:eastAsia="Calibri"/>
                <w:sz w:val="28"/>
                <w:szCs w:val="28"/>
                <w:lang w:eastAsia="en-US"/>
              </w:rPr>
              <w:t>)</w:t>
            </w:r>
          </w:p>
          <w:p w14:paraId="21D69E37" w14:textId="77777777" w:rsidR="00CF641C" w:rsidRPr="00520861" w:rsidRDefault="00CF641C" w:rsidP="00292D2E">
            <w:pPr>
              <w:widowControl w:val="0"/>
              <w:spacing w:line="360" w:lineRule="auto"/>
              <w:jc w:val="center"/>
              <w:rPr>
                <w:rFonts w:eastAsia="Calibri"/>
                <w:sz w:val="28"/>
                <w:szCs w:val="28"/>
                <w:lang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0045</w:t>
            </w:r>
          </w:p>
        </w:tc>
      </w:tr>
    </w:tbl>
    <w:p w14:paraId="783CC068" w14:textId="77777777" w:rsidR="00CF641C" w:rsidRPr="00520861" w:rsidRDefault="00CF641C" w:rsidP="00292D2E">
      <w:pPr>
        <w:widowControl w:val="0"/>
        <w:spacing w:line="276" w:lineRule="auto"/>
        <w:ind w:firstLine="708"/>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з ймовірністю 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4DAE5C21" w14:textId="77777777" w:rsidR="00CF641C" w:rsidRPr="00520861" w:rsidRDefault="00CF641C" w:rsidP="00292D2E">
      <w:pPr>
        <w:widowControl w:val="0"/>
        <w:spacing w:line="360" w:lineRule="auto"/>
        <w:jc w:val="right"/>
        <w:rPr>
          <w:rFonts w:eastAsia="Calibri"/>
          <w:i/>
          <w:iCs/>
          <w:sz w:val="28"/>
          <w:szCs w:val="28"/>
          <w:lang w:eastAsia="en-US"/>
        </w:rPr>
      </w:pPr>
      <w:r w:rsidRPr="00520861">
        <w:rPr>
          <w:rFonts w:eastAsia="Calibri"/>
          <w:i/>
          <w:iCs/>
          <w:sz w:val="28"/>
          <w:szCs w:val="28"/>
          <w:lang w:eastAsia="en-US"/>
        </w:rPr>
        <w:lastRenderedPageBreak/>
        <w:t xml:space="preserve">Таблиця 3.21 </w:t>
      </w:r>
    </w:p>
    <w:p w14:paraId="35112BB1"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Медіанні значення </w:t>
      </w:r>
      <w:proofErr w:type="spellStart"/>
      <w:r w:rsidRPr="00520861">
        <w:rPr>
          <w:rFonts w:eastAsia="Calibri"/>
          <w:b/>
          <w:sz w:val="28"/>
          <w:szCs w:val="28"/>
          <w:lang w:eastAsia="en-US"/>
        </w:rPr>
        <w:t>Me</w:t>
      </w:r>
      <w:proofErr w:type="spellEnd"/>
      <w:r w:rsidRPr="00520861">
        <w:rPr>
          <w:rFonts w:eastAsia="Calibri"/>
          <w:b/>
          <w:sz w:val="28"/>
          <w:szCs w:val="28"/>
          <w:lang w:eastAsia="en-US"/>
        </w:rPr>
        <w:t xml:space="preserve"> (Q3; Q1) оптичної густини відростків </w:t>
      </w:r>
      <w:proofErr w:type="spellStart"/>
      <w:r w:rsidRPr="00520861">
        <w:rPr>
          <w:rFonts w:eastAsia="Calibri"/>
          <w:b/>
          <w:sz w:val="28"/>
          <w:szCs w:val="28"/>
          <w:lang w:eastAsia="en-US"/>
        </w:rPr>
        <w:t>одонтобластів</w:t>
      </w:r>
      <w:proofErr w:type="spellEnd"/>
      <w:r w:rsidRPr="00520861">
        <w:rPr>
          <w:rFonts w:eastAsia="Calibri"/>
          <w:b/>
          <w:sz w:val="28"/>
          <w:szCs w:val="28"/>
          <w:lang w:eastAsia="en-US"/>
        </w:rPr>
        <w:t xml:space="preserve"> та оптичної густини кісткової тканини альвеолярних відростків експериментальних тварин</w:t>
      </w:r>
      <w:r w:rsidRPr="00520861">
        <w:rPr>
          <w:rFonts w:eastAsiaTheme="minorHAnsi"/>
          <w:sz w:val="28"/>
          <w:szCs w:val="28"/>
          <w:lang w:eastAsia="en-US"/>
        </w:rPr>
        <w:t xml:space="preserve"> </w:t>
      </w:r>
      <w:r w:rsidRPr="00520861">
        <w:rPr>
          <w:rFonts w:eastAsia="Calibri"/>
          <w:b/>
          <w:sz w:val="28"/>
          <w:szCs w:val="28"/>
          <w:lang w:eastAsia="en-US"/>
        </w:rPr>
        <w:t>віком 12 та 18 місяців</w:t>
      </w:r>
    </w:p>
    <w:tbl>
      <w:tblPr>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7"/>
        <w:gridCol w:w="1937"/>
        <w:gridCol w:w="1930"/>
        <w:gridCol w:w="2039"/>
        <w:gridCol w:w="1817"/>
      </w:tblGrid>
      <w:tr w:rsidR="00CF641C" w:rsidRPr="00520861" w14:paraId="17122289" w14:textId="77777777" w:rsidTr="00292D2E">
        <w:trPr>
          <w:jc w:val="center"/>
        </w:trPr>
        <w:tc>
          <w:tcPr>
            <w:tcW w:w="1627" w:type="dxa"/>
            <w:vMerge w:val="restart"/>
            <w:tcBorders>
              <w:top w:val="single" w:sz="4" w:space="0" w:color="auto"/>
              <w:left w:val="single" w:sz="4" w:space="0" w:color="auto"/>
              <w:right w:val="single" w:sz="4" w:space="0" w:color="auto"/>
            </w:tcBorders>
            <w:tcMar>
              <w:top w:w="0" w:type="dxa"/>
              <w:left w:w="57" w:type="dxa"/>
              <w:bottom w:w="0" w:type="dxa"/>
              <w:right w:w="57" w:type="dxa"/>
            </w:tcMar>
            <w:vAlign w:val="center"/>
            <w:hideMark/>
          </w:tcPr>
          <w:p w14:paraId="6EC5E6A3" w14:textId="77777777" w:rsidR="00CF641C" w:rsidRPr="00520861" w:rsidRDefault="00CF641C" w:rsidP="00292D2E">
            <w:pPr>
              <w:widowControl w:val="0"/>
              <w:spacing w:line="360" w:lineRule="auto"/>
              <w:jc w:val="center"/>
              <w:rPr>
                <w:rFonts w:eastAsia="Calibri"/>
                <w:sz w:val="28"/>
                <w:szCs w:val="28"/>
              </w:rPr>
            </w:pPr>
            <w:r w:rsidRPr="00520861">
              <w:rPr>
                <w:sz w:val="28"/>
                <w:szCs w:val="28"/>
              </w:rPr>
              <w:t xml:space="preserve">Група </w:t>
            </w:r>
          </w:p>
        </w:tc>
        <w:tc>
          <w:tcPr>
            <w:tcW w:w="1937"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392DE40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Оптична густина цитоплазми відростків </w:t>
            </w:r>
            <w:proofErr w:type="spellStart"/>
            <w:r w:rsidRPr="00520861">
              <w:rPr>
                <w:rFonts w:eastAsia="Calibri"/>
                <w:sz w:val="28"/>
                <w:szCs w:val="28"/>
              </w:rPr>
              <w:t>одонтобластів</w:t>
            </w:r>
            <w:proofErr w:type="spellEnd"/>
          </w:p>
          <w:p w14:paraId="309231F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(забарвлення за </w:t>
            </w:r>
            <w:proofErr w:type="spellStart"/>
            <w:r w:rsidRPr="00520861">
              <w:rPr>
                <w:rFonts w:eastAsia="Calibri"/>
                <w:sz w:val="28"/>
                <w:szCs w:val="28"/>
              </w:rPr>
              <w:t>Ейнарсоном</w:t>
            </w:r>
            <w:proofErr w:type="spellEnd"/>
            <w:r w:rsidRPr="00520861">
              <w:rPr>
                <w:rFonts w:eastAsia="Calibri"/>
                <w:sz w:val="28"/>
                <w:szCs w:val="28"/>
              </w:rPr>
              <w:t xml:space="preserve">, </w:t>
            </w:r>
            <w:proofErr w:type="spellStart"/>
            <w:r w:rsidRPr="00520861">
              <w:rPr>
                <w:rFonts w:eastAsia="Calibri"/>
                <w:sz w:val="28"/>
                <w:szCs w:val="28"/>
              </w:rPr>
              <w:t>ум.од.опт</w:t>
            </w:r>
            <w:proofErr w:type="spellEnd"/>
            <w:r w:rsidRPr="00520861">
              <w:rPr>
                <w:rFonts w:eastAsia="Calibri"/>
                <w:sz w:val="28"/>
                <w:szCs w:val="28"/>
              </w:rPr>
              <w:t>. густини)</w:t>
            </w:r>
          </w:p>
        </w:tc>
        <w:tc>
          <w:tcPr>
            <w:tcW w:w="193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393C4D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Оптична густина кісткової тканини (PAS–реакція, </w:t>
            </w:r>
            <w:proofErr w:type="spellStart"/>
            <w:r w:rsidRPr="00520861">
              <w:rPr>
                <w:rFonts w:eastAsia="Calibri"/>
                <w:sz w:val="28"/>
                <w:szCs w:val="28"/>
              </w:rPr>
              <w:t>ум.од.опт</w:t>
            </w:r>
            <w:proofErr w:type="spellEnd"/>
            <w:r w:rsidRPr="00520861">
              <w:rPr>
                <w:rFonts w:eastAsia="Calibri"/>
                <w:sz w:val="28"/>
                <w:szCs w:val="28"/>
              </w:rPr>
              <w:t>. густини)</w:t>
            </w:r>
          </w:p>
        </w:tc>
        <w:tc>
          <w:tcPr>
            <w:tcW w:w="2039" w:type="dxa"/>
            <w:tcBorders>
              <w:top w:val="single" w:sz="4" w:space="0" w:color="auto"/>
              <w:left w:val="single" w:sz="4" w:space="0" w:color="auto"/>
              <w:bottom w:val="single" w:sz="4" w:space="0" w:color="auto"/>
              <w:right w:val="single" w:sz="4" w:space="0" w:color="auto"/>
            </w:tcBorders>
          </w:tcPr>
          <w:p w14:paraId="06F4675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Оптична густина цитоплазми відростків </w:t>
            </w:r>
            <w:proofErr w:type="spellStart"/>
            <w:r w:rsidRPr="00520861">
              <w:rPr>
                <w:rFonts w:eastAsia="Calibri"/>
                <w:sz w:val="28"/>
                <w:szCs w:val="28"/>
              </w:rPr>
              <w:t>одонтобластів</w:t>
            </w:r>
            <w:proofErr w:type="spellEnd"/>
          </w:p>
          <w:p w14:paraId="692C7334"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(забарвлення за </w:t>
            </w:r>
            <w:proofErr w:type="spellStart"/>
            <w:r w:rsidRPr="00520861">
              <w:rPr>
                <w:rFonts w:eastAsia="Calibri"/>
                <w:sz w:val="28"/>
                <w:szCs w:val="28"/>
              </w:rPr>
              <w:t>Ейнарсоном</w:t>
            </w:r>
            <w:proofErr w:type="spellEnd"/>
            <w:r w:rsidRPr="00520861">
              <w:rPr>
                <w:rFonts w:eastAsia="Calibri"/>
                <w:sz w:val="28"/>
                <w:szCs w:val="28"/>
              </w:rPr>
              <w:t xml:space="preserve">, </w:t>
            </w:r>
            <w:proofErr w:type="spellStart"/>
            <w:r w:rsidRPr="00520861">
              <w:rPr>
                <w:rFonts w:eastAsia="Calibri"/>
                <w:sz w:val="28"/>
                <w:szCs w:val="28"/>
              </w:rPr>
              <w:t>ум.од.опт</w:t>
            </w:r>
            <w:proofErr w:type="spellEnd"/>
            <w:r w:rsidRPr="00520861">
              <w:rPr>
                <w:rFonts w:eastAsia="Calibri"/>
                <w:sz w:val="28"/>
                <w:szCs w:val="28"/>
              </w:rPr>
              <w:t>. густини)</w:t>
            </w:r>
          </w:p>
        </w:tc>
        <w:tc>
          <w:tcPr>
            <w:tcW w:w="1817" w:type="dxa"/>
            <w:tcBorders>
              <w:top w:val="single" w:sz="4" w:space="0" w:color="auto"/>
              <w:left w:val="single" w:sz="4" w:space="0" w:color="auto"/>
              <w:bottom w:val="single" w:sz="4" w:space="0" w:color="auto"/>
              <w:right w:val="single" w:sz="4" w:space="0" w:color="auto"/>
            </w:tcBorders>
          </w:tcPr>
          <w:p w14:paraId="694C777E" w14:textId="77777777" w:rsidR="00CF641C" w:rsidRPr="00520861" w:rsidRDefault="00CF641C" w:rsidP="00292D2E">
            <w:pPr>
              <w:widowControl w:val="0"/>
              <w:spacing w:line="360" w:lineRule="auto"/>
              <w:jc w:val="center"/>
              <w:rPr>
                <w:rFonts w:eastAsia="Calibri"/>
                <w:sz w:val="28"/>
                <w:szCs w:val="28"/>
              </w:rPr>
            </w:pPr>
          </w:p>
          <w:p w14:paraId="3591024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Оптична густина кісткової тканини (PAS–реакція, </w:t>
            </w:r>
            <w:proofErr w:type="spellStart"/>
            <w:r w:rsidRPr="00520861">
              <w:rPr>
                <w:rFonts w:eastAsia="Calibri"/>
                <w:sz w:val="28"/>
                <w:szCs w:val="28"/>
              </w:rPr>
              <w:t>ум.од.опт</w:t>
            </w:r>
            <w:proofErr w:type="spellEnd"/>
            <w:r w:rsidRPr="00520861">
              <w:rPr>
                <w:rFonts w:eastAsia="Calibri"/>
                <w:sz w:val="28"/>
                <w:szCs w:val="28"/>
              </w:rPr>
              <w:t>. густини)</w:t>
            </w:r>
          </w:p>
        </w:tc>
      </w:tr>
      <w:tr w:rsidR="00CF641C" w:rsidRPr="00520861" w14:paraId="03B255C3" w14:textId="77777777" w:rsidTr="00292D2E">
        <w:trPr>
          <w:jc w:val="center"/>
        </w:trPr>
        <w:tc>
          <w:tcPr>
            <w:tcW w:w="1627" w:type="dxa"/>
            <w:vMerge/>
            <w:tcBorders>
              <w:left w:val="single" w:sz="4" w:space="0" w:color="auto"/>
              <w:bottom w:val="single" w:sz="4" w:space="0" w:color="auto"/>
              <w:right w:val="single" w:sz="4" w:space="0" w:color="auto"/>
            </w:tcBorders>
          </w:tcPr>
          <w:p w14:paraId="2DC39E17" w14:textId="77777777" w:rsidR="00CF641C" w:rsidRPr="00520861" w:rsidRDefault="00CF641C" w:rsidP="00292D2E">
            <w:pPr>
              <w:widowControl w:val="0"/>
              <w:spacing w:line="360" w:lineRule="auto"/>
              <w:rPr>
                <w:rFonts w:eastAsia="Calibri"/>
                <w:sz w:val="28"/>
                <w:szCs w:val="28"/>
              </w:rPr>
            </w:pPr>
          </w:p>
        </w:tc>
        <w:tc>
          <w:tcPr>
            <w:tcW w:w="3867" w:type="dxa"/>
            <w:gridSpan w:val="2"/>
            <w:shd w:val="clear" w:color="auto" w:fill="auto"/>
          </w:tcPr>
          <w:p w14:paraId="4494944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Тварини віком 12 місяців</w:t>
            </w:r>
          </w:p>
        </w:tc>
        <w:tc>
          <w:tcPr>
            <w:tcW w:w="3856" w:type="dxa"/>
            <w:gridSpan w:val="2"/>
            <w:shd w:val="clear" w:color="auto" w:fill="auto"/>
          </w:tcPr>
          <w:p w14:paraId="130A0D71"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eastAsia="en-US"/>
              </w:rPr>
              <w:t>Тварини віком 18 місяців</w:t>
            </w:r>
          </w:p>
        </w:tc>
      </w:tr>
      <w:tr w:rsidR="00CF641C" w:rsidRPr="00520861" w14:paraId="3C62403D" w14:textId="77777777" w:rsidTr="00292D2E">
        <w:trPr>
          <w:jc w:val="center"/>
        </w:trPr>
        <w:tc>
          <w:tcPr>
            <w:tcW w:w="1627" w:type="dxa"/>
            <w:tcBorders>
              <w:top w:val="single" w:sz="4" w:space="0" w:color="auto"/>
              <w:left w:val="single" w:sz="4" w:space="0" w:color="auto"/>
              <w:bottom w:val="single" w:sz="4" w:space="0" w:color="auto"/>
              <w:right w:val="single" w:sz="4" w:space="0" w:color="auto"/>
            </w:tcBorders>
            <w:hideMark/>
          </w:tcPr>
          <w:p w14:paraId="6B90C5AC" w14:textId="77777777" w:rsidR="00CF641C" w:rsidRPr="00520861" w:rsidRDefault="00CF641C" w:rsidP="00292D2E">
            <w:pPr>
              <w:widowControl w:val="0"/>
              <w:spacing w:line="360" w:lineRule="auto"/>
              <w:rPr>
                <w:rFonts w:eastAsia="Calibri"/>
                <w:sz w:val="28"/>
                <w:szCs w:val="28"/>
                <w:lang w:val="en-US"/>
              </w:rPr>
            </w:pPr>
            <w:r w:rsidRPr="00520861">
              <w:rPr>
                <w:rFonts w:eastAsia="Calibri"/>
                <w:sz w:val="28"/>
                <w:szCs w:val="28"/>
                <w:lang w:val="ru-RU"/>
              </w:rPr>
              <w:t>Контроль</w:t>
            </w:r>
            <w:r w:rsidRPr="00520861">
              <w:rPr>
                <w:rFonts w:eastAsia="Calibri"/>
                <w:sz w:val="28"/>
                <w:szCs w:val="28"/>
              </w:rPr>
              <w:t xml:space="preserve"> </w:t>
            </w:r>
          </w:p>
        </w:tc>
        <w:tc>
          <w:tcPr>
            <w:tcW w:w="1937" w:type="dxa"/>
            <w:tcBorders>
              <w:top w:val="single" w:sz="4" w:space="0" w:color="auto"/>
              <w:left w:val="single" w:sz="4" w:space="0" w:color="auto"/>
              <w:bottom w:val="single" w:sz="4" w:space="0" w:color="auto"/>
              <w:right w:val="single" w:sz="4" w:space="0" w:color="auto"/>
            </w:tcBorders>
          </w:tcPr>
          <w:p w14:paraId="2BFC3B4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0,378</w:t>
            </w:r>
          </w:p>
          <w:p w14:paraId="067B5DA1"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(0,449; 0,348)</w:t>
            </w:r>
          </w:p>
        </w:tc>
        <w:tc>
          <w:tcPr>
            <w:tcW w:w="1930" w:type="dxa"/>
            <w:tcBorders>
              <w:top w:val="single" w:sz="4" w:space="0" w:color="auto"/>
              <w:left w:val="single" w:sz="4" w:space="0" w:color="auto"/>
              <w:bottom w:val="single" w:sz="4" w:space="0" w:color="auto"/>
              <w:right w:val="single" w:sz="4" w:space="0" w:color="auto"/>
            </w:tcBorders>
          </w:tcPr>
          <w:p w14:paraId="45C39180"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0,123</w:t>
            </w:r>
          </w:p>
          <w:p w14:paraId="7AB1B530"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(0,145; 0,105)</w:t>
            </w:r>
          </w:p>
        </w:tc>
        <w:tc>
          <w:tcPr>
            <w:tcW w:w="2039" w:type="dxa"/>
            <w:tcBorders>
              <w:top w:val="single" w:sz="4" w:space="0" w:color="auto"/>
              <w:left w:val="single" w:sz="4" w:space="0" w:color="auto"/>
              <w:bottom w:val="single" w:sz="4" w:space="0" w:color="auto"/>
              <w:right w:val="single" w:sz="4" w:space="0" w:color="auto"/>
            </w:tcBorders>
          </w:tcPr>
          <w:p w14:paraId="0E80DC8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0,412</w:t>
            </w:r>
          </w:p>
          <w:p w14:paraId="00995568" w14:textId="77777777" w:rsidR="00CF641C" w:rsidRPr="00520861" w:rsidRDefault="00CF641C" w:rsidP="00292D2E">
            <w:pPr>
              <w:widowControl w:val="0"/>
              <w:spacing w:line="360" w:lineRule="auto"/>
              <w:jc w:val="center"/>
              <w:rPr>
                <w:rFonts w:eastAsia="Calibri"/>
                <w:sz w:val="28"/>
                <w:szCs w:val="28"/>
                <w:lang w:val="ru-RU"/>
              </w:rPr>
            </w:pPr>
            <w:r w:rsidRPr="00520861">
              <w:rPr>
                <w:rFonts w:eastAsia="Calibri"/>
                <w:sz w:val="28"/>
                <w:szCs w:val="28"/>
                <w:lang w:val="ru-RU" w:eastAsia="en-US"/>
              </w:rPr>
              <w:t>(0,434; 0,373)</w:t>
            </w:r>
          </w:p>
        </w:tc>
        <w:tc>
          <w:tcPr>
            <w:tcW w:w="1817" w:type="dxa"/>
            <w:tcBorders>
              <w:top w:val="single" w:sz="4" w:space="0" w:color="auto"/>
              <w:left w:val="single" w:sz="4" w:space="0" w:color="auto"/>
              <w:bottom w:val="single" w:sz="4" w:space="0" w:color="auto"/>
              <w:right w:val="single" w:sz="4" w:space="0" w:color="auto"/>
            </w:tcBorders>
          </w:tcPr>
          <w:p w14:paraId="156E1DE6"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0,117</w:t>
            </w:r>
          </w:p>
          <w:p w14:paraId="3C7DACFD" w14:textId="77777777" w:rsidR="00CF641C" w:rsidRPr="00520861" w:rsidRDefault="00CF641C" w:rsidP="00292D2E">
            <w:pPr>
              <w:widowControl w:val="0"/>
              <w:spacing w:line="360" w:lineRule="auto"/>
              <w:jc w:val="center"/>
              <w:rPr>
                <w:rFonts w:eastAsia="Calibri"/>
                <w:sz w:val="28"/>
                <w:szCs w:val="28"/>
                <w:lang w:val="ru-RU"/>
              </w:rPr>
            </w:pPr>
            <w:r w:rsidRPr="00520861">
              <w:rPr>
                <w:rFonts w:eastAsia="Calibri"/>
                <w:sz w:val="28"/>
                <w:szCs w:val="28"/>
                <w:lang w:val="ru-RU" w:eastAsia="en-US"/>
              </w:rPr>
              <w:t>(0,131; 0,108)</w:t>
            </w:r>
            <w:r w:rsidRPr="00520861">
              <w:rPr>
                <w:rFonts w:eastAsia="Calibri"/>
                <w:sz w:val="28"/>
                <w:szCs w:val="28"/>
                <w:lang w:eastAsia="en-US"/>
              </w:rPr>
              <w:t xml:space="preserve"> </w:t>
            </w:r>
          </w:p>
        </w:tc>
      </w:tr>
      <w:tr w:rsidR="00CF641C" w:rsidRPr="00520861" w14:paraId="3A54DE98" w14:textId="77777777" w:rsidTr="00292D2E">
        <w:trPr>
          <w:jc w:val="center"/>
        </w:trPr>
        <w:tc>
          <w:tcPr>
            <w:tcW w:w="1627" w:type="dxa"/>
            <w:tcBorders>
              <w:top w:val="single" w:sz="4" w:space="0" w:color="auto"/>
              <w:left w:val="single" w:sz="4" w:space="0" w:color="auto"/>
              <w:bottom w:val="single" w:sz="4" w:space="0" w:color="auto"/>
              <w:right w:val="single" w:sz="4" w:space="0" w:color="auto"/>
            </w:tcBorders>
          </w:tcPr>
          <w:p w14:paraId="2047298C"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1 </w:t>
            </w:r>
          </w:p>
        </w:tc>
        <w:tc>
          <w:tcPr>
            <w:tcW w:w="1937" w:type="dxa"/>
            <w:tcBorders>
              <w:top w:val="single" w:sz="4" w:space="0" w:color="auto"/>
              <w:left w:val="single" w:sz="4" w:space="0" w:color="auto"/>
              <w:bottom w:val="single" w:sz="4" w:space="0" w:color="auto"/>
              <w:right w:val="single" w:sz="4" w:space="0" w:color="auto"/>
            </w:tcBorders>
          </w:tcPr>
          <w:p w14:paraId="65119AF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0,375</w:t>
            </w:r>
          </w:p>
          <w:p w14:paraId="6F734EB8"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(0,433; 0,313)</w:t>
            </w:r>
          </w:p>
          <w:p w14:paraId="359FEA3F"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046757</w:t>
            </w:r>
          </w:p>
        </w:tc>
        <w:tc>
          <w:tcPr>
            <w:tcW w:w="1930" w:type="dxa"/>
            <w:tcBorders>
              <w:top w:val="single" w:sz="4" w:space="0" w:color="auto"/>
              <w:left w:val="single" w:sz="4" w:space="0" w:color="auto"/>
              <w:bottom w:val="single" w:sz="4" w:space="0" w:color="auto"/>
              <w:right w:val="single" w:sz="4" w:space="0" w:color="auto"/>
            </w:tcBorders>
          </w:tcPr>
          <w:p w14:paraId="52EA4109"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0,102</w:t>
            </w:r>
          </w:p>
          <w:p w14:paraId="7FCDE16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(0,105; 0,093)</w:t>
            </w:r>
            <w:r w:rsidRPr="00520861">
              <w:rPr>
                <w:rFonts w:eastAsia="Calibri"/>
                <w:sz w:val="28"/>
                <w:szCs w:val="28"/>
                <w:lang w:eastAsia="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334927</w:t>
            </w:r>
          </w:p>
        </w:tc>
        <w:tc>
          <w:tcPr>
            <w:tcW w:w="2039" w:type="dxa"/>
            <w:tcBorders>
              <w:top w:val="single" w:sz="4" w:space="0" w:color="auto"/>
              <w:left w:val="single" w:sz="4" w:space="0" w:color="auto"/>
              <w:bottom w:val="single" w:sz="4" w:space="0" w:color="auto"/>
              <w:right w:val="single" w:sz="4" w:space="0" w:color="auto"/>
            </w:tcBorders>
          </w:tcPr>
          <w:p w14:paraId="184D95F9"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0,286</w:t>
            </w:r>
            <w:r w:rsidRPr="00520861">
              <w:rPr>
                <w:sz w:val="28"/>
                <w:szCs w:val="28"/>
              </w:rPr>
              <w:t>*</w:t>
            </w:r>
          </w:p>
          <w:p w14:paraId="737F2BAC"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(0,321; 0,236)</w:t>
            </w:r>
            <w:r w:rsidRPr="00520861">
              <w:rPr>
                <w:rFonts w:eastAsia="Calibri"/>
                <w:sz w:val="28"/>
                <w:szCs w:val="28"/>
                <w:lang w:eastAsia="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000017</w:t>
            </w:r>
          </w:p>
        </w:tc>
        <w:tc>
          <w:tcPr>
            <w:tcW w:w="1817" w:type="dxa"/>
            <w:tcBorders>
              <w:top w:val="single" w:sz="4" w:space="0" w:color="auto"/>
              <w:left w:val="single" w:sz="4" w:space="0" w:color="auto"/>
              <w:bottom w:val="single" w:sz="4" w:space="0" w:color="auto"/>
              <w:right w:val="single" w:sz="4" w:space="0" w:color="auto"/>
            </w:tcBorders>
          </w:tcPr>
          <w:p w14:paraId="70BB6ADB"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0,103</w:t>
            </w:r>
            <w:r w:rsidRPr="00520861">
              <w:rPr>
                <w:sz w:val="28"/>
                <w:szCs w:val="28"/>
              </w:rPr>
              <w:t>*</w:t>
            </w:r>
          </w:p>
          <w:p w14:paraId="60FF39AF"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(0,106; 0,100)</w:t>
            </w:r>
            <w:r w:rsidRPr="00520861">
              <w:rPr>
                <w:rFonts w:eastAsia="Calibri"/>
                <w:sz w:val="28"/>
                <w:szCs w:val="28"/>
                <w:lang w:eastAsia="en-US"/>
              </w:rPr>
              <w:t xml:space="preserve"> </w:t>
            </w:r>
            <w:proofErr w:type="gramStart"/>
            <w:r w:rsidRPr="00520861">
              <w:rPr>
                <w:i/>
                <w:sz w:val="28"/>
                <w:szCs w:val="28"/>
                <w:lang w:val="en-US"/>
              </w:rPr>
              <w:t>p</w:t>
            </w:r>
            <w:r w:rsidRPr="00520861">
              <w:rPr>
                <w:sz w:val="28"/>
                <w:szCs w:val="28"/>
                <w:lang w:val="en-US"/>
              </w:rPr>
              <w:t>&lt;</w:t>
            </w:r>
            <w:proofErr w:type="gramEnd"/>
            <w:r w:rsidRPr="00520861">
              <w:rPr>
                <w:sz w:val="28"/>
                <w:szCs w:val="28"/>
                <w:lang w:val="en-US"/>
              </w:rPr>
              <w:t>0</w:t>
            </w:r>
            <w:r w:rsidRPr="00520861">
              <w:rPr>
                <w:sz w:val="28"/>
                <w:szCs w:val="28"/>
              </w:rPr>
              <w:t>,</w:t>
            </w:r>
            <w:r w:rsidRPr="00520861">
              <w:rPr>
                <w:sz w:val="28"/>
                <w:szCs w:val="28"/>
                <w:lang w:val="en-US"/>
              </w:rPr>
              <w:t>000001</w:t>
            </w:r>
          </w:p>
        </w:tc>
      </w:tr>
      <w:tr w:rsidR="00CF641C" w:rsidRPr="00520861" w14:paraId="6899E619" w14:textId="77777777" w:rsidTr="00292D2E">
        <w:trPr>
          <w:jc w:val="center"/>
        </w:trPr>
        <w:tc>
          <w:tcPr>
            <w:tcW w:w="1627" w:type="dxa"/>
            <w:tcBorders>
              <w:top w:val="single" w:sz="4" w:space="0" w:color="auto"/>
              <w:left w:val="single" w:sz="4" w:space="0" w:color="auto"/>
              <w:bottom w:val="single" w:sz="4" w:space="0" w:color="auto"/>
              <w:right w:val="single" w:sz="4" w:space="0" w:color="auto"/>
            </w:tcBorders>
          </w:tcPr>
          <w:p w14:paraId="64EC35E6"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ru-RU"/>
              </w:rPr>
              <w:t xml:space="preserve"> 2</w:t>
            </w:r>
          </w:p>
        </w:tc>
        <w:tc>
          <w:tcPr>
            <w:tcW w:w="1937" w:type="dxa"/>
            <w:tcBorders>
              <w:top w:val="single" w:sz="4" w:space="0" w:color="auto"/>
              <w:left w:val="single" w:sz="4" w:space="0" w:color="auto"/>
              <w:bottom w:val="single" w:sz="4" w:space="0" w:color="auto"/>
              <w:right w:val="single" w:sz="4" w:space="0" w:color="auto"/>
            </w:tcBorders>
          </w:tcPr>
          <w:p w14:paraId="54DC99BC"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ru-RU" w:eastAsia="en-US"/>
              </w:rPr>
              <w:t>0,</w:t>
            </w:r>
            <w:r w:rsidRPr="00520861">
              <w:rPr>
                <w:rFonts w:eastAsia="Calibri"/>
                <w:sz w:val="28"/>
                <w:szCs w:val="28"/>
                <w:lang w:val="en-US" w:eastAsia="en-US"/>
              </w:rPr>
              <w:t>392</w:t>
            </w:r>
            <w:r w:rsidRPr="00520861">
              <w:rPr>
                <w:sz w:val="28"/>
                <w:szCs w:val="28"/>
              </w:rPr>
              <w:t>*</w:t>
            </w:r>
          </w:p>
          <w:p w14:paraId="2E02B1B1"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(0,416; 0,375)</w:t>
            </w:r>
          </w:p>
          <w:p w14:paraId="38679876" w14:textId="77777777" w:rsidR="00CF641C" w:rsidRPr="00520861" w:rsidRDefault="00CF641C" w:rsidP="00292D2E">
            <w:pPr>
              <w:widowControl w:val="0"/>
              <w:spacing w:line="360" w:lineRule="auto"/>
              <w:jc w:val="center"/>
              <w:rPr>
                <w:rFonts w:eastAsia="Calibri"/>
                <w:sz w:val="28"/>
                <w:szCs w:val="28"/>
                <w:lang w:val="en-US"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001721</w:t>
            </w:r>
          </w:p>
        </w:tc>
        <w:tc>
          <w:tcPr>
            <w:tcW w:w="1930" w:type="dxa"/>
            <w:tcBorders>
              <w:top w:val="single" w:sz="4" w:space="0" w:color="auto"/>
              <w:left w:val="single" w:sz="4" w:space="0" w:color="auto"/>
              <w:bottom w:val="single" w:sz="4" w:space="0" w:color="auto"/>
              <w:right w:val="single" w:sz="4" w:space="0" w:color="auto"/>
            </w:tcBorders>
          </w:tcPr>
          <w:p w14:paraId="7950B371"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0,117</w:t>
            </w:r>
            <w:r w:rsidRPr="00520861">
              <w:rPr>
                <w:sz w:val="28"/>
                <w:szCs w:val="28"/>
              </w:rPr>
              <w:t>*</w:t>
            </w:r>
          </w:p>
          <w:p w14:paraId="2800E851"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(0,128; 0,111)</w:t>
            </w:r>
            <w:r w:rsidRPr="00520861">
              <w:rPr>
                <w:rFonts w:eastAsia="Calibri"/>
                <w:sz w:val="28"/>
                <w:szCs w:val="28"/>
                <w:lang w:eastAsia="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000033</w:t>
            </w:r>
          </w:p>
        </w:tc>
        <w:tc>
          <w:tcPr>
            <w:tcW w:w="2039" w:type="dxa"/>
            <w:tcBorders>
              <w:top w:val="single" w:sz="4" w:space="0" w:color="auto"/>
              <w:left w:val="single" w:sz="4" w:space="0" w:color="auto"/>
              <w:bottom w:val="single" w:sz="4" w:space="0" w:color="auto"/>
              <w:right w:val="single" w:sz="4" w:space="0" w:color="auto"/>
            </w:tcBorders>
          </w:tcPr>
          <w:p w14:paraId="45DD456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0,322</w:t>
            </w:r>
          </w:p>
          <w:p w14:paraId="54BCD31E"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(0,401; 0,290)</w:t>
            </w:r>
            <w:r w:rsidRPr="00520861">
              <w:rPr>
                <w:rFonts w:eastAsia="Calibri"/>
                <w:sz w:val="28"/>
                <w:szCs w:val="28"/>
                <w:lang w:eastAsia="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022878</w:t>
            </w:r>
          </w:p>
        </w:tc>
        <w:tc>
          <w:tcPr>
            <w:tcW w:w="1817" w:type="dxa"/>
            <w:tcBorders>
              <w:top w:val="single" w:sz="4" w:space="0" w:color="auto"/>
              <w:left w:val="single" w:sz="4" w:space="0" w:color="auto"/>
              <w:bottom w:val="single" w:sz="4" w:space="0" w:color="auto"/>
              <w:right w:val="single" w:sz="4" w:space="0" w:color="auto"/>
            </w:tcBorders>
          </w:tcPr>
          <w:p w14:paraId="6AFBF70B"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0,109</w:t>
            </w:r>
            <w:r w:rsidRPr="00520861">
              <w:rPr>
                <w:sz w:val="28"/>
                <w:szCs w:val="28"/>
              </w:rPr>
              <w:t>*</w:t>
            </w:r>
          </w:p>
          <w:p w14:paraId="5F415655"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(0,115; 0,103)</w:t>
            </w:r>
            <w:r w:rsidRPr="00520861">
              <w:rPr>
                <w:rFonts w:eastAsia="Calibri"/>
                <w:sz w:val="28"/>
                <w:szCs w:val="28"/>
                <w:lang w:eastAsia="en-US"/>
              </w:rPr>
              <w:t xml:space="preserve"> </w:t>
            </w: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000034</w:t>
            </w:r>
          </w:p>
        </w:tc>
      </w:tr>
      <w:tr w:rsidR="00CF641C" w:rsidRPr="00520861" w14:paraId="5254873F" w14:textId="77777777" w:rsidTr="00292D2E">
        <w:trPr>
          <w:trHeight w:val="738"/>
          <w:jc w:val="center"/>
        </w:trPr>
        <w:tc>
          <w:tcPr>
            <w:tcW w:w="1627" w:type="dxa"/>
            <w:tcBorders>
              <w:top w:val="single" w:sz="4" w:space="0" w:color="auto"/>
              <w:left w:val="single" w:sz="4" w:space="0" w:color="auto"/>
              <w:bottom w:val="single" w:sz="4" w:space="0" w:color="auto"/>
              <w:right w:val="single" w:sz="4" w:space="0" w:color="auto"/>
            </w:tcBorders>
            <w:hideMark/>
          </w:tcPr>
          <w:p w14:paraId="731D4A82" w14:textId="77777777" w:rsidR="00CF641C" w:rsidRPr="00520861" w:rsidRDefault="00CF641C" w:rsidP="00292D2E">
            <w:pPr>
              <w:widowControl w:val="0"/>
              <w:spacing w:line="360" w:lineRule="auto"/>
              <w:jc w:val="both"/>
              <w:rPr>
                <w:sz w:val="28"/>
                <w:szCs w:val="28"/>
              </w:rPr>
            </w:pPr>
            <w:r w:rsidRPr="00520861">
              <w:rPr>
                <w:sz w:val="28"/>
                <w:szCs w:val="28"/>
                <w:lang w:val="ru-RU"/>
              </w:rPr>
              <w:t>Г</w:t>
            </w:r>
            <w:proofErr w:type="spellStart"/>
            <w:r w:rsidRPr="00520861">
              <w:rPr>
                <w:sz w:val="28"/>
                <w:szCs w:val="28"/>
              </w:rPr>
              <w:t>рупа</w:t>
            </w:r>
            <w:proofErr w:type="spellEnd"/>
            <w:r w:rsidRPr="00520861">
              <w:rPr>
                <w:sz w:val="28"/>
                <w:szCs w:val="28"/>
                <w:lang w:val="ru-RU"/>
              </w:rPr>
              <w:t xml:space="preserve"> 3 </w:t>
            </w:r>
          </w:p>
        </w:tc>
        <w:tc>
          <w:tcPr>
            <w:tcW w:w="1937" w:type="dxa"/>
            <w:tcBorders>
              <w:top w:val="single" w:sz="4" w:space="0" w:color="auto"/>
              <w:left w:val="single" w:sz="4" w:space="0" w:color="auto"/>
              <w:bottom w:val="single" w:sz="4" w:space="0" w:color="auto"/>
              <w:right w:val="single" w:sz="4" w:space="0" w:color="auto"/>
            </w:tcBorders>
          </w:tcPr>
          <w:p w14:paraId="45C05FF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0,489</w:t>
            </w:r>
            <w:r w:rsidRPr="00520861">
              <w:rPr>
                <w:sz w:val="28"/>
                <w:szCs w:val="28"/>
              </w:rPr>
              <w:t>*</w:t>
            </w:r>
          </w:p>
          <w:p w14:paraId="002ED251"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(0,526; 0,449)</w:t>
            </w:r>
          </w:p>
          <w:p w14:paraId="1F470E66"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&lt;0</w:t>
            </w:r>
            <w:r w:rsidRPr="00520861">
              <w:rPr>
                <w:sz w:val="28"/>
                <w:szCs w:val="28"/>
              </w:rPr>
              <w:t>,</w:t>
            </w:r>
            <w:r w:rsidRPr="00520861">
              <w:rPr>
                <w:sz w:val="28"/>
                <w:szCs w:val="28"/>
                <w:lang w:val="en-US"/>
              </w:rPr>
              <w:t>000001</w:t>
            </w:r>
          </w:p>
        </w:tc>
        <w:tc>
          <w:tcPr>
            <w:tcW w:w="1930" w:type="dxa"/>
            <w:tcBorders>
              <w:top w:val="single" w:sz="4" w:space="0" w:color="auto"/>
              <w:left w:val="single" w:sz="4" w:space="0" w:color="auto"/>
              <w:bottom w:val="single" w:sz="4" w:space="0" w:color="auto"/>
              <w:right w:val="single" w:sz="4" w:space="0" w:color="auto"/>
            </w:tcBorders>
          </w:tcPr>
          <w:p w14:paraId="04000F8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0,083</w:t>
            </w:r>
            <w:r w:rsidRPr="00520861">
              <w:rPr>
                <w:sz w:val="28"/>
                <w:szCs w:val="28"/>
              </w:rPr>
              <w:t>*</w:t>
            </w:r>
          </w:p>
          <w:p w14:paraId="1160D0A4"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(0,094; 0,076)</w:t>
            </w:r>
          </w:p>
          <w:p w14:paraId="4A30DD33"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0001210</w:t>
            </w:r>
          </w:p>
        </w:tc>
        <w:tc>
          <w:tcPr>
            <w:tcW w:w="2039" w:type="dxa"/>
            <w:tcBorders>
              <w:top w:val="single" w:sz="4" w:space="0" w:color="auto"/>
              <w:left w:val="single" w:sz="4" w:space="0" w:color="auto"/>
              <w:bottom w:val="single" w:sz="4" w:space="0" w:color="auto"/>
              <w:right w:val="single" w:sz="4" w:space="0" w:color="auto"/>
            </w:tcBorders>
          </w:tcPr>
          <w:p w14:paraId="4FA2BB27"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0,319</w:t>
            </w:r>
            <w:r w:rsidRPr="00520861">
              <w:rPr>
                <w:sz w:val="28"/>
                <w:szCs w:val="28"/>
              </w:rPr>
              <w:t>*</w:t>
            </w:r>
          </w:p>
          <w:p w14:paraId="30F2A7E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ru-RU" w:eastAsia="en-US"/>
              </w:rPr>
              <w:t>(0,352; 0,276</w:t>
            </w:r>
            <w:r w:rsidRPr="00520861">
              <w:rPr>
                <w:rFonts w:eastAsia="Calibri"/>
                <w:sz w:val="28"/>
                <w:szCs w:val="28"/>
                <w:lang w:eastAsia="en-US"/>
              </w:rPr>
              <w:t>)</w:t>
            </w:r>
          </w:p>
          <w:p w14:paraId="68200F80"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000127</w:t>
            </w:r>
          </w:p>
        </w:tc>
        <w:tc>
          <w:tcPr>
            <w:tcW w:w="1817" w:type="dxa"/>
            <w:tcBorders>
              <w:top w:val="single" w:sz="4" w:space="0" w:color="auto"/>
              <w:left w:val="single" w:sz="4" w:space="0" w:color="auto"/>
              <w:bottom w:val="single" w:sz="4" w:space="0" w:color="auto"/>
              <w:right w:val="single" w:sz="4" w:space="0" w:color="auto"/>
            </w:tcBorders>
          </w:tcPr>
          <w:p w14:paraId="30FF7F63"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0,073</w:t>
            </w:r>
            <w:r w:rsidRPr="00520861">
              <w:rPr>
                <w:sz w:val="28"/>
                <w:szCs w:val="28"/>
              </w:rPr>
              <w:t>*</w:t>
            </w:r>
          </w:p>
          <w:p w14:paraId="54C6C34B"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(0,080; 0,054)</w:t>
            </w:r>
          </w:p>
          <w:p w14:paraId="683EF547" w14:textId="77777777" w:rsidR="00CF641C" w:rsidRPr="00520861" w:rsidRDefault="00CF641C" w:rsidP="00292D2E">
            <w:pPr>
              <w:widowControl w:val="0"/>
              <w:spacing w:line="360" w:lineRule="auto"/>
              <w:jc w:val="center"/>
              <w:rPr>
                <w:rFonts w:eastAsia="Calibri"/>
                <w:sz w:val="28"/>
                <w:szCs w:val="28"/>
                <w:lang w:val="en-US"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000008</w:t>
            </w:r>
          </w:p>
        </w:tc>
      </w:tr>
      <w:tr w:rsidR="00CF641C" w:rsidRPr="00520861" w14:paraId="04C9F030" w14:textId="77777777" w:rsidTr="00292D2E">
        <w:trPr>
          <w:jc w:val="center"/>
        </w:trPr>
        <w:tc>
          <w:tcPr>
            <w:tcW w:w="1627" w:type="dxa"/>
            <w:tcBorders>
              <w:top w:val="single" w:sz="4" w:space="0" w:color="auto"/>
              <w:left w:val="single" w:sz="4" w:space="0" w:color="auto"/>
              <w:bottom w:val="single" w:sz="4" w:space="0" w:color="auto"/>
              <w:right w:val="single" w:sz="4" w:space="0" w:color="auto"/>
            </w:tcBorders>
            <w:hideMark/>
          </w:tcPr>
          <w:p w14:paraId="0FD56FA7"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4 </w:t>
            </w:r>
          </w:p>
        </w:tc>
        <w:tc>
          <w:tcPr>
            <w:tcW w:w="1937" w:type="dxa"/>
            <w:tcBorders>
              <w:top w:val="single" w:sz="4" w:space="0" w:color="auto"/>
              <w:left w:val="single" w:sz="4" w:space="0" w:color="auto"/>
              <w:bottom w:val="single" w:sz="4" w:space="0" w:color="auto"/>
              <w:right w:val="single" w:sz="4" w:space="0" w:color="auto"/>
            </w:tcBorders>
          </w:tcPr>
          <w:p w14:paraId="0A292580"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0,525</w:t>
            </w:r>
            <w:r w:rsidRPr="00520861">
              <w:rPr>
                <w:sz w:val="28"/>
                <w:szCs w:val="28"/>
              </w:rPr>
              <w:t>*</w:t>
            </w:r>
          </w:p>
          <w:p w14:paraId="67904C15"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(0,575; 0,392)</w:t>
            </w:r>
          </w:p>
          <w:p w14:paraId="25C39E64"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&lt;0</w:t>
            </w:r>
            <w:r w:rsidRPr="00520861">
              <w:rPr>
                <w:sz w:val="28"/>
                <w:szCs w:val="28"/>
              </w:rPr>
              <w:t>,</w:t>
            </w:r>
            <w:r w:rsidRPr="00520861">
              <w:rPr>
                <w:sz w:val="28"/>
                <w:szCs w:val="28"/>
                <w:lang w:val="en-US"/>
              </w:rPr>
              <w:t>000001</w:t>
            </w:r>
          </w:p>
        </w:tc>
        <w:tc>
          <w:tcPr>
            <w:tcW w:w="1930" w:type="dxa"/>
            <w:tcBorders>
              <w:top w:val="single" w:sz="4" w:space="0" w:color="auto"/>
              <w:left w:val="single" w:sz="4" w:space="0" w:color="auto"/>
              <w:bottom w:val="single" w:sz="4" w:space="0" w:color="auto"/>
              <w:right w:val="single" w:sz="4" w:space="0" w:color="auto"/>
            </w:tcBorders>
          </w:tcPr>
          <w:p w14:paraId="5CA03738"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0,087</w:t>
            </w:r>
            <w:r w:rsidRPr="00520861">
              <w:rPr>
                <w:sz w:val="28"/>
                <w:szCs w:val="28"/>
              </w:rPr>
              <w:t>*</w:t>
            </w:r>
          </w:p>
          <w:p w14:paraId="097357D5"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(0,094; 0,078)</w:t>
            </w:r>
          </w:p>
          <w:p w14:paraId="28FD3CDA"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&lt;0</w:t>
            </w:r>
            <w:r w:rsidRPr="00520861">
              <w:rPr>
                <w:sz w:val="28"/>
                <w:szCs w:val="28"/>
              </w:rPr>
              <w:t>,</w:t>
            </w:r>
            <w:r w:rsidRPr="00520861">
              <w:rPr>
                <w:sz w:val="28"/>
                <w:szCs w:val="28"/>
                <w:lang w:val="en-US"/>
              </w:rPr>
              <w:t>000001</w:t>
            </w:r>
          </w:p>
        </w:tc>
        <w:tc>
          <w:tcPr>
            <w:tcW w:w="2039" w:type="dxa"/>
            <w:tcBorders>
              <w:top w:val="single" w:sz="4" w:space="0" w:color="auto"/>
              <w:left w:val="single" w:sz="4" w:space="0" w:color="auto"/>
              <w:bottom w:val="single" w:sz="4" w:space="0" w:color="auto"/>
              <w:right w:val="single" w:sz="4" w:space="0" w:color="auto"/>
            </w:tcBorders>
          </w:tcPr>
          <w:p w14:paraId="1614530F"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0,282</w:t>
            </w:r>
          </w:p>
          <w:p w14:paraId="24C33474"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(0,416; 0,262)</w:t>
            </w:r>
          </w:p>
          <w:p w14:paraId="6FBFFCFC"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094211</w:t>
            </w:r>
          </w:p>
        </w:tc>
        <w:tc>
          <w:tcPr>
            <w:tcW w:w="1817" w:type="dxa"/>
            <w:tcBorders>
              <w:top w:val="single" w:sz="4" w:space="0" w:color="auto"/>
              <w:left w:val="single" w:sz="4" w:space="0" w:color="auto"/>
              <w:bottom w:val="single" w:sz="4" w:space="0" w:color="auto"/>
              <w:right w:val="single" w:sz="4" w:space="0" w:color="auto"/>
            </w:tcBorders>
          </w:tcPr>
          <w:p w14:paraId="33594E40"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0,072</w:t>
            </w:r>
            <w:r w:rsidRPr="00520861">
              <w:rPr>
                <w:sz w:val="28"/>
                <w:szCs w:val="28"/>
              </w:rPr>
              <w:t>*</w:t>
            </w:r>
          </w:p>
          <w:p w14:paraId="041BCD16" w14:textId="77777777" w:rsidR="00CF641C" w:rsidRPr="00520861" w:rsidRDefault="00CF641C" w:rsidP="00292D2E">
            <w:pPr>
              <w:widowControl w:val="0"/>
              <w:spacing w:line="360" w:lineRule="auto"/>
              <w:jc w:val="center"/>
              <w:rPr>
                <w:rFonts w:eastAsia="Calibri"/>
                <w:sz w:val="28"/>
                <w:szCs w:val="28"/>
                <w:lang w:val="ru-RU" w:eastAsia="en-US"/>
              </w:rPr>
            </w:pPr>
            <w:r w:rsidRPr="00520861">
              <w:rPr>
                <w:rFonts w:eastAsia="Calibri"/>
                <w:sz w:val="28"/>
                <w:szCs w:val="28"/>
                <w:lang w:val="ru-RU" w:eastAsia="en-US"/>
              </w:rPr>
              <w:t>(0,084; 0,066)</w:t>
            </w:r>
          </w:p>
          <w:p w14:paraId="399784AF" w14:textId="77777777" w:rsidR="00CF641C" w:rsidRPr="00520861" w:rsidRDefault="00CF641C" w:rsidP="00292D2E">
            <w:pPr>
              <w:widowControl w:val="0"/>
              <w:spacing w:line="360" w:lineRule="auto"/>
              <w:jc w:val="center"/>
              <w:rPr>
                <w:rFonts w:eastAsia="Calibri"/>
                <w:sz w:val="28"/>
                <w:szCs w:val="28"/>
                <w:lang w:val="ru-RU" w:eastAsia="en-US"/>
              </w:rPr>
            </w:pPr>
            <w:r w:rsidRPr="00520861">
              <w:rPr>
                <w:i/>
                <w:sz w:val="28"/>
                <w:szCs w:val="28"/>
                <w:lang w:val="en-US"/>
              </w:rPr>
              <w:t>p</w:t>
            </w:r>
            <w:r w:rsidRPr="00520861">
              <w:rPr>
                <w:sz w:val="28"/>
                <w:szCs w:val="28"/>
                <w:lang w:val="en-US"/>
              </w:rPr>
              <w:t>=0</w:t>
            </w:r>
            <w:r w:rsidRPr="00520861">
              <w:rPr>
                <w:sz w:val="28"/>
                <w:szCs w:val="28"/>
              </w:rPr>
              <w:t>,</w:t>
            </w:r>
            <w:r w:rsidRPr="00520861">
              <w:rPr>
                <w:sz w:val="28"/>
                <w:szCs w:val="28"/>
                <w:lang w:val="en-US"/>
              </w:rPr>
              <w:t>000276</w:t>
            </w:r>
          </w:p>
        </w:tc>
      </w:tr>
    </w:tbl>
    <w:p w14:paraId="52102745"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відмінність від групи контролю вірогідна із ймовірністю похибки </w:t>
      </w:r>
      <w:r w:rsidRPr="00520861">
        <w:rPr>
          <w:rFonts w:eastAsia="Calibri"/>
          <w:i/>
          <w:sz w:val="28"/>
          <w:szCs w:val="28"/>
          <w:lang w:val="en-US" w:eastAsia="en-US"/>
        </w:rPr>
        <w:t>p</w:t>
      </w:r>
      <w:r w:rsidR="0018359D"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50BF66FE"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lastRenderedPageBreak/>
        <w:t xml:space="preserve">У </w:t>
      </w:r>
      <w:r w:rsidRPr="00520861">
        <w:rPr>
          <w:rFonts w:eastAsia="Calibri"/>
          <w:sz w:val="28"/>
          <w:szCs w:val="28"/>
          <w:lang w:eastAsia="en-US"/>
        </w:rPr>
        <w:t xml:space="preserve">12-місячних </w:t>
      </w:r>
      <w:r w:rsidRPr="00520861">
        <w:rPr>
          <w:rFonts w:eastAsia="Calibri"/>
          <w:color w:val="000000"/>
          <w:sz w:val="28"/>
          <w:szCs w:val="28"/>
          <w:lang w:eastAsia="en-US"/>
        </w:rPr>
        <w:t xml:space="preserve">тварин групи 1 стан пульпи незначно відрізняється від </w:t>
      </w:r>
      <w:r w:rsidR="001445C7" w:rsidRPr="00520861">
        <w:rPr>
          <w:rFonts w:eastAsia="Calibri"/>
          <w:color w:val="000000"/>
          <w:sz w:val="28"/>
          <w:szCs w:val="28"/>
          <w:lang w:eastAsia="en-US"/>
        </w:rPr>
        <w:br/>
      </w:r>
      <w:r w:rsidRPr="00520861">
        <w:rPr>
          <w:rFonts w:eastAsia="Calibri"/>
          <w:color w:val="000000"/>
          <w:sz w:val="28"/>
          <w:szCs w:val="28"/>
          <w:lang w:eastAsia="en-US"/>
        </w:rPr>
        <w:t xml:space="preserve">контрольного, але по досягненню тваринами віку 18 місяців у пульпі спостерігаються явища </w:t>
      </w:r>
      <w:proofErr w:type="spellStart"/>
      <w:r w:rsidRPr="00520861">
        <w:rPr>
          <w:rFonts w:eastAsia="Calibri"/>
          <w:color w:val="000000"/>
          <w:sz w:val="28"/>
          <w:szCs w:val="28"/>
          <w:lang w:eastAsia="en-US"/>
        </w:rPr>
        <w:t>склеротизації</w:t>
      </w:r>
      <w:proofErr w:type="spellEnd"/>
      <w:r w:rsidRPr="00520861">
        <w:rPr>
          <w:rFonts w:eastAsia="Calibri"/>
          <w:color w:val="000000"/>
          <w:sz w:val="28"/>
          <w:szCs w:val="28"/>
          <w:lang w:eastAsia="en-US"/>
        </w:rPr>
        <w:t xml:space="preserve">: при забарвленні за Ван </w:t>
      </w:r>
      <w:proofErr w:type="spellStart"/>
      <w:r w:rsidRPr="00520861">
        <w:rPr>
          <w:rFonts w:eastAsia="Calibri"/>
          <w:color w:val="000000"/>
          <w:sz w:val="28"/>
          <w:szCs w:val="28"/>
          <w:lang w:eastAsia="en-US"/>
        </w:rPr>
        <w:t>Гізоном</w:t>
      </w:r>
      <w:proofErr w:type="spellEnd"/>
      <w:r w:rsidRPr="00520861">
        <w:rPr>
          <w:rFonts w:eastAsia="Calibri"/>
          <w:color w:val="000000"/>
          <w:sz w:val="28"/>
          <w:szCs w:val="28"/>
          <w:lang w:eastAsia="en-US"/>
        </w:rPr>
        <w:t xml:space="preserve"> фіксується збільшення кількості </w:t>
      </w:r>
      <w:proofErr w:type="spellStart"/>
      <w:r w:rsidRPr="00520861">
        <w:rPr>
          <w:rFonts w:eastAsia="Calibri"/>
          <w:color w:val="000000"/>
          <w:sz w:val="28"/>
          <w:szCs w:val="28"/>
          <w:lang w:eastAsia="en-US"/>
        </w:rPr>
        <w:t>фуксинофільного</w:t>
      </w:r>
      <w:proofErr w:type="spellEnd"/>
      <w:r w:rsidRPr="00520861">
        <w:rPr>
          <w:rFonts w:eastAsia="Calibri"/>
          <w:color w:val="000000"/>
          <w:sz w:val="28"/>
          <w:szCs w:val="28"/>
          <w:lang w:eastAsia="en-US"/>
        </w:rPr>
        <w:t xml:space="preserve"> колагену, більш виражене ніж у групі контролю </w:t>
      </w:r>
      <w:r w:rsidRPr="00520861">
        <w:rPr>
          <w:rFonts w:eastAsia="Calibri"/>
          <w:sz w:val="28"/>
          <w:szCs w:val="28"/>
          <w:lang w:eastAsia="en-US"/>
        </w:rPr>
        <w:t>[59]</w:t>
      </w:r>
      <w:r w:rsidRPr="00520861">
        <w:rPr>
          <w:rFonts w:eastAsia="Calibri"/>
          <w:color w:val="000000"/>
          <w:sz w:val="28"/>
          <w:szCs w:val="28"/>
          <w:lang w:eastAsia="en-US"/>
        </w:rPr>
        <w:t xml:space="preserve">. </w:t>
      </w:r>
    </w:p>
    <w:p w14:paraId="59DF11D0"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 xml:space="preserve">Шар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тонкий, місцями зовсім відсутній. Розміри тіл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у </w:t>
      </w:r>
      <w:r w:rsidRPr="00520861">
        <w:rPr>
          <w:rFonts w:eastAsia="Calibri"/>
          <w:sz w:val="28"/>
          <w:szCs w:val="28"/>
          <w:lang w:eastAsia="en-US"/>
        </w:rPr>
        <w:t xml:space="preserve">12-місячних </w:t>
      </w:r>
      <w:r w:rsidRPr="00520861">
        <w:rPr>
          <w:rFonts w:eastAsia="Calibri"/>
          <w:color w:val="000000"/>
          <w:sz w:val="28"/>
          <w:szCs w:val="28"/>
          <w:lang w:eastAsia="en-US"/>
        </w:rPr>
        <w:t>тварин групи 1 є вірогідно меншими за контрольні (</w:t>
      </w:r>
      <w:r w:rsidRPr="00520861">
        <w:rPr>
          <w:rFonts w:eastAsia="Calibri"/>
          <w:bCs/>
          <w:color w:val="000000"/>
          <w:sz w:val="28"/>
          <w:szCs w:val="28"/>
          <w:lang w:eastAsia="en-US"/>
        </w:rPr>
        <w:t>табл. 3.20</w:t>
      </w:r>
      <w:r w:rsidRPr="00520861">
        <w:rPr>
          <w:rFonts w:eastAsia="Calibri"/>
          <w:color w:val="000000"/>
          <w:sz w:val="28"/>
          <w:szCs w:val="28"/>
          <w:lang w:eastAsia="en-US"/>
        </w:rPr>
        <w:t xml:space="preserve">), проте у віці 18 місяців, порівняно з тваринами групи контрою, медіанні значення </w:t>
      </w:r>
      <w:r w:rsidR="001445C7" w:rsidRPr="00520861">
        <w:rPr>
          <w:rFonts w:eastAsia="Calibri"/>
          <w:color w:val="000000"/>
          <w:sz w:val="28"/>
          <w:szCs w:val="28"/>
          <w:lang w:eastAsia="en-US"/>
        </w:rPr>
        <w:br/>
      </w:r>
      <w:r w:rsidRPr="00520861">
        <w:rPr>
          <w:rFonts w:eastAsia="Calibri"/>
          <w:color w:val="000000"/>
          <w:sz w:val="28"/>
          <w:szCs w:val="28"/>
          <w:lang w:eastAsia="en-US"/>
        </w:rPr>
        <w:t>вірогідно не відрізняються і є найбільшими серед усіх тварин-</w:t>
      </w:r>
      <w:proofErr w:type="spellStart"/>
      <w:r w:rsidRPr="00520861">
        <w:rPr>
          <w:rFonts w:eastAsia="Calibri"/>
          <w:color w:val="000000"/>
          <w:sz w:val="28"/>
          <w:szCs w:val="28"/>
          <w:lang w:eastAsia="en-US"/>
        </w:rPr>
        <w:t>макросомів</w:t>
      </w:r>
      <w:proofErr w:type="spellEnd"/>
      <w:r w:rsidRPr="00520861">
        <w:rPr>
          <w:rFonts w:eastAsia="Calibri"/>
          <w:color w:val="000000"/>
          <w:sz w:val="28"/>
          <w:szCs w:val="28"/>
          <w:lang w:eastAsia="en-US"/>
        </w:rPr>
        <w:t>.</w:t>
      </w:r>
    </w:p>
    <w:p w14:paraId="5DBB35D9" w14:textId="77777777" w:rsidR="00CF641C" w:rsidRPr="00520861" w:rsidRDefault="00CF641C" w:rsidP="00292D2E">
      <w:pPr>
        <w:widowControl w:val="0"/>
        <w:spacing w:line="360" w:lineRule="auto"/>
        <w:ind w:firstLine="709"/>
        <w:jc w:val="both"/>
        <w:rPr>
          <w:rFonts w:eastAsia="Calibri"/>
          <w:color w:val="000000"/>
          <w:spacing w:val="-2"/>
          <w:sz w:val="28"/>
          <w:szCs w:val="28"/>
          <w:lang w:eastAsia="en-US"/>
        </w:rPr>
      </w:pPr>
      <w:r w:rsidRPr="00520861">
        <w:rPr>
          <w:rFonts w:eastAsia="Calibri"/>
          <w:color w:val="000000"/>
          <w:spacing w:val="-2"/>
          <w:sz w:val="28"/>
          <w:szCs w:val="28"/>
          <w:lang w:eastAsia="en-US"/>
        </w:rPr>
        <w:t xml:space="preserve">У тварин цієї групи як у віці 12 місяців, так і у віці 18 місяців також відбувається вкорочення відростків </w:t>
      </w:r>
      <w:proofErr w:type="spellStart"/>
      <w:r w:rsidRPr="00520861">
        <w:rPr>
          <w:rFonts w:eastAsia="Calibri"/>
          <w:color w:val="000000"/>
          <w:spacing w:val="-2"/>
          <w:sz w:val="28"/>
          <w:szCs w:val="28"/>
          <w:lang w:eastAsia="en-US"/>
        </w:rPr>
        <w:t>одонтобластів</w:t>
      </w:r>
      <w:proofErr w:type="spellEnd"/>
      <w:r w:rsidRPr="00520861">
        <w:rPr>
          <w:rFonts w:eastAsia="Calibri"/>
          <w:color w:val="000000"/>
          <w:spacing w:val="-2"/>
          <w:sz w:val="28"/>
          <w:szCs w:val="28"/>
          <w:lang w:eastAsia="en-US"/>
        </w:rPr>
        <w:t xml:space="preserve">, тобто вони </w:t>
      </w:r>
      <w:proofErr w:type="spellStart"/>
      <w:r w:rsidRPr="00520861">
        <w:rPr>
          <w:rFonts w:eastAsia="Calibri"/>
          <w:color w:val="000000"/>
          <w:spacing w:val="-2"/>
          <w:sz w:val="28"/>
          <w:szCs w:val="28"/>
          <w:lang w:eastAsia="en-US"/>
        </w:rPr>
        <w:t>візуалізуються</w:t>
      </w:r>
      <w:proofErr w:type="spellEnd"/>
      <w:r w:rsidRPr="00520861">
        <w:rPr>
          <w:rFonts w:eastAsia="Calibri"/>
          <w:color w:val="000000"/>
          <w:spacing w:val="-2"/>
          <w:sz w:val="28"/>
          <w:szCs w:val="28"/>
          <w:lang w:eastAsia="en-US"/>
        </w:rPr>
        <w:t xml:space="preserve"> лише в проксимальній частині (</w:t>
      </w:r>
      <w:proofErr w:type="spellStart"/>
      <w:r w:rsidRPr="00520861">
        <w:rPr>
          <w:rFonts w:eastAsia="Calibri"/>
          <w:color w:val="000000"/>
          <w:spacing w:val="-2"/>
          <w:sz w:val="28"/>
          <w:szCs w:val="28"/>
          <w:lang w:eastAsia="en-US"/>
        </w:rPr>
        <w:t>навколопульпарний</w:t>
      </w:r>
      <w:proofErr w:type="spellEnd"/>
      <w:r w:rsidRPr="00520861">
        <w:rPr>
          <w:rFonts w:eastAsia="Calibri"/>
          <w:color w:val="000000"/>
          <w:spacing w:val="-2"/>
          <w:sz w:val="28"/>
          <w:szCs w:val="28"/>
          <w:lang w:eastAsia="en-US"/>
        </w:rPr>
        <w:t xml:space="preserve"> дентин). У проміжок віку між 12-ма та 18-ма місяцями у тварин цієї групи спостерігається суттєве зниження показників оптичної густини цитоплазми відростків </w:t>
      </w:r>
      <w:proofErr w:type="spellStart"/>
      <w:r w:rsidRPr="00520861">
        <w:rPr>
          <w:rFonts w:eastAsia="Calibri"/>
          <w:color w:val="000000"/>
          <w:spacing w:val="-2"/>
          <w:sz w:val="28"/>
          <w:szCs w:val="28"/>
          <w:lang w:eastAsia="en-US"/>
        </w:rPr>
        <w:t>одонтобластів</w:t>
      </w:r>
      <w:proofErr w:type="spellEnd"/>
      <w:r w:rsidRPr="00520861">
        <w:rPr>
          <w:rFonts w:eastAsia="Calibri"/>
          <w:color w:val="000000"/>
          <w:spacing w:val="-2"/>
          <w:sz w:val="28"/>
          <w:szCs w:val="28"/>
          <w:lang w:eastAsia="en-US"/>
        </w:rPr>
        <w:t xml:space="preserve"> при забарвленні за </w:t>
      </w:r>
      <w:proofErr w:type="spellStart"/>
      <w:r w:rsidRPr="00520861">
        <w:rPr>
          <w:rFonts w:eastAsia="Calibri"/>
          <w:color w:val="000000"/>
          <w:spacing w:val="-2"/>
          <w:sz w:val="28"/>
          <w:szCs w:val="28"/>
          <w:lang w:eastAsia="en-US"/>
        </w:rPr>
        <w:t>Ейнарсоном</w:t>
      </w:r>
      <w:proofErr w:type="spellEnd"/>
      <w:r w:rsidRPr="00520861">
        <w:rPr>
          <w:rFonts w:eastAsia="Calibri"/>
          <w:color w:val="000000"/>
          <w:spacing w:val="-2"/>
          <w:sz w:val="28"/>
          <w:szCs w:val="28"/>
          <w:lang w:eastAsia="en-US"/>
        </w:rPr>
        <w:t xml:space="preserve"> (</w:t>
      </w:r>
      <w:r w:rsidRPr="00520861">
        <w:rPr>
          <w:rFonts w:eastAsia="Calibri"/>
          <w:bCs/>
          <w:color w:val="000000"/>
          <w:spacing w:val="-2"/>
          <w:sz w:val="28"/>
          <w:szCs w:val="28"/>
          <w:lang w:eastAsia="en-US"/>
        </w:rPr>
        <w:t>табл. 3.21</w:t>
      </w:r>
      <w:r w:rsidRPr="00520861">
        <w:rPr>
          <w:rFonts w:eastAsia="Calibri"/>
          <w:color w:val="000000"/>
          <w:spacing w:val="-2"/>
          <w:sz w:val="28"/>
          <w:szCs w:val="28"/>
          <w:lang w:eastAsia="en-US"/>
        </w:rPr>
        <w:t>).</w:t>
      </w:r>
    </w:p>
    <w:p w14:paraId="720DA523"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У 12-</w:t>
      </w:r>
      <w:r w:rsidRPr="00520861">
        <w:rPr>
          <w:rFonts w:eastAsia="Calibri"/>
          <w:sz w:val="28"/>
          <w:szCs w:val="28"/>
          <w:lang w:eastAsia="en-US"/>
        </w:rPr>
        <w:t xml:space="preserve">місячних </w:t>
      </w:r>
      <w:r w:rsidRPr="00520861">
        <w:rPr>
          <w:rFonts w:eastAsia="Calibri"/>
          <w:color w:val="000000"/>
          <w:sz w:val="28"/>
          <w:szCs w:val="28"/>
          <w:lang w:eastAsia="en-US"/>
        </w:rPr>
        <w:t xml:space="preserve">тварин групи 2 пульпа багатоклітинна, але </w:t>
      </w:r>
      <w:proofErr w:type="spellStart"/>
      <w:r w:rsidRPr="00520861">
        <w:rPr>
          <w:rFonts w:eastAsia="Calibri"/>
          <w:sz w:val="28"/>
          <w:szCs w:val="28"/>
          <w:lang w:eastAsia="en-US"/>
        </w:rPr>
        <w:t>одонтобласти</w:t>
      </w:r>
      <w:proofErr w:type="spellEnd"/>
      <w:r w:rsidRPr="00520861">
        <w:rPr>
          <w:rFonts w:eastAsia="Calibri"/>
          <w:sz w:val="28"/>
          <w:szCs w:val="28"/>
          <w:lang w:eastAsia="en-US"/>
        </w:rPr>
        <w:t xml:space="preserve"> розташовані в один шар</w:t>
      </w:r>
      <w:r w:rsidRPr="00520861">
        <w:rPr>
          <w:rFonts w:eastAsia="Calibri"/>
          <w:color w:val="000000"/>
          <w:sz w:val="28"/>
          <w:szCs w:val="28"/>
          <w:lang w:eastAsia="en-US"/>
        </w:rPr>
        <w:t xml:space="preserve">. У цьому віці у тварин розміри тіл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більші серед усіх тварин-</w:t>
      </w:r>
      <w:proofErr w:type="spellStart"/>
      <w:r w:rsidRPr="00520861">
        <w:rPr>
          <w:rFonts w:eastAsia="Calibri"/>
          <w:color w:val="000000"/>
          <w:sz w:val="28"/>
          <w:szCs w:val="28"/>
          <w:lang w:eastAsia="en-US"/>
        </w:rPr>
        <w:t>макросомів</w:t>
      </w:r>
      <w:proofErr w:type="spellEnd"/>
      <w:r w:rsidRPr="00520861">
        <w:rPr>
          <w:rFonts w:eastAsia="Calibri"/>
          <w:color w:val="000000"/>
          <w:sz w:val="28"/>
          <w:szCs w:val="28"/>
          <w:lang w:eastAsia="en-US"/>
        </w:rPr>
        <w:t xml:space="preserve">, проте вірогідно менші за такі в групі контролю (табл. 3.20). </w:t>
      </w:r>
      <w:r w:rsidR="001445C7" w:rsidRPr="00520861">
        <w:rPr>
          <w:rFonts w:eastAsia="Calibri"/>
          <w:color w:val="000000"/>
          <w:sz w:val="28"/>
          <w:szCs w:val="28"/>
          <w:lang w:eastAsia="en-US"/>
        </w:rPr>
        <w:br/>
      </w:r>
      <w:r w:rsidRPr="00520861">
        <w:rPr>
          <w:rFonts w:eastAsia="Calibri"/>
          <w:color w:val="000000"/>
          <w:sz w:val="28"/>
          <w:szCs w:val="28"/>
          <w:lang w:eastAsia="en-US"/>
        </w:rPr>
        <w:t xml:space="preserve">У віці 18 місяців спостерігається зменшення кількості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та їх розмірів, тобто відбувається </w:t>
      </w:r>
      <w:proofErr w:type="spellStart"/>
      <w:r w:rsidRPr="00520861">
        <w:rPr>
          <w:rFonts w:eastAsia="Calibri"/>
          <w:color w:val="000000"/>
          <w:sz w:val="28"/>
          <w:szCs w:val="28"/>
          <w:lang w:eastAsia="en-US"/>
        </w:rPr>
        <w:t>атрофізація</w:t>
      </w:r>
      <w:proofErr w:type="spellEnd"/>
      <w:r w:rsidRPr="00520861">
        <w:rPr>
          <w:rFonts w:eastAsia="Calibri"/>
          <w:color w:val="000000"/>
          <w:sz w:val="28"/>
          <w:szCs w:val="28"/>
          <w:lang w:eastAsia="en-US"/>
        </w:rPr>
        <w:t xml:space="preserve">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w:t>
      </w:r>
      <w:r w:rsidRPr="00520861">
        <w:rPr>
          <w:rFonts w:eastAsia="Calibri"/>
          <w:sz w:val="28"/>
          <w:szCs w:val="28"/>
          <w:lang w:eastAsia="en-US"/>
        </w:rPr>
        <w:t>[59]</w:t>
      </w:r>
      <w:r w:rsidRPr="00520861">
        <w:rPr>
          <w:rFonts w:eastAsia="Calibri"/>
          <w:color w:val="000000"/>
          <w:sz w:val="28"/>
          <w:szCs w:val="28"/>
          <w:lang w:eastAsia="en-US"/>
        </w:rPr>
        <w:t>.</w:t>
      </w:r>
    </w:p>
    <w:p w14:paraId="108531B8" w14:textId="77777777" w:rsidR="00CF641C" w:rsidRPr="00520861" w:rsidRDefault="00CF641C" w:rsidP="00292D2E">
      <w:pPr>
        <w:widowControl w:val="0"/>
        <w:spacing w:line="360" w:lineRule="auto"/>
        <w:ind w:firstLine="708"/>
        <w:jc w:val="both"/>
        <w:rPr>
          <w:rFonts w:eastAsia="Calibri"/>
          <w:color w:val="000000"/>
          <w:sz w:val="28"/>
          <w:szCs w:val="28"/>
          <w:lang w:eastAsia="en-US"/>
        </w:rPr>
      </w:pPr>
      <w:r w:rsidRPr="00520861">
        <w:rPr>
          <w:rFonts w:eastAsia="Calibri"/>
          <w:color w:val="000000"/>
          <w:sz w:val="28"/>
          <w:szCs w:val="28"/>
          <w:lang w:eastAsia="en-US"/>
        </w:rPr>
        <w:t xml:space="preserve">Утім, деякі </w:t>
      </w:r>
      <w:proofErr w:type="spellStart"/>
      <w:r w:rsidRPr="00520861">
        <w:rPr>
          <w:rFonts w:eastAsia="Calibri"/>
          <w:color w:val="000000"/>
          <w:sz w:val="28"/>
          <w:szCs w:val="28"/>
          <w:lang w:eastAsia="en-US"/>
        </w:rPr>
        <w:t>одонтобласти</w:t>
      </w:r>
      <w:proofErr w:type="spellEnd"/>
      <w:r w:rsidRPr="00520861">
        <w:rPr>
          <w:rFonts w:eastAsia="Calibri"/>
          <w:color w:val="000000"/>
          <w:sz w:val="28"/>
          <w:szCs w:val="28"/>
          <w:lang w:eastAsia="en-US"/>
        </w:rPr>
        <w:t xml:space="preserve"> залишаються дуже великими, що є компенсаторною реакцією на </w:t>
      </w:r>
      <w:proofErr w:type="spellStart"/>
      <w:r w:rsidRPr="00520861">
        <w:rPr>
          <w:rFonts w:eastAsia="Calibri"/>
          <w:color w:val="000000"/>
          <w:sz w:val="28"/>
          <w:szCs w:val="28"/>
          <w:lang w:eastAsia="en-US"/>
        </w:rPr>
        <w:t>атрофізацію</w:t>
      </w:r>
      <w:proofErr w:type="spellEnd"/>
      <w:r w:rsidRPr="00520861">
        <w:rPr>
          <w:rFonts w:eastAsia="Calibri"/>
          <w:color w:val="000000"/>
          <w:sz w:val="28"/>
          <w:szCs w:val="28"/>
          <w:lang w:eastAsia="en-US"/>
        </w:rPr>
        <w:t xml:space="preserve">. У декількох </w:t>
      </w:r>
      <w:proofErr w:type="spellStart"/>
      <w:r w:rsidRPr="00520861">
        <w:rPr>
          <w:rFonts w:eastAsia="Calibri"/>
          <w:sz w:val="28"/>
          <w:szCs w:val="28"/>
          <w:lang w:eastAsia="en-US"/>
        </w:rPr>
        <w:t>вісімнадцятимісячних</w:t>
      </w:r>
      <w:proofErr w:type="spellEnd"/>
      <w:r w:rsidRPr="00520861">
        <w:rPr>
          <w:rFonts w:eastAsia="Calibri"/>
          <w:color w:val="000000"/>
          <w:sz w:val="28"/>
          <w:szCs w:val="28"/>
          <w:lang w:eastAsia="en-US"/>
        </w:rPr>
        <w:t xml:space="preserve"> тварин спостерігаються прояви пульпіту (</w:t>
      </w:r>
      <w:proofErr w:type="spellStart"/>
      <w:r w:rsidRPr="00520861">
        <w:rPr>
          <w:rFonts w:eastAsia="Calibri"/>
          <w:color w:val="000000"/>
          <w:sz w:val="28"/>
          <w:szCs w:val="28"/>
          <w:lang w:eastAsia="en-US"/>
        </w:rPr>
        <w:t>геморагії</w:t>
      </w:r>
      <w:proofErr w:type="spellEnd"/>
      <w:r w:rsidRPr="00520861">
        <w:rPr>
          <w:rFonts w:eastAsia="Calibri"/>
          <w:color w:val="000000"/>
          <w:sz w:val="28"/>
          <w:szCs w:val="28"/>
          <w:lang w:eastAsia="en-US"/>
        </w:rPr>
        <w:t xml:space="preserve"> та лейкоцитарний інфільтрат, </w:t>
      </w:r>
      <w:r w:rsidRPr="00520861">
        <w:rPr>
          <w:rFonts w:eastAsia="Calibri"/>
          <w:bCs/>
          <w:color w:val="000000"/>
          <w:sz w:val="28"/>
          <w:szCs w:val="28"/>
          <w:lang w:eastAsia="en-US"/>
        </w:rPr>
        <w:t>рис. 3.32</w:t>
      </w:r>
      <w:r w:rsidRPr="00520861">
        <w:rPr>
          <w:rFonts w:eastAsia="Calibri"/>
          <w:bCs/>
          <w:i/>
          <w:color w:val="000000"/>
          <w:sz w:val="28"/>
          <w:szCs w:val="28"/>
          <w:lang w:eastAsia="en-US"/>
        </w:rPr>
        <w:t>а</w:t>
      </w:r>
      <w:r w:rsidRPr="00520861">
        <w:rPr>
          <w:rFonts w:eastAsia="Calibri"/>
          <w:sz w:val="28"/>
          <w:szCs w:val="28"/>
          <w:lang w:eastAsia="en-US"/>
        </w:rPr>
        <w:t>) та склерозу</w:t>
      </w:r>
      <w:r w:rsidRPr="00520861">
        <w:rPr>
          <w:rFonts w:eastAsia="Calibri"/>
          <w:color w:val="000000"/>
          <w:sz w:val="28"/>
          <w:szCs w:val="28"/>
          <w:lang w:eastAsia="en-US"/>
        </w:rPr>
        <w:t xml:space="preserve">. </w:t>
      </w:r>
    </w:p>
    <w:p w14:paraId="60D11903"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color w:val="000000"/>
          <w:sz w:val="28"/>
          <w:szCs w:val="28"/>
          <w:lang w:eastAsia="en-US"/>
        </w:rPr>
        <w:t xml:space="preserve">У пульпі </w:t>
      </w:r>
      <w:r w:rsidRPr="00520861">
        <w:rPr>
          <w:rFonts w:eastAsia="Calibri"/>
          <w:sz w:val="28"/>
          <w:szCs w:val="28"/>
          <w:lang w:eastAsia="en-US"/>
        </w:rPr>
        <w:t xml:space="preserve">12-місячних </w:t>
      </w:r>
      <w:r w:rsidRPr="00520861">
        <w:rPr>
          <w:rFonts w:eastAsia="Calibri"/>
          <w:color w:val="000000"/>
          <w:sz w:val="28"/>
          <w:szCs w:val="28"/>
          <w:lang w:eastAsia="en-US"/>
        </w:rPr>
        <w:t xml:space="preserve">тварин групи 3 тіла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маленького розміру (</w:t>
      </w:r>
      <w:r w:rsidRPr="00520861">
        <w:rPr>
          <w:rFonts w:eastAsia="Calibri"/>
          <w:bCs/>
          <w:color w:val="000000"/>
          <w:sz w:val="28"/>
          <w:szCs w:val="28"/>
          <w:lang w:eastAsia="en-US"/>
        </w:rPr>
        <w:t>табл. 3.20</w:t>
      </w:r>
      <w:r w:rsidRPr="00520861">
        <w:rPr>
          <w:rFonts w:eastAsia="Calibri"/>
          <w:color w:val="000000"/>
          <w:sz w:val="28"/>
          <w:szCs w:val="28"/>
          <w:lang w:eastAsia="en-US"/>
        </w:rPr>
        <w:t xml:space="preserve">), негусто розташовані </w:t>
      </w:r>
      <w:r w:rsidRPr="00520861">
        <w:rPr>
          <w:rFonts w:eastAsia="Calibri"/>
          <w:sz w:val="28"/>
          <w:szCs w:val="28"/>
          <w:lang w:eastAsia="en-US"/>
        </w:rPr>
        <w:t>[59]</w:t>
      </w:r>
      <w:r w:rsidRPr="00520861">
        <w:rPr>
          <w:rFonts w:eastAsia="Calibri"/>
          <w:color w:val="000000"/>
          <w:sz w:val="28"/>
          <w:szCs w:val="28"/>
          <w:lang w:eastAsia="en-US"/>
        </w:rPr>
        <w:t xml:space="preserve">. У коронковій пульпі </w:t>
      </w:r>
      <w:proofErr w:type="spellStart"/>
      <w:r w:rsidRPr="00520861">
        <w:rPr>
          <w:rFonts w:eastAsia="Calibri"/>
          <w:color w:val="000000"/>
          <w:sz w:val="28"/>
          <w:szCs w:val="28"/>
          <w:lang w:eastAsia="en-US"/>
        </w:rPr>
        <w:t>одонтобластичний</w:t>
      </w:r>
      <w:proofErr w:type="spellEnd"/>
      <w:r w:rsidRPr="00520861">
        <w:rPr>
          <w:rFonts w:eastAsia="Calibri"/>
          <w:color w:val="000000"/>
          <w:sz w:val="28"/>
          <w:szCs w:val="28"/>
          <w:lang w:eastAsia="en-US"/>
        </w:rPr>
        <w:t xml:space="preserve"> шар однорядний і переривчастий, у кореневій пульпі він практично відсутній, тобто має місце значна </w:t>
      </w:r>
      <w:proofErr w:type="spellStart"/>
      <w:r w:rsidRPr="00520861">
        <w:rPr>
          <w:rFonts w:eastAsia="Calibri"/>
          <w:color w:val="000000"/>
          <w:sz w:val="28"/>
          <w:szCs w:val="28"/>
          <w:lang w:eastAsia="en-US"/>
        </w:rPr>
        <w:t>атрофізація</w:t>
      </w:r>
      <w:proofErr w:type="spellEnd"/>
      <w:r w:rsidRPr="00520861">
        <w:rPr>
          <w:rFonts w:eastAsia="Calibri"/>
          <w:color w:val="000000"/>
          <w:sz w:val="28"/>
          <w:szCs w:val="28"/>
          <w:lang w:eastAsia="en-US"/>
        </w:rPr>
        <w:t xml:space="preserve"> </w:t>
      </w:r>
      <w:proofErr w:type="spellStart"/>
      <w:r w:rsidRPr="00520861">
        <w:rPr>
          <w:rFonts w:eastAsia="Calibri"/>
          <w:color w:val="000000"/>
          <w:sz w:val="28"/>
          <w:szCs w:val="28"/>
          <w:lang w:eastAsia="en-US"/>
        </w:rPr>
        <w:t>одонтобластів</w:t>
      </w:r>
      <w:proofErr w:type="spellEnd"/>
      <w:r w:rsidRPr="00520861">
        <w:rPr>
          <w:rFonts w:eastAsia="Calibri"/>
          <w:sz w:val="28"/>
          <w:szCs w:val="28"/>
          <w:lang w:eastAsia="en-US"/>
        </w:rPr>
        <w:t xml:space="preserve">. </w:t>
      </w:r>
    </w:p>
    <w:p w14:paraId="50B978A2" w14:textId="77777777" w:rsidR="00CF641C" w:rsidRPr="00520861" w:rsidRDefault="00CF641C" w:rsidP="00292D2E">
      <w:pPr>
        <w:widowControl w:val="0"/>
        <w:spacing w:line="360" w:lineRule="auto"/>
        <w:ind w:firstLine="708"/>
        <w:jc w:val="both"/>
        <w:rPr>
          <w:rFonts w:eastAsia="Calibri"/>
          <w:color w:val="000000"/>
          <w:sz w:val="28"/>
          <w:szCs w:val="28"/>
          <w:lang w:eastAsia="en-US"/>
        </w:rPr>
      </w:pPr>
      <w:r w:rsidRPr="00520861">
        <w:rPr>
          <w:rFonts w:eastAsia="Calibri"/>
          <w:color w:val="000000"/>
          <w:sz w:val="28"/>
          <w:szCs w:val="28"/>
          <w:lang w:eastAsia="en-US"/>
        </w:rPr>
        <w:t xml:space="preserve">У віці 18 місяців у пульпі жувальних зубів спостерігається </w:t>
      </w:r>
      <w:proofErr w:type="spellStart"/>
      <w:r w:rsidRPr="00520861">
        <w:rPr>
          <w:rFonts w:eastAsia="Calibri"/>
          <w:color w:val="000000"/>
          <w:sz w:val="28"/>
          <w:szCs w:val="28"/>
          <w:lang w:eastAsia="en-US"/>
        </w:rPr>
        <w:t>гіпопластичний</w:t>
      </w:r>
      <w:proofErr w:type="spellEnd"/>
      <w:r w:rsidRPr="00520861">
        <w:rPr>
          <w:rFonts w:eastAsia="Calibri"/>
          <w:color w:val="000000"/>
          <w:sz w:val="28"/>
          <w:szCs w:val="28"/>
          <w:lang w:eastAsia="en-US"/>
        </w:rPr>
        <w:t xml:space="preserve"> стан пульпи, спостерігаються склеротичні прояви – ряди </w:t>
      </w:r>
      <w:proofErr w:type="spellStart"/>
      <w:r w:rsidRPr="00520861">
        <w:rPr>
          <w:rFonts w:eastAsia="Calibri"/>
          <w:color w:val="000000"/>
          <w:sz w:val="28"/>
          <w:szCs w:val="28"/>
          <w:lang w:eastAsia="en-US"/>
        </w:rPr>
        <w:t>колагенізованих</w:t>
      </w:r>
      <w:proofErr w:type="spellEnd"/>
      <w:r w:rsidRPr="00520861">
        <w:rPr>
          <w:rFonts w:eastAsia="Calibri"/>
          <w:color w:val="000000"/>
          <w:sz w:val="28"/>
          <w:szCs w:val="28"/>
          <w:lang w:eastAsia="en-US"/>
        </w:rPr>
        <w:t xml:space="preserve"> тяжів </w:t>
      </w:r>
      <w:r w:rsidR="001445C7" w:rsidRPr="00520861">
        <w:rPr>
          <w:rFonts w:eastAsia="Calibri"/>
          <w:color w:val="000000"/>
          <w:sz w:val="28"/>
          <w:szCs w:val="28"/>
          <w:lang w:eastAsia="en-US"/>
        </w:rPr>
        <w:br/>
      </w:r>
      <w:r w:rsidRPr="00520861">
        <w:rPr>
          <w:rFonts w:eastAsia="Calibri"/>
          <w:color w:val="000000"/>
          <w:sz w:val="28"/>
          <w:szCs w:val="28"/>
          <w:lang w:eastAsia="en-US"/>
        </w:rPr>
        <w:t>(</w:t>
      </w:r>
      <w:r w:rsidRPr="00520861">
        <w:rPr>
          <w:rFonts w:eastAsia="Calibri"/>
          <w:bCs/>
          <w:color w:val="000000"/>
          <w:sz w:val="28"/>
          <w:szCs w:val="28"/>
          <w:lang w:eastAsia="en-US"/>
        </w:rPr>
        <w:t>рис. 3.32</w:t>
      </w:r>
      <w:r w:rsidRPr="00520861">
        <w:rPr>
          <w:rFonts w:eastAsia="Calibri"/>
          <w:bCs/>
          <w:i/>
          <w:color w:val="000000"/>
          <w:sz w:val="28"/>
          <w:szCs w:val="28"/>
          <w:lang w:eastAsia="en-US"/>
        </w:rPr>
        <w:t>в</w:t>
      </w:r>
      <w:r w:rsidRPr="00520861">
        <w:rPr>
          <w:rFonts w:eastAsia="Calibri"/>
          <w:color w:val="000000"/>
          <w:sz w:val="28"/>
          <w:szCs w:val="28"/>
          <w:lang w:eastAsia="en-US"/>
        </w:rPr>
        <w:t>)</w:t>
      </w:r>
      <w:r w:rsidRPr="00520861">
        <w:rPr>
          <w:rFonts w:eastAsia="Calibri"/>
          <w:bCs/>
          <w:color w:val="000000"/>
          <w:sz w:val="28"/>
          <w:szCs w:val="28"/>
          <w:lang w:eastAsia="en-US"/>
        </w:rPr>
        <w:t>.</w:t>
      </w:r>
      <w:r w:rsidRPr="00520861">
        <w:rPr>
          <w:rFonts w:eastAsia="Calibri"/>
          <w:color w:val="000000"/>
          <w:sz w:val="28"/>
          <w:szCs w:val="28"/>
          <w:lang w:eastAsia="en-US"/>
        </w:rPr>
        <w:t xml:space="preserve"> Практично у кожної тварини цієї групи у віці 18 місяців спостерігаються явища хронічного пульпіту: </w:t>
      </w:r>
      <w:proofErr w:type="spellStart"/>
      <w:r w:rsidRPr="00520861">
        <w:rPr>
          <w:rFonts w:eastAsia="Calibri"/>
          <w:color w:val="000000"/>
          <w:sz w:val="28"/>
          <w:szCs w:val="28"/>
          <w:lang w:eastAsia="en-US"/>
        </w:rPr>
        <w:t>круглоядерний</w:t>
      </w:r>
      <w:proofErr w:type="spellEnd"/>
      <w:r w:rsidRPr="00520861">
        <w:rPr>
          <w:rFonts w:eastAsia="Calibri"/>
          <w:color w:val="000000"/>
          <w:sz w:val="28"/>
          <w:szCs w:val="28"/>
          <w:lang w:eastAsia="en-US"/>
        </w:rPr>
        <w:t xml:space="preserve"> інфільтрат (макрофаги, лімфоцити), атрофія та склероз (</w:t>
      </w:r>
      <w:r w:rsidRPr="00520861">
        <w:rPr>
          <w:rFonts w:eastAsia="Calibri"/>
          <w:bCs/>
          <w:color w:val="000000"/>
          <w:sz w:val="28"/>
          <w:szCs w:val="28"/>
          <w:lang w:eastAsia="en-US"/>
        </w:rPr>
        <w:t>рис. 3.32</w:t>
      </w:r>
      <w:r w:rsidRPr="00520861">
        <w:rPr>
          <w:rFonts w:eastAsia="Calibri"/>
          <w:bCs/>
          <w:i/>
          <w:color w:val="000000"/>
          <w:sz w:val="28"/>
          <w:szCs w:val="28"/>
          <w:lang w:eastAsia="en-US"/>
        </w:rPr>
        <w:t>б</w:t>
      </w:r>
      <w:r w:rsidRPr="00520861">
        <w:rPr>
          <w:rFonts w:eastAsia="Calibri"/>
          <w:color w:val="000000"/>
          <w:sz w:val="28"/>
          <w:szCs w:val="28"/>
          <w:lang w:eastAsia="en-US"/>
        </w:rPr>
        <w:t xml:space="preserve">). </w:t>
      </w:r>
    </w:p>
    <w:p w14:paraId="7655B1F2" w14:textId="77777777" w:rsidR="00CF641C" w:rsidRPr="00520861" w:rsidRDefault="00CF641C" w:rsidP="00292D2E">
      <w:pPr>
        <w:widowControl w:val="0"/>
        <w:spacing w:line="360" w:lineRule="auto"/>
        <w:jc w:val="center"/>
        <w:rPr>
          <w:rFonts w:eastAsia="Calibri"/>
          <w:bCs/>
          <w:i/>
          <w:sz w:val="28"/>
          <w:szCs w:val="28"/>
          <w:lang w:eastAsia="en-US"/>
        </w:rPr>
      </w:pPr>
      <w:r w:rsidRPr="00520861">
        <w:rPr>
          <w:rFonts w:eastAsia="Calibri"/>
          <w:bCs/>
          <w:i/>
          <w:noProof/>
          <w:sz w:val="28"/>
          <w:szCs w:val="28"/>
          <w:lang w:val="ru-RU"/>
        </w:rPr>
        <w:lastRenderedPageBreak/>
        <w:drawing>
          <wp:inline distT="0" distB="0" distL="0" distR="0" wp14:anchorId="32A1330C" wp14:editId="6D301FA2">
            <wp:extent cx="6411600" cy="5126400"/>
            <wp:effectExtent l="0" t="0" r="8255" b="0"/>
            <wp:docPr id="50" name="Рисунок 50" descr="D:\тер стом\научн работа 1\дд друк\ на защиту\Маша\Рис\Рис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тер стом\научн работа 1\дд друк\ на защиту\Маша\Рис\Рис3.34.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411600" cy="5126400"/>
                    </a:xfrm>
                    <a:prstGeom prst="rect">
                      <a:avLst/>
                    </a:prstGeom>
                    <a:noFill/>
                    <a:ln>
                      <a:noFill/>
                    </a:ln>
                  </pic:spPr>
                </pic:pic>
              </a:graphicData>
            </a:graphic>
          </wp:inline>
        </w:drawing>
      </w:r>
    </w:p>
    <w:p w14:paraId="50987B9C" w14:textId="77777777" w:rsidR="00CF641C" w:rsidRPr="00520861" w:rsidRDefault="00CF641C" w:rsidP="00292D2E">
      <w:pPr>
        <w:widowControl w:val="0"/>
        <w:spacing w:line="360" w:lineRule="auto"/>
        <w:ind w:firstLine="709"/>
        <w:jc w:val="center"/>
        <w:rPr>
          <w:rFonts w:eastAsia="Calibri"/>
          <w:bCs/>
          <w:sz w:val="28"/>
          <w:szCs w:val="28"/>
          <w:lang w:eastAsia="en-US"/>
        </w:rPr>
      </w:pPr>
      <w:r w:rsidRPr="00520861">
        <w:rPr>
          <w:rFonts w:eastAsia="Calibri"/>
          <w:sz w:val="28"/>
          <w:szCs w:val="28"/>
          <w:lang w:eastAsia="en-US"/>
        </w:rPr>
        <w:t xml:space="preserve">Рис. 3.32. </w:t>
      </w:r>
      <w:r w:rsidRPr="00520861">
        <w:rPr>
          <w:rFonts w:eastAsia="Calibri"/>
          <w:bCs/>
          <w:sz w:val="28"/>
          <w:szCs w:val="28"/>
          <w:lang w:eastAsia="en-US"/>
        </w:rPr>
        <w:t xml:space="preserve">Пульпа моляра нижньої щелепи </w:t>
      </w:r>
      <w:proofErr w:type="spellStart"/>
      <w:r w:rsidRPr="00520861">
        <w:rPr>
          <w:rFonts w:eastAsia="Calibri"/>
          <w:bCs/>
          <w:sz w:val="28"/>
          <w:szCs w:val="28"/>
          <w:lang w:eastAsia="en-US"/>
        </w:rPr>
        <w:t>вісімнадцятимісячних</w:t>
      </w:r>
      <w:proofErr w:type="spellEnd"/>
      <w:r w:rsidRPr="00520861">
        <w:rPr>
          <w:rFonts w:eastAsia="Calibri"/>
          <w:bCs/>
          <w:sz w:val="28"/>
          <w:szCs w:val="28"/>
          <w:lang w:eastAsia="en-US"/>
        </w:rPr>
        <w:t xml:space="preserve"> щурів:</w:t>
      </w:r>
    </w:p>
    <w:p w14:paraId="04CB02B1" w14:textId="77777777" w:rsidR="00CF641C" w:rsidRPr="00520861" w:rsidRDefault="00CF641C" w:rsidP="00292D2E">
      <w:pPr>
        <w:widowControl w:val="0"/>
        <w:spacing w:line="360" w:lineRule="auto"/>
        <w:ind w:firstLine="709"/>
        <w:jc w:val="center"/>
        <w:rPr>
          <w:rFonts w:eastAsia="Calibri"/>
          <w:bCs/>
          <w:sz w:val="28"/>
          <w:szCs w:val="28"/>
          <w:lang w:eastAsia="en-US"/>
        </w:rPr>
      </w:pPr>
      <w:r w:rsidRPr="00520861">
        <w:rPr>
          <w:rFonts w:eastAsia="Calibri"/>
          <w:bCs/>
          <w:i/>
          <w:sz w:val="28"/>
          <w:szCs w:val="28"/>
          <w:lang w:eastAsia="en-US"/>
        </w:rPr>
        <w:t>а</w:t>
      </w:r>
      <w:r w:rsidRPr="00520861">
        <w:rPr>
          <w:rFonts w:eastAsia="Calibri"/>
          <w:bCs/>
          <w:sz w:val="28"/>
          <w:szCs w:val="28"/>
          <w:lang w:eastAsia="en-US"/>
        </w:rPr>
        <w:t>)</w:t>
      </w:r>
      <w:r w:rsidRPr="00520861">
        <w:rPr>
          <w:rFonts w:eastAsiaTheme="minorHAnsi"/>
          <w:sz w:val="28"/>
          <w:szCs w:val="28"/>
          <w:lang w:eastAsia="en-US"/>
        </w:rPr>
        <w:t xml:space="preserve"> – </w:t>
      </w:r>
      <w:r w:rsidRPr="00520861">
        <w:rPr>
          <w:rFonts w:eastAsia="Calibri"/>
          <w:bCs/>
          <w:sz w:val="28"/>
          <w:szCs w:val="28"/>
          <w:lang w:eastAsia="en-US"/>
        </w:rPr>
        <w:t xml:space="preserve">групи 2 (спостерігаються явища серозного пульпіту з </w:t>
      </w:r>
      <w:proofErr w:type="spellStart"/>
      <w:r w:rsidRPr="00520861">
        <w:rPr>
          <w:rFonts w:eastAsia="Calibri"/>
          <w:bCs/>
          <w:sz w:val="28"/>
          <w:szCs w:val="28"/>
          <w:lang w:eastAsia="en-US"/>
        </w:rPr>
        <w:t>геморагіями</w:t>
      </w:r>
      <w:proofErr w:type="spellEnd"/>
      <w:r w:rsidRPr="00520861">
        <w:rPr>
          <w:rFonts w:eastAsia="Calibri"/>
          <w:bCs/>
          <w:sz w:val="28"/>
          <w:szCs w:val="28"/>
          <w:lang w:eastAsia="en-US"/>
        </w:rPr>
        <w:t xml:space="preserve"> та </w:t>
      </w:r>
      <w:r w:rsidR="001445C7" w:rsidRPr="00520861">
        <w:rPr>
          <w:rFonts w:eastAsia="Calibri"/>
          <w:bCs/>
          <w:sz w:val="28"/>
          <w:szCs w:val="28"/>
          <w:lang w:eastAsia="en-US"/>
        </w:rPr>
        <w:br/>
      </w:r>
      <w:proofErr w:type="spellStart"/>
      <w:r w:rsidRPr="00520861">
        <w:rPr>
          <w:rFonts w:eastAsia="Calibri"/>
          <w:bCs/>
          <w:sz w:val="28"/>
          <w:szCs w:val="28"/>
          <w:lang w:eastAsia="en-US"/>
        </w:rPr>
        <w:t>макрофагально-лімфоцитарним</w:t>
      </w:r>
      <w:proofErr w:type="spellEnd"/>
      <w:r w:rsidRPr="00520861">
        <w:rPr>
          <w:rFonts w:eastAsia="Calibri"/>
          <w:bCs/>
          <w:sz w:val="28"/>
          <w:szCs w:val="28"/>
          <w:lang w:eastAsia="en-US"/>
        </w:rPr>
        <w:t xml:space="preserve"> інфільтратом; збільшення </w:t>
      </w:r>
      <w:r w:rsidRPr="00520861">
        <w:rPr>
          <w:rFonts w:eastAsia="Calibri"/>
          <w:sz w:val="28"/>
          <w:szCs w:val="28"/>
          <w:lang w:eastAsia="en-US"/>
        </w:rPr>
        <w:sym w:font="Symbol" w:char="F0B4"/>
      </w:r>
      <w:r w:rsidRPr="00520861">
        <w:rPr>
          <w:rFonts w:eastAsia="Calibri"/>
          <w:bCs/>
          <w:sz w:val="28"/>
          <w:szCs w:val="28"/>
          <w:lang w:eastAsia="en-US"/>
        </w:rPr>
        <w:t>100);</w:t>
      </w:r>
    </w:p>
    <w:p w14:paraId="7B32ECCE" w14:textId="77777777" w:rsidR="00CF641C" w:rsidRPr="00520861" w:rsidRDefault="00CF641C" w:rsidP="00292D2E">
      <w:pPr>
        <w:widowControl w:val="0"/>
        <w:spacing w:line="360" w:lineRule="auto"/>
        <w:ind w:firstLine="709"/>
        <w:jc w:val="center"/>
        <w:rPr>
          <w:rFonts w:eastAsia="Calibri"/>
          <w:bCs/>
          <w:sz w:val="28"/>
          <w:szCs w:val="28"/>
          <w:lang w:eastAsia="en-US"/>
        </w:rPr>
      </w:pPr>
      <w:r w:rsidRPr="00520861">
        <w:rPr>
          <w:rFonts w:eastAsia="Calibri"/>
          <w:bCs/>
          <w:i/>
          <w:sz w:val="28"/>
          <w:szCs w:val="28"/>
          <w:lang w:eastAsia="en-US"/>
        </w:rPr>
        <w:t>б</w:t>
      </w:r>
      <w:r w:rsidRPr="00520861">
        <w:rPr>
          <w:rFonts w:eastAsia="Calibri"/>
          <w:bCs/>
          <w:sz w:val="28"/>
          <w:szCs w:val="28"/>
          <w:lang w:eastAsia="en-US"/>
        </w:rPr>
        <w:t>)</w:t>
      </w:r>
      <w:r w:rsidRPr="00520861">
        <w:rPr>
          <w:rFonts w:eastAsiaTheme="minorHAnsi"/>
          <w:sz w:val="28"/>
          <w:szCs w:val="28"/>
          <w:lang w:eastAsia="en-US"/>
        </w:rPr>
        <w:t xml:space="preserve"> – </w:t>
      </w:r>
      <w:r w:rsidRPr="00520861">
        <w:rPr>
          <w:rFonts w:eastAsia="Calibri"/>
          <w:bCs/>
          <w:sz w:val="28"/>
          <w:szCs w:val="28"/>
          <w:lang w:eastAsia="en-US"/>
        </w:rPr>
        <w:t xml:space="preserve">групи 3 (спостерігається атрофія та склероз пульпи, явища хронічного пульпіту з </w:t>
      </w:r>
      <w:proofErr w:type="spellStart"/>
      <w:r w:rsidRPr="00520861">
        <w:rPr>
          <w:rFonts w:eastAsia="Calibri"/>
          <w:bCs/>
          <w:sz w:val="28"/>
          <w:szCs w:val="28"/>
          <w:lang w:eastAsia="en-US"/>
        </w:rPr>
        <w:t>круглоядерним</w:t>
      </w:r>
      <w:proofErr w:type="spellEnd"/>
      <w:r w:rsidRPr="00520861">
        <w:rPr>
          <w:rFonts w:eastAsia="Calibri"/>
          <w:bCs/>
          <w:sz w:val="28"/>
          <w:szCs w:val="28"/>
          <w:lang w:eastAsia="en-US"/>
        </w:rPr>
        <w:t xml:space="preserve"> (</w:t>
      </w:r>
      <w:proofErr w:type="spellStart"/>
      <w:r w:rsidRPr="00520861">
        <w:rPr>
          <w:rFonts w:eastAsia="Calibri"/>
          <w:bCs/>
          <w:sz w:val="28"/>
          <w:szCs w:val="28"/>
          <w:lang w:eastAsia="en-US"/>
        </w:rPr>
        <w:t>макрофагально-лімфоцитарним</w:t>
      </w:r>
      <w:proofErr w:type="spellEnd"/>
      <w:r w:rsidRPr="00520861">
        <w:rPr>
          <w:rFonts w:eastAsia="Calibri"/>
          <w:bCs/>
          <w:sz w:val="28"/>
          <w:szCs w:val="28"/>
          <w:lang w:eastAsia="en-US"/>
        </w:rPr>
        <w:t xml:space="preserve">) інфільтратом; </w:t>
      </w:r>
      <w:r w:rsidRPr="00520861">
        <w:rPr>
          <w:rFonts w:eastAsia="Calibri"/>
          <w:bCs/>
          <w:sz w:val="28"/>
          <w:szCs w:val="28"/>
          <w:lang w:eastAsia="en-US"/>
        </w:rPr>
        <w:br/>
        <w:t xml:space="preserve">збільшення </w:t>
      </w:r>
      <w:r w:rsidRPr="00520861">
        <w:rPr>
          <w:rFonts w:eastAsia="Calibri"/>
          <w:sz w:val="28"/>
          <w:szCs w:val="28"/>
          <w:lang w:eastAsia="en-US"/>
        </w:rPr>
        <w:sym w:font="Symbol" w:char="F0B4"/>
      </w:r>
      <w:r w:rsidRPr="00520861">
        <w:rPr>
          <w:rFonts w:eastAsia="Calibri"/>
          <w:bCs/>
          <w:sz w:val="28"/>
          <w:szCs w:val="28"/>
          <w:lang w:eastAsia="en-US"/>
        </w:rPr>
        <w:t>400);</w:t>
      </w:r>
    </w:p>
    <w:p w14:paraId="6BB396FD" w14:textId="77777777" w:rsidR="00CF641C" w:rsidRPr="00520861" w:rsidRDefault="00CF641C" w:rsidP="00292D2E">
      <w:pPr>
        <w:widowControl w:val="0"/>
        <w:spacing w:line="360" w:lineRule="auto"/>
        <w:ind w:firstLine="709"/>
        <w:jc w:val="center"/>
        <w:rPr>
          <w:rFonts w:eastAsia="Calibri"/>
          <w:bCs/>
          <w:sz w:val="28"/>
          <w:szCs w:val="28"/>
          <w:lang w:eastAsia="en-US"/>
        </w:rPr>
      </w:pPr>
      <w:r w:rsidRPr="00520861">
        <w:rPr>
          <w:rFonts w:eastAsia="Calibri"/>
          <w:bCs/>
          <w:i/>
          <w:sz w:val="28"/>
          <w:szCs w:val="28"/>
          <w:lang w:eastAsia="en-US"/>
        </w:rPr>
        <w:t>в</w:t>
      </w:r>
      <w:r w:rsidRPr="00520861">
        <w:rPr>
          <w:rFonts w:eastAsia="Calibri"/>
          <w:bCs/>
          <w:sz w:val="28"/>
          <w:szCs w:val="28"/>
          <w:lang w:eastAsia="en-US"/>
        </w:rPr>
        <w:t xml:space="preserve">) – групи 3 (спостерігаються склеротичні явища – шари </w:t>
      </w:r>
      <w:proofErr w:type="spellStart"/>
      <w:r w:rsidRPr="00520861">
        <w:rPr>
          <w:rFonts w:eastAsia="Calibri"/>
          <w:bCs/>
          <w:sz w:val="28"/>
          <w:szCs w:val="28"/>
          <w:lang w:eastAsia="en-US"/>
        </w:rPr>
        <w:t>колагенізованих</w:t>
      </w:r>
      <w:proofErr w:type="spellEnd"/>
      <w:r w:rsidRPr="00520861">
        <w:rPr>
          <w:rFonts w:eastAsia="Calibri"/>
          <w:bCs/>
          <w:sz w:val="28"/>
          <w:szCs w:val="28"/>
          <w:lang w:eastAsia="en-US"/>
        </w:rPr>
        <w:t xml:space="preserve"> </w:t>
      </w:r>
      <w:r w:rsidR="001445C7" w:rsidRPr="00520861">
        <w:rPr>
          <w:rFonts w:eastAsia="Calibri"/>
          <w:bCs/>
          <w:sz w:val="28"/>
          <w:szCs w:val="28"/>
          <w:lang w:eastAsia="en-US"/>
        </w:rPr>
        <w:br/>
      </w:r>
      <w:r w:rsidRPr="00520861">
        <w:rPr>
          <w:rFonts w:eastAsia="Calibri"/>
          <w:bCs/>
          <w:sz w:val="28"/>
          <w:szCs w:val="28"/>
          <w:lang w:eastAsia="en-US"/>
        </w:rPr>
        <w:t xml:space="preserve">тяжів, які заміщують відмерлу пульпу; збільшення </w:t>
      </w:r>
      <w:r w:rsidRPr="00520861">
        <w:rPr>
          <w:rFonts w:eastAsia="Calibri"/>
          <w:sz w:val="28"/>
          <w:szCs w:val="28"/>
          <w:lang w:eastAsia="en-US"/>
        </w:rPr>
        <w:sym w:font="Symbol" w:char="F0B4"/>
      </w:r>
      <w:r w:rsidRPr="00520861">
        <w:rPr>
          <w:rFonts w:eastAsia="Calibri"/>
          <w:bCs/>
          <w:sz w:val="28"/>
          <w:szCs w:val="28"/>
          <w:lang w:eastAsia="en-US"/>
        </w:rPr>
        <w:t>400);</w:t>
      </w:r>
    </w:p>
    <w:p w14:paraId="63B4675D" w14:textId="77777777" w:rsidR="00CF641C" w:rsidRPr="00520861" w:rsidRDefault="00CF641C" w:rsidP="00292D2E">
      <w:pPr>
        <w:widowControl w:val="0"/>
        <w:spacing w:line="360" w:lineRule="auto"/>
        <w:ind w:firstLine="709"/>
        <w:jc w:val="center"/>
        <w:rPr>
          <w:rFonts w:eastAsiaTheme="minorHAnsi"/>
          <w:sz w:val="28"/>
          <w:szCs w:val="28"/>
          <w:lang w:eastAsia="en-US"/>
        </w:rPr>
      </w:pPr>
      <w:r w:rsidRPr="00520861">
        <w:rPr>
          <w:rFonts w:eastAsia="Calibri"/>
          <w:bCs/>
          <w:i/>
          <w:sz w:val="28"/>
          <w:szCs w:val="28"/>
          <w:lang w:eastAsia="en-US"/>
        </w:rPr>
        <w:t>г</w:t>
      </w:r>
      <w:r w:rsidRPr="00520861">
        <w:rPr>
          <w:rFonts w:eastAsia="Calibri"/>
          <w:bCs/>
          <w:sz w:val="28"/>
          <w:szCs w:val="28"/>
          <w:lang w:eastAsia="en-US"/>
        </w:rPr>
        <w:t>)</w:t>
      </w:r>
      <w:r w:rsidRPr="00520861">
        <w:rPr>
          <w:rFonts w:eastAsiaTheme="minorHAnsi"/>
          <w:sz w:val="28"/>
          <w:szCs w:val="28"/>
          <w:lang w:eastAsia="en-US"/>
        </w:rPr>
        <w:t xml:space="preserve"> – </w:t>
      </w:r>
      <w:r w:rsidRPr="00520861">
        <w:rPr>
          <w:rFonts w:eastAsia="Calibri"/>
          <w:bCs/>
          <w:sz w:val="28"/>
          <w:szCs w:val="28"/>
          <w:lang w:eastAsia="en-US"/>
        </w:rPr>
        <w:t xml:space="preserve">групи 4 (спостерігається склероз у вигляді шарів колагену, які заміщують загиблу пульпу; збільшення </w:t>
      </w:r>
      <w:proofErr w:type="spellStart"/>
      <w:r w:rsidRPr="00520861">
        <w:rPr>
          <w:rFonts w:eastAsia="Calibri"/>
          <w:bCs/>
          <w:sz w:val="28"/>
          <w:szCs w:val="28"/>
          <w:lang w:eastAsia="en-US"/>
        </w:rPr>
        <w:t>збільшення</w:t>
      </w:r>
      <w:proofErr w:type="spellEnd"/>
      <w:r w:rsidRPr="00520861">
        <w:rPr>
          <w:rFonts w:eastAsia="Calibri"/>
          <w:bCs/>
          <w:sz w:val="28"/>
          <w:szCs w:val="28"/>
          <w:lang w:eastAsia="en-US"/>
        </w:rPr>
        <w:t xml:space="preserve"> </w:t>
      </w:r>
      <w:r w:rsidRPr="00520861">
        <w:rPr>
          <w:rFonts w:eastAsia="Calibri"/>
          <w:sz w:val="28"/>
          <w:szCs w:val="28"/>
          <w:lang w:eastAsia="en-US"/>
        </w:rPr>
        <w:sym w:font="Symbol" w:char="F0B4"/>
      </w:r>
      <w:r w:rsidRPr="00520861">
        <w:rPr>
          <w:rFonts w:eastAsia="Calibri"/>
          <w:sz w:val="28"/>
          <w:szCs w:val="28"/>
          <w:lang w:eastAsia="en-US"/>
        </w:rPr>
        <w:t>400</w:t>
      </w:r>
      <w:r w:rsidRPr="00520861">
        <w:rPr>
          <w:rFonts w:eastAsia="Calibri"/>
          <w:bCs/>
          <w:sz w:val="28"/>
          <w:szCs w:val="28"/>
          <w:lang w:eastAsia="en-US"/>
        </w:rPr>
        <w:t>).</w:t>
      </w:r>
    </w:p>
    <w:p w14:paraId="1AEE3394" w14:textId="77777777" w:rsidR="00CF641C" w:rsidRPr="00520861" w:rsidRDefault="00CF641C" w:rsidP="00292D2E">
      <w:pPr>
        <w:widowControl w:val="0"/>
        <w:spacing w:line="360" w:lineRule="auto"/>
        <w:ind w:firstLine="708"/>
        <w:jc w:val="center"/>
        <w:rPr>
          <w:rFonts w:eastAsia="Calibri"/>
          <w:color w:val="000000"/>
          <w:sz w:val="28"/>
          <w:szCs w:val="28"/>
          <w:lang w:eastAsia="en-US"/>
        </w:rPr>
      </w:pPr>
      <w:r w:rsidRPr="00520861">
        <w:rPr>
          <w:rFonts w:eastAsia="Calibri"/>
          <w:bCs/>
          <w:sz w:val="28"/>
          <w:szCs w:val="28"/>
          <w:lang w:eastAsia="en-US"/>
        </w:rPr>
        <w:t xml:space="preserve">Забарвлення: </w:t>
      </w:r>
      <w:r w:rsidRPr="00520861">
        <w:rPr>
          <w:rFonts w:eastAsia="Calibri"/>
          <w:bCs/>
          <w:i/>
          <w:sz w:val="28"/>
          <w:szCs w:val="28"/>
          <w:lang w:eastAsia="en-US"/>
        </w:rPr>
        <w:t>а</w:t>
      </w:r>
      <w:r w:rsidRPr="00520861">
        <w:rPr>
          <w:rFonts w:eastAsia="Calibri"/>
          <w:bCs/>
          <w:sz w:val="28"/>
          <w:szCs w:val="28"/>
          <w:lang w:eastAsia="en-US"/>
        </w:rPr>
        <w:t xml:space="preserve">), </w:t>
      </w:r>
      <w:r w:rsidRPr="00520861">
        <w:rPr>
          <w:rFonts w:eastAsia="Calibri"/>
          <w:bCs/>
          <w:i/>
          <w:sz w:val="28"/>
          <w:szCs w:val="28"/>
          <w:lang w:eastAsia="en-US"/>
        </w:rPr>
        <w:t>б</w:t>
      </w:r>
      <w:r w:rsidRPr="00520861">
        <w:rPr>
          <w:rFonts w:eastAsia="Calibri"/>
          <w:bCs/>
          <w:sz w:val="28"/>
          <w:szCs w:val="28"/>
          <w:lang w:eastAsia="en-US"/>
        </w:rPr>
        <w:t xml:space="preserve">) – гематоксиліном та еозином; </w:t>
      </w:r>
      <w:r w:rsidRPr="00520861">
        <w:rPr>
          <w:rFonts w:eastAsiaTheme="minorHAnsi"/>
          <w:i/>
          <w:sz w:val="28"/>
          <w:szCs w:val="28"/>
          <w:lang w:eastAsia="en-US"/>
        </w:rPr>
        <w:t>в</w:t>
      </w:r>
      <w:r w:rsidRPr="00520861">
        <w:rPr>
          <w:rFonts w:eastAsiaTheme="minorHAnsi"/>
          <w:sz w:val="28"/>
          <w:szCs w:val="28"/>
          <w:lang w:val="ru-RU" w:eastAsia="en-US"/>
        </w:rPr>
        <w:t xml:space="preserve">), </w:t>
      </w:r>
      <w:r w:rsidRPr="00520861">
        <w:rPr>
          <w:rFonts w:eastAsiaTheme="minorHAnsi"/>
          <w:sz w:val="28"/>
          <w:szCs w:val="28"/>
          <w:lang w:val="ru-RU" w:eastAsia="en-US"/>
        </w:rPr>
        <w:br/>
      </w:r>
      <w:r w:rsidRPr="00520861">
        <w:rPr>
          <w:rFonts w:eastAsiaTheme="minorHAnsi"/>
          <w:i/>
          <w:sz w:val="28"/>
          <w:szCs w:val="28"/>
          <w:lang w:eastAsia="en-US"/>
        </w:rPr>
        <w:t>г</w:t>
      </w:r>
      <w:r w:rsidRPr="00520861">
        <w:rPr>
          <w:rFonts w:eastAsiaTheme="minorHAnsi"/>
          <w:sz w:val="28"/>
          <w:szCs w:val="28"/>
          <w:lang w:val="ru-RU" w:eastAsia="en-US"/>
        </w:rPr>
        <w:t>)</w:t>
      </w:r>
      <w:r w:rsidRPr="00520861">
        <w:rPr>
          <w:rFonts w:eastAsiaTheme="minorHAnsi"/>
          <w:sz w:val="28"/>
          <w:szCs w:val="28"/>
          <w:lang w:eastAsia="en-US"/>
        </w:rPr>
        <w:t xml:space="preserve"> – </w:t>
      </w:r>
      <w:proofErr w:type="spellStart"/>
      <w:r w:rsidRPr="00520861">
        <w:rPr>
          <w:rFonts w:eastAsia="Calibri"/>
          <w:bCs/>
          <w:sz w:val="28"/>
          <w:szCs w:val="28"/>
          <w:lang w:eastAsia="en-US"/>
        </w:rPr>
        <w:t>пікрофуксином</w:t>
      </w:r>
      <w:proofErr w:type="spellEnd"/>
      <w:r w:rsidRPr="00520861">
        <w:rPr>
          <w:rFonts w:eastAsia="Calibri"/>
          <w:bCs/>
          <w:sz w:val="28"/>
          <w:szCs w:val="28"/>
          <w:lang w:eastAsia="en-US"/>
        </w:rPr>
        <w:t xml:space="preserve"> за ван </w:t>
      </w:r>
      <w:proofErr w:type="spellStart"/>
      <w:r w:rsidRPr="00520861">
        <w:rPr>
          <w:rFonts w:eastAsia="Calibri"/>
          <w:bCs/>
          <w:sz w:val="28"/>
          <w:szCs w:val="28"/>
          <w:lang w:eastAsia="en-US"/>
        </w:rPr>
        <w:t>Гізоном</w:t>
      </w:r>
      <w:proofErr w:type="spellEnd"/>
      <w:r w:rsidRPr="00520861">
        <w:rPr>
          <w:rFonts w:eastAsia="Calibri"/>
          <w:bCs/>
          <w:sz w:val="28"/>
          <w:szCs w:val="28"/>
          <w:lang w:eastAsia="en-US"/>
        </w:rPr>
        <w:t>.</w:t>
      </w:r>
    </w:p>
    <w:p w14:paraId="3F3D719C" w14:textId="77777777" w:rsidR="00CF641C" w:rsidRPr="00520861" w:rsidRDefault="00CF641C" w:rsidP="00292D2E">
      <w:pPr>
        <w:widowControl w:val="0"/>
        <w:spacing w:line="360" w:lineRule="auto"/>
        <w:ind w:firstLine="708"/>
        <w:jc w:val="both"/>
        <w:rPr>
          <w:rFonts w:eastAsia="Calibri"/>
          <w:color w:val="000000"/>
          <w:sz w:val="28"/>
          <w:szCs w:val="28"/>
          <w:lang w:eastAsia="en-US"/>
        </w:rPr>
      </w:pPr>
    </w:p>
    <w:p w14:paraId="333C3408" w14:textId="77777777" w:rsidR="00CF641C" w:rsidRPr="00520861" w:rsidRDefault="00CF641C" w:rsidP="00292D2E">
      <w:pPr>
        <w:widowControl w:val="0"/>
        <w:spacing w:line="360" w:lineRule="auto"/>
        <w:ind w:firstLine="708"/>
        <w:jc w:val="both"/>
        <w:rPr>
          <w:rFonts w:eastAsia="Calibri"/>
          <w:color w:val="000000"/>
          <w:spacing w:val="-2"/>
          <w:sz w:val="28"/>
          <w:szCs w:val="28"/>
          <w:lang w:eastAsia="en-US"/>
        </w:rPr>
      </w:pPr>
      <w:r w:rsidRPr="00520861">
        <w:rPr>
          <w:rFonts w:eastAsia="Calibri"/>
          <w:color w:val="000000"/>
          <w:spacing w:val="-2"/>
          <w:sz w:val="28"/>
          <w:szCs w:val="28"/>
          <w:lang w:eastAsia="en-US"/>
        </w:rPr>
        <w:lastRenderedPageBreak/>
        <w:t xml:space="preserve">У підтвердження </w:t>
      </w:r>
      <w:proofErr w:type="spellStart"/>
      <w:r w:rsidRPr="00520861">
        <w:rPr>
          <w:rFonts w:eastAsia="Calibri"/>
          <w:color w:val="000000"/>
          <w:spacing w:val="-2"/>
          <w:sz w:val="28"/>
          <w:szCs w:val="28"/>
          <w:lang w:eastAsia="en-US"/>
        </w:rPr>
        <w:t>атрофізації</w:t>
      </w:r>
      <w:proofErr w:type="spellEnd"/>
      <w:r w:rsidRPr="00520861">
        <w:rPr>
          <w:rFonts w:eastAsia="Calibri"/>
          <w:color w:val="000000"/>
          <w:spacing w:val="-2"/>
          <w:sz w:val="28"/>
          <w:szCs w:val="28"/>
          <w:lang w:eastAsia="en-US"/>
        </w:rPr>
        <w:t xml:space="preserve"> пульпи, при забарвлюванні за </w:t>
      </w:r>
      <w:proofErr w:type="spellStart"/>
      <w:r w:rsidRPr="00520861">
        <w:rPr>
          <w:rFonts w:eastAsia="Calibri"/>
          <w:color w:val="000000"/>
          <w:spacing w:val="-2"/>
          <w:sz w:val="28"/>
          <w:szCs w:val="28"/>
          <w:lang w:eastAsia="en-US"/>
        </w:rPr>
        <w:t>Ейнарсоном</w:t>
      </w:r>
      <w:proofErr w:type="spellEnd"/>
      <w:r w:rsidRPr="00520861">
        <w:rPr>
          <w:rFonts w:eastAsia="Calibri"/>
          <w:color w:val="000000"/>
          <w:spacing w:val="-2"/>
          <w:sz w:val="28"/>
          <w:szCs w:val="28"/>
          <w:lang w:eastAsia="en-US"/>
        </w:rPr>
        <w:t xml:space="preserve"> </w:t>
      </w:r>
      <w:r w:rsidR="001445C7" w:rsidRPr="00520861">
        <w:rPr>
          <w:rFonts w:eastAsia="Calibri"/>
          <w:color w:val="000000"/>
          <w:spacing w:val="-2"/>
          <w:sz w:val="28"/>
          <w:szCs w:val="28"/>
          <w:lang w:eastAsia="en-US"/>
        </w:rPr>
        <w:br/>
      </w:r>
      <w:proofErr w:type="spellStart"/>
      <w:r w:rsidRPr="00520861">
        <w:rPr>
          <w:rFonts w:eastAsia="Calibri"/>
          <w:color w:val="000000"/>
          <w:spacing w:val="-2"/>
          <w:sz w:val="28"/>
          <w:szCs w:val="28"/>
          <w:lang w:eastAsia="en-US"/>
        </w:rPr>
        <w:t>візуалізується</w:t>
      </w:r>
      <w:proofErr w:type="spellEnd"/>
      <w:r w:rsidRPr="00520861">
        <w:rPr>
          <w:rFonts w:eastAsia="Calibri"/>
          <w:color w:val="000000"/>
          <w:spacing w:val="-2"/>
          <w:sz w:val="28"/>
          <w:szCs w:val="28"/>
          <w:lang w:eastAsia="en-US"/>
        </w:rPr>
        <w:t xml:space="preserve"> велика кількість незабарвлених </w:t>
      </w:r>
      <w:proofErr w:type="spellStart"/>
      <w:r w:rsidRPr="00520861">
        <w:rPr>
          <w:rFonts w:eastAsia="Calibri"/>
          <w:color w:val="000000"/>
          <w:spacing w:val="-2"/>
          <w:sz w:val="28"/>
          <w:szCs w:val="28"/>
          <w:lang w:eastAsia="en-US"/>
        </w:rPr>
        <w:t>дентинних</w:t>
      </w:r>
      <w:proofErr w:type="spellEnd"/>
      <w:r w:rsidRPr="00520861">
        <w:rPr>
          <w:rFonts w:eastAsia="Calibri"/>
          <w:color w:val="000000"/>
          <w:spacing w:val="-2"/>
          <w:sz w:val="28"/>
          <w:szCs w:val="28"/>
          <w:lang w:eastAsia="en-US"/>
        </w:rPr>
        <w:t xml:space="preserve"> канальців, тобто відростки </w:t>
      </w:r>
      <w:proofErr w:type="spellStart"/>
      <w:r w:rsidRPr="00520861">
        <w:rPr>
          <w:rFonts w:eastAsia="Calibri"/>
          <w:color w:val="000000"/>
          <w:spacing w:val="-2"/>
          <w:sz w:val="28"/>
          <w:szCs w:val="28"/>
          <w:lang w:eastAsia="en-US"/>
        </w:rPr>
        <w:t>одонтобластів</w:t>
      </w:r>
      <w:proofErr w:type="spellEnd"/>
      <w:r w:rsidRPr="00520861">
        <w:rPr>
          <w:rFonts w:eastAsia="Calibri"/>
          <w:color w:val="000000"/>
          <w:spacing w:val="-2"/>
          <w:sz w:val="28"/>
          <w:szCs w:val="28"/>
          <w:lang w:eastAsia="en-US"/>
        </w:rPr>
        <w:t xml:space="preserve"> у них відсутні</w:t>
      </w:r>
      <w:r w:rsidRPr="00520861">
        <w:rPr>
          <w:rFonts w:eastAsia="Calibri"/>
          <w:spacing w:val="-2"/>
          <w:sz w:val="28"/>
          <w:szCs w:val="28"/>
          <w:lang w:eastAsia="en-US"/>
        </w:rPr>
        <w:t xml:space="preserve">. </w:t>
      </w:r>
    </w:p>
    <w:p w14:paraId="27A4DFE3"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 xml:space="preserve">У </w:t>
      </w:r>
      <w:r w:rsidRPr="00520861">
        <w:rPr>
          <w:rFonts w:eastAsia="Calibri"/>
          <w:sz w:val="28"/>
          <w:szCs w:val="28"/>
          <w:lang w:eastAsia="en-US"/>
        </w:rPr>
        <w:t xml:space="preserve">12-місячних і 18-місячних </w:t>
      </w:r>
      <w:r w:rsidRPr="00520861">
        <w:rPr>
          <w:rFonts w:eastAsia="Calibri"/>
          <w:color w:val="000000"/>
          <w:sz w:val="28"/>
          <w:szCs w:val="28"/>
          <w:lang w:eastAsia="en-US"/>
        </w:rPr>
        <w:t xml:space="preserve">тварин групи 4 у периферійній зоні пульпи ядра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округлої форми (</w:t>
      </w:r>
      <w:r w:rsidRPr="00520861">
        <w:rPr>
          <w:rFonts w:eastAsia="Calibri"/>
          <w:bCs/>
          <w:color w:val="000000"/>
          <w:sz w:val="28"/>
          <w:szCs w:val="28"/>
          <w:lang w:eastAsia="en-US"/>
        </w:rPr>
        <w:t>рис. 3.32</w:t>
      </w:r>
      <w:r w:rsidRPr="00520861">
        <w:rPr>
          <w:rFonts w:eastAsia="Calibri"/>
          <w:bCs/>
          <w:i/>
          <w:color w:val="000000"/>
          <w:sz w:val="28"/>
          <w:szCs w:val="28"/>
          <w:lang w:eastAsia="en-US"/>
        </w:rPr>
        <w:t>г</w:t>
      </w:r>
      <w:r w:rsidRPr="00520861">
        <w:rPr>
          <w:rFonts w:eastAsia="Calibri"/>
          <w:color w:val="000000"/>
          <w:sz w:val="28"/>
          <w:szCs w:val="28"/>
          <w:lang w:eastAsia="en-US"/>
        </w:rPr>
        <w:t xml:space="preserve">), гіпотрофічні, малого розміру, темного </w:t>
      </w:r>
      <w:r w:rsidR="001445C7" w:rsidRPr="00520861">
        <w:rPr>
          <w:rFonts w:eastAsia="Calibri"/>
          <w:color w:val="000000"/>
          <w:sz w:val="28"/>
          <w:szCs w:val="28"/>
          <w:lang w:eastAsia="en-US"/>
        </w:rPr>
        <w:br/>
      </w:r>
      <w:r w:rsidRPr="00520861">
        <w:rPr>
          <w:rFonts w:eastAsia="Calibri"/>
          <w:color w:val="000000"/>
          <w:sz w:val="28"/>
          <w:szCs w:val="28"/>
          <w:lang w:eastAsia="en-US"/>
        </w:rPr>
        <w:t>кольору</w:t>
      </w:r>
      <w:r w:rsidRPr="00520861">
        <w:rPr>
          <w:rFonts w:eastAsia="Calibri"/>
          <w:sz w:val="28"/>
          <w:szCs w:val="28"/>
          <w:lang w:eastAsia="en-US"/>
        </w:rPr>
        <w:t xml:space="preserve"> [59]</w:t>
      </w:r>
      <w:r w:rsidRPr="00520861">
        <w:rPr>
          <w:rFonts w:eastAsia="Calibri"/>
          <w:color w:val="000000"/>
          <w:sz w:val="28"/>
          <w:szCs w:val="28"/>
          <w:lang w:eastAsia="en-US"/>
        </w:rPr>
        <w:t xml:space="preserve">. Медіанні значення розміру тіл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вірогідно менші за такі у контрольних тварин (</w:t>
      </w:r>
      <w:r w:rsidRPr="00520861">
        <w:rPr>
          <w:rFonts w:eastAsia="Calibri"/>
          <w:bCs/>
          <w:color w:val="000000"/>
          <w:sz w:val="28"/>
          <w:szCs w:val="28"/>
          <w:lang w:eastAsia="en-US"/>
        </w:rPr>
        <w:t>табл. 3.20</w:t>
      </w:r>
      <w:r w:rsidRPr="00520861">
        <w:rPr>
          <w:rFonts w:eastAsia="Calibri"/>
          <w:color w:val="000000"/>
          <w:sz w:val="28"/>
          <w:szCs w:val="28"/>
          <w:lang w:eastAsia="en-US"/>
        </w:rPr>
        <w:t>)</w:t>
      </w:r>
      <w:r w:rsidRPr="00520861">
        <w:rPr>
          <w:rFonts w:eastAsia="Calibri"/>
          <w:sz w:val="28"/>
          <w:szCs w:val="28"/>
          <w:lang w:eastAsia="en-US"/>
        </w:rPr>
        <w:t>.</w:t>
      </w:r>
    </w:p>
    <w:p w14:paraId="7B2DDE27" w14:textId="77777777" w:rsidR="00CF641C" w:rsidRPr="00520861" w:rsidRDefault="00CF641C" w:rsidP="00292D2E">
      <w:pPr>
        <w:widowControl w:val="0"/>
        <w:spacing w:line="360" w:lineRule="auto"/>
        <w:ind w:firstLine="708"/>
        <w:jc w:val="both"/>
        <w:rPr>
          <w:rFonts w:eastAsia="Calibri"/>
          <w:b/>
          <w:color w:val="000000"/>
          <w:sz w:val="28"/>
          <w:szCs w:val="28"/>
          <w:lang w:eastAsia="en-US"/>
        </w:rPr>
      </w:pPr>
      <w:r w:rsidRPr="00520861">
        <w:rPr>
          <w:rFonts w:eastAsia="Calibri"/>
          <w:sz w:val="28"/>
          <w:szCs w:val="28"/>
          <w:lang w:eastAsia="en-US"/>
        </w:rPr>
        <w:t>С</w:t>
      </w:r>
      <w:r w:rsidRPr="00520861">
        <w:rPr>
          <w:rFonts w:eastAsia="Calibri"/>
          <w:color w:val="000000"/>
          <w:sz w:val="28"/>
          <w:szCs w:val="28"/>
          <w:lang w:eastAsia="en-US"/>
        </w:rPr>
        <w:t xml:space="preserve">постерігаються значні ділянки, де </w:t>
      </w:r>
      <w:proofErr w:type="spellStart"/>
      <w:r w:rsidRPr="00520861">
        <w:rPr>
          <w:rFonts w:eastAsia="Calibri"/>
          <w:color w:val="000000"/>
          <w:sz w:val="28"/>
          <w:szCs w:val="28"/>
          <w:lang w:eastAsia="en-US"/>
        </w:rPr>
        <w:t>одонтобласти</w:t>
      </w:r>
      <w:proofErr w:type="spellEnd"/>
      <w:r w:rsidRPr="00520861">
        <w:rPr>
          <w:rFonts w:eastAsia="Calibri"/>
          <w:color w:val="000000"/>
          <w:sz w:val="28"/>
          <w:szCs w:val="28"/>
          <w:lang w:eastAsia="en-US"/>
        </w:rPr>
        <w:t xml:space="preserve"> відсутні. Центральна частина пульпи – багатоклітинна, з домінуванням фіброцитів, спостерігається суттєве склерозування пульпи (</w:t>
      </w:r>
      <w:r w:rsidRPr="00520861">
        <w:rPr>
          <w:rFonts w:eastAsia="Calibri"/>
          <w:bCs/>
          <w:color w:val="000000"/>
          <w:sz w:val="28"/>
          <w:szCs w:val="28"/>
          <w:lang w:eastAsia="en-US"/>
        </w:rPr>
        <w:t>рис. 3.31</w:t>
      </w:r>
      <w:r w:rsidRPr="00520861">
        <w:rPr>
          <w:rFonts w:eastAsia="Calibri"/>
          <w:bCs/>
          <w:i/>
          <w:color w:val="000000"/>
          <w:sz w:val="28"/>
          <w:szCs w:val="28"/>
          <w:lang w:eastAsia="en-US"/>
        </w:rPr>
        <w:t>б</w:t>
      </w:r>
      <w:r w:rsidRPr="00520861">
        <w:rPr>
          <w:rFonts w:eastAsia="Calibri"/>
          <w:color w:val="000000"/>
          <w:sz w:val="28"/>
          <w:szCs w:val="28"/>
          <w:lang w:eastAsia="en-US"/>
        </w:rPr>
        <w:t xml:space="preserve">). Дистальні кінці відростків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не доходять до периферії дентину, в той час як проксимальні, ті, що ближче до пульпи зуба, </w:t>
      </w:r>
      <w:r w:rsidRPr="00520861">
        <w:rPr>
          <w:rFonts w:eastAsia="Calibri"/>
          <w:color w:val="000000"/>
          <w:sz w:val="28"/>
          <w:szCs w:val="28"/>
          <w:lang w:eastAsia="en-US"/>
        </w:rPr>
        <w:br/>
      </w:r>
      <w:proofErr w:type="spellStart"/>
      <w:r w:rsidRPr="00520861">
        <w:rPr>
          <w:rFonts w:eastAsia="Calibri"/>
          <w:color w:val="000000"/>
          <w:sz w:val="28"/>
          <w:szCs w:val="28"/>
          <w:lang w:eastAsia="en-US"/>
        </w:rPr>
        <w:t>інтенсивно</w:t>
      </w:r>
      <w:proofErr w:type="spellEnd"/>
      <w:r w:rsidRPr="00520861">
        <w:rPr>
          <w:rFonts w:eastAsia="Calibri"/>
          <w:color w:val="000000"/>
          <w:sz w:val="28"/>
          <w:szCs w:val="28"/>
          <w:lang w:eastAsia="en-US"/>
        </w:rPr>
        <w:t xml:space="preserve"> забарвлені.</w:t>
      </w:r>
      <w:r w:rsidRPr="00520861">
        <w:rPr>
          <w:rFonts w:eastAsia="Calibri"/>
          <w:b/>
          <w:color w:val="000000"/>
          <w:sz w:val="28"/>
          <w:szCs w:val="28"/>
          <w:lang w:eastAsia="en-US"/>
        </w:rPr>
        <w:t xml:space="preserve"> </w:t>
      </w:r>
      <w:r w:rsidRPr="00520861">
        <w:rPr>
          <w:rFonts w:eastAsia="Calibri"/>
          <w:sz w:val="28"/>
          <w:szCs w:val="28"/>
          <w:lang w:eastAsia="en-US"/>
        </w:rPr>
        <w:t xml:space="preserve">У </w:t>
      </w:r>
      <w:proofErr w:type="spellStart"/>
      <w:r w:rsidRPr="00520861">
        <w:rPr>
          <w:rFonts w:eastAsia="Calibri"/>
          <w:sz w:val="28"/>
          <w:szCs w:val="28"/>
          <w:lang w:eastAsia="en-US"/>
        </w:rPr>
        <w:t>вісімнадцятимісячних</w:t>
      </w:r>
      <w:proofErr w:type="spellEnd"/>
      <w:r w:rsidRPr="00520861">
        <w:rPr>
          <w:rFonts w:eastAsia="Calibri"/>
          <w:sz w:val="28"/>
          <w:szCs w:val="28"/>
          <w:lang w:eastAsia="en-US"/>
        </w:rPr>
        <w:t xml:space="preserve"> тварин</w:t>
      </w:r>
      <w:r w:rsidRPr="00520861">
        <w:rPr>
          <w:rFonts w:eastAsia="Calibri"/>
          <w:b/>
          <w:sz w:val="28"/>
          <w:szCs w:val="28"/>
          <w:lang w:eastAsia="en-US"/>
        </w:rPr>
        <w:t xml:space="preserve"> </w:t>
      </w:r>
      <w:r w:rsidRPr="00520861">
        <w:rPr>
          <w:rFonts w:eastAsia="Calibri"/>
          <w:sz w:val="28"/>
          <w:szCs w:val="28"/>
          <w:lang w:eastAsia="en-US"/>
        </w:rPr>
        <w:t xml:space="preserve">на кореневому рівні </w:t>
      </w:r>
      <w:proofErr w:type="spellStart"/>
      <w:r w:rsidRPr="00520861">
        <w:rPr>
          <w:rFonts w:eastAsia="Calibri"/>
          <w:sz w:val="28"/>
          <w:szCs w:val="28"/>
          <w:lang w:eastAsia="en-US"/>
        </w:rPr>
        <w:t>дентинні</w:t>
      </w:r>
      <w:proofErr w:type="spellEnd"/>
      <w:r w:rsidRPr="00520861">
        <w:rPr>
          <w:rFonts w:eastAsia="Calibri"/>
          <w:sz w:val="28"/>
          <w:szCs w:val="28"/>
          <w:lang w:eastAsia="en-US"/>
        </w:rPr>
        <w:t xml:space="preserve"> канальці та відростки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тільки місцями, у периферійній частині кореня їх зовсім немає. У декількох тварин кореневі канали в коренях зубів не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зовсім</w:t>
      </w:r>
      <w:r w:rsidRPr="00520861">
        <w:rPr>
          <w:rFonts w:eastAsia="Calibri"/>
          <w:b/>
          <w:sz w:val="28"/>
          <w:szCs w:val="28"/>
          <w:lang w:eastAsia="en-US"/>
        </w:rPr>
        <w:t>.</w:t>
      </w:r>
    </w:p>
    <w:p w14:paraId="29B08471"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 xml:space="preserve">Таким чином, у щурів груп 3 та 4 по периметру </w:t>
      </w:r>
      <w:proofErr w:type="spellStart"/>
      <w:r w:rsidRPr="00520861">
        <w:rPr>
          <w:rFonts w:eastAsia="Calibri"/>
          <w:color w:val="000000"/>
          <w:sz w:val="28"/>
          <w:szCs w:val="28"/>
          <w:lang w:eastAsia="en-US"/>
        </w:rPr>
        <w:t>пульпової</w:t>
      </w:r>
      <w:proofErr w:type="spellEnd"/>
      <w:r w:rsidRPr="00520861">
        <w:rPr>
          <w:rFonts w:eastAsia="Calibri"/>
          <w:color w:val="000000"/>
          <w:sz w:val="28"/>
          <w:szCs w:val="28"/>
          <w:lang w:eastAsia="en-US"/>
        </w:rPr>
        <w:t xml:space="preserve"> камери спостерігається більш виражений процес зменшення кількості </w:t>
      </w:r>
      <w:proofErr w:type="spellStart"/>
      <w:r w:rsidRPr="00520861">
        <w:rPr>
          <w:rFonts w:eastAsia="Calibri"/>
          <w:color w:val="000000"/>
          <w:sz w:val="28"/>
          <w:szCs w:val="28"/>
          <w:lang w:eastAsia="en-US"/>
        </w:rPr>
        <w:t>одонтобластів</w:t>
      </w:r>
      <w:proofErr w:type="spellEnd"/>
      <w:r w:rsidRPr="00520861">
        <w:rPr>
          <w:rFonts w:eastAsia="Calibri"/>
          <w:color w:val="000000"/>
          <w:sz w:val="28"/>
          <w:szCs w:val="28"/>
          <w:lang w:eastAsia="en-US"/>
        </w:rPr>
        <w:t xml:space="preserve">, </w:t>
      </w:r>
      <w:proofErr w:type="spellStart"/>
      <w:r w:rsidRPr="00520861">
        <w:rPr>
          <w:rFonts w:eastAsia="Calibri"/>
          <w:color w:val="000000"/>
          <w:sz w:val="28"/>
          <w:szCs w:val="28"/>
          <w:lang w:eastAsia="en-US"/>
        </w:rPr>
        <w:t>візуалізуються</w:t>
      </w:r>
      <w:proofErr w:type="spellEnd"/>
      <w:r w:rsidRPr="00520861">
        <w:rPr>
          <w:rFonts w:eastAsia="Calibri"/>
          <w:color w:val="000000"/>
          <w:sz w:val="28"/>
          <w:szCs w:val="28"/>
          <w:lang w:eastAsia="en-US"/>
        </w:rPr>
        <w:t xml:space="preserve"> великі ділянки, де </w:t>
      </w:r>
      <w:proofErr w:type="spellStart"/>
      <w:r w:rsidRPr="00520861">
        <w:rPr>
          <w:rFonts w:eastAsia="Calibri"/>
          <w:color w:val="000000"/>
          <w:sz w:val="28"/>
          <w:szCs w:val="28"/>
          <w:lang w:eastAsia="en-US"/>
        </w:rPr>
        <w:t>одонтобласти</w:t>
      </w:r>
      <w:proofErr w:type="spellEnd"/>
      <w:r w:rsidRPr="00520861">
        <w:rPr>
          <w:rFonts w:eastAsia="Calibri"/>
          <w:color w:val="000000"/>
          <w:sz w:val="28"/>
          <w:szCs w:val="28"/>
          <w:lang w:eastAsia="en-US"/>
        </w:rPr>
        <w:t xml:space="preserve"> повністю відсутні, та наявні явища вираженого склерозу пульпи. </w:t>
      </w:r>
    </w:p>
    <w:p w14:paraId="73D5A9B5"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Як демонструє таблиця 3.20, медіанне значення кількості каріозних уражень у тварин групи 1 є зіставним з контрольним, де навіть у віці 18 місяців спостерігалися тварини, які не мали карієсу (рис. 3.33</w:t>
      </w:r>
      <w:r w:rsidRPr="00520861">
        <w:rPr>
          <w:rFonts w:eastAsia="Calibri"/>
          <w:i/>
          <w:sz w:val="28"/>
          <w:szCs w:val="28"/>
          <w:lang w:eastAsia="en-US"/>
        </w:rPr>
        <w:t>а</w:t>
      </w:r>
      <w:r w:rsidRPr="00520861">
        <w:rPr>
          <w:rFonts w:eastAsia="Calibri"/>
          <w:sz w:val="28"/>
          <w:szCs w:val="28"/>
          <w:lang w:eastAsia="en-US"/>
        </w:rPr>
        <w:t xml:space="preserve">). </w:t>
      </w:r>
    </w:p>
    <w:p w14:paraId="66DC699B"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Медіанне значення інтенсивності карієсу у </w:t>
      </w:r>
      <w:proofErr w:type="spellStart"/>
      <w:r w:rsidRPr="00520861">
        <w:rPr>
          <w:rFonts w:eastAsia="Calibri"/>
          <w:sz w:val="28"/>
          <w:szCs w:val="28"/>
          <w:lang w:eastAsia="en-US"/>
        </w:rPr>
        <w:t>дванадцятимісячних</w:t>
      </w:r>
      <w:proofErr w:type="spellEnd"/>
      <w:r w:rsidRPr="00520861">
        <w:rPr>
          <w:rFonts w:eastAsia="Calibri"/>
          <w:sz w:val="28"/>
          <w:szCs w:val="28"/>
          <w:lang w:eastAsia="en-US"/>
        </w:rPr>
        <w:t xml:space="preserve"> тварин групи 2 було близьким до такого у контрольних тварин, проте у віці 18 місяців збільшилося. У більшості тварин цієї групи деструкція найглибших частин </w:t>
      </w:r>
      <w:proofErr w:type="spellStart"/>
      <w:r w:rsidRPr="00520861">
        <w:rPr>
          <w:rFonts w:eastAsia="Calibri"/>
          <w:sz w:val="28"/>
          <w:szCs w:val="28"/>
          <w:lang w:eastAsia="en-US"/>
        </w:rPr>
        <w:t>фісур</w:t>
      </w:r>
      <w:proofErr w:type="spellEnd"/>
      <w:r w:rsidRPr="00520861">
        <w:rPr>
          <w:rFonts w:eastAsia="Calibri"/>
          <w:sz w:val="28"/>
          <w:szCs w:val="28"/>
          <w:lang w:eastAsia="en-US"/>
        </w:rPr>
        <w:t xml:space="preserve"> не спостерігається. У </w:t>
      </w:r>
      <w:proofErr w:type="spellStart"/>
      <w:r w:rsidRPr="00520861">
        <w:rPr>
          <w:rFonts w:eastAsia="Calibri"/>
          <w:sz w:val="28"/>
          <w:szCs w:val="28"/>
          <w:lang w:eastAsia="en-US"/>
        </w:rPr>
        <w:t>дванадцятимісячних</w:t>
      </w:r>
      <w:proofErr w:type="spellEnd"/>
      <w:r w:rsidRPr="00520861">
        <w:rPr>
          <w:rFonts w:eastAsia="Calibri"/>
          <w:sz w:val="28"/>
          <w:szCs w:val="28"/>
          <w:lang w:eastAsia="en-US"/>
        </w:rPr>
        <w:t xml:space="preserve"> і </w:t>
      </w:r>
      <w:proofErr w:type="spellStart"/>
      <w:r w:rsidRPr="00520861">
        <w:rPr>
          <w:rFonts w:eastAsia="Calibri"/>
          <w:sz w:val="28"/>
          <w:szCs w:val="28"/>
          <w:lang w:eastAsia="en-US"/>
        </w:rPr>
        <w:t>вісімнадцятимісячних</w:t>
      </w:r>
      <w:proofErr w:type="spellEnd"/>
      <w:r w:rsidRPr="00520861">
        <w:rPr>
          <w:rFonts w:eastAsia="Calibri"/>
          <w:sz w:val="28"/>
          <w:szCs w:val="28"/>
          <w:lang w:eastAsia="en-US"/>
        </w:rPr>
        <w:t xml:space="preserve"> щурів груп 3 </w:t>
      </w:r>
      <w:r w:rsidRPr="00520861">
        <w:rPr>
          <w:rFonts w:eastAsia="Calibri"/>
          <w:color w:val="000000"/>
          <w:sz w:val="28"/>
          <w:szCs w:val="28"/>
          <w:lang w:eastAsia="en-US"/>
        </w:rPr>
        <w:t>(</w:t>
      </w:r>
      <w:r w:rsidRPr="00520861">
        <w:rPr>
          <w:rFonts w:eastAsia="Calibri"/>
          <w:bCs/>
          <w:color w:val="000000"/>
          <w:sz w:val="28"/>
          <w:szCs w:val="28"/>
          <w:lang w:eastAsia="en-US"/>
        </w:rPr>
        <w:t>рис. 3.33</w:t>
      </w:r>
      <w:r w:rsidRPr="00520861">
        <w:rPr>
          <w:rFonts w:eastAsia="Calibri"/>
          <w:bCs/>
          <w:i/>
          <w:color w:val="000000"/>
          <w:sz w:val="28"/>
          <w:szCs w:val="28"/>
          <w:lang w:eastAsia="en-US"/>
        </w:rPr>
        <w:t>б</w:t>
      </w:r>
      <w:r w:rsidRPr="00520861">
        <w:rPr>
          <w:rFonts w:eastAsia="Calibri"/>
          <w:color w:val="000000"/>
          <w:sz w:val="28"/>
          <w:szCs w:val="28"/>
          <w:lang w:eastAsia="en-US"/>
        </w:rPr>
        <w:t>)</w:t>
      </w:r>
      <w:r w:rsidRPr="00520861">
        <w:rPr>
          <w:rFonts w:eastAsia="Calibri"/>
          <w:sz w:val="28"/>
          <w:szCs w:val="28"/>
          <w:lang w:eastAsia="en-US"/>
        </w:rPr>
        <w:t xml:space="preserve"> та 4 кількість каріозних уражень практично у півтора рази більша, ніж у групі контролю.</w:t>
      </w:r>
    </w:p>
    <w:p w14:paraId="30CC4C08"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Можливий зв’язок між індексом маси тіла тварини при народженні та </w:t>
      </w:r>
      <w:r w:rsidRPr="00520861">
        <w:rPr>
          <w:rFonts w:eastAsia="Calibri"/>
          <w:sz w:val="28"/>
          <w:szCs w:val="28"/>
          <w:lang w:eastAsia="en-US"/>
        </w:rPr>
        <w:br/>
        <w:t xml:space="preserve">кількістю в неї зубів із карієсом у віці 12 та 18 місяців оцінювався шляхом розрахунку коефіцієнтів кореляції </w:t>
      </w:r>
      <w:proofErr w:type="spellStart"/>
      <w:r w:rsidRPr="00520861">
        <w:rPr>
          <w:rFonts w:eastAsia="Calibri"/>
          <w:sz w:val="28"/>
          <w:szCs w:val="28"/>
          <w:lang w:eastAsia="en-US"/>
        </w:rPr>
        <w:t>Пірсона</w:t>
      </w:r>
      <w:proofErr w:type="spellEnd"/>
      <w:r w:rsidRPr="00520861">
        <w:rPr>
          <w:rFonts w:eastAsia="Calibri"/>
          <w:sz w:val="28"/>
          <w:szCs w:val="28"/>
          <w:lang w:eastAsia="en-US"/>
        </w:rPr>
        <w:t xml:space="preserve">. Результати наведені в </w:t>
      </w:r>
      <w:r w:rsidRPr="00520861">
        <w:rPr>
          <w:rFonts w:eastAsia="Calibri"/>
          <w:bCs/>
          <w:sz w:val="28"/>
          <w:szCs w:val="28"/>
          <w:lang w:eastAsia="en-US"/>
        </w:rPr>
        <w:t>табл. 3.22</w:t>
      </w:r>
      <w:r w:rsidRPr="00520861">
        <w:rPr>
          <w:rFonts w:eastAsia="Calibri"/>
          <w:sz w:val="28"/>
          <w:szCs w:val="28"/>
          <w:lang w:eastAsia="en-US"/>
        </w:rPr>
        <w:t>.</w:t>
      </w:r>
    </w:p>
    <w:tbl>
      <w:tblPr>
        <w:tblW w:w="0" w:type="auto"/>
        <w:tblLook w:val="04A0" w:firstRow="1" w:lastRow="0" w:firstColumn="1" w:lastColumn="0" w:noHBand="0" w:noVBand="1"/>
      </w:tblPr>
      <w:tblGrid>
        <w:gridCol w:w="9889"/>
      </w:tblGrid>
      <w:tr w:rsidR="00CF641C" w:rsidRPr="00520861" w14:paraId="5B08B628" w14:textId="77777777" w:rsidTr="00292D2E">
        <w:tc>
          <w:tcPr>
            <w:tcW w:w="9889" w:type="dxa"/>
            <w:shd w:val="clear" w:color="auto" w:fill="auto"/>
          </w:tcPr>
          <w:p w14:paraId="288D97E3" w14:textId="77777777" w:rsidR="00CF641C" w:rsidRPr="00520861" w:rsidRDefault="00CF641C" w:rsidP="00292D2E">
            <w:pPr>
              <w:widowControl w:val="0"/>
              <w:spacing w:line="276"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6A3A869B" wp14:editId="624AD2C8">
                  <wp:extent cx="3648075" cy="2537106"/>
                  <wp:effectExtent l="0" t="0" r="0" b="0"/>
                  <wp:docPr id="51" name="Рисунок 51" descr="D:\тер стом\научн работа 1\дд друк\ на защиту\Маша\Рис\Рис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тер стом\научн работа 1\дд друк\ на защиту\Маша\Рис\Рис3.3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650533" cy="2538815"/>
                          </a:xfrm>
                          <a:prstGeom prst="rect">
                            <a:avLst/>
                          </a:prstGeom>
                          <a:noFill/>
                          <a:ln>
                            <a:noFill/>
                          </a:ln>
                        </pic:spPr>
                      </pic:pic>
                    </a:graphicData>
                  </a:graphic>
                </wp:inline>
              </w:drawing>
            </w:r>
          </w:p>
        </w:tc>
      </w:tr>
    </w:tbl>
    <w:p w14:paraId="7840FC70" w14:textId="77777777" w:rsidR="00CF641C" w:rsidRPr="00520861" w:rsidRDefault="00CF641C" w:rsidP="00292D2E">
      <w:pPr>
        <w:widowControl w:val="0"/>
        <w:spacing w:line="360" w:lineRule="auto"/>
        <w:ind w:firstLine="709"/>
        <w:jc w:val="both"/>
        <w:rPr>
          <w:snapToGrid w:val="0"/>
          <w:color w:val="000000"/>
          <w:w w:val="0"/>
          <w:sz w:val="28"/>
          <w:szCs w:val="28"/>
          <w:u w:color="000000"/>
          <w:bdr w:val="none" w:sz="0" w:space="0" w:color="000000"/>
          <w:shd w:val="clear" w:color="000000" w:fill="000000"/>
          <w:lang w:val="x-none" w:eastAsia="x-none" w:bidi="x-none"/>
        </w:rPr>
      </w:pPr>
    </w:p>
    <w:p w14:paraId="702141B5" w14:textId="77777777" w:rsidR="00CF641C" w:rsidRPr="00520861" w:rsidRDefault="00CF641C" w:rsidP="00292D2E">
      <w:pPr>
        <w:widowControl w:val="0"/>
        <w:spacing w:line="360" w:lineRule="auto"/>
        <w:ind w:firstLine="709"/>
        <w:jc w:val="both"/>
        <w:rPr>
          <w:snapToGrid w:val="0"/>
          <w:color w:val="000000"/>
          <w:w w:val="0"/>
          <w:sz w:val="28"/>
          <w:szCs w:val="28"/>
          <w:u w:color="000000"/>
          <w:bdr w:val="none" w:sz="0" w:space="0" w:color="000000"/>
          <w:shd w:val="clear" w:color="000000" w:fill="000000"/>
          <w:lang w:val="x-none" w:eastAsia="x-none" w:bidi="x-none"/>
        </w:rPr>
      </w:pPr>
    </w:p>
    <w:p w14:paraId="46E2A1AF" w14:textId="77777777" w:rsidR="00CF641C" w:rsidRPr="00520861" w:rsidRDefault="00CF641C" w:rsidP="00292D2E">
      <w:pPr>
        <w:widowControl w:val="0"/>
        <w:spacing w:line="360" w:lineRule="auto"/>
        <w:ind w:firstLine="709"/>
        <w:jc w:val="both"/>
        <w:rPr>
          <w:snapToGrid w:val="0"/>
          <w:color w:val="000000"/>
          <w:w w:val="0"/>
          <w:sz w:val="28"/>
          <w:szCs w:val="28"/>
          <w:u w:color="000000"/>
          <w:bdr w:val="none" w:sz="0" w:space="0" w:color="000000"/>
          <w:shd w:val="clear" w:color="000000" w:fill="000000"/>
          <w:lang w:val="x-none" w:eastAsia="x-none" w:bidi="x-none"/>
        </w:rPr>
      </w:pPr>
    </w:p>
    <w:p w14:paraId="7F6183D2" w14:textId="77777777" w:rsidR="00CF641C" w:rsidRPr="00520861" w:rsidRDefault="00CF641C" w:rsidP="00292D2E">
      <w:pPr>
        <w:widowControl w:val="0"/>
        <w:spacing w:line="360" w:lineRule="auto"/>
        <w:ind w:firstLine="709"/>
        <w:jc w:val="both"/>
        <w:rPr>
          <w:snapToGrid w:val="0"/>
          <w:color w:val="000000"/>
          <w:w w:val="0"/>
          <w:sz w:val="28"/>
          <w:szCs w:val="28"/>
          <w:u w:color="000000"/>
          <w:bdr w:val="none" w:sz="0" w:space="0" w:color="000000"/>
          <w:shd w:val="clear" w:color="000000" w:fill="000000"/>
          <w:lang w:val="x-none" w:eastAsia="x-none" w:bidi="x-none"/>
        </w:rPr>
      </w:pPr>
    </w:p>
    <w:p w14:paraId="5B0B19E8" w14:textId="77777777" w:rsidR="00CF641C" w:rsidRPr="00520861" w:rsidRDefault="00CF641C" w:rsidP="00292D2E">
      <w:pPr>
        <w:widowControl w:val="0"/>
        <w:spacing w:line="360" w:lineRule="auto"/>
        <w:ind w:firstLine="709"/>
        <w:jc w:val="both"/>
        <w:rPr>
          <w:snapToGrid w:val="0"/>
          <w:color w:val="000000"/>
          <w:w w:val="0"/>
          <w:sz w:val="28"/>
          <w:szCs w:val="28"/>
          <w:u w:color="000000"/>
          <w:bdr w:val="none" w:sz="0" w:space="0" w:color="000000"/>
          <w:shd w:val="clear" w:color="000000" w:fill="000000"/>
          <w:lang w:val="x-none" w:eastAsia="x-none" w:bidi="x-none"/>
        </w:rPr>
      </w:pPr>
    </w:p>
    <w:p w14:paraId="53EDB49E" w14:textId="77777777" w:rsidR="00CF641C" w:rsidRPr="00520861" w:rsidRDefault="00CF641C" w:rsidP="00292D2E">
      <w:pPr>
        <w:widowControl w:val="0"/>
        <w:spacing w:line="360" w:lineRule="auto"/>
        <w:ind w:firstLine="709"/>
        <w:jc w:val="both"/>
        <w:rPr>
          <w:snapToGrid w:val="0"/>
          <w:color w:val="000000"/>
          <w:w w:val="0"/>
          <w:sz w:val="28"/>
          <w:szCs w:val="28"/>
          <w:u w:color="000000"/>
          <w:bdr w:val="none" w:sz="0" w:space="0" w:color="000000"/>
          <w:shd w:val="clear" w:color="000000" w:fill="000000"/>
          <w:lang w:val="x-none" w:eastAsia="x-none" w:bidi="x-none"/>
        </w:rPr>
      </w:pPr>
    </w:p>
    <w:p w14:paraId="6136FB58" w14:textId="77777777" w:rsidR="00CF641C" w:rsidRPr="00520861" w:rsidRDefault="00CF641C" w:rsidP="00292D2E">
      <w:pPr>
        <w:widowControl w:val="0"/>
        <w:spacing w:line="360" w:lineRule="auto"/>
        <w:ind w:firstLine="709"/>
        <w:jc w:val="both"/>
        <w:rPr>
          <w:snapToGrid w:val="0"/>
          <w:color w:val="000000"/>
          <w:w w:val="0"/>
          <w:sz w:val="28"/>
          <w:szCs w:val="28"/>
          <w:u w:color="000000"/>
          <w:bdr w:val="none" w:sz="0" w:space="0" w:color="000000"/>
          <w:shd w:val="clear" w:color="000000" w:fill="000000"/>
          <w:lang w:val="x-none" w:eastAsia="x-none" w:bidi="x-none"/>
        </w:rPr>
      </w:pPr>
    </w:p>
    <w:p w14:paraId="15555908" w14:textId="77777777" w:rsidR="00CF641C" w:rsidRPr="00520861" w:rsidRDefault="00CF641C" w:rsidP="00292D2E">
      <w:pPr>
        <w:widowControl w:val="0"/>
        <w:spacing w:line="360" w:lineRule="auto"/>
        <w:ind w:firstLine="709"/>
        <w:jc w:val="both"/>
        <w:rPr>
          <w:snapToGrid w:val="0"/>
          <w:color w:val="000000"/>
          <w:w w:val="0"/>
          <w:sz w:val="28"/>
          <w:szCs w:val="28"/>
          <w:u w:color="000000"/>
          <w:bdr w:val="none" w:sz="0" w:space="0" w:color="000000"/>
          <w:shd w:val="clear" w:color="000000" w:fill="000000"/>
          <w:lang w:val="x-none" w:eastAsia="x-none" w:bidi="x-none"/>
        </w:rPr>
      </w:pPr>
    </w:p>
    <w:p w14:paraId="06453744" w14:textId="77777777" w:rsidR="00CF641C" w:rsidRPr="00520861" w:rsidRDefault="00CF641C" w:rsidP="00292D2E">
      <w:pPr>
        <w:widowControl w:val="0"/>
        <w:spacing w:line="360" w:lineRule="auto"/>
        <w:ind w:firstLine="708"/>
        <w:jc w:val="center"/>
        <w:rPr>
          <w:rFonts w:eastAsia="Calibri"/>
          <w:bCs/>
          <w:sz w:val="28"/>
          <w:szCs w:val="28"/>
          <w:lang w:eastAsia="en-US"/>
        </w:rPr>
      </w:pPr>
      <w:r w:rsidRPr="00520861">
        <w:rPr>
          <w:rFonts w:eastAsia="Calibri"/>
          <w:sz w:val="28"/>
          <w:szCs w:val="28"/>
          <w:lang w:eastAsia="en-US"/>
        </w:rPr>
        <w:t xml:space="preserve">Рис. 3.33. </w:t>
      </w:r>
      <w:r w:rsidRPr="00520861">
        <w:rPr>
          <w:rFonts w:eastAsia="Calibri"/>
          <w:i/>
          <w:sz w:val="28"/>
          <w:szCs w:val="28"/>
          <w:lang w:eastAsia="en-US"/>
        </w:rPr>
        <w:t>а</w:t>
      </w:r>
      <w:r w:rsidRPr="00520861">
        <w:rPr>
          <w:rFonts w:eastAsia="Calibri"/>
          <w:sz w:val="28"/>
          <w:szCs w:val="28"/>
          <w:lang w:eastAsia="en-US"/>
        </w:rPr>
        <w:t xml:space="preserve">) – інтактна </w:t>
      </w:r>
      <w:proofErr w:type="spellStart"/>
      <w:r w:rsidRPr="00520861">
        <w:rPr>
          <w:rFonts w:eastAsia="Calibri"/>
          <w:sz w:val="28"/>
          <w:szCs w:val="28"/>
          <w:lang w:eastAsia="en-US"/>
        </w:rPr>
        <w:t>фісура</w:t>
      </w:r>
      <w:proofErr w:type="spellEnd"/>
      <w:r w:rsidRPr="00520861">
        <w:rPr>
          <w:rFonts w:eastAsia="Calibri"/>
          <w:sz w:val="28"/>
          <w:szCs w:val="28"/>
          <w:lang w:eastAsia="en-US"/>
        </w:rPr>
        <w:t xml:space="preserve"> моляра нижньої щелепи </w:t>
      </w:r>
      <w:proofErr w:type="spellStart"/>
      <w:r w:rsidRPr="00520861">
        <w:rPr>
          <w:rFonts w:eastAsia="Calibri"/>
          <w:bCs/>
          <w:sz w:val="28"/>
          <w:szCs w:val="28"/>
          <w:lang w:eastAsia="en-US"/>
        </w:rPr>
        <w:t>вісімнадцятимісячного</w:t>
      </w:r>
      <w:proofErr w:type="spellEnd"/>
      <w:r w:rsidRPr="00520861">
        <w:rPr>
          <w:rFonts w:eastAsia="Calibri"/>
          <w:sz w:val="28"/>
          <w:szCs w:val="28"/>
          <w:lang w:eastAsia="en-US"/>
        </w:rPr>
        <w:t xml:space="preserve"> щура групи контролю (з</w:t>
      </w:r>
      <w:r w:rsidRPr="00520861">
        <w:rPr>
          <w:rFonts w:eastAsia="Calibri"/>
          <w:bCs/>
          <w:sz w:val="28"/>
          <w:szCs w:val="28"/>
          <w:lang w:eastAsia="en-US"/>
        </w:rPr>
        <w:t xml:space="preserve">абарвлення гематоксиліном та еозином; </w:t>
      </w:r>
      <w:r w:rsidRPr="00520861">
        <w:rPr>
          <w:rFonts w:eastAsia="Calibri"/>
          <w:sz w:val="28"/>
          <w:szCs w:val="28"/>
          <w:lang w:eastAsia="en-US"/>
        </w:rPr>
        <w:sym w:font="Symbol" w:char="F0B4"/>
      </w:r>
      <w:r w:rsidRPr="00520861">
        <w:rPr>
          <w:rFonts w:eastAsia="Calibri"/>
          <w:bCs/>
          <w:sz w:val="28"/>
          <w:szCs w:val="28"/>
          <w:lang w:eastAsia="en-US"/>
        </w:rPr>
        <w:t>400);</w:t>
      </w:r>
    </w:p>
    <w:p w14:paraId="2865D763" w14:textId="77777777" w:rsidR="00CF641C" w:rsidRPr="00520861" w:rsidRDefault="00CF641C" w:rsidP="00292D2E">
      <w:pPr>
        <w:widowControl w:val="0"/>
        <w:spacing w:line="360" w:lineRule="auto"/>
        <w:ind w:firstLine="708"/>
        <w:jc w:val="center"/>
        <w:rPr>
          <w:rFonts w:eastAsia="Calibri"/>
          <w:sz w:val="28"/>
          <w:szCs w:val="28"/>
          <w:lang w:eastAsia="en-US"/>
        </w:rPr>
      </w:pPr>
      <w:r w:rsidRPr="00520861">
        <w:rPr>
          <w:rFonts w:eastAsia="Calibri"/>
          <w:bCs/>
          <w:i/>
          <w:sz w:val="28"/>
          <w:szCs w:val="28"/>
          <w:lang w:eastAsia="en-US"/>
        </w:rPr>
        <w:t>б</w:t>
      </w:r>
      <w:r w:rsidRPr="00520861">
        <w:rPr>
          <w:rFonts w:eastAsia="Calibri"/>
          <w:bCs/>
          <w:sz w:val="28"/>
          <w:szCs w:val="28"/>
          <w:lang w:eastAsia="en-US"/>
        </w:rPr>
        <w:t xml:space="preserve">) – тверді тканини моляра нижньої щелепи та пародонт нижньої щелепи у межах молярів </w:t>
      </w:r>
      <w:proofErr w:type="spellStart"/>
      <w:r w:rsidRPr="00520861">
        <w:rPr>
          <w:rFonts w:eastAsia="Calibri"/>
          <w:bCs/>
          <w:sz w:val="28"/>
          <w:szCs w:val="28"/>
          <w:lang w:eastAsia="en-US"/>
        </w:rPr>
        <w:t>вісімнадцятимісячного</w:t>
      </w:r>
      <w:proofErr w:type="spellEnd"/>
      <w:r w:rsidRPr="00520861">
        <w:rPr>
          <w:rFonts w:eastAsia="Calibri"/>
          <w:bCs/>
          <w:sz w:val="28"/>
          <w:szCs w:val="28"/>
          <w:lang w:eastAsia="en-US"/>
        </w:rPr>
        <w:t xml:space="preserve"> щура групи 3 (каріозне ураження твердих тканин зуба, щільне прикріплення епітеліального шару нижче емалево-цементної межі з утворенням рецесії (∆), </w:t>
      </w:r>
      <w:r w:rsidRPr="00520861">
        <w:rPr>
          <w:rFonts w:eastAsia="Calibri"/>
          <w:bCs/>
          <w:sz w:val="28"/>
          <w:szCs w:val="28"/>
          <w:lang w:val="en-US" w:eastAsia="en-US"/>
        </w:rPr>
        <w:t>PAS</w:t>
      </w:r>
      <w:r w:rsidRPr="00520861">
        <w:rPr>
          <w:rFonts w:eastAsia="Calibri"/>
          <w:bCs/>
          <w:sz w:val="28"/>
          <w:szCs w:val="28"/>
          <w:lang w:eastAsia="en-US"/>
        </w:rPr>
        <w:t xml:space="preserve">–реакція; збільшення </w:t>
      </w:r>
      <w:r w:rsidRPr="00520861">
        <w:rPr>
          <w:rFonts w:eastAsia="Calibri"/>
          <w:sz w:val="28"/>
          <w:szCs w:val="28"/>
          <w:lang w:eastAsia="en-US"/>
        </w:rPr>
        <w:sym w:font="Symbol" w:char="F0B4"/>
      </w:r>
      <w:r w:rsidRPr="00520861">
        <w:rPr>
          <w:rFonts w:eastAsia="Calibri"/>
          <w:bCs/>
          <w:sz w:val="28"/>
          <w:szCs w:val="28"/>
          <w:lang w:eastAsia="en-US"/>
        </w:rPr>
        <w:t>50).</w:t>
      </w:r>
    </w:p>
    <w:p w14:paraId="6604C6D5" w14:textId="77777777" w:rsidR="00CF641C" w:rsidRPr="00520861" w:rsidRDefault="00CF641C" w:rsidP="00292D2E">
      <w:pPr>
        <w:widowControl w:val="0"/>
        <w:spacing w:line="360" w:lineRule="auto"/>
        <w:jc w:val="right"/>
        <w:rPr>
          <w:rFonts w:eastAsia="Calibri"/>
          <w:b/>
          <w:i/>
          <w:sz w:val="28"/>
          <w:szCs w:val="28"/>
          <w:lang w:eastAsia="en-US"/>
        </w:rPr>
      </w:pPr>
    </w:p>
    <w:p w14:paraId="604CB95C" w14:textId="77777777" w:rsidR="00CF641C" w:rsidRPr="00520861" w:rsidRDefault="00CF641C" w:rsidP="00292D2E">
      <w:pPr>
        <w:widowControl w:val="0"/>
        <w:spacing w:line="360" w:lineRule="auto"/>
        <w:jc w:val="right"/>
        <w:rPr>
          <w:rFonts w:eastAsia="Calibri"/>
          <w:i/>
          <w:sz w:val="28"/>
          <w:szCs w:val="28"/>
          <w:lang w:eastAsia="en-US"/>
        </w:rPr>
      </w:pPr>
      <w:r w:rsidRPr="00520861">
        <w:rPr>
          <w:rFonts w:eastAsia="Calibri"/>
          <w:i/>
          <w:sz w:val="28"/>
          <w:szCs w:val="28"/>
          <w:lang w:eastAsia="en-US"/>
        </w:rPr>
        <w:t xml:space="preserve">Таблиця 3.22 </w:t>
      </w:r>
    </w:p>
    <w:p w14:paraId="7A6FF268" w14:textId="77777777" w:rsidR="00CF641C" w:rsidRPr="00520861" w:rsidRDefault="00CF641C" w:rsidP="00292D2E">
      <w:pPr>
        <w:widowControl w:val="0"/>
        <w:spacing w:line="360" w:lineRule="auto"/>
        <w:jc w:val="center"/>
        <w:rPr>
          <w:rFonts w:eastAsia="Calibri"/>
          <w:b/>
          <w:bCs/>
          <w:spacing w:val="-2"/>
          <w:sz w:val="28"/>
          <w:szCs w:val="28"/>
          <w:lang w:eastAsia="en-US"/>
        </w:rPr>
      </w:pPr>
      <w:r w:rsidRPr="00520861">
        <w:rPr>
          <w:rFonts w:eastAsia="Calibri"/>
          <w:b/>
          <w:bCs/>
          <w:spacing w:val="-2"/>
          <w:sz w:val="28"/>
          <w:szCs w:val="28"/>
          <w:lang w:eastAsia="en-US"/>
        </w:rPr>
        <w:t xml:space="preserve">Коефіцієнти кореляції </w:t>
      </w:r>
      <w:proofErr w:type="spellStart"/>
      <w:r w:rsidRPr="00520861">
        <w:rPr>
          <w:rFonts w:eastAsia="Calibri"/>
          <w:b/>
          <w:bCs/>
          <w:spacing w:val="-2"/>
          <w:sz w:val="28"/>
          <w:szCs w:val="28"/>
          <w:lang w:eastAsia="en-US"/>
        </w:rPr>
        <w:t>Пірсона</w:t>
      </w:r>
      <w:proofErr w:type="spellEnd"/>
      <w:r w:rsidRPr="00520861">
        <w:rPr>
          <w:rFonts w:eastAsia="Calibri"/>
          <w:b/>
          <w:bCs/>
          <w:spacing w:val="-2"/>
          <w:sz w:val="28"/>
          <w:szCs w:val="28"/>
          <w:lang w:eastAsia="en-US"/>
        </w:rPr>
        <w:t xml:space="preserve"> між значеннями </w:t>
      </w:r>
      <w:proofErr w:type="spellStart"/>
      <w:r w:rsidRPr="00520861">
        <w:rPr>
          <w:rFonts w:eastAsia="Calibri"/>
          <w:b/>
          <w:bCs/>
          <w:spacing w:val="-2"/>
          <w:sz w:val="28"/>
          <w:szCs w:val="28"/>
          <w:lang w:eastAsia="en-US"/>
        </w:rPr>
        <w:t>ІМТт</w:t>
      </w:r>
      <w:proofErr w:type="spellEnd"/>
      <w:r w:rsidRPr="00520861">
        <w:rPr>
          <w:rFonts w:eastAsia="Calibri"/>
          <w:b/>
          <w:bCs/>
          <w:spacing w:val="-2"/>
          <w:sz w:val="28"/>
          <w:szCs w:val="28"/>
          <w:lang w:eastAsia="en-US"/>
        </w:rPr>
        <w:t xml:space="preserve"> при народженні та кількістю уражених карієсом зубів у експериментальних тварин віком 12 та 18 місяців</w:t>
      </w:r>
    </w:p>
    <w:tbl>
      <w:tblPr>
        <w:tblW w:w="995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5"/>
        <w:gridCol w:w="1276"/>
        <w:gridCol w:w="1383"/>
        <w:gridCol w:w="1559"/>
        <w:gridCol w:w="14"/>
        <w:gridCol w:w="1262"/>
        <w:gridCol w:w="1559"/>
        <w:gridCol w:w="1594"/>
      </w:tblGrid>
      <w:tr w:rsidR="00CF641C" w:rsidRPr="00520861" w14:paraId="7F12D810" w14:textId="77777777" w:rsidTr="00292D2E">
        <w:tc>
          <w:tcPr>
            <w:tcW w:w="1305" w:type="dxa"/>
            <w:vMerge w:val="restart"/>
            <w:tcBorders>
              <w:top w:val="single" w:sz="4" w:space="0" w:color="auto"/>
              <w:left w:val="single" w:sz="4" w:space="0" w:color="auto"/>
              <w:right w:val="single" w:sz="4" w:space="0" w:color="auto"/>
            </w:tcBorders>
            <w:shd w:val="clear" w:color="auto" w:fill="auto"/>
            <w:vAlign w:val="center"/>
          </w:tcPr>
          <w:p w14:paraId="33B386E1" w14:textId="77777777" w:rsidR="00CF641C" w:rsidRPr="00520861" w:rsidRDefault="00CF641C" w:rsidP="00292D2E">
            <w:pPr>
              <w:widowControl w:val="0"/>
              <w:spacing w:line="360" w:lineRule="auto"/>
              <w:jc w:val="center"/>
              <w:rPr>
                <w:rFonts w:eastAsia="Calibri"/>
                <w:sz w:val="28"/>
                <w:szCs w:val="28"/>
              </w:rPr>
            </w:pPr>
            <w:r w:rsidRPr="00520861">
              <w:rPr>
                <w:sz w:val="28"/>
                <w:szCs w:val="28"/>
              </w:rPr>
              <w:t>Група</w:t>
            </w:r>
          </w:p>
        </w:tc>
        <w:tc>
          <w:tcPr>
            <w:tcW w:w="4232" w:type="dxa"/>
            <w:gridSpan w:val="4"/>
            <w:tcBorders>
              <w:top w:val="single" w:sz="4" w:space="0" w:color="auto"/>
              <w:left w:val="single" w:sz="4" w:space="0" w:color="auto"/>
              <w:bottom w:val="single" w:sz="4" w:space="0" w:color="auto"/>
              <w:right w:val="single" w:sz="4" w:space="0" w:color="auto"/>
            </w:tcBorders>
            <w:shd w:val="clear" w:color="auto" w:fill="auto"/>
          </w:tcPr>
          <w:p w14:paraId="094A2C6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Тварини віком 12 місяців</w:t>
            </w:r>
          </w:p>
        </w:tc>
        <w:tc>
          <w:tcPr>
            <w:tcW w:w="4415" w:type="dxa"/>
            <w:gridSpan w:val="3"/>
            <w:shd w:val="clear" w:color="auto" w:fill="auto"/>
          </w:tcPr>
          <w:p w14:paraId="7D96038B"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Тварини віком 18 місяців</w:t>
            </w:r>
          </w:p>
        </w:tc>
      </w:tr>
      <w:tr w:rsidR="00CF641C" w:rsidRPr="00520861" w14:paraId="451F25EA" w14:textId="77777777" w:rsidTr="00292D2E">
        <w:tc>
          <w:tcPr>
            <w:tcW w:w="1305"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0F7E5A9" w14:textId="77777777" w:rsidR="00CF641C" w:rsidRPr="00520861" w:rsidRDefault="00CF641C" w:rsidP="00292D2E">
            <w:pPr>
              <w:widowControl w:val="0"/>
              <w:spacing w:line="360" w:lineRule="auto"/>
              <w:rPr>
                <w:rFonts w:eastAsia="Calibri"/>
                <w:sz w:val="28"/>
                <w:szCs w:val="28"/>
                <w:lang w:val="ru-RU"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1324403" w14:textId="77777777" w:rsidR="00CF641C" w:rsidRPr="00520861" w:rsidRDefault="00CF641C" w:rsidP="00292D2E">
            <w:pPr>
              <w:widowControl w:val="0"/>
              <w:spacing w:line="360" w:lineRule="auto"/>
              <w:ind w:right="-108"/>
              <w:rPr>
                <w:rFonts w:eastAsia="Calibri"/>
                <w:sz w:val="28"/>
                <w:szCs w:val="28"/>
                <w:lang w:eastAsia="en-US"/>
              </w:rPr>
            </w:pPr>
            <w:r w:rsidRPr="00520861">
              <w:rPr>
                <w:rFonts w:eastAsia="Calibri"/>
                <w:sz w:val="28"/>
                <w:szCs w:val="28"/>
                <w:lang w:eastAsia="en-US"/>
              </w:rPr>
              <w:t xml:space="preserve">Кількість тварин, </w:t>
            </w:r>
            <w:r w:rsidRPr="00520861">
              <w:rPr>
                <w:rFonts w:eastAsia="Calibri"/>
                <w:i/>
                <w:sz w:val="28"/>
                <w:szCs w:val="28"/>
                <w:lang w:val="en-US" w:eastAsia="en-US"/>
              </w:rPr>
              <w:t>n</w:t>
            </w:r>
          </w:p>
        </w:tc>
        <w:tc>
          <w:tcPr>
            <w:tcW w:w="1383" w:type="dxa"/>
            <w:tcBorders>
              <w:top w:val="single" w:sz="4" w:space="0" w:color="auto"/>
              <w:left w:val="single" w:sz="4" w:space="0" w:color="auto"/>
              <w:bottom w:val="single" w:sz="4" w:space="0" w:color="auto"/>
              <w:right w:val="single" w:sz="4" w:space="0" w:color="auto"/>
            </w:tcBorders>
            <w:shd w:val="clear" w:color="auto" w:fill="auto"/>
          </w:tcPr>
          <w:p w14:paraId="5067E2BB" w14:textId="77777777" w:rsidR="00CF641C" w:rsidRPr="00520861" w:rsidRDefault="00CF641C" w:rsidP="00292D2E">
            <w:pPr>
              <w:widowControl w:val="0"/>
              <w:spacing w:line="360" w:lineRule="auto"/>
              <w:ind w:right="-108"/>
              <w:rPr>
                <w:rFonts w:eastAsia="Calibri"/>
                <w:sz w:val="28"/>
                <w:szCs w:val="28"/>
                <w:lang w:eastAsia="en-US"/>
              </w:rPr>
            </w:pPr>
            <w:r w:rsidRPr="00520861">
              <w:rPr>
                <w:rFonts w:eastAsia="Calibri"/>
                <w:sz w:val="28"/>
                <w:szCs w:val="28"/>
                <w:lang w:eastAsia="en-US"/>
              </w:rPr>
              <w:t xml:space="preserve">Кореляція </w:t>
            </w:r>
            <w:proofErr w:type="spellStart"/>
            <w:r w:rsidRPr="00520861">
              <w:rPr>
                <w:rFonts w:eastAsia="Calibri"/>
                <w:sz w:val="28"/>
                <w:szCs w:val="28"/>
                <w:lang w:eastAsia="en-US"/>
              </w:rPr>
              <w:t>Пірсона</w:t>
            </w:r>
            <w:proofErr w:type="spellEnd"/>
            <w:r w:rsidRPr="00520861">
              <w:rPr>
                <w:rFonts w:eastAsia="Calibri"/>
                <w:sz w:val="28"/>
                <w:szCs w:val="28"/>
                <w:lang w:eastAsia="en-US"/>
              </w:rPr>
              <w:t xml:space="preserve">, </w:t>
            </w:r>
            <w:r w:rsidRPr="00520861">
              <w:rPr>
                <w:rFonts w:eastAsia="Calibri"/>
                <w:i/>
                <w:sz w:val="28"/>
                <w:szCs w:val="28"/>
                <w:lang w:val="en-US" w:eastAsia="en-US"/>
              </w:rPr>
              <w:t>r</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C721040" w14:textId="77777777" w:rsidR="00CF641C" w:rsidRPr="00520861" w:rsidRDefault="00CF641C" w:rsidP="00292D2E">
            <w:pPr>
              <w:widowControl w:val="0"/>
              <w:spacing w:line="360" w:lineRule="auto"/>
              <w:ind w:right="-108" w:hanging="80"/>
              <w:rPr>
                <w:rFonts w:eastAsia="Calibri"/>
                <w:sz w:val="28"/>
                <w:szCs w:val="28"/>
                <w:lang w:eastAsia="en-US"/>
              </w:rPr>
            </w:pPr>
            <w:r w:rsidRPr="00520861">
              <w:rPr>
                <w:rFonts w:eastAsia="Calibri"/>
                <w:sz w:val="28"/>
                <w:szCs w:val="28"/>
                <w:lang w:eastAsia="en-US"/>
              </w:rPr>
              <w:t xml:space="preserve">Ймовірність похибки, </w:t>
            </w:r>
            <w:r w:rsidRPr="00520861">
              <w:rPr>
                <w:rFonts w:eastAsia="Calibri"/>
                <w:i/>
                <w:sz w:val="28"/>
                <w:szCs w:val="28"/>
                <w:lang w:val="en-US" w:eastAsia="en-US"/>
              </w:rPr>
              <w:t>p</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14:paraId="7EE64BCD" w14:textId="77777777" w:rsidR="00CF641C" w:rsidRPr="00520861" w:rsidRDefault="00CF641C" w:rsidP="00292D2E">
            <w:pPr>
              <w:widowControl w:val="0"/>
              <w:spacing w:line="360" w:lineRule="auto"/>
              <w:ind w:right="-108"/>
              <w:rPr>
                <w:rFonts w:eastAsia="Calibri"/>
                <w:sz w:val="28"/>
                <w:szCs w:val="28"/>
                <w:lang w:eastAsia="en-US"/>
              </w:rPr>
            </w:pPr>
            <w:r w:rsidRPr="00520861">
              <w:rPr>
                <w:rFonts w:eastAsia="Calibri"/>
                <w:sz w:val="28"/>
                <w:szCs w:val="28"/>
                <w:lang w:eastAsia="en-US"/>
              </w:rPr>
              <w:t xml:space="preserve">Кількість тварин, </w:t>
            </w:r>
            <w:r w:rsidRPr="00520861">
              <w:rPr>
                <w:rFonts w:eastAsia="Calibri"/>
                <w:i/>
                <w:sz w:val="28"/>
                <w:szCs w:val="28"/>
                <w:lang w:eastAsia="en-US"/>
              </w:rPr>
              <w:t>n</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3F6EE88" w14:textId="77777777" w:rsidR="00CF641C" w:rsidRPr="00520861" w:rsidRDefault="00CF641C" w:rsidP="00292D2E">
            <w:pPr>
              <w:widowControl w:val="0"/>
              <w:spacing w:line="360" w:lineRule="auto"/>
              <w:ind w:right="-108"/>
              <w:rPr>
                <w:rFonts w:eastAsia="Calibri"/>
                <w:sz w:val="28"/>
                <w:szCs w:val="28"/>
                <w:lang w:eastAsia="en-US"/>
              </w:rPr>
            </w:pPr>
            <w:r w:rsidRPr="00520861">
              <w:rPr>
                <w:rFonts w:eastAsia="Calibri"/>
                <w:sz w:val="28"/>
                <w:szCs w:val="28"/>
                <w:lang w:eastAsia="en-US"/>
              </w:rPr>
              <w:t xml:space="preserve">Кореляція </w:t>
            </w:r>
            <w:proofErr w:type="spellStart"/>
            <w:r w:rsidRPr="00520861">
              <w:rPr>
                <w:rFonts w:eastAsia="Calibri"/>
                <w:sz w:val="28"/>
                <w:szCs w:val="28"/>
                <w:lang w:eastAsia="en-US"/>
              </w:rPr>
              <w:t>Пірсона</w:t>
            </w:r>
            <w:proofErr w:type="spellEnd"/>
            <w:r w:rsidRPr="00520861">
              <w:rPr>
                <w:rFonts w:eastAsia="Calibri"/>
                <w:sz w:val="28"/>
                <w:szCs w:val="28"/>
                <w:lang w:eastAsia="en-US"/>
              </w:rPr>
              <w:t xml:space="preserve">, </w:t>
            </w:r>
            <w:r w:rsidRPr="00520861">
              <w:rPr>
                <w:rFonts w:eastAsia="Calibri"/>
                <w:i/>
                <w:sz w:val="28"/>
                <w:szCs w:val="28"/>
                <w:lang w:eastAsia="en-US"/>
              </w:rPr>
              <w:t>r</w:t>
            </w:r>
          </w:p>
        </w:tc>
        <w:tc>
          <w:tcPr>
            <w:tcW w:w="1594" w:type="dxa"/>
            <w:tcBorders>
              <w:top w:val="single" w:sz="4" w:space="0" w:color="auto"/>
              <w:left w:val="single" w:sz="4" w:space="0" w:color="auto"/>
              <w:bottom w:val="single" w:sz="4" w:space="0" w:color="auto"/>
              <w:right w:val="single" w:sz="4" w:space="0" w:color="auto"/>
            </w:tcBorders>
            <w:shd w:val="clear" w:color="auto" w:fill="auto"/>
          </w:tcPr>
          <w:p w14:paraId="1329C960" w14:textId="77777777" w:rsidR="00CF641C" w:rsidRPr="00520861" w:rsidRDefault="00CF641C" w:rsidP="00292D2E">
            <w:pPr>
              <w:widowControl w:val="0"/>
              <w:spacing w:line="360" w:lineRule="auto"/>
              <w:ind w:right="-108"/>
              <w:rPr>
                <w:rFonts w:eastAsia="Calibri"/>
                <w:sz w:val="28"/>
                <w:szCs w:val="28"/>
                <w:lang w:eastAsia="en-US"/>
              </w:rPr>
            </w:pPr>
            <w:r w:rsidRPr="00520861">
              <w:rPr>
                <w:rFonts w:eastAsia="Calibri"/>
                <w:sz w:val="28"/>
                <w:szCs w:val="28"/>
                <w:lang w:eastAsia="en-US"/>
              </w:rPr>
              <w:t xml:space="preserve">Ймовірність похибки, </w:t>
            </w:r>
            <w:r w:rsidRPr="00520861">
              <w:rPr>
                <w:rFonts w:eastAsia="Calibri"/>
                <w:i/>
                <w:sz w:val="28"/>
                <w:szCs w:val="28"/>
                <w:lang w:val="en-US" w:eastAsia="en-US"/>
              </w:rPr>
              <w:t>p</w:t>
            </w:r>
          </w:p>
        </w:tc>
      </w:tr>
      <w:tr w:rsidR="00CF641C" w:rsidRPr="00520861" w14:paraId="7FC450E3" w14:textId="77777777" w:rsidTr="00292D2E">
        <w:tc>
          <w:tcPr>
            <w:tcW w:w="1305" w:type="dxa"/>
            <w:tcBorders>
              <w:top w:val="single" w:sz="4" w:space="0" w:color="auto"/>
              <w:left w:val="single" w:sz="4" w:space="0" w:color="auto"/>
              <w:bottom w:val="single" w:sz="4" w:space="0" w:color="auto"/>
              <w:right w:val="single" w:sz="4" w:space="0" w:color="auto"/>
            </w:tcBorders>
            <w:shd w:val="clear" w:color="auto" w:fill="auto"/>
          </w:tcPr>
          <w:p w14:paraId="56FE6B22" w14:textId="77777777" w:rsidR="00CF641C" w:rsidRPr="00520861" w:rsidRDefault="00CF641C" w:rsidP="00292D2E">
            <w:pPr>
              <w:widowControl w:val="0"/>
              <w:spacing w:line="360" w:lineRule="auto"/>
              <w:ind w:right="-105"/>
              <w:rPr>
                <w:rFonts w:eastAsia="Calibri"/>
                <w:sz w:val="28"/>
                <w:szCs w:val="28"/>
                <w:lang w:eastAsia="en-US"/>
              </w:rPr>
            </w:pPr>
            <w:r w:rsidRPr="00520861">
              <w:rPr>
                <w:rFonts w:eastAsia="Calibri"/>
                <w:sz w:val="28"/>
                <w:szCs w:val="28"/>
                <w:lang w:eastAsia="en-US"/>
              </w:rPr>
              <w:lastRenderedPageBreak/>
              <w:t>Контроль</w:t>
            </w:r>
          </w:p>
        </w:tc>
        <w:tc>
          <w:tcPr>
            <w:tcW w:w="1276" w:type="dxa"/>
            <w:shd w:val="clear" w:color="auto" w:fill="auto"/>
          </w:tcPr>
          <w:p w14:paraId="7960CB1E"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t>5</w:t>
            </w:r>
          </w:p>
        </w:tc>
        <w:tc>
          <w:tcPr>
            <w:tcW w:w="1383" w:type="dxa"/>
            <w:shd w:val="clear" w:color="auto" w:fill="auto"/>
          </w:tcPr>
          <w:p w14:paraId="115D40F4"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589</w:t>
            </w:r>
          </w:p>
        </w:tc>
        <w:tc>
          <w:tcPr>
            <w:tcW w:w="1559" w:type="dxa"/>
            <w:shd w:val="clear" w:color="auto" w:fill="auto"/>
          </w:tcPr>
          <w:p w14:paraId="41917847"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296</w:t>
            </w:r>
          </w:p>
        </w:tc>
        <w:tc>
          <w:tcPr>
            <w:tcW w:w="1276" w:type="dxa"/>
            <w:gridSpan w:val="2"/>
            <w:shd w:val="clear" w:color="auto" w:fill="auto"/>
          </w:tcPr>
          <w:p w14:paraId="04C01902"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t>5</w:t>
            </w:r>
          </w:p>
        </w:tc>
        <w:tc>
          <w:tcPr>
            <w:tcW w:w="1559" w:type="dxa"/>
            <w:shd w:val="clear" w:color="auto" w:fill="auto"/>
          </w:tcPr>
          <w:p w14:paraId="588C13B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0,93</w:t>
            </w:r>
            <w:r w:rsidRPr="00520861">
              <w:rPr>
                <w:rFonts w:eastAsia="Calibri"/>
                <w:sz w:val="28"/>
                <w:szCs w:val="28"/>
                <w:lang w:val="en-US" w:eastAsia="en-US"/>
              </w:rPr>
              <w:t>5</w:t>
            </w:r>
            <w:r w:rsidRPr="00520861">
              <w:rPr>
                <w:rFonts w:eastAsia="Calibri"/>
                <w:sz w:val="28"/>
                <w:szCs w:val="28"/>
                <w:lang w:eastAsia="en-US"/>
              </w:rPr>
              <w:t>*</w:t>
            </w:r>
          </w:p>
        </w:tc>
        <w:tc>
          <w:tcPr>
            <w:tcW w:w="1594" w:type="dxa"/>
            <w:shd w:val="clear" w:color="auto" w:fill="auto"/>
          </w:tcPr>
          <w:p w14:paraId="10DCC02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0,0</w:t>
            </w:r>
            <w:r w:rsidRPr="00520861">
              <w:rPr>
                <w:rFonts w:eastAsia="Calibri"/>
                <w:sz w:val="28"/>
                <w:szCs w:val="28"/>
                <w:lang w:val="en-US" w:eastAsia="en-US"/>
              </w:rPr>
              <w:t>20</w:t>
            </w:r>
            <w:r w:rsidRPr="00520861">
              <w:rPr>
                <w:rFonts w:eastAsia="Calibri"/>
                <w:sz w:val="28"/>
                <w:szCs w:val="28"/>
                <w:lang w:eastAsia="en-US"/>
              </w:rPr>
              <w:t>*</w:t>
            </w:r>
          </w:p>
        </w:tc>
      </w:tr>
      <w:tr w:rsidR="00CF641C" w:rsidRPr="00520861" w14:paraId="5915650A" w14:textId="77777777" w:rsidTr="00292D2E">
        <w:tc>
          <w:tcPr>
            <w:tcW w:w="1305" w:type="dxa"/>
            <w:tcBorders>
              <w:top w:val="single" w:sz="4" w:space="0" w:color="auto"/>
              <w:left w:val="single" w:sz="4" w:space="0" w:color="auto"/>
              <w:bottom w:val="single" w:sz="4" w:space="0" w:color="auto"/>
              <w:right w:val="single" w:sz="4" w:space="0" w:color="auto"/>
            </w:tcBorders>
            <w:shd w:val="clear" w:color="auto" w:fill="auto"/>
          </w:tcPr>
          <w:p w14:paraId="29600190"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1 </w:t>
            </w:r>
          </w:p>
        </w:tc>
        <w:tc>
          <w:tcPr>
            <w:tcW w:w="1276" w:type="dxa"/>
            <w:shd w:val="clear" w:color="auto" w:fill="auto"/>
          </w:tcPr>
          <w:p w14:paraId="6328B6C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w:t>
            </w:r>
          </w:p>
        </w:tc>
        <w:tc>
          <w:tcPr>
            <w:tcW w:w="1383" w:type="dxa"/>
            <w:shd w:val="clear" w:color="auto" w:fill="auto"/>
          </w:tcPr>
          <w:p w14:paraId="2BF88C05"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708</w:t>
            </w:r>
          </w:p>
        </w:tc>
        <w:tc>
          <w:tcPr>
            <w:tcW w:w="1559" w:type="dxa"/>
            <w:shd w:val="clear" w:color="auto" w:fill="auto"/>
          </w:tcPr>
          <w:p w14:paraId="7920573B"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181</w:t>
            </w:r>
          </w:p>
        </w:tc>
        <w:tc>
          <w:tcPr>
            <w:tcW w:w="1276" w:type="dxa"/>
            <w:gridSpan w:val="2"/>
            <w:shd w:val="clear" w:color="auto" w:fill="auto"/>
          </w:tcPr>
          <w:p w14:paraId="68BF743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6</w:t>
            </w:r>
          </w:p>
        </w:tc>
        <w:tc>
          <w:tcPr>
            <w:tcW w:w="1559" w:type="dxa"/>
            <w:shd w:val="clear" w:color="auto" w:fill="auto"/>
          </w:tcPr>
          <w:p w14:paraId="13DA062D"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663</w:t>
            </w:r>
          </w:p>
        </w:tc>
        <w:tc>
          <w:tcPr>
            <w:tcW w:w="1594" w:type="dxa"/>
            <w:shd w:val="clear" w:color="auto" w:fill="auto"/>
          </w:tcPr>
          <w:p w14:paraId="2E2B958F"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151</w:t>
            </w:r>
          </w:p>
        </w:tc>
      </w:tr>
      <w:tr w:rsidR="00CF641C" w:rsidRPr="00520861" w14:paraId="2A4D89C7" w14:textId="77777777" w:rsidTr="00292D2E">
        <w:tc>
          <w:tcPr>
            <w:tcW w:w="1305" w:type="dxa"/>
            <w:tcBorders>
              <w:top w:val="single" w:sz="4" w:space="0" w:color="auto"/>
              <w:left w:val="single" w:sz="4" w:space="0" w:color="auto"/>
              <w:bottom w:val="single" w:sz="4" w:space="0" w:color="auto"/>
              <w:right w:val="single" w:sz="4" w:space="0" w:color="auto"/>
            </w:tcBorders>
            <w:shd w:val="clear" w:color="auto" w:fill="auto"/>
          </w:tcPr>
          <w:p w14:paraId="24D22586"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ru-RU"/>
              </w:rPr>
              <w:t xml:space="preserve"> 2</w:t>
            </w:r>
          </w:p>
        </w:tc>
        <w:tc>
          <w:tcPr>
            <w:tcW w:w="1276" w:type="dxa"/>
            <w:shd w:val="clear" w:color="auto" w:fill="auto"/>
          </w:tcPr>
          <w:p w14:paraId="2CF646F2"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t>6</w:t>
            </w:r>
          </w:p>
        </w:tc>
        <w:tc>
          <w:tcPr>
            <w:tcW w:w="1383" w:type="dxa"/>
            <w:shd w:val="clear" w:color="auto" w:fill="auto"/>
          </w:tcPr>
          <w:p w14:paraId="7F0C6D67"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791</w:t>
            </w:r>
          </w:p>
        </w:tc>
        <w:tc>
          <w:tcPr>
            <w:tcW w:w="1559" w:type="dxa"/>
            <w:shd w:val="clear" w:color="auto" w:fill="auto"/>
          </w:tcPr>
          <w:p w14:paraId="1ACE112A"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0</w:t>
            </w:r>
            <w:r w:rsidRPr="00520861">
              <w:rPr>
                <w:rFonts w:eastAsia="Calibri"/>
                <w:sz w:val="28"/>
                <w:szCs w:val="28"/>
                <w:lang w:eastAsia="en-US"/>
              </w:rPr>
              <w:t>61</w:t>
            </w:r>
          </w:p>
        </w:tc>
        <w:tc>
          <w:tcPr>
            <w:tcW w:w="1276" w:type="dxa"/>
            <w:gridSpan w:val="2"/>
            <w:shd w:val="clear" w:color="auto" w:fill="auto"/>
          </w:tcPr>
          <w:p w14:paraId="6E753EC3"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t>7</w:t>
            </w:r>
          </w:p>
        </w:tc>
        <w:tc>
          <w:tcPr>
            <w:tcW w:w="1559" w:type="dxa"/>
            <w:shd w:val="clear" w:color="auto" w:fill="auto"/>
          </w:tcPr>
          <w:p w14:paraId="22F5BC1F"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303</w:t>
            </w:r>
          </w:p>
        </w:tc>
        <w:tc>
          <w:tcPr>
            <w:tcW w:w="1594" w:type="dxa"/>
            <w:shd w:val="clear" w:color="auto" w:fill="auto"/>
          </w:tcPr>
          <w:p w14:paraId="483EBFB6"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509</w:t>
            </w:r>
          </w:p>
        </w:tc>
      </w:tr>
      <w:tr w:rsidR="00CF641C" w:rsidRPr="00520861" w14:paraId="511C5F7A" w14:textId="77777777" w:rsidTr="00292D2E">
        <w:tc>
          <w:tcPr>
            <w:tcW w:w="1305" w:type="dxa"/>
            <w:tcBorders>
              <w:top w:val="single" w:sz="4" w:space="0" w:color="auto"/>
              <w:left w:val="single" w:sz="4" w:space="0" w:color="auto"/>
              <w:bottom w:val="single" w:sz="4" w:space="0" w:color="auto"/>
              <w:right w:val="single" w:sz="4" w:space="0" w:color="auto"/>
            </w:tcBorders>
            <w:shd w:val="clear" w:color="auto" w:fill="auto"/>
          </w:tcPr>
          <w:p w14:paraId="7BAB56E7" w14:textId="77777777" w:rsidR="00CF641C" w:rsidRPr="00520861" w:rsidRDefault="00CF641C" w:rsidP="00292D2E">
            <w:pPr>
              <w:widowControl w:val="0"/>
              <w:spacing w:line="360" w:lineRule="auto"/>
              <w:jc w:val="both"/>
              <w:rPr>
                <w:sz w:val="28"/>
                <w:szCs w:val="28"/>
              </w:rPr>
            </w:pPr>
            <w:r w:rsidRPr="00520861">
              <w:rPr>
                <w:sz w:val="28"/>
                <w:szCs w:val="28"/>
                <w:lang w:val="ru-RU"/>
              </w:rPr>
              <w:t>Г</w:t>
            </w:r>
            <w:proofErr w:type="spellStart"/>
            <w:r w:rsidRPr="00520861">
              <w:rPr>
                <w:sz w:val="28"/>
                <w:szCs w:val="28"/>
              </w:rPr>
              <w:t>рупа</w:t>
            </w:r>
            <w:proofErr w:type="spellEnd"/>
            <w:r w:rsidRPr="00520861">
              <w:rPr>
                <w:sz w:val="28"/>
                <w:szCs w:val="28"/>
                <w:lang w:val="ru-RU"/>
              </w:rPr>
              <w:t xml:space="preserve"> 3 </w:t>
            </w:r>
          </w:p>
        </w:tc>
        <w:tc>
          <w:tcPr>
            <w:tcW w:w="1276" w:type="dxa"/>
            <w:shd w:val="clear" w:color="auto" w:fill="auto"/>
          </w:tcPr>
          <w:p w14:paraId="7731E449"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t>5</w:t>
            </w:r>
          </w:p>
        </w:tc>
        <w:tc>
          <w:tcPr>
            <w:tcW w:w="1383" w:type="dxa"/>
            <w:shd w:val="clear" w:color="auto" w:fill="auto"/>
          </w:tcPr>
          <w:p w14:paraId="500FB4D6"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404</w:t>
            </w:r>
          </w:p>
        </w:tc>
        <w:tc>
          <w:tcPr>
            <w:tcW w:w="1559" w:type="dxa"/>
            <w:shd w:val="clear" w:color="auto" w:fill="auto"/>
          </w:tcPr>
          <w:p w14:paraId="05995A60"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500</w:t>
            </w:r>
          </w:p>
        </w:tc>
        <w:tc>
          <w:tcPr>
            <w:tcW w:w="1276" w:type="dxa"/>
            <w:gridSpan w:val="2"/>
            <w:shd w:val="clear" w:color="auto" w:fill="auto"/>
          </w:tcPr>
          <w:p w14:paraId="672CC62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6</w:t>
            </w:r>
          </w:p>
        </w:tc>
        <w:tc>
          <w:tcPr>
            <w:tcW w:w="1559" w:type="dxa"/>
            <w:shd w:val="clear" w:color="auto" w:fill="auto"/>
          </w:tcPr>
          <w:p w14:paraId="3BBB9A1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w:t>
            </w:r>
            <w:r w:rsidRPr="00520861">
              <w:rPr>
                <w:rFonts w:eastAsia="Calibri"/>
                <w:sz w:val="28"/>
                <w:szCs w:val="28"/>
                <w:lang w:val="en-US" w:eastAsia="en-US"/>
              </w:rPr>
              <w:t>836*</w:t>
            </w:r>
          </w:p>
        </w:tc>
        <w:tc>
          <w:tcPr>
            <w:tcW w:w="1594" w:type="dxa"/>
            <w:shd w:val="clear" w:color="auto" w:fill="auto"/>
          </w:tcPr>
          <w:p w14:paraId="27144EB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w:t>
            </w:r>
            <w:r w:rsidRPr="00520861">
              <w:rPr>
                <w:rFonts w:eastAsia="Calibri"/>
                <w:sz w:val="28"/>
                <w:szCs w:val="28"/>
                <w:lang w:val="en-US" w:eastAsia="en-US"/>
              </w:rPr>
              <w:t>038*</w:t>
            </w:r>
          </w:p>
        </w:tc>
      </w:tr>
      <w:tr w:rsidR="00CF641C" w:rsidRPr="00520861" w14:paraId="1813B070" w14:textId="77777777" w:rsidTr="00292D2E">
        <w:tc>
          <w:tcPr>
            <w:tcW w:w="1305" w:type="dxa"/>
            <w:tcBorders>
              <w:top w:val="single" w:sz="4" w:space="0" w:color="auto"/>
              <w:left w:val="single" w:sz="4" w:space="0" w:color="auto"/>
              <w:bottom w:val="single" w:sz="4" w:space="0" w:color="auto"/>
              <w:right w:val="single" w:sz="4" w:space="0" w:color="auto"/>
            </w:tcBorders>
            <w:shd w:val="clear" w:color="auto" w:fill="auto"/>
          </w:tcPr>
          <w:p w14:paraId="4887B079" w14:textId="77777777" w:rsidR="00CF641C" w:rsidRPr="00520861" w:rsidRDefault="00CF641C" w:rsidP="00292D2E">
            <w:pPr>
              <w:widowControl w:val="0"/>
              <w:spacing w:line="360" w:lineRule="auto"/>
              <w:jc w:val="both"/>
              <w:rPr>
                <w:sz w:val="28"/>
                <w:szCs w:val="28"/>
              </w:rPr>
            </w:pPr>
            <w:r w:rsidRPr="00520861">
              <w:rPr>
                <w:sz w:val="28"/>
                <w:szCs w:val="28"/>
              </w:rPr>
              <w:t>Група</w:t>
            </w:r>
            <w:r w:rsidRPr="00520861">
              <w:rPr>
                <w:sz w:val="28"/>
                <w:szCs w:val="28"/>
                <w:lang w:val="en-US"/>
              </w:rPr>
              <w:t xml:space="preserve"> 4 </w:t>
            </w:r>
          </w:p>
        </w:tc>
        <w:tc>
          <w:tcPr>
            <w:tcW w:w="1276" w:type="dxa"/>
            <w:shd w:val="clear" w:color="auto" w:fill="auto"/>
          </w:tcPr>
          <w:p w14:paraId="1889F40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6</w:t>
            </w:r>
          </w:p>
        </w:tc>
        <w:tc>
          <w:tcPr>
            <w:tcW w:w="1383" w:type="dxa"/>
            <w:shd w:val="clear" w:color="auto" w:fill="auto"/>
          </w:tcPr>
          <w:p w14:paraId="7F63F48D"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sym w:font="Symbol" w:char="F02D"/>
            </w:r>
            <w:r w:rsidRPr="00520861">
              <w:rPr>
                <w:rFonts w:eastAsia="Calibri"/>
                <w:sz w:val="28"/>
                <w:szCs w:val="28"/>
                <w:lang w:eastAsia="en-US"/>
              </w:rPr>
              <w:t>0,</w:t>
            </w:r>
            <w:r w:rsidRPr="00520861">
              <w:rPr>
                <w:rFonts w:eastAsia="Calibri"/>
                <w:sz w:val="28"/>
                <w:szCs w:val="28"/>
                <w:lang w:val="en-US" w:eastAsia="en-US"/>
              </w:rPr>
              <w:t>245</w:t>
            </w:r>
          </w:p>
        </w:tc>
        <w:tc>
          <w:tcPr>
            <w:tcW w:w="1559" w:type="dxa"/>
            <w:shd w:val="clear" w:color="auto" w:fill="auto"/>
          </w:tcPr>
          <w:p w14:paraId="38A9CC05"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0,</w:t>
            </w:r>
            <w:r w:rsidRPr="00520861">
              <w:rPr>
                <w:rFonts w:eastAsia="Calibri"/>
                <w:sz w:val="28"/>
                <w:szCs w:val="28"/>
                <w:lang w:val="en-US" w:eastAsia="en-US"/>
              </w:rPr>
              <w:t>641</w:t>
            </w:r>
          </w:p>
        </w:tc>
        <w:tc>
          <w:tcPr>
            <w:tcW w:w="1276" w:type="dxa"/>
            <w:gridSpan w:val="2"/>
            <w:shd w:val="clear" w:color="auto" w:fill="auto"/>
          </w:tcPr>
          <w:p w14:paraId="6504ACF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w:t>
            </w:r>
          </w:p>
        </w:tc>
        <w:tc>
          <w:tcPr>
            <w:tcW w:w="1559" w:type="dxa"/>
            <w:shd w:val="clear" w:color="auto" w:fill="auto"/>
          </w:tcPr>
          <w:p w14:paraId="7F6C4EB4"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sym w:font="Symbol" w:char="F02D"/>
            </w:r>
            <w:r w:rsidRPr="00520861">
              <w:rPr>
                <w:rFonts w:eastAsia="Calibri"/>
                <w:sz w:val="28"/>
                <w:szCs w:val="28"/>
                <w:lang w:val="en-US" w:eastAsia="en-US"/>
              </w:rPr>
              <w:t>0,441</w:t>
            </w:r>
          </w:p>
        </w:tc>
        <w:tc>
          <w:tcPr>
            <w:tcW w:w="1594" w:type="dxa"/>
            <w:shd w:val="clear" w:color="auto" w:fill="auto"/>
          </w:tcPr>
          <w:p w14:paraId="79143A76"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t>0,457</w:t>
            </w:r>
          </w:p>
        </w:tc>
      </w:tr>
      <w:tr w:rsidR="00CF641C" w:rsidRPr="00520861" w14:paraId="3520C68D" w14:textId="77777777" w:rsidTr="00292D2E">
        <w:tc>
          <w:tcPr>
            <w:tcW w:w="1305" w:type="dxa"/>
            <w:tcBorders>
              <w:top w:val="single" w:sz="4" w:space="0" w:color="auto"/>
              <w:left w:val="single" w:sz="4" w:space="0" w:color="auto"/>
              <w:bottom w:val="single" w:sz="4" w:space="0" w:color="auto"/>
              <w:right w:val="single" w:sz="4" w:space="0" w:color="auto"/>
            </w:tcBorders>
            <w:shd w:val="clear" w:color="auto" w:fill="auto"/>
          </w:tcPr>
          <w:p w14:paraId="46647DFF" w14:textId="77777777" w:rsidR="00CF641C" w:rsidRPr="00520861" w:rsidRDefault="00CF641C" w:rsidP="00292D2E">
            <w:pPr>
              <w:widowControl w:val="0"/>
              <w:spacing w:line="360" w:lineRule="auto"/>
              <w:rPr>
                <w:rFonts w:eastAsia="Calibri"/>
                <w:sz w:val="28"/>
                <w:szCs w:val="28"/>
                <w:lang w:eastAsia="en-US"/>
              </w:rPr>
            </w:pPr>
            <w:r w:rsidRPr="00520861">
              <w:rPr>
                <w:rFonts w:eastAsia="Calibri"/>
                <w:sz w:val="28"/>
                <w:szCs w:val="28"/>
                <w:lang w:eastAsia="en-US"/>
              </w:rPr>
              <w:t>Основна</w:t>
            </w:r>
          </w:p>
        </w:tc>
        <w:tc>
          <w:tcPr>
            <w:tcW w:w="1276" w:type="dxa"/>
            <w:shd w:val="clear" w:color="auto" w:fill="auto"/>
          </w:tcPr>
          <w:p w14:paraId="18427A27"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2</w:t>
            </w:r>
            <w:r w:rsidRPr="00520861">
              <w:rPr>
                <w:rFonts w:eastAsia="Calibri"/>
                <w:sz w:val="28"/>
                <w:szCs w:val="28"/>
                <w:lang w:val="en-US" w:eastAsia="en-US"/>
              </w:rPr>
              <w:t>2</w:t>
            </w:r>
          </w:p>
        </w:tc>
        <w:tc>
          <w:tcPr>
            <w:tcW w:w="1383" w:type="dxa"/>
            <w:shd w:val="clear" w:color="auto" w:fill="auto"/>
          </w:tcPr>
          <w:p w14:paraId="4954EDD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w:t>
            </w:r>
            <w:r w:rsidRPr="00520861">
              <w:rPr>
                <w:rFonts w:eastAsia="Calibri"/>
                <w:sz w:val="28"/>
                <w:szCs w:val="28"/>
                <w:lang w:val="en-US" w:eastAsia="en-US"/>
              </w:rPr>
              <w:t>711</w:t>
            </w:r>
            <w:r w:rsidRPr="00520861">
              <w:rPr>
                <w:rFonts w:eastAsia="Calibri"/>
                <w:sz w:val="28"/>
                <w:szCs w:val="28"/>
                <w:lang w:eastAsia="en-US"/>
              </w:rPr>
              <w:t>*</w:t>
            </w:r>
          </w:p>
        </w:tc>
        <w:tc>
          <w:tcPr>
            <w:tcW w:w="1559" w:type="dxa"/>
            <w:shd w:val="clear" w:color="auto" w:fill="auto"/>
          </w:tcPr>
          <w:p w14:paraId="5A34B8A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en-US" w:eastAsia="en-US"/>
              </w:rPr>
              <w:t>&lt;</w:t>
            </w:r>
            <w:r w:rsidRPr="00520861">
              <w:rPr>
                <w:rFonts w:eastAsia="Calibri"/>
                <w:sz w:val="28"/>
                <w:szCs w:val="28"/>
                <w:lang w:eastAsia="en-US"/>
              </w:rPr>
              <w:t>0,00</w:t>
            </w:r>
            <w:r w:rsidRPr="00520861">
              <w:rPr>
                <w:rFonts w:eastAsia="Calibri"/>
                <w:sz w:val="28"/>
                <w:szCs w:val="28"/>
                <w:lang w:val="en-US" w:eastAsia="en-US"/>
              </w:rPr>
              <w:t>1</w:t>
            </w:r>
            <w:r w:rsidRPr="00520861">
              <w:rPr>
                <w:rFonts w:eastAsia="Calibri"/>
                <w:sz w:val="28"/>
                <w:szCs w:val="28"/>
                <w:lang w:eastAsia="en-US"/>
              </w:rPr>
              <w:t>*</w:t>
            </w:r>
          </w:p>
        </w:tc>
        <w:tc>
          <w:tcPr>
            <w:tcW w:w="1276" w:type="dxa"/>
            <w:gridSpan w:val="2"/>
            <w:shd w:val="clear" w:color="auto" w:fill="auto"/>
          </w:tcPr>
          <w:p w14:paraId="339DBCCF"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eastAsia="en-US"/>
              </w:rPr>
              <w:t>2</w:t>
            </w:r>
            <w:r w:rsidRPr="00520861">
              <w:rPr>
                <w:rFonts w:eastAsia="Calibri"/>
                <w:sz w:val="28"/>
                <w:szCs w:val="28"/>
                <w:lang w:val="en-US" w:eastAsia="en-US"/>
              </w:rPr>
              <w:t>4</w:t>
            </w:r>
          </w:p>
        </w:tc>
        <w:tc>
          <w:tcPr>
            <w:tcW w:w="1559" w:type="dxa"/>
            <w:shd w:val="clear" w:color="auto" w:fill="auto"/>
          </w:tcPr>
          <w:p w14:paraId="4561239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0,7</w:t>
            </w:r>
            <w:r w:rsidRPr="00520861">
              <w:rPr>
                <w:rFonts w:eastAsia="Calibri"/>
                <w:sz w:val="28"/>
                <w:szCs w:val="28"/>
                <w:lang w:val="en-US" w:eastAsia="en-US"/>
              </w:rPr>
              <w:t>37</w:t>
            </w:r>
            <w:r w:rsidRPr="00520861">
              <w:rPr>
                <w:rFonts w:eastAsia="Calibri"/>
                <w:sz w:val="28"/>
                <w:szCs w:val="28"/>
                <w:lang w:eastAsia="en-US"/>
              </w:rPr>
              <w:t>*</w:t>
            </w:r>
          </w:p>
        </w:tc>
        <w:tc>
          <w:tcPr>
            <w:tcW w:w="1594" w:type="dxa"/>
            <w:shd w:val="clear" w:color="auto" w:fill="auto"/>
          </w:tcPr>
          <w:p w14:paraId="3AA05D1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en-US" w:eastAsia="en-US"/>
              </w:rPr>
              <w:t>&lt;</w:t>
            </w:r>
            <w:r w:rsidRPr="00520861">
              <w:rPr>
                <w:rFonts w:eastAsia="Calibri"/>
                <w:sz w:val="28"/>
                <w:szCs w:val="28"/>
                <w:lang w:eastAsia="en-US"/>
              </w:rPr>
              <w:t>0,00</w:t>
            </w:r>
            <w:r w:rsidRPr="00520861">
              <w:rPr>
                <w:rFonts w:eastAsia="Calibri"/>
                <w:sz w:val="28"/>
                <w:szCs w:val="28"/>
                <w:lang w:val="en-US" w:eastAsia="en-US"/>
              </w:rPr>
              <w:t>1</w:t>
            </w:r>
            <w:r w:rsidRPr="00520861">
              <w:rPr>
                <w:rFonts w:eastAsia="Calibri"/>
                <w:sz w:val="28"/>
                <w:szCs w:val="28"/>
                <w:lang w:eastAsia="en-US"/>
              </w:rPr>
              <w:t>*</w:t>
            </w:r>
          </w:p>
        </w:tc>
      </w:tr>
      <w:tr w:rsidR="00CF641C" w:rsidRPr="00520861" w14:paraId="186D0455" w14:textId="77777777" w:rsidTr="00292D2E">
        <w:tc>
          <w:tcPr>
            <w:tcW w:w="1305" w:type="dxa"/>
            <w:tcBorders>
              <w:top w:val="single" w:sz="4" w:space="0" w:color="auto"/>
              <w:left w:val="single" w:sz="4" w:space="0" w:color="auto"/>
              <w:right w:val="single" w:sz="4" w:space="0" w:color="auto"/>
            </w:tcBorders>
            <w:shd w:val="clear" w:color="auto" w:fill="auto"/>
            <w:vAlign w:val="center"/>
          </w:tcPr>
          <w:p w14:paraId="456DDEB9" w14:textId="77777777" w:rsidR="00CF641C" w:rsidRPr="00520861" w:rsidRDefault="00CF641C" w:rsidP="00292D2E">
            <w:pPr>
              <w:widowControl w:val="0"/>
              <w:spacing w:line="360" w:lineRule="auto"/>
              <w:ind w:hanging="76"/>
              <w:jc w:val="center"/>
              <w:rPr>
                <w:rFonts w:eastAsia="Calibri"/>
                <w:sz w:val="28"/>
                <w:szCs w:val="28"/>
              </w:rPr>
            </w:pPr>
            <w:r w:rsidRPr="00520861">
              <w:rPr>
                <w:rFonts w:eastAsia="Calibri"/>
                <w:sz w:val="28"/>
                <w:szCs w:val="28"/>
                <w:lang w:val="ru-RU" w:eastAsia="en-US"/>
              </w:rPr>
              <w:t>Р</w:t>
            </w:r>
            <w:r w:rsidRPr="00520861">
              <w:rPr>
                <w:rFonts w:eastAsia="Calibri"/>
                <w:sz w:val="28"/>
                <w:szCs w:val="28"/>
                <w:lang w:eastAsia="en-US"/>
              </w:rPr>
              <w:t>азом</w:t>
            </w:r>
          </w:p>
        </w:tc>
        <w:tc>
          <w:tcPr>
            <w:tcW w:w="1276" w:type="dxa"/>
            <w:shd w:val="clear" w:color="auto" w:fill="auto"/>
          </w:tcPr>
          <w:p w14:paraId="23062E55" w14:textId="77777777" w:rsidR="00CF641C" w:rsidRPr="00520861" w:rsidRDefault="00CF641C" w:rsidP="00292D2E">
            <w:pPr>
              <w:widowControl w:val="0"/>
              <w:spacing w:line="360" w:lineRule="auto"/>
              <w:jc w:val="center"/>
              <w:rPr>
                <w:rFonts w:eastAsia="Calibri"/>
                <w:sz w:val="28"/>
                <w:szCs w:val="28"/>
                <w:lang w:val="en-US" w:eastAsia="en-US"/>
              </w:rPr>
            </w:pPr>
            <w:r w:rsidRPr="00520861">
              <w:rPr>
                <w:rFonts w:eastAsia="Calibri"/>
                <w:sz w:val="28"/>
                <w:szCs w:val="28"/>
                <w:lang w:val="en-US" w:eastAsia="en-US"/>
              </w:rPr>
              <w:t>27</w:t>
            </w:r>
          </w:p>
        </w:tc>
        <w:tc>
          <w:tcPr>
            <w:tcW w:w="1383" w:type="dxa"/>
            <w:shd w:val="clear" w:color="auto" w:fill="auto"/>
          </w:tcPr>
          <w:p w14:paraId="3F2C458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w:t>
            </w:r>
            <w:r w:rsidRPr="00520861">
              <w:rPr>
                <w:rFonts w:eastAsia="Calibri"/>
                <w:sz w:val="28"/>
                <w:szCs w:val="28"/>
                <w:lang w:val="en-US" w:eastAsia="en-US"/>
              </w:rPr>
              <w:t>716</w:t>
            </w:r>
            <w:r w:rsidRPr="00520861">
              <w:rPr>
                <w:rFonts w:eastAsia="Calibri"/>
                <w:sz w:val="28"/>
                <w:szCs w:val="28"/>
                <w:lang w:eastAsia="en-US"/>
              </w:rPr>
              <w:t>*</w:t>
            </w:r>
          </w:p>
        </w:tc>
        <w:tc>
          <w:tcPr>
            <w:tcW w:w="1559" w:type="dxa"/>
            <w:shd w:val="clear" w:color="auto" w:fill="auto"/>
          </w:tcPr>
          <w:p w14:paraId="20740CE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en-US" w:eastAsia="en-US"/>
              </w:rPr>
              <w:t>&lt;</w:t>
            </w:r>
            <w:r w:rsidRPr="00520861">
              <w:rPr>
                <w:rFonts w:eastAsia="Calibri"/>
                <w:sz w:val="28"/>
                <w:szCs w:val="28"/>
                <w:lang w:eastAsia="en-US"/>
              </w:rPr>
              <w:t>0,00</w:t>
            </w:r>
            <w:r w:rsidRPr="00520861">
              <w:rPr>
                <w:rFonts w:eastAsia="Calibri"/>
                <w:sz w:val="28"/>
                <w:szCs w:val="28"/>
                <w:lang w:val="en-US" w:eastAsia="en-US"/>
              </w:rPr>
              <w:t>1</w:t>
            </w:r>
            <w:r w:rsidRPr="00520861">
              <w:rPr>
                <w:rFonts w:eastAsia="Calibri"/>
                <w:sz w:val="28"/>
                <w:szCs w:val="28"/>
                <w:lang w:eastAsia="en-US"/>
              </w:rPr>
              <w:t>*</w:t>
            </w:r>
          </w:p>
        </w:tc>
        <w:tc>
          <w:tcPr>
            <w:tcW w:w="1276" w:type="dxa"/>
            <w:gridSpan w:val="2"/>
            <w:shd w:val="clear" w:color="auto" w:fill="auto"/>
          </w:tcPr>
          <w:p w14:paraId="1F20EBD7"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29</w:t>
            </w:r>
          </w:p>
        </w:tc>
        <w:tc>
          <w:tcPr>
            <w:tcW w:w="1559" w:type="dxa"/>
            <w:shd w:val="clear" w:color="auto" w:fill="auto"/>
          </w:tcPr>
          <w:p w14:paraId="4D0467B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0,7</w:t>
            </w:r>
            <w:r w:rsidRPr="00520861">
              <w:rPr>
                <w:rFonts w:eastAsia="Calibri"/>
                <w:sz w:val="28"/>
                <w:szCs w:val="28"/>
                <w:lang w:val="en-US" w:eastAsia="en-US"/>
              </w:rPr>
              <w:t>05</w:t>
            </w:r>
            <w:r w:rsidRPr="00520861">
              <w:rPr>
                <w:rFonts w:eastAsia="Calibri"/>
                <w:sz w:val="28"/>
                <w:szCs w:val="28"/>
                <w:lang w:eastAsia="en-US"/>
              </w:rPr>
              <w:t>*</w:t>
            </w:r>
          </w:p>
        </w:tc>
        <w:tc>
          <w:tcPr>
            <w:tcW w:w="1594" w:type="dxa"/>
            <w:shd w:val="clear" w:color="auto" w:fill="auto"/>
          </w:tcPr>
          <w:p w14:paraId="3D0C357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val="en-US" w:eastAsia="en-US"/>
              </w:rPr>
              <w:t>&lt;</w:t>
            </w:r>
            <w:r w:rsidRPr="00520861">
              <w:rPr>
                <w:rFonts w:eastAsia="Calibri"/>
                <w:sz w:val="28"/>
                <w:szCs w:val="28"/>
                <w:lang w:eastAsia="en-US"/>
              </w:rPr>
              <w:t>0,00</w:t>
            </w:r>
            <w:r w:rsidRPr="00520861">
              <w:rPr>
                <w:rFonts w:eastAsia="Calibri"/>
                <w:sz w:val="28"/>
                <w:szCs w:val="28"/>
                <w:lang w:val="en-US" w:eastAsia="en-US"/>
              </w:rPr>
              <w:t>1</w:t>
            </w:r>
            <w:r w:rsidRPr="00520861">
              <w:rPr>
                <w:rFonts w:eastAsia="Calibri"/>
                <w:sz w:val="28"/>
                <w:szCs w:val="28"/>
                <w:lang w:eastAsia="en-US"/>
              </w:rPr>
              <w:t>*</w:t>
            </w:r>
          </w:p>
        </w:tc>
      </w:tr>
    </w:tbl>
    <w:p w14:paraId="294BF763"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sz w:val="28"/>
          <w:szCs w:val="28"/>
        </w:rPr>
        <w:t xml:space="preserve">Примітка: * – </w:t>
      </w:r>
      <w:r w:rsidRPr="00520861">
        <w:rPr>
          <w:rFonts w:eastAsia="Calibri"/>
          <w:sz w:val="28"/>
          <w:szCs w:val="28"/>
          <w:lang w:eastAsia="en-US"/>
        </w:rPr>
        <w:t xml:space="preserve">ймовірність похибки </w:t>
      </w:r>
      <w:r w:rsidRPr="00520861">
        <w:rPr>
          <w:rFonts w:eastAsia="Calibri"/>
          <w:i/>
          <w:sz w:val="28"/>
          <w:szCs w:val="28"/>
          <w:lang w:eastAsia="en-US"/>
        </w:rPr>
        <w:t>p</w:t>
      </w:r>
      <w:r w:rsidR="00FF6C32" w:rsidRPr="00520861">
        <w:rPr>
          <w:rFonts w:eastAsia="Calibri"/>
          <w:sz w:val="28"/>
          <w:szCs w:val="28"/>
          <w:lang w:eastAsia="en-US"/>
        </w:rPr>
        <w:t>&lt;</w:t>
      </w:r>
      <w:r w:rsidRPr="00520861">
        <w:rPr>
          <w:rFonts w:eastAsia="Calibri"/>
          <w:sz w:val="28"/>
          <w:szCs w:val="28"/>
          <w:lang w:eastAsia="en-US"/>
        </w:rPr>
        <w:t xml:space="preserve">0,05 за критерієм </w:t>
      </w:r>
      <w:r w:rsidRPr="00520861">
        <w:rPr>
          <w:rFonts w:eastAsia="Calibri"/>
          <w:sz w:val="28"/>
          <w:szCs w:val="28"/>
          <w:lang w:eastAsia="en-US"/>
        </w:rPr>
        <w:sym w:font="Symbol" w:char="F063"/>
      </w:r>
      <w:r w:rsidRPr="00520861">
        <w:rPr>
          <w:rFonts w:eastAsia="Calibri"/>
          <w:sz w:val="28"/>
          <w:szCs w:val="28"/>
          <w:vertAlign w:val="superscript"/>
          <w:lang w:eastAsia="en-US"/>
        </w:rPr>
        <w:t>2</w:t>
      </w:r>
      <w:r w:rsidRPr="00520861">
        <w:rPr>
          <w:rFonts w:eastAsia="Calibri"/>
          <w:sz w:val="28"/>
          <w:szCs w:val="28"/>
          <w:lang w:eastAsia="en-US"/>
        </w:rPr>
        <w:t>.</w:t>
      </w:r>
    </w:p>
    <w:p w14:paraId="625E67E1"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Через невелику кількість особин в окремих групах, (зокрема в групі 4), </w:t>
      </w:r>
      <w:r w:rsidR="001445C7" w:rsidRPr="00520861">
        <w:rPr>
          <w:rFonts w:eastAsia="Calibri"/>
          <w:sz w:val="28"/>
          <w:szCs w:val="28"/>
          <w:lang w:eastAsia="en-US"/>
        </w:rPr>
        <w:br/>
      </w:r>
      <w:r w:rsidRPr="00520861">
        <w:rPr>
          <w:rFonts w:eastAsia="Calibri"/>
          <w:sz w:val="28"/>
          <w:szCs w:val="28"/>
          <w:lang w:eastAsia="en-US"/>
        </w:rPr>
        <w:t xml:space="preserve">вірогідні дані виявлені тільки у двох групах. Для </w:t>
      </w:r>
      <w:proofErr w:type="spellStart"/>
      <w:r w:rsidRPr="00520861">
        <w:rPr>
          <w:rFonts w:eastAsia="Calibri"/>
          <w:sz w:val="28"/>
          <w:szCs w:val="28"/>
          <w:lang w:eastAsia="en-US"/>
        </w:rPr>
        <w:t>вісімнадцятимісячних</w:t>
      </w:r>
      <w:proofErr w:type="spellEnd"/>
      <w:r w:rsidRPr="00520861">
        <w:rPr>
          <w:rFonts w:eastAsia="Calibri"/>
          <w:sz w:val="28"/>
          <w:szCs w:val="28"/>
          <w:lang w:eastAsia="en-US"/>
        </w:rPr>
        <w:t xml:space="preserve"> щурів контрольної групи вірогідно спостерігається сильна кореляція (|</w:t>
      </w:r>
      <w:r w:rsidRPr="00520861">
        <w:rPr>
          <w:rFonts w:eastAsia="Calibri"/>
          <w:i/>
          <w:sz w:val="28"/>
          <w:szCs w:val="28"/>
          <w:lang w:val="en-US" w:eastAsia="en-US"/>
        </w:rPr>
        <w:t>r</w:t>
      </w:r>
      <w:r w:rsidR="00C32171" w:rsidRPr="00520861">
        <w:rPr>
          <w:rFonts w:eastAsia="Calibri"/>
          <w:sz w:val="28"/>
          <w:szCs w:val="28"/>
          <w:lang w:eastAsia="en-US"/>
        </w:rPr>
        <w:t>|&gt;0,</w:t>
      </w:r>
      <w:r w:rsidRPr="00520861">
        <w:rPr>
          <w:rFonts w:eastAsia="Calibri"/>
          <w:sz w:val="28"/>
          <w:szCs w:val="28"/>
          <w:lang w:eastAsia="en-US"/>
        </w:rPr>
        <w:t>75) та для тварин групи 3 вірог</w:t>
      </w:r>
      <w:r w:rsidR="00C32171" w:rsidRPr="00520861">
        <w:rPr>
          <w:rFonts w:eastAsia="Calibri"/>
          <w:sz w:val="28"/>
          <w:szCs w:val="28"/>
          <w:lang w:eastAsia="en-US"/>
        </w:rPr>
        <w:t>ідно спостерігається помірна (0,</w:t>
      </w:r>
      <w:r w:rsidRPr="00520861">
        <w:rPr>
          <w:rFonts w:eastAsia="Calibri"/>
          <w:sz w:val="28"/>
          <w:szCs w:val="28"/>
          <w:lang w:eastAsia="en-US"/>
        </w:rPr>
        <w:t>25&lt;|</w:t>
      </w:r>
      <w:r w:rsidRPr="00520861">
        <w:rPr>
          <w:rFonts w:eastAsia="Calibri"/>
          <w:i/>
          <w:sz w:val="28"/>
          <w:szCs w:val="28"/>
          <w:lang w:val="en-US" w:eastAsia="en-US"/>
        </w:rPr>
        <w:t>r</w:t>
      </w:r>
      <w:r w:rsidR="00C32171" w:rsidRPr="00520861">
        <w:rPr>
          <w:rFonts w:eastAsia="Calibri"/>
          <w:sz w:val="28"/>
          <w:szCs w:val="28"/>
          <w:lang w:eastAsia="en-US"/>
        </w:rPr>
        <w:t>|≤0,</w:t>
      </w:r>
      <w:r w:rsidRPr="00520861">
        <w:rPr>
          <w:rFonts w:eastAsia="Calibri"/>
          <w:sz w:val="28"/>
          <w:szCs w:val="28"/>
          <w:lang w:eastAsia="en-US"/>
        </w:rPr>
        <w:t>75) позитивна кореляція. При збільшенні статистики (для рядків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-при-народженні разом» та «всі групи разом») виявляються надійні кореляційні зв’язки. </w:t>
      </w:r>
    </w:p>
    <w:p w14:paraId="5AC4178D"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Для </w:t>
      </w:r>
      <w:proofErr w:type="spellStart"/>
      <w:r w:rsidRPr="00520861">
        <w:rPr>
          <w:rFonts w:eastAsia="Calibri"/>
          <w:sz w:val="28"/>
          <w:szCs w:val="28"/>
          <w:lang w:eastAsia="en-US"/>
        </w:rPr>
        <w:t>дванадцятимісячних</w:t>
      </w:r>
      <w:proofErr w:type="spellEnd"/>
      <w:r w:rsidRPr="00520861">
        <w:rPr>
          <w:rFonts w:eastAsia="Calibri"/>
          <w:sz w:val="28"/>
          <w:szCs w:val="28"/>
          <w:lang w:eastAsia="en-US"/>
        </w:rPr>
        <w:t xml:space="preserve"> і </w:t>
      </w:r>
      <w:proofErr w:type="spellStart"/>
      <w:r w:rsidRPr="00520861">
        <w:rPr>
          <w:rFonts w:eastAsia="Calibri"/>
          <w:sz w:val="28"/>
          <w:szCs w:val="28"/>
          <w:lang w:eastAsia="en-US"/>
        </w:rPr>
        <w:t>вісімнадцятиміся</w:t>
      </w:r>
      <w:r w:rsidR="00FF6C32" w:rsidRPr="00520861">
        <w:rPr>
          <w:rFonts w:eastAsia="Calibri"/>
          <w:sz w:val="28"/>
          <w:szCs w:val="28"/>
          <w:lang w:eastAsia="en-US"/>
        </w:rPr>
        <w:t>чних</w:t>
      </w:r>
      <w:proofErr w:type="spellEnd"/>
      <w:r w:rsidR="00FF6C32" w:rsidRPr="00520861">
        <w:rPr>
          <w:rFonts w:eastAsia="Calibri"/>
          <w:sz w:val="28"/>
          <w:szCs w:val="28"/>
          <w:lang w:eastAsia="en-US"/>
        </w:rPr>
        <w:t xml:space="preserve"> щурів має місце помірна (0,</w:t>
      </w:r>
      <w:r w:rsidRPr="00520861">
        <w:rPr>
          <w:rFonts w:eastAsia="Calibri"/>
          <w:sz w:val="28"/>
          <w:szCs w:val="28"/>
          <w:lang w:eastAsia="en-US"/>
        </w:rPr>
        <w:t>25&lt;|</w:t>
      </w:r>
      <w:r w:rsidRPr="00520861">
        <w:rPr>
          <w:rFonts w:eastAsia="Calibri"/>
          <w:i/>
          <w:sz w:val="28"/>
          <w:szCs w:val="28"/>
          <w:lang w:val="en-US" w:eastAsia="en-US"/>
        </w:rPr>
        <w:t>r</w:t>
      </w:r>
      <w:r w:rsidR="00FF6C32" w:rsidRPr="00520861">
        <w:rPr>
          <w:rFonts w:eastAsia="Calibri"/>
          <w:sz w:val="28"/>
          <w:szCs w:val="28"/>
          <w:lang w:eastAsia="en-US"/>
        </w:rPr>
        <w:t>|≤0,</w:t>
      </w:r>
      <w:r w:rsidRPr="00520861">
        <w:rPr>
          <w:rFonts w:eastAsia="Calibri"/>
          <w:sz w:val="28"/>
          <w:szCs w:val="28"/>
          <w:lang w:eastAsia="en-US"/>
        </w:rPr>
        <w:t xml:space="preserve">75) позитивна кореляція, тобто чим більший ступінь надмірної маси тіла (ожиріння) новонародженої тварини, тим більше уражених карієсом зубів вона має в подальшому житті. </w:t>
      </w:r>
    </w:p>
    <w:p w14:paraId="2FC85CE2"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pacing w:val="-4"/>
          <w:sz w:val="28"/>
          <w:szCs w:val="28"/>
          <w:lang w:eastAsia="en-US"/>
        </w:rPr>
        <w:t>Крім карієсу, у тварин спостерігалися порушення зубів некаріозного походження</w:t>
      </w:r>
      <w:r w:rsidRPr="00520861">
        <w:rPr>
          <w:rFonts w:eastAsia="Calibri"/>
          <w:sz w:val="28"/>
          <w:szCs w:val="28"/>
          <w:lang w:eastAsia="en-US"/>
        </w:rPr>
        <w:t xml:space="preserve">. У всіх тварин віком 12 та 18 місяців, які вивчалися в даному дослідженні, на </w:t>
      </w:r>
      <w:proofErr w:type="spellStart"/>
      <w:r w:rsidRPr="00520861">
        <w:rPr>
          <w:rFonts w:eastAsia="Calibri"/>
          <w:sz w:val="28"/>
          <w:szCs w:val="28"/>
          <w:lang w:eastAsia="en-US"/>
        </w:rPr>
        <w:t>оклюзійних</w:t>
      </w:r>
      <w:proofErr w:type="spellEnd"/>
      <w:r w:rsidRPr="00520861">
        <w:rPr>
          <w:rFonts w:eastAsia="Calibri"/>
          <w:sz w:val="28"/>
          <w:szCs w:val="28"/>
          <w:lang w:eastAsia="en-US"/>
        </w:rPr>
        <w:t xml:space="preserve"> поверхнях молярів шар емалі або дуже тонкий, або відсутній зовсім.</w:t>
      </w:r>
    </w:p>
    <w:p w14:paraId="34A009B7"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тварин групи 2 у віці 18 місяців спостерігалася </w:t>
      </w:r>
      <w:proofErr w:type="spellStart"/>
      <w:r w:rsidRPr="00520861">
        <w:rPr>
          <w:rFonts w:eastAsia="Calibri"/>
          <w:sz w:val="28"/>
          <w:szCs w:val="28"/>
          <w:lang w:eastAsia="en-US"/>
        </w:rPr>
        <w:t>стертість</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оклюзійних</w:t>
      </w:r>
      <w:proofErr w:type="spellEnd"/>
      <w:r w:rsidRPr="00520861">
        <w:rPr>
          <w:rFonts w:eastAsia="Calibri"/>
          <w:sz w:val="28"/>
          <w:szCs w:val="28"/>
          <w:lang w:eastAsia="en-US"/>
        </w:rPr>
        <w:t xml:space="preserve"> поверхонь та горбів жувальних зубів. Зовнішній шар емалі тонкий.</w:t>
      </w:r>
      <w:r w:rsidRPr="00520861">
        <w:rPr>
          <w:rFonts w:eastAsia="Calibri"/>
          <w:b/>
          <w:sz w:val="28"/>
          <w:szCs w:val="28"/>
          <w:lang w:eastAsia="en-US"/>
        </w:rPr>
        <w:t xml:space="preserve"> </w:t>
      </w:r>
      <w:r w:rsidRPr="00520861">
        <w:rPr>
          <w:rFonts w:eastAsia="Calibri"/>
          <w:sz w:val="28"/>
          <w:szCs w:val="28"/>
          <w:lang w:eastAsia="en-US"/>
        </w:rPr>
        <w:t xml:space="preserve">Значне стирання </w:t>
      </w:r>
      <w:proofErr w:type="spellStart"/>
      <w:r w:rsidRPr="00520861">
        <w:rPr>
          <w:rFonts w:eastAsia="Calibri"/>
          <w:sz w:val="28"/>
          <w:szCs w:val="28"/>
          <w:lang w:eastAsia="en-US"/>
        </w:rPr>
        <w:t>оклюзійних</w:t>
      </w:r>
      <w:proofErr w:type="spellEnd"/>
      <w:r w:rsidRPr="00520861">
        <w:rPr>
          <w:rFonts w:eastAsia="Calibri"/>
          <w:sz w:val="28"/>
          <w:szCs w:val="28"/>
          <w:lang w:eastAsia="en-US"/>
        </w:rPr>
        <w:t xml:space="preserve"> поверхонь жувальних зубів, яке було вираженим також і у тварин груп 3 та 4, супроводжувалося відкриттям </w:t>
      </w:r>
      <w:proofErr w:type="spellStart"/>
      <w:r w:rsidRPr="00520861">
        <w:rPr>
          <w:rFonts w:eastAsia="Calibri"/>
          <w:sz w:val="28"/>
          <w:szCs w:val="28"/>
          <w:lang w:eastAsia="en-US"/>
        </w:rPr>
        <w:t>пульпової</w:t>
      </w:r>
      <w:proofErr w:type="spellEnd"/>
      <w:r w:rsidRPr="00520861">
        <w:rPr>
          <w:rFonts w:eastAsia="Calibri"/>
          <w:sz w:val="28"/>
          <w:szCs w:val="28"/>
          <w:lang w:eastAsia="en-US"/>
        </w:rPr>
        <w:t xml:space="preserve"> камери та явищами пульпіту. Досить часто спостерігалися тріщини емалі.</w:t>
      </w:r>
    </w:p>
    <w:p w14:paraId="7AA1937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Вірогідного «лідера» у патологічному стиранні у межах цього дослідження нам виявити не вдалося, натомість інші патологічні процеси некаріозного походження, зокрема руйнування твердих тканин зубів біля емалево-цементної межі, яке не забарвлювалося метиленовим синім, фіксувалися переважно в групах 3 та 4.</w:t>
      </w:r>
    </w:p>
    <w:p w14:paraId="23A3EC5E" w14:textId="77777777" w:rsidR="00CF641C" w:rsidRPr="00520861" w:rsidRDefault="00CF641C" w:rsidP="00292D2E">
      <w:pPr>
        <w:widowControl w:val="0"/>
        <w:spacing w:line="360" w:lineRule="auto"/>
        <w:ind w:firstLine="709"/>
        <w:jc w:val="both"/>
        <w:rPr>
          <w:rFonts w:eastAsia="Calibri"/>
          <w:b/>
          <w:sz w:val="28"/>
          <w:szCs w:val="28"/>
          <w:lang w:eastAsia="en-US"/>
        </w:rPr>
      </w:pPr>
      <w:r w:rsidRPr="00520861">
        <w:rPr>
          <w:rFonts w:eastAsia="Calibri"/>
          <w:b/>
          <w:sz w:val="28"/>
          <w:szCs w:val="28"/>
          <w:lang w:eastAsia="en-US"/>
        </w:rPr>
        <w:lastRenderedPageBreak/>
        <w:t xml:space="preserve">3.5.2. Стан тканин </w:t>
      </w:r>
      <w:proofErr w:type="spellStart"/>
      <w:r w:rsidRPr="00520861">
        <w:rPr>
          <w:rFonts w:eastAsia="Calibri"/>
          <w:b/>
          <w:sz w:val="28"/>
          <w:szCs w:val="28"/>
          <w:lang w:eastAsia="en-US"/>
        </w:rPr>
        <w:t>пародонта</w:t>
      </w:r>
      <w:proofErr w:type="spellEnd"/>
      <w:r w:rsidRPr="00520861">
        <w:rPr>
          <w:rFonts w:eastAsia="Calibri"/>
          <w:b/>
          <w:sz w:val="28"/>
          <w:szCs w:val="28"/>
          <w:lang w:eastAsia="en-US"/>
        </w:rPr>
        <w:t xml:space="preserve"> в межах жувальних зубів. </w:t>
      </w:r>
      <w:r w:rsidRPr="00520861">
        <w:rPr>
          <w:rFonts w:eastAsia="Calibri"/>
          <w:sz w:val="28"/>
          <w:szCs w:val="28"/>
          <w:lang w:eastAsia="en-US"/>
        </w:rPr>
        <w:t xml:space="preserve">Стан слизової </w:t>
      </w:r>
      <w:r w:rsidRPr="00520861">
        <w:rPr>
          <w:rFonts w:eastAsia="Calibri"/>
          <w:sz w:val="28"/>
          <w:szCs w:val="28"/>
          <w:lang w:eastAsia="en-US"/>
        </w:rPr>
        <w:br/>
        <w:t xml:space="preserve">оболонки ясен 12-місячних щурів групи контролю добрий, кровопостачання його задовільне. У міжзубних проміжках більшості тварин спостерігається щільне </w:t>
      </w:r>
      <w:r w:rsidRPr="00520861">
        <w:rPr>
          <w:rFonts w:eastAsia="Calibri"/>
          <w:sz w:val="28"/>
          <w:szCs w:val="28"/>
          <w:lang w:eastAsia="en-US"/>
        </w:rPr>
        <w:br/>
        <w:t>прикріплення епітеліального шару на рівні емалево-цементної межі (рис. 3.34</w:t>
      </w:r>
      <w:r w:rsidRPr="00520861">
        <w:rPr>
          <w:rFonts w:eastAsia="Calibri"/>
          <w:i/>
          <w:sz w:val="28"/>
          <w:szCs w:val="28"/>
          <w:lang w:eastAsia="en-US"/>
        </w:rPr>
        <w:t>а</w:t>
      </w:r>
      <w:r w:rsidRPr="00520861">
        <w:rPr>
          <w:rFonts w:eastAsia="Calibri"/>
          <w:sz w:val="28"/>
          <w:szCs w:val="28"/>
          <w:lang w:eastAsia="en-US"/>
        </w:rPr>
        <w:t xml:space="preserve">), кишені відсутні, </w:t>
      </w:r>
      <w:proofErr w:type="spellStart"/>
      <w:r w:rsidRPr="00520861">
        <w:rPr>
          <w:rFonts w:eastAsia="Calibri"/>
          <w:sz w:val="28"/>
          <w:szCs w:val="28"/>
          <w:lang w:eastAsia="en-US"/>
        </w:rPr>
        <w:t>зубо</w:t>
      </w:r>
      <w:proofErr w:type="spellEnd"/>
      <w:r w:rsidRPr="00520861">
        <w:rPr>
          <w:rFonts w:eastAsia="Calibri"/>
          <w:sz w:val="28"/>
          <w:szCs w:val="28"/>
          <w:lang w:eastAsia="en-US"/>
        </w:rPr>
        <w:t xml:space="preserve">-ясенне з’єднання не порушене. Проте у деяких 18-місячних </w:t>
      </w:r>
      <w:r w:rsidRPr="00520861">
        <w:rPr>
          <w:rFonts w:eastAsia="Calibri"/>
          <w:sz w:val="28"/>
          <w:szCs w:val="28"/>
          <w:lang w:eastAsia="en-US"/>
        </w:rPr>
        <w:br/>
        <w:t>тварин спостерігаються міжзубні сосочки з порушеним епітелієм слизової оболонки та підвищеним умістом колагену.</w:t>
      </w:r>
    </w:p>
    <w:p w14:paraId="62AF906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drawing>
          <wp:inline distT="0" distB="0" distL="0" distR="0" wp14:anchorId="6B8520C4" wp14:editId="6D46DE6F">
            <wp:extent cx="4604936" cy="5057775"/>
            <wp:effectExtent l="0" t="0" r="5715" b="0"/>
            <wp:docPr id="52" name="Рисунок 52" descr="D:\тер стом\научн работа 1\дд друк\ на защиту\Маша\Рис\Рис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тер стом\научн работа 1\дд друк\ на защиту\Маша\Рис\Рис3.36.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615830" cy="5069741"/>
                    </a:xfrm>
                    <a:prstGeom prst="rect">
                      <a:avLst/>
                    </a:prstGeom>
                    <a:noFill/>
                    <a:ln>
                      <a:noFill/>
                    </a:ln>
                  </pic:spPr>
                </pic:pic>
              </a:graphicData>
            </a:graphic>
          </wp:inline>
        </w:drawing>
      </w:r>
    </w:p>
    <w:p w14:paraId="04440A2E" w14:textId="77777777" w:rsidR="00CF641C" w:rsidRPr="00520861" w:rsidRDefault="00CF641C" w:rsidP="00292D2E">
      <w:pPr>
        <w:widowControl w:val="0"/>
        <w:spacing w:line="360" w:lineRule="auto"/>
        <w:ind w:firstLine="709"/>
        <w:jc w:val="center"/>
        <w:rPr>
          <w:rFonts w:eastAsia="Calibri"/>
          <w:bCs/>
          <w:sz w:val="28"/>
          <w:szCs w:val="28"/>
          <w:lang w:eastAsia="en-US"/>
        </w:rPr>
      </w:pPr>
      <w:r w:rsidRPr="00520861">
        <w:rPr>
          <w:rFonts w:eastAsia="Calibri"/>
          <w:sz w:val="28"/>
          <w:szCs w:val="28"/>
          <w:lang w:eastAsia="en-US"/>
        </w:rPr>
        <w:t>Рис. 3.34.</w:t>
      </w:r>
      <w:r w:rsidRPr="00520861">
        <w:rPr>
          <w:rFonts w:eastAsia="Calibri"/>
          <w:b/>
          <w:sz w:val="28"/>
          <w:szCs w:val="28"/>
          <w:lang w:eastAsia="en-US"/>
        </w:rPr>
        <w:t xml:space="preserve"> </w:t>
      </w:r>
      <w:r w:rsidRPr="00520861">
        <w:rPr>
          <w:rFonts w:eastAsia="Calibri"/>
          <w:bCs/>
          <w:sz w:val="28"/>
          <w:szCs w:val="28"/>
          <w:lang w:eastAsia="en-US"/>
        </w:rPr>
        <w:t xml:space="preserve">Пародонт нижньої щелепи у межах молярів </w:t>
      </w:r>
      <w:proofErr w:type="spellStart"/>
      <w:r w:rsidRPr="00520861">
        <w:rPr>
          <w:rFonts w:eastAsia="Calibri"/>
          <w:bCs/>
          <w:sz w:val="28"/>
          <w:szCs w:val="28"/>
          <w:lang w:eastAsia="en-US"/>
        </w:rPr>
        <w:t>дванадцятимісячних</w:t>
      </w:r>
      <w:proofErr w:type="spellEnd"/>
      <w:r w:rsidRPr="00520861">
        <w:rPr>
          <w:rFonts w:eastAsia="Calibri"/>
          <w:bCs/>
          <w:sz w:val="28"/>
          <w:szCs w:val="28"/>
          <w:lang w:eastAsia="en-US"/>
        </w:rPr>
        <w:t xml:space="preserve"> щурів: </w:t>
      </w:r>
      <w:r w:rsidRPr="00520861">
        <w:rPr>
          <w:rFonts w:eastAsia="Calibri"/>
          <w:bCs/>
          <w:i/>
          <w:sz w:val="28"/>
          <w:szCs w:val="28"/>
          <w:lang w:eastAsia="en-US"/>
        </w:rPr>
        <w:t>а</w:t>
      </w:r>
      <w:r w:rsidRPr="00520861">
        <w:rPr>
          <w:rFonts w:eastAsia="Calibri"/>
          <w:bCs/>
          <w:sz w:val="28"/>
          <w:szCs w:val="28"/>
          <w:lang w:eastAsia="en-US"/>
        </w:rPr>
        <w:t xml:space="preserve">) – групи контролю (щільне прикріплення епітеліального шару на рівні емалево-цементної межі (∆); збільшення </w:t>
      </w:r>
      <w:r w:rsidRPr="00520861">
        <w:rPr>
          <w:rFonts w:eastAsia="Calibri"/>
          <w:sz w:val="28"/>
          <w:szCs w:val="28"/>
          <w:lang w:eastAsia="en-US"/>
        </w:rPr>
        <w:sym w:font="Symbol" w:char="F0B4"/>
      </w:r>
      <w:r w:rsidRPr="00520861">
        <w:rPr>
          <w:rFonts w:eastAsia="Calibri"/>
          <w:bCs/>
          <w:sz w:val="28"/>
          <w:szCs w:val="28"/>
          <w:lang w:eastAsia="en-US"/>
        </w:rPr>
        <w:t xml:space="preserve">100); </w:t>
      </w:r>
      <w:r w:rsidRPr="00520861">
        <w:rPr>
          <w:rFonts w:eastAsia="Calibri"/>
          <w:bCs/>
          <w:i/>
          <w:sz w:val="28"/>
          <w:szCs w:val="28"/>
          <w:lang w:eastAsia="en-US"/>
        </w:rPr>
        <w:t>б</w:t>
      </w:r>
      <w:r w:rsidRPr="00520861">
        <w:rPr>
          <w:rFonts w:eastAsia="Calibri"/>
          <w:bCs/>
          <w:sz w:val="28"/>
          <w:szCs w:val="28"/>
          <w:lang w:eastAsia="en-US"/>
        </w:rPr>
        <w:t>) – групи 2 (</w:t>
      </w:r>
      <w:proofErr w:type="spellStart"/>
      <w:r w:rsidRPr="00520861">
        <w:rPr>
          <w:rFonts w:eastAsia="Calibri"/>
          <w:bCs/>
          <w:sz w:val="28"/>
          <w:szCs w:val="28"/>
          <w:lang w:eastAsia="en-US"/>
        </w:rPr>
        <w:t>ерозування</w:t>
      </w:r>
      <w:proofErr w:type="spellEnd"/>
      <w:r w:rsidRPr="00520861">
        <w:rPr>
          <w:rFonts w:eastAsia="Calibri"/>
          <w:bCs/>
          <w:sz w:val="28"/>
          <w:szCs w:val="28"/>
          <w:lang w:eastAsia="en-US"/>
        </w:rPr>
        <w:t xml:space="preserve"> слизової оболонки, місцями з відсутністю епітеліального шару, прикріплення епітеліального шару нижче емалево-цементної межі (∆) з формуванням кишені, частково заповне</w:t>
      </w:r>
      <w:r w:rsidRPr="00520861">
        <w:rPr>
          <w:rFonts w:eastAsia="Calibri"/>
          <w:bCs/>
          <w:sz w:val="28"/>
          <w:szCs w:val="28"/>
          <w:lang w:eastAsia="en-US"/>
        </w:rPr>
        <w:lastRenderedPageBreak/>
        <w:t xml:space="preserve">ної грануляційною тканиною; збільшення </w:t>
      </w:r>
      <w:r w:rsidRPr="00520861">
        <w:rPr>
          <w:rFonts w:eastAsia="Calibri"/>
          <w:sz w:val="28"/>
          <w:szCs w:val="28"/>
          <w:lang w:eastAsia="en-US"/>
        </w:rPr>
        <w:sym w:font="Symbol" w:char="F0B4"/>
      </w:r>
      <w:r w:rsidRPr="00520861">
        <w:rPr>
          <w:rFonts w:eastAsia="Calibri"/>
          <w:sz w:val="28"/>
          <w:szCs w:val="28"/>
          <w:lang w:eastAsia="en-US"/>
        </w:rPr>
        <w:t>400</w:t>
      </w:r>
      <w:r w:rsidRPr="00520861">
        <w:rPr>
          <w:rFonts w:eastAsia="Calibri"/>
          <w:bCs/>
          <w:sz w:val="28"/>
          <w:szCs w:val="28"/>
          <w:lang w:eastAsia="en-US"/>
        </w:rPr>
        <w:t xml:space="preserve">); </w:t>
      </w:r>
      <w:r w:rsidRPr="00520861">
        <w:rPr>
          <w:rFonts w:eastAsia="Calibri"/>
          <w:bCs/>
          <w:i/>
          <w:sz w:val="28"/>
          <w:szCs w:val="28"/>
          <w:lang w:eastAsia="en-US"/>
        </w:rPr>
        <w:t>в</w:t>
      </w:r>
      <w:r w:rsidRPr="00520861">
        <w:rPr>
          <w:rFonts w:eastAsia="Calibri"/>
          <w:bCs/>
          <w:sz w:val="28"/>
          <w:szCs w:val="28"/>
          <w:lang w:eastAsia="en-US"/>
        </w:rPr>
        <w:t xml:space="preserve">) – групи 3 (тонкий епітелій, прикріплення епітеліального шару на рівні емалево-цементної межі (∆); збільшення </w:t>
      </w:r>
      <w:r w:rsidRPr="00520861">
        <w:rPr>
          <w:rFonts w:eastAsia="Calibri"/>
          <w:sz w:val="28"/>
          <w:szCs w:val="28"/>
          <w:lang w:eastAsia="en-US"/>
        </w:rPr>
        <w:sym w:font="Symbol" w:char="F0B4"/>
      </w:r>
      <w:r w:rsidRPr="00520861">
        <w:rPr>
          <w:rFonts w:eastAsia="Calibri"/>
          <w:sz w:val="28"/>
          <w:szCs w:val="28"/>
          <w:lang w:eastAsia="en-US"/>
        </w:rPr>
        <w:t>400</w:t>
      </w:r>
      <w:r w:rsidRPr="00520861">
        <w:rPr>
          <w:rFonts w:eastAsia="Calibri"/>
          <w:bCs/>
          <w:sz w:val="28"/>
          <w:szCs w:val="28"/>
          <w:lang w:eastAsia="en-US"/>
        </w:rPr>
        <w:t xml:space="preserve">); </w:t>
      </w:r>
      <w:r w:rsidRPr="00520861">
        <w:rPr>
          <w:rFonts w:eastAsia="Calibri"/>
          <w:bCs/>
          <w:i/>
          <w:sz w:val="28"/>
          <w:szCs w:val="28"/>
          <w:lang w:eastAsia="en-US"/>
        </w:rPr>
        <w:t>г</w:t>
      </w:r>
      <w:r w:rsidRPr="00520861">
        <w:rPr>
          <w:rFonts w:eastAsia="Calibri"/>
          <w:bCs/>
          <w:sz w:val="28"/>
          <w:szCs w:val="28"/>
          <w:lang w:eastAsia="en-US"/>
        </w:rPr>
        <w:t>) – групи 1 (</w:t>
      </w:r>
      <w:proofErr w:type="spellStart"/>
      <w:r w:rsidRPr="00520861">
        <w:rPr>
          <w:rFonts w:eastAsia="Calibri"/>
          <w:bCs/>
          <w:sz w:val="28"/>
          <w:szCs w:val="28"/>
          <w:lang w:eastAsia="en-US"/>
        </w:rPr>
        <w:t>ерозування</w:t>
      </w:r>
      <w:proofErr w:type="spellEnd"/>
      <w:r w:rsidRPr="00520861">
        <w:rPr>
          <w:rFonts w:eastAsia="Calibri"/>
          <w:bCs/>
          <w:sz w:val="28"/>
          <w:szCs w:val="28"/>
          <w:lang w:eastAsia="en-US"/>
        </w:rPr>
        <w:t xml:space="preserve"> слизової оболонки з відсутністю епітеліального шару, ознаки хронічного запалення, прикріплення епітеліального шару нижче за емалево-цементну </w:t>
      </w:r>
      <w:proofErr w:type="spellStart"/>
      <w:r w:rsidRPr="00520861">
        <w:rPr>
          <w:rFonts w:eastAsia="Calibri"/>
          <w:bCs/>
          <w:sz w:val="28"/>
          <w:szCs w:val="28"/>
          <w:lang w:eastAsia="en-US"/>
        </w:rPr>
        <w:t>межуі</w:t>
      </w:r>
      <w:proofErr w:type="spellEnd"/>
      <w:r w:rsidRPr="00520861">
        <w:rPr>
          <w:rFonts w:eastAsia="Calibri"/>
          <w:bCs/>
          <w:sz w:val="28"/>
          <w:szCs w:val="28"/>
          <w:lang w:eastAsia="en-US"/>
        </w:rPr>
        <w:t xml:space="preserve"> (∆); збільшення </w:t>
      </w:r>
      <w:r w:rsidRPr="00520861">
        <w:rPr>
          <w:rFonts w:eastAsia="Calibri"/>
          <w:sz w:val="28"/>
          <w:szCs w:val="28"/>
          <w:lang w:eastAsia="en-US"/>
        </w:rPr>
        <w:sym w:font="Symbol" w:char="F0B4"/>
      </w:r>
      <w:r w:rsidRPr="00520861">
        <w:rPr>
          <w:rFonts w:eastAsia="Calibri"/>
          <w:sz w:val="28"/>
          <w:szCs w:val="28"/>
          <w:lang w:eastAsia="en-US"/>
        </w:rPr>
        <w:t>400</w:t>
      </w:r>
      <w:r w:rsidRPr="00520861">
        <w:rPr>
          <w:rFonts w:eastAsia="Calibri"/>
          <w:bCs/>
          <w:sz w:val="28"/>
          <w:szCs w:val="28"/>
          <w:lang w:eastAsia="en-US"/>
        </w:rPr>
        <w:t xml:space="preserve">). Підбірка мікрофотографій, що </w:t>
      </w:r>
      <w:r w:rsidRPr="00520861">
        <w:rPr>
          <w:rFonts w:eastAsia="Calibri"/>
          <w:bCs/>
          <w:sz w:val="28"/>
          <w:szCs w:val="28"/>
          <w:lang w:eastAsia="en-US"/>
        </w:rPr>
        <w:br/>
        <w:t xml:space="preserve">взаємно перекриваються. Мозаїка об'єднана в оглядову мікрофотографію за допомогою плагіна </w:t>
      </w:r>
      <w:proofErr w:type="spellStart"/>
      <w:r w:rsidRPr="00520861">
        <w:rPr>
          <w:rFonts w:eastAsia="Calibri"/>
          <w:bCs/>
          <w:sz w:val="28"/>
          <w:szCs w:val="28"/>
          <w:lang w:val="ru-RU" w:eastAsia="en-US"/>
        </w:rPr>
        <w:t>Stitching</w:t>
      </w:r>
      <w:proofErr w:type="spellEnd"/>
      <w:r w:rsidRPr="00520861">
        <w:rPr>
          <w:rFonts w:eastAsia="Calibri"/>
          <w:bCs/>
          <w:sz w:val="28"/>
          <w:szCs w:val="28"/>
          <w:lang w:eastAsia="en-US"/>
        </w:rPr>
        <w:t xml:space="preserve"> </w:t>
      </w:r>
      <w:proofErr w:type="spellStart"/>
      <w:r w:rsidRPr="00520861">
        <w:rPr>
          <w:rFonts w:eastAsia="Calibri"/>
          <w:bCs/>
          <w:sz w:val="28"/>
          <w:szCs w:val="28"/>
          <w:lang w:val="ru-RU" w:eastAsia="en-US"/>
        </w:rPr>
        <w:t>open</w:t>
      </w:r>
      <w:proofErr w:type="spellEnd"/>
      <w:r w:rsidRPr="00520861">
        <w:rPr>
          <w:rFonts w:eastAsia="Calibri"/>
          <w:bCs/>
          <w:sz w:val="28"/>
          <w:szCs w:val="28"/>
          <w:lang w:eastAsia="en-US"/>
        </w:rPr>
        <w:t>-</w:t>
      </w:r>
      <w:proofErr w:type="spellStart"/>
      <w:r w:rsidRPr="00520861">
        <w:rPr>
          <w:rFonts w:eastAsia="Calibri"/>
          <w:bCs/>
          <w:sz w:val="28"/>
          <w:szCs w:val="28"/>
          <w:lang w:val="ru-RU" w:eastAsia="en-US"/>
        </w:rPr>
        <w:t>source</w:t>
      </w:r>
      <w:proofErr w:type="spellEnd"/>
      <w:r w:rsidRPr="00520861">
        <w:rPr>
          <w:rFonts w:eastAsia="Calibri"/>
          <w:bCs/>
          <w:sz w:val="28"/>
          <w:szCs w:val="28"/>
          <w:lang w:eastAsia="en-US"/>
        </w:rPr>
        <w:t xml:space="preserve"> програми </w:t>
      </w:r>
      <w:proofErr w:type="spellStart"/>
      <w:r w:rsidRPr="00520861">
        <w:rPr>
          <w:rFonts w:eastAsia="Calibri"/>
          <w:bCs/>
          <w:sz w:val="28"/>
          <w:szCs w:val="28"/>
          <w:lang w:val="ru-RU" w:eastAsia="en-US"/>
        </w:rPr>
        <w:t>Fiji</w:t>
      </w:r>
      <w:proofErr w:type="spellEnd"/>
      <w:r w:rsidRPr="00520861">
        <w:rPr>
          <w:rFonts w:eastAsia="Calibri"/>
          <w:bCs/>
          <w:sz w:val="28"/>
          <w:szCs w:val="28"/>
          <w:lang w:eastAsia="en-US"/>
        </w:rPr>
        <w:t xml:space="preserve"> [495]. Забарвлення: </w:t>
      </w:r>
      <w:r w:rsidRPr="00520861">
        <w:rPr>
          <w:rFonts w:eastAsia="Calibri"/>
          <w:bCs/>
          <w:i/>
          <w:sz w:val="28"/>
          <w:szCs w:val="28"/>
          <w:lang w:eastAsia="en-US"/>
        </w:rPr>
        <w:t>а</w:t>
      </w:r>
      <w:r w:rsidRPr="00520861">
        <w:rPr>
          <w:rFonts w:eastAsia="Calibri"/>
          <w:bCs/>
          <w:sz w:val="28"/>
          <w:szCs w:val="28"/>
          <w:lang w:eastAsia="en-US"/>
        </w:rPr>
        <w:t xml:space="preserve">), </w:t>
      </w:r>
      <w:r w:rsidRPr="00520861">
        <w:rPr>
          <w:rFonts w:eastAsia="Calibri"/>
          <w:bCs/>
          <w:i/>
          <w:sz w:val="28"/>
          <w:szCs w:val="28"/>
          <w:lang w:eastAsia="en-US"/>
        </w:rPr>
        <w:t>б</w:t>
      </w:r>
      <w:r w:rsidRPr="00520861">
        <w:rPr>
          <w:rFonts w:eastAsia="Calibri"/>
          <w:bCs/>
          <w:sz w:val="28"/>
          <w:szCs w:val="28"/>
          <w:lang w:eastAsia="en-US"/>
        </w:rPr>
        <w:t xml:space="preserve">), </w:t>
      </w:r>
      <w:r w:rsidRPr="00520861">
        <w:rPr>
          <w:rFonts w:eastAsia="Calibri"/>
          <w:bCs/>
          <w:i/>
          <w:sz w:val="28"/>
          <w:szCs w:val="28"/>
          <w:lang w:eastAsia="en-US"/>
        </w:rPr>
        <w:t>г</w:t>
      </w:r>
      <w:r w:rsidRPr="00520861">
        <w:rPr>
          <w:rFonts w:eastAsia="Calibri"/>
          <w:bCs/>
          <w:sz w:val="28"/>
          <w:szCs w:val="28"/>
          <w:lang w:eastAsia="en-US"/>
        </w:rPr>
        <w:t xml:space="preserve">) – гематоксиліном та еозином; </w:t>
      </w:r>
      <w:r w:rsidRPr="00520861">
        <w:rPr>
          <w:rFonts w:eastAsia="Calibri"/>
          <w:bCs/>
          <w:i/>
          <w:sz w:val="28"/>
          <w:szCs w:val="28"/>
          <w:lang w:eastAsia="en-US"/>
        </w:rPr>
        <w:t>в</w:t>
      </w:r>
      <w:r w:rsidRPr="00520861">
        <w:rPr>
          <w:rFonts w:eastAsia="Calibri"/>
          <w:bCs/>
          <w:sz w:val="28"/>
          <w:szCs w:val="28"/>
          <w:lang w:eastAsia="en-US"/>
        </w:rPr>
        <w:t xml:space="preserve">) – </w:t>
      </w:r>
      <w:proofErr w:type="spellStart"/>
      <w:r w:rsidRPr="00520861">
        <w:rPr>
          <w:rFonts w:eastAsia="Calibri"/>
          <w:bCs/>
          <w:sz w:val="28"/>
          <w:szCs w:val="28"/>
          <w:lang w:eastAsia="en-US"/>
        </w:rPr>
        <w:t>пікрофуксином</w:t>
      </w:r>
      <w:proofErr w:type="spellEnd"/>
      <w:r w:rsidRPr="00520861">
        <w:rPr>
          <w:rFonts w:eastAsia="Calibri"/>
          <w:bCs/>
          <w:sz w:val="28"/>
          <w:szCs w:val="28"/>
          <w:lang w:eastAsia="en-US"/>
        </w:rPr>
        <w:t xml:space="preserve"> за ван </w:t>
      </w:r>
      <w:proofErr w:type="spellStart"/>
      <w:r w:rsidRPr="00520861">
        <w:rPr>
          <w:rFonts w:eastAsia="Calibri"/>
          <w:bCs/>
          <w:sz w:val="28"/>
          <w:szCs w:val="28"/>
          <w:lang w:eastAsia="en-US"/>
        </w:rPr>
        <w:t>Гізоном</w:t>
      </w:r>
      <w:proofErr w:type="spellEnd"/>
      <w:r w:rsidRPr="00520861">
        <w:rPr>
          <w:rFonts w:eastAsia="Calibri"/>
          <w:bCs/>
          <w:sz w:val="28"/>
          <w:szCs w:val="28"/>
          <w:lang w:eastAsia="en-US"/>
        </w:rPr>
        <w:t>.</w:t>
      </w:r>
    </w:p>
    <w:p w14:paraId="414727C1" w14:textId="77777777" w:rsidR="00CF641C" w:rsidRPr="00520861" w:rsidRDefault="00CF641C" w:rsidP="00292D2E">
      <w:pPr>
        <w:widowControl w:val="0"/>
        <w:tabs>
          <w:tab w:val="left" w:pos="8505"/>
        </w:tabs>
        <w:spacing w:line="360" w:lineRule="auto"/>
        <w:ind w:firstLine="709"/>
        <w:jc w:val="both"/>
        <w:rPr>
          <w:rFonts w:eastAsia="Calibri"/>
          <w:sz w:val="28"/>
          <w:szCs w:val="28"/>
          <w:lang w:eastAsia="en-US"/>
        </w:rPr>
      </w:pPr>
      <w:r w:rsidRPr="00520861">
        <w:rPr>
          <w:rFonts w:eastAsia="Calibri"/>
          <w:sz w:val="28"/>
          <w:szCs w:val="28"/>
          <w:lang w:eastAsia="en-US"/>
        </w:rPr>
        <w:t xml:space="preserve">У більшості 12-місячних і 18-місячних тварин груп 1 та 2 спостерігається </w:t>
      </w:r>
      <w:proofErr w:type="spellStart"/>
      <w:r w:rsidRPr="00520861">
        <w:rPr>
          <w:rFonts w:eastAsia="Calibri"/>
          <w:sz w:val="28"/>
          <w:szCs w:val="28"/>
          <w:lang w:eastAsia="en-US"/>
        </w:rPr>
        <w:t>ерозування</w:t>
      </w:r>
      <w:proofErr w:type="spellEnd"/>
      <w:r w:rsidRPr="00520861">
        <w:rPr>
          <w:rFonts w:eastAsia="Calibri"/>
          <w:sz w:val="28"/>
          <w:szCs w:val="28"/>
          <w:lang w:eastAsia="en-US"/>
        </w:rPr>
        <w:t xml:space="preserve"> слизової оболонки, місцями з відсутністю епітеліального шару, епітеліальний шар слизової оболонки прикріплений нижче за емалево-цементну межу з формуванням кишень та ознаками хронічного запалення ясен (</w:t>
      </w:r>
      <w:r w:rsidRPr="00520861">
        <w:rPr>
          <w:rFonts w:eastAsia="Calibri"/>
          <w:bCs/>
          <w:sz w:val="28"/>
          <w:szCs w:val="28"/>
          <w:lang w:eastAsia="en-US"/>
        </w:rPr>
        <w:t>рис. 3.34</w:t>
      </w:r>
      <w:r w:rsidRPr="00520861">
        <w:rPr>
          <w:rFonts w:eastAsia="Calibri"/>
          <w:bCs/>
          <w:i/>
          <w:sz w:val="28"/>
          <w:szCs w:val="28"/>
          <w:lang w:eastAsia="en-US"/>
        </w:rPr>
        <w:t>б</w:t>
      </w:r>
      <w:r w:rsidRPr="00520861">
        <w:rPr>
          <w:rFonts w:eastAsia="Calibri"/>
          <w:bCs/>
          <w:sz w:val="28"/>
          <w:szCs w:val="28"/>
          <w:lang w:eastAsia="en-US"/>
        </w:rPr>
        <w:t>, 3.34</w:t>
      </w:r>
      <w:r w:rsidRPr="00520861">
        <w:rPr>
          <w:rFonts w:eastAsia="Calibri"/>
          <w:bCs/>
          <w:i/>
          <w:sz w:val="28"/>
          <w:szCs w:val="28"/>
          <w:lang w:eastAsia="en-US"/>
        </w:rPr>
        <w:t>г</w:t>
      </w:r>
      <w:r w:rsidRPr="00520861">
        <w:rPr>
          <w:rFonts w:eastAsia="Calibri"/>
          <w:sz w:val="28"/>
          <w:szCs w:val="28"/>
          <w:lang w:eastAsia="en-US"/>
        </w:rPr>
        <w:t>).</w:t>
      </w:r>
    </w:p>
    <w:p w14:paraId="61CCF4EC" w14:textId="77777777" w:rsidR="00CF641C" w:rsidRPr="00520861" w:rsidRDefault="00CF641C" w:rsidP="00292D2E">
      <w:pPr>
        <w:widowControl w:val="0"/>
        <w:spacing w:line="360" w:lineRule="auto"/>
        <w:ind w:firstLine="708"/>
        <w:jc w:val="both"/>
        <w:rPr>
          <w:rFonts w:eastAsia="Calibri"/>
          <w:spacing w:val="-2"/>
          <w:sz w:val="28"/>
          <w:szCs w:val="28"/>
          <w:lang w:eastAsia="en-US"/>
        </w:rPr>
      </w:pPr>
      <w:r w:rsidRPr="00520861">
        <w:rPr>
          <w:rFonts w:eastAsia="Calibri"/>
          <w:color w:val="000000"/>
          <w:spacing w:val="-4"/>
          <w:sz w:val="28"/>
          <w:szCs w:val="28"/>
          <w:lang w:eastAsia="en-US"/>
        </w:rPr>
        <w:t xml:space="preserve">Хоча практично в усіх тварин груп 3 та 4 епітелій слизової оболонки також </w:t>
      </w:r>
      <w:r w:rsidRPr="00520861">
        <w:rPr>
          <w:rFonts w:eastAsia="Calibri"/>
          <w:spacing w:val="-4"/>
          <w:sz w:val="28"/>
          <w:szCs w:val="28"/>
          <w:lang w:eastAsia="en-US"/>
        </w:rPr>
        <w:t>дуже тонкий (</w:t>
      </w:r>
      <w:r w:rsidRPr="00520861">
        <w:rPr>
          <w:rFonts w:eastAsia="Calibri"/>
          <w:bCs/>
          <w:spacing w:val="-4"/>
          <w:sz w:val="28"/>
          <w:szCs w:val="28"/>
          <w:lang w:eastAsia="en-US"/>
        </w:rPr>
        <w:t>рис. 3.36</w:t>
      </w:r>
      <w:r w:rsidRPr="00520861">
        <w:rPr>
          <w:rFonts w:eastAsia="Calibri"/>
          <w:bCs/>
          <w:i/>
          <w:spacing w:val="-4"/>
          <w:sz w:val="28"/>
          <w:szCs w:val="28"/>
          <w:lang w:eastAsia="en-US"/>
        </w:rPr>
        <w:t>в</w:t>
      </w:r>
      <w:r w:rsidRPr="00520861">
        <w:rPr>
          <w:rFonts w:eastAsia="Calibri"/>
          <w:spacing w:val="-4"/>
          <w:sz w:val="28"/>
          <w:szCs w:val="28"/>
          <w:lang w:eastAsia="en-US"/>
        </w:rPr>
        <w:t xml:space="preserve">) та </w:t>
      </w:r>
      <w:r w:rsidRPr="00520861">
        <w:rPr>
          <w:rFonts w:eastAsia="Calibri"/>
          <w:color w:val="000000"/>
          <w:spacing w:val="-4"/>
          <w:sz w:val="28"/>
          <w:szCs w:val="28"/>
          <w:lang w:eastAsia="en-US"/>
        </w:rPr>
        <w:t xml:space="preserve">прикріплений нижче за емалево-цементну межу, проте порушення </w:t>
      </w:r>
      <w:proofErr w:type="spellStart"/>
      <w:r w:rsidRPr="00520861">
        <w:rPr>
          <w:rFonts w:eastAsia="Calibri"/>
          <w:color w:val="000000"/>
          <w:spacing w:val="-4"/>
          <w:sz w:val="28"/>
          <w:szCs w:val="28"/>
          <w:lang w:eastAsia="en-US"/>
        </w:rPr>
        <w:t>зубо</w:t>
      </w:r>
      <w:proofErr w:type="spellEnd"/>
      <w:r w:rsidRPr="00520861">
        <w:rPr>
          <w:rFonts w:eastAsia="Calibri"/>
          <w:color w:val="000000"/>
          <w:spacing w:val="-2"/>
          <w:sz w:val="28"/>
          <w:szCs w:val="28"/>
          <w:lang w:eastAsia="en-US"/>
        </w:rPr>
        <w:t xml:space="preserve">-ясенного прикріплення (кишень) не спостерігалося, навіть у віці 18 місяців. </w:t>
      </w:r>
    </w:p>
    <w:p w14:paraId="0EDCEB76"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 xml:space="preserve">Тобто у тварин зафіксована лише рецесія ясенного краю. Проте, спостерігаються зміни дистрофічного характеру: атрофія епітелію слизової оболонки міжзубних сосочків, склеротичні процеси в судинах та редукція судин МЦР слизової </w:t>
      </w:r>
      <w:r w:rsidRPr="00520861">
        <w:rPr>
          <w:rFonts w:eastAsia="Calibri"/>
          <w:color w:val="000000"/>
          <w:sz w:val="28"/>
          <w:szCs w:val="28"/>
          <w:lang w:eastAsia="en-US"/>
        </w:rPr>
        <w:br/>
        <w:t xml:space="preserve">оболонки. У </w:t>
      </w:r>
      <w:r w:rsidRPr="00520861">
        <w:rPr>
          <w:rFonts w:eastAsia="Calibri"/>
          <w:sz w:val="28"/>
          <w:szCs w:val="28"/>
          <w:lang w:eastAsia="en-US"/>
        </w:rPr>
        <w:t>тварин груп 3 та 4 у слизовій оболонці ясен спостерігається мала кількість капілярів.</w:t>
      </w:r>
    </w:p>
    <w:p w14:paraId="4C41CCA8"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Превалювання в цих групах тварин некаріозних уражень твердих тканин зубів (</w:t>
      </w:r>
      <w:r w:rsidRPr="00520861">
        <w:rPr>
          <w:rFonts w:eastAsia="Calibri"/>
          <w:sz w:val="28"/>
          <w:szCs w:val="28"/>
          <w:lang w:eastAsia="en-US"/>
        </w:rPr>
        <w:t>руйнування твердих тканин некаріозного походження на емалево-цементній межі</w:t>
      </w:r>
      <w:r w:rsidRPr="00520861">
        <w:rPr>
          <w:rFonts w:eastAsia="Calibri"/>
          <w:color w:val="000000"/>
          <w:sz w:val="28"/>
          <w:szCs w:val="28"/>
          <w:lang w:eastAsia="en-US"/>
        </w:rPr>
        <w:t>)</w:t>
      </w:r>
      <w:r w:rsidRPr="00520861">
        <w:rPr>
          <w:rFonts w:eastAsia="Calibri"/>
          <w:b/>
          <w:color w:val="000000"/>
          <w:sz w:val="28"/>
          <w:szCs w:val="28"/>
          <w:lang w:eastAsia="en-US"/>
        </w:rPr>
        <w:t xml:space="preserve"> </w:t>
      </w:r>
      <w:r w:rsidRPr="00520861">
        <w:rPr>
          <w:rFonts w:eastAsia="Calibri"/>
          <w:color w:val="000000"/>
          <w:sz w:val="28"/>
          <w:szCs w:val="28"/>
          <w:lang w:eastAsia="en-US"/>
        </w:rPr>
        <w:t xml:space="preserve">підтверджує наші думки про переважання дистрофічних змін над запальними в порожнині </w:t>
      </w:r>
      <w:r w:rsidR="001445C7" w:rsidRPr="00520861">
        <w:rPr>
          <w:rFonts w:eastAsia="Calibri"/>
          <w:color w:val="000000"/>
          <w:sz w:val="28"/>
          <w:szCs w:val="28"/>
          <w:lang w:eastAsia="en-US"/>
        </w:rPr>
        <w:t xml:space="preserve">рота </w:t>
      </w:r>
      <w:r w:rsidRPr="00520861">
        <w:rPr>
          <w:rFonts w:eastAsia="Calibri"/>
          <w:color w:val="000000"/>
          <w:sz w:val="28"/>
          <w:szCs w:val="28"/>
          <w:lang w:eastAsia="en-US"/>
        </w:rPr>
        <w:t xml:space="preserve">цих експериментальних тварин. </w:t>
      </w:r>
    </w:p>
    <w:p w14:paraId="13552B1E" w14:textId="77777777" w:rsidR="00CF641C" w:rsidRPr="00520861" w:rsidRDefault="00CF641C" w:rsidP="00292D2E">
      <w:pPr>
        <w:widowControl w:val="0"/>
        <w:spacing w:line="360" w:lineRule="auto"/>
        <w:ind w:firstLine="708"/>
        <w:jc w:val="both"/>
        <w:rPr>
          <w:rFonts w:eastAsia="Calibri"/>
          <w:spacing w:val="-4"/>
          <w:kern w:val="28"/>
          <w:sz w:val="28"/>
          <w:szCs w:val="28"/>
          <w:lang w:eastAsia="en-US"/>
        </w:rPr>
      </w:pPr>
      <w:r w:rsidRPr="00520861">
        <w:rPr>
          <w:rFonts w:eastAsia="Calibri"/>
          <w:sz w:val="28"/>
          <w:szCs w:val="28"/>
          <w:lang w:eastAsia="en-US"/>
        </w:rPr>
        <w:t xml:space="preserve">У переважної більшості 12-місячних і 18-місячних тварин контрольної групи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міцно з’єднана з цементом кореня зуба, волокна </w:t>
      </w:r>
      <w:proofErr w:type="spellStart"/>
      <w:r w:rsidRPr="00520861">
        <w:rPr>
          <w:rFonts w:eastAsia="Calibri"/>
          <w:sz w:val="28"/>
          <w:szCs w:val="28"/>
          <w:lang w:eastAsia="en-US"/>
        </w:rPr>
        <w:t>періодонту</w:t>
      </w:r>
      <w:proofErr w:type="spellEnd"/>
      <w:r w:rsidRPr="00520861">
        <w:rPr>
          <w:rFonts w:eastAsia="Calibri"/>
          <w:sz w:val="28"/>
          <w:szCs w:val="28"/>
          <w:lang w:eastAsia="en-US"/>
        </w:rPr>
        <w:t xml:space="preserve">, які досить густо розташовані, добре </w:t>
      </w:r>
      <w:proofErr w:type="spellStart"/>
      <w:r w:rsidRPr="00520861">
        <w:rPr>
          <w:rFonts w:eastAsia="Calibri"/>
          <w:sz w:val="28"/>
          <w:szCs w:val="28"/>
          <w:lang w:eastAsia="en-US"/>
        </w:rPr>
        <w:t>візуалізуються</w:t>
      </w:r>
      <w:proofErr w:type="spellEnd"/>
      <w:r w:rsidRPr="00520861">
        <w:rPr>
          <w:rFonts w:eastAsia="Calibri"/>
          <w:sz w:val="28"/>
          <w:szCs w:val="28"/>
          <w:lang w:eastAsia="en-US"/>
        </w:rPr>
        <w:t xml:space="preserve"> (</w:t>
      </w:r>
      <w:r w:rsidRPr="00520861">
        <w:rPr>
          <w:rFonts w:eastAsia="Calibri"/>
          <w:bCs/>
          <w:sz w:val="28"/>
          <w:szCs w:val="28"/>
          <w:lang w:eastAsia="en-US"/>
        </w:rPr>
        <w:t>рис. 3.35</w:t>
      </w:r>
      <w:r w:rsidRPr="00520861">
        <w:rPr>
          <w:rFonts w:eastAsia="Calibri"/>
          <w:bCs/>
          <w:i/>
          <w:sz w:val="28"/>
          <w:szCs w:val="28"/>
          <w:lang w:val="en-US" w:eastAsia="en-US"/>
        </w:rPr>
        <w:t>a</w:t>
      </w:r>
      <w:r w:rsidRPr="00520861">
        <w:rPr>
          <w:rFonts w:eastAsia="Calibri"/>
          <w:sz w:val="28"/>
          <w:szCs w:val="28"/>
          <w:lang w:eastAsia="en-US"/>
        </w:rPr>
        <w:t xml:space="preserve">). У 18-місячних тварин спостерігаються зуби з частково зруйнованою </w:t>
      </w:r>
      <w:proofErr w:type="spellStart"/>
      <w:r w:rsidRPr="00520861">
        <w:rPr>
          <w:rFonts w:eastAsia="Calibri"/>
          <w:sz w:val="28"/>
          <w:szCs w:val="28"/>
          <w:lang w:eastAsia="en-US"/>
        </w:rPr>
        <w:t>періодонтальною</w:t>
      </w:r>
      <w:proofErr w:type="spellEnd"/>
      <w:r w:rsidRPr="00520861">
        <w:rPr>
          <w:rFonts w:eastAsia="Calibri"/>
          <w:sz w:val="28"/>
          <w:szCs w:val="28"/>
          <w:lang w:eastAsia="en-US"/>
        </w:rPr>
        <w:t xml:space="preserve"> зв’язкою. Майже у всіх тварин як групи контролю, так і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спостерігаються явища компенсаторного </w:t>
      </w:r>
      <w:proofErr w:type="spellStart"/>
      <w:r w:rsidRPr="00520861">
        <w:rPr>
          <w:rFonts w:eastAsia="Calibri"/>
          <w:sz w:val="28"/>
          <w:szCs w:val="28"/>
          <w:lang w:eastAsia="en-US"/>
        </w:rPr>
        <w:t>гіперцементозу</w:t>
      </w:r>
      <w:proofErr w:type="spellEnd"/>
      <w:r w:rsidRPr="00520861">
        <w:rPr>
          <w:rFonts w:eastAsia="Calibri"/>
          <w:sz w:val="28"/>
          <w:szCs w:val="28"/>
          <w:lang w:eastAsia="en-US"/>
        </w:rPr>
        <w:t xml:space="preserve">. </w:t>
      </w:r>
      <w:r w:rsidRPr="00520861">
        <w:rPr>
          <w:rFonts w:eastAsia="Calibri"/>
          <w:spacing w:val="-4"/>
          <w:kern w:val="28"/>
          <w:sz w:val="28"/>
          <w:szCs w:val="28"/>
          <w:lang w:eastAsia="en-US"/>
        </w:rPr>
        <w:t xml:space="preserve">Практично в усіх тварин групи 1 у 12-місячному віці </w:t>
      </w:r>
      <w:proofErr w:type="spellStart"/>
      <w:r w:rsidRPr="00520861">
        <w:rPr>
          <w:rFonts w:eastAsia="Calibri"/>
          <w:spacing w:val="-4"/>
          <w:kern w:val="28"/>
          <w:sz w:val="28"/>
          <w:szCs w:val="28"/>
          <w:lang w:eastAsia="en-US"/>
        </w:rPr>
        <w:lastRenderedPageBreak/>
        <w:t>періодонтальна</w:t>
      </w:r>
      <w:proofErr w:type="spellEnd"/>
      <w:r w:rsidRPr="00520861">
        <w:rPr>
          <w:rFonts w:eastAsia="Calibri"/>
          <w:spacing w:val="-4"/>
          <w:kern w:val="28"/>
          <w:sz w:val="28"/>
          <w:szCs w:val="28"/>
          <w:lang w:eastAsia="en-US"/>
        </w:rPr>
        <w:t xml:space="preserve"> зв’язка потоншена, розріджена, фіксація її до цементу кореня неміцна. У тварин групи 2 також спостерігається «розрідження» волокон </w:t>
      </w:r>
      <w:proofErr w:type="spellStart"/>
      <w:r w:rsidRPr="00520861">
        <w:rPr>
          <w:rFonts w:eastAsia="Calibri"/>
          <w:spacing w:val="-4"/>
          <w:kern w:val="28"/>
          <w:sz w:val="28"/>
          <w:szCs w:val="28"/>
          <w:lang w:eastAsia="en-US"/>
        </w:rPr>
        <w:t>періодонту</w:t>
      </w:r>
      <w:proofErr w:type="spellEnd"/>
      <w:r w:rsidRPr="00520861">
        <w:rPr>
          <w:rFonts w:eastAsia="Calibri"/>
          <w:spacing w:val="-4"/>
          <w:kern w:val="28"/>
          <w:sz w:val="28"/>
          <w:szCs w:val="28"/>
          <w:lang w:eastAsia="en-US"/>
        </w:rPr>
        <w:t xml:space="preserve"> (</w:t>
      </w:r>
      <w:r w:rsidRPr="00520861">
        <w:rPr>
          <w:rFonts w:eastAsia="Calibri"/>
          <w:bCs/>
          <w:spacing w:val="-4"/>
          <w:kern w:val="28"/>
          <w:sz w:val="28"/>
          <w:szCs w:val="28"/>
          <w:lang w:eastAsia="en-US"/>
        </w:rPr>
        <w:t>рис. 3.35</w:t>
      </w:r>
      <w:r w:rsidRPr="00520861">
        <w:rPr>
          <w:rFonts w:eastAsia="Calibri"/>
          <w:bCs/>
          <w:i/>
          <w:spacing w:val="-4"/>
          <w:kern w:val="28"/>
          <w:sz w:val="28"/>
          <w:szCs w:val="28"/>
          <w:lang w:eastAsia="en-US"/>
        </w:rPr>
        <w:t>б</w:t>
      </w:r>
      <w:r w:rsidRPr="00520861">
        <w:rPr>
          <w:rFonts w:eastAsia="Calibri"/>
          <w:spacing w:val="-4"/>
          <w:kern w:val="28"/>
          <w:sz w:val="28"/>
          <w:szCs w:val="28"/>
          <w:lang w:eastAsia="en-US"/>
        </w:rPr>
        <w:t xml:space="preserve">). </w:t>
      </w:r>
    </w:p>
    <w:p w14:paraId="4563C875" w14:textId="77777777" w:rsidR="00CF641C" w:rsidRPr="00520861" w:rsidRDefault="00CF641C" w:rsidP="00292D2E">
      <w:pPr>
        <w:widowControl w:val="0"/>
        <w:spacing w:line="360" w:lineRule="auto"/>
        <w:ind w:firstLine="709"/>
        <w:jc w:val="both"/>
        <w:rPr>
          <w:rFonts w:eastAsia="Calibri"/>
          <w:sz w:val="28"/>
          <w:szCs w:val="28"/>
          <w:lang w:eastAsia="en-US"/>
        </w:rPr>
      </w:pP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у 12-місячних (</w:t>
      </w:r>
      <w:r w:rsidRPr="00520861">
        <w:rPr>
          <w:rFonts w:eastAsia="Calibri"/>
          <w:bCs/>
          <w:sz w:val="28"/>
          <w:szCs w:val="28"/>
          <w:lang w:eastAsia="en-US"/>
        </w:rPr>
        <w:t xml:space="preserve">рис. </w:t>
      </w:r>
      <w:r w:rsidRPr="00520861">
        <w:rPr>
          <w:rFonts w:eastAsia="Calibri"/>
          <w:bCs/>
          <w:sz w:val="28"/>
          <w:szCs w:val="28"/>
          <w:lang w:val="ru-RU" w:eastAsia="en-US"/>
        </w:rPr>
        <w:t>3.3</w:t>
      </w:r>
      <w:r w:rsidRPr="00520861">
        <w:rPr>
          <w:rFonts w:eastAsia="Calibri"/>
          <w:bCs/>
          <w:sz w:val="28"/>
          <w:szCs w:val="28"/>
          <w:lang w:eastAsia="en-US"/>
        </w:rPr>
        <w:t>6</w:t>
      </w:r>
      <w:r w:rsidRPr="00520861">
        <w:rPr>
          <w:rFonts w:eastAsia="Calibri"/>
          <w:bCs/>
          <w:i/>
          <w:sz w:val="28"/>
          <w:szCs w:val="28"/>
          <w:lang w:eastAsia="en-US"/>
        </w:rPr>
        <w:t>а</w:t>
      </w:r>
      <w:r w:rsidRPr="00520861">
        <w:rPr>
          <w:rFonts w:eastAsia="Calibri"/>
          <w:sz w:val="28"/>
          <w:szCs w:val="28"/>
          <w:lang w:eastAsia="en-US"/>
        </w:rPr>
        <w:t xml:space="preserve">) та у 18-місячних тварин груп 3 та 4 потовщена. У нижній третині коренів цемент нерівний, спостерігаються виражені, більше ніж у тварин інших груп, явища компенсаторного </w:t>
      </w:r>
      <w:proofErr w:type="spellStart"/>
      <w:r w:rsidRPr="00520861">
        <w:rPr>
          <w:rFonts w:eastAsia="Calibri"/>
          <w:sz w:val="28"/>
          <w:szCs w:val="28"/>
          <w:lang w:eastAsia="en-US"/>
        </w:rPr>
        <w:t>гіперцементозу</w:t>
      </w:r>
      <w:proofErr w:type="spellEnd"/>
      <w:r w:rsidRPr="00520861">
        <w:rPr>
          <w:rFonts w:eastAsia="Calibri"/>
          <w:sz w:val="28"/>
          <w:szCs w:val="28"/>
          <w:lang w:eastAsia="en-US"/>
        </w:rPr>
        <w:t xml:space="preserve"> </w:t>
      </w:r>
      <w:r w:rsidRPr="00520861">
        <w:rPr>
          <w:rFonts w:eastAsia="Calibri"/>
          <w:sz w:val="28"/>
          <w:szCs w:val="28"/>
          <w:lang w:eastAsia="en-US"/>
        </w:rPr>
        <w:br/>
        <w:t>(</w:t>
      </w:r>
      <w:r w:rsidRPr="00520861">
        <w:rPr>
          <w:rFonts w:eastAsia="Calibri"/>
          <w:bCs/>
          <w:sz w:val="28"/>
          <w:szCs w:val="28"/>
          <w:lang w:eastAsia="en-US"/>
        </w:rPr>
        <w:t>рис. 3.36</w:t>
      </w:r>
      <w:r w:rsidRPr="00520861">
        <w:rPr>
          <w:rFonts w:eastAsia="Calibri"/>
          <w:bCs/>
          <w:i/>
          <w:sz w:val="28"/>
          <w:szCs w:val="28"/>
          <w:lang w:eastAsia="en-US"/>
        </w:rPr>
        <w:t>а</w:t>
      </w:r>
      <w:r w:rsidRPr="00520861">
        <w:rPr>
          <w:rFonts w:eastAsia="Calibri"/>
          <w:bCs/>
          <w:sz w:val="28"/>
          <w:szCs w:val="28"/>
          <w:lang w:eastAsia="en-US"/>
        </w:rPr>
        <w:t>, 3.36</w:t>
      </w:r>
      <w:r w:rsidRPr="00520861">
        <w:rPr>
          <w:rFonts w:eastAsia="Calibri"/>
          <w:bCs/>
          <w:i/>
          <w:sz w:val="28"/>
          <w:szCs w:val="28"/>
          <w:lang w:eastAsia="en-US"/>
        </w:rPr>
        <w:t>б</w:t>
      </w:r>
      <w:r w:rsidRPr="00520861">
        <w:rPr>
          <w:rFonts w:eastAsia="Calibri"/>
          <w:sz w:val="28"/>
          <w:szCs w:val="28"/>
          <w:lang w:eastAsia="en-US"/>
        </w:rPr>
        <w:t xml:space="preserve">). </w:t>
      </w:r>
      <w:proofErr w:type="spellStart"/>
      <w:r w:rsidRPr="00520861">
        <w:rPr>
          <w:rFonts w:eastAsia="Calibri"/>
          <w:sz w:val="28"/>
          <w:szCs w:val="28"/>
          <w:lang w:eastAsia="en-US"/>
        </w:rPr>
        <w:t>Зубо</w:t>
      </w:r>
      <w:proofErr w:type="spellEnd"/>
      <w:r w:rsidRPr="00520861">
        <w:rPr>
          <w:rFonts w:eastAsia="Calibri"/>
          <w:sz w:val="28"/>
          <w:szCs w:val="28"/>
          <w:lang w:eastAsia="en-US"/>
        </w:rPr>
        <w:t>-ясенне прикріплення неушкоджене.</w:t>
      </w:r>
    </w:p>
    <w:p w14:paraId="200E10F0"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Проте у</w:t>
      </w:r>
      <w:r w:rsidRPr="00520861">
        <w:rPr>
          <w:rFonts w:eastAsia="Calibri"/>
          <w:color w:val="000000"/>
          <w:sz w:val="28"/>
          <w:szCs w:val="28"/>
          <w:lang w:eastAsia="en-US"/>
        </w:rPr>
        <w:t xml:space="preserve"> деяких тварин цієї групи </w:t>
      </w:r>
      <w:r w:rsidRPr="00520861">
        <w:rPr>
          <w:rFonts w:eastAsia="Calibri"/>
          <w:sz w:val="28"/>
          <w:szCs w:val="28"/>
          <w:lang w:eastAsia="en-US"/>
        </w:rPr>
        <w:t xml:space="preserve">кісткові балки альвеолярного відростку тонкі, з великою кількістю лакун. </w:t>
      </w:r>
    </w:p>
    <w:p w14:paraId="56AC984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drawing>
          <wp:inline distT="0" distB="0" distL="0" distR="0" wp14:anchorId="52D0436E" wp14:editId="1AB7BD96">
            <wp:extent cx="6411600" cy="2538000"/>
            <wp:effectExtent l="0" t="0" r="0" b="0"/>
            <wp:docPr id="53" name="Рисунок 53" descr="D:\тер стом\научн работа 1\дд друк\ на защиту\Маша\Рис\Рис3.3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descr="D:\тер стом\научн работа 1\дд друк\ на защиту\Маша\Рис\Рис3.37.jpg"/>
                    <pic:cNvPicPr preferRelativeResize="0">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365A0A59" w14:textId="77777777" w:rsidR="00CF641C" w:rsidRPr="00520861" w:rsidRDefault="00CF641C" w:rsidP="00292D2E">
      <w:pPr>
        <w:widowControl w:val="0"/>
        <w:spacing w:line="360" w:lineRule="auto"/>
        <w:ind w:firstLine="709"/>
        <w:jc w:val="center"/>
        <w:rPr>
          <w:rFonts w:eastAsia="Calibri"/>
          <w:sz w:val="28"/>
          <w:szCs w:val="28"/>
          <w:lang w:eastAsia="en-US"/>
        </w:rPr>
      </w:pPr>
      <w:r w:rsidRPr="00520861">
        <w:rPr>
          <w:rFonts w:eastAsia="Calibri"/>
          <w:sz w:val="28"/>
          <w:szCs w:val="28"/>
          <w:lang w:eastAsia="en-US"/>
        </w:rPr>
        <w:t xml:space="preserve">Рис. 3.35. Пародонт нижньої щелепи у межах молярів </w:t>
      </w:r>
      <w:proofErr w:type="spellStart"/>
      <w:r w:rsidRPr="00520861">
        <w:rPr>
          <w:rFonts w:eastAsia="Calibri"/>
          <w:sz w:val="28"/>
          <w:szCs w:val="28"/>
          <w:lang w:eastAsia="en-US"/>
        </w:rPr>
        <w:t>вісімнадцятимісячних</w:t>
      </w:r>
      <w:proofErr w:type="spellEnd"/>
      <w:r w:rsidRPr="00520861">
        <w:rPr>
          <w:rFonts w:eastAsia="Calibri"/>
          <w:sz w:val="28"/>
          <w:szCs w:val="28"/>
          <w:lang w:eastAsia="en-US"/>
        </w:rPr>
        <w:t xml:space="preserve"> щурів: </w:t>
      </w:r>
      <w:r w:rsidRPr="00520861">
        <w:rPr>
          <w:rFonts w:eastAsia="Calibri"/>
          <w:i/>
          <w:sz w:val="28"/>
          <w:szCs w:val="28"/>
          <w:lang w:eastAsia="en-US"/>
        </w:rPr>
        <w:t>а</w:t>
      </w:r>
      <w:r w:rsidRPr="00520861">
        <w:rPr>
          <w:rFonts w:eastAsia="Calibri"/>
          <w:sz w:val="28"/>
          <w:szCs w:val="28"/>
          <w:lang w:eastAsia="en-US"/>
        </w:rPr>
        <w:t>) – групи контролю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зв’язка, яка щільно прилягає до цементу кореня зуба, волокна </w:t>
      </w:r>
      <w:proofErr w:type="spellStart"/>
      <w:r w:rsidRPr="00520861">
        <w:rPr>
          <w:rFonts w:eastAsia="Calibri"/>
          <w:sz w:val="28"/>
          <w:szCs w:val="28"/>
          <w:lang w:eastAsia="en-US"/>
        </w:rPr>
        <w:t>періодонтa</w:t>
      </w:r>
      <w:proofErr w:type="spellEnd"/>
      <w:r w:rsidRPr="00520861">
        <w:rPr>
          <w:rFonts w:eastAsia="Calibri"/>
          <w:sz w:val="28"/>
          <w:szCs w:val="28"/>
          <w:lang w:eastAsia="en-US"/>
        </w:rPr>
        <w:t xml:space="preserve"> густо розташовані; PAS–реакція); </w:t>
      </w:r>
      <w:r w:rsidRPr="00520861">
        <w:rPr>
          <w:rFonts w:eastAsia="Calibri"/>
          <w:i/>
          <w:sz w:val="28"/>
          <w:szCs w:val="28"/>
          <w:lang w:eastAsia="en-US"/>
        </w:rPr>
        <w:t>б</w:t>
      </w:r>
      <w:r w:rsidRPr="00520861">
        <w:rPr>
          <w:rFonts w:eastAsia="Calibri"/>
          <w:sz w:val="28"/>
          <w:szCs w:val="28"/>
          <w:lang w:eastAsia="en-US"/>
        </w:rPr>
        <w:t>)</w:t>
      </w:r>
      <w:r w:rsidRPr="00520861">
        <w:rPr>
          <w:rFonts w:eastAsiaTheme="minorHAnsi"/>
          <w:sz w:val="28"/>
          <w:szCs w:val="28"/>
          <w:lang w:eastAsia="en-US"/>
        </w:rPr>
        <w:t xml:space="preserve"> – </w:t>
      </w:r>
      <w:r w:rsidRPr="00520861">
        <w:rPr>
          <w:rFonts w:eastAsia="Calibri"/>
          <w:sz w:val="28"/>
          <w:szCs w:val="28"/>
          <w:lang w:eastAsia="en-US"/>
        </w:rPr>
        <w:t xml:space="preserve">групи 2 (спостерігається «розрідження» волокон </w:t>
      </w:r>
      <w:proofErr w:type="spellStart"/>
      <w:r w:rsidRPr="00520861">
        <w:rPr>
          <w:rFonts w:eastAsia="Calibri"/>
          <w:sz w:val="28"/>
          <w:szCs w:val="28"/>
          <w:lang w:eastAsia="en-US"/>
        </w:rPr>
        <w:t>періодонту</w:t>
      </w:r>
      <w:proofErr w:type="spellEnd"/>
      <w:r w:rsidRPr="00520861">
        <w:rPr>
          <w:rFonts w:eastAsia="Calibri"/>
          <w:sz w:val="28"/>
          <w:szCs w:val="28"/>
          <w:lang w:eastAsia="en-US"/>
        </w:rPr>
        <w:t xml:space="preserve">; </w:t>
      </w:r>
      <w:r w:rsidRPr="00520861">
        <w:rPr>
          <w:rFonts w:eastAsia="Calibri"/>
          <w:sz w:val="28"/>
          <w:szCs w:val="28"/>
          <w:lang w:eastAsia="en-US"/>
        </w:rPr>
        <w:br/>
        <w:t xml:space="preserve">забарвлення гематоксиліном та еозином). Збільшення </w:t>
      </w:r>
      <w:r w:rsidRPr="00520861">
        <w:rPr>
          <w:rFonts w:eastAsia="Calibri"/>
          <w:sz w:val="28"/>
          <w:szCs w:val="28"/>
          <w:lang w:eastAsia="en-US"/>
        </w:rPr>
        <w:sym w:font="Symbol" w:char="F0B4"/>
      </w:r>
      <w:r w:rsidRPr="00520861">
        <w:rPr>
          <w:rFonts w:eastAsia="Calibri"/>
          <w:sz w:val="28"/>
          <w:szCs w:val="28"/>
          <w:lang w:eastAsia="en-US"/>
        </w:rPr>
        <w:t>100.</w:t>
      </w:r>
    </w:p>
    <w:p w14:paraId="374BC12A" w14:textId="77777777" w:rsidR="00CF641C" w:rsidRPr="00520861" w:rsidRDefault="00CF641C" w:rsidP="00292D2E">
      <w:pPr>
        <w:widowControl w:val="0"/>
        <w:spacing w:line="360" w:lineRule="auto"/>
        <w:ind w:firstLine="709"/>
        <w:jc w:val="center"/>
        <w:rPr>
          <w:rFonts w:eastAsia="Calibri"/>
          <w:sz w:val="28"/>
          <w:szCs w:val="28"/>
          <w:lang w:eastAsia="en-US"/>
        </w:rPr>
      </w:pPr>
    </w:p>
    <w:p w14:paraId="703E3103"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15F0E92E" wp14:editId="562E3A57">
            <wp:extent cx="6411600" cy="2538000"/>
            <wp:effectExtent l="0" t="0" r="0" b="0"/>
            <wp:docPr id="54" name="Рисунок 54" descr="D:\тер стом\научн работа 1\дд друк\ на защиту\Маша\Рис\Рис3.3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descr="D:\тер стом\научн работа 1\дд друк\ на защиту\Маша\Рис\Рис3.38.jpg"/>
                    <pic:cNvPicPr preferRelativeResize="0">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1CEB283E" w14:textId="77777777" w:rsidR="00CF641C" w:rsidRPr="00520861" w:rsidRDefault="00CF641C" w:rsidP="00292D2E">
      <w:pPr>
        <w:widowControl w:val="0"/>
        <w:spacing w:line="360" w:lineRule="auto"/>
        <w:ind w:firstLine="709"/>
        <w:jc w:val="center"/>
        <w:rPr>
          <w:rFonts w:eastAsia="Calibri"/>
          <w:sz w:val="28"/>
          <w:szCs w:val="28"/>
          <w:lang w:eastAsia="en-US"/>
        </w:rPr>
      </w:pPr>
      <w:r w:rsidRPr="00520861">
        <w:rPr>
          <w:rFonts w:eastAsia="Calibri"/>
          <w:sz w:val="28"/>
          <w:szCs w:val="28"/>
          <w:lang w:eastAsia="en-US"/>
        </w:rPr>
        <w:t xml:space="preserve">Рис. 3.36. </w:t>
      </w:r>
      <w:r w:rsidRPr="00520861">
        <w:rPr>
          <w:rFonts w:eastAsia="Calibri"/>
          <w:i/>
          <w:sz w:val="28"/>
          <w:szCs w:val="28"/>
          <w:lang w:eastAsia="en-US"/>
        </w:rPr>
        <w:t>а</w:t>
      </w:r>
      <w:r w:rsidRPr="00520861">
        <w:rPr>
          <w:rFonts w:eastAsia="Calibri"/>
          <w:sz w:val="28"/>
          <w:szCs w:val="28"/>
          <w:lang w:eastAsia="en-US"/>
        </w:rPr>
        <w:t xml:space="preserve">) – пульпа моляра нижньої щелепи та пародонт нижньої щелепи у межах молярів </w:t>
      </w:r>
      <w:proofErr w:type="spellStart"/>
      <w:r w:rsidRPr="00520861">
        <w:rPr>
          <w:rFonts w:eastAsia="Calibri"/>
          <w:sz w:val="28"/>
          <w:szCs w:val="28"/>
          <w:lang w:eastAsia="en-US"/>
        </w:rPr>
        <w:t>дванадцятимісячного</w:t>
      </w:r>
      <w:proofErr w:type="spellEnd"/>
      <w:r w:rsidRPr="00520861">
        <w:rPr>
          <w:rFonts w:eastAsia="Calibri"/>
          <w:sz w:val="28"/>
          <w:szCs w:val="28"/>
          <w:lang w:eastAsia="en-US"/>
        </w:rPr>
        <w:t xml:space="preserve"> щура групи 3 (спостерігається компенсаторний </w:t>
      </w:r>
      <w:proofErr w:type="spellStart"/>
      <w:r w:rsidRPr="00520861">
        <w:rPr>
          <w:rFonts w:eastAsia="Calibri"/>
          <w:sz w:val="28"/>
          <w:szCs w:val="28"/>
          <w:lang w:eastAsia="en-US"/>
        </w:rPr>
        <w:t>гіперцементоз</w:t>
      </w:r>
      <w:proofErr w:type="spellEnd"/>
      <w:r w:rsidRPr="00520861">
        <w:rPr>
          <w:rFonts w:eastAsia="Calibri"/>
          <w:sz w:val="28"/>
          <w:szCs w:val="28"/>
          <w:lang w:eastAsia="en-US"/>
        </w:rPr>
        <w:t xml:space="preserve"> (↨)); </w:t>
      </w:r>
      <w:r w:rsidRPr="00520861">
        <w:rPr>
          <w:rFonts w:eastAsia="Calibri"/>
          <w:i/>
          <w:sz w:val="28"/>
          <w:szCs w:val="28"/>
          <w:lang w:eastAsia="en-US"/>
        </w:rPr>
        <w:t>б</w:t>
      </w:r>
      <w:r w:rsidRPr="00520861">
        <w:rPr>
          <w:rFonts w:eastAsia="Calibri"/>
          <w:sz w:val="28"/>
          <w:szCs w:val="28"/>
          <w:lang w:eastAsia="en-US"/>
        </w:rPr>
        <w:t>)</w:t>
      </w:r>
      <w:r w:rsidRPr="00520861">
        <w:rPr>
          <w:rFonts w:eastAsiaTheme="minorHAnsi"/>
          <w:sz w:val="28"/>
          <w:szCs w:val="28"/>
          <w:lang w:eastAsia="en-US"/>
        </w:rPr>
        <w:t xml:space="preserve"> – ділянка </w:t>
      </w:r>
      <w:r w:rsidRPr="00520861">
        <w:rPr>
          <w:rFonts w:eastAsia="Calibri"/>
          <w:sz w:val="28"/>
          <w:szCs w:val="28"/>
          <w:lang w:eastAsia="en-US"/>
        </w:rPr>
        <w:t xml:space="preserve">альвеолярного відростку нижньої щелепи </w:t>
      </w:r>
      <w:proofErr w:type="spellStart"/>
      <w:r w:rsidRPr="00520861">
        <w:rPr>
          <w:rFonts w:eastAsia="Calibri"/>
          <w:sz w:val="28"/>
          <w:szCs w:val="28"/>
          <w:lang w:eastAsia="en-US"/>
        </w:rPr>
        <w:t>вісімнадцятимісячного</w:t>
      </w:r>
      <w:proofErr w:type="spellEnd"/>
      <w:r w:rsidRPr="00520861">
        <w:rPr>
          <w:rFonts w:eastAsia="Calibri"/>
          <w:sz w:val="28"/>
          <w:szCs w:val="28"/>
          <w:lang w:eastAsia="en-US"/>
        </w:rPr>
        <w:t xml:space="preserve"> щура групи 4 (спостерігається розширена </w:t>
      </w:r>
      <w:proofErr w:type="spellStart"/>
      <w:r w:rsidRPr="00520861">
        <w:rPr>
          <w:rFonts w:eastAsia="Calibri"/>
          <w:sz w:val="28"/>
          <w:szCs w:val="28"/>
          <w:lang w:eastAsia="en-US"/>
        </w:rPr>
        <w:t>періодонтальна</w:t>
      </w:r>
      <w:proofErr w:type="spellEnd"/>
      <w:r w:rsidRPr="00520861">
        <w:rPr>
          <w:rFonts w:eastAsia="Calibri"/>
          <w:sz w:val="28"/>
          <w:szCs w:val="28"/>
          <w:lang w:eastAsia="en-US"/>
        </w:rPr>
        <w:t xml:space="preserve"> щілина, компенсаторний </w:t>
      </w:r>
      <w:proofErr w:type="spellStart"/>
      <w:r w:rsidRPr="00520861">
        <w:rPr>
          <w:rFonts w:eastAsia="Calibri"/>
          <w:sz w:val="28"/>
          <w:szCs w:val="28"/>
          <w:lang w:eastAsia="en-US"/>
        </w:rPr>
        <w:t>гіперцементоз</w:t>
      </w:r>
      <w:proofErr w:type="spellEnd"/>
      <w:r w:rsidRPr="00520861">
        <w:rPr>
          <w:rFonts w:eastAsia="Calibri"/>
          <w:sz w:val="28"/>
          <w:szCs w:val="28"/>
          <w:lang w:eastAsia="en-US"/>
        </w:rPr>
        <w:t xml:space="preserve"> (О)). Забарвлення: </w:t>
      </w:r>
      <w:r w:rsidRPr="00520861">
        <w:rPr>
          <w:rFonts w:eastAsia="Calibri"/>
          <w:i/>
          <w:sz w:val="28"/>
          <w:szCs w:val="28"/>
          <w:lang w:eastAsia="en-US"/>
        </w:rPr>
        <w:t>а</w:t>
      </w:r>
      <w:r w:rsidRPr="00520861">
        <w:rPr>
          <w:rFonts w:eastAsia="Calibri"/>
          <w:sz w:val="28"/>
          <w:szCs w:val="28"/>
          <w:lang w:eastAsia="en-US"/>
        </w:rPr>
        <w:t xml:space="preserve">) –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збільшення </w:t>
      </w:r>
      <w:r w:rsidRPr="00520861">
        <w:rPr>
          <w:rFonts w:eastAsia="Calibri"/>
          <w:sz w:val="28"/>
          <w:szCs w:val="28"/>
          <w:lang w:eastAsia="en-US"/>
        </w:rPr>
        <w:sym w:font="Symbol" w:char="F0B4"/>
      </w:r>
      <w:r w:rsidRPr="00520861">
        <w:rPr>
          <w:rFonts w:eastAsia="Calibri"/>
          <w:sz w:val="28"/>
          <w:szCs w:val="28"/>
          <w:lang w:eastAsia="en-US"/>
        </w:rPr>
        <w:t xml:space="preserve">100; </w:t>
      </w:r>
      <w:r w:rsidRPr="00520861">
        <w:rPr>
          <w:rFonts w:eastAsia="Calibri"/>
          <w:i/>
          <w:sz w:val="28"/>
          <w:szCs w:val="28"/>
          <w:lang w:eastAsia="en-US"/>
        </w:rPr>
        <w:t>б</w:t>
      </w:r>
      <w:r w:rsidRPr="00520861">
        <w:rPr>
          <w:rFonts w:eastAsia="Calibri"/>
          <w:sz w:val="28"/>
          <w:szCs w:val="28"/>
          <w:lang w:eastAsia="en-US"/>
        </w:rPr>
        <w:t xml:space="preserve">) – гематоксиліном та еозином; збільшення </w:t>
      </w:r>
      <w:r w:rsidRPr="00520861">
        <w:rPr>
          <w:rFonts w:eastAsia="Calibri"/>
          <w:sz w:val="28"/>
          <w:szCs w:val="28"/>
          <w:lang w:eastAsia="en-US"/>
        </w:rPr>
        <w:sym w:font="Symbol" w:char="F0B4"/>
      </w:r>
      <w:r w:rsidRPr="00520861">
        <w:rPr>
          <w:rFonts w:eastAsia="Calibri"/>
          <w:sz w:val="28"/>
          <w:szCs w:val="28"/>
          <w:lang w:eastAsia="en-US"/>
        </w:rPr>
        <w:t>50.</w:t>
      </w:r>
    </w:p>
    <w:p w14:paraId="04739896" w14:textId="77777777" w:rsidR="00CF641C" w:rsidRPr="00520861" w:rsidRDefault="00CF641C" w:rsidP="00292D2E">
      <w:pPr>
        <w:widowControl w:val="0"/>
        <w:spacing w:line="360" w:lineRule="auto"/>
        <w:ind w:firstLine="709"/>
        <w:jc w:val="center"/>
        <w:rPr>
          <w:rFonts w:eastAsia="Calibri"/>
          <w:sz w:val="28"/>
          <w:szCs w:val="28"/>
          <w:lang w:eastAsia="en-US"/>
        </w:rPr>
      </w:pPr>
    </w:p>
    <w:p w14:paraId="61B15F99"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sz w:val="28"/>
          <w:szCs w:val="28"/>
          <w:lang w:eastAsia="en-US"/>
        </w:rPr>
        <w:t xml:space="preserve">Оптична густина кісткової тканини у тварин віком 12 та 18 місяців при постановці </w:t>
      </w:r>
      <w:r w:rsidRPr="00520861">
        <w:rPr>
          <w:rFonts w:eastAsia="Calibri"/>
          <w:color w:val="000000"/>
          <w:sz w:val="28"/>
          <w:szCs w:val="28"/>
          <w:lang w:eastAsia="en-US"/>
        </w:rPr>
        <w:t xml:space="preserve">PAS–реакції, вірогідно менша за таку у тварин контрольної групи, проте більша серед усіх тварин, які народилися </w:t>
      </w:r>
      <w:proofErr w:type="spellStart"/>
      <w:r w:rsidRPr="00520861">
        <w:rPr>
          <w:rFonts w:eastAsia="Calibri"/>
          <w:color w:val="000000"/>
          <w:sz w:val="28"/>
          <w:szCs w:val="28"/>
          <w:lang w:eastAsia="en-US"/>
        </w:rPr>
        <w:t>макросомами</w:t>
      </w:r>
      <w:proofErr w:type="spellEnd"/>
      <w:r w:rsidRPr="00520861">
        <w:rPr>
          <w:rFonts w:eastAsia="Calibri"/>
          <w:color w:val="000000"/>
          <w:sz w:val="28"/>
          <w:szCs w:val="28"/>
          <w:lang w:eastAsia="en-US"/>
        </w:rPr>
        <w:t xml:space="preserve"> (табл. 3.21). У </w:t>
      </w:r>
      <w:r w:rsidRPr="00520861">
        <w:rPr>
          <w:rFonts w:eastAsia="Calibri"/>
          <w:sz w:val="28"/>
          <w:szCs w:val="28"/>
          <w:lang w:eastAsia="en-US"/>
        </w:rPr>
        <w:t>18-місячних</w:t>
      </w:r>
      <w:r w:rsidRPr="00520861">
        <w:rPr>
          <w:rFonts w:eastAsia="Calibri"/>
          <w:color w:val="000000"/>
          <w:sz w:val="28"/>
          <w:szCs w:val="28"/>
          <w:lang w:eastAsia="en-US"/>
        </w:rPr>
        <w:t xml:space="preserve"> тварин цієї групи спостерігається </w:t>
      </w:r>
      <w:r w:rsidRPr="00520861">
        <w:rPr>
          <w:rFonts w:eastAsia="Calibri"/>
          <w:bCs/>
          <w:color w:val="000000"/>
          <w:sz w:val="28"/>
          <w:szCs w:val="28"/>
          <w:lang w:eastAsia="en-US"/>
        </w:rPr>
        <w:t xml:space="preserve">розвинена </w:t>
      </w:r>
      <w:proofErr w:type="spellStart"/>
      <w:r w:rsidRPr="00520861">
        <w:rPr>
          <w:rFonts w:eastAsia="Calibri"/>
          <w:bCs/>
          <w:color w:val="000000"/>
          <w:sz w:val="28"/>
          <w:szCs w:val="28"/>
          <w:lang w:eastAsia="en-US"/>
        </w:rPr>
        <w:t>васкуляризація</w:t>
      </w:r>
      <w:proofErr w:type="spellEnd"/>
      <w:r w:rsidRPr="00520861">
        <w:rPr>
          <w:rFonts w:eastAsiaTheme="minorHAnsi"/>
          <w:sz w:val="28"/>
          <w:szCs w:val="28"/>
          <w:lang w:eastAsia="en-US"/>
        </w:rPr>
        <w:t xml:space="preserve"> </w:t>
      </w:r>
      <w:r w:rsidRPr="00520861">
        <w:rPr>
          <w:rFonts w:eastAsia="Calibri"/>
          <w:bCs/>
          <w:color w:val="000000"/>
          <w:sz w:val="28"/>
          <w:szCs w:val="28"/>
          <w:lang w:eastAsia="en-US"/>
        </w:rPr>
        <w:t xml:space="preserve">альвеолярних кісток нижньої щелепи </w:t>
      </w:r>
      <w:r w:rsidRPr="00520861">
        <w:rPr>
          <w:rFonts w:eastAsia="Calibri"/>
          <w:sz w:val="28"/>
          <w:szCs w:val="28"/>
          <w:lang w:eastAsia="en-US"/>
        </w:rPr>
        <w:t>(рис. 3.37</w:t>
      </w:r>
      <w:r w:rsidRPr="00520861">
        <w:rPr>
          <w:rFonts w:eastAsia="Calibri"/>
          <w:i/>
          <w:sz w:val="28"/>
          <w:szCs w:val="28"/>
          <w:lang w:eastAsia="en-US"/>
        </w:rPr>
        <w:t>а</w:t>
      </w:r>
      <w:r w:rsidRPr="00520861">
        <w:rPr>
          <w:rFonts w:eastAsia="Calibri"/>
          <w:sz w:val="28"/>
          <w:szCs w:val="28"/>
          <w:lang w:eastAsia="en-US"/>
        </w:rPr>
        <w:t>)</w:t>
      </w:r>
      <w:r w:rsidRPr="00520861">
        <w:rPr>
          <w:rFonts w:eastAsia="Calibri"/>
          <w:bCs/>
          <w:color w:val="000000"/>
          <w:sz w:val="28"/>
          <w:szCs w:val="28"/>
          <w:lang w:eastAsia="en-US"/>
        </w:rPr>
        <w:t xml:space="preserve">. </w:t>
      </w:r>
      <w:r w:rsidRPr="00520861">
        <w:rPr>
          <w:rFonts w:eastAsia="Calibri"/>
          <w:sz w:val="28"/>
          <w:szCs w:val="28"/>
          <w:lang w:eastAsia="en-US"/>
        </w:rPr>
        <w:t>Кісткові балки різного ступеня щільності, мають місце як світлі ділянки, так і темні (рис. 3.37</w:t>
      </w:r>
      <w:r w:rsidRPr="00520861">
        <w:rPr>
          <w:rFonts w:eastAsia="Calibri"/>
          <w:i/>
          <w:sz w:val="28"/>
          <w:szCs w:val="28"/>
          <w:lang w:eastAsia="en-US"/>
        </w:rPr>
        <w:t>б</w:t>
      </w:r>
      <w:r w:rsidRPr="00520861">
        <w:rPr>
          <w:rFonts w:eastAsia="Calibri"/>
          <w:sz w:val="28"/>
          <w:szCs w:val="28"/>
          <w:lang w:eastAsia="en-US"/>
        </w:rPr>
        <w:t>).</w:t>
      </w:r>
      <w:r w:rsidRPr="00520861">
        <w:rPr>
          <w:rFonts w:eastAsia="Calibri"/>
          <w:color w:val="000000"/>
          <w:sz w:val="28"/>
          <w:szCs w:val="28"/>
          <w:lang w:eastAsia="en-US"/>
        </w:rPr>
        <w:t xml:space="preserve"> Стан кісткової тканини альвеолярного відростка тварин</w:t>
      </w:r>
      <w:r w:rsidRPr="00520861">
        <w:rPr>
          <w:rFonts w:eastAsia="Calibri"/>
          <w:color w:val="FF0000"/>
          <w:sz w:val="28"/>
          <w:szCs w:val="28"/>
          <w:lang w:eastAsia="en-US"/>
        </w:rPr>
        <w:t xml:space="preserve"> </w:t>
      </w:r>
      <w:r w:rsidRPr="00520861">
        <w:rPr>
          <w:rFonts w:eastAsia="Calibri"/>
          <w:color w:val="000000"/>
          <w:sz w:val="28"/>
          <w:szCs w:val="28"/>
          <w:lang w:eastAsia="en-US"/>
        </w:rPr>
        <w:t>групи 1 схожий на такий у групі 2.</w:t>
      </w:r>
    </w:p>
    <w:p w14:paraId="6CAD57C2" w14:textId="77777777" w:rsidR="00CF641C" w:rsidRPr="00520861" w:rsidRDefault="00CF641C" w:rsidP="00292D2E">
      <w:pPr>
        <w:widowControl w:val="0"/>
        <w:spacing w:line="360" w:lineRule="auto"/>
        <w:ind w:firstLine="709"/>
        <w:jc w:val="both"/>
        <w:rPr>
          <w:rFonts w:eastAsia="Calibri"/>
          <w:color w:val="000000"/>
          <w:sz w:val="28"/>
          <w:szCs w:val="28"/>
          <w:lang w:eastAsia="en-US"/>
        </w:rPr>
      </w:pPr>
      <w:r w:rsidRPr="00520861">
        <w:rPr>
          <w:rFonts w:eastAsia="Calibri"/>
          <w:sz w:val="28"/>
          <w:szCs w:val="28"/>
          <w:lang w:eastAsia="en-US"/>
        </w:rPr>
        <w:t xml:space="preserve">І якщо у віці 12 місяців уміст органіки в кістковій тканині при постановці </w:t>
      </w:r>
      <w:r w:rsidRPr="00520861">
        <w:rPr>
          <w:rFonts w:eastAsia="Calibri"/>
          <w:color w:val="000000"/>
          <w:sz w:val="28"/>
          <w:szCs w:val="28"/>
          <w:lang w:eastAsia="en-US"/>
        </w:rPr>
        <w:t xml:space="preserve">PAS–реакції у цих тварин </w:t>
      </w:r>
      <w:r w:rsidRPr="00520861">
        <w:rPr>
          <w:rFonts w:eastAsia="Calibri"/>
          <w:sz w:val="28"/>
          <w:szCs w:val="28"/>
          <w:lang w:eastAsia="en-US"/>
        </w:rPr>
        <w:t xml:space="preserve">був зіставним з контрольним </w:t>
      </w:r>
      <w:r w:rsidRPr="00520861">
        <w:rPr>
          <w:rFonts w:eastAsia="Calibri"/>
          <w:color w:val="000000"/>
          <w:sz w:val="28"/>
          <w:szCs w:val="28"/>
          <w:lang w:eastAsia="en-US"/>
        </w:rPr>
        <w:t>(</w:t>
      </w:r>
      <w:r w:rsidRPr="00520861">
        <w:rPr>
          <w:rFonts w:eastAsia="Calibri"/>
          <w:bCs/>
          <w:color w:val="000000"/>
          <w:sz w:val="28"/>
          <w:szCs w:val="28"/>
          <w:lang w:eastAsia="en-US"/>
        </w:rPr>
        <w:t>табл. 3.21</w:t>
      </w:r>
      <w:r w:rsidRPr="00520861">
        <w:rPr>
          <w:rFonts w:eastAsia="Calibri"/>
          <w:color w:val="000000"/>
          <w:sz w:val="28"/>
          <w:szCs w:val="28"/>
          <w:lang w:eastAsia="en-US"/>
        </w:rPr>
        <w:t>)</w:t>
      </w:r>
      <w:r w:rsidRPr="00520861">
        <w:rPr>
          <w:rFonts w:eastAsia="Calibri"/>
          <w:sz w:val="28"/>
          <w:szCs w:val="28"/>
          <w:lang w:eastAsia="en-US"/>
        </w:rPr>
        <w:t xml:space="preserve">, то при старінні цей показник знижується у зв’язку з появою фокальних ділянок зниження </w:t>
      </w:r>
      <w:proofErr w:type="spellStart"/>
      <w:r w:rsidRPr="00520861">
        <w:rPr>
          <w:rFonts w:eastAsia="Calibri"/>
          <w:sz w:val="28"/>
          <w:szCs w:val="28"/>
          <w:lang w:eastAsia="en-US"/>
        </w:rPr>
        <w:t>фуксинофілії</w:t>
      </w:r>
      <w:proofErr w:type="spellEnd"/>
      <w:r w:rsidRPr="00520861">
        <w:rPr>
          <w:rFonts w:eastAsia="Calibri"/>
          <w:sz w:val="28"/>
          <w:szCs w:val="28"/>
          <w:lang w:eastAsia="en-US"/>
        </w:rPr>
        <w:t>.</w:t>
      </w:r>
    </w:p>
    <w:p w14:paraId="510C8BE3" w14:textId="77777777" w:rsidR="00CF641C" w:rsidRPr="00520861" w:rsidRDefault="00CF641C" w:rsidP="00292D2E">
      <w:pPr>
        <w:widowControl w:val="0"/>
        <w:spacing w:line="360" w:lineRule="auto"/>
        <w:ind w:firstLine="709"/>
        <w:jc w:val="both"/>
        <w:rPr>
          <w:rFonts w:eastAsia="Calibri"/>
          <w:color w:val="000000"/>
          <w:spacing w:val="-4"/>
          <w:sz w:val="28"/>
          <w:szCs w:val="28"/>
          <w:lang w:eastAsia="en-US"/>
        </w:rPr>
      </w:pPr>
      <w:r w:rsidRPr="00520861">
        <w:rPr>
          <w:rFonts w:eastAsia="Calibri"/>
          <w:color w:val="000000"/>
          <w:sz w:val="28"/>
          <w:szCs w:val="28"/>
          <w:lang w:eastAsia="en-US"/>
        </w:rPr>
        <w:t xml:space="preserve">У </w:t>
      </w:r>
      <w:r w:rsidRPr="00520861">
        <w:rPr>
          <w:rFonts w:eastAsia="Calibri"/>
          <w:sz w:val="28"/>
          <w:szCs w:val="28"/>
          <w:lang w:eastAsia="en-US"/>
        </w:rPr>
        <w:t xml:space="preserve">12-місячних і 18-місячних </w:t>
      </w:r>
      <w:r w:rsidRPr="00520861">
        <w:rPr>
          <w:rFonts w:eastAsia="Calibri"/>
          <w:color w:val="000000"/>
          <w:sz w:val="28"/>
          <w:szCs w:val="28"/>
          <w:lang w:eastAsia="en-US"/>
        </w:rPr>
        <w:t xml:space="preserve">щурів групи 3 </w:t>
      </w:r>
      <w:r w:rsidRPr="00520861">
        <w:rPr>
          <w:rFonts w:eastAsia="Calibri"/>
          <w:sz w:val="28"/>
          <w:szCs w:val="28"/>
          <w:lang w:eastAsia="en-US"/>
        </w:rPr>
        <w:t xml:space="preserve">кісткові балки немасивні, спостерігається мала кількість остеобластів, знижена </w:t>
      </w:r>
      <w:proofErr w:type="spellStart"/>
      <w:r w:rsidRPr="00520861">
        <w:rPr>
          <w:rFonts w:eastAsia="Calibri"/>
          <w:sz w:val="28"/>
          <w:szCs w:val="28"/>
          <w:lang w:eastAsia="en-US"/>
        </w:rPr>
        <w:t>васкуляризація</w:t>
      </w:r>
      <w:proofErr w:type="spellEnd"/>
      <w:r w:rsidRPr="00520861">
        <w:rPr>
          <w:rFonts w:eastAsia="Calibri"/>
          <w:sz w:val="28"/>
          <w:szCs w:val="28"/>
          <w:lang w:eastAsia="en-US"/>
        </w:rPr>
        <w:t xml:space="preserve">. </w:t>
      </w:r>
      <w:r w:rsidRPr="00520861">
        <w:rPr>
          <w:rFonts w:eastAsia="Calibri"/>
          <w:color w:val="000000"/>
          <w:sz w:val="28"/>
          <w:szCs w:val="28"/>
          <w:lang w:eastAsia="en-US"/>
        </w:rPr>
        <w:t xml:space="preserve">У тварин цієї групи значення оптичної густини кісткової тканини (PAS–реакція) є вірогідно нижчими за </w:t>
      </w:r>
      <w:r w:rsidRPr="00520861">
        <w:rPr>
          <w:rFonts w:eastAsia="Calibri"/>
          <w:color w:val="000000"/>
          <w:sz w:val="28"/>
          <w:szCs w:val="28"/>
          <w:lang w:eastAsia="en-US"/>
        </w:rPr>
        <w:br/>
        <w:t>контрольні (</w:t>
      </w:r>
      <w:r w:rsidRPr="00520861">
        <w:rPr>
          <w:rFonts w:eastAsia="Calibri"/>
          <w:bCs/>
          <w:color w:val="000000"/>
          <w:sz w:val="28"/>
          <w:szCs w:val="28"/>
          <w:lang w:eastAsia="en-US"/>
        </w:rPr>
        <w:t>табл. 3.21</w:t>
      </w:r>
      <w:r w:rsidRPr="00520861">
        <w:rPr>
          <w:rFonts w:eastAsia="Calibri"/>
          <w:color w:val="000000"/>
          <w:sz w:val="28"/>
          <w:szCs w:val="28"/>
          <w:lang w:eastAsia="en-US"/>
        </w:rPr>
        <w:t>).</w:t>
      </w:r>
      <w:r w:rsidRPr="00520861">
        <w:rPr>
          <w:rFonts w:eastAsia="Calibri"/>
          <w:sz w:val="28"/>
          <w:szCs w:val="28"/>
          <w:lang w:eastAsia="en-US"/>
        </w:rPr>
        <w:t xml:space="preserve"> </w:t>
      </w:r>
      <w:r w:rsidRPr="00520861">
        <w:rPr>
          <w:rFonts w:eastAsia="Calibri"/>
          <w:color w:val="000000"/>
          <w:sz w:val="28"/>
          <w:szCs w:val="28"/>
          <w:lang w:eastAsia="en-US"/>
        </w:rPr>
        <w:t xml:space="preserve">Як і у тварин групи 3, у тварин групи 4 спостерігалася мала </w:t>
      </w:r>
      <w:r w:rsidRPr="00520861">
        <w:rPr>
          <w:rFonts w:eastAsia="Calibri"/>
          <w:color w:val="000000"/>
          <w:sz w:val="28"/>
          <w:szCs w:val="28"/>
          <w:lang w:eastAsia="en-US"/>
        </w:rPr>
        <w:lastRenderedPageBreak/>
        <w:t>кількість судин та низька оптична густина кісткової тканини.</w:t>
      </w:r>
      <w:r w:rsidRPr="00520861">
        <w:rPr>
          <w:rFonts w:eastAsia="Calibri"/>
          <w:color w:val="000000"/>
          <w:spacing w:val="-4"/>
          <w:sz w:val="28"/>
          <w:szCs w:val="28"/>
          <w:lang w:eastAsia="en-US"/>
        </w:rPr>
        <w:t xml:space="preserve"> </w:t>
      </w:r>
      <w:r w:rsidRPr="00520861">
        <w:rPr>
          <w:rFonts w:eastAsia="Calibri"/>
          <w:sz w:val="28"/>
          <w:szCs w:val="28"/>
          <w:lang w:eastAsia="en-US"/>
        </w:rPr>
        <w:t xml:space="preserve">Отже, у тварин груп 3 та 4 були гірша </w:t>
      </w:r>
      <w:proofErr w:type="spellStart"/>
      <w:r w:rsidRPr="00520861">
        <w:rPr>
          <w:rFonts w:eastAsia="Calibri"/>
          <w:sz w:val="28"/>
          <w:szCs w:val="28"/>
          <w:lang w:eastAsia="en-US"/>
        </w:rPr>
        <w:t>васкуляризація</w:t>
      </w:r>
      <w:proofErr w:type="spellEnd"/>
      <w:r w:rsidRPr="00520861">
        <w:rPr>
          <w:rFonts w:eastAsia="Calibri"/>
          <w:sz w:val="28"/>
          <w:szCs w:val="28"/>
          <w:lang w:eastAsia="en-US"/>
        </w:rPr>
        <w:t xml:space="preserve"> пульпи, менший середній розмір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і більший ступінь атрофії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ніж у групах 1 і 2 та у контролі. </w:t>
      </w:r>
    </w:p>
    <w:p w14:paraId="695F583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noProof/>
          <w:sz w:val="28"/>
          <w:szCs w:val="28"/>
          <w:lang w:val="ru-RU"/>
        </w:rPr>
        <w:drawing>
          <wp:inline distT="0" distB="0" distL="0" distR="0" wp14:anchorId="4680F106" wp14:editId="5BAB4FB7">
            <wp:extent cx="6411600" cy="2538000"/>
            <wp:effectExtent l="0" t="0" r="0" b="0"/>
            <wp:docPr id="55" name="Рисунок 55" descr="D:\тер стом\научн работа 1\дд друк\ на защиту\Маша\Рис\Рис3.3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D:\тер стом\научн работа 1\дд друк\ на защиту\Маша\Рис\Рис3.39.jpg"/>
                    <pic:cNvPicPr preferRelativeResize="0">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411600" cy="2538000"/>
                    </a:xfrm>
                    <a:prstGeom prst="rect">
                      <a:avLst/>
                    </a:prstGeom>
                    <a:noFill/>
                    <a:ln>
                      <a:noFill/>
                    </a:ln>
                  </pic:spPr>
                </pic:pic>
              </a:graphicData>
            </a:graphic>
          </wp:inline>
        </w:drawing>
      </w:r>
    </w:p>
    <w:p w14:paraId="09C7D3CE" w14:textId="77777777" w:rsidR="00CF641C" w:rsidRPr="00520861" w:rsidRDefault="00CF641C" w:rsidP="00292D2E">
      <w:pPr>
        <w:widowControl w:val="0"/>
        <w:spacing w:line="360" w:lineRule="auto"/>
        <w:ind w:firstLine="709"/>
        <w:jc w:val="center"/>
        <w:rPr>
          <w:rFonts w:eastAsia="Calibri"/>
          <w:bCs/>
          <w:sz w:val="28"/>
          <w:szCs w:val="28"/>
          <w:lang w:eastAsia="en-US"/>
        </w:rPr>
      </w:pPr>
      <w:r w:rsidRPr="00520861">
        <w:rPr>
          <w:rFonts w:eastAsia="Calibri"/>
          <w:sz w:val="28"/>
          <w:szCs w:val="28"/>
          <w:lang w:eastAsia="en-US"/>
        </w:rPr>
        <w:t>Рис. 3.37.</w:t>
      </w:r>
      <w:r w:rsidRPr="00520861">
        <w:rPr>
          <w:rFonts w:eastAsia="Calibri"/>
          <w:b/>
          <w:sz w:val="28"/>
          <w:szCs w:val="28"/>
          <w:lang w:eastAsia="en-US"/>
        </w:rPr>
        <w:t xml:space="preserve"> </w:t>
      </w:r>
      <w:r w:rsidRPr="00520861">
        <w:rPr>
          <w:rFonts w:eastAsia="Calibri"/>
          <w:bCs/>
          <w:sz w:val="28"/>
          <w:szCs w:val="28"/>
          <w:lang w:eastAsia="en-US"/>
        </w:rPr>
        <w:t>Альвеолярна кістка нижньої щелепи у межах молярів 12-місячного щура групи 2:</w:t>
      </w:r>
      <w:r w:rsidRPr="00520861">
        <w:rPr>
          <w:rFonts w:eastAsia="Calibri"/>
          <w:b/>
          <w:sz w:val="28"/>
          <w:szCs w:val="28"/>
          <w:lang w:eastAsia="en-US"/>
        </w:rPr>
        <w:t xml:space="preserve"> </w:t>
      </w:r>
      <w:r w:rsidRPr="00520861">
        <w:rPr>
          <w:rFonts w:eastAsia="Calibri"/>
          <w:i/>
          <w:sz w:val="28"/>
          <w:szCs w:val="28"/>
          <w:lang w:eastAsia="en-US"/>
        </w:rPr>
        <w:t>а</w:t>
      </w:r>
      <w:r w:rsidRPr="00520861">
        <w:rPr>
          <w:rFonts w:eastAsia="Calibri"/>
          <w:sz w:val="28"/>
          <w:szCs w:val="28"/>
          <w:lang w:eastAsia="en-US"/>
        </w:rPr>
        <w:t xml:space="preserve">) </w:t>
      </w:r>
      <w:r w:rsidRPr="00520861">
        <w:rPr>
          <w:rFonts w:eastAsia="Calibri"/>
          <w:bCs/>
          <w:sz w:val="28"/>
          <w:szCs w:val="28"/>
          <w:lang w:eastAsia="en-US"/>
        </w:rPr>
        <w:t xml:space="preserve">– розвинена </w:t>
      </w:r>
      <w:proofErr w:type="spellStart"/>
      <w:r w:rsidRPr="00520861">
        <w:rPr>
          <w:rFonts w:eastAsia="Calibri"/>
          <w:bCs/>
          <w:sz w:val="28"/>
          <w:szCs w:val="28"/>
          <w:lang w:eastAsia="en-US"/>
        </w:rPr>
        <w:t>васкуляризація</w:t>
      </w:r>
      <w:proofErr w:type="spellEnd"/>
      <w:r w:rsidRPr="00520861">
        <w:rPr>
          <w:rFonts w:eastAsia="Calibri"/>
          <w:bCs/>
          <w:sz w:val="28"/>
          <w:szCs w:val="28"/>
          <w:lang w:eastAsia="en-US"/>
        </w:rPr>
        <w:t xml:space="preserve"> (забарвлення гематоксиліном та еозином; збільшення </w:t>
      </w:r>
      <w:r w:rsidRPr="00520861">
        <w:rPr>
          <w:rFonts w:eastAsia="Calibri"/>
          <w:sz w:val="28"/>
          <w:szCs w:val="28"/>
          <w:lang w:eastAsia="en-US"/>
        </w:rPr>
        <w:sym w:font="Symbol" w:char="F0B4"/>
      </w:r>
      <w:r w:rsidRPr="00520861">
        <w:rPr>
          <w:rFonts w:eastAsia="Calibri"/>
          <w:bCs/>
          <w:sz w:val="28"/>
          <w:szCs w:val="28"/>
          <w:lang w:eastAsia="en-US"/>
        </w:rPr>
        <w:t xml:space="preserve">400); </w:t>
      </w:r>
      <w:r w:rsidRPr="00520861">
        <w:rPr>
          <w:rFonts w:eastAsia="Calibri"/>
          <w:bCs/>
          <w:i/>
          <w:sz w:val="28"/>
          <w:szCs w:val="28"/>
          <w:lang w:eastAsia="en-US"/>
        </w:rPr>
        <w:t>б</w:t>
      </w:r>
      <w:r w:rsidRPr="00520861">
        <w:rPr>
          <w:rFonts w:eastAsia="Calibri"/>
          <w:bCs/>
          <w:sz w:val="28"/>
          <w:szCs w:val="28"/>
          <w:lang w:eastAsia="en-US"/>
        </w:rPr>
        <w:t>)</w:t>
      </w:r>
      <w:r w:rsidRPr="00520861">
        <w:rPr>
          <w:rFonts w:eastAsiaTheme="minorHAnsi"/>
          <w:sz w:val="28"/>
          <w:szCs w:val="28"/>
          <w:lang w:eastAsia="en-US"/>
        </w:rPr>
        <w:t xml:space="preserve"> </w:t>
      </w:r>
      <w:r w:rsidRPr="00520861">
        <w:rPr>
          <w:rFonts w:eastAsia="Calibri"/>
          <w:bCs/>
          <w:sz w:val="28"/>
          <w:szCs w:val="28"/>
          <w:lang w:eastAsia="en-US"/>
        </w:rPr>
        <w:t xml:space="preserve">– нерівномірність забарвлення кісткової тканини (PAS–реакція; збільшення </w:t>
      </w:r>
      <w:r w:rsidRPr="00520861">
        <w:rPr>
          <w:rFonts w:eastAsia="Calibri"/>
          <w:sz w:val="28"/>
          <w:szCs w:val="28"/>
          <w:lang w:eastAsia="en-US"/>
        </w:rPr>
        <w:sym w:font="Symbol" w:char="F0B4"/>
      </w:r>
      <w:r w:rsidRPr="00520861">
        <w:rPr>
          <w:rFonts w:eastAsia="Calibri"/>
          <w:bCs/>
          <w:sz w:val="28"/>
          <w:szCs w:val="28"/>
          <w:lang w:eastAsia="en-US"/>
        </w:rPr>
        <w:t>100).</w:t>
      </w:r>
    </w:p>
    <w:p w14:paraId="5215448D"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Це пояснює більшу кількість у них зубів </w:t>
      </w:r>
      <w:proofErr w:type="spellStart"/>
      <w:r w:rsidRPr="00520861">
        <w:rPr>
          <w:rFonts w:eastAsia="Calibri"/>
          <w:sz w:val="28"/>
          <w:szCs w:val="28"/>
          <w:lang w:eastAsia="en-US"/>
        </w:rPr>
        <w:t>урвжених</w:t>
      </w:r>
      <w:proofErr w:type="spellEnd"/>
      <w:r w:rsidRPr="00520861">
        <w:rPr>
          <w:rFonts w:eastAsia="Calibri"/>
          <w:sz w:val="28"/>
          <w:szCs w:val="28"/>
          <w:lang w:eastAsia="en-US"/>
        </w:rPr>
        <w:t xml:space="preserve"> карієсом. У тварин груп 1 та 2 спостерігалися порушення </w:t>
      </w:r>
      <w:proofErr w:type="spellStart"/>
      <w:r w:rsidRPr="00520861">
        <w:rPr>
          <w:rFonts w:eastAsia="Calibri"/>
          <w:sz w:val="28"/>
          <w:szCs w:val="28"/>
          <w:lang w:eastAsia="en-US"/>
        </w:rPr>
        <w:t>зубо</w:t>
      </w:r>
      <w:proofErr w:type="spellEnd"/>
      <w:r w:rsidRPr="00520861">
        <w:rPr>
          <w:rFonts w:eastAsia="Calibri"/>
          <w:sz w:val="28"/>
          <w:szCs w:val="28"/>
          <w:lang w:eastAsia="en-US"/>
        </w:rPr>
        <w:t>-альвеолярного прикріплення, порушення структури циркулярної зв’язки та утворення кишень.</w:t>
      </w:r>
    </w:p>
    <w:p w14:paraId="14F3B057" w14:textId="77777777" w:rsidR="00CF641C" w:rsidRPr="00520861" w:rsidRDefault="00CF641C"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Узагальнюючи наведене у розділі, слід зазначити, що використання кількох експериментальних моделей ВУ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дало змогу одержати новонароджених щурят з усіма можливими </w:t>
      </w:r>
      <w:proofErr w:type="spellStart"/>
      <w:r w:rsidRPr="00520861">
        <w:rPr>
          <w:rFonts w:eastAsia="Calibri"/>
          <w:sz w:val="28"/>
          <w:szCs w:val="28"/>
          <w:lang w:eastAsia="en-US"/>
        </w:rPr>
        <w:t>соматометричними</w:t>
      </w:r>
      <w:proofErr w:type="spellEnd"/>
      <w:r w:rsidRPr="00520861">
        <w:rPr>
          <w:rFonts w:eastAsia="Calibri"/>
          <w:sz w:val="28"/>
          <w:szCs w:val="28"/>
          <w:lang w:eastAsia="en-US"/>
        </w:rPr>
        <w:t xml:space="preserve"> особливостями, які трапляються в новонароджених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а саме: а) стимульоване зростання особини із недостатньо збільшеною масою тіла, б) </w:t>
      </w:r>
      <w:proofErr w:type="spellStart"/>
      <w:r w:rsidRPr="00520861">
        <w:rPr>
          <w:rFonts w:eastAsia="Calibri"/>
          <w:sz w:val="28"/>
          <w:szCs w:val="28"/>
          <w:lang w:eastAsia="en-US"/>
        </w:rPr>
        <w:t>пропорційно</w:t>
      </w:r>
      <w:proofErr w:type="spellEnd"/>
      <w:r w:rsidRPr="00520861">
        <w:rPr>
          <w:rFonts w:eastAsia="Calibri"/>
          <w:sz w:val="28"/>
          <w:szCs w:val="28"/>
          <w:lang w:eastAsia="en-US"/>
        </w:rPr>
        <w:t xml:space="preserve"> збільшені як довжина тіла, так і маса тіла, в) стимульований набір маси тіла за рахунок накопичення жирової тканини із середньою або з великою довжиною тіла. Вивчення динаміки </w:t>
      </w:r>
      <w:proofErr w:type="spellStart"/>
      <w:r w:rsidRPr="00520861">
        <w:rPr>
          <w:rFonts w:eastAsia="Calibri"/>
          <w:sz w:val="28"/>
          <w:szCs w:val="28"/>
          <w:lang w:eastAsia="en-US"/>
        </w:rPr>
        <w:t>морфо</w:t>
      </w:r>
      <w:proofErr w:type="spellEnd"/>
      <w:r w:rsidRPr="00520861">
        <w:rPr>
          <w:rFonts w:eastAsia="Calibri"/>
          <w:sz w:val="28"/>
          <w:szCs w:val="28"/>
          <w:lang w:eastAsia="en-US"/>
        </w:rPr>
        <w:t xml:space="preserve">-функціонального стану тканин зуба і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постнатальному онтогенезі дало змогу виявити особливості розвитку їхньої </w:t>
      </w:r>
      <w:proofErr w:type="spellStart"/>
      <w:r w:rsidRPr="00520861">
        <w:rPr>
          <w:rFonts w:eastAsia="Calibri"/>
          <w:sz w:val="28"/>
          <w:szCs w:val="28"/>
          <w:lang w:eastAsia="en-US"/>
        </w:rPr>
        <w:t>атрофізації</w:t>
      </w:r>
      <w:proofErr w:type="spellEnd"/>
      <w:r w:rsidRPr="00520861">
        <w:rPr>
          <w:rFonts w:eastAsia="Calibri"/>
          <w:sz w:val="28"/>
          <w:szCs w:val="28"/>
          <w:lang w:eastAsia="en-US"/>
        </w:rPr>
        <w:t xml:space="preserve"> та декомпенсації при різних видах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(різних </w:t>
      </w:r>
      <w:proofErr w:type="spellStart"/>
      <w:r w:rsidRPr="00520861">
        <w:rPr>
          <w:rFonts w:eastAsia="Calibri"/>
          <w:sz w:val="28"/>
          <w:szCs w:val="28"/>
          <w:lang w:eastAsia="en-US"/>
        </w:rPr>
        <w:t>соматометричних</w:t>
      </w:r>
      <w:proofErr w:type="spellEnd"/>
      <w:r w:rsidRPr="00520861">
        <w:rPr>
          <w:rFonts w:eastAsia="Calibri"/>
          <w:sz w:val="28"/>
          <w:szCs w:val="28"/>
          <w:lang w:eastAsia="en-US"/>
        </w:rPr>
        <w:t xml:space="preserve"> показниках при народженні).</w:t>
      </w:r>
    </w:p>
    <w:p w14:paraId="63C0A849" w14:textId="77777777" w:rsidR="00CF641C" w:rsidRPr="00520861" w:rsidRDefault="00CF641C" w:rsidP="00292D2E">
      <w:pPr>
        <w:widowControl w:val="0"/>
        <w:spacing w:line="360" w:lineRule="auto"/>
        <w:ind w:firstLine="708"/>
        <w:contextualSpacing/>
        <w:jc w:val="both"/>
        <w:rPr>
          <w:rFonts w:eastAsia="Calibri"/>
          <w:b/>
          <w:sz w:val="28"/>
          <w:szCs w:val="28"/>
          <w:lang w:eastAsia="en-US"/>
        </w:rPr>
      </w:pPr>
      <w:r w:rsidRPr="00520861">
        <w:rPr>
          <w:rFonts w:eastAsia="Calibri"/>
          <w:sz w:val="28"/>
          <w:szCs w:val="28"/>
          <w:lang w:eastAsia="en-US"/>
        </w:rPr>
        <w:lastRenderedPageBreak/>
        <w:t xml:space="preserve">У новонароджених щурів основних груп виявлено порушення морфогенезу зачатків зубів і прилеглих тканин. У тварин групи 1 спостерігається суттєве зменшення кількості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периферійному шарі пульпи зубного сосочка. Прискорений ВУ розвиток зачатків зубів у тварин групи 2 супроводжується формуванням зубів неповноцінного стану – товстий шар дентину з ознаками деструкції. У щурів-</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групи 3 та 4 (які народилися з ознаками ВУ ожиріння) спостерігається малорозвинене МЦР СОПР, тонші, ніж у контролі, шари емалі і дентину, які формуються, ознаки незрілості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w:t>
      </w:r>
    </w:p>
    <w:p w14:paraId="7104D893" w14:textId="77777777" w:rsidR="00CF641C" w:rsidRPr="00520861" w:rsidRDefault="00CF641C" w:rsidP="00292D2E">
      <w:pPr>
        <w:widowControl w:val="0"/>
        <w:spacing w:line="360" w:lineRule="auto"/>
        <w:ind w:firstLine="708"/>
        <w:contextualSpacing/>
        <w:jc w:val="both"/>
        <w:rPr>
          <w:rFonts w:eastAsia="Calibri"/>
          <w:spacing w:val="-2"/>
          <w:sz w:val="28"/>
          <w:szCs w:val="28"/>
          <w:lang w:eastAsia="en-US"/>
        </w:rPr>
      </w:pPr>
      <w:r w:rsidRPr="00520861">
        <w:rPr>
          <w:rFonts w:eastAsia="Calibri"/>
          <w:spacing w:val="-2"/>
          <w:sz w:val="28"/>
          <w:szCs w:val="28"/>
          <w:lang w:eastAsia="en-US"/>
        </w:rPr>
        <w:t xml:space="preserve">У 12-денних щурів групи 1 спостерігається затримка прорізування різців. У 40-денних щурів груп 3 та 4 спостерігається тенденція до зменшення висоти молярів. </w:t>
      </w:r>
    </w:p>
    <w:p w14:paraId="61F57A5C"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всіх щурів основних груп у віці 3 місяці спостерігали </w:t>
      </w:r>
      <w:r w:rsidRPr="00520861">
        <w:rPr>
          <w:rFonts w:eastAsiaTheme="minorHAnsi"/>
          <w:sz w:val="28"/>
          <w:szCs w:val="28"/>
          <w:lang w:eastAsia="en-US"/>
        </w:rPr>
        <w:t>МФ</w:t>
      </w:r>
      <w:r w:rsidRPr="00520861">
        <w:rPr>
          <w:rFonts w:eastAsia="Calibri"/>
          <w:sz w:val="28"/>
          <w:szCs w:val="28"/>
          <w:lang w:eastAsia="en-US"/>
        </w:rPr>
        <w:t xml:space="preserve"> </w:t>
      </w:r>
      <w:proofErr w:type="spellStart"/>
      <w:r w:rsidRPr="00520861">
        <w:rPr>
          <w:rFonts w:eastAsia="Calibri"/>
          <w:sz w:val="28"/>
          <w:szCs w:val="28"/>
          <w:lang w:val="ru-RU" w:eastAsia="en-US"/>
        </w:rPr>
        <w:t>зміни</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привушних</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слинних</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залоз</w:t>
      </w:r>
      <w:proofErr w:type="spellEnd"/>
      <w:r w:rsidRPr="00520861">
        <w:rPr>
          <w:rFonts w:eastAsia="Calibri"/>
          <w:sz w:val="28"/>
          <w:szCs w:val="28"/>
          <w:lang w:val="ru-RU" w:eastAsia="en-US"/>
        </w:rPr>
        <w:t xml:space="preserve">. </w:t>
      </w:r>
      <w:r w:rsidRPr="00520861">
        <w:rPr>
          <w:rFonts w:eastAsia="Calibri"/>
          <w:sz w:val="28"/>
          <w:szCs w:val="28"/>
          <w:lang w:eastAsia="en-US"/>
        </w:rPr>
        <w:t xml:space="preserve">Тримісячні тварини групи 1, 3 та 4 мають дефіцит фактору </w:t>
      </w:r>
      <w:proofErr w:type="spellStart"/>
      <w:r w:rsidRPr="00520861">
        <w:rPr>
          <w:rFonts w:eastAsia="Calibri"/>
          <w:sz w:val="28"/>
          <w:szCs w:val="28"/>
          <w:lang w:eastAsia="en-US"/>
        </w:rPr>
        <w:t>Вілібранда</w:t>
      </w:r>
      <w:proofErr w:type="spellEnd"/>
      <w:r w:rsidRPr="00520861">
        <w:rPr>
          <w:rFonts w:eastAsia="Calibri"/>
          <w:sz w:val="28"/>
          <w:szCs w:val="28"/>
          <w:lang w:eastAsia="en-US"/>
        </w:rPr>
        <w:t xml:space="preserve"> в </w:t>
      </w:r>
      <w:proofErr w:type="spellStart"/>
      <w:r w:rsidRPr="00520861">
        <w:rPr>
          <w:rFonts w:eastAsia="Calibri"/>
          <w:sz w:val="28"/>
          <w:szCs w:val="28"/>
          <w:lang w:eastAsia="en-US"/>
        </w:rPr>
        <w:t>ендотеліїї</w:t>
      </w:r>
      <w:proofErr w:type="spellEnd"/>
      <w:r w:rsidRPr="00520861">
        <w:rPr>
          <w:rFonts w:eastAsia="Calibri"/>
          <w:sz w:val="28"/>
          <w:szCs w:val="28"/>
          <w:lang w:eastAsia="en-US"/>
        </w:rPr>
        <w:t xml:space="preserve">. У тварин групи 1 спостерігається наявність парієтальних тромбів, у тварин групи 3 та 4 – </w:t>
      </w:r>
      <w:proofErr w:type="spellStart"/>
      <w:r w:rsidRPr="00520861">
        <w:rPr>
          <w:rFonts w:eastAsia="Calibri"/>
          <w:sz w:val="28"/>
          <w:szCs w:val="28"/>
          <w:lang w:eastAsia="en-US"/>
        </w:rPr>
        <w:t>гіпопластичне</w:t>
      </w:r>
      <w:proofErr w:type="spellEnd"/>
      <w:r w:rsidRPr="00520861">
        <w:rPr>
          <w:rFonts w:eastAsia="Calibri"/>
          <w:sz w:val="28"/>
          <w:szCs w:val="28"/>
          <w:lang w:eastAsia="en-US"/>
        </w:rPr>
        <w:t xml:space="preserve"> МЦР. У шестимісячних тварин групи 2 встановлено ознаки економного функціонування привушної слинної залози, є наявність клітинних «запасів», у тварин груп 3 та 4 розвиваються ознаки </w:t>
      </w:r>
      <w:proofErr w:type="spellStart"/>
      <w:r w:rsidRPr="00520861">
        <w:rPr>
          <w:rFonts w:eastAsia="Calibri"/>
          <w:sz w:val="28"/>
          <w:szCs w:val="28"/>
          <w:lang w:eastAsia="en-US"/>
        </w:rPr>
        <w:t>атрофізації</w:t>
      </w:r>
      <w:proofErr w:type="spellEnd"/>
      <w:r w:rsidRPr="00520861">
        <w:rPr>
          <w:rFonts w:eastAsia="Calibri"/>
          <w:sz w:val="28"/>
          <w:szCs w:val="28"/>
          <w:lang w:eastAsia="en-US"/>
        </w:rPr>
        <w:t xml:space="preserve"> слинної залози з компенсаторною МФ активацією функціонуючих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w:t>
      </w:r>
    </w:p>
    <w:p w14:paraId="2163F81C" w14:textId="77777777" w:rsidR="00CF641C" w:rsidRPr="00520861" w:rsidRDefault="00CF641C" w:rsidP="00292D2E">
      <w:pPr>
        <w:widowControl w:val="0"/>
        <w:spacing w:line="360" w:lineRule="auto"/>
        <w:ind w:firstLine="708"/>
        <w:contextualSpacing/>
        <w:jc w:val="both"/>
        <w:rPr>
          <w:rFonts w:eastAsia="Calibri"/>
          <w:b/>
          <w:spacing w:val="-2"/>
          <w:sz w:val="28"/>
          <w:szCs w:val="28"/>
          <w:lang w:eastAsia="en-US"/>
        </w:rPr>
      </w:pPr>
      <w:r w:rsidRPr="00520861">
        <w:rPr>
          <w:rFonts w:eastAsia="Calibri"/>
          <w:sz w:val="28"/>
          <w:szCs w:val="28"/>
          <w:lang w:eastAsia="en-US"/>
        </w:rPr>
        <w:t xml:space="preserve">Стан пульпи, твердих тканин зубів і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трьох- та шестимісячних щурів,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має </w:t>
      </w:r>
      <w:r w:rsidRPr="00520861">
        <w:rPr>
          <w:rFonts w:eastAsiaTheme="minorHAnsi"/>
          <w:sz w:val="28"/>
          <w:szCs w:val="28"/>
          <w:lang w:eastAsia="en-US"/>
        </w:rPr>
        <w:t>МФ</w:t>
      </w:r>
      <w:r w:rsidRPr="00520861">
        <w:rPr>
          <w:rFonts w:eastAsia="Calibri"/>
          <w:sz w:val="28"/>
          <w:szCs w:val="28"/>
          <w:lang w:eastAsia="en-US"/>
        </w:rPr>
        <w:t xml:space="preserve"> особливості, які можна трактувати як прояви зменшення стійкості до дії вражаючих факторів на тверді тканини зубів та на тканини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Особливо вираженим є вплив на тверді тканини та пульпу зубів у тварин груп 3 та 4. </w:t>
      </w:r>
      <w:r w:rsidRPr="00520861">
        <w:rPr>
          <w:rFonts w:eastAsia="Calibri"/>
          <w:spacing w:val="-2"/>
          <w:sz w:val="28"/>
          <w:szCs w:val="28"/>
          <w:lang w:eastAsia="en-US"/>
        </w:rPr>
        <w:t xml:space="preserve">Натомість, на тканини </w:t>
      </w:r>
      <w:proofErr w:type="spellStart"/>
      <w:r w:rsidRPr="00520861">
        <w:rPr>
          <w:rFonts w:eastAsia="Calibri"/>
          <w:spacing w:val="-2"/>
          <w:sz w:val="28"/>
          <w:szCs w:val="28"/>
          <w:lang w:eastAsia="en-US"/>
        </w:rPr>
        <w:t>пародонта</w:t>
      </w:r>
      <w:proofErr w:type="spellEnd"/>
      <w:r w:rsidRPr="00520861">
        <w:rPr>
          <w:rFonts w:eastAsia="Calibri"/>
          <w:spacing w:val="-2"/>
          <w:sz w:val="28"/>
          <w:szCs w:val="28"/>
          <w:lang w:eastAsia="en-US"/>
        </w:rPr>
        <w:t xml:space="preserve"> виявлено негативний вплив ВУ періоду, який перебігав із відносною недостатністю маси тіла, чи ВУ періоду, який характеризувався адекватно збільшеними </w:t>
      </w:r>
      <w:proofErr w:type="spellStart"/>
      <w:r w:rsidRPr="00520861">
        <w:rPr>
          <w:rFonts w:eastAsia="Calibri"/>
          <w:spacing w:val="-2"/>
          <w:sz w:val="28"/>
          <w:szCs w:val="28"/>
          <w:lang w:eastAsia="en-US"/>
        </w:rPr>
        <w:t>соматометричними</w:t>
      </w:r>
      <w:proofErr w:type="spellEnd"/>
      <w:r w:rsidRPr="00520861">
        <w:rPr>
          <w:rFonts w:eastAsia="Calibri"/>
          <w:spacing w:val="-2"/>
          <w:sz w:val="28"/>
          <w:szCs w:val="28"/>
          <w:lang w:eastAsia="en-US"/>
        </w:rPr>
        <w:t xml:space="preserve"> показниками маси тіла і довжини тіла, за умови народження з </w:t>
      </w:r>
      <w:proofErr w:type="spellStart"/>
      <w:r w:rsidRPr="00520861">
        <w:rPr>
          <w:rFonts w:eastAsia="Calibri"/>
          <w:spacing w:val="-2"/>
          <w:sz w:val="28"/>
          <w:szCs w:val="28"/>
          <w:lang w:eastAsia="en-US"/>
        </w:rPr>
        <w:t>макросомією</w:t>
      </w:r>
      <w:proofErr w:type="spellEnd"/>
      <w:r w:rsidRPr="00520861">
        <w:rPr>
          <w:rFonts w:eastAsia="Calibri"/>
          <w:spacing w:val="-2"/>
          <w:sz w:val="28"/>
          <w:szCs w:val="28"/>
          <w:lang w:eastAsia="en-US"/>
        </w:rPr>
        <w:t xml:space="preserve"> (група 1 та 2).</w:t>
      </w:r>
    </w:p>
    <w:p w14:paraId="1332181A" w14:textId="77777777" w:rsidR="00CF641C" w:rsidRPr="00520861" w:rsidRDefault="00CF641C" w:rsidP="00292D2E">
      <w:pPr>
        <w:widowControl w:val="0"/>
        <w:spacing w:line="360" w:lineRule="auto"/>
        <w:ind w:firstLine="708"/>
        <w:contextualSpacing/>
        <w:jc w:val="both"/>
        <w:rPr>
          <w:rFonts w:eastAsia="Calibri"/>
          <w:spacing w:val="-4"/>
          <w:sz w:val="28"/>
          <w:szCs w:val="28"/>
          <w:lang w:eastAsia="en-US"/>
        </w:rPr>
      </w:pPr>
      <w:r w:rsidRPr="00520861">
        <w:rPr>
          <w:rFonts w:eastAsia="Calibri"/>
          <w:sz w:val="28"/>
          <w:szCs w:val="28"/>
          <w:lang w:eastAsia="en-US"/>
        </w:rPr>
        <w:t xml:space="preserve">У 12-місячних та 18-місячних тварин груп 3 та 4 </w:t>
      </w:r>
      <w:proofErr w:type="spellStart"/>
      <w:r w:rsidRPr="00520861">
        <w:rPr>
          <w:rFonts w:eastAsia="Calibri"/>
          <w:sz w:val="28"/>
          <w:szCs w:val="28"/>
          <w:lang w:eastAsia="en-US"/>
        </w:rPr>
        <w:t>васкуляризація</w:t>
      </w:r>
      <w:proofErr w:type="spellEnd"/>
      <w:r w:rsidRPr="00520861">
        <w:rPr>
          <w:rFonts w:eastAsia="Calibri"/>
          <w:sz w:val="28"/>
          <w:szCs w:val="28"/>
          <w:lang w:eastAsia="en-US"/>
        </w:rPr>
        <w:t xml:space="preserve"> пульпи гірша ніж в групах 1 та 2. Інтегральним «клінічним» показником, який свідчить про негативні стоматологічні наслідки є виявлення збільшених показників інтенсивності карієсу зубів у тварин,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з ожирінням (групи 3 та 4). У </w:t>
      </w:r>
      <w:r w:rsidRPr="00520861">
        <w:rPr>
          <w:rFonts w:eastAsia="Calibri"/>
          <w:sz w:val="28"/>
          <w:szCs w:val="28"/>
          <w:lang w:eastAsia="en-US"/>
        </w:rPr>
        <w:lastRenderedPageBreak/>
        <w:t xml:space="preserve">таких тварин було виявлено менший розмір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і більший ступінь атрофії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порівняно із щурами груп 1, 2 та групи контролю, що пояснює більшу кількість каріозних порожнин. </w:t>
      </w:r>
      <w:r w:rsidRPr="00520861">
        <w:rPr>
          <w:rFonts w:eastAsia="Calibri"/>
          <w:spacing w:val="-4"/>
          <w:sz w:val="28"/>
          <w:szCs w:val="28"/>
          <w:lang w:eastAsia="en-US"/>
        </w:rPr>
        <w:t>Чим більший індекс маси тіла має тварина при народженні, тим вища у неї схильність до виникнення каріозних уражень.</w:t>
      </w:r>
    </w:p>
    <w:p w14:paraId="03D34D54"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12-місячних та 18-місячних тварин груп 1 та 2 в пародонті спостерігалися явища запального процесу, який супроводжувався порушенням структури циркулярної зв’язки та виникненням кишень, у кістковій тканині альвеолярних відростків </w:t>
      </w:r>
      <w:r w:rsidRPr="00520861">
        <w:rPr>
          <w:rFonts w:eastAsia="Calibri"/>
          <w:sz w:val="28"/>
          <w:szCs w:val="28"/>
          <w:lang w:eastAsia="en-US"/>
        </w:rPr>
        <w:br/>
        <w:t>фіксувалися явища фокального остеопорозу. У пародонті тварин груп 3 та 4 спостерігалися порушення з превалюванням дистрофічного компоненту.</w:t>
      </w:r>
    </w:p>
    <w:p w14:paraId="5C4A459D"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Частина досліджень представлених у цьому розділі виконана засобами </w:t>
      </w:r>
      <w:r w:rsidRPr="00520861">
        <w:rPr>
          <w:rFonts w:eastAsia="Calibri"/>
          <w:sz w:val="28"/>
          <w:szCs w:val="28"/>
          <w:lang w:eastAsia="en-US"/>
        </w:rPr>
        <w:br/>
        <w:t xml:space="preserve">біологічної візуалізації Інституту фізіології Чеської академії наук (м. Прага, Чехія) за фінансової підтримки </w:t>
      </w:r>
      <w:proofErr w:type="spellStart"/>
      <w:r w:rsidRPr="00520861">
        <w:rPr>
          <w:rFonts w:eastAsia="Calibri"/>
          <w:sz w:val="28"/>
          <w:szCs w:val="28"/>
          <w:lang w:eastAsia="en-US"/>
        </w:rPr>
        <w:t>проєкту</w:t>
      </w:r>
      <w:proofErr w:type="spellEnd"/>
      <w:r w:rsidRPr="00520861">
        <w:rPr>
          <w:rFonts w:eastAsia="Calibri"/>
          <w:sz w:val="28"/>
          <w:szCs w:val="28"/>
          <w:lang w:eastAsia="en-US"/>
        </w:rPr>
        <w:t xml:space="preserve"> </w:t>
      </w:r>
      <w:r w:rsidRPr="00520861">
        <w:rPr>
          <w:rFonts w:eastAsia="Calibri"/>
          <w:sz w:val="28"/>
          <w:szCs w:val="28"/>
          <w:lang w:val="en-US" w:eastAsia="en-US"/>
        </w:rPr>
        <w:t>Czech</w:t>
      </w:r>
      <w:r w:rsidRPr="00520861">
        <w:rPr>
          <w:rFonts w:eastAsia="Calibri"/>
          <w:sz w:val="28"/>
          <w:szCs w:val="28"/>
          <w:lang w:eastAsia="en-US"/>
        </w:rPr>
        <w:t>-</w:t>
      </w:r>
      <w:proofErr w:type="spellStart"/>
      <w:r w:rsidRPr="00520861">
        <w:rPr>
          <w:rFonts w:eastAsia="Calibri"/>
          <w:sz w:val="28"/>
          <w:szCs w:val="28"/>
          <w:lang w:val="en-US" w:eastAsia="en-US"/>
        </w:rPr>
        <w:t>BioImaging</w:t>
      </w:r>
      <w:proofErr w:type="spellEnd"/>
      <w:r w:rsidRPr="00520861">
        <w:rPr>
          <w:rFonts w:eastAsia="Calibri"/>
          <w:sz w:val="28"/>
          <w:szCs w:val="28"/>
          <w:lang w:eastAsia="en-US"/>
        </w:rPr>
        <w:t xml:space="preserve"> </w:t>
      </w:r>
      <w:r w:rsidRPr="00520861">
        <w:rPr>
          <w:rFonts w:eastAsia="Calibri"/>
          <w:bCs/>
          <w:sz w:val="28"/>
          <w:szCs w:val="28"/>
          <w:lang w:val="en-US" w:eastAsia="en-US"/>
        </w:rPr>
        <w:t>large</w:t>
      </w:r>
      <w:r w:rsidRPr="00520861">
        <w:rPr>
          <w:rFonts w:eastAsia="Calibri"/>
          <w:bCs/>
          <w:sz w:val="28"/>
          <w:szCs w:val="28"/>
          <w:lang w:eastAsia="en-US"/>
        </w:rPr>
        <w:t xml:space="preserve"> </w:t>
      </w:r>
      <w:r w:rsidRPr="00520861">
        <w:rPr>
          <w:rFonts w:eastAsia="Calibri"/>
          <w:bCs/>
          <w:sz w:val="28"/>
          <w:szCs w:val="28"/>
          <w:lang w:val="en-US" w:eastAsia="en-US"/>
        </w:rPr>
        <w:t>RI</w:t>
      </w:r>
      <w:r w:rsidRPr="00520861">
        <w:rPr>
          <w:rFonts w:eastAsia="Calibri"/>
          <w:bCs/>
          <w:sz w:val="28"/>
          <w:szCs w:val="28"/>
          <w:lang w:eastAsia="en-US"/>
        </w:rPr>
        <w:t xml:space="preserve"> </w:t>
      </w:r>
      <w:r w:rsidRPr="00520861">
        <w:rPr>
          <w:rFonts w:eastAsia="Calibri"/>
          <w:bCs/>
          <w:sz w:val="28"/>
          <w:szCs w:val="28"/>
          <w:lang w:val="en-US" w:eastAsia="en-US"/>
        </w:rPr>
        <w:t>project</w:t>
      </w:r>
      <w:r w:rsidRPr="00520861">
        <w:rPr>
          <w:rFonts w:eastAsia="Calibri"/>
          <w:bCs/>
          <w:sz w:val="28"/>
          <w:szCs w:val="28"/>
          <w:lang w:eastAsia="en-US"/>
        </w:rPr>
        <w:t xml:space="preserve"> (</w:t>
      </w:r>
      <w:r w:rsidRPr="00520861">
        <w:rPr>
          <w:rFonts w:eastAsia="Calibri"/>
          <w:bCs/>
          <w:sz w:val="28"/>
          <w:szCs w:val="28"/>
          <w:lang w:val="en-US" w:eastAsia="en-US"/>
        </w:rPr>
        <w:t>LM</w:t>
      </w:r>
      <w:r w:rsidRPr="00520861">
        <w:rPr>
          <w:rFonts w:eastAsia="Calibri"/>
          <w:bCs/>
          <w:sz w:val="28"/>
          <w:szCs w:val="28"/>
          <w:lang w:eastAsia="en-US"/>
        </w:rPr>
        <w:t xml:space="preserve">2015062, </w:t>
      </w:r>
      <w:r w:rsidR="005D6941" w:rsidRPr="00520861">
        <w:rPr>
          <w:rFonts w:eastAsia="Calibri"/>
          <w:bCs/>
          <w:sz w:val="28"/>
          <w:szCs w:val="28"/>
          <w:lang w:eastAsia="en-US"/>
        </w:rPr>
        <w:br/>
      </w:r>
      <w:r w:rsidRPr="00520861">
        <w:rPr>
          <w:rFonts w:eastAsia="Calibri"/>
          <w:sz w:val="28"/>
          <w:szCs w:val="28"/>
          <w:lang w:eastAsia="en-US"/>
        </w:rPr>
        <w:t>що фінансується</w:t>
      </w:r>
      <w:r w:rsidRPr="00520861">
        <w:rPr>
          <w:rFonts w:eastAsia="Calibri"/>
          <w:bCs/>
          <w:sz w:val="28"/>
          <w:szCs w:val="28"/>
          <w:lang w:eastAsia="en-US"/>
        </w:rPr>
        <w:t xml:space="preserve"> </w:t>
      </w:r>
      <w:r w:rsidRPr="00520861">
        <w:rPr>
          <w:rFonts w:eastAsia="Calibri"/>
          <w:bCs/>
          <w:sz w:val="28"/>
          <w:szCs w:val="28"/>
          <w:u w:val="single"/>
          <w:lang w:val="en-US" w:eastAsia="en-US"/>
        </w:rPr>
        <w:t>MEYS</w:t>
      </w:r>
      <w:r w:rsidRPr="00520861">
        <w:rPr>
          <w:rFonts w:eastAsia="Calibri"/>
          <w:bCs/>
          <w:sz w:val="28"/>
          <w:szCs w:val="28"/>
          <w:u w:val="single"/>
          <w:lang w:eastAsia="en-US"/>
        </w:rPr>
        <w:t xml:space="preserve"> </w:t>
      </w:r>
      <w:r w:rsidRPr="00520861">
        <w:rPr>
          <w:rFonts w:eastAsia="Calibri"/>
          <w:bCs/>
          <w:sz w:val="28"/>
          <w:szCs w:val="28"/>
          <w:u w:val="single"/>
          <w:lang w:val="en-US" w:eastAsia="en-US"/>
        </w:rPr>
        <w:t>CR</w:t>
      </w:r>
      <w:r w:rsidRPr="00520861">
        <w:rPr>
          <w:rFonts w:eastAsia="Calibri"/>
          <w:bCs/>
          <w:sz w:val="28"/>
          <w:szCs w:val="28"/>
          <w:lang w:eastAsia="en-US"/>
        </w:rPr>
        <w:t xml:space="preserve">) </w:t>
      </w:r>
      <w:r w:rsidRPr="00520861">
        <w:rPr>
          <w:rFonts w:eastAsia="Calibri"/>
          <w:sz w:val="28"/>
          <w:szCs w:val="28"/>
          <w:lang w:eastAsia="en-US"/>
        </w:rPr>
        <w:t xml:space="preserve">і </w:t>
      </w:r>
      <w:proofErr w:type="spellStart"/>
      <w:r w:rsidRPr="00520861">
        <w:rPr>
          <w:rFonts w:eastAsia="Calibri"/>
          <w:sz w:val="28"/>
          <w:szCs w:val="28"/>
          <w:lang w:eastAsia="en-US"/>
        </w:rPr>
        <w:t>проєкту</w:t>
      </w:r>
      <w:proofErr w:type="spellEnd"/>
      <w:r w:rsidRPr="00520861">
        <w:rPr>
          <w:rFonts w:eastAsia="Calibri"/>
          <w:sz w:val="28"/>
          <w:szCs w:val="28"/>
          <w:lang w:eastAsia="en-US"/>
        </w:rPr>
        <w:t xml:space="preserve"> «Модернізація та підтримка дослідницької діяльності національної інфраструктури для біологічної та медичної обробки зображень </w:t>
      </w:r>
      <w:r w:rsidRPr="00520861">
        <w:rPr>
          <w:rFonts w:eastAsia="Calibri"/>
          <w:bCs/>
          <w:sz w:val="28"/>
          <w:szCs w:val="28"/>
          <w:lang w:val="en-US" w:eastAsia="en-US"/>
        </w:rPr>
        <w:t>Czech</w:t>
      </w:r>
      <w:r w:rsidRPr="00520861">
        <w:rPr>
          <w:rFonts w:eastAsia="Calibri"/>
          <w:bCs/>
          <w:sz w:val="28"/>
          <w:szCs w:val="28"/>
          <w:lang w:eastAsia="en-US"/>
        </w:rPr>
        <w:t>-</w:t>
      </w:r>
      <w:proofErr w:type="spellStart"/>
      <w:r w:rsidRPr="00520861">
        <w:rPr>
          <w:rFonts w:eastAsia="Calibri"/>
          <w:bCs/>
          <w:sz w:val="28"/>
          <w:szCs w:val="28"/>
          <w:lang w:val="en-US" w:eastAsia="en-US"/>
        </w:rPr>
        <w:t>BioImaging</w:t>
      </w:r>
      <w:proofErr w:type="spellEnd"/>
      <w:r w:rsidRPr="00520861">
        <w:rPr>
          <w:rFonts w:eastAsia="Calibri"/>
          <w:bCs/>
          <w:sz w:val="28"/>
          <w:szCs w:val="28"/>
          <w:lang w:eastAsia="en-US"/>
        </w:rPr>
        <w:t>» (</w:t>
      </w:r>
      <w:r w:rsidRPr="00520861">
        <w:rPr>
          <w:rFonts w:eastAsia="Calibri"/>
          <w:bCs/>
          <w:sz w:val="28"/>
          <w:szCs w:val="28"/>
          <w:lang w:val="en-US" w:eastAsia="en-US"/>
        </w:rPr>
        <w:t>CZ</w:t>
      </w:r>
      <w:r w:rsidRPr="00520861">
        <w:rPr>
          <w:rFonts w:eastAsia="Calibri"/>
          <w:bCs/>
          <w:sz w:val="28"/>
          <w:szCs w:val="28"/>
          <w:lang w:eastAsia="en-US"/>
        </w:rPr>
        <w:t xml:space="preserve">.02.1.01/0.0/0.0/16_013/0001775, що </w:t>
      </w:r>
      <w:r w:rsidRPr="00520861">
        <w:rPr>
          <w:rFonts w:eastAsia="Calibri"/>
          <w:sz w:val="28"/>
          <w:szCs w:val="28"/>
          <w:lang w:eastAsia="en-US"/>
        </w:rPr>
        <w:t>фінансується</w:t>
      </w:r>
      <w:r w:rsidRPr="00520861">
        <w:rPr>
          <w:rFonts w:eastAsia="Calibri"/>
          <w:bCs/>
          <w:sz w:val="28"/>
          <w:szCs w:val="28"/>
          <w:lang w:eastAsia="en-US"/>
        </w:rPr>
        <w:t xml:space="preserve"> </w:t>
      </w:r>
      <w:r w:rsidRPr="00520861">
        <w:rPr>
          <w:rFonts w:eastAsia="Calibri"/>
          <w:bCs/>
          <w:sz w:val="28"/>
          <w:szCs w:val="28"/>
          <w:lang w:val="en-US" w:eastAsia="en-US"/>
        </w:rPr>
        <w:t>OP</w:t>
      </w:r>
      <w:r w:rsidRPr="00520861">
        <w:rPr>
          <w:rFonts w:eastAsia="Calibri"/>
          <w:bCs/>
          <w:sz w:val="28"/>
          <w:szCs w:val="28"/>
          <w:lang w:eastAsia="en-US"/>
        </w:rPr>
        <w:t xml:space="preserve"> </w:t>
      </w:r>
      <w:r w:rsidRPr="00520861">
        <w:rPr>
          <w:rFonts w:eastAsia="Calibri"/>
          <w:bCs/>
          <w:sz w:val="28"/>
          <w:szCs w:val="28"/>
          <w:lang w:val="en-US" w:eastAsia="en-US"/>
        </w:rPr>
        <w:t>RDE</w:t>
      </w:r>
      <w:r w:rsidRPr="00520861">
        <w:rPr>
          <w:rFonts w:eastAsia="Calibri"/>
          <w:bCs/>
          <w:sz w:val="28"/>
          <w:szCs w:val="28"/>
          <w:lang w:eastAsia="en-US"/>
        </w:rPr>
        <w:t xml:space="preserve">). </w:t>
      </w:r>
    </w:p>
    <w:p w14:paraId="285D776C" w14:textId="77777777" w:rsidR="00CF641C" w:rsidRPr="00520861" w:rsidRDefault="00CF641C" w:rsidP="00292D2E">
      <w:pPr>
        <w:widowControl w:val="0"/>
        <w:tabs>
          <w:tab w:val="left" w:pos="4111"/>
        </w:tabs>
        <w:spacing w:line="360" w:lineRule="auto"/>
        <w:ind w:firstLine="709"/>
        <w:jc w:val="both"/>
        <w:rPr>
          <w:rFonts w:eastAsia="Calibri"/>
          <w:spacing w:val="-1"/>
          <w:sz w:val="28"/>
          <w:szCs w:val="28"/>
          <w:lang w:eastAsia="en-US"/>
        </w:rPr>
      </w:pPr>
    </w:p>
    <w:p w14:paraId="24BB267B" w14:textId="77777777" w:rsidR="00275C5C" w:rsidRPr="00520861" w:rsidRDefault="00275C5C" w:rsidP="00292D2E">
      <w:pPr>
        <w:widowControl w:val="0"/>
        <w:tabs>
          <w:tab w:val="left" w:pos="4111"/>
        </w:tabs>
        <w:spacing w:line="360" w:lineRule="auto"/>
        <w:ind w:firstLine="709"/>
        <w:jc w:val="both"/>
        <w:rPr>
          <w:rFonts w:eastAsia="Calibri"/>
          <w:spacing w:val="-1"/>
          <w:sz w:val="28"/>
          <w:szCs w:val="28"/>
          <w:lang w:eastAsia="en-US"/>
        </w:rPr>
      </w:pPr>
      <w:r w:rsidRPr="00520861">
        <w:rPr>
          <w:rFonts w:eastAsia="Calibri"/>
          <w:spacing w:val="-1"/>
          <w:sz w:val="28"/>
          <w:szCs w:val="28"/>
          <w:lang w:eastAsia="en-US"/>
        </w:rPr>
        <w:br w:type="page"/>
      </w:r>
    </w:p>
    <w:p w14:paraId="3ABFF1A9" w14:textId="77777777" w:rsidR="00CF641C" w:rsidRPr="00520861" w:rsidRDefault="00CF641C" w:rsidP="00292D2E">
      <w:pPr>
        <w:widowControl w:val="0"/>
        <w:tabs>
          <w:tab w:val="left" w:pos="8040"/>
        </w:tabs>
        <w:spacing w:line="360" w:lineRule="auto"/>
        <w:jc w:val="center"/>
        <w:rPr>
          <w:rFonts w:eastAsia="Calibri"/>
          <w:b/>
          <w:sz w:val="28"/>
          <w:szCs w:val="28"/>
          <w:lang w:eastAsia="en-US"/>
        </w:rPr>
      </w:pPr>
      <w:r w:rsidRPr="00520861">
        <w:rPr>
          <w:rFonts w:eastAsia="Calibri"/>
          <w:b/>
          <w:sz w:val="28"/>
          <w:szCs w:val="28"/>
          <w:lang w:eastAsia="en-US"/>
        </w:rPr>
        <w:lastRenderedPageBreak/>
        <w:t>РОЗДІЛ 4</w:t>
      </w:r>
    </w:p>
    <w:p w14:paraId="70A6A3FA" w14:textId="77777777" w:rsidR="00CF641C" w:rsidRPr="00520861" w:rsidRDefault="00CF641C" w:rsidP="00292D2E">
      <w:pPr>
        <w:widowControl w:val="0"/>
        <w:tabs>
          <w:tab w:val="left" w:pos="8040"/>
        </w:tabs>
        <w:spacing w:line="360" w:lineRule="auto"/>
        <w:jc w:val="center"/>
        <w:rPr>
          <w:rFonts w:eastAsia="Calibri"/>
          <w:b/>
          <w:sz w:val="28"/>
          <w:szCs w:val="28"/>
          <w:lang w:eastAsia="en-US"/>
        </w:rPr>
      </w:pPr>
    </w:p>
    <w:p w14:paraId="43EDA7E1" w14:textId="77777777" w:rsidR="00CF641C" w:rsidRPr="00520861" w:rsidRDefault="00CF641C" w:rsidP="00292D2E">
      <w:pPr>
        <w:widowControl w:val="0"/>
        <w:tabs>
          <w:tab w:val="left" w:pos="8040"/>
        </w:tabs>
        <w:spacing w:line="360" w:lineRule="auto"/>
        <w:jc w:val="center"/>
        <w:rPr>
          <w:rFonts w:eastAsia="Calibri"/>
          <w:b/>
          <w:sz w:val="28"/>
          <w:szCs w:val="28"/>
          <w:lang w:eastAsia="en-US"/>
        </w:rPr>
      </w:pPr>
    </w:p>
    <w:p w14:paraId="0F4E3889" w14:textId="77777777" w:rsidR="00CF641C" w:rsidRPr="00520861" w:rsidRDefault="00CF641C" w:rsidP="00292D2E">
      <w:pPr>
        <w:widowControl w:val="0"/>
        <w:tabs>
          <w:tab w:val="left" w:pos="8040"/>
        </w:tabs>
        <w:spacing w:line="360" w:lineRule="auto"/>
        <w:jc w:val="center"/>
        <w:rPr>
          <w:rFonts w:eastAsia="Calibri"/>
          <w:b/>
          <w:sz w:val="28"/>
          <w:szCs w:val="28"/>
          <w:lang w:eastAsia="en-US"/>
        </w:rPr>
      </w:pPr>
      <w:r w:rsidRPr="00520861">
        <w:rPr>
          <w:rFonts w:eastAsia="Calibri"/>
          <w:b/>
          <w:sz w:val="28"/>
          <w:szCs w:val="28"/>
          <w:lang w:eastAsia="en-US"/>
        </w:rPr>
        <w:t xml:space="preserve">РЕЗУЛЬТАТИ КЛІНІКО-АНАМНЕСТИЧНИХ ДОСЛІДЖЕНЬ ПРОВЕДЕНИХ СЕРЕД МЕШКАНЦІВ ХАРКІВСЬКОЇ ОБЛАСТІ ТА ПРИЛЕГЛИХ (ДОНЕЦЬКОЇ, ЛУГАНСЬКОЇ) ОБЛАСТЕЙ, ЯКІ НАРОДИЛИСЯ З МАКРОСОМІЄЮ </w:t>
      </w:r>
    </w:p>
    <w:p w14:paraId="46DB926C" w14:textId="77777777" w:rsidR="00CF641C" w:rsidRPr="00520861" w:rsidRDefault="00CF641C" w:rsidP="00292D2E">
      <w:pPr>
        <w:widowControl w:val="0"/>
        <w:tabs>
          <w:tab w:val="left" w:pos="8040"/>
        </w:tabs>
        <w:spacing w:line="360" w:lineRule="auto"/>
        <w:jc w:val="center"/>
        <w:rPr>
          <w:rFonts w:eastAsia="Calibri"/>
          <w:b/>
          <w:sz w:val="28"/>
          <w:szCs w:val="28"/>
          <w:lang w:eastAsia="en-US"/>
        </w:rPr>
      </w:pPr>
    </w:p>
    <w:p w14:paraId="708D0AFA" w14:textId="77777777" w:rsidR="00CF641C" w:rsidRPr="00520861" w:rsidRDefault="00CF641C" w:rsidP="00292D2E">
      <w:pPr>
        <w:widowControl w:val="0"/>
        <w:spacing w:line="360" w:lineRule="auto"/>
        <w:ind w:firstLine="709"/>
        <w:jc w:val="both"/>
        <w:rPr>
          <w:rFonts w:eastAsia="Calibri"/>
          <w:b/>
          <w:bCs/>
          <w:sz w:val="28"/>
          <w:szCs w:val="28"/>
          <w:lang w:eastAsia="en-US"/>
        </w:rPr>
      </w:pPr>
      <w:r w:rsidRPr="00520861">
        <w:rPr>
          <w:rFonts w:eastAsia="Calibri"/>
          <w:b/>
          <w:bCs/>
          <w:sz w:val="28"/>
          <w:szCs w:val="28"/>
          <w:lang w:eastAsia="en-US"/>
        </w:rPr>
        <w:t xml:space="preserve">4.1. Чинники формування </w:t>
      </w:r>
      <w:proofErr w:type="spellStart"/>
      <w:r w:rsidRPr="00520861">
        <w:rPr>
          <w:rFonts w:eastAsia="Calibri"/>
          <w:b/>
          <w:bCs/>
          <w:sz w:val="28"/>
          <w:szCs w:val="28"/>
          <w:lang w:eastAsia="en-US"/>
        </w:rPr>
        <w:t>маросомії</w:t>
      </w:r>
      <w:proofErr w:type="spellEnd"/>
      <w:r w:rsidRPr="00520861">
        <w:rPr>
          <w:rFonts w:eastAsia="Calibri"/>
          <w:b/>
          <w:bCs/>
          <w:sz w:val="28"/>
          <w:szCs w:val="28"/>
          <w:lang w:eastAsia="en-US"/>
        </w:rPr>
        <w:t xml:space="preserve"> плода</w:t>
      </w:r>
    </w:p>
    <w:p w14:paraId="6DEB1F8A" w14:textId="77777777" w:rsidR="00901146" w:rsidRPr="00520861" w:rsidRDefault="00901146" w:rsidP="00292D2E">
      <w:pPr>
        <w:widowControl w:val="0"/>
        <w:spacing w:line="360" w:lineRule="auto"/>
        <w:ind w:firstLine="709"/>
        <w:jc w:val="both"/>
        <w:rPr>
          <w:rFonts w:eastAsia="Calibri"/>
          <w:b/>
          <w:bCs/>
          <w:sz w:val="28"/>
          <w:szCs w:val="28"/>
          <w:lang w:eastAsia="en-US"/>
        </w:rPr>
      </w:pPr>
    </w:p>
    <w:p w14:paraId="7025E1BF" w14:textId="77777777" w:rsidR="00CF641C" w:rsidRPr="00520861" w:rsidRDefault="00CF641C" w:rsidP="00292D2E">
      <w:pPr>
        <w:widowControl w:val="0"/>
        <w:spacing w:line="360" w:lineRule="auto"/>
        <w:ind w:firstLine="709"/>
        <w:jc w:val="both"/>
        <w:rPr>
          <w:rFonts w:eastAsia="Calibri"/>
          <w:bCs/>
          <w:sz w:val="28"/>
          <w:szCs w:val="28"/>
          <w:lang w:eastAsia="en-US"/>
        </w:rPr>
      </w:pPr>
      <w:r w:rsidRPr="00520861">
        <w:rPr>
          <w:rFonts w:eastAsia="Calibri"/>
          <w:bCs/>
          <w:sz w:val="28"/>
          <w:szCs w:val="28"/>
          <w:lang w:eastAsia="en-US"/>
        </w:rPr>
        <w:t xml:space="preserve">Чинники формування </w:t>
      </w:r>
      <w:proofErr w:type="spellStart"/>
      <w:r w:rsidRPr="00520861">
        <w:rPr>
          <w:rFonts w:eastAsia="Calibri"/>
          <w:bCs/>
          <w:sz w:val="28"/>
          <w:szCs w:val="28"/>
          <w:lang w:eastAsia="en-US"/>
        </w:rPr>
        <w:t>макросомії</w:t>
      </w:r>
      <w:proofErr w:type="spellEnd"/>
      <w:r w:rsidRPr="00520861">
        <w:rPr>
          <w:rFonts w:eastAsia="Calibri"/>
          <w:bCs/>
          <w:sz w:val="28"/>
          <w:szCs w:val="28"/>
          <w:lang w:eastAsia="en-US"/>
        </w:rPr>
        <w:t xml:space="preserve"> плода виявлені опитувальним методом та клініко-ретроспективним методом, </w:t>
      </w:r>
      <w:proofErr w:type="spellStart"/>
      <w:r w:rsidRPr="00520861">
        <w:rPr>
          <w:rFonts w:eastAsia="Calibri"/>
          <w:bCs/>
          <w:sz w:val="28"/>
          <w:szCs w:val="28"/>
          <w:lang w:eastAsia="en-US"/>
        </w:rPr>
        <w:t>вцілому</w:t>
      </w:r>
      <w:proofErr w:type="spellEnd"/>
      <w:r w:rsidRPr="00520861">
        <w:rPr>
          <w:rFonts w:eastAsia="Calibri"/>
          <w:bCs/>
          <w:sz w:val="28"/>
          <w:szCs w:val="28"/>
          <w:lang w:eastAsia="en-US"/>
        </w:rPr>
        <w:t>, погоджуються між собою.</w:t>
      </w:r>
    </w:p>
    <w:p w14:paraId="78525CE3" w14:textId="77777777" w:rsidR="00CF641C" w:rsidRPr="00520861" w:rsidRDefault="00CF641C" w:rsidP="00292D2E">
      <w:pPr>
        <w:widowControl w:val="0"/>
        <w:spacing w:line="360" w:lineRule="auto"/>
        <w:ind w:firstLine="709"/>
        <w:jc w:val="both"/>
        <w:rPr>
          <w:rFonts w:eastAsia="Calibri"/>
          <w:b/>
          <w:bCs/>
          <w:sz w:val="28"/>
          <w:szCs w:val="28"/>
          <w:lang w:eastAsia="en-US"/>
        </w:rPr>
      </w:pPr>
      <w:r w:rsidRPr="00520861">
        <w:rPr>
          <w:rFonts w:eastAsia="Calibri"/>
          <w:b/>
          <w:bCs/>
          <w:sz w:val="28"/>
          <w:szCs w:val="28"/>
          <w:lang w:eastAsia="en-US"/>
        </w:rPr>
        <w:t xml:space="preserve">4.1.1. Чинники, виявлені </w:t>
      </w:r>
      <w:proofErr w:type="spellStart"/>
      <w:r w:rsidRPr="00520861">
        <w:rPr>
          <w:rFonts w:eastAsia="Calibri"/>
          <w:b/>
          <w:bCs/>
          <w:sz w:val="28"/>
          <w:szCs w:val="28"/>
          <w:lang w:eastAsia="en-US"/>
        </w:rPr>
        <w:t>опитувльним</w:t>
      </w:r>
      <w:proofErr w:type="spellEnd"/>
      <w:r w:rsidRPr="00520861">
        <w:rPr>
          <w:rFonts w:eastAsia="Calibri"/>
          <w:b/>
          <w:bCs/>
          <w:sz w:val="28"/>
          <w:szCs w:val="28"/>
          <w:lang w:eastAsia="en-US"/>
        </w:rPr>
        <w:t xml:space="preserve"> методом. </w:t>
      </w:r>
      <w:r w:rsidRPr="00520861">
        <w:rPr>
          <w:rFonts w:eastAsia="Calibri"/>
          <w:sz w:val="28"/>
          <w:szCs w:val="28"/>
          <w:lang w:eastAsia="en-US"/>
        </w:rPr>
        <w:t>При обстеженні 126 дітей віком від декількох годин до декількох місяців виявлено наступне. Двадцять новонароджених першої групи (діти,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тобто 57% (тут і далі по тексту від загальної кількості дітей у відповідній групі), мають родичів, маса тіла яких при народженні перевищувала 4 кг. Тринадцять новонароджених (37%) мають родичів першого ступеня споріднення (батьки), маса тіла яких при народженні була більшою за 4 кг; вісім із цих дітей (23%) також мають родичів другого ступеня </w:t>
      </w:r>
      <w:r w:rsidRPr="00520861">
        <w:rPr>
          <w:rFonts w:eastAsia="Calibri"/>
          <w:sz w:val="28"/>
          <w:szCs w:val="28"/>
          <w:lang w:eastAsia="en-US"/>
        </w:rPr>
        <w:br/>
        <w:t>споріднення (дядьки, тітки, бабусі й дідусі),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w:t>
      </w:r>
    </w:p>
    <w:p w14:paraId="0AC25E17"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Цікавим є те, що у двох дітей (6%) цієї групи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народилися </w:t>
      </w:r>
      <w:r w:rsidR="00901146" w:rsidRPr="00520861">
        <w:rPr>
          <w:rFonts w:eastAsia="Calibri"/>
          <w:sz w:val="28"/>
          <w:szCs w:val="28"/>
          <w:lang w:eastAsia="en-US"/>
        </w:rPr>
        <w:t>і батько, і мати малюка, у</w:t>
      </w:r>
      <w:r w:rsidRPr="00520861">
        <w:rPr>
          <w:rFonts w:eastAsia="Calibri"/>
          <w:sz w:val="28"/>
          <w:szCs w:val="28"/>
          <w:lang w:eastAsia="en-US"/>
        </w:rPr>
        <w:t xml:space="preserve"> трьох д</w:t>
      </w:r>
      <w:r w:rsidR="00901146" w:rsidRPr="00520861">
        <w:rPr>
          <w:rFonts w:eastAsia="Calibri"/>
          <w:sz w:val="28"/>
          <w:szCs w:val="28"/>
          <w:lang w:eastAsia="en-US"/>
        </w:rPr>
        <w:t>ітей (9%)</w:t>
      </w:r>
      <w:r w:rsidRPr="00520861">
        <w:rPr>
          <w:rFonts w:eastAsia="Calibri"/>
          <w:sz w:val="28"/>
          <w:szCs w:val="28"/>
          <w:lang w:eastAsia="en-US"/>
        </w:rPr>
        <w:t xml:space="preserve"> старші брати та сестри, та в чотирьох дітей (11%)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народилися тільки родичі другого ступеня споріднення.</w:t>
      </w:r>
    </w:p>
    <w:p w14:paraId="5DA041F0"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другій групі (діти, які народилися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11 новонароджених, тобто 38%, мають родичів, маса тіла яких при народженні була вищою за 4 кг. У 8 новонароджених (тобто 28%) цієї групи батьки зазначили, що народилися з масою тіла </w:t>
      </w:r>
      <w:r w:rsidRPr="00520861">
        <w:rPr>
          <w:rFonts w:eastAsia="Calibri"/>
          <w:sz w:val="28"/>
          <w:szCs w:val="28"/>
          <w:lang w:eastAsia="en-US"/>
        </w:rPr>
        <w:br/>
        <w:t xml:space="preserve">більшою за 4 кг; троє із цих немовлят мають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при народженні також </w:t>
      </w:r>
      <w:r w:rsidRPr="00520861">
        <w:rPr>
          <w:rFonts w:eastAsia="Calibri"/>
          <w:sz w:val="28"/>
          <w:szCs w:val="28"/>
          <w:lang w:eastAsia="en-US"/>
        </w:rPr>
        <w:br/>
        <w:t xml:space="preserve">і серед родичів другого ступеня споріднення. В однієї дитини (3%) брат народився </w:t>
      </w:r>
      <w:proofErr w:type="spellStart"/>
      <w:r w:rsidRPr="00520861">
        <w:rPr>
          <w:rFonts w:eastAsia="Calibri"/>
          <w:sz w:val="28"/>
          <w:szCs w:val="28"/>
          <w:lang w:eastAsia="en-US"/>
        </w:rPr>
        <w:t>макросомом</w:t>
      </w:r>
      <w:proofErr w:type="spellEnd"/>
      <w:r w:rsidRPr="00520861">
        <w:rPr>
          <w:rFonts w:eastAsia="Calibri"/>
          <w:sz w:val="28"/>
          <w:szCs w:val="28"/>
          <w:lang w:eastAsia="en-US"/>
        </w:rPr>
        <w:t xml:space="preserve">, а в однієї дитини (3%) тільки родичі другого ступеня споріднення </w:t>
      </w:r>
      <w:r w:rsidR="005D6941" w:rsidRPr="00520861">
        <w:rPr>
          <w:rFonts w:eastAsia="Calibri"/>
          <w:sz w:val="28"/>
          <w:szCs w:val="28"/>
          <w:lang w:eastAsia="en-US"/>
        </w:rPr>
        <w:br/>
      </w:r>
      <w:r w:rsidRPr="00520861">
        <w:rPr>
          <w:rFonts w:eastAsia="Calibri"/>
          <w:sz w:val="28"/>
          <w:szCs w:val="28"/>
          <w:lang w:eastAsia="en-US"/>
        </w:rPr>
        <w:t xml:space="preserve">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p>
    <w:p w14:paraId="680E8D1F"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lastRenderedPageBreak/>
        <w:t xml:space="preserve">У третій групі (діти з </w:t>
      </w:r>
      <w:r w:rsidRPr="00520861">
        <w:rPr>
          <w:rFonts w:eastAsiaTheme="minorHAnsi"/>
          <w:sz w:val="28"/>
          <w:szCs w:val="28"/>
        </w:rPr>
        <w:t>ГІУ ЦНС</w:t>
      </w:r>
      <w:r w:rsidRPr="00520861">
        <w:rPr>
          <w:rFonts w:eastAsia="Calibri"/>
          <w:sz w:val="28"/>
          <w:szCs w:val="28"/>
          <w:lang w:eastAsia="en-US"/>
        </w:rPr>
        <w:t xml:space="preserve"> і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у 13 новонароджених, тобто 54%, є родичі, маса тіла яких при народженні була більшою за 4 кг. У 8 ново-</w:t>
      </w:r>
      <w:r w:rsidRPr="00520861">
        <w:rPr>
          <w:rFonts w:eastAsia="Calibri"/>
          <w:sz w:val="28"/>
          <w:szCs w:val="28"/>
          <w:lang w:eastAsia="en-US"/>
        </w:rPr>
        <w:br/>
        <w:t xml:space="preserve">народжених, тобто 33%,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народилися батьки, в одного із цих немовлят обоє батьків народжені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та ще одна дитина також має родичів другого ступеня споріднення,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У трьох новонароджених (13%)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народилися брат чи сестра. У двох немовлят (8%) тільки родичі другого ступеня споріднення були народжені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У четвертій групі (діти з </w:t>
      </w:r>
      <w:r w:rsidRPr="00520861">
        <w:rPr>
          <w:rFonts w:eastAsiaTheme="minorHAnsi"/>
          <w:sz w:val="28"/>
          <w:szCs w:val="28"/>
        </w:rPr>
        <w:t>ГІУ ЦНС</w:t>
      </w:r>
      <w:r w:rsidRPr="00520861">
        <w:rPr>
          <w:rFonts w:eastAsia="Calibri"/>
          <w:sz w:val="28"/>
          <w:szCs w:val="28"/>
          <w:lang w:eastAsia="en-US"/>
        </w:rPr>
        <w:t xml:space="preserve"> і </w:t>
      </w:r>
      <w:proofErr w:type="spellStart"/>
      <w:r w:rsidRPr="00520861">
        <w:rPr>
          <w:rFonts w:eastAsia="Calibri"/>
          <w:sz w:val="28"/>
          <w:szCs w:val="28"/>
          <w:lang w:eastAsia="en-US"/>
        </w:rPr>
        <w:t>нормосомією</w:t>
      </w:r>
      <w:proofErr w:type="spellEnd"/>
      <w:r w:rsidRPr="00520861">
        <w:rPr>
          <w:rFonts w:eastAsia="Calibri"/>
          <w:sz w:val="28"/>
          <w:szCs w:val="28"/>
          <w:lang w:eastAsia="en-US"/>
        </w:rPr>
        <w:t xml:space="preserve">) у чотирьох дітей (11%) батьки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w:t>
      </w:r>
    </w:p>
    <w:p w14:paraId="1148BE8C"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Кількість дітей, які народилися від третьої та більше вагітності, серед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на 50% більша, ніж серед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(табл. 4.1). Подібний розподіл спостерігається й при аналізі залежності кількості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від паритету (порядкового номера пологів). </w:t>
      </w:r>
    </w:p>
    <w:p w14:paraId="2EC2C3FF"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Кількість новонароджених-</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народжених від третіх і більше пологів, на 68% більша, ніж кількість новонароджених-</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(табл. 4.2). Це справедливо лише для немовлят, які народилися без </w:t>
      </w:r>
      <w:r w:rsidRPr="00520861">
        <w:rPr>
          <w:rFonts w:eastAsiaTheme="minorHAnsi"/>
          <w:sz w:val="28"/>
          <w:szCs w:val="28"/>
        </w:rPr>
        <w:t>ГІУ ЦНС</w:t>
      </w:r>
      <w:r w:rsidRPr="00520861">
        <w:rPr>
          <w:rFonts w:eastAsia="Calibri"/>
          <w:sz w:val="28"/>
          <w:szCs w:val="28"/>
          <w:lang w:eastAsia="en-US"/>
        </w:rPr>
        <w:t xml:space="preserve">. Однак для немовлят, які народилися з </w:t>
      </w:r>
      <w:r w:rsidRPr="00520861">
        <w:rPr>
          <w:rFonts w:eastAsiaTheme="minorHAnsi"/>
          <w:sz w:val="28"/>
          <w:szCs w:val="28"/>
        </w:rPr>
        <w:t>ГІУ ЦНС</w:t>
      </w:r>
      <w:r w:rsidRPr="00520861">
        <w:rPr>
          <w:rFonts w:eastAsia="Calibri"/>
          <w:sz w:val="28"/>
          <w:szCs w:val="28"/>
          <w:lang w:eastAsia="en-US"/>
        </w:rPr>
        <w:t xml:space="preserve">, процент дітей, народжених від третьої й більше вагітності та народжених від третіх і більше пологів, не має вірогідних відмінностей між групами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rFonts w:eastAsia="Calibri"/>
          <w:sz w:val="28"/>
          <w:szCs w:val="28"/>
          <w:lang w:eastAsia="en-US"/>
        </w:rPr>
        <w:t>). Двадцять новонароджених (57,1%) у першій групі, 16 (55,2%) у другій групі, 6 (24%) у третій та 5 (13,2%) немовлят четвертої групи народилися у результаті операції кесарева розтину.</w:t>
      </w:r>
    </w:p>
    <w:p w14:paraId="00E5DDE4"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Середній вік жінок-</w:t>
      </w:r>
      <w:proofErr w:type="spellStart"/>
      <w:r w:rsidRPr="00520861">
        <w:rPr>
          <w:rFonts w:eastAsia="Calibri"/>
          <w:sz w:val="28"/>
          <w:szCs w:val="28"/>
          <w:lang w:eastAsia="en-US"/>
        </w:rPr>
        <w:t>породіль</w:t>
      </w:r>
      <w:proofErr w:type="spellEnd"/>
      <w:r w:rsidRPr="00520861">
        <w:rPr>
          <w:rFonts w:eastAsia="Calibri"/>
          <w:sz w:val="28"/>
          <w:szCs w:val="28"/>
          <w:lang w:eastAsia="en-US"/>
        </w:rPr>
        <w:t xml:space="preserve"> першої групи 28,82±2,21 року, а середній вік батька – 30,91±2,48 року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rFonts w:eastAsia="Calibri"/>
          <w:sz w:val="28"/>
          <w:szCs w:val="28"/>
          <w:lang w:eastAsia="en-US"/>
        </w:rPr>
        <w:t>). Середній вік жінок другої групи становить 28,45±1,77 року, а вік батька – 29,93±2,03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rFonts w:eastAsia="Calibri"/>
          <w:sz w:val="28"/>
          <w:szCs w:val="28"/>
          <w:lang w:eastAsia="en-US"/>
        </w:rPr>
        <w:t>), у жінок третьої групи середній вік становить 30,00±2,60 року, а вік батька – 30,92±1,97 року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rFonts w:eastAsia="Calibri"/>
          <w:sz w:val="28"/>
          <w:szCs w:val="28"/>
          <w:lang w:eastAsia="en-US"/>
        </w:rPr>
        <w:t>). Середній вік батьків четвертої групи становить 29,05±1,53 та 32,74±1,58 року для матері та батька відповідно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rFonts w:eastAsia="Calibri"/>
          <w:sz w:val="28"/>
          <w:szCs w:val="28"/>
          <w:lang w:eastAsia="en-US"/>
        </w:rPr>
        <w:t>).</w:t>
      </w:r>
    </w:p>
    <w:p w14:paraId="0D7E158D"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Дані таблиці 4.3 показують, що маса матері та ІМТ у першій групі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більша, ніж у другій групі (</w:t>
      </w:r>
      <w:proofErr w:type="spellStart"/>
      <w:r w:rsidRPr="00520861">
        <w:rPr>
          <w:rFonts w:eastAsia="Calibri"/>
          <w:sz w:val="28"/>
          <w:szCs w:val="28"/>
          <w:lang w:eastAsia="en-US"/>
        </w:rPr>
        <w:t>нормосомія</w:t>
      </w:r>
      <w:proofErr w:type="spellEnd"/>
      <w:r w:rsidRPr="00520861">
        <w:rPr>
          <w:rFonts w:eastAsia="Calibri"/>
          <w:sz w:val="28"/>
          <w:szCs w:val="28"/>
          <w:lang w:eastAsia="en-US"/>
        </w:rPr>
        <w:t xml:space="preserve">). Тоді як різниця у їх зрості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мала. Дані також демонструють подібну, однак менш виражену залежність у третій та четвертій групах.</w:t>
      </w:r>
    </w:p>
    <w:p w14:paraId="390D6BA9" w14:textId="77777777" w:rsidR="00CF641C" w:rsidRPr="00520861" w:rsidRDefault="00CF641C"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lastRenderedPageBreak/>
        <w:t>Таблиця 4.1</w:t>
      </w:r>
    </w:p>
    <w:p w14:paraId="52E80288"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Об’єктивні дані про порядковий номер вагітності (%), від якої народилися діти </w:t>
      </w:r>
    </w:p>
    <w:p w14:paraId="29B5EC2E"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досліджуваних груп</w:t>
      </w:r>
    </w:p>
    <w:tbl>
      <w:tblPr>
        <w:tblStyle w:val="7"/>
        <w:tblW w:w="0" w:type="auto"/>
        <w:jc w:val="center"/>
        <w:tblLayout w:type="fixed"/>
        <w:tblLook w:val="04A0" w:firstRow="1" w:lastRow="0" w:firstColumn="1" w:lastColumn="0" w:noHBand="0" w:noVBand="1"/>
      </w:tblPr>
      <w:tblGrid>
        <w:gridCol w:w="2209"/>
        <w:gridCol w:w="1137"/>
        <w:gridCol w:w="1134"/>
        <w:gridCol w:w="1329"/>
        <w:gridCol w:w="1410"/>
        <w:gridCol w:w="1410"/>
        <w:gridCol w:w="1353"/>
      </w:tblGrid>
      <w:tr w:rsidR="00CF641C" w:rsidRPr="00520861" w14:paraId="76F6692E" w14:textId="77777777" w:rsidTr="00292D2E">
        <w:trPr>
          <w:jc w:val="center"/>
        </w:trPr>
        <w:tc>
          <w:tcPr>
            <w:tcW w:w="2209" w:type="dxa"/>
            <w:tcBorders>
              <w:top w:val="single" w:sz="4" w:space="0" w:color="auto"/>
              <w:left w:val="single" w:sz="4" w:space="0" w:color="auto"/>
              <w:bottom w:val="single" w:sz="4" w:space="0" w:color="auto"/>
              <w:right w:val="single" w:sz="4" w:space="0" w:color="auto"/>
            </w:tcBorders>
            <w:hideMark/>
          </w:tcPr>
          <w:p w14:paraId="43327335" w14:textId="77777777" w:rsidR="00CF641C" w:rsidRPr="00520861" w:rsidRDefault="00CF641C" w:rsidP="00746220">
            <w:pPr>
              <w:widowControl w:val="0"/>
              <w:spacing w:line="360" w:lineRule="auto"/>
              <w:rPr>
                <w:rFonts w:eastAsia="Calibri" w:cs="Times New Roman"/>
                <w:sz w:val="28"/>
                <w:szCs w:val="28"/>
              </w:rPr>
            </w:pPr>
            <w:r w:rsidRPr="00520861">
              <w:rPr>
                <w:rFonts w:eastAsia="Calibri" w:cs="Times New Roman"/>
                <w:sz w:val="28"/>
                <w:szCs w:val="28"/>
              </w:rPr>
              <w:t xml:space="preserve">Порядковий </w:t>
            </w:r>
          </w:p>
          <w:p w14:paraId="017A9193" w14:textId="77777777" w:rsidR="00CF641C" w:rsidRPr="00520861" w:rsidRDefault="00CF641C" w:rsidP="00746220">
            <w:pPr>
              <w:widowControl w:val="0"/>
              <w:spacing w:line="360" w:lineRule="auto"/>
              <w:rPr>
                <w:rFonts w:eastAsia="Calibri" w:cs="Times New Roman"/>
                <w:sz w:val="28"/>
                <w:szCs w:val="28"/>
              </w:rPr>
            </w:pPr>
            <w:r w:rsidRPr="00520861">
              <w:rPr>
                <w:rFonts w:eastAsia="Calibri" w:cs="Times New Roman"/>
                <w:sz w:val="28"/>
                <w:szCs w:val="28"/>
              </w:rPr>
              <w:t xml:space="preserve">номер </w:t>
            </w:r>
          </w:p>
          <w:p w14:paraId="562F554B" w14:textId="77777777" w:rsidR="00CF641C" w:rsidRPr="00520861" w:rsidRDefault="00CF641C" w:rsidP="00746220">
            <w:pPr>
              <w:widowControl w:val="0"/>
              <w:spacing w:line="360" w:lineRule="auto"/>
              <w:rPr>
                <w:rFonts w:eastAsia="Calibri" w:cs="Times New Roman"/>
                <w:sz w:val="28"/>
                <w:szCs w:val="28"/>
              </w:rPr>
            </w:pPr>
            <w:r w:rsidRPr="00520861">
              <w:rPr>
                <w:rFonts w:eastAsia="Calibri" w:cs="Times New Roman"/>
                <w:sz w:val="28"/>
                <w:szCs w:val="28"/>
              </w:rPr>
              <w:t xml:space="preserve">вагітності </w:t>
            </w:r>
          </w:p>
        </w:tc>
        <w:tc>
          <w:tcPr>
            <w:tcW w:w="1137" w:type="dxa"/>
            <w:tcBorders>
              <w:top w:val="single" w:sz="4" w:space="0" w:color="auto"/>
              <w:left w:val="single" w:sz="4" w:space="0" w:color="auto"/>
              <w:bottom w:val="single" w:sz="4" w:space="0" w:color="auto"/>
              <w:right w:val="single" w:sz="4" w:space="0" w:color="auto"/>
            </w:tcBorders>
            <w:hideMark/>
          </w:tcPr>
          <w:p w14:paraId="70E8147B"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Перша група</w:t>
            </w:r>
          </w:p>
        </w:tc>
        <w:tc>
          <w:tcPr>
            <w:tcW w:w="1134" w:type="dxa"/>
            <w:tcBorders>
              <w:top w:val="single" w:sz="4" w:space="0" w:color="auto"/>
              <w:left w:val="single" w:sz="4" w:space="0" w:color="auto"/>
              <w:bottom w:val="single" w:sz="4" w:space="0" w:color="auto"/>
              <w:right w:val="single" w:sz="4" w:space="0" w:color="auto"/>
            </w:tcBorders>
            <w:hideMark/>
          </w:tcPr>
          <w:p w14:paraId="1266B01E"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Друга група</w:t>
            </w:r>
          </w:p>
        </w:tc>
        <w:tc>
          <w:tcPr>
            <w:tcW w:w="1329" w:type="dxa"/>
            <w:tcBorders>
              <w:top w:val="single" w:sz="4" w:space="0" w:color="auto"/>
              <w:left w:val="single" w:sz="4" w:space="0" w:color="auto"/>
              <w:bottom w:val="single" w:sz="4" w:space="0" w:color="auto"/>
              <w:right w:val="single" w:sz="4" w:space="0" w:color="auto"/>
            </w:tcBorders>
            <w:hideMark/>
          </w:tcPr>
          <w:p w14:paraId="087F2513"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Третя група</w:t>
            </w:r>
          </w:p>
        </w:tc>
        <w:tc>
          <w:tcPr>
            <w:tcW w:w="1410" w:type="dxa"/>
            <w:tcBorders>
              <w:top w:val="single" w:sz="4" w:space="0" w:color="auto"/>
              <w:left w:val="single" w:sz="4" w:space="0" w:color="auto"/>
              <w:bottom w:val="single" w:sz="4" w:space="0" w:color="auto"/>
              <w:right w:val="single" w:sz="4" w:space="0" w:color="auto"/>
            </w:tcBorders>
            <w:hideMark/>
          </w:tcPr>
          <w:p w14:paraId="10BE09E5"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Четверта група</w:t>
            </w:r>
          </w:p>
        </w:tc>
        <w:tc>
          <w:tcPr>
            <w:tcW w:w="1410" w:type="dxa"/>
            <w:tcBorders>
              <w:top w:val="single" w:sz="4" w:space="0" w:color="auto"/>
              <w:left w:val="single" w:sz="4" w:space="0" w:color="auto"/>
              <w:bottom w:val="single" w:sz="4" w:space="0" w:color="auto"/>
              <w:right w:val="single" w:sz="4" w:space="0" w:color="auto"/>
            </w:tcBorders>
          </w:tcPr>
          <w:p w14:paraId="658E4E50" w14:textId="77777777" w:rsidR="00CF641C" w:rsidRPr="00520861" w:rsidRDefault="00CF641C" w:rsidP="00746220">
            <w:pPr>
              <w:widowControl w:val="0"/>
              <w:spacing w:line="360" w:lineRule="auto"/>
              <w:jc w:val="center"/>
              <w:rPr>
                <w:rFonts w:eastAsia="Calibri" w:cs="Times New Roman"/>
                <w:sz w:val="28"/>
                <w:szCs w:val="28"/>
              </w:rPr>
            </w:pPr>
            <w:proofErr w:type="spellStart"/>
            <w:r w:rsidRPr="00520861">
              <w:rPr>
                <w:rFonts w:eastAsia="Calibri" w:cs="Times New Roman"/>
                <w:sz w:val="28"/>
                <w:szCs w:val="28"/>
              </w:rPr>
              <w:t>Макросоми</w:t>
            </w:r>
            <w:proofErr w:type="spellEnd"/>
            <w:r w:rsidRPr="00520861">
              <w:rPr>
                <w:rFonts w:eastAsia="Calibri" w:cs="Times New Roman"/>
                <w:sz w:val="28"/>
                <w:szCs w:val="28"/>
              </w:rPr>
              <w:t xml:space="preserve"> </w:t>
            </w:r>
          </w:p>
          <w:p w14:paraId="1F5F2EC7"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 xml:space="preserve">разом </w:t>
            </w:r>
          </w:p>
        </w:tc>
        <w:tc>
          <w:tcPr>
            <w:tcW w:w="1353" w:type="dxa"/>
            <w:tcBorders>
              <w:top w:val="single" w:sz="4" w:space="0" w:color="auto"/>
              <w:left w:val="single" w:sz="4" w:space="0" w:color="auto"/>
              <w:bottom w:val="single" w:sz="4" w:space="0" w:color="auto"/>
              <w:right w:val="single" w:sz="4" w:space="0" w:color="auto"/>
            </w:tcBorders>
            <w:hideMark/>
          </w:tcPr>
          <w:p w14:paraId="2192485C" w14:textId="77777777" w:rsidR="00CF641C" w:rsidRPr="00520861" w:rsidRDefault="00CF641C" w:rsidP="00746220">
            <w:pPr>
              <w:widowControl w:val="0"/>
              <w:spacing w:line="360" w:lineRule="auto"/>
              <w:jc w:val="center"/>
              <w:rPr>
                <w:rFonts w:eastAsia="Calibri" w:cs="Times New Roman"/>
                <w:sz w:val="28"/>
                <w:szCs w:val="28"/>
              </w:rPr>
            </w:pPr>
            <w:proofErr w:type="spellStart"/>
            <w:r w:rsidRPr="00520861">
              <w:rPr>
                <w:rFonts w:eastAsia="Calibri" w:cs="Times New Roman"/>
                <w:sz w:val="28"/>
                <w:szCs w:val="28"/>
              </w:rPr>
              <w:t>Нормосоми</w:t>
            </w:r>
            <w:proofErr w:type="spellEnd"/>
            <w:r w:rsidRPr="00520861">
              <w:rPr>
                <w:rFonts w:eastAsia="Calibri" w:cs="Times New Roman"/>
                <w:sz w:val="28"/>
                <w:szCs w:val="28"/>
              </w:rPr>
              <w:t xml:space="preserve"> </w:t>
            </w:r>
          </w:p>
          <w:p w14:paraId="03EEB084"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разом</w:t>
            </w:r>
          </w:p>
        </w:tc>
      </w:tr>
      <w:tr w:rsidR="00CF641C" w:rsidRPr="00520861" w14:paraId="4F0A60A6" w14:textId="77777777" w:rsidTr="00292D2E">
        <w:trPr>
          <w:jc w:val="center"/>
        </w:trPr>
        <w:tc>
          <w:tcPr>
            <w:tcW w:w="2209" w:type="dxa"/>
            <w:tcBorders>
              <w:top w:val="single" w:sz="4" w:space="0" w:color="auto"/>
              <w:left w:val="single" w:sz="4" w:space="0" w:color="auto"/>
              <w:bottom w:val="single" w:sz="4" w:space="0" w:color="auto"/>
              <w:right w:val="single" w:sz="4" w:space="0" w:color="auto"/>
            </w:tcBorders>
            <w:hideMark/>
          </w:tcPr>
          <w:p w14:paraId="662DF083" w14:textId="77777777" w:rsidR="00CF641C" w:rsidRPr="00520861" w:rsidRDefault="00CF641C" w:rsidP="00746220">
            <w:pPr>
              <w:widowControl w:val="0"/>
              <w:spacing w:line="360" w:lineRule="auto"/>
              <w:rPr>
                <w:rFonts w:eastAsia="Calibri" w:cs="Times New Roman"/>
                <w:sz w:val="28"/>
                <w:szCs w:val="28"/>
              </w:rPr>
            </w:pPr>
            <w:r w:rsidRPr="00520861">
              <w:rPr>
                <w:rFonts w:eastAsia="Calibri" w:cs="Times New Roman"/>
                <w:sz w:val="28"/>
                <w:szCs w:val="28"/>
              </w:rPr>
              <w:t>Перша</w:t>
            </w:r>
          </w:p>
        </w:tc>
        <w:tc>
          <w:tcPr>
            <w:tcW w:w="1137" w:type="dxa"/>
            <w:tcBorders>
              <w:top w:val="single" w:sz="4" w:space="0" w:color="auto"/>
              <w:left w:val="single" w:sz="4" w:space="0" w:color="auto"/>
              <w:bottom w:val="single" w:sz="4" w:space="0" w:color="auto"/>
              <w:right w:val="single" w:sz="4" w:space="0" w:color="auto"/>
            </w:tcBorders>
            <w:hideMark/>
          </w:tcPr>
          <w:p w14:paraId="0B70B386" w14:textId="77777777" w:rsidR="00CF641C" w:rsidRPr="00520861" w:rsidRDefault="00CF641C" w:rsidP="00746220">
            <w:pPr>
              <w:widowControl w:val="0"/>
              <w:spacing w:line="360" w:lineRule="auto"/>
              <w:ind w:right="-104" w:hanging="114"/>
              <w:jc w:val="center"/>
              <w:rPr>
                <w:rFonts w:eastAsia="Calibri" w:cs="Times New Roman"/>
                <w:sz w:val="28"/>
                <w:szCs w:val="28"/>
              </w:rPr>
            </w:pPr>
            <w:r w:rsidRPr="00520861">
              <w:rPr>
                <w:rFonts w:eastAsia="Calibri" w:cs="Times New Roman"/>
                <w:sz w:val="28"/>
                <w:szCs w:val="28"/>
              </w:rPr>
              <w:t xml:space="preserve">19 </w:t>
            </w:r>
          </w:p>
          <w:p w14:paraId="7DA3DEAA" w14:textId="77777777" w:rsidR="00CF641C" w:rsidRPr="00520861" w:rsidRDefault="00CF641C" w:rsidP="00746220">
            <w:pPr>
              <w:widowControl w:val="0"/>
              <w:spacing w:line="360" w:lineRule="auto"/>
              <w:ind w:right="-104" w:hanging="114"/>
              <w:jc w:val="center"/>
              <w:rPr>
                <w:rFonts w:eastAsia="Calibri" w:cs="Times New Roman"/>
                <w:sz w:val="28"/>
                <w:szCs w:val="28"/>
              </w:rPr>
            </w:pPr>
            <w:r w:rsidRPr="00520861">
              <w:rPr>
                <w:rFonts w:eastAsia="Calibri" w:cs="Times New Roman"/>
                <w:sz w:val="28"/>
                <w:szCs w:val="28"/>
              </w:rPr>
              <w:t>(54%)</w:t>
            </w:r>
          </w:p>
        </w:tc>
        <w:tc>
          <w:tcPr>
            <w:tcW w:w="1134" w:type="dxa"/>
            <w:tcBorders>
              <w:top w:val="single" w:sz="4" w:space="0" w:color="auto"/>
              <w:left w:val="single" w:sz="4" w:space="0" w:color="auto"/>
              <w:bottom w:val="single" w:sz="4" w:space="0" w:color="auto"/>
              <w:right w:val="single" w:sz="4" w:space="0" w:color="auto"/>
            </w:tcBorders>
            <w:hideMark/>
          </w:tcPr>
          <w:p w14:paraId="12A20870" w14:textId="77777777" w:rsidR="00CF641C" w:rsidRPr="00520861" w:rsidRDefault="00CF641C" w:rsidP="00746220">
            <w:pPr>
              <w:widowControl w:val="0"/>
              <w:spacing w:line="360" w:lineRule="auto"/>
              <w:ind w:right="-105" w:hanging="98"/>
              <w:jc w:val="center"/>
              <w:rPr>
                <w:rFonts w:eastAsia="Calibri" w:cs="Times New Roman"/>
                <w:sz w:val="28"/>
                <w:szCs w:val="28"/>
              </w:rPr>
            </w:pPr>
            <w:r w:rsidRPr="00520861">
              <w:rPr>
                <w:rFonts w:eastAsia="Calibri" w:cs="Times New Roman"/>
                <w:sz w:val="28"/>
                <w:szCs w:val="28"/>
              </w:rPr>
              <w:t xml:space="preserve">15 </w:t>
            </w:r>
          </w:p>
          <w:p w14:paraId="6D2A5AB8" w14:textId="77777777" w:rsidR="00CF641C" w:rsidRPr="00520861" w:rsidRDefault="00CF641C" w:rsidP="00746220">
            <w:pPr>
              <w:widowControl w:val="0"/>
              <w:spacing w:line="360" w:lineRule="auto"/>
              <w:ind w:right="-105" w:hanging="98"/>
              <w:jc w:val="center"/>
              <w:rPr>
                <w:rFonts w:eastAsia="Calibri" w:cs="Times New Roman"/>
                <w:sz w:val="28"/>
                <w:szCs w:val="28"/>
              </w:rPr>
            </w:pPr>
            <w:r w:rsidRPr="00520861">
              <w:rPr>
                <w:rFonts w:eastAsia="Calibri" w:cs="Times New Roman"/>
                <w:sz w:val="28"/>
                <w:szCs w:val="28"/>
              </w:rPr>
              <w:t>(52%)</w:t>
            </w:r>
          </w:p>
        </w:tc>
        <w:tc>
          <w:tcPr>
            <w:tcW w:w="1329" w:type="dxa"/>
            <w:tcBorders>
              <w:top w:val="single" w:sz="4" w:space="0" w:color="auto"/>
              <w:left w:val="single" w:sz="4" w:space="0" w:color="auto"/>
              <w:bottom w:val="single" w:sz="4" w:space="0" w:color="auto"/>
              <w:right w:val="single" w:sz="4" w:space="0" w:color="auto"/>
            </w:tcBorders>
            <w:hideMark/>
          </w:tcPr>
          <w:p w14:paraId="0CE7413A" w14:textId="77777777" w:rsidR="00CF641C" w:rsidRPr="00520861" w:rsidRDefault="00CF641C" w:rsidP="00746220">
            <w:pPr>
              <w:widowControl w:val="0"/>
              <w:spacing w:line="360" w:lineRule="auto"/>
              <w:ind w:right="-142"/>
              <w:jc w:val="center"/>
              <w:rPr>
                <w:rFonts w:eastAsia="Calibri" w:cs="Times New Roman"/>
                <w:sz w:val="28"/>
                <w:szCs w:val="28"/>
              </w:rPr>
            </w:pPr>
            <w:r w:rsidRPr="00520861">
              <w:rPr>
                <w:rFonts w:eastAsia="Calibri" w:cs="Times New Roman"/>
                <w:sz w:val="28"/>
                <w:szCs w:val="28"/>
              </w:rPr>
              <w:t xml:space="preserve">10 </w:t>
            </w:r>
          </w:p>
          <w:p w14:paraId="1EBE15A1" w14:textId="77777777" w:rsidR="00CF641C" w:rsidRPr="00520861" w:rsidRDefault="00CF641C" w:rsidP="00746220">
            <w:pPr>
              <w:widowControl w:val="0"/>
              <w:spacing w:line="360" w:lineRule="auto"/>
              <w:ind w:right="-142"/>
              <w:jc w:val="center"/>
              <w:rPr>
                <w:rFonts w:eastAsia="Calibri" w:cs="Times New Roman"/>
                <w:sz w:val="28"/>
                <w:szCs w:val="28"/>
              </w:rPr>
            </w:pPr>
            <w:r w:rsidRPr="00520861">
              <w:rPr>
                <w:rFonts w:eastAsia="Calibri" w:cs="Times New Roman"/>
                <w:sz w:val="28"/>
                <w:szCs w:val="28"/>
              </w:rPr>
              <w:t>(25%)</w:t>
            </w:r>
          </w:p>
        </w:tc>
        <w:tc>
          <w:tcPr>
            <w:tcW w:w="1410" w:type="dxa"/>
            <w:tcBorders>
              <w:top w:val="single" w:sz="4" w:space="0" w:color="auto"/>
              <w:left w:val="single" w:sz="4" w:space="0" w:color="auto"/>
              <w:bottom w:val="single" w:sz="4" w:space="0" w:color="auto"/>
              <w:right w:val="single" w:sz="4" w:space="0" w:color="auto"/>
            </w:tcBorders>
            <w:hideMark/>
          </w:tcPr>
          <w:p w14:paraId="7D5086DE"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 xml:space="preserve">20 </w:t>
            </w:r>
          </w:p>
          <w:p w14:paraId="1552FA7F"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(52%)</w:t>
            </w:r>
          </w:p>
        </w:tc>
        <w:tc>
          <w:tcPr>
            <w:tcW w:w="1410" w:type="dxa"/>
            <w:tcBorders>
              <w:top w:val="single" w:sz="4" w:space="0" w:color="auto"/>
              <w:left w:val="single" w:sz="4" w:space="0" w:color="auto"/>
              <w:bottom w:val="single" w:sz="4" w:space="0" w:color="auto"/>
              <w:right w:val="single" w:sz="4" w:space="0" w:color="auto"/>
            </w:tcBorders>
            <w:hideMark/>
          </w:tcPr>
          <w:p w14:paraId="2B6099C1" w14:textId="77777777" w:rsidR="00CF641C" w:rsidRPr="00520861" w:rsidRDefault="00CF641C" w:rsidP="00746220">
            <w:pPr>
              <w:widowControl w:val="0"/>
              <w:spacing w:line="360" w:lineRule="auto"/>
              <w:ind w:right="-134"/>
              <w:jc w:val="center"/>
              <w:rPr>
                <w:rFonts w:eastAsia="Calibri" w:cs="Times New Roman"/>
                <w:sz w:val="28"/>
                <w:szCs w:val="28"/>
              </w:rPr>
            </w:pPr>
            <w:r w:rsidRPr="00520861">
              <w:rPr>
                <w:rFonts w:eastAsia="Calibri" w:cs="Times New Roman"/>
                <w:sz w:val="28"/>
                <w:szCs w:val="28"/>
              </w:rPr>
              <w:t xml:space="preserve">29 </w:t>
            </w:r>
          </w:p>
          <w:p w14:paraId="33F73CC2" w14:textId="77777777" w:rsidR="00CF641C" w:rsidRPr="00520861" w:rsidRDefault="00CF641C" w:rsidP="00746220">
            <w:pPr>
              <w:widowControl w:val="0"/>
              <w:spacing w:line="360" w:lineRule="auto"/>
              <w:ind w:right="-134"/>
              <w:jc w:val="center"/>
              <w:rPr>
                <w:rFonts w:eastAsia="Calibri" w:cs="Times New Roman"/>
                <w:sz w:val="28"/>
                <w:szCs w:val="28"/>
              </w:rPr>
            </w:pPr>
            <w:r w:rsidRPr="00520861">
              <w:rPr>
                <w:rFonts w:eastAsia="Calibri" w:cs="Times New Roman"/>
                <w:sz w:val="28"/>
                <w:szCs w:val="28"/>
              </w:rPr>
              <w:t>(49,2%)</w:t>
            </w:r>
          </w:p>
        </w:tc>
        <w:tc>
          <w:tcPr>
            <w:tcW w:w="1353" w:type="dxa"/>
            <w:tcBorders>
              <w:top w:val="single" w:sz="4" w:space="0" w:color="auto"/>
              <w:left w:val="single" w:sz="4" w:space="0" w:color="auto"/>
              <w:bottom w:val="single" w:sz="4" w:space="0" w:color="auto"/>
              <w:right w:val="single" w:sz="4" w:space="0" w:color="auto"/>
            </w:tcBorders>
            <w:hideMark/>
          </w:tcPr>
          <w:p w14:paraId="2EE2A86F" w14:textId="77777777" w:rsidR="00CF641C" w:rsidRPr="00520861" w:rsidRDefault="00CF641C" w:rsidP="00746220">
            <w:pPr>
              <w:widowControl w:val="0"/>
              <w:spacing w:line="360" w:lineRule="auto"/>
              <w:ind w:right="-140" w:hanging="75"/>
              <w:jc w:val="center"/>
              <w:rPr>
                <w:rFonts w:eastAsia="Calibri" w:cs="Times New Roman"/>
                <w:sz w:val="28"/>
                <w:szCs w:val="28"/>
              </w:rPr>
            </w:pPr>
            <w:r w:rsidRPr="00520861">
              <w:rPr>
                <w:rFonts w:eastAsia="Calibri" w:cs="Times New Roman"/>
                <w:sz w:val="28"/>
                <w:szCs w:val="28"/>
              </w:rPr>
              <w:t xml:space="preserve">25 </w:t>
            </w:r>
          </w:p>
          <w:p w14:paraId="48646884" w14:textId="77777777" w:rsidR="00CF641C" w:rsidRPr="00520861" w:rsidRDefault="00CF641C" w:rsidP="00746220">
            <w:pPr>
              <w:widowControl w:val="0"/>
              <w:spacing w:line="360" w:lineRule="auto"/>
              <w:ind w:right="-140" w:hanging="75"/>
              <w:jc w:val="center"/>
              <w:rPr>
                <w:rFonts w:eastAsia="Calibri" w:cs="Times New Roman"/>
                <w:sz w:val="28"/>
                <w:szCs w:val="28"/>
              </w:rPr>
            </w:pPr>
            <w:r w:rsidRPr="00520861">
              <w:rPr>
                <w:rFonts w:eastAsia="Calibri" w:cs="Times New Roman"/>
                <w:sz w:val="28"/>
                <w:szCs w:val="28"/>
              </w:rPr>
              <w:t>(37,3%)</w:t>
            </w:r>
          </w:p>
        </w:tc>
      </w:tr>
      <w:tr w:rsidR="00CF641C" w:rsidRPr="00520861" w14:paraId="3A69C07F" w14:textId="77777777" w:rsidTr="00292D2E">
        <w:trPr>
          <w:jc w:val="center"/>
        </w:trPr>
        <w:tc>
          <w:tcPr>
            <w:tcW w:w="2209" w:type="dxa"/>
            <w:tcBorders>
              <w:top w:val="single" w:sz="4" w:space="0" w:color="auto"/>
              <w:left w:val="single" w:sz="4" w:space="0" w:color="auto"/>
              <w:bottom w:val="single" w:sz="4" w:space="0" w:color="auto"/>
              <w:right w:val="single" w:sz="4" w:space="0" w:color="auto"/>
            </w:tcBorders>
            <w:hideMark/>
          </w:tcPr>
          <w:p w14:paraId="5C2AB232" w14:textId="77777777" w:rsidR="00CF641C" w:rsidRPr="00520861" w:rsidRDefault="00CF641C" w:rsidP="00746220">
            <w:pPr>
              <w:widowControl w:val="0"/>
              <w:spacing w:line="360" w:lineRule="auto"/>
              <w:rPr>
                <w:rFonts w:eastAsia="Calibri" w:cs="Times New Roman"/>
                <w:sz w:val="28"/>
                <w:szCs w:val="28"/>
              </w:rPr>
            </w:pPr>
            <w:r w:rsidRPr="00520861">
              <w:rPr>
                <w:rFonts w:eastAsia="Calibri" w:cs="Times New Roman"/>
                <w:sz w:val="28"/>
                <w:szCs w:val="28"/>
              </w:rPr>
              <w:t>Друга</w:t>
            </w:r>
          </w:p>
        </w:tc>
        <w:tc>
          <w:tcPr>
            <w:tcW w:w="1137" w:type="dxa"/>
            <w:tcBorders>
              <w:top w:val="single" w:sz="4" w:space="0" w:color="auto"/>
              <w:left w:val="single" w:sz="4" w:space="0" w:color="auto"/>
              <w:bottom w:val="single" w:sz="4" w:space="0" w:color="auto"/>
              <w:right w:val="single" w:sz="4" w:space="0" w:color="auto"/>
            </w:tcBorders>
            <w:hideMark/>
          </w:tcPr>
          <w:p w14:paraId="6D030599"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8 (22%)</w:t>
            </w:r>
          </w:p>
        </w:tc>
        <w:tc>
          <w:tcPr>
            <w:tcW w:w="1134" w:type="dxa"/>
            <w:tcBorders>
              <w:top w:val="single" w:sz="4" w:space="0" w:color="auto"/>
              <w:left w:val="single" w:sz="4" w:space="0" w:color="auto"/>
              <w:bottom w:val="single" w:sz="4" w:space="0" w:color="auto"/>
              <w:right w:val="single" w:sz="4" w:space="0" w:color="auto"/>
            </w:tcBorders>
            <w:hideMark/>
          </w:tcPr>
          <w:p w14:paraId="27FAABD4"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9 (32%)</w:t>
            </w:r>
          </w:p>
        </w:tc>
        <w:tc>
          <w:tcPr>
            <w:tcW w:w="1329" w:type="dxa"/>
            <w:tcBorders>
              <w:top w:val="single" w:sz="4" w:space="0" w:color="auto"/>
              <w:left w:val="single" w:sz="4" w:space="0" w:color="auto"/>
              <w:bottom w:val="single" w:sz="4" w:space="0" w:color="auto"/>
              <w:right w:val="single" w:sz="4" w:space="0" w:color="auto"/>
            </w:tcBorders>
            <w:hideMark/>
          </w:tcPr>
          <w:p w14:paraId="569EB78F"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8 (46%)</w:t>
            </w:r>
          </w:p>
        </w:tc>
        <w:tc>
          <w:tcPr>
            <w:tcW w:w="1410" w:type="dxa"/>
            <w:tcBorders>
              <w:top w:val="single" w:sz="4" w:space="0" w:color="auto"/>
              <w:left w:val="single" w:sz="4" w:space="0" w:color="auto"/>
              <w:bottom w:val="single" w:sz="4" w:space="0" w:color="auto"/>
              <w:right w:val="single" w:sz="4" w:space="0" w:color="auto"/>
            </w:tcBorders>
            <w:hideMark/>
          </w:tcPr>
          <w:p w14:paraId="21F4D719"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10 (26%)</w:t>
            </w:r>
          </w:p>
        </w:tc>
        <w:tc>
          <w:tcPr>
            <w:tcW w:w="1410" w:type="dxa"/>
            <w:tcBorders>
              <w:top w:val="single" w:sz="4" w:space="0" w:color="auto"/>
              <w:left w:val="single" w:sz="4" w:space="0" w:color="auto"/>
              <w:bottom w:val="single" w:sz="4" w:space="0" w:color="auto"/>
              <w:right w:val="single" w:sz="4" w:space="0" w:color="auto"/>
            </w:tcBorders>
            <w:hideMark/>
          </w:tcPr>
          <w:p w14:paraId="48EC8E02" w14:textId="77777777" w:rsidR="00CF641C" w:rsidRPr="00520861" w:rsidRDefault="00CF641C" w:rsidP="00746220">
            <w:pPr>
              <w:widowControl w:val="0"/>
              <w:spacing w:line="360" w:lineRule="auto"/>
              <w:ind w:right="-134" w:hanging="83"/>
              <w:jc w:val="center"/>
              <w:rPr>
                <w:rFonts w:eastAsia="Calibri" w:cs="Times New Roman"/>
                <w:sz w:val="28"/>
                <w:szCs w:val="28"/>
              </w:rPr>
            </w:pPr>
            <w:r w:rsidRPr="00520861">
              <w:rPr>
                <w:rFonts w:eastAsia="Calibri" w:cs="Times New Roman"/>
                <w:sz w:val="28"/>
                <w:szCs w:val="28"/>
              </w:rPr>
              <w:t>16 (27,1%)</w:t>
            </w:r>
          </w:p>
        </w:tc>
        <w:tc>
          <w:tcPr>
            <w:tcW w:w="1353" w:type="dxa"/>
            <w:tcBorders>
              <w:top w:val="single" w:sz="4" w:space="0" w:color="auto"/>
              <w:left w:val="single" w:sz="4" w:space="0" w:color="auto"/>
              <w:bottom w:val="single" w:sz="4" w:space="0" w:color="auto"/>
              <w:right w:val="single" w:sz="4" w:space="0" w:color="auto"/>
            </w:tcBorders>
            <w:hideMark/>
          </w:tcPr>
          <w:p w14:paraId="3610B7D9" w14:textId="77777777" w:rsidR="00CF641C" w:rsidRPr="00520861" w:rsidRDefault="00CF641C" w:rsidP="00746220">
            <w:pPr>
              <w:widowControl w:val="0"/>
              <w:spacing w:line="360" w:lineRule="auto"/>
              <w:ind w:right="-140" w:hanging="75"/>
              <w:jc w:val="center"/>
              <w:rPr>
                <w:rFonts w:eastAsia="Calibri" w:cs="Times New Roman"/>
                <w:sz w:val="28"/>
                <w:szCs w:val="28"/>
              </w:rPr>
            </w:pPr>
            <w:r w:rsidRPr="00520861">
              <w:rPr>
                <w:rFonts w:eastAsia="Calibri" w:cs="Times New Roman"/>
                <w:sz w:val="28"/>
                <w:szCs w:val="28"/>
              </w:rPr>
              <w:t>19 (28,4%)</w:t>
            </w:r>
          </w:p>
        </w:tc>
      </w:tr>
      <w:tr w:rsidR="00CF641C" w:rsidRPr="00520861" w14:paraId="01242D88" w14:textId="77777777" w:rsidTr="00292D2E">
        <w:trPr>
          <w:jc w:val="center"/>
        </w:trPr>
        <w:tc>
          <w:tcPr>
            <w:tcW w:w="2209" w:type="dxa"/>
            <w:tcBorders>
              <w:top w:val="single" w:sz="4" w:space="0" w:color="auto"/>
              <w:left w:val="single" w:sz="4" w:space="0" w:color="auto"/>
              <w:bottom w:val="single" w:sz="4" w:space="0" w:color="auto"/>
              <w:right w:val="single" w:sz="4" w:space="0" w:color="auto"/>
            </w:tcBorders>
            <w:hideMark/>
          </w:tcPr>
          <w:p w14:paraId="060A989D" w14:textId="77777777" w:rsidR="00CF641C" w:rsidRPr="00520861" w:rsidRDefault="00CF641C" w:rsidP="00746220">
            <w:pPr>
              <w:widowControl w:val="0"/>
              <w:spacing w:line="360" w:lineRule="auto"/>
              <w:rPr>
                <w:rFonts w:eastAsia="Calibri" w:cs="Times New Roman"/>
                <w:sz w:val="28"/>
                <w:szCs w:val="28"/>
              </w:rPr>
            </w:pPr>
            <w:r w:rsidRPr="00520861">
              <w:rPr>
                <w:rFonts w:eastAsia="Calibri" w:cs="Times New Roman"/>
                <w:sz w:val="28"/>
                <w:szCs w:val="28"/>
              </w:rPr>
              <w:t>Третя</w:t>
            </w:r>
          </w:p>
        </w:tc>
        <w:tc>
          <w:tcPr>
            <w:tcW w:w="1137" w:type="dxa"/>
            <w:tcBorders>
              <w:top w:val="single" w:sz="4" w:space="0" w:color="auto"/>
              <w:left w:val="single" w:sz="4" w:space="0" w:color="auto"/>
              <w:bottom w:val="single" w:sz="4" w:space="0" w:color="auto"/>
              <w:right w:val="single" w:sz="4" w:space="0" w:color="auto"/>
            </w:tcBorders>
            <w:hideMark/>
          </w:tcPr>
          <w:p w14:paraId="5F8D75A8"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3 (9%)</w:t>
            </w:r>
          </w:p>
        </w:tc>
        <w:tc>
          <w:tcPr>
            <w:tcW w:w="1134" w:type="dxa"/>
            <w:tcBorders>
              <w:top w:val="single" w:sz="4" w:space="0" w:color="auto"/>
              <w:left w:val="single" w:sz="4" w:space="0" w:color="auto"/>
              <w:bottom w:val="single" w:sz="4" w:space="0" w:color="auto"/>
              <w:right w:val="single" w:sz="4" w:space="0" w:color="auto"/>
            </w:tcBorders>
            <w:hideMark/>
          </w:tcPr>
          <w:p w14:paraId="50E797D4"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2 (7%)</w:t>
            </w:r>
          </w:p>
        </w:tc>
        <w:tc>
          <w:tcPr>
            <w:tcW w:w="1329" w:type="dxa"/>
            <w:tcBorders>
              <w:top w:val="single" w:sz="4" w:space="0" w:color="auto"/>
              <w:left w:val="single" w:sz="4" w:space="0" w:color="auto"/>
              <w:bottom w:val="single" w:sz="4" w:space="0" w:color="auto"/>
              <w:right w:val="single" w:sz="4" w:space="0" w:color="auto"/>
            </w:tcBorders>
            <w:hideMark/>
          </w:tcPr>
          <w:p w14:paraId="5FB88C23"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4 (17%)</w:t>
            </w:r>
          </w:p>
        </w:tc>
        <w:tc>
          <w:tcPr>
            <w:tcW w:w="1410" w:type="dxa"/>
            <w:tcBorders>
              <w:top w:val="single" w:sz="4" w:space="0" w:color="auto"/>
              <w:left w:val="single" w:sz="4" w:space="0" w:color="auto"/>
              <w:bottom w:val="single" w:sz="4" w:space="0" w:color="auto"/>
              <w:right w:val="single" w:sz="4" w:space="0" w:color="auto"/>
            </w:tcBorders>
            <w:hideMark/>
          </w:tcPr>
          <w:p w14:paraId="45E4F8AD"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3 (8%)</w:t>
            </w:r>
          </w:p>
        </w:tc>
        <w:tc>
          <w:tcPr>
            <w:tcW w:w="1410" w:type="dxa"/>
            <w:tcBorders>
              <w:top w:val="single" w:sz="4" w:space="0" w:color="auto"/>
              <w:left w:val="single" w:sz="4" w:space="0" w:color="auto"/>
              <w:bottom w:val="single" w:sz="4" w:space="0" w:color="auto"/>
              <w:right w:val="single" w:sz="4" w:space="0" w:color="auto"/>
            </w:tcBorders>
            <w:hideMark/>
          </w:tcPr>
          <w:p w14:paraId="7C24D624"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7 (11,9%)</w:t>
            </w:r>
          </w:p>
        </w:tc>
        <w:tc>
          <w:tcPr>
            <w:tcW w:w="1353" w:type="dxa"/>
            <w:tcBorders>
              <w:top w:val="single" w:sz="4" w:space="0" w:color="auto"/>
              <w:left w:val="single" w:sz="4" w:space="0" w:color="auto"/>
              <w:bottom w:val="single" w:sz="4" w:space="0" w:color="auto"/>
              <w:right w:val="single" w:sz="4" w:space="0" w:color="auto"/>
            </w:tcBorders>
            <w:hideMark/>
          </w:tcPr>
          <w:p w14:paraId="2C38265B"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5 (7,5%)</w:t>
            </w:r>
          </w:p>
        </w:tc>
      </w:tr>
      <w:tr w:rsidR="00CF641C" w:rsidRPr="00520861" w14:paraId="1FE9CAD4" w14:textId="77777777" w:rsidTr="00292D2E">
        <w:trPr>
          <w:jc w:val="center"/>
        </w:trPr>
        <w:tc>
          <w:tcPr>
            <w:tcW w:w="2209" w:type="dxa"/>
            <w:tcBorders>
              <w:top w:val="single" w:sz="4" w:space="0" w:color="auto"/>
              <w:left w:val="single" w:sz="4" w:space="0" w:color="auto"/>
              <w:bottom w:val="single" w:sz="4" w:space="0" w:color="auto"/>
              <w:right w:val="single" w:sz="4" w:space="0" w:color="auto"/>
            </w:tcBorders>
            <w:hideMark/>
          </w:tcPr>
          <w:p w14:paraId="63F35DEC" w14:textId="77777777" w:rsidR="00CF641C" w:rsidRPr="00520861" w:rsidRDefault="00CF641C" w:rsidP="00746220">
            <w:pPr>
              <w:widowControl w:val="0"/>
              <w:spacing w:line="360" w:lineRule="auto"/>
              <w:rPr>
                <w:rFonts w:eastAsia="Calibri" w:cs="Times New Roman"/>
                <w:sz w:val="28"/>
                <w:szCs w:val="28"/>
              </w:rPr>
            </w:pPr>
            <w:r w:rsidRPr="00520861">
              <w:rPr>
                <w:rFonts w:eastAsia="Calibri" w:cs="Times New Roman"/>
                <w:sz w:val="28"/>
                <w:szCs w:val="28"/>
              </w:rPr>
              <w:t>Четверта</w:t>
            </w:r>
          </w:p>
        </w:tc>
        <w:tc>
          <w:tcPr>
            <w:tcW w:w="1137" w:type="dxa"/>
            <w:tcBorders>
              <w:top w:val="single" w:sz="4" w:space="0" w:color="auto"/>
              <w:left w:val="single" w:sz="4" w:space="0" w:color="auto"/>
              <w:bottom w:val="single" w:sz="4" w:space="0" w:color="auto"/>
              <w:right w:val="single" w:sz="4" w:space="0" w:color="auto"/>
            </w:tcBorders>
            <w:hideMark/>
          </w:tcPr>
          <w:p w14:paraId="0A670453"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3 (9%)</w:t>
            </w:r>
          </w:p>
        </w:tc>
        <w:tc>
          <w:tcPr>
            <w:tcW w:w="1134" w:type="dxa"/>
            <w:tcBorders>
              <w:top w:val="single" w:sz="4" w:space="0" w:color="auto"/>
              <w:left w:val="single" w:sz="4" w:space="0" w:color="auto"/>
              <w:bottom w:val="single" w:sz="4" w:space="0" w:color="auto"/>
              <w:right w:val="single" w:sz="4" w:space="0" w:color="auto"/>
            </w:tcBorders>
            <w:hideMark/>
          </w:tcPr>
          <w:p w14:paraId="2D1D9E13"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 (3%)</w:t>
            </w:r>
          </w:p>
        </w:tc>
        <w:tc>
          <w:tcPr>
            <w:tcW w:w="1329" w:type="dxa"/>
            <w:tcBorders>
              <w:top w:val="single" w:sz="4" w:space="0" w:color="auto"/>
              <w:left w:val="single" w:sz="4" w:space="0" w:color="auto"/>
              <w:bottom w:val="single" w:sz="4" w:space="0" w:color="auto"/>
              <w:right w:val="single" w:sz="4" w:space="0" w:color="auto"/>
            </w:tcBorders>
            <w:hideMark/>
          </w:tcPr>
          <w:p w14:paraId="64460209"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w:t>
            </w:r>
          </w:p>
        </w:tc>
        <w:tc>
          <w:tcPr>
            <w:tcW w:w="1410" w:type="dxa"/>
            <w:tcBorders>
              <w:top w:val="single" w:sz="4" w:space="0" w:color="auto"/>
              <w:left w:val="single" w:sz="4" w:space="0" w:color="auto"/>
              <w:bottom w:val="single" w:sz="4" w:space="0" w:color="auto"/>
              <w:right w:val="single" w:sz="4" w:space="0" w:color="auto"/>
            </w:tcBorders>
            <w:hideMark/>
          </w:tcPr>
          <w:p w14:paraId="6CC909E1"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3 (8%)</w:t>
            </w:r>
          </w:p>
        </w:tc>
        <w:tc>
          <w:tcPr>
            <w:tcW w:w="1410" w:type="dxa"/>
            <w:tcBorders>
              <w:top w:val="single" w:sz="4" w:space="0" w:color="auto"/>
              <w:left w:val="single" w:sz="4" w:space="0" w:color="auto"/>
              <w:bottom w:val="single" w:sz="4" w:space="0" w:color="auto"/>
              <w:right w:val="single" w:sz="4" w:space="0" w:color="auto"/>
            </w:tcBorders>
            <w:shd w:val="clear" w:color="auto" w:fill="auto"/>
            <w:hideMark/>
          </w:tcPr>
          <w:p w14:paraId="778CEB2E"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6 (10,2%)</w:t>
            </w:r>
          </w:p>
        </w:tc>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74273A05"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4 (6,0%)</w:t>
            </w:r>
          </w:p>
        </w:tc>
      </w:tr>
      <w:tr w:rsidR="00CF641C" w:rsidRPr="00520861" w14:paraId="16E3696C" w14:textId="77777777" w:rsidTr="00292D2E">
        <w:trPr>
          <w:jc w:val="center"/>
        </w:trPr>
        <w:tc>
          <w:tcPr>
            <w:tcW w:w="2209" w:type="dxa"/>
            <w:tcBorders>
              <w:top w:val="single" w:sz="4" w:space="0" w:color="auto"/>
              <w:left w:val="single" w:sz="4" w:space="0" w:color="auto"/>
              <w:bottom w:val="single" w:sz="4" w:space="0" w:color="auto"/>
              <w:right w:val="single" w:sz="4" w:space="0" w:color="auto"/>
            </w:tcBorders>
            <w:hideMark/>
          </w:tcPr>
          <w:p w14:paraId="6716E7FA" w14:textId="77777777" w:rsidR="00CF641C" w:rsidRPr="00520861" w:rsidRDefault="00CF641C" w:rsidP="00746220">
            <w:pPr>
              <w:widowControl w:val="0"/>
              <w:spacing w:line="360" w:lineRule="auto"/>
              <w:rPr>
                <w:rFonts w:eastAsia="Calibri" w:cs="Times New Roman"/>
                <w:sz w:val="28"/>
                <w:szCs w:val="28"/>
              </w:rPr>
            </w:pPr>
            <w:r w:rsidRPr="00520861">
              <w:rPr>
                <w:rFonts w:eastAsia="Calibri" w:cs="Times New Roman"/>
                <w:sz w:val="28"/>
                <w:szCs w:val="28"/>
              </w:rPr>
              <w:t>П’ята</w:t>
            </w:r>
          </w:p>
        </w:tc>
        <w:tc>
          <w:tcPr>
            <w:tcW w:w="1137" w:type="dxa"/>
            <w:tcBorders>
              <w:top w:val="single" w:sz="4" w:space="0" w:color="auto"/>
              <w:left w:val="single" w:sz="4" w:space="0" w:color="auto"/>
              <w:bottom w:val="single" w:sz="4" w:space="0" w:color="auto"/>
              <w:right w:val="single" w:sz="4" w:space="0" w:color="auto"/>
            </w:tcBorders>
            <w:hideMark/>
          </w:tcPr>
          <w:p w14:paraId="74CE4E2A"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2 (6%)</w:t>
            </w:r>
          </w:p>
        </w:tc>
        <w:tc>
          <w:tcPr>
            <w:tcW w:w="1134" w:type="dxa"/>
            <w:tcBorders>
              <w:top w:val="single" w:sz="4" w:space="0" w:color="auto"/>
              <w:left w:val="single" w:sz="4" w:space="0" w:color="auto"/>
              <w:bottom w:val="single" w:sz="4" w:space="0" w:color="auto"/>
              <w:right w:val="single" w:sz="4" w:space="0" w:color="auto"/>
            </w:tcBorders>
            <w:hideMark/>
          </w:tcPr>
          <w:p w14:paraId="29999420"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 (3%)</w:t>
            </w:r>
          </w:p>
        </w:tc>
        <w:tc>
          <w:tcPr>
            <w:tcW w:w="1329" w:type="dxa"/>
            <w:tcBorders>
              <w:top w:val="single" w:sz="4" w:space="0" w:color="auto"/>
              <w:left w:val="single" w:sz="4" w:space="0" w:color="auto"/>
              <w:bottom w:val="single" w:sz="4" w:space="0" w:color="auto"/>
              <w:right w:val="single" w:sz="4" w:space="0" w:color="auto"/>
            </w:tcBorders>
            <w:hideMark/>
          </w:tcPr>
          <w:p w14:paraId="03D454A3"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 (4%)</w:t>
            </w:r>
          </w:p>
        </w:tc>
        <w:tc>
          <w:tcPr>
            <w:tcW w:w="1410" w:type="dxa"/>
            <w:tcBorders>
              <w:top w:val="single" w:sz="4" w:space="0" w:color="auto"/>
              <w:left w:val="single" w:sz="4" w:space="0" w:color="auto"/>
              <w:bottom w:val="single" w:sz="4" w:space="0" w:color="auto"/>
              <w:right w:val="single" w:sz="4" w:space="0" w:color="auto"/>
            </w:tcBorders>
            <w:hideMark/>
          </w:tcPr>
          <w:p w14:paraId="03BFAFDC"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 (3%)</w:t>
            </w:r>
          </w:p>
        </w:tc>
        <w:tc>
          <w:tcPr>
            <w:tcW w:w="1410" w:type="dxa"/>
            <w:tcBorders>
              <w:top w:val="single" w:sz="4" w:space="0" w:color="auto"/>
              <w:left w:val="single" w:sz="4" w:space="0" w:color="auto"/>
              <w:bottom w:val="single" w:sz="4" w:space="0" w:color="auto"/>
              <w:right w:val="single" w:sz="4" w:space="0" w:color="auto"/>
            </w:tcBorders>
            <w:shd w:val="clear" w:color="auto" w:fill="auto"/>
            <w:hideMark/>
          </w:tcPr>
          <w:p w14:paraId="6BCA38B3"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3 (5,1%)</w:t>
            </w:r>
          </w:p>
        </w:tc>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47EE2A8E"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2 (3,0%)</w:t>
            </w:r>
          </w:p>
        </w:tc>
      </w:tr>
      <w:tr w:rsidR="00CF641C" w:rsidRPr="00520861" w14:paraId="0FDFF3AD" w14:textId="77777777" w:rsidTr="00292D2E">
        <w:trPr>
          <w:jc w:val="center"/>
        </w:trPr>
        <w:tc>
          <w:tcPr>
            <w:tcW w:w="2209" w:type="dxa"/>
            <w:tcBorders>
              <w:top w:val="single" w:sz="4" w:space="0" w:color="auto"/>
              <w:left w:val="single" w:sz="4" w:space="0" w:color="auto"/>
              <w:bottom w:val="single" w:sz="4" w:space="0" w:color="auto"/>
              <w:right w:val="single" w:sz="4" w:space="0" w:color="auto"/>
            </w:tcBorders>
            <w:hideMark/>
          </w:tcPr>
          <w:p w14:paraId="2D5013ED" w14:textId="77777777" w:rsidR="00CF641C" w:rsidRPr="00520861" w:rsidRDefault="00CF641C" w:rsidP="00746220">
            <w:pPr>
              <w:widowControl w:val="0"/>
              <w:spacing w:line="360" w:lineRule="auto"/>
              <w:ind w:right="-183" w:hanging="68"/>
              <w:rPr>
                <w:rFonts w:eastAsia="Calibri" w:cs="Times New Roman"/>
                <w:sz w:val="28"/>
                <w:szCs w:val="28"/>
              </w:rPr>
            </w:pPr>
            <w:r w:rsidRPr="00520861">
              <w:rPr>
                <w:rFonts w:eastAsia="Calibri" w:cs="Times New Roman"/>
                <w:sz w:val="28"/>
                <w:szCs w:val="28"/>
              </w:rPr>
              <w:t xml:space="preserve">Шоста та більше </w:t>
            </w:r>
          </w:p>
        </w:tc>
        <w:tc>
          <w:tcPr>
            <w:tcW w:w="1137" w:type="dxa"/>
            <w:tcBorders>
              <w:top w:val="single" w:sz="4" w:space="0" w:color="auto"/>
              <w:left w:val="single" w:sz="4" w:space="0" w:color="auto"/>
              <w:bottom w:val="single" w:sz="4" w:space="0" w:color="auto"/>
              <w:right w:val="single" w:sz="4" w:space="0" w:color="auto"/>
            </w:tcBorders>
            <w:hideMark/>
          </w:tcPr>
          <w:p w14:paraId="74192DB5"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04FB64F4"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 (3%)</w:t>
            </w:r>
          </w:p>
        </w:tc>
        <w:tc>
          <w:tcPr>
            <w:tcW w:w="1329" w:type="dxa"/>
            <w:tcBorders>
              <w:top w:val="single" w:sz="4" w:space="0" w:color="auto"/>
              <w:left w:val="single" w:sz="4" w:space="0" w:color="auto"/>
              <w:bottom w:val="single" w:sz="4" w:space="0" w:color="auto"/>
              <w:right w:val="single" w:sz="4" w:space="0" w:color="auto"/>
            </w:tcBorders>
            <w:hideMark/>
          </w:tcPr>
          <w:p w14:paraId="3B5CA335"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 (4%)</w:t>
            </w:r>
          </w:p>
        </w:tc>
        <w:tc>
          <w:tcPr>
            <w:tcW w:w="1410" w:type="dxa"/>
            <w:tcBorders>
              <w:top w:val="single" w:sz="4" w:space="0" w:color="auto"/>
              <w:left w:val="single" w:sz="4" w:space="0" w:color="auto"/>
              <w:bottom w:val="single" w:sz="4" w:space="0" w:color="auto"/>
              <w:right w:val="single" w:sz="4" w:space="0" w:color="auto"/>
            </w:tcBorders>
            <w:hideMark/>
          </w:tcPr>
          <w:p w14:paraId="6BEDF56D"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 (3%)</w:t>
            </w:r>
          </w:p>
        </w:tc>
        <w:tc>
          <w:tcPr>
            <w:tcW w:w="1410" w:type="dxa"/>
            <w:tcBorders>
              <w:top w:val="single" w:sz="4" w:space="0" w:color="auto"/>
              <w:left w:val="single" w:sz="4" w:space="0" w:color="auto"/>
              <w:bottom w:val="single" w:sz="4" w:space="0" w:color="auto"/>
              <w:right w:val="single" w:sz="4" w:space="0" w:color="auto"/>
            </w:tcBorders>
            <w:shd w:val="clear" w:color="auto" w:fill="auto"/>
            <w:hideMark/>
          </w:tcPr>
          <w:p w14:paraId="22ED5A40"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1 (1,7%)</w:t>
            </w:r>
          </w:p>
        </w:tc>
        <w:tc>
          <w:tcPr>
            <w:tcW w:w="1353" w:type="dxa"/>
            <w:tcBorders>
              <w:top w:val="single" w:sz="4" w:space="0" w:color="auto"/>
              <w:left w:val="single" w:sz="4" w:space="0" w:color="auto"/>
              <w:bottom w:val="single" w:sz="4" w:space="0" w:color="auto"/>
              <w:right w:val="single" w:sz="4" w:space="0" w:color="auto"/>
            </w:tcBorders>
            <w:shd w:val="clear" w:color="auto" w:fill="auto"/>
            <w:hideMark/>
          </w:tcPr>
          <w:p w14:paraId="06AC0246" w14:textId="77777777" w:rsidR="00CF641C" w:rsidRPr="00520861" w:rsidRDefault="00CF641C" w:rsidP="00746220">
            <w:pPr>
              <w:widowControl w:val="0"/>
              <w:spacing w:line="360" w:lineRule="auto"/>
              <w:jc w:val="center"/>
              <w:rPr>
                <w:rFonts w:eastAsia="Calibri" w:cs="Times New Roman"/>
                <w:sz w:val="28"/>
                <w:szCs w:val="28"/>
              </w:rPr>
            </w:pPr>
            <w:r w:rsidRPr="00520861">
              <w:rPr>
                <w:rFonts w:eastAsia="Calibri" w:cs="Times New Roman"/>
                <w:sz w:val="28"/>
                <w:szCs w:val="28"/>
              </w:rPr>
              <w:t>2 (3,0%)</w:t>
            </w:r>
          </w:p>
        </w:tc>
      </w:tr>
    </w:tbl>
    <w:p w14:paraId="1D93E8D3" w14:textId="77777777" w:rsidR="00CF641C" w:rsidRPr="00520861" w:rsidRDefault="00CF641C" w:rsidP="00292D2E">
      <w:pPr>
        <w:widowControl w:val="0"/>
        <w:spacing w:line="360" w:lineRule="auto"/>
        <w:rPr>
          <w:rFonts w:eastAsia="Calibri"/>
          <w:i/>
          <w:sz w:val="28"/>
          <w:szCs w:val="28"/>
          <w:lang w:eastAsia="en-US"/>
        </w:rPr>
      </w:pPr>
    </w:p>
    <w:p w14:paraId="4E57AA3D" w14:textId="77777777" w:rsidR="00CF641C" w:rsidRPr="00520861" w:rsidRDefault="00CF641C"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t>Таблиця 4.2</w:t>
      </w:r>
    </w:p>
    <w:p w14:paraId="142AB9DC"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Об’єктивні дані про порядковий номер пологів (%), від яких народилися діти </w:t>
      </w:r>
      <w:r w:rsidRPr="00520861">
        <w:rPr>
          <w:rFonts w:eastAsia="Calibri"/>
          <w:b/>
          <w:sz w:val="28"/>
          <w:szCs w:val="28"/>
          <w:lang w:eastAsia="en-US"/>
        </w:rPr>
        <w:br/>
        <w:t>досліджуваних груп</w:t>
      </w:r>
    </w:p>
    <w:tbl>
      <w:tblPr>
        <w:tblStyle w:val="7"/>
        <w:tblW w:w="0" w:type="auto"/>
        <w:jc w:val="center"/>
        <w:tblLook w:val="04A0" w:firstRow="1" w:lastRow="0" w:firstColumn="1" w:lastColumn="0" w:noHBand="0" w:noVBand="1"/>
      </w:tblPr>
      <w:tblGrid>
        <w:gridCol w:w="1678"/>
        <w:gridCol w:w="1303"/>
        <w:gridCol w:w="1303"/>
        <w:gridCol w:w="1303"/>
        <w:gridCol w:w="1303"/>
        <w:gridCol w:w="1597"/>
        <w:gridCol w:w="1431"/>
      </w:tblGrid>
      <w:tr w:rsidR="00CF641C" w:rsidRPr="00520861" w14:paraId="2C9695B2" w14:textId="77777777" w:rsidTr="00292D2E">
        <w:trPr>
          <w:jc w:val="center"/>
        </w:trPr>
        <w:tc>
          <w:tcPr>
            <w:tcW w:w="1678" w:type="dxa"/>
            <w:tcBorders>
              <w:top w:val="single" w:sz="4" w:space="0" w:color="auto"/>
              <w:left w:val="single" w:sz="4" w:space="0" w:color="auto"/>
              <w:bottom w:val="single" w:sz="4" w:space="0" w:color="auto"/>
              <w:right w:val="single" w:sz="4" w:space="0" w:color="auto"/>
            </w:tcBorders>
            <w:hideMark/>
          </w:tcPr>
          <w:p w14:paraId="4628DC47"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 xml:space="preserve">Порядковий номер </w:t>
            </w:r>
          </w:p>
          <w:p w14:paraId="289761D7"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 xml:space="preserve">пологів </w:t>
            </w:r>
          </w:p>
        </w:tc>
        <w:tc>
          <w:tcPr>
            <w:tcW w:w="1303" w:type="dxa"/>
            <w:tcBorders>
              <w:top w:val="single" w:sz="4" w:space="0" w:color="auto"/>
              <w:left w:val="single" w:sz="4" w:space="0" w:color="auto"/>
              <w:bottom w:val="single" w:sz="4" w:space="0" w:color="auto"/>
              <w:right w:val="single" w:sz="4" w:space="0" w:color="auto"/>
            </w:tcBorders>
            <w:hideMark/>
          </w:tcPr>
          <w:p w14:paraId="52914AF9"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Перша група</w:t>
            </w:r>
          </w:p>
        </w:tc>
        <w:tc>
          <w:tcPr>
            <w:tcW w:w="1303" w:type="dxa"/>
            <w:tcBorders>
              <w:top w:val="single" w:sz="4" w:space="0" w:color="auto"/>
              <w:left w:val="single" w:sz="4" w:space="0" w:color="auto"/>
              <w:bottom w:val="single" w:sz="4" w:space="0" w:color="auto"/>
              <w:right w:val="single" w:sz="4" w:space="0" w:color="auto"/>
            </w:tcBorders>
            <w:hideMark/>
          </w:tcPr>
          <w:p w14:paraId="2AF61271"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Друга група</w:t>
            </w:r>
          </w:p>
        </w:tc>
        <w:tc>
          <w:tcPr>
            <w:tcW w:w="1303" w:type="dxa"/>
            <w:tcBorders>
              <w:top w:val="single" w:sz="4" w:space="0" w:color="auto"/>
              <w:left w:val="single" w:sz="4" w:space="0" w:color="auto"/>
              <w:bottom w:val="single" w:sz="4" w:space="0" w:color="auto"/>
              <w:right w:val="single" w:sz="4" w:space="0" w:color="auto"/>
            </w:tcBorders>
            <w:hideMark/>
          </w:tcPr>
          <w:p w14:paraId="3D2E46AD"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Третя група</w:t>
            </w:r>
          </w:p>
        </w:tc>
        <w:tc>
          <w:tcPr>
            <w:tcW w:w="1303" w:type="dxa"/>
            <w:tcBorders>
              <w:top w:val="single" w:sz="4" w:space="0" w:color="auto"/>
              <w:left w:val="single" w:sz="4" w:space="0" w:color="auto"/>
              <w:bottom w:val="single" w:sz="4" w:space="0" w:color="auto"/>
              <w:right w:val="single" w:sz="4" w:space="0" w:color="auto"/>
            </w:tcBorders>
            <w:hideMark/>
          </w:tcPr>
          <w:p w14:paraId="335A3B95"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Четверта група</w:t>
            </w:r>
          </w:p>
        </w:tc>
        <w:tc>
          <w:tcPr>
            <w:tcW w:w="1597" w:type="dxa"/>
            <w:tcBorders>
              <w:top w:val="single" w:sz="4" w:space="0" w:color="auto"/>
              <w:left w:val="single" w:sz="4" w:space="0" w:color="auto"/>
              <w:bottom w:val="single" w:sz="4" w:space="0" w:color="auto"/>
              <w:right w:val="single" w:sz="4" w:space="0" w:color="auto"/>
            </w:tcBorders>
          </w:tcPr>
          <w:p w14:paraId="27AC89B7" w14:textId="77777777" w:rsidR="00CF641C" w:rsidRPr="00520861" w:rsidRDefault="00CF641C" w:rsidP="00292D2E">
            <w:pPr>
              <w:widowControl w:val="0"/>
              <w:spacing w:line="362" w:lineRule="auto"/>
              <w:jc w:val="center"/>
              <w:rPr>
                <w:rFonts w:eastAsia="Calibri" w:cs="Times New Roman"/>
                <w:sz w:val="28"/>
                <w:szCs w:val="28"/>
              </w:rPr>
            </w:pPr>
            <w:proofErr w:type="spellStart"/>
            <w:r w:rsidRPr="00520861">
              <w:rPr>
                <w:rFonts w:eastAsia="Calibri" w:cs="Times New Roman"/>
                <w:sz w:val="28"/>
                <w:szCs w:val="28"/>
              </w:rPr>
              <w:t>Макросоми</w:t>
            </w:r>
            <w:proofErr w:type="spellEnd"/>
            <w:r w:rsidRPr="00520861">
              <w:rPr>
                <w:rFonts w:eastAsia="Calibri" w:cs="Times New Roman"/>
                <w:sz w:val="28"/>
                <w:szCs w:val="28"/>
              </w:rPr>
              <w:t xml:space="preserve"> разом</w:t>
            </w:r>
          </w:p>
        </w:tc>
        <w:tc>
          <w:tcPr>
            <w:tcW w:w="1431" w:type="dxa"/>
            <w:tcBorders>
              <w:top w:val="single" w:sz="4" w:space="0" w:color="auto"/>
              <w:left w:val="single" w:sz="4" w:space="0" w:color="auto"/>
              <w:bottom w:val="single" w:sz="4" w:space="0" w:color="auto"/>
              <w:right w:val="single" w:sz="4" w:space="0" w:color="auto"/>
            </w:tcBorders>
            <w:hideMark/>
          </w:tcPr>
          <w:p w14:paraId="212BE901" w14:textId="77777777" w:rsidR="00CF641C" w:rsidRPr="00520861" w:rsidRDefault="00CF641C" w:rsidP="00292D2E">
            <w:pPr>
              <w:widowControl w:val="0"/>
              <w:spacing w:line="362" w:lineRule="auto"/>
              <w:jc w:val="center"/>
              <w:rPr>
                <w:rFonts w:eastAsia="Calibri" w:cs="Times New Roman"/>
                <w:sz w:val="28"/>
                <w:szCs w:val="28"/>
              </w:rPr>
            </w:pPr>
            <w:proofErr w:type="spellStart"/>
            <w:r w:rsidRPr="00520861">
              <w:rPr>
                <w:rFonts w:eastAsia="Calibri" w:cs="Times New Roman"/>
                <w:sz w:val="28"/>
                <w:szCs w:val="28"/>
              </w:rPr>
              <w:t>Нормосоми</w:t>
            </w:r>
            <w:proofErr w:type="spellEnd"/>
            <w:r w:rsidRPr="00520861">
              <w:rPr>
                <w:rFonts w:eastAsia="Calibri" w:cs="Times New Roman"/>
                <w:sz w:val="28"/>
                <w:szCs w:val="28"/>
              </w:rPr>
              <w:t xml:space="preserve"> разом</w:t>
            </w:r>
          </w:p>
        </w:tc>
      </w:tr>
      <w:tr w:rsidR="00CF641C" w:rsidRPr="00520861" w14:paraId="2351E320" w14:textId="77777777" w:rsidTr="00292D2E">
        <w:trPr>
          <w:jc w:val="center"/>
        </w:trPr>
        <w:tc>
          <w:tcPr>
            <w:tcW w:w="1678" w:type="dxa"/>
            <w:tcBorders>
              <w:top w:val="single" w:sz="4" w:space="0" w:color="auto"/>
              <w:left w:val="single" w:sz="4" w:space="0" w:color="auto"/>
              <w:bottom w:val="single" w:sz="4" w:space="0" w:color="auto"/>
              <w:right w:val="single" w:sz="4" w:space="0" w:color="auto"/>
            </w:tcBorders>
            <w:hideMark/>
          </w:tcPr>
          <w:p w14:paraId="27F98856"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Перші</w:t>
            </w:r>
          </w:p>
        </w:tc>
        <w:tc>
          <w:tcPr>
            <w:tcW w:w="1303" w:type="dxa"/>
            <w:tcBorders>
              <w:top w:val="single" w:sz="4" w:space="0" w:color="auto"/>
              <w:left w:val="single" w:sz="4" w:space="0" w:color="auto"/>
              <w:bottom w:val="single" w:sz="4" w:space="0" w:color="auto"/>
              <w:right w:val="single" w:sz="4" w:space="0" w:color="auto"/>
            </w:tcBorders>
            <w:hideMark/>
          </w:tcPr>
          <w:p w14:paraId="2AF00756"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21</w:t>
            </w:r>
          </w:p>
          <w:p w14:paraId="55563BA4"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(60%)</w:t>
            </w:r>
          </w:p>
        </w:tc>
        <w:tc>
          <w:tcPr>
            <w:tcW w:w="1303" w:type="dxa"/>
            <w:tcBorders>
              <w:top w:val="single" w:sz="4" w:space="0" w:color="auto"/>
              <w:left w:val="single" w:sz="4" w:space="0" w:color="auto"/>
              <w:bottom w:val="single" w:sz="4" w:space="0" w:color="auto"/>
              <w:right w:val="single" w:sz="4" w:space="0" w:color="auto"/>
            </w:tcBorders>
            <w:hideMark/>
          </w:tcPr>
          <w:p w14:paraId="683AF4C4" w14:textId="77777777" w:rsidR="00CF641C" w:rsidRPr="00520861" w:rsidRDefault="00CF641C" w:rsidP="00292D2E">
            <w:pPr>
              <w:widowControl w:val="0"/>
              <w:spacing w:line="362" w:lineRule="auto"/>
              <w:ind w:right="-68" w:hanging="112"/>
              <w:jc w:val="center"/>
              <w:rPr>
                <w:rFonts w:eastAsia="Calibri" w:cs="Times New Roman"/>
                <w:sz w:val="28"/>
                <w:szCs w:val="28"/>
              </w:rPr>
            </w:pPr>
            <w:r w:rsidRPr="00520861">
              <w:rPr>
                <w:rFonts w:eastAsia="Calibri" w:cs="Times New Roman"/>
                <w:sz w:val="28"/>
                <w:szCs w:val="28"/>
              </w:rPr>
              <w:t>19</w:t>
            </w:r>
          </w:p>
          <w:p w14:paraId="38CCFC83" w14:textId="77777777" w:rsidR="00CF641C" w:rsidRPr="00520861" w:rsidRDefault="00CF641C" w:rsidP="00292D2E">
            <w:pPr>
              <w:widowControl w:val="0"/>
              <w:spacing w:line="362" w:lineRule="auto"/>
              <w:ind w:right="-68" w:hanging="112"/>
              <w:jc w:val="center"/>
              <w:rPr>
                <w:rFonts w:eastAsia="Calibri" w:cs="Times New Roman"/>
                <w:sz w:val="28"/>
                <w:szCs w:val="28"/>
              </w:rPr>
            </w:pPr>
            <w:r w:rsidRPr="00520861">
              <w:rPr>
                <w:rFonts w:eastAsia="Calibri" w:cs="Times New Roman"/>
                <w:sz w:val="28"/>
                <w:szCs w:val="28"/>
              </w:rPr>
              <w:t>(65,6%)</w:t>
            </w:r>
          </w:p>
        </w:tc>
        <w:tc>
          <w:tcPr>
            <w:tcW w:w="1303" w:type="dxa"/>
            <w:tcBorders>
              <w:top w:val="single" w:sz="4" w:space="0" w:color="auto"/>
              <w:left w:val="single" w:sz="4" w:space="0" w:color="auto"/>
              <w:bottom w:val="single" w:sz="4" w:space="0" w:color="auto"/>
              <w:right w:val="single" w:sz="4" w:space="0" w:color="auto"/>
            </w:tcBorders>
            <w:hideMark/>
          </w:tcPr>
          <w:p w14:paraId="2B000A5A" w14:textId="77777777" w:rsidR="00CF641C" w:rsidRPr="00520861" w:rsidRDefault="00CF641C" w:rsidP="00292D2E">
            <w:pPr>
              <w:widowControl w:val="0"/>
              <w:spacing w:line="362" w:lineRule="auto"/>
              <w:ind w:right="-180" w:hanging="141"/>
              <w:jc w:val="center"/>
              <w:rPr>
                <w:rFonts w:eastAsia="Calibri" w:cs="Times New Roman"/>
                <w:sz w:val="28"/>
                <w:szCs w:val="28"/>
              </w:rPr>
            </w:pPr>
            <w:r w:rsidRPr="00520861">
              <w:rPr>
                <w:rFonts w:eastAsia="Calibri" w:cs="Times New Roman"/>
                <w:sz w:val="28"/>
                <w:szCs w:val="28"/>
              </w:rPr>
              <w:t>11</w:t>
            </w:r>
          </w:p>
          <w:p w14:paraId="3B99F397" w14:textId="77777777" w:rsidR="00CF641C" w:rsidRPr="00520861" w:rsidRDefault="00CF641C" w:rsidP="00292D2E">
            <w:pPr>
              <w:widowControl w:val="0"/>
              <w:spacing w:line="362" w:lineRule="auto"/>
              <w:ind w:right="-180" w:hanging="141"/>
              <w:jc w:val="center"/>
              <w:rPr>
                <w:rFonts w:eastAsia="Calibri" w:cs="Times New Roman"/>
                <w:sz w:val="28"/>
                <w:szCs w:val="28"/>
              </w:rPr>
            </w:pPr>
            <w:r w:rsidRPr="00520861">
              <w:rPr>
                <w:rFonts w:eastAsia="Calibri" w:cs="Times New Roman"/>
                <w:sz w:val="28"/>
                <w:szCs w:val="28"/>
              </w:rPr>
              <w:t>(45,8%)</w:t>
            </w:r>
          </w:p>
        </w:tc>
        <w:tc>
          <w:tcPr>
            <w:tcW w:w="1303" w:type="dxa"/>
            <w:tcBorders>
              <w:top w:val="single" w:sz="4" w:space="0" w:color="auto"/>
              <w:left w:val="single" w:sz="4" w:space="0" w:color="auto"/>
              <w:bottom w:val="single" w:sz="4" w:space="0" w:color="auto"/>
              <w:right w:val="single" w:sz="4" w:space="0" w:color="auto"/>
            </w:tcBorders>
            <w:hideMark/>
          </w:tcPr>
          <w:p w14:paraId="1C22B9FB" w14:textId="77777777" w:rsidR="00CF641C" w:rsidRPr="00520861" w:rsidRDefault="00CF641C" w:rsidP="00292D2E">
            <w:pPr>
              <w:widowControl w:val="0"/>
              <w:spacing w:line="362" w:lineRule="auto"/>
              <w:ind w:right="-203"/>
              <w:jc w:val="center"/>
              <w:rPr>
                <w:rFonts w:eastAsia="Calibri" w:cs="Times New Roman"/>
                <w:sz w:val="28"/>
                <w:szCs w:val="28"/>
              </w:rPr>
            </w:pPr>
            <w:r w:rsidRPr="00520861">
              <w:rPr>
                <w:rFonts w:eastAsia="Calibri" w:cs="Times New Roman"/>
                <w:sz w:val="28"/>
                <w:szCs w:val="28"/>
              </w:rPr>
              <w:t>27</w:t>
            </w:r>
          </w:p>
          <w:p w14:paraId="7B4588A7" w14:textId="77777777" w:rsidR="00CF641C" w:rsidRPr="00520861" w:rsidRDefault="00CF641C" w:rsidP="00292D2E">
            <w:pPr>
              <w:widowControl w:val="0"/>
              <w:spacing w:line="362" w:lineRule="auto"/>
              <w:ind w:right="-203"/>
              <w:jc w:val="center"/>
              <w:rPr>
                <w:rFonts w:eastAsia="Calibri" w:cs="Times New Roman"/>
                <w:sz w:val="28"/>
                <w:szCs w:val="28"/>
              </w:rPr>
            </w:pPr>
            <w:r w:rsidRPr="00520861">
              <w:rPr>
                <w:rFonts w:eastAsia="Calibri" w:cs="Times New Roman"/>
                <w:sz w:val="28"/>
                <w:szCs w:val="28"/>
              </w:rPr>
              <w:t>(71,1%)</w:t>
            </w:r>
          </w:p>
        </w:tc>
        <w:tc>
          <w:tcPr>
            <w:tcW w:w="1597" w:type="dxa"/>
            <w:tcBorders>
              <w:top w:val="single" w:sz="4" w:space="0" w:color="auto"/>
              <w:left w:val="single" w:sz="4" w:space="0" w:color="auto"/>
              <w:bottom w:val="single" w:sz="4" w:space="0" w:color="auto"/>
              <w:right w:val="single" w:sz="4" w:space="0" w:color="auto"/>
            </w:tcBorders>
            <w:hideMark/>
          </w:tcPr>
          <w:p w14:paraId="359870E5"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31</w:t>
            </w:r>
          </w:p>
          <w:p w14:paraId="342FCF58"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(52,5%)</w:t>
            </w:r>
          </w:p>
        </w:tc>
        <w:tc>
          <w:tcPr>
            <w:tcW w:w="1431" w:type="dxa"/>
            <w:tcBorders>
              <w:top w:val="single" w:sz="4" w:space="0" w:color="auto"/>
              <w:left w:val="single" w:sz="4" w:space="0" w:color="auto"/>
              <w:bottom w:val="single" w:sz="4" w:space="0" w:color="auto"/>
              <w:right w:val="single" w:sz="4" w:space="0" w:color="auto"/>
            </w:tcBorders>
            <w:hideMark/>
          </w:tcPr>
          <w:p w14:paraId="293227C1"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46</w:t>
            </w:r>
          </w:p>
          <w:p w14:paraId="042BE737"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(68,7%)</w:t>
            </w:r>
          </w:p>
        </w:tc>
      </w:tr>
      <w:tr w:rsidR="00CF641C" w:rsidRPr="00520861" w14:paraId="612C70AC" w14:textId="77777777" w:rsidTr="00292D2E">
        <w:trPr>
          <w:jc w:val="center"/>
        </w:trPr>
        <w:tc>
          <w:tcPr>
            <w:tcW w:w="1678" w:type="dxa"/>
            <w:tcBorders>
              <w:top w:val="single" w:sz="4" w:space="0" w:color="auto"/>
              <w:left w:val="single" w:sz="4" w:space="0" w:color="auto"/>
              <w:bottom w:val="single" w:sz="4" w:space="0" w:color="auto"/>
              <w:right w:val="single" w:sz="4" w:space="0" w:color="auto"/>
            </w:tcBorders>
            <w:hideMark/>
          </w:tcPr>
          <w:p w14:paraId="17831AAB"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Другі</w:t>
            </w:r>
          </w:p>
        </w:tc>
        <w:tc>
          <w:tcPr>
            <w:tcW w:w="1303" w:type="dxa"/>
            <w:tcBorders>
              <w:top w:val="single" w:sz="4" w:space="0" w:color="auto"/>
              <w:left w:val="single" w:sz="4" w:space="0" w:color="auto"/>
              <w:bottom w:val="single" w:sz="4" w:space="0" w:color="auto"/>
              <w:right w:val="single" w:sz="4" w:space="0" w:color="auto"/>
            </w:tcBorders>
            <w:hideMark/>
          </w:tcPr>
          <w:p w14:paraId="1BA2D602" w14:textId="77777777" w:rsidR="00CF641C" w:rsidRPr="00520861" w:rsidRDefault="00CF641C" w:rsidP="00292D2E">
            <w:pPr>
              <w:widowControl w:val="0"/>
              <w:spacing w:line="362" w:lineRule="auto"/>
              <w:ind w:right="-97" w:hanging="83"/>
              <w:jc w:val="center"/>
              <w:rPr>
                <w:rFonts w:eastAsia="Calibri" w:cs="Times New Roman"/>
                <w:sz w:val="28"/>
                <w:szCs w:val="28"/>
              </w:rPr>
            </w:pPr>
            <w:r w:rsidRPr="00520861">
              <w:rPr>
                <w:rFonts w:eastAsia="Calibri" w:cs="Times New Roman"/>
                <w:sz w:val="28"/>
                <w:szCs w:val="28"/>
              </w:rPr>
              <w:t>10</w:t>
            </w:r>
          </w:p>
          <w:p w14:paraId="50F8D3EE" w14:textId="77777777" w:rsidR="00CF641C" w:rsidRPr="00520861" w:rsidRDefault="00CF641C" w:rsidP="00292D2E">
            <w:pPr>
              <w:widowControl w:val="0"/>
              <w:spacing w:line="362" w:lineRule="auto"/>
              <w:ind w:right="-97" w:hanging="83"/>
              <w:jc w:val="center"/>
              <w:rPr>
                <w:rFonts w:eastAsia="Calibri" w:cs="Times New Roman"/>
                <w:sz w:val="28"/>
                <w:szCs w:val="28"/>
              </w:rPr>
            </w:pPr>
            <w:r w:rsidRPr="00520861">
              <w:rPr>
                <w:rFonts w:eastAsia="Calibri" w:cs="Times New Roman"/>
                <w:sz w:val="28"/>
                <w:szCs w:val="28"/>
              </w:rPr>
              <w:t>(28,6%)</w:t>
            </w:r>
          </w:p>
        </w:tc>
        <w:tc>
          <w:tcPr>
            <w:tcW w:w="1303" w:type="dxa"/>
            <w:tcBorders>
              <w:top w:val="single" w:sz="4" w:space="0" w:color="auto"/>
              <w:left w:val="single" w:sz="4" w:space="0" w:color="auto"/>
              <w:bottom w:val="single" w:sz="4" w:space="0" w:color="auto"/>
              <w:right w:val="single" w:sz="4" w:space="0" w:color="auto"/>
            </w:tcBorders>
            <w:hideMark/>
          </w:tcPr>
          <w:p w14:paraId="74E73D0E" w14:textId="77777777" w:rsidR="00CF641C" w:rsidRPr="00520861" w:rsidRDefault="00CF641C" w:rsidP="00292D2E">
            <w:pPr>
              <w:widowControl w:val="0"/>
              <w:spacing w:line="362" w:lineRule="auto"/>
              <w:ind w:right="-68"/>
              <w:jc w:val="center"/>
              <w:rPr>
                <w:rFonts w:eastAsia="Calibri" w:cs="Times New Roman"/>
                <w:sz w:val="28"/>
                <w:szCs w:val="28"/>
              </w:rPr>
            </w:pPr>
            <w:r w:rsidRPr="00520861">
              <w:rPr>
                <w:rFonts w:eastAsia="Calibri" w:cs="Times New Roman"/>
                <w:sz w:val="28"/>
                <w:szCs w:val="28"/>
              </w:rPr>
              <w:t>8</w:t>
            </w:r>
          </w:p>
          <w:p w14:paraId="661E3BFE" w14:textId="77777777" w:rsidR="00CF641C" w:rsidRPr="00520861" w:rsidRDefault="00CF641C" w:rsidP="00292D2E">
            <w:pPr>
              <w:widowControl w:val="0"/>
              <w:spacing w:line="362" w:lineRule="auto"/>
              <w:ind w:right="-68"/>
              <w:jc w:val="center"/>
              <w:rPr>
                <w:rFonts w:eastAsia="Calibri" w:cs="Times New Roman"/>
                <w:sz w:val="28"/>
                <w:szCs w:val="28"/>
              </w:rPr>
            </w:pPr>
            <w:r w:rsidRPr="00520861">
              <w:rPr>
                <w:rFonts w:eastAsia="Calibri" w:cs="Times New Roman"/>
                <w:sz w:val="28"/>
                <w:szCs w:val="28"/>
              </w:rPr>
              <w:t>(27,6%)</w:t>
            </w:r>
          </w:p>
        </w:tc>
        <w:tc>
          <w:tcPr>
            <w:tcW w:w="1303" w:type="dxa"/>
            <w:tcBorders>
              <w:top w:val="single" w:sz="4" w:space="0" w:color="auto"/>
              <w:left w:val="single" w:sz="4" w:space="0" w:color="auto"/>
              <w:bottom w:val="single" w:sz="4" w:space="0" w:color="auto"/>
              <w:right w:val="single" w:sz="4" w:space="0" w:color="auto"/>
            </w:tcBorders>
            <w:hideMark/>
          </w:tcPr>
          <w:p w14:paraId="30F06D7F" w14:textId="77777777" w:rsidR="00CF641C" w:rsidRPr="00520861" w:rsidRDefault="00CF641C" w:rsidP="00292D2E">
            <w:pPr>
              <w:widowControl w:val="0"/>
              <w:spacing w:line="362" w:lineRule="auto"/>
              <w:ind w:right="-180" w:hanging="141"/>
              <w:jc w:val="center"/>
              <w:rPr>
                <w:rFonts w:eastAsia="Calibri" w:cs="Times New Roman"/>
                <w:sz w:val="28"/>
                <w:szCs w:val="28"/>
              </w:rPr>
            </w:pPr>
            <w:r w:rsidRPr="00520861">
              <w:rPr>
                <w:rFonts w:eastAsia="Calibri" w:cs="Times New Roman"/>
                <w:sz w:val="28"/>
                <w:szCs w:val="28"/>
              </w:rPr>
              <w:t>11</w:t>
            </w:r>
          </w:p>
          <w:p w14:paraId="12A55C09" w14:textId="77777777" w:rsidR="00CF641C" w:rsidRPr="00520861" w:rsidRDefault="00CF641C" w:rsidP="00292D2E">
            <w:pPr>
              <w:widowControl w:val="0"/>
              <w:spacing w:line="362" w:lineRule="auto"/>
              <w:ind w:right="-180" w:hanging="141"/>
              <w:jc w:val="center"/>
              <w:rPr>
                <w:rFonts w:eastAsia="Calibri" w:cs="Times New Roman"/>
                <w:sz w:val="28"/>
                <w:szCs w:val="28"/>
              </w:rPr>
            </w:pPr>
            <w:r w:rsidRPr="00520861">
              <w:rPr>
                <w:rFonts w:eastAsia="Calibri" w:cs="Times New Roman"/>
                <w:sz w:val="28"/>
                <w:szCs w:val="28"/>
              </w:rPr>
              <w:t>(45,8%)</w:t>
            </w:r>
          </w:p>
        </w:tc>
        <w:tc>
          <w:tcPr>
            <w:tcW w:w="1303" w:type="dxa"/>
            <w:tcBorders>
              <w:top w:val="single" w:sz="4" w:space="0" w:color="auto"/>
              <w:left w:val="single" w:sz="4" w:space="0" w:color="auto"/>
              <w:bottom w:val="single" w:sz="4" w:space="0" w:color="auto"/>
              <w:right w:val="single" w:sz="4" w:space="0" w:color="auto"/>
            </w:tcBorders>
            <w:hideMark/>
          </w:tcPr>
          <w:p w14:paraId="6CC86FE7" w14:textId="77777777" w:rsidR="00CF641C" w:rsidRPr="00520861" w:rsidRDefault="00CF641C" w:rsidP="00292D2E">
            <w:pPr>
              <w:widowControl w:val="0"/>
              <w:spacing w:line="362" w:lineRule="auto"/>
              <w:ind w:right="-61" w:hanging="170"/>
              <w:jc w:val="center"/>
              <w:rPr>
                <w:rFonts w:eastAsia="Calibri" w:cs="Times New Roman"/>
                <w:sz w:val="28"/>
                <w:szCs w:val="28"/>
              </w:rPr>
            </w:pPr>
            <w:r w:rsidRPr="00520861">
              <w:rPr>
                <w:rFonts w:eastAsia="Calibri" w:cs="Times New Roman"/>
                <w:sz w:val="28"/>
                <w:szCs w:val="28"/>
              </w:rPr>
              <w:t>10</w:t>
            </w:r>
          </w:p>
          <w:p w14:paraId="6079D851" w14:textId="77777777" w:rsidR="00CF641C" w:rsidRPr="00520861" w:rsidRDefault="00CF641C" w:rsidP="00292D2E">
            <w:pPr>
              <w:widowControl w:val="0"/>
              <w:spacing w:line="362" w:lineRule="auto"/>
              <w:ind w:right="-61" w:hanging="170"/>
              <w:jc w:val="center"/>
              <w:rPr>
                <w:rFonts w:eastAsia="Calibri" w:cs="Times New Roman"/>
                <w:sz w:val="28"/>
                <w:szCs w:val="28"/>
              </w:rPr>
            </w:pPr>
            <w:r w:rsidRPr="00520861">
              <w:rPr>
                <w:rFonts w:eastAsia="Calibri" w:cs="Times New Roman"/>
                <w:sz w:val="28"/>
                <w:szCs w:val="28"/>
              </w:rPr>
              <w:t>(26,3%)</w:t>
            </w:r>
          </w:p>
        </w:tc>
        <w:tc>
          <w:tcPr>
            <w:tcW w:w="1597" w:type="dxa"/>
            <w:tcBorders>
              <w:top w:val="single" w:sz="4" w:space="0" w:color="auto"/>
              <w:left w:val="single" w:sz="4" w:space="0" w:color="auto"/>
              <w:bottom w:val="single" w:sz="4" w:space="0" w:color="auto"/>
              <w:right w:val="single" w:sz="4" w:space="0" w:color="auto"/>
            </w:tcBorders>
            <w:hideMark/>
          </w:tcPr>
          <w:p w14:paraId="3D6C8EBE"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21</w:t>
            </w:r>
          </w:p>
          <w:p w14:paraId="08ACD768"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(35,6%)</w:t>
            </w:r>
          </w:p>
        </w:tc>
        <w:tc>
          <w:tcPr>
            <w:tcW w:w="1431" w:type="dxa"/>
            <w:tcBorders>
              <w:top w:val="single" w:sz="4" w:space="0" w:color="auto"/>
              <w:left w:val="single" w:sz="4" w:space="0" w:color="auto"/>
              <w:bottom w:val="single" w:sz="4" w:space="0" w:color="auto"/>
              <w:right w:val="single" w:sz="4" w:space="0" w:color="auto"/>
            </w:tcBorders>
            <w:hideMark/>
          </w:tcPr>
          <w:p w14:paraId="69D07616"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18</w:t>
            </w:r>
          </w:p>
          <w:p w14:paraId="7D4F2ADE"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(26,9%)</w:t>
            </w:r>
          </w:p>
        </w:tc>
      </w:tr>
      <w:tr w:rsidR="00CF641C" w:rsidRPr="00520861" w14:paraId="50BFE6E9" w14:textId="77777777" w:rsidTr="00292D2E">
        <w:trPr>
          <w:jc w:val="center"/>
        </w:trPr>
        <w:tc>
          <w:tcPr>
            <w:tcW w:w="1678" w:type="dxa"/>
            <w:tcBorders>
              <w:top w:val="single" w:sz="4" w:space="0" w:color="auto"/>
              <w:left w:val="single" w:sz="4" w:space="0" w:color="auto"/>
              <w:bottom w:val="single" w:sz="4" w:space="0" w:color="auto"/>
              <w:right w:val="single" w:sz="4" w:space="0" w:color="auto"/>
            </w:tcBorders>
            <w:hideMark/>
          </w:tcPr>
          <w:p w14:paraId="00EB513A"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Треті</w:t>
            </w:r>
          </w:p>
        </w:tc>
        <w:tc>
          <w:tcPr>
            <w:tcW w:w="1303" w:type="dxa"/>
            <w:tcBorders>
              <w:top w:val="single" w:sz="4" w:space="0" w:color="auto"/>
              <w:left w:val="single" w:sz="4" w:space="0" w:color="auto"/>
              <w:bottom w:val="single" w:sz="4" w:space="0" w:color="auto"/>
              <w:right w:val="single" w:sz="4" w:space="0" w:color="auto"/>
            </w:tcBorders>
            <w:hideMark/>
          </w:tcPr>
          <w:p w14:paraId="5E97D045"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 (2,9%)</w:t>
            </w:r>
          </w:p>
        </w:tc>
        <w:tc>
          <w:tcPr>
            <w:tcW w:w="1303" w:type="dxa"/>
            <w:tcBorders>
              <w:top w:val="single" w:sz="4" w:space="0" w:color="auto"/>
              <w:left w:val="single" w:sz="4" w:space="0" w:color="auto"/>
              <w:bottom w:val="single" w:sz="4" w:space="0" w:color="auto"/>
              <w:right w:val="single" w:sz="4" w:space="0" w:color="auto"/>
            </w:tcBorders>
            <w:hideMark/>
          </w:tcPr>
          <w:p w14:paraId="011DDBBC"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 (3,4%)</w:t>
            </w:r>
          </w:p>
        </w:tc>
        <w:tc>
          <w:tcPr>
            <w:tcW w:w="1303" w:type="dxa"/>
            <w:tcBorders>
              <w:top w:val="single" w:sz="4" w:space="0" w:color="auto"/>
              <w:left w:val="single" w:sz="4" w:space="0" w:color="auto"/>
              <w:bottom w:val="single" w:sz="4" w:space="0" w:color="auto"/>
              <w:right w:val="single" w:sz="4" w:space="0" w:color="auto"/>
            </w:tcBorders>
            <w:hideMark/>
          </w:tcPr>
          <w:p w14:paraId="7183731E"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 (4,2%)</w:t>
            </w:r>
          </w:p>
        </w:tc>
        <w:tc>
          <w:tcPr>
            <w:tcW w:w="1303" w:type="dxa"/>
            <w:tcBorders>
              <w:top w:val="single" w:sz="4" w:space="0" w:color="auto"/>
              <w:left w:val="single" w:sz="4" w:space="0" w:color="auto"/>
              <w:bottom w:val="single" w:sz="4" w:space="0" w:color="auto"/>
              <w:right w:val="single" w:sz="4" w:space="0" w:color="auto"/>
            </w:tcBorders>
            <w:hideMark/>
          </w:tcPr>
          <w:p w14:paraId="5AE42C1A"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 (2,6%)</w:t>
            </w:r>
          </w:p>
        </w:tc>
        <w:tc>
          <w:tcPr>
            <w:tcW w:w="1597" w:type="dxa"/>
            <w:tcBorders>
              <w:top w:val="single" w:sz="4" w:space="0" w:color="auto"/>
              <w:left w:val="single" w:sz="4" w:space="0" w:color="auto"/>
              <w:bottom w:val="single" w:sz="4" w:space="0" w:color="auto"/>
              <w:right w:val="single" w:sz="4" w:space="0" w:color="auto"/>
            </w:tcBorders>
            <w:hideMark/>
          </w:tcPr>
          <w:p w14:paraId="7E7CBD87"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2 (3,4%)</w:t>
            </w:r>
          </w:p>
        </w:tc>
        <w:tc>
          <w:tcPr>
            <w:tcW w:w="1431" w:type="dxa"/>
            <w:tcBorders>
              <w:top w:val="single" w:sz="4" w:space="0" w:color="auto"/>
              <w:left w:val="single" w:sz="4" w:space="0" w:color="auto"/>
              <w:bottom w:val="single" w:sz="4" w:space="0" w:color="auto"/>
              <w:right w:val="single" w:sz="4" w:space="0" w:color="auto"/>
            </w:tcBorders>
            <w:hideMark/>
          </w:tcPr>
          <w:p w14:paraId="127FED51"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2 (3%)</w:t>
            </w:r>
          </w:p>
        </w:tc>
      </w:tr>
      <w:tr w:rsidR="00CF641C" w:rsidRPr="00520861" w14:paraId="665517DE" w14:textId="77777777" w:rsidTr="00292D2E">
        <w:trPr>
          <w:jc w:val="center"/>
        </w:trPr>
        <w:tc>
          <w:tcPr>
            <w:tcW w:w="1678" w:type="dxa"/>
            <w:tcBorders>
              <w:top w:val="single" w:sz="4" w:space="0" w:color="auto"/>
              <w:left w:val="single" w:sz="4" w:space="0" w:color="auto"/>
              <w:bottom w:val="single" w:sz="4" w:space="0" w:color="auto"/>
              <w:right w:val="single" w:sz="4" w:space="0" w:color="auto"/>
            </w:tcBorders>
            <w:hideMark/>
          </w:tcPr>
          <w:p w14:paraId="6D0A521B"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Четверті</w:t>
            </w:r>
          </w:p>
        </w:tc>
        <w:tc>
          <w:tcPr>
            <w:tcW w:w="1303" w:type="dxa"/>
            <w:tcBorders>
              <w:top w:val="single" w:sz="4" w:space="0" w:color="auto"/>
              <w:left w:val="single" w:sz="4" w:space="0" w:color="auto"/>
              <w:bottom w:val="single" w:sz="4" w:space="0" w:color="auto"/>
              <w:right w:val="single" w:sz="4" w:space="0" w:color="auto"/>
            </w:tcBorders>
            <w:hideMark/>
          </w:tcPr>
          <w:p w14:paraId="3FFCD15E"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2 (5,6%)</w:t>
            </w:r>
          </w:p>
        </w:tc>
        <w:tc>
          <w:tcPr>
            <w:tcW w:w="1303" w:type="dxa"/>
            <w:tcBorders>
              <w:top w:val="single" w:sz="4" w:space="0" w:color="auto"/>
              <w:left w:val="single" w:sz="4" w:space="0" w:color="auto"/>
              <w:bottom w:val="single" w:sz="4" w:space="0" w:color="auto"/>
              <w:right w:val="single" w:sz="4" w:space="0" w:color="auto"/>
            </w:tcBorders>
            <w:hideMark/>
          </w:tcPr>
          <w:p w14:paraId="60F8CADA"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303" w:type="dxa"/>
            <w:tcBorders>
              <w:top w:val="single" w:sz="4" w:space="0" w:color="auto"/>
              <w:left w:val="single" w:sz="4" w:space="0" w:color="auto"/>
              <w:bottom w:val="single" w:sz="4" w:space="0" w:color="auto"/>
              <w:right w:val="single" w:sz="4" w:space="0" w:color="auto"/>
            </w:tcBorders>
            <w:hideMark/>
          </w:tcPr>
          <w:p w14:paraId="438B06E1"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303" w:type="dxa"/>
            <w:tcBorders>
              <w:top w:val="single" w:sz="4" w:space="0" w:color="auto"/>
              <w:left w:val="single" w:sz="4" w:space="0" w:color="auto"/>
              <w:bottom w:val="single" w:sz="4" w:space="0" w:color="auto"/>
              <w:right w:val="single" w:sz="4" w:space="0" w:color="auto"/>
            </w:tcBorders>
            <w:hideMark/>
          </w:tcPr>
          <w:p w14:paraId="4793BEFA"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597" w:type="dxa"/>
            <w:tcBorders>
              <w:top w:val="single" w:sz="4" w:space="0" w:color="auto"/>
              <w:left w:val="single" w:sz="4" w:space="0" w:color="auto"/>
              <w:bottom w:val="single" w:sz="4" w:space="0" w:color="auto"/>
              <w:right w:val="single" w:sz="4" w:space="0" w:color="auto"/>
            </w:tcBorders>
            <w:hideMark/>
          </w:tcPr>
          <w:p w14:paraId="0A12637A"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2 (3,4%)</w:t>
            </w:r>
          </w:p>
        </w:tc>
        <w:tc>
          <w:tcPr>
            <w:tcW w:w="1431" w:type="dxa"/>
            <w:tcBorders>
              <w:top w:val="single" w:sz="4" w:space="0" w:color="auto"/>
              <w:left w:val="single" w:sz="4" w:space="0" w:color="auto"/>
              <w:bottom w:val="single" w:sz="4" w:space="0" w:color="auto"/>
              <w:right w:val="single" w:sz="4" w:space="0" w:color="auto"/>
            </w:tcBorders>
            <w:hideMark/>
          </w:tcPr>
          <w:p w14:paraId="7E7EECF3"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r>
      <w:tr w:rsidR="00CF641C" w:rsidRPr="00520861" w14:paraId="47561F18" w14:textId="77777777" w:rsidTr="00292D2E">
        <w:trPr>
          <w:jc w:val="center"/>
        </w:trPr>
        <w:tc>
          <w:tcPr>
            <w:tcW w:w="1678" w:type="dxa"/>
            <w:tcBorders>
              <w:top w:val="single" w:sz="4" w:space="0" w:color="auto"/>
              <w:left w:val="single" w:sz="4" w:space="0" w:color="auto"/>
              <w:bottom w:val="single" w:sz="4" w:space="0" w:color="auto"/>
              <w:right w:val="single" w:sz="4" w:space="0" w:color="auto"/>
            </w:tcBorders>
            <w:hideMark/>
          </w:tcPr>
          <w:p w14:paraId="69818792"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П’яті</w:t>
            </w:r>
          </w:p>
        </w:tc>
        <w:tc>
          <w:tcPr>
            <w:tcW w:w="1303" w:type="dxa"/>
            <w:tcBorders>
              <w:top w:val="single" w:sz="4" w:space="0" w:color="auto"/>
              <w:left w:val="single" w:sz="4" w:space="0" w:color="auto"/>
              <w:bottom w:val="single" w:sz="4" w:space="0" w:color="auto"/>
              <w:right w:val="single" w:sz="4" w:space="0" w:color="auto"/>
            </w:tcBorders>
            <w:hideMark/>
          </w:tcPr>
          <w:p w14:paraId="293AE9C5"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 (2,9%)</w:t>
            </w:r>
          </w:p>
        </w:tc>
        <w:tc>
          <w:tcPr>
            <w:tcW w:w="1303" w:type="dxa"/>
            <w:tcBorders>
              <w:top w:val="single" w:sz="4" w:space="0" w:color="auto"/>
              <w:left w:val="single" w:sz="4" w:space="0" w:color="auto"/>
              <w:bottom w:val="single" w:sz="4" w:space="0" w:color="auto"/>
              <w:right w:val="single" w:sz="4" w:space="0" w:color="auto"/>
            </w:tcBorders>
            <w:hideMark/>
          </w:tcPr>
          <w:p w14:paraId="5426FC76"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 (3,4%)</w:t>
            </w:r>
          </w:p>
        </w:tc>
        <w:tc>
          <w:tcPr>
            <w:tcW w:w="1303" w:type="dxa"/>
            <w:tcBorders>
              <w:top w:val="single" w:sz="4" w:space="0" w:color="auto"/>
              <w:left w:val="single" w:sz="4" w:space="0" w:color="auto"/>
              <w:bottom w:val="single" w:sz="4" w:space="0" w:color="auto"/>
              <w:right w:val="single" w:sz="4" w:space="0" w:color="auto"/>
            </w:tcBorders>
            <w:hideMark/>
          </w:tcPr>
          <w:p w14:paraId="76B02929"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 (4,2%)</w:t>
            </w:r>
          </w:p>
        </w:tc>
        <w:tc>
          <w:tcPr>
            <w:tcW w:w="1303" w:type="dxa"/>
            <w:tcBorders>
              <w:top w:val="single" w:sz="4" w:space="0" w:color="auto"/>
              <w:left w:val="single" w:sz="4" w:space="0" w:color="auto"/>
              <w:bottom w:val="single" w:sz="4" w:space="0" w:color="auto"/>
              <w:right w:val="single" w:sz="4" w:space="0" w:color="auto"/>
            </w:tcBorders>
            <w:hideMark/>
          </w:tcPr>
          <w:p w14:paraId="5F27F21E"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597" w:type="dxa"/>
            <w:tcBorders>
              <w:top w:val="single" w:sz="4" w:space="0" w:color="auto"/>
              <w:left w:val="single" w:sz="4" w:space="0" w:color="auto"/>
              <w:bottom w:val="single" w:sz="4" w:space="0" w:color="auto"/>
              <w:right w:val="single" w:sz="4" w:space="0" w:color="auto"/>
            </w:tcBorders>
            <w:hideMark/>
          </w:tcPr>
          <w:p w14:paraId="1A805C37"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2 (3,4%)</w:t>
            </w:r>
          </w:p>
        </w:tc>
        <w:tc>
          <w:tcPr>
            <w:tcW w:w="1431" w:type="dxa"/>
            <w:tcBorders>
              <w:top w:val="single" w:sz="4" w:space="0" w:color="auto"/>
              <w:left w:val="single" w:sz="4" w:space="0" w:color="auto"/>
              <w:bottom w:val="single" w:sz="4" w:space="0" w:color="auto"/>
              <w:right w:val="single" w:sz="4" w:space="0" w:color="auto"/>
            </w:tcBorders>
            <w:hideMark/>
          </w:tcPr>
          <w:p w14:paraId="495E725C"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1 (1,5%)</w:t>
            </w:r>
          </w:p>
        </w:tc>
      </w:tr>
      <w:tr w:rsidR="00CF641C" w:rsidRPr="00520861" w14:paraId="4EC2196E" w14:textId="77777777" w:rsidTr="00292D2E">
        <w:trPr>
          <w:jc w:val="center"/>
        </w:trPr>
        <w:tc>
          <w:tcPr>
            <w:tcW w:w="1678" w:type="dxa"/>
            <w:tcBorders>
              <w:top w:val="single" w:sz="4" w:space="0" w:color="auto"/>
              <w:left w:val="single" w:sz="4" w:space="0" w:color="auto"/>
              <w:bottom w:val="single" w:sz="4" w:space="0" w:color="auto"/>
              <w:right w:val="single" w:sz="4" w:space="0" w:color="auto"/>
            </w:tcBorders>
          </w:tcPr>
          <w:p w14:paraId="4DF3B63B"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 xml:space="preserve">Шості </w:t>
            </w:r>
          </w:p>
          <w:p w14:paraId="19A2DF76" w14:textId="77777777" w:rsidR="00CF641C" w:rsidRPr="00520861" w:rsidRDefault="00CF641C" w:rsidP="00292D2E">
            <w:pPr>
              <w:widowControl w:val="0"/>
              <w:spacing w:line="362" w:lineRule="auto"/>
              <w:rPr>
                <w:rFonts w:eastAsia="Calibri" w:cs="Times New Roman"/>
                <w:sz w:val="28"/>
                <w:szCs w:val="28"/>
              </w:rPr>
            </w:pPr>
            <w:r w:rsidRPr="00520861">
              <w:rPr>
                <w:rFonts w:eastAsia="Calibri" w:cs="Times New Roman"/>
                <w:sz w:val="28"/>
                <w:szCs w:val="28"/>
              </w:rPr>
              <w:t>та більше</w:t>
            </w:r>
          </w:p>
        </w:tc>
        <w:tc>
          <w:tcPr>
            <w:tcW w:w="1303" w:type="dxa"/>
            <w:tcBorders>
              <w:top w:val="single" w:sz="4" w:space="0" w:color="auto"/>
              <w:left w:val="single" w:sz="4" w:space="0" w:color="auto"/>
              <w:bottom w:val="single" w:sz="4" w:space="0" w:color="auto"/>
              <w:right w:val="single" w:sz="4" w:space="0" w:color="auto"/>
            </w:tcBorders>
          </w:tcPr>
          <w:p w14:paraId="1863662B"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303" w:type="dxa"/>
            <w:tcBorders>
              <w:top w:val="single" w:sz="4" w:space="0" w:color="auto"/>
              <w:left w:val="single" w:sz="4" w:space="0" w:color="auto"/>
              <w:bottom w:val="single" w:sz="4" w:space="0" w:color="auto"/>
              <w:right w:val="single" w:sz="4" w:space="0" w:color="auto"/>
            </w:tcBorders>
          </w:tcPr>
          <w:p w14:paraId="38535138"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303" w:type="dxa"/>
            <w:tcBorders>
              <w:top w:val="single" w:sz="4" w:space="0" w:color="auto"/>
              <w:left w:val="single" w:sz="4" w:space="0" w:color="auto"/>
              <w:bottom w:val="single" w:sz="4" w:space="0" w:color="auto"/>
              <w:right w:val="single" w:sz="4" w:space="0" w:color="auto"/>
            </w:tcBorders>
          </w:tcPr>
          <w:p w14:paraId="6F5FA3C3"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303" w:type="dxa"/>
            <w:tcBorders>
              <w:top w:val="single" w:sz="4" w:space="0" w:color="auto"/>
              <w:left w:val="single" w:sz="4" w:space="0" w:color="auto"/>
              <w:bottom w:val="single" w:sz="4" w:space="0" w:color="auto"/>
              <w:right w:val="single" w:sz="4" w:space="0" w:color="auto"/>
            </w:tcBorders>
          </w:tcPr>
          <w:p w14:paraId="431A688D"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597" w:type="dxa"/>
            <w:tcBorders>
              <w:top w:val="single" w:sz="4" w:space="0" w:color="auto"/>
              <w:left w:val="single" w:sz="4" w:space="0" w:color="auto"/>
              <w:bottom w:val="single" w:sz="4" w:space="0" w:color="auto"/>
              <w:right w:val="single" w:sz="4" w:space="0" w:color="auto"/>
            </w:tcBorders>
          </w:tcPr>
          <w:p w14:paraId="6729B4AC"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c>
          <w:tcPr>
            <w:tcW w:w="1431" w:type="dxa"/>
            <w:tcBorders>
              <w:top w:val="single" w:sz="4" w:space="0" w:color="auto"/>
              <w:left w:val="single" w:sz="4" w:space="0" w:color="auto"/>
              <w:bottom w:val="single" w:sz="4" w:space="0" w:color="auto"/>
              <w:right w:val="single" w:sz="4" w:space="0" w:color="auto"/>
            </w:tcBorders>
          </w:tcPr>
          <w:p w14:paraId="46052751" w14:textId="77777777" w:rsidR="00CF641C" w:rsidRPr="00520861" w:rsidRDefault="00CF641C" w:rsidP="00292D2E">
            <w:pPr>
              <w:widowControl w:val="0"/>
              <w:spacing w:line="362" w:lineRule="auto"/>
              <w:jc w:val="center"/>
              <w:rPr>
                <w:rFonts w:eastAsia="Calibri" w:cs="Times New Roman"/>
                <w:sz w:val="28"/>
                <w:szCs w:val="28"/>
              </w:rPr>
            </w:pPr>
            <w:r w:rsidRPr="00520861">
              <w:rPr>
                <w:rFonts w:eastAsia="Calibri" w:cs="Times New Roman"/>
                <w:sz w:val="28"/>
                <w:szCs w:val="28"/>
              </w:rPr>
              <w:t>0 (0%)</w:t>
            </w:r>
          </w:p>
        </w:tc>
      </w:tr>
    </w:tbl>
    <w:p w14:paraId="075663FC" w14:textId="77777777" w:rsidR="00CF641C" w:rsidRPr="00520861" w:rsidRDefault="00CF641C" w:rsidP="00292D2E">
      <w:pPr>
        <w:widowControl w:val="0"/>
        <w:spacing w:line="360" w:lineRule="auto"/>
        <w:ind w:firstLine="709"/>
        <w:jc w:val="both"/>
        <w:rPr>
          <w:rFonts w:eastAsia="Calibri"/>
          <w:sz w:val="28"/>
          <w:szCs w:val="28"/>
          <w:lang w:eastAsia="en-US"/>
        </w:rPr>
      </w:pPr>
    </w:p>
    <w:p w14:paraId="184677EA" w14:textId="77777777" w:rsidR="00CF641C" w:rsidRPr="00520861" w:rsidRDefault="00CF641C"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lastRenderedPageBreak/>
        <w:t xml:space="preserve">Таблиця 4.3 </w:t>
      </w:r>
    </w:p>
    <w:p w14:paraId="62731CC7" w14:textId="77777777" w:rsidR="00CF641C" w:rsidRPr="00520861" w:rsidRDefault="00CF641C" w:rsidP="00292D2E">
      <w:pPr>
        <w:widowControl w:val="0"/>
        <w:spacing w:line="360" w:lineRule="auto"/>
        <w:jc w:val="center"/>
        <w:rPr>
          <w:b/>
          <w:i/>
          <w:spacing w:val="-4"/>
          <w:sz w:val="28"/>
          <w:szCs w:val="28"/>
        </w:rPr>
      </w:pPr>
      <w:r w:rsidRPr="00520861">
        <w:rPr>
          <w:rFonts w:eastAsia="Calibri"/>
          <w:b/>
          <w:spacing w:val="-4"/>
          <w:sz w:val="28"/>
          <w:szCs w:val="28"/>
          <w:lang w:eastAsia="en-US"/>
        </w:rPr>
        <w:t xml:space="preserve">Середні значення маси тіла, довжини тіла та ІМТ батьків з відповідними </w:t>
      </w:r>
      <w:r w:rsidRPr="00520861">
        <w:rPr>
          <w:rFonts w:eastAsia="Calibri"/>
          <w:b/>
          <w:spacing w:val="-4"/>
          <w:sz w:val="28"/>
          <w:szCs w:val="28"/>
          <w:lang w:eastAsia="en-US"/>
        </w:rPr>
        <w:br/>
        <w:t>довірчими інтервалами (</w:t>
      </w:r>
      <w:r w:rsidR="00E3392E" w:rsidRPr="00520861">
        <w:rPr>
          <w:rFonts w:eastAsia="Calibri"/>
          <w:b/>
          <w:i/>
          <w:sz w:val="28"/>
          <w:szCs w:val="28"/>
          <w:lang w:eastAsia="en-US"/>
        </w:rPr>
        <w:t>p</w:t>
      </w:r>
      <w:r w:rsidR="00CD7533" w:rsidRPr="00520861">
        <w:rPr>
          <w:rFonts w:eastAsia="Calibri"/>
          <w:b/>
          <w:sz w:val="28"/>
          <w:szCs w:val="28"/>
          <w:lang w:eastAsia="en-US"/>
        </w:rPr>
        <w:t>&lt;</w:t>
      </w:r>
      <w:r w:rsidR="00E3392E" w:rsidRPr="00520861">
        <w:rPr>
          <w:rFonts w:eastAsia="Calibri"/>
          <w:b/>
          <w:sz w:val="28"/>
          <w:szCs w:val="28"/>
          <w:lang w:eastAsia="en-US"/>
        </w:rPr>
        <w:t>0,05</w:t>
      </w:r>
      <w:r w:rsidRPr="00520861">
        <w:rPr>
          <w:rFonts w:eastAsia="Calibri"/>
          <w:b/>
          <w:spacing w:val="-4"/>
          <w:sz w:val="28"/>
          <w:szCs w:val="28"/>
          <w:lang w:eastAsia="en-US"/>
        </w:rPr>
        <w:t>), та кількість осіб (n) в обстежуваній вибірці дітей</w:t>
      </w:r>
    </w:p>
    <w:tbl>
      <w:tblPr>
        <w:tblW w:w="100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5"/>
        <w:gridCol w:w="1417"/>
        <w:gridCol w:w="1465"/>
        <w:gridCol w:w="1465"/>
        <w:gridCol w:w="1464"/>
        <w:gridCol w:w="1465"/>
        <w:gridCol w:w="1465"/>
      </w:tblGrid>
      <w:tr w:rsidR="00CF641C" w:rsidRPr="00520861" w14:paraId="70C2CF2E" w14:textId="77777777" w:rsidTr="00292D2E">
        <w:trPr>
          <w:jc w:val="center"/>
        </w:trPr>
        <w:tc>
          <w:tcPr>
            <w:tcW w:w="1305" w:type="dxa"/>
            <w:tcBorders>
              <w:top w:val="single" w:sz="4" w:space="0" w:color="auto"/>
              <w:left w:val="single" w:sz="4" w:space="0" w:color="auto"/>
              <w:bottom w:val="single" w:sz="4" w:space="0" w:color="auto"/>
              <w:right w:val="single" w:sz="4" w:space="0" w:color="auto"/>
            </w:tcBorders>
            <w:hideMark/>
          </w:tcPr>
          <w:p w14:paraId="7523F726" w14:textId="77777777" w:rsidR="00CF641C" w:rsidRPr="00520861" w:rsidRDefault="00CF641C" w:rsidP="00292D2E">
            <w:pPr>
              <w:widowControl w:val="0"/>
              <w:spacing w:line="360" w:lineRule="auto"/>
              <w:ind w:left="-247" w:right="-106" w:firstLine="142"/>
              <w:jc w:val="center"/>
              <w:rPr>
                <w:sz w:val="28"/>
                <w:szCs w:val="28"/>
              </w:rPr>
            </w:pPr>
            <w:r w:rsidRPr="00520861">
              <w:rPr>
                <w:sz w:val="28"/>
                <w:szCs w:val="28"/>
              </w:rPr>
              <w:t>Група</w:t>
            </w:r>
          </w:p>
          <w:p w14:paraId="7FCD6C7B" w14:textId="77777777" w:rsidR="00CF641C" w:rsidRPr="00520861" w:rsidRDefault="00CF641C" w:rsidP="00292D2E">
            <w:pPr>
              <w:widowControl w:val="0"/>
              <w:spacing w:line="360" w:lineRule="auto"/>
              <w:ind w:left="-247" w:right="-106" w:firstLine="142"/>
              <w:jc w:val="center"/>
              <w:rPr>
                <w:sz w:val="28"/>
                <w:szCs w:val="28"/>
              </w:rPr>
            </w:pPr>
            <w:r w:rsidRPr="00520861">
              <w:rPr>
                <w:sz w:val="28"/>
                <w:szCs w:val="28"/>
              </w:rPr>
              <w:t>(n)</w:t>
            </w:r>
          </w:p>
        </w:tc>
        <w:tc>
          <w:tcPr>
            <w:tcW w:w="1417" w:type="dxa"/>
            <w:tcBorders>
              <w:top w:val="single" w:sz="4" w:space="0" w:color="auto"/>
              <w:left w:val="single" w:sz="4" w:space="0" w:color="auto"/>
              <w:bottom w:val="single" w:sz="4" w:space="0" w:color="auto"/>
              <w:right w:val="single" w:sz="4" w:space="0" w:color="auto"/>
            </w:tcBorders>
            <w:hideMark/>
          </w:tcPr>
          <w:p w14:paraId="06C7984F" w14:textId="77777777" w:rsidR="00CF641C" w:rsidRPr="00520861" w:rsidRDefault="00CF641C" w:rsidP="00292D2E">
            <w:pPr>
              <w:widowControl w:val="0"/>
              <w:spacing w:line="360" w:lineRule="auto"/>
              <w:jc w:val="center"/>
              <w:rPr>
                <w:sz w:val="28"/>
                <w:szCs w:val="28"/>
              </w:rPr>
            </w:pPr>
            <w:r w:rsidRPr="00520861">
              <w:rPr>
                <w:sz w:val="28"/>
                <w:szCs w:val="28"/>
              </w:rPr>
              <w:t>Маса тіла матері,</w:t>
            </w:r>
          </w:p>
          <w:p w14:paraId="322AB849" w14:textId="77777777" w:rsidR="00CF641C" w:rsidRPr="00520861" w:rsidRDefault="00CF641C" w:rsidP="00292D2E">
            <w:pPr>
              <w:widowControl w:val="0"/>
              <w:spacing w:line="360" w:lineRule="auto"/>
              <w:jc w:val="center"/>
              <w:rPr>
                <w:sz w:val="28"/>
                <w:szCs w:val="28"/>
              </w:rPr>
            </w:pPr>
            <w:r w:rsidRPr="00520861">
              <w:rPr>
                <w:sz w:val="28"/>
                <w:szCs w:val="28"/>
              </w:rPr>
              <w:t>кг</w:t>
            </w:r>
          </w:p>
        </w:tc>
        <w:tc>
          <w:tcPr>
            <w:tcW w:w="1465" w:type="dxa"/>
            <w:tcBorders>
              <w:top w:val="single" w:sz="4" w:space="0" w:color="auto"/>
              <w:left w:val="single" w:sz="4" w:space="0" w:color="auto"/>
              <w:bottom w:val="single" w:sz="4" w:space="0" w:color="auto"/>
              <w:right w:val="single" w:sz="4" w:space="0" w:color="auto"/>
            </w:tcBorders>
            <w:hideMark/>
          </w:tcPr>
          <w:p w14:paraId="2BEC9B18" w14:textId="77777777" w:rsidR="00CF641C" w:rsidRPr="00520861" w:rsidRDefault="00CF641C" w:rsidP="00292D2E">
            <w:pPr>
              <w:widowControl w:val="0"/>
              <w:spacing w:line="360" w:lineRule="auto"/>
              <w:jc w:val="center"/>
              <w:rPr>
                <w:sz w:val="28"/>
                <w:szCs w:val="28"/>
              </w:rPr>
            </w:pPr>
            <w:r w:rsidRPr="00520861">
              <w:rPr>
                <w:sz w:val="28"/>
                <w:szCs w:val="28"/>
              </w:rPr>
              <w:t>Зріст матері,</w:t>
            </w:r>
          </w:p>
          <w:p w14:paraId="2F06A1A4" w14:textId="77777777" w:rsidR="00CF641C" w:rsidRPr="00520861" w:rsidRDefault="00CF641C" w:rsidP="00292D2E">
            <w:pPr>
              <w:widowControl w:val="0"/>
              <w:spacing w:line="360" w:lineRule="auto"/>
              <w:jc w:val="center"/>
              <w:rPr>
                <w:sz w:val="28"/>
                <w:szCs w:val="28"/>
              </w:rPr>
            </w:pPr>
            <w:r w:rsidRPr="00520861">
              <w:rPr>
                <w:sz w:val="28"/>
                <w:szCs w:val="28"/>
              </w:rPr>
              <w:t>см</w:t>
            </w:r>
          </w:p>
        </w:tc>
        <w:tc>
          <w:tcPr>
            <w:tcW w:w="1465" w:type="dxa"/>
            <w:tcBorders>
              <w:top w:val="single" w:sz="4" w:space="0" w:color="auto"/>
              <w:left w:val="single" w:sz="4" w:space="0" w:color="auto"/>
              <w:bottom w:val="single" w:sz="4" w:space="0" w:color="auto"/>
              <w:right w:val="single" w:sz="4" w:space="0" w:color="auto"/>
            </w:tcBorders>
            <w:hideMark/>
          </w:tcPr>
          <w:p w14:paraId="2C73D3B7" w14:textId="77777777" w:rsidR="00CF641C" w:rsidRPr="00520861" w:rsidRDefault="00CF641C" w:rsidP="00292D2E">
            <w:pPr>
              <w:widowControl w:val="0"/>
              <w:spacing w:line="360" w:lineRule="auto"/>
              <w:ind w:right="-157" w:hanging="156"/>
              <w:jc w:val="center"/>
              <w:rPr>
                <w:sz w:val="28"/>
                <w:szCs w:val="28"/>
              </w:rPr>
            </w:pPr>
            <w:r w:rsidRPr="00520861">
              <w:rPr>
                <w:sz w:val="28"/>
                <w:szCs w:val="28"/>
              </w:rPr>
              <w:t>ІМТ</w:t>
            </w:r>
          </w:p>
          <w:p w14:paraId="728DE3BA" w14:textId="77777777" w:rsidR="00CF641C" w:rsidRPr="00520861" w:rsidRDefault="00CF641C" w:rsidP="00292D2E">
            <w:pPr>
              <w:widowControl w:val="0"/>
              <w:spacing w:line="360" w:lineRule="auto"/>
              <w:ind w:right="-157" w:hanging="156"/>
              <w:jc w:val="center"/>
              <w:rPr>
                <w:sz w:val="28"/>
                <w:szCs w:val="28"/>
              </w:rPr>
            </w:pPr>
            <w:r w:rsidRPr="00520861">
              <w:rPr>
                <w:sz w:val="28"/>
                <w:szCs w:val="28"/>
              </w:rPr>
              <w:t>матері,</w:t>
            </w:r>
          </w:p>
          <w:p w14:paraId="48664504" w14:textId="77777777" w:rsidR="00CF641C" w:rsidRPr="00520861" w:rsidRDefault="00CF641C" w:rsidP="00292D2E">
            <w:pPr>
              <w:widowControl w:val="0"/>
              <w:spacing w:line="360" w:lineRule="auto"/>
              <w:ind w:right="-157" w:hanging="156"/>
              <w:jc w:val="center"/>
              <w:rPr>
                <w:sz w:val="28"/>
                <w:szCs w:val="28"/>
              </w:rPr>
            </w:pPr>
            <w:r w:rsidRPr="00520861">
              <w:rPr>
                <w:sz w:val="28"/>
                <w:szCs w:val="28"/>
              </w:rPr>
              <w:t xml:space="preserve"> кг м</w:t>
            </w:r>
            <w:r w:rsidRPr="00520861">
              <w:rPr>
                <w:sz w:val="28"/>
                <w:szCs w:val="28"/>
                <w:vertAlign w:val="superscript"/>
              </w:rPr>
              <w:t>–2</w:t>
            </w:r>
          </w:p>
        </w:tc>
        <w:tc>
          <w:tcPr>
            <w:tcW w:w="1464" w:type="dxa"/>
            <w:tcBorders>
              <w:top w:val="single" w:sz="4" w:space="0" w:color="auto"/>
              <w:left w:val="single" w:sz="4" w:space="0" w:color="auto"/>
              <w:bottom w:val="single" w:sz="4" w:space="0" w:color="auto"/>
              <w:right w:val="single" w:sz="4" w:space="0" w:color="auto"/>
            </w:tcBorders>
            <w:hideMark/>
          </w:tcPr>
          <w:p w14:paraId="16727A68" w14:textId="77777777" w:rsidR="00CF641C" w:rsidRPr="00520861" w:rsidRDefault="00CF641C" w:rsidP="00292D2E">
            <w:pPr>
              <w:widowControl w:val="0"/>
              <w:spacing w:line="360" w:lineRule="auto"/>
              <w:jc w:val="center"/>
              <w:rPr>
                <w:sz w:val="28"/>
                <w:szCs w:val="28"/>
              </w:rPr>
            </w:pPr>
            <w:r w:rsidRPr="00520861">
              <w:rPr>
                <w:sz w:val="28"/>
                <w:szCs w:val="28"/>
              </w:rPr>
              <w:t>Маса тіла батька,</w:t>
            </w:r>
          </w:p>
          <w:p w14:paraId="40CE93FD" w14:textId="77777777" w:rsidR="00CF641C" w:rsidRPr="00520861" w:rsidRDefault="00CF641C" w:rsidP="00292D2E">
            <w:pPr>
              <w:widowControl w:val="0"/>
              <w:spacing w:line="360" w:lineRule="auto"/>
              <w:jc w:val="center"/>
              <w:rPr>
                <w:sz w:val="28"/>
                <w:szCs w:val="28"/>
              </w:rPr>
            </w:pPr>
            <w:r w:rsidRPr="00520861">
              <w:rPr>
                <w:sz w:val="28"/>
                <w:szCs w:val="28"/>
              </w:rPr>
              <w:t>Кг</w:t>
            </w:r>
          </w:p>
        </w:tc>
        <w:tc>
          <w:tcPr>
            <w:tcW w:w="1465" w:type="dxa"/>
            <w:tcBorders>
              <w:top w:val="single" w:sz="4" w:space="0" w:color="auto"/>
              <w:left w:val="single" w:sz="4" w:space="0" w:color="auto"/>
              <w:bottom w:val="single" w:sz="4" w:space="0" w:color="auto"/>
              <w:right w:val="single" w:sz="4" w:space="0" w:color="auto"/>
            </w:tcBorders>
            <w:hideMark/>
          </w:tcPr>
          <w:p w14:paraId="50103131" w14:textId="77777777" w:rsidR="00CF641C" w:rsidRPr="00520861" w:rsidRDefault="00CF641C" w:rsidP="00292D2E">
            <w:pPr>
              <w:widowControl w:val="0"/>
              <w:spacing w:line="360" w:lineRule="auto"/>
              <w:jc w:val="center"/>
              <w:rPr>
                <w:sz w:val="28"/>
                <w:szCs w:val="28"/>
              </w:rPr>
            </w:pPr>
            <w:r w:rsidRPr="00520861">
              <w:rPr>
                <w:sz w:val="28"/>
                <w:szCs w:val="28"/>
              </w:rPr>
              <w:t>Зріст батька,</w:t>
            </w:r>
          </w:p>
          <w:p w14:paraId="183C0E4D" w14:textId="77777777" w:rsidR="00CF641C" w:rsidRPr="00520861" w:rsidRDefault="00CF641C" w:rsidP="00292D2E">
            <w:pPr>
              <w:widowControl w:val="0"/>
              <w:spacing w:line="360" w:lineRule="auto"/>
              <w:jc w:val="center"/>
              <w:rPr>
                <w:sz w:val="28"/>
                <w:szCs w:val="28"/>
              </w:rPr>
            </w:pPr>
            <w:r w:rsidRPr="00520861">
              <w:rPr>
                <w:sz w:val="28"/>
                <w:szCs w:val="28"/>
              </w:rPr>
              <w:t>см</w:t>
            </w:r>
          </w:p>
        </w:tc>
        <w:tc>
          <w:tcPr>
            <w:tcW w:w="1465" w:type="dxa"/>
            <w:tcBorders>
              <w:top w:val="single" w:sz="4" w:space="0" w:color="auto"/>
              <w:left w:val="single" w:sz="4" w:space="0" w:color="auto"/>
              <w:bottom w:val="single" w:sz="4" w:space="0" w:color="auto"/>
              <w:right w:val="single" w:sz="4" w:space="0" w:color="auto"/>
            </w:tcBorders>
            <w:hideMark/>
          </w:tcPr>
          <w:p w14:paraId="52FD7038" w14:textId="77777777" w:rsidR="00CF641C" w:rsidRPr="00520861" w:rsidRDefault="00CF641C" w:rsidP="00292D2E">
            <w:pPr>
              <w:widowControl w:val="0"/>
              <w:spacing w:line="360" w:lineRule="auto"/>
              <w:ind w:hanging="157"/>
              <w:jc w:val="center"/>
              <w:rPr>
                <w:sz w:val="28"/>
                <w:szCs w:val="28"/>
              </w:rPr>
            </w:pPr>
            <w:r w:rsidRPr="00520861">
              <w:rPr>
                <w:sz w:val="28"/>
                <w:szCs w:val="28"/>
              </w:rPr>
              <w:t xml:space="preserve">ІМТ </w:t>
            </w:r>
          </w:p>
          <w:p w14:paraId="5FC702C9" w14:textId="77777777" w:rsidR="00CF641C" w:rsidRPr="00520861" w:rsidRDefault="00CF641C" w:rsidP="00292D2E">
            <w:pPr>
              <w:widowControl w:val="0"/>
              <w:spacing w:line="360" w:lineRule="auto"/>
              <w:ind w:hanging="157"/>
              <w:jc w:val="center"/>
              <w:rPr>
                <w:sz w:val="28"/>
                <w:szCs w:val="28"/>
              </w:rPr>
            </w:pPr>
            <w:r w:rsidRPr="00520861">
              <w:rPr>
                <w:sz w:val="28"/>
                <w:szCs w:val="28"/>
              </w:rPr>
              <w:t>батька, кг м</w:t>
            </w:r>
            <w:r w:rsidRPr="00520861">
              <w:rPr>
                <w:sz w:val="28"/>
                <w:szCs w:val="28"/>
                <w:vertAlign w:val="superscript"/>
              </w:rPr>
              <w:t>–2</w:t>
            </w:r>
          </w:p>
        </w:tc>
      </w:tr>
      <w:tr w:rsidR="00CF641C" w:rsidRPr="00520861" w14:paraId="33747345" w14:textId="77777777" w:rsidTr="00292D2E">
        <w:trPr>
          <w:jc w:val="center"/>
        </w:trPr>
        <w:tc>
          <w:tcPr>
            <w:tcW w:w="1305" w:type="dxa"/>
            <w:tcBorders>
              <w:top w:val="single" w:sz="4" w:space="0" w:color="auto"/>
              <w:left w:val="single" w:sz="4" w:space="0" w:color="auto"/>
              <w:bottom w:val="single" w:sz="4" w:space="0" w:color="auto"/>
              <w:right w:val="single" w:sz="4" w:space="0" w:color="auto"/>
            </w:tcBorders>
            <w:hideMark/>
          </w:tcPr>
          <w:p w14:paraId="7C9302B5" w14:textId="77777777" w:rsidR="00CF641C" w:rsidRPr="00520861" w:rsidRDefault="00CF641C" w:rsidP="00292D2E">
            <w:pPr>
              <w:widowControl w:val="0"/>
              <w:spacing w:line="360" w:lineRule="auto"/>
              <w:ind w:right="-248" w:hanging="247"/>
              <w:jc w:val="center"/>
              <w:rPr>
                <w:sz w:val="28"/>
                <w:szCs w:val="28"/>
              </w:rPr>
            </w:pPr>
            <w:r w:rsidRPr="00520861">
              <w:rPr>
                <w:rFonts w:eastAsia="Calibri"/>
                <w:sz w:val="28"/>
                <w:szCs w:val="28"/>
                <w:lang w:eastAsia="en-US"/>
              </w:rPr>
              <w:t>Перша</w:t>
            </w:r>
            <w:r w:rsidRPr="00520861">
              <w:rPr>
                <w:rFonts w:eastAsia="Calibri"/>
                <w:spacing w:val="-14"/>
                <w:sz w:val="28"/>
                <w:szCs w:val="28"/>
                <w:lang w:eastAsia="en-US"/>
              </w:rPr>
              <w:t xml:space="preserve"> (35)</w:t>
            </w:r>
          </w:p>
        </w:tc>
        <w:tc>
          <w:tcPr>
            <w:tcW w:w="1417" w:type="dxa"/>
            <w:tcBorders>
              <w:top w:val="single" w:sz="4" w:space="0" w:color="auto"/>
              <w:left w:val="single" w:sz="4" w:space="0" w:color="auto"/>
              <w:bottom w:val="single" w:sz="4" w:space="0" w:color="auto"/>
              <w:right w:val="single" w:sz="4" w:space="0" w:color="auto"/>
            </w:tcBorders>
            <w:hideMark/>
          </w:tcPr>
          <w:p w14:paraId="2EDBC248" w14:textId="77777777" w:rsidR="00CF641C" w:rsidRPr="00520861" w:rsidRDefault="00CF641C" w:rsidP="00292D2E">
            <w:pPr>
              <w:widowControl w:val="0"/>
              <w:spacing w:line="360" w:lineRule="auto"/>
              <w:ind w:right="-69" w:hanging="103"/>
              <w:jc w:val="center"/>
              <w:rPr>
                <w:sz w:val="28"/>
                <w:szCs w:val="28"/>
              </w:rPr>
            </w:pPr>
            <w:r w:rsidRPr="00520861">
              <w:rPr>
                <w:sz w:val="28"/>
                <w:szCs w:val="28"/>
              </w:rPr>
              <w:t>69,98±4,66</w:t>
            </w:r>
          </w:p>
        </w:tc>
        <w:tc>
          <w:tcPr>
            <w:tcW w:w="1465" w:type="dxa"/>
            <w:tcBorders>
              <w:top w:val="single" w:sz="4" w:space="0" w:color="auto"/>
              <w:left w:val="single" w:sz="4" w:space="0" w:color="auto"/>
              <w:bottom w:val="single" w:sz="4" w:space="0" w:color="auto"/>
              <w:right w:val="single" w:sz="4" w:space="0" w:color="auto"/>
            </w:tcBorders>
            <w:hideMark/>
          </w:tcPr>
          <w:p w14:paraId="3FB9069E" w14:textId="77777777" w:rsidR="00CF641C" w:rsidRPr="00520861" w:rsidRDefault="00CF641C" w:rsidP="00292D2E">
            <w:pPr>
              <w:widowControl w:val="0"/>
              <w:spacing w:line="360" w:lineRule="auto"/>
              <w:ind w:hanging="155"/>
              <w:jc w:val="center"/>
              <w:rPr>
                <w:sz w:val="28"/>
                <w:szCs w:val="28"/>
              </w:rPr>
            </w:pPr>
            <w:r w:rsidRPr="00520861">
              <w:rPr>
                <w:sz w:val="28"/>
                <w:szCs w:val="28"/>
              </w:rPr>
              <w:t>166,8±2,30</w:t>
            </w:r>
          </w:p>
        </w:tc>
        <w:tc>
          <w:tcPr>
            <w:tcW w:w="1465" w:type="dxa"/>
            <w:tcBorders>
              <w:top w:val="single" w:sz="4" w:space="0" w:color="auto"/>
              <w:left w:val="single" w:sz="4" w:space="0" w:color="auto"/>
              <w:bottom w:val="single" w:sz="4" w:space="0" w:color="auto"/>
              <w:right w:val="single" w:sz="4" w:space="0" w:color="auto"/>
            </w:tcBorders>
            <w:hideMark/>
          </w:tcPr>
          <w:p w14:paraId="383FB9A9" w14:textId="77777777" w:rsidR="00CF641C" w:rsidRPr="00520861" w:rsidRDefault="00CF641C" w:rsidP="00292D2E">
            <w:pPr>
              <w:widowControl w:val="0"/>
              <w:spacing w:line="360" w:lineRule="auto"/>
              <w:ind w:hanging="66"/>
              <w:jc w:val="center"/>
              <w:rPr>
                <w:sz w:val="28"/>
                <w:szCs w:val="28"/>
              </w:rPr>
            </w:pPr>
            <w:r w:rsidRPr="00520861">
              <w:rPr>
                <w:sz w:val="28"/>
                <w:szCs w:val="28"/>
              </w:rPr>
              <w:t>25,12±1,56</w:t>
            </w:r>
          </w:p>
        </w:tc>
        <w:tc>
          <w:tcPr>
            <w:tcW w:w="1464" w:type="dxa"/>
            <w:tcBorders>
              <w:top w:val="single" w:sz="4" w:space="0" w:color="auto"/>
              <w:left w:val="single" w:sz="4" w:space="0" w:color="auto"/>
              <w:bottom w:val="single" w:sz="4" w:space="0" w:color="auto"/>
              <w:right w:val="single" w:sz="4" w:space="0" w:color="auto"/>
            </w:tcBorders>
            <w:hideMark/>
          </w:tcPr>
          <w:p w14:paraId="7FC24F33" w14:textId="77777777" w:rsidR="00CF641C" w:rsidRPr="00520861" w:rsidRDefault="00CF641C" w:rsidP="00292D2E">
            <w:pPr>
              <w:widowControl w:val="0"/>
              <w:spacing w:line="360" w:lineRule="auto"/>
              <w:ind w:hanging="104"/>
              <w:jc w:val="center"/>
              <w:rPr>
                <w:sz w:val="28"/>
                <w:szCs w:val="28"/>
              </w:rPr>
            </w:pPr>
            <w:r w:rsidRPr="00520861">
              <w:rPr>
                <w:sz w:val="28"/>
                <w:szCs w:val="28"/>
              </w:rPr>
              <w:t>82,57±4,20</w:t>
            </w:r>
          </w:p>
        </w:tc>
        <w:tc>
          <w:tcPr>
            <w:tcW w:w="1465" w:type="dxa"/>
            <w:tcBorders>
              <w:top w:val="single" w:sz="4" w:space="0" w:color="auto"/>
              <w:left w:val="single" w:sz="4" w:space="0" w:color="auto"/>
              <w:bottom w:val="single" w:sz="4" w:space="0" w:color="auto"/>
              <w:right w:val="single" w:sz="4" w:space="0" w:color="auto"/>
            </w:tcBorders>
            <w:hideMark/>
          </w:tcPr>
          <w:p w14:paraId="5C654A51" w14:textId="77777777" w:rsidR="00CF641C" w:rsidRPr="00520861" w:rsidRDefault="00CF641C" w:rsidP="00292D2E">
            <w:pPr>
              <w:widowControl w:val="0"/>
              <w:spacing w:line="360" w:lineRule="auto"/>
              <w:ind w:right="-179"/>
              <w:rPr>
                <w:sz w:val="28"/>
                <w:szCs w:val="28"/>
              </w:rPr>
            </w:pPr>
            <w:r w:rsidRPr="00520861">
              <w:rPr>
                <w:sz w:val="28"/>
                <w:szCs w:val="28"/>
              </w:rPr>
              <w:t>179,77±2,31</w:t>
            </w:r>
          </w:p>
        </w:tc>
        <w:tc>
          <w:tcPr>
            <w:tcW w:w="1465" w:type="dxa"/>
            <w:tcBorders>
              <w:top w:val="single" w:sz="4" w:space="0" w:color="auto"/>
              <w:left w:val="single" w:sz="4" w:space="0" w:color="auto"/>
              <w:bottom w:val="single" w:sz="4" w:space="0" w:color="auto"/>
              <w:right w:val="single" w:sz="4" w:space="0" w:color="auto"/>
            </w:tcBorders>
            <w:hideMark/>
          </w:tcPr>
          <w:p w14:paraId="34E0E9C1" w14:textId="77777777" w:rsidR="00CF641C" w:rsidRPr="00520861" w:rsidRDefault="00CF641C" w:rsidP="00292D2E">
            <w:pPr>
              <w:widowControl w:val="0"/>
              <w:spacing w:line="360" w:lineRule="auto"/>
              <w:ind w:hanging="52"/>
              <w:jc w:val="center"/>
              <w:rPr>
                <w:sz w:val="28"/>
                <w:szCs w:val="28"/>
              </w:rPr>
            </w:pPr>
            <w:r w:rsidRPr="00520861">
              <w:rPr>
                <w:sz w:val="28"/>
                <w:szCs w:val="28"/>
              </w:rPr>
              <w:t>25,55±1,20</w:t>
            </w:r>
          </w:p>
        </w:tc>
      </w:tr>
      <w:tr w:rsidR="00CF641C" w:rsidRPr="00520861" w14:paraId="4F9B8B70" w14:textId="77777777" w:rsidTr="00292D2E">
        <w:trPr>
          <w:jc w:val="center"/>
        </w:trPr>
        <w:tc>
          <w:tcPr>
            <w:tcW w:w="1305" w:type="dxa"/>
            <w:tcBorders>
              <w:top w:val="single" w:sz="4" w:space="0" w:color="auto"/>
              <w:left w:val="single" w:sz="4" w:space="0" w:color="auto"/>
              <w:bottom w:val="single" w:sz="4" w:space="0" w:color="auto"/>
              <w:right w:val="single" w:sz="4" w:space="0" w:color="auto"/>
            </w:tcBorders>
            <w:hideMark/>
          </w:tcPr>
          <w:p w14:paraId="1576F5F6" w14:textId="77777777" w:rsidR="00CF641C" w:rsidRPr="00520861" w:rsidRDefault="00CF641C" w:rsidP="00292D2E">
            <w:pPr>
              <w:widowControl w:val="0"/>
              <w:spacing w:line="360" w:lineRule="auto"/>
              <w:ind w:right="-136" w:hanging="142"/>
              <w:jc w:val="center"/>
              <w:rPr>
                <w:sz w:val="28"/>
                <w:szCs w:val="28"/>
              </w:rPr>
            </w:pPr>
            <w:r w:rsidRPr="00520861">
              <w:rPr>
                <w:rFonts w:eastAsia="Calibri"/>
                <w:sz w:val="28"/>
                <w:szCs w:val="28"/>
                <w:lang w:eastAsia="en-US"/>
              </w:rPr>
              <w:t>Друга</w:t>
            </w:r>
            <w:r w:rsidRPr="00520861">
              <w:rPr>
                <w:rFonts w:eastAsia="Calibri"/>
                <w:spacing w:val="-14"/>
                <w:sz w:val="28"/>
                <w:szCs w:val="28"/>
                <w:lang w:eastAsia="en-US"/>
              </w:rPr>
              <w:t xml:space="preserve"> (29)</w:t>
            </w:r>
          </w:p>
        </w:tc>
        <w:tc>
          <w:tcPr>
            <w:tcW w:w="1417" w:type="dxa"/>
            <w:tcBorders>
              <w:top w:val="single" w:sz="4" w:space="0" w:color="auto"/>
              <w:left w:val="single" w:sz="4" w:space="0" w:color="auto"/>
              <w:bottom w:val="single" w:sz="4" w:space="0" w:color="auto"/>
              <w:right w:val="single" w:sz="4" w:space="0" w:color="auto"/>
            </w:tcBorders>
            <w:hideMark/>
          </w:tcPr>
          <w:p w14:paraId="0FC69452" w14:textId="77777777" w:rsidR="00CF641C" w:rsidRPr="00520861" w:rsidRDefault="00CF641C" w:rsidP="00292D2E">
            <w:pPr>
              <w:widowControl w:val="0"/>
              <w:spacing w:line="360" w:lineRule="auto"/>
              <w:ind w:right="-97" w:hanging="74"/>
              <w:jc w:val="center"/>
              <w:rPr>
                <w:sz w:val="28"/>
                <w:szCs w:val="28"/>
              </w:rPr>
            </w:pPr>
            <w:r w:rsidRPr="00520861">
              <w:rPr>
                <w:sz w:val="28"/>
                <w:szCs w:val="28"/>
              </w:rPr>
              <w:t>60,66±4,01</w:t>
            </w:r>
          </w:p>
        </w:tc>
        <w:tc>
          <w:tcPr>
            <w:tcW w:w="1465" w:type="dxa"/>
            <w:tcBorders>
              <w:top w:val="single" w:sz="4" w:space="0" w:color="auto"/>
              <w:left w:val="single" w:sz="4" w:space="0" w:color="auto"/>
              <w:bottom w:val="single" w:sz="4" w:space="0" w:color="auto"/>
              <w:right w:val="single" w:sz="4" w:space="0" w:color="auto"/>
            </w:tcBorders>
            <w:hideMark/>
          </w:tcPr>
          <w:p w14:paraId="5034B8DF" w14:textId="77777777" w:rsidR="00CF641C" w:rsidRPr="00520861" w:rsidRDefault="00CF641C" w:rsidP="00292D2E">
            <w:pPr>
              <w:widowControl w:val="0"/>
              <w:spacing w:line="360" w:lineRule="auto"/>
              <w:ind w:right="-45" w:hanging="155"/>
              <w:jc w:val="center"/>
              <w:rPr>
                <w:sz w:val="28"/>
                <w:szCs w:val="28"/>
              </w:rPr>
            </w:pPr>
            <w:r w:rsidRPr="00520861">
              <w:rPr>
                <w:sz w:val="28"/>
                <w:szCs w:val="28"/>
              </w:rPr>
              <w:t>165,17±1,47</w:t>
            </w:r>
          </w:p>
        </w:tc>
        <w:tc>
          <w:tcPr>
            <w:tcW w:w="1465" w:type="dxa"/>
            <w:tcBorders>
              <w:top w:val="single" w:sz="4" w:space="0" w:color="auto"/>
              <w:left w:val="single" w:sz="4" w:space="0" w:color="auto"/>
              <w:bottom w:val="single" w:sz="4" w:space="0" w:color="auto"/>
              <w:right w:val="single" w:sz="4" w:space="0" w:color="auto"/>
            </w:tcBorders>
            <w:hideMark/>
          </w:tcPr>
          <w:p w14:paraId="11A52DDD" w14:textId="77777777" w:rsidR="00CF641C" w:rsidRPr="00520861" w:rsidRDefault="00CF641C" w:rsidP="00292D2E">
            <w:pPr>
              <w:widowControl w:val="0"/>
              <w:spacing w:line="360" w:lineRule="auto"/>
              <w:ind w:right="-149"/>
              <w:jc w:val="center"/>
              <w:rPr>
                <w:sz w:val="28"/>
                <w:szCs w:val="28"/>
              </w:rPr>
            </w:pPr>
            <w:r w:rsidRPr="00520861">
              <w:rPr>
                <w:sz w:val="28"/>
                <w:szCs w:val="28"/>
              </w:rPr>
              <w:t>22,22±1,41</w:t>
            </w:r>
          </w:p>
        </w:tc>
        <w:tc>
          <w:tcPr>
            <w:tcW w:w="1464" w:type="dxa"/>
            <w:tcBorders>
              <w:top w:val="single" w:sz="4" w:space="0" w:color="auto"/>
              <w:left w:val="single" w:sz="4" w:space="0" w:color="auto"/>
              <w:bottom w:val="single" w:sz="4" w:space="0" w:color="auto"/>
              <w:right w:val="single" w:sz="4" w:space="0" w:color="auto"/>
            </w:tcBorders>
            <w:hideMark/>
          </w:tcPr>
          <w:p w14:paraId="08DD2B84" w14:textId="77777777" w:rsidR="00CF641C" w:rsidRPr="00520861" w:rsidRDefault="00CF641C" w:rsidP="00292D2E">
            <w:pPr>
              <w:widowControl w:val="0"/>
              <w:spacing w:line="360" w:lineRule="auto"/>
              <w:ind w:right="-111"/>
              <w:jc w:val="center"/>
              <w:rPr>
                <w:sz w:val="28"/>
                <w:szCs w:val="28"/>
              </w:rPr>
            </w:pPr>
            <w:r w:rsidRPr="00520861">
              <w:rPr>
                <w:sz w:val="28"/>
                <w:szCs w:val="28"/>
              </w:rPr>
              <w:t>82,17±4,55</w:t>
            </w:r>
          </w:p>
        </w:tc>
        <w:tc>
          <w:tcPr>
            <w:tcW w:w="1465" w:type="dxa"/>
            <w:tcBorders>
              <w:top w:val="single" w:sz="4" w:space="0" w:color="auto"/>
              <w:left w:val="single" w:sz="4" w:space="0" w:color="auto"/>
              <w:bottom w:val="single" w:sz="4" w:space="0" w:color="auto"/>
              <w:right w:val="single" w:sz="4" w:space="0" w:color="auto"/>
            </w:tcBorders>
            <w:hideMark/>
          </w:tcPr>
          <w:p w14:paraId="27DB0B38" w14:textId="77777777" w:rsidR="00CF641C" w:rsidRPr="00520861" w:rsidRDefault="00CF641C" w:rsidP="00292D2E">
            <w:pPr>
              <w:widowControl w:val="0"/>
              <w:spacing w:line="360" w:lineRule="auto"/>
              <w:ind w:right="-179" w:hanging="104"/>
              <w:jc w:val="center"/>
              <w:rPr>
                <w:sz w:val="28"/>
                <w:szCs w:val="28"/>
              </w:rPr>
            </w:pPr>
            <w:r w:rsidRPr="00520861">
              <w:rPr>
                <w:sz w:val="28"/>
                <w:szCs w:val="28"/>
              </w:rPr>
              <w:t>178,10±7,35</w:t>
            </w:r>
          </w:p>
        </w:tc>
        <w:tc>
          <w:tcPr>
            <w:tcW w:w="1465" w:type="dxa"/>
            <w:tcBorders>
              <w:top w:val="single" w:sz="4" w:space="0" w:color="auto"/>
              <w:left w:val="single" w:sz="4" w:space="0" w:color="auto"/>
              <w:bottom w:val="single" w:sz="4" w:space="0" w:color="auto"/>
              <w:right w:val="single" w:sz="4" w:space="0" w:color="auto"/>
            </w:tcBorders>
            <w:hideMark/>
          </w:tcPr>
          <w:p w14:paraId="194A39E3" w14:textId="77777777" w:rsidR="00CF641C" w:rsidRPr="00520861" w:rsidRDefault="00CF641C" w:rsidP="00292D2E">
            <w:pPr>
              <w:widowControl w:val="0"/>
              <w:spacing w:line="360" w:lineRule="auto"/>
              <w:ind w:right="-104" w:hanging="194"/>
              <w:jc w:val="center"/>
              <w:rPr>
                <w:sz w:val="28"/>
                <w:szCs w:val="28"/>
              </w:rPr>
            </w:pPr>
            <w:r w:rsidRPr="00520861">
              <w:rPr>
                <w:sz w:val="28"/>
                <w:szCs w:val="28"/>
              </w:rPr>
              <w:t>25,93±1,38</w:t>
            </w:r>
          </w:p>
        </w:tc>
      </w:tr>
      <w:tr w:rsidR="00CF641C" w:rsidRPr="00520861" w14:paraId="6D2FF7B4" w14:textId="77777777" w:rsidTr="00292D2E">
        <w:trPr>
          <w:trHeight w:val="349"/>
          <w:jc w:val="center"/>
        </w:trPr>
        <w:tc>
          <w:tcPr>
            <w:tcW w:w="1305" w:type="dxa"/>
            <w:tcBorders>
              <w:top w:val="single" w:sz="4" w:space="0" w:color="auto"/>
              <w:left w:val="single" w:sz="4" w:space="0" w:color="auto"/>
              <w:bottom w:val="single" w:sz="4" w:space="0" w:color="auto"/>
              <w:right w:val="single" w:sz="4" w:space="0" w:color="auto"/>
            </w:tcBorders>
            <w:hideMark/>
          </w:tcPr>
          <w:p w14:paraId="1D411697" w14:textId="77777777" w:rsidR="00CF641C" w:rsidRPr="00520861" w:rsidRDefault="00CF641C" w:rsidP="00292D2E">
            <w:pPr>
              <w:widowControl w:val="0"/>
              <w:spacing w:line="360" w:lineRule="auto"/>
              <w:ind w:right="-248" w:hanging="247"/>
              <w:jc w:val="center"/>
              <w:rPr>
                <w:sz w:val="28"/>
                <w:szCs w:val="28"/>
              </w:rPr>
            </w:pPr>
            <w:r w:rsidRPr="00520861">
              <w:rPr>
                <w:rFonts w:eastAsia="Calibri"/>
                <w:sz w:val="28"/>
                <w:szCs w:val="28"/>
                <w:lang w:eastAsia="en-US"/>
              </w:rPr>
              <w:t>Третя</w:t>
            </w:r>
            <w:r w:rsidRPr="00520861">
              <w:rPr>
                <w:rFonts w:eastAsia="Calibri"/>
                <w:spacing w:val="-14"/>
                <w:sz w:val="28"/>
                <w:szCs w:val="28"/>
                <w:lang w:eastAsia="en-US"/>
              </w:rPr>
              <w:t xml:space="preserve"> (24)</w:t>
            </w:r>
          </w:p>
        </w:tc>
        <w:tc>
          <w:tcPr>
            <w:tcW w:w="1417" w:type="dxa"/>
            <w:tcBorders>
              <w:top w:val="single" w:sz="4" w:space="0" w:color="auto"/>
              <w:left w:val="single" w:sz="4" w:space="0" w:color="auto"/>
              <w:bottom w:val="single" w:sz="4" w:space="0" w:color="auto"/>
              <w:right w:val="single" w:sz="4" w:space="0" w:color="auto"/>
            </w:tcBorders>
            <w:hideMark/>
          </w:tcPr>
          <w:p w14:paraId="650C5C98" w14:textId="77777777" w:rsidR="00CF641C" w:rsidRPr="00520861" w:rsidRDefault="00CF641C" w:rsidP="00292D2E">
            <w:pPr>
              <w:widowControl w:val="0"/>
              <w:spacing w:line="360" w:lineRule="auto"/>
              <w:ind w:hanging="74"/>
              <w:jc w:val="center"/>
              <w:rPr>
                <w:sz w:val="28"/>
                <w:szCs w:val="28"/>
              </w:rPr>
            </w:pPr>
            <w:r w:rsidRPr="00520861">
              <w:rPr>
                <w:sz w:val="28"/>
                <w:szCs w:val="28"/>
              </w:rPr>
              <w:t>70,58±7,43</w:t>
            </w:r>
          </w:p>
        </w:tc>
        <w:tc>
          <w:tcPr>
            <w:tcW w:w="1465" w:type="dxa"/>
            <w:tcBorders>
              <w:top w:val="single" w:sz="4" w:space="0" w:color="auto"/>
              <w:left w:val="single" w:sz="4" w:space="0" w:color="auto"/>
              <w:bottom w:val="single" w:sz="4" w:space="0" w:color="auto"/>
              <w:right w:val="single" w:sz="4" w:space="0" w:color="auto"/>
            </w:tcBorders>
            <w:hideMark/>
          </w:tcPr>
          <w:p w14:paraId="264926D6" w14:textId="77777777" w:rsidR="00CF641C" w:rsidRPr="00520861" w:rsidRDefault="00CF641C" w:rsidP="00292D2E">
            <w:pPr>
              <w:widowControl w:val="0"/>
              <w:spacing w:line="360" w:lineRule="auto"/>
              <w:ind w:right="-128" w:hanging="155"/>
              <w:jc w:val="center"/>
              <w:rPr>
                <w:sz w:val="28"/>
                <w:szCs w:val="28"/>
              </w:rPr>
            </w:pPr>
            <w:r w:rsidRPr="00520861">
              <w:rPr>
                <w:sz w:val="28"/>
                <w:szCs w:val="28"/>
              </w:rPr>
              <w:t>166,63±3,09</w:t>
            </w:r>
          </w:p>
        </w:tc>
        <w:tc>
          <w:tcPr>
            <w:tcW w:w="1465" w:type="dxa"/>
            <w:tcBorders>
              <w:top w:val="single" w:sz="4" w:space="0" w:color="auto"/>
              <w:left w:val="single" w:sz="4" w:space="0" w:color="auto"/>
              <w:bottom w:val="single" w:sz="4" w:space="0" w:color="auto"/>
              <w:right w:val="single" w:sz="4" w:space="0" w:color="auto"/>
            </w:tcBorders>
            <w:hideMark/>
          </w:tcPr>
          <w:p w14:paraId="5F639DA2" w14:textId="77777777" w:rsidR="00CF641C" w:rsidRPr="00520861" w:rsidRDefault="00CF641C" w:rsidP="00292D2E">
            <w:pPr>
              <w:widowControl w:val="0"/>
              <w:spacing w:line="360" w:lineRule="auto"/>
              <w:ind w:hanging="66"/>
              <w:jc w:val="center"/>
              <w:rPr>
                <w:sz w:val="28"/>
                <w:szCs w:val="28"/>
              </w:rPr>
            </w:pPr>
            <w:r w:rsidRPr="00520861">
              <w:rPr>
                <w:sz w:val="28"/>
                <w:szCs w:val="28"/>
              </w:rPr>
              <w:t>25,30±2,31</w:t>
            </w:r>
          </w:p>
        </w:tc>
        <w:tc>
          <w:tcPr>
            <w:tcW w:w="1464" w:type="dxa"/>
            <w:tcBorders>
              <w:top w:val="single" w:sz="4" w:space="0" w:color="auto"/>
              <w:left w:val="single" w:sz="4" w:space="0" w:color="auto"/>
              <w:bottom w:val="single" w:sz="4" w:space="0" w:color="auto"/>
              <w:right w:val="single" w:sz="4" w:space="0" w:color="auto"/>
            </w:tcBorders>
            <w:hideMark/>
          </w:tcPr>
          <w:p w14:paraId="0BA32B0B" w14:textId="77777777" w:rsidR="00CF641C" w:rsidRPr="00520861" w:rsidRDefault="00CF641C" w:rsidP="00292D2E">
            <w:pPr>
              <w:widowControl w:val="0"/>
              <w:spacing w:line="360" w:lineRule="auto"/>
              <w:ind w:hanging="104"/>
              <w:jc w:val="center"/>
              <w:rPr>
                <w:sz w:val="28"/>
                <w:szCs w:val="28"/>
              </w:rPr>
            </w:pPr>
            <w:r w:rsidRPr="00520861">
              <w:rPr>
                <w:sz w:val="28"/>
                <w:szCs w:val="28"/>
              </w:rPr>
              <w:t>79,83±5,80</w:t>
            </w:r>
          </w:p>
        </w:tc>
        <w:tc>
          <w:tcPr>
            <w:tcW w:w="1465" w:type="dxa"/>
            <w:tcBorders>
              <w:top w:val="single" w:sz="4" w:space="0" w:color="auto"/>
              <w:left w:val="single" w:sz="4" w:space="0" w:color="auto"/>
              <w:bottom w:val="single" w:sz="4" w:space="0" w:color="auto"/>
              <w:right w:val="single" w:sz="4" w:space="0" w:color="auto"/>
            </w:tcBorders>
            <w:hideMark/>
          </w:tcPr>
          <w:p w14:paraId="0DB6FAA6" w14:textId="77777777" w:rsidR="00CF641C" w:rsidRPr="00520861" w:rsidRDefault="00CF641C" w:rsidP="00292D2E">
            <w:pPr>
              <w:widowControl w:val="0"/>
              <w:spacing w:line="360" w:lineRule="auto"/>
              <w:ind w:right="-179" w:hanging="104"/>
              <w:jc w:val="center"/>
              <w:rPr>
                <w:sz w:val="28"/>
                <w:szCs w:val="28"/>
              </w:rPr>
            </w:pPr>
            <w:r w:rsidRPr="00520861">
              <w:rPr>
                <w:sz w:val="28"/>
                <w:szCs w:val="28"/>
              </w:rPr>
              <w:t>181,17±3,07</w:t>
            </w:r>
          </w:p>
        </w:tc>
        <w:tc>
          <w:tcPr>
            <w:tcW w:w="1465" w:type="dxa"/>
            <w:tcBorders>
              <w:top w:val="single" w:sz="4" w:space="0" w:color="auto"/>
              <w:left w:val="single" w:sz="4" w:space="0" w:color="auto"/>
              <w:bottom w:val="single" w:sz="4" w:space="0" w:color="auto"/>
              <w:right w:val="single" w:sz="4" w:space="0" w:color="auto"/>
            </w:tcBorders>
            <w:hideMark/>
          </w:tcPr>
          <w:p w14:paraId="3FBA67E1" w14:textId="77777777" w:rsidR="00CF641C" w:rsidRPr="00520861" w:rsidRDefault="00CF641C" w:rsidP="00292D2E">
            <w:pPr>
              <w:widowControl w:val="0"/>
              <w:spacing w:line="360" w:lineRule="auto"/>
              <w:ind w:hanging="52"/>
              <w:jc w:val="center"/>
              <w:rPr>
                <w:sz w:val="28"/>
                <w:szCs w:val="28"/>
              </w:rPr>
            </w:pPr>
            <w:r w:rsidRPr="00520861">
              <w:rPr>
                <w:sz w:val="28"/>
                <w:szCs w:val="28"/>
              </w:rPr>
              <w:t>24,25±1,45</w:t>
            </w:r>
          </w:p>
        </w:tc>
      </w:tr>
      <w:tr w:rsidR="00CF641C" w:rsidRPr="00520861" w14:paraId="1D47E4CD" w14:textId="77777777" w:rsidTr="00292D2E">
        <w:trPr>
          <w:jc w:val="center"/>
        </w:trPr>
        <w:tc>
          <w:tcPr>
            <w:tcW w:w="1305" w:type="dxa"/>
            <w:tcBorders>
              <w:top w:val="single" w:sz="4" w:space="0" w:color="auto"/>
              <w:left w:val="single" w:sz="4" w:space="0" w:color="auto"/>
              <w:bottom w:val="single" w:sz="4" w:space="0" w:color="auto"/>
              <w:right w:val="single" w:sz="4" w:space="0" w:color="auto"/>
            </w:tcBorders>
            <w:hideMark/>
          </w:tcPr>
          <w:p w14:paraId="643EB3D7" w14:textId="77777777" w:rsidR="00CF641C" w:rsidRPr="00520861" w:rsidRDefault="00CF641C" w:rsidP="00292D2E">
            <w:pPr>
              <w:widowControl w:val="0"/>
              <w:spacing w:line="360" w:lineRule="auto"/>
              <w:ind w:left="-120" w:right="-113" w:hanging="22"/>
              <w:jc w:val="center"/>
              <w:rPr>
                <w:sz w:val="28"/>
                <w:szCs w:val="28"/>
              </w:rPr>
            </w:pPr>
            <w:r w:rsidRPr="00520861">
              <w:rPr>
                <w:sz w:val="28"/>
                <w:szCs w:val="28"/>
              </w:rPr>
              <w:t>Четверта (38)</w:t>
            </w:r>
          </w:p>
        </w:tc>
        <w:tc>
          <w:tcPr>
            <w:tcW w:w="1417" w:type="dxa"/>
            <w:tcBorders>
              <w:top w:val="single" w:sz="4" w:space="0" w:color="auto"/>
              <w:left w:val="single" w:sz="4" w:space="0" w:color="auto"/>
              <w:bottom w:val="single" w:sz="4" w:space="0" w:color="auto"/>
              <w:right w:val="single" w:sz="4" w:space="0" w:color="auto"/>
            </w:tcBorders>
            <w:hideMark/>
          </w:tcPr>
          <w:p w14:paraId="54863E42" w14:textId="77777777" w:rsidR="00CF641C" w:rsidRPr="00520861" w:rsidRDefault="00CF641C" w:rsidP="00292D2E">
            <w:pPr>
              <w:widowControl w:val="0"/>
              <w:spacing w:line="360" w:lineRule="auto"/>
              <w:ind w:hanging="74"/>
              <w:jc w:val="center"/>
              <w:rPr>
                <w:sz w:val="28"/>
                <w:szCs w:val="28"/>
              </w:rPr>
            </w:pPr>
            <w:r w:rsidRPr="00520861">
              <w:rPr>
                <w:sz w:val="28"/>
                <w:szCs w:val="28"/>
              </w:rPr>
              <w:t>65,76±6,02</w:t>
            </w:r>
          </w:p>
        </w:tc>
        <w:tc>
          <w:tcPr>
            <w:tcW w:w="1465" w:type="dxa"/>
            <w:tcBorders>
              <w:top w:val="single" w:sz="4" w:space="0" w:color="auto"/>
              <w:left w:val="single" w:sz="4" w:space="0" w:color="auto"/>
              <w:bottom w:val="single" w:sz="4" w:space="0" w:color="auto"/>
              <w:right w:val="single" w:sz="4" w:space="0" w:color="auto"/>
            </w:tcBorders>
            <w:hideMark/>
          </w:tcPr>
          <w:p w14:paraId="3D0F4D2F" w14:textId="77777777" w:rsidR="00CF641C" w:rsidRPr="00520861" w:rsidRDefault="00CF641C" w:rsidP="00292D2E">
            <w:pPr>
              <w:widowControl w:val="0"/>
              <w:spacing w:line="360" w:lineRule="auto"/>
              <w:ind w:right="-158" w:hanging="155"/>
              <w:jc w:val="center"/>
              <w:rPr>
                <w:sz w:val="28"/>
                <w:szCs w:val="28"/>
              </w:rPr>
            </w:pPr>
            <w:r w:rsidRPr="00520861">
              <w:rPr>
                <w:sz w:val="28"/>
                <w:szCs w:val="28"/>
              </w:rPr>
              <w:t>166,95±1,50</w:t>
            </w:r>
          </w:p>
        </w:tc>
        <w:tc>
          <w:tcPr>
            <w:tcW w:w="1465" w:type="dxa"/>
            <w:tcBorders>
              <w:top w:val="single" w:sz="4" w:space="0" w:color="auto"/>
              <w:left w:val="single" w:sz="4" w:space="0" w:color="auto"/>
              <w:bottom w:val="single" w:sz="4" w:space="0" w:color="auto"/>
              <w:right w:val="single" w:sz="4" w:space="0" w:color="auto"/>
            </w:tcBorders>
            <w:hideMark/>
          </w:tcPr>
          <w:p w14:paraId="0F10CA6F" w14:textId="77777777" w:rsidR="00CF641C" w:rsidRPr="00520861" w:rsidRDefault="00CF641C" w:rsidP="00292D2E">
            <w:pPr>
              <w:widowControl w:val="0"/>
              <w:spacing w:line="360" w:lineRule="auto"/>
              <w:ind w:hanging="66"/>
              <w:jc w:val="center"/>
              <w:rPr>
                <w:sz w:val="28"/>
                <w:szCs w:val="28"/>
              </w:rPr>
            </w:pPr>
            <w:r w:rsidRPr="00520861">
              <w:rPr>
                <w:sz w:val="28"/>
                <w:szCs w:val="28"/>
              </w:rPr>
              <w:t>23,51±2,00</w:t>
            </w:r>
          </w:p>
        </w:tc>
        <w:tc>
          <w:tcPr>
            <w:tcW w:w="1464" w:type="dxa"/>
            <w:tcBorders>
              <w:top w:val="single" w:sz="4" w:space="0" w:color="auto"/>
              <w:left w:val="single" w:sz="4" w:space="0" w:color="auto"/>
              <w:bottom w:val="single" w:sz="4" w:space="0" w:color="auto"/>
              <w:right w:val="single" w:sz="4" w:space="0" w:color="auto"/>
            </w:tcBorders>
            <w:hideMark/>
          </w:tcPr>
          <w:p w14:paraId="1232CD4F" w14:textId="77777777" w:rsidR="00CF641C" w:rsidRPr="00520861" w:rsidRDefault="00CF641C" w:rsidP="00292D2E">
            <w:pPr>
              <w:widowControl w:val="0"/>
              <w:spacing w:line="360" w:lineRule="auto"/>
              <w:ind w:hanging="104"/>
              <w:jc w:val="center"/>
              <w:rPr>
                <w:sz w:val="28"/>
                <w:szCs w:val="28"/>
              </w:rPr>
            </w:pPr>
            <w:r w:rsidRPr="00520861">
              <w:rPr>
                <w:sz w:val="28"/>
                <w:szCs w:val="28"/>
              </w:rPr>
              <w:t>84,87±4,56</w:t>
            </w:r>
          </w:p>
        </w:tc>
        <w:tc>
          <w:tcPr>
            <w:tcW w:w="1465" w:type="dxa"/>
            <w:tcBorders>
              <w:top w:val="single" w:sz="4" w:space="0" w:color="auto"/>
              <w:left w:val="single" w:sz="4" w:space="0" w:color="auto"/>
              <w:bottom w:val="single" w:sz="4" w:space="0" w:color="auto"/>
              <w:right w:val="single" w:sz="4" w:space="0" w:color="auto"/>
            </w:tcBorders>
            <w:hideMark/>
          </w:tcPr>
          <w:p w14:paraId="41FB0007" w14:textId="77777777" w:rsidR="00CF641C" w:rsidRPr="00520861" w:rsidRDefault="00CF641C" w:rsidP="00292D2E">
            <w:pPr>
              <w:widowControl w:val="0"/>
              <w:spacing w:line="360" w:lineRule="auto"/>
              <w:ind w:left="-104" w:right="-179"/>
              <w:jc w:val="center"/>
              <w:rPr>
                <w:sz w:val="28"/>
                <w:szCs w:val="28"/>
              </w:rPr>
            </w:pPr>
            <w:r w:rsidRPr="00520861">
              <w:rPr>
                <w:sz w:val="28"/>
                <w:szCs w:val="28"/>
              </w:rPr>
              <w:t>176,00±1,98</w:t>
            </w:r>
          </w:p>
        </w:tc>
        <w:tc>
          <w:tcPr>
            <w:tcW w:w="1465" w:type="dxa"/>
            <w:tcBorders>
              <w:top w:val="single" w:sz="4" w:space="0" w:color="auto"/>
              <w:left w:val="single" w:sz="4" w:space="0" w:color="auto"/>
              <w:bottom w:val="single" w:sz="4" w:space="0" w:color="auto"/>
              <w:right w:val="single" w:sz="4" w:space="0" w:color="auto"/>
            </w:tcBorders>
            <w:hideMark/>
          </w:tcPr>
          <w:p w14:paraId="553CEC73" w14:textId="77777777" w:rsidR="00CF641C" w:rsidRPr="00520861" w:rsidRDefault="00CF641C" w:rsidP="00292D2E">
            <w:pPr>
              <w:widowControl w:val="0"/>
              <w:spacing w:line="360" w:lineRule="auto"/>
              <w:ind w:hanging="52"/>
              <w:jc w:val="center"/>
              <w:rPr>
                <w:sz w:val="28"/>
                <w:szCs w:val="28"/>
              </w:rPr>
            </w:pPr>
            <w:r w:rsidRPr="00520861">
              <w:rPr>
                <w:sz w:val="28"/>
                <w:szCs w:val="28"/>
              </w:rPr>
              <w:t>27,45±1,56</w:t>
            </w:r>
          </w:p>
        </w:tc>
      </w:tr>
    </w:tbl>
    <w:p w14:paraId="6A214AF6" w14:textId="77777777" w:rsidR="00CF641C" w:rsidRPr="00520861" w:rsidRDefault="00746220" w:rsidP="00746220">
      <w:pPr>
        <w:widowControl w:val="0"/>
        <w:tabs>
          <w:tab w:val="left" w:pos="6210"/>
        </w:tabs>
        <w:spacing w:line="360" w:lineRule="auto"/>
        <w:ind w:firstLine="708"/>
        <w:jc w:val="both"/>
        <w:rPr>
          <w:rFonts w:eastAsia="Calibri"/>
          <w:sz w:val="28"/>
          <w:szCs w:val="28"/>
          <w:lang w:eastAsia="en-US"/>
        </w:rPr>
      </w:pPr>
      <w:r w:rsidRPr="00520861">
        <w:rPr>
          <w:rFonts w:eastAsia="Calibri"/>
          <w:sz w:val="28"/>
          <w:szCs w:val="28"/>
          <w:lang w:eastAsia="en-US"/>
        </w:rPr>
        <w:tab/>
      </w:r>
    </w:p>
    <w:p w14:paraId="1A45ABF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Довірчі інтервали 0,95 для маси матері та ІМТ перекриваються через збільшення маси тіла та ІМТ матері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Цей факт може опосередковано свідчити про додатковий вплив підвищеної маси тіла та ІМТ матері на виникнення </w:t>
      </w:r>
      <w:r w:rsidRPr="00520861">
        <w:rPr>
          <w:rFonts w:eastAsia="Calibri"/>
          <w:sz w:val="28"/>
          <w:szCs w:val="28"/>
          <w:lang w:eastAsia="en-US"/>
        </w:rPr>
        <w:br/>
      </w:r>
      <w:proofErr w:type="spellStart"/>
      <w:r w:rsidRPr="00520861">
        <w:rPr>
          <w:rFonts w:eastAsia="Calibri"/>
          <w:sz w:val="28"/>
          <w:szCs w:val="28"/>
          <w:lang w:eastAsia="en-US"/>
        </w:rPr>
        <w:t>перинатальних</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гіпоксично</w:t>
      </w:r>
      <w:proofErr w:type="spellEnd"/>
      <w:r w:rsidRPr="00520861">
        <w:rPr>
          <w:rFonts w:eastAsia="Calibri"/>
          <w:sz w:val="28"/>
          <w:szCs w:val="28"/>
          <w:lang w:eastAsia="en-US"/>
        </w:rPr>
        <w:t>-ішемічних пошкоджень мозку в новонароджених.</w:t>
      </w:r>
    </w:p>
    <w:p w14:paraId="7DE1F797"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Одержані відомості не дозволяють дійти однозначного висновку щодо впливу </w:t>
      </w:r>
      <w:proofErr w:type="spellStart"/>
      <w:r w:rsidRPr="00520861">
        <w:rPr>
          <w:rFonts w:eastAsia="Calibri"/>
          <w:sz w:val="28"/>
          <w:szCs w:val="28"/>
          <w:lang w:eastAsia="en-US"/>
        </w:rPr>
        <w:t>соматометричних</w:t>
      </w:r>
      <w:proofErr w:type="spellEnd"/>
      <w:r w:rsidRPr="00520861">
        <w:rPr>
          <w:rFonts w:eastAsia="Calibri"/>
          <w:sz w:val="28"/>
          <w:szCs w:val="28"/>
          <w:lang w:eastAsia="en-US"/>
        </w:rPr>
        <w:t xml:space="preserve"> показників батьків на народження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Вірогідна </w:t>
      </w:r>
      <w:r w:rsidRPr="00520861">
        <w:rPr>
          <w:rFonts w:eastAsia="Calibri"/>
          <w:sz w:val="28"/>
          <w:szCs w:val="28"/>
          <w:lang w:eastAsia="en-US"/>
        </w:rPr>
        <w:br/>
        <w:t xml:space="preserve">різниця в масі, зрості та ІМТ у межах 0,95 довірчого інтервалу не виявлена. </w:t>
      </w:r>
    </w:p>
    <w:p w14:paraId="60E46127"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Ожиріння в матері спостерігається в 5,7% у першій групі, 6,9% – у другій групі, 16,7% – у третій групі та 7,9% – у четвертій групі. Ожиріння батька встановлено в 11,4% випадків у першій групі, 10,3% – у другій групі, 4,2% – у третій та 13,2% – у четвертій групах. Отже, залежність між батьківським ожирінням та народженням дитини-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не виявлена.</w:t>
      </w:r>
    </w:p>
    <w:p w14:paraId="346FF467"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матерів першої групи одна вагітність (3%) перебігала на тлі цукрового діабету першого типу та ще в однієї матері (3%) спостерігався </w:t>
      </w:r>
      <w:proofErr w:type="spellStart"/>
      <w:r w:rsidRPr="00520861">
        <w:rPr>
          <w:rFonts w:eastAsia="Calibri"/>
          <w:sz w:val="28"/>
          <w:szCs w:val="28"/>
          <w:lang w:eastAsia="en-US"/>
        </w:rPr>
        <w:t>гестаційний</w:t>
      </w:r>
      <w:proofErr w:type="spellEnd"/>
      <w:r w:rsidRPr="00520861">
        <w:rPr>
          <w:rFonts w:eastAsia="Calibri"/>
          <w:sz w:val="28"/>
          <w:szCs w:val="28"/>
          <w:lang w:eastAsia="en-US"/>
        </w:rPr>
        <w:t xml:space="preserve"> діабет. У третій групі також одна вагітність (3%) перебігала на тлі цукрового діабету першого типу та ще в однієї матері (3%) спостерігався </w:t>
      </w:r>
      <w:proofErr w:type="spellStart"/>
      <w:r w:rsidRPr="00520861">
        <w:rPr>
          <w:rFonts w:eastAsia="Calibri"/>
          <w:sz w:val="28"/>
          <w:szCs w:val="28"/>
          <w:lang w:eastAsia="en-US"/>
        </w:rPr>
        <w:t>гестаційний</w:t>
      </w:r>
      <w:proofErr w:type="spellEnd"/>
      <w:r w:rsidRPr="00520861">
        <w:rPr>
          <w:rFonts w:eastAsia="Calibri"/>
          <w:sz w:val="28"/>
          <w:szCs w:val="28"/>
          <w:lang w:eastAsia="en-US"/>
        </w:rPr>
        <w:t xml:space="preserve"> діабет. У четвертій групі в однієї матері (3%) виявлено </w:t>
      </w:r>
      <w:proofErr w:type="spellStart"/>
      <w:r w:rsidRPr="00520861">
        <w:rPr>
          <w:rFonts w:eastAsia="Calibri"/>
          <w:sz w:val="28"/>
          <w:szCs w:val="28"/>
          <w:lang w:eastAsia="en-US"/>
        </w:rPr>
        <w:t>гестаційний</w:t>
      </w:r>
      <w:proofErr w:type="spellEnd"/>
      <w:r w:rsidRPr="00520861">
        <w:rPr>
          <w:rFonts w:eastAsia="Calibri"/>
          <w:sz w:val="28"/>
          <w:szCs w:val="28"/>
          <w:lang w:eastAsia="en-US"/>
        </w:rPr>
        <w:t xml:space="preserve"> діабет. Отже, вірогідних доказів впливу </w:t>
      </w:r>
      <w:r w:rsidR="005D6941" w:rsidRPr="00520861">
        <w:rPr>
          <w:rFonts w:eastAsia="Calibri"/>
          <w:sz w:val="28"/>
          <w:szCs w:val="28"/>
          <w:lang w:eastAsia="en-US"/>
        </w:rPr>
        <w:br/>
      </w:r>
      <w:r w:rsidRPr="00520861">
        <w:rPr>
          <w:rFonts w:eastAsia="Calibri"/>
          <w:sz w:val="28"/>
          <w:szCs w:val="28"/>
          <w:lang w:eastAsia="en-US"/>
        </w:rPr>
        <w:t>цукрового діабету в матері на народження дитини-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не виявлено. </w:t>
      </w:r>
    </w:p>
    <w:p w14:paraId="45FFE816"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lastRenderedPageBreak/>
        <w:t xml:space="preserve">Троє новонароджених (12,5%) у третій групі та 3 (7,9%) – у четвертій групі народилися з апное середньої тяжкості. Решта учасників дослідження народилася з високою оцінкою за шкалою </w:t>
      </w:r>
      <w:proofErr w:type="spellStart"/>
      <w:r w:rsidRPr="00520861">
        <w:rPr>
          <w:rFonts w:eastAsia="Calibri"/>
          <w:sz w:val="28"/>
          <w:szCs w:val="28"/>
          <w:lang w:eastAsia="en-US"/>
        </w:rPr>
        <w:t>Апгар</w:t>
      </w:r>
      <w:proofErr w:type="spellEnd"/>
      <w:r w:rsidRPr="00520861">
        <w:rPr>
          <w:rFonts w:eastAsia="Calibri"/>
          <w:sz w:val="28"/>
          <w:szCs w:val="28"/>
          <w:lang w:eastAsia="en-US"/>
        </w:rPr>
        <w:t>.</w:t>
      </w:r>
    </w:p>
    <w:p w14:paraId="05777793"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Із проаналізованих чинників упливати на народження дитини-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можуть спадковість та паритет.</w:t>
      </w:r>
    </w:p>
    <w:p w14:paraId="5333053D" w14:textId="77777777" w:rsidR="00CF641C" w:rsidRPr="00520861" w:rsidRDefault="00CF641C" w:rsidP="00292D2E">
      <w:pPr>
        <w:widowControl w:val="0"/>
        <w:spacing w:line="360" w:lineRule="auto"/>
        <w:ind w:right="-1" w:firstLine="709"/>
        <w:jc w:val="both"/>
        <w:rPr>
          <w:rFonts w:eastAsia="Calibri"/>
          <w:b/>
          <w:sz w:val="28"/>
          <w:szCs w:val="28"/>
          <w:lang w:eastAsia="en-US"/>
        </w:rPr>
      </w:pPr>
      <w:r w:rsidRPr="00520861">
        <w:rPr>
          <w:rFonts w:eastAsia="Calibri"/>
          <w:b/>
          <w:sz w:val="28"/>
          <w:szCs w:val="28"/>
          <w:lang w:eastAsia="en-US"/>
        </w:rPr>
        <w:t xml:space="preserve">4.1.2. Чинники, виявлені клініко-ретроспективним методом. </w:t>
      </w:r>
      <w:r w:rsidRPr="00520861">
        <w:rPr>
          <w:rFonts w:eastAsia="Calibri"/>
          <w:sz w:val="28"/>
          <w:szCs w:val="28"/>
        </w:rPr>
        <w:t xml:space="preserve">У результаті ретроспективного вивчення (за 13-річний період) 248 історій розвитку дітей, які народилися </w:t>
      </w:r>
      <w:proofErr w:type="spellStart"/>
      <w:r w:rsidRPr="00520861">
        <w:rPr>
          <w:rFonts w:eastAsia="Calibri"/>
          <w:sz w:val="28"/>
          <w:szCs w:val="28"/>
        </w:rPr>
        <w:t>макросомами</w:t>
      </w:r>
      <w:proofErr w:type="spellEnd"/>
      <w:r w:rsidRPr="00520861">
        <w:rPr>
          <w:rFonts w:eastAsia="Calibri"/>
          <w:sz w:val="28"/>
          <w:szCs w:val="28"/>
        </w:rPr>
        <w:t xml:space="preserve"> (ОГ), та 234 історій розвитку </w:t>
      </w:r>
      <w:proofErr w:type="spellStart"/>
      <w:r w:rsidRPr="00520861">
        <w:rPr>
          <w:rFonts w:eastAsia="Calibri"/>
          <w:sz w:val="28"/>
          <w:szCs w:val="28"/>
        </w:rPr>
        <w:t>нормосомів</w:t>
      </w:r>
      <w:proofErr w:type="spellEnd"/>
      <w:r w:rsidRPr="00520861">
        <w:rPr>
          <w:rFonts w:eastAsia="Calibri"/>
          <w:sz w:val="28"/>
          <w:szCs w:val="28"/>
        </w:rPr>
        <w:t> (ГП) одержані наступні відомості.</w:t>
      </w:r>
    </w:p>
    <w:p w14:paraId="675CCFE5" w14:textId="77777777" w:rsidR="00CF641C" w:rsidRPr="00520861" w:rsidRDefault="00CF641C" w:rsidP="00292D2E">
      <w:pPr>
        <w:widowControl w:val="0"/>
        <w:spacing w:line="360" w:lineRule="auto"/>
        <w:ind w:firstLine="708"/>
        <w:jc w:val="both"/>
        <w:rPr>
          <w:rFonts w:eastAsia="Calibri"/>
          <w:sz w:val="28"/>
          <w:szCs w:val="28"/>
        </w:rPr>
      </w:pPr>
      <w:r w:rsidRPr="00520861">
        <w:rPr>
          <w:rFonts w:eastAsia="Calibri"/>
          <w:sz w:val="28"/>
          <w:szCs w:val="28"/>
        </w:rPr>
        <w:t>Наведені в таблиці 4.4. та таблиці 4.5 дані свідчать, що кількість вагітностей і пологів упливає на ймовірність народження дитини-</w:t>
      </w:r>
      <w:proofErr w:type="spellStart"/>
      <w:r w:rsidRPr="00520861">
        <w:rPr>
          <w:rFonts w:eastAsia="Calibri"/>
          <w:sz w:val="28"/>
          <w:szCs w:val="28"/>
        </w:rPr>
        <w:t>макросома</w:t>
      </w:r>
      <w:proofErr w:type="spellEnd"/>
      <w:r w:rsidRPr="00520861">
        <w:rPr>
          <w:rFonts w:eastAsia="Calibri"/>
          <w:sz w:val="28"/>
          <w:szCs w:val="28"/>
        </w:rPr>
        <w:t xml:space="preserve">. Відомості про кількість вагітностей у матерів дітей в ОГ є в наявності тільки про 240 матерів, у ГП – про 223 матері (табл. 4.4). Інформація про кількість пологів була тільки для 227 матерів ОГ і 216 матерів ГП (табл. 4.5). </w:t>
      </w:r>
    </w:p>
    <w:p w14:paraId="6EA0831E" w14:textId="77777777" w:rsidR="00CF641C" w:rsidRPr="00520861" w:rsidRDefault="00CF641C" w:rsidP="00292D2E">
      <w:pPr>
        <w:widowControl w:val="0"/>
        <w:spacing w:line="360" w:lineRule="auto"/>
        <w:ind w:firstLine="708"/>
        <w:jc w:val="both"/>
        <w:rPr>
          <w:rFonts w:eastAsia="Calibri"/>
          <w:sz w:val="28"/>
          <w:szCs w:val="28"/>
        </w:rPr>
      </w:pPr>
      <w:r w:rsidRPr="00520861">
        <w:rPr>
          <w:rFonts w:eastAsia="Calibri"/>
          <w:sz w:val="28"/>
          <w:szCs w:val="28"/>
        </w:rPr>
        <w:t xml:space="preserve">З таблиці 4.6 випливає, що вагітність у матерів ОГ у середньому тривала </w:t>
      </w:r>
      <w:r w:rsidRPr="00520861">
        <w:rPr>
          <w:rFonts w:eastAsia="Calibri"/>
          <w:sz w:val="28"/>
          <w:szCs w:val="28"/>
        </w:rPr>
        <w:br/>
        <w:t xml:space="preserve">більше, ніж у матерів ГП (відомості про 223 жінки основної групи й 214 жінок групи порівняння). За допомогою операції кесарева розтину було народжено 64 (25,8%) </w:t>
      </w:r>
      <w:r w:rsidR="005D6941" w:rsidRPr="00520861">
        <w:rPr>
          <w:rFonts w:eastAsia="Calibri"/>
          <w:sz w:val="28"/>
          <w:szCs w:val="28"/>
        </w:rPr>
        <w:br/>
      </w:r>
      <w:r w:rsidRPr="00520861">
        <w:rPr>
          <w:rFonts w:eastAsia="Calibri"/>
          <w:sz w:val="28"/>
          <w:szCs w:val="28"/>
        </w:rPr>
        <w:t>дитини ОГ і 42 (17,9%) дитини ГП.</w:t>
      </w:r>
    </w:p>
    <w:p w14:paraId="1ED30A90" w14:textId="77777777" w:rsidR="00CF641C" w:rsidRPr="00520861" w:rsidRDefault="00CF641C" w:rsidP="00292D2E">
      <w:pPr>
        <w:widowControl w:val="0"/>
        <w:spacing w:line="360" w:lineRule="auto"/>
        <w:ind w:firstLine="708"/>
        <w:jc w:val="both"/>
        <w:rPr>
          <w:rFonts w:eastAsia="Calibri"/>
          <w:sz w:val="28"/>
          <w:szCs w:val="28"/>
        </w:rPr>
      </w:pPr>
      <w:r w:rsidRPr="00520861">
        <w:rPr>
          <w:rFonts w:eastAsia="Calibri"/>
          <w:sz w:val="28"/>
          <w:szCs w:val="28"/>
        </w:rPr>
        <w:t>Середнє значення віку матері в ОГ становило 28,31±0,65, а в ГП – 27,28±0,75 року.</w:t>
      </w:r>
    </w:p>
    <w:p w14:paraId="2149091C" w14:textId="77777777" w:rsidR="00CF641C" w:rsidRPr="00520861" w:rsidRDefault="00CF641C"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t>Таблиця 4.4</w:t>
      </w:r>
    </w:p>
    <w:p w14:paraId="09EF4600" w14:textId="77777777" w:rsidR="00CF641C" w:rsidRPr="00520861" w:rsidRDefault="00CF641C" w:rsidP="00292D2E">
      <w:pPr>
        <w:widowControl w:val="0"/>
        <w:spacing w:line="360" w:lineRule="auto"/>
        <w:ind w:right="-284"/>
        <w:jc w:val="center"/>
        <w:rPr>
          <w:rFonts w:eastAsia="Calibri"/>
          <w:b/>
          <w:sz w:val="28"/>
          <w:szCs w:val="28"/>
          <w:lang w:eastAsia="en-US"/>
        </w:rPr>
      </w:pPr>
      <w:r w:rsidRPr="00520861">
        <w:rPr>
          <w:rFonts w:eastAsia="Calibri"/>
          <w:b/>
          <w:sz w:val="28"/>
          <w:szCs w:val="28"/>
          <w:lang w:eastAsia="en-US"/>
        </w:rPr>
        <w:t xml:space="preserve">Об’єктивні дані про порядковий номер вагітності (%), від якої народилися діти </w:t>
      </w:r>
      <w:r w:rsidRPr="00520861">
        <w:rPr>
          <w:rFonts w:eastAsia="Calibri"/>
          <w:b/>
          <w:sz w:val="28"/>
          <w:szCs w:val="28"/>
          <w:lang w:eastAsia="en-US"/>
        </w:rPr>
        <w:br/>
        <w:t>досліджуваних груп (ретроспективне дослідження)</w:t>
      </w:r>
    </w:p>
    <w:tbl>
      <w:tblPr>
        <w:tblStyle w:val="61"/>
        <w:tblW w:w="9997" w:type="dxa"/>
        <w:jc w:val="center"/>
        <w:tblLook w:val="04A0" w:firstRow="1" w:lastRow="0" w:firstColumn="1" w:lastColumn="0" w:noHBand="0" w:noVBand="1"/>
      </w:tblPr>
      <w:tblGrid>
        <w:gridCol w:w="3771"/>
        <w:gridCol w:w="2896"/>
        <w:gridCol w:w="3330"/>
      </w:tblGrid>
      <w:tr w:rsidR="00CF641C" w:rsidRPr="00520861" w14:paraId="21D1FBFB" w14:textId="77777777" w:rsidTr="00292D2E">
        <w:trPr>
          <w:jc w:val="center"/>
        </w:trPr>
        <w:tc>
          <w:tcPr>
            <w:tcW w:w="3771" w:type="dxa"/>
          </w:tcPr>
          <w:p w14:paraId="3B5D24C6"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Порядковий номер вагітності</w:t>
            </w:r>
          </w:p>
        </w:tc>
        <w:tc>
          <w:tcPr>
            <w:tcW w:w="2896" w:type="dxa"/>
          </w:tcPr>
          <w:p w14:paraId="7F58914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ОГ</w:t>
            </w:r>
          </w:p>
        </w:tc>
        <w:tc>
          <w:tcPr>
            <w:tcW w:w="3330" w:type="dxa"/>
          </w:tcPr>
          <w:p w14:paraId="03CB1AD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ГП</w:t>
            </w:r>
          </w:p>
        </w:tc>
      </w:tr>
      <w:tr w:rsidR="00CF641C" w:rsidRPr="00520861" w14:paraId="2A3B2267" w14:textId="77777777" w:rsidTr="00292D2E">
        <w:trPr>
          <w:jc w:val="center"/>
        </w:trPr>
        <w:tc>
          <w:tcPr>
            <w:tcW w:w="3771" w:type="dxa"/>
          </w:tcPr>
          <w:p w14:paraId="0FBC9D69"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Перша</w:t>
            </w:r>
          </w:p>
        </w:tc>
        <w:tc>
          <w:tcPr>
            <w:tcW w:w="2896" w:type="dxa"/>
          </w:tcPr>
          <w:p w14:paraId="51EF74B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85 (35,4%)</w:t>
            </w:r>
          </w:p>
        </w:tc>
        <w:tc>
          <w:tcPr>
            <w:tcW w:w="3330" w:type="dxa"/>
          </w:tcPr>
          <w:p w14:paraId="6A5DC42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108 (48,4%)</w:t>
            </w:r>
          </w:p>
        </w:tc>
      </w:tr>
      <w:tr w:rsidR="00CF641C" w:rsidRPr="00520861" w14:paraId="1C9AF7BE" w14:textId="77777777" w:rsidTr="00292D2E">
        <w:trPr>
          <w:jc w:val="center"/>
        </w:trPr>
        <w:tc>
          <w:tcPr>
            <w:tcW w:w="3771" w:type="dxa"/>
          </w:tcPr>
          <w:p w14:paraId="39A3842A"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Друга</w:t>
            </w:r>
          </w:p>
        </w:tc>
        <w:tc>
          <w:tcPr>
            <w:tcW w:w="2896" w:type="dxa"/>
          </w:tcPr>
          <w:p w14:paraId="5112025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67 (27,9%)</w:t>
            </w:r>
          </w:p>
        </w:tc>
        <w:tc>
          <w:tcPr>
            <w:tcW w:w="3330" w:type="dxa"/>
          </w:tcPr>
          <w:p w14:paraId="3AEFCD1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59 (26,5%)</w:t>
            </w:r>
          </w:p>
        </w:tc>
      </w:tr>
      <w:tr w:rsidR="00CF641C" w:rsidRPr="00520861" w14:paraId="1854AB1F" w14:textId="77777777" w:rsidTr="00292D2E">
        <w:trPr>
          <w:jc w:val="center"/>
        </w:trPr>
        <w:tc>
          <w:tcPr>
            <w:tcW w:w="3771" w:type="dxa"/>
          </w:tcPr>
          <w:p w14:paraId="001F0374"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Третя</w:t>
            </w:r>
          </w:p>
        </w:tc>
        <w:tc>
          <w:tcPr>
            <w:tcW w:w="2896" w:type="dxa"/>
          </w:tcPr>
          <w:p w14:paraId="40D41AE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42 (17,5%)</w:t>
            </w:r>
          </w:p>
        </w:tc>
        <w:tc>
          <w:tcPr>
            <w:tcW w:w="3330" w:type="dxa"/>
          </w:tcPr>
          <w:p w14:paraId="241A199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 (13,9%)</w:t>
            </w:r>
          </w:p>
        </w:tc>
      </w:tr>
      <w:tr w:rsidR="00CF641C" w:rsidRPr="00520861" w14:paraId="7C623D12" w14:textId="77777777" w:rsidTr="00292D2E">
        <w:trPr>
          <w:jc w:val="center"/>
        </w:trPr>
        <w:tc>
          <w:tcPr>
            <w:tcW w:w="3771" w:type="dxa"/>
          </w:tcPr>
          <w:p w14:paraId="03358202"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Четверта</w:t>
            </w:r>
          </w:p>
        </w:tc>
        <w:tc>
          <w:tcPr>
            <w:tcW w:w="2896" w:type="dxa"/>
          </w:tcPr>
          <w:p w14:paraId="36C92D9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23 (9,6%)</w:t>
            </w:r>
          </w:p>
        </w:tc>
        <w:tc>
          <w:tcPr>
            <w:tcW w:w="3330" w:type="dxa"/>
          </w:tcPr>
          <w:p w14:paraId="5EE7C44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12 (5,4%)</w:t>
            </w:r>
          </w:p>
        </w:tc>
      </w:tr>
      <w:tr w:rsidR="00CF641C" w:rsidRPr="00520861" w14:paraId="4D528DB2" w14:textId="77777777" w:rsidTr="00292D2E">
        <w:trPr>
          <w:jc w:val="center"/>
        </w:trPr>
        <w:tc>
          <w:tcPr>
            <w:tcW w:w="3771" w:type="dxa"/>
          </w:tcPr>
          <w:p w14:paraId="5FCDD4D9"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П’ята</w:t>
            </w:r>
          </w:p>
        </w:tc>
        <w:tc>
          <w:tcPr>
            <w:tcW w:w="2896" w:type="dxa"/>
          </w:tcPr>
          <w:p w14:paraId="766B65A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9 (3,8%)</w:t>
            </w:r>
          </w:p>
        </w:tc>
        <w:tc>
          <w:tcPr>
            <w:tcW w:w="3330" w:type="dxa"/>
          </w:tcPr>
          <w:p w14:paraId="11282CF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9 (4%)</w:t>
            </w:r>
          </w:p>
        </w:tc>
      </w:tr>
      <w:tr w:rsidR="00CF641C" w:rsidRPr="00520861" w14:paraId="1859FFD5" w14:textId="77777777" w:rsidTr="00292D2E">
        <w:trPr>
          <w:jc w:val="center"/>
        </w:trPr>
        <w:tc>
          <w:tcPr>
            <w:tcW w:w="3771" w:type="dxa"/>
          </w:tcPr>
          <w:p w14:paraId="7312D0CF"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 xml:space="preserve">Шоста та більше </w:t>
            </w:r>
          </w:p>
        </w:tc>
        <w:tc>
          <w:tcPr>
            <w:tcW w:w="2896" w:type="dxa"/>
          </w:tcPr>
          <w:p w14:paraId="33E18BA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14 (5,8%)</w:t>
            </w:r>
          </w:p>
        </w:tc>
        <w:tc>
          <w:tcPr>
            <w:tcW w:w="3330" w:type="dxa"/>
          </w:tcPr>
          <w:p w14:paraId="6EB7B2F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 (1,8%)</w:t>
            </w:r>
          </w:p>
        </w:tc>
      </w:tr>
    </w:tbl>
    <w:p w14:paraId="4FB84E24" w14:textId="77777777" w:rsidR="00CF641C" w:rsidRPr="00520861" w:rsidRDefault="00CF641C" w:rsidP="00292D2E">
      <w:pPr>
        <w:widowControl w:val="0"/>
        <w:spacing w:line="360" w:lineRule="auto"/>
        <w:jc w:val="right"/>
        <w:rPr>
          <w:rFonts w:eastAsia="Calibri"/>
          <w:i/>
          <w:sz w:val="28"/>
          <w:szCs w:val="28"/>
          <w:lang w:eastAsia="en-US"/>
        </w:rPr>
      </w:pPr>
      <w:r w:rsidRPr="00520861">
        <w:rPr>
          <w:rFonts w:eastAsia="Calibri"/>
          <w:i/>
          <w:sz w:val="28"/>
          <w:szCs w:val="28"/>
          <w:lang w:eastAsia="en-US"/>
        </w:rPr>
        <w:lastRenderedPageBreak/>
        <w:t>Таблиця 4.5</w:t>
      </w:r>
    </w:p>
    <w:p w14:paraId="6C9AAB05"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Об’єктивні дані про порядковий номер пологів (%), від яких народилися діти </w:t>
      </w:r>
      <w:r w:rsidRPr="00520861">
        <w:rPr>
          <w:rFonts w:eastAsia="Calibri"/>
          <w:b/>
          <w:sz w:val="28"/>
          <w:szCs w:val="28"/>
          <w:lang w:eastAsia="en-US"/>
        </w:rPr>
        <w:br/>
        <w:t>досліджуваних груп (ретроспективне дослідження)</w:t>
      </w:r>
    </w:p>
    <w:tbl>
      <w:tblPr>
        <w:tblStyle w:val="61"/>
        <w:tblW w:w="0" w:type="auto"/>
        <w:tblLook w:val="04A0" w:firstRow="1" w:lastRow="0" w:firstColumn="1" w:lastColumn="0" w:noHBand="0" w:noVBand="1"/>
      </w:tblPr>
      <w:tblGrid>
        <w:gridCol w:w="3920"/>
        <w:gridCol w:w="3002"/>
        <w:gridCol w:w="3216"/>
      </w:tblGrid>
      <w:tr w:rsidR="00CF641C" w:rsidRPr="00520861" w14:paraId="41B1DBA1" w14:textId="77777777" w:rsidTr="00292D2E">
        <w:tc>
          <w:tcPr>
            <w:tcW w:w="3920" w:type="dxa"/>
          </w:tcPr>
          <w:p w14:paraId="049FC6E5"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 xml:space="preserve">Порядковий </w:t>
            </w:r>
          </w:p>
          <w:p w14:paraId="009DFE36"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номер пологів</w:t>
            </w:r>
          </w:p>
        </w:tc>
        <w:tc>
          <w:tcPr>
            <w:tcW w:w="3002" w:type="dxa"/>
          </w:tcPr>
          <w:p w14:paraId="482E07E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ОГ</w:t>
            </w:r>
          </w:p>
        </w:tc>
        <w:tc>
          <w:tcPr>
            <w:tcW w:w="3216" w:type="dxa"/>
          </w:tcPr>
          <w:p w14:paraId="28F1074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ГП</w:t>
            </w:r>
          </w:p>
        </w:tc>
      </w:tr>
      <w:tr w:rsidR="00CF641C" w:rsidRPr="00520861" w14:paraId="7AD6980B" w14:textId="77777777" w:rsidTr="00292D2E">
        <w:tc>
          <w:tcPr>
            <w:tcW w:w="3920" w:type="dxa"/>
          </w:tcPr>
          <w:p w14:paraId="5F439457"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Перші</w:t>
            </w:r>
          </w:p>
        </w:tc>
        <w:tc>
          <w:tcPr>
            <w:tcW w:w="3002" w:type="dxa"/>
          </w:tcPr>
          <w:p w14:paraId="3E9EBA2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123 (54,2%)</w:t>
            </w:r>
          </w:p>
        </w:tc>
        <w:tc>
          <w:tcPr>
            <w:tcW w:w="3216" w:type="dxa"/>
          </w:tcPr>
          <w:p w14:paraId="6A5931C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153 (70,8%)</w:t>
            </w:r>
          </w:p>
        </w:tc>
      </w:tr>
      <w:tr w:rsidR="00CF641C" w:rsidRPr="00520861" w14:paraId="16687CC7" w14:textId="77777777" w:rsidTr="00292D2E">
        <w:tc>
          <w:tcPr>
            <w:tcW w:w="3920" w:type="dxa"/>
          </w:tcPr>
          <w:p w14:paraId="1593E385"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Другі</w:t>
            </w:r>
          </w:p>
        </w:tc>
        <w:tc>
          <w:tcPr>
            <w:tcW w:w="3002" w:type="dxa"/>
          </w:tcPr>
          <w:p w14:paraId="658C332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77 (33,9%)</w:t>
            </w:r>
          </w:p>
        </w:tc>
        <w:tc>
          <w:tcPr>
            <w:tcW w:w="3216" w:type="dxa"/>
          </w:tcPr>
          <w:p w14:paraId="4E93C7E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49 (22,7%)</w:t>
            </w:r>
          </w:p>
        </w:tc>
      </w:tr>
      <w:tr w:rsidR="00CF641C" w:rsidRPr="00520861" w14:paraId="4CA59A70" w14:textId="77777777" w:rsidTr="00292D2E">
        <w:tc>
          <w:tcPr>
            <w:tcW w:w="3920" w:type="dxa"/>
          </w:tcPr>
          <w:p w14:paraId="418796F0"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Треті</w:t>
            </w:r>
          </w:p>
        </w:tc>
        <w:tc>
          <w:tcPr>
            <w:tcW w:w="3002" w:type="dxa"/>
          </w:tcPr>
          <w:p w14:paraId="09B65B5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18 (7,9%)</w:t>
            </w:r>
          </w:p>
        </w:tc>
        <w:tc>
          <w:tcPr>
            <w:tcW w:w="3216" w:type="dxa"/>
          </w:tcPr>
          <w:p w14:paraId="33D9FC0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11 (5,1%)</w:t>
            </w:r>
          </w:p>
        </w:tc>
      </w:tr>
      <w:tr w:rsidR="00CF641C" w:rsidRPr="00520861" w14:paraId="3AC48943" w14:textId="77777777" w:rsidTr="00292D2E">
        <w:tc>
          <w:tcPr>
            <w:tcW w:w="3920" w:type="dxa"/>
          </w:tcPr>
          <w:p w14:paraId="08229FFF"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Четверті</w:t>
            </w:r>
          </w:p>
        </w:tc>
        <w:tc>
          <w:tcPr>
            <w:tcW w:w="3002" w:type="dxa"/>
          </w:tcPr>
          <w:p w14:paraId="33609CE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 (1,8%)</w:t>
            </w:r>
          </w:p>
        </w:tc>
        <w:tc>
          <w:tcPr>
            <w:tcW w:w="3216" w:type="dxa"/>
          </w:tcPr>
          <w:p w14:paraId="1C711F2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 (0%)</w:t>
            </w:r>
          </w:p>
        </w:tc>
      </w:tr>
      <w:tr w:rsidR="00CF641C" w:rsidRPr="00520861" w14:paraId="6F7A5EB6" w14:textId="77777777" w:rsidTr="00292D2E">
        <w:tc>
          <w:tcPr>
            <w:tcW w:w="3920" w:type="dxa"/>
          </w:tcPr>
          <w:p w14:paraId="20D2995F"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П’яті</w:t>
            </w:r>
          </w:p>
        </w:tc>
        <w:tc>
          <w:tcPr>
            <w:tcW w:w="3002" w:type="dxa"/>
          </w:tcPr>
          <w:p w14:paraId="4A5296A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 (1,3%)</w:t>
            </w:r>
          </w:p>
        </w:tc>
        <w:tc>
          <w:tcPr>
            <w:tcW w:w="3216" w:type="dxa"/>
          </w:tcPr>
          <w:p w14:paraId="5D6B110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 (0,5%)</w:t>
            </w:r>
          </w:p>
        </w:tc>
      </w:tr>
      <w:tr w:rsidR="00CF641C" w:rsidRPr="00520861" w14:paraId="2481B98E" w14:textId="77777777" w:rsidTr="00292D2E">
        <w:tc>
          <w:tcPr>
            <w:tcW w:w="3920" w:type="dxa"/>
          </w:tcPr>
          <w:p w14:paraId="44906C65"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 xml:space="preserve">Шості та більше </w:t>
            </w:r>
          </w:p>
        </w:tc>
        <w:tc>
          <w:tcPr>
            <w:tcW w:w="3002" w:type="dxa"/>
          </w:tcPr>
          <w:p w14:paraId="739B3754"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 (0,9%)</w:t>
            </w:r>
          </w:p>
        </w:tc>
        <w:tc>
          <w:tcPr>
            <w:tcW w:w="3216" w:type="dxa"/>
          </w:tcPr>
          <w:p w14:paraId="24A68D2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 (0,9%)</w:t>
            </w:r>
          </w:p>
        </w:tc>
      </w:tr>
    </w:tbl>
    <w:p w14:paraId="1FB852C1" w14:textId="77777777" w:rsidR="00CF641C" w:rsidRPr="00520861" w:rsidRDefault="00CF641C" w:rsidP="00292D2E">
      <w:pPr>
        <w:widowControl w:val="0"/>
        <w:spacing w:line="360" w:lineRule="auto"/>
        <w:jc w:val="right"/>
        <w:rPr>
          <w:rFonts w:eastAsia="Calibri"/>
          <w:b/>
          <w:i/>
          <w:sz w:val="28"/>
          <w:szCs w:val="28"/>
        </w:rPr>
      </w:pPr>
    </w:p>
    <w:p w14:paraId="7D4B8B9A" w14:textId="77777777" w:rsidR="00CF641C" w:rsidRPr="00520861" w:rsidRDefault="00CF641C" w:rsidP="00292D2E">
      <w:pPr>
        <w:widowControl w:val="0"/>
        <w:spacing w:line="360" w:lineRule="auto"/>
        <w:jc w:val="right"/>
        <w:rPr>
          <w:rFonts w:eastAsia="Calibri"/>
          <w:i/>
          <w:sz w:val="28"/>
          <w:szCs w:val="28"/>
        </w:rPr>
      </w:pPr>
      <w:r w:rsidRPr="00520861">
        <w:rPr>
          <w:rFonts w:eastAsia="Calibri"/>
          <w:i/>
          <w:sz w:val="28"/>
          <w:szCs w:val="28"/>
        </w:rPr>
        <w:t>Таблиця 4.6</w:t>
      </w:r>
    </w:p>
    <w:p w14:paraId="56379CD0" w14:textId="77777777" w:rsidR="00CF641C" w:rsidRPr="00520861" w:rsidRDefault="00CF641C" w:rsidP="00292D2E">
      <w:pPr>
        <w:widowControl w:val="0"/>
        <w:spacing w:line="360" w:lineRule="auto"/>
        <w:jc w:val="center"/>
        <w:rPr>
          <w:rFonts w:eastAsia="Calibri"/>
          <w:b/>
          <w:sz w:val="28"/>
          <w:szCs w:val="28"/>
        </w:rPr>
      </w:pPr>
      <w:r w:rsidRPr="00520861">
        <w:rPr>
          <w:rFonts w:eastAsia="Calibri"/>
          <w:b/>
          <w:sz w:val="28"/>
          <w:szCs w:val="28"/>
          <w:lang w:eastAsia="en-US"/>
        </w:rPr>
        <w:t>Об’єктивні</w:t>
      </w:r>
      <w:r w:rsidRPr="00520861">
        <w:rPr>
          <w:rFonts w:eastAsia="Calibri"/>
          <w:b/>
          <w:sz w:val="28"/>
          <w:szCs w:val="28"/>
        </w:rPr>
        <w:t xml:space="preserve"> дані про тривалість вагітності в матерів дітей досліджуваних груп </w:t>
      </w:r>
    </w:p>
    <w:p w14:paraId="2E87B9CB" w14:textId="77777777" w:rsidR="00CF641C" w:rsidRPr="00520861" w:rsidRDefault="00CF641C" w:rsidP="00292D2E">
      <w:pPr>
        <w:widowControl w:val="0"/>
        <w:spacing w:line="360" w:lineRule="auto"/>
        <w:jc w:val="center"/>
        <w:rPr>
          <w:rFonts w:eastAsia="Calibri"/>
          <w:b/>
          <w:sz w:val="28"/>
          <w:szCs w:val="28"/>
        </w:rPr>
      </w:pPr>
      <w:r w:rsidRPr="00520861">
        <w:rPr>
          <w:rFonts w:eastAsia="Calibri"/>
          <w:b/>
          <w:sz w:val="28"/>
          <w:szCs w:val="28"/>
          <w:lang w:eastAsia="en-US"/>
        </w:rPr>
        <w:t>(ретроспективне дослідження)</w:t>
      </w:r>
    </w:p>
    <w:tbl>
      <w:tblPr>
        <w:tblW w:w="100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98" w:type="dxa"/>
        </w:tblCellMar>
        <w:tblLook w:val="04A0" w:firstRow="1" w:lastRow="0" w:firstColumn="1" w:lastColumn="0" w:noHBand="0" w:noVBand="1"/>
      </w:tblPr>
      <w:tblGrid>
        <w:gridCol w:w="2967"/>
        <w:gridCol w:w="3544"/>
        <w:gridCol w:w="3532"/>
      </w:tblGrid>
      <w:tr w:rsidR="00CF641C" w:rsidRPr="00520861" w14:paraId="142C2B52"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tcPr>
          <w:p w14:paraId="27EF7F9B" w14:textId="77777777" w:rsidR="00CF641C" w:rsidRPr="00520861" w:rsidRDefault="00CF641C" w:rsidP="00292D2E">
            <w:pPr>
              <w:widowControl w:val="0"/>
              <w:spacing w:line="360" w:lineRule="auto"/>
              <w:ind w:right="-104" w:hanging="113"/>
              <w:jc w:val="center"/>
              <w:rPr>
                <w:rFonts w:eastAsia="Calibri"/>
                <w:sz w:val="28"/>
                <w:szCs w:val="28"/>
                <w:lang w:eastAsia="en-US"/>
              </w:rPr>
            </w:pPr>
            <w:r w:rsidRPr="00520861">
              <w:rPr>
                <w:rFonts w:eastAsia="Calibri"/>
                <w:sz w:val="28"/>
                <w:szCs w:val="28"/>
                <w:lang w:eastAsia="en-US"/>
              </w:rPr>
              <w:t xml:space="preserve">Термін </w:t>
            </w:r>
            <w:proofErr w:type="spellStart"/>
            <w:r w:rsidRPr="00520861">
              <w:rPr>
                <w:rFonts w:eastAsia="Calibri"/>
                <w:sz w:val="28"/>
                <w:szCs w:val="28"/>
                <w:lang w:eastAsia="en-US"/>
              </w:rPr>
              <w:t>гестації</w:t>
            </w:r>
            <w:proofErr w:type="spellEnd"/>
            <w:r w:rsidRPr="00520861">
              <w:rPr>
                <w:rFonts w:eastAsia="Calibri"/>
                <w:sz w:val="28"/>
                <w:szCs w:val="28"/>
                <w:lang w:eastAsia="en-US"/>
              </w:rPr>
              <w:t xml:space="preserve"> </w:t>
            </w:r>
          </w:p>
          <w:p w14:paraId="29FF3580" w14:textId="77777777" w:rsidR="00CF641C" w:rsidRPr="00520861" w:rsidRDefault="00CF641C" w:rsidP="00292D2E">
            <w:pPr>
              <w:widowControl w:val="0"/>
              <w:spacing w:line="360" w:lineRule="auto"/>
              <w:ind w:right="-104" w:hanging="113"/>
              <w:jc w:val="center"/>
              <w:rPr>
                <w:rFonts w:eastAsia="Calibri"/>
                <w:sz w:val="28"/>
                <w:szCs w:val="28"/>
                <w:lang w:eastAsia="en-US"/>
              </w:rPr>
            </w:pPr>
            <w:r w:rsidRPr="00520861">
              <w:rPr>
                <w:rFonts w:eastAsia="Calibri"/>
                <w:sz w:val="28"/>
                <w:szCs w:val="28"/>
                <w:lang w:eastAsia="en-US"/>
              </w:rPr>
              <w:t>(тижні)</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3EB44152" w14:textId="77777777" w:rsidR="00CF641C" w:rsidRPr="00520861" w:rsidRDefault="00CF641C" w:rsidP="00292D2E">
            <w:pPr>
              <w:widowControl w:val="0"/>
              <w:spacing w:line="360" w:lineRule="auto"/>
              <w:ind w:right="-243" w:hanging="74"/>
              <w:jc w:val="center"/>
              <w:rPr>
                <w:rFonts w:eastAsia="Calibri"/>
                <w:sz w:val="28"/>
                <w:szCs w:val="28"/>
                <w:lang w:eastAsia="en-US"/>
              </w:rPr>
            </w:pPr>
            <w:r w:rsidRPr="00520861">
              <w:rPr>
                <w:rFonts w:eastAsia="Calibri"/>
                <w:sz w:val="28"/>
                <w:szCs w:val="28"/>
                <w:lang w:eastAsia="en-US"/>
              </w:rPr>
              <w:t>Матерів в ОГ</w:t>
            </w:r>
          </w:p>
          <w:p w14:paraId="243ACE1E" w14:textId="77777777" w:rsidR="00CF641C" w:rsidRPr="00520861" w:rsidRDefault="00CF641C" w:rsidP="00292D2E">
            <w:pPr>
              <w:widowControl w:val="0"/>
              <w:spacing w:line="360" w:lineRule="auto"/>
              <w:ind w:right="-243" w:hanging="74"/>
              <w:jc w:val="center"/>
              <w:rPr>
                <w:rFonts w:eastAsia="Calibri"/>
                <w:sz w:val="28"/>
                <w:szCs w:val="28"/>
                <w:lang w:eastAsia="en-US"/>
              </w:rPr>
            </w:pPr>
            <w:r w:rsidRPr="00520861">
              <w:rPr>
                <w:rFonts w:eastAsia="Calibri"/>
                <w:sz w:val="28"/>
                <w:szCs w:val="28"/>
                <w:lang w:eastAsia="en-US"/>
              </w:rPr>
              <w:t xml:space="preserve"> (кількість/%)</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7F021AE1"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Матерів у ГП </w:t>
            </w:r>
          </w:p>
          <w:p w14:paraId="0ECE1C9B"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(кількість/%)</w:t>
            </w:r>
          </w:p>
        </w:tc>
      </w:tr>
      <w:tr w:rsidR="00CF641C" w:rsidRPr="00520861" w14:paraId="5B5CF703"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7D86A76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37</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31D1FB1B"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1/0,4%</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5F9B140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10/4,7%</w:t>
            </w:r>
          </w:p>
        </w:tc>
      </w:tr>
      <w:tr w:rsidR="00CF641C" w:rsidRPr="00520861" w14:paraId="2EB9E36F"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187D021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37–38</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0EC5D13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1/0,4%</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55F8394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5/2,3%</w:t>
            </w:r>
          </w:p>
        </w:tc>
      </w:tr>
      <w:tr w:rsidR="00CF641C" w:rsidRPr="00520861" w14:paraId="27DD95EE"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2C56EB3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38</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1D8AB1A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14/6,3%</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6CCDA270"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23/10,7%</w:t>
            </w:r>
          </w:p>
        </w:tc>
      </w:tr>
      <w:tr w:rsidR="00CF641C" w:rsidRPr="00520861" w14:paraId="133CDC27"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7ACD8D0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38–39</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3AA7F68C"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8/3,6%</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58AA2AE8"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17/7,9%</w:t>
            </w:r>
          </w:p>
        </w:tc>
      </w:tr>
      <w:tr w:rsidR="00CF641C" w:rsidRPr="00520861" w14:paraId="6F472A72"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20D67DC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39</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5FA47C02"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29/13%</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44363976"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46/21,5%</w:t>
            </w:r>
          </w:p>
        </w:tc>
      </w:tr>
      <w:tr w:rsidR="00CF641C" w:rsidRPr="00520861" w14:paraId="733FB686"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18345BA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39–40</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2BAD532A"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24/10,8%</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335C33E5"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29/13,6%</w:t>
            </w:r>
          </w:p>
        </w:tc>
      </w:tr>
      <w:tr w:rsidR="00CF641C" w:rsidRPr="00520861" w14:paraId="47380D05"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6E4A26D1"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40</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2DC00EBF"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75/33,6%</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3C0281B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61/28,5%</w:t>
            </w:r>
          </w:p>
        </w:tc>
      </w:tr>
      <w:tr w:rsidR="00CF641C" w:rsidRPr="00520861" w14:paraId="786E1A9D"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4C585F18"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40–41</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7544F33B"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28/12,6%</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713424A1"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6/2,8%</w:t>
            </w:r>
          </w:p>
        </w:tc>
      </w:tr>
      <w:tr w:rsidR="00CF641C" w:rsidRPr="00520861" w14:paraId="3F0E7FE3"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32FFE90E"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41</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1E9C86D8"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37/16,6%</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75EDCE41"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15/7%</w:t>
            </w:r>
          </w:p>
        </w:tc>
      </w:tr>
      <w:tr w:rsidR="00CF641C" w:rsidRPr="00520861" w14:paraId="13809B61"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2A4CED13"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41–42</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642FC1ED"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4/1,8%</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172F7AA4"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1/0,5%</w:t>
            </w:r>
          </w:p>
        </w:tc>
      </w:tr>
      <w:tr w:rsidR="00CF641C" w:rsidRPr="00520861" w14:paraId="101FF992" w14:textId="77777777" w:rsidTr="00292D2E">
        <w:trPr>
          <w:jc w:val="center"/>
        </w:trPr>
        <w:tc>
          <w:tcPr>
            <w:tcW w:w="2967" w:type="dxa"/>
            <w:tcBorders>
              <w:top w:val="single" w:sz="4" w:space="0" w:color="000000"/>
              <w:left w:val="single" w:sz="4" w:space="0" w:color="000000"/>
              <w:bottom w:val="single" w:sz="4" w:space="0" w:color="000000"/>
              <w:right w:val="single" w:sz="4" w:space="0" w:color="000000"/>
            </w:tcBorders>
            <w:shd w:val="clear" w:color="auto" w:fill="FFFFFF"/>
            <w:hideMark/>
          </w:tcPr>
          <w:p w14:paraId="47D59BC0"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42</w:t>
            </w:r>
          </w:p>
        </w:tc>
        <w:tc>
          <w:tcPr>
            <w:tcW w:w="3544" w:type="dxa"/>
            <w:tcBorders>
              <w:top w:val="single" w:sz="4" w:space="0" w:color="000000"/>
              <w:left w:val="single" w:sz="4" w:space="0" w:color="000000"/>
              <w:bottom w:val="single" w:sz="4" w:space="0" w:color="000000"/>
              <w:right w:val="single" w:sz="4" w:space="0" w:color="000000"/>
            </w:tcBorders>
            <w:shd w:val="clear" w:color="auto" w:fill="FFFFFF"/>
            <w:hideMark/>
          </w:tcPr>
          <w:p w14:paraId="68C4E179"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2/0,9%</w:t>
            </w:r>
          </w:p>
        </w:tc>
        <w:tc>
          <w:tcPr>
            <w:tcW w:w="3532" w:type="dxa"/>
            <w:tcBorders>
              <w:top w:val="single" w:sz="4" w:space="0" w:color="000000"/>
              <w:left w:val="single" w:sz="4" w:space="0" w:color="000000"/>
              <w:bottom w:val="single" w:sz="4" w:space="0" w:color="000000"/>
              <w:right w:val="single" w:sz="4" w:space="0" w:color="000000"/>
            </w:tcBorders>
            <w:shd w:val="clear" w:color="auto" w:fill="FFFFFF"/>
            <w:hideMark/>
          </w:tcPr>
          <w:p w14:paraId="640ADF28" w14:textId="77777777" w:rsidR="00CF641C" w:rsidRPr="00520861" w:rsidRDefault="00CF641C" w:rsidP="00292D2E">
            <w:pPr>
              <w:widowControl w:val="0"/>
              <w:spacing w:line="360" w:lineRule="auto"/>
              <w:jc w:val="center"/>
              <w:rPr>
                <w:rFonts w:eastAsia="Calibri"/>
                <w:sz w:val="28"/>
                <w:szCs w:val="28"/>
                <w:lang w:eastAsia="en-US"/>
              </w:rPr>
            </w:pPr>
            <w:r w:rsidRPr="00520861">
              <w:rPr>
                <w:rFonts w:eastAsia="Calibri"/>
                <w:sz w:val="28"/>
                <w:szCs w:val="28"/>
                <w:lang w:eastAsia="en-US"/>
              </w:rPr>
              <w:t>1/0,5%</w:t>
            </w:r>
          </w:p>
        </w:tc>
      </w:tr>
    </w:tbl>
    <w:p w14:paraId="35B60911" w14:textId="77777777" w:rsidR="00CF641C" w:rsidRPr="00520861" w:rsidRDefault="00CF641C" w:rsidP="00292D2E">
      <w:pPr>
        <w:widowControl w:val="0"/>
        <w:spacing w:line="360" w:lineRule="auto"/>
        <w:ind w:firstLine="708"/>
        <w:jc w:val="both"/>
        <w:rPr>
          <w:rFonts w:eastAsia="Calibri"/>
          <w:sz w:val="28"/>
          <w:szCs w:val="28"/>
        </w:rPr>
      </w:pPr>
    </w:p>
    <w:p w14:paraId="23869F67" w14:textId="77777777" w:rsidR="00CF641C" w:rsidRPr="00520861" w:rsidRDefault="00CF641C" w:rsidP="00292D2E">
      <w:pPr>
        <w:widowControl w:val="0"/>
        <w:spacing w:line="360" w:lineRule="auto"/>
        <w:ind w:firstLine="708"/>
        <w:jc w:val="both"/>
        <w:rPr>
          <w:rFonts w:eastAsia="Calibri"/>
          <w:sz w:val="28"/>
          <w:szCs w:val="28"/>
        </w:rPr>
      </w:pPr>
    </w:p>
    <w:p w14:paraId="7E9DFE2B" w14:textId="77777777" w:rsidR="00CF641C" w:rsidRPr="00520861" w:rsidRDefault="00CF641C" w:rsidP="00292D2E">
      <w:pPr>
        <w:widowControl w:val="0"/>
        <w:spacing w:line="360" w:lineRule="auto"/>
        <w:ind w:firstLine="708"/>
        <w:jc w:val="both"/>
        <w:rPr>
          <w:rFonts w:eastAsia="Calibri"/>
          <w:sz w:val="28"/>
          <w:szCs w:val="28"/>
        </w:rPr>
      </w:pPr>
      <w:r w:rsidRPr="00520861">
        <w:rPr>
          <w:rFonts w:eastAsia="Calibri"/>
          <w:sz w:val="28"/>
          <w:szCs w:val="28"/>
        </w:rPr>
        <w:lastRenderedPageBreak/>
        <w:t xml:space="preserve">Середнє значення віку батька в ОГ становило 31,93±0,91, </w:t>
      </w:r>
      <w:r w:rsidRPr="00520861">
        <w:rPr>
          <w:rFonts w:eastAsia="Calibri"/>
          <w:sz w:val="28"/>
          <w:szCs w:val="28"/>
        </w:rPr>
        <w:br/>
        <w:t>а в ГП – 30,85±0,98 року, різниця не є вірогідною. За наявними відомостями з 237 матерів дітей ОГ 28 (11,8%) були старші за 35 років, у ГП матері старші від 35 років були у 23 випадках (10,2% від 225 матерів, про яких є відомості). Старші за 40 років були 24 батька (11% від 217) в ОГ і 23 батька (11% від 209) у ГП.</w:t>
      </w:r>
    </w:p>
    <w:p w14:paraId="0E2CA9F7" w14:textId="77777777" w:rsidR="00CF641C" w:rsidRPr="00520861" w:rsidRDefault="00CF641C" w:rsidP="00292D2E">
      <w:pPr>
        <w:widowControl w:val="0"/>
        <w:spacing w:line="360" w:lineRule="auto"/>
        <w:ind w:firstLine="708"/>
        <w:jc w:val="both"/>
        <w:rPr>
          <w:rFonts w:eastAsia="Calibri"/>
          <w:sz w:val="28"/>
          <w:szCs w:val="28"/>
        </w:rPr>
      </w:pPr>
      <w:r w:rsidRPr="00520861">
        <w:rPr>
          <w:rFonts w:eastAsia="Calibri"/>
          <w:sz w:val="28"/>
          <w:szCs w:val="28"/>
        </w:rPr>
        <w:t xml:space="preserve">Про п’ятихвилинну оцінку за шкалою </w:t>
      </w:r>
      <w:proofErr w:type="spellStart"/>
      <w:r w:rsidRPr="00520861">
        <w:rPr>
          <w:rFonts w:eastAsia="Calibri"/>
          <w:sz w:val="28"/>
          <w:szCs w:val="28"/>
        </w:rPr>
        <w:t>Апгар</w:t>
      </w:r>
      <w:proofErr w:type="spellEnd"/>
      <w:r w:rsidRPr="00520861">
        <w:rPr>
          <w:rFonts w:eastAsia="Calibri"/>
          <w:sz w:val="28"/>
          <w:szCs w:val="28"/>
        </w:rPr>
        <w:t xml:space="preserve"> відомості були для 224 дітей ОГ і 200 дітей ГП. У 10 балів в ОГ було оцінено здатність адаптуватися у 2 (0,9%) дітей, а в ГП – у чотирьох (2%), 9 балів в ОГ мали 83 дитини (37%), у ГП – 91 (45%) дитина. </w:t>
      </w:r>
    </w:p>
    <w:p w14:paraId="62812366" w14:textId="77777777" w:rsidR="00CF641C" w:rsidRPr="00520861" w:rsidRDefault="00CF641C" w:rsidP="00292D2E">
      <w:pPr>
        <w:widowControl w:val="0"/>
        <w:spacing w:line="360" w:lineRule="auto"/>
        <w:jc w:val="both"/>
        <w:rPr>
          <w:rFonts w:eastAsia="Calibri"/>
          <w:sz w:val="28"/>
          <w:szCs w:val="28"/>
        </w:rPr>
      </w:pPr>
      <w:r w:rsidRPr="00520861">
        <w:rPr>
          <w:rFonts w:eastAsia="Calibri"/>
          <w:sz w:val="28"/>
          <w:szCs w:val="28"/>
        </w:rPr>
        <w:t xml:space="preserve">У вісім балів здатність адаптуватися було оцінено в 132 (59%) дітей і 94 (48%) дітей ОГ і ГП відповідно, 7 балів мали 6 (2,7%) дітей і 6 (3%) дітей ОГ та ГП відповідно. У 6 балів було оцінено здатність адаптуватися в 1 дитини (0,4%) ОГ і 4 (2%) дітей ГП. Дані свідчать, що в середньому </w:t>
      </w:r>
      <w:proofErr w:type="spellStart"/>
      <w:r w:rsidRPr="00520861">
        <w:rPr>
          <w:rFonts w:eastAsia="Calibri"/>
          <w:sz w:val="28"/>
          <w:szCs w:val="28"/>
        </w:rPr>
        <w:t>нормосоми</w:t>
      </w:r>
      <w:proofErr w:type="spellEnd"/>
      <w:r w:rsidRPr="00520861">
        <w:rPr>
          <w:rFonts w:eastAsia="Calibri"/>
          <w:sz w:val="28"/>
          <w:szCs w:val="28"/>
        </w:rPr>
        <w:t xml:space="preserve"> краще адаптуються, ніж </w:t>
      </w:r>
      <w:proofErr w:type="spellStart"/>
      <w:r w:rsidRPr="00520861">
        <w:rPr>
          <w:rFonts w:eastAsia="Calibri"/>
          <w:sz w:val="28"/>
          <w:szCs w:val="28"/>
        </w:rPr>
        <w:t>макросоми</w:t>
      </w:r>
      <w:proofErr w:type="spellEnd"/>
      <w:r w:rsidRPr="00520861">
        <w:rPr>
          <w:rFonts w:eastAsia="Calibri"/>
          <w:sz w:val="28"/>
          <w:szCs w:val="28"/>
        </w:rPr>
        <w:t>.</w:t>
      </w:r>
    </w:p>
    <w:p w14:paraId="0F37E284" w14:textId="77777777" w:rsidR="00CF641C" w:rsidRPr="00520861" w:rsidRDefault="00CF641C" w:rsidP="00292D2E">
      <w:pPr>
        <w:widowControl w:val="0"/>
        <w:spacing w:line="360" w:lineRule="auto"/>
        <w:ind w:firstLine="709"/>
        <w:jc w:val="both"/>
        <w:rPr>
          <w:rFonts w:eastAsia="Calibri"/>
          <w:sz w:val="28"/>
          <w:szCs w:val="28"/>
        </w:rPr>
      </w:pPr>
      <w:r w:rsidRPr="00520861">
        <w:rPr>
          <w:rFonts w:eastAsia="Calibri"/>
          <w:sz w:val="28"/>
          <w:szCs w:val="28"/>
        </w:rPr>
        <w:t xml:space="preserve">З </w:t>
      </w:r>
      <w:r w:rsidRPr="00520861">
        <w:rPr>
          <w:rFonts w:eastAsiaTheme="minorHAnsi"/>
          <w:sz w:val="28"/>
          <w:szCs w:val="28"/>
        </w:rPr>
        <w:t>ГІУ ЦНС</w:t>
      </w:r>
      <w:r w:rsidRPr="00520861">
        <w:rPr>
          <w:rFonts w:eastAsia="Calibri"/>
          <w:sz w:val="28"/>
          <w:szCs w:val="28"/>
        </w:rPr>
        <w:t xml:space="preserve"> народилися 20 (0,8%) дітей ОГ і 30 (1,3%) дітей ГП. </w:t>
      </w:r>
    </w:p>
    <w:p w14:paraId="6DF988FD" w14:textId="77777777" w:rsidR="00CF641C" w:rsidRPr="00520861" w:rsidRDefault="00CF641C" w:rsidP="00292D2E">
      <w:pPr>
        <w:widowControl w:val="0"/>
        <w:spacing w:line="360" w:lineRule="auto"/>
        <w:ind w:firstLine="709"/>
        <w:jc w:val="both"/>
        <w:rPr>
          <w:rFonts w:eastAsia="Calibri"/>
          <w:spacing w:val="-2"/>
          <w:kern w:val="28"/>
          <w:sz w:val="28"/>
          <w:szCs w:val="28"/>
        </w:rPr>
      </w:pPr>
      <w:r w:rsidRPr="00520861">
        <w:rPr>
          <w:rFonts w:eastAsia="Calibri"/>
          <w:spacing w:val="-2"/>
          <w:kern w:val="28"/>
          <w:sz w:val="28"/>
          <w:szCs w:val="28"/>
        </w:rPr>
        <w:t xml:space="preserve">Ретроспективні дані за 13-річний період (табл. Б.1.1) не підтверджують у серед-ньому збільшення МРП при народженні дітей з </w:t>
      </w:r>
      <w:proofErr w:type="spellStart"/>
      <w:r w:rsidRPr="00520861">
        <w:rPr>
          <w:rFonts w:eastAsia="Calibri"/>
          <w:spacing w:val="-2"/>
          <w:kern w:val="28"/>
          <w:sz w:val="28"/>
          <w:szCs w:val="28"/>
        </w:rPr>
        <w:t>макросомією</w:t>
      </w:r>
      <w:proofErr w:type="spellEnd"/>
      <w:r w:rsidRPr="00520861">
        <w:rPr>
          <w:rFonts w:eastAsia="Calibri"/>
          <w:spacing w:val="-2"/>
          <w:kern w:val="28"/>
          <w:sz w:val="28"/>
          <w:szCs w:val="28"/>
        </w:rPr>
        <w:t xml:space="preserve"> та </w:t>
      </w:r>
      <w:proofErr w:type="spellStart"/>
      <w:r w:rsidRPr="00520861">
        <w:rPr>
          <w:rFonts w:eastAsia="Calibri"/>
          <w:spacing w:val="-2"/>
          <w:kern w:val="28"/>
          <w:sz w:val="28"/>
          <w:szCs w:val="28"/>
        </w:rPr>
        <w:t>нормосомією</w:t>
      </w:r>
      <w:proofErr w:type="spellEnd"/>
      <w:r w:rsidRPr="00520861">
        <w:rPr>
          <w:rFonts w:eastAsia="Calibri"/>
          <w:spacing w:val="-2"/>
          <w:kern w:val="28"/>
          <w:sz w:val="28"/>
          <w:szCs w:val="28"/>
        </w:rPr>
        <w:t xml:space="preserve"> плода.</w:t>
      </w:r>
    </w:p>
    <w:p w14:paraId="1909441B" w14:textId="77777777" w:rsidR="00CF641C" w:rsidRPr="00520861" w:rsidRDefault="00CF641C" w:rsidP="00292D2E">
      <w:pPr>
        <w:widowControl w:val="0"/>
        <w:spacing w:line="360" w:lineRule="auto"/>
        <w:ind w:firstLine="709"/>
        <w:jc w:val="both"/>
        <w:rPr>
          <w:rFonts w:eastAsia="Calibri"/>
          <w:sz w:val="28"/>
          <w:szCs w:val="28"/>
        </w:rPr>
      </w:pPr>
      <w:r w:rsidRPr="00520861">
        <w:rPr>
          <w:rFonts w:eastAsia="Calibri"/>
          <w:sz w:val="28"/>
          <w:szCs w:val="28"/>
        </w:rPr>
        <w:t xml:space="preserve">Математичне очікування маси тіла при народженні дітей ОГ дорівнює 4,19±0,03 кг, а дітей ГП – 3,34±0,04 кг. Середнє значення довжини тіла новонароджених в ОГ становить 54,79±0,28 см, а в ГП – 51,86±0,25 см. Середнє значення окружності голови дітей ОГ становить 36,3±0,18 см, а дітей ГП – 34,69±0,15 см. </w:t>
      </w:r>
    </w:p>
    <w:p w14:paraId="13866C65" w14:textId="77777777" w:rsidR="00CF641C" w:rsidRPr="00520861" w:rsidRDefault="00CF641C" w:rsidP="00292D2E">
      <w:pPr>
        <w:widowControl w:val="0"/>
        <w:spacing w:line="360" w:lineRule="auto"/>
        <w:ind w:firstLine="709"/>
        <w:jc w:val="both"/>
        <w:rPr>
          <w:rFonts w:eastAsia="Calibri"/>
          <w:sz w:val="28"/>
          <w:szCs w:val="28"/>
        </w:rPr>
      </w:pPr>
      <w:r w:rsidRPr="00520861">
        <w:rPr>
          <w:rFonts w:eastAsia="Calibri"/>
          <w:sz w:val="28"/>
          <w:szCs w:val="28"/>
        </w:rPr>
        <w:t xml:space="preserve">Середнє значення окружності грудної клітини в дітей ОГ становить 36±0,18 см, </w:t>
      </w:r>
      <w:r w:rsidRPr="00520861">
        <w:rPr>
          <w:rFonts w:eastAsia="Calibri"/>
          <w:sz w:val="28"/>
          <w:szCs w:val="28"/>
        </w:rPr>
        <w:br/>
        <w:t xml:space="preserve">а в дітей ГП – 33,96±0,17 см. Різниця розглянутих параметрів для ОГ та ГП є </w:t>
      </w:r>
      <w:r w:rsidRPr="00520861">
        <w:rPr>
          <w:rFonts w:eastAsia="Calibri"/>
          <w:sz w:val="28"/>
          <w:szCs w:val="28"/>
        </w:rPr>
        <w:br/>
        <w:t>вірогідною. У таблиці Б.1.12 наведено МРП тих самих дітей у віці 1 рік. Середнє значення маси тіла для дітей віком 1 рік ОГ становить 11,2±0,17 кг та 10,36±0,15 кг для дітей ГП. Середня величина росту дітей у віці одного року в ОГ становить 77,68±0,54 см і 75,96±0,43 см у ГП. Середня величина окружності голови дітей у віці одного року в ОГ становить 46,89±0,32 см та 46,29±0,32 см у ГП. Середнє значення окружності грудної клітки дітей становить 48,29±0,42 см в ОГ, тоді як у ГП вона становить 47,55±0,4 см. Отже, очікуване значення росту та маси тіла дітей в ОГ та ГП вірогідно відрізняється, тоді як різниця між середніми значеннями окружності голови та грудей невірогідна.</w:t>
      </w:r>
    </w:p>
    <w:p w14:paraId="26F91517" w14:textId="77777777" w:rsidR="00CF641C" w:rsidRPr="00520861" w:rsidRDefault="00CF641C" w:rsidP="00292D2E">
      <w:pPr>
        <w:widowControl w:val="0"/>
        <w:spacing w:line="360" w:lineRule="auto"/>
        <w:ind w:firstLine="708"/>
        <w:jc w:val="both"/>
        <w:rPr>
          <w:rFonts w:eastAsia="Calibri"/>
          <w:sz w:val="28"/>
          <w:szCs w:val="28"/>
        </w:rPr>
      </w:pPr>
      <w:r w:rsidRPr="00520861">
        <w:rPr>
          <w:rFonts w:eastAsia="Calibri"/>
          <w:sz w:val="28"/>
          <w:szCs w:val="28"/>
        </w:rPr>
        <w:lastRenderedPageBreak/>
        <w:t xml:space="preserve">Із проаналізованих факторів на народження дитини з </w:t>
      </w:r>
      <w:proofErr w:type="spellStart"/>
      <w:r w:rsidRPr="00520861">
        <w:rPr>
          <w:rFonts w:eastAsia="Calibri"/>
          <w:sz w:val="28"/>
          <w:szCs w:val="28"/>
        </w:rPr>
        <w:t>макросомією</w:t>
      </w:r>
      <w:proofErr w:type="spellEnd"/>
      <w:r w:rsidRPr="00520861">
        <w:rPr>
          <w:rFonts w:eastAsia="Calibri"/>
          <w:sz w:val="28"/>
          <w:szCs w:val="28"/>
        </w:rPr>
        <w:t xml:space="preserve"> можуть </w:t>
      </w:r>
      <w:r w:rsidRPr="00520861">
        <w:rPr>
          <w:rFonts w:eastAsia="Calibri"/>
          <w:sz w:val="28"/>
          <w:szCs w:val="28"/>
        </w:rPr>
        <w:br/>
        <w:t xml:space="preserve">упливати паритет та тривалість вагітності. </w:t>
      </w:r>
      <w:proofErr w:type="spellStart"/>
      <w:r w:rsidRPr="00520861">
        <w:rPr>
          <w:rFonts w:eastAsia="Calibri"/>
          <w:sz w:val="28"/>
          <w:szCs w:val="28"/>
        </w:rPr>
        <w:t>Макросоми</w:t>
      </w:r>
      <w:proofErr w:type="spellEnd"/>
      <w:r w:rsidRPr="00520861">
        <w:rPr>
          <w:rFonts w:eastAsia="Calibri"/>
          <w:sz w:val="28"/>
          <w:szCs w:val="28"/>
        </w:rPr>
        <w:t xml:space="preserve"> в середньому гірше адаптуються до </w:t>
      </w:r>
      <w:proofErr w:type="spellStart"/>
      <w:r w:rsidRPr="00520861">
        <w:rPr>
          <w:rFonts w:eastAsia="Calibri"/>
          <w:sz w:val="28"/>
          <w:szCs w:val="28"/>
        </w:rPr>
        <w:t>позаутробного</w:t>
      </w:r>
      <w:proofErr w:type="spellEnd"/>
      <w:r w:rsidRPr="00520861">
        <w:rPr>
          <w:rFonts w:eastAsia="Calibri"/>
          <w:sz w:val="28"/>
          <w:szCs w:val="28"/>
        </w:rPr>
        <w:t xml:space="preserve"> життя, ніж </w:t>
      </w:r>
      <w:proofErr w:type="spellStart"/>
      <w:r w:rsidRPr="00520861">
        <w:rPr>
          <w:rFonts w:eastAsia="Calibri"/>
          <w:sz w:val="28"/>
          <w:szCs w:val="28"/>
        </w:rPr>
        <w:t>нормосоми</w:t>
      </w:r>
      <w:proofErr w:type="spellEnd"/>
      <w:r w:rsidRPr="00520861">
        <w:rPr>
          <w:rFonts w:eastAsia="Calibri"/>
          <w:sz w:val="28"/>
          <w:szCs w:val="28"/>
        </w:rPr>
        <w:t xml:space="preserve">, й у віці 1 рік мають у середньому більші МРП, ніж </w:t>
      </w:r>
      <w:proofErr w:type="spellStart"/>
      <w:r w:rsidRPr="00520861">
        <w:rPr>
          <w:rFonts w:eastAsia="Calibri"/>
          <w:sz w:val="28"/>
          <w:szCs w:val="28"/>
        </w:rPr>
        <w:t>нормосоми</w:t>
      </w:r>
      <w:proofErr w:type="spellEnd"/>
      <w:r w:rsidRPr="00520861">
        <w:rPr>
          <w:rFonts w:eastAsia="Calibri"/>
          <w:sz w:val="28"/>
          <w:szCs w:val="28"/>
        </w:rPr>
        <w:t xml:space="preserve"> відповідного віку.</w:t>
      </w:r>
    </w:p>
    <w:p w14:paraId="3CAAE840" w14:textId="77777777" w:rsidR="00CF641C" w:rsidRPr="00520861" w:rsidRDefault="00CF641C" w:rsidP="00292D2E">
      <w:pPr>
        <w:widowControl w:val="0"/>
        <w:spacing w:line="360" w:lineRule="auto"/>
        <w:ind w:firstLine="708"/>
        <w:jc w:val="both"/>
        <w:rPr>
          <w:rFonts w:eastAsia="Calibri"/>
          <w:sz w:val="28"/>
          <w:szCs w:val="28"/>
        </w:rPr>
      </w:pPr>
    </w:p>
    <w:p w14:paraId="039CB160" w14:textId="77777777" w:rsidR="00CF641C" w:rsidRPr="00520861" w:rsidRDefault="00CF641C" w:rsidP="00292D2E">
      <w:pPr>
        <w:widowControl w:val="0"/>
        <w:spacing w:line="360" w:lineRule="auto"/>
        <w:ind w:firstLine="709"/>
        <w:jc w:val="both"/>
        <w:rPr>
          <w:rFonts w:eastAsia="Calibri"/>
          <w:b/>
          <w:sz w:val="28"/>
          <w:szCs w:val="28"/>
          <w:lang w:eastAsia="en-US"/>
        </w:rPr>
      </w:pPr>
      <w:r w:rsidRPr="00520861">
        <w:rPr>
          <w:rFonts w:eastAsia="Calibri"/>
          <w:b/>
          <w:sz w:val="28"/>
          <w:szCs w:val="28"/>
          <w:lang w:eastAsia="en-US"/>
        </w:rPr>
        <w:t xml:space="preserve">4.2. Прогнозування ризику розвитку стоматологічних порушень у новонароджених та дітей грудного віку, які народилися </w:t>
      </w:r>
      <w:proofErr w:type="spellStart"/>
      <w:r w:rsidRPr="00520861">
        <w:rPr>
          <w:rFonts w:eastAsia="Calibri"/>
          <w:b/>
          <w:sz w:val="28"/>
          <w:szCs w:val="28"/>
          <w:lang w:eastAsia="en-US"/>
        </w:rPr>
        <w:t>макросомами</w:t>
      </w:r>
      <w:proofErr w:type="spellEnd"/>
      <w:r w:rsidRPr="00520861">
        <w:rPr>
          <w:rFonts w:eastAsia="Calibri"/>
          <w:b/>
          <w:sz w:val="28"/>
          <w:szCs w:val="28"/>
          <w:lang w:eastAsia="en-US"/>
        </w:rPr>
        <w:t>, з урахуванням їх індексу маси тіла при народженні</w:t>
      </w:r>
    </w:p>
    <w:p w14:paraId="2D4D6659" w14:textId="77777777" w:rsidR="00CF641C" w:rsidRPr="00520861" w:rsidRDefault="00CF641C" w:rsidP="00292D2E">
      <w:pPr>
        <w:widowControl w:val="0"/>
        <w:spacing w:line="360" w:lineRule="auto"/>
        <w:jc w:val="both"/>
        <w:rPr>
          <w:rFonts w:eastAsia="Calibri"/>
          <w:b/>
          <w:sz w:val="28"/>
          <w:szCs w:val="28"/>
          <w:lang w:eastAsia="en-US"/>
        </w:rPr>
      </w:pPr>
    </w:p>
    <w:p w14:paraId="0D5C4033" w14:textId="77777777" w:rsidR="00CF641C" w:rsidRPr="00520861" w:rsidRDefault="00CF641C"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Результати порівняння сумарної бальної оцінки ступеня ризику виникнення стоматологічних порушень у ДГВ ОГ і ГП (табл. 4.7) свідчать про переважання ризиків в ОГ [52]. </w:t>
      </w:r>
    </w:p>
    <w:p w14:paraId="27178C2B" w14:textId="77777777" w:rsidR="00CF641C" w:rsidRPr="00520861" w:rsidRDefault="00CF641C" w:rsidP="00292D2E">
      <w:pPr>
        <w:widowControl w:val="0"/>
        <w:spacing w:line="360" w:lineRule="auto"/>
        <w:ind w:firstLine="708"/>
        <w:jc w:val="right"/>
        <w:rPr>
          <w:rFonts w:eastAsiaTheme="minorHAnsi"/>
          <w:i/>
          <w:sz w:val="28"/>
          <w:szCs w:val="28"/>
          <w:lang w:eastAsia="en-US"/>
        </w:rPr>
      </w:pPr>
      <w:r w:rsidRPr="00520861">
        <w:rPr>
          <w:rFonts w:eastAsiaTheme="minorHAnsi"/>
          <w:i/>
          <w:sz w:val="28"/>
          <w:szCs w:val="28"/>
          <w:lang w:eastAsia="en-US"/>
        </w:rPr>
        <w:t>Таблиця 4.7</w:t>
      </w:r>
    </w:p>
    <w:p w14:paraId="4D690478" w14:textId="77777777" w:rsidR="00CF641C" w:rsidRPr="00520861" w:rsidRDefault="00CF641C" w:rsidP="00292D2E">
      <w:pPr>
        <w:widowControl w:val="0"/>
        <w:spacing w:line="360" w:lineRule="auto"/>
        <w:jc w:val="center"/>
        <w:rPr>
          <w:rFonts w:eastAsiaTheme="minorHAnsi"/>
          <w:b/>
          <w:sz w:val="28"/>
          <w:szCs w:val="28"/>
          <w:lang w:eastAsia="en-US"/>
        </w:rPr>
      </w:pPr>
      <w:r w:rsidRPr="00520861">
        <w:rPr>
          <w:rFonts w:eastAsiaTheme="minorHAnsi"/>
          <w:b/>
          <w:sz w:val="28"/>
          <w:szCs w:val="28"/>
          <w:lang w:eastAsia="en-US"/>
        </w:rPr>
        <w:t>Зведені бальні оцінки результатів тестування батьків ДГВ (їхній процент) та 95% ДІ, в ГП, ОГ та підгрупах у залежності від ступеня ризику</w:t>
      </w:r>
    </w:p>
    <w:tbl>
      <w:tblPr>
        <w:tblStyle w:val="140"/>
        <w:tblW w:w="9967" w:type="dxa"/>
        <w:jc w:val="center"/>
        <w:tblLook w:val="04A0" w:firstRow="1" w:lastRow="0" w:firstColumn="1" w:lastColumn="0" w:noHBand="0" w:noVBand="1"/>
      </w:tblPr>
      <w:tblGrid>
        <w:gridCol w:w="1370"/>
        <w:gridCol w:w="2197"/>
        <w:gridCol w:w="2101"/>
        <w:gridCol w:w="25"/>
        <w:gridCol w:w="2125"/>
        <w:gridCol w:w="2149"/>
      </w:tblGrid>
      <w:tr w:rsidR="00CF641C" w:rsidRPr="00520861" w14:paraId="2C9B3AA4" w14:textId="77777777" w:rsidTr="00292D2E">
        <w:trPr>
          <w:jc w:val="center"/>
        </w:trPr>
        <w:tc>
          <w:tcPr>
            <w:tcW w:w="1370" w:type="dxa"/>
            <w:tcBorders>
              <w:top w:val="single" w:sz="4" w:space="0" w:color="auto"/>
              <w:left w:val="single" w:sz="4" w:space="0" w:color="auto"/>
              <w:bottom w:val="single" w:sz="4" w:space="0" w:color="auto"/>
              <w:right w:val="single" w:sz="4" w:space="0" w:color="auto"/>
            </w:tcBorders>
            <w:hideMark/>
          </w:tcPr>
          <w:p w14:paraId="50DD47E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Групи та підгрупи</w:t>
            </w:r>
          </w:p>
        </w:tc>
        <w:tc>
          <w:tcPr>
            <w:tcW w:w="2197" w:type="dxa"/>
            <w:tcBorders>
              <w:top w:val="single" w:sz="4" w:space="0" w:color="auto"/>
              <w:left w:val="single" w:sz="4" w:space="0" w:color="auto"/>
              <w:bottom w:val="single" w:sz="4" w:space="0" w:color="auto"/>
              <w:right w:val="single" w:sz="4" w:space="0" w:color="auto"/>
            </w:tcBorders>
            <w:hideMark/>
          </w:tcPr>
          <w:p w14:paraId="541D7B9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Мінімальний ризик</w:t>
            </w:r>
          </w:p>
        </w:tc>
        <w:tc>
          <w:tcPr>
            <w:tcW w:w="2101" w:type="dxa"/>
            <w:tcBorders>
              <w:top w:val="single" w:sz="4" w:space="0" w:color="auto"/>
              <w:left w:val="single" w:sz="4" w:space="0" w:color="auto"/>
              <w:bottom w:val="single" w:sz="4" w:space="0" w:color="auto"/>
              <w:right w:val="single" w:sz="4" w:space="0" w:color="auto"/>
            </w:tcBorders>
            <w:hideMark/>
          </w:tcPr>
          <w:p w14:paraId="0A1AE237"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Ризик</w:t>
            </w:r>
          </w:p>
        </w:tc>
        <w:tc>
          <w:tcPr>
            <w:tcW w:w="2150" w:type="dxa"/>
            <w:gridSpan w:val="2"/>
            <w:tcBorders>
              <w:top w:val="single" w:sz="4" w:space="0" w:color="auto"/>
              <w:left w:val="single" w:sz="4" w:space="0" w:color="auto"/>
              <w:bottom w:val="single" w:sz="4" w:space="0" w:color="auto"/>
              <w:right w:val="single" w:sz="4" w:space="0" w:color="auto"/>
            </w:tcBorders>
            <w:hideMark/>
          </w:tcPr>
          <w:p w14:paraId="44651EB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Суттєвий </w:t>
            </w:r>
            <w:r w:rsidRPr="00520861">
              <w:rPr>
                <w:rFonts w:eastAsia="Calibri"/>
                <w:sz w:val="28"/>
                <w:szCs w:val="28"/>
              </w:rPr>
              <w:br/>
              <w:t>ризик</w:t>
            </w:r>
          </w:p>
        </w:tc>
        <w:tc>
          <w:tcPr>
            <w:tcW w:w="2149" w:type="dxa"/>
            <w:tcBorders>
              <w:top w:val="single" w:sz="4" w:space="0" w:color="auto"/>
              <w:left w:val="single" w:sz="4" w:space="0" w:color="auto"/>
              <w:bottom w:val="single" w:sz="4" w:space="0" w:color="auto"/>
              <w:right w:val="single" w:sz="4" w:space="0" w:color="auto"/>
            </w:tcBorders>
            <w:hideMark/>
          </w:tcPr>
          <w:p w14:paraId="765817F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Високий </w:t>
            </w:r>
            <w:r w:rsidRPr="00520861">
              <w:rPr>
                <w:rFonts w:eastAsia="Calibri"/>
                <w:sz w:val="28"/>
                <w:szCs w:val="28"/>
              </w:rPr>
              <w:br/>
              <w:t>ризик</w:t>
            </w:r>
          </w:p>
        </w:tc>
      </w:tr>
      <w:tr w:rsidR="00CF641C" w:rsidRPr="00520861" w14:paraId="3518C140" w14:textId="77777777" w:rsidTr="00292D2E">
        <w:trPr>
          <w:jc w:val="center"/>
        </w:trPr>
        <w:tc>
          <w:tcPr>
            <w:tcW w:w="1370" w:type="dxa"/>
            <w:tcBorders>
              <w:top w:val="single" w:sz="4" w:space="0" w:color="auto"/>
              <w:left w:val="single" w:sz="4" w:space="0" w:color="auto"/>
              <w:bottom w:val="single" w:sz="4" w:space="0" w:color="auto"/>
              <w:right w:val="single" w:sz="4" w:space="0" w:color="auto"/>
            </w:tcBorders>
            <w:hideMark/>
          </w:tcPr>
          <w:p w14:paraId="5A25612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ГП</w:t>
            </w:r>
          </w:p>
        </w:tc>
        <w:tc>
          <w:tcPr>
            <w:tcW w:w="2197" w:type="dxa"/>
            <w:tcBorders>
              <w:top w:val="single" w:sz="4" w:space="0" w:color="auto"/>
              <w:left w:val="single" w:sz="4" w:space="0" w:color="auto"/>
              <w:bottom w:val="single" w:sz="4" w:space="0" w:color="auto"/>
              <w:right w:val="single" w:sz="4" w:space="0" w:color="auto"/>
            </w:tcBorders>
            <w:hideMark/>
          </w:tcPr>
          <w:p w14:paraId="670CB1C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7 (8,4%); </w:t>
            </w:r>
          </w:p>
          <w:p w14:paraId="6D0D7B0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4,3% – 15,1%</w:t>
            </w:r>
          </w:p>
        </w:tc>
        <w:tc>
          <w:tcPr>
            <w:tcW w:w="2101" w:type="dxa"/>
            <w:tcBorders>
              <w:top w:val="single" w:sz="4" w:space="0" w:color="auto"/>
              <w:left w:val="single" w:sz="4" w:space="0" w:color="auto"/>
              <w:bottom w:val="single" w:sz="4" w:space="0" w:color="auto"/>
              <w:right w:val="single" w:sz="4" w:space="0" w:color="auto"/>
            </w:tcBorders>
            <w:hideMark/>
          </w:tcPr>
          <w:p w14:paraId="3936BEC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42 (50,6%); 40,6% – 60,6%</w:t>
            </w:r>
          </w:p>
        </w:tc>
        <w:tc>
          <w:tcPr>
            <w:tcW w:w="2150" w:type="dxa"/>
            <w:gridSpan w:val="2"/>
            <w:tcBorders>
              <w:top w:val="single" w:sz="4" w:space="0" w:color="auto"/>
              <w:left w:val="single" w:sz="4" w:space="0" w:color="auto"/>
              <w:bottom w:val="single" w:sz="4" w:space="0" w:color="auto"/>
              <w:right w:val="single" w:sz="4" w:space="0" w:color="auto"/>
            </w:tcBorders>
            <w:hideMark/>
          </w:tcPr>
          <w:p w14:paraId="044180F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32 (38,6%); 29,2% – 48,7%</w:t>
            </w:r>
          </w:p>
        </w:tc>
        <w:tc>
          <w:tcPr>
            <w:tcW w:w="2149" w:type="dxa"/>
            <w:tcBorders>
              <w:top w:val="single" w:sz="4" w:space="0" w:color="auto"/>
              <w:left w:val="single" w:sz="4" w:space="0" w:color="auto"/>
              <w:bottom w:val="single" w:sz="4" w:space="0" w:color="auto"/>
              <w:right w:val="single" w:sz="4" w:space="0" w:color="auto"/>
            </w:tcBorders>
            <w:hideMark/>
          </w:tcPr>
          <w:p w14:paraId="5FFDE8D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2 (2,4%); </w:t>
            </w:r>
          </w:p>
          <w:p w14:paraId="2ADB2B4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0,8% – 6,5%</w:t>
            </w:r>
          </w:p>
        </w:tc>
      </w:tr>
      <w:tr w:rsidR="00CF641C" w:rsidRPr="00520861" w14:paraId="51EF9823" w14:textId="77777777" w:rsidTr="00292D2E">
        <w:trPr>
          <w:jc w:val="center"/>
        </w:trPr>
        <w:tc>
          <w:tcPr>
            <w:tcW w:w="1370" w:type="dxa"/>
            <w:tcBorders>
              <w:top w:val="single" w:sz="4" w:space="0" w:color="auto"/>
              <w:left w:val="single" w:sz="4" w:space="0" w:color="auto"/>
              <w:bottom w:val="single" w:sz="4" w:space="0" w:color="auto"/>
              <w:right w:val="single" w:sz="4" w:space="0" w:color="auto"/>
            </w:tcBorders>
            <w:hideMark/>
          </w:tcPr>
          <w:p w14:paraId="11BA886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ОГ</w:t>
            </w:r>
          </w:p>
        </w:tc>
        <w:tc>
          <w:tcPr>
            <w:tcW w:w="2197" w:type="dxa"/>
            <w:tcBorders>
              <w:top w:val="single" w:sz="4" w:space="0" w:color="auto"/>
              <w:left w:val="single" w:sz="4" w:space="0" w:color="auto"/>
              <w:bottom w:val="single" w:sz="4" w:space="0" w:color="auto"/>
              <w:right w:val="single" w:sz="4" w:space="0" w:color="auto"/>
            </w:tcBorders>
            <w:hideMark/>
          </w:tcPr>
          <w:p w14:paraId="3C0F63D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2 (2,9%); </w:t>
            </w:r>
          </w:p>
          <w:p w14:paraId="3576A83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0,9% – 7,9%</w:t>
            </w:r>
          </w:p>
        </w:tc>
        <w:tc>
          <w:tcPr>
            <w:tcW w:w="2101" w:type="dxa"/>
            <w:tcBorders>
              <w:top w:val="single" w:sz="4" w:space="0" w:color="auto"/>
              <w:left w:val="single" w:sz="4" w:space="0" w:color="auto"/>
              <w:bottom w:val="single" w:sz="4" w:space="0" w:color="auto"/>
              <w:right w:val="single" w:sz="4" w:space="0" w:color="auto"/>
            </w:tcBorders>
            <w:hideMark/>
          </w:tcPr>
          <w:p w14:paraId="24212AA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20 (29,4%) </w:t>
            </w:r>
            <w:r w:rsidRPr="00520861">
              <w:rPr>
                <w:color w:val="000000"/>
                <w:sz w:val="28"/>
                <w:szCs w:val="28"/>
              </w:rPr>
              <w:t>†</w:t>
            </w:r>
            <w:r w:rsidRPr="00520861">
              <w:rPr>
                <w:rFonts w:eastAsia="Calibri"/>
                <w:sz w:val="28"/>
                <w:szCs w:val="28"/>
              </w:rPr>
              <w:t xml:space="preserve">; 20,2% – 40,1% </w:t>
            </w:r>
          </w:p>
        </w:tc>
        <w:tc>
          <w:tcPr>
            <w:tcW w:w="2150" w:type="dxa"/>
            <w:gridSpan w:val="2"/>
            <w:tcBorders>
              <w:top w:val="single" w:sz="4" w:space="0" w:color="auto"/>
              <w:left w:val="single" w:sz="4" w:space="0" w:color="auto"/>
              <w:bottom w:val="single" w:sz="4" w:space="0" w:color="auto"/>
              <w:right w:val="single" w:sz="4" w:space="0" w:color="auto"/>
            </w:tcBorders>
            <w:hideMark/>
          </w:tcPr>
          <w:p w14:paraId="276DA06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41 (60,3%) </w:t>
            </w:r>
            <w:r w:rsidRPr="00520861">
              <w:rPr>
                <w:color w:val="000000"/>
                <w:sz w:val="28"/>
                <w:szCs w:val="28"/>
              </w:rPr>
              <w:t>†</w:t>
            </w:r>
            <w:r w:rsidRPr="00520861">
              <w:rPr>
                <w:rFonts w:eastAsia="Calibri"/>
                <w:sz w:val="28"/>
                <w:szCs w:val="28"/>
              </w:rPr>
              <w:t>; 49,2% – 70,6%</w:t>
            </w:r>
          </w:p>
        </w:tc>
        <w:tc>
          <w:tcPr>
            <w:tcW w:w="2149" w:type="dxa"/>
            <w:tcBorders>
              <w:top w:val="single" w:sz="4" w:space="0" w:color="auto"/>
              <w:left w:val="single" w:sz="4" w:space="0" w:color="auto"/>
              <w:bottom w:val="single" w:sz="4" w:space="0" w:color="auto"/>
              <w:right w:val="single" w:sz="4" w:space="0" w:color="auto"/>
            </w:tcBorders>
            <w:hideMark/>
          </w:tcPr>
          <w:p w14:paraId="33B08769"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5 (7,4% ); </w:t>
            </w:r>
          </w:p>
          <w:p w14:paraId="16478CC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3,3% – 14,4%</w:t>
            </w:r>
          </w:p>
        </w:tc>
      </w:tr>
      <w:tr w:rsidR="00CF641C" w:rsidRPr="00520861" w14:paraId="197C6D41" w14:textId="77777777" w:rsidTr="00292D2E">
        <w:trPr>
          <w:jc w:val="center"/>
        </w:trPr>
        <w:tc>
          <w:tcPr>
            <w:tcW w:w="1370" w:type="dxa"/>
            <w:tcBorders>
              <w:top w:val="single" w:sz="4" w:space="0" w:color="auto"/>
              <w:left w:val="single" w:sz="4" w:space="0" w:color="auto"/>
              <w:bottom w:val="single" w:sz="4" w:space="0" w:color="auto"/>
              <w:right w:val="single" w:sz="4" w:space="0" w:color="auto"/>
            </w:tcBorders>
          </w:tcPr>
          <w:p w14:paraId="6FAC5040"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2197" w:type="dxa"/>
            <w:tcBorders>
              <w:top w:val="single" w:sz="4" w:space="0" w:color="auto"/>
              <w:left w:val="single" w:sz="4" w:space="0" w:color="auto"/>
              <w:bottom w:val="single" w:sz="4" w:space="0" w:color="auto"/>
              <w:right w:val="single" w:sz="4" w:space="0" w:color="auto"/>
            </w:tcBorders>
            <w:hideMark/>
          </w:tcPr>
          <w:p w14:paraId="408FA9C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1 (2,7%); </w:t>
            </w:r>
          </w:p>
          <w:p w14:paraId="6270FAF4"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0,7% – 9,5%</w:t>
            </w:r>
          </w:p>
        </w:tc>
        <w:tc>
          <w:tcPr>
            <w:tcW w:w="2101" w:type="dxa"/>
            <w:tcBorders>
              <w:top w:val="single" w:sz="4" w:space="0" w:color="auto"/>
              <w:left w:val="single" w:sz="4" w:space="0" w:color="auto"/>
              <w:bottom w:val="single" w:sz="4" w:space="0" w:color="auto"/>
              <w:right w:val="single" w:sz="4" w:space="0" w:color="auto"/>
            </w:tcBorders>
            <w:hideMark/>
          </w:tcPr>
          <w:p w14:paraId="23583D4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9 (24,3%)</w:t>
            </w:r>
            <w:r w:rsidRPr="00520861">
              <w:rPr>
                <w:color w:val="000000"/>
                <w:sz w:val="28"/>
                <w:szCs w:val="28"/>
              </w:rPr>
              <w:t>†</w:t>
            </w:r>
            <w:r w:rsidRPr="00520861">
              <w:rPr>
                <w:rFonts w:eastAsia="Calibri"/>
                <w:sz w:val="28"/>
                <w:szCs w:val="28"/>
              </w:rPr>
              <w:t xml:space="preserve"> ; 13,8% – 38,2%</w:t>
            </w:r>
          </w:p>
        </w:tc>
        <w:tc>
          <w:tcPr>
            <w:tcW w:w="2150" w:type="dxa"/>
            <w:gridSpan w:val="2"/>
            <w:tcBorders>
              <w:top w:val="single" w:sz="4" w:space="0" w:color="auto"/>
              <w:left w:val="single" w:sz="4" w:space="0" w:color="auto"/>
              <w:bottom w:val="single" w:sz="4" w:space="0" w:color="auto"/>
              <w:right w:val="single" w:sz="4" w:space="0" w:color="auto"/>
            </w:tcBorders>
            <w:hideMark/>
          </w:tcPr>
          <w:p w14:paraId="0B34AAF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24 (64,9%)</w:t>
            </w:r>
            <w:r w:rsidRPr="00520861">
              <w:rPr>
                <w:color w:val="000000"/>
                <w:sz w:val="28"/>
                <w:szCs w:val="28"/>
              </w:rPr>
              <w:t>†</w:t>
            </w:r>
            <w:r w:rsidRPr="00520861">
              <w:rPr>
                <w:rFonts w:eastAsia="Calibri"/>
                <w:sz w:val="28"/>
                <w:szCs w:val="28"/>
              </w:rPr>
              <w:t xml:space="preserve"> ; 50,2% – 77,5%</w:t>
            </w:r>
          </w:p>
        </w:tc>
        <w:tc>
          <w:tcPr>
            <w:tcW w:w="2149" w:type="dxa"/>
            <w:tcBorders>
              <w:top w:val="single" w:sz="4" w:space="0" w:color="auto"/>
              <w:left w:val="single" w:sz="4" w:space="0" w:color="auto"/>
              <w:bottom w:val="single" w:sz="4" w:space="0" w:color="auto"/>
              <w:right w:val="single" w:sz="4" w:space="0" w:color="auto"/>
            </w:tcBorders>
            <w:hideMark/>
          </w:tcPr>
          <w:p w14:paraId="7E8E653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3 (8,1%); </w:t>
            </w:r>
          </w:p>
          <w:p w14:paraId="37CEF43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3,0% – 18,2%</w:t>
            </w:r>
          </w:p>
        </w:tc>
      </w:tr>
      <w:tr w:rsidR="00CF641C" w:rsidRPr="00520861" w14:paraId="70A7949F" w14:textId="77777777" w:rsidTr="00292D2E">
        <w:trPr>
          <w:jc w:val="center"/>
        </w:trPr>
        <w:tc>
          <w:tcPr>
            <w:tcW w:w="1370" w:type="dxa"/>
            <w:tcBorders>
              <w:top w:val="single" w:sz="4" w:space="0" w:color="auto"/>
              <w:left w:val="single" w:sz="4" w:space="0" w:color="auto"/>
              <w:bottom w:val="single" w:sz="4" w:space="0" w:color="auto"/>
              <w:right w:val="single" w:sz="4" w:space="0" w:color="auto"/>
            </w:tcBorders>
            <w:hideMark/>
          </w:tcPr>
          <w:p w14:paraId="557806B7"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w:t>
            </w:r>
          </w:p>
        </w:tc>
        <w:tc>
          <w:tcPr>
            <w:tcW w:w="2197" w:type="dxa"/>
            <w:tcBorders>
              <w:top w:val="single" w:sz="4" w:space="0" w:color="auto"/>
              <w:left w:val="single" w:sz="4" w:space="0" w:color="auto"/>
              <w:bottom w:val="single" w:sz="4" w:space="0" w:color="auto"/>
              <w:right w:val="single" w:sz="4" w:space="0" w:color="auto"/>
            </w:tcBorders>
            <w:hideMark/>
          </w:tcPr>
          <w:p w14:paraId="78A68BD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0 (0,0%); </w:t>
            </w:r>
          </w:p>
          <w:p w14:paraId="284FD6D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0,2% – 23,2%</w:t>
            </w:r>
          </w:p>
        </w:tc>
        <w:tc>
          <w:tcPr>
            <w:tcW w:w="2101" w:type="dxa"/>
            <w:tcBorders>
              <w:top w:val="single" w:sz="4" w:space="0" w:color="auto"/>
              <w:left w:val="single" w:sz="4" w:space="0" w:color="auto"/>
              <w:bottom w:val="single" w:sz="4" w:space="0" w:color="auto"/>
              <w:right w:val="single" w:sz="4" w:space="0" w:color="auto"/>
            </w:tcBorders>
            <w:hideMark/>
          </w:tcPr>
          <w:p w14:paraId="19F24CE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6 (42,9%) ; 23,0% – 64,9%</w:t>
            </w:r>
          </w:p>
        </w:tc>
        <w:tc>
          <w:tcPr>
            <w:tcW w:w="2150" w:type="dxa"/>
            <w:gridSpan w:val="2"/>
            <w:tcBorders>
              <w:top w:val="single" w:sz="4" w:space="0" w:color="auto"/>
              <w:left w:val="single" w:sz="4" w:space="0" w:color="auto"/>
              <w:bottom w:val="single" w:sz="4" w:space="0" w:color="auto"/>
              <w:right w:val="single" w:sz="4" w:space="0" w:color="auto"/>
            </w:tcBorders>
            <w:hideMark/>
          </w:tcPr>
          <w:p w14:paraId="7F7DF0D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7 (50,0% ); 28,9% – 71,1%</w:t>
            </w:r>
          </w:p>
        </w:tc>
        <w:tc>
          <w:tcPr>
            <w:tcW w:w="2149" w:type="dxa"/>
            <w:tcBorders>
              <w:top w:val="single" w:sz="4" w:space="0" w:color="auto"/>
              <w:left w:val="single" w:sz="4" w:space="0" w:color="auto"/>
              <w:bottom w:val="single" w:sz="4" w:space="0" w:color="auto"/>
              <w:right w:val="single" w:sz="4" w:space="0" w:color="auto"/>
            </w:tcBorders>
            <w:hideMark/>
          </w:tcPr>
          <w:p w14:paraId="1D8E6D8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 (7,1%);</w:t>
            </w:r>
          </w:p>
          <w:p w14:paraId="7C0BED9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 1,8% – 23,2%</w:t>
            </w:r>
          </w:p>
        </w:tc>
      </w:tr>
      <w:tr w:rsidR="00CF641C" w:rsidRPr="00520861" w14:paraId="79D21F1F" w14:textId="77777777" w:rsidTr="00292D2E">
        <w:trPr>
          <w:jc w:val="center"/>
        </w:trPr>
        <w:tc>
          <w:tcPr>
            <w:tcW w:w="1370" w:type="dxa"/>
            <w:tcBorders>
              <w:top w:val="single" w:sz="4" w:space="0" w:color="auto"/>
              <w:left w:val="single" w:sz="4" w:space="0" w:color="auto"/>
              <w:bottom w:val="single" w:sz="4" w:space="0" w:color="auto"/>
              <w:right w:val="single" w:sz="4" w:space="0" w:color="auto"/>
            </w:tcBorders>
            <w:hideMark/>
          </w:tcPr>
          <w:p w14:paraId="67FD89E0"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w:t>
            </w:r>
          </w:p>
        </w:tc>
        <w:tc>
          <w:tcPr>
            <w:tcW w:w="2197" w:type="dxa"/>
            <w:tcBorders>
              <w:top w:val="single" w:sz="4" w:space="0" w:color="auto"/>
              <w:left w:val="single" w:sz="4" w:space="0" w:color="auto"/>
              <w:bottom w:val="single" w:sz="4" w:space="0" w:color="auto"/>
              <w:right w:val="single" w:sz="4" w:space="0" w:color="auto"/>
            </w:tcBorders>
            <w:hideMark/>
          </w:tcPr>
          <w:p w14:paraId="049F48C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0 (0,0%); </w:t>
            </w:r>
          </w:p>
          <w:p w14:paraId="6DB8553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0,3% – 30,8%</w:t>
            </w:r>
          </w:p>
        </w:tc>
        <w:tc>
          <w:tcPr>
            <w:tcW w:w="2126" w:type="dxa"/>
            <w:gridSpan w:val="2"/>
            <w:tcBorders>
              <w:top w:val="single" w:sz="4" w:space="0" w:color="auto"/>
              <w:left w:val="single" w:sz="4" w:space="0" w:color="auto"/>
              <w:bottom w:val="single" w:sz="4" w:space="0" w:color="auto"/>
              <w:right w:val="single" w:sz="4" w:space="0" w:color="auto"/>
            </w:tcBorders>
            <w:hideMark/>
          </w:tcPr>
          <w:p w14:paraId="53AAAF3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 (20,0% ); 6,7% – 44,5%</w:t>
            </w:r>
          </w:p>
        </w:tc>
        <w:tc>
          <w:tcPr>
            <w:tcW w:w="2125" w:type="dxa"/>
            <w:tcBorders>
              <w:top w:val="single" w:sz="4" w:space="0" w:color="auto"/>
              <w:left w:val="single" w:sz="4" w:space="0" w:color="auto"/>
              <w:bottom w:val="single" w:sz="4" w:space="0" w:color="auto"/>
              <w:right w:val="single" w:sz="4" w:space="0" w:color="auto"/>
            </w:tcBorders>
            <w:hideMark/>
          </w:tcPr>
          <w:p w14:paraId="560FE74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6 (60,0% ); 34,8% – 81,3%</w:t>
            </w:r>
          </w:p>
        </w:tc>
        <w:tc>
          <w:tcPr>
            <w:tcW w:w="2149" w:type="dxa"/>
            <w:tcBorders>
              <w:top w:val="single" w:sz="4" w:space="0" w:color="auto"/>
              <w:left w:val="single" w:sz="4" w:space="0" w:color="auto"/>
              <w:bottom w:val="single" w:sz="4" w:space="0" w:color="auto"/>
              <w:right w:val="single" w:sz="4" w:space="0" w:color="auto"/>
            </w:tcBorders>
            <w:hideMark/>
          </w:tcPr>
          <w:p w14:paraId="3B279D8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2 (20,0%) </w:t>
            </w:r>
            <w:r w:rsidRPr="00520861">
              <w:rPr>
                <w:color w:val="000000"/>
                <w:sz w:val="28"/>
                <w:szCs w:val="28"/>
              </w:rPr>
              <w:t>†</w:t>
            </w:r>
            <w:r w:rsidRPr="00520861">
              <w:rPr>
                <w:rFonts w:eastAsia="Calibri"/>
                <w:sz w:val="28"/>
                <w:szCs w:val="28"/>
              </w:rPr>
              <w:t>; 6,7% – 44,5%</w:t>
            </w:r>
          </w:p>
        </w:tc>
      </w:tr>
      <w:tr w:rsidR="00CF641C" w:rsidRPr="00520861" w14:paraId="60386DFC" w14:textId="77777777" w:rsidTr="00292D2E">
        <w:trPr>
          <w:jc w:val="center"/>
        </w:trPr>
        <w:tc>
          <w:tcPr>
            <w:tcW w:w="1370" w:type="dxa"/>
            <w:tcBorders>
              <w:top w:val="single" w:sz="4" w:space="0" w:color="auto"/>
              <w:left w:val="single" w:sz="4" w:space="0" w:color="auto"/>
              <w:bottom w:val="single" w:sz="4" w:space="0" w:color="auto"/>
              <w:right w:val="single" w:sz="4" w:space="0" w:color="auto"/>
            </w:tcBorders>
            <w:hideMark/>
          </w:tcPr>
          <w:p w14:paraId="0D00F07C"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w:t>
            </w:r>
          </w:p>
        </w:tc>
        <w:tc>
          <w:tcPr>
            <w:tcW w:w="2197" w:type="dxa"/>
            <w:tcBorders>
              <w:top w:val="single" w:sz="4" w:space="0" w:color="auto"/>
              <w:left w:val="single" w:sz="4" w:space="0" w:color="auto"/>
              <w:bottom w:val="single" w:sz="4" w:space="0" w:color="auto"/>
              <w:right w:val="single" w:sz="4" w:space="0" w:color="auto"/>
            </w:tcBorders>
            <w:hideMark/>
          </w:tcPr>
          <w:p w14:paraId="7816813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1 (14,3%); </w:t>
            </w:r>
          </w:p>
          <w:p w14:paraId="1267EF5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3,7% – 41,0%</w:t>
            </w:r>
          </w:p>
        </w:tc>
        <w:tc>
          <w:tcPr>
            <w:tcW w:w="2126" w:type="dxa"/>
            <w:gridSpan w:val="2"/>
            <w:tcBorders>
              <w:top w:val="single" w:sz="4" w:space="0" w:color="auto"/>
              <w:left w:val="single" w:sz="4" w:space="0" w:color="auto"/>
              <w:bottom w:val="single" w:sz="4" w:space="0" w:color="auto"/>
              <w:right w:val="single" w:sz="4" w:space="0" w:color="auto"/>
            </w:tcBorders>
            <w:hideMark/>
          </w:tcPr>
          <w:p w14:paraId="3856178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 (42,9%); 18,4% – 71,0%</w:t>
            </w:r>
          </w:p>
        </w:tc>
        <w:tc>
          <w:tcPr>
            <w:tcW w:w="2125" w:type="dxa"/>
            <w:tcBorders>
              <w:top w:val="single" w:sz="4" w:space="0" w:color="auto"/>
              <w:left w:val="single" w:sz="4" w:space="0" w:color="auto"/>
              <w:bottom w:val="single" w:sz="4" w:space="0" w:color="auto"/>
              <w:right w:val="single" w:sz="4" w:space="0" w:color="auto"/>
            </w:tcBorders>
            <w:hideMark/>
          </w:tcPr>
          <w:p w14:paraId="59D25D7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 (42,9%); 18,4% – 71,0%</w:t>
            </w:r>
          </w:p>
        </w:tc>
        <w:tc>
          <w:tcPr>
            <w:tcW w:w="2149" w:type="dxa"/>
            <w:tcBorders>
              <w:top w:val="single" w:sz="4" w:space="0" w:color="auto"/>
              <w:left w:val="single" w:sz="4" w:space="0" w:color="auto"/>
              <w:bottom w:val="single" w:sz="4" w:space="0" w:color="auto"/>
              <w:right w:val="single" w:sz="4" w:space="0" w:color="auto"/>
            </w:tcBorders>
            <w:hideMark/>
          </w:tcPr>
          <w:p w14:paraId="765908A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 (0,0% );</w:t>
            </w:r>
          </w:p>
          <w:p w14:paraId="50AEE29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 0,4% – 41,0%</w:t>
            </w:r>
          </w:p>
        </w:tc>
      </w:tr>
    </w:tbl>
    <w:p w14:paraId="6FE04B4A"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Примітка: † </w:t>
      </w:r>
      <w:r w:rsidRPr="00520861">
        <w:rPr>
          <w:rFonts w:eastAsia="Calibri"/>
          <w:sz w:val="28"/>
          <w:szCs w:val="28"/>
          <w:lang w:eastAsia="en-US"/>
        </w:rPr>
        <w:t>–</w:t>
      </w:r>
      <w:r w:rsidRPr="00520861">
        <w:rPr>
          <w:sz w:val="28"/>
          <w:szCs w:val="28"/>
        </w:rPr>
        <w:t xml:space="preserve"> вірогідно відрізняється від ГП для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sz w:val="28"/>
          <w:szCs w:val="28"/>
        </w:rPr>
        <w:t>.</w:t>
      </w:r>
    </w:p>
    <w:p w14:paraId="0AB5418F" w14:textId="77777777" w:rsidR="00CF641C" w:rsidRPr="00520861" w:rsidRDefault="00CF641C"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lastRenderedPageBreak/>
        <w:t xml:space="preserve">Слід зазначити, що в 32 (47,1% ДІ: 36,2% </w:t>
      </w:r>
      <w:r w:rsidRPr="00520861">
        <w:rPr>
          <w:rFonts w:eastAsia="Calibri"/>
          <w:sz w:val="28"/>
          <w:szCs w:val="28"/>
          <w:lang w:eastAsia="en-US"/>
        </w:rPr>
        <w:t>–</w:t>
      </w:r>
      <w:r w:rsidRPr="00520861">
        <w:rPr>
          <w:rFonts w:eastAsiaTheme="minorHAnsi"/>
          <w:sz w:val="28"/>
          <w:szCs w:val="28"/>
          <w:lang w:eastAsia="en-US"/>
        </w:rPr>
        <w:t xml:space="preserve"> 58,1%) ДГВ ОГ та у 8 (9,6% ДІ: 5,1%</w:t>
      </w:r>
      <w:r w:rsidRPr="00520861">
        <w:rPr>
          <w:rFonts w:eastAsia="Calibri"/>
          <w:sz w:val="28"/>
          <w:szCs w:val="28"/>
          <w:lang w:eastAsia="en-US"/>
        </w:rPr>
        <w:t>–</w:t>
      </w:r>
      <w:r w:rsidRPr="00520861">
        <w:rPr>
          <w:rFonts w:eastAsiaTheme="minorHAnsi"/>
          <w:sz w:val="28"/>
          <w:szCs w:val="28"/>
          <w:lang w:eastAsia="en-US"/>
        </w:rPr>
        <w:t xml:space="preserve"> 16,6%) ГП хоча б один із батьків мав при народженні масо-ростові параметри, які відповідали </w:t>
      </w:r>
      <w:proofErr w:type="spellStart"/>
      <w:r w:rsidRPr="00520861">
        <w:rPr>
          <w:rFonts w:eastAsiaTheme="minorHAnsi"/>
          <w:sz w:val="28"/>
          <w:szCs w:val="28"/>
          <w:lang w:eastAsia="en-US"/>
        </w:rPr>
        <w:t>макросомії</w:t>
      </w:r>
      <w:proofErr w:type="spellEnd"/>
      <w:r w:rsidRPr="00520861">
        <w:rPr>
          <w:rFonts w:eastAsiaTheme="minorHAnsi"/>
          <w:sz w:val="28"/>
          <w:szCs w:val="28"/>
          <w:lang w:eastAsia="en-US"/>
        </w:rPr>
        <w:t xml:space="preserve">. Вісімнадцять (48,6% ДІ: 34,4% </w:t>
      </w:r>
      <w:r w:rsidRPr="00520861">
        <w:rPr>
          <w:rFonts w:eastAsia="Calibri"/>
          <w:sz w:val="28"/>
          <w:szCs w:val="28"/>
          <w:lang w:eastAsia="en-US"/>
        </w:rPr>
        <w:t>–</w:t>
      </w:r>
      <w:r w:rsidRPr="00520861">
        <w:rPr>
          <w:rFonts w:eastAsiaTheme="minorHAnsi"/>
          <w:sz w:val="28"/>
          <w:szCs w:val="28"/>
          <w:lang w:eastAsia="en-US"/>
        </w:rPr>
        <w:t xml:space="preserve"> 63,1%) ДГВ у підгрупі 1 мали батьків </w:t>
      </w:r>
      <w:r w:rsidRPr="00520861">
        <w:rPr>
          <w:rFonts w:eastAsia="Calibri"/>
          <w:sz w:val="28"/>
          <w:szCs w:val="28"/>
          <w:lang w:eastAsia="en-US"/>
        </w:rPr>
        <w:t xml:space="preserve">–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при народженні, у підгрупі 2 таких було 6 (42,9% ДІ: 23,0% </w:t>
      </w:r>
      <w:r w:rsidRPr="00520861">
        <w:rPr>
          <w:rFonts w:eastAsia="Calibri"/>
          <w:sz w:val="28"/>
          <w:szCs w:val="28"/>
          <w:lang w:eastAsia="en-US"/>
        </w:rPr>
        <w:t xml:space="preserve">– </w:t>
      </w:r>
      <w:r w:rsidRPr="00520861">
        <w:rPr>
          <w:rFonts w:eastAsiaTheme="minorHAnsi"/>
          <w:sz w:val="28"/>
          <w:szCs w:val="28"/>
          <w:lang w:eastAsia="en-US"/>
        </w:rPr>
        <w:t xml:space="preserve">64,9 %), у підгрупі 3 </w:t>
      </w:r>
      <w:r w:rsidRPr="00520861">
        <w:rPr>
          <w:rFonts w:eastAsia="Calibri"/>
          <w:sz w:val="28"/>
          <w:szCs w:val="28"/>
          <w:lang w:eastAsia="en-US"/>
        </w:rPr>
        <w:t xml:space="preserve">– також </w:t>
      </w:r>
      <w:r w:rsidRPr="00520861">
        <w:rPr>
          <w:rFonts w:eastAsiaTheme="minorHAnsi"/>
          <w:sz w:val="28"/>
          <w:szCs w:val="28"/>
          <w:lang w:eastAsia="en-US"/>
        </w:rPr>
        <w:t xml:space="preserve">6 (60,0% ДІ: 34,8% </w:t>
      </w:r>
      <w:r w:rsidRPr="00520861">
        <w:rPr>
          <w:rFonts w:eastAsia="Calibri"/>
          <w:sz w:val="28"/>
          <w:szCs w:val="28"/>
          <w:lang w:eastAsia="en-US"/>
        </w:rPr>
        <w:t>–</w:t>
      </w:r>
      <w:r w:rsidRPr="00520861">
        <w:rPr>
          <w:rFonts w:eastAsiaTheme="minorHAnsi"/>
          <w:sz w:val="28"/>
          <w:szCs w:val="28"/>
          <w:lang w:eastAsia="en-US"/>
        </w:rPr>
        <w:t xml:space="preserve"> 81,3%) дітей, а у підгрупі 4 батьки новонароджених-</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самі були народжені 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у 2 (28,6% ДІ: 9,9% </w:t>
      </w:r>
      <w:r w:rsidRPr="00520861">
        <w:rPr>
          <w:rFonts w:eastAsia="Calibri"/>
          <w:sz w:val="28"/>
          <w:szCs w:val="28"/>
          <w:lang w:eastAsia="en-US"/>
        </w:rPr>
        <w:t>–</w:t>
      </w:r>
      <w:r w:rsidRPr="00520861">
        <w:rPr>
          <w:rFonts w:eastAsiaTheme="minorHAnsi"/>
          <w:sz w:val="28"/>
          <w:szCs w:val="28"/>
          <w:lang w:eastAsia="en-US"/>
        </w:rPr>
        <w:t xml:space="preserve"> 57,9%) випадках. </w:t>
      </w:r>
    </w:p>
    <w:p w14:paraId="66A0BF2C" w14:textId="77777777" w:rsidR="00CF641C" w:rsidRPr="00520861" w:rsidRDefault="00CF641C"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Аналіз результатів тестування (табл. 4.8 та табл. Б.1.13) виявив, що за шкалою 1 набрані учасниками ОГ бали вірогідно</w:t>
      </w:r>
      <w:r w:rsidRPr="00520861">
        <w:rPr>
          <w:rFonts w:eastAsia="Calibri"/>
          <w:sz w:val="28"/>
          <w:szCs w:val="28"/>
          <w:lang w:eastAsia="en-US"/>
        </w:rPr>
        <w:t xml:space="preserve"> відрізнялися від </w:t>
      </w:r>
      <w:r w:rsidRPr="00520861">
        <w:rPr>
          <w:rFonts w:eastAsiaTheme="minorHAnsi"/>
          <w:sz w:val="28"/>
          <w:szCs w:val="28"/>
          <w:lang w:eastAsia="en-US"/>
        </w:rPr>
        <w:t>балів учасників ГП.</w:t>
      </w:r>
      <w:r w:rsidRPr="00520861">
        <w:rPr>
          <w:rFonts w:eastAsiaTheme="minorHAnsi"/>
          <w:i/>
          <w:sz w:val="28"/>
          <w:szCs w:val="28"/>
          <w:lang w:eastAsia="en-US"/>
        </w:rPr>
        <w:t xml:space="preserve"> </w:t>
      </w:r>
      <w:r w:rsidRPr="00520861">
        <w:rPr>
          <w:rFonts w:eastAsiaTheme="minorHAnsi"/>
          <w:sz w:val="28"/>
          <w:szCs w:val="28"/>
          <w:lang w:eastAsia="en-US"/>
        </w:rPr>
        <w:t xml:space="preserve">При аналізі відмінностей по підгрупах виявлено, що «переважання» скарг досягнуте саме за рахунок відповідей тих батьків, які самі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w:t>
      </w:r>
    </w:p>
    <w:p w14:paraId="3FD2EBFA" w14:textId="77777777" w:rsidR="00CF641C" w:rsidRPr="00520861" w:rsidRDefault="00CF641C"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Зокрема, вірогідно відрізнялися наступні відповіді: указали, що </w:t>
      </w:r>
      <w:r w:rsidRPr="00520861">
        <w:rPr>
          <w:rFonts w:eastAsia="Calibri"/>
          <w:spacing w:val="-4"/>
          <w:sz w:val="28"/>
          <w:szCs w:val="28"/>
          <w:lang w:eastAsia="en-US"/>
        </w:rPr>
        <w:t xml:space="preserve">батько новонародженого мав затримку термінів прорізування тимчасових або постійних зубів, </w:t>
      </w:r>
      <w:r w:rsidRPr="00520861">
        <w:rPr>
          <w:rFonts w:eastAsiaTheme="minorHAnsi"/>
          <w:sz w:val="28"/>
          <w:szCs w:val="28"/>
          <w:lang w:eastAsia="en-US"/>
        </w:rPr>
        <w:t>2 особи підгрупі 3 (20,0% ДІ: 6,7%</w:t>
      </w:r>
      <w:r w:rsidRPr="00520861">
        <w:rPr>
          <w:rFonts w:eastAsia="Calibri"/>
          <w:spacing w:val="-4"/>
          <w:sz w:val="28"/>
          <w:szCs w:val="28"/>
          <w:lang w:eastAsia="en-US"/>
        </w:rPr>
        <w:t xml:space="preserve"> – </w:t>
      </w:r>
      <w:r w:rsidRPr="00520861">
        <w:rPr>
          <w:rFonts w:eastAsiaTheme="minorHAnsi"/>
          <w:sz w:val="28"/>
          <w:szCs w:val="28"/>
          <w:lang w:eastAsia="en-US"/>
        </w:rPr>
        <w:t>44,5%) проти 2 осіб ГП (2,4% ДІ: 0,8%</w:t>
      </w:r>
      <w:r w:rsidRPr="00520861">
        <w:rPr>
          <w:rFonts w:eastAsia="Calibri"/>
          <w:spacing w:val="-4"/>
          <w:sz w:val="28"/>
          <w:szCs w:val="28"/>
          <w:lang w:eastAsia="en-US"/>
        </w:rPr>
        <w:t xml:space="preserve"> – </w:t>
      </w:r>
      <w:r w:rsidRPr="00520861">
        <w:rPr>
          <w:rFonts w:eastAsiaTheme="minorHAnsi"/>
          <w:sz w:val="28"/>
          <w:szCs w:val="28"/>
          <w:lang w:eastAsia="en-US"/>
        </w:rPr>
        <w:t>6,5%). Те, щ</w:t>
      </w:r>
      <w:r w:rsidRPr="00520861">
        <w:rPr>
          <w:rFonts w:eastAsia="Calibri"/>
          <w:spacing w:val="-4"/>
          <w:sz w:val="28"/>
          <w:szCs w:val="28"/>
          <w:lang w:eastAsia="en-US"/>
        </w:rPr>
        <w:t>о сумарна кількість каріозних, пломбованих і видалених зубів (індекс КПВ) у батька новонародженого перевищує 13 одиниць,</w:t>
      </w:r>
      <w:r w:rsidRPr="00520861">
        <w:rPr>
          <w:rFonts w:eastAsiaTheme="minorHAnsi"/>
          <w:sz w:val="28"/>
          <w:szCs w:val="28"/>
          <w:lang w:eastAsia="en-US"/>
        </w:rPr>
        <w:t xml:space="preserve"> зазначили 27 осіб ОГ (39,7% ДІ: 29,4% </w:t>
      </w:r>
      <w:r w:rsidRPr="00520861">
        <w:rPr>
          <w:rFonts w:eastAsia="Calibri"/>
          <w:sz w:val="28"/>
          <w:szCs w:val="28"/>
          <w:lang w:eastAsia="en-US"/>
        </w:rPr>
        <w:t>–</w:t>
      </w:r>
      <w:r w:rsidRPr="00520861">
        <w:rPr>
          <w:rFonts w:eastAsiaTheme="minorHAnsi"/>
          <w:sz w:val="28"/>
          <w:szCs w:val="28"/>
          <w:lang w:eastAsia="en-US"/>
        </w:rPr>
        <w:t xml:space="preserve"> 50,8%) та 7 осіб у підгрупі 2 (50,0% ДІ: 28,9% </w:t>
      </w:r>
      <w:r w:rsidRPr="00520861">
        <w:rPr>
          <w:rFonts w:eastAsia="Calibri"/>
          <w:sz w:val="28"/>
          <w:szCs w:val="28"/>
          <w:lang w:eastAsia="en-US"/>
        </w:rPr>
        <w:t>–</w:t>
      </w:r>
      <w:r w:rsidRPr="00520861">
        <w:rPr>
          <w:rFonts w:eastAsiaTheme="minorHAnsi"/>
          <w:sz w:val="28"/>
          <w:szCs w:val="28"/>
          <w:lang w:eastAsia="en-US"/>
        </w:rPr>
        <w:t xml:space="preserve"> 71,1%) проти 15 осіб у ГП (18,1% ДІ: </w:t>
      </w:r>
      <w:r w:rsidRPr="00520861">
        <w:rPr>
          <w:rFonts w:eastAsiaTheme="minorHAnsi"/>
          <w:sz w:val="28"/>
          <w:szCs w:val="28"/>
          <w:lang w:eastAsia="en-US"/>
        </w:rPr>
        <w:br/>
        <w:t>11,4% </w:t>
      </w:r>
      <w:r w:rsidRPr="00520861">
        <w:rPr>
          <w:rFonts w:eastAsia="Calibri"/>
          <w:sz w:val="28"/>
          <w:szCs w:val="28"/>
          <w:lang w:eastAsia="en-US"/>
        </w:rPr>
        <w:t>–</w:t>
      </w:r>
      <w:r w:rsidRPr="00520861">
        <w:rPr>
          <w:rFonts w:eastAsiaTheme="minorHAnsi"/>
          <w:sz w:val="28"/>
          <w:szCs w:val="28"/>
          <w:lang w:eastAsia="en-US"/>
        </w:rPr>
        <w:t xml:space="preserve"> 26,7%). </w:t>
      </w:r>
    </w:p>
    <w:p w14:paraId="19B3AC5D" w14:textId="77777777" w:rsidR="00CF641C" w:rsidRPr="00520861" w:rsidRDefault="00CF641C" w:rsidP="00292D2E">
      <w:pPr>
        <w:widowControl w:val="0"/>
        <w:spacing w:line="360" w:lineRule="auto"/>
        <w:ind w:firstLine="708"/>
        <w:jc w:val="both"/>
        <w:rPr>
          <w:rFonts w:eastAsiaTheme="minorHAnsi"/>
          <w:spacing w:val="-6"/>
          <w:sz w:val="28"/>
          <w:szCs w:val="28"/>
          <w:lang w:eastAsia="en-US"/>
        </w:rPr>
      </w:pPr>
      <w:r w:rsidRPr="00520861">
        <w:rPr>
          <w:rFonts w:eastAsiaTheme="minorHAnsi"/>
          <w:sz w:val="28"/>
          <w:szCs w:val="28"/>
          <w:lang w:eastAsia="en-US"/>
        </w:rPr>
        <w:t xml:space="preserve">За шкалою 2 та за </w:t>
      </w:r>
      <w:r w:rsidRPr="00520861">
        <w:rPr>
          <w:rFonts w:eastAsiaTheme="minorHAnsi"/>
          <w:spacing w:val="-6"/>
          <w:sz w:val="28"/>
          <w:szCs w:val="28"/>
          <w:lang w:eastAsia="en-US"/>
        </w:rPr>
        <w:t xml:space="preserve">шкалою 3 </w:t>
      </w:r>
      <w:r w:rsidRPr="00520861">
        <w:rPr>
          <w:rFonts w:eastAsiaTheme="minorHAnsi"/>
          <w:sz w:val="28"/>
          <w:szCs w:val="28"/>
          <w:lang w:eastAsia="en-US"/>
        </w:rPr>
        <w:t>вірогідної різниці між балами, набраними учасниками ОГ та ГП, не спостерігалося (табл. 4.8 та табл. Б.1.13).</w:t>
      </w:r>
      <w:r w:rsidRPr="00520861">
        <w:rPr>
          <w:rFonts w:eastAsiaTheme="minorHAnsi"/>
          <w:spacing w:val="-6"/>
          <w:sz w:val="28"/>
          <w:szCs w:val="28"/>
          <w:lang w:eastAsia="en-US"/>
        </w:rPr>
        <w:t xml:space="preserve"> </w:t>
      </w:r>
    </w:p>
    <w:p w14:paraId="1CE83DC2" w14:textId="77777777" w:rsidR="00CF641C" w:rsidRPr="00520861" w:rsidRDefault="00CF641C" w:rsidP="00292D2E">
      <w:pPr>
        <w:widowControl w:val="0"/>
        <w:spacing w:line="360" w:lineRule="auto"/>
        <w:ind w:firstLine="709"/>
        <w:jc w:val="both"/>
        <w:rPr>
          <w:rFonts w:eastAsiaTheme="minorHAnsi"/>
          <w:spacing w:val="-6"/>
          <w:sz w:val="28"/>
          <w:szCs w:val="28"/>
          <w:lang w:eastAsia="en-US"/>
        </w:rPr>
      </w:pPr>
      <w:r w:rsidRPr="00520861">
        <w:rPr>
          <w:rFonts w:eastAsiaTheme="minorHAnsi"/>
          <w:sz w:val="28"/>
          <w:szCs w:val="28"/>
          <w:lang w:eastAsia="en-US"/>
        </w:rPr>
        <w:t>Шкала 4 включає такий набір запитань, які мають на меті виявити</w:t>
      </w:r>
      <w:r w:rsidRPr="00520861">
        <w:rPr>
          <w:rFonts w:eastAsia="Calibri"/>
          <w:sz w:val="28"/>
          <w:szCs w:val="28"/>
          <w:lang w:eastAsia="en-US"/>
        </w:rPr>
        <w:t xml:space="preserve"> фактори родинно-спадкової схильності дитини</w:t>
      </w:r>
      <w:r w:rsidRPr="00520861">
        <w:rPr>
          <w:rFonts w:eastAsiaTheme="minorHAnsi"/>
          <w:sz w:val="28"/>
          <w:szCs w:val="28"/>
          <w:lang w:eastAsia="en-US"/>
        </w:rPr>
        <w:t xml:space="preserve"> </w:t>
      </w:r>
      <w:r w:rsidRPr="00520861">
        <w:rPr>
          <w:rFonts w:eastAsia="Calibri"/>
          <w:sz w:val="28"/>
          <w:szCs w:val="28"/>
          <w:lang w:eastAsia="en-US"/>
        </w:rPr>
        <w:t xml:space="preserve">до </w:t>
      </w:r>
      <w:proofErr w:type="spellStart"/>
      <w:r w:rsidRPr="00520861">
        <w:rPr>
          <w:rFonts w:eastAsia="Calibri"/>
          <w:sz w:val="28"/>
          <w:szCs w:val="28"/>
          <w:lang w:eastAsia="en-US"/>
        </w:rPr>
        <w:t>макросомії</w:t>
      </w:r>
      <w:proofErr w:type="spellEnd"/>
      <w:r w:rsidRPr="00520861">
        <w:rPr>
          <w:rFonts w:eastAsiaTheme="minorHAnsi"/>
          <w:sz w:val="28"/>
          <w:szCs w:val="28"/>
          <w:lang w:eastAsia="en-US"/>
        </w:rPr>
        <w:t xml:space="preserve">. Виявлена вірогідна різниця між кількістю балів у ГП та в ОГ (табл. 4.8 та табл. Б.1.13). Аналіз по підгрупах виявив вірогідно більшу кількість балів в осіб підгрупи 1 та підгрупи 3 – саме в цих підгрупах </w:t>
      </w:r>
      <w:r w:rsidRPr="00520861">
        <w:rPr>
          <w:rFonts w:eastAsiaTheme="minorHAnsi"/>
          <w:spacing w:val="-6"/>
          <w:sz w:val="28"/>
          <w:szCs w:val="28"/>
          <w:lang w:eastAsia="en-US"/>
        </w:rPr>
        <w:t xml:space="preserve">було зафіксовано більшу процентну кількість батьків, які народилися </w:t>
      </w:r>
      <w:proofErr w:type="spellStart"/>
      <w:r w:rsidRPr="00520861">
        <w:rPr>
          <w:rFonts w:eastAsiaTheme="minorHAnsi"/>
          <w:spacing w:val="-6"/>
          <w:sz w:val="28"/>
          <w:szCs w:val="28"/>
          <w:lang w:eastAsia="en-US"/>
        </w:rPr>
        <w:t>макросомами</w:t>
      </w:r>
      <w:proofErr w:type="spellEnd"/>
      <w:r w:rsidRPr="00520861">
        <w:rPr>
          <w:rFonts w:eastAsiaTheme="minorHAnsi"/>
          <w:spacing w:val="-6"/>
          <w:sz w:val="28"/>
          <w:szCs w:val="28"/>
          <w:lang w:eastAsia="en-US"/>
        </w:rPr>
        <w:t>.</w:t>
      </w:r>
    </w:p>
    <w:p w14:paraId="14960A61" w14:textId="77777777" w:rsidR="00CF641C" w:rsidRPr="00520861" w:rsidRDefault="00CF641C" w:rsidP="00292D2E">
      <w:pPr>
        <w:widowControl w:val="0"/>
        <w:spacing w:line="360" w:lineRule="auto"/>
        <w:ind w:firstLine="709"/>
        <w:jc w:val="both"/>
        <w:rPr>
          <w:rFonts w:eastAsiaTheme="minorHAnsi"/>
          <w:sz w:val="28"/>
          <w:szCs w:val="28"/>
          <w:lang w:eastAsia="en-US"/>
        </w:rPr>
        <w:sectPr w:rsidR="00CF641C" w:rsidRPr="00520861" w:rsidSect="00A94A27">
          <w:headerReference w:type="default" r:id="rId51"/>
          <w:pgSz w:w="11906" w:h="16838"/>
          <w:pgMar w:top="1134" w:right="624" w:bottom="1134" w:left="1134" w:header="709" w:footer="709" w:gutter="0"/>
          <w:pgNumType w:start="155"/>
          <w:cols w:space="708"/>
          <w:docGrid w:linePitch="360"/>
        </w:sectPr>
      </w:pPr>
      <w:r w:rsidRPr="00520861">
        <w:rPr>
          <w:rFonts w:eastAsiaTheme="minorHAnsi"/>
          <w:sz w:val="28"/>
          <w:szCs w:val="28"/>
          <w:lang w:eastAsia="en-US"/>
        </w:rPr>
        <w:t xml:space="preserve">Батьки дітей підгрупи 3 мають найвищу серед усіх учасників дослідження </w:t>
      </w:r>
      <w:r w:rsidRPr="00520861">
        <w:rPr>
          <w:rFonts w:eastAsiaTheme="minorHAnsi"/>
          <w:sz w:val="28"/>
          <w:szCs w:val="28"/>
          <w:lang w:eastAsia="en-US"/>
        </w:rPr>
        <w:br/>
        <w:t xml:space="preserve">процентну кількість випадків (ПКВ) великих антропометричних характеристик, а </w:t>
      </w:r>
      <w:r w:rsidR="005D6941" w:rsidRPr="00520861">
        <w:rPr>
          <w:rFonts w:eastAsiaTheme="minorHAnsi"/>
          <w:sz w:val="28"/>
          <w:szCs w:val="28"/>
          <w:lang w:eastAsia="en-US"/>
        </w:rPr>
        <w:br/>
      </w:r>
      <w:r w:rsidRPr="00520861">
        <w:rPr>
          <w:rFonts w:eastAsiaTheme="minorHAnsi"/>
          <w:sz w:val="28"/>
          <w:szCs w:val="28"/>
          <w:lang w:eastAsia="en-US"/>
        </w:rPr>
        <w:t>також ПКВ захворювань на діабет. Зокрема, вірогідно більшою була ПКВ діабету в матері новонародженого (табл. Б.1.13), який у підгрупі 3 мали 2 особи (20,0% ДІ: 6,7% – 44,5%) проти 2 осіб ГП (2,4% ДІ: 0,8% – 6,5%).</w:t>
      </w:r>
      <w:r w:rsidRPr="00520861">
        <w:rPr>
          <w:rFonts w:eastAsiaTheme="minorHAnsi"/>
          <w:i/>
          <w:sz w:val="28"/>
          <w:szCs w:val="28"/>
          <w:lang w:eastAsia="en-US"/>
        </w:rPr>
        <w:t xml:space="preserve"> </w:t>
      </w:r>
    </w:p>
    <w:p w14:paraId="5B18E8FA" w14:textId="77777777" w:rsidR="00CF641C" w:rsidRPr="00520861" w:rsidRDefault="00CF641C" w:rsidP="00292D2E">
      <w:pPr>
        <w:widowControl w:val="0"/>
        <w:spacing w:line="360" w:lineRule="auto"/>
        <w:jc w:val="right"/>
        <w:rPr>
          <w:rFonts w:eastAsiaTheme="minorHAnsi"/>
          <w:i/>
          <w:sz w:val="28"/>
          <w:szCs w:val="28"/>
          <w:lang w:eastAsia="en-US"/>
        </w:rPr>
      </w:pPr>
      <w:r w:rsidRPr="00520861">
        <w:rPr>
          <w:rFonts w:eastAsiaTheme="minorHAnsi"/>
          <w:i/>
          <w:sz w:val="28"/>
          <w:szCs w:val="28"/>
          <w:lang w:eastAsia="en-US"/>
        </w:rPr>
        <w:lastRenderedPageBreak/>
        <w:t>Таблиця 4.8</w:t>
      </w:r>
    </w:p>
    <w:p w14:paraId="65AEB26F" w14:textId="77777777" w:rsidR="00CF641C" w:rsidRPr="00520861" w:rsidRDefault="00CF641C" w:rsidP="00292D2E">
      <w:pPr>
        <w:widowControl w:val="0"/>
        <w:spacing w:line="360" w:lineRule="auto"/>
        <w:ind w:firstLine="708"/>
        <w:jc w:val="center"/>
        <w:rPr>
          <w:rFonts w:eastAsiaTheme="minorHAnsi"/>
          <w:b/>
          <w:sz w:val="28"/>
          <w:szCs w:val="28"/>
          <w:lang w:eastAsia="en-US"/>
        </w:rPr>
      </w:pPr>
      <w:r w:rsidRPr="00520861">
        <w:rPr>
          <w:rFonts w:eastAsiaTheme="minorHAnsi"/>
          <w:b/>
          <w:sz w:val="28"/>
          <w:szCs w:val="28"/>
          <w:lang w:eastAsia="en-US"/>
        </w:rPr>
        <w:t xml:space="preserve">Зведені бальні оцінки результатів тестування батьків ДГВ групи порівняння, основної групи та підгруп </w:t>
      </w:r>
      <w:r w:rsidRPr="00520861">
        <w:rPr>
          <w:rFonts w:eastAsiaTheme="minorHAnsi"/>
          <w:b/>
          <w:sz w:val="28"/>
          <w:szCs w:val="28"/>
          <w:lang w:eastAsia="en-US"/>
        </w:rPr>
        <w:br/>
        <w:t>у залежності від шкали опитувальника</w:t>
      </w:r>
    </w:p>
    <w:tbl>
      <w:tblPr>
        <w:tblStyle w:val="61"/>
        <w:tblW w:w="14346" w:type="dxa"/>
        <w:tblInd w:w="250" w:type="dxa"/>
        <w:tblLayout w:type="fixed"/>
        <w:tblLook w:val="04A0" w:firstRow="1" w:lastRow="0" w:firstColumn="1" w:lastColumn="0" w:noHBand="0" w:noVBand="1"/>
      </w:tblPr>
      <w:tblGrid>
        <w:gridCol w:w="1479"/>
        <w:gridCol w:w="1838"/>
        <w:gridCol w:w="1838"/>
        <w:gridCol w:w="1838"/>
        <w:gridCol w:w="1838"/>
        <w:gridCol w:w="1838"/>
        <w:gridCol w:w="1838"/>
        <w:gridCol w:w="1839"/>
      </w:tblGrid>
      <w:tr w:rsidR="00CF641C" w:rsidRPr="00520861" w14:paraId="06F9CF1A" w14:textId="77777777" w:rsidTr="00292D2E">
        <w:trPr>
          <w:trHeight w:val="300"/>
        </w:trPr>
        <w:tc>
          <w:tcPr>
            <w:tcW w:w="1479" w:type="dxa"/>
            <w:tcBorders>
              <w:top w:val="single" w:sz="4" w:space="0" w:color="auto"/>
              <w:left w:val="single" w:sz="4" w:space="0" w:color="auto"/>
              <w:bottom w:val="single" w:sz="4" w:space="0" w:color="auto"/>
              <w:right w:val="single" w:sz="4" w:space="0" w:color="auto"/>
            </w:tcBorders>
            <w:hideMark/>
          </w:tcPr>
          <w:p w14:paraId="7A003093" w14:textId="77777777" w:rsidR="00CF641C" w:rsidRPr="00520861" w:rsidRDefault="00CF641C" w:rsidP="00292D2E">
            <w:pPr>
              <w:widowControl w:val="0"/>
              <w:jc w:val="center"/>
              <w:rPr>
                <w:rFonts w:eastAsia="Calibri"/>
                <w:sz w:val="28"/>
                <w:szCs w:val="28"/>
              </w:rPr>
            </w:pPr>
            <w:r w:rsidRPr="00520861">
              <w:rPr>
                <w:rFonts w:eastAsia="Calibri"/>
                <w:sz w:val="28"/>
                <w:szCs w:val="28"/>
              </w:rPr>
              <w:t>Групи та підгрупи</w:t>
            </w:r>
          </w:p>
        </w:tc>
        <w:tc>
          <w:tcPr>
            <w:tcW w:w="1838" w:type="dxa"/>
            <w:tcBorders>
              <w:top w:val="single" w:sz="4" w:space="0" w:color="auto"/>
              <w:left w:val="single" w:sz="4" w:space="0" w:color="auto"/>
              <w:bottom w:val="single" w:sz="4" w:space="0" w:color="auto"/>
              <w:right w:val="single" w:sz="4" w:space="0" w:color="auto"/>
            </w:tcBorders>
            <w:noWrap/>
            <w:hideMark/>
          </w:tcPr>
          <w:p w14:paraId="745478F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Шкала </w:t>
            </w:r>
          </w:p>
          <w:p w14:paraId="67B104B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w:t>
            </w:r>
          </w:p>
        </w:tc>
        <w:tc>
          <w:tcPr>
            <w:tcW w:w="1838" w:type="dxa"/>
            <w:tcBorders>
              <w:top w:val="single" w:sz="4" w:space="0" w:color="auto"/>
              <w:left w:val="single" w:sz="4" w:space="0" w:color="auto"/>
              <w:bottom w:val="single" w:sz="4" w:space="0" w:color="auto"/>
              <w:right w:val="single" w:sz="4" w:space="0" w:color="auto"/>
            </w:tcBorders>
            <w:noWrap/>
            <w:hideMark/>
          </w:tcPr>
          <w:p w14:paraId="0D0F368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Шкала </w:t>
            </w:r>
          </w:p>
          <w:p w14:paraId="1BAC970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w:t>
            </w:r>
          </w:p>
        </w:tc>
        <w:tc>
          <w:tcPr>
            <w:tcW w:w="1838" w:type="dxa"/>
            <w:tcBorders>
              <w:top w:val="single" w:sz="4" w:space="0" w:color="auto"/>
              <w:left w:val="single" w:sz="4" w:space="0" w:color="auto"/>
              <w:bottom w:val="single" w:sz="4" w:space="0" w:color="auto"/>
              <w:right w:val="single" w:sz="4" w:space="0" w:color="auto"/>
            </w:tcBorders>
            <w:noWrap/>
            <w:hideMark/>
          </w:tcPr>
          <w:p w14:paraId="472B2FF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Шкала </w:t>
            </w:r>
          </w:p>
          <w:p w14:paraId="5EDC5F6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w:t>
            </w:r>
          </w:p>
        </w:tc>
        <w:tc>
          <w:tcPr>
            <w:tcW w:w="1838" w:type="dxa"/>
            <w:tcBorders>
              <w:top w:val="single" w:sz="4" w:space="0" w:color="auto"/>
              <w:left w:val="single" w:sz="4" w:space="0" w:color="auto"/>
              <w:bottom w:val="single" w:sz="4" w:space="0" w:color="auto"/>
              <w:right w:val="single" w:sz="4" w:space="0" w:color="auto"/>
            </w:tcBorders>
            <w:noWrap/>
            <w:hideMark/>
          </w:tcPr>
          <w:p w14:paraId="4744437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Шкала </w:t>
            </w:r>
          </w:p>
          <w:p w14:paraId="20DBFDC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w:t>
            </w:r>
          </w:p>
        </w:tc>
        <w:tc>
          <w:tcPr>
            <w:tcW w:w="1838" w:type="dxa"/>
            <w:tcBorders>
              <w:top w:val="single" w:sz="4" w:space="0" w:color="auto"/>
              <w:left w:val="single" w:sz="4" w:space="0" w:color="auto"/>
              <w:bottom w:val="single" w:sz="4" w:space="0" w:color="auto"/>
              <w:right w:val="single" w:sz="4" w:space="0" w:color="auto"/>
            </w:tcBorders>
            <w:noWrap/>
            <w:hideMark/>
          </w:tcPr>
          <w:p w14:paraId="32A45A5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Шкала </w:t>
            </w:r>
          </w:p>
          <w:p w14:paraId="662AB6A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w:t>
            </w:r>
          </w:p>
        </w:tc>
        <w:tc>
          <w:tcPr>
            <w:tcW w:w="1838" w:type="dxa"/>
            <w:tcBorders>
              <w:top w:val="single" w:sz="4" w:space="0" w:color="auto"/>
              <w:left w:val="single" w:sz="4" w:space="0" w:color="auto"/>
              <w:bottom w:val="single" w:sz="4" w:space="0" w:color="auto"/>
              <w:right w:val="single" w:sz="4" w:space="0" w:color="auto"/>
            </w:tcBorders>
            <w:noWrap/>
            <w:hideMark/>
          </w:tcPr>
          <w:p w14:paraId="0FAD6EC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Шкала </w:t>
            </w:r>
          </w:p>
          <w:p w14:paraId="0B804AF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6</w:t>
            </w:r>
          </w:p>
        </w:tc>
        <w:tc>
          <w:tcPr>
            <w:tcW w:w="1839" w:type="dxa"/>
            <w:tcBorders>
              <w:top w:val="single" w:sz="4" w:space="0" w:color="auto"/>
              <w:left w:val="single" w:sz="4" w:space="0" w:color="auto"/>
              <w:bottom w:val="single" w:sz="4" w:space="0" w:color="auto"/>
              <w:right w:val="single" w:sz="4" w:space="0" w:color="auto"/>
            </w:tcBorders>
            <w:noWrap/>
            <w:hideMark/>
          </w:tcPr>
          <w:p w14:paraId="53C800A7"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Шкала </w:t>
            </w:r>
          </w:p>
          <w:p w14:paraId="3ACDDF3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7</w:t>
            </w:r>
          </w:p>
        </w:tc>
      </w:tr>
      <w:tr w:rsidR="00CF641C" w:rsidRPr="00520861" w14:paraId="07F6DD0E" w14:textId="77777777" w:rsidTr="00292D2E">
        <w:trPr>
          <w:trHeight w:val="300"/>
        </w:trPr>
        <w:tc>
          <w:tcPr>
            <w:tcW w:w="1479" w:type="dxa"/>
            <w:tcBorders>
              <w:top w:val="single" w:sz="4" w:space="0" w:color="auto"/>
              <w:left w:val="single" w:sz="4" w:space="0" w:color="auto"/>
              <w:bottom w:val="single" w:sz="4" w:space="0" w:color="auto"/>
              <w:right w:val="single" w:sz="4" w:space="0" w:color="auto"/>
            </w:tcBorders>
            <w:hideMark/>
          </w:tcPr>
          <w:p w14:paraId="388AC4CE" w14:textId="77777777" w:rsidR="00CF641C" w:rsidRPr="00520861" w:rsidRDefault="00CF641C" w:rsidP="00292D2E">
            <w:pPr>
              <w:widowControl w:val="0"/>
              <w:jc w:val="center"/>
              <w:rPr>
                <w:rFonts w:eastAsia="Calibri"/>
                <w:sz w:val="28"/>
                <w:szCs w:val="28"/>
              </w:rPr>
            </w:pPr>
            <w:r w:rsidRPr="00520861">
              <w:rPr>
                <w:rFonts w:eastAsia="Calibri"/>
                <w:sz w:val="28"/>
                <w:szCs w:val="28"/>
              </w:rPr>
              <w:t>ГП</w:t>
            </w:r>
          </w:p>
        </w:tc>
        <w:tc>
          <w:tcPr>
            <w:tcW w:w="1838" w:type="dxa"/>
            <w:tcBorders>
              <w:top w:val="single" w:sz="4" w:space="0" w:color="auto"/>
              <w:left w:val="single" w:sz="4" w:space="0" w:color="auto"/>
              <w:bottom w:val="single" w:sz="4" w:space="0" w:color="auto"/>
              <w:right w:val="single" w:sz="4" w:space="0" w:color="auto"/>
            </w:tcBorders>
            <w:noWrap/>
            <w:hideMark/>
          </w:tcPr>
          <w:p w14:paraId="3EACDAB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2,65±0,35</w:t>
            </w:r>
          </w:p>
        </w:tc>
        <w:tc>
          <w:tcPr>
            <w:tcW w:w="1838" w:type="dxa"/>
            <w:tcBorders>
              <w:top w:val="single" w:sz="4" w:space="0" w:color="auto"/>
              <w:left w:val="single" w:sz="4" w:space="0" w:color="auto"/>
              <w:bottom w:val="single" w:sz="4" w:space="0" w:color="auto"/>
              <w:right w:val="single" w:sz="4" w:space="0" w:color="auto"/>
            </w:tcBorders>
            <w:noWrap/>
            <w:hideMark/>
          </w:tcPr>
          <w:p w14:paraId="084E999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1,76±0,28</w:t>
            </w:r>
          </w:p>
        </w:tc>
        <w:tc>
          <w:tcPr>
            <w:tcW w:w="1838" w:type="dxa"/>
            <w:tcBorders>
              <w:top w:val="single" w:sz="4" w:space="0" w:color="auto"/>
              <w:left w:val="single" w:sz="4" w:space="0" w:color="auto"/>
              <w:bottom w:val="single" w:sz="4" w:space="0" w:color="auto"/>
              <w:right w:val="single" w:sz="4" w:space="0" w:color="auto"/>
            </w:tcBorders>
            <w:noWrap/>
            <w:hideMark/>
          </w:tcPr>
          <w:p w14:paraId="4A65D3F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3,80±0,49</w:t>
            </w:r>
          </w:p>
        </w:tc>
        <w:tc>
          <w:tcPr>
            <w:tcW w:w="1838" w:type="dxa"/>
            <w:tcBorders>
              <w:top w:val="single" w:sz="4" w:space="0" w:color="auto"/>
              <w:left w:val="single" w:sz="4" w:space="0" w:color="auto"/>
              <w:bottom w:val="single" w:sz="4" w:space="0" w:color="auto"/>
              <w:right w:val="single" w:sz="4" w:space="0" w:color="auto"/>
            </w:tcBorders>
            <w:noWrap/>
            <w:hideMark/>
          </w:tcPr>
          <w:p w14:paraId="3F80D25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0,93±0,22</w:t>
            </w:r>
          </w:p>
        </w:tc>
        <w:tc>
          <w:tcPr>
            <w:tcW w:w="1838" w:type="dxa"/>
            <w:tcBorders>
              <w:top w:val="single" w:sz="4" w:space="0" w:color="auto"/>
              <w:left w:val="single" w:sz="4" w:space="0" w:color="auto"/>
              <w:bottom w:val="single" w:sz="4" w:space="0" w:color="auto"/>
              <w:right w:val="single" w:sz="4" w:space="0" w:color="auto"/>
            </w:tcBorders>
            <w:noWrap/>
            <w:hideMark/>
          </w:tcPr>
          <w:p w14:paraId="4C113A6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1,35±0,23</w:t>
            </w:r>
          </w:p>
        </w:tc>
        <w:tc>
          <w:tcPr>
            <w:tcW w:w="1838" w:type="dxa"/>
            <w:tcBorders>
              <w:top w:val="single" w:sz="4" w:space="0" w:color="auto"/>
              <w:left w:val="single" w:sz="4" w:space="0" w:color="auto"/>
              <w:bottom w:val="single" w:sz="4" w:space="0" w:color="auto"/>
              <w:right w:val="single" w:sz="4" w:space="0" w:color="auto"/>
            </w:tcBorders>
            <w:noWrap/>
            <w:hideMark/>
          </w:tcPr>
          <w:p w14:paraId="4BF9639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3,94±0,41</w:t>
            </w:r>
          </w:p>
        </w:tc>
        <w:tc>
          <w:tcPr>
            <w:tcW w:w="1839" w:type="dxa"/>
            <w:tcBorders>
              <w:top w:val="single" w:sz="4" w:space="0" w:color="auto"/>
              <w:left w:val="single" w:sz="4" w:space="0" w:color="auto"/>
              <w:bottom w:val="single" w:sz="4" w:space="0" w:color="auto"/>
              <w:right w:val="single" w:sz="4" w:space="0" w:color="auto"/>
            </w:tcBorders>
            <w:noWrap/>
            <w:hideMark/>
          </w:tcPr>
          <w:p w14:paraId="396F901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4,59±0,48</w:t>
            </w:r>
          </w:p>
        </w:tc>
      </w:tr>
      <w:tr w:rsidR="00CF641C" w:rsidRPr="00520861" w14:paraId="1DB38C1A" w14:textId="77777777" w:rsidTr="00292D2E">
        <w:trPr>
          <w:trHeight w:val="300"/>
        </w:trPr>
        <w:tc>
          <w:tcPr>
            <w:tcW w:w="1479" w:type="dxa"/>
            <w:tcBorders>
              <w:top w:val="single" w:sz="4" w:space="0" w:color="auto"/>
              <w:left w:val="single" w:sz="4" w:space="0" w:color="auto"/>
              <w:bottom w:val="single" w:sz="4" w:space="0" w:color="auto"/>
              <w:right w:val="single" w:sz="4" w:space="0" w:color="auto"/>
            </w:tcBorders>
            <w:hideMark/>
          </w:tcPr>
          <w:p w14:paraId="248B25C0" w14:textId="77777777" w:rsidR="00CF641C" w:rsidRPr="00520861" w:rsidRDefault="00CF641C" w:rsidP="00292D2E">
            <w:pPr>
              <w:widowControl w:val="0"/>
              <w:contextualSpacing/>
              <w:jc w:val="center"/>
              <w:rPr>
                <w:rFonts w:eastAsia="Calibri"/>
                <w:sz w:val="28"/>
                <w:szCs w:val="28"/>
              </w:rPr>
            </w:pPr>
            <w:r w:rsidRPr="00520861">
              <w:rPr>
                <w:rFonts w:eastAsia="Calibri"/>
                <w:sz w:val="28"/>
                <w:szCs w:val="28"/>
              </w:rPr>
              <w:t>ОГ</w:t>
            </w:r>
          </w:p>
        </w:tc>
        <w:tc>
          <w:tcPr>
            <w:tcW w:w="1838" w:type="dxa"/>
            <w:tcBorders>
              <w:top w:val="single" w:sz="4" w:space="0" w:color="auto"/>
              <w:left w:val="single" w:sz="4" w:space="0" w:color="auto"/>
              <w:bottom w:val="single" w:sz="4" w:space="0" w:color="auto"/>
              <w:right w:val="single" w:sz="4" w:space="0" w:color="auto"/>
            </w:tcBorders>
            <w:noWrap/>
            <w:hideMark/>
          </w:tcPr>
          <w:p w14:paraId="0933EB0E" w14:textId="77777777" w:rsidR="00CF641C" w:rsidRPr="00520861" w:rsidRDefault="00CF641C" w:rsidP="00292D2E">
            <w:pPr>
              <w:widowControl w:val="0"/>
              <w:spacing w:line="360" w:lineRule="auto"/>
              <w:ind w:right="-47"/>
              <w:jc w:val="center"/>
              <w:rPr>
                <w:sz w:val="28"/>
                <w:szCs w:val="28"/>
              </w:rPr>
            </w:pPr>
            <w:r w:rsidRPr="00520861">
              <w:rPr>
                <w:sz w:val="28"/>
                <w:szCs w:val="28"/>
              </w:rPr>
              <w:t>3,50</w:t>
            </w:r>
            <w:r w:rsidRPr="00520861">
              <w:rPr>
                <w:rFonts w:eastAsia="Calibri"/>
                <w:sz w:val="28"/>
                <w:szCs w:val="28"/>
              </w:rPr>
              <w:t>±</w:t>
            </w:r>
            <w:r w:rsidRPr="00520861">
              <w:rPr>
                <w:sz w:val="28"/>
                <w:szCs w:val="28"/>
              </w:rPr>
              <w:t>0,36†</w:t>
            </w:r>
          </w:p>
        </w:tc>
        <w:tc>
          <w:tcPr>
            <w:tcW w:w="1838" w:type="dxa"/>
            <w:tcBorders>
              <w:top w:val="single" w:sz="4" w:space="0" w:color="auto"/>
              <w:left w:val="single" w:sz="4" w:space="0" w:color="auto"/>
              <w:bottom w:val="single" w:sz="4" w:space="0" w:color="auto"/>
              <w:right w:val="single" w:sz="4" w:space="0" w:color="auto"/>
            </w:tcBorders>
            <w:noWrap/>
            <w:hideMark/>
          </w:tcPr>
          <w:p w14:paraId="27CD2352" w14:textId="77777777" w:rsidR="00CF641C" w:rsidRPr="00520861" w:rsidRDefault="00CF641C" w:rsidP="00292D2E">
            <w:pPr>
              <w:widowControl w:val="0"/>
              <w:spacing w:line="360" w:lineRule="auto"/>
              <w:jc w:val="center"/>
              <w:rPr>
                <w:sz w:val="28"/>
                <w:szCs w:val="28"/>
              </w:rPr>
            </w:pPr>
            <w:r w:rsidRPr="00520861">
              <w:rPr>
                <w:sz w:val="28"/>
                <w:szCs w:val="28"/>
              </w:rPr>
              <w:t>2,38</w:t>
            </w:r>
            <w:r w:rsidRPr="00520861">
              <w:rPr>
                <w:rFonts w:eastAsia="Calibri"/>
                <w:sz w:val="28"/>
                <w:szCs w:val="28"/>
              </w:rPr>
              <w:t>±</w:t>
            </w:r>
            <w:r w:rsidRPr="00520861">
              <w:rPr>
                <w:sz w:val="28"/>
                <w:szCs w:val="28"/>
              </w:rPr>
              <w:t>0,37</w:t>
            </w:r>
          </w:p>
        </w:tc>
        <w:tc>
          <w:tcPr>
            <w:tcW w:w="1838" w:type="dxa"/>
            <w:tcBorders>
              <w:top w:val="single" w:sz="4" w:space="0" w:color="auto"/>
              <w:left w:val="single" w:sz="4" w:space="0" w:color="auto"/>
              <w:bottom w:val="single" w:sz="4" w:space="0" w:color="auto"/>
              <w:right w:val="single" w:sz="4" w:space="0" w:color="auto"/>
            </w:tcBorders>
            <w:noWrap/>
            <w:hideMark/>
          </w:tcPr>
          <w:p w14:paraId="03D0D337" w14:textId="77777777" w:rsidR="00CF641C" w:rsidRPr="00520861" w:rsidRDefault="00CF641C" w:rsidP="00292D2E">
            <w:pPr>
              <w:widowControl w:val="0"/>
              <w:spacing w:line="360" w:lineRule="auto"/>
              <w:jc w:val="center"/>
              <w:rPr>
                <w:sz w:val="28"/>
                <w:szCs w:val="28"/>
              </w:rPr>
            </w:pPr>
            <w:r w:rsidRPr="00520861">
              <w:rPr>
                <w:sz w:val="28"/>
                <w:szCs w:val="28"/>
              </w:rPr>
              <w:t>4,43</w:t>
            </w:r>
            <w:r w:rsidRPr="00520861">
              <w:rPr>
                <w:rFonts w:eastAsia="Calibri"/>
                <w:sz w:val="28"/>
                <w:szCs w:val="28"/>
              </w:rPr>
              <w:t>±</w:t>
            </w:r>
            <w:r w:rsidRPr="00520861">
              <w:rPr>
                <w:sz w:val="28"/>
                <w:szCs w:val="28"/>
              </w:rPr>
              <w:t>0,53</w:t>
            </w:r>
          </w:p>
        </w:tc>
        <w:tc>
          <w:tcPr>
            <w:tcW w:w="1838" w:type="dxa"/>
            <w:tcBorders>
              <w:top w:val="single" w:sz="4" w:space="0" w:color="auto"/>
              <w:left w:val="single" w:sz="4" w:space="0" w:color="auto"/>
              <w:bottom w:val="single" w:sz="4" w:space="0" w:color="auto"/>
              <w:right w:val="single" w:sz="4" w:space="0" w:color="auto"/>
            </w:tcBorders>
            <w:noWrap/>
            <w:hideMark/>
          </w:tcPr>
          <w:p w14:paraId="7D4390F6" w14:textId="77777777" w:rsidR="00CF641C" w:rsidRPr="00520861" w:rsidRDefault="00CF641C" w:rsidP="00292D2E">
            <w:pPr>
              <w:widowControl w:val="0"/>
              <w:spacing w:line="360" w:lineRule="auto"/>
              <w:ind w:right="-74"/>
              <w:jc w:val="center"/>
              <w:rPr>
                <w:sz w:val="28"/>
                <w:szCs w:val="28"/>
              </w:rPr>
            </w:pPr>
            <w:r w:rsidRPr="00520861">
              <w:rPr>
                <w:sz w:val="28"/>
                <w:szCs w:val="28"/>
              </w:rPr>
              <w:t>1,51</w:t>
            </w:r>
            <w:r w:rsidRPr="00520861">
              <w:rPr>
                <w:rFonts w:eastAsia="Calibri"/>
                <w:sz w:val="28"/>
                <w:szCs w:val="28"/>
              </w:rPr>
              <w:t>±</w:t>
            </w:r>
            <w:r w:rsidRPr="00520861">
              <w:rPr>
                <w:sz w:val="28"/>
                <w:szCs w:val="28"/>
              </w:rPr>
              <w:t>0,32</w:t>
            </w:r>
            <w:r w:rsidRPr="00520861">
              <w:rPr>
                <w:color w:val="000000"/>
                <w:sz w:val="28"/>
                <w:szCs w:val="28"/>
              </w:rPr>
              <w:t>†</w:t>
            </w:r>
          </w:p>
        </w:tc>
        <w:tc>
          <w:tcPr>
            <w:tcW w:w="1838" w:type="dxa"/>
            <w:tcBorders>
              <w:top w:val="single" w:sz="4" w:space="0" w:color="auto"/>
              <w:left w:val="single" w:sz="4" w:space="0" w:color="auto"/>
              <w:bottom w:val="single" w:sz="4" w:space="0" w:color="auto"/>
              <w:right w:val="single" w:sz="4" w:space="0" w:color="auto"/>
            </w:tcBorders>
            <w:noWrap/>
            <w:hideMark/>
          </w:tcPr>
          <w:p w14:paraId="241D1F1C" w14:textId="77777777" w:rsidR="00CF641C" w:rsidRPr="00520861" w:rsidRDefault="00CF641C" w:rsidP="00292D2E">
            <w:pPr>
              <w:widowControl w:val="0"/>
              <w:spacing w:line="360" w:lineRule="auto"/>
              <w:jc w:val="center"/>
              <w:rPr>
                <w:sz w:val="28"/>
                <w:szCs w:val="28"/>
              </w:rPr>
            </w:pPr>
            <w:r w:rsidRPr="00520861">
              <w:rPr>
                <w:sz w:val="28"/>
                <w:szCs w:val="28"/>
              </w:rPr>
              <w:t>1,71</w:t>
            </w:r>
            <w:r w:rsidRPr="00520861">
              <w:rPr>
                <w:rFonts w:eastAsia="Calibri"/>
                <w:sz w:val="28"/>
                <w:szCs w:val="28"/>
              </w:rPr>
              <w:t>±</w:t>
            </w:r>
            <w:r w:rsidRPr="00520861">
              <w:rPr>
                <w:sz w:val="28"/>
                <w:szCs w:val="28"/>
              </w:rPr>
              <w:t>0,34</w:t>
            </w:r>
          </w:p>
        </w:tc>
        <w:tc>
          <w:tcPr>
            <w:tcW w:w="1838" w:type="dxa"/>
            <w:tcBorders>
              <w:top w:val="single" w:sz="4" w:space="0" w:color="auto"/>
              <w:left w:val="single" w:sz="4" w:space="0" w:color="auto"/>
              <w:bottom w:val="single" w:sz="4" w:space="0" w:color="auto"/>
              <w:right w:val="single" w:sz="4" w:space="0" w:color="auto"/>
            </w:tcBorders>
            <w:noWrap/>
            <w:hideMark/>
          </w:tcPr>
          <w:p w14:paraId="0C3F44D3" w14:textId="77777777" w:rsidR="00CF641C" w:rsidRPr="00520861" w:rsidRDefault="00CF641C" w:rsidP="00292D2E">
            <w:pPr>
              <w:widowControl w:val="0"/>
              <w:spacing w:line="360" w:lineRule="auto"/>
              <w:jc w:val="center"/>
              <w:rPr>
                <w:sz w:val="28"/>
                <w:szCs w:val="28"/>
              </w:rPr>
            </w:pPr>
            <w:r w:rsidRPr="00520861">
              <w:rPr>
                <w:sz w:val="28"/>
                <w:szCs w:val="28"/>
              </w:rPr>
              <w:t>3,93</w:t>
            </w:r>
            <w:r w:rsidRPr="00520861">
              <w:rPr>
                <w:rFonts w:eastAsia="Calibri"/>
                <w:sz w:val="28"/>
                <w:szCs w:val="28"/>
              </w:rPr>
              <w:t>±</w:t>
            </w:r>
            <w:r w:rsidRPr="00520861">
              <w:rPr>
                <w:sz w:val="28"/>
                <w:szCs w:val="28"/>
              </w:rPr>
              <w:t>0,43</w:t>
            </w:r>
          </w:p>
        </w:tc>
        <w:tc>
          <w:tcPr>
            <w:tcW w:w="1839" w:type="dxa"/>
            <w:tcBorders>
              <w:top w:val="single" w:sz="4" w:space="0" w:color="auto"/>
              <w:left w:val="single" w:sz="4" w:space="0" w:color="auto"/>
              <w:bottom w:val="single" w:sz="4" w:space="0" w:color="auto"/>
              <w:right w:val="single" w:sz="4" w:space="0" w:color="auto"/>
            </w:tcBorders>
            <w:noWrap/>
            <w:hideMark/>
          </w:tcPr>
          <w:p w14:paraId="72400959" w14:textId="77777777" w:rsidR="00CF641C" w:rsidRPr="00520861" w:rsidRDefault="00CF641C" w:rsidP="00292D2E">
            <w:pPr>
              <w:widowControl w:val="0"/>
              <w:spacing w:line="360" w:lineRule="auto"/>
              <w:jc w:val="center"/>
              <w:rPr>
                <w:sz w:val="28"/>
                <w:szCs w:val="28"/>
              </w:rPr>
            </w:pPr>
            <w:r w:rsidRPr="00520861">
              <w:rPr>
                <w:sz w:val="28"/>
                <w:szCs w:val="28"/>
              </w:rPr>
              <w:t>5,37</w:t>
            </w:r>
            <w:r w:rsidRPr="00520861">
              <w:rPr>
                <w:rFonts w:eastAsia="Calibri"/>
                <w:sz w:val="28"/>
                <w:szCs w:val="28"/>
              </w:rPr>
              <w:t>±</w:t>
            </w:r>
            <w:r w:rsidRPr="00520861">
              <w:rPr>
                <w:sz w:val="28"/>
                <w:szCs w:val="28"/>
              </w:rPr>
              <w:t>0,47</w:t>
            </w:r>
          </w:p>
        </w:tc>
      </w:tr>
      <w:tr w:rsidR="00CF641C" w:rsidRPr="00520861" w14:paraId="123D3243" w14:textId="77777777" w:rsidTr="00292D2E">
        <w:trPr>
          <w:trHeight w:val="300"/>
        </w:trPr>
        <w:tc>
          <w:tcPr>
            <w:tcW w:w="1479" w:type="dxa"/>
            <w:tcBorders>
              <w:top w:val="single" w:sz="4" w:space="0" w:color="auto"/>
              <w:left w:val="single" w:sz="4" w:space="0" w:color="auto"/>
              <w:bottom w:val="single" w:sz="4" w:space="0" w:color="auto"/>
              <w:right w:val="single" w:sz="4" w:space="0" w:color="auto"/>
            </w:tcBorders>
          </w:tcPr>
          <w:p w14:paraId="0C128329" w14:textId="77777777" w:rsidR="00CF641C" w:rsidRPr="00520861" w:rsidRDefault="00CF641C" w:rsidP="00292D2E">
            <w:pPr>
              <w:widowControl w:val="0"/>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1838" w:type="dxa"/>
            <w:tcBorders>
              <w:top w:val="single" w:sz="4" w:space="0" w:color="auto"/>
              <w:left w:val="single" w:sz="4" w:space="0" w:color="auto"/>
              <w:bottom w:val="single" w:sz="4" w:space="0" w:color="auto"/>
              <w:right w:val="single" w:sz="4" w:space="0" w:color="auto"/>
            </w:tcBorders>
            <w:noWrap/>
            <w:hideMark/>
          </w:tcPr>
          <w:p w14:paraId="3D3E7AD6"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3,54*</w:t>
            </w:r>
          </w:p>
          <w:p w14:paraId="20FB2D66"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w:t>
            </w:r>
            <w:r w:rsidRPr="00520861">
              <w:rPr>
                <w:i/>
                <w:color w:val="000000"/>
                <w:sz w:val="28"/>
                <w:szCs w:val="28"/>
              </w:rPr>
              <w:t>p</w:t>
            </w:r>
            <w:r w:rsidRPr="00520861">
              <w:rPr>
                <w:color w:val="000000"/>
                <w:sz w:val="28"/>
                <w:szCs w:val="28"/>
              </w:rPr>
              <w:t>=0,0026)</w:t>
            </w:r>
          </w:p>
        </w:tc>
        <w:tc>
          <w:tcPr>
            <w:tcW w:w="1838" w:type="dxa"/>
            <w:tcBorders>
              <w:top w:val="single" w:sz="4" w:space="0" w:color="auto"/>
              <w:left w:val="single" w:sz="4" w:space="0" w:color="auto"/>
              <w:bottom w:val="single" w:sz="4" w:space="0" w:color="auto"/>
              <w:right w:val="single" w:sz="4" w:space="0" w:color="auto"/>
            </w:tcBorders>
            <w:noWrap/>
            <w:hideMark/>
          </w:tcPr>
          <w:p w14:paraId="5F096ABC"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2,59*</w:t>
            </w:r>
          </w:p>
          <w:p w14:paraId="07508F7C"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w:t>
            </w:r>
            <w:r w:rsidRPr="00520861">
              <w:rPr>
                <w:i/>
                <w:color w:val="000000"/>
                <w:sz w:val="28"/>
                <w:szCs w:val="28"/>
              </w:rPr>
              <w:t>p</w:t>
            </w:r>
            <w:r w:rsidRPr="00520861">
              <w:rPr>
                <w:color w:val="000000"/>
                <w:sz w:val="28"/>
                <w:szCs w:val="28"/>
              </w:rPr>
              <w:t>=0,0161)</w:t>
            </w:r>
          </w:p>
        </w:tc>
        <w:tc>
          <w:tcPr>
            <w:tcW w:w="1838" w:type="dxa"/>
            <w:tcBorders>
              <w:top w:val="single" w:sz="4" w:space="0" w:color="auto"/>
              <w:left w:val="single" w:sz="4" w:space="0" w:color="auto"/>
              <w:bottom w:val="single" w:sz="4" w:space="0" w:color="auto"/>
              <w:right w:val="single" w:sz="4" w:space="0" w:color="auto"/>
            </w:tcBorders>
            <w:noWrap/>
          </w:tcPr>
          <w:p w14:paraId="389D2BB7"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4,57</w:t>
            </w:r>
          </w:p>
          <w:p w14:paraId="00A2D0A5" w14:textId="77777777" w:rsidR="00CF641C" w:rsidRPr="00520861" w:rsidRDefault="00CF641C" w:rsidP="00292D2E">
            <w:pPr>
              <w:widowControl w:val="0"/>
              <w:spacing w:line="360" w:lineRule="auto"/>
              <w:jc w:val="center"/>
              <w:rPr>
                <w:color w:val="000000"/>
                <w:sz w:val="28"/>
                <w:szCs w:val="28"/>
              </w:rPr>
            </w:pPr>
          </w:p>
        </w:tc>
        <w:tc>
          <w:tcPr>
            <w:tcW w:w="1838" w:type="dxa"/>
            <w:tcBorders>
              <w:top w:val="single" w:sz="4" w:space="0" w:color="auto"/>
              <w:left w:val="single" w:sz="4" w:space="0" w:color="auto"/>
              <w:bottom w:val="single" w:sz="4" w:space="0" w:color="auto"/>
              <w:right w:val="single" w:sz="4" w:space="0" w:color="auto"/>
            </w:tcBorders>
            <w:noWrap/>
            <w:hideMark/>
          </w:tcPr>
          <w:p w14:paraId="012AF029"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1,49*</w:t>
            </w:r>
          </w:p>
          <w:p w14:paraId="674BFA6F"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w:t>
            </w:r>
            <w:r w:rsidRPr="00520861">
              <w:rPr>
                <w:i/>
                <w:color w:val="000000"/>
                <w:sz w:val="28"/>
                <w:szCs w:val="28"/>
              </w:rPr>
              <w:t>p</w:t>
            </w:r>
            <w:r w:rsidRPr="00520861">
              <w:rPr>
                <w:color w:val="000000"/>
                <w:sz w:val="28"/>
                <w:szCs w:val="28"/>
              </w:rPr>
              <w:t>=0,0054)</w:t>
            </w:r>
          </w:p>
        </w:tc>
        <w:tc>
          <w:tcPr>
            <w:tcW w:w="1838" w:type="dxa"/>
            <w:tcBorders>
              <w:top w:val="single" w:sz="4" w:space="0" w:color="auto"/>
              <w:left w:val="single" w:sz="4" w:space="0" w:color="auto"/>
              <w:bottom w:val="single" w:sz="4" w:space="0" w:color="auto"/>
              <w:right w:val="single" w:sz="4" w:space="0" w:color="auto"/>
            </w:tcBorders>
            <w:noWrap/>
            <w:hideMark/>
          </w:tcPr>
          <w:p w14:paraId="68D359BC"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1,51</w:t>
            </w:r>
          </w:p>
        </w:tc>
        <w:tc>
          <w:tcPr>
            <w:tcW w:w="1838" w:type="dxa"/>
            <w:tcBorders>
              <w:top w:val="single" w:sz="4" w:space="0" w:color="auto"/>
              <w:left w:val="single" w:sz="4" w:space="0" w:color="auto"/>
              <w:bottom w:val="single" w:sz="4" w:space="0" w:color="auto"/>
              <w:right w:val="single" w:sz="4" w:space="0" w:color="auto"/>
            </w:tcBorders>
            <w:noWrap/>
            <w:hideMark/>
          </w:tcPr>
          <w:p w14:paraId="0F2677FD"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4,16</w:t>
            </w:r>
          </w:p>
        </w:tc>
        <w:tc>
          <w:tcPr>
            <w:tcW w:w="1839" w:type="dxa"/>
            <w:tcBorders>
              <w:top w:val="single" w:sz="4" w:space="0" w:color="auto"/>
              <w:left w:val="single" w:sz="4" w:space="0" w:color="auto"/>
              <w:bottom w:val="single" w:sz="4" w:space="0" w:color="auto"/>
              <w:right w:val="single" w:sz="4" w:space="0" w:color="auto"/>
            </w:tcBorders>
            <w:noWrap/>
            <w:hideMark/>
          </w:tcPr>
          <w:p w14:paraId="51D5CD98"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5,46</w:t>
            </w:r>
          </w:p>
        </w:tc>
      </w:tr>
      <w:tr w:rsidR="00CF641C" w:rsidRPr="00520861" w14:paraId="39D1AADB" w14:textId="77777777" w:rsidTr="00292D2E">
        <w:trPr>
          <w:trHeight w:val="300"/>
        </w:trPr>
        <w:tc>
          <w:tcPr>
            <w:tcW w:w="1479" w:type="dxa"/>
            <w:tcBorders>
              <w:top w:val="single" w:sz="4" w:space="0" w:color="auto"/>
              <w:left w:val="single" w:sz="4" w:space="0" w:color="auto"/>
              <w:bottom w:val="single" w:sz="4" w:space="0" w:color="auto"/>
              <w:right w:val="single" w:sz="4" w:space="0" w:color="auto"/>
            </w:tcBorders>
            <w:hideMark/>
          </w:tcPr>
          <w:p w14:paraId="50BDF959" w14:textId="77777777" w:rsidR="00CF641C" w:rsidRPr="00520861" w:rsidRDefault="00CF641C" w:rsidP="00292D2E">
            <w:pPr>
              <w:widowControl w:val="0"/>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w:t>
            </w:r>
          </w:p>
        </w:tc>
        <w:tc>
          <w:tcPr>
            <w:tcW w:w="1838" w:type="dxa"/>
            <w:tcBorders>
              <w:top w:val="single" w:sz="4" w:space="0" w:color="auto"/>
              <w:left w:val="single" w:sz="4" w:space="0" w:color="auto"/>
              <w:bottom w:val="single" w:sz="4" w:space="0" w:color="auto"/>
              <w:right w:val="single" w:sz="4" w:space="0" w:color="auto"/>
            </w:tcBorders>
            <w:noWrap/>
            <w:hideMark/>
          </w:tcPr>
          <w:p w14:paraId="2313B056"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3,50*</w:t>
            </w:r>
          </w:p>
          <w:p w14:paraId="4560A763"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w:t>
            </w:r>
            <w:r w:rsidRPr="00520861">
              <w:rPr>
                <w:i/>
                <w:color w:val="000000"/>
                <w:sz w:val="28"/>
                <w:szCs w:val="28"/>
              </w:rPr>
              <w:t>p</w:t>
            </w:r>
            <w:r w:rsidRPr="00520861">
              <w:rPr>
                <w:color w:val="000000"/>
                <w:sz w:val="28"/>
                <w:szCs w:val="28"/>
              </w:rPr>
              <w:t>=0,0413)</w:t>
            </w:r>
          </w:p>
        </w:tc>
        <w:tc>
          <w:tcPr>
            <w:tcW w:w="1838" w:type="dxa"/>
            <w:tcBorders>
              <w:top w:val="single" w:sz="4" w:space="0" w:color="auto"/>
              <w:left w:val="single" w:sz="4" w:space="0" w:color="auto"/>
              <w:bottom w:val="single" w:sz="4" w:space="0" w:color="auto"/>
              <w:right w:val="single" w:sz="4" w:space="0" w:color="auto"/>
            </w:tcBorders>
            <w:noWrap/>
            <w:hideMark/>
          </w:tcPr>
          <w:p w14:paraId="28025A22"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2,50*,**</w:t>
            </w:r>
          </w:p>
          <w:p w14:paraId="7D4883AB"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w:t>
            </w:r>
            <w:r w:rsidRPr="00520861">
              <w:rPr>
                <w:i/>
                <w:color w:val="000000"/>
                <w:sz w:val="28"/>
                <w:szCs w:val="28"/>
              </w:rPr>
              <w:t>p</w:t>
            </w:r>
            <w:r w:rsidRPr="00520861">
              <w:rPr>
                <w:color w:val="000000"/>
                <w:sz w:val="28"/>
                <w:szCs w:val="28"/>
              </w:rPr>
              <w:t xml:space="preserve">=0,0227) </w:t>
            </w:r>
          </w:p>
          <w:p w14:paraId="61F03599"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w:t>
            </w:r>
            <w:r w:rsidRPr="00520861">
              <w:rPr>
                <w:i/>
                <w:color w:val="000000"/>
                <w:sz w:val="28"/>
                <w:szCs w:val="28"/>
              </w:rPr>
              <w:t>p</w:t>
            </w:r>
            <w:r w:rsidRPr="00520861">
              <w:rPr>
                <w:color w:val="000000"/>
                <w:sz w:val="28"/>
                <w:szCs w:val="28"/>
              </w:rPr>
              <w:t>=0,0381)</w:t>
            </w:r>
          </w:p>
        </w:tc>
        <w:tc>
          <w:tcPr>
            <w:tcW w:w="1838" w:type="dxa"/>
            <w:tcBorders>
              <w:top w:val="single" w:sz="4" w:space="0" w:color="auto"/>
              <w:left w:val="single" w:sz="4" w:space="0" w:color="auto"/>
              <w:bottom w:val="single" w:sz="4" w:space="0" w:color="auto"/>
              <w:right w:val="single" w:sz="4" w:space="0" w:color="auto"/>
            </w:tcBorders>
            <w:noWrap/>
          </w:tcPr>
          <w:p w14:paraId="57451FCC"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4,71</w:t>
            </w:r>
          </w:p>
          <w:p w14:paraId="11E1C08F" w14:textId="77777777" w:rsidR="00CF641C" w:rsidRPr="00520861" w:rsidRDefault="00CF641C" w:rsidP="00292D2E">
            <w:pPr>
              <w:widowControl w:val="0"/>
              <w:spacing w:line="360" w:lineRule="auto"/>
              <w:jc w:val="center"/>
              <w:rPr>
                <w:color w:val="000000"/>
                <w:sz w:val="28"/>
                <w:szCs w:val="28"/>
              </w:rPr>
            </w:pPr>
          </w:p>
        </w:tc>
        <w:tc>
          <w:tcPr>
            <w:tcW w:w="1838" w:type="dxa"/>
            <w:tcBorders>
              <w:top w:val="single" w:sz="4" w:space="0" w:color="auto"/>
              <w:left w:val="single" w:sz="4" w:space="0" w:color="auto"/>
              <w:bottom w:val="single" w:sz="4" w:space="0" w:color="auto"/>
              <w:right w:val="single" w:sz="4" w:space="0" w:color="auto"/>
            </w:tcBorders>
            <w:noWrap/>
            <w:hideMark/>
          </w:tcPr>
          <w:p w14:paraId="1CA4F38F"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1,43</w:t>
            </w:r>
          </w:p>
        </w:tc>
        <w:tc>
          <w:tcPr>
            <w:tcW w:w="1838" w:type="dxa"/>
            <w:tcBorders>
              <w:top w:val="single" w:sz="4" w:space="0" w:color="auto"/>
              <w:left w:val="single" w:sz="4" w:space="0" w:color="auto"/>
              <w:bottom w:val="single" w:sz="4" w:space="0" w:color="auto"/>
              <w:right w:val="single" w:sz="4" w:space="0" w:color="auto"/>
            </w:tcBorders>
            <w:noWrap/>
            <w:hideMark/>
          </w:tcPr>
          <w:p w14:paraId="7F2084F8"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1,79</w:t>
            </w:r>
          </w:p>
        </w:tc>
        <w:tc>
          <w:tcPr>
            <w:tcW w:w="1838" w:type="dxa"/>
            <w:tcBorders>
              <w:top w:val="single" w:sz="4" w:space="0" w:color="auto"/>
              <w:left w:val="single" w:sz="4" w:space="0" w:color="auto"/>
              <w:bottom w:val="single" w:sz="4" w:space="0" w:color="auto"/>
              <w:right w:val="single" w:sz="4" w:space="0" w:color="auto"/>
            </w:tcBorders>
            <w:noWrap/>
            <w:hideMark/>
          </w:tcPr>
          <w:p w14:paraId="1D9A1E00"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3,93</w:t>
            </w:r>
          </w:p>
        </w:tc>
        <w:tc>
          <w:tcPr>
            <w:tcW w:w="1839" w:type="dxa"/>
            <w:tcBorders>
              <w:top w:val="single" w:sz="4" w:space="0" w:color="auto"/>
              <w:left w:val="single" w:sz="4" w:space="0" w:color="auto"/>
              <w:bottom w:val="single" w:sz="4" w:space="0" w:color="auto"/>
              <w:right w:val="single" w:sz="4" w:space="0" w:color="auto"/>
            </w:tcBorders>
            <w:noWrap/>
            <w:hideMark/>
          </w:tcPr>
          <w:p w14:paraId="3C7D9BE0"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5,07</w:t>
            </w:r>
          </w:p>
        </w:tc>
      </w:tr>
      <w:tr w:rsidR="00CF641C" w:rsidRPr="00520861" w14:paraId="25D11E8A" w14:textId="77777777" w:rsidTr="00292D2E">
        <w:trPr>
          <w:trHeight w:val="300"/>
        </w:trPr>
        <w:tc>
          <w:tcPr>
            <w:tcW w:w="1479" w:type="dxa"/>
            <w:tcBorders>
              <w:top w:val="single" w:sz="4" w:space="0" w:color="auto"/>
              <w:left w:val="single" w:sz="4" w:space="0" w:color="auto"/>
              <w:bottom w:val="single" w:sz="4" w:space="0" w:color="auto"/>
              <w:right w:val="single" w:sz="4" w:space="0" w:color="auto"/>
            </w:tcBorders>
            <w:hideMark/>
          </w:tcPr>
          <w:p w14:paraId="3B945C2A" w14:textId="77777777" w:rsidR="00CF641C" w:rsidRPr="00520861" w:rsidRDefault="00CF641C" w:rsidP="00292D2E">
            <w:pPr>
              <w:widowControl w:val="0"/>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w:t>
            </w:r>
          </w:p>
        </w:tc>
        <w:tc>
          <w:tcPr>
            <w:tcW w:w="1838" w:type="dxa"/>
            <w:tcBorders>
              <w:top w:val="single" w:sz="4" w:space="0" w:color="auto"/>
              <w:left w:val="single" w:sz="4" w:space="0" w:color="auto"/>
              <w:bottom w:val="single" w:sz="4" w:space="0" w:color="auto"/>
              <w:right w:val="single" w:sz="4" w:space="0" w:color="auto"/>
            </w:tcBorders>
            <w:noWrap/>
            <w:hideMark/>
          </w:tcPr>
          <w:p w14:paraId="45A09179"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3,70</w:t>
            </w:r>
          </w:p>
        </w:tc>
        <w:tc>
          <w:tcPr>
            <w:tcW w:w="1838" w:type="dxa"/>
            <w:tcBorders>
              <w:top w:val="single" w:sz="4" w:space="0" w:color="auto"/>
              <w:left w:val="single" w:sz="4" w:space="0" w:color="auto"/>
              <w:bottom w:val="single" w:sz="4" w:space="0" w:color="auto"/>
              <w:right w:val="single" w:sz="4" w:space="0" w:color="auto"/>
            </w:tcBorders>
            <w:noWrap/>
            <w:hideMark/>
          </w:tcPr>
          <w:p w14:paraId="3BF99D1C"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2,10</w:t>
            </w:r>
          </w:p>
        </w:tc>
        <w:tc>
          <w:tcPr>
            <w:tcW w:w="1838" w:type="dxa"/>
            <w:tcBorders>
              <w:top w:val="single" w:sz="4" w:space="0" w:color="auto"/>
              <w:left w:val="single" w:sz="4" w:space="0" w:color="auto"/>
              <w:bottom w:val="single" w:sz="4" w:space="0" w:color="auto"/>
              <w:right w:val="single" w:sz="4" w:space="0" w:color="auto"/>
            </w:tcBorders>
            <w:noWrap/>
            <w:hideMark/>
          </w:tcPr>
          <w:p w14:paraId="720CFFF4"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4,50</w:t>
            </w:r>
          </w:p>
        </w:tc>
        <w:tc>
          <w:tcPr>
            <w:tcW w:w="1838" w:type="dxa"/>
            <w:tcBorders>
              <w:top w:val="single" w:sz="4" w:space="0" w:color="auto"/>
              <w:left w:val="single" w:sz="4" w:space="0" w:color="auto"/>
              <w:bottom w:val="single" w:sz="4" w:space="0" w:color="auto"/>
              <w:right w:val="single" w:sz="4" w:space="0" w:color="auto"/>
            </w:tcBorders>
            <w:noWrap/>
            <w:hideMark/>
          </w:tcPr>
          <w:p w14:paraId="77C42A19"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2,00*</w:t>
            </w:r>
          </w:p>
          <w:p w14:paraId="3B900807"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w:t>
            </w:r>
            <w:r w:rsidRPr="00520861">
              <w:rPr>
                <w:i/>
                <w:color w:val="000000"/>
                <w:sz w:val="28"/>
                <w:szCs w:val="28"/>
              </w:rPr>
              <w:t>p</w:t>
            </w:r>
            <w:r w:rsidRPr="00520861">
              <w:rPr>
                <w:color w:val="000000"/>
                <w:sz w:val="28"/>
                <w:szCs w:val="28"/>
              </w:rPr>
              <w:t>=0,0389)</w:t>
            </w:r>
          </w:p>
        </w:tc>
        <w:tc>
          <w:tcPr>
            <w:tcW w:w="1838" w:type="dxa"/>
            <w:tcBorders>
              <w:top w:val="single" w:sz="4" w:space="0" w:color="auto"/>
              <w:left w:val="single" w:sz="4" w:space="0" w:color="auto"/>
              <w:bottom w:val="single" w:sz="4" w:space="0" w:color="auto"/>
              <w:right w:val="single" w:sz="4" w:space="0" w:color="auto"/>
            </w:tcBorders>
            <w:noWrap/>
            <w:hideMark/>
          </w:tcPr>
          <w:p w14:paraId="1F90D3A1"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2,30*</w:t>
            </w:r>
          </w:p>
          <w:p w14:paraId="12138E39"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w:t>
            </w:r>
            <w:r w:rsidRPr="00520861">
              <w:rPr>
                <w:i/>
                <w:color w:val="000000"/>
                <w:sz w:val="28"/>
                <w:szCs w:val="28"/>
              </w:rPr>
              <w:t>p</w:t>
            </w:r>
            <w:r w:rsidRPr="00520861">
              <w:rPr>
                <w:color w:val="000000"/>
                <w:sz w:val="28"/>
                <w:szCs w:val="28"/>
              </w:rPr>
              <w:t>=0,0461)</w:t>
            </w:r>
          </w:p>
        </w:tc>
        <w:tc>
          <w:tcPr>
            <w:tcW w:w="1838" w:type="dxa"/>
            <w:tcBorders>
              <w:top w:val="single" w:sz="4" w:space="0" w:color="auto"/>
              <w:left w:val="single" w:sz="4" w:space="0" w:color="auto"/>
              <w:bottom w:val="single" w:sz="4" w:space="0" w:color="auto"/>
              <w:right w:val="single" w:sz="4" w:space="0" w:color="auto"/>
            </w:tcBorders>
            <w:noWrap/>
            <w:hideMark/>
          </w:tcPr>
          <w:p w14:paraId="1343E62B"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3,60</w:t>
            </w:r>
          </w:p>
        </w:tc>
        <w:tc>
          <w:tcPr>
            <w:tcW w:w="1839" w:type="dxa"/>
            <w:tcBorders>
              <w:top w:val="single" w:sz="4" w:space="0" w:color="auto"/>
              <w:left w:val="single" w:sz="4" w:space="0" w:color="auto"/>
              <w:bottom w:val="single" w:sz="4" w:space="0" w:color="auto"/>
              <w:right w:val="single" w:sz="4" w:space="0" w:color="auto"/>
            </w:tcBorders>
            <w:noWrap/>
            <w:hideMark/>
          </w:tcPr>
          <w:p w14:paraId="2EE1C1B6"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5,90</w:t>
            </w:r>
          </w:p>
        </w:tc>
      </w:tr>
      <w:tr w:rsidR="00CF641C" w:rsidRPr="00520861" w14:paraId="662B4749" w14:textId="77777777" w:rsidTr="00292D2E">
        <w:trPr>
          <w:trHeight w:val="300"/>
        </w:trPr>
        <w:tc>
          <w:tcPr>
            <w:tcW w:w="1479" w:type="dxa"/>
            <w:tcBorders>
              <w:top w:val="single" w:sz="4" w:space="0" w:color="auto"/>
              <w:left w:val="single" w:sz="4" w:space="0" w:color="auto"/>
              <w:bottom w:val="single" w:sz="4" w:space="0" w:color="auto"/>
              <w:right w:val="single" w:sz="4" w:space="0" w:color="auto"/>
            </w:tcBorders>
            <w:hideMark/>
          </w:tcPr>
          <w:p w14:paraId="628D492E" w14:textId="77777777" w:rsidR="00CF641C" w:rsidRPr="00520861" w:rsidRDefault="00CF641C" w:rsidP="00292D2E">
            <w:pPr>
              <w:widowControl w:val="0"/>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w:t>
            </w:r>
          </w:p>
        </w:tc>
        <w:tc>
          <w:tcPr>
            <w:tcW w:w="1838" w:type="dxa"/>
            <w:tcBorders>
              <w:top w:val="single" w:sz="4" w:space="0" w:color="auto"/>
              <w:left w:val="single" w:sz="4" w:space="0" w:color="auto"/>
              <w:bottom w:val="single" w:sz="4" w:space="0" w:color="auto"/>
              <w:right w:val="single" w:sz="4" w:space="0" w:color="auto"/>
            </w:tcBorders>
            <w:noWrap/>
            <w:hideMark/>
          </w:tcPr>
          <w:p w14:paraId="613D5AA0"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 xml:space="preserve">3,00 </w:t>
            </w:r>
          </w:p>
        </w:tc>
        <w:tc>
          <w:tcPr>
            <w:tcW w:w="1838" w:type="dxa"/>
            <w:tcBorders>
              <w:top w:val="single" w:sz="4" w:space="0" w:color="auto"/>
              <w:left w:val="single" w:sz="4" w:space="0" w:color="auto"/>
              <w:bottom w:val="single" w:sz="4" w:space="0" w:color="auto"/>
              <w:right w:val="single" w:sz="4" w:space="0" w:color="auto"/>
            </w:tcBorders>
            <w:noWrap/>
            <w:hideMark/>
          </w:tcPr>
          <w:p w14:paraId="09CAA211" w14:textId="77777777" w:rsidR="00CF641C" w:rsidRPr="00520861" w:rsidRDefault="00CF641C" w:rsidP="00292D2E">
            <w:pPr>
              <w:widowControl w:val="0"/>
              <w:spacing w:line="360" w:lineRule="auto"/>
              <w:jc w:val="center"/>
              <w:rPr>
                <w:color w:val="000000"/>
                <w:sz w:val="28"/>
                <w:szCs w:val="28"/>
              </w:rPr>
            </w:pPr>
            <w:r w:rsidRPr="00520861">
              <w:rPr>
                <w:sz w:val="28"/>
                <w:szCs w:val="28"/>
              </w:rPr>
              <w:t>1,43</w:t>
            </w:r>
          </w:p>
        </w:tc>
        <w:tc>
          <w:tcPr>
            <w:tcW w:w="1838" w:type="dxa"/>
            <w:tcBorders>
              <w:top w:val="single" w:sz="4" w:space="0" w:color="auto"/>
              <w:left w:val="single" w:sz="4" w:space="0" w:color="auto"/>
              <w:bottom w:val="single" w:sz="4" w:space="0" w:color="auto"/>
              <w:right w:val="single" w:sz="4" w:space="0" w:color="auto"/>
            </w:tcBorders>
            <w:noWrap/>
            <w:hideMark/>
          </w:tcPr>
          <w:p w14:paraId="3DB815E8"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3,00</w:t>
            </w:r>
          </w:p>
        </w:tc>
        <w:tc>
          <w:tcPr>
            <w:tcW w:w="1838" w:type="dxa"/>
            <w:tcBorders>
              <w:top w:val="single" w:sz="4" w:space="0" w:color="auto"/>
              <w:left w:val="single" w:sz="4" w:space="0" w:color="auto"/>
              <w:bottom w:val="single" w:sz="4" w:space="0" w:color="auto"/>
              <w:right w:val="single" w:sz="4" w:space="0" w:color="auto"/>
            </w:tcBorders>
            <w:noWrap/>
            <w:hideMark/>
          </w:tcPr>
          <w:p w14:paraId="5A2D33CE"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1,14</w:t>
            </w:r>
          </w:p>
        </w:tc>
        <w:tc>
          <w:tcPr>
            <w:tcW w:w="1838" w:type="dxa"/>
            <w:tcBorders>
              <w:top w:val="single" w:sz="4" w:space="0" w:color="auto"/>
              <w:left w:val="single" w:sz="4" w:space="0" w:color="auto"/>
              <w:bottom w:val="single" w:sz="4" w:space="0" w:color="auto"/>
              <w:right w:val="single" w:sz="4" w:space="0" w:color="auto"/>
            </w:tcBorders>
            <w:noWrap/>
            <w:hideMark/>
          </w:tcPr>
          <w:p w14:paraId="13294D77"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1,71</w:t>
            </w:r>
          </w:p>
        </w:tc>
        <w:tc>
          <w:tcPr>
            <w:tcW w:w="1838" w:type="dxa"/>
            <w:tcBorders>
              <w:top w:val="single" w:sz="4" w:space="0" w:color="auto"/>
              <w:left w:val="single" w:sz="4" w:space="0" w:color="auto"/>
              <w:bottom w:val="single" w:sz="4" w:space="0" w:color="auto"/>
              <w:right w:val="single" w:sz="4" w:space="0" w:color="auto"/>
            </w:tcBorders>
            <w:noWrap/>
            <w:hideMark/>
          </w:tcPr>
          <w:p w14:paraId="328D89BA"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3,29</w:t>
            </w:r>
          </w:p>
        </w:tc>
        <w:tc>
          <w:tcPr>
            <w:tcW w:w="1839" w:type="dxa"/>
            <w:tcBorders>
              <w:top w:val="single" w:sz="4" w:space="0" w:color="auto"/>
              <w:left w:val="single" w:sz="4" w:space="0" w:color="auto"/>
              <w:bottom w:val="single" w:sz="4" w:space="0" w:color="auto"/>
              <w:right w:val="single" w:sz="4" w:space="0" w:color="auto"/>
            </w:tcBorders>
            <w:noWrap/>
            <w:hideMark/>
          </w:tcPr>
          <w:p w14:paraId="7AE96096" w14:textId="77777777" w:rsidR="00CF641C" w:rsidRPr="00520861" w:rsidRDefault="00CF641C" w:rsidP="00292D2E">
            <w:pPr>
              <w:widowControl w:val="0"/>
              <w:spacing w:line="360" w:lineRule="auto"/>
              <w:jc w:val="center"/>
              <w:rPr>
                <w:color w:val="000000"/>
                <w:sz w:val="28"/>
                <w:szCs w:val="28"/>
              </w:rPr>
            </w:pPr>
            <w:r w:rsidRPr="00520861">
              <w:rPr>
                <w:color w:val="000000"/>
                <w:sz w:val="28"/>
                <w:szCs w:val="28"/>
              </w:rPr>
              <w:t>4,71</w:t>
            </w:r>
          </w:p>
        </w:tc>
      </w:tr>
    </w:tbl>
    <w:p w14:paraId="255AB1D5"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Примітка: </w:t>
      </w:r>
      <w:r w:rsidRPr="00520861">
        <w:rPr>
          <w:sz w:val="28"/>
          <w:szCs w:val="28"/>
        </w:rPr>
        <w:tab/>
        <w:t>† </w:t>
      </w:r>
      <w:r w:rsidRPr="00520861">
        <w:rPr>
          <w:rFonts w:eastAsia="Calibri"/>
          <w:sz w:val="28"/>
          <w:szCs w:val="28"/>
          <w:lang w:eastAsia="en-US"/>
        </w:rPr>
        <w:t>–</w:t>
      </w:r>
      <w:r w:rsidRPr="00520861">
        <w:rPr>
          <w:sz w:val="28"/>
          <w:szCs w:val="28"/>
        </w:rPr>
        <w:t xml:space="preserve"> вірогідно відрізняється від ГП за критерієм Стьюдента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sz w:val="28"/>
          <w:szCs w:val="28"/>
        </w:rPr>
        <w:t xml:space="preserve">); </w:t>
      </w:r>
    </w:p>
    <w:p w14:paraId="23650AF4" w14:textId="77777777" w:rsidR="00CF641C" w:rsidRPr="00520861" w:rsidRDefault="00CF641C" w:rsidP="00292D2E">
      <w:pPr>
        <w:widowControl w:val="0"/>
        <w:spacing w:line="360" w:lineRule="auto"/>
        <w:ind w:left="1416" w:firstLine="708"/>
        <w:contextualSpacing/>
        <w:jc w:val="both"/>
        <w:rPr>
          <w:sz w:val="28"/>
          <w:szCs w:val="28"/>
        </w:rPr>
      </w:pPr>
      <w:r w:rsidRPr="00520861">
        <w:rPr>
          <w:sz w:val="28"/>
          <w:szCs w:val="28"/>
        </w:rPr>
        <w:t xml:space="preserve">* </w:t>
      </w:r>
      <w:r w:rsidRPr="00520861">
        <w:rPr>
          <w:rFonts w:eastAsia="Calibri"/>
          <w:sz w:val="28"/>
          <w:szCs w:val="28"/>
          <w:lang w:eastAsia="en-US"/>
        </w:rPr>
        <w:t>–</w:t>
      </w:r>
      <w:r w:rsidRPr="00520861">
        <w:rPr>
          <w:sz w:val="28"/>
          <w:szCs w:val="28"/>
        </w:rPr>
        <w:t xml:space="preserve"> вірогідно відрізняється від ГП за критерієм Манна – Уітні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sz w:val="28"/>
          <w:szCs w:val="28"/>
        </w:rPr>
        <w:t>);</w:t>
      </w:r>
    </w:p>
    <w:p w14:paraId="7661EC8F" w14:textId="77777777" w:rsidR="00CF641C" w:rsidRPr="00520861" w:rsidRDefault="00CF641C" w:rsidP="00292D2E">
      <w:pPr>
        <w:widowControl w:val="0"/>
        <w:spacing w:line="360" w:lineRule="auto"/>
        <w:ind w:left="1416" w:firstLine="708"/>
        <w:contextualSpacing/>
        <w:rPr>
          <w:sz w:val="28"/>
          <w:szCs w:val="28"/>
        </w:rPr>
        <w:sectPr w:rsidR="00CF641C" w:rsidRPr="00520861" w:rsidSect="00292D2E">
          <w:pgSz w:w="16838" w:h="11906" w:orient="landscape"/>
          <w:pgMar w:top="1134" w:right="624" w:bottom="1134" w:left="1134" w:header="709" w:footer="709" w:gutter="0"/>
          <w:cols w:space="708"/>
          <w:docGrid w:linePitch="360"/>
        </w:sectPr>
      </w:pPr>
      <w:r w:rsidRPr="00520861">
        <w:rPr>
          <w:sz w:val="28"/>
          <w:szCs w:val="28"/>
        </w:rPr>
        <w:t xml:space="preserve">** </w:t>
      </w:r>
      <w:r w:rsidRPr="00520861">
        <w:rPr>
          <w:rFonts w:eastAsia="Calibri"/>
          <w:sz w:val="28"/>
          <w:szCs w:val="28"/>
          <w:lang w:eastAsia="en-US"/>
        </w:rPr>
        <w:t>–</w:t>
      </w:r>
      <w:r w:rsidRPr="00520861">
        <w:rPr>
          <w:sz w:val="28"/>
          <w:szCs w:val="28"/>
        </w:rPr>
        <w:t xml:space="preserve"> вірогідно відрізняється від підгрупи 4 за критерієм Манна – Уітні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sz w:val="28"/>
          <w:szCs w:val="28"/>
        </w:rPr>
        <w:t>).</w:t>
      </w:r>
    </w:p>
    <w:p w14:paraId="25BD1373" w14:textId="77777777" w:rsidR="00CF641C" w:rsidRPr="00520861" w:rsidRDefault="00CF641C" w:rsidP="00292D2E">
      <w:pPr>
        <w:widowControl w:val="0"/>
        <w:spacing w:line="360" w:lineRule="auto"/>
        <w:ind w:firstLine="709"/>
        <w:jc w:val="both"/>
        <w:rPr>
          <w:rFonts w:eastAsiaTheme="minorHAnsi"/>
          <w:sz w:val="28"/>
          <w:szCs w:val="28"/>
          <w:lang w:eastAsia="en-US"/>
        </w:rPr>
      </w:pPr>
      <w:r w:rsidRPr="00520861">
        <w:rPr>
          <w:rFonts w:eastAsiaTheme="minorHAnsi"/>
          <w:spacing w:val="-2"/>
          <w:sz w:val="28"/>
          <w:szCs w:val="28"/>
          <w:lang w:eastAsia="en-US"/>
        </w:rPr>
        <w:lastRenderedPageBreak/>
        <w:t xml:space="preserve">За шкалою 5 у бальній оцінці вірогідних відмінностей між ОГ та ГП виявлено не було (табл. 4.8 та табл. Б.1.13). </w:t>
      </w:r>
      <w:r w:rsidRPr="00520861">
        <w:rPr>
          <w:rFonts w:eastAsia="Calibri"/>
          <w:spacing w:val="-4"/>
          <w:sz w:val="28"/>
          <w:szCs w:val="28"/>
          <w:lang w:eastAsia="en-US"/>
        </w:rPr>
        <w:t xml:space="preserve">Зокрема, ПКВ </w:t>
      </w:r>
      <w:proofErr w:type="spellStart"/>
      <w:r w:rsidRPr="00520861">
        <w:rPr>
          <w:rFonts w:eastAsia="Calibri"/>
          <w:spacing w:val="-4"/>
          <w:sz w:val="28"/>
          <w:szCs w:val="28"/>
          <w:lang w:eastAsia="en-US"/>
        </w:rPr>
        <w:t>атопічного</w:t>
      </w:r>
      <w:proofErr w:type="spellEnd"/>
      <w:r w:rsidRPr="00520861">
        <w:rPr>
          <w:rFonts w:eastAsia="Calibri"/>
          <w:spacing w:val="-4"/>
          <w:sz w:val="28"/>
          <w:szCs w:val="28"/>
          <w:lang w:eastAsia="en-US"/>
        </w:rPr>
        <w:t xml:space="preserve"> дерматиту, бронхіальної </w:t>
      </w:r>
      <w:r w:rsidRPr="00520861">
        <w:rPr>
          <w:rFonts w:eastAsia="Calibri"/>
          <w:spacing w:val="-4"/>
          <w:sz w:val="28"/>
          <w:szCs w:val="28"/>
          <w:lang w:eastAsia="en-US"/>
        </w:rPr>
        <w:br/>
        <w:t xml:space="preserve">астми, алергічного риніту або інших алергічних проявів у батька новонародженого була вірогідно вищою у </w:t>
      </w:r>
      <w:r w:rsidRPr="00520861">
        <w:rPr>
          <w:rFonts w:eastAsiaTheme="minorHAnsi"/>
          <w:sz w:val="28"/>
          <w:szCs w:val="28"/>
          <w:lang w:eastAsia="en-US"/>
        </w:rPr>
        <w:t xml:space="preserve">підгрупі </w:t>
      </w:r>
      <w:r w:rsidRPr="00520861">
        <w:rPr>
          <w:rFonts w:eastAsia="Calibri"/>
          <w:spacing w:val="-4"/>
          <w:sz w:val="28"/>
          <w:szCs w:val="28"/>
          <w:lang w:eastAsia="en-US"/>
        </w:rPr>
        <w:t xml:space="preserve">3 </w:t>
      </w:r>
      <w:r w:rsidRPr="00520861">
        <w:rPr>
          <w:rFonts w:eastAsia="Calibri"/>
          <w:color w:val="000000"/>
          <w:spacing w:val="-4"/>
          <w:sz w:val="28"/>
          <w:szCs w:val="28"/>
          <w:lang w:eastAsia="en-US"/>
        </w:rPr>
        <w:t>–</w:t>
      </w:r>
      <w:r w:rsidRPr="00520861">
        <w:rPr>
          <w:rFonts w:eastAsia="Calibri"/>
          <w:spacing w:val="-4"/>
          <w:sz w:val="28"/>
          <w:szCs w:val="28"/>
          <w:lang w:eastAsia="en-US"/>
        </w:rPr>
        <w:t xml:space="preserve"> захворювання мали 4 особи (40,0% ДІ: 18,7% </w:t>
      </w:r>
      <w:r w:rsidRPr="00520861">
        <w:rPr>
          <w:rFonts w:eastAsia="Calibri"/>
          <w:color w:val="000000"/>
          <w:spacing w:val="-4"/>
          <w:sz w:val="28"/>
          <w:szCs w:val="28"/>
          <w:lang w:eastAsia="en-US"/>
        </w:rPr>
        <w:t>–</w:t>
      </w:r>
      <w:r w:rsidRPr="00520861">
        <w:rPr>
          <w:rFonts w:eastAsia="Calibri"/>
          <w:spacing w:val="-4"/>
          <w:sz w:val="28"/>
          <w:szCs w:val="28"/>
          <w:lang w:eastAsia="en-US"/>
        </w:rPr>
        <w:t xml:space="preserve"> 65,2%) проти 9 осіб ГП (10,8% ДІ: 5,9% </w:t>
      </w:r>
      <w:r w:rsidRPr="00520861">
        <w:rPr>
          <w:rFonts w:eastAsia="Calibri"/>
          <w:color w:val="000000"/>
          <w:spacing w:val="-4"/>
          <w:sz w:val="28"/>
          <w:szCs w:val="28"/>
          <w:lang w:eastAsia="en-US"/>
        </w:rPr>
        <w:t>–</w:t>
      </w:r>
      <w:r w:rsidRPr="00520861">
        <w:rPr>
          <w:rFonts w:eastAsia="Calibri"/>
          <w:spacing w:val="-4"/>
          <w:sz w:val="28"/>
          <w:szCs w:val="28"/>
          <w:lang w:eastAsia="en-US"/>
        </w:rPr>
        <w:t xml:space="preserve"> 18,1%). Тут доречно сказати, що кожен батько, який указав наявність алергічних захворювань, сам народився </w:t>
      </w:r>
      <w:proofErr w:type="spellStart"/>
      <w:r w:rsidRPr="00520861">
        <w:rPr>
          <w:rFonts w:eastAsia="Calibri"/>
          <w:spacing w:val="-4"/>
          <w:sz w:val="28"/>
          <w:szCs w:val="28"/>
          <w:lang w:eastAsia="en-US"/>
        </w:rPr>
        <w:t>макросомом</w:t>
      </w:r>
      <w:proofErr w:type="spellEnd"/>
      <w:r w:rsidRPr="00520861">
        <w:rPr>
          <w:rFonts w:eastAsiaTheme="minorHAnsi"/>
          <w:sz w:val="28"/>
          <w:szCs w:val="28"/>
          <w:lang w:eastAsia="en-US"/>
        </w:rPr>
        <w:t>.</w:t>
      </w:r>
    </w:p>
    <w:p w14:paraId="619FF306" w14:textId="77777777" w:rsidR="00CF641C" w:rsidRPr="00520861" w:rsidRDefault="00CF641C"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За шкалою 6 вірогідних відмінностей у сумарній кількості балів між ОГ та ГП не спостерігалося (табл. 4.8 та табл. Б.1.13). </w:t>
      </w:r>
    </w:p>
    <w:p w14:paraId="503B1BA0" w14:textId="77777777" w:rsidR="00CF641C" w:rsidRPr="00520861" w:rsidRDefault="00CF641C"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Проте ПКВ уживання алкогольних напоїв матір’ю </w:t>
      </w:r>
      <w:r w:rsidRPr="00520861">
        <w:rPr>
          <w:rFonts w:eastAsia="Calibri"/>
          <w:spacing w:val="-4"/>
          <w:sz w:val="28"/>
          <w:szCs w:val="28"/>
          <w:lang w:eastAsia="en-US"/>
        </w:rPr>
        <w:t>під час вагітності або протягом 5 років перед вагітністю</w:t>
      </w:r>
      <w:r w:rsidRPr="00520861">
        <w:rPr>
          <w:rFonts w:eastAsiaTheme="minorHAnsi"/>
          <w:sz w:val="28"/>
          <w:szCs w:val="28"/>
          <w:lang w:eastAsia="en-US"/>
        </w:rPr>
        <w:t xml:space="preserve"> у підгрупі 3 була вірогідно меншою, ніж у ГП: 1 особа </w:t>
      </w:r>
      <w:r w:rsidRPr="00520861">
        <w:rPr>
          <w:rFonts w:eastAsia="Calibri"/>
          <w:spacing w:val="-4"/>
          <w:sz w:val="28"/>
          <w:szCs w:val="28"/>
          <w:lang w:eastAsia="en-US"/>
        </w:rPr>
        <w:t xml:space="preserve">(10,0% ДІ: 2,5% </w:t>
      </w:r>
      <w:r w:rsidRPr="00520861">
        <w:rPr>
          <w:rFonts w:eastAsia="Calibri"/>
          <w:color w:val="000000"/>
          <w:spacing w:val="-4"/>
          <w:sz w:val="28"/>
          <w:szCs w:val="28"/>
          <w:lang w:eastAsia="en-US"/>
        </w:rPr>
        <w:t>–</w:t>
      </w:r>
      <w:r w:rsidRPr="00520861">
        <w:rPr>
          <w:rFonts w:eastAsia="Calibri"/>
          <w:spacing w:val="-4"/>
          <w:sz w:val="28"/>
          <w:szCs w:val="28"/>
          <w:lang w:eastAsia="en-US"/>
        </w:rPr>
        <w:t xml:space="preserve"> 30,8%)</w:t>
      </w:r>
      <w:r w:rsidRPr="00520861">
        <w:rPr>
          <w:rFonts w:eastAsiaTheme="minorHAnsi"/>
          <w:sz w:val="28"/>
          <w:szCs w:val="28"/>
          <w:lang w:eastAsia="en-US"/>
        </w:rPr>
        <w:t xml:space="preserve"> проти 52 осіб (62,7% ДІ: 52,6% </w:t>
      </w:r>
      <w:r w:rsidRPr="00520861">
        <w:rPr>
          <w:rFonts w:eastAsia="Calibri"/>
          <w:color w:val="000000"/>
          <w:spacing w:val="-4"/>
          <w:sz w:val="28"/>
          <w:szCs w:val="28"/>
          <w:lang w:eastAsia="en-US"/>
        </w:rPr>
        <w:t>–</w:t>
      </w:r>
      <w:r w:rsidRPr="00520861">
        <w:rPr>
          <w:rFonts w:eastAsiaTheme="minorHAnsi"/>
          <w:sz w:val="28"/>
          <w:szCs w:val="28"/>
          <w:lang w:eastAsia="en-US"/>
        </w:rPr>
        <w:t xml:space="preserve"> 71,9%) відповідно. ПКВ уживання алкогольних напоїв батьком </w:t>
      </w:r>
      <w:r w:rsidRPr="00520861">
        <w:rPr>
          <w:rFonts w:eastAsia="Calibri"/>
          <w:spacing w:val="-4"/>
          <w:sz w:val="28"/>
          <w:szCs w:val="28"/>
          <w:lang w:eastAsia="en-US"/>
        </w:rPr>
        <w:t xml:space="preserve">протягом 5 років перед вагітністю матері новонародженого у </w:t>
      </w:r>
      <w:r w:rsidRPr="00520861">
        <w:rPr>
          <w:rFonts w:eastAsiaTheme="minorHAnsi"/>
          <w:sz w:val="28"/>
          <w:szCs w:val="28"/>
          <w:lang w:eastAsia="en-US"/>
        </w:rPr>
        <w:t>підгрупі</w:t>
      </w:r>
      <w:r w:rsidRPr="00520861">
        <w:rPr>
          <w:rFonts w:eastAsia="Calibri"/>
          <w:spacing w:val="-4"/>
          <w:sz w:val="28"/>
          <w:szCs w:val="28"/>
          <w:lang w:eastAsia="en-US"/>
        </w:rPr>
        <w:t xml:space="preserve"> 4 була вірогідно меншою, ніж у ГП: 2 особи (28,6% ДІ: 9,9% </w:t>
      </w:r>
      <w:r w:rsidRPr="00520861">
        <w:rPr>
          <w:rFonts w:eastAsia="Calibri"/>
          <w:color w:val="000000"/>
          <w:spacing w:val="-4"/>
          <w:sz w:val="28"/>
          <w:szCs w:val="28"/>
          <w:lang w:eastAsia="en-US"/>
        </w:rPr>
        <w:t>–</w:t>
      </w:r>
      <w:r w:rsidRPr="00520861">
        <w:rPr>
          <w:rFonts w:eastAsia="Calibri"/>
          <w:spacing w:val="-4"/>
          <w:sz w:val="28"/>
          <w:szCs w:val="28"/>
          <w:lang w:eastAsia="en-US"/>
        </w:rPr>
        <w:t xml:space="preserve"> 57,9%) проти 60 осіб (72,3% ДІ: 62,7% </w:t>
      </w:r>
      <w:r w:rsidRPr="00520861">
        <w:rPr>
          <w:rFonts w:eastAsia="Calibri"/>
          <w:color w:val="000000"/>
          <w:spacing w:val="-4"/>
          <w:sz w:val="28"/>
          <w:szCs w:val="28"/>
          <w:lang w:eastAsia="en-US"/>
        </w:rPr>
        <w:t>–</w:t>
      </w:r>
      <w:r w:rsidRPr="00520861">
        <w:rPr>
          <w:rFonts w:eastAsia="Calibri"/>
          <w:spacing w:val="-4"/>
          <w:sz w:val="28"/>
          <w:szCs w:val="28"/>
          <w:lang w:eastAsia="en-US"/>
        </w:rPr>
        <w:t xml:space="preserve"> 80,5%) відповідно. </w:t>
      </w:r>
      <w:r w:rsidRPr="00520861">
        <w:rPr>
          <w:rFonts w:eastAsiaTheme="minorHAnsi"/>
          <w:sz w:val="28"/>
          <w:szCs w:val="28"/>
          <w:lang w:eastAsia="en-US"/>
        </w:rPr>
        <w:t>По всіх інших запитаннях, які відносяться до цієї шкали, вірогідних відмінностей між підгрупами та ГП чи тенденцій у той чи інший бік виявлено не було.</w:t>
      </w:r>
    </w:p>
    <w:p w14:paraId="069F98ED" w14:textId="77777777" w:rsidR="00CF641C" w:rsidRPr="00520861" w:rsidRDefault="00CF641C"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За шкалою 7 вірогідні відмінності в загальній кількості балів між ОГ і підгрупами та ГП не спостерігалися (табл. 4.8 та табл. Б.1.13). </w:t>
      </w:r>
    </w:p>
    <w:p w14:paraId="33BA80BC" w14:textId="77777777" w:rsidR="00CF641C" w:rsidRPr="00520861" w:rsidRDefault="00CF641C"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При опитуванні батьків дітей грудного віку переважання впливу материн-</w:t>
      </w:r>
      <w:proofErr w:type="spellStart"/>
      <w:r w:rsidRPr="00520861">
        <w:rPr>
          <w:rFonts w:eastAsiaTheme="minorHAnsi"/>
          <w:sz w:val="28"/>
          <w:szCs w:val="28"/>
          <w:lang w:eastAsia="en-US"/>
        </w:rPr>
        <w:t>ського</w:t>
      </w:r>
      <w:proofErr w:type="spellEnd"/>
      <w:r w:rsidRPr="00520861">
        <w:rPr>
          <w:rFonts w:eastAsiaTheme="minorHAnsi"/>
          <w:sz w:val="28"/>
          <w:szCs w:val="28"/>
          <w:lang w:eastAsia="en-US"/>
        </w:rPr>
        <w:t xml:space="preserve"> чи батькового </w:t>
      </w:r>
      <w:proofErr w:type="spellStart"/>
      <w:r w:rsidRPr="00520861">
        <w:rPr>
          <w:rFonts w:eastAsiaTheme="minorHAnsi"/>
          <w:sz w:val="28"/>
          <w:szCs w:val="28"/>
          <w:lang w:eastAsia="en-US"/>
        </w:rPr>
        <w:t>фактора</w:t>
      </w:r>
      <w:proofErr w:type="spellEnd"/>
      <w:r w:rsidRPr="00520861">
        <w:rPr>
          <w:rFonts w:eastAsiaTheme="minorHAnsi"/>
          <w:sz w:val="28"/>
          <w:szCs w:val="28"/>
          <w:lang w:eastAsia="en-US"/>
        </w:rPr>
        <w:t xml:space="preserve"> на ризик виникнення </w:t>
      </w:r>
      <w:proofErr w:type="spellStart"/>
      <w:r w:rsidRPr="00520861">
        <w:rPr>
          <w:rFonts w:eastAsiaTheme="minorHAnsi"/>
          <w:sz w:val="28"/>
          <w:szCs w:val="28"/>
          <w:lang w:eastAsia="en-US"/>
        </w:rPr>
        <w:t>СтП</w:t>
      </w:r>
      <w:proofErr w:type="spellEnd"/>
      <w:r w:rsidRPr="00520861">
        <w:rPr>
          <w:rFonts w:eastAsiaTheme="minorHAnsi"/>
          <w:sz w:val="28"/>
          <w:szCs w:val="28"/>
          <w:lang w:eastAsia="en-US"/>
        </w:rPr>
        <w:t xml:space="preserve"> не виявлено (табл. 4.9).</w:t>
      </w:r>
    </w:p>
    <w:p w14:paraId="14E96E76" w14:textId="77777777" w:rsidR="00CF641C" w:rsidRPr="00520861" w:rsidRDefault="00CF641C" w:rsidP="00292D2E">
      <w:pPr>
        <w:widowControl w:val="0"/>
        <w:spacing w:line="360" w:lineRule="auto"/>
        <w:ind w:firstLine="708"/>
        <w:jc w:val="right"/>
        <w:rPr>
          <w:rFonts w:eastAsiaTheme="minorHAnsi"/>
          <w:i/>
          <w:sz w:val="28"/>
          <w:szCs w:val="28"/>
          <w:lang w:eastAsia="en-US"/>
        </w:rPr>
      </w:pPr>
      <w:r w:rsidRPr="00520861">
        <w:rPr>
          <w:rFonts w:eastAsiaTheme="minorHAnsi"/>
          <w:i/>
          <w:sz w:val="28"/>
          <w:szCs w:val="28"/>
          <w:lang w:eastAsia="en-US"/>
        </w:rPr>
        <w:t>Таблиця 4.9</w:t>
      </w:r>
    </w:p>
    <w:p w14:paraId="5A3F6741"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Відносний середній бал впливу материнського (батькового) </w:t>
      </w:r>
      <w:proofErr w:type="spellStart"/>
      <w:r w:rsidRPr="00520861">
        <w:rPr>
          <w:rFonts w:eastAsia="Calibri"/>
          <w:b/>
          <w:sz w:val="28"/>
          <w:szCs w:val="28"/>
          <w:lang w:eastAsia="en-US"/>
        </w:rPr>
        <w:t>фактора</w:t>
      </w:r>
      <w:proofErr w:type="spellEnd"/>
      <w:r w:rsidRPr="00520861">
        <w:rPr>
          <w:rFonts w:eastAsia="Calibri"/>
          <w:b/>
          <w:sz w:val="28"/>
          <w:szCs w:val="28"/>
          <w:lang w:eastAsia="en-US"/>
        </w:rPr>
        <w:t xml:space="preserve"> у </w:t>
      </w:r>
      <w:r w:rsidRPr="00520861">
        <w:rPr>
          <w:rFonts w:eastAsia="Calibri"/>
          <w:b/>
          <w:sz w:val="28"/>
          <w:szCs w:val="28"/>
          <w:lang w:eastAsia="en-US"/>
        </w:rPr>
        <w:br/>
        <w:t xml:space="preserve">процентах з 95% ДІ, а також процентне співвідношення балів для ДГВ </w:t>
      </w:r>
      <w:r w:rsidRPr="00520861">
        <w:rPr>
          <w:rFonts w:eastAsia="Calibri"/>
          <w:b/>
          <w:sz w:val="28"/>
          <w:szCs w:val="28"/>
          <w:lang w:eastAsia="en-US"/>
        </w:rPr>
        <w:br/>
        <w:t>різних груп та підгруп</w:t>
      </w:r>
    </w:p>
    <w:tbl>
      <w:tblPr>
        <w:tblStyle w:val="410"/>
        <w:tblW w:w="9923" w:type="dxa"/>
        <w:tblInd w:w="250" w:type="dxa"/>
        <w:tblLayout w:type="fixed"/>
        <w:tblLook w:val="04A0" w:firstRow="1" w:lastRow="0" w:firstColumn="1" w:lastColumn="0" w:noHBand="0" w:noVBand="1"/>
      </w:tblPr>
      <w:tblGrid>
        <w:gridCol w:w="1653"/>
        <w:gridCol w:w="1654"/>
        <w:gridCol w:w="1654"/>
        <w:gridCol w:w="1654"/>
        <w:gridCol w:w="1654"/>
        <w:gridCol w:w="1654"/>
      </w:tblGrid>
      <w:tr w:rsidR="00CF641C" w:rsidRPr="00520861" w14:paraId="502E3235" w14:textId="77777777" w:rsidTr="00292D2E">
        <w:trPr>
          <w:trHeight w:val="300"/>
        </w:trPr>
        <w:tc>
          <w:tcPr>
            <w:tcW w:w="9923" w:type="dxa"/>
            <w:gridSpan w:val="6"/>
            <w:tcBorders>
              <w:top w:val="single" w:sz="4" w:space="0" w:color="auto"/>
              <w:left w:val="single" w:sz="4" w:space="0" w:color="auto"/>
              <w:bottom w:val="single" w:sz="4" w:space="0" w:color="auto"/>
              <w:right w:val="single" w:sz="4" w:space="0" w:color="auto"/>
            </w:tcBorders>
            <w:noWrap/>
          </w:tcPr>
          <w:p w14:paraId="4D68FFE7"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Групи та підгрупи</w:t>
            </w:r>
          </w:p>
        </w:tc>
      </w:tr>
      <w:tr w:rsidR="00CF641C" w:rsidRPr="00520861" w14:paraId="6124AA40" w14:textId="77777777" w:rsidTr="00292D2E">
        <w:trPr>
          <w:trHeight w:val="455"/>
        </w:trPr>
        <w:tc>
          <w:tcPr>
            <w:tcW w:w="1653" w:type="dxa"/>
            <w:tcBorders>
              <w:top w:val="single" w:sz="4" w:space="0" w:color="auto"/>
              <w:left w:val="single" w:sz="4" w:space="0" w:color="auto"/>
              <w:bottom w:val="single" w:sz="4" w:space="0" w:color="auto"/>
              <w:right w:val="single" w:sz="4" w:space="0" w:color="auto"/>
            </w:tcBorders>
            <w:noWrap/>
          </w:tcPr>
          <w:p w14:paraId="17490DAC" w14:textId="77777777" w:rsidR="00CF641C" w:rsidRPr="00520861" w:rsidRDefault="00CF641C" w:rsidP="00292D2E">
            <w:pPr>
              <w:widowControl w:val="0"/>
              <w:spacing w:line="360" w:lineRule="auto"/>
              <w:ind w:firstLine="596"/>
              <w:rPr>
                <w:rFonts w:eastAsia="Calibri"/>
                <w:sz w:val="28"/>
                <w:szCs w:val="28"/>
              </w:rPr>
            </w:pPr>
            <w:r w:rsidRPr="00520861">
              <w:rPr>
                <w:rFonts w:eastAsia="Calibri"/>
                <w:sz w:val="28"/>
                <w:szCs w:val="28"/>
              </w:rPr>
              <w:t>ГП</w:t>
            </w:r>
          </w:p>
        </w:tc>
        <w:tc>
          <w:tcPr>
            <w:tcW w:w="1654" w:type="dxa"/>
            <w:tcBorders>
              <w:top w:val="single" w:sz="4" w:space="0" w:color="auto"/>
              <w:left w:val="single" w:sz="4" w:space="0" w:color="auto"/>
              <w:bottom w:val="single" w:sz="4" w:space="0" w:color="auto"/>
              <w:right w:val="single" w:sz="4" w:space="0" w:color="auto"/>
            </w:tcBorders>
            <w:noWrap/>
          </w:tcPr>
          <w:p w14:paraId="689E40F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ОГ</w:t>
            </w:r>
          </w:p>
        </w:tc>
        <w:tc>
          <w:tcPr>
            <w:tcW w:w="1654" w:type="dxa"/>
            <w:tcBorders>
              <w:top w:val="single" w:sz="4" w:space="0" w:color="auto"/>
              <w:left w:val="single" w:sz="4" w:space="0" w:color="auto"/>
              <w:bottom w:val="single" w:sz="4" w:space="0" w:color="auto"/>
              <w:right w:val="single" w:sz="4" w:space="0" w:color="auto"/>
            </w:tcBorders>
            <w:noWrap/>
          </w:tcPr>
          <w:p w14:paraId="1A2F60DC"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1654" w:type="dxa"/>
            <w:tcBorders>
              <w:top w:val="single" w:sz="4" w:space="0" w:color="auto"/>
              <w:left w:val="single" w:sz="4" w:space="0" w:color="auto"/>
              <w:bottom w:val="single" w:sz="4" w:space="0" w:color="auto"/>
              <w:right w:val="single" w:sz="4" w:space="0" w:color="auto"/>
            </w:tcBorders>
            <w:noWrap/>
          </w:tcPr>
          <w:p w14:paraId="26A38794"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 </w:t>
            </w:r>
          </w:p>
        </w:tc>
        <w:tc>
          <w:tcPr>
            <w:tcW w:w="1654" w:type="dxa"/>
            <w:tcBorders>
              <w:top w:val="single" w:sz="4" w:space="0" w:color="auto"/>
              <w:left w:val="single" w:sz="4" w:space="0" w:color="auto"/>
              <w:bottom w:val="single" w:sz="4" w:space="0" w:color="auto"/>
              <w:right w:val="single" w:sz="4" w:space="0" w:color="auto"/>
            </w:tcBorders>
            <w:noWrap/>
          </w:tcPr>
          <w:p w14:paraId="6A950052"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 </w:t>
            </w:r>
          </w:p>
        </w:tc>
        <w:tc>
          <w:tcPr>
            <w:tcW w:w="1654" w:type="dxa"/>
            <w:tcBorders>
              <w:top w:val="single" w:sz="4" w:space="0" w:color="auto"/>
              <w:left w:val="single" w:sz="4" w:space="0" w:color="auto"/>
              <w:bottom w:val="single" w:sz="4" w:space="0" w:color="auto"/>
              <w:right w:val="single" w:sz="4" w:space="0" w:color="auto"/>
            </w:tcBorders>
            <w:noWrap/>
          </w:tcPr>
          <w:p w14:paraId="713A3589"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 </w:t>
            </w:r>
          </w:p>
        </w:tc>
      </w:tr>
      <w:tr w:rsidR="00CF641C" w:rsidRPr="00520861" w14:paraId="5BE0CFDA" w14:textId="77777777" w:rsidTr="00292D2E">
        <w:trPr>
          <w:trHeight w:val="415"/>
        </w:trPr>
        <w:tc>
          <w:tcPr>
            <w:tcW w:w="1653" w:type="dxa"/>
            <w:tcBorders>
              <w:top w:val="single" w:sz="4" w:space="0" w:color="auto"/>
              <w:left w:val="single" w:sz="4" w:space="0" w:color="auto"/>
              <w:bottom w:val="single" w:sz="4" w:space="0" w:color="auto"/>
              <w:right w:val="single" w:sz="4" w:space="0" w:color="auto"/>
            </w:tcBorders>
            <w:noWrap/>
          </w:tcPr>
          <w:p w14:paraId="56A43F3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28,5</w:t>
            </w:r>
            <w:r w:rsidRPr="00520861">
              <w:rPr>
                <w:rFonts w:eastAsia="Calibri"/>
                <w:sz w:val="28"/>
                <w:szCs w:val="28"/>
              </w:rPr>
              <w:sym w:font="Symbol" w:char="F0B1"/>
            </w:r>
            <w:r w:rsidRPr="00520861">
              <w:rPr>
                <w:rFonts w:eastAsia="Calibri"/>
                <w:sz w:val="28"/>
                <w:szCs w:val="28"/>
              </w:rPr>
              <w:t>2,2</w:t>
            </w:r>
          </w:p>
          <w:p w14:paraId="761A761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(25,8</w:t>
            </w:r>
            <w:r w:rsidRPr="00520861">
              <w:rPr>
                <w:rFonts w:eastAsia="Calibri"/>
                <w:sz w:val="28"/>
                <w:szCs w:val="28"/>
              </w:rPr>
              <w:sym w:font="Symbol" w:char="F0B1"/>
            </w:r>
            <w:r w:rsidRPr="00520861">
              <w:rPr>
                <w:rFonts w:eastAsia="Calibri"/>
                <w:sz w:val="28"/>
                <w:szCs w:val="28"/>
              </w:rPr>
              <w:t>1,9)</w:t>
            </w:r>
          </w:p>
          <w:p w14:paraId="7030A73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52,5/47,5</w:t>
            </w:r>
          </w:p>
        </w:tc>
        <w:tc>
          <w:tcPr>
            <w:tcW w:w="1654" w:type="dxa"/>
            <w:tcBorders>
              <w:top w:val="single" w:sz="4" w:space="0" w:color="auto"/>
              <w:left w:val="single" w:sz="4" w:space="0" w:color="auto"/>
              <w:bottom w:val="single" w:sz="4" w:space="0" w:color="auto"/>
              <w:right w:val="single" w:sz="4" w:space="0" w:color="auto"/>
            </w:tcBorders>
            <w:noWrap/>
          </w:tcPr>
          <w:p w14:paraId="158BF3F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34,2</w:t>
            </w:r>
            <w:r w:rsidRPr="00520861">
              <w:rPr>
                <w:rFonts w:eastAsia="Calibri"/>
                <w:sz w:val="28"/>
                <w:szCs w:val="28"/>
              </w:rPr>
              <w:sym w:font="Symbol" w:char="F0B1"/>
            </w:r>
            <w:r w:rsidRPr="00520861">
              <w:rPr>
                <w:rFonts w:eastAsia="Calibri"/>
                <w:sz w:val="28"/>
                <w:szCs w:val="28"/>
              </w:rPr>
              <w:t>2,3</w:t>
            </w:r>
          </w:p>
          <w:p w14:paraId="351B6F3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(31,1</w:t>
            </w:r>
            <w:r w:rsidRPr="00520861">
              <w:rPr>
                <w:rFonts w:eastAsia="Calibri"/>
                <w:sz w:val="28"/>
                <w:szCs w:val="28"/>
              </w:rPr>
              <w:sym w:font="Symbol" w:char="F0B1"/>
            </w:r>
            <w:r w:rsidRPr="00520861">
              <w:rPr>
                <w:rFonts w:eastAsia="Calibri"/>
                <w:sz w:val="28"/>
                <w:szCs w:val="28"/>
              </w:rPr>
              <w:t>2,5)</w:t>
            </w:r>
          </w:p>
          <w:p w14:paraId="7885C5E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52,4/47,6</w:t>
            </w:r>
          </w:p>
        </w:tc>
        <w:tc>
          <w:tcPr>
            <w:tcW w:w="1654" w:type="dxa"/>
            <w:tcBorders>
              <w:top w:val="single" w:sz="4" w:space="0" w:color="auto"/>
              <w:left w:val="single" w:sz="4" w:space="0" w:color="auto"/>
              <w:bottom w:val="single" w:sz="4" w:space="0" w:color="auto"/>
              <w:right w:val="single" w:sz="4" w:space="0" w:color="auto"/>
            </w:tcBorders>
            <w:noWrap/>
          </w:tcPr>
          <w:p w14:paraId="3F06089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35,4</w:t>
            </w:r>
            <w:r w:rsidRPr="00520861">
              <w:rPr>
                <w:rFonts w:eastAsia="Calibri"/>
                <w:sz w:val="28"/>
                <w:szCs w:val="28"/>
              </w:rPr>
              <w:sym w:font="Symbol" w:char="F0B1"/>
            </w:r>
            <w:r w:rsidRPr="00520861">
              <w:rPr>
                <w:rFonts w:eastAsia="Calibri"/>
                <w:sz w:val="28"/>
                <w:szCs w:val="28"/>
              </w:rPr>
              <w:t>3,0</w:t>
            </w:r>
          </w:p>
          <w:p w14:paraId="65850C7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(31,1</w:t>
            </w:r>
            <w:r w:rsidRPr="00520861">
              <w:rPr>
                <w:rFonts w:eastAsia="Calibri"/>
                <w:sz w:val="28"/>
                <w:szCs w:val="28"/>
              </w:rPr>
              <w:sym w:font="Symbol" w:char="F0B1"/>
            </w:r>
            <w:r w:rsidRPr="00520861">
              <w:rPr>
                <w:rFonts w:eastAsia="Calibri"/>
                <w:sz w:val="28"/>
                <w:szCs w:val="28"/>
              </w:rPr>
              <w:t>3,3)</w:t>
            </w:r>
          </w:p>
          <w:p w14:paraId="3C3CB34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53,1/46,9</w:t>
            </w:r>
          </w:p>
        </w:tc>
        <w:tc>
          <w:tcPr>
            <w:tcW w:w="1654" w:type="dxa"/>
            <w:tcBorders>
              <w:top w:val="single" w:sz="4" w:space="0" w:color="auto"/>
              <w:left w:val="single" w:sz="4" w:space="0" w:color="auto"/>
              <w:bottom w:val="single" w:sz="4" w:space="0" w:color="auto"/>
              <w:right w:val="single" w:sz="4" w:space="0" w:color="auto"/>
            </w:tcBorders>
            <w:noWrap/>
          </w:tcPr>
          <w:p w14:paraId="7FB6C0D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34,3</w:t>
            </w:r>
            <w:r w:rsidRPr="00520861">
              <w:rPr>
                <w:rFonts w:eastAsia="Calibri"/>
                <w:sz w:val="28"/>
                <w:szCs w:val="28"/>
              </w:rPr>
              <w:sym w:font="Symbol" w:char="F0B1"/>
            </w:r>
            <w:r w:rsidRPr="00520861">
              <w:rPr>
                <w:rFonts w:eastAsia="Calibri"/>
                <w:sz w:val="28"/>
                <w:szCs w:val="28"/>
              </w:rPr>
              <w:t>5,1</w:t>
            </w:r>
          </w:p>
          <w:p w14:paraId="2112248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(31,2</w:t>
            </w:r>
            <w:r w:rsidRPr="00520861">
              <w:rPr>
                <w:rFonts w:eastAsia="Calibri"/>
                <w:sz w:val="28"/>
                <w:szCs w:val="28"/>
              </w:rPr>
              <w:sym w:font="Symbol" w:char="F0B1"/>
            </w:r>
            <w:r w:rsidRPr="00520861">
              <w:rPr>
                <w:rFonts w:eastAsia="Calibri"/>
                <w:sz w:val="28"/>
                <w:szCs w:val="28"/>
              </w:rPr>
              <w:t>6,1)</w:t>
            </w:r>
          </w:p>
          <w:p w14:paraId="5010DA5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52,3/47,7</w:t>
            </w:r>
          </w:p>
        </w:tc>
        <w:tc>
          <w:tcPr>
            <w:tcW w:w="1654" w:type="dxa"/>
            <w:tcBorders>
              <w:top w:val="single" w:sz="4" w:space="0" w:color="auto"/>
              <w:left w:val="single" w:sz="4" w:space="0" w:color="auto"/>
              <w:bottom w:val="single" w:sz="4" w:space="0" w:color="auto"/>
              <w:right w:val="single" w:sz="4" w:space="0" w:color="auto"/>
            </w:tcBorders>
            <w:noWrap/>
          </w:tcPr>
          <w:p w14:paraId="3194058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34,3</w:t>
            </w:r>
            <w:r w:rsidRPr="00520861">
              <w:rPr>
                <w:rFonts w:eastAsia="Calibri"/>
                <w:sz w:val="28"/>
                <w:szCs w:val="28"/>
              </w:rPr>
              <w:sym w:font="Symbol" w:char="F0B1"/>
            </w:r>
            <w:r w:rsidRPr="00520861">
              <w:rPr>
                <w:rFonts w:eastAsia="Calibri"/>
                <w:sz w:val="28"/>
                <w:szCs w:val="28"/>
              </w:rPr>
              <w:t>8,8</w:t>
            </w:r>
          </w:p>
          <w:p w14:paraId="16A4FD6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(34,6</w:t>
            </w:r>
            <w:r w:rsidRPr="00520861">
              <w:rPr>
                <w:rFonts w:eastAsia="Calibri"/>
                <w:sz w:val="28"/>
                <w:szCs w:val="28"/>
              </w:rPr>
              <w:sym w:font="Symbol" w:char="F0B1"/>
            </w:r>
            <w:r w:rsidRPr="00520861">
              <w:rPr>
                <w:rFonts w:eastAsia="Calibri"/>
                <w:sz w:val="28"/>
                <w:szCs w:val="28"/>
              </w:rPr>
              <w:t>7,7)</w:t>
            </w:r>
          </w:p>
          <w:p w14:paraId="529A782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49,8/50,2</w:t>
            </w:r>
          </w:p>
        </w:tc>
        <w:tc>
          <w:tcPr>
            <w:tcW w:w="1654" w:type="dxa"/>
            <w:tcBorders>
              <w:top w:val="single" w:sz="4" w:space="0" w:color="auto"/>
              <w:left w:val="single" w:sz="4" w:space="0" w:color="auto"/>
              <w:bottom w:val="single" w:sz="4" w:space="0" w:color="auto"/>
              <w:right w:val="single" w:sz="4" w:space="0" w:color="auto"/>
            </w:tcBorders>
            <w:noWrap/>
          </w:tcPr>
          <w:p w14:paraId="0B00C6F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27,3</w:t>
            </w:r>
            <w:r w:rsidRPr="00520861">
              <w:rPr>
                <w:rFonts w:eastAsia="Calibri"/>
                <w:sz w:val="28"/>
                <w:szCs w:val="28"/>
              </w:rPr>
              <w:sym w:font="Symbol" w:char="F0B1"/>
            </w:r>
            <w:r w:rsidRPr="00520861">
              <w:rPr>
                <w:rFonts w:eastAsia="Calibri"/>
                <w:sz w:val="28"/>
                <w:szCs w:val="28"/>
              </w:rPr>
              <w:t>5,9</w:t>
            </w:r>
          </w:p>
          <w:p w14:paraId="37DEA8A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(24,9</w:t>
            </w:r>
            <w:r w:rsidRPr="00520861">
              <w:rPr>
                <w:rFonts w:eastAsia="Calibri"/>
                <w:sz w:val="28"/>
                <w:szCs w:val="28"/>
              </w:rPr>
              <w:sym w:font="Symbol" w:char="F0B1"/>
            </w:r>
            <w:r w:rsidRPr="00520861">
              <w:rPr>
                <w:rFonts w:eastAsia="Calibri"/>
                <w:sz w:val="28"/>
                <w:szCs w:val="28"/>
              </w:rPr>
              <w:t>9,9)</w:t>
            </w:r>
          </w:p>
          <w:p w14:paraId="73FA141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52,3/47,7</w:t>
            </w:r>
          </w:p>
        </w:tc>
      </w:tr>
    </w:tbl>
    <w:p w14:paraId="5A92CBD0" w14:textId="77777777" w:rsidR="00CF641C" w:rsidRPr="00520861" w:rsidRDefault="00CF641C" w:rsidP="00292D2E">
      <w:pPr>
        <w:widowControl w:val="0"/>
        <w:spacing w:line="360" w:lineRule="auto"/>
        <w:ind w:firstLine="708"/>
        <w:jc w:val="both"/>
        <w:rPr>
          <w:rFonts w:eastAsiaTheme="minorHAnsi"/>
          <w:sz w:val="28"/>
          <w:szCs w:val="28"/>
          <w:lang w:eastAsia="en-US"/>
        </w:rPr>
      </w:pPr>
    </w:p>
    <w:p w14:paraId="4CA1E0CD" w14:textId="77777777" w:rsidR="00CF641C" w:rsidRPr="00520861" w:rsidRDefault="00CF641C"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lastRenderedPageBreak/>
        <w:t xml:space="preserve">Отже, діти першого року життя, чиї МРП при народженні були вищими </w:t>
      </w:r>
      <w:r w:rsidRPr="00520861">
        <w:rPr>
          <w:rFonts w:eastAsiaTheme="minorHAnsi"/>
          <w:sz w:val="28"/>
          <w:szCs w:val="28"/>
          <w:lang w:eastAsia="en-US"/>
        </w:rPr>
        <w:br/>
        <w:t xml:space="preserve">за норму, мають вірогідно вищі ризики формування </w:t>
      </w:r>
      <w:proofErr w:type="spellStart"/>
      <w:r w:rsidRPr="00520861">
        <w:rPr>
          <w:rFonts w:eastAsiaTheme="minorHAnsi"/>
          <w:sz w:val="28"/>
          <w:szCs w:val="28"/>
          <w:lang w:eastAsia="en-US"/>
        </w:rPr>
        <w:t>СтП</w:t>
      </w:r>
      <w:proofErr w:type="spellEnd"/>
      <w:r w:rsidRPr="00520861">
        <w:rPr>
          <w:rFonts w:eastAsiaTheme="minorHAnsi"/>
          <w:sz w:val="28"/>
          <w:szCs w:val="28"/>
          <w:lang w:eastAsia="en-US"/>
        </w:rPr>
        <w:t xml:space="preserve">, ніж діти відповідного віку, які народилися </w:t>
      </w:r>
      <w:proofErr w:type="spellStart"/>
      <w:r w:rsidRPr="00520861">
        <w:rPr>
          <w:rFonts w:eastAsiaTheme="minorHAnsi"/>
          <w:sz w:val="28"/>
          <w:szCs w:val="28"/>
          <w:lang w:eastAsia="en-US"/>
        </w:rPr>
        <w:t>нормосомами</w:t>
      </w:r>
      <w:proofErr w:type="spellEnd"/>
      <w:r w:rsidRPr="00520861">
        <w:rPr>
          <w:rFonts w:eastAsiaTheme="minorHAnsi"/>
          <w:sz w:val="28"/>
          <w:szCs w:val="28"/>
          <w:lang w:eastAsia="en-US"/>
        </w:rPr>
        <w:t xml:space="preserve">, різні антропометричні показники на момент </w:t>
      </w:r>
      <w:r w:rsidRPr="00520861">
        <w:rPr>
          <w:rFonts w:eastAsiaTheme="minorHAnsi"/>
          <w:sz w:val="28"/>
          <w:szCs w:val="28"/>
          <w:lang w:eastAsia="en-US"/>
        </w:rPr>
        <w:br/>
        <w:t>народження мають своє відображення на стані соматичного здоров’я таких дітей та стоматологічному статусі зокрема [317].</w:t>
      </w:r>
    </w:p>
    <w:p w14:paraId="7939E412" w14:textId="77777777" w:rsidR="00CF641C" w:rsidRPr="00520861" w:rsidRDefault="00CF641C" w:rsidP="00292D2E">
      <w:pPr>
        <w:widowControl w:val="0"/>
        <w:spacing w:line="360" w:lineRule="auto"/>
        <w:ind w:firstLine="708"/>
        <w:jc w:val="both"/>
        <w:rPr>
          <w:rFonts w:eastAsiaTheme="minorHAnsi"/>
          <w:sz w:val="28"/>
          <w:szCs w:val="28"/>
          <w:lang w:eastAsia="en-US"/>
        </w:rPr>
      </w:pPr>
    </w:p>
    <w:p w14:paraId="3CEF914F" w14:textId="77777777" w:rsidR="00CF641C" w:rsidRPr="00520861" w:rsidRDefault="00CF641C" w:rsidP="00292D2E">
      <w:pPr>
        <w:widowControl w:val="0"/>
        <w:tabs>
          <w:tab w:val="left" w:pos="851"/>
        </w:tabs>
        <w:spacing w:line="360" w:lineRule="auto"/>
        <w:ind w:firstLine="709"/>
        <w:contextualSpacing/>
        <w:jc w:val="both"/>
        <w:rPr>
          <w:rFonts w:eastAsia="Calibri"/>
          <w:b/>
          <w:sz w:val="28"/>
          <w:szCs w:val="28"/>
          <w:lang w:eastAsia="en-US"/>
        </w:rPr>
      </w:pPr>
      <w:r w:rsidRPr="00520861">
        <w:rPr>
          <w:rFonts w:eastAsia="Calibri"/>
          <w:b/>
          <w:sz w:val="28"/>
          <w:szCs w:val="28"/>
          <w:lang w:eastAsia="en-US"/>
        </w:rPr>
        <w:t xml:space="preserve">4.3. Залежність ризику виникнення стоматологічних порушень у дітей та підлітків, народжених із </w:t>
      </w:r>
      <w:proofErr w:type="spellStart"/>
      <w:r w:rsidRPr="00520861">
        <w:rPr>
          <w:rFonts w:eastAsia="Calibri"/>
          <w:b/>
          <w:sz w:val="28"/>
          <w:szCs w:val="28"/>
          <w:lang w:eastAsia="en-US"/>
        </w:rPr>
        <w:t>макросомією</w:t>
      </w:r>
      <w:proofErr w:type="spellEnd"/>
      <w:r w:rsidRPr="00520861">
        <w:rPr>
          <w:rFonts w:eastAsia="Calibri"/>
          <w:b/>
          <w:sz w:val="28"/>
          <w:szCs w:val="28"/>
          <w:lang w:eastAsia="en-US"/>
        </w:rPr>
        <w:t>, від індексу маси тіла при народженні</w:t>
      </w:r>
    </w:p>
    <w:p w14:paraId="4DA64676"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7EE9F0A2" w14:textId="77777777" w:rsidR="00CF641C" w:rsidRPr="00520861" w:rsidRDefault="00CF641C" w:rsidP="00292D2E">
      <w:pPr>
        <w:widowControl w:val="0"/>
        <w:spacing w:line="360" w:lineRule="auto"/>
        <w:ind w:firstLine="708"/>
        <w:contextualSpacing/>
        <w:jc w:val="both"/>
        <w:rPr>
          <w:rFonts w:eastAsia="Calibri"/>
          <w:b/>
          <w:sz w:val="28"/>
          <w:szCs w:val="28"/>
          <w:lang w:eastAsia="en-US"/>
        </w:rPr>
      </w:pPr>
      <w:r w:rsidRPr="00520861">
        <w:rPr>
          <w:rFonts w:eastAsia="Calibri"/>
          <w:sz w:val="28"/>
          <w:szCs w:val="28"/>
          <w:lang w:eastAsia="en-US"/>
        </w:rPr>
        <w:t xml:space="preserve">Серед дітей та підлітків ОГ, порівняно з ГП, було менше осіб, які мали «мінімальний ризик» і «ризик» (табл. 4.10), натомість вірогідно більше осіб, чий ризик виникнення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був оцінений як «високий» [43].</w:t>
      </w:r>
    </w:p>
    <w:p w14:paraId="6FC179E6" w14:textId="77777777" w:rsidR="00CF641C" w:rsidRPr="00520861" w:rsidRDefault="00CF641C"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t>Таблиця 4.10</w:t>
      </w:r>
    </w:p>
    <w:p w14:paraId="6C6E60EA" w14:textId="77777777" w:rsidR="00CF641C" w:rsidRPr="00520861" w:rsidRDefault="00CF641C" w:rsidP="00292D2E">
      <w:pPr>
        <w:widowControl w:val="0"/>
        <w:spacing w:line="360" w:lineRule="auto"/>
        <w:contextualSpacing/>
        <w:jc w:val="center"/>
        <w:rPr>
          <w:rFonts w:eastAsia="Calibri"/>
          <w:b/>
          <w:sz w:val="28"/>
          <w:szCs w:val="28"/>
          <w:lang w:eastAsia="en-US"/>
        </w:rPr>
      </w:pPr>
      <w:r w:rsidRPr="00520861">
        <w:rPr>
          <w:rFonts w:eastAsia="Calibri"/>
          <w:b/>
          <w:sz w:val="28"/>
          <w:szCs w:val="28"/>
          <w:lang w:eastAsia="en-US"/>
        </w:rPr>
        <w:t>Зведені бальні оцінки результатів тестування дітей та підлітків (</w:t>
      </w:r>
      <w:r w:rsidRPr="00520861">
        <w:rPr>
          <w:rFonts w:eastAsiaTheme="minorHAnsi"/>
          <w:b/>
          <w:sz w:val="28"/>
          <w:szCs w:val="28"/>
          <w:lang w:eastAsia="en-US"/>
        </w:rPr>
        <w:t xml:space="preserve">їхній процент) та 95% ДІ у </w:t>
      </w:r>
      <w:r w:rsidRPr="00520861">
        <w:rPr>
          <w:rFonts w:eastAsia="Calibri"/>
          <w:b/>
          <w:sz w:val="28"/>
          <w:szCs w:val="28"/>
          <w:lang w:eastAsia="en-US"/>
        </w:rPr>
        <w:t>ГП, ОГ та підгрупах у залежності від ступеня ризику</w:t>
      </w:r>
    </w:p>
    <w:tbl>
      <w:tblPr>
        <w:tblStyle w:val="61"/>
        <w:tblW w:w="10060" w:type="dxa"/>
        <w:tblLook w:val="04A0" w:firstRow="1" w:lastRow="0" w:firstColumn="1" w:lastColumn="0" w:noHBand="0" w:noVBand="1"/>
      </w:tblPr>
      <w:tblGrid>
        <w:gridCol w:w="1413"/>
        <w:gridCol w:w="2055"/>
        <w:gridCol w:w="2197"/>
        <w:gridCol w:w="2197"/>
        <w:gridCol w:w="2198"/>
      </w:tblGrid>
      <w:tr w:rsidR="00CF641C" w:rsidRPr="00520861" w14:paraId="55817374" w14:textId="77777777" w:rsidTr="00292D2E">
        <w:tc>
          <w:tcPr>
            <w:tcW w:w="1413" w:type="dxa"/>
            <w:tcBorders>
              <w:top w:val="single" w:sz="4" w:space="0" w:color="auto"/>
              <w:left w:val="single" w:sz="4" w:space="0" w:color="auto"/>
              <w:bottom w:val="single" w:sz="4" w:space="0" w:color="auto"/>
              <w:right w:val="single" w:sz="4" w:space="0" w:color="auto"/>
            </w:tcBorders>
            <w:hideMark/>
          </w:tcPr>
          <w:p w14:paraId="6188F4A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Групи та підгрупи</w:t>
            </w:r>
          </w:p>
        </w:tc>
        <w:tc>
          <w:tcPr>
            <w:tcW w:w="2055" w:type="dxa"/>
            <w:tcBorders>
              <w:top w:val="single" w:sz="4" w:space="0" w:color="auto"/>
              <w:left w:val="single" w:sz="4" w:space="0" w:color="auto"/>
              <w:bottom w:val="single" w:sz="4" w:space="0" w:color="auto"/>
              <w:right w:val="single" w:sz="4" w:space="0" w:color="auto"/>
            </w:tcBorders>
            <w:hideMark/>
          </w:tcPr>
          <w:p w14:paraId="5E1EB06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Мінімальний ризик</w:t>
            </w:r>
          </w:p>
        </w:tc>
        <w:tc>
          <w:tcPr>
            <w:tcW w:w="2197" w:type="dxa"/>
            <w:tcBorders>
              <w:top w:val="single" w:sz="4" w:space="0" w:color="auto"/>
              <w:left w:val="single" w:sz="4" w:space="0" w:color="auto"/>
              <w:bottom w:val="single" w:sz="4" w:space="0" w:color="auto"/>
              <w:right w:val="single" w:sz="4" w:space="0" w:color="auto"/>
            </w:tcBorders>
            <w:hideMark/>
          </w:tcPr>
          <w:p w14:paraId="5A62B51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Ризик</w:t>
            </w:r>
          </w:p>
        </w:tc>
        <w:tc>
          <w:tcPr>
            <w:tcW w:w="2197" w:type="dxa"/>
            <w:tcBorders>
              <w:top w:val="single" w:sz="4" w:space="0" w:color="auto"/>
              <w:left w:val="single" w:sz="4" w:space="0" w:color="auto"/>
              <w:bottom w:val="single" w:sz="4" w:space="0" w:color="auto"/>
              <w:right w:val="single" w:sz="4" w:space="0" w:color="auto"/>
            </w:tcBorders>
            <w:hideMark/>
          </w:tcPr>
          <w:p w14:paraId="17CAF4E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Суттєвий </w:t>
            </w:r>
          </w:p>
          <w:p w14:paraId="6020F8F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ризик</w:t>
            </w:r>
          </w:p>
        </w:tc>
        <w:tc>
          <w:tcPr>
            <w:tcW w:w="2198" w:type="dxa"/>
            <w:tcBorders>
              <w:top w:val="single" w:sz="4" w:space="0" w:color="auto"/>
              <w:left w:val="single" w:sz="4" w:space="0" w:color="auto"/>
              <w:bottom w:val="single" w:sz="4" w:space="0" w:color="auto"/>
              <w:right w:val="single" w:sz="4" w:space="0" w:color="auto"/>
            </w:tcBorders>
            <w:hideMark/>
          </w:tcPr>
          <w:p w14:paraId="6BFBC90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Високий </w:t>
            </w:r>
          </w:p>
          <w:p w14:paraId="355D408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ризик</w:t>
            </w:r>
          </w:p>
        </w:tc>
      </w:tr>
      <w:tr w:rsidR="00CF641C" w:rsidRPr="00520861" w14:paraId="08A2F405" w14:textId="77777777" w:rsidTr="00292D2E">
        <w:tc>
          <w:tcPr>
            <w:tcW w:w="1413" w:type="dxa"/>
            <w:tcBorders>
              <w:top w:val="single" w:sz="4" w:space="0" w:color="auto"/>
              <w:left w:val="single" w:sz="4" w:space="0" w:color="auto"/>
              <w:bottom w:val="single" w:sz="4" w:space="0" w:color="auto"/>
              <w:right w:val="single" w:sz="4" w:space="0" w:color="auto"/>
            </w:tcBorders>
            <w:hideMark/>
          </w:tcPr>
          <w:p w14:paraId="6236FF0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ГП</w:t>
            </w:r>
          </w:p>
        </w:tc>
        <w:tc>
          <w:tcPr>
            <w:tcW w:w="2055" w:type="dxa"/>
            <w:tcBorders>
              <w:top w:val="single" w:sz="4" w:space="0" w:color="auto"/>
              <w:left w:val="single" w:sz="4" w:space="0" w:color="auto"/>
              <w:bottom w:val="single" w:sz="4" w:space="0" w:color="auto"/>
              <w:right w:val="single" w:sz="4" w:space="0" w:color="auto"/>
            </w:tcBorders>
            <w:hideMark/>
          </w:tcPr>
          <w:p w14:paraId="72E1CFB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4 (9,8%); </w:t>
            </w:r>
          </w:p>
          <w:p w14:paraId="5BEA46B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4,1% – 19,9%</w:t>
            </w:r>
          </w:p>
        </w:tc>
        <w:tc>
          <w:tcPr>
            <w:tcW w:w="2197" w:type="dxa"/>
            <w:tcBorders>
              <w:top w:val="single" w:sz="4" w:space="0" w:color="auto"/>
              <w:left w:val="single" w:sz="4" w:space="0" w:color="auto"/>
              <w:bottom w:val="single" w:sz="4" w:space="0" w:color="auto"/>
              <w:right w:val="single" w:sz="4" w:space="0" w:color="auto"/>
            </w:tcBorders>
            <w:hideMark/>
          </w:tcPr>
          <w:p w14:paraId="45A8C7C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13 (31,7%); 20,1% – 45,5%</w:t>
            </w:r>
          </w:p>
        </w:tc>
        <w:tc>
          <w:tcPr>
            <w:tcW w:w="2197" w:type="dxa"/>
            <w:tcBorders>
              <w:top w:val="single" w:sz="4" w:space="0" w:color="auto"/>
              <w:left w:val="single" w:sz="4" w:space="0" w:color="auto"/>
              <w:bottom w:val="single" w:sz="4" w:space="0" w:color="auto"/>
              <w:right w:val="single" w:sz="4" w:space="0" w:color="auto"/>
            </w:tcBorders>
            <w:hideMark/>
          </w:tcPr>
          <w:p w14:paraId="7704240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22 (53,6%); 39,7% – 67,1%</w:t>
            </w:r>
          </w:p>
        </w:tc>
        <w:tc>
          <w:tcPr>
            <w:tcW w:w="2198" w:type="dxa"/>
            <w:tcBorders>
              <w:top w:val="single" w:sz="4" w:space="0" w:color="auto"/>
              <w:left w:val="single" w:sz="4" w:space="0" w:color="auto"/>
              <w:bottom w:val="single" w:sz="4" w:space="0" w:color="auto"/>
              <w:right w:val="single" w:sz="4" w:space="0" w:color="auto"/>
            </w:tcBorders>
            <w:hideMark/>
          </w:tcPr>
          <w:p w14:paraId="74E8315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 (4,9%);</w:t>
            </w:r>
          </w:p>
          <w:p w14:paraId="0AB97AA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1,5% – 12,9%</w:t>
            </w:r>
          </w:p>
        </w:tc>
      </w:tr>
      <w:tr w:rsidR="00CF641C" w:rsidRPr="00520861" w14:paraId="5905CFBD" w14:textId="77777777" w:rsidTr="00292D2E">
        <w:tc>
          <w:tcPr>
            <w:tcW w:w="1413" w:type="dxa"/>
            <w:tcBorders>
              <w:top w:val="single" w:sz="4" w:space="0" w:color="auto"/>
              <w:left w:val="single" w:sz="4" w:space="0" w:color="auto"/>
              <w:bottom w:val="single" w:sz="4" w:space="0" w:color="auto"/>
              <w:right w:val="single" w:sz="4" w:space="0" w:color="auto"/>
            </w:tcBorders>
            <w:hideMark/>
          </w:tcPr>
          <w:p w14:paraId="6E7822C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ОГ</w:t>
            </w:r>
          </w:p>
        </w:tc>
        <w:tc>
          <w:tcPr>
            <w:tcW w:w="2055" w:type="dxa"/>
            <w:tcBorders>
              <w:top w:val="single" w:sz="4" w:space="0" w:color="auto"/>
              <w:left w:val="single" w:sz="4" w:space="0" w:color="auto"/>
              <w:bottom w:val="single" w:sz="4" w:space="0" w:color="auto"/>
              <w:right w:val="single" w:sz="4" w:space="0" w:color="auto"/>
            </w:tcBorders>
            <w:hideMark/>
          </w:tcPr>
          <w:p w14:paraId="11DA362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1 (1,2%); </w:t>
            </w:r>
          </w:p>
          <w:p w14:paraId="7B5B7F1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0,3% – 4,4%</w:t>
            </w:r>
          </w:p>
        </w:tc>
        <w:tc>
          <w:tcPr>
            <w:tcW w:w="2197" w:type="dxa"/>
            <w:tcBorders>
              <w:top w:val="single" w:sz="4" w:space="0" w:color="auto"/>
              <w:left w:val="single" w:sz="4" w:space="0" w:color="auto"/>
              <w:bottom w:val="single" w:sz="4" w:space="0" w:color="auto"/>
              <w:right w:val="single" w:sz="4" w:space="0" w:color="auto"/>
            </w:tcBorders>
            <w:hideMark/>
          </w:tcPr>
          <w:p w14:paraId="002816F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17 (20,7%); 13,6% – 29,7% </w:t>
            </w:r>
          </w:p>
        </w:tc>
        <w:tc>
          <w:tcPr>
            <w:tcW w:w="2197" w:type="dxa"/>
            <w:tcBorders>
              <w:top w:val="single" w:sz="4" w:space="0" w:color="auto"/>
              <w:left w:val="single" w:sz="4" w:space="0" w:color="auto"/>
              <w:bottom w:val="single" w:sz="4" w:space="0" w:color="auto"/>
              <w:right w:val="single" w:sz="4" w:space="0" w:color="auto"/>
            </w:tcBorders>
            <w:hideMark/>
          </w:tcPr>
          <w:p w14:paraId="1D05A16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47 (57,4%); 47,1% – 67,0%</w:t>
            </w:r>
          </w:p>
        </w:tc>
        <w:tc>
          <w:tcPr>
            <w:tcW w:w="2198" w:type="dxa"/>
            <w:tcBorders>
              <w:top w:val="single" w:sz="4" w:space="0" w:color="auto"/>
              <w:left w:val="single" w:sz="4" w:space="0" w:color="auto"/>
              <w:bottom w:val="single" w:sz="4" w:space="0" w:color="auto"/>
              <w:right w:val="single" w:sz="4" w:space="0" w:color="auto"/>
            </w:tcBorders>
            <w:hideMark/>
          </w:tcPr>
          <w:p w14:paraId="7C0EA61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17 (20,7%); 13,6% – 29,7%</w:t>
            </w:r>
            <w:r w:rsidRPr="00520861">
              <w:rPr>
                <w:sz w:val="28"/>
                <w:szCs w:val="28"/>
              </w:rPr>
              <w:t>†</w:t>
            </w:r>
          </w:p>
        </w:tc>
      </w:tr>
      <w:tr w:rsidR="00CF641C" w:rsidRPr="00520861" w14:paraId="4D3C3486" w14:textId="77777777" w:rsidTr="00292D2E">
        <w:tc>
          <w:tcPr>
            <w:tcW w:w="1413" w:type="dxa"/>
            <w:tcBorders>
              <w:top w:val="single" w:sz="4" w:space="0" w:color="auto"/>
              <w:left w:val="single" w:sz="4" w:space="0" w:color="auto"/>
              <w:bottom w:val="single" w:sz="4" w:space="0" w:color="auto"/>
              <w:right w:val="single" w:sz="4" w:space="0" w:color="auto"/>
            </w:tcBorders>
            <w:hideMark/>
          </w:tcPr>
          <w:p w14:paraId="4EFF5F59"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2055" w:type="dxa"/>
            <w:tcBorders>
              <w:top w:val="single" w:sz="4" w:space="0" w:color="auto"/>
              <w:left w:val="single" w:sz="4" w:space="0" w:color="auto"/>
              <w:bottom w:val="single" w:sz="4" w:space="0" w:color="auto"/>
              <w:right w:val="single" w:sz="4" w:space="0" w:color="auto"/>
            </w:tcBorders>
            <w:hideMark/>
          </w:tcPr>
          <w:p w14:paraId="35F9C36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0 (0,0%); </w:t>
            </w:r>
          </w:p>
          <w:p w14:paraId="49CB349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 – 11,6%</w:t>
            </w:r>
          </w:p>
        </w:tc>
        <w:tc>
          <w:tcPr>
            <w:tcW w:w="2197" w:type="dxa"/>
            <w:tcBorders>
              <w:top w:val="single" w:sz="4" w:space="0" w:color="auto"/>
              <w:left w:val="single" w:sz="4" w:space="0" w:color="auto"/>
              <w:bottom w:val="single" w:sz="4" w:space="0" w:color="auto"/>
              <w:right w:val="single" w:sz="4" w:space="0" w:color="auto"/>
            </w:tcBorders>
            <w:hideMark/>
          </w:tcPr>
          <w:p w14:paraId="13AD78B3"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7 (23,3%); 12,3% – 38,6%</w:t>
            </w:r>
          </w:p>
        </w:tc>
        <w:tc>
          <w:tcPr>
            <w:tcW w:w="2197" w:type="dxa"/>
            <w:tcBorders>
              <w:top w:val="single" w:sz="4" w:space="0" w:color="auto"/>
              <w:left w:val="single" w:sz="4" w:space="0" w:color="auto"/>
              <w:bottom w:val="single" w:sz="4" w:space="0" w:color="auto"/>
              <w:right w:val="single" w:sz="4" w:space="0" w:color="auto"/>
            </w:tcBorders>
            <w:hideMark/>
          </w:tcPr>
          <w:p w14:paraId="00FC177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17 (56,7%); 40,6% – 71,7%</w:t>
            </w:r>
          </w:p>
        </w:tc>
        <w:tc>
          <w:tcPr>
            <w:tcW w:w="2198" w:type="dxa"/>
            <w:tcBorders>
              <w:top w:val="single" w:sz="4" w:space="0" w:color="auto"/>
              <w:left w:val="single" w:sz="4" w:space="0" w:color="auto"/>
              <w:bottom w:val="single" w:sz="4" w:space="0" w:color="auto"/>
              <w:right w:val="single" w:sz="4" w:space="0" w:color="auto"/>
            </w:tcBorders>
            <w:hideMark/>
          </w:tcPr>
          <w:p w14:paraId="621CD8B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6 (20,0%); </w:t>
            </w:r>
          </w:p>
          <w:p w14:paraId="07B1DB7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9,9% – 34,7%</w:t>
            </w:r>
          </w:p>
        </w:tc>
      </w:tr>
      <w:tr w:rsidR="00CF641C" w:rsidRPr="00520861" w14:paraId="2A22BA3E" w14:textId="77777777" w:rsidTr="00292D2E">
        <w:tc>
          <w:tcPr>
            <w:tcW w:w="1413" w:type="dxa"/>
            <w:tcBorders>
              <w:top w:val="single" w:sz="4" w:space="0" w:color="auto"/>
              <w:left w:val="single" w:sz="4" w:space="0" w:color="auto"/>
              <w:bottom w:val="single" w:sz="4" w:space="0" w:color="auto"/>
              <w:right w:val="single" w:sz="4" w:space="0" w:color="auto"/>
            </w:tcBorders>
            <w:hideMark/>
          </w:tcPr>
          <w:p w14:paraId="19B7D48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w:t>
            </w:r>
          </w:p>
        </w:tc>
        <w:tc>
          <w:tcPr>
            <w:tcW w:w="2055" w:type="dxa"/>
            <w:tcBorders>
              <w:top w:val="single" w:sz="4" w:space="0" w:color="auto"/>
              <w:left w:val="single" w:sz="4" w:space="0" w:color="auto"/>
              <w:bottom w:val="single" w:sz="4" w:space="0" w:color="auto"/>
              <w:right w:val="single" w:sz="4" w:space="0" w:color="auto"/>
            </w:tcBorders>
            <w:hideMark/>
          </w:tcPr>
          <w:p w14:paraId="3C61A67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0 (0,0%); </w:t>
            </w:r>
          </w:p>
          <w:p w14:paraId="093D335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 – 19,5%</w:t>
            </w:r>
          </w:p>
        </w:tc>
        <w:tc>
          <w:tcPr>
            <w:tcW w:w="2197" w:type="dxa"/>
            <w:tcBorders>
              <w:top w:val="single" w:sz="4" w:space="0" w:color="auto"/>
              <w:left w:val="single" w:sz="4" w:space="0" w:color="auto"/>
              <w:bottom w:val="single" w:sz="4" w:space="0" w:color="auto"/>
              <w:right w:val="single" w:sz="4" w:space="0" w:color="auto"/>
            </w:tcBorders>
            <w:hideMark/>
          </w:tcPr>
          <w:p w14:paraId="0BE7B5A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 (29,4%); 14,2% – 49,9%</w:t>
            </w:r>
          </w:p>
        </w:tc>
        <w:tc>
          <w:tcPr>
            <w:tcW w:w="2197" w:type="dxa"/>
            <w:tcBorders>
              <w:top w:val="single" w:sz="4" w:space="0" w:color="auto"/>
              <w:left w:val="single" w:sz="4" w:space="0" w:color="auto"/>
              <w:bottom w:val="single" w:sz="4" w:space="0" w:color="auto"/>
              <w:right w:val="single" w:sz="4" w:space="0" w:color="auto"/>
            </w:tcBorders>
            <w:hideMark/>
          </w:tcPr>
          <w:p w14:paraId="5331673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9 (53,0%); 32,9% – 72,2%</w:t>
            </w:r>
          </w:p>
        </w:tc>
        <w:tc>
          <w:tcPr>
            <w:tcW w:w="2198" w:type="dxa"/>
            <w:tcBorders>
              <w:top w:val="single" w:sz="4" w:space="0" w:color="auto"/>
              <w:left w:val="single" w:sz="4" w:space="0" w:color="auto"/>
              <w:bottom w:val="single" w:sz="4" w:space="0" w:color="auto"/>
              <w:right w:val="single" w:sz="4" w:space="0" w:color="auto"/>
            </w:tcBorders>
            <w:hideMark/>
          </w:tcPr>
          <w:p w14:paraId="2952949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3 (17,6%); </w:t>
            </w:r>
          </w:p>
          <w:p w14:paraId="601BEB6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6,8% – 36,4%</w:t>
            </w:r>
          </w:p>
        </w:tc>
      </w:tr>
      <w:tr w:rsidR="00CF641C" w:rsidRPr="00520861" w14:paraId="7FD7B568" w14:textId="77777777" w:rsidTr="00292D2E">
        <w:tc>
          <w:tcPr>
            <w:tcW w:w="1413" w:type="dxa"/>
            <w:tcBorders>
              <w:top w:val="single" w:sz="4" w:space="0" w:color="auto"/>
              <w:left w:val="single" w:sz="4" w:space="0" w:color="auto"/>
              <w:bottom w:val="single" w:sz="4" w:space="0" w:color="auto"/>
              <w:right w:val="single" w:sz="4" w:space="0" w:color="auto"/>
            </w:tcBorders>
            <w:hideMark/>
          </w:tcPr>
          <w:p w14:paraId="114F9E9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w:t>
            </w:r>
          </w:p>
        </w:tc>
        <w:tc>
          <w:tcPr>
            <w:tcW w:w="2055" w:type="dxa"/>
            <w:tcBorders>
              <w:top w:val="single" w:sz="4" w:space="0" w:color="auto"/>
              <w:left w:val="single" w:sz="4" w:space="0" w:color="auto"/>
              <w:bottom w:val="single" w:sz="4" w:space="0" w:color="auto"/>
              <w:right w:val="single" w:sz="4" w:space="0" w:color="auto"/>
            </w:tcBorders>
            <w:hideMark/>
          </w:tcPr>
          <w:p w14:paraId="3684A87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0 (0,0%); </w:t>
            </w:r>
          </w:p>
          <w:p w14:paraId="1A3F458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0,2% – 21,8%</w:t>
            </w:r>
          </w:p>
        </w:tc>
        <w:tc>
          <w:tcPr>
            <w:tcW w:w="2197" w:type="dxa"/>
            <w:tcBorders>
              <w:top w:val="single" w:sz="4" w:space="0" w:color="auto"/>
              <w:left w:val="single" w:sz="4" w:space="0" w:color="auto"/>
              <w:bottom w:val="single" w:sz="4" w:space="0" w:color="auto"/>
              <w:right w:val="single" w:sz="4" w:space="0" w:color="auto"/>
            </w:tcBorders>
            <w:hideMark/>
          </w:tcPr>
          <w:p w14:paraId="085C232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3 (20,0%); </w:t>
            </w:r>
          </w:p>
          <w:p w14:paraId="51BCEBA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7,8% – 40,5%</w:t>
            </w:r>
          </w:p>
        </w:tc>
        <w:tc>
          <w:tcPr>
            <w:tcW w:w="2197" w:type="dxa"/>
            <w:tcBorders>
              <w:top w:val="single" w:sz="4" w:space="0" w:color="auto"/>
              <w:left w:val="single" w:sz="4" w:space="0" w:color="auto"/>
              <w:bottom w:val="single" w:sz="4" w:space="0" w:color="auto"/>
              <w:right w:val="single" w:sz="4" w:space="0" w:color="auto"/>
            </w:tcBorders>
            <w:hideMark/>
          </w:tcPr>
          <w:p w14:paraId="57A93BC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7 (46,7%); 26,6% – 67,7%</w:t>
            </w:r>
          </w:p>
        </w:tc>
        <w:tc>
          <w:tcPr>
            <w:tcW w:w="2198" w:type="dxa"/>
            <w:tcBorders>
              <w:top w:val="single" w:sz="4" w:space="0" w:color="auto"/>
              <w:left w:val="single" w:sz="4" w:space="0" w:color="auto"/>
              <w:bottom w:val="single" w:sz="4" w:space="0" w:color="auto"/>
              <w:right w:val="single" w:sz="4" w:space="0" w:color="auto"/>
            </w:tcBorders>
            <w:hideMark/>
          </w:tcPr>
          <w:p w14:paraId="1266765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 (33,3%)</w:t>
            </w:r>
            <w:r w:rsidRPr="00520861">
              <w:rPr>
                <w:sz w:val="28"/>
                <w:szCs w:val="28"/>
              </w:rPr>
              <w:t>†</w:t>
            </w:r>
            <w:r w:rsidRPr="00520861">
              <w:rPr>
                <w:rFonts w:eastAsia="Calibri"/>
                <w:sz w:val="28"/>
                <w:szCs w:val="28"/>
              </w:rPr>
              <w:t>; 16,3% – 55,1%</w:t>
            </w:r>
          </w:p>
        </w:tc>
      </w:tr>
      <w:tr w:rsidR="00CF641C" w:rsidRPr="00520861" w14:paraId="0DF23EDE" w14:textId="77777777" w:rsidTr="00292D2E">
        <w:tc>
          <w:tcPr>
            <w:tcW w:w="1413" w:type="dxa"/>
            <w:tcBorders>
              <w:top w:val="single" w:sz="4" w:space="0" w:color="auto"/>
              <w:left w:val="single" w:sz="4" w:space="0" w:color="auto"/>
              <w:bottom w:val="single" w:sz="4" w:space="0" w:color="auto"/>
              <w:right w:val="single" w:sz="4" w:space="0" w:color="auto"/>
            </w:tcBorders>
            <w:hideMark/>
          </w:tcPr>
          <w:p w14:paraId="11575F0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w:t>
            </w:r>
          </w:p>
        </w:tc>
        <w:tc>
          <w:tcPr>
            <w:tcW w:w="2055" w:type="dxa"/>
            <w:tcBorders>
              <w:top w:val="single" w:sz="4" w:space="0" w:color="auto"/>
              <w:left w:val="single" w:sz="4" w:space="0" w:color="auto"/>
              <w:bottom w:val="single" w:sz="4" w:space="0" w:color="auto"/>
              <w:right w:val="single" w:sz="4" w:space="0" w:color="auto"/>
            </w:tcBorders>
            <w:hideMark/>
          </w:tcPr>
          <w:p w14:paraId="5FE4658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1 (5,0%); </w:t>
            </w:r>
          </w:p>
          <w:p w14:paraId="5817E6C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1,2% – 16,8%</w:t>
            </w:r>
          </w:p>
        </w:tc>
        <w:tc>
          <w:tcPr>
            <w:tcW w:w="2197" w:type="dxa"/>
            <w:tcBorders>
              <w:top w:val="single" w:sz="4" w:space="0" w:color="auto"/>
              <w:left w:val="single" w:sz="4" w:space="0" w:color="auto"/>
              <w:bottom w:val="single" w:sz="4" w:space="0" w:color="auto"/>
              <w:right w:val="single" w:sz="4" w:space="0" w:color="auto"/>
            </w:tcBorders>
            <w:hideMark/>
          </w:tcPr>
          <w:p w14:paraId="27FD280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3 (15,0%); </w:t>
            </w:r>
          </w:p>
          <w:p w14:paraId="35F45B5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5,7% – 31,7%</w:t>
            </w:r>
          </w:p>
        </w:tc>
        <w:tc>
          <w:tcPr>
            <w:tcW w:w="2197" w:type="dxa"/>
            <w:tcBorders>
              <w:top w:val="single" w:sz="4" w:space="0" w:color="auto"/>
              <w:left w:val="single" w:sz="4" w:space="0" w:color="auto"/>
              <w:bottom w:val="single" w:sz="4" w:space="0" w:color="auto"/>
              <w:right w:val="single" w:sz="4" w:space="0" w:color="auto"/>
            </w:tcBorders>
            <w:hideMark/>
          </w:tcPr>
          <w:p w14:paraId="7A60320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13 (65,0%); 45,7% – 80,9%</w:t>
            </w:r>
          </w:p>
        </w:tc>
        <w:tc>
          <w:tcPr>
            <w:tcW w:w="2198" w:type="dxa"/>
            <w:tcBorders>
              <w:top w:val="single" w:sz="4" w:space="0" w:color="auto"/>
              <w:left w:val="single" w:sz="4" w:space="0" w:color="auto"/>
              <w:bottom w:val="single" w:sz="4" w:space="0" w:color="auto"/>
              <w:right w:val="single" w:sz="4" w:space="0" w:color="auto"/>
            </w:tcBorders>
            <w:hideMark/>
          </w:tcPr>
          <w:p w14:paraId="576C1D3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3 (15,0%); </w:t>
            </w:r>
          </w:p>
          <w:p w14:paraId="69A8DB4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5,7% – 31,7%</w:t>
            </w:r>
          </w:p>
        </w:tc>
      </w:tr>
    </w:tbl>
    <w:p w14:paraId="216283F9"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Примітка: † – вірогідно відрізняється від ГП для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sz w:val="28"/>
          <w:szCs w:val="28"/>
        </w:rPr>
        <w:t>.</w:t>
      </w:r>
    </w:p>
    <w:p w14:paraId="5B6D9935" w14:textId="77777777" w:rsidR="00CF641C" w:rsidRPr="00520861" w:rsidRDefault="00CF641C" w:rsidP="00292D2E">
      <w:pPr>
        <w:widowControl w:val="0"/>
        <w:spacing w:line="360" w:lineRule="auto"/>
        <w:ind w:firstLine="708"/>
        <w:contextualSpacing/>
        <w:jc w:val="both"/>
        <w:rPr>
          <w:rFonts w:eastAsia="Calibri"/>
          <w:spacing w:val="-4"/>
          <w:sz w:val="28"/>
          <w:szCs w:val="28"/>
          <w:lang w:eastAsia="en-US"/>
        </w:rPr>
      </w:pPr>
      <w:r w:rsidRPr="00520861">
        <w:rPr>
          <w:rFonts w:eastAsia="Calibri"/>
          <w:spacing w:val="-4"/>
          <w:sz w:val="28"/>
          <w:szCs w:val="28"/>
          <w:lang w:eastAsia="en-US"/>
        </w:rPr>
        <w:lastRenderedPageBreak/>
        <w:t xml:space="preserve">Порівняння сумарної бальної оцінки між підгрупами ОГ свідчить, що діти з </w:t>
      </w:r>
      <w:r w:rsidRPr="00520861">
        <w:rPr>
          <w:rFonts w:eastAsiaTheme="minorHAnsi"/>
          <w:spacing w:val="-4"/>
          <w:sz w:val="28"/>
          <w:szCs w:val="28"/>
          <w:lang w:eastAsia="en-US"/>
        </w:rPr>
        <w:t>під-групи</w:t>
      </w:r>
      <w:r w:rsidRPr="00520861">
        <w:rPr>
          <w:rFonts w:eastAsia="Calibri"/>
          <w:spacing w:val="-4"/>
          <w:sz w:val="28"/>
          <w:szCs w:val="28"/>
          <w:lang w:eastAsia="en-US"/>
        </w:rPr>
        <w:t xml:space="preserve"> 3 та </w:t>
      </w:r>
      <w:r w:rsidRPr="00520861">
        <w:rPr>
          <w:rFonts w:eastAsiaTheme="minorHAnsi"/>
          <w:spacing w:val="-4"/>
          <w:sz w:val="28"/>
          <w:szCs w:val="28"/>
          <w:lang w:eastAsia="en-US"/>
        </w:rPr>
        <w:t>підгрупи</w:t>
      </w:r>
      <w:r w:rsidRPr="00520861">
        <w:rPr>
          <w:rFonts w:eastAsia="Calibri"/>
          <w:spacing w:val="-4"/>
          <w:sz w:val="28"/>
          <w:szCs w:val="28"/>
          <w:lang w:eastAsia="en-US"/>
        </w:rPr>
        <w:t xml:space="preserve"> 4 мають більші ризики виникнення патології тканин </w:t>
      </w:r>
      <w:proofErr w:type="spellStart"/>
      <w:r w:rsidRPr="00520861">
        <w:rPr>
          <w:rFonts w:eastAsia="Calibri"/>
          <w:spacing w:val="-4"/>
          <w:sz w:val="28"/>
          <w:szCs w:val="28"/>
          <w:lang w:eastAsia="en-US"/>
        </w:rPr>
        <w:t>пародонта</w:t>
      </w:r>
      <w:proofErr w:type="spellEnd"/>
      <w:r w:rsidRPr="00520861">
        <w:rPr>
          <w:rFonts w:eastAsia="Calibri"/>
          <w:spacing w:val="-4"/>
          <w:sz w:val="28"/>
          <w:szCs w:val="28"/>
          <w:lang w:eastAsia="en-US"/>
        </w:rPr>
        <w:t xml:space="preserve"> й твердих тканин зубів порівняно з іншими (табл. 4.11). Важливо вказати, що в 33 (40,2%) дітей ОГ, а саме: у 14 (46,7%), 5 (29,4%), 6 (40%) та 8 (40%) дітей підгруп 1, 2, 3 та 4 відповідно, а також у 10 (24,4%) дітей ГП хоча б один із батьків народився </w:t>
      </w:r>
      <w:proofErr w:type="spellStart"/>
      <w:r w:rsidRPr="00520861">
        <w:rPr>
          <w:rFonts w:eastAsia="Calibri"/>
          <w:spacing w:val="-4"/>
          <w:sz w:val="28"/>
          <w:szCs w:val="28"/>
          <w:lang w:eastAsia="en-US"/>
        </w:rPr>
        <w:t>макросомом</w:t>
      </w:r>
      <w:proofErr w:type="spellEnd"/>
      <w:r w:rsidRPr="00520861">
        <w:rPr>
          <w:rFonts w:eastAsia="Calibri"/>
          <w:spacing w:val="-4"/>
          <w:sz w:val="28"/>
          <w:szCs w:val="28"/>
          <w:lang w:eastAsia="en-US"/>
        </w:rPr>
        <w:t xml:space="preserve">. </w:t>
      </w:r>
    </w:p>
    <w:p w14:paraId="169B7779"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Бали, набрані учасниками ОГ за шкалою 1, були вищими, проте вірогідно не відрізнялися від балів, набраних особами ГП (табл. 4.11, </w:t>
      </w:r>
      <w:r w:rsidRPr="00520861">
        <w:rPr>
          <w:rFonts w:eastAsiaTheme="minorHAnsi"/>
          <w:sz w:val="28"/>
          <w:szCs w:val="28"/>
          <w:lang w:eastAsia="en-US"/>
        </w:rPr>
        <w:t>табл. Б.1.14</w:t>
      </w:r>
      <w:r w:rsidRPr="00520861">
        <w:rPr>
          <w:rFonts w:eastAsia="Calibri"/>
          <w:sz w:val="28"/>
          <w:szCs w:val="28"/>
          <w:lang w:eastAsia="en-US"/>
        </w:rPr>
        <w:t>). Вірогідної різниці між балами, набраними учасниками ОГ та ГП за шкалою 2, також не виявлено.</w:t>
      </w:r>
    </w:p>
    <w:p w14:paraId="6543220A"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Проте кількість великих антропометричних характеристик матері на момент народження дитини (зріст вищий за 170 см та маса тіла більша від 80 кг) у ГП склала 12,2% (ДІ: 5,6% – 23,1%), а в ОГ – 40,2% (ДІ: 30,7% – 50,4%), отже, була вірогідно більшою. Також високий зріст та велика маса тіла зустрічалися вірогідно частіше в матерів дітей підгрупи 3 46,7% (ДІ: 26,6% – 67,7%) та підгрупи 4 55,0% (ДІ: 36,1% – 72,8%), ніж у матерів дітей ГП. Для батька ПКВ високих антропометричних характеристик на момент народження дитини (зріст вище за 180 см та маса тіла більша від 90 кг) між ОГ та ГП була зіставною.</w:t>
      </w:r>
    </w:p>
    <w:p w14:paraId="5B7DC59A"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Кількість балів, набраних учасниками за шкалою 3, в ОГ була вірогідно більшою від такої в ГП (табл. 4.11, </w:t>
      </w:r>
      <w:r w:rsidRPr="00520861">
        <w:rPr>
          <w:rFonts w:eastAsiaTheme="minorHAnsi"/>
          <w:sz w:val="28"/>
          <w:szCs w:val="28"/>
          <w:lang w:eastAsia="en-US"/>
        </w:rPr>
        <w:t>табл. Б.1.14</w:t>
      </w:r>
      <w:r w:rsidRPr="00520861">
        <w:rPr>
          <w:rFonts w:eastAsia="Calibri"/>
          <w:sz w:val="28"/>
          <w:szCs w:val="28"/>
          <w:lang w:eastAsia="en-US"/>
        </w:rPr>
        <w:t xml:space="preserve">). ПКВ затримки прорізування зубів </w:t>
      </w:r>
      <w:r w:rsidRPr="00520861">
        <w:rPr>
          <w:rFonts w:eastAsia="Calibri"/>
          <w:sz w:val="28"/>
          <w:szCs w:val="28"/>
          <w:lang w:eastAsia="en-US"/>
        </w:rPr>
        <w:br/>
        <w:t xml:space="preserve">у дітей ОГ хоч вірогідно не відрізнялася від такої в ГП, проте була майже вдвічі </w:t>
      </w:r>
      <w:r w:rsidRPr="00520861">
        <w:rPr>
          <w:rFonts w:eastAsia="Calibri"/>
          <w:sz w:val="28"/>
          <w:szCs w:val="28"/>
          <w:lang w:eastAsia="en-US"/>
        </w:rPr>
        <w:br/>
        <w:t>більшою – 15,9% (ДІ: 9,7% – 24,2%) проти 9,8% (ДІ: 4,1% – 19,9%). Найвищу ПКВ затримки прорізування було зафіксовано в дітей із підгрупи 2 (29,4%). У дітей ОГ передчасне прорізування зубів згадувалося батьками практично вдвічі частіше, ніж у ГП, – 18,3% (ДІ: 11,6% – 27,0%) проти 9,8% (ДІ: 4,1% – 19,9%). Батьки підгрупи 1 передчасне прорізування зубів згадували найчастіше – 30,0%.</w:t>
      </w:r>
    </w:p>
    <w:p w14:paraId="03129B56"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На аномалії прикусу батьки ОГ поскаржилися у вірогідно більшій ПКВ – 52,4% (ДІ: 42,3% – 62,4%) порівняно з 26,8% (ДІ: 16,1% – 40,3%) для ГП. Причому від </w:t>
      </w:r>
      <w:r w:rsidRPr="00520861">
        <w:rPr>
          <w:rFonts w:eastAsia="Calibri"/>
          <w:sz w:val="28"/>
          <w:szCs w:val="28"/>
          <w:lang w:eastAsia="en-US"/>
        </w:rPr>
        <w:br/>
        <w:t>батьків дітей з підгрупи 4 позитивна відповідь на запитання про наявність порушень прикусу одержана в 70,0% випадків.</w:t>
      </w:r>
    </w:p>
    <w:p w14:paraId="7BDDE56A"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Індекс </w:t>
      </w:r>
      <w:proofErr w:type="spellStart"/>
      <w:r w:rsidRPr="00520861">
        <w:rPr>
          <w:rFonts w:eastAsia="Calibri"/>
          <w:sz w:val="28"/>
          <w:szCs w:val="28"/>
          <w:lang w:eastAsia="en-US"/>
        </w:rPr>
        <w:t>кпв</w:t>
      </w:r>
      <w:proofErr w:type="spellEnd"/>
      <w:r w:rsidRPr="00520861">
        <w:rPr>
          <w:rFonts w:eastAsia="Calibri"/>
          <w:sz w:val="28"/>
          <w:szCs w:val="28"/>
          <w:lang w:eastAsia="en-US"/>
        </w:rPr>
        <w:t xml:space="preserve"> був більшим за 6 одиниць у вірогідно більшої кількості дітей ОГ, а саме в 56,1% (ДІ: 45,9% – 65,9%) проти 31,7% (ДІ: 20,1% – 45,5%) дітей у ГП.</w:t>
      </w:r>
    </w:p>
    <w:p w14:paraId="0AB7160A" w14:textId="77777777" w:rsidR="00CF641C" w:rsidRPr="00520861" w:rsidRDefault="00CF641C" w:rsidP="00292D2E">
      <w:pPr>
        <w:widowControl w:val="0"/>
        <w:spacing w:line="360" w:lineRule="auto"/>
        <w:ind w:firstLine="708"/>
        <w:contextualSpacing/>
        <w:jc w:val="both"/>
        <w:rPr>
          <w:rFonts w:eastAsia="Calibri"/>
          <w:sz w:val="28"/>
          <w:szCs w:val="28"/>
          <w:lang w:eastAsia="en-US"/>
        </w:rPr>
        <w:sectPr w:rsidR="00CF641C" w:rsidRPr="00520861" w:rsidSect="00292D2E">
          <w:pgSz w:w="11906" w:h="16838"/>
          <w:pgMar w:top="1134" w:right="624" w:bottom="1134" w:left="1134" w:header="709" w:footer="709" w:gutter="0"/>
          <w:cols w:space="708"/>
          <w:docGrid w:linePitch="360"/>
        </w:sectPr>
      </w:pPr>
    </w:p>
    <w:p w14:paraId="2CD531DC" w14:textId="77777777" w:rsidR="00CF641C" w:rsidRPr="00520861" w:rsidRDefault="00CF641C"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lastRenderedPageBreak/>
        <w:t>Таблиця 4.11</w:t>
      </w:r>
    </w:p>
    <w:p w14:paraId="09E68F8E" w14:textId="77777777" w:rsidR="00CF641C" w:rsidRPr="00520861" w:rsidRDefault="00CF641C" w:rsidP="00292D2E">
      <w:pPr>
        <w:widowControl w:val="0"/>
        <w:spacing w:line="360" w:lineRule="auto"/>
        <w:contextualSpacing/>
        <w:jc w:val="center"/>
        <w:rPr>
          <w:rFonts w:eastAsia="Calibri"/>
          <w:b/>
          <w:sz w:val="28"/>
          <w:szCs w:val="28"/>
          <w:lang w:eastAsia="en-US"/>
        </w:rPr>
      </w:pPr>
      <w:r w:rsidRPr="00520861">
        <w:rPr>
          <w:rFonts w:eastAsia="Calibri"/>
          <w:b/>
          <w:sz w:val="28"/>
          <w:szCs w:val="28"/>
          <w:lang w:eastAsia="en-US"/>
        </w:rPr>
        <w:t xml:space="preserve">Зведені бальні оцінки результатів тестування в дітей та підлітків групи порівняння, основної групи та підгруп </w:t>
      </w:r>
      <w:r w:rsidRPr="00520861">
        <w:rPr>
          <w:rFonts w:eastAsia="Calibri"/>
          <w:b/>
          <w:sz w:val="28"/>
          <w:szCs w:val="28"/>
          <w:lang w:eastAsia="en-US"/>
        </w:rPr>
        <w:br/>
        <w:t>у залежності від шкали опитувальника</w:t>
      </w:r>
    </w:p>
    <w:tbl>
      <w:tblPr>
        <w:tblStyle w:val="61"/>
        <w:tblW w:w="14737" w:type="dxa"/>
        <w:tblLayout w:type="fixed"/>
        <w:tblLook w:val="04A0" w:firstRow="1" w:lastRow="0" w:firstColumn="1" w:lastColumn="0" w:noHBand="0" w:noVBand="1"/>
      </w:tblPr>
      <w:tblGrid>
        <w:gridCol w:w="1384"/>
        <w:gridCol w:w="1907"/>
        <w:gridCol w:w="1908"/>
        <w:gridCol w:w="1907"/>
        <w:gridCol w:w="1908"/>
        <w:gridCol w:w="1907"/>
        <w:gridCol w:w="1908"/>
        <w:gridCol w:w="1908"/>
      </w:tblGrid>
      <w:tr w:rsidR="00CF641C" w:rsidRPr="00520861" w14:paraId="05B35A6E" w14:textId="77777777" w:rsidTr="00292D2E">
        <w:trPr>
          <w:trHeight w:val="300"/>
        </w:trPr>
        <w:tc>
          <w:tcPr>
            <w:tcW w:w="1384" w:type="dxa"/>
            <w:tcBorders>
              <w:top w:val="single" w:sz="4" w:space="0" w:color="auto"/>
              <w:left w:val="single" w:sz="4" w:space="0" w:color="auto"/>
              <w:bottom w:val="single" w:sz="4" w:space="0" w:color="auto"/>
              <w:right w:val="single" w:sz="4" w:space="0" w:color="auto"/>
            </w:tcBorders>
            <w:hideMark/>
          </w:tcPr>
          <w:p w14:paraId="6D1DEAC3"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Групи та підгрупи</w:t>
            </w:r>
          </w:p>
        </w:tc>
        <w:tc>
          <w:tcPr>
            <w:tcW w:w="1907" w:type="dxa"/>
            <w:tcBorders>
              <w:top w:val="single" w:sz="4" w:space="0" w:color="auto"/>
              <w:left w:val="single" w:sz="4" w:space="0" w:color="auto"/>
              <w:bottom w:val="single" w:sz="4" w:space="0" w:color="auto"/>
              <w:right w:val="single" w:sz="4" w:space="0" w:color="auto"/>
            </w:tcBorders>
            <w:noWrap/>
            <w:hideMark/>
          </w:tcPr>
          <w:p w14:paraId="2FC4332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Шкала </w:t>
            </w:r>
          </w:p>
          <w:p w14:paraId="14EC146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w:t>
            </w:r>
          </w:p>
        </w:tc>
        <w:tc>
          <w:tcPr>
            <w:tcW w:w="1908" w:type="dxa"/>
            <w:tcBorders>
              <w:top w:val="single" w:sz="4" w:space="0" w:color="auto"/>
              <w:left w:val="single" w:sz="4" w:space="0" w:color="auto"/>
              <w:bottom w:val="single" w:sz="4" w:space="0" w:color="auto"/>
              <w:right w:val="single" w:sz="4" w:space="0" w:color="auto"/>
            </w:tcBorders>
            <w:noWrap/>
            <w:hideMark/>
          </w:tcPr>
          <w:p w14:paraId="3FD758B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Шкала </w:t>
            </w:r>
          </w:p>
          <w:p w14:paraId="4373E94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w:t>
            </w:r>
          </w:p>
        </w:tc>
        <w:tc>
          <w:tcPr>
            <w:tcW w:w="1907" w:type="dxa"/>
            <w:tcBorders>
              <w:top w:val="single" w:sz="4" w:space="0" w:color="auto"/>
              <w:left w:val="single" w:sz="4" w:space="0" w:color="auto"/>
              <w:bottom w:val="single" w:sz="4" w:space="0" w:color="auto"/>
              <w:right w:val="single" w:sz="4" w:space="0" w:color="auto"/>
            </w:tcBorders>
            <w:noWrap/>
            <w:hideMark/>
          </w:tcPr>
          <w:p w14:paraId="50CA3A5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Шкала </w:t>
            </w:r>
          </w:p>
          <w:p w14:paraId="792CEFB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w:t>
            </w:r>
          </w:p>
        </w:tc>
        <w:tc>
          <w:tcPr>
            <w:tcW w:w="1908" w:type="dxa"/>
            <w:tcBorders>
              <w:top w:val="single" w:sz="4" w:space="0" w:color="auto"/>
              <w:left w:val="single" w:sz="4" w:space="0" w:color="auto"/>
              <w:bottom w:val="single" w:sz="4" w:space="0" w:color="auto"/>
              <w:right w:val="single" w:sz="4" w:space="0" w:color="auto"/>
            </w:tcBorders>
            <w:noWrap/>
            <w:hideMark/>
          </w:tcPr>
          <w:p w14:paraId="4BF671E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Шкала </w:t>
            </w:r>
          </w:p>
          <w:p w14:paraId="487CFDD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4</w:t>
            </w:r>
          </w:p>
        </w:tc>
        <w:tc>
          <w:tcPr>
            <w:tcW w:w="1907" w:type="dxa"/>
            <w:tcBorders>
              <w:top w:val="single" w:sz="4" w:space="0" w:color="auto"/>
              <w:left w:val="single" w:sz="4" w:space="0" w:color="auto"/>
              <w:bottom w:val="single" w:sz="4" w:space="0" w:color="auto"/>
              <w:right w:val="single" w:sz="4" w:space="0" w:color="auto"/>
            </w:tcBorders>
            <w:noWrap/>
            <w:hideMark/>
          </w:tcPr>
          <w:p w14:paraId="7E23072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Шкала </w:t>
            </w:r>
          </w:p>
          <w:p w14:paraId="20D6728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w:t>
            </w:r>
          </w:p>
        </w:tc>
        <w:tc>
          <w:tcPr>
            <w:tcW w:w="1908" w:type="dxa"/>
            <w:tcBorders>
              <w:top w:val="single" w:sz="4" w:space="0" w:color="auto"/>
              <w:left w:val="single" w:sz="4" w:space="0" w:color="auto"/>
              <w:bottom w:val="single" w:sz="4" w:space="0" w:color="auto"/>
              <w:right w:val="single" w:sz="4" w:space="0" w:color="auto"/>
            </w:tcBorders>
            <w:noWrap/>
            <w:hideMark/>
          </w:tcPr>
          <w:p w14:paraId="5DF3AB2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Шкала </w:t>
            </w:r>
          </w:p>
          <w:p w14:paraId="67F9233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w:t>
            </w:r>
          </w:p>
        </w:tc>
        <w:tc>
          <w:tcPr>
            <w:tcW w:w="1908" w:type="dxa"/>
            <w:tcBorders>
              <w:top w:val="single" w:sz="4" w:space="0" w:color="auto"/>
              <w:left w:val="single" w:sz="4" w:space="0" w:color="auto"/>
              <w:bottom w:val="single" w:sz="4" w:space="0" w:color="auto"/>
              <w:right w:val="single" w:sz="4" w:space="0" w:color="auto"/>
            </w:tcBorders>
            <w:noWrap/>
            <w:hideMark/>
          </w:tcPr>
          <w:p w14:paraId="5BCA174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Шкала </w:t>
            </w:r>
          </w:p>
          <w:p w14:paraId="72ECE8F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7</w:t>
            </w:r>
          </w:p>
        </w:tc>
      </w:tr>
      <w:tr w:rsidR="00CF641C" w:rsidRPr="00520861" w14:paraId="0FE85125" w14:textId="77777777" w:rsidTr="00292D2E">
        <w:trPr>
          <w:trHeight w:val="300"/>
        </w:trPr>
        <w:tc>
          <w:tcPr>
            <w:tcW w:w="1384" w:type="dxa"/>
            <w:tcBorders>
              <w:top w:val="single" w:sz="4" w:space="0" w:color="auto"/>
              <w:left w:val="single" w:sz="4" w:space="0" w:color="auto"/>
              <w:bottom w:val="single" w:sz="4" w:space="0" w:color="auto"/>
              <w:right w:val="single" w:sz="4" w:space="0" w:color="auto"/>
            </w:tcBorders>
            <w:hideMark/>
          </w:tcPr>
          <w:p w14:paraId="4CA0CEB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ГП</w:t>
            </w:r>
          </w:p>
        </w:tc>
        <w:tc>
          <w:tcPr>
            <w:tcW w:w="1907" w:type="dxa"/>
            <w:tcBorders>
              <w:top w:val="single" w:sz="4" w:space="0" w:color="auto"/>
              <w:left w:val="single" w:sz="4" w:space="0" w:color="auto"/>
              <w:bottom w:val="single" w:sz="4" w:space="0" w:color="auto"/>
              <w:right w:val="single" w:sz="4" w:space="0" w:color="auto"/>
            </w:tcBorders>
            <w:noWrap/>
            <w:hideMark/>
          </w:tcPr>
          <w:p w14:paraId="5026B7B1" w14:textId="77777777" w:rsidR="00CF641C" w:rsidRPr="00520861" w:rsidRDefault="00CF641C" w:rsidP="00292D2E">
            <w:pPr>
              <w:widowControl w:val="0"/>
              <w:spacing w:line="360" w:lineRule="auto"/>
              <w:contextualSpacing/>
              <w:jc w:val="center"/>
              <w:rPr>
                <w:sz w:val="28"/>
                <w:szCs w:val="28"/>
              </w:rPr>
            </w:pPr>
            <w:r w:rsidRPr="00520861">
              <w:rPr>
                <w:sz w:val="28"/>
                <w:szCs w:val="28"/>
              </w:rPr>
              <w:t>3,15</w:t>
            </w:r>
            <w:r w:rsidRPr="00520861">
              <w:rPr>
                <w:rFonts w:eastAsia="Calibri"/>
                <w:sz w:val="28"/>
                <w:szCs w:val="28"/>
              </w:rPr>
              <w:t>±</w:t>
            </w:r>
            <w:r w:rsidRPr="00520861">
              <w:rPr>
                <w:sz w:val="28"/>
                <w:szCs w:val="28"/>
              </w:rPr>
              <w:t>0,65</w:t>
            </w:r>
          </w:p>
        </w:tc>
        <w:tc>
          <w:tcPr>
            <w:tcW w:w="1908" w:type="dxa"/>
            <w:tcBorders>
              <w:top w:val="single" w:sz="4" w:space="0" w:color="auto"/>
              <w:left w:val="single" w:sz="4" w:space="0" w:color="auto"/>
              <w:bottom w:val="single" w:sz="4" w:space="0" w:color="auto"/>
              <w:right w:val="single" w:sz="4" w:space="0" w:color="auto"/>
            </w:tcBorders>
            <w:noWrap/>
            <w:hideMark/>
          </w:tcPr>
          <w:p w14:paraId="7861D524" w14:textId="77777777" w:rsidR="00CF641C" w:rsidRPr="00520861" w:rsidRDefault="00CF641C" w:rsidP="00292D2E">
            <w:pPr>
              <w:widowControl w:val="0"/>
              <w:spacing w:line="360" w:lineRule="auto"/>
              <w:contextualSpacing/>
              <w:jc w:val="center"/>
              <w:rPr>
                <w:sz w:val="28"/>
                <w:szCs w:val="28"/>
              </w:rPr>
            </w:pPr>
            <w:r w:rsidRPr="00520861">
              <w:rPr>
                <w:sz w:val="28"/>
                <w:szCs w:val="28"/>
              </w:rPr>
              <w:t>2,17</w:t>
            </w:r>
            <w:r w:rsidRPr="00520861">
              <w:rPr>
                <w:rFonts w:eastAsia="Calibri"/>
                <w:sz w:val="28"/>
                <w:szCs w:val="28"/>
              </w:rPr>
              <w:t>±</w:t>
            </w:r>
            <w:r w:rsidRPr="00520861">
              <w:rPr>
                <w:sz w:val="28"/>
                <w:szCs w:val="28"/>
              </w:rPr>
              <w:t>0,50</w:t>
            </w:r>
          </w:p>
        </w:tc>
        <w:tc>
          <w:tcPr>
            <w:tcW w:w="1907" w:type="dxa"/>
            <w:tcBorders>
              <w:top w:val="single" w:sz="4" w:space="0" w:color="auto"/>
              <w:left w:val="single" w:sz="4" w:space="0" w:color="auto"/>
              <w:bottom w:val="single" w:sz="4" w:space="0" w:color="auto"/>
              <w:right w:val="single" w:sz="4" w:space="0" w:color="auto"/>
            </w:tcBorders>
            <w:noWrap/>
            <w:hideMark/>
          </w:tcPr>
          <w:p w14:paraId="5C3AD018" w14:textId="77777777" w:rsidR="00CF641C" w:rsidRPr="00520861" w:rsidRDefault="00CF641C" w:rsidP="00292D2E">
            <w:pPr>
              <w:widowControl w:val="0"/>
              <w:spacing w:line="360" w:lineRule="auto"/>
              <w:contextualSpacing/>
              <w:jc w:val="center"/>
              <w:rPr>
                <w:sz w:val="28"/>
                <w:szCs w:val="28"/>
              </w:rPr>
            </w:pPr>
            <w:r w:rsidRPr="00520861">
              <w:rPr>
                <w:sz w:val="28"/>
                <w:szCs w:val="28"/>
              </w:rPr>
              <w:t>1,88</w:t>
            </w:r>
            <w:r w:rsidRPr="00520861">
              <w:rPr>
                <w:rFonts w:eastAsia="Calibri"/>
                <w:sz w:val="28"/>
                <w:szCs w:val="28"/>
              </w:rPr>
              <w:t>±</w:t>
            </w:r>
            <w:r w:rsidRPr="00520861">
              <w:rPr>
                <w:sz w:val="28"/>
                <w:szCs w:val="28"/>
              </w:rPr>
              <w:t>0,48</w:t>
            </w:r>
          </w:p>
        </w:tc>
        <w:tc>
          <w:tcPr>
            <w:tcW w:w="1908" w:type="dxa"/>
            <w:tcBorders>
              <w:top w:val="single" w:sz="4" w:space="0" w:color="auto"/>
              <w:left w:val="single" w:sz="4" w:space="0" w:color="auto"/>
              <w:bottom w:val="single" w:sz="4" w:space="0" w:color="auto"/>
              <w:right w:val="single" w:sz="4" w:space="0" w:color="auto"/>
            </w:tcBorders>
            <w:noWrap/>
            <w:hideMark/>
          </w:tcPr>
          <w:p w14:paraId="574E1909" w14:textId="77777777" w:rsidR="00CF641C" w:rsidRPr="00520861" w:rsidRDefault="00CF641C" w:rsidP="00292D2E">
            <w:pPr>
              <w:widowControl w:val="0"/>
              <w:spacing w:line="360" w:lineRule="auto"/>
              <w:contextualSpacing/>
              <w:jc w:val="center"/>
              <w:rPr>
                <w:sz w:val="28"/>
                <w:szCs w:val="28"/>
              </w:rPr>
            </w:pPr>
            <w:r w:rsidRPr="00520861">
              <w:rPr>
                <w:sz w:val="28"/>
                <w:szCs w:val="28"/>
              </w:rPr>
              <w:t>1,49</w:t>
            </w:r>
            <w:r w:rsidRPr="00520861">
              <w:rPr>
                <w:rFonts w:eastAsia="Calibri"/>
                <w:sz w:val="28"/>
                <w:szCs w:val="28"/>
              </w:rPr>
              <w:t>±</w:t>
            </w:r>
            <w:r w:rsidRPr="00520861">
              <w:rPr>
                <w:sz w:val="28"/>
                <w:szCs w:val="28"/>
              </w:rPr>
              <w:t>0,58</w:t>
            </w:r>
          </w:p>
        </w:tc>
        <w:tc>
          <w:tcPr>
            <w:tcW w:w="1907" w:type="dxa"/>
            <w:tcBorders>
              <w:top w:val="single" w:sz="4" w:space="0" w:color="auto"/>
              <w:left w:val="single" w:sz="4" w:space="0" w:color="auto"/>
              <w:bottom w:val="single" w:sz="4" w:space="0" w:color="auto"/>
              <w:right w:val="single" w:sz="4" w:space="0" w:color="auto"/>
            </w:tcBorders>
            <w:noWrap/>
            <w:hideMark/>
          </w:tcPr>
          <w:p w14:paraId="6A2352D2" w14:textId="77777777" w:rsidR="00CF641C" w:rsidRPr="00520861" w:rsidRDefault="00CF641C" w:rsidP="00292D2E">
            <w:pPr>
              <w:widowControl w:val="0"/>
              <w:spacing w:line="360" w:lineRule="auto"/>
              <w:contextualSpacing/>
              <w:jc w:val="center"/>
              <w:rPr>
                <w:sz w:val="28"/>
                <w:szCs w:val="28"/>
              </w:rPr>
            </w:pPr>
            <w:r w:rsidRPr="00520861">
              <w:rPr>
                <w:sz w:val="28"/>
                <w:szCs w:val="28"/>
              </w:rPr>
              <w:t>2,83</w:t>
            </w:r>
            <w:r w:rsidRPr="00520861">
              <w:rPr>
                <w:rFonts w:eastAsia="Calibri"/>
                <w:sz w:val="28"/>
                <w:szCs w:val="28"/>
              </w:rPr>
              <w:t>±</w:t>
            </w:r>
            <w:r w:rsidRPr="00520861">
              <w:rPr>
                <w:sz w:val="28"/>
                <w:szCs w:val="28"/>
              </w:rPr>
              <w:t>0,45</w:t>
            </w:r>
          </w:p>
        </w:tc>
        <w:tc>
          <w:tcPr>
            <w:tcW w:w="1908" w:type="dxa"/>
            <w:tcBorders>
              <w:top w:val="single" w:sz="4" w:space="0" w:color="auto"/>
              <w:left w:val="single" w:sz="4" w:space="0" w:color="auto"/>
              <w:bottom w:val="single" w:sz="4" w:space="0" w:color="auto"/>
              <w:right w:val="single" w:sz="4" w:space="0" w:color="auto"/>
            </w:tcBorders>
            <w:noWrap/>
            <w:hideMark/>
          </w:tcPr>
          <w:p w14:paraId="682D3959" w14:textId="77777777" w:rsidR="00CF641C" w:rsidRPr="00520861" w:rsidRDefault="00CF641C" w:rsidP="00292D2E">
            <w:pPr>
              <w:widowControl w:val="0"/>
              <w:spacing w:line="360" w:lineRule="auto"/>
              <w:contextualSpacing/>
              <w:jc w:val="center"/>
              <w:rPr>
                <w:sz w:val="28"/>
                <w:szCs w:val="28"/>
              </w:rPr>
            </w:pPr>
            <w:r w:rsidRPr="00520861">
              <w:rPr>
                <w:sz w:val="28"/>
                <w:szCs w:val="28"/>
              </w:rPr>
              <w:t>3,95</w:t>
            </w:r>
            <w:r w:rsidRPr="00520861">
              <w:rPr>
                <w:rFonts w:eastAsia="Calibri"/>
                <w:sz w:val="28"/>
                <w:szCs w:val="28"/>
              </w:rPr>
              <w:t>±</w:t>
            </w:r>
            <w:r w:rsidRPr="00520861">
              <w:rPr>
                <w:sz w:val="28"/>
                <w:szCs w:val="28"/>
              </w:rPr>
              <w:t>0,55</w:t>
            </w:r>
          </w:p>
        </w:tc>
        <w:tc>
          <w:tcPr>
            <w:tcW w:w="1908" w:type="dxa"/>
            <w:tcBorders>
              <w:top w:val="single" w:sz="4" w:space="0" w:color="auto"/>
              <w:left w:val="single" w:sz="4" w:space="0" w:color="auto"/>
              <w:bottom w:val="single" w:sz="4" w:space="0" w:color="auto"/>
              <w:right w:val="single" w:sz="4" w:space="0" w:color="auto"/>
            </w:tcBorders>
            <w:noWrap/>
            <w:hideMark/>
          </w:tcPr>
          <w:p w14:paraId="29FDFD3A" w14:textId="77777777" w:rsidR="00CF641C" w:rsidRPr="00520861" w:rsidRDefault="00CF641C" w:rsidP="00292D2E">
            <w:pPr>
              <w:widowControl w:val="0"/>
              <w:spacing w:line="360" w:lineRule="auto"/>
              <w:contextualSpacing/>
              <w:jc w:val="center"/>
              <w:rPr>
                <w:sz w:val="28"/>
                <w:szCs w:val="28"/>
              </w:rPr>
            </w:pPr>
            <w:r w:rsidRPr="00520861">
              <w:rPr>
                <w:sz w:val="28"/>
                <w:szCs w:val="28"/>
              </w:rPr>
              <w:t>6,05</w:t>
            </w:r>
            <w:r w:rsidRPr="00520861">
              <w:rPr>
                <w:rFonts w:eastAsia="Calibri"/>
                <w:sz w:val="28"/>
                <w:szCs w:val="28"/>
              </w:rPr>
              <w:t>±</w:t>
            </w:r>
            <w:r w:rsidRPr="00520861">
              <w:rPr>
                <w:sz w:val="28"/>
                <w:szCs w:val="28"/>
              </w:rPr>
              <w:t>0,57</w:t>
            </w:r>
          </w:p>
        </w:tc>
      </w:tr>
      <w:tr w:rsidR="00CF641C" w:rsidRPr="00520861" w14:paraId="43D1A8DB" w14:textId="77777777" w:rsidTr="00292D2E">
        <w:trPr>
          <w:trHeight w:val="300"/>
        </w:trPr>
        <w:tc>
          <w:tcPr>
            <w:tcW w:w="1384" w:type="dxa"/>
            <w:tcBorders>
              <w:top w:val="single" w:sz="4" w:space="0" w:color="auto"/>
              <w:left w:val="single" w:sz="4" w:space="0" w:color="auto"/>
              <w:bottom w:val="single" w:sz="4" w:space="0" w:color="auto"/>
              <w:right w:val="single" w:sz="4" w:space="0" w:color="auto"/>
            </w:tcBorders>
            <w:hideMark/>
          </w:tcPr>
          <w:p w14:paraId="5E7DBF5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ОГ</w:t>
            </w:r>
          </w:p>
        </w:tc>
        <w:tc>
          <w:tcPr>
            <w:tcW w:w="1907" w:type="dxa"/>
            <w:tcBorders>
              <w:top w:val="single" w:sz="4" w:space="0" w:color="auto"/>
              <w:left w:val="single" w:sz="4" w:space="0" w:color="auto"/>
              <w:bottom w:val="single" w:sz="4" w:space="0" w:color="auto"/>
              <w:right w:val="single" w:sz="4" w:space="0" w:color="auto"/>
            </w:tcBorders>
            <w:noWrap/>
            <w:hideMark/>
          </w:tcPr>
          <w:p w14:paraId="1921A68D" w14:textId="77777777" w:rsidR="00CF641C" w:rsidRPr="00520861" w:rsidRDefault="00CF641C" w:rsidP="00292D2E">
            <w:pPr>
              <w:widowControl w:val="0"/>
              <w:spacing w:line="360" w:lineRule="auto"/>
              <w:contextualSpacing/>
              <w:jc w:val="center"/>
              <w:rPr>
                <w:sz w:val="28"/>
                <w:szCs w:val="28"/>
              </w:rPr>
            </w:pPr>
            <w:r w:rsidRPr="00520861">
              <w:rPr>
                <w:sz w:val="28"/>
                <w:szCs w:val="28"/>
              </w:rPr>
              <w:t>3,49</w:t>
            </w:r>
            <w:r w:rsidRPr="00520861">
              <w:rPr>
                <w:rFonts w:eastAsia="Calibri"/>
                <w:sz w:val="28"/>
                <w:szCs w:val="28"/>
              </w:rPr>
              <w:t>±</w:t>
            </w:r>
            <w:r w:rsidRPr="00520861">
              <w:rPr>
                <w:sz w:val="28"/>
                <w:szCs w:val="28"/>
              </w:rPr>
              <w:t>0,44</w:t>
            </w:r>
          </w:p>
        </w:tc>
        <w:tc>
          <w:tcPr>
            <w:tcW w:w="1908" w:type="dxa"/>
            <w:tcBorders>
              <w:top w:val="single" w:sz="4" w:space="0" w:color="auto"/>
              <w:left w:val="single" w:sz="4" w:space="0" w:color="auto"/>
              <w:bottom w:val="single" w:sz="4" w:space="0" w:color="auto"/>
              <w:right w:val="single" w:sz="4" w:space="0" w:color="auto"/>
            </w:tcBorders>
            <w:noWrap/>
            <w:hideMark/>
          </w:tcPr>
          <w:p w14:paraId="3AFF2911" w14:textId="77777777" w:rsidR="00CF641C" w:rsidRPr="00520861" w:rsidRDefault="00CF641C" w:rsidP="00292D2E">
            <w:pPr>
              <w:widowControl w:val="0"/>
              <w:spacing w:line="360" w:lineRule="auto"/>
              <w:contextualSpacing/>
              <w:jc w:val="center"/>
              <w:rPr>
                <w:sz w:val="28"/>
                <w:szCs w:val="28"/>
              </w:rPr>
            </w:pPr>
            <w:r w:rsidRPr="00520861">
              <w:rPr>
                <w:sz w:val="28"/>
                <w:szCs w:val="28"/>
              </w:rPr>
              <w:t>2,10</w:t>
            </w:r>
            <w:r w:rsidRPr="00520861">
              <w:rPr>
                <w:rFonts w:eastAsia="Calibri"/>
                <w:sz w:val="28"/>
                <w:szCs w:val="28"/>
              </w:rPr>
              <w:t>±</w:t>
            </w:r>
            <w:r w:rsidRPr="00520861">
              <w:rPr>
                <w:sz w:val="28"/>
                <w:szCs w:val="28"/>
              </w:rPr>
              <w:t>0,34</w:t>
            </w:r>
          </w:p>
        </w:tc>
        <w:tc>
          <w:tcPr>
            <w:tcW w:w="1907" w:type="dxa"/>
            <w:tcBorders>
              <w:top w:val="single" w:sz="4" w:space="0" w:color="auto"/>
              <w:left w:val="single" w:sz="4" w:space="0" w:color="auto"/>
              <w:bottom w:val="single" w:sz="4" w:space="0" w:color="auto"/>
              <w:right w:val="single" w:sz="4" w:space="0" w:color="auto"/>
            </w:tcBorders>
            <w:noWrap/>
            <w:hideMark/>
          </w:tcPr>
          <w:p w14:paraId="69D753B4" w14:textId="77777777" w:rsidR="00CF641C" w:rsidRPr="00520861" w:rsidRDefault="00CF641C" w:rsidP="00292D2E">
            <w:pPr>
              <w:widowControl w:val="0"/>
              <w:spacing w:line="360" w:lineRule="auto"/>
              <w:ind w:right="-65"/>
              <w:contextualSpacing/>
              <w:jc w:val="center"/>
              <w:rPr>
                <w:sz w:val="28"/>
                <w:szCs w:val="28"/>
              </w:rPr>
            </w:pPr>
            <w:r w:rsidRPr="00520861">
              <w:rPr>
                <w:sz w:val="28"/>
                <w:szCs w:val="28"/>
              </w:rPr>
              <w:t>2,85</w:t>
            </w:r>
            <w:r w:rsidRPr="00520861">
              <w:rPr>
                <w:rFonts w:eastAsia="Calibri"/>
                <w:sz w:val="28"/>
                <w:szCs w:val="28"/>
              </w:rPr>
              <w:t>±</w:t>
            </w:r>
            <w:r w:rsidRPr="00520861">
              <w:rPr>
                <w:sz w:val="28"/>
                <w:szCs w:val="28"/>
              </w:rPr>
              <w:t>0,35†</w:t>
            </w:r>
          </w:p>
        </w:tc>
        <w:tc>
          <w:tcPr>
            <w:tcW w:w="1908" w:type="dxa"/>
            <w:tcBorders>
              <w:top w:val="single" w:sz="4" w:space="0" w:color="auto"/>
              <w:left w:val="single" w:sz="4" w:space="0" w:color="auto"/>
              <w:bottom w:val="single" w:sz="4" w:space="0" w:color="auto"/>
              <w:right w:val="single" w:sz="4" w:space="0" w:color="auto"/>
            </w:tcBorders>
            <w:noWrap/>
            <w:hideMark/>
          </w:tcPr>
          <w:p w14:paraId="04B31B21" w14:textId="77777777" w:rsidR="00CF641C" w:rsidRPr="00520861" w:rsidRDefault="00CF641C" w:rsidP="00292D2E">
            <w:pPr>
              <w:widowControl w:val="0"/>
              <w:spacing w:line="360" w:lineRule="auto"/>
              <w:contextualSpacing/>
              <w:jc w:val="center"/>
              <w:rPr>
                <w:sz w:val="28"/>
                <w:szCs w:val="28"/>
              </w:rPr>
            </w:pPr>
            <w:r w:rsidRPr="00520861">
              <w:rPr>
                <w:sz w:val="28"/>
                <w:szCs w:val="28"/>
              </w:rPr>
              <w:t>2,32</w:t>
            </w:r>
            <w:r w:rsidRPr="00520861">
              <w:rPr>
                <w:rFonts w:eastAsia="Calibri"/>
                <w:sz w:val="28"/>
                <w:szCs w:val="28"/>
              </w:rPr>
              <w:t>±</w:t>
            </w:r>
            <w:r w:rsidRPr="00520861">
              <w:rPr>
                <w:sz w:val="28"/>
                <w:szCs w:val="28"/>
              </w:rPr>
              <w:t>0,39</w:t>
            </w:r>
          </w:p>
        </w:tc>
        <w:tc>
          <w:tcPr>
            <w:tcW w:w="1907" w:type="dxa"/>
            <w:tcBorders>
              <w:top w:val="single" w:sz="4" w:space="0" w:color="auto"/>
              <w:left w:val="single" w:sz="4" w:space="0" w:color="auto"/>
              <w:bottom w:val="single" w:sz="4" w:space="0" w:color="auto"/>
              <w:right w:val="single" w:sz="4" w:space="0" w:color="auto"/>
            </w:tcBorders>
            <w:noWrap/>
            <w:hideMark/>
          </w:tcPr>
          <w:p w14:paraId="66246254" w14:textId="77777777" w:rsidR="00CF641C" w:rsidRPr="00520861" w:rsidRDefault="00CF641C" w:rsidP="00292D2E">
            <w:pPr>
              <w:widowControl w:val="0"/>
              <w:spacing w:line="360" w:lineRule="auto"/>
              <w:contextualSpacing/>
              <w:jc w:val="center"/>
              <w:rPr>
                <w:sz w:val="28"/>
                <w:szCs w:val="28"/>
              </w:rPr>
            </w:pPr>
            <w:r w:rsidRPr="00520861">
              <w:rPr>
                <w:sz w:val="28"/>
                <w:szCs w:val="28"/>
              </w:rPr>
              <w:t>3,33</w:t>
            </w:r>
            <w:r w:rsidRPr="00520861">
              <w:rPr>
                <w:rFonts w:eastAsia="Calibri"/>
                <w:sz w:val="28"/>
                <w:szCs w:val="28"/>
              </w:rPr>
              <w:t>±</w:t>
            </w:r>
            <w:r w:rsidRPr="00520861">
              <w:rPr>
                <w:sz w:val="28"/>
                <w:szCs w:val="28"/>
              </w:rPr>
              <w:t>0,36</w:t>
            </w:r>
          </w:p>
        </w:tc>
        <w:tc>
          <w:tcPr>
            <w:tcW w:w="1908" w:type="dxa"/>
            <w:tcBorders>
              <w:top w:val="single" w:sz="4" w:space="0" w:color="auto"/>
              <w:left w:val="single" w:sz="4" w:space="0" w:color="auto"/>
              <w:bottom w:val="single" w:sz="4" w:space="0" w:color="auto"/>
              <w:right w:val="single" w:sz="4" w:space="0" w:color="auto"/>
            </w:tcBorders>
            <w:noWrap/>
            <w:hideMark/>
          </w:tcPr>
          <w:p w14:paraId="1CDD2A34" w14:textId="77777777" w:rsidR="00CF641C" w:rsidRPr="00520861" w:rsidRDefault="00CF641C" w:rsidP="00292D2E">
            <w:pPr>
              <w:widowControl w:val="0"/>
              <w:spacing w:line="360" w:lineRule="auto"/>
              <w:contextualSpacing/>
              <w:jc w:val="center"/>
              <w:rPr>
                <w:sz w:val="28"/>
                <w:szCs w:val="28"/>
              </w:rPr>
            </w:pPr>
            <w:r w:rsidRPr="00520861">
              <w:rPr>
                <w:sz w:val="28"/>
                <w:szCs w:val="28"/>
              </w:rPr>
              <w:t>4,50</w:t>
            </w:r>
            <w:r w:rsidRPr="00520861">
              <w:rPr>
                <w:rFonts w:eastAsia="Calibri"/>
                <w:sz w:val="28"/>
                <w:szCs w:val="28"/>
              </w:rPr>
              <w:t>±</w:t>
            </w:r>
            <w:r w:rsidRPr="00520861">
              <w:rPr>
                <w:sz w:val="28"/>
                <w:szCs w:val="28"/>
              </w:rPr>
              <w:t>0,37</w:t>
            </w:r>
          </w:p>
        </w:tc>
        <w:tc>
          <w:tcPr>
            <w:tcW w:w="1908" w:type="dxa"/>
            <w:tcBorders>
              <w:top w:val="single" w:sz="4" w:space="0" w:color="auto"/>
              <w:left w:val="single" w:sz="4" w:space="0" w:color="auto"/>
              <w:bottom w:val="single" w:sz="4" w:space="0" w:color="auto"/>
              <w:right w:val="single" w:sz="4" w:space="0" w:color="auto"/>
            </w:tcBorders>
            <w:noWrap/>
            <w:hideMark/>
          </w:tcPr>
          <w:p w14:paraId="6BA8BFC4" w14:textId="77777777" w:rsidR="00CF641C" w:rsidRPr="00520861" w:rsidRDefault="00CF641C" w:rsidP="00292D2E">
            <w:pPr>
              <w:widowControl w:val="0"/>
              <w:spacing w:line="360" w:lineRule="auto"/>
              <w:contextualSpacing/>
              <w:jc w:val="center"/>
              <w:rPr>
                <w:sz w:val="28"/>
                <w:szCs w:val="28"/>
              </w:rPr>
            </w:pPr>
            <w:r w:rsidRPr="00520861">
              <w:rPr>
                <w:sz w:val="28"/>
                <w:szCs w:val="28"/>
              </w:rPr>
              <w:t>6,22</w:t>
            </w:r>
            <w:r w:rsidRPr="00520861">
              <w:rPr>
                <w:rFonts w:eastAsia="Calibri"/>
                <w:sz w:val="28"/>
                <w:szCs w:val="28"/>
              </w:rPr>
              <w:t>±</w:t>
            </w:r>
            <w:r w:rsidRPr="00520861">
              <w:rPr>
                <w:sz w:val="28"/>
                <w:szCs w:val="28"/>
              </w:rPr>
              <w:t>0,43</w:t>
            </w:r>
          </w:p>
        </w:tc>
      </w:tr>
      <w:tr w:rsidR="00CF641C" w:rsidRPr="00520861" w14:paraId="79A74534" w14:textId="77777777" w:rsidTr="00292D2E">
        <w:trPr>
          <w:trHeight w:val="300"/>
        </w:trPr>
        <w:tc>
          <w:tcPr>
            <w:tcW w:w="1384" w:type="dxa"/>
            <w:tcBorders>
              <w:top w:val="single" w:sz="4" w:space="0" w:color="auto"/>
              <w:left w:val="single" w:sz="4" w:space="0" w:color="auto"/>
              <w:bottom w:val="single" w:sz="4" w:space="0" w:color="auto"/>
              <w:right w:val="single" w:sz="4" w:space="0" w:color="auto"/>
            </w:tcBorders>
            <w:hideMark/>
          </w:tcPr>
          <w:p w14:paraId="5D47ADB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1907" w:type="dxa"/>
            <w:tcBorders>
              <w:top w:val="single" w:sz="4" w:space="0" w:color="auto"/>
              <w:left w:val="single" w:sz="4" w:space="0" w:color="auto"/>
              <w:bottom w:val="single" w:sz="4" w:space="0" w:color="auto"/>
              <w:right w:val="single" w:sz="4" w:space="0" w:color="auto"/>
            </w:tcBorders>
            <w:noWrap/>
            <w:hideMark/>
          </w:tcPr>
          <w:p w14:paraId="21DFAB8F" w14:textId="77777777" w:rsidR="00CF641C" w:rsidRPr="00520861" w:rsidRDefault="00CF641C" w:rsidP="00292D2E">
            <w:pPr>
              <w:widowControl w:val="0"/>
              <w:spacing w:line="360" w:lineRule="auto"/>
              <w:contextualSpacing/>
              <w:jc w:val="center"/>
              <w:rPr>
                <w:sz w:val="28"/>
                <w:szCs w:val="28"/>
              </w:rPr>
            </w:pPr>
            <w:r w:rsidRPr="00520861">
              <w:rPr>
                <w:sz w:val="28"/>
                <w:szCs w:val="28"/>
              </w:rPr>
              <w:t>3,30</w:t>
            </w:r>
          </w:p>
        </w:tc>
        <w:tc>
          <w:tcPr>
            <w:tcW w:w="1908" w:type="dxa"/>
            <w:tcBorders>
              <w:top w:val="single" w:sz="4" w:space="0" w:color="auto"/>
              <w:left w:val="single" w:sz="4" w:space="0" w:color="auto"/>
              <w:bottom w:val="single" w:sz="4" w:space="0" w:color="auto"/>
              <w:right w:val="single" w:sz="4" w:space="0" w:color="auto"/>
            </w:tcBorders>
            <w:noWrap/>
            <w:hideMark/>
          </w:tcPr>
          <w:p w14:paraId="1CC54646" w14:textId="77777777" w:rsidR="00CF641C" w:rsidRPr="00520861" w:rsidRDefault="00CF641C" w:rsidP="00292D2E">
            <w:pPr>
              <w:widowControl w:val="0"/>
              <w:spacing w:line="360" w:lineRule="auto"/>
              <w:contextualSpacing/>
              <w:jc w:val="center"/>
              <w:rPr>
                <w:sz w:val="28"/>
                <w:szCs w:val="28"/>
              </w:rPr>
            </w:pPr>
            <w:r w:rsidRPr="00520861">
              <w:rPr>
                <w:sz w:val="28"/>
                <w:szCs w:val="28"/>
              </w:rPr>
              <w:t>2,20</w:t>
            </w:r>
          </w:p>
        </w:tc>
        <w:tc>
          <w:tcPr>
            <w:tcW w:w="1907" w:type="dxa"/>
            <w:tcBorders>
              <w:top w:val="single" w:sz="4" w:space="0" w:color="auto"/>
              <w:left w:val="single" w:sz="4" w:space="0" w:color="auto"/>
              <w:bottom w:val="single" w:sz="4" w:space="0" w:color="auto"/>
              <w:right w:val="single" w:sz="4" w:space="0" w:color="auto"/>
            </w:tcBorders>
            <w:noWrap/>
            <w:hideMark/>
          </w:tcPr>
          <w:p w14:paraId="57259D2E" w14:textId="77777777" w:rsidR="00CF641C" w:rsidRPr="00520861" w:rsidRDefault="00CF641C" w:rsidP="00292D2E">
            <w:pPr>
              <w:widowControl w:val="0"/>
              <w:spacing w:line="360" w:lineRule="auto"/>
              <w:contextualSpacing/>
              <w:jc w:val="center"/>
              <w:rPr>
                <w:sz w:val="28"/>
                <w:szCs w:val="28"/>
              </w:rPr>
            </w:pPr>
            <w:r w:rsidRPr="00520861">
              <w:rPr>
                <w:sz w:val="28"/>
                <w:szCs w:val="28"/>
              </w:rPr>
              <w:t>2,80*</w:t>
            </w:r>
          </w:p>
          <w:p w14:paraId="590BDEED" w14:textId="77777777" w:rsidR="00CF641C" w:rsidRPr="00520861" w:rsidRDefault="00CF641C" w:rsidP="00292D2E">
            <w:pPr>
              <w:widowControl w:val="0"/>
              <w:spacing w:line="360" w:lineRule="auto"/>
              <w:contextualSpacing/>
              <w:jc w:val="center"/>
              <w:rPr>
                <w:sz w:val="28"/>
                <w:szCs w:val="28"/>
              </w:rPr>
            </w:pPr>
            <w:r w:rsidRPr="00520861">
              <w:rPr>
                <w:sz w:val="28"/>
                <w:szCs w:val="28"/>
              </w:rPr>
              <w:t>(</w:t>
            </w:r>
            <w:r w:rsidRPr="00520861">
              <w:rPr>
                <w:i/>
                <w:sz w:val="28"/>
                <w:szCs w:val="28"/>
              </w:rPr>
              <w:t>p</w:t>
            </w:r>
            <w:r w:rsidRPr="00520861">
              <w:rPr>
                <w:sz w:val="28"/>
                <w:szCs w:val="28"/>
              </w:rPr>
              <w:t>=0,0124)</w:t>
            </w:r>
          </w:p>
        </w:tc>
        <w:tc>
          <w:tcPr>
            <w:tcW w:w="1908" w:type="dxa"/>
            <w:tcBorders>
              <w:top w:val="single" w:sz="4" w:space="0" w:color="auto"/>
              <w:left w:val="single" w:sz="4" w:space="0" w:color="auto"/>
              <w:bottom w:val="single" w:sz="4" w:space="0" w:color="auto"/>
              <w:right w:val="single" w:sz="4" w:space="0" w:color="auto"/>
            </w:tcBorders>
            <w:noWrap/>
            <w:hideMark/>
          </w:tcPr>
          <w:p w14:paraId="3774158C" w14:textId="77777777" w:rsidR="00CF641C" w:rsidRPr="00520861" w:rsidRDefault="00CF641C" w:rsidP="00292D2E">
            <w:pPr>
              <w:widowControl w:val="0"/>
              <w:spacing w:line="360" w:lineRule="auto"/>
              <w:contextualSpacing/>
              <w:jc w:val="center"/>
              <w:rPr>
                <w:sz w:val="28"/>
                <w:szCs w:val="28"/>
              </w:rPr>
            </w:pPr>
            <w:r w:rsidRPr="00520861">
              <w:rPr>
                <w:sz w:val="28"/>
                <w:szCs w:val="28"/>
              </w:rPr>
              <w:t>1,97</w:t>
            </w:r>
          </w:p>
        </w:tc>
        <w:tc>
          <w:tcPr>
            <w:tcW w:w="1907" w:type="dxa"/>
            <w:tcBorders>
              <w:top w:val="single" w:sz="4" w:space="0" w:color="auto"/>
              <w:left w:val="single" w:sz="4" w:space="0" w:color="auto"/>
              <w:bottom w:val="single" w:sz="4" w:space="0" w:color="auto"/>
              <w:right w:val="single" w:sz="4" w:space="0" w:color="auto"/>
            </w:tcBorders>
            <w:noWrap/>
            <w:hideMark/>
          </w:tcPr>
          <w:p w14:paraId="7B6B6177" w14:textId="77777777" w:rsidR="00CF641C" w:rsidRPr="00520861" w:rsidRDefault="00CF641C" w:rsidP="00292D2E">
            <w:pPr>
              <w:widowControl w:val="0"/>
              <w:spacing w:line="360" w:lineRule="auto"/>
              <w:contextualSpacing/>
              <w:jc w:val="center"/>
              <w:rPr>
                <w:sz w:val="28"/>
                <w:szCs w:val="28"/>
              </w:rPr>
            </w:pPr>
            <w:r w:rsidRPr="00520861">
              <w:rPr>
                <w:sz w:val="28"/>
                <w:szCs w:val="28"/>
              </w:rPr>
              <w:t>3,5</w:t>
            </w:r>
          </w:p>
        </w:tc>
        <w:tc>
          <w:tcPr>
            <w:tcW w:w="1908" w:type="dxa"/>
            <w:tcBorders>
              <w:top w:val="single" w:sz="4" w:space="0" w:color="auto"/>
              <w:left w:val="single" w:sz="4" w:space="0" w:color="auto"/>
              <w:bottom w:val="single" w:sz="4" w:space="0" w:color="auto"/>
              <w:right w:val="single" w:sz="4" w:space="0" w:color="auto"/>
            </w:tcBorders>
            <w:noWrap/>
            <w:hideMark/>
          </w:tcPr>
          <w:p w14:paraId="6187089E" w14:textId="77777777" w:rsidR="00CF641C" w:rsidRPr="00520861" w:rsidRDefault="00CF641C" w:rsidP="00292D2E">
            <w:pPr>
              <w:widowControl w:val="0"/>
              <w:spacing w:line="360" w:lineRule="auto"/>
              <w:contextualSpacing/>
              <w:jc w:val="center"/>
              <w:rPr>
                <w:sz w:val="28"/>
                <w:szCs w:val="28"/>
              </w:rPr>
            </w:pPr>
            <w:r w:rsidRPr="00520861">
              <w:rPr>
                <w:sz w:val="28"/>
                <w:szCs w:val="28"/>
              </w:rPr>
              <w:t>4,43</w:t>
            </w:r>
          </w:p>
        </w:tc>
        <w:tc>
          <w:tcPr>
            <w:tcW w:w="1908" w:type="dxa"/>
            <w:tcBorders>
              <w:top w:val="single" w:sz="4" w:space="0" w:color="auto"/>
              <w:left w:val="single" w:sz="4" w:space="0" w:color="auto"/>
              <w:bottom w:val="single" w:sz="4" w:space="0" w:color="auto"/>
              <w:right w:val="single" w:sz="4" w:space="0" w:color="auto"/>
            </w:tcBorders>
            <w:noWrap/>
            <w:hideMark/>
          </w:tcPr>
          <w:p w14:paraId="14626EF1" w14:textId="77777777" w:rsidR="00CF641C" w:rsidRPr="00520861" w:rsidRDefault="00CF641C" w:rsidP="00292D2E">
            <w:pPr>
              <w:widowControl w:val="0"/>
              <w:spacing w:line="360" w:lineRule="auto"/>
              <w:contextualSpacing/>
              <w:jc w:val="center"/>
              <w:rPr>
                <w:sz w:val="28"/>
                <w:szCs w:val="28"/>
              </w:rPr>
            </w:pPr>
            <w:r w:rsidRPr="00520861">
              <w:rPr>
                <w:sz w:val="28"/>
                <w:szCs w:val="28"/>
              </w:rPr>
              <w:t>6,70**</w:t>
            </w:r>
          </w:p>
          <w:p w14:paraId="1F46C95A" w14:textId="77777777" w:rsidR="00CF641C" w:rsidRPr="00520861" w:rsidRDefault="00CF641C" w:rsidP="00292D2E">
            <w:pPr>
              <w:widowControl w:val="0"/>
              <w:spacing w:line="360" w:lineRule="auto"/>
              <w:contextualSpacing/>
              <w:jc w:val="center"/>
              <w:rPr>
                <w:sz w:val="28"/>
                <w:szCs w:val="28"/>
              </w:rPr>
            </w:pPr>
            <w:r w:rsidRPr="00520861">
              <w:rPr>
                <w:sz w:val="28"/>
                <w:szCs w:val="28"/>
              </w:rPr>
              <w:t>(</w:t>
            </w:r>
            <w:r w:rsidRPr="00520861">
              <w:rPr>
                <w:i/>
                <w:sz w:val="28"/>
                <w:szCs w:val="28"/>
              </w:rPr>
              <w:t>p</w:t>
            </w:r>
            <w:r w:rsidRPr="00520861">
              <w:rPr>
                <w:sz w:val="28"/>
                <w:szCs w:val="28"/>
              </w:rPr>
              <w:t>=0,0197)</w:t>
            </w:r>
          </w:p>
        </w:tc>
      </w:tr>
      <w:tr w:rsidR="00CF641C" w:rsidRPr="00520861" w14:paraId="05A5EB5F" w14:textId="77777777" w:rsidTr="00292D2E">
        <w:trPr>
          <w:trHeight w:val="300"/>
        </w:trPr>
        <w:tc>
          <w:tcPr>
            <w:tcW w:w="1384" w:type="dxa"/>
            <w:tcBorders>
              <w:top w:val="single" w:sz="4" w:space="0" w:color="auto"/>
              <w:left w:val="single" w:sz="4" w:space="0" w:color="auto"/>
              <w:bottom w:val="single" w:sz="4" w:space="0" w:color="auto"/>
              <w:right w:val="single" w:sz="4" w:space="0" w:color="auto"/>
            </w:tcBorders>
            <w:hideMark/>
          </w:tcPr>
          <w:p w14:paraId="2116CEF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w:t>
            </w:r>
          </w:p>
        </w:tc>
        <w:tc>
          <w:tcPr>
            <w:tcW w:w="1907" w:type="dxa"/>
            <w:tcBorders>
              <w:top w:val="single" w:sz="4" w:space="0" w:color="auto"/>
              <w:left w:val="single" w:sz="4" w:space="0" w:color="auto"/>
              <w:bottom w:val="single" w:sz="4" w:space="0" w:color="auto"/>
              <w:right w:val="single" w:sz="4" w:space="0" w:color="auto"/>
            </w:tcBorders>
            <w:noWrap/>
            <w:hideMark/>
          </w:tcPr>
          <w:p w14:paraId="030F4D07" w14:textId="77777777" w:rsidR="00CF641C" w:rsidRPr="00520861" w:rsidRDefault="00CF641C" w:rsidP="00292D2E">
            <w:pPr>
              <w:widowControl w:val="0"/>
              <w:spacing w:line="360" w:lineRule="auto"/>
              <w:contextualSpacing/>
              <w:jc w:val="center"/>
              <w:rPr>
                <w:sz w:val="28"/>
                <w:szCs w:val="28"/>
              </w:rPr>
            </w:pPr>
            <w:r w:rsidRPr="00520861">
              <w:rPr>
                <w:sz w:val="28"/>
                <w:szCs w:val="28"/>
              </w:rPr>
              <w:t>3,12</w:t>
            </w:r>
          </w:p>
        </w:tc>
        <w:tc>
          <w:tcPr>
            <w:tcW w:w="1908" w:type="dxa"/>
            <w:tcBorders>
              <w:top w:val="single" w:sz="4" w:space="0" w:color="auto"/>
              <w:left w:val="single" w:sz="4" w:space="0" w:color="auto"/>
              <w:bottom w:val="single" w:sz="4" w:space="0" w:color="auto"/>
              <w:right w:val="single" w:sz="4" w:space="0" w:color="auto"/>
            </w:tcBorders>
            <w:noWrap/>
            <w:hideMark/>
          </w:tcPr>
          <w:p w14:paraId="7D0AB0D9" w14:textId="77777777" w:rsidR="00CF641C" w:rsidRPr="00520861" w:rsidRDefault="00CF641C" w:rsidP="00292D2E">
            <w:pPr>
              <w:widowControl w:val="0"/>
              <w:spacing w:line="360" w:lineRule="auto"/>
              <w:contextualSpacing/>
              <w:jc w:val="center"/>
              <w:rPr>
                <w:sz w:val="28"/>
                <w:szCs w:val="28"/>
              </w:rPr>
            </w:pPr>
            <w:r w:rsidRPr="00520861">
              <w:rPr>
                <w:sz w:val="28"/>
                <w:szCs w:val="28"/>
              </w:rPr>
              <w:t>1,65</w:t>
            </w:r>
          </w:p>
        </w:tc>
        <w:tc>
          <w:tcPr>
            <w:tcW w:w="1907" w:type="dxa"/>
            <w:tcBorders>
              <w:top w:val="single" w:sz="4" w:space="0" w:color="auto"/>
              <w:left w:val="single" w:sz="4" w:space="0" w:color="auto"/>
              <w:bottom w:val="single" w:sz="4" w:space="0" w:color="auto"/>
              <w:right w:val="single" w:sz="4" w:space="0" w:color="auto"/>
            </w:tcBorders>
            <w:noWrap/>
            <w:hideMark/>
          </w:tcPr>
          <w:p w14:paraId="1E2F7497" w14:textId="77777777" w:rsidR="00CF641C" w:rsidRPr="00520861" w:rsidRDefault="00CF641C" w:rsidP="00292D2E">
            <w:pPr>
              <w:widowControl w:val="0"/>
              <w:spacing w:line="360" w:lineRule="auto"/>
              <w:contextualSpacing/>
              <w:jc w:val="center"/>
              <w:rPr>
                <w:sz w:val="28"/>
                <w:szCs w:val="28"/>
              </w:rPr>
            </w:pPr>
            <w:r w:rsidRPr="00520861">
              <w:rPr>
                <w:sz w:val="28"/>
                <w:szCs w:val="28"/>
              </w:rPr>
              <w:t>3,00* (</w:t>
            </w:r>
            <w:r w:rsidRPr="00520861">
              <w:rPr>
                <w:i/>
                <w:sz w:val="28"/>
                <w:szCs w:val="28"/>
              </w:rPr>
              <w:t>p</w:t>
            </w:r>
            <w:r w:rsidRPr="00520861">
              <w:rPr>
                <w:sz w:val="28"/>
                <w:szCs w:val="28"/>
              </w:rPr>
              <w:t>=0,0467)</w:t>
            </w:r>
          </w:p>
        </w:tc>
        <w:tc>
          <w:tcPr>
            <w:tcW w:w="1908" w:type="dxa"/>
            <w:tcBorders>
              <w:top w:val="single" w:sz="4" w:space="0" w:color="auto"/>
              <w:left w:val="single" w:sz="4" w:space="0" w:color="auto"/>
              <w:bottom w:val="single" w:sz="4" w:space="0" w:color="auto"/>
              <w:right w:val="single" w:sz="4" w:space="0" w:color="auto"/>
            </w:tcBorders>
            <w:noWrap/>
            <w:hideMark/>
          </w:tcPr>
          <w:p w14:paraId="1D9883B9" w14:textId="77777777" w:rsidR="00CF641C" w:rsidRPr="00520861" w:rsidRDefault="00CF641C" w:rsidP="00292D2E">
            <w:pPr>
              <w:widowControl w:val="0"/>
              <w:spacing w:line="360" w:lineRule="auto"/>
              <w:contextualSpacing/>
              <w:jc w:val="center"/>
              <w:rPr>
                <w:sz w:val="28"/>
                <w:szCs w:val="28"/>
              </w:rPr>
            </w:pPr>
            <w:r w:rsidRPr="00520861">
              <w:rPr>
                <w:sz w:val="28"/>
                <w:szCs w:val="28"/>
              </w:rPr>
              <w:t>2,47*</w:t>
            </w:r>
          </w:p>
          <w:p w14:paraId="7F0212E4" w14:textId="77777777" w:rsidR="00CF641C" w:rsidRPr="00520861" w:rsidRDefault="00CF641C" w:rsidP="00292D2E">
            <w:pPr>
              <w:widowControl w:val="0"/>
              <w:spacing w:line="360" w:lineRule="auto"/>
              <w:contextualSpacing/>
              <w:jc w:val="center"/>
              <w:rPr>
                <w:sz w:val="28"/>
                <w:szCs w:val="28"/>
              </w:rPr>
            </w:pPr>
            <w:r w:rsidRPr="00520861">
              <w:rPr>
                <w:sz w:val="28"/>
                <w:szCs w:val="28"/>
              </w:rPr>
              <w:t>(</w:t>
            </w:r>
            <w:r w:rsidRPr="00520861">
              <w:rPr>
                <w:i/>
                <w:sz w:val="28"/>
                <w:szCs w:val="28"/>
              </w:rPr>
              <w:t>p</w:t>
            </w:r>
            <w:r w:rsidRPr="00520861">
              <w:rPr>
                <w:sz w:val="28"/>
                <w:szCs w:val="28"/>
              </w:rPr>
              <w:t>=0,0247)</w:t>
            </w:r>
          </w:p>
        </w:tc>
        <w:tc>
          <w:tcPr>
            <w:tcW w:w="1907" w:type="dxa"/>
            <w:tcBorders>
              <w:top w:val="single" w:sz="4" w:space="0" w:color="auto"/>
              <w:left w:val="single" w:sz="4" w:space="0" w:color="auto"/>
              <w:bottom w:val="single" w:sz="4" w:space="0" w:color="auto"/>
              <w:right w:val="single" w:sz="4" w:space="0" w:color="auto"/>
            </w:tcBorders>
            <w:noWrap/>
            <w:hideMark/>
          </w:tcPr>
          <w:p w14:paraId="0D9BA7FF" w14:textId="77777777" w:rsidR="00CF641C" w:rsidRPr="00520861" w:rsidRDefault="00CF641C" w:rsidP="00292D2E">
            <w:pPr>
              <w:widowControl w:val="0"/>
              <w:spacing w:line="360" w:lineRule="auto"/>
              <w:contextualSpacing/>
              <w:jc w:val="center"/>
              <w:rPr>
                <w:sz w:val="28"/>
                <w:szCs w:val="28"/>
              </w:rPr>
            </w:pPr>
            <w:r w:rsidRPr="00520861">
              <w:rPr>
                <w:sz w:val="28"/>
                <w:szCs w:val="28"/>
              </w:rPr>
              <w:t>3,18</w:t>
            </w:r>
          </w:p>
        </w:tc>
        <w:tc>
          <w:tcPr>
            <w:tcW w:w="1908" w:type="dxa"/>
            <w:tcBorders>
              <w:top w:val="single" w:sz="4" w:space="0" w:color="auto"/>
              <w:left w:val="single" w:sz="4" w:space="0" w:color="auto"/>
              <w:bottom w:val="single" w:sz="4" w:space="0" w:color="auto"/>
              <w:right w:val="single" w:sz="4" w:space="0" w:color="auto"/>
            </w:tcBorders>
            <w:noWrap/>
            <w:hideMark/>
          </w:tcPr>
          <w:p w14:paraId="27889C28" w14:textId="77777777" w:rsidR="00CF641C" w:rsidRPr="00520861" w:rsidRDefault="00CF641C" w:rsidP="00292D2E">
            <w:pPr>
              <w:widowControl w:val="0"/>
              <w:spacing w:line="360" w:lineRule="auto"/>
              <w:contextualSpacing/>
              <w:jc w:val="center"/>
              <w:rPr>
                <w:sz w:val="28"/>
                <w:szCs w:val="28"/>
              </w:rPr>
            </w:pPr>
            <w:r w:rsidRPr="00520861">
              <w:rPr>
                <w:sz w:val="28"/>
                <w:szCs w:val="28"/>
              </w:rPr>
              <w:t>4,88</w:t>
            </w:r>
          </w:p>
        </w:tc>
        <w:tc>
          <w:tcPr>
            <w:tcW w:w="1908" w:type="dxa"/>
            <w:tcBorders>
              <w:top w:val="single" w:sz="4" w:space="0" w:color="auto"/>
              <w:left w:val="single" w:sz="4" w:space="0" w:color="auto"/>
              <w:bottom w:val="single" w:sz="4" w:space="0" w:color="auto"/>
              <w:right w:val="single" w:sz="4" w:space="0" w:color="auto"/>
            </w:tcBorders>
            <w:noWrap/>
            <w:hideMark/>
          </w:tcPr>
          <w:p w14:paraId="3EDB7F0D" w14:textId="77777777" w:rsidR="00CF641C" w:rsidRPr="00520861" w:rsidRDefault="00CF641C" w:rsidP="00292D2E">
            <w:pPr>
              <w:widowControl w:val="0"/>
              <w:spacing w:line="360" w:lineRule="auto"/>
              <w:contextualSpacing/>
              <w:jc w:val="center"/>
              <w:rPr>
                <w:sz w:val="28"/>
                <w:szCs w:val="28"/>
              </w:rPr>
            </w:pPr>
            <w:r w:rsidRPr="00520861">
              <w:rPr>
                <w:sz w:val="28"/>
                <w:szCs w:val="28"/>
              </w:rPr>
              <w:t>6,18</w:t>
            </w:r>
          </w:p>
        </w:tc>
      </w:tr>
      <w:tr w:rsidR="00CF641C" w:rsidRPr="00520861" w14:paraId="32720DD4" w14:textId="77777777" w:rsidTr="00292D2E">
        <w:trPr>
          <w:trHeight w:val="300"/>
        </w:trPr>
        <w:tc>
          <w:tcPr>
            <w:tcW w:w="1384" w:type="dxa"/>
            <w:tcBorders>
              <w:top w:val="single" w:sz="4" w:space="0" w:color="auto"/>
              <w:left w:val="single" w:sz="4" w:space="0" w:color="auto"/>
              <w:bottom w:val="single" w:sz="4" w:space="0" w:color="auto"/>
              <w:right w:val="single" w:sz="4" w:space="0" w:color="auto"/>
            </w:tcBorders>
            <w:hideMark/>
          </w:tcPr>
          <w:p w14:paraId="4943403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w:t>
            </w:r>
          </w:p>
        </w:tc>
        <w:tc>
          <w:tcPr>
            <w:tcW w:w="1907" w:type="dxa"/>
            <w:tcBorders>
              <w:top w:val="single" w:sz="4" w:space="0" w:color="auto"/>
              <w:left w:val="single" w:sz="4" w:space="0" w:color="auto"/>
              <w:bottom w:val="single" w:sz="4" w:space="0" w:color="auto"/>
              <w:right w:val="single" w:sz="4" w:space="0" w:color="auto"/>
            </w:tcBorders>
            <w:noWrap/>
            <w:hideMark/>
          </w:tcPr>
          <w:p w14:paraId="3403CB0F" w14:textId="77777777" w:rsidR="00CF641C" w:rsidRPr="00520861" w:rsidRDefault="00CF641C" w:rsidP="00292D2E">
            <w:pPr>
              <w:widowControl w:val="0"/>
              <w:spacing w:line="360" w:lineRule="auto"/>
              <w:contextualSpacing/>
              <w:jc w:val="center"/>
              <w:rPr>
                <w:sz w:val="28"/>
                <w:szCs w:val="28"/>
              </w:rPr>
            </w:pPr>
            <w:r w:rsidRPr="00520861">
              <w:rPr>
                <w:sz w:val="28"/>
                <w:szCs w:val="28"/>
              </w:rPr>
              <w:t>4,27</w:t>
            </w:r>
          </w:p>
        </w:tc>
        <w:tc>
          <w:tcPr>
            <w:tcW w:w="1908" w:type="dxa"/>
            <w:tcBorders>
              <w:top w:val="single" w:sz="4" w:space="0" w:color="auto"/>
              <w:left w:val="single" w:sz="4" w:space="0" w:color="auto"/>
              <w:bottom w:val="single" w:sz="4" w:space="0" w:color="auto"/>
              <w:right w:val="single" w:sz="4" w:space="0" w:color="auto"/>
            </w:tcBorders>
            <w:noWrap/>
            <w:hideMark/>
          </w:tcPr>
          <w:p w14:paraId="1091DE10" w14:textId="77777777" w:rsidR="00CF641C" w:rsidRPr="00520861" w:rsidRDefault="00CF641C" w:rsidP="00292D2E">
            <w:pPr>
              <w:widowControl w:val="0"/>
              <w:spacing w:line="360" w:lineRule="auto"/>
              <w:contextualSpacing/>
              <w:jc w:val="center"/>
              <w:rPr>
                <w:sz w:val="28"/>
                <w:szCs w:val="28"/>
              </w:rPr>
            </w:pPr>
            <w:r w:rsidRPr="00520861">
              <w:rPr>
                <w:sz w:val="28"/>
                <w:szCs w:val="28"/>
              </w:rPr>
              <w:t>2,33</w:t>
            </w:r>
          </w:p>
        </w:tc>
        <w:tc>
          <w:tcPr>
            <w:tcW w:w="1907" w:type="dxa"/>
            <w:tcBorders>
              <w:top w:val="single" w:sz="4" w:space="0" w:color="auto"/>
              <w:left w:val="single" w:sz="4" w:space="0" w:color="auto"/>
              <w:bottom w:val="single" w:sz="4" w:space="0" w:color="auto"/>
              <w:right w:val="single" w:sz="4" w:space="0" w:color="auto"/>
            </w:tcBorders>
            <w:noWrap/>
            <w:hideMark/>
          </w:tcPr>
          <w:p w14:paraId="4700B699" w14:textId="77777777" w:rsidR="00CF641C" w:rsidRPr="00520861" w:rsidRDefault="00CF641C" w:rsidP="00292D2E">
            <w:pPr>
              <w:widowControl w:val="0"/>
              <w:spacing w:line="360" w:lineRule="auto"/>
              <w:contextualSpacing/>
              <w:jc w:val="center"/>
              <w:rPr>
                <w:sz w:val="28"/>
                <w:szCs w:val="28"/>
              </w:rPr>
            </w:pPr>
            <w:r w:rsidRPr="00520861">
              <w:rPr>
                <w:sz w:val="28"/>
                <w:szCs w:val="28"/>
              </w:rPr>
              <w:t>2,93*</w:t>
            </w:r>
          </w:p>
          <w:p w14:paraId="0169DA90" w14:textId="77777777" w:rsidR="00CF641C" w:rsidRPr="00520861" w:rsidRDefault="00CF641C" w:rsidP="00292D2E">
            <w:pPr>
              <w:widowControl w:val="0"/>
              <w:spacing w:line="360" w:lineRule="auto"/>
              <w:contextualSpacing/>
              <w:jc w:val="center"/>
              <w:rPr>
                <w:sz w:val="28"/>
                <w:szCs w:val="28"/>
              </w:rPr>
            </w:pPr>
            <w:r w:rsidRPr="00520861">
              <w:rPr>
                <w:sz w:val="28"/>
                <w:szCs w:val="28"/>
              </w:rPr>
              <w:t>(</w:t>
            </w:r>
            <w:r w:rsidRPr="00520861">
              <w:rPr>
                <w:i/>
                <w:sz w:val="28"/>
                <w:szCs w:val="28"/>
              </w:rPr>
              <w:t>p</w:t>
            </w:r>
            <w:r w:rsidRPr="00520861">
              <w:rPr>
                <w:sz w:val="28"/>
                <w:szCs w:val="28"/>
              </w:rPr>
              <w:t>=0,0468)</w:t>
            </w:r>
          </w:p>
        </w:tc>
        <w:tc>
          <w:tcPr>
            <w:tcW w:w="1908" w:type="dxa"/>
            <w:tcBorders>
              <w:top w:val="single" w:sz="4" w:space="0" w:color="auto"/>
              <w:left w:val="single" w:sz="4" w:space="0" w:color="auto"/>
              <w:bottom w:val="single" w:sz="4" w:space="0" w:color="auto"/>
              <w:right w:val="single" w:sz="4" w:space="0" w:color="auto"/>
            </w:tcBorders>
            <w:noWrap/>
            <w:hideMark/>
          </w:tcPr>
          <w:p w14:paraId="54F264A8" w14:textId="77777777" w:rsidR="00CF641C" w:rsidRPr="00520861" w:rsidRDefault="00CF641C" w:rsidP="00292D2E">
            <w:pPr>
              <w:widowControl w:val="0"/>
              <w:spacing w:line="360" w:lineRule="auto"/>
              <w:contextualSpacing/>
              <w:jc w:val="center"/>
              <w:rPr>
                <w:sz w:val="28"/>
                <w:szCs w:val="28"/>
              </w:rPr>
            </w:pPr>
            <w:r w:rsidRPr="00520861">
              <w:rPr>
                <w:sz w:val="28"/>
                <w:szCs w:val="28"/>
              </w:rPr>
              <w:t>2,33</w:t>
            </w:r>
          </w:p>
        </w:tc>
        <w:tc>
          <w:tcPr>
            <w:tcW w:w="1907" w:type="dxa"/>
            <w:tcBorders>
              <w:top w:val="single" w:sz="4" w:space="0" w:color="auto"/>
              <w:left w:val="single" w:sz="4" w:space="0" w:color="auto"/>
              <w:bottom w:val="single" w:sz="4" w:space="0" w:color="auto"/>
              <w:right w:val="single" w:sz="4" w:space="0" w:color="auto"/>
            </w:tcBorders>
            <w:noWrap/>
            <w:hideMark/>
          </w:tcPr>
          <w:p w14:paraId="720C7086" w14:textId="77777777" w:rsidR="00CF641C" w:rsidRPr="00520861" w:rsidRDefault="00CF641C" w:rsidP="00292D2E">
            <w:pPr>
              <w:widowControl w:val="0"/>
              <w:spacing w:line="360" w:lineRule="auto"/>
              <w:contextualSpacing/>
              <w:jc w:val="center"/>
              <w:rPr>
                <w:sz w:val="28"/>
                <w:szCs w:val="28"/>
              </w:rPr>
            </w:pPr>
            <w:r w:rsidRPr="00520861">
              <w:rPr>
                <w:sz w:val="28"/>
                <w:szCs w:val="28"/>
              </w:rPr>
              <w:t>3,40</w:t>
            </w:r>
          </w:p>
        </w:tc>
        <w:tc>
          <w:tcPr>
            <w:tcW w:w="1908" w:type="dxa"/>
            <w:tcBorders>
              <w:top w:val="single" w:sz="4" w:space="0" w:color="auto"/>
              <w:left w:val="single" w:sz="4" w:space="0" w:color="auto"/>
              <w:bottom w:val="single" w:sz="4" w:space="0" w:color="auto"/>
              <w:right w:val="single" w:sz="4" w:space="0" w:color="auto"/>
            </w:tcBorders>
            <w:noWrap/>
            <w:hideMark/>
          </w:tcPr>
          <w:p w14:paraId="6245B4C5" w14:textId="77777777" w:rsidR="00CF641C" w:rsidRPr="00520861" w:rsidRDefault="00CF641C" w:rsidP="00292D2E">
            <w:pPr>
              <w:widowControl w:val="0"/>
              <w:spacing w:line="360" w:lineRule="auto"/>
              <w:contextualSpacing/>
              <w:jc w:val="center"/>
              <w:rPr>
                <w:sz w:val="28"/>
                <w:szCs w:val="28"/>
              </w:rPr>
            </w:pPr>
            <w:r w:rsidRPr="00520861">
              <w:rPr>
                <w:sz w:val="28"/>
                <w:szCs w:val="28"/>
              </w:rPr>
              <w:t>4,27</w:t>
            </w:r>
          </w:p>
        </w:tc>
        <w:tc>
          <w:tcPr>
            <w:tcW w:w="1908" w:type="dxa"/>
            <w:tcBorders>
              <w:top w:val="single" w:sz="4" w:space="0" w:color="auto"/>
              <w:left w:val="single" w:sz="4" w:space="0" w:color="auto"/>
              <w:bottom w:val="single" w:sz="4" w:space="0" w:color="auto"/>
              <w:right w:val="single" w:sz="4" w:space="0" w:color="auto"/>
            </w:tcBorders>
            <w:noWrap/>
            <w:hideMark/>
          </w:tcPr>
          <w:p w14:paraId="2734DF95" w14:textId="77777777" w:rsidR="00CF641C" w:rsidRPr="00520861" w:rsidRDefault="00CF641C" w:rsidP="00292D2E">
            <w:pPr>
              <w:widowControl w:val="0"/>
              <w:spacing w:line="360" w:lineRule="auto"/>
              <w:contextualSpacing/>
              <w:jc w:val="center"/>
              <w:rPr>
                <w:sz w:val="28"/>
                <w:szCs w:val="28"/>
              </w:rPr>
            </w:pPr>
            <w:r w:rsidRPr="00520861">
              <w:rPr>
                <w:sz w:val="28"/>
                <w:szCs w:val="28"/>
              </w:rPr>
              <w:t>6,53</w:t>
            </w:r>
          </w:p>
        </w:tc>
      </w:tr>
      <w:tr w:rsidR="00CF641C" w:rsidRPr="00520861" w14:paraId="203BF905" w14:textId="77777777" w:rsidTr="00292D2E">
        <w:trPr>
          <w:trHeight w:val="300"/>
        </w:trPr>
        <w:tc>
          <w:tcPr>
            <w:tcW w:w="1384" w:type="dxa"/>
            <w:tcBorders>
              <w:top w:val="single" w:sz="4" w:space="0" w:color="auto"/>
              <w:left w:val="single" w:sz="4" w:space="0" w:color="auto"/>
              <w:bottom w:val="single" w:sz="4" w:space="0" w:color="auto"/>
              <w:right w:val="single" w:sz="4" w:space="0" w:color="auto"/>
            </w:tcBorders>
            <w:hideMark/>
          </w:tcPr>
          <w:p w14:paraId="5C89486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w:t>
            </w:r>
          </w:p>
        </w:tc>
        <w:tc>
          <w:tcPr>
            <w:tcW w:w="1907" w:type="dxa"/>
            <w:tcBorders>
              <w:top w:val="single" w:sz="4" w:space="0" w:color="auto"/>
              <w:left w:val="single" w:sz="4" w:space="0" w:color="auto"/>
              <w:bottom w:val="single" w:sz="4" w:space="0" w:color="auto"/>
              <w:right w:val="single" w:sz="4" w:space="0" w:color="auto"/>
            </w:tcBorders>
            <w:noWrap/>
            <w:hideMark/>
          </w:tcPr>
          <w:p w14:paraId="19AC18E0" w14:textId="77777777" w:rsidR="00CF641C" w:rsidRPr="00520861" w:rsidRDefault="00CF641C" w:rsidP="00292D2E">
            <w:pPr>
              <w:widowControl w:val="0"/>
              <w:spacing w:line="360" w:lineRule="auto"/>
              <w:contextualSpacing/>
              <w:jc w:val="center"/>
              <w:rPr>
                <w:sz w:val="28"/>
                <w:szCs w:val="28"/>
              </w:rPr>
            </w:pPr>
            <w:r w:rsidRPr="00520861">
              <w:rPr>
                <w:sz w:val="28"/>
                <w:szCs w:val="28"/>
              </w:rPr>
              <w:t>3,50</w:t>
            </w:r>
          </w:p>
        </w:tc>
        <w:tc>
          <w:tcPr>
            <w:tcW w:w="1908" w:type="dxa"/>
            <w:tcBorders>
              <w:top w:val="single" w:sz="4" w:space="0" w:color="auto"/>
              <w:left w:val="single" w:sz="4" w:space="0" w:color="auto"/>
              <w:bottom w:val="single" w:sz="4" w:space="0" w:color="auto"/>
              <w:right w:val="single" w:sz="4" w:space="0" w:color="auto"/>
            </w:tcBorders>
            <w:noWrap/>
            <w:hideMark/>
          </w:tcPr>
          <w:p w14:paraId="7A430158" w14:textId="77777777" w:rsidR="00CF641C" w:rsidRPr="00520861" w:rsidRDefault="00CF641C" w:rsidP="00292D2E">
            <w:pPr>
              <w:widowControl w:val="0"/>
              <w:spacing w:line="360" w:lineRule="auto"/>
              <w:contextualSpacing/>
              <w:jc w:val="center"/>
              <w:rPr>
                <w:sz w:val="28"/>
                <w:szCs w:val="28"/>
              </w:rPr>
            </w:pPr>
            <w:r w:rsidRPr="00520861">
              <w:rPr>
                <w:sz w:val="28"/>
                <w:szCs w:val="28"/>
              </w:rPr>
              <w:t>2,15</w:t>
            </w:r>
          </w:p>
        </w:tc>
        <w:tc>
          <w:tcPr>
            <w:tcW w:w="1907" w:type="dxa"/>
            <w:tcBorders>
              <w:top w:val="single" w:sz="4" w:space="0" w:color="auto"/>
              <w:left w:val="single" w:sz="4" w:space="0" w:color="auto"/>
              <w:bottom w:val="single" w:sz="4" w:space="0" w:color="auto"/>
              <w:right w:val="single" w:sz="4" w:space="0" w:color="auto"/>
            </w:tcBorders>
            <w:noWrap/>
            <w:hideMark/>
          </w:tcPr>
          <w:p w14:paraId="7797811B" w14:textId="77777777" w:rsidR="00CF641C" w:rsidRPr="00520861" w:rsidRDefault="00CF641C" w:rsidP="00292D2E">
            <w:pPr>
              <w:widowControl w:val="0"/>
              <w:spacing w:line="360" w:lineRule="auto"/>
              <w:contextualSpacing/>
              <w:jc w:val="center"/>
              <w:rPr>
                <w:sz w:val="28"/>
                <w:szCs w:val="28"/>
              </w:rPr>
            </w:pPr>
            <w:r w:rsidRPr="00520861">
              <w:rPr>
                <w:sz w:val="28"/>
                <w:szCs w:val="28"/>
              </w:rPr>
              <w:t>2,75*</w:t>
            </w:r>
          </w:p>
          <w:p w14:paraId="0A40D7A2" w14:textId="77777777" w:rsidR="00CF641C" w:rsidRPr="00520861" w:rsidRDefault="00CF641C" w:rsidP="00292D2E">
            <w:pPr>
              <w:widowControl w:val="0"/>
              <w:spacing w:line="360" w:lineRule="auto"/>
              <w:contextualSpacing/>
              <w:jc w:val="center"/>
              <w:rPr>
                <w:sz w:val="28"/>
                <w:szCs w:val="28"/>
              </w:rPr>
            </w:pPr>
            <w:r w:rsidRPr="00520861">
              <w:rPr>
                <w:sz w:val="28"/>
                <w:szCs w:val="28"/>
              </w:rPr>
              <w:t>(</w:t>
            </w:r>
            <w:r w:rsidRPr="00520861">
              <w:rPr>
                <w:i/>
                <w:sz w:val="28"/>
                <w:szCs w:val="28"/>
              </w:rPr>
              <w:t>p</w:t>
            </w:r>
            <w:r w:rsidRPr="00520861">
              <w:rPr>
                <w:sz w:val="28"/>
                <w:szCs w:val="28"/>
              </w:rPr>
              <w:t>=0,0440)</w:t>
            </w:r>
          </w:p>
        </w:tc>
        <w:tc>
          <w:tcPr>
            <w:tcW w:w="1908" w:type="dxa"/>
            <w:tcBorders>
              <w:top w:val="single" w:sz="4" w:space="0" w:color="auto"/>
              <w:left w:val="single" w:sz="4" w:space="0" w:color="auto"/>
              <w:bottom w:val="single" w:sz="4" w:space="0" w:color="auto"/>
              <w:right w:val="single" w:sz="4" w:space="0" w:color="auto"/>
            </w:tcBorders>
            <w:noWrap/>
            <w:hideMark/>
          </w:tcPr>
          <w:p w14:paraId="749D07D6" w14:textId="77777777" w:rsidR="00CF641C" w:rsidRPr="00520861" w:rsidRDefault="00CF641C" w:rsidP="00292D2E">
            <w:pPr>
              <w:widowControl w:val="0"/>
              <w:spacing w:line="360" w:lineRule="auto"/>
              <w:contextualSpacing/>
              <w:jc w:val="center"/>
              <w:rPr>
                <w:sz w:val="28"/>
                <w:szCs w:val="28"/>
              </w:rPr>
            </w:pPr>
            <w:r w:rsidRPr="00520861">
              <w:rPr>
                <w:sz w:val="28"/>
                <w:szCs w:val="28"/>
              </w:rPr>
              <w:t>2,70*</w:t>
            </w:r>
          </w:p>
          <w:p w14:paraId="4742A077" w14:textId="77777777" w:rsidR="00CF641C" w:rsidRPr="00520861" w:rsidRDefault="00CF641C" w:rsidP="00292D2E">
            <w:pPr>
              <w:widowControl w:val="0"/>
              <w:spacing w:line="360" w:lineRule="auto"/>
              <w:contextualSpacing/>
              <w:jc w:val="center"/>
              <w:rPr>
                <w:sz w:val="28"/>
                <w:szCs w:val="28"/>
              </w:rPr>
            </w:pPr>
            <w:r w:rsidRPr="00520861">
              <w:rPr>
                <w:sz w:val="28"/>
                <w:szCs w:val="28"/>
              </w:rPr>
              <w:t>(</w:t>
            </w:r>
            <w:r w:rsidRPr="00520861">
              <w:rPr>
                <w:i/>
                <w:sz w:val="28"/>
                <w:szCs w:val="28"/>
              </w:rPr>
              <w:t>p</w:t>
            </w:r>
            <w:r w:rsidRPr="00520861">
              <w:rPr>
                <w:sz w:val="28"/>
                <w:szCs w:val="28"/>
              </w:rPr>
              <w:t>=0,0127)</w:t>
            </w:r>
          </w:p>
        </w:tc>
        <w:tc>
          <w:tcPr>
            <w:tcW w:w="1907" w:type="dxa"/>
            <w:tcBorders>
              <w:top w:val="single" w:sz="4" w:space="0" w:color="auto"/>
              <w:left w:val="single" w:sz="4" w:space="0" w:color="auto"/>
              <w:bottom w:val="single" w:sz="4" w:space="0" w:color="auto"/>
              <w:right w:val="single" w:sz="4" w:space="0" w:color="auto"/>
            </w:tcBorders>
            <w:noWrap/>
            <w:hideMark/>
          </w:tcPr>
          <w:p w14:paraId="6212DBA8" w14:textId="77777777" w:rsidR="00CF641C" w:rsidRPr="00520861" w:rsidRDefault="00CF641C" w:rsidP="00292D2E">
            <w:pPr>
              <w:widowControl w:val="0"/>
              <w:spacing w:line="360" w:lineRule="auto"/>
              <w:contextualSpacing/>
              <w:jc w:val="center"/>
              <w:rPr>
                <w:sz w:val="28"/>
                <w:szCs w:val="28"/>
              </w:rPr>
            </w:pPr>
            <w:r w:rsidRPr="00520861">
              <w:rPr>
                <w:sz w:val="28"/>
                <w:szCs w:val="28"/>
              </w:rPr>
              <w:t>3,15</w:t>
            </w:r>
          </w:p>
        </w:tc>
        <w:tc>
          <w:tcPr>
            <w:tcW w:w="1908" w:type="dxa"/>
            <w:tcBorders>
              <w:top w:val="single" w:sz="4" w:space="0" w:color="auto"/>
              <w:left w:val="single" w:sz="4" w:space="0" w:color="auto"/>
              <w:bottom w:val="single" w:sz="4" w:space="0" w:color="auto"/>
              <w:right w:val="single" w:sz="4" w:space="0" w:color="auto"/>
            </w:tcBorders>
            <w:noWrap/>
            <w:hideMark/>
          </w:tcPr>
          <w:p w14:paraId="0881A17D" w14:textId="77777777" w:rsidR="00CF641C" w:rsidRPr="00520861" w:rsidRDefault="00CF641C" w:rsidP="00292D2E">
            <w:pPr>
              <w:widowControl w:val="0"/>
              <w:spacing w:line="360" w:lineRule="auto"/>
              <w:contextualSpacing/>
              <w:jc w:val="center"/>
              <w:rPr>
                <w:sz w:val="28"/>
                <w:szCs w:val="28"/>
              </w:rPr>
            </w:pPr>
            <w:r w:rsidRPr="00520861">
              <w:rPr>
                <w:sz w:val="28"/>
                <w:szCs w:val="28"/>
              </w:rPr>
              <w:t>4,45</w:t>
            </w:r>
          </w:p>
        </w:tc>
        <w:tc>
          <w:tcPr>
            <w:tcW w:w="1908" w:type="dxa"/>
            <w:tcBorders>
              <w:top w:val="single" w:sz="4" w:space="0" w:color="auto"/>
              <w:left w:val="single" w:sz="4" w:space="0" w:color="auto"/>
              <w:bottom w:val="single" w:sz="4" w:space="0" w:color="auto"/>
              <w:right w:val="single" w:sz="4" w:space="0" w:color="auto"/>
            </w:tcBorders>
            <w:noWrap/>
            <w:hideMark/>
          </w:tcPr>
          <w:p w14:paraId="701CE9A3" w14:textId="77777777" w:rsidR="00CF641C" w:rsidRPr="00520861" w:rsidRDefault="00CF641C" w:rsidP="00292D2E">
            <w:pPr>
              <w:widowControl w:val="0"/>
              <w:spacing w:line="360" w:lineRule="auto"/>
              <w:contextualSpacing/>
              <w:jc w:val="center"/>
              <w:rPr>
                <w:sz w:val="28"/>
                <w:szCs w:val="28"/>
              </w:rPr>
            </w:pPr>
            <w:r w:rsidRPr="00520861">
              <w:rPr>
                <w:sz w:val="28"/>
                <w:szCs w:val="28"/>
              </w:rPr>
              <w:t>5,30</w:t>
            </w:r>
          </w:p>
        </w:tc>
      </w:tr>
    </w:tbl>
    <w:p w14:paraId="37CCF063"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Примітки: </w:t>
      </w:r>
      <w:r w:rsidRPr="00520861">
        <w:rPr>
          <w:sz w:val="28"/>
          <w:szCs w:val="28"/>
        </w:rPr>
        <w:tab/>
        <w:t>† – вірогідно відрізняється від ГП за критерієм Стьюдента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sz w:val="28"/>
          <w:szCs w:val="28"/>
        </w:rPr>
        <w:t xml:space="preserve">); </w:t>
      </w:r>
    </w:p>
    <w:p w14:paraId="4C2EC8F3" w14:textId="77777777" w:rsidR="00CF641C" w:rsidRPr="00520861" w:rsidRDefault="00CF641C" w:rsidP="00292D2E">
      <w:pPr>
        <w:widowControl w:val="0"/>
        <w:spacing w:line="360" w:lineRule="auto"/>
        <w:ind w:left="1416" w:firstLine="708"/>
        <w:contextualSpacing/>
        <w:jc w:val="both"/>
        <w:rPr>
          <w:sz w:val="28"/>
          <w:szCs w:val="28"/>
        </w:rPr>
      </w:pPr>
      <w:r w:rsidRPr="00520861">
        <w:rPr>
          <w:sz w:val="28"/>
          <w:szCs w:val="28"/>
        </w:rPr>
        <w:t>* – вірогідно відрізняється від ГП за критерієм Манна – Уітні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sz w:val="28"/>
          <w:szCs w:val="28"/>
        </w:rPr>
        <w:t>);</w:t>
      </w:r>
    </w:p>
    <w:p w14:paraId="39DFFAF4" w14:textId="77777777" w:rsidR="00CF641C" w:rsidRPr="00520861" w:rsidRDefault="00CF641C" w:rsidP="00292D2E">
      <w:pPr>
        <w:widowControl w:val="0"/>
        <w:spacing w:line="360" w:lineRule="auto"/>
        <w:ind w:left="1416" w:firstLine="708"/>
        <w:contextualSpacing/>
        <w:jc w:val="both"/>
        <w:rPr>
          <w:sz w:val="28"/>
          <w:szCs w:val="28"/>
        </w:rPr>
      </w:pPr>
      <w:r w:rsidRPr="00520861">
        <w:rPr>
          <w:sz w:val="28"/>
          <w:szCs w:val="28"/>
        </w:rPr>
        <w:t>** – вірогідно відрізняється від підгрупи 4 за критерієм Манна – Уітні (</w:t>
      </w:r>
      <w:r w:rsidR="00E3392E" w:rsidRPr="00520861">
        <w:rPr>
          <w:rFonts w:eastAsia="Calibri"/>
          <w:i/>
          <w:sz w:val="28"/>
          <w:szCs w:val="28"/>
          <w:lang w:eastAsia="en-US"/>
        </w:rPr>
        <w:t>p</w:t>
      </w:r>
      <w:r w:rsidR="00CD7533" w:rsidRPr="00520861">
        <w:rPr>
          <w:rFonts w:eastAsia="Calibri"/>
          <w:sz w:val="28"/>
          <w:szCs w:val="28"/>
          <w:lang w:eastAsia="en-US"/>
        </w:rPr>
        <w:t>&lt;</w:t>
      </w:r>
      <w:r w:rsidR="00E3392E" w:rsidRPr="00520861">
        <w:rPr>
          <w:rFonts w:eastAsia="Calibri"/>
          <w:sz w:val="28"/>
          <w:szCs w:val="28"/>
          <w:lang w:eastAsia="en-US"/>
        </w:rPr>
        <w:t>0,05</w:t>
      </w:r>
      <w:r w:rsidRPr="00520861">
        <w:rPr>
          <w:sz w:val="28"/>
          <w:szCs w:val="28"/>
        </w:rPr>
        <w:t>).</w:t>
      </w:r>
    </w:p>
    <w:p w14:paraId="60AB32F6" w14:textId="77777777" w:rsidR="00CF641C" w:rsidRPr="00520861" w:rsidRDefault="00CF641C" w:rsidP="00292D2E">
      <w:pPr>
        <w:widowControl w:val="0"/>
        <w:spacing w:line="360" w:lineRule="auto"/>
        <w:contextualSpacing/>
        <w:jc w:val="both"/>
        <w:rPr>
          <w:rFonts w:eastAsia="Calibri"/>
          <w:sz w:val="28"/>
          <w:szCs w:val="28"/>
          <w:lang w:eastAsia="en-US"/>
        </w:rPr>
        <w:sectPr w:rsidR="00CF641C" w:rsidRPr="00520861" w:rsidSect="00292D2E">
          <w:pgSz w:w="16838" w:h="11906" w:orient="landscape"/>
          <w:pgMar w:top="1134" w:right="624" w:bottom="1134" w:left="1134" w:header="709" w:footer="709" w:gutter="0"/>
          <w:cols w:space="708"/>
          <w:docGrid w:linePitch="360"/>
        </w:sectPr>
      </w:pPr>
    </w:p>
    <w:p w14:paraId="22CEFCC8" w14:textId="77777777" w:rsidR="00CF641C" w:rsidRPr="00520861" w:rsidRDefault="00CF641C" w:rsidP="00292D2E">
      <w:pPr>
        <w:widowControl w:val="0"/>
        <w:spacing w:line="360" w:lineRule="auto"/>
        <w:ind w:firstLine="708"/>
        <w:contextualSpacing/>
        <w:jc w:val="both"/>
        <w:rPr>
          <w:rFonts w:eastAsia="Calibri"/>
          <w:spacing w:val="-2"/>
          <w:sz w:val="28"/>
          <w:szCs w:val="28"/>
          <w:lang w:eastAsia="en-US"/>
        </w:rPr>
      </w:pPr>
      <w:r w:rsidRPr="00520861">
        <w:rPr>
          <w:rFonts w:eastAsia="Calibri"/>
          <w:sz w:val="28"/>
          <w:szCs w:val="28"/>
          <w:lang w:eastAsia="en-US"/>
        </w:rPr>
        <w:lastRenderedPageBreak/>
        <w:t xml:space="preserve">ПКВ високого значення індексу </w:t>
      </w:r>
      <w:proofErr w:type="spellStart"/>
      <w:r w:rsidRPr="00520861">
        <w:rPr>
          <w:rFonts w:eastAsia="Calibri"/>
          <w:sz w:val="28"/>
          <w:szCs w:val="28"/>
          <w:lang w:eastAsia="en-US"/>
        </w:rPr>
        <w:t>кпв</w:t>
      </w:r>
      <w:proofErr w:type="spellEnd"/>
      <w:r w:rsidRPr="00520861">
        <w:rPr>
          <w:rFonts w:eastAsia="Calibri"/>
          <w:sz w:val="28"/>
          <w:szCs w:val="28"/>
          <w:lang w:eastAsia="en-US"/>
        </w:rPr>
        <w:t xml:space="preserve"> також була вірогідно вищою в дітей </w:t>
      </w:r>
      <w:r w:rsidRPr="00520861">
        <w:rPr>
          <w:rFonts w:eastAsiaTheme="minorHAnsi"/>
          <w:sz w:val="28"/>
          <w:szCs w:val="28"/>
          <w:lang w:eastAsia="en-US"/>
        </w:rPr>
        <w:t>під-групи</w:t>
      </w:r>
      <w:r w:rsidRPr="00520861">
        <w:rPr>
          <w:rFonts w:eastAsia="Calibri"/>
          <w:sz w:val="28"/>
          <w:szCs w:val="28"/>
          <w:lang w:eastAsia="en-US"/>
        </w:rPr>
        <w:t xml:space="preserve"> 3 – 80,0% (ДІ: 59,5% – 92,2%). Вірогідно частіше в дітей ОГ фіксувалася скарга на відчуття сухості в ротовій порожнині: ПКВ склала 20,7% (ДІ: 13,6% – 29,7%) проти 4,9% (ДІ: 1,5% – 12,9%) у дітей ГП. </w:t>
      </w:r>
      <w:r w:rsidRPr="00520861">
        <w:rPr>
          <w:rFonts w:eastAsia="Calibri"/>
          <w:spacing w:val="-2"/>
          <w:sz w:val="28"/>
          <w:szCs w:val="28"/>
          <w:lang w:eastAsia="en-US"/>
        </w:rPr>
        <w:t xml:space="preserve">На наявність </w:t>
      </w:r>
      <w:proofErr w:type="spellStart"/>
      <w:r w:rsidRPr="00520861">
        <w:rPr>
          <w:rFonts w:eastAsia="Calibri"/>
          <w:spacing w:val="-2"/>
          <w:sz w:val="28"/>
          <w:szCs w:val="28"/>
          <w:lang w:eastAsia="en-US"/>
        </w:rPr>
        <w:t>бруксизму</w:t>
      </w:r>
      <w:proofErr w:type="spellEnd"/>
      <w:r w:rsidRPr="00520861">
        <w:rPr>
          <w:rFonts w:eastAsia="Calibri"/>
          <w:spacing w:val="-2"/>
          <w:sz w:val="28"/>
          <w:szCs w:val="28"/>
          <w:lang w:eastAsia="en-US"/>
        </w:rPr>
        <w:t xml:space="preserve"> частіше за інших (</w:t>
      </w:r>
      <w:proofErr w:type="spellStart"/>
      <w:r w:rsidRPr="00520861">
        <w:rPr>
          <w:rFonts w:eastAsia="Calibri"/>
          <w:spacing w:val="-2"/>
          <w:sz w:val="28"/>
          <w:szCs w:val="28"/>
          <w:lang w:eastAsia="en-US"/>
        </w:rPr>
        <w:t>невірогідно</w:t>
      </w:r>
      <w:proofErr w:type="spellEnd"/>
      <w:r w:rsidRPr="00520861">
        <w:rPr>
          <w:rFonts w:eastAsia="Calibri"/>
          <w:spacing w:val="-2"/>
          <w:sz w:val="28"/>
          <w:szCs w:val="28"/>
          <w:lang w:eastAsia="en-US"/>
        </w:rPr>
        <w:t xml:space="preserve">) скаржилися діти підгрупи 2 – 52,9% проти 31,7% (ДІ: 20,1% – 45,5%) таких скарг у ГП. </w:t>
      </w:r>
    </w:p>
    <w:p w14:paraId="79C45055" w14:textId="77777777" w:rsidR="00CF641C" w:rsidRPr="00520861" w:rsidRDefault="00CF641C" w:rsidP="00292D2E">
      <w:pPr>
        <w:widowControl w:val="0"/>
        <w:spacing w:line="360" w:lineRule="auto"/>
        <w:ind w:firstLine="708"/>
        <w:contextualSpacing/>
        <w:jc w:val="both"/>
        <w:rPr>
          <w:rFonts w:eastAsia="Calibri"/>
          <w:i/>
          <w:sz w:val="28"/>
          <w:szCs w:val="28"/>
          <w:lang w:eastAsia="en-US"/>
        </w:rPr>
      </w:pPr>
      <w:r w:rsidRPr="00520861">
        <w:rPr>
          <w:rFonts w:eastAsia="Calibri"/>
          <w:sz w:val="28"/>
          <w:szCs w:val="28"/>
          <w:lang w:eastAsia="en-US"/>
        </w:rPr>
        <w:t xml:space="preserve">Вірогідних відмінностей загальної кількості балів за шкалою 4 між ОГ та ГП не виявлено (табл. 4.11, </w:t>
      </w:r>
      <w:r w:rsidRPr="00520861">
        <w:rPr>
          <w:rFonts w:eastAsiaTheme="minorHAnsi"/>
          <w:sz w:val="28"/>
          <w:szCs w:val="28"/>
          <w:lang w:eastAsia="en-US"/>
        </w:rPr>
        <w:t>табл. Б.1.14</w:t>
      </w:r>
      <w:r w:rsidRPr="00520861">
        <w:rPr>
          <w:rFonts w:eastAsia="Calibri"/>
          <w:sz w:val="28"/>
          <w:szCs w:val="28"/>
          <w:lang w:eastAsia="en-US"/>
        </w:rPr>
        <w:t>).</w:t>
      </w:r>
      <w:r w:rsidRPr="00520861">
        <w:rPr>
          <w:rFonts w:eastAsia="Calibri"/>
          <w:i/>
          <w:sz w:val="28"/>
          <w:szCs w:val="28"/>
          <w:lang w:eastAsia="en-US"/>
        </w:rPr>
        <w:t xml:space="preserve"> </w:t>
      </w:r>
      <w:r w:rsidRPr="00520861">
        <w:rPr>
          <w:rFonts w:eastAsia="Calibri"/>
          <w:sz w:val="28"/>
          <w:szCs w:val="28"/>
          <w:lang w:eastAsia="en-US"/>
        </w:rPr>
        <w:t xml:space="preserve">Ендокринну патологію частіше, проте </w:t>
      </w:r>
      <w:r w:rsidRPr="00520861">
        <w:rPr>
          <w:rFonts w:eastAsia="Calibri"/>
          <w:sz w:val="28"/>
          <w:szCs w:val="28"/>
          <w:lang w:eastAsia="en-US"/>
        </w:rPr>
        <w:br/>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мали діти підгрупи 2 – 23,5% проти 4,9% (ДІ: 1,5% – 12,9%) дітей ГП. </w:t>
      </w:r>
    </w:p>
    <w:p w14:paraId="7B4AB83F"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дітей підгрупи 3 (33,3%) та дітей </w:t>
      </w:r>
      <w:r w:rsidRPr="00520861">
        <w:rPr>
          <w:rFonts w:eastAsiaTheme="minorHAnsi"/>
          <w:sz w:val="28"/>
          <w:szCs w:val="28"/>
          <w:lang w:eastAsia="en-US"/>
        </w:rPr>
        <w:t>підгрупи</w:t>
      </w:r>
      <w:r w:rsidRPr="00520861">
        <w:rPr>
          <w:rFonts w:eastAsia="Calibri"/>
          <w:sz w:val="28"/>
          <w:szCs w:val="28"/>
          <w:lang w:eastAsia="en-US"/>
        </w:rPr>
        <w:t xml:space="preserve"> 4 (35,0%) майже у два рази частіше, ніж у дітей ГП (17,1% ДІ: 8,8% – 29,2%), фіксувалося утруднене дихання через ніс. Такі захворювання, як бронхіальна астма, </w:t>
      </w:r>
      <w:proofErr w:type="spellStart"/>
      <w:r w:rsidRPr="00520861">
        <w:rPr>
          <w:rFonts w:eastAsia="Calibri"/>
          <w:sz w:val="28"/>
          <w:szCs w:val="28"/>
          <w:lang w:eastAsia="en-US"/>
        </w:rPr>
        <w:t>атопічний</w:t>
      </w:r>
      <w:proofErr w:type="spellEnd"/>
      <w:r w:rsidRPr="00520861">
        <w:rPr>
          <w:rFonts w:eastAsia="Calibri"/>
          <w:sz w:val="28"/>
          <w:szCs w:val="28"/>
          <w:lang w:eastAsia="en-US"/>
        </w:rPr>
        <w:t xml:space="preserve"> дерматит, алергічний риніт </w:t>
      </w:r>
      <w:r w:rsidRPr="00520861">
        <w:rPr>
          <w:rFonts w:eastAsia="Calibri"/>
          <w:sz w:val="28"/>
          <w:szCs w:val="28"/>
          <w:lang w:eastAsia="en-US"/>
        </w:rPr>
        <w:br/>
        <w:t xml:space="preserve">зустрічалися вірогідно частіше в осіб </w:t>
      </w:r>
      <w:r w:rsidRPr="00520861">
        <w:rPr>
          <w:rFonts w:eastAsiaTheme="minorHAnsi"/>
          <w:sz w:val="28"/>
          <w:szCs w:val="28"/>
          <w:lang w:eastAsia="en-US"/>
        </w:rPr>
        <w:t>підгрупи</w:t>
      </w:r>
      <w:r w:rsidRPr="00520861">
        <w:rPr>
          <w:rFonts w:eastAsia="Calibri"/>
          <w:sz w:val="28"/>
          <w:szCs w:val="28"/>
          <w:lang w:eastAsia="en-US"/>
        </w:rPr>
        <w:t xml:space="preserve"> 4 – 55,0% (ДІ: 36,1% – 72,8%) проти 22,0% (ДІ: 12,4% – 34,9%) в осіб ГП.</w:t>
      </w:r>
    </w:p>
    <w:p w14:paraId="7C8B5453"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roofErr w:type="spellStart"/>
      <w:r w:rsidRPr="00520861">
        <w:rPr>
          <w:rFonts w:eastAsia="Calibri"/>
          <w:sz w:val="28"/>
          <w:szCs w:val="28"/>
          <w:lang w:eastAsia="en-US"/>
        </w:rPr>
        <w:t>Дисплазії</w:t>
      </w:r>
      <w:proofErr w:type="spellEnd"/>
      <w:r w:rsidRPr="00520861">
        <w:rPr>
          <w:rFonts w:eastAsia="Calibri"/>
          <w:sz w:val="28"/>
          <w:szCs w:val="28"/>
          <w:lang w:eastAsia="en-US"/>
        </w:rPr>
        <w:t xml:space="preserve"> тазостегнових та інших суглобів чи звичні вивихи суглобів </w:t>
      </w:r>
      <w:r w:rsidRPr="00520861">
        <w:rPr>
          <w:rFonts w:eastAsia="Calibri"/>
          <w:sz w:val="28"/>
          <w:szCs w:val="28"/>
          <w:lang w:eastAsia="en-US"/>
        </w:rPr>
        <w:br/>
        <w:t xml:space="preserve">згадувалися батьками дітей </w:t>
      </w:r>
      <w:r w:rsidRPr="00520861">
        <w:rPr>
          <w:rFonts w:eastAsiaTheme="minorHAnsi"/>
          <w:sz w:val="28"/>
          <w:szCs w:val="28"/>
          <w:lang w:eastAsia="en-US"/>
        </w:rPr>
        <w:t>підгрупи</w:t>
      </w:r>
      <w:r w:rsidRPr="00520861">
        <w:rPr>
          <w:rFonts w:eastAsia="Calibri"/>
          <w:sz w:val="28"/>
          <w:szCs w:val="28"/>
          <w:lang w:eastAsia="en-US"/>
        </w:rPr>
        <w:t xml:space="preserve"> -4 частіше за інших учасників дослідження – 35,0% проти 19,5% (ДІ: 10,6% – 32,1%) у дітей ГП. Проте ця різниця невірогідна.</w:t>
      </w:r>
    </w:p>
    <w:p w14:paraId="082EF5B5"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Вірогідно частіше відзначалося, що діти ОГ часто й тривало хворіють – 37,8% (ДІ: 28,4% – 48,0%) проти 14,6% (ДІ: 7,2% – 26,2%) дітей ГП. Вірогідно частіше, ніж діти ГП, часто й тривало хворіють діти із </w:t>
      </w:r>
      <w:r w:rsidRPr="00520861">
        <w:rPr>
          <w:rFonts w:eastAsiaTheme="minorHAnsi"/>
          <w:sz w:val="28"/>
          <w:szCs w:val="28"/>
          <w:lang w:eastAsia="en-US"/>
        </w:rPr>
        <w:t>підгрупи</w:t>
      </w:r>
      <w:r w:rsidRPr="00520861">
        <w:rPr>
          <w:rFonts w:eastAsia="Calibri"/>
          <w:sz w:val="28"/>
          <w:szCs w:val="28"/>
          <w:lang w:eastAsia="en-US"/>
        </w:rPr>
        <w:t xml:space="preserve"> 2 та </w:t>
      </w:r>
      <w:r w:rsidRPr="00520861">
        <w:rPr>
          <w:rFonts w:eastAsiaTheme="minorHAnsi"/>
          <w:sz w:val="28"/>
          <w:szCs w:val="28"/>
          <w:lang w:eastAsia="en-US"/>
        </w:rPr>
        <w:t>підгрупи</w:t>
      </w:r>
      <w:r w:rsidRPr="00520861">
        <w:rPr>
          <w:rFonts w:eastAsia="Calibri"/>
          <w:sz w:val="28"/>
          <w:szCs w:val="28"/>
          <w:lang w:eastAsia="en-US"/>
        </w:rPr>
        <w:t xml:space="preserve"> 4 – 58,8% (ДІ: 38,3% – 77,0%) та 45,0% (ДІ: 27,2% – 63,9%) відповідно.</w:t>
      </w:r>
    </w:p>
    <w:p w14:paraId="0C94D67B" w14:textId="77777777" w:rsidR="00CF641C" w:rsidRPr="00520861" w:rsidRDefault="00CF641C" w:rsidP="00292D2E">
      <w:pPr>
        <w:widowControl w:val="0"/>
        <w:spacing w:line="360" w:lineRule="auto"/>
        <w:ind w:firstLine="708"/>
        <w:contextualSpacing/>
        <w:jc w:val="both"/>
        <w:rPr>
          <w:rFonts w:eastAsia="Calibri"/>
          <w:spacing w:val="-2"/>
          <w:sz w:val="28"/>
          <w:szCs w:val="28"/>
          <w:lang w:eastAsia="en-US"/>
        </w:rPr>
      </w:pPr>
      <w:r w:rsidRPr="00520861">
        <w:rPr>
          <w:rFonts w:eastAsia="Calibri"/>
          <w:spacing w:val="-2"/>
          <w:sz w:val="28"/>
          <w:szCs w:val="28"/>
          <w:lang w:eastAsia="en-US"/>
        </w:rPr>
        <w:t xml:space="preserve">Найчастіше за інших указували на те, що дитина має патологію шлунково-кишкового тракту, батьки дітей </w:t>
      </w:r>
      <w:r w:rsidRPr="00520861">
        <w:rPr>
          <w:rFonts w:eastAsiaTheme="minorHAnsi"/>
          <w:spacing w:val="-2"/>
          <w:sz w:val="28"/>
          <w:szCs w:val="28"/>
          <w:lang w:eastAsia="en-US"/>
        </w:rPr>
        <w:t>підгрупи</w:t>
      </w:r>
      <w:r w:rsidRPr="00520861">
        <w:rPr>
          <w:rFonts w:eastAsia="Calibri"/>
          <w:spacing w:val="-2"/>
          <w:sz w:val="28"/>
          <w:szCs w:val="28"/>
          <w:lang w:eastAsia="en-US"/>
        </w:rPr>
        <w:t xml:space="preserve"> 3 – 26,7% проти 9,8% (ДІ: 4,1% – 19,9%) осіб ГП. </w:t>
      </w:r>
    </w:p>
    <w:p w14:paraId="44F4E93A"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 осереднених значеннях загальної кількості балів за шкалою 5 вірогідних відмінностей між ОГ та ГП зафіксовано не було (табл. 4.11, </w:t>
      </w:r>
      <w:r w:rsidRPr="00520861">
        <w:rPr>
          <w:rFonts w:eastAsiaTheme="minorHAnsi"/>
          <w:sz w:val="28"/>
          <w:szCs w:val="28"/>
          <w:lang w:eastAsia="en-US"/>
        </w:rPr>
        <w:t>табл. Б.1.14</w:t>
      </w:r>
      <w:r w:rsidRPr="00520861">
        <w:rPr>
          <w:rFonts w:eastAsia="Calibri"/>
          <w:sz w:val="28"/>
          <w:szCs w:val="28"/>
          <w:lang w:eastAsia="en-US"/>
        </w:rPr>
        <w:t>).</w:t>
      </w:r>
    </w:p>
    <w:p w14:paraId="02A426EC"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Процентна кількість ускладнень при вагітності та пологах у матерів ОГ була вірогідно вищою за таку в ГП і складала 62,2% (ДІ: 52,0% – 71,6%) проти 31,7% (ДІ: 20,1% – 45,5%) відповідно. У матерів </w:t>
      </w:r>
      <w:r w:rsidRPr="00520861">
        <w:rPr>
          <w:rFonts w:eastAsiaTheme="minorHAnsi"/>
          <w:sz w:val="28"/>
          <w:szCs w:val="28"/>
          <w:lang w:eastAsia="en-US"/>
        </w:rPr>
        <w:t>підгрупи</w:t>
      </w:r>
      <w:r w:rsidRPr="00520861">
        <w:rPr>
          <w:rFonts w:eastAsia="Calibri"/>
          <w:sz w:val="28"/>
          <w:szCs w:val="28"/>
          <w:lang w:eastAsia="en-US"/>
        </w:rPr>
        <w:t xml:space="preserve"> 1 та </w:t>
      </w:r>
      <w:r w:rsidRPr="00520861">
        <w:rPr>
          <w:rFonts w:eastAsiaTheme="minorHAnsi"/>
          <w:sz w:val="28"/>
          <w:szCs w:val="28"/>
          <w:lang w:eastAsia="en-US"/>
        </w:rPr>
        <w:t>підгрупи</w:t>
      </w:r>
      <w:r w:rsidRPr="00520861">
        <w:rPr>
          <w:rFonts w:eastAsia="Calibri"/>
          <w:sz w:val="28"/>
          <w:szCs w:val="28"/>
          <w:lang w:eastAsia="en-US"/>
        </w:rPr>
        <w:t xml:space="preserve"> 4 ускладнена вагітність і пологи також були відмічені вірогідно частіше, ніж у ГП, і склали відповідно 70,0% (ДІ: 54,1% – 82,7%) та 65,0% (ДІ: 45,7% – 80,9%). ПКВ того, що обстежувана дитина </w:t>
      </w:r>
      <w:r w:rsidRPr="00520861">
        <w:rPr>
          <w:rFonts w:eastAsia="Calibri"/>
          <w:sz w:val="28"/>
          <w:szCs w:val="28"/>
          <w:lang w:eastAsia="en-US"/>
        </w:rPr>
        <w:lastRenderedPageBreak/>
        <w:t xml:space="preserve">не є першою дитиною в родині, була вірогідно вищою для дітей </w:t>
      </w:r>
      <w:r w:rsidRPr="00520861">
        <w:rPr>
          <w:rFonts w:eastAsiaTheme="minorHAnsi"/>
          <w:sz w:val="28"/>
          <w:szCs w:val="28"/>
          <w:lang w:eastAsia="en-US"/>
        </w:rPr>
        <w:t>підгрупи</w:t>
      </w:r>
      <w:r w:rsidRPr="00520861">
        <w:rPr>
          <w:rFonts w:eastAsia="Calibri"/>
          <w:sz w:val="28"/>
          <w:szCs w:val="28"/>
          <w:lang w:eastAsia="en-US"/>
        </w:rPr>
        <w:t xml:space="preserve"> 3 – 86,7% (ДІ: 68,1% – 95,7%) проти 43,9% (ДІ: 30,7% – 57,9%) у ГП. </w:t>
      </w:r>
    </w:p>
    <w:p w14:paraId="6E75DED5"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За шкалою 6 (табл. 4.11, </w:t>
      </w:r>
      <w:r w:rsidRPr="00520861">
        <w:rPr>
          <w:rFonts w:eastAsiaTheme="minorHAnsi"/>
          <w:sz w:val="28"/>
          <w:szCs w:val="28"/>
          <w:lang w:eastAsia="en-US"/>
        </w:rPr>
        <w:t>табл. Б.1.14</w:t>
      </w:r>
      <w:r w:rsidRPr="00520861">
        <w:rPr>
          <w:rFonts w:eastAsia="Calibri"/>
          <w:sz w:val="28"/>
          <w:szCs w:val="28"/>
          <w:lang w:eastAsia="en-US"/>
        </w:rPr>
        <w:t xml:space="preserve">) вірогідних відмінностей між ОГ та ГП виявлено не було. Проте батьки називали </w:t>
      </w:r>
      <w:proofErr w:type="spellStart"/>
      <w:r w:rsidRPr="00520861">
        <w:rPr>
          <w:rFonts w:eastAsia="Calibri"/>
          <w:sz w:val="28"/>
          <w:szCs w:val="28"/>
          <w:lang w:eastAsia="en-US"/>
        </w:rPr>
        <w:t>гіподинамічним</w:t>
      </w:r>
      <w:proofErr w:type="spellEnd"/>
      <w:r w:rsidRPr="00520861">
        <w:rPr>
          <w:rFonts w:eastAsia="Calibri"/>
          <w:sz w:val="28"/>
          <w:szCs w:val="28"/>
          <w:lang w:eastAsia="en-US"/>
        </w:rPr>
        <w:t xml:space="preserve"> стиль життя дитини найчастіше в </w:t>
      </w:r>
      <w:r w:rsidRPr="00520861">
        <w:rPr>
          <w:rFonts w:eastAsiaTheme="minorHAnsi"/>
          <w:sz w:val="28"/>
          <w:szCs w:val="28"/>
          <w:lang w:eastAsia="en-US"/>
        </w:rPr>
        <w:t>підгрупи</w:t>
      </w:r>
      <w:r w:rsidRPr="00520861">
        <w:rPr>
          <w:rFonts w:eastAsia="Calibri"/>
          <w:sz w:val="28"/>
          <w:szCs w:val="28"/>
          <w:lang w:eastAsia="en-US"/>
        </w:rPr>
        <w:t xml:space="preserve"> 2 – 29,4% (ДІ: 14,2% – 49,9%) проти 9,8% (ДІ: 4,1% – 19,9%) у ГП. </w:t>
      </w:r>
      <w:r w:rsidRPr="00520861">
        <w:rPr>
          <w:rFonts w:eastAsia="Calibri"/>
          <w:sz w:val="28"/>
          <w:szCs w:val="28"/>
          <w:lang w:eastAsia="en-US"/>
        </w:rPr>
        <w:br/>
        <w:t xml:space="preserve">По всіх інших запитаннях, які належать до цієї шкали, вірогідних відмінностей між підгрупами чи тенденцій у той чи інший бік не виявлено. За шкалою 7 (табл. 4.11, </w:t>
      </w:r>
      <w:r w:rsidRPr="00520861">
        <w:rPr>
          <w:rFonts w:eastAsiaTheme="minorHAnsi"/>
          <w:sz w:val="28"/>
          <w:szCs w:val="28"/>
          <w:lang w:eastAsia="en-US"/>
        </w:rPr>
        <w:t>табл. Б.1.14</w:t>
      </w:r>
      <w:r w:rsidRPr="00520861">
        <w:rPr>
          <w:rFonts w:eastAsia="Calibri"/>
          <w:sz w:val="28"/>
          <w:szCs w:val="28"/>
          <w:lang w:eastAsia="en-US"/>
        </w:rPr>
        <w:t>) вірогідні відмінності в бальній оцінці між ОГ та ГП не спостерігалися.</w:t>
      </w:r>
    </w:p>
    <w:p w14:paraId="3AF28CF0" w14:textId="77777777" w:rsidR="00CF641C" w:rsidRPr="00520861" w:rsidRDefault="00CF641C" w:rsidP="00292D2E">
      <w:pPr>
        <w:widowControl w:val="0"/>
        <w:spacing w:line="360" w:lineRule="auto"/>
        <w:ind w:firstLine="708"/>
        <w:jc w:val="both"/>
        <w:rPr>
          <w:rFonts w:eastAsiaTheme="minorHAnsi"/>
          <w:spacing w:val="-2"/>
          <w:sz w:val="28"/>
          <w:szCs w:val="28"/>
          <w:lang w:eastAsia="en-US"/>
        </w:rPr>
      </w:pPr>
      <w:r w:rsidRPr="00520861">
        <w:rPr>
          <w:rFonts w:eastAsiaTheme="minorHAnsi"/>
          <w:spacing w:val="-2"/>
          <w:sz w:val="28"/>
          <w:szCs w:val="28"/>
          <w:lang w:eastAsia="en-US"/>
        </w:rPr>
        <w:t xml:space="preserve">При опитуванні осіб вікової категорії від 4 до 17 років переважання впливу материнського чи батькового </w:t>
      </w:r>
      <w:proofErr w:type="spellStart"/>
      <w:r w:rsidRPr="00520861">
        <w:rPr>
          <w:rFonts w:eastAsiaTheme="minorHAnsi"/>
          <w:spacing w:val="-2"/>
          <w:sz w:val="28"/>
          <w:szCs w:val="28"/>
          <w:lang w:eastAsia="en-US"/>
        </w:rPr>
        <w:t>фактора</w:t>
      </w:r>
      <w:proofErr w:type="spellEnd"/>
      <w:r w:rsidRPr="00520861">
        <w:rPr>
          <w:rFonts w:eastAsiaTheme="minorHAnsi"/>
          <w:spacing w:val="-2"/>
          <w:sz w:val="28"/>
          <w:szCs w:val="28"/>
          <w:lang w:eastAsia="en-US"/>
        </w:rPr>
        <w:t xml:space="preserve"> на ризик виникнення </w:t>
      </w:r>
      <w:proofErr w:type="spellStart"/>
      <w:r w:rsidRPr="00520861">
        <w:rPr>
          <w:rFonts w:eastAsiaTheme="minorHAnsi"/>
          <w:spacing w:val="-2"/>
          <w:sz w:val="28"/>
          <w:szCs w:val="28"/>
          <w:lang w:eastAsia="en-US"/>
        </w:rPr>
        <w:t>СтП</w:t>
      </w:r>
      <w:proofErr w:type="spellEnd"/>
      <w:r w:rsidRPr="00520861">
        <w:rPr>
          <w:rFonts w:eastAsiaTheme="minorHAnsi"/>
          <w:spacing w:val="-2"/>
          <w:sz w:val="28"/>
          <w:szCs w:val="28"/>
          <w:lang w:eastAsia="en-US"/>
        </w:rPr>
        <w:t xml:space="preserve"> не виявлено (табл. 4.12).</w:t>
      </w:r>
    </w:p>
    <w:p w14:paraId="0615B1D3" w14:textId="77777777" w:rsidR="00CF641C" w:rsidRPr="00520861" w:rsidRDefault="00CF641C" w:rsidP="00292D2E">
      <w:pPr>
        <w:widowControl w:val="0"/>
        <w:spacing w:line="360" w:lineRule="auto"/>
        <w:ind w:firstLine="709"/>
        <w:jc w:val="right"/>
        <w:rPr>
          <w:rFonts w:eastAsiaTheme="minorHAnsi"/>
          <w:i/>
          <w:sz w:val="28"/>
          <w:szCs w:val="28"/>
          <w:lang w:eastAsia="en-US"/>
        </w:rPr>
      </w:pPr>
      <w:r w:rsidRPr="00520861">
        <w:rPr>
          <w:rFonts w:eastAsiaTheme="minorHAnsi"/>
          <w:i/>
          <w:sz w:val="28"/>
          <w:szCs w:val="28"/>
          <w:lang w:eastAsia="en-US"/>
        </w:rPr>
        <w:t>Таблиця 4.12</w:t>
      </w:r>
    </w:p>
    <w:p w14:paraId="0953AEF1" w14:textId="77777777" w:rsidR="00CF641C" w:rsidRPr="00520861" w:rsidRDefault="00CF641C" w:rsidP="00292D2E">
      <w:pPr>
        <w:widowControl w:val="0"/>
        <w:spacing w:line="360" w:lineRule="auto"/>
        <w:ind w:firstLine="709"/>
        <w:jc w:val="center"/>
        <w:rPr>
          <w:rFonts w:eastAsia="Calibri"/>
          <w:b/>
          <w:sz w:val="28"/>
          <w:szCs w:val="28"/>
          <w:lang w:eastAsia="en-US"/>
        </w:rPr>
      </w:pPr>
      <w:r w:rsidRPr="00520861">
        <w:rPr>
          <w:rFonts w:eastAsia="Calibri"/>
          <w:b/>
          <w:sz w:val="28"/>
          <w:szCs w:val="28"/>
          <w:lang w:eastAsia="en-US"/>
        </w:rPr>
        <w:t xml:space="preserve">Відносний середній бал впливу материнського (батькового) </w:t>
      </w:r>
      <w:proofErr w:type="spellStart"/>
      <w:r w:rsidRPr="00520861">
        <w:rPr>
          <w:rFonts w:eastAsia="Calibri"/>
          <w:b/>
          <w:sz w:val="28"/>
          <w:szCs w:val="28"/>
          <w:lang w:eastAsia="en-US"/>
        </w:rPr>
        <w:t>фактора</w:t>
      </w:r>
      <w:proofErr w:type="spellEnd"/>
      <w:r w:rsidRPr="00520861">
        <w:rPr>
          <w:rFonts w:eastAsia="Calibri"/>
          <w:b/>
          <w:sz w:val="28"/>
          <w:szCs w:val="28"/>
          <w:lang w:eastAsia="en-US"/>
        </w:rPr>
        <w:t xml:space="preserve"> </w:t>
      </w:r>
      <w:r w:rsidRPr="00520861">
        <w:rPr>
          <w:rFonts w:eastAsia="Calibri"/>
          <w:b/>
          <w:sz w:val="28"/>
          <w:szCs w:val="28"/>
          <w:lang w:eastAsia="en-US"/>
        </w:rPr>
        <w:br/>
        <w:t xml:space="preserve">у процентах, з 95% ДІ, а також процентне співвідношення балів для дітей і </w:t>
      </w:r>
      <w:r w:rsidRPr="00520861">
        <w:rPr>
          <w:rFonts w:eastAsia="Calibri"/>
          <w:b/>
          <w:sz w:val="28"/>
          <w:szCs w:val="28"/>
          <w:lang w:eastAsia="en-US"/>
        </w:rPr>
        <w:br/>
        <w:t>підлітків різних груп та підгруп</w:t>
      </w:r>
    </w:p>
    <w:tbl>
      <w:tblPr>
        <w:tblStyle w:val="410"/>
        <w:tblW w:w="9952" w:type="dxa"/>
        <w:tblInd w:w="108" w:type="dxa"/>
        <w:tblLayout w:type="fixed"/>
        <w:tblLook w:val="04A0" w:firstRow="1" w:lastRow="0" w:firstColumn="1" w:lastColumn="0" w:noHBand="0" w:noVBand="1"/>
      </w:tblPr>
      <w:tblGrid>
        <w:gridCol w:w="1658"/>
        <w:gridCol w:w="1659"/>
        <w:gridCol w:w="1659"/>
        <w:gridCol w:w="1658"/>
        <w:gridCol w:w="1659"/>
        <w:gridCol w:w="1659"/>
      </w:tblGrid>
      <w:tr w:rsidR="00CF641C" w:rsidRPr="00520861" w14:paraId="27A021B7" w14:textId="77777777" w:rsidTr="00292D2E">
        <w:trPr>
          <w:trHeight w:val="300"/>
        </w:trPr>
        <w:tc>
          <w:tcPr>
            <w:tcW w:w="9952" w:type="dxa"/>
            <w:gridSpan w:val="6"/>
            <w:tcBorders>
              <w:top w:val="single" w:sz="4" w:space="0" w:color="auto"/>
              <w:left w:val="single" w:sz="4" w:space="0" w:color="auto"/>
              <w:bottom w:val="single" w:sz="4" w:space="0" w:color="auto"/>
              <w:right w:val="single" w:sz="4" w:space="0" w:color="auto"/>
            </w:tcBorders>
            <w:noWrap/>
          </w:tcPr>
          <w:p w14:paraId="6A6B0B5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Групи та підгрупи</w:t>
            </w:r>
          </w:p>
        </w:tc>
      </w:tr>
      <w:tr w:rsidR="00CF641C" w:rsidRPr="00520861" w14:paraId="78C607F8" w14:textId="77777777" w:rsidTr="00292D2E">
        <w:trPr>
          <w:trHeight w:val="455"/>
        </w:trPr>
        <w:tc>
          <w:tcPr>
            <w:tcW w:w="1658" w:type="dxa"/>
            <w:tcBorders>
              <w:top w:val="single" w:sz="4" w:space="0" w:color="auto"/>
              <w:left w:val="single" w:sz="4" w:space="0" w:color="auto"/>
              <w:bottom w:val="single" w:sz="4" w:space="0" w:color="auto"/>
              <w:right w:val="single" w:sz="4" w:space="0" w:color="auto"/>
            </w:tcBorders>
            <w:noWrap/>
          </w:tcPr>
          <w:p w14:paraId="453A3A07" w14:textId="77777777" w:rsidR="00CF641C" w:rsidRPr="00520861" w:rsidRDefault="00CF641C" w:rsidP="00292D2E">
            <w:pPr>
              <w:widowControl w:val="0"/>
              <w:spacing w:line="360" w:lineRule="auto"/>
              <w:ind w:hanging="178"/>
              <w:jc w:val="center"/>
              <w:rPr>
                <w:rFonts w:eastAsia="Calibri"/>
                <w:sz w:val="28"/>
                <w:szCs w:val="28"/>
              </w:rPr>
            </w:pPr>
            <w:r w:rsidRPr="00520861">
              <w:rPr>
                <w:rFonts w:eastAsia="Calibri"/>
                <w:sz w:val="28"/>
                <w:szCs w:val="28"/>
              </w:rPr>
              <w:t>ГП</w:t>
            </w:r>
          </w:p>
        </w:tc>
        <w:tc>
          <w:tcPr>
            <w:tcW w:w="1659" w:type="dxa"/>
            <w:tcBorders>
              <w:top w:val="single" w:sz="4" w:space="0" w:color="auto"/>
              <w:left w:val="single" w:sz="4" w:space="0" w:color="auto"/>
              <w:bottom w:val="single" w:sz="4" w:space="0" w:color="auto"/>
              <w:right w:val="single" w:sz="4" w:space="0" w:color="auto"/>
            </w:tcBorders>
            <w:noWrap/>
          </w:tcPr>
          <w:p w14:paraId="65D1027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ОГ</w:t>
            </w:r>
          </w:p>
        </w:tc>
        <w:tc>
          <w:tcPr>
            <w:tcW w:w="1659" w:type="dxa"/>
            <w:tcBorders>
              <w:top w:val="single" w:sz="4" w:space="0" w:color="auto"/>
              <w:left w:val="single" w:sz="4" w:space="0" w:color="auto"/>
              <w:bottom w:val="single" w:sz="4" w:space="0" w:color="auto"/>
              <w:right w:val="single" w:sz="4" w:space="0" w:color="auto"/>
            </w:tcBorders>
            <w:noWrap/>
          </w:tcPr>
          <w:p w14:paraId="1E59A7D1"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1658" w:type="dxa"/>
            <w:tcBorders>
              <w:top w:val="single" w:sz="4" w:space="0" w:color="auto"/>
              <w:left w:val="single" w:sz="4" w:space="0" w:color="auto"/>
              <w:bottom w:val="single" w:sz="4" w:space="0" w:color="auto"/>
              <w:right w:val="single" w:sz="4" w:space="0" w:color="auto"/>
            </w:tcBorders>
            <w:noWrap/>
          </w:tcPr>
          <w:p w14:paraId="7087C30E"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 </w:t>
            </w:r>
          </w:p>
        </w:tc>
        <w:tc>
          <w:tcPr>
            <w:tcW w:w="1659" w:type="dxa"/>
            <w:tcBorders>
              <w:top w:val="single" w:sz="4" w:space="0" w:color="auto"/>
              <w:left w:val="single" w:sz="4" w:space="0" w:color="auto"/>
              <w:bottom w:val="single" w:sz="4" w:space="0" w:color="auto"/>
              <w:right w:val="single" w:sz="4" w:space="0" w:color="auto"/>
            </w:tcBorders>
            <w:noWrap/>
          </w:tcPr>
          <w:p w14:paraId="2352F0E4"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 </w:t>
            </w:r>
          </w:p>
        </w:tc>
        <w:tc>
          <w:tcPr>
            <w:tcW w:w="1659" w:type="dxa"/>
            <w:tcBorders>
              <w:top w:val="single" w:sz="4" w:space="0" w:color="auto"/>
              <w:left w:val="single" w:sz="4" w:space="0" w:color="auto"/>
              <w:bottom w:val="single" w:sz="4" w:space="0" w:color="auto"/>
              <w:right w:val="single" w:sz="4" w:space="0" w:color="auto"/>
            </w:tcBorders>
            <w:noWrap/>
          </w:tcPr>
          <w:p w14:paraId="3FF01798"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 </w:t>
            </w:r>
          </w:p>
        </w:tc>
      </w:tr>
      <w:tr w:rsidR="00CF641C" w:rsidRPr="00520861" w14:paraId="71BCE3C6" w14:textId="77777777" w:rsidTr="00292D2E">
        <w:trPr>
          <w:trHeight w:val="300"/>
        </w:trPr>
        <w:tc>
          <w:tcPr>
            <w:tcW w:w="1658" w:type="dxa"/>
            <w:tcBorders>
              <w:top w:val="single" w:sz="4" w:space="0" w:color="auto"/>
              <w:left w:val="single" w:sz="4" w:space="0" w:color="auto"/>
              <w:bottom w:val="single" w:sz="4" w:space="0" w:color="auto"/>
              <w:right w:val="single" w:sz="4" w:space="0" w:color="auto"/>
            </w:tcBorders>
            <w:noWrap/>
          </w:tcPr>
          <w:p w14:paraId="602CA88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29,3</w:t>
            </w:r>
            <w:r w:rsidRPr="00520861">
              <w:rPr>
                <w:rFonts w:eastAsia="Calibri"/>
                <w:sz w:val="28"/>
                <w:szCs w:val="28"/>
              </w:rPr>
              <w:sym w:font="Symbol" w:char="F0B1"/>
            </w:r>
            <w:r w:rsidRPr="00520861">
              <w:rPr>
                <w:rFonts w:eastAsia="Calibri"/>
                <w:sz w:val="28"/>
                <w:szCs w:val="28"/>
              </w:rPr>
              <w:t>4,6</w:t>
            </w:r>
          </w:p>
          <w:p w14:paraId="2C4B4C5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(26,2</w:t>
            </w:r>
            <w:r w:rsidRPr="00520861">
              <w:rPr>
                <w:rFonts w:eastAsia="Calibri"/>
                <w:sz w:val="28"/>
                <w:szCs w:val="28"/>
              </w:rPr>
              <w:sym w:font="Symbol" w:char="F0B1"/>
            </w:r>
            <w:r w:rsidRPr="00520861">
              <w:rPr>
                <w:rFonts w:eastAsia="Calibri"/>
                <w:sz w:val="28"/>
                <w:szCs w:val="28"/>
              </w:rPr>
              <w:t>4,8)</w:t>
            </w:r>
          </w:p>
          <w:p w14:paraId="5FBC900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52,8/47,2</w:t>
            </w:r>
          </w:p>
        </w:tc>
        <w:tc>
          <w:tcPr>
            <w:tcW w:w="1659" w:type="dxa"/>
            <w:tcBorders>
              <w:top w:val="single" w:sz="4" w:space="0" w:color="auto"/>
              <w:left w:val="single" w:sz="4" w:space="0" w:color="auto"/>
              <w:bottom w:val="single" w:sz="4" w:space="0" w:color="auto"/>
              <w:right w:val="single" w:sz="4" w:space="0" w:color="auto"/>
            </w:tcBorders>
            <w:noWrap/>
          </w:tcPr>
          <w:p w14:paraId="5FED4D8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31,9</w:t>
            </w:r>
            <w:r w:rsidRPr="00520861">
              <w:rPr>
                <w:rFonts w:eastAsia="Calibri"/>
                <w:sz w:val="28"/>
                <w:szCs w:val="28"/>
              </w:rPr>
              <w:sym w:font="Symbol" w:char="F0B1"/>
            </w:r>
            <w:r w:rsidRPr="00520861">
              <w:rPr>
                <w:rFonts w:eastAsia="Calibri"/>
                <w:sz w:val="28"/>
                <w:szCs w:val="28"/>
              </w:rPr>
              <w:t>3,8</w:t>
            </w:r>
          </w:p>
          <w:p w14:paraId="2DC3313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(26,4</w:t>
            </w:r>
            <w:r w:rsidRPr="00520861">
              <w:rPr>
                <w:rFonts w:eastAsia="Calibri"/>
                <w:sz w:val="28"/>
                <w:szCs w:val="28"/>
              </w:rPr>
              <w:sym w:font="Symbol" w:char="F0B1"/>
            </w:r>
            <w:r w:rsidRPr="00520861">
              <w:rPr>
                <w:rFonts w:eastAsia="Calibri"/>
                <w:sz w:val="28"/>
                <w:szCs w:val="28"/>
              </w:rPr>
              <w:t>3,2)</w:t>
            </w:r>
          </w:p>
          <w:p w14:paraId="344405A4"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54,8/45,2</w:t>
            </w:r>
          </w:p>
        </w:tc>
        <w:tc>
          <w:tcPr>
            <w:tcW w:w="1659" w:type="dxa"/>
            <w:tcBorders>
              <w:top w:val="single" w:sz="4" w:space="0" w:color="auto"/>
              <w:left w:val="single" w:sz="4" w:space="0" w:color="auto"/>
              <w:bottom w:val="single" w:sz="4" w:space="0" w:color="auto"/>
              <w:right w:val="single" w:sz="4" w:space="0" w:color="auto"/>
            </w:tcBorders>
            <w:noWrap/>
          </w:tcPr>
          <w:p w14:paraId="3099255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33,6</w:t>
            </w:r>
            <w:r w:rsidRPr="00520861">
              <w:rPr>
                <w:rFonts w:eastAsia="Calibri"/>
                <w:sz w:val="28"/>
                <w:szCs w:val="28"/>
              </w:rPr>
              <w:sym w:font="Symbol" w:char="F0B1"/>
            </w:r>
            <w:r w:rsidRPr="00520861">
              <w:rPr>
                <w:rFonts w:eastAsia="Calibri"/>
                <w:sz w:val="28"/>
                <w:szCs w:val="28"/>
              </w:rPr>
              <w:t>7,6</w:t>
            </w:r>
          </w:p>
          <w:p w14:paraId="7E396BD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(24,8</w:t>
            </w:r>
            <w:r w:rsidRPr="00520861">
              <w:rPr>
                <w:rFonts w:eastAsia="Calibri"/>
                <w:sz w:val="28"/>
                <w:szCs w:val="28"/>
              </w:rPr>
              <w:sym w:font="Symbol" w:char="F0B1"/>
            </w:r>
            <w:r w:rsidRPr="00520861">
              <w:rPr>
                <w:rFonts w:eastAsia="Calibri"/>
                <w:sz w:val="28"/>
                <w:szCs w:val="28"/>
              </w:rPr>
              <w:t>5,4)</w:t>
            </w:r>
          </w:p>
          <w:p w14:paraId="7BEBFC8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57,5/42,5</w:t>
            </w:r>
          </w:p>
        </w:tc>
        <w:tc>
          <w:tcPr>
            <w:tcW w:w="1658" w:type="dxa"/>
            <w:tcBorders>
              <w:top w:val="single" w:sz="4" w:space="0" w:color="auto"/>
              <w:left w:val="single" w:sz="4" w:space="0" w:color="auto"/>
              <w:bottom w:val="single" w:sz="4" w:space="0" w:color="auto"/>
              <w:right w:val="single" w:sz="4" w:space="0" w:color="auto"/>
            </w:tcBorders>
            <w:noWrap/>
          </w:tcPr>
          <w:p w14:paraId="274317E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27,3</w:t>
            </w:r>
            <w:r w:rsidRPr="00520861">
              <w:rPr>
                <w:rFonts w:eastAsia="Calibri"/>
                <w:sz w:val="28"/>
                <w:szCs w:val="28"/>
              </w:rPr>
              <w:sym w:font="Symbol" w:char="F0B1"/>
            </w:r>
            <w:r w:rsidRPr="00520861">
              <w:rPr>
                <w:rFonts w:eastAsia="Calibri"/>
                <w:sz w:val="28"/>
                <w:szCs w:val="28"/>
              </w:rPr>
              <w:t>7,2</w:t>
            </w:r>
          </w:p>
          <w:p w14:paraId="53F93C4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(25,7</w:t>
            </w:r>
            <w:r w:rsidRPr="00520861">
              <w:rPr>
                <w:rFonts w:eastAsia="Calibri"/>
                <w:sz w:val="28"/>
                <w:szCs w:val="28"/>
              </w:rPr>
              <w:sym w:font="Symbol" w:char="F0B1"/>
            </w:r>
            <w:r w:rsidRPr="00520861">
              <w:rPr>
                <w:rFonts w:eastAsia="Calibri"/>
                <w:sz w:val="28"/>
                <w:szCs w:val="28"/>
              </w:rPr>
              <w:t>9,9)</w:t>
            </w:r>
          </w:p>
          <w:p w14:paraId="1B89780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51,5/48,5</w:t>
            </w:r>
          </w:p>
        </w:tc>
        <w:tc>
          <w:tcPr>
            <w:tcW w:w="1659" w:type="dxa"/>
            <w:tcBorders>
              <w:top w:val="single" w:sz="4" w:space="0" w:color="auto"/>
              <w:left w:val="single" w:sz="4" w:space="0" w:color="auto"/>
              <w:bottom w:val="single" w:sz="4" w:space="0" w:color="auto"/>
              <w:right w:val="single" w:sz="4" w:space="0" w:color="auto"/>
            </w:tcBorders>
            <w:noWrap/>
          </w:tcPr>
          <w:p w14:paraId="03CFA74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35,2</w:t>
            </w:r>
            <w:r w:rsidRPr="00520861">
              <w:rPr>
                <w:rFonts w:eastAsia="Calibri"/>
                <w:sz w:val="28"/>
                <w:szCs w:val="28"/>
              </w:rPr>
              <w:sym w:font="Symbol" w:char="F0B1"/>
            </w:r>
            <w:r w:rsidRPr="00520861">
              <w:rPr>
                <w:rFonts w:eastAsia="Calibri"/>
                <w:sz w:val="28"/>
                <w:szCs w:val="28"/>
              </w:rPr>
              <w:t>7,8</w:t>
            </w:r>
          </w:p>
          <w:p w14:paraId="505006E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(29,7</w:t>
            </w:r>
            <w:r w:rsidRPr="00520861">
              <w:rPr>
                <w:rFonts w:eastAsia="Calibri"/>
                <w:sz w:val="28"/>
                <w:szCs w:val="28"/>
              </w:rPr>
              <w:sym w:font="Symbol" w:char="F0B1"/>
            </w:r>
            <w:r w:rsidRPr="00520861">
              <w:rPr>
                <w:rFonts w:eastAsia="Calibri"/>
                <w:sz w:val="28"/>
                <w:szCs w:val="28"/>
              </w:rPr>
              <w:t>6,4)</w:t>
            </w:r>
          </w:p>
          <w:p w14:paraId="2924F4A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54,2/45,8</w:t>
            </w:r>
          </w:p>
        </w:tc>
        <w:tc>
          <w:tcPr>
            <w:tcW w:w="1659" w:type="dxa"/>
            <w:tcBorders>
              <w:top w:val="single" w:sz="4" w:space="0" w:color="auto"/>
              <w:left w:val="single" w:sz="4" w:space="0" w:color="auto"/>
              <w:bottom w:val="single" w:sz="4" w:space="0" w:color="auto"/>
              <w:right w:val="single" w:sz="4" w:space="0" w:color="auto"/>
            </w:tcBorders>
            <w:noWrap/>
          </w:tcPr>
          <w:p w14:paraId="09C986E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30,9</w:t>
            </w:r>
            <w:r w:rsidRPr="00520861">
              <w:rPr>
                <w:rFonts w:eastAsia="Calibri"/>
                <w:sz w:val="28"/>
                <w:szCs w:val="28"/>
              </w:rPr>
              <w:sym w:font="Symbol" w:char="F0B1"/>
            </w:r>
            <w:r w:rsidRPr="00520861">
              <w:rPr>
                <w:rFonts w:eastAsia="Calibri"/>
                <w:sz w:val="28"/>
                <w:szCs w:val="28"/>
              </w:rPr>
              <w:t>7,9</w:t>
            </w:r>
          </w:p>
          <w:p w14:paraId="134816A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(26,8</w:t>
            </w:r>
            <w:r w:rsidRPr="00520861">
              <w:rPr>
                <w:rFonts w:eastAsia="Calibri"/>
                <w:sz w:val="28"/>
                <w:szCs w:val="28"/>
              </w:rPr>
              <w:sym w:font="Symbol" w:char="F0B1"/>
            </w:r>
            <w:r w:rsidRPr="00520861">
              <w:rPr>
                <w:rFonts w:eastAsia="Calibri"/>
                <w:sz w:val="28"/>
                <w:szCs w:val="28"/>
              </w:rPr>
              <w:t>5,6)</w:t>
            </w:r>
          </w:p>
          <w:p w14:paraId="4F9A690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53,5/46,5</w:t>
            </w:r>
          </w:p>
        </w:tc>
      </w:tr>
    </w:tbl>
    <w:p w14:paraId="767B0AC7" w14:textId="77777777" w:rsidR="00CF641C" w:rsidRPr="00520861" w:rsidRDefault="00CF641C" w:rsidP="00292D2E">
      <w:pPr>
        <w:widowControl w:val="0"/>
        <w:spacing w:line="360" w:lineRule="auto"/>
        <w:ind w:firstLine="708"/>
        <w:contextualSpacing/>
        <w:jc w:val="both"/>
        <w:rPr>
          <w:rFonts w:eastAsia="Calibri"/>
          <w:sz w:val="28"/>
          <w:szCs w:val="28"/>
          <w:lang w:eastAsia="en-US"/>
        </w:rPr>
      </w:pPr>
    </w:p>
    <w:p w14:paraId="69596B34" w14:textId="77777777" w:rsidR="00CF641C" w:rsidRPr="00520861" w:rsidRDefault="00CF641C"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Отже, </w:t>
      </w:r>
      <w:r w:rsidRPr="00520861">
        <w:rPr>
          <w:rFonts w:eastAsia="Calibri"/>
          <w:sz w:val="28"/>
          <w:szCs w:val="28"/>
          <w:lang w:eastAsia="en-US"/>
        </w:rPr>
        <w:t>діти та підлітки</w:t>
      </w:r>
      <w:r w:rsidRPr="00520861">
        <w:rPr>
          <w:rFonts w:eastAsiaTheme="minorHAnsi"/>
          <w:sz w:val="28"/>
          <w:szCs w:val="28"/>
          <w:lang w:eastAsia="en-US"/>
        </w:rPr>
        <w:t xml:space="preserve">, чиї МРП при народженні були вищими за норму, мають вірогідно вищі ризики формування </w:t>
      </w:r>
      <w:proofErr w:type="spellStart"/>
      <w:r w:rsidRPr="00520861">
        <w:rPr>
          <w:rFonts w:eastAsiaTheme="minorHAnsi"/>
          <w:sz w:val="28"/>
          <w:szCs w:val="28"/>
          <w:lang w:eastAsia="en-US"/>
        </w:rPr>
        <w:t>СтП</w:t>
      </w:r>
      <w:proofErr w:type="spellEnd"/>
      <w:r w:rsidRPr="00520861">
        <w:rPr>
          <w:rFonts w:eastAsiaTheme="minorHAnsi"/>
          <w:sz w:val="28"/>
          <w:szCs w:val="28"/>
          <w:lang w:eastAsia="en-US"/>
        </w:rPr>
        <w:t xml:space="preserve">, ніж діти </w:t>
      </w:r>
      <w:r w:rsidRPr="00520861">
        <w:rPr>
          <w:rFonts w:eastAsia="Calibri"/>
          <w:sz w:val="28"/>
          <w:szCs w:val="28"/>
          <w:lang w:eastAsia="en-US"/>
        </w:rPr>
        <w:t>та підлітки</w:t>
      </w:r>
      <w:r w:rsidRPr="00520861">
        <w:rPr>
          <w:rFonts w:eastAsiaTheme="minorHAnsi"/>
          <w:sz w:val="28"/>
          <w:szCs w:val="28"/>
          <w:lang w:eastAsia="en-US"/>
        </w:rPr>
        <w:t xml:space="preserve"> відповідного віку, які народилися </w:t>
      </w:r>
      <w:proofErr w:type="spellStart"/>
      <w:r w:rsidRPr="00520861">
        <w:rPr>
          <w:rFonts w:eastAsiaTheme="minorHAnsi"/>
          <w:sz w:val="28"/>
          <w:szCs w:val="28"/>
          <w:lang w:eastAsia="en-US"/>
        </w:rPr>
        <w:t>нормосомами</w:t>
      </w:r>
      <w:proofErr w:type="spellEnd"/>
      <w:r w:rsidRPr="00520861">
        <w:rPr>
          <w:rFonts w:eastAsiaTheme="minorHAnsi"/>
          <w:sz w:val="28"/>
          <w:szCs w:val="28"/>
          <w:lang w:eastAsia="en-US"/>
        </w:rPr>
        <w:t xml:space="preserve"> [50].</w:t>
      </w:r>
    </w:p>
    <w:p w14:paraId="26728DEC" w14:textId="77777777" w:rsidR="00CF641C" w:rsidRPr="00520861" w:rsidRDefault="00CF641C" w:rsidP="00292D2E">
      <w:pPr>
        <w:widowControl w:val="0"/>
        <w:spacing w:line="360" w:lineRule="auto"/>
        <w:rPr>
          <w:rFonts w:eastAsiaTheme="minorHAnsi"/>
          <w:b/>
          <w:sz w:val="28"/>
          <w:szCs w:val="28"/>
          <w:lang w:eastAsia="en-US"/>
        </w:rPr>
      </w:pPr>
    </w:p>
    <w:p w14:paraId="13BB5D05" w14:textId="77777777" w:rsidR="00CF641C" w:rsidRPr="00520861" w:rsidRDefault="00CF641C" w:rsidP="008F1D77">
      <w:pPr>
        <w:widowControl w:val="0"/>
        <w:numPr>
          <w:ilvl w:val="1"/>
          <w:numId w:val="5"/>
        </w:numPr>
        <w:spacing w:after="160" w:line="360" w:lineRule="auto"/>
        <w:ind w:left="0" w:firstLine="567"/>
        <w:contextualSpacing/>
        <w:jc w:val="both"/>
        <w:rPr>
          <w:rFonts w:eastAsia="Calibri"/>
          <w:b/>
          <w:sz w:val="28"/>
          <w:szCs w:val="28"/>
          <w:lang w:eastAsia="en-US"/>
        </w:rPr>
      </w:pPr>
      <w:r w:rsidRPr="00520861">
        <w:rPr>
          <w:rFonts w:eastAsia="Calibri"/>
          <w:b/>
          <w:sz w:val="28"/>
          <w:szCs w:val="28"/>
          <w:lang w:eastAsia="en-US"/>
        </w:rPr>
        <w:t xml:space="preserve">Залежність ризику виникнення стоматологічних порушень в осіб </w:t>
      </w:r>
      <w:r w:rsidRPr="00520861">
        <w:rPr>
          <w:rFonts w:eastAsia="Calibri"/>
          <w:b/>
          <w:sz w:val="28"/>
          <w:szCs w:val="28"/>
          <w:lang w:eastAsia="en-US"/>
        </w:rPr>
        <w:br/>
        <w:t xml:space="preserve">дорослого віку, народжених із </w:t>
      </w:r>
      <w:proofErr w:type="spellStart"/>
      <w:r w:rsidRPr="00520861">
        <w:rPr>
          <w:rFonts w:eastAsia="Calibri"/>
          <w:b/>
          <w:sz w:val="28"/>
          <w:szCs w:val="28"/>
          <w:lang w:eastAsia="en-US"/>
        </w:rPr>
        <w:t>макросомією</w:t>
      </w:r>
      <w:proofErr w:type="spellEnd"/>
      <w:r w:rsidRPr="00520861">
        <w:rPr>
          <w:rFonts w:eastAsia="Calibri"/>
          <w:b/>
          <w:sz w:val="28"/>
          <w:szCs w:val="28"/>
          <w:lang w:eastAsia="en-US"/>
        </w:rPr>
        <w:t xml:space="preserve">, від індексу маси тіла при </w:t>
      </w:r>
      <w:r w:rsidRPr="00520861">
        <w:rPr>
          <w:rFonts w:eastAsia="Calibri"/>
          <w:b/>
          <w:sz w:val="28"/>
          <w:szCs w:val="28"/>
          <w:lang w:eastAsia="en-US"/>
        </w:rPr>
        <w:br/>
        <w:t>народженні</w:t>
      </w:r>
    </w:p>
    <w:p w14:paraId="15EC4AD5" w14:textId="77777777" w:rsidR="00CF641C" w:rsidRPr="00520861" w:rsidRDefault="00CF641C" w:rsidP="00292D2E">
      <w:pPr>
        <w:widowControl w:val="0"/>
        <w:spacing w:line="360" w:lineRule="auto"/>
        <w:ind w:firstLine="709"/>
        <w:jc w:val="both"/>
        <w:rPr>
          <w:rFonts w:eastAsia="Calibri"/>
          <w:sz w:val="28"/>
          <w:szCs w:val="28"/>
          <w:lang w:eastAsia="en-US"/>
        </w:rPr>
      </w:pPr>
    </w:p>
    <w:p w14:paraId="24FF81D5"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Аналіз даних, одержаних у результаті опитування осіб віком від 18 до 55 років (див. табл. 4.13), виявив, що в ОГ, на відміну від ГП, було менше осіб, які мали </w:t>
      </w:r>
      <w:r w:rsidRPr="00520861">
        <w:rPr>
          <w:rFonts w:eastAsia="Calibri"/>
          <w:sz w:val="28"/>
          <w:szCs w:val="28"/>
          <w:lang w:eastAsia="en-US"/>
        </w:rPr>
        <w:br/>
      </w:r>
      <w:r w:rsidRPr="00520861">
        <w:rPr>
          <w:rFonts w:eastAsia="Calibri"/>
          <w:sz w:val="28"/>
          <w:szCs w:val="28"/>
          <w:lang w:eastAsia="en-US"/>
        </w:rPr>
        <w:lastRenderedPageBreak/>
        <w:t xml:space="preserve">«мінімальний ризик» і «ризик» </w:t>
      </w:r>
      <w:r w:rsidRPr="00520861">
        <w:rPr>
          <w:rFonts w:eastAsiaTheme="minorHAnsi"/>
          <w:sz w:val="28"/>
          <w:szCs w:val="28"/>
          <w:lang w:eastAsia="en-US"/>
        </w:rPr>
        <w:t xml:space="preserve">виникнення </w:t>
      </w:r>
      <w:proofErr w:type="spellStart"/>
      <w:r w:rsidRPr="00520861">
        <w:rPr>
          <w:rFonts w:eastAsiaTheme="minorHAnsi"/>
          <w:sz w:val="28"/>
          <w:szCs w:val="28"/>
          <w:lang w:eastAsia="en-US"/>
        </w:rPr>
        <w:t>СтП</w:t>
      </w:r>
      <w:proofErr w:type="spellEnd"/>
      <w:r w:rsidRPr="00520861">
        <w:rPr>
          <w:rFonts w:eastAsia="Calibri"/>
          <w:sz w:val="28"/>
          <w:szCs w:val="28"/>
          <w:lang w:eastAsia="en-US"/>
        </w:rPr>
        <w:t>, натомість вірогідно більше осіб, які мали «суттєвий ризик» [37].</w:t>
      </w:r>
      <w:r w:rsidRPr="00520861">
        <w:rPr>
          <w:rFonts w:eastAsia="Calibri"/>
          <w:b/>
          <w:sz w:val="28"/>
          <w:szCs w:val="28"/>
          <w:lang w:eastAsia="en-US"/>
        </w:rPr>
        <w:t xml:space="preserve"> </w:t>
      </w:r>
      <w:r w:rsidRPr="00520861">
        <w:rPr>
          <w:rFonts w:eastAsia="Calibri"/>
          <w:sz w:val="28"/>
          <w:szCs w:val="28"/>
          <w:lang w:eastAsia="en-US"/>
        </w:rPr>
        <w:t xml:space="preserve">Порівняння сумарної бальної оцінки між підгрупами основної групи свідчить, що особи </w:t>
      </w:r>
      <w:r w:rsidRPr="00520861">
        <w:rPr>
          <w:rFonts w:eastAsiaTheme="minorHAnsi"/>
          <w:sz w:val="28"/>
          <w:szCs w:val="28"/>
          <w:lang w:eastAsia="en-US"/>
        </w:rPr>
        <w:t>підгрупи</w:t>
      </w:r>
      <w:r w:rsidRPr="00520861">
        <w:rPr>
          <w:rFonts w:eastAsia="Calibri"/>
          <w:sz w:val="28"/>
          <w:szCs w:val="28"/>
          <w:lang w:eastAsia="en-US"/>
        </w:rPr>
        <w:t xml:space="preserve"> 4 (табл. 4.13) мають більші ризики виникнення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порівняно з іншими [44]. </w:t>
      </w:r>
    </w:p>
    <w:p w14:paraId="7924818C" w14:textId="77777777" w:rsidR="00CF641C" w:rsidRPr="00520861" w:rsidRDefault="00CF641C" w:rsidP="00292D2E">
      <w:pPr>
        <w:widowControl w:val="0"/>
        <w:spacing w:line="360" w:lineRule="auto"/>
        <w:ind w:firstLine="708"/>
        <w:jc w:val="both"/>
        <w:rPr>
          <w:rFonts w:eastAsia="Calibri"/>
          <w:spacing w:val="-6"/>
          <w:sz w:val="28"/>
          <w:szCs w:val="28"/>
          <w:lang w:eastAsia="en-US"/>
        </w:rPr>
      </w:pPr>
      <w:r w:rsidRPr="00520861">
        <w:rPr>
          <w:rFonts w:eastAsia="Calibri"/>
          <w:sz w:val="28"/>
          <w:szCs w:val="28"/>
          <w:lang w:eastAsia="en-US"/>
        </w:rPr>
        <w:t xml:space="preserve">Слід указати, що у 31 (27,2% ДІ: 20,1% – 35,4%) особи ОГ хоча б один із батьків був народжений </w:t>
      </w:r>
      <w:proofErr w:type="spellStart"/>
      <w:r w:rsidRPr="00520861">
        <w:rPr>
          <w:rFonts w:eastAsia="Calibri"/>
          <w:sz w:val="28"/>
          <w:szCs w:val="28"/>
          <w:lang w:eastAsia="en-US"/>
        </w:rPr>
        <w:t>макросомом</w:t>
      </w:r>
      <w:proofErr w:type="spellEnd"/>
      <w:r w:rsidRPr="00520861">
        <w:rPr>
          <w:rFonts w:eastAsia="Calibri"/>
          <w:sz w:val="28"/>
          <w:szCs w:val="28"/>
          <w:lang w:eastAsia="en-US"/>
        </w:rPr>
        <w:t xml:space="preserve">, а саме: 12 (44,4% ДІ: 28,7% – 61,2%), 5 (27,8% ДІ: 13,3% – 47,6%), 5 (21,7% ДІ: 10,2% – 38,8%) та 9 (19,6% ДІ: 10,9% – 31,4%) у </w:t>
      </w:r>
      <w:r w:rsidRPr="00520861">
        <w:rPr>
          <w:rFonts w:eastAsiaTheme="minorHAnsi"/>
          <w:sz w:val="28"/>
          <w:szCs w:val="28"/>
          <w:lang w:eastAsia="en-US"/>
        </w:rPr>
        <w:t>підгрупі</w:t>
      </w:r>
      <w:r w:rsidRPr="00520861">
        <w:rPr>
          <w:rFonts w:eastAsia="Calibri"/>
          <w:sz w:val="28"/>
          <w:szCs w:val="28"/>
          <w:lang w:eastAsia="en-US"/>
        </w:rPr>
        <w:t xml:space="preserve"> 1, 2, 3 та 4 відповідно. У ГП батьків,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мали 10 (7,9% ДІ: 4,4% – 13,0%) осіб. Вірогідної різниці між балами, набраними учасниками ОГ та ГП за шкалою 1, виявлено не було (див. табл. 4.14, Б.1.15)</w:t>
      </w:r>
      <w:r w:rsidRPr="00520861">
        <w:rPr>
          <w:rFonts w:eastAsia="Calibri"/>
          <w:i/>
          <w:sz w:val="28"/>
          <w:szCs w:val="28"/>
          <w:lang w:eastAsia="en-US"/>
        </w:rPr>
        <w:t>.</w:t>
      </w:r>
      <w:r w:rsidRPr="00520861">
        <w:rPr>
          <w:rFonts w:eastAsia="Calibri"/>
          <w:sz w:val="28"/>
          <w:szCs w:val="28"/>
          <w:lang w:eastAsia="en-US"/>
        </w:rPr>
        <w:t xml:space="preserve"> </w:t>
      </w:r>
      <w:r w:rsidRPr="00520861">
        <w:rPr>
          <w:rFonts w:eastAsia="Calibri"/>
          <w:spacing w:val="-6"/>
          <w:sz w:val="28"/>
          <w:szCs w:val="28"/>
          <w:lang w:eastAsia="en-US"/>
        </w:rPr>
        <w:t xml:space="preserve">При аналізі відмінностей по підгрупах виявлено, що тенденція до більшої кількості скарг у </w:t>
      </w:r>
      <w:r w:rsidRPr="00520861">
        <w:rPr>
          <w:rFonts w:eastAsiaTheme="minorHAnsi"/>
          <w:spacing w:val="-6"/>
          <w:sz w:val="28"/>
          <w:szCs w:val="28"/>
          <w:lang w:eastAsia="en-US"/>
        </w:rPr>
        <w:t xml:space="preserve">підгрупах </w:t>
      </w:r>
      <w:r w:rsidRPr="00520861">
        <w:rPr>
          <w:rFonts w:eastAsia="Calibri"/>
          <w:spacing w:val="-6"/>
          <w:sz w:val="28"/>
          <w:szCs w:val="28"/>
          <w:lang w:eastAsia="en-US"/>
        </w:rPr>
        <w:t xml:space="preserve">1 та 4 існує саме за рахунок позитивних відповідей тих учасників, батьки яких народилися з </w:t>
      </w:r>
      <w:proofErr w:type="spellStart"/>
      <w:r w:rsidRPr="00520861">
        <w:rPr>
          <w:rFonts w:eastAsia="Calibri"/>
          <w:spacing w:val="-6"/>
          <w:sz w:val="28"/>
          <w:szCs w:val="28"/>
          <w:lang w:eastAsia="en-US"/>
        </w:rPr>
        <w:t>макросомією</w:t>
      </w:r>
      <w:proofErr w:type="spellEnd"/>
      <w:r w:rsidRPr="00520861">
        <w:rPr>
          <w:rFonts w:eastAsia="Calibri"/>
          <w:spacing w:val="-6"/>
          <w:sz w:val="28"/>
          <w:szCs w:val="28"/>
          <w:lang w:eastAsia="en-US"/>
        </w:rPr>
        <w:t>.</w:t>
      </w:r>
    </w:p>
    <w:p w14:paraId="088AC868" w14:textId="77777777" w:rsidR="00CF641C" w:rsidRPr="00520861" w:rsidRDefault="00CF641C" w:rsidP="00292D2E">
      <w:pPr>
        <w:widowControl w:val="0"/>
        <w:spacing w:line="360" w:lineRule="auto"/>
        <w:jc w:val="right"/>
        <w:rPr>
          <w:rFonts w:eastAsia="Calibri"/>
          <w:i/>
          <w:sz w:val="28"/>
          <w:szCs w:val="28"/>
          <w:lang w:eastAsia="en-US"/>
        </w:rPr>
      </w:pPr>
      <w:r w:rsidRPr="00520861">
        <w:rPr>
          <w:rFonts w:eastAsia="Calibri"/>
          <w:i/>
          <w:sz w:val="28"/>
          <w:szCs w:val="28"/>
          <w:lang w:eastAsia="en-US"/>
        </w:rPr>
        <w:t>Таблиця 4.13</w:t>
      </w:r>
    </w:p>
    <w:p w14:paraId="4F36EAAA"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Зведені бальні оцінки результатів тестування осіб дорослого віку (їхній </w:t>
      </w:r>
      <w:r w:rsidRPr="00520861">
        <w:rPr>
          <w:rFonts w:eastAsia="Calibri"/>
          <w:b/>
          <w:sz w:val="28"/>
          <w:szCs w:val="28"/>
          <w:lang w:eastAsia="en-US"/>
        </w:rPr>
        <w:br/>
        <w:t>процент) та 95% ДІ у ГП, ОГ та підгрупах у залежності від ступеня ризику</w:t>
      </w:r>
    </w:p>
    <w:tbl>
      <w:tblPr>
        <w:tblStyle w:val="61"/>
        <w:tblW w:w="9923" w:type="dxa"/>
        <w:tblInd w:w="250" w:type="dxa"/>
        <w:tblLook w:val="04A0" w:firstRow="1" w:lastRow="0" w:firstColumn="1" w:lastColumn="0" w:noHBand="0" w:noVBand="1"/>
      </w:tblPr>
      <w:tblGrid>
        <w:gridCol w:w="1374"/>
        <w:gridCol w:w="2137"/>
        <w:gridCol w:w="2137"/>
        <w:gridCol w:w="2137"/>
        <w:gridCol w:w="2138"/>
      </w:tblGrid>
      <w:tr w:rsidR="00CF641C" w:rsidRPr="00520861" w14:paraId="2C5E2A1A" w14:textId="77777777" w:rsidTr="00292D2E">
        <w:tc>
          <w:tcPr>
            <w:tcW w:w="1374" w:type="dxa"/>
            <w:tcBorders>
              <w:top w:val="single" w:sz="4" w:space="0" w:color="auto"/>
              <w:left w:val="single" w:sz="4" w:space="0" w:color="auto"/>
              <w:bottom w:val="single" w:sz="4" w:space="0" w:color="auto"/>
              <w:right w:val="single" w:sz="4" w:space="0" w:color="auto"/>
            </w:tcBorders>
            <w:hideMark/>
          </w:tcPr>
          <w:p w14:paraId="08D54E0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Групи та підгрупи</w:t>
            </w:r>
          </w:p>
        </w:tc>
        <w:tc>
          <w:tcPr>
            <w:tcW w:w="2137" w:type="dxa"/>
            <w:tcBorders>
              <w:top w:val="single" w:sz="4" w:space="0" w:color="auto"/>
              <w:left w:val="single" w:sz="4" w:space="0" w:color="auto"/>
              <w:bottom w:val="single" w:sz="4" w:space="0" w:color="auto"/>
              <w:right w:val="single" w:sz="4" w:space="0" w:color="auto"/>
            </w:tcBorders>
            <w:hideMark/>
          </w:tcPr>
          <w:p w14:paraId="7A1F4D5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Мінімальний ризик</w:t>
            </w:r>
          </w:p>
        </w:tc>
        <w:tc>
          <w:tcPr>
            <w:tcW w:w="2137" w:type="dxa"/>
            <w:tcBorders>
              <w:top w:val="single" w:sz="4" w:space="0" w:color="auto"/>
              <w:left w:val="single" w:sz="4" w:space="0" w:color="auto"/>
              <w:bottom w:val="single" w:sz="4" w:space="0" w:color="auto"/>
              <w:right w:val="single" w:sz="4" w:space="0" w:color="auto"/>
            </w:tcBorders>
            <w:hideMark/>
          </w:tcPr>
          <w:p w14:paraId="1DE5F00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Ризик</w:t>
            </w:r>
          </w:p>
        </w:tc>
        <w:tc>
          <w:tcPr>
            <w:tcW w:w="2137" w:type="dxa"/>
            <w:tcBorders>
              <w:top w:val="single" w:sz="4" w:space="0" w:color="auto"/>
              <w:left w:val="single" w:sz="4" w:space="0" w:color="auto"/>
              <w:bottom w:val="single" w:sz="4" w:space="0" w:color="auto"/>
              <w:right w:val="single" w:sz="4" w:space="0" w:color="auto"/>
            </w:tcBorders>
            <w:hideMark/>
          </w:tcPr>
          <w:p w14:paraId="1936CB1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Суттєвий </w:t>
            </w:r>
            <w:r w:rsidRPr="00520861">
              <w:rPr>
                <w:rFonts w:eastAsia="Calibri"/>
                <w:sz w:val="28"/>
                <w:szCs w:val="28"/>
              </w:rPr>
              <w:br/>
              <w:t>ризик</w:t>
            </w:r>
          </w:p>
        </w:tc>
        <w:tc>
          <w:tcPr>
            <w:tcW w:w="2138" w:type="dxa"/>
            <w:tcBorders>
              <w:top w:val="single" w:sz="4" w:space="0" w:color="auto"/>
              <w:left w:val="single" w:sz="4" w:space="0" w:color="auto"/>
              <w:bottom w:val="single" w:sz="4" w:space="0" w:color="auto"/>
              <w:right w:val="single" w:sz="4" w:space="0" w:color="auto"/>
            </w:tcBorders>
            <w:hideMark/>
          </w:tcPr>
          <w:p w14:paraId="661AC75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Високий </w:t>
            </w:r>
            <w:r w:rsidRPr="00520861">
              <w:rPr>
                <w:rFonts w:eastAsia="Calibri"/>
                <w:sz w:val="28"/>
                <w:szCs w:val="28"/>
              </w:rPr>
              <w:br/>
              <w:t>ризик</w:t>
            </w:r>
          </w:p>
        </w:tc>
      </w:tr>
      <w:tr w:rsidR="00CF641C" w:rsidRPr="00520861" w14:paraId="0771FD39" w14:textId="77777777" w:rsidTr="00292D2E">
        <w:tc>
          <w:tcPr>
            <w:tcW w:w="1374" w:type="dxa"/>
            <w:tcBorders>
              <w:top w:val="single" w:sz="4" w:space="0" w:color="auto"/>
              <w:left w:val="single" w:sz="4" w:space="0" w:color="auto"/>
              <w:bottom w:val="single" w:sz="4" w:space="0" w:color="auto"/>
              <w:right w:val="single" w:sz="4" w:space="0" w:color="auto"/>
            </w:tcBorders>
            <w:hideMark/>
          </w:tcPr>
          <w:p w14:paraId="3381E49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ГП</w:t>
            </w:r>
          </w:p>
        </w:tc>
        <w:tc>
          <w:tcPr>
            <w:tcW w:w="2137" w:type="dxa"/>
            <w:tcBorders>
              <w:top w:val="single" w:sz="4" w:space="0" w:color="auto"/>
              <w:left w:val="single" w:sz="4" w:space="0" w:color="auto"/>
              <w:bottom w:val="single" w:sz="4" w:space="0" w:color="auto"/>
              <w:right w:val="single" w:sz="4" w:space="0" w:color="auto"/>
            </w:tcBorders>
            <w:hideMark/>
          </w:tcPr>
          <w:p w14:paraId="192B30B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15 (11,8%); 7,4% – 17,8%</w:t>
            </w:r>
          </w:p>
        </w:tc>
        <w:tc>
          <w:tcPr>
            <w:tcW w:w="2137" w:type="dxa"/>
            <w:tcBorders>
              <w:top w:val="single" w:sz="4" w:space="0" w:color="auto"/>
              <w:left w:val="single" w:sz="4" w:space="0" w:color="auto"/>
              <w:bottom w:val="single" w:sz="4" w:space="0" w:color="auto"/>
              <w:right w:val="single" w:sz="4" w:space="0" w:color="auto"/>
            </w:tcBorders>
            <w:hideMark/>
          </w:tcPr>
          <w:p w14:paraId="28F9081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75 (59,1%); 50,8% – 67,0%</w:t>
            </w:r>
          </w:p>
        </w:tc>
        <w:tc>
          <w:tcPr>
            <w:tcW w:w="2137" w:type="dxa"/>
            <w:tcBorders>
              <w:top w:val="single" w:sz="4" w:space="0" w:color="auto"/>
              <w:left w:val="single" w:sz="4" w:space="0" w:color="auto"/>
              <w:bottom w:val="single" w:sz="4" w:space="0" w:color="auto"/>
              <w:right w:val="single" w:sz="4" w:space="0" w:color="auto"/>
            </w:tcBorders>
            <w:hideMark/>
          </w:tcPr>
          <w:p w14:paraId="74B74C5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34 (26,8%); 20,0% – 34,5%</w:t>
            </w:r>
          </w:p>
        </w:tc>
        <w:tc>
          <w:tcPr>
            <w:tcW w:w="2138" w:type="dxa"/>
            <w:tcBorders>
              <w:top w:val="single" w:sz="4" w:space="0" w:color="auto"/>
              <w:left w:val="single" w:sz="4" w:space="0" w:color="auto"/>
              <w:bottom w:val="single" w:sz="4" w:space="0" w:color="auto"/>
              <w:right w:val="single" w:sz="4" w:space="0" w:color="auto"/>
            </w:tcBorders>
            <w:hideMark/>
          </w:tcPr>
          <w:p w14:paraId="36F983F9"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 (2,4%);</w:t>
            </w:r>
          </w:p>
          <w:p w14:paraId="1D48A86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0,9% – 5,6%</w:t>
            </w:r>
          </w:p>
        </w:tc>
      </w:tr>
      <w:tr w:rsidR="00CF641C" w:rsidRPr="00520861" w14:paraId="0AD67059" w14:textId="77777777" w:rsidTr="00292D2E">
        <w:tc>
          <w:tcPr>
            <w:tcW w:w="1374" w:type="dxa"/>
            <w:tcBorders>
              <w:top w:val="single" w:sz="4" w:space="0" w:color="auto"/>
              <w:left w:val="single" w:sz="4" w:space="0" w:color="auto"/>
              <w:bottom w:val="single" w:sz="4" w:space="0" w:color="auto"/>
              <w:right w:val="single" w:sz="4" w:space="0" w:color="auto"/>
            </w:tcBorders>
            <w:hideMark/>
          </w:tcPr>
          <w:p w14:paraId="3B0C19D9"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ОГ</w:t>
            </w:r>
          </w:p>
        </w:tc>
        <w:tc>
          <w:tcPr>
            <w:tcW w:w="2137" w:type="dxa"/>
            <w:tcBorders>
              <w:top w:val="single" w:sz="4" w:space="0" w:color="auto"/>
              <w:left w:val="single" w:sz="4" w:space="0" w:color="auto"/>
              <w:bottom w:val="single" w:sz="4" w:space="0" w:color="auto"/>
              <w:right w:val="single" w:sz="4" w:space="0" w:color="auto"/>
            </w:tcBorders>
            <w:hideMark/>
          </w:tcPr>
          <w:p w14:paraId="5A485EC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2 (1,8%) </w:t>
            </w:r>
            <w:r w:rsidRPr="00520861">
              <w:rPr>
                <w:sz w:val="28"/>
                <w:szCs w:val="28"/>
              </w:rPr>
              <w:t>†</w:t>
            </w:r>
            <w:r w:rsidRPr="00520861">
              <w:rPr>
                <w:rFonts w:eastAsia="Calibri"/>
                <w:sz w:val="28"/>
                <w:szCs w:val="28"/>
              </w:rPr>
              <w:t>;</w:t>
            </w:r>
          </w:p>
          <w:p w14:paraId="2568633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0,5% – 4,8%</w:t>
            </w:r>
          </w:p>
        </w:tc>
        <w:tc>
          <w:tcPr>
            <w:tcW w:w="2137" w:type="dxa"/>
            <w:tcBorders>
              <w:top w:val="single" w:sz="4" w:space="0" w:color="auto"/>
              <w:left w:val="single" w:sz="4" w:space="0" w:color="auto"/>
              <w:bottom w:val="single" w:sz="4" w:space="0" w:color="auto"/>
              <w:right w:val="single" w:sz="4" w:space="0" w:color="auto"/>
            </w:tcBorders>
            <w:hideMark/>
          </w:tcPr>
          <w:p w14:paraId="30B3F36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51 (44,7%); 36,3% – 53,5%</w:t>
            </w:r>
          </w:p>
        </w:tc>
        <w:tc>
          <w:tcPr>
            <w:tcW w:w="2137" w:type="dxa"/>
            <w:tcBorders>
              <w:top w:val="single" w:sz="4" w:space="0" w:color="auto"/>
              <w:left w:val="single" w:sz="4" w:space="0" w:color="auto"/>
              <w:bottom w:val="single" w:sz="4" w:space="0" w:color="auto"/>
              <w:right w:val="single" w:sz="4" w:space="0" w:color="auto"/>
            </w:tcBorders>
            <w:hideMark/>
          </w:tcPr>
          <w:p w14:paraId="028E7564"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52 (46,5%) </w:t>
            </w:r>
            <w:r w:rsidRPr="00520861">
              <w:rPr>
                <w:sz w:val="28"/>
                <w:szCs w:val="28"/>
              </w:rPr>
              <w:t>†</w:t>
            </w:r>
            <w:r w:rsidRPr="00520861">
              <w:rPr>
                <w:rFonts w:eastAsia="Calibri"/>
                <w:sz w:val="28"/>
                <w:szCs w:val="28"/>
              </w:rPr>
              <w:t>; 37,9% – 55,2%</w:t>
            </w:r>
          </w:p>
        </w:tc>
        <w:tc>
          <w:tcPr>
            <w:tcW w:w="2138" w:type="dxa"/>
            <w:tcBorders>
              <w:top w:val="single" w:sz="4" w:space="0" w:color="auto"/>
              <w:left w:val="single" w:sz="4" w:space="0" w:color="auto"/>
              <w:bottom w:val="single" w:sz="4" w:space="0" w:color="auto"/>
              <w:right w:val="single" w:sz="4" w:space="0" w:color="auto"/>
            </w:tcBorders>
            <w:hideMark/>
          </w:tcPr>
          <w:p w14:paraId="2E3A3A2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9 (7,9%); 4,3% – 13,4%</w:t>
            </w:r>
          </w:p>
        </w:tc>
      </w:tr>
      <w:tr w:rsidR="00CF641C" w:rsidRPr="00520861" w14:paraId="02ADEA21" w14:textId="77777777" w:rsidTr="00292D2E">
        <w:tc>
          <w:tcPr>
            <w:tcW w:w="1374" w:type="dxa"/>
            <w:tcBorders>
              <w:top w:val="single" w:sz="4" w:space="0" w:color="auto"/>
              <w:left w:val="single" w:sz="4" w:space="0" w:color="auto"/>
              <w:bottom w:val="single" w:sz="4" w:space="0" w:color="auto"/>
              <w:right w:val="single" w:sz="4" w:space="0" w:color="auto"/>
            </w:tcBorders>
            <w:hideMark/>
          </w:tcPr>
          <w:p w14:paraId="5FA0BFF3"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2137" w:type="dxa"/>
            <w:tcBorders>
              <w:top w:val="single" w:sz="4" w:space="0" w:color="auto"/>
              <w:left w:val="single" w:sz="4" w:space="0" w:color="auto"/>
              <w:bottom w:val="single" w:sz="4" w:space="0" w:color="auto"/>
              <w:right w:val="single" w:sz="4" w:space="0" w:color="auto"/>
            </w:tcBorders>
            <w:hideMark/>
          </w:tcPr>
          <w:p w14:paraId="34F0C144"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 (0,0%);</w:t>
            </w:r>
          </w:p>
          <w:p w14:paraId="13332E7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0,1% – 12,8%</w:t>
            </w:r>
          </w:p>
        </w:tc>
        <w:tc>
          <w:tcPr>
            <w:tcW w:w="2137" w:type="dxa"/>
            <w:tcBorders>
              <w:top w:val="single" w:sz="4" w:space="0" w:color="auto"/>
              <w:left w:val="single" w:sz="4" w:space="0" w:color="auto"/>
              <w:bottom w:val="single" w:sz="4" w:space="0" w:color="auto"/>
              <w:right w:val="single" w:sz="4" w:space="0" w:color="auto"/>
            </w:tcBorders>
            <w:hideMark/>
          </w:tcPr>
          <w:p w14:paraId="2D89454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13 (48,1%); 31,9% – 64,7%)</w:t>
            </w:r>
          </w:p>
        </w:tc>
        <w:tc>
          <w:tcPr>
            <w:tcW w:w="2137" w:type="dxa"/>
            <w:tcBorders>
              <w:top w:val="single" w:sz="4" w:space="0" w:color="auto"/>
              <w:left w:val="single" w:sz="4" w:space="0" w:color="auto"/>
              <w:bottom w:val="single" w:sz="4" w:space="0" w:color="auto"/>
              <w:right w:val="single" w:sz="4" w:space="0" w:color="auto"/>
            </w:tcBorders>
            <w:hideMark/>
          </w:tcPr>
          <w:p w14:paraId="063345F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10 (37,0%); 22,4% – 54,0%)</w:t>
            </w:r>
          </w:p>
        </w:tc>
        <w:tc>
          <w:tcPr>
            <w:tcW w:w="2138" w:type="dxa"/>
            <w:tcBorders>
              <w:top w:val="single" w:sz="4" w:space="0" w:color="auto"/>
              <w:left w:val="single" w:sz="4" w:space="0" w:color="auto"/>
              <w:bottom w:val="single" w:sz="4" w:space="0" w:color="auto"/>
              <w:right w:val="single" w:sz="4" w:space="0" w:color="auto"/>
            </w:tcBorders>
            <w:hideMark/>
          </w:tcPr>
          <w:p w14:paraId="780F6BF7"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4 (14,8%) </w:t>
            </w:r>
            <w:r w:rsidRPr="00520861">
              <w:rPr>
                <w:sz w:val="28"/>
                <w:szCs w:val="28"/>
              </w:rPr>
              <w:t>†</w:t>
            </w:r>
            <w:r w:rsidRPr="00520861">
              <w:rPr>
                <w:rFonts w:eastAsia="Calibri"/>
                <w:sz w:val="28"/>
                <w:szCs w:val="28"/>
              </w:rPr>
              <w:t>; 6,3% – 29,2%</w:t>
            </w:r>
          </w:p>
        </w:tc>
      </w:tr>
      <w:tr w:rsidR="00CF641C" w:rsidRPr="00520861" w14:paraId="0AF50E3C" w14:textId="77777777" w:rsidTr="00292D2E">
        <w:tc>
          <w:tcPr>
            <w:tcW w:w="1374" w:type="dxa"/>
            <w:tcBorders>
              <w:top w:val="single" w:sz="4" w:space="0" w:color="auto"/>
              <w:left w:val="single" w:sz="4" w:space="0" w:color="auto"/>
              <w:bottom w:val="single" w:sz="4" w:space="0" w:color="auto"/>
              <w:right w:val="single" w:sz="4" w:space="0" w:color="auto"/>
            </w:tcBorders>
            <w:hideMark/>
          </w:tcPr>
          <w:p w14:paraId="64FBB027"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w:t>
            </w:r>
          </w:p>
        </w:tc>
        <w:tc>
          <w:tcPr>
            <w:tcW w:w="2137" w:type="dxa"/>
            <w:tcBorders>
              <w:top w:val="single" w:sz="4" w:space="0" w:color="auto"/>
              <w:left w:val="single" w:sz="4" w:space="0" w:color="auto"/>
              <w:bottom w:val="single" w:sz="4" w:space="0" w:color="auto"/>
              <w:right w:val="single" w:sz="4" w:space="0" w:color="auto"/>
            </w:tcBorders>
            <w:hideMark/>
          </w:tcPr>
          <w:p w14:paraId="26A1C2E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 (11,1%);</w:t>
            </w:r>
          </w:p>
          <w:p w14:paraId="26BEF6A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3,6% – 27,3%</w:t>
            </w:r>
          </w:p>
        </w:tc>
        <w:tc>
          <w:tcPr>
            <w:tcW w:w="2137" w:type="dxa"/>
            <w:tcBorders>
              <w:top w:val="single" w:sz="4" w:space="0" w:color="auto"/>
              <w:left w:val="single" w:sz="4" w:space="0" w:color="auto"/>
              <w:bottom w:val="single" w:sz="4" w:space="0" w:color="auto"/>
              <w:right w:val="single" w:sz="4" w:space="0" w:color="auto"/>
            </w:tcBorders>
            <w:hideMark/>
          </w:tcPr>
          <w:p w14:paraId="070848B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7 (38,9%);</w:t>
            </w:r>
          </w:p>
          <w:p w14:paraId="63DB7B1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21,5% – 59,0%</w:t>
            </w:r>
          </w:p>
        </w:tc>
        <w:tc>
          <w:tcPr>
            <w:tcW w:w="2137" w:type="dxa"/>
            <w:tcBorders>
              <w:top w:val="single" w:sz="4" w:space="0" w:color="auto"/>
              <w:left w:val="single" w:sz="4" w:space="0" w:color="auto"/>
              <w:bottom w:val="single" w:sz="4" w:space="0" w:color="auto"/>
              <w:right w:val="single" w:sz="4" w:space="0" w:color="auto"/>
            </w:tcBorders>
            <w:hideMark/>
          </w:tcPr>
          <w:p w14:paraId="760DE19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7 (38,9%); 21,5% – 59,0%</w:t>
            </w:r>
          </w:p>
        </w:tc>
        <w:tc>
          <w:tcPr>
            <w:tcW w:w="2138" w:type="dxa"/>
            <w:tcBorders>
              <w:top w:val="single" w:sz="4" w:space="0" w:color="auto"/>
              <w:left w:val="single" w:sz="4" w:space="0" w:color="auto"/>
              <w:bottom w:val="single" w:sz="4" w:space="0" w:color="auto"/>
              <w:right w:val="single" w:sz="4" w:space="0" w:color="auto"/>
            </w:tcBorders>
            <w:hideMark/>
          </w:tcPr>
          <w:p w14:paraId="0D936B1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 (11,1%);</w:t>
            </w:r>
          </w:p>
          <w:p w14:paraId="6B7F3A8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3,6% – 27,3%</w:t>
            </w:r>
          </w:p>
        </w:tc>
      </w:tr>
      <w:tr w:rsidR="00CF641C" w:rsidRPr="00520861" w14:paraId="652174BB" w14:textId="77777777" w:rsidTr="00292D2E">
        <w:tc>
          <w:tcPr>
            <w:tcW w:w="1374" w:type="dxa"/>
            <w:tcBorders>
              <w:top w:val="single" w:sz="4" w:space="0" w:color="auto"/>
              <w:left w:val="single" w:sz="4" w:space="0" w:color="auto"/>
              <w:bottom w:val="single" w:sz="4" w:space="0" w:color="auto"/>
              <w:right w:val="single" w:sz="4" w:space="0" w:color="auto"/>
            </w:tcBorders>
            <w:hideMark/>
          </w:tcPr>
          <w:p w14:paraId="762FC878"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w:t>
            </w:r>
          </w:p>
        </w:tc>
        <w:tc>
          <w:tcPr>
            <w:tcW w:w="2137" w:type="dxa"/>
            <w:tcBorders>
              <w:top w:val="single" w:sz="4" w:space="0" w:color="auto"/>
              <w:left w:val="single" w:sz="4" w:space="0" w:color="auto"/>
              <w:bottom w:val="single" w:sz="4" w:space="0" w:color="auto"/>
              <w:right w:val="single" w:sz="4" w:space="0" w:color="auto"/>
            </w:tcBorders>
            <w:hideMark/>
          </w:tcPr>
          <w:p w14:paraId="222A980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 (0,0%);</w:t>
            </w:r>
          </w:p>
          <w:p w14:paraId="57174F3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0,1% – 14,8%</w:t>
            </w:r>
          </w:p>
        </w:tc>
        <w:tc>
          <w:tcPr>
            <w:tcW w:w="2137" w:type="dxa"/>
            <w:tcBorders>
              <w:top w:val="single" w:sz="4" w:space="0" w:color="auto"/>
              <w:left w:val="single" w:sz="4" w:space="0" w:color="auto"/>
              <w:bottom w:val="single" w:sz="4" w:space="0" w:color="auto"/>
              <w:right w:val="single" w:sz="4" w:space="0" w:color="auto"/>
            </w:tcBorders>
            <w:hideMark/>
          </w:tcPr>
          <w:p w14:paraId="344792F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12 (52,2%); 34,5% – 69,4%</w:t>
            </w:r>
          </w:p>
        </w:tc>
        <w:tc>
          <w:tcPr>
            <w:tcW w:w="2137" w:type="dxa"/>
            <w:tcBorders>
              <w:top w:val="single" w:sz="4" w:space="0" w:color="auto"/>
              <w:left w:val="single" w:sz="4" w:space="0" w:color="auto"/>
              <w:bottom w:val="single" w:sz="4" w:space="0" w:color="auto"/>
              <w:right w:val="single" w:sz="4" w:space="0" w:color="auto"/>
            </w:tcBorders>
            <w:hideMark/>
          </w:tcPr>
          <w:p w14:paraId="38DD728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10 (43,5%); 26,8% – 61,5%</w:t>
            </w:r>
          </w:p>
        </w:tc>
        <w:tc>
          <w:tcPr>
            <w:tcW w:w="2138" w:type="dxa"/>
            <w:tcBorders>
              <w:top w:val="single" w:sz="4" w:space="0" w:color="auto"/>
              <w:left w:val="single" w:sz="4" w:space="0" w:color="auto"/>
              <w:bottom w:val="single" w:sz="4" w:space="0" w:color="auto"/>
              <w:right w:val="single" w:sz="4" w:space="0" w:color="auto"/>
            </w:tcBorders>
            <w:hideMark/>
          </w:tcPr>
          <w:p w14:paraId="227FA7B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 (4,3%);</w:t>
            </w:r>
          </w:p>
          <w:p w14:paraId="16520F4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1,1% – 14,8%</w:t>
            </w:r>
          </w:p>
        </w:tc>
      </w:tr>
      <w:tr w:rsidR="00CF641C" w:rsidRPr="00520861" w14:paraId="60DF57E1" w14:textId="77777777" w:rsidTr="00292D2E">
        <w:tc>
          <w:tcPr>
            <w:tcW w:w="1374" w:type="dxa"/>
            <w:tcBorders>
              <w:top w:val="single" w:sz="4" w:space="0" w:color="auto"/>
              <w:left w:val="single" w:sz="4" w:space="0" w:color="auto"/>
              <w:bottom w:val="single" w:sz="4" w:space="0" w:color="auto"/>
              <w:right w:val="single" w:sz="4" w:space="0" w:color="auto"/>
            </w:tcBorders>
            <w:hideMark/>
          </w:tcPr>
          <w:p w14:paraId="4F880485"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w:t>
            </w:r>
          </w:p>
        </w:tc>
        <w:tc>
          <w:tcPr>
            <w:tcW w:w="2137" w:type="dxa"/>
            <w:tcBorders>
              <w:top w:val="single" w:sz="4" w:space="0" w:color="auto"/>
              <w:left w:val="single" w:sz="4" w:space="0" w:color="auto"/>
              <w:bottom w:val="single" w:sz="4" w:space="0" w:color="auto"/>
              <w:right w:val="single" w:sz="4" w:space="0" w:color="auto"/>
            </w:tcBorders>
            <w:hideMark/>
          </w:tcPr>
          <w:p w14:paraId="3022534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 (0,0%);</w:t>
            </w:r>
          </w:p>
          <w:p w14:paraId="2FE2D43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0,1% – 7,7%</w:t>
            </w:r>
          </w:p>
        </w:tc>
        <w:tc>
          <w:tcPr>
            <w:tcW w:w="2137" w:type="dxa"/>
            <w:tcBorders>
              <w:top w:val="single" w:sz="4" w:space="0" w:color="auto"/>
              <w:left w:val="single" w:sz="4" w:space="0" w:color="auto"/>
              <w:bottom w:val="single" w:sz="4" w:space="0" w:color="auto"/>
              <w:right w:val="single" w:sz="4" w:space="0" w:color="auto"/>
            </w:tcBorders>
            <w:hideMark/>
          </w:tcPr>
          <w:p w14:paraId="2BF5207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19 (41,3%); 28,9% – 54,6%</w:t>
            </w:r>
          </w:p>
        </w:tc>
        <w:tc>
          <w:tcPr>
            <w:tcW w:w="2137" w:type="dxa"/>
            <w:tcBorders>
              <w:top w:val="single" w:sz="4" w:space="0" w:color="auto"/>
              <w:left w:val="single" w:sz="4" w:space="0" w:color="auto"/>
              <w:bottom w:val="single" w:sz="4" w:space="0" w:color="auto"/>
              <w:right w:val="single" w:sz="4" w:space="0" w:color="auto"/>
            </w:tcBorders>
            <w:hideMark/>
          </w:tcPr>
          <w:p w14:paraId="75EC7709"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25 (54,3%) </w:t>
            </w:r>
            <w:r w:rsidRPr="00520861">
              <w:rPr>
                <w:sz w:val="28"/>
                <w:szCs w:val="28"/>
              </w:rPr>
              <w:t>†</w:t>
            </w:r>
            <w:r w:rsidRPr="00520861">
              <w:rPr>
                <w:rFonts w:eastAsia="Calibri"/>
                <w:sz w:val="28"/>
                <w:szCs w:val="28"/>
              </w:rPr>
              <w:t xml:space="preserve"> 41,1% – 67,1%</w:t>
            </w:r>
          </w:p>
        </w:tc>
        <w:tc>
          <w:tcPr>
            <w:tcW w:w="2138" w:type="dxa"/>
            <w:tcBorders>
              <w:top w:val="single" w:sz="4" w:space="0" w:color="auto"/>
              <w:left w:val="single" w:sz="4" w:space="0" w:color="auto"/>
              <w:bottom w:val="single" w:sz="4" w:space="0" w:color="auto"/>
              <w:right w:val="single" w:sz="4" w:space="0" w:color="auto"/>
            </w:tcBorders>
            <w:hideMark/>
          </w:tcPr>
          <w:p w14:paraId="0B9F786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 (4,3%);</w:t>
            </w:r>
          </w:p>
          <w:p w14:paraId="7FD9C81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1,4% – 11,5%</w:t>
            </w:r>
          </w:p>
        </w:tc>
      </w:tr>
    </w:tbl>
    <w:p w14:paraId="733B2E13" w14:textId="77777777" w:rsidR="00CF641C" w:rsidRPr="00520861" w:rsidRDefault="00CF641C" w:rsidP="00292D2E">
      <w:pPr>
        <w:widowControl w:val="0"/>
        <w:spacing w:line="360" w:lineRule="auto"/>
        <w:ind w:firstLine="708"/>
        <w:rPr>
          <w:sz w:val="28"/>
          <w:szCs w:val="28"/>
        </w:rPr>
      </w:pPr>
      <w:r w:rsidRPr="00520861">
        <w:rPr>
          <w:sz w:val="28"/>
          <w:szCs w:val="28"/>
        </w:rPr>
        <w:t>Примітка: †</w:t>
      </w:r>
      <w:r w:rsidRPr="00520861">
        <w:rPr>
          <w:rFonts w:eastAsiaTheme="minorHAnsi"/>
          <w:sz w:val="28"/>
          <w:szCs w:val="28"/>
          <w:lang w:eastAsia="en-US"/>
        </w:rPr>
        <w:t> </w:t>
      </w:r>
      <w:r w:rsidRPr="00520861">
        <w:rPr>
          <w:sz w:val="28"/>
          <w:szCs w:val="28"/>
        </w:rPr>
        <w:t xml:space="preserve">– вірогідно відрізняється від ГП для </w:t>
      </w:r>
      <w:r w:rsidR="00CA3DF7" w:rsidRPr="00520861">
        <w:rPr>
          <w:rFonts w:eastAsia="Calibri"/>
          <w:i/>
          <w:sz w:val="28"/>
          <w:szCs w:val="28"/>
          <w:lang w:eastAsia="en-US"/>
        </w:rPr>
        <w:t>p</w:t>
      </w:r>
      <w:r w:rsidR="00CD7533" w:rsidRPr="00520861">
        <w:rPr>
          <w:rFonts w:eastAsia="Calibri"/>
          <w:sz w:val="28"/>
          <w:szCs w:val="28"/>
          <w:lang w:eastAsia="en-US"/>
        </w:rPr>
        <w:t>&lt;</w:t>
      </w:r>
      <w:r w:rsidR="00CA3DF7" w:rsidRPr="00520861">
        <w:rPr>
          <w:rFonts w:eastAsia="Calibri"/>
          <w:sz w:val="28"/>
          <w:szCs w:val="28"/>
          <w:lang w:eastAsia="en-US"/>
        </w:rPr>
        <w:t>0,05</w:t>
      </w:r>
      <w:r w:rsidRPr="00520861">
        <w:rPr>
          <w:sz w:val="28"/>
          <w:szCs w:val="28"/>
        </w:rPr>
        <w:t>.</w:t>
      </w:r>
    </w:p>
    <w:p w14:paraId="406378DA" w14:textId="77777777" w:rsidR="00CF641C" w:rsidRPr="00520861" w:rsidRDefault="00CF641C" w:rsidP="00292D2E">
      <w:pPr>
        <w:widowControl w:val="0"/>
        <w:spacing w:line="360" w:lineRule="auto"/>
        <w:ind w:firstLine="708"/>
        <w:rPr>
          <w:rFonts w:eastAsia="Calibri"/>
          <w:sz w:val="28"/>
          <w:szCs w:val="28"/>
          <w:lang w:eastAsia="en-US"/>
        </w:rPr>
        <w:sectPr w:rsidR="00CF641C" w:rsidRPr="00520861" w:rsidSect="00292D2E">
          <w:pgSz w:w="11906" w:h="16838"/>
          <w:pgMar w:top="1134" w:right="624" w:bottom="1134" w:left="1134" w:header="709" w:footer="709" w:gutter="0"/>
          <w:cols w:space="708"/>
          <w:docGrid w:linePitch="360"/>
        </w:sectPr>
      </w:pPr>
    </w:p>
    <w:p w14:paraId="4320170A" w14:textId="77777777" w:rsidR="00CF641C" w:rsidRPr="00520861" w:rsidRDefault="00CF641C" w:rsidP="00292D2E">
      <w:pPr>
        <w:widowControl w:val="0"/>
        <w:spacing w:after="160" w:line="256" w:lineRule="auto"/>
        <w:jc w:val="right"/>
        <w:rPr>
          <w:rFonts w:eastAsia="Calibri"/>
          <w:i/>
          <w:sz w:val="28"/>
          <w:szCs w:val="28"/>
          <w:lang w:eastAsia="en-US"/>
        </w:rPr>
      </w:pPr>
      <w:r w:rsidRPr="00520861">
        <w:rPr>
          <w:rFonts w:eastAsia="Calibri"/>
          <w:i/>
          <w:sz w:val="28"/>
          <w:szCs w:val="28"/>
          <w:lang w:eastAsia="en-US"/>
        </w:rPr>
        <w:lastRenderedPageBreak/>
        <w:t>Таблиця 4.14</w:t>
      </w:r>
    </w:p>
    <w:p w14:paraId="4120BE4A" w14:textId="77777777" w:rsidR="00CF641C" w:rsidRPr="00520861" w:rsidRDefault="00CF641C" w:rsidP="00292D2E">
      <w:pPr>
        <w:widowControl w:val="0"/>
        <w:spacing w:after="160" w:line="360" w:lineRule="auto"/>
        <w:jc w:val="center"/>
        <w:rPr>
          <w:rFonts w:eastAsia="Calibri"/>
          <w:b/>
          <w:sz w:val="28"/>
          <w:szCs w:val="28"/>
          <w:lang w:eastAsia="en-US"/>
        </w:rPr>
      </w:pPr>
      <w:r w:rsidRPr="00520861">
        <w:rPr>
          <w:rFonts w:eastAsia="Calibri"/>
          <w:b/>
          <w:sz w:val="28"/>
          <w:szCs w:val="28"/>
          <w:lang w:eastAsia="en-US"/>
        </w:rPr>
        <w:t xml:space="preserve">Зведені бальні оцінки результатів тестування осіб дорослого віку групи порівняння, основної групи та підгруп </w:t>
      </w:r>
      <w:r w:rsidRPr="00520861">
        <w:rPr>
          <w:rFonts w:eastAsia="Calibri"/>
          <w:b/>
          <w:sz w:val="28"/>
          <w:szCs w:val="28"/>
          <w:lang w:eastAsia="en-US"/>
        </w:rPr>
        <w:br/>
        <w:t>у залежності від шкали опитувальника</w:t>
      </w:r>
    </w:p>
    <w:tbl>
      <w:tblPr>
        <w:tblStyle w:val="61"/>
        <w:tblW w:w="14601" w:type="dxa"/>
        <w:tblInd w:w="108" w:type="dxa"/>
        <w:tblLayout w:type="fixed"/>
        <w:tblLook w:val="04A0" w:firstRow="1" w:lastRow="0" w:firstColumn="1" w:lastColumn="0" w:noHBand="0" w:noVBand="1"/>
      </w:tblPr>
      <w:tblGrid>
        <w:gridCol w:w="1281"/>
        <w:gridCol w:w="1902"/>
        <w:gridCol w:w="1903"/>
        <w:gridCol w:w="1903"/>
        <w:gridCol w:w="1903"/>
        <w:gridCol w:w="1903"/>
        <w:gridCol w:w="1903"/>
        <w:gridCol w:w="1903"/>
      </w:tblGrid>
      <w:tr w:rsidR="00CF641C" w:rsidRPr="00520861" w14:paraId="4645822E" w14:textId="77777777" w:rsidTr="00292D2E">
        <w:trPr>
          <w:trHeight w:val="300"/>
        </w:trPr>
        <w:tc>
          <w:tcPr>
            <w:tcW w:w="1281" w:type="dxa"/>
            <w:tcBorders>
              <w:top w:val="single" w:sz="4" w:space="0" w:color="auto"/>
              <w:left w:val="single" w:sz="4" w:space="0" w:color="auto"/>
              <w:bottom w:val="single" w:sz="4" w:space="0" w:color="auto"/>
              <w:right w:val="single" w:sz="4" w:space="0" w:color="auto"/>
            </w:tcBorders>
            <w:hideMark/>
          </w:tcPr>
          <w:p w14:paraId="2030E6B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Групи та підгрупи</w:t>
            </w:r>
          </w:p>
        </w:tc>
        <w:tc>
          <w:tcPr>
            <w:tcW w:w="1902" w:type="dxa"/>
            <w:tcBorders>
              <w:top w:val="single" w:sz="4" w:space="0" w:color="auto"/>
              <w:left w:val="single" w:sz="4" w:space="0" w:color="auto"/>
              <w:bottom w:val="single" w:sz="4" w:space="0" w:color="auto"/>
              <w:right w:val="single" w:sz="4" w:space="0" w:color="auto"/>
            </w:tcBorders>
            <w:noWrap/>
            <w:hideMark/>
          </w:tcPr>
          <w:p w14:paraId="0F0EC48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Шкала</w:t>
            </w:r>
          </w:p>
          <w:p w14:paraId="44975487"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w:t>
            </w:r>
          </w:p>
        </w:tc>
        <w:tc>
          <w:tcPr>
            <w:tcW w:w="1903" w:type="dxa"/>
            <w:tcBorders>
              <w:top w:val="single" w:sz="4" w:space="0" w:color="auto"/>
              <w:left w:val="single" w:sz="4" w:space="0" w:color="auto"/>
              <w:bottom w:val="single" w:sz="4" w:space="0" w:color="auto"/>
              <w:right w:val="single" w:sz="4" w:space="0" w:color="auto"/>
            </w:tcBorders>
            <w:noWrap/>
            <w:hideMark/>
          </w:tcPr>
          <w:p w14:paraId="7C9289D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Шкала</w:t>
            </w:r>
          </w:p>
          <w:p w14:paraId="1CBE21C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w:t>
            </w:r>
          </w:p>
        </w:tc>
        <w:tc>
          <w:tcPr>
            <w:tcW w:w="1903" w:type="dxa"/>
            <w:tcBorders>
              <w:top w:val="single" w:sz="4" w:space="0" w:color="auto"/>
              <w:left w:val="single" w:sz="4" w:space="0" w:color="auto"/>
              <w:bottom w:val="single" w:sz="4" w:space="0" w:color="auto"/>
              <w:right w:val="single" w:sz="4" w:space="0" w:color="auto"/>
            </w:tcBorders>
            <w:noWrap/>
            <w:hideMark/>
          </w:tcPr>
          <w:p w14:paraId="45224C5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Шкала</w:t>
            </w:r>
          </w:p>
          <w:p w14:paraId="4FD8AF2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w:t>
            </w:r>
          </w:p>
        </w:tc>
        <w:tc>
          <w:tcPr>
            <w:tcW w:w="1903" w:type="dxa"/>
            <w:tcBorders>
              <w:top w:val="single" w:sz="4" w:space="0" w:color="auto"/>
              <w:left w:val="single" w:sz="4" w:space="0" w:color="auto"/>
              <w:bottom w:val="single" w:sz="4" w:space="0" w:color="auto"/>
              <w:right w:val="single" w:sz="4" w:space="0" w:color="auto"/>
            </w:tcBorders>
            <w:noWrap/>
            <w:hideMark/>
          </w:tcPr>
          <w:p w14:paraId="46C35DE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Шкала</w:t>
            </w:r>
          </w:p>
          <w:p w14:paraId="4FF73E3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w:t>
            </w:r>
          </w:p>
        </w:tc>
        <w:tc>
          <w:tcPr>
            <w:tcW w:w="1903" w:type="dxa"/>
            <w:tcBorders>
              <w:top w:val="single" w:sz="4" w:space="0" w:color="auto"/>
              <w:left w:val="single" w:sz="4" w:space="0" w:color="auto"/>
              <w:bottom w:val="single" w:sz="4" w:space="0" w:color="auto"/>
              <w:right w:val="single" w:sz="4" w:space="0" w:color="auto"/>
            </w:tcBorders>
            <w:noWrap/>
            <w:hideMark/>
          </w:tcPr>
          <w:p w14:paraId="5B1B8EA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Шкала</w:t>
            </w:r>
          </w:p>
          <w:p w14:paraId="4B3BF34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w:t>
            </w:r>
          </w:p>
        </w:tc>
        <w:tc>
          <w:tcPr>
            <w:tcW w:w="1903" w:type="dxa"/>
            <w:tcBorders>
              <w:top w:val="single" w:sz="4" w:space="0" w:color="auto"/>
              <w:left w:val="single" w:sz="4" w:space="0" w:color="auto"/>
              <w:bottom w:val="single" w:sz="4" w:space="0" w:color="auto"/>
              <w:right w:val="single" w:sz="4" w:space="0" w:color="auto"/>
            </w:tcBorders>
            <w:noWrap/>
            <w:hideMark/>
          </w:tcPr>
          <w:p w14:paraId="55F1ED5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Шкала</w:t>
            </w:r>
          </w:p>
          <w:p w14:paraId="3D2B4C6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6</w:t>
            </w:r>
          </w:p>
        </w:tc>
        <w:tc>
          <w:tcPr>
            <w:tcW w:w="1903" w:type="dxa"/>
            <w:tcBorders>
              <w:top w:val="single" w:sz="4" w:space="0" w:color="auto"/>
              <w:left w:val="single" w:sz="4" w:space="0" w:color="auto"/>
              <w:bottom w:val="single" w:sz="4" w:space="0" w:color="auto"/>
              <w:right w:val="single" w:sz="4" w:space="0" w:color="auto"/>
            </w:tcBorders>
            <w:noWrap/>
            <w:hideMark/>
          </w:tcPr>
          <w:p w14:paraId="411E891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Шкала</w:t>
            </w:r>
          </w:p>
          <w:p w14:paraId="4B7E45B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7</w:t>
            </w:r>
          </w:p>
        </w:tc>
      </w:tr>
      <w:tr w:rsidR="00CF641C" w:rsidRPr="00520861" w14:paraId="47569802" w14:textId="77777777" w:rsidTr="00292D2E">
        <w:trPr>
          <w:trHeight w:val="175"/>
        </w:trPr>
        <w:tc>
          <w:tcPr>
            <w:tcW w:w="1281" w:type="dxa"/>
            <w:tcBorders>
              <w:top w:val="single" w:sz="4" w:space="0" w:color="auto"/>
              <w:left w:val="single" w:sz="4" w:space="0" w:color="auto"/>
              <w:bottom w:val="single" w:sz="4" w:space="0" w:color="auto"/>
              <w:right w:val="single" w:sz="4" w:space="0" w:color="auto"/>
            </w:tcBorders>
            <w:hideMark/>
          </w:tcPr>
          <w:p w14:paraId="739FEC7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ГП</w:t>
            </w:r>
          </w:p>
        </w:tc>
        <w:tc>
          <w:tcPr>
            <w:tcW w:w="1902" w:type="dxa"/>
            <w:tcBorders>
              <w:top w:val="single" w:sz="4" w:space="0" w:color="auto"/>
              <w:left w:val="single" w:sz="4" w:space="0" w:color="auto"/>
              <w:bottom w:val="single" w:sz="4" w:space="0" w:color="auto"/>
              <w:right w:val="single" w:sz="4" w:space="0" w:color="auto"/>
            </w:tcBorders>
            <w:noWrap/>
            <w:hideMark/>
          </w:tcPr>
          <w:p w14:paraId="59403FB7" w14:textId="77777777" w:rsidR="00CF641C" w:rsidRPr="00520861" w:rsidRDefault="00CF641C" w:rsidP="00292D2E">
            <w:pPr>
              <w:widowControl w:val="0"/>
              <w:spacing w:line="360" w:lineRule="auto"/>
              <w:jc w:val="center"/>
              <w:rPr>
                <w:sz w:val="28"/>
                <w:szCs w:val="28"/>
              </w:rPr>
            </w:pPr>
            <w:r w:rsidRPr="00520861">
              <w:rPr>
                <w:sz w:val="28"/>
                <w:szCs w:val="28"/>
              </w:rPr>
              <w:t>2,80</w:t>
            </w:r>
            <w:r w:rsidRPr="00520861">
              <w:rPr>
                <w:rFonts w:eastAsia="Calibri"/>
                <w:sz w:val="28"/>
                <w:szCs w:val="28"/>
              </w:rPr>
              <w:t>±</w:t>
            </w:r>
            <w:r w:rsidRPr="00520861">
              <w:rPr>
                <w:sz w:val="28"/>
                <w:szCs w:val="28"/>
              </w:rPr>
              <w:t>0,36</w:t>
            </w:r>
          </w:p>
        </w:tc>
        <w:tc>
          <w:tcPr>
            <w:tcW w:w="1903" w:type="dxa"/>
            <w:tcBorders>
              <w:top w:val="single" w:sz="4" w:space="0" w:color="auto"/>
              <w:left w:val="single" w:sz="4" w:space="0" w:color="auto"/>
              <w:bottom w:val="single" w:sz="4" w:space="0" w:color="auto"/>
              <w:right w:val="single" w:sz="4" w:space="0" w:color="auto"/>
            </w:tcBorders>
            <w:noWrap/>
            <w:hideMark/>
          </w:tcPr>
          <w:p w14:paraId="10D93443" w14:textId="77777777" w:rsidR="00CF641C" w:rsidRPr="00520861" w:rsidRDefault="00CF641C" w:rsidP="00292D2E">
            <w:pPr>
              <w:widowControl w:val="0"/>
              <w:spacing w:line="360" w:lineRule="auto"/>
              <w:jc w:val="center"/>
              <w:rPr>
                <w:sz w:val="28"/>
                <w:szCs w:val="28"/>
              </w:rPr>
            </w:pPr>
            <w:r w:rsidRPr="00520861">
              <w:rPr>
                <w:sz w:val="28"/>
                <w:szCs w:val="28"/>
              </w:rPr>
              <w:t>1,58</w:t>
            </w:r>
            <w:r w:rsidRPr="00520861">
              <w:rPr>
                <w:rFonts w:eastAsia="Calibri"/>
                <w:sz w:val="28"/>
                <w:szCs w:val="28"/>
              </w:rPr>
              <w:t>±</w:t>
            </w:r>
            <w:r w:rsidRPr="00520861">
              <w:rPr>
                <w:sz w:val="28"/>
                <w:szCs w:val="28"/>
              </w:rPr>
              <w:t>0,27</w:t>
            </w:r>
          </w:p>
        </w:tc>
        <w:tc>
          <w:tcPr>
            <w:tcW w:w="1903" w:type="dxa"/>
            <w:tcBorders>
              <w:top w:val="single" w:sz="4" w:space="0" w:color="auto"/>
              <w:left w:val="single" w:sz="4" w:space="0" w:color="auto"/>
              <w:bottom w:val="single" w:sz="4" w:space="0" w:color="auto"/>
              <w:right w:val="single" w:sz="4" w:space="0" w:color="auto"/>
            </w:tcBorders>
            <w:noWrap/>
            <w:hideMark/>
          </w:tcPr>
          <w:p w14:paraId="77B6AD94" w14:textId="77777777" w:rsidR="00CF641C" w:rsidRPr="00520861" w:rsidRDefault="00CF641C" w:rsidP="00292D2E">
            <w:pPr>
              <w:widowControl w:val="0"/>
              <w:spacing w:line="360" w:lineRule="auto"/>
              <w:jc w:val="center"/>
              <w:rPr>
                <w:sz w:val="28"/>
                <w:szCs w:val="28"/>
              </w:rPr>
            </w:pPr>
            <w:r w:rsidRPr="00520861">
              <w:rPr>
                <w:sz w:val="28"/>
                <w:szCs w:val="28"/>
              </w:rPr>
              <w:t>1,77</w:t>
            </w:r>
            <w:r w:rsidRPr="00520861">
              <w:rPr>
                <w:rFonts w:eastAsia="Calibri"/>
                <w:sz w:val="28"/>
                <w:szCs w:val="28"/>
              </w:rPr>
              <w:t>±</w:t>
            </w:r>
            <w:r w:rsidRPr="00520861">
              <w:rPr>
                <w:sz w:val="28"/>
                <w:szCs w:val="28"/>
              </w:rPr>
              <w:t>0,28</w:t>
            </w:r>
          </w:p>
        </w:tc>
        <w:tc>
          <w:tcPr>
            <w:tcW w:w="1903" w:type="dxa"/>
            <w:tcBorders>
              <w:top w:val="single" w:sz="4" w:space="0" w:color="auto"/>
              <w:left w:val="single" w:sz="4" w:space="0" w:color="auto"/>
              <w:bottom w:val="single" w:sz="4" w:space="0" w:color="auto"/>
              <w:right w:val="single" w:sz="4" w:space="0" w:color="auto"/>
            </w:tcBorders>
            <w:noWrap/>
            <w:hideMark/>
          </w:tcPr>
          <w:p w14:paraId="362DEC4B" w14:textId="77777777" w:rsidR="00CF641C" w:rsidRPr="00520861" w:rsidRDefault="00CF641C" w:rsidP="00292D2E">
            <w:pPr>
              <w:widowControl w:val="0"/>
              <w:spacing w:line="360" w:lineRule="auto"/>
              <w:jc w:val="center"/>
              <w:rPr>
                <w:sz w:val="28"/>
                <w:szCs w:val="28"/>
              </w:rPr>
            </w:pPr>
            <w:r w:rsidRPr="00520861">
              <w:rPr>
                <w:sz w:val="28"/>
                <w:szCs w:val="28"/>
              </w:rPr>
              <w:t>0,81±0,17</w:t>
            </w:r>
          </w:p>
        </w:tc>
        <w:tc>
          <w:tcPr>
            <w:tcW w:w="1903" w:type="dxa"/>
            <w:tcBorders>
              <w:top w:val="single" w:sz="4" w:space="0" w:color="auto"/>
              <w:left w:val="single" w:sz="4" w:space="0" w:color="auto"/>
              <w:bottom w:val="single" w:sz="4" w:space="0" w:color="auto"/>
              <w:right w:val="single" w:sz="4" w:space="0" w:color="auto"/>
            </w:tcBorders>
            <w:noWrap/>
            <w:hideMark/>
          </w:tcPr>
          <w:p w14:paraId="1ACED7E2" w14:textId="77777777" w:rsidR="00CF641C" w:rsidRPr="00520861" w:rsidRDefault="00CF641C" w:rsidP="00292D2E">
            <w:pPr>
              <w:widowControl w:val="0"/>
              <w:spacing w:line="360" w:lineRule="auto"/>
              <w:jc w:val="center"/>
              <w:rPr>
                <w:sz w:val="28"/>
                <w:szCs w:val="28"/>
              </w:rPr>
            </w:pPr>
            <w:r w:rsidRPr="00520861">
              <w:rPr>
                <w:sz w:val="28"/>
                <w:szCs w:val="28"/>
              </w:rPr>
              <w:t>1,61</w:t>
            </w:r>
            <w:r w:rsidRPr="00520861">
              <w:rPr>
                <w:rFonts w:eastAsia="Calibri"/>
                <w:sz w:val="28"/>
                <w:szCs w:val="28"/>
              </w:rPr>
              <w:t>±</w:t>
            </w:r>
            <w:r w:rsidRPr="00520861">
              <w:rPr>
                <w:sz w:val="28"/>
                <w:szCs w:val="28"/>
              </w:rPr>
              <w:t>0,22</w:t>
            </w:r>
          </w:p>
        </w:tc>
        <w:tc>
          <w:tcPr>
            <w:tcW w:w="1903" w:type="dxa"/>
            <w:tcBorders>
              <w:top w:val="single" w:sz="4" w:space="0" w:color="auto"/>
              <w:left w:val="single" w:sz="4" w:space="0" w:color="auto"/>
              <w:bottom w:val="single" w:sz="4" w:space="0" w:color="auto"/>
              <w:right w:val="single" w:sz="4" w:space="0" w:color="auto"/>
            </w:tcBorders>
            <w:noWrap/>
            <w:hideMark/>
          </w:tcPr>
          <w:p w14:paraId="0C3CBC64" w14:textId="77777777" w:rsidR="00CF641C" w:rsidRPr="00520861" w:rsidRDefault="00CF641C" w:rsidP="00292D2E">
            <w:pPr>
              <w:widowControl w:val="0"/>
              <w:spacing w:line="360" w:lineRule="auto"/>
              <w:jc w:val="center"/>
              <w:rPr>
                <w:sz w:val="28"/>
                <w:szCs w:val="28"/>
              </w:rPr>
            </w:pPr>
            <w:r w:rsidRPr="00520861">
              <w:rPr>
                <w:sz w:val="28"/>
                <w:szCs w:val="28"/>
              </w:rPr>
              <w:t>4,63</w:t>
            </w:r>
            <w:r w:rsidRPr="00520861">
              <w:rPr>
                <w:rFonts w:eastAsia="Calibri"/>
                <w:sz w:val="28"/>
                <w:szCs w:val="28"/>
              </w:rPr>
              <w:t>±</w:t>
            </w:r>
            <w:r w:rsidRPr="00520861">
              <w:rPr>
                <w:sz w:val="28"/>
                <w:szCs w:val="28"/>
              </w:rPr>
              <w:t>0,38</w:t>
            </w:r>
          </w:p>
        </w:tc>
        <w:tc>
          <w:tcPr>
            <w:tcW w:w="1903" w:type="dxa"/>
            <w:tcBorders>
              <w:top w:val="single" w:sz="4" w:space="0" w:color="auto"/>
              <w:left w:val="single" w:sz="4" w:space="0" w:color="auto"/>
              <w:bottom w:val="single" w:sz="4" w:space="0" w:color="auto"/>
              <w:right w:val="single" w:sz="4" w:space="0" w:color="auto"/>
            </w:tcBorders>
            <w:noWrap/>
            <w:hideMark/>
          </w:tcPr>
          <w:p w14:paraId="11140027" w14:textId="77777777" w:rsidR="00CF641C" w:rsidRPr="00520861" w:rsidRDefault="00CF641C" w:rsidP="00292D2E">
            <w:pPr>
              <w:widowControl w:val="0"/>
              <w:spacing w:line="360" w:lineRule="auto"/>
              <w:jc w:val="center"/>
              <w:rPr>
                <w:sz w:val="28"/>
                <w:szCs w:val="28"/>
              </w:rPr>
            </w:pPr>
            <w:r w:rsidRPr="00520861">
              <w:rPr>
                <w:sz w:val="28"/>
                <w:szCs w:val="28"/>
              </w:rPr>
              <w:t>4,77±0,38</w:t>
            </w:r>
          </w:p>
        </w:tc>
      </w:tr>
      <w:tr w:rsidR="00CF641C" w:rsidRPr="00520861" w14:paraId="58591A77" w14:textId="77777777" w:rsidTr="00292D2E">
        <w:trPr>
          <w:trHeight w:val="302"/>
        </w:trPr>
        <w:tc>
          <w:tcPr>
            <w:tcW w:w="1281" w:type="dxa"/>
            <w:tcBorders>
              <w:top w:val="single" w:sz="4" w:space="0" w:color="auto"/>
              <w:left w:val="single" w:sz="4" w:space="0" w:color="auto"/>
              <w:bottom w:val="single" w:sz="4" w:space="0" w:color="auto"/>
              <w:right w:val="single" w:sz="4" w:space="0" w:color="auto"/>
            </w:tcBorders>
            <w:hideMark/>
          </w:tcPr>
          <w:p w14:paraId="6012554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ОГ </w:t>
            </w:r>
          </w:p>
        </w:tc>
        <w:tc>
          <w:tcPr>
            <w:tcW w:w="1902" w:type="dxa"/>
            <w:tcBorders>
              <w:top w:val="single" w:sz="4" w:space="0" w:color="auto"/>
              <w:left w:val="single" w:sz="4" w:space="0" w:color="auto"/>
              <w:bottom w:val="single" w:sz="4" w:space="0" w:color="auto"/>
              <w:right w:val="single" w:sz="4" w:space="0" w:color="auto"/>
            </w:tcBorders>
            <w:noWrap/>
            <w:hideMark/>
          </w:tcPr>
          <w:p w14:paraId="3A5E4262" w14:textId="77777777" w:rsidR="00CF641C" w:rsidRPr="00520861" w:rsidRDefault="00CF641C" w:rsidP="00292D2E">
            <w:pPr>
              <w:widowControl w:val="0"/>
              <w:spacing w:line="360" w:lineRule="auto"/>
              <w:jc w:val="center"/>
              <w:rPr>
                <w:sz w:val="28"/>
                <w:szCs w:val="28"/>
              </w:rPr>
            </w:pPr>
            <w:r w:rsidRPr="00520861">
              <w:rPr>
                <w:sz w:val="28"/>
                <w:szCs w:val="28"/>
              </w:rPr>
              <w:t>3,11</w:t>
            </w:r>
            <w:r w:rsidRPr="00520861">
              <w:rPr>
                <w:rFonts w:eastAsia="Calibri"/>
                <w:sz w:val="28"/>
                <w:szCs w:val="28"/>
              </w:rPr>
              <w:t>±</w:t>
            </w:r>
            <w:r w:rsidRPr="00520861">
              <w:rPr>
                <w:sz w:val="28"/>
                <w:szCs w:val="28"/>
              </w:rPr>
              <w:t>0,38</w:t>
            </w:r>
          </w:p>
        </w:tc>
        <w:tc>
          <w:tcPr>
            <w:tcW w:w="1903" w:type="dxa"/>
            <w:tcBorders>
              <w:top w:val="single" w:sz="4" w:space="0" w:color="auto"/>
              <w:left w:val="single" w:sz="4" w:space="0" w:color="auto"/>
              <w:bottom w:val="single" w:sz="4" w:space="0" w:color="auto"/>
              <w:right w:val="single" w:sz="4" w:space="0" w:color="auto"/>
            </w:tcBorders>
            <w:noWrap/>
            <w:hideMark/>
          </w:tcPr>
          <w:p w14:paraId="4D258F47" w14:textId="77777777" w:rsidR="00CF641C" w:rsidRPr="00520861" w:rsidRDefault="00CF641C" w:rsidP="00292D2E">
            <w:pPr>
              <w:widowControl w:val="0"/>
              <w:spacing w:line="360" w:lineRule="auto"/>
              <w:jc w:val="center"/>
              <w:rPr>
                <w:sz w:val="28"/>
                <w:szCs w:val="28"/>
              </w:rPr>
            </w:pPr>
            <w:r w:rsidRPr="00520861">
              <w:rPr>
                <w:sz w:val="28"/>
                <w:szCs w:val="28"/>
              </w:rPr>
              <w:t>1,77</w:t>
            </w:r>
            <w:r w:rsidRPr="00520861">
              <w:rPr>
                <w:rFonts w:eastAsia="Calibri"/>
                <w:sz w:val="28"/>
                <w:szCs w:val="28"/>
              </w:rPr>
              <w:t>±</w:t>
            </w:r>
            <w:r w:rsidRPr="00520861">
              <w:rPr>
                <w:sz w:val="28"/>
                <w:szCs w:val="28"/>
              </w:rPr>
              <w:t>0,31</w:t>
            </w:r>
          </w:p>
        </w:tc>
        <w:tc>
          <w:tcPr>
            <w:tcW w:w="1903" w:type="dxa"/>
            <w:tcBorders>
              <w:top w:val="single" w:sz="4" w:space="0" w:color="auto"/>
              <w:left w:val="single" w:sz="4" w:space="0" w:color="auto"/>
              <w:bottom w:val="single" w:sz="4" w:space="0" w:color="auto"/>
              <w:right w:val="single" w:sz="4" w:space="0" w:color="auto"/>
            </w:tcBorders>
            <w:noWrap/>
            <w:hideMark/>
          </w:tcPr>
          <w:p w14:paraId="34F6834A" w14:textId="77777777" w:rsidR="00CF641C" w:rsidRPr="00520861" w:rsidRDefault="00CF641C" w:rsidP="00292D2E">
            <w:pPr>
              <w:widowControl w:val="0"/>
              <w:spacing w:line="360" w:lineRule="auto"/>
              <w:jc w:val="center"/>
              <w:rPr>
                <w:sz w:val="28"/>
                <w:szCs w:val="28"/>
              </w:rPr>
            </w:pPr>
            <w:r w:rsidRPr="00520861">
              <w:rPr>
                <w:sz w:val="28"/>
                <w:szCs w:val="28"/>
              </w:rPr>
              <w:t>3,00</w:t>
            </w:r>
            <w:r w:rsidRPr="00520861">
              <w:rPr>
                <w:rFonts w:eastAsia="Calibri"/>
                <w:sz w:val="28"/>
                <w:szCs w:val="28"/>
              </w:rPr>
              <w:t>±</w:t>
            </w:r>
            <w:r w:rsidRPr="00520861">
              <w:rPr>
                <w:sz w:val="28"/>
                <w:szCs w:val="28"/>
              </w:rPr>
              <w:t>0,34†</w:t>
            </w:r>
          </w:p>
        </w:tc>
        <w:tc>
          <w:tcPr>
            <w:tcW w:w="1903" w:type="dxa"/>
            <w:tcBorders>
              <w:top w:val="single" w:sz="4" w:space="0" w:color="auto"/>
              <w:left w:val="single" w:sz="4" w:space="0" w:color="auto"/>
              <w:bottom w:val="single" w:sz="4" w:space="0" w:color="auto"/>
              <w:right w:val="single" w:sz="4" w:space="0" w:color="auto"/>
            </w:tcBorders>
            <w:noWrap/>
            <w:hideMark/>
          </w:tcPr>
          <w:p w14:paraId="70178852" w14:textId="77777777" w:rsidR="00CF641C" w:rsidRPr="00520861" w:rsidRDefault="00CF641C" w:rsidP="00292D2E">
            <w:pPr>
              <w:widowControl w:val="0"/>
              <w:spacing w:line="360" w:lineRule="auto"/>
              <w:jc w:val="center"/>
              <w:rPr>
                <w:sz w:val="28"/>
                <w:szCs w:val="28"/>
              </w:rPr>
            </w:pPr>
            <w:r w:rsidRPr="00520861">
              <w:rPr>
                <w:sz w:val="28"/>
                <w:szCs w:val="28"/>
              </w:rPr>
              <w:t>1,61</w:t>
            </w:r>
            <w:r w:rsidRPr="00520861">
              <w:rPr>
                <w:rFonts w:eastAsia="Calibri"/>
                <w:sz w:val="28"/>
                <w:szCs w:val="28"/>
              </w:rPr>
              <w:t>±</w:t>
            </w:r>
            <w:r w:rsidRPr="00520861">
              <w:rPr>
                <w:sz w:val="28"/>
                <w:szCs w:val="28"/>
              </w:rPr>
              <w:t>0,26†</w:t>
            </w:r>
          </w:p>
        </w:tc>
        <w:tc>
          <w:tcPr>
            <w:tcW w:w="1903" w:type="dxa"/>
            <w:tcBorders>
              <w:top w:val="single" w:sz="4" w:space="0" w:color="auto"/>
              <w:left w:val="single" w:sz="4" w:space="0" w:color="auto"/>
              <w:bottom w:val="single" w:sz="4" w:space="0" w:color="auto"/>
              <w:right w:val="single" w:sz="4" w:space="0" w:color="auto"/>
            </w:tcBorders>
            <w:noWrap/>
            <w:hideMark/>
          </w:tcPr>
          <w:p w14:paraId="51D594D8" w14:textId="77777777" w:rsidR="00CF641C" w:rsidRPr="00520861" w:rsidRDefault="00CF641C" w:rsidP="00292D2E">
            <w:pPr>
              <w:widowControl w:val="0"/>
              <w:spacing w:line="360" w:lineRule="auto"/>
              <w:jc w:val="center"/>
              <w:rPr>
                <w:sz w:val="28"/>
                <w:szCs w:val="28"/>
              </w:rPr>
            </w:pPr>
            <w:r w:rsidRPr="00520861">
              <w:rPr>
                <w:sz w:val="28"/>
                <w:szCs w:val="28"/>
              </w:rPr>
              <w:t>2,20</w:t>
            </w:r>
            <w:r w:rsidRPr="00520861">
              <w:rPr>
                <w:rFonts w:eastAsia="Calibri"/>
                <w:sz w:val="28"/>
                <w:szCs w:val="28"/>
              </w:rPr>
              <w:t>±</w:t>
            </w:r>
            <w:r w:rsidRPr="00520861">
              <w:rPr>
                <w:sz w:val="28"/>
                <w:szCs w:val="28"/>
              </w:rPr>
              <w:t>0,26</w:t>
            </w:r>
          </w:p>
        </w:tc>
        <w:tc>
          <w:tcPr>
            <w:tcW w:w="1903" w:type="dxa"/>
            <w:tcBorders>
              <w:top w:val="single" w:sz="4" w:space="0" w:color="auto"/>
              <w:left w:val="single" w:sz="4" w:space="0" w:color="auto"/>
              <w:bottom w:val="single" w:sz="4" w:space="0" w:color="auto"/>
              <w:right w:val="single" w:sz="4" w:space="0" w:color="auto"/>
            </w:tcBorders>
            <w:noWrap/>
            <w:hideMark/>
          </w:tcPr>
          <w:p w14:paraId="09BC0168" w14:textId="77777777" w:rsidR="00CF641C" w:rsidRPr="00520861" w:rsidRDefault="00CF641C" w:rsidP="00292D2E">
            <w:pPr>
              <w:widowControl w:val="0"/>
              <w:spacing w:line="360" w:lineRule="auto"/>
              <w:jc w:val="center"/>
              <w:rPr>
                <w:sz w:val="28"/>
                <w:szCs w:val="28"/>
              </w:rPr>
            </w:pPr>
            <w:r w:rsidRPr="00520861">
              <w:rPr>
                <w:sz w:val="28"/>
                <w:szCs w:val="28"/>
              </w:rPr>
              <w:t>4,80</w:t>
            </w:r>
            <w:r w:rsidRPr="00520861">
              <w:rPr>
                <w:rFonts w:eastAsia="Calibri"/>
                <w:sz w:val="28"/>
                <w:szCs w:val="28"/>
              </w:rPr>
              <w:t>±</w:t>
            </w:r>
            <w:r w:rsidRPr="00520861">
              <w:rPr>
                <w:sz w:val="28"/>
                <w:szCs w:val="28"/>
              </w:rPr>
              <w:t>0,36</w:t>
            </w:r>
          </w:p>
        </w:tc>
        <w:tc>
          <w:tcPr>
            <w:tcW w:w="1903" w:type="dxa"/>
            <w:tcBorders>
              <w:top w:val="single" w:sz="4" w:space="0" w:color="auto"/>
              <w:left w:val="single" w:sz="4" w:space="0" w:color="auto"/>
              <w:bottom w:val="single" w:sz="4" w:space="0" w:color="auto"/>
              <w:right w:val="single" w:sz="4" w:space="0" w:color="auto"/>
            </w:tcBorders>
            <w:noWrap/>
            <w:hideMark/>
          </w:tcPr>
          <w:p w14:paraId="0C8EAB95" w14:textId="77777777" w:rsidR="00CF641C" w:rsidRPr="00520861" w:rsidRDefault="00CF641C" w:rsidP="00292D2E">
            <w:pPr>
              <w:widowControl w:val="0"/>
              <w:spacing w:line="360" w:lineRule="auto"/>
              <w:jc w:val="center"/>
              <w:rPr>
                <w:sz w:val="28"/>
                <w:szCs w:val="28"/>
              </w:rPr>
            </w:pPr>
            <w:r w:rsidRPr="00520861">
              <w:rPr>
                <w:sz w:val="28"/>
                <w:szCs w:val="28"/>
              </w:rPr>
              <w:t>4,71</w:t>
            </w:r>
            <w:r w:rsidRPr="00520861">
              <w:rPr>
                <w:rFonts w:eastAsia="Calibri"/>
                <w:sz w:val="28"/>
                <w:szCs w:val="28"/>
              </w:rPr>
              <w:t>±</w:t>
            </w:r>
            <w:r w:rsidRPr="00520861">
              <w:rPr>
                <w:sz w:val="28"/>
                <w:szCs w:val="28"/>
              </w:rPr>
              <w:t>0,40</w:t>
            </w:r>
          </w:p>
        </w:tc>
      </w:tr>
      <w:tr w:rsidR="00CF641C" w:rsidRPr="00520861" w14:paraId="2A7B715F" w14:textId="77777777" w:rsidTr="00292D2E">
        <w:trPr>
          <w:trHeight w:val="300"/>
        </w:trPr>
        <w:tc>
          <w:tcPr>
            <w:tcW w:w="1281" w:type="dxa"/>
            <w:tcBorders>
              <w:top w:val="single" w:sz="4" w:space="0" w:color="auto"/>
              <w:left w:val="single" w:sz="4" w:space="0" w:color="auto"/>
              <w:bottom w:val="single" w:sz="4" w:space="0" w:color="auto"/>
              <w:right w:val="single" w:sz="4" w:space="0" w:color="auto"/>
            </w:tcBorders>
            <w:hideMark/>
          </w:tcPr>
          <w:p w14:paraId="6D592EEE"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1902" w:type="dxa"/>
            <w:tcBorders>
              <w:top w:val="single" w:sz="4" w:space="0" w:color="auto"/>
              <w:left w:val="single" w:sz="4" w:space="0" w:color="auto"/>
              <w:bottom w:val="single" w:sz="4" w:space="0" w:color="auto"/>
              <w:right w:val="single" w:sz="4" w:space="0" w:color="auto"/>
            </w:tcBorders>
            <w:noWrap/>
            <w:hideMark/>
          </w:tcPr>
          <w:p w14:paraId="116A494A" w14:textId="77777777" w:rsidR="00CF641C" w:rsidRPr="00520861" w:rsidRDefault="00CF641C" w:rsidP="00292D2E">
            <w:pPr>
              <w:widowControl w:val="0"/>
              <w:spacing w:line="360" w:lineRule="auto"/>
              <w:jc w:val="center"/>
              <w:rPr>
                <w:sz w:val="28"/>
                <w:szCs w:val="28"/>
              </w:rPr>
            </w:pPr>
            <w:r w:rsidRPr="00520861">
              <w:rPr>
                <w:sz w:val="28"/>
                <w:szCs w:val="28"/>
              </w:rPr>
              <w:t>3,48</w:t>
            </w:r>
          </w:p>
        </w:tc>
        <w:tc>
          <w:tcPr>
            <w:tcW w:w="1903" w:type="dxa"/>
            <w:tcBorders>
              <w:top w:val="single" w:sz="4" w:space="0" w:color="auto"/>
              <w:left w:val="single" w:sz="4" w:space="0" w:color="auto"/>
              <w:bottom w:val="single" w:sz="4" w:space="0" w:color="auto"/>
              <w:right w:val="single" w:sz="4" w:space="0" w:color="auto"/>
            </w:tcBorders>
            <w:noWrap/>
            <w:hideMark/>
          </w:tcPr>
          <w:p w14:paraId="358A53DB" w14:textId="77777777" w:rsidR="00CF641C" w:rsidRPr="00520861" w:rsidRDefault="00CF641C" w:rsidP="00292D2E">
            <w:pPr>
              <w:widowControl w:val="0"/>
              <w:spacing w:line="360" w:lineRule="auto"/>
              <w:jc w:val="center"/>
              <w:rPr>
                <w:sz w:val="28"/>
                <w:szCs w:val="28"/>
              </w:rPr>
            </w:pPr>
            <w:r w:rsidRPr="00520861">
              <w:rPr>
                <w:sz w:val="28"/>
                <w:szCs w:val="28"/>
              </w:rPr>
              <w:t>2,00</w:t>
            </w:r>
          </w:p>
        </w:tc>
        <w:tc>
          <w:tcPr>
            <w:tcW w:w="1903" w:type="dxa"/>
            <w:tcBorders>
              <w:top w:val="single" w:sz="4" w:space="0" w:color="auto"/>
              <w:left w:val="single" w:sz="4" w:space="0" w:color="auto"/>
              <w:bottom w:val="single" w:sz="4" w:space="0" w:color="auto"/>
              <w:right w:val="single" w:sz="4" w:space="0" w:color="auto"/>
            </w:tcBorders>
            <w:noWrap/>
            <w:hideMark/>
          </w:tcPr>
          <w:p w14:paraId="16BFC656" w14:textId="77777777" w:rsidR="00CF641C" w:rsidRPr="00520861" w:rsidRDefault="00CF641C" w:rsidP="00292D2E">
            <w:pPr>
              <w:widowControl w:val="0"/>
              <w:spacing w:line="360" w:lineRule="auto"/>
              <w:jc w:val="center"/>
              <w:rPr>
                <w:sz w:val="28"/>
                <w:szCs w:val="28"/>
              </w:rPr>
            </w:pPr>
            <w:r w:rsidRPr="00520861">
              <w:rPr>
                <w:sz w:val="28"/>
                <w:szCs w:val="28"/>
              </w:rPr>
              <w:t>3,26* (</w:t>
            </w:r>
            <w:r w:rsidRPr="00520861">
              <w:rPr>
                <w:i/>
                <w:sz w:val="28"/>
                <w:szCs w:val="28"/>
              </w:rPr>
              <w:t>p</w:t>
            </w:r>
            <w:r w:rsidRPr="00520861">
              <w:rPr>
                <w:sz w:val="28"/>
                <w:szCs w:val="28"/>
              </w:rPr>
              <w:t>=0,00036)</w:t>
            </w:r>
          </w:p>
        </w:tc>
        <w:tc>
          <w:tcPr>
            <w:tcW w:w="1903" w:type="dxa"/>
            <w:tcBorders>
              <w:top w:val="single" w:sz="4" w:space="0" w:color="auto"/>
              <w:left w:val="single" w:sz="4" w:space="0" w:color="auto"/>
              <w:bottom w:val="single" w:sz="4" w:space="0" w:color="auto"/>
              <w:right w:val="single" w:sz="4" w:space="0" w:color="auto"/>
            </w:tcBorders>
            <w:noWrap/>
            <w:hideMark/>
          </w:tcPr>
          <w:p w14:paraId="5628998C" w14:textId="77777777" w:rsidR="00CF641C" w:rsidRPr="00520861" w:rsidRDefault="00CF641C" w:rsidP="00292D2E">
            <w:pPr>
              <w:widowControl w:val="0"/>
              <w:spacing w:line="360" w:lineRule="auto"/>
              <w:jc w:val="center"/>
              <w:rPr>
                <w:sz w:val="28"/>
                <w:szCs w:val="28"/>
              </w:rPr>
            </w:pPr>
            <w:r w:rsidRPr="00520861">
              <w:rPr>
                <w:sz w:val="28"/>
                <w:szCs w:val="28"/>
              </w:rPr>
              <w:t>1,33* (</w:t>
            </w:r>
            <w:r w:rsidRPr="00520861">
              <w:rPr>
                <w:i/>
                <w:sz w:val="28"/>
                <w:szCs w:val="28"/>
              </w:rPr>
              <w:t>p</w:t>
            </w:r>
            <w:r w:rsidRPr="00520861">
              <w:rPr>
                <w:sz w:val="28"/>
                <w:szCs w:val="28"/>
              </w:rPr>
              <w:t>=0,02499)</w:t>
            </w:r>
          </w:p>
        </w:tc>
        <w:tc>
          <w:tcPr>
            <w:tcW w:w="1903" w:type="dxa"/>
            <w:tcBorders>
              <w:top w:val="single" w:sz="4" w:space="0" w:color="auto"/>
              <w:left w:val="single" w:sz="4" w:space="0" w:color="auto"/>
              <w:bottom w:val="single" w:sz="4" w:space="0" w:color="auto"/>
              <w:right w:val="single" w:sz="4" w:space="0" w:color="auto"/>
            </w:tcBorders>
            <w:noWrap/>
            <w:hideMark/>
          </w:tcPr>
          <w:p w14:paraId="6E97748F" w14:textId="77777777" w:rsidR="00CF641C" w:rsidRPr="00520861" w:rsidRDefault="00CF641C" w:rsidP="00292D2E">
            <w:pPr>
              <w:widowControl w:val="0"/>
              <w:spacing w:line="360" w:lineRule="auto"/>
              <w:jc w:val="center"/>
              <w:rPr>
                <w:sz w:val="28"/>
                <w:szCs w:val="28"/>
              </w:rPr>
            </w:pPr>
            <w:r w:rsidRPr="00520861">
              <w:rPr>
                <w:sz w:val="28"/>
                <w:szCs w:val="28"/>
              </w:rPr>
              <w:t>1,96</w:t>
            </w:r>
          </w:p>
        </w:tc>
        <w:tc>
          <w:tcPr>
            <w:tcW w:w="1903" w:type="dxa"/>
            <w:tcBorders>
              <w:top w:val="single" w:sz="4" w:space="0" w:color="auto"/>
              <w:left w:val="single" w:sz="4" w:space="0" w:color="auto"/>
              <w:bottom w:val="single" w:sz="4" w:space="0" w:color="auto"/>
              <w:right w:val="single" w:sz="4" w:space="0" w:color="auto"/>
            </w:tcBorders>
            <w:noWrap/>
            <w:hideMark/>
          </w:tcPr>
          <w:p w14:paraId="435F96F2" w14:textId="77777777" w:rsidR="00CF641C" w:rsidRPr="00520861" w:rsidRDefault="00CF641C" w:rsidP="00292D2E">
            <w:pPr>
              <w:widowControl w:val="0"/>
              <w:spacing w:line="360" w:lineRule="auto"/>
              <w:jc w:val="center"/>
              <w:rPr>
                <w:sz w:val="28"/>
                <w:szCs w:val="28"/>
              </w:rPr>
            </w:pPr>
            <w:r w:rsidRPr="00520861">
              <w:rPr>
                <w:sz w:val="28"/>
                <w:szCs w:val="28"/>
              </w:rPr>
              <w:t>4,74</w:t>
            </w:r>
          </w:p>
        </w:tc>
        <w:tc>
          <w:tcPr>
            <w:tcW w:w="1903" w:type="dxa"/>
            <w:tcBorders>
              <w:top w:val="single" w:sz="4" w:space="0" w:color="auto"/>
              <w:left w:val="single" w:sz="4" w:space="0" w:color="auto"/>
              <w:bottom w:val="single" w:sz="4" w:space="0" w:color="auto"/>
              <w:right w:val="single" w:sz="4" w:space="0" w:color="auto"/>
            </w:tcBorders>
            <w:noWrap/>
            <w:hideMark/>
          </w:tcPr>
          <w:p w14:paraId="452EABA3" w14:textId="77777777" w:rsidR="00CF641C" w:rsidRPr="00520861" w:rsidRDefault="00CF641C" w:rsidP="00292D2E">
            <w:pPr>
              <w:widowControl w:val="0"/>
              <w:spacing w:line="360" w:lineRule="auto"/>
              <w:jc w:val="center"/>
              <w:rPr>
                <w:sz w:val="28"/>
                <w:szCs w:val="28"/>
              </w:rPr>
            </w:pPr>
            <w:r w:rsidRPr="00520861">
              <w:rPr>
                <w:sz w:val="28"/>
                <w:szCs w:val="28"/>
              </w:rPr>
              <w:t>4,44</w:t>
            </w:r>
          </w:p>
        </w:tc>
      </w:tr>
      <w:tr w:rsidR="00CF641C" w:rsidRPr="00520861" w14:paraId="34F68E8F" w14:textId="77777777" w:rsidTr="00292D2E">
        <w:trPr>
          <w:trHeight w:val="300"/>
        </w:trPr>
        <w:tc>
          <w:tcPr>
            <w:tcW w:w="1281" w:type="dxa"/>
            <w:tcBorders>
              <w:top w:val="single" w:sz="4" w:space="0" w:color="auto"/>
              <w:left w:val="single" w:sz="4" w:space="0" w:color="auto"/>
              <w:bottom w:val="single" w:sz="4" w:space="0" w:color="auto"/>
              <w:right w:val="single" w:sz="4" w:space="0" w:color="auto"/>
            </w:tcBorders>
            <w:hideMark/>
          </w:tcPr>
          <w:p w14:paraId="5CB9053A"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w:t>
            </w:r>
          </w:p>
        </w:tc>
        <w:tc>
          <w:tcPr>
            <w:tcW w:w="1902" w:type="dxa"/>
            <w:tcBorders>
              <w:top w:val="single" w:sz="4" w:space="0" w:color="auto"/>
              <w:left w:val="single" w:sz="4" w:space="0" w:color="auto"/>
              <w:bottom w:val="single" w:sz="4" w:space="0" w:color="auto"/>
              <w:right w:val="single" w:sz="4" w:space="0" w:color="auto"/>
            </w:tcBorders>
            <w:noWrap/>
            <w:hideMark/>
          </w:tcPr>
          <w:p w14:paraId="410A795B" w14:textId="77777777" w:rsidR="00CF641C" w:rsidRPr="00520861" w:rsidRDefault="00CF641C" w:rsidP="00292D2E">
            <w:pPr>
              <w:widowControl w:val="0"/>
              <w:spacing w:line="360" w:lineRule="auto"/>
              <w:jc w:val="center"/>
              <w:rPr>
                <w:sz w:val="28"/>
                <w:szCs w:val="28"/>
              </w:rPr>
            </w:pPr>
            <w:r w:rsidRPr="00520861">
              <w:rPr>
                <w:sz w:val="28"/>
                <w:szCs w:val="28"/>
              </w:rPr>
              <w:t>2,56</w:t>
            </w:r>
          </w:p>
        </w:tc>
        <w:tc>
          <w:tcPr>
            <w:tcW w:w="1903" w:type="dxa"/>
            <w:tcBorders>
              <w:top w:val="single" w:sz="4" w:space="0" w:color="auto"/>
              <w:left w:val="single" w:sz="4" w:space="0" w:color="auto"/>
              <w:bottom w:val="single" w:sz="4" w:space="0" w:color="auto"/>
              <w:right w:val="single" w:sz="4" w:space="0" w:color="auto"/>
            </w:tcBorders>
            <w:noWrap/>
            <w:hideMark/>
          </w:tcPr>
          <w:p w14:paraId="49DE787E" w14:textId="77777777" w:rsidR="00CF641C" w:rsidRPr="00520861" w:rsidRDefault="00CF641C" w:rsidP="00292D2E">
            <w:pPr>
              <w:widowControl w:val="0"/>
              <w:spacing w:line="360" w:lineRule="auto"/>
              <w:jc w:val="center"/>
              <w:rPr>
                <w:sz w:val="28"/>
                <w:szCs w:val="28"/>
              </w:rPr>
            </w:pPr>
            <w:r w:rsidRPr="00520861">
              <w:rPr>
                <w:sz w:val="28"/>
                <w:szCs w:val="28"/>
              </w:rPr>
              <w:t>1,72</w:t>
            </w:r>
          </w:p>
        </w:tc>
        <w:tc>
          <w:tcPr>
            <w:tcW w:w="1903" w:type="dxa"/>
            <w:tcBorders>
              <w:top w:val="single" w:sz="4" w:space="0" w:color="auto"/>
              <w:left w:val="single" w:sz="4" w:space="0" w:color="auto"/>
              <w:bottom w:val="single" w:sz="4" w:space="0" w:color="auto"/>
              <w:right w:val="single" w:sz="4" w:space="0" w:color="auto"/>
            </w:tcBorders>
            <w:noWrap/>
            <w:hideMark/>
          </w:tcPr>
          <w:p w14:paraId="76C14AD8" w14:textId="77777777" w:rsidR="00CF641C" w:rsidRPr="00520861" w:rsidRDefault="00CF641C" w:rsidP="00292D2E">
            <w:pPr>
              <w:widowControl w:val="0"/>
              <w:spacing w:line="360" w:lineRule="auto"/>
              <w:jc w:val="center"/>
              <w:rPr>
                <w:sz w:val="28"/>
                <w:szCs w:val="28"/>
              </w:rPr>
            </w:pPr>
            <w:r w:rsidRPr="00520861">
              <w:rPr>
                <w:sz w:val="28"/>
                <w:szCs w:val="28"/>
              </w:rPr>
              <w:t>3,39*</w:t>
            </w:r>
          </w:p>
          <w:p w14:paraId="70612ED6" w14:textId="77777777" w:rsidR="00CF641C" w:rsidRPr="00520861" w:rsidRDefault="00CF641C"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=0,00289)</w:t>
            </w:r>
          </w:p>
        </w:tc>
        <w:tc>
          <w:tcPr>
            <w:tcW w:w="1903" w:type="dxa"/>
            <w:tcBorders>
              <w:top w:val="single" w:sz="4" w:space="0" w:color="auto"/>
              <w:left w:val="single" w:sz="4" w:space="0" w:color="auto"/>
              <w:bottom w:val="single" w:sz="4" w:space="0" w:color="auto"/>
              <w:right w:val="single" w:sz="4" w:space="0" w:color="auto"/>
            </w:tcBorders>
            <w:noWrap/>
            <w:hideMark/>
          </w:tcPr>
          <w:p w14:paraId="5B4EB702" w14:textId="77777777" w:rsidR="00CF641C" w:rsidRPr="00520861" w:rsidRDefault="00CF641C" w:rsidP="00292D2E">
            <w:pPr>
              <w:widowControl w:val="0"/>
              <w:spacing w:line="360" w:lineRule="auto"/>
              <w:jc w:val="center"/>
              <w:rPr>
                <w:sz w:val="28"/>
                <w:szCs w:val="28"/>
              </w:rPr>
            </w:pPr>
            <w:r w:rsidRPr="00520861">
              <w:rPr>
                <w:sz w:val="28"/>
                <w:szCs w:val="28"/>
              </w:rPr>
              <w:t>2,00*</w:t>
            </w:r>
          </w:p>
          <w:p w14:paraId="75CFBDE3" w14:textId="77777777" w:rsidR="00CF641C" w:rsidRPr="00520861" w:rsidRDefault="00CF641C"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=0,00381)</w:t>
            </w:r>
          </w:p>
        </w:tc>
        <w:tc>
          <w:tcPr>
            <w:tcW w:w="1903" w:type="dxa"/>
            <w:tcBorders>
              <w:top w:val="single" w:sz="4" w:space="0" w:color="auto"/>
              <w:left w:val="single" w:sz="4" w:space="0" w:color="auto"/>
              <w:bottom w:val="single" w:sz="4" w:space="0" w:color="auto"/>
              <w:right w:val="single" w:sz="4" w:space="0" w:color="auto"/>
            </w:tcBorders>
            <w:noWrap/>
            <w:hideMark/>
          </w:tcPr>
          <w:p w14:paraId="3DB49877" w14:textId="77777777" w:rsidR="00CF641C" w:rsidRPr="00520861" w:rsidRDefault="00CF641C" w:rsidP="00292D2E">
            <w:pPr>
              <w:widowControl w:val="0"/>
              <w:spacing w:line="360" w:lineRule="auto"/>
              <w:jc w:val="center"/>
              <w:rPr>
                <w:sz w:val="28"/>
                <w:szCs w:val="28"/>
              </w:rPr>
            </w:pPr>
            <w:r w:rsidRPr="00520861">
              <w:rPr>
                <w:sz w:val="28"/>
                <w:szCs w:val="28"/>
              </w:rPr>
              <w:t>2,28</w:t>
            </w:r>
          </w:p>
        </w:tc>
        <w:tc>
          <w:tcPr>
            <w:tcW w:w="1903" w:type="dxa"/>
            <w:tcBorders>
              <w:top w:val="single" w:sz="4" w:space="0" w:color="auto"/>
              <w:left w:val="single" w:sz="4" w:space="0" w:color="auto"/>
              <w:bottom w:val="single" w:sz="4" w:space="0" w:color="auto"/>
              <w:right w:val="single" w:sz="4" w:space="0" w:color="auto"/>
            </w:tcBorders>
            <w:noWrap/>
            <w:hideMark/>
          </w:tcPr>
          <w:p w14:paraId="5449CF64" w14:textId="77777777" w:rsidR="00CF641C" w:rsidRPr="00520861" w:rsidRDefault="00CF641C" w:rsidP="00292D2E">
            <w:pPr>
              <w:widowControl w:val="0"/>
              <w:spacing w:line="360" w:lineRule="auto"/>
              <w:jc w:val="center"/>
              <w:rPr>
                <w:sz w:val="28"/>
                <w:szCs w:val="28"/>
              </w:rPr>
            </w:pPr>
            <w:r w:rsidRPr="00520861">
              <w:rPr>
                <w:sz w:val="28"/>
                <w:szCs w:val="28"/>
              </w:rPr>
              <w:t>4,83</w:t>
            </w:r>
          </w:p>
        </w:tc>
        <w:tc>
          <w:tcPr>
            <w:tcW w:w="1903" w:type="dxa"/>
            <w:tcBorders>
              <w:top w:val="single" w:sz="4" w:space="0" w:color="auto"/>
              <w:left w:val="single" w:sz="4" w:space="0" w:color="auto"/>
              <w:bottom w:val="single" w:sz="4" w:space="0" w:color="auto"/>
              <w:right w:val="single" w:sz="4" w:space="0" w:color="auto"/>
            </w:tcBorders>
            <w:noWrap/>
            <w:hideMark/>
          </w:tcPr>
          <w:p w14:paraId="2EA61814" w14:textId="77777777" w:rsidR="00CF641C" w:rsidRPr="00520861" w:rsidRDefault="00CF641C" w:rsidP="00292D2E">
            <w:pPr>
              <w:widowControl w:val="0"/>
              <w:spacing w:line="360" w:lineRule="auto"/>
              <w:jc w:val="center"/>
              <w:rPr>
                <w:sz w:val="28"/>
                <w:szCs w:val="28"/>
              </w:rPr>
            </w:pPr>
            <w:r w:rsidRPr="00520861">
              <w:rPr>
                <w:sz w:val="28"/>
                <w:szCs w:val="28"/>
              </w:rPr>
              <w:t>4,72</w:t>
            </w:r>
          </w:p>
        </w:tc>
      </w:tr>
      <w:tr w:rsidR="00CF641C" w:rsidRPr="00520861" w14:paraId="3D93D070" w14:textId="77777777" w:rsidTr="00292D2E">
        <w:trPr>
          <w:trHeight w:val="300"/>
        </w:trPr>
        <w:tc>
          <w:tcPr>
            <w:tcW w:w="1281" w:type="dxa"/>
            <w:tcBorders>
              <w:top w:val="single" w:sz="4" w:space="0" w:color="auto"/>
              <w:left w:val="single" w:sz="4" w:space="0" w:color="auto"/>
              <w:bottom w:val="single" w:sz="4" w:space="0" w:color="auto"/>
              <w:right w:val="single" w:sz="4" w:space="0" w:color="auto"/>
            </w:tcBorders>
            <w:hideMark/>
          </w:tcPr>
          <w:p w14:paraId="71C7CEE0"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w:t>
            </w:r>
          </w:p>
        </w:tc>
        <w:tc>
          <w:tcPr>
            <w:tcW w:w="1902" w:type="dxa"/>
            <w:tcBorders>
              <w:top w:val="single" w:sz="4" w:space="0" w:color="auto"/>
              <w:left w:val="single" w:sz="4" w:space="0" w:color="auto"/>
              <w:bottom w:val="single" w:sz="4" w:space="0" w:color="auto"/>
              <w:right w:val="single" w:sz="4" w:space="0" w:color="auto"/>
            </w:tcBorders>
            <w:noWrap/>
            <w:hideMark/>
          </w:tcPr>
          <w:p w14:paraId="195859CB" w14:textId="77777777" w:rsidR="00CF641C" w:rsidRPr="00520861" w:rsidRDefault="00CF641C" w:rsidP="00292D2E">
            <w:pPr>
              <w:widowControl w:val="0"/>
              <w:spacing w:line="360" w:lineRule="auto"/>
              <w:jc w:val="center"/>
              <w:rPr>
                <w:sz w:val="28"/>
                <w:szCs w:val="28"/>
              </w:rPr>
            </w:pPr>
            <w:r w:rsidRPr="00520861">
              <w:rPr>
                <w:sz w:val="28"/>
                <w:szCs w:val="28"/>
              </w:rPr>
              <w:t>2,55</w:t>
            </w:r>
          </w:p>
        </w:tc>
        <w:tc>
          <w:tcPr>
            <w:tcW w:w="1903" w:type="dxa"/>
            <w:tcBorders>
              <w:top w:val="single" w:sz="4" w:space="0" w:color="auto"/>
              <w:left w:val="single" w:sz="4" w:space="0" w:color="auto"/>
              <w:bottom w:val="single" w:sz="4" w:space="0" w:color="auto"/>
              <w:right w:val="single" w:sz="4" w:space="0" w:color="auto"/>
            </w:tcBorders>
            <w:noWrap/>
            <w:hideMark/>
          </w:tcPr>
          <w:p w14:paraId="6D79824E" w14:textId="77777777" w:rsidR="00CF641C" w:rsidRPr="00520861" w:rsidRDefault="00CF641C" w:rsidP="00292D2E">
            <w:pPr>
              <w:widowControl w:val="0"/>
              <w:spacing w:line="360" w:lineRule="auto"/>
              <w:jc w:val="center"/>
              <w:rPr>
                <w:sz w:val="28"/>
                <w:szCs w:val="28"/>
              </w:rPr>
            </w:pPr>
            <w:r w:rsidRPr="00520861">
              <w:rPr>
                <w:sz w:val="28"/>
                <w:szCs w:val="28"/>
              </w:rPr>
              <w:t>1,95</w:t>
            </w:r>
          </w:p>
        </w:tc>
        <w:tc>
          <w:tcPr>
            <w:tcW w:w="1903" w:type="dxa"/>
            <w:tcBorders>
              <w:top w:val="single" w:sz="4" w:space="0" w:color="auto"/>
              <w:left w:val="single" w:sz="4" w:space="0" w:color="auto"/>
              <w:bottom w:val="single" w:sz="4" w:space="0" w:color="auto"/>
              <w:right w:val="single" w:sz="4" w:space="0" w:color="auto"/>
            </w:tcBorders>
            <w:noWrap/>
            <w:hideMark/>
          </w:tcPr>
          <w:p w14:paraId="6988E810" w14:textId="77777777" w:rsidR="00CF641C" w:rsidRPr="00520861" w:rsidRDefault="00CF641C" w:rsidP="00292D2E">
            <w:pPr>
              <w:widowControl w:val="0"/>
              <w:spacing w:line="360" w:lineRule="auto"/>
              <w:jc w:val="center"/>
              <w:rPr>
                <w:sz w:val="28"/>
                <w:szCs w:val="28"/>
              </w:rPr>
            </w:pPr>
            <w:r w:rsidRPr="00520861">
              <w:rPr>
                <w:sz w:val="28"/>
                <w:szCs w:val="28"/>
              </w:rPr>
              <w:t>2,50</w:t>
            </w:r>
          </w:p>
        </w:tc>
        <w:tc>
          <w:tcPr>
            <w:tcW w:w="1903" w:type="dxa"/>
            <w:tcBorders>
              <w:top w:val="single" w:sz="4" w:space="0" w:color="auto"/>
              <w:left w:val="single" w:sz="4" w:space="0" w:color="auto"/>
              <w:bottom w:val="single" w:sz="4" w:space="0" w:color="auto"/>
              <w:right w:val="single" w:sz="4" w:space="0" w:color="auto"/>
            </w:tcBorders>
            <w:noWrap/>
            <w:hideMark/>
          </w:tcPr>
          <w:p w14:paraId="443BA639" w14:textId="77777777" w:rsidR="00CF641C" w:rsidRPr="00520861" w:rsidRDefault="00CF641C" w:rsidP="00292D2E">
            <w:pPr>
              <w:widowControl w:val="0"/>
              <w:spacing w:line="360" w:lineRule="auto"/>
              <w:jc w:val="center"/>
              <w:rPr>
                <w:sz w:val="28"/>
                <w:szCs w:val="28"/>
              </w:rPr>
            </w:pPr>
            <w:r w:rsidRPr="00520861">
              <w:rPr>
                <w:sz w:val="28"/>
                <w:szCs w:val="28"/>
              </w:rPr>
              <w:t>1,41*</w:t>
            </w:r>
          </w:p>
          <w:p w14:paraId="3F64AE93" w14:textId="77777777" w:rsidR="00CF641C" w:rsidRPr="00520861" w:rsidRDefault="00CF641C"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=0,03003)</w:t>
            </w:r>
          </w:p>
        </w:tc>
        <w:tc>
          <w:tcPr>
            <w:tcW w:w="1903" w:type="dxa"/>
            <w:tcBorders>
              <w:top w:val="single" w:sz="4" w:space="0" w:color="auto"/>
              <w:left w:val="single" w:sz="4" w:space="0" w:color="auto"/>
              <w:bottom w:val="single" w:sz="4" w:space="0" w:color="auto"/>
              <w:right w:val="single" w:sz="4" w:space="0" w:color="auto"/>
            </w:tcBorders>
            <w:noWrap/>
            <w:hideMark/>
          </w:tcPr>
          <w:p w14:paraId="148A1D63" w14:textId="77777777" w:rsidR="00CF641C" w:rsidRPr="00520861" w:rsidRDefault="00CF641C" w:rsidP="00292D2E">
            <w:pPr>
              <w:widowControl w:val="0"/>
              <w:spacing w:line="360" w:lineRule="auto"/>
              <w:jc w:val="center"/>
              <w:rPr>
                <w:sz w:val="28"/>
                <w:szCs w:val="28"/>
              </w:rPr>
            </w:pPr>
            <w:r w:rsidRPr="00520861">
              <w:rPr>
                <w:sz w:val="28"/>
                <w:szCs w:val="28"/>
              </w:rPr>
              <w:t>2,00</w:t>
            </w:r>
          </w:p>
        </w:tc>
        <w:tc>
          <w:tcPr>
            <w:tcW w:w="1903" w:type="dxa"/>
            <w:tcBorders>
              <w:top w:val="single" w:sz="4" w:space="0" w:color="auto"/>
              <w:left w:val="single" w:sz="4" w:space="0" w:color="auto"/>
              <w:bottom w:val="single" w:sz="4" w:space="0" w:color="auto"/>
              <w:right w:val="single" w:sz="4" w:space="0" w:color="auto"/>
            </w:tcBorders>
            <w:noWrap/>
            <w:hideMark/>
          </w:tcPr>
          <w:p w14:paraId="11962C98" w14:textId="77777777" w:rsidR="00CF641C" w:rsidRPr="00520861" w:rsidRDefault="00CF641C" w:rsidP="00292D2E">
            <w:pPr>
              <w:widowControl w:val="0"/>
              <w:spacing w:line="360" w:lineRule="auto"/>
              <w:jc w:val="center"/>
              <w:rPr>
                <w:sz w:val="28"/>
                <w:szCs w:val="28"/>
              </w:rPr>
            </w:pPr>
            <w:r w:rsidRPr="00520861">
              <w:rPr>
                <w:sz w:val="28"/>
                <w:szCs w:val="28"/>
              </w:rPr>
              <w:t>4,55</w:t>
            </w:r>
          </w:p>
        </w:tc>
        <w:tc>
          <w:tcPr>
            <w:tcW w:w="1903" w:type="dxa"/>
            <w:tcBorders>
              <w:top w:val="single" w:sz="4" w:space="0" w:color="auto"/>
              <w:left w:val="single" w:sz="4" w:space="0" w:color="auto"/>
              <w:bottom w:val="single" w:sz="4" w:space="0" w:color="auto"/>
              <w:right w:val="single" w:sz="4" w:space="0" w:color="auto"/>
            </w:tcBorders>
            <w:noWrap/>
            <w:hideMark/>
          </w:tcPr>
          <w:p w14:paraId="49397D96" w14:textId="77777777" w:rsidR="00CF641C" w:rsidRPr="00520861" w:rsidRDefault="00CF641C" w:rsidP="00292D2E">
            <w:pPr>
              <w:widowControl w:val="0"/>
              <w:spacing w:line="360" w:lineRule="auto"/>
              <w:jc w:val="center"/>
              <w:rPr>
                <w:sz w:val="28"/>
                <w:szCs w:val="28"/>
              </w:rPr>
            </w:pPr>
            <w:r w:rsidRPr="00520861">
              <w:rPr>
                <w:sz w:val="28"/>
                <w:szCs w:val="28"/>
              </w:rPr>
              <w:t>4,95</w:t>
            </w:r>
          </w:p>
        </w:tc>
      </w:tr>
      <w:tr w:rsidR="00CF641C" w:rsidRPr="00520861" w14:paraId="04C5345F" w14:textId="77777777" w:rsidTr="00292D2E">
        <w:trPr>
          <w:trHeight w:val="300"/>
        </w:trPr>
        <w:tc>
          <w:tcPr>
            <w:tcW w:w="1281" w:type="dxa"/>
            <w:tcBorders>
              <w:top w:val="single" w:sz="4" w:space="0" w:color="auto"/>
              <w:left w:val="single" w:sz="4" w:space="0" w:color="auto"/>
              <w:bottom w:val="single" w:sz="4" w:space="0" w:color="auto"/>
              <w:right w:val="single" w:sz="4" w:space="0" w:color="auto"/>
            </w:tcBorders>
            <w:hideMark/>
          </w:tcPr>
          <w:p w14:paraId="6AB03692"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w:t>
            </w:r>
          </w:p>
        </w:tc>
        <w:tc>
          <w:tcPr>
            <w:tcW w:w="1902" w:type="dxa"/>
            <w:tcBorders>
              <w:top w:val="single" w:sz="4" w:space="0" w:color="auto"/>
              <w:left w:val="single" w:sz="4" w:space="0" w:color="auto"/>
              <w:bottom w:val="single" w:sz="4" w:space="0" w:color="auto"/>
              <w:right w:val="single" w:sz="4" w:space="0" w:color="auto"/>
            </w:tcBorders>
            <w:noWrap/>
            <w:hideMark/>
          </w:tcPr>
          <w:p w14:paraId="052A6FBC" w14:textId="77777777" w:rsidR="00CF641C" w:rsidRPr="00520861" w:rsidRDefault="00CF641C" w:rsidP="00292D2E">
            <w:pPr>
              <w:widowControl w:val="0"/>
              <w:spacing w:line="360" w:lineRule="auto"/>
              <w:jc w:val="center"/>
              <w:rPr>
                <w:sz w:val="28"/>
                <w:szCs w:val="28"/>
              </w:rPr>
            </w:pPr>
            <w:r w:rsidRPr="00520861">
              <w:rPr>
                <w:sz w:val="28"/>
                <w:szCs w:val="28"/>
              </w:rPr>
              <w:t>3,50</w:t>
            </w:r>
          </w:p>
        </w:tc>
        <w:tc>
          <w:tcPr>
            <w:tcW w:w="1903" w:type="dxa"/>
            <w:tcBorders>
              <w:top w:val="single" w:sz="4" w:space="0" w:color="auto"/>
              <w:left w:val="single" w:sz="4" w:space="0" w:color="auto"/>
              <w:bottom w:val="single" w:sz="4" w:space="0" w:color="auto"/>
              <w:right w:val="single" w:sz="4" w:space="0" w:color="auto"/>
            </w:tcBorders>
            <w:noWrap/>
            <w:hideMark/>
          </w:tcPr>
          <w:p w14:paraId="480D39F7" w14:textId="77777777" w:rsidR="00CF641C" w:rsidRPr="00520861" w:rsidRDefault="00CF641C" w:rsidP="00292D2E">
            <w:pPr>
              <w:widowControl w:val="0"/>
              <w:spacing w:line="360" w:lineRule="auto"/>
              <w:jc w:val="center"/>
              <w:rPr>
                <w:sz w:val="28"/>
                <w:szCs w:val="28"/>
              </w:rPr>
            </w:pPr>
            <w:r w:rsidRPr="00520861">
              <w:rPr>
                <w:sz w:val="28"/>
                <w:szCs w:val="28"/>
              </w:rPr>
              <w:t>1,59</w:t>
            </w:r>
          </w:p>
        </w:tc>
        <w:tc>
          <w:tcPr>
            <w:tcW w:w="1903" w:type="dxa"/>
            <w:tcBorders>
              <w:top w:val="single" w:sz="4" w:space="0" w:color="auto"/>
              <w:left w:val="single" w:sz="4" w:space="0" w:color="auto"/>
              <w:bottom w:val="single" w:sz="4" w:space="0" w:color="auto"/>
              <w:right w:val="single" w:sz="4" w:space="0" w:color="auto"/>
            </w:tcBorders>
            <w:noWrap/>
            <w:hideMark/>
          </w:tcPr>
          <w:p w14:paraId="3E759B30" w14:textId="77777777" w:rsidR="00CF641C" w:rsidRPr="00520861" w:rsidRDefault="00CF641C" w:rsidP="00292D2E">
            <w:pPr>
              <w:widowControl w:val="0"/>
              <w:spacing w:line="360" w:lineRule="auto"/>
              <w:jc w:val="center"/>
              <w:rPr>
                <w:sz w:val="28"/>
                <w:szCs w:val="28"/>
              </w:rPr>
            </w:pPr>
            <w:r w:rsidRPr="00520861">
              <w:rPr>
                <w:sz w:val="28"/>
                <w:szCs w:val="28"/>
              </w:rPr>
              <w:t>2,95*</w:t>
            </w:r>
          </w:p>
          <w:p w14:paraId="40CF4DD7" w14:textId="77777777" w:rsidR="00CF641C" w:rsidRPr="00520861" w:rsidRDefault="00CF641C"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=0,00000)</w:t>
            </w:r>
          </w:p>
        </w:tc>
        <w:tc>
          <w:tcPr>
            <w:tcW w:w="1903" w:type="dxa"/>
            <w:tcBorders>
              <w:top w:val="single" w:sz="4" w:space="0" w:color="auto"/>
              <w:left w:val="single" w:sz="4" w:space="0" w:color="auto"/>
              <w:bottom w:val="single" w:sz="4" w:space="0" w:color="auto"/>
              <w:right w:val="single" w:sz="4" w:space="0" w:color="auto"/>
            </w:tcBorders>
            <w:noWrap/>
            <w:hideMark/>
          </w:tcPr>
          <w:p w14:paraId="6BE9FCEE" w14:textId="77777777" w:rsidR="00CF641C" w:rsidRPr="00520861" w:rsidRDefault="00CF641C" w:rsidP="00292D2E">
            <w:pPr>
              <w:widowControl w:val="0"/>
              <w:spacing w:line="360" w:lineRule="auto"/>
              <w:jc w:val="center"/>
              <w:rPr>
                <w:sz w:val="28"/>
                <w:szCs w:val="28"/>
              </w:rPr>
            </w:pPr>
            <w:r w:rsidRPr="00520861">
              <w:rPr>
                <w:sz w:val="28"/>
                <w:szCs w:val="28"/>
              </w:rPr>
              <w:t>1,70*</w:t>
            </w:r>
          </w:p>
          <w:p w14:paraId="0A992FC6" w14:textId="77777777" w:rsidR="00CF641C" w:rsidRPr="00520861" w:rsidRDefault="00CF641C"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=0,00001)</w:t>
            </w:r>
          </w:p>
        </w:tc>
        <w:tc>
          <w:tcPr>
            <w:tcW w:w="1903" w:type="dxa"/>
            <w:tcBorders>
              <w:top w:val="single" w:sz="4" w:space="0" w:color="auto"/>
              <w:left w:val="single" w:sz="4" w:space="0" w:color="auto"/>
              <w:bottom w:val="single" w:sz="4" w:space="0" w:color="auto"/>
              <w:right w:val="single" w:sz="4" w:space="0" w:color="auto"/>
            </w:tcBorders>
            <w:noWrap/>
            <w:hideMark/>
          </w:tcPr>
          <w:p w14:paraId="31CA7567" w14:textId="77777777" w:rsidR="00CF641C" w:rsidRPr="00520861" w:rsidRDefault="00CF641C" w:rsidP="00292D2E">
            <w:pPr>
              <w:widowControl w:val="0"/>
              <w:spacing w:line="360" w:lineRule="auto"/>
              <w:jc w:val="center"/>
              <w:rPr>
                <w:sz w:val="28"/>
                <w:szCs w:val="28"/>
              </w:rPr>
            </w:pPr>
            <w:r w:rsidRPr="00520861">
              <w:rPr>
                <w:sz w:val="28"/>
                <w:szCs w:val="28"/>
              </w:rPr>
              <w:t>2,41*</w:t>
            </w:r>
          </w:p>
          <w:p w14:paraId="3F06CC48" w14:textId="77777777" w:rsidR="00CF641C" w:rsidRPr="00520861" w:rsidRDefault="00CF641C"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=0,00043)</w:t>
            </w:r>
          </w:p>
        </w:tc>
        <w:tc>
          <w:tcPr>
            <w:tcW w:w="1903" w:type="dxa"/>
            <w:tcBorders>
              <w:top w:val="single" w:sz="4" w:space="0" w:color="auto"/>
              <w:left w:val="single" w:sz="4" w:space="0" w:color="auto"/>
              <w:bottom w:val="single" w:sz="4" w:space="0" w:color="auto"/>
              <w:right w:val="single" w:sz="4" w:space="0" w:color="auto"/>
            </w:tcBorders>
            <w:noWrap/>
            <w:hideMark/>
          </w:tcPr>
          <w:p w14:paraId="02D7B429" w14:textId="77777777" w:rsidR="00CF641C" w:rsidRPr="00520861" w:rsidRDefault="00CF641C" w:rsidP="00292D2E">
            <w:pPr>
              <w:widowControl w:val="0"/>
              <w:spacing w:line="360" w:lineRule="auto"/>
              <w:jc w:val="center"/>
              <w:rPr>
                <w:sz w:val="28"/>
                <w:szCs w:val="28"/>
              </w:rPr>
            </w:pPr>
            <w:r w:rsidRPr="00520861">
              <w:rPr>
                <w:sz w:val="28"/>
                <w:szCs w:val="28"/>
              </w:rPr>
              <w:t>5,09</w:t>
            </w:r>
          </w:p>
        </w:tc>
        <w:tc>
          <w:tcPr>
            <w:tcW w:w="1903" w:type="dxa"/>
            <w:tcBorders>
              <w:top w:val="single" w:sz="4" w:space="0" w:color="auto"/>
              <w:left w:val="single" w:sz="4" w:space="0" w:color="auto"/>
              <w:bottom w:val="single" w:sz="4" w:space="0" w:color="auto"/>
              <w:right w:val="single" w:sz="4" w:space="0" w:color="auto"/>
            </w:tcBorders>
            <w:noWrap/>
            <w:hideMark/>
          </w:tcPr>
          <w:p w14:paraId="28273FBE" w14:textId="77777777" w:rsidR="00CF641C" w:rsidRPr="00520861" w:rsidRDefault="00CF641C" w:rsidP="00292D2E">
            <w:pPr>
              <w:widowControl w:val="0"/>
              <w:spacing w:line="360" w:lineRule="auto"/>
              <w:jc w:val="center"/>
              <w:rPr>
                <w:sz w:val="28"/>
                <w:szCs w:val="28"/>
              </w:rPr>
            </w:pPr>
            <w:r w:rsidRPr="00520861">
              <w:rPr>
                <w:sz w:val="28"/>
                <w:szCs w:val="28"/>
              </w:rPr>
              <w:t>4,68</w:t>
            </w:r>
          </w:p>
        </w:tc>
      </w:tr>
    </w:tbl>
    <w:p w14:paraId="1C76CA8D"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Примітки: </w:t>
      </w:r>
      <w:r w:rsidRPr="00520861">
        <w:rPr>
          <w:sz w:val="28"/>
          <w:szCs w:val="28"/>
        </w:rPr>
        <w:tab/>
        <w:t>† – вірогідно відрізняється від ГП за критерієм Стьюдента (</w:t>
      </w:r>
      <w:r w:rsidR="00CA3DF7" w:rsidRPr="00520861">
        <w:rPr>
          <w:rFonts w:eastAsia="Calibri"/>
          <w:i/>
          <w:sz w:val="28"/>
          <w:szCs w:val="28"/>
          <w:lang w:eastAsia="en-US"/>
        </w:rPr>
        <w:t>p</w:t>
      </w:r>
      <w:r w:rsidR="00CD7533" w:rsidRPr="00520861">
        <w:rPr>
          <w:rFonts w:eastAsia="Calibri"/>
          <w:sz w:val="28"/>
          <w:szCs w:val="28"/>
          <w:lang w:eastAsia="en-US"/>
        </w:rPr>
        <w:t>&lt;</w:t>
      </w:r>
      <w:r w:rsidR="00CA3DF7" w:rsidRPr="00520861">
        <w:rPr>
          <w:rFonts w:eastAsia="Calibri"/>
          <w:sz w:val="28"/>
          <w:szCs w:val="28"/>
          <w:lang w:eastAsia="en-US"/>
        </w:rPr>
        <w:t>0,05</w:t>
      </w:r>
      <w:r w:rsidRPr="00520861">
        <w:rPr>
          <w:sz w:val="28"/>
          <w:szCs w:val="28"/>
        </w:rPr>
        <w:t xml:space="preserve">); </w:t>
      </w:r>
    </w:p>
    <w:p w14:paraId="144532E1" w14:textId="77777777" w:rsidR="00CF641C" w:rsidRPr="00520861" w:rsidRDefault="00CF641C" w:rsidP="00292D2E">
      <w:pPr>
        <w:widowControl w:val="0"/>
        <w:spacing w:line="360" w:lineRule="auto"/>
        <w:ind w:left="1416" w:firstLine="708"/>
        <w:contextualSpacing/>
        <w:jc w:val="both"/>
        <w:rPr>
          <w:sz w:val="28"/>
          <w:szCs w:val="28"/>
        </w:rPr>
      </w:pPr>
      <w:r w:rsidRPr="00520861">
        <w:rPr>
          <w:sz w:val="28"/>
          <w:szCs w:val="28"/>
        </w:rPr>
        <w:t>* – вірогідно відрізняється від ГП за критерієм Манна – Уітні (</w:t>
      </w:r>
      <w:r w:rsidR="00CA3DF7" w:rsidRPr="00520861">
        <w:rPr>
          <w:rFonts w:eastAsia="Calibri"/>
          <w:i/>
          <w:sz w:val="28"/>
          <w:szCs w:val="28"/>
          <w:lang w:eastAsia="en-US"/>
        </w:rPr>
        <w:t>p</w:t>
      </w:r>
      <w:r w:rsidR="00CD7533" w:rsidRPr="00520861">
        <w:rPr>
          <w:rFonts w:eastAsia="Calibri"/>
          <w:sz w:val="28"/>
          <w:szCs w:val="28"/>
          <w:lang w:eastAsia="en-US"/>
        </w:rPr>
        <w:t>&lt;</w:t>
      </w:r>
      <w:r w:rsidR="00CA3DF7" w:rsidRPr="00520861">
        <w:rPr>
          <w:rFonts w:eastAsia="Calibri"/>
          <w:sz w:val="28"/>
          <w:szCs w:val="28"/>
          <w:lang w:eastAsia="en-US"/>
        </w:rPr>
        <w:t>0,05</w:t>
      </w:r>
      <w:r w:rsidRPr="00520861">
        <w:rPr>
          <w:sz w:val="28"/>
          <w:szCs w:val="28"/>
        </w:rPr>
        <w:t>).</w:t>
      </w:r>
    </w:p>
    <w:p w14:paraId="3DBDA94C" w14:textId="77777777" w:rsidR="00CF641C" w:rsidRPr="00520861" w:rsidRDefault="00CF641C" w:rsidP="00292D2E">
      <w:pPr>
        <w:widowControl w:val="0"/>
        <w:rPr>
          <w:color w:val="000000"/>
          <w:sz w:val="28"/>
          <w:szCs w:val="28"/>
        </w:rPr>
        <w:sectPr w:rsidR="00CF641C" w:rsidRPr="00520861" w:rsidSect="00292D2E">
          <w:pgSz w:w="16838" w:h="11906" w:orient="landscape"/>
          <w:pgMar w:top="1134" w:right="1134" w:bottom="624" w:left="1134" w:header="709" w:footer="709" w:gutter="0"/>
          <w:cols w:space="708"/>
          <w:docGrid w:linePitch="360"/>
        </w:sectPr>
      </w:pPr>
    </w:p>
    <w:p w14:paraId="30148DFF"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При аналізі відповідей за шкалою 1 були зафіксовані такі вірогідні відмінності. Про те, що індекс КПВ у батька учасника дослідження вищий за 13 балів, сповістили 63,0% (ДІ: 49,8% – 74,9%) осіб </w:t>
      </w:r>
      <w:r w:rsidRPr="00520861">
        <w:rPr>
          <w:rFonts w:eastAsiaTheme="minorHAnsi"/>
          <w:sz w:val="28"/>
          <w:szCs w:val="28"/>
          <w:lang w:eastAsia="en-US"/>
        </w:rPr>
        <w:t>підгрупи</w:t>
      </w:r>
      <w:r w:rsidRPr="00520861">
        <w:rPr>
          <w:rFonts w:eastAsia="Calibri"/>
          <w:sz w:val="28"/>
          <w:szCs w:val="28"/>
          <w:lang w:eastAsia="en-US"/>
        </w:rPr>
        <w:t xml:space="preserve"> 4 проти 34,6% (ДІ: 27,2% – 42,8%) осіб ГП. Про скупченість зубів у матері або її близьких родичів згадали вірогідно менше осіб </w:t>
      </w:r>
      <w:r w:rsidRPr="00520861">
        <w:rPr>
          <w:rFonts w:eastAsiaTheme="minorHAnsi"/>
          <w:sz w:val="28"/>
          <w:szCs w:val="28"/>
          <w:lang w:eastAsia="en-US"/>
        </w:rPr>
        <w:t>підгрупи</w:t>
      </w:r>
      <w:r w:rsidRPr="00520861">
        <w:rPr>
          <w:rFonts w:eastAsia="Calibri"/>
          <w:sz w:val="28"/>
          <w:szCs w:val="28"/>
          <w:lang w:eastAsia="en-US"/>
        </w:rPr>
        <w:t xml:space="preserve"> 4 – 4,3% (ДІ: 1,4% – 11,5%), ніж у ГП, у якій про це зазначили 18,1% (ДІ: 12,5% – 25,0%) учасників дослідження. Про те, що в батьків і близьких родичів є аномалії кількості, форми або положення окремих зубів, згадали вірогідно менше осіб </w:t>
      </w:r>
      <w:r w:rsidRPr="00520861">
        <w:rPr>
          <w:rFonts w:eastAsiaTheme="minorHAnsi"/>
          <w:sz w:val="28"/>
          <w:szCs w:val="28"/>
          <w:lang w:eastAsia="en-US"/>
        </w:rPr>
        <w:t>підгрупи</w:t>
      </w:r>
      <w:r w:rsidRPr="00520861">
        <w:rPr>
          <w:rFonts w:eastAsia="Calibri"/>
          <w:sz w:val="28"/>
          <w:szCs w:val="28"/>
          <w:lang w:eastAsia="en-US"/>
        </w:rPr>
        <w:t xml:space="preserve"> 3 – 4,3% (ДІ: 1,1% – 14,8%) проти 24,4% (ДІ: 17,9% – 32,0%) учасників дослідження з ГП. </w:t>
      </w:r>
    </w:p>
    <w:p w14:paraId="1F982AC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Наведені в табл. 4.14 та табл. Б.1.15 дані свідчать про меншу в середньому ПКВ </w:t>
      </w:r>
      <w:proofErr w:type="spellStart"/>
      <w:r w:rsidRPr="00520861">
        <w:rPr>
          <w:rFonts w:eastAsia="Calibri"/>
          <w:sz w:val="28"/>
          <w:szCs w:val="28"/>
          <w:lang w:eastAsia="en-US"/>
        </w:rPr>
        <w:t>зубощелепних</w:t>
      </w:r>
      <w:proofErr w:type="spellEnd"/>
      <w:r w:rsidRPr="00520861">
        <w:rPr>
          <w:rFonts w:eastAsia="Calibri"/>
          <w:sz w:val="28"/>
          <w:szCs w:val="28"/>
          <w:lang w:eastAsia="en-US"/>
        </w:rPr>
        <w:t xml:space="preserve"> аномалій у батьків учасників дослідження </w:t>
      </w:r>
      <w:r w:rsidRPr="00520861">
        <w:rPr>
          <w:rFonts w:eastAsiaTheme="minorHAnsi"/>
          <w:sz w:val="28"/>
          <w:szCs w:val="28"/>
          <w:lang w:eastAsia="en-US"/>
        </w:rPr>
        <w:t>підгрупи</w:t>
      </w:r>
      <w:r w:rsidRPr="00520861">
        <w:rPr>
          <w:rFonts w:eastAsia="Calibri"/>
          <w:sz w:val="28"/>
          <w:szCs w:val="28"/>
          <w:lang w:eastAsia="en-US"/>
        </w:rPr>
        <w:t xml:space="preserve"> 3 та </w:t>
      </w:r>
      <w:r w:rsidRPr="00520861">
        <w:rPr>
          <w:rFonts w:eastAsiaTheme="minorHAnsi"/>
          <w:sz w:val="28"/>
          <w:szCs w:val="28"/>
          <w:lang w:eastAsia="en-US"/>
        </w:rPr>
        <w:t>підгрупи</w:t>
      </w:r>
      <w:r w:rsidRPr="00520861">
        <w:rPr>
          <w:rFonts w:eastAsia="Calibri"/>
          <w:sz w:val="28"/>
          <w:szCs w:val="28"/>
          <w:lang w:eastAsia="en-US"/>
        </w:rPr>
        <w:t xml:space="preserve"> 4 (осіб, які ВУ мали ознаки надмірної маси тіла), ніж у батьків осіб підгруп </w:t>
      </w:r>
      <w:r w:rsidRPr="00520861">
        <w:rPr>
          <w:rFonts w:eastAsiaTheme="minorHAnsi"/>
          <w:sz w:val="28"/>
          <w:szCs w:val="28"/>
          <w:lang w:eastAsia="en-US"/>
        </w:rPr>
        <w:t>підгрупи</w:t>
      </w:r>
      <w:r w:rsidRPr="00520861">
        <w:rPr>
          <w:rFonts w:eastAsia="Calibri"/>
          <w:sz w:val="28"/>
          <w:szCs w:val="28"/>
          <w:lang w:eastAsia="en-US"/>
        </w:rPr>
        <w:t xml:space="preserve"> 1 та </w:t>
      </w:r>
      <w:r w:rsidRPr="00520861">
        <w:rPr>
          <w:rFonts w:eastAsiaTheme="minorHAnsi"/>
          <w:sz w:val="28"/>
          <w:szCs w:val="28"/>
          <w:lang w:eastAsia="en-US"/>
        </w:rPr>
        <w:t>підгрупи</w:t>
      </w:r>
      <w:r w:rsidRPr="00520861">
        <w:rPr>
          <w:rFonts w:eastAsia="Calibri"/>
          <w:sz w:val="28"/>
          <w:szCs w:val="28"/>
          <w:lang w:eastAsia="en-US"/>
        </w:rPr>
        <w:t xml:space="preserve"> 2. </w:t>
      </w:r>
    </w:p>
    <w:p w14:paraId="2BAD1404" w14:textId="77777777" w:rsidR="00CF641C" w:rsidRPr="00520861" w:rsidRDefault="00CF641C" w:rsidP="00292D2E">
      <w:pPr>
        <w:widowControl w:val="0"/>
        <w:spacing w:line="360" w:lineRule="auto"/>
        <w:ind w:firstLine="708"/>
        <w:jc w:val="both"/>
        <w:rPr>
          <w:rFonts w:eastAsia="Calibri"/>
          <w:i/>
          <w:sz w:val="28"/>
          <w:szCs w:val="28"/>
          <w:lang w:eastAsia="en-US"/>
        </w:rPr>
      </w:pPr>
      <w:r w:rsidRPr="00520861">
        <w:rPr>
          <w:rFonts w:eastAsia="Calibri"/>
          <w:sz w:val="28"/>
          <w:szCs w:val="28"/>
          <w:lang w:eastAsia="en-US"/>
        </w:rPr>
        <w:t>Середня кількість балів, одержаних учасниками ОГ за шкалою 2, вірогідно не відрізнялася від балів в осіб ГП (табл. 4.14, Б.1.15)</w:t>
      </w:r>
      <w:r w:rsidRPr="00520861">
        <w:rPr>
          <w:rFonts w:eastAsia="Calibri"/>
          <w:i/>
          <w:sz w:val="28"/>
          <w:szCs w:val="28"/>
          <w:lang w:eastAsia="en-US"/>
        </w:rPr>
        <w:t xml:space="preserve">. </w:t>
      </w:r>
      <w:r w:rsidRPr="00520861">
        <w:rPr>
          <w:rFonts w:eastAsia="Calibri"/>
          <w:sz w:val="28"/>
          <w:szCs w:val="28"/>
          <w:lang w:eastAsia="en-US"/>
        </w:rPr>
        <w:t>Проте ПКВ великих антропометричних характеристик матері на момент народження дитини (зріст вищий від 170 см та маса тіла більша за 80 кг) в ОГ була вірогідно більшою за таку в ГП і склала 21,1% (ДІ: 14,7% – 28,7%) проти 8,7% (ДІ: 5,0% – 14,0%) відповідно.</w:t>
      </w:r>
    </w:p>
    <w:p w14:paraId="29E5B87E"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Великі антропометричні параметри частіше мали матері осіб </w:t>
      </w:r>
      <w:r w:rsidRPr="00520861">
        <w:rPr>
          <w:rFonts w:eastAsiaTheme="minorHAnsi"/>
          <w:sz w:val="28"/>
          <w:szCs w:val="28"/>
          <w:lang w:eastAsia="en-US"/>
        </w:rPr>
        <w:t>підгрупи</w:t>
      </w:r>
      <w:r w:rsidRPr="00520861">
        <w:rPr>
          <w:rFonts w:eastAsia="Calibri"/>
          <w:sz w:val="28"/>
          <w:szCs w:val="28"/>
          <w:lang w:eastAsia="en-US"/>
        </w:rPr>
        <w:t xml:space="preserve"> 1 (29,6%; ДІ: 16,5% – 46,3%) та підгрупи 3 (34,8%; ДІ: 19,7% – 52,9%), ніж матері осіб ГП. Найвища ПКВ великих антропометричних показників батька (зріст вище за 180 см і маса тіла більша за 90 кг) спостерігалася для осіб </w:t>
      </w:r>
      <w:r w:rsidRPr="00520861">
        <w:rPr>
          <w:rFonts w:eastAsiaTheme="minorHAnsi"/>
          <w:sz w:val="28"/>
          <w:szCs w:val="28"/>
          <w:lang w:eastAsia="en-US"/>
        </w:rPr>
        <w:t>підгрупи</w:t>
      </w:r>
      <w:r w:rsidRPr="00520861">
        <w:rPr>
          <w:rFonts w:eastAsia="Calibri"/>
          <w:sz w:val="28"/>
          <w:szCs w:val="28"/>
          <w:lang w:eastAsia="en-US"/>
        </w:rPr>
        <w:t xml:space="preserve"> 3 – 30,4% (ДІ: 16,4% – 48,4%), у той час як для осіб у ГП вона становила 18,9% (ДІ: 13,2% – 25,9%). </w:t>
      </w:r>
    </w:p>
    <w:p w14:paraId="6CE387D9" w14:textId="77777777" w:rsidR="00CF641C" w:rsidRPr="00520861" w:rsidRDefault="00CF641C" w:rsidP="00292D2E">
      <w:pPr>
        <w:widowControl w:val="0"/>
        <w:spacing w:line="360" w:lineRule="auto"/>
        <w:ind w:firstLine="708"/>
        <w:jc w:val="both"/>
        <w:rPr>
          <w:rFonts w:eastAsia="Calibri"/>
          <w:spacing w:val="-4"/>
          <w:sz w:val="28"/>
          <w:szCs w:val="28"/>
          <w:lang w:eastAsia="en-US"/>
        </w:rPr>
      </w:pPr>
      <w:r w:rsidRPr="00520861">
        <w:rPr>
          <w:rFonts w:eastAsia="Calibri"/>
          <w:spacing w:val="-4"/>
          <w:sz w:val="28"/>
          <w:szCs w:val="28"/>
          <w:lang w:eastAsia="en-US"/>
        </w:rPr>
        <w:t xml:space="preserve">Відповіді на запитання, згруповані в шкалі 3, були оцінені вірогідно більшою </w:t>
      </w:r>
      <w:r w:rsidRPr="00520861">
        <w:rPr>
          <w:rFonts w:eastAsia="Calibri"/>
          <w:spacing w:val="-4"/>
          <w:sz w:val="28"/>
          <w:szCs w:val="28"/>
          <w:lang w:eastAsia="en-US"/>
        </w:rPr>
        <w:br/>
        <w:t xml:space="preserve">кількістю балів в осіб ОГ та окремо в осіб </w:t>
      </w:r>
      <w:r w:rsidRPr="00520861">
        <w:rPr>
          <w:rFonts w:eastAsiaTheme="minorHAnsi"/>
          <w:spacing w:val="-4"/>
          <w:sz w:val="28"/>
          <w:szCs w:val="28"/>
          <w:lang w:eastAsia="en-US"/>
        </w:rPr>
        <w:t xml:space="preserve">підгруп </w:t>
      </w:r>
      <w:r w:rsidRPr="00520861">
        <w:rPr>
          <w:rFonts w:eastAsia="Calibri"/>
          <w:spacing w:val="-4"/>
          <w:sz w:val="28"/>
          <w:szCs w:val="28"/>
          <w:lang w:eastAsia="en-US"/>
        </w:rPr>
        <w:t xml:space="preserve">1, 2 та 4, ніж в осіб ГП </w:t>
      </w:r>
      <w:r w:rsidRPr="00520861">
        <w:rPr>
          <w:rFonts w:eastAsia="Calibri"/>
          <w:spacing w:val="-4"/>
          <w:sz w:val="28"/>
          <w:szCs w:val="28"/>
          <w:lang w:eastAsia="en-US"/>
        </w:rPr>
        <w:br/>
        <w:t>(табл. 4.14, Б.1.15)</w:t>
      </w:r>
      <w:r w:rsidRPr="00520861">
        <w:rPr>
          <w:rFonts w:eastAsia="Calibri"/>
          <w:i/>
          <w:spacing w:val="-4"/>
          <w:sz w:val="28"/>
          <w:szCs w:val="28"/>
          <w:lang w:eastAsia="en-US"/>
        </w:rPr>
        <w:t>.</w:t>
      </w:r>
      <w:r w:rsidRPr="00520861">
        <w:rPr>
          <w:rFonts w:eastAsia="Calibri"/>
          <w:spacing w:val="-4"/>
          <w:sz w:val="28"/>
          <w:szCs w:val="28"/>
          <w:lang w:eastAsia="en-US"/>
        </w:rPr>
        <w:t xml:space="preserve"> </w:t>
      </w:r>
    </w:p>
    <w:p w14:paraId="6FDF7402"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Вірогідно відрізнялися дані по таких категоріях. На затримку термінів прорізування тимчасових або постійних зубів указали 16,7% (ДІ: 11,1% – 23,8%) осіб ОГ та 33,3% (ДІ: 17,3% – 53,5%) осіб у підгрупи 2 проти 6,3% (ДІ: 3,3% – 11,0%) осіб ГП. </w:t>
      </w:r>
      <w:r w:rsidRPr="00520861">
        <w:rPr>
          <w:rFonts w:eastAsia="Calibri"/>
          <w:sz w:val="28"/>
          <w:szCs w:val="28"/>
          <w:lang w:eastAsia="en-US"/>
        </w:rPr>
        <w:br/>
        <w:t xml:space="preserve">Передчасне прорізування тимчасових або постійних зубів згадали 11,4% (ДІ: 6,9% – </w:t>
      </w:r>
      <w:r w:rsidRPr="00520861">
        <w:rPr>
          <w:rFonts w:eastAsia="Calibri"/>
          <w:sz w:val="28"/>
          <w:szCs w:val="28"/>
          <w:lang w:eastAsia="en-US"/>
        </w:rPr>
        <w:lastRenderedPageBreak/>
        <w:t xml:space="preserve">17,7%) осіб ОГ проти 3,1% (ДІ: 1,3% – 6,7%) осіб ГП. Опитування виявило, що ПКВ передчасного прорізування в осіб </w:t>
      </w:r>
      <w:r w:rsidRPr="00520861">
        <w:rPr>
          <w:rFonts w:eastAsiaTheme="minorHAnsi"/>
          <w:sz w:val="28"/>
          <w:szCs w:val="28"/>
          <w:lang w:eastAsia="en-US"/>
        </w:rPr>
        <w:t>підгрупи</w:t>
      </w:r>
      <w:r w:rsidRPr="00520861">
        <w:rPr>
          <w:rFonts w:eastAsia="Calibri"/>
          <w:sz w:val="28"/>
          <w:szCs w:val="28"/>
          <w:lang w:eastAsia="en-US"/>
        </w:rPr>
        <w:t xml:space="preserve"> 1 була у понад три рази вищою за таку в ГП – 14,8% (ДІ: 6,3% – 29,2%). </w:t>
      </w:r>
    </w:p>
    <w:p w14:paraId="6A726B62" w14:textId="77777777" w:rsidR="00CF641C" w:rsidRPr="00520861" w:rsidRDefault="00CF641C" w:rsidP="00292D2E">
      <w:pPr>
        <w:widowControl w:val="0"/>
        <w:spacing w:line="360" w:lineRule="auto"/>
        <w:ind w:firstLine="708"/>
        <w:jc w:val="both"/>
        <w:rPr>
          <w:rFonts w:eastAsia="Calibri"/>
          <w:spacing w:val="-2"/>
          <w:sz w:val="28"/>
          <w:szCs w:val="28"/>
          <w:lang w:eastAsia="en-US"/>
        </w:rPr>
      </w:pPr>
      <w:r w:rsidRPr="00520861">
        <w:rPr>
          <w:rFonts w:eastAsia="Calibri"/>
          <w:spacing w:val="-2"/>
          <w:sz w:val="28"/>
          <w:szCs w:val="28"/>
          <w:lang w:eastAsia="en-US"/>
        </w:rPr>
        <w:t xml:space="preserve">Аномалії прикусу, кількості, форми та положення зубів тимчасового прикусу мали 34,2% (ДІ: 26,4% – 42,8%) осіб ОГ та 39,1% (ДІ: 27,0% – 52,5%) осіб </w:t>
      </w:r>
      <w:r w:rsidRPr="00520861">
        <w:rPr>
          <w:rFonts w:eastAsiaTheme="minorHAnsi"/>
          <w:spacing w:val="-2"/>
          <w:sz w:val="28"/>
          <w:szCs w:val="28"/>
          <w:lang w:eastAsia="en-US"/>
        </w:rPr>
        <w:t>підгрупи</w:t>
      </w:r>
      <w:r w:rsidRPr="00520861">
        <w:rPr>
          <w:rFonts w:eastAsia="Calibri"/>
          <w:spacing w:val="-2"/>
          <w:sz w:val="28"/>
          <w:szCs w:val="28"/>
          <w:lang w:eastAsia="en-US"/>
        </w:rPr>
        <w:t xml:space="preserve"> 4, що є вірогідно вищим від ПКВ таких порушень в осіб ГП – 18,1% (ДІ: 12,5% – 25,0%).</w:t>
      </w:r>
    </w:p>
    <w:p w14:paraId="428E75C7"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Періодичну або постійну сухість у роті зазначили 11,8% (ДІ: 7,4% – 17,8%) осіб у ГП проти 33,3% (ДІ: 19,4% – 50,2%) осіб </w:t>
      </w:r>
      <w:r w:rsidRPr="00520861">
        <w:rPr>
          <w:rFonts w:eastAsiaTheme="minorHAnsi"/>
          <w:sz w:val="28"/>
          <w:szCs w:val="28"/>
          <w:lang w:eastAsia="en-US"/>
        </w:rPr>
        <w:t>підгрупи</w:t>
      </w:r>
      <w:r w:rsidRPr="00520861">
        <w:rPr>
          <w:rFonts w:eastAsia="Calibri"/>
          <w:sz w:val="28"/>
          <w:szCs w:val="28"/>
          <w:lang w:eastAsia="en-US"/>
        </w:rPr>
        <w:t xml:space="preserve"> 1. Кровоточивість ясен згадали 27,6% (ДІ: 20,7% – 35,4%) осіб ГП проти 48,2% (ДІ: 39,6% – 56,9%) осіб ОГ, 63,0% (ДІ: 46,0% – 77,6%) осіб </w:t>
      </w:r>
      <w:r w:rsidRPr="00520861">
        <w:rPr>
          <w:rFonts w:eastAsiaTheme="minorHAnsi"/>
          <w:sz w:val="28"/>
          <w:szCs w:val="28"/>
          <w:lang w:eastAsia="en-US"/>
        </w:rPr>
        <w:t>підгрупи</w:t>
      </w:r>
      <w:r w:rsidRPr="00520861">
        <w:rPr>
          <w:rFonts w:eastAsia="Calibri"/>
          <w:sz w:val="28"/>
          <w:szCs w:val="28"/>
          <w:lang w:eastAsia="en-US"/>
        </w:rPr>
        <w:t xml:space="preserve"> 1 та 55,6% (ДІ: 35,7% – 74,0%) учасників дослідження, віднесених до </w:t>
      </w:r>
      <w:r w:rsidRPr="00520861">
        <w:rPr>
          <w:rFonts w:eastAsiaTheme="minorHAnsi"/>
          <w:sz w:val="28"/>
          <w:szCs w:val="28"/>
          <w:lang w:eastAsia="en-US"/>
        </w:rPr>
        <w:t>підгрупи</w:t>
      </w:r>
      <w:r w:rsidRPr="00520861">
        <w:rPr>
          <w:rFonts w:eastAsia="Calibri"/>
          <w:sz w:val="28"/>
          <w:szCs w:val="28"/>
          <w:lang w:eastAsia="en-US"/>
        </w:rPr>
        <w:t xml:space="preserve"> 2.</w:t>
      </w:r>
    </w:p>
    <w:p w14:paraId="6E4931B3"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 наявність неприємного запаху з рота скаржилися 26,8% (ДІ: 20,0% – 34,5%) осіб ГП та 43,0% (ДІ: 34,6% – 51,7%) осіб ОГ. Вірогідно вищою, ніж у ГП, є кількість таких скарг в осіб </w:t>
      </w:r>
      <w:r w:rsidRPr="00520861">
        <w:rPr>
          <w:rFonts w:eastAsiaTheme="minorHAnsi"/>
          <w:sz w:val="28"/>
          <w:szCs w:val="28"/>
          <w:lang w:eastAsia="en-US"/>
        </w:rPr>
        <w:t>підгрупи</w:t>
      </w:r>
      <w:r w:rsidRPr="00520861">
        <w:rPr>
          <w:rFonts w:eastAsia="Calibri"/>
          <w:sz w:val="28"/>
          <w:szCs w:val="28"/>
          <w:lang w:eastAsia="en-US"/>
        </w:rPr>
        <w:t xml:space="preserve"> 1 та  підгрупи 2 – 59,3% (ДІ: 42,4% – 74,5%) та 44,4% (ДІ: 26,0% – 64,3%) відповідно. Біль або хрускіт у </w:t>
      </w:r>
      <w:proofErr w:type="spellStart"/>
      <w:r w:rsidRPr="00520861">
        <w:rPr>
          <w:rFonts w:eastAsia="Calibri"/>
          <w:sz w:val="28"/>
          <w:szCs w:val="28"/>
          <w:lang w:eastAsia="en-US"/>
        </w:rPr>
        <w:t>скронево</w:t>
      </w:r>
      <w:proofErr w:type="spellEnd"/>
      <w:r w:rsidRPr="00520861">
        <w:rPr>
          <w:rFonts w:eastAsia="Calibri"/>
          <w:sz w:val="28"/>
          <w:szCs w:val="28"/>
          <w:lang w:eastAsia="en-US"/>
        </w:rPr>
        <w:t xml:space="preserve">-нижньощелепних суглобах турбував 18,9% (ДІ: 13,2% – 25,9%) осіб ГП проти 44,4% (ДІ: 26,0% – 64,3%) осіб </w:t>
      </w:r>
      <w:r w:rsidRPr="00520861">
        <w:rPr>
          <w:rFonts w:eastAsiaTheme="minorHAnsi"/>
          <w:sz w:val="28"/>
          <w:szCs w:val="28"/>
          <w:lang w:eastAsia="en-US"/>
        </w:rPr>
        <w:t>підгрупи</w:t>
      </w:r>
      <w:r w:rsidRPr="00520861">
        <w:rPr>
          <w:rFonts w:eastAsia="Calibri"/>
          <w:sz w:val="28"/>
          <w:szCs w:val="28"/>
          <w:lang w:eastAsia="en-US"/>
        </w:rPr>
        <w:t xml:space="preserve"> 2.</w:t>
      </w:r>
    </w:p>
    <w:p w14:paraId="09049B23" w14:textId="77777777" w:rsidR="00CF641C" w:rsidRPr="00520861" w:rsidRDefault="00CF641C" w:rsidP="00292D2E">
      <w:pPr>
        <w:widowControl w:val="0"/>
        <w:spacing w:line="360" w:lineRule="auto"/>
        <w:ind w:firstLine="708"/>
        <w:jc w:val="both"/>
        <w:rPr>
          <w:rFonts w:eastAsia="Calibri"/>
          <w:sz w:val="28"/>
          <w:szCs w:val="28"/>
          <w:shd w:val="clear" w:color="auto" w:fill="FFFFFF"/>
          <w:lang w:eastAsia="en-US"/>
        </w:rPr>
      </w:pPr>
      <w:r w:rsidRPr="00520861">
        <w:rPr>
          <w:rFonts w:eastAsia="Calibri"/>
          <w:sz w:val="28"/>
          <w:szCs w:val="28"/>
          <w:shd w:val="clear" w:color="auto" w:fill="FFFFFF"/>
          <w:lang w:eastAsia="en-US"/>
        </w:rPr>
        <w:t>Спостерігалася тенденція до збільшення скарг на підвищену чутливість зубів до різних подразників в</w:t>
      </w:r>
      <w:r w:rsidRPr="00520861">
        <w:rPr>
          <w:rFonts w:eastAsia="Calibri"/>
          <w:sz w:val="28"/>
          <w:szCs w:val="28"/>
          <w:lang w:eastAsia="en-US"/>
        </w:rPr>
        <w:t xml:space="preserve"> </w:t>
      </w:r>
      <w:r w:rsidRPr="00520861">
        <w:rPr>
          <w:rFonts w:eastAsia="Calibri"/>
          <w:sz w:val="28"/>
          <w:szCs w:val="28"/>
          <w:shd w:val="clear" w:color="auto" w:fill="FFFFFF"/>
          <w:lang w:eastAsia="en-US"/>
        </w:rPr>
        <w:t xml:space="preserve">осіб </w:t>
      </w:r>
      <w:r w:rsidRPr="00520861">
        <w:rPr>
          <w:rFonts w:eastAsiaTheme="minorHAnsi"/>
          <w:sz w:val="28"/>
          <w:szCs w:val="28"/>
          <w:lang w:eastAsia="en-US"/>
        </w:rPr>
        <w:t>підгрупи</w:t>
      </w:r>
      <w:r w:rsidRPr="00520861">
        <w:rPr>
          <w:rFonts w:eastAsia="Calibri"/>
          <w:sz w:val="28"/>
          <w:szCs w:val="28"/>
          <w:shd w:val="clear" w:color="auto" w:fill="FFFFFF"/>
          <w:lang w:eastAsia="en-US"/>
        </w:rPr>
        <w:t xml:space="preserve"> 3 – 52,2% (ДІ: 34,5% </w:t>
      </w:r>
      <w:r w:rsidRPr="00520861">
        <w:rPr>
          <w:rFonts w:eastAsia="Calibri"/>
          <w:sz w:val="28"/>
          <w:szCs w:val="28"/>
          <w:lang w:eastAsia="en-US"/>
        </w:rPr>
        <w:t>–</w:t>
      </w:r>
      <w:r w:rsidRPr="00520861">
        <w:rPr>
          <w:rFonts w:eastAsia="Calibri"/>
          <w:sz w:val="28"/>
          <w:szCs w:val="28"/>
          <w:shd w:val="clear" w:color="auto" w:fill="FFFFFF"/>
          <w:lang w:eastAsia="en-US"/>
        </w:rPr>
        <w:t xml:space="preserve"> 69,4%) та </w:t>
      </w:r>
      <w:r w:rsidRPr="00520861">
        <w:rPr>
          <w:rFonts w:eastAsiaTheme="minorHAnsi"/>
          <w:sz w:val="28"/>
          <w:szCs w:val="28"/>
          <w:lang w:eastAsia="en-US"/>
        </w:rPr>
        <w:t>підгрупи</w:t>
      </w:r>
      <w:r w:rsidRPr="00520861">
        <w:rPr>
          <w:rFonts w:eastAsia="Calibri"/>
          <w:sz w:val="28"/>
          <w:szCs w:val="28"/>
          <w:lang w:eastAsia="en-US"/>
        </w:rPr>
        <w:t xml:space="preserve"> 4</w:t>
      </w:r>
      <w:r w:rsidRPr="00520861">
        <w:rPr>
          <w:rFonts w:eastAsia="Calibri"/>
          <w:sz w:val="28"/>
          <w:szCs w:val="28"/>
          <w:shd w:val="clear" w:color="auto" w:fill="FFFFFF"/>
          <w:lang w:eastAsia="en-US"/>
        </w:rPr>
        <w:t xml:space="preserve"> 50,0% (ДІ: 36,9% </w:t>
      </w:r>
      <w:r w:rsidRPr="00520861">
        <w:rPr>
          <w:rFonts w:eastAsia="Calibri"/>
          <w:sz w:val="28"/>
          <w:szCs w:val="28"/>
          <w:lang w:eastAsia="en-US"/>
        </w:rPr>
        <w:t>–</w:t>
      </w:r>
      <w:r w:rsidRPr="00520861">
        <w:rPr>
          <w:rFonts w:eastAsia="Calibri"/>
          <w:sz w:val="28"/>
          <w:szCs w:val="28"/>
          <w:shd w:val="clear" w:color="auto" w:fill="FFFFFF"/>
          <w:lang w:eastAsia="en-US"/>
        </w:rPr>
        <w:t xml:space="preserve"> 63,1%) проти 33,1% (ДІ: 25,7% </w:t>
      </w:r>
      <w:r w:rsidRPr="00520861">
        <w:rPr>
          <w:rFonts w:eastAsia="Calibri"/>
          <w:sz w:val="28"/>
          <w:szCs w:val="28"/>
          <w:lang w:eastAsia="en-US"/>
        </w:rPr>
        <w:t>–</w:t>
      </w:r>
      <w:r w:rsidRPr="00520861">
        <w:rPr>
          <w:rFonts w:eastAsia="Calibri"/>
          <w:sz w:val="28"/>
          <w:szCs w:val="28"/>
          <w:shd w:val="clear" w:color="auto" w:fill="FFFFFF"/>
          <w:lang w:eastAsia="en-US"/>
        </w:rPr>
        <w:t xml:space="preserve"> 41,2%) осіб у ГП.</w:t>
      </w:r>
    </w:p>
    <w:p w14:paraId="10C051FA"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Вірогідно вищою була кількість балів за відповіді, згруповані в шкалу 4, </w:t>
      </w:r>
      <w:r w:rsidRPr="00520861">
        <w:rPr>
          <w:rFonts w:eastAsia="Calibri"/>
          <w:sz w:val="28"/>
          <w:szCs w:val="28"/>
          <w:lang w:eastAsia="en-US"/>
        </w:rPr>
        <w:br/>
        <w:t xml:space="preserve">в учасників ОГ разом й окремо по підгрупах, ніж в учасників ГП (табл. 4.14, Б.1.15). </w:t>
      </w:r>
      <w:r w:rsidRPr="00520861">
        <w:rPr>
          <w:rFonts w:eastAsia="Calibri"/>
          <w:sz w:val="28"/>
          <w:szCs w:val="28"/>
          <w:lang w:eastAsia="en-US"/>
        </w:rPr>
        <w:br/>
        <w:t xml:space="preserve">Вірогідні відмінності було зафіксовано у відповідях на наступні запитання. </w:t>
      </w:r>
      <w:r w:rsidRPr="00520861">
        <w:rPr>
          <w:rFonts w:eastAsia="Calibri"/>
          <w:sz w:val="28"/>
          <w:szCs w:val="28"/>
          <w:lang w:eastAsia="en-US"/>
        </w:rPr>
        <w:br/>
        <w:t>Наявність артеріальної гіпертензії вказали 7,1% (ДІ: 3,8% – 12,0%) осіб ГП проти 19,3% (ДІ: 13,2% – 26,8%) осіб ОГ та 27,8% (ДІ: 13,3% – 47,6%) осіб підгрупи 2.</w:t>
      </w:r>
    </w:p>
    <w:p w14:paraId="3D15A981"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Алергічні захворювання або прояви алергії відмітили 12,6% (ДІ: 8,0% – 18,7%) осіб ГП проти 27,2% (ДІ: 20,1% – 35,4%) осіб ОГ. Вірогідно вищою є відмінність </w:t>
      </w:r>
      <w:r w:rsidRPr="00520861">
        <w:rPr>
          <w:rFonts w:eastAsia="Calibri"/>
          <w:sz w:val="28"/>
          <w:szCs w:val="28"/>
          <w:lang w:eastAsia="en-US"/>
        </w:rPr>
        <w:br/>
        <w:t xml:space="preserve">від ГП і для осіб </w:t>
      </w:r>
      <w:r w:rsidRPr="00520861">
        <w:rPr>
          <w:rFonts w:eastAsiaTheme="minorHAnsi"/>
          <w:sz w:val="28"/>
          <w:szCs w:val="28"/>
          <w:lang w:eastAsia="en-US"/>
        </w:rPr>
        <w:t>підгрупи</w:t>
      </w:r>
      <w:r w:rsidRPr="00520861">
        <w:rPr>
          <w:rFonts w:eastAsia="Calibri"/>
          <w:sz w:val="28"/>
          <w:szCs w:val="28"/>
          <w:lang w:eastAsia="en-US"/>
        </w:rPr>
        <w:t xml:space="preserve"> 4, де такі порушення згадали 30,4% (ДІ: 19,5% – 43,5%). </w:t>
      </w:r>
    </w:p>
    <w:p w14:paraId="031490D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Указали на те, що часто й тривало хворіють, 2,4% (ДІ: 0,9% – 5,6%) осіб ГП проти 12,3% (ДІ: 7,6% – 18,7%) осіб ОГ. Вірогідно вищими, ніж у ГП, є ПКВ в осіб </w:t>
      </w:r>
      <w:r w:rsidRPr="00520861">
        <w:rPr>
          <w:rFonts w:eastAsiaTheme="minorHAnsi"/>
          <w:sz w:val="28"/>
          <w:szCs w:val="28"/>
          <w:lang w:eastAsia="en-US"/>
        </w:rPr>
        <w:lastRenderedPageBreak/>
        <w:t>підгрупи</w:t>
      </w:r>
      <w:r w:rsidRPr="00520861">
        <w:rPr>
          <w:rFonts w:eastAsia="Calibri"/>
          <w:sz w:val="28"/>
          <w:szCs w:val="28"/>
          <w:lang w:eastAsia="en-US"/>
        </w:rPr>
        <w:t xml:space="preserve"> 2 та </w:t>
      </w:r>
      <w:r w:rsidRPr="00520861">
        <w:rPr>
          <w:rFonts w:eastAsiaTheme="minorHAnsi"/>
          <w:sz w:val="28"/>
          <w:szCs w:val="28"/>
          <w:lang w:eastAsia="en-US"/>
        </w:rPr>
        <w:t>підгрупи</w:t>
      </w:r>
      <w:r w:rsidRPr="00520861">
        <w:rPr>
          <w:rFonts w:eastAsia="Calibri"/>
          <w:sz w:val="28"/>
          <w:szCs w:val="28"/>
          <w:lang w:eastAsia="en-US"/>
        </w:rPr>
        <w:t xml:space="preserve"> 4, де часто хворіють 16,7% (ДІ: 6,4% – 34,7%) та 13,0% (ДІ: 6,3% – 23,6%) осіб відповідно. Вірогідно вищою за таку в ГП (4,7%; ДІ: 2,2% – 8,9%) </w:t>
      </w:r>
      <w:r w:rsidRPr="00520861">
        <w:rPr>
          <w:rFonts w:eastAsia="Calibri"/>
          <w:sz w:val="28"/>
          <w:szCs w:val="28"/>
          <w:lang w:eastAsia="en-US"/>
        </w:rPr>
        <w:br/>
        <w:t xml:space="preserve">є кількість осіб у </w:t>
      </w:r>
      <w:r w:rsidRPr="00520861">
        <w:rPr>
          <w:rFonts w:eastAsiaTheme="minorHAnsi"/>
          <w:sz w:val="28"/>
          <w:szCs w:val="28"/>
          <w:lang w:eastAsia="en-US"/>
        </w:rPr>
        <w:t>підгрупи</w:t>
      </w:r>
      <w:r w:rsidRPr="00520861">
        <w:rPr>
          <w:rFonts w:eastAsia="Calibri"/>
          <w:sz w:val="28"/>
          <w:szCs w:val="28"/>
          <w:lang w:eastAsia="en-US"/>
        </w:rPr>
        <w:t xml:space="preserve"> 2, які постійно приймають лікарські препарати. На таке вказали 22,2% (ДІ: 9,7% – 41,4%) учасників опитування.</w:t>
      </w:r>
    </w:p>
    <w:p w14:paraId="4705F6FA" w14:textId="77777777" w:rsidR="00CF641C" w:rsidRPr="00520861" w:rsidRDefault="00CF641C" w:rsidP="00292D2E">
      <w:pPr>
        <w:widowControl w:val="0"/>
        <w:spacing w:line="360" w:lineRule="auto"/>
        <w:ind w:firstLine="708"/>
        <w:jc w:val="both"/>
        <w:rPr>
          <w:rFonts w:eastAsia="Calibri"/>
          <w:i/>
          <w:sz w:val="28"/>
          <w:szCs w:val="28"/>
          <w:lang w:eastAsia="en-US"/>
        </w:rPr>
      </w:pPr>
      <w:r w:rsidRPr="00520861">
        <w:rPr>
          <w:rFonts w:eastAsia="Calibri"/>
          <w:sz w:val="28"/>
          <w:szCs w:val="28"/>
          <w:lang w:eastAsia="en-US"/>
        </w:rPr>
        <w:t xml:space="preserve">За шкалою 5 (табл. 4.14, Б.1.15) не виявлено вірогідної різниці між бальною </w:t>
      </w:r>
      <w:r w:rsidRPr="00520861">
        <w:rPr>
          <w:rFonts w:eastAsia="Calibri"/>
          <w:sz w:val="28"/>
          <w:szCs w:val="28"/>
          <w:lang w:eastAsia="en-US"/>
        </w:rPr>
        <w:br/>
        <w:t xml:space="preserve">оцінкою ОГ та ГП. Слід зазначити, що в усіх підгрупах ОГ спостерігалася тенденція до збільшення скарг порівняно з ГП. Деякі з тенденцій розглянемо окремо. </w:t>
      </w:r>
      <w:r w:rsidRPr="00520861">
        <w:rPr>
          <w:rFonts w:eastAsia="Calibri"/>
          <w:sz w:val="28"/>
          <w:szCs w:val="28"/>
          <w:lang w:eastAsia="en-US"/>
        </w:rPr>
        <w:br/>
        <w:t xml:space="preserve">ПКВ гіпертонічної хвороби матері на момент народження учасника дослідження </w:t>
      </w:r>
      <w:r w:rsidRPr="00520861">
        <w:rPr>
          <w:rFonts w:eastAsia="Calibri"/>
          <w:sz w:val="28"/>
          <w:szCs w:val="28"/>
          <w:lang w:eastAsia="en-US"/>
        </w:rPr>
        <w:br/>
      </w:r>
      <w:r w:rsidRPr="00520861">
        <w:rPr>
          <w:rFonts w:eastAsiaTheme="minorHAnsi"/>
          <w:sz w:val="28"/>
          <w:szCs w:val="28"/>
          <w:lang w:eastAsia="en-US"/>
        </w:rPr>
        <w:t>підгрупи</w:t>
      </w:r>
      <w:r w:rsidRPr="00520861">
        <w:rPr>
          <w:rFonts w:eastAsia="Calibri"/>
          <w:sz w:val="28"/>
          <w:szCs w:val="28"/>
          <w:lang w:eastAsia="en-US"/>
        </w:rPr>
        <w:t xml:space="preserve"> 2 була майже в 3 рази вищою (9,4%; ДІ: 5,6% – 15,0%), ніж у ГП (27,8%; ДІ: 13,3% – 47,6%). В осіб </w:t>
      </w:r>
      <w:r w:rsidRPr="00520861">
        <w:rPr>
          <w:rFonts w:eastAsiaTheme="minorHAnsi"/>
          <w:sz w:val="28"/>
          <w:szCs w:val="28"/>
          <w:lang w:eastAsia="en-US"/>
        </w:rPr>
        <w:t xml:space="preserve">підгруп </w:t>
      </w:r>
      <w:r w:rsidRPr="00520861">
        <w:rPr>
          <w:rFonts w:eastAsia="Calibri"/>
          <w:sz w:val="28"/>
          <w:szCs w:val="28"/>
          <w:lang w:eastAsia="en-US"/>
        </w:rPr>
        <w:t xml:space="preserve">1, 3 та 4 порівняно з ГП також спостерігалася тенденція до збільшення ПКВ ускладнень під час вагітності або під час пологів матері. </w:t>
      </w:r>
    </w:p>
    <w:p w14:paraId="4AE0B15C"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Вірогідно вищою була ПКВ народження дитини не від перших пологів в осіб ОГ – 44,7% (ДІ: 36,3% – 53,5%) та 56,5% (ДІ: 43,2% – 69,1%) осіб </w:t>
      </w:r>
      <w:r w:rsidRPr="00520861">
        <w:rPr>
          <w:rFonts w:eastAsiaTheme="minorHAnsi"/>
          <w:sz w:val="28"/>
          <w:szCs w:val="28"/>
          <w:lang w:eastAsia="en-US"/>
        </w:rPr>
        <w:t>підгрупи</w:t>
      </w:r>
      <w:r w:rsidRPr="00520861">
        <w:rPr>
          <w:rFonts w:eastAsia="Calibri"/>
          <w:sz w:val="28"/>
          <w:szCs w:val="28"/>
          <w:lang w:eastAsia="en-US"/>
        </w:rPr>
        <w:t xml:space="preserve"> 4 проти 27,6% (ДІ: 20,7% – 35,4%) осіб ГП.</w:t>
      </w:r>
    </w:p>
    <w:p w14:paraId="2900ED6A" w14:textId="77777777" w:rsidR="00CF641C" w:rsidRPr="00520861" w:rsidRDefault="00CF641C"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Кількість балів, набрана учасниками дослідження ОГ та ГП за шкалами 6 та 7, вірогідно не відрізнялася (див. табл. 4.14, Б.1.15).</w:t>
      </w:r>
    </w:p>
    <w:p w14:paraId="23A0D0EE" w14:textId="77777777" w:rsidR="00CF641C" w:rsidRPr="00520861" w:rsidRDefault="00CF641C" w:rsidP="00292D2E">
      <w:pPr>
        <w:widowControl w:val="0"/>
        <w:spacing w:line="360" w:lineRule="auto"/>
        <w:ind w:firstLine="708"/>
        <w:jc w:val="both"/>
        <w:rPr>
          <w:rFonts w:eastAsiaTheme="minorHAnsi"/>
          <w:spacing w:val="-2"/>
          <w:sz w:val="28"/>
          <w:szCs w:val="28"/>
          <w:lang w:eastAsia="en-US"/>
        </w:rPr>
      </w:pPr>
      <w:r w:rsidRPr="00520861">
        <w:rPr>
          <w:rFonts w:eastAsiaTheme="minorHAnsi"/>
          <w:sz w:val="28"/>
          <w:szCs w:val="28"/>
          <w:lang w:eastAsia="en-US"/>
        </w:rPr>
        <w:t xml:space="preserve">Розглянемо результати аналізу опитувальників у частині впливу сумарного </w:t>
      </w:r>
      <w:r w:rsidRPr="00520861">
        <w:rPr>
          <w:rFonts w:eastAsiaTheme="minorHAnsi"/>
          <w:sz w:val="28"/>
          <w:szCs w:val="28"/>
          <w:lang w:eastAsia="en-US"/>
        </w:rPr>
        <w:br/>
        <w:t xml:space="preserve">батьківського </w:t>
      </w:r>
      <w:proofErr w:type="spellStart"/>
      <w:r w:rsidRPr="00520861">
        <w:rPr>
          <w:rFonts w:eastAsiaTheme="minorHAnsi"/>
          <w:sz w:val="28"/>
          <w:szCs w:val="28"/>
          <w:lang w:eastAsia="en-US"/>
        </w:rPr>
        <w:t>фактора</w:t>
      </w:r>
      <w:proofErr w:type="spellEnd"/>
      <w:r w:rsidRPr="00520861">
        <w:rPr>
          <w:rFonts w:eastAsiaTheme="minorHAnsi"/>
          <w:sz w:val="28"/>
          <w:szCs w:val="28"/>
          <w:lang w:eastAsia="en-US"/>
        </w:rPr>
        <w:t xml:space="preserve"> (СБФ) усіх вікових категорій опитаних (табл. 4.15). У ДГВ об’єднані відповіді на запитання по шкалах 1 та 2, а в дітей</w:t>
      </w:r>
      <w:r w:rsidRPr="00520861">
        <w:rPr>
          <w:rFonts w:eastAsia="Calibri"/>
          <w:sz w:val="28"/>
          <w:szCs w:val="28"/>
          <w:lang w:eastAsia="en-US"/>
        </w:rPr>
        <w:t xml:space="preserve"> віком 4–17 років </w:t>
      </w:r>
      <w:r w:rsidRPr="00520861">
        <w:rPr>
          <w:rFonts w:eastAsiaTheme="minorHAnsi"/>
          <w:sz w:val="28"/>
          <w:szCs w:val="28"/>
          <w:lang w:eastAsia="en-US"/>
        </w:rPr>
        <w:t xml:space="preserve">та в осіб </w:t>
      </w:r>
      <w:r w:rsidRPr="00520861">
        <w:rPr>
          <w:rFonts w:eastAsiaTheme="minorHAnsi"/>
          <w:spacing w:val="-4"/>
          <w:sz w:val="28"/>
          <w:szCs w:val="28"/>
          <w:lang w:eastAsia="en-US"/>
        </w:rPr>
        <w:t>дорослого віку</w:t>
      </w:r>
      <w:r w:rsidRPr="00520861">
        <w:rPr>
          <w:rFonts w:eastAsia="Calibri"/>
          <w:spacing w:val="-4"/>
          <w:sz w:val="28"/>
          <w:szCs w:val="28"/>
          <w:lang w:eastAsia="en-US"/>
        </w:rPr>
        <w:t xml:space="preserve"> врахована тільки шкала 1. </w:t>
      </w:r>
      <w:r w:rsidRPr="00520861">
        <w:rPr>
          <w:rFonts w:eastAsiaTheme="minorHAnsi"/>
          <w:spacing w:val="-4"/>
          <w:sz w:val="28"/>
          <w:szCs w:val="28"/>
          <w:lang w:eastAsia="en-US"/>
        </w:rPr>
        <w:t>Видно, що по наших даних для новонароджених</w:t>
      </w:r>
      <w:r w:rsidRPr="00520861">
        <w:rPr>
          <w:rFonts w:eastAsiaTheme="minorHAnsi"/>
          <w:sz w:val="28"/>
          <w:szCs w:val="28"/>
          <w:lang w:eastAsia="en-US"/>
        </w:rPr>
        <w:t xml:space="preserve">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середній бал СБФ вірогідно більший, ніж для новонароджених-</w:t>
      </w:r>
      <w:proofErr w:type="spellStart"/>
      <w:r w:rsidRPr="00520861">
        <w:rPr>
          <w:rFonts w:eastAsiaTheme="minorHAnsi"/>
          <w:sz w:val="28"/>
          <w:szCs w:val="28"/>
          <w:lang w:eastAsia="en-US"/>
        </w:rPr>
        <w:t>нормосомів</w:t>
      </w:r>
      <w:proofErr w:type="spellEnd"/>
      <w:r w:rsidRPr="00520861">
        <w:rPr>
          <w:rFonts w:eastAsiaTheme="minorHAnsi"/>
          <w:sz w:val="28"/>
          <w:szCs w:val="28"/>
          <w:lang w:eastAsia="en-US"/>
        </w:rPr>
        <w:t xml:space="preserve">. Як зазначалося вище, хтось із батьків (або обоє разом) незалежно від того, ким є новонароджений – </w:t>
      </w:r>
      <w:proofErr w:type="spellStart"/>
      <w:r w:rsidRPr="00520861">
        <w:rPr>
          <w:rFonts w:eastAsiaTheme="minorHAnsi"/>
          <w:sz w:val="28"/>
          <w:szCs w:val="28"/>
          <w:lang w:eastAsia="en-US"/>
        </w:rPr>
        <w:t>макросомом</w:t>
      </w:r>
      <w:proofErr w:type="spellEnd"/>
      <w:r w:rsidRPr="00520861">
        <w:rPr>
          <w:rFonts w:eastAsiaTheme="minorHAnsi"/>
          <w:sz w:val="28"/>
          <w:szCs w:val="28"/>
          <w:lang w:eastAsia="en-US"/>
        </w:rPr>
        <w:t xml:space="preserve"> чи </w:t>
      </w:r>
      <w:proofErr w:type="spellStart"/>
      <w:r w:rsidRPr="00520861">
        <w:rPr>
          <w:rFonts w:eastAsiaTheme="minorHAnsi"/>
          <w:sz w:val="28"/>
          <w:szCs w:val="28"/>
          <w:lang w:eastAsia="en-US"/>
        </w:rPr>
        <w:t>нормосомом</w:t>
      </w:r>
      <w:proofErr w:type="spellEnd"/>
      <w:r w:rsidRPr="00520861">
        <w:rPr>
          <w:rFonts w:eastAsiaTheme="minorHAnsi"/>
          <w:sz w:val="28"/>
          <w:szCs w:val="28"/>
          <w:lang w:eastAsia="en-US"/>
        </w:rPr>
        <w:t xml:space="preserve"> – також може бути як </w:t>
      </w:r>
      <w:proofErr w:type="spellStart"/>
      <w:r w:rsidRPr="00520861">
        <w:rPr>
          <w:rFonts w:eastAsiaTheme="minorHAnsi"/>
          <w:sz w:val="28"/>
          <w:szCs w:val="28"/>
          <w:lang w:eastAsia="en-US"/>
        </w:rPr>
        <w:t>нормосомом</w:t>
      </w:r>
      <w:proofErr w:type="spellEnd"/>
      <w:r w:rsidRPr="00520861">
        <w:rPr>
          <w:rFonts w:eastAsiaTheme="minorHAnsi"/>
          <w:sz w:val="28"/>
          <w:szCs w:val="28"/>
          <w:lang w:eastAsia="en-US"/>
        </w:rPr>
        <w:t xml:space="preserve"> при народженні, так і </w:t>
      </w:r>
      <w:proofErr w:type="spellStart"/>
      <w:r w:rsidRPr="00520861">
        <w:rPr>
          <w:rFonts w:eastAsiaTheme="minorHAnsi"/>
          <w:sz w:val="28"/>
          <w:szCs w:val="28"/>
          <w:lang w:eastAsia="en-US"/>
        </w:rPr>
        <w:t>макросомом</w:t>
      </w:r>
      <w:proofErr w:type="spellEnd"/>
      <w:r w:rsidRPr="00520861">
        <w:rPr>
          <w:rFonts w:eastAsiaTheme="minorHAnsi"/>
          <w:sz w:val="28"/>
          <w:szCs w:val="28"/>
          <w:lang w:eastAsia="en-US"/>
        </w:rPr>
        <w:t xml:space="preserve"> при народженні. </w:t>
      </w:r>
      <w:r w:rsidRPr="00520861">
        <w:rPr>
          <w:rFonts w:eastAsiaTheme="minorHAnsi"/>
          <w:spacing w:val="-2"/>
          <w:sz w:val="28"/>
          <w:szCs w:val="28"/>
          <w:lang w:eastAsia="en-US"/>
        </w:rPr>
        <w:t xml:space="preserve">Відомості по кожній віковій категорії опитаних осіб про загальну кількість респондентів, кількість батьків, які народилися з </w:t>
      </w:r>
      <w:proofErr w:type="spellStart"/>
      <w:r w:rsidRPr="00520861">
        <w:rPr>
          <w:rFonts w:eastAsiaTheme="minorHAnsi"/>
          <w:spacing w:val="-2"/>
          <w:sz w:val="28"/>
          <w:szCs w:val="28"/>
          <w:lang w:eastAsia="en-US"/>
        </w:rPr>
        <w:t>макросомією</w:t>
      </w:r>
      <w:proofErr w:type="spellEnd"/>
      <w:r w:rsidRPr="00520861">
        <w:rPr>
          <w:rFonts w:eastAsiaTheme="minorHAnsi"/>
          <w:spacing w:val="-2"/>
          <w:sz w:val="28"/>
          <w:szCs w:val="28"/>
          <w:lang w:eastAsia="en-US"/>
        </w:rPr>
        <w:t>, та їхню відносну кількість представлені в табл. 4.16.</w:t>
      </w:r>
    </w:p>
    <w:p w14:paraId="6B7BF0A2" w14:textId="77777777" w:rsidR="00CF641C" w:rsidRPr="00520861" w:rsidRDefault="00CF641C"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Оскільки стан стоматологічного здоров’я (отже, і кількість скарг) в осіб, які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чи </w:t>
      </w:r>
      <w:proofErr w:type="spellStart"/>
      <w:r w:rsidRPr="00520861">
        <w:rPr>
          <w:rFonts w:eastAsiaTheme="minorHAnsi"/>
          <w:sz w:val="28"/>
          <w:szCs w:val="28"/>
          <w:lang w:eastAsia="en-US"/>
        </w:rPr>
        <w:t>нормосомами</w:t>
      </w:r>
      <w:proofErr w:type="spellEnd"/>
      <w:r w:rsidRPr="00520861">
        <w:rPr>
          <w:rFonts w:eastAsiaTheme="minorHAnsi"/>
          <w:sz w:val="28"/>
          <w:szCs w:val="28"/>
          <w:lang w:eastAsia="en-US"/>
        </w:rPr>
        <w:t xml:space="preserve">, відрізняється, а відносна кількість </w:t>
      </w:r>
      <w:r w:rsidRPr="00520861">
        <w:rPr>
          <w:rFonts w:eastAsiaTheme="minorHAnsi"/>
          <w:sz w:val="28"/>
          <w:szCs w:val="28"/>
          <w:lang w:eastAsia="en-US"/>
        </w:rPr>
        <w:br/>
        <w:t>батьків-</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у різних категоріях учасників не однакова, відмінності в середньому балі СБФ (табл. 4.15) можуть бути викликані цим фактором.</w:t>
      </w:r>
    </w:p>
    <w:p w14:paraId="0CCB5D35" w14:textId="77777777" w:rsidR="00CF641C" w:rsidRPr="00520861" w:rsidRDefault="00CF641C" w:rsidP="00292D2E">
      <w:pPr>
        <w:widowControl w:val="0"/>
        <w:spacing w:line="360" w:lineRule="auto"/>
        <w:ind w:firstLine="709"/>
        <w:jc w:val="right"/>
        <w:rPr>
          <w:rFonts w:eastAsiaTheme="minorHAnsi"/>
          <w:i/>
          <w:sz w:val="28"/>
          <w:szCs w:val="28"/>
          <w:lang w:eastAsia="en-US"/>
        </w:rPr>
      </w:pPr>
      <w:r w:rsidRPr="00520861">
        <w:rPr>
          <w:rFonts w:eastAsiaTheme="minorHAnsi"/>
          <w:i/>
          <w:sz w:val="28"/>
          <w:szCs w:val="28"/>
          <w:lang w:eastAsia="en-US"/>
        </w:rPr>
        <w:lastRenderedPageBreak/>
        <w:t>Таблиця 4.15</w:t>
      </w:r>
    </w:p>
    <w:p w14:paraId="70C37286" w14:textId="77777777" w:rsidR="00CF641C" w:rsidRPr="00520861" w:rsidRDefault="00CF641C" w:rsidP="00292D2E">
      <w:pPr>
        <w:widowControl w:val="0"/>
        <w:spacing w:after="160" w:line="360" w:lineRule="auto"/>
        <w:jc w:val="center"/>
        <w:rPr>
          <w:rFonts w:eastAsiaTheme="minorHAnsi"/>
          <w:b/>
          <w:sz w:val="28"/>
          <w:szCs w:val="28"/>
          <w:lang w:eastAsia="en-US"/>
        </w:rPr>
      </w:pPr>
      <w:r w:rsidRPr="00520861">
        <w:rPr>
          <w:rFonts w:eastAsiaTheme="minorHAnsi"/>
          <w:b/>
          <w:sz w:val="28"/>
          <w:szCs w:val="28"/>
          <w:lang w:eastAsia="en-US"/>
        </w:rPr>
        <w:t xml:space="preserve">Значення середнього </w:t>
      </w:r>
      <w:proofErr w:type="spellStart"/>
      <w:r w:rsidRPr="00520861">
        <w:rPr>
          <w:rFonts w:eastAsiaTheme="minorHAnsi"/>
          <w:b/>
          <w:sz w:val="28"/>
          <w:szCs w:val="28"/>
          <w:lang w:eastAsia="en-US"/>
        </w:rPr>
        <w:t>бала</w:t>
      </w:r>
      <w:proofErr w:type="spellEnd"/>
      <w:r w:rsidRPr="00520861">
        <w:rPr>
          <w:rFonts w:eastAsiaTheme="minorHAnsi"/>
          <w:b/>
          <w:sz w:val="28"/>
          <w:szCs w:val="28"/>
          <w:lang w:eastAsia="en-US"/>
        </w:rPr>
        <w:t xml:space="preserve"> впливу сумарного батьківського </w:t>
      </w:r>
      <w:proofErr w:type="spellStart"/>
      <w:r w:rsidRPr="00520861">
        <w:rPr>
          <w:rFonts w:eastAsiaTheme="minorHAnsi"/>
          <w:b/>
          <w:sz w:val="28"/>
          <w:szCs w:val="28"/>
          <w:lang w:eastAsia="en-US"/>
        </w:rPr>
        <w:t>фактора</w:t>
      </w:r>
      <w:proofErr w:type="spellEnd"/>
      <w:r w:rsidRPr="00520861">
        <w:rPr>
          <w:rFonts w:eastAsiaTheme="minorHAnsi"/>
          <w:b/>
          <w:sz w:val="28"/>
          <w:szCs w:val="28"/>
          <w:lang w:eastAsia="en-US"/>
        </w:rPr>
        <w:t xml:space="preserve"> на ризик </w:t>
      </w:r>
      <w:r w:rsidRPr="00520861">
        <w:rPr>
          <w:rFonts w:eastAsiaTheme="minorHAnsi"/>
          <w:b/>
          <w:sz w:val="28"/>
          <w:szCs w:val="28"/>
          <w:lang w:eastAsia="en-US"/>
        </w:rPr>
        <w:br/>
        <w:t xml:space="preserve">виникнення та розвитку </w:t>
      </w:r>
      <w:proofErr w:type="spellStart"/>
      <w:r w:rsidRPr="00520861">
        <w:rPr>
          <w:rFonts w:eastAsiaTheme="minorHAnsi"/>
          <w:b/>
          <w:sz w:val="28"/>
          <w:szCs w:val="28"/>
          <w:lang w:eastAsia="en-US"/>
        </w:rPr>
        <w:t>СтП</w:t>
      </w:r>
      <w:proofErr w:type="spellEnd"/>
      <w:r w:rsidRPr="00520861">
        <w:rPr>
          <w:rFonts w:eastAsiaTheme="minorHAnsi"/>
          <w:b/>
          <w:sz w:val="28"/>
          <w:szCs w:val="28"/>
          <w:lang w:eastAsia="en-US"/>
        </w:rPr>
        <w:t xml:space="preserve"> у нащадків осіб, які були народжені </w:t>
      </w:r>
      <w:r w:rsidRPr="00520861">
        <w:rPr>
          <w:rFonts w:eastAsiaTheme="minorHAnsi"/>
          <w:b/>
          <w:sz w:val="28"/>
          <w:szCs w:val="28"/>
          <w:lang w:eastAsia="en-US"/>
        </w:rPr>
        <w:br/>
      </w:r>
      <w:proofErr w:type="spellStart"/>
      <w:r w:rsidRPr="00520861">
        <w:rPr>
          <w:rFonts w:eastAsiaTheme="minorHAnsi"/>
          <w:b/>
          <w:sz w:val="28"/>
          <w:szCs w:val="28"/>
          <w:lang w:eastAsia="en-US"/>
        </w:rPr>
        <w:t>макросомами</w:t>
      </w:r>
      <w:proofErr w:type="spellEnd"/>
      <w:r w:rsidRPr="00520861">
        <w:rPr>
          <w:rFonts w:eastAsiaTheme="minorHAnsi"/>
          <w:b/>
          <w:sz w:val="28"/>
          <w:szCs w:val="28"/>
          <w:lang w:eastAsia="en-US"/>
        </w:rPr>
        <w:t xml:space="preserve"> чи нащадків осіб, які народилися </w:t>
      </w:r>
      <w:proofErr w:type="spellStart"/>
      <w:r w:rsidRPr="00520861">
        <w:rPr>
          <w:rFonts w:eastAsiaTheme="minorHAnsi"/>
          <w:b/>
          <w:sz w:val="28"/>
          <w:szCs w:val="28"/>
          <w:lang w:eastAsia="en-US"/>
        </w:rPr>
        <w:t>нормосомами</w:t>
      </w:r>
      <w:proofErr w:type="spellEnd"/>
      <w:r w:rsidRPr="00520861">
        <w:rPr>
          <w:rFonts w:eastAsiaTheme="minorHAnsi"/>
          <w:b/>
          <w:sz w:val="28"/>
          <w:szCs w:val="28"/>
          <w:lang w:eastAsia="en-US"/>
        </w:rPr>
        <w:t xml:space="preserve">, в різних вікових категоріях з відповідними 95% довірчими інтервалами </w:t>
      </w:r>
    </w:p>
    <w:tbl>
      <w:tblPr>
        <w:tblStyle w:val="61"/>
        <w:tblW w:w="9952" w:type="dxa"/>
        <w:tblInd w:w="108" w:type="dxa"/>
        <w:tblLook w:val="04A0" w:firstRow="1" w:lastRow="0" w:firstColumn="1" w:lastColumn="0" w:noHBand="0" w:noVBand="1"/>
      </w:tblPr>
      <w:tblGrid>
        <w:gridCol w:w="1730"/>
        <w:gridCol w:w="4297"/>
        <w:gridCol w:w="3925"/>
      </w:tblGrid>
      <w:tr w:rsidR="00CF641C" w:rsidRPr="00520861" w14:paraId="72A9CCC3" w14:textId="77777777" w:rsidTr="00192F24">
        <w:tc>
          <w:tcPr>
            <w:tcW w:w="1730" w:type="dxa"/>
            <w:tcBorders>
              <w:top w:val="single" w:sz="4" w:space="0" w:color="auto"/>
              <w:left w:val="single" w:sz="4" w:space="0" w:color="auto"/>
              <w:bottom w:val="single" w:sz="4" w:space="0" w:color="auto"/>
              <w:right w:val="single" w:sz="4" w:space="0" w:color="auto"/>
            </w:tcBorders>
          </w:tcPr>
          <w:p w14:paraId="150D685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Вікова категорія</w:t>
            </w:r>
          </w:p>
        </w:tc>
        <w:tc>
          <w:tcPr>
            <w:tcW w:w="4297" w:type="dxa"/>
            <w:tcBorders>
              <w:top w:val="single" w:sz="4" w:space="0" w:color="auto"/>
              <w:left w:val="single" w:sz="4" w:space="0" w:color="auto"/>
              <w:bottom w:val="single" w:sz="4" w:space="0" w:color="auto"/>
              <w:right w:val="single" w:sz="4" w:space="0" w:color="auto"/>
            </w:tcBorders>
            <w:hideMark/>
          </w:tcPr>
          <w:p w14:paraId="3E683CDA" w14:textId="77777777" w:rsidR="00CF641C" w:rsidRPr="00520861" w:rsidRDefault="00CF641C" w:rsidP="00292D2E">
            <w:pPr>
              <w:widowControl w:val="0"/>
              <w:spacing w:line="360" w:lineRule="auto"/>
              <w:ind w:right="-179" w:hanging="98"/>
              <w:jc w:val="center"/>
              <w:rPr>
                <w:rFonts w:eastAsia="Calibri"/>
                <w:sz w:val="28"/>
                <w:szCs w:val="28"/>
              </w:rPr>
            </w:pPr>
            <w:r w:rsidRPr="00520861">
              <w:rPr>
                <w:rFonts w:eastAsia="Calibri"/>
                <w:sz w:val="28"/>
                <w:szCs w:val="28"/>
              </w:rPr>
              <w:t>Середнє бальне значення СБФ в учасників дослідження ОГ, B</w:t>
            </w:r>
            <w:r w:rsidRPr="00520861">
              <w:rPr>
                <w:rFonts w:eastAsia="Calibri"/>
                <w:sz w:val="28"/>
                <w:szCs w:val="28"/>
                <w:vertAlign w:val="subscript"/>
              </w:rPr>
              <w:t>1</w:t>
            </w:r>
          </w:p>
        </w:tc>
        <w:tc>
          <w:tcPr>
            <w:tcW w:w="3925" w:type="dxa"/>
            <w:tcBorders>
              <w:top w:val="single" w:sz="4" w:space="0" w:color="auto"/>
              <w:left w:val="single" w:sz="4" w:space="0" w:color="auto"/>
              <w:bottom w:val="single" w:sz="4" w:space="0" w:color="auto"/>
              <w:right w:val="single" w:sz="4" w:space="0" w:color="auto"/>
            </w:tcBorders>
            <w:hideMark/>
          </w:tcPr>
          <w:p w14:paraId="3FF344F9" w14:textId="77777777" w:rsidR="00CF641C" w:rsidRPr="00520861" w:rsidRDefault="00CF641C" w:rsidP="00292D2E">
            <w:pPr>
              <w:widowControl w:val="0"/>
              <w:spacing w:line="360" w:lineRule="auto"/>
              <w:ind w:right="-104" w:hanging="172"/>
              <w:jc w:val="center"/>
              <w:rPr>
                <w:rFonts w:eastAsia="Calibri"/>
                <w:sz w:val="28"/>
                <w:szCs w:val="28"/>
              </w:rPr>
            </w:pPr>
            <w:r w:rsidRPr="00520861">
              <w:rPr>
                <w:rFonts w:eastAsia="Calibri"/>
                <w:sz w:val="28"/>
                <w:szCs w:val="28"/>
              </w:rPr>
              <w:t>Середнє бальне значення СБФ в учасників дослідження ГП, B</w:t>
            </w:r>
            <w:r w:rsidRPr="00520861">
              <w:rPr>
                <w:rFonts w:eastAsia="Calibri"/>
                <w:sz w:val="28"/>
                <w:szCs w:val="28"/>
                <w:vertAlign w:val="subscript"/>
              </w:rPr>
              <w:t>2</w:t>
            </w:r>
          </w:p>
        </w:tc>
      </w:tr>
      <w:tr w:rsidR="00CF641C" w:rsidRPr="00520861" w14:paraId="5E57E882" w14:textId="77777777" w:rsidTr="00192F24">
        <w:tc>
          <w:tcPr>
            <w:tcW w:w="1730" w:type="dxa"/>
            <w:tcBorders>
              <w:top w:val="single" w:sz="4" w:space="0" w:color="auto"/>
              <w:left w:val="single" w:sz="4" w:space="0" w:color="auto"/>
              <w:bottom w:val="single" w:sz="4" w:space="0" w:color="auto"/>
              <w:right w:val="single" w:sz="4" w:space="0" w:color="auto"/>
            </w:tcBorders>
            <w:hideMark/>
          </w:tcPr>
          <w:p w14:paraId="7721398A" w14:textId="77777777" w:rsidR="00CF641C" w:rsidRPr="00520861" w:rsidRDefault="00CF641C" w:rsidP="00292D2E">
            <w:pPr>
              <w:widowControl w:val="0"/>
              <w:spacing w:line="360" w:lineRule="auto"/>
              <w:ind w:right="-103" w:hanging="105"/>
              <w:jc w:val="center"/>
              <w:rPr>
                <w:rFonts w:eastAsia="Calibri"/>
                <w:sz w:val="28"/>
                <w:szCs w:val="28"/>
              </w:rPr>
            </w:pPr>
            <w:r w:rsidRPr="00520861">
              <w:rPr>
                <w:rFonts w:eastAsia="Calibri"/>
                <w:sz w:val="28"/>
                <w:szCs w:val="28"/>
              </w:rPr>
              <w:t>ДГВ</w:t>
            </w:r>
          </w:p>
        </w:tc>
        <w:tc>
          <w:tcPr>
            <w:tcW w:w="4297" w:type="dxa"/>
            <w:tcBorders>
              <w:top w:val="single" w:sz="4" w:space="0" w:color="auto"/>
              <w:left w:val="single" w:sz="4" w:space="0" w:color="auto"/>
              <w:bottom w:val="single" w:sz="4" w:space="0" w:color="auto"/>
              <w:right w:val="single" w:sz="4" w:space="0" w:color="auto"/>
            </w:tcBorders>
            <w:hideMark/>
          </w:tcPr>
          <w:p w14:paraId="50A9682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2,94±0,27</w:t>
            </w:r>
          </w:p>
          <w:p w14:paraId="0E0CA3B7" w14:textId="77777777" w:rsidR="00CF641C" w:rsidRPr="00520861" w:rsidRDefault="00CF641C" w:rsidP="00292D2E">
            <w:pPr>
              <w:widowControl w:val="0"/>
              <w:spacing w:line="360" w:lineRule="auto"/>
              <w:ind w:hanging="113"/>
              <w:jc w:val="center"/>
              <w:rPr>
                <w:rFonts w:eastAsia="Calibri"/>
                <w:sz w:val="28"/>
                <w:szCs w:val="28"/>
              </w:rPr>
            </w:pPr>
            <w:r w:rsidRPr="00520861">
              <w:rPr>
                <w:rFonts w:eastAsia="Calibri"/>
                <w:sz w:val="28"/>
                <w:szCs w:val="28"/>
              </w:rPr>
              <w:t>(за шкалою 1: 3,50±0,36,</w:t>
            </w:r>
          </w:p>
          <w:p w14:paraId="15F16246" w14:textId="77777777" w:rsidR="00CF641C" w:rsidRPr="00520861" w:rsidRDefault="00CF641C" w:rsidP="00292D2E">
            <w:pPr>
              <w:widowControl w:val="0"/>
              <w:spacing w:line="360" w:lineRule="auto"/>
              <w:ind w:left="171" w:hanging="284"/>
              <w:jc w:val="center"/>
              <w:rPr>
                <w:rFonts w:eastAsia="Calibri"/>
                <w:sz w:val="28"/>
                <w:szCs w:val="28"/>
              </w:rPr>
            </w:pPr>
            <w:r w:rsidRPr="00520861">
              <w:rPr>
                <w:rFonts w:eastAsia="Calibri"/>
                <w:sz w:val="28"/>
                <w:szCs w:val="28"/>
              </w:rPr>
              <w:t>за шкалою 2: 2,38±0,37)</w:t>
            </w:r>
          </w:p>
        </w:tc>
        <w:tc>
          <w:tcPr>
            <w:tcW w:w="3925" w:type="dxa"/>
            <w:tcBorders>
              <w:top w:val="single" w:sz="4" w:space="0" w:color="auto"/>
              <w:left w:val="single" w:sz="4" w:space="0" w:color="auto"/>
              <w:bottom w:val="single" w:sz="4" w:space="0" w:color="auto"/>
              <w:right w:val="single" w:sz="4" w:space="0" w:color="auto"/>
            </w:tcBorders>
            <w:hideMark/>
          </w:tcPr>
          <w:p w14:paraId="6853D32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2,20±0,23</w:t>
            </w:r>
          </w:p>
          <w:p w14:paraId="72D829B9" w14:textId="77777777" w:rsidR="00CF641C" w:rsidRPr="00520861" w:rsidRDefault="00CF641C" w:rsidP="00292D2E">
            <w:pPr>
              <w:widowControl w:val="0"/>
              <w:spacing w:line="360" w:lineRule="auto"/>
              <w:ind w:left="-104"/>
              <w:jc w:val="center"/>
              <w:rPr>
                <w:rFonts w:eastAsia="Calibri"/>
                <w:sz w:val="28"/>
                <w:szCs w:val="28"/>
              </w:rPr>
            </w:pPr>
            <w:r w:rsidRPr="00520861">
              <w:rPr>
                <w:rFonts w:eastAsia="Calibri"/>
                <w:sz w:val="28"/>
                <w:szCs w:val="28"/>
              </w:rPr>
              <w:t>(за шкалою 1: 2,65±0,35,</w:t>
            </w:r>
          </w:p>
          <w:p w14:paraId="69C5A500" w14:textId="77777777" w:rsidR="00CF641C" w:rsidRPr="00520861" w:rsidRDefault="00CF641C" w:rsidP="00292D2E">
            <w:pPr>
              <w:widowControl w:val="0"/>
              <w:spacing w:line="360" w:lineRule="auto"/>
              <w:ind w:left="-110"/>
              <w:jc w:val="center"/>
              <w:rPr>
                <w:rFonts w:eastAsia="Calibri"/>
                <w:sz w:val="28"/>
                <w:szCs w:val="28"/>
              </w:rPr>
            </w:pPr>
            <w:r w:rsidRPr="00520861">
              <w:rPr>
                <w:rFonts w:eastAsia="Calibri"/>
                <w:sz w:val="28"/>
                <w:szCs w:val="28"/>
              </w:rPr>
              <w:t>за шкалою 2: 1,76±0,28)</w:t>
            </w:r>
          </w:p>
        </w:tc>
      </w:tr>
      <w:tr w:rsidR="00CF641C" w:rsidRPr="00520861" w14:paraId="27CD6F38" w14:textId="77777777" w:rsidTr="00192F24">
        <w:tc>
          <w:tcPr>
            <w:tcW w:w="1730" w:type="dxa"/>
            <w:tcBorders>
              <w:top w:val="single" w:sz="4" w:space="0" w:color="auto"/>
              <w:left w:val="single" w:sz="4" w:space="0" w:color="auto"/>
              <w:bottom w:val="single" w:sz="4" w:space="0" w:color="auto"/>
              <w:right w:val="single" w:sz="4" w:space="0" w:color="auto"/>
            </w:tcBorders>
            <w:hideMark/>
          </w:tcPr>
          <w:p w14:paraId="6D7FB89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Діти </w:t>
            </w:r>
          </w:p>
        </w:tc>
        <w:tc>
          <w:tcPr>
            <w:tcW w:w="4297" w:type="dxa"/>
            <w:tcBorders>
              <w:top w:val="single" w:sz="4" w:space="0" w:color="auto"/>
              <w:left w:val="single" w:sz="4" w:space="0" w:color="auto"/>
              <w:bottom w:val="single" w:sz="4" w:space="0" w:color="auto"/>
              <w:right w:val="single" w:sz="4" w:space="0" w:color="auto"/>
            </w:tcBorders>
            <w:hideMark/>
          </w:tcPr>
          <w:p w14:paraId="57D8576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3,49±0,44</w:t>
            </w:r>
          </w:p>
        </w:tc>
        <w:tc>
          <w:tcPr>
            <w:tcW w:w="3925" w:type="dxa"/>
            <w:tcBorders>
              <w:top w:val="single" w:sz="4" w:space="0" w:color="auto"/>
              <w:left w:val="single" w:sz="4" w:space="0" w:color="auto"/>
              <w:bottom w:val="single" w:sz="4" w:space="0" w:color="auto"/>
              <w:right w:val="single" w:sz="4" w:space="0" w:color="auto"/>
            </w:tcBorders>
            <w:hideMark/>
          </w:tcPr>
          <w:p w14:paraId="219D3A2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3,15±0,65</w:t>
            </w:r>
          </w:p>
        </w:tc>
      </w:tr>
      <w:tr w:rsidR="00CF641C" w:rsidRPr="00520861" w14:paraId="5C3F787C" w14:textId="77777777" w:rsidTr="00192F24">
        <w:tc>
          <w:tcPr>
            <w:tcW w:w="1730" w:type="dxa"/>
            <w:tcBorders>
              <w:top w:val="single" w:sz="4" w:space="0" w:color="auto"/>
              <w:left w:val="single" w:sz="4" w:space="0" w:color="auto"/>
              <w:bottom w:val="single" w:sz="4" w:space="0" w:color="auto"/>
              <w:right w:val="single" w:sz="4" w:space="0" w:color="auto"/>
            </w:tcBorders>
            <w:hideMark/>
          </w:tcPr>
          <w:p w14:paraId="0F308AE4" w14:textId="77777777" w:rsidR="00CF641C" w:rsidRPr="00520861" w:rsidRDefault="00CF641C" w:rsidP="00292D2E">
            <w:pPr>
              <w:widowControl w:val="0"/>
              <w:spacing w:line="360" w:lineRule="auto"/>
              <w:ind w:right="-103" w:hanging="105"/>
              <w:jc w:val="center"/>
              <w:rPr>
                <w:rFonts w:eastAsia="Calibri"/>
                <w:sz w:val="28"/>
                <w:szCs w:val="28"/>
              </w:rPr>
            </w:pPr>
            <w:r w:rsidRPr="00520861">
              <w:rPr>
                <w:rFonts w:eastAsia="Calibri"/>
                <w:sz w:val="28"/>
                <w:szCs w:val="28"/>
              </w:rPr>
              <w:t>Дорослі особи</w:t>
            </w:r>
          </w:p>
        </w:tc>
        <w:tc>
          <w:tcPr>
            <w:tcW w:w="4297" w:type="dxa"/>
            <w:tcBorders>
              <w:top w:val="single" w:sz="4" w:space="0" w:color="auto"/>
              <w:left w:val="single" w:sz="4" w:space="0" w:color="auto"/>
              <w:bottom w:val="single" w:sz="4" w:space="0" w:color="auto"/>
              <w:right w:val="single" w:sz="4" w:space="0" w:color="auto"/>
            </w:tcBorders>
            <w:hideMark/>
          </w:tcPr>
          <w:p w14:paraId="544D149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3,12±0,38</w:t>
            </w:r>
          </w:p>
        </w:tc>
        <w:tc>
          <w:tcPr>
            <w:tcW w:w="3925" w:type="dxa"/>
            <w:tcBorders>
              <w:top w:val="single" w:sz="4" w:space="0" w:color="auto"/>
              <w:left w:val="single" w:sz="4" w:space="0" w:color="auto"/>
              <w:bottom w:val="single" w:sz="4" w:space="0" w:color="auto"/>
              <w:right w:val="single" w:sz="4" w:space="0" w:color="auto"/>
            </w:tcBorders>
            <w:hideMark/>
          </w:tcPr>
          <w:p w14:paraId="2C1C7EF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2,80±0,36</w:t>
            </w:r>
          </w:p>
        </w:tc>
      </w:tr>
    </w:tbl>
    <w:p w14:paraId="09FE1414" w14:textId="77777777" w:rsidR="00CF641C" w:rsidRPr="00520861" w:rsidRDefault="00CF641C" w:rsidP="00292D2E">
      <w:pPr>
        <w:widowControl w:val="0"/>
        <w:spacing w:line="360" w:lineRule="auto"/>
        <w:ind w:firstLine="709"/>
        <w:jc w:val="both"/>
        <w:rPr>
          <w:rFonts w:eastAsiaTheme="minorHAnsi"/>
          <w:sz w:val="28"/>
          <w:szCs w:val="28"/>
          <w:lang w:eastAsia="en-US"/>
        </w:rPr>
      </w:pPr>
    </w:p>
    <w:p w14:paraId="7354ED5F" w14:textId="77777777" w:rsidR="00CF641C" w:rsidRPr="00520861" w:rsidRDefault="00CF641C" w:rsidP="00292D2E">
      <w:pPr>
        <w:widowControl w:val="0"/>
        <w:spacing w:line="360" w:lineRule="auto"/>
        <w:ind w:firstLine="709"/>
        <w:jc w:val="right"/>
        <w:rPr>
          <w:rFonts w:eastAsiaTheme="minorHAnsi"/>
          <w:i/>
          <w:sz w:val="28"/>
          <w:szCs w:val="28"/>
          <w:lang w:eastAsia="en-US"/>
        </w:rPr>
      </w:pPr>
      <w:r w:rsidRPr="00520861">
        <w:rPr>
          <w:rFonts w:eastAsiaTheme="minorHAnsi"/>
          <w:i/>
          <w:sz w:val="28"/>
          <w:szCs w:val="28"/>
          <w:lang w:eastAsia="en-US"/>
        </w:rPr>
        <w:t>Таблиця 4.16</w:t>
      </w:r>
    </w:p>
    <w:p w14:paraId="1C2358DD"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Theme="minorHAnsi"/>
          <w:b/>
          <w:sz w:val="28"/>
          <w:szCs w:val="28"/>
          <w:lang w:eastAsia="en-US"/>
        </w:rPr>
        <w:t>Відомості про абсолютну та відносну кількість батьків-</w:t>
      </w:r>
      <w:proofErr w:type="spellStart"/>
      <w:r w:rsidRPr="00520861">
        <w:rPr>
          <w:rFonts w:eastAsiaTheme="minorHAnsi"/>
          <w:b/>
          <w:sz w:val="28"/>
          <w:szCs w:val="28"/>
          <w:lang w:eastAsia="en-US"/>
        </w:rPr>
        <w:t>макросомів</w:t>
      </w:r>
      <w:proofErr w:type="spellEnd"/>
      <w:r w:rsidRPr="00520861">
        <w:rPr>
          <w:rFonts w:eastAsiaTheme="minorHAnsi"/>
          <w:b/>
          <w:sz w:val="28"/>
          <w:szCs w:val="28"/>
          <w:lang w:eastAsia="en-US"/>
        </w:rPr>
        <w:t xml:space="preserve"> серед учасників опитування в залежності від вікової категорії та групи дослідження</w:t>
      </w:r>
    </w:p>
    <w:tbl>
      <w:tblPr>
        <w:tblStyle w:val="61"/>
        <w:tblW w:w="9810" w:type="dxa"/>
        <w:tblInd w:w="250" w:type="dxa"/>
        <w:tblLayout w:type="fixed"/>
        <w:tblLook w:val="04A0" w:firstRow="1" w:lastRow="0" w:firstColumn="1" w:lastColumn="0" w:noHBand="0" w:noVBand="1"/>
      </w:tblPr>
      <w:tblGrid>
        <w:gridCol w:w="1559"/>
        <w:gridCol w:w="1375"/>
        <w:gridCol w:w="1375"/>
        <w:gridCol w:w="1361"/>
        <w:gridCol w:w="14"/>
        <w:gridCol w:w="1375"/>
        <w:gridCol w:w="1375"/>
        <w:gridCol w:w="1376"/>
      </w:tblGrid>
      <w:tr w:rsidR="00CF641C" w:rsidRPr="00520861" w14:paraId="0670CD59" w14:textId="77777777" w:rsidTr="00292D2E">
        <w:tc>
          <w:tcPr>
            <w:tcW w:w="1559" w:type="dxa"/>
            <w:vMerge w:val="restart"/>
            <w:tcBorders>
              <w:top w:val="single" w:sz="4" w:space="0" w:color="auto"/>
              <w:left w:val="single" w:sz="4" w:space="0" w:color="auto"/>
              <w:bottom w:val="single" w:sz="4" w:space="0" w:color="auto"/>
              <w:right w:val="single" w:sz="4" w:space="0" w:color="auto"/>
            </w:tcBorders>
          </w:tcPr>
          <w:p w14:paraId="1314D9CC" w14:textId="77777777" w:rsidR="00CF641C" w:rsidRPr="00520861" w:rsidRDefault="00CF641C" w:rsidP="00292D2E">
            <w:pPr>
              <w:widowControl w:val="0"/>
              <w:spacing w:line="360" w:lineRule="auto"/>
              <w:jc w:val="center"/>
              <w:rPr>
                <w:rFonts w:eastAsia="Calibri"/>
                <w:sz w:val="28"/>
                <w:szCs w:val="28"/>
              </w:rPr>
            </w:pPr>
          </w:p>
          <w:p w14:paraId="21F433D7" w14:textId="77777777" w:rsidR="00CF641C" w:rsidRPr="00520861" w:rsidRDefault="00CF641C" w:rsidP="00292D2E">
            <w:pPr>
              <w:widowControl w:val="0"/>
              <w:spacing w:line="360" w:lineRule="auto"/>
              <w:jc w:val="center"/>
              <w:rPr>
                <w:rFonts w:eastAsia="Calibri"/>
                <w:sz w:val="28"/>
                <w:szCs w:val="28"/>
              </w:rPr>
            </w:pPr>
          </w:p>
          <w:p w14:paraId="30757295" w14:textId="77777777" w:rsidR="00CF641C" w:rsidRPr="00520861" w:rsidRDefault="00CF641C" w:rsidP="00292D2E">
            <w:pPr>
              <w:widowControl w:val="0"/>
              <w:spacing w:line="360" w:lineRule="auto"/>
              <w:ind w:right="-188"/>
              <w:jc w:val="center"/>
              <w:rPr>
                <w:rFonts w:eastAsia="Calibri"/>
                <w:sz w:val="28"/>
                <w:szCs w:val="28"/>
              </w:rPr>
            </w:pPr>
          </w:p>
          <w:p w14:paraId="24B98FC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Вікові категорії</w:t>
            </w:r>
          </w:p>
        </w:tc>
        <w:tc>
          <w:tcPr>
            <w:tcW w:w="4111" w:type="dxa"/>
            <w:gridSpan w:val="3"/>
            <w:tcBorders>
              <w:top w:val="single" w:sz="4" w:space="0" w:color="auto"/>
              <w:left w:val="single" w:sz="4" w:space="0" w:color="auto"/>
              <w:bottom w:val="single" w:sz="4" w:space="0" w:color="auto"/>
              <w:right w:val="single" w:sz="4" w:space="0" w:color="auto"/>
            </w:tcBorders>
            <w:hideMark/>
          </w:tcPr>
          <w:p w14:paraId="7DCE84D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ОГ</w:t>
            </w:r>
          </w:p>
        </w:tc>
        <w:tc>
          <w:tcPr>
            <w:tcW w:w="4140" w:type="dxa"/>
            <w:gridSpan w:val="4"/>
            <w:tcBorders>
              <w:top w:val="single" w:sz="4" w:space="0" w:color="auto"/>
              <w:left w:val="single" w:sz="4" w:space="0" w:color="auto"/>
              <w:bottom w:val="single" w:sz="4" w:space="0" w:color="auto"/>
              <w:right w:val="single" w:sz="4" w:space="0" w:color="auto"/>
            </w:tcBorders>
            <w:hideMark/>
          </w:tcPr>
          <w:p w14:paraId="76CBE08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ГП</w:t>
            </w:r>
          </w:p>
        </w:tc>
      </w:tr>
      <w:tr w:rsidR="00CF641C" w:rsidRPr="00520861" w14:paraId="07A877EF" w14:textId="77777777" w:rsidTr="00292D2E">
        <w:tc>
          <w:tcPr>
            <w:tcW w:w="1559" w:type="dxa"/>
            <w:vMerge/>
            <w:tcBorders>
              <w:top w:val="single" w:sz="4" w:space="0" w:color="auto"/>
              <w:left w:val="single" w:sz="4" w:space="0" w:color="auto"/>
              <w:bottom w:val="single" w:sz="4" w:space="0" w:color="auto"/>
              <w:right w:val="single" w:sz="4" w:space="0" w:color="auto"/>
            </w:tcBorders>
            <w:vAlign w:val="center"/>
            <w:hideMark/>
          </w:tcPr>
          <w:p w14:paraId="30827506" w14:textId="77777777" w:rsidR="00CF641C" w:rsidRPr="00520861" w:rsidRDefault="00CF641C" w:rsidP="00292D2E">
            <w:pPr>
              <w:widowControl w:val="0"/>
              <w:spacing w:line="360" w:lineRule="auto"/>
              <w:rPr>
                <w:rFonts w:eastAsia="Calibri"/>
                <w:sz w:val="28"/>
                <w:szCs w:val="28"/>
              </w:rPr>
            </w:pPr>
          </w:p>
        </w:tc>
        <w:tc>
          <w:tcPr>
            <w:tcW w:w="1375" w:type="dxa"/>
            <w:tcBorders>
              <w:top w:val="single" w:sz="4" w:space="0" w:color="auto"/>
              <w:left w:val="single" w:sz="4" w:space="0" w:color="auto"/>
              <w:bottom w:val="single" w:sz="4" w:space="0" w:color="auto"/>
              <w:right w:val="single" w:sz="4" w:space="0" w:color="auto"/>
            </w:tcBorders>
            <w:hideMark/>
          </w:tcPr>
          <w:p w14:paraId="17D028A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Загальна кількість респондентів,</w:t>
            </w:r>
          </w:p>
          <w:p w14:paraId="27B4F885" w14:textId="77777777" w:rsidR="00CF641C" w:rsidRPr="00520861" w:rsidRDefault="00000000" w:rsidP="00292D2E">
            <w:pPr>
              <w:widowControl w:val="0"/>
              <w:spacing w:line="360" w:lineRule="auto"/>
              <w:jc w:val="center"/>
              <w:rPr>
                <w:rFonts w:eastAsia="Calibri"/>
                <w:sz w:val="28"/>
                <w:szCs w:val="28"/>
              </w:rPr>
            </w:pPr>
            <m:oMathPara>
              <m:oMath>
                <m:sSub>
                  <m:sSubPr>
                    <m:ctrlPr>
                      <w:rPr>
                        <w:rFonts w:ascii="Cambria Math" w:eastAsia="Calibri" w:hAnsi="Cambria Math"/>
                        <w:sz w:val="28"/>
                        <w:szCs w:val="28"/>
                      </w:rPr>
                    </m:ctrlPr>
                  </m:sSubPr>
                  <m:e>
                    <m:r>
                      <m:rPr>
                        <m:sty m:val="p"/>
                      </m:rPr>
                      <w:rPr>
                        <w:rFonts w:ascii="Cambria Math" w:eastAsia="Calibri" w:hAnsi="Cambria Math"/>
                        <w:sz w:val="28"/>
                        <w:szCs w:val="28"/>
                      </w:rPr>
                      <m:t>Σ</m:t>
                    </m:r>
                  </m:e>
                  <m:sub>
                    <m:r>
                      <w:rPr>
                        <w:rFonts w:ascii="Cambria Math" w:eastAsia="Calibri" w:hAnsi="Cambria Math"/>
                        <w:sz w:val="28"/>
                        <w:szCs w:val="28"/>
                      </w:rPr>
                      <m:t>1</m:t>
                    </m:r>
                  </m:sub>
                </m:sSub>
              </m:oMath>
            </m:oMathPara>
          </w:p>
        </w:tc>
        <w:tc>
          <w:tcPr>
            <w:tcW w:w="1375" w:type="dxa"/>
            <w:tcBorders>
              <w:top w:val="single" w:sz="4" w:space="0" w:color="auto"/>
              <w:left w:val="single" w:sz="4" w:space="0" w:color="auto"/>
              <w:bottom w:val="single" w:sz="4" w:space="0" w:color="auto"/>
              <w:right w:val="single" w:sz="4" w:space="0" w:color="auto"/>
            </w:tcBorders>
            <w:hideMark/>
          </w:tcPr>
          <w:p w14:paraId="64AEDC55" w14:textId="77777777" w:rsidR="00CF641C" w:rsidRPr="00520861" w:rsidRDefault="00CF641C" w:rsidP="00292D2E">
            <w:pPr>
              <w:widowControl w:val="0"/>
              <w:spacing w:line="360" w:lineRule="auto"/>
              <w:ind w:left="-117" w:right="-301" w:firstLine="25"/>
              <w:jc w:val="center"/>
              <w:rPr>
                <w:rFonts w:eastAsia="Calibri"/>
                <w:sz w:val="28"/>
                <w:szCs w:val="28"/>
              </w:rPr>
            </w:pPr>
            <w:r w:rsidRPr="00520861">
              <w:rPr>
                <w:rFonts w:eastAsia="Calibri"/>
                <w:sz w:val="28"/>
                <w:szCs w:val="28"/>
              </w:rPr>
              <w:t xml:space="preserve">Кількість дітей, у яких батьки народилися </w:t>
            </w:r>
            <w:proofErr w:type="spellStart"/>
            <w:r w:rsidRPr="00520861">
              <w:rPr>
                <w:rFonts w:eastAsia="Calibri"/>
                <w:sz w:val="28"/>
                <w:szCs w:val="28"/>
              </w:rPr>
              <w:t>макросомами</w:t>
            </w:r>
            <w:proofErr w:type="spellEnd"/>
            <w:r w:rsidRPr="00520861">
              <w:rPr>
                <w:rFonts w:eastAsia="Calibri"/>
                <w:sz w:val="28"/>
                <w:szCs w:val="28"/>
              </w:rPr>
              <w:t>,</w:t>
            </w:r>
          </w:p>
          <w:p w14:paraId="234796CD" w14:textId="77777777" w:rsidR="00CF641C" w:rsidRPr="00520861" w:rsidRDefault="00CF641C" w:rsidP="00292D2E">
            <w:pPr>
              <w:widowControl w:val="0"/>
              <w:spacing w:line="360" w:lineRule="auto"/>
              <w:jc w:val="center"/>
              <w:rPr>
                <w:rFonts w:eastAsia="Calibri"/>
                <w:sz w:val="28"/>
                <w:szCs w:val="28"/>
              </w:rPr>
            </w:pPr>
            <w:r w:rsidRPr="00520861">
              <w:rPr>
                <w:rFonts w:eastAsia="Calibri"/>
                <w:i/>
                <w:sz w:val="28"/>
                <w:szCs w:val="28"/>
              </w:rPr>
              <w:t>m</w:t>
            </w:r>
            <w:r w:rsidRPr="00520861">
              <w:rPr>
                <w:rFonts w:eastAsia="Calibri"/>
                <w:sz w:val="28"/>
                <w:szCs w:val="28"/>
                <w:vertAlign w:val="subscript"/>
              </w:rPr>
              <w:t>1</w:t>
            </w:r>
          </w:p>
        </w:tc>
        <w:tc>
          <w:tcPr>
            <w:tcW w:w="1375" w:type="dxa"/>
            <w:gridSpan w:val="2"/>
            <w:tcBorders>
              <w:top w:val="single" w:sz="4" w:space="0" w:color="auto"/>
              <w:left w:val="single" w:sz="4" w:space="0" w:color="auto"/>
              <w:bottom w:val="single" w:sz="4" w:space="0" w:color="auto"/>
              <w:right w:val="single" w:sz="4" w:space="0" w:color="auto"/>
            </w:tcBorders>
            <w:hideMark/>
          </w:tcPr>
          <w:p w14:paraId="0C70FBDC" w14:textId="77777777" w:rsidR="00CF641C" w:rsidRPr="00520861" w:rsidRDefault="00CF641C" w:rsidP="00292D2E">
            <w:pPr>
              <w:widowControl w:val="0"/>
              <w:spacing w:line="360" w:lineRule="auto"/>
              <w:ind w:left="-53" w:right="-142"/>
              <w:jc w:val="center"/>
              <w:rPr>
                <w:rFonts w:eastAsia="Calibri"/>
                <w:sz w:val="28"/>
                <w:szCs w:val="28"/>
              </w:rPr>
            </w:pPr>
            <w:r w:rsidRPr="00520861">
              <w:rPr>
                <w:rFonts w:eastAsia="Calibri"/>
                <w:sz w:val="28"/>
                <w:szCs w:val="28"/>
              </w:rPr>
              <w:t xml:space="preserve">Відносна кількість батьків – </w:t>
            </w:r>
            <w:proofErr w:type="spellStart"/>
            <w:r w:rsidRPr="00520861">
              <w:rPr>
                <w:rFonts w:eastAsia="Calibri"/>
                <w:sz w:val="28"/>
                <w:szCs w:val="28"/>
              </w:rPr>
              <w:t>макросомів</w:t>
            </w:r>
            <w:proofErr w:type="spellEnd"/>
            <w:r w:rsidRPr="00520861">
              <w:rPr>
                <w:rFonts w:eastAsia="Calibri"/>
                <w:sz w:val="28"/>
                <w:szCs w:val="28"/>
              </w:rPr>
              <w:t xml:space="preserve"> при народженні,</w:t>
            </w:r>
          </w:p>
          <w:p w14:paraId="657AE20A" w14:textId="77777777" w:rsidR="00CF641C" w:rsidRPr="00520861" w:rsidRDefault="00000000" w:rsidP="00292D2E">
            <w:pPr>
              <w:widowControl w:val="0"/>
              <w:spacing w:line="360" w:lineRule="auto"/>
              <w:jc w:val="center"/>
              <w:rPr>
                <w:rFonts w:eastAsia="Calibri"/>
                <w:sz w:val="28"/>
                <w:szCs w:val="28"/>
              </w:rPr>
            </w:pPr>
            <m:oMathPara>
              <m:oMath>
                <m:f>
                  <m:fPr>
                    <m:type m:val="lin"/>
                    <m:ctrlPr>
                      <w:rPr>
                        <w:rFonts w:ascii="Cambria Math" w:eastAsia="Calibri" w:hAnsi="Cambria Math"/>
                        <w:i/>
                        <w:sz w:val="28"/>
                        <w:szCs w:val="28"/>
                      </w:rPr>
                    </m:ctrlPr>
                  </m:fPr>
                  <m:num>
                    <m:sSub>
                      <m:sSubPr>
                        <m:ctrlPr>
                          <w:rPr>
                            <w:rFonts w:ascii="Cambria Math" w:eastAsia="Calibri" w:hAnsi="Cambria Math"/>
                            <w:i/>
                            <w:sz w:val="28"/>
                            <w:szCs w:val="28"/>
                          </w:rPr>
                        </m:ctrlPr>
                      </m:sSubPr>
                      <m:e>
                        <m:r>
                          <w:rPr>
                            <w:rFonts w:ascii="Cambria Math" w:eastAsia="Calibri" w:hAnsi="Cambria Math"/>
                            <w:sz w:val="28"/>
                            <w:szCs w:val="28"/>
                          </w:rPr>
                          <m:t>m</m:t>
                        </m:r>
                      </m:e>
                      <m:sub>
                        <m:r>
                          <w:rPr>
                            <w:rFonts w:ascii="Cambria Math" w:eastAsia="Calibri" w:hAnsi="Cambria Math"/>
                            <w:sz w:val="28"/>
                            <w:szCs w:val="28"/>
                          </w:rPr>
                          <m:t>1</m:t>
                        </m:r>
                      </m:sub>
                    </m:sSub>
                  </m:num>
                  <m:den>
                    <m:sSub>
                      <m:sSubPr>
                        <m:ctrlPr>
                          <w:rPr>
                            <w:rFonts w:ascii="Cambria Math" w:eastAsia="Calibri" w:hAnsi="Cambria Math"/>
                            <w:i/>
                            <w:sz w:val="28"/>
                            <w:szCs w:val="28"/>
                          </w:rPr>
                        </m:ctrlPr>
                      </m:sSubPr>
                      <m:e>
                        <m:r>
                          <m:rPr>
                            <m:sty m:val="p"/>
                          </m:rPr>
                          <w:rPr>
                            <w:rFonts w:ascii="Cambria Math" w:eastAsia="Calibri" w:hAnsi="Cambria Math"/>
                            <w:sz w:val="28"/>
                            <w:szCs w:val="28"/>
                          </w:rPr>
                          <m:t>Σ</m:t>
                        </m:r>
                      </m:e>
                      <m:sub>
                        <m:r>
                          <w:rPr>
                            <w:rFonts w:ascii="Cambria Math" w:eastAsia="Calibri" w:hAnsi="Cambria Math"/>
                            <w:sz w:val="28"/>
                            <w:szCs w:val="28"/>
                          </w:rPr>
                          <m:t>1</m:t>
                        </m:r>
                      </m:sub>
                    </m:sSub>
                  </m:den>
                </m:f>
              </m:oMath>
            </m:oMathPara>
          </w:p>
        </w:tc>
        <w:tc>
          <w:tcPr>
            <w:tcW w:w="1375" w:type="dxa"/>
            <w:tcBorders>
              <w:top w:val="single" w:sz="4" w:space="0" w:color="auto"/>
              <w:left w:val="single" w:sz="4" w:space="0" w:color="auto"/>
              <w:bottom w:val="single" w:sz="4" w:space="0" w:color="auto"/>
              <w:right w:val="single" w:sz="4" w:space="0" w:color="auto"/>
            </w:tcBorders>
            <w:hideMark/>
          </w:tcPr>
          <w:p w14:paraId="363E7F8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Загальна кількість респондентів,</w:t>
            </w:r>
          </w:p>
          <w:p w14:paraId="16AF85CF" w14:textId="77777777" w:rsidR="00CF641C" w:rsidRPr="00520861" w:rsidRDefault="00000000" w:rsidP="00292D2E">
            <w:pPr>
              <w:widowControl w:val="0"/>
              <w:spacing w:line="360" w:lineRule="auto"/>
              <w:jc w:val="center"/>
              <w:rPr>
                <w:rFonts w:eastAsia="Calibri"/>
                <w:sz w:val="28"/>
                <w:szCs w:val="28"/>
              </w:rPr>
            </w:pPr>
            <m:oMathPara>
              <m:oMath>
                <m:sSub>
                  <m:sSubPr>
                    <m:ctrlPr>
                      <w:rPr>
                        <w:rFonts w:ascii="Cambria Math" w:eastAsia="Calibri" w:hAnsi="Cambria Math"/>
                        <w:i/>
                        <w:sz w:val="28"/>
                        <w:szCs w:val="28"/>
                      </w:rPr>
                    </m:ctrlPr>
                  </m:sSubPr>
                  <m:e>
                    <m:r>
                      <m:rPr>
                        <m:sty m:val="p"/>
                      </m:rPr>
                      <w:rPr>
                        <w:rFonts w:ascii="Cambria Math" w:eastAsia="Calibri" w:hAnsi="Cambria Math"/>
                        <w:sz w:val="28"/>
                        <w:szCs w:val="28"/>
                      </w:rPr>
                      <m:t>Σ</m:t>
                    </m:r>
                  </m:e>
                  <m:sub>
                    <m:r>
                      <w:rPr>
                        <w:rFonts w:ascii="Cambria Math" w:eastAsia="Calibri" w:hAnsi="Cambria Math"/>
                        <w:sz w:val="28"/>
                        <w:szCs w:val="28"/>
                      </w:rPr>
                      <m:t>2</m:t>
                    </m:r>
                  </m:sub>
                </m:sSub>
              </m:oMath>
            </m:oMathPara>
          </w:p>
        </w:tc>
        <w:tc>
          <w:tcPr>
            <w:tcW w:w="1375" w:type="dxa"/>
            <w:tcBorders>
              <w:top w:val="single" w:sz="4" w:space="0" w:color="auto"/>
              <w:left w:val="single" w:sz="4" w:space="0" w:color="auto"/>
              <w:bottom w:val="single" w:sz="4" w:space="0" w:color="auto"/>
              <w:right w:val="single" w:sz="4" w:space="0" w:color="auto"/>
            </w:tcBorders>
            <w:hideMark/>
          </w:tcPr>
          <w:p w14:paraId="66AD244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Кількість дітей, у яких батьки народилися </w:t>
            </w:r>
            <w:proofErr w:type="spellStart"/>
            <w:r w:rsidRPr="00520861">
              <w:rPr>
                <w:rFonts w:eastAsia="Calibri"/>
                <w:sz w:val="28"/>
                <w:szCs w:val="28"/>
              </w:rPr>
              <w:t>макросомами</w:t>
            </w:r>
            <w:proofErr w:type="spellEnd"/>
            <w:r w:rsidRPr="00520861">
              <w:rPr>
                <w:rFonts w:eastAsia="Calibri"/>
                <w:sz w:val="28"/>
                <w:szCs w:val="28"/>
              </w:rPr>
              <w:t>,</w:t>
            </w:r>
          </w:p>
          <w:p w14:paraId="1B55759D" w14:textId="77777777" w:rsidR="00CF641C" w:rsidRPr="00520861" w:rsidRDefault="00CF641C" w:rsidP="00292D2E">
            <w:pPr>
              <w:widowControl w:val="0"/>
              <w:spacing w:line="360" w:lineRule="auto"/>
              <w:jc w:val="center"/>
              <w:rPr>
                <w:rFonts w:eastAsia="Calibri"/>
                <w:sz w:val="28"/>
                <w:szCs w:val="28"/>
              </w:rPr>
            </w:pPr>
            <w:r w:rsidRPr="00520861">
              <w:rPr>
                <w:rFonts w:eastAsia="Calibri"/>
                <w:i/>
                <w:sz w:val="28"/>
                <w:szCs w:val="28"/>
              </w:rPr>
              <w:t>m</w:t>
            </w:r>
            <w:r w:rsidRPr="00520861">
              <w:rPr>
                <w:rFonts w:eastAsia="Calibri"/>
                <w:sz w:val="28"/>
                <w:szCs w:val="28"/>
                <w:vertAlign w:val="subscript"/>
              </w:rPr>
              <w:t>2</w:t>
            </w:r>
          </w:p>
        </w:tc>
        <w:tc>
          <w:tcPr>
            <w:tcW w:w="1376" w:type="dxa"/>
            <w:tcBorders>
              <w:top w:val="single" w:sz="4" w:space="0" w:color="auto"/>
              <w:left w:val="single" w:sz="4" w:space="0" w:color="auto"/>
              <w:bottom w:val="single" w:sz="4" w:space="0" w:color="auto"/>
              <w:right w:val="single" w:sz="4" w:space="0" w:color="auto"/>
            </w:tcBorders>
            <w:hideMark/>
          </w:tcPr>
          <w:p w14:paraId="388DB5E4"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Відносна кількість батьків – </w:t>
            </w:r>
            <w:proofErr w:type="spellStart"/>
            <w:r w:rsidRPr="00520861">
              <w:rPr>
                <w:rFonts w:eastAsia="Calibri"/>
                <w:sz w:val="28"/>
                <w:szCs w:val="28"/>
              </w:rPr>
              <w:t>макросомів</w:t>
            </w:r>
            <w:proofErr w:type="spellEnd"/>
            <w:r w:rsidRPr="00520861">
              <w:rPr>
                <w:rFonts w:eastAsia="Calibri"/>
                <w:sz w:val="28"/>
                <w:szCs w:val="28"/>
              </w:rPr>
              <w:t xml:space="preserve"> при народ</w:t>
            </w:r>
            <w:r w:rsidR="005D6941" w:rsidRPr="00520861">
              <w:rPr>
                <w:rFonts w:eastAsia="Calibri"/>
                <w:sz w:val="28"/>
                <w:szCs w:val="28"/>
              </w:rPr>
              <w:t xml:space="preserve">- </w:t>
            </w:r>
            <w:proofErr w:type="spellStart"/>
            <w:r w:rsidRPr="00520861">
              <w:rPr>
                <w:rFonts w:eastAsia="Calibri"/>
                <w:sz w:val="28"/>
                <w:szCs w:val="28"/>
              </w:rPr>
              <w:t>женні</w:t>
            </w:r>
            <w:proofErr w:type="spellEnd"/>
            <w:r w:rsidRPr="00520861">
              <w:rPr>
                <w:rFonts w:eastAsia="Calibri"/>
                <w:sz w:val="28"/>
                <w:szCs w:val="28"/>
              </w:rPr>
              <w:t>,</w:t>
            </w:r>
          </w:p>
          <w:p w14:paraId="2F87CBF6" w14:textId="77777777" w:rsidR="00CF641C" w:rsidRPr="00520861" w:rsidRDefault="00000000" w:rsidP="00292D2E">
            <w:pPr>
              <w:widowControl w:val="0"/>
              <w:spacing w:line="360" w:lineRule="auto"/>
              <w:jc w:val="center"/>
              <w:rPr>
                <w:rFonts w:eastAsia="Calibri"/>
                <w:sz w:val="28"/>
                <w:szCs w:val="28"/>
              </w:rPr>
            </w:pPr>
            <m:oMathPara>
              <m:oMath>
                <m:f>
                  <m:fPr>
                    <m:type m:val="lin"/>
                    <m:ctrlPr>
                      <w:rPr>
                        <w:rFonts w:ascii="Cambria Math" w:eastAsia="Calibri" w:hAnsi="Cambria Math"/>
                        <w:i/>
                        <w:sz w:val="28"/>
                        <w:szCs w:val="28"/>
                      </w:rPr>
                    </m:ctrlPr>
                  </m:fPr>
                  <m:num>
                    <m:sSub>
                      <m:sSubPr>
                        <m:ctrlPr>
                          <w:rPr>
                            <w:rFonts w:ascii="Cambria Math" w:eastAsia="Calibri" w:hAnsi="Cambria Math"/>
                            <w:i/>
                            <w:sz w:val="28"/>
                            <w:szCs w:val="28"/>
                          </w:rPr>
                        </m:ctrlPr>
                      </m:sSubPr>
                      <m:e>
                        <m:r>
                          <w:rPr>
                            <w:rFonts w:ascii="Cambria Math" w:eastAsia="Calibri" w:hAnsi="Cambria Math"/>
                            <w:sz w:val="28"/>
                            <w:szCs w:val="28"/>
                          </w:rPr>
                          <m:t>m</m:t>
                        </m:r>
                      </m:e>
                      <m:sub>
                        <m:r>
                          <w:rPr>
                            <w:rFonts w:ascii="Cambria Math" w:eastAsia="Calibri" w:hAnsi="Cambria Math"/>
                            <w:sz w:val="28"/>
                            <w:szCs w:val="28"/>
                          </w:rPr>
                          <m:t>2</m:t>
                        </m:r>
                      </m:sub>
                    </m:sSub>
                  </m:num>
                  <m:den>
                    <m:sSub>
                      <m:sSubPr>
                        <m:ctrlPr>
                          <w:rPr>
                            <w:rFonts w:ascii="Cambria Math" w:eastAsia="Calibri" w:hAnsi="Cambria Math"/>
                            <w:i/>
                            <w:sz w:val="28"/>
                            <w:szCs w:val="28"/>
                          </w:rPr>
                        </m:ctrlPr>
                      </m:sSubPr>
                      <m:e>
                        <m:r>
                          <m:rPr>
                            <m:sty m:val="p"/>
                          </m:rPr>
                          <w:rPr>
                            <w:rFonts w:ascii="Cambria Math" w:eastAsia="Calibri" w:hAnsi="Cambria Math"/>
                            <w:sz w:val="28"/>
                            <w:szCs w:val="28"/>
                          </w:rPr>
                          <m:t>Σ</m:t>
                        </m:r>
                      </m:e>
                      <m:sub>
                        <m:r>
                          <w:rPr>
                            <w:rFonts w:ascii="Cambria Math" w:eastAsia="Calibri" w:hAnsi="Cambria Math"/>
                            <w:sz w:val="28"/>
                            <w:szCs w:val="28"/>
                          </w:rPr>
                          <m:t>2</m:t>
                        </m:r>
                      </m:sub>
                    </m:sSub>
                  </m:den>
                </m:f>
              </m:oMath>
            </m:oMathPara>
          </w:p>
        </w:tc>
      </w:tr>
      <w:tr w:rsidR="00CF641C" w:rsidRPr="00520861" w14:paraId="167F792F" w14:textId="77777777" w:rsidTr="00292D2E">
        <w:tc>
          <w:tcPr>
            <w:tcW w:w="1559" w:type="dxa"/>
            <w:tcBorders>
              <w:top w:val="single" w:sz="4" w:space="0" w:color="auto"/>
              <w:left w:val="single" w:sz="4" w:space="0" w:color="auto"/>
              <w:bottom w:val="single" w:sz="4" w:space="0" w:color="auto"/>
              <w:right w:val="single" w:sz="4" w:space="0" w:color="auto"/>
            </w:tcBorders>
            <w:hideMark/>
          </w:tcPr>
          <w:p w14:paraId="650DBDF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ДГВ</w:t>
            </w:r>
          </w:p>
        </w:tc>
        <w:tc>
          <w:tcPr>
            <w:tcW w:w="1375" w:type="dxa"/>
            <w:tcBorders>
              <w:top w:val="single" w:sz="4" w:space="0" w:color="auto"/>
              <w:left w:val="single" w:sz="4" w:space="0" w:color="auto"/>
              <w:bottom w:val="single" w:sz="4" w:space="0" w:color="auto"/>
              <w:right w:val="single" w:sz="4" w:space="0" w:color="auto"/>
            </w:tcBorders>
            <w:hideMark/>
          </w:tcPr>
          <w:p w14:paraId="5B3D00F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68</w:t>
            </w:r>
          </w:p>
        </w:tc>
        <w:tc>
          <w:tcPr>
            <w:tcW w:w="1375" w:type="dxa"/>
            <w:tcBorders>
              <w:top w:val="single" w:sz="4" w:space="0" w:color="auto"/>
              <w:left w:val="single" w:sz="4" w:space="0" w:color="auto"/>
              <w:bottom w:val="single" w:sz="4" w:space="0" w:color="auto"/>
              <w:right w:val="single" w:sz="4" w:space="0" w:color="auto"/>
            </w:tcBorders>
            <w:hideMark/>
          </w:tcPr>
          <w:p w14:paraId="4E5B274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32</w:t>
            </w:r>
          </w:p>
        </w:tc>
        <w:tc>
          <w:tcPr>
            <w:tcW w:w="1375" w:type="dxa"/>
            <w:gridSpan w:val="2"/>
            <w:tcBorders>
              <w:top w:val="single" w:sz="4" w:space="0" w:color="auto"/>
              <w:left w:val="single" w:sz="4" w:space="0" w:color="auto"/>
              <w:bottom w:val="single" w:sz="4" w:space="0" w:color="auto"/>
              <w:right w:val="single" w:sz="4" w:space="0" w:color="auto"/>
            </w:tcBorders>
            <w:hideMark/>
          </w:tcPr>
          <w:p w14:paraId="19FF7C7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0,471</w:t>
            </w:r>
          </w:p>
        </w:tc>
        <w:tc>
          <w:tcPr>
            <w:tcW w:w="1375" w:type="dxa"/>
            <w:tcBorders>
              <w:top w:val="single" w:sz="4" w:space="0" w:color="auto"/>
              <w:left w:val="single" w:sz="4" w:space="0" w:color="auto"/>
              <w:bottom w:val="single" w:sz="4" w:space="0" w:color="auto"/>
              <w:right w:val="single" w:sz="4" w:space="0" w:color="auto"/>
            </w:tcBorders>
            <w:hideMark/>
          </w:tcPr>
          <w:p w14:paraId="795652E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83</w:t>
            </w:r>
          </w:p>
        </w:tc>
        <w:tc>
          <w:tcPr>
            <w:tcW w:w="1375" w:type="dxa"/>
            <w:tcBorders>
              <w:top w:val="single" w:sz="4" w:space="0" w:color="auto"/>
              <w:left w:val="single" w:sz="4" w:space="0" w:color="auto"/>
              <w:bottom w:val="single" w:sz="4" w:space="0" w:color="auto"/>
              <w:right w:val="single" w:sz="4" w:space="0" w:color="auto"/>
            </w:tcBorders>
            <w:hideMark/>
          </w:tcPr>
          <w:p w14:paraId="7FB7E6F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8</w:t>
            </w:r>
          </w:p>
        </w:tc>
        <w:tc>
          <w:tcPr>
            <w:tcW w:w="1376" w:type="dxa"/>
            <w:tcBorders>
              <w:top w:val="single" w:sz="4" w:space="0" w:color="auto"/>
              <w:left w:val="single" w:sz="4" w:space="0" w:color="auto"/>
              <w:bottom w:val="single" w:sz="4" w:space="0" w:color="auto"/>
              <w:right w:val="single" w:sz="4" w:space="0" w:color="auto"/>
            </w:tcBorders>
            <w:hideMark/>
          </w:tcPr>
          <w:p w14:paraId="4D24C3F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0,096</w:t>
            </w:r>
          </w:p>
        </w:tc>
      </w:tr>
      <w:tr w:rsidR="00CF641C" w:rsidRPr="00520861" w14:paraId="0597C588" w14:textId="77777777" w:rsidTr="00292D2E">
        <w:tc>
          <w:tcPr>
            <w:tcW w:w="1559" w:type="dxa"/>
            <w:tcBorders>
              <w:top w:val="single" w:sz="4" w:space="0" w:color="auto"/>
              <w:left w:val="single" w:sz="4" w:space="0" w:color="auto"/>
              <w:bottom w:val="single" w:sz="4" w:space="0" w:color="auto"/>
              <w:right w:val="single" w:sz="4" w:space="0" w:color="auto"/>
            </w:tcBorders>
            <w:hideMark/>
          </w:tcPr>
          <w:p w14:paraId="3358C35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Діти </w:t>
            </w:r>
          </w:p>
        </w:tc>
        <w:tc>
          <w:tcPr>
            <w:tcW w:w="1375" w:type="dxa"/>
            <w:tcBorders>
              <w:top w:val="single" w:sz="4" w:space="0" w:color="auto"/>
              <w:left w:val="single" w:sz="4" w:space="0" w:color="auto"/>
              <w:bottom w:val="single" w:sz="4" w:space="0" w:color="auto"/>
              <w:right w:val="single" w:sz="4" w:space="0" w:color="auto"/>
            </w:tcBorders>
            <w:hideMark/>
          </w:tcPr>
          <w:p w14:paraId="6F4B7E9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82</w:t>
            </w:r>
          </w:p>
        </w:tc>
        <w:tc>
          <w:tcPr>
            <w:tcW w:w="1375" w:type="dxa"/>
            <w:tcBorders>
              <w:top w:val="single" w:sz="4" w:space="0" w:color="auto"/>
              <w:left w:val="single" w:sz="4" w:space="0" w:color="auto"/>
              <w:bottom w:val="single" w:sz="4" w:space="0" w:color="auto"/>
              <w:right w:val="single" w:sz="4" w:space="0" w:color="auto"/>
            </w:tcBorders>
            <w:hideMark/>
          </w:tcPr>
          <w:p w14:paraId="3E44E68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33</w:t>
            </w:r>
          </w:p>
        </w:tc>
        <w:tc>
          <w:tcPr>
            <w:tcW w:w="1375" w:type="dxa"/>
            <w:gridSpan w:val="2"/>
            <w:tcBorders>
              <w:top w:val="single" w:sz="4" w:space="0" w:color="auto"/>
              <w:left w:val="single" w:sz="4" w:space="0" w:color="auto"/>
              <w:bottom w:val="single" w:sz="4" w:space="0" w:color="auto"/>
              <w:right w:val="single" w:sz="4" w:space="0" w:color="auto"/>
            </w:tcBorders>
            <w:hideMark/>
          </w:tcPr>
          <w:p w14:paraId="744C002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0,402</w:t>
            </w:r>
          </w:p>
        </w:tc>
        <w:tc>
          <w:tcPr>
            <w:tcW w:w="1375" w:type="dxa"/>
            <w:tcBorders>
              <w:top w:val="single" w:sz="4" w:space="0" w:color="auto"/>
              <w:left w:val="single" w:sz="4" w:space="0" w:color="auto"/>
              <w:bottom w:val="single" w:sz="4" w:space="0" w:color="auto"/>
              <w:right w:val="single" w:sz="4" w:space="0" w:color="auto"/>
            </w:tcBorders>
            <w:hideMark/>
          </w:tcPr>
          <w:p w14:paraId="22AE22AC"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41</w:t>
            </w:r>
          </w:p>
        </w:tc>
        <w:tc>
          <w:tcPr>
            <w:tcW w:w="1375" w:type="dxa"/>
            <w:tcBorders>
              <w:top w:val="single" w:sz="4" w:space="0" w:color="auto"/>
              <w:left w:val="single" w:sz="4" w:space="0" w:color="auto"/>
              <w:bottom w:val="single" w:sz="4" w:space="0" w:color="auto"/>
              <w:right w:val="single" w:sz="4" w:space="0" w:color="auto"/>
            </w:tcBorders>
            <w:hideMark/>
          </w:tcPr>
          <w:p w14:paraId="0D74DFF4"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10</w:t>
            </w:r>
          </w:p>
        </w:tc>
        <w:tc>
          <w:tcPr>
            <w:tcW w:w="1376" w:type="dxa"/>
            <w:tcBorders>
              <w:top w:val="single" w:sz="4" w:space="0" w:color="auto"/>
              <w:left w:val="single" w:sz="4" w:space="0" w:color="auto"/>
              <w:bottom w:val="single" w:sz="4" w:space="0" w:color="auto"/>
              <w:right w:val="single" w:sz="4" w:space="0" w:color="auto"/>
            </w:tcBorders>
            <w:hideMark/>
          </w:tcPr>
          <w:p w14:paraId="57C0415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0,244</w:t>
            </w:r>
          </w:p>
        </w:tc>
      </w:tr>
      <w:tr w:rsidR="00CF641C" w:rsidRPr="00520861" w14:paraId="7AE85DB7" w14:textId="77777777" w:rsidTr="00292D2E">
        <w:tc>
          <w:tcPr>
            <w:tcW w:w="1559" w:type="dxa"/>
            <w:tcBorders>
              <w:top w:val="single" w:sz="4" w:space="0" w:color="auto"/>
              <w:left w:val="single" w:sz="4" w:space="0" w:color="auto"/>
              <w:bottom w:val="single" w:sz="4" w:space="0" w:color="auto"/>
              <w:right w:val="single" w:sz="4" w:space="0" w:color="auto"/>
            </w:tcBorders>
            <w:hideMark/>
          </w:tcPr>
          <w:p w14:paraId="2A81AFD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Дорослі особи</w:t>
            </w:r>
          </w:p>
        </w:tc>
        <w:tc>
          <w:tcPr>
            <w:tcW w:w="1375" w:type="dxa"/>
            <w:tcBorders>
              <w:top w:val="single" w:sz="4" w:space="0" w:color="auto"/>
              <w:left w:val="single" w:sz="4" w:space="0" w:color="auto"/>
              <w:bottom w:val="single" w:sz="4" w:space="0" w:color="auto"/>
              <w:right w:val="single" w:sz="4" w:space="0" w:color="auto"/>
            </w:tcBorders>
            <w:hideMark/>
          </w:tcPr>
          <w:p w14:paraId="4C43EF9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114</w:t>
            </w:r>
          </w:p>
        </w:tc>
        <w:tc>
          <w:tcPr>
            <w:tcW w:w="1375" w:type="dxa"/>
            <w:tcBorders>
              <w:top w:val="single" w:sz="4" w:space="0" w:color="auto"/>
              <w:left w:val="single" w:sz="4" w:space="0" w:color="auto"/>
              <w:bottom w:val="single" w:sz="4" w:space="0" w:color="auto"/>
              <w:right w:val="single" w:sz="4" w:space="0" w:color="auto"/>
            </w:tcBorders>
            <w:hideMark/>
          </w:tcPr>
          <w:p w14:paraId="654AA8C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w:t>
            </w:r>
          </w:p>
        </w:tc>
        <w:tc>
          <w:tcPr>
            <w:tcW w:w="1375" w:type="dxa"/>
            <w:gridSpan w:val="2"/>
            <w:tcBorders>
              <w:top w:val="single" w:sz="4" w:space="0" w:color="auto"/>
              <w:left w:val="single" w:sz="4" w:space="0" w:color="auto"/>
              <w:bottom w:val="single" w:sz="4" w:space="0" w:color="auto"/>
              <w:right w:val="single" w:sz="4" w:space="0" w:color="auto"/>
            </w:tcBorders>
            <w:hideMark/>
          </w:tcPr>
          <w:p w14:paraId="7C39B3F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0,272</w:t>
            </w:r>
          </w:p>
        </w:tc>
        <w:tc>
          <w:tcPr>
            <w:tcW w:w="1375" w:type="dxa"/>
            <w:tcBorders>
              <w:top w:val="single" w:sz="4" w:space="0" w:color="auto"/>
              <w:left w:val="single" w:sz="4" w:space="0" w:color="auto"/>
              <w:bottom w:val="single" w:sz="4" w:space="0" w:color="auto"/>
              <w:right w:val="single" w:sz="4" w:space="0" w:color="auto"/>
            </w:tcBorders>
            <w:hideMark/>
          </w:tcPr>
          <w:p w14:paraId="4CBA8E4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127</w:t>
            </w:r>
          </w:p>
        </w:tc>
        <w:tc>
          <w:tcPr>
            <w:tcW w:w="1375" w:type="dxa"/>
            <w:tcBorders>
              <w:top w:val="single" w:sz="4" w:space="0" w:color="auto"/>
              <w:left w:val="single" w:sz="4" w:space="0" w:color="auto"/>
              <w:bottom w:val="single" w:sz="4" w:space="0" w:color="auto"/>
              <w:right w:val="single" w:sz="4" w:space="0" w:color="auto"/>
            </w:tcBorders>
            <w:hideMark/>
          </w:tcPr>
          <w:p w14:paraId="2BF141C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10</w:t>
            </w:r>
          </w:p>
        </w:tc>
        <w:tc>
          <w:tcPr>
            <w:tcW w:w="1376" w:type="dxa"/>
            <w:tcBorders>
              <w:top w:val="single" w:sz="4" w:space="0" w:color="auto"/>
              <w:left w:val="single" w:sz="4" w:space="0" w:color="auto"/>
              <w:bottom w:val="single" w:sz="4" w:space="0" w:color="auto"/>
              <w:right w:val="single" w:sz="4" w:space="0" w:color="auto"/>
            </w:tcBorders>
            <w:hideMark/>
          </w:tcPr>
          <w:p w14:paraId="6175AFD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0,079</w:t>
            </w:r>
          </w:p>
        </w:tc>
      </w:tr>
    </w:tbl>
    <w:p w14:paraId="3F602AAB" w14:textId="77777777" w:rsidR="00CF641C" w:rsidRPr="00520861" w:rsidRDefault="00CF641C"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lastRenderedPageBreak/>
        <w:t xml:space="preserve">Розглянемо це питання докладніше. Уведемо такі позначення: </w:t>
      </w:r>
      <w:proofErr w:type="spellStart"/>
      <w:r w:rsidRPr="00520861">
        <w:rPr>
          <w:rFonts w:eastAsiaTheme="minorHAnsi"/>
          <w:i/>
          <w:sz w:val="28"/>
          <w:szCs w:val="28"/>
          <w:lang w:eastAsia="en-US"/>
        </w:rPr>
        <w:t>b</w:t>
      </w:r>
      <w:r w:rsidRPr="00520861">
        <w:rPr>
          <w:rFonts w:eastAsiaTheme="minorHAnsi"/>
          <w:i/>
          <w:sz w:val="28"/>
          <w:szCs w:val="28"/>
          <w:vertAlign w:val="subscript"/>
          <w:lang w:eastAsia="en-US"/>
        </w:rPr>
        <w:t>n</w:t>
      </w:r>
      <w:proofErr w:type="spellEnd"/>
      <w:r w:rsidRPr="00520861">
        <w:rPr>
          <w:rFonts w:eastAsiaTheme="minorHAnsi"/>
          <w:sz w:val="28"/>
          <w:szCs w:val="28"/>
          <w:lang w:eastAsia="en-US"/>
        </w:rPr>
        <w:t xml:space="preserve"> і</w:t>
      </w:r>
      <w:r w:rsidRPr="00520861">
        <w:rPr>
          <w:rFonts w:eastAsiaTheme="minorHAnsi"/>
          <w:i/>
          <w:sz w:val="28"/>
          <w:szCs w:val="28"/>
          <w:lang w:eastAsia="en-US"/>
        </w:rPr>
        <w:t xml:space="preserve"> </w:t>
      </w:r>
      <w:proofErr w:type="spellStart"/>
      <w:r w:rsidRPr="00520861">
        <w:rPr>
          <w:rFonts w:eastAsiaTheme="minorHAnsi"/>
          <w:i/>
          <w:sz w:val="28"/>
          <w:szCs w:val="28"/>
          <w:lang w:eastAsia="en-US"/>
        </w:rPr>
        <w:t>b</w:t>
      </w:r>
      <w:r w:rsidRPr="00520861">
        <w:rPr>
          <w:rFonts w:eastAsiaTheme="minorHAnsi"/>
          <w:i/>
          <w:sz w:val="28"/>
          <w:szCs w:val="28"/>
          <w:vertAlign w:val="subscript"/>
          <w:lang w:eastAsia="en-US"/>
        </w:rPr>
        <w:t>m</w:t>
      </w:r>
      <w:proofErr w:type="spellEnd"/>
      <w:r w:rsidRPr="00520861">
        <w:rPr>
          <w:rFonts w:eastAsiaTheme="minorHAnsi"/>
          <w:sz w:val="28"/>
          <w:szCs w:val="28"/>
          <w:lang w:eastAsia="en-US"/>
        </w:rPr>
        <w:t xml:space="preserve"> – середні бальні оцінки по шкалі СБФ для випадків, коли батько та мати учасника є </w:t>
      </w:r>
      <w:proofErr w:type="spellStart"/>
      <w:r w:rsidRPr="00520861">
        <w:rPr>
          <w:rFonts w:eastAsiaTheme="minorHAnsi"/>
          <w:sz w:val="28"/>
          <w:szCs w:val="28"/>
          <w:lang w:eastAsia="en-US"/>
        </w:rPr>
        <w:t>нормосомами</w:t>
      </w:r>
      <w:proofErr w:type="spellEnd"/>
      <w:r w:rsidRPr="00520861">
        <w:rPr>
          <w:rFonts w:eastAsiaTheme="minorHAnsi"/>
          <w:sz w:val="28"/>
          <w:szCs w:val="28"/>
          <w:lang w:eastAsia="en-US"/>
        </w:rPr>
        <w:t xml:space="preserve"> й коли хтось із них є </w:t>
      </w:r>
      <w:proofErr w:type="spellStart"/>
      <w:r w:rsidRPr="00520861">
        <w:rPr>
          <w:rFonts w:eastAsiaTheme="minorHAnsi"/>
          <w:sz w:val="28"/>
          <w:szCs w:val="28"/>
          <w:lang w:eastAsia="en-US"/>
        </w:rPr>
        <w:t>макросомом</w:t>
      </w:r>
      <w:proofErr w:type="spellEnd"/>
      <w:r w:rsidRPr="00520861">
        <w:rPr>
          <w:rFonts w:eastAsiaTheme="minorHAnsi"/>
          <w:sz w:val="28"/>
          <w:szCs w:val="28"/>
          <w:lang w:eastAsia="en-US"/>
        </w:rPr>
        <w:t xml:space="preserve"> відповідно; </w:t>
      </w:r>
      <w:r w:rsidRPr="00520861">
        <w:rPr>
          <w:rFonts w:eastAsiaTheme="minorHAnsi"/>
          <w:i/>
          <w:sz w:val="28"/>
          <w:szCs w:val="28"/>
          <w:lang w:eastAsia="en-US"/>
        </w:rPr>
        <w:t>n</w:t>
      </w:r>
      <w:r w:rsidRPr="00520861">
        <w:rPr>
          <w:rFonts w:eastAsiaTheme="minorHAnsi"/>
          <w:sz w:val="28"/>
          <w:szCs w:val="28"/>
          <w:lang w:eastAsia="en-US"/>
        </w:rPr>
        <w:t xml:space="preserve"> і </w:t>
      </w:r>
      <w:r w:rsidRPr="00520861">
        <w:rPr>
          <w:rFonts w:eastAsiaTheme="minorHAnsi"/>
          <w:i/>
          <w:sz w:val="28"/>
          <w:szCs w:val="28"/>
          <w:lang w:eastAsia="en-US"/>
        </w:rPr>
        <w:t>m</w:t>
      </w:r>
      <w:r w:rsidRPr="00520861">
        <w:rPr>
          <w:rFonts w:eastAsiaTheme="minorHAnsi"/>
          <w:sz w:val="28"/>
          <w:szCs w:val="28"/>
          <w:lang w:eastAsia="en-US"/>
        </w:rPr>
        <w:t xml:space="preserve"> – кількість випадків, коли батько та мати учасника є </w:t>
      </w:r>
      <w:proofErr w:type="spellStart"/>
      <w:r w:rsidRPr="00520861">
        <w:rPr>
          <w:rFonts w:eastAsiaTheme="minorHAnsi"/>
          <w:sz w:val="28"/>
          <w:szCs w:val="28"/>
          <w:lang w:eastAsia="en-US"/>
        </w:rPr>
        <w:t>нормосомами</w:t>
      </w:r>
      <w:proofErr w:type="spellEnd"/>
      <w:r w:rsidRPr="00520861">
        <w:rPr>
          <w:rFonts w:eastAsiaTheme="minorHAnsi"/>
          <w:sz w:val="28"/>
          <w:szCs w:val="28"/>
          <w:lang w:eastAsia="en-US"/>
        </w:rPr>
        <w:t xml:space="preserve"> й коли хтось із них є </w:t>
      </w:r>
      <w:proofErr w:type="spellStart"/>
      <w:r w:rsidRPr="00520861">
        <w:rPr>
          <w:rFonts w:eastAsiaTheme="minorHAnsi"/>
          <w:sz w:val="28"/>
          <w:szCs w:val="28"/>
          <w:lang w:eastAsia="en-US"/>
        </w:rPr>
        <w:t>макросомом</w:t>
      </w:r>
      <w:proofErr w:type="spellEnd"/>
      <w:r w:rsidRPr="00520861">
        <w:rPr>
          <w:rFonts w:eastAsiaTheme="minorHAnsi"/>
          <w:sz w:val="28"/>
          <w:szCs w:val="28"/>
          <w:lang w:eastAsia="en-US"/>
        </w:rPr>
        <w:t xml:space="preserve"> відповідно. Тоді для середнього </w:t>
      </w:r>
      <w:proofErr w:type="spellStart"/>
      <w:r w:rsidRPr="00520861">
        <w:rPr>
          <w:rFonts w:eastAsiaTheme="minorHAnsi"/>
          <w:sz w:val="28"/>
          <w:szCs w:val="28"/>
          <w:lang w:eastAsia="en-US"/>
        </w:rPr>
        <w:t>бала</w:t>
      </w:r>
      <w:proofErr w:type="spellEnd"/>
      <w:r w:rsidRPr="00520861">
        <w:rPr>
          <w:rFonts w:eastAsiaTheme="minorHAnsi"/>
          <w:sz w:val="28"/>
          <w:szCs w:val="28"/>
          <w:lang w:eastAsia="en-US"/>
        </w:rPr>
        <w:t xml:space="preserve"> СБФ можна записати: </w:t>
      </w:r>
    </w:p>
    <w:p w14:paraId="6751BF41" w14:textId="77777777" w:rsidR="00CF641C" w:rsidRPr="00520861" w:rsidRDefault="00CF641C" w:rsidP="00292D2E">
      <w:pPr>
        <w:widowControl w:val="0"/>
        <w:spacing w:line="360" w:lineRule="auto"/>
        <w:ind w:firstLine="709"/>
        <w:jc w:val="both"/>
        <w:rPr>
          <w:rFonts w:eastAsia="Calibri"/>
          <w:sz w:val="28"/>
          <w:szCs w:val="28"/>
          <w:lang w:eastAsia="en-US"/>
        </w:rPr>
      </w:pPr>
      <m:oMathPara>
        <m:oMath>
          <m:r>
            <w:rPr>
              <w:rFonts w:ascii="Cambria Math" w:eastAsia="Calibri" w:hAnsi="Cambria Math"/>
              <w:sz w:val="28"/>
              <w:szCs w:val="28"/>
              <w:lang w:eastAsia="en-US"/>
            </w:rPr>
            <m:t xml:space="preserve"> B=</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n</m:t>
                  </m:r>
                </m:sub>
              </m:sSub>
              <m:r>
                <w:rPr>
                  <w:rFonts w:ascii="Cambria Math" w:eastAsia="Calibri" w:hAnsi="Cambria Math"/>
                  <w:sz w:val="28"/>
                  <w:szCs w:val="28"/>
                  <w:lang w:eastAsia="en-US"/>
                </w:rPr>
                <m:t>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m</m:t>
                  </m:r>
                </m:sub>
              </m:sSub>
              <m:r>
                <w:rPr>
                  <w:rFonts w:ascii="Cambria Math" w:eastAsia="Calibri" w:hAnsi="Cambria Math"/>
                  <w:sz w:val="28"/>
                  <w:szCs w:val="28"/>
                  <w:lang w:eastAsia="en-US"/>
                </w:rPr>
                <m:t>m</m:t>
              </m:r>
            </m:num>
            <m:den>
              <m:r>
                <w:rPr>
                  <w:rFonts w:ascii="Cambria Math" w:eastAsia="Calibri" w:hAnsi="Cambria Math"/>
                  <w:sz w:val="28"/>
                  <w:szCs w:val="28"/>
                  <w:lang w:eastAsia="en-US"/>
                </w:rPr>
                <m:t>n+m</m:t>
              </m:r>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n</m:t>
                  </m:r>
                </m:sub>
              </m:sSub>
              <m:r>
                <w:rPr>
                  <w:rFonts w:ascii="Cambria Math" w:eastAsia="Calibri" w:hAnsi="Cambria Math"/>
                  <w:sz w:val="28"/>
                  <w:szCs w:val="28"/>
                  <w:lang w:eastAsia="en-US"/>
                </w:rPr>
                <m:t>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m</m:t>
                  </m:r>
                </m:sub>
              </m:sSub>
              <m:r>
                <w:rPr>
                  <w:rFonts w:ascii="Cambria Math" w:eastAsia="Calibri" w:hAnsi="Cambria Math"/>
                  <w:sz w:val="28"/>
                  <w:szCs w:val="28"/>
                  <w:lang w:eastAsia="en-US"/>
                </w:rPr>
                <m:t>m</m:t>
              </m:r>
            </m:num>
            <m:den>
              <m:r>
                <m:rPr>
                  <m:sty m:val="p"/>
                </m:rPr>
                <w:rPr>
                  <w:rFonts w:ascii="Cambria Math" w:eastAsia="Calibri" w:hAnsi="Cambria Math"/>
                  <w:sz w:val="28"/>
                  <w:szCs w:val="28"/>
                  <w:lang w:eastAsia="en-US"/>
                </w:rPr>
                <m:t>Σ</m:t>
              </m:r>
            </m:den>
          </m:f>
          <m:r>
            <w:rPr>
              <w:rFonts w:ascii="Cambria Math" w:eastAsia="Calibri" w:hAnsi="Cambria Math"/>
              <w:sz w:val="28"/>
              <w:szCs w:val="28"/>
              <w:lang w:eastAsia="en-US"/>
            </w:rPr>
            <m:t xml:space="preserve"> ,</m:t>
          </m:r>
        </m:oMath>
      </m:oMathPara>
    </w:p>
    <w:p w14:paraId="46231859" w14:textId="77777777" w:rsidR="00CF641C" w:rsidRPr="00520861" w:rsidRDefault="00CF641C" w:rsidP="00292D2E">
      <w:pPr>
        <w:widowControl w:val="0"/>
        <w:spacing w:line="360" w:lineRule="auto"/>
        <w:jc w:val="both"/>
        <w:rPr>
          <w:rFonts w:eastAsiaTheme="minorHAnsi"/>
          <w:sz w:val="28"/>
          <w:szCs w:val="28"/>
          <w:lang w:eastAsia="en-US"/>
        </w:rPr>
      </w:pPr>
      <w:r w:rsidRPr="00520861">
        <w:rPr>
          <w:rFonts w:eastAsiaTheme="minorHAnsi"/>
          <w:sz w:val="28"/>
          <w:szCs w:val="28"/>
          <w:lang w:eastAsia="en-US"/>
        </w:rPr>
        <w:t xml:space="preserve">де </w:t>
      </w:r>
      <m:oMath>
        <m:r>
          <m:rPr>
            <m:sty m:val="p"/>
          </m:rPr>
          <w:rPr>
            <w:rFonts w:ascii="Cambria Math" w:eastAsiaTheme="minorHAnsi" w:hAnsi="Cambria Math"/>
            <w:sz w:val="28"/>
            <w:szCs w:val="28"/>
            <w:lang w:eastAsia="en-US"/>
          </w:rPr>
          <m:t>Σ</m:t>
        </m:r>
        <m:r>
          <w:rPr>
            <w:rFonts w:ascii="Cambria Math" w:eastAsiaTheme="minorHAnsi" w:hAnsi="Cambria Math"/>
            <w:sz w:val="28"/>
            <w:szCs w:val="28"/>
            <w:lang w:eastAsia="en-US"/>
          </w:rPr>
          <m:t>=n+m</m:t>
        </m:r>
      </m:oMath>
      <w:r w:rsidRPr="00520861">
        <w:rPr>
          <w:rFonts w:eastAsiaTheme="minorHAnsi"/>
          <w:sz w:val="28"/>
          <w:szCs w:val="28"/>
          <w:lang w:eastAsia="en-US"/>
        </w:rPr>
        <w:t xml:space="preserve"> – загальна кількість опитаних. Нехай індекси 1 і 2 відносяться до </w:t>
      </w:r>
      <w:r w:rsidRPr="00520861">
        <w:rPr>
          <w:rFonts w:eastAsiaTheme="minorHAnsi"/>
          <w:sz w:val="28"/>
          <w:szCs w:val="28"/>
          <w:lang w:eastAsia="en-US"/>
        </w:rPr>
        <w:br/>
        <w:t>випадків учасника особи-макросома й особи-нормосома відповідно. Тоді відношення середніх бал</w:t>
      </w:r>
      <w:proofErr w:type="spellStart"/>
      <w:r w:rsidRPr="00520861">
        <w:rPr>
          <w:rFonts w:eastAsiaTheme="minorHAnsi"/>
          <w:sz w:val="28"/>
          <w:szCs w:val="28"/>
          <w:lang w:eastAsia="en-US"/>
        </w:rPr>
        <w:t>ів</w:t>
      </w:r>
      <w:proofErr w:type="spellEnd"/>
      <w:r w:rsidRPr="00520861">
        <w:rPr>
          <w:rFonts w:eastAsiaTheme="minorHAnsi"/>
          <w:sz w:val="28"/>
          <w:szCs w:val="28"/>
          <w:lang w:eastAsia="en-US"/>
        </w:rPr>
        <w:t xml:space="preserve"> СБФ для цих випадків має вигляд:</w:t>
      </w:r>
    </w:p>
    <w:p w14:paraId="4B69F236" w14:textId="77777777" w:rsidR="00CF641C" w:rsidRPr="00520861" w:rsidRDefault="00000000" w:rsidP="00292D2E">
      <w:pPr>
        <w:widowControl w:val="0"/>
        <w:spacing w:line="360" w:lineRule="auto"/>
        <w:jc w:val="both"/>
        <w:rPr>
          <w:rFonts w:eastAsia="Calibri"/>
          <w:sz w:val="28"/>
          <w:szCs w:val="28"/>
          <w:lang w:eastAsia="en-US"/>
        </w:rPr>
      </w:pPr>
      <m:oMathPara>
        <m:oMath>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1</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2</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k-1</m:t>
                  </m:r>
                </m:e>
              </m:d>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1</m:t>
                      </m:r>
                    </m:sub>
                  </m:sSub>
                </m:num>
                <m:den>
                  <m:sSub>
                    <m:sSubPr>
                      <m:ctrlPr>
                        <w:rPr>
                          <w:rFonts w:ascii="Cambria Math" w:eastAsia="Calibri" w:hAnsi="Cambria Math"/>
                          <w:i/>
                          <w:sz w:val="28"/>
                          <w:szCs w:val="28"/>
                          <w:lang w:eastAsia="en-US"/>
                        </w:rPr>
                      </m:ctrlPr>
                    </m:sSubPr>
                    <m:e>
                      <m:r>
                        <m:rPr>
                          <m:sty m:val="p"/>
                        </m:rPr>
                        <w:rPr>
                          <w:rFonts w:ascii="Cambria Math" w:eastAsia="Calibri" w:hAnsi="Cambria Math"/>
                          <w:sz w:val="28"/>
                          <w:szCs w:val="28"/>
                          <w:lang w:eastAsia="en-US"/>
                        </w:rPr>
                        <m:t>Σ</m:t>
                      </m:r>
                    </m:e>
                    <m:sub>
                      <m:r>
                        <w:rPr>
                          <w:rFonts w:ascii="Cambria Math" w:eastAsia="Calibri" w:hAnsi="Cambria Math"/>
                          <w:sz w:val="28"/>
                          <w:szCs w:val="28"/>
                          <w:lang w:eastAsia="en-US"/>
                        </w:rPr>
                        <m:t>1</m:t>
                      </m:r>
                    </m:sub>
                  </m:sSub>
                </m:den>
              </m:f>
            </m:num>
            <m:den>
              <m:r>
                <w:rPr>
                  <w:rFonts w:ascii="Cambria Math" w:eastAsia="Calibri" w:hAnsi="Cambria Math"/>
                  <w:sz w:val="28"/>
                  <w:szCs w:val="28"/>
                  <w:lang w:eastAsia="en-US"/>
                </w:rPr>
                <m:t>1+</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k-1</m:t>
                  </m:r>
                </m:e>
              </m:d>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2</m:t>
                      </m:r>
                    </m:sub>
                  </m:sSub>
                </m:num>
                <m:den>
                  <m:sSub>
                    <m:sSubPr>
                      <m:ctrlPr>
                        <w:rPr>
                          <w:rFonts w:ascii="Cambria Math" w:eastAsia="Calibri" w:hAnsi="Cambria Math"/>
                          <w:i/>
                          <w:sz w:val="28"/>
                          <w:szCs w:val="28"/>
                          <w:lang w:eastAsia="en-US"/>
                        </w:rPr>
                      </m:ctrlPr>
                    </m:sSubPr>
                    <m:e>
                      <m:r>
                        <m:rPr>
                          <m:sty m:val="p"/>
                        </m:rPr>
                        <w:rPr>
                          <w:rFonts w:ascii="Cambria Math" w:eastAsia="Calibri" w:hAnsi="Cambria Math"/>
                          <w:sz w:val="28"/>
                          <w:szCs w:val="28"/>
                          <w:lang w:eastAsia="en-US"/>
                        </w:rPr>
                        <m:t>Σ</m:t>
                      </m:r>
                    </m:e>
                    <m:sub>
                      <m:r>
                        <w:rPr>
                          <w:rFonts w:ascii="Cambria Math" w:eastAsia="Calibri" w:hAnsi="Cambria Math"/>
                          <w:sz w:val="28"/>
                          <w:szCs w:val="28"/>
                          <w:lang w:eastAsia="en-US"/>
                        </w:rPr>
                        <m:t>2</m:t>
                      </m:r>
                    </m:sub>
                  </m:sSub>
                </m:den>
              </m:f>
            </m:den>
          </m:f>
          <m:r>
            <w:rPr>
              <w:rFonts w:ascii="Cambria Math" w:eastAsia="Calibri" w:hAnsi="Cambria Math"/>
              <w:sz w:val="28"/>
              <w:szCs w:val="28"/>
              <w:lang w:eastAsia="en-US"/>
            </w:rPr>
            <m:t xml:space="preserve"> .</m:t>
          </m:r>
        </m:oMath>
      </m:oMathPara>
    </w:p>
    <w:p w14:paraId="3A7DE054" w14:textId="77777777" w:rsidR="00CF641C" w:rsidRPr="00520861" w:rsidRDefault="00CF641C" w:rsidP="00292D2E">
      <w:pPr>
        <w:widowControl w:val="0"/>
        <w:spacing w:line="360" w:lineRule="auto"/>
        <w:jc w:val="both"/>
        <w:rPr>
          <w:rFonts w:eastAsiaTheme="minorHAnsi"/>
          <w:sz w:val="28"/>
          <w:szCs w:val="28"/>
          <w:lang w:eastAsia="en-US"/>
        </w:rPr>
      </w:pPr>
      <w:r w:rsidRPr="00520861">
        <w:rPr>
          <w:rFonts w:eastAsiaTheme="minorEastAsia"/>
          <w:sz w:val="28"/>
          <w:szCs w:val="28"/>
          <w:lang w:eastAsia="en-US"/>
        </w:rPr>
        <w:t xml:space="preserve">Тут </w:t>
      </w:r>
      <m:oMath>
        <m:r>
          <w:rPr>
            <w:rFonts w:ascii="Cambria Math" w:eastAsiaTheme="minorEastAsia" w:hAnsi="Cambria Math"/>
            <w:sz w:val="28"/>
            <w:szCs w:val="28"/>
            <w:lang w:eastAsia="en-US"/>
          </w:rPr>
          <m:t>m/</m:t>
        </m:r>
        <m:r>
          <m:rPr>
            <m:sty m:val="p"/>
          </m:rPr>
          <w:rPr>
            <w:rFonts w:ascii="Cambria Math" w:eastAsiaTheme="minorEastAsia" w:hAnsi="Cambria Math"/>
            <w:sz w:val="28"/>
            <w:szCs w:val="28"/>
            <w:lang w:eastAsia="en-US"/>
          </w:rPr>
          <m:t>Σ</m:t>
        </m:r>
        <m:r>
          <w:rPr>
            <w:rFonts w:ascii="Cambria Math" w:eastAsiaTheme="minorEastAsia" w:hAnsi="Cambria Math"/>
            <w:sz w:val="28"/>
            <w:szCs w:val="28"/>
            <w:lang w:eastAsia="en-US"/>
          </w:rPr>
          <m:t xml:space="preserve"> </m:t>
        </m:r>
      </m:oMath>
      <w:r w:rsidRPr="00520861">
        <w:rPr>
          <w:rFonts w:eastAsiaTheme="minorEastAsia"/>
          <w:sz w:val="28"/>
          <w:szCs w:val="28"/>
          <w:lang w:eastAsia="en-US"/>
        </w:rPr>
        <w:t xml:space="preserve"> </w:t>
      </w:r>
      <w:r w:rsidRPr="00520861">
        <w:rPr>
          <w:rFonts w:eastAsiaTheme="minorHAnsi"/>
          <w:sz w:val="28"/>
          <w:szCs w:val="28"/>
          <w:lang w:eastAsia="en-US"/>
        </w:rPr>
        <w:t xml:space="preserve">– відносна кількість випадків, коли будь-хто з батьків є </w:t>
      </w:r>
      <w:proofErr w:type="spellStart"/>
      <w:r w:rsidRPr="00520861">
        <w:rPr>
          <w:rFonts w:eastAsiaTheme="minorHAnsi"/>
          <w:sz w:val="28"/>
          <w:szCs w:val="28"/>
          <w:lang w:eastAsia="en-US"/>
        </w:rPr>
        <w:t>макросомом</w:t>
      </w:r>
      <w:proofErr w:type="spellEnd"/>
      <w:r w:rsidRPr="00520861">
        <w:rPr>
          <w:rFonts w:eastAsiaTheme="minorHAnsi"/>
          <w:sz w:val="28"/>
          <w:szCs w:val="28"/>
          <w:lang w:eastAsia="en-US"/>
        </w:rPr>
        <w:t>;</w:t>
      </w:r>
    </w:p>
    <w:p w14:paraId="0A13C0C6" w14:textId="77777777" w:rsidR="00CF641C" w:rsidRPr="00520861" w:rsidRDefault="00CF641C" w:rsidP="00292D2E">
      <w:pPr>
        <w:widowControl w:val="0"/>
        <w:spacing w:line="360" w:lineRule="auto"/>
        <w:jc w:val="both"/>
        <w:rPr>
          <w:rFonts w:eastAsiaTheme="minorEastAsia"/>
          <w:sz w:val="28"/>
          <w:szCs w:val="28"/>
          <w:lang w:eastAsia="en-US"/>
        </w:rPr>
      </w:pPr>
      <m:oMath>
        <m:r>
          <w:rPr>
            <w:rFonts w:ascii="Cambria Math" w:eastAsiaTheme="minorHAnsi" w:hAnsi="Cambria Math"/>
            <w:sz w:val="28"/>
            <w:szCs w:val="28"/>
            <w:lang w:eastAsia="en-US"/>
          </w:rPr>
          <m:t>k=</m:t>
        </m:r>
        <m:f>
          <m:fPr>
            <m:type m:val="lin"/>
            <m:ctrlPr>
              <w:rPr>
                <w:rFonts w:ascii="Cambria Math" w:eastAsiaTheme="minorHAnsi" w:hAnsi="Cambria Math"/>
                <w:i/>
                <w:sz w:val="28"/>
                <w:szCs w:val="28"/>
                <w:lang w:eastAsia="en-US"/>
              </w:rPr>
            </m:ctrlPr>
          </m:fPr>
          <m:num>
            <m:sSub>
              <m:sSubPr>
                <m:ctrlPr>
                  <w:rPr>
                    <w:rFonts w:ascii="Cambria Math" w:eastAsiaTheme="minorHAnsi" w:hAnsi="Cambria Math"/>
                    <w:i/>
                    <w:sz w:val="28"/>
                    <w:szCs w:val="28"/>
                    <w:lang w:eastAsia="en-US"/>
                  </w:rPr>
                </m:ctrlPr>
              </m:sSubPr>
              <m:e>
                <m:r>
                  <w:rPr>
                    <w:rFonts w:ascii="Cambria Math" w:eastAsiaTheme="minorHAnsi" w:hAnsi="Cambria Math"/>
                    <w:sz w:val="28"/>
                    <w:szCs w:val="28"/>
                    <w:lang w:eastAsia="en-US"/>
                  </w:rPr>
                  <m:t>b</m:t>
                </m:r>
              </m:e>
              <m:sub>
                <m:r>
                  <w:rPr>
                    <w:rFonts w:ascii="Cambria Math" w:eastAsiaTheme="minorHAnsi" w:hAnsi="Cambria Math"/>
                    <w:sz w:val="28"/>
                    <w:szCs w:val="28"/>
                    <w:lang w:eastAsia="en-US"/>
                  </w:rPr>
                  <m:t>m</m:t>
                </m:r>
              </m:sub>
            </m:sSub>
          </m:num>
          <m:den>
            <m:sSub>
              <m:sSubPr>
                <m:ctrlPr>
                  <w:rPr>
                    <w:rFonts w:ascii="Cambria Math" w:eastAsiaTheme="minorHAnsi" w:hAnsi="Cambria Math"/>
                    <w:i/>
                    <w:sz w:val="28"/>
                    <w:szCs w:val="28"/>
                    <w:lang w:eastAsia="en-US"/>
                  </w:rPr>
                </m:ctrlPr>
              </m:sSubPr>
              <m:e>
                <m:r>
                  <w:rPr>
                    <w:rFonts w:ascii="Cambria Math" w:eastAsiaTheme="minorHAnsi" w:hAnsi="Cambria Math"/>
                    <w:sz w:val="28"/>
                    <w:szCs w:val="28"/>
                    <w:lang w:eastAsia="en-US"/>
                  </w:rPr>
                  <m:t>b</m:t>
                </m:r>
              </m:e>
              <m:sub>
                <m:r>
                  <w:rPr>
                    <w:rFonts w:ascii="Cambria Math" w:eastAsiaTheme="minorHAnsi" w:hAnsi="Cambria Math"/>
                    <w:sz w:val="28"/>
                    <w:szCs w:val="28"/>
                    <w:lang w:eastAsia="en-US"/>
                  </w:rPr>
                  <m:t>n</m:t>
                </m:r>
              </m:sub>
            </m:sSub>
            <m:r>
              <w:rPr>
                <w:rFonts w:ascii="Cambria Math" w:eastAsiaTheme="minorHAnsi" w:hAnsi="Cambria Math"/>
                <w:sz w:val="28"/>
                <w:szCs w:val="28"/>
                <w:lang w:eastAsia="en-US"/>
              </w:rPr>
              <m:t xml:space="preserve"> </m:t>
            </m:r>
          </m:den>
        </m:f>
      </m:oMath>
      <w:r w:rsidRPr="00520861">
        <w:rPr>
          <w:rFonts w:eastAsiaTheme="minorEastAsia"/>
          <w:sz w:val="28"/>
          <w:szCs w:val="28"/>
          <w:lang w:eastAsia="en-US"/>
        </w:rPr>
        <w:t xml:space="preserve"> – коефіцієнт, який показує, на скільки більше в середньому стоматологічних скарг у макросома, ніж у нормосома. Для початку визначимо цей коефіцієнт, наприклад, для вікової категорії «діти та підлітки»:</w:t>
      </w:r>
    </w:p>
    <w:p w14:paraId="32D71FA2" w14:textId="77777777" w:rsidR="00CF641C" w:rsidRPr="00520861" w:rsidRDefault="00CF641C" w:rsidP="00292D2E">
      <w:pPr>
        <w:widowControl w:val="0"/>
        <w:spacing w:line="360" w:lineRule="auto"/>
        <w:rPr>
          <w:sz w:val="28"/>
          <w:szCs w:val="28"/>
          <w:lang w:eastAsia="en-US"/>
        </w:rPr>
      </w:pPr>
      <m:oMathPara>
        <m:oMath>
          <m:r>
            <w:rPr>
              <w:rFonts w:ascii="Cambria Math" w:hAnsi="Cambria Math"/>
              <w:sz w:val="28"/>
              <w:szCs w:val="28"/>
              <w:lang w:eastAsia="en-US"/>
            </w:rPr>
            <m:t>k=1+</m:t>
          </m:r>
          <m:f>
            <m:fPr>
              <m:ctrlPr>
                <w:rPr>
                  <w:rFonts w:ascii="Cambria Math" w:hAnsi="Cambria Math"/>
                  <w:i/>
                  <w:sz w:val="28"/>
                  <w:szCs w:val="28"/>
                  <w:lang w:eastAsia="en-US"/>
                </w:rPr>
              </m:ctrlPr>
            </m:fPr>
            <m:num>
              <m:r>
                <w:rPr>
                  <w:rFonts w:ascii="Cambria Math" w:hAnsi="Cambria Math"/>
                  <w:sz w:val="28"/>
                  <w:szCs w:val="28"/>
                  <w:lang w:eastAsia="en-US"/>
                </w:rPr>
                <m:t>1-</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num>
                <m:den>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2</m:t>
                      </m:r>
                    </m:sub>
                  </m:sSub>
                </m:den>
              </m:f>
            </m:num>
            <m:den>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2</m:t>
                      </m:r>
                    </m:sub>
                  </m:sSub>
                </m:num>
                <m:den>
                  <m:sSub>
                    <m:sSubPr>
                      <m:ctrlPr>
                        <w:rPr>
                          <w:rFonts w:ascii="Cambria Math" w:hAnsi="Cambria Math"/>
                          <w:i/>
                          <w:sz w:val="28"/>
                          <w:szCs w:val="28"/>
                          <w:lang w:eastAsia="en-US"/>
                        </w:rPr>
                      </m:ctrlPr>
                    </m:sSubPr>
                    <m:e>
                      <m:r>
                        <m:rPr>
                          <m:sty m:val="p"/>
                        </m:rPr>
                        <w:rPr>
                          <w:rFonts w:ascii="Cambria Math" w:hAnsi="Cambria Math"/>
                          <w:sz w:val="28"/>
                          <w:szCs w:val="28"/>
                          <w:lang w:eastAsia="en-US"/>
                        </w:rPr>
                        <m:t>Σ</m:t>
                      </m:r>
                    </m:e>
                    <m:sub>
                      <m:r>
                        <w:rPr>
                          <w:rFonts w:ascii="Cambria Math" w:hAnsi="Cambria Math"/>
                          <w:sz w:val="28"/>
                          <w:szCs w:val="28"/>
                          <w:lang w:eastAsia="en-US"/>
                        </w:rPr>
                        <m:t>2</m:t>
                      </m:r>
                    </m:sub>
                  </m:sSub>
                </m:den>
              </m:f>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num>
                <m:den>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2</m:t>
                      </m:r>
                    </m:sub>
                  </m:sSub>
                </m:den>
              </m:f>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1</m:t>
                      </m:r>
                    </m:sub>
                  </m:sSub>
                </m:num>
                <m:den>
                  <m:sSub>
                    <m:sSubPr>
                      <m:ctrlPr>
                        <w:rPr>
                          <w:rFonts w:ascii="Cambria Math" w:hAnsi="Cambria Math"/>
                          <w:i/>
                          <w:sz w:val="28"/>
                          <w:szCs w:val="28"/>
                          <w:lang w:eastAsia="en-US"/>
                        </w:rPr>
                      </m:ctrlPr>
                    </m:sSubPr>
                    <m:e>
                      <m:r>
                        <m:rPr>
                          <m:sty m:val="p"/>
                        </m:rPr>
                        <w:rPr>
                          <w:rFonts w:ascii="Cambria Math" w:hAnsi="Cambria Math"/>
                          <w:sz w:val="28"/>
                          <w:szCs w:val="28"/>
                          <w:lang w:eastAsia="en-US"/>
                        </w:rPr>
                        <m:t>Σ</m:t>
                      </m:r>
                    </m:e>
                    <m:sub>
                      <m:r>
                        <w:rPr>
                          <w:rFonts w:ascii="Cambria Math" w:hAnsi="Cambria Math"/>
                          <w:sz w:val="28"/>
                          <w:szCs w:val="28"/>
                          <w:lang w:eastAsia="en-US"/>
                        </w:rPr>
                        <m:t>1</m:t>
                      </m:r>
                    </m:sub>
                  </m:sSub>
                </m:den>
              </m:f>
            </m:den>
          </m:f>
          <m:r>
            <w:rPr>
              <w:rFonts w:ascii="Cambria Math" w:hAnsi="Cambria Math"/>
              <w:sz w:val="28"/>
              <w:szCs w:val="28"/>
              <w:lang w:eastAsia="en-US"/>
            </w:rPr>
            <m:t>≈1+</m:t>
          </m:r>
          <m:f>
            <m:fPr>
              <m:ctrlPr>
                <w:rPr>
                  <w:rFonts w:ascii="Cambria Math" w:hAnsi="Cambria Math"/>
                  <w:i/>
                  <w:sz w:val="28"/>
                  <w:szCs w:val="28"/>
                  <w:lang w:eastAsia="en-US"/>
                </w:rPr>
              </m:ctrlPr>
            </m:fPr>
            <m:num>
              <m:r>
                <w:rPr>
                  <w:rFonts w:ascii="Cambria Math" w:hAnsi="Cambria Math"/>
                  <w:sz w:val="28"/>
                  <w:szCs w:val="28"/>
                  <w:lang w:eastAsia="en-US"/>
                </w:rPr>
                <m:t>1-</m:t>
              </m:r>
              <m:f>
                <m:fPr>
                  <m:ctrlPr>
                    <w:rPr>
                      <w:rFonts w:ascii="Cambria Math" w:hAnsi="Cambria Math"/>
                      <w:i/>
                      <w:sz w:val="28"/>
                      <w:szCs w:val="28"/>
                      <w:lang w:eastAsia="en-US"/>
                    </w:rPr>
                  </m:ctrlPr>
                </m:fPr>
                <m:num>
                  <m:r>
                    <w:rPr>
                      <w:rFonts w:ascii="Cambria Math" w:hAnsi="Cambria Math"/>
                      <w:sz w:val="28"/>
                      <w:szCs w:val="28"/>
                      <w:lang w:eastAsia="en-US"/>
                    </w:rPr>
                    <m:t>3.49</m:t>
                  </m:r>
                </m:num>
                <m:den>
                  <m:r>
                    <w:rPr>
                      <w:rFonts w:ascii="Cambria Math" w:hAnsi="Cambria Math"/>
                      <w:sz w:val="28"/>
                      <w:szCs w:val="28"/>
                      <w:lang w:eastAsia="en-US"/>
                    </w:rPr>
                    <m:t>3.15</m:t>
                  </m:r>
                </m:den>
              </m:f>
            </m:num>
            <m:den>
              <m:r>
                <w:rPr>
                  <w:rFonts w:ascii="Cambria Math" w:hAnsi="Cambria Math"/>
                  <w:sz w:val="28"/>
                  <w:szCs w:val="28"/>
                  <w:lang w:eastAsia="en-US"/>
                </w:rPr>
                <m:t>0.244</m:t>
              </m:r>
              <m:f>
                <m:fPr>
                  <m:ctrlPr>
                    <w:rPr>
                      <w:rFonts w:ascii="Cambria Math" w:hAnsi="Cambria Math"/>
                      <w:i/>
                      <w:sz w:val="28"/>
                      <w:szCs w:val="28"/>
                      <w:lang w:eastAsia="en-US"/>
                    </w:rPr>
                  </m:ctrlPr>
                </m:fPr>
                <m:num>
                  <m:r>
                    <w:rPr>
                      <w:rFonts w:ascii="Cambria Math" w:hAnsi="Cambria Math"/>
                      <w:sz w:val="28"/>
                      <w:szCs w:val="28"/>
                      <w:lang w:eastAsia="en-US"/>
                    </w:rPr>
                    <m:t>3.49</m:t>
                  </m:r>
                </m:num>
                <m:den>
                  <m:r>
                    <w:rPr>
                      <w:rFonts w:ascii="Cambria Math" w:hAnsi="Cambria Math"/>
                      <w:sz w:val="28"/>
                      <w:szCs w:val="28"/>
                      <w:lang w:eastAsia="en-US"/>
                    </w:rPr>
                    <m:t>3.15</m:t>
                  </m:r>
                </m:den>
              </m:f>
              <m:r>
                <w:rPr>
                  <w:rFonts w:ascii="Cambria Math" w:hAnsi="Cambria Math"/>
                  <w:sz w:val="28"/>
                  <w:szCs w:val="28"/>
                  <w:lang w:eastAsia="en-US"/>
                </w:rPr>
                <m:t>-0.402</m:t>
              </m:r>
            </m:den>
          </m:f>
          <m:r>
            <w:rPr>
              <w:rFonts w:ascii="Cambria Math" w:hAnsi="Cambria Math"/>
              <w:sz w:val="28"/>
              <w:szCs w:val="28"/>
              <w:lang w:eastAsia="en-US"/>
            </w:rPr>
            <m:t>≈1.82 .</m:t>
          </m:r>
        </m:oMath>
      </m:oMathPara>
    </w:p>
    <w:p w14:paraId="01E54A12" w14:textId="77777777" w:rsidR="00CF641C" w:rsidRPr="00520861" w:rsidRDefault="00CF641C" w:rsidP="00292D2E">
      <w:pPr>
        <w:widowControl w:val="0"/>
        <w:spacing w:line="360" w:lineRule="auto"/>
        <w:jc w:val="both"/>
        <w:rPr>
          <w:rFonts w:eastAsiaTheme="minorHAnsi"/>
          <w:sz w:val="28"/>
          <w:szCs w:val="28"/>
          <w:lang w:eastAsia="en-US"/>
        </w:rPr>
      </w:pPr>
      <w:r w:rsidRPr="00520861">
        <w:rPr>
          <w:rFonts w:eastAsiaTheme="minorHAnsi"/>
          <w:sz w:val="28"/>
          <w:szCs w:val="28"/>
          <w:lang w:eastAsia="en-US"/>
        </w:rPr>
        <w:t xml:space="preserve">Таким чином, батьки – </w:t>
      </w:r>
      <w:proofErr w:type="spellStart"/>
      <w:r w:rsidRPr="00520861">
        <w:rPr>
          <w:rFonts w:eastAsiaTheme="minorHAnsi"/>
          <w:sz w:val="28"/>
          <w:szCs w:val="28"/>
          <w:lang w:eastAsia="en-US"/>
        </w:rPr>
        <w:t>макросоми</w:t>
      </w:r>
      <w:proofErr w:type="spellEnd"/>
      <w:r w:rsidRPr="00520861">
        <w:rPr>
          <w:rFonts w:eastAsiaTheme="minorHAnsi"/>
          <w:sz w:val="28"/>
          <w:szCs w:val="28"/>
          <w:lang w:eastAsia="en-US"/>
        </w:rPr>
        <w:t xml:space="preserve"> при народженні скаржаться майже у 2 рази більше, ніж батьки-</w:t>
      </w:r>
      <w:proofErr w:type="spellStart"/>
      <w:r w:rsidRPr="00520861">
        <w:rPr>
          <w:rFonts w:eastAsiaTheme="minorHAnsi"/>
          <w:sz w:val="28"/>
          <w:szCs w:val="28"/>
          <w:lang w:eastAsia="en-US"/>
        </w:rPr>
        <w:t>нормосоми</w:t>
      </w:r>
      <w:proofErr w:type="spellEnd"/>
      <w:r w:rsidRPr="00520861">
        <w:rPr>
          <w:rFonts w:eastAsiaTheme="minorHAnsi"/>
          <w:sz w:val="28"/>
          <w:szCs w:val="28"/>
          <w:lang w:eastAsia="en-US"/>
        </w:rPr>
        <w:t>.</w:t>
      </w:r>
    </w:p>
    <w:p w14:paraId="54573B33" w14:textId="77777777" w:rsidR="00CF641C" w:rsidRPr="00520861" w:rsidRDefault="00CF641C" w:rsidP="00292D2E">
      <w:pPr>
        <w:widowControl w:val="0"/>
        <w:spacing w:line="360" w:lineRule="auto"/>
        <w:ind w:firstLine="709"/>
        <w:rPr>
          <w:rFonts w:eastAsiaTheme="minorHAnsi"/>
          <w:sz w:val="28"/>
          <w:szCs w:val="28"/>
          <w:lang w:eastAsia="en-US"/>
        </w:rPr>
      </w:pPr>
      <w:r w:rsidRPr="00520861">
        <w:rPr>
          <w:rFonts w:eastAsiaTheme="minorHAnsi"/>
          <w:sz w:val="28"/>
          <w:szCs w:val="28"/>
          <w:lang w:eastAsia="en-US"/>
        </w:rPr>
        <w:t>Розрахуємо тепер за формулою:</w:t>
      </w:r>
    </w:p>
    <w:p w14:paraId="3187093E" w14:textId="77777777" w:rsidR="00CF641C" w:rsidRPr="00520861" w:rsidRDefault="00000000" w:rsidP="00292D2E">
      <w:pPr>
        <w:widowControl w:val="0"/>
        <w:spacing w:line="360" w:lineRule="auto"/>
        <w:ind w:firstLine="709"/>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 xml:space="preserve"> B</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2</m:t>
              </m:r>
            </m:sub>
          </m:sSub>
          <m:f>
            <m:fPr>
              <m:ctrlPr>
                <w:rPr>
                  <w:rFonts w:ascii="Cambria Math" w:eastAsia="Calibri" w:hAnsi="Cambria Math"/>
                  <w:i/>
                  <w:sz w:val="28"/>
                  <w:szCs w:val="28"/>
                  <w:lang w:eastAsia="en-US"/>
                </w:rPr>
              </m:ctrlPr>
            </m:fPr>
            <m:num>
              <m:r>
                <w:rPr>
                  <w:rFonts w:ascii="Cambria Math" w:eastAsia="Calibri" w:hAnsi="Cambria Math"/>
                  <w:sz w:val="28"/>
                  <w:szCs w:val="28"/>
                  <w:lang w:eastAsia="en-US"/>
                </w:rPr>
                <m:t>1+</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k-1</m:t>
                  </m:r>
                </m:e>
              </m:d>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1</m:t>
                      </m:r>
                    </m:sub>
                  </m:sSub>
                </m:num>
                <m:den>
                  <m:sSub>
                    <m:sSubPr>
                      <m:ctrlPr>
                        <w:rPr>
                          <w:rFonts w:ascii="Cambria Math" w:eastAsia="Calibri" w:hAnsi="Cambria Math"/>
                          <w:i/>
                          <w:sz w:val="28"/>
                          <w:szCs w:val="28"/>
                          <w:lang w:eastAsia="en-US"/>
                        </w:rPr>
                      </m:ctrlPr>
                    </m:sSubPr>
                    <m:e>
                      <m:r>
                        <m:rPr>
                          <m:sty m:val="p"/>
                        </m:rPr>
                        <w:rPr>
                          <w:rFonts w:ascii="Cambria Math" w:eastAsia="Calibri" w:hAnsi="Cambria Math"/>
                          <w:sz w:val="28"/>
                          <w:szCs w:val="28"/>
                          <w:lang w:eastAsia="en-US"/>
                        </w:rPr>
                        <m:t>Σ</m:t>
                      </m:r>
                    </m:e>
                    <m:sub>
                      <m:r>
                        <w:rPr>
                          <w:rFonts w:ascii="Cambria Math" w:eastAsia="Calibri" w:hAnsi="Cambria Math"/>
                          <w:sz w:val="28"/>
                          <w:szCs w:val="28"/>
                          <w:lang w:eastAsia="en-US"/>
                        </w:rPr>
                        <m:t>1</m:t>
                      </m:r>
                    </m:sub>
                  </m:sSub>
                </m:den>
              </m:f>
            </m:num>
            <m:den>
              <m:r>
                <w:rPr>
                  <w:rFonts w:ascii="Cambria Math" w:eastAsia="Calibri" w:hAnsi="Cambria Math"/>
                  <w:sz w:val="28"/>
                  <w:szCs w:val="28"/>
                  <w:lang w:eastAsia="en-US"/>
                </w:rPr>
                <m:t>1+</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k-1</m:t>
                  </m:r>
                </m:e>
              </m:d>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2</m:t>
                      </m:r>
                    </m:sub>
                  </m:sSub>
                </m:num>
                <m:den>
                  <m:sSub>
                    <m:sSubPr>
                      <m:ctrlPr>
                        <w:rPr>
                          <w:rFonts w:ascii="Cambria Math" w:eastAsia="Calibri" w:hAnsi="Cambria Math"/>
                          <w:i/>
                          <w:sz w:val="28"/>
                          <w:szCs w:val="28"/>
                          <w:lang w:eastAsia="en-US"/>
                        </w:rPr>
                      </m:ctrlPr>
                    </m:sSubPr>
                    <m:e>
                      <m:r>
                        <m:rPr>
                          <m:sty m:val="p"/>
                        </m:rPr>
                        <w:rPr>
                          <w:rFonts w:ascii="Cambria Math" w:eastAsia="Calibri" w:hAnsi="Cambria Math"/>
                          <w:sz w:val="28"/>
                          <w:szCs w:val="28"/>
                          <w:lang w:eastAsia="en-US"/>
                        </w:rPr>
                        <m:t>Σ</m:t>
                      </m:r>
                    </m:e>
                    <m:sub>
                      <m:r>
                        <w:rPr>
                          <w:rFonts w:ascii="Cambria Math" w:eastAsia="Calibri" w:hAnsi="Cambria Math"/>
                          <w:sz w:val="28"/>
                          <w:szCs w:val="28"/>
                          <w:lang w:eastAsia="en-US"/>
                        </w:rPr>
                        <m:t>2</m:t>
                      </m:r>
                    </m:sub>
                  </m:sSub>
                </m:den>
              </m:f>
            </m:den>
          </m:f>
        </m:oMath>
      </m:oMathPara>
    </w:p>
    <w:p w14:paraId="247A67B7" w14:textId="77777777" w:rsidR="00CF641C" w:rsidRPr="00520861" w:rsidRDefault="00CF641C" w:rsidP="00292D2E">
      <w:pPr>
        <w:widowControl w:val="0"/>
        <w:spacing w:line="360" w:lineRule="auto"/>
        <w:jc w:val="both"/>
        <w:rPr>
          <w:rFonts w:eastAsiaTheme="minorHAnsi"/>
          <w:sz w:val="28"/>
          <w:szCs w:val="28"/>
          <w:lang w:eastAsia="en-US"/>
        </w:rPr>
      </w:pPr>
      <w:r w:rsidRPr="00520861">
        <w:rPr>
          <w:rFonts w:eastAsiaTheme="minorHAnsi"/>
          <w:sz w:val="28"/>
          <w:szCs w:val="28"/>
          <w:lang w:eastAsia="en-US"/>
        </w:rPr>
        <w:t>очікуваний середній бал СБФ для особи-</w:t>
      </w:r>
      <w:proofErr w:type="spellStart"/>
      <w:r w:rsidRPr="00520861">
        <w:rPr>
          <w:rFonts w:eastAsiaTheme="minorHAnsi"/>
          <w:sz w:val="28"/>
          <w:szCs w:val="28"/>
          <w:lang w:eastAsia="en-US"/>
        </w:rPr>
        <w:t>макросома</w:t>
      </w:r>
      <w:proofErr w:type="spellEnd"/>
      <w:r w:rsidRPr="00520861">
        <w:rPr>
          <w:rFonts w:eastAsiaTheme="minorHAnsi"/>
          <w:sz w:val="28"/>
          <w:szCs w:val="28"/>
          <w:lang w:eastAsia="en-US"/>
        </w:rPr>
        <w:t xml:space="preserve"> в усіх вікових категоріях по </w:t>
      </w:r>
      <w:r w:rsidRPr="00520861">
        <w:rPr>
          <w:rFonts w:eastAsiaTheme="minorHAnsi"/>
          <w:sz w:val="28"/>
          <w:szCs w:val="28"/>
          <w:lang w:eastAsia="en-US"/>
        </w:rPr>
        <w:br/>
        <w:t xml:space="preserve">наявному значенню середнього </w:t>
      </w:r>
      <w:proofErr w:type="spellStart"/>
      <w:r w:rsidRPr="00520861">
        <w:rPr>
          <w:rFonts w:eastAsiaTheme="minorHAnsi"/>
          <w:sz w:val="28"/>
          <w:szCs w:val="28"/>
          <w:lang w:eastAsia="en-US"/>
        </w:rPr>
        <w:t>бала</w:t>
      </w:r>
      <w:proofErr w:type="spellEnd"/>
      <w:r w:rsidRPr="00520861">
        <w:rPr>
          <w:rFonts w:eastAsiaTheme="minorHAnsi"/>
          <w:sz w:val="28"/>
          <w:szCs w:val="28"/>
          <w:lang w:eastAsia="en-US"/>
        </w:rPr>
        <w:t xml:space="preserve"> СБФ для особи-</w:t>
      </w:r>
      <w:proofErr w:type="spellStart"/>
      <w:r w:rsidRPr="00520861">
        <w:rPr>
          <w:rFonts w:eastAsiaTheme="minorHAnsi"/>
          <w:sz w:val="28"/>
          <w:szCs w:val="28"/>
          <w:lang w:eastAsia="en-US"/>
        </w:rPr>
        <w:t>нормосома</w:t>
      </w:r>
      <w:proofErr w:type="spellEnd"/>
      <w:r w:rsidRPr="00520861">
        <w:rPr>
          <w:rFonts w:eastAsiaTheme="minorHAnsi"/>
          <w:sz w:val="28"/>
          <w:szCs w:val="28"/>
          <w:lang w:eastAsia="en-US"/>
        </w:rPr>
        <w:t xml:space="preserve"> відповідного віку та порівняємо його з наведеними в табл. 4.14 значеннями. Результати розрахунків наведені в табл. 4.17. Видно, що розрахункові значення досить близькі до отриманих із опитувальників</w:t>
      </w:r>
      <w:r w:rsidRPr="00520861">
        <w:rPr>
          <w:rFonts w:eastAsia="Calibri"/>
          <w:sz w:val="28"/>
          <w:szCs w:val="28"/>
          <w:lang w:eastAsia="en-US"/>
        </w:rPr>
        <w:t xml:space="preserve"> у вікових категоріях «ДГВ» та «особи дорослого віку», </w:t>
      </w:r>
      <w:r w:rsidRPr="00520861">
        <w:rPr>
          <w:rFonts w:eastAsia="Calibri"/>
          <w:sz w:val="28"/>
          <w:szCs w:val="28"/>
          <w:lang w:eastAsia="en-US"/>
        </w:rPr>
        <w:br/>
      </w:r>
      <w:r w:rsidRPr="00520861">
        <w:rPr>
          <w:rFonts w:eastAsiaTheme="minorHAnsi"/>
          <w:sz w:val="28"/>
          <w:szCs w:val="28"/>
          <w:lang w:eastAsia="en-US"/>
        </w:rPr>
        <w:lastRenderedPageBreak/>
        <w:t xml:space="preserve">що свідчить про адекватність гіпотези про причину варіабельності середнього </w:t>
      </w:r>
      <w:proofErr w:type="spellStart"/>
      <w:r w:rsidRPr="00520861">
        <w:rPr>
          <w:rFonts w:eastAsiaTheme="minorHAnsi"/>
          <w:sz w:val="28"/>
          <w:szCs w:val="28"/>
          <w:lang w:eastAsia="en-US"/>
        </w:rPr>
        <w:t>бала</w:t>
      </w:r>
      <w:proofErr w:type="spellEnd"/>
      <w:r w:rsidRPr="00520861">
        <w:rPr>
          <w:rFonts w:eastAsiaTheme="minorHAnsi"/>
          <w:sz w:val="28"/>
          <w:szCs w:val="28"/>
          <w:lang w:eastAsia="en-US"/>
        </w:rPr>
        <w:t xml:space="preserve"> СБФ принаймні в межах однієї вікової категорії.</w:t>
      </w:r>
    </w:p>
    <w:p w14:paraId="06E9A94E" w14:textId="77777777" w:rsidR="00CF641C" w:rsidRPr="00520861" w:rsidRDefault="00CF641C" w:rsidP="00292D2E">
      <w:pPr>
        <w:widowControl w:val="0"/>
        <w:spacing w:line="360" w:lineRule="auto"/>
        <w:ind w:firstLine="709"/>
        <w:jc w:val="right"/>
        <w:rPr>
          <w:rFonts w:eastAsiaTheme="minorHAnsi"/>
          <w:i/>
          <w:sz w:val="28"/>
          <w:szCs w:val="28"/>
          <w:lang w:eastAsia="en-US"/>
        </w:rPr>
      </w:pPr>
      <w:r w:rsidRPr="00520861">
        <w:rPr>
          <w:rFonts w:eastAsiaTheme="minorHAnsi"/>
          <w:i/>
          <w:sz w:val="28"/>
          <w:szCs w:val="28"/>
          <w:lang w:eastAsia="en-US"/>
        </w:rPr>
        <w:t>Таблиця 4.17</w:t>
      </w:r>
    </w:p>
    <w:p w14:paraId="4D10D64C" w14:textId="77777777" w:rsidR="00CF641C" w:rsidRPr="00520861" w:rsidRDefault="00CF641C" w:rsidP="00292D2E">
      <w:pPr>
        <w:widowControl w:val="0"/>
        <w:spacing w:line="360" w:lineRule="auto"/>
        <w:jc w:val="center"/>
        <w:rPr>
          <w:rFonts w:eastAsiaTheme="minorHAnsi"/>
          <w:b/>
          <w:sz w:val="28"/>
          <w:szCs w:val="28"/>
          <w:lang w:eastAsia="en-US"/>
        </w:rPr>
      </w:pPr>
      <w:r w:rsidRPr="00520861">
        <w:rPr>
          <w:rFonts w:eastAsiaTheme="minorHAnsi"/>
          <w:b/>
          <w:sz w:val="28"/>
          <w:szCs w:val="28"/>
          <w:lang w:eastAsia="en-US"/>
        </w:rPr>
        <w:t>Порівняння фактичного</w:t>
      </w:r>
      <w:r w:rsidRPr="00520861">
        <w:rPr>
          <w:rFonts w:eastAsia="Calibri"/>
          <w:b/>
          <w:sz w:val="28"/>
          <w:szCs w:val="28"/>
          <w:lang w:eastAsia="en-US"/>
        </w:rPr>
        <w:t xml:space="preserve"> (з відповідними 95% довірчими інтервалами) </w:t>
      </w:r>
      <w:r w:rsidRPr="00520861">
        <w:rPr>
          <w:rFonts w:eastAsiaTheme="minorHAnsi"/>
          <w:b/>
          <w:sz w:val="28"/>
          <w:szCs w:val="28"/>
          <w:lang w:eastAsia="en-US"/>
        </w:rPr>
        <w:t xml:space="preserve">та </w:t>
      </w:r>
      <w:r w:rsidRPr="00520861">
        <w:rPr>
          <w:rFonts w:eastAsiaTheme="minorHAnsi"/>
          <w:b/>
          <w:sz w:val="28"/>
          <w:szCs w:val="28"/>
          <w:lang w:eastAsia="en-US"/>
        </w:rPr>
        <w:br/>
        <w:t xml:space="preserve">розрахованого середніх балів сумарного батьківського </w:t>
      </w:r>
      <w:proofErr w:type="spellStart"/>
      <w:r w:rsidRPr="00520861">
        <w:rPr>
          <w:rFonts w:eastAsiaTheme="minorHAnsi"/>
          <w:b/>
          <w:sz w:val="28"/>
          <w:szCs w:val="28"/>
          <w:lang w:eastAsia="en-US"/>
        </w:rPr>
        <w:t>фактора</w:t>
      </w:r>
      <w:proofErr w:type="spellEnd"/>
      <w:r w:rsidRPr="00520861">
        <w:rPr>
          <w:rFonts w:eastAsiaTheme="minorHAnsi"/>
          <w:b/>
          <w:sz w:val="28"/>
          <w:szCs w:val="28"/>
          <w:lang w:eastAsia="en-US"/>
        </w:rPr>
        <w:t xml:space="preserve"> для різних </w:t>
      </w:r>
      <w:r w:rsidRPr="00520861">
        <w:rPr>
          <w:rFonts w:eastAsiaTheme="minorHAnsi"/>
          <w:b/>
          <w:sz w:val="28"/>
          <w:szCs w:val="28"/>
          <w:lang w:eastAsia="en-US"/>
        </w:rPr>
        <w:br/>
        <w:t>вікових категорій і груп учасників дослідження</w:t>
      </w:r>
    </w:p>
    <w:tbl>
      <w:tblPr>
        <w:tblStyle w:val="61"/>
        <w:tblW w:w="9951" w:type="dxa"/>
        <w:tblInd w:w="250" w:type="dxa"/>
        <w:tblLook w:val="04A0" w:firstRow="1" w:lastRow="0" w:firstColumn="1" w:lastColumn="0" w:noHBand="0" w:noVBand="1"/>
      </w:tblPr>
      <w:tblGrid>
        <w:gridCol w:w="2943"/>
        <w:gridCol w:w="3504"/>
        <w:gridCol w:w="3504"/>
      </w:tblGrid>
      <w:tr w:rsidR="00CF641C" w:rsidRPr="00520861" w14:paraId="76EB5EED" w14:textId="77777777" w:rsidTr="00292D2E">
        <w:tc>
          <w:tcPr>
            <w:tcW w:w="2943" w:type="dxa"/>
            <w:tcBorders>
              <w:top w:val="single" w:sz="4" w:space="0" w:color="auto"/>
              <w:left w:val="single" w:sz="4" w:space="0" w:color="auto"/>
              <w:bottom w:val="single" w:sz="4" w:space="0" w:color="auto"/>
              <w:right w:val="single" w:sz="4" w:space="0" w:color="auto"/>
            </w:tcBorders>
            <w:hideMark/>
          </w:tcPr>
          <w:p w14:paraId="19FA0DF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Вікові категорії</w:t>
            </w:r>
          </w:p>
        </w:tc>
        <w:tc>
          <w:tcPr>
            <w:tcW w:w="3504" w:type="dxa"/>
            <w:tcBorders>
              <w:top w:val="single" w:sz="4" w:space="0" w:color="auto"/>
              <w:left w:val="single" w:sz="4" w:space="0" w:color="auto"/>
              <w:bottom w:val="single" w:sz="4" w:space="0" w:color="auto"/>
              <w:right w:val="single" w:sz="4" w:space="0" w:color="auto"/>
            </w:tcBorders>
            <w:hideMark/>
          </w:tcPr>
          <w:p w14:paraId="28F63C8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СБФ фактичний, B</w:t>
            </w:r>
            <w:r w:rsidRPr="00520861">
              <w:rPr>
                <w:rFonts w:eastAsia="Calibri"/>
                <w:sz w:val="28"/>
                <w:szCs w:val="28"/>
                <w:vertAlign w:val="subscript"/>
              </w:rPr>
              <w:t>1</w:t>
            </w:r>
          </w:p>
        </w:tc>
        <w:tc>
          <w:tcPr>
            <w:tcW w:w="3504" w:type="dxa"/>
            <w:tcBorders>
              <w:top w:val="single" w:sz="4" w:space="0" w:color="auto"/>
              <w:left w:val="single" w:sz="4" w:space="0" w:color="auto"/>
              <w:bottom w:val="single" w:sz="4" w:space="0" w:color="auto"/>
              <w:right w:val="single" w:sz="4" w:space="0" w:color="auto"/>
            </w:tcBorders>
            <w:hideMark/>
          </w:tcPr>
          <w:p w14:paraId="097C0C2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СБФ розрахований, B</w:t>
            </w:r>
            <w:r w:rsidRPr="00520861">
              <w:rPr>
                <w:rFonts w:eastAsia="Calibri"/>
                <w:sz w:val="28"/>
                <w:szCs w:val="28"/>
                <w:vertAlign w:val="subscript"/>
              </w:rPr>
              <w:t>1</w:t>
            </w:r>
          </w:p>
        </w:tc>
      </w:tr>
      <w:tr w:rsidR="00CF641C" w:rsidRPr="00520861" w14:paraId="0D36F6C8" w14:textId="77777777" w:rsidTr="00292D2E">
        <w:tc>
          <w:tcPr>
            <w:tcW w:w="2943" w:type="dxa"/>
            <w:tcBorders>
              <w:top w:val="single" w:sz="4" w:space="0" w:color="auto"/>
              <w:left w:val="single" w:sz="4" w:space="0" w:color="auto"/>
              <w:bottom w:val="single" w:sz="4" w:space="0" w:color="auto"/>
              <w:right w:val="single" w:sz="4" w:space="0" w:color="auto"/>
            </w:tcBorders>
            <w:hideMark/>
          </w:tcPr>
          <w:p w14:paraId="3EA5A8B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ДГВ</w:t>
            </w:r>
          </w:p>
        </w:tc>
        <w:tc>
          <w:tcPr>
            <w:tcW w:w="3504" w:type="dxa"/>
            <w:tcBorders>
              <w:top w:val="single" w:sz="4" w:space="0" w:color="auto"/>
              <w:left w:val="single" w:sz="4" w:space="0" w:color="auto"/>
              <w:bottom w:val="single" w:sz="4" w:space="0" w:color="auto"/>
              <w:right w:val="single" w:sz="4" w:space="0" w:color="auto"/>
            </w:tcBorders>
            <w:hideMark/>
          </w:tcPr>
          <w:p w14:paraId="7446C08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2,94±0,27</w:t>
            </w:r>
          </w:p>
        </w:tc>
        <w:tc>
          <w:tcPr>
            <w:tcW w:w="3504" w:type="dxa"/>
            <w:tcBorders>
              <w:top w:val="single" w:sz="4" w:space="0" w:color="auto"/>
              <w:left w:val="single" w:sz="4" w:space="0" w:color="auto"/>
              <w:bottom w:val="single" w:sz="4" w:space="0" w:color="auto"/>
              <w:right w:val="single" w:sz="4" w:space="0" w:color="auto"/>
            </w:tcBorders>
            <w:hideMark/>
          </w:tcPr>
          <w:p w14:paraId="59542C5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2,83</w:t>
            </w:r>
          </w:p>
        </w:tc>
      </w:tr>
      <w:tr w:rsidR="00CF641C" w:rsidRPr="00520861" w14:paraId="73B6E862" w14:textId="77777777" w:rsidTr="00292D2E">
        <w:tc>
          <w:tcPr>
            <w:tcW w:w="2943" w:type="dxa"/>
            <w:tcBorders>
              <w:top w:val="single" w:sz="4" w:space="0" w:color="auto"/>
              <w:left w:val="single" w:sz="4" w:space="0" w:color="auto"/>
              <w:bottom w:val="single" w:sz="4" w:space="0" w:color="auto"/>
              <w:right w:val="single" w:sz="4" w:space="0" w:color="auto"/>
            </w:tcBorders>
            <w:hideMark/>
          </w:tcPr>
          <w:p w14:paraId="10A607F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Діти </w:t>
            </w:r>
          </w:p>
        </w:tc>
        <w:tc>
          <w:tcPr>
            <w:tcW w:w="3504" w:type="dxa"/>
            <w:tcBorders>
              <w:top w:val="single" w:sz="4" w:space="0" w:color="auto"/>
              <w:left w:val="single" w:sz="4" w:space="0" w:color="auto"/>
              <w:bottom w:val="single" w:sz="4" w:space="0" w:color="auto"/>
              <w:right w:val="single" w:sz="4" w:space="0" w:color="auto"/>
            </w:tcBorders>
            <w:hideMark/>
          </w:tcPr>
          <w:p w14:paraId="4C8C2FC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3,49±0,44</w:t>
            </w:r>
          </w:p>
        </w:tc>
        <w:tc>
          <w:tcPr>
            <w:tcW w:w="3504" w:type="dxa"/>
            <w:tcBorders>
              <w:top w:val="single" w:sz="4" w:space="0" w:color="auto"/>
              <w:left w:val="single" w:sz="4" w:space="0" w:color="auto"/>
              <w:bottom w:val="single" w:sz="4" w:space="0" w:color="auto"/>
              <w:right w:val="single" w:sz="4" w:space="0" w:color="auto"/>
            </w:tcBorders>
            <w:hideMark/>
          </w:tcPr>
          <w:p w14:paraId="39119CB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3,49</w:t>
            </w:r>
          </w:p>
        </w:tc>
      </w:tr>
      <w:tr w:rsidR="00CF641C" w:rsidRPr="00520861" w14:paraId="5375BD35" w14:textId="77777777" w:rsidTr="00292D2E">
        <w:tc>
          <w:tcPr>
            <w:tcW w:w="2943" w:type="dxa"/>
            <w:tcBorders>
              <w:top w:val="single" w:sz="4" w:space="0" w:color="auto"/>
              <w:left w:val="single" w:sz="4" w:space="0" w:color="auto"/>
              <w:bottom w:val="single" w:sz="4" w:space="0" w:color="auto"/>
              <w:right w:val="single" w:sz="4" w:space="0" w:color="auto"/>
            </w:tcBorders>
            <w:hideMark/>
          </w:tcPr>
          <w:p w14:paraId="4AFDDCC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Дорослі особи</w:t>
            </w:r>
          </w:p>
        </w:tc>
        <w:tc>
          <w:tcPr>
            <w:tcW w:w="3504" w:type="dxa"/>
            <w:tcBorders>
              <w:top w:val="single" w:sz="4" w:space="0" w:color="auto"/>
              <w:left w:val="single" w:sz="4" w:space="0" w:color="auto"/>
              <w:bottom w:val="single" w:sz="4" w:space="0" w:color="auto"/>
              <w:right w:val="single" w:sz="4" w:space="0" w:color="auto"/>
            </w:tcBorders>
            <w:hideMark/>
          </w:tcPr>
          <w:p w14:paraId="080ABA5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3,12±0,38</w:t>
            </w:r>
          </w:p>
        </w:tc>
        <w:tc>
          <w:tcPr>
            <w:tcW w:w="3504" w:type="dxa"/>
            <w:tcBorders>
              <w:top w:val="single" w:sz="4" w:space="0" w:color="auto"/>
              <w:left w:val="single" w:sz="4" w:space="0" w:color="auto"/>
              <w:bottom w:val="single" w:sz="4" w:space="0" w:color="auto"/>
              <w:right w:val="single" w:sz="4" w:space="0" w:color="auto"/>
            </w:tcBorders>
            <w:hideMark/>
          </w:tcPr>
          <w:p w14:paraId="1E9BA0D5"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3,24</w:t>
            </w:r>
          </w:p>
        </w:tc>
      </w:tr>
    </w:tbl>
    <w:p w14:paraId="66E86C13" w14:textId="77777777" w:rsidR="00CF641C" w:rsidRPr="00520861" w:rsidRDefault="00CF641C" w:rsidP="00292D2E">
      <w:pPr>
        <w:widowControl w:val="0"/>
        <w:spacing w:line="360" w:lineRule="auto"/>
        <w:ind w:firstLine="708"/>
        <w:jc w:val="both"/>
        <w:rPr>
          <w:rFonts w:eastAsiaTheme="minorHAnsi"/>
          <w:sz w:val="28"/>
          <w:szCs w:val="28"/>
          <w:lang w:eastAsia="en-US"/>
        </w:rPr>
      </w:pPr>
    </w:p>
    <w:p w14:paraId="7D86FC3A" w14:textId="77777777" w:rsidR="00CF641C" w:rsidRPr="00520861" w:rsidRDefault="00CF641C"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Отже, відмінності бальних оцінок СБФ у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і </w:t>
      </w:r>
      <w:proofErr w:type="spellStart"/>
      <w:r w:rsidRPr="00520861">
        <w:rPr>
          <w:rFonts w:eastAsiaTheme="minorHAnsi"/>
          <w:sz w:val="28"/>
          <w:szCs w:val="28"/>
          <w:lang w:eastAsia="en-US"/>
        </w:rPr>
        <w:t>нормосомів</w:t>
      </w:r>
      <w:proofErr w:type="spellEnd"/>
      <w:r w:rsidRPr="00520861">
        <w:rPr>
          <w:rFonts w:eastAsiaTheme="minorHAnsi"/>
          <w:sz w:val="28"/>
          <w:szCs w:val="28"/>
          <w:lang w:eastAsia="en-US"/>
        </w:rPr>
        <w:t xml:space="preserve"> по шкалах 1 та 2 у ДГВ та шкалі 1 для учасників вікових категорій «діти» та «особи дорослого віку» (табл. 4.15) пояснюються різною відносною кількістю в них батьків-</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При опитуванні вікової категорії від 18 до 55 років переважання впливу окремо материнського чи окремо батькового </w:t>
      </w:r>
      <w:proofErr w:type="spellStart"/>
      <w:r w:rsidRPr="00520861">
        <w:rPr>
          <w:rFonts w:eastAsiaTheme="minorHAnsi"/>
          <w:sz w:val="28"/>
          <w:szCs w:val="28"/>
          <w:lang w:eastAsia="en-US"/>
        </w:rPr>
        <w:t>фактора</w:t>
      </w:r>
      <w:proofErr w:type="spellEnd"/>
      <w:r w:rsidRPr="00520861">
        <w:rPr>
          <w:rFonts w:eastAsiaTheme="minorHAnsi"/>
          <w:sz w:val="28"/>
          <w:szCs w:val="28"/>
          <w:lang w:eastAsia="en-US"/>
        </w:rPr>
        <w:t xml:space="preserve"> на ризик виникнення </w:t>
      </w:r>
      <w:proofErr w:type="spellStart"/>
      <w:r w:rsidRPr="00520861">
        <w:rPr>
          <w:rFonts w:eastAsiaTheme="minorHAnsi"/>
          <w:sz w:val="28"/>
          <w:szCs w:val="28"/>
          <w:lang w:eastAsia="en-US"/>
        </w:rPr>
        <w:t>СтП</w:t>
      </w:r>
      <w:proofErr w:type="spellEnd"/>
      <w:r w:rsidRPr="00520861">
        <w:rPr>
          <w:rFonts w:eastAsiaTheme="minorHAnsi"/>
          <w:sz w:val="28"/>
          <w:szCs w:val="28"/>
          <w:lang w:eastAsia="en-US"/>
        </w:rPr>
        <w:t xml:space="preserve"> не виявлено. </w:t>
      </w:r>
      <w:r w:rsidRPr="00520861">
        <w:rPr>
          <w:rFonts w:eastAsiaTheme="minorHAnsi"/>
          <w:sz w:val="28"/>
          <w:szCs w:val="28"/>
          <w:highlight w:val="yellow"/>
          <w:lang w:eastAsia="en-US"/>
        </w:rPr>
        <w:t xml:space="preserve"> </w:t>
      </w:r>
      <w:r w:rsidRPr="00520861">
        <w:rPr>
          <w:rFonts w:eastAsiaTheme="minorHAnsi"/>
          <w:sz w:val="28"/>
          <w:szCs w:val="28"/>
          <w:lang w:val="ru-RU" w:eastAsia="en-US"/>
        </w:rPr>
        <w:t>(</w:t>
      </w:r>
      <w:r w:rsidRPr="00520861">
        <w:rPr>
          <w:rFonts w:eastAsiaTheme="minorHAnsi"/>
          <w:sz w:val="28"/>
          <w:szCs w:val="28"/>
          <w:lang w:eastAsia="en-US"/>
        </w:rPr>
        <w:t>табл. 4.18</w:t>
      </w:r>
      <w:r w:rsidRPr="00520861">
        <w:rPr>
          <w:rFonts w:eastAsiaTheme="minorHAnsi"/>
          <w:sz w:val="28"/>
          <w:szCs w:val="28"/>
          <w:lang w:val="ru-RU" w:eastAsia="en-US"/>
        </w:rPr>
        <w:t>)</w:t>
      </w:r>
      <w:r w:rsidRPr="00520861">
        <w:rPr>
          <w:rFonts w:eastAsiaTheme="minorHAnsi"/>
          <w:sz w:val="28"/>
          <w:szCs w:val="28"/>
          <w:lang w:eastAsia="en-US"/>
        </w:rPr>
        <w:t xml:space="preserve">. </w:t>
      </w:r>
    </w:p>
    <w:p w14:paraId="3E87296B" w14:textId="77777777" w:rsidR="00CF641C" w:rsidRPr="00520861" w:rsidRDefault="00CF641C"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Оскільки для категорій «діти» та «дорослі особи» опитувальники створювалися так, щоб існувала можливість оцінити стоматологічний статус особи, яка </w:t>
      </w:r>
      <w:proofErr w:type="spellStart"/>
      <w:r w:rsidRPr="00520861">
        <w:rPr>
          <w:rFonts w:eastAsiaTheme="minorHAnsi"/>
          <w:sz w:val="28"/>
          <w:szCs w:val="28"/>
          <w:lang w:eastAsia="en-US"/>
        </w:rPr>
        <w:t>опитується</w:t>
      </w:r>
      <w:proofErr w:type="spellEnd"/>
      <w:r w:rsidRPr="00520861">
        <w:rPr>
          <w:rFonts w:eastAsiaTheme="minorHAnsi"/>
          <w:sz w:val="28"/>
          <w:szCs w:val="28"/>
          <w:lang w:eastAsia="en-US"/>
        </w:rPr>
        <w:t xml:space="preserve">, а опитувальник для категорії «ДГВ» орієнтований тільки на оцінювання материнського та батькового впливу на ризик виникнення </w:t>
      </w:r>
      <w:proofErr w:type="spellStart"/>
      <w:r w:rsidRPr="00520861">
        <w:rPr>
          <w:rFonts w:eastAsiaTheme="minorHAnsi"/>
          <w:sz w:val="28"/>
          <w:szCs w:val="28"/>
          <w:lang w:eastAsia="en-US"/>
        </w:rPr>
        <w:t>СтП</w:t>
      </w:r>
      <w:proofErr w:type="spellEnd"/>
      <w:r w:rsidRPr="00520861">
        <w:rPr>
          <w:rFonts w:eastAsiaTheme="minorHAnsi"/>
          <w:sz w:val="28"/>
          <w:szCs w:val="28"/>
          <w:lang w:eastAsia="en-US"/>
        </w:rPr>
        <w:t>, для узагальнених результатів оцінили сумарні ризики для вікових категорій «діти» та «особи дорослого віку» по групах і підгрупах. Результати сумарної бальної оцінки наведені в таблиці 4.19.</w:t>
      </w:r>
    </w:p>
    <w:p w14:paraId="624CBA85"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Дані, наведені в табл. 4.19, демонструють, що особи ОГ мають вірогідно вищі ризики виникнення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ніж особи ГП. Найгірший стоматологічний статус слід </w:t>
      </w:r>
      <w:r w:rsidRPr="00520861">
        <w:rPr>
          <w:rFonts w:eastAsia="Calibri"/>
          <w:sz w:val="28"/>
          <w:szCs w:val="28"/>
          <w:lang w:eastAsia="en-US"/>
        </w:rPr>
        <w:br/>
        <w:t xml:space="preserve">очікувати в осіб, віднесених до </w:t>
      </w:r>
      <w:r w:rsidRPr="00520861">
        <w:rPr>
          <w:rFonts w:eastAsiaTheme="minorHAnsi"/>
          <w:sz w:val="28"/>
          <w:szCs w:val="28"/>
          <w:lang w:eastAsia="en-US"/>
        </w:rPr>
        <w:t>підгрупи</w:t>
      </w:r>
      <w:r w:rsidRPr="00520861">
        <w:rPr>
          <w:rFonts w:eastAsia="Calibri"/>
          <w:sz w:val="28"/>
          <w:szCs w:val="28"/>
          <w:lang w:eastAsia="en-US"/>
        </w:rPr>
        <w:t xml:space="preserve"> 4. </w:t>
      </w:r>
    </w:p>
    <w:p w14:paraId="349C798D"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Вплив на ситуацію рівня гігієни ротової порожнини, шкідливих звичок, медикаментозної терапії, характеру харчування та фізичного навантаження опитаних осіб не підтвердився (надійних відмінностей на рівні груп чи підгруп у більшості випадків не спостерігалося).</w:t>
      </w:r>
    </w:p>
    <w:p w14:paraId="71EFEC03" w14:textId="77777777" w:rsidR="00CF641C" w:rsidRPr="00520861" w:rsidRDefault="00CF641C" w:rsidP="00292D2E">
      <w:pPr>
        <w:widowControl w:val="0"/>
        <w:spacing w:line="360" w:lineRule="auto"/>
        <w:ind w:firstLine="708"/>
        <w:jc w:val="right"/>
        <w:rPr>
          <w:rFonts w:eastAsiaTheme="minorHAnsi"/>
          <w:i/>
          <w:sz w:val="28"/>
          <w:szCs w:val="28"/>
          <w:lang w:eastAsia="en-US"/>
        </w:rPr>
      </w:pPr>
      <w:r w:rsidRPr="00520861">
        <w:rPr>
          <w:rFonts w:eastAsiaTheme="minorHAnsi"/>
          <w:i/>
          <w:sz w:val="28"/>
          <w:szCs w:val="28"/>
          <w:lang w:eastAsia="en-US"/>
        </w:rPr>
        <w:lastRenderedPageBreak/>
        <w:t>Таблиця 4.18</w:t>
      </w:r>
    </w:p>
    <w:p w14:paraId="1C3E2E78" w14:textId="77777777" w:rsidR="00CF641C" w:rsidRPr="00520861" w:rsidRDefault="00CF641C" w:rsidP="00292D2E">
      <w:pPr>
        <w:widowControl w:val="0"/>
        <w:spacing w:line="360" w:lineRule="auto"/>
        <w:ind w:hanging="142"/>
        <w:jc w:val="center"/>
        <w:rPr>
          <w:rFonts w:eastAsia="Calibri"/>
          <w:b/>
          <w:sz w:val="28"/>
          <w:szCs w:val="28"/>
          <w:lang w:eastAsia="en-US"/>
        </w:rPr>
      </w:pPr>
      <w:r w:rsidRPr="00520861">
        <w:rPr>
          <w:rFonts w:eastAsia="Calibri"/>
          <w:b/>
          <w:sz w:val="28"/>
          <w:szCs w:val="28"/>
          <w:lang w:eastAsia="en-US"/>
        </w:rPr>
        <w:t xml:space="preserve">Відносний середній бал впливу материнського (батькового) </w:t>
      </w:r>
      <w:proofErr w:type="spellStart"/>
      <w:r w:rsidRPr="00520861">
        <w:rPr>
          <w:rFonts w:eastAsia="Calibri"/>
          <w:b/>
          <w:sz w:val="28"/>
          <w:szCs w:val="28"/>
          <w:lang w:eastAsia="en-US"/>
        </w:rPr>
        <w:t>фактора</w:t>
      </w:r>
      <w:proofErr w:type="spellEnd"/>
      <w:r w:rsidRPr="00520861">
        <w:rPr>
          <w:rFonts w:eastAsia="Calibri"/>
          <w:b/>
          <w:sz w:val="28"/>
          <w:szCs w:val="28"/>
          <w:lang w:eastAsia="en-US"/>
        </w:rPr>
        <w:t xml:space="preserve"> у процентах, з 95% довірчими інтервалами, а також процентне співвідношення балів для осіб дорослого віку різних груп та підгруп</w:t>
      </w:r>
    </w:p>
    <w:tbl>
      <w:tblPr>
        <w:tblStyle w:val="410"/>
        <w:tblW w:w="9810" w:type="dxa"/>
        <w:tblInd w:w="250" w:type="dxa"/>
        <w:tblLayout w:type="fixed"/>
        <w:tblLook w:val="04A0" w:firstRow="1" w:lastRow="0" w:firstColumn="1" w:lastColumn="0" w:noHBand="0" w:noVBand="1"/>
      </w:tblPr>
      <w:tblGrid>
        <w:gridCol w:w="1677"/>
        <w:gridCol w:w="1626"/>
        <w:gridCol w:w="1627"/>
        <w:gridCol w:w="1626"/>
        <w:gridCol w:w="1627"/>
        <w:gridCol w:w="1627"/>
      </w:tblGrid>
      <w:tr w:rsidR="00CF641C" w:rsidRPr="00520861" w14:paraId="6E8080F6" w14:textId="77777777" w:rsidTr="00292D2E">
        <w:trPr>
          <w:trHeight w:val="300"/>
        </w:trPr>
        <w:tc>
          <w:tcPr>
            <w:tcW w:w="9810" w:type="dxa"/>
            <w:gridSpan w:val="6"/>
            <w:tcBorders>
              <w:top w:val="single" w:sz="4" w:space="0" w:color="auto"/>
              <w:left w:val="single" w:sz="4" w:space="0" w:color="auto"/>
              <w:bottom w:val="single" w:sz="4" w:space="0" w:color="auto"/>
              <w:right w:val="single" w:sz="4" w:space="0" w:color="auto"/>
            </w:tcBorders>
            <w:noWrap/>
          </w:tcPr>
          <w:p w14:paraId="1889835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Групи та підгрупи</w:t>
            </w:r>
          </w:p>
        </w:tc>
      </w:tr>
      <w:tr w:rsidR="00CF641C" w:rsidRPr="00520861" w14:paraId="14714A48" w14:textId="77777777" w:rsidTr="00292D2E">
        <w:trPr>
          <w:trHeight w:val="455"/>
        </w:trPr>
        <w:tc>
          <w:tcPr>
            <w:tcW w:w="1677" w:type="dxa"/>
            <w:tcBorders>
              <w:top w:val="single" w:sz="4" w:space="0" w:color="auto"/>
              <w:left w:val="single" w:sz="4" w:space="0" w:color="auto"/>
              <w:bottom w:val="single" w:sz="4" w:space="0" w:color="auto"/>
              <w:right w:val="single" w:sz="4" w:space="0" w:color="auto"/>
            </w:tcBorders>
            <w:noWrap/>
          </w:tcPr>
          <w:p w14:paraId="52E04DD5" w14:textId="77777777" w:rsidR="00CF641C" w:rsidRPr="00520861" w:rsidRDefault="00CF641C" w:rsidP="00292D2E">
            <w:pPr>
              <w:widowControl w:val="0"/>
              <w:spacing w:line="360" w:lineRule="auto"/>
              <w:ind w:hanging="178"/>
              <w:jc w:val="center"/>
              <w:rPr>
                <w:rFonts w:eastAsia="Calibri"/>
                <w:sz w:val="28"/>
                <w:szCs w:val="28"/>
              </w:rPr>
            </w:pPr>
            <w:r w:rsidRPr="00520861">
              <w:rPr>
                <w:rFonts w:eastAsia="Calibri"/>
                <w:sz w:val="28"/>
                <w:szCs w:val="28"/>
              </w:rPr>
              <w:t>ГП</w:t>
            </w:r>
          </w:p>
        </w:tc>
        <w:tc>
          <w:tcPr>
            <w:tcW w:w="1626" w:type="dxa"/>
            <w:tcBorders>
              <w:top w:val="single" w:sz="4" w:space="0" w:color="auto"/>
              <w:left w:val="single" w:sz="4" w:space="0" w:color="auto"/>
              <w:bottom w:val="single" w:sz="4" w:space="0" w:color="auto"/>
              <w:right w:val="single" w:sz="4" w:space="0" w:color="auto"/>
            </w:tcBorders>
            <w:noWrap/>
          </w:tcPr>
          <w:p w14:paraId="0216D6F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ОГ</w:t>
            </w:r>
          </w:p>
        </w:tc>
        <w:tc>
          <w:tcPr>
            <w:tcW w:w="1627" w:type="dxa"/>
            <w:tcBorders>
              <w:top w:val="single" w:sz="4" w:space="0" w:color="auto"/>
              <w:left w:val="single" w:sz="4" w:space="0" w:color="auto"/>
              <w:bottom w:val="single" w:sz="4" w:space="0" w:color="auto"/>
              <w:right w:val="single" w:sz="4" w:space="0" w:color="auto"/>
            </w:tcBorders>
            <w:noWrap/>
          </w:tcPr>
          <w:p w14:paraId="4140D157"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1626" w:type="dxa"/>
            <w:tcBorders>
              <w:top w:val="single" w:sz="4" w:space="0" w:color="auto"/>
              <w:left w:val="single" w:sz="4" w:space="0" w:color="auto"/>
              <w:bottom w:val="single" w:sz="4" w:space="0" w:color="auto"/>
              <w:right w:val="single" w:sz="4" w:space="0" w:color="auto"/>
            </w:tcBorders>
            <w:noWrap/>
          </w:tcPr>
          <w:p w14:paraId="6EABBEC3"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 </w:t>
            </w:r>
          </w:p>
        </w:tc>
        <w:tc>
          <w:tcPr>
            <w:tcW w:w="1627" w:type="dxa"/>
            <w:tcBorders>
              <w:top w:val="single" w:sz="4" w:space="0" w:color="auto"/>
              <w:left w:val="single" w:sz="4" w:space="0" w:color="auto"/>
              <w:bottom w:val="single" w:sz="4" w:space="0" w:color="auto"/>
              <w:right w:val="single" w:sz="4" w:space="0" w:color="auto"/>
            </w:tcBorders>
            <w:noWrap/>
          </w:tcPr>
          <w:p w14:paraId="4DC22C9C"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 </w:t>
            </w:r>
          </w:p>
        </w:tc>
        <w:tc>
          <w:tcPr>
            <w:tcW w:w="1627" w:type="dxa"/>
            <w:tcBorders>
              <w:top w:val="single" w:sz="4" w:space="0" w:color="auto"/>
              <w:left w:val="single" w:sz="4" w:space="0" w:color="auto"/>
              <w:bottom w:val="single" w:sz="4" w:space="0" w:color="auto"/>
              <w:right w:val="single" w:sz="4" w:space="0" w:color="auto"/>
            </w:tcBorders>
            <w:noWrap/>
          </w:tcPr>
          <w:p w14:paraId="2D363A8F"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 </w:t>
            </w:r>
          </w:p>
        </w:tc>
      </w:tr>
      <w:tr w:rsidR="00CF641C" w:rsidRPr="00520861" w14:paraId="31EB4C37" w14:textId="77777777" w:rsidTr="00292D2E">
        <w:trPr>
          <w:trHeight w:val="300"/>
        </w:trPr>
        <w:tc>
          <w:tcPr>
            <w:tcW w:w="1677" w:type="dxa"/>
            <w:tcBorders>
              <w:top w:val="single" w:sz="4" w:space="0" w:color="auto"/>
              <w:left w:val="single" w:sz="4" w:space="0" w:color="auto"/>
              <w:bottom w:val="single" w:sz="4" w:space="0" w:color="auto"/>
              <w:right w:val="single" w:sz="4" w:space="0" w:color="auto"/>
            </w:tcBorders>
            <w:noWrap/>
          </w:tcPr>
          <w:p w14:paraId="593B66D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19,0</w:t>
            </w:r>
            <w:r w:rsidRPr="00520861">
              <w:rPr>
                <w:rFonts w:eastAsia="Calibri"/>
                <w:sz w:val="28"/>
                <w:szCs w:val="28"/>
              </w:rPr>
              <w:sym w:font="Symbol" w:char="F0B1"/>
            </w:r>
            <w:r w:rsidRPr="00520861">
              <w:rPr>
                <w:rFonts w:eastAsia="Calibri"/>
                <w:sz w:val="28"/>
                <w:szCs w:val="28"/>
              </w:rPr>
              <w:t>2,5</w:t>
            </w:r>
          </w:p>
          <w:p w14:paraId="56E48F1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(19,8</w:t>
            </w:r>
            <w:r w:rsidRPr="00520861">
              <w:rPr>
                <w:rFonts w:eastAsia="Calibri"/>
                <w:sz w:val="28"/>
                <w:szCs w:val="28"/>
              </w:rPr>
              <w:sym w:font="Symbol" w:char="F0B1"/>
            </w:r>
            <w:r w:rsidRPr="00520861">
              <w:rPr>
                <w:rFonts w:eastAsia="Calibri"/>
                <w:sz w:val="28"/>
                <w:szCs w:val="28"/>
              </w:rPr>
              <w:t>2,6)</w:t>
            </w:r>
          </w:p>
          <w:p w14:paraId="1952F29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49,1/50,9</w:t>
            </w:r>
          </w:p>
        </w:tc>
        <w:tc>
          <w:tcPr>
            <w:tcW w:w="1626" w:type="dxa"/>
            <w:tcBorders>
              <w:top w:val="single" w:sz="4" w:space="0" w:color="auto"/>
              <w:left w:val="single" w:sz="4" w:space="0" w:color="auto"/>
              <w:bottom w:val="single" w:sz="4" w:space="0" w:color="auto"/>
              <w:right w:val="single" w:sz="4" w:space="0" w:color="auto"/>
            </w:tcBorders>
            <w:noWrap/>
          </w:tcPr>
          <w:p w14:paraId="1E30BD3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22,9</w:t>
            </w:r>
            <w:r w:rsidRPr="00520861">
              <w:rPr>
                <w:rFonts w:eastAsia="Calibri"/>
                <w:sz w:val="28"/>
                <w:szCs w:val="28"/>
              </w:rPr>
              <w:sym w:font="Symbol" w:char="F0B1"/>
            </w:r>
            <w:r w:rsidRPr="00520861">
              <w:rPr>
                <w:rFonts w:eastAsia="Calibri"/>
                <w:sz w:val="28"/>
                <w:szCs w:val="28"/>
              </w:rPr>
              <w:t>2,7</w:t>
            </w:r>
          </w:p>
          <w:p w14:paraId="4ED8536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(22,3</w:t>
            </w:r>
            <w:r w:rsidRPr="00520861">
              <w:rPr>
                <w:rFonts w:eastAsia="Calibri"/>
                <w:sz w:val="28"/>
                <w:szCs w:val="28"/>
              </w:rPr>
              <w:sym w:font="Symbol" w:char="F0B1"/>
            </w:r>
            <w:r w:rsidRPr="00520861">
              <w:rPr>
                <w:rFonts w:eastAsia="Calibri"/>
                <w:sz w:val="28"/>
                <w:szCs w:val="28"/>
              </w:rPr>
              <w:t>2,7)</w:t>
            </w:r>
          </w:p>
          <w:p w14:paraId="5C038D0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50,6/49,4</w:t>
            </w:r>
          </w:p>
        </w:tc>
        <w:tc>
          <w:tcPr>
            <w:tcW w:w="1627" w:type="dxa"/>
            <w:tcBorders>
              <w:top w:val="single" w:sz="4" w:space="0" w:color="auto"/>
              <w:left w:val="single" w:sz="4" w:space="0" w:color="auto"/>
              <w:bottom w:val="single" w:sz="4" w:space="0" w:color="auto"/>
              <w:right w:val="single" w:sz="4" w:space="0" w:color="auto"/>
            </w:tcBorders>
            <w:noWrap/>
          </w:tcPr>
          <w:p w14:paraId="0F450DE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26,3</w:t>
            </w:r>
            <w:r w:rsidRPr="00520861">
              <w:rPr>
                <w:rFonts w:eastAsia="Calibri"/>
                <w:sz w:val="28"/>
                <w:szCs w:val="28"/>
              </w:rPr>
              <w:sym w:font="Symbol" w:char="F0B1"/>
            </w:r>
            <w:r w:rsidRPr="00520861">
              <w:rPr>
                <w:rFonts w:eastAsia="Calibri"/>
                <w:sz w:val="28"/>
                <w:szCs w:val="28"/>
              </w:rPr>
              <w:t>6,7</w:t>
            </w:r>
          </w:p>
          <w:p w14:paraId="6732DC5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(21,5</w:t>
            </w:r>
            <w:r w:rsidRPr="00520861">
              <w:rPr>
                <w:rFonts w:eastAsia="Calibri"/>
                <w:sz w:val="28"/>
                <w:szCs w:val="28"/>
              </w:rPr>
              <w:sym w:font="Symbol" w:char="F0B1"/>
            </w:r>
            <w:r w:rsidRPr="00520861">
              <w:rPr>
                <w:rFonts w:eastAsia="Calibri"/>
                <w:sz w:val="28"/>
                <w:szCs w:val="28"/>
              </w:rPr>
              <w:t>7,3)</w:t>
            </w:r>
          </w:p>
          <w:p w14:paraId="253AC5E7"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54,9/45,1</w:t>
            </w:r>
          </w:p>
        </w:tc>
        <w:tc>
          <w:tcPr>
            <w:tcW w:w="1626" w:type="dxa"/>
            <w:tcBorders>
              <w:top w:val="single" w:sz="4" w:space="0" w:color="auto"/>
              <w:left w:val="single" w:sz="4" w:space="0" w:color="auto"/>
              <w:bottom w:val="single" w:sz="4" w:space="0" w:color="auto"/>
              <w:right w:val="single" w:sz="4" w:space="0" w:color="auto"/>
            </w:tcBorders>
            <w:noWrap/>
          </w:tcPr>
          <w:p w14:paraId="5AC6E46A"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21,7</w:t>
            </w:r>
            <w:r w:rsidRPr="00520861">
              <w:rPr>
                <w:rFonts w:eastAsia="Calibri"/>
                <w:sz w:val="28"/>
                <w:szCs w:val="28"/>
              </w:rPr>
              <w:sym w:font="Symbol" w:char="F0B1"/>
            </w:r>
            <w:r w:rsidRPr="00520861">
              <w:rPr>
                <w:rFonts w:eastAsia="Calibri"/>
                <w:sz w:val="28"/>
                <w:szCs w:val="28"/>
              </w:rPr>
              <w:t>8,5</w:t>
            </w:r>
          </w:p>
          <w:p w14:paraId="1B35AAE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(18,2</w:t>
            </w:r>
            <w:r w:rsidRPr="00520861">
              <w:rPr>
                <w:rFonts w:eastAsia="Calibri"/>
                <w:sz w:val="28"/>
                <w:szCs w:val="28"/>
              </w:rPr>
              <w:sym w:font="Symbol" w:char="F0B1"/>
            </w:r>
            <w:r w:rsidRPr="00520861">
              <w:rPr>
                <w:rFonts w:eastAsia="Calibri"/>
                <w:sz w:val="28"/>
                <w:szCs w:val="28"/>
              </w:rPr>
              <w:t>6,6)</w:t>
            </w:r>
          </w:p>
          <w:p w14:paraId="74E90A3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54,4/45,6</w:t>
            </w:r>
          </w:p>
        </w:tc>
        <w:tc>
          <w:tcPr>
            <w:tcW w:w="1627" w:type="dxa"/>
            <w:tcBorders>
              <w:top w:val="single" w:sz="4" w:space="0" w:color="auto"/>
              <w:left w:val="single" w:sz="4" w:space="0" w:color="auto"/>
              <w:bottom w:val="single" w:sz="4" w:space="0" w:color="auto"/>
              <w:right w:val="single" w:sz="4" w:space="0" w:color="auto"/>
            </w:tcBorders>
            <w:noWrap/>
          </w:tcPr>
          <w:p w14:paraId="2B3A050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23,3</w:t>
            </w:r>
            <w:r w:rsidRPr="00520861">
              <w:rPr>
                <w:rFonts w:eastAsia="Calibri"/>
                <w:sz w:val="28"/>
                <w:szCs w:val="28"/>
              </w:rPr>
              <w:sym w:font="Symbol" w:char="F0B1"/>
            </w:r>
            <w:r w:rsidRPr="00520861">
              <w:rPr>
                <w:rFonts w:eastAsia="Calibri"/>
                <w:sz w:val="28"/>
                <w:szCs w:val="28"/>
              </w:rPr>
              <w:t>6,6</w:t>
            </w:r>
          </w:p>
          <w:p w14:paraId="6BE07D3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(21,3</w:t>
            </w:r>
            <w:r w:rsidRPr="00520861">
              <w:rPr>
                <w:rFonts w:eastAsia="Calibri"/>
                <w:sz w:val="28"/>
                <w:szCs w:val="28"/>
              </w:rPr>
              <w:sym w:font="Symbol" w:char="F0B1"/>
            </w:r>
            <w:r w:rsidRPr="00520861">
              <w:rPr>
                <w:rFonts w:eastAsia="Calibri"/>
                <w:sz w:val="28"/>
                <w:szCs w:val="28"/>
              </w:rPr>
              <w:t>4,5)</w:t>
            </w:r>
          </w:p>
          <w:p w14:paraId="1E2FA6DB"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52,2/47,8</w:t>
            </w:r>
          </w:p>
        </w:tc>
        <w:tc>
          <w:tcPr>
            <w:tcW w:w="1627" w:type="dxa"/>
            <w:tcBorders>
              <w:top w:val="single" w:sz="4" w:space="0" w:color="auto"/>
              <w:left w:val="single" w:sz="4" w:space="0" w:color="auto"/>
              <w:bottom w:val="single" w:sz="4" w:space="0" w:color="auto"/>
              <w:right w:val="single" w:sz="4" w:space="0" w:color="auto"/>
            </w:tcBorders>
            <w:noWrap/>
          </w:tcPr>
          <w:p w14:paraId="2520E25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21,1</w:t>
            </w:r>
            <w:r w:rsidRPr="00520861">
              <w:rPr>
                <w:rFonts w:eastAsia="Calibri"/>
                <w:sz w:val="28"/>
                <w:szCs w:val="28"/>
              </w:rPr>
              <w:sym w:font="Symbol" w:char="F0B1"/>
            </w:r>
            <w:r w:rsidRPr="00520861">
              <w:rPr>
                <w:rFonts w:eastAsia="Calibri"/>
                <w:sz w:val="28"/>
                <w:szCs w:val="28"/>
              </w:rPr>
              <w:t>3,5</w:t>
            </w:r>
          </w:p>
          <w:p w14:paraId="7997378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(24,9</w:t>
            </w:r>
            <w:r w:rsidRPr="00520861">
              <w:rPr>
                <w:rFonts w:eastAsia="Calibri"/>
                <w:sz w:val="28"/>
                <w:szCs w:val="28"/>
              </w:rPr>
              <w:sym w:font="Symbol" w:char="F0B1"/>
            </w:r>
            <w:r w:rsidRPr="00520861">
              <w:rPr>
                <w:rFonts w:eastAsia="Calibri"/>
                <w:sz w:val="28"/>
                <w:szCs w:val="28"/>
              </w:rPr>
              <w:t>4,3)</w:t>
            </w:r>
          </w:p>
          <w:p w14:paraId="393B45A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45,9/54,1</w:t>
            </w:r>
          </w:p>
        </w:tc>
      </w:tr>
    </w:tbl>
    <w:p w14:paraId="2AD7B731" w14:textId="77777777" w:rsidR="00CF641C" w:rsidRPr="00520861" w:rsidRDefault="00CF641C" w:rsidP="00292D2E">
      <w:pPr>
        <w:widowControl w:val="0"/>
        <w:spacing w:line="360" w:lineRule="auto"/>
        <w:ind w:firstLine="708"/>
        <w:jc w:val="both"/>
        <w:rPr>
          <w:rFonts w:eastAsiaTheme="minorHAnsi"/>
          <w:sz w:val="28"/>
          <w:szCs w:val="28"/>
          <w:lang w:eastAsia="en-US"/>
        </w:rPr>
      </w:pPr>
    </w:p>
    <w:p w14:paraId="309BAB24" w14:textId="77777777" w:rsidR="00CF641C" w:rsidRPr="00520861" w:rsidRDefault="00CF641C" w:rsidP="00292D2E">
      <w:pPr>
        <w:widowControl w:val="0"/>
        <w:spacing w:line="256" w:lineRule="auto"/>
        <w:jc w:val="right"/>
        <w:rPr>
          <w:rFonts w:eastAsia="Calibri"/>
          <w:i/>
          <w:sz w:val="28"/>
          <w:szCs w:val="28"/>
          <w:lang w:eastAsia="en-US"/>
        </w:rPr>
      </w:pPr>
      <w:r w:rsidRPr="00520861">
        <w:rPr>
          <w:rFonts w:eastAsia="Calibri"/>
          <w:i/>
          <w:sz w:val="28"/>
          <w:szCs w:val="28"/>
          <w:lang w:eastAsia="en-US"/>
        </w:rPr>
        <w:t>Таблиця 4.19</w:t>
      </w:r>
    </w:p>
    <w:p w14:paraId="5F0163D6" w14:textId="77777777" w:rsidR="00CF641C" w:rsidRPr="00520861" w:rsidRDefault="00CF641C" w:rsidP="00292D2E">
      <w:pPr>
        <w:widowControl w:val="0"/>
        <w:spacing w:line="360" w:lineRule="auto"/>
        <w:jc w:val="center"/>
        <w:rPr>
          <w:rFonts w:eastAsiaTheme="minorHAnsi"/>
          <w:b/>
          <w:sz w:val="28"/>
          <w:szCs w:val="28"/>
          <w:lang w:eastAsia="en-US"/>
        </w:rPr>
      </w:pPr>
      <w:r w:rsidRPr="00520861">
        <w:rPr>
          <w:rFonts w:eastAsia="Calibri"/>
          <w:b/>
          <w:sz w:val="28"/>
          <w:szCs w:val="28"/>
          <w:lang w:eastAsia="en-US"/>
        </w:rPr>
        <w:t xml:space="preserve">Зведені бальні оцінки результатів тестування осіб вікових категорій «діти» </w:t>
      </w:r>
      <w:r w:rsidRPr="00520861">
        <w:rPr>
          <w:rFonts w:eastAsia="Calibri"/>
          <w:b/>
          <w:sz w:val="28"/>
          <w:szCs w:val="28"/>
          <w:lang w:eastAsia="en-US"/>
        </w:rPr>
        <w:br/>
        <w:t>та «особи дорослого віку» (</w:t>
      </w:r>
      <w:r w:rsidRPr="00520861">
        <w:rPr>
          <w:rFonts w:eastAsiaTheme="minorHAnsi"/>
          <w:b/>
          <w:sz w:val="28"/>
          <w:szCs w:val="28"/>
          <w:lang w:eastAsia="en-US"/>
        </w:rPr>
        <w:t>їхній процент) та 95% ДІ у</w:t>
      </w:r>
      <w:r w:rsidRPr="00520861">
        <w:rPr>
          <w:rFonts w:eastAsia="Calibri"/>
          <w:b/>
          <w:sz w:val="28"/>
          <w:szCs w:val="28"/>
          <w:lang w:eastAsia="en-US"/>
        </w:rPr>
        <w:t xml:space="preserve"> ГП, ОГ та підгрупах у залежності від ступеня ризику</w:t>
      </w:r>
      <w:r w:rsidRPr="00520861">
        <w:rPr>
          <w:rFonts w:eastAsia="Calibri"/>
          <w:b/>
          <w:sz w:val="28"/>
          <w:szCs w:val="28"/>
          <w:lang w:eastAsia="en-US"/>
        </w:rPr>
        <w:br/>
        <w:t xml:space="preserve"> та кількість спостережень по групах і підгрупах (n)</w:t>
      </w:r>
    </w:p>
    <w:tbl>
      <w:tblPr>
        <w:tblStyle w:val="61"/>
        <w:tblW w:w="9846" w:type="dxa"/>
        <w:tblInd w:w="250" w:type="dxa"/>
        <w:tblLook w:val="04A0" w:firstRow="1" w:lastRow="0" w:firstColumn="1" w:lastColumn="0" w:noHBand="0" w:noVBand="1"/>
      </w:tblPr>
      <w:tblGrid>
        <w:gridCol w:w="1588"/>
        <w:gridCol w:w="1985"/>
        <w:gridCol w:w="2091"/>
        <w:gridCol w:w="2091"/>
        <w:gridCol w:w="2091"/>
      </w:tblGrid>
      <w:tr w:rsidR="00CF641C" w:rsidRPr="00520861" w14:paraId="535EC39C" w14:textId="77777777" w:rsidTr="00292D2E">
        <w:tc>
          <w:tcPr>
            <w:tcW w:w="1588" w:type="dxa"/>
            <w:tcBorders>
              <w:top w:val="single" w:sz="4" w:space="0" w:color="auto"/>
              <w:left w:val="single" w:sz="4" w:space="0" w:color="auto"/>
              <w:bottom w:val="single" w:sz="4" w:space="0" w:color="auto"/>
              <w:right w:val="single" w:sz="4" w:space="0" w:color="auto"/>
            </w:tcBorders>
            <w:hideMark/>
          </w:tcPr>
          <w:p w14:paraId="535FE7D3"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Групи та </w:t>
            </w:r>
          </w:p>
          <w:p w14:paraId="214D76C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підгрупи</w:t>
            </w:r>
          </w:p>
        </w:tc>
        <w:tc>
          <w:tcPr>
            <w:tcW w:w="1985" w:type="dxa"/>
            <w:tcBorders>
              <w:top w:val="single" w:sz="4" w:space="0" w:color="auto"/>
              <w:left w:val="single" w:sz="4" w:space="0" w:color="auto"/>
              <w:bottom w:val="single" w:sz="4" w:space="0" w:color="auto"/>
              <w:right w:val="single" w:sz="4" w:space="0" w:color="auto"/>
            </w:tcBorders>
            <w:hideMark/>
          </w:tcPr>
          <w:p w14:paraId="33D1693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Мінімальний ризик</w:t>
            </w:r>
          </w:p>
        </w:tc>
        <w:tc>
          <w:tcPr>
            <w:tcW w:w="2091" w:type="dxa"/>
            <w:tcBorders>
              <w:top w:val="single" w:sz="4" w:space="0" w:color="auto"/>
              <w:left w:val="single" w:sz="4" w:space="0" w:color="auto"/>
              <w:bottom w:val="single" w:sz="4" w:space="0" w:color="auto"/>
              <w:right w:val="single" w:sz="4" w:space="0" w:color="auto"/>
            </w:tcBorders>
            <w:hideMark/>
          </w:tcPr>
          <w:p w14:paraId="03BDFEB5"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Ризик</w:t>
            </w:r>
          </w:p>
        </w:tc>
        <w:tc>
          <w:tcPr>
            <w:tcW w:w="2091" w:type="dxa"/>
            <w:tcBorders>
              <w:top w:val="single" w:sz="4" w:space="0" w:color="auto"/>
              <w:left w:val="single" w:sz="4" w:space="0" w:color="auto"/>
              <w:bottom w:val="single" w:sz="4" w:space="0" w:color="auto"/>
              <w:right w:val="single" w:sz="4" w:space="0" w:color="auto"/>
            </w:tcBorders>
            <w:hideMark/>
          </w:tcPr>
          <w:p w14:paraId="2AE1212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Суттєвий</w:t>
            </w:r>
            <w:r w:rsidRPr="00520861">
              <w:rPr>
                <w:rFonts w:eastAsia="Calibri"/>
                <w:sz w:val="28"/>
                <w:szCs w:val="28"/>
              </w:rPr>
              <w:br/>
              <w:t xml:space="preserve"> ризик</w:t>
            </w:r>
          </w:p>
        </w:tc>
        <w:tc>
          <w:tcPr>
            <w:tcW w:w="2091" w:type="dxa"/>
            <w:tcBorders>
              <w:top w:val="single" w:sz="4" w:space="0" w:color="auto"/>
              <w:left w:val="single" w:sz="4" w:space="0" w:color="auto"/>
              <w:bottom w:val="single" w:sz="4" w:space="0" w:color="auto"/>
              <w:right w:val="single" w:sz="4" w:space="0" w:color="auto"/>
            </w:tcBorders>
            <w:hideMark/>
          </w:tcPr>
          <w:p w14:paraId="19C2706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Високий </w:t>
            </w:r>
            <w:r w:rsidRPr="00520861">
              <w:rPr>
                <w:rFonts w:eastAsia="Calibri"/>
                <w:sz w:val="28"/>
                <w:szCs w:val="28"/>
              </w:rPr>
              <w:br/>
              <w:t>ризик</w:t>
            </w:r>
          </w:p>
        </w:tc>
      </w:tr>
      <w:tr w:rsidR="00CF641C" w:rsidRPr="00520861" w14:paraId="499AC298" w14:textId="77777777" w:rsidTr="00292D2E">
        <w:tc>
          <w:tcPr>
            <w:tcW w:w="1588" w:type="dxa"/>
            <w:tcBorders>
              <w:top w:val="single" w:sz="4" w:space="0" w:color="auto"/>
              <w:left w:val="single" w:sz="4" w:space="0" w:color="auto"/>
              <w:bottom w:val="single" w:sz="4" w:space="0" w:color="auto"/>
              <w:right w:val="single" w:sz="4" w:space="0" w:color="auto"/>
            </w:tcBorders>
            <w:hideMark/>
          </w:tcPr>
          <w:p w14:paraId="7583073E"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ГП</w:t>
            </w:r>
          </w:p>
          <w:p w14:paraId="3EB9D1F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 (n=168)</w:t>
            </w:r>
          </w:p>
        </w:tc>
        <w:tc>
          <w:tcPr>
            <w:tcW w:w="1985" w:type="dxa"/>
            <w:tcBorders>
              <w:top w:val="single" w:sz="4" w:space="0" w:color="auto"/>
              <w:left w:val="single" w:sz="4" w:space="0" w:color="auto"/>
              <w:bottom w:val="single" w:sz="4" w:space="0" w:color="auto"/>
              <w:right w:val="single" w:sz="4" w:space="0" w:color="auto"/>
            </w:tcBorders>
            <w:hideMark/>
          </w:tcPr>
          <w:p w14:paraId="79B958C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19 (11,3%); 7,4% – 16,4%</w:t>
            </w:r>
          </w:p>
        </w:tc>
        <w:tc>
          <w:tcPr>
            <w:tcW w:w="2091" w:type="dxa"/>
            <w:tcBorders>
              <w:top w:val="single" w:sz="4" w:space="0" w:color="auto"/>
              <w:left w:val="single" w:sz="4" w:space="0" w:color="auto"/>
              <w:bottom w:val="single" w:sz="4" w:space="0" w:color="auto"/>
              <w:right w:val="single" w:sz="4" w:space="0" w:color="auto"/>
            </w:tcBorders>
            <w:hideMark/>
          </w:tcPr>
          <w:p w14:paraId="568FDF4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88 (52,4%); 45,1% – 59,5%</w:t>
            </w:r>
          </w:p>
        </w:tc>
        <w:tc>
          <w:tcPr>
            <w:tcW w:w="2091" w:type="dxa"/>
            <w:tcBorders>
              <w:top w:val="single" w:sz="4" w:space="0" w:color="auto"/>
              <w:left w:val="single" w:sz="4" w:space="0" w:color="auto"/>
              <w:bottom w:val="single" w:sz="4" w:space="0" w:color="auto"/>
              <w:right w:val="single" w:sz="4" w:space="0" w:color="auto"/>
            </w:tcBorders>
            <w:hideMark/>
          </w:tcPr>
          <w:p w14:paraId="687477F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56 (33,3%); 26,8% – 40,4%</w:t>
            </w:r>
          </w:p>
        </w:tc>
        <w:tc>
          <w:tcPr>
            <w:tcW w:w="2091" w:type="dxa"/>
            <w:tcBorders>
              <w:top w:val="single" w:sz="4" w:space="0" w:color="auto"/>
              <w:left w:val="single" w:sz="4" w:space="0" w:color="auto"/>
              <w:bottom w:val="single" w:sz="4" w:space="0" w:color="auto"/>
              <w:right w:val="single" w:sz="4" w:space="0" w:color="auto"/>
            </w:tcBorders>
            <w:hideMark/>
          </w:tcPr>
          <w:p w14:paraId="572BE14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5 (3,0%);</w:t>
            </w:r>
          </w:p>
          <w:p w14:paraId="496F303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1,3% – 6,0%</w:t>
            </w:r>
          </w:p>
        </w:tc>
      </w:tr>
      <w:tr w:rsidR="00CF641C" w:rsidRPr="00520861" w14:paraId="13AED1BE" w14:textId="77777777" w:rsidTr="00292D2E">
        <w:tc>
          <w:tcPr>
            <w:tcW w:w="1588" w:type="dxa"/>
            <w:tcBorders>
              <w:top w:val="single" w:sz="4" w:space="0" w:color="auto"/>
              <w:left w:val="single" w:sz="4" w:space="0" w:color="auto"/>
              <w:bottom w:val="single" w:sz="4" w:space="0" w:color="auto"/>
              <w:right w:val="single" w:sz="4" w:space="0" w:color="auto"/>
            </w:tcBorders>
            <w:hideMark/>
          </w:tcPr>
          <w:p w14:paraId="512815A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ОГ </w:t>
            </w:r>
          </w:p>
          <w:p w14:paraId="09D3E97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(n=196)</w:t>
            </w:r>
          </w:p>
        </w:tc>
        <w:tc>
          <w:tcPr>
            <w:tcW w:w="1985" w:type="dxa"/>
            <w:tcBorders>
              <w:top w:val="single" w:sz="4" w:space="0" w:color="auto"/>
              <w:left w:val="single" w:sz="4" w:space="0" w:color="auto"/>
              <w:bottom w:val="single" w:sz="4" w:space="0" w:color="auto"/>
              <w:right w:val="single" w:sz="4" w:space="0" w:color="auto"/>
            </w:tcBorders>
            <w:hideMark/>
          </w:tcPr>
          <w:p w14:paraId="21AF1687"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 (1,5%)</w:t>
            </w:r>
            <w:r w:rsidRPr="00520861">
              <w:rPr>
                <w:sz w:val="28"/>
                <w:szCs w:val="28"/>
              </w:rPr>
              <w:t>†</w:t>
            </w:r>
            <w:r w:rsidRPr="00520861">
              <w:rPr>
                <w:rFonts w:eastAsia="Calibri"/>
                <w:sz w:val="28"/>
                <w:szCs w:val="28"/>
              </w:rPr>
              <w:t>; 0,6% – 3,6%</w:t>
            </w:r>
          </w:p>
        </w:tc>
        <w:tc>
          <w:tcPr>
            <w:tcW w:w="2091" w:type="dxa"/>
            <w:tcBorders>
              <w:top w:val="single" w:sz="4" w:space="0" w:color="auto"/>
              <w:left w:val="single" w:sz="4" w:space="0" w:color="auto"/>
              <w:bottom w:val="single" w:sz="4" w:space="0" w:color="auto"/>
              <w:right w:val="single" w:sz="4" w:space="0" w:color="auto"/>
            </w:tcBorders>
            <w:hideMark/>
          </w:tcPr>
          <w:p w14:paraId="54FFEC4B"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68 (34,7%)</w:t>
            </w:r>
            <w:r w:rsidRPr="00520861">
              <w:rPr>
                <w:sz w:val="28"/>
                <w:szCs w:val="28"/>
              </w:rPr>
              <w:t>†</w:t>
            </w:r>
            <w:r w:rsidRPr="00520861">
              <w:rPr>
                <w:rFonts w:eastAsia="Calibri"/>
                <w:sz w:val="28"/>
                <w:szCs w:val="28"/>
              </w:rPr>
              <w:t xml:space="preserve">; 28,5% – 41,3% </w:t>
            </w:r>
          </w:p>
        </w:tc>
        <w:tc>
          <w:tcPr>
            <w:tcW w:w="2091" w:type="dxa"/>
            <w:tcBorders>
              <w:top w:val="single" w:sz="4" w:space="0" w:color="auto"/>
              <w:left w:val="single" w:sz="4" w:space="0" w:color="auto"/>
              <w:bottom w:val="single" w:sz="4" w:space="0" w:color="auto"/>
              <w:right w:val="single" w:sz="4" w:space="0" w:color="auto"/>
            </w:tcBorders>
            <w:hideMark/>
          </w:tcPr>
          <w:p w14:paraId="7918DC6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99 (50,5%†); 43,8% – 57,2%</w:t>
            </w:r>
          </w:p>
        </w:tc>
        <w:tc>
          <w:tcPr>
            <w:tcW w:w="2091" w:type="dxa"/>
            <w:tcBorders>
              <w:top w:val="single" w:sz="4" w:space="0" w:color="auto"/>
              <w:left w:val="single" w:sz="4" w:space="0" w:color="auto"/>
              <w:bottom w:val="single" w:sz="4" w:space="0" w:color="auto"/>
              <w:right w:val="single" w:sz="4" w:space="0" w:color="auto"/>
            </w:tcBorders>
            <w:hideMark/>
          </w:tcPr>
          <w:p w14:paraId="49CB34A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26 (13,3%) †; 9,3% – 18,3%</w:t>
            </w:r>
          </w:p>
        </w:tc>
      </w:tr>
      <w:tr w:rsidR="00CF641C" w:rsidRPr="00520861" w14:paraId="499ADB4A" w14:textId="77777777" w:rsidTr="00292D2E">
        <w:tc>
          <w:tcPr>
            <w:tcW w:w="1588" w:type="dxa"/>
            <w:tcBorders>
              <w:top w:val="single" w:sz="4" w:space="0" w:color="auto"/>
              <w:left w:val="single" w:sz="4" w:space="0" w:color="auto"/>
              <w:bottom w:val="single" w:sz="4" w:space="0" w:color="auto"/>
              <w:right w:val="single" w:sz="4" w:space="0" w:color="auto"/>
            </w:tcBorders>
            <w:hideMark/>
          </w:tcPr>
          <w:p w14:paraId="34B123E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Підгрупа 1</w:t>
            </w:r>
          </w:p>
          <w:p w14:paraId="0ABBA333"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 (n=57)</w:t>
            </w:r>
          </w:p>
        </w:tc>
        <w:tc>
          <w:tcPr>
            <w:tcW w:w="1985" w:type="dxa"/>
            <w:tcBorders>
              <w:top w:val="single" w:sz="4" w:space="0" w:color="auto"/>
              <w:left w:val="single" w:sz="4" w:space="0" w:color="auto"/>
              <w:bottom w:val="single" w:sz="4" w:space="0" w:color="auto"/>
              <w:right w:val="single" w:sz="4" w:space="0" w:color="auto"/>
            </w:tcBorders>
            <w:hideMark/>
          </w:tcPr>
          <w:p w14:paraId="5B70912D"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0 (0,0%) </w:t>
            </w:r>
            <w:r w:rsidRPr="00520861">
              <w:rPr>
                <w:sz w:val="28"/>
                <w:szCs w:val="28"/>
              </w:rPr>
              <w:t>†;</w:t>
            </w:r>
            <w:r w:rsidRPr="00520861">
              <w:rPr>
                <w:rFonts w:eastAsia="Calibri"/>
                <w:sz w:val="28"/>
                <w:szCs w:val="28"/>
              </w:rPr>
              <w:t xml:space="preserve"> 0,0% – 6,3%</w:t>
            </w:r>
          </w:p>
        </w:tc>
        <w:tc>
          <w:tcPr>
            <w:tcW w:w="2091" w:type="dxa"/>
            <w:tcBorders>
              <w:top w:val="single" w:sz="4" w:space="0" w:color="auto"/>
              <w:left w:val="single" w:sz="4" w:space="0" w:color="auto"/>
              <w:bottom w:val="single" w:sz="4" w:space="0" w:color="auto"/>
              <w:right w:val="single" w:sz="4" w:space="0" w:color="auto"/>
            </w:tcBorders>
            <w:hideMark/>
          </w:tcPr>
          <w:p w14:paraId="087E474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20 (35,1%); 24,4% – 47,1%</w:t>
            </w:r>
          </w:p>
        </w:tc>
        <w:tc>
          <w:tcPr>
            <w:tcW w:w="2091" w:type="dxa"/>
            <w:tcBorders>
              <w:top w:val="single" w:sz="4" w:space="0" w:color="auto"/>
              <w:left w:val="single" w:sz="4" w:space="0" w:color="auto"/>
              <w:bottom w:val="single" w:sz="4" w:space="0" w:color="auto"/>
              <w:right w:val="single" w:sz="4" w:space="0" w:color="auto"/>
            </w:tcBorders>
            <w:hideMark/>
          </w:tcPr>
          <w:p w14:paraId="6F81907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27 (47,4%); 35,6% – 59,3%</w:t>
            </w:r>
          </w:p>
        </w:tc>
        <w:tc>
          <w:tcPr>
            <w:tcW w:w="2091" w:type="dxa"/>
            <w:tcBorders>
              <w:top w:val="single" w:sz="4" w:space="0" w:color="auto"/>
              <w:left w:val="single" w:sz="4" w:space="0" w:color="auto"/>
              <w:bottom w:val="single" w:sz="4" w:space="0" w:color="auto"/>
              <w:right w:val="single" w:sz="4" w:space="0" w:color="auto"/>
            </w:tcBorders>
            <w:hideMark/>
          </w:tcPr>
          <w:p w14:paraId="5890E48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10 (17,5%) </w:t>
            </w:r>
            <w:r w:rsidRPr="00520861">
              <w:rPr>
                <w:sz w:val="28"/>
                <w:szCs w:val="28"/>
              </w:rPr>
              <w:t>†</w:t>
            </w:r>
            <w:r w:rsidRPr="00520861">
              <w:rPr>
                <w:rFonts w:eastAsia="Calibri"/>
                <w:sz w:val="28"/>
                <w:szCs w:val="28"/>
              </w:rPr>
              <w:t>; 10,0% – 27,9%</w:t>
            </w:r>
          </w:p>
        </w:tc>
      </w:tr>
      <w:tr w:rsidR="00CF641C" w:rsidRPr="00520861" w14:paraId="30832DF9" w14:textId="77777777" w:rsidTr="00292D2E">
        <w:tc>
          <w:tcPr>
            <w:tcW w:w="1588" w:type="dxa"/>
            <w:tcBorders>
              <w:top w:val="single" w:sz="4" w:space="0" w:color="auto"/>
              <w:left w:val="single" w:sz="4" w:space="0" w:color="auto"/>
              <w:bottom w:val="single" w:sz="4" w:space="0" w:color="auto"/>
              <w:right w:val="single" w:sz="4" w:space="0" w:color="auto"/>
            </w:tcBorders>
            <w:hideMark/>
          </w:tcPr>
          <w:p w14:paraId="54DB891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Підгрупа 2 </w:t>
            </w:r>
          </w:p>
          <w:p w14:paraId="0526FDB8"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(n=35)</w:t>
            </w:r>
          </w:p>
        </w:tc>
        <w:tc>
          <w:tcPr>
            <w:tcW w:w="1985" w:type="dxa"/>
            <w:tcBorders>
              <w:top w:val="single" w:sz="4" w:space="0" w:color="auto"/>
              <w:left w:val="single" w:sz="4" w:space="0" w:color="auto"/>
              <w:bottom w:val="single" w:sz="4" w:space="0" w:color="auto"/>
              <w:right w:val="single" w:sz="4" w:space="0" w:color="auto"/>
            </w:tcBorders>
            <w:hideMark/>
          </w:tcPr>
          <w:p w14:paraId="43E01E7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 xml:space="preserve">2 (5,7%); </w:t>
            </w:r>
          </w:p>
          <w:p w14:paraId="07FD6B9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1,8% – 14,9%</w:t>
            </w:r>
          </w:p>
        </w:tc>
        <w:tc>
          <w:tcPr>
            <w:tcW w:w="2091" w:type="dxa"/>
            <w:tcBorders>
              <w:top w:val="single" w:sz="4" w:space="0" w:color="auto"/>
              <w:left w:val="single" w:sz="4" w:space="0" w:color="auto"/>
              <w:bottom w:val="single" w:sz="4" w:space="0" w:color="auto"/>
              <w:right w:val="single" w:sz="4" w:space="0" w:color="auto"/>
            </w:tcBorders>
            <w:hideMark/>
          </w:tcPr>
          <w:p w14:paraId="20142CD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12 (34,3%); 21,5% – 49,3%</w:t>
            </w:r>
          </w:p>
        </w:tc>
        <w:tc>
          <w:tcPr>
            <w:tcW w:w="2091" w:type="dxa"/>
            <w:tcBorders>
              <w:top w:val="single" w:sz="4" w:space="0" w:color="auto"/>
              <w:left w:val="single" w:sz="4" w:space="0" w:color="auto"/>
              <w:bottom w:val="single" w:sz="4" w:space="0" w:color="auto"/>
              <w:right w:val="single" w:sz="4" w:space="0" w:color="auto"/>
            </w:tcBorders>
            <w:hideMark/>
          </w:tcPr>
          <w:p w14:paraId="4109BA9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16 (45,7%); 31,4% – 60,6%</w:t>
            </w:r>
          </w:p>
        </w:tc>
        <w:tc>
          <w:tcPr>
            <w:tcW w:w="2091" w:type="dxa"/>
            <w:tcBorders>
              <w:top w:val="single" w:sz="4" w:space="0" w:color="auto"/>
              <w:left w:val="single" w:sz="4" w:space="0" w:color="auto"/>
              <w:bottom w:val="single" w:sz="4" w:space="0" w:color="auto"/>
              <w:right w:val="single" w:sz="4" w:space="0" w:color="auto"/>
            </w:tcBorders>
            <w:hideMark/>
          </w:tcPr>
          <w:p w14:paraId="2D47A49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5 (14,3%) </w:t>
            </w:r>
            <w:r w:rsidRPr="00520861">
              <w:rPr>
                <w:sz w:val="28"/>
                <w:szCs w:val="28"/>
              </w:rPr>
              <w:t>†</w:t>
            </w:r>
            <w:r w:rsidRPr="00520861">
              <w:rPr>
                <w:rFonts w:eastAsia="Calibri"/>
                <w:sz w:val="28"/>
                <w:szCs w:val="28"/>
              </w:rPr>
              <w:t>: 6,6% – 26,7%</w:t>
            </w:r>
          </w:p>
        </w:tc>
      </w:tr>
      <w:tr w:rsidR="00CF641C" w:rsidRPr="00520861" w14:paraId="0180BB98" w14:textId="77777777" w:rsidTr="00292D2E">
        <w:tc>
          <w:tcPr>
            <w:tcW w:w="1588" w:type="dxa"/>
            <w:tcBorders>
              <w:top w:val="single" w:sz="4" w:space="0" w:color="auto"/>
              <w:left w:val="single" w:sz="4" w:space="0" w:color="auto"/>
              <w:bottom w:val="single" w:sz="4" w:space="0" w:color="auto"/>
              <w:right w:val="single" w:sz="4" w:space="0" w:color="auto"/>
            </w:tcBorders>
            <w:hideMark/>
          </w:tcPr>
          <w:p w14:paraId="3387648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Підгрупа 3 (n=38)</w:t>
            </w:r>
          </w:p>
        </w:tc>
        <w:tc>
          <w:tcPr>
            <w:tcW w:w="1985" w:type="dxa"/>
            <w:tcBorders>
              <w:top w:val="single" w:sz="4" w:space="0" w:color="auto"/>
              <w:left w:val="single" w:sz="4" w:space="0" w:color="auto"/>
              <w:bottom w:val="single" w:sz="4" w:space="0" w:color="auto"/>
              <w:right w:val="single" w:sz="4" w:space="0" w:color="auto"/>
            </w:tcBorders>
            <w:hideMark/>
          </w:tcPr>
          <w:p w14:paraId="6C27616F"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0 (0,0%); </w:t>
            </w:r>
          </w:p>
          <w:p w14:paraId="3DD1BE7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0,1% – 9,3%</w:t>
            </w:r>
          </w:p>
        </w:tc>
        <w:tc>
          <w:tcPr>
            <w:tcW w:w="2091" w:type="dxa"/>
            <w:tcBorders>
              <w:top w:val="single" w:sz="4" w:space="0" w:color="auto"/>
              <w:left w:val="single" w:sz="4" w:space="0" w:color="auto"/>
              <w:bottom w:val="single" w:sz="4" w:space="0" w:color="auto"/>
              <w:right w:val="single" w:sz="4" w:space="0" w:color="auto"/>
            </w:tcBorders>
            <w:hideMark/>
          </w:tcPr>
          <w:p w14:paraId="328568E6"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15 (39,5%); 26,3% – 54,0%</w:t>
            </w:r>
          </w:p>
        </w:tc>
        <w:tc>
          <w:tcPr>
            <w:tcW w:w="2091" w:type="dxa"/>
            <w:tcBorders>
              <w:top w:val="single" w:sz="4" w:space="0" w:color="auto"/>
              <w:left w:val="single" w:sz="4" w:space="0" w:color="auto"/>
              <w:bottom w:val="single" w:sz="4" w:space="0" w:color="auto"/>
              <w:right w:val="single" w:sz="4" w:space="0" w:color="auto"/>
            </w:tcBorders>
            <w:hideMark/>
          </w:tcPr>
          <w:p w14:paraId="43160ED4"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17 (44,7%); 31,0% – 59,2%</w:t>
            </w:r>
          </w:p>
        </w:tc>
        <w:tc>
          <w:tcPr>
            <w:tcW w:w="2091" w:type="dxa"/>
            <w:tcBorders>
              <w:top w:val="single" w:sz="4" w:space="0" w:color="auto"/>
              <w:left w:val="single" w:sz="4" w:space="0" w:color="auto"/>
              <w:bottom w:val="single" w:sz="4" w:space="0" w:color="auto"/>
              <w:right w:val="single" w:sz="4" w:space="0" w:color="auto"/>
            </w:tcBorders>
            <w:hideMark/>
          </w:tcPr>
          <w:p w14:paraId="4043BB99"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6 (15,8%)†; 7,7% – 28,1%</w:t>
            </w:r>
          </w:p>
        </w:tc>
      </w:tr>
      <w:tr w:rsidR="00CF641C" w:rsidRPr="00520861" w14:paraId="6BBD6BD2" w14:textId="77777777" w:rsidTr="00292D2E">
        <w:tc>
          <w:tcPr>
            <w:tcW w:w="1588" w:type="dxa"/>
            <w:tcBorders>
              <w:top w:val="single" w:sz="4" w:space="0" w:color="auto"/>
              <w:left w:val="single" w:sz="4" w:space="0" w:color="auto"/>
              <w:bottom w:val="single" w:sz="4" w:space="0" w:color="auto"/>
              <w:right w:val="single" w:sz="4" w:space="0" w:color="auto"/>
            </w:tcBorders>
            <w:hideMark/>
          </w:tcPr>
          <w:p w14:paraId="42A975F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Підгрупа 4 (n=66)</w:t>
            </w:r>
          </w:p>
        </w:tc>
        <w:tc>
          <w:tcPr>
            <w:tcW w:w="1985" w:type="dxa"/>
            <w:tcBorders>
              <w:top w:val="single" w:sz="4" w:space="0" w:color="auto"/>
              <w:left w:val="single" w:sz="4" w:space="0" w:color="auto"/>
              <w:bottom w:val="single" w:sz="4" w:space="0" w:color="auto"/>
              <w:right w:val="single" w:sz="4" w:space="0" w:color="auto"/>
            </w:tcBorders>
            <w:hideMark/>
          </w:tcPr>
          <w:p w14:paraId="7A200E20"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1 (1,5%) </w:t>
            </w:r>
            <w:r w:rsidRPr="00520861">
              <w:rPr>
                <w:sz w:val="28"/>
                <w:szCs w:val="28"/>
              </w:rPr>
              <w:t>†</w:t>
            </w:r>
            <w:r w:rsidRPr="00520861">
              <w:rPr>
                <w:rFonts w:eastAsia="Calibri"/>
                <w:sz w:val="28"/>
                <w:szCs w:val="28"/>
              </w:rPr>
              <w:t>; 0,4% – 5,4%</w:t>
            </w:r>
          </w:p>
        </w:tc>
        <w:tc>
          <w:tcPr>
            <w:tcW w:w="2091" w:type="dxa"/>
            <w:tcBorders>
              <w:top w:val="single" w:sz="4" w:space="0" w:color="auto"/>
              <w:left w:val="single" w:sz="4" w:space="0" w:color="auto"/>
              <w:bottom w:val="single" w:sz="4" w:space="0" w:color="auto"/>
              <w:right w:val="single" w:sz="4" w:space="0" w:color="auto"/>
            </w:tcBorders>
            <w:hideMark/>
          </w:tcPr>
          <w:p w14:paraId="3ACAD52A"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22 (33,3%) </w:t>
            </w:r>
            <w:r w:rsidRPr="00520861">
              <w:rPr>
                <w:sz w:val="28"/>
                <w:szCs w:val="28"/>
              </w:rPr>
              <w:t>†</w:t>
            </w:r>
            <w:r w:rsidRPr="00520861">
              <w:rPr>
                <w:rFonts w:eastAsia="Calibri"/>
                <w:sz w:val="28"/>
                <w:szCs w:val="28"/>
              </w:rPr>
              <w:t>; 23,5% – 44,4%</w:t>
            </w:r>
          </w:p>
        </w:tc>
        <w:tc>
          <w:tcPr>
            <w:tcW w:w="2091" w:type="dxa"/>
            <w:tcBorders>
              <w:top w:val="single" w:sz="4" w:space="0" w:color="auto"/>
              <w:left w:val="single" w:sz="4" w:space="0" w:color="auto"/>
              <w:bottom w:val="single" w:sz="4" w:space="0" w:color="auto"/>
              <w:right w:val="single" w:sz="4" w:space="0" w:color="auto"/>
            </w:tcBorders>
            <w:hideMark/>
          </w:tcPr>
          <w:p w14:paraId="126089B2"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38 (57,6%) </w:t>
            </w:r>
            <w:r w:rsidRPr="00520861">
              <w:rPr>
                <w:sz w:val="28"/>
                <w:szCs w:val="28"/>
              </w:rPr>
              <w:t>†</w:t>
            </w:r>
            <w:r w:rsidRPr="00520861">
              <w:rPr>
                <w:rFonts w:eastAsia="Calibri"/>
                <w:sz w:val="28"/>
                <w:szCs w:val="28"/>
              </w:rPr>
              <w:t>; 46,3% – 68,3%</w:t>
            </w:r>
          </w:p>
        </w:tc>
        <w:tc>
          <w:tcPr>
            <w:tcW w:w="2091" w:type="dxa"/>
            <w:tcBorders>
              <w:top w:val="single" w:sz="4" w:space="0" w:color="auto"/>
              <w:left w:val="single" w:sz="4" w:space="0" w:color="auto"/>
              <w:bottom w:val="single" w:sz="4" w:space="0" w:color="auto"/>
              <w:right w:val="single" w:sz="4" w:space="0" w:color="auto"/>
            </w:tcBorders>
            <w:hideMark/>
          </w:tcPr>
          <w:p w14:paraId="1C8F388C"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 xml:space="preserve">5 (7,6%); </w:t>
            </w:r>
          </w:p>
          <w:p w14:paraId="3D792641" w14:textId="77777777" w:rsidR="00CF641C" w:rsidRPr="00520861" w:rsidRDefault="00CF641C" w:rsidP="00292D2E">
            <w:pPr>
              <w:widowControl w:val="0"/>
              <w:spacing w:line="360" w:lineRule="auto"/>
              <w:contextualSpacing/>
              <w:jc w:val="center"/>
              <w:rPr>
                <w:rFonts w:eastAsia="Calibri"/>
                <w:sz w:val="28"/>
                <w:szCs w:val="28"/>
              </w:rPr>
            </w:pPr>
            <w:r w:rsidRPr="00520861">
              <w:rPr>
                <w:rFonts w:eastAsia="Calibri"/>
                <w:sz w:val="28"/>
                <w:szCs w:val="28"/>
              </w:rPr>
              <w:t>3,4% – 14,8%</w:t>
            </w:r>
          </w:p>
        </w:tc>
      </w:tr>
    </w:tbl>
    <w:p w14:paraId="5CDE39D1" w14:textId="77777777" w:rsidR="00CF641C" w:rsidRPr="00520861" w:rsidRDefault="00CF641C" w:rsidP="00292D2E">
      <w:pPr>
        <w:widowControl w:val="0"/>
        <w:spacing w:line="360" w:lineRule="auto"/>
        <w:ind w:firstLine="708"/>
        <w:jc w:val="both"/>
        <w:rPr>
          <w:rFonts w:eastAsiaTheme="minorHAnsi"/>
          <w:sz w:val="28"/>
          <w:szCs w:val="28"/>
          <w:lang w:eastAsia="en-US"/>
        </w:rPr>
      </w:pPr>
      <w:r w:rsidRPr="00520861">
        <w:rPr>
          <w:sz w:val="28"/>
          <w:szCs w:val="28"/>
        </w:rPr>
        <w:t xml:space="preserve">Примітка: † – вірогідно відрізняється від ГП для </w:t>
      </w:r>
      <w:r w:rsidR="00CA3DF7" w:rsidRPr="00520861">
        <w:rPr>
          <w:rFonts w:eastAsia="Calibri"/>
          <w:i/>
          <w:sz w:val="28"/>
          <w:szCs w:val="28"/>
          <w:lang w:eastAsia="en-US"/>
        </w:rPr>
        <w:t>p</w:t>
      </w:r>
      <w:r w:rsidR="00CD7533" w:rsidRPr="00520861">
        <w:rPr>
          <w:rFonts w:eastAsia="Calibri"/>
          <w:sz w:val="28"/>
          <w:szCs w:val="28"/>
          <w:lang w:eastAsia="en-US"/>
        </w:rPr>
        <w:t>&lt;</w:t>
      </w:r>
      <w:r w:rsidR="00CA3DF7" w:rsidRPr="00520861">
        <w:rPr>
          <w:rFonts w:eastAsia="Calibri"/>
          <w:sz w:val="28"/>
          <w:szCs w:val="28"/>
          <w:lang w:eastAsia="en-US"/>
        </w:rPr>
        <w:t>0,05</w:t>
      </w:r>
      <w:r w:rsidRPr="00520861">
        <w:rPr>
          <w:sz w:val="28"/>
          <w:szCs w:val="28"/>
        </w:rPr>
        <w:t>.</w:t>
      </w:r>
    </w:p>
    <w:p w14:paraId="545D01BB" w14:textId="77777777" w:rsidR="00CF641C" w:rsidRPr="00520861" w:rsidRDefault="00CF641C"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lastRenderedPageBreak/>
        <w:t xml:space="preserve">При вивченні впливу об’єднаного по всіх вікових періодах СБФ на виникнення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використовувати безпосередньо середні бали, отримані для новонароджених осіб та осіб старшого віку (дітей та підлітків або дорослих), не можна через різну </w:t>
      </w:r>
      <w:r w:rsidRPr="00520861">
        <w:rPr>
          <w:rFonts w:eastAsia="Calibri"/>
          <w:sz w:val="28"/>
          <w:szCs w:val="28"/>
          <w:lang w:eastAsia="en-US"/>
        </w:rPr>
        <w:br/>
        <w:t xml:space="preserve">кількість запитань у відповідних шкалах – 35 для ДГВ і 11 для осіб старшого віку. Проте можна використовувати відносний середній бал – відношення середнього </w:t>
      </w:r>
      <w:proofErr w:type="spellStart"/>
      <w:r w:rsidRPr="00520861">
        <w:rPr>
          <w:rFonts w:eastAsia="Calibri"/>
          <w:sz w:val="28"/>
          <w:szCs w:val="28"/>
          <w:lang w:eastAsia="en-US"/>
        </w:rPr>
        <w:t>бала</w:t>
      </w:r>
      <w:proofErr w:type="spellEnd"/>
      <w:r w:rsidRPr="00520861">
        <w:rPr>
          <w:rFonts w:eastAsia="Calibri"/>
          <w:sz w:val="28"/>
          <w:szCs w:val="28"/>
          <w:lang w:eastAsia="en-US"/>
        </w:rPr>
        <w:t xml:space="preserve"> до кількості запитань у шкалі. Такі дані окремо для материнського та батькового </w:t>
      </w:r>
      <w:r w:rsidRPr="00520861">
        <w:rPr>
          <w:rFonts w:eastAsia="Calibri"/>
          <w:sz w:val="28"/>
          <w:szCs w:val="28"/>
          <w:lang w:eastAsia="en-US"/>
        </w:rPr>
        <w:br/>
        <w:t>факторів разом з їх процентним співвідношенням наведено в табл. 4.20.</w:t>
      </w:r>
    </w:p>
    <w:p w14:paraId="0F1857FA" w14:textId="77777777" w:rsidR="00CF641C" w:rsidRPr="00520861" w:rsidRDefault="00CF641C"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t>Таблиця 4.20</w:t>
      </w:r>
    </w:p>
    <w:p w14:paraId="33F3BAA8" w14:textId="77777777" w:rsidR="00CF641C" w:rsidRPr="00520861" w:rsidRDefault="00CF641C"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Відносний середній бал впливу материнського (батькового) </w:t>
      </w:r>
      <w:proofErr w:type="spellStart"/>
      <w:r w:rsidRPr="00520861">
        <w:rPr>
          <w:rFonts w:eastAsia="Calibri"/>
          <w:b/>
          <w:sz w:val="28"/>
          <w:szCs w:val="28"/>
          <w:lang w:eastAsia="en-US"/>
        </w:rPr>
        <w:t>фактора</w:t>
      </w:r>
      <w:proofErr w:type="spellEnd"/>
      <w:r w:rsidRPr="00520861">
        <w:rPr>
          <w:rFonts w:eastAsia="Calibri"/>
          <w:b/>
          <w:sz w:val="28"/>
          <w:szCs w:val="28"/>
          <w:lang w:eastAsia="en-US"/>
        </w:rPr>
        <w:t xml:space="preserve"> (у %), з довірчими інтервалами (</w:t>
      </w:r>
      <w:r w:rsidR="00CA3DF7" w:rsidRPr="00520861">
        <w:rPr>
          <w:rFonts w:eastAsia="Calibri"/>
          <w:b/>
          <w:i/>
          <w:sz w:val="28"/>
          <w:szCs w:val="28"/>
          <w:lang w:eastAsia="en-US"/>
        </w:rPr>
        <w:t>p</w:t>
      </w:r>
      <w:r w:rsidR="00CD7533" w:rsidRPr="00520861">
        <w:rPr>
          <w:rFonts w:eastAsia="Calibri"/>
          <w:b/>
          <w:sz w:val="28"/>
          <w:szCs w:val="28"/>
          <w:lang w:eastAsia="en-US"/>
        </w:rPr>
        <w:t>&lt;</w:t>
      </w:r>
      <w:r w:rsidR="00CA3DF7" w:rsidRPr="00520861">
        <w:rPr>
          <w:rFonts w:eastAsia="Calibri"/>
          <w:b/>
          <w:sz w:val="28"/>
          <w:szCs w:val="28"/>
          <w:lang w:eastAsia="en-US"/>
        </w:rPr>
        <w:t>0,05</w:t>
      </w:r>
      <w:r w:rsidRPr="00520861">
        <w:rPr>
          <w:rFonts w:eastAsia="Calibri"/>
          <w:b/>
          <w:sz w:val="28"/>
          <w:szCs w:val="28"/>
          <w:lang w:eastAsia="en-US"/>
        </w:rPr>
        <w:t>), а також їх процентне співвідношення по всіх вікових категоріях разом у межах груп та підгруп</w:t>
      </w:r>
    </w:p>
    <w:tbl>
      <w:tblPr>
        <w:tblStyle w:val="410"/>
        <w:tblW w:w="9810" w:type="dxa"/>
        <w:tblInd w:w="250" w:type="dxa"/>
        <w:tblLayout w:type="fixed"/>
        <w:tblLook w:val="04A0" w:firstRow="1" w:lastRow="0" w:firstColumn="1" w:lastColumn="0" w:noHBand="0" w:noVBand="1"/>
      </w:tblPr>
      <w:tblGrid>
        <w:gridCol w:w="1635"/>
        <w:gridCol w:w="1635"/>
        <w:gridCol w:w="1635"/>
        <w:gridCol w:w="1635"/>
        <w:gridCol w:w="1635"/>
        <w:gridCol w:w="1635"/>
      </w:tblGrid>
      <w:tr w:rsidR="00CF641C" w:rsidRPr="00520861" w14:paraId="1D88D513" w14:textId="77777777" w:rsidTr="00292D2E">
        <w:trPr>
          <w:trHeight w:val="300"/>
        </w:trPr>
        <w:tc>
          <w:tcPr>
            <w:tcW w:w="9810" w:type="dxa"/>
            <w:gridSpan w:val="6"/>
            <w:tcBorders>
              <w:top w:val="single" w:sz="4" w:space="0" w:color="auto"/>
              <w:left w:val="single" w:sz="4" w:space="0" w:color="auto"/>
              <w:bottom w:val="single" w:sz="4" w:space="0" w:color="auto"/>
              <w:right w:val="single" w:sz="4" w:space="0" w:color="auto"/>
            </w:tcBorders>
            <w:noWrap/>
          </w:tcPr>
          <w:p w14:paraId="284C98A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Групи та підгрупи</w:t>
            </w:r>
          </w:p>
        </w:tc>
      </w:tr>
      <w:tr w:rsidR="00CF641C" w:rsidRPr="00520861" w14:paraId="44A35F47" w14:textId="77777777" w:rsidTr="00292D2E">
        <w:trPr>
          <w:trHeight w:val="377"/>
        </w:trPr>
        <w:tc>
          <w:tcPr>
            <w:tcW w:w="1635" w:type="dxa"/>
            <w:tcBorders>
              <w:top w:val="single" w:sz="4" w:space="0" w:color="auto"/>
              <w:left w:val="single" w:sz="4" w:space="0" w:color="auto"/>
              <w:bottom w:val="single" w:sz="4" w:space="0" w:color="auto"/>
              <w:right w:val="single" w:sz="4" w:space="0" w:color="auto"/>
            </w:tcBorders>
            <w:noWrap/>
          </w:tcPr>
          <w:p w14:paraId="2562F94B" w14:textId="77777777" w:rsidR="00CF641C" w:rsidRPr="00520861" w:rsidRDefault="00CF641C" w:rsidP="00292D2E">
            <w:pPr>
              <w:widowControl w:val="0"/>
              <w:spacing w:line="360" w:lineRule="auto"/>
              <w:ind w:hanging="178"/>
              <w:jc w:val="center"/>
              <w:rPr>
                <w:rFonts w:eastAsia="Calibri"/>
                <w:sz w:val="28"/>
                <w:szCs w:val="28"/>
              </w:rPr>
            </w:pPr>
            <w:r w:rsidRPr="00520861">
              <w:rPr>
                <w:rFonts w:eastAsia="Calibri"/>
                <w:sz w:val="28"/>
                <w:szCs w:val="28"/>
              </w:rPr>
              <w:t>ГП</w:t>
            </w:r>
          </w:p>
        </w:tc>
        <w:tc>
          <w:tcPr>
            <w:tcW w:w="1635" w:type="dxa"/>
            <w:tcBorders>
              <w:top w:val="single" w:sz="4" w:space="0" w:color="auto"/>
              <w:left w:val="single" w:sz="4" w:space="0" w:color="auto"/>
              <w:bottom w:val="single" w:sz="4" w:space="0" w:color="auto"/>
              <w:right w:val="single" w:sz="4" w:space="0" w:color="auto"/>
            </w:tcBorders>
            <w:noWrap/>
          </w:tcPr>
          <w:p w14:paraId="61027F58" w14:textId="77777777" w:rsidR="00CF641C" w:rsidRPr="00520861" w:rsidRDefault="00CF641C" w:rsidP="00292D2E">
            <w:pPr>
              <w:widowControl w:val="0"/>
              <w:spacing w:line="360" w:lineRule="auto"/>
              <w:ind w:right="-108"/>
              <w:jc w:val="center"/>
              <w:rPr>
                <w:rFonts w:eastAsia="Calibri"/>
                <w:sz w:val="28"/>
                <w:szCs w:val="28"/>
              </w:rPr>
            </w:pPr>
            <w:r w:rsidRPr="00520861">
              <w:rPr>
                <w:rFonts w:eastAsia="Calibri"/>
                <w:sz w:val="28"/>
                <w:szCs w:val="28"/>
              </w:rPr>
              <w:t>ОГ</w:t>
            </w:r>
          </w:p>
        </w:tc>
        <w:tc>
          <w:tcPr>
            <w:tcW w:w="1635" w:type="dxa"/>
            <w:tcBorders>
              <w:top w:val="single" w:sz="4" w:space="0" w:color="auto"/>
              <w:left w:val="single" w:sz="4" w:space="0" w:color="auto"/>
              <w:bottom w:val="single" w:sz="4" w:space="0" w:color="auto"/>
              <w:right w:val="single" w:sz="4" w:space="0" w:color="auto"/>
            </w:tcBorders>
            <w:noWrap/>
          </w:tcPr>
          <w:p w14:paraId="37DC4FA6"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1 </w:t>
            </w:r>
          </w:p>
        </w:tc>
        <w:tc>
          <w:tcPr>
            <w:tcW w:w="1635" w:type="dxa"/>
            <w:tcBorders>
              <w:top w:val="single" w:sz="4" w:space="0" w:color="auto"/>
              <w:left w:val="single" w:sz="4" w:space="0" w:color="auto"/>
              <w:bottom w:val="single" w:sz="4" w:space="0" w:color="auto"/>
              <w:right w:val="single" w:sz="4" w:space="0" w:color="auto"/>
            </w:tcBorders>
            <w:noWrap/>
          </w:tcPr>
          <w:p w14:paraId="19E876BD"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2 </w:t>
            </w:r>
          </w:p>
        </w:tc>
        <w:tc>
          <w:tcPr>
            <w:tcW w:w="1635" w:type="dxa"/>
            <w:tcBorders>
              <w:top w:val="single" w:sz="4" w:space="0" w:color="auto"/>
              <w:left w:val="single" w:sz="4" w:space="0" w:color="auto"/>
              <w:bottom w:val="single" w:sz="4" w:space="0" w:color="auto"/>
              <w:right w:val="single" w:sz="4" w:space="0" w:color="auto"/>
            </w:tcBorders>
            <w:noWrap/>
          </w:tcPr>
          <w:p w14:paraId="061FE590" w14:textId="77777777" w:rsidR="00CF641C" w:rsidRPr="00520861" w:rsidRDefault="00CF641C" w:rsidP="00292D2E">
            <w:pPr>
              <w:widowControl w:val="0"/>
              <w:spacing w:line="360" w:lineRule="auto"/>
              <w:ind w:left="-51" w:right="-114"/>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3 </w:t>
            </w:r>
          </w:p>
        </w:tc>
        <w:tc>
          <w:tcPr>
            <w:tcW w:w="1635" w:type="dxa"/>
            <w:tcBorders>
              <w:top w:val="single" w:sz="4" w:space="0" w:color="auto"/>
              <w:left w:val="single" w:sz="4" w:space="0" w:color="auto"/>
              <w:bottom w:val="single" w:sz="4" w:space="0" w:color="auto"/>
              <w:right w:val="single" w:sz="4" w:space="0" w:color="auto"/>
            </w:tcBorders>
            <w:noWrap/>
          </w:tcPr>
          <w:p w14:paraId="10B681EF" w14:textId="77777777" w:rsidR="00CF641C" w:rsidRPr="00520861" w:rsidRDefault="00CF641C" w:rsidP="00292D2E">
            <w:pPr>
              <w:widowControl w:val="0"/>
              <w:spacing w:line="360" w:lineRule="auto"/>
              <w:jc w:val="center"/>
              <w:rPr>
                <w:rFonts w:eastAsia="Calibri"/>
                <w:sz w:val="28"/>
                <w:szCs w:val="28"/>
              </w:rPr>
            </w:pPr>
            <w:r w:rsidRPr="00520861">
              <w:rPr>
                <w:rFonts w:eastAsia="Calibri"/>
                <w:spacing w:val="-4"/>
                <w:sz w:val="28"/>
                <w:szCs w:val="28"/>
              </w:rPr>
              <w:t>Підгрупа</w:t>
            </w:r>
            <w:r w:rsidRPr="00520861">
              <w:rPr>
                <w:rFonts w:eastAsia="Calibri"/>
                <w:sz w:val="28"/>
                <w:szCs w:val="28"/>
              </w:rPr>
              <w:t xml:space="preserve"> 4 </w:t>
            </w:r>
          </w:p>
        </w:tc>
      </w:tr>
      <w:tr w:rsidR="00CF641C" w:rsidRPr="00520861" w14:paraId="1E6F850D" w14:textId="77777777" w:rsidTr="00292D2E">
        <w:trPr>
          <w:trHeight w:val="300"/>
        </w:trPr>
        <w:tc>
          <w:tcPr>
            <w:tcW w:w="1635" w:type="dxa"/>
            <w:tcBorders>
              <w:top w:val="single" w:sz="4" w:space="0" w:color="auto"/>
              <w:left w:val="single" w:sz="4" w:space="0" w:color="auto"/>
              <w:bottom w:val="single" w:sz="4" w:space="0" w:color="auto"/>
              <w:right w:val="single" w:sz="4" w:space="0" w:color="auto"/>
            </w:tcBorders>
            <w:noWrap/>
          </w:tcPr>
          <w:p w14:paraId="4A8AFC2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23,8</w:t>
            </w:r>
            <w:r w:rsidRPr="00520861">
              <w:rPr>
                <w:rFonts w:eastAsia="Calibri"/>
                <w:sz w:val="28"/>
                <w:szCs w:val="28"/>
              </w:rPr>
              <w:sym w:font="Symbol" w:char="F0B1"/>
            </w:r>
            <w:r w:rsidRPr="00520861">
              <w:rPr>
                <w:rFonts w:eastAsia="Calibri"/>
                <w:sz w:val="28"/>
                <w:szCs w:val="28"/>
              </w:rPr>
              <w:t>1,7</w:t>
            </w:r>
          </w:p>
          <w:p w14:paraId="50F7A04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(22,8</w:t>
            </w:r>
            <w:r w:rsidRPr="00520861">
              <w:rPr>
                <w:rFonts w:eastAsia="Calibri"/>
                <w:sz w:val="28"/>
                <w:szCs w:val="28"/>
              </w:rPr>
              <w:sym w:font="Symbol" w:char="F0B1"/>
            </w:r>
            <w:r w:rsidRPr="00520861">
              <w:rPr>
                <w:rFonts w:eastAsia="Calibri"/>
                <w:sz w:val="28"/>
                <w:szCs w:val="28"/>
              </w:rPr>
              <w:t>1,7)</w:t>
            </w:r>
          </w:p>
          <w:p w14:paraId="46CCD4A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51,1/48,9</w:t>
            </w:r>
          </w:p>
        </w:tc>
        <w:tc>
          <w:tcPr>
            <w:tcW w:w="1635" w:type="dxa"/>
            <w:tcBorders>
              <w:top w:val="single" w:sz="4" w:space="0" w:color="auto"/>
              <w:left w:val="single" w:sz="4" w:space="0" w:color="auto"/>
              <w:bottom w:val="single" w:sz="4" w:space="0" w:color="auto"/>
              <w:right w:val="single" w:sz="4" w:space="0" w:color="auto"/>
            </w:tcBorders>
            <w:noWrap/>
          </w:tcPr>
          <w:p w14:paraId="3B06029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28,6</w:t>
            </w:r>
            <w:r w:rsidRPr="00520861">
              <w:rPr>
                <w:rFonts w:eastAsia="Calibri"/>
                <w:sz w:val="28"/>
                <w:szCs w:val="28"/>
              </w:rPr>
              <w:sym w:font="Symbol" w:char="F0B1"/>
            </w:r>
            <w:r w:rsidRPr="00520861">
              <w:rPr>
                <w:rFonts w:eastAsia="Calibri"/>
                <w:sz w:val="28"/>
                <w:szCs w:val="28"/>
              </w:rPr>
              <w:t>1,8</w:t>
            </w:r>
          </w:p>
          <w:p w14:paraId="709E86D0"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(25,8</w:t>
            </w:r>
            <w:r w:rsidRPr="00520861">
              <w:rPr>
                <w:rFonts w:eastAsia="Calibri"/>
                <w:sz w:val="28"/>
                <w:szCs w:val="28"/>
              </w:rPr>
              <w:sym w:font="Symbol" w:char="F0B1"/>
            </w:r>
            <w:r w:rsidRPr="00520861">
              <w:rPr>
                <w:rFonts w:eastAsia="Calibri"/>
                <w:sz w:val="28"/>
                <w:szCs w:val="28"/>
              </w:rPr>
              <w:t>1,7)</w:t>
            </w:r>
          </w:p>
          <w:p w14:paraId="0CA6D499"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52,5/47,5</w:t>
            </w:r>
          </w:p>
        </w:tc>
        <w:tc>
          <w:tcPr>
            <w:tcW w:w="1635" w:type="dxa"/>
            <w:tcBorders>
              <w:top w:val="single" w:sz="4" w:space="0" w:color="auto"/>
              <w:left w:val="single" w:sz="4" w:space="0" w:color="auto"/>
              <w:bottom w:val="single" w:sz="4" w:space="0" w:color="auto"/>
              <w:right w:val="single" w:sz="4" w:space="0" w:color="auto"/>
            </w:tcBorders>
            <w:noWrap/>
          </w:tcPr>
          <w:p w14:paraId="7736AEF2"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32,2</w:t>
            </w:r>
            <w:r w:rsidRPr="00520861">
              <w:rPr>
                <w:rFonts w:eastAsia="Calibri"/>
                <w:sz w:val="28"/>
                <w:szCs w:val="28"/>
              </w:rPr>
              <w:sym w:font="Symbol" w:char="F0B1"/>
            </w:r>
            <w:r w:rsidRPr="00520861">
              <w:rPr>
                <w:rFonts w:eastAsia="Calibri"/>
                <w:sz w:val="28"/>
                <w:szCs w:val="28"/>
              </w:rPr>
              <w:t>3,3</w:t>
            </w:r>
          </w:p>
          <w:p w14:paraId="07E2710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(26,4</w:t>
            </w:r>
            <w:r w:rsidRPr="00520861">
              <w:rPr>
                <w:rFonts w:eastAsia="Calibri"/>
                <w:sz w:val="28"/>
                <w:szCs w:val="28"/>
              </w:rPr>
              <w:sym w:font="Symbol" w:char="F0B1"/>
            </w:r>
            <w:r w:rsidRPr="00520861">
              <w:rPr>
                <w:rFonts w:eastAsia="Calibri"/>
                <w:sz w:val="28"/>
                <w:szCs w:val="28"/>
              </w:rPr>
              <w:t>3,0)</w:t>
            </w:r>
          </w:p>
          <w:p w14:paraId="1517D25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54,9/45,1</w:t>
            </w:r>
          </w:p>
        </w:tc>
        <w:tc>
          <w:tcPr>
            <w:tcW w:w="1635" w:type="dxa"/>
            <w:tcBorders>
              <w:top w:val="single" w:sz="4" w:space="0" w:color="auto"/>
              <w:left w:val="single" w:sz="4" w:space="0" w:color="auto"/>
              <w:bottom w:val="single" w:sz="4" w:space="0" w:color="auto"/>
              <w:right w:val="single" w:sz="4" w:space="0" w:color="auto"/>
            </w:tcBorders>
            <w:noWrap/>
          </w:tcPr>
          <w:p w14:paraId="4DEE476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27,2</w:t>
            </w:r>
            <w:r w:rsidRPr="00520861">
              <w:rPr>
                <w:rFonts w:eastAsia="Calibri"/>
                <w:sz w:val="28"/>
                <w:szCs w:val="28"/>
              </w:rPr>
              <w:sym w:font="Symbol" w:char="F0B1"/>
            </w:r>
            <w:r w:rsidRPr="00520861">
              <w:rPr>
                <w:rFonts w:eastAsia="Calibri"/>
                <w:sz w:val="28"/>
                <w:szCs w:val="28"/>
              </w:rPr>
              <w:t>4,2</w:t>
            </w:r>
          </w:p>
          <w:p w14:paraId="4935F96F"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(24,5</w:t>
            </w:r>
            <w:r w:rsidRPr="00520861">
              <w:rPr>
                <w:rFonts w:eastAsia="Calibri"/>
                <w:sz w:val="28"/>
                <w:szCs w:val="28"/>
              </w:rPr>
              <w:sym w:font="Symbol" w:char="F0B1"/>
            </w:r>
            <w:r w:rsidRPr="00520861">
              <w:rPr>
                <w:rFonts w:eastAsia="Calibri"/>
                <w:sz w:val="28"/>
                <w:szCs w:val="28"/>
              </w:rPr>
              <w:t>4,5)</w:t>
            </w:r>
          </w:p>
          <w:p w14:paraId="36AEE7F3"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52,6/47,4</w:t>
            </w:r>
          </w:p>
        </w:tc>
        <w:tc>
          <w:tcPr>
            <w:tcW w:w="1635" w:type="dxa"/>
            <w:tcBorders>
              <w:top w:val="single" w:sz="4" w:space="0" w:color="auto"/>
              <w:left w:val="single" w:sz="4" w:space="0" w:color="auto"/>
              <w:bottom w:val="single" w:sz="4" w:space="0" w:color="auto"/>
              <w:right w:val="single" w:sz="4" w:space="0" w:color="auto"/>
            </w:tcBorders>
            <w:noWrap/>
          </w:tcPr>
          <w:p w14:paraId="6F0519D6"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29,3</w:t>
            </w:r>
            <w:r w:rsidRPr="00520861">
              <w:rPr>
                <w:rFonts w:eastAsia="Calibri"/>
                <w:sz w:val="28"/>
                <w:szCs w:val="28"/>
              </w:rPr>
              <w:sym w:font="Symbol" w:char="F0B1"/>
            </w:r>
            <w:r w:rsidRPr="00520861">
              <w:rPr>
                <w:rFonts w:eastAsia="Calibri"/>
                <w:sz w:val="28"/>
                <w:szCs w:val="28"/>
              </w:rPr>
              <w:t>4,2</w:t>
            </w:r>
          </w:p>
          <w:p w14:paraId="31BD084D"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(26,7</w:t>
            </w:r>
            <w:r w:rsidRPr="00520861">
              <w:rPr>
                <w:rFonts w:eastAsia="Calibri"/>
                <w:sz w:val="28"/>
                <w:szCs w:val="28"/>
              </w:rPr>
              <w:sym w:font="Symbol" w:char="F0B1"/>
            </w:r>
            <w:r w:rsidRPr="00520861">
              <w:rPr>
                <w:rFonts w:eastAsia="Calibri"/>
                <w:sz w:val="28"/>
                <w:szCs w:val="28"/>
              </w:rPr>
              <w:t>3,4)</w:t>
            </w:r>
          </w:p>
          <w:p w14:paraId="3BF438A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52,3/47,7</w:t>
            </w:r>
          </w:p>
        </w:tc>
        <w:tc>
          <w:tcPr>
            <w:tcW w:w="1635" w:type="dxa"/>
            <w:tcBorders>
              <w:top w:val="single" w:sz="4" w:space="0" w:color="auto"/>
              <w:left w:val="single" w:sz="4" w:space="0" w:color="auto"/>
              <w:bottom w:val="single" w:sz="4" w:space="0" w:color="auto"/>
              <w:right w:val="single" w:sz="4" w:space="0" w:color="auto"/>
            </w:tcBorders>
            <w:noWrap/>
          </w:tcPr>
          <w:p w14:paraId="232D5D58"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24,4</w:t>
            </w:r>
            <w:r w:rsidRPr="00520861">
              <w:rPr>
                <w:rFonts w:eastAsia="Calibri"/>
                <w:sz w:val="28"/>
                <w:szCs w:val="28"/>
              </w:rPr>
              <w:sym w:font="Symbol" w:char="F0B1"/>
            </w:r>
            <w:r w:rsidRPr="00520861">
              <w:rPr>
                <w:rFonts w:eastAsia="Calibri"/>
                <w:sz w:val="28"/>
                <w:szCs w:val="28"/>
              </w:rPr>
              <w:t>3,1</w:t>
            </w:r>
          </w:p>
          <w:p w14:paraId="1E62BF2E"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(25,4</w:t>
            </w:r>
            <w:r w:rsidRPr="00520861">
              <w:rPr>
                <w:rFonts w:eastAsia="Calibri"/>
                <w:sz w:val="28"/>
                <w:szCs w:val="28"/>
              </w:rPr>
              <w:sym w:font="Symbol" w:char="F0B1"/>
            </w:r>
            <w:r w:rsidRPr="00520861">
              <w:rPr>
                <w:rFonts w:eastAsia="Calibri"/>
                <w:sz w:val="28"/>
                <w:szCs w:val="28"/>
              </w:rPr>
              <w:t>3,1)</w:t>
            </w:r>
          </w:p>
          <w:p w14:paraId="4D4D02C1" w14:textId="77777777" w:rsidR="00CF641C" w:rsidRPr="00520861" w:rsidRDefault="00CF641C" w:rsidP="00292D2E">
            <w:pPr>
              <w:widowControl w:val="0"/>
              <w:spacing w:line="360" w:lineRule="auto"/>
              <w:jc w:val="center"/>
              <w:rPr>
                <w:rFonts w:eastAsia="Calibri"/>
                <w:sz w:val="28"/>
                <w:szCs w:val="28"/>
              </w:rPr>
            </w:pPr>
            <w:r w:rsidRPr="00520861">
              <w:rPr>
                <w:rFonts w:eastAsia="Calibri"/>
                <w:sz w:val="28"/>
                <w:szCs w:val="28"/>
              </w:rPr>
              <w:t>49,0/51,0</w:t>
            </w:r>
          </w:p>
        </w:tc>
      </w:tr>
    </w:tbl>
    <w:p w14:paraId="374FFC85" w14:textId="77777777" w:rsidR="00CF641C" w:rsidRPr="00520861" w:rsidRDefault="00CF641C" w:rsidP="00292D2E">
      <w:pPr>
        <w:widowControl w:val="0"/>
        <w:spacing w:line="360" w:lineRule="auto"/>
        <w:ind w:firstLine="851"/>
        <w:jc w:val="both"/>
        <w:rPr>
          <w:rFonts w:eastAsiaTheme="minorHAnsi"/>
          <w:sz w:val="28"/>
          <w:szCs w:val="28"/>
          <w:lang w:eastAsia="en-US"/>
        </w:rPr>
      </w:pPr>
    </w:p>
    <w:p w14:paraId="12974805" w14:textId="77777777" w:rsidR="00CF641C" w:rsidRPr="00520861" w:rsidRDefault="00CF641C" w:rsidP="00292D2E">
      <w:pPr>
        <w:widowControl w:val="0"/>
        <w:spacing w:line="360" w:lineRule="auto"/>
        <w:ind w:firstLine="851"/>
        <w:jc w:val="both"/>
        <w:rPr>
          <w:rFonts w:eastAsiaTheme="minorHAnsi"/>
          <w:sz w:val="28"/>
          <w:szCs w:val="28"/>
          <w:lang w:eastAsia="en-US"/>
        </w:rPr>
      </w:pPr>
      <w:r w:rsidRPr="00520861">
        <w:rPr>
          <w:rFonts w:eastAsiaTheme="minorHAnsi"/>
          <w:sz w:val="28"/>
          <w:szCs w:val="28"/>
          <w:lang w:eastAsia="en-US"/>
        </w:rPr>
        <w:t xml:space="preserve">Як демонструє табл. 4.20, в учасників ОГ (за виключенням підгрупи 4) та ГП </w:t>
      </w:r>
      <w:r w:rsidRPr="00520861">
        <w:rPr>
          <w:rFonts w:eastAsiaTheme="minorHAnsi"/>
          <w:sz w:val="28"/>
          <w:szCs w:val="28"/>
          <w:lang w:eastAsia="en-US"/>
        </w:rPr>
        <w:br/>
        <w:t xml:space="preserve">є невірогідне переважання материнського </w:t>
      </w:r>
      <w:proofErr w:type="spellStart"/>
      <w:r w:rsidRPr="00520861">
        <w:rPr>
          <w:rFonts w:eastAsiaTheme="minorHAnsi"/>
          <w:sz w:val="28"/>
          <w:szCs w:val="28"/>
          <w:lang w:eastAsia="en-US"/>
        </w:rPr>
        <w:t>фактора</w:t>
      </w:r>
      <w:proofErr w:type="spellEnd"/>
      <w:r w:rsidRPr="00520861">
        <w:rPr>
          <w:rFonts w:eastAsiaTheme="minorHAnsi"/>
          <w:sz w:val="28"/>
          <w:szCs w:val="28"/>
          <w:lang w:eastAsia="en-US"/>
        </w:rPr>
        <w:t>. Сумарний по всіх вікових категоріях опитаних розподіл ступеня впливу між материнським та батьковим факторами становить 51,1% проти 48,9% та 52,5% проти 47,5% для ГП і ОГ відповідно.</w:t>
      </w:r>
    </w:p>
    <w:p w14:paraId="50B2A927" w14:textId="77777777" w:rsidR="00CF641C" w:rsidRPr="00520861" w:rsidRDefault="00CF641C" w:rsidP="00292D2E">
      <w:pPr>
        <w:widowControl w:val="0"/>
        <w:spacing w:line="360" w:lineRule="auto"/>
        <w:ind w:firstLine="851"/>
        <w:jc w:val="both"/>
        <w:rPr>
          <w:rFonts w:eastAsiaTheme="minorHAnsi"/>
          <w:sz w:val="28"/>
          <w:szCs w:val="28"/>
          <w:lang w:eastAsia="en-US"/>
        </w:rPr>
      </w:pPr>
      <w:r w:rsidRPr="00520861">
        <w:rPr>
          <w:rFonts w:eastAsiaTheme="minorHAnsi"/>
          <w:sz w:val="28"/>
          <w:szCs w:val="28"/>
          <w:lang w:eastAsia="en-US"/>
        </w:rPr>
        <w:t xml:space="preserve">Отже, на формування стоматологічного здоров’я з точки зору передумов впливу більшою мірою, хоч і не вірогідно, домінує материнський вплив як для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так і для </w:t>
      </w:r>
      <w:proofErr w:type="spellStart"/>
      <w:r w:rsidRPr="00520861">
        <w:rPr>
          <w:rFonts w:eastAsiaTheme="minorHAnsi"/>
          <w:sz w:val="28"/>
          <w:szCs w:val="28"/>
          <w:lang w:eastAsia="en-US"/>
        </w:rPr>
        <w:t>нормосомів</w:t>
      </w:r>
      <w:proofErr w:type="spellEnd"/>
      <w:r w:rsidRPr="00520861">
        <w:rPr>
          <w:rFonts w:eastAsiaTheme="minorHAnsi"/>
          <w:sz w:val="28"/>
          <w:szCs w:val="28"/>
          <w:lang w:eastAsia="en-US"/>
        </w:rPr>
        <w:t xml:space="preserve"> [36]. Оскільки в осіб-</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вірогідно більше скарг на стан стоматологічного здоров’я, а вплив як материнського, так і батькового факторів є практично однаковим (зіставним) в учасників обох груп, цей вплив на </w:t>
      </w:r>
      <w:r w:rsidRPr="00520861">
        <w:rPr>
          <w:rFonts w:eastAsiaTheme="minorHAnsi"/>
          <w:sz w:val="28"/>
          <w:szCs w:val="28"/>
          <w:lang w:eastAsia="en-US"/>
        </w:rPr>
        <w:br/>
        <w:t xml:space="preserve">формування </w:t>
      </w:r>
      <w:proofErr w:type="spellStart"/>
      <w:r w:rsidRPr="00520861">
        <w:rPr>
          <w:rFonts w:eastAsiaTheme="minorHAnsi"/>
          <w:sz w:val="28"/>
          <w:szCs w:val="28"/>
          <w:lang w:eastAsia="en-US"/>
        </w:rPr>
        <w:t>СтП</w:t>
      </w:r>
      <w:proofErr w:type="spellEnd"/>
      <w:r w:rsidRPr="00520861">
        <w:rPr>
          <w:rFonts w:eastAsiaTheme="minorHAnsi"/>
          <w:sz w:val="28"/>
          <w:szCs w:val="28"/>
          <w:lang w:eastAsia="en-US"/>
        </w:rPr>
        <w:t xml:space="preserve"> в осіб-</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не є вирішальним.</w:t>
      </w:r>
    </w:p>
    <w:p w14:paraId="711025FD" w14:textId="77777777" w:rsidR="00CF641C" w:rsidRPr="00520861" w:rsidRDefault="00CF641C" w:rsidP="00292D2E">
      <w:pPr>
        <w:widowControl w:val="0"/>
        <w:spacing w:line="360" w:lineRule="auto"/>
        <w:ind w:firstLine="851"/>
        <w:jc w:val="both"/>
        <w:rPr>
          <w:sz w:val="28"/>
          <w:szCs w:val="28"/>
        </w:rPr>
      </w:pPr>
      <w:r w:rsidRPr="00520861">
        <w:rPr>
          <w:sz w:val="28"/>
          <w:szCs w:val="28"/>
        </w:rPr>
        <w:t xml:space="preserve">Резюмуючи викладене у цьому розділі, слід вказати, що встановлення </w:t>
      </w:r>
      <w:proofErr w:type="spellStart"/>
      <w:r w:rsidRPr="00520861">
        <w:rPr>
          <w:sz w:val="28"/>
          <w:szCs w:val="28"/>
        </w:rPr>
        <w:t>причиново</w:t>
      </w:r>
      <w:proofErr w:type="spellEnd"/>
      <w:r w:rsidRPr="00520861">
        <w:rPr>
          <w:sz w:val="28"/>
          <w:szCs w:val="28"/>
        </w:rPr>
        <w:t xml:space="preserve">-наслідкового зв’язку між станом </w:t>
      </w:r>
      <w:proofErr w:type="spellStart"/>
      <w:r w:rsidRPr="00520861">
        <w:rPr>
          <w:sz w:val="28"/>
          <w:szCs w:val="28"/>
        </w:rPr>
        <w:t>макросомії</w:t>
      </w:r>
      <w:proofErr w:type="spellEnd"/>
      <w:r w:rsidRPr="00520861">
        <w:rPr>
          <w:sz w:val="28"/>
          <w:szCs w:val="28"/>
        </w:rPr>
        <w:t xml:space="preserve"> новонародженого й характером подальшого формування стоматологічних порушень є складником реалізації концепції </w:t>
      </w:r>
      <w:r w:rsidRPr="00520861">
        <w:rPr>
          <w:sz w:val="28"/>
          <w:szCs w:val="28"/>
        </w:rPr>
        <w:lastRenderedPageBreak/>
        <w:t xml:space="preserve">медицини граничних станів. Застосування скринінг-опитувальників з визначення факторів ризику виникнення стоматологічної патології – інноваційний напрямок у стоматологічній науці й практиці, спрямований на визначення, прогнозування та своєчасну ліквідацію (мінімізацію) конкретних несприятливих факторів існування як </w:t>
      </w:r>
      <w:r w:rsidRPr="00520861">
        <w:rPr>
          <w:sz w:val="28"/>
          <w:szCs w:val="28"/>
        </w:rPr>
        <w:br/>
        <w:t xml:space="preserve">спадкового, так і повсякденного характеру. </w:t>
      </w:r>
    </w:p>
    <w:p w14:paraId="138E5F89"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Наявний </w:t>
      </w:r>
      <w:proofErr w:type="spellStart"/>
      <w:r w:rsidRPr="00520861">
        <w:rPr>
          <w:sz w:val="28"/>
          <w:szCs w:val="28"/>
        </w:rPr>
        <w:t>причиново</w:t>
      </w:r>
      <w:proofErr w:type="spellEnd"/>
      <w:r w:rsidRPr="00520861">
        <w:rPr>
          <w:sz w:val="28"/>
          <w:szCs w:val="28"/>
        </w:rPr>
        <w:t xml:space="preserve">-наслідковий зв’язок між індивідуальними патофізіологічними особливостями розвитку плода у ВУ періоді, які визначають його </w:t>
      </w:r>
      <w:proofErr w:type="spellStart"/>
      <w:r w:rsidRPr="00520861">
        <w:rPr>
          <w:sz w:val="28"/>
          <w:szCs w:val="28"/>
        </w:rPr>
        <w:t>макросомію</w:t>
      </w:r>
      <w:proofErr w:type="spellEnd"/>
      <w:r w:rsidRPr="00520861">
        <w:rPr>
          <w:sz w:val="28"/>
          <w:szCs w:val="28"/>
        </w:rPr>
        <w:t xml:space="preserve">, і закладанням </w:t>
      </w:r>
      <w:proofErr w:type="spellStart"/>
      <w:r w:rsidRPr="00520861">
        <w:rPr>
          <w:sz w:val="28"/>
          <w:szCs w:val="28"/>
        </w:rPr>
        <w:t>патернів</w:t>
      </w:r>
      <w:proofErr w:type="spellEnd"/>
      <w:r w:rsidRPr="00520861">
        <w:rPr>
          <w:sz w:val="28"/>
          <w:szCs w:val="28"/>
        </w:rPr>
        <w:t xml:space="preserve"> порушення стоматологічного здоров’я (патологія тканин </w:t>
      </w:r>
      <w:proofErr w:type="spellStart"/>
      <w:r w:rsidRPr="00520861">
        <w:rPr>
          <w:sz w:val="28"/>
          <w:szCs w:val="28"/>
        </w:rPr>
        <w:t>пародонта</w:t>
      </w:r>
      <w:proofErr w:type="spellEnd"/>
      <w:r w:rsidRPr="00520861">
        <w:rPr>
          <w:sz w:val="28"/>
          <w:szCs w:val="28"/>
        </w:rPr>
        <w:t xml:space="preserve"> й твердих тканин зубів). Крім того, особи, які народились із </w:t>
      </w:r>
      <w:proofErr w:type="spellStart"/>
      <w:r w:rsidRPr="00520861">
        <w:rPr>
          <w:sz w:val="28"/>
          <w:szCs w:val="28"/>
        </w:rPr>
        <w:t>макросомією</w:t>
      </w:r>
      <w:proofErr w:type="spellEnd"/>
      <w:r w:rsidRPr="00520861">
        <w:rPr>
          <w:sz w:val="28"/>
          <w:szCs w:val="28"/>
        </w:rPr>
        <w:t xml:space="preserve">, у подальшому житті в середньому мають удвічі більше скарг на стан стоматологічного здоров’я, ніж особи, які народилися </w:t>
      </w:r>
      <w:proofErr w:type="spellStart"/>
      <w:r w:rsidRPr="00520861">
        <w:rPr>
          <w:sz w:val="28"/>
          <w:szCs w:val="28"/>
        </w:rPr>
        <w:t>нормосомами</w:t>
      </w:r>
      <w:proofErr w:type="spellEnd"/>
      <w:r w:rsidRPr="00520861">
        <w:rPr>
          <w:sz w:val="28"/>
          <w:szCs w:val="28"/>
        </w:rPr>
        <w:t>.</w:t>
      </w:r>
    </w:p>
    <w:p w14:paraId="57F3D1BA"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Відсутні вірогідні відмінності впливу на розвиток </w:t>
      </w:r>
      <w:proofErr w:type="spellStart"/>
      <w:r w:rsidRPr="00520861">
        <w:rPr>
          <w:sz w:val="28"/>
          <w:szCs w:val="28"/>
        </w:rPr>
        <w:t>СтП</w:t>
      </w:r>
      <w:proofErr w:type="spellEnd"/>
      <w:r w:rsidRPr="00520861">
        <w:rPr>
          <w:sz w:val="28"/>
          <w:szCs w:val="28"/>
        </w:rPr>
        <w:t xml:space="preserve"> в осіб із різним індексом маси тіла при народженні особливостей стану здоров’я й життєдіяльності їх та їхніх батьків, а саме: гігієнічного стану ротової порожнини, наявності супутньої патології, наявності шкідливих звичок, ступеня фізичного навантаження перед вагітністю та під час вагітності матерів, особливостей харчування та медикаментозної терапії батьків та респондентів.</w:t>
      </w:r>
    </w:p>
    <w:p w14:paraId="3FC1A6EF" w14:textId="77777777" w:rsidR="00CF641C" w:rsidRPr="00520861" w:rsidRDefault="00CF641C" w:rsidP="00292D2E">
      <w:pPr>
        <w:widowControl w:val="0"/>
        <w:spacing w:line="360" w:lineRule="auto"/>
        <w:ind w:firstLine="708"/>
        <w:contextualSpacing/>
        <w:jc w:val="both"/>
        <w:rPr>
          <w:sz w:val="28"/>
          <w:szCs w:val="28"/>
        </w:rPr>
      </w:pPr>
      <w:r w:rsidRPr="00520861">
        <w:rPr>
          <w:sz w:val="28"/>
          <w:szCs w:val="28"/>
        </w:rPr>
        <w:t xml:space="preserve">Спадковість стосовно наявності стану </w:t>
      </w:r>
      <w:proofErr w:type="spellStart"/>
      <w:r w:rsidRPr="00520861">
        <w:rPr>
          <w:sz w:val="28"/>
          <w:szCs w:val="28"/>
        </w:rPr>
        <w:t>макросомії</w:t>
      </w:r>
      <w:proofErr w:type="spellEnd"/>
      <w:r w:rsidRPr="00520861">
        <w:rPr>
          <w:sz w:val="28"/>
          <w:szCs w:val="28"/>
        </w:rPr>
        <w:t xml:space="preserve"> при народженні дитини має місце бути. Найвищі ризики формування стоматологічної патології за даними анамнезу та скарг батьків мали діти, чиї батьки народилися </w:t>
      </w:r>
      <w:proofErr w:type="spellStart"/>
      <w:r w:rsidRPr="00520861">
        <w:rPr>
          <w:sz w:val="28"/>
          <w:szCs w:val="28"/>
        </w:rPr>
        <w:t>макросомами</w:t>
      </w:r>
      <w:proofErr w:type="spellEnd"/>
      <w:r w:rsidRPr="00520861">
        <w:rPr>
          <w:sz w:val="28"/>
          <w:szCs w:val="28"/>
        </w:rPr>
        <w:t xml:space="preserve">. При цьому індивідууми з </w:t>
      </w:r>
      <w:proofErr w:type="spellStart"/>
      <w:r w:rsidRPr="00520861">
        <w:rPr>
          <w:sz w:val="28"/>
          <w:szCs w:val="28"/>
        </w:rPr>
        <w:t>макросомією</w:t>
      </w:r>
      <w:proofErr w:type="spellEnd"/>
      <w:r w:rsidRPr="00520861">
        <w:rPr>
          <w:sz w:val="28"/>
          <w:szCs w:val="28"/>
        </w:rPr>
        <w:t xml:space="preserve"> при народженні, які народилися з ознаками ВУ ожиріння (підгрупа 4), мають більші ризики виникнення </w:t>
      </w:r>
      <w:proofErr w:type="spellStart"/>
      <w:r w:rsidRPr="00520861">
        <w:rPr>
          <w:sz w:val="28"/>
          <w:szCs w:val="28"/>
        </w:rPr>
        <w:t>СтП</w:t>
      </w:r>
      <w:proofErr w:type="spellEnd"/>
      <w:r w:rsidRPr="00520861">
        <w:rPr>
          <w:sz w:val="28"/>
          <w:szCs w:val="28"/>
        </w:rPr>
        <w:t xml:space="preserve"> порівняно з усіма іншими учасниками опитування.</w:t>
      </w:r>
    </w:p>
    <w:p w14:paraId="032DFAEA" w14:textId="77777777" w:rsidR="00CF641C" w:rsidRPr="00520861" w:rsidRDefault="00CF641C" w:rsidP="008704FC">
      <w:pPr>
        <w:widowControl w:val="0"/>
        <w:spacing w:line="360" w:lineRule="auto"/>
        <w:ind w:firstLine="708"/>
        <w:contextualSpacing/>
        <w:jc w:val="both"/>
        <w:rPr>
          <w:sz w:val="28"/>
          <w:szCs w:val="28"/>
        </w:rPr>
      </w:pPr>
      <w:r w:rsidRPr="00520861">
        <w:rPr>
          <w:sz w:val="28"/>
          <w:szCs w:val="28"/>
        </w:rPr>
        <w:t xml:space="preserve">Визначення впливу статевого батьківського </w:t>
      </w:r>
      <w:proofErr w:type="spellStart"/>
      <w:r w:rsidRPr="00520861">
        <w:rPr>
          <w:sz w:val="28"/>
          <w:szCs w:val="28"/>
        </w:rPr>
        <w:t>фактора</w:t>
      </w:r>
      <w:proofErr w:type="spellEnd"/>
      <w:r w:rsidRPr="00520861">
        <w:rPr>
          <w:sz w:val="28"/>
          <w:szCs w:val="28"/>
        </w:rPr>
        <w:t xml:space="preserve"> на формування стоматологічної патології серед осіб із різною масою тіла при народженні встановило </w:t>
      </w:r>
      <w:r w:rsidR="005D6941" w:rsidRPr="00520861">
        <w:rPr>
          <w:sz w:val="28"/>
          <w:szCs w:val="28"/>
        </w:rPr>
        <w:br/>
      </w:r>
      <w:r w:rsidRPr="00520861">
        <w:rPr>
          <w:sz w:val="28"/>
          <w:szCs w:val="28"/>
        </w:rPr>
        <w:t>відсутність вірогідного переважання впливу як материнського, так і батькового факторів на формування стоматологічних порушень в осіб поза їхньою масою тіла (</w:t>
      </w:r>
      <w:proofErr w:type="spellStart"/>
      <w:r w:rsidRPr="00520861">
        <w:rPr>
          <w:sz w:val="28"/>
          <w:szCs w:val="28"/>
        </w:rPr>
        <w:t>макросомів</w:t>
      </w:r>
      <w:proofErr w:type="spellEnd"/>
      <w:r w:rsidRPr="00520861">
        <w:rPr>
          <w:sz w:val="28"/>
          <w:szCs w:val="28"/>
        </w:rPr>
        <w:t xml:space="preserve"> і </w:t>
      </w:r>
      <w:proofErr w:type="spellStart"/>
      <w:r w:rsidRPr="00520861">
        <w:rPr>
          <w:sz w:val="28"/>
          <w:szCs w:val="28"/>
        </w:rPr>
        <w:t>нормосомів</w:t>
      </w:r>
      <w:proofErr w:type="spellEnd"/>
      <w:r w:rsidRPr="00520861">
        <w:rPr>
          <w:sz w:val="28"/>
          <w:szCs w:val="28"/>
        </w:rPr>
        <w:t xml:space="preserve">). Розподіл ступеня впливу між материнським та батьковим </w:t>
      </w:r>
      <w:r w:rsidR="005D6941" w:rsidRPr="00520861">
        <w:rPr>
          <w:sz w:val="28"/>
          <w:szCs w:val="28"/>
        </w:rPr>
        <w:br/>
      </w:r>
      <w:r w:rsidRPr="00520861">
        <w:rPr>
          <w:sz w:val="28"/>
          <w:szCs w:val="28"/>
        </w:rPr>
        <w:t xml:space="preserve">факторами становить 52,5% проти 47,5% та 51,1% проти 48,9% для опитаних </w:t>
      </w:r>
      <w:proofErr w:type="spellStart"/>
      <w:r w:rsidRPr="00520861">
        <w:rPr>
          <w:sz w:val="28"/>
          <w:szCs w:val="28"/>
        </w:rPr>
        <w:t>макросомів</w:t>
      </w:r>
      <w:proofErr w:type="spellEnd"/>
      <w:r w:rsidRPr="00520861">
        <w:rPr>
          <w:sz w:val="28"/>
          <w:szCs w:val="28"/>
        </w:rPr>
        <w:t xml:space="preserve"> та </w:t>
      </w:r>
      <w:proofErr w:type="spellStart"/>
      <w:r w:rsidRPr="00520861">
        <w:rPr>
          <w:sz w:val="28"/>
          <w:szCs w:val="28"/>
        </w:rPr>
        <w:t>нормосомів</w:t>
      </w:r>
      <w:proofErr w:type="spellEnd"/>
      <w:r w:rsidRPr="00520861">
        <w:rPr>
          <w:sz w:val="28"/>
          <w:szCs w:val="28"/>
        </w:rPr>
        <w:t xml:space="preserve"> відповідно (</w:t>
      </w:r>
      <w:r w:rsidRPr="00520861">
        <w:rPr>
          <w:i/>
          <w:sz w:val="28"/>
          <w:szCs w:val="28"/>
        </w:rPr>
        <w:t>р</w:t>
      </w:r>
      <w:r w:rsidR="00CD7533" w:rsidRPr="00520861">
        <w:rPr>
          <w:sz w:val="28"/>
          <w:szCs w:val="28"/>
        </w:rPr>
        <w:t>&lt;</w:t>
      </w:r>
      <w:r w:rsidRPr="00520861">
        <w:rPr>
          <w:sz w:val="28"/>
          <w:szCs w:val="28"/>
        </w:rPr>
        <w:t>0,05).</w:t>
      </w:r>
      <w:r w:rsidR="008704FC" w:rsidRPr="00520861">
        <w:rPr>
          <w:sz w:val="28"/>
          <w:szCs w:val="28"/>
        </w:rPr>
        <w:br w:type="page"/>
      </w:r>
    </w:p>
    <w:p w14:paraId="15FF9F8E" w14:textId="77777777" w:rsidR="002E3CE8" w:rsidRPr="00520861" w:rsidRDefault="002E3CE8" w:rsidP="00292D2E">
      <w:pPr>
        <w:widowControl w:val="0"/>
        <w:spacing w:line="360" w:lineRule="auto"/>
        <w:jc w:val="center"/>
        <w:rPr>
          <w:rFonts w:eastAsiaTheme="minorHAnsi"/>
          <w:b/>
          <w:sz w:val="28"/>
          <w:szCs w:val="28"/>
          <w:lang w:eastAsia="en-US"/>
        </w:rPr>
      </w:pPr>
      <w:r w:rsidRPr="00520861">
        <w:rPr>
          <w:rFonts w:eastAsiaTheme="minorHAnsi"/>
          <w:b/>
          <w:sz w:val="28"/>
          <w:szCs w:val="28"/>
          <w:lang w:eastAsia="en-US"/>
        </w:rPr>
        <w:lastRenderedPageBreak/>
        <w:t>РОЗДІЛ 5</w:t>
      </w:r>
    </w:p>
    <w:p w14:paraId="0A98B514" w14:textId="77777777" w:rsidR="002E3CE8" w:rsidRPr="00520861" w:rsidRDefault="002E3CE8" w:rsidP="00292D2E">
      <w:pPr>
        <w:widowControl w:val="0"/>
        <w:spacing w:line="360" w:lineRule="auto"/>
        <w:jc w:val="center"/>
        <w:rPr>
          <w:rFonts w:eastAsiaTheme="minorHAnsi"/>
          <w:b/>
          <w:sz w:val="28"/>
          <w:szCs w:val="28"/>
          <w:lang w:eastAsia="en-US"/>
        </w:rPr>
      </w:pPr>
    </w:p>
    <w:p w14:paraId="1F676402" w14:textId="77777777" w:rsidR="002E3CE8" w:rsidRPr="00520861" w:rsidRDefault="002E3CE8" w:rsidP="00292D2E">
      <w:pPr>
        <w:widowControl w:val="0"/>
        <w:spacing w:line="360" w:lineRule="auto"/>
        <w:jc w:val="center"/>
        <w:rPr>
          <w:rFonts w:eastAsiaTheme="minorHAnsi"/>
          <w:b/>
          <w:sz w:val="28"/>
          <w:szCs w:val="28"/>
          <w:lang w:eastAsia="en-US"/>
        </w:rPr>
      </w:pPr>
    </w:p>
    <w:p w14:paraId="5C746CDA" w14:textId="77777777" w:rsidR="002E3CE8" w:rsidRPr="00520861" w:rsidRDefault="002E3CE8" w:rsidP="00292D2E">
      <w:pPr>
        <w:widowControl w:val="0"/>
        <w:spacing w:line="360" w:lineRule="auto"/>
        <w:ind w:firstLine="708"/>
        <w:jc w:val="center"/>
        <w:rPr>
          <w:rFonts w:eastAsiaTheme="minorHAnsi"/>
          <w:b/>
          <w:sz w:val="28"/>
          <w:szCs w:val="28"/>
          <w:lang w:eastAsia="en-US"/>
        </w:rPr>
      </w:pPr>
      <w:r w:rsidRPr="00520861">
        <w:rPr>
          <w:rFonts w:eastAsiaTheme="minorHAnsi"/>
          <w:b/>
          <w:sz w:val="28"/>
          <w:szCs w:val="28"/>
          <w:lang w:eastAsia="en-US"/>
        </w:rPr>
        <w:t>ОСОБЛИВОСТІ ДІАГНОСТИКИ ТА ПРОГНОЗУВАННЯ ПОРУШЕНЬ СТОМАТОГНАТИЧНОЇ СИСТЕМИ В ОСІБ РІЗНОГО ВІКУ ПОПУЛЯЦІЇ ХАРКІВСЬКОЇ ОБЛАСТІ ТА ПРИЛЕГЛИХ (ДОНЕЦЬКОЇ, ЛУГАНСЬКОЇ) ОБЛАСТЕЙ, ЯКІ НАРОДИЛИСЯ З МАКРОСОМІЄЮ</w:t>
      </w:r>
    </w:p>
    <w:p w14:paraId="7980D603" w14:textId="77777777" w:rsidR="002E3CE8" w:rsidRPr="00520861" w:rsidRDefault="002E3CE8" w:rsidP="00292D2E">
      <w:pPr>
        <w:widowControl w:val="0"/>
        <w:spacing w:line="360" w:lineRule="auto"/>
        <w:ind w:firstLine="708"/>
        <w:jc w:val="both"/>
        <w:rPr>
          <w:rFonts w:eastAsiaTheme="minorHAnsi"/>
          <w:b/>
          <w:sz w:val="28"/>
          <w:szCs w:val="28"/>
          <w:lang w:eastAsia="en-US"/>
        </w:rPr>
      </w:pPr>
    </w:p>
    <w:p w14:paraId="5E9F23BB" w14:textId="77777777" w:rsidR="002E3CE8" w:rsidRPr="00520861" w:rsidRDefault="002E3CE8" w:rsidP="00292D2E">
      <w:pPr>
        <w:widowControl w:val="0"/>
        <w:spacing w:line="360" w:lineRule="auto"/>
        <w:ind w:firstLine="708"/>
        <w:jc w:val="both"/>
        <w:rPr>
          <w:rFonts w:eastAsiaTheme="minorHAnsi"/>
          <w:b/>
          <w:sz w:val="28"/>
          <w:szCs w:val="28"/>
          <w:lang w:eastAsia="en-US"/>
        </w:rPr>
      </w:pPr>
      <w:r w:rsidRPr="00520861">
        <w:rPr>
          <w:rFonts w:eastAsiaTheme="minorHAnsi"/>
          <w:b/>
          <w:bCs/>
          <w:sz w:val="28"/>
          <w:szCs w:val="28"/>
          <w:lang w:eastAsia="en-US"/>
        </w:rPr>
        <w:t xml:space="preserve">5.1. Результати визначення впливу </w:t>
      </w:r>
      <w:proofErr w:type="spellStart"/>
      <w:r w:rsidRPr="00520861">
        <w:rPr>
          <w:rFonts w:eastAsiaTheme="minorHAnsi"/>
          <w:b/>
          <w:sz w:val="28"/>
          <w:szCs w:val="28"/>
          <w:lang w:eastAsia="en-US"/>
        </w:rPr>
        <w:t>перинатального</w:t>
      </w:r>
      <w:proofErr w:type="spellEnd"/>
      <w:r w:rsidRPr="00520861">
        <w:rPr>
          <w:rFonts w:eastAsiaTheme="minorHAnsi"/>
          <w:b/>
          <w:sz w:val="28"/>
          <w:szCs w:val="28"/>
          <w:lang w:eastAsia="en-US"/>
        </w:rPr>
        <w:t xml:space="preserve"> </w:t>
      </w:r>
      <w:proofErr w:type="spellStart"/>
      <w:r w:rsidRPr="00520861">
        <w:rPr>
          <w:rFonts w:eastAsiaTheme="minorHAnsi"/>
          <w:b/>
          <w:sz w:val="28"/>
          <w:szCs w:val="28"/>
          <w:lang w:eastAsia="en-US"/>
        </w:rPr>
        <w:t>гіпоксично</w:t>
      </w:r>
      <w:proofErr w:type="spellEnd"/>
      <w:r w:rsidRPr="00520861">
        <w:rPr>
          <w:rFonts w:eastAsiaTheme="minorHAnsi"/>
          <w:b/>
          <w:sz w:val="28"/>
          <w:szCs w:val="28"/>
          <w:lang w:eastAsia="en-US"/>
        </w:rPr>
        <w:t xml:space="preserve">-ішемічного ураження центральної нервової системи на поширеність стоматологічних порушень у дітей першого року життя, які народилися </w:t>
      </w:r>
      <w:proofErr w:type="spellStart"/>
      <w:r w:rsidRPr="00520861">
        <w:rPr>
          <w:rFonts w:eastAsiaTheme="minorHAnsi"/>
          <w:b/>
          <w:sz w:val="28"/>
          <w:szCs w:val="28"/>
          <w:lang w:eastAsia="en-US"/>
        </w:rPr>
        <w:t>макросомами</w:t>
      </w:r>
      <w:proofErr w:type="spellEnd"/>
    </w:p>
    <w:p w14:paraId="1A2A937A" w14:textId="77777777" w:rsidR="002E3CE8" w:rsidRPr="00520861" w:rsidRDefault="002E3CE8" w:rsidP="00292D2E">
      <w:pPr>
        <w:widowControl w:val="0"/>
        <w:spacing w:line="360" w:lineRule="auto"/>
        <w:jc w:val="both"/>
        <w:rPr>
          <w:rFonts w:eastAsiaTheme="minorHAnsi"/>
          <w:b/>
          <w:sz w:val="28"/>
          <w:szCs w:val="28"/>
          <w:lang w:eastAsia="en-US"/>
        </w:rPr>
      </w:pPr>
    </w:p>
    <w:p w14:paraId="6E68814A"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При обстеженні 126 дітей віком від декількох годин до декількох місяців як із </w:t>
      </w:r>
      <w:proofErr w:type="spellStart"/>
      <w:r w:rsidRPr="00520861">
        <w:rPr>
          <w:rFonts w:eastAsiaTheme="minorHAnsi"/>
          <w:sz w:val="28"/>
          <w:szCs w:val="28"/>
          <w:lang w:eastAsia="en-US"/>
        </w:rPr>
        <w:t>перинатальним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гіпоксично</w:t>
      </w:r>
      <w:proofErr w:type="spellEnd"/>
      <w:r w:rsidRPr="00520861">
        <w:rPr>
          <w:rFonts w:eastAsiaTheme="minorHAnsi"/>
          <w:sz w:val="28"/>
          <w:szCs w:val="28"/>
          <w:lang w:eastAsia="en-US"/>
        </w:rPr>
        <w:t xml:space="preserve">-ішемічним ураженням (ГІУ) центральної нервової системи (ЦНС), так і без нього виявлено, що процент відхилень від стоматологічної норми в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загалом понад у два рази вірогідно більший, ніж у </w:t>
      </w:r>
      <w:proofErr w:type="spellStart"/>
      <w:r w:rsidRPr="00520861">
        <w:rPr>
          <w:rFonts w:eastAsiaTheme="minorHAnsi"/>
          <w:sz w:val="28"/>
          <w:szCs w:val="28"/>
          <w:lang w:eastAsia="en-US"/>
        </w:rPr>
        <w:t>нормосомів</w:t>
      </w:r>
      <w:proofErr w:type="spellEnd"/>
      <w:r w:rsidRPr="00520861">
        <w:rPr>
          <w:rFonts w:eastAsiaTheme="minorHAnsi"/>
          <w:sz w:val="28"/>
          <w:szCs w:val="28"/>
          <w:lang w:eastAsia="en-US"/>
        </w:rPr>
        <w:t xml:space="preserve"> загалом. Стоматологічні порушення мали 38 (64,4% ДІ: 52,6% </w:t>
      </w:r>
      <w:r w:rsidRPr="00520861">
        <w:rPr>
          <w:rFonts w:eastAsiaTheme="minorHAnsi"/>
          <w:sz w:val="28"/>
          <w:szCs w:val="28"/>
          <w:lang w:eastAsia="en-US"/>
        </w:rPr>
        <w:sym w:font="Symbol" w:char="F02D"/>
      </w:r>
      <w:r w:rsidRPr="00520861">
        <w:rPr>
          <w:rFonts w:eastAsiaTheme="minorHAnsi"/>
          <w:sz w:val="28"/>
          <w:szCs w:val="28"/>
          <w:lang w:eastAsia="en-US"/>
        </w:rPr>
        <w:t xml:space="preserve"> 75,0%) </w:t>
      </w:r>
      <w:r w:rsidRPr="00520861">
        <w:rPr>
          <w:rFonts w:eastAsiaTheme="minorHAnsi"/>
          <w:sz w:val="28"/>
          <w:szCs w:val="28"/>
          <w:lang w:eastAsia="en-US"/>
        </w:rPr>
        <w:br/>
        <w:t xml:space="preserve">новонароджених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та 20 (29,9% ДІ: 20,6% </w:t>
      </w:r>
      <w:r w:rsidRPr="00520861">
        <w:rPr>
          <w:rFonts w:eastAsiaTheme="minorHAnsi"/>
          <w:sz w:val="28"/>
          <w:szCs w:val="28"/>
          <w:lang w:eastAsia="en-US"/>
        </w:rPr>
        <w:sym w:font="Symbol" w:char="F02D"/>
      </w:r>
      <w:r w:rsidRPr="00520861">
        <w:rPr>
          <w:rFonts w:eastAsiaTheme="minorHAnsi"/>
          <w:sz w:val="28"/>
          <w:szCs w:val="28"/>
          <w:lang w:eastAsia="en-US"/>
        </w:rPr>
        <w:t xml:space="preserve"> 40,7%) новонароджених </w:t>
      </w:r>
      <w:proofErr w:type="spellStart"/>
      <w:r w:rsidRPr="00520861">
        <w:rPr>
          <w:rFonts w:eastAsiaTheme="minorHAnsi"/>
          <w:sz w:val="28"/>
          <w:szCs w:val="28"/>
          <w:lang w:eastAsia="en-US"/>
        </w:rPr>
        <w:t>нормосомів</w:t>
      </w:r>
      <w:proofErr w:type="spellEnd"/>
      <w:r w:rsidRPr="00520861">
        <w:rPr>
          <w:rFonts w:eastAsiaTheme="minorHAnsi"/>
          <w:sz w:val="28"/>
          <w:szCs w:val="28"/>
          <w:lang w:eastAsia="en-US"/>
        </w:rPr>
        <w:t xml:space="preserve">. Серед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без ГІУ ЦНС стоматологічні порушення мали 21 (60,0% ДІ: 44,9% </w:t>
      </w:r>
      <w:r w:rsidRPr="00520861">
        <w:rPr>
          <w:rFonts w:eastAsiaTheme="minorHAnsi"/>
          <w:sz w:val="28"/>
          <w:szCs w:val="28"/>
          <w:lang w:eastAsia="en-US"/>
        </w:rPr>
        <w:sym w:font="Symbol" w:char="F02D"/>
      </w:r>
      <w:r w:rsidRPr="00520861">
        <w:rPr>
          <w:rFonts w:eastAsiaTheme="minorHAnsi"/>
          <w:sz w:val="28"/>
          <w:szCs w:val="28"/>
          <w:lang w:eastAsia="en-US"/>
        </w:rPr>
        <w:t xml:space="preserve"> 73,7%) немовля, а серед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із ГІУ ЦНС </w:t>
      </w:r>
      <w:r w:rsidRPr="00520861">
        <w:rPr>
          <w:rFonts w:eastAsiaTheme="minorHAnsi"/>
          <w:sz w:val="28"/>
          <w:szCs w:val="28"/>
          <w:lang w:eastAsia="en-US"/>
        </w:rPr>
        <w:sym w:font="Symbol" w:char="F02D"/>
      </w:r>
      <w:r w:rsidRPr="00520861">
        <w:rPr>
          <w:rFonts w:eastAsiaTheme="minorHAnsi"/>
          <w:sz w:val="28"/>
          <w:szCs w:val="28"/>
          <w:lang w:eastAsia="en-US"/>
        </w:rPr>
        <w:t xml:space="preserve"> 17 (70,8% ДІ: 53,3% </w:t>
      </w:r>
      <w:r w:rsidRPr="00520861">
        <w:rPr>
          <w:rFonts w:eastAsiaTheme="minorHAnsi"/>
          <w:sz w:val="28"/>
          <w:szCs w:val="28"/>
          <w:lang w:eastAsia="en-US"/>
        </w:rPr>
        <w:sym w:font="Symbol" w:char="F02D"/>
      </w:r>
      <w:r w:rsidRPr="00520861">
        <w:rPr>
          <w:rFonts w:eastAsiaTheme="minorHAnsi"/>
          <w:sz w:val="28"/>
          <w:szCs w:val="28"/>
          <w:lang w:eastAsia="en-US"/>
        </w:rPr>
        <w:t xml:space="preserve"> 84,4%). Серед </w:t>
      </w:r>
      <w:proofErr w:type="spellStart"/>
      <w:r w:rsidRPr="00520861">
        <w:rPr>
          <w:rFonts w:eastAsiaTheme="minorHAnsi"/>
          <w:sz w:val="28"/>
          <w:szCs w:val="28"/>
          <w:lang w:eastAsia="en-US"/>
        </w:rPr>
        <w:t>нормосомів</w:t>
      </w:r>
      <w:proofErr w:type="spellEnd"/>
      <w:r w:rsidRPr="00520861">
        <w:rPr>
          <w:rFonts w:eastAsiaTheme="minorHAnsi"/>
          <w:sz w:val="28"/>
          <w:szCs w:val="28"/>
          <w:lang w:eastAsia="en-US"/>
        </w:rPr>
        <w:t xml:space="preserve"> без ГІУ ЦНС стоматологічні порушення мали 4 (13,8% ДІ: 5,8% </w:t>
      </w:r>
      <w:r w:rsidRPr="00520861">
        <w:rPr>
          <w:rFonts w:eastAsiaTheme="minorHAnsi"/>
          <w:sz w:val="28"/>
          <w:szCs w:val="28"/>
          <w:lang w:eastAsia="en-US"/>
        </w:rPr>
        <w:sym w:font="Symbol" w:char="F02D"/>
      </w:r>
      <w:r w:rsidRPr="00520861">
        <w:rPr>
          <w:rFonts w:eastAsiaTheme="minorHAnsi"/>
          <w:sz w:val="28"/>
          <w:szCs w:val="28"/>
          <w:lang w:eastAsia="en-US"/>
        </w:rPr>
        <w:t xml:space="preserve"> 27,4%) малюки проти 16 (42,1% ДІ: 28,6% </w:t>
      </w:r>
      <w:r w:rsidRPr="00520861">
        <w:rPr>
          <w:rFonts w:eastAsiaTheme="minorHAnsi"/>
          <w:sz w:val="28"/>
          <w:szCs w:val="28"/>
          <w:lang w:eastAsia="en-US"/>
        </w:rPr>
        <w:sym w:font="Symbol" w:char="F02D"/>
      </w:r>
      <w:r w:rsidRPr="00520861">
        <w:rPr>
          <w:rFonts w:eastAsiaTheme="minorHAnsi"/>
          <w:sz w:val="28"/>
          <w:szCs w:val="28"/>
          <w:lang w:eastAsia="en-US"/>
        </w:rPr>
        <w:t xml:space="preserve"> 56,6%) дітей із ГІУ ЦНС.</w:t>
      </w:r>
    </w:p>
    <w:p w14:paraId="3A34E925"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Коли ж ми розглядали процент відхилень від стоматологічної норми в дітей із ГІУ ЦНС загалом, виявилося, що серед них порушення мали 33 (53,2% ДІ: 41,7% </w:t>
      </w:r>
      <w:r w:rsidRPr="00520861">
        <w:rPr>
          <w:rFonts w:eastAsiaTheme="minorHAnsi"/>
          <w:sz w:val="28"/>
          <w:szCs w:val="28"/>
          <w:lang w:eastAsia="en-US"/>
        </w:rPr>
        <w:sym w:font="Symbol" w:char="F02D"/>
      </w:r>
      <w:r w:rsidRPr="00520861">
        <w:rPr>
          <w:rFonts w:eastAsiaTheme="minorHAnsi"/>
          <w:sz w:val="28"/>
          <w:szCs w:val="28"/>
          <w:lang w:eastAsia="en-US"/>
        </w:rPr>
        <w:t xml:space="preserve"> 64,5%) малюки проти 25 (39,1% ДІ: 28,5% </w:t>
      </w:r>
      <w:r w:rsidRPr="00520861">
        <w:rPr>
          <w:rFonts w:eastAsiaTheme="minorHAnsi"/>
          <w:sz w:val="28"/>
          <w:szCs w:val="28"/>
          <w:lang w:eastAsia="en-US"/>
        </w:rPr>
        <w:sym w:font="Symbol" w:char="F02D"/>
      </w:r>
      <w:r w:rsidRPr="00520861">
        <w:rPr>
          <w:rFonts w:eastAsiaTheme="minorHAnsi"/>
          <w:sz w:val="28"/>
          <w:szCs w:val="28"/>
          <w:lang w:eastAsia="en-US"/>
        </w:rPr>
        <w:t xml:space="preserve"> 50,5%) осіб серед дітей без ГІУ ЦНС загалом.</w:t>
      </w:r>
    </w:p>
    <w:p w14:paraId="1AE114A0"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Отже, ми не виявили вірогідного впливу ГІУ ЦНС на появу стоматологічних аномалій у </w:t>
      </w:r>
      <w:proofErr w:type="spellStart"/>
      <w:r w:rsidRPr="00520861">
        <w:rPr>
          <w:rFonts w:eastAsiaTheme="minorHAnsi"/>
          <w:sz w:val="28"/>
          <w:szCs w:val="28"/>
          <w:lang w:eastAsia="en-US"/>
        </w:rPr>
        <w:t>перинатальному</w:t>
      </w:r>
      <w:proofErr w:type="spellEnd"/>
      <w:r w:rsidRPr="00520861">
        <w:rPr>
          <w:rFonts w:eastAsiaTheme="minorHAnsi"/>
          <w:sz w:val="28"/>
          <w:szCs w:val="28"/>
          <w:lang w:eastAsia="en-US"/>
        </w:rPr>
        <w:t xml:space="preserve"> періоді в новонароджених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[32, 325]. </w:t>
      </w:r>
      <w:r w:rsidRPr="00520861">
        <w:rPr>
          <w:rFonts w:eastAsiaTheme="minorHAnsi"/>
          <w:sz w:val="28"/>
          <w:szCs w:val="28"/>
          <w:lang w:eastAsia="en-US"/>
        </w:rPr>
        <w:br/>
        <w:t xml:space="preserve">Тому далі наявність чи відсутність </w:t>
      </w:r>
      <w:proofErr w:type="spellStart"/>
      <w:r w:rsidRPr="00520861">
        <w:rPr>
          <w:rFonts w:eastAsiaTheme="minorHAnsi"/>
          <w:sz w:val="28"/>
          <w:szCs w:val="28"/>
          <w:lang w:eastAsia="en-US"/>
        </w:rPr>
        <w:t>перинатального</w:t>
      </w:r>
      <w:proofErr w:type="spellEnd"/>
      <w:r w:rsidRPr="00520861">
        <w:rPr>
          <w:rFonts w:eastAsiaTheme="minorHAnsi"/>
          <w:sz w:val="28"/>
          <w:szCs w:val="28"/>
          <w:lang w:eastAsia="en-US"/>
        </w:rPr>
        <w:t xml:space="preserve"> ГІУ ЦНС в анамнезі в дітей, </w:t>
      </w:r>
      <w:r w:rsidRPr="00520861">
        <w:rPr>
          <w:rFonts w:eastAsiaTheme="minorHAnsi"/>
          <w:sz w:val="28"/>
          <w:szCs w:val="28"/>
          <w:lang w:eastAsia="en-US"/>
        </w:rPr>
        <w:br/>
        <w:t xml:space="preserve">які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не враховувалася. У той же час зафіксовано вірогідно </w:t>
      </w:r>
      <w:r w:rsidRPr="00520861">
        <w:rPr>
          <w:rFonts w:eastAsiaTheme="minorHAnsi"/>
          <w:sz w:val="28"/>
          <w:szCs w:val="28"/>
          <w:lang w:eastAsia="en-US"/>
        </w:rPr>
        <w:lastRenderedPageBreak/>
        <w:t xml:space="preserve">більший (понад у три рази) процент </w:t>
      </w:r>
      <w:proofErr w:type="spellStart"/>
      <w:r w:rsidRPr="00520861">
        <w:rPr>
          <w:rFonts w:eastAsiaTheme="minorHAnsi"/>
          <w:sz w:val="28"/>
          <w:szCs w:val="28"/>
          <w:lang w:eastAsia="en-US"/>
        </w:rPr>
        <w:t>СтП</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нормосомів</w:t>
      </w:r>
      <w:proofErr w:type="spellEnd"/>
      <w:r w:rsidRPr="00520861">
        <w:rPr>
          <w:rFonts w:eastAsiaTheme="minorHAnsi"/>
          <w:sz w:val="28"/>
          <w:szCs w:val="28"/>
          <w:lang w:eastAsia="en-US"/>
        </w:rPr>
        <w:t xml:space="preserve">, які народилися з </w:t>
      </w:r>
      <w:r w:rsidRPr="00520861">
        <w:rPr>
          <w:rFonts w:eastAsiaTheme="minorHAnsi"/>
          <w:sz w:val="28"/>
          <w:szCs w:val="28"/>
          <w:lang w:eastAsia="en-US"/>
        </w:rPr>
        <w:br/>
      </w:r>
      <w:proofErr w:type="spellStart"/>
      <w:r w:rsidRPr="00520861">
        <w:rPr>
          <w:rFonts w:eastAsiaTheme="minorHAnsi"/>
          <w:sz w:val="28"/>
          <w:szCs w:val="28"/>
          <w:lang w:eastAsia="en-US"/>
        </w:rPr>
        <w:t>перинатальним</w:t>
      </w:r>
      <w:proofErr w:type="spellEnd"/>
      <w:r w:rsidRPr="00520861">
        <w:rPr>
          <w:rFonts w:eastAsiaTheme="minorHAnsi"/>
          <w:sz w:val="28"/>
          <w:szCs w:val="28"/>
          <w:lang w:eastAsia="en-US"/>
        </w:rPr>
        <w:t xml:space="preserve"> ГІУ мозку, порівняно зі здоровими дітьми. Проте наявність чи </w:t>
      </w:r>
      <w:r w:rsidR="00F03001" w:rsidRPr="00520861">
        <w:rPr>
          <w:rFonts w:eastAsiaTheme="minorHAnsi"/>
          <w:sz w:val="28"/>
          <w:szCs w:val="28"/>
          <w:lang w:eastAsia="en-US"/>
        </w:rPr>
        <w:br/>
      </w:r>
      <w:r w:rsidRPr="00520861">
        <w:rPr>
          <w:rFonts w:eastAsiaTheme="minorHAnsi"/>
          <w:sz w:val="28"/>
          <w:szCs w:val="28"/>
          <w:lang w:eastAsia="en-US"/>
        </w:rPr>
        <w:t xml:space="preserve">відсутність </w:t>
      </w:r>
      <w:proofErr w:type="spellStart"/>
      <w:r w:rsidRPr="00520861">
        <w:rPr>
          <w:rFonts w:eastAsiaTheme="minorHAnsi"/>
          <w:sz w:val="28"/>
          <w:szCs w:val="28"/>
          <w:lang w:eastAsia="en-US"/>
        </w:rPr>
        <w:t>перинатального</w:t>
      </w:r>
      <w:proofErr w:type="spellEnd"/>
      <w:r w:rsidRPr="00520861">
        <w:rPr>
          <w:rFonts w:eastAsiaTheme="minorHAnsi"/>
          <w:sz w:val="28"/>
          <w:szCs w:val="28"/>
          <w:lang w:eastAsia="en-US"/>
        </w:rPr>
        <w:t xml:space="preserve"> ГІУ ЦНС в анамнезі в дітей, які народилися </w:t>
      </w:r>
      <w:proofErr w:type="spellStart"/>
      <w:r w:rsidRPr="00520861">
        <w:rPr>
          <w:rFonts w:eastAsiaTheme="minorHAnsi"/>
          <w:sz w:val="28"/>
          <w:szCs w:val="28"/>
          <w:lang w:eastAsia="en-US"/>
        </w:rPr>
        <w:t>нормосомами</w:t>
      </w:r>
      <w:proofErr w:type="spellEnd"/>
      <w:r w:rsidRPr="00520861">
        <w:rPr>
          <w:rFonts w:eastAsiaTheme="minorHAnsi"/>
          <w:sz w:val="28"/>
          <w:szCs w:val="28"/>
          <w:lang w:eastAsia="en-US"/>
        </w:rPr>
        <w:t>, задля рівності умов також не враховувалася у подальшому розгляді.</w:t>
      </w:r>
    </w:p>
    <w:p w14:paraId="47E0EBFB" w14:textId="77777777" w:rsidR="002E3CE8" w:rsidRPr="00520861" w:rsidRDefault="002E3CE8" w:rsidP="00292D2E">
      <w:pPr>
        <w:widowControl w:val="0"/>
        <w:spacing w:line="360" w:lineRule="auto"/>
        <w:jc w:val="both"/>
        <w:rPr>
          <w:rFonts w:eastAsiaTheme="minorHAnsi"/>
          <w:bCs/>
          <w:sz w:val="28"/>
          <w:szCs w:val="28"/>
          <w:shd w:val="clear" w:color="auto" w:fill="C00000"/>
          <w:lang w:eastAsia="en-US"/>
        </w:rPr>
      </w:pPr>
    </w:p>
    <w:p w14:paraId="1AC9DC52" w14:textId="77777777" w:rsidR="002E3CE8" w:rsidRPr="00520861" w:rsidRDefault="002E3CE8" w:rsidP="00292D2E">
      <w:pPr>
        <w:widowControl w:val="0"/>
        <w:spacing w:line="360" w:lineRule="auto"/>
        <w:ind w:firstLine="709"/>
        <w:jc w:val="both"/>
        <w:rPr>
          <w:rFonts w:eastAsiaTheme="minorHAnsi"/>
          <w:bCs/>
          <w:sz w:val="28"/>
          <w:szCs w:val="28"/>
          <w:lang w:eastAsia="en-US"/>
        </w:rPr>
      </w:pPr>
      <w:r w:rsidRPr="00520861">
        <w:rPr>
          <w:rFonts w:eastAsiaTheme="minorHAnsi"/>
          <w:b/>
          <w:bCs/>
          <w:sz w:val="28"/>
          <w:szCs w:val="28"/>
          <w:lang w:eastAsia="en-US"/>
        </w:rPr>
        <w:t xml:space="preserve">5.2. Результати вивчення стану </w:t>
      </w:r>
      <w:proofErr w:type="spellStart"/>
      <w:r w:rsidRPr="00520861">
        <w:rPr>
          <w:rFonts w:eastAsiaTheme="minorHAnsi"/>
          <w:b/>
          <w:bCs/>
          <w:sz w:val="28"/>
          <w:szCs w:val="28"/>
          <w:lang w:eastAsia="en-US"/>
        </w:rPr>
        <w:t>стоматогнатичної</w:t>
      </w:r>
      <w:proofErr w:type="spellEnd"/>
      <w:r w:rsidRPr="00520861">
        <w:rPr>
          <w:rFonts w:eastAsiaTheme="minorHAnsi"/>
          <w:b/>
          <w:bCs/>
          <w:sz w:val="28"/>
          <w:szCs w:val="28"/>
          <w:lang w:eastAsia="en-US"/>
        </w:rPr>
        <w:t xml:space="preserve"> системи в </w:t>
      </w:r>
      <w:r w:rsidRPr="00520861">
        <w:rPr>
          <w:rFonts w:eastAsiaTheme="minorHAnsi"/>
          <w:b/>
          <w:bCs/>
          <w:sz w:val="28"/>
          <w:szCs w:val="28"/>
          <w:lang w:eastAsia="en-US"/>
        </w:rPr>
        <w:br/>
        <w:t xml:space="preserve">новонароджених та дітей першого року життя (ВП-І), які народилися </w:t>
      </w:r>
      <w:r w:rsidRPr="00520861">
        <w:rPr>
          <w:rFonts w:eastAsiaTheme="minorHAnsi"/>
          <w:b/>
          <w:bCs/>
          <w:sz w:val="28"/>
          <w:szCs w:val="28"/>
          <w:lang w:eastAsia="en-US"/>
        </w:rPr>
        <w:br/>
      </w:r>
      <w:proofErr w:type="spellStart"/>
      <w:r w:rsidRPr="00520861">
        <w:rPr>
          <w:rFonts w:eastAsiaTheme="minorHAnsi"/>
          <w:b/>
          <w:bCs/>
          <w:sz w:val="28"/>
          <w:szCs w:val="28"/>
          <w:lang w:eastAsia="en-US"/>
        </w:rPr>
        <w:t>макросомами</w:t>
      </w:r>
      <w:proofErr w:type="spellEnd"/>
      <w:r w:rsidRPr="00520861">
        <w:rPr>
          <w:rFonts w:eastAsiaTheme="minorHAnsi"/>
          <w:bCs/>
          <w:sz w:val="28"/>
          <w:szCs w:val="28"/>
          <w:lang w:eastAsia="en-US"/>
        </w:rPr>
        <w:t xml:space="preserve"> </w:t>
      </w:r>
    </w:p>
    <w:p w14:paraId="4D15EAFD" w14:textId="77777777" w:rsidR="002E3CE8" w:rsidRPr="00520861" w:rsidRDefault="002E3CE8" w:rsidP="00292D2E">
      <w:pPr>
        <w:widowControl w:val="0"/>
        <w:spacing w:line="360" w:lineRule="auto"/>
        <w:ind w:firstLine="709"/>
        <w:jc w:val="both"/>
        <w:rPr>
          <w:rFonts w:eastAsiaTheme="minorHAnsi"/>
          <w:bCs/>
          <w:sz w:val="28"/>
          <w:szCs w:val="28"/>
          <w:lang w:eastAsia="en-US"/>
        </w:rPr>
      </w:pPr>
    </w:p>
    <w:p w14:paraId="5CE4C466" w14:textId="77777777" w:rsidR="002E3CE8" w:rsidRPr="00520861" w:rsidRDefault="002E3CE8" w:rsidP="00292D2E">
      <w:pPr>
        <w:widowControl w:val="0"/>
        <w:spacing w:line="360" w:lineRule="auto"/>
        <w:ind w:firstLine="709"/>
        <w:jc w:val="both"/>
        <w:rPr>
          <w:rFonts w:eastAsiaTheme="minorHAnsi"/>
          <w:color w:val="000000"/>
          <w:sz w:val="28"/>
          <w:szCs w:val="28"/>
          <w:shd w:val="clear" w:color="auto" w:fill="FFFFFF"/>
          <w:lang w:eastAsia="en-US"/>
        </w:rPr>
      </w:pPr>
      <w:proofErr w:type="spellStart"/>
      <w:r w:rsidRPr="00520861">
        <w:rPr>
          <w:rFonts w:eastAsiaTheme="minorHAnsi"/>
          <w:color w:val="000000"/>
          <w:sz w:val="28"/>
          <w:szCs w:val="28"/>
          <w:shd w:val="clear" w:color="auto" w:fill="FFFFFF"/>
          <w:lang w:eastAsia="en-US"/>
        </w:rPr>
        <w:t>Макросоми</w:t>
      </w:r>
      <w:proofErr w:type="spellEnd"/>
      <w:r w:rsidRPr="00520861">
        <w:rPr>
          <w:rFonts w:eastAsiaTheme="minorHAnsi"/>
          <w:color w:val="000000"/>
          <w:sz w:val="28"/>
          <w:szCs w:val="28"/>
          <w:shd w:val="clear" w:color="auto" w:fill="FFFFFF"/>
          <w:lang w:eastAsia="en-US"/>
        </w:rPr>
        <w:t xml:space="preserve"> всіх підгруп у середньому мають вірогідну й суттєву (понад на 30%) перевагу в масі тіла при народженні в порівнянні з </w:t>
      </w:r>
      <w:proofErr w:type="spellStart"/>
      <w:r w:rsidRPr="00520861">
        <w:rPr>
          <w:rFonts w:eastAsiaTheme="minorHAnsi"/>
          <w:color w:val="000000"/>
          <w:sz w:val="28"/>
          <w:szCs w:val="28"/>
          <w:shd w:val="clear" w:color="auto" w:fill="FFFFFF"/>
          <w:lang w:eastAsia="en-US"/>
        </w:rPr>
        <w:t>нормосомами</w:t>
      </w:r>
      <w:proofErr w:type="spellEnd"/>
      <w:r w:rsidRPr="00520861">
        <w:rPr>
          <w:rFonts w:eastAsiaTheme="minorHAnsi"/>
          <w:color w:val="000000"/>
          <w:sz w:val="28"/>
          <w:szCs w:val="28"/>
          <w:shd w:val="clear" w:color="auto" w:fill="FFFFFF"/>
          <w:lang w:eastAsia="en-US"/>
        </w:rPr>
        <w:t xml:space="preserve"> </w:t>
      </w:r>
      <w:r w:rsidRPr="00520861">
        <w:rPr>
          <w:rFonts w:eastAsiaTheme="minorHAnsi"/>
          <w:color w:val="000000"/>
          <w:sz w:val="28"/>
          <w:szCs w:val="28"/>
          <w:shd w:val="clear" w:color="auto" w:fill="FFFFFF"/>
          <w:lang w:eastAsia="en-US"/>
        </w:rPr>
        <w:br/>
        <w:t xml:space="preserve">(табл. Б.1.7). Вірогідна перевага над </w:t>
      </w:r>
      <w:proofErr w:type="spellStart"/>
      <w:r w:rsidRPr="00520861">
        <w:rPr>
          <w:rFonts w:eastAsiaTheme="minorHAnsi"/>
          <w:color w:val="000000"/>
          <w:sz w:val="28"/>
          <w:szCs w:val="28"/>
          <w:shd w:val="clear" w:color="auto" w:fill="FFFFFF"/>
          <w:lang w:eastAsia="en-US"/>
        </w:rPr>
        <w:t>нормосомами</w:t>
      </w:r>
      <w:proofErr w:type="spellEnd"/>
      <w:r w:rsidRPr="00520861">
        <w:rPr>
          <w:rFonts w:eastAsiaTheme="minorHAnsi"/>
          <w:color w:val="000000"/>
          <w:sz w:val="28"/>
          <w:szCs w:val="28"/>
          <w:shd w:val="clear" w:color="auto" w:fill="FFFFFF"/>
          <w:lang w:eastAsia="en-US"/>
        </w:rPr>
        <w:t xml:space="preserve"> в осередненій довжині тіла при народженні має місце тільки для </w:t>
      </w:r>
      <w:proofErr w:type="spellStart"/>
      <w:r w:rsidRPr="00520861">
        <w:rPr>
          <w:rFonts w:eastAsiaTheme="minorHAnsi"/>
          <w:color w:val="000000"/>
          <w:sz w:val="28"/>
          <w:szCs w:val="28"/>
          <w:shd w:val="clear" w:color="auto" w:fill="FFFFFF"/>
          <w:lang w:eastAsia="en-US"/>
        </w:rPr>
        <w:t>макросомів</w:t>
      </w:r>
      <w:proofErr w:type="spellEnd"/>
      <w:r w:rsidRPr="00520861">
        <w:rPr>
          <w:rFonts w:eastAsiaTheme="minorHAnsi"/>
          <w:color w:val="000000"/>
          <w:sz w:val="28"/>
          <w:szCs w:val="28"/>
          <w:shd w:val="clear" w:color="auto" w:fill="FFFFFF"/>
          <w:lang w:eastAsia="en-US"/>
        </w:rPr>
        <w:t xml:space="preserve"> перших трьох підгруп (підгрупа 1 </w:t>
      </w:r>
      <w:r w:rsidRPr="00520861">
        <w:rPr>
          <w:rFonts w:eastAsiaTheme="minorHAnsi"/>
          <w:sz w:val="28"/>
          <w:szCs w:val="28"/>
          <w:lang w:eastAsia="en-US"/>
        </w:rPr>
        <w:sym w:font="Symbol" w:char="F02D"/>
      </w:r>
      <w:r w:rsidRPr="00520861">
        <w:rPr>
          <w:rFonts w:eastAsiaTheme="minorHAnsi"/>
          <w:sz w:val="28"/>
          <w:szCs w:val="28"/>
          <w:lang w:eastAsia="en-US"/>
        </w:rPr>
        <w:t xml:space="preserve"> 3</w:t>
      </w:r>
      <w:r w:rsidRPr="00520861">
        <w:rPr>
          <w:rFonts w:eastAsiaTheme="minorHAnsi"/>
          <w:color w:val="000000"/>
          <w:sz w:val="28"/>
          <w:szCs w:val="28"/>
          <w:shd w:val="clear" w:color="auto" w:fill="FFFFFF"/>
          <w:lang w:eastAsia="en-US"/>
        </w:rPr>
        <w:t xml:space="preserve">). </w:t>
      </w:r>
    </w:p>
    <w:p w14:paraId="4F4F6AC0" w14:textId="77777777" w:rsidR="002E3CE8" w:rsidRPr="00520861" w:rsidRDefault="002E3CE8" w:rsidP="00292D2E">
      <w:pPr>
        <w:widowControl w:val="0"/>
        <w:spacing w:line="360" w:lineRule="auto"/>
        <w:ind w:firstLine="709"/>
        <w:jc w:val="both"/>
        <w:rPr>
          <w:rFonts w:eastAsiaTheme="minorHAnsi"/>
          <w:color w:val="000000"/>
          <w:sz w:val="28"/>
          <w:szCs w:val="28"/>
          <w:shd w:val="clear" w:color="auto" w:fill="FFFFFF"/>
          <w:lang w:eastAsia="en-US"/>
        </w:rPr>
      </w:pPr>
      <w:r w:rsidRPr="00520861">
        <w:rPr>
          <w:rFonts w:eastAsiaTheme="minorHAnsi"/>
          <w:color w:val="000000"/>
          <w:sz w:val="28"/>
          <w:szCs w:val="28"/>
          <w:shd w:val="clear" w:color="auto" w:fill="FFFFFF"/>
          <w:lang w:eastAsia="en-US"/>
        </w:rPr>
        <w:t xml:space="preserve">У віці один рік вірогідних відмінностей між осередненими значеннями </w:t>
      </w:r>
      <w:r w:rsidRPr="00520861">
        <w:rPr>
          <w:rFonts w:eastAsiaTheme="minorHAnsi"/>
          <w:color w:val="000000"/>
          <w:sz w:val="28"/>
          <w:szCs w:val="28"/>
          <w:shd w:val="clear" w:color="auto" w:fill="FFFFFF"/>
          <w:lang w:eastAsia="en-US"/>
        </w:rPr>
        <w:br/>
        <w:t xml:space="preserve">індексів маси тіла </w:t>
      </w:r>
      <w:proofErr w:type="spellStart"/>
      <w:r w:rsidRPr="00520861">
        <w:rPr>
          <w:rFonts w:eastAsiaTheme="minorHAnsi"/>
          <w:color w:val="000000"/>
          <w:sz w:val="28"/>
          <w:szCs w:val="28"/>
          <w:shd w:val="clear" w:color="auto" w:fill="FFFFFF"/>
          <w:lang w:eastAsia="en-US"/>
        </w:rPr>
        <w:t>макросомів</w:t>
      </w:r>
      <w:proofErr w:type="spellEnd"/>
      <w:r w:rsidRPr="00520861">
        <w:rPr>
          <w:rFonts w:eastAsiaTheme="minorHAnsi"/>
          <w:color w:val="000000"/>
          <w:sz w:val="28"/>
          <w:szCs w:val="28"/>
          <w:shd w:val="clear" w:color="auto" w:fill="FFFFFF"/>
          <w:lang w:eastAsia="en-US"/>
        </w:rPr>
        <w:t xml:space="preserve"> і </w:t>
      </w:r>
      <w:proofErr w:type="spellStart"/>
      <w:r w:rsidRPr="00520861">
        <w:rPr>
          <w:rFonts w:eastAsiaTheme="minorHAnsi"/>
          <w:color w:val="000000"/>
          <w:sz w:val="28"/>
          <w:szCs w:val="28"/>
          <w:shd w:val="clear" w:color="auto" w:fill="FFFFFF"/>
          <w:lang w:eastAsia="en-US"/>
        </w:rPr>
        <w:t>нормосомів</w:t>
      </w:r>
      <w:proofErr w:type="spellEnd"/>
      <w:r w:rsidRPr="00520861">
        <w:rPr>
          <w:rFonts w:eastAsiaTheme="minorHAnsi"/>
          <w:color w:val="000000"/>
          <w:sz w:val="28"/>
          <w:szCs w:val="28"/>
          <w:shd w:val="clear" w:color="auto" w:fill="FFFFFF"/>
          <w:lang w:eastAsia="en-US"/>
        </w:rPr>
        <w:t xml:space="preserve"> не спостерігається. </w:t>
      </w:r>
    </w:p>
    <w:p w14:paraId="34BF1E98" w14:textId="77777777" w:rsidR="002E3CE8" w:rsidRPr="00520861" w:rsidRDefault="002E3CE8" w:rsidP="00292D2E">
      <w:pPr>
        <w:widowControl w:val="0"/>
        <w:spacing w:line="360" w:lineRule="auto"/>
        <w:ind w:firstLine="709"/>
        <w:jc w:val="both"/>
        <w:rPr>
          <w:rFonts w:eastAsiaTheme="minorHAnsi"/>
          <w:sz w:val="28"/>
          <w:szCs w:val="28"/>
          <w:shd w:val="clear" w:color="auto" w:fill="FFFFFF"/>
          <w:lang w:eastAsia="en-US"/>
        </w:rPr>
      </w:pPr>
      <w:r w:rsidRPr="00520861">
        <w:rPr>
          <w:rFonts w:eastAsiaTheme="minorHAnsi"/>
          <w:color w:val="000000"/>
          <w:sz w:val="28"/>
          <w:szCs w:val="28"/>
          <w:shd w:val="clear" w:color="auto" w:fill="FFFFFF"/>
          <w:lang w:eastAsia="en-US"/>
        </w:rPr>
        <w:t>При аналізі довжини тіла і маси тіла по пі</w:t>
      </w:r>
      <w:r w:rsidRPr="00520861">
        <w:rPr>
          <w:rFonts w:eastAsiaTheme="minorHAnsi"/>
          <w:sz w:val="28"/>
          <w:szCs w:val="28"/>
          <w:shd w:val="clear" w:color="auto" w:fill="FFFFFF"/>
          <w:lang w:eastAsia="en-US"/>
        </w:rPr>
        <w:t xml:space="preserve">дгрупах виявлена вірогідна різниця від ГП для підгрупи 1 і підгрупи 2. </w:t>
      </w:r>
    </w:p>
    <w:p w14:paraId="230574B4"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При первинному обстеженні патологію </w:t>
      </w:r>
      <w:proofErr w:type="spellStart"/>
      <w:r w:rsidRPr="00520861">
        <w:rPr>
          <w:rFonts w:eastAsiaTheme="minorHAnsi"/>
          <w:sz w:val="28"/>
          <w:szCs w:val="28"/>
          <w:lang w:eastAsia="en-US"/>
        </w:rPr>
        <w:t>краніо</w:t>
      </w:r>
      <w:proofErr w:type="spellEnd"/>
      <w:r w:rsidRPr="00520861">
        <w:rPr>
          <w:rFonts w:eastAsiaTheme="minorHAnsi"/>
          <w:sz w:val="28"/>
          <w:szCs w:val="28"/>
          <w:lang w:eastAsia="en-US"/>
        </w:rPr>
        <w:t xml:space="preserve">-фаціального комплексу було виявлено у 56 (53,8% ДІ: 44,7% </w:t>
      </w:r>
      <w:r w:rsidRPr="00520861">
        <w:rPr>
          <w:rFonts w:eastAsiaTheme="minorHAnsi"/>
          <w:sz w:val="28"/>
          <w:szCs w:val="28"/>
          <w:lang w:eastAsia="en-US"/>
        </w:rPr>
        <w:sym w:font="Symbol" w:char="F02D"/>
      </w:r>
      <w:r w:rsidRPr="00520861">
        <w:rPr>
          <w:rFonts w:eastAsiaTheme="minorHAnsi"/>
          <w:sz w:val="28"/>
          <w:szCs w:val="28"/>
          <w:lang w:eastAsia="en-US"/>
        </w:rPr>
        <w:t xml:space="preserve"> 62,8%) дітей ОГ та у 17 (24,6% ДІ: 16,3% </w:t>
      </w:r>
      <w:r w:rsidRPr="00520861">
        <w:rPr>
          <w:rFonts w:eastAsiaTheme="minorHAnsi"/>
          <w:sz w:val="28"/>
          <w:szCs w:val="28"/>
          <w:lang w:eastAsia="en-US"/>
        </w:rPr>
        <w:sym w:font="Symbol" w:char="F02D"/>
      </w:r>
      <w:r w:rsidRPr="00520861">
        <w:rPr>
          <w:rFonts w:eastAsiaTheme="minorHAnsi"/>
          <w:sz w:val="28"/>
          <w:szCs w:val="28"/>
          <w:lang w:eastAsia="en-US"/>
        </w:rPr>
        <w:t xml:space="preserve"> 34,9%) дітей ГП, що в узагальненому вигляді представлено у табл. 5.1. </w:t>
      </w:r>
    </w:p>
    <w:p w14:paraId="235ADBCF" w14:textId="77777777" w:rsidR="002E3CE8" w:rsidRPr="00520861" w:rsidRDefault="002E3CE8" w:rsidP="00292D2E">
      <w:pPr>
        <w:widowControl w:val="0"/>
        <w:spacing w:line="360" w:lineRule="auto"/>
        <w:ind w:firstLine="709"/>
        <w:jc w:val="both"/>
        <w:rPr>
          <w:sz w:val="28"/>
          <w:szCs w:val="28"/>
        </w:rPr>
      </w:pPr>
      <w:r w:rsidRPr="00520861">
        <w:rPr>
          <w:sz w:val="28"/>
          <w:szCs w:val="28"/>
        </w:rPr>
        <w:t xml:space="preserve">Черепно-лицева </w:t>
      </w:r>
      <w:proofErr w:type="spellStart"/>
      <w:r w:rsidRPr="00520861">
        <w:rPr>
          <w:sz w:val="28"/>
          <w:szCs w:val="28"/>
        </w:rPr>
        <w:t>дизморфія</w:t>
      </w:r>
      <w:proofErr w:type="spellEnd"/>
      <w:r w:rsidRPr="00520861">
        <w:rPr>
          <w:sz w:val="28"/>
          <w:szCs w:val="28"/>
        </w:rPr>
        <w:t xml:space="preserve"> (рис. 5.1</w:t>
      </w:r>
      <w:r w:rsidRPr="00520861">
        <w:rPr>
          <w:i/>
          <w:sz w:val="28"/>
          <w:szCs w:val="28"/>
        </w:rPr>
        <w:t>а</w:t>
      </w:r>
      <w:r w:rsidRPr="00520861">
        <w:rPr>
          <w:sz w:val="28"/>
          <w:szCs w:val="28"/>
        </w:rPr>
        <w:t xml:space="preserve">) спостерігалася у 3 (2,9%) дітей ОГ та однієї дитини (1,4%) ГП. </w:t>
      </w:r>
      <w:proofErr w:type="spellStart"/>
      <w:r w:rsidRPr="00520861">
        <w:rPr>
          <w:rFonts w:eastAsiaTheme="minorHAnsi"/>
          <w:sz w:val="28"/>
          <w:szCs w:val="28"/>
          <w:lang w:eastAsia="en-US"/>
        </w:rPr>
        <w:t>Преаурикулярні</w:t>
      </w:r>
      <w:proofErr w:type="spellEnd"/>
      <w:r w:rsidRPr="00520861">
        <w:rPr>
          <w:rFonts w:eastAsiaTheme="minorHAnsi"/>
          <w:sz w:val="28"/>
          <w:szCs w:val="28"/>
          <w:lang w:eastAsia="en-US"/>
        </w:rPr>
        <w:t xml:space="preserve"> відростки спостерігалися у 2 (1,9%) дітей ОГ. </w:t>
      </w:r>
      <w:r w:rsidRPr="00520861">
        <w:rPr>
          <w:rFonts w:eastAsia="Calibri"/>
          <w:sz w:val="28"/>
          <w:szCs w:val="28"/>
          <w:lang w:eastAsia="en-US"/>
        </w:rPr>
        <w:t xml:space="preserve">У двох (1,9%) дітей ОГ та трьох (4,3%) дітей ГП було виявлене різко скошене </w:t>
      </w:r>
      <w:r w:rsidR="008349E6" w:rsidRPr="00520861">
        <w:rPr>
          <w:rFonts w:eastAsia="Calibri"/>
          <w:sz w:val="28"/>
          <w:szCs w:val="28"/>
          <w:lang w:eastAsia="en-US"/>
        </w:rPr>
        <w:br/>
      </w:r>
      <w:proofErr w:type="spellStart"/>
      <w:r w:rsidRPr="00520861">
        <w:rPr>
          <w:rFonts w:eastAsia="Calibri"/>
          <w:sz w:val="28"/>
          <w:szCs w:val="28"/>
          <w:lang w:eastAsia="en-US"/>
        </w:rPr>
        <w:t>дистально</w:t>
      </w:r>
      <w:proofErr w:type="spellEnd"/>
      <w:r w:rsidRPr="00520861">
        <w:rPr>
          <w:rFonts w:eastAsia="Calibri"/>
          <w:sz w:val="28"/>
          <w:szCs w:val="28"/>
          <w:lang w:eastAsia="en-US"/>
        </w:rPr>
        <w:t xml:space="preserve"> підборіддя (рис. 5.1</w:t>
      </w:r>
      <w:r w:rsidRPr="00520861">
        <w:rPr>
          <w:rFonts w:eastAsia="Calibri"/>
          <w:i/>
          <w:sz w:val="28"/>
          <w:szCs w:val="28"/>
          <w:lang w:eastAsia="en-US"/>
        </w:rPr>
        <w:t>б</w:t>
      </w:r>
      <w:r w:rsidRPr="00520861">
        <w:rPr>
          <w:rFonts w:eastAsia="Calibri"/>
          <w:sz w:val="28"/>
          <w:szCs w:val="28"/>
          <w:lang w:eastAsia="en-US"/>
        </w:rPr>
        <w:t xml:space="preserve">). </w:t>
      </w:r>
    </w:p>
    <w:p w14:paraId="6FAF5370"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двох дітей (3,9%) підгрупи 1 виявлене несиметричне розташування вуздечки верхньої губи щодо серединної площини обличчя (рис. 5.2). </w:t>
      </w:r>
    </w:p>
    <w:p w14:paraId="3420D537"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В одного новонародженого (2,0%) із підгрупи 1 та одного (5,6%) із підгрупи 2 верхні альвеолярні відростки (ясенні валики) виявилися не паралельними </w:t>
      </w:r>
      <w:r w:rsidRPr="00520861">
        <w:rPr>
          <w:rFonts w:eastAsiaTheme="minorHAnsi"/>
          <w:sz w:val="28"/>
          <w:szCs w:val="28"/>
          <w:lang w:eastAsia="en-US"/>
        </w:rPr>
        <w:br/>
        <w:t xml:space="preserve">горизонтальній площині. В однієї дитини підгрупи 3 (5,6%) було виявлено </w:t>
      </w:r>
      <w:proofErr w:type="spellStart"/>
      <w:r w:rsidRPr="00520861">
        <w:rPr>
          <w:rFonts w:eastAsiaTheme="minorHAnsi"/>
          <w:sz w:val="28"/>
          <w:szCs w:val="28"/>
          <w:lang w:eastAsia="en-US"/>
        </w:rPr>
        <w:t>мікростомію</w:t>
      </w:r>
      <w:proofErr w:type="spellEnd"/>
      <w:r w:rsidRPr="00520861">
        <w:rPr>
          <w:rFonts w:eastAsiaTheme="minorHAnsi"/>
          <w:sz w:val="28"/>
          <w:szCs w:val="28"/>
          <w:lang w:eastAsia="en-US"/>
        </w:rPr>
        <w:t xml:space="preserve"> </w:t>
      </w:r>
      <w:r w:rsidRPr="00520861">
        <w:rPr>
          <w:rFonts w:eastAsia="Calibri"/>
          <w:sz w:val="28"/>
          <w:szCs w:val="28"/>
          <w:lang w:eastAsia="en-US"/>
        </w:rPr>
        <w:t>(</w:t>
      </w:r>
      <w:r w:rsidRPr="00520861">
        <w:rPr>
          <w:rFonts w:eastAsiaTheme="minorHAnsi"/>
          <w:sz w:val="28"/>
          <w:szCs w:val="28"/>
          <w:lang w:eastAsia="en-US"/>
        </w:rPr>
        <w:t>рис. 5.3).</w:t>
      </w:r>
    </w:p>
    <w:p w14:paraId="6AA07D9D" w14:textId="77777777" w:rsidR="002E3CE8" w:rsidRPr="00520861" w:rsidRDefault="002E3CE8" w:rsidP="00292D2E">
      <w:pPr>
        <w:widowControl w:val="0"/>
        <w:spacing w:line="360" w:lineRule="auto"/>
        <w:ind w:firstLine="708"/>
        <w:jc w:val="center"/>
        <w:rPr>
          <w:sz w:val="28"/>
          <w:szCs w:val="28"/>
        </w:rPr>
        <w:sectPr w:rsidR="002E3CE8" w:rsidRPr="00520861" w:rsidSect="008704FC">
          <w:headerReference w:type="default" r:id="rId52"/>
          <w:pgSz w:w="11906" w:h="16838"/>
          <w:pgMar w:top="1134" w:right="624" w:bottom="1134" w:left="1134" w:header="709" w:footer="709" w:gutter="0"/>
          <w:pgNumType w:start="198"/>
          <w:cols w:space="708"/>
          <w:docGrid w:linePitch="360"/>
        </w:sectPr>
      </w:pPr>
    </w:p>
    <w:p w14:paraId="29FFD9B0" w14:textId="77777777" w:rsidR="002E3CE8" w:rsidRPr="00520861" w:rsidRDefault="002E3CE8" w:rsidP="00292D2E">
      <w:pPr>
        <w:widowControl w:val="0"/>
        <w:spacing w:line="360" w:lineRule="auto"/>
        <w:jc w:val="right"/>
        <w:rPr>
          <w:i/>
          <w:sz w:val="28"/>
          <w:szCs w:val="28"/>
        </w:rPr>
      </w:pPr>
      <w:r w:rsidRPr="00520861">
        <w:rPr>
          <w:i/>
          <w:sz w:val="28"/>
          <w:szCs w:val="28"/>
        </w:rPr>
        <w:lastRenderedPageBreak/>
        <w:t>Таблиця 5.1</w:t>
      </w:r>
    </w:p>
    <w:p w14:paraId="574EECC2" w14:textId="77777777" w:rsidR="002E3CE8" w:rsidRPr="00520861" w:rsidRDefault="002E3CE8" w:rsidP="00292D2E">
      <w:pPr>
        <w:widowControl w:val="0"/>
        <w:shd w:val="clear" w:color="auto" w:fill="FFFFFF"/>
        <w:spacing w:line="360" w:lineRule="auto"/>
        <w:ind w:firstLine="709"/>
        <w:jc w:val="center"/>
        <w:rPr>
          <w:b/>
          <w:sz w:val="28"/>
          <w:szCs w:val="28"/>
        </w:rPr>
      </w:pPr>
      <w:r w:rsidRPr="00520861">
        <w:rPr>
          <w:b/>
          <w:sz w:val="28"/>
          <w:szCs w:val="28"/>
        </w:rPr>
        <w:t xml:space="preserve">Зведені відомості про наявність патології </w:t>
      </w:r>
      <w:proofErr w:type="spellStart"/>
      <w:r w:rsidRPr="00520861">
        <w:rPr>
          <w:b/>
          <w:sz w:val="28"/>
          <w:szCs w:val="28"/>
        </w:rPr>
        <w:t>краніо</w:t>
      </w:r>
      <w:proofErr w:type="spellEnd"/>
      <w:r w:rsidRPr="00520861">
        <w:rPr>
          <w:b/>
          <w:sz w:val="28"/>
          <w:szCs w:val="28"/>
        </w:rPr>
        <w:t>-фаціального комплексу (</w:t>
      </w:r>
      <w:r w:rsidRPr="00520861">
        <w:rPr>
          <w:rFonts w:eastAsia="Calibri"/>
          <w:b/>
          <w:color w:val="000000"/>
          <w:sz w:val="28"/>
          <w:szCs w:val="28"/>
          <w:lang w:eastAsia="en-US"/>
        </w:rPr>
        <w:t>кількість випадків; % та 95% ДІ</w:t>
      </w:r>
      <w:r w:rsidRPr="00520861">
        <w:rPr>
          <w:b/>
          <w:sz w:val="28"/>
          <w:szCs w:val="28"/>
        </w:rPr>
        <w:t>) в дітей</w:t>
      </w:r>
      <w:r w:rsidRPr="00520861">
        <w:rPr>
          <w:rFonts w:eastAsia="Calibri"/>
          <w:b/>
          <w:color w:val="000000"/>
          <w:sz w:val="28"/>
          <w:szCs w:val="28"/>
          <w:lang w:eastAsia="en-US"/>
        </w:rPr>
        <w:t xml:space="preserve"> </w:t>
      </w:r>
      <w:r w:rsidRPr="00520861">
        <w:rPr>
          <w:b/>
          <w:sz w:val="28"/>
          <w:szCs w:val="28"/>
        </w:rPr>
        <w:t>групи порівняння, основної групи та підгруп на момент народження (ВП-I)</w:t>
      </w:r>
    </w:p>
    <w:tbl>
      <w:tblPr>
        <w:tblStyle w:val="330"/>
        <w:tblpPr w:leftFromText="180" w:rightFromText="180" w:vertAnchor="text" w:horzAnchor="margin" w:tblpXSpec="center" w:tblpY="221"/>
        <w:tblW w:w="13858" w:type="dxa"/>
        <w:tblLayout w:type="fixed"/>
        <w:tblLook w:val="04A0" w:firstRow="1" w:lastRow="0" w:firstColumn="1" w:lastColumn="0" w:noHBand="0" w:noVBand="1"/>
      </w:tblPr>
      <w:tblGrid>
        <w:gridCol w:w="1946"/>
        <w:gridCol w:w="992"/>
        <w:gridCol w:w="993"/>
        <w:gridCol w:w="993"/>
        <w:gridCol w:w="992"/>
        <w:gridCol w:w="993"/>
        <w:gridCol w:w="993"/>
        <w:gridCol w:w="992"/>
        <w:gridCol w:w="993"/>
        <w:gridCol w:w="993"/>
        <w:gridCol w:w="992"/>
        <w:gridCol w:w="993"/>
        <w:gridCol w:w="993"/>
      </w:tblGrid>
      <w:tr w:rsidR="002E3CE8" w:rsidRPr="00520861" w14:paraId="1AFCEDE4" w14:textId="77777777" w:rsidTr="00292D2E">
        <w:tc>
          <w:tcPr>
            <w:tcW w:w="1946" w:type="dxa"/>
          </w:tcPr>
          <w:p w14:paraId="09DDB4AF" w14:textId="77777777" w:rsidR="002E3CE8" w:rsidRPr="00520861" w:rsidRDefault="002E3CE8" w:rsidP="00292D2E">
            <w:pPr>
              <w:widowControl w:val="0"/>
              <w:spacing w:line="360" w:lineRule="auto"/>
              <w:ind w:hanging="142"/>
              <w:jc w:val="center"/>
              <w:rPr>
                <w:rFonts w:eastAsia="Calibri"/>
                <w:sz w:val="28"/>
                <w:szCs w:val="28"/>
              </w:rPr>
            </w:pPr>
            <w:r w:rsidRPr="00520861">
              <w:rPr>
                <w:rFonts w:eastAsia="Calibri"/>
                <w:sz w:val="28"/>
                <w:szCs w:val="28"/>
              </w:rPr>
              <w:t xml:space="preserve">Група, </w:t>
            </w:r>
          </w:p>
          <w:p w14:paraId="196947C3" w14:textId="77777777" w:rsidR="002E3CE8" w:rsidRPr="00520861" w:rsidRDefault="002E3CE8" w:rsidP="00292D2E">
            <w:pPr>
              <w:widowControl w:val="0"/>
              <w:spacing w:line="360" w:lineRule="auto"/>
              <w:ind w:hanging="142"/>
              <w:jc w:val="center"/>
              <w:rPr>
                <w:rFonts w:eastAsia="Calibri"/>
                <w:sz w:val="28"/>
                <w:szCs w:val="28"/>
              </w:rPr>
            </w:pPr>
            <w:r w:rsidRPr="00520861">
              <w:rPr>
                <w:rFonts w:eastAsia="Calibri"/>
                <w:sz w:val="28"/>
                <w:szCs w:val="28"/>
              </w:rPr>
              <w:t xml:space="preserve">підгрупа </w:t>
            </w:r>
          </w:p>
        </w:tc>
        <w:tc>
          <w:tcPr>
            <w:tcW w:w="1985" w:type="dxa"/>
            <w:gridSpan w:val="2"/>
          </w:tcPr>
          <w:p w14:paraId="76F2C16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ГП</w:t>
            </w:r>
          </w:p>
        </w:tc>
        <w:tc>
          <w:tcPr>
            <w:tcW w:w="1985" w:type="dxa"/>
            <w:gridSpan w:val="2"/>
          </w:tcPr>
          <w:p w14:paraId="59F37EA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ОГ</w:t>
            </w:r>
          </w:p>
        </w:tc>
        <w:tc>
          <w:tcPr>
            <w:tcW w:w="1986" w:type="dxa"/>
            <w:gridSpan w:val="2"/>
          </w:tcPr>
          <w:p w14:paraId="6D4E1FC9" w14:textId="77777777" w:rsidR="002E3CE8" w:rsidRPr="00520861" w:rsidRDefault="002E3CE8" w:rsidP="00292D2E">
            <w:pPr>
              <w:widowControl w:val="0"/>
              <w:spacing w:line="360" w:lineRule="auto"/>
              <w:jc w:val="center"/>
              <w:rPr>
                <w:sz w:val="28"/>
                <w:szCs w:val="28"/>
              </w:rPr>
            </w:pPr>
            <w:r w:rsidRPr="00520861">
              <w:rPr>
                <w:sz w:val="28"/>
                <w:szCs w:val="28"/>
              </w:rPr>
              <w:t xml:space="preserve">Підгрупа </w:t>
            </w:r>
          </w:p>
          <w:p w14:paraId="6926436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w:t>
            </w:r>
          </w:p>
        </w:tc>
        <w:tc>
          <w:tcPr>
            <w:tcW w:w="1985" w:type="dxa"/>
            <w:gridSpan w:val="2"/>
          </w:tcPr>
          <w:p w14:paraId="7BF58B87" w14:textId="77777777" w:rsidR="002E3CE8" w:rsidRPr="00520861" w:rsidRDefault="002E3CE8" w:rsidP="00292D2E">
            <w:pPr>
              <w:widowControl w:val="0"/>
              <w:spacing w:line="360" w:lineRule="auto"/>
              <w:jc w:val="center"/>
              <w:rPr>
                <w:sz w:val="28"/>
                <w:szCs w:val="28"/>
              </w:rPr>
            </w:pPr>
            <w:r w:rsidRPr="00520861">
              <w:rPr>
                <w:sz w:val="28"/>
                <w:szCs w:val="28"/>
              </w:rPr>
              <w:t xml:space="preserve">Підгрупа </w:t>
            </w:r>
          </w:p>
          <w:p w14:paraId="15F6BF9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w:t>
            </w:r>
          </w:p>
        </w:tc>
        <w:tc>
          <w:tcPr>
            <w:tcW w:w="1985" w:type="dxa"/>
            <w:gridSpan w:val="2"/>
          </w:tcPr>
          <w:p w14:paraId="361FEB87" w14:textId="77777777" w:rsidR="002E3CE8" w:rsidRPr="00520861" w:rsidRDefault="002E3CE8" w:rsidP="00292D2E">
            <w:pPr>
              <w:widowControl w:val="0"/>
              <w:spacing w:line="360" w:lineRule="auto"/>
              <w:jc w:val="center"/>
              <w:rPr>
                <w:sz w:val="28"/>
                <w:szCs w:val="28"/>
              </w:rPr>
            </w:pPr>
            <w:r w:rsidRPr="00520861">
              <w:rPr>
                <w:sz w:val="28"/>
                <w:szCs w:val="28"/>
              </w:rPr>
              <w:t xml:space="preserve">Підгрупа </w:t>
            </w:r>
          </w:p>
          <w:p w14:paraId="019B695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w:t>
            </w:r>
          </w:p>
        </w:tc>
        <w:tc>
          <w:tcPr>
            <w:tcW w:w="1986" w:type="dxa"/>
            <w:gridSpan w:val="2"/>
            <w:shd w:val="clear" w:color="auto" w:fill="auto"/>
          </w:tcPr>
          <w:p w14:paraId="42242902" w14:textId="77777777" w:rsidR="002E3CE8" w:rsidRPr="00520861" w:rsidRDefault="002E3CE8" w:rsidP="00292D2E">
            <w:pPr>
              <w:widowControl w:val="0"/>
              <w:spacing w:line="360" w:lineRule="auto"/>
              <w:jc w:val="center"/>
              <w:rPr>
                <w:sz w:val="28"/>
                <w:szCs w:val="28"/>
              </w:rPr>
            </w:pPr>
            <w:r w:rsidRPr="00520861">
              <w:rPr>
                <w:sz w:val="28"/>
                <w:szCs w:val="28"/>
              </w:rPr>
              <w:t xml:space="preserve">Підгрупа </w:t>
            </w:r>
          </w:p>
          <w:p w14:paraId="004610B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w:t>
            </w:r>
          </w:p>
        </w:tc>
      </w:tr>
      <w:tr w:rsidR="002E3CE8" w:rsidRPr="00520861" w14:paraId="77AB766C" w14:textId="77777777" w:rsidTr="00292D2E">
        <w:tc>
          <w:tcPr>
            <w:tcW w:w="1946" w:type="dxa"/>
          </w:tcPr>
          <w:p w14:paraId="743F056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Стать</w:t>
            </w:r>
          </w:p>
          <w:p w14:paraId="30BEB31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 (кількість</w:t>
            </w:r>
          </w:p>
          <w:p w14:paraId="1EE8F9E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 дітей)</w:t>
            </w:r>
          </w:p>
        </w:tc>
        <w:tc>
          <w:tcPr>
            <w:tcW w:w="992" w:type="dxa"/>
          </w:tcPr>
          <w:p w14:paraId="6AC710F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Хлопчики</w:t>
            </w:r>
          </w:p>
          <w:p w14:paraId="71E3BB7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(39)</w:t>
            </w:r>
          </w:p>
        </w:tc>
        <w:tc>
          <w:tcPr>
            <w:tcW w:w="993" w:type="dxa"/>
          </w:tcPr>
          <w:p w14:paraId="489B79F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Дівчатка</w:t>
            </w:r>
          </w:p>
          <w:p w14:paraId="0FA268A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(30)</w:t>
            </w:r>
          </w:p>
        </w:tc>
        <w:tc>
          <w:tcPr>
            <w:tcW w:w="993" w:type="dxa"/>
          </w:tcPr>
          <w:p w14:paraId="6494739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Хлопчики</w:t>
            </w:r>
          </w:p>
          <w:p w14:paraId="2E22CA1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(63)</w:t>
            </w:r>
          </w:p>
        </w:tc>
        <w:tc>
          <w:tcPr>
            <w:tcW w:w="992" w:type="dxa"/>
          </w:tcPr>
          <w:p w14:paraId="07B069B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Дівчатка</w:t>
            </w:r>
          </w:p>
          <w:p w14:paraId="15D5622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(41)</w:t>
            </w:r>
          </w:p>
        </w:tc>
        <w:tc>
          <w:tcPr>
            <w:tcW w:w="993" w:type="dxa"/>
          </w:tcPr>
          <w:p w14:paraId="3622907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Хлопчики</w:t>
            </w:r>
          </w:p>
          <w:p w14:paraId="670CDE1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(34)</w:t>
            </w:r>
          </w:p>
        </w:tc>
        <w:tc>
          <w:tcPr>
            <w:tcW w:w="993" w:type="dxa"/>
          </w:tcPr>
          <w:p w14:paraId="73B1601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Дівчатка</w:t>
            </w:r>
          </w:p>
          <w:p w14:paraId="76C11C1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(17)</w:t>
            </w:r>
          </w:p>
        </w:tc>
        <w:tc>
          <w:tcPr>
            <w:tcW w:w="992" w:type="dxa"/>
          </w:tcPr>
          <w:p w14:paraId="69606DC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Хлопчики</w:t>
            </w:r>
          </w:p>
          <w:p w14:paraId="33617FF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(12)</w:t>
            </w:r>
          </w:p>
        </w:tc>
        <w:tc>
          <w:tcPr>
            <w:tcW w:w="993" w:type="dxa"/>
          </w:tcPr>
          <w:p w14:paraId="3E779B9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Дівчатка</w:t>
            </w:r>
          </w:p>
          <w:p w14:paraId="0D99072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(6)</w:t>
            </w:r>
          </w:p>
        </w:tc>
        <w:tc>
          <w:tcPr>
            <w:tcW w:w="993" w:type="dxa"/>
          </w:tcPr>
          <w:p w14:paraId="42B3994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Хлопчики</w:t>
            </w:r>
          </w:p>
          <w:p w14:paraId="7F0C81F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(10)</w:t>
            </w:r>
          </w:p>
        </w:tc>
        <w:tc>
          <w:tcPr>
            <w:tcW w:w="992" w:type="dxa"/>
          </w:tcPr>
          <w:p w14:paraId="1DE3225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Дівчатка</w:t>
            </w:r>
          </w:p>
          <w:p w14:paraId="2DA9719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(8)</w:t>
            </w:r>
          </w:p>
        </w:tc>
        <w:tc>
          <w:tcPr>
            <w:tcW w:w="993" w:type="dxa"/>
          </w:tcPr>
          <w:p w14:paraId="5877B61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Хлопчики</w:t>
            </w:r>
          </w:p>
          <w:p w14:paraId="0390D94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(7)</w:t>
            </w:r>
          </w:p>
        </w:tc>
        <w:tc>
          <w:tcPr>
            <w:tcW w:w="993" w:type="dxa"/>
          </w:tcPr>
          <w:p w14:paraId="66EC8BF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Дівчатка</w:t>
            </w:r>
          </w:p>
          <w:p w14:paraId="1BC1DF9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(10)</w:t>
            </w:r>
          </w:p>
        </w:tc>
      </w:tr>
      <w:tr w:rsidR="002E3CE8" w:rsidRPr="00520861" w14:paraId="2C41DD6F" w14:textId="77777777" w:rsidTr="00292D2E">
        <w:tc>
          <w:tcPr>
            <w:tcW w:w="1946" w:type="dxa"/>
          </w:tcPr>
          <w:p w14:paraId="07EB13E2" w14:textId="77777777" w:rsidR="002E3CE8" w:rsidRPr="00520861" w:rsidRDefault="002E3CE8" w:rsidP="00292D2E">
            <w:pPr>
              <w:widowControl w:val="0"/>
              <w:spacing w:line="360" w:lineRule="auto"/>
              <w:ind w:left="-142" w:right="-113" w:hanging="142"/>
              <w:jc w:val="center"/>
              <w:rPr>
                <w:rFonts w:eastAsia="Calibri"/>
                <w:spacing w:val="-8"/>
                <w:sz w:val="28"/>
                <w:szCs w:val="28"/>
              </w:rPr>
            </w:pPr>
            <w:r w:rsidRPr="00520861">
              <w:rPr>
                <w:rFonts w:eastAsia="Calibri"/>
                <w:spacing w:val="-8"/>
                <w:sz w:val="28"/>
                <w:szCs w:val="28"/>
              </w:rPr>
              <w:t>1</w:t>
            </w:r>
          </w:p>
        </w:tc>
        <w:tc>
          <w:tcPr>
            <w:tcW w:w="992" w:type="dxa"/>
          </w:tcPr>
          <w:p w14:paraId="6066885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w:t>
            </w:r>
          </w:p>
        </w:tc>
        <w:tc>
          <w:tcPr>
            <w:tcW w:w="993" w:type="dxa"/>
          </w:tcPr>
          <w:p w14:paraId="58883C4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w:t>
            </w:r>
          </w:p>
        </w:tc>
        <w:tc>
          <w:tcPr>
            <w:tcW w:w="993" w:type="dxa"/>
          </w:tcPr>
          <w:p w14:paraId="7D7D5A1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4</w:t>
            </w:r>
          </w:p>
        </w:tc>
        <w:tc>
          <w:tcPr>
            <w:tcW w:w="992" w:type="dxa"/>
          </w:tcPr>
          <w:p w14:paraId="4CF7011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w:t>
            </w:r>
          </w:p>
        </w:tc>
        <w:tc>
          <w:tcPr>
            <w:tcW w:w="993" w:type="dxa"/>
          </w:tcPr>
          <w:p w14:paraId="3AF0F72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6</w:t>
            </w:r>
          </w:p>
        </w:tc>
        <w:tc>
          <w:tcPr>
            <w:tcW w:w="993" w:type="dxa"/>
          </w:tcPr>
          <w:p w14:paraId="4946E81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7</w:t>
            </w:r>
          </w:p>
        </w:tc>
        <w:tc>
          <w:tcPr>
            <w:tcW w:w="992" w:type="dxa"/>
          </w:tcPr>
          <w:p w14:paraId="404382E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8</w:t>
            </w:r>
          </w:p>
        </w:tc>
        <w:tc>
          <w:tcPr>
            <w:tcW w:w="993" w:type="dxa"/>
          </w:tcPr>
          <w:p w14:paraId="790237C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9</w:t>
            </w:r>
          </w:p>
        </w:tc>
        <w:tc>
          <w:tcPr>
            <w:tcW w:w="993" w:type="dxa"/>
          </w:tcPr>
          <w:p w14:paraId="6523A9C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10</w:t>
            </w:r>
          </w:p>
        </w:tc>
        <w:tc>
          <w:tcPr>
            <w:tcW w:w="992" w:type="dxa"/>
          </w:tcPr>
          <w:p w14:paraId="243556A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11</w:t>
            </w:r>
          </w:p>
        </w:tc>
        <w:tc>
          <w:tcPr>
            <w:tcW w:w="993" w:type="dxa"/>
          </w:tcPr>
          <w:p w14:paraId="2D4A9F0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12</w:t>
            </w:r>
          </w:p>
        </w:tc>
        <w:tc>
          <w:tcPr>
            <w:tcW w:w="993" w:type="dxa"/>
          </w:tcPr>
          <w:p w14:paraId="22C2F51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13</w:t>
            </w:r>
          </w:p>
        </w:tc>
      </w:tr>
      <w:tr w:rsidR="002E3CE8" w:rsidRPr="00520861" w14:paraId="37D56CA6" w14:textId="77777777" w:rsidTr="00292D2E">
        <w:tc>
          <w:tcPr>
            <w:tcW w:w="1946" w:type="dxa"/>
          </w:tcPr>
          <w:p w14:paraId="75D8AFE1" w14:textId="77777777" w:rsidR="002E3CE8" w:rsidRPr="00520861" w:rsidRDefault="002E3CE8" w:rsidP="00292D2E">
            <w:pPr>
              <w:widowControl w:val="0"/>
              <w:spacing w:line="360" w:lineRule="auto"/>
              <w:ind w:left="-142" w:right="-113"/>
              <w:jc w:val="center"/>
              <w:rPr>
                <w:spacing w:val="-8"/>
                <w:sz w:val="28"/>
                <w:szCs w:val="28"/>
              </w:rPr>
            </w:pPr>
            <w:r w:rsidRPr="00520861">
              <w:rPr>
                <w:rFonts w:eastAsia="Calibri"/>
                <w:spacing w:val="-8"/>
                <w:sz w:val="28"/>
                <w:szCs w:val="28"/>
              </w:rPr>
              <w:t>Кількість уроджених вад вуха, обличчя; їх %</w:t>
            </w:r>
          </w:p>
        </w:tc>
        <w:tc>
          <w:tcPr>
            <w:tcW w:w="992" w:type="dxa"/>
          </w:tcPr>
          <w:p w14:paraId="14E052A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 0,0%</w:t>
            </w:r>
          </w:p>
          <w:p w14:paraId="7CCFE40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9,0%</w:t>
            </w:r>
          </w:p>
        </w:tc>
        <w:tc>
          <w:tcPr>
            <w:tcW w:w="993" w:type="dxa"/>
          </w:tcPr>
          <w:p w14:paraId="4E6CAB9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 3,3%</w:t>
            </w:r>
          </w:p>
          <w:p w14:paraId="39FF132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0,8% – 11,6%</w:t>
            </w:r>
          </w:p>
        </w:tc>
        <w:tc>
          <w:tcPr>
            <w:tcW w:w="993" w:type="dxa"/>
          </w:tcPr>
          <w:p w14:paraId="098D7B9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4; 6,3% </w:t>
            </w:r>
          </w:p>
          <w:p w14:paraId="13CBC001"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2,6% – 13,3%</w:t>
            </w:r>
          </w:p>
        </w:tc>
        <w:tc>
          <w:tcPr>
            <w:tcW w:w="992" w:type="dxa"/>
          </w:tcPr>
          <w:p w14:paraId="0A919FE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 2,9%</w:t>
            </w:r>
          </w:p>
          <w:p w14:paraId="0FB0744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0,7% – 10,0%</w:t>
            </w:r>
          </w:p>
        </w:tc>
        <w:tc>
          <w:tcPr>
            <w:tcW w:w="993" w:type="dxa"/>
          </w:tcPr>
          <w:p w14:paraId="7F6A92D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2; 5,9% </w:t>
            </w:r>
          </w:p>
          <w:p w14:paraId="368F953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1,9% – 15,3%</w:t>
            </w:r>
          </w:p>
        </w:tc>
        <w:tc>
          <w:tcPr>
            <w:tcW w:w="993" w:type="dxa"/>
          </w:tcPr>
          <w:p w14:paraId="3D5C8D3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1; 5,9% </w:t>
            </w:r>
          </w:p>
          <w:p w14:paraId="22A1505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 1,5% –19,5%</w:t>
            </w:r>
          </w:p>
        </w:tc>
        <w:tc>
          <w:tcPr>
            <w:tcW w:w="992" w:type="dxa"/>
          </w:tcPr>
          <w:p w14:paraId="2193F4A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1; 8,3% </w:t>
            </w:r>
          </w:p>
          <w:p w14:paraId="441D2C0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 2,1% –26,5%</w:t>
            </w:r>
          </w:p>
        </w:tc>
        <w:tc>
          <w:tcPr>
            <w:tcW w:w="993" w:type="dxa"/>
          </w:tcPr>
          <w:p w14:paraId="2E2E79A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0,0% </w:t>
            </w:r>
          </w:p>
          <w:p w14:paraId="47FD101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–45,9%</w:t>
            </w:r>
          </w:p>
        </w:tc>
        <w:tc>
          <w:tcPr>
            <w:tcW w:w="993" w:type="dxa"/>
          </w:tcPr>
          <w:p w14:paraId="525E62A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1; 10% </w:t>
            </w:r>
          </w:p>
          <w:p w14:paraId="09FC3C0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2,5% –30,8%</w:t>
            </w:r>
          </w:p>
        </w:tc>
        <w:tc>
          <w:tcPr>
            <w:tcW w:w="992" w:type="dxa"/>
          </w:tcPr>
          <w:p w14:paraId="2C9870D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 0,0%</w:t>
            </w:r>
          </w:p>
          <w:p w14:paraId="6F2E228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36,9%</w:t>
            </w:r>
          </w:p>
        </w:tc>
        <w:tc>
          <w:tcPr>
            <w:tcW w:w="993" w:type="dxa"/>
          </w:tcPr>
          <w:p w14:paraId="57EF6BE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0,0% </w:t>
            </w:r>
          </w:p>
          <w:p w14:paraId="170AAB0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60,2%</w:t>
            </w:r>
          </w:p>
        </w:tc>
        <w:tc>
          <w:tcPr>
            <w:tcW w:w="993" w:type="dxa"/>
          </w:tcPr>
          <w:p w14:paraId="0F4FCA91"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 0,0%</w:t>
            </w:r>
          </w:p>
          <w:p w14:paraId="031AD7C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30,8%</w:t>
            </w:r>
          </w:p>
        </w:tc>
      </w:tr>
      <w:tr w:rsidR="002E3CE8" w:rsidRPr="00520861" w14:paraId="484BC0E6" w14:textId="77777777" w:rsidTr="00292D2E">
        <w:trPr>
          <w:trHeight w:val="200"/>
        </w:trPr>
        <w:tc>
          <w:tcPr>
            <w:tcW w:w="1946" w:type="dxa"/>
          </w:tcPr>
          <w:p w14:paraId="11B5F759" w14:textId="77777777" w:rsidR="002E3CE8" w:rsidRPr="00520861" w:rsidRDefault="002E3CE8" w:rsidP="00292D2E">
            <w:pPr>
              <w:widowControl w:val="0"/>
              <w:spacing w:line="360" w:lineRule="auto"/>
              <w:ind w:left="-108" w:right="-108" w:hanging="34"/>
              <w:jc w:val="center"/>
              <w:rPr>
                <w:rFonts w:eastAsia="Calibri"/>
                <w:sz w:val="28"/>
                <w:szCs w:val="28"/>
              </w:rPr>
            </w:pPr>
            <w:r w:rsidRPr="00520861">
              <w:rPr>
                <w:rFonts w:eastAsia="Calibri"/>
                <w:sz w:val="28"/>
                <w:szCs w:val="28"/>
              </w:rPr>
              <w:t xml:space="preserve">Кількість випадків </w:t>
            </w:r>
            <w:proofErr w:type="spellStart"/>
            <w:r w:rsidRPr="00520861">
              <w:rPr>
                <w:rFonts w:eastAsia="Calibri"/>
                <w:sz w:val="28"/>
                <w:szCs w:val="28"/>
              </w:rPr>
              <w:t>анкілоглосії</w:t>
            </w:r>
            <w:proofErr w:type="spellEnd"/>
            <w:r w:rsidRPr="00520861">
              <w:rPr>
                <w:rFonts w:eastAsia="Calibri"/>
                <w:sz w:val="28"/>
                <w:szCs w:val="28"/>
              </w:rPr>
              <w:t xml:space="preserve">; </w:t>
            </w:r>
          </w:p>
          <w:p w14:paraId="0CDED00D" w14:textId="77777777" w:rsidR="002E3CE8" w:rsidRPr="00520861" w:rsidRDefault="002E3CE8" w:rsidP="00292D2E">
            <w:pPr>
              <w:widowControl w:val="0"/>
              <w:spacing w:line="360" w:lineRule="auto"/>
              <w:ind w:left="-108" w:right="-108" w:hanging="34"/>
              <w:jc w:val="center"/>
              <w:rPr>
                <w:rFonts w:eastAsia="Calibri"/>
                <w:sz w:val="28"/>
                <w:szCs w:val="28"/>
              </w:rPr>
            </w:pPr>
            <w:r w:rsidRPr="00520861">
              <w:rPr>
                <w:rFonts w:eastAsia="Calibri"/>
                <w:sz w:val="28"/>
                <w:szCs w:val="28"/>
              </w:rPr>
              <w:t>їхній %</w:t>
            </w:r>
          </w:p>
        </w:tc>
        <w:tc>
          <w:tcPr>
            <w:tcW w:w="992" w:type="dxa"/>
          </w:tcPr>
          <w:p w14:paraId="5AE0377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6; 15,4%</w:t>
            </w:r>
          </w:p>
          <w:p w14:paraId="66BCF20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7,5% –27,4%</w:t>
            </w:r>
          </w:p>
        </w:tc>
        <w:tc>
          <w:tcPr>
            <w:tcW w:w="993" w:type="dxa"/>
          </w:tcPr>
          <w:p w14:paraId="799CCA0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 16,7%</w:t>
            </w:r>
          </w:p>
          <w:p w14:paraId="0F00760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7,7% – 30,7%</w:t>
            </w:r>
          </w:p>
        </w:tc>
        <w:tc>
          <w:tcPr>
            <w:tcW w:w="993" w:type="dxa"/>
          </w:tcPr>
          <w:p w14:paraId="1FBD60A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21; 33,3%</w:t>
            </w:r>
          </w:p>
          <w:p w14:paraId="3F32E78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23,3% –44,7%</w:t>
            </w:r>
          </w:p>
        </w:tc>
        <w:tc>
          <w:tcPr>
            <w:tcW w:w="992" w:type="dxa"/>
          </w:tcPr>
          <w:p w14:paraId="1EE7EFB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21; 51,2%*</w:t>
            </w:r>
          </w:p>
          <w:p w14:paraId="42E5287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37,4% –64,9%</w:t>
            </w:r>
          </w:p>
        </w:tc>
        <w:tc>
          <w:tcPr>
            <w:tcW w:w="993" w:type="dxa"/>
          </w:tcPr>
          <w:p w14:paraId="6C4EFC6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10; 29,4%</w:t>
            </w:r>
          </w:p>
          <w:p w14:paraId="2D36EA91"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17,4% –44,4%</w:t>
            </w:r>
          </w:p>
        </w:tc>
        <w:tc>
          <w:tcPr>
            <w:tcW w:w="993" w:type="dxa"/>
          </w:tcPr>
          <w:p w14:paraId="2ED1980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9; 52,9%*</w:t>
            </w:r>
          </w:p>
          <w:p w14:paraId="39C1950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32,9% –72,2%</w:t>
            </w:r>
          </w:p>
        </w:tc>
        <w:tc>
          <w:tcPr>
            <w:tcW w:w="992" w:type="dxa"/>
          </w:tcPr>
          <w:p w14:paraId="527F745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6; 50,0%*</w:t>
            </w:r>
          </w:p>
          <w:p w14:paraId="7E9E903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27,7% – 72,3%</w:t>
            </w:r>
          </w:p>
        </w:tc>
        <w:tc>
          <w:tcPr>
            <w:tcW w:w="993" w:type="dxa"/>
          </w:tcPr>
          <w:p w14:paraId="24101FD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 33,3%</w:t>
            </w:r>
          </w:p>
          <w:p w14:paraId="19A2776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11,8% –64,1%</w:t>
            </w:r>
          </w:p>
        </w:tc>
        <w:tc>
          <w:tcPr>
            <w:tcW w:w="993" w:type="dxa"/>
          </w:tcPr>
          <w:p w14:paraId="08CBDE1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 30,0%</w:t>
            </w:r>
          </w:p>
          <w:p w14:paraId="10142E9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12,2% –55,6%</w:t>
            </w:r>
          </w:p>
        </w:tc>
        <w:tc>
          <w:tcPr>
            <w:tcW w:w="992" w:type="dxa"/>
          </w:tcPr>
          <w:p w14:paraId="714C119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 62,5%*</w:t>
            </w:r>
          </w:p>
          <w:p w14:paraId="0E4C040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34,9% –84,3%</w:t>
            </w:r>
          </w:p>
        </w:tc>
        <w:tc>
          <w:tcPr>
            <w:tcW w:w="993" w:type="dxa"/>
          </w:tcPr>
          <w:p w14:paraId="15428A1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 28,6%</w:t>
            </w:r>
          </w:p>
          <w:p w14:paraId="34B81AC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9,9% – 57,9%</w:t>
            </w:r>
          </w:p>
        </w:tc>
        <w:tc>
          <w:tcPr>
            <w:tcW w:w="993" w:type="dxa"/>
          </w:tcPr>
          <w:p w14:paraId="15E8F5C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 50,0%</w:t>
            </w:r>
          </w:p>
          <w:p w14:paraId="25299BD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26,2% –73,8%</w:t>
            </w:r>
          </w:p>
        </w:tc>
      </w:tr>
      <w:tr w:rsidR="002E3CE8" w:rsidRPr="00520861" w14:paraId="13CCC988" w14:textId="77777777" w:rsidTr="00292D2E">
        <w:trPr>
          <w:trHeight w:val="547"/>
        </w:trPr>
        <w:tc>
          <w:tcPr>
            <w:tcW w:w="1946" w:type="dxa"/>
            <w:tcBorders>
              <w:bottom w:val="single" w:sz="4" w:space="0" w:color="auto"/>
            </w:tcBorders>
          </w:tcPr>
          <w:p w14:paraId="1D3409D4" w14:textId="77777777" w:rsidR="002E3CE8" w:rsidRPr="00520861" w:rsidRDefault="002E3CE8" w:rsidP="00292D2E">
            <w:pPr>
              <w:widowControl w:val="0"/>
              <w:spacing w:line="360" w:lineRule="auto"/>
              <w:ind w:left="-142" w:right="-113"/>
              <w:jc w:val="center"/>
              <w:rPr>
                <w:rFonts w:eastAsia="Calibri"/>
                <w:sz w:val="28"/>
                <w:szCs w:val="28"/>
              </w:rPr>
            </w:pPr>
            <w:r w:rsidRPr="00520861">
              <w:rPr>
                <w:rFonts w:eastAsia="Calibri"/>
                <w:sz w:val="28"/>
                <w:szCs w:val="28"/>
              </w:rPr>
              <w:t>Кількість аномалій вуздечки верхньої губи; їхній %</w:t>
            </w:r>
          </w:p>
        </w:tc>
        <w:tc>
          <w:tcPr>
            <w:tcW w:w="992" w:type="dxa"/>
            <w:tcBorders>
              <w:bottom w:val="single" w:sz="4" w:space="0" w:color="auto"/>
            </w:tcBorders>
          </w:tcPr>
          <w:p w14:paraId="7069CE6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2; </w:t>
            </w:r>
          </w:p>
          <w:p w14:paraId="2620FF3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5,1% </w:t>
            </w:r>
          </w:p>
          <w:p w14:paraId="5AEBD61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1,6% – 13,5%</w:t>
            </w:r>
          </w:p>
        </w:tc>
        <w:tc>
          <w:tcPr>
            <w:tcW w:w="993" w:type="dxa"/>
            <w:tcBorders>
              <w:bottom w:val="single" w:sz="4" w:space="0" w:color="auto"/>
            </w:tcBorders>
          </w:tcPr>
          <w:p w14:paraId="24812CE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 10,0%</w:t>
            </w:r>
          </w:p>
          <w:p w14:paraId="0AA3D5F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3,8% – 22,1%</w:t>
            </w:r>
          </w:p>
        </w:tc>
        <w:tc>
          <w:tcPr>
            <w:tcW w:w="993" w:type="dxa"/>
            <w:tcBorders>
              <w:bottom w:val="single" w:sz="4" w:space="0" w:color="auto"/>
            </w:tcBorders>
          </w:tcPr>
          <w:p w14:paraId="4A53FB8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15; 23,8%*</w:t>
            </w:r>
          </w:p>
          <w:p w14:paraId="12E48C76" w14:textId="77777777" w:rsidR="002E3CE8" w:rsidRPr="00520861" w:rsidRDefault="002E3CE8" w:rsidP="00292D2E">
            <w:pPr>
              <w:widowControl w:val="0"/>
              <w:spacing w:line="360" w:lineRule="auto"/>
              <w:ind w:left="-108" w:right="-108" w:hanging="3"/>
              <w:jc w:val="center"/>
              <w:rPr>
                <w:rFonts w:eastAsia="Calibri"/>
                <w:sz w:val="28"/>
                <w:szCs w:val="28"/>
              </w:rPr>
            </w:pPr>
            <w:r w:rsidRPr="00520861">
              <w:rPr>
                <w:rFonts w:eastAsia="Calibri"/>
                <w:sz w:val="28"/>
                <w:szCs w:val="28"/>
              </w:rPr>
              <w:t>15,3% –34,5%</w:t>
            </w:r>
          </w:p>
        </w:tc>
        <w:tc>
          <w:tcPr>
            <w:tcW w:w="992" w:type="dxa"/>
            <w:tcBorders>
              <w:bottom w:val="single" w:sz="4" w:space="0" w:color="auto"/>
            </w:tcBorders>
          </w:tcPr>
          <w:p w14:paraId="64ED435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17; 41,5%*</w:t>
            </w:r>
          </w:p>
          <w:p w14:paraId="7D3E1EF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28,5% –55,5%</w:t>
            </w:r>
          </w:p>
        </w:tc>
        <w:tc>
          <w:tcPr>
            <w:tcW w:w="993" w:type="dxa"/>
            <w:tcBorders>
              <w:bottom w:val="single" w:sz="4" w:space="0" w:color="auto"/>
            </w:tcBorders>
          </w:tcPr>
          <w:p w14:paraId="53372EA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8; 23,5%</w:t>
            </w:r>
          </w:p>
          <w:p w14:paraId="070530E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12,9% –37,9%</w:t>
            </w:r>
          </w:p>
        </w:tc>
        <w:tc>
          <w:tcPr>
            <w:tcW w:w="993" w:type="dxa"/>
            <w:tcBorders>
              <w:bottom w:val="single" w:sz="4" w:space="0" w:color="auto"/>
            </w:tcBorders>
          </w:tcPr>
          <w:p w14:paraId="6D31FA4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9; 52,9%*</w:t>
            </w:r>
          </w:p>
          <w:p w14:paraId="315ACF3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32,9% –72,2%</w:t>
            </w:r>
          </w:p>
        </w:tc>
        <w:tc>
          <w:tcPr>
            <w:tcW w:w="992" w:type="dxa"/>
            <w:tcBorders>
              <w:bottom w:val="single" w:sz="4" w:space="0" w:color="auto"/>
            </w:tcBorders>
          </w:tcPr>
          <w:p w14:paraId="03CBE94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 41,7%*</w:t>
            </w:r>
          </w:p>
          <w:p w14:paraId="40C0945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21,1% –65,1%</w:t>
            </w:r>
          </w:p>
        </w:tc>
        <w:tc>
          <w:tcPr>
            <w:tcW w:w="993" w:type="dxa"/>
            <w:tcBorders>
              <w:bottom w:val="single" w:sz="4" w:space="0" w:color="auto"/>
            </w:tcBorders>
          </w:tcPr>
          <w:p w14:paraId="3707C81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 33,3%</w:t>
            </w:r>
          </w:p>
          <w:p w14:paraId="4094D9B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11,8% –64,1%</w:t>
            </w:r>
          </w:p>
        </w:tc>
        <w:tc>
          <w:tcPr>
            <w:tcW w:w="993" w:type="dxa"/>
            <w:tcBorders>
              <w:bottom w:val="single" w:sz="4" w:space="0" w:color="auto"/>
            </w:tcBorders>
          </w:tcPr>
          <w:p w14:paraId="297087B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 20,0%</w:t>
            </w:r>
          </w:p>
          <w:p w14:paraId="5D13293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6,7% – 44,5%</w:t>
            </w:r>
          </w:p>
        </w:tc>
        <w:tc>
          <w:tcPr>
            <w:tcW w:w="992" w:type="dxa"/>
            <w:tcBorders>
              <w:bottom w:val="single" w:sz="4" w:space="0" w:color="auto"/>
            </w:tcBorders>
          </w:tcPr>
          <w:p w14:paraId="4321ADA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 37,5%</w:t>
            </w:r>
          </w:p>
          <w:p w14:paraId="7E0FA4C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15,7% –65,1%</w:t>
            </w:r>
          </w:p>
        </w:tc>
        <w:tc>
          <w:tcPr>
            <w:tcW w:w="993" w:type="dxa"/>
            <w:tcBorders>
              <w:bottom w:val="single" w:sz="4" w:space="0" w:color="auto"/>
            </w:tcBorders>
          </w:tcPr>
          <w:p w14:paraId="393045B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0BEF9A4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0,0% </w:t>
            </w:r>
          </w:p>
          <w:p w14:paraId="01FF82D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60,2%</w:t>
            </w:r>
          </w:p>
        </w:tc>
        <w:tc>
          <w:tcPr>
            <w:tcW w:w="993" w:type="dxa"/>
            <w:tcBorders>
              <w:bottom w:val="single" w:sz="4" w:space="0" w:color="auto"/>
            </w:tcBorders>
          </w:tcPr>
          <w:p w14:paraId="424B708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 30,0%</w:t>
            </w:r>
          </w:p>
          <w:p w14:paraId="6328157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12,2% –55,6%</w:t>
            </w:r>
          </w:p>
        </w:tc>
      </w:tr>
    </w:tbl>
    <w:p w14:paraId="325C2293" w14:textId="77777777" w:rsidR="002E3CE8" w:rsidRPr="00520861" w:rsidRDefault="002E3CE8" w:rsidP="00292D2E">
      <w:pPr>
        <w:widowControl w:val="0"/>
        <w:tabs>
          <w:tab w:val="left" w:pos="540"/>
        </w:tabs>
        <w:jc w:val="right"/>
        <w:rPr>
          <w:i/>
          <w:sz w:val="28"/>
          <w:szCs w:val="28"/>
        </w:rPr>
      </w:pPr>
      <w:r w:rsidRPr="00520861">
        <w:rPr>
          <w:i/>
          <w:sz w:val="28"/>
          <w:szCs w:val="28"/>
        </w:rPr>
        <w:lastRenderedPageBreak/>
        <w:t>Продовження таблиці 5.1</w:t>
      </w:r>
    </w:p>
    <w:tbl>
      <w:tblPr>
        <w:tblStyle w:val="330"/>
        <w:tblpPr w:leftFromText="180" w:rightFromText="180" w:vertAnchor="text" w:horzAnchor="margin" w:tblpXSpec="center" w:tblpY="221"/>
        <w:tblW w:w="13952" w:type="dxa"/>
        <w:tblLayout w:type="fixed"/>
        <w:tblLook w:val="04A0" w:firstRow="1" w:lastRow="0" w:firstColumn="1" w:lastColumn="0" w:noHBand="0" w:noVBand="1"/>
      </w:tblPr>
      <w:tblGrid>
        <w:gridCol w:w="1951"/>
        <w:gridCol w:w="1000"/>
        <w:gridCol w:w="1000"/>
        <w:gridCol w:w="1000"/>
        <w:gridCol w:w="1000"/>
        <w:gridCol w:w="1000"/>
        <w:gridCol w:w="1000"/>
        <w:gridCol w:w="1000"/>
        <w:gridCol w:w="1000"/>
        <w:gridCol w:w="1000"/>
        <w:gridCol w:w="1000"/>
        <w:gridCol w:w="1000"/>
        <w:gridCol w:w="1001"/>
      </w:tblGrid>
      <w:tr w:rsidR="002E3CE8" w:rsidRPr="00520861" w14:paraId="55C333A4" w14:textId="77777777" w:rsidTr="00292D2E">
        <w:trPr>
          <w:trHeight w:val="200"/>
        </w:trPr>
        <w:tc>
          <w:tcPr>
            <w:tcW w:w="1951" w:type="dxa"/>
          </w:tcPr>
          <w:p w14:paraId="13A735C6" w14:textId="77777777" w:rsidR="002E3CE8" w:rsidRPr="00520861" w:rsidRDefault="002E3CE8" w:rsidP="00292D2E">
            <w:pPr>
              <w:widowControl w:val="0"/>
              <w:spacing w:line="360" w:lineRule="auto"/>
              <w:ind w:left="-108" w:right="-108" w:firstLine="108"/>
              <w:jc w:val="center"/>
              <w:rPr>
                <w:rFonts w:eastAsia="Calibri"/>
                <w:sz w:val="28"/>
                <w:szCs w:val="28"/>
              </w:rPr>
            </w:pPr>
            <w:r w:rsidRPr="00520861">
              <w:rPr>
                <w:rFonts w:eastAsia="Calibri"/>
                <w:sz w:val="28"/>
                <w:szCs w:val="28"/>
              </w:rPr>
              <w:t>1</w:t>
            </w:r>
          </w:p>
        </w:tc>
        <w:tc>
          <w:tcPr>
            <w:tcW w:w="1000" w:type="dxa"/>
          </w:tcPr>
          <w:p w14:paraId="10C6B4A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w:t>
            </w:r>
          </w:p>
        </w:tc>
        <w:tc>
          <w:tcPr>
            <w:tcW w:w="1000" w:type="dxa"/>
          </w:tcPr>
          <w:p w14:paraId="320CA48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w:t>
            </w:r>
          </w:p>
        </w:tc>
        <w:tc>
          <w:tcPr>
            <w:tcW w:w="1000" w:type="dxa"/>
          </w:tcPr>
          <w:p w14:paraId="2A10F50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4</w:t>
            </w:r>
          </w:p>
        </w:tc>
        <w:tc>
          <w:tcPr>
            <w:tcW w:w="1000" w:type="dxa"/>
          </w:tcPr>
          <w:p w14:paraId="6794346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w:t>
            </w:r>
          </w:p>
        </w:tc>
        <w:tc>
          <w:tcPr>
            <w:tcW w:w="1000" w:type="dxa"/>
          </w:tcPr>
          <w:p w14:paraId="3BAA413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6</w:t>
            </w:r>
          </w:p>
        </w:tc>
        <w:tc>
          <w:tcPr>
            <w:tcW w:w="1000" w:type="dxa"/>
          </w:tcPr>
          <w:p w14:paraId="0D95660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7</w:t>
            </w:r>
          </w:p>
        </w:tc>
        <w:tc>
          <w:tcPr>
            <w:tcW w:w="1000" w:type="dxa"/>
          </w:tcPr>
          <w:p w14:paraId="3777DC1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8</w:t>
            </w:r>
          </w:p>
        </w:tc>
        <w:tc>
          <w:tcPr>
            <w:tcW w:w="1000" w:type="dxa"/>
          </w:tcPr>
          <w:p w14:paraId="0C43CF2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9</w:t>
            </w:r>
          </w:p>
        </w:tc>
        <w:tc>
          <w:tcPr>
            <w:tcW w:w="1000" w:type="dxa"/>
          </w:tcPr>
          <w:p w14:paraId="206FC33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10</w:t>
            </w:r>
          </w:p>
        </w:tc>
        <w:tc>
          <w:tcPr>
            <w:tcW w:w="1000" w:type="dxa"/>
          </w:tcPr>
          <w:p w14:paraId="7AA20FD1"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11</w:t>
            </w:r>
          </w:p>
        </w:tc>
        <w:tc>
          <w:tcPr>
            <w:tcW w:w="1000" w:type="dxa"/>
          </w:tcPr>
          <w:p w14:paraId="3645AD2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12</w:t>
            </w:r>
          </w:p>
        </w:tc>
        <w:tc>
          <w:tcPr>
            <w:tcW w:w="1001" w:type="dxa"/>
          </w:tcPr>
          <w:p w14:paraId="2A107E1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13</w:t>
            </w:r>
          </w:p>
        </w:tc>
      </w:tr>
      <w:tr w:rsidR="002E3CE8" w:rsidRPr="00520861" w14:paraId="6795677E" w14:textId="77777777" w:rsidTr="00292D2E">
        <w:trPr>
          <w:trHeight w:val="200"/>
        </w:trPr>
        <w:tc>
          <w:tcPr>
            <w:tcW w:w="1951" w:type="dxa"/>
          </w:tcPr>
          <w:p w14:paraId="3CA10640" w14:textId="77777777" w:rsidR="002E3CE8" w:rsidRPr="00520861" w:rsidRDefault="002E3CE8" w:rsidP="00292D2E">
            <w:pPr>
              <w:widowControl w:val="0"/>
              <w:spacing w:line="360" w:lineRule="auto"/>
              <w:ind w:right="-113"/>
              <w:jc w:val="center"/>
              <w:rPr>
                <w:rFonts w:eastAsia="Calibri"/>
                <w:spacing w:val="-8"/>
                <w:sz w:val="28"/>
                <w:szCs w:val="28"/>
              </w:rPr>
            </w:pPr>
            <w:r w:rsidRPr="00520861">
              <w:rPr>
                <w:rFonts w:eastAsia="Calibri"/>
                <w:sz w:val="28"/>
                <w:szCs w:val="28"/>
              </w:rPr>
              <w:t>Кількість випадків «</w:t>
            </w:r>
            <w:r w:rsidRPr="00520861">
              <w:rPr>
                <w:rFonts w:eastAsia="Calibri"/>
                <w:spacing w:val="8"/>
                <w:sz w:val="28"/>
                <w:szCs w:val="28"/>
              </w:rPr>
              <w:t>готичного»</w:t>
            </w:r>
            <w:r w:rsidRPr="00520861">
              <w:rPr>
                <w:rFonts w:eastAsia="Calibri"/>
                <w:sz w:val="28"/>
                <w:szCs w:val="28"/>
              </w:rPr>
              <w:t xml:space="preserve"> піднебіння; їхній %</w:t>
            </w:r>
          </w:p>
        </w:tc>
        <w:tc>
          <w:tcPr>
            <w:tcW w:w="1000" w:type="dxa"/>
          </w:tcPr>
          <w:p w14:paraId="08799FC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3; </w:t>
            </w:r>
          </w:p>
          <w:p w14:paraId="3CF2E5D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7,7% </w:t>
            </w:r>
          </w:p>
          <w:p w14:paraId="4D6929F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2,9% – 17,3%</w:t>
            </w:r>
          </w:p>
        </w:tc>
        <w:tc>
          <w:tcPr>
            <w:tcW w:w="1000" w:type="dxa"/>
          </w:tcPr>
          <w:p w14:paraId="567B20E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 16,7%</w:t>
            </w:r>
          </w:p>
          <w:p w14:paraId="4CA903C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7,7% – 30,7%</w:t>
            </w:r>
          </w:p>
        </w:tc>
        <w:tc>
          <w:tcPr>
            <w:tcW w:w="1000" w:type="dxa"/>
          </w:tcPr>
          <w:p w14:paraId="0B037B7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5; </w:t>
            </w:r>
          </w:p>
          <w:p w14:paraId="1FA402E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7,9% </w:t>
            </w:r>
          </w:p>
          <w:p w14:paraId="720F679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3,6% – 15,5%</w:t>
            </w:r>
          </w:p>
        </w:tc>
        <w:tc>
          <w:tcPr>
            <w:tcW w:w="1000" w:type="dxa"/>
          </w:tcPr>
          <w:p w14:paraId="54064E1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7; 17,1%</w:t>
            </w:r>
          </w:p>
          <w:p w14:paraId="10EDDB3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8,8% – 29,2%</w:t>
            </w:r>
          </w:p>
        </w:tc>
        <w:tc>
          <w:tcPr>
            <w:tcW w:w="1000" w:type="dxa"/>
          </w:tcPr>
          <w:p w14:paraId="0FFE815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4; 11,8%</w:t>
            </w:r>
          </w:p>
          <w:p w14:paraId="31B4328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5,0% – 23,7%</w:t>
            </w:r>
          </w:p>
        </w:tc>
        <w:tc>
          <w:tcPr>
            <w:tcW w:w="1000" w:type="dxa"/>
          </w:tcPr>
          <w:p w14:paraId="69035C0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 11,8%</w:t>
            </w:r>
          </w:p>
          <w:p w14:paraId="40EE637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3,8% – 28,7%</w:t>
            </w:r>
          </w:p>
        </w:tc>
        <w:tc>
          <w:tcPr>
            <w:tcW w:w="1000" w:type="dxa"/>
          </w:tcPr>
          <w:p w14:paraId="146AADC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1; </w:t>
            </w:r>
          </w:p>
          <w:p w14:paraId="5B99E4E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8,3% </w:t>
            </w:r>
          </w:p>
          <w:p w14:paraId="39EED5B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 2,1% –26,5%</w:t>
            </w:r>
          </w:p>
        </w:tc>
        <w:tc>
          <w:tcPr>
            <w:tcW w:w="1000" w:type="dxa"/>
          </w:tcPr>
          <w:p w14:paraId="1A8ACED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 16,7%</w:t>
            </w:r>
          </w:p>
          <w:p w14:paraId="5A2DC86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4,3% – 45,9%</w:t>
            </w:r>
          </w:p>
        </w:tc>
        <w:tc>
          <w:tcPr>
            <w:tcW w:w="1000" w:type="dxa"/>
          </w:tcPr>
          <w:p w14:paraId="296DD70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75DF2FE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0E3DEDF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30,8%</w:t>
            </w:r>
          </w:p>
        </w:tc>
        <w:tc>
          <w:tcPr>
            <w:tcW w:w="1000" w:type="dxa"/>
          </w:tcPr>
          <w:p w14:paraId="78DEDAF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 12,5%</w:t>
            </w:r>
          </w:p>
          <w:p w14:paraId="1884404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3,2% – 36,9%</w:t>
            </w:r>
          </w:p>
        </w:tc>
        <w:tc>
          <w:tcPr>
            <w:tcW w:w="1000" w:type="dxa"/>
          </w:tcPr>
          <w:p w14:paraId="24A3B7E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37D2919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0,0% </w:t>
            </w:r>
          </w:p>
          <w:p w14:paraId="242795E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60,2%</w:t>
            </w:r>
          </w:p>
        </w:tc>
        <w:tc>
          <w:tcPr>
            <w:tcW w:w="1001" w:type="dxa"/>
          </w:tcPr>
          <w:p w14:paraId="1DADE50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 30,0%</w:t>
            </w:r>
          </w:p>
          <w:p w14:paraId="3337326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12,2% –55,6%</w:t>
            </w:r>
          </w:p>
        </w:tc>
      </w:tr>
      <w:tr w:rsidR="002E3CE8" w:rsidRPr="00520861" w14:paraId="153D51D9" w14:textId="77777777" w:rsidTr="00292D2E">
        <w:trPr>
          <w:trHeight w:val="200"/>
        </w:trPr>
        <w:tc>
          <w:tcPr>
            <w:tcW w:w="1951" w:type="dxa"/>
          </w:tcPr>
          <w:p w14:paraId="69B030F3" w14:textId="77777777" w:rsidR="002E3CE8" w:rsidRPr="00520861" w:rsidRDefault="002E3CE8" w:rsidP="00292D2E">
            <w:pPr>
              <w:widowControl w:val="0"/>
              <w:spacing w:line="360" w:lineRule="auto"/>
              <w:ind w:left="-142" w:right="-113"/>
              <w:jc w:val="center"/>
              <w:rPr>
                <w:rFonts w:eastAsia="Calibri"/>
                <w:spacing w:val="-8"/>
                <w:sz w:val="28"/>
                <w:szCs w:val="28"/>
              </w:rPr>
            </w:pPr>
            <w:r w:rsidRPr="00520861">
              <w:rPr>
                <w:rFonts w:eastAsia="Calibri"/>
                <w:spacing w:val="-8"/>
                <w:sz w:val="28"/>
                <w:szCs w:val="28"/>
              </w:rPr>
              <w:t>Кількість випадків аномалій розвитку щелеп, їхній</w:t>
            </w:r>
            <w:r w:rsidR="00611A5B" w:rsidRPr="00520861">
              <w:rPr>
                <w:rFonts w:eastAsia="Calibri"/>
                <w:spacing w:val="-8"/>
                <w:sz w:val="28"/>
                <w:szCs w:val="28"/>
              </w:rPr>
              <w:t>%</w:t>
            </w:r>
          </w:p>
        </w:tc>
        <w:tc>
          <w:tcPr>
            <w:tcW w:w="1000" w:type="dxa"/>
          </w:tcPr>
          <w:p w14:paraId="2752D4DD"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2FBCDC0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7B52E0A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9,0%</w:t>
            </w:r>
          </w:p>
        </w:tc>
        <w:tc>
          <w:tcPr>
            <w:tcW w:w="1000" w:type="dxa"/>
          </w:tcPr>
          <w:p w14:paraId="358118C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 10,0%</w:t>
            </w:r>
          </w:p>
          <w:p w14:paraId="34A1118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3,8% – 22,1%</w:t>
            </w:r>
          </w:p>
        </w:tc>
        <w:tc>
          <w:tcPr>
            <w:tcW w:w="1000" w:type="dxa"/>
          </w:tcPr>
          <w:p w14:paraId="2229D2C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2; </w:t>
            </w:r>
          </w:p>
          <w:p w14:paraId="39876C9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3,2%</w:t>
            </w:r>
          </w:p>
          <w:p w14:paraId="1B5CB57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 1,0% – 8,5%</w:t>
            </w:r>
          </w:p>
        </w:tc>
        <w:tc>
          <w:tcPr>
            <w:tcW w:w="1000" w:type="dxa"/>
          </w:tcPr>
          <w:p w14:paraId="4EAA785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0; </w:t>
            </w:r>
          </w:p>
          <w:p w14:paraId="7CD665F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w:t>
            </w:r>
          </w:p>
          <w:p w14:paraId="481354FB" w14:textId="77777777" w:rsidR="002E3CE8" w:rsidRPr="00520861" w:rsidRDefault="002E3CE8" w:rsidP="00292D2E">
            <w:pPr>
              <w:widowControl w:val="0"/>
              <w:spacing w:line="360" w:lineRule="auto"/>
              <w:ind w:left="-112"/>
              <w:jc w:val="center"/>
              <w:rPr>
                <w:rFonts w:eastAsia="Calibri"/>
                <w:sz w:val="28"/>
                <w:szCs w:val="28"/>
              </w:rPr>
            </w:pPr>
            <w:r w:rsidRPr="00520861">
              <w:rPr>
                <w:rFonts w:eastAsia="Calibri"/>
                <w:sz w:val="28"/>
                <w:szCs w:val="28"/>
              </w:rPr>
              <w:t>0,0% – 8,6%</w:t>
            </w:r>
          </w:p>
        </w:tc>
        <w:tc>
          <w:tcPr>
            <w:tcW w:w="1000" w:type="dxa"/>
          </w:tcPr>
          <w:p w14:paraId="28AFF25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2; </w:t>
            </w:r>
          </w:p>
          <w:p w14:paraId="00F075D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5,9% </w:t>
            </w:r>
          </w:p>
          <w:p w14:paraId="23E6174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1,9% – 15,3%</w:t>
            </w:r>
          </w:p>
        </w:tc>
        <w:tc>
          <w:tcPr>
            <w:tcW w:w="1000" w:type="dxa"/>
          </w:tcPr>
          <w:p w14:paraId="4D177B3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18DE1D4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1C16AC9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19,5%</w:t>
            </w:r>
          </w:p>
        </w:tc>
        <w:tc>
          <w:tcPr>
            <w:tcW w:w="1000" w:type="dxa"/>
          </w:tcPr>
          <w:p w14:paraId="2CE84811"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66218FE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3099DDE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26,5%</w:t>
            </w:r>
          </w:p>
        </w:tc>
        <w:tc>
          <w:tcPr>
            <w:tcW w:w="1000" w:type="dxa"/>
          </w:tcPr>
          <w:p w14:paraId="19E2594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1B87F6C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0,0% </w:t>
            </w:r>
          </w:p>
          <w:p w14:paraId="4A11E43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 0,0% –45,9%</w:t>
            </w:r>
          </w:p>
        </w:tc>
        <w:tc>
          <w:tcPr>
            <w:tcW w:w="1000" w:type="dxa"/>
          </w:tcPr>
          <w:p w14:paraId="2B6BE75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6597EA7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100BF2D1"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30,8%</w:t>
            </w:r>
          </w:p>
        </w:tc>
        <w:tc>
          <w:tcPr>
            <w:tcW w:w="1000" w:type="dxa"/>
          </w:tcPr>
          <w:p w14:paraId="356EE5E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7A76048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1C9807A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36,9%</w:t>
            </w:r>
          </w:p>
        </w:tc>
        <w:tc>
          <w:tcPr>
            <w:tcW w:w="1000" w:type="dxa"/>
          </w:tcPr>
          <w:p w14:paraId="0F69970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60D31AA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0,0% </w:t>
            </w:r>
          </w:p>
          <w:p w14:paraId="1DB2DE0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60,2%</w:t>
            </w:r>
          </w:p>
        </w:tc>
        <w:tc>
          <w:tcPr>
            <w:tcW w:w="1001" w:type="dxa"/>
          </w:tcPr>
          <w:p w14:paraId="71FC661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7AE57F5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5153C1C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30,8%</w:t>
            </w:r>
          </w:p>
        </w:tc>
      </w:tr>
      <w:tr w:rsidR="002E3CE8" w:rsidRPr="00520861" w14:paraId="5FC29CFB" w14:textId="77777777" w:rsidTr="00292D2E">
        <w:trPr>
          <w:trHeight w:val="200"/>
        </w:trPr>
        <w:tc>
          <w:tcPr>
            <w:tcW w:w="1951" w:type="dxa"/>
          </w:tcPr>
          <w:p w14:paraId="6C79BCE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Кількість кіст у ЩЛД чи </w:t>
            </w:r>
            <w:proofErr w:type="spellStart"/>
            <w:r w:rsidRPr="00520861">
              <w:rPr>
                <w:rFonts w:eastAsia="Calibri"/>
                <w:sz w:val="28"/>
                <w:szCs w:val="28"/>
              </w:rPr>
              <w:t>натальних</w:t>
            </w:r>
            <w:proofErr w:type="spellEnd"/>
            <w:r w:rsidRPr="00520861">
              <w:rPr>
                <w:rFonts w:eastAsia="Calibri"/>
                <w:sz w:val="28"/>
                <w:szCs w:val="28"/>
              </w:rPr>
              <w:t xml:space="preserve"> зубів; їхній %</w:t>
            </w:r>
          </w:p>
        </w:tc>
        <w:tc>
          <w:tcPr>
            <w:tcW w:w="1000" w:type="dxa"/>
          </w:tcPr>
          <w:p w14:paraId="155110A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61F7F68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00B9BDE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9,0%</w:t>
            </w:r>
          </w:p>
        </w:tc>
        <w:tc>
          <w:tcPr>
            <w:tcW w:w="1000" w:type="dxa"/>
          </w:tcPr>
          <w:p w14:paraId="70B67851"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2332A6E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6938B085"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11,6%</w:t>
            </w:r>
          </w:p>
        </w:tc>
        <w:tc>
          <w:tcPr>
            <w:tcW w:w="1000" w:type="dxa"/>
          </w:tcPr>
          <w:p w14:paraId="3ED8D3A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5; </w:t>
            </w:r>
          </w:p>
          <w:p w14:paraId="1F3C98B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7,9% </w:t>
            </w:r>
          </w:p>
          <w:p w14:paraId="72BC7A2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3,6% – 15,5%</w:t>
            </w:r>
          </w:p>
        </w:tc>
        <w:tc>
          <w:tcPr>
            <w:tcW w:w="1000" w:type="dxa"/>
          </w:tcPr>
          <w:p w14:paraId="43A70EC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2; </w:t>
            </w:r>
          </w:p>
          <w:p w14:paraId="7AEF7FD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4,9%</w:t>
            </w:r>
          </w:p>
          <w:p w14:paraId="51089C9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1,5% –12,9%</w:t>
            </w:r>
          </w:p>
        </w:tc>
        <w:tc>
          <w:tcPr>
            <w:tcW w:w="1000" w:type="dxa"/>
          </w:tcPr>
          <w:p w14:paraId="526B66E1"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4; 11,8%</w:t>
            </w:r>
          </w:p>
          <w:p w14:paraId="7D56976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5,0% – 23,7%</w:t>
            </w:r>
          </w:p>
        </w:tc>
        <w:tc>
          <w:tcPr>
            <w:tcW w:w="1000" w:type="dxa"/>
          </w:tcPr>
          <w:p w14:paraId="7DFB7088"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3219061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050AB35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19,5%</w:t>
            </w:r>
          </w:p>
        </w:tc>
        <w:tc>
          <w:tcPr>
            <w:tcW w:w="1000" w:type="dxa"/>
          </w:tcPr>
          <w:p w14:paraId="068EB912"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2C5E9E50"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44EC346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26,5%</w:t>
            </w:r>
          </w:p>
        </w:tc>
        <w:tc>
          <w:tcPr>
            <w:tcW w:w="1000" w:type="dxa"/>
          </w:tcPr>
          <w:p w14:paraId="34A46A34"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228B2B9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0,0% </w:t>
            </w:r>
          </w:p>
          <w:p w14:paraId="50147D3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 0,0% –45,9%</w:t>
            </w:r>
          </w:p>
        </w:tc>
        <w:tc>
          <w:tcPr>
            <w:tcW w:w="1000" w:type="dxa"/>
          </w:tcPr>
          <w:p w14:paraId="3D13E797"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1; </w:t>
            </w:r>
          </w:p>
          <w:p w14:paraId="3FA8726F"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10% </w:t>
            </w:r>
          </w:p>
          <w:p w14:paraId="3C3AD95A"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2,5% –30,8%</w:t>
            </w:r>
          </w:p>
        </w:tc>
        <w:tc>
          <w:tcPr>
            <w:tcW w:w="1000" w:type="dxa"/>
          </w:tcPr>
          <w:p w14:paraId="38B1210C"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2; 25,0% 8,5% – 52,7%</w:t>
            </w:r>
          </w:p>
        </w:tc>
        <w:tc>
          <w:tcPr>
            <w:tcW w:w="1000" w:type="dxa"/>
          </w:tcPr>
          <w:p w14:paraId="7E4D8A8B"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7FC8F7BE"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0,0% </w:t>
            </w:r>
          </w:p>
          <w:p w14:paraId="5BD540F6" w14:textId="77777777" w:rsidR="002E3CE8" w:rsidRPr="00520861" w:rsidRDefault="002E3CE8" w:rsidP="00292D2E">
            <w:pPr>
              <w:widowControl w:val="0"/>
              <w:spacing w:line="360" w:lineRule="auto"/>
              <w:ind w:left="-120"/>
              <w:jc w:val="center"/>
              <w:rPr>
                <w:rFonts w:eastAsia="Calibri"/>
                <w:sz w:val="28"/>
                <w:szCs w:val="28"/>
              </w:rPr>
            </w:pPr>
            <w:r w:rsidRPr="00520861">
              <w:rPr>
                <w:rFonts w:eastAsia="Calibri"/>
                <w:sz w:val="28"/>
                <w:szCs w:val="28"/>
              </w:rPr>
              <w:t>0,0% –60,2%</w:t>
            </w:r>
          </w:p>
        </w:tc>
        <w:tc>
          <w:tcPr>
            <w:tcW w:w="1001" w:type="dxa"/>
          </w:tcPr>
          <w:p w14:paraId="1F2A10D6"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 xml:space="preserve">0; </w:t>
            </w:r>
          </w:p>
          <w:p w14:paraId="2BD491B3"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w:t>
            </w:r>
          </w:p>
          <w:p w14:paraId="14E63D19" w14:textId="77777777" w:rsidR="002E3CE8" w:rsidRPr="00520861" w:rsidRDefault="002E3CE8" w:rsidP="00292D2E">
            <w:pPr>
              <w:widowControl w:val="0"/>
              <w:spacing w:line="360" w:lineRule="auto"/>
              <w:ind w:left="-108" w:right="-108"/>
              <w:jc w:val="center"/>
              <w:rPr>
                <w:rFonts w:eastAsia="Calibri"/>
                <w:sz w:val="28"/>
                <w:szCs w:val="28"/>
              </w:rPr>
            </w:pPr>
            <w:r w:rsidRPr="00520861">
              <w:rPr>
                <w:rFonts w:eastAsia="Calibri"/>
                <w:sz w:val="28"/>
                <w:szCs w:val="28"/>
              </w:rPr>
              <w:t>0,0% – 30,8%</w:t>
            </w:r>
          </w:p>
        </w:tc>
      </w:tr>
    </w:tbl>
    <w:p w14:paraId="480D2C2A" w14:textId="77777777" w:rsidR="002E3CE8" w:rsidRPr="00520861" w:rsidRDefault="002E3CE8" w:rsidP="00292D2E">
      <w:pPr>
        <w:widowControl w:val="0"/>
        <w:spacing w:line="360" w:lineRule="auto"/>
        <w:ind w:firstLine="708"/>
        <w:rPr>
          <w:sz w:val="28"/>
          <w:szCs w:val="28"/>
        </w:rPr>
        <w:sectPr w:rsidR="002E3CE8" w:rsidRPr="00520861" w:rsidSect="00292D2E">
          <w:pgSz w:w="16838" w:h="11906" w:orient="landscape"/>
          <w:pgMar w:top="1134" w:right="1134" w:bottom="624" w:left="1134" w:header="709" w:footer="709" w:gutter="0"/>
          <w:pgNumType w:start="209"/>
          <w:cols w:space="708"/>
          <w:docGrid w:linePitch="360"/>
        </w:sectPr>
      </w:pPr>
      <w:r w:rsidRPr="00520861">
        <w:rPr>
          <w:sz w:val="28"/>
          <w:szCs w:val="28"/>
        </w:rPr>
        <w:t xml:space="preserve">Примітка: * – різниця між групою </w:t>
      </w:r>
      <w:proofErr w:type="spellStart"/>
      <w:r w:rsidRPr="00520861">
        <w:rPr>
          <w:sz w:val="28"/>
          <w:szCs w:val="28"/>
        </w:rPr>
        <w:t>макросомів</w:t>
      </w:r>
      <w:proofErr w:type="spellEnd"/>
      <w:r w:rsidRPr="00520861">
        <w:rPr>
          <w:sz w:val="28"/>
          <w:szCs w:val="28"/>
        </w:rPr>
        <w:t xml:space="preserve"> і </w:t>
      </w:r>
      <w:proofErr w:type="spellStart"/>
      <w:r w:rsidRPr="00520861">
        <w:rPr>
          <w:sz w:val="28"/>
          <w:szCs w:val="28"/>
        </w:rPr>
        <w:t>нормосомів</w:t>
      </w:r>
      <w:proofErr w:type="spellEnd"/>
      <w:r w:rsidRPr="00520861">
        <w:rPr>
          <w:sz w:val="28"/>
          <w:szCs w:val="28"/>
        </w:rPr>
        <w:t xml:space="preserve"> однієї й тієї ж статі статистично в</w:t>
      </w:r>
      <w:r w:rsidR="001035E8" w:rsidRPr="00520861">
        <w:rPr>
          <w:sz w:val="28"/>
          <w:szCs w:val="28"/>
        </w:rPr>
        <w:t>ірогідна при ймовірності похибки</w:t>
      </w:r>
      <w:r w:rsidRPr="00520861">
        <w:rPr>
          <w:sz w:val="28"/>
          <w:szCs w:val="28"/>
        </w:rPr>
        <w:t xml:space="preserve"> </w:t>
      </w:r>
      <w:r w:rsidRPr="00520861">
        <w:rPr>
          <w:i/>
          <w:sz w:val="28"/>
          <w:szCs w:val="28"/>
        </w:rPr>
        <w:t>p</w:t>
      </w:r>
      <w:r w:rsidR="00FF6C32" w:rsidRPr="00520861">
        <w:rPr>
          <w:rFonts w:eastAsia="Calibri"/>
          <w:sz w:val="28"/>
          <w:szCs w:val="28"/>
          <w:lang w:eastAsia="en-US"/>
        </w:rPr>
        <w:t>&lt;</w:t>
      </w:r>
      <w:r w:rsidRPr="00520861">
        <w:rPr>
          <w:sz w:val="28"/>
          <w:szCs w:val="28"/>
        </w:rPr>
        <w:t>0,05.</w:t>
      </w:r>
    </w:p>
    <w:p w14:paraId="3C641F13" w14:textId="77777777" w:rsidR="002E3CE8" w:rsidRPr="00520861" w:rsidRDefault="002E3CE8" w:rsidP="00292D2E">
      <w:pPr>
        <w:widowControl w:val="0"/>
        <w:ind w:firstLine="709"/>
        <w:jc w:val="center"/>
        <w:rPr>
          <w:rFonts w:eastAsiaTheme="minorHAnsi"/>
          <w:sz w:val="28"/>
          <w:szCs w:val="28"/>
          <w:lang w:eastAsia="en-US"/>
        </w:rPr>
      </w:pPr>
      <w:r w:rsidRPr="00520861">
        <w:rPr>
          <w:rFonts w:eastAsiaTheme="minorHAnsi"/>
          <w:noProof/>
          <w:sz w:val="28"/>
          <w:szCs w:val="28"/>
          <w:lang w:val="ru-RU"/>
        </w:rPr>
        <w:lastRenderedPageBreak/>
        <w:drawing>
          <wp:inline distT="0" distB="0" distL="0" distR="0" wp14:anchorId="561E05D5" wp14:editId="58D29ADD">
            <wp:extent cx="2570400" cy="1980000"/>
            <wp:effectExtent l="0" t="0" r="190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570400" cy="1980000"/>
                    </a:xfrm>
                    <a:prstGeom prst="rect">
                      <a:avLst/>
                    </a:prstGeom>
                    <a:noFill/>
                  </pic:spPr>
                </pic:pic>
              </a:graphicData>
            </a:graphic>
          </wp:inline>
        </w:drawing>
      </w:r>
      <w:r w:rsidRPr="00520861">
        <w:rPr>
          <w:rFonts w:eastAsiaTheme="minorHAnsi"/>
          <w:noProof/>
          <w:sz w:val="28"/>
          <w:szCs w:val="28"/>
          <w:lang w:val="ru-RU"/>
        </w:rPr>
        <w:drawing>
          <wp:inline distT="0" distB="0" distL="0" distR="0" wp14:anchorId="228BEC00" wp14:editId="6CE97C10">
            <wp:extent cx="2638425" cy="1979719"/>
            <wp:effectExtent l="0" t="0" r="0" b="190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42508" cy="1982783"/>
                    </a:xfrm>
                    <a:prstGeom prst="rect">
                      <a:avLst/>
                    </a:prstGeom>
                    <a:noFill/>
                  </pic:spPr>
                </pic:pic>
              </a:graphicData>
            </a:graphic>
          </wp:inline>
        </w:drawing>
      </w:r>
    </w:p>
    <w:tbl>
      <w:tblPr>
        <w:tblStyle w:val="8"/>
        <w:tblW w:w="9064"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3819"/>
      </w:tblGrid>
      <w:tr w:rsidR="002E3CE8" w:rsidRPr="00520861" w14:paraId="588BF39D" w14:textId="77777777" w:rsidTr="00292D2E">
        <w:tc>
          <w:tcPr>
            <w:tcW w:w="5245" w:type="dxa"/>
          </w:tcPr>
          <w:p w14:paraId="6808F13E" w14:textId="77777777" w:rsidR="002E3CE8" w:rsidRPr="00520861" w:rsidRDefault="002E3CE8" w:rsidP="00292D2E">
            <w:pPr>
              <w:widowControl w:val="0"/>
              <w:ind w:left="-113" w:right="-105" w:firstLine="113"/>
              <w:jc w:val="center"/>
              <w:rPr>
                <w:rFonts w:eastAsia="Calibri" w:cs="Times New Roman"/>
                <w:i/>
                <w:sz w:val="28"/>
                <w:szCs w:val="28"/>
              </w:rPr>
            </w:pPr>
            <w:r w:rsidRPr="00520861">
              <w:rPr>
                <w:rFonts w:eastAsia="Calibri" w:cs="Times New Roman"/>
                <w:i/>
                <w:sz w:val="28"/>
                <w:szCs w:val="28"/>
              </w:rPr>
              <w:t>а</w:t>
            </w:r>
            <w:r w:rsidR="00A70162" w:rsidRPr="00520861">
              <w:rPr>
                <w:rFonts w:eastAsia="Calibri" w:cs="Times New Roman"/>
                <w:sz w:val="28"/>
                <w:szCs w:val="28"/>
              </w:rPr>
              <w:t>)</w:t>
            </w:r>
          </w:p>
        </w:tc>
        <w:tc>
          <w:tcPr>
            <w:tcW w:w="3819" w:type="dxa"/>
          </w:tcPr>
          <w:p w14:paraId="3A1BD375" w14:textId="77777777" w:rsidR="002E3CE8" w:rsidRPr="00520861" w:rsidRDefault="002E3CE8" w:rsidP="00292D2E">
            <w:pPr>
              <w:widowControl w:val="0"/>
              <w:jc w:val="center"/>
              <w:rPr>
                <w:rFonts w:eastAsia="Calibri" w:cs="Times New Roman"/>
                <w:i/>
                <w:sz w:val="28"/>
                <w:szCs w:val="28"/>
              </w:rPr>
            </w:pPr>
            <w:r w:rsidRPr="00520861">
              <w:rPr>
                <w:rFonts w:eastAsia="Calibri" w:cs="Times New Roman"/>
                <w:bCs/>
                <w:i/>
                <w:iCs/>
                <w:sz w:val="28"/>
                <w:szCs w:val="28"/>
              </w:rPr>
              <w:t>б</w:t>
            </w:r>
            <w:r w:rsidR="00A70162" w:rsidRPr="00520861">
              <w:rPr>
                <w:rFonts w:eastAsia="Calibri" w:cs="Times New Roman"/>
                <w:bCs/>
                <w:iCs/>
                <w:sz w:val="28"/>
                <w:szCs w:val="28"/>
              </w:rPr>
              <w:t>)</w:t>
            </w:r>
          </w:p>
        </w:tc>
      </w:tr>
    </w:tbl>
    <w:p w14:paraId="0C0DAC26" w14:textId="77777777" w:rsidR="002E3CE8" w:rsidRPr="00520861" w:rsidRDefault="002E3CE8" w:rsidP="00292D2E">
      <w:pPr>
        <w:widowControl w:val="0"/>
        <w:spacing w:line="360" w:lineRule="auto"/>
        <w:ind w:firstLine="708"/>
        <w:jc w:val="center"/>
        <w:rPr>
          <w:rFonts w:eastAsiaTheme="minorHAnsi"/>
          <w:sz w:val="28"/>
          <w:szCs w:val="28"/>
          <w:lang w:eastAsia="en-US"/>
        </w:rPr>
      </w:pPr>
      <w:r w:rsidRPr="00520861">
        <w:rPr>
          <w:rFonts w:eastAsiaTheme="minorHAnsi"/>
          <w:sz w:val="28"/>
          <w:szCs w:val="28"/>
          <w:lang w:eastAsia="en-US"/>
        </w:rPr>
        <w:t xml:space="preserve">Рис. 5.1. Фото а) дитини З. (хлопчик) віком 1 доба, амб. карта № 152576, </w:t>
      </w:r>
      <w:r w:rsidRPr="00520861">
        <w:rPr>
          <w:rFonts w:eastAsiaTheme="minorHAnsi"/>
          <w:sz w:val="28"/>
          <w:szCs w:val="28"/>
          <w:lang w:eastAsia="en-US"/>
        </w:rPr>
        <w:br/>
        <w:t xml:space="preserve">підгрупа 2. Еритема новонароджених, асиметрія обличчя (червона лінія – права сторона обличчя, синя - ліва), асиметрія зовнішніх кутів очей (позначено зеленою та жовтою стрілками), черепно-лицева </w:t>
      </w:r>
      <w:proofErr w:type="spellStart"/>
      <w:r w:rsidRPr="00520861">
        <w:rPr>
          <w:rFonts w:eastAsiaTheme="minorHAnsi"/>
          <w:sz w:val="28"/>
          <w:szCs w:val="28"/>
          <w:lang w:eastAsia="en-US"/>
        </w:rPr>
        <w:t>дизморфія</w:t>
      </w:r>
      <w:proofErr w:type="spellEnd"/>
      <w:r w:rsidRPr="00520861">
        <w:rPr>
          <w:rFonts w:eastAsiaTheme="minorHAnsi"/>
          <w:sz w:val="28"/>
          <w:szCs w:val="28"/>
          <w:lang w:eastAsia="en-US"/>
        </w:rPr>
        <w:t>, підборіддя зміщене вліво</w:t>
      </w:r>
      <w:r w:rsidR="00210CAF" w:rsidRPr="00520861">
        <w:rPr>
          <w:rFonts w:eastAsiaTheme="minorHAnsi"/>
          <w:sz w:val="28"/>
          <w:szCs w:val="28"/>
          <w:lang w:eastAsia="en-US"/>
        </w:rPr>
        <w:t>;</w:t>
      </w:r>
    </w:p>
    <w:p w14:paraId="0391E6AE" w14:textId="77777777" w:rsidR="002E3CE8" w:rsidRPr="00520861" w:rsidRDefault="002E3CE8" w:rsidP="00292D2E">
      <w:pPr>
        <w:widowControl w:val="0"/>
        <w:spacing w:line="360" w:lineRule="auto"/>
        <w:jc w:val="center"/>
        <w:rPr>
          <w:rFonts w:eastAsiaTheme="minorHAnsi"/>
          <w:sz w:val="28"/>
          <w:szCs w:val="28"/>
          <w:lang w:val="ru-RU" w:eastAsia="en-US"/>
        </w:rPr>
      </w:pPr>
      <w:r w:rsidRPr="00520861">
        <w:rPr>
          <w:rFonts w:eastAsiaTheme="minorHAnsi"/>
          <w:bCs/>
          <w:iCs/>
          <w:sz w:val="28"/>
          <w:szCs w:val="28"/>
          <w:lang w:eastAsia="en-US"/>
        </w:rPr>
        <w:t xml:space="preserve">б) </w:t>
      </w:r>
      <w:r w:rsidRPr="00520861">
        <w:rPr>
          <w:rFonts w:eastAsiaTheme="minorHAnsi"/>
          <w:sz w:val="28"/>
          <w:szCs w:val="28"/>
          <w:lang w:eastAsia="en-US"/>
        </w:rPr>
        <w:t xml:space="preserve">дитини С. (хлопчик) віком 39 діб, амб. карта № 151735, ГП. Спостерігається різко скошене </w:t>
      </w:r>
      <w:proofErr w:type="spellStart"/>
      <w:r w:rsidRPr="00520861">
        <w:rPr>
          <w:rFonts w:eastAsiaTheme="minorHAnsi"/>
          <w:sz w:val="28"/>
          <w:szCs w:val="28"/>
          <w:lang w:eastAsia="en-US"/>
        </w:rPr>
        <w:t>дистально</w:t>
      </w:r>
      <w:proofErr w:type="spellEnd"/>
      <w:r w:rsidRPr="00520861">
        <w:rPr>
          <w:rFonts w:eastAsiaTheme="minorHAnsi"/>
          <w:sz w:val="28"/>
          <w:szCs w:val="28"/>
          <w:lang w:eastAsia="en-US"/>
        </w:rPr>
        <w:t xml:space="preserve"> підборіддя, кон’югаційна жовтяниця</w:t>
      </w:r>
      <w:r w:rsidR="00210CAF" w:rsidRPr="00520861">
        <w:rPr>
          <w:rFonts w:eastAsiaTheme="minorHAnsi"/>
          <w:sz w:val="28"/>
          <w:szCs w:val="28"/>
          <w:lang w:val="ru-RU" w:eastAsia="en-US"/>
        </w:rPr>
        <w:t>.</w:t>
      </w:r>
    </w:p>
    <w:p w14:paraId="0F4B4F85" w14:textId="77777777" w:rsidR="002E3CE8" w:rsidRPr="00520861" w:rsidRDefault="002E3CE8" w:rsidP="00292D2E">
      <w:pPr>
        <w:widowControl w:val="0"/>
        <w:spacing w:line="360" w:lineRule="auto"/>
        <w:jc w:val="center"/>
        <w:rPr>
          <w:rFonts w:eastAsia="Calibri"/>
          <w:sz w:val="28"/>
          <w:szCs w:val="28"/>
          <w:lang w:eastAsia="en-US"/>
        </w:rPr>
      </w:pPr>
    </w:p>
    <w:tbl>
      <w:tblPr>
        <w:tblStyle w:val="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54"/>
        <w:gridCol w:w="4439"/>
      </w:tblGrid>
      <w:tr w:rsidR="002E3CE8" w:rsidRPr="00520861" w14:paraId="264DC50C" w14:textId="77777777" w:rsidTr="00292D2E">
        <w:trPr>
          <w:jc w:val="center"/>
        </w:trPr>
        <w:tc>
          <w:tcPr>
            <w:tcW w:w="5654" w:type="dxa"/>
          </w:tcPr>
          <w:p w14:paraId="57365E88" w14:textId="77777777" w:rsidR="002E3CE8" w:rsidRPr="00520861" w:rsidRDefault="002E3CE8" w:rsidP="00292D2E">
            <w:pPr>
              <w:widowControl w:val="0"/>
              <w:jc w:val="center"/>
              <w:rPr>
                <w:rFonts w:eastAsia="Calibri" w:cs="Times New Roman"/>
                <w:sz w:val="28"/>
                <w:szCs w:val="28"/>
              </w:rPr>
            </w:pPr>
            <w:r w:rsidRPr="00520861">
              <w:rPr>
                <w:rFonts w:eastAsia="Calibri" w:cs="Times New Roman"/>
                <w:noProof/>
                <w:sz w:val="28"/>
                <w:szCs w:val="28"/>
                <w:lang w:val="ru-RU"/>
              </w:rPr>
              <w:drawing>
                <wp:inline distT="0" distB="0" distL="0" distR="0" wp14:anchorId="54495744" wp14:editId="1CA5A372">
                  <wp:extent cx="2595600" cy="1980000"/>
                  <wp:effectExtent l="0" t="0" r="0" b="1270"/>
                  <wp:docPr id="58" name="Рисунок 58" descr="IMAG1278 новый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IMAG1278 новый 1"/>
                          <pic:cNvPicPr preferRelativeResize="0">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595600" cy="1980000"/>
                          </a:xfrm>
                          <a:prstGeom prst="rect">
                            <a:avLst/>
                          </a:prstGeom>
                          <a:noFill/>
                          <a:ln>
                            <a:noFill/>
                          </a:ln>
                        </pic:spPr>
                      </pic:pic>
                    </a:graphicData>
                  </a:graphic>
                </wp:inline>
              </w:drawing>
            </w:r>
          </w:p>
        </w:tc>
        <w:tc>
          <w:tcPr>
            <w:tcW w:w="4253" w:type="dxa"/>
          </w:tcPr>
          <w:p w14:paraId="5BD5709B" w14:textId="77777777" w:rsidR="002E3CE8" w:rsidRPr="00520861" w:rsidRDefault="002E3CE8" w:rsidP="00292D2E">
            <w:pPr>
              <w:widowControl w:val="0"/>
              <w:ind w:right="136"/>
              <w:jc w:val="center"/>
              <w:rPr>
                <w:rFonts w:eastAsia="Calibri" w:cs="Times New Roman"/>
                <w:sz w:val="28"/>
                <w:szCs w:val="28"/>
              </w:rPr>
            </w:pPr>
            <w:r w:rsidRPr="00520861">
              <w:rPr>
                <w:rFonts w:eastAsia="Calibri" w:cs="Times New Roman"/>
                <w:noProof/>
                <w:sz w:val="28"/>
                <w:szCs w:val="28"/>
                <w:lang w:val="ru-RU"/>
              </w:rPr>
              <w:drawing>
                <wp:inline distT="0" distB="0" distL="0" distR="0" wp14:anchorId="197C1ACB" wp14:editId="491C9112">
                  <wp:extent cx="2595600" cy="1980000"/>
                  <wp:effectExtent l="0" t="0" r="0" b="1270"/>
                  <wp:docPr id="59" name="Рисунок 59" descr="IMG_2109 нов"/>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IMG_2109 нов"/>
                          <pic:cNvPicPr preferRelativeResize="0">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595600" cy="1980000"/>
                          </a:xfrm>
                          <a:prstGeom prst="rect">
                            <a:avLst/>
                          </a:prstGeom>
                          <a:noFill/>
                          <a:ln>
                            <a:noFill/>
                          </a:ln>
                        </pic:spPr>
                      </pic:pic>
                    </a:graphicData>
                  </a:graphic>
                </wp:inline>
              </w:drawing>
            </w:r>
          </w:p>
        </w:tc>
      </w:tr>
      <w:tr w:rsidR="002E3CE8" w:rsidRPr="00520861" w14:paraId="1550461A" w14:textId="77777777" w:rsidTr="00292D2E">
        <w:trPr>
          <w:jc w:val="center"/>
        </w:trPr>
        <w:tc>
          <w:tcPr>
            <w:tcW w:w="5654" w:type="dxa"/>
          </w:tcPr>
          <w:p w14:paraId="108D35EE" w14:textId="77777777" w:rsidR="002E3CE8" w:rsidRPr="00520861" w:rsidRDefault="002E3CE8" w:rsidP="00292D2E">
            <w:pPr>
              <w:widowControl w:val="0"/>
              <w:spacing w:line="360" w:lineRule="auto"/>
              <w:ind w:left="-120" w:firstLine="836"/>
              <w:jc w:val="center"/>
              <w:rPr>
                <w:rFonts w:eastAsia="Calibri" w:cs="Times New Roman"/>
                <w:sz w:val="28"/>
                <w:szCs w:val="28"/>
              </w:rPr>
            </w:pPr>
            <w:r w:rsidRPr="00520861">
              <w:rPr>
                <w:rFonts w:eastAsia="Calibri" w:cs="Times New Roman"/>
                <w:sz w:val="28"/>
                <w:szCs w:val="28"/>
              </w:rPr>
              <w:t xml:space="preserve">Рис. 5.2. Фото фронтальної ділянки порожнини рота дитини Є. (хлопчик) віком 1 місяць та 10 діб, </w:t>
            </w:r>
            <w:r w:rsidRPr="00520861">
              <w:rPr>
                <w:rFonts w:cs="Times New Roman"/>
                <w:sz w:val="28"/>
                <w:szCs w:val="28"/>
              </w:rPr>
              <w:t>амб. карта № 151624</w:t>
            </w:r>
            <w:r w:rsidRPr="00520861">
              <w:rPr>
                <w:rFonts w:eastAsia="Calibri" w:cs="Times New Roman"/>
                <w:sz w:val="28"/>
                <w:szCs w:val="28"/>
              </w:rPr>
              <w:t xml:space="preserve">, </w:t>
            </w:r>
            <w:r w:rsidRPr="00520861">
              <w:rPr>
                <w:rFonts w:eastAsia="Calibri" w:cs="Times New Roman"/>
                <w:sz w:val="28"/>
                <w:szCs w:val="28"/>
              </w:rPr>
              <w:br/>
              <w:t xml:space="preserve">підгрупа 1. Вуздечка верхньої губи вид II </w:t>
            </w:r>
            <w:r w:rsidRPr="00520861">
              <w:rPr>
                <w:rFonts w:eastAsia="Calibri" w:cs="Times New Roman"/>
                <w:sz w:val="28"/>
                <w:szCs w:val="28"/>
              </w:rPr>
              <w:br/>
              <w:t xml:space="preserve">(за класифікацією </w:t>
            </w:r>
            <w:proofErr w:type="spellStart"/>
            <w:r w:rsidRPr="00520861">
              <w:rPr>
                <w:rFonts w:eastAsia="Calibri" w:cs="Times New Roman"/>
                <w:sz w:val="28"/>
                <w:szCs w:val="28"/>
              </w:rPr>
              <w:t>Kotlow</w:t>
            </w:r>
            <w:proofErr w:type="spellEnd"/>
            <w:r w:rsidRPr="00520861">
              <w:rPr>
                <w:rFonts w:eastAsia="Calibri" w:cs="Times New Roman"/>
                <w:sz w:val="28"/>
                <w:szCs w:val="28"/>
              </w:rPr>
              <w:t xml:space="preserve"> L.), несиметричне розташування вуздечки верхньої губи щодо серединної площини обличчя. </w:t>
            </w:r>
            <w:r w:rsidRPr="00520861">
              <w:rPr>
                <w:rFonts w:eastAsia="Calibri" w:cs="Times New Roman"/>
                <w:sz w:val="28"/>
                <w:szCs w:val="28"/>
              </w:rPr>
              <w:br/>
              <w:t>Прикріплення вуздечки язика співпадає із серединною площиною обличчя.</w:t>
            </w:r>
          </w:p>
        </w:tc>
        <w:tc>
          <w:tcPr>
            <w:tcW w:w="4253" w:type="dxa"/>
          </w:tcPr>
          <w:p w14:paraId="145A9367" w14:textId="77777777" w:rsidR="002E3CE8" w:rsidRPr="00520861" w:rsidRDefault="002E3CE8" w:rsidP="00292D2E">
            <w:pPr>
              <w:widowControl w:val="0"/>
              <w:spacing w:line="360" w:lineRule="auto"/>
              <w:ind w:firstLine="731"/>
              <w:jc w:val="center"/>
              <w:rPr>
                <w:rFonts w:cs="Times New Roman"/>
                <w:sz w:val="28"/>
                <w:szCs w:val="28"/>
              </w:rPr>
            </w:pPr>
            <w:r w:rsidRPr="00520861">
              <w:rPr>
                <w:rFonts w:eastAsia="Calibri" w:cs="Times New Roman"/>
                <w:bCs/>
                <w:iCs/>
                <w:sz w:val="28"/>
                <w:szCs w:val="28"/>
              </w:rPr>
              <w:t xml:space="preserve">Рис. 5.3. Фото порожнини рота дитини П. (хлопчик) віком 7 діб, </w:t>
            </w:r>
            <w:r w:rsidRPr="00520861">
              <w:rPr>
                <w:rFonts w:cs="Times New Roman"/>
                <w:sz w:val="28"/>
                <w:szCs w:val="28"/>
              </w:rPr>
              <w:t xml:space="preserve">амб. карта № 150124, </w:t>
            </w:r>
          </w:p>
          <w:p w14:paraId="71D582C6" w14:textId="77777777" w:rsidR="002E3CE8" w:rsidRPr="00520861" w:rsidRDefault="002E3CE8" w:rsidP="00292D2E">
            <w:pPr>
              <w:widowControl w:val="0"/>
              <w:spacing w:line="360" w:lineRule="auto"/>
              <w:ind w:firstLine="731"/>
              <w:jc w:val="center"/>
              <w:rPr>
                <w:rFonts w:eastAsia="Calibri" w:cs="Times New Roman"/>
                <w:bCs/>
                <w:iCs/>
                <w:sz w:val="28"/>
                <w:szCs w:val="28"/>
              </w:rPr>
            </w:pPr>
            <w:r w:rsidRPr="00520861">
              <w:rPr>
                <w:rFonts w:eastAsia="Calibri" w:cs="Times New Roman"/>
                <w:bCs/>
                <w:iCs/>
                <w:sz w:val="28"/>
                <w:szCs w:val="28"/>
              </w:rPr>
              <w:t xml:space="preserve">підгрупа 3. </w:t>
            </w:r>
          </w:p>
          <w:p w14:paraId="2706D42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bCs/>
                <w:iCs/>
                <w:sz w:val="28"/>
                <w:szCs w:val="28"/>
              </w:rPr>
              <w:t xml:space="preserve">Спостерігається </w:t>
            </w:r>
            <w:proofErr w:type="spellStart"/>
            <w:r w:rsidRPr="00520861">
              <w:rPr>
                <w:rFonts w:eastAsia="Calibri" w:cs="Times New Roman"/>
                <w:bCs/>
                <w:iCs/>
                <w:sz w:val="28"/>
                <w:szCs w:val="28"/>
              </w:rPr>
              <w:t>мікростомія</w:t>
            </w:r>
            <w:proofErr w:type="spellEnd"/>
            <w:r w:rsidRPr="00520861">
              <w:rPr>
                <w:rFonts w:eastAsia="Calibri" w:cs="Times New Roman"/>
                <w:bCs/>
                <w:iCs/>
                <w:sz w:val="28"/>
                <w:szCs w:val="28"/>
              </w:rPr>
              <w:t>,</w:t>
            </w:r>
            <w:r w:rsidRPr="00520861">
              <w:rPr>
                <w:rFonts w:eastAsia="Calibri" w:cs="Times New Roman"/>
                <w:sz w:val="28"/>
                <w:szCs w:val="28"/>
              </w:rPr>
              <w:t xml:space="preserve"> кон’югаційна жовтяниця.</w:t>
            </w:r>
          </w:p>
          <w:p w14:paraId="4C059723" w14:textId="77777777" w:rsidR="002E3CE8" w:rsidRPr="00520861" w:rsidRDefault="002E3CE8" w:rsidP="00292D2E">
            <w:pPr>
              <w:widowControl w:val="0"/>
              <w:spacing w:line="360" w:lineRule="auto"/>
              <w:jc w:val="center"/>
              <w:rPr>
                <w:rFonts w:eastAsia="Calibri" w:cs="Times New Roman"/>
                <w:bCs/>
                <w:iCs/>
                <w:sz w:val="28"/>
                <w:szCs w:val="28"/>
              </w:rPr>
            </w:pPr>
          </w:p>
          <w:p w14:paraId="0D83F1AF" w14:textId="77777777" w:rsidR="002E3CE8" w:rsidRPr="00520861" w:rsidRDefault="002E3CE8" w:rsidP="00292D2E">
            <w:pPr>
              <w:widowControl w:val="0"/>
              <w:spacing w:line="360" w:lineRule="auto"/>
              <w:ind w:firstLine="708"/>
              <w:jc w:val="both"/>
              <w:rPr>
                <w:rFonts w:eastAsia="Calibri" w:cs="Times New Roman"/>
                <w:bCs/>
                <w:iCs/>
                <w:sz w:val="28"/>
                <w:szCs w:val="28"/>
              </w:rPr>
            </w:pPr>
          </w:p>
          <w:p w14:paraId="19DB837E" w14:textId="77777777" w:rsidR="002E3CE8" w:rsidRPr="00520861" w:rsidRDefault="002E3CE8" w:rsidP="00292D2E">
            <w:pPr>
              <w:widowControl w:val="0"/>
              <w:spacing w:line="360" w:lineRule="auto"/>
              <w:jc w:val="center"/>
              <w:rPr>
                <w:rFonts w:eastAsia="Calibri" w:cs="Times New Roman"/>
                <w:sz w:val="28"/>
                <w:szCs w:val="28"/>
              </w:rPr>
            </w:pPr>
          </w:p>
        </w:tc>
      </w:tr>
    </w:tbl>
    <w:p w14:paraId="439E184E" w14:textId="77777777" w:rsidR="002E3CE8" w:rsidRPr="00520861" w:rsidRDefault="002E3CE8" w:rsidP="00292D2E">
      <w:pPr>
        <w:widowControl w:val="0"/>
        <w:spacing w:line="360" w:lineRule="auto"/>
        <w:ind w:firstLine="709"/>
        <w:jc w:val="both"/>
        <w:rPr>
          <w:rFonts w:eastAsiaTheme="minorHAnsi"/>
          <w:sz w:val="28"/>
          <w:szCs w:val="28"/>
          <w:lang w:val="ru-RU" w:eastAsia="en-US"/>
        </w:rPr>
      </w:pPr>
      <w:r w:rsidRPr="00520861">
        <w:rPr>
          <w:rFonts w:eastAsiaTheme="minorHAnsi"/>
          <w:sz w:val="28"/>
          <w:szCs w:val="28"/>
          <w:lang w:eastAsia="en-US"/>
        </w:rPr>
        <w:lastRenderedPageBreak/>
        <w:t>Вид І вуздечки верхньої губи спостерігався тільки в однієї дитини (1,4%) у ГП. Вуздечку верхньої губи виду ІІ (рис. 5.4</w:t>
      </w:r>
      <w:r w:rsidRPr="00520861">
        <w:rPr>
          <w:rFonts w:eastAsiaTheme="minorHAnsi"/>
          <w:i/>
          <w:sz w:val="28"/>
          <w:szCs w:val="28"/>
          <w:lang w:eastAsia="en-US"/>
        </w:rPr>
        <w:t>а</w:t>
      </w:r>
      <w:r w:rsidRPr="00520861">
        <w:rPr>
          <w:rFonts w:eastAsiaTheme="minorHAnsi"/>
          <w:sz w:val="28"/>
          <w:szCs w:val="28"/>
          <w:lang w:eastAsia="en-US"/>
        </w:rPr>
        <w:t>) було виявлено в 15 (29,4%), 4 (22,2%), 5 (27,8%), 4 (23,5%) та 44 (63,8%) дітей у підгрупах 1 – 4 та ГП відповідно. Вуздечку верхньої губи виду ІІІ (рис. 5.4</w:t>
      </w:r>
      <w:r w:rsidRPr="00520861">
        <w:rPr>
          <w:rFonts w:eastAsiaTheme="minorHAnsi"/>
          <w:i/>
          <w:sz w:val="28"/>
          <w:szCs w:val="28"/>
          <w:lang w:eastAsia="en-US"/>
        </w:rPr>
        <w:t>б</w:t>
      </w:r>
      <w:r w:rsidRPr="00520861">
        <w:rPr>
          <w:rFonts w:eastAsiaTheme="minorHAnsi"/>
          <w:sz w:val="28"/>
          <w:szCs w:val="28"/>
          <w:lang w:eastAsia="en-US"/>
        </w:rPr>
        <w:t>) було виявлено у 19 (37,3%), 7 (38,9%), 8 (44,4%), 10 (58,8%) та 19 (27,5%) дітей у підгрупах 1 – 4 та ГП відповідно. Вуздечка верхньої губи виду ІV (рис. 5.4</w:t>
      </w:r>
      <w:r w:rsidRPr="00520861">
        <w:rPr>
          <w:rFonts w:eastAsiaTheme="minorHAnsi"/>
          <w:i/>
          <w:sz w:val="28"/>
          <w:szCs w:val="28"/>
          <w:lang w:eastAsia="en-US"/>
        </w:rPr>
        <w:t>в</w:t>
      </w:r>
      <w:r w:rsidRPr="00520861">
        <w:rPr>
          <w:rFonts w:eastAsiaTheme="minorHAnsi"/>
          <w:sz w:val="28"/>
          <w:szCs w:val="28"/>
          <w:lang w:eastAsia="en-US"/>
        </w:rPr>
        <w:t>) спостерігалася у 17 (33,3%), 7 (38,9%), 5 (27,8%), 3 (17,6%) та 5 (7,2%) дітей у підгрупах 1 – 4 та ГП відповідно.</w:t>
      </w:r>
    </w:p>
    <w:p w14:paraId="23173F68" w14:textId="77777777" w:rsidR="002E3CE8" w:rsidRPr="00520861" w:rsidRDefault="002E3CE8" w:rsidP="00292D2E">
      <w:pPr>
        <w:widowControl w:val="0"/>
        <w:spacing w:line="360" w:lineRule="auto"/>
        <w:ind w:firstLine="709"/>
        <w:jc w:val="both"/>
        <w:rPr>
          <w:rFonts w:eastAsia="Calibri"/>
          <w:sz w:val="28"/>
          <w:szCs w:val="28"/>
          <w:lang w:eastAsia="en-US"/>
        </w:rPr>
      </w:pPr>
      <w:proofErr w:type="spellStart"/>
      <w:r w:rsidRPr="00520861">
        <w:rPr>
          <w:rFonts w:eastAsia="Calibri"/>
          <w:sz w:val="28"/>
          <w:szCs w:val="28"/>
          <w:lang w:eastAsia="en-US"/>
        </w:rPr>
        <w:t>Анкілоглосію</w:t>
      </w:r>
      <w:proofErr w:type="spellEnd"/>
      <w:r w:rsidRPr="00520861">
        <w:rPr>
          <w:rFonts w:eastAsia="Calibri"/>
          <w:sz w:val="28"/>
          <w:szCs w:val="28"/>
          <w:lang w:eastAsia="en-US"/>
        </w:rPr>
        <w:t xml:space="preserve"> було діагностовано в 42 (40,4% ДІ: 31,8% – 49,5%) дітей ОГ та 11 (15,9% ДІ: 9,3% – 25,0%) дітей ГП. </w:t>
      </w:r>
    </w:p>
    <w:p w14:paraId="4DE82ECE" w14:textId="77777777" w:rsidR="002E3CE8" w:rsidRPr="00520861" w:rsidRDefault="002E3CE8" w:rsidP="00292D2E">
      <w:pPr>
        <w:widowControl w:val="0"/>
        <w:spacing w:line="360" w:lineRule="auto"/>
        <w:ind w:firstLine="709"/>
        <w:jc w:val="both"/>
        <w:rPr>
          <w:rFonts w:eastAsiaTheme="minorHAnsi"/>
          <w:spacing w:val="-2"/>
          <w:sz w:val="28"/>
          <w:szCs w:val="28"/>
          <w:lang w:eastAsia="en-US"/>
        </w:rPr>
      </w:pPr>
      <w:r w:rsidRPr="00520861">
        <w:rPr>
          <w:rFonts w:eastAsia="Calibri"/>
          <w:sz w:val="28"/>
          <w:szCs w:val="28"/>
          <w:lang w:eastAsia="en-US"/>
        </w:rPr>
        <w:t xml:space="preserve">Вид V вуздечки язика </w:t>
      </w:r>
      <w:r w:rsidRPr="00520861">
        <w:rPr>
          <w:rFonts w:eastAsiaTheme="minorHAnsi"/>
          <w:sz w:val="28"/>
          <w:szCs w:val="28"/>
          <w:lang w:eastAsia="en-US"/>
        </w:rPr>
        <w:t>спостерігався в одного немовляти (2,0%) у підгрупі 1</w:t>
      </w:r>
      <w:r w:rsidRPr="00520861">
        <w:rPr>
          <w:rFonts w:eastAsia="Calibri"/>
          <w:sz w:val="28"/>
          <w:szCs w:val="28"/>
          <w:lang w:eastAsia="en-US"/>
        </w:rPr>
        <w:t xml:space="preserve"> (рис. 5.5</w:t>
      </w:r>
      <w:r w:rsidRPr="00520861">
        <w:rPr>
          <w:rFonts w:eastAsia="Calibri"/>
          <w:i/>
          <w:sz w:val="28"/>
          <w:szCs w:val="28"/>
          <w:lang w:eastAsia="en-US"/>
        </w:rPr>
        <w:t>а</w:t>
      </w:r>
      <w:r w:rsidRPr="00520861">
        <w:rPr>
          <w:rFonts w:eastAsia="Calibri"/>
          <w:sz w:val="28"/>
          <w:szCs w:val="28"/>
          <w:lang w:eastAsia="en-US"/>
        </w:rPr>
        <w:t>)</w:t>
      </w:r>
      <w:r w:rsidRPr="00520861">
        <w:rPr>
          <w:rFonts w:eastAsiaTheme="minorHAnsi"/>
          <w:sz w:val="28"/>
          <w:szCs w:val="28"/>
          <w:lang w:eastAsia="en-US"/>
        </w:rPr>
        <w:t xml:space="preserve">. Важливо вказати, що дитина народилася з масою тіла 5 кг. </w:t>
      </w:r>
      <w:r w:rsidRPr="00520861">
        <w:rPr>
          <w:rFonts w:eastAsia="Calibri"/>
          <w:sz w:val="28"/>
          <w:szCs w:val="28"/>
          <w:lang w:eastAsia="en-US"/>
        </w:rPr>
        <w:t xml:space="preserve">Вид IV вуздечки язика мали 3 (5,9%) дитини підгрупи 1 та 1 (5,6%) дитина підгрупи 3. Вид III вуздечки язика зафіксовано в 1 (2%) дитини підгрупи 1, двох дітей </w:t>
      </w:r>
      <w:r w:rsidRPr="00520861">
        <w:rPr>
          <w:rFonts w:eastAsiaTheme="minorHAnsi"/>
          <w:sz w:val="28"/>
          <w:szCs w:val="28"/>
          <w:lang w:eastAsia="en-US"/>
        </w:rPr>
        <w:t>(11,1%)</w:t>
      </w:r>
      <w:r w:rsidRPr="00520861">
        <w:rPr>
          <w:rFonts w:eastAsia="Calibri"/>
          <w:sz w:val="28"/>
          <w:szCs w:val="28"/>
          <w:lang w:eastAsia="en-US"/>
        </w:rPr>
        <w:t xml:space="preserve"> підгрупи 2, двох дітей </w:t>
      </w:r>
      <w:r w:rsidRPr="00520861">
        <w:rPr>
          <w:rFonts w:eastAsiaTheme="minorHAnsi"/>
          <w:sz w:val="28"/>
          <w:szCs w:val="28"/>
          <w:lang w:eastAsia="en-US"/>
        </w:rPr>
        <w:t>(11,8%)</w:t>
      </w:r>
      <w:r w:rsidRPr="00520861">
        <w:rPr>
          <w:rFonts w:eastAsia="Calibri"/>
          <w:sz w:val="28"/>
          <w:szCs w:val="28"/>
          <w:lang w:eastAsia="en-US"/>
        </w:rPr>
        <w:t xml:space="preserve"> підгрупи 4 та однієї дитини </w:t>
      </w:r>
      <w:r w:rsidRPr="00520861">
        <w:rPr>
          <w:rFonts w:eastAsiaTheme="minorHAnsi"/>
          <w:sz w:val="28"/>
          <w:szCs w:val="28"/>
          <w:lang w:eastAsia="en-US"/>
        </w:rPr>
        <w:t xml:space="preserve">(1,4%) </w:t>
      </w:r>
      <w:r w:rsidRPr="00520861">
        <w:rPr>
          <w:rFonts w:eastAsia="Calibri"/>
          <w:sz w:val="28"/>
          <w:szCs w:val="28"/>
          <w:lang w:eastAsia="en-US"/>
        </w:rPr>
        <w:t>ГП. Вид II (рис. 5.5</w:t>
      </w:r>
      <w:r w:rsidRPr="00520861">
        <w:rPr>
          <w:rFonts w:eastAsia="Calibri"/>
          <w:i/>
          <w:sz w:val="28"/>
          <w:szCs w:val="28"/>
          <w:lang w:eastAsia="en-US"/>
        </w:rPr>
        <w:t>б</w:t>
      </w:r>
      <w:r w:rsidRPr="00520861">
        <w:rPr>
          <w:rFonts w:eastAsia="Calibri"/>
          <w:sz w:val="28"/>
          <w:szCs w:val="28"/>
          <w:lang w:eastAsia="en-US"/>
        </w:rPr>
        <w:t xml:space="preserve">) виявлено в трьох дітей (5,9%) підгрупи 1, чотирьох дітей </w:t>
      </w:r>
      <w:r w:rsidRPr="00520861">
        <w:rPr>
          <w:rFonts w:eastAsiaTheme="minorHAnsi"/>
          <w:sz w:val="28"/>
          <w:szCs w:val="28"/>
          <w:lang w:eastAsia="en-US"/>
        </w:rPr>
        <w:t>(22,2%)</w:t>
      </w:r>
      <w:r w:rsidRPr="00520861">
        <w:rPr>
          <w:rFonts w:eastAsia="Calibri"/>
          <w:sz w:val="28"/>
          <w:szCs w:val="28"/>
          <w:lang w:eastAsia="en-US"/>
        </w:rPr>
        <w:t xml:space="preserve"> підгрупи 2, двох дітей </w:t>
      </w:r>
      <w:r w:rsidRPr="00520861">
        <w:rPr>
          <w:rFonts w:eastAsiaTheme="minorHAnsi"/>
          <w:sz w:val="28"/>
          <w:szCs w:val="28"/>
          <w:lang w:eastAsia="en-US"/>
        </w:rPr>
        <w:t>(11,1%)</w:t>
      </w:r>
      <w:r w:rsidRPr="00520861">
        <w:rPr>
          <w:rFonts w:eastAsia="Calibri"/>
          <w:sz w:val="28"/>
          <w:szCs w:val="28"/>
          <w:lang w:eastAsia="en-US"/>
        </w:rPr>
        <w:t xml:space="preserve"> підгрупи 3, двох дітей </w:t>
      </w:r>
      <w:r w:rsidRPr="00520861">
        <w:rPr>
          <w:rFonts w:eastAsiaTheme="minorHAnsi"/>
          <w:sz w:val="28"/>
          <w:szCs w:val="28"/>
          <w:lang w:eastAsia="en-US"/>
        </w:rPr>
        <w:t xml:space="preserve">(11,8%) підгрупи </w:t>
      </w:r>
      <w:r w:rsidRPr="00520861">
        <w:rPr>
          <w:rFonts w:eastAsia="Calibri"/>
          <w:sz w:val="28"/>
          <w:szCs w:val="28"/>
          <w:lang w:eastAsia="en-US"/>
        </w:rPr>
        <w:t xml:space="preserve">4 та двох дітей </w:t>
      </w:r>
      <w:r w:rsidRPr="00520861">
        <w:rPr>
          <w:rFonts w:eastAsiaTheme="minorHAnsi"/>
          <w:sz w:val="28"/>
          <w:szCs w:val="28"/>
          <w:lang w:eastAsia="en-US"/>
        </w:rPr>
        <w:t xml:space="preserve">(2,9%) </w:t>
      </w:r>
      <w:r w:rsidRPr="00520861">
        <w:rPr>
          <w:rFonts w:eastAsia="Calibri"/>
          <w:sz w:val="28"/>
          <w:szCs w:val="28"/>
          <w:lang w:eastAsia="en-US"/>
        </w:rPr>
        <w:t xml:space="preserve">ГП. </w:t>
      </w:r>
      <w:r w:rsidRPr="00520861">
        <w:rPr>
          <w:rFonts w:eastAsia="Calibri"/>
          <w:spacing w:val="-2"/>
          <w:sz w:val="28"/>
          <w:szCs w:val="28"/>
          <w:lang w:eastAsia="en-US"/>
        </w:rPr>
        <w:t xml:space="preserve">Вуздечки язика виду I були виявлені в 11 </w:t>
      </w:r>
      <w:r w:rsidRPr="00520861">
        <w:rPr>
          <w:rFonts w:eastAsiaTheme="minorHAnsi"/>
          <w:spacing w:val="-2"/>
          <w:sz w:val="28"/>
          <w:szCs w:val="28"/>
          <w:lang w:eastAsia="en-US"/>
        </w:rPr>
        <w:t>(21,6%)</w:t>
      </w:r>
      <w:r w:rsidRPr="00520861">
        <w:rPr>
          <w:rFonts w:eastAsia="Calibri"/>
          <w:spacing w:val="-2"/>
          <w:sz w:val="28"/>
          <w:szCs w:val="28"/>
          <w:lang w:eastAsia="en-US"/>
        </w:rPr>
        <w:t xml:space="preserve">, 2 </w:t>
      </w:r>
      <w:r w:rsidRPr="00520861">
        <w:rPr>
          <w:rFonts w:eastAsiaTheme="minorHAnsi"/>
          <w:spacing w:val="-2"/>
          <w:sz w:val="28"/>
          <w:szCs w:val="28"/>
          <w:lang w:eastAsia="en-US"/>
        </w:rPr>
        <w:t>(11,1%)</w:t>
      </w:r>
      <w:r w:rsidRPr="00520861">
        <w:rPr>
          <w:rFonts w:eastAsia="Calibri"/>
          <w:spacing w:val="-2"/>
          <w:sz w:val="28"/>
          <w:szCs w:val="28"/>
          <w:lang w:eastAsia="en-US"/>
        </w:rPr>
        <w:t xml:space="preserve">, 5 </w:t>
      </w:r>
      <w:r w:rsidRPr="00520861">
        <w:rPr>
          <w:rFonts w:eastAsiaTheme="minorHAnsi"/>
          <w:spacing w:val="-2"/>
          <w:sz w:val="28"/>
          <w:szCs w:val="28"/>
          <w:lang w:eastAsia="en-US"/>
        </w:rPr>
        <w:t>(27,8%)</w:t>
      </w:r>
      <w:r w:rsidRPr="00520861">
        <w:rPr>
          <w:rFonts w:eastAsia="Calibri"/>
          <w:spacing w:val="-2"/>
          <w:sz w:val="28"/>
          <w:szCs w:val="28"/>
          <w:lang w:eastAsia="en-US"/>
        </w:rPr>
        <w:t xml:space="preserve">, 3 </w:t>
      </w:r>
      <w:r w:rsidRPr="00520861">
        <w:rPr>
          <w:rFonts w:eastAsiaTheme="minorHAnsi"/>
          <w:spacing w:val="-2"/>
          <w:sz w:val="28"/>
          <w:szCs w:val="28"/>
          <w:lang w:eastAsia="en-US"/>
        </w:rPr>
        <w:t>(17,6%)</w:t>
      </w:r>
      <w:r w:rsidRPr="00520861">
        <w:rPr>
          <w:rFonts w:eastAsia="Calibri"/>
          <w:spacing w:val="-2"/>
          <w:sz w:val="28"/>
          <w:szCs w:val="28"/>
          <w:lang w:eastAsia="en-US"/>
        </w:rPr>
        <w:t xml:space="preserve"> дітей із </w:t>
      </w:r>
      <w:r w:rsidRPr="00520861">
        <w:rPr>
          <w:rFonts w:eastAsia="Calibri"/>
          <w:spacing w:val="-2"/>
          <w:sz w:val="28"/>
          <w:szCs w:val="28"/>
          <w:lang w:eastAsia="en-US"/>
        </w:rPr>
        <w:br/>
        <w:t xml:space="preserve">підгруп 1 – 4 відповідно та у 8 дітей </w:t>
      </w:r>
      <w:r w:rsidRPr="00520861">
        <w:rPr>
          <w:rFonts w:eastAsiaTheme="minorHAnsi"/>
          <w:spacing w:val="-2"/>
          <w:sz w:val="28"/>
          <w:szCs w:val="28"/>
          <w:lang w:eastAsia="en-US"/>
        </w:rPr>
        <w:t xml:space="preserve">(11,6%) </w:t>
      </w:r>
      <w:r w:rsidRPr="00520861">
        <w:rPr>
          <w:rFonts w:eastAsia="Calibri"/>
          <w:spacing w:val="-2"/>
          <w:sz w:val="28"/>
          <w:szCs w:val="28"/>
          <w:lang w:eastAsia="en-US"/>
        </w:rPr>
        <w:t>ГП.</w:t>
      </w:r>
    </w:p>
    <w:p w14:paraId="5F586D40" w14:textId="77777777" w:rsidR="002E3CE8" w:rsidRPr="00520861" w:rsidRDefault="002E3CE8" w:rsidP="00292D2E">
      <w:pPr>
        <w:widowControl w:val="0"/>
        <w:spacing w:line="360" w:lineRule="auto"/>
        <w:ind w:firstLine="709"/>
        <w:jc w:val="both"/>
        <w:rPr>
          <w:rFonts w:eastAsiaTheme="minorHAnsi"/>
          <w:spacing w:val="-2"/>
          <w:sz w:val="28"/>
          <w:szCs w:val="28"/>
          <w:lang w:eastAsia="en-US"/>
        </w:rPr>
      </w:pPr>
      <w:r w:rsidRPr="00520861">
        <w:rPr>
          <w:rFonts w:eastAsiaTheme="minorHAnsi"/>
          <w:sz w:val="28"/>
          <w:szCs w:val="28"/>
          <w:lang w:eastAsia="en-US"/>
        </w:rPr>
        <w:t xml:space="preserve">Дівчатка із підгрупи 1, 2, 4 та хлопчики із підгрупи 2 мали вірогідно більшу ПКВ </w:t>
      </w:r>
      <w:proofErr w:type="spellStart"/>
      <w:r w:rsidRPr="00520861">
        <w:rPr>
          <w:rFonts w:eastAsiaTheme="minorHAnsi"/>
          <w:sz w:val="28"/>
          <w:szCs w:val="28"/>
          <w:lang w:eastAsia="en-US"/>
        </w:rPr>
        <w:t>анкілоглосій</w:t>
      </w:r>
      <w:proofErr w:type="spellEnd"/>
      <w:r w:rsidRPr="00520861">
        <w:rPr>
          <w:rFonts w:eastAsiaTheme="minorHAnsi"/>
          <w:sz w:val="28"/>
          <w:szCs w:val="28"/>
          <w:lang w:eastAsia="en-US"/>
        </w:rPr>
        <w:t xml:space="preserve"> (табл. 5.1). </w:t>
      </w:r>
      <w:r w:rsidRPr="00520861">
        <w:rPr>
          <w:rFonts w:eastAsiaTheme="minorHAnsi"/>
          <w:spacing w:val="-2"/>
          <w:sz w:val="28"/>
          <w:szCs w:val="28"/>
          <w:lang w:eastAsia="en-US"/>
        </w:rPr>
        <w:t xml:space="preserve">А для </w:t>
      </w:r>
      <w:proofErr w:type="spellStart"/>
      <w:r w:rsidRPr="00520861">
        <w:rPr>
          <w:rFonts w:eastAsiaTheme="minorHAnsi"/>
          <w:spacing w:val="-2"/>
          <w:sz w:val="28"/>
          <w:szCs w:val="28"/>
          <w:lang w:eastAsia="en-US"/>
        </w:rPr>
        <w:t>дівчаток</w:t>
      </w:r>
      <w:proofErr w:type="spellEnd"/>
      <w:r w:rsidRPr="00520861">
        <w:rPr>
          <w:rFonts w:eastAsiaTheme="minorHAnsi"/>
          <w:spacing w:val="-2"/>
          <w:sz w:val="28"/>
          <w:szCs w:val="28"/>
          <w:lang w:eastAsia="en-US"/>
        </w:rPr>
        <w:t xml:space="preserve"> із підгрупи 1 та хлопчиків із підгрупи 2 вірогідні відмінності від ГП мали місце й для ПКВ аномалій вуздечок верхньої губи.</w:t>
      </w:r>
    </w:p>
    <w:p w14:paraId="5E6416FA" w14:textId="77777777" w:rsidR="002E3CE8" w:rsidRPr="00520861" w:rsidRDefault="002E3CE8" w:rsidP="00292D2E">
      <w:pPr>
        <w:widowControl w:val="0"/>
        <w:spacing w:line="360" w:lineRule="auto"/>
        <w:ind w:firstLine="708"/>
        <w:jc w:val="both"/>
        <w:rPr>
          <w:rFonts w:eastAsia="Calibri"/>
          <w:bCs/>
          <w:iCs/>
          <w:sz w:val="28"/>
          <w:szCs w:val="28"/>
          <w:lang w:eastAsia="en-US"/>
        </w:rPr>
      </w:pPr>
      <w:r w:rsidRPr="00520861">
        <w:rPr>
          <w:rFonts w:eastAsia="Calibri"/>
          <w:sz w:val="28"/>
          <w:szCs w:val="28"/>
          <w:lang w:eastAsia="en-US"/>
        </w:rPr>
        <w:t xml:space="preserve">В однієї дитини (2,0%) із підгрупи 1 у </w:t>
      </w:r>
      <w:proofErr w:type="spellStart"/>
      <w:r w:rsidRPr="00520861">
        <w:rPr>
          <w:rFonts w:eastAsia="Calibri"/>
          <w:sz w:val="28"/>
          <w:szCs w:val="28"/>
          <w:lang w:eastAsia="en-US"/>
        </w:rPr>
        <w:t>передньобоковому</w:t>
      </w:r>
      <w:proofErr w:type="spellEnd"/>
      <w:r w:rsidRPr="00520861">
        <w:rPr>
          <w:rFonts w:eastAsia="Calibri"/>
          <w:sz w:val="28"/>
          <w:szCs w:val="28"/>
          <w:lang w:eastAsia="en-US"/>
        </w:rPr>
        <w:t xml:space="preserve"> відділі </w:t>
      </w:r>
      <w:proofErr w:type="spellStart"/>
      <w:r w:rsidRPr="00520861">
        <w:rPr>
          <w:rFonts w:eastAsia="Calibri"/>
          <w:sz w:val="28"/>
          <w:szCs w:val="28"/>
          <w:lang w:eastAsia="en-US"/>
        </w:rPr>
        <w:t>дна</w:t>
      </w:r>
      <w:proofErr w:type="spellEnd"/>
      <w:r w:rsidRPr="00520861">
        <w:rPr>
          <w:rFonts w:eastAsia="Calibri"/>
          <w:sz w:val="28"/>
          <w:szCs w:val="28"/>
          <w:lang w:eastAsia="en-US"/>
        </w:rPr>
        <w:t xml:space="preserve"> порожнини рота поруч із вуздечкою язика</w:t>
      </w:r>
      <w:r w:rsidRPr="00520861">
        <w:rPr>
          <w:rFonts w:eastAsia="Calibri"/>
          <w:bCs/>
          <w:iCs/>
          <w:sz w:val="28"/>
          <w:szCs w:val="28"/>
          <w:lang w:eastAsia="en-US"/>
        </w:rPr>
        <w:t xml:space="preserve"> </w:t>
      </w:r>
      <w:r w:rsidRPr="00520861">
        <w:rPr>
          <w:rFonts w:eastAsia="Calibri"/>
          <w:sz w:val="28"/>
          <w:szCs w:val="28"/>
          <w:lang w:eastAsia="en-US"/>
        </w:rPr>
        <w:t>було виявлено</w:t>
      </w:r>
      <w:r w:rsidRPr="00520861">
        <w:rPr>
          <w:rFonts w:eastAsia="Calibri"/>
          <w:bCs/>
          <w:iCs/>
          <w:sz w:val="28"/>
          <w:szCs w:val="28"/>
          <w:lang w:eastAsia="en-US"/>
        </w:rPr>
        <w:t xml:space="preserve"> вроджену істинну </w:t>
      </w:r>
      <w:proofErr w:type="spellStart"/>
      <w:r w:rsidRPr="00520861">
        <w:rPr>
          <w:rFonts w:eastAsia="Calibri"/>
          <w:bCs/>
          <w:iCs/>
          <w:sz w:val="28"/>
          <w:szCs w:val="28"/>
          <w:lang w:eastAsia="en-US"/>
        </w:rPr>
        <w:t>ретенційну</w:t>
      </w:r>
      <w:proofErr w:type="spellEnd"/>
      <w:r w:rsidRPr="00520861">
        <w:rPr>
          <w:rFonts w:eastAsia="Calibri"/>
          <w:bCs/>
          <w:iCs/>
          <w:sz w:val="28"/>
          <w:szCs w:val="28"/>
          <w:lang w:eastAsia="en-US"/>
        </w:rPr>
        <w:t xml:space="preserve"> кісту (</w:t>
      </w:r>
      <w:proofErr w:type="spellStart"/>
      <w:r w:rsidRPr="00520861">
        <w:rPr>
          <w:rFonts w:eastAsia="Calibri"/>
          <w:sz w:val="28"/>
          <w:szCs w:val="28"/>
          <w:lang w:eastAsia="en-US"/>
        </w:rPr>
        <w:t>ранулу</w:t>
      </w:r>
      <w:proofErr w:type="spellEnd"/>
      <w:r w:rsidRPr="00520861">
        <w:rPr>
          <w:rFonts w:eastAsia="Calibri"/>
          <w:sz w:val="28"/>
          <w:szCs w:val="28"/>
          <w:lang w:eastAsia="en-US"/>
        </w:rPr>
        <w:t>) під’язичної слинної залози (рис. 5.6</w:t>
      </w:r>
      <w:r w:rsidRPr="00520861">
        <w:rPr>
          <w:rFonts w:eastAsia="Calibri"/>
          <w:i/>
          <w:sz w:val="28"/>
          <w:szCs w:val="28"/>
          <w:lang w:eastAsia="en-US"/>
        </w:rPr>
        <w:t>а</w:t>
      </w:r>
      <w:r w:rsidRPr="00520861">
        <w:rPr>
          <w:rFonts w:eastAsia="Calibri"/>
          <w:sz w:val="28"/>
          <w:szCs w:val="28"/>
          <w:lang w:eastAsia="en-US"/>
        </w:rPr>
        <w:t>)</w:t>
      </w:r>
      <w:r w:rsidRPr="00520861">
        <w:rPr>
          <w:rFonts w:eastAsia="Calibri"/>
          <w:bCs/>
          <w:iCs/>
          <w:sz w:val="28"/>
          <w:szCs w:val="28"/>
          <w:lang w:eastAsia="en-US"/>
        </w:rPr>
        <w:t xml:space="preserve">. </w:t>
      </w:r>
    </w:p>
    <w:p w14:paraId="40D24FC9" w14:textId="77777777" w:rsidR="002E3CE8" w:rsidRPr="00520861" w:rsidRDefault="002E3CE8" w:rsidP="00292D2E">
      <w:pPr>
        <w:widowControl w:val="0"/>
        <w:spacing w:line="360" w:lineRule="auto"/>
        <w:ind w:firstLine="708"/>
        <w:jc w:val="both"/>
        <w:rPr>
          <w:rFonts w:eastAsiaTheme="minorHAnsi"/>
          <w:sz w:val="28"/>
          <w:szCs w:val="28"/>
          <w:lang w:eastAsia="en-US"/>
        </w:rPr>
      </w:pPr>
      <w:proofErr w:type="spellStart"/>
      <w:r w:rsidRPr="00520861">
        <w:rPr>
          <w:rFonts w:eastAsiaTheme="minorHAnsi"/>
          <w:sz w:val="28"/>
          <w:szCs w:val="28"/>
          <w:lang w:eastAsia="en-US"/>
        </w:rPr>
        <w:t>Натальні</w:t>
      </w:r>
      <w:proofErr w:type="spellEnd"/>
      <w:r w:rsidRPr="00520861">
        <w:rPr>
          <w:rFonts w:eastAsiaTheme="minorHAnsi"/>
          <w:sz w:val="28"/>
          <w:szCs w:val="28"/>
          <w:lang w:eastAsia="en-US"/>
        </w:rPr>
        <w:t xml:space="preserve"> зуби (рис. 5.6</w:t>
      </w:r>
      <w:r w:rsidRPr="00520861">
        <w:rPr>
          <w:rFonts w:eastAsiaTheme="minorHAnsi"/>
          <w:i/>
          <w:sz w:val="28"/>
          <w:szCs w:val="28"/>
          <w:lang w:eastAsia="en-US"/>
        </w:rPr>
        <w:t>б</w:t>
      </w:r>
      <w:r w:rsidRPr="00520861">
        <w:rPr>
          <w:rFonts w:eastAsiaTheme="minorHAnsi"/>
          <w:sz w:val="28"/>
          <w:szCs w:val="28"/>
          <w:lang w:eastAsia="en-US"/>
        </w:rPr>
        <w:t xml:space="preserve">) ми спостерігали в одного новонародженого (2,0%) підгрупи 1. В однієї дитини </w:t>
      </w:r>
      <w:r w:rsidRPr="00520861">
        <w:rPr>
          <w:rFonts w:eastAsia="Calibri"/>
          <w:sz w:val="28"/>
          <w:szCs w:val="28"/>
          <w:lang w:eastAsia="en-US"/>
        </w:rPr>
        <w:t>(2%)</w:t>
      </w:r>
      <w:r w:rsidRPr="00520861">
        <w:rPr>
          <w:rFonts w:eastAsiaTheme="minorHAnsi"/>
          <w:sz w:val="28"/>
          <w:szCs w:val="28"/>
          <w:lang w:eastAsia="en-US"/>
        </w:rPr>
        <w:t xml:space="preserve"> підгрупи 1 та в трьох дітей (16,7%) підгрупи 2 </w:t>
      </w:r>
      <w:r w:rsidRPr="00520861">
        <w:rPr>
          <w:rFonts w:eastAsiaTheme="minorHAnsi"/>
          <w:sz w:val="28"/>
          <w:szCs w:val="28"/>
          <w:lang w:eastAsia="en-US"/>
        </w:rPr>
        <w:br/>
        <w:t>виявлені кісти зубної пластинки (рис. 5.7</w:t>
      </w:r>
      <w:r w:rsidRPr="00520861">
        <w:rPr>
          <w:rFonts w:eastAsiaTheme="minorHAnsi"/>
          <w:i/>
          <w:sz w:val="28"/>
          <w:szCs w:val="28"/>
          <w:lang w:eastAsia="en-US"/>
        </w:rPr>
        <w:t>а</w:t>
      </w:r>
      <w:r w:rsidRPr="00520861">
        <w:rPr>
          <w:rFonts w:eastAsiaTheme="minorHAnsi"/>
          <w:sz w:val="28"/>
          <w:szCs w:val="28"/>
          <w:lang w:eastAsia="en-US"/>
        </w:rPr>
        <w:t xml:space="preserve">). У ГП таких порушень виявлено не було. </w:t>
      </w:r>
    </w:p>
    <w:p w14:paraId="5F4B9920"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В одного немовляти (5,6%) підгрупи 3 виявлені афти </w:t>
      </w:r>
      <w:proofErr w:type="spellStart"/>
      <w:r w:rsidRPr="00520861">
        <w:rPr>
          <w:rFonts w:eastAsiaTheme="minorHAnsi"/>
          <w:sz w:val="28"/>
          <w:szCs w:val="28"/>
          <w:lang w:eastAsia="en-US"/>
        </w:rPr>
        <w:t>Беднара</w:t>
      </w:r>
      <w:proofErr w:type="spellEnd"/>
      <w:r w:rsidRPr="00520861">
        <w:rPr>
          <w:rFonts w:eastAsiaTheme="minorHAnsi"/>
          <w:sz w:val="28"/>
          <w:szCs w:val="28"/>
          <w:lang w:eastAsia="en-US"/>
        </w:rPr>
        <w:t xml:space="preserve"> (рис. 5.7</w:t>
      </w:r>
      <w:r w:rsidRPr="00520861">
        <w:rPr>
          <w:rFonts w:eastAsiaTheme="minorHAnsi"/>
          <w:i/>
          <w:sz w:val="28"/>
          <w:szCs w:val="28"/>
          <w:lang w:eastAsia="en-US"/>
        </w:rPr>
        <w:t>б</w:t>
      </w:r>
      <w:r w:rsidRPr="00520861">
        <w:rPr>
          <w:rFonts w:eastAsiaTheme="minorHAnsi"/>
          <w:sz w:val="28"/>
          <w:szCs w:val="28"/>
          <w:lang w:eastAsia="en-US"/>
        </w:rPr>
        <w:t xml:space="preserve">). </w:t>
      </w:r>
    </w:p>
    <w:p w14:paraId="723E48EC"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«Готичне», або високе, піднебіння спостерігалося у 8 (11,6%) немовлят групи порівняння й у 12 (11,5%) дітей ОГ.</w:t>
      </w:r>
    </w:p>
    <w:p w14:paraId="5A807FF1" w14:textId="77777777" w:rsidR="002E3CE8" w:rsidRPr="00520861" w:rsidRDefault="002E3CE8" w:rsidP="00292D2E">
      <w:pPr>
        <w:widowControl w:val="0"/>
        <w:spacing w:line="276" w:lineRule="auto"/>
        <w:rPr>
          <w:rFonts w:eastAsia="Calibri"/>
          <w:sz w:val="28"/>
          <w:szCs w:val="28"/>
          <w:lang w:eastAsia="en-US"/>
        </w:rPr>
      </w:pPr>
      <w:r w:rsidRPr="00520861">
        <w:rPr>
          <w:rFonts w:eastAsia="Calibri"/>
          <w:bCs/>
          <w:iCs/>
          <w:noProof/>
          <w:sz w:val="28"/>
          <w:szCs w:val="28"/>
          <w:lang w:val="ru-RU"/>
        </w:rPr>
        <w:lastRenderedPageBreak/>
        <w:drawing>
          <wp:inline distT="0" distB="0" distL="0" distR="0" wp14:anchorId="67F649A3" wp14:editId="6E73D3D8">
            <wp:extent cx="2116800" cy="1584000"/>
            <wp:effectExtent l="0" t="0" r="0" b="0"/>
            <wp:docPr id="60" name="Рисунок 60" descr="D:\дд\фото\новорожденные\макросомы  роддом\задорожный мальчик\IMG_7118 нов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дд\фото\новорожденные\макросомы  роддом\задорожный мальчик\IMG_7118 нов 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116800" cy="1584000"/>
                    </a:xfrm>
                    <a:prstGeom prst="rect">
                      <a:avLst/>
                    </a:prstGeom>
                    <a:noFill/>
                    <a:ln>
                      <a:noFill/>
                    </a:ln>
                  </pic:spPr>
                </pic:pic>
              </a:graphicData>
            </a:graphic>
          </wp:inline>
        </w:drawing>
      </w:r>
      <w:r w:rsidRPr="00520861">
        <w:rPr>
          <w:rFonts w:eastAsia="Calibri"/>
          <w:noProof/>
          <w:sz w:val="28"/>
          <w:szCs w:val="28"/>
          <w:lang w:val="ru-RU"/>
        </w:rPr>
        <w:drawing>
          <wp:inline distT="0" distB="0" distL="0" distR="0" wp14:anchorId="6C92F94E" wp14:editId="5D731EA5">
            <wp:extent cx="2113200" cy="1584000"/>
            <wp:effectExtent l="0" t="0" r="1905" b="0"/>
            <wp:docPr id="61" name="Рисунок 61" descr="D:\дд\фото\новорожденные\нормовесные роддом\сокол жириенко мальчик 030815\IMG_8474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D:\дд\фото\новорожденные\нормовесные роддом\сокол жириенко мальчик 030815\IMG_8474 11.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113200" cy="1584000"/>
                    </a:xfrm>
                    <a:prstGeom prst="rect">
                      <a:avLst/>
                    </a:prstGeom>
                    <a:noFill/>
                    <a:ln>
                      <a:noFill/>
                    </a:ln>
                  </pic:spPr>
                </pic:pic>
              </a:graphicData>
            </a:graphic>
          </wp:inline>
        </w:drawing>
      </w:r>
      <w:r w:rsidRPr="00520861">
        <w:rPr>
          <w:rFonts w:eastAsiaTheme="minorHAnsi"/>
          <w:noProof/>
          <w:sz w:val="28"/>
          <w:szCs w:val="28"/>
          <w:lang w:val="ru-RU"/>
        </w:rPr>
        <w:drawing>
          <wp:inline distT="0" distB="0" distL="0" distR="0" wp14:anchorId="246B7CC8" wp14:editId="4A9EBA28">
            <wp:extent cx="2113200" cy="1584000"/>
            <wp:effectExtent l="0" t="0" r="1905" b="0"/>
            <wp:docPr id="62" name="Рисунок 62" descr="IMG_4737 нов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G_4737 нов 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113200" cy="1584000"/>
                    </a:xfrm>
                    <a:prstGeom prst="rect">
                      <a:avLst/>
                    </a:prstGeom>
                    <a:noFill/>
                    <a:ln>
                      <a:noFill/>
                    </a:ln>
                  </pic:spPr>
                </pic:pic>
              </a:graphicData>
            </a:graphic>
          </wp:inline>
        </w:drawing>
      </w:r>
    </w:p>
    <w:tbl>
      <w:tblPr>
        <w:tblStyle w:val="8"/>
        <w:tblW w:w="101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10"/>
        <w:gridCol w:w="3402"/>
        <w:gridCol w:w="3261"/>
      </w:tblGrid>
      <w:tr w:rsidR="002E3CE8" w:rsidRPr="00520861" w14:paraId="602E3A64" w14:textId="77777777" w:rsidTr="00292D2E">
        <w:tc>
          <w:tcPr>
            <w:tcW w:w="3510" w:type="dxa"/>
          </w:tcPr>
          <w:p w14:paraId="0EB92449" w14:textId="77777777" w:rsidR="002E3CE8" w:rsidRPr="00520861" w:rsidRDefault="002E3CE8" w:rsidP="00292D2E">
            <w:pPr>
              <w:widowControl w:val="0"/>
              <w:spacing w:line="360" w:lineRule="auto"/>
              <w:jc w:val="center"/>
              <w:rPr>
                <w:rFonts w:eastAsia="Calibri" w:cs="Times New Roman"/>
                <w:bCs/>
                <w:i/>
                <w:iCs/>
                <w:sz w:val="28"/>
                <w:szCs w:val="28"/>
              </w:rPr>
            </w:pPr>
            <w:r w:rsidRPr="00520861">
              <w:rPr>
                <w:rFonts w:eastAsia="Calibri" w:cs="Times New Roman"/>
                <w:bCs/>
                <w:i/>
                <w:iCs/>
                <w:sz w:val="28"/>
                <w:szCs w:val="28"/>
              </w:rPr>
              <w:t>а</w:t>
            </w:r>
            <w:r w:rsidR="00A70162" w:rsidRPr="00520861">
              <w:rPr>
                <w:rFonts w:eastAsia="Calibri" w:cs="Times New Roman"/>
                <w:bCs/>
                <w:iCs/>
                <w:sz w:val="28"/>
                <w:szCs w:val="28"/>
              </w:rPr>
              <w:t>)</w:t>
            </w:r>
          </w:p>
        </w:tc>
        <w:tc>
          <w:tcPr>
            <w:tcW w:w="3402" w:type="dxa"/>
          </w:tcPr>
          <w:p w14:paraId="6FB1AEED" w14:textId="77777777" w:rsidR="002E3CE8" w:rsidRPr="00520861" w:rsidRDefault="002E3CE8" w:rsidP="00292D2E">
            <w:pPr>
              <w:widowControl w:val="0"/>
              <w:spacing w:line="360" w:lineRule="auto"/>
              <w:jc w:val="center"/>
              <w:rPr>
                <w:rFonts w:eastAsia="Calibri" w:cs="Times New Roman"/>
                <w:bCs/>
                <w:i/>
                <w:iCs/>
                <w:sz w:val="28"/>
                <w:szCs w:val="28"/>
              </w:rPr>
            </w:pPr>
            <w:r w:rsidRPr="00520861">
              <w:rPr>
                <w:rFonts w:eastAsia="Calibri" w:cs="Times New Roman"/>
                <w:bCs/>
                <w:i/>
                <w:iCs/>
                <w:sz w:val="28"/>
                <w:szCs w:val="28"/>
              </w:rPr>
              <w:t>б</w:t>
            </w:r>
            <w:r w:rsidR="00A70162" w:rsidRPr="00520861">
              <w:rPr>
                <w:rFonts w:eastAsia="Calibri" w:cs="Times New Roman"/>
                <w:bCs/>
                <w:iCs/>
                <w:sz w:val="28"/>
                <w:szCs w:val="28"/>
              </w:rPr>
              <w:t>)</w:t>
            </w:r>
          </w:p>
        </w:tc>
        <w:tc>
          <w:tcPr>
            <w:tcW w:w="3261" w:type="dxa"/>
          </w:tcPr>
          <w:p w14:paraId="0E90B2F6" w14:textId="77777777" w:rsidR="002E3CE8" w:rsidRPr="00520861" w:rsidRDefault="002E3CE8" w:rsidP="00292D2E">
            <w:pPr>
              <w:widowControl w:val="0"/>
              <w:spacing w:line="360" w:lineRule="auto"/>
              <w:jc w:val="center"/>
              <w:rPr>
                <w:rFonts w:eastAsia="Calibri" w:cs="Times New Roman"/>
                <w:bCs/>
                <w:i/>
                <w:iCs/>
                <w:sz w:val="28"/>
                <w:szCs w:val="28"/>
              </w:rPr>
            </w:pPr>
            <w:r w:rsidRPr="00520861">
              <w:rPr>
                <w:rFonts w:eastAsia="Calibri" w:cs="Times New Roman"/>
                <w:bCs/>
                <w:i/>
                <w:iCs/>
                <w:sz w:val="28"/>
                <w:szCs w:val="28"/>
              </w:rPr>
              <w:t>в</w:t>
            </w:r>
            <w:r w:rsidR="00A70162" w:rsidRPr="00520861">
              <w:rPr>
                <w:rFonts w:eastAsia="Calibri" w:cs="Times New Roman"/>
                <w:bCs/>
                <w:iCs/>
                <w:sz w:val="28"/>
                <w:szCs w:val="28"/>
              </w:rPr>
              <w:t>)</w:t>
            </w:r>
          </w:p>
        </w:tc>
      </w:tr>
    </w:tbl>
    <w:p w14:paraId="688302EA" w14:textId="77777777" w:rsidR="002E3CE8" w:rsidRPr="00520861" w:rsidRDefault="002E3CE8" w:rsidP="00292D2E">
      <w:pPr>
        <w:widowControl w:val="0"/>
        <w:spacing w:line="360" w:lineRule="auto"/>
        <w:ind w:firstLine="708"/>
        <w:jc w:val="center"/>
        <w:rPr>
          <w:rFonts w:eastAsia="Calibri"/>
          <w:bCs/>
          <w:iCs/>
          <w:sz w:val="28"/>
          <w:szCs w:val="28"/>
          <w:lang w:val="ru-RU" w:eastAsia="en-US"/>
        </w:rPr>
      </w:pPr>
      <w:r w:rsidRPr="00520861">
        <w:rPr>
          <w:rFonts w:eastAsia="Calibri"/>
          <w:bCs/>
          <w:iCs/>
          <w:sz w:val="28"/>
          <w:szCs w:val="28"/>
          <w:lang w:eastAsia="en-US"/>
        </w:rPr>
        <w:t>Рис. 5.4. Фото фронтальної ділянки ротової порожнини</w:t>
      </w:r>
      <w:r w:rsidRPr="00520861">
        <w:rPr>
          <w:rFonts w:eastAsia="Calibri"/>
          <w:bCs/>
          <w:iCs/>
          <w:sz w:val="28"/>
          <w:szCs w:val="28"/>
          <w:lang w:val="ru-RU" w:eastAsia="en-US"/>
        </w:rPr>
        <w:t>:</w:t>
      </w:r>
    </w:p>
    <w:p w14:paraId="0513BD21" w14:textId="77777777" w:rsidR="002E3CE8" w:rsidRPr="00520861" w:rsidRDefault="002E3CE8" w:rsidP="00292D2E">
      <w:pPr>
        <w:widowControl w:val="0"/>
        <w:spacing w:line="360" w:lineRule="auto"/>
        <w:ind w:firstLine="708"/>
        <w:jc w:val="center"/>
        <w:rPr>
          <w:rFonts w:eastAsia="Calibri"/>
          <w:bCs/>
          <w:iCs/>
          <w:sz w:val="28"/>
          <w:szCs w:val="28"/>
          <w:lang w:eastAsia="en-US"/>
        </w:rPr>
      </w:pPr>
      <w:r w:rsidRPr="00520861">
        <w:rPr>
          <w:rFonts w:eastAsia="Calibri"/>
          <w:bCs/>
          <w:iCs/>
          <w:sz w:val="28"/>
          <w:szCs w:val="28"/>
          <w:lang w:val="ru-RU" w:eastAsia="en-US"/>
        </w:rPr>
        <w:t>а)</w:t>
      </w:r>
      <w:r w:rsidRPr="00520861">
        <w:rPr>
          <w:rFonts w:eastAsia="Calibri"/>
          <w:bCs/>
          <w:iCs/>
          <w:sz w:val="28"/>
          <w:szCs w:val="28"/>
          <w:lang w:eastAsia="en-US"/>
        </w:rPr>
        <w:t xml:space="preserve"> дитини З. (хлопчик) віком 1 доба, </w:t>
      </w:r>
      <w:r w:rsidRPr="00520861">
        <w:rPr>
          <w:sz w:val="28"/>
          <w:szCs w:val="28"/>
        </w:rPr>
        <w:t xml:space="preserve">амб. карта № 152576, </w:t>
      </w:r>
      <w:r w:rsidRPr="00520861">
        <w:rPr>
          <w:rFonts w:eastAsia="Calibri"/>
          <w:bCs/>
          <w:iCs/>
          <w:sz w:val="28"/>
          <w:szCs w:val="28"/>
          <w:lang w:eastAsia="en-US"/>
        </w:rPr>
        <w:t xml:space="preserve">підгрупа 2. </w:t>
      </w:r>
    </w:p>
    <w:p w14:paraId="614B409A" w14:textId="77777777" w:rsidR="002E3CE8" w:rsidRPr="00520861" w:rsidRDefault="002E3CE8" w:rsidP="00292D2E">
      <w:pPr>
        <w:widowControl w:val="0"/>
        <w:spacing w:line="360" w:lineRule="auto"/>
        <w:ind w:firstLine="708"/>
        <w:jc w:val="center"/>
        <w:rPr>
          <w:rFonts w:eastAsiaTheme="minorHAnsi"/>
          <w:sz w:val="28"/>
          <w:szCs w:val="28"/>
          <w:lang w:eastAsia="en-US"/>
        </w:rPr>
      </w:pPr>
      <w:r w:rsidRPr="00520861">
        <w:rPr>
          <w:rFonts w:eastAsia="Calibri"/>
          <w:bCs/>
          <w:iCs/>
          <w:sz w:val="28"/>
          <w:szCs w:val="28"/>
          <w:lang w:eastAsia="en-US"/>
        </w:rPr>
        <w:t xml:space="preserve">Спостерігається II вид вуздечки верхньої губи </w:t>
      </w:r>
      <w:r w:rsidRPr="00520861">
        <w:rPr>
          <w:rFonts w:eastAsia="Calibri"/>
          <w:sz w:val="28"/>
          <w:szCs w:val="28"/>
          <w:lang w:eastAsia="en-US"/>
        </w:rPr>
        <w:t xml:space="preserve">(за класифікацією </w:t>
      </w:r>
      <w:proofErr w:type="spellStart"/>
      <w:r w:rsidRPr="00520861">
        <w:rPr>
          <w:rFonts w:eastAsia="Calibri"/>
          <w:sz w:val="28"/>
          <w:szCs w:val="28"/>
          <w:lang w:eastAsia="en-US"/>
        </w:rPr>
        <w:t>Kotlow</w:t>
      </w:r>
      <w:proofErr w:type="spellEnd"/>
      <w:r w:rsidRPr="00520861">
        <w:rPr>
          <w:rFonts w:eastAsia="Calibri"/>
          <w:sz w:val="28"/>
          <w:szCs w:val="28"/>
          <w:lang w:eastAsia="en-US"/>
        </w:rPr>
        <w:t xml:space="preserve"> L.);</w:t>
      </w:r>
    </w:p>
    <w:p w14:paraId="1EFA34D4" w14:textId="77777777" w:rsidR="002E3CE8" w:rsidRPr="00520861" w:rsidRDefault="002E3CE8" w:rsidP="00292D2E">
      <w:pPr>
        <w:widowControl w:val="0"/>
        <w:spacing w:line="360" w:lineRule="auto"/>
        <w:ind w:firstLine="708"/>
        <w:jc w:val="center"/>
        <w:rPr>
          <w:rFonts w:eastAsia="Calibri"/>
          <w:sz w:val="28"/>
          <w:szCs w:val="28"/>
          <w:lang w:eastAsia="en-US"/>
        </w:rPr>
      </w:pPr>
      <w:r w:rsidRPr="00520861">
        <w:rPr>
          <w:rFonts w:eastAsia="Calibri"/>
          <w:bCs/>
          <w:iCs/>
          <w:sz w:val="28"/>
          <w:szCs w:val="28"/>
          <w:lang w:eastAsia="en-US"/>
        </w:rPr>
        <w:t xml:space="preserve">б) дитини С. (хлопчик) віком 3 доби, </w:t>
      </w:r>
      <w:r w:rsidRPr="00520861">
        <w:rPr>
          <w:sz w:val="28"/>
          <w:szCs w:val="28"/>
        </w:rPr>
        <w:t xml:space="preserve">амб. карта № 152650, </w:t>
      </w:r>
      <w:r w:rsidRPr="00520861">
        <w:rPr>
          <w:rFonts w:eastAsia="Calibri"/>
          <w:bCs/>
          <w:iCs/>
          <w:sz w:val="28"/>
          <w:szCs w:val="28"/>
          <w:lang w:eastAsia="en-US"/>
        </w:rPr>
        <w:t xml:space="preserve">ГП. </w:t>
      </w:r>
      <w:r w:rsidRPr="00520861">
        <w:rPr>
          <w:rFonts w:eastAsia="Calibri"/>
          <w:bCs/>
          <w:iCs/>
          <w:sz w:val="28"/>
          <w:szCs w:val="28"/>
          <w:lang w:eastAsia="en-US"/>
        </w:rPr>
        <w:br/>
        <w:t xml:space="preserve">Спостерігається III вид вуздечки верхньої губи </w:t>
      </w:r>
      <w:r w:rsidRPr="00520861">
        <w:rPr>
          <w:rFonts w:eastAsia="Calibri"/>
          <w:sz w:val="28"/>
          <w:szCs w:val="28"/>
          <w:lang w:eastAsia="en-US"/>
        </w:rPr>
        <w:t xml:space="preserve">(за класифікацією </w:t>
      </w:r>
      <w:proofErr w:type="spellStart"/>
      <w:r w:rsidRPr="00520861">
        <w:rPr>
          <w:rFonts w:eastAsia="Calibri"/>
          <w:sz w:val="28"/>
          <w:szCs w:val="28"/>
          <w:lang w:eastAsia="en-US"/>
        </w:rPr>
        <w:t>Kotlow</w:t>
      </w:r>
      <w:proofErr w:type="spellEnd"/>
      <w:r w:rsidRPr="00520861">
        <w:rPr>
          <w:rFonts w:eastAsia="Calibri"/>
          <w:sz w:val="28"/>
          <w:szCs w:val="28"/>
          <w:lang w:eastAsia="en-US"/>
        </w:rPr>
        <w:t xml:space="preserve"> L.)</w:t>
      </w:r>
    </w:p>
    <w:p w14:paraId="7FC97D88" w14:textId="77777777" w:rsidR="002E3CE8" w:rsidRPr="00520861" w:rsidRDefault="002E3CE8" w:rsidP="00292D2E">
      <w:pPr>
        <w:widowControl w:val="0"/>
        <w:spacing w:line="360" w:lineRule="auto"/>
        <w:jc w:val="center"/>
        <w:rPr>
          <w:rFonts w:eastAsia="Calibri"/>
          <w:bCs/>
          <w:iCs/>
          <w:sz w:val="28"/>
          <w:szCs w:val="28"/>
          <w:lang w:eastAsia="en-US"/>
        </w:rPr>
      </w:pPr>
      <w:r w:rsidRPr="00520861">
        <w:rPr>
          <w:rFonts w:eastAsia="Calibri"/>
          <w:sz w:val="28"/>
          <w:szCs w:val="28"/>
          <w:lang w:eastAsia="en-US"/>
        </w:rPr>
        <w:t>в)</w:t>
      </w:r>
      <w:r w:rsidRPr="00520861">
        <w:rPr>
          <w:rFonts w:eastAsia="Calibri"/>
          <w:bCs/>
          <w:iCs/>
          <w:sz w:val="28"/>
          <w:szCs w:val="28"/>
          <w:lang w:eastAsia="en-US"/>
        </w:rPr>
        <w:t xml:space="preserve"> дитини З. (хлопчик) віком 1 доба, </w:t>
      </w:r>
      <w:r w:rsidRPr="00520861">
        <w:rPr>
          <w:sz w:val="28"/>
          <w:szCs w:val="28"/>
        </w:rPr>
        <w:t>амб. карта № 153190, підгрупа 2</w:t>
      </w:r>
      <w:r w:rsidRPr="00520861">
        <w:rPr>
          <w:rFonts w:eastAsia="Calibri"/>
          <w:bCs/>
          <w:iCs/>
          <w:sz w:val="28"/>
          <w:szCs w:val="28"/>
          <w:lang w:eastAsia="en-US"/>
        </w:rPr>
        <w:t xml:space="preserve">. </w:t>
      </w:r>
    </w:p>
    <w:p w14:paraId="6FE1C669" w14:textId="77777777" w:rsidR="002E3CE8" w:rsidRPr="00520861" w:rsidRDefault="002E3CE8" w:rsidP="00292D2E">
      <w:pPr>
        <w:widowControl w:val="0"/>
        <w:spacing w:line="360" w:lineRule="auto"/>
        <w:jc w:val="center"/>
        <w:rPr>
          <w:rFonts w:eastAsia="Calibri"/>
          <w:bCs/>
          <w:iCs/>
          <w:sz w:val="28"/>
          <w:szCs w:val="28"/>
          <w:lang w:eastAsia="en-US"/>
        </w:rPr>
      </w:pPr>
      <w:r w:rsidRPr="00520861">
        <w:rPr>
          <w:rFonts w:eastAsia="Calibri"/>
          <w:bCs/>
          <w:iCs/>
          <w:sz w:val="28"/>
          <w:szCs w:val="28"/>
          <w:lang w:eastAsia="en-US"/>
        </w:rPr>
        <w:t xml:space="preserve">Спостерігається IV вид вуздечки верхньої губи </w:t>
      </w:r>
      <w:r w:rsidRPr="00520861">
        <w:rPr>
          <w:rFonts w:eastAsia="Calibri"/>
          <w:sz w:val="28"/>
          <w:szCs w:val="28"/>
          <w:lang w:eastAsia="en-US"/>
        </w:rPr>
        <w:t xml:space="preserve">(за класифікацією </w:t>
      </w:r>
      <w:proofErr w:type="spellStart"/>
      <w:r w:rsidRPr="00520861">
        <w:rPr>
          <w:rFonts w:eastAsia="Calibri"/>
          <w:sz w:val="28"/>
          <w:szCs w:val="28"/>
          <w:lang w:eastAsia="en-US"/>
        </w:rPr>
        <w:t>Kotlow</w:t>
      </w:r>
      <w:proofErr w:type="spellEnd"/>
      <w:r w:rsidRPr="00520861">
        <w:rPr>
          <w:rFonts w:eastAsia="Calibri"/>
          <w:sz w:val="28"/>
          <w:szCs w:val="28"/>
          <w:lang w:eastAsia="en-US"/>
        </w:rPr>
        <w:t xml:space="preserve"> L.).</w:t>
      </w:r>
    </w:p>
    <w:p w14:paraId="43859BA9" w14:textId="77777777" w:rsidR="002E3CE8" w:rsidRPr="00520861" w:rsidRDefault="002E3CE8" w:rsidP="00292D2E">
      <w:pPr>
        <w:widowControl w:val="0"/>
        <w:spacing w:line="360" w:lineRule="auto"/>
        <w:jc w:val="center"/>
        <w:rPr>
          <w:rFonts w:eastAsia="Calibri"/>
          <w:bCs/>
          <w:iCs/>
          <w:sz w:val="28"/>
          <w:szCs w:val="28"/>
          <w:lang w:eastAsia="en-US"/>
        </w:rPr>
      </w:pPr>
    </w:p>
    <w:p w14:paraId="77B1836C" w14:textId="77777777" w:rsidR="002E3CE8" w:rsidRPr="00520861" w:rsidRDefault="002E3CE8" w:rsidP="00292D2E">
      <w:pPr>
        <w:widowControl w:val="0"/>
        <w:spacing w:line="360" w:lineRule="auto"/>
        <w:jc w:val="center"/>
        <w:rPr>
          <w:rFonts w:eastAsia="Calibri"/>
          <w:bCs/>
          <w:iCs/>
          <w:sz w:val="28"/>
          <w:szCs w:val="28"/>
          <w:lang w:eastAsia="en-US"/>
        </w:rPr>
      </w:pPr>
      <w:r w:rsidRPr="00520861">
        <w:rPr>
          <w:rFonts w:eastAsiaTheme="minorHAnsi"/>
          <w:noProof/>
          <w:color w:val="FF0000"/>
          <w:sz w:val="28"/>
          <w:szCs w:val="28"/>
          <w:lang w:val="ru-RU"/>
        </w:rPr>
        <w:drawing>
          <wp:inline distT="0" distB="0" distL="0" distR="0" wp14:anchorId="46585E88" wp14:editId="472F649E">
            <wp:extent cx="3175200" cy="2358000"/>
            <wp:effectExtent l="0" t="0" r="6350" b="4445"/>
            <wp:docPr id="63" name="Рисунок 63" descr="D:\дд\фото\новорожденные\макросомы  роддом\сытникова девочка 040715\IMAG2091  МО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дд\фото\новорожденные\макросомы  роддом\сытникова девочка 040715\IMAG2091  МОЙ.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175200" cy="2358000"/>
                    </a:xfrm>
                    <a:prstGeom prst="rect">
                      <a:avLst/>
                    </a:prstGeom>
                    <a:noFill/>
                    <a:ln>
                      <a:noFill/>
                    </a:ln>
                  </pic:spPr>
                </pic:pic>
              </a:graphicData>
            </a:graphic>
          </wp:inline>
        </w:drawing>
      </w:r>
      <w:r w:rsidRPr="00520861">
        <w:rPr>
          <w:rFonts w:eastAsiaTheme="minorHAnsi"/>
          <w:bCs/>
          <w:iCs/>
          <w:noProof/>
          <w:sz w:val="28"/>
          <w:szCs w:val="28"/>
          <w:lang w:val="ru-RU"/>
        </w:rPr>
        <w:drawing>
          <wp:inline distT="0" distB="0" distL="0" distR="0" wp14:anchorId="0033D9BE" wp14:editId="6035076B">
            <wp:extent cx="3139200" cy="2358000"/>
            <wp:effectExtent l="0" t="0" r="4445" b="4445"/>
            <wp:docPr id="64" name="Рисунок 64" descr="D:\дд\фото\новорожденные\нормовесные роддом\шостак  мальчик 030815\IMG_8557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D:\дд\фото\новорожденные\нормовесные роддом\шостак  мальчик 030815\IMG_8557 11.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139200" cy="2358000"/>
                    </a:xfrm>
                    <a:prstGeom prst="rect">
                      <a:avLst/>
                    </a:prstGeom>
                    <a:noFill/>
                    <a:ln>
                      <a:noFill/>
                    </a:ln>
                  </pic:spPr>
                </pic:pic>
              </a:graphicData>
            </a:graphic>
          </wp:inline>
        </w:drawing>
      </w:r>
    </w:p>
    <w:tbl>
      <w:tblPr>
        <w:tblStyle w:val="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070"/>
        <w:gridCol w:w="5106"/>
      </w:tblGrid>
      <w:tr w:rsidR="002E3CE8" w:rsidRPr="00520861" w14:paraId="47CB5C0E" w14:textId="77777777" w:rsidTr="00292D2E">
        <w:tc>
          <w:tcPr>
            <w:tcW w:w="5070" w:type="dxa"/>
          </w:tcPr>
          <w:p w14:paraId="700BCF0D" w14:textId="77777777" w:rsidR="002E3CE8" w:rsidRPr="00520861" w:rsidRDefault="002E3CE8" w:rsidP="00292D2E">
            <w:pPr>
              <w:widowControl w:val="0"/>
              <w:spacing w:line="360" w:lineRule="auto"/>
              <w:jc w:val="center"/>
              <w:rPr>
                <w:rFonts w:eastAsia="Calibri" w:cs="Times New Roman"/>
                <w:bCs/>
                <w:i/>
                <w:iCs/>
                <w:sz w:val="28"/>
                <w:szCs w:val="28"/>
              </w:rPr>
            </w:pPr>
            <w:r w:rsidRPr="00520861">
              <w:rPr>
                <w:rFonts w:eastAsia="Calibri" w:cs="Times New Roman"/>
                <w:bCs/>
                <w:i/>
                <w:iCs/>
                <w:sz w:val="28"/>
                <w:szCs w:val="28"/>
              </w:rPr>
              <w:t>а</w:t>
            </w:r>
            <w:r w:rsidR="00A70162" w:rsidRPr="00520861">
              <w:rPr>
                <w:rFonts w:eastAsia="Calibri" w:cs="Times New Roman"/>
                <w:bCs/>
                <w:iCs/>
                <w:sz w:val="28"/>
                <w:szCs w:val="28"/>
              </w:rPr>
              <w:t>)</w:t>
            </w:r>
          </w:p>
        </w:tc>
        <w:tc>
          <w:tcPr>
            <w:tcW w:w="5106" w:type="dxa"/>
          </w:tcPr>
          <w:p w14:paraId="101319A4" w14:textId="77777777" w:rsidR="002E3CE8" w:rsidRPr="00520861" w:rsidRDefault="002E3CE8" w:rsidP="00292D2E">
            <w:pPr>
              <w:widowControl w:val="0"/>
              <w:spacing w:line="360" w:lineRule="auto"/>
              <w:jc w:val="center"/>
              <w:rPr>
                <w:rFonts w:eastAsia="Calibri" w:cs="Times New Roman"/>
                <w:bCs/>
                <w:i/>
                <w:iCs/>
                <w:sz w:val="28"/>
                <w:szCs w:val="28"/>
              </w:rPr>
            </w:pPr>
            <w:r w:rsidRPr="00520861">
              <w:rPr>
                <w:rFonts w:eastAsia="Calibri" w:cs="Times New Roman"/>
                <w:bCs/>
                <w:i/>
                <w:iCs/>
                <w:sz w:val="28"/>
                <w:szCs w:val="28"/>
              </w:rPr>
              <w:t>б</w:t>
            </w:r>
            <w:r w:rsidR="00A70162" w:rsidRPr="00520861">
              <w:rPr>
                <w:rFonts w:eastAsia="Calibri" w:cs="Times New Roman"/>
                <w:bCs/>
                <w:iCs/>
                <w:sz w:val="28"/>
                <w:szCs w:val="28"/>
              </w:rPr>
              <w:t>)</w:t>
            </w:r>
          </w:p>
        </w:tc>
      </w:tr>
    </w:tbl>
    <w:p w14:paraId="5F9756C2" w14:textId="77777777" w:rsidR="002E3CE8" w:rsidRPr="00520861" w:rsidRDefault="002E3CE8" w:rsidP="00292D2E">
      <w:pPr>
        <w:widowControl w:val="0"/>
        <w:spacing w:line="360" w:lineRule="auto"/>
        <w:ind w:firstLine="708"/>
        <w:jc w:val="center"/>
        <w:rPr>
          <w:rFonts w:eastAsia="Calibri"/>
          <w:bCs/>
          <w:iCs/>
          <w:sz w:val="28"/>
          <w:szCs w:val="28"/>
          <w:lang w:eastAsia="en-US"/>
        </w:rPr>
      </w:pPr>
      <w:r w:rsidRPr="00520861">
        <w:rPr>
          <w:rFonts w:eastAsia="Calibri"/>
          <w:bCs/>
          <w:iCs/>
          <w:sz w:val="28"/>
          <w:szCs w:val="28"/>
          <w:lang w:eastAsia="en-US"/>
        </w:rPr>
        <w:t>Рис. 5.5. Фото фронтальної ділянки ротової порожнини:</w:t>
      </w:r>
    </w:p>
    <w:p w14:paraId="4BE829DE" w14:textId="77777777" w:rsidR="002E3CE8" w:rsidRPr="00520861" w:rsidRDefault="002E3CE8" w:rsidP="00292D2E">
      <w:pPr>
        <w:widowControl w:val="0"/>
        <w:spacing w:line="360" w:lineRule="auto"/>
        <w:ind w:firstLine="708"/>
        <w:rPr>
          <w:rFonts w:eastAsia="Calibri"/>
          <w:bCs/>
          <w:iCs/>
          <w:sz w:val="28"/>
          <w:szCs w:val="28"/>
          <w:lang w:eastAsia="en-US"/>
        </w:rPr>
      </w:pPr>
      <w:r w:rsidRPr="00520861">
        <w:rPr>
          <w:rFonts w:eastAsia="Calibri"/>
          <w:bCs/>
          <w:iCs/>
          <w:sz w:val="28"/>
          <w:szCs w:val="28"/>
          <w:lang w:eastAsia="en-US"/>
        </w:rPr>
        <w:t xml:space="preserve">а) дитини С. (дівчинка) віком 3 доби, </w:t>
      </w:r>
      <w:r w:rsidRPr="00520861">
        <w:rPr>
          <w:sz w:val="28"/>
          <w:szCs w:val="28"/>
        </w:rPr>
        <w:t xml:space="preserve">амб. карта № 152512, </w:t>
      </w:r>
      <w:r w:rsidRPr="00520861">
        <w:rPr>
          <w:rFonts w:eastAsia="Calibri"/>
          <w:bCs/>
          <w:iCs/>
          <w:sz w:val="28"/>
          <w:szCs w:val="28"/>
          <w:lang w:eastAsia="en-US"/>
        </w:rPr>
        <w:t xml:space="preserve">підгрупа 1. </w:t>
      </w:r>
    </w:p>
    <w:p w14:paraId="249AF7E0" w14:textId="77777777" w:rsidR="002E3CE8" w:rsidRPr="00520861" w:rsidRDefault="002E3CE8" w:rsidP="00292D2E">
      <w:pPr>
        <w:widowControl w:val="0"/>
        <w:spacing w:line="360" w:lineRule="auto"/>
        <w:ind w:firstLine="708"/>
        <w:rPr>
          <w:rFonts w:eastAsia="Calibri"/>
          <w:sz w:val="28"/>
          <w:szCs w:val="28"/>
          <w:lang w:eastAsia="en-US"/>
        </w:rPr>
      </w:pPr>
      <w:r w:rsidRPr="00520861">
        <w:rPr>
          <w:rFonts w:eastAsia="Calibri"/>
          <w:bCs/>
          <w:iCs/>
          <w:sz w:val="28"/>
          <w:szCs w:val="28"/>
          <w:lang w:eastAsia="en-US"/>
        </w:rPr>
        <w:t>Спостерігається V вид вуздечки язика (</w:t>
      </w:r>
      <w:r w:rsidRPr="00520861">
        <w:rPr>
          <w:rFonts w:eastAsia="Calibri"/>
          <w:sz w:val="28"/>
          <w:szCs w:val="28"/>
          <w:lang w:eastAsia="en-US"/>
        </w:rPr>
        <w:t xml:space="preserve">за класифікацією </w:t>
      </w:r>
      <w:proofErr w:type="spellStart"/>
      <w:r w:rsidRPr="00520861">
        <w:rPr>
          <w:rFonts w:eastAsia="Calibri"/>
          <w:sz w:val="28"/>
          <w:szCs w:val="28"/>
          <w:lang w:eastAsia="en-US"/>
        </w:rPr>
        <w:t>Хорошилкіної</w:t>
      </w:r>
      <w:proofErr w:type="spellEnd"/>
      <w:r w:rsidRPr="00520861">
        <w:rPr>
          <w:rFonts w:eastAsia="Calibri"/>
          <w:sz w:val="28"/>
          <w:szCs w:val="28"/>
          <w:lang w:eastAsia="en-US"/>
        </w:rPr>
        <w:t xml:space="preserve"> Ф.Я.);</w:t>
      </w:r>
    </w:p>
    <w:p w14:paraId="68241820" w14:textId="77777777" w:rsidR="002E3CE8" w:rsidRPr="00520861" w:rsidRDefault="002E3CE8" w:rsidP="00292D2E">
      <w:pPr>
        <w:widowControl w:val="0"/>
        <w:spacing w:line="360" w:lineRule="auto"/>
        <w:ind w:firstLine="709"/>
        <w:jc w:val="center"/>
        <w:rPr>
          <w:rFonts w:eastAsia="Calibri"/>
          <w:bCs/>
          <w:iCs/>
          <w:sz w:val="28"/>
          <w:szCs w:val="28"/>
          <w:lang w:eastAsia="en-US"/>
        </w:rPr>
      </w:pPr>
      <w:r w:rsidRPr="00520861">
        <w:rPr>
          <w:rFonts w:eastAsia="Calibri"/>
          <w:bCs/>
          <w:iCs/>
          <w:sz w:val="28"/>
          <w:szCs w:val="28"/>
          <w:lang w:eastAsia="en-US"/>
        </w:rPr>
        <w:t xml:space="preserve">б) дитини Ш. (хлопчик) віком 1 доба, </w:t>
      </w:r>
      <w:r w:rsidRPr="00520861">
        <w:rPr>
          <w:sz w:val="28"/>
          <w:szCs w:val="28"/>
        </w:rPr>
        <w:t xml:space="preserve">амб. карта № 152651, </w:t>
      </w:r>
      <w:r w:rsidRPr="00520861">
        <w:rPr>
          <w:rFonts w:eastAsia="Calibri"/>
          <w:bCs/>
          <w:iCs/>
          <w:sz w:val="28"/>
          <w:szCs w:val="28"/>
          <w:lang w:eastAsia="en-US"/>
        </w:rPr>
        <w:t xml:space="preserve">ГП. </w:t>
      </w:r>
    </w:p>
    <w:p w14:paraId="4BBE75F7" w14:textId="77777777" w:rsidR="002E3CE8" w:rsidRPr="00520861" w:rsidRDefault="002E3CE8" w:rsidP="00292D2E">
      <w:pPr>
        <w:widowControl w:val="0"/>
        <w:spacing w:line="360" w:lineRule="auto"/>
        <w:ind w:firstLine="709"/>
        <w:jc w:val="center"/>
        <w:rPr>
          <w:rFonts w:eastAsia="Calibri"/>
          <w:bCs/>
          <w:iCs/>
          <w:sz w:val="28"/>
          <w:szCs w:val="28"/>
          <w:lang w:eastAsia="en-US"/>
        </w:rPr>
      </w:pPr>
      <w:r w:rsidRPr="00520861">
        <w:rPr>
          <w:rFonts w:eastAsia="Calibri"/>
          <w:bCs/>
          <w:iCs/>
          <w:sz w:val="28"/>
          <w:szCs w:val="28"/>
          <w:lang w:eastAsia="en-US"/>
        </w:rPr>
        <w:t xml:space="preserve">Спостерігаються «готичне» піднебіння, </w:t>
      </w:r>
      <w:r w:rsidRPr="00520861">
        <w:rPr>
          <w:rFonts w:eastAsia="Calibri"/>
          <w:bCs/>
          <w:iCs/>
          <w:sz w:val="28"/>
          <w:szCs w:val="28"/>
          <w:lang w:eastAsia="en-US"/>
        </w:rPr>
        <w:br/>
        <w:t xml:space="preserve">II вид вуздечки язика (за класифікацією </w:t>
      </w:r>
      <w:proofErr w:type="spellStart"/>
      <w:r w:rsidRPr="00520861">
        <w:rPr>
          <w:rFonts w:eastAsia="Calibri"/>
          <w:bCs/>
          <w:iCs/>
          <w:sz w:val="28"/>
          <w:szCs w:val="28"/>
          <w:lang w:eastAsia="en-US"/>
        </w:rPr>
        <w:t>Хорошилкіної</w:t>
      </w:r>
      <w:proofErr w:type="spellEnd"/>
      <w:r w:rsidRPr="00520861">
        <w:rPr>
          <w:rFonts w:eastAsia="Calibri"/>
          <w:bCs/>
          <w:iCs/>
          <w:sz w:val="28"/>
          <w:szCs w:val="28"/>
          <w:lang w:eastAsia="en-US"/>
        </w:rPr>
        <w:t xml:space="preserve"> Ф.Я.).</w:t>
      </w:r>
    </w:p>
    <w:p w14:paraId="64C0659C"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noProof/>
          <w:sz w:val="28"/>
          <w:szCs w:val="28"/>
          <w:lang w:val="ru-RU"/>
        </w:rPr>
        <w:lastRenderedPageBreak/>
        <w:drawing>
          <wp:inline distT="0" distB="0" distL="0" distR="0" wp14:anchorId="6D6A72F4" wp14:editId="27C8F620">
            <wp:extent cx="2548800" cy="1908000"/>
            <wp:effectExtent l="0" t="0" r="4445" b="0"/>
            <wp:docPr id="65" name="Рисунок 65" descr="IMG_3433 нов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3433 нов 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548800" cy="1908000"/>
                    </a:xfrm>
                    <a:prstGeom prst="rect">
                      <a:avLst/>
                    </a:prstGeom>
                    <a:noFill/>
                    <a:ln>
                      <a:noFill/>
                    </a:ln>
                  </pic:spPr>
                </pic:pic>
              </a:graphicData>
            </a:graphic>
          </wp:inline>
        </w:drawing>
      </w:r>
      <w:r w:rsidRPr="00520861">
        <w:rPr>
          <w:rFonts w:eastAsiaTheme="minorHAnsi"/>
          <w:noProof/>
          <w:sz w:val="28"/>
          <w:szCs w:val="28"/>
          <w:lang w:val="ru-RU"/>
        </w:rPr>
        <w:drawing>
          <wp:inline distT="0" distB="0" distL="0" distR="0" wp14:anchorId="6396EA49" wp14:editId="2FA6E95B">
            <wp:extent cx="2541600" cy="1908000"/>
            <wp:effectExtent l="0" t="0" r="0" b="0"/>
            <wp:docPr id="66" name="Рисунок 66" descr="IMG_6967 н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G_6967 нов"/>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541600" cy="1908000"/>
                    </a:xfrm>
                    <a:prstGeom prst="rect">
                      <a:avLst/>
                    </a:prstGeom>
                    <a:noFill/>
                    <a:ln>
                      <a:noFill/>
                    </a:ln>
                  </pic:spPr>
                </pic:pic>
              </a:graphicData>
            </a:graphic>
          </wp:inline>
        </w:drawing>
      </w:r>
    </w:p>
    <w:tbl>
      <w:tblPr>
        <w:tblStyle w:val="8"/>
        <w:tblW w:w="0" w:type="auto"/>
        <w:tblInd w:w="11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3260"/>
      </w:tblGrid>
      <w:tr w:rsidR="002E3CE8" w:rsidRPr="00520861" w14:paraId="182C9784" w14:textId="77777777" w:rsidTr="00292D2E">
        <w:tc>
          <w:tcPr>
            <w:tcW w:w="4678" w:type="dxa"/>
          </w:tcPr>
          <w:p w14:paraId="44070C8E" w14:textId="77777777" w:rsidR="002E3CE8" w:rsidRPr="00520861" w:rsidRDefault="002E3CE8" w:rsidP="00292D2E">
            <w:pPr>
              <w:widowControl w:val="0"/>
              <w:jc w:val="center"/>
              <w:rPr>
                <w:rFonts w:eastAsia="Calibri" w:cs="Times New Roman"/>
                <w:bCs/>
                <w:i/>
                <w:iCs/>
                <w:sz w:val="28"/>
                <w:szCs w:val="28"/>
              </w:rPr>
            </w:pPr>
            <w:r w:rsidRPr="00520861">
              <w:rPr>
                <w:rFonts w:eastAsia="Calibri" w:cs="Times New Roman"/>
                <w:bCs/>
                <w:i/>
                <w:iCs/>
                <w:sz w:val="28"/>
                <w:szCs w:val="28"/>
              </w:rPr>
              <w:t>а</w:t>
            </w:r>
            <w:r w:rsidR="00A70162" w:rsidRPr="00520861">
              <w:rPr>
                <w:rFonts w:eastAsia="Calibri" w:cs="Times New Roman"/>
                <w:bCs/>
                <w:iCs/>
                <w:sz w:val="28"/>
                <w:szCs w:val="28"/>
              </w:rPr>
              <w:t>)</w:t>
            </w:r>
          </w:p>
        </w:tc>
        <w:tc>
          <w:tcPr>
            <w:tcW w:w="3260" w:type="dxa"/>
          </w:tcPr>
          <w:p w14:paraId="5D79793A"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A70162" w:rsidRPr="00520861">
              <w:rPr>
                <w:rFonts w:eastAsia="Calibri" w:cs="Times New Roman"/>
                <w:sz w:val="28"/>
                <w:szCs w:val="28"/>
              </w:rPr>
              <w:t>)</w:t>
            </w:r>
          </w:p>
        </w:tc>
      </w:tr>
    </w:tbl>
    <w:p w14:paraId="01BD5695" w14:textId="77777777" w:rsidR="002E3CE8" w:rsidRPr="00520861" w:rsidRDefault="002E3CE8" w:rsidP="00292D2E">
      <w:pPr>
        <w:widowControl w:val="0"/>
        <w:spacing w:line="360" w:lineRule="auto"/>
        <w:ind w:firstLine="709"/>
        <w:jc w:val="center"/>
        <w:rPr>
          <w:rFonts w:eastAsia="Calibri"/>
          <w:bCs/>
          <w:iCs/>
          <w:sz w:val="28"/>
          <w:szCs w:val="28"/>
          <w:lang w:eastAsia="en-US"/>
        </w:rPr>
      </w:pPr>
      <w:r w:rsidRPr="00520861">
        <w:rPr>
          <w:rFonts w:eastAsia="Calibri"/>
          <w:bCs/>
          <w:iCs/>
          <w:sz w:val="28"/>
          <w:szCs w:val="28"/>
          <w:lang w:eastAsia="en-US"/>
        </w:rPr>
        <w:t xml:space="preserve">Рис. 5.6. Фото фронтальної ділянки ротової порожнини: а) дитини М. (хлопчик) віком 2 місяці, </w:t>
      </w:r>
      <w:r w:rsidRPr="00520861">
        <w:rPr>
          <w:sz w:val="28"/>
          <w:szCs w:val="28"/>
        </w:rPr>
        <w:t xml:space="preserve">амб. карта № 150708, </w:t>
      </w:r>
      <w:r w:rsidRPr="00520861">
        <w:rPr>
          <w:rFonts w:eastAsia="Calibri"/>
          <w:bCs/>
          <w:iCs/>
          <w:sz w:val="28"/>
          <w:szCs w:val="28"/>
          <w:lang w:eastAsia="en-US"/>
        </w:rPr>
        <w:t xml:space="preserve">підгрупа 1. </w:t>
      </w:r>
      <w:r w:rsidRPr="00520861">
        <w:rPr>
          <w:rFonts w:eastAsia="Calibri"/>
          <w:sz w:val="28"/>
          <w:szCs w:val="28"/>
          <w:lang w:eastAsia="en-US"/>
        </w:rPr>
        <w:t xml:space="preserve">У </w:t>
      </w:r>
      <w:proofErr w:type="spellStart"/>
      <w:r w:rsidRPr="00520861">
        <w:rPr>
          <w:rFonts w:eastAsia="Calibri"/>
          <w:sz w:val="28"/>
          <w:szCs w:val="28"/>
          <w:lang w:eastAsia="en-US"/>
        </w:rPr>
        <w:t>передньобоковому</w:t>
      </w:r>
      <w:proofErr w:type="spellEnd"/>
      <w:r w:rsidRPr="00520861">
        <w:rPr>
          <w:rFonts w:eastAsia="Calibri"/>
          <w:sz w:val="28"/>
          <w:szCs w:val="28"/>
          <w:lang w:eastAsia="en-US"/>
        </w:rPr>
        <w:t xml:space="preserve"> відділі </w:t>
      </w:r>
      <w:proofErr w:type="spellStart"/>
      <w:r w:rsidRPr="00520861">
        <w:rPr>
          <w:rFonts w:eastAsia="Calibri"/>
          <w:sz w:val="28"/>
          <w:szCs w:val="28"/>
          <w:lang w:eastAsia="en-US"/>
        </w:rPr>
        <w:t>дна</w:t>
      </w:r>
      <w:proofErr w:type="spellEnd"/>
      <w:r w:rsidRPr="00520861">
        <w:rPr>
          <w:rFonts w:eastAsia="Calibri"/>
          <w:sz w:val="28"/>
          <w:szCs w:val="28"/>
          <w:lang w:eastAsia="en-US"/>
        </w:rPr>
        <w:t xml:space="preserve"> порожнини рота поруч із вуздечкою язика</w:t>
      </w:r>
      <w:r w:rsidRPr="00520861">
        <w:rPr>
          <w:rFonts w:eastAsia="Calibri"/>
          <w:bCs/>
          <w:iCs/>
          <w:sz w:val="28"/>
          <w:szCs w:val="28"/>
          <w:lang w:eastAsia="en-US"/>
        </w:rPr>
        <w:t xml:space="preserve"> спостерігається </w:t>
      </w:r>
      <w:r w:rsidRPr="00520861">
        <w:rPr>
          <w:rFonts w:eastAsia="Calibri"/>
          <w:sz w:val="28"/>
          <w:szCs w:val="28"/>
          <w:lang w:eastAsia="en-US"/>
        </w:rPr>
        <w:t>кіста (</w:t>
      </w:r>
      <w:proofErr w:type="spellStart"/>
      <w:r w:rsidRPr="00520861">
        <w:rPr>
          <w:rFonts w:eastAsia="Calibri"/>
          <w:sz w:val="28"/>
          <w:szCs w:val="28"/>
          <w:lang w:eastAsia="en-US"/>
        </w:rPr>
        <w:t>ранула</w:t>
      </w:r>
      <w:proofErr w:type="spellEnd"/>
      <w:r w:rsidRPr="00520861">
        <w:rPr>
          <w:rFonts w:eastAsia="Calibri"/>
          <w:sz w:val="28"/>
          <w:szCs w:val="28"/>
          <w:lang w:eastAsia="en-US"/>
        </w:rPr>
        <w:t>) під’язичної слинної залози;</w:t>
      </w:r>
      <w:r w:rsidRPr="00520861">
        <w:rPr>
          <w:rFonts w:eastAsiaTheme="minorHAnsi"/>
          <w:sz w:val="28"/>
          <w:szCs w:val="28"/>
          <w:lang w:eastAsia="en-US"/>
        </w:rPr>
        <w:t xml:space="preserve"> </w:t>
      </w:r>
    </w:p>
    <w:p w14:paraId="57AF4B5F" w14:textId="77777777" w:rsidR="002E3CE8" w:rsidRPr="00520861" w:rsidRDefault="002E3CE8" w:rsidP="00292D2E">
      <w:pPr>
        <w:widowControl w:val="0"/>
        <w:spacing w:line="360" w:lineRule="auto"/>
        <w:ind w:firstLine="709"/>
        <w:jc w:val="center"/>
        <w:rPr>
          <w:rFonts w:eastAsia="Calibri"/>
          <w:bCs/>
          <w:iCs/>
          <w:sz w:val="28"/>
          <w:szCs w:val="28"/>
          <w:lang w:eastAsia="en-US"/>
        </w:rPr>
      </w:pPr>
      <w:r w:rsidRPr="00520861">
        <w:rPr>
          <w:rFonts w:eastAsiaTheme="minorHAnsi"/>
          <w:sz w:val="28"/>
          <w:szCs w:val="28"/>
          <w:lang w:eastAsia="en-US"/>
        </w:rPr>
        <w:t xml:space="preserve">б) </w:t>
      </w:r>
      <w:r w:rsidRPr="00520861">
        <w:rPr>
          <w:rFonts w:eastAsia="Calibri"/>
          <w:bCs/>
          <w:iCs/>
          <w:sz w:val="28"/>
          <w:szCs w:val="28"/>
          <w:lang w:eastAsia="en-US"/>
        </w:rPr>
        <w:t xml:space="preserve">дитини О. (хлопчик) віком 1 доба, </w:t>
      </w:r>
      <w:r w:rsidRPr="00520861">
        <w:rPr>
          <w:sz w:val="28"/>
          <w:szCs w:val="28"/>
        </w:rPr>
        <w:t xml:space="preserve">амб. карта № 153358, </w:t>
      </w:r>
      <w:r w:rsidRPr="00520861">
        <w:rPr>
          <w:rFonts w:eastAsia="Calibri"/>
          <w:bCs/>
          <w:iCs/>
          <w:sz w:val="28"/>
          <w:szCs w:val="28"/>
          <w:lang w:eastAsia="en-US"/>
        </w:rPr>
        <w:t>підгрупа 1</w:t>
      </w:r>
      <w:r w:rsidRPr="00520861">
        <w:rPr>
          <w:rFonts w:eastAsiaTheme="minorHAnsi"/>
          <w:sz w:val="28"/>
          <w:szCs w:val="28"/>
          <w:lang w:eastAsia="en-US"/>
        </w:rPr>
        <w:t xml:space="preserve">. </w:t>
      </w:r>
      <w:r w:rsidRPr="00520861">
        <w:rPr>
          <w:rFonts w:eastAsiaTheme="minorHAnsi"/>
          <w:sz w:val="28"/>
          <w:szCs w:val="28"/>
          <w:lang w:eastAsia="en-US"/>
        </w:rPr>
        <w:br/>
      </w:r>
      <w:proofErr w:type="spellStart"/>
      <w:r w:rsidRPr="00520861">
        <w:rPr>
          <w:rFonts w:eastAsia="Calibri"/>
          <w:bCs/>
          <w:iCs/>
          <w:sz w:val="28"/>
          <w:szCs w:val="28"/>
          <w:lang w:eastAsia="en-US"/>
        </w:rPr>
        <w:t>Н</w:t>
      </w:r>
      <w:r w:rsidRPr="00520861">
        <w:rPr>
          <w:rFonts w:eastAsiaTheme="minorHAnsi"/>
          <w:sz w:val="28"/>
          <w:szCs w:val="28"/>
          <w:lang w:eastAsia="en-US"/>
        </w:rPr>
        <w:t>атальні</w:t>
      </w:r>
      <w:proofErr w:type="spellEnd"/>
      <w:r w:rsidRPr="00520861">
        <w:rPr>
          <w:rFonts w:eastAsiaTheme="minorHAnsi"/>
          <w:sz w:val="28"/>
          <w:szCs w:val="28"/>
          <w:lang w:eastAsia="en-US"/>
        </w:rPr>
        <w:t xml:space="preserve"> зуби повністю вкриті кістами прорізування та </w:t>
      </w:r>
      <w:r w:rsidRPr="00520861">
        <w:rPr>
          <w:rFonts w:eastAsia="Calibri"/>
          <w:bCs/>
          <w:iCs/>
          <w:sz w:val="28"/>
          <w:szCs w:val="28"/>
          <w:lang w:eastAsia="en-US"/>
        </w:rPr>
        <w:t xml:space="preserve">II вид вуздечки язика (за класифікацією </w:t>
      </w:r>
      <w:proofErr w:type="spellStart"/>
      <w:r w:rsidRPr="00520861">
        <w:rPr>
          <w:rFonts w:eastAsia="Calibri"/>
          <w:bCs/>
          <w:iCs/>
          <w:sz w:val="28"/>
          <w:szCs w:val="28"/>
          <w:lang w:eastAsia="en-US"/>
        </w:rPr>
        <w:t>Хорошилкіної</w:t>
      </w:r>
      <w:proofErr w:type="spellEnd"/>
      <w:r w:rsidRPr="00520861">
        <w:rPr>
          <w:rFonts w:eastAsia="Calibri"/>
          <w:bCs/>
          <w:iCs/>
          <w:sz w:val="28"/>
          <w:szCs w:val="28"/>
          <w:lang w:eastAsia="en-US"/>
        </w:rPr>
        <w:t xml:space="preserve"> Ф.Я.).</w:t>
      </w:r>
    </w:p>
    <w:p w14:paraId="7AEB7305" w14:textId="77777777" w:rsidR="002E3CE8" w:rsidRPr="00520861" w:rsidRDefault="002E3CE8" w:rsidP="00292D2E">
      <w:pPr>
        <w:widowControl w:val="0"/>
        <w:spacing w:line="360" w:lineRule="auto"/>
        <w:ind w:firstLine="709"/>
        <w:jc w:val="center"/>
        <w:rPr>
          <w:rFonts w:eastAsia="Calibri"/>
          <w:bCs/>
          <w:iCs/>
          <w:sz w:val="28"/>
          <w:szCs w:val="28"/>
          <w:lang w:eastAsia="en-US"/>
        </w:rPr>
      </w:pPr>
    </w:p>
    <w:p w14:paraId="35A89328" w14:textId="77777777" w:rsidR="002E3CE8" w:rsidRPr="00520861" w:rsidRDefault="002E3CE8" w:rsidP="00292D2E">
      <w:pPr>
        <w:widowControl w:val="0"/>
        <w:spacing w:line="360" w:lineRule="auto"/>
        <w:jc w:val="center"/>
        <w:rPr>
          <w:rFonts w:eastAsia="Calibri"/>
          <w:bCs/>
          <w:iCs/>
          <w:sz w:val="28"/>
          <w:szCs w:val="28"/>
          <w:lang w:eastAsia="en-US"/>
        </w:rPr>
      </w:pPr>
      <w:r w:rsidRPr="00520861">
        <w:rPr>
          <w:rFonts w:eastAsia="Calibri"/>
          <w:bCs/>
          <w:iCs/>
          <w:noProof/>
          <w:sz w:val="28"/>
          <w:szCs w:val="28"/>
          <w:lang w:val="ru-RU"/>
        </w:rPr>
        <w:drawing>
          <wp:inline distT="0" distB="0" distL="0" distR="0" wp14:anchorId="3153250C" wp14:editId="5DC100CB">
            <wp:extent cx="2520000" cy="190800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520000" cy="1908000"/>
                    </a:xfrm>
                    <a:prstGeom prst="rect">
                      <a:avLst/>
                    </a:prstGeom>
                    <a:noFill/>
                  </pic:spPr>
                </pic:pic>
              </a:graphicData>
            </a:graphic>
          </wp:inline>
        </w:drawing>
      </w:r>
      <w:r w:rsidRPr="00520861">
        <w:rPr>
          <w:rFonts w:eastAsia="Calibri"/>
          <w:bCs/>
          <w:iCs/>
          <w:noProof/>
          <w:sz w:val="28"/>
          <w:szCs w:val="28"/>
          <w:lang w:val="ru-RU"/>
        </w:rPr>
        <w:drawing>
          <wp:inline distT="0" distB="0" distL="0" distR="0" wp14:anchorId="504857DE" wp14:editId="025FBD9D">
            <wp:extent cx="2538000" cy="190800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538000" cy="1908000"/>
                    </a:xfrm>
                    <a:prstGeom prst="rect">
                      <a:avLst/>
                    </a:prstGeom>
                    <a:noFill/>
                  </pic:spPr>
                </pic:pic>
              </a:graphicData>
            </a:graphic>
          </wp:inline>
        </w:drawing>
      </w:r>
    </w:p>
    <w:tbl>
      <w:tblPr>
        <w:tblStyle w:val="8"/>
        <w:tblW w:w="0" w:type="auto"/>
        <w:tblInd w:w="11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3260"/>
      </w:tblGrid>
      <w:tr w:rsidR="002E3CE8" w:rsidRPr="00520861" w14:paraId="15A3F171" w14:textId="77777777" w:rsidTr="00292D2E">
        <w:tc>
          <w:tcPr>
            <w:tcW w:w="4678" w:type="dxa"/>
          </w:tcPr>
          <w:p w14:paraId="1F22479D" w14:textId="77777777" w:rsidR="002E3CE8" w:rsidRPr="00520861" w:rsidRDefault="002E3CE8" w:rsidP="00292D2E">
            <w:pPr>
              <w:widowControl w:val="0"/>
              <w:jc w:val="center"/>
              <w:rPr>
                <w:rFonts w:eastAsia="Calibri" w:cs="Times New Roman"/>
                <w:bCs/>
                <w:i/>
                <w:iCs/>
                <w:sz w:val="28"/>
                <w:szCs w:val="28"/>
              </w:rPr>
            </w:pPr>
            <w:r w:rsidRPr="00520861">
              <w:rPr>
                <w:rFonts w:eastAsia="Calibri" w:cs="Times New Roman"/>
                <w:bCs/>
                <w:i/>
                <w:iCs/>
                <w:sz w:val="28"/>
                <w:szCs w:val="28"/>
              </w:rPr>
              <w:t>а</w:t>
            </w:r>
            <w:r w:rsidR="00A70162" w:rsidRPr="00520861">
              <w:rPr>
                <w:rFonts w:eastAsia="Calibri" w:cs="Times New Roman"/>
                <w:bCs/>
                <w:iCs/>
                <w:sz w:val="28"/>
                <w:szCs w:val="28"/>
              </w:rPr>
              <w:t>)</w:t>
            </w:r>
          </w:p>
        </w:tc>
        <w:tc>
          <w:tcPr>
            <w:tcW w:w="3260" w:type="dxa"/>
          </w:tcPr>
          <w:p w14:paraId="012222F6"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A70162" w:rsidRPr="00520861">
              <w:rPr>
                <w:rFonts w:eastAsia="Calibri" w:cs="Times New Roman"/>
                <w:sz w:val="28"/>
                <w:szCs w:val="28"/>
              </w:rPr>
              <w:t>)</w:t>
            </w:r>
          </w:p>
        </w:tc>
      </w:tr>
    </w:tbl>
    <w:p w14:paraId="4D7226C3" w14:textId="77777777" w:rsidR="002E3CE8" w:rsidRPr="00520861" w:rsidRDefault="002E3CE8" w:rsidP="00292D2E">
      <w:pPr>
        <w:widowControl w:val="0"/>
        <w:spacing w:line="360" w:lineRule="auto"/>
        <w:ind w:firstLine="709"/>
        <w:jc w:val="center"/>
        <w:rPr>
          <w:rFonts w:eastAsia="Calibri"/>
          <w:sz w:val="28"/>
          <w:szCs w:val="28"/>
          <w:lang w:eastAsia="en-US"/>
        </w:rPr>
      </w:pPr>
      <w:r w:rsidRPr="00520861">
        <w:rPr>
          <w:rFonts w:eastAsia="Calibri"/>
          <w:sz w:val="28"/>
          <w:szCs w:val="28"/>
          <w:lang w:eastAsia="en-US"/>
        </w:rPr>
        <w:t xml:space="preserve">Рис. 5.7. Фото фронтальної ділянки ротової порожнини: а) дитини К. (хлопчик) віком 1 доба, </w:t>
      </w:r>
      <w:r w:rsidRPr="00520861">
        <w:rPr>
          <w:sz w:val="28"/>
          <w:szCs w:val="28"/>
        </w:rPr>
        <w:t xml:space="preserve">амб. карта № 152519, </w:t>
      </w:r>
      <w:r w:rsidRPr="00520861">
        <w:rPr>
          <w:rFonts w:eastAsia="Calibri"/>
          <w:sz w:val="28"/>
          <w:szCs w:val="28"/>
          <w:lang w:eastAsia="en-US"/>
        </w:rPr>
        <w:t xml:space="preserve">підгрупа 1. Вуздечка верхньої </w:t>
      </w:r>
      <w:r w:rsidRPr="00520861">
        <w:rPr>
          <w:rFonts w:eastAsia="Calibri"/>
          <w:spacing w:val="-6"/>
          <w:sz w:val="28"/>
          <w:szCs w:val="28"/>
          <w:lang w:eastAsia="en-US"/>
        </w:rPr>
        <w:t xml:space="preserve">губи IV вид (за класифікацією </w:t>
      </w:r>
      <w:proofErr w:type="spellStart"/>
      <w:r w:rsidRPr="00520861">
        <w:rPr>
          <w:rFonts w:eastAsia="Calibri"/>
          <w:spacing w:val="-6"/>
          <w:sz w:val="28"/>
          <w:szCs w:val="28"/>
          <w:lang w:eastAsia="en-US"/>
        </w:rPr>
        <w:t>Kotlow</w:t>
      </w:r>
      <w:proofErr w:type="spellEnd"/>
      <w:r w:rsidRPr="00520861">
        <w:rPr>
          <w:rFonts w:eastAsia="Calibri"/>
          <w:spacing w:val="-6"/>
          <w:sz w:val="28"/>
          <w:szCs w:val="28"/>
          <w:lang w:eastAsia="en-US"/>
        </w:rPr>
        <w:t xml:space="preserve"> L.), кісти зубної пластинки </w:t>
      </w:r>
      <w:r w:rsidRPr="00520861">
        <w:rPr>
          <w:spacing w:val="-6"/>
          <w:sz w:val="28"/>
          <w:szCs w:val="28"/>
        </w:rPr>
        <w:t>(позначені стрілками)</w:t>
      </w:r>
      <w:r w:rsidRPr="00520861">
        <w:rPr>
          <w:rFonts w:eastAsia="Calibri"/>
          <w:spacing w:val="-6"/>
          <w:sz w:val="28"/>
          <w:szCs w:val="28"/>
          <w:lang w:eastAsia="en-US"/>
        </w:rPr>
        <w:t xml:space="preserve">; </w:t>
      </w:r>
    </w:p>
    <w:p w14:paraId="2F45DA59" w14:textId="77777777" w:rsidR="002E3CE8" w:rsidRPr="00520861" w:rsidRDefault="002E3CE8" w:rsidP="00292D2E">
      <w:pPr>
        <w:widowControl w:val="0"/>
        <w:spacing w:line="360" w:lineRule="auto"/>
        <w:jc w:val="center"/>
        <w:rPr>
          <w:spacing w:val="-6"/>
          <w:sz w:val="28"/>
          <w:szCs w:val="28"/>
        </w:rPr>
      </w:pPr>
      <w:r w:rsidRPr="00520861">
        <w:rPr>
          <w:rFonts w:eastAsia="Calibri"/>
          <w:bCs/>
          <w:iCs/>
          <w:spacing w:val="-2"/>
          <w:sz w:val="28"/>
          <w:szCs w:val="28"/>
          <w:lang w:eastAsia="en-US"/>
        </w:rPr>
        <w:t xml:space="preserve">б) дитини К. (дівчинка) віком 18 діб, </w:t>
      </w:r>
      <w:r w:rsidRPr="00520861">
        <w:rPr>
          <w:spacing w:val="-2"/>
          <w:sz w:val="28"/>
          <w:szCs w:val="28"/>
        </w:rPr>
        <w:t xml:space="preserve">амб. карта № 151484, </w:t>
      </w:r>
      <w:r w:rsidRPr="00520861">
        <w:rPr>
          <w:rFonts w:eastAsiaTheme="minorHAnsi"/>
          <w:spacing w:val="-2"/>
          <w:sz w:val="28"/>
          <w:szCs w:val="28"/>
          <w:lang w:eastAsia="en-US"/>
        </w:rPr>
        <w:t>підгрупа 4</w:t>
      </w:r>
      <w:r w:rsidRPr="00520861">
        <w:rPr>
          <w:rFonts w:eastAsia="Calibri"/>
          <w:bCs/>
          <w:iCs/>
          <w:spacing w:val="-2"/>
          <w:sz w:val="28"/>
          <w:szCs w:val="28"/>
          <w:lang w:eastAsia="en-US"/>
        </w:rPr>
        <w:t>.</w:t>
      </w:r>
      <w:r w:rsidRPr="00520861">
        <w:rPr>
          <w:spacing w:val="-2"/>
          <w:sz w:val="28"/>
          <w:szCs w:val="28"/>
        </w:rPr>
        <w:t xml:space="preserve"> На межі твердого</w:t>
      </w:r>
      <w:r w:rsidRPr="00520861">
        <w:rPr>
          <w:sz w:val="28"/>
          <w:szCs w:val="28"/>
        </w:rPr>
        <w:t xml:space="preserve"> та м’якого піднебіння по середній лінії праворуч та ліворуч спостерігаються неправильної округлої форми симетрично розташовані ерозії (позначені стрілками), укриті сіро-жовтим фібринозним нальотом, діаметром по 7 мм, які </w:t>
      </w:r>
      <w:r w:rsidRPr="00520861">
        <w:rPr>
          <w:spacing w:val="-6"/>
          <w:sz w:val="28"/>
          <w:szCs w:val="28"/>
        </w:rPr>
        <w:t xml:space="preserve">мають чіткі межі </w:t>
      </w:r>
      <w:r w:rsidRPr="00520861">
        <w:rPr>
          <w:color w:val="000000"/>
          <w:spacing w:val="-6"/>
          <w:sz w:val="28"/>
          <w:szCs w:val="28"/>
          <w:shd w:val="clear" w:color="auto" w:fill="FFFFFF"/>
        </w:rPr>
        <w:t>(</w:t>
      </w:r>
      <w:r w:rsidRPr="00520861">
        <w:rPr>
          <w:spacing w:val="-6"/>
          <w:sz w:val="28"/>
          <w:szCs w:val="28"/>
        </w:rPr>
        <w:t xml:space="preserve">афти </w:t>
      </w:r>
      <w:proofErr w:type="spellStart"/>
      <w:r w:rsidRPr="00520861">
        <w:rPr>
          <w:spacing w:val="-6"/>
          <w:sz w:val="28"/>
          <w:szCs w:val="28"/>
        </w:rPr>
        <w:t>Беднара</w:t>
      </w:r>
      <w:proofErr w:type="spellEnd"/>
      <w:r w:rsidRPr="00520861">
        <w:rPr>
          <w:spacing w:val="-6"/>
          <w:sz w:val="28"/>
          <w:szCs w:val="28"/>
        </w:rPr>
        <w:t xml:space="preserve">). Вуздечка язика I вид (за класифікацією </w:t>
      </w:r>
      <w:proofErr w:type="spellStart"/>
      <w:r w:rsidRPr="00520861">
        <w:rPr>
          <w:spacing w:val="-6"/>
          <w:sz w:val="28"/>
          <w:szCs w:val="28"/>
        </w:rPr>
        <w:t>Хорошилкіної</w:t>
      </w:r>
      <w:proofErr w:type="spellEnd"/>
      <w:r w:rsidRPr="00520861">
        <w:rPr>
          <w:spacing w:val="-6"/>
          <w:sz w:val="28"/>
          <w:szCs w:val="28"/>
        </w:rPr>
        <w:t xml:space="preserve"> Ф.Я.).</w:t>
      </w:r>
    </w:p>
    <w:p w14:paraId="25D65FDA" w14:textId="77777777" w:rsidR="002E3CE8" w:rsidRPr="00520861" w:rsidRDefault="002E3CE8" w:rsidP="00292D2E">
      <w:pPr>
        <w:widowControl w:val="0"/>
        <w:spacing w:line="360" w:lineRule="auto"/>
        <w:ind w:firstLine="708"/>
        <w:jc w:val="both"/>
        <w:rPr>
          <w:rFonts w:eastAsia="Calibri"/>
          <w:bCs/>
          <w:iCs/>
          <w:sz w:val="28"/>
          <w:szCs w:val="28"/>
          <w:lang w:eastAsia="en-US"/>
        </w:rPr>
      </w:pPr>
      <w:r w:rsidRPr="00520861">
        <w:rPr>
          <w:rFonts w:eastAsiaTheme="minorHAnsi"/>
          <w:sz w:val="28"/>
          <w:szCs w:val="28"/>
          <w:lang w:eastAsia="en-US"/>
        </w:rPr>
        <w:lastRenderedPageBreak/>
        <w:t>Воно було виявлене в 6 (11,8%) дітей підгрупи 1, у двох (11,1%) дітей підгрупи 2, в однієї (5,6%) дитини підгрупи 3 та в трьох (17,6%) дітей підгрупи 4.</w:t>
      </w:r>
    </w:p>
    <w:p w14:paraId="2C27E7AB"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Спостерігалися значні відмінності стоматологічного статусу новонароджених </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від статусу </w:t>
      </w:r>
      <w:proofErr w:type="spellStart"/>
      <w:r w:rsidRPr="00520861">
        <w:rPr>
          <w:rFonts w:eastAsiaTheme="minorHAnsi"/>
          <w:sz w:val="28"/>
          <w:szCs w:val="28"/>
          <w:lang w:eastAsia="en-US"/>
        </w:rPr>
        <w:t>нормосомів</w:t>
      </w:r>
      <w:proofErr w:type="spellEnd"/>
      <w:r w:rsidRPr="00520861">
        <w:rPr>
          <w:rFonts w:eastAsiaTheme="minorHAnsi"/>
          <w:sz w:val="28"/>
          <w:szCs w:val="28"/>
          <w:lang w:eastAsia="en-US"/>
        </w:rPr>
        <w:t xml:space="preserve"> [318], причому процентна кількість аномалій м’яких тканин при народженні була вірогідно більшою для дітей-</w:t>
      </w:r>
      <w:proofErr w:type="spellStart"/>
      <w:r w:rsidRPr="00520861">
        <w:rPr>
          <w:rFonts w:eastAsiaTheme="minorHAnsi"/>
          <w:sz w:val="28"/>
          <w:szCs w:val="28"/>
          <w:lang w:eastAsia="en-US"/>
        </w:rPr>
        <w:t>макросомів</w:t>
      </w:r>
      <w:proofErr w:type="spellEnd"/>
      <w:r w:rsidRPr="00520861">
        <w:rPr>
          <w:rFonts w:eastAsiaTheme="minorHAnsi"/>
          <w:sz w:val="28"/>
          <w:szCs w:val="28"/>
          <w:lang w:eastAsia="en-US"/>
        </w:rPr>
        <w:t xml:space="preserve"> </w:t>
      </w:r>
      <w:r w:rsidRPr="00520861">
        <w:rPr>
          <w:rFonts w:eastAsiaTheme="minorHAnsi"/>
          <w:sz w:val="28"/>
          <w:szCs w:val="28"/>
          <w:lang w:eastAsia="en-US"/>
        </w:rPr>
        <w:br/>
        <w:t xml:space="preserve">в порівнянні з </w:t>
      </w:r>
      <w:proofErr w:type="spellStart"/>
      <w:r w:rsidRPr="00520861">
        <w:rPr>
          <w:rFonts w:eastAsiaTheme="minorHAnsi"/>
          <w:sz w:val="28"/>
          <w:szCs w:val="28"/>
          <w:lang w:eastAsia="en-US"/>
        </w:rPr>
        <w:t>нормосомами</w:t>
      </w:r>
      <w:proofErr w:type="spellEnd"/>
      <w:r w:rsidRPr="00520861">
        <w:rPr>
          <w:rFonts w:eastAsiaTheme="minorHAnsi"/>
          <w:sz w:val="28"/>
          <w:szCs w:val="28"/>
          <w:lang w:eastAsia="en-US"/>
        </w:rPr>
        <w:t xml:space="preserve"> [487].</w:t>
      </w:r>
    </w:p>
    <w:p w14:paraId="11EF4AD0"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Повторні обстеження більшості цих самих дітей проводилися у віці від 4 до 20 місяців [318]. </w:t>
      </w:r>
      <w:r w:rsidRPr="00520861">
        <w:rPr>
          <w:rFonts w:eastAsia="Calibri"/>
          <w:sz w:val="28"/>
          <w:szCs w:val="28"/>
          <w:lang w:eastAsia="en-US"/>
        </w:rPr>
        <w:t xml:space="preserve">У </w:t>
      </w:r>
      <w:r w:rsidRPr="00520861">
        <w:rPr>
          <w:rFonts w:eastAsiaTheme="minorHAnsi"/>
          <w:sz w:val="28"/>
          <w:szCs w:val="28"/>
          <w:lang w:eastAsia="en-US"/>
        </w:rPr>
        <w:t xml:space="preserve">групі </w:t>
      </w:r>
      <w:proofErr w:type="spellStart"/>
      <w:r w:rsidRPr="00520861">
        <w:rPr>
          <w:rFonts w:eastAsiaTheme="minorHAnsi"/>
          <w:sz w:val="28"/>
          <w:szCs w:val="28"/>
          <w:lang w:eastAsia="en-US"/>
        </w:rPr>
        <w:t>макросомів</w:t>
      </w:r>
      <w:proofErr w:type="spellEnd"/>
      <w:r w:rsidRPr="00520861">
        <w:rPr>
          <w:rFonts w:eastAsia="Calibri"/>
          <w:sz w:val="28"/>
          <w:szCs w:val="28"/>
          <w:lang w:eastAsia="en-US"/>
        </w:rPr>
        <w:t xml:space="preserve"> зафіксована наявність великого процента </w:t>
      </w:r>
      <w:r w:rsidRPr="00520861">
        <w:rPr>
          <w:rFonts w:eastAsiaTheme="minorHAnsi"/>
          <w:sz w:val="28"/>
          <w:szCs w:val="28"/>
          <w:lang w:eastAsia="en-US"/>
        </w:rPr>
        <w:t>щільних, низько прикріплених вуздечок верхньої губи (рис. 5.8</w:t>
      </w:r>
      <w:r w:rsidRPr="00520861">
        <w:rPr>
          <w:rFonts w:eastAsiaTheme="minorHAnsi"/>
          <w:i/>
          <w:sz w:val="28"/>
          <w:szCs w:val="28"/>
          <w:lang w:eastAsia="en-US"/>
        </w:rPr>
        <w:t>а</w:t>
      </w:r>
      <w:r w:rsidRPr="00520861">
        <w:rPr>
          <w:rFonts w:eastAsiaTheme="minorHAnsi"/>
          <w:sz w:val="28"/>
          <w:szCs w:val="28"/>
          <w:lang w:eastAsia="en-US"/>
        </w:rPr>
        <w:t>, 5.8</w:t>
      </w:r>
      <w:r w:rsidRPr="00520861">
        <w:rPr>
          <w:rFonts w:eastAsiaTheme="minorHAnsi"/>
          <w:i/>
          <w:sz w:val="28"/>
          <w:szCs w:val="28"/>
          <w:lang w:eastAsia="en-US"/>
        </w:rPr>
        <w:t>б</w:t>
      </w:r>
      <w:r w:rsidRPr="00520861">
        <w:rPr>
          <w:rFonts w:eastAsiaTheme="minorHAnsi"/>
          <w:sz w:val="28"/>
          <w:szCs w:val="28"/>
          <w:lang w:eastAsia="en-US"/>
        </w:rPr>
        <w:t xml:space="preserve">). </w:t>
      </w:r>
    </w:p>
    <w:p w14:paraId="2415D02D" w14:textId="77777777" w:rsidR="002E3CE8" w:rsidRPr="00520861" w:rsidRDefault="002E3CE8" w:rsidP="00292D2E">
      <w:pPr>
        <w:widowControl w:val="0"/>
        <w:shd w:val="clear" w:color="auto" w:fill="FFFFFF"/>
        <w:spacing w:line="360" w:lineRule="auto"/>
        <w:ind w:firstLine="709"/>
        <w:jc w:val="both"/>
        <w:rPr>
          <w:rFonts w:eastAsia="Calibri"/>
          <w:sz w:val="28"/>
          <w:szCs w:val="28"/>
          <w:lang w:eastAsia="en-US"/>
        </w:rPr>
      </w:pPr>
      <w:r w:rsidRPr="00520861">
        <w:rPr>
          <w:rFonts w:eastAsia="Calibri"/>
          <w:sz w:val="28"/>
          <w:szCs w:val="28"/>
          <w:lang w:eastAsia="en-US"/>
        </w:rPr>
        <w:t xml:space="preserve">Серед аномалій окремих зубів звертає на себе увагу наявність </w:t>
      </w:r>
      <w:proofErr w:type="spellStart"/>
      <w:r w:rsidRPr="00520861">
        <w:rPr>
          <w:rFonts w:eastAsia="Calibri"/>
          <w:sz w:val="28"/>
          <w:szCs w:val="28"/>
          <w:lang w:eastAsia="en-US"/>
        </w:rPr>
        <w:t>гіпопластично</w:t>
      </w:r>
      <w:proofErr w:type="spellEnd"/>
      <w:r w:rsidRPr="00520861">
        <w:rPr>
          <w:rFonts w:eastAsia="Calibri"/>
          <w:sz w:val="28"/>
          <w:szCs w:val="28"/>
          <w:lang w:eastAsia="en-US"/>
        </w:rPr>
        <w:t xml:space="preserve"> змінених, малих за розмірами, коронкових частин фронтальної групи зубів у дітей,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w:t>
      </w:r>
      <w:r w:rsidRPr="00520861">
        <w:rPr>
          <w:sz w:val="28"/>
          <w:szCs w:val="28"/>
        </w:rPr>
        <w:t>рис. 5.8</w:t>
      </w:r>
      <w:r w:rsidRPr="00520861">
        <w:rPr>
          <w:i/>
          <w:sz w:val="28"/>
          <w:szCs w:val="28"/>
        </w:rPr>
        <w:t>а</w:t>
      </w:r>
      <w:r w:rsidRPr="00520861">
        <w:rPr>
          <w:sz w:val="28"/>
          <w:szCs w:val="28"/>
        </w:rPr>
        <w:t>, 5.8</w:t>
      </w:r>
      <w:r w:rsidRPr="00520861">
        <w:rPr>
          <w:i/>
          <w:sz w:val="28"/>
          <w:szCs w:val="28"/>
        </w:rPr>
        <w:t>б</w:t>
      </w:r>
      <w:r w:rsidRPr="00520861">
        <w:rPr>
          <w:rFonts w:eastAsia="Calibri"/>
          <w:sz w:val="28"/>
          <w:szCs w:val="28"/>
          <w:lang w:eastAsia="en-US"/>
        </w:rPr>
        <w:t xml:space="preserve">). </w:t>
      </w:r>
    </w:p>
    <w:p w14:paraId="73E0142E" w14:textId="77777777" w:rsidR="002E3CE8" w:rsidRPr="00520861" w:rsidRDefault="002E3CE8" w:rsidP="00292D2E">
      <w:pPr>
        <w:widowControl w:val="0"/>
        <w:shd w:val="clear" w:color="auto" w:fill="FFFFFF"/>
        <w:spacing w:line="360" w:lineRule="auto"/>
        <w:ind w:firstLine="709"/>
        <w:jc w:val="both"/>
        <w:rPr>
          <w:rFonts w:eastAsia="Calibri"/>
          <w:sz w:val="28"/>
          <w:szCs w:val="28"/>
          <w:lang w:eastAsia="en-US"/>
        </w:rPr>
      </w:pPr>
      <w:r w:rsidRPr="00520861">
        <w:rPr>
          <w:rFonts w:eastAsia="Calibri"/>
          <w:sz w:val="28"/>
          <w:szCs w:val="28"/>
          <w:lang w:eastAsia="en-US"/>
        </w:rPr>
        <w:t xml:space="preserve">При повторних обстеженнях серед аномалій положення зубів у дітей ОГ у 10 (10,4%) дітей було зафіксовано поворот зубів фронтальної групи навколо </w:t>
      </w:r>
      <w:r w:rsidRPr="00520861">
        <w:rPr>
          <w:rFonts w:eastAsia="Calibri"/>
          <w:sz w:val="28"/>
          <w:szCs w:val="28"/>
          <w:lang w:eastAsia="en-US"/>
        </w:rPr>
        <w:br/>
        <w:t>поздовжньої осі (</w:t>
      </w:r>
      <w:r w:rsidRPr="00520861">
        <w:rPr>
          <w:sz w:val="28"/>
          <w:szCs w:val="28"/>
        </w:rPr>
        <w:t>рис. 5.9</w:t>
      </w:r>
      <w:r w:rsidRPr="00520861">
        <w:rPr>
          <w:i/>
          <w:sz w:val="28"/>
          <w:szCs w:val="28"/>
        </w:rPr>
        <w:t>а</w:t>
      </w:r>
      <w:r w:rsidRPr="00520861">
        <w:rPr>
          <w:sz w:val="28"/>
          <w:szCs w:val="28"/>
        </w:rPr>
        <w:t>, 5.9</w:t>
      </w:r>
      <w:r w:rsidRPr="00520861">
        <w:rPr>
          <w:i/>
          <w:sz w:val="28"/>
          <w:szCs w:val="28"/>
        </w:rPr>
        <w:t>б</w:t>
      </w:r>
      <w:r w:rsidRPr="00520861">
        <w:rPr>
          <w:rFonts w:eastAsia="Calibri"/>
          <w:sz w:val="28"/>
          <w:szCs w:val="28"/>
          <w:lang w:eastAsia="en-US"/>
        </w:rPr>
        <w:t xml:space="preserve">). </w:t>
      </w:r>
    </w:p>
    <w:p w14:paraId="76730DA3" w14:textId="77777777" w:rsidR="002E3CE8" w:rsidRPr="00520861" w:rsidRDefault="002E3CE8" w:rsidP="00292D2E">
      <w:pPr>
        <w:widowControl w:val="0"/>
        <w:shd w:val="clear" w:color="auto" w:fill="FFFFFF"/>
        <w:spacing w:line="360" w:lineRule="auto"/>
        <w:ind w:firstLine="709"/>
        <w:jc w:val="both"/>
        <w:rPr>
          <w:rFonts w:eastAsia="Calibri"/>
          <w:sz w:val="28"/>
          <w:szCs w:val="28"/>
          <w:lang w:eastAsia="en-US"/>
        </w:rPr>
      </w:pPr>
      <w:r w:rsidRPr="00520861">
        <w:rPr>
          <w:rFonts w:eastAsia="Calibri"/>
          <w:sz w:val="28"/>
          <w:szCs w:val="28"/>
          <w:lang w:eastAsia="en-US"/>
        </w:rPr>
        <w:t xml:space="preserve">Цей факт є цікавим тому, що </w:t>
      </w:r>
      <w:proofErr w:type="spellStart"/>
      <w:r w:rsidRPr="00520861">
        <w:rPr>
          <w:rFonts w:eastAsia="Calibri"/>
          <w:sz w:val="28"/>
          <w:szCs w:val="28"/>
          <w:lang w:eastAsia="en-US"/>
        </w:rPr>
        <w:t>анкілоглосії</w:t>
      </w:r>
      <w:proofErr w:type="spellEnd"/>
      <w:r w:rsidRPr="00520861">
        <w:rPr>
          <w:rFonts w:eastAsia="Calibri"/>
          <w:sz w:val="28"/>
          <w:szCs w:val="28"/>
          <w:lang w:eastAsia="en-US"/>
        </w:rPr>
        <w:t xml:space="preserve"> як можливої причини повороту зубів ці діти не мали. </w:t>
      </w:r>
    </w:p>
    <w:p w14:paraId="36DF19D5" w14:textId="77777777" w:rsidR="002E3CE8" w:rsidRPr="00520861" w:rsidRDefault="002E3CE8" w:rsidP="00292D2E">
      <w:pPr>
        <w:widowControl w:val="0"/>
        <w:shd w:val="clear" w:color="auto" w:fill="FFFFFF"/>
        <w:spacing w:line="360" w:lineRule="auto"/>
        <w:ind w:firstLine="709"/>
        <w:jc w:val="both"/>
        <w:rPr>
          <w:rFonts w:eastAsia="Calibri"/>
          <w:sz w:val="28"/>
          <w:szCs w:val="28"/>
          <w:lang w:eastAsia="en-US"/>
        </w:rPr>
      </w:pPr>
      <w:r w:rsidRPr="00520861">
        <w:rPr>
          <w:rFonts w:eastAsia="Calibri"/>
          <w:color w:val="000000"/>
          <w:sz w:val="28"/>
          <w:szCs w:val="28"/>
          <w:lang w:eastAsia="en-US"/>
        </w:rPr>
        <w:t xml:space="preserve">Розглянемо особливості прорізування тимчасових зубів у дітей різних </w:t>
      </w:r>
      <w:r w:rsidRPr="00520861">
        <w:rPr>
          <w:rFonts w:eastAsia="Calibri"/>
          <w:color w:val="000000"/>
          <w:sz w:val="28"/>
          <w:szCs w:val="28"/>
          <w:lang w:eastAsia="en-US"/>
        </w:rPr>
        <w:br/>
        <w:t xml:space="preserve">підгруп, які народилися з </w:t>
      </w:r>
      <w:proofErr w:type="spellStart"/>
      <w:r w:rsidRPr="00520861">
        <w:rPr>
          <w:rFonts w:eastAsia="Calibri"/>
          <w:color w:val="000000"/>
          <w:sz w:val="28"/>
          <w:szCs w:val="28"/>
          <w:lang w:eastAsia="en-US"/>
        </w:rPr>
        <w:t>макросомією</w:t>
      </w:r>
      <w:proofErr w:type="spellEnd"/>
      <w:r w:rsidRPr="00520861">
        <w:rPr>
          <w:rFonts w:eastAsia="Calibri"/>
          <w:color w:val="000000"/>
          <w:sz w:val="28"/>
          <w:szCs w:val="28"/>
          <w:lang w:eastAsia="en-US"/>
        </w:rPr>
        <w:t>.</w:t>
      </w:r>
      <w:r w:rsidRPr="00520861">
        <w:rPr>
          <w:rFonts w:eastAsia="Calibri"/>
          <w:sz w:val="28"/>
          <w:szCs w:val="28"/>
          <w:lang w:eastAsia="en-US"/>
        </w:rPr>
        <w:t xml:space="preserve"> </w:t>
      </w:r>
    </w:p>
    <w:p w14:paraId="27EEBE59"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Діти із ГП мали в середньому більшу кількість зубів у віці 1 рік, ніж діти з ОГ (</w:t>
      </w:r>
      <w:r w:rsidRPr="00520861">
        <w:rPr>
          <w:rFonts w:eastAsia="Calibri"/>
          <w:color w:val="000000"/>
          <w:sz w:val="28"/>
          <w:szCs w:val="28"/>
          <w:lang w:eastAsia="en-US"/>
        </w:rPr>
        <w:t>табл. 5.2</w:t>
      </w:r>
      <w:r w:rsidRPr="00520861">
        <w:rPr>
          <w:rFonts w:eastAsia="Calibri"/>
          <w:sz w:val="28"/>
          <w:szCs w:val="28"/>
          <w:lang w:eastAsia="en-US"/>
        </w:rPr>
        <w:t xml:space="preserve">). </w:t>
      </w:r>
    </w:p>
    <w:p w14:paraId="0D091821" w14:textId="77777777" w:rsidR="002E3CE8" w:rsidRPr="00520861" w:rsidRDefault="002E3CE8" w:rsidP="00292D2E">
      <w:pPr>
        <w:widowControl w:val="0"/>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У цій таблиці також демонструється кількість дітей, які взяли участь у повторних обстеженнях.</w:t>
      </w:r>
    </w:p>
    <w:p w14:paraId="30EF5B84" w14:textId="77777777" w:rsidR="002E3CE8" w:rsidRPr="00520861" w:rsidRDefault="002E3CE8" w:rsidP="00292D2E">
      <w:pPr>
        <w:widowControl w:val="0"/>
        <w:shd w:val="clear" w:color="auto" w:fill="FFFFFF"/>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 xml:space="preserve">У даному дослідженні в середньому прорізування зубів починалося пізніше для дітей із </w:t>
      </w:r>
      <w:r w:rsidRPr="00520861">
        <w:rPr>
          <w:sz w:val="28"/>
          <w:szCs w:val="28"/>
        </w:rPr>
        <w:t>підгрупи 1</w:t>
      </w:r>
      <w:r w:rsidRPr="00520861">
        <w:rPr>
          <w:rFonts w:eastAsia="Calibri"/>
          <w:color w:val="000000"/>
          <w:sz w:val="28"/>
          <w:szCs w:val="28"/>
          <w:lang w:eastAsia="en-US"/>
        </w:rPr>
        <w:t xml:space="preserve">, </w:t>
      </w:r>
      <w:r w:rsidRPr="00520861">
        <w:rPr>
          <w:sz w:val="28"/>
          <w:szCs w:val="28"/>
        </w:rPr>
        <w:t xml:space="preserve">підгрупи </w:t>
      </w:r>
      <w:r w:rsidRPr="00520861">
        <w:rPr>
          <w:rFonts w:eastAsia="Calibri"/>
          <w:color w:val="000000"/>
          <w:sz w:val="28"/>
          <w:szCs w:val="28"/>
          <w:lang w:eastAsia="en-US"/>
        </w:rPr>
        <w:t xml:space="preserve">2 та хлопчиків із </w:t>
      </w:r>
      <w:r w:rsidRPr="00520861">
        <w:rPr>
          <w:sz w:val="28"/>
          <w:szCs w:val="28"/>
        </w:rPr>
        <w:t>підгрупи 3</w:t>
      </w:r>
      <w:r w:rsidRPr="00520861">
        <w:rPr>
          <w:rFonts w:eastAsia="Calibri"/>
          <w:color w:val="000000"/>
          <w:sz w:val="28"/>
          <w:szCs w:val="28"/>
          <w:lang w:eastAsia="en-US"/>
        </w:rPr>
        <w:t xml:space="preserve">, хоча це твердження вірогідне тільки для </w:t>
      </w:r>
      <w:proofErr w:type="spellStart"/>
      <w:r w:rsidRPr="00520861">
        <w:rPr>
          <w:rFonts w:eastAsia="Calibri"/>
          <w:color w:val="000000"/>
          <w:sz w:val="28"/>
          <w:szCs w:val="28"/>
          <w:lang w:eastAsia="en-US"/>
        </w:rPr>
        <w:t>дівчаток</w:t>
      </w:r>
      <w:proofErr w:type="spellEnd"/>
      <w:r w:rsidRPr="00520861">
        <w:rPr>
          <w:rFonts w:eastAsia="Calibri"/>
          <w:color w:val="000000"/>
          <w:sz w:val="28"/>
          <w:szCs w:val="28"/>
          <w:lang w:eastAsia="en-US"/>
        </w:rPr>
        <w:t xml:space="preserve"> із підгрупи 2. </w:t>
      </w:r>
    </w:p>
    <w:p w14:paraId="6996B343" w14:textId="77777777" w:rsidR="002E3CE8" w:rsidRPr="00520861" w:rsidRDefault="002E3CE8" w:rsidP="00292D2E">
      <w:pPr>
        <w:widowControl w:val="0"/>
        <w:shd w:val="clear" w:color="auto" w:fill="FFFFFF"/>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 xml:space="preserve">Середні значення кількості зубів у віці один рік для хлопчиків із </w:t>
      </w:r>
      <w:proofErr w:type="spellStart"/>
      <w:r w:rsidRPr="00520861">
        <w:rPr>
          <w:rFonts w:eastAsia="Calibri"/>
          <w:color w:val="000000"/>
          <w:sz w:val="28"/>
          <w:szCs w:val="28"/>
          <w:lang w:eastAsia="en-US"/>
        </w:rPr>
        <w:t>макросомією</w:t>
      </w:r>
      <w:proofErr w:type="spellEnd"/>
      <w:r w:rsidRPr="00520861">
        <w:rPr>
          <w:rFonts w:eastAsia="Calibri"/>
          <w:color w:val="000000"/>
          <w:sz w:val="28"/>
          <w:szCs w:val="28"/>
          <w:lang w:eastAsia="en-US"/>
        </w:rPr>
        <w:t xml:space="preserve"> були </w:t>
      </w:r>
      <w:proofErr w:type="spellStart"/>
      <w:r w:rsidRPr="00520861">
        <w:rPr>
          <w:rFonts w:eastAsia="Calibri"/>
          <w:color w:val="000000"/>
          <w:sz w:val="28"/>
          <w:szCs w:val="28"/>
          <w:lang w:eastAsia="en-US"/>
        </w:rPr>
        <w:t>невірогідно</w:t>
      </w:r>
      <w:proofErr w:type="spellEnd"/>
      <w:r w:rsidRPr="00520861">
        <w:rPr>
          <w:rFonts w:eastAsia="Calibri"/>
          <w:color w:val="000000"/>
          <w:sz w:val="28"/>
          <w:szCs w:val="28"/>
          <w:lang w:eastAsia="en-US"/>
        </w:rPr>
        <w:t xml:space="preserve"> менші в порівнянні з </w:t>
      </w:r>
      <w:proofErr w:type="spellStart"/>
      <w:r w:rsidRPr="00520861">
        <w:rPr>
          <w:rFonts w:eastAsia="Calibri"/>
          <w:color w:val="000000"/>
          <w:sz w:val="28"/>
          <w:szCs w:val="28"/>
          <w:lang w:eastAsia="en-US"/>
        </w:rPr>
        <w:t>нормосомами</w:t>
      </w:r>
      <w:proofErr w:type="spellEnd"/>
      <w:r w:rsidRPr="00520861">
        <w:rPr>
          <w:rFonts w:eastAsia="Calibri"/>
          <w:color w:val="000000"/>
          <w:sz w:val="28"/>
          <w:szCs w:val="28"/>
          <w:lang w:eastAsia="en-US"/>
        </w:rPr>
        <w:t xml:space="preserve"> тієї ж статі. </w:t>
      </w:r>
    </w:p>
    <w:p w14:paraId="55680926" w14:textId="77777777" w:rsidR="002E3CE8" w:rsidRPr="00520861" w:rsidRDefault="002E3CE8" w:rsidP="00292D2E">
      <w:pPr>
        <w:widowControl w:val="0"/>
        <w:shd w:val="clear" w:color="auto" w:fill="FFFFFF"/>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t xml:space="preserve">Для </w:t>
      </w:r>
      <w:proofErr w:type="spellStart"/>
      <w:r w:rsidRPr="00520861">
        <w:rPr>
          <w:rFonts w:eastAsia="Calibri"/>
          <w:color w:val="000000"/>
          <w:sz w:val="28"/>
          <w:szCs w:val="28"/>
          <w:lang w:eastAsia="en-US"/>
        </w:rPr>
        <w:t>дівчаток</w:t>
      </w:r>
      <w:proofErr w:type="spellEnd"/>
      <w:r w:rsidRPr="00520861">
        <w:rPr>
          <w:rFonts w:eastAsia="Calibri"/>
          <w:color w:val="000000"/>
          <w:sz w:val="28"/>
          <w:szCs w:val="28"/>
          <w:lang w:eastAsia="en-US"/>
        </w:rPr>
        <w:t xml:space="preserve"> картина </w:t>
      </w:r>
      <w:proofErr w:type="spellStart"/>
      <w:r w:rsidRPr="00520861">
        <w:rPr>
          <w:rFonts w:eastAsia="Calibri"/>
          <w:color w:val="000000"/>
          <w:sz w:val="28"/>
          <w:szCs w:val="28"/>
          <w:lang w:eastAsia="en-US"/>
        </w:rPr>
        <w:t>вцілому</w:t>
      </w:r>
      <w:proofErr w:type="spellEnd"/>
      <w:r w:rsidRPr="00520861">
        <w:rPr>
          <w:rFonts w:eastAsia="Calibri"/>
          <w:color w:val="000000"/>
          <w:sz w:val="28"/>
          <w:szCs w:val="28"/>
          <w:lang w:eastAsia="en-US"/>
        </w:rPr>
        <w:t xml:space="preserve"> була протилежною, хоча для </w:t>
      </w:r>
      <w:proofErr w:type="spellStart"/>
      <w:r w:rsidRPr="00520861">
        <w:rPr>
          <w:rFonts w:eastAsia="Calibri"/>
          <w:color w:val="000000"/>
          <w:sz w:val="28"/>
          <w:szCs w:val="28"/>
          <w:lang w:eastAsia="en-US"/>
        </w:rPr>
        <w:t>дівчаток</w:t>
      </w:r>
      <w:proofErr w:type="spellEnd"/>
      <w:r w:rsidRPr="00520861">
        <w:rPr>
          <w:rFonts w:eastAsia="Calibri"/>
          <w:color w:val="000000"/>
          <w:sz w:val="28"/>
          <w:szCs w:val="28"/>
          <w:lang w:eastAsia="en-US"/>
        </w:rPr>
        <w:t xml:space="preserve"> </w:t>
      </w:r>
      <w:r w:rsidRPr="00520861">
        <w:rPr>
          <w:sz w:val="28"/>
          <w:szCs w:val="28"/>
        </w:rPr>
        <w:t xml:space="preserve">підгрупи </w:t>
      </w:r>
      <w:r w:rsidRPr="00520861">
        <w:rPr>
          <w:rFonts w:eastAsia="Calibri"/>
          <w:color w:val="000000"/>
          <w:sz w:val="28"/>
          <w:szCs w:val="28"/>
          <w:lang w:eastAsia="en-US"/>
        </w:rPr>
        <w:t xml:space="preserve">2 зафіксоване вірогідне зниження цього показника </w:t>
      </w:r>
      <w:r w:rsidRPr="00520861">
        <w:rPr>
          <w:rFonts w:eastAsia="Calibri"/>
          <w:sz w:val="28"/>
          <w:szCs w:val="28"/>
          <w:lang w:eastAsia="en-US"/>
        </w:rPr>
        <w:t>(</w:t>
      </w:r>
      <w:r w:rsidRPr="00520861">
        <w:rPr>
          <w:rFonts w:eastAsia="Calibri"/>
          <w:color w:val="000000"/>
          <w:sz w:val="28"/>
          <w:szCs w:val="28"/>
          <w:lang w:eastAsia="en-US"/>
        </w:rPr>
        <w:t>табл. 5.2</w:t>
      </w:r>
      <w:r w:rsidRPr="00520861">
        <w:rPr>
          <w:rFonts w:eastAsia="Calibri"/>
          <w:sz w:val="28"/>
          <w:szCs w:val="28"/>
          <w:lang w:eastAsia="en-US"/>
        </w:rPr>
        <w:t>)</w:t>
      </w:r>
      <w:r w:rsidRPr="00520861">
        <w:rPr>
          <w:rFonts w:eastAsia="Calibri"/>
          <w:color w:val="000000"/>
          <w:sz w:val="28"/>
          <w:szCs w:val="28"/>
          <w:lang w:eastAsia="en-US"/>
        </w:rPr>
        <w:t>.</w:t>
      </w:r>
    </w:p>
    <w:p w14:paraId="1333E1A8" w14:textId="77777777" w:rsidR="002E3CE8" w:rsidRPr="00520861" w:rsidRDefault="002E3CE8" w:rsidP="00292D2E">
      <w:pPr>
        <w:widowControl w:val="0"/>
        <w:spacing w:line="360" w:lineRule="auto"/>
        <w:jc w:val="center"/>
        <w:rPr>
          <w:rFonts w:eastAsia="Calibri"/>
          <w:bCs/>
          <w:iCs/>
          <w:sz w:val="28"/>
          <w:szCs w:val="28"/>
          <w:lang w:eastAsia="en-US"/>
        </w:rPr>
      </w:pPr>
      <w:r w:rsidRPr="00520861">
        <w:rPr>
          <w:rFonts w:eastAsia="Calibri"/>
          <w:noProof/>
          <w:sz w:val="28"/>
          <w:szCs w:val="28"/>
          <w:lang w:val="ru-RU"/>
        </w:rPr>
        <w:lastRenderedPageBreak/>
        <w:drawing>
          <wp:inline distT="0" distB="0" distL="0" distR="0" wp14:anchorId="2DF9DAF8" wp14:editId="65523901">
            <wp:extent cx="2541600" cy="1908000"/>
            <wp:effectExtent l="0" t="0" r="0" b="0"/>
            <wp:docPr id="69" name="Рисунок 69" descr="IMG_0221 нов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IMG_0221 нов 1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541600" cy="1908000"/>
                    </a:xfrm>
                    <a:prstGeom prst="rect">
                      <a:avLst/>
                    </a:prstGeom>
                    <a:noFill/>
                    <a:ln>
                      <a:noFill/>
                    </a:ln>
                  </pic:spPr>
                </pic:pic>
              </a:graphicData>
            </a:graphic>
          </wp:inline>
        </w:drawing>
      </w:r>
      <w:r w:rsidRPr="00520861">
        <w:rPr>
          <w:rFonts w:eastAsia="Calibri"/>
          <w:bCs/>
          <w:iCs/>
          <w:noProof/>
          <w:sz w:val="28"/>
          <w:szCs w:val="28"/>
          <w:lang w:val="ru-RU"/>
        </w:rPr>
        <w:drawing>
          <wp:inline distT="0" distB="0" distL="0" distR="0" wp14:anchorId="1E61D533" wp14:editId="2A3CC658">
            <wp:extent cx="2545200" cy="1908000"/>
            <wp:effectExtent l="0" t="0" r="7620" b="0"/>
            <wp:docPr id="70" name="Рисунок 70" descr="D:\дд\фото\дети\макросомы\возный марк\IMG_5042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дд\фото\дети\макросомы\возный марк\IMG_5042  НОВ.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545200" cy="1908000"/>
                    </a:xfrm>
                    <a:prstGeom prst="rect">
                      <a:avLst/>
                    </a:prstGeom>
                    <a:noFill/>
                    <a:ln>
                      <a:noFill/>
                    </a:ln>
                  </pic:spPr>
                </pic:pic>
              </a:graphicData>
            </a:graphic>
          </wp:inline>
        </w:drawing>
      </w:r>
    </w:p>
    <w:tbl>
      <w:tblPr>
        <w:tblStyle w:val="8"/>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111"/>
      </w:tblGrid>
      <w:tr w:rsidR="002E3CE8" w:rsidRPr="00520861" w14:paraId="51DB54DA" w14:textId="77777777" w:rsidTr="00292D2E">
        <w:tc>
          <w:tcPr>
            <w:tcW w:w="4678" w:type="dxa"/>
          </w:tcPr>
          <w:p w14:paraId="48649E42" w14:textId="77777777" w:rsidR="002E3CE8" w:rsidRPr="00520861" w:rsidRDefault="002E3CE8" w:rsidP="00292D2E">
            <w:pPr>
              <w:widowControl w:val="0"/>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4111" w:type="dxa"/>
          </w:tcPr>
          <w:p w14:paraId="5718149B"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r>
    </w:tbl>
    <w:p w14:paraId="6653012A" w14:textId="77777777" w:rsidR="002E3CE8" w:rsidRPr="00520861" w:rsidRDefault="002E3CE8" w:rsidP="00292D2E">
      <w:pPr>
        <w:widowControl w:val="0"/>
        <w:tabs>
          <w:tab w:val="left" w:pos="1170"/>
        </w:tabs>
        <w:spacing w:line="360" w:lineRule="auto"/>
        <w:jc w:val="center"/>
        <w:rPr>
          <w:rFonts w:eastAsia="Calibri"/>
          <w:bCs/>
          <w:iCs/>
          <w:sz w:val="28"/>
          <w:szCs w:val="28"/>
          <w:lang w:eastAsia="en-US"/>
        </w:rPr>
      </w:pPr>
      <w:r w:rsidRPr="00520861">
        <w:rPr>
          <w:rFonts w:eastAsiaTheme="minorHAnsi"/>
          <w:sz w:val="28"/>
          <w:szCs w:val="28"/>
          <w:shd w:val="clear" w:color="auto" w:fill="FFFFFF"/>
          <w:lang w:eastAsia="en-US"/>
        </w:rPr>
        <w:t>Рис. 5.8.</w:t>
      </w:r>
      <w:r w:rsidRPr="00520861">
        <w:rPr>
          <w:rFonts w:eastAsiaTheme="minorHAnsi"/>
          <w:b/>
          <w:sz w:val="28"/>
          <w:szCs w:val="28"/>
          <w:shd w:val="clear" w:color="auto" w:fill="FFFFFF"/>
          <w:lang w:eastAsia="en-US"/>
        </w:rPr>
        <w:t xml:space="preserve"> </w:t>
      </w:r>
      <w:r w:rsidRPr="00520861">
        <w:rPr>
          <w:rFonts w:eastAsia="Calibri"/>
          <w:bCs/>
          <w:iCs/>
          <w:sz w:val="28"/>
          <w:szCs w:val="28"/>
          <w:lang w:eastAsia="en-US"/>
        </w:rPr>
        <w:t xml:space="preserve">Фото фронтальної ділянки ротової порожнини: </w:t>
      </w:r>
    </w:p>
    <w:p w14:paraId="19609D86" w14:textId="77777777" w:rsidR="002E3CE8" w:rsidRPr="00520861" w:rsidRDefault="002E3CE8" w:rsidP="00292D2E">
      <w:pPr>
        <w:widowControl w:val="0"/>
        <w:tabs>
          <w:tab w:val="left" w:pos="1170"/>
        </w:tabs>
        <w:spacing w:line="360" w:lineRule="auto"/>
        <w:jc w:val="center"/>
        <w:rPr>
          <w:rFonts w:eastAsia="Calibri"/>
          <w:bCs/>
          <w:iCs/>
          <w:sz w:val="28"/>
          <w:szCs w:val="28"/>
          <w:lang w:eastAsia="en-US"/>
        </w:rPr>
      </w:pPr>
      <w:r w:rsidRPr="00520861">
        <w:rPr>
          <w:rFonts w:eastAsia="Calibri"/>
          <w:bCs/>
          <w:iCs/>
          <w:sz w:val="28"/>
          <w:szCs w:val="28"/>
          <w:lang w:eastAsia="en-US"/>
        </w:rPr>
        <w:t xml:space="preserve">а) дитини О. (дівчинка) у віці один рік і дев’ять місяців, </w:t>
      </w:r>
      <w:r w:rsidRPr="00520861">
        <w:rPr>
          <w:sz w:val="28"/>
          <w:szCs w:val="28"/>
        </w:rPr>
        <w:t>амб. карта № 150121,</w:t>
      </w:r>
      <w:r w:rsidRPr="00520861">
        <w:rPr>
          <w:sz w:val="28"/>
          <w:szCs w:val="28"/>
        </w:rPr>
        <w:br/>
        <w:t xml:space="preserve"> </w:t>
      </w:r>
      <w:r w:rsidRPr="00520861">
        <w:rPr>
          <w:rFonts w:eastAsia="Calibri"/>
          <w:bCs/>
          <w:iCs/>
          <w:sz w:val="28"/>
          <w:szCs w:val="28"/>
          <w:lang w:eastAsia="en-US"/>
        </w:rPr>
        <w:t xml:space="preserve">підгрупа 2. Спостерігаються </w:t>
      </w:r>
      <w:proofErr w:type="spellStart"/>
      <w:r w:rsidRPr="00520861">
        <w:rPr>
          <w:rFonts w:eastAsia="Calibri"/>
          <w:bCs/>
          <w:iCs/>
          <w:sz w:val="28"/>
          <w:szCs w:val="28"/>
          <w:lang w:eastAsia="en-US"/>
        </w:rPr>
        <w:t>гіпопластично</w:t>
      </w:r>
      <w:proofErr w:type="spellEnd"/>
      <w:r w:rsidRPr="00520861">
        <w:rPr>
          <w:rFonts w:eastAsia="Calibri"/>
          <w:bCs/>
          <w:iCs/>
          <w:sz w:val="28"/>
          <w:szCs w:val="28"/>
          <w:lang w:eastAsia="en-US"/>
        </w:rPr>
        <w:t xml:space="preserve"> змінена форма 51, 52, 61, 62 зубів, IV вид вуздечки верхньої губи </w:t>
      </w:r>
      <w:r w:rsidRPr="00520861">
        <w:rPr>
          <w:rFonts w:eastAsia="Calibri"/>
          <w:sz w:val="28"/>
          <w:szCs w:val="28"/>
          <w:lang w:eastAsia="en-US"/>
        </w:rPr>
        <w:t xml:space="preserve">(за класифікацією </w:t>
      </w:r>
      <w:proofErr w:type="spellStart"/>
      <w:r w:rsidRPr="00520861">
        <w:rPr>
          <w:rFonts w:eastAsia="Calibri"/>
          <w:sz w:val="28"/>
          <w:szCs w:val="28"/>
          <w:lang w:eastAsia="en-US"/>
        </w:rPr>
        <w:t>Kotlow</w:t>
      </w:r>
      <w:proofErr w:type="spellEnd"/>
      <w:r w:rsidRPr="00520861">
        <w:rPr>
          <w:rFonts w:eastAsia="Calibri"/>
          <w:sz w:val="28"/>
          <w:szCs w:val="28"/>
          <w:lang w:eastAsia="en-US"/>
        </w:rPr>
        <w:t xml:space="preserve"> L.)</w:t>
      </w:r>
      <w:r w:rsidRPr="00520861">
        <w:rPr>
          <w:rFonts w:eastAsia="Calibri"/>
          <w:bCs/>
          <w:iCs/>
          <w:sz w:val="28"/>
          <w:szCs w:val="28"/>
          <w:lang w:eastAsia="en-US"/>
        </w:rPr>
        <w:t xml:space="preserve">; </w:t>
      </w:r>
    </w:p>
    <w:p w14:paraId="2A87DB6C" w14:textId="77777777" w:rsidR="002E3CE8" w:rsidRPr="00520861" w:rsidRDefault="002E3CE8" w:rsidP="00292D2E">
      <w:pPr>
        <w:widowControl w:val="0"/>
        <w:tabs>
          <w:tab w:val="left" w:pos="1170"/>
        </w:tabs>
        <w:spacing w:line="360" w:lineRule="auto"/>
        <w:jc w:val="center"/>
        <w:rPr>
          <w:rFonts w:eastAsia="Calibri"/>
          <w:sz w:val="28"/>
          <w:szCs w:val="28"/>
          <w:lang w:eastAsia="en-US"/>
        </w:rPr>
      </w:pPr>
      <w:r w:rsidRPr="00520861">
        <w:rPr>
          <w:rFonts w:eastAsiaTheme="minorHAnsi"/>
          <w:sz w:val="28"/>
          <w:szCs w:val="28"/>
          <w:shd w:val="clear" w:color="auto" w:fill="FFFFFF"/>
          <w:lang w:eastAsia="en-US"/>
        </w:rPr>
        <w:t xml:space="preserve">б) </w:t>
      </w:r>
      <w:r w:rsidRPr="00520861">
        <w:rPr>
          <w:rFonts w:eastAsia="Calibri"/>
          <w:bCs/>
          <w:iCs/>
          <w:sz w:val="28"/>
          <w:szCs w:val="28"/>
          <w:lang w:eastAsia="en-US"/>
        </w:rPr>
        <w:t xml:space="preserve">дитини В. (хлопчик) у віці один рік і три місяці, </w:t>
      </w:r>
      <w:r w:rsidRPr="00520861">
        <w:rPr>
          <w:sz w:val="28"/>
          <w:szCs w:val="28"/>
        </w:rPr>
        <w:t xml:space="preserve">амб. карта № 172776, </w:t>
      </w:r>
      <w:r w:rsidRPr="00520861">
        <w:rPr>
          <w:rFonts w:eastAsia="Calibri"/>
          <w:bCs/>
          <w:iCs/>
          <w:sz w:val="28"/>
          <w:szCs w:val="28"/>
          <w:lang w:eastAsia="en-US"/>
        </w:rPr>
        <w:t xml:space="preserve"> підгрупа 3. </w:t>
      </w:r>
      <w:r w:rsidRPr="00520861">
        <w:rPr>
          <w:rFonts w:eastAsia="Calibri"/>
          <w:bCs/>
          <w:iCs/>
          <w:sz w:val="28"/>
          <w:szCs w:val="28"/>
          <w:lang w:eastAsia="en-US"/>
        </w:rPr>
        <w:br/>
        <w:t xml:space="preserve">Спостерігаються </w:t>
      </w:r>
      <w:proofErr w:type="spellStart"/>
      <w:r w:rsidRPr="00520861">
        <w:rPr>
          <w:rFonts w:eastAsia="Calibri"/>
          <w:bCs/>
          <w:iCs/>
          <w:sz w:val="28"/>
          <w:szCs w:val="28"/>
          <w:lang w:eastAsia="en-US"/>
        </w:rPr>
        <w:t>гіпопластично</w:t>
      </w:r>
      <w:proofErr w:type="spellEnd"/>
      <w:r w:rsidRPr="00520861">
        <w:rPr>
          <w:rFonts w:eastAsia="Calibri"/>
          <w:bCs/>
          <w:iCs/>
          <w:sz w:val="28"/>
          <w:szCs w:val="28"/>
          <w:lang w:eastAsia="en-US"/>
        </w:rPr>
        <w:t xml:space="preserve"> змінена форма 51, 61 зубів, </w:t>
      </w:r>
      <w:proofErr w:type="spellStart"/>
      <w:r w:rsidRPr="00520861">
        <w:rPr>
          <w:rFonts w:eastAsia="Calibri"/>
          <w:bCs/>
          <w:iCs/>
          <w:sz w:val="28"/>
          <w:szCs w:val="28"/>
          <w:lang w:eastAsia="en-US"/>
        </w:rPr>
        <w:t>шипоподібні</w:t>
      </w:r>
      <w:proofErr w:type="spellEnd"/>
      <w:r w:rsidRPr="00520861">
        <w:rPr>
          <w:rFonts w:eastAsia="Calibri"/>
          <w:bCs/>
          <w:iCs/>
          <w:sz w:val="28"/>
          <w:szCs w:val="28"/>
          <w:lang w:eastAsia="en-US"/>
        </w:rPr>
        <w:t xml:space="preserve"> зуби 52, 62, IV вид вуздечки верхньої губи </w:t>
      </w:r>
      <w:r w:rsidRPr="00520861">
        <w:rPr>
          <w:rFonts w:eastAsia="Calibri"/>
          <w:sz w:val="28"/>
          <w:szCs w:val="28"/>
          <w:lang w:eastAsia="en-US"/>
        </w:rPr>
        <w:t xml:space="preserve">(за класифікацією </w:t>
      </w:r>
      <w:proofErr w:type="spellStart"/>
      <w:r w:rsidRPr="00520861">
        <w:rPr>
          <w:rFonts w:eastAsia="Calibri"/>
          <w:sz w:val="28"/>
          <w:szCs w:val="28"/>
          <w:lang w:eastAsia="en-US"/>
        </w:rPr>
        <w:t>Kotlow</w:t>
      </w:r>
      <w:proofErr w:type="spellEnd"/>
      <w:r w:rsidRPr="00520861">
        <w:rPr>
          <w:rFonts w:eastAsia="Calibri"/>
          <w:sz w:val="28"/>
          <w:szCs w:val="28"/>
          <w:lang w:eastAsia="en-US"/>
        </w:rPr>
        <w:t xml:space="preserve"> L.).</w:t>
      </w:r>
    </w:p>
    <w:p w14:paraId="38F98B7C" w14:textId="77777777" w:rsidR="002E3CE8" w:rsidRPr="00520861" w:rsidRDefault="002E3CE8" w:rsidP="00292D2E">
      <w:pPr>
        <w:widowControl w:val="0"/>
        <w:tabs>
          <w:tab w:val="left" w:pos="1170"/>
        </w:tabs>
        <w:spacing w:line="360" w:lineRule="auto"/>
        <w:jc w:val="center"/>
        <w:rPr>
          <w:rFonts w:eastAsia="Calibri"/>
          <w:sz w:val="28"/>
          <w:szCs w:val="28"/>
          <w:lang w:eastAsia="en-US"/>
        </w:rPr>
      </w:pPr>
    </w:p>
    <w:p w14:paraId="5868F84D" w14:textId="77777777" w:rsidR="002E3CE8" w:rsidRPr="00520861" w:rsidRDefault="002E3CE8" w:rsidP="00292D2E">
      <w:pPr>
        <w:widowControl w:val="0"/>
        <w:spacing w:after="160"/>
        <w:jc w:val="center"/>
        <w:rPr>
          <w:rFonts w:eastAsiaTheme="minorHAnsi"/>
          <w:b/>
          <w:sz w:val="28"/>
          <w:szCs w:val="28"/>
          <w:lang w:eastAsia="en-US"/>
        </w:rPr>
      </w:pPr>
      <w:r w:rsidRPr="00520861">
        <w:rPr>
          <w:rFonts w:eastAsiaTheme="minorHAnsi"/>
          <w:b/>
          <w:noProof/>
          <w:sz w:val="28"/>
          <w:szCs w:val="28"/>
          <w:lang w:val="ru-RU"/>
        </w:rPr>
        <w:drawing>
          <wp:inline distT="0" distB="0" distL="0" distR="0" wp14:anchorId="7891D603" wp14:editId="0DCC2C33">
            <wp:extent cx="2642400" cy="1980000"/>
            <wp:effectExtent l="0" t="0" r="5715" b="1270"/>
            <wp:docPr id="71" name="Рисунок 71" descr="IMG_0096 н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IMG_0096 нов"/>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642400" cy="1980000"/>
                    </a:xfrm>
                    <a:prstGeom prst="rect">
                      <a:avLst/>
                    </a:prstGeom>
                    <a:noFill/>
                    <a:ln>
                      <a:noFill/>
                    </a:ln>
                  </pic:spPr>
                </pic:pic>
              </a:graphicData>
            </a:graphic>
          </wp:inline>
        </w:drawing>
      </w:r>
      <w:r w:rsidRPr="00520861">
        <w:rPr>
          <w:rFonts w:eastAsia="Calibri"/>
          <w:bCs/>
          <w:iCs/>
          <w:noProof/>
          <w:sz w:val="28"/>
          <w:szCs w:val="28"/>
          <w:lang w:val="ru-RU"/>
        </w:rPr>
        <w:drawing>
          <wp:inline distT="0" distB="0" distL="0" distR="0" wp14:anchorId="6CC864C9" wp14:editId="5ECF5F11">
            <wp:extent cx="2638800" cy="1980000"/>
            <wp:effectExtent l="0" t="0" r="9525" b="1270"/>
            <wp:docPr id="72" name="Рисунок 72" descr="D:\дд\фото\новорожденные\макросомы  роддом\бардакова девочка  23.10.15\20.12.16\IMG_0110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дд\фото\новорожденные\макросомы  роддом\бардакова девочка  23.10.15\20.12.16\IMG_0110 нов.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638800" cy="1980000"/>
                    </a:xfrm>
                    <a:prstGeom prst="rect">
                      <a:avLst/>
                    </a:prstGeom>
                    <a:noFill/>
                    <a:ln>
                      <a:noFill/>
                    </a:ln>
                  </pic:spPr>
                </pic:pic>
              </a:graphicData>
            </a:graphic>
          </wp:inline>
        </w:drawing>
      </w:r>
    </w:p>
    <w:tbl>
      <w:tblPr>
        <w:tblStyle w:val="8"/>
        <w:tblW w:w="0" w:type="auto"/>
        <w:tblInd w:w="11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0"/>
        <w:gridCol w:w="4111"/>
      </w:tblGrid>
      <w:tr w:rsidR="002E3CE8" w:rsidRPr="00520861" w14:paraId="0A9BC539" w14:textId="77777777" w:rsidTr="00292D2E">
        <w:tc>
          <w:tcPr>
            <w:tcW w:w="4110" w:type="dxa"/>
          </w:tcPr>
          <w:p w14:paraId="4E0A7D29" w14:textId="77777777" w:rsidR="002E3CE8" w:rsidRPr="00520861" w:rsidRDefault="002E3CE8" w:rsidP="00292D2E">
            <w:pPr>
              <w:widowControl w:val="0"/>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4111" w:type="dxa"/>
          </w:tcPr>
          <w:p w14:paraId="037069E9"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r>
    </w:tbl>
    <w:p w14:paraId="14E9CA51" w14:textId="77777777" w:rsidR="002E3CE8" w:rsidRPr="00520861" w:rsidRDefault="002E3CE8" w:rsidP="00292D2E">
      <w:pPr>
        <w:widowControl w:val="0"/>
        <w:tabs>
          <w:tab w:val="left" w:pos="1170"/>
        </w:tabs>
        <w:spacing w:line="360" w:lineRule="auto"/>
        <w:jc w:val="center"/>
        <w:rPr>
          <w:rFonts w:eastAsia="Calibri"/>
          <w:bCs/>
          <w:iCs/>
          <w:sz w:val="28"/>
          <w:szCs w:val="28"/>
          <w:lang w:eastAsia="en-US"/>
        </w:rPr>
      </w:pPr>
      <w:r w:rsidRPr="00520861">
        <w:rPr>
          <w:rFonts w:eastAsiaTheme="minorHAnsi"/>
          <w:sz w:val="28"/>
          <w:szCs w:val="28"/>
          <w:shd w:val="clear" w:color="auto" w:fill="FFFFFF"/>
          <w:lang w:eastAsia="en-US"/>
        </w:rPr>
        <w:t>Рис</w:t>
      </w:r>
      <w:r w:rsidRPr="00520861">
        <w:rPr>
          <w:rFonts w:eastAsia="Calibri"/>
          <w:bCs/>
          <w:iCs/>
          <w:sz w:val="28"/>
          <w:szCs w:val="28"/>
          <w:lang w:eastAsia="en-US"/>
        </w:rPr>
        <w:t xml:space="preserve">. 5.9. Фото фронтальної ділянки ротової порожнини </w:t>
      </w:r>
    </w:p>
    <w:p w14:paraId="68033826" w14:textId="77777777" w:rsidR="002E3CE8" w:rsidRPr="00520861" w:rsidRDefault="002E3CE8" w:rsidP="00292D2E">
      <w:pPr>
        <w:widowControl w:val="0"/>
        <w:tabs>
          <w:tab w:val="left" w:pos="1170"/>
        </w:tabs>
        <w:spacing w:line="360" w:lineRule="auto"/>
        <w:jc w:val="center"/>
        <w:rPr>
          <w:rFonts w:eastAsia="Calibri"/>
          <w:bCs/>
          <w:iCs/>
          <w:sz w:val="28"/>
          <w:szCs w:val="28"/>
          <w:lang w:eastAsia="en-US"/>
        </w:rPr>
      </w:pPr>
      <w:r w:rsidRPr="00520861">
        <w:rPr>
          <w:rFonts w:eastAsia="Calibri"/>
          <w:bCs/>
          <w:iCs/>
          <w:sz w:val="28"/>
          <w:szCs w:val="28"/>
          <w:lang w:eastAsia="en-US"/>
        </w:rPr>
        <w:t xml:space="preserve">а) дитини Б. (дівчинка) у віці один рік і два місяці, </w:t>
      </w:r>
      <w:r w:rsidRPr="00520861">
        <w:rPr>
          <w:sz w:val="28"/>
          <w:szCs w:val="28"/>
        </w:rPr>
        <w:t xml:space="preserve">амб. карта № 152575, </w:t>
      </w:r>
      <w:r w:rsidRPr="00520861">
        <w:rPr>
          <w:rFonts w:eastAsiaTheme="minorHAnsi"/>
          <w:sz w:val="28"/>
          <w:szCs w:val="28"/>
          <w:lang w:eastAsia="en-US"/>
        </w:rPr>
        <w:t>підгрупа 2</w:t>
      </w:r>
      <w:r w:rsidRPr="00520861">
        <w:rPr>
          <w:rFonts w:eastAsia="Calibri"/>
          <w:bCs/>
          <w:iCs/>
          <w:sz w:val="28"/>
          <w:szCs w:val="28"/>
          <w:lang w:eastAsia="en-US"/>
        </w:rPr>
        <w:t xml:space="preserve">. Спостерігається поворот зубів 71 (проти годинникової стрілки) та 81 </w:t>
      </w:r>
      <w:r w:rsidR="00B65993" w:rsidRPr="00520861">
        <w:rPr>
          <w:rFonts w:eastAsia="Calibri"/>
          <w:bCs/>
          <w:iCs/>
          <w:sz w:val="28"/>
          <w:szCs w:val="28"/>
          <w:lang w:eastAsia="en-US"/>
        </w:rPr>
        <w:br/>
      </w:r>
      <w:r w:rsidRPr="00520861">
        <w:rPr>
          <w:rFonts w:eastAsia="Calibri"/>
          <w:bCs/>
          <w:iCs/>
          <w:sz w:val="28"/>
          <w:szCs w:val="28"/>
          <w:lang w:eastAsia="en-US"/>
        </w:rPr>
        <w:t>(за годинниковою стрілкою)</w:t>
      </w:r>
      <w:r w:rsidRPr="00520861">
        <w:rPr>
          <w:rFonts w:eastAsiaTheme="minorHAnsi"/>
          <w:sz w:val="28"/>
          <w:szCs w:val="28"/>
          <w:lang w:eastAsia="en-US"/>
        </w:rPr>
        <w:t xml:space="preserve"> </w:t>
      </w:r>
      <w:r w:rsidRPr="00520861">
        <w:rPr>
          <w:rFonts w:eastAsia="Calibri"/>
          <w:bCs/>
          <w:iCs/>
          <w:sz w:val="28"/>
          <w:szCs w:val="28"/>
          <w:lang w:eastAsia="en-US"/>
        </w:rPr>
        <w:t>навколо поздовжньої осі;</w:t>
      </w:r>
    </w:p>
    <w:p w14:paraId="5E8E08E2" w14:textId="77777777" w:rsidR="002E3CE8" w:rsidRPr="00520861" w:rsidRDefault="002E3CE8" w:rsidP="00292D2E">
      <w:pPr>
        <w:widowControl w:val="0"/>
        <w:spacing w:line="360" w:lineRule="auto"/>
        <w:jc w:val="center"/>
        <w:rPr>
          <w:rFonts w:eastAsia="Calibri"/>
          <w:bCs/>
          <w:iCs/>
          <w:sz w:val="28"/>
          <w:szCs w:val="28"/>
          <w:lang w:eastAsia="en-US"/>
        </w:rPr>
      </w:pPr>
      <w:r w:rsidRPr="00520861">
        <w:rPr>
          <w:rFonts w:eastAsia="Calibri"/>
          <w:bCs/>
          <w:iCs/>
          <w:sz w:val="28"/>
          <w:szCs w:val="28"/>
          <w:lang w:eastAsia="en-US"/>
        </w:rPr>
        <w:t xml:space="preserve">б) дитини Б. (дівчинка) у віці один рік, </w:t>
      </w:r>
      <w:r w:rsidRPr="00520861">
        <w:rPr>
          <w:sz w:val="28"/>
          <w:szCs w:val="28"/>
        </w:rPr>
        <w:t xml:space="preserve">амб. карта № 153313, </w:t>
      </w:r>
      <w:r w:rsidRPr="00520861">
        <w:rPr>
          <w:rFonts w:eastAsiaTheme="minorHAnsi"/>
          <w:sz w:val="28"/>
          <w:szCs w:val="28"/>
          <w:lang w:eastAsia="en-US"/>
        </w:rPr>
        <w:t>підгрупа 1</w:t>
      </w:r>
      <w:r w:rsidRPr="00520861">
        <w:rPr>
          <w:rFonts w:eastAsia="Calibri"/>
          <w:bCs/>
          <w:iCs/>
          <w:sz w:val="28"/>
          <w:szCs w:val="28"/>
          <w:lang w:eastAsia="en-US"/>
        </w:rPr>
        <w:t xml:space="preserve">. Спостерігається поворот зубів 71 (проти годинникової стрілки) та 81 </w:t>
      </w:r>
      <w:r w:rsidR="00B65993" w:rsidRPr="00520861">
        <w:rPr>
          <w:rFonts w:eastAsia="Calibri"/>
          <w:bCs/>
          <w:iCs/>
          <w:sz w:val="28"/>
          <w:szCs w:val="28"/>
          <w:lang w:eastAsia="en-US"/>
        </w:rPr>
        <w:br/>
      </w:r>
      <w:r w:rsidRPr="00520861">
        <w:rPr>
          <w:rFonts w:eastAsia="Calibri"/>
          <w:bCs/>
          <w:iCs/>
          <w:sz w:val="28"/>
          <w:szCs w:val="28"/>
          <w:lang w:eastAsia="en-US"/>
        </w:rPr>
        <w:t>(за годинниковою стрілкою) навколо поздовжньої осі.</w:t>
      </w:r>
    </w:p>
    <w:p w14:paraId="09F7A258" w14:textId="77777777" w:rsidR="002E3CE8" w:rsidRPr="00520861" w:rsidRDefault="002E3CE8" w:rsidP="00292D2E">
      <w:pPr>
        <w:widowControl w:val="0"/>
        <w:shd w:val="clear" w:color="auto" w:fill="FFFFFF"/>
        <w:spacing w:line="360" w:lineRule="auto"/>
        <w:ind w:firstLine="709"/>
        <w:jc w:val="right"/>
        <w:rPr>
          <w:rFonts w:eastAsia="Calibri"/>
          <w:i/>
          <w:color w:val="000000"/>
          <w:sz w:val="28"/>
          <w:szCs w:val="28"/>
          <w:lang w:eastAsia="en-US"/>
        </w:rPr>
      </w:pPr>
      <w:r w:rsidRPr="00520861">
        <w:rPr>
          <w:rFonts w:eastAsia="Calibri"/>
          <w:i/>
          <w:color w:val="000000"/>
          <w:sz w:val="28"/>
          <w:szCs w:val="28"/>
          <w:lang w:eastAsia="en-US"/>
        </w:rPr>
        <w:lastRenderedPageBreak/>
        <w:t>Таблиця 5.2</w:t>
      </w:r>
    </w:p>
    <w:p w14:paraId="7C1BAE15" w14:textId="77777777" w:rsidR="002E3CE8" w:rsidRPr="00520861" w:rsidRDefault="002E3CE8" w:rsidP="00292D2E">
      <w:pPr>
        <w:widowControl w:val="0"/>
        <w:shd w:val="clear" w:color="auto" w:fill="FFFFFF"/>
        <w:spacing w:line="360" w:lineRule="auto"/>
        <w:ind w:firstLine="709"/>
        <w:jc w:val="center"/>
        <w:rPr>
          <w:rFonts w:eastAsia="Calibri"/>
          <w:b/>
          <w:color w:val="000000"/>
          <w:sz w:val="28"/>
          <w:szCs w:val="28"/>
          <w:lang w:eastAsia="en-US"/>
        </w:rPr>
      </w:pPr>
      <w:r w:rsidRPr="00520861">
        <w:rPr>
          <w:rFonts w:eastAsia="Calibri"/>
          <w:b/>
          <w:color w:val="000000"/>
          <w:sz w:val="28"/>
          <w:szCs w:val="28"/>
          <w:lang w:eastAsia="en-US"/>
        </w:rPr>
        <w:t>Значення математичного очікування віку дитини на момент прорізування першого зуба та кількості зубів у віці 1 рік</w:t>
      </w:r>
    </w:p>
    <w:tbl>
      <w:tblPr>
        <w:tblStyle w:val="8"/>
        <w:tblW w:w="9952" w:type="dxa"/>
        <w:jc w:val="center"/>
        <w:tblLayout w:type="fixed"/>
        <w:tblLook w:val="04A0" w:firstRow="1" w:lastRow="0" w:firstColumn="1" w:lastColumn="0" w:noHBand="0" w:noVBand="1"/>
      </w:tblPr>
      <w:tblGrid>
        <w:gridCol w:w="1730"/>
        <w:gridCol w:w="1370"/>
        <w:gridCol w:w="1370"/>
        <w:gridCol w:w="1371"/>
        <w:gridCol w:w="1370"/>
        <w:gridCol w:w="1370"/>
        <w:gridCol w:w="1371"/>
      </w:tblGrid>
      <w:tr w:rsidR="002E3CE8" w:rsidRPr="00520861" w14:paraId="367F4210" w14:textId="77777777" w:rsidTr="00292D2E">
        <w:trPr>
          <w:jc w:val="center"/>
        </w:trPr>
        <w:tc>
          <w:tcPr>
            <w:tcW w:w="1730" w:type="dxa"/>
          </w:tcPr>
          <w:p w14:paraId="4CF24A99" w14:textId="77777777" w:rsidR="002E3CE8" w:rsidRPr="00520861" w:rsidRDefault="002E3CE8" w:rsidP="00292D2E">
            <w:pPr>
              <w:widowControl w:val="0"/>
              <w:spacing w:line="360" w:lineRule="auto"/>
              <w:ind w:left="-137"/>
              <w:jc w:val="center"/>
              <w:rPr>
                <w:rFonts w:eastAsia="Calibri" w:cs="Times New Roman"/>
                <w:sz w:val="28"/>
                <w:szCs w:val="28"/>
              </w:rPr>
            </w:pPr>
          </w:p>
          <w:p w14:paraId="0624A9E0"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 xml:space="preserve">Групи, </w:t>
            </w:r>
            <w:r w:rsidRPr="00520861">
              <w:rPr>
                <w:rFonts w:eastAsia="Calibri" w:cs="Times New Roman"/>
                <w:sz w:val="28"/>
                <w:szCs w:val="28"/>
              </w:rPr>
              <w:br/>
              <w:t>підгрупи</w:t>
            </w:r>
          </w:p>
        </w:tc>
        <w:tc>
          <w:tcPr>
            <w:tcW w:w="1370" w:type="dxa"/>
          </w:tcPr>
          <w:p w14:paraId="4795A521"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ГП</w:t>
            </w:r>
          </w:p>
          <w:p w14:paraId="52ECCA04"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хлопчики</w:t>
            </w:r>
          </w:p>
          <w:p w14:paraId="610ECBED"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(дівчатка)</w:t>
            </w:r>
          </w:p>
        </w:tc>
        <w:tc>
          <w:tcPr>
            <w:tcW w:w="1370" w:type="dxa"/>
          </w:tcPr>
          <w:p w14:paraId="0FB22016"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ОГ</w:t>
            </w:r>
          </w:p>
          <w:p w14:paraId="3F85AF6E"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хлопчики</w:t>
            </w:r>
          </w:p>
          <w:p w14:paraId="06A7D4B9"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(дівчатка)</w:t>
            </w:r>
          </w:p>
        </w:tc>
        <w:tc>
          <w:tcPr>
            <w:tcW w:w="1371" w:type="dxa"/>
          </w:tcPr>
          <w:p w14:paraId="6F9874CD" w14:textId="77777777" w:rsidR="002E3CE8" w:rsidRPr="00520861" w:rsidRDefault="002E3CE8" w:rsidP="00292D2E">
            <w:pPr>
              <w:widowControl w:val="0"/>
              <w:spacing w:line="360" w:lineRule="auto"/>
              <w:ind w:left="-137" w:right="-119"/>
              <w:jc w:val="center"/>
              <w:rPr>
                <w:rFonts w:eastAsia="Calibri" w:cs="Times New Roman"/>
                <w:sz w:val="28"/>
                <w:szCs w:val="28"/>
              </w:rPr>
            </w:pPr>
            <w:r w:rsidRPr="00520861">
              <w:rPr>
                <w:rFonts w:eastAsia="Calibri" w:cs="Times New Roman"/>
                <w:sz w:val="28"/>
                <w:szCs w:val="28"/>
              </w:rPr>
              <w:t xml:space="preserve">Підгрупа 1 </w:t>
            </w:r>
          </w:p>
          <w:p w14:paraId="46C5D422"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хлопчики</w:t>
            </w:r>
          </w:p>
          <w:p w14:paraId="2E67F957"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(дівчатка)</w:t>
            </w:r>
          </w:p>
        </w:tc>
        <w:tc>
          <w:tcPr>
            <w:tcW w:w="1370" w:type="dxa"/>
          </w:tcPr>
          <w:p w14:paraId="65D5420A" w14:textId="77777777" w:rsidR="002E3CE8" w:rsidRPr="00520861" w:rsidRDefault="002E3CE8" w:rsidP="00292D2E">
            <w:pPr>
              <w:widowControl w:val="0"/>
              <w:spacing w:line="360" w:lineRule="auto"/>
              <w:ind w:left="-137" w:right="-30"/>
              <w:jc w:val="center"/>
              <w:rPr>
                <w:rFonts w:eastAsia="Calibri" w:cs="Times New Roman"/>
                <w:sz w:val="28"/>
                <w:szCs w:val="28"/>
              </w:rPr>
            </w:pPr>
            <w:r w:rsidRPr="00520861">
              <w:rPr>
                <w:rFonts w:eastAsia="Calibri" w:cs="Times New Roman"/>
                <w:sz w:val="28"/>
                <w:szCs w:val="28"/>
              </w:rPr>
              <w:t>Підгрупа 2</w:t>
            </w:r>
          </w:p>
          <w:p w14:paraId="415365C1"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хлопчики</w:t>
            </w:r>
          </w:p>
          <w:p w14:paraId="37737B13"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(дівчатка)</w:t>
            </w:r>
          </w:p>
        </w:tc>
        <w:tc>
          <w:tcPr>
            <w:tcW w:w="1370" w:type="dxa"/>
          </w:tcPr>
          <w:p w14:paraId="64455933" w14:textId="77777777" w:rsidR="002E3CE8" w:rsidRPr="00520861" w:rsidRDefault="002E3CE8" w:rsidP="00292D2E">
            <w:pPr>
              <w:widowControl w:val="0"/>
              <w:spacing w:line="360" w:lineRule="auto"/>
              <w:ind w:left="-137" w:right="-82"/>
              <w:jc w:val="center"/>
              <w:rPr>
                <w:rFonts w:eastAsia="Calibri" w:cs="Times New Roman"/>
                <w:sz w:val="28"/>
                <w:szCs w:val="28"/>
              </w:rPr>
            </w:pPr>
            <w:r w:rsidRPr="00520861">
              <w:rPr>
                <w:rFonts w:eastAsia="Calibri" w:cs="Times New Roman"/>
                <w:sz w:val="28"/>
                <w:szCs w:val="28"/>
              </w:rPr>
              <w:t>Підгрупа 3</w:t>
            </w:r>
          </w:p>
          <w:p w14:paraId="537BD670"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хлопчики</w:t>
            </w:r>
          </w:p>
          <w:p w14:paraId="50DE6984"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(дівчатка)</w:t>
            </w:r>
          </w:p>
        </w:tc>
        <w:tc>
          <w:tcPr>
            <w:tcW w:w="1371" w:type="dxa"/>
          </w:tcPr>
          <w:p w14:paraId="7F82DD31" w14:textId="77777777" w:rsidR="002E3CE8" w:rsidRPr="00520861" w:rsidRDefault="002E3CE8" w:rsidP="00292D2E">
            <w:pPr>
              <w:widowControl w:val="0"/>
              <w:spacing w:line="360" w:lineRule="auto"/>
              <w:ind w:left="-137" w:right="-119"/>
              <w:jc w:val="center"/>
              <w:rPr>
                <w:rFonts w:eastAsia="Calibri" w:cs="Times New Roman"/>
                <w:sz w:val="28"/>
                <w:szCs w:val="28"/>
              </w:rPr>
            </w:pPr>
            <w:r w:rsidRPr="00520861">
              <w:rPr>
                <w:rFonts w:eastAsia="Calibri" w:cs="Times New Roman"/>
                <w:sz w:val="28"/>
                <w:szCs w:val="28"/>
              </w:rPr>
              <w:t>Підгрупа 4</w:t>
            </w:r>
          </w:p>
          <w:p w14:paraId="5A6CA4C0"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хлопчики</w:t>
            </w:r>
          </w:p>
          <w:p w14:paraId="14F92EA6"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(дівчатка)</w:t>
            </w:r>
          </w:p>
        </w:tc>
      </w:tr>
      <w:tr w:rsidR="002E3CE8" w:rsidRPr="00520861" w14:paraId="677E7D67" w14:textId="77777777" w:rsidTr="00292D2E">
        <w:trPr>
          <w:jc w:val="center"/>
        </w:trPr>
        <w:tc>
          <w:tcPr>
            <w:tcW w:w="1730" w:type="dxa"/>
          </w:tcPr>
          <w:p w14:paraId="4B163CA6" w14:textId="77777777" w:rsidR="002E3CE8" w:rsidRPr="00520861" w:rsidRDefault="002E3CE8" w:rsidP="00292D2E">
            <w:pPr>
              <w:widowControl w:val="0"/>
              <w:spacing w:line="360" w:lineRule="auto"/>
              <w:ind w:left="-137" w:right="-73"/>
              <w:jc w:val="center"/>
              <w:rPr>
                <w:rFonts w:eastAsia="Calibri" w:cs="Times New Roman"/>
                <w:sz w:val="28"/>
                <w:szCs w:val="28"/>
              </w:rPr>
            </w:pPr>
            <w:r w:rsidRPr="00520861">
              <w:rPr>
                <w:rFonts w:eastAsia="Calibri" w:cs="Times New Roman"/>
                <w:sz w:val="28"/>
                <w:szCs w:val="28"/>
              </w:rPr>
              <w:t>Прорізування першого зуба, місяці</w:t>
            </w:r>
          </w:p>
        </w:tc>
        <w:tc>
          <w:tcPr>
            <w:tcW w:w="1370" w:type="dxa"/>
          </w:tcPr>
          <w:p w14:paraId="2F21882B"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6,56</w:t>
            </w:r>
          </w:p>
          <w:p w14:paraId="3471A79F"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sz w:val="28"/>
                <w:szCs w:val="28"/>
              </w:rPr>
              <w:t>(6,67)</w:t>
            </w:r>
          </w:p>
        </w:tc>
        <w:tc>
          <w:tcPr>
            <w:tcW w:w="1370" w:type="dxa"/>
          </w:tcPr>
          <w:p w14:paraId="07385BFA"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6,6</w:t>
            </w:r>
          </w:p>
          <w:p w14:paraId="182D37CD"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(7,3)</w:t>
            </w:r>
          </w:p>
        </w:tc>
        <w:tc>
          <w:tcPr>
            <w:tcW w:w="1371" w:type="dxa"/>
          </w:tcPr>
          <w:p w14:paraId="19C26CDF"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6,85</w:t>
            </w:r>
          </w:p>
          <w:p w14:paraId="52D75FBB"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(6,97)</w:t>
            </w:r>
          </w:p>
        </w:tc>
        <w:tc>
          <w:tcPr>
            <w:tcW w:w="1370" w:type="dxa"/>
          </w:tcPr>
          <w:p w14:paraId="2B807608"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6,73</w:t>
            </w:r>
          </w:p>
          <w:p w14:paraId="7A3CD65D" w14:textId="77777777" w:rsidR="002E3CE8" w:rsidRPr="00520861" w:rsidRDefault="002E3CE8" w:rsidP="00292D2E">
            <w:pPr>
              <w:widowControl w:val="0"/>
              <w:spacing w:line="360" w:lineRule="auto"/>
              <w:ind w:left="-137"/>
              <w:jc w:val="center"/>
              <w:rPr>
                <w:rFonts w:cs="Times New Roman"/>
                <w:sz w:val="28"/>
                <w:szCs w:val="28"/>
              </w:rPr>
            </w:pPr>
            <w:r w:rsidRPr="00520861">
              <w:rPr>
                <w:rFonts w:cs="Times New Roman"/>
                <w:sz w:val="28"/>
                <w:szCs w:val="28"/>
              </w:rPr>
              <w:t>(9,50</w:t>
            </w:r>
            <w:r w:rsidRPr="00520861">
              <w:rPr>
                <w:rFonts w:eastAsia="Calibri" w:cs="Times New Roman"/>
                <w:sz w:val="28"/>
                <w:szCs w:val="28"/>
              </w:rPr>
              <w:t>*),</w:t>
            </w:r>
          </w:p>
          <w:p w14:paraId="0AF8963D"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i/>
                <w:sz w:val="28"/>
                <w:szCs w:val="28"/>
              </w:rPr>
              <w:t>p</w:t>
            </w:r>
            <w:r w:rsidRPr="00520861">
              <w:rPr>
                <w:rFonts w:cs="Times New Roman"/>
                <w:sz w:val="28"/>
                <w:szCs w:val="28"/>
              </w:rPr>
              <w:t>=0,014</w:t>
            </w:r>
          </w:p>
        </w:tc>
        <w:tc>
          <w:tcPr>
            <w:tcW w:w="1370" w:type="dxa"/>
          </w:tcPr>
          <w:p w14:paraId="7DA85DBA"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7,19</w:t>
            </w:r>
          </w:p>
          <w:p w14:paraId="3F2091EB"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sz w:val="28"/>
                <w:szCs w:val="28"/>
              </w:rPr>
              <w:t>(6,71)</w:t>
            </w:r>
          </w:p>
        </w:tc>
        <w:tc>
          <w:tcPr>
            <w:tcW w:w="1371" w:type="dxa"/>
          </w:tcPr>
          <w:p w14:paraId="5F8ACD32"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5,78</w:t>
            </w:r>
          </w:p>
          <w:p w14:paraId="6AEED56C"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sz w:val="28"/>
                <w:szCs w:val="28"/>
              </w:rPr>
              <w:t>(6,70)</w:t>
            </w:r>
          </w:p>
        </w:tc>
      </w:tr>
      <w:tr w:rsidR="002E3CE8" w:rsidRPr="00520861" w14:paraId="03CE12ED" w14:textId="77777777" w:rsidTr="00292D2E">
        <w:trPr>
          <w:jc w:val="center"/>
        </w:trPr>
        <w:tc>
          <w:tcPr>
            <w:tcW w:w="1730" w:type="dxa"/>
          </w:tcPr>
          <w:p w14:paraId="7A9DCB48" w14:textId="77777777" w:rsidR="002E3CE8" w:rsidRPr="00520861" w:rsidRDefault="002E3CE8" w:rsidP="00292D2E">
            <w:pPr>
              <w:widowControl w:val="0"/>
              <w:spacing w:line="360" w:lineRule="auto"/>
              <w:ind w:left="-137" w:firstLine="62"/>
              <w:jc w:val="center"/>
              <w:rPr>
                <w:rFonts w:eastAsia="Calibri" w:cs="Times New Roman"/>
                <w:sz w:val="28"/>
                <w:szCs w:val="28"/>
              </w:rPr>
            </w:pPr>
            <w:r w:rsidRPr="00520861">
              <w:rPr>
                <w:rFonts w:eastAsia="Calibri" w:cs="Times New Roman"/>
                <w:sz w:val="28"/>
                <w:szCs w:val="28"/>
              </w:rPr>
              <w:t>Кількість зубів у віці 1 рік, шт.</w:t>
            </w:r>
          </w:p>
        </w:tc>
        <w:tc>
          <w:tcPr>
            <w:tcW w:w="1370" w:type="dxa"/>
          </w:tcPr>
          <w:p w14:paraId="128C7475"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7,58</w:t>
            </w:r>
          </w:p>
          <w:p w14:paraId="315C642D"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sz w:val="28"/>
                <w:szCs w:val="28"/>
              </w:rPr>
              <w:t>(6,96)</w:t>
            </w:r>
          </w:p>
        </w:tc>
        <w:tc>
          <w:tcPr>
            <w:tcW w:w="1370" w:type="dxa"/>
          </w:tcPr>
          <w:p w14:paraId="407BEA9D"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7,17</w:t>
            </w:r>
          </w:p>
          <w:p w14:paraId="6CE461D3"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(7,06)</w:t>
            </w:r>
          </w:p>
        </w:tc>
        <w:tc>
          <w:tcPr>
            <w:tcW w:w="1371" w:type="dxa"/>
          </w:tcPr>
          <w:p w14:paraId="1089BEDC"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6,38</w:t>
            </w:r>
          </w:p>
          <w:p w14:paraId="0F6BC448"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sz w:val="28"/>
                <w:szCs w:val="28"/>
              </w:rPr>
              <w:t>(7,59)</w:t>
            </w:r>
          </w:p>
        </w:tc>
        <w:tc>
          <w:tcPr>
            <w:tcW w:w="1370" w:type="dxa"/>
          </w:tcPr>
          <w:p w14:paraId="3455C723"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7,55</w:t>
            </w:r>
          </w:p>
          <w:p w14:paraId="59C56068" w14:textId="77777777" w:rsidR="002E3CE8" w:rsidRPr="00520861" w:rsidRDefault="002E3CE8" w:rsidP="00292D2E">
            <w:pPr>
              <w:widowControl w:val="0"/>
              <w:spacing w:line="360" w:lineRule="auto"/>
              <w:ind w:left="-137"/>
              <w:jc w:val="center"/>
              <w:rPr>
                <w:rFonts w:cs="Times New Roman"/>
                <w:sz w:val="28"/>
                <w:szCs w:val="28"/>
              </w:rPr>
            </w:pPr>
            <w:r w:rsidRPr="00520861">
              <w:rPr>
                <w:rFonts w:cs="Times New Roman"/>
                <w:sz w:val="28"/>
                <w:szCs w:val="28"/>
              </w:rPr>
              <w:t>(4,00</w:t>
            </w:r>
            <w:r w:rsidRPr="00520861">
              <w:rPr>
                <w:rFonts w:eastAsia="Calibri" w:cs="Times New Roman"/>
                <w:sz w:val="28"/>
                <w:szCs w:val="28"/>
              </w:rPr>
              <w:t>*),</w:t>
            </w:r>
          </w:p>
          <w:p w14:paraId="041055B2"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i/>
                <w:sz w:val="28"/>
                <w:szCs w:val="28"/>
              </w:rPr>
              <w:t>p</w:t>
            </w:r>
            <w:r w:rsidRPr="00520861">
              <w:rPr>
                <w:rFonts w:cs="Times New Roman"/>
                <w:sz w:val="28"/>
                <w:szCs w:val="28"/>
              </w:rPr>
              <w:t>=0,015</w:t>
            </w:r>
          </w:p>
        </w:tc>
        <w:tc>
          <w:tcPr>
            <w:tcW w:w="1370" w:type="dxa"/>
          </w:tcPr>
          <w:p w14:paraId="01B42DF6"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6,75</w:t>
            </w:r>
          </w:p>
          <w:p w14:paraId="7853F4DB"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sz w:val="28"/>
                <w:szCs w:val="28"/>
              </w:rPr>
              <w:t>(7,14)</w:t>
            </w:r>
          </w:p>
        </w:tc>
        <w:tc>
          <w:tcPr>
            <w:tcW w:w="1371" w:type="dxa"/>
          </w:tcPr>
          <w:p w14:paraId="47E56222"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eastAsia="Calibri" w:cs="Times New Roman"/>
                <w:sz w:val="28"/>
                <w:szCs w:val="28"/>
              </w:rPr>
              <w:t>7,43</w:t>
            </w:r>
          </w:p>
          <w:p w14:paraId="45F28466" w14:textId="77777777" w:rsidR="002E3CE8" w:rsidRPr="00520861" w:rsidRDefault="002E3CE8" w:rsidP="00292D2E">
            <w:pPr>
              <w:widowControl w:val="0"/>
              <w:spacing w:line="360" w:lineRule="auto"/>
              <w:ind w:left="-137"/>
              <w:jc w:val="center"/>
              <w:rPr>
                <w:rFonts w:eastAsia="Calibri" w:cs="Times New Roman"/>
                <w:sz w:val="28"/>
                <w:szCs w:val="28"/>
              </w:rPr>
            </w:pPr>
            <w:r w:rsidRPr="00520861">
              <w:rPr>
                <w:rFonts w:cs="Times New Roman"/>
                <w:sz w:val="28"/>
                <w:szCs w:val="28"/>
              </w:rPr>
              <w:t>(7,50)</w:t>
            </w:r>
          </w:p>
        </w:tc>
      </w:tr>
    </w:tbl>
    <w:p w14:paraId="13B8C7B8" w14:textId="77777777" w:rsidR="002E3CE8" w:rsidRPr="00520861" w:rsidRDefault="002E3CE8" w:rsidP="00292D2E">
      <w:pPr>
        <w:widowControl w:val="0"/>
        <w:spacing w:line="360" w:lineRule="auto"/>
        <w:ind w:firstLine="709"/>
        <w:rPr>
          <w:rFonts w:eastAsia="Calibri"/>
          <w:sz w:val="28"/>
          <w:szCs w:val="28"/>
          <w:lang w:eastAsia="en-US"/>
        </w:rPr>
      </w:pPr>
      <w:r w:rsidRPr="00520861">
        <w:rPr>
          <w:sz w:val="28"/>
          <w:szCs w:val="28"/>
        </w:rPr>
        <w:t xml:space="preserve">Примітка: </w:t>
      </w:r>
      <w:r w:rsidRPr="00520861">
        <w:rPr>
          <w:rFonts w:eastAsia="Calibri"/>
          <w:sz w:val="28"/>
          <w:szCs w:val="28"/>
          <w:lang w:eastAsia="en-US"/>
        </w:rPr>
        <w:t>* – різниця між особами ОГ і ГП однієї й тієї ж статі статистично</w:t>
      </w:r>
      <w:r w:rsidR="001035E8" w:rsidRPr="00520861">
        <w:rPr>
          <w:rFonts w:eastAsia="Calibri"/>
          <w:sz w:val="28"/>
          <w:szCs w:val="28"/>
          <w:lang w:eastAsia="en-US"/>
        </w:rPr>
        <w:t xml:space="preserve"> вірогідна при ймовірності похибки</w:t>
      </w:r>
      <w:r w:rsidRPr="00520861">
        <w:rPr>
          <w:rFonts w:eastAsia="Calibri"/>
          <w:sz w:val="28"/>
          <w:szCs w:val="28"/>
          <w:lang w:eastAsia="en-US"/>
        </w:rPr>
        <w:t xml:space="preserve"> </w:t>
      </w:r>
      <w:r w:rsidRPr="00520861">
        <w:rPr>
          <w:rFonts w:eastAsia="Calibri"/>
          <w:i/>
          <w:sz w:val="28"/>
          <w:szCs w:val="28"/>
          <w:lang w:eastAsia="en-US"/>
        </w:rPr>
        <w:t>p</w:t>
      </w:r>
      <w:r w:rsidR="00FF6C32" w:rsidRPr="00520861">
        <w:rPr>
          <w:rFonts w:eastAsia="Calibri"/>
          <w:sz w:val="28"/>
          <w:szCs w:val="28"/>
          <w:lang w:eastAsia="en-US"/>
        </w:rPr>
        <w:t>&lt;</w:t>
      </w:r>
      <w:r w:rsidRPr="00520861">
        <w:rPr>
          <w:rFonts w:eastAsia="Calibri"/>
          <w:sz w:val="28"/>
          <w:szCs w:val="28"/>
          <w:lang w:eastAsia="en-US"/>
        </w:rPr>
        <w:t>0,05</w:t>
      </w:r>
      <w:r w:rsidRPr="00520861">
        <w:rPr>
          <w:sz w:val="28"/>
          <w:szCs w:val="28"/>
        </w:rPr>
        <w:t xml:space="preserve"> за критерієм Манна – Уітні</w:t>
      </w:r>
      <w:r w:rsidRPr="00520861">
        <w:rPr>
          <w:rFonts w:eastAsia="Calibri"/>
          <w:sz w:val="28"/>
          <w:szCs w:val="28"/>
          <w:lang w:eastAsia="en-US"/>
        </w:rPr>
        <w:t>.</w:t>
      </w:r>
    </w:p>
    <w:p w14:paraId="32D2AB78" w14:textId="77777777" w:rsidR="002E3CE8" w:rsidRPr="00520861" w:rsidRDefault="002E3CE8" w:rsidP="00292D2E">
      <w:pPr>
        <w:widowControl w:val="0"/>
        <w:spacing w:line="360" w:lineRule="auto"/>
        <w:ind w:firstLine="709"/>
        <w:rPr>
          <w:rFonts w:eastAsia="Calibri"/>
          <w:sz w:val="28"/>
          <w:szCs w:val="28"/>
          <w:lang w:eastAsia="en-US"/>
        </w:rPr>
      </w:pPr>
    </w:p>
    <w:p w14:paraId="5708FB53" w14:textId="77777777" w:rsidR="002E3CE8" w:rsidRPr="00520861" w:rsidRDefault="002E3CE8" w:rsidP="00292D2E">
      <w:pPr>
        <w:widowControl w:val="0"/>
        <w:spacing w:line="360" w:lineRule="auto"/>
        <w:ind w:firstLine="708"/>
        <w:jc w:val="both"/>
        <w:rPr>
          <w:rFonts w:eastAsia="Calibri"/>
          <w:color w:val="000000"/>
          <w:sz w:val="28"/>
          <w:szCs w:val="28"/>
        </w:rPr>
      </w:pPr>
      <w:r w:rsidRPr="00520861">
        <w:rPr>
          <w:rFonts w:eastAsia="Calibri"/>
          <w:color w:val="000000"/>
          <w:sz w:val="28"/>
          <w:szCs w:val="28"/>
          <w:lang w:eastAsia="en-US"/>
        </w:rPr>
        <w:t xml:space="preserve">Характер прорізування зубів також можна оцінити за кількістю випадків </w:t>
      </w:r>
      <w:r w:rsidRPr="00520861">
        <w:rPr>
          <w:rFonts w:eastAsia="Calibri"/>
          <w:color w:val="000000"/>
          <w:sz w:val="28"/>
          <w:szCs w:val="28"/>
          <w:lang w:eastAsia="en-US"/>
        </w:rPr>
        <w:br/>
        <w:t>екстремального відхилення (</w:t>
      </w:r>
      <w:r w:rsidRPr="00520861">
        <w:rPr>
          <w:rFonts w:eastAsia="Calibri"/>
          <w:color w:val="000000"/>
          <w:sz w:val="28"/>
          <w:szCs w:val="28"/>
        </w:rPr>
        <w:t xml:space="preserve">передчасного прорізування зубів і затримки прорізування) </w:t>
      </w:r>
      <w:r w:rsidRPr="00520861">
        <w:rPr>
          <w:rFonts w:eastAsia="Calibri"/>
          <w:color w:val="000000"/>
          <w:sz w:val="28"/>
          <w:szCs w:val="28"/>
          <w:lang w:eastAsia="en-US"/>
        </w:rPr>
        <w:t>від регіональних норм прорізування зубів (</w:t>
      </w:r>
      <w:r w:rsidRPr="00520861">
        <w:rPr>
          <w:rFonts w:eastAsia="Calibri"/>
          <w:color w:val="000000"/>
          <w:sz w:val="28"/>
          <w:szCs w:val="28"/>
        </w:rPr>
        <w:t>табл.5.3).</w:t>
      </w:r>
    </w:p>
    <w:p w14:paraId="0E9E8C1A" w14:textId="77777777" w:rsidR="002E3CE8" w:rsidRPr="00520861" w:rsidRDefault="002E3CE8" w:rsidP="00292D2E">
      <w:pPr>
        <w:widowControl w:val="0"/>
        <w:spacing w:line="360" w:lineRule="auto"/>
        <w:ind w:firstLine="708"/>
        <w:jc w:val="both"/>
        <w:rPr>
          <w:rFonts w:eastAsia="Calibri"/>
          <w:color w:val="000000"/>
          <w:sz w:val="28"/>
          <w:szCs w:val="28"/>
          <w:lang w:eastAsia="en-US"/>
        </w:rPr>
      </w:pPr>
      <w:r w:rsidRPr="00520861">
        <w:rPr>
          <w:rFonts w:eastAsia="Calibri"/>
          <w:color w:val="000000"/>
          <w:sz w:val="28"/>
          <w:szCs w:val="28"/>
        </w:rPr>
        <w:t xml:space="preserve">У </w:t>
      </w:r>
      <w:r w:rsidRPr="00520861">
        <w:rPr>
          <w:rFonts w:eastAsia="Calibri"/>
          <w:color w:val="000000"/>
          <w:sz w:val="28"/>
          <w:szCs w:val="28"/>
          <w:lang w:eastAsia="en-US"/>
        </w:rPr>
        <w:t xml:space="preserve">29 дітей </w:t>
      </w:r>
      <w:r w:rsidRPr="00520861">
        <w:rPr>
          <w:rFonts w:eastAsia="Calibri"/>
          <w:color w:val="000000"/>
          <w:sz w:val="28"/>
          <w:szCs w:val="28"/>
        </w:rPr>
        <w:t xml:space="preserve">(63,0%) </w:t>
      </w:r>
      <w:r w:rsidRPr="00520861">
        <w:rPr>
          <w:sz w:val="28"/>
          <w:szCs w:val="28"/>
        </w:rPr>
        <w:t>підгрупи 1</w:t>
      </w:r>
      <w:r w:rsidRPr="00520861">
        <w:rPr>
          <w:rFonts w:eastAsia="Calibri"/>
          <w:color w:val="000000"/>
          <w:sz w:val="28"/>
          <w:szCs w:val="28"/>
          <w:lang w:eastAsia="en-US"/>
        </w:rPr>
        <w:t xml:space="preserve"> </w:t>
      </w:r>
      <w:r w:rsidRPr="00520861">
        <w:rPr>
          <w:rFonts w:eastAsia="Calibri"/>
          <w:color w:val="000000"/>
          <w:sz w:val="28"/>
          <w:szCs w:val="28"/>
        </w:rPr>
        <w:t xml:space="preserve">прорізування тимчасових зубів почалося у віці 5–9 місяців. Затримка прорізування в процентному відношенні відбувалася значно рідше, ніж у </w:t>
      </w:r>
      <w:r w:rsidRPr="00520861">
        <w:rPr>
          <w:sz w:val="28"/>
          <w:szCs w:val="28"/>
        </w:rPr>
        <w:t xml:space="preserve">підгрупах 2 </w:t>
      </w:r>
      <w:r w:rsidRPr="00520861">
        <w:rPr>
          <w:sz w:val="28"/>
          <w:szCs w:val="28"/>
          <w:shd w:val="clear" w:color="auto" w:fill="FFFFFF"/>
        </w:rPr>
        <w:t xml:space="preserve">та </w:t>
      </w:r>
      <w:r w:rsidRPr="00520861">
        <w:rPr>
          <w:sz w:val="28"/>
          <w:szCs w:val="28"/>
        </w:rPr>
        <w:t>3</w:t>
      </w:r>
      <w:r w:rsidRPr="00520861">
        <w:rPr>
          <w:sz w:val="28"/>
          <w:szCs w:val="28"/>
          <w:shd w:val="clear" w:color="auto" w:fill="FFFFFF"/>
        </w:rPr>
        <w:t>.</w:t>
      </w:r>
      <w:r w:rsidRPr="00520861">
        <w:rPr>
          <w:b/>
          <w:sz w:val="28"/>
          <w:szCs w:val="28"/>
          <w:shd w:val="clear" w:color="auto" w:fill="FFFFFF"/>
        </w:rPr>
        <w:t xml:space="preserve"> </w:t>
      </w:r>
      <w:r w:rsidRPr="00520861">
        <w:rPr>
          <w:sz w:val="28"/>
          <w:szCs w:val="28"/>
          <w:shd w:val="clear" w:color="auto" w:fill="FFFFFF"/>
        </w:rPr>
        <w:t xml:space="preserve">Середні строки прорізування першого зуба та кількість зубів у віці один рік були зіставні зі значеннями, одержаними для </w:t>
      </w:r>
      <w:proofErr w:type="spellStart"/>
      <w:r w:rsidRPr="00520861">
        <w:rPr>
          <w:sz w:val="28"/>
          <w:szCs w:val="28"/>
          <w:shd w:val="clear" w:color="auto" w:fill="FFFFFF"/>
        </w:rPr>
        <w:t>нормосомів</w:t>
      </w:r>
      <w:proofErr w:type="spellEnd"/>
      <w:r w:rsidRPr="00520861">
        <w:rPr>
          <w:sz w:val="28"/>
          <w:szCs w:val="28"/>
          <w:shd w:val="clear" w:color="auto" w:fill="FFFFFF"/>
        </w:rPr>
        <w:t xml:space="preserve"> тієї ж статі. </w:t>
      </w:r>
      <w:r w:rsidRPr="00520861">
        <w:rPr>
          <w:rFonts w:eastAsia="Calibri"/>
          <w:color w:val="000000"/>
          <w:sz w:val="28"/>
          <w:szCs w:val="28"/>
          <w:lang w:eastAsia="en-US"/>
        </w:rPr>
        <w:t xml:space="preserve">Екстремальних значень затримки чи передчасного прорізування зубів у дітей цієї підгрупи виявлено не було. </w:t>
      </w:r>
      <w:r w:rsidRPr="00520861">
        <w:rPr>
          <w:sz w:val="28"/>
          <w:szCs w:val="28"/>
        </w:rPr>
        <w:t>Порушення послідовності та парності прорізування зубів у цій підгрупі мали 5 дітей (10,9%): 3 хлопчики та 2 дівчинки.</w:t>
      </w:r>
    </w:p>
    <w:p w14:paraId="737178F7" w14:textId="77777777" w:rsidR="002E3CE8" w:rsidRPr="00520861" w:rsidRDefault="002E3CE8" w:rsidP="00292D2E">
      <w:pPr>
        <w:widowControl w:val="0"/>
        <w:shd w:val="clear" w:color="auto" w:fill="FFFFFF"/>
        <w:spacing w:line="360" w:lineRule="auto"/>
        <w:ind w:firstLine="709"/>
        <w:jc w:val="both"/>
        <w:rPr>
          <w:sz w:val="28"/>
          <w:szCs w:val="28"/>
        </w:rPr>
      </w:pPr>
      <w:r w:rsidRPr="00520861">
        <w:rPr>
          <w:rFonts w:eastAsia="Calibri"/>
          <w:color w:val="000000"/>
          <w:sz w:val="28"/>
          <w:szCs w:val="28"/>
          <w:lang w:eastAsia="en-US"/>
        </w:rPr>
        <w:t xml:space="preserve">У 9 дітей </w:t>
      </w:r>
      <w:r w:rsidRPr="00520861">
        <w:rPr>
          <w:rFonts w:eastAsia="Calibri"/>
          <w:color w:val="000000"/>
          <w:sz w:val="28"/>
          <w:szCs w:val="28"/>
        </w:rPr>
        <w:t>(56,3%)</w:t>
      </w:r>
      <w:r w:rsidRPr="00520861">
        <w:rPr>
          <w:rFonts w:eastAsia="Calibri"/>
          <w:color w:val="000000"/>
          <w:sz w:val="28"/>
          <w:szCs w:val="28"/>
          <w:lang w:eastAsia="en-US"/>
        </w:rPr>
        <w:t xml:space="preserve"> підгрупи 2</w:t>
      </w:r>
      <w:r w:rsidRPr="00520861">
        <w:rPr>
          <w:sz w:val="28"/>
          <w:szCs w:val="28"/>
          <w:shd w:val="clear" w:color="auto" w:fill="FFFFFF"/>
        </w:rPr>
        <w:t xml:space="preserve"> </w:t>
      </w:r>
      <w:r w:rsidRPr="00520861">
        <w:rPr>
          <w:rFonts w:eastAsia="Calibri"/>
          <w:color w:val="000000"/>
          <w:sz w:val="28"/>
          <w:szCs w:val="28"/>
        </w:rPr>
        <w:t xml:space="preserve">прорізування тимчасових зубів почалося в інтервалі між 5 та 9 місяцями. Середні строки прорізування були більшими, а середня </w:t>
      </w:r>
      <w:r w:rsidRPr="00520861">
        <w:rPr>
          <w:rFonts w:eastAsia="Calibri"/>
          <w:color w:val="000000"/>
          <w:sz w:val="28"/>
          <w:szCs w:val="28"/>
        </w:rPr>
        <w:br/>
        <w:t xml:space="preserve">кількість зубів у віці один рік була нижчою, ніж у дітей ГП. Для </w:t>
      </w:r>
      <w:proofErr w:type="spellStart"/>
      <w:r w:rsidRPr="00520861">
        <w:rPr>
          <w:rFonts w:eastAsia="Calibri"/>
          <w:color w:val="000000"/>
          <w:sz w:val="28"/>
          <w:szCs w:val="28"/>
        </w:rPr>
        <w:t>дівчаток</w:t>
      </w:r>
      <w:proofErr w:type="spellEnd"/>
      <w:r w:rsidRPr="00520861">
        <w:rPr>
          <w:rFonts w:eastAsia="Calibri"/>
          <w:color w:val="000000"/>
          <w:sz w:val="28"/>
          <w:szCs w:val="28"/>
        </w:rPr>
        <w:t xml:space="preserve"> ця різниця є вірогідною. </w:t>
      </w:r>
      <w:r w:rsidRPr="00520861">
        <w:rPr>
          <w:sz w:val="28"/>
          <w:szCs w:val="28"/>
        </w:rPr>
        <w:t>Порушення послідовності та парності прорізування зубів мали 4 (25,0%) дитини – 3 хлопчики та одна дівчинка.</w:t>
      </w:r>
    </w:p>
    <w:p w14:paraId="633A8C6C" w14:textId="77777777" w:rsidR="002E3CE8" w:rsidRPr="00520861" w:rsidRDefault="002E3CE8" w:rsidP="00292D2E">
      <w:pPr>
        <w:widowControl w:val="0"/>
        <w:shd w:val="clear" w:color="auto" w:fill="FFFFFF"/>
        <w:spacing w:line="360" w:lineRule="auto"/>
        <w:ind w:firstLine="708"/>
        <w:jc w:val="both"/>
        <w:rPr>
          <w:rFonts w:eastAsia="Calibri"/>
          <w:sz w:val="28"/>
          <w:szCs w:val="28"/>
          <w:lang w:eastAsia="en-US"/>
        </w:rPr>
        <w:sectPr w:rsidR="002E3CE8" w:rsidRPr="00520861" w:rsidSect="00292D2E">
          <w:pgSz w:w="11906" w:h="16838"/>
          <w:pgMar w:top="1134" w:right="624" w:bottom="1134" w:left="1134" w:header="709" w:footer="709" w:gutter="0"/>
          <w:pgNumType w:start="211"/>
          <w:cols w:space="708"/>
          <w:docGrid w:linePitch="360"/>
        </w:sectPr>
      </w:pPr>
    </w:p>
    <w:p w14:paraId="5829EC44" w14:textId="77777777" w:rsidR="002E3CE8" w:rsidRPr="00520861" w:rsidRDefault="002E3CE8" w:rsidP="00292D2E">
      <w:pPr>
        <w:widowControl w:val="0"/>
        <w:shd w:val="clear" w:color="auto" w:fill="FFFFFF"/>
        <w:spacing w:line="360" w:lineRule="auto"/>
        <w:ind w:firstLine="709"/>
        <w:jc w:val="right"/>
        <w:rPr>
          <w:rFonts w:eastAsia="Calibri"/>
          <w:i/>
          <w:color w:val="000000"/>
          <w:sz w:val="28"/>
          <w:szCs w:val="28"/>
          <w:lang w:eastAsia="en-US"/>
        </w:rPr>
      </w:pPr>
      <w:r w:rsidRPr="00520861">
        <w:rPr>
          <w:rFonts w:eastAsia="Calibri"/>
          <w:i/>
          <w:color w:val="000000"/>
          <w:sz w:val="28"/>
          <w:szCs w:val="28"/>
          <w:lang w:eastAsia="en-US"/>
        </w:rPr>
        <w:lastRenderedPageBreak/>
        <w:t>Таблиця 5.3</w:t>
      </w:r>
    </w:p>
    <w:p w14:paraId="5B59CF28" w14:textId="77777777" w:rsidR="002E3CE8" w:rsidRPr="00520861" w:rsidRDefault="002E3CE8" w:rsidP="00292D2E">
      <w:pPr>
        <w:widowControl w:val="0"/>
        <w:shd w:val="clear" w:color="auto" w:fill="FFFFFF"/>
        <w:spacing w:line="360" w:lineRule="auto"/>
        <w:ind w:firstLine="709"/>
        <w:jc w:val="center"/>
        <w:rPr>
          <w:rFonts w:eastAsia="Calibri"/>
          <w:b/>
          <w:color w:val="000000"/>
          <w:sz w:val="28"/>
          <w:szCs w:val="28"/>
          <w:lang w:eastAsia="en-US"/>
        </w:rPr>
      </w:pPr>
      <w:r w:rsidRPr="00520861">
        <w:rPr>
          <w:b/>
          <w:sz w:val="28"/>
          <w:szCs w:val="28"/>
        </w:rPr>
        <w:t>Зведені в</w:t>
      </w:r>
      <w:r w:rsidRPr="00520861">
        <w:rPr>
          <w:rFonts w:eastAsia="Calibri"/>
          <w:b/>
          <w:color w:val="000000"/>
          <w:sz w:val="28"/>
          <w:szCs w:val="28"/>
          <w:lang w:eastAsia="en-US"/>
        </w:rPr>
        <w:t xml:space="preserve">ідомості про кількість випадків, процент та 95%ДІ передчасного прорізування зубів, затримки прорізування в дітей </w:t>
      </w:r>
      <w:r w:rsidRPr="00520861">
        <w:rPr>
          <w:b/>
          <w:sz w:val="28"/>
          <w:szCs w:val="28"/>
        </w:rPr>
        <w:t>групи порівняння, основної групи та підгруп у віці 1 рік (ВП-І)</w:t>
      </w:r>
    </w:p>
    <w:tbl>
      <w:tblPr>
        <w:tblStyle w:val="150"/>
        <w:tblW w:w="14485" w:type="dxa"/>
        <w:jc w:val="center"/>
        <w:tblLayout w:type="fixed"/>
        <w:tblLook w:val="04A0" w:firstRow="1" w:lastRow="0" w:firstColumn="1" w:lastColumn="0" w:noHBand="0" w:noVBand="1"/>
      </w:tblPr>
      <w:tblGrid>
        <w:gridCol w:w="1434"/>
        <w:gridCol w:w="1637"/>
        <w:gridCol w:w="1630"/>
        <w:gridCol w:w="1630"/>
        <w:gridCol w:w="1630"/>
        <w:gridCol w:w="1634"/>
        <w:gridCol w:w="1630"/>
        <w:gridCol w:w="1630"/>
        <w:gridCol w:w="1630"/>
      </w:tblGrid>
      <w:tr w:rsidR="002E3CE8" w:rsidRPr="00520861" w14:paraId="11F8BD03" w14:textId="77777777" w:rsidTr="00292D2E">
        <w:trPr>
          <w:jc w:val="center"/>
        </w:trPr>
        <w:tc>
          <w:tcPr>
            <w:tcW w:w="1434" w:type="dxa"/>
          </w:tcPr>
          <w:p w14:paraId="1F6D254C" w14:textId="77777777" w:rsidR="002E3CE8" w:rsidRPr="00520861" w:rsidRDefault="002E3CE8" w:rsidP="00251DA0">
            <w:pPr>
              <w:widowControl w:val="0"/>
              <w:spacing w:line="360" w:lineRule="auto"/>
              <w:jc w:val="center"/>
              <w:rPr>
                <w:rFonts w:eastAsia="Calibri"/>
                <w:sz w:val="28"/>
                <w:szCs w:val="28"/>
              </w:rPr>
            </w:pPr>
            <w:r w:rsidRPr="00520861">
              <w:rPr>
                <w:rFonts w:eastAsia="Calibri"/>
                <w:sz w:val="28"/>
                <w:szCs w:val="28"/>
              </w:rPr>
              <w:t>Група, підгрупа</w:t>
            </w:r>
          </w:p>
          <w:p w14:paraId="393CA070" w14:textId="77777777" w:rsidR="002E3CE8" w:rsidRPr="00520861" w:rsidRDefault="002E3CE8" w:rsidP="00251DA0">
            <w:pPr>
              <w:widowControl w:val="0"/>
              <w:spacing w:line="360" w:lineRule="auto"/>
              <w:jc w:val="center"/>
              <w:rPr>
                <w:rFonts w:eastAsia="Calibri"/>
                <w:sz w:val="28"/>
                <w:szCs w:val="28"/>
              </w:rPr>
            </w:pPr>
            <w:r w:rsidRPr="00520861">
              <w:rPr>
                <w:rFonts w:eastAsia="Calibri"/>
                <w:sz w:val="28"/>
                <w:szCs w:val="28"/>
              </w:rPr>
              <w:t>хлопчики</w:t>
            </w:r>
          </w:p>
          <w:p w14:paraId="65E3BBA2" w14:textId="77777777" w:rsidR="002E3CE8" w:rsidRPr="00520861" w:rsidRDefault="002E3CE8" w:rsidP="00251DA0">
            <w:pPr>
              <w:widowControl w:val="0"/>
              <w:spacing w:line="360" w:lineRule="auto"/>
              <w:ind w:left="-111" w:right="-109"/>
              <w:jc w:val="center"/>
              <w:rPr>
                <w:rFonts w:eastAsia="Calibri"/>
                <w:sz w:val="28"/>
                <w:szCs w:val="28"/>
              </w:rPr>
            </w:pPr>
            <w:r w:rsidRPr="00520861">
              <w:rPr>
                <w:rFonts w:eastAsia="Calibri"/>
                <w:sz w:val="28"/>
                <w:szCs w:val="28"/>
              </w:rPr>
              <w:t>(дівчатка)</w:t>
            </w:r>
          </w:p>
        </w:tc>
        <w:tc>
          <w:tcPr>
            <w:tcW w:w="1637" w:type="dxa"/>
          </w:tcPr>
          <w:p w14:paraId="6CA2129C" w14:textId="77777777" w:rsidR="002E3CE8" w:rsidRPr="00520861" w:rsidRDefault="002E3CE8" w:rsidP="00251DA0">
            <w:pPr>
              <w:widowControl w:val="0"/>
              <w:spacing w:line="360" w:lineRule="auto"/>
              <w:ind w:right="-108"/>
              <w:jc w:val="center"/>
              <w:rPr>
                <w:rFonts w:eastAsia="Calibri"/>
                <w:spacing w:val="-6"/>
                <w:sz w:val="28"/>
                <w:szCs w:val="28"/>
              </w:rPr>
            </w:pPr>
            <w:r w:rsidRPr="00520861">
              <w:rPr>
                <w:rFonts w:eastAsia="Calibri"/>
                <w:spacing w:val="-6"/>
                <w:sz w:val="28"/>
                <w:szCs w:val="28"/>
              </w:rPr>
              <w:t xml:space="preserve">Кількість, % </w:t>
            </w:r>
            <w:proofErr w:type="spellStart"/>
            <w:r w:rsidRPr="00520861">
              <w:rPr>
                <w:rFonts w:eastAsia="Calibri"/>
                <w:spacing w:val="-6"/>
                <w:sz w:val="28"/>
                <w:szCs w:val="28"/>
              </w:rPr>
              <w:t>дівчаток</w:t>
            </w:r>
            <w:proofErr w:type="spellEnd"/>
            <w:r w:rsidRPr="00520861">
              <w:rPr>
                <w:rFonts w:eastAsia="Calibri"/>
                <w:spacing w:val="-6"/>
                <w:sz w:val="28"/>
                <w:szCs w:val="28"/>
              </w:rPr>
              <w:t xml:space="preserve"> із затримкою прорізування </w:t>
            </w:r>
          </w:p>
        </w:tc>
        <w:tc>
          <w:tcPr>
            <w:tcW w:w="1630" w:type="dxa"/>
          </w:tcPr>
          <w:p w14:paraId="20B0E5EE" w14:textId="77777777" w:rsidR="002E3CE8" w:rsidRPr="00520861" w:rsidRDefault="002E3CE8" w:rsidP="00251DA0">
            <w:pPr>
              <w:widowControl w:val="0"/>
              <w:spacing w:line="360" w:lineRule="auto"/>
              <w:ind w:left="-108" w:right="-108"/>
              <w:jc w:val="center"/>
              <w:rPr>
                <w:rFonts w:eastAsia="Calibri"/>
                <w:spacing w:val="-6"/>
                <w:sz w:val="28"/>
                <w:szCs w:val="28"/>
              </w:rPr>
            </w:pPr>
            <w:r w:rsidRPr="00520861">
              <w:rPr>
                <w:rFonts w:eastAsia="Calibri"/>
                <w:spacing w:val="-6"/>
                <w:sz w:val="28"/>
                <w:szCs w:val="28"/>
              </w:rPr>
              <w:t xml:space="preserve">Кількість, % хлопчиків із затримкою прорізування </w:t>
            </w:r>
          </w:p>
        </w:tc>
        <w:tc>
          <w:tcPr>
            <w:tcW w:w="1630" w:type="dxa"/>
          </w:tcPr>
          <w:p w14:paraId="3D71ADA8" w14:textId="77777777" w:rsidR="002E3CE8" w:rsidRPr="00520861" w:rsidRDefault="002E3CE8" w:rsidP="00251DA0">
            <w:pPr>
              <w:widowControl w:val="0"/>
              <w:spacing w:line="360" w:lineRule="auto"/>
              <w:ind w:left="-166" w:right="-108"/>
              <w:jc w:val="center"/>
              <w:rPr>
                <w:rFonts w:eastAsia="Calibri"/>
                <w:spacing w:val="-6"/>
                <w:sz w:val="28"/>
                <w:szCs w:val="28"/>
              </w:rPr>
            </w:pPr>
            <w:r w:rsidRPr="00520861">
              <w:rPr>
                <w:rFonts w:eastAsia="Calibri"/>
                <w:spacing w:val="-6"/>
                <w:sz w:val="28"/>
                <w:szCs w:val="28"/>
              </w:rPr>
              <w:t xml:space="preserve">Кількість, % </w:t>
            </w:r>
            <w:proofErr w:type="spellStart"/>
            <w:r w:rsidRPr="00520861">
              <w:rPr>
                <w:rFonts w:eastAsia="Calibri"/>
                <w:spacing w:val="-6"/>
                <w:sz w:val="28"/>
                <w:szCs w:val="28"/>
              </w:rPr>
              <w:t>дівчаток</w:t>
            </w:r>
            <w:proofErr w:type="spellEnd"/>
            <w:r w:rsidRPr="00520861">
              <w:rPr>
                <w:rFonts w:eastAsia="Calibri"/>
                <w:spacing w:val="-6"/>
                <w:sz w:val="28"/>
                <w:szCs w:val="28"/>
              </w:rPr>
              <w:t xml:space="preserve"> з передчасним прорізуванням </w:t>
            </w:r>
          </w:p>
        </w:tc>
        <w:tc>
          <w:tcPr>
            <w:tcW w:w="1630" w:type="dxa"/>
          </w:tcPr>
          <w:p w14:paraId="4D1FE9D6" w14:textId="77777777" w:rsidR="002E3CE8" w:rsidRPr="00520861" w:rsidRDefault="002E3CE8" w:rsidP="00251DA0">
            <w:pPr>
              <w:widowControl w:val="0"/>
              <w:spacing w:line="360" w:lineRule="auto"/>
              <w:ind w:left="-242" w:right="-141"/>
              <w:jc w:val="center"/>
              <w:rPr>
                <w:rFonts w:eastAsia="Calibri"/>
                <w:spacing w:val="-6"/>
                <w:sz w:val="28"/>
                <w:szCs w:val="28"/>
              </w:rPr>
            </w:pPr>
            <w:r w:rsidRPr="00520861">
              <w:rPr>
                <w:rFonts w:eastAsia="Calibri"/>
                <w:spacing w:val="-6"/>
                <w:sz w:val="28"/>
                <w:szCs w:val="28"/>
              </w:rPr>
              <w:t>Кількість, % хлопчиків з передчасним прорізуванням</w:t>
            </w:r>
          </w:p>
        </w:tc>
        <w:tc>
          <w:tcPr>
            <w:tcW w:w="1634" w:type="dxa"/>
          </w:tcPr>
          <w:p w14:paraId="5C5A8E7B" w14:textId="77777777" w:rsidR="002E3CE8" w:rsidRPr="00520861" w:rsidRDefault="002E3CE8" w:rsidP="00251DA0">
            <w:pPr>
              <w:widowControl w:val="0"/>
              <w:spacing w:line="360" w:lineRule="auto"/>
              <w:ind w:left="-227" w:right="-114" w:firstLine="88"/>
              <w:jc w:val="center"/>
              <w:rPr>
                <w:rFonts w:eastAsia="Calibri"/>
                <w:spacing w:val="-6"/>
                <w:sz w:val="28"/>
                <w:szCs w:val="28"/>
              </w:rPr>
            </w:pPr>
            <w:r w:rsidRPr="00520861">
              <w:rPr>
                <w:rFonts w:eastAsia="Calibri"/>
                <w:spacing w:val="-6"/>
                <w:sz w:val="28"/>
                <w:szCs w:val="28"/>
              </w:rPr>
              <w:t xml:space="preserve">Кількість, % </w:t>
            </w:r>
            <w:proofErr w:type="spellStart"/>
            <w:r w:rsidRPr="00520861">
              <w:rPr>
                <w:rFonts w:eastAsia="Calibri"/>
                <w:spacing w:val="-6"/>
                <w:sz w:val="28"/>
                <w:szCs w:val="28"/>
              </w:rPr>
              <w:t>дівчаток</w:t>
            </w:r>
            <w:proofErr w:type="spellEnd"/>
            <w:r w:rsidRPr="00520861">
              <w:rPr>
                <w:rFonts w:eastAsia="Calibri"/>
                <w:spacing w:val="-6"/>
                <w:sz w:val="28"/>
                <w:szCs w:val="28"/>
              </w:rPr>
              <w:t xml:space="preserve">, які мали 2 чи менше зубів </w:t>
            </w:r>
          </w:p>
        </w:tc>
        <w:tc>
          <w:tcPr>
            <w:tcW w:w="1630" w:type="dxa"/>
          </w:tcPr>
          <w:p w14:paraId="1918F96D" w14:textId="77777777" w:rsidR="002E3CE8" w:rsidRPr="00520861" w:rsidRDefault="002E3CE8" w:rsidP="00251DA0">
            <w:pPr>
              <w:widowControl w:val="0"/>
              <w:spacing w:line="360" w:lineRule="auto"/>
              <w:ind w:left="-118" w:right="-127"/>
              <w:jc w:val="center"/>
              <w:rPr>
                <w:spacing w:val="-6"/>
                <w:sz w:val="28"/>
                <w:szCs w:val="28"/>
                <w:shd w:val="clear" w:color="auto" w:fill="FFFFFF"/>
              </w:rPr>
            </w:pPr>
            <w:r w:rsidRPr="00520861">
              <w:rPr>
                <w:rFonts w:eastAsia="Calibri"/>
                <w:spacing w:val="-6"/>
                <w:sz w:val="28"/>
                <w:szCs w:val="28"/>
              </w:rPr>
              <w:t xml:space="preserve">Кількість, % хлопчиків, які мали 2 чи менше зубів </w:t>
            </w:r>
          </w:p>
        </w:tc>
        <w:tc>
          <w:tcPr>
            <w:tcW w:w="1630" w:type="dxa"/>
          </w:tcPr>
          <w:p w14:paraId="6E257DEC" w14:textId="77777777" w:rsidR="002E3CE8" w:rsidRPr="00520861" w:rsidRDefault="002E3CE8" w:rsidP="00251DA0">
            <w:pPr>
              <w:widowControl w:val="0"/>
              <w:spacing w:line="360" w:lineRule="auto"/>
              <w:ind w:left="-62" w:right="-86" w:hanging="20"/>
              <w:jc w:val="center"/>
              <w:rPr>
                <w:rFonts w:eastAsia="Calibri"/>
                <w:spacing w:val="-6"/>
                <w:sz w:val="28"/>
                <w:szCs w:val="28"/>
              </w:rPr>
            </w:pPr>
            <w:r w:rsidRPr="00520861">
              <w:rPr>
                <w:spacing w:val="-6"/>
                <w:sz w:val="28"/>
                <w:szCs w:val="28"/>
              </w:rPr>
              <w:t xml:space="preserve">Кількість, </w:t>
            </w:r>
            <w:r w:rsidRPr="00520861">
              <w:rPr>
                <w:rFonts w:eastAsia="Calibri"/>
                <w:spacing w:val="-6"/>
                <w:sz w:val="28"/>
                <w:szCs w:val="28"/>
              </w:rPr>
              <w:t xml:space="preserve">% </w:t>
            </w:r>
            <w:proofErr w:type="spellStart"/>
            <w:r w:rsidRPr="00520861">
              <w:rPr>
                <w:spacing w:val="-6"/>
                <w:sz w:val="28"/>
                <w:szCs w:val="28"/>
              </w:rPr>
              <w:t>дівчаток</w:t>
            </w:r>
            <w:proofErr w:type="spellEnd"/>
            <w:r w:rsidRPr="00520861">
              <w:rPr>
                <w:spacing w:val="-6"/>
                <w:sz w:val="28"/>
                <w:szCs w:val="28"/>
              </w:rPr>
              <w:t xml:space="preserve">, які мали 11 або більше зубів </w:t>
            </w:r>
          </w:p>
        </w:tc>
        <w:tc>
          <w:tcPr>
            <w:tcW w:w="1630" w:type="dxa"/>
          </w:tcPr>
          <w:p w14:paraId="2F5CB0D6" w14:textId="77777777" w:rsidR="002E3CE8" w:rsidRPr="00520861" w:rsidRDefault="002E3CE8" w:rsidP="00251DA0">
            <w:pPr>
              <w:widowControl w:val="0"/>
              <w:spacing w:line="360" w:lineRule="auto"/>
              <w:ind w:left="-203" w:right="-166"/>
              <w:jc w:val="center"/>
              <w:rPr>
                <w:spacing w:val="-6"/>
                <w:sz w:val="28"/>
                <w:szCs w:val="28"/>
              </w:rPr>
            </w:pPr>
            <w:r w:rsidRPr="00520861">
              <w:rPr>
                <w:spacing w:val="-6"/>
                <w:sz w:val="28"/>
                <w:szCs w:val="28"/>
              </w:rPr>
              <w:t xml:space="preserve">Кількість, </w:t>
            </w:r>
            <w:r w:rsidRPr="00520861">
              <w:rPr>
                <w:rFonts w:eastAsia="Calibri"/>
                <w:spacing w:val="-6"/>
                <w:sz w:val="28"/>
                <w:szCs w:val="28"/>
              </w:rPr>
              <w:t xml:space="preserve">% </w:t>
            </w:r>
            <w:r w:rsidRPr="00520861">
              <w:rPr>
                <w:spacing w:val="-6"/>
                <w:sz w:val="28"/>
                <w:szCs w:val="28"/>
              </w:rPr>
              <w:t xml:space="preserve">хлопчиків, які мали 11 або більше зубів </w:t>
            </w:r>
          </w:p>
        </w:tc>
      </w:tr>
      <w:tr w:rsidR="002E3CE8" w:rsidRPr="00520861" w14:paraId="78E62EB3" w14:textId="77777777" w:rsidTr="00292D2E">
        <w:trPr>
          <w:trHeight w:val="782"/>
          <w:jc w:val="center"/>
        </w:trPr>
        <w:tc>
          <w:tcPr>
            <w:tcW w:w="1434" w:type="dxa"/>
          </w:tcPr>
          <w:p w14:paraId="0E77E992" w14:textId="77777777" w:rsidR="002E3CE8" w:rsidRPr="00520861" w:rsidRDefault="002E3CE8" w:rsidP="00251DA0">
            <w:pPr>
              <w:widowControl w:val="0"/>
              <w:spacing w:line="360" w:lineRule="auto"/>
              <w:ind w:left="-137"/>
              <w:jc w:val="center"/>
              <w:rPr>
                <w:rFonts w:eastAsia="Calibri"/>
                <w:spacing w:val="-6"/>
                <w:sz w:val="28"/>
                <w:szCs w:val="28"/>
              </w:rPr>
            </w:pPr>
            <w:r w:rsidRPr="00520861">
              <w:rPr>
                <w:rFonts w:eastAsia="Calibri"/>
                <w:spacing w:val="-6"/>
                <w:sz w:val="28"/>
                <w:szCs w:val="28"/>
              </w:rPr>
              <w:t>ГП</w:t>
            </w:r>
          </w:p>
          <w:p w14:paraId="29483279" w14:textId="77777777" w:rsidR="002E3CE8" w:rsidRPr="00520861" w:rsidRDefault="002E3CE8" w:rsidP="00251DA0">
            <w:pPr>
              <w:widowControl w:val="0"/>
              <w:spacing w:line="360" w:lineRule="auto"/>
              <w:ind w:left="-137"/>
              <w:jc w:val="center"/>
              <w:rPr>
                <w:rFonts w:eastAsia="Calibri"/>
                <w:spacing w:val="-6"/>
                <w:sz w:val="28"/>
                <w:szCs w:val="28"/>
              </w:rPr>
            </w:pPr>
            <w:r w:rsidRPr="00520861">
              <w:rPr>
                <w:rFonts w:eastAsia="Calibri"/>
                <w:spacing w:val="-6"/>
                <w:sz w:val="28"/>
                <w:szCs w:val="28"/>
              </w:rPr>
              <w:t>31 (24)</w:t>
            </w:r>
          </w:p>
        </w:tc>
        <w:tc>
          <w:tcPr>
            <w:tcW w:w="1637" w:type="dxa"/>
          </w:tcPr>
          <w:p w14:paraId="51C51AC8"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0,0; 0,0% </w:t>
            </w:r>
          </w:p>
          <w:p w14:paraId="11A147CC" w14:textId="77777777" w:rsidR="002E3CE8" w:rsidRPr="00520861" w:rsidRDefault="002E3CE8" w:rsidP="00251DA0">
            <w:pPr>
              <w:widowControl w:val="0"/>
              <w:spacing w:line="360" w:lineRule="auto"/>
              <w:ind w:right="-119" w:hanging="171"/>
              <w:jc w:val="center"/>
              <w:rPr>
                <w:rFonts w:eastAsia="Calibri"/>
                <w:spacing w:val="-6"/>
                <w:sz w:val="28"/>
                <w:szCs w:val="28"/>
              </w:rPr>
            </w:pPr>
            <w:r w:rsidRPr="00520861">
              <w:rPr>
                <w:rFonts w:eastAsia="Calibri"/>
                <w:spacing w:val="-6"/>
                <w:sz w:val="28"/>
                <w:szCs w:val="28"/>
              </w:rPr>
              <w:t>0,0% – 14,2%</w:t>
            </w:r>
          </w:p>
        </w:tc>
        <w:tc>
          <w:tcPr>
            <w:tcW w:w="1630" w:type="dxa"/>
          </w:tcPr>
          <w:p w14:paraId="734C081E"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2,0; 6,5%</w:t>
            </w:r>
          </w:p>
          <w:p w14:paraId="46E04AC7" w14:textId="77777777" w:rsidR="002E3CE8" w:rsidRPr="00520861" w:rsidRDefault="002E3CE8" w:rsidP="00251DA0">
            <w:pPr>
              <w:widowControl w:val="0"/>
              <w:spacing w:line="360" w:lineRule="auto"/>
              <w:ind w:right="-121" w:hanging="169"/>
              <w:jc w:val="center"/>
              <w:rPr>
                <w:rFonts w:eastAsia="Calibri"/>
                <w:spacing w:val="-6"/>
                <w:sz w:val="28"/>
                <w:szCs w:val="28"/>
              </w:rPr>
            </w:pPr>
            <w:r w:rsidRPr="00520861">
              <w:rPr>
                <w:rFonts w:eastAsia="Calibri"/>
                <w:spacing w:val="-6"/>
                <w:sz w:val="28"/>
                <w:szCs w:val="28"/>
              </w:rPr>
              <w:t>2,0% – 16,7%</w:t>
            </w:r>
          </w:p>
        </w:tc>
        <w:tc>
          <w:tcPr>
            <w:tcW w:w="1630" w:type="dxa"/>
          </w:tcPr>
          <w:p w14:paraId="25A19314"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0,0; 0,0% </w:t>
            </w:r>
          </w:p>
          <w:p w14:paraId="4294377D" w14:textId="77777777" w:rsidR="002E3CE8" w:rsidRPr="00520861" w:rsidRDefault="002E3CE8" w:rsidP="00251DA0">
            <w:pPr>
              <w:widowControl w:val="0"/>
              <w:spacing w:line="360" w:lineRule="auto"/>
              <w:ind w:right="-109" w:hanging="24"/>
              <w:jc w:val="center"/>
              <w:rPr>
                <w:rFonts w:eastAsia="Calibri"/>
                <w:spacing w:val="-6"/>
                <w:sz w:val="28"/>
                <w:szCs w:val="28"/>
              </w:rPr>
            </w:pPr>
            <w:r w:rsidRPr="00520861">
              <w:rPr>
                <w:rFonts w:eastAsia="Calibri"/>
                <w:spacing w:val="-6"/>
                <w:sz w:val="28"/>
                <w:szCs w:val="28"/>
              </w:rPr>
              <w:t>0,0% – 14,2%</w:t>
            </w:r>
          </w:p>
        </w:tc>
        <w:tc>
          <w:tcPr>
            <w:tcW w:w="1630" w:type="dxa"/>
          </w:tcPr>
          <w:p w14:paraId="4B218C5A"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1,0; 3,2% </w:t>
            </w:r>
          </w:p>
          <w:p w14:paraId="61123FA5" w14:textId="77777777" w:rsidR="002E3CE8" w:rsidRPr="00520861" w:rsidRDefault="002E3CE8" w:rsidP="00251DA0">
            <w:pPr>
              <w:widowControl w:val="0"/>
              <w:spacing w:line="360" w:lineRule="auto"/>
              <w:ind w:left="-100" w:right="-141"/>
              <w:jc w:val="center"/>
              <w:rPr>
                <w:rFonts w:eastAsia="Calibri"/>
                <w:spacing w:val="-6"/>
                <w:sz w:val="28"/>
                <w:szCs w:val="28"/>
              </w:rPr>
            </w:pPr>
            <w:r w:rsidRPr="00520861">
              <w:rPr>
                <w:rFonts w:eastAsia="Calibri"/>
                <w:spacing w:val="-6"/>
                <w:sz w:val="28"/>
                <w:szCs w:val="28"/>
              </w:rPr>
              <w:t>0,8% - 11,2%</w:t>
            </w:r>
          </w:p>
        </w:tc>
        <w:tc>
          <w:tcPr>
            <w:tcW w:w="1634" w:type="dxa"/>
          </w:tcPr>
          <w:p w14:paraId="14208CD0"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0,0; 0,0% </w:t>
            </w:r>
          </w:p>
          <w:p w14:paraId="3FC6C24E"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 – 14,2%</w:t>
            </w:r>
          </w:p>
        </w:tc>
        <w:tc>
          <w:tcPr>
            <w:tcW w:w="1630" w:type="dxa"/>
          </w:tcPr>
          <w:p w14:paraId="471913C3"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0,0; 0,0%</w:t>
            </w:r>
          </w:p>
          <w:p w14:paraId="2817E91F"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 – 11,2%</w:t>
            </w:r>
          </w:p>
        </w:tc>
        <w:tc>
          <w:tcPr>
            <w:tcW w:w="1630" w:type="dxa"/>
          </w:tcPr>
          <w:p w14:paraId="38571677"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0,0; 0,0%</w:t>
            </w:r>
          </w:p>
          <w:p w14:paraId="0005A2A9"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 – 14,2%</w:t>
            </w:r>
          </w:p>
        </w:tc>
        <w:tc>
          <w:tcPr>
            <w:tcW w:w="1630" w:type="dxa"/>
          </w:tcPr>
          <w:p w14:paraId="733DCF2F"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1,0; 3,2% </w:t>
            </w:r>
          </w:p>
          <w:p w14:paraId="25423B35" w14:textId="77777777" w:rsidR="002E3CE8" w:rsidRPr="00520861" w:rsidRDefault="002E3CE8" w:rsidP="00251DA0">
            <w:pPr>
              <w:widowControl w:val="0"/>
              <w:spacing w:line="360" w:lineRule="auto"/>
              <w:ind w:left="37" w:right="-166" w:hanging="265"/>
              <w:jc w:val="center"/>
              <w:rPr>
                <w:rFonts w:eastAsia="Calibri"/>
                <w:spacing w:val="-6"/>
                <w:sz w:val="28"/>
                <w:szCs w:val="28"/>
              </w:rPr>
            </w:pPr>
            <w:r w:rsidRPr="00520861">
              <w:rPr>
                <w:rFonts w:eastAsia="Calibri"/>
                <w:spacing w:val="-6"/>
                <w:sz w:val="28"/>
                <w:szCs w:val="28"/>
              </w:rPr>
              <w:t>0,8% – 11,2%</w:t>
            </w:r>
          </w:p>
        </w:tc>
      </w:tr>
      <w:tr w:rsidR="002E3CE8" w:rsidRPr="00520861" w14:paraId="20CA3ABE" w14:textId="77777777" w:rsidTr="00292D2E">
        <w:trPr>
          <w:jc w:val="center"/>
        </w:trPr>
        <w:tc>
          <w:tcPr>
            <w:tcW w:w="1434" w:type="dxa"/>
          </w:tcPr>
          <w:p w14:paraId="319A900D"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ОГ</w:t>
            </w:r>
          </w:p>
          <w:p w14:paraId="1195027D"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57 (39)</w:t>
            </w:r>
          </w:p>
        </w:tc>
        <w:tc>
          <w:tcPr>
            <w:tcW w:w="1637" w:type="dxa"/>
          </w:tcPr>
          <w:p w14:paraId="1C8D3EFE" w14:textId="77777777" w:rsidR="002E3CE8" w:rsidRPr="00520861" w:rsidRDefault="002E3CE8" w:rsidP="00251DA0">
            <w:pPr>
              <w:widowControl w:val="0"/>
              <w:spacing w:line="360" w:lineRule="auto"/>
              <w:ind w:right="-119" w:hanging="171"/>
              <w:jc w:val="center"/>
              <w:rPr>
                <w:rFonts w:eastAsia="Calibri"/>
                <w:spacing w:val="-6"/>
                <w:sz w:val="28"/>
                <w:szCs w:val="28"/>
              </w:rPr>
            </w:pPr>
            <w:r w:rsidRPr="00520861">
              <w:rPr>
                <w:rFonts w:eastAsia="Calibri"/>
                <w:spacing w:val="-6"/>
                <w:sz w:val="28"/>
                <w:szCs w:val="28"/>
              </w:rPr>
              <w:t>10,0; 25,6%*</w:t>
            </w:r>
          </w:p>
          <w:p w14:paraId="71B657FC" w14:textId="77777777" w:rsidR="002E3CE8" w:rsidRPr="00520861" w:rsidRDefault="002E3CE8" w:rsidP="00251DA0">
            <w:pPr>
              <w:widowControl w:val="0"/>
              <w:spacing w:line="360" w:lineRule="auto"/>
              <w:ind w:left="-253" w:right="-179" w:hanging="108"/>
              <w:jc w:val="center"/>
              <w:rPr>
                <w:rFonts w:eastAsia="Calibri"/>
                <w:spacing w:val="-6"/>
                <w:sz w:val="28"/>
                <w:szCs w:val="28"/>
              </w:rPr>
            </w:pPr>
            <w:r w:rsidRPr="00520861">
              <w:rPr>
                <w:rFonts w:eastAsia="Calibri"/>
                <w:spacing w:val="-6"/>
                <w:sz w:val="28"/>
                <w:szCs w:val="28"/>
              </w:rPr>
              <w:t>15,0% – 39,3%</w:t>
            </w:r>
          </w:p>
        </w:tc>
        <w:tc>
          <w:tcPr>
            <w:tcW w:w="1630" w:type="dxa"/>
          </w:tcPr>
          <w:p w14:paraId="7B5A43D9"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9,0; 15,8% </w:t>
            </w:r>
          </w:p>
          <w:p w14:paraId="50E9CBD9" w14:textId="77777777" w:rsidR="002E3CE8" w:rsidRPr="00520861" w:rsidRDefault="002E3CE8" w:rsidP="00251DA0">
            <w:pPr>
              <w:widowControl w:val="0"/>
              <w:spacing w:line="360" w:lineRule="auto"/>
              <w:ind w:left="-172" w:right="-260"/>
              <w:jc w:val="center"/>
              <w:rPr>
                <w:rFonts w:eastAsia="Calibri"/>
                <w:spacing w:val="-6"/>
                <w:sz w:val="28"/>
                <w:szCs w:val="28"/>
              </w:rPr>
            </w:pPr>
            <w:r w:rsidRPr="00520861">
              <w:rPr>
                <w:rFonts w:eastAsia="Calibri"/>
                <w:spacing w:val="-6"/>
                <w:sz w:val="28"/>
                <w:szCs w:val="28"/>
              </w:rPr>
              <w:t>8,7% – 25,8%</w:t>
            </w:r>
          </w:p>
        </w:tc>
        <w:tc>
          <w:tcPr>
            <w:tcW w:w="1630" w:type="dxa"/>
          </w:tcPr>
          <w:p w14:paraId="343E32F4"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9,0; 23,1% </w:t>
            </w:r>
          </w:p>
          <w:p w14:paraId="51357C6D" w14:textId="77777777" w:rsidR="002E3CE8" w:rsidRPr="00520861" w:rsidRDefault="002E3CE8" w:rsidP="00251DA0">
            <w:pPr>
              <w:widowControl w:val="0"/>
              <w:spacing w:line="360" w:lineRule="auto"/>
              <w:ind w:left="-233" w:right="-341"/>
              <w:jc w:val="center"/>
              <w:rPr>
                <w:rFonts w:eastAsia="Calibri"/>
                <w:spacing w:val="-6"/>
                <w:sz w:val="28"/>
                <w:szCs w:val="28"/>
              </w:rPr>
            </w:pPr>
            <w:r w:rsidRPr="00520861">
              <w:rPr>
                <w:rFonts w:eastAsia="Calibri"/>
                <w:spacing w:val="-6"/>
                <w:sz w:val="28"/>
                <w:szCs w:val="28"/>
              </w:rPr>
              <w:t>13,0% – 36,5%</w:t>
            </w:r>
          </w:p>
        </w:tc>
        <w:tc>
          <w:tcPr>
            <w:tcW w:w="1630" w:type="dxa"/>
          </w:tcPr>
          <w:p w14:paraId="0BF34DDF"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9,0; 15,8% </w:t>
            </w:r>
          </w:p>
          <w:p w14:paraId="0FFF298C" w14:textId="77777777" w:rsidR="002E3CE8" w:rsidRPr="00520861" w:rsidRDefault="002E3CE8" w:rsidP="00251DA0">
            <w:pPr>
              <w:widowControl w:val="0"/>
              <w:spacing w:line="360" w:lineRule="auto"/>
              <w:ind w:left="-152" w:right="-138"/>
              <w:jc w:val="center"/>
              <w:rPr>
                <w:rFonts w:eastAsia="Calibri"/>
                <w:spacing w:val="-6"/>
                <w:sz w:val="28"/>
                <w:szCs w:val="28"/>
              </w:rPr>
            </w:pPr>
            <w:r w:rsidRPr="00520861">
              <w:rPr>
                <w:rFonts w:eastAsia="Calibri"/>
                <w:spacing w:val="-6"/>
                <w:sz w:val="28"/>
                <w:szCs w:val="28"/>
              </w:rPr>
              <w:t>8,7% – 25,8%</w:t>
            </w:r>
          </w:p>
        </w:tc>
        <w:tc>
          <w:tcPr>
            <w:tcW w:w="1634" w:type="dxa"/>
          </w:tcPr>
          <w:p w14:paraId="4AE9A8EA"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5,0; 12,8% </w:t>
            </w:r>
          </w:p>
          <w:p w14:paraId="0101F6AC" w14:textId="77777777" w:rsidR="002E3CE8" w:rsidRPr="00520861" w:rsidRDefault="002E3CE8" w:rsidP="00251DA0">
            <w:pPr>
              <w:widowControl w:val="0"/>
              <w:spacing w:line="360" w:lineRule="auto"/>
              <w:ind w:left="-227" w:right="-174" w:hanging="15"/>
              <w:jc w:val="center"/>
              <w:rPr>
                <w:rFonts w:eastAsia="Calibri"/>
                <w:spacing w:val="-6"/>
                <w:sz w:val="28"/>
                <w:szCs w:val="28"/>
              </w:rPr>
            </w:pPr>
            <w:r w:rsidRPr="00520861">
              <w:rPr>
                <w:rFonts w:eastAsia="Calibri"/>
                <w:spacing w:val="-6"/>
                <w:sz w:val="28"/>
                <w:szCs w:val="28"/>
              </w:rPr>
              <w:t>5,9% – 24,2%</w:t>
            </w:r>
          </w:p>
        </w:tc>
        <w:tc>
          <w:tcPr>
            <w:tcW w:w="1630" w:type="dxa"/>
          </w:tcPr>
          <w:p w14:paraId="4360D9E9"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4,0; 7,0% </w:t>
            </w:r>
          </w:p>
          <w:p w14:paraId="759486AD" w14:textId="77777777" w:rsidR="002E3CE8" w:rsidRPr="00520861" w:rsidRDefault="002E3CE8" w:rsidP="00251DA0">
            <w:pPr>
              <w:widowControl w:val="0"/>
              <w:spacing w:line="360" w:lineRule="auto"/>
              <w:ind w:right="-114" w:hanging="176"/>
              <w:jc w:val="center"/>
              <w:rPr>
                <w:rFonts w:eastAsia="Calibri"/>
                <w:spacing w:val="-6"/>
                <w:sz w:val="28"/>
                <w:szCs w:val="28"/>
              </w:rPr>
            </w:pPr>
            <w:r w:rsidRPr="00520861">
              <w:rPr>
                <w:rFonts w:eastAsia="Calibri"/>
                <w:spacing w:val="-6"/>
                <w:sz w:val="28"/>
                <w:szCs w:val="28"/>
              </w:rPr>
              <w:t>2,9% – 14,6%</w:t>
            </w:r>
          </w:p>
        </w:tc>
        <w:tc>
          <w:tcPr>
            <w:tcW w:w="1630" w:type="dxa"/>
          </w:tcPr>
          <w:p w14:paraId="5DFF87A4"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5,0; 12,8% </w:t>
            </w:r>
          </w:p>
          <w:p w14:paraId="2F0394E4" w14:textId="77777777" w:rsidR="002E3CE8" w:rsidRPr="00520861" w:rsidRDefault="002E3CE8" w:rsidP="00251DA0">
            <w:pPr>
              <w:widowControl w:val="0"/>
              <w:spacing w:line="360" w:lineRule="auto"/>
              <w:ind w:left="-110" w:right="-180" w:hanging="67"/>
              <w:jc w:val="center"/>
              <w:rPr>
                <w:rFonts w:eastAsia="Calibri"/>
                <w:spacing w:val="-6"/>
                <w:sz w:val="28"/>
                <w:szCs w:val="28"/>
              </w:rPr>
            </w:pPr>
            <w:r w:rsidRPr="00520861">
              <w:rPr>
                <w:rFonts w:eastAsia="Calibri"/>
                <w:spacing w:val="-6"/>
                <w:sz w:val="28"/>
                <w:szCs w:val="28"/>
              </w:rPr>
              <w:t>5,9% – 24,2%</w:t>
            </w:r>
          </w:p>
        </w:tc>
        <w:tc>
          <w:tcPr>
            <w:tcW w:w="1630" w:type="dxa"/>
          </w:tcPr>
          <w:p w14:paraId="3773C166"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3,0; 5,3% </w:t>
            </w:r>
          </w:p>
          <w:p w14:paraId="6ECF4656" w14:textId="77777777" w:rsidR="002E3CE8" w:rsidRPr="00520861" w:rsidRDefault="002E3CE8" w:rsidP="00251DA0">
            <w:pPr>
              <w:widowControl w:val="0"/>
              <w:spacing w:line="360" w:lineRule="auto"/>
              <w:ind w:right="-183" w:hanging="248"/>
              <w:jc w:val="center"/>
              <w:rPr>
                <w:rFonts w:eastAsia="Calibri"/>
                <w:spacing w:val="-6"/>
                <w:sz w:val="28"/>
                <w:szCs w:val="28"/>
              </w:rPr>
            </w:pPr>
            <w:r w:rsidRPr="00520861">
              <w:rPr>
                <w:rFonts w:eastAsia="Calibri"/>
                <w:spacing w:val="-6"/>
                <w:sz w:val="28"/>
                <w:szCs w:val="28"/>
              </w:rPr>
              <w:t>1,9% – 12,1%</w:t>
            </w:r>
          </w:p>
        </w:tc>
      </w:tr>
      <w:tr w:rsidR="002E3CE8" w:rsidRPr="00520861" w14:paraId="248CF031" w14:textId="77777777" w:rsidTr="00292D2E">
        <w:trPr>
          <w:jc w:val="center"/>
        </w:trPr>
        <w:tc>
          <w:tcPr>
            <w:tcW w:w="1434" w:type="dxa"/>
          </w:tcPr>
          <w:p w14:paraId="093C5B46" w14:textId="77777777" w:rsidR="002E3CE8" w:rsidRPr="00520861" w:rsidRDefault="002E3CE8" w:rsidP="00251DA0">
            <w:pPr>
              <w:widowControl w:val="0"/>
              <w:spacing w:line="360" w:lineRule="auto"/>
              <w:ind w:right="-113" w:hanging="111"/>
              <w:jc w:val="center"/>
              <w:rPr>
                <w:rFonts w:eastAsia="Calibri"/>
                <w:spacing w:val="-6"/>
                <w:sz w:val="28"/>
                <w:szCs w:val="28"/>
              </w:rPr>
            </w:pPr>
            <w:r w:rsidRPr="00520861">
              <w:rPr>
                <w:spacing w:val="-6"/>
                <w:sz w:val="28"/>
                <w:szCs w:val="28"/>
              </w:rPr>
              <w:t xml:space="preserve">Підгрупа </w:t>
            </w:r>
            <w:r w:rsidRPr="00520861">
              <w:rPr>
                <w:rFonts w:eastAsia="Calibri"/>
                <w:spacing w:val="-6"/>
                <w:sz w:val="28"/>
                <w:szCs w:val="28"/>
              </w:rPr>
              <w:t>1</w:t>
            </w:r>
            <w:r w:rsidRPr="00520861">
              <w:rPr>
                <w:rFonts w:eastAsia="Calibri"/>
                <w:spacing w:val="-6"/>
                <w:sz w:val="28"/>
                <w:szCs w:val="28"/>
                <w:lang w:val="ru-RU"/>
              </w:rPr>
              <w:t>;</w:t>
            </w:r>
            <w:r w:rsidRPr="00520861">
              <w:rPr>
                <w:rFonts w:eastAsia="Calibri"/>
                <w:spacing w:val="-6"/>
                <w:sz w:val="28"/>
                <w:szCs w:val="28"/>
                <w:lang w:val="en-US"/>
              </w:rPr>
              <w:t xml:space="preserve"> </w:t>
            </w:r>
            <w:r w:rsidRPr="00520861">
              <w:rPr>
                <w:rFonts w:eastAsia="Calibri"/>
                <w:spacing w:val="-6"/>
                <w:sz w:val="28"/>
                <w:szCs w:val="28"/>
              </w:rPr>
              <w:t>29 (17)</w:t>
            </w:r>
          </w:p>
        </w:tc>
        <w:tc>
          <w:tcPr>
            <w:tcW w:w="1637" w:type="dxa"/>
          </w:tcPr>
          <w:p w14:paraId="6B865482"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3,0; 17,6% </w:t>
            </w:r>
          </w:p>
          <w:p w14:paraId="1B64F564" w14:textId="77777777" w:rsidR="002E3CE8" w:rsidRPr="00520861" w:rsidRDefault="002E3CE8" w:rsidP="00251DA0">
            <w:pPr>
              <w:widowControl w:val="0"/>
              <w:spacing w:line="360" w:lineRule="auto"/>
              <w:ind w:left="-171" w:right="-179"/>
              <w:jc w:val="center"/>
              <w:rPr>
                <w:rFonts w:eastAsia="Calibri"/>
                <w:spacing w:val="-6"/>
                <w:sz w:val="28"/>
                <w:szCs w:val="28"/>
              </w:rPr>
            </w:pPr>
            <w:r w:rsidRPr="00520861">
              <w:rPr>
                <w:rFonts w:eastAsia="Calibri"/>
                <w:spacing w:val="-6"/>
                <w:sz w:val="28"/>
                <w:szCs w:val="28"/>
              </w:rPr>
              <w:t>6,8% – 36,4%</w:t>
            </w:r>
          </w:p>
        </w:tc>
        <w:tc>
          <w:tcPr>
            <w:tcW w:w="1630" w:type="dxa"/>
          </w:tcPr>
          <w:p w14:paraId="0B26C20A"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5,0; 9,6% </w:t>
            </w:r>
          </w:p>
          <w:p w14:paraId="68EEC2C3" w14:textId="77777777" w:rsidR="002E3CE8" w:rsidRPr="00520861" w:rsidRDefault="002E3CE8" w:rsidP="00251DA0">
            <w:pPr>
              <w:widowControl w:val="0"/>
              <w:spacing w:line="360" w:lineRule="auto"/>
              <w:ind w:right="-103" w:hanging="172"/>
              <w:jc w:val="center"/>
              <w:rPr>
                <w:rFonts w:eastAsia="Calibri"/>
                <w:spacing w:val="-6"/>
                <w:sz w:val="28"/>
                <w:szCs w:val="28"/>
              </w:rPr>
            </w:pPr>
            <w:r w:rsidRPr="00520861">
              <w:rPr>
                <w:rFonts w:eastAsia="Calibri"/>
                <w:spacing w:val="-6"/>
                <w:sz w:val="28"/>
                <w:szCs w:val="28"/>
              </w:rPr>
              <w:t>4,4% – 18,5%</w:t>
            </w:r>
          </w:p>
        </w:tc>
        <w:tc>
          <w:tcPr>
            <w:tcW w:w="1630" w:type="dxa"/>
          </w:tcPr>
          <w:p w14:paraId="2AB29778"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3,0; 17,6% </w:t>
            </w:r>
          </w:p>
          <w:p w14:paraId="2069AE43" w14:textId="77777777" w:rsidR="002E3CE8" w:rsidRPr="00520861" w:rsidRDefault="002E3CE8" w:rsidP="00251DA0">
            <w:pPr>
              <w:widowControl w:val="0"/>
              <w:spacing w:line="360" w:lineRule="auto"/>
              <w:ind w:right="-184" w:hanging="248"/>
              <w:jc w:val="center"/>
              <w:rPr>
                <w:rFonts w:eastAsia="Calibri"/>
                <w:spacing w:val="-6"/>
                <w:sz w:val="28"/>
                <w:szCs w:val="28"/>
              </w:rPr>
            </w:pPr>
            <w:r w:rsidRPr="00520861">
              <w:rPr>
                <w:rFonts w:eastAsia="Calibri"/>
                <w:spacing w:val="-6"/>
                <w:sz w:val="28"/>
                <w:szCs w:val="28"/>
              </w:rPr>
              <w:t>6,8% – 36,4%</w:t>
            </w:r>
          </w:p>
        </w:tc>
        <w:tc>
          <w:tcPr>
            <w:tcW w:w="1630" w:type="dxa"/>
          </w:tcPr>
          <w:p w14:paraId="114F07C0"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3,0; 5,8%</w:t>
            </w:r>
          </w:p>
          <w:p w14:paraId="1FE90833" w14:textId="77777777" w:rsidR="002E3CE8" w:rsidRPr="00520861" w:rsidRDefault="002E3CE8" w:rsidP="00251DA0">
            <w:pPr>
              <w:widowControl w:val="0"/>
              <w:spacing w:line="360" w:lineRule="auto"/>
              <w:ind w:left="-100" w:right="-190"/>
              <w:jc w:val="center"/>
              <w:rPr>
                <w:rFonts w:eastAsia="Calibri"/>
                <w:spacing w:val="-6"/>
                <w:sz w:val="28"/>
                <w:szCs w:val="28"/>
              </w:rPr>
            </w:pPr>
            <w:r w:rsidRPr="00520861">
              <w:rPr>
                <w:rFonts w:eastAsia="Calibri"/>
                <w:spacing w:val="-6"/>
                <w:sz w:val="28"/>
                <w:szCs w:val="28"/>
              </w:rPr>
              <w:t>2,1% – 13,2%</w:t>
            </w:r>
          </w:p>
        </w:tc>
        <w:tc>
          <w:tcPr>
            <w:tcW w:w="1634" w:type="dxa"/>
          </w:tcPr>
          <w:p w14:paraId="49EC4FE3"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0,0; 0,0% </w:t>
            </w:r>
          </w:p>
          <w:p w14:paraId="09C19C9F" w14:textId="77777777" w:rsidR="002E3CE8" w:rsidRPr="00520861" w:rsidRDefault="002E3CE8" w:rsidP="00251DA0">
            <w:pPr>
              <w:widowControl w:val="0"/>
              <w:spacing w:line="360" w:lineRule="auto"/>
              <w:ind w:left="-176" w:right="-114" w:firstLine="176"/>
              <w:jc w:val="center"/>
              <w:rPr>
                <w:rFonts w:eastAsia="Calibri"/>
                <w:spacing w:val="-6"/>
                <w:sz w:val="28"/>
                <w:szCs w:val="28"/>
              </w:rPr>
            </w:pPr>
            <w:r w:rsidRPr="00520861">
              <w:rPr>
                <w:rFonts w:eastAsia="Calibri"/>
                <w:spacing w:val="-6"/>
                <w:sz w:val="28"/>
                <w:szCs w:val="28"/>
              </w:rPr>
              <w:t>0% – 19,5%</w:t>
            </w:r>
          </w:p>
        </w:tc>
        <w:tc>
          <w:tcPr>
            <w:tcW w:w="1630" w:type="dxa"/>
          </w:tcPr>
          <w:p w14:paraId="63A23B7A"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3,0; 5,8% </w:t>
            </w:r>
          </w:p>
          <w:p w14:paraId="61D0AE9B" w14:textId="77777777" w:rsidR="002E3CE8" w:rsidRPr="00520861" w:rsidRDefault="002E3CE8" w:rsidP="00251DA0">
            <w:pPr>
              <w:widowControl w:val="0"/>
              <w:spacing w:line="360" w:lineRule="auto"/>
              <w:ind w:left="-95" w:right="-180"/>
              <w:jc w:val="center"/>
              <w:rPr>
                <w:rFonts w:eastAsia="Calibri"/>
                <w:spacing w:val="-6"/>
                <w:sz w:val="28"/>
                <w:szCs w:val="28"/>
              </w:rPr>
            </w:pPr>
            <w:r w:rsidRPr="00520861">
              <w:rPr>
                <w:rFonts w:eastAsia="Calibri"/>
                <w:spacing w:val="-6"/>
                <w:sz w:val="28"/>
                <w:szCs w:val="28"/>
              </w:rPr>
              <w:t>2,1% – 13,2%</w:t>
            </w:r>
          </w:p>
        </w:tc>
        <w:tc>
          <w:tcPr>
            <w:tcW w:w="1630" w:type="dxa"/>
          </w:tcPr>
          <w:p w14:paraId="1DC750BE" w14:textId="77777777" w:rsidR="002E3CE8" w:rsidRPr="00520861" w:rsidRDefault="002E3CE8" w:rsidP="00251DA0">
            <w:pPr>
              <w:widowControl w:val="0"/>
              <w:spacing w:line="360" w:lineRule="auto"/>
              <w:ind w:left="-170" w:right="-120"/>
              <w:jc w:val="center"/>
              <w:rPr>
                <w:rFonts w:eastAsia="Calibri"/>
                <w:spacing w:val="-6"/>
                <w:sz w:val="28"/>
                <w:szCs w:val="28"/>
              </w:rPr>
            </w:pPr>
            <w:r w:rsidRPr="00520861">
              <w:rPr>
                <w:rFonts w:eastAsia="Calibri"/>
                <w:spacing w:val="-6"/>
                <w:sz w:val="28"/>
                <w:szCs w:val="28"/>
              </w:rPr>
              <w:t>2,0; 11,8% 3,8% – 28,7%</w:t>
            </w:r>
          </w:p>
        </w:tc>
        <w:tc>
          <w:tcPr>
            <w:tcW w:w="1630" w:type="dxa"/>
          </w:tcPr>
          <w:p w14:paraId="02715A1A"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0,0; 0,0% </w:t>
            </w:r>
          </w:p>
          <w:p w14:paraId="519A3916"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 – 6,8%</w:t>
            </w:r>
          </w:p>
        </w:tc>
      </w:tr>
      <w:tr w:rsidR="002E3CE8" w:rsidRPr="00520861" w14:paraId="45A21080" w14:textId="77777777" w:rsidTr="00292D2E">
        <w:trPr>
          <w:jc w:val="center"/>
        </w:trPr>
        <w:tc>
          <w:tcPr>
            <w:tcW w:w="1434" w:type="dxa"/>
          </w:tcPr>
          <w:p w14:paraId="4DE74132" w14:textId="77777777" w:rsidR="002E3CE8" w:rsidRPr="00520861" w:rsidRDefault="002E3CE8" w:rsidP="00251DA0">
            <w:pPr>
              <w:widowControl w:val="0"/>
              <w:spacing w:line="360" w:lineRule="auto"/>
              <w:ind w:left="-113" w:right="-113"/>
              <w:jc w:val="center"/>
              <w:rPr>
                <w:rFonts w:eastAsia="Calibri"/>
                <w:spacing w:val="-6"/>
                <w:sz w:val="28"/>
                <w:szCs w:val="28"/>
              </w:rPr>
            </w:pPr>
            <w:r w:rsidRPr="00520861">
              <w:rPr>
                <w:spacing w:val="-6"/>
                <w:sz w:val="28"/>
                <w:szCs w:val="28"/>
              </w:rPr>
              <w:t xml:space="preserve">Підгрупа </w:t>
            </w:r>
            <w:r w:rsidRPr="00520861">
              <w:rPr>
                <w:rFonts w:eastAsia="Calibri"/>
                <w:spacing w:val="-6"/>
                <w:sz w:val="28"/>
                <w:szCs w:val="28"/>
              </w:rPr>
              <w:t>2</w:t>
            </w:r>
          </w:p>
          <w:p w14:paraId="3BBCFA40" w14:textId="77777777" w:rsidR="002E3CE8" w:rsidRPr="00520861" w:rsidRDefault="002E3CE8" w:rsidP="00251DA0">
            <w:pPr>
              <w:widowControl w:val="0"/>
              <w:spacing w:line="360" w:lineRule="auto"/>
              <w:ind w:right="-113" w:hanging="111"/>
              <w:jc w:val="center"/>
              <w:rPr>
                <w:spacing w:val="-6"/>
                <w:sz w:val="28"/>
                <w:szCs w:val="28"/>
              </w:rPr>
            </w:pPr>
            <w:r w:rsidRPr="00520861">
              <w:rPr>
                <w:rFonts w:eastAsia="Calibri"/>
                <w:spacing w:val="-6"/>
                <w:sz w:val="28"/>
                <w:szCs w:val="28"/>
              </w:rPr>
              <w:t>11 (5)</w:t>
            </w:r>
          </w:p>
        </w:tc>
        <w:tc>
          <w:tcPr>
            <w:tcW w:w="1637" w:type="dxa"/>
          </w:tcPr>
          <w:p w14:paraId="5BD92FFB"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4,0; 80,0%* </w:t>
            </w:r>
          </w:p>
          <w:p w14:paraId="36129C02" w14:textId="77777777" w:rsidR="002E3CE8" w:rsidRPr="00520861" w:rsidRDefault="002E3CE8" w:rsidP="00251DA0">
            <w:pPr>
              <w:widowControl w:val="0"/>
              <w:spacing w:line="360" w:lineRule="auto"/>
              <w:ind w:left="-171" w:right="-261" w:hanging="142"/>
              <w:jc w:val="center"/>
              <w:rPr>
                <w:rFonts w:eastAsia="Calibri"/>
                <w:spacing w:val="-8"/>
                <w:sz w:val="28"/>
                <w:szCs w:val="28"/>
              </w:rPr>
            </w:pPr>
            <w:r w:rsidRPr="00520861">
              <w:rPr>
                <w:rFonts w:eastAsia="Calibri"/>
                <w:spacing w:val="-8"/>
                <w:sz w:val="28"/>
                <w:szCs w:val="28"/>
              </w:rPr>
              <w:t>47,8%–94,7%</w:t>
            </w:r>
          </w:p>
        </w:tc>
        <w:tc>
          <w:tcPr>
            <w:tcW w:w="1630" w:type="dxa"/>
          </w:tcPr>
          <w:p w14:paraId="02F7BAD1"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1,0; 9,1% </w:t>
            </w:r>
          </w:p>
          <w:p w14:paraId="74C69F57" w14:textId="77777777" w:rsidR="002E3CE8" w:rsidRPr="00520861" w:rsidRDefault="002E3CE8" w:rsidP="00251DA0">
            <w:pPr>
              <w:widowControl w:val="0"/>
              <w:spacing w:line="360" w:lineRule="auto"/>
              <w:ind w:right="-43" w:hanging="105"/>
              <w:jc w:val="center"/>
              <w:rPr>
                <w:rFonts w:eastAsia="Calibri"/>
                <w:spacing w:val="-6"/>
                <w:sz w:val="28"/>
                <w:szCs w:val="28"/>
              </w:rPr>
            </w:pPr>
            <w:r w:rsidRPr="00520861">
              <w:rPr>
                <w:rFonts w:eastAsia="Calibri"/>
                <w:spacing w:val="-6"/>
                <w:sz w:val="28"/>
                <w:szCs w:val="28"/>
              </w:rPr>
              <w:t>2,3% – 28,5%</w:t>
            </w:r>
          </w:p>
        </w:tc>
        <w:tc>
          <w:tcPr>
            <w:tcW w:w="1630" w:type="dxa"/>
          </w:tcPr>
          <w:p w14:paraId="02DBCE63"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0,0; 0% </w:t>
            </w:r>
          </w:p>
          <w:p w14:paraId="4589673C"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 – 52,2%</w:t>
            </w:r>
          </w:p>
        </w:tc>
        <w:tc>
          <w:tcPr>
            <w:tcW w:w="1630" w:type="dxa"/>
          </w:tcPr>
          <w:p w14:paraId="434A3646"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2,0; 18,2% </w:t>
            </w:r>
          </w:p>
          <w:p w14:paraId="1111053B" w14:textId="77777777" w:rsidR="002E3CE8" w:rsidRPr="00520861" w:rsidRDefault="002E3CE8" w:rsidP="00251DA0">
            <w:pPr>
              <w:widowControl w:val="0"/>
              <w:spacing w:line="360" w:lineRule="auto"/>
              <w:ind w:left="-100" w:right="-48"/>
              <w:jc w:val="center"/>
              <w:rPr>
                <w:rFonts w:eastAsia="Calibri"/>
                <w:spacing w:val="-6"/>
                <w:sz w:val="28"/>
                <w:szCs w:val="28"/>
              </w:rPr>
            </w:pPr>
            <w:r w:rsidRPr="00520861">
              <w:rPr>
                <w:rFonts w:eastAsia="Calibri"/>
                <w:spacing w:val="-6"/>
                <w:sz w:val="28"/>
                <w:szCs w:val="28"/>
              </w:rPr>
              <w:t>6,0% – 41,3%</w:t>
            </w:r>
          </w:p>
        </w:tc>
        <w:tc>
          <w:tcPr>
            <w:tcW w:w="1634" w:type="dxa"/>
          </w:tcPr>
          <w:p w14:paraId="55026E31"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2,0; 60,0%* </w:t>
            </w:r>
          </w:p>
          <w:p w14:paraId="594A2BC2" w14:textId="77777777" w:rsidR="002E3CE8" w:rsidRPr="00520861" w:rsidRDefault="002E3CE8" w:rsidP="00251DA0">
            <w:pPr>
              <w:widowControl w:val="0"/>
              <w:spacing w:line="360" w:lineRule="auto"/>
              <w:ind w:left="-176" w:right="-114"/>
              <w:jc w:val="center"/>
              <w:rPr>
                <w:rFonts w:eastAsia="Calibri"/>
                <w:spacing w:val="-8"/>
                <w:sz w:val="28"/>
                <w:szCs w:val="28"/>
              </w:rPr>
            </w:pPr>
            <w:r w:rsidRPr="00520861">
              <w:rPr>
                <w:rFonts w:eastAsia="Calibri"/>
                <w:spacing w:val="-8"/>
                <w:sz w:val="28"/>
                <w:szCs w:val="28"/>
              </w:rPr>
              <w:t>28,4%–85,3%</w:t>
            </w:r>
          </w:p>
        </w:tc>
        <w:tc>
          <w:tcPr>
            <w:tcW w:w="1630" w:type="dxa"/>
          </w:tcPr>
          <w:p w14:paraId="0D7DA924"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1,0; 9,1% </w:t>
            </w:r>
          </w:p>
          <w:p w14:paraId="28CE80A1" w14:textId="77777777" w:rsidR="002E3CE8" w:rsidRPr="00520861" w:rsidRDefault="002E3CE8" w:rsidP="00251DA0">
            <w:pPr>
              <w:widowControl w:val="0"/>
              <w:spacing w:line="360" w:lineRule="auto"/>
              <w:ind w:left="-110"/>
              <w:jc w:val="center"/>
              <w:rPr>
                <w:rFonts w:eastAsia="Calibri"/>
                <w:spacing w:val="-6"/>
                <w:sz w:val="28"/>
                <w:szCs w:val="28"/>
              </w:rPr>
            </w:pPr>
            <w:r w:rsidRPr="00520861">
              <w:rPr>
                <w:rFonts w:eastAsia="Calibri"/>
                <w:spacing w:val="-6"/>
                <w:sz w:val="28"/>
                <w:szCs w:val="28"/>
              </w:rPr>
              <w:t>2,3% – 28,5%</w:t>
            </w:r>
          </w:p>
        </w:tc>
        <w:tc>
          <w:tcPr>
            <w:tcW w:w="1630" w:type="dxa"/>
          </w:tcPr>
          <w:p w14:paraId="15295CF5"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0,0; 0,0% </w:t>
            </w:r>
          </w:p>
          <w:p w14:paraId="6EDFECE1" w14:textId="77777777" w:rsidR="002E3CE8" w:rsidRPr="00520861" w:rsidRDefault="002E3CE8" w:rsidP="00251DA0">
            <w:pPr>
              <w:widowControl w:val="0"/>
              <w:spacing w:line="360" w:lineRule="auto"/>
              <w:ind w:left="-170" w:right="-120"/>
              <w:jc w:val="center"/>
              <w:rPr>
                <w:rFonts w:eastAsia="Calibri"/>
                <w:spacing w:val="-6"/>
                <w:sz w:val="28"/>
                <w:szCs w:val="28"/>
              </w:rPr>
            </w:pPr>
            <w:r w:rsidRPr="00520861">
              <w:rPr>
                <w:rFonts w:eastAsia="Calibri"/>
                <w:spacing w:val="-6"/>
                <w:sz w:val="28"/>
                <w:szCs w:val="28"/>
              </w:rPr>
              <w:t>0% – 52,2%</w:t>
            </w:r>
          </w:p>
        </w:tc>
        <w:tc>
          <w:tcPr>
            <w:tcW w:w="1630" w:type="dxa"/>
          </w:tcPr>
          <w:p w14:paraId="1F8F77B0"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1,0; 9,1% </w:t>
            </w:r>
          </w:p>
          <w:p w14:paraId="5DEF6FD4" w14:textId="77777777" w:rsidR="002E3CE8" w:rsidRPr="00520861" w:rsidRDefault="002E3CE8" w:rsidP="00251DA0">
            <w:pPr>
              <w:widowControl w:val="0"/>
              <w:spacing w:line="360" w:lineRule="auto"/>
              <w:ind w:hanging="104"/>
              <w:jc w:val="center"/>
              <w:rPr>
                <w:rFonts w:eastAsia="Calibri"/>
                <w:spacing w:val="-6"/>
                <w:sz w:val="28"/>
                <w:szCs w:val="28"/>
              </w:rPr>
            </w:pPr>
            <w:r w:rsidRPr="00520861">
              <w:rPr>
                <w:rFonts w:eastAsia="Calibri"/>
                <w:spacing w:val="-6"/>
                <w:sz w:val="28"/>
                <w:szCs w:val="28"/>
              </w:rPr>
              <w:t>2,3% – 28,5%</w:t>
            </w:r>
          </w:p>
        </w:tc>
      </w:tr>
      <w:tr w:rsidR="002E3CE8" w:rsidRPr="00520861" w14:paraId="05F22585" w14:textId="77777777" w:rsidTr="00292D2E">
        <w:trPr>
          <w:jc w:val="center"/>
        </w:trPr>
        <w:tc>
          <w:tcPr>
            <w:tcW w:w="1434" w:type="dxa"/>
          </w:tcPr>
          <w:p w14:paraId="755FDB55" w14:textId="77777777" w:rsidR="002E3CE8" w:rsidRPr="00520861" w:rsidRDefault="002E3CE8" w:rsidP="00251DA0">
            <w:pPr>
              <w:widowControl w:val="0"/>
              <w:spacing w:line="360" w:lineRule="auto"/>
              <w:ind w:right="-113" w:hanging="113"/>
              <w:jc w:val="center"/>
              <w:rPr>
                <w:rFonts w:eastAsia="Calibri"/>
                <w:spacing w:val="-6"/>
                <w:sz w:val="28"/>
                <w:szCs w:val="28"/>
              </w:rPr>
            </w:pPr>
            <w:r w:rsidRPr="00520861">
              <w:rPr>
                <w:spacing w:val="-6"/>
                <w:sz w:val="28"/>
                <w:szCs w:val="28"/>
              </w:rPr>
              <w:t xml:space="preserve">Підгрупа </w:t>
            </w:r>
            <w:r w:rsidRPr="00520861">
              <w:rPr>
                <w:rFonts w:eastAsia="Calibri"/>
                <w:spacing w:val="-6"/>
                <w:sz w:val="28"/>
                <w:szCs w:val="28"/>
              </w:rPr>
              <w:t>3</w:t>
            </w:r>
          </w:p>
          <w:p w14:paraId="796E4E1A" w14:textId="77777777" w:rsidR="002E3CE8" w:rsidRPr="00520861" w:rsidRDefault="002E3CE8" w:rsidP="00251DA0">
            <w:pPr>
              <w:widowControl w:val="0"/>
              <w:spacing w:line="360" w:lineRule="auto"/>
              <w:ind w:right="-113" w:hanging="111"/>
              <w:jc w:val="center"/>
              <w:rPr>
                <w:spacing w:val="-6"/>
                <w:sz w:val="28"/>
                <w:szCs w:val="28"/>
              </w:rPr>
            </w:pPr>
            <w:r w:rsidRPr="00520861">
              <w:rPr>
                <w:rFonts w:eastAsia="Calibri"/>
                <w:spacing w:val="-6"/>
                <w:sz w:val="28"/>
                <w:szCs w:val="28"/>
              </w:rPr>
              <w:t>10 (7)</w:t>
            </w:r>
          </w:p>
        </w:tc>
        <w:tc>
          <w:tcPr>
            <w:tcW w:w="1637" w:type="dxa"/>
          </w:tcPr>
          <w:p w14:paraId="17B72FF6"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2,0; 28,6% </w:t>
            </w:r>
          </w:p>
          <w:p w14:paraId="69B7B539" w14:textId="77777777" w:rsidR="002E3CE8" w:rsidRPr="00520861" w:rsidRDefault="002E3CE8" w:rsidP="00251DA0">
            <w:pPr>
              <w:widowControl w:val="0"/>
              <w:spacing w:line="360" w:lineRule="auto"/>
              <w:ind w:right="-119" w:hanging="171"/>
              <w:jc w:val="center"/>
              <w:rPr>
                <w:rFonts w:eastAsia="Calibri"/>
                <w:spacing w:val="-6"/>
                <w:sz w:val="28"/>
                <w:szCs w:val="28"/>
              </w:rPr>
            </w:pPr>
            <w:r w:rsidRPr="00520861">
              <w:rPr>
                <w:rFonts w:eastAsia="Calibri"/>
                <w:spacing w:val="-6"/>
                <w:sz w:val="28"/>
                <w:szCs w:val="28"/>
              </w:rPr>
              <w:t>9,9% – 57,9%</w:t>
            </w:r>
          </w:p>
        </w:tc>
        <w:tc>
          <w:tcPr>
            <w:tcW w:w="1630" w:type="dxa"/>
          </w:tcPr>
          <w:p w14:paraId="47B04923" w14:textId="77777777" w:rsidR="002E3CE8" w:rsidRPr="00520861" w:rsidRDefault="002E3CE8" w:rsidP="00251DA0">
            <w:pPr>
              <w:widowControl w:val="0"/>
              <w:spacing w:line="360" w:lineRule="auto"/>
              <w:ind w:left="-105" w:right="-185"/>
              <w:jc w:val="center"/>
              <w:rPr>
                <w:rFonts w:eastAsia="Calibri"/>
                <w:spacing w:val="-6"/>
                <w:sz w:val="28"/>
                <w:szCs w:val="28"/>
              </w:rPr>
            </w:pPr>
            <w:r w:rsidRPr="00520861">
              <w:rPr>
                <w:rFonts w:eastAsia="Calibri"/>
                <w:spacing w:val="-6"/>
                <w:sz w:val="28"/>
                <w:szCs w:val="28"/>
              </w:rPr>
              <w:t xml:space="preserve">3,0; 30,0% </w:t>
            </w:r>
            <w:r w:rsidRPr="00520861">
              <w:rPr>
                <w:rFonts w:eastAsia="Calibri"/>
                <w:spacing w:val="-8"/>
                <w:sz w:val="28"/>
                <w:szCs w:val="28"/>
              </w:rPr>
              <w:t>12,2% – 55,6</w:t>
            </w:r>
            <w:r w:rsidRPr="00520861">
              <w:rPr>
                <w:rFonts w:eastAsia="Calibri"/>
                <w:spacing w:val="-6"/>
                <w:sz w:val="28"/>
                <w:szCs w:val="28"/>
              </w:rPr>
              <w:t>%</w:t>
            </w:r>
          </w:p>
        </w:tc>
        <w:tc>
          <w:tcPr>
            <w:tcW w:w="1630" w:type="dxa"/>
          </w:tcPr>
          <w:p w14:paraId="50F2A01A"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2,0; 28,6% </w:t>
            </w:r>
          </w:p>
          <w:p w14:paraId="06F4DDDD" w14:textId="77777777" w:rsidR="002E3CE8" w:rsidRPr="00520861" w:rsidRDefault="002E3CE8" w:rsidP="00251DA0">
            <w:pPr>
              <w:widowControl w:val="0"/>
              <w:spacing w:line="360" w:lineRule="auto"/>
              <w:ind w:right="-109" w:hanging="24"/>
              <w:jc w:val="center"/>
              <w:rPr>
                <w:rFonts w:eastAsia="Calibri"/>
                <w:spacing w:val="-6"/>
                <w:sz w:val="28"/>
                <w:szCs w:val="28"/>
              </w:rPr>
            </w:pPr>
            <w:r w:rsidRPr="00520861">
              <w:rPr>
                <w:rFonts w:eastAsia="Calibri"/>
                <w:spacing w:val="-6"/>
                <w:sz w:val="28"/>
                <w:szCs w:val="28"/>
              </w:rPr>
              <w:t>9,9% – 57,9%</w:t>
            </w:r>
          </w:p>
        </w:tc>
        <w:tc>
          <w:tcPr>
            <w:tcW w:w="1630" w:type="dxa"/>
          </w:tcPr>
          <w:p w14:paraId="7AF027A5"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1,0; 10,0% </w:t>
            </w:r>
          </w:p>
          <w:p w14:paraId="6A2DE644" w14:textId="77777777" w:rsidR="002E3CE8" w:rsidRPr="00520861" w:rsidRDefault="002E3CE8" w:rsidP="00251DA0">
            <w:pPr>
              <w:widowControl w:val="0"/>
              <w:spacing w:line="360" w:lineRule="auto"/>
              <w:ind w:left="-100" w:right="-48"/>
              <w:jc w:val="center"/>
              <w:rPr>
                <w:rFonts w:eastAsia="Calibri"/>
                <w:spacing w:val="-6"/>
                <w:sz w:val="28"/>
                <w:szCs w:val="28"/>
              </w:rPr>
            </w:pPr>
            <w:r w:rsidRPr="00520861">
              <w:rPr>
                <w:rFonts w:eastAsia="Calibri"/>
                <w:spacing w:val="-6"/>
                <w:sz w:val="28"/>
                <w:szCs w:val="28"/>
              </w:rPr>
              <w:t>2,5% – 30,8%</w:t>
            </w:r>
          </w:p>
        </w:tc>
        <w:tc>
          <w:tcPr>
            <w:tcW w:w="1634" w:type="dxa"/>
          </w:tcPr>
          <w:p w14:paraId="7DE7AC52"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2,0; 28,6% </w:t>
            </w:r>
          </w:p>
          <w:p w14:paraId="3BCABC07" w14:textId="77777777" w:rsidR="002E3CE8" w:rsidRPr="00520861" w:rsidRDefault="002E3CE8" w:rsidP="00251DA0">
            <w:pPr>
              <w:widowControl w:val="0"/>
              <w:spacing w:line="360" w:lineRule="auto"/>
              <w:ind w:right="-114" w:hanging="176"/>
              <w:jc w:val="center"/>
              <w:rPr>
                <w:rFonts w:eastAsia="Calibri"/>
                <w:spacing w:val="-6"/>
                <w:sz w:val="28"/>
                <w:szCs w:val="28"/>
              </w:rPr>
            </w:pPr>
            <w:r w:rsidRPr="00520861">
              <w:rPr>
                <w:rFonts w:eastAsia="Calibri"/>
                <w:spacing w:val="-6"/>
                <w:sz w:val="28"/>
                <w:szCs w:val="28"/>
              </w:rPr>
              <w:t>9,9% – 57,9%</w:t>
            </w:r>
          </w:p>
        </w:tc>
        <w:tc>
          <w:tcPr>
            <w:tcW w:w="1630" w:type="dxa"/>
          </w:tcPr>
          <w:p w14:paraId="6B9C244B"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0,0; 0,0%</w:t>
            </w:r>
          </w:p>
          <w:p w14:paraId="60294396" w14:textId="77777777" w:rsidR="002E3CE8" w:rsidRPr="00520861" w:rsidRDefault="002E3CE8" w:rsidP="00251DA0">
            <w:pPr>
              <w:widowControl w:val="0"/>
              <w:spacing w:line="360" w:lineRule="auto"/>
              <w:ind w:left="-110" w:right="-180"/>
              <w:jc w:val="center"/>
              <w:rPr>
                <w:rFonts w:eastAsia="Calibri"/>
                <w:spacing w:val="-6"/>
                <w:sz w:val="28"/>
                <w:szCs w:val="28"/>
              </w:rPr>
            </w:pPr>
            <w:r w:rsidRPr="00520861">
              <w:rPr>
                <w:rFonts w:eastAsia="Calibri"/>
                <w:spacing w:val="-6"/>
                <w:sz w:val="28"/>
                <w:szCs w:val="28"/>
              </w:rPr>
              <w:t>0,0% – 30,8%</w:t>
            </w:r>
          </w:p>
        </w:tc>
        <w:tc>
          <w:tcPr>
            <w:tcW w:w="1630" w:type="dxa"/>
          </w:tcPr>
          <w:p w14:paraId="2A12B287"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2,0; 28,6% </w:t>
            </w:r>
          </w:p>
          <w:p w14:paraId="2A57A123" w14:textId="77777777" w:rsidR="002E3CE8" w:rsidRPr="00520861" w:rsidRDefault="002E3CE8" w:rsidP="00251DA0">
            <w:pPr>
              <w:widowControl w:val="0"/>
              <w:spacing w:line="360" w:lineRule="auto"/>
              <w:ind w:left="-170" w:right="-120"/>
              <w:jc w:val="center"/>
              <w:rPr>
                <w:rFonts w:eastAsia="Calibri"/>
                <w:spacing w:val="-6"/>
                <w:sz w:val="28"/>
                <w:szCs w:val="28"/>
              </w:rPr>
            </w:pPr>
            <w:r w:rsidRPr="00520861">
              <w:rPr>
                <w:rFonts w:eastAsia="Calibri"/>
                <w:spacing w:val="-6"/>
                <w:sz w:val="28"/>
                <w:szCs w:val="28"/>
              </w:rPr>
              <w:t xml:space="preserve"> 9,9% – 57,9%</w:t>
            </w:r>
          </w:p>
        </w:tc>
        <w:tc>
          <w:tcPr>
            <w:tcW w:w="1630" w:type="dxa"/>
          </w:tcPr>
          <w:p w14:paraId="7ECD891D"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1,0; 10,0% </w:t>
            </w:r>
          </w:p>
          <w:p w14:paraId="2E120FBA" w14:textId="77777777" w:rsidR="002E3CE8" w:rsidRPr="00520861" w:rsidRDefault="002E3CE8" w:rsidP="00251DA0">
            <w:pPr>
              <w:widowControl w:val="0"/>
              <w:spacing w:line="360" w:lineRule="auto"/>
              <w:ind w:hanging="104"/>
              <w:jc w:val="center"/>
              <w:rPr>
                <w:rFonts w:eastAsia="Calibri"/>
                <w:spacing w:val="-6"/>
                <w:sz w:val="28"/>
                <w:szCs w:val="28"/>
              </w:rPr>
            </w:pPr>
            <w:r w:rsidRPr="00520861">
              <w:rPr>
                <w:rFonts w:eastAsia="Calibri"/>
                <w:spacing w:val="-6"/>
                <w:sz w:val="28"/>
                <w:szCs w:val="28"/>
              </w:rPr>
              <w:t>2,5% – 30,8%</w:t>
            </w:r>
          </w:p>
        </w:tc>
      </w:tr>
      <w:tr w:rsidR="002E3CE8" w:rsidRPr="00520861" w14:paraId="2D17AB5A" w14:textId="77777777" w:rsidTr="00292D2E">
        <w:trPr>
          <w:jc w:val="center"/>
        </w:trPr>
        <w:tc>
          <w:tcPr>
            <w:tcW w:w="1434" w:type="dxa"/>
          </w:tcPr>
          <w:p w14:paraId="359615B7" w14:textId="77777777" w:rsidR="002E3CE8" w:rsidRPr="00520861" w:rsidRDefault="002E3CE8" w:rsidP="00251DA0">
            <w:pPr>
              <w:widowControl w:val="0"/>
              <w:spacing w:line="360" w:lineRule="auto"/>
              <w:ind w:left="-113" w:right="-113"/>
              <w:jc w:val="center"/>
              <w:rPr>
                <w:rFonts w:eastAsia="Calibri"/>
                <w:spacing w:val="-6"/>
                <w:sz w:val="28"/>
                <w:szCs w:val="28"/>
              </w:rPr>
            </w:pPr>
            <w:r w:rsidRPr="00520861">
              <w:rPr>
                <w:spacing w:val="-6"/>
                <w:sz w:val="28"/>
                <w:szCs w:val="28"/>
              </w:rPr>
              <w:t xml:space="preserve">Підгрупа </w:t>
            </w:r>
            <w:r w:rsidRPr="00520861">
              <w:rPr>
                <w:rFonts w:eastAsia="Calibri"/>
                <w:spacing w:val="-6"/>
                <w:sz w:val="28"/>
                <w:szCs w:val="28"/>
              </w:rPr>
              <w:t>4</w:t>
            </w:r>
          </w:p>
          <w:p w14:paraId="59CBE25F" w14:textId="77777777" w:rsidR="002E3CE8" w:rsidRPr="00520861" w:rsidRDefault="002E3CE8" w:rsidP="00251DA0">
            <w:pPr>
              <w:widowControl w:val="0"/>
              <w:spacing w:line="360" w:lineRule="auto"/>
              <w:ind w:right="-113" w:hanging="111"/>
              <w:jc w:val="center"/>
              <w:rPr>
                <w:spacing w:val="-6"/>
                <w:sz w:val="28"/>
                <w:szCs w:val="28"/>
              </w:rPr>
            </w:pPr>
            <w:r w:rsidRPr="00520861">
              <w:rPr>
                <w:rFonts w:eastAsia="Calibri"/>
                <w:spacing w:val="-6"/>
                <w:sz w:val="28"/>
                <w:szCs w:val="28"/>
              </w:rPr>
              <w:t>7 (10)</w:t>
            </w:r>
          </w:p>
        </w:tc>
        <w:tc>
          <w:tcPr>
            <w:tcW w:w="1637" w:type="dxa"/>
          </w:tcPr>
          <w:p w14:paraId="7DB84EFE"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1,0; 10%</w:t>
            </w:r>
          </w:p>
          <w:p w14:paraId="22BB697A" w14:textId="77777777" w:rsidR="002E3CE8" w:rsidRPr="00520861" w:rsidRDefault="002E3CE8" w:rsidP="00251DA0">
            <w:pPr>
              <w:widowControl w:val="0"/>
              <w:spacing w:line="360" w:lineRule="auto"/>
              <w:ind w:right="-119" w:hanging="29"/>
              <w:jc w:val="center"/>
              <w:rPr>
                <w:rFonts w:eastAsia="Calibri"/>
                <w:spacing w:val="-6"/>
                <w:sz w:val="28"/>
                <w:szCs w:val="28"/>
              </w:rPr>
            </w:pPr>
            <w:r w:rsidRPr="00520861">
              <w:rPr>
                <w:rFonts w:eastAsia="Calibri"/>
                <w:spacing w:val="-6"/>
                <w:sz w:val="28"/>
                <w:szCs w:val="28"/>
              </w:rPr>
              <w:t>2,5% – 30,8%</w:t>
            </w:r>
          </w:p>
        </w:tc>
        <w:tc>
          <w:tcPr>
            <w:tcW w:w="1630" w:type="dxa"/>
          </w:tcPr>
          <w:p w14:paraId="0ACA22E6"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0,0; 0,0%</w:t>
            </w:r>
          </w:p>
          <w:p w14:paraId="07A9802A" w14:textId="77777777" w:rsidR="002E3CE8" w:rsidRPr="00520861" w:rsidRDefault="002E3CE8" w:rsidP="00251DA0">
            <w:pPr>
              <w:widowControl w:val="0"/>
              <w:spacing w:line="360" w:lineRule="auto"/>
              <w:ind w:hanging="105"/>
              <w:jc w:val="center"/>
              <w:rPr>
                <w:rFonts w:eastAsia="Calibri"/>
                <w:spacing w:val="-6"/>
                <w:sz w:val="28"/>
                <w:szCs w:val="28"/>
              </w:rPr>
            </w:pPr>
            <w:r w:rsidRPr="00520861">
              <w:rPr>
                <w:rFonts w:eastAsia="Calibri"/>
                <w:spacing w:val="-6"/>
                <w:sz w:val="28"/>
                <w:szCs w:val="28"/>
              </w:rPr>
              <w:t>0,0% – 41,0%</w:t>
            </w:r>
          </w:p>
        </w:tc>
        <w:tc>
          <w:tcPr>
            <w:tcW w:w="1630" w:type="dxa"/>
          </w:tcPr>
          <w:p w14:paraId="0CA67DFD"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4,0; 40,0%* </w:t>
            </w:r>
          </w:p>
          <w:p w14:paraId="6A3C0542" w14:textId="77777777" w:rsidR="002E3CE8" w:rsidRPr="00520861" w:rsidRDefault="002E3CE8" w:rsidP="00251DA0">
            <w:pPr>
              <w:widowControl w:val="0"/>
              <w:spacing w:line="360" w:lineRule="auto"/>
              <w:ind w:left="-221" w:right="-137" w:firstLine="55"/>
              <w:jc w:val="center"/>
              <w:rPr>
                <w:rFonts w:eastAsia="Calibri"/>
                <w:spacing w:val="-8"/>
                <w:sz w:val="28"/>
                <w:szCs w:val="28"/>
              </w:rPr>
            </w:pPr>
            <w:r w:rsidRPr="00520861">
              <w:rPr>
                <w:rFonts w:eastAsia="Calibri"/>
                <w:spacing w:val="-8"/>
                <w:sz w:val="28"/>
                <w:szCs w:val="28"/>
              </w:rPr>
              <w:t>18,7%–65,2%</w:t>
            </w:r>
          </w:p>
        </w:tc>
        <w:tc>
          <w:tcPr>
            <w:tcW w:w="1630" w:type="dxa"/>
          </w:tcPr>
          <w:p w14:paraId="1BA2B794" w14:textId="77777777" w:rsidR="002E3CE8" w:rsidRPr="00520861" w:rsidRDefault="002E3CE8" w:rsidP="00251DA0">
            <w:pPr>
              <w:widowControl w:val="0"/>
              <w:spacing w:line="360" w:lineRule="auto"/>
              <w:ind w:left="-100" w:right="-190" w:firstLine="42"/>
              <w:jc w:val="center"/>
              <w:rPr>
                <w:rFonts w:eastAsia="Calibri"/>
                <w:spacing w:val="-6"/>
                <w:sz w:val="28"/>
                <w:szCs w:val="28"/>
              </w:rPr>
            </w:pPr>
            <w:r w:rsidRPr="00520861">
              <w:rPr>
                <w:rFonts w:eastAsia="Calibri"/>
                <w:spacing w:val="-6"/>
                <w:sz w:val="28"/>
                <w:szCs w:val="28"/>
              </w:rPr>
              <w:t xml:space="preserve">4,0; 57,1%* </w:t>
            </w:r>
            <w:r w:rsidRPr="00520861">
              <w:rPr>
                <w:rFonts w:eastAsia="Calibri"/>
                <w:spacing w:val="-8"/>
                <w:sz w:val="28"/>
                <w:szCs w:val="28"/>
              </w:rPr>
              <w:t>29,0% – 81,6%</w:t>
            </w:r>
          </w:p>
        </w:tc>
        <w:tc>
          <w:tcPr>
            <w:tcW w:w="1634" w:type="dxa"/>
          </w:tcPr>
          <w:p w14:paraId="4C69733E"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1,0; 10%</w:t>
            </w:r>
          </w:p>
          <w:p w14:paraId="0477007F" w14:textId="77777777" w:rsidR="002E3CE8" w:rsidRPr="00520861" w:rsidRDefault="002E3CE8" w:rsidP="00251DA0">
            <w:pPr>
              <w:widowControl w:val="0"/>
              <w:spacing w:line="360" w:lineRule="auto"/>
              <w:ind w:left="-34" w:right="-114"/>
              <w:jc w:val="center"/>
              <w:rPr>
                <w:rFonts w:eastAsia="Calibri"/>
                <w:spacing w:val="-6"/>
                <w:sz w:val="28"/>
                <w:szCs w:val="28"/>
              </w:rPr>
            </w:pPr>
            <w:r w:rsidRPr="00520861">
              <w:rPr>
                <w:rFonts w:eastAsia="Calibri"/>
                <w:spacing w:val="-6"/>
                <w:sz w:val="28"/>
                <w:szCs w:val="28"/>
              </w:rPr>
              <w:t>2,5% – 30,8%</w:t>
            </w:r>
          </w:p>
        </w:tc>
        <w:tc>
          <w:tcPr>
            <w:tcW w:w="1630" w:type="dxa"/>
          </w:tcPr>
          <w:p w14:paraId="645ABBFC"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0,0; 0%</w:t>
            </w:r>
          </w:p>
          <w:p w14:paraId="07EAA710" w14:textId="77777777" w:rsidR="002E3CE8" w:rsidRPr="00520861" w:rsidRDefault="002E3CE8" w:rsidP="00251DA0">
            <w:pPr>
              <w:widowControl w:val="0"/>
              <w:spacing w:line="360" w:lineRule="auto"/>
              <w:ind w:hanging="110"/>
              <w:jc w:val="center"/>
              <w:rPr>
                <w:rFonts w:eastAsia="Calibri"/>
                <w:spacing w:val="-6"/>
                <w:sz w:val="28"/>
                <w:szCs w:val="28"/>
              </w:rPr>
            </w:pPr>
            <w:r w:rsidRPr="00520861">
              <w:rPr>
                <w:rFonts w:eastAsia="Calibri"/>
                <w:spacing w:val="-6"/>
                <w:sz w:val="28"/>
                <w:szCs w:val="28"/>
              </w:rPr>
              <w:t>0,0% – 41,0%</w:t>
            </w:r>
          </w:p>
        </w:tc>
        <w:tc>
          <w:tcPr>
            <w:tcW w:w="1630" w:type="dxa"/>
          </w:tcPr>
          <w:p w14:paraId="5017D599"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1,0; 10%</w:t>
            </w:r>
          </w:p>
          <w:p w14:paraId="3D6A1EAE" w14:textId="77777777" w:rsidR="002E3CE8" w:rsidRPr="00520861" w:rsidRDefault="002E3CE8" w:rsidP="00251DA0">
            <w:pPr>
              <w:widowControl w:val="0"/>
              <w:spacing w:line="360" w:lineRule="auto"/>
              <w:ind w:left="-170" w:right="-120"/>
              <w:jc w:val="center"/>
              <w:rPr>
                <w:rFonts w:eastAsia="Calibri"/>
                <w:spacing w:val="-6"/>
                <w:sz w:val="28"/>
                <w:szCs w:val="28"/>
              </w:rPr>
            </w:pPr>
            <w:r w:rsidRPr="00520861">
              <w:rPr>
                <w:rFonts w:eastAsia="Calibri"/>
                <w:spacing w:val="-6"/>
                <w:sz w:val="28"/>
                <w:szCs w:val="28"/>
              </w:rPr>
              <w:t>2,5% – 30,8%</w:t>
            </w:r>
          </w:p>
        </w:tc>
        <w:tc>
          <w:tcPr>
            <w:tcW w:w="1630" w:type="dxa"/>
          </w:tcPr>
          <w:p w14:paraId="2B27D9B8" w14:textId="77777777" w:rsidR="002E3CE8" w:rsidRPr="00520861" w:rsidRDefault="002E3CE8" w:rsidP="00251DA0">
            <w:pPr>
              <w:widowControl w:val="0"/>
              <w:spacing w:line="360" w:lineRule="auto"/>
              <w:jc w:val="center"/>
              <w:rPr>
                <w:rFonts w:eastAsia="Calibri"/>
                <w:spacing w:val="-6"/>
                <w:sz w:val="28"/>
                <w:szCs w:val="28"/>
              </w:rPr>
            </w:pPr>
            <w:r w:rsidRPr="00520861">
              <w:rPr>
                <w:rFonts w:eastAsia="Calibri"/>
                <w:spacing w:val="-6"/>
                <w:sz w:val="28"/>
                <w:szCs w:val="28"/>
              </w:rPr>
              <w:t xml:space="preserve">1,0; 25,0% </w:t>
            </w:r>
          </w:p>
          <w:p w14:paraId="32D83FE3" w14:textId="77777777" w:rsidR="002E3CE8" w:rsidRPr="00520861" w:rsidRDefault="002E3CE8" w:rsidP="00251DA0">
            <w:pPr>
              <w:widowControl w:val="0"/>
              <w:spacing w:line="360" w:lineRule="auto"/>
              <w:ind w:left="-104" w:right="-43"/>
              <w:jc w:val="center"/>
              <w:rPr>
                <w:rFonts w:eastAsia="Calibri"/>
                <w:spacing w:val="-6"/>
                <w:sz w:val="28"/>
                <w:szCs w:val="28"/>
              </w:rPr>
            </w:pPr>
            <w:r w:rsidRPr="00520861">
              <w:rPr>
                <w:rFonts w:eastAsia="Calibri"/>
                <w:spacing w:val="-6"/>
                <w:sz w:val="28"/>
                <w:szCs w:val="28"/>
              </w:rPr>
              <w:t>6,8% – 60,2%</w:t>
            </w:r>
          </w:p>
        </w:tc>
      </w:tr>
    </w:tbl>
    <w:p w14:paraId="001564E8" w14:textId="77777777" w:rsidR="002E3CE8" w:rsidRPr="00520861" w:rsidRDefault="002E3CE8" w:rsidP="00292D2E">
      <w:pPr>
        <w:widowControl w:val="0"/>
        <w:spacing w:line="360" w:lineRule="auto"/>
        <w:ind w:left="-426" w:firstLine="568"/>
        <w:rPr>
          <w:sz w:val="28"/>
          <w:szCs w:val="28"/>
        </w:rPr>
      </w:pPr>
      <w:r w:rsidRPr="00520861">
        <w:rPr>
          <w:sz w:val="28"/>
          <w:szCs w:val="28"/>
        </w:rPr>
        <w:t xml:space="preserve">Примітка: * – різниця між особами ОГ і ГП однієї й тієї ж статі статистично вірогідна при ймовірності </w:t>
      </w:r>
      <w:r w:rsidR="001035E8" w:rsidRPr="00520861">
        <w:rPr>
          <w:rFonts w:eastAsia="Calibri"/>
          <w:sz w:val="28"/>
          <w:szCs w:val="28"/>
          <w:lang w:eastAsia="en-US"/>
        </w:rPr>
        <w:t>похибки</w:t>
      </w:r>
      <w:r w:rsidRPr="00520861">
        <w:rPr>
          <w:sz w:val="28"/>
          <w:szCs w:val="28"/>
        </w:rPr>
        <w:t xml:space="preserve"> </w:t>
      </w:r>
      <w:r w:rsidRPr="00520861">
        <w:rPr>
          <w:i/>
          <w:sz w:val="28"/>
          <w:szCs w:val="28"/>
        </w:rPr>
        <w:t>p</w:t>
      </w:r>
      <w:r w:rsidR="00FF6C32" w:rsidRPr="00520861">
        <w:rPr>
          <w:rFonts w:eastAsia="Calibri"/>
          <w:sz w:val="28"/>
          <w:szCs w:val="28"/>
          <w:lang w:eastAsia="en-US"/>
        </w:rPr>
        <w:t>&lt;</w:t>
      </w:r>
      <w:r w:rsidRPr="00520861">
        <w:rPr>
          <w:sz w:val="28"/>
          <w:szCs w:val="28"/>
        </w:rPr>
        <w:t>0,05.</w:t>
      </w:r>
    </w:p>
    <w:p w14:paraId="4FCCB727" w14:textId="77777777" w:rsidR="002E3CE8" w:rsidRPr="00520861" w:rsidRDefault="002E3CE8" w:rsidP="00292D2E">
      <w:pPr>
        <w:widowControl w:val="0"/>
        <w:rPr>
          <w:sz w:val="28"/>
          <w:szCs w:val="28"/>
        </w:rPr>
        <w:sectPr w:rsidR="002E3CE8" w:rsidRPr="00520861" w:rsidSect="00292D2E">
          <w:pgSz w:w="16838" w:h="11906" w:orient="landscape"/>
          <w:pgMar w:top="1134" w:right="1134" w:bottom="624" w:left="1134" w:header="709" w:footer="709" w:gutter="0"/>
          <w:cols w:space="708"/>
          <w:docGrid w:linePitch="360"/>
        </w:sectPr>
      </w:pPr>
    </w:p>
    <w:p w14:paraId="7B9B26B6" w14:textId="77777777" w:rsidR="002E3CE8" w:rsidRPr="00520861" w:rsidRDefault="002E3CE8" w:rsidP="00292D2E">
      <w:pPr>
        <w:widowControl w:val="0"/>
        <w:shd w:val="clear" w:color="auto" w:fill="FFFFFF"/>
        <w:spacing w:line="360" w:lineRule="auto"/>
        <w:ind w:firstLine="709"/>
        <w:jc w:val="both"/>
        <w:rPr>
          <w:rFonts w:eastAsia="Calibri"/>
          <w:color w:val="000000"/>
          <w:sz w:val="28"/>
          <w:szCs w:val="28"/>
          <w:lang w:eastAsia="en-US"/>
        </w:rPr>
      </w:pPr>
      <w:r w:rsidRPr="00520861">
        <w:rPr>
          <w:rFonts w:eastAsia="Calibri"/>
          <w:color w:val="000000"/>
          <w:sz w:val="28"/>
          <w:szCs w:val="28"/>
          <w:lang w:eastAsia="en-US"/>
        </w:rPr>
        <w:lastRenderedPageBreak/>
        <w:t>У підгрупі 3</w:t>
      </w:r>
      <w:r w:rsidRPr="00520861">
        <w:rPr>
          <w:sz w:val="28"/>
          <w:szCs w:val="28"/>
          <w:shd w:val="clear" w:color="auto" w:fill="FFFFFF"/>
        </w:rPr>
        <w:t xml:space="preserve"> також у 9 дітей (або 52,9%) прорізування зубів почалося в період між 5 та 9 місяцями. Аналізуючи дані з таблиць 5.2 та 5.3, можна стверджувати, </w:t>
      </w:r>
      <w:r w:rsidRPr="00520861">
        <w:rPr>
          <w:sz w:val="28"/>
          <w:szCs w:val="28"/>
          <w:shd w:val="clear" w:color="auto" w:fill="FFFFFF"/>
        </w:rPr>
        <w:br/>
        <w:t xml:space="preserve">що в хлопчиків цієї підгрупи простежується тенденція до затримки прорізування </w:t>
      </w:r>
      <w:r w:rsidRPr="00520861">
        <w:rPr>
          <w:sz w:val="28"/>
          <w:szCs w:val="28"/>
          <w:shd w:val="clear" w:color="auto" w:fill="FFFFFF"/>
        </w:rPr>
        <w:br/>
        <w:t xml:space="preserve">зубів, у </w:t>
      </w:r>
      <w:proofErr w:type="spellStart"/>
      <w:r w:rsidRPr="00520861">
        <w:rPr>
          <w:sz w:val="28"/>
          <w:szCs w:val="28"/>
          <w:shd w:val="clear" w:color="auto" w:fill="FFFFFF"/>
        </w:rPr>
        <w:t>дівчаток</w:t>
      </w:r>
      <w:proofErr w:type="spellEnd"/>
      <w:r w:rsidRPr="00520861">
        <w:rPr>
          <w:sz w:val="28"/>
          <w:szCs w:val="28"/>
          <w:shd w:val="clear" w:color="auto" w:fill="FFFFFF"/>
        </w:rPr>
        <w:t xml:space="preserve"> – до прискорених темпів прорізування. </w:t>
      </w:r>
      <w:r w:rsidRPr="00520861">
        <w:rPr>
          <w:sz w:val="28"/>
          <w:szCs w:val="28"/>
        </w:rPr>
        <w:t xml:space="preserve">Порушення послідовності та парності прорізування зубів у </w:t>
      </w:r>
      <w:r w:rsidRPr="00520861">
        <w:rPr>
          <w:rFonts w:eastAsia="Calibri"/>
          <w:color w:val="000000"/>
          <w:sz w:val="28"/>
          <w:szCs w:val="28"/>
          <w:lang w:eastAsia="en-US"/>
        </w:rPr>
        <w:t>підгрупі 3</w:t>
      </w:r>
      <w:r w:rsidRPr="00520861">
        <w:rPr>
          <w:sz w:val="28"/>
          <w:szCs w:val="28"/>
          <w:shd w:val="clear" w:color="auto" w:fill="FFFFFF"/>
        </w:rPr>
        <w:t xml:space="preserve"> </w:t>
      </w:r>
      <w:r w:rsidRPr="00520861">
        <w:rPr>
          <w:sz w:val="28"/>
          <w:szCs w:val="28"/>
        </w:rPr>
        <w:t>мали дві дитини (11,8%) – 1 хлопчик та 1 дівчинка.</w:t>
      </w:r>
    </w:p>
    <w:p w14:paraId="0A290FE7" w14:textId="77777777" w:rsidR="002E3CE8" w:rsidRPr="00520861" w:rsidRDefault="002E3CE8" w:rsidP="00292D2E">
      <w:pPr>
        <w:widowControl w:val="0"/>
        <w:shd w:val="clear" w:color="auto" w:fill="FFFFFF"/>
        <w:spacing w:line="360" w:lineRule="auto"/>
        <w:ind w:firstLine="709"/>
        <w:jc w:val="both"/>
        <w:rPr>
          <w:sz w:val="28"/>
          <w:szCs w:val="28"/>
          <w:shd w:val="clear" w:color="auto" w:fill="FFFFFF"/>
        </w:rPr>
      </w:pPr>
      <w:r w:rsidRPr="00520861">
        <w:rPr>
          <w:rFonts w:eastAsia="Calibri"/>
          <w:color w:val="000000"/>
          <w:sz w:val="28"/>
          <w:szCs w:val="28"/>
          <w:lang w:eastAsia="en-US"/>
        </w:rPr>
        <w:t>У 10 дітей (58,8%) підгрупи 4</w:t>
      </w:r>
      <w:r w:rsidRPr="00520861">
        <w:rPr>
          <w:b/>
          <w:sz w:val="28"/>
          <w:szCs w:val="28"/>
          <w:shd w:val="clear" w:color="auto" w:fill="FFFFFF"/>
        </w:rPr>
        <w:t xml:space="preserve"> </w:t>
      </w:r>
      <w:r w:rsidRPr="00520861">
        <w:rPr>
          <w:rFonts w:eastAsia="Calibri"/>
          <w:color w:val="000000"/>
          <w:sz w:val="28"/>
          <w:szCs w:val="28"/>
        </w:rPr>
        <w:t xml:space="preserve">прорізування тимчасових зубів почалося в </w:t>
      </w:r>
      <w:r w:rsidRPr="00520861">
        <w:rPr>
          <w:rFonts w:eastAsia="Calibri"/>
          <w:color w:val="000000"/>
          <w:sz w:val="28"/>
          <w:szCs w:val="28"/>
        </w:rPr>
        <w:br/>
        <w:t>інтервалі між 5 та 9 місяцями.</w:t>
      </w:r>
      <w:r w:rsidRPr="00520861">
        <w:rPr>
          <w:sz w:val="28"/>
          <w:szCs w:val="28"/>
          <w:shd w:val="clear" w:color="auto" w:fill="FFFFFF"/>
        </w:rPr>
        <w:t xml:space="preserve"> </w:t>
      </w:r>
      <w:r w:rsidRPr="00520861">
        <w:rPr>
          <w:rFonts w:eastAsia="Calibri"/>
          <w:color w:val="000000"/>
          <w:sz w:val="28"/>
          <w:szCs w:val="28"/>
          <w:lang w:eastAsia="en-US"/>
        </w:rPr>
        <w:t xml:space="preserve">Для дітей обох статей простежується тенденція до більш раннього прорізування зубів у порівнянні з ГП. </w:t>
      </w:r>
      <w:r w:rsidRPr="00520861">
        <w:rPr>
          <w:sz w:val="28"/>
          <w:szCs w:val="28"/>
        </w:rPr>
        <w:t xml:space="preserve">Порушення послідовності та парності прорізування зубів у підгрупі </w:t>
      </w:r>
      <w:r w:rsidRPr="00520861">
        <w:rPr>
          <w:rFonts w:eastAsia="Calibri"/>
          <w:color w:val="000000"/>
          <w:sz w:val="28"/>
          <w:szCs w:val="28"/>
          <w:lang w:eastAsia="en-US"/>
        </w:rPr>
        <w:t>4</w:t>
      </w:r>
      <w:r w:rsidRPr="00520861">
        <w:rPr>
          <w:i/>
          <w:sz w:val="28"/>
          <w:szCs w:val="28"/>
          <w:shd w:val="clear" w:color="auto" w:fill="FFFFFF"/>
        </w:rPr>
        <w:t xml:space="preserve"> </w:t>
      </w:r>
      <w:r w:rsidRPr="00520861">
        <w:rPr>
          <w:sz w:val="28"/>
          <w:szCs w:val="28"/>
          <w:shd w:val="clear" w:color="auto" w:fill="FFFFFF"/>
        </w:rPr>
        <w:t>виявлено не було.</w:t>
      </w:r>
    </w:p>
    <w:p w14:paraId="6453C717"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Доцільно буде вказати, що більшість (67%) дітей із затримкою прорізування зубів мали батьків,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та навпаки, переважна кількість (83%) дітей із передчасним прорізуванням не мала родичів-</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w:t>
      </w:r>
    </w:p>
    <w:p w14:paraId="7D09A3B4"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Отже, спостерігаються значні відмінності стоматологічного статусу </w:t>
      </w:r>
      <w:r w:rsidR="00A63F34" w:rsidRPr="00520861">
        <w:rPr>
          <w:rFonts w:eastAsia="Calibri"/>
          <w:sz w:val="28"/>
          <w:szCs w:val="28"/>
          <w:lang w:eastAsia="en-US"/>
        </w:rPr>
        <w:br/>
      </w:r>
      <w:r w:rsidRPr="00520861">
        <w:rPr>
          <w:rFonts w:eastAsia="Calibri"/>
          <w:sz w:val="28"/>
          <w:szCs w:val="28"/>
          <w:lang w:eastAsia="en-US"/>
        </w:rPr>
        <w:t xml:space="preserve">новонароджених та дітей грудного віку ОГ від статусу ГП [49]. Причому ПКВ аномалій м’яких тканин є вірогідно </w:t>
      </w:r>
      <w:r w:rsidRPr="00520861">
        <w:rPr>
          <w:sz w:val="28"/>
          <w:szCs w:val="28"/>
        </w:rPr>
        <w:t>(</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w:t>
      </w:r>
      <w:r w:rsidRPr="00520861">
        <w:rPr>
          <w:rFonts w:eastAsia="Calibri"/>
          <w:sz w:val="28"/>
          <w:szCs w:val="28"/>
          <w:lang w:eastAsia="en-US"/>
        </w:rPr>
        <w:t xml:space="preserve">більшою для дітей ОГ у порівнянні з ГП. </w:t>
      </w:r>
      <w:r w:rsidRPr="00520861">
        <w:rPr>
          <w:rFonts w:eastAsia="Calibri"/>
          <w:sz w:val="28"/>
          <w:szCs w:val="28"/>
          <w:lang w:eastAsia="en-US"/>
        </w:rPr>
        <w:br/>
      </w:r>
      <w:r w:rsidRPr="00520861">
        <w:rPr>
          <w:rFonts w:eastAsiaTheme="minorHAnsi"/>
          <w:sz w:val="28"/>
          <w:szCs w:val="28"/>
          <w:shd w:val="clear" w:color="auto" w:fill="FFFFFF"/>
          <w:lang w:eastAsia="en-US"/>
        </w:rPr>
        <w:t>П</w:t>
      </w:r>
      <w:r w:rsidRPr="00520861">
        <w:rPr>
          <w:rFonts w:eastAsia="Calibri"/>
          <w:sz w:val="28"/>
          <w:szCs w:val="28"/>
          <w:lang w:eastAsia="en-US"/>
        </w:rPr>
        <w:t>роцес прорізування тимчасових зубів більш гармонійно проходить у дітей підгрупи 1.</w:t>
      </w:r>
      <w:r w:rsidRPr="00520861">
        <w:rPr>
          <w:rFonts w:eastAsiaTheme="minorHAnsi"/>
          <w:b/>
          <w:sz w:val="28"/>
          <w:szCs w:val="28"/>
          <w:shd w:val="clear" w:color="auto" w:fill="FFFFFF"/>
          <w:lang w:eastAsia="en-US"/>
        </w:rPr>
        <w:t xml:space="preserve"> </w:t>
      </w:r>
      <w:r w:rsidRPr="00520861">
        <w:rPr>
          <w:rFonts w:eastAsiaTheme="minorHAnsi"/>
          <w:sz w:val="28"/>
          <w:szCs w:val="28"/>
          <w:shd w:val="clear" w:color="auto" w:fill="FFFFFF"/>
          <w:lang w:eastAsia="en-US"/>
        </w:rPr>
        <w:t xml:space="preserve">Найбільші </w:t>
      </w:r>
      <w:r w:rsidRPr="00520861">
        <w:rPr>
          <w:rFonts w:eastAsia="Calibri"/>
          <w:sz w:val="28"/>
          <w:szCs w:val="28"/>
          <w:lang w:eastAsia="en-US"/>
        </w:rPr>
        <w:t xml:space="preserve">розбіжності в термінах прорізування зубів мали діти підгруп 2 </w:t>
      </w:r>
      <w:r w:rsidRPr="00520861">
        <w:rPr>
          <w:rFonts w:eastAsiaTheme="minorHAnsi"/>
          <w:sz w:val="28"/>
          <w:szCs w:val="28"/>
          <w:shd w:val="clear" w:color="auto" w:fill="FFFFFF"/>
          <w:lang w:eastAsia="en-US"/>
        </w:rPr>
        <w:t>та</w:t>
      </w:r>
      <w:r w:rsidRPr="00520861">
        <w:rPr>
          <w:rFonts w:eastAsia="Calibri"/>
          <w:b/>
          <w:sz w:val="28"/>
          <w:szCs w:val="28"/>
          <w:lang w:eastAsia="en-US"/>
        </w:rPr>
        <w:t xml:space="preserve"> </w:t>
      </w:r>
      <w:r w:rsidRPr="00520861">
        <w:rPr>
          <w:rFonts w:eastAsia="Calibri"/>
          <w:sz w:val="28"/>
          <w:szCs w:val="28"/>
          <w:lang w:eastAsia="en-US"/>
        </w:rPr>
        <w:t>3</w:t>
      </w:r>
      <w:r w:rsidRPr="00520861">
        <w:rPr>
          <w:rFonts w:eastAsiaTheme="minorHAnsi"/>
          <w:i/>
          <w:sz w:val="28"/>
          <w:szCs w:val="28"/>
          <w:shd w:val="clear" w:color="auto" w:fill="FFFFFF"/>
          <w:lang w:eastAsia="en-US"/>
        </w:rPr>
        <w:t>.</w:t>
      </w:r>
      <w:r w:rsidRPr="00520861">
        <w:rPr>
          <w:rFonts w:eastAsiaTheme="minorHAnsi"/>
          <w:b/>
          <w:sz w:val="28"/>
          <w:szCs w:val="28"/>
          <w:shd w:val="clear" w:color="auto" w:fill="FFFFFF"/>
          <w:lang w:eastAsia="en-US"/>
        </w:rPr>
        <w:t xml:space="preserve"> </w:t>
      </w:r>
      <w:r w:rsidRPr="00520861">
        <w:rPr>
          <w:rFonts w:eastAsiaTheme="minorHAnsi"/>
          <w:sz w:val="28"/>
          <w:szCs w:val="28"/>
          <w:shd w:val="clear" w:color="auto" w:fill="FFFFFF"/>
          <w:lang w:eastAsia="en-US"/>
        </w:rPr>
        <w:t>Але при досягненні дітьми віку один рік виявилося, що в дітей із</w:t>
      </w:r>
      <w:r w:rsidRPr="00520861">
        <w:rPr>
          <w:rFonts w:eastAsia="Calibri"/>
          <w:b/>
          <w:sz w:val="28"/>
          <w:szCs w:val="28"/>
          <w:lang w:eastAsia="en-US"/>
        </w:rPr>
        <w:t xml:space="preserve"> </w:t>
      </w:r>
      <w:r w:rsidRPr="00520861">
        <w:rPr>
          <w:rFonts w:eastAsia="Calibri"/>
          <w:sz w:val="28"/>
          <w:szCs w:val="28"/>
          <w:lang w:eastAsia="en-US"/>
        </w:rPr>
        <w:t>підгрупи 2</w:t>
      </w:r>
      <w:r w:rsidRPr="00520861">
        <w:rPr>
          <w:rFonts w:eastAsiaTheme="minorHAnsi"/>
          <w:sz w:val="28"/>
          <w:szCs w:val="28"/>
          <w:shd w:val="clear" w:color="auto" w:fill="FFFFFF"/>
          <w:lang w:eastAsia="en-US"/>
        </w:rPr>
        <w:t xml:space="preserve"> у середньому зберігаються вповільнені темпи прорізування зубів. Також у дітей </w:t>
      </w:r>
      <w:r w:rsidRPr="00520861">
        <w:rPr>
          <w:rFonts w:eastAsia="Calibri"/>
          <w:sz w:val="28"/>
          <w:szCs w:val="28"/>
          <w:lang w:eastAsia="en-US"/>
        </w:rPr>
        <w:t>підгрупи 2</w:t>
      </w:r>
      <w:r w:rsidRPr="00520861">
        <w:rPr>
          <w:rFonts w:eastAsiaTheme="minorHAnsi"/>
          <w:i/>
          <w:sz w:val="28"/>
          <w:szCs w:val="28"/>
          <w:shd w:val="clear" w:color="auto" w:fill="FFFFFF"/>
          <w:lang w:eastAsia="en-US"/>
        </w:rPr>
        <w:t xml:space="preserve"> </w:t>
      </w:r>
      <w:r w:rsidRPr="00520861">
        <w:rPr>
          <w:rFonts w:eastAsiaTheme="minorHAnsi"/>
          <w:sz w:val="28"/>
          <w:szCs w:val="28"/>
          <w:shd w:val="clear" w:color="auto" w:fill="FFFFFF"/>
          <w:lang w:eastAsia="en-US"/>
        </w:rPr>
        <w:t>було виявлено найбільшу ПКВ порушень послідовності й парності прорізування зубів серед усіх учасників дослідження [318].</w:t>
      </w:r>
    </w:p>
    <w:p w14:paraId="75DA353C" w14:textId="77777777" w:rsidR="002E3CE8" w:rsidRPr="00520861" w:rsidRDefault="002E3CE8" w:rsidP="00292D2E">
      <w:pPr>
        <w:widowControl w:val="0"/>
        <w:spacing w:line="360" w:lineRule="auto"/>
        <w:ind w:left="709" w:right="-1"/>
        <w:rPr>
          <w:rFonts w:eastAsia="Calibri"/>
          <w:b/>
          <w:sz w:val="28"/>
          <w:szCs w:val="28"/>
          <w:lang w:eastAsia="en-US"/>
        </w:rPr>
      </w:pPr>
    </w:p>
    <w:p w14:paraId="4F3940F2" w14:textId="77777777" w:rsidR="002E3CE8" w:rsidRPr="00520861" w:rsidRDefault="002E3CE8" w:rsidP="00292D2E">
      <w:pPr>
        <w:widowControl w:val="0"/>
        <w:spacing w:line="360" w:lineRule="auto"/>
        <w:ind w:right="-1" w:firstLine="709"/>
        <w:jc w:val="both"/>
        <w:rPr>
          <w:rFonts w:eastAsia="Calibri"/>
          <w:b/>
          <w:sz w:val="28"/>
          <w:szCs w:val="28"/>
          <w:lang w:eastAsia="en-US"/>
        </w:rPr>
      </w:pPr>
      <w:r w:rsidRPr="00520861">
        <w:rPr>
          <w:rFonts w:eastAsia="Calibri"/>
          <w:b/>
          <w:sz w:val="28"/>
          <w:szCs w:val="28"/>
          <w:lang w:eastAsia="en-US"/>
        </w:rPr>
        <w:t>5.3. Результати клініко-ретроспективного вивчення залежності термінів прорізування та швидкості росту тимчасових зубів у дітей першого року життя (ВП-І) від їх масо-ростових показників при народженні</w:t>
      </w:r>
    </w:p>
    <w:p w14:paraId="627D7162"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sz w:val="28"/>
          <w:szCs w:val="28"/>
          <w:lang w:eastAsia="en-US"/>
        </w:rPr>
      </w:pPr>
    </w:p>
    <w:p w14:paraId="0173A4E8" w14:textId="77777777" w:rsidR="002E3CE8" w:rsidRPr="00520861" w:rsidRDefault="002E3CE8" w:rsidP="00292D2E">
      <w:pPr>
        <w:widowControl w:val="0"/>
        <w:spacing w:line="360" w:lineRule="auto"/>
        <w:ind w:right="-1" w:firstLine="567"/>
        <w:jc w:val="both"/>
        <w:rPr>
          <w:sz w:val="28"/>
          <w:szCs w:val="28"/>
        </w:rPr>
      </w:pPr>
      <w:r w:rsidRPr="00520861">
        <w:rPr>
          <w:rFonts w:eastAsia="Calibri"/>
          <w:sz w:val="28"/>
          <w:szCs w:val="28"/>
          <w:lang w:eastAsia="en-US"/>
        </w:rPr>
        <w:t>Для підтвердження вищенаведених результатів були</w:t>
      </w:r>
      <w:r w:rsidRPr="00520861">
        <w:rPr>
          <w:sz w:val="28"/>
          <w:szCs w:val="28"/>
        </w:rPr>
        <w:t xml:space="preserve"> проаналізовані записи в </w:t>
      </w:r>
      <w:r w:rsidR="00A63F34" w:rsidRPr="00520861">
        <w:rPr>
          <w:sz w:val="28"/>
          <w:szCs w:val="28"/>
        </w:rPr>
        <w:br/>
      </w:r>
      <w:r w:rsidRPr="00520861">
        <w:rPr>
          <w:sz w:val="28"/>
          <w:szCs w:val="28"/>
        </w:rPr>
        <w:t xml:space="preserve">історіях розвитку 1454 дітей про кількість зубів, які прорізалися у віці від 4 до 12 місяців. Окремо аналізувалися дані для </w:t>
      </w:r>
      <w:proofErr w:type="spellStart"/>
      <w:r w:rsidRPr="00520861">
        <w:rPr>
          <w:sz w:val="28"/>
          <w:szCs w:val="28"/>
        </w:rPr>
        <w:t>дівчаток</w:t>
      </w:r>
      <w:proofErr w:type="spellEnd"/>
      <w:r w:rsidRPr="00520861">
        <w:rPr>
          <w:sz w:val="28"/>
          <w:szCs w:val="28"/>
        </w:rPr>
        <w:t xml:space="preserve"> і хлопчиків (табл. 5.4).</w:t>
      </w:r>
    </w:p>
    <w:p w14:paraId="4C8A05C3" w14:textId="77777777" w:rsidR="002E3CE8" w:rsidRPr="00520861" w:rsidRDefault="002E3CE8" w:rsidP="00292D2E">
      <w:pPr>
        <w:widowControl w:val="0"/>
        <w:spacing w:line="360" w:lineRule="auto"/>
        <w:jc w:val="right"/>
        <w:rPr>
          <w:i/>
          <w:sz w:val="28"/>
          <w:szCs w:val="28"/>
        </w:rPr>
      </w:pPr>
      <w:r w:rsidRPr="00520861">
        <w:rPr>
          <w:i/>
          <w:sz w:val="28"/>
          <w:szCs w:val="28"/>
        </w:rPr>
        <w:lastRenderedPageBreak/>
        <w:t xml:space="preserve">Таблиця 5.4 </w:t>
      </w:r>
    </w:p>
    <w:p w14:paraId="660BED7E" w14:textId="77777777" w:rsidR="002E3CE8" w:rsidRPr="00520861" w:rsidRDefault="002E3CE8" w:rsidP="00292D2E">
      <w:pPr>
        <w:widowControl w:val="0"/>
        <w:spacing w:line="360" w:lineRule="auto"/>
        <w:jc w:val="center"/>
        <w:rPr>
          <w:b/>
          <w:sz w:val="28"/>
          <w:szCs w:val="28"/>
        </w:rPr>
      </w:pPr>
      <w:r w:rsidRPr="00520861">
        <w:rPr>
          <w:b/>
          <w:sz w:val="28"/>
          <w:szCs w:val="28"/>
        </w:rPr>
        <w:t xml:space="preserve">Зведені дані про об’єм статистичного матеріалу в різних категоріях </w:t>
      </w:r>
      <w:r w:rsidRPr="00520861">
        <w:rPr>
          <w:b/>
          <w:sz w:val="28"/>
          <w:szCs w:val="28"/>
        </w:rPr>
        <w:br/>
        <w:t>новонароджених і результати регресійного аналізу з 95% ДІ</w:t>
      </w:r>
    </w:p>
    <w:tbl>
      <w:tblPr>
        <w:tblW w:w="99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701"/>
        <w:gridCol w:w="1843"/>
        <w:gridCol w:w="1451"/>
        <w:gridCol w:w="1451"/>
        <w:gridCol w:w="1451"/>
        <w:gridCol w:w="1452"/>
      </w:tblGrid>
      <w:tr w:rsidR="002E3CE8" w:rsidRPr="00520861" w14:paraId="7093C30D" w14:textId="77777777" w:rsidTr="00292D2E">
        <w:trPr>
          <w:jc w:val="center"/>
        </w:trPr>
        <w:tc>
          <w:tcPr>
            <w:tcW w:w="562" w:type="dxa"/>
            <w:tcBorders>
              <w:top w:val="single" w:sz="4" w:space="0" w:color="auto"/>
              <w:left w:val="single" w:sz="4" w:space="0" w:color="auto"/>
              <w:bottom w:val="single" w:sz="4" w:space="0" w:color="auto"/>
              <w:right w:val="single" w:sz="4" w:space="0" w:color="auto"/>
            </w:tcBorders>
          </w:tcPr>
          <w:p w14:paraId="72A2F667" w14:textId="77777777" w:rsidR="002E3CE8" w:rsidRPr="00520861" w:rsidRDefault="002E3CE8" w:rsidP="00292D2E">
            <w:pPr>
              <w:widowControl w:val="0"/>
              <w:spacing w:line="360" w:lineRule="auto"/>
              <w:ind w:right="-1" w:firstLine="5"/>
              <w:rPr>
                <w:sz w:val="28"/>
                <w:szCs w:val="28"/>
                <w:lang w:eastAsia="en-US"/>
              </w:rPr>
            </w:pPr>
            <w:r w:rsidRPr="00520861">
              <w:rPr>
                <w:sz w:val="28"/>
                <w:szCs w:val="28"/>
                <w:lang w:eastAsia="en-US"/>
              </w:rPr>
              <w:t>1</w:t>
            </w:r>
          </w:p>
        </w:tc>
        <w:tc>
          <w:tcPr>
            <w:tcW w:w="3544" w:type="dxa"/>
            <w:gridSpan w:val="2"/>
            <w:tcBorders>
              <w:top w:val="single" w:sz="4" w:space="0" w:color="auto"/>
              <w:left w:val="single" w:sz="4" w:space="0" w:color="auto"/>
              <w:bottom w:val="single" w:sz="4" w:space="0" w:color="auto"/>
              <w:right w:val="single" w:sz="4" w:space="0" w:color="auto"/>
            </w:tcBorders>
            <w:hideMark/>
          </w:tcPr>
          <w:p w14:paraId="70D3C261" w14:textId="77777777" w:rsidR="002E3CE8" w:rsidRPr="00520861" w:rsidRDefault="002E3CE8" w:rsidP="00292D2E">
            <w:pPr>
              <w:widowControl w:val="0"/>
              <w:spacing w:line="360" w:lineRule="auto"/>
              <w:ind w:right="-1" w:firstLine="5"/>
              <w:rPr>
                <w:sz w:val="28"/>
                <w:szCs w:val="28"/>
                <w:lang w:eastAsia="en-US"/>
              </w:rPr>
            </w:pPr>
            <w:r w:rsidRPr="00520861">
              <w:rPr>
                <w:sz w:val="28"/>
                <w:szCs w:val="28"/>
                <w:lang w:eastAsia="en-US"/>
              </w:rPr>
              <w:t>Групи</w:t>
            </w:r>
          </w:p>
        </w:tc>
        <w:tc>
          <w:tcPr>
            <w:tcW w:w="2902" w:type="dxa"/>
            <w:gridSpan w:val="2"/>
            <w:tcBorders>
              <w:top w:val="single" w:sz="4" w:space="0" w:color="auto"/>
              <w:left w:val="single" w:sz="4" w:space="0" w:color="auto"/>
              <w:bottom w:val="single" w:sz="4" w:space="0" w:color="auto"/>
              <w:right w:val="single" w:sz="4" w:space="0" w:color="auto"/>
            </w:tcBorders>
            <w:hideMark/>
          </w:tcPr>
          <w:p w14:paraId="06D4F1E9" w14:textId="77777777" w:rsidR="002E3CE8" w:rsidRPr="00520861" w:rsidRDefault="002E3CE8" w:rsidP="00292D2E">
            <w:pPr>
              <w:widowControl w:val="0"/>
              <w:spacing w:line="360" w:lineRule="auto"/>
              <w:ind w:right="-1"/>
              <w:jc w:val="center"/>
              <w:rPr>
                <w:sz w:val="28"/>
                <w:szCs w:val="28"/>
                <w:lang w:eastAsia="en-US"/>
              </w:rPr>
            </w:pPr>
            <w:r w:rsidRPr="00520861">
              <w:rPr>
                <w:rFonts w:eastAsia="Calibri"/>
                <w:sz w:val="28"/>
                <w:szCs w:val="28"/>
                <w:lang w:eastAsia="en-US"/>
              </w:rPr>
              <w:t>ОГ</w:t>
            </w:r>
          </w:p>
        </w:tc>
        <w:tc>
          <w:tcPr>
            <w:tcW w:w="2903" w:type="dxa"/>
            <w:gridSpan w:val="2"/>
            <w:tcBorders>
              <w:top w:val="single" w:sz="4" w:space="0" w:color="auto"/>
              <w:left w:val="single" w:sz="4" w:space="0" w:color="auto"/>
              <w:bottom w:val="single" w:sz="4" w:space="0" w:color="auto"/>
              <w:right w:val="single" w:sz="4" w:space="0" w:color="auto"/>
            </w:tcBorders>
            <w:hideMark/>
          </w:tcPr>
          <w:p w14:paraId="32513610" w14:textId="77777777" w:rsidR="002E3CE8" w:rsidRPr="00520861" w:rsidRDefault="002E3CE8" w:rsidP="00292D2E">
            <w:pPr>
              <w:widowControl w:val="0"/>
              <w:spacing w:line="360" w:lineRule="auto"/>
              <w:ind w:right="-1"/>
              <w:jc w:val="center"/>
              <w:rPr>
                <w:sz w:val="28"/>
                <w:szCs w:val="28"/>
                <w:lang w:eastAsia="en-US"/>
              </w:rPr>
            </w:pPr>
            <w:r w:rsidRPr="00520861">
              <w:rPr>
                <w:rFonts w:eastAsia="Calibri"/>
                <w:sz w:val="28"/>
                <w:szCs w:val="28"/>
                <w:lang w:eastAsia="en-US"/>
              </w:rPr>
              <w:t>ГП</w:t>
            </w:r>
          </w:p>
        </w:tc>
      </w:tr>
      <w:tr w:rsidR="002E3CE8" w:rsidRPr="00520861" w14:paraId="04503C04" w14:textId="77777777" w:rsidTr="00292D2E">
        <w:trPr>
          <w:trHeight w:val="182"/>
          <w:jc w:val="center"/>
        </w:trPr>
        <w:tc>
          <w:tcPr>
            <w:tcW w:w="562" w:type="dxa"/>
            <w:tcBorders>
              <w:top w:val="single" w:sz="4" w:space="0" w:color="auto"/>
              <w:left w:val="single" w:sz="4" w:space="0" w:color="auto"/>
              <w:bottom w:val="single" w:sz="4" w:space="0" w:color="auto"/>
              <w:right w:val="single" w:sz="4" w:space="0" w:color="auto"/>
            </w:tcBorders>
          </w:tcPr>
          <w:p w14:paraId="6FAEAF3F" w14:textId="77777777" w:rsidR="002E3CE8" w:rsidRPr="00520861" w:rsidRDefault="002E3CE8" w:rsidP="00292D2E">
            <w:pPr>
              <w:widowControl w:val="0"/>
              <w:spacing w:line="360" w:lineRule="auto"/>
              <w:ind w:right="-1" w:firstLine="5"/>
              <w:rPr>
                <w:rFonts w:eastAsia="Calibri"/>
                <w:sz w:val="28"/>
                <w:szCs w:val="28"/>
                <w:lang w:eastAsia="en-US"/>
              </w:rPr>
            </w:pPr>
            <w:r w:rsidRPr="00520861">
              <w:rPr>
                <w:rFonts w:eastAsia="Calibri"/>
                <w:sz w:val="28"/>
                <w:szCs w:val="28"/>
                <w:lang w:eastAsia="en-US"/>
              </w:rPr>
              <w:t>2</w:t>
            </w:r>
          </w:p>
        </w:tc>
        <w:tc>
          <w:tcPr>
            <w:tcW w:w="3544" w:type="dxa"/>
            <w:gridSpan w:val="2"/>
            <w:tcBorders>
              <w:top w:val="single" w:sz="4" w:space="0" w:color="auto"/>
              <w:left w:val="single" w:sz="4" w:space="0" w:color="auto"/>
              <w:bottom w:val="single" w:sz="4" w:space="0" w:color="auto"/>
              <w:right w:val="single" w:sz="4" w:space="0" w:color="auto"/>
            </w:tcBorders>
            <w:hideMark/>
          </w:tcPr>
          <w:p w14:paraId="1B8608E3" w14:textId="77777777" w:rsidR="002E3CE8" w:rsidRPr="00520861" w:rsidRDefault="002E3CE8" w:rsidP="00292D2E">
            <w:pPr>
              <w:widowControl w:val="0"/>
              <w:spacing w:line="360" w:lineRule="auto"/>
              <w:ind w:right="-1" w:firstLine="5"/>
              <w:rPr>
                <w:sz w:val="28"/>
                <w:szCs w:val="28"/>
                <w:lang w:eastAsia="en-US"/>
              </w:rPr>
            </w:pPr>
            <w:r w:rsidRPr="00520861">
              <w:rPr>
                <w:rFonts w:eastAsia="Calibri"/>
                <w:sz w:val="28"/>
                <w:szCs w:val="28"/>
                <w:lang w:eastAsia="en-US"/>
              </w:rPr>
              <w:t>Учасники</w:t>
            </w:r>
          </w:p>
        </w:tc>
        <w:tc>
          <w:tcPr>
            <w:tcW w:w="1451" w:type="dxa"/>
            <w:hideMark/>
          </w:tcPr>
          <w:p w14:paraId="000FAFD4" w14:textId="77777777" w:rsidR="002E3CE8" w:rsidRPr="00520861" w:rsidRDefault="002E3CE8" w:rsidP="00292D2E">
            <w:pPr>
              <w:widowControl w:val="0"/>
              <w:spacing w:line="360" w:lineRule="auto"/>
              <w:ind w:right="-1"/>
              <w:jc w:val="center"/>
              <w:rPr>
                <w:sz w:val="28"/>
                <w:szCs w:val="28"/>
                <w:lang w:eastAsia="en-US"/>
              </w:rPr>
            </w:pPr>
            <w:r w:rsidRPr="00520861">
              <w:rPr>
                <w:rFonts w:eastAsiaTheme="minorHAnsi"/>
                <w:sz w:val="28"/>
                <w:szCs w:val="28"/>
                <w:lang w:eastAsia="en-US"/>
              </w:rPr>
              <w:t>Хлопчики</w:t>
            </w:r>
          </w:p>
        </w:tc>
        <w:tc>
          <w:tcPr>
            <w:tcW w:w="1451" w:type="dxa"/>
            <w:hideMark/>
          </w:tcPr>
          <w:p w14:paraId="74D916CD" w14:textId="77777777" w:rsidR="002E3CE8" w:rsidRPr="00520861" w:rsidRDefault="002E3CE8" w:rsidP="00292D2E">
            <w:pPr>
              <w:widowControl w:val="0"/>
              <w:spacing w:line="360" w:lineRule="auto"/>
              <w:ind w:right="-1"/>
              <w:jc w:val="center"/>
              <w:rPr>
                <w:sz w:val="28"/>
                <w:szCs w:val="28"/>
                <w:lang w:eastAsia="en-US"/>
              </w:rPr>
            </w:pPr>
            <w:r w:rsidRPr="00520861">
              <w:rPr>
                <w:rFonts w:eastAsiaTheme="minorHAnsi"/>
                <w:sz w:val="28"/>
                <w:szCs w:val="28"/>
                <w:lang w:eastAsia="en-US"/>
              </w:rPr>
              <w:t>Дівчатка</w:t>
            </w:r>
          </w:p>
        </w:tc>
        <w:tc>
          <w:tcPr>
            <w:tcW w:w="1451" w:type="dxa"/>
            <w:hideMark/>
          </w:tcPr>
          <w:p w14:paraId="474CBEEB" w14:textId="77777777" w:rsidR="002E3CE8" w:rsidRPr="00520861" w:rsidRDefault="002E3CE8" w:rsidP="00292D2E">
            <w:pPr>
              <w:widowControl w:val="0"/>
              <w:spacing w:line="360" w:lineRule="auto"/>
              <w:ind w:right="-1" w:hanging="29"/>
              <w:jc w:val="center"/>
              <w:rPr>
                <w:sz w:val="28"/>
                <w:szCs w:val="28"/>
                <w:lang w:eastAsia="en-US"/>
              </w:rPr>
            </w:pPr>
            <w:r w:rsidRPr="00520861">
              <w:rPr>
                <w:rFonts w:eastAsiaTheme="minorHAnsi"/>
                <w:sz w:val="28"/>
                <w:szCs w:val="28"/>
                <w:lang w:eastAsia="en-US"/>
              </w:rPr>
              <w:t>Хлопчики</w:t>
            </w:r>
          </w:p>
        </w:tc>
        <w:tc>
          <w:tcPr>
            <w:tcW w:w="1452" w:type="dxa"/>
            <w:hideMark/>
          </w:tcPr>
          <w:p w14:paraId="66451C01" w14:textId="77777777" w:rsidR="002E3CE8" w:rsidRPr="00520861" w:rsidRDefault="002E3CE8" w:rsidP="00292D2E">
            <w:pPr>
              <w:widowControl w:val="0"/>
              <w:spacing w:line="360" w:lineRule="auto"/>
              <w:ind w:right="-1" w:firstLine="61"/>
              <w:jc w:val="center"/>
              <w:rPr>
                <w:sz w:val="28"/>
                <w:szCs w:val="28"/>
                <w:lang w:eastAsia="en-US"/>
              </w:rPr>
            </w:pPr>
            <w:r w:rsidRPr="00520861">
              <w:rPr>
                <w:rFonts w:eastAsiaTheme="minorHAnsi"/>
                <w:sz w:val="28"/>
                <w:szCs w:val="28"/>
                <w:lang w:eastAsia="en-US"/>
              </w:rPr>
              <w:t>Дівчатка</w:t>
            </w:r>
          </w:p>
        </w:tc>
      </w:tr>
      <w:tr w:rsidR="002E3CE8" w:rsidRPr="00520861" w14:paraId="3E136072" w14:textId="77777777" w:rsidTr="00292D2E">
        <w:trPr>
          <w:jc w:val="center"/>
        </w:trPr>
        <w:tc>
          <w:tcPr>
            <w:tcW w:w="562" w:type="dxa"/>
            <w:tcBorders>
              <w:top w:val="single" w:sz="4" w:space="0" w:color="auto"/>
              <w:left w:val="single" w:sz="4" w:space="0" w:color="auto"/>
              <w:bottom w:val="single" w:sz="4" w:space="0" w:color="auto"/>
              <w:right w:val="single" w:sz="4" w:space="0" w:color="auto"/>
            </w:tcBorders>
          </w:tcPr>
          <w:p w14:paraId="151B1D47" w14:textId="77777777" w:rsidR="002E3CE8" w:rsidRPr="00520861" w:rsidRDefault="002E3CE8" w:rsidP="00292D2E">
            <w:pPr>
              <w:widowControl w:val="0"/>
              <w:spacing w:line="360" w:lineRule="auto"/>
              <w:ind w:right="-1" w:firstLine="5"/>
              <w:rPr>
                <w:rFonts w:eastAsia="Calibri"/>
                <w:sz w:val="28"/>
                <w:szCs w:val="28"/>
                <w:lang w:eastAsia="en-US"/>
              </w:rPr>
            </w:pPr>
            <w:r w:rsidRPr="00520861">
              <w:rPr>
                <w:rFonts w:eastAsia="Calibri"/>
                <w:sz w:val="28"/>
                <w:szCs w:val="28"/>
                <w:lang w:eastAsia="en-US"/>
              </w:rPr>
              <w:t>3</w:t>
            </w:r>
          </w:p>
        </w:tc>
        <w:tc>
          <w:tcPr>
            <w:tcW w:w="3544" w:type="dxa"/>
            <w:gridSpan w:val="2"/>
            <w:tcBorders>
              <w:top w:val="single" w:sz="4" w:space="0" w:color="auto"/>
              <w:left w:val="single" w:sz="4" w:space="0" w:color="auto"/>
              <w:bottom w:val="single" w:sz="4" w:space="0" w:color="auto"/>
              <w:right w:val="single" w:sz="4" w:space="0" w:color="auto"/>
            </w:tcBorders>
            <w:hideMark/>
          </w:tcPr>
          <w:p w14:paraId="4C3EECA2" w14:textId="77777777" w:rsidR="002E3CE8" w:rsidRPr="00520861" w:rsidRDefault="002E3CE8" w:rsidP="00292D2E">
            <w:pPr>
              <w:widowControl w:val="0"/>
              <w:spacing w:line="360" w:lineRule="auto"/>
              <w:ind w:right="-258" w:hanging="85"/>
              <w:rPr>
                <w:sz w:val="28"/>
                <w:szCs w:val="28"/>
                <w:lang w:eastAsia="en-US"/>
              </w:rPr>
            </w:pPr>
            <w:r w:rsidRPr="00520861">
              <w:rPr>
                <w:rFonts w:eastAsia="Calibri"/>
                <w:spacing w:val="-6"/>
                <w:sz w:val="28"/>
                <w:szCs w:val="28"/>
                <w:lang w:eastAsia="en-US"/>
              </w:rPr>
              <w:t>Кількість історій розвитку дітей</w:t>
            </w:r>
          </w:p>
        </w:tc>
        <w:tc>
          <w:tcPr>
            <w:tcW w:w="1451" w:type="dxa"/>
            <w:tcBorders>
              <w:top w:val="single" w:sz="4" w:space="0" w:color="auto"/>
              <w:left w:val="single" w:sz="4" w:space="0" w:color="auto"/>
              <w:bottom w:val="single" w:sz="4" w:space="0" w:color="auto"/>
              <w:right w:val="single" w:sz="4" w:space="0" w:color="auto"/>
            </w:tcBorders>
            <w:hideMark/>
          </w:tcPr>
          <w:p w14:paraId="2508D367"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483</w:t>
            </w:r>
          </w:p>
        </w:tc>
        <w:tc>
          <w:tcPr>
            <w:tcW w:w="1451" w:type="dxa"/>
            <w:tcBorders>
              <w:top w:val="single" w:sz="4" w:space="0" w:color="auto"/>
              <w:left w:val="single" w:sz="4" w:space="0" w:color="auto"/>
              <w:bottom w:val="single" w:sz="4" w:space="0" w:color="auto"/>
              <w:right w:val="single" w:sz="4" w:space="0" w:color="auto"/>
            </w:tcBorders>
            <w:hideMark/>
          </w:tcPr>
          <w:p w14:paraId="5EA2D402" w14:textId="77777777" w:rsidR="002E3CE8" w:rsidRPr="00520861" w:rsidRDefault="002E3CE8" w:rsidP="00292D2E">
            <w:pPr>
              <w:widowControl w:val="0"/>
              <w:spacing w:line="360" w:lineRule="auto"/>
              <w:ind w:right="-1" w:firstLine="51"/>
              <w:jc w:val="center"/>
              <w:rPr>
                <w:sz w:val="28"/>
                <w:szCs w:val="28"/>
                <w:lang w:eastAsia="en-US"/>
              </w:rPr>
            </w:pPr>
            <w:r w:rsidRPr="00520861">
              <w:rPr>
                <w:sz w:val="28"/>
                <w:szCs w:val="28"/>
                <w:lang w:eastAsia="en-US"/>
              </w:rPr>
              <w:t>265</w:t>
            </w:r>
          </w:p>
        </w:tc>
        <w:tc>
          <w:tcPr>
            <w:tcW w:w="1451" w:type="dxa"/>
            <w:tcBorders>
              <w:top w:val="single" w:sz="4" w:space="0" w:color="auto"/>
              <w:left w:val="single" w:sz="4" w:space="0" w:color="auto"/>
              <w:bottom w:val="single" w:sz="4" w:space="0" w:color="auto"/>
              <w:right w:val="single" w:sz="4" w:space="0" w:color="auto"/>
            </w:tcBorders>
            <w:hideMark/>
          </w:tcPr>
          <w:p w14:paraId="27AC3668"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413</w:t>
            </w:r>
          </w:p>
        </w:tc>
        <w:tc>
          <w:tcPr>
            <w:tcW w:w="1452" w:type="dxa"/>
            <w:tcBorders>
              <w:top w:val="single" w:sz="4" w:space="0" w:color="auto"/>
              <w:left w:val="single" w:sz="4" w:space="0" w:color="auto"/>
              <w:bottom w:val="single" w:sz="4" w:space="0" w:color="auto"/>
              <w:right w:val="single" w:sz="4" w:space="0" w:color="auto"/>
            </w:tcBorders>
            <w:hideMark/>
          </w:tcPr>
          <w:p w14:paraId="14AFF9EB"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293</w:t>
            </w:r>
          </w:p>
        </w:tc>
      </w:tr>
      <w:tr w:rsidR="002E3CE8" w:rsidRPr="00520861" w14:paraId="4069A0CC" w14:textId="77777777" w:rsidTr="00292D2E">
        <w:trPr>
          <w:trHeight w:val="205"/>
          <w:jc w:val="center"/>
        </w:trPr>
        <w:tc>
          <w:tcPr>
            <w:tcW w:w="562" w:type="dxa"/>
            <w:tcBorders>
              <w:top w:val="single" w:sz="4" w:space="0" w:color="auto"/>
              <w:left w:val="single" w:sz="4" w:space="0" w:color="auto"/>
              <w:right w:val="single" w:sz="4" w:space="0" w:color="auto"/>
            </w:tcBorders>
          </w:tcPr>
          <w:p w14:paraId="0867D879" w14:textId="77777777" w:rsidR="002E3CE8" w:rsidRPr="00520861" w:rsidRDefault="002E3CE8" w:rsidP="00292D2E">
            <w:pPr>
              <w:widowControl w:val="0"/>
              <w:spacing w:beforeLines="20" w:before="48" w:afterLines="20" w:after="48" w:line="276" w:lineRule="auto"/>
              <w:ind w:right="-1" w:firstLine="5"/>
              <w:rPr>
                <w:sz w:val="28"/>
                <w:szCs w:val="28"/>
              </w:rPr>
            </w:pPr>
            <w:r w:rsidRPr="00520861">
              <w:rPr>
                <w:sz w:val="28"/>
                <w:szCs w:val="28"/>
              </w:rPr>
              <w:t>4</w:t>
            </w:r>
          </w:p>
        </w:tc>
        <w:tc>
          <w:tcPr>
            <w:tcW w:w="1701" w:type="dxa"/>
            <w:vMerge w:val="restart"/>
            <w:tcBorders>
              <w:top w:val="single" w:sz="4" w:space="0" w:color="auto"/>
              <w:left w:val="single" w:sz="4" w:space="0" w:color="auto"/>
              <w:right w:val="single" w:sz="4" w:space="0" w:color="auto"/>
            </w:tcBorders>
            <w:hideMark/>
          </w:tcPr>
          <w:p w14:paraId="12E85262" w14:textId="77777777" w:rsidR="002E3CE8" w:rsidRPr="00520861" w:rsidRDefault="002E3CE8" w:rsidP="00292D2E">
            <w:pPr>
              <w:widowControl w:val="0"/>
              <w:spacing w:beforeLines="20" w:before="48" w:afterLines="20" w:after="48" w:line="360" w:lineRule="auto"/>
              <w:ind w:right="-110" w:firstLine="5"/>
              <w:rPr>
                <w:sz w:val="28"/>
                <w:szCs w:val="28"/>
              </w:rPr>
            </w:pPr>
            <w:r w:rsidRPr="00520861">
              <w:rPr>
                <w:sz w:val="28"/>
                <w:szCs w:val="28"/>
              </w:rPr>
              <w:t xml:space="preserve">Кількість значень </w:t>
            </w:r>
          </w:p>
          <w:p w14:paraId="75AD2475" w14:textId="77777777" w:rsidR="002E3CE8" w:rsidRPr="00520861" w:rsidRDefault="002E3CE8" w:rsidP="00292D2E">
            <w:pPr>
              <w:widowControl w:val="0"/>
              <w:spacing w:beforeLines="20" w:before="48" w:afterLines="20" w:after="48" w:line="360" w:lineRule="auto"/>
              <w:ind w:right="-110" w:firstLine="5"/>
              <w:rPr>
                <w:sz w:val="28"/>
                <w:szCs w:val="28"/>
              </w:rPr>
            </w:pPr>
            <w:r w:rsidRPr="00520861">
              <w:rPr>
                <w:sz w:val="28"/>
                <w:szCs w:val="28"/>
              </w:rPr>
              <w:t xml:space="preserve">(записів про кількість зубів) </w:t>
            </w:r>
          </w:p>
          <w:p w14:paraId="0E5C98D0" w14:textId="77777777" w:rsidR="002E3CE8" w:rsidRPr="00520861" w:rsidRDefault="002E3CE8" w:rsidP="00292D2E">
            <w:pPr>
              <w:widowControl w:val="0"/>
              <w:spacing w:beforeLines="20" w:before="48" w:afterLines="20" w:after="48" w:line="360" w:lineRule="auto"/>
              <w:ind w:right="-110" w:firstLine="5"/>
              <w:rPr>
                <w:sz w:val="28"/>
                <w:szCs w:val="28"/>
                <w:lang w:eastAsia="en-US"/>
              </w:rPr>
            </w:pPr>
            <w:r w:rsidRPr="00520861">
              <w:rPr>
                <w:sz w:val="28"/>
                <w:szCs w:val="28"/>
              </w:rPr>
              <w:t>для певного віку</w:t>
            </w:r>
          </w:p>
        </w:tc>
        <w:tc>
          <w:tcPr>
            <w:tcW w:w="1843" w:type="dxa"/>
          </w:tcPr>
          <w:p w14:paraId="115F243B" w14:textId="77777777" w:rsidR="002E3CE8" w:rsidRPr="00520861" w:rsidRDefault="002E3CE8" w:rsidP="00292D2E">
            <w:pPr>
              <w:widowControl w:val="0"/>
              <w:spacing w:beforeLines="20" w:before="48" w:afterLines="20" w:after="48" w:line="276" w:lineRule="auto"/>
              <w:ind w:right="-116"/>
              <w:jc w:val="center"/>
              <w:rPr>
                <w:sz w:val="28"/>
                <w:szCs w:val="28"/>
                <w:lang w:eastAsia="en-US"/>
              </w:rPr>
            </w:pPr>
            <w:r w:rsidRPr="00520861">
              <w:rPr>
                <w:rFonts w:eastAsiaTheme="minorHAnsi"/>
                <w:sz w:val="28"/>
                <w:szCs w:val="28"/>
                <w:lang w:eastAsia="en-US"/>
              </w:rPr>
              <w:t>4–12 місяців</w:t>
            </w:r>
          </w:p>
        </w:tc>
        <w:tc>
          <w:tcPr>
            <w:tcW w:w="1451" w:type="dxa"/>
            <w:tcBorders>
              <w:top w:val="single" w:sz="4" w:space="0" w:color="auto"/>
              <w:left w:val="single" w:sz="4" w:space="0" w:color="auto"/>
              <w:bottom w:val="single" w:sz="4" w:space="0" w:color="auto"/>
              <w:right w:val="single" w:sz="4" w:space="0" w:color="auto"/>
            </w:tcBorders>
            <w:hideMark/>
          </w:tcPr>
          <w:p w14:paraId="09FD958C"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sz w:val="28"/>
                <w:szCs w:val="28"/>
                <w:lang w:eastAsia="en-US"/>
              </w:rPr>
              <w:t>1947</w:t>
            </w:r>
          </w:p>
        </w:tc>
        <w:tc>
          <w:tcPr>
            <w:tcW w:w="1451" w:type="dxa"/>
            <w:tcBorders>
              <w:top w:val="single" w:sz="4" w:space="0" w:color="auto"/>
              <w:left w:val="single" w:sz="4" w:space="0" w:color="auto"/>
              <w:bottom w:val="single" w:sz="4" w:space="0" w:color="auto"/>
              <w:right w:val="single" w:sz="4" w:space="0" w:color="auto"/>
            </w:tcBorders>
            <w:hideMark/>
          </w:tcPr>
          <w:p w14:paraId="605ED27B"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sz w:val="28"/>
                <w:szCs w:val="28"/>
                <w:lang w:eastAsia="en-US"/>
              </w:rPr>
              <w:t>1040</w:t>
            </w:r>
          </w:p>
        </w:tc>
        <w:tc>
          <w:tcPr>
            <w:tcW w:w="1451" w:type="dxa"/>
            <w:tcBorders>
              <w:top w:val="single" w:sz="4" w:space="0" w:color="auto"/>
              <w:left w:val="single" w:sz="4" w:space="0" w:color="auto"/>
              <w:bottom w:val="single" w:sz="4" w:space="0" w:color="auto"/>
              <w:right w:val="single" w:sz="4" w:space="0" w:color="auto"/>
            </w:tcBorders>
            <w:hideMark/>
          </w:tcPr>
          <w:p w14:paraId="30BDA27C"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sz w:val="28"/>
                <w:szCs w:val="28"/>
                <w:lang w:eastAsia="en-US"/>
              </w:rPr>
              <w:t>1773</w:t>
            </w:r>
          </w:p>
        </w:tc>
        <w:tc>
          <w:tcPr>
            <w:tcW w:w="1452" w:type="dxa"/>
            <w:tcBorders>
              <w:top w:val="single" w:sz="4" w:space="0" w:color="auto"/>
              <w:left w:val="single" w:sz="4" w:space="0" w:color="auto"/>
              <w:bottom w:val="single" w:sz="4" w:space="0" w:color="auto"/>
              <w:right w:val="single" w:sz="4" w:space="0" w:color="auto"/>
            </w:tcBorders>
            <w:hideMark/>
          </w:tcPr>
          <w:p w14:paraId="760F34CD"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sz w:val="28"/>
                <w:szCs w:val="28"/>
                <w:lang w:eastAsia="en-US"/>
              </w:rPr>
              <w:t>1187</w:t>
            </w:r>
          </w:p>
        </w:tc>
      </w:tr>
      <w:tr w:rsidR="002E3CE8" w:rsidRPr="00520861" w14:paraId="49E1FDF4" w14:textId="77777777" w:rsidTr="00292D2E">
        <w:trPr>
          <w:trHeight w:val="205"/>
          <w:jc w:val="center"/>
        </w:trPr>
        <w:tc>
          <w:tcPr>
            <w:tcW w:w="562" w:type="dxa"/>
            <w:tcBorders>
              <w:left w:val="single" w:sz="4" w:space="0" w:color="auto"/>
              <w:right w:val="single" w:sz="4" w:space="0" w:color="auto"/>
            </w:tcBorders>
          </w:tcPr>
          <w:p w14:paraId="2F4A838F" w14:textId="77777777" w:rsidR="002E3CE8" w:rsidRPr="00520861" w:rsidRDefault="002E3CE8" w:rsidP="00292D2E">
            <w:pPr>
              <w:widowControl w:val="0"/>
              <w:spacing w:beforeLines="20" w:before="48" w:afterLines="20" w:after="48" w:line="276" w:lineRule="auto"/>
              <w:ind w:right="-1" w:firstLine="29"/>
              <w:jc w:val="both"/>
              <w:rPr>
                <w:sz w:val="28"/>
                <w:szCs w:val="28"/>
              </w:rPr>
            </w:pPr>
            <w:r w:rsidRPr="00520861">
              <w:rPr>
                <w:sz w:val="28"/>
                <w:szCs w:val="28"/>
              </w:rPr>
              <w:t>5</w:t>
            </w:r>
          </w:p>
        </w:tc>
        <w:tc>
          <w:tcPr>
            <w:tcW w:w="1701" w:type="dxa"/>
            <w:vMerge/>
            <w:tcBorders>
              <w:left w:val="single" w:sz="4" w:space="0" w:color="auto"/>
              <w:right w:val="single" w:sz="4" w:space="0" w:color="auto"/>
            </w:tcBorders>
          </w:tcPr>
          <w:p w14:paraId="58A5C96F"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6B2D81E9"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4 місяці</w:t>
            </w:r>
          </w:p>
        </w:tc>
        <w:tc>
          <w:tcPr>
            <w:tcW w:w="1451" w:type="dxa"/>
          </w:tcPr>
          <w:p w14:paraId="4BDDB8A3"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192</w:t>
            </w:r>
          </w:p>
        </w:tc>
        <w:tc>
          <w:tcPr>
            <w:tcW w:w="1451" w:type="dxa"/>
          </w:tcPr>
          <w:p w14:paraId="14011BC3"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107</w:t>
            </w:r>
          </w:p>
        </w:tc>
        <w:tc>
          <w:tcPr>
            <w:tcW w:w="1451" w:type="dxa"/>
          </w:tcPr>
          <w:p w14:paraId="0992B374"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148</w:t>
            </w:r>
          </w:p>
        </w:tc>
        <w:tc>
          <w:tcPr>
            <w:tcW w:w="1452" w:type="dxa"/>
          </w:tcPr>
          <w:p w14:paraId="5BFB11AD"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96</w:t>
            </w:r>
          </w:p>
        </w:tc>
      </w:tr>
      <w:tr w:rsidR="002E3CE8" w:rsidRPr="00520861" w14:paraId="3415DD99" w14:textId="77777777" w:rsidTr="00292D2E">
        <w:trPr>
          <w:trHeight w:val="205"/>
          <w:jc w:val="center"/>
        </w:trPr>
        <w:tc>
          <w:tcPr>
            <w:tcW w:w="562" w:type="dxa"/>
            <w:tcBorders>
              <w:left w:val="single" w:sz="4" w:space="0" w:color="auto"/>
              <w:right w:val="single" w:sz="4" w:space="0" w:color="auto"/>
            </w:tcBorders>
          </w:tcPr>
          <w:p w14:paraId="7DD846E3" w14:textId="77777777" w:rsidR="002E3CE8" w:rsidRPr="00520861" w:rsidRDefault="002E3CE8" w:rsidP="00292D2E">
            <w:pPr>
              <w:widowControl w:val="0"/>
              <w:spacing w:beforeLines="20" w:before="48" w:afterLines="20" w:after="48" w:line="276" w:lineRule="auto"/>
              <w:ind w:right="-1"/>
              <w:jc w:val="both"/>
              <w:rPr>
                <w:sz w:val="28"/>
                <w:szCs w:val="28"/>
              </w:rPr>
            </w:pPr>
            <w:r w:rsidRPr="00520861">
              <w:rPr>
                <w:sz w:val="28"/>
                <w:szCs w:val="28"/>
              </w:rPr>
              <w:t>6</w:t>
            </w:r>
          </w:p>
        </w:tc>
        <w:tc>
          <w:tcPr>
            <w:tcW w:w="1701" w:type="dxa"/>
            <w:vMerge/>
            <w:tcBorders>
              <w:left w:val="single" w:sz="4" w:space="0" w:color="auto"/>
              <w:right w:val="single" w:sz="4" w:space="0" w:color="auto"/>
            </w:tcBorders>
          </w:tcPr>
          <w:p w14:paraId="6D247D14"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2BDF69F8"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5 місяців</w:t>
            </w:r>
          </w:p>
        </w:tc>
        <w:tc>
          <w:tcPr>
            <w:tcW w:w="1451" w:type="dxa"/>
          </w:tcPr>
          <w:p w14:paraId="34F112C1"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196</w:t>
            </w:r>
          </w:p>
        </w:tc>
        <w:tc>
          <w:tcPr>
            <w:tcW w:w="1451" w:type="dxa"/>
          </w:tcPr>
          <w:p w14:paraId="1F6950C7"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111</w:t>
            </w:r>
          </w:p>
        </w:tc>
        <w:tc>
          <w:tcPr>
            <w:tcW w:w="1451" w:type="dxa"/>
          </w:tcPr>
          <w:p w14:paraId="264CB3E4"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156</w:t>
            </w:r>
          </w:p>
        </w:tc>
        <w:tc>
          <w:tcPr>
            <w:tcW w:w="1452" w:type="dxa"/>
          </w:tcPr>
          <w:p w14:paraId="679E043F"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101</w:t>
            </w:r>
          </w:p>
        </w:tc>
      </w:tr>
      <w:tr w:rsidR="002E3CE8" w:rsidRPr="00520861" w14:paraId="12D35BFB" w14:textId="77777777" w:rsidTr="00292D2E">
        <w:trPr>
          <w:trHeight w:val="205"/>
          <w:jc w:val="center"/>
        </w:trPr>
        <w:tc>
          <w:tcPr>
            <w:tcW w:w="562" w:type="dxa"/>
            <w:tcBorders>
              <w:left w:val="single" w:sz="4" w:space="0" w:color="auto"/>
              <w:right w:val="single" w:sz="4" w:space="0" w:color="auto"/>
            </w:tcBorders>
          </w:tcPr>
          <w:p w14:paraId="45E301F6" w14:textId="77777777" w:rsidR="002E3CE8" w:rsidRPr="00520861" w:rsidRDefault="002E3CE8" w:rsidP="00292D2E">
            <w:pPr>
              <w:widowControl w:val="0"/>
              <w:spacing w:beforeLines="20" w:before="48" w:afterLines="20" w:after="48" w:line="276" w:lineRule="auto"/>
              <w:ind w:right="-1"/>
              <w:rPr>
                <w:sz w:val="28"/>
                <w:szCs w:val="28"/>
              </w:rPr>
            </w:pPr>
            <w:r w:rsidRPr="00520861">
              <w:rPr>
                <w:sz w:val="28"/>
                <w:szCs w:val="28"/>
              </w:rPr>
              <w:t>7</w:t>
            </w:r>
          </w:p>
        </w:tc>
        <w:tc>
          <w:tcPr>
            <w:tcW w:w="1701" w:type="dxa"/>
            <w:vMerge/>
            <w:tcBorders>
              <w:left w:val="single" w:sz="4" w:space="0" w:color="auto"/>
              <w:right w:val="single" w:sz="4" w:space="0" w:color="auto"/>
            </w:tcBorders>
          </w:tcPr>
          <w:p w14:paraId="30CF09DE"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11BA58C7"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5,5 місяця</w:t>
            </w:r>
          </w:p>
        </w:tc>
        <w:tc>
          <w:tcPr>
            <w:tcW w:w="1451" w:type="dxa"/>
          </w:tcPr>
          <w:p w14:paraId="34EC7694"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189</w:t>
            </w:r>
          </w:p>
        </w:tc>
        <w:tc>
          <w:tcPr>
            <w:tcW w:w="1451" w:type="dxa"/>
          </w:tcPr>
          <w:p w14:paraId="6E8DCCA7"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106</w:t>
            </w:r>
          </w:p>
        </w:tc>
        <w:tc>
          <w:tcPr>
            <w:tcW w:w="1451" w:type="dxa"/>
          </w:tcPr>
          <w:p w14:paraId="50F1080C"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150</w:t>
            </w:r>
          </w:p>
        </w:tc>
        <w:tc>
          <w:tcPr>
            <w:tcW w:w="1452" w:type="dxa"/>
          </w:tcPr>
          <w:p w14:paraId="49CE850F"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95</w:t>
            </w:r>
          </w:p>
        </w:tc>
      </w:tr>
      <w:tr w:rsidR="002E3CE8" w:rsidRPr="00520861" w14:paraId="51600378" w14:textId="77777777" w:rsidTr="00292D2E">
        <w:trPr>
          <w:trHeight w:val="205"/>
          <w:jc w:val="center"/>
        </w:trPr>
        <w:tc>
          <w:tcPr>
            <w:tcW w:w="562" w:type="dxa"/>
            <w:tcBorders>
              <w:left w:val="single" w:sz="4" w:space="0" w:color="auto"/>
              <w:right w:val="single" w:sz="4" w:space="0" w:color="auto"/>
            </w:tcBorders>
          </w:tcPr>
          <w:p w14:paraId="517C6341" w14:textId="77777777" w:rsidR="002E3CE8" w:rsidRPr="00520861" w:rsidRDefault="002E3CE8" w:rsidP="00292D2E">
            <w:pPr>
              <w:widowControl w:val="0"/>
              <w:spacing w:beforeLines="20" w:before="48" w:afterLines="20" w:after="48" w:line="276" w:lineRule="auto"/>
              <w:ind w:right="-1"/>
              <w:rPr>
                <w:sz w:val="28"/>
                <w:szCs w:val="28"/>
              </w:rPr>
            </w:pPr>
            <w:r w:rsidRPr="00520861">
              <w:rPr>
                <w:sz w:val="28"/>
                <w:szCs w:val="28"/>
              </w:rPr>
              <w:t>8</w:t>
            </w:r>
          </w:p>
        </w:tc>
        <w:tc>
          <w:tcPr>
            <w:tcW w:w="1701" w:type="dxa"/>
            <w:vMerge/>
            <w:tcBorders>
              <w:left w:val="single" w:sz="4" w:space="0" w:color="auto"/>
              <w:right w:val="single" w:sz="4" w:space="0" w:color="auto"/>
            </w:tcBorders>
          </w:tcPr>
          <w:p w14:paraId="2BF8A1DC"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7C664850"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6 місяців</w:t>
            </w:r>
          </w:p>
        </w:tc>
        <w:tc>
          <w:tcPr>
            <w:tcW w:w="1451" w:type="dxa"/>
          </w:tcPr>
          <w:p w14:paraId="7AF12BA1"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258</w:t>
            </w:r>
          </w:p>
        </w:tc>
        <w:tc>
          <w:tcPr>
            <w:tcW w:w="1451" w:type="dxa"/>
          </w:tcPr>
          <w:p w14:paraId="1123C863"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140</w:t>
            </w:r>
          </w:p>
        </w:tc>
        <w:tc>
          <w:tcPr>
            <w:tcW w:w="1451" w:type="dxa"/>
          </w:tcPr>
          <w:p w14:paraId="24CB2C0C"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240</w:t>
            </w:r>
          </w:p>
        </w:tc>
        <w:tc>
          <w:tcPr>
            <w:tcW w:w="1452" w:type="dxa"/>
          </w:tcPr>
          <w:p w14:paraId="21659709"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149</w:t>
            </w:r>
          </w:p>
        </w:tc>
      </w:tr>
      <w:tr w:rsidR="002E3CE8" w:rsidRPr="00520861" w14:paraId="263C798A" w14:textId="77777777" w:rsidTr="00292D2E">
        <w:trPr>
          <w:trHeight w:val="205"/>
          <w:jc w:val="center"/>
        </w:trPr>
        <w:tc>
          <w:tcPr>
            <w:tcW w:w="562" w:type="dxa"/>
            <w:tcBorders>
              <w:left w:val="single" w:sz="4" w:space="0" w:color="auto"/>
              <w:right w:val="single" w:sz="4" w:space="0" w:color="auto"/>
            </w:tcBorders>
          </w:tcPr>
          <w:p w14:paraId="6B71EC35" w14:textId="77777777" w:rsidR="002E3CE8" w:rsidRPr="00520861" w:rsidRDefault="002E3CE8" w:rsidP="00292D2E">
            <w:pPr>
              <w:widowControl w:val="0"/>
              <w:spacing w:beforeLines="20" w:before="48" w:afterLines="20" w:after="48" w:line="276" w:lineRule="auto"/>
              <w:ind w:right="-1"/>
              <w:rPr>
                <w:sz w:val="28"/>
                <w:szCs w:val="28"/>
              </w:rPr>
            </w:pPr>
            <w:r w:rsidRPr="00520861">
              <w:rPr>
                <w:sz w:val="28"/>
                <w:szCs w:val="28"/>
              </w:rPr>
              <w:t>9</w:t>
            </w:r>
          </w:p>
        </w:tc>
        <w:tc>
          <w:tcPr>
            <w:tcW w:w="1701" w:type="dxa"/>
            <w:vMerge/>
            <w:tcBorders>
              <w:left w:val="single" w:sz="4" w:space="0" w:color="auto"/>
              <w:right w:val="single" w:sz="4" w:space="0" w:color="auto"/>
            </w:tcBorders>
          </w:tcPr>
          <w:p w14:paraId="0C7F9063"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14D2E56F"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7 місяців</w:t>
            </w:r>
          </w:p>
        </w:tc>
        <w:tc>
          <w:tcPr>
            <w:tcW w:w="1451" w:type="dxa"/>
          </w:tcPr>
          <w:p w14:paraId="79B88107"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222</w:t>
            </w:r>
          </w:p>
        </w:tc>
        <w:tc>
          <w:tcPr>
            <w:tcW w:w="1451" w:type="dxa"/>
          </w:tcPr>
          <w:p w14:paraId="363AE21B"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117</w:t>
            </w:r>
          </w:p>
        </w:tc>
        <w:tc>
          <w:tcPr>
            <w:tcW w:w="1451" w:type="dxa"/>
          </w:tcPr>
          <w:p w14:paraId="0C00E354"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189</w:t>
            </w:r>
          </w:p>
        </w:tc>
        <w:tc>
          <w:tcPr>
            <w:tcW w:w="1452" w:type="dxa"/>
          </w:tcPr>
          <w:p w14:paraId="191DC5DD"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128</w:t>
            </w:r>
          </w:p>
        </w:tc>
      </w:tr>
      <w:tr w:rsidR="002E3CE8" w:rsidRPr="00520861" w14:paraId="16DB8E83" w14:textId="77777777" w:rsidTr="00292D2E">
        <w:trPr>
          <w:trHeight w:val="205"/>
          <w:jc w:val="center"/>
        </w:trPr>
        <w:tc>
          <w:tcPr>
            <w:tcW w:w="562" w:type="dxa"/>
            <w:tcBorders>
              <w:left w:val="single" w:sz="4" w:space="0" w:color="auto"/>
              <w:right w:val="single" w:sz="4" w:space="0" w:color="auto"/>
            </w:tcBorders>
          </w:tcPr>
          <w:p w14:paraId="790F7D32" w14:textId="77777777" w:rsidR="002E3CE8" w:rsidRPr="00520861" w:rsidRDefault="002E3CE8" w:rsidP="00292D2E">
            <w:pPr>
              <w:widowControl w:val="0"/>
              <w:spacing w:beforeLines="20" w:before="48" w:afterLines="20" w:after="48" w:line="276" w:lineRule="auto"/>
              <w:ind w:right="-1"/>
              <w:rPr>
                <w:sz w:val="28"/>
                <w:szCs w:val="28"/>
              </w:rPr>
            </w:pPr>
            <w:r w:rsidRPr="00520861">
              <w:rPr>
                <w:sz w:val="28"/>
                <w:szCs w:val="28"/>
              </w:rPr>
              <w:t>10</w:t>
            </w:r>
          </w:p>
        </w:tc>
        <w:tc>
          <w:tcPr>
            <w:tcW w:w="1701" w:type="dxa"/>
            <w:vMerge/>
            <w:tcBorders>
              <w:left w:val="single" w:sz="4" w:space="0" w:color="auto"/>
              <w:right w:val="single" w:sz="4" w:space="0" w:color="auto"/>
            </w:tcBorders>
          </w:tcPr>
          <w:p w14:paraId="6242CDBD"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37DBBF20"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8 місяців</w:t>
            </w:r>
          </w:p>
        </w:tc>
        <w:tc>
          <w:tcPr>
            <w:tcW w:w="1451" w:type="dxa"/>
          </w:tcPr>
          <w:p w14:paraId="044004F2"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186</w:t>
            </w:r>
          </w:p>
        </w:tc>
        <w:tc>
          <w:tcPr>
            <w:tcW w:w="1451" w:type="dxa"/>
          </w:tcPr>
          <w:p w14:paraId="270A74FC"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109</w:t>
            </w:r>
          </w:p>
        </w:tc>
        <w:tc>
          <w:tcPr>
            <w:tcW w:w="1451" w:type="dxa"/>
          </w:tcPr>
          <w:p w14:paraId="57369C72"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161</w:t>
            </w:r>
          </w:p>
        </w:tc>
        <w:tc>
          <w:tcPr>
            <w:tcW w:w="1452" w:type="dxa"/>
          </w:tcPr>
          <w:p w14:paraId="651CA464"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102</w:t>
            </w:r>
          </w:p>
        </w:tc>
      </w:tr>
      <w:tr w:rsidR="002E3CE8" w:rsidRPr="00520861" w14:paraId="5066CBEE" w14:textId="77777777" w:rsidTr="00292D2E">
        <w:trPr>
          <w:trHeight w:val="205"/>
          <w:jc w:val="center"/>
        </w:trPr>
        <w:tc>
          <w:tcPr>
            <w:tcW w:w="562" w:type="dxa"/>
            <w:tcBorders>
              <w:left w:val="single" w:sz="4" w:space="0" w:color="auto"/>
              <w:right w:val="single" w:sz="4" w:space="0" w:color="auto"/>
            </w:tcBorders>
          </w:tcPr>
          <w:p w14:paraId="7FF6E691" w14:textId="77777777" w:rsidR="002E3CE8" w:rsidRPr="00520861" w:rsidRDefault="002E3CE8" w:rsidP="00292D2E">
            <w:pPr>
              <w:widowControl w:val="0"/>
              <w:spacing w:beforeLines="20" w:before="48" w:afterLines="20" w:after="48" w:line="276" w:lineRule="auto"/>
              <w:ind w:right="-1" w:firstLine="29"/>
              <w:rPr>
                <w:sz w:val="28"/>
                <w:szCs w:val="28"/>
              </w:rPr>
            </w:pPr>
            <w:r w:rsidRPr="00520861">
              <w:rPr>
                <w:sz w:val="28"/>
                <w:szCs w:val="28"/>
              </w:rPr>
              <w:t>11</w:t>
            </w:r>
          </w:p>
        </w:tc>
        <w:tc>
          <w:tcPr>
            <w:tcW w:w="1701" w:type="dxa"/>
            <w:vMerge/>
            <w:tcBorders>
              <w:left w:val="single" w:sz="4" w:space="0" w:color="auto"/>
              <w:right w:val="single" w:sz="4" w:space="0" w:color="auto"/>
            </w:tcBorders>
          </w:tcPr>
          <w:p w14:paraId="3DF8449C"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786CD8EE"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9 місяців</w:t>
            </w:r>
          </w:p>
        </w:tc>
        <w:tc>
          <w:tcPr>
            <w:tcW w:w="1451" w:type="dxa"/>
          </w:tcPr>
          <w:p w14:paraId="02CB0E83"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173</w:t>
            </w:r>
          </w:p>
        </w:tc>
        <w:tc>
          <w:tcPr>
            <w:tcW w:w="1451" w:type="dxa"/>
          </w:tcPr>
          <w:p w14:paraId="42F8685E"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91</w:t>
            </w:r>
          </w:p>
        </w:tc>
        <w:tc>
          <w:tcPr>
            <w:tcW w:w="1451" w:type="dxa"/>
          </w:tcPr>
          <w:p w14:paraId="4EC8C181"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149</w:t>
            </w:r>
          </w:p>
        </w:tc>
        <w:tc>
          <w:tcPr>
            <w:tcW w:w="1452" w:type="dxa"/>
          </w:tcPr>
          <w:p w14:paraId="06B45D2A"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106</w:t>
            </w:r>
          </w:p>
        </w:tc>
      </w:tr>
      <w:tr w:rsidR="002E3CE8" w:rsidRPr="00520861" w14:paraId="3FE34656" w14:textId="77777777" w:rsidTr="00292D2E">
        <w:trPr>
          <w:trHeight w:val="205"/>
          <w:jc w:val="center"/>
        </w:trPr>
        <w:tc>
          <w:tcPr>
            <w:tcW w:w="562" w:type="dxa"/>
            <w:tcBorders>
              <w:left w:val="single" w:sz="4" w:space="0" w:color="auto"/>
              <w:right w:val="single" w:sz="4" w:space="0" w:color="auto"/>
            </w:tcBorders>
          </w:tcPr>
          <w:p w14:paraId="12AA41BB" w14:textId="77777777" w:rsidR="002E3CE8" w:rsidRPr="00520861" w:rsidRDefault="002E3CE8" w:rsidP="00292D2E">
            <w:pPr>
              <w:widowControl w:val="0"/>
              <w:spacing w:beforeLines="20" w:before="48" w:afterLines="20" w:after="48" w:line="276" w:lineRule="auto"/>
              <w:ind w:right="-1" w:firstLine="29"/>
              <w:rPr>
                <w:sz w:val="28"/>
                <w:szCs w:val="28"/>
              </w:rPr>
            </w:pPr>
            <w:r w:rsidRPr="00520861">
              <w:rPr>
                <w:sz w:val="28"/>
                <w:szCs w:val="28"/>
              </w:rPr>
              <w:t>12</w:t>
            </w:r>
          </w:p>
        </w:tc>
        <w:tc>
          <w:tcPr>
            <w:tcW w:w="1701" w:type="dxa"/>
            <w:vMerge/>
            <w:tcBorders>
              <w:left w:val="single" w:sz="4" w:space="0" w:color="auto"/>
              <w:right w:val="single" w:sz="4" w:space="0" w:color="auto"/>
            </w:tcBorders>
          </w:tcPr>
          <w:p w14:paraId="28A8555D"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5CDF8DA0"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10 місяців</w:t>
            </w:r>
          </w:p>
        </w:tc>
        <w:tc>
          <w:tcPr>
            <w:tcW w:w="1451" w:type="dxa"/>
          </w:tcPr>
          <w:p w14:paraId="07491FDA"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143</w:t>
            </w:r>
          </w:p>
        </w:tc>
        <w:tc>
          <w:tcPr>
            <w:tcW w:w="1451" w:type="dxa"/>
          </w:tcPr>
          <w:p w14:paraId="1B5790D1"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73</w:t>
            </w:r>
          </w:p>
        </w:tc>
        <w:tc>
          <w:tcPr>
            <w:tcW w:w="1451" w:type="dxa"/>
          </w:tcPr>
          <w:p w14:paraId="095B5242"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133</w:t>
            </w:r>
          </w:p>
        </w:tc>
        <w:tc>
          <w:tcPr>
            <w:tcW w:w="1452" w:type="dxa"/>
          </w:tcPr>
          <w:p w14:paraId="0F6F6786"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96</w:t>
            </w:r>
          </w:p>
        </w:tc>
      </w:tr>
      <w:tr w:rsidR="002E3CE8" w:rsidRPr="00520861" w14:paraId="5031CD07" w14:textId="77777777" w:rsidTr="00292D2E">
        <w:trPr>
          <w:trHeight w:val="205"/>
          <w:jc w:val="center"/>
        </w:trPr>
        <w:tc>
          <w:tcPr>
            <w:tcW w:w="562" w:type="dxa"/>
            <w:tcBorders>
              <w:left w:val="single" w:sz="4" w:space="0" w:color="auto"/>
              <w:right w:val="single" w:sz="4" w:space="0" w:color="auto"/>
            </w:tcBorders>
          </w:tcPr>
          <w:p w14:paraId="0D0E3619" w14:textId="77777777" w:rsidR="002E3CE8" w:rsidRPr="00520861" w:rsidRDefault="002E3CE8" w:rsidP="00292D2E">
            <w:pPr>
              <w:widowControl w:val="0"/>
              <w:spacing w:beforeLines="20" w:before="48" w:afterLines="20" w:after="48" w:line="276" w:lineRule="auto"/>
              <w:ind w:right="-1" w:firstLine="29"/>
              <w:rPr>
                <w:sz w:val="28"/>
                <w:szCs w:val="28"/>
              </w:rPr>
            </w:pPr>
            <w:r w:rsidRPr="00520861">
              <w:rPr>
                <w:sz w:val="28"/>
                <w:szCs w:val="28"/>
              </w:rPr>
              <w:t>13</w:t>
            </w:r>
          </w:p>
        </w:tc>
        <w:tc>
          <w:tcPr>
            <w:tcW w:w="1701" w:type="dxa"/>
            <w:vMerge/>
            <w:tcBorders>
              <w:left w:val="single" w:sz="4" w:space="0" w:color="auto"/>
              <w:right w:val="single" w:sz="4" w:space="0" w:color="auto"/>
            </w:tcBorders>
          </w:tcPr>
          <w:p w14:paraId="753E2349"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6BDCAF4A"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11 місяців</w:t>
            </w:r>
          </w:p>
        </w:tc>
        <w:tc>
          <w:tcPr>
            <w:tcW w:w="1451" w:type="dxa"/>
          </w:tcPr>
          <w:p w14:paraId="0C3D88D2"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135</w:t>
            </w:r>
          </w:p>
        </w:tc>
        <w:tc>
          <w:tcPr>
            <w:tcW w:w="1451" w:type="dxa"/>
          </w:tcPr>
          <w:p w14:paraId="2FB69929"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61</w:t>
            </w:r>
          </w:p>
        </w:tc>
        <w:tc>
          <w:tcPr>
            <w:tcW w:w="1451" w:type="dxa"/>
          </w:tcPr>
          <w:p w14:paraId="0B1E8E91"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126</w:t>
            </w:r>
          </w:p>
        </w:tc>
        <w:tc>
          <w:tcPr>
            <w:tcW w:w="1452" w:type="dxa"/>
          </w:tcPr>
          <w:p w14:paraId="2E500DE5"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77</w:t>
            </w:r>
          </w:p>
        </w:tc>
      </w:tr>
      <w:tr w:rsidR="002E3CE8" w:rsidRPr="00520861" w14:paraId="6B7BA348" w14:textId="77777777" w:rsidTr="00292D2E">
        <w:trPr>
          <w:trHeight w:val="205"/>
          <w:jc w:val="center"/>
        </w:trPr>
        <w:tc>
          <w:tcPr>
            <w:tcW w:w="562" w:type="dxa"/>
            <w:tcBorders>
              <w:left w:val="single" w:sz="4" w:space="0" w:color="auto"/>
              <w:bottom w:val="single" w:sz="4" w:space="0" w:color="auto"/>
              <w:right w:val="single" w:sz="4" w:space="0" w:color="auto"/>
            </w:tcBorders>
          </w:tcPr>
          <w:p w14:paraId="21936049" w14:textId="77777777" w:rsidR="002E3CE8" w:rsidRPr="00520861" w:rsidRDefault="002E3CE8" w:rsidP="00292D2E">
            <w:pPr>
              <w:widowControl w:val="0"/>
              <w:spacing w:beforeLines="20" w:before="48" w:afterLines="20" w:after="48" w:line="276" w:lineRule="auto"/>
              <w:ind w:left="29" w:right="-1"/>
              <w:rPr>
                <w:sz w:val="28"/>
                <w:szCs w:val="28"/>
              </w:rPr>
            </w:pPr>
            <w:r w:rsidRPr="00520861">
              <w:rPr>
                <w:sz w:val="28"/>
                <w:szCs w:val="28"/>
              </w:rPr>
              <w:t>14</w:t>
            </w:r>
          </w:p>
        </w:tc>
        <w:tc>
          <w:tcPr>
            <w:tcW w:w="1701" w:type="dxa"/>
            <w:vMerge/>
            <w:tcBorders>
              <w:left w:val="single" w:sz="4" w:space="0" w:color="auto"/>
              <w:bottom w:val="single" w:sz="4" w:space="0" w:color="auto"/>
              <w:right w:val="single" w:sz="4" w:space="0" w:color="auto"/>
            </w:tcBorders>
          </w:tcPr>
          <w:p w14:paraId="2DE182B9" w14:textId="77777777" w:rsidR="002E3CE8" w:rsidRPr="00520861" w:rsidRDefault="002E3CE8" w:rsidP="00292D2E">
            <w:pPr>
              <w:widowControl w:val="0"/>
              <w:spacing w:beforeLines="20" w:before="48" w:afterLines="20" w:after="48" w:line="276" w:lineRule="auto"/>
              <w:ind w:right="-1" w:firstLine="567"/>
              <w:jc w:val="center"/>
              <w:rPr>
                <w:sz w:val="28"/>
                <w:szCs w:val="28"/>
              </w:rPr>
            </w:pPr>
          </w:p>
        </w:tc>
        <w:tc>
          <w:tcPr>
            <w:tcW w:w="1843" w:type="dxa"/>
          </w:tcPr>
          <w:p w14:paraId="3F60C182" w14:textId="77777777" w:rsidR="002E3CE8" w:rsidRPr="00520861" w:rsidRDefault="002E3CE8" w:rsidP="00292D2E">
            <w:pPr>
              <w:widowControl w:val="0"/>
              <w:spacing w:beforeLines="20" w:before="48" w:afterLines="20" w:after="48" w:line="276" w:lineRule="auto"/>
              <w:ind w:right="-1"/>
              <w:jc w:val="center"/>
              <w:rPr>
                <w:sz w:val="28"/>
                <w:szCs w:val="28"/>
              </w:rPr>
            </w:pPr>
            <w:r w:rsidRPr="00520861">
              <w:rPr>
                <w:rFonts w:eastAsiaTheme="minorHAnsi"/>
                <w:sz w:val="28"/>
                <w:szCs w:val="28"/>
                <w:lang w:eastAsia="en-US"/>
              </w:rPr>
              <w:t>12 місяців</w:t>
            </w:r>
          </w:p>
        </w:tc>
        <w:tc>
          <w:tcPr>
            <w:tcW w:w="1451" w:type="dxa"/>
          </w:tcPr>
          <w:p w14:paraId="7DEC6AF2"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253</w:t>
            </w:r>
          </w:p>
        </w:tc>
        <w:tc>
          <w:tcPr>
            <w:tcW w:w="1451" w:type="dxa"/>
          </w:tcPr>
          <w:p w14:paraId="71CFB422"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125</w:t>
            </w:r>
          </w:p>
        </w:tc>
        <w:tc>
          <w:tcPr>
            <w:tcW w:w="1451" w:type="dxa"/>
          </w:tcPr>
          <w:p w14:paraId="483E5DAF"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321</w:t>
            </w:r>
          </w:p>
        </w:tc>
        <w:tc>
          <w:tcPr>
            <w:tcW w:w="1452" w:type="dxa"/>
          </w:tcPr>
          <w:p w14:paraId="1B9CDA9E" w14:textId="77777777" w:rsidR="002E3CE8" w:rsidRPr="00520861" w:rsidRDefault="002E3CE8" w:rsidP="00292D2E">
            <w:pPr>
              <w:widowControl w:val="0"/>
              <w:spacing w:beforeLines="20" w:before="48" w:afterLines="20" w:after="48" w:line="276" w:lineRule="auto"/>
              <w:ind w:right="-1"/>
              <w:jc w:val="center"/>
              <w:rPr>
                <w:sz w:val="28"/>
                <w:szCs w:val="28"/>
                <w:lang w:eastAsia="en-US"/>
              </w:rPr>
            </w:pPr>
            <w:r w:rsidRPr="00520861">
              <w:rPr>
                <w:rFonts w:eastAsiaTheme="minorHAnsi"/>
                <w:sz w:val="28"/>
                <w:szCs w:val="28"/>
                <w:lang w:eastAsia="en-US"/>
              </w:rPr>
              <w:t>237</w:t>
            </w:r>
          </w:p>
        </w:tc>
      </w:tr>
      <w:tr w:rsidR="002E3CE8" w:rsidRPr="00520861" w14:paraId="14FB66D4" w14:textId="77777777" w:rsidTr="00292D2E">
        <w:trPr>
          <w:jc w:val="center"/>
        </w:trPr>
        <w:tc>
          <w:tcPr>
            <w:tcW w:w="562" w:type="dxa"/>
            <w:tcBorders>
              <w:top w:val="single" w:sz="4" w:space="0" w:color="auto"/>
              <w:left w:val="single" w:sz="4" w:space="0" w:color="auto"/>
              <w:bottom w:val="single" w:sz="4" w:space="0" w:color="auto"/>
              <w:right w:val="single" w:sz="4" w:space="0" w:color="auto"/>
            </w:tcBorders>
          </w:tcPr>
          <w:p w14:paraId="0133F0BB" w14:textId="77777777" w:rsidR="002E3CE8" w:rsidRPr="00520861" w:rsidRDefault="002E3CE8" w:rsidP="00292D2E">
            <w:pPr>
              <w:widowControl w:val="0"/>
              <w:spacing w:line="360" w:lineRule="auto"/>
              <w:ind w:right="-1"/>
              <w:rPr>
                <w:sz w:val="28"/>
                <w:szCs w:val="28"/>
              </w:rPr>
            </w:pPr>
            <w:r w:rsidRPr="00520861">
              <w:rPr>
                <w:sz w:val="28"/>
                <w:szCs w:val="28"/>
              </w:rPr>
              <w:t>15</w:t>
            </w:r>
          </w:p>
        </w:tc>
        <w:tc>
          <w:tcPr>
            <w:tcW w:w="3544" w:type="dxa"/>
            <w:gridSpan w:val="2"/>
            <w:tcBorders>
              <w:top w:val="single" w:sz="4" w:space="0" w:color="auto"/>
              <w:left w:val="single" w:sz="4" w:space="0" w:color="auto"/>
              <w:bottom w:val="single" w:sz="4" w:space="0" w:color="auto"/>
              <w:right w:val="single" w:sz="4" w:space="0" w:color="auto"/>
            </w:tcBorders>
            <w:hideMark/>
          </w:tcPr>
          <w:p w14:paraId="40A6D4E1" w14:textId="77777777" w:rsidR="002E3CE8" w:rsidRPr="00520861" w:rsidRDefault="002E3CE8" w:rsidP="00292D2E">
            <w:pPr>
              <w:widowControl w:val="0"/>
              <w:spacing w:line="360" w:lineRule="auto"/>
              <w:ind w:right="-1"/>
              <w:rPr>
                <w:sz w:val="28"/>
                <w:szCs w:val="28"/>
                <w:lang w:eastAsia="en-US"/>
              </w:rPr>
            </w:pPr>
            <w:r w:rsidRPr="00520861">
              <w:rPr>
                <w:sz w:val="28"/>
                <w:szCs w:val="28"/>
              </w:rPr>
              <w:t xml:space="preserve">Вік, у якому дитина ще не має зубів, </w:t>
            </w:r>
            <w:r w:rsidRPr="00520861">
              <w:rPr>
                <w:rFonts w:eastAsiaTheme="minorHAnsi"/>
                <w:sz w:val="28"/>
                <w:szCs w:val="28"/>
                <w:lang w:eastAsia="en-US"/>
              </w:rPr>
              <w:t>місяці</w:t>
            </w:r>
          </w:p>
        </w:tc>
        <w:tc>
          <w:tcPr>
            <w:tcW w:w="1451" w:type="dxa"/>
            <w:tcBorders>
              <w:top w:val="single" w:sz="4" w:space="0" w:color="auto"/>
              <w:left w:val="single" w:sz="4" w:space="0" w:color="auto"/>
              <w:bottom w:val="single" w:sz="4" w:space="0" w:color="auto"/>
              <w:right w:val="single" w:sz="4" w:space="0" w:color="auto"/>
            </w:tcBorders>
            <w:hideMark/>
          </w:tcPr>
          <w:p w14:paraId="5B419640" w14:textId="77777777" w:rsidR="002E3CE8" w:rsidRPr="00520861" w:rsidRDefault="002E3CE8" w:rsidP="00292D2E">
            <w:pPr>
              <w:widowControl w:val="0"/>
              <w:spacing w:line="360" w:lineRule="auto"/>
              <w:ind w:right="-1" w:firstLine="29"/>
              <w:jc w:val="center"/>
              <w:rPr>
                <w:sz w:val="28"/>
                <w:szCs w:val="28"/>
                <w:lang w:eastAsia="en-US"/>
              </w:rPr>
            </w:pPr>
            <w:r w:rsidRPr="00520861">
              <w:rPr>
                <w:sz w:val="28"/>
                <w:szCs w:val="28"/>
                <w:lang w:eastAsia="en-US"/>
              </w:rPr>
              <w:t>5,18±</w:t>
            </w:r>
          </w:p>
          <w:p w14:paraId="7E2E0ABC" w14:textId="77777777" w:rsidR="002E3CE8" w:rsidRPr="00520861" w:rsidRDefault="002E3CE8" w:rsidP="00292D2E">
            <w:pPr>
              <w:widowControl w:val="0"/>
              <w:spacing w:line="360" w:lineRule="auto"/>
              <w:ind w:right="-1" w:firstLine="29"/>
              <w:jc w:val="center"/>
              <w:rPr>
                <w:sz w:val="28"/>
                <w:szCs w:val="28"/>
                <w:lang w:eastAsia="en-US"/>
              </w:rPr>
            </w:pPr>
            <w:r w:rsidRPr="00520861">
              <w:rPr>
                <w:sz w:val="28"/>
                <w:szCs w:val="28"/>
                <w:lang w:eastAsia="en-US"/>
              </w:rPr>
              <w:t>0,22</w:t>
            </w:r>
          </w:p>
        </w:tc>
        <w:tc>
          <w:tcPr>
            <w:tcW w:w="1451" w:type="dxa"/>
            <w:tcBorders>
              <w:top w:val="single" w:sz="4" w:space="0" w:color="auto"/>
              <w:left w:val="single" w:sz="4" w:space="0" w:color="auto"/>
              <w:bottom w:val="single" w:sz="4" w:space="0" w:color="auto"/>
              <w:right w:val="single" w:sz="4" w:space="0" w:color="auto"/>
            </w:tcBorders>
            <w:hideMark/>
          </w:tcPr>
          <w:p w14:paraId="475EC74E"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5,22±</w:t>
            </w:r>
          </w:p>
          <w:p w14:paraId="1A10E2AA"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0,35</w:t>
            </w:r>
          </w:p>
        </w:tc>
        <w:tc>
          <w:tcPr>
            <w:tcW w:w="1451" w:type="dxa"/>
            <w:tcBorders>
              <w:top w:val="single" w:sz="4" w:space="0" w:color="auto"/>
              <w:left w:val="single" w:sz="4" w:space="0" w:color="auto"/>
              <w:bottom w:val="single" w:sz="4" w:space="0" w:color="auto"/>
              <w:right w:val="single" w:sz="4" w:space="0" w:color="auto"/>
            </w:tcBorders>
            <w:hideMark/>
          </w:tcPr>
          <w:p w14:paraId="14D459BE"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5,07±</w:t>
            </w:r>
          </w:p>
          <w:p w14:paraId="31839A87"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0,20</w:t>
            </w:r>
          </w:p>
        </w:tc>
        <w:tc>
          <w:tcPr>
            <w:tcW w:w="1452" w:type="dxa"/>
            <w:tcBorders>
              <w:top w:val="single" w:sz="4" w:space="0" w:color="auto"/>
              <w:left w:val="single" w:sz="4" w:space="0" w:color="auto"/>
              <w:bottom w:val="single" w:sz="4" w:space="0" w:color="auto"/>
              <w:right w:val="single" w:sz="4" w:space="0" w:color="auto"/>
            </w:tcBorders>
            <w:hideMark/>
          </w:tcPr>
          <w:p w14:paraId="20CBF1FB"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5,10±</w:t>
            </w:r>
          </w:p>
          <w:p w14:paraId="4B0EE1DB"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0,27</w:t>
            </w:r>
          </w:p>
        </w:tc>
      </w:tr>
      <w:tr w:rsidR="002E3CE8" w:rsidRPr="00520861" w14:paraId="3F53CB1F" w14:textId="77777777" w:rsidTr="00292D2E">
        <w:trPr>
          <w:jc w:val="center"/>
        </w:trPr>
        <w:tc>
          <w:tcPr>
            <w:tcW w:w="562" w:type="dxa"/>
            <w:tcBorders>
              <w:top w:val="single" w:sz="4" w:space="0" w:color="auto"/>
              <w:left w:val="single" w:sz="4" w:space="0" w:color="auto"/>
              <w:bottom w:val="single" w:sz="4" w:space="0" w:color="auto"/>
              <w:right w:val="single" w:sz="4" w:space="0" w:color="auto"/>
            </w:tcBorders>
          </w:tcPr>
          <w:p w14:paraId="0BA48572" w14:textId="77777777" w:rsidR="002E3CE8" w:rsidRPr="00520861" w:rsidRDefault="002E3CE8" w:rsidP="00292D2E">
            <w:pPr>
              <w:widowControl w:val="0"/>
              <w:spacing w:line="360" w:lineRule="auto"/>
              <w:ind w:right="-1" w:firstLine="5"/>
              <w:rPr>
                <w:sz w:val="28"/>
                <w:szCs w:val="28"/>
              </w:rPr>
            </w:pPr>
            <w:r w:rsidRPr="00520861">
              <w:rPr>
                <w:sz w:val="28"/>
                <w:szCs w:val="28"/>
              </w:rPr>
              <w:t>16</w:t>
            </w:r>
          </w:p>
        </w:tc>
        <w:tc>
          <w:tcPr>
            <w:tcW w:w="3544" w:type="dxa"/>
            <w:gridSpan w:val="2"/>
            <w:tcBorders>
              <w:top w:val="single" w:sz="4" w:space="0" w:color="auto"/>
              <w:left w:val="single" w:sz="4" w:space="0" w:color="auto"/>
              <w:bottom w:val="single" w:sz="4" w:space="0" w:color="auto"/>
              <w:right w:val="single" w:sz="4" w:space="0" w:color="auto"/>
            </w:tcBorders>
            <w:hideMark/>
          </w:tcPr>
          <w:p w14:paraId="41A02342" w14:textId="77777777" w:rsidR="002E3CE8" w:rsidRPr="00520861" w:rsidRDefault="002E3CE8" w:rsidP="00292D2E">
            <w:pPr>
              <w:widowControl w:val="0"/>
              <w:spacing w:line="360" w:lineRule="auto"/>
              <w:ind w:right="-1" w:firstLine="5"/>
              <w:rPr>
                <w:sz w:val="28"/>
                <w:szCs w:val="28"/>
              </w:rPr>
            </w:pPr>
            <w:r w:rsidRPr="00520861">
              <w:rPr>
                <w:sz w:val="28"/>
                <w:szCs w:val="28"/>
              </w:rPr>
              <w:t xml:space="preserve">Швидкість росту, </w:t>
            </w:r>
          </w:p>
          <w:p w14:paraId="37756156" w14:textId="77777777" w:rsidR="002E3CE8" w:rsidRPr="00520861" w:rsidRDefault="002E3CE8" w:rsidP="00292D2E">
            <w:pPr>
              <w:widowControl w:val="0"/>
              <w:spacing w:line="360" w:lineRule="auto"/>
              <w:ind w:right="-1" w:firstLine="5"/>
              <w:rPr>
                <w:sz w:val="28"/>
                <w:szCs w:val="28"/>
                <w:lang w:eastAsia="en-US"/>
              </w:rPr>
            </w:pPr>
            <w:r w:rsidRPr="00520861">
              <w:rPr>
                <w:sz w:val="28"/>
                <w:szCs w:val="28"/>
              </w:rPr>
              <w:t>зубів/</w:t>
            </w:r>
            <w:r w:rsidRPr="00520861">
              <w:rPr>
                <w:rFonts w:eastAsiaTheme="minorHAnsi"/>
                <w:sz w:val="28"/>
                <w:szCs w:val="28"/>
                <w:lang w:eastAsia="en-US"/>
              </w:rPr>
              <w:t xml:space="preserve"> місяць</w:t>
            </w:r>
          </w:p>
        </w:tc>
        <w:tc>
          <w:tcPr>
            <w:tcW w:w="1451" w:type="dxa"/>
            <w:tcBorders>
              <w:top w:val="single" w:sz="4" w:space="0" w:color="auto"/>
              <w:left w:val="single" w:sz="4" w:space="0" w:color="auto"/>
              <w:bottom w:val="single" w:sz="4" w:space="0" w:color="auto"/>
              <w:right w:val="single" w:sz="4" w:space="0" w:color="auto"/>
            </w:tcBorders>
            <w:hideMark/>
          </w:tcPr>
          <w:p w14:paraId="2D23E939" w14:textId="77777777" w:rsidR="002E3CE8" w:rsidRPr="00520861" w:rsidRDefault="002E3CE8" w:rsidP="00292D2E">
            <w:pPr>
              <w:widowControl w:val="0"/>
              <w:spacing w:line="360" w:lineRule="auto"/>
              <w:ind w:right="-84" w:hanging="95"/>
              <w:jc w:val="center"/>
              <w:rPr>
                <w:sz w:val="28"/>
                <w:szCs w:val="28"/>
                <w:lang w:eastAsia="en-US"/>
              </w:rPr>
            </w:pPr>
            <w:r w:rsidRPr="00520861">
              <w:rPr>
                <w:sz w:val="28"/>
                <w:szCs w:val="28"/>
                <w:lang w:eastAsia="en-US"/>
              </w:rPr>
              <w:t>0,933±</w:t>
            </w:r>
          </w:p>
          <w:p w14:paraId="55B70666" w14:textId="77777777" w:rsidR="002E3CE8" w:rsidRPr="00520861" w:rsidRDefault="002E3CE8" w:rsidP="00292D2E">
            <w:pPr>
              <w:widowControl w:val="0"/>
              <w:spacing w:line="360" w:lineRule="auto"/>
              <w:ind w:right="-84" w:hanging="95"/>
              <w:jc w:val="center"/>
              <w:rPr>
                <w:sz w:val="28"/>
                <w:szCs w:val="28"/>
                <w:lang w:eastAsia="en-US"/>
              </w:rPr>
            </w:pPr>
            <w:r w:rsidRPr="00520861">
              <w:rPr>
                <w:sz w:val="28"/>
                <w:szCs w:val="28"/>
                <w:lang w:eastAsia="en-US"/>
              </w:rPr>
              <w:t>0,06*</w:t>
            </w:r>
            <w:r w:rsidRPr="00520861">
              <w:rPr>
                <w:sz w:val="28"/>
                <w:szCs w:val="28"/>
                <w:shd w:val="clear" w:color="auto" w:fill="FBFBF3"/>
                <w:lang w:eastAsia="en-US"/>
              </w:rPr>
              <w:t>†</w:t>
            </w:r>
          </w:p>
        </w:tc>
        <w:tc>
          <w:tcPr>
            <w:tcW w:w="1451" w:type="dxa"/>
            <w:tcBorders>
              <w:top w:val="single" w:sz="4" w:space="0" w:color="auto"/>
              <w:left w:val="single" w:sz="4" w:space="0" w:color="auto"/>
              <w:bottom w:val="single" w:sz="4" w:space="0" w:color="auto"/>
              <w:right w:val="single" w:sz="4" w:space="0" w:color="auto"/>
            </w:tcBorders>
            <w:hideMark/>
          </w:tcPr>
          <w:p w14:paraId="697D56F6" w14:textId="77777777" w:rsidR="002E3CE8" w:rsidRPr="00520861" w:rsidRDefault="002E3CE8" w:rsidP="00292D2E">
            <w:pPr>
              <w:widowControl w:val="0"/>
              <w:spacing w:line="360" w:lineRule="auto"/>
              <w:ind w:left="-128" w:right="-195" w:hanging="139"/>
              <w:jc w:val="center"/>
              <w:rPr>
                <w:sz w:val="28"/>
                <w:szCs w:val="28"/>
                <w:lang w:eastAsia="en-US"/>
              </w:rPr>
            </w:pPr>
            <w:r w:rsidRPr="00520861">
              <w:rPr>
                <w:sz w:val="28"/>
                <w:szCs w:val="28"/>
                <w:lang w:eastAsia="en-US"/>
              </w:rPr>
              <w:t>0,829±</w:t>
            </w:r>
          </w:p>
          <w:p w14:paraId="087E0864" w14:textId="77777777" w:rsidR="002E3CE8" w:rsidRPr="00520861" w:rsidRDefault="002E3CE8" w:rsidP="00292D2E">
            <w:pPr>
              <w:widowControl w:val="0"/>
              <w:spacing w:line="360" w:lineRule="auto"/>
              <w:ind w:left="-128" w:right="-195" w:hanging="139"/>
              <w:jc w:val="center"/>
              <w:rPr>
                <w:sz w:val="28"/>
                <w:szCs w:val="28"/>
                <w:lang w:eastAsia="en-US"/>
              </w:rPr>
            </w:pPr>
            <w:r w:rsidRPr="00520861">
              <w:rPr>
                <w:sz w:val="28"/>
                <w:szCs w:val="28"/>
                <w:lang w:eastAsia="en-US"/>
              </w:rPr>
              <w:t>0,02*</w:t>
            </w:r>
            <w:r w:rsidRPr="00520861">
              <w:rPr>
                <w:sz w:val="28"/>
                <w:szCs w:val="28"/>
                <w:shd w:val="clear" w:color="auto" w:fill="FBFBF3"/>
                <w:lang w:eastAsia="en-US"/>
              </w:rPr>
              <w:t>†</w:t>
            </w:r>
          </w:p>
        </w:tc>
        <w:tc>
          <w:tcPr>
            <w:tcW w:w="1451" w:type="dxa"/>
            <w:tcBorders>
              <w:top w:val="single" w:sz="4" w:space="0" w:color="auto"/>
              <w:left w:val="single" w:sz="4" w:space="0" w:color="auto"/>
              <w:bottom w:val="single" w:sz="4" w:space="0" w:color="auto"/>
              <w:right w:val="single" w:sz="4" w:space="0" w:color="auto"/>
            </w:tcBorders>
            <w:hideMark/>
          </w:tcPr>
          <w:p w14:paraId="6614A2D1" w14:textId="77777777" w:rsidR="002E3CE8" w:rsidRPr="00520861" w:rsidRDefault="002E3CE8" w:rsidP="00292D2E">
            <w:pPr>
              <w:widowControl w:val="0"/>
              <w:spacing w:line="360" w:lineRule="auto"/>
              <w:ind w:left="-164" w:right="-1"/>
              <w:jc w:val="center"/>
              <w:rPr>
                <w:sz w:val="28"/>
                <w:szCs w:val="28"/>
                <w:lang w:eastAsia="en-US"/>
              </w:rPr>
            </w:pPr>
            <w:r w:rsidRPr="00520861">
              <w:rPr>
                <w:sz w:val="28"/>
                <w:szCs w:val="28"/>
                <w:lang w:eastAsia="en-US"/>
              </w:rPr>
              <w:t>0,963±</w:t>
            </w:r>
          </w:p>
          <w:p w14:paraId="40B7187F" w14:textId="77777777" w:rsidR="002E3CE8" w:rsidRPr="00520861" w:rsidRDefault="002E3CE8" w:rsidP="00292D2E">
            <w:pPr>
              <w:widowControl w:val="0"/>
              <w:spacing w:line="360" w:lineRule="auto"/>
              <w:ind w:left="-164" w:right="-1"/>
              <w:jc w:val="center"/>
              <w:rPr>
                <w:sz w:val="28"/>
                <w:szCs w:val="28"/>
                <w:lang w:eastAsia="en-US"/>
              </w:rPr>
            </w:pPr>
            <w:r w:rsidRPr="00520861">
              <w:rPr>
                <w:sz w:val="28"/>
                <w:szCs w:val="28"/>
                <w:lang w:eastAsia="en-US"/>
              </w:rPr>
              <w:t>0,014</w:t>
            </w:r>
            <w:r w:rsidRPr="00520861">
              <w:rPr>
                <w:sz w:val="28"/>
                <w:szCs w:val="28"/>
                <w:shd w:val="clear" w:color="auto" w:fill="FBFBF3"/>
                <w:lang w:eastAsia="en-US"/>
              </w:rPr>
              <w:t>†</w:t>
            </w:r>
          </w:p>
        </w:tc>
        <w:tc>
          <w:tcPr>
            <w:tcW w:w="1452" w:type="dxa"/>
            <w:tcBorders>
              <w:top w:val="single" w:sz="4" w:space="0" w:color="auto"/>
              <w:left w:val="single" w:sz="4" w:space="0" w:color="auto"/>
              <w:bottom w:val="single" w:sz="4" w:space="0" w:color="auto"/>
              <w:right w:val="single" w:sz="4" w:space="0" w:color="auto"/>
            </w:tcBorders>
            <w:hideMark/>
          </w:tcPr>
          <w:p w14:paraId="4B33A18B" w14:textId="77777777" w:rsidR="002E3CE8" w:rsidRPr="00520861" w:rsidRDefault="002E3CE8" w:rsidP="00292D2E">
            <w:pPr>
              <w:widowControl w:val="0"/>
              <w:spacing w:line="360" w:lineRule="auto"/>
              <w:ind w:right="-1" w:hanging="58"/>
              <w:jc w:val="center"/>
              <w:rPr>
                <w:sz w:val="28"/>
                <w:szCs w:val="28"/>
                <w:lang w:eastAsia="en-US"/>
              </w:rPr>
            </w:pPr>
            <w:r w:rsidRPr="00520861">
              <w:rPr>
                <w:sz w:val="28"/>
                <w:szCs w:val="28"/>
                <w:lang w:eastAsia="en-US"/>
              </w:rPr>
              <w:t>0,911±</w:t>
            </w:r>
          </w:p>
          <w:p w14:paraId="16C9306F" w14:textId="77777777" w:rsidR="002E3CE8" w:rsidRPr="00520861" w:rsidRDefault="002E3CE8" w:rsidP="00292D2E">
            <w:pPr>
              <w:widowControl w:val="0"/>
              <w:spacing w:line="360" w:lineRule="auto"/>
              <w:ind w:right="-1" w:hanging="58"/>
              <w:jc w:val="center"/>
              <w:rPr>
                <w:sz w:val="28"/>
                <w:szCs w:val="28"/>
                <w:lang w:eastAsia="en-US"/>
              </w:rPr>
            </w:pPr>
            <w:r w:rsidRPr="00520861">
              <w:rPr>
                <w:sz w:val="28"/>
                <w:szCs w:val="28"/>
                <w:lang w:eastAsia="en-US"/>
              </w:rPr>
              <w:t>0,018</w:t>
            </w:r>
            <w:r w:rsidRPr="00520861">
              <w:rPr>
                <w:sz w:val="28"/>
                <w:szCs w:val="28"/>
                <w:shd w:val="clear" w:color="auto" w:fill="FBFBF3"/>
                <w:lang w:eastAsia="en-US"/>
              </w:rPr>
              <w:t>†</w:t>
            </w:r>
          </w:p>
        </w:tc>
      </w:tr>
      <w:tr w:rsidR="002E3CE8" w:rsidRPr="00520861" w14:paraId="7671F249" w14:textId="77777777" w:rsidTr="00292D2E">
        <w:trPr>
          <w:jc w:val="center"/>
        </w:trPr>
        <w:tc>
          <w:tcPr>
            <w:tcW w:w="562" w:type="dxa"/>
            <w:tcBorders>
              <w:top w:val="single" w:sz="4" w:space="0" w:color="auto"/>
              <w:left w:val="single" w:sz="4" w:space="0" w:color="auto"/>
              <w:bottom w:val="single" w:sz="4" w:space="0" w:color="auto"/>
              <w:right w:val="single" w:sz="4" w:space="0" w:color="auto"/>
            </w:tcBorders>
          </w:tcPr>
          <w:p w14:paraId="0CA431F7" w14:textId="77777777" w:rsidR="002E3CE8" w:rsidRPr="00520861" w:rsidRDefault="002E3CE8" w:rsidP="00292D2E">
            <w:pPr>
              <w:widowControl w:val="0"/>
              <w:spacing w:line="360" w:lineRule="auto"/>
              <w:ind w:right="-1" w:firstLine="5"/>
              <w:rPr>
                <w:sz w:val="28"/>
                <w:szCs w:val="28"/>
              </w:rPr>
            </w:pPr>
            <w:r w:rsidRPr="00520861">
              <w:rPr>
                <w:sz w:val="28"/>
                <w:szCs w:val="28"/>
              </w:rPr>
              <w:t>17</w:t>
            </w:r>
          </w:p>
        </w:tc>
        <w:tc>
          <w:tcPr>
            <w:tcW w:w="3544" w:type="dxa"/>
            <w:gridSpan w:val="2"/>
            <w:tcBorders>
              <w:top w:val="single" w:sz="4" w:space="0" w:color="auto"/>
              <w:left w:val="single" w:sz="4" w:space="0" w:color="auto"/>
              <w:bottom w:val="single" w:sz="4" w:space="0" w:color="auto"/>
              <w:right w:val="single" w:sz="4" w:space="0" w:color="auto"/>
            </w:tcBorders>
            <w:hideMark/>
          </w:tcPr>
          <w:p w14:paraId="121D9212" w14:textId="77777777" w:rsidR="002E3CE8" w:rsidRPr="00520861" w:rsidRDefault="002E3CE8" w:rsidP="00292D2E">
            <w:pPr>
              <w:widowControl w:val="0"/>
              <w:spacing w:line="360" w:lineRule="auto"/>
              <w:ind w:right="-1" w:firstLine="5"/>
              <w:rPr>
                <w:sz w:val="28"/>
                <w:szCs w:val="28"/>
                <w:lang w:eastAsia="en-US"/>
              </w:rPr>
            </w:pPr>
            <w:r w:rsidRPr="00520861">
              <w:rPr>
                <w:sz w:val="28"/>
                <w:szCs w:val="28"/>
              </w:rPr>
              <w:t>Вік, у якому дитина має один зуб, місяці</w:t>
            </w:r>
          </w:p>
        </w:tc>
        <w:tc>
          <w:tcPr>
            <w:tcW w:w="1451" w:type="dxa"/>
            <w:tcBorders>
              <w:top w:val="single" w:sz="4" w:space="0" w:color="auto"/>
              <w:left w:val="single" w:sz="4" w:space="0" w:color="auto"/>
              <w:bottom w:val="single" w:sz="4" w:space="0" w:color="auto"/>
              <w:right w:val="single" w:sz="4" w:space="0" w:color="auto"/>
            </w:tcBorders>
            <w:hideMark/>
          </w:tcPr>
          <w:p w14:paraId="13797F01"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6,25±</w:t>
            </w:r>
          </w:p>
          <w:p w14:paraId="370A0143"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0,24</w:t>
            </w:r>
          </w:p>
        </w:tc>
        <w:tc>
          <w:tcPr>
            <w:tcW w:w="1451" w:type="dxa"/>
            <w:tcBorders>
              <w:top w:val="single" w:sz="4" w:space="0" w:color="auto"/>
              <w:left w:val="single" w:sz="4" w:space="0" w:color="auto"/>
              <w:bottom w:val="single" w:sz="4" w:space="0" w:color="auto"/>
              <w:right w:val="single" w:sz="4" w:space="0" w:color="auto"/>
            </w:tcBorders>
            <w:hideMark/>
          </w:tcPr>
          <w:p w14:paraId="15DF2E26"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6,42±</w:t>
            </w:r>
          </w:p>
          <w:p w14:paraId="2DFA343C"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0,38</w:t>
            </w:r>
          </w:p>
        </w:tc>
        <w:tc>
          <w:tcPr>
            <w:tcW w:w="1451" w:type="dxa"/>
            <w:tcBorders>
              <w:top w:val="single" w:sz="4" w:space="0" w:color="auto"/>
              <w:left w:val="single" w:sz="4" w:space="0" w:color="auto"/>
              <w:bottom w:val="single" w:sz="4" w:space="0" w:color="auto"/>
              <w:right w:val="single" w:sz="4" w:space="0" w:color="auto"/>
            </w:tcBorders>
            <w:hideMark/>
          </w:tcPr>
          <w:p w14:paraId="72B29FC3"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6,11±</w:t>
            </w:r>
          </w:p>
          <w:p w14:paraId="49A7DDFF"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0,22</w:t>
            </w:r>
          </w:p>
        </w:tc>
        <w:tc>
          <w:tcPr>
            <w:tcW w:w="1452" w:type="dxa"/>
            <w:tcBorders>
              <w:top w:val="single" w:sz="4" w:space="0" w:color="auto"/>
              <w:left w:val="single" w:sz="4" w:space="0" w:color="auto"/>
              <w:bottom w:val="single" w:sz="4" w:space="0" w:color="auto"/>
              <w:right w:val="single" w:sz="4" w:space="0" w:color="auto"/>
            </w:tcBorders>
            <w:hideMark/>
          </w:tcPr>
          <w:p w14:paraId="47FC57AD"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6,20±</w:t>
            </w:r>
          </w:p>
          <w:p w14:paraId="36BC7219"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0,29</w:t>
            </w:r>
          </w:p>
        </w:tc>
      </w:tr>
      <w:tr w:rsidR="002E3CE8" w:rsidRPr="00520861" w14:paraId="7BF1FF19" w14:textId="77777777" w:rsidTr="00292D2E">
        <w:trPr>
          <w:jc w:val="center"/>
        </w:trPr>
        <w:tc>
          <w:tcPr>
            <w:tcW w:w="562" w:type="dxa"/>
            <w:tcBorders>
              <w:top w:val="single" w:sz="4" w:space="0" w:color="auto"/>
              <w:left w:val="single" w:sz="4" w:space="0" w:color="auto"/>
              <w:bottom w:val="single" w:sz="4" w:space="0" w:color="auto"/>
              <w:right w:val="single" w:sz="4" w:space="0" w:color="auto"/>
            </w:tcBorders>
          </w:tcPr>
          <w:p w14:paraId="0C68C61F" w14:textId="77777777" w:rsidR="002E3CE8" w:rsidRPr="00520861" w:rsidRDefault="002E3CE8" w:rsidP="00292D2E">
            <w:pPr>
              <w:widowControl w:val="0"/>
              <w:spacing w:line="360" w:lineRule="auto"/>
              <w:ind w:right="-1" w:firstLine="5"/>
              <w:rPr>
                <w:sz w:val="28"/>
                <w:szCs w:val="28"/>
              </w:rPr>
            </w:pPr>
            <w:r w:rsidRPr="00520861">
              <w:rPr>
                <w:sz w:val="28"/>
                <w:szCs w:val="28"/>
              </w:rPr>
              <w:t>18</w:t>
            </w:r>
          </w:p>
        </w:tc>
        <w:tc>
          <w:tcPr>
            <w:tcW w:w="3544" w:type="dxa"/>
            <w:gridSpan w:val="2"/>
            <w:tcBorders>
              <w:top w:val="single" w:sz="4" w:space="0" w:color="auto"/>
              <w:left w:val="single" w:sz="4" w:space="0" w:color="auto"/>
              <w:bottom w:val="single" w:sz="4" w:space="0" w:color="auto"/>
              <w:right w:val="single" w:sz="4" w:space="0" w:color="auto"/>
            </w:tcBorders>
            <w:hideMark/>
          </w:tcPr>
          <w:p w14:paraId="2A854072" w14:textId="77777777" w:rsidR="002E3CE8" w:rsidRPr="00520861" w:rsidRDefault="002E3CE8" w:rsidP="00292D2E">
            <w:pPr>
              <w:widowControl w:val="0"/>
              <w:spacing w:line="360" w:lineRule="auto"/>
              <w:ind w:right="-1" w:firstLine="5"/>
              <w:rPr>
                <w:sz w:val="28"/>
                <w:szCs w:val="28"/>
                <w:lang w:eastAsia="en-US"/>
              </w:rPr>
            </w:pPr>
            <w:r w:rsidRPr="00520861">
              <w:rPr>
                <w:sz w:val="28"/>
                <w:szCs w:val="28"/>
              </w:rPr>
              <w:t>Кількість зубів у віці один рік</w:t>
            </w:r>
          </w:p>
        </w:tc>
        <w:tc>
          <w:tcPr>
            <w:tcW w:w="1451" w:type="dxa"/>
            <w:tcBorders>
              <w:top w:val="single" w:sz="4" w:space="0" w:color="auto"/>
              <w:left w:val="single" w:sz="4" w:space="0" w:color="auto"/>
              <w:bottom w:val="single" w:sz="4" w:space="0" w:color="auto"/>
              <w:right w:val="single" w:sz="4" w:space="0" w:color="auto"/>
            </w:tcBorders>
            <w:hideMark/>
          </w:tcPr>
          <w:p w14:paraId="55061D32"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6,37±</w:t>
            </w:r>
          </w:p>
          <w:p w14:paraId="669AE173"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0,32</w:t>
            </w:r>
          </w:p>
        </w:tc>
        <w:tc>
          <w:tcPr>
            <w:tcW w:w="1451" w:type="dxa"/>
            <w:tcBorders>
              <w:top w:val="single" w:sz="4" w:space="0" w:color="auto"/>
              <w:left w:val="single" w:sz="4" w:space="0" w:color="auto"/>
              <w:bottom w:val="single" w:sz="4" w:space="0" w:color="auto"/>
              <w:right w:val="single" w:sz="4" w:space="0" w:color="auto"/>
            </w:tcBorders>
            <w:hideMark/>
          </w:tcPr>
          <w:p w14:paraId="5EC7F442"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5,63±</w:t>
            </w:r>
          </w:p>
          <w:p w14:paraId="37F26F01"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0,42</w:t>
            </w:r>
          </w:p>
        </w:tc>
        <w:tc>
          <w:tcPr>
            <w:tcW w:w="1451" w:type="dxa"/>
            <w:tcBorders>
              <w:top w:val="single" w:sz="4" w:space="0" w:color="auto"/>
              <w:left w:val="single" w:sz="4" w:space="0" w:color="auto"/>
              <w:bottom w:val="single" w:sz="4" w:space="0" w:color="auto"/>
              <w:right w:val="single" w:sz="4" w:space="0" w:color="auto"/>
            </w:tcBorders>
            <w:hideMark/>
          </w:tcPr>
          <w:p w14:paraId="6A9949D6"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6,67±</w:t>
            </w:r>
          </w:p>
          <w:p w14:paraId="15B273BB"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0,29</w:t>
            </w:r>
          </w:p>
        </w:tc>
        <w:tc>
          <w:tcPr>
            <w:tcW w:w="1452" w:type="dxa"/>
            <w:tcBorders>
              <w:top w:val="single" w:sz="4" w:space="0" w:color="auto"/>
              <w:left w:val="single" w:sz="4" w:space="0" w:color="auto"/>
              <w:bottom w:val="single" w:sz="4" w:space="0" w:color="auto"/>
              <w:right w:val="single" w:sz="4" w:space="0" w:color="auto"/>
            </w:tcBorders>
            <w:hideMark/>
          </w:tcPr>
          <w:p w14:paraId="7A0E905E"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6,29±</w:t>
            </w:r>
          </w:p>
          <w:p w14:paraId="1BC55246" w14:textId="77777777" w:rsidR="002E3CE8" w:rsidRPr="00520861" w:rsidRDefault="002E3CE8" w:rsidP="00292D2E">
            <w:pPr>
              <w:widowControl w:val="0"/>
              <w:spacing w:line="360" w:lineRule="auto"/>
              <w:ind w:right="-1"/>
              <w:jc w:val="center"/>
              <w:rPr>
                <w:sz w:val="28"/>
                <w:szCs w:val="28"/>
                <w:lang w:eastAsia="en-US"/>
              </w:rPr>
            </w:pPr>
            <w:r w:rsidRPr="00520861">
              <w:rPr>
                <w:sz w:val="28"/>
                <w:szCs w:val="28"/>
                <w:lang w:eastAsia="en-US"/>
              </w:rPr>
              <w:t>0,37</w:t>
            </w:r>
          </w:p>
        </w:tc>
      </w:tr>
    </w:tbl>
    <w:p w14:paraId="0DD460B7"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567"/>
        <w:rPr>
          <w:sz w:val="28"/>
          <w:szCs w:val="28"/>
        </w:rPr>
      </w:pPr>
      <w:r w:rsidRPr="00520861">
        <w:rPr>
          <w:sz w:val="28"/>
          <w:szCs w:val="28"/>
        </w:rPr>
        <w:t xml:space="preserve">Примітки: * – різниця між значеннями для груп </w:t>
      </w:r>
      <w:proofErr w:type="spellStart"/>
      <w:r w:rsidRPr="00520861">
        <w:rPr>
          <w:sz w:val="28"/>
          <w:szCs w:val="28"/>
        </w:rPr>
        <w:t>макросомів</w:t>
      </w:r>
      <w:proofErr w:type="spellEnd"/>
      <w:r w:rsidRPr="00520861">
        <w:rPr>
          <w:sz w:val="28"/>
          <w:szCs w:val="28"/>
        </w:rPr>
        <w:t xml:space="preserve"> і </w:t>
      </w:r>
      <w:proofErr w:type="spellStart"/>
      <w:r w:rsidRPr="00520861">
        <w:rPr>
          <w:sz w:val="28"/>
          <w:szCs w:val="28"/>
        </w:rPr>
        <w:t>нормосомів</w:t>
      </w:r>
      <w:proofErr w:type="spellEnd"/>
      <w:r w:rsidRPr="00520861">
        <w:rPr>
          <w:sz w:val="28"/>
          <w:szCs w:val="28"/>
        </w:rPr>
        <w:t xml:space="preserve"> однієї й тієї ж статі статистично вірогідна при ймовірності </w:t>
      </w:r>
      <w:r w:rsidR="001035E8" w:rsidRPr="00520861">
        <w:rPr>
          <w:rFonts w:eastAsia="Calibri"/>
          <w:sz w:val="28"/>
          <w:szCs w:val="28"/>
          <w:lang w:eastAsia="en-US"/>
        </w:rPr>
        <w:t>похибки</w:t>
      </w:r>
      <w:r w:rsidRPr="00520861">
        <w:rPr>
          <w:sz w:val="28"/>
          <w:szCs w:val="28"/>
        </w:rPr>
        <w:t xml:space="preserve"> </w:t>
      </w:r>
      <w:r w:rsidRPr="00520861">
        <w:rPr>
          <w:i/>
          <w:sz w:val="28"/>
          <w:szCs w:val="28"/>
        </w:rPr>
        <w:t>p</w:t>
      </w:r>
      <w:r w:rsidR="00FF6C32" w:rsidRPr="00520861">
        <w:rPr>
          <w:rFonts w:eastAsia="Calibri"/>
          <w:sz w:val="28"/>
          <w:szCs w:val="28"/>
          <w:lang w:eastAsia="en-US"/>
        </w:rPr>
        <w:t>&lt;</w:t>
      </w:r>
      <w:r w:rsidRPr="00520861">
        <w:rPr>
          <w:sz w:val="28"/>
          <w:szCs w:val="28"/>
        </w:rPr>
        <w:t>0,05;</w:t>
      </w:r>
    </w:p>
    <w:p w14:paraId="278EFF0F"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567"/>
        <w:rPr>
          <w:sz w:val="28"/>
          <w:szCs w:val="28"/>
        </w:rPr>
      </w:pPr>
      <w:r w:rsidRPr="00520861">
        <w:rPr>
          <w:sz w:val="28"/>
          <w:szCs w:val="28"/>
        </w:rPr>
        <w:t xml:space="preserve">† – різниця між значеннями для груп ОГ і ГП протилежної статі статистично вірогідна при ймовірності </w:t>
      </w:r>
      <w:r w:rsidR="001035E8" w:rsidRPr="00520861">
        <w:rPr>
          <w:rFonts w:eastAsia="Calibri"/>
          <w:sz w:val="28"/>
          <w:szCs w:val="28"/>
          <w:lang w:eastAsia="en-US"/>
        </w:rPr>
        <w:t>похибки</w:t>
      </w:r>
      <w:r w:rsidRPr="00520861">
        <w:rPr>
          <w:sz w:val="28"/>
          <w:szCs w:val="28"/>
        </w:rPr>
        <w:t xml:space="preserve">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Стьюдента.</w:t>
      </w:r>
    </w:p>
    <w:p w14:paraId="33DBAD3B"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lastRenderedPageBreak/>
        <w:t xml:space="preserve">Оскільки є відомості, що грудне вигодовування має вплив на формування </w:t>
      </w:r>
      <w:proofErr w:type="spellStart"/>
      <w:r w:rsidRPr="00520861">
        <w:rPr>
          <w:rFonts w:eastAsia="Calibri"/>
          <w:sz w:val="28"/>
          <w:szCs w:val="28"/>
          <w:lang w:eastAsia="en-US"/>
        </w:rPr>
        <w:t>краніо</w:t>
      </w:r>
      <w:proofErr w:type="spellEnd"/>
      <w:r w:rsidRPr="00520861">
        <w:rPr>
          <w:rFonts w:eastAsia="Calibri"/>
          <w:sz w:val="28"/>
          <w:szCs w:val="28"/>
          <w:lang w:eastAsia="en-US"/>
        </w:rPr>
        <w:t>-фаціального комплексу,</w:t>
      </w:r>
      <w:r w:rsidRPr="00520861">
        <w:rPr>
          <w:rFonts w:eastAsia="Calibri"/>
          <w:color w:val="2E74B5"/>
          <w:sz w:val="28"/>
          <w:szCs w:val="28"/>
          <w:lang w:eastAsia="en-US"/>
        </w:rPr>
        <w:t xml:space="preserve"> </w:t>
      </w:r>
      <w:r w:rsidRPr="00520861">
        <w:rPr>
          <w:rFonts w:eastAsia="Calibri"/>
          <w:sz w:val="28"/>
          <w:szCs w:val="28"/>
          <w:lang w:eastAsia="en-US"/>
        </w:rPr>
        <w:t>з історій розвитку дітей було визначено, що 67% дітей ОГ та 64% дітей ГП знаходилися на грудному вигодовуванні до віку 6 місяців.</w:t>
      </w:r>
    </w:p>
    <w:p w14:paraId="0D916E8D" w14:textId="77777777" w:rsidR="002E3CE8" w:rsidRPr="00520861" w:rsidRDefault="002E3CE8" w:rsidP="00292D2E">
      <w:pPr>
        <w:widowControl w:val="0"/>
        <w:spacing w:line="360" w:lineRule="auto"/>
        <w:ind w:right="-1" w:firstLine="567"/>
        <w:jc w:val="both"/>
        <w:rPr>
          <w:sz w:val="28"/>
          <w:szCs w:val="28"/>
        </w:rPr>
      </w:pPr>
      <w:r w:rsidRPr="00520861">
        <w:rPr>
          <w:sz w:val="28"/>
          <w:szCs w:val="28"/>
        </w:rPr>
        <w:t>Із таблиці 5.4 видно, що розподіл записів по місяцях віку дитини досить рівномірний і зіставний для пар «малюк-макросом – малюк-</w:t>
      </w:r>
      <w:proofErr w:type="spellStart"/>
      <w:r w:rsidRPr="00520861">
        <w:rPr>
          <w:sz w:val="28"/>
          <w:szCs w:val="28"/>
        </w:rPr>
        <w:t>нормосом</w:t>
      </w:r>
      <w:proofErr w:type="spellEnd"/>
      <w:r w:rsidRPr="00520861">
        <w:rPr>
          <w:sz w:val="28"/>
          <w:szCs w:val="28"/>
        </w:rPr>
        <w:t xml:space="preserve">» як серед </w:t>
      </w:r>
      <w:proofErr w:type="spellStart"/>
      <w:r w:rsidRPr="00520861">
        <w:rPr>
          <w:sz w:val="28"/>
          <w:szCs w:val="28"/>
        </w:rPr>
        <w:t>дівчаток</w:t>
      </w:r>
      <w:proofErr w:type="spellEnd"/>
      <w:r w:rsidRPr="00520861">
        <w:rPr>
          <w:sz w:val="28"/>
          <w:szCs w:val="28"/>
        </w:rPr>
        <w:t xml:space="preserve">, так і серед хлопчиків. Різниця в кількостях записів не перевищує </w:t>
      </w:r>
      <w:proofErr w:type="spellStart"/>
      <w:r w:rsidRPr="00520861">
        <w:rPr>
          <w:sz w:val="28"/>
          <w:szCs w:val="28"/>
        </w:rPr>
        <w:t>фактора</w:t>
      </w:r>
      <w:proofErr w:type="spellEnd"/>
      <w:r w:rsidRPr="00520861">
        <w:rPr>
          <w:sz w:val="28"/>
          <w:szCs w:val="28"/>
        </w:rPr>
        <w:t xml:space="preserve"> 3 для всіх вікових груп.</w:t>
      </w:r>
    </w:p>
    <w:p w14:paraId="1F4AE0F4" w14:textId="77777777" w:rsidR="002E3CE8" w:rsidRPr="00520861" w:rsidRDefault="002E3CE8" w:rsidP="00292D2E">
      <w:pPr>
        <w:widowControl w:val="0"/>
        <w:spacing w:line="360" w:lineRule="auto"/>
        <w:ind w:right="-1" w:firstLine="709"/>
        <w:jc w:val="both"/>
        <w:rPr>
          <w:sz w:val="28"/>
          <w:szCs w:val="28"/>
        </w:rPr>
      </w:pPr>
      <w:r w:rsidRPr="00520861">
        <w:rPr>
          <w:sz w:val="28"/>
          <w:szCs w:val="28"/>
        </w:rPr>
        <w:t xml:space="preserve">По обчислених коефіцієнтах регресійної моделі були розраховані оцінки віку, в якому починають прорізуватися зуби, швидкості росту зубів та середньої </w:t>
      </w:r>
      <w:r w:rsidRPr="00520861">
        <w:rPr>
          <w:sz w:val="28"/>
          <w:szCs w:val="28"/>
        </w:rPr>
        <w:br/>
        <w:t xml:space="preserve">кількості зубів у віці один рік із відповідними довірчими інтервалами при </w:t>
      </w:r>
      <w:r w:rsidR="00A63F34" w:rsidRPr="00520861">
        <w:rPr>
          <w:sz w:val="28"/>
          <w:szCs w:val="28"/>
        </w:rPr>
        <w:br/>
      </w:r>
      <w:r w:rsidRPr="00520861">
        <w:rPr>
          <w:sz w:val="28"/>
          <w:szCs w:val="28"/>
        </w:rPr>
        <w:t xml:space="preserve">ймовірності похибки </w:t>
      </w:r>
      <w:r w:rsidRPr="00520861">
        <w:rPr>
          <w:i/>
          <w:sz w:val="28"/>
          <w:szCs w:val="28"/>
        </w:rPr>
        <w:t>p</w:t>
      </w:r>
      <w:r w:rsidR="00FF6C32" w:rsidRPr="00520861">
        <w:rPr>
          <w:rFonts w:eastAsia="Calibri"/>
          <w:sz w:val="28"/>
          <w:szCs w:val="28"/>
          <w:lang w:eastAsia="en-US"/>
        </w:rPr>
        <w:t>&lt;</w:t>
      </w:r>
      <w:r w:rsidRPr="00520861">
        <w:rPr>
          <w:sz w:val="28"/>
          <w:szCs w:val="28"/>
        </w:rPr>
        <w:t>0,05 (табл. 5.4).</w:t>
      </w:r>
    </w:p>
    <w:p w14:paraId="16A4C04B" w14:textId="77777777" w:rsidR="002E3CE8" w:rsidRPr="00520861" w:rsidRDefault="002E3CE8" w:rsidP="00292D2E">
      <w:pPr>
        <w:widowControl w:val="0"/>
        <w:spacing w:line="360" w:lineRule="auto"/>
        <w:ind w:right="-1" w:firstLine="360"/>
        <w:rPr>
          <w:sz w:val="28"/>
          <w:szCs w:val="28"/>
        </w:rPr>
      </w:pPr>
      <w:r w:rsidRPr="00520861">
        <w:rPr>
          <w:sz w:val="28"/>
          <w:szCs w:val="28"/>
        </w:rPr>
        <w:t>Обчислені лінії регресії мають вигляд:</w:t>
      </w:r>
    </w:p>
    <w:p w14:paraId="4971B3F2" w14:textId="77777777" w:rsidR="002E3CE8" w:rsidRPr="00520861" w:rsidRDefault="002E3CE8" w:rsidP="008F1D77">
      <w:pPr>
        <w:widowControl w:val="0"/>
        <w:numPr>
          <w:ilvl w:val="0"/>
          <w:numId w:val="7"/>
        </w:numPr>
        <w:spacing w:after="160" w:line="360" w:lineRule="auto"/>
        <w:ind w:left="709" w:right="-1" w:hanging="709"/>
        <w:contextualSpacing/>
        <w:rPr>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0,934±0,016</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4,834±0,126</m:t>
            </m:r>
          </m:e>
        </m:d>
      </m:oMath>
      <w:r w:rsidRPr="00520861">
        <w:rPr>
          <w:sz w:val="28"/>
          <w:szCs w:val="28"/>
        </w:rPr>
        <w:t xml:space="preserve"> </w:t>
      </w:r>
      <w:r w:rsidRPr="00520861">
        <w:rPr>
          <w:sz w:val="28"/>
          <w:szCs w:val="28"/>
        </w:rPr>
        <w:tab/>
        <w:t xml:space="preserve"> – для хлопчиків ОГ;</w:t>
      </w:r>
    </w:p>
    <w:p w14:paraId="2A111552" w14:textId="77777777" w:rsidR="002E3CE8" w:rsidRPr="00520861" w:rsidRDefault="002E3CE8" w:rsidP="008F1D77">
      <w:pPr>
        <w:widowControl w:val="0"/>
        <w:numPr>
          <w:ilvl w:val="0"/>
          <w:numId w:val="7"/>
        </w:numPr>
        <w:spacing w:after="160" w:line="360" w:lineRule="auto"/>
        <w:ind w:right="-1" w:hanging="720"/>
        <w:contextualSpacing/>
        <w:rPr>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0,963±0,014</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4,881±0,122</m:t>
            </m:r>
          </m:e>
        </m:d>
      </m:oMath>
      <w:r w:rsidRPr="00520861">
        <w:rPr>
          <w:sz w:val="28"/>
          <w:szCs w:val="28"/>
        </w:rPr>
        <w:t xml:space="preserve"> – для хлопчиків ГП;</w:t>
      </w:r>
    </w:p>
    <w:p w14:paraId="6C6BAC6D" w14:textId="77777777" w:rsidR="002E3CE8" w:rsidRPr="00520861" w:rsidRDefault="002E3CE8" w:rsidP="008F1D77">
      <w:pPr>
        <w:widowControl w:val="0"/>
        <w:numPr>
          <w:ilvl w:val="0"/>
          <w:numId w:val="7"/>
        </w:numPr>
        <w:spacing w:after="160" w:line="360" w:lineRule="auto"/>
        <w:ind w:left="709" w:right="-1" w:hanging="709"/>
        <w:contextualSpacing/>
        <w:rPr>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0,829±0,022</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4,316±0,175</m:t>
            </m:r>
          </m:e>
        </m:d>
      </m:oMath>
      <w:r w:rsidRPr="00520861">
        <w:rPr>
          <w:sz w:val="28"/>
          <w:szCs w:val="28"/>
        </w:rPr>
        <w:t xml:space="preserve"> </w:t>
      </w:r>
      <w:r w:rsidRPr="00520861">
        <w:rPr>
          <w:sz w:val="28"/>
          <w:szCs w:val="28"/>
        </w:rPr>
        <w:tab/>
        <w:t xml:space="preserve"> – для дівчаток ОГ;</w:t>
      </w:r>
    </w:p>
    <w:p w14:paraId="79C2AFEE" w14:textId="77777777" w:rsidR="002E3CE8" w:rsidRPr="00520861" w:rsidRDefault="002E3CE8" w:rsidP="008F1D77">
      <w:pPr>
        <w:widowControl w:val="0"/>
        <w:numPr>
          <w:ilvl w:val="0"/>
          <w:numId w:val="7"/>
        </w:numPr>
        <w:spacing w:after="160" w:line="360" w:lineRule="auto"/>
        <w:ind w:left="709" w:right="-1" w:hanging="709"/>
        <w:contextualSpacing/>
        <w:rPr>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0,911±0,018</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4,641±0,153</m:t>
            </m:r>
          </m:e>
        </m:d>
      </m:oMath>
      <w:r w:rsidRPr="00520861">
        <w:rPr>
          <w:sz w:val="28"/>
          <w:szCs w:val="28"/>
        </w:rPr>
        <w:t xml:space="preserve"> – для дівчаток ГП,</w:t>
      </w:r>
    </w:p>
    <w:p w14:paraId="3CE431AD" w14:textId="77777777" w:rsidR="002E3CE8" w:rsidRPr="00520861" w:rsidRDefault="002E3CE8" w:rsidP="00292D2E">
      <w:pPr>
        <w:widowControl w:val="0"/>
        <w:spacing w:line="360" w:lineRule="auto"/>
        <w:ind w:right="-1"/>
        <w:jc w:val="both"/>
        <w:rPr>
          <w:sz w:val="28"/>
          <w:szCs w:val="28"/>
        </w:rPr>
      </w:pPr>
      <w:r w:rsidRPr="00520861">
        <w:rPr>
          <w:sz w:val="28"/>
          <w:szCs w:val="28"/>
        </w:rPr>
        <w:t xml:space="preserve">де </w:t>
      </w:r>
      <w:r w:rsidRPr="00520861">
        <w:rPr>
          <w:i/>
          <w:sz w:val="28"/>
          <w:szCs w:val="28"/>
        </w:rPr>
        <w:t>z</w:t>
      </w:r>
      <w:r w:rsidRPr="00520861">
        <w:rPr>
          <w:sz w:val="28"/>
          <w:szCs w:val="28"/>
        </w:rPr>
        <w:t xml:space="preserve"> – кількість зубів, </w:t>
      </w:r>
      <w:r w:rsidRPr="00520861">
        <w:rPr>
          <w:i/>
          <w:sz w:val="28"/>
          <w:szCs w:val="28"/>
        </w:rPr>
        <w:t>n</w:t>
      </w:r>
      <w:r w:rsidRPr="00520861">
        <w:rPr>
          <w:sz w:val="28"/>
          <w:szCs w:val="28"/>
        </w:rPr>
        <w:t xml:space="preserve"> – вік малюка в місяцях.</w:t>
      </w:r>
    </w:p>
    <w:p w14:paraId="19528933" w14:textId="77777777" w:rsidR="002E3CE8" w:rsidRPr="00520861" w:rsidRDefault="002E3CE8" w:rsidP="00292D2E">
      <w:pPr>
        <w:widowControl w:val="0"/>
        <w:spacing w:line="360" w:lineRule="auto"/>
        <w:ind w:right="-1" w:firstLine="567"/>
        <w:jc w:val="both"/>
        <w:rPr>
          <w:sz w:val="28"/>
          <w:szCs w:val="28"/>
        </w:rPr>
      </w:pPr>
      <w:r w:rsidRPr="00520861">
        <w:rPr>
          <w:sz w:val="28"/>
          <w:szCs w:val="28"/>
        </w:rPr>
        <w:t xml:space="preserve">Результати оцінювання засвідчили, що лінійна регресія адекватно описує </w:t>
      </w:r>
      <w:r w:rsidRPr="00520861">
        <w:rPr>
          <w:sz w:val="28"/>
          <w:szCs w:val="28"/>
        </w:rPr>
        <w:br/>
        <w:t xml:space="preserve">взаємозв’язок між відгуком (кількістю зубів) і </w:t>
      </w:r>
      <w:proofErr w:type="spellStart"/>
      <w:r w:rsidRPr="00520861">
        <w:rPr>
          <w:sz w:val="28"/>
          <w:szCs w:val="28"/>
        </w:rPr>
        <w:t>предиктором</w:t>
      </w:r>
      <w:proofErr w:type="spellEnd"/>
      <w:r w:rsidRPr="00520861">
        <w:rPr>
          <w:sz w:val="28"/>
          <w:szCs w:val="28"/>
        </w:rPr>
        <w:t xml:space="preserve"> (віком): коефіцієнт </w:t>
      </w:r>
      <w:r w:rsidR="00A63F34" w:rsidRPr="00520861">
        <w:rPr>
          <w:sz w:val="28"/>
          <w:szCs w:val="28"/>
        </w:rPr>
        <w:br/>
      </w:r>
      <w:r w:rsidRPr="00520861">
        <w:rPr>
          <w:sz w:val="28"/>
          <w:szCs w:val="28"/>
        </w:rPr>
        <w:t>детермінації досить високий і коливається в межах 0,61 – 0,69 для різних груп.</w:t>
      </w:r>
    </w:p>
    <w:p w14:paraId="0E662AB8" w14:textId="77777777" w:rsidR="002E3CE8" w:rsidRPr="00520861" w:rsidRDefault="002E3CE8" w:rsidP="00292D2E">
      <w:pPr>
        <w:widowControl w:val="0"/>
        <w:spacing w:line="360" w:lineRule="auto"/>
        <w:ind w:right="-1" w:firstLine="567"/>
        <w:jc w:val="both"/>
        <w:rPr>
          <w:sz w:val="28"/>
          <w:szCs w:val="28"/>
        </w:rPr>
      </w:pPr>
      <w:r w:rsidRPr="00520861">
        <w:rPr>
          <w:rFonts w:eastAsiaTheme="minorHAnsi"/>
          <w:sz w:val="28"/>
          <w:szCs w:val="28"/>
          <w:lang w:eastAsia="en-US"/>
        </w:rPr>
        <w:t>У п’ятнадцятому</w:t>
      </w:r>
      <w:r w:rsidRPr="00520861">
        <w:rPr>
          <w:sz w:val="28"/>
          <w:szCs w:val="28"/>
        </w:rPr>
        <w:t xml:space="preserve"> рядку таблиці наведено середній вік (тобто </w:t>
      </w:r>
      <w:r w:rsidRPr="00520861">
        <w:rPr>
          <w:i/>
          <w:sz w:val="28"/>
          <w:szCs w:val="28"/>
        </w:rPr>
        <w:t>n</w:t>
      </w:r>
      <w:r w:rsidRPr="00520861">
        <w:rPr>
          <w:sz w:val="28"/>
          <w:szCs w:val="28"/>
        </w:rPr>
        <w:t xml:space="preserve">), до якого дитина ще не має зубів і який оцінюється з рівнянь (1) – (4) при </w:t>
      </w:r>
      <w:r w:rsidRPr="00520861">
        <w:rPr>
          <w:i/>
          <w:sz w:val="28"/>
          <w:szCs w:val="28"/>
        </w:rPr>
        <w:t>z</w:t>
      </w:r>
      <w:r w:rsidRPr="00520861">
        <w:rPr>
          <w:sz w:val="28"/>
          <w:szCs w:val="28"/>
        </w:rPr>
        <w:t xml:space="preserve"> = 0.</w:t>
      </w:r>
    </w:p>
    <w:p w14:paraId="0081895F" w14:textId="77777777" w:rsidR="002E3CE8" w:rsidRPr="00520861" w:rsidRDefault="002E3CE8" w:rsidP="00292D2E">
      <w:pPr>
        <w:widowControl w:val="0"/>
        <w:spacing w:line="360" w:lineRule="auto"/>
        <w:ind w:right="-1" w:firstLine="567"/>
        <w:jc w:val="both"/>
        <w:rPr>
          <w:sz w:val="28"/>
          <w:szCs w:val="28"/>
        </w:rPr>
      </w:pPr>
      <w:r w:rsidRPr="00520861">
        <w:rPr>
          <w:sz w:val="28"/>
          <w:szCs w:val="28"/>
        </w:rPr>
        <w:t xml:space="preserve">З наших даних випливає, що прорізування зубів починається в перший – другий тиждень шостого місяця від дня народження, тобто до цього віку зуби в середньому відсутні. У хлопчиків зуби починають прорізуватися трохи раніше, але ця </w:t>
      </w:r>
      <w:r w:rsidRPr="00520861">
        <w:rPr>
          <w:sz w:val="28"/>
          <w:szCs w:val="28"/>
        </w:rPr>
        <w:br/>
        <w:t>різниця невірогідна й знаходиться в межах довірчого інтервалу.</w:t>
      </w:r>
    </w:p>
    <w:p w14:paraId="047FC1A8" w14:textId="77777777" w:rsidR="002E3CE8" w:rsidRPr="00520861" w:rsidRDefault="002E3CE8" w:rsidP="00292D2E">
      <w:pPr>
        <w:widowControl w:val="0"/>
        <w:spacing w:line="360" w:lineRule="auto"/>
        <w:ind w:right="-1" w:firstLine="567"/>
        <w:jc w:val="both"/>
        <w:rPr>
          <w:sz w:val="28"/>
          <w:szCs w:val="28"/>
        </w:rPr>
      </w:pPr>
      <w:r w:rsidRPr="00520861">
        <w:rPr>
          <w:sz w:val="28"/>
          <w:szCs w:val="28"/>
        </w:rPr>
        <w:t xml:space="preserve">Розглянемо відмінності в швидкості росту зубів у </w:t>
      </w:r>
      <w:proofErr w:type="spellStart"/>
      <w:r w:rsidRPr="00520861">
        <w:rPr>
          <w:sz w:val="28"/>
          <w:szCs w:val="28"/>
        </w:rPr>
        <w:t>дівчаток</w:t>
      </w:r>
      <w:proofErr w:type="spellEnd"/>
      <w:r w:rsidRPr="00520861">
        <w:rPr>
          <w:sz w:val="28"/>
          <w:szCs w:val="28"/>
        </w:rPr>
        <w:t xml:space="preserve"> і хлопчиків, </w:t>
      </w:r>
      <w:r w:rsidRPr="00520861">
        <w:rPr>
          <w:sz w:val="28"/>
          <w:szCs w:val="28"/>
        </w:rPr>
        <w:br/>
        <w:t xml:space="preserve">народжених з </w:t>
      </w:r>
      <w:proofErr w:type="spellStart"/>
      <w:r w:rsidRPr="00520861">
        <w:rPr>
          <w:sz w:val="28"/>
          <w:szCs w:val="28"/>
        </w:rPr>
        <w:t>макросомією</w:t>
      </w:r>
      <w:proofErr w:type="spellEnd"/>
      <w:r w:rsidRPr="00520861">
        <w:rPr>
          <w:sz w:val="28"/>
          <w:szCs w:val="28"/>
        </w:rPr>
        <w:t xml:space="preserve"> та </w:t>
      </w:r>
      <w:proofErr w:type="spellStart"/>
      <w:r w:rsidRPr="00520861">
        <w:rPr>
          <w:sz w:val="28"/>
          <w:szCs w:val="28"/>
        </w:rPr>
        <w:t>нормосомією</w:t>
      </w:r>
      <w:proofErr w:type="spellEnd"/>
      <w:r w:rsidRPr="00520861">
        <w:rPr>
          <w:sz w:val="28"/>
          <w:szCs w:val="28"/>
        </w:rPr>
        <w:t xml:space="preserve">. З даних шістнадцятого рядка табл. 5.4 випливає, що середня швидкість росту зубів в ОГ вірогідно нижча, ніж у ГП, з </w:t>
      </w:r>
      <w:r w:rsidRPr="00520861">
        <w:rPr>
          <w:sz w:val="28"/>
          <w:szCs w:val="28"/>
        </w:rPr>
        <w:br/>
        <w:t xml:space="preserve">ймовірністю </w:t>
      </w:r>
      <w:r w:rsidR="001035E8" w:rsidRPr="00520861">
        <w:rPr>
          <w:rFonts w:eastAsia="Calibri"/>
          <w:sz w:val="28"/>
          <w:szCs w:val="28"/>
          <w:lang w:eastAsia="en-US"/>
        </w:rPr>
        <w:t>похибки</w:t>
      </w:r>
      <w:r w:rsidRPr="00520861">
        <w:rPr>
          <w:sz w:val="28"/>
          <w:szCs w:val="28"/>
        </w:rPr>
        <w:t xml:space="preserve">, що не перевищує 0,05. Це справедливо для малюків обох </w:t>
      </w:r>
      <w:r w:rsidR="00251DA0" w:rsidRPr="00520861">
        <w:rPr>
          <w:sz w:val="28"/>
          <w:szCs w:val="28"/>
        </w:rPr>
        <w:br/>
      </w:r>
      <w:r w:rsidRPr="00520861">
        <w:rPr>
          <w:sz w:val="28"/>
          <w:szCs w:val="28"/>
        </w:rPr>
        <w:lastRenderedPageBreak/>
        <w:t xml:space="preserve">статей. А швидкість росту зубів у </w:t>
      </w:r>
      <w:proofErr w:type="spellStart"/>
      <w:r w:rsidRPr="00520861">
        <w:rPr>
          <w:sz w:val="28"/>
          <w:szCs w:val="28"/>
        </w:rPr>
        <w:t>дівчаток</w:t>
      </w:r>
      <w:proofErr w:type="spellEnd"/>
      <w:r w:rsidRPr="00520861">
        <w:rPr>
          <w:sz w:val="28"/>
          <w:szCs w:val="28"/>
        </w:rPr>
        <w:t xml:space="preserve">, у свою чергу, вірогідно нижча, ніж у </w:t>
      </w:r>
      <w:r w:rsidR="00A63F34" w:rsidRPr="00520861">
        <w:rPr>
          <w:sz w:val="28"/>
          <w:szCs w:val="28"/>
        </w:rPr>
        <w:br/>
      </w:r>
      <w:r w:rsidRPr="00520861">
        <w:rPr>
          <w:sz w:val="28"/>
          <w:szCs w:val="28"/>
        </w:rPr>
        <w:t>хлопчиків як для ОГ, так і для ГП.</w:t>
      </w:r>
    </w:p>
    <w:p w14:paraId="3434E9BA" w14:textId="77777777" w:rsidR="002E3CE8" w:rsidRPr="00520861" w:rsidRDefault="002E3CE8" w:rsidP="00292D2E">
      <w:pPr>
        <w:widowControl w:val="0"/>
        <w:spacing w:line="360" w:lineRule="auto"/>
        <w:ind w:right="-1" w:firstLine="708"/>
        <w:jc w:val="both"/>
        <w:rPr>
          <w:rFonts w:eastAsiaTheme="minorHAnsi"/>
          <w:sz w:val="28"/>
          <w:szCs w:val="28"/>
          <w:lang w:eastAsia="en-US"/>
        </w:rPr>
      </w:pPr>
      <w:r w:rsidRPr="00520861">
        <w:rPr>
          <w:rFonts w:eastAsiaTheme="minorHAnsi"/>
          <w:sz w:val="28"/>
          <w:szCs w:val="28"/>
          <w:lang w:eastAsia="en-US"/>
        </w:rPr>
        <w:t xml:space="preserve">В останніх двох рядках табл. 5.4 для довідки наведені відомості про середній вік, у якому дитина має один зуб, а також середня кількість зубів у віці один рік для малюків кожної групи. У групі дітей ОГ, як хлопчиків, так і </w:t>
      </w:r>
      <w:proofErr w:type="spellStart"/>
      <w:r w:rsidRPr="00520861">
        <w:rPr>
          <w:rFonts w:eastAsiaTheme="minorHAnsi"/>
          <w:sz w:val="28"/>
          <w:szCs w:val="28"/>
          <w:lang w:eastAsia="en-US"/>
        </w:rPr>
        <w:t>дівчаток</w:t>
      </w:r>
      <w:proofErr w:type="spellEnd"/>
      <w:r w:rsidRPr="00520861">
        <w:rPr>
          <w:rFonts w:eastAsiaTheme="minorHAnsi"/>
          <w:sz w:val="28"/>
          <w:szCs w:val="28"/>
          <w:lang w:eastAsia="en-US"/>
        </w:rPr>
        <w:t xml:space="preserve">, ці процеси </w:t>
      </w:r>
      <w:r w:rsidRPr="00520861">
        <w:rPr>
          <w:rFonts w:eastAsiaTheme="minorHAnsi"/>
          <w:sz w:val="28"/>
          <w:szCs w:val="28"/>
          <w:lang w:eastAsia="en-US"/>
        </w:rPr>
        <w:br/>
        <w:t>відбуваються із запізненням у порівнянні з ГП, але, на жаль, стверджувати про вірогідність цих відмінностей не можна.</w:t>
      </w:r>
    </w:p>
    <w:p w14:paraId="6CF76389" w14:textId="77777777" w:rsidR="002E3CE8" w:rsidRPr="00520861" w:rsidRDefault="002E3CE8" w:rsidP="00292D2E">
      <w:pPr>
        <w:widowControl w:val="0"/>
        <w:spacing w:line="360" w:lineRule="auto"/>
        <w:ind w:right="-1" w:firstLine="567"/>
        <w:jc w:val="both"/>
        <w:rPr>
          <w:sz w:val="28"/>
          <w:szCs w:val="28"/>
        </w:rPr>
      </w:pPr>
      <w:r w:rsidRPr="00520861">
        <w:rPr>
          <w:sz w:val="28"/>
          <w:szCs w:val="28"/>
        </w:rPr>
        <w:t>Однією з умов коректного застосування регресійного аналізу є відповідність закону розподілу залишків нормальному закону. У нашому випадку ця вимога виконується. Аналіз гістограм залишків при апроксимації даних про кількість зубів у певний вік дитини лінійною регресією наведений у додатку Б.2.1.</w:t>
      </w:r>
    </w:p>
    <w:p w14:paraId="69B26CF3" w14:textId="77777777" w:rsidR="002E3CE8" w:rsidRPr="00520861" w:rsidRDefault="002E3CE8" w:rsidP="00292D2E">
      <w:pPr>
        <w:widowControl w:val="0"/>
        <w:spacing w:line="360" w:lineRule="auto"/>
        <w:ind w:right="-1" w:firstLine="567"/>
        <w:jc w:val="both"/>
        <w:rPr>
          <w:sz w:val="28"/>
          <w:szCs w:val="28"/>
        </w:rPr>
      </w:pPr>
      <w:r w:rsidRPr="00520861">
        <w:rPr>
          <w:rFonts w:eastAsia="Calibri"/>
          <w:sz w:val="28"/>
          <w:szCs w:val="28"/>
          <w:lang w:eastAsia="en-US"/>
        </w:rPr>
        <w:t>Тепер розглянемо відмінності в термінах прорізування та швидкості росту зубів тимчасового прикусу в дітей ОГ із урахуванням МРП при народженні.</w:t>
      </w:r>
      <w:r w:rsidRPr="00520861">
        <w:rPr>
          <w:sz w:val="28"/>
          <w:szCs w:val="28"/>
        </w:rPr>
        <w:t xml:space="preserve"> У табл. 5.5 представлений</w:t>
      </w:r>
      <w:r w:rsidRPr="00520861">
        <w:rPr>
          <w:rFonts w:eastAsia="Calibri"/>
          <w:sz w:val="28"/>
          <w:szCs w:val="28"/>
          <w:lang w:eastAsia="en-US"/>
        </w:rPr>
        <w:t xml:space="preserve"> загальний о</w:t>
      </w:r>
      <w:r w:rsidRPr="00520861">
        <w:rPr>
          <w:sz w:val="28"/>
          <w:szCs w:val="28"/>
        </w:rPr>
        <w:t xml:space="preserve">бсяг записів про кількість зубів, що прорізалися, у дітей різної статі, які народилися з </w:t>
      </w:r>
      <w:proofErr w:type="spellStart"/>
      <w:r w:rsidRPr="00520861">
        <w:rPr>
          <w:sz w:val="28"/>
          <w:szCs w:val="28"/>
        </w:rPr>
        <w:t>макросомією</w:t>
      </w:r>
      <w:proofErr w:type="spellEnd"/>
      <w:r w:rsidRPr="00520861">
        <w:rPr>
          <w:sz w:val="28"/>
          <w:szCs w:val="28"/>
        </w:rPr>
        <w:t xml:space="preserve"> та </w:t>
      </w:r>
      <w:proofErr w:type="spellStart"/>
      <w:r w:rsidRPr="00520861">
        <w:rPr>
          <w:sz w:val="28"/>
          <w:szCs w:val="28"/>
        </w:rPr>
        <w:t>нормосомією</w:t>
      </w:r>
      <w:proofErr w:type="spellEnd"/>
      <w:r w:rsidRPr="00520861">
        <w:rPr>
          <w:sz w:val="28"/>
          <w:szCs w:val="28"/>
        </w:rPr>
        <w:t>, причому дані про дітей ОГ при народженні наведено в залежності від їх віку, довжини тіла та індексу маси тіла при народженні.</w:t>
      </w:r>
    </w:p>
    <w:p w14:paraId="7D0A9757" w14:textId="77777777" w:rsidR="002E3CE8" w:rsidRPr="00520861" w:rsidRDefault="002E3CE8" w:rsidP="00251DA0">
      <w:pPr>
        <w:widowControl w:val="0"/>
        <w:spacing w:line="360" w:lineRule="auto"/>
        <w:ind w:firstLine="567"/>
        <w:jc w:val="both"/>
        <w:rPr>
          <w:i/>
          <w:sz w:val="28"/>
          <w:szCs w:val="28"/>
        </w:rPr>
      </w:pPr>
      <w:r w:rsidRPr="00520861">
        <w:rPr>
          <w:i/>
          <w:sz w:val="28"/>
          <w:szCs w:val="28"/>
        </w:rPr>
        <w:t>З огляду на статеву належність обчислені лінії регресії мають вигляд:</w:t>
      </w:r>
    </w:p>
    <w:p w14:paraId="1A5CE87B" w14:textId="77777777" w:rsidR="002E3CE8" w:rsidRPr="00520861" w:rsidRDefault="002E3CE8" w:rsidP="008F1D77">
      <w:pPr>
        <w:widowControl w:val="0"/>
        <w:numPr>
          <w:ilvl w:val="0"/>
          <w:numId w:val="6"/>
        </w:numPr>
        <w:spacing w:line="360" w:lineRule="auto"/>
        <w:jc w:val="both"/>
        <w:rPr>
          <w:i/>
          <w:sz w:val="28"/>
          <w:szCs w:val="28"/>
        </w:rPr>
      </w:pPr>
      <w:r w:rsidRPr="00520861">
        <w:rPr>
          <w:i/>
          <w:sz w:val="28"/>
          <w:szCs w:val="28"/>
        </w:rPr>
        <w:t>хлопчики</w:t>
      </w:r>
    </w:p>
    <w:p w14:paraId="794F8488"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0,959±0,028</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4,992±0,220</m:t>
            </m:r>
          </m:e>
        </m:d>
      </m:oMath>
      <w:r w:rsidRPr="00520861">
        <w:rPr>
          <w:i/>
          <w:sz w:val="28"/>
          <w:szCs w:val="28"/>
        </w:rPr>
        <w:t xml:space="preserve"> </w:t>
      </w:r>
      <w:r w:rsidRPr="00520861">
        <w:rPr>
          <w:i/>
          <w:sz w:val="28"/>
          <w:szCs w:val="28"/>
        </w:rPr>
        <w:tab/>
        <w:t xml:space="preserve">– </w:t>
      </w:r>
      <w:r w:rsidRPr="00520861">
        <w:rPr>
          <w:sz w:val="28"/>
          <w:szCs w:val="28"/>
        </w:rPr>
        <w:t>підгрупа 1;</w:t>
      </w:r>
    </w:p>
    <w:p w14:paraId="7A9C4B0A"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0,822±0,044</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4,207±0,358</m:t>
            </m:r>
          </m:e>
        </m:d>
      </m:oMath>
      <w:r w:rsidRPr="00520861">
        <w:rPr>
          <w:i/>
          <w:sz w:val="28"/>
          <w:szCs w:val="28"/>
        </w:rPr>
        <w:t xml:space="preserve"> </w:t>
      </w:r>
      <w:r w:rsidRPr="00520861">
        <w:rPr>
          <w:i/>
          <w:sz w:val="28"/>
          <w:szCs w:val="28"/>
        </w:rPr>
        <w:tab/>
        <w:t xml:space="preserve">– </w:t>
      </w:r>
      <w:r w:rsidRPr="00520861">
        <w:rPr>
          <w:sz w:val="28"/>
          <w:szCs w:val="28"/>
        </w:rPr>
        <w:t>підгрупа 2;</w:t>
      </w:r>
    </w:p>
    <w:p w14:paraId="58F7C5BA"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0,917±0,033</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4,719±0,272</m:t>
            </m:r>
          </m:e>
        </m:d>
      </m:oMath>
      <w:r w:rsidRPr="00520861">
        <w:rPr>
          <w:i/>
          <w:sz w:val="28"/>
          <w:szCs w:val="28"/>
        </w:rPr>
        <w:t xml:space="preserve"> </w:t>
      </w:r>
      <w:r w:rsidRPr="00520861">
        <w:rPr>
          <w:i/>
          <w:sz w:val="28"/>
          <w:szCs w:val="28"/>
        </w:rPr>
        <w:tab/>
        <w:t xml:space="preserve">– </w:t>
      </w:r>
      <w:r w:rsidRPr="00520861">
        <w:rPr>
          <w:sz w:val="28"/>
          <w:szCs w:val="28"/>
        </w:rPr>
        <w:t>підгрупа 3;</w:t>
      </w:r>
    </w:p>
    <w:p w14:paraId="34695D98"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0,960±0,025</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4,891±0,201</m:t>
            </m:r>
          </m:e>
        </m:d>
      </m:oMath>
      <w:r w:rsidRPr="00520861">
        <w:rPr>
          <w:i/>
          <w:sz w:val="28"/>
          <w:szCs w:val="28"/>
        </w:rPr>
        <w:t xml:space="preserve"> </w:t>
      </w:r>
      <w:r w:rsidRPr="00520861">
        <w:rPr>
          <w:i/>
          <w:sz w:val="28"/>
          <w:szCs w:val="28"/>
        </w:rPr>
        <w:tab/>
        <w:t xml:space="preserve">– </w:t>
      </w:r>
      <w:r w:rsidRPr="00520861">
        <w:rPr>
          <w:sz w:val="28"/>
          <w:szCs w:val="28"/>
        </w:rPr>
        <w:t>підгрупа 4;</w:t>
      </w:r>
    </w:p>
    <w:p w14:paraId="49384EB5"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0,963±0,014</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4,881±0,122</m:t>
            </m:r>
          </m:e>
        </m:d>
      </m:oMath>
      <w:r w:rsidRPr="00520861">
        <w:rPr>
          <w:i/>
          <w:sz w:val="28"/>
          <w:szCs w:val="28"/>
        </w:rPr>
        <w:t xml:space="preserve"> </w:t>
      </w:r>
      <w:r w:rsidRPr="00520861">
        <w:rPr>
          <w:i/>
          <w:sz w:val="28"/>
          <w:szCs w:val="28"/>
        </w:rPr>
        <w:tab/>
        <w:t xml:space="preserve">– </w:t>
      </w:r>
      <w:r w:rsidRPr="00520861">
        <w:rPr>
          <w:sz w:val="28"/>
          <w:szCs w:val="28"/>
        </w:rPr>
        <w:t>ГП,</w:t>
      </w:r>
    </w:p>
    <w:p w14:paraId="10306254" w14:textId="77777777" w:rsidR="002E3CE8" w:rsidRPr="00520861" w:rsidRDefault="002E3CE8" w:rsidP="008F1D77">
      <w:pPr>
        <w:widowControl w:val="0"/>
        <w:numPr>
          <w:ilvl w:val="0"/>
          <w:numId w:val="6"/>
        </w:numPr>
        <w:spacing w:line="360" w:lineRule="auto"/>
        <w:jc w:val="both"/>
        <w:rPr>
          <w:i/>
          <w:sz w:val="28"/>
          <w:szCs w:val="28"/>
        </w:rPr>
      </w:pPr>
      <w:r w:rsidRPr="00520861">
        <w:rPr>
          <w:i/>
          <w:sz w:val="28"/>
          <w:szCs w:val="28"/>
        </w:rPr>
        <w:t>дівчатка</w:t>
      </w:r>
    </w:p>
    <w:p w14:paraId="2B38EB90"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0,839±0,037</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4,292±0,286</m:t>
            </m:r>
          </m:e>
        </m:d>
      </m:oMath>
      <w:r w:rsidRPr="00520861">
        <w:rPr>
          <w:i/>
          <w:sz w:val="28"/>
          <w:szCs w:val="28"/>
        </w:rPr>
        <w:t xml:space="preserve"> </w:t>
      </w:r>
      <w:r w:rsidRPr="00520861">
        <w:rPr>
          <w:i/>
          <w:sz w:val="28"/>
          <w:szCs w:val="28"/>
        </w:rPr>
        <w:tab/>
        <w:t xml:space="preserve">– </w:t>
      </w:r>
      <w:r w:rsidRPr="00520861">
        <w:rPr>
          <w:sz w:val="28"/>
          <w:szCs w:val="28"/>
        </w:rPr>
        <w:t>підгрупа 1;</w:t>
      </w:r>
    </w:p>
    <w:p w14:paraId="41B1ABE2"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0,796±0,059</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4,226±0,466</m:t>
            </m:r>
          </m:e>
        </m:d>
      </m:oMath>
      <w:r w:rsidRPr="00520861">
        <w:rPr>
          <w:i/>
          <w:sz w:val="28"/>
          <w:szCs w:val="28"/>
        </w:rPr>
        <w:t xml:space="preserve"> </w:t>
      </w:r>
      <w:r w:rsidRPr="00520861">
        <w:rPr>
          <w:i/>
          <w:sz w:val="28"/>
          <w:szCs w:val="28"/>
        </w:rPr>
        <w:tab/>
        <w:t xml:space="preserve">– </w:t>
      </w:r>
      <w:r w:rsidRPr="00520861">
        <w:rPr>
          <w:sz w:val="28"/>
          <w:szCs w:val="28"/>
        </w:rPr>
        <w:t>підгрупа 2;</w:t>
      </w:r>
    </w:p>
    <w:p w14:paraId="581BDC42"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0,992±0,077</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4,999±0,633</m:t>
            </m:r>
          </m:e>
        </m:d>
      </m:oMath>
      <w:r w:rsidRPr="00520861">
        <w:rPr>
          <w:i/>
          <w:sz w:val="28"/>
          <w:szCs w:val="28"/>
        </w:rPr>
        <w:t xml:space="preserve"> </w:t>
      </w:r>
      <w:r w:rsidRPr="00520861">
        <w:rPr>
          <w:i/>
          <w:sz w:val="28"/>
          <w:szCs w:val="28"/>
        </w:rPr>
        <w:tab/>
        <w:t xml:space="preserve">– </w:t>
      </w:r>
      <w:r w:rsidRPr="00520861">
        <w:rPr>
          <w:sz w:val="28"/>
          <w:szCs w:val="28"/>
        </w:rPr>
        <w:t>підгрупа 3;</w:t>
      </w:r>
    </w:p>
    <w:p w14:paraId="3FDDC40A" w14:textId="77777777" w:rsidR="002E3CE8" w:rsidRPr="00520861" w:rsidRDefault="002E3CE8" w:rsidP="00251DA0">
      <w:pPr>
        <w:widowControl w:val="0"/>
        <w:spacing w:line="360" w:lineRule="auto"/>
        <w:ind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0,793±0,030</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4,189±0,234</m:t>
            </m:r>
          </m:e>
        </m:d>
      </m:oMath>
      <w:r w:rsidRPr="00520861">
        <w:rPr>
          <w:i/>
          <w:sz w:val="28"/>
          <w:szCs w:val="28"/>
        </w:rPr>
        <w:t xml:space="preserve"> </w:t>
      </w:r>
      <w:r w:rsidRPr="00520861">
        <w:rPr>
          <w:i/>
          <w:sz w:val="28"/>
          <w:szCs w:val="28"/>
        </w:rPr>
        <w:tab/>
        <w:t xml:space="preserve">– </w:t>
      </w:r>
      <w:r w:rsidRPr="00520861">
        <w:rPr>
          <w:sz w:val="28"/>
          <w:szCs w:val="28"/>
        </w:rPr>
        <w:t>підгрупа 4</w:t>
      </w:r>
      <w:r w:rsidRPr="00520861">
        <w:rPr>
          <w:i/>
          <w:sz w:val="28"/>
          <w:szCs w:val="28"/>
        </w:rPr>
        <w:t>;</w:t>
      </w:r>
    </w:p>
    <w:p w14:paraId="39B69B56" w14:textId="77777777" w:rsidR="002E3CE8" w:rsidRPr="00520861" w:rsidRDefault="002E3CE8" w:rsidP="00292D2E">
      <w:pPr>
        <w:widowControl w:val="0"/>
        <w:spacing w:line="360" w:lineRule="auto"/>
        <w:ind w:right="-1" w:firstLine="567"/>
        <w:jc w:val="both"/>
        <w:rPr>
          <w:i/>
          <w:sz w:val="28"/>
          <w:szCs w:val="28"/>
        </w:rPr>
      </w:pPr>
      <m:oMath>
        <m:r>
          <w:rPr>
            <w:rFonts w:ascii="Cambria Math" w:hAnsi="Cambria Math"/>
            <w:sz w:val="28"/>
            <w:szCs w:val="28"/>
          </w:rPr>
          <m:t>z=</m:t>
        </m:r>
        <m:d>
          <m:dPr>
            <m:ctrlPr>
              <w:rPr>
                <w:rFonts w:ascii="Cambria Math" w:hAnsi="Cambria Math"/>
                <w:i/>
                <w:sz w:val="28"/>
                <w:szCs w:val="28"/>
              </w:rPr>
            </m:ctrlPr>
          </m:dPr>
          <m:e>
            <m:r>
              <w:rPr>
                <w:rFonts w:ascii="Cambria Math" w:hAnsi="Cambria Math"/>
                <w:sz w:val="28"/>
                <w:szCs w:val="28"/>
              </w:rPr>
              <m:t>0,911±0,018</m:t>
            </m:r>
          </m:e>
        </m:d>
        <m:r>
          <w:rPr>
            <w:rFonts w:ascii="Cambria Math" w:hAnsi="Cambria Math"/>
            <w:sz w:val="28"/>
            <w:szCs w:val="28"/>
          </w:rPr>
          <m:t>n-</m:t>
        </m:r>
        <m:d>
          <m:dPr>
            <m:ctrlPr>
              <w:rPr>
                <w:rFonts w:ascii="Cambria Math" w:hAnsi="Cambria Math"/>
                <w:i/>
                <w:sz w:val="28"/>
                <w:szCs w:val="28"/>
              </w:rPr>
            </m:ctrlPr>
          </m:dPr>
          <m:e>
            <m:r>
              <w:rPr>
                <w:rFonts w:ascii="Cambria Math" w:hAnsi="Cambria Math"/>
                <w:sz w:val="28"/>
                <w:szCs w:val="28"/>
              </w:rPr>
              <m:t>4,641±0,153</m:t>
            </m:r>
          </m:e>
        </m:d>
      </m:oMath>
      <w:r w:rsidRPr="00520861">
        <w:rPr>
          <w:i/>
          <w:sz w:val="28"/>
          <w:szCs w:val="28"/>
        </w:rPr>
        <w:t xml:space="preserve"> </w:t>
      </w:r>
      <w:r w:rsidRPr="00520861">
        <w:rPr>
          <w:i/>
          <w:sz w:val="28"/>
          <w:szCs w:val="28"/>
        </w:rPr>
        <w:tab/>
      </w:r>
      <w:r w:rsidRPr="00520861">
        <w:rPr>
          <w:sz w:val="28"/>
          <w:szCs w:val="28"/>
        </w:rPr>
        <w:t>– ГП.</w:t>
      </w:r>
    </w:p>
    <w:p w14:paraId="2D71F4B4"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sz w:val="28"/>
          <w:szCs w:val="28"/>
          <w:shd w:val="clear" w:color="auto" w:fill="9CC2E5" w:themeFill="accent1" w:themeFillTint="99"/>
        </w:rPr>
        <w:sectPr w:rsidR="002E3CE8" w:rsidRPr="00520861" w:rsidSect="00292D2E">
          <w:pgSz w:w="11906" w:h="16838"/>
          <w:pgMar w:top="1134" w:right="624" w:bottom="1134" w:left="1134" w:header="709" w:footer="709" w:gutter="0"/>
          <w:cols w:space="708"/>
          <w:docGrid w:linePitch="360"/>
        </w:sectPr>
      </w:pPr>
    </w:p>
    <w:p w14:paraId="07C57BA7"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rPr>
      </w:pPr>
      <w:r w:rsidRPr="00520861">
        <w:rPr>
          <w:i/>
          <w:sz w:val="28"/>
          <w:szCs w:val="28"/>
        </w:rPr>
        <w:lastRenderedPageBreak/>
        <w:t xml:space="preserve">Таблиця 5.5 </w:t>
      </w:r>
    </w:p>
    <w:p w14:paraId="3E257C7A"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eastAsia="Calibri"/>
          <w:b/>
          <w:sz w:val="28"/>
          <w:szCs w:val="28"/>
        </w:rPr>
      </w:pPr>
      <w:r w:rsidRPr="00520861">
        <w:rPr>
          <w:rFonts w:eastAsia="Calibri"/>
          <w:b/>
          <w:sz w:val="28"/>
          <w:szCs w:val="28"/>
        </w:rPr>
        <w:t>Зведені дані про об’єм статистичного матеріалу в різних категоріях новонароджених і результати регресійного аналізу по підгрупах (з 95% ДІ)</w:t>
      </w:r>
    </w:p>
    <w:tbl>
      <w:tblPr>
        <w:tblW w:w="1446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1162"/>
        <w:gridCol w:w="1163"/>
        <w:gridCol w:w="1163"/>
        <w:gridCol w:w="1162"/>
        <w:gridCol w:w="1163"/>
        <w:gridCol w:w="1162"/>
        <w:gridCol w:w="1162"/>
        <w:gridCol w:w="1163"/>
        <w:gridCol w:w="1162"/>
        <w:gridCol w:w="1163"/>
      </w:tblGrid>
      <w:tr w:rsidR="002E3CE8" w:rsidRPr="00520861" w14:paraId="1206E87F" w14:textId="77777777" w:rsidTr="00292D2E">
        <w:tc>
          <w:tcPr>
            <w:tcW w:w="2835" w:type="dxa"/>
            <w:tcBorders>
              <w:top w:val="single" w:sz="4" w:space="0" w:color="auto"/>
              <w:left w:val="single" w:sz="4" w:space="0" w:color="auto"/>
              <w:bottom w:val="single" w:sz="4" w:space="0" w:color="auto"/>
              <w:right w:val="single" w:sz="4" w:space="0" w:color="auto"/>
            </w:tcBorders>
            <w:hideMark/>
          </w:tcPr>
          <w:p w14:paraId="3F2520BF" w14:textId="77777777" w:rsidR="002E3CE8" w:rsidRPr="00520861" w:rsidRDefault="002E3CE8" w:rsidP="00292D2E">
            <w:pPr>
              <w:widowControl w:val="0"/>
              <w:spacing w:line="360" w:lineRule="auto"/>
              <w:jc w:val="center"/>
              <w:rPr>
                <w:sz w:val="28"/>
                <w:szCs w:val="28"/>
              </w:rPr>
            </w:pPr>
            <w:r w:rsidRPr="00520861">
              <w:rPr>
                <w:sz w:val="28"/>
                <w:szCs w:val="28"/>
              </w:rPr>
              <w:t>Група, підгрупа</w:t>
            </w:r>
          </w:p>
        </w:tc>
        <w:tc>
          <w:tcPr>
            <w:tcW w:w="2325" w:type="dxa"/>
            <w:gridSpan w:val="2"/>
            <w:tcBorders>
              <w:top w:val="single" w:sz="4" w:space="0" w:color="auto"/>
              <w:left w:val="single" w:sz="4" w:space="0" w:color="auto"/>
              <w:bottom w:val="single" w:sz="4" w:space="0" w:color="auto"/>
              <w:right w:val="single" w:sz="4" w:space="0" w:color="auto"/>
            </w:tcBorders>
            <w:hideMark/>
          </w:tcPr>
          <w:p w14:paraId="0E6623B8" w14:textId="77777777" w:rsidR="002E3CE8" w:rsidRPr="00520861" w:rsidRDefault="002E3CE8" w:rsidP="00292D2E">
            <w:pPr>
              <w:widowControl w:val="0"/>
              <w:spacing w:line="360" w:lineRule="auto"/>
              <w:jc w:val="center"/>
              <w:rPr>
                <w:sz w:val="28"/>
                <w:szCs w:val="28"/>
                <w:lang w:eastAsia="en-US"/>
              </w:rPr>
            </w:pPr>
            <w:r w:rsidRPr="00520861">
              <w:rPr>
                <w:bCs/>
                <w:sz w:val="28"/>
                <w:szCs w:val="28"/>
              </w:rPr>
              <w:t>Підгрупа 1</w:t>
            </w:r>
          </w:p>
        </w:tc>
        <w:tc>
          <w:tcPr>
            <w:tcW w:w="2325" w:type="dxa"/>
            <w:gridSpan w:val="2"/>
            <w:tcBorders>
              <w:top w:val="single" w:sz="4" w:space="0" w:color="auto"/>
              <w:left w:val="single" w:sz="4" w:space="0" w:color="auto"/>
              <w:bottom w:val="single" w:sz="4" w:space="0" w:color="auto"/>
              <w:right w:val="single" w:sz="4" w:space="0" w:color="auto"/>
            </w:tcBorders>
            <w:hideMark/>
          </w:tcPr>
          <w:p w14:paraId="7F7505A2" w14:textId="77777777" w:rsidR="002E3CE8" w:rsidRPr="00520861" w:rsidRDefault="002E3CE8" w:rsidP="00292D2E">
            <w:pPr>
              <w:widowControl w:val="0"/>
              <w:spacing w:line="360" w:lineRule="auto"/>
              <w:jc w:val="center"/>
              <w:rPr>
                <w:sz w:val="28"/>
                <w:szCs w:val="28"/>
                <w:lang w:eastAsia="en-US"/>
              </w:rPr>
            </w:pPr>
            <w:r w:rsidRPr="00520861">
              <w:rPr>
                <w:bCs/>
                <w:sz w:val="28"/>
                <w:szCs w:val="28"/>
              </w:rPr>
              <w:t>Підгрупа 2</w:t>
            </w:r>
          </w:p>
        </w:tc>
        <w:tc>
          <w:tcPr>
            <w:tcW w:w="2325" w:type="dxa"/>
            <w:gridSpan w:val="2"/>
            <w:tcBorders>
              <w:top w:val="single" w:sz="4" w:space="0" w:color="auto"/>
              <w:left w:val="single" w:sz="4" w:space="0" w:color="auto"/>
              <w:bottom w:val="single" w:sz="4" w:space="0" w:color="auto"/>
              <w:right w:val="single" w:sz="4" w:space="0" w:color="auto"/>
            </w:tcBorders>
            <w:hideMark/>
          </w:tcPr>
          <w:p w14:paraId="4766161B" w14:textId="77777777" w:rsidR="002E3CE8" w:rsidRPr="00520861" w:rsidRDefault="002E3CE8" w:rsidP="00292D2E">
            <w:pPr>
              <w:widowControl w:val="0"/>
              <w:spacing w:line="360" w:lineRule="auto"/>
              <w:jc w:val="center"/>
              <w:rPr>
                <w:sz w:val="28"/>
                <w:szCs w:val="28"/>
                <w:lang w:eastAsia="en-US"/>
              </w:rPr>
            </w:pPr>
            <w:r w:rsidRPr="00520861">
              <w:rPr>
                <w:bCs/>
                <w:sz w:val="28"/>
                <w:szCs w:val="28"/>
              </w:rPr>
              <w:t>Підгрупа 3</w:t>
            </w:r>
          </w:p>
        </w:tc>
        <w:tc>
          <w:tcPr>
            <w:tcW w:w="2325" w:type="dxa"/>
            <w:gridSpan w:val="2"/>
            <w:tcBorders>
              <w:top w:val="single" w:sz="4" w:space="0" w:color="auto"/>
              <w:left w:val="single" w:sz="4" w:space="0" w:color="auto"/>
              <w:bottom w:val="single" w:sz="4" w:space="0" w:color="auto"/>
              <w:right w:val="single" w:sz="4" w:space="0" w:color="auto"/>
            </w:tcBorders>
            <w:hideMark/>
          </w:tcPr>
          <w:p w14:paraId="326AE632" w14:textId="77777777" w:rsidR="002E3CE8" w:rsidRPr="00520861" w:rsidRDefault="002E3CE8" w:rsidP="00292D2E">
            <w:pPr>
              <w:widowControl w:val="0"/>
              <w:spacing w:line="360" w:lineRule="auto"/>
              <w:jc w:val="center"/>
              <w:rPr>
                <w:sz w:val="28"/>
                <w:szCs w:val="28"/>
                <w:lang w:eastAsia="en-US"/>
              </w:rPr>
            </w:pPr>
            <w:r w:rsidRPr="00520861">
              <w:rPr>
                <w:bCs/>
                <w:sz w:val="28"/>
                <w:szCs w:val="28"/>
              </w:rPr>
              <w:t>Підгрупа 4</w:t>
            </w:r>
          </w:p>
        </w:tc>
        <w:tc>
          <w:tcPr>
            <w:tcW w:w="2325" w:type="dxa"/>
            <w:gridSpan w:val="2"/>
            <w:tcBorders>
              <w:top w:val="single" w:sz="4" w:space="0" w:color="auto"/>
              <w:left w:val="single" w:sz="4" w:space="0" w:color="auto"/>
              <w:bottom w:val="single" w:sz="4" w:space="0" w:color="auto"/>
              <w:right w:val="single" w:sz="4" w:space="0" w:color="auto"/>
            </w:tcBorders>
            <w:hideMark/>
          </w:tcPr>
          <w:p w14:paraId="4A0DE49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ГП</w:t>
            </w:r>
          </w:p>
        </w:tc>
      </w:tr>
      <w:tr w:rsidR="002E3CE8" w:rsidRPr="00520861" w14:paraId="7F7FA1F3" w14:textId="77777777" w:rsidTr="00292D2E">
        <w:tc>
          <w:tcPr>
            <w:tcW w:w="2835" w:type="dxa"/>
            <w:tcBorders>
              <w:top w:val="single" w:sz="4" w:space="0" w:color="auto"/>
              <w:left w:val="single" w:sz="4" w:space="0" w:color="auto"/>
              <w:bottom w:val="single" w:sz="4" w:space="0" w:color="auto"/>
              <w:right w:val="single" w:sz="4" w:space="0" w:color="auto"/>
            </w:tcBorders>
            <w:hideMark/>
          </w:tcPr>
          <w:p w14:paraId="2E1204BD" w14:textId="77777777" w:rsidR="002E3CE8" w:rsidRPr="00520861" w:rsidRDefault="002E3CE8" w:rsidP="00292D2E">
            <w:pPr>
              <w:widowControl w:val="0"/>
              <w:spacing w:line="360" w:lineRule="auto"/>
              <w:jc w:val="center"/>
              <w:rPr>
                <w:sz w:val="28"/>
                <w:szCs w:val="28"/>
                <w:lang w:eastAsia="en-US"/>
              </w:rPr>
            </w:pPr>
            <w:r w:rsidRPr="00520861">
              <w:rPr>
                <w:sz w:val="28"/>
                <w:szCs w:val="28"/>
              </w:rPr>
              <w:t>Учасники</w:t>
            </w:r>
          </w:p>
        </w:tc>
        <w:tc>
          <w:tcPr>
            <w:tcW w:w="1162" w:type="dxa"/>
            <w:hideMark/>
          </w:tcPr>
          <w:p w14:paraId="044C8DC5" w14:textId="77777777" w:rsidR="002E3CE8" w:rsidRPr="00520861" w:rsidRDefault="002E3CE8" w:rsidP="00292D2E">
            <w:pPr>
              <w:widowControl w:val="0"/>
              <w:spacing w:line="360" w:lineRule="auto"/>
              <w:ind w:right="-79" w:hanging="109"/>
              <w:jc w:val="both"/>
              <w:rPr>
                <w:spacing w:val="-8"/>
                <w:sz w:val="28"/>
                <w:szCs w:val="28"/>
              </w:rPr>
            </w:pPr>
            <w:r w:rsidRPr="00520861">
              <w:rPr>
                <w:spacing w:val="-8"/>
                <w:sz w:val="28"/>
                <w:szCs w:val="28"/>
              </w:rPr>
              <w:t>хлопчики</w:t>
            </w:r>
          </w:p>
        </w:tc>
        <w:tc>
          <w:tcPr>
            <w:tcW w:w="1163" w:type="dxa"/>
            <w:hideMark/>
          </w:tcPr>
          <w:p w14:paraId="07E78082" w14:textId="77777777" w:rsidR="002E3CE8" w:rsidRPr="00520861" w:rsidRDefault="002E3CE8" w:rsidP="00292D2E">
            <w:pPr>
              <w:widowControl w:val="0"/>
              <w:spacing w:line="360" w:lineRule="auto"/>
              <w:ind w:left="-108" w:right="-108"/>
              <w:jc w:val="center"/>
              <w:rPr>
                <w:rFonts w:eastAsiaTheme="minorHAnsi"/>
                <w:sz w:val="28"/>
                <w:szCs w:val="28"/>
              </w:rPr>
            </w:pPr>
            <w:r w:rsidRPr="00520861">
              <w:rPr>
                <w:rFonts w:eastAsiaTheme="minorHAnsi"/>
                <w:sz w:val="28"/>
                <w:szCs w:val="28"/>
              </w:rPr>
              <w:t>дівчатка</w:t>
            </w:r>
          </w:p>
        </w:tc>
        <w:tc>
          <w:tcPr>
            <w:tcW w:w="1163" w:type="dxa"/>
            <w:hideMark/>
          </w:tcPr>
          <w:p w14:paraId="5739A8B5" w14:textId="77777777" w:rsidR="002E3CE8" w:rsidRPr="00520861" w:rsidRDefault="002E3CE8" w:rsidP="00292D2E">
            <w:pPr>
              <w:widowControl w:val="0"/>
              <w:spacing w:line="360" w:lineRule="auto"/>
              <w:ind w:left="-136" w:right="-104" w:hanging="24"/>
              <w:jc w:val="both"/>
              <w:rPr>
                <w:spacing w:val="-8"/>
                <w:sz w:val="28"/>
                <w:szCs w:val="28"/>
              </w:rPr>
            </w:pPr>
            <w:r w:rsidRPr="00520861">
              <w:rPr>
                <w:spacing w:val="-8"/>
                <w:sz w:val="28"/>
                <w:szCs w:val="28"/>
              </w:rPr>
              <w:t>хлопчики</w:t>
            </w:r>
          </w:p>
        </w:tc>
        <w:tc>
          <w:tcPr>
            <w:tcW w:w="1162" w:type="dxa"/>
            <w:hideMark/>
          </w:tcPr>
          <w:p w14:paraId="5A0A0B68" w14:textId="77777777" w:rsidR="002E3CE8" w:rsidRPr="00520861" w:rsidRDefault="002E3CE8" w:rsidP="00292D2E">
            <w:pPr>
              <w:widowControl w:val="0"/>
              <w:spacing w:line="360" w:lineRule="auto"/>
              <w:ind w:hanging="142"/>
              <w:jc w:val="center"/>
              <w:rPr>
                <w:sz w:val="28"/>
                <w:szCs w:val="28"/>
                <w:lang w:eastAsia="en-US"/>
              </w:rPr>
            </w:pPr>
            <w:r w:rsidRPr="00520861">
              <w:rPr>
                <w:rFonts w:eastAsiaTheme="minorHAnsi"/>
                <w:sz w:val="28"/>
                <w:szCs w:val="28"/>
              </w:rPr>
              <w:t>Дівчатка</w:t>
            </w:r>
          </w:p>
        </w:tc>
        <w:tc>
          <w:tcPr>
            <w:tcW w:w="1163" w:type="dxa"/>
            <w:hideMark/>
          </w:tcPr>
          <w:p w14:paraId="4E6484F3" w14:textId="77777777" w:rsidR="002E3CE8" w:rsidRPr="00520861" w:rsidRDefault="002E3CE8" w:rsidP="00292D2E">
            <w:pPr>
              <w:widowControl w:val="0"/>
              <w:spacing w:line="360" w:lineRule="auto"/>
              <w:ind w:left="-156" w:right="-174"/>
              <w:jc w:val="both"/>
              <w:rPr>
                <w:spacing w:val="-8"/>
                <w:sz w:val="28"/>
                <w:szCs w:val="28"/>
              </w:rPr>
            </w:pPr>
            <w:r w:rsidRPr="00520861">
              <w:rPr>
                <w:spacing w:val="-8"/>
                <w:sz w:val="28"/>
                <w:szCs w:val="28"/>
              </w:rPr>
              <w:t>Хлопчики</w:t>
            </w:r>
          </w:p>
        </w:tc>
        <w:tc>
          <w:tcPr>
            <w:tcW w:w="1162" w:type="dxa"/>
            <w:hideMark/>
          </w:tcPr>
          <w:p w14:paraId="014D34E6" w14:textId="77777777" w:rsidR="002E3CE8" w:rsidRPr="00520861" w:rsidRDefault="002E3CE8" w:rsidP="00292D2E">
            <w:pPr>
              <w:widowControl w:val="0"/>
              <w:spacing w:line="360" w:lineRule="auto"/>
              <w:ind w:right="-161" w:hanging="184"/>
              <w:jc w:val="center"/>
              <w:rPr>
                <w:sz w:val="28"/>
                <w:szCs w:val="28"/>
                <w:lang w:eastAsia="en-US"/>
              </w:rPr>
            </w:pPr>
            <w:r w:rsidRPr="00520861">
              <w:rPr>
                <w:rFonts w:eastAsiaTheme="minorHAnsi"/>
                <w:sz w:val="28"/>
                <w:szCs w:val="28"/>
              </w:rPr>
              <w:t>дівчатка</w:t>
            </w:r>
          </w:p>
        </w:tc>
        <w:tc>
          <w:tcPr>
            <w:tcW w:w="1162" w:type="dxa"/>
            <w:hideMark/>
          </w:tcPr>
          <w:p w14:paraId="09F30E23" w14:textId="77777777" w:rsidR="002E3CE8" w:rsidRPr="00520861" w:rsidRDefault="002E3CE8" w:rsidP="00292D2E">
            <w:pPr>
              <w:widowControl w:val="0"/>
              <w:spacing w:line="360" w:lineRule="auto"/>
              <w:ind w:right="-102" w:hanging="71"/>
              <w:jc w:val="both"/>
              <w:rPr>
                <w:spacing w:val="-8"/>
                <w:sz w:val="28"/>
                <w:szCs w:val="28"/>
              </w:rPr>
            </w:pPr>
            <w:r w:rsidRPr="00520861">
              <w:rPr>
                <w:spacing w:val="-8"/>
                <w:sz w:val="28"/>
                <w:szCs w:val="28"/>
              </w:rPr>
              <w:t>хлопчики</w:t>
            </w:r>
          </w:p>
        </w:tc>
        <w:tc>
          <w:tcPr>
            <w:tcW w:w="1163" w:type="dxa"/>
            <w:hideMark/>
          </w:tcPr>
          <w:p w14:paraId="4C71F921" w14:textId="77777777" w:rsidR="002E3CE8" w:rsidRPr="00520861" w:rsidRDefault="002E3CE8" w:rsidP="00292D2E">
            <w:pPr>
              <w:widowControl w:val="0"/>
              <w:spacing w:line="360" w:lineRule="auto"/>
              <w:ind w:right="-134" w:hanging="211"/>
              <w:jc w:val="center"/>
              <w:rPr>
                <w:sz w:val="28"/>
                <w:szCs w:val="28"/>
                <w:lang w:eastAsia="en-US"/>
              </w:rPr>
            </w:pPr>
            <w:r w:rsidRPr="00520861">
              <w:rPr>
                <w:rFonts w:eastAsiaTheme="minorHAnsi"/>
                <w:sz w:val="28"/>
                <w:szCs w:val="28"/>
              </w:rPr>
              <w:t>дівчатка</w:t>
            </w:r>
          </w:p>
        </w:tc>
        <w:tc>
          <w:tcPr>
            <w:tcW w:w="1162" w:type="dxa"/>
            <w:hideMark/>
          </w:tcPr>
          <w:p w14:paraId="4B6F56F8" w14:textId="77777777" w:rsidR="002E3CE8" w:rsidRPr="00520861" w:rsidRDefault="002E3CE8" w:rsidP="00292D2E">
            <w:pPr>
              <w:widowControl w:val="0"/>
              <w:spacing w:line="360" w:lineRule="auto"/>
              <w:ind w:right="-128" w:hanging="75"/>
              <w:jc w:val="both"/>
              <w:rPr>
                <w:spacing w:val="-8"/>
                <w:sz w:val="28"/>
                <w:szCs w:val="28"/>
              </w:rPr>
            </w:pPr>
            <w:r w:rsidRPr="00520861">
              <w:rPr>
                <w:spacing w:val="-8"/>
                <w:sz w:val="28"/>
                <w:szCs w:val="28"/>
              </w:rPr>
              <w:t>хлопчики</w:t>
            </w:r>
          </w:p>
        </w:tc>
        <w:tc>
          <w:tcPr>
            <w:tcW w:w="1163" w:type="dxa"/>
            <w:hideMark/>
          </w:tcPr>
          <w:p w14:paraId="09684083" w14:textId="77777777" w:rsidR="002E3CE8" w:rsidRPr="00520861" w:rsidRDefault="002E3CE8" w:rsidP="00292D2E">
            <w:pPr>
              <w:widowControl w:val="0"/>
              <w:spacing w:line="360" w:lineRule="auto"/>
              <w:ind w:right="-103" w:hanging="238"/>
              <w:jc w:val="center"/>
              <w:rPr>
                <w:sz w:val="28"/>
                <w:szCs w:val="28"/>
                <w:lang w:eastAsia="en-US"/>
              </w:rPr>
            </w:pPr>
            <w:r w:rsidRPr="00520861">
              <w:rPr>
                <w:rFonts w:eastAsiaTheme="minorHAnsi"/>
                <w:sz w:val="28"/>
                <w:szCs w:val="28"/>
              </w:rPr>
              <w:t>дівчатка</w:t>
            </w:r>
          </w:p>
        </w:tc>
      </w:tr>
      <w:tr w:rsidR="002E3CE8" w:rsidRPr="00520861" w14:paraId="2B91A8FF" w14:textId="77777777" w:rsidTr="00292D2E">
        <w:tc>
          <w:tcPr>
            <w:tcW w:w="2835" w:type="dxa"/>
            <w:tcBorders>
              <w:top w:val="single" w:sz="4" w:space="0" w:color="auto"/>
              <w:left w:val="single" w:sz="4" w:space="0" w:color="auto"/>
              <w:bottom w:val="single" w:sz="4" w:space="0" w:color="auto"/>
              <w:right w:val="single" w:sz="4" w:space="0" w:color="auto"/>
            </w:tcBorders>
            <w:vAlign w:val="center"/>
            <w:hideMark/>
          </w:tcPr>
          <w:p w14:paraId="5E74E89A" w14:textId="77777777" w:rsidR="002E3CE8" w:rsidRPr="00520861" w:rsidRDefault="002E3CE8" w:rsidP="00292D2E">
            <w:pPr>
              <w:widowControl w:val="0"/>
              <w:spacing w:line="360" w:lineRule="auto"/>
              <w:jc w:val="center"/>
              <w:rPr>
                <w:sz w:val="28"/>
                <w:szCs w:val="28"/>
                <w:lang w:eastAsia="en-US"/>
              </w:rPr>
            </w:pPr>
            <w:r w:rsidRPr="00520861">
              <w:rPr>
                <w:sz w:val="28"/>
                <w:szCs w:val="28"/>
              </w:rPr>
              <w:t>Кількість історій розвитку дітей</w:t>
            </w:r>
          </w:p>
        </w:tc>
        <w:tc>
          <w:tcPr>
            <w:tcW w:w="1162" w:type="dxa"/>
            <w:tcBorders>
              <w:top w:val="single" w:sz="4" w:space="0" w:color="auto"/>
              <w:left w:val="single" w:sz="4" w:space="0" w:color="auto"/>
              <w:bottom w:val="single" w:sz="4" w:space="0" w:color="auto"/>
              <w:right w:val="single" w:sz="4" w:space="0" w:color="auto"/>
            </w:tcBorders>
            <w:hideMark/>
          </w:tcPr>
          <w:p w14:paraId="460C4991"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160</w:t>
            </w:r>
          </w:p>
        </w:tc>
        <w:tc>
          <w:tcPr>
            <w:tcW w:w="1163" w:type="dxa"/>
            <w:tcBorders>
              <w:top w:val="single" w:sz="4" w:space="0" w:color="auto"/>
              <w:left w:val="single" w:sz="4" w:space="0" w:color="auto"/>
              <w:bottom w:val="single" w:sz="4" w:space="0" w:color="auto"/>
              <w:right w:val="single" w:sz="4" w:space="0" w:color="auto"/>
            </w:tcBorders>
            <w:hideMark/>
          </w:tcPr>
          <w:p w14:paraId="606F0F8C"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86</w:t>
            </w:r>
          </w:p>
        </w:tc>
        <w:tc>
          <w:tcPr>
            <w:tcW w:w="1163" w:type="dxa"/>
            <w:tcBorders>
              <w:top w:val="single" w:sz="4" w:space="0" w:color="auto"/>
              <w:left w:val="single" w:sz="4" w:space="0" w:color="auto"/>
              <w:bottom w:val="single" w:sz="4" w:space="0" w:color="auto"/>
              <w:right w:val="single" w:sz="4" w:space="0" w:color="auto"/>
            </w:tcBorders>
            <w:hideMark/>
          </w:tcPr>
          <w:p w14:paraId="1FB45FD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65</w:t>
            </w:r>
          </w:p>
        </w:tc>
        <w:tc>
          <w:tcPr>
            <w:tcW w:w="1162" w:type="dxa"/>
            <w:tcBorders>
              <w:top w:val="single" w:sz="4" w:space="0" w:color="auto"/>
              <w:left w:val="single" w:sz="4" w:space="0" w:color="auto"/>
              <w:bottom w:val="single" w:sz="4" w:space="0" w:color="auto"/>
              <w:right w:val="single" w:sz="4" w:space="0" w:color="auto"/>
            </w:tcBorders>
            <w:hideMark/>
          </w:tcPr>
          <w:p w14:paraId="65CD060E"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31</w:t>
            </w:r>
          </w:p>
        </w:tc>
        <w:tc>
          <w:tcPr>
            <w:tcW w:w="1163" w:type="dxa"/>
            <w:tcBorders>
              <w:top w:val="single" w:sz="4" w:space="0" w:color="auto"/>
              <w:left w:val="single" w:sz="4" w:space="0" w:color="auto"/>
              <w:bottom w:val="single" w:sz="4" w:space="0" w:color="auto"/>
              <w:right w:val="single" w:sz="4" w:space="0" w:color="auto"/>
            </w:tcBorders>
            <w:hideMark/>
          </w:tcPr>
          <w:p w14:paraId="056E3037"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104</w:t>
            </w:r>
          </w:p>
        </w:tc>
        <w:tc>
          <w:tcPr>
            <w:tcW w:w="1162" w:type="dxa"/>
            <w:tcBorders>
              <w:top w:val="single" w:sz="4" w:space="0" w:color="auto"/>
              <w:left w:val="single" w:sz="4" w:space="0" w:color="auto"/>
              <w:bottom w:val="single" w:sz="4" w:space="0" w:color="auto"/>
              <w:right w:val="single" w:sz="4" w:space="0" w:color="auto"/>
            </w:tcBorders>
            <w:hideMark/>
          </w:tcPr>
          <w:p w14:paraId="6F3C5B62"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42</w:t>
            </w:r>
          </w:p>
        </w:tc>
        <w:tc>
          <w:tcPr>
            <w:tcW w:w="1162" w:type="dxa"/>
            <w:tcBorders>
              <w:top w:val="single" w:sz="4" w:space="0" w:color="auto"/>
              <w:left w:val="single" w:sz="4" w:space="0" w:color="auto"/>
              <w:bottom w:val="single" w:sz="4" w:space="0" w:color="auto"/>
              <w:right w:val="single" w:sz="4" w:space="0" w:color="auto"/>
            </w:tcBorders>
            <w:hideMark/>
          </w:tcPr>
          <w:p w14:paraId="798AC1A6"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156</w:t>
            </w:r>
          </w:p>
        </w:tc>
        <w:tc>
          <w:tcPr>
            <w:tcW w:w="1163" w:type="dxa"/>
            <w:tcBorders>
              <w:top w:val="single" w:sz="4" w:space="0" w:color="auto"/>
              <w:left w:val="single" w:sz="4" w:space="0" w:color="auto"/>
              <w:bottom w:val="single" w:sz="4" w:space="0" w:color="auto"/>
              <w:right w:val="single" w:sz="4" w:space="0" w:color="auto"/>
            </w:tcBorders>
            <w:hideMark/>
          </w:tcPr>
          <w:p w14:paraId="5B33F1AB"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104</w:t>
            </w:r>
          </w:p>
        </w:tc>
        <w:tc>
          <w:tcPr>
            <w:tcW w:w="1162" w:type="dxa"/>
            <w:tcBorders>
              <w:top w:val="single" w:sz="4" w:space="0" w:color="auto"/>
              <w:left w:val="single" w:sz="4" w:space="0" w:color="auto"/>
              <w:bottom w:val="single" w:sz="4" w:space="0" w:color="auto"/>
              <w:right w:val="single" w:sz="4" w:space="0" w:color="auto"/>
            </w:tcBorders>
            <w:hideMark/>
          </w:tcPr>
          <w:p w14:paraId="72CB0A67"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413</w:t>
            </w:r>
          </w:p>
        </w:tc>
        <w:tc>
          <w:tcPr>
            <w:tcW w:w="1163" w:type="dxa"/>
            <w:tcBorders>
              <w:top w:val="single" w:sz="4" w:space="0" w:color="auto"/>
              <w:left w:val="single" w:sz="4" w:space="0" w:color="auto"/>
              <w:bottom w:val="single" w:sz="4" w:space="0" w:color="auto"/>
              <w:right w:val="single" w:sz="4" w:space="0" w:color="auto"/>
            </w:tcBorders>
            <w:hideMark/>
          </w:tcPr>
          <w:p w14:paraId="725B1716"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293</w:t>
            </w:r>
          </w:p>
        </w:tc>
      </w:tr>
      <w:tr w:rsidR="002E3CE8" w:rsidRPr="00520861" w14:paraId="69D2E1B0" w14:textId="77777777" w:rsidTr="00292D2E">
        <w:trPr>
          <w:trHeight w:val="205"/>
        </w:trPr>
        <w:tc>
          <w:tcPr>
            <w:tcW w:w="2835" w:type="dxa"/>
            <w:tcBorders>
              <w:top w:val="single" w:sz="4" w:space="0" w:color="auto"/>
              <w:left w:val="single" w:sz="4" w:space="0" w:color="auto"/>
              <w:bottom w:val="single" w:sz="4" w:space="0" w:color="auto"/>
              <w:right w:val="single" w:sz="4" w:space="0" w:color="auto"/>
            </w:tcBorders>
            <w:hideMark/>
          </w:tcPr>
          <w:p w14:paraId="0E0CF7CF" w14:textId="77777777" w:rsidR="002E3CE8" w:rsidRPr="00520861" w:rsidRDefault="002E3CE8" w:rsidP="00292D2E">
            <w:pPr>
              <w:widowControl w:val="0"/>
              <w:spacing w:line="360" w:lineRule="auto"/>
              <w:jc w:val="center"/>
              <w:rPr>
                <w:sz w:val="28"/>
                <w:szCs w:val="28"/>
              </w:rPr>
            </w:pPr>
            <w:r w:rsidRPr="00520861">
              <w:rPr>
                <w:sz w:val="28"/>
                <w:szCs w:val="28"/>
              </w:rPr>
              <w:t xml:space="preserve">Кількість значень </w:t>
            </w:r>
          </w:p>
          <w:p w14:paraId="228B8A61" w14:textId="77777777" w:rsidR="002E3CE8" w:rsidRPr="00520861" w:rsidRDefault="002E3CE8" w:rsidP="00292D2E">
            <w:pPr>
              <w:widowControl w:val="0"/>
              <w:spacing w:line="360" w:lineRule="auto"/>
              <w:ind w:right="-108"/>
              <w:jc w:val="center"/>
              <w:rPr>
                <w:sz w:val="28"/>
                <w:szCs w:val="28"/>
              </w:rPr>
            </w:pPr>
            <w:r w:rsidRPr="00520861">
              <w:rPr>
                <w:sz w:val="28"/>
                <w:szCs w:val="28"/>
              </w:rPr>
              <w:t>для віку 4–12 місяців</w:t>
            </w:r>
          </w:p>
        </w:tc>
        <w:tc>
          <w:tcPr>
            <w:tcW w:w="1162" w:type="dxa"/>
            <w:tcBorders>
              <w:top w:val="single" w:sz="4" w:space="0" w:color="auto"/>
              <w:left w:val="single" w:sz="4" w:space="0" w:color="auto"/>
              <w:bottom w:val="single" w:sz="4" w:space="0" w:color="auto"/>
              <w:right w:val="single" w:sz="4" w:space="0" w:color="auto"/>
            </w:tcBorders>
            <w:hideMark/>
          </w:tcPr>
          <w:p w14:paraId="5E487E55"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729</w:t>
            </w:r>
          </w:p>
        </w:tc>
        <w:tc>
          <w:tcPr>
            <w:tcW w:w="1163" w:type="dxa"/>
            <w:tcBorders>
              <w:top w:val="single" w:sz="4" w:space="0" w:color="auto"/>
              <w:left w:val="single" w:sz="4" w:space="0" w:color="auto"/>
              <w:bottom w:val="single" w:sz="4" w:space="0" w:color="auto"/>
              <w:right w:val="single" w:sz="4" w:space="0" w:color="auto"/>
            </w:tcBorders>
            <w:hideMark/>
          </w:tcPr>
          <w:p w14:paraId="1E236D9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374</w:t>
            </w:r>
          </w:p>
        </w:tc>
        <w:tc>
          <w:tcPr>
            <w:tcW w:w="1163" w:type="dxa"/>
            <w:tcBorders>
              <w:top w:val="single" w:sz="4" w:space="0" w:color="auto"/>
              <w:left w:val="single" w:sz="4" w:space="0" w:color="auto"/>
              <w:bottom w:val="single" w:sz="4" w:space="0" w:color="auto"/>
              <w:right w:val="single" w:sz="4" w:space="0" w:color="auto"/>
            </w:tcBorders>
            <w:hideMark/>
          </w:tcPr>
          <w:p w14:paraId="502F936B"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231</w:t>
            </w:r>
          </w:p>
        </w:tc>
        <w:tc>
          <w:tcPr>
            <w:tcW w:w="1162" w:type="dxa"/>
            <w:tcBorders>
              <w:top w:val="single" w:sz="4" w:space="0" w:color="auto"/>
              <w:left w:val="single" w:sz="4" w:space="0" w:color="auto"/>
              <w:bottom w:val="single" w:sz="4" w:space="0" w:color="auto"/>
              <w:right w:val="single" w:sz="4" w:space="0" w:color="auto"/>
            </w:tcBorders>
            <w:hideMark/>
          </w:tcPr>
          <w:p w14:paraId="4C3742BE"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123</w:t>
            </w:r>
          </w:p>
        </w:tc>
        <w:tc>
          <w:tcPr>
            <w:tcW w:w="1163" w:type="dxa"/>
            <w:tcBorders>
              <w:top w:val="single" w:sz="4" w:space="0" w:color="auto"/>
              <w:left w:val="single" w:sz="4" w:space="0" w:color="auto"/>
              <w:bottom w:val="single" w:sz="4" w:space="0" w:color="auto"/>
              <w:right w:val="single" w:sz="4" w:space="0" w:color="auto"/>
            </w:tcBorders>
            <w:hideMark/>
          </w:tcPr>
          <w:p w14:paraId="7F0848D0"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427</w:t>
            </w:r>
          </w:p>
        </w:tc>
        <w:tc>
          <w:tcPr>
            <w:tcW w:w="1162" w:type="dxa"/>
            <w:tcBorders>
              <w:top w:val="single" w:sz="4" w:space="0" w:color="auto"/>
              <w:left w:val="single" w:sz="4" w:space="0" w:color="auto"/>
              <w:bottom w:val="single" w:sz="4" w:space="0" w:color="auto"/>
              <w:right w:val="single" w:sz="4" w:space="0" w:color="auto"/>
            </w:tcBorders>
            <w:hideMark/>
          </w:tcPr>
          <w:p w14:paraId="7BDE52F0"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140</w:t>
            </w:r>
          </w:p>
        </w:tc>
        <w:tc>
          <w:tcPr>
            <w:tcW w:w="1162" w:type="dxa"/>
            <w:tcBorders>
              <w:top w:val="single" w:sz="4" w:space="0" w:color="auto"/>
              <w:left w:val="single" w:sz="4" w:space="0" w:color="auto"/>
              <w:bottom w:val="single" w:sz="4" w:space="0" w:color="auto"/>
              <w:right w:val="single" w:sz="4" w:space="0" w:color="auto"/>
            </w:tcBorders>
            <w:hideMark/>
          </w:tcPr>
          <w:p w14:paraId="1B20B94D"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681</w:t>
            </w:r>
          </w:p>
        </w:tc>
        <w:tc>
          <w:tcPr>
            <w:tcW w:w="1163" w:type="dxa"/>
            <w:tcBorders>
              <w:top w:val="single" w:sz="4" w:space="0" w:color="auto"/>
              <w:left w:val="single" w:sz="4" w:space="0" w:color="auto"/>
              <w:bottom w:val="single" w:sz="4" w:space="0" w:color="auto"/>
              <w:right w:val="single" w:sz="4" w:space="0" w:color="auto"/>
            </w:tcBorders>
            <w:hideMark/>
          </w:tcPr>
          <w:p w14:paraId="5171790B"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512</w:t>
            </w:r>
          </w:p>
        </w:tc>
        <w:tc>
          <w:tcPr>
            <w:tcW w:w="1162" w:type="dxa"/>
            <w:tcBorders>
              <w:top w:val="single" w:sz="4" w:space="0" w:color="auto"/>
              <w:left w:val="single" w:sz="4" w:space="0" w:color="auto"/>
              <w:bottom w:val="single" w:sz="4" w:space="0" w:color="auto"/>
              <w:right w:val="single" w:sz="4" w:space="0" w:color="auto"/>
            </w:tcBorders>
            <w:hideMark/>
          </w:tcPr>
          <w:p w14:paraId="093D6C12"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1773</w:t>
            </w:r>
          </w:p>
        </w:tc>
        <w:tc>
          <w:tcPr>
            <w:tcW w:w="1163" w:type="dxa"/>
            <w:tcBorders>
              <w:top w:val="single" w:sz="4" w:space="0" w:color="auto"/>
              <w:left w:val="single" w:sz="4" w:space="0" w:color="auto"/>
              <w:bottom w:val="single" w:sz="4" w:space="0" w:color="auto"/>
              <w:right w:val="single" w:sz="4" w:space="0" w:color="auto"/>
            </w:tcBorders>
            <w:hideMark/>
          </w:tcPr>
          <w:p w14:paraId="1467B68C"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1187</w:t>
            </w:r>
          </w:p>
        </w:tc>
      </w:tr>
      <w:tr w:rsidR="002E3CE8" w:rsidRPr="00520861" w14:paraId="52486B6E" w14:textId="77777777" w:rsidTr="00292D2E">
        <w:tc>
          <w:tcPr>
            <w:tcW w:w="2835" w:type="dxa"/>
            <w:tcBorders>
              <w:top w:val="single" w:sz="4" w:space="0" w:color="auto"/>
              <w:left w:val="single" w:sz="4" w:space="0" w:color="auto"/>
              <w:bottom w:val="single" w:sz="4" w:space="0" w:color="auto"/>
              <w:right w:val="single" w:sz="4" w:space="0" w:color="auto"/>
            </w:tcBorders>
            <w:hideMark/>
          </w:tcPr>
          <w:p w14:paraId="5A290C0E" w14:textId="77777777" w:rsidR="002E3CE8" w:rsidRPr="00520861" w:rsidRDefault="002E3CE8" w:rsidP="00292D2E">
            <w:pPr>
              <w:widowControl w:val="0"/>
              <w:spacing w:line="360" w:lineRule="auto"/>
              <w:ind w:left="-113" w:right="-105"/>
              <w:jc w:val="center"/>
              <w:rPr>
                <w:sz w:val="28"/>
                <w:szCs w:val="28"/>
                <w:lang w:eastAsia="en-US"/>
              </w:rPr>
            </w:pPr>
            <w:r w:rsidRPr="00520861">
              <w:rPr>
                <w:sz w:val="28"/>
                <w:szCs w:val="28"/>
              </w:rPr>
              <w:t>Вік, у якому дитина ще не має зубів, місяці</w:t>
            </w:r>
          </w:p>
        </w:tc>
        <w:tc>
          <w:tcPr>
            <w:tcW w:w="1162" w:type="dxa"/>
            <w:tcBorders>
              <w:top w:val="single" w:sz="4" w:space="0" w:color="auto"/>
              <w:left w:val="single" w:sz="4" w:space="0" w:color="auto"/>
              <w:bottom w:val="single" w:sz="4" w:space="0" w:color="auto"/>
              <w:right w:val="single" w:sz="4" w:space="0" w:color="auto"/>
            </w:tcBorders>
          </w:tcPr>
          <w:p w14:paraId="73C05D3C"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5,22±</w:t>
            </w:r>
          </w:p>
          <w:p w14:paraId="35C5B312"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0,38</w:t>
            </w:r>
          </w:p>
        </w:tc>
        <w:tc>
          <w:tcPr>
            <w:tcW w:w="1163" w:type="dxa"/>
            <w:tcBorders>
              <w:top w:val="single" w:sz="4" w:space="0" w:color="auto"/>
              <w:left w:val="single" w:sz="4" w:space="0" w:color="auto"/>
              <w:bottom w:val="single" w:sz="4" w:space="0" w:color="auto"/>
              <w:right w:val="single" w:sz="4" w:space="0" w:color="auto"/>
            </w:tcBorders>
          </w:tcPr>
          <w:p w14:paraId="7C737F25"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5,14±</w:t>
            </w:r>
          </w:p>
          <w:p w14:paraId="75E1A4D3"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0,57</w:t>
            </w:r>
          </w:p>
        </w:tc>
        <w:tc>
          <w:tcPr>
            <w:tcW w:w="1163" w:type="dxa"/>
            <w:tcBorders>
              <w:top w:val="single" w:sz="4" w:space="0" w:color="auto"/>
              <w:left w:val="single" w:sz="4" w:space="0" w:color="auto"/>
              <w:bottom w:val="single" w:sz="4" w:space="0" w:color="auto"/>
              <w:right w:val="single" w:sz="4" w:space="0" w:color="auto"/>
            </w:tcBorders>
          </w:tcPr>
          <w:p w14:paraId="6C7D328D"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5,16±</w:t>
            </w:r>
          </w:p>
          <w:p w14:paraId="1A094DD3"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0,71</w:t>
            </w:r>
          </w:p>
        </w:tc>
        <w:tc>
          <w:tcPr>
            <w:tcW w:w="1162" w:type="dxa"/>
            <w:tcBorders>
              <w:top w:val="single" w:sz="4" w:space="0" w:color="auto"/>
              <w:left w:val="single" w:sz="4" w:space="0" w:color="auto"/>
              <w:bottom w:val="single" w:sz="4" w:space="0" w:color="auto"/>
              <w:right w:val="single" w:sz="4" w:space="0" w:color="auto"/>
            </w:tcBorders>
          </w:tcPr>
          <w:p w14:paraId="71FB623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5,38±</w:t>
            </w:r>
          </w:p>
          <w:p w14:paraId="53F35AD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0,98</w:t>
            </w:r>
          </w:p>
        </w:tc>
        <w:tc>
          <w:tcPr>
            <w:tcW w:w="1163" w:type="dxa"/>
            <w:tcBorders>
              <w:top w:val="single" w:sz="4" w:space="0" w:color="auto"/>
              <w:left w:val="single" w:sz="4" w:space="0" w:color="auto"/>
              <w:bottom w:val="single" w:sz="4" w:space="0" w:color="auto"/>
              <w:right w:val="single" w:sz="4" w:space="0" w:color="auto"/>
            </w:tcBorders>
          </w:tcPr>
          <w:p w14:paraId="39F04D42"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5,16±</w:t>
            </w:r>
          </w:p>
          <w:p w14:paraId="52D0B970"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0,48</w:t>
            </w:r>
          </w:p>
        </w:tc>
        <w:tc>
          <w:tcPr>
            <w:tcW w:w="1162" w:type="dxa"/>
            <w:tcBorders>
              <w:top w:val="single" w:sz="4" w:space="0" w:color="auto"/>
              <w:left w:val="single" w:sz="4" w:space="0" w:color="auto"/>
              <w:bottom w:val="single" w:sz="4" w:space="0" w:color="auto"/>
              <w:right w:val="single" w:sz="4" w:space="0" w:color="auto"/>
            </w:tcBorders>
          </w:tcPr>
          <w:p w14:paraId="2C66DD13"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5,12±</w:t>
            </w:r>
          </w:p>
          <w:p w14:paraId="013BDE26"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1,04</w:t>
            </w:r>
          </w:p>
        </w:tc>
        <w:tc>
          <w:tcPr>
            <w:tcW w:w="1162" w:type="dxa"/>
            <w:tcBorders>
              <w:top w:val="single" w:sz="4" w:space="0" w:color="auto"/>
              <w:left w:val="single" w:sz="4" w:space="0" w:color="auto"/>
              <w:bottom w:val="single" w:sz="4" w:space="0" w:color="auto"/>
              <w:right w:val="single" w:sz="4" w:space="0" w:color="auto"/>
            </w:tcBorders>
          </w:tcPr>
          <w:p w14:paraId="70C60CC7"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5,10±</w:t>
            </w:r>
          </w:p>
          <w:p w14:paraId="78E5183D"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0,34</w:t>
            </w:r>
          </w:p>
        </w:tc>
        <w:tc>
          <w:tcPr>
            <w:tcW w:w="1163" w:type="dxa"/>
            <w:tcBorders>
              <w:top w:val="single" w:sz="4" w:space="0" w:color="auto"/>
              <w:left w:val="single" w:sz="4" w:space="0" w:color="auto"/>
              <w:bottom w:val="single" w:sz="4" w:space="0" w:color="auto"/>
              <w:right w:val="single" w:sz="4" w:space="0" w:color="auto"/>
            </w:tcBorders>
          </w:tcPr>
          <w:p w14:paraId="07DFE1C3"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5,30±</w:t>
            </w:r>
          </w:p>
          <w:p w14:paraId="32E4A439"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0,50</w:t>
            </w:r>
          </w:p>
        </w:tc>
        <w:tc>
          <w:tcPr>
            <w:tcW w:w="1162" w:type="dxa"/>
            <w:tcBorders>
              <w:top w:val="single" w:sz="4" w:space="0" w:color="auto"/>
              <w:left w:val="single" w:sz="4" w:space="0" w:color="auto"/>
              <w:bottom w:val="single" w:sz="4" w:space="0" w:color="auto"/>
              <w:right w:val="single" w:sz="4" w:space="0" w:color="auto"/>
            </w:tcBorders>
          </w:tcPr>
          <w:p w14:paraId="087CE2E5"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5,07±</w:t>
            </w:r>
          </w:p>
          <w:p w14:paraId="3A1929E8"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0,20</w:t>
            </w:r>
          </w:p>
        </w:tc>
        <w:tc>
          <w:tcPr>
            <w:tcW w:w="1163" w:type="dxa"/>
            <w:tcBorders>
              <w:top w:val="single" w:sz="4" w:space="0" w:color="auto"/>
              <w:left w:val="single" w:sz="4" w:space="0" w:color="auto"/>
              <w:bottom w:val="single" w:sz="4" w:space="0" w:color="auto"/>
              <w:right w:val="single" w:sz="4" w:space="0" w:color="auto"/>
            </w:tcBorders>
          </w:tcPr>
          <w:p w14:paraId="7269846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5,10±</w:t>
            </w:r>
          </w:p>
          <w:p w14:paraId="5508EBBC"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0,27</w:t>
            </w:r>
          </w:p>
        </w:tc>
      </w:tr>
      <w:tr w:rsidR="002E3CE8" w:rsidRPr="00520861" w14:paraId="2C00BB19" w14:textId="77777777" w:rsidTr="00292D2E">
        <w:trPr>
          <w:trHeight w:val="495"/>
        </w:trPr>
        <w:tc>
          <w:tcPr>
            <w:tcW w:w="2835" w:type="dxa"/>
            <w:tcBorders>
              <w:top w:val="single" w:sz="4" w:space="0" w:color="auto"/>
              <w:left w:val="single" w:sz="4" w:space="0" w:color="auto"/>
              <w:bottom w:val="single" w:sz="4" w:space="0" w:color="auto"/>
              <w:right w:val="single" w:sz="4" w:space="0" w:color="auto"/>
            </w:tcBorders>
            <w:hideMark/>
          </w:tcPr>
          <w:p w14:paraId="3F4E3686" w14:textId="77777777" w:rsidR="002E3CE8" w:rsidRPr="00520861" w:rsidRDefault="002E3CE8" w:rsidP="00292D2E">
            <w:pPr>
              <w:widowControl w:val="0"/>
              <w:spacing w:line="360" w:lineRule="auto"/>
              <w:jc w:val="center"/>
              <w:rPr>
                <w:sz w:val="28"/>
                <w:szCs w:val="28"/>
              </w:rPr>
            </w:pPr>
            <w:r w:rsidRPr="00520861">
              <w:rPr>
                <w:sz w:val="28"/>
                <w:szCs w:val="28"/>
              </w:rPr>
              <w:t xml:space="preserve">Швидкість росту, </w:t>
            </w:r>
          </w:p>
          <w:p w14:paraId="368E8B2C" w14:textId="77777777" w:rsidR="002E3CE8" w:rsidRPr="00520861" w:rsidRDefault="002E3CE8" w:rsidP="00292D2E">
            <w:pPr>
              <w:widowControl w:val="0"/>
              <w:spacing w:line="360" w:lineRule="auto"/>
              <w:jc w:val="center"/>
              <w:rPr>
                <w:sz w:val="28"/>
                <w:szCs w:val="28"/>
                <w:lang w:eastAsia="en-US"/>
              </w:rPr>
            </w:pPr>
            <w:r w:rsidRPr="00520861">
              <w:rPr>
                <w:sz w:val="28"/>
                <w:szCs w:val="28"/>
              </w:rPr>
              <w:t>зубів/місяць</w:t>
            </w:r>
          </w:p>
        </w:tc>
        <w:tc>
          <w:tcPr>
            <w:tcW w:w="1162" w:type="dxa"/>
            <w:tcBorders>
              <w:top w:val="single" w:sz="4" w:space="0" w:color="auto"/>
              <w:left w:val="single" w:sz="4" w:space="0" w:color="auto"/>
              <w:bottom w:val="single" w:sz="4" w:space="0" w:color="auto"/>
              <w:right w:val="single" w:sz="4" w:space="0" w:color="auto"/>
            </w:tcBorders>
            <w:hideMark/>
          </w:tcPr>
          <w:p w14:paraId="157DDE52"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0,959</w:t>
            </w:r>
          </w:p>
          <w:p w14:paraId="18C6A045" w14:textId="77777777" w:rsidR="002E3CE8" w:rsidRPr="00520861" w:rsidRDefault="002E3CE8" w:rsidP="00292D2E">
            <w:pPr>
              <w:widowControl w:val="0"/>
              <w:spacing w:line="360" w:lineRule="auto"/>
              <w:ind w:right="-76"/>
              <w:jc w:val="center"/>
              <w:rPr>
                <w:sz w:val="28"/>
                <w:szCs w:val="28"/>
                <w:lang w:eastAsia="en-US"/>
              </w:rPr>
            </w:pPr>
            <w:r w:rsidRPr="00520861">
              <w:rPr>
                <w:sz w:val="28"/>
                <w:szCs w:val="28"/>
                <w:lang w:eastAsia="en-US"/>
              </w:rPr>
              <w:t xml:space="preserve">±0,028 </w:t>
            </w:r>
            <w:r w:rsidRPr="00520861">
              <w:rPr>
                <w:color w:val="111111"/>
                <w:sz w:val="28"/>
                <w:szCs w:val="28"/>
                <w:shd w:val="clear" w:color="auto" w:fill="FBFBF3"/>
                <w:lang w:eastAsia="en-US"/>
              </w:rPr>
              <w:t>†</w:t>
            </w:r>
          </w:p>
        </w:tc>
        <w:tc>
          <w:tcPr>
            <w:tcW w:w="1163" w:type="dxa"/>
            <w:tcBorders>
              <w:top w:val="single" w:sz="4" w:space="0" w:color="auto"/>
              <w:left w:val="single" w:sz="4" w:space="0" w:color="auto"/>
              <w:bottom w:val="single" w:sz="4" w:space="0" w:color="auto"/>
              <w:right w:val="single" w:sz="4" w:space="0" w:color="auto"/>
            </w:tcBorders>
            <w:hideMark/>
          </w:tcPr>
          <w:p w14:paraId="16FF3E8D"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0,839</w:t>
            </w:r>
          </w:p>
          <w:p w14:paraId="590F65A3" w14:textId="77777777" w:rsidR="002E3CE8" w:rsidRPr="00520861" w:rsidRDefault="002E3CE8" w:rsidP="00292D2E">
            <w:pPr>
              <w:widowControl w:val="0"/>
              <w:spacing w:line="360" w:lineRule="auto"/>
              <w:ind w:left="-133" w:right="-55"/>
              <w:jc w:val="center"/>
              <w:rPr>
                <w:sz w:val="28"/>
                <w:szCs w:val="28"/>
                <w:lang w:eastAsia="en-US"/>
              </w:rPr>
            </w:pPr>
            <w:r w:rsidRPr="00520861">
              <w:rPr>
                <w:sz w:val="28"/>
                <w:szCs w:val="28"/>
                <w:lang w:eastAsia="en-US"/>
              </w:rPr>
              <w:t>±0,037*</w:t>
            </w:r>
            <w:r w:rsidRPr="00520861">
              <w:rPr>
                <w:color w:val="111111"/>
                <w:sz w:val="28"/>
                <w:szCs w:val="28"/>
                <w:shd w:val="clear" w:color="auto" w:fill="FBFBF3"/>
                <w:lang w:eastAsia="en-US"/>
              </w:rPr>
              <w:t>†</w:t>
            </w:r>
          </w:p>
        </w:tc>
        <w:tc>
          <w:tcPr>
            <w:tcW w:w="1163" w:type="dxa"/>
            <w:tcBorders>
              <w:top w:val="single" w:sz="4" w:space="0" w:color="auto"/>
              <w:left w:val="single" w:sz="4" w:space="0" w:color="auto"/>
              <w:bottom w:val="single" w:sz="4" w:space="0" w:color="auto"/>
              <w:right w:val="single" w:sz="4" w:space="0" w:color="auto"/>
            </w:tcBorders>
            <w:hideMark/>
          </w:tcPr>
          <w:p w14:paraId="3EBB03D1"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0,822</w:t>
            </w:r>
          </w:p>
          <w:p w14:paraId="278E4E75"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±0,044*</w:t>
            </w:r>
          </w:p>
        </w:tc>
        <w:tc>
          <w:tcPr>
            <w:tcW w:w="1162" w:type="dxa"/>
            <w:tcBorders>
              <w:top w:val="single" w:sz="4" w:space="0" w:color="auto"/>
              <w:left w:val="single" w:sz="4" w:space="0" w:color="auto"/>
              <w:bottom w:val="single" w:sz="4" w:space="0" w:color="auto"/>
              <w:right w:val="single" w:sz="4" w:space="0" w:color="auto"/>
            </w:tcBorders>
            <w:hideMark/>
          </w:tcPr>
          <w:p w14:paraId="196496B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0,796</w:t>
            </w:r>
          </w:p>
          <w:p w14:paraId="42F633B5"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±0,059*</w:t>
            </w:r>
          </w:p>
        </w:tc>
        <w:tc>
          <w:tcPr>
            <w:tcW w:w="1163" w:type="dxa"/>
            <w:tcBorders>
              <w:top w:val="single" w:sz="4" w:space="0" w:color="auto"/>
              <w:left w:val="single" w:sz="4" w:space="0" w:color="auto"/>
              <w:bottom w:val="single" w:sz="4" w:space="0" w:color="auto"/>
              <w:right w:val="single" w:sz="4" w:space="0" w:color="auto"/>
            </w:tcBorders>
            <w:hideMark/>
          </w:tcPr>
          <w:p w14:paraId="7A2A890E"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0,917</w:t>
            </w:r>
          </w:p>
          <w:p w14:paraId="4CD8EA47"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±0,032*</w:t>
            </w:r>
          </w:p>
        </w:tc>
        <w:tc>
          <w:tcPr>
            <w:tcW w:w="1162" w:type="dxa"/>
            <w:tcBorders>
              <w:top w:val="single" w:sz="4" w:space="0" w:color="auto"/>
              <w:left w:val="single" w:sz="4" w:space="0" w:color="auto"/>
              <w:bottom w:val="single" w:sz="4" w:space="0" w:color="auto"/>
              <w:right w:val="single" w:sz="4" w:space="0" w:color="auto"/>
            </w:tcBorders>
            <w:hideMark/>
          </w:tcPr>
          <w:p w14:paraId="38A079F0"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0,992</w:t>
            </w:r>
          </w:p>
          <w:p w14:paraId="7F72C559"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±0,077</w:t>
            </w:r>
          </w:p>
        </w:tc>
        <w:tc>
          <w:tcPr>
            <w:tcW w:w="1162" w:type="dxa"/>
            <w:tcBorders>
              <w:top w:val="single" w:sz="4" w:space="0" w:color="auto"/>
              <w:left w:val="single" w:sz="4" w:space="0" w:color="auto"/>
              <w:bottom w:val="single" w:sz="4" w:space="0" w:color="auto"/>
              <w:right w:val="single" w:sz="4" w:space="0" w:color="auto"/>
            </w:tcBorders>
            <w:hideMark/>
          </w:tcPr>
          <w:p w14:paraId="7109ED60"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0,960</w:t>
            </w:r>
          </w:p>
          <w:p w14:paraId="24E47A6E"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±0,025</w:t>
            </w:r>
            <w:r w:rsidRPr="00520861">
              <w:rPr>
                <w:color w:val="111111"/>
                <w:sz w:val="28"/>
                <w:szCs w:val="28"/>
                <w:shd w:val="clear" w:color="auto" w:fill="FBFBF3"/>
                <w:lang w:eastAsia="en-US"/>
              </w:rPr>
              <w:t>†</w:t>
            </w:r>
          </w:p>
        </w:tc>
        <w:tc>
          <w:tcPr>
            <w:tcW w:w="1163" w:type="dxa"/>
            <w:tcBorders>
              <w:top w:val="single" w:sz="4" w:space="0" w:color="auto"/>
              <w:left w:val="single" w:sz="4" w:space="0" w:color="auto"/>
              <w:bottom w:val="single" w:sz="4" w:space="0" w:color="auto"/>
              <w:right w:val="single" w:sz="4" w:space="0" w:color="auto"/>
            </w:tcBorders>
            <w:hideMark/>
          </w:tcPr>
          <w:p w14:paraId="6C399FDB"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0,793</w:t>
            </w:r>
          </w:p>
          <w:p w14:paraId="79B682DA" w14:textId="77777777" w:rsidR="002E3CE8" w:rsidRPr="00520861" w:rsidRDefault="002E3CE8" w:rsidP="00292D2E">
            <w:pPr>
              <w:widowControl w:val="0"/>
              <w:spacing w:line="360" w:lineRule="auto"/>
              <w:ind w:left="-162" w:right="-168"/>
              <w:jc w:val="center"/>
              <w:rPr>
                <w:sz w:val="28"/>
                <w:szCs w:val="28"/>
                <w:lang w:eastAsia="en-US"/>
              </w:rPr>
            </w:pPr>
            <w:r w:rsidRPr="00520861">
              <w:rPr>
                <w:sz w:val="28"/>
                <w:szCs w:val="28"/>
                <w:lang w:eastAsia="en-US"/>
              </w:rPr>
              <w:t>±0,030*</w:t>
            </w:r>
            <w:r w:rsidRPr="00520861">
              <w:rPr>
                <w:color w:val="111111"/>
                <w:sz w:val="28"/>
                <w:szCs w:val="28"/>
                <w:shd w:val="clear" w:color="auto" w:fill="FBFBF3"/>
                <w:lang w:eastAsia="en-US"/>
              </w:rPr>
              <w:t>†</w:t>
            </w:r>
          </w:p>
        </w:tc>
        <w:tc>
          <w:tcPr>
            <w:tcW w:w="1162" w:type="dxa"/>
            <w:tcBorders>
              <w:top w:val="single" w:sz="4" w:space="0" w:color="auto"/>
              <w:left w:val="single" w:sz="4" w:space="0" w:color="auto"/>
              <w:bottom w:val="single" w:sz="4" w:space="0" w:color="auto"/>
              <w:right w:val="single" w:sz="4" w:space="0" w:color="auto"/>
            </w:tcBorders>
            <w:hideMark/>
          </w:tcPr>
          <w:p w14:paraId="69C6CD6B"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0,963</w:t>
            </w:r>
          </w:p>
          <w:p w14:paraId="0AC37530"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±0,014</w:t>
            </w:r>
            <w:r w:rsidRPr="00520861">
              <w:rPr>
                <w:color w:val="111111"/>
                <w:sz w:val="28"/>
                <w:szCs w:val="28"/>
                <w:shd w:val="clear" w:color="auto" w:fill="FBFBF3"/>
                <w:lang w:eastAsia="en-US"/>
              </w:rPr>
              <w:t>†</w:t>
            </w:r>
          </w:p>
        </w:tc>
        <w:tc>
          <w:tcPr>
            <w:tcW w:w="1163" w:type="dxa"/>
            <w:tcBorders>
              <w:top w:val="single" w:sz="4" w:space="0" w:color="auto"/>
              <w:left w:val="single" w:sz="4" w:space="0" w:color="auto"/>
              <w:bottom w:val="single" w:sz="4" w:space="0" w:color="auto"/>
              <w:right w:val="single" w:sz="4" w:space="0" w:color="auto"/>
            </w:tcBorders>
            <w:hideMark/>
          </w:tcPr>
          <w:p w14:paraId="07737AD2"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0,911</w:t>
            </w:r>
          </w:p>
          <w:p w14:paraId="743B8F98"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±0,018</w:t>
            </w:r>
            <w:r w:rsidRPr="00520861">
              <w:rPr>
                <w:color w:val="111111"/>
                <w:sz w:val="28"/>
                <w:szCs w:val="28"/>
                <w:shd w:val="clear" w:color="auto" w:fill="FBFBF3"/>
                <w:lang w:eastAsia="en-US"/>
              </w:rPr>
              <w:t>†</w:t>
            </w:r>
          </w:p>
        </w:tc>
      </w:tr>
      <w:tr w:rsidR="002E3CE8" w:rsidRPr="00520861" w14:paraId="67991C58" w14:textId="77777777" w:rsidTr="00292D2E">
        <w:tc>
          <w:tcPr>
            <w:tcW w:w="2835" w:type="dxa"/>
            <w:tcBorders>
              <w:top w:val="single" w:sz="4" w:space="0" w:color="auto"/>
              <w:left w:val="single" w:sz="4" w:space="0" w:color="auto"/>
              <w:bottom w:val="single" w:sz="4" w:space="0" w:color="auto"/>
              <w:right w:val="single" w:sz="4" w:space="0" w:color="auto"/>
            </w:tcBorders>
            <w:hideMark/>
          </w:tcPr>
          <w:p w14:paraId="331671BE" w14:textId="77777777" w:rsidR="002E3CE8" w:rsidRPr="00520861" w:rsidRDefault="002E3CE8" w:rsidP="00292D2E">
            <w:pPr>
              <w:widowControl w:val="0"/>
              <w:spacing w:line="360" w:lineRule="auto"/>
              <w:jc w:val="center"/>
              <w:rPr>
                <w:sz w:val="28"/>
                <w:szCs w:val="28"/>
                <w:lang w:eastAsia="en-US"/>
              </w:rPr>
            </w:pPr>
            <w:r w:rsidRPr="00520861">
              <w:rPr>
                <w:sz w:val="28"/>
                <w:szCs w:val="28"/>
              </w:rPr>
              <w:t>Вік, у якому дитина має один зуб, місяці</w:t>
            </w:r>
          </w:p>
        </w:tc>
        <w:tc>
          <w:tcPr>
            <w:tcW w:w="1162" w:type="dxa"/>
            <w:tcBorders>
              <w:top w:val="single" w:sz="4" w:space="0" w:color="auto"/>
              <w:left w:val="single" w:sz="4" w:space="0" w:color="auto"/>
              <w:bottom w:val="single" w:sz="4" w:space="0" w:color="auto"/>
              <w:right w:val="single" w:sz="4" w:space="0" w:color="auto"/>
            </w:tcBorders>
            <w:hideMark/>
          </w:tcPr>
          <w:p w14:paraId="7F1660AF"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6,26±0,41</w:t>
            </w:r>
          </w:p>
        </w:tc>
        <w:tc>
          <w:tcPr>
            <w:tcW w:w="1163" w:type="dxa"/>
            <w:tcBorders>
              <w:top w:val="single" w:sz="4" w:space="0" w:color="auto"/>
              <w:left w:val="single" w:sz="4" w:space="0" w:color="auto"/>
              <w:bottom w:val="single" w:sz="4" w:space="0" w:color="auto"/>
              <w:right w:val="single" w:sz="4" w:space="0" w:color="auto"/>
            </w:tcBorders>
            <w:hideMark/>
          </w:tcPr>
          <w:p w14:paraId="1888118A"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6,34±0,62</w:t>
            </w:r>
          </w:p>
        </w:tc>
        <w:tc>
          <w:tcPr>
            <w:tcW w:w="1163" w:type="dxa"/>
            <w:tcBorders>
              <w:top w:val="single" w:sz="4" w:space="0" w:color="auto"/>
              <w:left w:val="single" w:sz="4" w:space="0" w:color="auto"/>
              <w:bottom w:val="single" w:sz="4" w:space="0" w:color="auto"/>
              <w:right w:val="single" w:sz="4" w:space="0" w:color="auto"/>
            </w:tcBorders>
            <w:hideMark/>
          </w:tcPr>
          <w:p w14:paraId="3715874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6,38±0,78</w:t>
            </w:r>
          </w:p>
        </w:tc>
        <w:tc>
          <w:tcPr>
            <w:tcW w:w="1162" w:type="dxa"/>
            <w:tcBorders>
              <w:top w:val="single" w:sz="4" w:space="0" w:color="auto"/>
              <w:left w:val="single" w:sz="4" w:space="0" w:color="auto"/>
              <w:bottom w:val="single" w:sz="4" w:space="0" w:color="auto"/>
              <w:right w:val="single" w:sz="4" w:space="0" w:color="auto"/>
            </w:tcBorders>
            <w:hideMark/>
          </w:tcPr>
          <w:p w14:paraId="4FF3150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6,65±1,08</w:t>
            </w:r>
          </w:p>
        </w:tc>
        <w:tc>
          <w:tcPr>
            <w:tcW w:w="1163" w:type="dxa"/>
            <w:tcBorders>
              <w:top w:val="single" w:sz="4" w:space="0" w:color="auto"/>
              <w:left w:val="single" w:sz="4" w:space="0" w:color="auto"/>
              <w:bottom w:val="single" w:sz="4" w:space="0" w:color="auto"/>
              <w:right w:val="single" w:sz="4" w:space="0" w:color="auto"/>
            </w:tcBorders>
            <w:hideMark/>
          </w:tcPr>
          <w:p w14:paraId="3B7A2813"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6,26±0,52</w:t>
            </w:r>
          </w:p>
        </w:tc>
        <w:tc>
          <w:tcPr>
            <w:tcW w:w="1162" w:type="dxa"/>
            <w:tcBorders>
              <w:top w:val="single" w:sz="4" w:space="0" w:color="auto"/>
              <w:left w:val="single" w:sz="4" w:space="0" w:color="auto"/>
              <w:bottom w:val="single" w:sz="4" w:space="0" w:color="auto"/>
              <w:right w:val="single" w:sz="4" w:space="0" w:color="auto"/>
            </w:tcBorders>
            <w:hideMark/>
          </w:tcPr>
          <w:p w14:paraId="586030C6"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6,13±1,11</w:t>
            </w:r>
          </w:p>
        </w:tc>
        <w:tc>
          <w:tcPr>
            <w:tcW w:w="1162" w:type="dxa"/>
            <w:tcBorders>
              <w:top w:val="single" w:sz="4" w:space="0" w:color="auto"/>
              <w:left w:val="single" w:sz="4" w:space="0" w:color="auto"/>
              <w:bottom w:val="single" w:sz="4" w:space="0" w:color="auto"/>
              <w:right w:val="single" w:sz="4" w:space="0" w:color="auto"/>
            </w:tcBorders>
            <w:hideMark/>
          </w:tcPr>
          <w:p w14:paraId="7D3C0DE4"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6,15±0,37</w:t>
            </w:r>
          </w:p>
        </w:tc>
        <w:tc>
          <w:tcPr>
            <w:tcW w:w="1163" w:type="dxa"/>
            <w:tcBorders>
              <w:top w:val="single" w:sz="4" w:space="0" w:color="auto"/>
              <w:left w:val="single" w:sz="4" w:space="0" w:color="auto"/>
              <w:bottom w:val="single" w:sz="4" w:space="0" w:color="auto"/>
              <w:right w:val="single" w:sz="4" w:space="0" w:color="auto"/>
            </w:tcBorders>
            <w:hideMark/>
          </w:tcPr>
          <w:p w14:paraId="03EDEE99"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6,56±0,54</w:t>
            </w:r>
          </w:p>
        </w:tc>
        <w:tc>
          <w:tcPr>
            <w:tcW w:w="1162" w:type="dxa"/>
            <w:tcBorders>
              <w:top w:val="single" w:sz="4" w:space="0" w:color="auto"/>
              <w:left w:val="single" w:sz="4" w:space="0" w:color="auto"/>
              <w:bottom w:val="single" w:sz="4" w:space="0" w:color="auto"/>
              <w:right w:val="single" w:sz="4" w:space="0" w:color="auto"/>
            </w:tcBorders>
            <w:hideMark/>
          </w:tcPr>
          <w:p w14:paraId="59E72658"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6,11±0,22</w:t>
            </w:r>
          </w:p>
        </w:tc>
        <w:tc>
          <w:tcPr>
            <w:tcW w:w="1163" w:type="dxa"/>
            <w:tcBorders>
              <w:top w:val="single" w:sz="4" w:space="0" w:color="auto"/>
              <w:left w:val="single" w:sz="4" w:space="0" w:color="auto"/>
              <w:bottom w:val="single" w:sz="4" w:space="0" w:color="auto"/>
              <w:right w:val="single" w:sz="4" w:space="0" w:color="auto"/>
            </w:tcBorders>
            <w:hideMark/>
          </w:tcPr>
          <w:p w14:paraId="13B6D1BE"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6,20±0,29</w:t>
            </w:r>
          </w:p>
        </w:tc>
      </w:tr>
      <w:tr w:rsidR="002E3CE8" w:rsidRPr="00520861" w14:paraId="6D6CA1E9" w14:textId="77777777" w:rsidTr="00292D2E">
        <w:tc>
          <w:tcPr>
            <w:tcW w:w="2835" w:type="dxa"/>
            <w:tcBorders>
              <w:top w:val="single" w:sz="4" w:space="0" w:color="auto"/>
              <w:left w:val="single" w:sz="4" w:space="0" w:color="auto"/>
              <w:bottom w:val="single" w:sz="4" w:space="0" w:color="auto"/>
              <w:right w:val="single" w:sz="4" w:space="0" w:color="auto"/>
            </w:tcBorders>
          </w:tcPr>
          <w:p w14:paraId="77E15041" w14:textId="77777777" w:rsidR="002E3CE8" w:rsidRPr="00520861" w:rsidRDefault="002E3CE8" w:rsidP="00292D2E">
            <w:pPr>
              <w:widowControl w:val="0"/>
              <w:spacing w:line="360" w:lineRule="auto"/>
              <w:jc w:val="center"/>
              <w:rPr>
                <w:sz w:val="28"/>
                <w:szCs w:val="28"/>
              </w:rPr>
            </w:pPr>
            <w:r w:rsidRPr="00520861">
              <w:rPr>
                <w:sz w:val="28"/>
                <w:szCs w:val="28"/>
              </w:rPr>
              <w:t>Кількість зубів у віці один рік</w:t>
            </w:r>
          </w:p>
        </w:tc>
        <w:tc>
          <w:tcPr>
            <w:tcW w:w="1162" w:type="dxa"/>
            <w:tcBorders>
              <w:top w:val="single" w:sz="4" w:space="0" w:color="auto"/>
              <w:left w:val="single" w:sz="4" w:space="0" w:color="auto"/>
              <w:bottom w:val="single" w:sz="4" w:space="0" w:color="auto"/>
              <w:right w:val="single" w:sz="4" w:space="0" w:color="auto"/>
            </w:tcBorders>
          </w:tcPr>
          <w:p w14:paraId="19D0CA39"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6,52</w:t>
            </w:r>
          </w:p>
          <w:p w14:paraId="79EAA2E1"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±0,56</w:t>
            </w:r>
          </w:p>
        </w:tc>
        <w:tc>
          <w:tcPr>
            <w:tcW w:w="1163" w:type="dxa"/>
            <w:tcBorders>
              <w:top w:val="single" w:sz="4" w:space="0" w:color="auto"/>
              <w:left w:val="single" w:sz="4" w:space="0" w:color="auto"/>
              <w:bottom w:val="single" w:sz="4" w:space="0" w:color="auto"/>
              <w:right w:val="single" w:sz="4" w:space="0" w:color="auto"/>
            </w:tcBorders>
          </w:tcPr>
          <w:p w14:paraId="39777817"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5,78</w:t>
            </w:r>
          </w:p>
          <w:p w14:paraId="3746E8FE"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±0,73</w:t>
            </w:r>
          </w:p>
        </w:tc>
        <w:tc>
          <w:tcPr>
            <w:tcW w:w="1163" w:type="dxa"/>
            <w:tcBorders>
              <w:top w:val="single" w:sz="4" w:space="0" w:color="auto"/>
              <w:left w:val="single" w:sz="4" w:space="0" w:color="auto"/>
              <w:bottom w:val="single" w:sz="4" w:space="0" w:color="auto"/>
              <w:right w:val="single" w:sz="4" w:space="0" w:color="auto"/>
            </w:tcBorders>
          </w:tcPr>
          <w:p w14:paraId="36651B8F"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5,66</w:t>
            </w:r>
          </w:p>
          <w:p w14:paraId="5FDF1B22"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±0,89</w:t>
            </w:r>
          </w:p>
        </w:tc>
        <w:tc>
          <w:tcPr>
            <w:tcW w:w="1162" w:type="dxa"/>
            <w:tcBorders>
              <w:top w:val="single" w:sz="4" w:space="0" w:color="auto"/>
              <w:left w:val="single" w:sz="4" w:space="0" w:color="auto"/>
              <w:bottom w:val="single" w:sz="4" w:space="0" w:color="auto"/>
              <w:right w:val="single" w:sz="4" w:space="0" w:color="auto"/>
            </w:tcBorders>
          </w:tcPr>
          <w:p w14:paraId="0D20CD8F"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5,33</w:t>
            </w:r>
          </w:p>
          <w:p w14:paraId="3E7A9122"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±1,17</w:t>
            </w:r>
          </w:p>
        </w:tc>
        <w:tc>
          <w:tcPr>
            <w:tcW w:w="1163" w:type="dxa"/>
            <w:tcBorders>
              <w:top w:val="single" w:sz="4" w:space="0" w:color="auto"/>
              <w:left w:val="single" w:sz="4" w:space="0" w:color="auto"/>
              <w:bottom w:val="single" w:sz="4" w:space="0" w:color="auto"/>
              <w:right w:val="single" w:sz="4" w:space="0" w:color="auto"/>
            </w:tcBorders>
          </w:tcPr>
          <w:p w14:paraId="7F1EA94D"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6,29</w:t>
            </w:r>
          </w:p>
          <w:p w14:paraId="5651FB03"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±0,67</w:t>
            </w:r>
          </w:p>
        </w:tc>
        <w:tc>
          <w:tcPr>
            <w:tcW w:w="1162" w:type="dxa"/>
            <w:tcBorders>
              <w:top w:val="single" w:sz="4" w:space="0" w:color="auto"/>
              <w:left w:val="single" w:sz="4" w:space="0" w:color="auto"/>
              <w:bottom w:val="single" w:sz="4" w:space="0" w:color="auto"/>
              <w:right w:val="single" w:sz="4" w:space="0" w:color="auto"/>
            </w:tcBorders>
          </w:tcPr>
          <w:p w14:paraId="22178EAA"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6,91</w:t>
            </w:r>
          </w:p>
          <w:p w14:paraId="7CC8CACC"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±1,56</w:t>
            </w:r>
          </w:p>
        </w:tc>
        <w:tc>
          <w:tcPr>
            <w:tcW w:w="1162" w:type="dxa"/>
            <w:tcBorders>
              <w:top w:val="single" w:sz="4" w:space="0" w:color="auto"/>
              <w:left w:val="single" w:sz="4" w:space="0" w:color="auto"/>
              <w:bottom w:val="single" w:sz="4" w:space="0" w:color="auto"/>
              <w:right w:val="single" w:sz="4" w:space="0" w:color="auto"/>
            </w:tcBorders>
          </w:tcPr>
          <w:p w14:paraId="3E18F968"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6,63</w:t>
            </w:r>
          </w:p>
          <w:p w14:paraId="5F24EA03"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 xml:space="preserve">±0,50 </w:t>
            </w:r>
            <w:r w:rsidRPr="00520861">
              <w:rPr>
                <w:color w:val="111111"/>
                <w:sz w:val="28"/>
                <w:szCs w:val="28"/>
                <w:shd w:val="clear" w:color="auto" w:fill="FBFBF3"/>
                <w:lang w:eastAsia="en-US"/>
              </w:rPr>
              <w:t>†</w:t>
            </w:r>
          </w:p>
        </w:tc>
        <w:tc>
          <w:tcPr>
            <w:tcW w:w="1163" w:type="dxa"/>
            <w:tcBorders>
              <w:top w:val="single" w:sz="4" w:space="0" w:color="auto"/>
              <w:left w:val="single" w:sz="4" w:space="0" w:color="auto"/>
              <w:bottom w:val="single" w:sz="4" w:space="0" w:color="auto"/>
              <w:right w:val="single" w:sz="4" w:space="0" w:color="auto"/>
            </w:tcBorders>
          </w:tcPr>
          <w:p w14:paraId="26327020"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5,33</w:t>
            </w:r>
          </w:p>
          <w:p w14:paraId="780438D7"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±0,59*</w:t>
            </w:r>
            <w:r w:rsidRPr="00520861">
              <w:rPr>
                <w:color w:val="111111"/>
                <w:sz w:val="28"/>
                <w:szCs w:val="28"/>
                <w:shd w:val="clear" w:color="auto" w:fill="FBFBF3"/>
                <w:lang w:eastAsia="en-US"/>
              </w:rPr>
              <w:t>†</w:t>
            </w:r>
          </w:p>
        </w:tc>
        <w:tc>
          <w:tcPr>
            <w:tcW w:w="1162" w:type="dxa"/>
            <w:tcBorders>
              <w:top w:val="single" w:sz="4" w:space="0" w:color="auto"/>
              <w:left w:val="single" w:sz="4" w:space="0" w:color="auto"/>
              <w:bottom w:val="single" w:sz="4" w:space="0" w:color="auto"/>
              <w:right w:val="single" w:sz="4" w:space="0" w:color="auto"/>
            </w:tcBorders>
          </w:tcPr>
          <w:p w14:paraId="5505794E"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6,67</w:t>
            </w:r>
          </w:p>
          <w:p w14:paraId="4E0B8013"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±0,29</w:t>
            </w:r>
          </w:p>
        </w:tc>
        <w:tc>
          <w:tcPr>
            <w:tcW w:w="1163" w:type="dxa"/>
            <w:tcBorders>
              <w:top w:val="single" w:sz="4" w:space="0" w:color="auto"/>
              <w:left w:val="single" w:sz="4" w:space="0" w:color="auto"/>
              <w:bottom w:val="single" w:sz="4" w:space="0" w:color="auto"/>
              <w:right w:val="single" w:sz="4" w:space="0" w:color="auto"/>
            </w:tcBorders>
          </w:tcPr>
          <w:p w14:paraId="2A3D3178"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6,29</w:t>
            </w:r>
          </w:p>
          <w:p w14:paraId="089F96E6" w14:textId="77777777" w:rsidR="002E3CE8" w:rsidRPr="00520861" w:rsidRDefault="002E3CE8" w:rsidP="00292D2E">
            <w:pPr>
              <w:widowControl w:val="0"/>
              <w:spacing w:line="360" w:lineRule="auto"/>
              <w:jc w:val="center"/>
              <w:rPr>
                <w:sz w:val="28"/>
                <w:szCs w:val="28"/>
                <w:lang w:eastAsia="en-US"/>
              </w:rPr>
            </w:pPr>
            <w:r w:rsidRPr="00520861">
              <w:rPr>
                <w:sz w:val="28"/>
                <w:szCs w:val="28"/>
                <w:lang w:eastAsia="en-US"/>
              </w:rPr>
              <w:t>±0,37</w:t>
            </w:r>
          </w:p>
        </w:tc>
      </w:tr>
    </w:tbl>
    <w:p w14:paraId="7B8C55DC"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567"/>
        <w:rPr>
          <w:sz w:val="28"/>
          <w:szCs w:val="28"/>
        </w:rPr>
      </w:pPr>
      <w:r w:rsidRPr="00520861">
        <w:rPr>
          <w:sz w:val="28"/>
          <w:szCs w:val="28"/>
        </w:rPr>
        <w:t xml:space="preserve">Примітки: * – різниця між значеннями для груп </w:t>
      </w:r>
      <w:proofErr w:type="spellStart"/>
      <w:r w:rsidRPr="00520861">
        <w:rPr>
          <w:sz w:val="28"/>
          <w:szCs w:val="28"/>
        </w:rPr>
        <w:t>макросомів</w:t>
      </w:r>
      <w:proofErr w:type="spellEnd"/>
      <w:r w:rsidRPr="00520861">
        <w:rPr>
          <w:sz w:val="28"/>
          <w:szCs w:val="28"/>
        </w:rPr>
        <w:t xml:space="preserve"> і </w:t>
      </w:r>
      <w:proofErr w:type="spellStart"/>
      <w:r w:rsidRPr="00520861">
        <w:rPr>
          <w:sz w:val="28"/>
          <w:szCs w:val="28"/>
        </w:rPr>
        <w:t>нормосомів</w:t>
      </w:r>
      <w:proofErr w:type="spellEnd"/>
      <w:r w:rsidRPr="00520861">
        <w:rPr>
          <w:sz w:val="28"/>
          <w:szCs w:val="28"/>
        </w:rPr>
        <w:t xml:space="preserve"> однієї й тієї ж статі статистично вірогідна при ймовірності </w:t>
      </w:r>
      <w:r w:rsidR="001035E8" w:rsidRPr="00520861">
        <w:rPr>
          <w:rFonts w:eastAsia="Calibri"/>
          <w:sz w:val="28"/>
          <w:szCs w:val="28"/>
          <w:lang w:eastAsia="en-US"/>
        </w:rPr>
        <w:t>похибки</w:t>
      </w:r>
      <w:r w:rsidRPr="00520861">
        <w:rPr>
          <w:sz w:val="28"/>
          <w:szCs w:val="28"/>
        </w:rPr>
        <w:t xml:space="preserve"> </w:t>
      </w:r>
      <w:r w:rsidRPr="00520861">
        <w:rPr>
          <w:i/>
          <w:sz w:val="28"/>
          <w:szCs w:val="28"/>
        </w:rPr>
        <w:t>p</w:t>
      </w:r>
      <w:r w:rsidR="00FF6C32" w:rsidRPr="00520861">
        <w:rPr>
          <w:rFonts w:eastAsia="Calibri"/>
          <w:sz w:val="28"/>
          <w:szCs w:val="28"/>
          <w:lang w:eastAsia="en-US"/>
        </w:rPr>
        <w:t>&lt;</w:t>
      </w:r>
      <w:r w:rsidRPr="00520861">
        <w:rPr>
          <w:sz w:val="28"/>
          <w:szCs w:val="28"/>
        </w:rPr>
        <w:t>0,05;</w:t>
      </w:r>
    </w:p>
    <w:p w14:paraId="51C6E09E" w14:textId="77777777" w:rsidR="002E3CE8" w:rsidRPr="00520861" w:rsidRDefault="002E3CE8" w:rsidP="00292D2E">
      <w:pPr>
        <w:widowControl w:val="0"/>
        <w:spacing w:line="360" w:lineRule="auto"/>
        <w:ind w:right="-1" w:firstLine="567"/>
        <w:rPr>
          <w:rFonts w:eastAsia="Calibri"/>
          <w:sz w:val="28"/>
          <w:szCs w:val="28"/>
          <w:lang w:eastAsia="en-US"/>
        </w:rPr>
        <w:sectPr w:rsidR="002E3CE8" w:rsidRPr="00520861" w:rsidSect="00292D2E">
          <w:pgSz w:w="16838" w:h="11906" w:orient="landscape"/>
          <w:pgMar w:top="1134" w:right="1134" w:bottom="567" w:left="1134" w:header="709" w:footer="709" w:gutter="0"/>
          <w:cols w:space="708"/>
          <w:docGrid w:linePitch="360"/>
        </w:sectPr>
      </w:pPr>
      <w:r w:rsidRPr="00520861">
        <w:rPr>
          <w:sz w:val="28"/>
          <w:szCs w:val="28"/>
        </w:rPr>
        <w:t xml:space="preserve">† – різниця між значеннями для протилежної статі в межах підгрупи статистично вірогідна при ймовірності </w:t>
      </w:r>
      <w:r w:rsidR="00A63F34" w:rsidRPr="00520861">
        <w:rPr>
          <w:sz w:val="28"/>
          <w:szCs w:val="28"/>
        </w:rPr>
        <w:br/>
      </w:r>
      <w:r w:rsidR="001035E8" w:rsidRPr="00520861">
        <w:rPr>
          <w:rFonts w:eastAsia="Calibri"/>
          <w:sz w:val="28"/>
          <w:szCs w:val="28"/>
          <w:lang w:eastAsia="en-US"/>
        </w:rPr>
        <w:t>похибки</w:t>
      </w:r>
      <w:r w:rsidRPr="00520861">
        <w:rPr>
          <w:sz w:val="28"/>
          <w:szCs w:val="28"/>
        </w:rPr>
        <w:t xml:space="preserve">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Стьюдента.</w:t>
      </w:r>
    </w:p>
    <w:p w14:paraId="55A3E570"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lastRenderedPageBreak/>
        <w:t>Узагальнені результати розрахунків по цих регресійних моделях також наведені в табл. 5.5. У середньому, як видно із п’ятого рядка цієї таблиці, простежується тенденція до більш пізнього прорізування зубів у дітей ОГ усіх підгруп порівняно із ГП тієї ж самої статі.</w:t>
      </w:r>
    </w:p>
    <w:p w14:paraId="0BA5E3F0"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У хлопчиків ОГ зуби починають прорізуватися в середньому на 0,1 – 0,2 місяця раніше, ніж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для всіх підгруп, крім </w:t>
      </w:r>
      <w:r w:rsidRPr="00520861">
        <w:rPr>
          <w:sz w:val="28"/>
          <w:szCs w:val="28"/>
        </w:rPr>
        <w:t xml:space="preserve">підгрупи </w:t>
      </w:r>
      <w:r w:rsidRPr="00520861">
        <w:rPr>
          <w:rFonts w:eastAsia="Calibri"/>
          <w:sz w:val="28"/>
          <w:szCs w:val="28"/>
          <w:lang w:eastAsia="en-US"/>
        </w:rPr>
        <w:t xml:space="preserve">1. Проте ця різниця </w:t>
      </w:r>
      <w:r w:rsidRPr="00520861">
        <w:rPr>
          <w:rFonts w:eastAsia="Calibri"/>
          <w:sz w:val="28"/>
          <w:szCs w:val="28"/>
          <w:lang w:eastAsia="en-US"/>
        </w:rPr>
        <w:br/>
        <w:t xml:space="preserve">невірогідна й знаходиться в межах довірчого інтервалу. Раніше за всіх, майже як у ГП, прорізування зубів відбувається у хлопчиків із </w:t>
      </w:r>
      <w:r w:rsidRPr="00520861">
        <w:rPr>
          <w:sz w:val="28"/>
          <w:szCs w:val="28"/>
        </w:rPr>
        <w:t xml:space="preserve">підгрупи </w:t>
      </w:r>
      <w:r w:rsidRPr="00520861">
        <w:rPr>
          <w:rFonts w:eastAsia="Calibri"/>
          <w:sz w:val="28"/>
          <w:szCs w:val="28"/>
          <w:lang w:eastAsia="en-US"/>
        </w:rPr>
        <w:t>4.</w:t>
      </w:r>
    </w:p>
    <w:p w14:paraId="76263764"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Найбільш цікавими є відмінності в темпах росту зубів між підгрупами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та ГП. Як демонструє шістнадцятий рядок табл. 5.5, швидкість росту зубів у всіх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є нижчою, ніж у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за винятком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із </w:t>
      </w:r>
      <w:r w:rsidRPr="00520861">
        <w:rPr>
          <w:sz w:val="28"/>
          <w:szCs w:val="28"/>
        </w:rPr>
        <w:t xml:space="preserve">підгрупи </w:t>
      </w:r>
      <w:r w:rsidRPr="00520861">
        <w:rPr>
          <w:rFonts w:eastAsia="Calibri"/>
          <w:sz w:val="28"/>
          <w:szCs w:val="28"/>
          <w:lang w:eastAsia="en-US"/>
        </w:rPr>
        <w:t xml:space="preserve">3. Темп росту зубів у хлопчиків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менше, ніж темп росту зубів у хлопчиків з </w:t>
      </w:r>
      <w:proofErr w:type="spellStart"/>
      <w:r w:rsidRPr="00520861">
        <w:rPr>
          <w:rFonts w:eastAsia="Calibri"/>
          <w:sz w:val="28"/>
          <w:szCs w:val="28"/>
          <w:lang w:eastAsia="en-US"/>
        </w:rPr>
        <w:t>нормосомією</w:t>
      </w:r>
      <w:proofErr w:type="spellEnd"/>
      <w:r w:rsidRPr="00520861">
        <w:rPr>
          <w:rFonts w:eastAsia="Calibri"/>
          <w:sz w:val="28"/>
          <w:szCs w:val="28"/>
          <w:lang w:eastAsia="en-US"/>
        </w:rPr>
        <w:t xml:space="preserve">, а відмінність для різних підгруп становить 0,02 – 0,14 зуба в місяць. У </w:t>
      </w:r>
      <w:r w:rsidRPr="00520861">
        <w:rPr>
          <w:sz w:val="28"/>
          <w:szCs w:val="28"/>
        </w:rPr>
        <w:t xml:space="preserve">підгрупах 2 та </w:t>
      </w:r>
      <w:r w:rsidRPr="00520861">
        <w:rPr>
          <w:rFonts w:eastAsia="Calibri"/>
          <w:sz w:val="28"/>
          <w:szCs w:val="28"/>
          <w:lang w:eastAsia="en-US"/>
        </w:rPr>
        <w:t>3 ця різниця є вірогідною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w:t>
      </w:r>
    </w:p>
    <w:p w14:paraId="3327E2ED" w14:textId="77777777" w:rsidR="002E3CE8" w:rsidRPr="00520861" w:rsidRDefault="002E3CE8" w:rsidP="00292D2E">
      <w:pPr>
        <w:widowControl w:val="0"/>
        <w:spacing w:line="360" w:lineRule="auto"/>
        <w:ind w:right="-1" w:firstLine="567"/>
        <w:jc w:val="both"/>
        <w:rPr>
          <w:rFonts w:eastAsia="Calibri"/>
          <w:spacing w:val="-2"/>
          <w:sz w:val="28"/>
          <w:szCs w:val="28"/>
          <w:lang w:eastAsia="en-US"/>
        </w:rPr>
      </w:pPr>
      <w:r w:rsidRPr="00520861">
        <w:rPr>
          <w:rFonts w:eastAsia="Calibri"/>
          <w:spacing w:val="-2"/>
          <w:sz w:val="28"/>
          <w:szCs w:val="28"/>
          <w:lang w:eastAsia="en-US"/>
        </w:rPr>
        <w:t xml:space="preserve">Швидкість росту зубів у </w:t>
      </w:r>
      <w:proofErr w:type="spellStart"/>
      <w:r w:rsidRPr="00520861">
        <w:rPr>
          <w:rFonts w:eastAsia="Calibri"/>
          <w:spacing w:val="-2"/>
          <w:sz w:val="28"/>
          <w:szCs w:val="28"/>
          <w:lang w:eastAsia="en-US"/>
        </w:rPr>
        <w:t>дівчаток</w:t>
      </w:r>
      <w:proofErr w:type="spellEnd"/>
      <w:r w:rsidRPr="00520861">
        <w:rPr>
          <w:rFonts w:eastAsia="Calibri"/>
          <w:spacing w:val="-2"/>
          <w:sz w:val="28"/>
          <w:szCs w:val="28"/>
          <w:lang w:eastAsia="en-US"/>
        </w:rPr>
        <w:t xml:space="preserve"> з ОГ також менша, ніж швидкість росту зубів у </w:t>
      </w:r>
      <w:proofErr w:type="spellStart"/>
      <w:r w:rsidRPr="00520861">
        <w:rPr>
          <w:rFonts w:eastAsia="Calibri"/>
          <w:spacing w:val="-2"/>
          <w:sz w:val="28"/>
          <w:szCs w:val="28"/>
          <w:lang w:eastAsia="en-US"/>
        </w:rPr>
        <w:t>дівчаток</w:t>
      </w:r>
      <w:proofErr w:type="spellEnd"/>
      <w:r w:rsidRPr="00520861">
        <w:rPr>
          <w:rFonts w:eastAsia="Calibri"/>
          <w:spacing w:val="-2"/>
          <w:sz w:val="28"/>
          <w:szCs w:val="28"/>
          <w:lang w:eastAsia="en-US"/>
        </w:rPr>
        <w:t xml:space="preserve"> ГП, окрім </w:t>
      </w:r>
      <w:proofErr w:type="spellStart"/>
      <w:r w:rsidRPr="00520861">
        <w:rPr>
          <w:rFonts w:eastAsia="Calibri"/>
          <w:spacing w:val="-2"/>
          <w:sz w:val="28"/>
          <w:szCs w:val="28"/>
          <w:lang w:eastAsia="en-US"/>
        </w:rPr>
        <w:t>дівчаток</w:t>
      </w:r>
      <w:proofErr w:type="spellEnd"/>
      <w:r w:rsidRPr="00520861">
        <w:rPr>
          <w:rFonts w:eastAsia="Calibri"/>
          <w:spacing w:val="-2"/>
          <w:sz w:val="28"/>
          <w:szCs w:val="28"/>
          <w:lang w:eastAsia="en-US"/>
        </w:rPr>
        <w:t xml:space="preserve"> із </w:t>
      </w:r>
      <w:r w:rsidRPr="00520861">
        <w:rPr>
          <w:spacing w:val="-2"/>
          <w:sz w:val="28"/>
          <w:szCs w:val="28"/>
        </w:rPr>
        <w:t xml:space="preserve">підгрупи </w:t>
      </w:r>
      <w:r w:rsidRPr="00520861">
        <w:rPr>
          <w:rFonts w:eastAsia="Calibri"/>
          <w:spacing w:val="-2"/>
          <w:sz w:val="28"/>
          <w:szCs w:val="28"/>
          <w:lang w:eastAsia="en-US"/>
        </w:rPr>
        <w:t xml:space="preserve">3. Відмінність для різних підгруп становить 0,72 – 1,17 зуба в місяць і є вірогідною з ймовірністю </w:t>
      </w:r>
      <w:r w:rsidR="00E82B0F" w:rsidRPr="00520861">
        <w:rPr>
          <w:rFonts w:eastAsia="Calibri"/>
          <w:sz w:val="28"/>
          <w:szCs w:val="28"/>
          <w:lang w:eastAsia="en-US"/>
        </w:rPr>
        <w:t>похибки</w:t>
      </w:r>
      <w:r w:rsidRPr="00520861">
        <w:rPr>
          <w:rFonts w:eastAsia="Calibri"/>
          <w:spacing w:val="-2"/>
          <w:sz w:val="28"/>
          <w:szCs w:val="28"/>
          <w:lang w:eastAsia="en-US"/>
        </w:rPr>
        <w:t>, що не перевищує 0,05.</w:t>
      </w:r>
    </w:p>
    <w:p w14:paraId="1C3971A5"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Також доречно сказати, що в межах підгрупи швидкість росту зубів у хлопчиків вище, ніж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окрім </w:t>
      </w:r>
      <w:r w:rsidRPr="00520861">
        <w:rPr>
          <w:sz w:val="28"/>
          <w:szCs w:val="28"/>
        </w:rPr>
        <w:t xml:space="preserve">підгрупи </w:t>
      </w:r>
      <w:r w:rsidRPr="00520861">
        <w:rPr>
          <w:rFonts w:eastAsia="Calibri"/>
          <w:sz w:val="28"/>
          <w:szCs w:val="28"/>
          <w:lang w:eastAsia="en-US"/>
        </w:rPr>
        <w:t xml:space="preserve">3. Для дітей із </w:t>
      </w:r>
      <w:r w:rsidRPr="00520861">
        <w:rPr>
          <w:sz w:val="28"/>
          <w:szCs w:val="28"/>
        </w:rPr>
        <w:t xml:space="preserve">підгруп </w:t>
      </w:r>
      <w:r w:rsidRPr="00520861">
        <w:rPr>
          <w:rFonts w:eastAsia="Calibri"/>
          <w:sz w:val="28"/>
          <w:szCs w:val="28"/>
          <w:lang w:eastAsia="en-US"/>
        </w:rPr>
        <w:t xml:space="preserve">1 та 4 ця відмінність вірогідна з ймовірністю </w:t>
      </w:r>
      <w:r w:rsidR="00E82B0F" w:rsidRPr="00520861">
        <w:rPr>
          <w:rFonts w:eastAsia="Calibri"/>
          <w:sz w:val="28"/>
          <w:szCs w:val="28"/>
          <w:lang w:eastAsia="en-US"/>
        </w:rPr>
        <w:t>похибки</w:t>
      </w:r>
      <w:r w:rsidRPr="00520861">
        <w:rPr>
          <w:rFonts w:eastAsia="Calibri"/>
          <w:sz w:val="28"/>
          <w:szCs w:val="28"/>
          <w:lang w:eastAsia="en-US"/>
        </w:rPr>
        <w:t xml:space="preserve">, що не перевищує 0,05. </w:t>
      </w:r>
    </w:p>
    <w:p w14:paraId="62C98EB9"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Із сьомого рядка табл. 5.5 випливає, що середній вік, коли в дитини ОГ прорізався перший зуб, знаходиться в межах 6,15 – 6,65 місяця, а в дитини ГП – у межах 6,11 – 6,20 місяця. Тобто простежується тенденція до більш пізнього початку прорізування зубів у дітей ОГ у всіх підгрупах, хоча довірчі інтервали для рівня </w:t>
      </w:r>
      <w:r w:rsidRPr="00520861">
        <w:rPr>
          <w:rFonts w:eastAsia="Calibri"/>
          <w:sz w:val="28"/>
          <w:szCs w:val="28"/>
          <w:lang w:eastAsia="en-US"/>
        </w:rPr>
        <w:br/>
        <w:t xml:space="preserve">значущості 0,05 перекриваються. Крім того, середній вік, у якому дитина має один зуб, у хлопчиків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менший, ніж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w:t>
      </w:r>
    </w:p>
    <w:p w14:paraId="6975297E"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Останній рядок табл. 5.5 показує, що середня кількість зубів у віці 1 рік у хлопчиків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(для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більша, ніж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для всіх підгруп ОГ і ГП, за винятком </w:t>
      </w:r>
      <w:r w:rsidRPr="00520861">
        <w:rPr>
          <w:sz w:val="28"/>
          <w:szCs w:val="28"/>
        </w:rPr>
        <w:t xml:space="preserve">підгрупи </w:t>
      </w:r>
      <w:r w:rsidRPr="00520861">
        <w:rPr>
          <w:rFonts w:eastAsia="Calibri"/>
          <w:sz w:val="28"/>
          <w:szCs w:val="28"/>
          <w:lang w:eastAsia="en-US"/>
        </w:rPr>
        <w:t xml:space="preserve">3. </w:t>
      </w:r>
    </w:p>
    <w:p w14:paraId="4EC5C241"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lastRenderedPageBreak/>
        <w:t xml:space="preserve">В ОГ кількість зубів менша, ніж у ГП, якщо розглядати відомості про дітей однієї статі.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ця відмінність виявилася вірогідною у підгрупах 1 та 4, а в </w:t>
      </w:r>
      <w:r w:rsidR="00A63F34" w:rsidRPr="00520861">
        <w:rPr>
          <w:rFonts w:eastAsia="Calibri"/>
          <w:sz w:val="28"/>
          <w:szCs w:val="28"/>
          <w:lang w:eastAsia="en-US"/>
        </w:rPr>
        <w:br/>
      </w:r>
      <w:r w:rsidRPr="00520861">
        <w:rPr>
          <w:rFonts w:eastAsia="Calibri"/>
          <w:sz w:val="28"/>
          <w:szCs w:val="28"/>
          <w:lang w:eastAsia="en-US"/>
        </w:rPr>
        <w:t xml:space="preserve">хлопчиків – у </w:t>
      </w:r>
      <w:r w:rsidRPr="00520861">
        <w:rPr>
          <w:sz w:val="28"/>
          <w:szCs w:val="28"/>
        </w:rPr>
        <w:t xml:space="preserve">підгрупі </w:t>
      </w:r>
      <w:r w:rsidRPr="00520861">
        <w:rPr>
          <w:rFonts w:eastAsia="Calibri"/>
          <w:sz w:val="28"/>
          <w:szCs w:val="28"/>
          <w:lang w:eastAsia="en-US"/>
        </w:rPr>
        <w:t xml:space="preserve">2. Виключення становлять тільки дівчатка з </w:t>
      </w:r>
      <w:r w:rsidRPr="00520861">
        <w:rPr>
          <w:sz w:val="28"/>
          <w:szCs w:val="28"/>
        </w:rPr>
        <w:t xml:space="preserve">підгрупи </w:t>
      </w:r>
      <w:r w:rsidRPr="00520861">
        <w:rPr>
          <w:rFonts w:eastAsia="Calibri"/>
          <w:sz w:val="28"/>
          <w:szCs w:val="28"/>
          <w:lang w:eastAsia="en-US"/>
        </w:rPr>
        <w:t xml:space="preserve">3: у них кількість зубів більша, ніж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ГП. </w:t>
      </w:r>
    </w:p>
    <w:p w14:paraId="13BA1EA5"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sz w:val="28"/>
          <w:szCs w:val="28"/>
        </w:rPr>
        <w:t xml:space="preserve">Наведені вище результати відображають середньостатистичні відмінності в </w:t>
      </w:r>
      <w:r w:rsidRPr="00520861">
        <w:rPr>
          <w:sz w:val="28"/>
          <w:szCs w:val="28"/>
        </w:rPr>
        <w:br/>
        <w:t xml:space="preserve">термінах прорізування тимчасових зубів до віку 1 рік на основі всіх записів про </w:t>
      </w:r>
      <w:r w:rsidRPr="00520861">
        <w:rPr>
          <w:sz w:val="28"/>
          <w:szCs w:val="28"/>
        </w:rPr>
        <w:br/>
        <w:t xml:space="preserve">кількість зубів в історіях розвитку дітей. </w:t>
      </w:r>
    </w:p>
    <w:p w14:paraId="66364A0D" w14:textId="77777777" w:rsidR="002E3CE8" w:rsidRPr="00520861" w:rsidRDefault="002E3CE8" w:rsidP="00292D2E">
      <w:pPr>
        <w:widowControl w:val="0"/>
        <w:spacing w:line="360" w:lineRule="auto"/>
        <w:ind w:right="-1" w:firstLine="567"/>
        <w:jc w:val="both"/>
        <w:rPr>
          <w:spacing w:val="-6"/>
          <w:sz w:val="28"/>
          <w:szCs w:val="28"/>
        </w:rPr>
      </w:pPr>
      <w:r w:rsidRPr="00520861">
        <w:rPr>
          <w:spacing w:val="-6"/>
          <w:sz w:val="28"/>
          <w:szCs w:val="28"/>
        </w:rPr>
        <w:t>Однак існує інший підхід до оцінювання термінів прорізування зубів – на основі порівняння з регіональною хронологічною нормою прорізування.</w:t>
      </w:r>
      <w:r w:rsidRPr="00520861">
        <w:rPr>
          <w:rFonts w:eastAsia="Calibri"/>
          <w:spacing w:val="-6"/>
          <w:sz w:val="28"/>
          <w:szCs w:val="28"/>
          <w:lang w:eastAsia="en-US"/>
        </w:rPr>
        <w:t xml:space="preserve"> </w:t>
      </w:r>
      <w:r w:rsidRPr="00520861">
        <w:rPr>
          <w:spacing w:val="-6"/>
          <w:sz w:val="28"/>
          <w:szCs w:val="28"/>
        </w:rPr>
        <w:t xml:space="preserve">У табл. 5.6 представлені відомості про кількість спостережень випадків </w:t>
      </w:r>
      <w:r w:rsidRPr="00520861">
        <w:rPr>
          <w:spacing w:val="-6"/>
          <w:sz w:val="28"/>
          <w:szCs w:val="28"/>
          <w:lang w:eastAsia="en-US"/>
        </w:rPr>
        <w:t xml:space="preserve">затримки прорізування, передчасного прорізування, випадків </w:t>
      </w:r>
      <w:r w:rsidRPr="00520861">
        <w:rPr>
          <w:spacing w:val="-6"/>
          <w:sz w:val="28"/>
          <w:szCs w:val="28"/>
        </w:rPr>
        <w:t xml:space="preserve">уповільненого та прискореного темпів росту зубів для </w:t>
      </w:r>
      <w:proofErr w:type="spellStart"/>
      <w:r w:rsidRPr="00520861">
        <w:rPr>
          <w:spacing w:val="-6"/>
          <w:sz w:val="28"/>
          <w:szCs w:val="28"/>
        </w:rPr>
        <w:t>дівчаток</w:t>
      </w:r>
      <w:proofErr w:type="spellEnd"/>
      <w:r w:rsidRPr="00520861">
        <w:rPr>
          <w:spacing w:val="-6"/>
          <w:sz w:val="28"/>
          <w:szCs w:val="28"/>
        </w:rPr>
        <w:t xml:space="preserve"> і </w:t>
      </w:r>
      <w:r w:rsidR="006022D6" w:rsidRPr="00520861">
        <w:rPr>
          <w:spacing w:val="-6"/>
          <w:sz w:val="28"/>
          <w:szCs w:val="28"/>
        </w:rPr>
        <w:br/>
      </w:r>
      <w:r w:rsidRPr="00520861">
        <w:rPr>
          <w:spacing w:val="-6"/>
          <w:sz w:val="28"/>
          <w:szCs w:val="28"/>
        </w:rPr>
        <w:t xml:space="preserve">хлопчиків різних груп і підгруп із застосуванням регіональних хронологічних норм та </w:t>
      </w:r>
      <w:r w:rsidRPr="00520861">
        <w:rPr>
          <w:sz w:val="28"/>
          <w:szCs w:val="28"/>
        </w:rPr>
        <w:t xml:space="preserve">розраховані для біноміального закону розподілу відповідні частоти спостереження та довірчі інтервали для них при ймовірності похибки </w:t>
      </w:r>
      <w:r w:rsidRPr="00520861">
        <w:rPr>
          <w:i/>
          <w:sz w:val="28"/>
          <w:szCs w:val="28"/>
        </w:rPr>
        <w:t>p</w:t>
      </w:r>
      <w:r w:rsidR="00FF6C32" w:rsidRPr="00520861">
        <w:rPr>
          <w:rFonts w:eastAsia="Calibri"/>
          <w:sz w:val="28"/>
          <w:szCs w:val="28"/>
          <w:lang w:eastAsia="en-US"/>
        </w:rPr>
        <w:t>&lt;</w:t>
      </w:r>
      <w:r w:rsidRPr="00520861">
        <w:rPr>
          <w:sz w:val="28"/>
          <w:szCs w:val="28"/>
        </w:rPr>
        <w:t>0,05.</w:t>
      </w:r>
    </w:p>
    <w:p w14:paraId="4BC3B1B5"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Із табл. 5.6 видно, що в дітей ОГ процентна кількість виявлених випадків затримки прорізування зубів є майже в 4 рази вірогідно більшою, ніж у ГП. </w:t>
      </w:r>
    </w:p>
    <w:p w14:paraId="2D85568E"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По підгрупах вірогідні відмінності виявлені для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підгрупи 4, а також хлопчиків із підгрупи 1 та підгрупи 2. Процентна кількість випадків передчасного прорізування зубів в ОГ також є приблизно у 2 рази вищою, ніж у ГП, проте довірчі інтервали для заданої ймовірності похибки перетинаються. Вірогідне перевищення виявлене тільки для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із </w:t>
      </w:r>
      <w:r w:rsidRPr="00520861">
        <w:rPr>
          <w:sz w:val="28"/>
          <w:szCs w:val="28"/>
        </w:rPr>
        <w:t xml:space="preserve">підгрупи </w:t>
      </w:r>
      <w:r w:rsidRPr="00520861">
        <w:rPr>
          <w:rFonts w:eastAsia="Calibri"/>
          <w:sz w:val="28"/>
          <w:szCs w:val="28"/>
          <w:lang w:eastAsia="en-US"/>
        </w:rPr>
        <w:t xml:space="preserve">3. </w:t>
      </w:r>
    </w:p>
    <w:p w14:paraId="6F564B57"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Отже, процес прорізування й росту тимчасових зубів у дітей першого року життя,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має значні відмінності від такого в дітей, які народилися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[312]. </w:t>
      </w:r>
    </w:p>
    <w:p w14:paraId="5C954CED" w14:textId="77777777" w:rsidR="002E3CE8" w:rsidRPr="00520861" w:rsidRDefault="002E3CE8" w:rsidP="00292D2E">
      <w:pPr>
        <w:widowControl w:val="0"/>
        <w:spacing w:line="360" w:lineRule="auto"/>
        <w:ind w:right="-1" w:firstLine="567"/>
        <w:jc w:val="both"/>
        <w:rPr>
          <w:rFonts w:eastAsia="Calibri"/>
          <w:sz w:val="28"/>
          <w:szCs w:val="28"/>
          <w:lang w:eastAsia="en-US"/>
        </w:rPr>
      </w:pPr>
      <w:r w:rsidRPr="00520861">
        <w:rPr>
          <w:rFonts w:eastAsia="Calibri"/>
          <w:sz w:val="28"/>
          <w:szCs w:val="28"/>
          <w:lang w:eastAsia="en-US"/>
        </w:rPr>
        <w:t xml:space="preserve">Індекс маси тіла дитини при народженні слід ураховувати при прогнозуванні </w:t>
      </w:r>
      <w:r w:rsidR="007A1A51" w:rsidRPr="00520861">
        <w:rPr>
          <w:rFonts w:eastAsia="Calibri"/>
          <w:sz w:val="28"/>
          <w:szCs w:val="28"/>
          <w:lang w:eastAsia="en-US"/>
        </w:rPr>
        <w:br/>
      </w:r>
      <w:r w:rsidRPr="00520861">
        <w:rPr>
          <w:rFonts w:eastAsia="Calibri"/>
          <w:sz w:val="28"/>
          <w:szCs w:val="28"/>
          <w:lang w:eastAsia="en-US"/>
        </w:rPr>
        <w:t>термінів прорізування зубів у таких дітей [316].</w:t>
      </w:r>
    </w:p>
    <w:p w14:paraId="66B517E8"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eastAsia="en-US"/>
        </w:rPr>
      </w:pPr>
      <w:r w:rsidRPr="00520861">
        <w:rPr>
          <w:rFonts w:eastAsia="Calibri"/>
          <w:sz w:val="28"/>
          <w:szCs w:val="28"/>
          <w:lang w:eastAsia="en-US"/>
        </w:rPr>
        <w:t xml:space="preserve">Точні строки прорізування, формування та резорбції тимчасових зубів у дітей,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є критеріями соматичного та стоматологічного здоров’я. Ці дані можуть значно спростити діагностичний процес, вони є простими, </w:t>
      </w:r>
      <w:r w:rsidR="007A1A51" w:rsidRPr="00520861">
        <w:rPr>
          <w:rFonts w:eastAsia="Calibri"/>
          <w:sz w:val="28"/>
          <w:szCs w:val="28"/>
          <w:lang w:eastAsia="en-US"/>
        </w:rPr>
        <w:br/>
      </w:r>
      <w:r w:rsidRPr="00520861">
        <w:rPr>
          <w:rFonts w:eastAsia="Calibri"/>
          <w:sz w:val="28"/>
          <w:szCs w:val="28"/>
          <w:lang w:eastAsia="en-US"/>
        </w:rPr>
        <w:t xml:space="preserve">дешевими та </w:t>
      </w:r>
      <w:proofErr w:type="spellStart"/>
      <w:r w:rsidRPr="00520861">
        <w:rPr>
          <w:rFonts w:eastAsia="Calibri"/>
          <w:sz w:val="28"/>
          <w:szCs w:val="28"/>
          <w:lang w:eastAsia="en-US"/>
        </w:rPr>
        <w:t>неінвазивними</w:t>
      </w:r>
      <w:proofErr w:type="spellEnd"/>
      <w:r w:rsidRPr="00520861">
        <w:rPr>
          <w:rFonts w:eastAsia="Calibri"/>
          <w:sz w:val="28"/>
          <w:szCs w:val="28"/>
          <w:lang w:eastAsia="en-US"/>
        </w:rPr>
        <w:t>, що в разі обстеження дітей є надзвичайно важливим.</w:t>
      </w:r>
    </w:p>
    <w:p w14:paraId="4C630A21"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567"/>
        <w:rPr>
          <w:sz w:val="28"/>
          <w:szCs w:val="28"/>
        </w:rPr>
        <w:sectPr w:rsidR="002E3CE8" w:rsidRPr="00520861" w:rsidSect="00292D2E">
          <w:pgSz w:w="11906" w:h="16838"/>
          <w:pgMar w:top="1134" w:right="624" w:bottom="1134" w:left="1134" w:header="709" w:footer="709" w:gutter="0"/>
          <w:cols w:space="708"/>
          <w:docGrid w:linePitch="360"/>
        </w:sectPr>
      </w:pPr>
    </w:p>
    <w:p w14:paraId="0E886E94" w14:textId="77777777" w:rsidR="002E3CE8" w:rsidRPr="00520861" w:rsidRDefault="002E3CE8" w:rsidP="00292D2E">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i/>
          <w:sz w:val="28"/>
          <w:szCs w:val="28"/>
        </w:rPr>
      </w:pPr>
      <w:r w:rsidRPr="00520861">
        <w:rPr>
          <w:i/>
          <w:sz w:val="28"/>
          <w:szCs w:val="28"/>
        </w:rPr>
        <w:lastRenderedPageBreak/>
        <w:t>Таблиця 5.6</w:t>
      </w:r>
    </w:p>
    <w:p w14:paraId="2306EE65" w14:textId="77777777" w:rsidR="002E3CE8" w:rsidRPr="00520861" w:rsidRDefault="002E3CE8" w:rsidP="00292D2E">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28"/>
          <w:szCs w:val="28"/>
        </w:rPr>
      </w:pPr>
      <w:r w:rsidRPr="00520861">
        <w:rPr>
          <w:b/>
          <w:sz w:val="28"/>
          <w:szCs w:val="28"/>
        </w:rPr>
        <w:t xml:space="preserve">Ретроспективні числові відомості (кількість, процент, 95% ДІ) про терміни прорізування зубів </w:t>
      </w:r>
      <w:r w:rsidRPr="00520861">
        <w:rPr>
          <w:b/>
          <w:sz w:val="28"/>
          <w:szCs w:val="28"/>
        </w:rPr>
        <w:br/>
        <w:t>та кількість зубів у дітей віком 1 рік</w:t>
      </w:r>
    </w:p>
    <w:tbl>
      <w:tblPr>
        <w:tblW w:w="1445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1842"/>
        <w:gridCol w:w="1843"/>
        <w:gridCol w:w="1559"/>
        <w:gridCol w:w="1560"/>
        <w:gridCol w:w="1560"/>
        <w:gridCol w:w="1559"/>
        <w:gridCol w:w="1559"/>
        <w:gridCol w:w="1560"/>
      </w:tblGrid>
      <w:tr w:rsidR="002E3CE8" w:rsidRPr="00520861" w14:paraId="16D52601" w14:textId="77777777" w:rsidTr="00292D2E">
        <w:tc>
          <w:tcPr>
            <w:tcW w:w="1417" w:type="dxa"/>
            <w:tcBorders>
              <w:top w:val="single" w:sz="4" w:space="0" w:color="auto"/>
              <w:left w:val="single" w:sz="4" w:space="0" w:color="auto"/>
              <w:bottom w:val="single" w:sz="4" w:space="0" w:color="auto"/>
              <w:right w:val="single" w:sz="4" w:space="0" w:color="auto"/>
            </w:tcBorders>
            <w:hideMark/>
          </w:tcPr>
          <w:p w14:paraId="5BF46F3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sz w:val="28"/>
                <w:szCs w:val="28"/>
              </w:rPr>
              <w:t>Група,</w:t>
            </w:r>
            <w:r w:rsidRPr="00520861">
              <w:rPr>
                <w:sz w:val="28"/>
                <w:szCs w:val="28"/>
              </w:rPr>
              <w:br/>
              <w:t xml:space="preserve"> підгрупа </w:t>
            </w:r>
          </w:p>
        </w:tc>
        <w:tc>
          <w:tcPr>
            <w:tcW w:w="3685" w:type="dxa"/>
            <w:gridSpan w:val="2"/>
            <w:tcBorders>
              <w:top w:val="single" w:sz="4" w:space="0" w:color="auto"/>
              <w:left w:val="single" w:sz="4" w:space="0" w:color="auto"/>
              <w:bottom w:val="single" w:sz="4" w:space="0" w:color="auto"/>
              <w:right w:val="single" w:sz="4" w:space="0" w:color="auto"/>
            </w:tcBorders>
            <w:hideMark/>
          </w:tcPr>
          <w:p w14:paraId="4B5C22C5" w14:textId="77777777" w:rsidR="002E3CE8" w:rsidRPr="00520861" w:rsidRDefault="002E3CE8" w:rsidP="00292D2E">
            <w:pPr>
              <w:widowControl w:val="0"/>
              <w:spacing w:line="360" w:lineRule="auto"/>
              <w:ind w:left="-108" w:right="-31"/>
              <w:jc w:val="center"/>
              <w:rPr>
                <w:rFonts w:eastAsia="Calibri"/>
                <w:sz w:val="28"/>
                <w:szCs w:val="28"/>
                <w:lang w:eastAsia="en-US"/>
              </w:rPr>
            </w:pPr>
            <w:r w:rsidRPr="00520861">
              <w:rPr>
                <w:rFonts w:eastAsia="Calibri"/>
                <w:sz w:val="28"/>
                <w:szCs w:val="28"/>
                <w:lang w:eastAsia="en-US"/>
              </w:rPr>
              <w:t>Затримка</w:t>
            </w:r>
          </w:p>
          <w:p w14:paraId="28AEAE78" w14:textId="77777777" w:rsidR="002E3CE8" w:rsidRPr="00520861" w:rsidRDefault="002E3CE8" w:rsidP="00292D2E">
            <w:pPr>
              <w:widowControl w:val="0"/>
              <w:spacing w:line="360" w:lineRule="auto"/>
              <w:ind w:left="-108" w:right="-31"/>
              <w:jc w:val="center"/>
              <w:rPr>
                <w:rFonts w:eastAsia="Calibri"/>
                <w:sz w:val="28"/>
                <w:szCs w:val="28"/>
                <w:lang w:eastAsia="en-US"/>
              </w:rPr>
            </w:pPr>
            <w:r w:rsidRPr="00520861">
              <w:rPr>
                <w:rFonts w:eastAsia="Calibri"/>
                <w:sz w:val="28"/>
                <w:szCs w:val="28"/>
                <w:lang w:eastAsia="en-US"/>
              </w:rPr>
              <w:t xml:space="preserve"> Прорізування</w:t>
            </w:r>
          </w:p>
        </w:tc>
        <w:tc>
          <w:tcPr>
            <w:tcW w:w="3119" w:type="dxa"/>
            <w:gridSpan w:val="2"/>
            <w:tcBorders>
              <w:top w:val="single" w:sz="4" w:space="0" w:color="auto"/>
              <w:left w:val="single" w:sz="4" w:space="0" w:color="auto"/>
              <w:bottom w:val="single" w:sz="4" w:space="0" w:color="auto"/>
              <w:right w:val="single" w:sz="4" w:space="0" w:color="auto"/>
            </w:tcBorders>
            <w:hideMark/>
          </w:tcPr>
          <w:p w14:paraId="5067EF56" w14:textId="77777777" w:rsidR="002E3CE8" w:rsidRPr="00520861" w:rsidRDefault="002E3CE8" w:rsidP="00292D2E">
            <w:pPr>
              <w:widowControl w:val="0"/>
              <w:spacing w:line="360" w:lineRule="auto"/>
              <w:ind w:right="-31" w:hanging="144"/>
              <w:jc w:val="center"/>
              <w:rPr>
                <w:rFonts w:eastAsia="Calibri"/>
                <w:sz w:val="28"/>
                <w:szCs w:val="28"/>
                <w:lang w:eastAsia="en-US"/>
              </w:rPr>
            </w:pPr>
            <w:r w:rsidRPr="00520861">
              <w:rPr>
                <w:rFonts w:eastAsia="Calibri"/>
                <w:sz w:val="28"/>
                <w:szCs w:val="28"/>
                <w:lang w:eastAsia="en-US"/>
              </w:rPr>
              <w:t xml:space="preserve">Передчасне </w:t>
            </w:r>
          </w:p>
          <w:p w14:paraId="3E55837E" w14:textId="77777777" w:rsidR="002E3CE8" w:rsidRPr="00520861" w:rsidRDefault="002E3CE8" w:rsidP="00292D2E">
            <w:pPr>
              <w:widowControl w:val="0"/>
              <w:spacing w:line="360" w:lineRule="auto"/>
              <w:ind w:right="-31" w:hanging="144"/>
              <w:jc w:val="center"/>
              <w:rPr>
                <w:rFonts w:eastAsia="Calibri"/>
                <w:sz w:val="28"/>
                <w:szCs w:val="28"/>
                <w:lang w:eastAsia="en-US"/>
              </w:rPr>
            </w:pPr>
            <w:r w:rsidRPr="00520861">
              <w:rPr>
                <w:rFonts w:eastAsia="Calibri"/>
                <w:sz w:val="28"/>
                <w:szCs w:val="28"/>
                <w:lang w:eastAsia="en-US"/>
              </w:rPr>
              <w:t>Прорізування</w:t>
            </w:r>
          </w:p>
        </w:tc>
        <w:tc>
          <w:tcPr>
            <w:tcW w:w="3119" w:type="dxa"/>
            <w:gridSpan w:val="2"/>
            <w:tcBorders>
              <w:top w:val="single" w:sz="4" w:space="0" w:color="auto"/>
              <w:left w:val="single" w:sz="4" w:space="0" w:color="auto"/>
              <w:bottom w:val="single" w:sz="4" w:space="0" w:color="auto"/>
              <w:right w:val="single" w:sz="4" w:space="0" w:color="auto"/>
            </w:tcBorders>
            <w:hideMark/>
          </w:tcPr>
          <w:p w14:paraId="71A25D06" w14:textId="77777777" w:rsidR="002E3CE8" w:rsidRPr="00520861" w:rsidRDefault="002E3CE8" w:rsidP="00292D2E">
            <w:pPr>
              <w:widowControl w:val="0"/>
              <w:spacing w:line="360" w:lineRule="auto"/>
              <w:ind w:right="-31" w:hanging="117"/>
              <w:jc w:val="center"/>
              <w:rPr>
                <w:rFonts w:eastAsia="Calibri"/>
                <w:sz w:val="28"/>
                <w:szCs w:val="28"/>
                <w:lang w:eastAsia="en-US"/>
              </w:rPr>
            </w:pPr>
            <w:r w:rsidRPr="00520861">
              <w:rPr>
                <w:rFonts w:eastAsia="Calibri"/>
                <w:sz w:val="28"/>
                <w:szCs w:val="28"/>
                <w:lang w:eastAsia="en-US"/>
              </w:rPr>
              <w:t xml:space="preserve">Два </w:t>
            </w:r>
          </w:p>
          <w:p w14:paraId="7CD7B0BA" w14:textId="77777777" w:rsidR="002E3CE8" w:rsidRPr="00520861" w:rsidRDefault="002E3CE8" w:rsidP="00292D2E">
            <w:pPr>
              <w:widowControl w:val="0"/>
              <w:spacing w:line="360" w:lineRule="auto"/>
              <w:ind w:right="-31" w:hanging="117"/>
              <w:jc w:val="center"/>
              <w:rPr>
                <w:rFonts w:eastAsia="Calibri"/>
                <w:sz w:val="28"/>
                <w:szCs w:val="28"/>
                <w:lang w:eastAsia="en-US"/>
              </w:rPr>
            </w:pPr>
            <w:r w:rsidRPr="00520861">
              <w:rPr>
                <w:rFonts w:eastAsia="Calibri"/>
                <w:sz w:val="28"/>
                <w:szCs w:val="28"/>
                <w:lang w:eastAsia="en-US"/>
              </w:rPr>
              <w:t xml:space="preserve">чи менше зубів </w:t>
            </w:r>
          </w:p>
        </w:tc>
        <w:tc>
          <w:tcPr>
            <w:tcW w:w="3119" w:type="dxa"/>
            <w:gridSpan w:val="2"/>
            <w:tcBorders>
              <w:top w:val="single" w:sz="4" w:space="0" w:color="auto"/>
              <w:left w:val="single" w:sz="4" w:space="0" w:color="auto"/>
              <w:bottom w:val="single" w:sz="4" w:space="0" w:color="auto"/>
              <w:right w:val="single" w:sz="4" w:space="0" w:color="auto"/>
            </w:tcBorders>
            <w:hideMark/>
          </w:tcPr>
          <w:p w14:paraId="79A3D20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Одинадцять</w:t>
            </w:r>
          </w:p>
          <w:p w14:paraId="1CBCECCD"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 чи більше зубів </w:t>
            </w:r>
          </w:p>
        </w:tc>
      </w:tr>
      <w:tr w:rsidR="002E3CE8" w:rsidRPr="00520861" w14:paraId="6C53257A" w14:textId="77777777" w:rsidTr="00292D2E">
        <w:tc>
          <w:tcPr>
            <w:tcW w:w="1417" w:type="dxa"/>
            <w:tcBorders>
              <w:top w:val="single" w:sz="4" w:space="0" w:color="auto"/>
              <w:left w:val="single" w:sz="4" w:space="0" w:color="auto"/>
              <w:bottom w:val="single" w:sz="4" w:space="0" w:color="auto"/>
              <w:right w:val="single" w:sz="4" w:space="0" w:color="auto"/>
            </w:tcBorders>
          </w:tcPr>
          <w:p w14:paraId="0A1FAA51" w14:textId="77777777" w:rsidR="002E3CE8" w:rsidRPr="00520861" w:rsidRDefault="002E3CE8" w:rsidP="00292D2E">
            <w:pPr>
              <w:widowControl w:val="0"/>
              <w:spacing w:line="360" w:lineRule="auto"/>
              <w:ind w:right="-31"/>
              <w:jc w:val="center"/>
              <w:rPr>
                <w:sz w:val="28"/>
                <w:szCs w:val="28"/>
              </w:rPr>
            </w:pPr>
            <w:r w:rsidRPr="00520861">
              <w:rPr>
                <w:sz w:val="28"/>
                <w:szCs w:val="28"/>
              </w:rPr>
              <w:t>хлопчики,</w:t>
            </w:r>
          </w:p>
          <w:p w14:paraId="7BD59082"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sz w:val="28"/>
                <w:szCs w:val="28"/>
              </w:rPr>
              <w:t>(дівчатка)</w:t>
            </w:r>
          </w:p>
        </w:tc>
        <w:tc>
          <w:tcPr>
            <w:tcW w:w="1842" w:type="dxa"/>
            <w:tcBorders>
              <w:top w:val="single" w:sz="4" w:space="0" w:color="auto"/>
              <w:left w:val="single" w:sz="4" w:space="0" w:color="auto"/>
              <w:bottom w:val="single" w:sz="4" w:space="0" w:color="auto"/>
              <w:right w:val="single" w:sz="4" w:space="0" w:color="auto"/>
            </w:tcBorders>
            <w:hideMark/>
          </w:tcPr>
          <w:p w14:paraId="4B15B613" w14:textId="77777777" w:rsidR="002E3CE8" w:rsidRPr="00520861" w:rsidRDefault="002E3CE8" w:rsidP="00292D2E">
            <w:pPr>
              <w:widowControl w:val="0"/>
              <w:spacing w:line="360" w:lineRule="auto"/>
              <w:ind w:right="-89" w:hanging="141"/>
              <w:jc w:val="center"/>
              <w:rPr>
                <w:rFonts w:eastAsia="Calibri"/>
                <w:sz w:val="28"/>
                <w:szCs w:val="28"/>
                <w:lang w:eastAsia="en-US"/>
              </w:rPr>
            </w:pPr>
            <w:r w:rsidRPr="00520861">
              <w:rPr>
                <w:rFonts w:eastAsiaTheme="minorHAnsi"/>
                <w:sz w:val="28"/>
                <w:szCs w:val="28"/>
              </w:rPr>
              <w:t>дівчатка</w:t>
            </w:r>
            <w:r w:rsidRPr="00520861">
              <w:rPr>
                <w:rFonts w:eastAsia="Calibri"/>
                <w:sz w:val="28"/>
                <w:szCs w:val="28"/>
                <w:lang w:eastAsia="en-US"/>
              </w:rPr>
              <w:t xml:space="preserve"> </w:t>
            </w:r>
          </w:p>
          <w:p w14:paraId="1AF6D1A5" w14:textId="77777777" w:rsidR="002E3CE8" w:rsidRPr="00520861" w:rsidRDefault="002E3CE8" w:rsidP="00292D2E">
            <w:pPr>
              <w:widowControl w:val="0"/>
              <w:spacing w:line="360" w:lineRule="auto"/>
              <w:ind w:right="-102" w:hanging="141"/>
              <w:jc w:val="center"/>
              <w:rPr>
                <w:rFonts w:eastAsia="Calibri"/>
                <w:sz w:val="28"/>
                <w:szCs w:val="28"/>
                <w:lang w:eastAsia="en-US"/>
              </w:rPr>
            </w:pPr>
            <w:r w:rsidRPr="00520861">
              <w:rPr>
                <w:rFonts w:eastAsia="Calibri"/>
                <w:sz w:val="28"/>
                <w:szCs w:val="28"/>
                <w:lang w:eastAsia="en-US"/>
              </w:rPr>
              <w:t>(n; %, ДI)</w:t>
            </w:r>
          </w:p>
        </w:tc>
        <w:tc>
          <w:tcPr>
            <w:tcW w:w="1843" w:type="dxa"/>
            <w:tcBorders>
              <w:top w:val="single" w:sz="4" w:space="0" w:color="auto"/>
              <w:left w:val="single" w:sz="4" w:space="0" w:color="auto"/>
              <w:bottom w:val="single" w:sz="4" w:space="0" w:color="auto"/>
              <w:right w:val="single" w:sz="4" w:space="0" w:color="auto"/>
            </w:tcBorders>
            <w:hideMark/>
          </w:tcPr>
          <w:p w14:paraId="09D55926" w14:textId="77777777" w:rsidR="002E3CE8" w:rsidRPr="00520861" w:rsidRDefault="002E3CE8" w:rsidP="00292D2E">
            <w:pPr>
              <w:widowControl w:val="0"/>
              <w:spacing w:line="360" w:lineRule="auto"/>
              <w:ind w:left="-108" w:right="-31"/>
              <w:jc w:val="center"/>
              <w:rPr>
                <w:rFonts w:eastAsia="Calibri"/>
                <w:sz w:val="28"/>
                <w:szCs w:val="28"/>
                <w:lang w:eastAsia="en-US"/>
              </w:rPr>
            </w:pPr>
            <w:r w:rsidRPr="00520861">
              <w:rPr>
                <w:rFonts w:eastAsiaTheme="minorHAnsi"/>
                <w:sz w:val="28"/>
                <w:szCs w:val="28"/>
              </w:rPr>
              <w:t>хлопчики</w:t>
            </w:r>
            <w:r w:rsidRPr="00520861">
              <w:rPr>
                <w:rFonts w:eastAsia="Calibri"/>
                <w:sz w:val="28"/>
                <w:szCs w:val="28"/>
                <w:lang w:eastAsia="en-US"/>
              </w:rPr>
              <w:t xml:space="preserve"> </w:t>
            </w:r>
          </w:p>
          <w:p w14:paraId="58C9AEBE" w14:textId="77777777" w:rsidR="002E3CE8" w:rsidRPr="00520861" w:rsidRDefault="002E3CE8" w:rsidP="00292D2E">
            <w:pPr>
              <w:widowControl w:val="0"/>
              <w:spacing w:line="360" w:lineRule="auto"/>
              <w:ind w:left="-108" w:right="-31"/>
              <w:jc w:val="center"/>
              <w:rPr>
                <w:rFonts w:eastAsia="Calibri"/>
                <w:sz w:val="28"/>
                <w:szCs w:val="28"/>
                <w:lang w:eastAsia="en-US"/>
              </w:rPr>
            </w:pPr>
            <w:r w:rsidRPr="00520861">
              <w:rPr>
                <w:rFonts w:eastAsia="Calibri"/>
                <w:sz w:val="28"/>
                <w:szCs w:val="28"/>
                <w:lang w:eastAsia="en-US"/>
              </w:rPr>
              <w:t>(n; %, ДI)</w:t>
            </w:r>
          </w:p>
        </w:tc>
        <w:tc>
          <w:tcPr>
            <w:tcW w:w="1559" w:type="dxa"/>
            <w:tcBorders>
              <w:top w:val="single" w:sz="4" w:space="0" w:color="auto"/>
              <w:left w:val="single" w:sz="4" w:space="0" w:color="auto"/>
              <w:bottom w:val="single" w:sz="4" w:space="0" w:color="auto"/>
              <w:right w:val="single" w:sz="4" w:space="0" w:color="auto"/>
            </w:tcBorders>
            <w:hideMark/>
          </w:tcPr>
          <w:p w14:paraId="4C4181BE" w14:textId="77777777" w:rsidR="002E3CE8" w:rsidRPr="00520861" w:rsidRDefault="002E3CE8" w:rsidP="00292D2E">
            <w:pPr>
              <w:widowControl w:val="0"/>
              <w:spacing w:line="360" w:lineRule="auto"/>
              <w:ind w:left="-108" w:right="-31"/>
              <w:jc w:val="center"/>
              <w:rPr>
                <w:rFonts w:eastAsia="Calibri"/>
                <w:sz w:val="28"/>
                <w:szCs w:val="28"/>
                <w:lang w:eastAsia="en-US"/>
              </w:rPr>
            </w:pPr>
            <w:r w:rsidRPr="00520861">
              <w:rPr>
                <w:rFonts w:eastAsiaTheme="minorHAnsi"/>
                <w:sz w:val="28"/>
                <w:szCs w:val="28"/>
              </w:rPr>
              <w:t>дівчатка</w:t>
            </w:r>
            <w:r w:rsidRPr="00520861">
              <w:rPr>
                <w:rFonts w:eastAsia="Calibri"/>
                <w:sz w:val="28"/>
                <w:szCs w:val="28"/>
                <w:lang w:eastAsia="en-US"/>
              </w:rPr>
              <w:t xml:space="preserve"> </w:t>
            </w:r>
          </w:p>
          <w:p w14:paraId="081B443F" w14:textId="77777777" w:rsidR="002E3CE8" w:rsidRPr="00520861" w:rsidRDefault="002E3CE8" w:rsidP="00292D2E">
            <w:pPr>
              <w:widowControl w:val="0"/>
              <w:spacing w:line="360" w:lineRule="auto"/>
              <w:ind w:left="-108" w:right="-31"/>
              <w:jc w:val="center"/>
              <w:rPr>
                <w:rFonts w:eastAsia="Calibri"/>
                <w:sz w:val="28"/>
                <w:szCs w:val="28"/>
                <w:lang w:eastAsia="en-US"/>
              </w:rPr>
            </w:pPr>
            <w:r w:rsidRPr="00520861">
              <w:rPr>
                <w:rFonts w:eastAsia="Calibri"/>
                <w:sz w:val="28"/>
                <w:szCs w:val="28"/>
                <w:lang w:eastAsia="en-US"/>
              </w:rPr>
              <w:t>(n; %, ДI)</w:t>
            </w:r>
          </w:p>
        </w:tc>
        <w:tc>
          <w:tcPr>
            <w:tcW w:w="1560" w:type="dxa"/>
            <w:tcBorders>
              <w:top w:val="single" w:sz="4" w:space="0" w:color="auto"/>
              <w:left w:val="single" w:sz="4" w:space="0" w:color="auto"/>
              <w:bottom w:val="single" w:sz="4" w:space="0" w:color="auto"/>
              <w:right w:val="single" w:sz="4" w:space="0" w:color="auto"/>
            </w:tcBorders>
            <w:hideMark/>
          </w:tcPr>
          <w:p w14:paraId="1915DFC8"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Theme="minorHAnsi"/>
                <w:sz w:val="28"/>
                <w:szCs w:val="28"/>
              </w:rPr>
              <w:t>хлопчики</w:t>
            </w:r>
            <w:r w:rsidRPr="00520861">
              <w:rPr>
                <w:rFonts w:eastAsia="Calibri"/>
                <w:sz w:val="28"/>
                <w:szCs w:val="28"/>
                <w:lang w:eastAsia="en-US"/>
              </w:rPr>
              <w:t xml:space="preserve"> </w:t>
            </w:r>
          </w:p>
          <w:p w14:paraId="7736CCA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(n; %, ДI)</w:t>
            </w:r>
          </w:p>
        </w:tc>
        <w:tc>
          <w:tcPr>
            <w:tcW w:w="1560" w:type="dxa"/>
            <w:tcBorders>
              <w:top w:val="single" w:sz="4" w:space="0" w:color="auto"/>
              <w:left w:val="single" w:sz="4" w:space="0" w:color="auto"/>
              <w:bottom w:val="single" w:sz="4" w:space="0" w:color="auto"/>
              <w:right w:val="single" w:sz="4" w:space="0" w:color="auto"/>
            </w:tcBorders>
            <w:hideMark/>
          </w:tcPr>
          <w:p w14:paraId="0C560A13"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Theme="minorHAnsi"/>
                <w:sz w:val="28"/>
                <w:szCs w:val="28"/>
              </w:rPr>
              <w:t>дівчатка</w:t>
            </w:r>
            <w:r w:rsidRPr="00520861">
              <w:rPr>
                <w:rFonts w:eastAsia="Calibri"/>
                <w:sz w:val="28"/>
                <w:szCs w:val="28"/>
                <w:lang w:eastAsia="en-US"/>
              </w:rPr>
              <w:t xml:space="preserve"> </w:t>
            </w:r>
          </w:p>
          <w:p w14:paraId="5BCD217D"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(n; %, ДI)</w:t>
            </w:r>
          </w:p>
        </w:tc>
        <w:tc>
          <w:tcPr>
            <w:tcW w:w="1559" w:type="dxa"/>
            <w:tcBorders>
              <w:top w:val="single" w:sz="4" w:space="0" w:color="auto"/>
              <w:left w:val="single" w:sz="4" w:space="0" w:color="auto"/>
              <w:bottom w:val="single" w:sz="4" w:space="0" w:color="auto"/>
              <w:right w:val="single" w:sz="4" w:space="0" w:color="auto"/>
            </w:tcBorders>
            <w:hideMark/>
          </w:tcPr>
          <w:p w14:paraId="678AA72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Theme="minorHAnsi"/>
                <w:sz w:val="28"/>
                <w:szCs w:val="28"/>
              </w:rPr>
              <w:t>хлопчики</w:t>
            </w:r>
            <w:r w:rsidRPr="00520861">
              <w:rPr>
                <w:rFonts w:eastAsia="Calibri"/>
                <w:sz w:val="28"/>
                <w:szCs w:val="28"/>
                <w:lang w:eastAsia="en-US"/>
              </w:rPr>
              <w:t xml:space="preserve"> </w:t>
            </w:r>
          </w:p>
          <w:p w14:paraId="4D3B6ED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(n; %, ДI)</w:t>
            </w:r>
          </w:p>
        </w:tc>
        <w:tc>
          <w:tcPr>
            <w:tcW w:w="1559" w:type="dxa"/>
            <w:tcBorders>
              <w:top w:val="single" w:sz="4" w:space="0" w:color="auto"/>
              <w:left w:val="single" w:sz="4" w:space="0" w:color="auto"/>
              <w:bottom w:val="single" w:sz="4" w:space="0" w:color="auto"/>
              <w:right w:val="single" w:sz="4" w:space="0" w:color="auto"/>
            </w:tcBorders>
            <w:hideMark/>
          </w:tcPr>
          <w:p w14:paraId="7C18089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Theme="minorHAnsi"/>
                <w:sz w:val="28"/>
                <w:szCs w:val="28"/>
              </w:rPr>
              <w:t>дівчатка</w:t>
            </w:r>
            <w:r w:rsidRPr="00520861">
              <w:rPr>
                <w:rFonts w:eastAsia="Calibri"/>
                <w:sz w:val="28"/>
                <w:szCs w:val="28"/>
                <w:lang w:eastAsia="en-US"/>
              </w:rPr>
              <w:t xml:space="preserve"> </w:t>
            </w:r>
          </w:p>
          <w:p w14:paraId="410F7F6C"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(n; %, ДI)</w:t>
            </w:r>
          </w:p>
        </w:tc>
        <w:tc>
          <w:tcPr>
            <w:tcW w:w="1560" w:type="dxa"/>
            <w:tcBorders>
              <w:top w:val="single" w:sz="4" w:space="0" w:color="auto"/>
              <w:left w:val="single" w:sz="4" w:space="0" w:color="auto"/>
              <w:bottom w:val="single" w:sz="4" w:space="0" w:color="auto"/>
              <w:right w:val="single" w:sz="4" w:space="0" w:color="auto"/>
            </w:tcBorders>
            <w:hideMark/>
          </w:tcPr>
          <w:p w14:paraId="0A982CFA" w14:textId="77777777" w:rsidR="002E3CE8" w:rsidRPr="00520861" w:rsidRDefault="002E3CE8" w:rsidP="00292D2E">
            <w:pPr>
              <w:widowControl w:val="0"/>
              <w:spacing w:line="360" w:lineRule="auto"/>
              <w:ind w:right="-31" w:hanging="108"/>
              <w:jc w:val="center"/>
              <w:rPr>
                <w:rFonts w:eastAsia="Calibri"/>
                <w:sz w:val="28"/>
                <w:szCs w:val="28"/>
                <w:lang w:eastAsia="en-US"/>
              </w:rPr>
            </w:pPr>
            <w:r w:rsidRPr="00520861">
              <w:rPr>
                <w:rFonts w:eastAsiaTheme="minorHAnsi"/>
                <w:sz w:val="28"/>
                <w:szCs w:val="28"/>
              </w:rPr>
              <w:t>хлопчики</w:t>
            </w:r>
          </w:p>
          <w:p w14:paraId="0B02250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(n; %, ДI)</w:t>
            </w:r>
          </w:p>
        </w:tc>
      </w:tr>
      <w:tr w:rsidR="002E3CE8" w:rsidRPr="00520861" w14:paraId="1D5D4F18" w14:textId="77777777" w:rsidTr="00292D2E">
        <w:trPr>
          <w:trHeight w:val="536"/>
        </w:trPr>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CD1B267" w14:textId="77777777" w:rsidR="002E3CE8" w:rsidRPr="00520861" w:rsidRDefault="002E3CE8" w:rsidP="00292D2E">
            <w:pPr>
              <w:widowControl w:val="0"/>
              <w:spacing w:line="360" w:lineRule="auto"/>
              <w:ind w:left="-137" w:right="-31"/>
              <w:jc w:val="center"/>
              <w:rPr>
                <w:rFonts w:eastAsia="Calibri"/>
                <w:sz w:val="28"/>
                <w:szCs w:val="28"/>
                <w:lang w:eastAsia="en-US"/>
              </w:rPr>
            </w:pPr>
            <w:r w:rsidRPr="00520861">
              <w:rPr>
                <w:rFonts w:eastAsia="Calibri"/>
                <w:sz w:val="28"/>
                <w:szCs w:val="28"/>
                <w:lang w:eastAsia="en-US"/>
              </w:rPr>
              <w:t>ГП</w:t>
            </w:r>
          </w:p>
          <w:p w14:paraId="23B607A4" w14:textId="77777777" w:rsidR="002E3CE8" w:rsidRPr="00520861" w:rsidRDefault="002E3CE8" w:rsidP="00292D2E">
            <w:pPr>
              <w:widowControl w:val="0"/>
              <w:spacing w:line="360" w:lineRule="auto"/>
              <w:ind w:left="-137" w:right="-31"/>
              <w:jc w:val="center"/>
              <w:rPr>
                <w:rFonts w:eastAsia="Calibri"/>
                <w:sz w:val="28"/>
                <w:szCs w:val="28"/>
                <w:lang w:eastAsia="en-US"/>
              </w:rPr>
            </w:pPr>
            <w:r w:rsidRPr="00520861">
              <w:rPr>
                <w:rFonts w:eastAsia="Calibri"/>
                <w:sz w:val="28"/>
                <w:szCs w:val="28"/>
                <w:lang w:eastAsia="en-US"/>
              </w:rPr>
              <w:t>413, (293)</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94FD979"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7; 2,4%;</w:t>
            </w:r>
          </w:p>
          <w:p w14:paraId="2756C7F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1,2% – 4,4%</w:t>
            </w:r>
          </w:p>
        </w:tc>
        <w:tc>
          <w:tcPr>
            <w:tcW w:w="184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741C30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6; 1,5%; </w:t>
            </w:r>
          </w:p>
          <w:p w14:paraId="40E449F3"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0,7% – 2,8%</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0F5B7A9"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5; 1,7% </w:t>
            </w:r>
          </w:p>
          <w:p w14:paraId="3D9393B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0,8% – 3,5%</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1963AE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7; 1,7% </w:t>
            </w:r>
          </w:p>
          <w:p w14:paraId="5B5E99F1"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0,8% – 3,1%</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7448D3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16; 5,5% </w:t>
            </w:r>
          </w:p>
          <w:p w14:paraId="7BEA4893"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3,4% – 8,3%</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5EF282F"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14; 3,4% </w:t>
            </w:r>
          </w:p>
          <w:p w14:paraId="22E58BC9"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2,0% – 5,3%</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B30696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8; 2,7% </w:t>
            </w:r>
          </w:p>
          <w:p w14:paraId="6B483D8D"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1,4% – 4,9%</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D6E3FB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6; 1,5% </w:t>
            </w:r>
          </w:p>
          <w:p w14:paraId="198EFBC4" w14:textId="77777777" w:rsidR="002E3CE8" w:rsidRPr="00520861" w:rsidRDefault="002E3CE8" w:rsidP="00292D2E">
            <w:pPr>
              <w:widowControl w:val="0"/>
              <w:spacing w:line="360" w:lineRule="auto"/>
              <w:ind w:right="-161" w:hanging="113"/>
              <w:jc w:val="center"/>
              <w:rPr>
                <w:rFonts w:eastAsia="Calibri"/>
                <w:sz w:val="28"/>
                <w:szCs w:val="28"/>
                <w:lang w:eastAsia="en-US"/>
              </w:rPr>
            </w:pPr>
            <w:r w:rsidRPr="00520861">
              <w:rPr>
                <w:rFonts w:eastAsia="Calibri"/>
                <w:sz w:val="28"/>
                <w:szCs w:val="28"/>
                <w:lang w:eastAsia="en-US"/>
              </w:rPr>
              <w:t>0,7% – 2,8%</w:t>
            </w:r>
          </w:p>
        </w:tc>
      </w:tr>
      <w:tr w:rsidR="002E3CE8" w:rsidRPr="00520861" w14:paraId="4A56F296" w14:textId="77777777" w:rsidTr="00292D2E">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FB00ABC"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ОГ</w:t>
            </w:r>
          </w:p>
          <w:p w14:paraId="3F989EEC"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485, (263)</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D15884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24; 9,1% </w:t>
            </w:r>
          </w:p>
          <w:p w14:paraId="1E1A86CE" w14:textId="77777777" w:rsidR="002E3CE8" w:rsidRPr="00520861" w:rsidRDefault="002E3CE8" w:rsidP="00292D2E">
            <w:pPr>
              <w:widowControl w:val="0"/>
              <w:spacing w:line="360" w:lineRule="auto"/>
              <w:ind w:right="-31" w:hanging="23"/>
              <w:jc w:val="center"/>
              <w:rPr>
                <w:rFonts w:eastAsia="Calibri"/>
                <w:sz w:val="28"/>
                <w:szCs w:val="28"/>
                <w:lang w:eastAsia="en-US"/>
              </w:rPr>
            </w:pPr>
            <w:r w:rsidRPr="00520861">
              <w:rPr>
                <w:rFonts w:eastAsia="Calibri"/>
                <w:sz w:val="28"/>
                <w:szCs w:val="28"/>
                <w:lang w:eastAsia="en-US"/>
              </w:rPr>
              <w:t>6,2% – 12,8%*</w:t>
            </w:r>
          </w:p>
        </w:tc>
        <w:tc>
          <w:tcPr>
            <w:tcW w:w="184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AB2535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29; 6,0% </w:t>
            </w:r>
          </w:p>
          <w:p w14:paraId="26342DE3" w14:textId="77777777" w:rsidR="002E3CE8" w:rsidRPr="00520861" w:rsidRDefault="002E3CE8" w:rsidP="00292D2E">
            <w:pPr>
              <w:widowControl w:val="0"/>
              <w:spacing w:line="360" w:lineRule="auto"/>
              <w:ind w:right="-31" w:hanging="38"/>
              <w:jc w:val="center"/>
              <w:rPr>
                <w:rFonts w:eastAsia="Calibri"/>
                <w:sz w:val="28"/>
                <w:szCs w:val="28"/>
                <w:lang w:eastAsia="en-US"/>
              </w:rPr>
            </w:pPr>
            <w:r w:rsidRPr="00520861">
              <w:rPr>
                <w:rFonts w:eastAsia="Calibri"/>
                <w:sz w:val="28"/>
                <w:szCs w:val="28"/>
                <w:lang w:eastAsia="en-US"/>
              </w:rPr>
              <w:t>4,2% – 8,2%*</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AD12BEA"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9; 3,4% </w:t>
            </w:r>
          </w:p>
          <w:p w14:paraId="058E90A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1,8% – 5,9%</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950AFBC"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16; 3,3% </w:t>
            </w:r>
          </w:p>
          <w:p w14:paraId="3772A14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2,1% – 5,0%</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3A2F74A"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13; 4,9% </w:t>
            </w:r>
          </w:p>
          <w:p w14:paraId="5DF5B66F"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2,9% – 7,8%</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664B763"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17; 3,5% </w:t>
            </w:r>
          </w:p>
          <w:p w14:paraId="50DC1C7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2,2% – 5,3%</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73DEB3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7; 2,7% </w:t>
            </w:r>
          </w:p>
          <w:p w14:paraId="0D753D81"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1,3% – 4,9%</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5C52AE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10; 2,1% </w:t>
            </w:r>
          </w:p>
          <w:p w14:paraId="580B7366" w14:textId="77777777" w:rsidR="002E3CE8" w:rsidRPr="00520861" w:rsidRDefault="002E3CE8" w:rsidP="00292D2E">
            <w:pPr>
              <w:widowControl w:val="0"/>
              <w:spacing w:line="360" w:lineRule="auto"/>
              <w:ind w:right="-161" w:hanging="113"/>
              <w:jc w:val="center"/>
              <w:rPr>
                <w:rFonts w:eastAsia="Calibri"/>
                <w:sz w:val="28"/>
                <w:szCs w:val="28"/>
                <w:lang w:eastAsia="en-US"/>
              </w:rPr>
            </w:pPr>
            <w:r w:rsidRPr="00520861">
              <w:rPr>
                <w:rFonts w:eastAsia="Calibri"/>
                <w:sz w:val="28"/>
                <w:szCs w:val="28"/>
                <w:lang w:eastAsia="en-US"/>
              </w:rPr>
              <w:t>1,1% – 3,5%</w:t>
            </w:r>
          </w:p>
        </w:tc>
      </w:tr>
      <w:tr w:rsidR="002E3CE8" w:rsidRPr="00520861" w14:paraId="1B0AB15A" w14:textId="77777777" w:rsidTr="00292D2E">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4A538DE" w14:textId="77777777" w:rsidR="002E3CE8" w:rsidRPr="00520861" w:rsidRDefault="002E3CE8" w:rsidP="00292D2E">
            <w:pPr>
              <w:widowControl w:val="0"/>
              <w:spacing w:line="360" w:lineRule="auto"/>
              <w:ind w:right="-31"/>
              <w:jc w:val="center"/>
              <w:rPr>
                <w:rFonts w:eastAsia="Calibri"/>
                <w:bCs/>
                <w:sz w:val="28"/>
                <w:szCs w:val="28"/>
                <w:lang w:eastAsia="en-US"/>
              </w:rPr>
            </w:pPr>
            <w:r w:rsidRPr="00520861">
              <w:rPr>
                <w:bCs/>
                <w:sz w:val="28"/>
                <w:szCs w:val="28"/>
              </w:rPr>
              <w:t xml:space="preserve">Підгрупа </w:t>
            </w:r>
            <w:r w:rsidRPr="00520861">
              <w:rPr>
                <w:rFonts w:eastAsia="Calibri"/>
                <w:bCs/>
                <w:sz w:val="28"/>
                <w:szCs w:val="28"/>
                <w:lang w:eastAsia="en-US"/>
              </w:rPr>
              <w:t>1</w:t>
            </w:r>
          </w:p>
          <w:p w14:paraId="51833DF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160, (86)</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2EE0C98"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6; 7,0% </w:t>
            </w:r>
          </w:p>
          <w:p w14:paraId="7165FC7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3,3% – 13,0%</w:t>
            </w:r>
          </w:p>
        </w:tc>
        <w:tc>
          <w:tcPr>
            <w:tcW w:w="184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092FB2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12; 7,5% </w:t>
            </w:r>
          </w:p>
          <w:p w14:paraId="51BA01AD"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4,4% – 12,0%*</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7DF231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2; 2,3% </w:t>
            </w:r>
          </w:p>
          <w:p w14:paraId="7651E9A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0,7% – 6,3%</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F7D32F0"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4; 2,5% </w:t>
            </w:r>
          </w:p>
          <w:p w14:paraId="4117EC7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1,0% – 5,4%</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DD8664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3; 3,5% </w:t>
            </w:r>
          </w:p>
          <w:p w14:paraId="01D9919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1,3% – 8,1%</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2B2D36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7; 4,4% </w:t>
            </w:r>
          </w:p>
          <w:p w14:paraId="7164DAD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2,2% – 8,0%</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52BE1A3"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2; 2,3% </w:t>
            </w:r>
          </w:p>
          <w:p w14:paraId="3F7C165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0,7% – 6,3%</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671BF3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3; 1,9% </w:t>
            </w:r>
          </w:p>
          <w:p w14:paraId="24C0FF31"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0,7% – 4,4%</w:t>
            </w:r>
          </w:p>
        </w:tc>
      </w:tr>
      <w:tr w:rsidR="002E3CE8" w:rsidRPr="00520861" w14:paraId="2840658A" w14:textId="77777777" w:rsidTr="00292D2E">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442862B" w14:textId="77777777" w:rsidR="002E3CE8" w:rsidRPr="00520861" w:rsidRDefault="002E3CE8" w:rsidP="00292D2E">
            <w:pPr>
              <w:widowControl w:val="0"/>
              <w:spacing w:line="360" w:lineRule="auto"/>
              <w:ind w:right="-31"/>
              <w:jc w:val="center"/>
              <w:rPr>
                <w:rFonts w:eastAsia="Calibri"/>
                <w:bCs/>
                <w:sz w:val="28"/>
                <w:szCs w:val="28"/>
                <w:lang w:eastAsia="en-US"/>
              </w:rPr>
            </w:pPr>
            <w:r w:rsidRPr="00520861">
              <w:rPr>
                <w:bCs/>
                <w:sz w:val="28"/>
                <w:szCs w:val="28"/>
              </w:rPr>
              <w:t xml:space="preserve">Підгрупа </w:t>
            </w:r>
            <w:r w:rsidRPr="00520861">
              <w:rPr>
                <w:rFonts w:eastAsia="Calibri"/>
                <w:bCs/>
                <w:sz w:val="28"/>
                <w:szCs w:val="28"/>
                <w:lang w:eastAsia="en-US"/>
              </w:rPr>
              <w:t>2</w:t>
            </w:r>
          </w:p>
          <w:p w14:paraId="0721C32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65, (31)</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547F34D"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3; 9,7% </w:t>
            </w:r>
          </w:p>
          <w:p w14:paraId="244DA5C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3,6% – 21,4%</w:t>
            </w:r>
          </w:p>
        </w:tc>
        <w:tc>
          <w:tcPr>
            <w:tcW w:w="184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1DE27E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5; 7,7% </w:t>
            </w:r>
          </w:p>
          <w:p w14:paraId="52AD8383"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3,5% – 15,0%*</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59B1413"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 3,2% </w:t>
            </w:r>
          </w:p>
          <w:p w14:paraId="095E14C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0,8% –11,2%</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95054D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2; 3,1% </w:t>
            </w:r>
          </w:p>
          <w:p w14:paraId="19D36C3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1,0% – 8,3%</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EEB1EC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3; 9,7% </w:t>
            </w:r>
          </w:p>
          <w:p w14:paraId="7D084C8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3,6% –21,4%</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26C8C2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4; 6,2% </w:t>
            </w:r>
          </w:p>
          <w:p w14:paraId="594A1F37"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2,5% – 2,9%</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B9C79C5"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 0%</w:t>
            </w:r>
          </w:p>
          <w:p w14:paraId="0CF8268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 –11,2%</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6EBBA9A"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 1,5% </w:t>
            </w:r>
          </w:p>
          <w:p w14:paraId="3C627572"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0,4% – 5,5%</w:t>
            </w:r>
          </w:p>
        </w:tc>
      </w:tr>
      <w:tr w:rsidR="002E3CE8" w:rsidRPr="00520861" w14:paraId="53EC263B" w14:textId="77777777" w:rsidTr="00292D2E">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98431C7" w14:textId="77777777" w:rsidR="002E3CE8" w:rsidRPr="00520861" w:rsidRDefault="002E3CE8" w:rsidP="00292D2E">
            <w:pPr>
              <w:widowControl w:val="0"/>
              <w:spacing w:line="360" w:lineRule="auto"/>
              <w:ind w:right="-31"/>
              <w:jc w:val="center"/>
              <w:rPr>
                <w:rFonts w:eastAsia="Calibri"/>
                <w:bCs/>
                <w:sz w:val="28"/>
                <w:szCs w:val="28"/>
                <w:lang w:eastAsia="en-US"/>
              </w:rPr>
            </w:pPr>
            <w:r w:rsidRPr="00520861">
              <w:rPr>
                <w:bCs/>
                <w:sz w:val="28"/>
                <w:szCs w:val="28"/>
              </w:rPr>
              <w:t xml:space="preserve">Підгрупа </w:t>
            </w:r>
            <w:r w:rsidRPr="00520861">
              <w:rPr>
                <w:rFonts w:eastAsia="Calibri"/>
                <w:bCs/>
                <w:sz w:val="28"/>
                <w:szCs w:val="28"/>
                <w:lang w:eastAsia="en-US"/>
              </w:rPr>
              <w:t>3</w:t>
            </w:r>
          </w:p>
          <w:p w14:paraId="6F76868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 104, (42)</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11467E0"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3; 7,1% </w:t>
            </w:r>
          </w:p>
          <w:p w14:paraId="76E1CD12"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2,7% – 16,2%</w:t>
            </w:r>
          </w:p>
        </w:tc>
        <w:tc>
          <w:tcPr>
            <w:tcW w:w="184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F851D6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5; 4,8% </w:t>
            </w:r>
          </w:p>
          <w:p w14:paraId="40C6E26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2,1% – 9,6%</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8E829F0"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4; 9,5% </w:t>
            </w:r>
          </w:p>
          <w:p w14:paraId="6D9DAF95" w14:textId="77777777" w:rsidR="002E3CE8" w:rsidRPr="00520861" w:rsidRDefault="002E3CE8" w:rsidP="00292D2E">
            <w:pPr>
              <w:widowControl w:val="0"/>
              <w:spacing w:line="360" w:lineRule="auto"/>
              <w:ind w:left="-161" w:right="-166"/>
              <w:jc w:val="center"/>
              <w:rPr>
                <w:rFonts w:eastAsia="Calibri"/>
                <w:sz w:val="28"/>
                <w:szCs w:val="28"/>
                <w:lang w:eastAsia="en-US"/>
              </w:rPr>
            </w:pPr>
            <w:r w:rsidRPr="00520861">
              <w:rPr>
                <w:spacing w:val="-20"/>
                <w:sz w:val="28"/>
                <w:szCs w:val="28"/>
              </w:rPr>
              <w:t>4,0% – 19,5%</w:t>
            </w:r>
            <w:r w:rsidRPr="00520861">
              <w:rPr>
                <w:rFonts w:eastAsia="Calibri"/>
                <w:sz w:val="28"/>
                <w:szCs w:val="28"/>
                <w:lang w:eastAsia="en-US"/>
              </w:rPr>
              <w:t>*</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565C75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3; 2,9% </w:t>
            </w:r>
          </w:p>
          <w:p w14:paraId="3C9D10C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1,1% – 6,8%</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099504C"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2; 4,8% </w:t>
            </w:r>
          </w:p>
          <w:p w14:paraId="44AA61AE" w14:textId="77777777" w:rsidR="002E3CE8" w:rsidRPr="00520861" w:rsidRDefault="002E3CE8" w:rsidP="00292D2E">
            <w:pPr>
              <w:widowControl w:val="0"/>
              <w:spacing w:line="360" w:lineRule="auto"/>
              <w:ind w:left="-162" w:right="-165"/>
              <w:jc w:val="center"/>
              <w:rPr>
                <w:rFonts w:eastAsia="Calibri"/>
                <w:sz w:val="28"/>
                <w:szCs w:val="28"/>
                <w:lang w:eastAsia="en-US"/>
              </w:rPr>
            </w:pPr>
            <w:r w:rsidRPr="00520861">
              <w:rPr>
                <w:rFonts w:eastAsia="Calibri"/>
                <w:sz w:val="28"/>
                <w:szCs w:val="28"/>
                <w:lang w:eastAsia="en-US"/>
              </w:rPr>
              <w:t>1,5% – 12,6%</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772239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4; 3,8% </w:t>
            </w:r>
          </w:p>
          <w:p w14:paraId="50CCD18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1,6% – 8,2%</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C8E977B"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 2,4% </w:t>
            </w:r>
          </w:p>
          <w:p w14:paraId="6556446A"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0,6% – 8,4%</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98B849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4; 3,8% </w:t>
            </w:r>
          </w:p>
          <w:p w14:paraId="3869F516"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1,6% – 8,2%</w:t>
            </w:r>
          </w:p>
        </w:tc>
      </w:tr>
      <w:tr w:rsidR="002E3CE8" w:rsidRPr="00520861" w14:paraId="185CD394" w14:textId="77777777" w:rsidTr="00292D2E">
        <w:tc>
          <w:tcPr>
            <w:tcW w:w="141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5838C16" w14:textId="77777777" w:rsidR="002E3CE8" w:rsidRPr="00520861" w:rsidRDefault="002E3CE8" w:rsidP="00292D2E">
            <w:pPr>
              <w:widowControl w:val="0"/>
              <w:spacing w:line="360" w:lineRule="auto"/>
              <w:ind w:right="-31"/>
              <w:jc w:val="center"/>
              <w:rPr>
                <w:rFonts w:eastAsia="Calibri"/>
                <w:bCs/>
                <w:sz w:val="28"/>
                <w:szCs w:val="28"/>
                <w:lang w:eastAsia="en-US"/>
              </w:rPr>
            </w:pPr>
            <w:r w:rsidRPr="00520861">
              <w:rPr>
                <w:bCs/>
                <w:sz w:val="28"/>
                <w:szCs w:val="28"/>
              </w:rPr>
              <w:t xml:space="preserve">Підгрупа </w:t>
            </w:r>
            <w:r w:rsidRPr="00520861">
              <w:rPr>
                <w:rFonts w:eastAsia="Calibri"/>
                <w:bCs/>
                <w:sz w:val="28"/>
                <w:szCs w:val="28"/>
                <w:lang w:eastAsia="en-US"/>
              </w:rPr>
              <w:t>4</w:t>
            </w:r>
          </w:p>
          <w:p w14:paraId="42A1FBFD"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 156, (104)</w:t>
            </w:r>
          </w:p>
        </w:tc>
        <w:tc>
          <w:tcPr>
            <w:tcW w:w="184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B4CE423"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12; 11,5% </w:t>
            </w:r>
          </w:p>
          <w:p w14:paraId="2FD8FAA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6,8% – 18,1%*</w:t>
            </w:r>
          </w:p>
        </w:tc>
        <w:tc>
          <w:tcPr>
            <w:tcW w:w="184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2143CF2"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7; 4,5% </w:t>
            </w:r>
          </w:p>
          <w:p w14:paraId="4D72E1CF"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2,2% – 8,2%</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B4DB07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3; 2,9% </w:t>
            </w:r>
          </w:p>
          <w:p w14:paraId="7E78B9FF"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1,1% – 6,8%</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8845EE0"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9; 5,8%</w:t>
            </w:r>
          </w:p>
          <w:p w14:paraId="09389F4E" w14:textId="77777777" w:rsidR="002E3CE8" w:rsidRPr="00520861" w:rsidRDefault="002E3CE8" w:rsidP="00292D2E">
            <w:pPr>
              <w:widowControl w:val="0"/>
              <w:spacing w:line="360" w:lineRule="auto"/>
              <w:ind w:left="-20" w:right="-31" w:hanging="161"/>
              <w:jc w:val="center"/>
              <w:rPr>
                <w:rFonts w:eastAsia="Calibri"/>
                <w:sz w:val="28"/>
                <w:szCs w:val="28"/>
                <w:lang w:eastAsia="en-US"/>
              </w:rPr>
            </w:pPr>
            <w:r w:rsidRPr="00520861">
              <w:rPr>
                <w:spacing w:val="-20"/>
                <w:sz w:val="28"/>
                <w:szCs w:val="28"/>
              </w:rPr>
              <w:t>3,1% – 9,9%*</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C44246A"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5; 4,8% </w:t>
            </w:r>
          </w:p>
          <w:p w14:paraId="3D35CF60"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2,1% – 9,6%</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46159AF"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2; 1,3% </w:t>
            </w:r>
          </w:p>
          <w:p w14:paraId="35BA772D"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0,4% – 3,5%</w:t>
            </w:r>
          </w:p>
        </w:tc>
        <w:tc>
          <w:tcPr>
            <w:tcW w:w="1559"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D7AC2B4"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4; 3,8% </w:t>
            </w:r>
          </w:p>
          <w:p w14:paraId="798C468F"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1,6% – 8,2%</w:t>
            </w:r>
          </w:p>
        </w:tc>
        <w:tc>
          <w:tcPr>
            <w:tcW w:w="15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57BCD9E"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 xml:space="preserve">3; 1,9% </w:t>
            </w:r>
          </w:p>
          <w:p w14:paraId="498BEF01" w14:textId="77777777" w:rsidR="002E3CE8" w:rsidRPr="00520861" w:rsidRDefault="002E3CE8" w:rsidP="00292D2E">
            <w:pPr>
              <w:widowControl w:val="0"/>
              <w:spacing w:line="360" w:lineRule="auto"/>
              <w:ind w:right="-31"/>
              <w:jc w:val="center"/>
              <w:rPr>
                <w:rFonts w:eastAsia="Calibri"/>
                <w:sz w:val="28"/>
                <w:szCs w:val="28"/>
                <w:lang w:eastAsia="en-US"/>
              </w:rPr>
            </w:pPr>
            <w:r w:rsidRPr="00520861">
              <w:rPr>
                <w:rFonts w:eastAsia="Calibri"/>
                <w:sz w:val="28"/>
                <w:szCs w:val="28"/>
                <w:lang w:eastAsia="en-US"/>
              </w:rPr>
              <w:t>0,7% – 4,6%</w:t>
            </w:r>
          </w:p>
        </w:tc>
      </w:tr>
    </w:tbl>
    <w:p w14:paraId="3C2DA2EB"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567"/>
        <w:rPr>
          <w:sz w:val="28"/>
          <w:szCs w:val="28"/>
        </w:rPr>
        <w:sectPr w:rsidR="002E3CE8" w:rsidRPr="00520861" w:rsidSect="00292D2E">
          <w:pgSz w:w="16838" w:h="11906" w:orient="landscape"/>
          <w:pgMar w:top="1134" w:right="1134" w:bottom="567" w:left="1134" w:header="709" w:footer="709" w:gutter="0"/>
          <w:cols w:space="708"/>
          <w:docGrid w:linePitch="360"/>
        </w:sectPr>
      </w:pPr>
      <w:r w:rsidRPr="00520861">
        <w:rPr>
          <w:sz w:val="28"/>
          <w:szCs w:val="28"/>
        </w:rPr>
        <w:t xml:space="preserve">Примітка: * – різниця між значеннями для груп </w:t>
      </w:r>
      <w:proofErr w:type="spellStart"/>
      <w:r w:rsidRPr="00520861">
        <w:rPr>
          <w:sz w:val="28"/>
          <w:szCs w:val="28"/>
        </w:rPr>
        <w:t>макросомів</w:t>
      </w:r>
      <w:proofErr w:type="spellEnd"/>
      <w:r w:rsidRPr="00520861">
        <w:rPr>
          <w:sz w:val="28"/>
          <w:szCs w:val="28"/>
        </w:rPr>
        <w:t xml:space="preserve"> і </w:t>
      </w:r>
      <w:proofErr w:type="spellStart"/>
      <w:r w:rsidRPr="00520861">
        <w:rPr>
          <w:sz w:val="28"/>
          <w:szCs w:val="28"/>
        </w:rPr>
        <w:t>нормосомів</w:t>
      </w:r>
      <w:proofErr w:type="spellEnd"/>
      <w:r w:rsidRPr="00520861">
        <w:rPr>
          <w:sz w:val="28"/>
          <w:szCs w:val="28"/>
        </w:rPr>
        <w:t xml:space="preserve"> однієї й тієї ж статі статистично вірогідна при ймовірності </w:t>
      </w:r>
      <w:r w:rsidR="00E82B0F" w:rsidRPr="00520861">
        <w:rPr>
          <w:rFonts w:eastAsia="Calibri"/>
          <w:sz w:val="28"/>
          <w:szCs w:val="28"/>
          <w:lang w:eastAsia="en-US"/>
        </w:rPr>
        <w:t>похибки</w:t>
      </w:r>
      <w:r w:rsidRPr="00520861">
        <w:rPr>
          <w:sz w:val="28"/>
          <w:szCs w:val="28"/>
        </w:rPr>
        <w:t xml:space="preserve"> </w:t>
      </w:r>
      <w:r w:rsidRPr="00520861">
        <w:rPr>
          <w:i/>
          <w:sz w:val="28"/>
          <w:szCs w:val="28"/>
        </w:rPr>
        <w:t>p</w:t>
      </w:r>
      <w:r w:rsidR="00FF6C32" w:rsidRPr="00520861">
        <w:rPr>
          <w:rFonts w:eastAsia="Calibri"/>
          <w:sz w:val="28"/>
          <w:szCs w:val="28"/>
          <w:lang w:eastAsia="en-US"/>
        </w:rPr>
        <w:t>&lt;</w:t>
      </w:r>
      <w:r w:rsidRPr="00520861">
        <w:rPr>
          <w:sz w:val="28"/>
          <w:szCs w:val="28"/>
        </w:rPr>
        <w:t>0,05.</w:t>
      </w:r>
      <w:r w:rsidRPr="00520861">
        <w:rPr>
          <w:rFonts w:eastAsiaTheme="minorHAnsi"/>
          <w:sz w:val="28"/>
          <w:szCs w:val="28"/>
          <w:lang w:eastAsia="en-US"/>
        </w:rPr>
        <w:t xml:space="preserve"> </w:t>
      </w:r>
    </w:p>
    <w:p w14:paraId="3DCFD628" w14:textId="77777777" w:rsidR="002E3CE8" w:rsidRPr="00520861" w:rsidRDefault="002E3CE8" w:rsidP="00292D2E">
      <w:pPr>
        <w:widowControl w:val="0"/>
        <w:spacing w:line="360" w:lineRule="auto"/>
        <w:ind w:firstLine="709"/>
        <w:contextualSpacing/>
        <w:rPr>
          <w:rFonts w:eastAsia="Calibri"/>
          <w:b/>
          <w:spacing w:val="-2"/>
          <w:sz w:val="28"/>
          <w:szCs w:val="28"/>
          <w:lang w:eastAsia="en-US"/>
        </w:rPr>
      </w:pPr>
      <w:r w:rsidRPr="00520861">
        <w:rPr>
          <w:rFonts w:eastAsia="Calibri"/>
          <w:b/>
          <w:sz w:val="28"/>
          <w:szCs w:val="28"/>
          <w:lang w:eastAsia="en-US"/>
        </w:rPr>
        <w:lastRenderedPageBreak/>
        <w:t xml:space="preserve">5.4. </w:t>
      </w:r>
      <w:r w:rsidRPr="00520861">
        <w:rPr>
          <w:rFonts w:eastAsia="Calibri"/>
          <w:b/>
          <w:spacing w:val="-2"/>
          <w:sz w:val="28"/>
          <w:szCs w:val="28"/>
          <w:lang w:eastAsia="en-US"/>
        </w:rPr>
        <w:t xml:space="preserve">Результати вивчення особливостей </w:t>
      </w:r>
      <w:proofErr w:type="spellStart"/>
      <w:r w:rsidRPr="00520861">
        <w:rPr>
          <w:rFonts w:eastAsia="Calibri"/>
          <w:b/>
          <w:spacing w:val="-2"/>
          <w:sz w:val="28"/>
          <w:szCs w:val="28"/>
          <w:lang w:eastAsia="en-US"/>
        </w:rPr>
        <w:t>стоматогнатичної</w:t>
      </w:r>
      <w:proofErr w:type="spellEnd"/>
      <w:r w:rsidRPr="00520861">
        <w:rPr>
          <w:rFonts w:eastAsia="Calibri"/>
          <w:b/>
          <w:spacing w:val="-2"/>
          <w:sz w:val="28"/>
          <w:szCs w:val="28"/>
          <w:lang w:eastAsia="en-US"/>
        </w:rPr>
        <w:t xml:space="preserve"> системи в період тимчасового прикусу (ВП-ІІ, ВП-ІІІ) у дітей, які народилися з </w:t>
      </w:r>
      <w:proofErr w:type="spellStart"/>
      <w:r w:rsidRPr="00520861">
        <w:rPr>
          <w:rFonts w:eastAsia="Calibri"/>
          <w:b/>
          <w:spacing w:val="-2"/>
          <w:sz w:val="28"/>
          <w:szCs w:val="28"/>
          <w:lang w:eastAsia="en-US"/>
        </w:rPr>
        <w:t>макросомією</w:t>
      </w:r>
      <w:proofErr w:type="spellEnd"/>
      <w:r w:rsidRPr="00520861">
        <w:rPr>
          <w:rFonts w:eastAsia="Calibri"/>
          <w:b/>
          <w:spacing w:val="-2"/>
          <w:sz w:val="28"/>
          <w:szCs w:val="28"/>
          <w:lang w:eastAsia="en-US"/>
        </w:rPr>
        <w:t xml:space="preserve"> </w:t>
      </w:r>
    </w:p>
    <w:p w14:paraId="69578CA1" w14:textId="77777777" w:rsidR="002E3CE8" w:rsidRPr="00520861" w:rsidRDefault="002E3CE8" w:rsidP="00292D2E">
      <w:pPr>
        <w:widowControl w:val="0"/>
        <w:spacing w:line="360" w:lineRule="auto"/>
        <w:ind w:left="709"/>
        <w:contextualSpacing/>
        <w:rPr>
          <w:rFonts w:eastAsia="Calibri"/>
          <w:b/>
          <w:sz w:val="28"/>
          <w:szCs w:val="28"/>
          <w:lang w:eastAsia="en-US"/>
        </w:rPr>
      </w:pPr>
    </w:p>
    <w:p w14:paraId="5EBADCFF"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Із загальної кількості дітей, обстежених потягом першого року життя, 67 (43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при народженні та 24 дитини – </w:t>
      </w:r>
      <w:proofErr w:type="spellStart"/>
      <w:r w:rsidRPr="00520861">
        <w:rPr>
          <w:rFonts w:eastAsia="Calibri"/>
          <w:sz w:val="28"/>
          <w:szCs w:val="28"/>
          <w:lang w:eastAsia="en-US"/>
        </w:rPr>
        <w:t>нормосоми</w:t>
      </w:r>
      <w:proofErr w:type="spellEnd"/>
      <w:r w:rsidRPr="00520861">
        <w:rPr>
          <w:rFonts w:eastAsia="Calibri"/>
          <w:sz w:val="28"/>
          <w:szCs w:val="28"/>
          <w:lang w:eastAsia="en-US"/>
        </w:rPr>
        <w:t xml:space="preserve"> при народженні) були також обстежені у віці 3 – 3,5 року.</w:t>
      </w:r>
      <w:r w:rsidRPr="00520861">
        <w:rPr>
          <w:rFonts w:eastAsia="Calibri"/>
          <w:b/>
          <w:sz w:val="28"/>
          <w:szCs w:val="28"/>
          <w:lang w:eastAsia="en-US"/>
        </w:rPr>
        <w:t xml:space="preserve"> </w:t>
      </w:r>
      <w:r w:rsidRPr="00520861">
        <w:rPr>
          <w:rFonts w:eastAsia="Calibri"/>
          <w:sz w:val="28"/>
          <w:szCs w:val="28"/>
          <w:lang w:eastAsia="en-US"/>
        </w:rPr>
        <w:t xml:space="preserve">У віці від 4,5 до 6,5 року були обстежені </w:t>
      </w:r>
      <w:r w:rsidRPr="00520861">
        <w:rPr>
          <w:rFonts w:eastAsia="Calibri"/>
          <w:sz w:val="28"/>
          <w:szCs w:val="28"/>
          <w:lang w:eastAsia="en-US"/>
        </w:rPr>
        <w:br/>
        <w:t xml:space="preserve">40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та 13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w:t>
      </w:r>
    </w:p>
    <w:p w14:paraId="41BCFAAD" w14:textId="77777777" w:rsidR="002E3CE8" w:rsidRPr="00520861" w:rsidRDefault="002E3CE8" w:rsidP="00292D2E">
      <w:pPr>
        <w:widowControl w:val="0"/>
        <w:spacing w:line="360" w:lineRule="auto"/>
        <w:ind w:firstLine="709"/>
        <w:contextualSpacing/>
        <w:jc w:val="both"/>
        <w:rPr>
          <w:rFonts w:eastAsia="Calibri"/>
          <w:spacing w:val="-4"/>
          <w:sz w:val="28"/>
          <w:szCs w:val="28"/>
          <w:lang w:eastAsia="en-US"/>
        </w:rPr>
      </w:pPr>
      <w:r w:rsidRPr="00520861">
        <w:rPr>
          <w:rFonts w:eastAsia="Calibri"/>
          <w:spacing w:val="-4"/>
          <w:sz w:val="28"/>
          <w:szCs w:val="28"/>
          <w:lang w:eastAsia="en-US"/>
        </w:rPr>
        <w:t>Із даних анамнезу відомо, що переважна кількість учасників дослідження як в ОГ, так і в ГП були на грудному вигодовуванні протягом перших 6 – 14 місяців життя.</w:t>
      </w:r>
    </w:p>
    <w:p w14:paraId="09E9A919" w14:textId="77777777" w:rsidR="002E3CE8" w:rsidRPr="00520861" w:rsidRDefault="002E3CE8" w:rsidP="00292D2E">
      <w:pPr>
        <w:widowControl w:val="0"/>
        <w:spacing w:line="360" w:lineRule="auto"/>
        <w:ind w:firstLine="709"/>
        <w:contextualSpacing/>
        <w:jc w:val="both"/>
        <w:rPr>
          <w:sz w:val="28"/>
          <w:szCs w:val="28"/>
        </w:rPr>
      </w:pPr>
      <w:r w:rsidRPr="00520861">
        <w:rPr>
          <w:sz w:val="28"/>
          <w:szCs w:val="28"/>
        </w:rPr>
        <w:t xml:space="preserve">При проведенні </w:t>
      </w:r>
      <w:proofErr w:type="spellStart"/>
      <w:r w:rsidRPr="00520861">
        <w:rPr>
          <w:sz w:val="28"/>
          <w:szCs w:val="28"/>
        </w:rPr>
        <w:t>позаротового</w:t>
      </w:r>
      <w:proofErr w:type="spellEnd"/>
      <w:r w:rsidRPr="00520861">
        <w:rPr>
          <w:sz w:val="28"/>
          <w:szCs w:val="28"/>
        </w:rPr>
        <w:t xml:space="preserve"> обстеження виявилося, що в дітей ОГ (віком від 3 до 6,5 року) у більшості випадків (55 дітей, або 66,3%) обличчя було </w:t>
      </w:r>
      <w:r w:rsidRPr="00520861">
        <w:rPr>
          <w:sz w:val="28"/>
          <w:szCs w:val="28"/>
        </w:rPr>
        <w:br/>
        <w:t xml:space="preserve">непропорційним [48]. </w:t>
      </w:r>
    </w:p>
    <w:p w14:paraId="6408ED49" w14:textId="77777777" w:rsidR="002E3CE8" w:rsidRPr="00520861" w:rsidRDefault="002E3CE8" w:rsidP="00292D2E">
      <w:pPr>
        <w:widowControl w:val="0"/>
        <w:spacing w:line="360" w:lineRule="auto"/>
        <w:ind w:firstLine="709"/>
        <w:contextualSpacing/>
        <w:jc w:val="both"/>
        <w:rPr>
          <w:rFonts w:eastAsia="Calibri"/>
          <w:b/>
          <w:sz w:val="28"/>
          <w:szCs w:val="28"/>
          <w:lang w:eastAsia="en-US"/>
        </w:rPr>
      </w:pPr>
      <w:r w:rsidRPr="00520861">
        <w:rPr>
          <w:sz w:val="28"/>
          <w:szCs w:val="28"/>
        </w:rPr>
        <w:t xml:space="preserve">У 49 дітей ОГ (59,0%) було зафіксоване зменшення нижньої третини обличчя в поєднанні з глибокою підборідною складкою, а в 6 випадках (7,2%) – </w:t>
      </w:r>
      <w:r w:rsidRPr="00520861">
        <w:rPr>
          <w:sz w:val="28"/>
          <w:szCs w:val="28"/>
        </w:rPr>
        <w:br/>
        <w:t>збільшення. У ГП таких дітей було 7 (18,9%) та 1 (2,7%) відповідно.</w:t>
      </w:r>
    </w:p>
    <w:p w14:paraId="4583F51E" w14:textId="77777777" w:rsidR="002E3CE8" w:rsidRPr="00520861" w:rsidRDefault="002E3CE8" w:rsidP="00292D2E">
      <w:pPr>
        <w:widowControl w:val="0"/>
        <w:spacing w:line="360" w:lineRule="auto"/>
        <w:ind w:firstLine="709"/>
        <w:contextualSpacing/>
        <w:jc w:val="both"/>
        <w:rPr>
          <w:spacing w:val="-6"/>
          <w:sz w:val="28"/>
          <w:szCs w:val="28"/>
        </w:rPr>
      </w:pPr>
      <w:r w:rsidRPr="00520861">
        <w:rPr>
          <w:spacing w:val="-6"/>
          <w:sz w:val="28"/>
          <w:szCs w:val="28"/>
        </w:rPr>
        <w:t xml:space="preserve">Серед дітей ОГ випуклий лицевий профіль мали 49 (59%) дітей, а в ГП їх було 7 (18,9%). </w:t>
      </w:r>
      <w:r w:rsidRPr="00520861">
        <w:rPr>
          <w:bCs/>
          <w:spacing w:val="-6"/>
          <w:sz w:val="28"/>
          <w:szCs w:val="28"/>
        </w:rPr>
        <w:t>Увігнутий профіль</w:t>
      </w:r>
      <w:r w:rsidRPr="00520861">
        <w:rPr>
          <w:spacing w:val="-6"/>
          <w:sz w:val="28"/>
          <w:szCs w:val="28"/>
        </w:rPr>
        <w:t xml:space="preserve"> спостерігався в 6 (7,2%) дітей ОГ та в 1 (2,7%) дитини ГП. </w:t>
      </w:r>
    </w:p>
    <w:p w14:paraId="725F5371" w14:textId="77777777" w:rsidR="002E3CE8" w:rsidRPr="00520861" w:rsidRDefault="002E3CE8" w:rsidP="00292D2E">
      <w:pPr>
        <w:widowControl w:val="0"/>
        <w:spacing w:line="360" w:lineRule="auto"/>
        <w:ind w:firstLine="709"/>
        <w:contextualSpacing/>
        <w:jc w:val="both"/>
        <w:rPr>
          <w:sz w:val="28"/>
          <w:szCs w:val="28"/>
        </w:rPr>
      </w:pPr>
      <w:r w:rsidRPr="00520861">
        <w:rPr>
          <w:sz w:val="28"/>
          <w:szCs w:val="28"/>
        </w:rPr>
        <w:t xml:space="preserve">Описуючи функціональні порушення в дітей ОГ, слід зазначити, що 12 дітей (30,0%) мали проблеми з вимовлянням звуків (у більшості випадків через </w:t>
      </w:r>
      <w:r w:rsidRPr="00520861">
        <w:rPr>
          <w:sz w:val="28"/>
          <w:szCs w:val="28"/>
        </w:rPr>
        <w:br/>
      </w:r>
      <w:proofErr w:type="spellStart"/>
      <w:r w:rsidRPr="00520861">
        <w:rPr>
          <w:sz w:val="28"/>
          <w:szCs w:val="28"/>
        </w:rPr>
        <w:t>анкілоглосію</w:t>
      </w:r>
      <w:proofErr w:type="spellEnd"/>
      <w:r w:rsidRPr="00520861">
        <w:rPr>
          <w:sz w:val="28"/>
          <w:szCs w:val="28"/>
        </w:rPr>
        <w:t>). У ГП це порушення було в 3 (23,1%) дітей.</w:t>
      </w:r>
    </w:p>
    <w:p w14:paraId="4E110432" w14:textId="77777777" w:rsidR="002E3CE8" w:rsidRPr="00520861" w:rsidRDefault="002E3CE8" w:rsidP="00292D2E">
      <w:pPr>
        <w:widowControl w:val="0"/>
        <w:spacing w:line="360" w:lineRule="auto"/>
        <w:ind w:firstLine="709"/>
        <w:contextualSpacing/>
        <w:jc w:val="both"/>
        <w:rPr>
          <w:sz w:val="28"/>
          <w:szCs w:val="28"/>
          <w:shd w:val="clear" w:color="auto" w:fill="FFFFFF"/>
        </w:rPr>
      </w:pPr>
      <w:proofErr w:type="spellStart"/>
      <w:r w:rsidRPr="00520861">
        <w:rPr>
          <w:sz w:val="28"/>
          <w:szCs w:val="28"/>
        </w:rPr>
        <w:t>Внутрішньоротове</w:t>
      </w:r>
      <w:proofErr w:type="spellEnd"/>
      <w:r w:rsidRPr="00520861">
        <w:rPr>
          <w:sz w:val="28"/>
          <w:szCs w:val="28"/>
        </w:rPr>
        <w:t xml:space="preserve"> обстеження.</w:t>
      </w:r>
      <w:r w:rsidRPr="00520861">
        <w:rPr>
          <w:b/>
          <w:sz w:val="28"/>
          <w:szCs w:val="28"/>
        </w:rPr>
        <w:t xml:space="preserve"> </w:t>
      </w:r>
      <w:r w:rsidRPr="00520861">
        <w:rPr>
          <w:sz w:val="28"/>
          <w:szCs w:val="28"/>
          <w:shd w:val="clear" w:color="auto" w:fill="FFFFFF"/>
        </w:rPr>
        <w:t>Глибина присінку ротової порожнини в більшості дітей ОГ відповідала нормі та була зіставною зі значеннями для дітей ГП.</w:t>
      </w:r>
    </w:p>
    <w:p w14:paraId="7DDACC99" w14:textId="77777777" w:rsidR="002E3CE8" w:rsidRPr="00520861" w:rsidRDefault="002E3CE8" w:rsidP="00292D2E">
      <w:pPr>
        <w:widowControl w:val="0"/>
        <w:spacing w:line="360" w:lineRule="auto"/>
        <w:ind w:firstLine="709"/>
        <w:contextualSpacing/>
        <w:jc w:val="both"/>
        <w:rPr>
          <w:sz w:val="28"/>
          <w:szCs w:val="28"/>
        </w:rPr>
      </w:pPr>
      <w:r w:rsidRPr="00520861">
        <w:rPr>
          <w:sz w:val="28"/>
          <w:szCs w:val="28"/>
        </w:rPr>
        <w:t xml:space="preserve">Кількість аномалій вуздечок верхньої губи та язика в дітей ОГ віком </w:t>
      </w:r>
      <w:r w:rsidRPr="00520861">
        <w:rPr>
          <w:sz w:val="28"/>
          <w:szCs w:val="28"/>
        </w:rPr>
        <w:br/>
        <w:t>3 – 3,5 року була визначена нами на момент їх народження та детально описана вище.</w:t>
      </w:r>
      <w:r w:rsidRPr="00520861">
        <w:rPr>
          <w:color w:val="FF0000"/>
          <w:sz w:val="28"/>
          <w:szCs w:val="28"/>
        </w:rPr>
        <w:t xml:space="preserve"> </w:t>
      </w:r>
      <w:r w:rsidRPr="00520861">
        <w:rPr>
          <w:sz w:val="28"/>
          <w:szCs w:val="28"/>
        </w:rPr>
        <w:t xml:space="preserve">У віці </w:t>
      </w:r>
      <w:r w:rsidRPr="00520861">
        <w:rPr>
          <w:sz w:val="28"/>
          <w:szCs w:val="28"/>
          <w:shd w:val="clear" w:color="auto" w:fill="FFFFFF"/>
        </w:rPr>
        <w:t xml:space="preserve">4,5–6,5 року в групі ОГ аномалії вуздечки верхньої губи (рис. 5.10) мали 14 (35,0% ДІ: 22,7% </w:t>
      </w:r>
      <w:r w:rsidRPr="00520861">
        <w:rPr>
          <w:sz w:val="28"/>
          <w:szCs w:val="28"/>
        </w:rPr>
        <w:t>–</w:t>
      </w:r>
      <w:r w:rsidRPr="00520861">
        <w:rPr>
          <w:sz w:val="28"/>
          <w:szCs w:val="28"/>
          <w:shd w:val="clear" w:color="auto" w:fill="FFFFFF"/>
        </w:rPr>
        <w:t xml:space="preserve"> 49,1%) дітей. Зазначимо, що 6 із них належали до підгрупи 2 </w:t>
      </w:r>
      <w:r w:rsidRPr="00520861">
        <w:rPr>
          <w:sz w:val="28"/>
          <w:szCs w:val="28"/>
          <w:shd w:val="clear" w:color="auto" w:fill="FFFFFF"/>
        </w:rPr>
        <w:br/>
        <w:t xml:space="preserve">(що становить 75% від її кількості), тобто народилися з відносним дефіцитом маси тіла. У ГП така аномалія була в 1 (7,7% ДІ: 1,9% </w:t>
      </w:r>
      <w:r w:rsidRPr="00520861">
        <w:rPr>
          <w:sz w:val="28"/>
          <w:szCs w:val="28"/>
        </w:rPr>
        <w:t>–</w:t>
      </w:r>
      <w:r w:rsidRPr="00520861">
        <w:rPr>
          <w:sz w:val="28"/>
          <w:szCs w:val="28"/>
          <w:shd w:val="clear" w:color="auto" w:fill="FFFFFF"/>
        </w:rPr>
        <w:t xml:space="preserve"> 24,7%) дитини.</w:t>
      </w:r>
    </w:p>
    <w:p w14:paraId="4DE81300"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spacing w:val="-6"/>
          <w:sz w:val="28"/>
          <w:szCs w:val="28"/>
          <w:shd w:val="clear" w:color="auto" w:fill="FFFFFF"/>
        </w:rPr>
        <w:t xml:space="preserve">Аномалію вуздечки язика (рис. 5.11) було виявлено в 15 (37,5% ДІ: 24,9% </w:t>
      </w:r>
      <w:r w:rsidRPr="00520861">
        <w:rPr>
          <w:spacing w:val="-6"/>
          <w:sz w:val="28"/>
          <w:szCs w:val="28"/>
        </w:rPr>
        <w:t>–</w:t>
      </w:r>
      <w:r w:rsidRPr="00520861">
        <w:rPr>
          <w:spacing w:val="-6"/>
          <w:sz w:val="28"/>
          <w:szCs w:val="28"/>
          <w:shd w:val="clear" w:color="auto" w:fill="FFFFFF"/>
        </w:rPr>
        <w:t xml:space="preserve"> 51,7%) дітей </w:t>
      </w:r>
      <w:r w:rsidRPr="00520861">
        <w:rPr>
          <w:spacing w:val="-6"/>
          <w:sz w:val="28"/>
          <w:szCs w:val="28"/>
        </w:rPr>
        <w:t>ОГ</w:t>
      </w:r>
      <w:r w:rsidRPr="00520861">
        <w:rPr>
          <w:spacing w:val="-6"/>
          <w:sz w:val="28"/>
          <w:szCs w:val="28"/>
          <w:shd w:val="clear" w:color="auto" w:fill="FFFFFF"/>
        </w:rPr>
        <w:t xml:space="preserve"> віком 4,5 – 6,5 року. </w:t>
      </w:r>
    </w:p>
    <w:p w14:paraId="5B2DC5EF" w14:textId="77777777" w:rsidR="002E3CE8" w:rsidRPr="00520861" w:rsidRDefault="002E3CE8" w:rsidP="00292D2E">
      <w:pPr>
        <w:widowControl w:val="0"/>
        <w:spacing w:line="360" w:lineRule="auto"/>
        <w:ind w:right="48"/>
        <w:contextualSpacing/>
        <w:jc w:val="center"/>
        <w:rPr>
          <w:sz w:val="28"/>
          <w:szCs w:val="28"/>
        </w:rPr>
      </w:pPr>
      <w:r w:rsidRPr="00520861">
        <w:rPr>
          <w:noProof/>
          <w:sz w:val="28"/>
          <w:szCs w:val="28"/>
          <w:lang w:val="ru-RU"/>
        </w:rPr>
        <w:lastRenderedPageBreak/>
        <w:drawing>
          <wp:inline distT="0" distB="0" distL="0" distR="0" wp14:anchorId="547EE651" wp14:editId="235694C8">
            <wp:extent cx="4320000" cy="3240000"/>
            <wp:effectExtent l="0" t="0" r="4445" b="0"/>
            <wp:docPr id="73" name="Рисунок 73" descr="D:\дд\фото\дети\макросомы 13 поликлиника\мои\мироненко даниил\IMG_0744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дд\фото\дети\макросомы 13 поликлиника\мои\мироненко даниил\IMG_0744 нов.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320000" cy="3240000"/>
                    </a:xfrm>
                    <a:prstGeom prst="rect">
                      <a:avLst/>
                    </a:prstGeom>
                    <a:noFill/>
                    <a:ln>
                      <a:noFill/>
                    </a:ln>
                  </pic:spPr>
                </pic:pic>
              </a:graphicData>
            </a:graphic>
          </wp:inline>
        </w:drawing>
      </w:r>
    </w:p>
    <w:p w14:paraId="060F40FD" w14:textId="77777777" w:rsidR="002E3CE8" w:rsidRPr="00520861" w:rsidRDefault="002E3CE8" w:rsidP="00292D2E">
      <w:pPr>
        <w:widowControl w:val="0"/>
        <w:spacing w:line="360" w:lineRule="auto"/>
        <w:ind w:right="48" w:firstLine="708"/>
        <w:contextualSpacing/>
        <w:jc w:val="center"/>
        <w:rPr>
          <w:sz w:val="28"/>
          <w:szCs w:val="28"/>
        </w:rPr>
      </w:pPr>
      <w:r w:rsidRPr="00520861">
        <w:rPr>
          <w:sz w:val="28"/>
          <w:szCs w:val="28"/>
        </w:rPr>
        <w:t xml:space="preserve">Рис. 5.10. </w:t>
      </w:r>
      <w:r w:rsidRPr="00520861">
        <w:rPr>
          <w:bCs/>
          <w:iCs/>
          <w:sz w:val="28"/>
          <w:szCs w:val="28"/>
        </w:rPr>
        <w:t xml:space="preserve">Фото фронтальної ділянки ротової порожнини дитини М. (хлопчик) у віці п’яти років, </w:t>
      </w:r>
      <w:r w:rsidRPr="00520861">
        <w:rPr>
          <w:sz w:val="28"/>
          <w:szCs w:val="28"/>
        </w:rPr>
        <w:t xml:space="preserve">амб. карта № 173670, </w:t>
      </w:r>
      <w:r w:rsidRPr="00520861">
        <w:rPr>
          <w:bCs/>
          <w:iCs/>
          <w:sz w:val="28"/>
          <w:szCs w:val="28"/>
        </w:rPr>
        <w:t>підгрупа 1.</w:t>
      </w:r>
      <w:r w:rsidRPr="00520861">
        <w:rPr>
          <w:sz w:val="28"/>
          <w:szCs w:val="28"/>
        </w:rPr>
        <w:t xml:space="preserve"> </w:t>
      </w:r>
      <w:proofErr w:type="spellStart"/>
      <w:r w:rsidRPr="00520861">
        <w:rPr>
          <w:sz w:val="28"/>
          <w:szCs w:val="28"/>
        </w:rPr>
        <w:t>Г</w:t>
      </w:r>
      <w:r w:rsidRPr="00520861">
        <w:rPr>
          <w:bCs/>
          <w:iCs/>
          <w:sz w:val="28"/>
          <w:szCs w:val="28"/>
        </w:rPr>
        <w:t>іпопластично</w:t>
      </w:r>
      <w:proofErr w:type="spellEnd"/>
      <w:r w:rsidRPr="00520861">
        <w:rPr>
          <w:bCs/>
          <w:iCs/>
          <w:sz w:val="28"/>
          <w:szCs w:val="28"/>
        </w:rPr>
        <w:t xml:space="preserve"> змінена форма коронок 51, 61 зубів,</w:t>
      </w:r>
      <w:r w:rsidRPr="00520861">
        <w:rPr>
          <w:sz w:val="28"/>
          <w:szCs w:val="28"/>
        </w:rPr>
        <w:t xml:space="preserve"> </w:t>
      </w:r>
      <w:r w:rsidRPr="00520861">
        <w:rPr>
          <w:bCs/>
          <w:iCs/>
          <w:sz w:val="28"/>
          <w:szCs w:val="28"/>
        </w:rPr>
        <w:t xml:space="preserve">IІІ вид вуздечки верхньої губи (за класифікацією </w:t>
      </w:r>
      <w:r w:rsidRPr="00520861">
        <w:rPr>
          <w:bCs/>
          <w:iCs/>
          <w:sz w:val="28"/>
          <w:szCs w:val="28"/>
        </w:rPr>
        <w:br/>
      </w:r>
      <w:proofErr w:type="spellStart"/>
      <w:r w:rsidRPr="00520861">
        <w:rPr>
          <w:bCs/>
          <w:iCs/>
          <w:sz w:val="28"/>
          <w:szCs w:val="28"/>
        </w:rPr>
        <w:t>Хорошилкіної</w:t>
      </w:r>
      <w:proofErr w:type="spellEnd"/>
      <w:r w:rsidRPr="00520861">
        <w:rPr>
          <w:bCs/>
          <w:iCs/>
          <w:sz w:val="28"/>
          <w:szCs w:val="28"/>
        </w:rPr>
        <w:t xml:space="preserve"> Ф.Я.), </w:t>
      </w:r>
      <w:r w:rsidRPr="00520861">
        <w:rPr>
          <w:sz w:val="28"/>
          <w:szCs w:val="28"/>
        </w:rPr>
        <w:t xml:space="preserve">глибокий прикус. Справжня </w:t>
      </w:r>
      <w:proofErr w:type="spellStart"/>
      <w:r w:rsidRPr="00520861">
        <w:rPr>
          <w:sz w:val="28"/>
          <w:szCs w:val="28"/>
        </w:rPr>
        <w:t>діастема</w:t>
      </w:r>
      <w:proofErr w:type="spellEnd"/>
      <w:r w:rsidRPr="00520861">
        <w:rPr>
          <w:sz w:val="28"/>
          <w:szCs w:val="28"/>
        </w:rPr>
        <w:t xml:space="preserve"> верхнього зубного ряду.</w:t>
      </w:r>
    </w:p>
    <w:p w14:paraId="123CD140" w14:textId="77777777" w:rsidR="002E3CE8" w:rsidRPr="00520861" w:rsidRDefault="002E3CE8" w:rsidP="00292D2E">
      <w:pPr>
        <w:widowControl w:val="0"/>
        <w:spacing w:line="360" w:lineRule="auto"/>
        <w:ind w:right="48"/>
        <w:contextualSpacing/>
        <w:jc w:val="center"/>
        <w:rPr>
          <w:bCs/>
          <w:iCs/>
          <w:sz w:val="28"/>
          <w:szCs w:val="28"/>
        </w:rPr>
      </w:pPr>
    </w:p>
    <w:p w14:paraId="42344596" w14:textId="77777777" w:rsidR="002E3CE8" w:rsidRPr="00520861" w:rsidRDefault="002E3CE8" w:rsidP="00292D2E">
      <w:pPr>
        <w:widowControl w:val="0"/>
        <w:spacing w:line="360" w:lineRule="auto"/>
        <w:ind w:right="48"/>
        <w:contextualSpacing/>
        <w:jc w:val="center"/>
        <w:rPr>
          <w:b/>
          <w:sz w:val="28"/>
          <w:szCs w:val="28"/>
        </w:rPr>
      </w:pPr>
      <w:r w:rsidRPr="00520861">
        <w:rPr>
          <w:b/>
          <w:noProof/>
          <w:sz w:val="28"/>
          <w:szCs w:val="28"/>
          <w:lang w:val="ru-RU"/>
        </w:rPr>
        <w:drawing>
          <wp:inline distT="0" distB="0" distL="0" distR="0" wp14:anchorId="4B9690F3" wp14:editId="6A43A160">
            <wp:extent cx="4320000" cy="3240000"/>
            <wp:effectExtent l="0" t="0" r="4445" b="0"/>
            <wp:docPr id="74" name="Рисунок 74" descr="D:\дд\фото\дети\макросомы\гавриленко георгий\IMG_3124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дд\фото\дети\макросомы\гавриленко георгий\IMG_3124 нов.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320000" cy="3240000"/>
                    </a:xfrm>
                    <a:prstGeom prst="rect">
                      <a:avLst/>
                    </a:prstGeom>
                    <a:noFill/>
                    <a:ln>
                      <a:noFill/>
                    </a:ln>
                  </pic:spPr>
                </pic:pic>
              </a:graphicData>
            </a:graphic>
          </wp:inline>
        </w:drawing>
      </w:r>
    </w:p>
    <w:p w14:paraId="6A5E7451" w14:textId="77777777" w:rsidR="002E3CE8" w:rsidRPr="00520861" w:rsidRDefault="002E3CE8" w:rsidP="00292D2E">
      <w:pPr>
        <w:widowControl w:val="0"/>
        <w:spacing w:line="360" w:lineRule="auto"/>
        <w:ind w:right="48" w:firstLine="708"/>
        <w:contextualSpacing/>
        <w:jc w:val="center"/>
        <w:rPr>
          <w:bCs/>
          <w:iCs/>
          <w:sz w:val="28"/>
          <w:szCs w:val="28"/>
        </w:rPr>
      </w:pPr>
      <w:r w:rsidRPr="00520861">
        <w:rPr>
          <w:sz w:val="28"/>
          <w:szCs w:val="28"/>
        </w:rPr>
        <w:t xml:space="preserve">Рис. 5.11. </w:t>
      </w:r>
      <w:r w:rsidRPr="00520861">
        <w:rPr>
          <w:bCs/>
          <w:iCs/>
          <w:sz w:val="28"/>
          <w:szCs w:val="28"/>
        </w:rPr>
        <w:t xml:space="preserve">Фото фронтальної ділянки ротової порожнини дитини Г. (хлопчик) у віці трьох років, </w:t>
      </w:r>
      <w:r w:rsidRPr="00520861">
        <w:rPr>
          <w:sz w:val="28"/>
          <w:szCs w:val="28"/>
        </w:rPr>
        <w:t>амб. карта № 150804</w:t>
      </w:r>
      <w:r w:rsidRPr="00520861">
        <w:rPr>
          <w:bCs/>
          <w:iCs/>
          <w:sz w:val="28"/>
          <w:szCs w:val="28"/>
        </w:rPr>
        <w:t>, підгрупа 1</w:t>
      </w:r>
      <w:r w:rsidRPr="00520861">
        <w:rPr>
          <w:bCs/>
          <w:i/>
          <w:iCs/>
          <w:sz w:val="28"/>
          <w:szCs w:val="28"/>
        </w:rPr>
        <w:t>.</w:t>
      </w:r>
      <w:r w:rsidRPr="00520861">
        <w:rPr>
          <w:sz w:val="28"/>
          <w:szCs w:val="28"/>
        </w:rPr>
        <w:t xml:space="preserve"> Спостерігається </w:t>
      </w:r>
      <w:r w:rsidRPr="00520861">
        <w:rPr>
          <w:bCs/>
          <w:iCs/>
          <w:sz w:val="28"/>
          <w:szCs w:val="28"/>
        </w:rPr>
        <w:t xml:space="preserve">IV вид </w:t>
      </w:r>
      <w:r w:rsidRPr="00520861">
        <w:rPr>
          <w:bCs/>
          <w:iCs/>
          <w:sz w:val="28"/>
          <w:szCs w:val="28"/>
        </w:rPr>
        <w:br/>
        <w:t xml:space="preserve">вуздечки язика (за класифікацією </w:t>
      </w:r>
      <w:proofErr w:type="spellStart"/>
      <w:r w:rsidRPr="00520861">
        <w:rPr>
          <w:bCs/>
          <w:iCs/>
          <w:sz w:val="28"/>
          <w:szCs w:val="28"/>
        </w:rPr>
        <w:t>Хорошилкіної</w:t>
      </w:r>
      <w:proofErr w:type="spellEnd"/>
      <w:r w:rsidRPr="00520861">
        <w:rPr>
          <w:bCs/>
          <w:iCs/>
          <w:sz w:val="28"/>
          <w:szCs w:val="28"/>
        </w:rPr>
        <w:t xml:space="preserve"> Ф.Я.).</w:t>
      </w:r>
    </w:p>
    <w:p w14:paraId="44A125B0" w14:textId="77777777" w:rsidR="002E3CE8" w:rsidRPr="00520861" w:rsidRDefault="002E3CE8" w:rsidP="00292D2E">
      <w:pPr>
        <w:widowControl w:val="0"/>
        <w:spacing w:line="360" w:lineRule="auto"/>
        <w:ind w:firstLine="709"/>
        <w:contextualSpacing/>
        <w:jc w:val="both"/>
        <w:rPr>
          <w:sz w:val="28"/>
          <w:szCs w:val="28"/>
          <w:shd w:val="clear" w:color="auto" w:fill="FFFFFF"/>
        </w:rPr>
      </w:pPr>
      <w:r w:rsidRPr="00520861">
        <w:rPr>
          <w:sz w:val="28"/>
          <w:szCs w:val="28"/>
          <w:shd w:val="clear" w:color="auto" w:fill="FFFFFF"/>
        </w:rPr>
        <w:lastRenderedPageBreak/>
        <w:t xml:space="preserve">Через відносно малу кількість дітей у вибірках і через те, що за відомостями, одержаними з медичної документації або від батьків, 6 дітям (15%) раніше було проведено </w:t>
      </w:r>
      <w:proofErr w:type="spellStart"/>
      <w:r w:rsidRPr="00520861">
        <w:rPr>
          <w:sz w:val="28"/>
          <w:szCs w:val="28"/>
          <w:shd w:val="clear" w:color="auto" w:fill="FFFFFF"/>
        </w:rPr>
        <w:t>френулотомію</w:t>
      </w:r>
      <w:proofErr w:type="spellEnd"/>
      <w:r w:rsidRPr="00520861">
        <w:rPr>
          <w:sz w:val="28"/>
          <w:szCs w:val="28"/>
          <w:shd w:val="clear" w:color="auto" w:fill="FFFFFF"/>
        </w:rPr>
        <w:t xml:space="preserve">, аналіз розподілу кількості випадків по підгрупах тут є </w:t>
      </w:r>
      <w:proofErr w:type="spellStart"/>
      <w:r w:rsidRPr="00520861">
        <w:rPr>
          <w:sz w:val="28"/>
          <w:szCs w:val="28"/>
          <w:shd w:val="clear" w:color="auto" w:fill="FFFFFF"/>
        </w:rPr>
        <w:t>недо</w:t>
      </w:r>
      <w:proofErr w:type="spellEnd"/>
      <w:r w:rsidR="00D85A37" w:rsidRPr="00520861">
        <w:rPr>
          <w:sz w:val="28"/>
          <w:szCs w:val="28"/>
          <w:shd w:val="clear" w:color="auto" w:fill="FFFFFF"/>
        </w:rPr>
        <w:t>-</w:t>
      </w:r>
      <w:r w:rsidRPr="00520861">
        <w:rPr>
          <w:sz w:val="28"/>
          <w:szCs w:val="28"/>
          <w:shd w:val="clear" w:color="auto" w:fill="FFFFFF"/>
        </w:rPr>
        <w:t xml:space="preserve">цільним. У дітей ГП </w:t>
      </w:r>
      <w:proofErr w:type="spellStart"/>
      <w:r w:rsidRPr="00520861">
        <w:rPr>
          <w:sz w:val="28"/>
          <w:szCs w:val="28"/>
          <w:shd w:val="clear" w:color="auto" w:fill="FFFFFF"/>
        </w:rPr>
        <w:t>анкілоглосію</w:t>
      </w:r>
      <w:proofErr w:type="spellEnd"/>
      <w:r w:rsidRPr="00520861">
        <w:rPr>
          <w:sz w:val="28"/>
          <w:szCs w:val="28"/>
          <w:shd w:val="clear" w:color="auto" w:fill="FFFFFF"/>
        </w:rPr>
        <w:t xml:space="preserve"> було виявлено в 1 (7,7% ДІ: 1,9% – 24,7%) випадку. </w:t>
      </w:r>
    </w:p>
    <w:p w14:paraId="752F97BE" w14:textId="77777777" w:rsidR="002E3CE8" w:rsidRPr="00520861" w:rsidRDefault="002E3CE8" w:rsidP="00292D2E">
      <w:pPr>
        <w:widowControl w:val="0"/>
        <w:spacing w:line="360" w:lineRule="auto"/>
        <w:ind w:firstLine="709"/>
        <w:contextualSpacing/>
        <w:jc w:val="both"/>
        <w:rPr>
          <w:sz w:val="28"/>
          <w:szCs w:val="28"/>
        </w:rPr>
      </w:pPr>
      <w:r w:rsidRPr="00520861">
        <w:rPr>
          <w:sz w:val="28"/>
          <w:szCs w:val="28"/>
        </w:rPr>
        <w:t xml:space="preserve">Аномалії структури твердих тканин представлені гіпоплазією емалі зубів, яка спостерігалася в 16 (40,0% ДІ: 27,0% </w:t>
      </w:r>
      <w:r w:rsidRPr="00520861">
        <w:rPr>
          <w:sz w:val="28"/>
          <w:szCs w:val="28"/>
          <w:shd w:val="clear" w:color="auto" w:fill="FFFFFF"/>
        </w:rPr>
        <w:t>–</w:t>
      </w:r>
      <w:r w:rsidRPr="00520861">
        <w:rPr>
          <w:sz w:val="28"/>
          <w:szCs w:val="28"/>
        </w:rPr>
        <w:t xml:space="preserve"> 54,2%) дітей ОГ та 6 (46,2% ДІ: 25,1% </w:t>
      </w:r>
      <w:r w:rsidRPr="00520861">
        <w:rPr>
          <w:sz w:val="28"/>
          <w:szCs w:val="28"/>
          <w:shd w:val="clear" w:color="auto" w:fill="FFFFFF"/>
        </w:rPr>
        <w:t>–</w:t>
      </w:r>
      <w:r w:rsidRPr="00520861">
        <w:rPr>
          <w:sz w:val="28"/>
          <w:szCs w:val="28"/>
        </w:rPr>
        <w:t xml:space="preserve"> 68,4%) дітей ГП (рис. 5.10).</w:t>
      </w:r>
    </w:p>
    <w:p w14:paraId="3DDD46D0"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Якісний аналіз стану прикусу в дітей віком 3 – 3,5 року виявив, що 21 дитина ОГ (51%; ДІ: 37,7% – 64,5%) мала ознаки формування дистального прикусу в поєднанні з глибоким. У ГП ознаки формування такого порушення виявлені в 4 дітей (17%; ДІ: 7,1% – 32,4%). Ознаки формування відкритого прикусу мала одна дитина (2,3%) ОГ. Перехресний прикус формувався в 3 (7%) дітей ОГ. У ГП аналогічні </w:t>
      </w:r>
      <w:r w:rsidRPr="00520861">
        <w:rPr>
          <w:rFonts w:eastAsia="Calibri"/>
          <w:sz w:val="28"/>
          <w:szCs w:val="28"/>
          <w:lang w:eastAsia="en-US"/>
        </w:rPr>
        <w:br/>
        <w:t>порушення не фіксувалися.</w:t>
      </w:r>
    </w:p>
    <w:p w14:paraId="6CF27DE4" w14:textId="77777777" w:rsidR="002E3CE8" w:rsidRPr="00520861" w:rsidRDefault="002E3CE8" w:rsidP="00292D2E">
      <w:pPr>
        <w:widowControl w:val="0"/>
        <w:spacing w:line="360" w:lineRule="auto"/>
        <w:ind w:right="48" w:firstLine="709"/>
        <w:contextualSpacing/>
        <w:jc w:val="both"/>
        <w:rPr>
          <w:sz w:val="28"/>
          <w:szCs w:val="28"/>
        </w:rPr>
      </w:pPr>
      <w:r w:rsidRPr="00520861">
        <w:rPr>
          <w:sz w:val="28"/>
          <w:szCs w:val="28"/>
        </w:rPr>
        <w:t>При оцінюванні висоти піднебіння, проведеному в дітей ОГ у 3 – 3,5 року, виявилося, що 12% із них мали високе піднебіння, 88% – пласке. Цікавим є факт, наведений на рис. 5.12, де в дитини віком 1 місяць спостерігалося високе піднебіння (рис. 5.12</w:t>
      </w:r>
      <w:r w:rsidRPr="00520861">
        <w:rPr>
          <w:i/>
          <w:sz w:val="28"/>
          <w:szCs w:val="28"/>
        </w:rPr>
        <w:t>а</w:t>
      </w:r>
      <w:r w:rsidRPr="00520861">
        <w:rPr>
          <w:sz w:val="28"/>
          <w:szCs w:val="28"/>
        </w:rPr>
        <w:t>), а у віці 3 років у тієї ж самої дитини форма піднебіння – пласка (рис. 5.12</w:t>
      </w:r>
      <w:r w:rsidRPr="00520861">
        <w:rPr>
          <w:i/>
          <w:sz w:val="28"/>
          <w:szCs w:val="28"/>
        </w:rPr>
        <w:t>б</w:t>
      </w:r>
      <w:r w:rsidRPr="00520861">
        <w:rPr>
          <w:sz w:val="28"/>
          <w:szCs w:val="28"/>
        </w:rPr>
        <w:t>). У ГП високе піднебіння спостерігалося також у 13% дітей.</w:t>
      </w:r>
    </w:p>
    <w:p w14:paraId="2DD475FC"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Аналіз КДМ дітей 4,5 – 6,5 року.</w:t>
      </w:r>
      <w:r w:rsidRPr="00520861">
        <w:rPr>
          <w:rFonts w:eastAsia="Calibri"/>
          <w:i/>
          <w:sz w:val="28"/>
          <w:szCs w:val="28"/>
          <w:lang w:eastAsia="en-US"/>
        </w:rPr>
        <w:t xml:space="preserve"> </w:t>
      </w:r>
      <w:r w:rsidRPr="00520861">
        <w:rPr>
          <w:rFonts w:eastAsia="Calibri"/>
          <w:sz w:val="28"/>
          <w:szCs w:val="28"/>
          <w:lang w:eastAsia="en-US"/>
        </w:rPr>
        <w:t xml:space="preserve">У дітей ОГ піднебінне склепіння вище, ніж у дітей ГП (табл. 5.7). Це твердження є вірогідним для дітей із </w:t>
      </w:r>
      <w:r w:rsidRPr="00520861">
        <w:rPr>
          <w:bCs/>
          <w:iCs/>
          <w:sz w:val="28"/>
          <w:szCs w:val="28"/>
        </w:rPr>
        <w:t>підгруп</w:t>
      </w:r>
      <w:r w:rsidRPr="00520861">
        <w:rPr>
          <w:rFonts w:eastAsia="Calibri"/>
          <w:sz w:val="28"/>
          <w:szCs w:val="28"/>
          <w:lang w:eastAsia="en-US"/>
        </w:rPr>
        <w:t xml:space="preserve"> 1, 2 та 3. </w:t>
      </w:r>
    </w:p>
    <w:p w14:paraId="4ABF1C96"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дослідженні КДМ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(сагітальна площина) виявилося, що однойменний </w:t>
      </w:r>
      <w:proofErr w:type="spellStart"/>
      <w:r w:rsidRPr="00520861">
        <w:rPr>
          <w:rFonts w:eastAsia="Calibri"/>
          <w:sz w:val="28"/>
          <w:szCs w:val="28"/>
          <w:lang w:eastAsia="en-US"/>
        </w:rPr>
        <w:t>горбиковий</w:t>
      </w:r>
      <w:proofErr w:type="spellEnd"/>
      <w:r w:rsidRPr="00520861">
        <w:rPr>
          <w:rFonts w:eastAsia="Calibri"/>
          <w:sz w:val="28"/>
          <w:szCs w:val="28"/>
          <w:lang w:eastAsia="en-US"/>
        </w:rPr>
        <w:t xml:space="preserve"> контакт других тимчасових молярів мали 28 (70% ДІ: 56,1% </w:t>
      </w:r>
      <w:r w:rsidRPr="00520861">
        <w:rPr>
          <w:sz w:val="28"/>
          <w:szCs w:val="28"/>
        </w:rPr>
        <w:t>–</w:t>
      </w:r>
      <w:r w:rsidRPr="00520861">
        <w:rPr>
          <w:rFonts w:eastAsia="Calibri"/>
          <w:sz w:val="28"/>
          <w:szCs w:val="28"/>
          <w:lang w:eastAsia="en-US"/>
        </w:rPr>
        <w:t xml:space="preserve"> 81,4%) дітей ОГ, а саме: 8 дітей (57,1%) із </w:t>
      </w:r>
      <w:r w:rsidRPr="00520861">
        <w:rPr>
          <w:bCs/>
          <w:iCs/>
          <w:sz w:val="28"/>
          <w:szCs w:val="28"/>
        </w:rPr>
        <w:t xml:space="preserve">підгрупи </w:t>
      </w:r>
      <w:r w:rsidRPr="00520861">
        <w:rPr>
          <w:rFonts w:eastAsia="Calibri"/>
          <w:sz w:val="28"/>
          <w:szCs w:val="28"/>
          <w:lang w:eastAsia="en-US"/>
        </w:rPr>
        <w:t xml:space="preserve">1, 4 (50%) – із </w:t>
      </w:r>
      <w:r w:rsidRPr="00520861">
        <w:rPr>
          <w:bCs/>
          <w:iCs/>
          <w:sz w:val="28"/>
          <w:szCs w:val="28"/>
        </w:rPr>
        <w:t xml:space="preserve">підгрупи </w:t>
      </w:r>
      <w:r w:rsidRPr="00520861">
        <w:rPr>
          <w:rFonts w:eastAsia="Calibri"/>
          <w:sz w:val="28"/>
          <w:szCs w:val="28"/>
          <w:lang w:eastAsia="en-US"/>
        </w:rPr>
        <w:t xml:space="preserve">2, 6 (85,7%) – із </w:t>
      </w:r>
      <w:r w:rsidRPr="00520861">
        <w:rPr>
          <w:bCs/>
          <w:iCs/>
          <w:sz w:val="28"/>
          <w:szCs w:val="28"/>
        </w:rPr>
        <w:t xml:space="preserve">підгрупи </w:t>
      </w:r>
      <w:r w:rsidRPr="00520861">
        <w:rPr>
          <w:rFonts w:eastAsia="Calibri"/>
          <w:sz w:val="28"/>
          <w:szCs w:val="28"/>
          <w:lang w:eastAsia="en-US"/>
        </w:rPr>
        <w:t xml:space="preserve">3 та 10 (90,9%) дітей із </w:t>
      </w:r>
      <w:r w:rsidRPr="00520861">
        <w:rPr>
          <w:bCs/>
          <w:iCs/>
          <w:sz w:val="28"/>
          <w:szCs w:val="28"/>
        </w:rPr>
        <w:t xml:space="preserve">підгрупи </w:t>
      </w:r>
      <w:r w:rsidRPr="00520861">
        <w:rPr>
          <w:rFonts w:eastAsia="Calibri"/>
          <w:sz w:val="28"/>
          <w:szCs w:val="28"/>
          <w:lang w:eastAsia="en-US"/>
        </w:rPr>
        <w:t>4.</w:t>
      </w:r>
    </w:p>
    <w:p w14:paraId="20B890BE"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У ГП такий стан речей був зафіксований у 3 дітей (23,1% ДІ: 9,1% – 45,4%).</w:t>
      </w:r>
    </w:p>
    <w:p w14:paraId="6395923A"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Змикання ікл, що відповідає 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виявлено у 24 дітей (60,0% ДІ: 45,8% – 73,0%) ОГ та в 3 дітей (23,1% ДИ: 9,1% – 45,4%) ГП. Розподіл </w:t>
      </w:r>
      <w:r w:rsidRPr="00520861">
        <w:rPr>
          <w:rFonts w:eastAsia="Calibri"/>
          <w:sz w:val="28"/>
          <w:szCs w:val="28"/>
          <w:lang w:eastAsia="en-US"/>
        </w:rPr>
        <w:br/>
        <w:t xml:space="preserve">по підгрупах ОГ мав такий вигляд: у 7 дітей (50%) із </w:t>
      </w:r>
      <w:r w:rsidRPr="00520861">
        <w:rPr>
          <w:bCs/>
          <w:iCs/>
          <w:sz w:val="28"/>
          <w:szCs w:val="28"/>
        </w:rPr>
        <w:t xml:space="preserve">підгрупи </w:t>
      </w:r>
      <w:r w:rsidRPr="00520861">
        <w:rPr>
          <w:rFonts w:eastAsia="Calibri"/>
          <w:sz w:val="28"/>
          <w:szCs w:val="28"/>
          <w:lang w:eastAsia="en-US"/>
        </w:rPr>
        <w:t xml:space="preserve">1, у 3 (37,5%) із </w:t>
      </w:r>
      <w:r w:rsidR="00D85A37" w:rsidRPr="00520861">
        <w:rPr>
          <w:rFonts w:eastAsia="Calibri"/>
          <w:sz w:val="28"/>
          <w:szCs w:val="28"/>
          <w:lang w:eastAsia="en-US"/>
        </w:rPr>
        <w:br/>
      </w:r>
      <w:r w:rsidRPr="00520861">
        <w:rPr>
          <w:bCs/>
          <w:iCs/>
          <w:sz w:val="28"/>
          <w:szCs w:val="28"/>
        </w:rPr>
        <w:t xml:space="preserve">підгрупи </w:t>
      </w:r>
      <w:r w:rsidRPr="00520861">
        <w:rPr>
          <w:rFonts w:eastAsia="Calibri"/>
          <w:sz w:val="28"/>
          <w:szCs w:val="28"/>
          <w:lang w:eastAsia="en-US"/>
        </w:rPr>
        <w:t xml:space="preserve">2, у 6 (85,7%) із </w:t>
      </w:r>
      <w:r w:rsidRPr="00520861">
        <w:rPr>
          <w:bCs/>
          <w:iCs/>
          <w:sz w:val="28"/>
          <w:szCs w:val="28"/>
        </w:rPr>
        <w:t xml:space="preserve">підгрупи </w:t>
      </w:r>
      <w:r w:rsidRPr="00520861">
        <w:rPr>
          <w:rFonts w:eastAsia="Calibri"/>
          <w:sz w:val="28"/>
          <w:szCs w:val="28"/>
          <w:lang w:eastAsia="en-US"/>
        </w:rPr>
        <w:t xml:space="preserve">3 та у 8 (72,7%) дітей із </w:t>
      </w:r>
      <w:r w:rsidRPr="00520861">
        <w:rPr>
          <w:bCs/>
          <w:iCs/>
          <w:sz w:val="28"/>
          <w:szCs w:val="28"/>
        </w:rPr>
        <w:t xml:space="preserve">підгрупи </w:t>
      </w:r>
      <w:r w:rsidRPr="00520861">
        <w:rPr>
          <w:rFonts w:eastAsia="Calibri"/>
          <w:sz w:val="28"/>
          <w:szCs w:val="28"/>
          <w:lang w:eastAsia="en-US"/>
        </w:rPr>
        <w:t xml:space="preserve">4. </w:t>
      </w:r>
    </w:p>
    <w:p w14:paraId="7C17A6AA" w14:textId="77777777" w:rsidR="002E3CE8" w:rsidRPr="00520861" w:rsidRDefault="002E3CE8" w:rsidP="00292D2E">
      <w:pPr>
        <w:widowControl w:val="0"/>
        <w:spacing w:line="360" w:lineRule="auto"/>
        <w:ind w:right="48"/>
        <w:contextualSpacing/>
        <w:jc w:val="center"/>
        <w:rPr>
          <w:sz w:val="28"/>
          <w:szCs w:val="28"/>
        </w:rPr>
      </w:pPr>
      <w:r w:rsidRPr="00520861">
        <w:rPr>
          <w:noProof/>
          <w:color w:val="000000"/>
          <w:sz w:val="28"/>
          <w:szCs w:val="28"/>
          <w:u w:color="000000"/>
          <w:lang w:val="ru-RU"/>
        </w:rPr>
        <w:lastRenderedPageBreak/>
        <mc:AlternateContent>
          <mc:Choice Requires="wps">
            <w:drawing>
              <wp:anchor distT="0" distB="0" distL="114300" distR="114300" simplePos="0" relativeHeight="251659264" behindDoc="0" locked="0" layoutInCell="1" allowOverlap="1" wp14:anchorId="3F92DDAE" wp14:editId="004F3515">
                <wp:simplePos x="0" y="0"/>
                <wp:positionH relativeFrom="column">
                  <wp:posOffset>2023110</wp:posOffset>
                </wp:positionH>
                <wp:positionV relativeFrom="paragraph">
                  <wp:posOffset>1158240</wp:posOffset>
                </wp:positionV>
                <wp:extent cx="390525" cy="409575"/>
                <wp:effectExtent l="0" t="19050" r="47625" b="47625"/>
                <wp:wrapNone/>
                <wp:docPr id="16" name="Стрелка вправо 16"/>
                <wp:cNvGraphicFramePr/>
                <a:graphic xmlns:a="http://schemas.openxmlformats.org/drawingml/2006/main">
                  <a:graphicData uri="http://schemas.microsoft.com/office/word/2010/wordprocessingShape">
                    <wps:wsp>
                      <wps:cNvSpPr/>
                      <wps:spPr>
                        <a:xfrm>
                          <a:off x="0" y="0"/>
                          <a:ext cx="390525" cy="409575"/>
                        </a:xfrm>
                        <a:prstGeom prst="rightArrow">
                          <a:avLst/>
                        </a:prstGeom>
                        <a:solidFill>
                          <a:sysClr val="window" lastClr="FFFFFF">
                            <a:alpha val="35000"/>
                          </a:sys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9D2E7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6" o:spid="_x0000_s1026" type="#_x0000_t13" style="position:absolute;margin-left:159.3pt;margin-top:91.2pt;width:30.7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" adj="10800" fillcolor="window" strokecolor="#41719c" strokeweight="1pt">
                <v:fill opacity="22873f"/>
              </v:shape>
            </w:pict>
          </mc:Fallback>
        </mc:AlternateContent>
      </w:r>
      <w:r w:rsidRPr="00520861">
        <w:rPr>
          <w:noProof/>
          <w:snapToGrid w:val="0"/>
          <w:color w:val="000000"/>
          <w:w w:val="0"/>
          <w:sz w:val="28"/>
          <w:szCs w:val="28"/>
          <w:u w:color="000000"/>
          <w:bdr w:val="none" w:sz="0" w:space="0" w:color="000000"/>
          <w:shd w:val="clear" w:color="000000" w:fill="000000"/>
          <w:lang w:val="ru-RU"/>
        </w:rPr>
        <w:drawing>
          <wp:inline distT="0" distB="0" distL="0" distR="0" wp14:anchorId="79B40413" wp14:editId="0A0D3582">
            <wp:extent cx="3157110" cy="2371264"/>
            <wp:effectExtent l="0" t="0" r="5715" b="0"/>
            <wp:docPr id="75" name="Рисунок 75" descr="D:\дд\фото\новорожденные\макросомы стационар\2бойко василиса\бойко василиса\IMAG1463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дд\фото\новорожденные\макросомы стационар\2бойко василиса\бойко василиса\IMAG1463   НОВ.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170145" cy="2381055"/>
                    </a:xfrm>
                    <a:prstGeom prst="rect">
                      <a:avLst/>
                    </a:prstGeom>
                    <a:noFill/>
                    <a:ln>
                      <a:noFill/>
                    </a:ln>
                  </pic:spPr>
                </pic:pic>
              </a:graphicData>
            </a:graphic>
          </wp:inline>
        </w:drawing>
      </w:r>
      <w:r w:rsidRPr="00520861">
        <w:rPr>
          <w:noProof/>
          <w:sz w:val="28"/>
          <w:szCs w:val="28"/>
          <w:lang w:val="ru-RU"/>
        </w:rPr>
        <w:drawing>
          <wp:inline distT="0" distB="0" distL="0" distR="0" wp14:anchorId="37CA6D9B" wp14:editId="6BDBA1AE">
            <wp:extent cx="3171825" cy="2382555"/>
            <wp:effectExtent l="0" t="0" r="0" b="0"/>
            <wp:docPr id="76" name="Рисунок 76" descr="D:\дд\фото\новорожденные\макросомы стационар\2бойко василиса\бойко василиса\17.10.17\IMG_0135   НОВ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дд\фото\новорожденные\макросомы стационар\2бойко василиса\бойко василиса\17.10.17\IMG_0135   НОВ .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259891" cy="2448707"/>
                    </a:xfrm>
                    <a:prstGeom prst="rect">
                      <a:avLst/>
                    </a:prstGeom>
                    <a:noFill/>
                    <a:ln>
                      <a:noFill/>
                    </a:ln>
                  </pic:spPr>
                </pic:pic>
              </a:graphicData>
            </a:graphic>
          </wp:inline>
        </w:drawing>
      </w:r>
    </w:p>
    <w:tbl>
      <w:tblPr>
        <w:tblStyle w:val="8"/>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6"/>
        <w:gridCol w:w="5232"/>
      </w:tblGrid>
      <w:tr w:rsidR="002E3CE8" w:rsidRPr="00520861" w14:paraId="64AD4C13" w14:textId="77777777" w:rsidTr="00292D2E">
        <w:tc>
          <w:tcPr>
            <w:tcW w:w="4678" w:type="dxa"/>
          </w:tcPr>
          <w:p w14:paraId="3261C1AB" w14:textId="77777777" w:rsidR="002E3CE8" w:rsidRPr="00520861" w:rsidRDefault="002E3CE8" w:rsidP="00292D2E">
            <w:pPr>
              <w:widowControl w:val="0"/>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5245" w:type="dxa"/>
          </w:tcPr>
          <w:p w14:paraId="6B4F84FA"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r>
    </w:tbl>
    <w:p w14:paraId="674C6C69" w14:textId="77777777" w:rsidR="002E3CE8" w:rsidRPr="00520861" w:rsidRDefault="002E3CE8" w:rsidP="00292D2E">
      <w:pPr>
        <w:widowControl w:val="0"/>
        <w:spacing w:line="360" w:lineRule="auto"/>
        <w:ind w:right="48" w:firstLine="708"/>
        <w:contextualSpacing/>
        <w:jc w:val="center"/>
        <w:rPr>
          <w:bCs/>
          <w:iCs/>
          <w:sz w:val="28"/>
          <w:szCs w:val="28"/>
        </w:rPr>
      </w:pPr>
      <w:r w:rsidRPr="00520861">
        <w:rPr>
          <w:sz w:val="28"/>
          <w:szCs w:val="28"/>
        </w:rPr>
        <w:t xml:space="preserve">Рис. 5.12. </w:t>
      </w:r>
      <w:r w:rsidRPr="00520861">
        <w:rPr>
          <w:bCs/>
          <w:iCs/>
          <w:sz w:val="28"/>
          <w:szCs w:val="28"/>
        </w:rPr>
        <w:t xml:space="preserve">Фото ротової порожнини дитини Б. (дівчинка), </w:t>
      </w:r>
      <w:r w:rsidRPr="00520861">
        <w:rPr>
          <w:sz w:val="28"/>
          <w:szCs w:val="28"/>
        </w:rPr>
        <w:t xml:space="preserve">амб. карта </w:t>
      </w:r>
      <w:r w:rsidRPr="00520861">
        <w:rPr>
          <w:sz w:val="28"/>
          <w:szCs w:val="28"/>
        </w:rPr>
        <w:br/>
        <w:t>№ 151738</w:t>
      </w:r>
      <w:r w:rsidRPr="00520861">
        <w:rPr>
          <w:bCs/>
          <w:iCs/>
          <w:sz w:val="28"/>
          <w:szCs w:val="28"/>
        </w:rPr>
        <w:t>, підгрупа 1: а) у віці 1 місяць та 11 днів спостерігається високе піднебіння та в області верхніх лівих молярів кіста зубної пластинки (</w:t>
      </w:r>
      <w:proofErr w:type="spellStart"/>
      <w:r w:rsidRPr="00520861">
        <w:rPr>
          <w:bCs/>
          <w:iCs/>
          <w:sz w:val="28"/>
          <w:szCs w:val="28"/>
        </w:rPr>
        <w:t>dental</w:t>
      </w:r>
      <w:proofErr w:type="spellEnd"/>
      <w:r w:rsidRPr="00520861">
        <w:rPr>
          <w:bCs/>
          <w:iCs/>
          <w:sz w:val="28"/>
          <w:szCs w:val="28"/>
        </w:rPr>
        <w:t xml:space="preserve"> </w:t>
      </w:r>
      <w:proofErr w:type="spellStart"/>
      <w:r w:rsidRPr="00520861">
        <w:rPr>
          <w:bCs/>
          <w:iCs/>
          <w:sz w:val="28"/>
          <w:szCs w:val="28"/>
        </w:rPr>
        <w:t>lamina</w:t>
      </w:r>
      <w:proofErr w:type="spellEnd"/>
      <w:r w:rsidRPr="00520861">
        <w:rPr>
          <w:bCs/>
          <w:iCs/>
          <w:sz w:val="28"/>
          <w:szCs w:val="28"/>
        </w:rPr>
        <w:t xml:space="preserve"> </w:t>
      </w:r>
      <w:proofErr w:type="spellStart"/>
      <w:r w:rsidRPr="00520861">
        <w:rPr>
          <w:bCs/>
          <w:iCs/>
          <w:sz w:val="28"/>
          <w:szCs w:val="28"/>
        </w:rPr>
        <w:t>cyst</w:t>
      </w:r>
      <w:proofErr w:type="spellEnd"/>
      <w:r w:rsidRPr="00520861">
        <w:rPr>
          <w:bCs/>
          <w:iCs/>
          <w:sz w:val="28"/>
          <w:szCs w:val="28"/>
        </w:rPr>
        <w:t xml:space="preserve"> (</w:t>
      </w:r>
      <w:proofErr w:type="spellStart"/>
      <w:r w:rsidRPr="00520861">
        <w:rPr>
          <w:bCs/>
          <w:iCs/>
          <w:sz w:val="28"/>
          <w:szCs w:val="28"/>
        </w:rPr>
        <w:t>nodular</w:t>
      </w:r>
      <w:proofErr w:type="spellEnd"/>
      <w:r w:rsidRPr="00520861">
        <w:rPr>
          <w:bCs/>
          <w:iCs/>
          <w:sz w:val="28"/>
          <w:szCs w:val="28"/>
        </w:rPr>
        <w:t xml:space="preserve"> </w:t>
      </w:r>
      <w:proofErr w:type="spellStart"/>
      <w:r w:rsidRPr="00520861">
        <w:rPr>
          <w:bCs/>
          <w:iCs/>
          <w:sz w:val="28"/>
          <w:szCs w:val="28"/>
        </w:rPr>
        <w:t>papula</w:t>
      </w:r>
      <w:proofErr w:type="spellEnd"/>
      <w:r w:rsidRPr="00520861">
        <w:rPr>
          <w:bCs/>
          <w:iCs/>
          <w:sz w:val="28"/>
          <w:szCs w:val="28"/>
        </w:rPr>
        <w:t>)) розміром 4 на 9 мм (позначена стрілкою);</w:t>
      </w:r>
    </w:p>
    <w:p w14:paraId="79E7ED7B" w14:textId="77777777" w:rsidR="002E3CE8" w:rsidRPr="00520861" w:rsidRDefault="002E3CE8" w:rsidP="00292D2E">
      <w:pPr>
        <w:widowControl w:val="0"/>
        <w:spacing w:line="360" w:lineRule="auto"/>
        <w:ind w:right="48"/>
        <w:contextualSpacing/>
        <w:jc w:val="center"/>
        <w:rPr>
          <w:sz w:val="28"/>
          <w:szCs w:val="28"/>
        </w:rPr>
      </w:pPr>
      <w:r w:rsidRPr="00520861">
        <w:rPr>
          <w:bCs/>
          <w:iCs/>
          <w:sz w:val="28"/>
          <w:szCs w:val="28"/>
        </w:rPr>
        <w:t>б) у віці три роки</w:t>
      </w:r>
      <w:r w:rsidRPr="00520861">
        <w:rPr>
          <w:sz w:val="28"/>
          <w:szCs w:val="28"/>
        </w:rPr>
        <w:t xml:space="preserve"> в тієї ж дитини спостерігається фізіологічна (пласка) форма </w:t>
      </w:r>
      <w:r w:rsidRPr="00520861">
        <w:rPr>
          <w:sz w:val="28"/>
          <w:szCs w:val="28"/>
        </w:rPr>
        <w:br/>
        <w:t>піднебінного склепіння.</w:t>
      </w:r>
    </w:p>
    <w:p w14:paraId="518E72C1" w14:textId="77777777" w:rsidR="002E3CE8" w:rsidRPr="00520861" w:rsidRDefault="002E3CE8" w:rsidP="00292D2E">
      <w:pPr>
        <w:widowControl w:val="0"/>
        <w:spacing w:line="360" w:lineRule="auto"/>
        <w:contextualSpacing/>
        <w:jc w:val="right"/>
        <w:rPr>
          <w:rFonts w:eastAsia="Calibri"/>
          <w:i/>
          <w:sz w:val="28"/>
          <w:szCs w:val="28"/>
          <w:lang w:eastAsia="en-US"/>
        </w:rPr>
      </w:pPr>
    </w:p>
    <w:p w14:paraId="60D545AE" w14:textId="77777777" w:rsidR="002E3CE8" w:rsidRPr="00520861" w:rsidRDefault="002E3CE8"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t>Таблиця 5.7</w:t>
      </w:r>
    </w:p>
    <w:p w14:paraId="70DF0FCE" w14:textId="77777777" w:rsidR="002E3CE8" w:rsidRPr="00520861" w:rsidRDefault="002E3CE8" w:rsidP="00292D2E">
      <w:pPr>
        <w:widowControl w:val="0"/>
        <w:spacing w:line="360" w:lineRule="auto"/>
        <w:contextualSpacing/>
        <w:jc w:val="center"/>
        <w:rPr>
          <w:rFonts w:eastAsia="Calibri"/>
          <w:b/>
          <w:sz w:val="28"/>
          <w:szCs w:val="28"/>
          <w:lang w:eastAsia="en-US"/>
        </w:rPr>
      </w:pPr>
      <w:r w:rsidRPr="00520861">
        <w:rPr>
          <w:rFonts w:eastAsia="Calibri"/>
          <w:b/>
          <w:sz w:val="28"/>
          <w:szCs w:val="28"/>
          <w:lang w:eastAsia="en-US"/>
        </w:rPr>
        <w:t>Абсолютні (оцінка математичного очікування) та відносні показники вимірів піднебінного склепіння учасників дослідження віком 4,5 – 6,5 року</w:t>
      </w:r>
    </w:p>
    <w:tbl>
      <w:tblPr>
        <w:tblStyle w:val="8"/>
        <w:tblW w:w="9833" w:type="dxa"/>
        <w:tblInd w:w="108" w:type="dxa"/>
        <w:tblLook w:val="04A0" w:firstRow="1" w:lastRow="0" w:firstColumn="1" w:lastColumn="0" w:noHBand="0" w:noVBand="1"/>
      </w:tblPr>
      <w:tblGrid>
        <w:gridCol w:w="2439"/>
        <w:gridCol w:w="709"/>
        <w:gridCol w:w="1337"/>
        <w:gridCol w:w="1337"/>
        <w:gridCol w:w="1337"/>
        <w:gridCol w:w="1337"/>
        <w:gridCol w:w="1337"/>
      </w:tblGrid>
      <w:tr w:rsidR="002E3CE8" w:rsidRPr="00520861" w14:paraId="197F986F" w14:textId="77777777" w:rsidTr="00D85A37">
        <w:trPr>
          <w:trHeight w:val="356"/>
        </w:trPr>
        <w:tc>
          <w:tcPr>
            <w:tcW w:w="2439" w:type="dxa"/>
          </w:tcPr>
          <w:p w14:paraId="386E4BBF" w14:textId="77777777" w:rsidR="002E3CE8" w:rsidRPr="00520861" w:rsidRDefault="002E3CE8" w:rsidP="00292D2E">
            <w:pPr>
              <w:widowControl w:val="0"/>
              <w:spacing w:line="360" w:lineRule="auto"/>
              <w:ind w:right="-100" w:hanging="8"/>
              <w:contextualSpacing/>
              <w:jc w:val="center"/>
              <w:rPr>
                <w:rFonts w:eastAsia="Calibri" w:cs="Times New Roman"/>
                <w:sz w:val="28"/>
                <w:szCs w:val="28"/>
              </w:rPr>
            </w:pPr>
            <w:r w:rsidRPr="00520861">
              <w:rPr>
                <w:rFonts w:eastAsia="Calibri" w:cs="Times New Roman"/>
                <w:sz w:val="28"/>
                <w:szCs w:val="28"/>
              </w:rPr>
              <w:t xml:space="preserve">Група, </w:t>
            </w:r>
          </w:p>
          <w:p w14:paraId="7A5CA63D" w14:textId="77777777" w:rsidR="002E3CE8" w:rsidRPr="00520861" w:rsidRDefault="002E3CE8" w:rsidP="00292D2E">
            <w:pPr>
              <w:widowControl w:val="0"/>
              <w:spacing w:line="360" w:lineRule="auto"/>
              <w:ind w:right="-100" w:hanging="8"/>
              <w:contextualSpacing/>
              <w:jc w:val="center"/>
              <w:rPr>
                <w:rFonts w:cs="Times New Roman"/>
                <w:sz w:val="28"/>
                <w:szCs w:val="28"/>
              </w:rPr>
            </w:pPr>
            <w:r w:rsidRPr="00520861">
              <w:rPr>
                <w:rFonts w:eastAsia="Calibri" w:cs="Times New Roman"/>
                <w:sz w:val="28"/>
                <w:szCs w:val="28"/>
              </w:rPr>
              <w:t xml:space="preserve">підгрупа </w:t>
            </w:r>
          </w:p>
        </w:tc>
        <w:tc>
          <w:tcPr>
            <w:tcW w:w="709" w:type="dxa"/>
          </w:tcPr>
          <w:p w14:paraId="4F6279C8"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ГП</w:t>
            </w:r>
          </w:p>
        </w:tc>
        <w:tc>
          <w:tcPr>
            <w:tcW w:w="1337" w:type="dxa"/>
          </w:tcPr>
          <w:p w14:paraId="0FE6BECF"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ОГ</w:t>
            </w:r>
          </w:p>
        </w:tc>
        <w:tc>
          <w:tcPr>
            <w:tcW w:w="1337" w:type="dxa"/>
          </w:tcPr>
          <w:p w14:paraId="2232B3D0"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Підгрупа 1</w:t>
            </w:r>
          </w:p>
        </w:tc>
        <w:tc>
          <w:tcPr>
            <w:tcW w:w="1337" w:type="dxa"/>
          </w:tcPr>
          <w:p w14:paraId="0E28F746"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Підгрупа 2</w:t>
            </w:r>
          </w:p>
        </w:tc>
        <w:tc>
          <w:tcPr>
            <w:tcW w:w="1337" w:type="dxa"/>
          </w:tcPr>
          <w:p w14:paraId="54A3018F"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Підгрупа 3</w:t>
            </w:r>
          </w:p>
        </w:tc>
        <w:tc>
          <w:tcPr>
            <w:tcW w:w="1337" w:type="dxa"/>
          </w:tcPr>
          <w:p w14:paraId="0C7FAF95"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Підгрупа 4</w:t>
            </w:r>
          </w:p>
        </w:tc>
      </w:tr>
      <w:tr w:rsidR="002E3CE8" w:rsidRPr="00520861" w14:paraId="53BE3069" w14:textId="77777777" w:rsidTr="00D85A37">
        <w:tc>
          <w:tcPr>
            <w:tcW w:w="2439" w:type="dxa"/>
          </w:tcPr>
          <w:p w14:paraId="4F07A1BB" w14:textId="77777777" w:rsidR="002E3CE8" w:rsidRPr="00520861" w:rsidRDefault="002E3CE8" w:rsidP="00292D2E">
            <w:pPr>
              <w:widowControl w:val="0"/>
              <w:spacing w:line="360" w:lineRule="auto"/>
              <w:ind w:left="-157" w:right="-107"/>
              <w:contextualSpacing/>
              <w:jc w:val="center"/>
              <w:rPr>
                <w:rFonts w:cs="Times New Roman"/>
                <w:sz w:val="28"/>
                <w:szCs w:val="28"/>
              </w:rPr>
            </w:pPr>
            <w:r w:rsidRPr="00520861">
              <w:rPr>
                <w:rFonts w:cs="Times New Roman"/>
                <w:sz w:val="28"/>
                <w:szCs w:val="28"/>
              </w:rPr>
              <w:t>Висота піднебінного склепіння (h), мм</w:t>
            </w:r>
          </w:p>
        </w:tc>
        <w:tc>
          <w:tcPr>
            <w:tcW w:w="709" w:type="dxa"/>
            <w:vAlign w:val="center"/>
          </w:tcPr>
          <w:p w14:paraId="72D460BE"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cs="Times New Roman"/>
                <w:sz w:val="28"/>
                <w:szCs w:val="28"/>
              </w:rPr>
              <w:t>10,0</w:t>
            </w:r>
          </w:p>
        </w:tc>
        <w:tc>
          <w:tcPr>
            <w:tcW w:w="1337" w:type="dxa"/>
            <w:vAlign w:val="center"/>
          </w:tcPr>
          <w:p w14:paraId="589042BF" w14:textId="77777777" w:rsidR="002E3CE8" w:rsidRPr="00520861" w:rsidRDefault="002E3CE8" w:rsidP="00292D2E">
            <w:pPr>
              <w:widowControl w:val="0"/>
              <w:spacing w:line="360" w:lineRule="auto"/>
              <w:contextualSpacing/>
              <w:jc w:val="center"/>
              <w:rPr>
                <w:rFonts w:cs="Times New Roman"/>
                <w:sz w:val="28"/>
                <w:szCs w:val="28"/>
              </w:rPr>
            </w:pPr>
            <w:r w:rsidRPr="00520861">
              <w:rPr>
                <w:rFonts w:eastAsia="Calibri" w:cs="Times New Roman"/>
                <w:sz w:val="28"/>
                <w:szCs w:val="28"/>
              </w:rPr>
              <w:t>11,71</w:t>
            </w:r>
            <w:r w:rsidRPr="00520861">
              <w:rPr>
                <w:rFonts w:cs="Times New Roman"/>
                <w:sz w:val="28"/>
                <w:szCs w:val="28"/>
              </w:rPr>
              <w:t>*</w:t>
            </w:r>
          </w:p>
          <w:p w14:paraId="315D7E9E"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=0,0003</w:t>
            </w:r>
          </w:p>
        </w:tc>
        <w:tc>
          <w:tcPr>
            <w:tcW w:w="1337" w:type="dxa"/>
            <w:vAlign w:val="center"/>
          </w:tcPr>
          <w:p w14:paraId="6ACF3615" w14:textId="77777777" w:rsidR="002E3CE8" w:rsidRPr="00520861" w:rsidRDefault="002E3CE8" w:rsidP="00292D2E">
            <w:pPr>
              <w:widowControl w:val="0"/>
              <w:spacing w:line="360" w:lineRule="auto"/>
              <w:contextualSpacing/>
              <w:jc w:val="center"/>
              <w:rPr>
                <w:rFonts w:cs="Times New Roman"/>
                <w:sz w:val="28"/>
                <w:szCs w:val="28"/>
              </w:rPr>
            </w:pPr>
            <w:r w:rsidRPr="00520861">
              <w:rPr>
                <w:rFonts w:eastAsia="Calibri" w:cs="Times New Roman"/>
                <w:sz w:val="28"/>
                <w:szCs w:val="28"/>
              </w:rPr>
              <w:t>11,3</w:t>
            </w:r>
            <w:r w:rsidRPr="00520861">
              <w:rPr>
                <w:rFonts w:cs="Times New Roman"/>
                <w:sz w:val="28"/>
                <w:szCs w:val="28"/>
              </w:rPr>
              <w:t>*</w:t>
            </w:r>
          </w:p>
          <w:p w14:paraId="2A5AB6CC"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=0,0104</w:t>
            </w:r>
          </w:p>
        </w:tc>
        <w:tc>
          <w:tcPr>
            <w:tcW w:w="1337" w:type="dxa"/>
            <w:vAlign w:val="center"/>
          </w:tcPr>
          <w:p w14:paraId="75236AA0" w14:textId="77777777" w:rsidR="002E3CE8" w:rsidRPr="00520861" w:rsidRDefault="002E3CE8" w:rsidP="00292D2E">
            <w:pPr>
              <w:widowControl w:val="0"/>
              <w:spacing w:line="360" w:lineRule="auto"/>
              <w:ind w:hanging="115"/>
              <w:contextualSpacing/>
              <w:jc w:val="center"/>
              <w:rPr>
                <w:rFonts w:cs="Times New Roman"/>
                <w:sz w:val="28"/>
                <w:szCs w:val="28"/>
              </w:rPr>
            </w:pPr>
            <w:r w:rsidRPr="00520861">
              <w:rPr>
                <w:rFonts w:cs="Times New Roman"/>
                <w:sz w:val="28"/>
                <w:szCs w:val="28"/>
              </w:rPr>
              <w:t>12,3*</w:t>
            </w:r>
          </w:p>
          <w:p w14:paraId="6ABE7701"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0,0033</w:t>
            </w:r>
          </w:p>
        </w:tc>
        <w:tc>
          <w:tcPr>
            <w:tcW w:w="1337" w:type="dxa"/>
            <w:vAlign w:val="center"/>
          </w:tcPr>
          <w:p w14:paraId="27E85D5F" w14:textId="77777777" w:rsidR="002E3CE8" w:rsidRPr="00520861" w:rsidRDefault="002E3CE8" w:rsidP="00292D2E">
            <w:pPr>
              <w:widowControl w:val="0"/>
              <w:spacing w:line="360" w:lineRule="auto"/>
              <w:contextualSpacing/>
              <w:jc w:val="center"/>
              <w:rPr>
                <w:rFonts w:cs="Times New Roman"/>
                <w:sz w:val="28"/>
                <w:szCs w:val="28"/>
              </w:rPr>
            </w:pPr>
            <w:r w:rsidRPr="00520861">
              <w:rPr>
                <w:rFonts w:eastAsia="Calibri" w:cs="Times New Roman"/>
                <w:sz w:val="28"/>
                <w:szCs w:val="28"/>
              </w:rPr>
              <w:t>11,5</w:t>
            </w:r>
            <w:r w:rsidRPr="00520861">
              <w:rPr>
                <w:rFonts w:cs="Times New Roman"/>
                <w:sz w:val="28"/>
                <w:szCs w:val="28"/>
              </w:rPr>
              <w:t>*</w:t>
            </w:r>
          </w:p>
          <w:p w14:paraId="1852D098"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=0,0046</w:t>
            </w:r>
          </w:p>
        </w:tc>
        <w:tc>
          <w:tcPr>
            <w:tcW w:w="1337" w:type="dxa"/>
            <w:vAlign w:val="center"/>
          </w:tcPr>
          <w:p w14:paraId="3C190AD8" w14:textId="77777777" w:rsidR="002E3CE8" w:rsidRPr="00520861" w:rsidRDefault="002E3CE8" w:rsidP="00292D2E">
            <w:pPr>
              <w:widowControl w:val="0"/>
              <w:spacing w:line="360" w:lineRule="auto"/>
              <w:contextualSpacing/>
              <w:jc w:val="center"/>
              <w:rPr>
                <w:rFonts w:eastAsia="Calibri" w:cs="Times New Roman"/>
                <w:sz w:val="28"/>
                <w:szCs w:val="28"/>
              </w:rPr>
            </w:pPr>
            <w:r w:rsidRPr="00520861">
              <w:rPr>
                <w:rFonts w:eastAsia="Calibri" w:cs="Times New Roman"/>
                <w:sz w:val="28"/>
                <w:szCs w:val="28"/>
              </w:rPr>
              <w:t>11,0</w:t>
            </w:r>
            <w:r w:rsidRPr="00520861">
              <w:rPr>
                <w:rFonts w:cs="Times New Roman"/>
                <w:sz w:val="28"/>
                <w:szCs w:val="28"/>
              </w:rPr>
              <w:t>*</w:t>
            </w:r>
          </w:p>
          <w:p w14:paraId="27C1E014"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=0,0039</w:t>
            </w:r>
          </w:p>
        </w:tc>
      </w:tr>
      <w:tr w:rsidR="002E3CE8" w:rsidRPr="00520861" w14:paraId="33F174A1" w14:textId="77777777" w:rsidTr="00D85A37">
        <w:tc>
          <w:tcPr>
            <w:tcW w:w="2439" w:type="dxa"/>
          </w:tcPr>
          <w:p w14:paraId="4254217B" w14:textId="77777777" w:rsidR="002E3CE8" w:rsidRPr="00520861" w:rsidRDefault="002E3CE8" w:rsidP="00292D2E">
            <w:pPr>
              <w:widowControl w:val="0"/>
              <w:spacing w:line="360" w:lineRule="auto"/>
              <w:ind w:right="-182" w:hanging="90"/>
              <w:contextualSpacing/>
              <w:jc w:val="center"/>
              <w:rPr>
                <w:rFonts w:cs="Times New Roman"/>
                <w:sz w:val="28"/>
                <w:szCs w:val="28"/>
              </w:rPr>
            </w:pPr>
            <w:r w:rsidRPr="00520861">
              <w:rPr>
                <w:rFonts w:cs="Times New Roman"/>
                <w:sz w:val="28"/>
                <w:szCs w:val="28"/>
              </w:rPr>
              <w:t>Ширина піднебінного склепіння (l),</w:t>
            </w:r>
          </w:p>
          <w:p w14:paraId="309556C2" w14:textId="77777777" w:rsidR="002E3CE8" w:rsidRPr="00520861" w:rsidRDefault="00D85A37" w:rsidP="00292D2E">
            <w:pPr>
              <w:widowControl w:val="0"/>
              <w:spacing w:line="360" w:lineRule="auto"/>
              <w:contextualSpacing/>
              <w:jc w:val="center"/>
              <w:rPr>
                <w:rFonts w:eastAsia="Calibri" w:cs="Times New Roman"/>
                <w:sz w:val="28"/>
                <w:szCs w:val="28"/>
              </w:rPr>
            </w:pPr>
            <w:r w:rsidRPr="00520861">
              <w:rPr>
                <w:rFonts w:cs="Times New Roman"/>
                <w:sz w:val="28"/>
                <w:szCs w:val="28"/>
                <w:lang w:val="ru-RU"/>
              </w:rPr>
              <w:t>м</w:t>
            </w:r>
            <w:r w:rsidR="002E3CE8" w:rsidRPr="00520861">
              <w:rPr>
                <w:rFonts w:cs="Times New Roman"/>
                <w:sz w:val="28"/>
                <w:szCs w:val="28"/>
              </w:rPr>
              <w:t>м</w:t>
            </w:r>
          </w:p>
        </w:tc>
        <w:tc>
          <w:tcPr>
            <w:tcW w:w="709" w:type="dxa"/>
            <w:vAlign w:val="center"/>
          </w:tcPr>
          <w:p w14:paraId="6C2E199B"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cs="Times New Roman"/>
                <w:sz w:val="28"/>
                <w:szCs w:val="28"/>
              </w:rPr>
              <w:t>29,0</w:t>
            </w:r>
          </w:p>
        </w:tc>
        <w:tc>
          <w:tcPr>
            <w:tcW w:w="1337" w:type="dxa"/>
            <w:vAlign w:val="center"/>
          </w:tcPr>
          <w:p w14:paraId="3F9933F0"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29,46</w:t>
            </w:r>
          </w:p>
          <w:p w14:paraId="736A55ED"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0,6986</w:t>
            </w:r>
          </w:p>
        </w:tc>
        <w:tc>
          <w:tcPr>
            <w:tcW w:w="1337" w:type="dxa"/>
            <w:vAlign w:val="center"/>
          </w:tcPr>
          <w:p w14:paraId="516F59D6"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29,0</w:t>
            </w:r>
          </w:p>
          <w:p w14:paraId="37D64095"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1,0000</w:t>
            </w:r>
          </w:p>
        </w:tc>
        <w:tc>
          <w:tcPr>
            <w:tcW w:w="1337" w:type="dxa"/>
            <w:vAlign w:val="center"/>
          </w:tcPr>
          <w:p w14:paraId="317865CD" w14:textId="77777777" w:rsidR="002E3CE8" w:rsidRPr="00520861" w:rsidRDefault="002E3CE8" w:rsidP="00292D2E">
            <w:pPr>
              <w:widowControl w:val="0"/>
              <w:spacing w:line="360" w:lineRule="auto"/>
              <w:ind w:firstLine="34"/>
              <w:contextualSpacing/>
              <w:jc w:val="center"/>
              <w:rPr>
                <w:rFonts w:cs="Times New Roman"/>
                <w:sz w:val="28"/>
                <w:szCs w:val="28"/>
              </w:rPr>
            </w:pPr>
            <w:r w:rsidRPr="00520861">
              <w:rPr>
                <w:rFonts w:cs="Times New Roman"/>
                <w:sz w:val="28"/>
                <w:szCs w:val="28"/>
              </w:rPr>
              <w:t>29,0</w:t>
            </w:r>
          </w:p>
          <w:p w14:paraId="72E642DC"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0,4493</w:t>
            </w:r>
          </w:p>
        </w:tc>
        <w:tc>
          <w:tcPr>
            <w:tcW w:w="1337" w:type="dxa"/>
            <w:vAlign w:val="center"/>
          </w:tcPr>
          <w:p w14:paraId="069FE684"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29,0</w:t>
            </w:r>
          </w:p>
          <w:p w14:paraId="3F5AFB58"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0,7445</w:t>
            </w:r>
          </w:p>
        </w:tc>
        <w:tc>
          <w:tcPr>
            <w:tcW w:w="1337" w:type="dxa"/>
            <w:vAlign w:val="center"/>
          </w:tcPr>
          <w:p w14:paraId="20692AF3"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30,5</w:t>
            </w:r>
          </w:p>
          <w:p w14:paraId="7DA166CB"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0,1486</w:t>
            </w:r>
          </w:p>
        </w:tc>
      </w:tr>
      <w:tr w:rsidR="002E3CE8" w:rsidRPr="00520861" w14:paraId="0ACE0DEF" w14:textId="77777777" w:rsidTr="00D85A37">
        <w:tc>
          <w:tcPr>
            <w:tcW w:w="2439" w:type="dxa"/>
          </w:tcPr>
          <w:p w14:paraId="51141A21" w14:textId="77777777" w:rsidR="002E3CE8" w:rsidRPr="00520861" w:rsidRDefault="002E3CE8" w:rsidP="00292D2E">
            <w:pPr>
              <w:widowControl w:val="0"/>
              <w:spacing w:line="360" w:lineRule="auto"/>
              <w:contextualSpacing/>
              <w:jc w:val="center"/>
              <w:rPr>
                <w:rFonts w:eastAsia="Calibri" w:cs="Times New Roman"/>
                <w:sz w:val="28"/>
                <w:szCs w:val="28"/>
              </w:rPr>
            </w:pPr>
            <w:r w:rsidRPr="00520861">
              <w:rPr>
                <w:rFonts w:cs="Times New Roman"/>
                <w:sz w:val="28"/>
                <w:szCs w:val="28"/>
              </w:rPr>
              <w:t xml:space="preserve">h/l, </w:t>
            </w:r>
            <w:proofErr w:type="spellStart"/>
            <w:r w:rsidRPr="00520861">
              <w:rPr>
                <w:rFonts w:cs="Times New Roman"/>
                <w:sz w:val="28"/>
                <w:szCs w:val="28"/>
              </w:rPr>
              <w:t>ум.од</w:t>
            </w:r>
            <w:proofErr w:type="spellEnd"/>
            <w:r w:rsidRPr="00520861">
              <w:rPr>
                <w:rFonts w:cs="Times New Roman"/>
                <w:sz w:val="28"/>
                <w:szCs w:val="28"/>
              </w:rPr>
              <w:t>.</w:t>
            </w:r>
          </w:p>
        </w:tc>
        <w:tc>
          <w:tcPr>
            <w:tcW w:w="709" w:type="dxa"/>
            <w:vAlign w:val="center"/>
          </w:tcPr>
          <w:p w14:paraId="0B3B556F"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cs="Times New Roman"/>
                <w:sz w:val="28"/>
                <w:szCs w:val="28"/>
              </w:rPr>
              <w:t>0,34</w:t>
            </w:r>
          </w:p>
        </w:tc>
        <w:tc>
          <w:tcPr>
            <w:tcW w:w="1337" w:type="dxa"/>
            <w:vAlign w:val="center"/>
          </w:tcPr>
          <w:p w14:paraId="7E4936F2"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0,40*</w:t>
            </w:r>
          </w:p>
          <w:p w14:paraId="59CDE7E2"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0,0006</w:t>
            </w:r>
          </w:p>
        </w:tc>
        <w:tc>
          <w:tcPr>
            <w:tcW w:w="1337" w:type="dxa"/>
            <w:vAlign w:val="center"/>
          </w:tcPr>
          <w:p w14:paraId="4B45C09D"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0,38*</w:t>
            </w:r>
          </w:p>
          <w:p w14:paraId="4DFB1602"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0,0086</w:t>
            </w:r>
          </w:p>
        </w:tc>
        <w:tc>
          <w:tcPr>
            <w:tcW w:w="1337" w:type="dxa"/>
            <w:vAlign w:val="center"/>
          </w:tcPr>
          <w:p w14:paraId="348835CD" w14:textId="77777777" w:rsidR="002E3CE8" w:rsidRPr="00520861" w:rsidRDefault="002E3CE8" w:rsidP="00292D2E">
            <w:pPr>
              <w:widowControl w:val="0"/>
              <w:spacing w:line="360" w:lineRule="auto"/>
              <w:ind w:firstLine="34"/>
              <w:contextualSpacing/>
              <w:jc w:val="center"/>
              <w:rPr>
                <w:rFonts w:cs="Times New Roman"/>
                <w:sz w:val="28"/>
                <w:szCs w:val="28"/>
              </w:rPr>
            </w:pPr>
            <w:r w:rsidRPr="00520861">
              <w:rPr>
                <w:rFonts w:cs="Times New Roman"/>
                <w:sz w:val="28"/>
                <w:szCs w:val="28"/>
              </w:rPr>
              <w:t>0,43*</w:t>
            </w:r>
          </w:p>
          <w:p w14:paraId="6884C29A"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0,0032</w:t>
            </w:r>
          </w:p>
        </w:tc>
        <w:tc>
          <w:tcPr>
            <w:tcW w:w="1337" w:type="dxa"/>
            <w:vAlign w:val="center"/>
          </w:tcPr>
          <w:p w14:paraId="482A7293"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0,38*</w:t>
            </w:r>
          </w:p>
          <w:p w14:paraId="1F7A4912"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0,0166</w:t>
            </w:r>
          </w:p>
        </w:tc>
        <w:tc>
          <w:tcPr>
            <w:tcW w:w="1337" w:type="dxa"/>
            <w:vAlign w:val="center"/>
          </w:tcPr>
          <w:p w14:paraId="3151FEF2" w14:textId="77777777" w:rsidR="002E3CE8" w:rsidRPr="00520861" w:rsidRDefault="002E3CE8" w:rsidP="00292D2E">
            <w:pPr>
              <w:widowControl w:val="0"/>
              <w:spacing w:line="360" w:lineRule="auto"/>
              <w:contextualSpacing/>
              <w:jc w:val="center"/>
              <w:rPr>
                <w:rFonts w:cs="Times New Roman"/>
                <w:sz w:val="28"/>
                <w:szCs w:val="28"/>
              </w:rPr>
            </w:pPr>
            <w:r w:rsidRPr="00520861">
              <w:rPr>
                <w:rFonts w:cs="Times New Roman"/>
                <w:sz w:val="28"/>
                <w:szCs w:val="28"/>
              </w:rPr>
              <w:t>0,38*</w:t>
            </w:r>
          </w:p>
          <w:p w14:paraId="31AE67BA" w14:textId="77777777" w:rsidR="002E3CE8" w:rsidRPr="00520861" w:rsidRDefault="002E3CE8" w:rsidP="00292D2E">
            <w:pPr>
              <w:widowControl w:val="0"/>
              <w:spacing w:line="360" w:lineRule="auto"/>
              <w:contextualSpacing/>
              <w:jc w:val="both"/>
              <w:rPr>
                <w:rFonts w:eastAsia="Calibri" w:cs="Times New Roman"/>
                <w:sz w:val="28"/>
                <w:szCs w:val="28"/>
              </w:rPr>
            </w:pPr>
            <w:r w:rsidRPr="00520861">
              <w:rPr>
                <w:rFonts w:eastAsia="Calibri" w:cs="Times New Roman"/>
                <w:i/>
                <w:sz w:val="28"/>
                <w:szCs w:val="28"/>
              </w:rPr>
              <w:t>p</w:t>
            </w:r>
            <w:r w:rsidRPr="00520861">
              <w:rPr>
                <w:rFonts w:eastAsia="Calibri" w:cs="Times New Roman"/>
                <w:sz w:val="28"/>
                <w:szCs w:val="28"/>
              </w:rPr>
              <w:t>=</w:t>
            </w:r>
            <w:r w:rsidRPr="00520861">
              <w:rPr>
                <w:rFonts w:cs="Times New Roman"/>
                <w:sz w:val="28"/>
                <w:szCs w:val="28"/>
              </w:rPr>
              <w:t>0,0185</w:t>
            </w:r>
          </w:p>
        </w:tc>
      </w:tr>
    </w:tbl>
    <w:p w14:paraId="1DF9489E" w14:textId="77777777" w:rsidR="002E3CE8" w:rsidRPr="00520861" w:rsidRDefault="002E3CE8" w:rsidP="00292D2E">
      <w:pPr>
        <w:widowControl w:val="0"/>
        <w:spacing w:line="360" w:lineRule="auto"/>
        <w:ind w:firstLine="708"/>
        <w:contextualSpacing/>
        <w:jc w:val="both"/>
        <w:rPr>
          <w:rFonts w:eastAsia="Calibri"/>
          <w:b/>
          <w:sz w:val="28"/>
          <w:szCs w:val="28"/>
          <w:lang w:eastAsia="en-US"/>
        </w:rPr>
      </w:pPr>
      <w:r w:rsidRPr="00520861">
        <w:rPr>
          <w:sz w:val="28"/>
          <w:szCs w:val="28"/>
        </w:rPr>
        <w:t xml:space="preserve">Примітка: * – різниця між ОГ і ГП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7F63911D"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lastRenderedPageBreak/>
        <w:t xml:space="preserve">Змикання ікл із першим тимчасовим моляром, що відповідає ІІІ-му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було виявлене в 5 дітей (12,5% ДІ: 5,7% – 23,7%) ОГ, а саме: у 3 (37,5%) дітей із </w:t>
      </w:r>
      <w:r w:rsidRPr="00520861">
        <w:rPr>
          <w:bCs/>
          <w:iCs/>
          <w:sz w:val="28"/>
          <w:szCs w:val="28"/>
        </w:rPr>
        <w:t xml:space="preserve">підгрупи </w:t>
      </w:r>
      <w:r w:rsidRPr="00520861">
        <w:rPr>
          <w:rFonts w:eastAsia="Calibri"/>
          <w:sz w:val="28"/>
          <w:szCs w:val="28"/>
          <w:lang w:eastAsia="en-US"/>
        </w:rPr>
        <w:t xml:space="preserve">2 та у 2 (18,2%) дітей із </w:t>
      </w:r>
      <w:r w:rsidRPr="00520861">
        <w:rPr>
          <w:bCs/>
          <w:iCs/>
          <w:sz w:val="28"/>
          <w:szCs w:val="28"/>
        </w:rPr>
        <w:t xml:space="preserve">підгрупи </w:t>
      </w:r>
      <w:r w:rsidRPr="00520861">
        <w:rPr>
          <w:rFonts w:eastAsia="Calibri"/>
          <w:sz w:val="28"/>
          <w:szCs w:val="28"/>
          <w:lang w:eastAsia="en-US"/>
        </w:rPr>
        <w:t>4. У ГП це порушення було виявлене в однієї дитини (7,7% ДІ: 1,9% – 24,7%).</w:t>
      </w:r>
    </w:p>
    <w:p w14:paraId="29C2FCD3"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оцінюванні змикання різців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було виявлено, що ріжуче-ріжучий контакт (норма) мали </w:t>
      </w:r>
      <w:proofErr w:type="spellStart"/>
      <w:r w:rsidRPr="00520861">
        <w:rPr>
          <w:rFonts w:eastAsia="Calibri"/>
          <w:sz w:val="28"/>
          <w:szCs w:val="28"/>
          <w:lang w:eastAsia="en-US"/>
        </w:rPr>
        <w:t>чотитри</w:t>
      </w:r>
      <w:proofErr w:type="spellEnd"/>
      <w:r w:rsidRPr="00520861">
        <w:rPr>
          <w:rFonts w:eastAsia="Calibri"/>
          <w:sz w:val="28"/>
          <w:szCs w:val="28"/>
          <w:lang w:eastAsia="en-US"/>
        </w:rPr>
        <w:t xml:space="preserve">  дитини (28,6%) із </w:t>
      </w:r>
      <w:r w:rsidRPr="00520861">
        <w:rPr>
          <w:bCs/>
          <w:iCs/>
          <w:sz w:val="28"/>
          <w:szCs w:val="28"/>
        </w:rPr>
        <w:t xml:space="preserve">підгрупи </w:t>
      </w:r>
      <w:r w:rsidRPr="00520861">
        <w:rPr>
          <w:rFonts w:eastAsia="Calibri"/>
          <w:sz w:val="28"/>
          <w:szCs w:val="28"/>
          <w:lang w:eastAsia="en-US"/>
        </w:rPr>
        <w:t xml:space="preserve">1, дві (25,0%) дитини із </w:t>
      </w:r>
      <w:r w:rsidRPr="00520861">
        <w:rPr>
          <w:bCs/>
          <w:iCs/>
          <w:sz w:val="28"/>
          <w:szCs w:val="28"/>
        </w:rPr>
        <w:t xml:space="preserve">підгрупи </w:t>
      </w:r>
      <w:r w:rsidRPr="00520861">
        <w:rPr>
          <w:rFonts w:eastAsia="Calibri"/>
          <w:sz w:val="28"/>
          <w:szCs w:val="28"/>
          <w:lang w:eastAsia="en-US"/>
        </w:rPr>
        <w:t xml:space="preserve">2 та одна (14,3%) дитина із </w:t>
      </w:r>
      <w:r w:rsidRPr="00520861">
        <w:rPr>
          <w:bCs/>
          <w:iCs/>
          <w:sz w:val="28"/>
          <w:szCs w:val="28"/>
        </w:rPr>
        <w:t xml:space="preserve">підгрупи </w:t>
      </w:r>
      <w:r w:rsidRPr="00520861">
        <w:rPr>
          <w:rFonts w:eastAsia="Calibri"/>
          <w:sz w:val="28"/>
          <w:szCs w:val="28"/>
          <w:lang w:eastAsia="en-US"/>
        </w:rPr>
        <w:t>3. Ріжуче-</w:t>
      </w:r>
      <w:proofErr w:type="spellStart"/>
      <w:r w:rsidRPr="00520861">
        <w:rPr>
          <w:rFonts w:eastAsia="Calibri"/>
          <w:sz w:val="28"/>
          <w:szCs w:val="28"/>
          <w:lang w:eastAsia="en-US"/>
        </w:rPr>
        <w:t>горбиковий</w:t>
      </w:r>
      <w:proofErr w:type="spellEnd"/>
      <w:r w:rsidRPr="00520861">
        <w:rPr>
          <w:rFonts w:eastAsia="Calibri"/>
          <w:sz w:val="28"/>
          <w:szCs w:val="28"/>
          <w:lang w:eastAsia="en-US"/>
        </w:rPr>
        <w:t xml:space="preserve"> контакт мали 6 (42,9%) дітей із </w:t>
      </w:r>
      <w:r w:rsidRPr="00520861">
        <w:rPr>
          <w:bCs/>
          <w:iCs/>
          <w:sz w:val="28"/>
          <w:szCs w:val="28"/>
        </w:rPr>
        <w:t xml:space="preserve">підгрупи </w:t>
      </w:r>
      <w:r w:rsidRPr="00520861">
        <w:rPr>
          <w:rFonts w:eastAsia="Calibri"/>
          <w:sz w:val="28"/>
          <w:szCs w:val="28"/>
          <w:lang w:eastAsia="en-US"/>
        </w:rPr>
        <w:t xml:space="preserve">1 та 3 (42,9%) дитини із </w:t>
      </w:r>
      <w:r w:rsidRPr="00520861">
        <w:rPr>
          <w:bCs/>
          <w:iCs/>
          <w:sz w:val="28"/>
          <w:szCs w:val="28"/>
        </w:rPr>
        <w:t xml:space="preserve">під-групи </w:t>
      </w:r>
      <w:r w:rsidRPr="00520861">
        <w:rPr>
          <w:rFonts w:eastAsia="Calibri"/>
          <w:sz w:val="28"/>
          <w:szCs w:val="28"/>
          <w:lang w:eastAsia="en-US"/>
        </w:rPr>
        <w:t>3. Пряма сагітальна щілина була в трьох (21,4%) дітей із підгрупи 1, трьох (37,5%) дітей із підгрупи 2, двох (28,6%) дітей із підгрупи 3 та в дев’яти (81,8%) дітей із підгрупи 4. Обернена сагітальна щілина фіксувалася у 2 (25%) дітей із підгрупи 2, та в однієї дитини (9,1%) в підгрупі 4, у ГП ці порушення не були зафіксовані.</w:t>
      </w:r>
    </w:p>
    <w:p w14:paraId="3869E4B9" w14:textId="77777777" w:rsidR="002E3CE8" w:rsidRPr="00520861" w:rsidRDefault="002E3CE8" w:rsidP="00292D2E">
      <w:pPr>
        <w:widowControl w:val="0"/>
        <w:spacing w:line="360" w:lineRule="auto"/>
        <w:ind w:firstLine="709"/>
        <w:contextualSpacing/>
        <w:jc w:val="both"/>
        <w:rPr>
          <w:rFonts w:eastAsia="Calibri"/>
          <w:b/>
          <w:sz w:val="28"/>
          <w:szCs w:val="28"/>
          <w:lang w:eastAsia="en-US"/>
        </w:rPr>
      </w:pPr>
      <w:r w:rsidRPr="00520861">
        <w:rPr>
          <w:rFonts w:eastAsia="Calibri"/>
          <w:sz w:val="28"/>
          <w:szCs w:val="28"/>
          <w:lang w:eastAsia="en-US"/>
        </w:rPr>
        <w:t xml:space="preserve">При оцінюванні прикусу по вертикалі в ділянці бічних зубів щільний </w:t>
      </w:r>
      <w:proofErr w:type="spellStart"/>
      <w:r w:rsidRPr="00520861">
        <w:rPr>
          <w:rFonts w:eastAsia="Calibri"/>
          <w:sz w:val="28"/>
          <w:szCs w:val="28"/>
          <w:lang w:eastAsia="en-US"/>
        </w:rPr>
        <w:t>оклюзійний</w:t>
      </w:r>
      <w:proofErr w:type="spellEnd"/>
      <w:r w:rsidRPr="00520861">
        <w:rPr>
          <w:rFonts w:eastAsia="Calibri"/>
          <w:sz w:val="28"/>
          <w:szCs w:val="28"/>
          <w:lang w:eastAsia="en-US"/>
        </w:rPr>
        <w:t xml:space="preserve"> контакт був у більшості учасників дослідження, за винятком дітей, які мали множинні каріозні ураження тимчасових молярів.</w:t>
      </w:r>
    </w:p>
    <w:p w14:paraId="51785E47"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 двох дітей (25,0%) із підгрупи 2 був зафіксований односторонній бічний </w:t>
      </w:r>
      <w:r w:rsidRPr="00520861">
        <w:rPr>
          <w:rFonts w:eastAsia="Calibri"/>
          <w:sz w:val="28"/>
          <w:szCs w:val="28"/>
          <w:lang w:eastAsia="en-US"/>
        </w:rPr>
        <w:br/>
        <w:t>відкритий прикус. У ГП це порушення виявлене не було.</w:t>
      </w:r>
    </w:p>
    <w:p w14:paraId="11C5B82A"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оцінюванні прикусу по вертикалі в ділянці ікл фізіологічне розташування рвучого горбика ікл верхньої щелепи мали 15 дітей (37,5% ДІ: 24,9% – 51,7%) ОГ та 10 дітей (76,9% ДІ: 54,6% – 90,9%) ГП. В ОГ норма спостерігалася у 5 дітей (35,7%) із підгрупи 1, двох (25,0%) із підгрупи 2, двох (28,6%) із підгрупи 3 та шести (54,5%) дітей із підгрупи 4. </w:t>
      </w:r>
    </w:p>
    <w:p w14:paraId="6936EC16"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Вище контактного пункту рвучий горбик був розташований у двох (14,3%) дітей із підгрупи 1, двох (25,0%) дітей із підгрупи 2, трьох (42,9%) дітей із підгрупи 3, трьох (27,3%) дітей із підгрупи 4 та однієї (7,7%) дитини із ГП. П’ятнадцять дітей (37,5% ДІ: 24,9% – 51,7%) ОГ, а саме 7 (50%) дітей із підгрупи 1, три (37,5%) із підгрупи 2, дві (28,6%) із підгрупи 3 та три (27,3%)дитини із підгрупи 4, мали розташування </w:t>
      </w:r>
      <w:r w:rsidRPr="00520861">
        <w:rPr>
          <w:rFonts w:eastAsia="Calibri"/>
          <w:bCs/>
          <w:sz w:val="28"/>
          <w:szCs w:val="28"/>
          <w:lang w:eastAsia="en-US"/>
        </w:rPr>
        <w:t>рвучого</w:t>
      </w:r>
      <w:r w:rsidRPr="00520861">
        <w:rPr>
          <w:rFonts w:eastAsia="Calibri"/>
          <w:b/>
          <w:bCs/>
          <w:sz w:val="28"/>
          <w:szCs w:val="28"/>
          <w:lang w:eastAsia="en-US"/>
        </w:rPr>
        <w:t xml:space="preserve"> </w:t>
      </w:r>
      <w:r w:rsidRPr="00520861">
        <w:rPr>
          <w:rFonts w:eastAsia="Calibri"/>
          <w:sz w:val="28"/>
          <w:szCs w:val="28"/>
          <w:lang w:eastAsia="en-US"/>
        </w:rPr>
        <w:t xml:space="preserve">горбика верхніх ікл на рівні міжзубного сосочка нижнього зубного ряду. </w:t>
      </w:r>
    </w:p>
    <w:p w14:paraId="7B0BF71C"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У ГП таке порушення мали 2 дитини (15,4% ДІ: 5,0% – 36,0%).</w:t>
      </w:r>
    </w:p>
    <w:p w14:paraId="1513D553"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lastRenderedPageBreak/>
        <w:t xml:space="preserve">При оцінюванні прикусу по вертикалі в ділянці різців виявилося, що ріжуче-ріжучий контакт різців (норма) був виявлений нами лише в 6 (15,0% ДІ: 7,3% – 26,8%) дітей ОГ. Норму мали 1 (7,1%) дитина із підгрупи 1, одна (12,5%) дитина із </w:t>
      </w:r>
      <w:r w:rsidRPr="00520861">
        <w:rPr>
          <w:rFonts w:eastAsia="Calibri"/>
          <w:sz w:val="28"/>
          <w:szCs w:val="28"/>
          <w:lang w:eastAsia="en-US"/>
        </w:rPr>
        <w:br/>
        <w:t xml:space="preserve">підгрупи 2, одна (14,3%) дитина із підгрупи 3 та три (27,3%) дитини із підгрупи 4. </w:t>
      </w:r>
      <w:r w:rsidRPr="00520861">
        <w:rPr>
          <w:rFonts w:eastAsia="Calibri"/>
          <w:sz w:val="28"/>
          <w:szCs w:val="28"/>
          <w:lang w:eastAsia="en-US"/>
        </w:rPr>
        <w:br/>
        <w:t xml:space="preserve">У ГП норму було виявлено в 11 дітей (84,6% ДІ: 64,0% – 95,0%). Дві дитини (25,0%) із підгрупи 2 та одна дитина (9,1%) із підгрупи 4 мали відкритий прикус із </w:t>
      </w:r>
      <w:r w:rsidR="008514BE" w:rsidRPr="00520861">
        <w:rPr>
          <w:rFonts w:eastAsia="Calibri"/>
          <w:sz w:val="28"/>
          <w:szCs w:val="28"/>
          <w:lang w:eastAsia="en-US"/>
        </w:rPr>
        <w:br/>
      </w:r>
      <w:r w:rsidRPr="00520861">
        <w:rPr>
          <w:rFonts w:eastAsia="Calibri"/>
          <w:sz w:val="28"/>
          <w:szCs w:val="28"/>
          <w:lang w:eastAsia="en-US"/>
        </w:rPr>
        <w:t>вертикальною щілиною 3 мм. В однієї дитини (7,1%) із підгрупи 1 та однієї дитини (12,5%) із підгрупи 2 різці були видалені через ускладнення карієсу. Двадцять дев’ять (72,5% ДІ: 58,8% – 83,4%) дітей ОГ мали глибокий прикус різних ступенів тяжкості (рис. 5.13). У ГП подібні порушення були виявлені у двох дітей (15,4% ДІ: 5,0% – 36,0%).</w:t>
      </w:r>
      <w:r w:rsidRPr="00520861">
        <w:rPr>
          <w:rFonts w:eastAsia="Calibri"/>
          <w:color w:val="FF0000"/>
          <w:sz w:val="28"/>
          <w:szCs w:val="28"/>
          <w:lang w:eastAsia="en-US"/>
        </w:rPr>
        <w:t xml:space="preserve"> </w:t>
      </w:r>
      <w:r w:rsidRPr="00520861">
        <w:rPr>
          <w:rFonts w:eastAsia="Calibri"/>
          <w:sz w:val="28"/>
          <w:szCs w:val="28"/>
          <w:lang w:eastAsia="en-US"/>
        </w:rPr>
        <w:t xml:space="preserve">Недорозвинення фронтальної ділянки нижньої щелепи супроводжується </w:t>
      </w:r>
      <w:r w:rsidR="008514BE" w:rsidRPr="00520861">
        <w:rPr>
          <w:rFonts w:eastAsia="Calibri"/>
          <w:sz w:val="28"/>
          <w:szCs w:val="28"/>
          <w:lang w:eastAsia="en-US"/>
        </w:rPr>
        <w:br/>
      </w:r>
      <w:r w:rsidRPr="00520861">
        <w:rPr>
          <w:rFonts w:eastAsia="Calibri"/>
          <w:sz w:val="28"/>
          <w:szCs w:val="28"/>
          <w:lang w:eastAsia="en-US"/>
        </w:rPr>
        <w:t>скупченим положенням фронтальних зубів нижньої щелепи (рис. 5.14).</w:t>
      </w:r>
    </w:p>
    <w:p w14:paraId="34EB9736"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-піднебінному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w:t>
      </w:r>
      <w:r w:rsidRPr="00520861">
        <w:rPr>
          <w:rFonts w:eastAsia="Calibri"/>
          <w:sz w:val="28"/>
          <w:szCs w:val="28"/>
          <w:lang w:eastAsia="en-US"/>
        </w:rPr>
        <w:br/>
        <w:t>напрямку (</w:t>
      </w:r>
      <w:proofErr w:type="spellStart"/>
      <w:r w:rsidRPr="00520861">
        <w:rPr>
          <w:rFonts w:eastAsia="Calibri"/>
          <w:sz w:val="28"/>
          <w:szCs w:val="28"/>
          <w:lang w:eastAsia="en-US"/>
        </w:rPr>
        <w:t>трансверзальна</w:t>
      </w:r>
      <w:proofErr w:type="spellEnd"/>
      <w:r w:rsidRPr="00520861">
        <w:rPr>
          <w:rFonts w:eastAsia="Calibri"/>
          <w:sz w:val="28"/>
          <w:szCs w:val="28"/>
          <w:lang w:eastAsia="en-US"/>
        </w:rPr>
        <w:t xml:space="preserve"> площина) виявило, що в ділянці бічних зубів фізіологічне співвідношення зубів мали 34 (85,0% ДІ: 73,2% – 92,7%) учасники ОГ та 11 учасників (84,6% ДІ: 64,0% – 95,0%) ГП. Перехресний прикус був зафіксований у 6 (15,0% ДІ: 7,3% – 26,8%) дітей ОГ та двох дітей (15,4% ДІ: 5,0% – 36,0%) ГП.</w:t>
      </w:r>
    </w:p>
    <w:p w14:paraId="4D14C616"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Частковий </w:t>
      </w:r>
      <w:proofErr w:type="spellStart"/>
      <w:r w:rsidRPr="00520861">
        <w:rPr>
          <w:rFonts w:eastAsia="Calibri"/>
          <w:sz w:val="28"/>
          <w:szCs w:val="28"/>
          <w:lang w:eastAsia="en-US"/>
        </w:rPr>
        <w:t>лінгвальний</w:t>
      </w:r>
      <w:proofErr w:type="spellEnd"/>
      <w:r w:rsidRPr="00520861">
        <w:rPr>
          <w:rFonts w:eastAsia="Calibri"/>
          <w:sz w:val="28"/>
          <w:szCs w:val="28"/>
          <w:lang w:eastAsia="en-US"/>
        </w:rPr>
        <w:t xml:space="preserve"> перехресний прикус без зміщення нижньої щелепи був виявлений у 3 (21,4%) дітей із підгрупи 1, однієї (12,5%) дитини із підгрупи 2 та однієї (9,1%) дитини із підгрупи 4. Одна дитина (12,5%) із підгрупи 2 мала </w:t>
      </w:r>
      <w:proofErr w:type="spellStart"/>
      <w:r w:rsidRPr="00520861">
        <w:rPr>
          <w:rFonts w:eastAsia="Calibri"/>
          <w:sz w:val="28"/>
          <w:szCs w:val="28"/>
          <w:lang w:eastAsia="en-US"/>
        </w:rPr>
        <w:t>букально-лінгвальний</w:t>
      </w:r>
      <w:proofErr w:type="spellEnd"/>
      <w:r w:rsidRPr="00520861">
        <w:rPr>
          <w:rFonts w:eastAsia="Calibri"/>
          <w:sz w:val="28"/>
          <w:szCs w:val="28"/>
          <w:lang w:eastAsia="en-US"/>
        </w:rPr>
        <w:t xml:space="preserve"> перехресний прикус із зміщенням нижньої щелепи.</w:t>
      </w:r>
    </w:p>
    <w:p w14:paraId="3100212B"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-піднебінному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w:t>
      </w:r>
      <w:r w:rsidRPr="00520861">
        <w:rPr>
          <w:rFonts w:eastAsia="Calibri"/>
          <w:sz w:val="28"/>
          <w:szCs w:val="28"/>
          <w:lang w:eastAsia="en-US"/>
        </w:rPr>
        <w:br/>
        <w:t xml:space="preserve">напрямку виявило, що в ділянці ікл фізіологічне співвідношення між іклами верхньої щелепи та першими тимчасовими молярами нижньої щелепи було виявлено в 36 </w:t>
      </w:r>
      <w:r w:rsidR="008514BE" w:rsidRPr="00520861">
        <w:rPr>
          <w:rFonts w:eastAsia="Calibri"/>
          <w:sz w:val="28"/>
          <w:szCs w:val="28"/>
          <w:lang w:eastAsia="en-US"/>
        </w:rPr>
        <w:br/>
      </w:r>
      <w:r w:rsidRPr="00520861">
        <w:rPr>
          <w:rFonts w:eastAsia="Calibri"/>
          <w:sz w:val="28"/>
          <w:szCs w:val="28"/>
          <w:lang w:eastAsia="en-US"/>
        </w:rPr>
        <w:t>дітей (90,0% ДІ: 79,6% – 95,8%) ОГ та 11 дітей (84,6% ДІ: 64,0% – 95,0%) ГП. Оральне положення ікл було у 2 дітей (25,0%) із підгрупи 2, 2 дітей (18,2%) із підгрупи 4 та 2 дітей (15,4% ДІ: 5,0% – 36,0%) ГП.</w:t>
      </w:r>
    </w:p>
    <w:p w14:paraId="6D054D07"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-піднебінному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w:t>
      </w:r>
      <w:r w:rsidRPr="00520861">
        <w:rPr>
          <w:rFonts w:eastAsia="Calibri"/>
          <w:sz w:val="28"/>
          <w:szCs w:val="28"/>
          <w:lang w:eastAsia="en-US"/>
        </w:rPr>
        <w:br/>
        <w:t>напрямку виявило, що в ділянці різців зміщення середньої лінії мали 19 дітей (47,5% ДІ: 33,8% – 61,5%) ОГ та 2 дитини ГП (15,4% ДІ: 5,0% – 36,0%).</w:t>
      </w:r>
    </w:p>
    <w:p w14:paraId="7F6900A6" w14:textId="77777777" w:rsidR="002E3CE8" w:rsidRPr="00520861" w:rsidRDefault="002E3CE8" w:rsidP="00292D2E">
      <w:pPr>
        <w:widowControl w:val="0"/>
        <w:ind w:right="48"/>
        <w:contextualSpacing/>
        <w:jc w:val="center"/>
        <w:rPr>
          <w:sz w:val="28"/>
          <w:szCs w:val="28"/>
        </w:rPr>
      </w:pPr>
      <w:r w:rsidRPr="00520861">
        <w:rPr>
          <w:noProof/>
          <w:sz w:val="28"/>
          <w:szCs w:val="28"/>
          <w:lang w:val="ru-RU"/>
        </w:rPr>
        <w:lastRenderedPageBreak/>
        <w:drawing>
          <wp:inline distT="0" distB="0" distL="0" distR="0" wp14:anchorId="63D69043" wp14:editId="39694484">
            <wp:extent cx="3193200" cy="2383200"/>
            <wp:effectExtent l="0" t="0" r="7620" b="0"/>
            <wp:docPr id="77" name="Рисунок 77" descr="D:\дд\фото\дети\макросомы 13 поликлиника\мои\рафиенко алевтина\IMG_0417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дд\фото\дети\макросомы 13 поликлиника\мои\рафиенко алевтина\IMG_0417 нов.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193200" cy="2383200"/>
                    </a:xfrm>
                    <a:prstGeom prst="rect">
                      <a:avLst/>
                    </a:prstGeom>
                    <a:noFill/>
                    <a:ln>
                      <a:noFill/>
                    </a:ln>
                  </pic:spPr>
                </pic:pic>
              </a:graphicData>
            </a:graphic>
          </wp:inline>
        </w:drawing>
      </w:r>
      <w:r w:rsidRPr="00520861">
        <w:rPr>
          <w:noProof/>
          <w:sz w:val="28"/>
          <w:szCs w:val="28"/>
          <w:lang w:val="ru-RU"/>
        </w:rPr>
        <w:drawing>
          <wp:inline distT="0" distB="0" distL="0" distR="0" wp14:anchorId="16763E31" wp14:editId="513CA728">
            <wp:extent cx="3142800" cy="2383200"/>
            <wp:effectExtent l="0" t="0" r="635" b="0"/>
            <wp:docPr id="78" name="Рисунок 78" descr="D:\дд\фото\дети\макросомы 13 поликлиника\мои\рафиенко алевтина\IMG_0419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дд\фото\дети\макросомы 13 поликлиника\мои\рафиенко алевтина\IMG_0419 нов.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142800" cy="2383200"/>
                    </a:xfrm>
                    <a:prstGeom prst="rect">
                      <a:avLst/>
                    </a:prstGeom>
                    <a:noFill/>
                    <a:ln>
                      <a:noFill/>
                    </a:ln>
                  </pic:spPr>
                </pic:pic>
              </a:graphicData>
            </a:graphic>
          </wp:inline>
        </w:drawing>
      </w:r>
    </w:p>
    <w:tbl>
      <w:tblPr>
        <w:tblStyle w:val="8"/>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20"/>
      </w:tblGrid>
      <w:tr w:rsidR="002E3CE8" w:rsidRPr="00520861" w14:paraId="1E288C62" w14:textId="77777777" w:rsidTr="00292D2E">
        <w:tc>
          <w:tcPr>
            <w:tcW w:w="4819" w:type="dxa"/>
          </w:tcPr>
          <w:p w14:paraId="7A4ACAED" w14:textId="77777777" w:rsidR="002E3CE8" w:rsidRPr="00520861" w:rsidRDefault="002E3CE8" w:rsidP="00292D2E">
            <w:pPr>
              <w:widowControl w:val="0"/>
              <w:spacing w:line="360" w:lineRule="auto"/>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4820" w:type="dxa"/>
          </w:tcPr>
          <w:p w14:paraId="2257D239" w14:textId="77777777" w:rsidR="002E3CE8" w:rsidRPr="00520861" w:rsidRDefault="002E3CE8" w:rsidP="00292D2E">
            <w:pPr>
              <w:widowControl w:val="0"/>
              <w:spacing w:line="360" w:lineRule="auto"/>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r>
    </w:tbl>
    <w:p w14:paraId="149E3D82" w14:textId="77777777" w:rsidR="002E3CE8" w:rsidRPr="00520861" w:rsidRDefault="002E3CE8" w:rsidP="00292D2E">
      <w:pPr>
        <w:widowControl w:val="0"/>
        <w:spacing w:line="360" w:lineRule="auto"/>
        <w:ind w:right="48" w:firstLine="708"/>
        <w:contextualSpacing/>
        <w:jc w:val="center"/>
        <w:rPr>
          <w:sz w:val="28"/>
          <w:szCs w:val="28"/>
        </w:rPr>
      </w:pPr>
      <w:r w:rsidRPr="00520861">
        <w:rPr>
          <w:sz w:val="28"/>
          <w:szCs w:val="28"/>
        </w:rPr>
        <w:t xml:space="preserve">Рис. 5.13. </w:t>
      </w:r>
      <w:r w:rsidRPr="00520861">
        <w:rPr>
          <w:bCs/>
          <w:iCs/>
          <w:sz w:val="28"/>
          <w:szCs w:val="28"/>
        </w:rPr>
        <w:t xml:space="preserve">Фото фронтальної ділянки ротової порожнини дитини Р. (дівчинка) у віці 4 роки 8 місяців, </w:t>
      </w:r>
      <w:r w:rsidRPr="00520861">
        <w:rPr>
          <w:sz w:val="28"/>
          <w:szCs w:val="28"/>
        </w:rPr>
        <w:t xml:space="preserve">амб. карта № 173401, </w:t>
      </w:r>
      <w:r w:rsidRPr="00520861">
        <w:rPr>
          <w:rFonts w:eastAsia="Calibri"/>
          <w:sz w:val="28"/>
          <w:szCs w:val="28"/>
          <w:lang w:eastAsia="en-US"/>
        </w:rPr>
        <w:t>підгрупа 4;</w:t>
      </w:r>
      <w:r w:rsidRPr="00520861">
        <w:rPr>
          <w:sz w:val="28"/>
          <w:szCs w:val="28"/>
        </w:rPr>
        <w:t xml:space="preserve"> </w:t>
      </w:r>
    </w:p>
    <w:p w14:paraId="15AA56A8" w14:textId="77777777" w:rsidR="002E3CE8" w:rsidRPr="00520861" w:rsidRDefault="002E3CE8" w:rsidP="00292D2E">
      <w:pPr>
        <w:widowControl w:val="0"/>
        <w:spacing w:line="360" w:lineRule="auto"/>
        <w:ind w:right="48"/>
        <w:contextualSpacing/>
        <w:jc w:val="center"/>
        <w:rPr>
          <w:bCs/>
          <w:iCs/>
          <w:sz w:val="28"/>
          <w:szCs w:val="28"/>
        </w:rPr>
      </w:pPr>
      <w:r w:rsidRPr="00520861">
        <w:rPr>
          <w:sz w:val="28"/>
          <w:szCs w:val="28"/>
        </w:rPr>
        <w:t xml:space="preserve">a) спостерігається стан після </w:t>
      </w:r>
      <w:proofErr w:type="spellStart"/>
      <w:r w:rsidRPr="00520861">
        <w:rPr>
          <w:sz w:val="28"/>
          <w:szCs w:val="28"/>
        </w:rPr>
        <w:t>френулотомії</w:t>
      </w:r>
      <w:proofErr w:type="spellEnd"/>
      <w:r w:rsidRPr="00520861">
        <w:rPr>
          <w:sz w:val="28"/>
          <w:szCs w:val="28"/>
        </w:rPr>
        <w:t>,</w:t>
      </w:r>
      <w:r w:rsidRPr="00520861">
        <w:rPr>
          <w:rFonts w:eastAsia="Calibri"/>
          <w:bCs/>
          <w:iCs/>
          <w:sz w:val="28"/>
          <w:szCs w:val="28"/>
          <w:lang w:eastAsia="en-US"/>
        </w:rPr>
        <w:t xml:space="preserve"> </w:t>
      </w:r>
      <w:r w:rsidRPr="00520861">
        <w:rPr>
          <w:sz w:val="28"/>
          <w:szCs w:val="28"/>
        </w:rPr>
        <w:t>карієс 74, 75, 84, 85 зубів;</w:t>
      </w:r>
      <w:r w:rsidRPr="00520861">
        <w:rPr>
          <w:bCs/>
          <w:iCs/>
          <w:sz w:val="28"/>
          <w:szCs w:val="28"/>
        </w:rPr>
        <w:t xml:space="preserve"> </w:t>
      </w:r>
    </w:p>
    <w:p w14:paraId="42CB27E0" w14:textId="77777777" w:rsidR="002E3CE8" w:rsidRPr="00520861" w:rsidRDefault="002E3CE8" w:rsidP="00292D2E">
      <w:pPr>
        <w:widowControl w:val="0"/>
        <w:spacing w:line="360" w:lineRule="auto"/>
        <w:ind w:right="48"/>
        <w:contextualSpacing/>
        <w:jc w:val="center"/>
        <w:rPr>
          <w:sz w:val="28"/>
          <w:szCs w:val="28"/>
        </w:rPr>
      </w:pPr>
      <w:r w:rsidRPr="00520861">
        <w:rPr>
          <w:bCs/>
          <w:iCs/>
          <w:sz w:val="28"/>
          <w:szCs w:val="28"/>
        </w:rPr>
        <w:t xml:space="preserve">b) вуздечка верхньої губи IІІ вид (за класифікацією </w:t>
      </w:r>
      <w:proofErr w:type="spellStart"/>
      <w:r w:rsidRPr="00520861">
        <w:rPr>
          <w:bCs/>
          <w:iCs/>
          <w:sz w:val="28"/>
          <w:szCs w:val="28"/>
        </w:rPr>
        <w:t>Хорошилкіної</w:t>
      </w:r>
      <w:proofErr w:type="spellEnd"/>
      <w:r w:rsidRPr="00520861">
        <w:rPr>
          <w:bCs/>
          <w:iCs/>
          <w:sz w:val="28"/>
          <w:szCs w:val="28"/>
        </w:rPr>
        <w:t xml:space="preserve"> Ф.Я.).</w:t>
      </w:r>
      <w:r w:rsidRPr="00520861">
        <w:rPr>
          <w:sz w:val="28"/>
          <w:szCs w:val="28"/>
        </w:rPr>
        <w:t xml:space="preserve"> </w:t>
      </w:r>
    </w:p>
    <w:p w14:paraId="06C582BD" w14:textId="77777777" w:rsidR="002E3CE8" w:rsidRPr="00520861" w:rsidRDefault="002E3CE8" w:rsidP="00292D2E">
      <w:pPr>
        <w:widowControl w:val="0"/>
        <w:spacing w:line="360" w:lineRule="auto"/>
        <w:ind w:right="48"/>
        <w:contextualSpacing/>
        <w:jc w:val="center"/>
        <w:rPr>
          <w:sz w:val="28"/>
          <w:szCs w:val="28"/>
        </w:rPr>
      </w:pPr>
      <w:r w:rsidRPr="00520861">
        <w:rPr>
          <w:sz w:val="28"/>
          <w:szCs w:val="28"/>
        </w:rPr>
        <w:t>Глибокий прикус.</w:t>
      </w:r>
    </w:p>
    <w:p w14:paraId="62352F46" w14:textId="77777777" w:rsidR="002E3CE8" w:rsidRPr="00520861" w:rsidRDefault="002E3CE8" w:rsidP="00292D2E">
      <w:pPr>
        <w:widowControl w:val="0"/>
        <w:spacing w:line="360" w:lineRule="auto"/>
        <w:ind w:right="48"/>
        <w:contextualSpacing/>
        <w:jc w:val="center"/>
        <w:rPr>
          <w:sz w:val="28"/>
          <w:szCs w:val="28"/>
        </w:rPr>
      </w:pPr>
    </w:p>
    <w:p w14:paraId="2D638D7D" w14:textId="77777777" w:rsidR="002E3CE8" w:rsidRPr="00520861" w:rsidRDefault="002E3CE8" w:rsidP="00292D2E">
      <w:pPr>
        <w:widowControl w:val="0"/>
        <w:spacing w:line="360" w:lineRule="auto"/>
        <w:ind w:right="48"/>
        <w:contextualSpacing/>
        <w:jc w:val="center"/>
        <w:rPr>
          <w:b/>
          <w:sz w:val="28"/>
          <w:szCs w:val="28"/>
        </w:rPr>
      </w:pPr>
      <w:r w:rsidRPr="00520861">
        <w:rPr>
          <w:b/>
          <w:noProof/>
          <w:sz w:val="28"/>
          <w:szCs w:val="28"/>
          <w:lang w:val="ru-RU"/>
        </w:rPr>
        <w:drawing>
          <wp:inline distT="0" distB="0" distL="0" distR="0" wp14:anchorId="1EE57CB4" wp14:editId="64EDD0B1">
            <wp:extent cx="3181350" cy="2386016"/>
            <wp:effectExtent l="0" t="0" r="0" b="0"/>
            <wp:docPr id="79" name="Рисунок 79" descr="D:\дд\фото\дети\макросомы\вахтин артур 4000\IMG_0699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д\фото\дети\макросомы\вахтин артур 4000\IMG_0699 нов.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243378" cy="2432537"/>
                    </a:xfrm>
                    <a:prstGeom prst="rect">
                      <a:avLst/>
                    </a:prstGeom>
                    <a:noFill/>
                    <a:ln>
                      <a:noFill/>
                    </a:ln>
                  </pic:spPr>
                </pic:pic>
              </a:graphicData>
            </a:graphic>
          </wp:inline>
        </w:drawing>
      </w:r>
      <w:r w:rsidRPr="00520861">
        <w:rPr>
          <w:b/>
          <w:noProof/>
          <w:sz w:val="28"/>
          <w:szCs w:val="28"/>
          <w:lang w:val="ru-RU"/>
        </w:rPr>
        <w:drawing>
          <wp:inline distT="0" distB="0" distL="0" distR="0" wp14:anchorId="126C0533" wp14:editId="55102269">
            <wp:extent cx="3181350" cy="2384993"/>
            <wp:effectExtent l="0" t="0" r="0" b="0"/>
            <wp:docPr id="80" name="Рисунок 80" descr="D:\дд\фото\дети\макросомы\вахтин артур 4000\IMG_0712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дд\фото\дети\макросомы\вахтин артур 4000\IMG_0712 нов.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216876" cy="2411626"/>
                    </a:xfrm>
                    <a:prstGeom prst="rect">
                      <a:avLst/>
                    </a:prstGeom>
                    <a:noFill/>
                    <a:ln>
                      <a:noFill/>
                    </a:ln>
                  </pic:spPr>
                </pic:pic>
              </a:graphicData>
            </a:graphic>
          </wp:inline>
        </w:drawing>
      </w:r>
    </w:p>
    <w:tbl>
      <w:tblPr>
        <w:tblStyle w:val="8"/>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20"/>
      </w:tblGrid>
      <w:tr w:rsidR="002E3CE8" w:rsidRPr="00520861" w14:paraId="451E763F" w14:textId="77777777" w:rsidTr="00292D2E">
        <w:tc>
          <w:tcPr>
            <w:tcW w:w="4819" w:type="dxa"/>
          </w:tcPr>
          <w:p w14:paraId="5F37ADF4" w14:textId="77777777" w:rsidR="002E3CE8" w:rsidRPr="00520861" w:rsidRDefault="002E3CE8" w:rsidP="00292D2E">
            <w:pPr>
              <w:widowControl w:val="0"/>
              <w:spacing w:line="360" w:lineRule="auto"/>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4820" w:type="dxa"/>
          </w:tcPr>
          <w:p w14:paraId="761956A9" w14:textId="77777777" w:rsidR="002E3CE8" w:rsidRPr="00520861" w:rsidRDefault="002E3CE8" w:rsidP="00292D2E">
            <w:pPr>
              <w:widowControl w:val="0"/>
              <w:spacing w:line="360" w:lineRule="auto"/>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r>
    </w:tbl>
    <w:p w14:paraId="3CAB3B9C" w14:textId="77777777" w:rsidR="002E3CE8" w:rsidRPr="00520861" w:rsidRDefault="002E3CE8" w:rsidP="00292D2E">
      <w:pPr>
        <w:widowControl w:val="0"/>
        <w:spacing w:line="360" w:lineRule="auto"/>
        <w:ind w:right="-1" w:firstLine="708"/>
        <w:contextualSpacing/>
        <w:jc w:val="center"/>
        <w:rPr>
          <w:sz w:val="28"/>
          <w:szCs w:val="28"/>
        </w:rPr>
      </w:pPr>
      <w:r w:rsidRPr="00520861">
        <w:rPr>
          <w:sz w:val="28"/>
          <w:szCs w:val="28"/>
        </w:rPr>
        <w:t xml:space="preserve">Рис. 5.14. </w:t>
      </w:r>
      <w:r w:rsidRPr="00520861">
        <w:rPr>
          <w:bCs/>
          <w:iCs/>
          <w:sz w:val="28"/>
          <w:szCs w:val="28"/>
        </w:rPr>
        <w:t xml:space="preserve">Фото фронтальної ділянки ротової порожнини дитини В. (хлопчик) у віці 5 років, </w:t>
      </w:r>
      <w:r w:rsidRPr="00520861">
        <w:rPr>
          <w:sz w:val="28"/>
          <w:szCs w:val="28"/>
        </w:rPr>
        <w:t xml:space="preserve">амб. карта № 161488, </w:t>
      </w:r>
      <w:r w:rsidRPr="00520861">
        <w:rPr>
          <w:rFonts w:eastAsia="Calibri"/>
          <w:sz w:val="28"/>
          <w:szCs w:val="28"/>
          <w:lang w:eastAsia="en-US"/>
        </w:rPr>
        <w:t>підгрупа 1</w:t>
      </w:r>
      <w:r w:rsidRPr="00520861">
        <w:rPr>
          <w:bCs/>
          <w:iCs/>
          <w:sz w:val="28"/>
          <w:szCs w:val="28"/>
        </w:rPr>
        <w:t>;</w:t>
      </w:r>
      <w:r w:rsidRPr="00520861">
        <w:rPr>
          <w:sz w:val="28"/>
          <w:szCs w:val="28"/>
        </w:rPr>
        <w:t xml:space="preserve"> </w:t>
      </w:r>
    </w:p>
    <w:p w14:paraId="101A98A8" w14:textId="77777777" w:rsidR="002E3CE8" w:rsidRPr="00520861" w:rsidRDefault="002E3CE8" w:rsidP="00292D2E">
      <w:pPr>
        <w:widowControl w:val="0"/>
        <w:spacing w:line="360" w:lineRule="auto"/>
        <w:ind w:right="-1"/>
        <w:contextualSpacing/>
        <w:jc w:val="center"/>
        <w:rPr>
          <w:rFonts w:eastAsia="Calibri"/>
          <w:sz w:val="28"/>
          <w:szCs w:val="28"/>
          <w:shd w:val="clear" w:color="auto" w:fill="FFFFFF"/>
          <w:lang w:eastAsia="en-US"/>
        </w:rPr>
      </w:pPr>
      <w:r w:rsidRPr="00520861">
        <w:rPr>
          <w:sz w:val="28"/>
          <w:szCs w:val="28"/>
        </w:rPr>
        <w:t xml:space="preserve">а) </w:t>
      </w:r>
      <w:r w:rsidRPr="00520861">
        <w:rPr>
          <w:rFonts w:eastAsia="Calibri"/>
          <w:sz w:val="28"/>
          <w:szCs w:val="28"/>
          <w:shd w:val="clear" w:color="auto" w:fill="FFFFFF"/>
          <w:lang w:eastAsia="en-US"/>
        </w:rPr>
        <w:t xml:space="preserve">спостерігається </w:t>
      </w:r>
      <w:r w:rsidRPr="00520861">
        <w:rPr>
          <w:sz w:val="28"/>
          <w:szCs w:val="28"/>
        </w:rPr>
        <w:t>в</w:t>
      </w:r>
      <w:r w:rsidRPr="00520861">
        <w:rPr>
          <w:rFonts w:eastAsia="Calibri"/>
          <w:sz w:val="28"/>
          <w:szCs w:val="28"/>
          <w:shd w:val="clear" w:color="auto" w:fill="FFFFFF"/>
          <w:lang w:eastAsia="en-US"/>
        </w:rPr>
        <w:t xml:space="preserve">уздечка язика </w:t>
      </w:r>
      <w:r w:rsidRPr="00520861">
        <w:rPr>
          <w:rFonts w:eastAsia="Calibri"/>
          <w:bCs/>
          <w:iCs/>
          <w:sz w:val="28"/>
          <w:szCs w:val="28"/>
          <w:shd w:val="clear" w:color="auto" w:fill="FFFFFF"/>
          <w:lang w:eastAsia="en-US"/>
        </w:rPr>
        <w:t xml:space="preserve">IV </w:t>
      </w:r>
      <w:r w:rsidRPr="00520861">
        <w:rPr>
          <w:bCs/>
          <w:iCs/>
          <w:sz w:val="28"/>
          <w:szCs w:val="28"/>
        </w:rPr>
        <w:t xml:space="preserve">вид (за класифікацією </w:t>
      </w:r>
      <w:proofErr w:type="spellStart"/>
      <w:r w:rsidRPr="00520861">
        <w:rPr>
          <w:bCs/>
          <w:iCs/>
          <w:sz w:val="28"/>
          <w:szCs w:val="28"/>
        </w:rPr>
        <w:t>Хорошилкіної</w:t>
      </w:r>
      <w:proofErr w:type="spellEnd"/>
      <w:r w:rsidRPr="00520861">
        <w:rPr>
          <w:bCs/>
          <w:iCs/>
          <w:sz w:val="28"/>
          <w:szCs w:val="28"/>
        </w:rPr>
        <w:t xml:space="preserve"> Ф.Я.)</w:t>
      </w:r>
      <w:r w:rsidRPr="00520861">
        <w:rPr>
          <w:rFonts w:eastAsia="Calibri"/>
          <w:sz w:val="28"/>
          <w:szCs w:val="28"/>
          <w:shd w:val="clear" w:color="auto" w:fill="FFFFFF"/>
          <w:lang w:eastAsia="en-US"/>
        </w:rPr>
        <w:t xml:space="preserve">, </w:t>
      </w:r>
    </w:p>
    <w:p w14:paraId="675F155C" w14:textId="77777777" w:rsidR="002E3CE8" w:rsidRPr="00520861" w:rsidRDefault="002E3CE8" w:rsidP="00292D2E">
      <w:pPr>
        <w:widowControl w:val="0"/>
        <w:spacing w:line="360" w:lineRule="auto"/>
        <w:ind w:right="-1"/>
        <w:contextualSpacing/>
        <w:jc w:val="center"/>
        <w:rPr>
          <w:rFonts w:eastAsia="Calibri"/>
          <w:sz w:val="28"/>
          <w:szCs w:val="28"/>
          <w:shd w:val="clear" w:color="auto" w:fill="FFFFFF"/>
          <w:lang w:eastAsia="en-US"/>
        </w:rPr>
      </w:pPr>
      <w:r w:rsidRPr="00520861">
        <w:rPr>
          <w:rFonts w:eastAsia="Calibri"/>
          <w:sz w:val="28"/>
          <w:szCs w:val="28"/>
          <w:shd w:val="clear" w:color="auto" w:fill="FFFFFF"/>
          <w:lang w:eastAsia="en-US"/>
        </w:rPr>
        <w:t>б) трапецієподібна форма нижньої зубної дуги, скупченість фронтальної групи зубів 2 ступеня, обтяжена локалізованим хронічним катаральним гінгівітом.</w:t>
      </w:r>
    </w:p>
    <w:p w14:paraId="45C34A54"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p>
    <w:p w14:paraId="70076589"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lastRenderedPageBreak/>
        <w:t xml:space="preserve">Порушення виявлено в 7 (50%) дітей із підгрупи 1, 4 (50%) із підгрупи 2, 3 (42,9%) із підгрупи 3 та 5 (45,5%) дітей із підгрупи 4. </w:t>
      </w:r>
    </w:p>
    <w:p w14:paraId="66CF1D9F"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виявило, що вкорочення зубних рядів нижньої щелепи (фронтальна ділянка) зафіксоване в 17 (42,5% ДІ: 29,3% – 56,7%) дітей ОГ, та в однієї дитини (7,7% ДІ: 1,9% – 24,7%) ГП. Подовження було виявлене в 4 (10,0% ДІ: 4,2% – 20,4%) дітей ОГ. У дітей ГП це порушення не виявлене. Дослідження КДМ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-оральному напрямку виявило, що вкорочення зубних рядів верхньої щелепи (фронтальна ділянка) зафіксоване у 8 (20,0% ДІ: 10,8% – 32,8%) дітей ОГ, подовження мали 17 дітей (42,5% ДІ: 29,3% – 56,7%) ОГ та 1 дитина (7,7% ДІ: 1,9% – 24,7%) ГП.</w:t>
      </w:r>
    </w:p>
    <w:p w14:paraId="32B0497C"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Укорочення зубних рядів нижньої та верхньої щелеп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-оральному напрямку в боковій ділянці було виявлене в 1 дитини (7,1%) підгрупи 1 та 2 дітей (25,0%) підгрупи 2. Подовження зубних рядів нижньої щелепи було в 6 дітей (15,0%) ОГ та 1 (7,7%) дитини ГП. Подовження зубних рядів верхньої щелепи було в 4 (10,0%) дітей ОГ та 1 (7,7%) дитини ГП.</w:t>
      </w:r>
    </w:p>
    <w:p w14:paraId="2FFFE307"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При оцінюванні стану зубних рядів по вертикалі встановлено, що порушення були виявлені у 25 дітей (62,5% ДІ: 48,3% – 75,1%) ОГ та 3 дітей (23,1% ДІ: 9,1% – 45,4%) ГП.</w:t>
      </w:r>
    </w:p>
    <w:p w14:paraId="06B55A3D"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Діти ОГ у 15 (37,5%) випадках мали </w:t>
      </w:r>
      <w:proofErr w:type="spellStart"/>
      <w:r w:rsidRPr="00520861">
        <w:rPr>
          <w:rFonts w:eastAsia="Calibri"/>
          <w:sz w:val="28"/>
          <w:szCs w:val="28"/>
          <w:lang w:eastAsia="en-US"/>
        </w:rPr>
        <w:t>де</w:t>
      </w:r>
      <w:r w:rsidR="004554F6" w:rsidRPr="00520861">
        <w:rPr>
          <w:rFonts w:eastAsia="Calibri"/>
          <w:sz w:val="28"/>
          <w:szCs w:val="28"/>
          <w:lang w:eastAsia="en-US"/>
        </w:rPr>
        <w:t>нто</w:t>
      </w:r>
      <w:proofErr w:type="spellEnd"/>
      <w:r w:rsidR="004554F6" w:rsidRPr="00520861">
        <w:rPr>
          <w:rFonts w:eastAsia="Calibri"/>
          <w:sz w:val="28"/>
          <w:szCs w:val="28"/>
          <w:lang w:eastAsia="en-US"/>
        </w:rPr>
        <w:t>-альвеолярне подовження фрон</w:t>
      </w:r>
      <w:r w:rsidRPr="00520861">
        <w:rPr>
          <w:rFonts w:eastAsia="Calibri"/>
          <w:sz w:val="28"/>
          <w:szCs w:val="28"/>
          <w:lang w:eastAsia="en-US"/>
        </w:rPr>
        <w:t xml:space="preserve">тальної ділянки нижньої щелепи та в 9 (22,5%) – верхньої щелепи. </w:t>
      </w: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-альвеолярне подовження фронтальної ділянки верхньої щелепи було зафіксоване у 2 (15,4%) дітей ГП. </w:t>
      </w:r>
      <w:proofErr w:type="spellStart"/>
      <w:r w:rsidRPr="00520861">
        <w:rPr>
          <w:rFonts w:eastAsia="Calibri"/>
          <w:sz w:val="28"/>
          <w:szCs w:val="28"/>
          <w:lang w:eastAsia="en-US"/>
        </w:rPr>
        <w:t>Денто</w:t>
      </w:r>
      <w:proofErr w:type="spellEnd"/>
      <w:r w:rsidRPr="00520861">
        <w:rPr>
          <w:rFonts w:eastAsia="Calibri"/>
          <w:sz w:val="28"/>
          <w:szCs w:val="28"/>
          <w:lang w:eastAsia="en-US"/>
        </w:rPr>
        <w:t>-альвеолярне вкорочення фронтальної ділянки верхньої щелепи мали 12 (30%) дітей ОГ та одна дитина (7,7%) ГП.</w:t>
      </w:r>
    </w:p>
    <w:p w14:paraId="76538FB4"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напрямку виявило, що симетричне звуження (бічна ділянка) мали 16 (40,0%) дітей ОГ та 1 дитина (7,7%) ГП. Зубні ряди в бічній ділянці верхньої щелепи в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-піднебінному напрямку були звуженими в 4 (10,0%), розширеними в 5 (12,5%) дітей ОГ, у ГП цих порушень діти не мали.</w:t>
      </w:r>
    </w:p>
    <w:p w14:paraId="7EBCD968"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напрямку (фронтальна ділянка) виявило, що зміщення середньої лінії зубного ряду відносно вуздечки язика мали </w:t>
      </w:r>
      <w:r w:rsidRPr="00520861">
        <w:rPr>
          <w:rFonts w:eastAsia="Calibri"/>
          <w:sz w:val="28"/>
          <w:szCs w:val="28"/>
          <w:lang w:eastAsia="en-US"/>
        </w:rPr>
        <w:lastRenderedPageBreak/>
        <w:t>10 дітей (25%) ОГ та одна дитина (7,7%) ГП. Середня лінія верхнього зубного ряду співпадає із серединним піднебінним швом у всіх учасників ОГ і ГП.</w:t>
      </w:r>
    </w:p>
    <w:p w14:paraId="2DED7613"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В учасників ОГ аномалії форми окремих зубів представлені </w:t>
      </w:r>
      <w:proofErr w:type="spellStart"/>
      <w:r w:rsidRPr="00520861">
        <w:rPr>
          <w:rFonts w:eastAsia="Calibri"/>
          <w:sz w:val="28"/>
          <w:szCs w:val="28"/>
          <w:lang w:eastAsia="en-US"/>
        </w:rPr>
        <w:t>гіпопластично</w:t>
      </w:r>
      <w:proofErr w:type="spellEnd"/>
      <w:r w:rsidRPr="00520861">
        <w:rPr>
          <w:rFonts w:eastAsia="Calibri"/>
          <w:sz w:val="28"/>
          <w:szCs w:val="28"/>
          <w:lang w:eastAsia="en-US"/>
        </w:rPr>
        <w:t xml:space="preserve"> зміненими зубами, які мали 7 дітей (27,5% ДІ: 16,6% – 41,2%) та 3 дитини (23,1% ДІ: 9,1% – 45,4%) у ГП. Серед аномалій розміру зубів фіксувалася індивідуальна </w:t>
      </w:r>
      <w:proofErr w:type="spellStart"/>
      <w:r w:rsidRPr="00520861">
        <w:rPr>
          <w:rFonts w:eastAsia="Calibri"/>
          <w:sz w:val="28"/>
          <w:szCs w:val="28"/>
          <w:lang w:eastAsia="en-US"/>
        </w:rPr>
        <w:t>мікродонтія</w:t>
      </w:r>
      <w:proofErr w:type="spellEnd"/>
      <w:r w:rsidRPr="00520861">
        <w:rPr>
          <w:rFonts w:eastAsia="Calibri"/>
          <w:sz w:val="28"/>
          <w:szCs w:val="28"/>
          <w:lang w:eastAsia="en-US"/>
        </w:rPr>
        <w:t>, яку мали 9 дітей (22,5% ДІ: 12,7% – 35,6%) ОГ.</w:t>
      </w:r>
    </w:p>
    <w:p w14:paraId="09D78428" w14:textId="77777777" w:rsidR="002E3CE8" w:rsidRPr="00520861" w:rsidRDefault="002E3CE8" w:rsidP="00292D2E">
      <w:pPr>
        <w:widowControl w:val="0"/>
        <w:spacing w:line="360" w:lineRule="auto"/>
        <w:ind w:firstLine="708"/>
        <w:contextualSpacing/>
        <w:jc w:val="both"/>
        <w:rPr>
          <w:rFonts w:eastAsiaTheme="minorHAnsi"/>
          <w:sz w:val="28"/>
          <w:szCs w:val="28"/>
          <w:lang w:eastAsia="en-US"/>
        </w:rPr>
      </w:pPr>
      <w:r w:rsidRPr="00520861">
        <w:rPr>
          <w:rFonts w:eastAsiaTheme="minorHAnsi"/>
          <w:sz w:val="28"/>
          <w:szCs w:val="28"/>
          <w:lang w:eastAsia="en-US"/>
        </w:rPr>
        <w:t>Отже, стан СГС дітей ОГ у період тимчасового прикусу істотно відрізняється від такого в дітей ГП.</w:t>
      </w:r>
    </w:p>
    <w:p w14:paraId="2BF5B06C"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p>
    <w:p w14:paraId="0B7DFA6D" w14:textId="77777777" w:rsidR="002E3CE8" w:rsidRPr="00520861" w:rsidRDefault="002E3CE8" w:rsidP="00292D2E">
      <w:pPr>
        <w:widowControl w:val="0"/>
        <w:spacing w:line="360" w:lineRule="auto"/>
        <w:ind w:firstLine="709"/>
        <w:contextualSpacing/>
        <w:jc w:val="both"/>
        <w:rPr>
          <w:rFonts w:eastAsia="Calibri"/>
          <w:b/>
          <w:sz w:val="28"/>
          <w:szCs w:val="28"/>
          <w:lang w:eastAsia="en-US"/>
        </w:rPr>
      </w:pPr>
      <w:r w:rsidRPr="00520861">
        <w:rPr>
          <w:rFonts w:eastAsia="Calibri"/>
          <w:b/>
          <w:sz w:val="28"/>
          <w:szCs w:val="28"/>
          <w:lang w:eastAsia="en-US"/>
        </w:rPr>
        <w:t xml:space="preserve">5.5. Результати вивчення особливостей </w:t>
      </w:r>
      <w:proofErr w:type="spellStart"/>
      <w:r w:rsidRPr="00520861">
        <w:rPr>
          <w:rFonts w:eastAsia="Calibri"/>
          <w:b/>
          <w:sz w:val="28"/>
          <w:szCs w:val="28"/>
          <w:lang w:eastAsia="en-US"/>
        </w:rPr>
        <w:t>стоматогнатичної</w:t>
      </w:r>
      <w:proofErr w:type="spellEnd"/>
      <w:r w:rsidRPr="00520861">
        <w:rPr>
          <w:rFonts w:eastAsia="Calibri"/>
          <w:b/>
          <w:sz w:val="28"/>
          <w:szCs w:val="28"/>
          <w:lang w:eastAsia="en-US"/>
        </w:rPr>
        <w:t xml:space="preserve"> системи в </w:t>
      </w:r>
      <w:r w:rsidRPr="00520861">
        <w:rPr>
          <w:rFonts w:eastAsia="Calibri"/>
          <w:b/>
          <w:sz w:val="28"/>
          <w:szCs w:val="28"/>
          <w:lang w:eastAsia="en-US"/>
        </w:rPr>
        <w:br/>
        <w:t xml:space="preserve">період змінного прикусу (ВП-IV) у дітей, які народилися з </w:t>
      </w:r>
      <w:proofErr w:type="spellStart"/>
      <w:r w:rsidRPr="00520861">
        <w:rPr>
          <w:rFonts w:eastAsia="Calibri"/>
          <w:b/>
          <w:sz w:val="28"/>
          <w:szCs w:val="28"/>
          <w:lang w:eastAsia="en-US"/>
        </w:rPr>
        <w:t>макросомією</w:t>
      </w:r>
      <w:proofErr w:type="spellEnd"/>
    </w:p>
    <w:p w14:paraId="7AFCDD3E" w14:textId="77777777" w:rsidR="002E3CE8" w:rsidRPr="00520861" w:rsidRDefault="002E3CE8" w:rsidP="00292D2E">
      <w:pPr>
        <w:widowControl w:val="0"/>
        <w:spacing w:line="360" w:lineRule="auto"/>
        <w:ind w:left="709"/>
        <w:contextualSpacing/>
        <w:jc w:val="both"/>
        <w:rPr>
          <w:rFonts w:eastAsia="Calibri"/>
          <w:b/>
          <w:sz w:val="28"/>
          <w:szCs w:val="28"/>
          <w:lang w:eastAsia="en-US"/>
        </w:rPr>
      </w:pPr>
    </w:p>
    <w:p w14:paraId="51C095D3" w14:textId="77777777" w:rsidR="002E3CE8" w:rsidRPr="00520861" w:rsidRDefault="002E3CE8" w:rsidP="00292D2E">
      <w:pPr>
        <w:widowControl w:val="0"/>
        <w:spacing w:line="360" w:lineRule="auto"/>
        <w:ind w:firstLine="709"/>
        <w:jc w:val="both"/>
        <w:rPr>
          <w:rFonts w:eastAsia="Calibri"/>
          <w:sz w:val="28"/>
          <w:szCs w:val="28"/>
        </w:rPr>
      </w:pPr>
      <w:r w:rsidRPr="00520861">
        <w:rPr>
          <w:rFonts w:eastAsia="Calibri"/>
          <w:sz w:val="28"/>
          <w:szCs w:val="28"/>
        </w:rPr>
        <w:t xml:space="preserve">При проведенні </w:t>
      </w:r>
      <w:proofErr w:type="spellStart"/>
      <w:r w:rsidRPr="00520861">
        <w:rPr>
          <w:rFonts w:eastAsia="Calibri"/>
          <w:sz w:val="28"/>
          <w:szCs w:val="28"/>
        </w:rPr>
        <w:t>позаротового</w:t>
      </w:r>
      <w:proofErr w:type="spellEnd"/>
      <w:r w:rsidRPr="00520861">
        <w:rPr>
          <w:rFonts w:eastAsia="Calibri"/>
          <w:sz w:val="28"/>
          <w:szCs w:val="28"/>
        </w:rPr>
        <w:t xml:space="preserve"> обстеження виявилося, що в більшості дітей (25 дітей, або 89%) обличчя було непропорційним [320]. </w:t>
      </w:r>
    </w:p>
    <w:p w14:paraId="644094B2" w14:textId="77777777" w:rsidR="002E3CE8" w:rsidRPr="00520861" w:rsidRDefault="002E3CE8" w:rsidP="00292D2E">
      <w:pPr>
        <w:widowControl w:val="0"/>
        <w:spacing w:line="360" w:lineRule="auto"/>
        <w:ind w:firstLine="709"/>
        <w:jc w:val="both"/>
        <w:rPr>
          <w:rFonts w:eastAsia="Calibri"/>
          <w:b/>
          <w:sz w:val="28"/>
          <w:szCs w:val="28"/>
        </w:rPr>
      </w:pPr>
      <w:r w:rsidRPr="00520861">
        <w:rPr>
          <w:rFonts w:eastAsia="Calibri"/>
          <w:sz w:val="28"/>
          <w:szCs w:val="28"/>
        </w:rPr>
        <w:t>У 19 (68%) дітей ОГ було зафіксовано зменшення нижньої третини обличчя в поєднанні з глибокою підборідною складкою, а збільшення спостерігалося в 5 випадках (18%), у ГП зменшення нижньої третини обличчя було виявлено в 3 дітей (21%), а збільшення – в 1 дитини (7%).</w:t>
      </w:r>
    </w:p>
    <w:p w14:paraId="1C9550BA" w14:textId="77777777" w:rsidR="002E3CE8" w:rsidRPr="00520861" w:rsidRDefault="002E3CE8" w:rsidP="00292D2E">
      <w:pPr>
        <w:widowControl w:val="0"/>
        <w:spacing w:line="360" w:lineRule="auto"/>
        <w:ind w:firstLine="709"/>
        <w:jc w:val="both"/>
        <w:rPr>
          <w:rFonts w:eastAsia="Calibri"/>
          <w:sz w:val="28"/>
          <w:szCs w:val="28"/>
        </w:rPr>
      </w:pPr>
      <w:r w:rsidRPr="00520861">
        <w:rPr>
          <w:rFonts w:eastAsia="Calibri"/>
          <w:sz w:val="28"/>
          <w:szCs w:val="28"/>
        </w:rPr>
        <w:t xml:space="preserve">Випуклий профіль спостерігався в 19 (68%) дітей ОГ та в 3 (21%) дітей ГП, увігнутий профіль – у 5 (18%) дітей ОГ та в 1 (7%) дитини ГП. </w:t>
      </w:r>
    </w:p>
    <w:p w14:paraId="27469DCE" w14:textId="77777777" w:rsidR="002E3CE8" w:rsidRPr="00520861" w:rsidRDefault="002E3CE8" w:rsidP="00292D2E">
      <w:pPr>
        <w:widowControl w:val="0"/>
        <w:spacing w:line="360" w:lineRule="auto"/>
        <w:ind w:firstLine="709"/>
        <w:jc w:val="both"/>
        <w:rPr>
          <w:rFonts w:eastAsia="Calibri"/>
          <w:sz w:val="28"/>
          <w:szCs w:val="28"/>
        </w:rPr>
      </w:pPr>
      <w:r w:rsidRPr="00520861">
        <w:rPr>
          <w:rFonts w:eastAsia="Calibri"/>
          <w:sz w:val="28"/>
          <w:szCs w:val="28"/>
        </w:rPr>
        <w:t xml:space="preserve">Аналіз розрахунків індексу </w:t>
      </w:r>
      <w:proofErr w:type="spellStart"/>
      <w:r w:rsidRPr="00520861">
        <w:rPr>
          <w:rFonts w:eastAsia="Calibri"/>
          <w:sz w:val="28"/>
          <w:szCs w:val="28"/>
        </w:rPr>
        <w:t>Ізара</w:t>
      </w:r>
      <w:proofErr w:type="spellEnd"/>
      <w:r w:rsidRPr="00520861">
        <w:rPr>
          <w:rFonts w:eastAsia="Calibri"/>
          <w:sz w:val="28"/>
          <w:szCs w:val="28"/>
        </w:rPr>
        <w:t xml:space="preserve"> показав, що переважна кількість дітей – 15 (53,6% ДІ: 37,2% – 69,4%) – в ОГ мали вузьке обличчя, 9 дітей (32,1% ДІ: 18,6% – 48,7%) мали середнє обличчя, а 4 дитини (14,3% ДІ: 6,1% – 28,2%) мали широке </w:t>
      </w:r>
      <w:r w:rsidRPr="00520861">
        <w:rPr>
          <w:rFonts w:eastAsia="Calibri"/>
          <w:sz w:val="28"/>
          <w:szCs w:val="28"/>
        </w:rPr>
        <w:br/>
        <w:t xml:space="preserve">обличчя. </w:t>
      </w:r>
    </w:p>
    <w:p w14:paraId="5B209E15" w14:textId="77777777" w:rsidR="002E3CE8" w:rsidRPr="00520861" w:rsidRDefault="002E3CE8" w:rsidP="00292D2E">
      <w:pPr>
        <w:widowControl w:val="0"/>
        <w:spacing w:line="360" w:lineRule="auto"/>
        <w:ind w:firstLine="709"/>
        <w:jc w:val="both"/>
        <w:rPr>
          <w:rFonts w:eastAsia="Calibri"/>
          <w:sz w:val="28"/>
          <w:szCs w:val="28"/>
        </w:rPr>
      </w:pPr>
      <w:r w:rsidRPr="00520861">
        <w:rPr>
          <w:rFonts w:eastAsia="Calibri"/>
          <w:sz w:val="28"/>
          <w:szCs w:val="28"/>
        </w:rPr>
        <w:t xml:space="preserve">У підгрупі 1 дві дитини (25%) мали широке обличчя, 3 (37,5%) – середнє обличчя та три (37,5%) – вузьке обличчя. У підгрупи 2 дві дитини (29%) мали середнє обличчя, а 5 дітей (71%) мали вузьке обличчя. У підгрупі 3 троє (28%) дітей мали широке обличчя, 1 дитина (14%) мала середнє обличчя, а 4 дитини (57%) мали </w:t>
      </w:r>
      <w:r w:rsidRPr="00520861">
        <w:rPr>
          <w:rFonts w:eastAsia="Calibri"/>
          <w:sz w:val="28"/>
          <w:szCs w:val="28"/>
        </w:rPr>
        <w:br/>
        <w:t xml:space="preserve">вузьке обличчя. У підгрупі 4 по троє (50%) дітей мали середнє обличчя, та троє (50%) дітей мали вузьке обличчя. </w:t>
      </w:r>
    </w:p>
    <w:p w14:paraId="0D5D78F4" w14:textId="77777777" w:rsidR="002E3CE8" w:rsidRPr="00520861" w:rsidRDefault="002E3CE8" w:rsidP="00292D2E">
      <w:pPr>
        <w:widowControl w:val="0"/>
        <w:spacing w:line="360" w:lineRule="auto"/>
        <w:ind w:firstLine="709"/>
        <w:jc w:val="both"/>
        <w:rPr>
          <w:rFonts w:eastAsia="Calibri"/>
          <w:sz w:val="28"/>
          <w:szCs w:val="28"/>
        </w:rPr>
      </w:pPr>
      <w:r w:rsidRPr="00520861">
        <w:rPr>
          <w:rFonts w:eastAsia="Calibri"/>
          <w:sz w:val="28"/>
          <w:szCs w:val="28"/>
        </w:rPr>
        <w:lastRenderedPageBreak/>
        <w:t xml:space="preserve">Аналіз осереднених показників індексу </w:t>
      </w:r>
      <w:proofErr w:type="spellStart"/>
      <w:r w:rsidRPr="00520861">
        <w:rPr>
          <w:rFonts w:eastAsia="Calibri"/>
          <w:sz w:val="28"/>
          <w:szCs w:val="28"/>
        </w:rPr>
        <w:t>Ізара</w:t>
      </w:r>
      <w:proofErr w:type="spellEnd"/>
      <w:r w:rsidRPr="00520861">
        <w:rPr>
          <w:rFonts w:eastAsia="Calibri"/>
          <w:sz w:val="28"/>
          <w:szCs w:val="28"/>
        </w:rPr>
        <w:t xml:space="preserve"> показав, що в дітей із підгрупи 2 обличчя було значно вужче, ніж у дітей ГП (</w:t>
      </w:r>
      <w:r w:rsidRPr="00520861">
        <w:rPr>
          <w:rFonts w:eastAsia="Calibri"/>
          <w:i/>
          <w:sz w:val="28"/>
          <w:szCs w:val="28"/>
        </w:rPr>
        <w:t>p</w:t>
      </w:r>
      <w:r w:rsidRPr="00520861">
        <w:rPr>
          <w:rFonts w:eastAsia="Calibri"/>
          <w:sz w:val="28"/>
          <w:szCs w:val="28"/>
        </w:rPr>
        <w:t xml:space="preserve"> = 0,017).</w:t>
      </w:r>
    </w:p>
    <w:p w14:paraId="55F5DCA4" w14:textId="77777777" w:rsidR="002E3CE8" w:rsidRPr="00520861" w:rsidRDefault="002E3CE8" w:rsidP="00292D2E">
      <w:pPr>
        <w:widowControl w:val="0"/>
        <w:spacing w:line="360" w:lineRule="auto"/>
        <w:ind w:firstLine="709"/>
        <w:jc w:val="both"/>
        <w:rPr>
          <w:rFonts w:eastAsia="Calibri"/>
          <w:sz w:val="28"/>
          <w:szCs w:val="28"/>
        </w:rPr>
      </w:pPr>
      <w:r w:rsidRPr="00520861">
        <w:rPr>
          <w:rFonts w:eastAsia="Calibri"/>
          <w:sz w:val="28"/>
          <w:szCs w:val="28"/>
        </w:rPr>
        <w:t xml:space="preserve">Описуючи функціональні порушення, слід зазначити, що 5 (17,9% ДІ: 8,3% – 32,7%) дітей ОГ мали проблеми з вимовою звуків через </w:t>
      </w:r>
      <w:proofErr w:type="spellStart"/>
      <w:r w:rsidRPr="00520861">
        <w:rPr>
          <w:rFonts w:eastAsia="Calibri"/>
          <w:sz w:val="28"/>
          <w:szCs w:val="28"/>
        </w:rPr>
        <w:t>анкілоглосію</w:t>
      </w:r>
      <w:proofErr w:type="spellEnd"/>
      <w:r w:rsidRPr="00520861">
        <w:rPr>
          <w:rFonts w:eastAsia="Calibri"/>
          <w:sz w:val="28"/>
          <w:szCs w:val="28"/>
        </w:rPr>
        <w:t>. У дітей ГП проблеми з вимовою звуків не фіксувалися.</w:t>
      </w:r>
    </w:p>
    <w:p w14:paraId="541E5BAA" w14:textId="77777777" w:rsidR="002E3CE8" w:rsidRPr="00520861" w:rsidRDefault="002E3CE8" w:rsidP="00292D2E">
      <w:pPr>
        <w:widowControl w:val="0"/>
        <w:spacing w:line="360" w:lineRule="auto"/>
        <w:ind w:firstLine="709"/>
        <w:jc w:val="both"/>
        <w:rPr>
          <w:rFonts w:eastAsia="Calibri"/>
          <w:sz w:val="28"/>
          <w:szCs w:val="28"/>
          <w:shd w:val="clear" w:color="auto" w:fill="FFFFFF"/>
        </w:rPr>
      </w:pPr>
      <w:proofErr w:type="spellStart"/>
      <w:r w:rsidRPr="00520861">
        <w:rPr>
          <w:rFonts w:eastAsia="Calibri"/>
          <w:sz w:val="28"/>
          <w:szCs w:val="28"/>
          <w:shd w:val="clear" w:color="auto" w:fill="FFFFFF"/>
        </w:rPr>
        <w:t>Внутрішньоротове</w:t>
      </w:r>
      <w:proofErr w:type="spellEnd"/>
      <w:r w:rsidRPr="00520861">
        <w:rPr>
          <w:rFonts w:eastAsia="Calibri"/>
          <w:sz w:val="28"/>
          <w:szCs w:val="28"/>
          <w:shd w:val="clear" w:color="auto" w:fill="FFFFFF"/>
        </w:rPr>
        <w:t xml:space="preserve"> обстеження. Глибина присінку ПР у дітей ОГ у більшості випадків відповідала нормі й була зіставна з такою в дітей із ГП. Але в дітей </w:t>
      </w:r>
      <w:r w:rsidRPr="00520861">
        <w:rPr>
          <w:rFonts w:eastAsia="Calibri"/>
          <w:sz w:val="28"/>
          <w:szCs w:val="28"/>
          <w:shd w:val="clear" w:color="auto" w:fill="FFFFFF"/>
        </w:rPr>
        <w:br/>
      </w:r>
      <w:r w:rsidRPr="00520861">
        <w:rPr>
          <w:rFonts w:eastAsia="Calibri"/>
          <w:sz w:val="28"/>
          <w:szCs w:val="28"/>
        </w:rPr>
        <w:t>підгрупи 3</w:t>
      </w:r>
      <w:r w:rsidRPr="00520861">
        <w:rPr>
          <w:rFonts w:eastAsia="Calibri"/>
          <w:sz w:val="28"/>
          <w:szCs w:val="28"/>
          <w:shd w:val="clear" w:color="auto" w:fill="FFFFFF"/>
        </w:rPr>
        <w:t xml:space="preserve"> у цьому ВП осереднені значення глибини присінку були значно </w:t>
      </w:r>
      <w:r w:rsidRPr="00520861">
        <w:rPr>
          <w:rFonts w:eastAsia="Calibri"/>
          <w:sz w:val="28"/>
          <w:szCs w:val="28"/>
          <w:shd w:val="clear" w:color="auto" w:fill="FFFFFF"/>
        </w:rPr>
        <w:br/>
        <w:t>меншими, ніж у ГП (</w:t>
      </w:r>
      <w:r w:rsidRPr="00520861">
        <w:rPr>
          <w:rFonts w:eastAsia="Calibri"/>
          <w:i/>
          <w:sz w:val="28"/>
          <w:szCs w:val="28"/>
          <w:shd w:val="clear" w:color="auto" w:fill="FFFFFF"/>
        </w:rPr>
        <w:t>p</w:t>
      </w:r>
      <w:r w:rsidRPr="00520861">
        <w:rPr>
          <w:rFonts w:eastAsia="Calibri"/>
          <w:sz w:val="28"/>
          <w:szCs w:val="28"/>
          <w:shd w:val="clear" w:color="auto" w:fill="FFFFFF"/>
        </w:rPr>
        <w:t xml:space="preserve"> = 0,017).</w:t>
      </w:r>
    </w:p>
    <w:p w14:paraId="2BAF6BAA" w14:textId="77777777" w:rsidR="002E3CE8" w:rsidRPr="00520861" w:rsidRDefault="002E3CE8" w:rsidP="00292D2E">
      <w:pPr>
        <w:widowControl w:val="0"/>
        <w:spacing w:line="360" w:lineRule="auto"/>
        <w:ind w:firstLine="709"/>
        <w:jc w:val="both"/>
        <w:rPr>
          <w:rFonts w:eastAsia="Calibri"/>
          <w:sz w:val="28"/>
          <w:szCs w:val="28"/>
          <w:shd w:val="clear" w:color="auto" w:fill="FFFFFF"/>
        </w:rPr>
      </w:pPr>
      <w:proofErr w:type="spellStart"/>
      <w:r w:rsidRPr="00520861">
        <w:rPr>
          <w:rFonts w:eastAsia="Calibri"/>
          <w:sz w:val="28"/>
          <w:szCs w:val="28"/>
          <w:shd w:val="clear" w:color="auto" w:fill="FFFFFF"/>
        </w:rPr>
        <w:t>Аномалійне</w:t>
      </w:r>
      <w:proofErr w:type="spellEnd"/>
      <w:r w:rsidRPr="00520861">
        <w:rPr>
          <w:rFonts w:eastAsia="Calibri"/>
          <w:sz w:val="28"/>
          <w:szCs w:val="28"/>
          <w:shd w:val="clear" w:color="auto" w:fill="FFFFFF"/>
        </w:rPr>
        <w:t xml:space="preserve"> прикріплення вуздечки верхньої губи (рис. 5.15) виявлено у 12 дітей ОГ (41,4% ДІ: 26,4% – 57,7%), а саме: по 4 дитини у підгрупах 2, 3 та 4. У дітей підгрупи 1 така аномалія не виявлена. </w:t>
      </w:r>
      <w:proofErr w:type="spellStart"/>
      <w:r w:rsidRPr="00520861">
        <w:rPr>
          <w:rFonts w:eastAsia="Calibri"/>
          <w:sz w:val="28"/>
          <w:szCs w:val="28"/>
          <w:shd w:val="clear" w:color="auto" w:fill="FFFFFF"/>
        </w:rPr>
        <w:t>Аномалійне</w:t>
      </w:r>
      <w:proofErr w:type="spellEnd"/>
      <w:r w:rsidRPr="00520861">
        <w:rPr>
          <w:rFonts w:eastAsia="Calibri"/>
          <w:sz w:val="28"/>
          <w:szCs w:val="28"/>
          <w:shd w:val="clear" w:color="auto" w:fill="FFFFFF"/>
        </w:rPr>
        <w:t xml:space="preserve"> прикріплення вуздечки</w:t>
      </w:r>
      <w:r w:rsidR="004554F6" w:rsidRPr="00520861">
        <w:rPr>
          <w:rFonts w:eastAsia="Calibri"/>
          <w:sz w:val="28"/>
          <w:szCs w:val="28"/>
          <w:shd w:val="clear" w:color="auto" w:fill="FFFFFF"/>
        </w:rPr>
        <w:t xml:space="preserve"> </w:t>
      </w:r>
      <w:r w:rsidRPr="00520861">
        <w:rPr>
          <w:rFonts w:eastAsia="Calibri"/>
          <w:sz w:val="28"/>
          <w:szCs w:val="28"/>
          <w:shd w:val="clear" w:color="auto" w:fill="FFFFFF"/>
        </w:rPr>
        <w:t xml:space="preserve">верхньої губи спостерігалось також у 3 дітей (21,4% ДІ: 8,4% – 42,8%) ГП. </w:t>
      </w:r>
    </w:p>
    <w:p w14:paraId="03C2299C" w14:textId="77777777" w:rsidR="002E3CE8" w:rsidRPr="00520861" w:rsidRDefault="002E3CE8" w:rsidP="00292D2E">
      <w:pPr>
        <w:widowControl w:val="0"/>
        <w:spacing w:line="360" w:lineRule="auto"/>
        <w:ind w:firstLine="709"/>
        <w:jc w:val="both"/>
        <w:rPr>
          <w:rFonts w:eastAsia="Calibri"/>
          <w:sz w:val="28"/>
          <w:szCs w:val="28"/>
          <w:shd w:val="clear" w:color="auto" w:fill="FFFFFF"/>
        </w:rPr>
      </w:pPr>
      <w:r w:rsidRPr="00520861">
        <w:rPr>
          <w:rFonts w:eastAsia="Calibri"/>
          <w:sz w:val="28"/>
          <w:szCs w:val="28"/>
          <w:shd w:val="clear" w:color="auto" w:fill="FFFFFF"/>
        </w:rPr>
        <w:t xml:space="preserve">Великий процент аномалій вуздечки верхньої губи є причиною виникнення справжніх </w:t>
      </w:r>
      <w:proofErr w:type="spellStart"/>
      <w:r w:rsidRPr="00520861">
        <w:rPr>
          <w:rFonts w:eastAsia="Calibri"/>
          <w:sz w:val="28"/>
          <w:szCs w:val="28"/>
          <w:shd w:val="clear" w:color="auto" w:fill="FFFFFF"/>
        </w:rPr>
        <w:t>діастем</w:t>
      </w:r>
      <w:proofErr w:type="spellEnd"/>
      <w:r w:rsidRPr="00520861">
        <w:rPr>
          <w:rFonts w:eastAsia="Calibri"/>
          <w:sz w:val="28"/>
          <w:szCs w:val="28"/>
          <w:shd w:val="clear" w:color="auto" w:fill="FFFFFF"/>
        </w:rPr>
        <w:t xml:space="preserve"> верхнього зубного ряду, які спостерігалися в 9 дітей (32,1% ДІ: 18,6% – 48,7%) ОГ та у 2 дітей (14,3% ДІ: 4,7% – 33,9%) ГП. </w:t>
      </w:r>
      <w:proofErr w:type="spellStart"/>
      <w:r w:rsidRPr="00520861">
        <w:rPr>
          <w:rFonts w:eastAsia="Calibri"/>
          <w:sz w:val="28"/>
          <w:szCs w:val="28"/>
          <w:shd w:val="clear" w:color="auto" w:fill="FFFFFF"/>
        </w:rPr>
        <w:t>Анкілоглосія</w:t>
      </w:r>
      <w:proofErr w:type="spellEnd"/>
      <w:r w:rsidRPr="00520861">
        <w:rPr>
          <w:rFonts w:eastAsia="Calibri"/>
          <w:sz w:val="28"/>
          <w:szCs w:val="28"/>
          <w:shd w:val="clear" w:color="auto" w:fill="FFFFFF"/>
        </w:rPr>
        <w:t xml:space="preserve"> </w:t>
      </w:r>
      <w:r w:rsidRPr="00520861">
        <w:rPr>
          <w:rFonts w:eastAsia="Calibri"/>
          <w:sz w:val="28"/>
          <w:szCs w:val="28"/>
          <w:shd w:val="clear" w:color="auto" w:fill="FFFFFF"/>
        </w:rPr>
        <w:br/>
        <w:t xml:space="preserve">(рис. 5.16) виявлена в 11 дітей (39,3% ДІ: 24,5% – 55,9%) в ОГ та у 2 дітей (14,3% ДІ: 4,7% – 33,9%) у ГП. </w:t>
      </w:r>
    </w:p>
    <w:p w14:paraId="4AC2F8C6" w14:textId="77777777" w:rsidR="002E3CE8" w:rsidRPr="00520861" w:rsidRDefault="002E3CE8" w:rsidP="00292D2E">
      <w:pPr>
        <w:widowControl w:val="0"/>
        <w:spacing w:line="360" w:lineRule="auto"/>
        <w:ind w:firstLine="709"/>
        <w:jc w:val="both"/>
        <w:rPr>
          <w:rFonts w:eastAsia="Calibri"/>
          <w:sz w:val="28"/>
          <w:szCs w:val="28"/>
          <w:shd w:val="clear" w:color="auto" w:fill="FFFFFF"/>
        </w:rPr>
      </w:pPr>
      <w:r w:rsidRPr="00520861">
        <w:rPr>
          <w:rFonts w:eastAsia="Calibri"/>
          <w:sz w:val="28"/>
          <w:szCs w:val="28"/>
          <w:shd w:val="clear" w:color="auto" w:fill="FFFFFF"/>
        </w:rPr>
        <w:t xml:space="preserve">Зауважимо, що чотири (66,7% ДІ: 35,9% – 88,2%) із шести дітей у підгрупі 4 мали </w:t>
      </w:r>
      <w:proofErr w:type="spellStart"/>
      <w:r w:rsidRPr="00520861">
        <w:rPr>
          <w:rFonts w:eastAsia="Calibri"/>
          <w:sz w:val="28"/>
          <w:szCs w:val="28"/>
          <w:shd w:val="clear" w:color="auto" w:fill="FFFFFF"/>
        </w:rPr>
        <w:t>анкілоглосію</w:t>
      </w:r>
      <w:proofErr w:type="spellEnd"/>
      <w:r w:rsidRPr="00520861">
        <w:rPr>
          <w:rFonts w:eastAsia="Calibri"/>
          <w:sz w:val="28"/>
          <w:szCs w:val="28"/>
          <w:shd w:val="clear" w:color="auto" w:fill="FFFFFF"/>
        </w:rPr>
        <w:t>.</w:t>
      </w:r>
    </w:p>
    <w:p w14:paraId="34CE9920"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Осереднені показники, що свідчать про висоту піднебіння, є вищими в усіх дітей ОГ порівняно із ГП (табл. 5.8). Це твердження є вірогідним для дітей </w:t>
      </w:r>
      <w:r w:rsidRPr="00520861">
        <w:rPr>
          <w:rFonts w:eastAsia="Calibri"/>
          <w:sz w:val="28"/>
          <w:szCs w:val="28"/>
          <w:shd w:val="clear" w:color="auto" w:fill="FFFFFF"/>
        </w:rPr>
        <w:t>підгрупи 3,</w:t>
      </w:r>
      <w:r w:rsidRPr="00520861">
        <w:rPr>
          <w:rFonts w:eastAsia="Calibri"/>
          <w:sz w:val="28"/>
          <w:szCs w:val="28"/>
          <w:lang w:eastAsia="en-US"/>
        </w:rPr>
        <w:t xml:space="preserve"> а піднебінне склепіння в дітей цієї підгрупи класифікується як «високе».</w:t>
      </w:r>
    </w:p>
    <w:p w14:paraId="74D52841" w14:textId="77777777" w:rsidR="002E3CE8" w:rsidRPr="00520861" w:rsidRDefault="002E3CE8" w:rsidP="00292D2E">
      <w:pPr>
        <w:widowControl w:val="0"/>
        <w:spacing w:line="360" w:lineRule="auto"/>
        <w:ind w:firstLine="709"/>
        <w:contextualSpacing/>
        <w:jc w:val="both"/>
        <w:rPr>
          <w:rFonts w:eastAsia="Calibri"/>
          <w:spacing w:val="-2"/>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виявило, що змикання молярів, що відповідає 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мали 19 (67,9% ДІ: 51,3% </w:t>
      </w:r>
      <w:r w:rsidRPr="00520861">
        <w:rPr>
          <w:rFonts w:eastAsia="Calibri"/>
          <w:sz w:val="28"/>
          <w:szCs w:val="28"/>
          <w:shd w:val="clear" w:color="auto" w:fill="FFFFFF"/>
        </w:rPr>
        <w:t>–</w:t>
      </w:r>
      <w:r w:rsidRPr="00520861">
        <w:rPr>
          <w:rFonts w:eastAsia="Calibri"/>
          <w:sz w:val="28"/>
          <w:szCs w:val="28"/>
          <w:lang w:eastAsia="en-US"/>
        </w:rPr>
        <w:t xml:space="preserve"> 81,4%) дітей ОГ, а саме: 4 дитини (50%) із </w:t>
      </w:r>
      <w:r w:rsidRPr="00520861">
        <w:rPr>
          <w:rFonts w:eastAsia="Calibri"/>
          <w:sz w:val="28"/>
          <w:szCs w:val="28"/>
          <w:shd w:val="clear" w:color="auto" w:fill="FFFFFF"/>
        </w:rPr>
        <w:t>підгрупи 1</w:t>
      </w:r>
      <w:r w:rsidRPr="00520861">
        <w:rPr>
          <w:rFonts w:eastAsia="Calibri"/>
          <w:sz w:val="28"/>
          <w:szCs w:val="28"/>
          <w:lang w:eastAsia="en-US"/>
        </w:rPr>
        <w:t xml:space="preserve">, 4 (57%) – із </w:t>
      </w:r>
      <w:r w:rsidRPr="00520861">
        <w:rPr>
          <w:rFonts w:eastAsia="Calibri"/>
          <w:sz w:val="28"/>
          <w:szCs w:val="28"/>
          <w:shd w:val="clear" w:color="auto" w:fill="FFFFFF"/>
        </w:rPr>
        <w:t>підгрупи 2</w:t>
      </w:r>
      <w:r w:rsidRPr="00520861">
        <w:rPr>
          <w:rFonts w:eastAsia="Calibri"/>
          <w:sz w:val="28"/>
          <w:szCs w:val="28"/>
          <w:lang w:eastAsia="en-US"/>
        </w:rPr>
        <w:t xml:space="preserve">, 6 (86%) – із </w:t>
      </w:r>
      <w:r w:rsidRPr="00520861">
        <w:rPr>
          <w:rFonts w:eastAsia="Calibri"/>
          <w:sz w:val="28"/>
          <w:szCs w:val="28"/>
          <w:lang w:eastAsia="en-US"/>
        </w:rPr>
        <w:br/>
      </w:r>
      <w:r w:rsidRPr="00520861">
        <w:rPr>
          <w:rFonts w:eastAsia="Calibri"/>
          <w:sz w:val="28"/>
          <w:szCs w:val="28"/>
          <w:shd w:val="clear" w:color="auto" w:fill="FFFFFF"/>
        </w:rPr>
        <w:t>підгруп 3</w:t>
      </w:r>
      <w:r w:rsidRPr="00520861">
        <w:rPr>
          <w:rFonts w:eastAsia="Calibri"/>
          <w:sz w:val="28"/>
          <w:szCs w:val="28"/>
          <w:lang w:eastAsia="en-US"/>
        </w:rPr>
        <w:t xml:space="preserve"> та 5 (83%) дітей із </w:t>
      </w:r>
      <w:r w:rsidRPr="00520861">
        <w:rPr>
          <w:rFonts w:eastAsia="Calibri"/>
          <w:sz w:val="28"/>
          <w:szCs w:val="28"/>
          <w:shd w:val="clear" w:color="auto" w:fill="FFFFFF"/>
        </w:rPr>
        <w:t>підгрупи 4</w:t>
      </w:r>
      <w:r w:rsidRPr="00520861">
        <w:rPr>
          <w:rFonts w:eastAsia="Calibri"/>
          <w:sz w:val="28"/>
          <w:szCs w:val="28"/>
          <w:lang w:eastAsia="en-US"/>
        </w:rPr>
        <w:t xml:space="preserve">. У ГП таку клінічну ситуацію було зафіксовано в 3 дітей (21,4% ДІ: 8,4% </w:t>
      </w:r>
      <w:r w:rsidRPr="00520861">
        <w:rPr>
          <w:rFonts w:eastAsia="Calibri"/>
          <w:sz w:val="28"/>
          <w:szCs w:val="28"/>
          <w:shd w:val="clear" w:color="auto" w:fill="FFFFFF"/>
        </w:rPr>
        <w:t>–</w:t>
      </w:r>
      <w:r w:rsidRPr="00520861">
        <w:rPr>
          <w:rFonts w:eastAsia="Calibri"/>
          <w:sz w:val="28"/>
          <w:szCs w:val="28"/>
          <w:lang w:eastAsia="en-US"/>
        </w:rPr>
        <w:t xml:space="preserve"> 42,8%). </w:t>
      </w:r>
      <w:r w:rsidRPr="00520861">
        <w:rPr>
          <w:rFonts w:eastAsia="Calibri"/>
          <w:spacing w:val="-2"/>
          <w:sz w:val="28"/>
          <w:szCs w:val="28"/>
          <w:lang w:eastAsia="en-US"/>
        </w:rPr>
        <w:t xml:space="preserve">Змикання молярів, що відповідає ІІІ-му класу за </w:t>
      </w:r>
      <w:proofErr w:type="spellStart"/>
      <w:r w:rsidRPr="00520861">
        <w:rPr>
          <w:rFonts w:eastAsia="Calibri"/>
          <w:spacing w:val="-2"/>
          <w:sz w:val="28"/>
          <w:szCs w:val="28"/>
          <w:lang w:eastAsia="en-US"/>
        </w:rPr>
        <w:t>Енглем</w:t>
      </w:r>
      <w:proofErr w:type="spellEnd"/>
      <w:r w:rsidRPr="00520861">
        <w:rPr>
          <w:rFonts w:eastAsia="Calibri"/>
          <w:spacing w:val="-2"/>
          <w:sz w:val="28"/>
          <w:szCs w:val="28"/>
          <w:lang w:eastAsia="en-US"/>
        </w:rPr>
        <w:t>,</w:t>
      </w:r>
      <w:r w:rsidRPr="00520861">
        <w:rPr>
          <w:rFonts w:eastAsia="Calibri"/>
          <w:b/>
          <w:bCs/>
          <w:spacing w:val="-2"/>
          <w:sz w:val="28"/>
          <w:szCs w:val="28"/>
        </w:rPr>
        <w:t xml:space="preserve"> </w:t>
      </w:r>
      <w:r w:rsidRPr="00520861">
        <w:rPr>
          <w:rFonts w:eastAsia="Calibri"/>
          <w:spacing w:val="-2"/>
          <w:sz w:val="28"/>
          <w:szCs w:val="28"/>
          <w:lang w:eastAsia="en-US"/>
        </w:rPr>
        <w:t xml:space="preserve">мали 5 дітей (17,9% ДІ: 8,3% </w:t>
      </w:r>
      <w:r w:rsidRPr="00520861">
        <w:rPr>
          <w:rFonts w:eastAsia="Calibri"/>
          <w:spacing w:val="-2"/>
          <w:sz w:val="28"/>
          <w:szCs w:val="28"/>
          <w:shd w:val="clear" w:color="auto" w:fill="FFFFFF"/>
        </w:rPr>
        <w:t>–</w:t>
      </w:r>
      <w:r w:rsidRPr="00520861">
        <w:rPr>
          <w:rFonts w:eastAsia="Calibri"/>
          <w:spacing w:val="-2"/>
          <w:sz w:val="28"/>
          <w:szCs w:val="28"/>
          <w:lang w:eastAsia="en-US"/>
        </w:rPr>
        <w:t xml:space="preserve"> 32,7%) ОГ: 3 (38%) дитини із </w:t>
      </w:r>
      <w:r w:rsidRPr="00520861">
        <w:rPr>
          <w:rFonts w:eastAsia="Calibri"/>
          <w:spacing w:val="-2"/>
          <w:sz w:val="28"/>
          <w:szCs w:val="28"/>
          <w:shd w:val="clear" w:color="auto" w:fill="FFFFFF"/>
        </w:rPr>
        <w:t>підгрупи 1 та</w:t>
      </w:r>
      <w:r w:rsidRPr="00520861">
        <w:rPr>
          <w:rFonts w:eastAsia="Calibri"/>
          <w:spacing w:val="-2"/>
          <w:sz w:val="28"/>
          <w:szCs w:val="28"/>
          <w:lang w:eastAsia="en-US"/>
        </w:rPr>
        <w:t xml:space="preserve"> 2 (29%) дитини із </w:t>
      </w:r>
      <w:r w:rsidRPr="00520861">
        <w:rPr>
          <w:rFonts w:eastAsia="Calibri"/>
          <w:spacing w:val="-2"/>
          <w:sz w:val="28"/>
          <w:szCs w:val="28"/>
          <w:shd w:val="clear" w:color="auto" w:fill="FFFFFF"/>
        </w:rPr>
        <w:t>підгрупи 2, а</w:t>
      </w:r>
      <w:r w:rsidRPr="00520861">
        <w:rPr>
          <w:rFonts w:eastAsia="Calibri"/>
          <w:spacing w:val="-2"/>
          <w:sz w:val="28"/>
          <w:szCs w:val="28"/>
          <w:lang w:eastAsia="en-US"/>
        </w:rPr>
        <w:t xml:space="preserve"> також одна дитина </w:t>
      </w:r>
      <w:r w:rsidRPr="00520861">
        <w:rPr>
          <w:rFonts w:eastAsia="Calibri"/>
          <w:spacing w:val="-2"/>
          <w:sz w:val="28"/>
          <w:szCs w:val="28"/>
        </w:rPr>
        <w:t>(7,1% ДІ: 1,8% – 23,2%) ГП.</w:t>
      </w:r>
    </w:p>
    <w:p w14:paraId="30763854" w14:textId="77777777" w:rsidR="002E3CE8" w:rsidRPr="00520861" w:rsidRDefault="002E3CE8" w:rsidP="00292D2E">
      <w:pPr>
        <w:widowControl w:val="0"/>
        <w:ind w:right="-2"/>
        <w:jc w:val="center"/>
        <w:rPr>
          <w:rFonts w:eastAsia="Calibri"/>
          <w:sz w:val="28"/>
          <w:szCs w:val="28"/>
        </w:rPr>
      </w:pPr>
      <w:r w:rsidRPr="00520861">
        <w:rPr>
          <w:rFonts w:eastAsia="Calibri"/>
          <w:noProof/>
          <w:sz w:val="28"/>
          <w:szCs w:val="28"/>
          <w:lang w:val="ru-RU"/>
        </w:rPr>
        <w:lastRenderedPageBreak/>
        <w:drawing>
          <wp:inline distT="0" distB="0" distL="0" distR="0" wp14:anchorId="6704E86A" wp14:editId="42551548">
            <wp:extent cx="2106000" cy="1584000"/>
            <wp:effectExtent l="0" t="0" r="8890" b="0"/>
            <wp:docPr id="8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106000" cy="1584000"/>
                    </a:xfrm>
                    <a:prstGeom prst="rect">
                      <a:avLst/>
                    </a:prstGeom>
                    <a:noFill/>
                    <a:ln>
                      <a:noFill/>
                    </a:ln>
                  </pic:spPr>
                </pic:pic>
              </a:graphicData>
            </a:graphic>
          </wp:inline>
        </w:drawing>
      </w:r>
      <w:r w:rsidRPr="00520861">
        <w:rPr>
          <w:rFonts w:eastAsia="Calibri"/>
          <w:noProof/>
          <w:sz w:val="28"/>
          <w:szCs w:val="28"/>
          <w:lang w:val="ru-RU"/>
        </w:rPr>
        <w:drawing>
          <wp:inline distT="0" distB="0" distL="0" distR="0" wp14:anchorId="551E3EC6" wp14:editId="045B270C">
            <wp:extent cx="2131200" cy="1584000"/>
            <wp:effectExtent l="0" t="0" r="2540" b="0"/>
            <wp:docPr id="8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131200" cy="1584000"/>
                    </a:xfrm>
                    <a:prstGeom prst="rect">
                      <a:avLst/>
                    </a:prstGeom>
                    <a:noFill/>
                    <a:ln>
                      <a:noFill/>
                    </a:ln>
                  </pic:spPr>
                </pic:pic>
              </a:graphicData>
            </a:graphic>
          </wp:inline>
        </w:drawing>
      </w:r>
    </w:p>
    <w:tbl>
      <w:tblPr>
        <w:tblStyle w:val="8"/>
        <w:tblW w:w="0" w:type="auto"/>
        <w:tblInd w:w="18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3261"/>
      </w:tblGrid>
      <w:tr w:rsidR="002E3CE8" w:rsidRPr="00520861" w14:paraId="22E8E614" w14:textId="77777777" w:rsidTr="00292D2E">
        <w:tc>
          <w:tcPr>
            <w:tcW w:w="3402" w:type="dxa"/>
          </w:tcPr>
          <w:p w14:paraId="425BCBF4" w14:textId="77777777" w:rsidR="002E3CE8" w:rsidRPr="00520861" w:rsidRDefault="002E3CE8" w:rsidP="00292D2E">
            <w:pPr>
              <w:widowControl w:val="0"/>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3261" w:type="dxa"/>
          </w:tcPr>
          <w:p w14:paraId="56AC1686"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r>
    </w:tbl>
    <w:p w14:paraId="5BCF471C" w14:textId="77777777" w:rsidR="002E3CE8" w:rsidRPr="00520861" w:rsidRDefault="002E3CE8" w:rsidP="00292D2E">
      <w:pPr>
        <w:widowControl w:val="0"/>
        <w:spacing w:line="360" w:lineRule="auto"/>
        <w:ind w:right="-1" w:firstLine="708"/>
        <w:contextualSpacing/>
        <w:jc w:val="center"/>
        <w:rPr>
          <w:sz w:val="28"/>
          <w:szCs w:val="28"/>
        </w:rPr>
      </w:pPr>
      <w:r w:rsidRPr="00520861">
        <w:rPr>
          <w:sz w:val="28"/>
          <w:szCs w:val="28"/>
        </w:rPr>
        <w:t xml:space="preserve">Рис. 5.15. </w:t>
      </w:r>
      <w:r w:rsidRPr="00520861">
        <w:rPr>
          <w:bCs/>
          <w:iCs/>
          <w:sz w:val="28"/>
          <w:szCs w:val="28"/>
        </w:rPr>
        <w:t xml:space="preserve">Фото фронтальної ділянки ротової порожнини: а) дитини С. (дівчинка) у віці 9 років, </w:t>
      </w:r>
      <w:r w:rsidRPr="00520861">
        <w:rPr>
          <w:sz w:val="28"/>
          <w:szCs w:val="28"/>
        </w:rPr>
        <w:t>амб. карта № 173642,</w:t>
      </w:r>
      <w:r w:rsidRPr="00520861">
        <w:rPr>
          <w:bCs/>
          <w:iCs/>
          <w:sz w:val="28"/>
          <w:szCs w:val="28"/>
        </w:rPr>
        <w:t xml:space="preserve"> підгрупа 4</w:t>
      </w:r>
      <w:r w:rsidRPr="00520861">
        <w:rPr>
          <w:bCs/>
          <w:i/>
          <w:iCs/>
          <w:sz w:val="28"/>
          <w:szCs w:val="28"/>
        </w:rPr>
        <w:t>.</w:t>
      </w:r>
      <w:r w:rsidRPr="00520861">
        <w:rPr>
          <w:bCs/>
          <w:iCs/>
          <w:sz w:val="28"/>
          <w:szCs w:val="28"/>
        </w:rPr>
        <w:t xml:space="preserve"> Спостерігається IІІ вид вуздечки верхньої губи (за класифікацією </w:t>
      </w:r>
      <w:proofErr w:type="spellStart"/>
      <w:r w:rsidRPr="00520861">
        <w:rPr>
          <w:bCs/>
          <w:iCs/>
          <w:sz w:val="28"/>
          <w:szCs w:val="28"/>
        </w:rPr>
        <w:t>Хорошилкіної</w:t>
      </w:r>
      <w:proofErr w:type="spellEnd"/>
      <w:r w:rsidRPr="00520861">
        <w:rPr>
          <w:bCs/>
          <w:iCs/>
          <w:sz w:val="28"/>
          <w:szCs w:val="28"/>
        </w:rPr>
        <w:t xml:space="preserve"> Ф.Я.).</w:t>
      </w:r>
      <w:r w:rsidRPr="00520861">
        <w:rPr>
          <w:sz w:val="28"/>
          <w:szCs w:val="28"/>
        </w:rPr>
        <w:t xml:space="preserve"> </w:t>
      </w:r>
      <w:r w:rsidRPr="00520861">
        <w:rPr>
          <w:bCs/>
          <w:iCs/>
          <w:sz w:val="28"/>
          <w:szCs w:val="28"/>
        </w:rPr>
        <w:t xml:space="preserve">Аномалія ІІ-го класу 1-го підкласу за </w:t>
      </w:r>
      <w:proofErr w:type="spellStart"/>
      <w:r w:rsidRPr="00520861">
        <w:rPr>
          <w:bCs/>
          <w:iCs/>
          <w:sz w:val="28"/>
          <w:szCs w:val="28"/>
        </w:rPr>
        <w:t>Енглем</w:t>
      </w:r>
      <w:proofErr w:type="spellEnd"/>
      <w:r w:rsidRPr="00520861">
        <w:rPr>
          <w:bCs/>
          <w:iCs/>
          <w:sz w:val="28"/>
          <w:szCs w:val="28"/>
        </w:rPr>
        <w:t>, обтяжена г</w:t>
      </w:r>
      <w:r w:rsidRPr="00520861">
        <w:rPr>
          <w:sz w:val="28"/>
          <w:szCs w:val="28"/>
        </w:rPr>
        <w:t xml:space="preserve">либоким прикусом, звуженням та подовженням </w:t>
      </w:r>
      <w:r w:rsidRPr="00520861">
        <w:rPr>
          <w:sz w:val="28"/>
          <w:szCs w:val="28"/>
        </w:rPr>
        <w:br/>
        <w:t xml:space="preserve">верхнього зубного ряду, справжньою </w:t>
      </w:r>
      <w:proofErr w:type="spellStart"/>
      <w:r w:rsidRPr="00520861">
        <w:rPr>
          <w:sz w:val="28"/>
          <w:szCs w:val="28"/>
        </w:rPr>
        <w:t>діастемою</w:t>
      </w:r>
      <w:proofErr w:type="spellEnd"/>
      <w:r w:rsidRPr="00520861">
        <w:rPr>
          <w:sz w:val="28"/>
          <w:szCs w:val="28"/>
        </w:rPr>
        <w:t xml:space="preserve"> і </w:t>
      </w:r>
      <w:proofErr w:type="spellStart"/>
      <w:r w:rsidRPr="00520861">
        <w:rPr>
          <w:sz w:val="28"/>
          <w:szCs w:val="28"/>
        </w:rPr>
        <w:t>тремами</w:t>
      </w:r>
      <w:proofErr w:type="spellEnd"/>
      <w:r w:rsidRPr="00520861">
        <w:rPr>
          <w:sz w:val="28"/>
          <w:szCs w:val="28"/>
        </w:rPr>
        <w:t xml:space="preserve"> верхнього зубного ряду</w:t>
      </w:r>
    </w:p>
    <w:p w14:paraId="39E7DFB4" w14:textId="77777777" w:rsidR="002E3CE8" w:rsidRPr="00520861" w:rsidRDefault="002E3CE8" w:rsidP="00292D2E">
      <w:pPr>
        <w:widowControl w:val="0"/>
        <w:spacing w:line="360" w:lineRule="auto"/>
        <w:ind w:right="48"/>
        <w:contextualSpacing/>
        <w:jc w:val="center"/>
        <w:rPr>
          <w:sz w:val="28"/>
          <w:szCs w:val="28"/>
        </w:rPr>
      </w:pPr>
      <w:r w:rsidRPr="00520861">
        <w:rPr>
          <w:bCs/>
          <w:iCs/>
          <w:sz w:val="28"/>
          <w:szCs w:val="28"/>
        </w:rPr>
        <w:t xml:space="preserve">б) дитини М. (хлопчик) у віці 7 років, </w:t>
      </w:r>
      <w:r w:rsidRPr="00520861">
        <w:rPr>
          <w:sz w:val="28"/>
          <w:szCs w:val="28"/>
        </w:rPr>
        <w:t>амб. карта №161950</w:t>
      </w:r>
      <w:r w:rsidRPr="00520861">
        <w:rPr>
          <w:bCs/>
          <w:iCs/>
          <w:sz w:val="28"/>
          <w:szCs w:val="28"/>
        </w:rPr>
        <w:t>, підгрупа 2,</w:t>
      </w:r>
      <w:r w:rsidRPr="00520861">
        <w:rPr>
          <w:sz w:val="28"/>
          <w:szCs w:val="28"/>
        </w:rPr>
        <w:t xml:space="preserve"> </w:t>
      </w:r>
      <w:r w:rsidRPr="00520861">
        <w:rPr>
          <w:bCs/>
          <w:iCs/>
          <w:sz w:val="28"/>
          <w:szCs w:val="28"/>
        </w:rPr>
        <w:t xml:space="preserve">ІІІ вид вуздечки верхньої губи (за класифікацією </w:t>
      </w:r>
      <w:proofErr w:type="spellStart"/>
      <w:r w:rsidRPr="00520861">
        <w:rPr>
          <w:bCs/>
          <w:iCs/>
          <w:sz w:val="28"/>
          <w:szCs w:val="28"/>
        </w:rPr>
        <w:t>Хорошилкіної</w:t>
      </w:r>
      <w:proofErr w:type="spellEnd"/>
      <w:r w:rsidRPr="00520861">
        <w:rPr>
          <w:bCs/>
          <w:iCs/>
          <w:sz w:val="28"/>
          <w:szCs w:val="28"/>
        </w:rPr>
        <w:t xml:space="preserve"> Ф.Я.)</w:t>
      </w:r>
      <w:r w:rsidRPr="00520861">
        <w:rPr>
          <w:sz w:val="28"/>
          <w:szCs w:val="28"/>
        </w:rPr>
        <w:t xml:space="preserve">, справжня </w:t>
      </w:r>
      <w:r w:rsidRPr="00520861">
        <w:rPr>
          <w:sz w:val="28"/>
          <w:szCs w:val="28"/>
        </w:rPr>
        <w:br/>
      </w:r>
      <w:proofErr w:type="spellStart"/>
      <w:r w:rsidRPr="00520861">
        <w:rPr>
          <w:sz w:val="28"/>
          <w:szCs w:val="28"/>
        </w:rPr>
        <w:t>діастема</w:t>
      </w:r>
      <w:proofErr w:type="spellEnd"/>
      <w:r w:rsidRPr="00520861">
        <w:rPr>
          <w:sz w:val="28"/>
          <w:szCs w:val="28"/>
        </w:rPr>
        <w:t xml:space="preserve">, </w:t>
      </w:r>
      <w:proofErr w:type="spellStart"/>
      <w:r w:rsidRPr="00520861">
        <w:rPr>
          <w:sz w:val="28"/>
          <w:szCs w:val="28"/>
        </w:rPr>
        <w:t>треми</w:t>
      </w:r>
      <w:proofErr w:type="spellEnd"/>
      <w:r w:rsidRPr="00520861">
        <w:rPr>
          <w:sz w:val="28"/>
          <w:szCs w:val="28"/>
        </w:rPr>
        <w:t xml:space="preserve"> верхнього зубного ряду.</w:t>
      </w:r>
    </w:p>
    <w:p w14:paraId="0F7DD0C3" w14:textId="77777777" w:rsidR="002E3CE8" w:rsidRPr="00520861" w:rsidRDefault="002E3CE8" w:rsidP="00292D2E">
      <w:pPr>
        <w:widowControl w:val="0"/>
        <w:spacing w:line="276" w:lineRule="auto"/>
        <w:ind w:right="48"/>
        <w:contextualSpacing/>
        <w:jc w:val="center"/>
        <w:rPr>
          <w:bCs/>
          <w:iCs/>
          <w:sz w:val="28"/>
          <w:szCs w:val="28"/>
        </w:rPr>
      </w:pPr>
    </w:p>
    <w:p w14:paraId="68BE908B" w14:textId="77777777" w:rsidR="002E3CE8" w:rsidRPr="00520861" w:rsidRDefault="002E3CE8" w:rsidP="00292D2E">
      <w:pPr>
        <w:widowControl w:val="0"/>
        <w:jc w:val="center"/>
        <w:rPr>
          <w:rFonts w:eastAsia="Calibri"/>
          <w:sz w:val="28"/>
          <w:szCs w:val="28"/>
          <w:shd w:val="clear" w:color="auto" w:fill="FFFFFF"/>
        </w:rPr>
      </w:pPr>
      <w:r w:rsidRPr="00520861">
        <w:rPr>
          <w:rFonts w:eastAsia="Calibri"/>
          <w:noProof/>
          <w:sz w:val="28"/>
          <w:szCs w:val="28"/>
          <w:shd w:val="clear" w:color="auto" w:fill="FFFFFF"/>
          <w:lang w:val="ru-RU"/>
        </w:rPr>
        <w:drawing>
          <wp:inline distT="0" distB="0" distL="0" distR="0" wp14:anchorId="37F5A72A" wp14:editId="661ACBC0">
            <wp:extent cx="2109600" cy="1584000"/>
            <wp:effectExtent l="0" t="0" r="5080" b="0"/>
            <wp:docPr id="8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109600" cy="1584000"/>
                    </a:xfrm>
                    <a:prstGeom prst="rect">
                      <a:avLst/>
                    </a:prstGeom>
                    <a:noFill/>
                    <a:ln>
                      <a:noFill/>
                    </a:ln>
                  </pic:spPr>
                </pic:pic>
              </a:graphicData>
            </a:graphic>
          </wp:inline>
        </w:drawing>
      </w:r>
      <w:r w:rsidRPr="00520861">
        <w:rPr>
          <w:rFonts w:eastAsia="Calibri"/>
          <w:noProof/>
          <w:sz w:val="28"/>
          <w:szCs w:val="28"/>
          <w:lang w:val="ru-RU"/>
        </w:rPr>
        <w:drawing>
          <wp:inline distT="0" distB="0" distL="0" distR="0" wp14:anchorId="2D076842" wp14:editId="103767D9">
            <wp:extent cx="2134800" cy="1584000"/>
            <wp:effectExtent l="0" t="0" r="0" b="0"/>
            <wp:docPr id="8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134800" cy="1584000"/>
                    </a:xfrm>
                    <a:prstGeom prst="rect">
                      <a:avLst/>
                    </a:prstGeom>
                    <a:noFill/>
                    <a:ln>
                      <a:noFill/>
                    </a:ln>
                  </pic:spPr>
                </pic:pic>
              </a:graphicData>
            </a:graphic>
          </wp:inline>
        </w:drawing>
      </w:r>
      <w:r w:rsidRPr="00520861">
        <w:rPr>
          <w:rFonts w:eastAsia="Calibri"/>
          <w:noProof/>
          <w:sz w:val="28"/>
          <w:szCs w:val="28"/>
          <w:shd w:val="clear" w:color="auto" w:fill="FFFFFF"/>
          <w:lang w:val="ru-RU"/>
        </w:rPr>
        <w:drawing>
          <wp:inline distT="0" distB="0" distL="0" distR="0" wp14:anchorId="3897A854" wp14:editId="2D2176B5">
            <wp:extent cx="2152015" cy="1584960"/>
            <wp:effectExtent l="0" t="0" r="63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152015" cy="1584960"/>
                    </a:xfrm>
                    <a:prstGeom prst="rect">
                      <a:avLst/>
                    </a:prstGeom>
                    <a:noFill/>
                  </pic:spPr>
                </pic:pic>
              </a:graphicData>
            </a:graphic>
          </wp:inline>
        </w:drawing>
      </w:r>
    </w:p>
    <w:tbl>
      <w:tblPr>
        <w:tblStyle w:val="8"/>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3260"/>
        <w:gridCol w:w="3403"/>
      </w:tblGrid>
      <w:tr w:rsidR="002E3CE8" w:rsidRPr="00520861" w14:paraId="10226954" w14:textId="77777777" w:rsidTr="00292D2E">
        <w:tc>
          <w:tcPr>
            <w:tcW w:w="3260" w:type="dxa"/>
          </w:tcPr>
          <w:p w14:paraId="71BC1E2D" w14:textId="77777777" w:rsidR="002E3CE8" w:rsidRPr="00520861" w:rsidRDefault="002E3CE8" w:rsidP="00292D2E">
            <w:pPr>
              <w:widowControl w:val="0"/>
              <w:ind w:firstLine="248"/>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3260" w:type="dxa"/>
          </w:tcPr>
          <w:p w14:paraId="58DEA3F3"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c>
          <w:tcPr>
            <w:tcW w:w="3403" w:type="dxa"/>
          </w:tcPr>
          <w:p w14:paraId="70448800"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в</w:t>
            </w:r>
            <w:r w:rsidR="0003541B" w:rsidRPr="00520861">
              <w:rPr>
                <w:rFonts w:eastAsia="Calibri" w:cs="Times New Roman"/>
                <w:sz w:val="28"/>
                <w:szCs w:val="28"/>
              </w:rPr>
              <w:t>)</w:t>
            </w:r>
          </w:p>
        </w:tc>
      </w:tr>
    </w:tbl>
    <w:p w14:paraId="132F82C7" w14:textId="77777777" w:rsidR="002E3CE8" w:rsidRPr="00520861" w:rsidRDefault="002E3CE8" w:rsidP="00292D2E">
      <w:pPr>
        <w:widowControl w:val="0"/>
        <w:spacing w:line="360" w:lineRule="auto"/>
        <w:ind w:right="48" w:firstLine="708"/>
        <w:contextualSpacing/>
        <w:jc w:val="center"/>
        <w:rPr>
          <w:bCs/>
          <w:iCs/>
          <w:sz w:val="28"/>
          <w:szCs w:val="28"/>
        </w:rPr>
      </w:pPr>
      <w:r w:rsidRPr="00520861">
        <w:rPr>
          <w:sz w:val="28"/>
          <w:szCs w:val="28"/>
        </w:rPr>
        <w:t xml:space="preserve">Рис. 5.16. </w:t>
      </w:r>
      <w:r w:rsidRPr="00520861">
        <w:rPr>
          <w:bCs/>
          <w:iCs/>
          <w:sz w:val="28"/>
          <w:szCs w:val="28"/>
        </w:rPr>
        <w:t xml:space="preserve">Фото фронтальної ділянки ротової порожнини: а) дитини Б. (хлопчик) у віці 8 років, </w:t>
      </w:r>
      <w:r w:rsidRPr="00520861">
        <w:rPr>
          <w:sz w:val="28"/>
          <w:szCs w:val="28"/>
        </w:rPr>
        <w:t xml:space="preserve">амб. карта № 180603, підгрупа 4. </w:t>
      </w:r>
      <w:r w:rsidRPr="00520861">
        <w:rPr>
          <w:bCs/>
          <w:iCs/>
          <w:sz w:val="28"/>
          <w:szCs w:val="28"/>
        </w:rPr>
        <w:t xml:space="preserve">Вуздечка язика IV вид </w:t>
      </w:r>
      <w:r w:rsidRPr="00520861">
        <w:rPr>
          <w:bCs/>
          <w:iCs/>
          <w:sz w:val="28"/>
          <w:szCs w:val="28"/>
        </w:rPr>
        <w:br/>
        <w:t xml:space="preserve">(за класифікацією </w:t>
      </w:r>
      <w:proofErr w:type="spellStart"/>
      <w:r w:rsidRPr="00520861">
        <w:rPr>
          <w:bCs/>
          <w:iCs/>
          <w:sz w:val="28"/>
          <w:szCs w:val="28"/>
        </w:rPr>
        <w:t>Хорошилкіної</w:t>
      </w:r>
      <w:proofErr w:type="spellEnd"/>
      <w:r w:rsidRPr="00520861">
        <w:rPr>
          <w:bCs/>
          <w:iCs/>
          <w:sz w:val="28"/>
          <w:szCs w:val="28"/>
        </w:rPr>
        <w:t xml:space="preserve"> Ф.Я.),</w:t>
      </w:r>
      <w:r w:rsidRPr="00520861">
        <w:rPr>
          <w:sz w:val="28"/>
          <w:szCs w:val="28"/>
        </w:rPr>
        <w:t xml:space="preserve"> звуження та вкорочення нижнього зубного ряду, </w:t>
      </w:r>
      <w:r w:rsidRPr="00520861">
        <w:rPr>
          <w:spacing w:val="-6"/>
          <w:sz w:val="28"/>
          <w:szCs w:val="28"/>
        </w:rPr>
        <w:t>скупчене положення</w:t>
      </w:r>
      <w:r w:rsidRPr="00520861">
        <w:rPr>
          <w:sz w:val="28"/>
          <w:szCs w:val="28"/>
        </w:rPr>
        <w:t xml:space="preserve"> </w:t>
      </w:r>
      <w:r w:rsidRPr="00520861">
        <w:rPr>
          <w:spacing w:val="-6"/>
          <w:sz w:val="28"/>
          <w:szCs w:val="28"/>
        </w:rPr>
        <w:t xml:space="preserve">31, 32, 41 та 42 </w:t>
      </w:r>
      <w:r w:rsidRPr="00520861">
        <w:rPr>
          <w:sz w:val="28"/>
          <w:szCs w:val="28"/>
        </w:rPr>
        <w:t>зубів;</w:t>
      </w:r>
    </w:p>
    <w:p w14:paraId="20B8B5CE" w14:textId="77777777" w:rsidR="002E3CE8" w:rsidRPr="00520861" w:rsidRDefault="002E3CE8" w:rsidP="00292D2E">
      <w:pPr>
        <w:widowControl w:val="0"/>
        <w:spacing w:line="360" w:lineRule="auto"/>
        <w:ind w:right="48" w:firstLine="708"/>
        <w:contextualSpacing/>
        <w:jc w:val="center"/>
        <w:rPr>
          <w:sz w:val="28"/>
          <w:szCs w:val="28"/>
        </w:rPr>
      </w:pPr>
      <w:r w:rsidRPr="00520861">
        <w:rPr>
          <w:sz w:val="28"/>
          <w:szCs w:val="28"/>
        </w:rPr>
        <w:t>б)</w:t>
      </w:r>
      <w:r w:rsidRPr="00520861">
        <w:rPr>
          <w:bCs/>
          <w:iCs/>
          <w:sz w:val="28"/>
          <w:szCs w:val="28"/>
        </w:rPr>
        <w:t xml:space="preserve"> дитини Х. (дівчинка) у віці 10 років, </w:t>
      </w:r>
      <w:r w:rsidRPr="00520861">
        <w:rPr>
          <w:sz w:val="28"/>
          <w:szCs w:val="28"/>
        </w:rPr>
        <w:t>амб. карта № 173313, підгрупа 4</w:t>
      </w:r>
      <w:r w:rsidRPr="00520861">
        <w:rPr>
          <w:bCs/>
          <w:i/>
          <w:iCs/>
          <w:sz w:val="28"/>
          <w:szCs w:val="28"/>
        </w:rPr>
        <w:t>.</w:t>
      </w:r>
      <w:r w:rsidRPr="00520861">
        <w:rPr>
          <w:bCs/>
          <w:iCs/>
          <w:sz w:val="28"/>
          <w:szCs w:val="28"/>
        </w:rPr>
        <w:t xml:space="preserve"> Вуздечка язика IІ вид (за класифікацією </w:t>
      </w:r>
      <w:proofErr w:type="spellStart"/>
      <w:r w:rsidRPr="00520861">
        <w:rPr>
          <w:bCs/>
          <w:iCs/>
          <w:sz w:val="28"/>
          <w:szCs w:val="28"/>
        </w:rPr>
        <w:t>Хорошилкіної</w:t>
      </w:r>
      <w:proofErr w:type="spellEnd"/>
      <w:r w:rsidRPr="00520861">
        <w:rPr>
          <w:bCs/>
          <w:iCs/>
          <w:sz w:val="28"/>
          <w:szCs w:val="28"/>
        </w:rPr>
        <w:t xml:space="preserve"> Ф.Я.), </w:t>
      </w:r>
      <w:r w:rsidRPr="00520861">
        <w:rPr>
          <w:sz w:val="28"/>
          <w:szCs w:val="28"/>
        </w:rPr>
        <w:t>каріозні ураження</w:t>
      </w:r>
      <w:r w:rsidRPr="00520861">
        <w:rPr>
          <w:sz w:val="28"/>
          <w:szCs w:val="28"/>
        </w:rPr>
        <w:br/>
        <w:t xml:space="preserve"> тимчасових і постійних зубів;</w:t>
      </w:r>
    </w:p>
    <w:p w14:paraId="69236B70" w14:textId="77777777" w:rsidR="002E3CE8" w:rsidRPr="00520861" w:rsidRDefault="002E3CE8" w:rsidP="00292D2E">
      <w:pPr>
        <w:widowControl w:val="0"/>
        <w:spacing w:line="360" w:lineRule="auto"/>
        <w:ind w:right="48" w:firstLine="708"/>
        <w:contextualSpacing/>
        <w:jc w:val="center"/>
        <w:rPr>
          <w:spacing w:val="-6"/>
          <w:sz w:val="28"/>
          <w:szCs w:val="28"/>
        </w:rPr>
      </w:pPr>
      <w:r w:rsidRPr="00520861">
        <w:rPr>
          <w:sz w:val="28"/>
          <w:szCs w:val="28"/>
        </w:rPr>
        <w:t xml:space="preserve">в) </w:t>
      </w:r>
      <w:r w:rsidRPr="00520861">
        <w:rPr>
          <w:bCs/>
          <w:iCs/>
          <w:spacing w:val="-6"/>
          <w:sz w:val="28"/>
          <w:szCs w:val="28"/>
        </w:rPr>
        <w:t xml:space="preserve">дитини С. (хлопчик) 11 років, </w:t>
      </w:r>
      <w:r w:rsidRPr="00520861">
        <w:rPr>
          <w:spacing w:val="-6"/>
          <w:sz w:val="28"/>
          <w:szCs w:val="28"/>
        </w:rPr>
        <w:t>амб. карта № 173372, підгрупа 3</w:t>
      </w:r>
      <w:r w:rsidRPr="00520861">
        <w:rPr>
          <w:bCs/>
          <w:i/>
          <w:iCs/>
          <w:spacing w:val="-6"/>
          <w:sz w:val="28"/>
          <w:szCs w:val="28"/>
        </w:rPr>
        <w:t>.</w:t>
      </w:r>
      <w:r w:rsidRPr="00520861">
        <w:rPr>
          <w:spacing w:val="-6"/>
          <w:sz w:val="28"/>
          <w:szCs w:val="28"/>
        </w:rPr>
        <w:t xml:space="preserve"> </w:t>
      </w:r>
      <w:r w:rsidRPr="00520861">
        <w:rPr>
          <w:bCs/>
          <w:iCs/>
          <w:spacing w:val="-6"/>
          <w:sz w:val="28"/>
          <w:szCs w:val="28"/>
        </w:rPr>
        <w:t xml:space="preserve">Вуздечка язика I вид (за класифікацією </w:t>
      </w:r>
      <w:proofErr w:type="spellStart"/>
      <w:r w:rsidRPr="00520861">
        <w:rPr>
          <w:bCs/>
          <w:iCs/>
          <w:spacing w:val="-6"/>
          <w:sz w:val="28"/>
          <w:szCs w:val="28"/>
        </w:rPr>
        <w:t>Хорошилкіної</w:t>
      </w:r>
      <w:proofErr w:type="spellEnd"/>
      <w:r w:rsidRPr="00520861">
        <w:rPr>
          <w:bCs/>
          <w:iCs/>
          <w:spacing w:val="-6"/>
          <w:sz w:val="28"/>
          <w:szCs w:val="28"/>
        </w:rPr>
        <w:t xml:space="preserve"> Ф.Я.),</w:t>
      </w:r>
      <w:r w:rsidRPr="00520861">
        <w:rPr>
          <w:spacing w:val="-6"/>
          <w:sz w:val="28"/>
          <w:szCs w:val="28"/>
        </w:rPr>
        <w:t xml:space="preserve"> каріозні ураження тимчасових і постійних зубів, звуження нижнього зубного ряду, скупчене положення 31, 32, 41 та 42 зубів.</w:t>
      </w:r>
    </w:p>
    <w:p w14:paraId="0EDD8C18" w14:textId="77777777" w:rsidR="002E3CE8" w:rsidRPr="00520861" w:rsidRDefault="002E3CE8"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lastRenderedPageBreak/>
        <w:t xml:space="preserve">Таблиця 5.8 </w:t>
      </w:r>
    </w:p>
    <w:p w14:paraId="6454377A" w14:textId="77777777" w:rsidR="002E3CE8" w:rsidRPr="00520861" w:rsidRDefault="002E3CE8" w:rsidP="00292D2E">
      <w:pPr>
        <w:widowControl w:val="0"/>
        <w:spacing w:line="360" w:lineRule="auto"/>
        <w:contextualSpacing/>
        <w:jc w:val="center"/>
        <w:rPr>
          <w:rFonts w:eastAsia="Calibri"/>
          <w:b/>
          <w:sz w:val="28"/>
          <w:szCs w:val="28"/>
          <w:lang w:eastAsia="en-US"/>
        </w:rPr>
      </w:pPr>
      <w:r w:rsidRPr="00520861">
        <w:rPr>
          <w:rFonts w:eastAsia="Calibri"/>
          <w:b/>
          <w:sz w:val="28"/>
          <w:szCs w:val="28"/>
          <w:lang w:eastAsia="en-US"/>
        </w:rPr>
        <w:t>Абсолютні (оцінка математичного очікування) та відносні показники вимірів піднебінного склепіння учасників дослідження віком 6 – 11 років</w:t>
      </w:r>
    </w:p>
    <w:tbl>
      <w:tblPr>
        <w:tblW w:w="9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54"/>
        <w:gridCol w:w="810"/>
        <w:gridCol w:w="1590"/>
        <w:gridCol w:w="1591"/>
        <w:gridCol w:w="1591"/>
        <w:gridCol w:w="1591"/>
      </w:tblGrid>
      <w:tr w:rsidR="002E3CE8" w:rsidRPr="00520861" w14:paraId="78C2738F" w14:textId="77777777" w:rsidTr="00292D2E">
        <w:trPr>
          <w:trHeight w:val="356"/>
          <w:jc w:val="center"/>
        </w:trPr>
        <w:tc>
          <w:tcPr>
            <w:tcW w:w="2654" w:type="dxa"/>
          </w:tcPr>
          <w:p w14:paraId="0DE13D75"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rPr>
              <w:t>Групи та підгрупи</w:t>
            </w:r>
          </w:p>
        </w:tc>
        <w:tc>
          <w:tcPr>
            <w:tcW w:w="810" w:type="dxa"/>
          </w:tcPr>
          <w:p w14:paraId="14FF67D4"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ГП</w:t>
            </w:r>
          </w:p>
        </w:tc>
        <w:tc>
          <w:tcPr>
            <w:tcW w:w="1590" w:type="dxa"/>
          </w:tcPr>
          <w:p w14:paraId="253EFDF1"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1</w:t>
            </w:r>
          </w:p>
        </w:tc>
        <w:tc>
          <w:tcPr>
            <w:tcW w:w="1591" w:type="dxa"/>
          </w:tcPr>
          <w:p w14:paraId="7CA0DCCA"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2</w:t>
            </w:r>
          </w:p>
        </w:tc>
        <w:tc>
          <w:tcPr>
            <w:tcW w:w="1591" w:type="dxa"/>
          </w:tcPr>
          <w:p w14:paraId="42433435"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3</w:t>
            </w:r>
          </w:p>
        </w:tc>
        <w:tc>
          <w:tcPr>
            <w:tcW w:w="1591" w:type="dxa"/>
          </w:tcPr>
          <w:p w14:paraId="2736B4CA"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4</w:t>
            </w:r>
          </w:p>
        </w:tc>
      </w:tr>
      <w:tr w:rsidR="002E3CE8" w:rsidRPr="00520861" w14:paraId="1C2587AF" w14:textId="77777777" w:rsidTr="00292D2E">
        <w:trPr>
          <w:jc w:val="center"/>
        </w:trPr>
        <w:tc>
          <w:tcPr>
            <w:tcW w:w="2654" w:type="dxa"/>
          </w:tcPr>
          <w:p w14:paraId="56D82E68" w14:textId="77777777" w:rsidR="002E3CE8" w:rsidRPr="00520861" w:rsidRDefault="002E3CE8" w:rsidP="00292D2E">
            <w:pPr>
              <w:widowControl w:val="0"/>
              <w:spacing w:line="360" w:lineRule="auto"/>
              <w:ind w:hanging="156"/>
              <w:jc w:val="center"/>
              <w:rPr>
                <w:rFonts w:eastAsia="Calibri"/>
                <w:sz w:val="28"/>
                <w:szCs w:val="28"/>
                <w:u w:val="single"/>
              </w:rPr>
            </w:pPr>
            <w:r w:rsidRPr="00520861">
              <w:rPr>
                <w:sz w:val="28"/>
                <w:szCs w:val="28"/>
              </w:rPr>
              <w:t>Висота піднебінного склепіння (h), мм</w:t>
            </w:r>
          </w:p>
        </w:tc>
        <w:tc>
          <w:tcPr>
            <w:tcW w:w="810" w:type="dxa"/>
          </w:tcPr>
          <w:p w14:paraId="3E79368E"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rPr>
              <w:t>10,3</w:t>
            </w:r>
          </w:p>
        </w:tc>
        <w:tc>
          <w:tcPr>
            <w:tcW w:w="1590" w:type="dxa"/>
          </w:tcPr>
          <w:p w14:paraId="4B2EB935" w14:textId="77777777" w:rsidR="002E3CE8" w:rsidRPr="00520861" w:rsidRDefault="002E3CE8" w:rsidP="00292D2E">
            <w:pPr>
              <w:widowControl w:val="0"/>
              <w:spacing w:line="360" w:lineRule="auto"/>
              <w:ind w:hanging="156"/>
              <w:jc w:val="center"/>
              <w:rPr>
                <w:rFonts w:eastAsia="Calibri"/>
                <w:sz w:val="28"/>
                <w:szCs w:val="28"/>
                <w:lang w:eastAsia="en-US"/>
              </w:rPr>
            </w:pPr>
            <w:r w:rsidRPr="00520861">
              <w:rPr>
                <w:rFonts w:eastAsia="Calibri"/>
                <w:sz w:val="28"/>
                <w:szCs w:val="28"/>
                <w:lang w:eastAsia="en-US"/>
              </w:rPr>
              <w:t>11,1</w:t>
            </w:r>
          </w:p>
        </w:tc>
        <w:tc>
          <w:tcPr>
            <w:tcW w:w="1591" w:type="dxa"/>
          </w:tcPr>
          <w:p w14:paraId="5A83F501"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rPr>
              <w:t>12,0</w:t>
            </w:r>
          </w:p>
        </w:tc>
        <w:tc>
          <w:tcPr>
            <w:tcW w:w="1591" w:type="dxa"/>
          </w:tcPr>
          <w:p w14:paraId="135AFD89" w14:textId="77777777" w:rsidR="002E3CE8" w:rsidRPr="00520861" w:rsidRDefault="002E3CE8" w:rsidP="00292D2E">
            <w:pPr>
              <w:widowControl w:val="0"/>
              <w:spacing w:line="360" w:lineRule="auto"/>
              <w:ind w:hanging="156"/>
              <w:jc w:val="center"/>
              <w:rPr>
                <w:rFonts w:eastAsia="Calibri"/>
                <w:sz w:val="28"/>
                <w:szCs w:val="28"/>
                <w:lang w:eastAsia="en-US"/>
              </w:rPr>
            </w:pPr>
            <w:r w:rsidRPr="00520861">
              <w:rPr>
                <w:rFonts w:eastAsia="Calibri"/>
                <w:sz w:val="28"/>
                <w:szCs w:val="28"/>
                <w:lang w:eastAsia="en-US"/>
              </w:rPr>
              <w:t>12,5</w:t>
            </w:r>
            <w:r w:rsidRPr="00520861">
              <w:rPr>
                <w:rFonts w:eastAsia="Calibri"/>
                <w:sz w:val="28"/>
                <w:szCs w:val="28"/>
              </w:rPr>
              <w:t>*</w:t>
            </w:r>
          </w:p>
          <w:p w14:paraId="24BD1FE7" w14:textId="77777777" w:rsidR="002E3CE8" w:rsidRPr="00520861" w:rsidRDefault="002E3CE8" w:rsidP="00292D2E">
            <w:pPr>
              <w:widowControl w:val="0"/>
              <w:spacing w:line="360" w:lineRule="auto"/>
              <w:ind w:hanging="156"/>
              <w:jc w:val="center"/>
              <w:rPr>
                <w:rFonts w:eastAsia="Calibri"/>
                <w:sz w:val="28"/>
                <w:szCs w:val="28"/>
                <w:lang w:eastAsia="en-US"/>
              </w:rPr>
            </w:pPr>
            <w:r w:rsidRPr="00520861">
              <w:rPr>
                <w:rFonts w:eastAsia="Calibri"/>
                <w:sz w:val="28"/>
                <w:szCs w:val="28"/>
              </w:rPr>
              <w:t>(</w:t>
            </w:r>
            <w:r w:rsidRPr="00520861">
              <w:rPr>
                <w:rFonts w:eastAsia="Calibri"/>
                <w:i/>
                <w:sz w:val="28"/>
                <w:szCs w:val="28"/>
              </w:rPr>
              <w:t>p</w:t>
            </w:r>
            <w:r w:rsidRPr="00520861">
              <w:rPr>
                <w:rFonts w:eastAsia="Calibri"/>
                <w:sz w:val="28"/>
                <w:szCs w:val="28"/>
              </w:rPr>
              <w:t>=0,017)</w:t>
            </w:r>
          </w:p>
        </w:tc>
        <w:tc>
          <w:tcPr>
            <w:tcW w:w="1591" w:type="dxa"/>
          </w:tcPr>
          <w:p w14:paraId="067D9E10" w14:textId="77777777" w:rsidR="002E3CE8" w:rsidRPr="00520861" w:rsidRDefault="002E3CE8" w:rsidP="00292D2E">
            <w:pPr>
              <w:widowControl w:val="0"/>
              <w:spacing w:line="360" w:lineRule="auto"/>
              <w:ind w:left="38" w:hanging="156"/>
              <w:jc w:val="center"/>
              <w:rPr>
                <w:rFonts w:eastAsia="Calibri"/>
                <w:sz w:val="28"/>
                <w:szCs w:val="28"/>
                <w:lang w:eastAsia="en-US"/>
              </w:rPr>
            </w:pPr>
            <w:r w:rsidRPr="00520861">
              <w:rPr>
                <w:rFonts w:eastAsia="Calibri"/>
                <w:sz w:val="28"/>
                <w:szCs w:val="28"/>
                <w:lang w:eastAsia="en-US"/>
              </w:rPr>
              <w:t>12,0</w:t>
            </w:r>
          </w:p>
        </w:tc>
      </w:tr>
      <w:tr w:rsidR="002E3CE8" w:rsidRPr="00520861" w14:paraId="62D5C7C0" w14:textId="77777777" w:rsidTr="00292D2E">
        <w:trPr>
          <w:jc w:val="center"/>
        </w:trPr>
        <w:tc>
          <w:tcPr>
            <w:tcW w:w="2654" w:type="dxa"/>
          </w:tcPr>
          <w:p w14:paraId="66D2FD11" w14:textId="77777777" w:rsidR="002E3CE8" w:rsidRPr="00520861" w:rsidRDefault="002E3CE8" w:rsidP="00292D2E">
            <w:pPr>
              <w:widowControl w:val="0"/>
              <w:spacing w:line="360" w:lineRule="auto"/>
              <w:ind w:hanging="156"/>
              <w:jc w:val="center"/>
              <w:rPr>
                <w:rFonts w:eastAsia="Calibri"/>
                <w:sz w:val="28"/>
                <w:szCs w:val="28"/>
                <w:u w:val="single"/>
              </w:rPr>
            </w:pPr>
            <w:r w:rsidRPr="00520861">
              <w:rPr>
                <w:sz w:val="28"/>
                <w:szCs w:val="28"/>
              </w:rPr>
              <w:t>Ширина піднебінного склепіння (l), мм</w:t>
            </w:r>
          </w:p>
        </w:tc>
        <w:tc>
          <w:tcPr>
            <w:tcW w:w="810" w:type="dxa"/>
          </w:tcPr>
          <w:p w14:paraId="474373BB"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rPr>
              <w:t>31,9</w:t>
            </w:r>
          </w:p>
        </w:tc>
        <w:tc>
          <w:tcPr>
            <w:tcW w:w="1590" w:type="dxa"/>
          </w:tcPr>
          <w:p w14:paraId="01BB9EC2"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lang w:eastAsia="en-US"/>
              </w:rPr>
              <w:t>33,9</w:t>
            </w:r>
          </w:p>
        </w:tc>
        <w:tc>
          <w:tcPr>
            <w:tcW w:w="1591" w:type="dxa"/>
          </w:tcPr>
          <w:p w14:paraId="15C63971"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rPr>
              <w:t>33,4</w:t>
            </w:r>
          </w:p>
        </w:tc>
        <w:tc>
          <w:tcPr>
            <w:tcW w:w="1591" w:type="dxa"/>
          </w:tcPr>
          <w:p w14:paraId="70966A09"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lang w:eastAsia="en-US"/>
              </w:rPr>
              <w:t>31,7</w:t>
            </w:r>
          </w:p>
        </w:tc>
        <w:tc>
          <w:tcPr>
            <w:tcW w:w="1591" w:type="dxa"/>
          </w:tcPr>
          <w:p w14:paraId="556EBEC6" w14:textId="77777777" w:rsidR="002E3CE8" w:rsidRPr="00520861" w:rsidRDefault="002E3CE8" w:rsidP="00292D2E">
            <w:pPr>
              <w:widowControl w:val="0"/>
              <w:spacing w:line="360" w:lineRule="auto"/>
              <w:ind w:left="75" w:hanging="156"/>
              <w:jc w:val="center"/>
              <w:rPr>
                <w:rFonts w:eastAsia="Calibri"/>
                <w:sz w:val="28"/>
                <w:szCs w:val="28"/>
                <w:lang w:eastAsia="en-US"/>
              </w:rPr>
            </w:pPr>
            <w:r w:rsidRPr="00520861">
              <w:rPr>
                <w:rFonts w:eastAsia="Calibri"/>
                <w:sz w:val="28"/>
                <w:szCs w:val="28"/>
                <w:lang w:eastAsia="en-US"/>
              </w:rPr>
              <w:t>35,75</w:t>
            </w:r>
            <w:r w:rsidRPr="00520861">
              <w:rPr>
                <w:rFonts w:eastAsia="Calibri"/>
                <w:sz w:val="28"/>
                <w:szCs w:val="28"/>
              </w:rPr>
              <w:t>*</w:t>
            </w:r>
          </w:p>
          <w:p w14:paraId="1499942A"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=0,036)</w:t>
            </w:r>
          </w:p>
        </w:tc>
      </w:tr>
      <w:tr w:rsidR="002E3CE8" w:rsidRPr="00520861" w14:paraId="68384074" w14:textId="77777777" w:rsidTr="00292D2E">
        <w:trPr>
          <w:jc w:val="center"/>
        </w:trPr>
        <w:tc>
          <w:tcPr>
            <w:tcW w:w="2654" w:type="dxa"/>
          </w:tcPr>
          <w:p w14:paraId="3E5D0F4E"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 xml:space="preserve">h/l </w:t>
            </w:r>
            <w:proofErr w:type="spellStart"/>
            <w:r w:rsidRPr="00520861">
              <w:rPr>
                <w:sz w:val="28"/>
                <w:szCs w:val="28"/>
              </w:rPr>
              <w:t>ум.од</w:t>
            </w:r>
            <w:proofErr w:type="spellEnd"/>
            <w:r w:rsidRPr="00520861">
              <w:rPr>
                <w:sz w:val="28"/>
                <w:szCs w:val="28"/>
              </w:rPr>
              <w:t>.</w:t>
            </w:r>
          </w:p>
        </w:tc>
        <w:tc>
          <w:tcPr>
            <w:tcW w:w="810" w:type="dxa"/>
          </w:tcPr>
          <w:p w14:paraId="1320F529"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rPr>
              <w:t>0,32</w:t>
            </w:r>
          </w:p>
        </w:tc>
        <w:tc>
          <w:tcPr>
            <w:tcW w:w="1590" w:type="dxa"/>
          </w:tcPr>
          <w:p w14:paraId="7269E6DB"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lang w:eastAsia="en-US"/>
              </w:rPr>
              <w:t>0,33</w:t>
            </w:r>
          </w:p>
        </w:tc>
        <w:tc>
          <w:tcPr>
            <w:tcW w:w="1591" w:type="dxa"/>
          </w:tcPr>
          <w:p w14:paraId="63CA4BE7"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rPr>
              <w:t>0,38</w:t>
            </w:r>
          </w:p>
        </w:tc>
        <w:tc>
          <w:tcPr>
            <w:tcW w:w="1591" w:type="dxa"/>
          </w:tcPr>
          <w:p w14:paraId="62CECFEE" w14:textId="77777777" w:rsidR="002E3CE8" w:rsidRPr="00520861" w:rsidRDefault="002E3CE8" w:rsidP="00292D2E">
            <w:pPr>
              <w:widowControl w:val="0"/>
              <w:spacing w:line="360" w:lineRule="auto"/>
              <w:ind w:right="-141" w:hanging="156"/>
              <w:jc w:val="center"/>
              <w:rPr>
                <w:rFonts w:eastAsia="Calibri"/>
                <w:sz w:val="28"/>
                <w:szCs w:val="28"/>
                <w:lang w:eastAsia="en-US"/>
              </w:rPr>
            </w:pPr>
            <w:r w:rsidRPr="00520861">
              <w:rPr>
                <w:rFonts w:eastAsia="Calibri"/>
                <w:sz w:val="28"/>
                <w:szCs w:val="28"/>
                <w:lang w:eastAsia="en-US"/>
              </w:rPr>
              <w:t>0,40</w:t>
            </w:r>
            <w:r w:rsidRPr="00520861">
              <w:rPr>
                <w:rFonts w:eastAsia="Calibri"/>
                <w:sz w:val="28"/>
                <w:szCs w:val="28"/>
              </w:rPr>
              <w:t>*</w:t>
            </w:r>
            <w:r w:rsidRPr="00520861">
              <w:rPr>
                <w:rFonts w:eastAsia="Calibr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=0,036)</w:t>
            </w:r>
          </w:p>
        </w:tc>
        <w:tc>
          <w:tcPr>
            <w:tcW w:w="1591" w:type="dxa"/>
          </w:tcPr>
          <w:p w14:paraId="330BD6B2" w14:textId="77777777" w:rsidR="002E3CE8" w:rsidRPr="00520861" w:rsidRDefault="002E3CE8" w:rsidP="00292D2E">
            <w:pPr>
              <w:widowControl w:val="0"/>
              <w:spacing w:line="360" w:lineRule="auto"/>
              <w:ind w:hanging="156"/>
              <w:jc w:val="center"/>
              <w:rPr>
                <w:rFonts w:eastAsia="Calibri"/>
                <w:sz w:val="28"/>
                <w:szCs w:val="28"/>
              </w:rPr>
            </w:pPr>
            <w:r w:rsidRPr="00520861">
              <w:rPr>
                <w:rFonts w:eastAsia="Calibri"/>
                <w:sz w:val="28"/>
                <w:szCs w:val="28"/>
                <w:lang w:eastAsia="en-US"/>
              </w:rPr>
              <w:t>0,34</w:t>
            </w:r>
          </w:p>
        </w:tc>
      </w:tr>
    </w:tbl>
    <w:p w14:paraId="510DA185" w14:textId="77777777" w:rsidR="002E3CE8" w:rsidRPr="00520861" w:rsidRDefault="002E3CE8" w:rsidP="00292D2E">
      <w:pPr>
        <w:widowControl w:val="0"/>
        <w:spacing w:line="360" w:lineRule="auto"/>
        <w:ind w:firstLine="708"/>
        <w:contextualSpacing/>
        <w:jc w:val="both"/>
        <w:rPr>
          <w:rFonts w:eastAsia="Calibri"/>
          <w:b/>
          <w:sz w:val="28"/>
          <w:szCs w:val="28"/>
          <w:lang w:eastAsia="en-US"/>
        </w:rPr>
      </w:pPr>
      <w:r w:rsidRPr="00520861">
        <w:rPr>
          <w:sz w:val="28"/>
          <w:szCs w:val="28"/>
        </w:rPr>
        <w:t xml:space="preserve">Примітка: * – різниця між ОГ і ГП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12FA3D11" w14:textId="77777777" w:rsidR="002E3CE8" w:rsidRPr="00520861" w:rsidRDefault="002E3CE8" w:rsidP="00292D2E">
      <w:pPr>
        <w:widowControl w:val="0"/>
        <w:spacing w:line="360" w:lineRule="auto"/>
        <w:ind w:firstLine="709"/>
        <w:jc w:val="both"/>
        <w:rPr>
          <w:rFonts w:eastAsia="Calibri"/>
          <w:sz w:val="28"/>
          <w:szCs w:val="28"/>
          <w:lang w:eastAsia="en-US"/>
        </w:rPr>
      </w:pPr>
    </w:p>
    <w:p w14:paraId="25056F2C"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Змикання ікл, що відповідає 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виявлене у 18 дітей (64,3% ДІ: 47,6% </w:t>
      </w:r>
      <w:r w:rsidRPr="00520861">
        <w:rPr>
          <w:rFonts w:eastAsia="Calibri"/>
          <w:sz w:val="28"/>
          <w:szCs w:val="28"/>
        </w:rPr>
        <w:t>–</w:t>
      </w:r>
      <w:r w:rsidRPr="00520861">
        <w:rPr>
          <w:rFonts w:eastAsia="Calibri"/>
          <w:sz w:val="28"/>
          <w:szCs w:val="28"/>
          <w:lang w:eastAsia="en-US"/>
        </w:rPr>
        <w:t xml:space="preserve"> 78,5%) ОГ та в 3 дітей (21,4% ДІ: 8,4% </w:t>
      </w:r>
      <w:r w:rsidRPr="00520861">
        <w:rPr>
          <w:rFonts w:eastAsia="Calibri"/>
          <w:sz w:val="28"/>
          <w:szCs w:val="28"/>
        </w:rPr>
        <w:t>–</w:t>
      </w:r>
      <w:r w:rsidRPr="00520861">
        <w:rPr>
          <w:rFonts w:eastAsia="Calibri"/>
          <w:sz w:val="28"/>
          <w:szCs w:val="28"/>
          <w:lang w:eastAsia="en-US"/>
        </w:rPr>
        <w:t xml:space="preserve"> 42,8%) ГП. Розподіл порушень по підгрупах ОГ має вигляд: у 4 дітей (50%) із </w:t>
      </w:r>
      <w:r w:rsidRPr="00520861">
        <w:rPr>
          <w:rFonts w:eastAsia="Calibri"/>
          <w:sz w:val="28"/>
          <w:szCs w:val="28"/>
          <w:shd w:val="clear" w:color="auto" w:fill="FFFFFF"/>
        </w:rPr>
        <w:t>підгрупи 1</w:t>
      </w:r>
      <w:r w:rsidRPr="00520861">
        <w:rPr>
          <w:rFonts w:eastAsia="Calibri"/>
          <w:sz w:val="28"/>
          <w:szCs w:val="28"/>
          <w:lang w:eastAsia="en-US"/>
        </w:rPr>
        <w:t xml:space="preserve">, 4 (57%) – із </w:t>
      </w:r>
      <w:r w:rsidRPr="00520861">
        <w:rPr>
          <w:rFonts w:eastAsia="Calibri"/>
          <w:sz w:val="28"/>
          <w:szCs w:val="28"/>
          <w:shd w:val="clear" w:color="auto" w:fill="FFFFFF"/>
        </w:rPr>
        <w:t>підгрупи 2</w:t>
      </w:r>
      <w:r w:rsidRPr="00520861">
        <w:rPr>
          <w:rFonts w:eastAsia="Calibri"/>
          <w:sz w:val="28"/>
          <w:szCs w:val="28"/>
          <w:lang w:eastAsia="en-US"/>
        </w:rPr>
        <w:t xml:space="preserve">, 6 (86%) – із </w:t>
      </w:r>
      <w:r w:rsidRPr="00520861">
        <w:rPr>
          <w:rFonts w:eastAsia="Calibri"/>
          <w:sz w:val="28"/>
          <w:szCs w:val="28"/>
          <w:shd w:val="clear" w:color="auto" w:fill="FFFFFF"/>
        </w:rPr>
        <w:t>підгрупи 3</w:t>
      </w:r>
      <w:r w:rsidRPr="00520861">
        <w:rPr>
          <w:rFonts w:eastAsia="Calibri"/>
          <w:sz w:val="28"/>
          <w:szCs w:val="28"/>
          <w:lang w:eastAsia="en-US"/>
        </w:rPr>
        <w:t xml:space="preserve"> та 4 (67%) – із </w:t>
      </w:r>
      <w:r w:rsidRPr="00520861">
        <w:rPr>
          <w:rFonts w:eastAsia="Calibri"/>
          <w:sz w:val="28"/>
          <w:szCs w:val="28"/>
          <w:shd w:val="clear" w:color="auto" w:fill="FFFFFF"/>
        </w:rPr>
        <w:t>підгрупи 4</w:t>
      </w:r>
      <w:r w:rsidRPr="00520861">
        <w:rPr>
          <w:rFonts w:eastAsia="Calibri"/>
          <w:sz w:val="28"/>
          <w:szCs w:val="28"/>
          <w:lang w:eastAsia="en-US"/>
        </w:rPr>
        <w:t xml:space="preserve">. </w:t>
      </w:r>
    </w:p>
    <w:p w14:paraId="5C86B516"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Змикання ікл, що відповідає ІІІ-му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було виявлене в 5 дітей (17,9% ДІ: 8,3% – 32,7%) ОГ: 3 (38%) дітей із </w:t>
      </w:r>
      <w:r w:rsidRPr="00520861">
        <w:rPr>
          <w:rFonts w:eastAsia="Calibri"/>
          <w:sz w:val="28"/>
          <w:szCs w:val="28"/>
          <w:shd w:val="clear" w:color="auto" w:fill="FFFFFF"/>
        </w:rPr>
        <w:t>підгрупи 1</w:t>
      </w:r>
      <w:r w:rsidRPr="00520861">
        <w:rPr>
          <w:rFonts w:eastAsia="Calibri"/>
          <w:sz w:val="28"/>
          <w:szCs w:val="28"/>
          <w:lang w:eastAsia="en-US"/>
        </w:rPr>
        <w:t xml:space="preserve"> та 2 (29%) дітей із </w:t>
      </w:r>
      <w:r w:rsidRPr="00520861">
        <w:rPr>
          <w:rFonts w:eastAsia="Calibri"/>
          <w:sz w:val="28"/>
          <w:szCs w:val="28"/>
          <w:shd w:val="clear" w:color="auto" w:fill="FFFFFF"/>
        </w:rPr>
        <w:t>підгрупи 2</w:t>
      </w:r>
      <w:r w:rsidRPr="00520861">
        <w:rPr>
          <w:rFonts w:eastAsia="Calibri"/>
          <w:sz w:val="28"/>
          <w:szCs w:val="28"/>
          <w:lang w:eastAsia="en-US"/>
        </w:rPr>
        <w:t xml:space="preserve">. У ГП це порушення було виявлене в 1 </w:t>
      </w:r>
      <w:r w:rsidRPr="00520861">
        <w:rPr>
          <w:rFonts w:eastAsia="Calibri"/>
          <w:sz w:val="28"/>
          <w:szCs w:val="28"/>
        </w:rPr>
        <w:t xml:space="preserve">(7,1% ДІ: 1,8% </w:t>
      </w:r>
      <w:r w:rsidRPr="00520861">
        <w:rPr>
          <w:rFonts w:eastAsia="Calibri"/>
          <w:sz w:val="28"/>
          <w:szCs w:val="28"/>
          <w:lang w:eastAsia="en-US"/>
        </w:rPr>
        <w:t>–</w:t>
      </w:r>
      <w:r w:rsidRPr="00520861">
        <w:rPr>
          <w:rFonts w:eastAsia="Calibri"/>
          <w:sz w:val="28"/>
          <w:szCs w:val="28"/>
        </w:rPr>
        <w:t xml:space="preserve"> 23,2%)</w:t>
      </w:r>
      <w:r w:rsidRPr="00520861">
        <w:rPr>
          <w:rFonts w:eastAsia="Calibri"/>
          <w:sz w:val="28"/>
          <w:szCs w:val="28"/>
          <w:lang w:eastAsia="en-US"/>
        </w:rPr>
        <w:t xml:space="preserve"> дитини.</w:t>
      </w:r>
    </w:p>
    <w:p w14:paraId="36DDFF7C"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оцінюванні змикання різців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-оральному напрямку було виявлено, що ріжуче-</w:t>
      </w:r>
      <w:proofErr w:type="spellStart"/>
      <w:r w:rsidRPr="00520861">
        <w:rPr>
          <w:rFonts w:eastAsia="Calibri"/>
          <w:sz w:val="28"/>
          <w:szCs w:val="28"/>
          <w:lang w:eastAsia="en-US"/>
        </w:rPr>
        <w:t>горбиковий</w:t>
      </w:r>
      <w:proofErr w:type="spellEnd"/>
      <w:r w:rsidRPr="00520861">
        <w:rPr>
          <w:rFonts w:eastAsia="Calibri"/>
          <w:sz w:val="28"/>
          <w:szCs w:val="28"/>
          <w:lang w:eastAsia="en-US"/>
        </w:rPr>
        <w:t xml:space="preserve"> контакт (норма) мали 6 дітей (21,4% ДІ: 10,7% – 36,9%) ОГ, а саме 2 дитини із </w:t>
      </w:r>
      <w:r w:rsidRPr="00520861">
        <w:rPr>
          <w:rFonts w:eastAsia="Calibri"/>
          <w:sz w:val="28"/>
          <w:szCs w:val="28"/>
          <w:shd w:val="clear" w:color="auto" w:fill="FFFFFF"/>
        </w:rPr>
        <w:t>підгрупи 1</w:t>
      </w:r>
      <w:r w:rsidRPr="00520861">
        <w:rPr>
          <w:rFonts w:eastAsia="Calibri"/>
          <w:sz w:val="28"/>
          <w:szCs w:val="28"/>
          <w:lang w:eastAsia="en-US"/>
        </w:rPr>
        <w:t xml:space="preserve">, 1 дитина із </w:t>
      </w:r>
      <w:r w:rsidRPr="00520861">
        <w:rPr>
          <w:rFonts w:eastAsia="Calibri"/>
          <w:sz w:val="28"/>
          <w:szCs w:val="28"/>
          <w:shd w:val="clear" w:color="auto" w:fill="FFFFFF"/>
        </w:rPr>
        <w:t>підгрупи 2</w:t>
      </w:r>
      <w:r w:rsidRPr="00520861">
        <w:rPr>
          <w:rFonts w:eastAsia="Calibri"/>
          <w:sz w:val="28"/>
          <w:szCs w:val="28"/>
          <w:lang w:eastAsia="en-US"/>
        </w:rPr>
        <w:t xml:space="preserve">, 1 дитина із </w:t>
      </w:r>
      <w:r w:rsidRPr="00520861">
        <w:rPr>
          <w:rFonts w:eastAsia="Calibri"/>
          <w:sz w:val="28"/>
          <w:szCs w:val="28"/>
          <w:shd w:val="clear" w:color="auto" w:fill="FFFFFF"/>
        </w:rPr>
        <w:t>підгрупи 3</w:t>
      </w:r>
      <w:r w:rsidRPr="00520861">
        <w:rPr>
          <w:rFonts w:eastAsia="Calibri"/>
          <w:sz w:val="28"/>
          <w:szCs w:val="28"/>
          <w:lang w:eastAsia="en-US"/>
        </w:rPr>
        <w:t xml:space="preserve"> та 2 дитини із </w:t>
      </w:r>
      <w:r w:rsidRPr="00520861">
        <w:rPr>
          <w:rFonts w:eastAsia="Calibri"/>
          <w:sz w:val="28"/>
          <w:szCs w:val="28"/>
          <w:shd w:val="clear" w:color="auto" w:fill="FFFFFF"/>
        </w:rPr>
        <w:t>підгрупи 4</w:t>
      </w:r>
      <w:r w:rsidRPr="00520861">
        <w:rPr>
          <w:rFonts w:eastAsia="Calibri"/>
          <w:sz w:val="28"/>
          <w:szCs w:val="28"/>
          <w:lang w:eastAsia="en-US"/>
        </w:rPr>
        <w:t xml:space="preserve">, ріжуче-ріжучий контакт мали 2 дитини із </w:t>
      </w:r>
      <w:r w:rsidRPr="00520861">
        <w:rPr>
          <w:rFonts w:eastAsia="Calibri"/>
          <w:sz w:val="28"/>
          <w:szCs w:val="28"/>
          <w:shd w:val="clear" w:color="auto" w:fill="FFFFFF"/>
        </w:rPr>
        <w:t>підгрупи 1</w:t>
      </w:r>
      <w:r w:rsidRPr="00520861">
        <w:rPr>
          <w:rFonts w:eastAsia="Calibri"/>
          <w:sz w:val="28"/>
          <w:szCs w:val="28"/>
          <w:lang w:eastAsia="en-US"/>
        </w:rPr>
        <w:t xml:space="preserve"> та 1 дитина із </w:t>
      </w:r>
      <w:r w:rsidRPr="00520861">
        <w:rPr>
          <w:rFonts w:eastAsia="Calibri"/>
          <w:sz w:val="28"/>
          <w:szCs w:val="28"/>
          <w:shd w:val="clear" w:color="auto" w:fill="FFFFFF"/>
        </w:rPr>
        <w:t>підгрупи 4</w:t>
      </w:r>
      <w:r w:rsidRPr="00520861">
        <w:rPr>
          <w:rFonts w:eastAsia="Calibri"/>
          <w:sz w:val="28"/>
          <w:szCs w:val="28"/>
          <w:lang w:eastAsia="en-US"/>
        </w:rPr>
        <w:t>.</w:t>
      </w:r>
    </w:p>
    <w:p w14:paraId="7D9F0080"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Пряма сагітальна щілина була в 15 дітей (53,6% ДI: 37,2% – 69,4%) ОГ, а саме: у 3 дітей із </w:t>
      </w:r>
      <w:r w:rsidRPr="00520861">
        <w:rPr>
          <w:rFonts w:eastAsia="Calibri"/>
          <w:sz w:val="28"/>
          <w:szCs w:val="28"/>
          <w:shd w:val="clear" w:color="auto" w:fill="FFFFFF"/>
        </w:rPr>
        <w:t>підгрупи 1</w:t>
      </w:r>
      <w:r w:rsidRPr="00520861">
        <w:rPr>
          <w:rFonts w:eastAsia="Calibri"/>
          <w:sz w:val="28"/>
          <w:szCs w:val="28"/>
          <w:lang w:eastAsia="en-US"/>
        </w:rPr>
        <w:t xml:space="preserve">, 3 дітей із </w:t>
      </w:r>
      <w:r w:rsidRPr="00520861">
        <w:rPr>
          <w:rFonts w:eastAsia="Calibri"/>
          <w:sz w:val="28"/>
          <w:szCs w:val="28"/>
          <w:shd w:val="clear" w:color="auto" w:fill="FFFFFF"/>
        </w:rPr>
        <w:t>підгрупи 2</w:t>
      </w:r>
      <w:r w:rsidRPr="00520861">
        <w:rPr>
          <w:rFonts w:eastAsia="Calibri"/>
          <w:sz w:val="28"/>
          <w:szCs w:val="28"/>
          <w:lang w:eastAsia="en-US"/>
        </w:rPr>
        <w:t xml:space="preserve">, 6 дітей із </w:t>
      </w:r>
      <w:r w:rsidRPr="00520861">
        <w:rPr>
          <w:rFonts w:eastAsia="Calibri"/>
          <w:sz w:val="28"/>
          <w:szCs w:val="28"/>
          <w:shd w:val="clear" w:color="auto" w:fill="FFFFFF"/>
        </w:rPr>
        <w:t>підгрупи 3</w:t>
      </w:r>
      <w:r w:rsidRPr="00520861">
        <w:rPr>
          <w:rFonts w:eastAsia="Calibri"/>
          <w:sz w:val="28"/>
          <w:szCs w:val="28"/>
          <w:lang w:eastAsia="en-US"/>
        </w:rPr>
        <w:t xml:space="preserve"> та 3 дітей із </w:t>
      </w:r>
      <w:r w:rsidRPr="00520861">
        <w:rPr>
          <w:rFonts w:eastAsia="Calibri"/>
          <w:sz w:val="28"/>
          <w:szCs w:val="28"/>
          <w:lang w:eastAsia="en-US"/>
        </w:rPr>
        <w:br/>
      </w:r>
      <w:r w:rsidRPr="00520861">
        <w:rPr>
          <w:rFonts w:eastAsia="Calibri"/>
          <w:sz w:val="28"/>
          <w:szCs w:val="28"/>
          <w:shd w:val="clear" w:color="auto" w:fill="FFFFFF"/>
        </w:rPr>
        <w:t>підгрупи 4</w:t>
      </w:r>
      <w:r w:rsidRPr="00520861">
        <w:rPr>
          <w:rFonts w:eastAsia="Calibri"/>
          <w:sz w:val="28"/>
          <w:szCs w:val="28"/>
          <w:lang w:eastAsia="en-US"/>
        </w:rPr>
        <w:t xml:space="preserve">. Обернена сагітальна щілина фіксувалася у 3 дітей із </w:t>
      </w:r>
      <w:r w:rsidRPr="00520861">
        <w:rPr>
          <w:rFonts w:eastAsia="Calibri"/>
          <w:sz w:val="28"/>
          <w:szCs w:val="28"/>
          <w:shd w:val="clear" w:color="auto" w:fill="FFFFFF"/>
        </w:rPr>
        <w:t>підгрупи 2</w:t>
      </w:r>
      <w:r w:rsidRPr="00520861">
        <w:rPr>
          <w:rFonts w:eastAsia="Calibri"/>
          <w:sz w:val="28"/>
          <w:szCs w:val="28"/>
          <w:lang w:eastAsia="en-US"/>
        </w:rPr>
        <w:t xml:space="preserve">. У ГП пряма сагітальна щілина спостерігалася у 2 дітей (14,3% ДI: 4,7% – 33,9%), </w:t>
      </w:r>
      <w:r w:rsidRPr="00520861">
        <w:rPr>
          <w:rFonts w:eastAsia="Calibri"/>
          <w:sz w:val="28"/>
          <w:szCs w:val="28"/>
          <w:lang w:eastAsia="en-US"/>
        </w:rPr>
        <w:br/>
      </w:r>
      <w:r w:rsidRPr="00520861">
        <w:rPr>
          <w:rFonts w:eastAsia="Calibri"/>
          <w:sz w:val="28"/>
          <w:szCs w:val="28"/>
          <w:lang w:eastAsia="en-US"/>
        </w:rPr>
        <w:lastRenderedPageBreak/>
        <w:t xml:space="preserve">обернена сагітальна щілина спостерігалася в 1 дитини (7,1% ДІ: 1,8% – 23,2%). </w:t>
      </w:r>
    </w:p>
    <w:p w14:paraId="57E32124" w14:textId="77777777" w:rsidR="002E3CE8" w:rsidRPr="00520861" w:rsidRDefault="002E3CE8" w:rsidP="00292D2E">
      <w:pPr>
        <w:widowControl w:val="0"/>
        <w:spacing w:line="360" w:lineRule="auto"/>
        <w:ind w:firstLine="709"/>
        <w:contextualSpacing/>
        <w:jc w:val="both"/>
        <w:rPr>
          <w:rFonts w:eastAsia="Calibri"/>
          <w:spacing w:val="-6"/>
          <w:sz w:val="28"/>
          <w:szCs w:val="28"/>
          <w:lang w:eastAsia="en-US"/>
        </w:rPr>
      </w:pPr>
      <w:r w:rsidRPr="00520861">
        <w:rPr>
          <w:rFonts w:eastAsia="Calibri"/>
          <w:spacing w:val="-6"/>
          <w:sz w:val="28"/>
          <w:szCs w:val="28"/>
          <w:lang w:eastAsia="en-US"/>
        </w:rPr>
        <w:t>У багатьох учасників дослідження спостерігався оральний нахил різців (рис 5.17).</w:t>
      </w:r>
    </w:p>
    <w:p w14:paraId="3F7B389F" w14:textId="77777777" w:rsidR="002E3CE8" w:rsidRPr="00520861" w:rsidRDefault="002E3CE8" w:rsidP="00292D2E">
      <w:pPr>
        <w:widowControl w:val="0"/>
        <w:spacing w:line="360" w:lineRule="auto"/>
        <w:ind w:firstLine="709"/>
        <w:contextualSpacing/>
        <w:jc w:val="both"/>
        <w:rPr>
          <w:rFonts w:eastAsia="Calibri"/>
          <w:spacing w:val="-2"/>
          <w:sz w:val="28"/>
          <w:szCs w:val="28"/>
          <w:lang w:eastAsia="en-US"/>
        </w:rPr>
      </w:pPr>
      <w:r w:rsidRPr="00520861">
        <w:rPr>
          <w:rFonts w:eastAsia="Calibri"/>
          <w:sz w:val="28"/>
          <w:szCs w:val="28"/>
          <w:lang w:eastAsia="en-US"/>
        </w:rPr>
        <w:t xml:space="preserve">Отже, у дітей віком 6,5 – 11 років,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вузьке обличчя та високе піднебіння зустрічаються частіше, ніж у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Більш вираженими в цьому віковому періоді ці зміни є в підгрупах 2 та 3. </w:t>
      </w:r>
      <w:r w:rsidRPr="00520861">
        <w:rPr>
          <w:rFonts w:eastAsia="Calibri"/>
          <w:spacing w:val="-2"/>
          <w:sz w:val="28"/>
          <w:szCs w:val="28"/>
          <w:lang w:eastAsia="en-US"/>
        </w:rPr>
        <w:t xml:space="preserve">Поєднання вузького обличчя та дистального прикусу є притаманним дітям, які народилися </w:t>
      </w:r>
      <w:proofErr w:type="spellStart"/>
      <w:r w:rsidRPr="00520861">
        <w:rPr>
          <w:rFonts w:eastAsia="Calibri"/>
          <w:spacing w:val="-2"/>
          <w:sz w:val="28"/>
          <w:szCs w:val="28"/>
          <w:lang w:eastAsia="en-US"/>
        </w:rPr>
        <w:t>макросомами</w:t>
      </w:r>
      <w:proofErr w:type="spellEnd"/>
      <w:r w:rsidRPr="00520861">
        <w:rPr>
          <w:rFonts w:eastAsia="Calibri"/>
          <w:spacing w:val="-2"/>
          <w:sz w:val="28"/>
          <w:szCs w:val="28"/>
          <w:lang w:eastAsia="en-US"/>
        </w:rPr>
        <w:t xml:space="preserve">. </w:t>
      </w:r>
    </w:p>
    <w:p w14:paraId="7537FDBB"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оцінюванні прикусу по вертикалі в ділянці бічних зубів щільний </w:t>
      </w:r>
      <w:proofErr w:type="spellStart"/>
      <w:r w:rsidRPr="00520861">
        <w:rPr>
          <w:rFonts w:eastAsia="Calibri"/>
          <w:sz w:val="28"/>
          <w:szCs w:val="28"/>
          <w:lang w:eastAsia="en-US"/>
        </w:rPr>
        <w:t>оклюзійний</w:t>
      </w:r>
      <w:proofErr w:type="spellEnd"/>
      <w:r w:rsidRPr="00520861">
        <w:rPr>
          <w:rFonts w:eastAsia="Calibri"/>
          <w:sz w:val="28"/>
          <w:szCs w:val="28"/>
          <w:lang w:eastAsia="en-US"/>
        </w:rPr>
        <w:t xml:space="preserve"> контакт був у більшості учасників дослідження. У 3 дітей (10,7% ДI: 4,0% – 23,5%) ОГ (по одній дитині з підгруп 1, 2 та 3) був зафіксований односторонній бічний відкритий прикус. У ГП це порушення виявлене не було.</w:t>
      </w:r>
    </w:p>
    <w:p w14:paraId="000DE433"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оцінюванні прикусу по вертикалі в ділянці ікл вище контактного пункту нижніх зубів рвучий горбик ікл верхньої щелепи був розташований у 16 (57,1% ДI: 40,6% – 72,5%) дітей ОГ: 5 (63%) дітей підгрупи 1, 4 (57%) дітей підгрупи 2, 4 (57%) дітей підгрупи 3 та в 3 (50%) дітей підгрупи 4. Також вище контактного </w:t>
      </w:r>
      <w:r w:rsidRPr="00520861">
        <w:rPr>
          <w:rFonts w:eastAsia="Calibri"/>
          <w:sz w:val="28"/>
          <w:szCs w:val="28"/>
          <w:lang w:eastAsia="en-US"/>
        </w:rPr>
        <w:br/>
        <w:t>пункту рвучий горбик був у 5 (35,7% ДI: 17,7% – 58,1%) дітей ГП.</w:t>
      </w:r>
    </w:p>
    <w:p w14:paraId="2FF83658"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оцінюванні прикусу по вертикалі в ділянці різців виявилося, що стан, коли верхні різці перекривають нижні на 1/3 – 1/4 висоти коронкової частини зуба </w:t>
      </w:r>
      <w:r w:rsidRPr="00520861">
        <w:rPr>
          <w:rFonts w:eastAsia="Calibri"/>
          <w:sz w:val="28"/>
          <w:szCs w:val="28"/>
          <w:lang w:eastAsia="en-US"/>
        </w:rPr>
        <w:br/>
        <w:t xml:space="preserve">(норма), був виявлений нами лише у 8 дітей (28,6% ДI: 15,9% – 44,9%) ОГ. Норму мали 2 (22%) дитини із підгрупи 1, 3 (50%) дитини із підгрупи 2, 2 (29%) дитини із підгрупи 3 та 1 (17%) дитина із підгрупи 4. У ГП норму було виявлено в 10 дітей (71,4% ДІ: 49,2% – 87,2%). Шість дітей ОГ (21,4% ДI: 10,7% – 36,9%) мали відкритий прикус із вертикальною щілиною 1 – 3 мм, в однієї дитини ОГ різці були відсутні. Тринадцять дітей (46,4% ДІ: 30,6% – 62,8%) ОГ мали глибокий прикус (рис. 5.15, 5.17, 5.18, 5.19) різних ступенів тяжкості. У ГП подібні порушення були виявлені в трьох дітей (21,4% ДІ: 8,4% – 42,8%). «Схильність» до недорозвинення нижньої щелепи в дітей даної групи підтверджується скупченим положенням (рис. 5.16) </w:t>
      </w:r>
      <w:r w:rsidR="00DD3398" w:rsidRPr="00520861">
        <w:rPr>
          <w:rFonts w:eastAsia="Calibri"/>
          <w:sz w:val="28"/>
          <w:szCs w:val="28"/>
          <w:lang w:eastAsia="en-US"/>
        </w:rPr>
        <w:br/>
      </w:r>
      <w:r w:rsidRPr="00520861">
        <w:rPr>
          <w:rFonts w:eastAsia="Calibri"/>
          <w:sz w:val="28"/>
          <w:szCs w:val="28"/>
          <w:lang w:eastAsia="en-US"/>
        </w:rPr>
        <w:t>фронтальних зубів нижньої щелепи.</w:t>
      </w:r>
    </w:p>
    <w:p w14:paraId="6049A230" w14:textId="77777777" w:rsidR="002E3CE8" w:rsidRPr="00520861" w:rsidRDefault="002E3CE8" w:rsidP="00292D2E">
      <w:pPr>
        <w:widowControl w:val="0"/>
        <w:spacing w:line="360" w:lineRule="auto"/>
        <w:ind w:firstLine="708"/>
        <w:jc w:val="both"/>
        <w:rPr>
          <w:rFonts w:eastAsia="Calibri"/>
          <w:spacing w:val="-6"/>
          <w:sz w:val="28"/>
          <w:szCs w:val="28"/>
          <w:lang w:eastAsia="en-US"/>
        </w:rPr>
      </w:pPr>
      <w:r w:rsidRPr="00520861">
        <w:rPr>
          <w:rFonts w:eastAsia="Calibri"/>
          <w:spacing w:val="-6"/>
          <w:sz w:val="28"/>
          <w:szCs w:val="28"/>
          <w:lang w:eastAsia="en-US"/>
        </w:rPr>
        <w:t xml:space="preserve">Дослідження КДМ у </w:t>
      </w:r>
      <w:proofErr w:type="spellStart"/>
      <w:r w:rsidRPr="00520861">
        <w:rPr>
          <w:rFonts w:eastAsia="Calibri"/>
          <w:spacing w:val="-6"/>
          <w:sz w:val="28"/>
          <w:szCs w:val="28"/>
          <w:lang w:eastAsia="en-US"/>
        </w:rPr>
        <w:t>букально</w:t>
      </w:r>
      <w:proofErr w:type="spellEnd"/>
      <w:r w:rsidRPr="00520861">
        <w:rPr>
          <w:rFonts w:eastAsia="Calibri"/>
          <w:spacing w:val="-6"/>
          <w:sz w:val="28"/>
          <w:szCs w:val="28"/>
          <w:lang w:eastAsia="en-US"/>
        </w:rPr>
        <w:t>-піднебінному (</w:t>
      </w:r>
      <w:proofErr w:type="spellStart"/>
      <w:r w:rsidRPr="00520861">
        <w:rPr>
          <w:rFonts w:eastAsia="Calibri"/>
          <w:spacing w:val="-6"/>
          <w:sz w:val="28"/>
          <w:szCs w:val="28"/>
          <w:lang w:eastAsia="en-US"/>
        </w:rPr>
        <w:t>букально-лінгвальному</w:t>
      </w:r>
      <w:proofErr w:type="spellEnd"/>
      <w:r w:rsidRPr="00520861">
        <w:rPr>
          <w:rFonts w:eastAsia="Calibri"/>
          <w:spacing w:val="-6"/>
          <w:sz w:val="28"/>
          <w:szCs w:val="28"/>
          <w:lang w:eastAsia="en-US"/>
        </w:rPr>
        <w:t>) напрямку виявило, що в бічній ділянці перехресний прикус був зафіксований у 7 (25,0% ДІ: 13,2% – 41,0%) дітей ОГ (рис. 5.18, 5.20) та тільки в 1 дитини (7,1% ДІ: 1,8% – 23,2%) ГП.</w:t>
      </w:r>
    </w:p>
    <w:p w14:paraId="03DFF936" w14:textId="77777777" w:rsidR="002E3CE8" w:rsidRPr="00520861" w:rsidRDefault="002E3CE8" w:rsidP="00292D2E">
      <w:pPr>
        <w:widowControl w:val="0"/>
        <w:jc w:val="center"/>
        <w:rPr>
          <w:rFonts w:eastAsia="Calibri"/>
          <w:sz w:val="28"/>
          <w:szCs w:val="28"/>
        </w:rPr>
      </w:pPr>
      <w:r w:rsidRPr="00520861">
        <w:rPr>
          <w:rFonts w:eastAsia="Calibri"/>
          <w:noProof/>
          <w:sz w:val="28"/>
          <w:szCs w:val="28"/>
          <w:lang w:val="ru-RU"/>
        </w:rPr>
        <w:lastRenderedPageBreak/>
        <w:drawing>
          <wp:inline distT="0" distB="0" distL="0" distR="0" wp14:anchorId="77D3CF93" wp14:editId="13CF21BB">
            <wp:extent cx="3173997" cy="2447290"/>
            <wp:effectExtent l="0" t="0" r="7620" b="0"/>
            <wp:docPr id="86"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185046" cy="2455809"/>
                    </a:xfrm>
                    <a:prstGeom prst="rect">
                      <a:avLst/>
                    </a:prstGeom>
                    <a:noFill/>
                    <a:ln>
                      <a:noFill/>
                    </a:ln>
                  </pic:spPr>
                </pic:pic>
              </a:graphicData>
            </a:graphic>
          </wp:inline>
        </w:drawing>
      </w:r>
      <w:r w:rsidRPr="00520861">
        <w:rPr>
          <w:rFonts w:eastAsia="Calibri"/>
          <w:noProof/>
          <w:sz w:val="28"/>
          <w:szCs w:val="28"/>
          <w:lang w:val="ru-RU"/>
        </w:rPr>
        <w:drawing>
          <wp:inline distT="0" distB="0" distL="0" distR="0" wp14:anchorId="0C4DC8FF" wp14:editId="1F248BBF">
            <wp:extent cx="3181350" cy="2463672"/>
            <wp:effectExtent l="0" t="0" r="0" b="0"/>
            <wp:docPr id="87"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199896" cy="2478034"/>
                    </a:xfrm>
                    <a:prstGeom prst="rect">
                      <a:avLst/>
                    </a:prstGeom>
                    <a:noFill/>
                    <a:ln>
                      <a:noFill/>
                    </a:ln>
                  </pic:spPr>
                </pic:pic>
              </a:graphicData>
            </a:graphic>
          </wp:inline>
        </w:drawing>
      </w:r>
    </w:p>
    <w:tbl>
      <w:tblPr>
        <w:tblStyle w:val="8"/>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7"/>
        <w:gridCol w:w="4949"/>
      </w:tblGrid>
      <w:tr w:rsidR="002E3CE8" w:rsidRPr="00520861" w14:paraId="0F7C83ED" w14:textId="77777777" w:rsidTr="00292D2E">
        <w:tc>
          <w:tcPr>
            <w:tcW w:w="4819" w:type="dxa"/>
          </w:tcPr>
          <w:p w14:paraId="42684410" w14:textId="77777777" w:rsidR="002E3CE8" w:rsidRPr="00520861" w:rsidRDefault="002E3CE8" w:rsidP="00292D2E">
            <w:pPr>
              <w:widowControl w:val="0"/>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4962" w:type="dxa"/>
          </w:tcPr>
          <w:p w14:paraId="3508038A"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r>
    </w:tbl>
    <w:p w14:paraId="36DDD6D1" w14:textId="77777777" w:rsidR="002E3CE8" w:rsidRPr="00520861" w:rsidRDefault="002E3CE8" w:rsidP="00292D2E">
      <w:pPr>
        <w:widowControl w:val="0"/>
        <w:spacing w:line="360" w:lineRule="auto"/>
        <w:ind w:right="48" w:firstLine="708"/>
        <w:contextualSpacing/>
        <w:jc w:val="center"/>
        <w:rPr>
          <w:sz w:val="28"/>
          <w:szCs w:val="28"/>
        </w:rPr>
      </w:pPr>
      <w:r w:rsidRPr="00520861">
        <w:rPr>
          <w:sz w:val="28"/>
          <w:szCs w:val="28"/>
        </w:rPr>
        <w:t xml:space="preserve">Рис. 5.17. </w:t>
      </w:r>
      <w:r w:rsidRPr="00520861">
        <w:rPr>
          <w:bCs/>
          <w:iCs/>
          <w:sz w:val="28"/>
          <w:szCs w:val="28"/>
        </w:rPr>
        <w:t xml:space="preserve">Фото фронтальної ділянки ротової порожнини дитини К. (хлопчик) у віці 11 років, </w:t>
      </w:r>
      <w:r w:rsidRPr="00520861">
        <w:rPr>
          <w:sz w:val="28"/>
          <w:szCs w:val="28"/>
        </w:rPr>
        <w:t>амб. карта № 180491</w:t>
      </w:r>
      <w:r w:rsidRPr="00520861">
        <w:rPr>
          <w:bCs/>
          <w:iCs/>
          <w:sz w:val="28"/>
          <w:szCs w:val="28"/>
        </w:rPr>
        <w:t>, підгрупа 2</w:t>
      </w:r>
      <w:r w:rsidRPr="00520861">
        <w:rPr>
          <w:bCs/>
          <w:i/>
          <w:iCs/>
          <w:sz w:val="28"/>
          <w:szCs w:val="28"/>
        </w:rPr>
        <w:t>.</w:t>
      </w:r>
      <w:r w:rsidRPr="00520861">
        <w:rPr>
          <w:sz w:val="28"/>
          <w:szCs w:val="28"/>
        </w:rPr>
        <w:t xml:space="preserve"> </w:t>
      </w:r>
      <w:r w:rsidRPr="00520861">
        <w:rPr>
          <w:bCs/>
          <w:iCs/>
          <w:sz w:val="28"/>
          <w:szCs w:val="28"/>
        </w:rPr>
        <w:t xml:space="preserve">Аномалія ІІ-го класу 2-го підкласу за </w:t>
      </w:r>
      <w:proofErr w:type="spellStart"/>
      <w:r w:rsidRPr="00520861">
        <w:rPr>
          <w:bCs/>
          <w:iCs/>
          <w:sz w:val="28"/>
          <w:szCs w:val="28"/>
        </w:rPr>
        <w:t>Енглем</w:t>
      </w:r>
      <w:proofErr w:type="spellEnd"/>
      <w:r w:rsidRPr="00520861">
        <w:rPr>
          <w:bCs/>
          <w:iCs/>
          <w:sz w:val="28"/>
          <w:szCs w:val="28"/>
        </w:rPr>
        <w:t>,</w:t>
      </w:r>
      <w:r w:rsidRPr="00520861">
        <w:rPr>
          <w:sz w:val="28"/>
          <w:szCs w:val="28"/>
        </w:rPr>
        <w:t xml:space="preserve"> обтяжена глибоким прикусом, укороченням верхнього зубного ряду з оральним (піднебінним) положенням 11, 21 зубів, вестибулярним положенням 12, 22 зубів, мілким присінком порожнини рота. </w:t>
      </w:r>
    </w:p>
    <w:p w14:paraId="7786E0D8" w14:textId="77777777" w:rsidR="002E3CE8" w:rsidRPr="00520861" w:rsidRDefault="002E3CE8" w:rsidP="00292D2E">
      <w:pPr>
        <w:widowControl w:val="0"/>
        <w:spacing w:line="360" w:lineRule="auto"/>
        <w:ind w:right="48" w:firstLine="708"/>
        <w:contextualSpacing/>
        <w:jc w:val="center"/>
        <w:rPr>
          <w:sz w:val="28"/>
          <w:szCs w:val="28"/>
        </w:rPr>
      </w:pPr>
    </w:p>
    <w:p w14:paraId="0C6CC545" w14:textId="77777777" w:rsidR="002E3CE8" w:rsidRPr="00520861" w:rsidRDefault="002E3CE8" w:rsidP="00292D2E">
      <w:pPr>
        <w:widowControl w:val="0"/>
        <w:spacing w:line="360" w:lineRule="auto"/>
        <w:jc w:val="center"/>
        <w:rPr>
          <w:rFonts w:eastAsia="Calibri"/>
          <w:sz w:val="28"/>
          <w:szCs w:val="28"/>
        </w:rPr>
      </w:pPr>
      <w:r w:rsidRPr="00520861">
        <w:rPr>
          <w:rFonts w:eastAsia="Calibri"/>
          <w:noProof/>
          <w:color w:val="FF0000"/>
          <w:sz w:val="28"/>
          <w:szCs w:val="28"/>
          <w:lang w:val="ru-RU"/>
        </w:rPr>
        <w:drawing>
          <wp:inline distT="0" distB="0" distL="0" distR="0" wp14:anchorId="5811DF33" wp14:editId="40AC85F0">
            <wp:extent cx="4028400" cy="3060000"/>
            <wp:effectExtent l="0" t="0" r="0" b="7620"/>
            <wp:docPr id="88"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028400" cy="3060000"/>
                    </a:xfrm>
                    <a:prstGeom prst="rect">
                      <a:avLst/>
                    </a:prstGeom>
                    <a:noFill/>
                    <a:ln>
                      <a:noFill/>
                    </a:ln>
                  </pic:spPr>
                </pic:pic>
              </a:graphicData>
            </a:graphic>
          </wp:inline>
        </w:drawing>
      </w:r>
    </w:p>
    <w:p w14:paraId="43D892DA" w14:textId="77777777" w:rsidR="002E3CE8" w:rsidRPr="00520861" w:rsidRDefault="002E3CE8" w:rsidP="00292D2E">
      <w:pPr>
        <w:widowControl w:val="0"/>
        <w:spacing w:line="360" w:lineRule="auto"/>
        <w:ind w:firstLine="708"/>
        <w:jc w:val="center"/>
        <w:rPr>
          <w:sz w:val="28"/>
          <w:szCs w:val="28"/>
        </w:rPr>
      </w:pPr>
      <w:r w:rsidRPr="00520861">
        <w:rPr>
          <w:sz w:val="28"/>
          <w:szCs w:val="28"/>
        </w:rPr>
        <w:t xml:space="preserve">Рис. 5.18. </w:t>
      </w:r>
      <w:r w:rsidRPr="00520861">
        <w:rPr>
          <w:bCs/>
          <w:iCs/>
          <w:sz w:val="28"/>
          <w:szCs w:val="28"/>
        </w:rPr>
        <w:t xml:space="preserve">Фото фронтальної ділянки ротової порожнини дитини М. (хлопчик) у віці 9 років, </w:t>
      </w:r>
      <w:r w:rsidRPr="00520861">
        <w:rPr>
          <w:sz w:val="28"/>
          <w:szCs w:val="28"/>
        </w:rPr>
        <w:t xml:space="preserve">амб. карта № 173311, </w:t>
      </w:r>
      <w:r w:rsidRPr="00520861">
        <w:rPr>
          <w:bCs/>
          <w:iCs/>
          <w:sz w:val="28"/>
          <w:szCs w:val="28"/>
        </w:rPr>
        <w:t>підгрупа 4</w:t>
      </w:r>
      <w:r w:rsidRPr="00520861">
        <w:rPr>
          <w:bCs/>
          <w:i/>
          <w:iCs/>
          <w:sz w:val="28"/>
          <w:szCs w:val="28"/>
        </w:rPr>
        <w:t>.</w:t>
      </w:r>
      <w:r w:rsidRPr="00520861">
        <w:rPr>
          <w:sz w:val="28"/>
          <w:szCs w:val="28"/>
        </w:rPr>
        <w:t xml:space="preserve"> </w:t>
      </w:r>
      <w:r w:rsidRPr="00520861">
        <w:rPr>
          <w:bCs/>
          <w:iCs/>
          <w:sz w:val="28"/>
          <w:szCs w:val="28"/>
        </w:rPr>
        <w:t xml:space="preserve">Аномалія ІІ-го класу за </w:t>
      </w:r>
      <w:proofErr w:type="spellStart"/>
      <w:r w:rsidRPr="00520861">
        <w:rPr>
          <w:bCs/>
          <w:iCs/>
          <w:sz w:val="28"/>
          <w:szCs w:val="28"/>
        </w:rPr>
        <w:t>Енглем</w:t>
      </w:r>
      <w:proofErr w:type="spellEnd"/>
      <w:r w:rsidRPr="00520861">
        <w:rPr>
          <w:bCs/>
          <w:iCs/>
          <w:sz w:val="28"/>
          <w:szCs w:val="28"/>
        </w:rPr>
        <w:t>,</w:t>
      </w:r>
      <w:r w:rsidRPr="00520861">
        <w:rPr>
          <w:sz w:val="28"/>
          <w:szCs w:val="28"/>
        </w:rPr>
        <w:t xml:space="preserve"> </w:t>
      </w:r>
      <w:r w:rsidR="00DD3398" w:rsidRPr="00520861">
        <w:rPr>
          <w:sz w:val="28"/>
          <w:szCs w:val="28"/>
        </w:rPr>
        <w:br/>
      </w:r>
      <w:r w:rsidRPr="00520861">
        <w:rPr>
          <w:sz w:val="28"/>
          <w:szCs w:val="28"/>
        </w:rPr>
        <w:t xml:space="preserve">обтяжена глибоким прикусом, перехресним прикусом зі зміщенням нижньої щелепи вправо, звуженням верхнього та нижнього зубних рядів,  укороченням </w:t>
      </w:r>
      <w:r w:rsidR="00146DB1" w:rsidRPr="00520861">
        <w:rPr>
          <w:sz w:val="28"/>
          <w:szCs w:val="28"/>
        </w:rPr>
        <w:br/>
      </w:r>
      <w:r w:rsidRPr="00520861">
        <w:rPr>
          <w:sz w:val="28"/>
          <w:szCs w:val="28"/>
        </w:rPr>
        <w:t>нижнього зубного ряду, мілким присінком порожнини рота.</w:t>
      </w:r>
    </w:p>
    <w:p w14:paraId="6686842B" w14:textId="77777777" w:rsidR="002E3CE8" w:rsidRPr="00520861" w:rsidRDefault="002E3CE8" w:rsidP="00292D2E">
      <w:pPr>
        <w:widowControl w:val="0"/>
        <w:jc w:val="center"/>
        <w:rPr>
          <w:rFonts w:eastAsia="Calibri"/>
          <w:sz w:val="28"/>
          <w:szCs w:val="28"/>
        </w:rPr>
      </w:pPr>
      <w:r w:rsidRPr="00520861">
        <w:rPr>
          <w:rFonts w:eastAsia="Calibri"/>
          <w:noProof/>
          <w:sz w:val="28"/>
          <w:szCs w:val="28"/>
          <w:lang w:val="ru-RU"/>
        </w:rPr>
        <w:lastRenderedPageBreak/>
        <w:drawing>
          <wp:inline distT="0" distB="0" distL="0" distR="0" wp14:anchorId="359B1CEF" wp14:editId="1AB1C103">
            <wp:extent cx="2609181" cy="1945237"/>
            <wp:effectExtent l="0" t="0" r="1270" b="0"/>
            <wp:docPr id="89"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616143" cy="1950427"/>
                    </a:xfrm>
                    <a:prstGeom prst="rect">
                      <a:avLst/>
                    </a:prstGeom>
                    <a:noFill/>
                    <a:ln>
                      <a:noFill/>
                    </a:ln>
                  </pic:spPr>
                </pic:pic>
              </a:graphicData>
            </a:graphic>
          </wp:inline>
        </w:drawing>
      </w:r>
      <w:r w:rsidRPr="00520861">
        <w:rPr>
          <w:rFonts w:eastAsia="Calibri"/>
          <w:noProof/>
          <w:sz w:val="28"/>
          <w:szCs w:val="28"/>
          <w:lang w:val="ru-RU"/>
        </w:rPr>
        <w:drawing>
          <wp:inline distT="0" distB="0" distL="0" distR="0" wp14:anchorId="30464ECE" wp14:editId="144A0FF4">
            <wp:extent cx="2590800" cy="1943099"/>
            <wp:effectExtent l="0" t="0" r="0" b="635"/>
            <wp:docPr id="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rot="10800000">
                      <a:off x="0" y="0"/>
                      <a:ext cx="2604590" cy="1953441"/>
                    </a:xfrm>
                    <a:prstGeom prst="rect">
                      <a:avLst/>
                    </a:prstGeom>
                    <a:noFill/>
                    <a:ln>
                      <a:noFill/>
                    </a:ln>
                  </pic:spPr>
                </pic:pic>
              </a:graphicData>
            </a:graphic>
          </wp:inline>
        </w:drawing>
      </w:r>
    </w:p>
    <w:tbl>
      <w:tblPr>
        <w:tblStyle w:val="8"/>
        <w:tblW w:w="0" w:type="auto"/>
        <w:tblInd w:w="11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0"/>
        <w:gridCol w:w="4395"/>
      </w:tblGrid>
      <w:tr w:rsidR="002E3CE8" w:rsidRPr="00520861" w14:paraId="68BEA15F" w14:textId="77777777" w:rsidTr="00292D2E">
        <w:trPr>
          <w:trHeight w:val="313"/>
        </w:trPr>
        <w:tc>
          <w:tcPr>
            <w:tcW w:w="4110" w:type="dxa"/>
          </w:tcPr>
          <w:p w14:paraId="518950B1" w14:textId="77777777" w:rsidR="002E3CE8" w:rsidRPr="00520861" w:rsidRDefault="002E3CE8" w:rsidP="00292D2E">
            <w:pPr>
              <w:widowControl w:val="0"/>
              <w:jc w:val="center"/>
              <w:rPr>
                <w:rFonts w:eastAsia="Calibri" w:cs="Times New Roman"/>
                <w:bCs/>
                <w:i/>
                <w:iCs/>
                <w:sz w:val="28"/>
                <w:szCs w:val="28"/>
              </w:rPr>
            </w:pPr>
            <w:r w:rsidRPr="00520861">
              <w:rPr>
                <w:rFonts w:eastAsia="Calibri" w:cs="Times New Roman"/>
                <w:bCs/>
                <w:i/>
                <w:iCs/>
                <w:sz w:val="28"/>
                <w:szCs w:val="28"/>
              </w:rPr>
              <w:t>а</w:t>
            </w:r>
            <w:r w:rsidR="0003541B" w:rsidRPr="00520861">
              <w:rPr>
                <w:rFonts w:eastAsia="Calibri" w:cs="Times New Roman"/>
                <w:bCs/>
                <w:iCs/>
                <w:sz w:val="28"/>
                <w:szCs w:val="28"/>
              </w:rPr>
              <w:t>)</w:t>
            </w:r>
          </w:p>
        </w:tc>
        <w:tc>
          <w:tcPr>
            <w:tcW w:w="4395" w:type="dxa"/>
          </w:tcPr>
          <w:p w14:paraId="1BE985CC"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03541B" w:rsidRPr="00520861">
              <w:rPr>
                <w:rFonts w:eastAsia="Calibri" w:cs="Times New Roman"/>
                <w:sz w:val="28"/>
                <w:szCs w:val="28"/>
              </w:rPr>
              <w:t>)</w:t>
            </w:r>
          </w:p>
        </w:tc>
      </w:tr>
    </w:tbl>
    <w:p w14:paraId="7441B78A" w14:textId="77777777" w:rsidR="002E3CE8" w:rsidRPr="00520861" w:rsidRDefault="002E3CE8" w:rsidP="00292D2E">
      <w:pPr>
        <w:widowControl w:val="0"/>
        <w:spacing w:line="360" w:lineRule="auto"/>
        <w:ind w:right="48" w:firstLine="708"/>
        <w:contextualSpacing/>
        <w:jc w:val="center"/>
        <w:rPr>
          <w:bCs/>
          <w:iCs/>
          <w:sz w:val="28"/>
          <w:szCs w:val="28"/>
        </w:rPr>
      </w:pPr>
      <w:r w:rsidRPr="00520861">
        <w:rPr>
          <w:sz w:val="28"/>
          <w:szCs w:val="28"/>
        </w:rPr>
        <w:t xml:space="preserve">Рис. 5.19. </w:t>
      </w:r>
      <w:r w:rsidRPr="00520861">
        <w:rPr>
          <w:bCs/>
          <w:iCs/>
          <w:sz w:val="28"/>
          <w:szCs w:val="28"/>
        </w:rPr>
        <w:t xml:space="preserve">Фото фронтальної ділянки порожнини рота дитини С. (хлопчик) у віці 8 років, </w:t>
      </w:r>
      <w:r w:rsidRPr="00520861">
        <w:rPr>
          <w:sz w:val="28"/>
          <w:szCs w:val="28"/>
        </w:rPr>
        <w:t xml:space="preserve">амб. карта № 153299, </w:t>
      </w:r>
      <w:r w:rsidRPr="00520861">
        <w:rPr>
          <w:bCs/>
          <w:iCs/>
          <w:sz w:val="28"/>
          <w:szCs w:val="28"/>
        </w:rPr>
        <w:t xml:space="preserve">підгрупа 1; а) аномалія ІІ-го класу за </w:t>
      </w:r>
      <w:proofErr w:type="spellStart"/>
      <w:r w:rsidRPr="00520861">
        <w:rPr>
          <w:bCs/>
          <w:iCs/>
          <w:sz w:val="28"/>
          <w:szCs w:val="28"/>
        </w:rPr>
        <w:t>Енглем</w:t>
      </w:r>
      <w:proofErr w:type="spellEnd"/>
      <w:r w:rsidRPr="00520861">
        <w:rPr>
          <w:bCs/>
          <w:iCs/>
          <w:sz w:val="28"/>
          <w:szCs w:val="28"/>
        </w:rPr>
        <w:t xml:space="preserve">, що обтяжена глибоким прикусом звуження та подовження верхнього та нижнього </w:t>
      </w:r>
      <w:r w:rsidR="00146DB1" w:rsidRPr="00520861">
        <w:rPr>
          <w:bCs/>
          <w:iCs/>
          <w:sz w:val="28"/>
          <w:szCs w:val="28"/>
        </w:rPr>
        <w:br/>
      </w:r>
      <w:r w:rsidRPr="00520861">
        <w:rPr>
          <w:bCs/>
          <w:iCs/>
          <w:sz w:val="28"/>
          <w:szCs w:val="28"/>
        </w:rPr>
        <w:t>зубних рядів</w:t>
      </w:r>
      <w:r w:rsidRPr="00520861">
        <w:rPr>
          <w:sz w:val="28"/>
          <w:szCs w:val="28"/>
        </w:rPr>
        <w:t>;</w:t>
      </w:r>
      <w:r w:rsidRPr="00520861">
        <w:rPr>
          <w:rFonts w:eastAsiaTheme="minorHAnsi"/>
          <w:sz w:val="28"/>
          <w:szCs w:val="28"/>
          <w:lang w:eastAsia="en-US"/>
        </w:rPr>
        <w:t xml:space="preserve"> </w:t>
      </w:r>
    </w:p>
    <w:p w14:paraId="182B16E8" w14:textId="77777777" w:rsidR="002E3CE8" w:rsidRPr="00520861" w:rsidRDefault="002E3CE8" w:rsidP="00292D2E">
      <w:pPr>
        <w:widowControl w:val="0"/>
        <w:spacing w:line="360" w:lineRule="auto"/>
        <w:ind w:right="48" w:firstLine="708"/>
        <w:contextualSpacing/>
        <w:jc w:val="center"/>
        <w:rPr>
          <w:sz w:val="28"/>
          <w:szCs w:val="28"/>
        </w:rPr>
      </w:pPr>
      <w:r w:rsidRPr="00520861">
        <w:rPr>
          <w:sz w:val="28"/>
          <w:szCs w:val="28"/>
        </w:rPr>
        <w:t xml:space="preserve">б) </w:t>
      </w:r>
      <w:proofErr w:type="spellStart"/>
      <w:r w:rsidRPr="00520861">
        <w:rPr>
          <w:sz w:val="28"/>
          <w:szCs w:val="28"/>
        </w:rPr>
        <w:t>тортоаномалія</w:t>
      </w:r>
      <w:proofErr w:type="spellEnd"/>
      <w:r w:rsidRPr="00520861">
        <w:rPr>
          <w:sz w:val="28"/>
          <w:szCs w:val="28"/>
        </w:rPr>
        <w:t xml:space="preserve"> зуба 31 (проти годинникової стрілки) і зуба 41 (за годинниковою стрілкою), гіпоплазія верхніх центральних різців; мілкий присінок, </w:t>
      </w:r>
      <w:r w:rsidRPr="00520861">
        <w:rPr>
          <w:sz w:val="28"/>
          <w:szCs w:val="28"/>
        </w:rPr>
        <w:br/>
        <w:t>хронічний катаральний гінгівіт.</w:t>
      </w:r>
    </w:p>
    <w:p w14:paraId="481A79CE" w14:textId="77777777" w:rsidR="002E3CE8" w:rsidRPr="00520861" w:rsidRDefault="002E3CE8" w:rsidP="00292D2E">
      <w:pPr>
        <w:widowControl w:val="0"/>
        <w:spacing w:line="360" w:lineRule="auto"/>
        <w:ind w:right="48" w:firstLine="708"/>
        <w:contextualSpacing/>
        <w:jc w:val="center"/>
        <w:rPr>
          <w:sz w:val="28"/>
          <w:szCs w:val="28"/>
        </w:rPr>
      </w:pPr>
    </w:p>
    <w:p w14:paraId="3ABF9E2A" w14:textId="77777777" w:rsidR="002E3CE8" w:rsidRPr="00520861" w:rsidRDefault="002E3CE8" w:rsidP="00292D2E">
      <w:pPr>
        <w:widowControl w:val="0"/>
        <w:spacing w:line="360" w:lineRule="auto"/>
        <w:jc w:val="center"/>
        <w:rPr>
          <w:rFonts w:eastAsia="Calibri"/>
          <w:sz w:val="28"/>
          <w:szCs w:val="28"/>
        </w:rPr>
      </w:pPr>
      <w:r w:rsidRPr="00520861">
        <w:rPr>
          <w:rFonts w:eastAsia="Calibri"/>
          <w:noProof/>
          <w:sz w:val="28"/>
          <w:szCs w:val="28"/>
          <w:lang w:val="ru-RU"/>
        </w:rPr>
        <w:drawing>
          <wp:inline distT="0" distB="0" distL="0" distR="0" wp14:anchorId="7852B251" wp14:editId="178FD3DA">
            <wp:extent cx="4118400" cy="3060000"/>
            <wp:effectExtent l="0" t="0" r="0" b="7620"/>
            <wp:docPr id="91"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118400" cy="3060000"/>
                    </a:xfrm>
                    <a:prstGeom prst="rect">
                      <a:avLst/>
                    </a:prstGeom>
                    <a:noFill/>
                    <a:ln>
                      <a:noFill/>
                    </a:ln>
                  </pic:spPr>
                </pic:pic>
              </a:graphicData>
            </a:graphic>
          </wp:inline>
        </w:drawing>
      </w:r>
    </w:p>
    <w:p w14:paraId="6423924A" w14:textId="77777777" w:rsidR="002E3CE8" w:rsidRPr="00520861" w:rsidRDefault="002E3CE8" w:rsidP="00292D2E">
      <w:pPr>
        <w:widowControl w:val="0"/>
        <w:spacing w:line="360" w:lineRule="auto"/>
        <w:ind w:right="48" w:firstLine="708"/>
        <w:contextualSpacing/>
        <w:jc w:val="center"/>
        <w:rPr>
          <w:sz w:val="28"/>
          <w:szCs w:val="28"/>
        </w:rPr>
      </w:pPr>
      <w:r w:rsidRPr="00520861">
        <w:rPr>
          <w:sz w:val="28"/>
          <w:szCs w:val="28"/>
        </w:rPr>
        <w:t xml:space="preserve">Рис. 5.20. </w:t>
      </w:r>
      <w:r w:rsidRPr="00520861">
        <w:rPr>
          <w:bCs/>
          <w:iCs/>
          <w:sz w:val="28"/>
          <w:szCs w:val="28"/>
        </w:rPr>
        <w:t xml:space="preserve">Фото фронтальної ділянки порожнини рота дитини Г. (дівчинка) у віці 7 років, </w:t>
      </w:r>
      <w:r w:rsidRPr="00520861">
        <w:rPr>
          <w:sz w:val="28"/>
          <w:szCs w:val="28"/>
        </w:rPr>
        <w:t xml:space="preserve">амб. карта № 191166, </w:t>
      </w:r>
      <w:r w:rsidRPr="00520861">
        <w:rPr>
          <w:bCs/>
          <w:iCs/>
          <w:sz w:val="28"/>
          <w:szCs w:val="28"/>
        </w:rPr>
        <w:t>підгрупа 3</w:t>
      </w:r>
      <w:r w:rsidRPr="00520861">
        <w:rPr>
          <w:bCs/>
          <w:i/>
          <w:iCs/>
          <w:sz w:val="28"/>
          <w:szCs w:val="28"/>
        </w:rPr>
        <w:t>.</w:t>
      </w:r>
      <w:r w:rsidRPr="00520861">
        <w:rPr>
          <w:sz w:val="28"/>
          <w:szCs w:val="28"/>
        </w:rPr>
        <w:t xml:space="preserve"> </w:t>
      </w:r>
      <w:proofErr w:type="spellStart"/>
      <w:r w:rsidRPr="00520861">
        <w:rPr>
          <w:bCs/>
          <w:iCs/>
          <w:sz w:val="28"/>
          <w:szCs w:val="28"/>
        </w:rPr>
        <w:t>Лінгвально-букальний</w:t>
      </w:r>
      <w:proofErr w:type="spellEnd"/>
      <w:r w:rsidRPr="00520861">
        <w:rPr>
          <w:bCs/>
          <w:iCs/>
          <w:sz w:val="28"/>
          <w:szCs w:val="28"/>
        </w:rPr>
        <w:t xml:space="preserve"> перехресний прикус зі зміщенням нижньої щелепи вліво,</w:t>
      </w:r>
      <w:r w:rsidRPr="00520861">
        <w:rPr>
          <w:sz w:val="28"/>
          <w:szCs w:val="28"/>
        </w:rPr>
        <w:t xml:space="preserve"> звуження верхнього </w:t>
      </w:r>
      <w:r w:rsidRPr="00520861">
        <w:rPr>
          <w:sz w:val="28"/>
          <w:szCs w:val="28"/>
        </w:rPr>
        <w:br/>
        <w:t>та нижнього зубних рядів.</w:t>
      </w:r>
    </w:p>
    <w:p w14:paraId="43B00357"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lastRenderedPageBreak/>
        <w:t xml:space="preserve">Найбільш стабільним розміром у досліджуваних параметрах виявилося змикання ікл. Дослідження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-піднебінному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w:t>
      </w:r>
      <w:r w:rsidRPr="00520861">
        <w:rPr>
          <w:rFonts w:eastAsia="Calibri"/>
          <w:sz w:val="28"/>
          <w:szCs w:val="28"/>
          <w:lang w:eastAsia="en-US"/>
        </w:rPr>
        <w:br/>
        <w:t>напрямку в ділянці ікл виявило, що фізіологічне співвідношення між іклами верхньої щелепи та зубами нижньої щелепи було виявлене у 22 дітей (78,6% ДІ: 63,1% – 89,3%) ОГ та 13 дітей (92,9% ДІ: 76,8% – 98,2%) ГП. Оральне положення ікл було в однієї (13%) дитини із підгрупи 1, чотирьох (57%) дітей із підгрупи 2 та однієї (17%) дитини із підгрупи 4. Також подібне спостерігалося в однієї (7%) дитини ГП.</w:t>
      </w:r>
    </w:p>
    <w:p w14:paraId="527CEE01"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-піднебінному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w:t>
      </w:r>
      <w:r w:rsidR="00146DB1" w:rsidRPr="00520861">
        <w:rPr>
          <w:rFonts w:eastAsia="Calibri"/>
          <w:sz w:val="28"/>
          <w:szCs w:val="28"/>
          <w:lang w:eastAsia="en-US"/>
        </w:rPr>
        <w:br/>
      </w:r>
      <w:r w:rsidRPr="00520861">
        <w:rPr>
          <w:rFonts w:eastAsia="Calibri"/>
          <w:sz w:val="28"/>
          <w:szCs w:val="28"/>
          <w:lang w:eastAsia="en-US"/>
        </w:rPr>
        <w:t xml:space="preserve">напрямку в ділянці різців виявило, що зміщення середньої лінії (рис. 5.18, 5.20) мали 11 дітей (39,3% ДI: 24,5% – 55,9%) ОГ: ТРИ (38%) дитини із підгрупи 1, одна дитина (14%) із підгрупи 2, чотири дитини (57%) із підгрупи 3 та три дитини (50%) із </w:t>
      </w:r>
      <w:r w:rsidRPr="00520861">
        <w:rPr>
          <w:rFonts w:eastAsia="Calibri"/>
          <w:sz w:val="28"/>
          <w:szCs w:val="28"/>
          <w:lang w:eastAsia="en-US"/>
        </w:rPr>
        <w:br/>
        <w:t>підгрупи 4, а також 2 дитини (14,3% ДI: 4,7% – 33,9%) ГП.</w:t>
      </w:r>
    </w:p>
    <w:p w14:paraId="1DC38E8E"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Укорочення зубних рядів нижньої щелепи (фронтальна ділянка)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зафіксовано в 17 дітей (60,7% ДI: 44,1% – 75,5%), а їх подовження – у 4 дітей (14,3% ДI: 6,1% – 28,2%) ОГ. У дітей ГП укорочення зубного ряду нижньої щелепи було виявлено в однієї (7,1% ДI: 1,8% – 23,2%) дитини. Дослідження КДМ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виявило, що вкорочення зубних рядів верхньої щелепи (фронтальна ділянка) зафіксовано в 7 (25,0% ДI: 13,2% – 41,0%) дітей ОГ. Подовження мали 17 дітей (60,7% ДI: 44,1% – 75,5%) ОГ та 1 дитина (7,1% ДІ: 1,8% – 23,2%) ГП. Укорочення зубних рядів нижньої щелепи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-оральному напрямку (бокова ділянка) було виявлено в 5 дітей (17,9% ДI: 8,3% – 32,7%) ОГ та у 2 дітей (14,3% ДI: 4,7% – 33,9%) ГП.</w:t>
      </w:r>
    </w:p>
    <w:p w14:paraId="7240B087"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Укорочення зубних рядів верхньої щелепи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було виявлено в 6 дітей (21,4% ДІ: 10,7% – 36,9%) ОГ. Подовження зубних рядів нижньої щелепи спостерігалося у 2 дітей (7,1% ДІ: 2,3% – 18,3%) ОГ та 1 (7,1% ДІ: 1,8% – 23,2%) дитини ГП. Подовження зубних рядів верхньої щелепи в дітей ОГ та ГП виявлено не було. Найбільш поширеною причиною вкорочення зубних рядів у період змінного прикусу за умов нашого дослідження є висока поширеність </w:t>
      </w:r>
      <w:proofErr w:type="spellStart"/>
      <w:r w:rsidRPr="00520861">
        <w:rPr>
          <w:rFonts w:eastAsia="Calibri"/>
          <w:sz w:val="28"/>
          <w:szCs w:val="28"/>
          <w:lang w:eastAsia="en-US"/>
        </w:rPr>
        <w:t>нелікованого</w:t>
      </w:r>
      <w:proofErr w:type="spellEnd"/>
      <w:r w:rsidRPr="00520861">
        <w:rPr>
          <w:rFonts w:eastAsia="Calibri"/>
          <w:sz w:val="28"/>
          <w:szCs w:val="28"/>
          <w:lang w:eastAsia="en-US"/>
        </w:rPr>
        <w:t xml:space="preserve"> карієсу тимчасових зубів у дітей ОГ із його типовою локалізацією на </w:t>
      </w:r>
      <w:r w:rsidRPr="00520861">
        <w:rPr>
          <w:rFonts w:eastAsia="Calibri"/>
          <w:sz w:val="28"/>
          <w:szCs w:val="28"/>
          <w:lang w:eastAsia="en-US"/>
        </w:rPr>
        <w:br/>
      </w:r>
      <w:proofErr w:type="spellStart"/>
      <w:r w:rsidRPr="00520861">
        <w:rPr>
          <w:rFonts w:eastAsia="Calibri"/>
          <w:sz w:val="28"/>
          <w:szCs w:val="28"/>
          <w:lang w:eastAsia="en-US"/>
        </w:rPr>
        <w:t>апроксимальних</w:t>
      </w:r>
      <w:proofErr w:type="spellEnd"/>
      <w:r w:rsidRPr="00520861">
        <w:rPr>
          <w:rFonts w:eastAsia="Calibri"/>
          <w:sz w:val="28"/>
          <w:szCs w:val="28"/>
          <w:lang w:eastAsia="en-US"/>
        </w:rPr>
        <w:t xml:space="preserve"> поверхнях зубів (рис. 5.26</w:t>
      </w:r>
      <w:r w:rsidRPr="00520861">
        <w:rPr>
          <w:rFonts w:eastAsia="Calibri"/>
          <w:i/>
          <w:sz w:val="28"/>
          <w:szCs w:val="28"/>
          <w:lang w:eastAsia="en-US"/>
        </w:rPr>
        <w:t>б</w:t>
      </w:r>
      <w:r w:rsidRPr="00520861">
        <w:rPr>
          <w:rFonts w:eastAsia="Calibri"/>
          <w:sz w:val="28"/>
          <w:szCs w:val="28"/>
          <w:lang w:eastAsia="en-US"/>
        </w:rPr>
        <w:t>, 5.16</w:t>
      </w:r>
      <w:r w:rsidRPr="00520861">
        <w:rPr>
          <w:rFonts w:eastAsia="Calibri"/>
          <w:i/>
          <w:sz w:val="28"/>
          <w:szCs w:val="28"/>
          <w:lang w:eastAsia="en-US"/>
        </w:rPr>
        <w:t>в</w:t>
      </w:r>
      <w:r w:rsidRPr="00520861">
        <w:rPr>
          <w:rFonts w:eastAsia="Calibri"/>
          <w:sz w:val="28"/>
          <w:szCs w:val="28"/>
          <w:lang w:eastAsia="en-US"/>
        </w:rPr>
        <w:t>, 5.17</w:t>
      </w:r>
      <w:r w:rsidRPr="00520861">
        <w:rPr>
          <w:rFonts w:eastAsia="Calibri"/>
          <w:i/>
          <w:sz w:val="28"/>
          <w:szCs w:val="28"/>
          <w:lang w:eastAsia="en-US"/>
        </w:rPr>
        <w:t>б</w:t>
      </w:r>
      <w:r w:rsidRPr="00520861">
        <w:rPr>
          <w:rFonts w:eastAsia="Calibri"/>
          <w:sz w:val="28"/>
          <w:szCs w:val="28"/>
          <w:lang w:eastAsia="en-US"/>
        </w:rPr>
        <w:t>).</w:t>
      </w:r>
    </w:p>
    <w:p w14:paraId="36C12E2B" w14:textId="77777777" w:rsidR="00146DB1" w:rsidRPr="00520861" w:rsidRDefault="002E3CE8"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При оцінюванні стану зубних рядів по вертикалі аномалії були виявлені у 26 дітей (92,9% ДI: 81,7% – 97,7%) ОГ та 2 дітей (14,3% ДI: 4,7% – 33,9%) ГП. Діти ОГ у 20 (71,4% ДI: 55,1% – 84,1%) випадках мали </w:t>
      </w: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-альвеолярне подовження </w:t>
      </w:r>
      <w:r w:rsidR="00146DB1" w:rsidRPr="00520861">
        <w:rPr>
          <w:rFonts w:eastAsia="Calibri"/>
          <w:sz w:val="28"/>
          <w:szCs w:val="28"/>
          <w:lang w:eastAsia="en-US"/>
        </w:rPr>
        <w:br/>
      </w:r>
      <w:r w:rsidRPr="00520861">
        <w:rPr>
          <w:rFonts w:eastAsia="Calibri"/>
          <w:sz w:val="28"/>
          <w:szCs w:val="28"/>
          <w:lang w:eastAsia="en-US"/>
        </w:rPr>
        <w:t xml:space="preserve">фронтальної ділянки нижньої щелепи та в 4 (14,3% ДI: 6,1% – 28,2%) випадках подовження верхньої щелепи. </w:t>
      </w: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-альвеолярне подовження фронтальної ділянки верхньої щелепи було зафіксоване у 2 (14,3% ДІ: 4,7% – 33,9%) дітей ГП. </w:t>
      </w:r>
    </w:p>
    <w:p w14:paraId="2C14FCAB" w14:textId="77777777" w:rsidR="002E3CE8" w:rsidRPr="00520861" w:rsidRDefault="002E3CE8" w:rsidP="00292D2E">
      <w:pPr>
        <w:widowControl w:val="0"/>
        <w:spacing w:line="360" w:lineRule="auto"/>
        <w:ind w:firstLine="708"/>
        <w:jc w:val="both"/>
        <w:rPr>
          <w:rFonts w:eastAsia="Calibri"/>
          <w:sz w:val="28"/>
          <w:szCs w:val="28"/>
          <w:lang w:eastAsia="en-US"/>
        </w:rPr>
      </w:pP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-альвеолярне вкорочення фронтальної ділянки верхньої щелепи мали 13 (46,4% ДІ: 30,6% – 62,8%) дітей ОГ та 1 дитина (7,1% ДІ: 1,8% – 23,2%) ГП. </w:t>
      </w:r>
    </w:p>
    <w:p w14:paraId="3C2DE5D1" w14:textId="77777777" w:rsidR="002E3CE8" w:rsidRPr="00520861" w:rsidRDefault="002E3CE8" w:rsidP="00292D2E">
      <w:pPr>
        <w:widowControl w:val="0"/>
        <w:spacing w:line="360" w:lineRule="auto"/>
        <w:ind w:firstLine="709"/>
        <w:contextualSpacing/>
        <w:jc w:val="both"/>
        <w:rPr>
          <w:rFonts w:eastAsia="Calibri"/>
          <w:spacing w:val="-2"/>
          <w:sz w:val="28"/>
          <w:szCs w:val="28"/>
          <w:lang w:eastAsia="en-US"/>
        </w:rPr>
      </w:pPr>
      <w:r w:rsidRPr="00520861">
        <w:rPr>
          <w:rFonts w:eastAsia="Calibri"/>
          <w:spacing w:val="-2"/>
          <w:sz w:val="28"/>
          <w:szCs w:val="28"/>
          <w:lang w:eastAsia="en-US"/>
        </w:rPr>
        <w:t xml:space="preserve">Дослідження КДМ у </w:t>
      </w:r>
      <w:proofErr w:type="spellStart"/>
      <w:r w:rsidRPr="00520861">
        <w:rPr>
          <w:rFonts w:eastAsia="Calibri"/>
          <w:spacing w:val="-2"/>
          <w:sz w:val="28"/>
          <w:szCs w:val="28"/>
          <w:lang w:eastAsia="en-US"/>
        </w:rPr>
        <w:t>букально-лінгвальному</w:t>
      </w:r>
      <w:proofErr w:type="spellEnd"/>
      <w:r w:rsidRPr="00520861">
        <w:rPr>
          <w:rFonts w:eastAsia="Calibri"/>
          <w:spacing w:val="-2"/>
          <w:sz w:val="28"/>
          <w:szCs w:val="28"/>
          <w:lang w:eastAsia="en-US"/>
        </w:rPr>
        <w:t xml:space="preserve"> напрямку (бічна ділянка) виявило, що симетричне звуження мали 17 (60,7% ДІ: 44,1% – 75,5%) дітей ОГ та 3 дитини ГП (21,4% ДІ: 8,4% – 42,8%). Зубні ряди в бічній ділянці в </w:t>
      </w:r>
      <w:proofErr w:type="spellStart"/>
      <w:r w:rsidRPr="00520861">
        <w:rPr>
          <w:rFonts w:eastAsia="Calibri"/>
          <w:spacing w:val="-2"/>
          <w:sz w:val="28"/>
          <w:szCs w:val="28"/>
          <w:lang w:eastAsia="en-US"/>
        </w:rPr>
        <w:t>букально</w:t>
      </w:r>
      <w:proofErr w:type="spellEnd"/>
      <w:r w:rsidRPr="00520861">
        <w:rPr>
          <w:rFonts w:eastAsia="Calibri"/>
          <w:spacing w:val="-2"/>
          <w:sz w:val="28"/>
          <w:szCs w:val="28"/>
          <w:lang w:eastAsia="en-US"/>
        </w:rPr>
        <w:t>-піднебінному напрямку (бічна ділянка) були звуженими в 10 дітей (35,7% ДІ: 21,5% – 52,4%) ОГ. У ГП таку аномалію було виявлено в 3 дітей (21,4% ДІ: 8,4% – 42,8%).</w:t>
      </w:r>
    </w:p>
    <w:p w14:paraId="47D65785"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Зміщення середньої лінії зубного ряду відносно вуздечки язика в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напрямку (фронтальна ділянка) мали 3 дитини (10,7% ДІ: 4,0% – 23,5%) ОГ та 1 дитина (7,1% ДІ: 1,8% – 23,2%) ГП. Середня лінія верхнього зубного ряду співпадала із серединним піднебінним швом у всіх учасників ОГ і ГП. </w:t>
      </w:r>
    </w:p>
    <w:p w14:paraId="04E865EF"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В ОГ аномалії форми окремих зубів представлені </w:t>
      </w:r>
      <w:proofErr w:type="spellStart"/>
      <w:r w:rsidRPr="00520861">
        <w:rPr>
          <w:rFonts w:eastAsia="Calibri"/>
          <w:sz w:val="28"/>
          <w:szCs w:val="28"/>
          <w:lang w:eastAsia="en-US"/>
        </w:rPr>
        <w:t>гіпопластично</w:t>
      </w:r>
      <w:proofErr w:type="spellEnd"/>
      <w:r w:rsidRPr="00520861">
        <w:rPr>
          <w:rFonts w:eastAsia="Calibri"/>
          <w:sz w:val="28"/>
          <w:szCs w:val="28"/>
          <w:lang w:eastAsia="en-US"/>
        </w:rPr>
        <w:t xml:space="preserve"> зміненими зубами, які мали 7 дітей (23% ДІ: 12,3% – 38,6%) та 3 дитини (25% ДІ: 9.9% – 48.4%) у ГП (рис. 5.19, 5.21). Серед аномалій розміру зубів превалювала індивідуальна </w:t>
      </w:r>
      <w:proofErr w:type="spellStart"/>
      <w:r w:rsidRPr="00520861">
        <w:rPr>
          <w:rFonts w:eastAsia="Calibri"/>
          <w:sz w:val="28"/>
          <w:szCs w:val="28"/>
          <w:lang w:eastAsia="en-US"/>
        </w:rPr>
        <w:t>мікродонтія</w:t>
      </w:r>
      <w:proofErr w:type="spellEnd"/>
      <w:r w:rsidRPr="00520861">
        <w:rPr>
          <w:rFonts w:eastAsia="Calibri"/>
          <w:sz w:val="28"/>
          <w:szCs w:val="28"/>
          <w:lang w:eastAsia="en-US"/>
        </w:rPr>
        <w:t xml:space="preserve"> (рис. 5.21), яку мали 3 дитини (10,7% ДІ: 4,0% – 23,5%) ОГ. </w:t>
      </w:r>
      <w:r w:rsidRPr="00520861">
        <w:rPr>
          <w:rFonts w:eastAsia="Calibri"/>
          <w:sz w:val="28"/>
          <w:szCs w:val="28"/>
          <w:lang w:eastAsia="en-US"/>
        </w:rPr>
        <w:br/>
      </w:r>
      <w:proofErr w:type="spellStart"/>
      <w:r w:rsidRPr="00520861">
        <w:rPr>
          <w:rFonts w:eastAsia="Calibri"/>
          <w:sz w:val="28"/>
          <w:szCs w:val="28"/>
          <w:lang w:eastAsia="en-US"/>
        </w:rPr>
        <w:t>Макродонтію</w:t>
      </w:r>
      <w:proofErr w:type="spellEnd"/>
      <w:r w:rsidRPr="00520861">
        <w:rPr>
          <w:rFonts w:eastAsia="Calibri"/>
          <w:sz w:val="28"/>
          <w:szCs w:val="28"/>
          <w:lang w:eastAsia="en-US"/>
        </w:rPr>
        <w:t xml:space="preserve"> (рис. 5.22) було виявлено в однієї дитини (3,6% ДІ: 0,9% – 12,3%) ОГ.</w:t>
      </w:r>
    </w:p>
    <w:p w14:paraId="629B226B"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Одна дитина (7%) ГП мала надкомплектний тимчасовий зуб.</w:t>
      </w:r>
    </w:p>
    <w:p w14:paraId="74843D3B" w14:textId="77777777" w:rsidR="002E3CE8" w:rsidRPr="00520861" w:rsidRDefault="002E3CE8" w:rsidP="00292D2E">
      <w:pPr>
        <w:widowControl w:val="0"/>
        <w:spacing w:line="360" w:lineRule="auto"/>
        <w:ind w:firstLine="709"/>
        <w:jc w:val="both"/>
        <w:rPr>
          <w:rFonts w:eastAsiaTheme="minorHAnsi"/>
          <w:sz w:val="28"/>
          <w:szCs w:val="28"/>
          <w:shd w:val="clear" w:color="auto" w:fill="FFFFFF"/>
        </w:rPr>
      </w:pPr>
      <w:r w:rsidRPr="00520861">
        <w:rPr>
          <w:rFonts w:eastAsia="Calibri"/>
          <w:sz w:val="28"/>
          <w:szCs w:val="28"/>
          <w:lang w:eastAsia="en-US"/>
        </w:rPr>
        <w:t xml:space="preserve">Серед </w:t>
      </w:r>
      <w:proofErr w:type="spellStart"/>
      <w:r w:rsidRPr="00520861">
        <w:rPr>
          <w:rFonts w:eastAsia="Calibri"/>
          <w:sz w:val="28"/>
          <w:szCs w:val="28"/>
          <w:lang w:eastAsia="en-US"/>
        </w:rPr>
        <w:t>зубощелепних</w:t>
      </w:r>
      <w:proofErr w:type="spellEnd"/>
      <w:r w:rsidRPr="00520861">
        <w:rPr>
          <w:rFonts w:eastAsia="Calibri"/>
          <w:sz w:val="28"/>
          <w:szCs w:val="28"/>
          <w:lang w:eastAsia="en-US"/>
        </w:rPr>
        <w:t xml:space="preserve"> аномалій були виявлені різні рівні патологічних станів: аномалії прикусу, аномалії форми й розміру зубних рядів та аномалії окремих зубів. Ізольовано одна від одної названі аномалії не зустрічаються, тому виокремлення </w:t>
      </w:r>
      <w:r w:rsidRPr="00520861">
        <w:rPr>
          <w:rFonts w:eastAsia="Calibri"/>
          <w:sz w:val="28"/>
          <w:szCs w:val="28"/>
          <w:lang w:eastAsia="en-US"/>
        </w:rPr>
        <w:br/>
        <w:t xml:space="preserve">певних аномалій положення зубів є недоцільним. </w:t>
      </w:r>
      <w:r w:rsidRPr="00520861">
        <w:rPr>
          <w:rFonts w:eastAsiaTheme="minorHAnsi"/>
          <w:sz w:val="28"/>
          <w:szCs w:val="28"/>
          <w:shd w:val="clear" w:color="auto" w:fill="FFFFFF"/>
        </w:rPr>
        <w:t xml:space="preserve">Але в 3 (11%) дітей ОГ було </w:t>
      </w:r>
      <w:r w:rsidRPr="00520861">
        <w:rPr>
          <w:rFonts w:eastAsiaTheme="minorHAnsi"/>
          <w:sz w:val="28"/>
          <w:szCs w:val="28"/>
          <w:shd w:val="clear" w:color="auto" w:fill="FFFFFF"/>
        </w:rPr>
        <w:br/>
        <w:t xml:space="preserve">зафіксовано поворот зубів фронтальної групи навколо поздовжньої осі </w:t>
      </w:r>
      <w:r w:rsidRPr="00520861">
        <w:rPr>
          <w:rFonts w:eastAsia="Calibri"/>
          <w:sz w:val="28"/>
          <w:szCs w:val="28"/>
        </w:rPr>
        <w:t>(рис. 5.19)</w:t>
      </w:r>
      <w:r w:rsidRPr="00520861">
        <w:rPr>
          <w:rFonts w:eastAsiaTheme="minorHAnsi"/>
          <w:sz w:val="28"/>
          <w:szCs w:val="28"/>
          <w:shd w:val="clear" w:color="auto" w:fill="FFFFFF"/>
        </w:rPr>
        <w:t xml:space="preserve">. Цей факт заслуговує на увагу тому, що діти не мали </w:t>
      </w:r>
      <w:proofErr w:type="spellStart"/>
      <w:r w:rsidRPr="00520861">
        <w:rPr>
          <w:rFonts w:eastAsiaTheme="minorHAnsi"/>
          <w:sz w:val="28"/>
          <w:szCs w:val="28"/>
          <w:shd w:val="clear" w:color="auto" w:fill="FFFFFF"/>
        </w:rPr>
        <w:t>анкілоглосії</w:t>
      </w:r>
      <w:proofErr w:type="spellEnd"/>
      <w:r w:rsidRPr="00520861">
        <w:rPr>
          <w:rFonts w:eastAsiaTheme="minorHAnsi"/>
          <w:sz w:val="28"/>
          <w:szCs w:val="28"/>
          <w:shd w:val="clear" w:color="auto" w:fill="FFFFFF"/>
        </w:rPr>
        <w:t xml:space="preserve"> та скупчення зубів у фронтальній ділянці. </w:t>
      </w:r>
    </w:p>
    <w:p w14:paraId="102E02E3" w14:textId="77777777" w:rsidR="002E3CE8" w:rsidRPr="00520861" w:rsidRDefault="002E3CE8" w:rsidP="00292D2E">
      <w:pPr>
        <w:widowControl w:val="0"/>
        <w:spacing w:line="360" w:lineRule="auto"/>
        <w:ind w:firstLine="709"/>
        <w:jc w:val="center"/>
        <w:rPr>
          <w:rFonts w:eastAsia="Calibri"/>
          <w:sz w:val="28"/>
          <w:szCs w:val="28"/>
        </w:rPr>
      </w:pPr>
      <w:r w:rsidRPr="00520861">
        <w:rPr>
          <w:rFonts w:eastAsia="Calibri"/>
          <w:noProof/>
          <w:sz w:val="28"/>
          <w:szCs w:val="28"/>
          <w:lang w:val="ru-RU"/>
        </w:rPr>
        <w:lastRenderedPageBreak/>
        <w:drawing>
          <wp:inline distT="0" distB="0" distL="0" distR="0" wp14:anchorId="03BF0094" wp14:editId="5185F1F3">
            <wp:extent cx="4100400" cy="3060000"/>
            <wp:effectExtent l="0" t="0" r="0" b="7620"/>
            <wp:docPr id="9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100400" cy="3060000"/>
                    </a:xfrm>
                    <a:prstGeom prst="rect">
                      <a:avLst/>
                    </a:prstGeom>
                    <a:noFill/>
                    <a:ln>
                      <a:noFill/>
                    </a:ln>
                  </pic:spPr>
                </pic:pic>
              </a:graphicData>
            </a:graphic>
          </wp:inline>
        </w:drawing>
      </w:r>
    </w:p>
    <w:p w14:paraId="50317B15" w14:textId="77777777" w:rsidR="002E3CE8" w:rsidRPr="00520861" w:rsidRDefault="002E3CE8" w:rsidP="00292D2E">
      <w:pPr>
        <w:widowControl w:val="0"/>
        <w:spacing w:line="360" w:lineRule="auto"/>
        <w:ind w:right="48" w:firstLine="708"/>
        <w:contextualSpacing/>
        <w:jc w:val="center"/>
        <w:rPr>
          <w:sz w:val="28"/>
          <w:szCs w:val="28"/>
        </w:rPr>
      </w:pPr>
      <w:r w:rsidRPr="00520861">
        <w:rPr>
          <w:sz w:val="28"/>
          <w:szCs w:val="28"/>
        </w:rPr>
        <w:t xml:space="preserve">Рис. 5.21. </w:t>
      </w:r>
      <w:r w:rsidRPr="00520861">
        <w:rPr>
          <w:bCs/>
          <w:iCs/>
          <w:sz w:val="28"/>
          <w:szCs w:val="28"/>
        </w:rPr>
        <w:t xml:space="preserve">Фото фронтальної ділянки ротової порожнини дитини М. (хлопчик) у віці 7 років, </w:t>
      </w:r>
      <w:r w:rsidRPr="00520861">
        <w:rPr>
          <w:sz w:val="28"/>
          <w:szCs w:val="28"/>
        </w:rPr>
        <w:t xml:space="preserve">амб. карта № 162162, </w:t>
      </w:r>
      <w:r w:rsidRPr="00520861">
        <w:rPr>
          <w:bCs/>
          <w:iCs/>
          <w:sz w:val="28"/>
          <w:szCs w:val="28"/>
        </w:rPr>
        <w:t>підгрупа 2</w:t>
      </w:r>
      <w:r w:rsidRPr="00520861">
        <w:rPr>
          <w:bCs/>
          <w:i/>
          <w:iCs/>
          <w:sz w:val="28"/>
          <w:szCs w:val="28"/>
        </w:rPr>
        <w:t>.</w:t>
      </w:r>
      <w:r w:rsidRPr="00520861">
        <w:rPr>
          <w:sz w:val="28"/>
          <w:szCs w:val="28"/>
        </w:rPr>
        <w:t xml:space="preserve"> Вуздечка верхньої губи IІІ вид (за класифікацією </w:t>
      </w:r>
      <w:proofErr w:type="spellStart"/>
      <w:r w:rsidRPr="00520861">
        <w:rPr>
          <w:sz w:val="28"/>
          <w:szCs w:val="28"/>
        </w:rPr>
        <w:t>Хорошилкіної</w:t>
      </w:r>
      <w:proofErr w:type="spellEnd"/>
      <w:r w:rsidRPr="00520861">
        <w:rPr>
          <w:sz w:val="28"/>
          <w:szCs w:val="28"/>
        </w:rPr>
        <w:t xml:space="preserve"> Ф.Я.), справжня </w:t>
      </w:r>
      <w:proofErr w:type="spellStart"/>
      <w:r w:rsidRPr="00520861">
        <w:rPr>
          <w:sz w:val="28"/>
          <w:szCs w:val="28"/>
        </w:rPr>
        <w:t>діастема</w:t>
      </w:r>
      <w:proofErr w:type="spellEnd"/>
      <w:r w:rsidRPr="00520861">
        <w:rPr>
          <w:sz w:val="28"/>
          <w:szCs w:val="28"/>
        </w:rPr>
        <w:t xml:space="preserve">, </w:t>
      </w:r>
      <w:proofErr w:type="spellStart"/>
      <w:r w:rsidRPr="00520861">
        <w:rPr>
          <w:sz w:val="28"/>
          <w:szCs w:val="28"/>
        </w:rPr>
        <w:t>треми</w:t>
      </w:r>
      <w:proofErr w:type="spellEnd"/>
      <w:r w:rsidRPr="00520861">
        <w:rPr>
          <w:sz w:val="28"/>
          <w:szCs w:val="28"/>
        </w:rPr>
        <w:t xml:space="preserve"> верхнього зубного ряду. Індивідуальна </w:t>
      </w:r>
      <w:proofErr w:type="spellStart"/>
      <w:r w:rsidRPr="00520861">
        <w:rPr>
          <w:sz w:val="28"/>
          <w:szCs w:val="28"/>
        </w:rPr>
        <w:t>мікродонтія</w:t>
      </w:r>
      <w:proofErr w:type="spellEnd"/>
      <w:r w:rsidRPr="00520861">
        <w:rPr>
          <w:sz w:val="28"/>
          <w:szCs w:val="28"/>
        </w:rPr>
        <w:t>, системна гіпоплазія емалі.</w:t>
      </w:r>
    </w:p>
    <w:p w14:paraId="154BAC73" w14:textId="77777777" w:rsidR="002E3CE8" w:rsidRPr="00520861" w:rsidRDefault="002E3CE8" w:rsidP="00292D2E">
      <w:pPr>
        <w:widowControl w:val="0"/>
        <w:ind w:right="425" w:firstLine="709"/>
        <w:jc w:val="both"/>
        <w:rPr>
          <w:rFonts w:eastAsia="Calibri"/>
          <w:bCs/>
          <w:iCs/>
          <w:sz w:val="28"/>
          <w:szCs w:val="28"/>
        </w:rPr>
      </w:pPr>
    </w:p>
    <w:p w14:paraId="132366C3" w14:textId="77777777" w:rsidR="002E3CE8" w:rsidRPr="00520861" w:rsidRDefault="002E3CE8" w:rsidP="00292D2E">
      <w:pPr>
        <w:widowControl w:val="0"/>
        <w:spacing w:line="360" w:lineRule="auto"/>
        <w:ind w:firstLine="709"/>
        <w:jc w:val="center"/>
        <w:rPr>
          <w:rFonts w:eastAsia="Calibri"/>
          <w:sz w:val="28"/>
          <w:szCs w:val="28"/>
        </w:rPr>
      </w:pPr>
      <w:r w:rsidRPr="00520861">
        <w:rPr>
          <w:rFonts w:eastAsia="Calibri"/>
          <w:noProof/>
          <w:sz w:val="28"/>
          <w:szCs w:val="28"/>
          <w:lang w:val="ru-RU"/>
        </w:rPr>
        <w:drawing>
          <wp:inline distT="0" distB="0" distL="0" distR="0" wp14:anchorId="1A9FDC5C" wp14:editId="01D56A2D">
            <wp:extent cx="4125600" cy="3060000"/>
            <wp:effectExtent l="0" t="0" r="8255" b="762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125600" cy="3060000"/>
                    </a:xfrm>
                    <a:prstGeom prst="rect">
                      <a:avLst/>
                    </a:prstGeom>
                    <a:noFill/>
                    <a:ln>
                      <a:noFill/>
                    </a:ln>
                  </pic:spPr>
                </pic:pic>
              </a:graphicData>
            </a:graphic>
          </wp:inline>
        </w:drawing>
      </w:r>
    </w:p>
    <w:p w14:paraId="5029F60B" w14:textId="77777777" w:rsidR="002E3CE8" w:rsidRPr="00520861" w:rsidRDefault="002E3CE8" w:rsidP="00292D2E">
      <w:pPr>
        <w:widowControl w:val="0"/>
        <w:spacing w:line="360" w:lineRule="auto"/>
        <w:ind w:right="48" w:firstLine="708"/>
        <w:contextualSpacing/>
        <w:jc w:val="center"/>
        <w:rPr>
          <w:sz w:val="28"/>
          <w:szCs w:val="28"/>
        </w:rPr>
      </w:pPr>
      <w:r w:rsidRPr="00520861">
        <w:rPr>
          <w:sz w:val="28"/>
          <w:szCs w:val="28"/>
        </w:rPr>
        <w:t xml:space="preserve">Рис. 5.22. </w:t>
      </w:r>
      <w:r w:rsidRPr="00520861">
        <w:rPr>
          <w:bCs/>
          <w:iCs/>
          <w:sz w:val="28"/>
          <w:szCs w:val="28"/>
        </w:rPr>
        <w:t xml:space="preserve">Фото фронтальної ділянки ротової порожнини дитини В. (хлопчик) у віці 7 років, </w:t>
      </w:r>
      <w:r w:rsidRPr="00520861">
        <w:rPr>
          <w:sz w:val="28"/>
          <w:szCs w:val="28"/>
        </w:rPr>
        <w:t xml:space="preserve">амб. карта № 162086, </w:t>
      </w:r>
      <w:r w:rsidRPr="00520861">
        <w:rPr>
          <w:bCs/>
          <w:iCs/>
          <w:sz w:val="28"/>
          <w:szCs w:val="28"/>
        </w:rPr>
        <w:t>підгрупа 3</w:t>
      </w:r>
      <w:r w:rsidRPr="00520861">
        <w:rPr>
          <w:bCs/>
          <w:i/>
          <w:iCs/>
          <w:sz w:val="28"/>
          <w:szCs w:val="28"/>
        </w:rPr>
        <w:t>.</w:t>
      </w:r>
      <w:r w:rsidRPr="00520861">
        <w:rPr>
          <w:sz w:val="28"/>
          <w:szCs w:val="28"/>
        </w:rPr>
        <w:t xml:space="preserve"> Глибокий прикус обтяжений </w:t>
      </w:r>
      <w:r w:rsidRPr="00520861">
        <w:rPr>
          <w:sz w:val="28"/>
          <w:szCs w:val="28"/>
        </w:rPr>
        <w:br/>
      </w:r>
      <w:proofErr w:type="spellStart"/>
      <w:r w:rsidRPr="00520861">
        <w:rPr>
          <w:sz w:val="28"/>
          <w:szCs w:val="28"/>
        </w:rPr>
        <w:t>лінгвальним</w:t>
      </w:r>
      <w:proofErr w:type="spellEnd"/>
      <w:r w:rsidRPr="00520861">
        <w:rPr>
          <w:sz w:val="28"/>
          <w:szCs w:val="28"/>
        </w:rPr>
        <w:t xml:space="preserve"> перехресним прикусом зі зміщенням нижньої щелепи вліво, звуженням верхнього і нижнього зубних рядів, скупченим положенням </w:t>
      </w:r>
      <w:r w:rsidRPr="00520861">
        <w:rPr>
          <w:sz w:val="28"/>
          <w:szCs w:val="28"/>
        </w:rPr>
        <w:br/>
        <w:t xml:space="preserve">31, 32, 41 і 42 зубів, </w:t>
      </w:r>
      <w:proofErr w:type="spellStart"/>
      <w:r w:rsidRPr="00520861">
        <w:rPr>
          <w:sz w:val="28"/>
          <w:szCs w:val="28"/>
        </w:rPr>
        <w:t>макродонтією</w:t>
      </w:r>
      <w:proofErr w:type="spellEnd"/>
      <w:r w:rsidRPr="00520861">
        <w:rPr>
          <w:sz w:val="28"/>
          <w:szCs w:val="28"/>
        </w:rPr>
        <w:t>.</w:t>
      </w:r>
    </w:p>
    <w:p w14:paraId="74D0EE77"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Theme="minorHAnsi"/>
          <w:sz w:val="28"/>
          <w:szCs w:val="28"/>
          <w:shd w:val="clear" w:color="auto" w:fill="FFFFFF"/>
        </w:rPr>
        <w:lastRenderedPageBreak/>
        <w:t>Виявлена аномалія може бути наслідком дії якихось місцевих факторів, а також може свідчити про порушення фронтального сегмента щелеп.</w:t>
      </w:r>
    </w:p>
    <w:p w14:paraId="0E594FB5"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Оскільки статистично значущими виявилися результати, отримані нами в категорії «аномалії прорізування зубів», ми їх опишемо окремо. </w:t>
      </w:r>
    </w:p>
    <w:p w14:paraId="13538BA1"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35% дітей ОГ прорізування центральних різців на нижній щелепі відбувалося раніше прорізування перших постійних молярів, що є додатковою ознакою, яка підтверджує недорозвинення нижньої щелепи. Такі аномалії в ГП не </w:t>
      </w:r>
      <w:r w:rsidRPr="00520861">
        <w:rPr>
          <w:rFonts w:eastAsia="Calibri"/>
          <w:sz w:val="28"/>
          <w:szCs w:val="28"/>
          <w:lang w:eastAsia="en-US"/>
        </w:rPr>
        <w:br/>
        <w:t>спостерігалися.</w:t>
      </w:r>
    </w:p>
    <w:p w14:paraId="07204DCC" w14:textId="77777777" w:rsidR="002E3CE8" w:rsidRPr="00520861" w:rsidRDefault="002E3CE8" w:rsidP="00292D2E">
      <w:pPr>
        <w:widowControl w:val="0"/>
        <w:spacing w:line="360" w:lineRule="auto"/>
        <w:ind w:firstLine="709"/>
        <w:contextualSpacing/>
        <w:jc w:val="both"/>
        <w:rPr>
          <w:rFonts w:eastAsia="Calibri"/>
          <w:spacing w:val="-1"/>
          <w:sz w:val="28"/>
          <w:szCs w:val="28"/>
          <w:lang w:eastAsia="en-US"/>
        </w:rPr>
      </w:pPr>
      <w:r w:rsidRPr="00520861">
        <w:rPr>
          <w:rFonts w:eastAsia="Calibri"/>
          <w:spacing w:val="-1"/>
          <w:sz w:val="28"/>
          <w:szCs w:val="28"/>
          <w:lang w:eastAsia="en-US"/>
        </w:rPr>
        <w:t xml:space="preserve">Велика маса тіла новонародженої дитини впливає на формування СГС в онтогенезі [67]. Поєднання вузького обличчя та дистального прикусу є притаманним </w:t>
      </w:r>
      <w:r w:rsidRPr="00520861">
        <w:rPr>
          <w:rFonts w:eastAsia="Calibri"/>
          <w:spacing w:val="-1"/>
          <w:sz w:val="28"/>
          <w:szCs w:val="28"/>
          <w:lang w:eastAsia="en-US"/>
        </w:rPr>
        <w:br/>
        <w:t xml:space="preserve">підліткам, які народилися </w:t>
      </w:r>
      <w:proofErr w:type="spellStart"/>
      <w:r w:rsidRPr="00520861">
        <w:rPr>
          <w:rFonts w:eastAsia="Calibri"/>
          <w:spacing w:val="-1"/>
          <w:sz w:val="28"/>
          <w:szCs w:val="28"/>
          <w:lang w:eastAsia="en-US"/>
        </w:rPr>
        <w:t>макросомами</w:t>
      </w:r>
      <w:proofErr w:type="spellEnd"/>
      <w:r w:rsidRPr="00520861">
        <w:rPr>
          <w:rFonts w:eastAsia="Calibri"/>
          <w:spacing w:val="-1"/>
          <w:sz w:val="28"/>
          <w:szCs w:val="28"/>
          <w:lang w:eastAsia="en-US"/>
        </w:rPr>
        <w:t xml:space="preserve">. Отримані результати можуть бути враховані при профілактичних оглядах, плануванні та проведенні </w:t>
      </w:r>
      <w:proofErr w:type="spellStart"/>
      <w:r w:rsidRPr="00520861">
        <w:rPr>
          <w:rFonts w:eastAsia="Calibri"/>
          <w:spacing w:val="-1"/>
          <w:sz w:val="28"/>
          <w:szCs w:val="28"/>
          <w:lang w:eastAsia="en-US"/>
        </w:rPr>
        <w:t>ортодонтичного</w:t>
      </w:r>
      <w:proofErr w:type="spellEnd"/>
      <w:r w:rsidRPr="00520861">
        <w:rPr>
          <w:rFonts w:eastAsia="Calibri"/>
          <w:spacing w:val="-1"/>
          <w:sz w:val="28"/>
          <w:szCs w:val="28"/>
          <w:lang w:eastAsia="en-US"/>
        </w:rPr>
        <w:t xml:space="preserve"> </w:t>
      </w:r>
      <w:r w:rsidRPr="00520861">
        <w:rPr>
          <w:rFonts w:eastAsia="Calibri"/>
          <w:spacing w:val="-1"/>
          <w:sz w:val="28"/>
          <w:szCs w:val="28"/>
          <w:lang w:eastAsia="en-US"/>
        </w:rPr>
        <w:br/>
        <w:t xml:space="preserve">лікування. </w:t>
      </w:r>
    </w:p>
    <w:p w14:paraId="7D554853" w14:textId="77777777" w:rsidR="002E3CE8" w:rsidRPr="00520861" w:rsidRDefault="002E3CE8" w:rsidP="00292D2E">
      <w:pPr>
        <w:widowControl w:val="0"/>
        <w:spacing w:line="360" w:lineRule="auto"/>
        <w:jc w:val="center"/>
        <w:rPr>
          <w:rFonts w:eastAsiaTheme="minorHAnsi"/>
          <w:b/>
          <w:bCs/>
          <w:sz w:val="28"/>
          <w:szCs w:val="28"/>
          <w:lang w:eastAsia="en-US"/>
        </w:rPr>
      </w:pPr>
    </w:p>
    <w:p w14:paraId="4BC4815A" w14:textId="77777777" w:rsidR="002E3CE8" w:rsidRPr="00520861" w:rsidRDefault="002E3CE8" w:rsidP="00292D2E">
      <w:pPr>
        <w:widowControl w:val="0"/>
        <w:spacing w:line="360" w:lineRule="auto"/>
        <w:ind w:firstLine="709"/>
        <w:jc w:val="both"/>
        <w:rPr>
          <w:rFonts w:eastAsia="Calibri"/>
          <w:b/>
          <w:sz w:val="28"/>
          <w:szCs w:val="28"/>
          <w:lang w:eastAsia="en-US"/>
        </w:rPr>
      </w:pPr>
      <w:r w:rsidRPr="00520861">
        <w:rPr>
          <w:rFonts w:eastAsia="Calibri"/>
          <w:b/>
          <w:sz w:val="28"/>
          <w:szCs w:val="28"/>
          <w:lang w:eastAsia="en-US"/>
        </w:rPr>
        <w:t xml:space="preserve">5.6. Результати вивчення особливостей </w:t>
      </w:r>
      <w:proofErr w:type="spellStart"/>
      <w:r w:rsidRPr="00520861">
        <w:rPr>
          <w:rFonts w:eastAsia="Calibri"/>
          <w:b/>
          <w:sz w:val="28"/>
          <w:szCs w:val="28"/>
          <w:lang w:eastAsia="en-US"/>
        </w:rPr>
        <w:t>стоматогнатичної</w:t>
      </w:r>
      <w:proofErr w:type="spellEnd"/>
      <w:r w:rsidRPr="00520861">
        <w:rPr>
          <w:rFonts w:eastAsia="Calibri"/>
          <w:b/>
          <w:sz w:val="28"/>
          <w:szCs w:val="28"/>
          <w:lang w:eastAsia="en-US"/>
        </w:rPr>
        <w:t xml:space="preserve"> системи в </w:t>
      </w:r>
      <w:r w:rsidRPr="00520861">
        <w:rPr>
          <w:rFonts w:eastAsia="Calibri"/>
          <w:b/>
          <w:sz w:val="28"/>
          <w:szCs w:val="28"/>
          <w:lang w:eastAsia="en-US"/>
        </w:rPr>
        <w:br/>
        <w:t xml:space="preserve">період постійного прикусу (ВП-V, ВП-VI, ВП-VII, ВП-VIII) в осіб, які </w:t>
      </w:r>
      <w:r w:rsidRPr="00520861">
        <w:rPr>
          <w:rFonts w:eastAsia="Calibri"/>
          <w:b/>
          <w:sz w:val="28"/>
          <w:szCs w:val="28"/>
          <w:lang w:eastAsia="en-US"/>
        </w:rPr>
        <w:br/>
        <w:t xml:space="preserve">народилися </w:t>
      </w:r>
      <w:proofErr w:type="spellStart"/>
      <w:r w:rsidRPr="00520861">
        <w:rPr>
          <w:rFonts w:eastAsia="Calibri"/>
          <w:b/>
          <w:sz w:val="28"/>
          <w:szCs w:val="28"/>
          <w:lang w:eastAsia="en-US"/>
        </w:rPr>
        <w:t>макросомами</w:t>
      </w:r>
      <w:proofErr w:type="spellEnd"/>
    </w:p>
    <w:p w14:paraId="4CA3346F" w14:textId="77777777" w:rsidR="002E3CE8" w:rsidRPr="00520861" w:rsidRDefault="002E3CE8" w:rsidP="00292D2E">
      <w:pPr>
        <w:widowControl w:val="0"/>
        <w:spacing w:line="360" w:lineRule="auto"/>
        <w:ind w:firstLine="709"/>
        <w:jc w:val="both"/>
        <w:rPr>
          <w:rFonts w:eastAsia="Calibri"/>
          <w:b/>
          <w:sz w:val="28"/>
          <w:szCs w:val="28"/>
          <w:lang w:eastAsia="en-US"/>
        </w:rPr>
      </w:pPr>
    </w:p>
    <w:p w14:paraId="2C1F5EE4" w14:textId="77777777" w:rsidR="002E3CE8" w:rsidRPr="00520861" w:rsidRDefault="002E3CE8" w:rsidP="00292D2E">
      <w:pPr>
        <w:widowControl w:val="0"/>
        <w:spacing w:line="360" w:lineRule="auto"/>
        <w:ind w:firstLine="708"/>
        <w:jc w:val="both"/>
        <w:rPr>
          <w:sz w:val="28"/>
          <w:szCs w:val="28"/>
        </w:rPr>
      </w:pPr>
      <w:r w:rsidRPr="00520861">
        <w:rPr>
          <w:sz w:val="28"/>
          <w:szCs w:val="28"/>
        </w:rPr>
        <w:t xml:space="preserve">При проведенні </w:t>
      </w:r>
      <w:proofErr w:type="spellStart"/>
      <w:r w:rsidRPr="00520861">
        <w:rPr>
          <w:sz w:val="28"/>
          <w:szCs w:val="28"/>
        </w:rPr>
        <w:t>позаротового</w:t>
      </w:r>
      <w:proofErr w:type="spellEnd"/>
      <w:r w:rsidRPr="00520861">
        <w:rPr>
          <w:sz w:val="28"/>
          <w:szCs w:val="28"/>
        </w:rPr>
        <w:t xml:space="preserve"> обстеження було виявлено, що у 88 (62,9% ДІ: 55,0% – 70,2%) осіб ОГ обличчя було непропорційним [54]. У 73 (52,1% ДІ: 44,2% – 60,0%) осіб ОГ (</w:t>
      </w:r>
      <w:r w:rsidRPr="00520861">
        <w:rPr>
          <w:rFonts w:eastAsiaTheme="minorHAnsi"/>
          <w:sz w:val="28"/>
          <w:szCs w:val="28"/>
          <w:lang w:eastAsia="en-US"/>
        </w:rPr>
        <w:t xml:space="preserve">тут і далі </w:t>
      </w:r>
      <w:r w:rsidRPr="00520861">
        <w:rPr>
          <w:sz w:val="28"/>
          <w:szCs w:val="28"/>
        </w:rPr>
        <w:t>по підгрупах: у 15</w:t>
      </w:r>
      <w:r w:rsidRPr="00520861">
        <w:rPr>
          <w:rFonts w:eastAsia="Calibri"/>
          <w:sz w:val="28"/>
          <w:szCs w:val="28"/>
          <w:lang w:eastAsia="en-US"/>
        </w:rPr>
        <w:t xml:space="preserve"> </w:t>
      </w:r>
      <w:r w:rsidRPr="00520861">
        <w:rPr>
          <w:sz w:val="28"/>
          <w:szCs w:val="28"/>
        </w:rPr>
        <w:t>(45,5% ДІ: 30,8% – 60,8%), 13</w:t>
      </w:r>
      <w:r w:rsidRPr="00520861">
        <w:rPr>
          <w:rFonts w:eastAsia="Calibri"/>
          <w:sz w:val="28"/>
          <w:szCs w:val="28"/>
          <w:lang w:eastAsia="en-US"/>
        </w:rPr>
        <w:t xml:space="preserve"> </w:t>
      </w:r>
      <w:r w:rsidRPr="00520861">
        <w:rPr>
          <w:sz w:val="28"/>
          <w:szCs w:val="28"/>
        </w:rPr>
        <w:t>(54,2% ДІ: 36,6% – 70,9%), 12</w:t>
      </w:r>
      <w:r w:rsidRPr="00520861">
        <w:rPr>
          <w:rFonts w:eastAsia="Calibri"/>
          <w:sz w:val="28"/>
          <w:szCs w:val="28"/>
          <w:lang w:eastAsia="en-US"/>
        </w:rPr>
        <w:t xml:space="preserve"> </w:t>
      </w:r>
      <w:r w:rsidRPr="00520861">
        <w:rPr>
          <w:sz w:val="28"/>
          <w:szCs w:val="28"/>
        </w:rPr>
        <w:t>(41,4% ДІ: 26,4% – 57,7%) та 33</w:t>
      </w:r>
      <w:r w:rsidRPr="00520861">
        <w:rPr>
          <w:rFonts w:eastAsia="Calibri"/>
          <w:sz w:val="28"/>
          <w:szCs w:val="28"/>
          <w:lang w:eastAsia="en-US"/>
        </w:rPr>
        <w:t xml:space="preserve"> </w:t>
      </w:r>
      <w:r w:rsidRPr="00520861">
        <w:rPr>
          <w:sz w:val="28"/>
          <w:szCs w:val="28"/>
        </w:rPr>
        <w:t>(61,1% ДІ: 48,7% – 72,4%) для осіб</w:t>
      </w:r>
      <w:r w:rsidRPr="00520861">
        <w:rPr>
          <w:rFonts w:eastAsiaTheme="minorHAnsi"/>
          <w:sz w:val="28"/>
          <w:szCs w:val="28"/>
          <w:lang w:eastAsia="en-US"/>
        </w:rPr>
        <w:t xml:space="preserve"> у підгрупах 1 – 4 відповідно від загальної кількості осіб у підгрупі</w:t>
      </w:r>
      <w:r w:rsidRPr="00520861">
        <w:rPr>
          <w:sz w:val="28"/>
          <w:szCs w:val="28"/>
        </w:rPr>
        <w:t>) було зафіксовано зменшення нижньої третини обличчя в поєднанні з глибокою підборідною складкою.</w:t>
      </w:r>
    </w:p>
    <w:p w14:paraId="4A881F21" w14:textId="77777777" w:rsidR="002E3CE8" w:rsidRPr="00520861" w:rsidRDefault="002E3CE8" w:rsidP="00292D2E">
      <w:pPr>
        <w:widowControl w:val="0"/>
        <w:spacing w:line="360" w:lineRule="auto"/>
        <w:ind w:firstLine="708"/>
        <w:jc w:val="both"/>
        <w:rPr>
          <w:b/>
          <w:sz w:val="28"/>
          <w:szCs w:val="28"/>
        </w:rPr>
      </w:pPr>
      <w:r w:rsidRPr="00520861">
        <w:rPr>
          <w:sz w:val="28"/>
          <w:szCs w:val="28"/>
        </w:rPr>
        <w:t xml:space="preserve"> У 15 (10,7% ДІ: 6,7% – 16,2%) випадках (по підгрупах: 6</w:t>
      </w:r>
      <w:r w:rsidRPr="00520861">
        <w:rPr>
          <w:rFonts w:eastAsia="Calibri"/>
          <w:sz w:val="28"/>
          <w:szCs w:val="28"/>
          <w:lang w:eastAsia="en-US"/>
        </w:rPr>
        <w:t xml:space="preserve"> </w:t>
      </w:r>
      <w:r w:rsidRPr="00520861">
        <w:rPr>
          <w:sz w:val="28"/>
          <w:szCs w:val="28"/>
        </w:rPr>
        <w:t>(18,2% ДІ: 9,0% – 31,9%), 1</w:t>
      </w:r>
      <w:r w:rsidRPr="00520861">
        <w:rPr>
          <w:rFonts w:eastAsia="Calibri"/>
          <w:sz w:val="28"/>
          <w:szCs w:val="28"/>
          <w:lang w:eastAsia="en-US"/>
        </w:rPr>
        <w:t xml:space="preserve"> </w:t>
      </w:r>
      <w:r w:rsidRPr="00520861">
        <w:rPr>
          <w:sz w:val="28"/>
          <w:szCs w:val="28"/>
        </w:rPr>
        <w:t>(4,2% ДІ: 1,0% – 14,2%), 3</w:t>
      </w:r>
      <w:r w:rsidRPr="00520861">
        <w:rPr>
          <w:rFonts w:eastAsia="Calibri"/>
          <w:sz w:val="28"/>
          <w:szCs w:val="28"/>
          <w:lang w:eastAsia="en-US"/>
        </w:rPr>
        <w:t xml:space="preserve"> </w:t>
      </w:r>
      <w:r w:rsidRPr="00520861">
        <w:rPr>
          <w:sz w:val="28"/>
          <w:szCs w:val="28"/>
        </w:rPr>
        <w:t>(10,3% ДІ: 3,9% – 22,8%) та 5</w:t>
      </w:r>
      <w:r w:rsidRPr="00520861">
        <w:rPr>
          <w:rFonts w:eastAsia="Calibri"/>
          <w:sz w:val="28"/>
          <w:szCs w:val="28"/>
          <w:lang w:eastAsia="en-US"/>
        </w:rPr>
        <w:t xml:space="preserve"> </w:t>
      </w:r>
      <w:r w:rsidRPr="00520861">
        <w:rPr>
          <w:sz w:val="28"/>
          <w:szCs w:val="28"/>
        </w:rPr>
        <w:t>(9,3% ДІ: 4,2% – 17,9%)) мало місце збільшення нижньої третини обличчя. У ГП зменшення нижньої третини обличчя було виявлено в 19 (24,1% ДІ: 16,2% – 33,6%) осіб, а збільшення – у 4 (5,1% ДІ: 2,1% – 10,7%) осіб.</w:t>
      </w:r>
    </w:p>
    <w:p w14:paraId="631F07B5" w14:textId="77777777" w:rsidR="002E3CE8" w:rsidRPr="00520861" w:rsidRDefault="002E3CE8" w:rsidP="00292D2E">
      <w:pPr>
        <w:widowControl w:val="0"/>
        <w:spacing w:line="360" w:lineRule="auto"/>
        <w:ind w:firstLine="709"/>
        <w:jc w:val="both"/>
        <w:rPr>
          <w:sz w:val="28"/>
          <w:szCs w:val="28"/>
        </w:rPr>
      </w:pPr>
      <w:r w:rsidRPr="00520861">
        <w:rPr>
          <w:sz w:val="28"/>
          <w:szCs w:val="28"/>
        </w:rPr>
        <w:lastRenderedPageBreak/>
        <w:t>В ОГ випуклий профіль мали 73 (52,1% ДІ: 44,2% – 60,0%) особи (по підгрупах: 15</w:t>
      </w:r>
      <w:r w:rsidRPr="00520861">
        <w:rPr>
          <w:rFonts w:eastAsia="Calibri"/>
          <w:sz w:val="28"/>
          <w:szCs w:val="28"/>
          <w:lang w:eastAsia="en-US"/>
        </w:rPr>
        <w:t xml:space="preserve"> </w:t>
      </w:r>
      <w:r w:rsidRPr="00520861">
        <w:rPr>
          <w:sz w:val="28"/>
          <w:szCs w:val="28"/>
        </w:rPr>
        <w:t>(45,5% ДІ: 30,8% – 60,8%), 13</w:t>
      </w:r>
      <w:r w:rsidRPr="00520861">
        <w:rPr>
          <w:rFonts w:eastAsia="Calibri"/>
          <w:sz w:val="28"/>
          <w:szCs w:val="28"/>
          <w:lang w:eastAsia="en-US"/>
        </w:rPr>
        <w:t xml:space="preserve"> </w:t>
      </w:r>
      <w:r w:rsidRPr="00520861">
        <w:rPr>
          <w:sz w:val="28"/>
          <w:szCs w:val="28"/>
        </w:rPr>
        <w:t>(54,2% ДІ: 36,6% – 70,9%), 12</w:t>
      </w:r>
      <w:r w:rsidRPr="00520861">
        <w:rPr>
          <w:rFonts w:eastAsia="Calibri"/>
          <w:sz w:val="28"/>
          <w:szCs w:val="28"/>
          <w:lang w:eastAsia="en-US"/>
        </w:rPr>
        <w:t xml:space="preserve"> </w:t>
      </w:r>
      <w:r w:rsidRPr="00520861">
        <w:rPr>
          <w:sz w:val="28"/>
          <w:szCs w:val="28"/>
        </w:rPr>
        <w:t>(41,4% ДІ: 26,4% – 57,7%) та 33</w:t>
      </w:r>
      <w:r w:rsidRPr="00520861">
        <w:rPr>
          <w:rFonts w:eastAsia="Calibri"/>
          <w:sz w:val="28"/>
          <w:szCs w:val="28"/>
          <w:lang w:eastAsia="en-US"/>
        </w:rPr>
        <w:t xml:space="preserve"> </w:t>
      </w:r>
      <w:r w:rsidRPr="00520861">
        <w:rPr>
          <w:sz w:val="28"/>
          <w:szCs w:val="28"/>
        </w:rPr>
        <w:t xml:space="preserve">(61,1% ДІ: 48,7% – 72,4%)), а в ГП таких осіб було 19 (24,1% ДІ: 16,2% – 33,6%). </w:t>
      </w:r>
    </w:p>
    <w:p w14:paraId="387798F9" w14:textId="77777777" w:rsidR="002E3CE8" w:rsidRPr="00520861" w:rsidRDefault="002E3CE8" w:rsidP="00292D2E">
      <w:pPr>
        <w:widowControl w:val="0"/>
        <w:spacing w:line="360" w:lineRule="auto"/>
        <w:ind w:firstLine="709"/>
        <w:jc w:val="both"/>
        <w:rPr>
          <w:b/>
          <w:sz w:val="28"/>
          <w:szCs w:val="28"/>
        </w:rPr>
      </w:pPr>
      <w:r w:rsidRPr="00520861">
        <w:rPr>
          <w:sz w:val="28"/>
          <w:szCs w:val="28"/>
        </w:rPr>
        <w:t>Увігнутий профіль мали 15 (10,7% ДІ: 6,7% – 16,2%) осіб ОГ (по підгрупах: 6</w:t>
      </w:r>
      <w:r w:rsidRPr="00520861">
        <w:rPr>
          <w:rFonts w:eastAsia="Calibri"/>
          <w:sz w:val="28"/>
          <w:szCs w:val="28"/>
          <w:lang w:eastAsia="en-US"/>
        </w:rPr>
        <w:t xml:space="preserve"> </w:t>
      </w:r>
      <w:r w:rsidRPr="00520861">
        <w:rPr>
          <w:sz w:val="28"/>
          <w:szCs w:val="28"/>
        </w:rPr>
        <w:t>(18,2% ДІ: 9,0% – 31,9%), 1</w:t>
      </w:r>
      <w:r w:rsidRPr="00520861">
        <w:rPr>
          <w:rFonts w:eastAsia="Calibri"/>
          <w:sz w:val="28"/>
          <w:szCs w:val="28"/>
          <w:lang w:eastAsia="en-US"/>
        </w:rPr>
        <w:t xml:space="preserve"> </w:t>
      </w:r>
      <w:r w:rsidRPr="00520861">
        <w:rPr>
          <w:sz w:val="28"/>
          <w:szCs w:val="28"/>
        </w:rPr>
        <w:t>(4,2% ДІ: 1,0% – 14,2%), 3</w:t>
      </w:r>
      <w:r w:rsidRPr="00520861">
        <w:rPr>
          <w:rFonts w:eastAsia="Calibri"/>
          <w:sz w:val="28"/>
          <w:szCs w:val="28"/>
          <w:lang w:eastAsia="en-US"/>
        </w:rPr>
        <w:t xml:space="preserve"> </w:t>
      </w:r>
      <w:r w:rsidRPr="00520861">
        <w:rPr>
          <w:sz w:val="28"/>
          <w:szCs w:val="28"/>
        </w:rPr>
        <w:t>(10,3% ДІ: 3,9% – 22,8%) та 5</w:t>
      </w:r>
      <w:r w:rsidRPr="00520861">
        <w:rPr>
          <w:rFonts w:eastAsia="Calibri"/>
          <w:sz w:val="28"/>
          <w:szCs w:val="28"/>
          <w:lang w:eastAsia="en-US"/>
        </w:rPr>
        <w:t xml:space="preserve"> </w:t>
      </w:r>
      <w:r w:rsidRPr="00520861">
        <w:rPr>
          <w:sz w:val="28"/>
          <w:szCs w:val="28"/>
        </w:rPr>
        <w:t>(9,3% ДІ: 4,2% – 17,9%)). У ГП увігнутий профіль мали 4 (5,1% ДІ: 2,1% – 10,7%) особи.</w:t>
      </w:r>
    </w:p>
    <w:p w14:paraId="5F3469B6" w14:textId="77777777" w:rsidR="002E3CE8" w:rsidRPr="00520861" w:rsidRDefault="002E3CE8" w:rsidP="00292D2E">
      <w:pPr>
        <w:widowControl w:val="0"/>
        <w:spacing w:line="360" w:lineRule="auto"/>
        <w:ind w:firstLine="709"/>
        <w:jc w:val="both"/>
        <w:rPr>
          <w:sz w:val="28"/>
          <w:szCs w:val="28"/>
        </w:rPr>
      </w:pPr>
      <w:r w:rsidRPr="00520861">
        <w:rPr>
          <w:sz w:val="28"/>
          <w:szCs w:val="28"/>
        </w:rPr>
        <w:t xml:space="preserve">Аналіз результатів обчислення індексу </w:t>
      </w:r>
      <w:proofErr w:type="spellStart"/>
      <w:r w:rsidRPr="00520861">
        <w:rPr>
          <w:sz w:val="28"/>
          <w:szCs w:val="28"/>
        </w:rPr>
        <w:t>Ізара</w:t>
      </w:r>
      <w:proofErr w:type="spellEnd"/>
      <w:r w:rsidRPr="00520861">
        <w:rPr>
          <w:sz w:val="28"/>
          <w:szCs w:val="28"/>
        </w:rPr>
        <w:t xml:space="preserve"> (табл. 5.9) в осіб досліджуваних вікових періодів показав, що в ОГ переважна кількість осіб – 100 (71,4% ДІ: 63,9% – 78,1%) мала вузьке обличчя, 33 (23,6% ДІ: 17,4% – 30,7%) особи мали середнє </w:t>
      </w:r>
      <w:r w:rsidR="00146DB1" w:rsidRPr="00520861">
        <w:rPr>
          <w:sz w:val="28"/>
          <w:szCs w:val="28"/>
        </w:rPr>
        <w:br/>
      </w:r>
      <w:r w:rsidRPr="00520861">
        <w:rPr>
          <w:sz w:val="28"/>
          <w:szCs w:val="28"/>
        </w:rPr>
        <w:t xml:space="preserve">обличчя та 7 (5,0% ДІ: 2,5% – 9,1%) осіб – широке. </w:t>
      </w:r>
    </w:p>
    <w:p w14:paraId="78C8627A" w14:textId="77777777" w:rsidR="002E3CE8" w:rsidRPr="00520861" w:rsidRDefault="002E3CE8" w:rsidP="00292D2E">
      <w:pPr>
        <w:widowControl w:val="0"/>
        <w:spacing w:line="360" w:lineRule="auto"/>
        <w:ind w:firstLine="709"/>
        <w:jc w:val="both"/>
        <w:rPr>
          <w:sz w:val="28"/>
          <w:szCs w:val="28"/>
        </w:rPr>
      </w:pPr>
      <w:r w:rsidRPr="00520861">
        <w:rPr>
          <w:sz w:val="28"/>
          <w:szCs w:val="28"/>
        </w:rPr>
        <w:t xml:space="preserve">У підгрупі 1 – 21 (63,6% ДІ: 48,2% – 77,1%) особа мала вузьке обличчя, 10 (30,3% ДІ: 18,0% – 45,5%) – середнє та 2 (6,1% ДІ: 1,9% – 15,8%) – широке; </w:t>
      </w:r>
      <w:r w:rsidRPr="00520861">
        <w:rPr>
          <w:sz w:val="28"/>
          <w:szCs w:val="28"/>
        </w:rPr>
        <w:br/>
        <w:t xml:space="preserve">у підгрупі 2 – 18 (75,0% ДІ: 57,8% – 87,4%) осіб мали вузьке обличчя, (25,0% ДІ: 12,6% – 42,2%) середнє, широке виявлено не було; у підгрупі 3 – 22 (75,9% ДІ: 60,3% – 87,3%) особи мали вузьке обличчя, 5 (17,2% ДІ: 8,0% – 31,7%) середнє та 2 (6,1% ДІ: 1,9% – 15,8%) широке; у підгрупі 4 – 39 (72,2% ДІ: 60,3% – 82,0%) осіб мали вузьке обличчя, 12 (22,2% ДІ: 13,5% – 33,5%) середнє та 3 (5,6% ДІ: 2,1% – 12,7%) широке. </w:t>
      </w:r>
    </w:p>
    <w:p w14:paraId="3A76C9B9" w14:textId="77777777" w:rsidR="002E3CE8" w:rsidRPr="00520861" w:rsidRDefault="002E3CE8" w:rsidP="00292D2E">
      <w:pPr>
        <w:widowControl w:val="0"/>
        <w:spacing w:line="360" w:lineRule="auto"/>
        <w:ind w:firstLine="709"/>
        <w:jc w:val="both"/>
        <w:rPr>
          <w:sz w:val="28"/>
          <w:szCs w:val="28"/>
        </w:rPr>
      </w:pPr>
      <w:r w:rsidRPr="00520861">
        <w:rPr>
          <w:sz w:val="28"/>
          <w:szCs w:val="28"/>
        </w:rPr>
        <w:t xml:space="preserve">У ГП 34 (43,0% ДІ: 33,1% – 53,4%) особи мали вузьке обличчя, 43 (54,4% ДІ: 44,1% – 64,5%) особи мали середнє обличчя та 2 (2,5% ДІ: 0,8% – 6,9%) особи – </w:t>
      </w:r>
      <w:r w:rsidR="00146DB1" w:rsidRPr="00520861">
        <w:rPr>
          <w:sz w:val="28"/>
          <w:szCs w:val="28"/>
        </w:rPr>
        <w:br/>
      </w:r>
      <w:r w:rsidRPr="00520861">
        <w:rPr>
          <w:sz w:val="28"/>
          <w:szCs w:val="28"/>
        </w:rPr>
        <w:t>широке.</w:t>
      </w:r>
    </w:p>
    <w:p w14:paraId="7A258B28" w14:textId="77777777" w:rsidR="002E3CE8" w:rsidRPr="00520861" w:rsidRDefault="002E3CE8" w:rsidP="00292D2E">
      <w:pPr>
        <w:widowControl w:val="0"/>
        <w:spacing w:line="360" w:lineRule="auto"/>
        <w:ind w:firstLine="709"/>
        <w:jc w:val="both"/>
        <w:rPr>
          <w:sz w:val="28"/>
          <w:szCs w:val="28"/>
        </w:rPr>
      </w:pPr>
      <w:r w:rsidRPr="00520861">
        <w:rPr>
          <w:sz w:val="28"/>
          <w:szCs w:val="28"/>
        </w:rPr>
        <w:t xml:space="preserve">При аналізі наведених вище даних та осереднених показників індексу </w:t>
      </w:r>
      <w:proofErr w:type="spellStart"/>
      <w:r w:rsidRPr="00520861">
        <w:rPr>
          <w:sz w:val="28"/>
          <w:szCs w:val="28"/>
        </w:rPr>
        <w:t>Ізара</w:t>
      </w:r>
      <w:proofErr w:type="spellEnd"/>
      <w:r w:rsidRPr="00520861">
        <w:rPr>
          <w:sz w:val="28"/>
          <w:szCs w:val="28"/>
        </w:rPr>
        <w:t xml:space="preserve"> (табл. 5.9) виявилося, що особи ОГ частіше мали вузьке обличчя, ніж особи ГП. </w:t>
      </w:r>
      <w:r w:rsidRPr="00520861">
        <w:rPr>
          <w:sz w:val="28"/>
          <w:szCs w:val="28"/>
        </w:rPr>
        <w:br/>
        <w:t>Це твердження є вірогідним для осіб із підгрупи 2 – 4.</w:t>
      </w:r>
    </w:p>
    <w:p w14:paraId="0D586C47" w14:textId="77777777" w:rsidR="002E3CE8" w:rsidRPr="00520861" w:rsidRDefault="002E3CE8" w:rsidP="00292D2E">
      <w:pPr>
        <w:widowControl w:val="0"/>
        <w:spacing w:line="360" w:lineRule="auto"/>
        <w:ind w:firstLine="708"/>
        <w:jc w:val="both"/>
        <w:rPr>
          <w:sz w:val="28"/>
          <w:szCs w:val="28"/>
        </w:rPr>
      </w:pPr>
      <w:proofErr w:type="spellStart"/>
      <w:r w:rsidRPr="00520861">
        <w:rPr>
          <w:sz w:val="28"/>
          <w:szCs w:val="28"/>
        </w:rPr>
        <w:t>Внутрішньоротове</w:t>
      </w:r>
      <w:proofErr w:type="spellEnd"/>
      <w:r w:rsidRPr="00520861">
        <w:rPr>
          <w:sz w:val="28"/>
          <w:szCs w:val="28"/>
        </w:rPr>
        <w:t xml:space="preserve"> обстеження.</w:t>
      </w:r>
      <w:r w:rsidRPr="00520861">
        <w:rPr>
          <w:b/>
          <w:sz w:val="28"/>
          <w:szCs w:val="28"/>
        </w:rPr>
        <w:t xml:space="preserve"> </w:t>
      </w:r>
      <w:r w:rsidRPr="00520861">
        <w:rPr>
          <w:sz w:val="28"/>
          <w:szCs w:val="28"/>
        </w:rPr>
        <w:t xml:space="preserve">У всіх ВП, крім першого, в осіб ОГ глибина присінку (табл. 5.9) у середньому була вірогідно більшою, ніж в осіб ГП. </w:t>
      </w:r>
    </w:p>
    <w:p w14:paraId="143EA541" w14:textId="77777777" w:rsidR="002E3CE8" w:rsidRPr="00520861" w:rsidRDefault="002E3CE8" w:rsidP="00292D2E">
      <w:pPr>
        <w:widowControl w:val="0"/>
        <w:spacing w:line="360" w:lineRule="auto"/>
        <w:ind w:firstLine="708"/>
        <w:jc w:val="both"/>
        <w:rPr>
          <w:sz w:val="28"/>
          <w:szCs w:val="28"/>
        </w:rPr>
        <w:sectPr w:rsidR="002E3CE8" w:rsidRPr="00520861" w:rsidSect="00292D2E">
          <w:pgSz w:w="11906" w:h="16838"/>
          <w:pgMar w:top="1134" w:right="624" w:bottom="1134" w:left="1134" w:header="709" w:footer="709" w:gutter="0"/>
          <w:cols w:space="708"/>
          <w:docGrid w:linePitch="360"/>
        </w:sectPr>
      </w:pPr>
      <w:r w:rsidRPr="00520861">
        <w:rPr>
          <w:sz w:val="28"/>
          <w:szCs w:val="28"/>
        </w:rPr>
        <w:t>В осіб підгрупи 1 це виражено в більшому, а в осіб підгрупи 4 – у меншому ступені.</w:t>
      </w:r>
    </w:p>
    <w:p w14:paraId="425670B3" w14:textId="77777777" w:rsidR="002E3CE8" w:rsidRPr="00520861" w:rsidRDefault="002E3CE8" w:rsidP="00292D2E">
      <w:pPr>
        <w:widowControl w:val="0"/>
        <w:spacing w:line="360" w:lineRule="auto"/>
        <w:ind w:firstLine="709"/>
        <w:jc w:val="right"/>
        <w:rPr>
          <w:rFonts w:eastAsiaTheme="minorHAnsi"/>
          <w:i/>
          <w:sz w:val="28"/>
          <w:szCs w:val="28"/>
          <w:lang w:eastAsia="en-US"/>
        </w:rPr>
      </w:pPr>
      <w:r w:rsidRPr="00520861">
        <w:rPr>
          <w:rFonts w:eastAsiaTheme="minorHAnsi"/>
          <w:i/>
          <w:sz w:val="28"/>
          <w:szCs w:val="28"/>
          <w:lang w:eastAsia="en-US"/>
        </w:rPr>
        <w:lastRenderedPageBreak/>
        <w:t>Таблиця 5.9</w:t>
      </w:r>
    </w:p>
    <w:p w14:paraId="092E64D0" w14:textId="77777777" w:rsidR="002E3CE8" w:rsidRPr="00520861" w:rsidRDefault="002E3CE8" w:rsidP="00292D2E">
      <w:pPr>
        <w:widowControl w:val="0"/>
        <w:spacing w:line="360" w:lineRule="auto"/>
        <w:jc w:val="center"/>
        <w:rPr>
          <w:rFonts w:eastAsia="Calibri"/>
          <w:b/>
          <w:sz w:val="28"/>
          <w:szCs w:val="28"/>
          <w:lang w:eastAsia="en-US"/>
        </w:rPr>
      </w:pPr>
      <w:r w:rsidRPr="00520861">
        <w:rPr>
          <w:rFonts w:eastAsiaTheme="minorHAnsi"/>
          <w:b/>
          <w:sz w:val="28"/>
          <w:szCs w:val="28"/>
          <w:lang w:eastAsia="en-US"/>
        </w:rPr>
        <w:t xml:space="preserve">Оцінка математичного очікування індексу </w:t>
      </w:r>
      <w:proofErr w:type="spellStart"/>
      <w:r w:rsidRPr="00520861">
        <w:rPr>
          <w:rFonts w:eastAsiaTheme="minorHAnsi"/>
          <w:b/>
          <w:sz w:val="28"/>
          <w:szCs w:val="28"/>
          <w:lang w:eastAsia="en-US"/>
        </w:rPr>
        <w:t>Ізара</w:t>
      </w:r>
      <w:proofErr w:type="spellEnd"/>
      <w:r w:rsidRPr="00520861">
        <w:rPr>
          <w:rFonts w:eastAsiaTheme="minorHAnsi"/>
          <w:b/>
          <w:sz w:val="28"/>
          <w:szCs w:val="28"/>
          <w:lang w:eastAsia="en-US"/>
        </w:rPr>
        <w:t xml:space="preserve"> (</w:t>
      </w:r>
      <w:proofErr w:type="spellStart"/>
      <w:r w:rsidRPr="00520861">
        <w:rPr>
          <w:rFonts w:eastAsiaTheme="minorHAnsi"/>
          <w:b/>
          <w:sz w:val="28"/>
          <w:szCs w:val="28"/>
          <w:lang w:eastAsia="en-US"/>
        </w:rPr>
        <w:t>у.о</w:t>
      </w:r>
      <w:proofErr w:type="spellEnd"/>
      <w:r w:rsidRPr="00520861">
        <w:rPr>
          <w:rFonts w:eastAsiaTheme="minorHAnsi"/>
          <w:b/>
          <w:sz w:val="28"/>
          <w:szCs w:val="28"/>
          <w:lang w:eastAsia="en-US"/>
        </w:rPr>
        <w:t xml:space="preserve">.) та глибини присінку (мм), </w:t>
      </w:r>
      <w:r w:rsidRPr="00520861">
        <w:rPr>
          <w:rFonts w:eastAsia="Calibri"/>
          <w:b/>
          <w:sz w:val="28"/>
          <w:szCs w:val="28"/>
          <w:lang w:eastAsia="en-US"/>
        </w:rPr>
        <w:t xml:space="preserve">задіяних у дослідженні </w:t>
      </w:r>
    </w:p>
    <w:p w14:paraId="53DE349C" w14:textId="77777777" w:rsidR="002E3CE8" w:rsidRPr="00520861" w:rsidRDefault="002E3CE8" w:rsidP="00292D2E">
      <w:pPr>
        <w:widowControl w:val="0"/>
        <w:spacing w:line="360" w:lineRule="auto"/>
        <w:jc w:val="center"/>
        <w:rPr>
          <w:rFonts w:eastAsiaTheme="minorHAnsi"/>
          <w:b/>
          <w:sz w:val="28"/>
          <w:szCs w:val="28"/>
          <w:lang w:eastAsia="en-US"/>
        </w:rPr>
      </w:pPr>
      <w:r w:rsidRPr="00520861">
        <w:rPr>
          <w:rFonts w:eastAsia="Calibri"/>
          <w:b/>
          <w:sz w:val="28"/>
          <w:szCs w:val="28"/>
          <w:lang w:eastAsia="en-US"/>
        </w:rPr>
        <w:t>осіб віком 12 – 55 років</w:t>
      </w:r>
    </w:p>
    <w:tbl>
      <w:tblPr>
        <w:tblW w:w="1462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2"/>
        <w:gridCol w:w="1056"/>
        <w:gridCol w:w="2476"/>
        <w:gridCol w:w="2476"/>
        <w:gridCol w:w="2477"/>
        <w:gridCol w:w="2476"/>
        <w:gridCol w:w="2477"/>
      </w:tblGrid>
      <w:tr w:rsidR="002E3CE8" w:rsidRPr="00520861" w14:paraId="33E3D66A" w14:textId="77777777" w:rsidTr="00292D2E">
        <w:trPr>
          <w:jc w:val="right"/>
        </w:trPr>
        <w:tc>
          <w:tcPr>
            <w:tcW w:w="1182" w:type="dxa"/>
            <w:tcBorders>
              <w:top w:val="single" w:sz="4" w:space="0" w:color="auto"/>
              <w:left w:val="single" w:sz="4" w:space="0" w:color="auto"/>
              <w:bottom w:val="single" w:sz="4" w:space="0" w:color="auto"/>
              <w:right w:val="single" w:sz="4" w:space="0" w:color="auto"/>
            </w:tcBorders>
            <w:hideMark/>
          </w:tcPr>
          <w:p w14:paraId="0E953598" w14:textId="77777777" w:rsidR="002E3CE8" w:rsidRPr="00520861" w:rsidRDefault="002E3CE8" w:rsidP="00292D2E">
            <w:pPr>
              <w:widowControl w:val="0"/>
              <w:spacing w:line="360" w:lineRule="auto"/>
              <w:ind w:right="-181" w:hanging="135"/>
              <w:rPr>
                <w:rFonts w:eastAsia="Calibri"/>
                <w:sz w:val="28"/>
                <w:szCs w:val="28"/>
                <w:lang w:eastAsia="en-US"/>
              </w:rPr>
            </w:pPr>
            <w:r w:rsidRPr="00520861">
              <w:rPr>
                <w:rFonts w:eastAsia="Calibri"/>
                <w:sz w:val="28"/>
                <w:szCs w:val="28"/>
                <w:lang w:eastAsia="en-US"/>
              </w:rPr>
              <w:t xml:space="preserve">Група, </w:t>
            </w:r>
          </w:p>
          <w:p w14:paraId="0D35B16F" w14:textId="77777777" w:rsidR="002E3CE8" w:rsidRPr="00520861" w:rsidRDefault="002E3CE8" w:rsidP="00292D2E">
            <w:pPr>
              <w:widowControl w:val="0"/>
              <w:spacing w:line="360" w:lineRule="auto"/>
              <w:ind w:left="-90" w:right="-181"/>
              <w:rPr>
                <w:rFonts w:eastAsia="Calibri"/>
                <w:sz w:val="28"/>
                <w:szCs w:val="28"/>
                <w:lang w:eastAsia="en-US"/>
              </w:rPr>
            </w:pPr>
            <w:r w:rsidRPr="00520861">
              <w:rPr>
                <w:rFonts w:eastAsia="Calibri"/>
                <w:sz w:val="28"/>
                <w:szCs w:val="28"/>
                <w:lang w:eastAsia="en-US"/>
              </w:rPr>
              <w:t xml:space="preserve">підгрупа </w:t>
            </w:r>
          </w:p>
        </w:tc>
        <w:tc>
          <w:tcPr>
            <w:tcW w:w="1056" w:type="dxa"/>
            <w:tcBorders>
              <w:top w:val="single" w:sz="4" w:space="0" w:color="auto"/>
              <w:left w:val="single" w:sz="4" w:space="0" w:color="auto"/>
              <w:bottom w:val="single" w:sz="4" w:space="0" w:color="auto"/>
              <w:right w:val="single" w:sz="4" w:space="0" w:color="auto"/>
            </w:tcBorders>
            <w:hideMark/>
          </w:tcPr>
          <w:p w14:paraId="5FE49F0D" w14:textId="77777777" w:rsidR="002E3CE8" w:rsidRPr="00520861" w:rsidRDefault="002E3CE8" w:rsidP="00292D2E">
            <w:pPr>
              <w:widowControl w:val="0"/>
              <w:spacing w:line="360" w:lineRule="auto"/>
              <w:ind w:hanging="115"/>
              <w:jc w:val="center"/>
              <w:rPr>
                <w:rFonts w:eastAsia="Calibri"/>
                <w:sz w:val="28"/>
                <w:szCs w:val="28"/>
              </w:rPr>
            </w:pPr>
            <w:r w:rsidRPr="00520861">
              <w:rPr>
                <w:rFonts w:eastAsia="Calibri"/>
                <w:sz w:val="28"/>
                <w:szCs w:val="28"/>
              </w:rPr>
              <w:t>ГП</w:t>
            </w:r>
          </w:p>
        </w:tc>
        <w:tc>
          <w:tcPr>
            <w:tcW w:w="2476" w:type="dxa"/>
            <w:tcBorders>
              <w:top w:val="single" w:sz="4" w:space="0" w:color="auto"/>
              <w:left w:val="single" w:sz="4" w:space="0" w:color="auto"/>
              <w:bottom w:val="single" w:sz="4" w:space="0" w:color="auto"/>
              <w:right w:val="single" w:sz="4" w:space="0" w:color="auto"/>
            </w:tcBorders>
          </w:tcPr>
          <w:p w14:paraId="60B6AA9C"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ОГ</w:t>
            </w:r>
          </w:p>
        </w:tc>
        <w:tc>
          <w:tcPr>
            <w:tcW w:w="2476" w:type="dxa"/>
            <w:hideMark/>
          </w:tcPr>
          <w:p w14:paraId="5ABC0A4C" w14:textId="77777777" w:rsidR="002E3CE8" w:rsidRPr="00520861" w:rsidRDefault="002E3CE8" w:rsidP="00292D2E">
            <w:pPr>
              <w:widowControl w:val="0"/>
              <w:spacing w:line="360" w:lineRule="auto"/>
              <w:jc w:val="center"/>
              <w:rPr>
                <w:rFonts w:eastAsia="Calibri"/>
                <w:sz w:val="28"/>
                <w:szCs w:val="28"/>
                <w:lang w:eastAsia="en-US"/>
              </w:rPr>
            </w:pPr>
            <w:r w:rsidRPr="00520861">
              <w:rPr>
                <w:sz w:val="28"/>
                <w:szCs w:val="28"/>
              </w:rPr>
              <w:t>Підгрупа 1</w:t>
            </w:r>
          </w:p>
        </w:tc>
        <w:tc>
          <w:tcPr>
            <w:tcW w:w="2477" w:type="dxa"/>
            <w:hideMark/>
          </w:tcPr>
          <w:p w14:paraId="7AE3E776" w14:textId="77777777" w:rsidR="002E3CE8" w:rsidRPr="00520861" w:rsidRDefault="002E3CE8" w:rsidP="00292D2E">
            <w:pPr>
              <w:widowControl w:val="0"/>
              <w:spacing w:line="360" w:lineRule="auto"/>
              <w:ind w:firstLine="34"/>
              <w:jc w:val="center"/>
              <w:rPr>
                <w:rFonts w:eastAsia="Calibri"/>
                <w:sz w:val="28"/>
                <w:szCs w:val="28"/>
              </w:rPr>
            </w:pPr>
            <w:r w:rsidRPr="00520861">
              <w:rPr>
                <w:sz w:val="28"/>
                <w:szCs w:val="28"/>
              </w:rPr>
              <w:t>Підгрупа 2</w:t>
            </w:r>
          </w:p>
        </w:tc>
        <w:tc>
          <w:tcPr>
            <w:tcW w:w="2476" w:type="dxa"/>
            <w:hideMark/>
          </w:tcPr>
          <w:p w14:paraId="1433A29D" w14:textId="77777777" w:rsidR="002E3CE8" w:rsidRPr="00520861" w:rsidRDefault="002E3CE8" w:rsidP="00292D2E">
            <w:pPr>
              <w:widowControl w:val="0"/>
              <w:spacing w:line="360" w:lineRule="auto"/>
              <w:jc w:val="center"/>
              <w:rPr>
                <w:rFonts w:eastAsia="Calibri"/>
                <w:sz w:val="28"/>
                <w:szCs w:val="28"/>
                <w:lang w:eastAsia="en-US"/>
              </w:rPr>
            </w:pPr>
            <w:r w:rsidRPr="00520861">
              <w:rPr>
                <w:sz w:val="28"/>
                <w:szCs w:val="28"/>
              </w:rPr>
              <w:t>Підгрупа 3</w:t>
            </w:r>
          </w:p>
        </w:tc>
        <w:tc>
          <w:tcPr>
            <w:tcW w:w="2477" w:type="dxa"/>
            <w:hideMark/>
          </w:tcPr>
          <w:p w14:paraId="1BF2278C" w14:textId="77777777" w:rsidR="002E3CE8" w:rsidRPr="00520861" w:rsidRDefault="002E3CE8" w:rsidP="00292D2E">
            <w:pPr>
              <w:widowControl w:val="0"/>
              <w:spacing w:line="360" w:lineRule="auto"/>
              <w:ind w:right="-110"/>
              <w:jc w:val="center"/>
              <w:rPr>
                <w:rFonts w:eastAsia="Calibri"/>
                <w:sz w:val="28"/>
                <w:szCs w:val="28"/>
                <w:lang w:eastAsia="en-US"/>
              </w:rPr>
            </w:pPr>
            <w:r w:rsidRPr="00520861">
              <w:rPr>
                <w:sz w:val="28"/>
                <w:szCs w:val="28"/>
              </w:rPr>
              <w:t>Підгрупа 4</w:t>
            </w:r>
          </w:p>
        </w:tc>
      </w:tr>
      <w:tr w:rsidR="002E3CE8" w:rsidRPr="00520861" w14:paraId="539E8DA9" w14:textId="77777777" w:rsidTr="00292D2E">
        <w:trPr>
          <w:trHeight w:val="435"/>
          <w:jc w:val="right"/>
        </w:trPr>
        <w:tc>
          <w:tcPr>
            <w:tcW w:w="14620" w:type="dxa"/>
            <w:gridSpan w:val="7"/>
            <w:tcBorders>
              <w:top w:val="single" w:sz="4" w:space="0" w:color="auto"/>
              <w:left w:val="single" w:sz="4" w:space="0" w:color="auto"/>
              <w:bottom w:val="single" w:sz="4" w:space="0" w:color="auto"/>
              <w:right w:val="single" w:sz="4" w:space="0" w:color="auto"/>
            </w:tcBorders>
            <w:hideMark/>
          </w:tcPr>
          <w:p w14:paraId="46A56EF5" w14:textId="77777777" w:rsidR="002E3CE8" w:rsidRPr="00520861" w:rsidRDefault="002E3CE8" w:rsidP="00292D2E">
            <w:pPr>
              <w:widowControl w:val="0"/>
              <w:tabs>
                <w:tab w:val="left" w:pos="870"/>
                <w:tab w:val="center" w:pos="1094"/>
              </w:tabs>
              <w:spacing w:line="360" w:lineRule="auto"/>
              <w:ind w:right="-105"/>
              <w:jc w:val="center"/>
              <w:rPr>
                <w:rFonts w:eastAsia="Calibri"/>
                <w:sz w:val="28"/>
                <w:szCs w:val="28"/>
                <w:lang w:eastAsia="en-US"/>
              </w:rPr>
            </w:pPr>
            <w:r w:rsidRPr="00520861">
              <w:rPr>
                <w:rFonts w:eastAsia="Calibri"/>
                <w:sz w:val="28"/>
                <w:szCs w:val="28"/>
                <w:lang w:eastAsia="en-US"/>
              </w:rPr>
              <w:t xml:space="preserve">Значення індексу </w:t>
            </w:r>
            <w:proofErr w:type="spellStart"/>
            <w:r w:rsidRPr="00520861">
              <w:rPr>
                <w:rFonts w:eastAsia="Calibri"/>
                <w:sz w:val="28"/>
                <w:szCs w:val="28"/>
                <w:lang w:eastAsia="en-US"/>
              </w:rPr>
              <w:t>Ізара</w:t>
            </w:r>
            <w:proofErr w:type="spellEnd"/>
          </w:p>
        </w:tc>
      </w:tr>
      <w:tr w:rsidR="002E3CE8" w:rsidRPr="00520861" w14:paraId="78A181DE" w14:textId="77777777" w:rsidTr="00292D2E">
        <w:trPr>
          <w:trHeight w:val="470"/>
          <w:jc w:val="right"/>
        </w:trPr>
        <w:tc>
          <w:tcPr>
            <w:tcW w:w="1182" w:type="dxa"/>
            <w:tcBorders>
              <w:top w:val="single" w:sz="4" w:space="0" w:color="auto"/>
              <w:left w:val="single" w:sz="4" w:space="0" w:color="auto"/>
              <w:bottom w:val="single" w:sz="4" w:space="0" w:color="auto"/>
              <w:right w:val="single" w:sz="4" w:space="0" w:color="auto"/>
            </w:tcBorders>
          </w:tcPr>
          <w:p w14:paraId="04AD7260" w14:textId="77777777" w:rsidR="002E3CE8" w:rsidRPr="00520861" w:rsidRDefault="002E3CE8" w:rsidP="00292D2E">
            <w:pPr>
              <w:widowControl w:val="0"/>
              <w:tabs>
                <w:tab w:val="left" w:pos="870"/>
                <w:tab w:val="center" w:pos="1094"/>
              </w:tabs>
              <w:spacing w:line="360" w:lineRule="auto"/>
              <w:rPr>
                <w:rFonts w:eastAsia="Calibri"/>
                <w:sz w:val="28"/>
                <w:szCs w:val="28"/>
                <w:lang w:eastAsia="en-US"/>
              </w:rPr>
            </w:pPr>
            <w:r w:rsidRPr="00520861">
              <w:rPr>
                <w:rFonts w:eastAsia="Calibri"/>
                <w:sz w:val="28"/>
                <w:szCs w:val="28"/>
                <w:lang w:eastAsia="en-US"/>
              </w:rPr>
              <w:t>ВП-</w:t>
            </w:r>
            <w:r w:rsidRPr="00520861">
              <w:rPr>
                <w:sz w:val="28"/>
                <w:szCs w:val="28"/>
              </w:rPr>
              <w:t>V</w:t>
            </w:r>
          </w:p>
        </w:tc>
        <w:tc>
          <w:tcPr>
            <w:tcW w:w="1056" w:type="dxa"/>
            <w:tcBorders>
              <w:top w:val="single" w:sz="4" w:space="0" w:color="auto"/>
              <w:left w:val="single" w:sz="4" w:space="0" w:color="auto"/>
              <w:bottom w:val="single" w:sz="4" w:space="0" w:color="auto"/>
              <w:right w:val="single" w:sz="4" w:space="0" w:color="auto"/>
            </w:tcBorders>
          </w:tcPr>
          <w:p w14:paraId="0D09888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104,60</w:t>
            </w:r>
          </w:p>
        </w:tc>
        <w:tc>
          <w:tcPr>
            <w:tcW w:w="2476" w:type="dxa"/>
            <w:tcBorders>
              <w:top w:val="single" w:sz="4" w:space="0" w:color="auto"/>
              <w:left w:val="single" w:sz="4" w:space="0" w:color="auto"/>
              <w:bottom w:val="single" w:sz="4" w:space="0" w:color="auto"/>
              <w:right w:val="single" w:sz="4" w:space="0" w:color="auto"/>
            </w:tcBorders>
          </w:tcPr>
          <w:p w14:paraId="41C7204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110,81</w:t>
            </w:r>
            <w:r w:rsidRPr="00520861">
              <w:rPr>
                <w:rFonts w:eastAsia="Calibri"/>
                <w:sz w:val="28"/>
                <w:szCs w:val="28"/>
              </w:rPr>
              <w:t>* (</w:t>
            </w:r>
            <w:r w:rsidRPr="00520861">
              <w:rPr>
                <w:rFonts w:eastAsia="Calibri"/>
                <w:i/>
                <w:sz w:val="28"/>
                <w:szCs w:val="28"/>
              </w:rPr>
              <w:t>p</w:t>
            </w:r>
            <w:r w:rsidRPr="00520861">
              <w:rPr>
                <w:rFonts w:eastAsia="Calibri"/>
                <w:sz w:val="28"/>
                <w:szCs w:val="28"/>
              </w:rPr>
              <w:t>=0,013)</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0F2DDBA0"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107,11 </w:t>
            </w:r>
            <w:r w:rsidRPr="00520861">
              <w:rPr>
                <w:rFonts w:eastAsia="Calibri"/>
                <w:sz w:val="28"/>
                <w:szCs w:val="28"/>
              </w:rPr>
              <w:t>(</w:t>
            </w:r>
            <w:r w:rsidRPr="00520861">
              <w:rPr>
                <w:rFonts w:eastAsia="Calibri"/>
                <w:i/>
                <w:sz w:val="28"/>
                <w:szCs w:val="28"/>
              </w:rPr>
              <w:t>p</w:t>
            </w:r>
            <w:r w:rsidRPr="00520861">
              <w:rPr>
                <w:rFonts w:eastAsia="Calibri"/>
                <w:sz w:val="28"/>
                <w:szCs w:val="28"/>
              </w:rPr>
              <w:t>=0,296)</w:t>
            </w:r>
          </w:p>
        </w:tc>
        <w:tc>
          <w:tcPr>
            <w:tcW w:w="2477" w:type="dxa"/>
            <w:tcBorders>
              <w:top w:val="single" w:sz="4" w:space="0" w:color="auto"/>
              <w:left w:val="single" w:sz="4" w:space="0" w:color="auto"/>
              <w:bottom w:val="single" w:sz="4" w:space="0" w:color="auto"/>
              <w:right w:val="single" w:sz="4" w:space="0" w:color="auto"/>
            </w:tcBorders>
          </w:tcPr>
          <w:p w14:paraId="6D4F337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114,36</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=0,039)</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12760166"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111,38</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=0,048)</w:t>
            </w:r>
            <w:r w:rsidRPr="00520861">
              <w:rPr>
                <w:sz w:val="28"/>
                <w:szCs w:val="28"/>
              </w:rPr>
              <w:t xml:space="preserve"> </w:t>
            </w:r>
          </w:p>
        </w:tc>
        <w:tc>
          <w:tcPr>
            <w:tcW w:w="2477" w:type="dxa"/>
            <w:tcBorders>
              <w:left w:val="single" w:sz="4" w:space="0" w:color="auto"/>
              <w:bottom w:val="single" w:sz="4" w:space="0" w:color="auto"/>
              <w:right w:val="single" w:sz="4" w:space="0" w:color="auto"/>
            </w:tcBorders>
          </w:tcPr>
          <w:p w14:paraId="54205D20"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110,96 </w:t>
            </w:r>
            <w:r w:rsidRPr="00520861">
              <w:rPr>
                <w:rFonts w:eastAsia="Calibri"/>
                <w:sz w:val="28"/>
                <w:szCs w:val="28"/>
              </w:rPr>
              <w:t>(</w:t>
            </w:r>
            <w:r w:rsidRPr="00520861">
              <w:rPr>
                <w:rFonts w:eastAsia="Calibri"/>
                <w:i/>
                <w:sz w:val="28"/>
                <w:szCs w:val="28"/>
              </w:rPr>
              <w:t>p</w:t>
            </w:r>
            <w:r w:rsidRPr="00520861">
              <w:rPr>
                <w:rFonts w:eastAsia="Calibri"/>
                <w:sz w:val="28"/>
                <w:szCs w:val="28"/>
              </w:rPr>
              <w:t>=0,062)</w:t>
            </w:r>
          </w:p>
        </w:tc>
      </w:tr>
      <w:tr w:rsidR="002E3CE8" w:rsidRPr="00520861" w14:paraId="7235E30E" w14:textId="77777777" w:rsidTr="00292D2E">
        <w:trPr>
          <w:jc w:val="right"/>
        </w:trPr>
        <w:tc>
          <w:tcPr>
            <w:tcW w:w="1182" w:type="dxa"/>
            <w:tcBorders>
              <w:top w:val="single" w:sz="4" w:space="0" w:color="auto"/>
              <w:left w:val="single" w:sz="4" w:space="0" w:color="auto"/>
              <w:bottom w:val="single" w:sz="4" w:space="0" w:color="auto"/>
              <w:right w:val="single" w:sz="4" w:space="0" w:color="auto"/>
            </w:tcBorders>
          </w:tcPr>
          <w:p w14:paraId="67001B68" w14:textId="77777777" w:rsidR="002E3CE8" w:rsidRPr="00520861" w:rsidRDefault="002E3CE8" w:rsidP="00292D2E">
            <w:pPr>
              <w:widowControl w:val="0"/>
              <w:spacing w:line="360" w:lineRule="auto"/>
              <w:rPr>
                <w:rFonts w:eastAsia="Calibri"/>
                <w:sz w:val="28"/>
                <w:szCs w:val="28"/>
              </w:rPr>
            </w:pPr>
            <w:r w:rsidRPr="00520861">
              <w:rPr>
                <w:rFonts w:eastAsia="Calibri"/>
                <w:sz w:val="28"/>
                <w:szCs w:val="28"/>
                <w:lang w:eastAsia="en-US"/>
              </w:rPr>
              <w:t>ВП-</w:t>
            </w:r>
            <w:r w:rsidRPr="00520861">
              <w:rPr>
                <w:sz w:val="28"/>
                <w:szCs w:val="28"/>
              </w:rPr>
              <w:t>VІ</w:t>
            </w:r>
          </w:p>
        </w:tc>
        <w:tc>
          <w:tcPr>
            <w:tcW w:w="1056" w:type="dxa"/>
            <w:tcBorders>
              <w:top w:val="single" w:sz="4" w:space="0" w:color="auto"/>
              <w:left w:val="single" w:sz="4" w:space="0" w:color="auto"/>
              <w:bottom w:val="single" w:sz="4" w:space="0" w:color="auto"/>
              <w:right w:val="single" w:sz="4" w:space="0" w:color="auto"/>
            </w:tcBorders>
          </w:tcPr>
          <w:p w14:paraId="0A28451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105,38</w:t>
            </w:r>
          </w:p>
        </w:tc>
        <w:tc>
          <w:tcPr>
            <w:tcW w:w="2476" w:type="dxa"/>
            <w:tcBorders>
              <w:top w:val="single" w:sz="4" w:space="0" w:color="auto"/>
              <w:left w:val="single" w:sz="4" w:space="0" w:color="auto"/>
              <w:bottom w:val="single" w:sz="4" w:space="0" w:color="auto"/>
              <w:right w:val="single" w:sz="4" w:space="0" w:color="auto"/>
            </w:tcBorders>
          </w:tcPr>
          <w:p w14:paraId="45EE6050"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108,43 </w:t>
            </w:r>
            <w:r w:rsidRPr="00520861">
              <w:rPr>
                <w:rFonts w:eastAsia="Calibri"/>
                <w:sz w:val="28"/>
                <w:szCs w:val="28"/>
              </w:rPr>
              <w:t>(</w:t>
            </w:r>
            <w:r w:rsidRPr="00520861">
              <w:rPr>
                <w:rFonts w:eastAsia="Calibri"/>
                <w:i/>
                <w:sz w:val="28"/>
                <w:szCs w:val="28"/>
              </w:rPr>
              <w:t>p</w:t>
            </w:r>
            <w:r w:rsidRPr="00520861">
              <w:rPr>
                <w:rFonts w:eastAsia="Calibri"/>
                <w:sz w:val="28"/>
                <w:szCs w:val="28"/>
              </w:rPr>
              <w:t>=0,119)</w:t>
            </w:r>
          </w:p>
        </w:tc>
        <w:tc>
          <w:tcPr>
            <w:tcW w:w="2476" w:type="dxa"/>
            <w:tcBorders>
              <w:top w:val="single" w:sz="4" w:space="0" w:color="auto"/>
              <w:left w:val="single" w:sz="4" w:space="0" w:color="auto"/>
              <w:bottom w:val="single" w:sz="4" w:space="0" w:color="auto"/>
              <w:right w:val="single" w:sz="4" w:space="0" w:color="auto"/>
            </w:tcBorders>
          </w:tcPr>
          <w:p w14:paraId="64F1AD4F"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111,56</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=0,006)</w:t>
            </w:r>
            <w:r w:rsidRPr="00520861">
              <w:rPr>
                <w:sz w:val="28"/>
                <w:szCs w:val="28"/>
              </w:rPr>
              <w:t xml:space="preserve"> </w:t>
            </w:r>
          </w:p>
        </w:tc>
        <w:tc>
          <w:tcPr>
            <w:tcW w:w="2477" w:type="dxa"/>
            <w:tcBorders>
              <w:top w:val="single" w:sz="4" w:space="0" w:color="auto"/>
              <w:left w:val="single" w:sz="4" w:space="0" w:color="auto"/>
              <w:bottom w:val="single" w:sz="4" w:space="0" w:color="auto"/>
              <w:right w:val="single" w:sz="4" w:space="0" w:color="auto"/>
            </w:tcBorders>
          </w:tcPr>
          <w:p w14:paraId="26929E2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109,74 </w:t>
            </w:r>
            <w:r w:rsidRPr="00520861">
              <w:rPr>
                <w:rFonts w:eastAsia="Calibri"/>
                <w:sz w:val="28"/>
                <w:szCs w:val="28"/>
              </w:rPr>
              <w:t>(</w:t>
            </w:r>
            <w:r w:rsidRPr="00520861">
              <w:rPr>
                <w:rFonts w:eastAsia="Calibri"/>
                <w:i/>
                <w:sz w:val="28"/>
                <w:szCs w:val="28"/>
              </w:rPr>
              <w:t>p</w:t>
            </w:r>
            <w:r w:rsidRPr="00520861">
              <w:rPr>
                <w:rFonts w:eastAsia="Calibri"/>
                <w:sz w:val="28"/>
                <w:szCs w:val="28"/>
              </w:rPr>
              <w:t>=0,555)</w:t>
            </w:r>
          </w:p>
        </w:tc>
        <w:tc>
          <w:tcPr>
            <w:tcW w:w="2476" w:type="dxa"/>
            <w:tcBorders>
              <w:top w:val="single" w:sz="4" w:space="0" w:color="auto"/>
              <w:left w:val="single" w:sz="4" w:space="0" w:color="auto"/>
              <w:bottom w:val="single" w:sz="4" w:space="0" w:color="auto"/>
              <w:right w:val="single" w:sz="4" w:space="0" w:color="auto"/>
            </w:tcBorders>
          </w:tcPr>
          <w:p w14:paraId="61C9C13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106,81 </w:t>
            </w:r>
            <w:r w:rsidRPr="00520861">
              <w:rPr>
                <w:rFonts w:eastAsia="Calibri"/>
                <w:sz w:val="28"/>
                <w:szCs w:val="28"/>
              </w:rPr>
              <w:t>(</w:t>
            </w:r>
            <w:r w:rsidRPr="00520861">
              <w:rPr>
                <w:rFonts w:eastAsia="Calibri"/>
                <w:i/>
                <w:sz w:val="28"/>
                <w:szCs w:val="28"/>
              </w:rPr>
              <w:t>p</w:t>
            </w:r>
            <w:r w:rsidRPr="00520861">
              <w:rPr>
                <w:rFonts w:eastAsia="Calibri"/>
                <w:sz w:val="28"/>
                <w:szCs w:val="28"/>
              </w:rPr>
              <w:t>=0,674)</w:t>
            </w:r>
          </w:p>
        </w:tc>
        <w:tc>
          <w:tcPr>
            <w:tcW w:w="2477" w:type="dxa"/>
            <w:tcBorders>
              <w:top w:val="single" w:sz="4" w:space="0" w:color="auto"/>
              <w:left w:val="single" w:sz="4" w:space="0" w:color="auto"/>
              <w:bottom w:val="single" w:sz="4" w:space="0" w:color="auto"/>
              <w:right w:val="single" w:sz="4" w:space="0" w:color="auto"/>
            </w:tcBorders>
          </w:tcPr>
          <w:p w14:paraId="14072C29"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106,15 </w:t>
            </w:r>
            <w:r w:rsidRPr="00520861">
              <w:rPr>
                <w:rFonts w:eastAsia="Calibri"/>
                <w:sz w:val="28"/>
                <w:szCs w:val="28"/>
              </w:rPr>
              <w:t>(</w:t>
            </w:r>
            <w:r w:rsidRPr="00520861">
              <w:rPr>
                <w:rFonts w:eastAsia="Calibri"/>
                <w:i/>
                <w:sz w:val="28"/>
                <w:szCs w:val="28"/>
              </w:rPr>
              <w:t>p</w:t>
            </w:r>
            <w:r w:rsidRPr="00520861">
              <w:rPr>
                <w:rFonts w:eastAsia="Calibri"/>
                <w:sz w:val="28"/>
                <w:szCs w:val="28"/>
              </w:rPr>
              <w:t>=0,692)</w:t>
            </w:r>
          </w:p>
        </w:tc>
      </w:tr>
      <w:tr w:rsidR="002E3CE8" w:rsidRPr="00520861" w14:paraId="2DA79B98" w14:textId="77777777" w:rsidTr="00292D2E">
        <w:trPr>
          <w:trHeight w:val="212"/>
          <w:jc w:val="right"/>
        </w:trPr>
        <w:tc>
          <w:tcPr>
            <w:tcW w:w="1182" w:type="dxa"/>
            <w:tcBorders>
              <w:top w:val="single" w:sz="4" w:space="0" w:color="auto"/>
              <w:left w:val="single" w:sz="4" w:space="0" w:color="auto"/>
              <w:bottom w:val="single" w:sz="4" w:space="0" w:color="auto"/>
              <w:right w:val="single" w:sz="4" w:space="0" w:color="auto"/>
            </w:tcBorders>
          </w:tcPr>
          <w:p w14:paraId="185478D7" w14:textId="77777777" w:rsidR="002E3CE8" w:rsidRPr="00520861" w:rsidRDefault="002E3CE8" w:rsidP="00292D2E">
            <w:pPr>
              <w:widowControl w:val="0"/>
              <w:spacing w:line="360" w:lineRule="auto"/>
              <w:rPr>
                <w:rFonts w:eastAsia="Calibri"/>
                <w:sz w:val="28"/>
                <w:szCs w:val="28"/>
              </w:rPr>
            </w:pPr>
            <w:r w:rsidRPr="00520861">
              <w:rPr>
                <w:rFonts w:eastAsia="Calibri"/>
                <w:sz w:val="28"/>
                <w:szCs w:val="28"/>
                <w:lang w:eastAsia="en-US"/>
              </w:rPr>
              <w:t>ВП-</w:t>
            </w:r>
            <w:r w:rsidRPr="00520861">
              <w:rPr>
                <w:sz w:val="28"/>
                <w:szCs w:val="28"/>
              </w:rPr>
              <w:t>VІІ</w:t>
            </w:r>
          </w:p>
        </w:tc>
        <w:tc>
          <w:tcPr>
            <w:tcW w:w="1056" w:type="dxa"/>
            <w:tcBorders>
              <w:top w:val="single" w:sz="4" w:space="0" w:color="auto"/>
              <w:left w:val="single" w:sz="4" w:space="0" w:color="auto"/>
              <w:bottom w:val="single" w:sz="4" w:space="0" w:color="auto"/>
              <w:right w:val="single" w:sz="4" w:space="0" w:color="auto"/>
            </w:tcBorders>
          </w:tcPr>
          <w:p w14:paraId="7BAC812E"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105,56</w:t>
            </w:r>
          </w:p>
        </w:tc>
        <w:tc>
          <w:tcPr>
            <w:tcW w:w="2476" w:type="dxa"/>
            <w:tcBorders>
              <w:top w:val="single" w:sz="4" w:space="0" w:color="auto"/>
              <w:left w:val="single" w:sz="4" w:space="0" w:color="auto"/>
              <w:bottom w:val="single" w:sz="4" w:space="0" w:color="auto"/>
              <w:right w:val="single" w:sz="4" w:space="0" w:color="auto"/>
            </w:tcBorders>
          </w:tcPr>
          <w:p w14:paraId="23E4C0F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108,76</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=0,009)</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19CAA183"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105,15 </w:t>
            </w:r>
            <w:r w:rsidRPr="00520861">
              <w:rPr>
                <w:rFonts w:eastAsia="Calibri"/>
                <w:sz w:val="28"/>
                <w:szCs w:val="28"/>
              </w:rPr>
              <w:t>(</w:t>
            </w:r>
            <w:r w:rsidRPr="00520861">
              <w:rPr>
                <w:rFonts w:eastAsia="Calibri"/>
                <w:i/>
                <w:sz w:val="28"/>
                <w:szCs w:val="28"/>
              </w:rPr>
              <w:t>p</w:t>
            </w:r>
            <w:r w:rsidRPr="00520861">
              <w:rPr>
                <w:rFonts w:eastAsia="Calibri"/>
                <w:sz w:val="28"/>
                <w:szCs w:val="28"/>
              </w:rPr>
              <w:t>=0,583)</w:t>
            </w:r>
          </w:p>
        </w:tc>
        <w:tc>
          <w:tcPr>
            <w:tcW w:w="2477" w:type="dxa"/>
            <w:tcBorders>
              <w:top w:val="single" w:sz="4" w:space="0" w:color="auto"/>
              <w:left w:val="single" w:sz="4" w:space="0" w:color="auto"/>
              <w:bottom w:val="single" w:sz="4" w:space="0" w:color="auto"/>
              <w:right w:val="single" w:sz="4" w:space="0" w:color="auto"/>
            </w:tcBorders>
          </w:tcPr>
          <w:p w14:paraId="0DA2EEC4"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111,41 </w:t>
            </w:r>
            <w:r w:rsidRPr="00520861">
              <w:rPr>
                <w:rFonts w:eastAsia="Calibri"/>
                <w:sz w:val="28"/>
                <w:szCs w:val="28"/>
              </w:rPr>
              <w:t>(</w:t>
            </w:r>
            <w:r w:rsidRPr="00520861">
              <w:rPr>
                <w:rFonts w:eastAsia="Calibri"/>
                <w:i/>
                <w:sz w:val="28"/>
                <w:szCs w:val="28"/>
              </w:rPr>
              <w:t>p</w:t>
            </w:r>
            <w:r w:rsidRPr="00520861">
              <w:rPr>
                <w:rFonts w:eastAsia="Calibri"/>
                <w:sz w:val="28"/>
                <w:szCs w:val="28"/>
              </w:rPr>
              <w:t>=0,252)</w:t>
            </w:r>
          </w:p>
        </w:tc>
        <w:tc>
          <w:tcPr>
            <w:tcW w:w="2476" w:type="dxa"/>
            <w:tcBorders>
              <w:top w:val="single" w:sz="4" w:space="0" w:color="auto"/>
              <w:left w:val="single" w:sz="4" w:space="0" w:color="auto"/>
              <w:bottom w:val="single" w:sz="4" w:space="0" w:color="auto"/>
              <w:right w:val="single" w:sz="4" w:space="0" w:color="auto"/>
            </w:tcBorders>
          </w:tcPr>
          <w:p w14:paraId="3EAE965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109,33</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=0,041)</w:t>
            </w:r>
            <w:r w:rsidRPr="00520861">
              <w:rPr>
                <w:sz w:val="28"/>
                <w:szCs w:val="28"/>
              </w:rPr>
              <w:t xml:space="preserve"> </w:t>
            </w:r>
          </w:p>
        </w:tc>
        <w:tc>
          <w:tcPr>
            <w:tcW w:w="2477" w:type="dxa"/>
            <w:tcBorders>
              <w:top w:val="single" w:sz="4" w:space="0" w:color="auto"/>
              <w:left w:val="single" w:sz="4" w:space="0" w:color="auto"/>
              <w:bottom w:val="single" w:sz="4" w:space="0" w:color="auto"/>
              <w:right w:val="single" w:sz="4" w:space="0" w:color="auto"/>
            </w:tcBorders>
          </w:tcPr>
          <w:p w14:paraId="4AC97558"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109,65</w:t>
            </w:r>
            <w:r w:rsidRPr="00520861">
              <w:rPr>
                <w:rFonts w:eastAsia="Calibri"/>
                <w:sz w:val="28"/>
                <w:szCs w:val="28"/>
              </w:rPr>
              <w:t>*(</w:t>
            </w:r>
            <w:r w:rsidRPr="00520861">
              <w:rPr>
                <w:rFonts w:eastAsia="Calibri"/>
                <w:i/>
                <w:sz w:val="28"/>
                <w:szCs w:val="28"/>
              </w:rPr>
              <w:t>p</w:t>
            </w:r>
            <w:r w:rsidRPr="00520861">
              <w:rPr>
                <w:rFonts w:eastAsia="Calibri"/>
                <w:sz w:val="28"/>
                <w:szCs w:val="28"/>
              </w:rPr>
              <w:t>=0,003)</w:t>
            </w:r>
            <w:r w:rsidRPr="00520861">
              <w:rPr>
                <w:sz w:val="28"/>
                <w:szCs w:val="28"/>
              </w:rPr>
              <w:t xml:space="preserve"> </w:t>
            </w:r>
          </w:p>
        </w:tc>
      </w:tr>
      <w:tr w:rsidR="002E3CE8" w:rsidRPr="00520861" w14:paraId="6B165821" w14:textId="77777777" w:rsidTr="00292D2E">
        <w:trPr>
          <w:jc w:val="right"/>
        </w:trPr>
        <w:tc>
          <w:tcPr>
            <w:tcW w:w="1182" w:type="dxa"/>
            <w:tcBorders>
              <w:top w:val="single" w:sz="4" w:space="0" w:color="auto"/>
              <w:left w:val="single" w:sz="4" w:space="0" w:color="auto"/>
              <w:bottom w:val="single" w:sz="4" w:space="0" w:color="auto"/>
              <w:right w:val="single" w:sz="4" w:space="0" w:color="auto"/>
            </w:tcBorders>
          </w:tcPr>
          <w:p w14:paraId="1208DBE8" w14:textId="77777777" w:rsidR="002E3CE8" w:rsidRPr="00520861" w:rsidRDefault="002E3CE8" w:rsidP="00292D2E">
            <w:pPr>
              <w:widowControl w:val="0"/>
              <w:spacing w:line="360" w:lineRule="auto"/>
              <w:rPr>
                <w:rFonts w:eastAsiaTheme="minorHAnsi"/>
                <w:sz w:val="28"/>
                <w:szCs w:val="28"/>
                <w:lang w:eastAsia="en-US"/>
              </w:rPr>
            </w:pPr>
            <w:r w:rsidRPr="00520861">
              <w:rPr>
                <w:rFonts w:eastAsiaTheme="minorHAnsi"/>
                <w:sz w:val="28"/>
                <w:szCs w:val="28"/>
                <w:lang w:eastAsia="en-US"/>
              </w:rPr>
              <w:t>ВП-</w:t>
            </w:r>
          </w:p>
          <w:p w14:paraId="78E903E8" w14:textId="77777777" w:rsidR="002E3CE8" w:rsidRPr="00520861" w:rsidRDefault="002E3CE8" w:rsidP="00292D2E">
            <w:pPr>
              <w:widowControl w:val="0"/>
              <w:spacing w:line="360" w:lineRule="auto"/>
              <w:rPr>
                <w:rFonts w:eastAsia="Calibri"/>
                <w:sz w:val="28"/>
                <w:szCs w:val="28"/>
                <w:lang w:eastAsia="en-US"/>
              </w:rPr>
            </w:pPr>
            <w:r w:rsidRPr="00520861">
              <w:rPr>
                <w:sz w:val="28"/>
                <w:szCs w:val="28"/>
              </w:rPr>
              <w:t>V</w:t>
            </w:r>
            <w:r w:rsidRPr="00520861">
              <w:rPr>
                <w:rFonts w:eastAsiaTheme="minorHAnsi"/>
                <w:sz w:val="28"/>
                <w:szCs w:val="28"/>
                <w:lang w:eastAsia="en-US"/>
              </w:rPr>
              <w:t>ІІІ</w:t>
            </w:r>
          </w:p>
        </w:tc>
        <w:tc>
          <w:tcPr>
            <w:tcW w:w="1056" w:type="dxa"/>
            <w:tcBorders>
              <w:top w:val="single" w:sz="4" w:space="0" w:color="auto"/>
              <w:left w:val="single" w:sz="4" w:space="0" w:color="auto"/>
              <w:bottom w:val="single" w:sz="4" w:space="0" w:color="auto"/>
              <w:right w:val="single" w:sz="4" w:space="0" w:color="auto"/>
            </w:tcBorders>
          </w:tcPr>
          <w:p w14:paraId="1E47D71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103,94</w:t>
            </w:r>
          </w:p>
        </w:tc>
        <w:tc>
          <w:tcPr>
            <w:tcW w:w="2476" w:type="dxa"/>
            <w:tcBorders>
              <w:top w:val="single" w:sz="4" w:space="0" w:color="auto"/>
              <w:left w:val="single" w:sz="4" w:space="0" w:color="auto"/>
              <w:bottom w:val="single" w:sz="4" w:space="0" w:color="auto"/>
              <w:right w:val="single" w:sz="4" w:space="0" w:color="auto"/>
            </w:tcBorders>
          </w:tcPr>
          <w:p w14:paraId="45125D59"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107,33 </w:t>
            </w:r>
            <w:r w:rsidRPr="00520861">
              <w:rPr>
                <w:rFonts w:eastAsia="Calibri"/>
                <w:sz w:val="28"/>
                <w:szCs w:val="28"/>
              </w:rPr>
              <w:t>(</w:t>
            </w:r>
            <w:r w:rsidRPr="00520861">
              <w:rPr>
                <w:rFonts w:eastAsia="Calibri"/>
                <w:i/>
                <w:sz w:val="28"/>
                <w:szCs w:val="28"/>
              </w:rPr>
              <w:t>p</w:t>
            </w:r>
            <w:r w:rsidRPr="00520861">
              <w:rPr>
                <w:rFonts w:eastAsia="Calibri"/>
                <w:sz w:val="28"/>
                <w:szCs w:val="28"/>
              </w:rPr>
              <w:t>=0,105)</w:t>
            </w:r>
          </w:p>
        </w:tc>
        <w:tc>
          <w:tcPr>
            <w:tcW w:w="2476" w:type="dxa"/>
            <w:tcBorders>
              <w:top w:val="single" w:sz="4" w:space="0" w:color="auto"/>
              <w:left w:val="single" w:sz="4" w:space="0" w:color="auto"/>
              <w:bottom w:val="single" w:sz="4" w:space="0" w:color="auto"/>
              <w:right w:val="single" w:sz="4" w:space="0" w:color="auto"/>
            </w:tcBorders>
          </w:tcPr>
          <w:p w14:paraId="6C9405AF"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100,96 </w:t>
            </w:r>
            <w:r w:rsidRPr="00520861">
              <w:rPr>
                <w:rFonts w:eastAsia="Calibri"/>
                <w:sz w:val="28"/>
                <w:szCs w:val="28"/>
              </w:rPr>
              <w:t>(</w:t>
            </w:r>
            <w:r w:rsidRPr="00520861">
              <w:rPr>
                <w:rFonts w:eastAsia="Calibri"/>
                <w:i/>
                <w:sz w:val="28"/>
                <w:szCs w:val="28"/>
              </w:rPr>
              <w:t>p</w:t>
            </w:r>
            <w:r w:rsidRPr="00520861">
              <w:rPr>
                <w:rFonts w:eastAsia="Calibri"/>
                <w:sz w:val="28"/>
                <w:szCs w:val="28"/>
              </w:rPr>
              <w:t>=0,069)</w:t>
            </w:r>
          </w:p>
        </w:tc>
        <w:tc>
          <w:tcPr>
            <w:tcW w:w="2477" w:type="dxa"/>
            <w:tcBorders>
              <w:top w:val="single" w:sz="4" w:space="0" w:color="auto"/>
              <w:left w:val="single" w:sz="4" w:space="0" w:color="auto"/>
              <w:bottom w:val="single" w:sz="4" w:space="0" w:color="auto"/>
              <w:right w:val="single" w:sz="4" w:space="0" w:color="auto"/>
            </w:tcBorders>
          </w:tcPr>
          <w:p w14:paraId="05AAE910"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112,55</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=0,043)</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08BBC03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110,70</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=0,010)</w:t>
            </w:r>
            <w:r w:rsidRPr="00520861">
              <w:rPr>
                <w:sz w:val="28"/>
                <w:szCs w:val="28"/>
              </w:rPr>
              <w:t xml:space="preserve"> </w:t>
            </w:r>
          </w:p>
        </w:tc>
        <w:tc>
          <w:tcPr>
            <w:tcW w:w="2477" w:type="dxa"/>
            <w:tcBorders>
              <w:top w:val="single" w:sz="4" w:space="0" w:color="auto"/>
              <w:left w:val="single" w:sz="4" w:space="0" w:color="auto"/>
              <w:bottom w:val="single" w:sz="4" w:space="0" w:color="auto"/>
              <w:right w:val="single" w:sz="4" w:space="0" w:color="auto"/>
            </w:tcBorders>
          </w:tcPr>
          <w:p w14:paraId="25CAAB32"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106,78 </w:t>
            </w:r>
            <w:r w:rsidRPr="00520861">
              <w:rPr>
                <w:rFonts w:eastAsia="Calibri"/>
                <w:sz w:val="28"/>
                <w:szCs w:val="28"/>
              </w:rPr>
              <w:t>(</w:t>
            </w:r>
            <w:r w:rsidRPr="00520861">
              <w:rPr>
                <w:rFonts w:eastAsia="Calibri"/>
                <w:i/>
                <w:sz w:val="28"/>
                <w:szCs w:val="28"/>
              </w:rPr>
              <w:t>p</w:t>
            </w:r>
            <w:r w:rsidRPr="00520861">
              <w:rPr>
                <w:rFonts w:eastAsia="Calibri"/>
                <w:sz w:val="28"/>
                <w:szCs w:val="28"/>
              </w:rPr>
              <w:t>=0,149)</w:t>
            </w:r>
          </w:p>
        </w:tc>
      </w:tr>
      <w:tr w:rsidR="002E3CE8" w:rsidRPr="00520861" w14:paraId="55C04EDB" w14:textId="77777777" w:rsidTr="00292D2E">
        <w:trPr>
          <w:trHeight w:val="435"/>
          <w:jc w:val="right"/>
        </w:trPr>
        <w:tc>
          <w:tcPr>
            <w:tcW w:w="14620" w:type="dxa"/>
            <w:gridSpan w:val="7"/>
            <w:tcBorders>
              <w:top w:val="single" w:sz="4" w:space="0" w:color="auto"/>
              <w:left w:val="single" w:sz="4" w:space="0" w:color="auto"/>
              <w:bottom w:val="single" w:sz="4" w:space="0" w:color="auto"/>
              <w:right w:val="single" w:sz="4" w:space="0" w:color="auto"/>
            </w:tcBorders>
          </w:tcPr>
          <w:p w14:paraId="533FE85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Глибина присінку </w:t>
            </w:r>
          </w:p>
        </w:tc>
      </w:tr>
      <w:tr w:rsidR="002E3CE8" w:rsidRPr="00520861" w14:paraId="720E4E09" w14:textId="77777777" w:rsidTr="00292D2E">
        <w:trPr>
          <w:trHeight w:val="277"/>
          <w:jc w:val="right"/>
        </w:trPr>
        <w:tc>
          <w:tcPr>
            <w:tcW w:w="1182" w:type="dxa"/>
            <w:tcBorders>
              <w:top w:val="single" w:sz="4" w:space="0" w:color="auto"/>
              <w:left w:val="single" w:sz="4" w:space="0" w:color="auto"/>
              <w:bottom w:val="single" w:sz="4" w:space="0" w:color="auto"/>
              <w:right w:val="single" w:sz="4" w:space="0" w:color="auto"/>
            </w:tcBorders>
          </w:tcPr>
          <w:p w14:paraId="4D9E02D2" w14:textId="77777777" w:rsidR="002E3CE8" w:rsidRPr="00520861" w:rsidRDefault="002E3CE8" w:rsidP="00292D2E">
            <w:pPr>
              <w:widowControl w:val="0"/>
              <w:spacing w:line="360" w:lineRule="auto"/>
              <w:rPr>
                <w:rFonts w:eastAsiaTheme="minorHAnsi"/>
                <w:sz w:val="28"/>
                <w:szCs w:val="28"/>
                <w:lang w:eastAsia="en-US"/>
              </w:rPr>
            </w:pPr>
            <w:r w:rsidRPr="00520861">
              <w:rPr>
                <w:rFonts w:eastAsiaTheme="minorHAnsi"/>
                <w:sz w:val="28"/>
                <w:szCs w:val="28"/>
                <w:lang w:eastAsia="en-US"/>
              </w:rPr>
              <w:t>ВП-</w:t>
            </w:r>
            <w:r w:rsidRPr="00520861">
              <w:rPr>
                <w:sz w:val="28"/>
                <w:szCs w:val="28"/>
              </w:rPr>
              <w:t>V</w:t>
            </w:r>
          </w:p>
        </w:tc>
        <w:tc>
          <w:tcPr>
            <w:tcW w:w="1056" w:type="dxa"/>
            <w:tcBorders>
              <w:top w:val="single" w:sz="4" w:space="0" w:color="auto"/>
              <w:left w:val="single" w:sz="4" w:space="0" w:color="auto"/>
              <w:bottom w:val="single" w:sz="4" w:space="0" w:color="auto"/>
              <w:right w:val="single" w:sz="4" w:space="0" w:color="auto"/>
            </w:tcBorders>
          </w:tcPr>
          <w:p w14:paraId="41DF154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6,07</w:t>
            </w:r>
          </w:p>
        </w:tc>
        <w:tc>
          <w:tcPr>
            <w:tcW w:w="2476" w:type="dxa"/>
            <w:tcBorders>
              <w:top w:val="single" w:sz="4" w:space="0" w:color="auto"/>
              <w:left w:val="single" w:sz="4" w:space="0" w:color="auto"/>
              <w:bottom w:val="single" w:sz="4" w:space="0" w:color="auto"/>
              <w:right w:val="single" w:sz="4" w:space="0" w:color="auto"/>
            </w:tcBorders>
          </w:tcPr>
          <w:p w14:paraId="263FCFE2" w14:textId="77777777" w:rsidR="002E3CE8" w:rsidRPr="00520861" w:rsidRDefault="002E3CE8" w:rsidP="00292D2E">
            <w:pPr>
              <w:widowControl w:val="0"/>
              <w:spacing w:line="360" w:lineRule="auto"/>
              <w:jc w:val="center"/>
              <w:rPr>
                <w:sz w:val="28"/>
                <w:szCs w:val="28"/>
              </w:rPr>
            </w:pPr>
            <w:r w:rsidRPr="00520861">
              <w:rPr>
                <w:sz w:val="28"/>
                <w:szCs w:val="28"/>
              </w:rPr>
              <w:t xml:space="preserve">6,23 </w:t>
            </w:r>
            <w:r w:rsidRPr="00520861">
              <w:rPr>
                <w:rFonts w:eastAsia="Calibri"/>
                <w:sz w:val="28"/>
                <w:szCs w:val="28"/>
              </w:rPr>
              <w:t>(</w:t>
            </w:r>
            <w:r w:rsidRPr="00520861">
              <w:rPr>
                <w:rFonts w:eastAsia="Calibri"/>
                <w:i/>
                <w:sz w:val="28"/>
                <w:szCs w:val="28"/>
              </w:rPr>
              <w:t>p</w:t>
            </w:r>
            <w:r w:rsidRPr="00520861">
              <w:rPr>
                <w:rFonts w:eastAsia="Calibri"/>
                <w:sz w:val="28"/>
                <w:szCs w:val="28"/>
              </w:rPr>
              <w:t>=0,762)</w:t>
            </w:r>
          </w:p>
        </w:tc>
        <w:tc>
          <w:tcPr>
            <w:tcW w:w="2476" w:type="dxa"/>
            <w:tcBorders>
              <w:top w:val="single" w:sz="4" w:space="0" w:color="auto"/>
              <w:left w:val="single" w:sz="4" w:space="0" w:color="auto"/>
              <w:bottom w:val="single" w:sz="4" w:space="0" w:color="auto"/>
              <w:right w:val="single" w:sz="4" w:space="0" w:color="auto"/>
            </w:tcBorders>
          </w:tcPr>
          <w:p w14:paraId="7916E67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5,86 </w:t>
            </w:r>
            <w:r w:rsidRPr="00520861">
              <w:rPr>
                <w:rFonts w:eastAsia="Calibri"/>
                <w:sz w:val="28"/>
                <w:szCs w:val="28"/>
              </w:rPr>
              <w:t>(</w:t>
            </w:r>
            <w:r w:rsidRPr="00520861">
              <w:rPr>
                <w:rFonts w:eastAsia="Calibri"/>
                <w:i/>
                <w:sz w:val="28"/>
                <w:szCs w:val="28"/>
              </w:rPr>
              <w:t>p</w:t>
            </w:r>
            <w:r w:rsidRPr="00520861">
              <w:rPr>
                <w:rFonts w:eastAsia="Calibri"/>
                <w:sz w:val="28"/>
                <w:szCs w:val="28"/>
              </w:rPr>
              <w:t>=0,156)</w:t>
            </w:r>
          </w:p>
        </w:tc>
        <w:tc>
          <w:tcPr>
            <w:tcW w:w="2477" w:type="dxa"/>
            <w:tcBorders>
              <w:top w:val="single" w:sz="4" w:space="0" w:color="auto"/>
              <w:left w:val="single" w:sz="4" w:space="0" w:color="auto"/>
              <w:bottom w:val="single" w:sz="4" w:space="0" w:color="auto"/>
              <w:right w:val="single" w:sz="4" w:space="0" w:color="auto"/>
            </w:tcBorders>
          </w:tcPr>
          <w:p w14:paraId="7E9378FB" w14:textId="77777777" w:rsidR="002E3CE8" w:rsidRPr="00520861" w:rsidRDefault="002E3CE8" w:rsidP="00292D2E">
            <w:pPr>
              <w:widowControl w:val="0"/>
              <w:spacing w:line="360" w:lineRule="auto"/>
              <w:ind w:hanging="115"/>
              <w:jc w:val="center"/>
              <w:rPr>
                <w:rFonts w:eastAsia="Calibri"/>
                <w:sz w:val="28"/>
                <w:szCs w:val="28"/>
              </w:rPr>
            </w:pPr>
            <w:r w:rsidRPr="00520861">
              <w:rPr>
                <w:rFonts w:eastAsia="Calibri"/>
                <w:sz w:val="28"/>
                <w:szCs w:val="28"/>
              </w:rPr>
              <w:t>5,00 (</w:t>
            </w:r>
            <w:r w:rsidRPr="00520861">
              <w:rPr>
                <w:rFonts w:eastAsia="Calibri"/>
                <w:i/>
                <w:sz w:val="28"/>
                <w:szCs w:val="28"/>
              </w:rPr>
              <w:t>p</w:t>
            </w:r>
            <w:r w:rsidRPr="00520861">
              <w:rPr>
                <w:rFonts w:eastAsia="Calibri"/>
                <w:sz w:val="28"/>
                <w:szCs w:val="28"/>
              </w:rPr>
              <w:t>=0,218)</w:t>
            </w:r>
          </w:p>
        </w:tc>
        <w:tc>
          <w:tcPr>
            <w:tcW w:w="2476" w:type="dxa"/>
            <w:tcBorders>
              <w:top w:val="single" w:sz="4" w:space="0" w:color="auto"/>
              <w:left w:val="single" w:sz="4" w:space="0" w:color="auto"/>
              <w:bottom w:val="single" w:sz="4" w:space="0" w:color="auto"/>
              <w:right w:val="single" w:sz="4" w:space="0" w:color="auto"/>
            </w:tcBorders>
          </w:tcPr>
          <w:p w14:paraId="7A951FCE"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6,83 </w:t>
            </w:r>
            <w:r w:rsidRPr="00520861">
              <w:rPr>
                <w:rFonts w:eastAsia="Calibri"/>
                <w:sz w:val="28"/>
                <w:szCs w:val="28"/>
              </w:rPr>
              <w:t>(</w:t>
            </w:r>
            <w:r w:rsidRPr="00520861">
              <w:rPr>
                <w:rFonts w:eastAsia="Calibri"/>
                <w:i/>
                <w:sz w:val="28"/>
                <w:szCs w:val="28"/>
              </w:rPr>
              <w:t>p</w:t>
            </w:r>
            <w:r w:rsidRPr="00520861">
              <w:rPr>
                <w:rFonts w:eastAsia="Calibri"/>
                <w:sz w:val="28"/>
                <w:szCs w:val="28"/>
              </w:rPr>
              <w:t>=0,521)</w:t>
            </w:r>
          </w:p>
        </w:tc>
        <w:tc>
          <w:tcPr>
            <w:tcW w:w="2477" w:type="dxa"/>
            <w:tcBorders>
              <w:top w:val="single" w:sz="4" w:space="0" w:color="auto"/>
              <w:left w:val="single" w:sz="4" w:space="0" w:color="auto"/>
              <w:bottom w:val="single" w:sz="4" w:space="0" w:color="auto"/>
              <w:right w:val="single" w:sz="4" w:space="0" w:color="auto"/>
            </w:tcBorders>
          </w:tcPr>
          <w:p w14:paraId="45F20DF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7,14 </w:t>
            </w:r>
            <w:r w:rsidRPr="00520861">
              <w:rPr>
                <w:rFonts w:eastAsia="Calibri"/>
                <w:sz w:val="28"/>
                <w:szCs w:val="28"/>
              </w:rPr>
              <w:t>(</w:t>
            </w:r>
            <w:r w:rsidRPr="00520861">
              <w:rPr>
                <w:rFonts w:eastAsia="Calibri"/>
                <w:i/>
                <w:sz w:val="28"/>
                <w:szCs w:val="28"/>
              </w:rPr>
              <w:t>p</w:t>
            </w:r>
            <w:r w:rsidRPr="00520861">
              <w:rPr>
                <w:rFonts w:eastAsia="Calibri"/>
                <w:sz w:val="28"/>
                <w:szCs w:val="28"/>
              </w:rPr>
              <w:t>=0,254)</w:t>
            </w:r>
          </w:p>
        </w:tc>
      </w:tr>
      <w:tr w:rsidR="002E3CE8" w:rsidRPr="00520861" w14:paraId="59358A75" w14:textId="77777777" w:rsidTr="00292D2E">
        <w:trPr>
          <w:jc w:val="right"/>
        </w:trPr>
        <w:tc>
          <w:tcPr>
            <w:tcW w:w="1182" w:type="dxa"/>
            <w:tcBorders>
              <w:top w:val="single" w:sz="4" w:space="0" w:color="auto"/>
              <w:left w:val="single" w:sz="4" w:space="0" w:color="auto"/>
              <w:bottom w:val="single" w:sz="4" w:space="0" w:color="auto"/>
              <w:right w:val="single" w:sz="4" w:space="0" w:color="auto"/>
            </w:tcBorders>
          </w:tcPr>
          <w:p w14:paraId="29D4ADE6" w14:textId="77777777" w:rsidR="002E3CE8" w:rsidRPr="00520861" w:rsidRDefault="002E3CE8" w:rsidP="00292D2E">
            <w:pPr>
              <w:widowControl w:val="0"/>
              <w:spacing w:line="360" w:lineRule="auto"/>
              <w:rPr>
                <w:rFonts w:eastAsiaTheme="minorHAnsi"/>
                <w:sz w:val="28"/>
                <w:szCs w:val="28"/>
                <w:lang w:eastAsia="en-US"/>
              </w:rPr>
            </w:pPr>
            <w:r w:rsidRPr="00520861">
              <w:rPr>
                <w:rFonts w:eastAsia="Calibri"/>
                <w:sz w:val="28"/>
                <w:szCs w:val="28"/>
                <w:lang w:eastAsia="en-US"/>
              </w:rPr>
              <w:t>ВП-</w:t>
            </w:r>
            <w:r w:rsidRPr="00520861">
              <w:rPr>
                <w:sz w:val="28"/>
                <w:szCs w:val="28"/>
              </w:rPr>
              <w:t>VІ</w:t>
            </w:r>
          </w:p>
        </w:tc>
        <w:tc>
          <w:tcPr>
            <w:tcW w:w="1056" w:type="dxa"/>
            <w:tcBorders>
              <w:top w:val="single" w:sz="4" w:space="0" w:color="auto"/>
              <w:left w:val="single" w:sz="4" w:space="0" w:color="auto"/>
              <w:bottom w:val="single" w:sz="4" w:space="0" w:color="auto"/>
              <w:right w:val="single" w:sz="4" w:space="0" w:color="auto"/>
            </w:tcBorders>
          </w:tcPr>
          <w:p w14:paraId="5F20297E"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7,48</w:t>
            </w:r>
          </w:p>
        </w:tc>
        <w:tc>
          <w:tcPr>
            <w:tcW w:w="2476" w:type="dxa"/>
            <w:tcBorders>
              <w:top w:val="single" w:sz="4" w:space="0" w:color="auto"/>
              <w:left w:val="single" w:sz="4" w:space="0" w:color="auto"/>
              <w:bottom w:val="single" w:sz="4" w:space="0" w:color="auto"/>
              <w:right w:val="single" w:sz="4" w:space="0" w:color="auto"/>
            </w:tcBorders>
          </w:tcPr>
          <w:p w14:paraId="6FE4B7EA"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8,90</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=0,025)</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3470707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10,40</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=0,008)</w:t>
            </w:r>
            <w:r w:rsidRPr="00520861">
              <w:rPr>
                <w:sz w:val="28"/>
                <w:szCs w:val="28"/>
              </w:rPr>
              <w:t xml:space="preserve"> </w:t>
            </w:r>
          </w:p>
        </w:tc>
        <w:tc>
          <w:tcPr>
            <w:tcW w:w="2477" w:type="dxa"/>
            <w:tcBorders>
              <w:top w:val="single" w:sz="4" w:space="0" w:color="auto"/>
              <w:left w:val="single" w:sz="4" w:space="0" w:color="auto"/>
              <w:bottom w:val="single" w:sz="4" w:space="0" w:color="auto"/>
              <w:right w:val="single" w:sz="4" w:space="0" w:color="auto"/>
            </w:tcBorders>
          </w:tcPr>
          <w:p w14:paraId="58983537"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8,38 </w:t>
            </w:r>
            <w:r w:rsidRPr="00520861">
              <w:rPr>
                <w:rFonts w:eastAsia="Calibri"/>
                <w:sz w:val="28"/>
                <w:szCs w:val="28"/>
              </w:rPr>
              <w:t>(</w:t>
            </w:r>
            <w:r w:rsidRPr="00520861">
              <w:rPr>
                <w:rFonts w:eastAsia="Calibri"/>
                <w:i/>
                <w:sz w:val="28"/>
                <w:szCs w:val="28"/>
              </w:rPr>
              <w:t>p</w:t>
            </w:r>
            <w:r w:rsidRPr="00520861">
              <w:rPr>
                <w:rFonts w:eastAsia="Calibri"/>
                <w:sz w:val="28"/>
                <w:szCs w:val="28"/>
              </w:rPr>
              <w:t>=0,499)</w:t>
            </w:r>
          </w:p>
        </w:tc>
        <w:tc>
          <w:tcPr>
            <w:tcW w:w="2476" w:type="dxa"/>
            <w:tcBorders>
              <w:top w:val="single" w:sz="4" w:space="0" w:color="auto"/>
              <w:left w:val="single" w:sz="4" w:space="0" w:color="auto"/>
              <w:bottom w:val="single" w:sz="4" w:space="0" w:color="auto"/>
              <w:right w:val="single" w:sz="4" w:space="0" w:color="auto"/>
            </w:tcBorders>
          </w:tcPr>
          <w:p w14:paraId="623E5599"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8,56 </w:t>
            </w:r>
            <w:r w:rsidRPr="00520861">
              <w:rPr>
                <w:rFonts w:eastAsia="Calibri"/>
                <w:sz w:val="28"/>
                <w:szCs w:val="28"/>
              </w:rPr>
              <w:t>(</w:t>
            </w:r>
            <w:r w:rsidRPr="00520861">
              <w:rPr>
                <w:rFonts w:eastAsia="Calibri"/>
                <w:i/>
                <w:sz w:val="28"/>
                <w:szCs w:val="28"/>
              </w:rPr>
              <w:t>p</w:t>
            </w:r>
            <w:r w:rsidRPr="00520861">
              <w:rPr>
                <w:rFonts w:eastAsia="Calibri"/>
                <w:sz w:val="28"/>
                <w:szCs w:val="28"/>
              </w:rPr>
              <w:t>=0,190)</w:t>
            </w:r>
          </w:p>
        </w:tc>
        <w:tc>
          <w:tcPr>
            <w:tcW w:w="2477" w:type="dxa"/>
            <w:tcBorders>
              <w:top w:val="single" w:sz="4" w:space="0" w:color="auto"/>
              <w:left w:val="single" w:sz="4" w:space="0" w:color="auto"/>
              <w:bottom w:val="single" w:sz="4" w:space="0" w:color="auto"/>
              <w:right w:val="single" w:sz="4" w:space="0" w:color="auto"/>
            </w:tcBorders>
          </w:tcPr>
          <w:p w14:paraId="0C66A786"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8,25 </w:t>
            </w:r>
            <w:r w:rsidRPr="00520861">
              <w:rPr>
                <w:rFonts w:eastAsia="Calibri"/>
                <w:sz w:val="28"/>
                <w:szCs w:val="28"/>
              </w:rPr>
              <w:t>(</w:t>
            </w:r>
            <w:r w:rsidRPr="00520861">
              <w:rPr>
                <w:rFonts w:eastAsia="Calibri"/>
                <w:i/>
                <w:sz w:val="28"/>
                <w:szCs w:val="28"/>
              </w:rPr>
              <w:t>p</w:t>
            </w:r>
            <w:r w:rsidRPr="00520861">
              <w:rPr>
                <w:rFonts w:eastAsia="Calibri"/>
                <w:sz w:val="28"/>
                <w:szCs w:val="28"/>
              </w:rPr>
              <w:t>=0,212)</w:t>
            </w:r>
          </w:p>
        </w:tc>
      </w:tr>
      <w:tr w:rsidR="002E3CE8" w:rsidRPr="00520861" w14:paraId="0CFA67C7" w14:textId="77777777" w:rsidTr="00292D2E">
        <w:trPr>
          <w:jc w:val="right"/>
        </w:trPr>
        <w:tc>
          <w:tcPr>
            <w:tcW w:w="1182" w:type="dxa"/>
            <w:tcBorders>
              <w:top w:val="single" w:sz="4" w:space="0" w:color="auto"/>
              <w:left w:val="single" w:sz="4" w:space="0" w:color="auto"/>
              <w:bottom w:val="single" w:sz="4" w:space="0" w:color="auto"/>
              <w:right w:val="single" w:sz="4" w:space="0" w:color="auto"/>
            </w:tcBorders>
          </w:tcPr>
          <w:p w14:paraId="760D8EFB" w14:textId="77777777" w:rsidR="002E3CE8" w:rsidRPr="00520861" w:rsidRDefault="002E3CE8" w:rsidP="00292D2E">
            <w:pPr>
              <w:widowControl w:val="0"/>
              <w:spacing w:line="360" w:lineRule="auto"/>
              <w:rPr>
                <w:rFonts w:eastAsiaTheme="minorHAnsi"/>
                <w:sz w:val="28"/>
                <w:szCs w:val="28"/>
                <w:lang w:eastAsia="en-US"/>
              </w:rPr>
            </w:pPr>
            <w:r w:rsidRPr="00520861">
              <w:rPr>
                <w:rFonts w:eastAsia="Calibri"/>
                <w:sz w:val="28"/>
                <w:szCs w:val="28"/>
                <w:lang w:eastAsia="en-US"/>
              </w:rPr>
              <w:t>ВП-</w:t>
            </w:r>
            <w:r w:rsidRPr="00520861">
              <w:rPr>
                <w:sz w:val="28"/>
                <w:szCs w:val="28"/>
              </w:rPr>
              <w:t>VІІ</w:t>
            </w:r>
          </w:p>
        </w:tc>
        <w:tc>
          <w:tcPr>
            <w:tcW w:w="1056" w:type="dxa"/>
            <w:tcBorders>
              <w:top w:val="single" w:sz="4" w:space="0" w:color="auto"/>
              <w:left w:val="single" w:sz="4" w:space="0" w:color="auto"/>
              <w:bottom w:val="single" w:sz="4" w:space="0" w:color="auto"/>
              <w:right w:val="single" w:sz="4" w:space="0" w:color="auto"/>
            </w:tcBorders>
          </w:tcPr>
          <w:p w14:paraId="01332348"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6,96</w:t>
            </w:r>
          </w:p>
        </w:tc>
        <w:tc>
          <w:tcPr>
            <w:tcW w:w="2476" w:type="dxa"/>
            <w:tcBorders>
              <w:top w:val="single" w:sz="4" w:space="0" w:color="auto"/>
              <w:left w:val="single" w:sz="4" w:space="0" w:color="auto"/>
              <w:bottom w:val="single" w:sz="4" w:space="0" w:color="auto"/>
              <w:right w:val="single" w:sz="4" w:space="0" w:color="auto"/>
            </w:tcBorders>
          </w:tcPr>
          <w:p w14:paraId="21DD2A72"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9,10</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=0,002)</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3CB20E1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8,92</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=0,015)</w:t>
            </w:r>
            <w:r w:rsidRPr="00520861">
              <w:rPr>
                <w:sz w:val="28"/>
                <w:szCs w:val="28"/>
              </w:rPr>
              <w:t xml:space="preserve"> </w:t>
            </w:r>
          </w:p>
        </w:tc>
        <w:tc>
          <w:tcPr>
            <w:tcW w:w="2477" w:type="dxa"/>
            <w:tcBorders>
              <w:top w:val="single" w:sz="4" w:space="0" w:color="auto"/>
              <w:left w:val="single" w:sz="4" w:space="0" w:color="auto"/>
              <w:bottom w:val="single" w:sz="4" w:space="0" w:color="auto"/>
              <w:right w:val="single" w:sz="4" w:space="0" w:color="auto"/>
            </w:tcBorders>
          </w:tcPr>
          <w:p w14:paraId="15D4447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11,43</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=0,000)</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0B52736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9,11</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=0,005)</w:t>
            </w:r>
            <w:r w:rsidRPr="00520861">
              <w:rPr>
                <w:sz w:val="28"/>
                <w:szCs w:val="28"/>
              </w:rPr>
              <w:t xml:space="preserve"> </w:t>
            </w:r>
          </w:p>
        </w:tc>
        <w:tc>
          <w:tcPr>
            <w:tcW w:w="2477" w:type="dxa"/>
            <w:tcBorders>
              <w:top w:val="single" w:sz="4" w:space="0" w:color="auto"/>
              <w:left w:val="single" w:sz="4" w:space="0" w:color="auto"/>
              <w:bottom w:val="single" w:sz="4" w:space="0" w:color="auto"/>
              <w:right w:val="single" w:sz="4" w:space="0" w:color="auto"/>
            </w:tcBorders>
          </w:tcPr>
          <w:p w14:paraId="7520F8EC"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8,45 </w:t>
            </w:r>
            <w:r w:rsidRPr="00520861">
              <w:rPr>
                <w:rFonts w:eastAsia="Calibri"/>
                <w:sz w:val="28"/>
                <w:szCs w:val="28"/>
              </w:rPr>
              <w:t>(</w:t>
            </w:r>
            <w:r w:rsidRPr="00520861">
              <w:rPr>
                <w:rFonts w:eastAsia="Calibri"/>
                <w:i/>
                <w:sz w:val="28"/>
                <w:szCs w:val="28"/>
              </w:rPr>
              <w:t>p</w:t>
            </w:r>
            <w:r w:rsidRPr="00520861">
              <w:rPr>
                <w:rFonts w:eastAsia="Calibri"/>
                <w:sz w:val="28"/>
                <w:szCs w:val="28"/>
              </w:rPr>
              <w:t>=0,138)</w:t>
            </w:r>
          </w:p>
        </w:tc>
      </w:tr>
      <w:tr w:rsidR="002E3CE8" w:rsidRPr="00520861" w14:paraId="5D5DC0EA" w14:textId="77777777" w:rsidTr="00292D2E">
        <w:trPr>
          <w:jc w:val="right"/>
        </w:trPr>
        <w:tc>
          <w:tcPr>
            <w:tcW w:w="1182" w:type="dxa"/>
            <w:tcBorders>
              <w:top w:val="single" w:sz="4" w:space="0" w:color="auto"/>
              <w:left w:val="single" w:sz="4" w:space="0" w:color="auto"/>
              <w:bottom w:val="single" w:sz="4" w:space="0" w:color="auto"/>
              <w:right w:val="single" w:sz="4" w:space="0" w:color="auto"/>
            </w:tcBorders>
          </w:tcPr>
          <w:p w14:paraId="7D6C0273" w14:textId="77777777" w:rsidR="002E3CE8" w:rsidRPr="00520861" w:rsidRDefault="002E3CE8" w:rsidP="00292D2E">
            <w:pPr>
              <w:widowControl w:val="0"/>
              <w:spacing w:line="360" w:lineRule="auto"/>
              <w:rPr>
                <w:rFonts w:eastAsiaTheme="minorHAnsi"/>
                <w:sz w:val="28"/>
                <w:szCs w:val="28"/>
                <w:lang w:eastAsia="en-US"/>
              </w:rPr>
            </w:pPr>
            <w:r w:rsidRPr="00520861">
              <w:rPr>
                <w:rFonts w:eastAsiaTheme="minorHAnsi"/>
                <w:sz w:val="28"/>
                <w:szCs w:val="28"/>
                <w:lang w:eastAsia="en-US"/>
              </w:rPr>
              <w:t>ВП-</w:t>
            </w:r>
          </w:p>
          <w:p w14:paraId="33A6E8B8" w14:textId="77777777" w:rsidR="002E3CE8" w:rsidRPr="00520861" w:rsidRDefault="002E3CE8" w:rsidP="00292D2E">
            <w:pPr>
              <w:widowControl w:val="0"/>
              <w:spacing w:line="360" w:lineRule="auto"/>
              <w:rPr>
                <w:rFonts w:eastAsiaTheme="minorHAnsi"/>
                <w:sz w:val="28"/>
                <w:szCs w:val="28"/>
                <w:lang w:eastAsia="en-US"/>
              </w:rPr>
            </w:pPr>
            <w:r w:rsidRPr="00520861">
              <w:rPr>
                <w:sz w:val="28"/>
                <w:szCs w:val="28"/>
              </w:rPr>
              <w:t>V</w:t>
            </w:r>
            <w:r w:rsidRPr="00520861">
              <w:rPr>
                <w:rFonts w:eastAsiaTheme="minorHAnsi"/>
                <w:sz w:val="28"/>
                <w:szCs w:val="28"/>
                <w:lang w:eastAsia="en-US"/>
              </w:rPr>
              <w:t>ІІІ</w:t>
            </w:r>
          </w:p>
        </w:tc>
        <w:tc>
          <w:tcPr>
            <w:tcW w:w="1056" w:type="dxa"/>
            <w:tcBorders>
              <w:top w:val="single" w:sz="4" w:space="0" w:color="auto"/>
              <w:left w:val="single" w:sz="4" w:space="0" w:color="auto"/>
              <w:bottom w:val="single" w:sz="4" w:space="0" w:color="auto"/>
              <w:right w:val="single" w:sz="4" w:space="0" w:color="auto"/>
            </w:tcBorders>
          </w:tcPr>
          <w:p w14:paraId="253AA6E6"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7,08</w:t>
            </w:r>
          </w:p>
        </w:tc>
        <w:tc>
          <w:tcPr>
            <w:tcW w:w="2476" w:type="dxa"/>
            <w:tcBorders>
              <w:top w:val="single" w:sz="4" w:space="0" w:color="auto"/>
              <w:left w:val="single" w:sz="4" w:space="0" w:color="auto"/>
              <w:bottom w:val="single" w:sz="4" w:space="0" w:color="auto"/>
              <w:right w:val="single" w:sz="4" w:space="0" w:color="auto"/>
            </w:tcBorders>
          </w:tcPr>
          <w:p w14:paraId="5621870A"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10,00</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=0,000)</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5F468164"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10,25</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=0,014)</w:t>
            </w:r>
            <w:r w:rsidRPr="00520861">
              <w:rPr>
                <w:sz w:val="28"/>
                <w:szCs w:val="28"/>
              </w:rPr>
              <w:t xml:space="preserve"> </w:t>
            </w:r>
          </w:p>
        </w:tc>
        <w:tc>
          <w:tcPr>
            <w:tcW w:w="2477" w:type="dxa"/>
            <w:tcBorders>
              <w:top w:val="single" w:sz="4" w:space="0" w:color="auto"/>
              <w:left w:val="single" w:sz="4" w:space="0" w:color="auto"/>
              <w:bottom w:val="single" w:sz="4" w:space="0" w:color="auto"/>
              <w:right w:val="single" w:sz="4" w:space="0" w:color="auto"/>
            </w:tcBorders>
          </w:tcPr>
          <w:p w14:paraId="2EDED5B6"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8,67 </w:t>
            </w:r>
            <w:r w:rsidRPr="00520861">
              <w:rPr>
                <w:rFonts w:eastAsia="Calibri"/>
                <w:sz w:val="28"/>
                <w:szCs w:val="28"/>
              </w:rPr>
              <w:t>(</w:t>
            </w:r>
            <w:r w:rsidRPr="00520861">
              <w:rPr>
                <w:rFonts w:eastAsia="Calibri"/>
                <w:i/>
                <w:sz w:val="28"/>
                <w:szCs w:val="28"/>
              </w:rPr>
              <w:t>p</w:t>
            </w:r>
            <w:r w:rsidRPr="00520861">
              <w:rPr>
                <w:rFonts w:eastAsia="Calibri"/>
                <w:sz w:val="28"/>
                <w:szCs w:val="28"/>
              </w:rPr>
              <w:t>=0,163)</w:t>
            </w:r>
            <w:r w:rsidRPr="00520861">
              <w:rPr>
                <w:sz w:val="28"/>
                <w:szCs w:val="28"/>
              </w:rPr>
              <w:t xml:space="preserve"> </w:t>
            </w:r>
          </w:p>
        </w:tc>
        <w:tc>
          <w:tcPr>
            <w:tcW w:w="2476" w:type="dxa"/>
            <w:tcBorders>
              <w:top w:val="single" w:sz="4" w:space="0" w:color="auto"/>
              <w:left w:val="single" w:sz="4" w:space="0" w:color="auto"/>
              <w:bottom w:val="single" w:sz="4" w:space="0" w:color="auto"/>
              <w:right w:val="single" w:sz="4" w:space="0" w:color="auto"/>
            </w:tcBorders>
          </w:tcPr>
          <w:p w14:paraId="35B96EA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11,40</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=0,002)</w:t>
            </w:r>
            <w:r w:rsidRPr="00520861">
              <w:rPr>
                <w:sz w:val="28"/>
                <w:szCs w:val="28"/>
              </w:rPr>
              <w:t xml:space="preserve"> </w:t>
            </w:r>
          </w:p>
        </w:tc>
        <w:tc>
          <w:tcPr>
            <w:tcW w:w="2477" w:type="dxa"/>
            <w:tcBorders>
              <w:top w:val="single" w:sz="4" w:space="0" w:color="auto"/>
              <w:left w:val="single" w:sz="4" w:space="0" w:color="auto"/>
              <w:bottom w:val="single" w:sz="4" w:space="0" w:color="auto"/>
              <w:right w:val="single" w:sz="4" w:space="0" w:color="auto"/>
            </w:tcBorders>
          </w:tcPr>
          <w:p w14:paraId="25D7A83C"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9,69</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=0,005)</w:t>
            </w:r>
            <w:r w:rsidRPr="00520861">
              <w:rPr>
                <w:sz w:val="28"/>
                <w:szCs w:val="28"/>
              </w:rPr>
              <w:t xml:space="preserve"> </w:t>
            </w:r>
          </w:p>
        </w:tc>
      </w:tr>
    </w:tbl>
    <w:p w14:paraId="70BEB6E8" w14:textId="77777777" w:rsidR="002E3CE8" w:rsidRPr="00520861" w:rsidRDefault="002E3CE8" w:rsidP="00292D2E">
      <w:pPr>
        <w:widowControl w:val="0"/>
        <w:spacing w:line="360" w:lineRule="auto"/>
        <w:ind w:firstLine="708"/>
        <w:jc w:val="both"/>
        <w:rPr>
          <w:sz w:val="28"/>
          <w:szCs w:val="28"/>
        </w:rPr>
      </w:pPr>
      <w:r w:rsidRPr="00520861">
        <w:rPr>
          <w:sz w:val="28"/>
          <w:szCs w:val="28"/>
        </w:rPr>
        <w:t xml:space="preserve">Примітка: * – різниця між групою </w:t>
      </w:r>
      <w:proofErr w:type="spellStart"/>
      <w:r w:rsidRPr="00520861">
        <w:rPr>
          <w:sz w:val="28"/>
          <w:szCs w:val="28"/>
        </w:rPr>
        <w:t>макросомів</w:t>
      </w:r>
      <w:proofErr w:type="spellEnd"/>
      <w:r w:rsidRPr="00520861">
        <w:rPr>
          <w:sz w:val="28"/>
          <w:szCs w:val="28"/>
        </w:rPr>
        <w:t xml:space="preserve"> і </w:t>
      </w:r>
      <w:proofErr w:type="spellStart"/>
      <w:r w:rsidRPr="00520861">
        <w:rPr>
          <w:sz w:val="28"/>
          <w:szCs w:val="28"/>
        </w:rPr>
        <w:t>нормосомів</w:t>
      </w:r>
      <w:proofErr w:type="spellEnd"/>
      <w:r w:rsidRPr="00520861">
        <w:rPr>
          <w:sz w:val="28"/>
          <w:szCs w:val="28"/>
        </w:rPr>
        <w:t xml:space="preserve">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5F7BE3AE" w14:textId="77777777" w:rsidR="002E3CE8" w:rsidRPr="00520861" w:rsidRDefault="002E3CE8" w:rsidP="00292D2E">
      <w:pPr>
        <w:widowControl w:val="0"/>
        <w:spacing w:line="360" w:lineRule="auto"/>
        <w:ind w:firstLine="709"/>
        <w:jc w:val="both"/>
        <w:rPr>
          <w:sz w:val="28"/>
          <w:szCs w:val="28"/>
        </w:rPr>
        <w:sectPr w:rsidR="002E3CE8" w:rsidRPr="00520861" w:rsidSect="00292D2E">
          <w:pgSz w:w="16838" w:h="11906" w:orient="landscape"/>
          <w:pgMar w:top="1134" w:right="1134" w:bottom="624" w:left="1134" w:header="709" w:footer="709" w:gutter="0"/>
          <w:cols w:space="708"/>
          <w:docGrid w:linePitch="360"/>
        </w:sectPr>
      </w:pPr>
    </w:p>
    <w:p w14:paraId="2EDA7EBA" w14:textId="77777777" w:rsidR="002E3CE8" w:rsidRPr="00520861" w:rsidRDefault="002E3CE8" w:rsidP="00292D2E">
      <w:pPr>
        <w:widowControl w:val="0"/>
        <w:spacing w:line="360" w:lineRule="auto"/>
        <w:ind w:firstLine="709"/>
        <w:jc w:val="both"/>
        <w:rPr>
          <w:sz w:val="28"/>
          <w:szCs w:val="28"/>
        </w:rPr>
      </w:pPr>
      <w:r w:rsidRPr="00520861">
        <w:rPr>
          <w:sz w:val="28"/>
          <w:szCs w:val="28"/>
        </w:rPr>
        <w:lastRenderedPageBreak/>
        <w:t xml:space="preserve">Аномалії прикріплення вуздечок верхньої губи (рис. 5.23) мали 32 (22,9% ДІ: 16,8% – 29,9%) особи ОГ, а саме: 8 (24,2% ДІ: 13,3% – 38,9%) осіб у підгрупі 1, 5 (20,8% ДІ: 9,8% – 37,4%) осіб у підгрупі 2, 6 (20,7% ДІ: 10,3% – 35,8%) осіб у </w:t>
      </w:r>
      <w:r w:rsidR="001E0C23" w:rsidRPr="00520861">
        <w:rPr>
          <w:sz w:val="28"/>
          <w:szCs w:val="28"/>
        </w:rPr>
        <w:br/>
      </w:r>
      <w:r w:rsidRPr="00520861">
        <w:rPr>
          <w:sz w:val="28"/>
          <w:szCs w:val="28"/>
        </w:rPr>
        <w:t xml:space="preserve">підгрупі 3 та 13 (24,1% ДІ: 15,0% – 35,6%) осіб у підгрупі 4. У ГП цю аномалію було виявлено в 9 (22,1% ДІ: 16,2% – 29,2%) осіб. </w:t>
      </w:r>
    </w:p>
    <w:p w14:paraId="0F3C6A5C" w14:textId="77777777" w:rsidR="002E3CE8" w:rsidRPr="00520861" w:rsidRDefault="002E3CE8" w:rsidP="00292D2E">
      <w:pPr>
        <w:widowControl w:val="0"/>
        <w:spacing w:line="360" w:lineRule="auto"/>
        <w:ind w:firstLine="709"/>
        <w:jc w:val="both"/>
        <w:rPr>
          <w:sz w:val="28"/>
          <w:szCs w:val="28"/>
        </w:rPr>
      </w:pPr>
      <w:proofErr w:type="spellStart"/>
      <w:r w:rsidRPr="00520861">
        <w:rPr>
          <w:sz w:val="28"/>
          <w:szCs w:val="28"/>
        </w:rPr>
        <w:t>Анкілоглосію</w:t>
      </w:r>
      <w:proofErr w:type="spellEnd"/>
      <w:r w:rsidRPr="00520861">
        <w:rPr>
          <w:sz w:val="28"/>
          <w:szCs w:val="28"/>
        </w:rPr>
        <w:t xml:space="preserve"> (рис. 5.24) було виявлено в 31 (22,1% ДІ: 16,2% – 29,2%) особи ОГ, а саме: 3 (9,1% ДІ: 3,4% – 20,2%) осіб у підгрупі 1, 6 (25,0% ДІ: 12,6% – 42,2%) осіб у підгрупі 2, 6 (20,7% ДІ: 10,3% – 35,8%) осіб у підгрупі 3 та 16 (29,6% ДІ: 19,5% – 41,6%) осіб у підгрупі 4. У ГП цю аномалію було виявлена в 4 (5,1% ДІ: 2,1% – 10,7%) осіб. </w:t>
      </w:r>
    </w:p>
    <w:p w14:paraId="1BC8F529" w14:textId="77777777" w:rsidR="002E3CE8" w:rsidRPr="00520861" w:rsidRDefault="002E3CE8" w:rsidP="00292D2E">
      <w:pPr>
        <w:widowControl w:val="0"/>
        <w:spacing w:line="360" w:lineRule="auto"/>
        <w:ind w:firstLine="709"/>
        <w:jc w:val="both"/>
        <w:rPr>
          <w:rFonts w:eastAsia="Calibri"/>
          <w:i/>
          <w:sz w:val="28"/>
          <w:szCs w:val="28"/>
          <w:lang w:eastAsia="en-US"/>
        </w:rPr>
      </w:pPr>
      <w:proofErr w:type="spellStart"/>
      <w:r w:rsidRPr="00520861">
        <w:rPr>
          <w:rFonts w:eastAsia="Calibri"/>
          <w:sz w:val="28"/>
          <w:szCs w:val="28"/>
          <w:lang w:eastAsia="en-US"/>
        </w:rPr>
        <w:t>Внутрішньоротове</w:t>
      </w:r>
      <w:proofErr w:type="spellEnd"/>
      <w:r w:rsidRPr="00520861">
        <w:rPr>
          <w:rFonts w:eastAsia="Calibri"/>
          <w:sz w:val="28"/>
          <w:szCs w:val="28"/>
          <w:lang w:eastAsia="en-US"/>
        </w:rPr>
        <w:t xml:space="preserve"> обстеження та аналіз КДМ. При оцінюванні показників висоти піднебіння (табл. 5.10) виявилося, що в середньому високе піднебіння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зустрічається частіше, ніж в осіб, які народилися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В осіб </w:t>
      </w:r>
      <w:r w:rsidRPr="00520861">
        <w:rPr>
          <w:sz w:val="28"/>
          <w:szCs w:val="28"/>
        </w:rPr>
        <w:t>підгрупи 3</w:t>
      </w:r>
      <w:r w:rsidRPr="00520861">
        <w:rPr>
          <w:rFonts w:eastAsia="Calibri"/>
          <w:sz w:val="28"/>
          <w:szCs w:val="28"/>
          <w:lang w:eastAsia="en-US"/>
        </w:rPr>
        <w:t xml:space="preserve"> показники висоти піднебіння найвищі, а в осіб </w:t>
      </w:r>
      <w:r w:rsidRPr="00520861">
        <w:rPr>
          <w:sz w:val="28"/>
          <w:szCs w:val="28"/>
        </w:rPr>
        <w:t>підгрупи 4</w:t>
      </w:r>
      <w:r w:rsidRPr="00520861">
        <w:rPr>
          <w:rFonts w:eastAsia="Calibri"/>
          <w:sz w:val="28"/>
          <w:szCs w:val="28"/>
          <w:lang w:eastAsia="en-US"/>
        </w:rPr>
        <w:t xml:space="preserve"> </w:t>
      </w:r>
      <w:r w:rsidRPr="00520861">
        <w:rPr>
          <w:sz w:val="28"/>
          <w:szCs w:val="28"/>
        </w:rPr>
        <w:t xml:space="preserve">– </w:t>
      </w:r>
      <w:r w:rsidRPr="00520861">
        <w:rPr>
          <w:rFonts w:eastAsia="Calibri"/>
          <w:sz w:val="28"/>
          <w:szCs w:val="28"/>
          <w:lang w:eastAsia="en-US"/>
        </w:rPr>
        <w:t>найнижчі серед осіб ОГ.</w:t>
      </w:r>
    </w:p>
    <w:p w14:paraId="0771E00B"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У табл. Б.1.16 – Б.1.19 наведено результати ВУ обстеження та результати аналізу КДМ</w:t>
      </w:r>
      <w:r w:rsidRPr="00520861">
        <w:rPr>
          <w:rFonts w:eastAsia="Calibri"/>
          <w:sz w:val="28"/>
          <w:szCs w:val="28"/>
        </w:rPr>
        <w:t xml:space="preserve"> для різних вікових періодів.</w:t>
      </w:r>
    </w:p>
    <w:p w14:paraId="36ACB7AD" w14:textId="77777777" w:rsidR="002E3CE8" w:rsidRPr="00520861" w:rsidRDefault="002E3CE8" w:rsidP="00292D2E">
      <w:pPr>
        <w:widowControl w:val="0"/>
        <w:autoSpaceDE w:val="0"/>
        <w:autoSpaceDN w:val="0"/>
        <w:adjustRightInd w:val="0"/>
        <w:spacing w:line="360" w:lineRule="auto"/>
        <w:ind w:firstLine="708"/>
        <w:jc w:val="both"/>
        <w:rPr>
          <w:rFonts w:eastAsiaTheme="minorHAnsi"/>
          <w:color w:val="000000"/>
          <w:sz w:val="28"/>
          <w:szCs w:val="28"/>
          <w:lang w:eastAsia="en-US"/>
        </w:rPr>
      </w:pPr>
      <w:r w:rsidRPr="00520861">
        <w:rPr>
          <w:rFonts w:eastAsiaTheme="minorHAnsi"/>
          <w:color w:val="000000"/>
          <w:sz w:val="28"/>
          <w:szCs w:val="28"/>
          <w:lang w:eastAsia="en-US"/>
        </w:rPr>
        <w:t xml:space="preserve">Змикання молярів по ІІ-му класу за </w:t>
      </w:r>
      <w:proofErr w:type="spellStart"/>
      <w:r w:rsidRPr="00520861">
        <w:rPr>
          <w:rFonts w:eastAsiaTheme="minorHAnsi"/>
          <w:color w:val="000000"/>
          <w:sz w:val="28"/>
          <w:szCs w:val="28"/>
          <w:lang w:eastAsia="en-US"/>
        </w:rPr>
        <w:t>Енглем</w:t>
      </w:r>
      <w:proofErr w:type="spellEnd"/>
      <w:r w:rsidRPr="00520861">
        <w:rPr>
          <w:rFonts w:eastAsiaTheme="minorHAnsi"/>
          <w:color w:val="000000"/>
          <w:sz w:val="28"/>
          <w:szCs w:val="28"/>
          <w:lang w:eastAsia="en-US"/>
        </w:rPr>
        <w:t xml:space="preserve"> (рис. 5.34) було діагностовано в 72 (51,4% ДІ: 43,5% – 59,3%) осіб ОГ (по підгрупах: 13 (39,4% ДІ: 25,5% – 54,9%), 14 (58,3% ДІ: 40,6% – 74,4%), 14 (48,3% ДІ: 32,5% – 64,3%) та 31 (57,4% ДІ: 45,0% – 69,1%), що вірогідно відрізняється від ГП, де таку аномалію мали 22 (27,8% ДІ: 19,4% – 37,7%) особи. </w:t>
      </w:r>
    </w:p>
    <w:p w14:paraId="1B0F2BBC" w14:textId="77777777" w:rsidR="002E3CE8" w:rsidRPr="00520861" w:rsidRDefault="002E3CE8" w:rsidP="00292D2E">
      <w:pPr>
        <w:widowControl w:val="0"/>
        <w:autoSpaceDE w:val="0"/>
        <w:autoSpaceDN w:val="0"/>
        <w:adjustRightInd w:val="0"/>
        <w:spacing w:line="360" w:lineRule="auto"/>
        <w:ind w:firstLine="708"/>
        <w:jc w:val="both"/>
        <w:rPr>
          <w:rFonts w:eastAsiaTheme="minorHAnsi"/>
          <w:color w:val="000000"/>
          <w:sz w:val="28"/>
          <w:szCs w:val="28"/>
          <w:lang w:eastAsia="en-US"/>
        </w:rPr>
      </w:pPr>
      <w:r w:rsidRPr="00520861">
        <w:rPr>
          <w:rFonts w:eastAsiaTheme="minorHAnsi"/>
          <w:color w:val="000000"/>
          <w:sz w:val="28"/>
          <w:szCs w:val="28"/>
          <w:lang w:eastAsia="en-US"/>
        </w:rPr>
        <w:t xml:space="preserve">Змикання ікл по ІІ-му класу за </w:t>
      </w:r>
      <w:proofErr w:type="spellStart"/>
      <w:r w:rsidRPr="00520861">
        <w:rPr>
          <w:rFonts w:eastAsiaTheme="minorHAnsi"/>
          <w:color w:val="000000"/>
          <w:sz w:val="28"/>
          <w:szCs w:val="28"/>
          <w:lang w:eastAsia="en-US"/>
        </w:rPr>
        <w:t>Енглем</w:t>
      </w:r>
      <w:proofErr w:type="spellEnd"/>
      <w:r w:rsidRPr="00520861">
        <w:rPr>
          <w:rFonts w:eastAsiaTheme="minorHAnsi"/>
          <w:color w:val="000000"/>
          <w:sz w:val="28"/>
          <w:szCs w:val="28"/>
          <w:lang w:eastAsia="en-US"/>
        </w:rPr>
        <w:t xml:space="preserve"> було діагностовано у 81 (57,9% ДІ: 49,9% – 65,5%) особи ОГ (17 (51,5% ДІ: 36,4% – 66,5%), 15 (62,5% ДІ: 44,7% – 77,9%), 16 (55,2% ДІ: 38,9% – 70,6%), 33 (61,4% ДІ: 48,7% – 72,4%)) та у 25 (31,6% ДІ: 22,7% – 41,8%) осіб ГП. </w:t>
      </w:r>
    </w:p>
    <w:p w14:paraId="300D9481" w14:textId="77777777" w:rsidR="002E3CE8" w:rsidRPr="00520861" w:rsidRDefault="002E3CE8" w:rsidP="00292D2E">
      <w:pPr>
        <w:widowControl w:val="0"/>
        <w:autoSpaceDE w:val="0"/>
        <w:autoSpaceDN w:val="0"/>
        <w:adjustRightInd w:val="0"/>
        <w:spacing w:line="360" w:lineRule="auto"/>
        <w:ind w:firstLine="708"/>
        <w:jc w:val="both"/>
        <w:rPr>
          <w:rFonts w:eastAsiaTheme="minorHAnsi"/>
          <w:color w:val="000000"/>
          <w:sz w:val="28"/>
          <w:szCs w:val="28"/>
          <w:lang w:eastAsia="en-US"/>
        </w:rPr>
      </w:pPr>
      <w:r w:rsidRPr="00520861">
        <w:rPr>
          <w:rFonts w:eastAsiaTheme="minorHAnsi"/>
          <w:color w:val="000000"/>
          <w:sz w:val="28"/>
          <w:szCs w:val="28"/>
          <w:lang w:eastAsia="en-US"/>
        </w:rPr>
        <w:t xml:space="preserve">Змикання молярів по ІІІ-му класу за </w:t>
      </w:r>
      <w:proofErr w:type="spellStart"/>
      <w:r w:rsidRPr="00520861">
        <w:rPr>
          <w:rFonts w:eastAsiaTheme="minorHAnsi"/>
          <w:color w:val="000000"/>
          <w:sz w:val="28"/>
          <w:szCs w:val="28"/>
          <w:lang w:eastAsia="en-US"/>
        </w:rPr>
        <w:t>Енглем</w:t>
      </w:r>
      <w:proofErr w:type="spellEnd"/>
      <w:r w:rsidRPr="00520861">
        <w:rPr>
          <w:rFonts w:eastAsiaTheme="minorHAnsi"/>
          <w:color w:val="000000"/>
          <w:sz w:val="28"/>
          <w:szCs w:val="28"/>
          <w:lang w:eastAsia="en-US"/>
        </w:rPr>
        <w:t xml:space="preserve"> було діагностовано у 21 (15,0% ДІ: 10,1% – 21,2%) особи ОГ (по підгрупах: 8 (24,2% ДІ: 13,3% – 38,9%), 1 (4,2% ДІ: 1,0% – 14,2%), 4 (13,8% ДІ: 5,8% – 27,4%), 8 (14,8% ДІ: 7,9% – 24,9%)) та в 7 (8,9% ДІ: 4,5% – 15,8%) осіб ГП.</w:t>
      </w:r>
    </w:p>
    <w:p w14:paraId="1406DE1A" w14:textId="77777777" w:rsidR="002E3CE8" w:rsidRPr="00520861" w:rsidRDefault="002E3CE8" w:rsidP="00292D2E">
      <w:pPr>
        <w:widowControl w:val="0"/>
        <w:spacing w:line="360" w:lineRule="auto"/>
        <w:ind w:right="-2"/>
        <w:jc w:val="center"/>
        <w:rPr>
          <w:rFonts w:eastAsia="Calibri"/>
          <w:b/>
          <w:sz w:val="28"/>
          <w:szCs w:val="28"/>
          <w:lang w:eastAsia="en-US"/>
        </w:rPr>
      </w:pPr>
      <w:r w:rsidRPr="00520861">
        <w:rPr>
          <w:rFonts w:eastAsia="Calibri"/>
          <w:b/>
          <w:noProof/>
          <w:sz w:val="28"/>
          <w:szCs w:val="28"/>
          <w:lang w:val="ru-RU"/>
        </w:rPr>
        <w:lastRenderedPageBreak/>
        <w:drawing>
          <wp:inline distT="0" distB="0" distL="0" distR="0" wp14:anchorId="7356EF06" wp14:editId="691CBF9A">
            <wp:extent cx="2397600" cy="1800000"/>
            <wp:effectExtent l="0" t="0" r="3175" b="0"/>
            <wp:docPr id="94" name="Рисунок 94" descr="D:\дд\фото\30-45\иванчак андрей\DSCN0045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дд\фото\30-45\иванчак андрей\DSCN0045    нов.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397600" cy="1800000"/>
                    </a:xfrm>
                    <a:prstGeom prst="rect">
                      <a:avLst/>
                    </a:prstGeom>
                    <a:noFill/>
                    <a:ln>
                      <a:noFill/>
                    </a:ln>
                  </pic:spPr>
                </pic:pic>
              </a:graphicData>
            </a:graphic>
          </wp:inline>
        </w:drawing>
      </w:r>
      <w:r w:rsidRPr="00520861">
        <w:rPr>
          <w:rFonts w:eastAsia="Calibri"/>
          <w:b/>
          <w:noProof/>
          <w:sz w:val="28"/>
          <w:szCs w:val="28"/>
          <w:lang w:val="ru-RU"/>
        </w:rPr>
        <w:drawing>
          <wp:inline distT="0" distB="0" distL="0" distR="0" wp14:anchorId="0EEF629F" wp14:editId="10A721EA">
            <wp:extent cx="2394000" cy="1800000"/>
            <wp:effectExtent l="0" t="0" r="6350" b="0"/>
            <wp:docPr id="95" name="Рисунок 95" descr="D:\дд\фото\30-45\иванчак андрей\DSCN0051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дд\фото\30-45\иванчак андрей\DSCN0051   нов.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rot="10800000">
                      <a:off x="0" y="0"/>
                      <a:ext cx="2394000" cy="1800000"/>
                    </a:xfrm>
                    <a:prstGeom prst="rect">
                      <a:avLst/>
                    </a:prstGeom>
                    <a:noFill/>
                    <a:ln>
                      <a:noFill/>
                    </a:ln>
                  </pic:spPr>
                </pic:pic>
              </a:graphicData>
            </a:graphic>
          </wp:inline>
        </w:drawing>
      </w:r>
    </w:p>
    <w:p w14:paraId="668338A0" w14:textId="77777777" w:rsidR="002E3CE8" w:rsidRPr="00520861" w:rsidRDefault="002E3CE8" w:rsidP="00292D2E">
      <w:pPr>
        <w:widowControl w:val="0"/>
        <w:spacing w:line="360" w:lineRule="auto"/>
        <w:ind w:firstLine="708"/>
        <w:jc w:val="center"/>
        <w:rPr>
          <w:sz w:val="28"/>
          <w:szCs w:val="28"/>
        </w:rPr>
      </w:pPr>
      <w:r w:rsidRPr="00520861">
        <w:rPr>
          <w:sz w:val="28"/>
          <w:szCs w:val="28"/>
        </w:rPr>
        <w:t xml:space="preserve">Рис. 5.23. </w:t>
      </w:r>
      <w:r w:rsidRPr="00520861">
        <w:rPr>
          <w:bCs/>
          <w:iCs/>
          <w:sz w:val="28"/>
          <w:szCs w:val="28"/>
        </w:rPr>
        <w:t>Фото</w:t>
      </w:r>
      <w:r w:rsidRPr="00520861">
        <w:rPr>
          <w:sz w:val="28"/>
          <w:szCs w:val="28"/>
        </w:rPr>
        <w:t xml:space="preserve"> </w:t>
      </w:r>
      <w:r w:rsidRPr="00520861">
        <w:rPr>
          <w:bCs/>
          <w:iCs/>
          <w:sz w:val="28"/>
          <w:szCs w:val="28"/>
        </w:rPr>
        <w:t>фронтальної ділянки</w:t>
      </w:r>
      <w:r w:rsidR="00182263" w:rsidRPr="00520861">
        <w:rPr>
          <w:sz w:val="28"/>
          <w:szCs w:val="28"/>
        </w:rPr>
        <w:t xml:space="preserve"> порожнини рота пацієнта</w:t>
      </w:r>
      <w:r w:rsidRPr="00520861">
        <w:rPr>
          <w:sz w:val="28"/>
          <w:szCs w:val="28"/>
        </w:rPr>
        <w:t xml:space="preserve"> І., 33 роки, амб. карта № 160488, підгрупа 3</w:t>
      </w:r>
      <w:r w:rsidRPr="00520861">
        <w:rPr>
          <w:rFonts w:eastAsia="Calibri"/>
          <w:sz w:val="28"/>
          <w:szCs w:val="28"/>
        </w:rPr>
        <w:t xml:space="preserve">. </w:t>
      </w:r>
      <w:r w:rsidRPr="00520861">
        <w:rPr>
          <w:sz w:val="28"/>
          <w:szCs w:val="28"/>
        </w:rPr>
        <w:t xml:space="preserve">Глибокий прикус, </w:t>
      </w:r>
      <w:proofErr w:type="spellStart"/>
      <w:r w:rsidRPr="00520861">
        <w:rPr>
          <w:sz w:val="28"/>
          <w:szCs w:val="28"/>
        </w:rPr>
        <w:t>гнатична</w:t>
      </w:r>
      <w:proofErr w:type="spellEnd"/>
      <w:r w:rsidRPr="00520861">
        <w:rPr>
          <w:sz w:val="28"/>
          <w:szCs w:val="28"/>
        </w:rPr>
        <w:t xml:space="preserve"> форма, горизонтальний тип щелепного росту, обтяжений аномалією ІІ-го класу за </w:t>
      </w:r>
      <w:proofErr w:type="spellStart"/>
      <w:r w:rsidRPr="00520861">
        <w:rPr>
          <w:sz w:val="28"/>
          <w:szCs w:val="28"/>
        </w:rPr>
        <w:t>Енглем</w:t>
      </w:r>
      <w:proofErr w:type="spellEnd"/>
      <w:r w:rsidRPr="00520861">
        <w:rPr>
          <w:sz w:val="28"/>
          <w:szCs w:val="28"/>
        </w:rPr>
        <w:t xml:space="preserve">, обтяжений </w:t>
      </w:r>
      <w:proofErr w:type="spellStart"/>
      <w:r w:rsidRPr="00520861">
        <w:rPr>
          <w:sz w:val="28"/>
          <w:szCs w:val="28"/>
        </w:rPr>
        <w:t>букально-лінгвальним</w:t>
      </w:r>
      <w:proofErr w:type="spellEnd"/>
      <w:r w:rsidRPr="00520861">
        <w:rPr>
          <w:sz w:val="28"/>
          <w:szCs w:val="28"/>
        </w:rPr>
        <w:t xml:space="preserve"> перехресним прикусом зі зміщенням нижньої щелепи вліво. Подовження верхнього зубного ряду у фронтальній ділянці, вкорочення нижнього зубного ряду у фронтальній ділянці, </w:t>
      </w:r>
      <w:proofErr w:type="spellStart"/>
      <w:r w:rsidRPr="00520861">
        <w:rPr>
          <w:sz w:val="28"/>
          <w:szCs w:val="28"/>
        </w:rPr>
        <w:t>денто</w:t>
      </w:r>
      <w:proofErr w:type="spellEnd"/>
      <w:r w:rsidRPr="00520861">
        <w:rPr>
          <w:sz w:val="28"/>
          <w:szCs w:val="28"/>
        </w:rPr>
        <w:t xml:space="preserve">-альвеолярне вкорочення в бічних ділянках. Справжня </w:t>
      </w:r>
      <w:proofErr w:type="spellStart"/>
      <w:r w:rsidRPr="00520861">
        <w:rPr>
          <w:sz w:val="28"/>
          <w:szCs w:val="28"/>
        </w:rPr>
        <w:t>діастема</w:t>
      </w:r>
      <w:proofErr w:type="spellEnd"/>
      <w:r w:rsidRPr="00520861">
        <w:rPr>
          <w:sz w:val="28"/>
          <w:szCs w:val="28"/>
        </w:rPr>
        <w:t xml:space="preserve">, </w:t>
      </w:r>
      <w:proofErr w:type="spellStart"/>
      <w:r w:rsidRPr="00520861">
        <w:rPr>
          <w:sz w:val="28"/>
          <w:szCs w:val="28"/>
        </w:rPr>
        <w:t>треми</w:t>
      </w:r>
      <w:proofErr w:type="spellEnd"/>
      <w:r w:rsidRPr="00520861">
        <w:rPr>
          <w:sz w:val="28"/>
          <w:szCs w:val="28"/>
        </w:rPr>
        <w:t xml:space="preserve"> верхнього зубного ряду, патологічна </w:t>
      </w:r>
      <w:proofErr w:type="spellStart"/>
      <w:r w:rsidRPr="00520861">
        <w:rPr>
          <w:sz w:val="28"/>
          <w:szCs w:val="28"/>
        </w:rPr>
        <w:t>стираємість</w:t>
      </w:r>
      <w:proofErr w:type="spellEnd"/>
      <w:r w:rsidRPr="00520861">
        <w:rPr>
          <w:sz w:val="28"/>
          <w:szCs w:val="28"/>
        </w:rPr>
        <w:t xml:space="preserve"> зубів. Дефект зубного ряду верхньої щелепи ІІІ-го класу, 1-го підкласу за Кеннеді. Вуздечка верхньої губи IІІ вид (за класифікацією </w:t>
      </w:r>
      <w:proofErr w:type="spellStart"/>
      <w:r w:rsidRPr="00520861">
        <w:rPr>
          <w:sz w:val="28"/>
          <w:szCs w:val="28"/>
        </w:rPr>
        <w:t>Хорошилкіної</w:t>
      </w:r>
      <w:proofErr w:type="spellEnd"/>
      <w:r w:rsidRPr="00520861">
        <w:rPr>
          <w:sz w:val="28"/>
          <w:szCs w:val="28"/>
        </w:rPr>
        <w:t xml:space="preserve"> Ф.Я.), виражені </w:t>
      </w:r>
      <w:proofErr w:type="spellStart"/>
      <w:r w:rsidRPr="00520861">
        <w:rPr>
          <w:sz w:val="28"/>
          <w:szCs w:val="28"/>
        </w:rPr>
        <w:t>генералізовані</w:t>
      </w:r>
      <w:proofErr w:type="spellEnd"/>
      <w:r w:rsidRPr="00520861">
        <w:rPr>
          <w:sz w:val="28"/>
          <w:szCs w:val="28"/>
        </w:rPr>
        <w:t xml:space="preserve"> </w:t>
      </w:r>
      <w:proofErr w:type="spellStart"/>
      <w:r w:rsidRPr="00520861">
        <w:rPr>
          <w:sz w:val="28"/>
          <w:szCs w:val="28"/>
        </w:rPr>
        <w:t>запально</w:t>
      </w:r>
      <w:proofErr w:type="spellEnd"/>
      <w:r w:rsidRPr="00520861">
        <w:rPr>
          <w:sz w:val="28"/>
          <w:szCs w:val="28"/>
        </w:rPr>
        <w:t xml:space="preserve">-дистрофічні зміни тканин </w:t>
      </w:r>
      <w:proofErr w:type="spellStart"/>
      <w:r w:rsidRPr="00520861">
        <w:rPr>
          <w:sz w:val="28"/>
          <w:szCs w:val="28"/>
        </w:rPr>
        <w:t>пародонта</w:t>
      </w:r>
      <w:proofErr w:type="spellEnd"/>
      <w:r w:rsidRPr="00520861">
        <w:rPr>
          <w:sz w:val="28"/>
          <w:szCs w:val="28"/>
        </w:rPr>
        <w:t xml:space="preserve"> з превалюванням дистрофічного компонента, рецесія ясен, гіпоплазія 22, 23 зубів.</w:t>
      </w:r>
    </w:p>
    <w:p w14:paraId="53204045" w14:textId="77777777" w:rsidR="002E3CE8" w:rsidRPr="00520861" w:rsidRDefault="002E3CE8" w:rsidP="00292D2E">
      <w:pPr>
        <w:widowControl w:val="0"/>
        <w:spacing w:line="360" w:lineRule="auto"/>
        <w:ind w:firstLine="708"/>
        <w:jc w:val="center"/>
        <w:rPr>
          <w:sz w:val="28"/>
          <w:szCs w:val="28"/>
        </w:rPr>
      </w:pPr>
    </w:p>
    <w:p w14:paraId="174E715C" w14:textId="77777777" w:rsidR="002E3CE8" w:rsidRPr="00520861" w:rsidRDefault="002E3CE8" w:rsidP="00292D2E">
      <w:pPr>
        <w:widowControl w:val="0"/>
        <w:spacing w:line="360" w:lineRule="auto"/>
        <w:jc w:val="center"/>
        <w:rPr>
          <w:rFonts w:eastAsiaTheme="minorHAnsi"/>
          <w:i/>
          <w:sz w:val="28"/>
          <w:szCs w:val="28"/>
          <w:lang w:eastAsia="en-US"/>
        </w:rPr>
      </w:pPr>
      <w:r w:rsidRPr="00520861">
        <w:rPr>
          <w:noProof/>
          <w:sz w:val="28"/>
          <w:szCs w:val="28"/>
          <w:lang w:val="ru-RU"/>
        </w:rPr>
        <w:drawing>
          <wp:inline distT="0" distB="0" distL="0" distR="0" wp14:anchorId="76CCD1AA" wp14:editId="2A9467C9">
            <wp:extent cx="2401200" cy="1800000"/>
            <wp:effectExtent l="0" t="0" r="0" b="0"/>
            <wp:docPr id="96" name="Рисунок 96" descr="D:\дд\фото\30-45\возная юлия\IMG_5097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дд\фото\30-45\возная юлия\IMG_5097 НОВ.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401200" cy="1800000"/>
                    </a:xfrm>
                    <a:prstGeom prst="rect">
                      <a:avLst/>
                    </a:prstGeom>
                    <a:noFill/>
                    <a:ln>
                      <a:noFill/>
                    </a:ln>
                  </pic:spPr>
                </pic:pic>
              </a:graphicData>
            </a:graphic>
          </wp:inline>
        </w:drawing>
      </w:r>
    </w:p>
    <w:p w14:paraId="375F852E" w14:textId="77777777" w:rsidR="002E3CE8" w:rsidRPr="00520861" w:rsidRDefault="002E3CE8" w:rsidP="00292D2E">
      <w:pPr>
        <w:widowControl w:val="0"/>
        <w:spacing w:line="360" w:lineRule="auto"/>
        <w:ind w:right="48"/>
        <w:contextualSpacing/>
        <w:jc w:val="center"/>
        <w:rPr>
          <w:bCs/>
          <w:iCs/>
          <w:sz w:val="28"/>
          <w:szCs w:val="28"/>
        </w:rPr>
      </w:pPr>
      <w:r w:rsidRPr="00520861">
        <w:rPr>
          <w:sz w:val="28"/>
          <w:szCs w:val="28"/>
        </w:rPr>
        <w:t xml:space="preserve">Рис. 5.24. </w:t>
      </w:r>
      <w:r w:rsidRPr="00520861">
        <w:rPr>
          <w:bCs/>
          <w:iCs/>
          <w:sz w:val="28"/>
          <w:szCs w:val="28"/>
        </w:rPr>
        <w:t xml:space="preserve">Фото фронтальної ділянки ротової порожнини </w:t>
      </w:r>
      <w:r w:rsidRPr="00520861">
        <w:rPr>
          <w:bCs/>
          <w:iCs/>
          <w:sz w:val="28"/>
          <w:szCs w:val="28"/>
        </w:rPr>
        <w:br/>
        <w:t xml:space="preserve">пацієнтки В. (жінка) у віці 29 років, </w:t>
      </w:r>
      <w:r w:rsidRPr="00520861">
        <w:rPr>
          <w:sz w:val="28"/>
          <w:szCs w:val="28"/>
        </w:rPr>
        <w:t xml:space="preserve">амб. карта № 173107, підгрупа </w:t>
      </w:r>
      <w:r w:rsidRPr="00520861">
        <w:rPr>
          <w:bCs/>
          <w:iCs/>
          <w:sz w:val="28"/>
          <w:szCs w:val="28"/>
        </w:rPr>
        <w:t>2</w:t>
      </w:r>
      <w:r w:rsidRPr="00520861">
        <w:rPr>
          <w:bCs/>
          <w:i/>
          <w:iCs/>
          <w:sz w:val="28"/>
          <w:szCs w:val="28"/>
        </w:rPr>
        <w:t>.</w:t>
      </w:r>
      <w:r w:rsidRPr="00520861">
        <w:rPr>
          <w:sz w:val="28"/>
          <w:szCs w:val="28"/>
        </w:rPr>
        <w:t xml:space="preserve"> </w:t>
      </w:r>
      <w:r w:rsidRPr="00520861">
        <w:rPr>
          <w:bCs/>
          <w:iCs/>
          <w:sz w:val="28"/>
          <w:szCs w:val="28"/>
        </w:rPr>
        <w:t xml:space="preserve">Стан після </w:t>
      </w:r>
    </w:p>
    <w:p w14:paraId="6684F65F" w14:textId="77777777" w:rsidR="002E3CE8" w:rsidRPr="00520861" w:rsidRDefault="002E3CE8" w:rsidP="00292D2E">
      <w:pPr>
        <w:widowControl w:val="0"/>
        <w:spacing w:line="360" w:lineRule="auto"/>
        <w:ind w:right="48"/>
        <w:contextualSpacing/>
        <w:jc w:val="center"/>
        <w:rPr>
          <w:sz w:val="28"/>
          <w:szCs w:val="28"/>
        </w:rPr>
        <w:sectPr w:rsidR="002E3CE8" w:rsidRPr="00520861" w:rsidSect="00292D2E">
          <w:pgSz w:w="11906" w:h="16838"/>
          <w:pgMar w:top="1134" w:right="624" w:bottom="1134" w:left="1134" w:header="709" w:footer="709" w:gutter="0"/>
          <w:cols w:space="708"/>
          <w:docGrid w:linePitch="360"/>
        </w:sectPr>
      </w:pPr>
      <w:proofErr w:type="spellStart"/>
      <w:r w:rsidRPr="00520861">
        <w:rPr>
          <w:bCs/>
          <w:iCs/>
          <w:sz w:val="28"/>
          <w:szCs w:val="28"/>
        </w:rPr>
        <w:t>френулопластики</w:t>
      </w:r>
      <w:proofErr w:type="spellEnd"/>
      <w:r w:rsidRPr="00520861">
        <w:rPr>
          <w:bCs/>
          <w:iCs/>
          <w:sz w:val="28"/>
          <w:szCs w:val="28"/>
        </w:rPr>
        <w:t xml:space="preserve"> вуздечки верхньої губи, ІV вид вуздечки язика (за класифікацією </w:t>
      </w:r>
      <w:proofErr w:type="spellStart"/>
      <w:r w:rsidRPr="00520861">
        <w:rPr>
          <w:bCs/>
          <w:iCs/>
          <w:sz w:val="28"/>
          <w:szCs w:val="28"/>
        </w:rPr>
        <w:t>Хорошилкіної</w:t>
      </w:r>
      <w:proofErr w:type="spellEnd"/>
      <w:r w:rsidRPr="00520861">
        <w:rPr>
          <w:bCs/>
          <w:iCs/>
          <w:sz w:val="28"/>
          <w:szCs w:val="28"/>
        </w:rPr>
        <w:t xml:space="preserve"> Ф.Я.). Травматичне ушкодження ріжучого краю 21 зуба. </w:t>
      </w:r>
      <w:r w:rsidRPr="00520861">
        <w:rPr>
          <w:bCs/>
          <w:iCs/>
          <w:sz w:val="28"/>
          <w:szCs w:val="28"/>
        </w:rPr>
        <w:br/>
        <w:t xml:space="preserve">Справжня </w:t>
      </w:r>
      <w:proofErr w:type="spellStart"/>
      <w:r w:rsidRPr="00520861">
        <w:rPr>
          <w:bCs/>
          <w:iCs/>
          <w:sz w:val="28"/>
          <w:szCs w:val="28"/>
        </w:rPr>
        <w:t>діастема</w:t>
      </w:r>
      <w:proofErr w:type="spellEnd"/>
      <w:r w:rsidRPr="00520861">
        <w:rPr>
          <w:bCs/>
          <w:iCs/>
          <w:sz w:val="28"/>
          <w:szCs w:val="28"/>
        </w:rPr>
        <w:t xml:space="preserve"> верхнього зубного ряду</w:t>
      </w:r>
      <w:r w:rsidRPr="00520861">
        <w:rPr>
          <w:sz w:val="28"/>
          <w:szCs w:val="28"/>
        </w:rPr>
        <w:t xml:space="preserve">. </w:t>
      </w:r>
      <w:proofErr w:type="spellStart"/>
      <w:r w:rsidRPr="00520861">
        <w:rPr>
          <w:sz w:val="28"/>
          <w:szCs w:val="28"/>
        </w:rPr>
        <w:t>Тортоаномалія</w:t>
      </w:r>
      <w:proofErr w:type="spellEnd"/>
      <w:r w:rsidRPr="00520861">
        <w:rPr>
          <w:sz w:val="28"/>
          <w:szCs w:val="28"/>
        </w:rPr>
        <w:t xml:space="preserve"> зуба 41 (проти </w:t>
      </w:r>
      <w:r w:rsidR="00A656B7" w:rsidRPr="00520861">
        <w:rPr>
          <w:sz w:val="28"/>
          <w:szCs w:val="28"/>
        </w:rPr>
        <w:br/>
      </w:r>
      <w:r w:rsidRPr="00520861">
        <w:rPr>
          <w:sz w:val="28"/>
          <w:szCs w:val="28"/>
        </w:rPr>
        <w:t>годинникової стрілки) і зуба 31 (за годинниковою стрілкою).</w:t>
      </w:r>
    </w:p>
    <w:p w14:paraId="15EC915A" w14:textId="77777777" w:rsidR="002E3CE8" w:rsidRPr="00520861" w:rsidRDefault="002E3CE8" w:rsidP="00292D2E">
      <w:pPr>
        <w:widowControl w:val="0"/>
        <w:spacing w:after="160" w:line="259" w:lineRule="auto"/>
        <w:jc w:val="right"/>
        <w:rPr>
          <w:rFonts w:eastAsia="Calibri"/>
          <w:i/>
          <w:sz w:val="28"/>
          <w:szCs w:val="28"/>
          <w:lang w:eastAsia="en-US"/>
        </w:rPr>
      </w:pPr>
      <w:r w:rsidRPr="00520861">
        <w:rPr>
          <w:rFonts w:eastAsia="Calibri"/>
          <w:i/>
          <w:sz w:val="28"/>
          <w:szCs w:val="28"/>
          <w:lang w:eastAsia="en-US"/>
        </w:rPr>
        <w:lastRenderedPageBreak/>
        <w:t xml:space="preserve">Таблиця 5.10 </w:t>
      </w:r>
    </w:p>
    <w:p w14:paraId="2F90E052" w14:textId="77777777" w:rsidR="002E3CE8" w:rsidRPr="00520861" w:rsidRDefault="002E3CE8" w:rsidP="00292D2E">
      <w:pPr>
        <w:widowControl w:val="0"/>
        <w:spacing w:after="160" w:line="360" w:lineRule="auto"/>
        <w:jc w:val="center"/>
        <w:rPr>
          <w:rFonts w:eastAsia="Calibri"/>
          <w:b/>
          <w:sz w:val="28"/>
          <w:szCs w:val="28"/>
          <w:lang w:eastAsia="en-US"/>
        </w:rPr>
      </w:pPr>
      <w:r w:rsidRPr="00520861">
        <w:rPr>
          <w:rFonts w:eastAsiaTheme="minorHAnsi"/>
          <w:b/>
          <w:sz w:val="28"/>
          <w:szCs w:val="28"/>
          <w:lang w:eastAsia="en-US"/>
        </w:rPr>
        <w:t xml:space="preserve">Оцінка математичного очікування вимірів піднебінного склепіння </w:t>
      </w:r>
      <w:r w:rsidRPr="00520861">
        <w:rPr>
          <w:rFonts w:eastAsia="Calibri"/>
          <w:b/>
          <w:sz w:val="28"/>
          <w:szCs w:val="28"/>
          <w:lang w:eastAsia="en-US"/>
        </w:rPr>
        <w:t>задіяних у дослідженні осіб віком 12 – 55 років</w:t>
      </w:r>
    </w:p>
    <w:tbl>
      <w:tblPr>
        <w:tblW w:w="14548"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7"/>
        <w:gridCol w:w="776"/>
        <w:gridCol w:w="2183"/>
        <w:gridCol w:w="2183"/>
        <w:gridCol w:w="2183"/>
        <w:gridCol w:w="2183"/>
        <w:gridCol w:w="2183"/>
      </w:tblGrid>
      <w:tr w:rsidR="002E3CE8" w:rsidRPr="00520861" w14:paraId="4A4CB09B" w14:textId="77777777" w:rsidTr="00292D2E">
        <w:trPr>
          <w:trHeight w:val="356"/>
        </w:trPr>
        <w:tc>
          <w:tcPr>
            <w:tcW w:w="2857" w:type="dxa"/>
            <w:tcBorders>
              <w:top w:val="single" w:sz="4" w:space="0" w:color="auto"/>
              <w:left w:val="single" w:sz="4" w:space="0" w:color="auto"/>
              <w:bottom w:val="single" w:sz="4" w:space="0" w:color="auto"/>
              <w:right w:val="single" w:sz="4" w:space="0" w:color="auto"/>
            </w:tcBorders>
          </w:tcPr>
          <w:p w14:paraId="63FA6D39" w14:textId="77777777" w:rsidR="002E3CE8" w:rsidRPr="00520861" w:rsidRDefault="002E3CE8" w:rsidP="00292D2E">
            <w:pPr>
              <w:widowControl w:val="0"/>
              <w:spacing w:line="360" w:lineRule="auto"/>
              <w:ind w:firstLine="29"/>
              <w:jc w:val="center"/>
              <w:rPr>
                <w:rFonts w:eastAsia="Calibri"/>
                <w:sz w:val="28"/>
                <w:szCs w:val="28"/>
              </w:rPr>
            </w:pPr>
            <w:r w:rsidRPr="00520861">
              <w:rPr>
                <w:rFonts w:eastAsia="Calibri"/>
                <w:sz w:val="28"/>
                <w:szCs w:val="28"/>
                <w:lang w:eastAsia="en-US"/>
              </w:rPr>
              <w:t>Групи та підгрупи</w:t>
            </w:r>
          </w:p>
        </w:tc>
        <w:tc>
          <w:tcPr>
            <w:tcW w:w="776" w:type="dxa"/>
            <w:tcBorders>
              <w:top w:val="single" w:sz="4" w:space="0" w:color="auto"/>
              <w:left w:val="single" w:sz="4" w:space="0" w:color="auto"/>
              <w:bottom w:val="single" w:sz="4" w:space="0" w:color="auto"/>
              <w:right w:val="single" w:sz="4" w:space="0" w:color="auto"/>
            </w:tcBorders>
            <w:hideMark/>
          </w:tcPr>
          <w:p w14:paraId="193D0FD5" w14:textId="77777777" w:rsidR="002E3CE8" w:rsidRPr="00520861" w:rsidRDefault="002E3CE8" w:rsidP="00292D2E">
            <w:pPr>
              <w:widowControl w:val="0"/>
              <w:spacing w:line="360" w:lineRule="auto"/>
              <w:ind w:hanging="115"/>
              <w:jc w:val="center"/>
              <w:rPr>
                <w:rFonts w:eastAsia="Calibri"/>
                <w:sz w:val="28"/>
                <w:szCs w:val="28"/>
              </w:rPr>
            </w:pPr>
            <w:r w:rsidRPr="00520861">
              <w:rPr>
                <w:rFonts w:eastAsia="Calibri"/>
                <w:sz w:val="28"/>
                <w:szCs w:val="28"/>
              </w:rPr>
              <w:t>ГП</w:t>
            </w:r>
          </w:p>
        </w:tc>
        <w:tc>
          <w:tcPr>
            <w:tcW w:w="2183" w:type="dxa"/>
            <w:tcBorders>
              <w:top w:val="single" w:sz="4" w:space="0" w:color="auto"/>
              <w:left w:val="single" w:sz="4" w:space="0" w:color="auto"/>
              <w:bottom w:val="single" w:sz="4" w:space="0" w:color="auto"/>
              <w:right w:val="single" w:sz="4" w:space="0" w:color="auto"/>
            </w:tcBorders>
          </w:tcPr>
          <w:p w14:paraId="569515FA"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ОГ</w:t>
            </w:r>
          </w:p>
        </w:tc>
        <w:tc>
          <w:tcPr>
            <w:tcW w:w="2183" w:type="dxa"/>
            <w:hideMark/>
          </w:tcPr>
          <w:p w14:paraId="3078E91E" w14:textId="77777777" w:rsidR="002E3CE8" w:rsidRPr="00520861" w:rsidRDefault="002E3CE8" w:rsidP="00292D2E">
            <w:pPr>
              <w:widowControl w:val="0"/>
              <w:spacing w:line="360" w:lineRule="auto"/>
              <w:jc w:val="center"/>
              <w:rPr>
                <w:rFonts w:eastAsia="Calibri"/>
                <w:sz w:val="28"/>
                <w:szCs w:val="28"/>
                <w:lang w:eastAsia="en-US"/>
              </w:rPr>
            </w:pPr>
            <w:r w:rsidRPr="00520861">
              <w:rPr>
                <w:sz w:val="28"/>
                <w:szCs w:val="28"/>
              </w:rPr>
              <w:t>Підгрупа 1</w:t>
            </w:r>
          </w:p>
        </w:tc>
        <w:tc>
          <w:tcPr>
            <w:tcW w:w="2183" w:type="dxa"/>
            <w:hideMark/>
          </w:tcPr>
          <w:p w14:paraId="299400D0" w14:textId="77777777" w:rsidR="002E3CE8" w:rsidRPr="00520861" w:rsidRDefault="002E3CE8" w:rsidP="00292D2E">
            <w:pPr>
              <w:widowControl w:val="0"/>
              <w:spacing w:line="360" w:lineRule="auto"/>
              <w:ind w:firstLine="34"/>
              <w:jc w:val="center"/>
              <w:rPr>
                <w:rFonts w:eastAsia="Calibri"/>
                <w:sz w:val="28"/>
                <w:szCs w:val="28"/>
              </w:rPr>
            </w:pPr>
            <w:r w:rsidRPr="00520861">
              <w:rPr>
                <w:sz w:val="28"/>
                <w:szCs w:val="28"/>
              </w:rPr>
              <w:t>Підгрупа 2</w:t>
            </w:r>
          </w:p>
        </w:tc>
        <w:tc>
          <w:tcPr>
            <w:tcW w:w="2183" w:type="dxa"/>
            <w:hideMark/>
          </w:tcPr>
          <w:p w14:paraId="2DEFE808" w14:textId="77777777" w:rsidR="002E3CE8" w:rsidRPr="00520861" w:rsidRDefault="002E3CE8" w:rsidP="00292D2E">
            <w:pPr>
              <w:widowControl w:val="0"/>
              <w:spacing w:line="360" w:lineRule="auto"/>
              <w:jc w:val="center"/>
              <w:rPr>
                <w:rFonts w:eastAsia="Calibri"/>
                <w:sz w:val="28"/>
                <w:szCs w:val="28"/>
                <w:lang w:eastAsia="en-US"/>
              </w:rPr>
            </w:pPr>
            <w:r w:rsidRPr="00520861">
              <w:rPr>
                <w:sz w:val="28"/>
                <w:szCs w:val="28"/>
              </w:rPr>
              <w:t>Підгрупа 3</w:t>
            </w:r>
          </w:p>
        </w:tc>
        <w:tc>
          <w:tcPr>
            <w:tcW w:w="2183" w:type="dxa"/>
            <w:hideMark/>
          </w:tcPr>
          <w:p w14:paraId="67A544C9" w14:textId="77777777" w:rsidR="002E3CE8" w:rsidRPr="00520861" w:rsidRDefault="002E3CE8" w:rsidP="00292D2E">
            <w:pPr>
              <w:widowControl w:val="0"/>
              <w:spacing w:line="360" w:lineRule="auto"/>
              <w:jc w:val="center"/>
              <w:rPr>
                <w:rFonts w:eastAsia="Calibri"/>
                <w:sz w:val="28"/>
                <w:szCs w:val="28"/>
                <w:lang w:eastAsia="en-US"/>
              </w:rPr>
            </w:pPr>
            <w:r w:rsidRPr="00520861">
              <w:rPr>
                <w:sz w:val="28"/>
                <w:szCs w:val="28"/>
              </w:rPr>
              <w:t>Підгрупа 4</w:t>
            </w:r>
          </w:p>
        </w:tc>
      </w:tr>
      <w:tr w:rsidR="002E3CE8" w:rsidRPr="00520861" w14:paraId="21243F95" w14:textId="77777777" w:rsidTr="00292D2E">
        <w:tc>
          <w:tcPr>
            <w:tcW w:w="2857" w:type="dxa"/>
            <w:tcBorders>
              <w:top w:val="single" w:sz="4" w:space="0" w:color="auto"/>
              <w:left w:val="single" w:sz="4" w:space="0" w:color="auto"/>
              <w:bottom w:val="single" w:sz="4" w:space="0" w:color="auto"/>
              <w:right w:val="single" w:sz="4" w:space="0" w:color="auto"/>
            </w:tcBorders>
            <w:hideMark/>
          </w:tcPr>
          <w:p w14:paraId="7B1FFF20" w14:textId="77777777" w:rsidR="002E3CE8" w:rsidRPr="00520861" w:rsidRDefault="002E3CE8" w:rsidP="00292D2E">
            <w:pPr>
              <w:widowControl w:val="0"/>
              <w:spacing w:line="360" w:lineRule="auto"/>
              <w:ind w:left="-135" w:right="-152"/>
              <w:jc w:val="center"/>
              <w:rPr>
                <w:rFonts w:eastAsia="Calibri"/>
                <w:sz w:val="28"/>
                <w:szCs w:val="28"/>
              </w:rPr>
            </w:pPr>
            <w:r w:rsidRPr="00520861">
              <w:rPr>
                <w:sz w:val="28"/>
                <w:szCs w:val="28"/>
              </w:rPr>
              <w:t>Висота піднебінного склепіння (h), мм,</w:t>
            </w:r>
            <w:r w:rsidRPr="00520861">
              <w:rPr>
                <w:rFonts w:eastAsia="Calibri"/>
                <w:sz w:val="28"/>
                <w:szCs w:val="28"/>
              </w:rPr>
              <w:t xml:space="preserve"> </w:t>
            </w:r>
            <w:r w:rsidRPr="00520861">
              <w:rPr>
                <w:rFonts w:eastAsia="Calibri"/>
                <w:sz w:val="28"/>
                <w:szCs w:val="28"/>
                <w:lang w:eastAsia="en-US"/>
              </w:rPr>
              <w:t>ВП-</w:t>
            </w:r>
            <w:r w:rsidRPr="00520861">
              <w:rPr>
                <w:sz w:val="28"/>
                <w:szCs w:val="28"/>
              </w:rPr>
              <w:t>V</w:t>
            </w:r>
          </w:p>
        </w:tc>
        <w:tc>
          <w:tcPr>
            <w:tcW w:w="776" w:type="dxa"/>
            <w:tcBorders>
              <w:top w:val="single" w:sz="4" w:space="0" w:color="auto"/>
              <w:left w:val="single" w:sz="4" w:space="0" w:color="auto"/>
              <w:bottom w:val="single" w:sz="4" w:space="0" w:color="auto"/>
              <w:right w:val="single" w:sz="4" w:space="0" w:color="auto"/>
            </w:tcBorders>
            <w:hideMark/>
          </w:tcPr>
          <w:p w14:paraId="158B602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13,6</w:t>
            </w:r>
          </w:p>
        </w:tc>
        <w:tc>
          <w:tcPr>
            <w:tcW w:w="2183" w:type="dxa"/>
            <w:tcBorders>
              <w:top w:val="single" w:sz="4" w:space="0" w:color="auto"/>
              <w:left w:val="single" w:sz="4" w:space="0" w:color="auto"/>
              <w:bottom w:val="single" w:sz="4" w:space="0" w:color="auto"/>
              <w:right w:val="single" w:sz="4" w:space="0" w:color="auto"/>
            </w:tcBorders>
          </w:tcPr>
          <w:p w14:paraId="1EF4261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14,4 </w:t>
            </w:r>
            <w:r w:rsidRPr="00520861">
              <w:rPr>
                <w:rFonts w:eastAsia="Calibri"/>
                <w:sz w:val="28"/>
                <w:szCs w:val="28"/>
              </w:rPr>
              <w:t>(</w:t>
            </w:r>
            <w:r w:rsidRPr="00520861">
              <w:rPr>
                <w:rFonts w:eastAsia="Calibri"/>
                <w:i/>
                <w:sz w:val="28"/>
                <w:szCs w:val="28"/>
              </w:rPr>
              <w:t>p</w:t>
            </w:r>
            <w:r w:rsidRPr="00520861">
              <w:rPr>
                <w:rFonts w:eastAsia="Calibri"/>
                <w:sz w:val="28"/>
                <w:szCs w:val="28"/>
              </w:rPr>
              <w:t>=0,319)</w:t>
            </w:r>
          </w:p>
        </w:tc>
        <w:tc>
          <w:tcPr>
            <w:tcW w:w="2183" w:type="dxa"/>
            <w:tcBorders>
              <w:top w:val="single" w:sz="4" w:space="0" w:color="auto"/>
              <w:left w:val="single" w:sz="4" w:space="0" w:color="auto"/>
              <w:bottom w:val="single" w:sz="4" w:space="0" w:color="auto"/>
              <w:right w:val="single" w:sz="4" w:space="0" w:color="auto"/>
            </w:tcBorders>
            <w:hideMark/>
          </w:tcPr>
          <w:p w14:paraId="1766E2A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13,1 </w:t>
            </w:r>
            <w:r w:rsidRPr="00520861">
              <w:rPr>
                <w:rFonts w:eastAsia="Calibri"/>
                <w:sz w:val="28"/>
                <w:szCs w:val="28"/>
              </w:rPr>
              <w:t>(</w:t>
            </w:r>
            <w:r w:rsidRPr="00520861">
              <w:rPr>
                <w:rFonts w:eastAsia="Calibri"/>
                <w:i/>
                <w:sz w:val="28"/>
                <w:szCs w:val="28"/>
              </w:rPr>
              <w:t>p</w:t>
            </w:r>
            <w:r w:rsidRPr="00520861">
              <w:rPr>
                <w:rFonts w:eastAsia="Calibri"/>
                <w:sz w:val="28"/>
                <w:szCs w:val="28"/>
              </w:rPr>
              <w:t>=0,735)</w:t>
            </w:r>
          </w:p>
        </w:tc>
        <w:tc>
          <w:tcPr>
            <w:tcW w:w="2183" w:type="dxa"/>
            <w:tcBorders>
              <w:top w:val="single" w:sz="4" w:space="0" w:color="auto"/>
              <w:left w:val="single" w:sz="4" w:space="0" w:color="auto"/>
              <w:bottom w:val="single" w:sz="4" w:space="0" w:color="auto"/>
              <w:right w:val="single" w:sz="4" w:space="0" w:color="auto"/>
            </w:tcBorders>
            <w:hideMark/>
          </w:tcPr>
          <w:p w14:paraId="611107E3"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16,3</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=0,030)</w:t>
            </w:r>
          </w:p>
        </w:tc>
        <w:tc>
          <w:tcPr>
            <w:tcW w:w="2183" w:type="dxa"/>
            <w:tcBorders>
              <w:top w:val="single" w:sz="4" w:space="0" w:color="auto"/>
              <w:left w:val="single" w:sz="4" w:space="0" w:color="auto"/>
              <w:bottom w:val="single" w:sz="4" w:space="0" w:color="auto"/>
              <w:right w:val="single" w:sz="4" w:space="0" w:color="auto"/>
            </w:tcBorders>
            <w:hideMark/>
          </w:tcPr>
          <w:p w14:paraId="656881A7"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14,7 </w:t>
            </w:r>
            <w:r w:rsidRPr="00520861">
              <w:rPr>
                <w:rFonts w:eastAsia="Calibri"/>
                <w:sz w:val="28"/>
                <w:szCs w:val="28"/>
              </w:rPr>
              <w:t>(</w:t>
            </w:r>
            <w:r w:rsidRPr="00520861">
              <w:rPr>
                <w:rFonts w:eastAsia="Calibri"/>
                <w:i/>
                <w:sz w:val="28"/>
                <w:szCs w:val="28"/>
              </w:rPr>
              <w:t>p</w:t>
            </w:r>
            <w:r w:rsidRPr="00520861">
              <w:rPr>
                <w:rFonts w:eastAsia="Calibri"/>
                <w:sz w:val="28"/>
                <w:szCs w:val="28"/>
              </w:rPr>
              <w:t>=0,337)</w:t>
            </w:r>
          </w:p>
        </w:tc>
        <w:tc>
          <w:tcPr>
            <w:tcW w:w="2183" w:type="dxa"/>
            <w:tcBorders>
              <w:top w:val="single" w:sz="4" w:space="0" w:color="auto"/>
              <w:left w:val="single" w:sz="4" w:space="0" w:color="auto"/>
              <w:bottom w:val="single" w:sz="4" w:space="0" w:color="auto"/>
              <w:right w:val="single" w:sz="4" w:space="0" w:color="auto"/>
            </w:tcBorders>
            <w:hideMark/>
          </w:tcPr>
          <w:p w14:paraId="7542DCF9"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14,0 </w:t>
            </w:r>
            <w:r w:rsidRPr="00520861">
              <w:rPr>
                <w:rFonts w:eastAsia="Calibri"/>
                <w:sz w:val="28"/>
                <w:szCs w:val="28"/>
              </w:rPr>
              <w:t>(</w:t>
            </w:r>
            <w:r w:rsidRPr="00520861">
              <w:rPr>
                <w:rFonts w:eastAsia="Calibri"/>
                <w:i/>
                <w:sz w:val="28"/>
                <w:szCs w:val="28"/>
              </w:rPr>
              <w:t>p</w:t>
            </w:r>
            <w:r w:rsidRPr="00520861">
              <w:rPr>
                <w:rFonts w:eastAsia="Calibri"/>
                <w:sz w:val="28"/>
                <w:szCs w:val="28"/>
              </w:rPr>
              <w:t>=0,879)</w:t>
            </w:r>
          </w:p>
        </w:tc>
      </w:tr>
      <w:tr w:rsidR="002E3CE8" w:rsidRPr="00520861" w14:paraId="39ABB60A" w14:textId="77777777" w:rsidTr="00292D2E">
        <w:tc>
          <w:tcPr>
            <w:tcW w:w="2857" w:type="dxa"/>
            <w:tcBorders>
              <w:top w:val="single" w:sz="4" w:space="0" w:color="auto"/>
              <w:left w:val="single" w:sz="4" w:space="0" w:color="auto"/>
              <w:bottom w:val="single" w:sz="4" w:space="0" w:color="auto"/>
              <w:right w:val="single" w:sz="4" w:space="0" w:color="auto"/>
            </w:tcBorders>
          </w:tcPr>
          <w:p w14:paraId="06A80C2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lang w:eastAsia="en-US"/>
              </w:rPr>
              <w:t>ВП-</w:t>
            </w:r>
            <w:r w:rsidRPr="00520861">
              <w:rPr>
                <w:sz w:val="28"/>
                <w:szCs w:val="28"/>
              </w:rPr>
              <w:t>VІ</w:t>
            </w:r>
          </w:p>
        </w:tc>
        <w:tc>
          <w:tcPr>
            <w:tcW w:w="776" w:type="dxa"/>
            <w:tcBorders>
              <w:top w:val="single" w:sz="4" w:space="0" w:color="auto"/>
              <w:left w:val="single" w:sz="4" w:space="0" w:color="auto"/>
              <w:bottom w:val="single" w:sz="4" w:space="0" w:color="auto"/>
              <w:right w:val="single" w:sz="4" w:space="0" w:color="auto"/>
            </w:tcBorders>
          </w:tcPr>
          <w:p w14:paraId="77E7D40A"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14,5</w:t>
            </w:r>
          </w:p>
        </w:tc>
        <w:tc>
          <w:tcPr>
            <w:tcW w:w="2183" w:type="dxa"/>
            <w:tcBorders>
              <w:top w:val="single" w:sz="4" w:space="0" w:color="auto"/>
              <w:left w:val="single" w:sz="4" w:space="0" w:color="auto"/>
              <w:bottom w:val="single" w:sz="4" w:space="0" w:color="auto"/>
              <w:right w:val="single" w:sz="4" w:space="0" w:color="auto"/>
            </w:tcBorders>
          </w:tcPr>
          <w:p w14:paraId="13BE7E98"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15,8 </w:t>
            </w:r>
            <w:r w:rsidRPr="00520861">
              <w:rPr>
                <w:rFonts w:eastAsia="Calibri"/>
                <w:sz w:val="28"/>
                <w:szCs w:val="28"/>
              </w:rPr>
              <w:t>(</w:t>
            </w:r>
            <w:r w:rsidRPr="00520861">
              <w:rPr>
                <w:rFonts w:eastAsia="Calibri"/>
                <w:i/>
                <w:sz w:val="28"/>
                <w:szCs w:val="28"/>
              </w:rPr>
              <w:t>p</w:t>
            </w:r>
            <w:r w:rsidRPr="00520861">
              <w:rPr>
                <w:rFonts w:eastAsia="Calibri"/>
                <w:sz w:val="28"/>
                <w:szCs w:val="28"/>
              </w:rPr>
              <w:t>=0,052)</w:t>
            </w:r>
          </w:p>
        </w:tc>
        <w:tc>
          <w:tcPr>
            <w:tcW w:w="2183" w:type="dxa"/>
            <w:tcBorders>
              <w:top w:val="single" w:sz="4" w:space="0" w:color="auto"/>
              <w:left w:val="single" w:sz="4" w:space="0" w:color="auto"/>
              <w:bottom w:val="single" w:sz="4" w:space="0" w:color="auto"/>
              <w:right w:val="single" w:sz="4" w:space="0" w:color="auto"/>
            </w:tcBorders>
          </w:tcPr>
          <w:p w14:paraId="0E0B438C"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16,9</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=0,005)</w:t>
            </w:r>
          </w:p>
        </w:tc>
        <w:tc>
          <w:tcPr>
            <w:tcW w:w="2183" w:type="dxa"/>
            <w:tcBorders>
              <w:top w:val="single" w:sz="4" w:space="0" w:color="auto"/>
              <w:left w:val="single" w:sz="4" w:space="0" w:color="auto"/>
              <w:bottom w:val="single" w:sz="4" w:space="0" w:color="auto"/>
              <w:right w:val="single" w:sz="4" w:space="0" w:color="auto"/>
            </w:tcBorders>
          </w:tcPr>
          <w:p w14:paraId="612AF96B"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15,5 </w:t>
            </w:r>
            <w:r w:rsidRPr="00520861">
              <w:rPr>
                <w:rFonts w:eastAsia="Calibri"/>
                <w:sz w:val="28"/>
                <w:szCs w:val="28"/>
              </w:rPr>
              <w:t>(</w:t>
            </w:r>
            <w:r w:rsidRPr="00520861">
              <w:rPr>
                <w:rFonts w:eastAsia="Calibri"/>
                <w:i/>
                <w:sz w:val="28"/>
                <w:szCs w:val="28"/>
              </w:rPr>
              <w:t>p</w:t>
            </w:r>
            <w:r w:rsidRPr="00520861">
              <w:rPr>
                <w:rFonts w:eastAsia="Calibri"/>
                <w:sz w:val="28"/>
                <w:szCs w:val="28"/>
              </w:rPr>
              <w:t>=0,577)</w:t>
            </w:r>
          </w:p>
        </w:tc>
        <w:tc>
          <w:tcPr>
            <w:tcW w:w="2183" w:type="dxa"/>
            <w:tcBorders>
              <w:top w:val="single" w:sz="4" w:space="0" w:color="auto"/>
              <w:left w:val="single" w:sz="4" w:space="0" w:color="auto"/>
              <w:bottom w:val="single" w:sz="4" w:space="0" w:color="auto"/>
              <w:right w:val="single" w:sz="4" w:space="0" w:color="auto"/>
            </w:tcBorders>
          </w:tcPr>
          <w:p w14:paraId="48AF7A7A"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15,6 </w:t>
            </w:r>
            <w:r w:rsidRPr="00520861">
              <w:rPr>
                <w:rFonts w:eastAsia="Calibri"/>
                <w:sz w:val="28"/>
                <w:szCs w:val="28"/>
              </w:rPr>
              <w:t>(</w:t>
            </w:r>
            <w:r w:rsidRPr="00520861">
              <w:rPr>
                <w:rFonts w:eastAsia="Calibri"/>
                <w:i/>
                <w:sz w:val="28"/>
                <w:szCs w:val="28"/>
              </w:rPr>
              <w:t>p</w:t>
            </w:r>
            <w:r w:rsidRPr="00520861">
              <w:rPr>
                <w:rFonts w:eastAsia="Calibri"/>
                <w:sz w:val="28"/>
                <w:szCs w:val="28"/>
              </w:rPr>
              <w:t>=0,337)</w:t>
            </w:r>
          </w:p>
        </w:tc>
        <w:tc>
          <w:tcPr>
            <w:tcW w:w="2183" w:type="dxa"/>
            <w:tcBorders>
              <w:top w:val="single" w:sz="4" w:space="0" w:color="auto"/>
              <w:left w:val="single" w:sz="4" w:space="0" w:color="auto"/>
              <w:bottom w:val="single" w:sz="4" w:space="0" w:color="auto"/>
              <w:right w:val="single" w:sz="4" w:space="0" w:color="auto"/>
            </w:tcBorders>
          </w:tcPr>
          <w:p w14:paraId="0EFA76C9"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15,2 </w:t>
            </w:r>
            <w:r w:rsidRPr="00520861">
              <w:rPr>
                <w:rFonts w:eastAsia="Calibri"/>
                <w:sz w:val="28"/>
                <w:szCs w:val="28"/>
              </w:rPr>
              <w:t>(</w:t>
            </w:r>
            <w:r w:rsidRPr="00520861">
              <w:rPr>
                <w:rFonts w:eastAsia="Calibri"/>
                <w:i/>
                <w:sz w:val="28"/>
                <w:szCs w:val="28"/>
              </w:rPr>
              <w:t>p</w:t>
            </w:r>
            <w:r w:rsidRPr="00520861">
              <w:rPr>
                <w:rFonts w:eastAsia="Calibri"/>
                <w:sz w:val="28"/>
                <w:szCs w:val="28"/>
              </w:rPr>
              <w:t>=0,415)</w:t>
            </w:r>
          </w:p>
        </w:tc>
      </w:tr>
      <w:tr w:rsidR="002E3CE8" w:rsidRPr="00520861" w14:paraId="4986F34C" w14:textId="77777777" w:rsidTr="00292D2E">
        <w:tc>
          <w:tcPr>
            <w:tcW w:w="2857" w:type="dxa"/>
            <w:tcBorders>
              <w:top w:val="single" w:sz="4" w:space="0" w:color="auto"/>
              <w:left w:val="single" w:sz="4" w:space="0" w:color="auto"/>
              <w:bottom w:val="single" w:sz="4" w:space="0" w:color="auto"/>
              <w:right w:val="single" w:sz="4" w:space="0" w:color="auto"/>
            </w:tcBorders>
          </w:tcPr>
          <w:p w14:paraId="0B73803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lang w:eastAsia="en-US"/>
              </w:rPr>
              <w:t>ВП-</w:t>
            </w:r>
            <w:r w:rsidRPr="00520861">
              <w:rPr>
                <w:sz w:val="28"/>
                <w:szCs w:val="28"/>
              </w:rPr>
              <w:t>VІІ</w:t>
            </w:r>
          </w:p>
        </w:tc>
        <w:tc>
          <w:tcPr>
            <w:tcW w:w="776" w:type="dxa"/>
            <w:tcBorders>
              <w:top w:val="single" w:sz="4" w:space="0" w:color="auto"/>
              <w:left w:val="single" w:sz="4" w:space="0" w:color="auto"/>
              <w:bottom w:val="single" w:sz="4" w:space="0" w:color="auto"/>
              <w:right w:val="single" w:sz="4" w:space="0" w:color="auto"/>
            </w:tcBorders>
          </w:tcPr>
          <w:p w14:paraId="690B7F7F"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14,3</w:t>
            </w:r>
          </w:p>
        </w:tc>
        <w:tc>
          <w:tcPr>
            <w:tcW w:w="2183" w:type="dxa"/>
            <w:tcBorders>
              <w:top w:val="single" w:sz="4" w:space="0" w:color="auto"/>
              <w:left w:val="single" w:sz="4" w:space="0" w:color="auto"/>
              <w:bottom w:val="single" w:sz="4" w:space="0" w:color="auto"/>
              <w:right w:val="single" w:sz="4" w:space="0" w:color="auto"/>
            </w:tcBorders>
          </w:tcPr>
          <w:p w14:paraId="7927151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16,1</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=0,001)</w:t>
            </w:r>
          </w:p>
        </w:tc>
        <w:tc>
          <w:tcPr>
            <w:tcW w:w="2183" w:type="dxa"/>
            <w:tcBorders>
              <w:top w:val="single" w:sz="4" w:space="0" w:color="auto"/>
              <w:left w:val="single" w:sz="4" w:space="0" w:color="auto"/>
              <w:bottom w:val="single" w:sz="4" w:space="0" w:color="auto"/>
              <w:right w:val="single" w:sz="4" w:space="0" w:color="auto"/>
            </w:tcBorders>
          </w:tcPr>
          <w:p w14:paraId="6B60C0AF"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16,1</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=0,011)</w:t>
            </w:r>
          </w:p>
        </w:tc>
        <w:tc>
          <w:tcPr>
            <w:tcW w:w="2183" w:type="dxa"/>
            <w:tcBorders>
              <w:top w:val="single" w:sz="4" w:space="0" w:color="auto"/>
              <w:left w:val="single" w:sz="4" w:space="0" w:color="auto"/>
              <w:bottom w:val="single" w:sz="4" w:space="0" w:color="auto"/>
              <w:right w:val="single" w:sz="4" w:space="0" w:color="auto"/>
            </w:tcBorders>
          </w:tcPr>
          <w:p w14:paraId="79CCF5BA"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16,7</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=0,008)</w:t>
            </w:r>
          </w:p>
        </w:tc>
        <w:tc>
          <w:tcPr>
            <w:tcW w:w="2183" w:type="dxa"/>
            <w:tcBorders>
              <w:top w:val="single" w:sz="4" w:space="0" w:color="auto"/>
              <w:left w:val="single" w:sz="4" w:space="0" w:color="auto"/>
              <w:bottom w:val="single" w:sz="4" w:space="0" w:color="auto"/>
              <w:right w:val="single" w:sz="4" w:space="0" w:color="auto"/>
            </w:tcBorders>
          </w:tcPr>
          <w:p w14:paraId="46FBE006"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17,9</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=0,001)</w:t>
            </w:r>
          </w:p>
        </w:tc>
        <w:tc>
          <w:tcPr>
            <w:tcW w:w="2183" w:type="dxa"/>
            <w:tcBorders>
              <w:top w:val="single" w:sz="4" w:space="0" w:color="auto"/>
              <w:left w:val="single" w:sz="4" w:space="0" w:color="auto"/>
              <w:bottom w:val="single" w:sz="4" w:space="0" w:color="auto"/>
              <w:right w:val="single" w:sz="4" w:space="0" w:color="auto"/>
            </w:tcBorders>
          </w:tcPr>
          <w:p w14:paraId="47CE1EF8"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15,2 </w:t>
            </w:r>
            <w:r w:rsidRPr="00520861">
              <w:rPr>
                <w:rFonts w:eastAsia="Calibri"/>
                <w:sz w:val="28"/>
                <w:szCs w:val="28"/>
              </w:rPr>
              <w:t>(</w:t>
            </w:r>
            <w:r w:rsidRPr="00520861">
              <w:rPr>
                <w:rFonts w:eastAsia="Calibri"/>
                <w:i/>
                <w:sz w:val="28"/>
                <w:szCs w:val="28"/>
              </w:rPr>
              <w:t>p</w:t>
            </w:r>
            <w:r w:rsidRPr="00520861">
              <w:rPr>
                <w:rFonts w:eastAsia="Calibri"/>
                <w:sz w:val="28"/>
                <w:szCs w:val="28"/>
              </w:rPr>
              <w:t>=0,174)</w:t>
            </w:r>
          </w:p>
        </w:tc>
      </w:tr>
      <w:tr w:rsidR="002E3CE8" w:rsidRPr="00520861" w14:paraId="2BB8C077" w14:textId="77777777" w:rsidTr="00292D2E">
        <w:tc>
          <w:tcPr>
            <w:tcW w:w="2857" w:type="dxa"/>
            <w:tcBorders>
              <w:top w:val="single" w:sz="4" w:space="0" w:color="auto"/>
              <w:left w:val="single" w:sz="4" w:space="0" w:color="auto"/>
              <w:bottom w:val="single" w:sz="4" w:space="0" w:color="auto"/>
              <w:right w:val="single" w:sz="4" w:space="0" w:color="auto"/>
            </w:tcBorders>
          </w:tcPr>
          <w:p w14:paraId="59309754"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Theme="minorHAnsi"/>
                <w:sz w:val="28"/>
                <w:szCs w:val="28"/>
                <w:lang w:eastAsia="en-US"/>
              </w:rPr>
              <w:t>ВП-</w:t>
            </w:r>
            <w:r w:rsidRPr="00520861">
              <w:rPr>
                <w:sz w:val="28"/>
                <w:szCs w:val="28"/>
              </w:rPr>
              <w:t>V</w:t>
            </w:r>
            <w:r w:rsidRPr="00520861">
              <w:rPr>
                <w:rFonts w:eastAsiaTheme="minorHAnsi"/>
                <w:sz w:val="28"/>
                <w:szCs w:val="28"/>
                <w:lang w:eastAsia="en-US"/>
              </w:rPr>
              <w:t>ІІІ</w:t>
            </w:r>
          </w:p>
        </w:tc>
        <w:tc>
          <w:tcPr>
            <w:tcW w:w="776" w:type="dxa"/>
            <w:tcBorders>
              <w:top w:val="single" w:sz="4" w:space="0" w:color="auto"/>
              <w:left w:val="single" w:sz="4" w:space="0" w:color="auto"/>
              <w:bottom w:val="single" w:sz="4" w:space="0" w:color="auto"/>
              <w:right w:val="single" w:sz="4" w:space="0" w:color="auto"/>
            </w:tcBorders>
          </w:tcPr>
          <w:p w14:paraId="382A60DC"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13,4</w:t>
            </w:r>
          </w:p>
        </w:tc>
        <w:tc>
          <w:tcPr>
            <w:tcW w:w="2183" w:type="dxa"/>
            <w:tcBorders>
              <w:top w:val="single" w:sz="4" w:space="0" w:color="auto"/>
              <w:left w:val="single" w:sz="4" w:space="0" w:color="auto"/>
              <w:bottom w:val="single" w:sz="4" w:space="0" w:color="auto"/>
              <w:right w:val="single" w:sz="4" w:space="0" w:color="auto"/>
            </w:tcBorders>
          </w:tcPr>
          <w:p w14:paraId="4CD2AE9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14,1 </w:t>
            </w:r>
            <w:r w:rsidRPr="00520861">
              <w:rPr>
                <w:rFonts w:eastAsia="Calibri"/>
                <w:sz w:val="28"/>
                <w:szCs w:val="28"/>
              </w:rPr>
              <w:t>(</w:t>
            </w:r>
            <w:r w:rsidRPr="00520861">
              <w:rPr>
                <w:rFonts w:eastAsia="Calibri"/>
                <w:i/>
                <w:sz w:val="28"/>
                <w:szCs w:val="28"/>
              </w:rPr>
              <w:t>p</w:t>
            </w:r>
            <w:r w:rsidRPr="00520861">
              <w:rPr>
                <w:rFonts w:eastAsia="Calibri"/>
                <w:sz w:val="28"/>
                <w:szCs w:val="28"/>
              </w:rPr>
              <w:t>=0,334)</w:t>
            </w:r>
          </w:p>
        </w:tc>
        <w:tc>
          <w:tcPr>
            <w:tcW w:w="2183" w:type="dxa"/>
            <w:tcBorders>
              <w:top w:val="single" w:sz="4" w:space="0" w:color="auto"/>
              <w:left w:val="single" w:sz="4" w:space="0" w:color="auto"/>
              <w:bottom w:val="single" w:sz="4" w:space="0" w:color="auto"/>
              <w:right w:val="single" w:sz="4" w:space="0" w:color="auto"/>
            </w:tcBorders>
          </w:tcPr>
          <w:p w14:paraId="49819CF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12,7 </w:t>
            </w:r>
            <w:r w:rsidRPr="00520861">
              <w:rPr>
                <w:rFonts w:eastAsia="Calibri"/>
                <w:sz w:val="28"/>
                <w:szCs w:val="28"/>
              </w:rPr>
              <w:t>(</w:t>
            </w:r>
            <w:r w:rsidRPr="00520861">
              <w:rPr>
                <w:rFonts w:eastAsia="Calibri"/>
                <w:i/>
                <w:sz w:val="28"/>
                <w:szCs w:val="28"/>
              </w:rPr>
              <w:t>p</w:t>
            </w:r>
            <w:r w:rsidRPr="00520861">
              <w:rPr>
                <w:rFonts w:eastAsia="Calibri"/>
                <w:sz w:val="28"/>
                <w:szCs w:val="28"/>
              </w:rPr>
              <w:t>=0,951)</w:t>
            </w:r>
          </w:p>
        </w:tc>
        <w:tc>
          <w:tcPr>
            <w:tcW w:w="2183" w:type="dxa"/>
            <w:tcBorders>
              <w:top w:val="single" w:sz="4" w:space="0" w:color="auto"/>
              <w:left w:val="single" w:sz="4" w:space="0" w:color="auto"/>
              <w:bottom w:val="single" w:sz="4" w:space="0" w:color="auto"/>
              <w:right w:val="single" w:sz="4" w:space="0" w:color="auto"/>
            </w:tcBorders>
          </w:tcPr>
          <w:p w14:paraId="0C6EB693"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12,5 </w:t>
            </w:r>
            <w:r w:rsidRPr="00520861">
              <w:rPr>
                <w:rFonts w:eastAsia="Calibri"/>
                <w:sz w:val="28"/>
                <w:szCs w:val="28"/>
              </w:rPr>
              <w:t>(</w:t>
            </w:r>
            <w:r w:rsidRPr="00520861">
              <w:rPr>
                <w:rFonts w:eastAsia="Calibri"/>
                <w:i/>
                <w:sz w:val="28"/>
                <w:szCs w:val="28"/>
              </w:rPr>
              <w:t>p</w:t>
            </w:r>
            <w:r w:rsidRPr="00520861">
              <w:rPr>
                <w:rFonts w:eastAsia="Calibri"/>
                <w:sz w:val="28"/>
                <w:szCs w:val="28"/>
              </w:rPr>
              <w:t>=0,376)</w:t>
            </w:r>
          </w:p>
        </w:tc>
        <w:tc>
          <w:tcPr>
            <w:tcW w:w="2183" w:type="dxa"/>
            <w:tcBorders>
              <w:top w:val="single" w:sz="4" w:space="0" w:color="auto"/>
              <w:left w:val="single" w:sz="4" w:space="0" w:color="auto"/>
              <w:bottom w:val="single" w:sz="4" w:space="0" w:color="auto"/>
              <w:right w:val="single" w:sz="4" w:space="0" w:color="auto"/>
            </w:tcBorders>
          </w:tcPr>
          <w:p w14:paraId="0E5EE3E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17,2</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=0,001)</w:t>
            </w:r>
          </w:p>
        </w:tc>
        <w:tc>
          <w:tcPr>
            <w:tcW w:w="2183" w:type="dxa"/>
            <w:tcBorders>
              <w:top w:val="single" w:sz="4" w:space="0" w:color="auto"/>
              <w:left w:val="single" w:sz="4" w:space="0" w:color="auto"/>
              <w:bottom w:val="single" w:sz="4" w:space="0" w:color="auto"/>
              <w:right w:val="single" w:sz="4" w:space="0" w:color="auto"/>
            </w:tcBorders>
          </w:tcPr>
          <w:p w14:paraId="69598E66"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13,8 </w:t>
            </w:r>
            <w:r w:rsidRPr="00520861">
              <w:rPr>
                <w:rFonts w:eastAsia="Calibri"/>
                <w:sz w:val="28"/>
                <w:szCs w:val="28"/>
              </w:rPr>
              <w:t>(</w:t>
            </w:r>
            <w:r w:rsidRPr="00520861">
              <w:rPr>
                <w:rFonts w:eastAsia="Calibri"/>
                <w:i/>
                <w:sz w:val="28"/>
                <w:szCs w:val="28"/>
              </w:rPr>
              <w:t>p</w:t>
            </w:r>
            <w:r w:rsidRPr="00520861">
              <w:rPr>
                <w:rFonts w:eastAsia="Calibri"/>
                <w:sz w:val="28"/>
                <w:szCs w:val="28"/>
              </w:rPr>
              <w:t>=0,782)</w:t>
            </w:r>
          </w:p>
        </w:tc>
      </w:tr>
      <w:tr w:rsidR="002E3CE8" w:rsidRPr="00520861" w14:paraId="72691598" w14:textId="77777777" w:rsidTr="00292D2E">
        <w:tc>
          <w:tcPr>
            <w:tcW w:w="2857" w:type="dxa"/>
            <w:tcBorders>
              <w:top w:val="single" w:sz="4" w:space="0" w:color="auto"/>
              <w:left w:val="single" w:sz="4" w:space="0" w:color="auto"/>
              <w:bottom w:val="single" w:sz="4" w:space="0" w:color="auto"/>
              <w:right w:val="single" w:sz="4" w:space="0" w:color="auto"/>
            </w:tcBorders>
            <w:hideMark/>
          </w:tcPr>
          <w:p w14:paraId="69BC4DCD"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rPr>
              <w:t>Ширина піднебінного склепіння (l), мм,</w:t>
            </w:r>
            <w:r w:rsidRPr="00520861">
              <w:rPr>
                <w:rFonts w:eastAsia="Calibri"/>
                <w:sz w:val="28"/>
                <w:szCs w:val="28"/>
                <w:lang w:eastAsia="en-US"/>
              </w:rPr>
              <w:t xml:space="preserve"> ВП-</w:t>
            </w:r>
            <w:r w:rsidRPr="00520861">
              <w:rPr>
                <w:sz w:val="28"/>
                <w:szCs w:val="28"/>
              </w:rPr>
              <w:t>V</w:t>
            </w:r>
          </w:p>
        </w:tc>
        <w:tc>
          <w:tcPr>
            <w:tcW w:w="776" w:type="dxa"/>
            <w:tcBorders>
              <w:top w:val="single" w:sz="4" w:space="0" w:color="auto"/>
              <w:left w:val="single" w:sz="4" w:space="0" w:color="auto"/>
              <w:bottom w:val="single" w:sz="4" w:space="0" w:color="auto"/>
              <w:right w:val="single" w:sz="4" w:space="0" w:color="auto"/>
            </w:tcBorders>
            <w:hideMark/>
          </w:tcPr>
          <w:p w14:paraId="780190A1" w14:textId="77777777" w:rsidR="002E3CE8" w:rsidRPr="00520861" w:rsidRDefault="002E3CE8" w:rsidP="00292D2E">
            <w:pPr>
              <w:widowControl w:val="0"/>
              <w:spacing w:line="360" w:lineRule="auto"/>
              <w:jc w:val="center"/>
              <w:rPr>
                <w:rFonts w:eastAsia="Calibri"/>
                <w:sz w:val="28"/>
                <w:szCs w:val="28"/>
              </w:rPr>
            </w:pPr>
            <w:r w:rsidRPr="00520861">
              <w:rPr>
                <w:rFonts w:eastAsiaTheme="minorHAnsi"/>
                <w:sz w:val="28"/>
                <w:szCs w:val="28"/>
                <w:lang w:eastAsia="en-US"/>
              </w:rPr>
              <w:t>35,5</w:t>
            </w:r>
          </w:p>
        </w:tc>
        <w:tc>
          <w:tcPr>
            <w:tcW w:w="2183" w:type="dxa"/>
            <w:tcBorders>
              <w:top w:val="single" w:sz="4" w:space="0" w:color="auto"/>
              <w:left w:val="single" w:sz="4" w:space="0" w:color="auto"/>
              <w:bottom w:val="single" w:sz="4" w:space="0" w:color="auto"/>
              <w:right w:val="single" w:sz="4" w:space="0" w:color="auto"/>
            </w:tcBorders>
          </w:tcPr>
          <w:p w14:paraId="6F16648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35,2 </w:t>
            </w:r>
            <w:r w:rsidRPr="00520861">
              <w:rPr>
                <w:rFonts w:eastAsia="Calibri"/>
                <w:sz w:val="28"/>
                <w:szCs w:val="28"/>
              </w:rPr>
              <w:t>(</w:t>
            </w:r>
            <w:r w:rsidRPr="00520861">
              <w:rPr>
                <w:rFonts w:eastAsia="Calibri"/>
                <w:i/>
                <w:sz w:val="28"/>
                <w:szCs w:val="28"/>
              </w:rPr>
              <w:t>p</w:t>
            </w:r>
            <w:r w:rsidRPr="00520861">
              <w:rPr>
                <w:rFonts w:eastAsia="Calibri"/>
                <w:sz w:val="28"/>
                <w:szCs w:val="28"/>
              </w:rPr>
              <w:t>=0,722)</w:t>
            </w:r>
          </w:p>
        </w:tc>
        <w:tc>
          <w:tcPr>
            <w:tcW w:w="2183" w:type="dxa"/>
            <w:tcBorders>
              <w:top w:val="single" w:sz="4" w:space="0" w:color="auto"/>
              <w:left w:val="single" w:sz="4" w:space="0" w:color="auto"/>
              <w:bottom w:val="single" w:sz="4" w:space="0" w:color="auto"/>
              <w:right w:val="single" w:sz="4" w:space="0" w:color="auto"/>
            </w:tcBorders>
            <w:hideMark/>
          </w:tcPr>
          <w:p w14:paraId="491C5D00"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33,9 </w:t>
            </w:r>
            <w:r w:rsidRPr="00520861">
              <w:rPr>
                <w:rFonts w:eastAsia="Calibri"/>
                <w:sz w:val="28"/>
                <w:szCs w:val="28"/>
              </w:rPr>
              <w:t>(</w:t>
            </w:r>
            <w:r w:rsidRPr="00520861">
              <w:rPr>
                <w:rFonts w:eastAsia="Calibri"/>
                <w:i/>
                <w:sz w:val="28"/>
                <w:szCs w:val="28"/>
              </w:rPr>
              <w:t>p</w:t>
            </w:r>
            <w:r w:rsidRPr="00520861">
              <w:rPr>
                <w:rFonts w:eastAsia="Calibri"/>
                <w:sz w:val="28"/>
                <w:szCs w:val="28"/>
              </w:rPr>
              <w:t>=0,276)</w:t>
            </w:r>
          </w:p>
        </w:tc>
        <w:tc>
          <w:tcPr>
            <w:tcW w:w="2183" w:type="dxa"/>
            <w:tcBorders>
              <w:top w:val="single" w:sz="4" w:space="0" w:color="auto"/>
              <w:left w:val="single" w:sz="4" w:space="0" w:color="auto"/>
              <w:bottom w:val="single" w:sz="4" w:space="0" w:color="auto"/>
              <w:right w:val="single" w:sz="4" w:space="0" w:color="auto"/>
            </w:tcBorders>
            <w:hideMark/>
          </w:tcPr>
          <w:p w14:paraId="6028928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37,6 </w:t>
            </w:r>
            <w:r w:rsidRPr="00520861">
              <w:rPr>
                <w:rFonts w:eastAsia="Calibri"/>
                <w:sz w:val="28"/>
                <w:szCs w:val="28"/>
              </w:rPr>
              <w:t>(</w:t>
            </w:r>
            <w:r w:rsidRPr="00520861">
              <w:rPr>
                <w:rFonts w:eastAsia="Calibri"/>
                <w:i/>
                <w:sz w:val="28"/>
                <w:szCs w:val="28"/>
              </w:rPr>
              <w:t>p</w:t>
            </w:r>
            <w:r w:rsidRPr="00520861">
              <w:rPr>
                <w:rFonts w:eastAsia="Calibri"/>
                <w:sz w:val="28"/>
                <w:szCs w:val="28"/>
              </w:rPr>
              <w:t>=0,211)</w:t>
            </w:r>
          </w:p>
        </w:tc>
        <w:tc>
          <w:tcPr>
            <w:tcW w:w="2183" w:type="dxa"/>
            <w:tcBorders>
              <w:top w:val="single" w:sz="4" w:space="0" w:color="auto"/>
              <w:left w:val="single" w:sz="4" w:space="0" w:color="auto"/>
              <w:bottom w:val="single" w:sz="4" w:space="0" w:color="auto"/>
              <w:right w:val="single" w:sz="4" w:space="0" w:color="auto"/>
            </w:tcBorders>
            <w:hideMark/>
          </w:tcPr>
          <w:p w14:paraId="0F893FF9"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34,2 </w:t>
            </w:r>
            <w:r w:rsidRPr="00520861">
              <w:rPr>
                <w:rFonts w:eastAsia="Calibri"/>
                <w:sz w:val="28"/>
                <w:szCs w:val="28"/>
              </w:rPr>
              <w:t>(</w:t>
            </w:r>
            <w:r w:rsidRPr="00520861">
              <w:rPr>
                <w:rFonts w:eastAsia="Calibri"/>
                <w:i/>
                <w:sz w:val="28"/>
                <w:szCs w:val="28"/>
              </w:rPr>
              <w:t>p</w:t>
            </w:r>
            <w:r w:rsidRPr="00520861">
              <w:rPr>
                <w:rFonts w:eastAsia="Calibri"/>
                <w:sz w:val="28"/>
                <w:szCs w:val="28"/>
              </w:rPr>
              <w:t>=0,429)</w:t>
            </w:r>
          </w:p>
        </w:tc>
        <w:tc>
          <w:tcPr>
            <w:tcW w:w="2183" w:type="dxa"/>
            <w:tcBorders>
              <w:top w:val="single" w:sz="4" w:space="0" w:color="auto"/>
              <w:left w:val="single" w:sz="4" w:space="0" w:color="auto"/>
              <w:bottom w:val="single" w:sz="4" w:space="0" w:color="auto"/>
              <w:right w:val="single" w:sz="4" w:space="0" w:color="auto"/>
            </w:tcBorders>
            <w:hideMark/>
          </w:tcPr>
          <w:p w14:paraId="1F67F68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35,3 </w:t>
            </w:r>
            <w:r w:rsidRPr="00520861">
              <w:rPr>
                <w:rFonts w:eastAsia="Calibri"/>
                <w:sz w:val="28"/>
                <w:szCs w:val="28"/>
              </w:rPr>
              <w:t>(</w:t>
            </w:r>
            <w:r w:rsidRPr="00520861">
              <w:rPr>
                <w:rFonts w:eastAsia="Calibri"/>
                <w:i/>
                <w:sz w:val="28"/>
                <w:szCs w:val="28"/>
              </w:rPr>
              <w:t>p</w:t>
            </w:r>
            <w:r w:rsidRPr="00520861">
              <w:rPr>
                <w:rFonts w:eastAsia="Calibri"/>
                <w:sz w:val="28"/>
                <w:szCs w:val="28"/>
              </w:rPr>
              <w:t>=0,793)</w:t>
            </w:r>
          </w:p>
        </w:tc>
      </w:tr>
      <w:tr w:rsidR="002E3CE8" w:rsidRPr="00520861" w14:paraId="2927E26B" w14:textId="77777777" w:rsidTr="00292D2E">
        <w:tc>
          <w:tcPr>
            <w:tcW w:w="2857" w:type="dxa"/>
            <w:tcBorders>
              <w:top w:val="single" w:sz="4" w:space="0" w:color="auto"/>
              <w:left w:val="single" w:sz="4" w:space="0" w:color="auto"/>
              <w:bottom w:val="single" w:sz="4" w:space="0" w:color="auto"/>
              <w:right w:val="single" w:sz="4" w:space="0" w:color="auto"/>
            </w:tcBorders>
          </w:tcPr>
          <w:p w14:paraId="446E5AC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lang w:eastAsia="en-US"/>
              </w:rPr>
              <w:t>ВП-</w:t>
            </w:r>
            <w:r w:rsidRPr="00520861">
              <w:rPr>
                <w:sz w:val="28"/>
                <w:szCs w:val="28"/>
              </w:rPr>
              <w:t>VІ</w:t>
            </w:r>
          </w:p>
        </w:tc>
        <w:tc>
          <w:tcPr>
            <w:tcW w:w="776" w:type="dxa"/>
            <w:tcBorders>
              <w:top w:val="single" w:sz="4" w:space="0" w:color="auto"/>
              <w:left w:val="single" w:sz="4" w:space="0" w:color="auto"/>
              <w:bottom w:val="single" w:sz="4" w:space="0" w:color="auto"/>
              <w:right w:val="single" w:sz="4" w:space="0" w:color="auto"/>
            </w:tcBorders>
          </w:tcPr>
          <w:p w14:paraId="589DA084"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36,4</w:t>
            </w:r>
          </w:p>
        </w:tc>
        <w:tc>
          <w:tcPr>
            <w:tcW w:w="2183" w:type="dxa"/>
            <w:tcBorders>
              <w:top w:val="single" w:sz="4" w:space="0" w:color="auto"/>
              <w:left w:val="single" w:sz="4" w:space="0" w:color="auto"/>
              <w:bottom w:val="single" w:sz="4" w:space="0" w:color="auto"/>
              <w:right w:val="single" w:sz="4" w:space="0" w:color="auto"/>
            </w:tcBorders>
          </w:tcPr>
          <w:p w14:paraId="3223DD7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36,2 </w:t>
            </w:r>
            <w:r w:rsidRPr="00520861">
              <w:rPr>
                <w:rFonts w:eastAsia="Calibri"/>
                <w:sz w:val="28"/>
                <w:szCs w:val="28"/>
              </w:rPr>
              <w:t>(</w:t>
            </w:r>
            <w:r w:rsidRPr="00520861">
              <w:rPr>
                <w:rFonts w:eastAsia="Calibri"/>
                <w:i/>
                <w:sz w:val="28"/>
                <w:szCs w:val="28"/>
              </w:rPr>
              <w:t>p</w:t>
            </w:r>
            <w:r w:rsidRPr="00520861">
              <w:rPr>
                <w:rFonts w:eastAsia="Calibri"/>
                <w:sz w:val="28"/>
                <w:szCs w:val="28"/>
              </w:rPr>
              <w:t>=0,623)</w:t>
            </w:r>
          </w:p>
        </w:tc>
        <w:tc>
          <w:tcPr>
            <w:tcW w:w="2183" w:type="dxa"/>
            <w:tcBorders>
              <w:top w:val="single" w:sz="4" w:space="0" w:color="auto"/>
              <w:left w:val="single" w:sz="4" w:space="0" w:color="auto"/>
              <w:bottom w:val="single" w:sz="4" w:space="0" w:color="auto"/>
              <w:right w:val="single" w:sz="4" w:space="0" w:color="auto"/>
            </w:tcBorders>
          </w:tcPr>
          <w:p w14:paraId="24F30AB3"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37,6 </w:t>
            </w:r>
            <w:r w:rsidRPr="00520861">
              <w:rPr>
                <w:rFonts w:eastAsia="Calibri"/>
                <w:sz w:val="28"/>
                <w:szCs w:val="28"/>
              </w:rPr>
              <w:t>(</w:t>
            </w:r>
            <w:r w:rsidRPr="00520861">
              <w:rPr>
                <w:rFonts w:eastAsia="Calibri"/>
                <w:i/>
                <w:sz w:val="28"/>
                <w:szCs w:val="28"/>
              </w:rPr>
              <w:t>p</w:t>
            </w:r>
            <w:r w:rsidRPr="00520861">
              <w:rPr>
                <w:rFonts w:eastAsia="Calibri"/>
                <w:sz w:val="28"/>
                <w:szCs w:val="28"/>
              </w:rPr>
              <w:t>=0,429)</w:t>
            </w:r>
          </w:p>
        </w:tc>
        <w:tc>
          <w:tcPr>
            <w:tcW w:w="2183" w:type="dxa"/>
            <w:tcBorders>
              <w:top w:val="single" w:sz="4" w:space="0" w:color="auto"/>
              <w:left w:val="single" w:sz="4" w:space="0" w:color="auto"/>
              <w:bottom w:val="single" w:sz="4" w:space="0" w:color="auto"/>
              <w:right w:val="single" w:sz="4" w:space="0" w:color="auto"/>
            </w:tcBorders>
          </w:tcPr>
          <w:p w14:paraId="1AEE35EB"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34,7 </w:t>
            </w:r>
            <w:r w:rsidRPr="00520861">
              <w:rPr>
                <w:rFonts w:eastAsia="Calibri"/>
                <w:sz w:val="28"/>
                <w:szCs w:val="28"/>
              </w:rPr>
              <w:t>(</w:t>
            </w:r>
            <w:r w:rsidRPr="00520861">
              <w:rPr>
                <w:rFonts w:eastAsia="Calibri"/>
                <w:i/>
                <w:sz w:val="28"/>
                <w:szCs w:val="28"/>
              </w:rPr>
              <w:t>p</w:t>
            </w:r>
            <w:r w:rsidRPr="00520861">
              <w:rPr>
                <w:rFonts w:eastAsia="Calibri"/>
                <w:sz w:val="28"/>
                <w:szCs w:val="28"/>
              </w:rPr>
              <w:t>=0,173)</w:t>
            </w:r>
          </w:p>
        </w:tc>
        <w:tc>
          <w:tcPr>
            <w:tcW w:w="2183" w:type="dxa"/>
            <w:tcBorders>
              <w:top w:val="single" w:sz="4" w:space="0" w:color="auto"/>
              <w:left w:val="single" w:sz="4" w:space="0" w:color="auto"/>
              <w:bottom w:val="single" w:sz="4" w:space="0" w:color="auto"/>
              <w:right w:val="single" w:sz="4" w:space="0" w:color="auto"/>
            </w:tcBorders>
          </w:tcPr>
          <w:p w14:paraId="3F973763"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35,6 </w:t>
            </w:r>
            <w:r w:rsidRPr="00520861">
              <w:rPr>
                <w:rFonts w:eastAsia="Calibri"/>
                <w:sz w:val="28"/>
                <w:szCs w:val="28"/>
              </w:rPr>
              <w:t>(</w:t>
            </w:r>
            <w:r w:rsidRPr="00520861">
              <w:rPr>
                <w:rFonts w:eastAsia="Calibri"/>
                <w:i/>
                <w:sz w:val="28"/>
                <w:szCs w:val="28"/>
              </w:rPr>
              <w:t>p</w:t>
            </w:r>
            <w:r w:rsidRPr="00520861">
              <w:rPr>
                <w:rFonts w:eastAsia="Calibri"/>
                <w:sz w:val="28"/>
                <w:szCs w:val="28"/>
              </w:rPr>
              <w:t>=0,348)</w:t>
            </w:r>
          </w:p>
        </w:tc>
        <w:tc>
          <w:tcPr>
            <w:tcW w:w="2183" w:type="dxa"/>
            <w:tcBorders>
              <w:top w:val="single" w:sz="4" w:space="0" w:color="auto"/>
              <w:left w:val="single" w:sz="4" w:space="0" w:color="auto"/>
              <w:bottom w:val="single" w:sz="4" w:space="0" w:color="auto"/>
              <w:right w:val="single" w:sz="4" w:space="0" w:color="auto"/>
            </w:tcBorders>
          </w:tcPr>
          <w:p w14:paraId="2734A197"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36,4 </w:t>
            </w:r>
            <w:r w:rsidRPr="00520861">
              <w:rPr>
                <w:rFonts w:eastAsia="Calibri"/>
                <w:sz w:val="28"/>
                <w:szCs w:val="28"/>
              </w:rPr>
              <w:t>(</w:t>
            </w:r>
            <w:r w:rsidRPr="00520861">
              <w:rPr>
                <w:rFonts w:eastAsia="Calibri"/>
                <w:i/>
                <w:sz w:val="28"/>
                <w:szCs w:val="28"/>
              </w:rPr>
              <w:t>p</w:t>
            </w:r>
            <w:r w:rsidRPr="00520861">
              <w:rPr>
                <w:rFonts w:eastAsia="Calibri"/>
                <w:sz w:val="28"/>
                <w:szCs w:val="28"/>
              </w:rPr>
              <w:t>=0,988)</w:t>
            </w:r>
          </w:p>
        </w:tc>
      </w:tr>
      <w:tr w:rsidR="002E3CE8" w:rsidRPr="00520861" w14:paraId="63AE5974" w14:textId="77777777" w:rsidTr="00292D2E">
        <w:tc>
          <w:tcPr>
            <w:tcW w:w="2857" w:type="dxa"/>
            <w:tcBorders>
              <w:top w:val="single" w:sz="4" w:space="0" w:color="auto"/>
              <w:left w:val="single" w:sz="4" w:space="0" w:color="auto"/>
              <w:bottom w:val="single" w:sz="4" w:space="0" w:color="auto"/>
              <w:right w:val="single" w:sz="4" w:space="0" w:color="auto"/>
            </w:tcBorders>
          </w:tcPr>
          <w:p w14:paraId="7A25DE1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lang w:eastAsia="en-US"/>
              </w:rPr>
              <w:t>ВП-</w:t>
            </w:r>
            <w:r w:rsidRPr="00520861">
              <w:rPr>
                <w:sz w:val="28"/>
                <w:szCs w:val="28"/>
              </w:rPr>
              <w:t>VІІ</w:t>
            </w:r>
          </w:p>
        </w:tc>
        <w:tc>
          <w:tcPr>
            <w:tcW w:w="776" w:type="dxa"/>
            <w:tcBorders>
              <w:top w:val="single" w:sz="4" w:space="0" w:color="auto"/>
              <w:left w:val="single" w:sz="4" w:space="0" w:color="auto"/>
              <w:bottom w:val="single" w:sz="4" w:space="0" w:color="auto"/>
              <w:right w:val="single" w:sz="4" w:space="0" w:color="auto"/>
            </w:tcBorders>
          </w:tcPr>
          <w:p w14:paraId="19C4F8B0"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37,6</w:t>
            </w:r>
          </w:p>
        </w:tc>
        <w:tc>
          <w:tcPr>
            <w:tcW w:w="2183" w:type="dxa"/>
            <w:tcBorders>
              <w:top w:val="single" w:sz="4" w:space="0" w:color="auto"/>
              <w:left w:val="single" w:sz="4" w:space="0" w:color="auto"/>
              <w:bottom w:val="single" w:sz="4" w:space="0" w:color="auto"/>
              <w:right w:val="single" w:sz="4" w:space="0" w:color="auto"/>
            </w:tcBorders>
          </w:tcPr>
          <w:p w14:paraId="3485289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35,3</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=0,003)</w:t>
            </w:r>
          </w:p>
        </w:tc>
        <w:tc>
          <w:tcPr>
            <w:tcW w:w="2183" w:type="dxa"/>
            <w:tcBorders>
              <w:top w:val="single" w:sz="4" w:space="0" w:color="auto"/>
              <w:left w:val="single" w:sz="4" w:space="0" w:color="auto"/>
              <w:bottom w:val="single" w:sz="4" w:space="0" w:color="auto"/>
              <w:right w:val="single" w:sz="4" w:space="0" w:color="auto"/>
            </w:tcBorders>
          </w:tcPr>
          <w:p w14:paraId="73721817"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35,6</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=0,027)</w:t>
            </w:r>
          </w:p>
        </w:tc>
        <w:tc>
          <w:tcPr>
            <w:tcW w:w="2183" w:type="dxa"/>
            <w:tcBorders>
              <w:top w:val="single" w:sz="4" w:space="0" w:color="auto"/>
              <w:left w:val="single" w:sz="4" w:space="0" w:color="auto"/>
              <w:bottom w:val="single" w:sz="4" w:space="0" w:color="auto"/>
              <w:right w:val="single" w:sz="4" w:space="0" w:color="auto"/>
            </w:tcBorders>
          </w:tcPr>
          <w:p w14:paraId="7B132D40"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36,5 </w:t>
            </w:r>
            <w:r w:rsidRPr="00520861">
              <w:rPr>
                <w:rFonts w:eastAsia="Calibri"/>
                <w:sz w:val="28"/>
                <w:szCs w:val="28"/>
              </w:rPr>
              <w:t>(</w:t>
            </w:r>
            <w:r w:rsidRPr="00520861">
              <w:rPr>
                <w:rFonts w:eastAsia="Calibri"/>
                <w:i/>
                <w:sz w:val="28"/>
                <w:szCs w:val="28"/>
              </w:rPr>
              <w:t>p</w:t>
            </w:r>
            <w:r w:rsidRPr="00520861">
              <w:rPr>
                <w:rFonts w:eastAsia="Calibri"/>
                <w:sz w:val="28"/>
                <w:szCs w:val="28"/>
              </w:rPr>
              <w:t>=0,704)</w:t>
            </w:r>
          </w:p>
        </w:tc>
        <w:tc>
          <w:tcPr>
            <w:tcW w:w="2183" w:type="dxa"/>
            <w:tcBorders>
              <w:top w:val="single" w:sz="4" w:space="0" w:color="auto"/>
              <w:left w:val="single" w:sz="4" w:space="0" w:color="auto"/>
              <w:bottom w:val="single" w:sz="4" w:space="0" w:color="auto"/>
              <w:right w:val="single" w:sz="4" w:space="0" w:color="auto"/>
            </w:tcBorders>
          </w:tcPr>
          <w:p w14:paraId="29BBFD0B"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34,9</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=0,017)</w:t>
            </w:r>
          </w:p>
        </w:tc>
        <w:tc>
          <w:tcPr>
            <w:tcW w:w="2183" w:type="dxa"/>
            <w:tcBorders>
              <w:top w:val="single" w:sz="4" w:space="0" w:color="auto"/>
              <w:left w:val="single" w:sz="4" w:space="0" w:color="auto"/>
              <w:bottom w:val="single" w:sz="4" w:space="0" w:color="auto"/>
              <w:right w:val="single" w:sz="4" w:space="0" w:color="auto"/>
            </w:tcBorders>
          </w:tcPr>
          <w:p w14:paraId="2BE74E2A"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35,0</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=0,008)</w:t>
            </w:r>
          </w:p>
        </w:tc>
      </w:tr>
      <w:tr w:rsidR="002E3CE8" w:rsidRPr="00520861" w14:paraId="74FDDC53" w14:textId="77777777" w:rsidTr="00292D2E">
        <w:tc>
          <w:tcPr>
            <w:tcW w:w="2857" w:type="dxa"/>
            <w:tcBorders>
              <w:top w:val="single" w:sz="4" w:space="0" w:color="auto"/>
              <w:left w:val="single" w:sz="4" w:space="0" w:color="auto"/>
              <w:bottom w:val="single" w:sz="4" w:space="0" w:color="auto"/>
              <w:right w:val="single" w:sz="4" w:space="0" w:color="auto"/>
            </w:tcBorders>
          </w:tcPr>
          <w:p w14:paraId="32AA99D3"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Theme="minorHAnsi"/>
                <w:sz w:val="28"/>
                <w:szCs w:val="28"/>
                <w:lang w:eastAsia="en-US"/>
              </w:rPr>
              <w:t>ВП-</w:t>
            </w:r>
            <w:r w:rsidRPr="00520861">
              <w:rPr>
                <w:sz w:val="28"/>
                <w:szCs w:val="28"/>
              </w:rPr>
              <w:t>V</w:t>
            </w:r>
            <w:r w:rsidRPr="00520861">
              <w:rPr>
                <w:rFonts w:eastAsiaTheme="minorHAnsi"/>
                <w:sz w:val="28"/>
                <w:szCs w:val="28"/>
                <w:lang w:eastAsia="en-US"/>
              </w:rPr>
              <w:t>ІІІ</w:t>
            </w:r>
          </w:p>
        </w:tc>
        <w:tc>
          <w:tcPr>
            <w:tcW w:w="776" w:type="dxa"/>
            <w:tcBorders>
              <w:top w:val="single" w:sz="4" w:space="0" w:color="auto"/>
              <w:left w:val="single" w:sz="4" w:space="0" w:color="auto"/>
              <w:bottom w:val="single" w:sz="4" w:space="0" w:color="auto"/>
              <w:right w:val="single" w:sz="4" w:space="0" w:color="auto"/>
            </w:tcBorders>
          </w:tcPr>
          <w:p w14:paraId="55DBEF98"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36,8</w:t>
            </w:r>
          </w:p>
        </w:tc>
        <w:tc>
          <w:tcPr>
            <w:tcW w:w="2183" w:type="dxa"/>
            <w:tcBorders>
              <w:top w:val="single" w:sz="4" w:space="0" w:color="auto"/>
              <w:left w:val="single" w:sz="4" w:space="0" w:color="auto"/>
              <w:bottom w:val="single" w:sz="4" w:space="0" w:color="auto"/>
              <w:right w:val="single" w:sz="4" w:space="0" w:color="auto"/>
            </w:tcBorders>
          </w:tcPr>
          <w:p w14:paraId="7183800B"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36,8 </w:t>
            </w:r>
            <w:r w:rsidRPr="00520861">
              <w:rPr>
                <w:rFonts w:eastAsia="Calibri"/>
                <w:sz w:val="28"/>
                <w:szCs w:val="28"/>
              </w:rPr>
              <w:t>(</w:t>
            </w:r>
            <w:r w:rsidRPr="00520861">
              <w:rPr>
                <w:rFonts w:eastAsia="Calibri"/>
                <w:i/>
                <w:sz w:val="28"/>
                <w:szCs w:val="28"/>
              </w:rPr>
              <w:t>p</w:t>
            </w:r>
            <w:r w:rsidRPr="00520861">
              <w:rPr>
                <w:rFonts w:eastAsia="Calibri"/>
                <w:sz w:val="28"/>
                <w:szCs w:val="28"/>
              </w:rPr>
              <w:t>=0,844)</w:t>
            </w:r>
          </w:p>
        </w:tc>
        <w:tc>
          <w:tcPr>
            <w:tcW w:w="2183" w:type="dxa"/>
            <w:tcBorders>
              <w:top w:val="single" w:sz="4" w:space="0" w:color="auto"/>
              <w:left w:val="single" w:sz="4" w:space="0" w:color="auto"/>
              <w:bottom w:val="single" w:sz="4" w:space="0" w:color="auto"/>
              <w:right w:val="single" w:sz="4" w:space="0" w:color="auto"/>
            </w:tcBorders>
          </w:tcPr>
          <w:p w14:paraId="5CD4206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35,1 </w:t>
            </w:r>
            <w:r w:rsidRPr="00520861">
              <w:rPr>
                <w:rFonts w:eastAsia="Calibri"/>
                <w:sz w:val="28"/>
                <w:szCs w:val="28"/>
              </w:rPr>
              <w:t>(</w:t>
            </w:r>
            <w:r w:rsidRPr="00520861">
              <w:rPr>
                <w:rFonts w:eastAsia="Calibri"/>
                <w:i/>
                <w:sz w:val="28"/>
                <w:szCs w:val="28"/>
              </w:rPr>
              <w:t>p</w:t>
            </w:r>
            <w:r w:rsidRPr="00520861">
              <w:rPr>
                <w:rFonts w:eastAsia="Calibri"/>
                <w:sz w:val="28"/>
                <w:szCs w:val="28"/>
              </w:rPr>
              <w:t>=0,083)</w:t>
            </w:r>
          </w:p>
        </w:tc>
        <w:tc>
          <w:tcPr>
            <w:tcW w:w="2183" w:type="dxa"/>
            <w:tcBorders>
              <w:top w:val="single" w:sz="4" w:space="0" w:color="auto"/>
              <w:left w:val="single" w:sz="4" w:space="0" w:color="auto"/>
              <w:bottom w:val="single" w:sz="4" w:space="0" w:color="auto"/>
              <w:right w:val="single" w:sz="4" w:space="0" w:color="auto"/>
            </w:tcBorders>
          </w:tcPr>
          <w:p w14:paraId="50ECEE4E"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35,7 </w:t>
            </w:r>
            <w:r w:rsidRPr="00520861">
              <w:rPr>
                <w:rFonts w:eastAsia="Calibri"/>
                <w:sz w:val="28"/>
                <w:szCs w:val="28"/>
              </w:rPr>
              <w:t>(</w:t>
            </w:r>
            <w:r w:rsidRPr="00520861">
              <w:rPr>
                <w:rFonts w:eastAsia="Calibri"/>
                <w:i/>
                <w:sz w:val="28"/>
                <w:szCs w:val="28"/>
              </w:rPr>
              <w:t>p</w:t>
            </w:r>
            <w:r w:rsidRPr="00520861">
              <w:rPr>
                <w:rFonts w:eastAsia="Calibri"/>
                <w:sz w:val="28"/>
                <w:szCs w:val="28"/>
              </w:rPr>
              <w:t>=0,708)</w:t>
            </w:r>
          </w:p>
        </w:tc>
        <w:tc>
          <w:tcPr>
            <w:tcW w:w="2183" w:type="dxa"/>
            <w:tcBorders>
              <w:top w:val="single" w:sz="4" w:space="0" w:color="auto"/>
              <w:left w:val="single" w:sz="4" w:space="0" w:color="auto"/>
              <w:bottom w:val="single" w:sz="4" w:space="0" w:color="auto"/>
              <w:right w:val="single" w:sz="4" w:space="0" w:color="auto"/>
            </w:tcBorders>
          </w:tcPr>
          <w:p w14:paraId="2C7F1814"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37,4 </w:t>
            </w:r>
            <w:r w:rsidRPr="00520861">
              <w:rPr>
                <w:rFonts w:eastAsia="Calibri"/>
                <w:sz w:val="28"/>
                <w:szCs w:val="28"/>
              </w:rPr>
              <w:t>(</w:t>
            </w:r>
            <w:r w:rsidRPr="00520861">
              <w:rPr>
                <w:rFonts w:eastAsia="Calibri"/>
                <w:i/>
                <w:sz w:val="28"/>
                <w:szCs w:val="28"/>
              </w:rPr>
              <w:t>p</w:t>
            </w:r>
            <w:r w:rsidRPr="00520861">
              <w:rPr>
                <w:rFonts w:eastAsia="Calibri"/>
                <w:sz w:val="28"/>
                <w:szCs w:val="28"/>
              </w:rPr>
              <w:t>=0,513)</w:t>
            </w:r>
          </w:p>
        </w:tc>
        <w:tc>
          <w:tcPr>
            <w:tcW w:w="2183" w:type="dxa"/>
            <w:tcBorders>
              <w:top w:val="single" w:sz="4" w:space="0" w:color="auto"/>
              <w:left w:val="single" w:sz="4" w:space="0" w:color="auto"/>
              <w:bottom w:val="single" w:sz="4" w:space="0" w:color="auto"/>
              <w:right w:val="single" w:sz="4" w:space="0" w:color="auto"/>
            </w:tcBorders>
          </w:tcPr>
          <w:p w14:paraId="22CB86C4"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37,3 </w:t>
            </w:r>
            <w:r w:rsidRPr="00520861">
              <w:rPr>
                <w:rFonts w:eastAsia="Calibri"/>
                <w:sz w:val="28"/>
                <w:szCs w:val="28"/>
              </w:rPr>
              <w:t>(</w:t>
            </w:r>
            <w:r w:rsidRPr="00520861">
              <w:rPr>
                <w:rFonts w:eastAsia="Calibri"/>
                <w:i/>
                <w:sz w:val="28"/>
                <w:szCs w:val="28"/>
              </w:rPr>
              <w:t>p</w:t>
            </w:r>
            <w:r w:rsidRPr="00520861">
              <w:rPr>
                <w:rFonts w:eastAsia="Calibri"/>
                <w:sz w:val="28"/>
                <w:szCs w:val="28"/>
              </w:rPr>
              <w:t>=0,805)</w:t>
            </w:r>
          </w:p>
        </w:tc>
      </w:tr>
      <w:tr w:rsidR="002E3CE8" w:rsidRPr="00520861" w14:paraId="43ADBD8F" w14:textId="77777777" w:rsidTr="00292D2E">
        <w:tc>
          <w:tcPr>
            <w:tcW w:w="2857" w:type="dxa"/>
            <w:tcBorders>
              <w:top w:val="single" w:sz="4" w:space="0" w:color="auto"/>
              <w:left w:val="single" w:sz="4" w:space="0" w:color="auto"/>
              <w:bottom w:val="single" w:sz="4" w:space="0" w:color="auto"/>
              <w:right w:val="single" w:sz="4" w:space="0" w:color="auto"/>
            </w:tcBorders>
            <w:hideMark/>
          </w:tcPr>
          <w:p w14:paraId="49FA552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h/l </w:t>
            </w:r>
            <w:proofErr w:type="spellStart"/>
            <w:r w:rsidRPr="00520861">
              <w:rPr>
                <w:rFonts w:eastAsia="Calibri"/>
                <w:sz w:val="28"/>
                <w:szCs w:val="28"/>
              </w:rPr>
              <w:t>ум.од</w:t>
            </w:r>
            <w:proofErr w:type="spellEnd"/>
            <w:r w:rsidRPr="00520861">
              <w:rPr>
                <w:rFonts w:eastAsia="Calibri"/>
                <w:sz w:val="28"/>
                <w:szCs w:val="28"/>
              </w:rPr>
              <w:t xml:space="preserve">., </w:t>
            </w:r>
            <w:r w:rsidRPr="00520861">
              <w:rPr>
                <w:rFonts w:eastAsia="Calibri"/>
                <w:sz w:val="28"/>
                <w:szCs w:val="28"/>
                <w:lang w:eastAsia="en-US"/>
              </w:rPr>
              <w:t>ВП-</w:t>
            </w:r>
            <w:r w:rsidRPr="00520861">
              <w:rPr>
                <w:sz w:val="28"/>
                <w:szCs w:val="28"/>
              </w:rPr>
              <w:t>V</w:t>
            </w:r>
          </w:p>
        </w:tc>
        <w:tc>
          <w:tcPr>
            <w:tcW w:w="776" w:type="dxa"/>
            <w:tcBorders>
              <w:top w:val="single" w:sz="4" w:space="0" w:color="auto"/>
              <w:left w:val="single" w:sz="4" w:space="0" w:color="auto"/>
              <w:bottom w:val="single" w:sz="4" w:space="0" w:color="auto"/>
              <w:right w:val="single" w:sz="4" w:space="0" w:color="auto"/>
            </w:tcBorders>
            <w:hideMark/>
          </w:tcPr>
          <w:p w14:paraId="23A1ED39"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0,39</w:t>
            </w:r>
          </w:p>
        </w:tc>
        <w:tc>
          <w:tcPr>
            <w:tcW w:w="2183" w:type="dxa"/>
            <w:tcBorders>
              <w:top w:val="single" w:sz="4" w:space="0" w:color="auto"/>
              <w:left w:val="single" w:sz="4" w:space="0" w:color="auto"/>
              <w:bottom w:val="single" w:sz="4" w:space="0" w:color="auto"/>
              <w:right w:val="single" w:sz="4" w:space="0" w:color="auto"/>
            </w:tcBorders>
          </w:tcPr>
          <w:p w14:paraId="161669B1"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0,41 </w:t>
            </w:r>
            <w:r w:rsidRPr="00520861">
              <w:rPr>
                <w:rFonts w:eastAsia="Calibri"/>
                <w:sz w:val="28"/>
                <w:szCs w:val="28"/>
              </w:rPr>
              <w:t>(</w:t>
            </w:r>
            <w:r w:rsidRPr="00520861">
              <w:rPr>
                <w:rFonts w:eastAsia="Calibri"/>
                <w:i/>
                <w:sz w:val="28"/>
                <w:szCs w:val="28"/>
              </w:rPr>
              <w:t>p</w:t>
            </w:r>
            <w:r w:rsidRPr="00520861">
              <w:rPr>
                <w:rFonts w:eastAsia="Calibri"/>
                <w:sz w:val="28"/>
                <w:szCs w:val="28"/>
              </w:rPr>
              <w:t>=0,057)</w:t>
            </w:r>
          </w:p>
        </w:tc>
        <w:tc>
          <w:tcPr>
            <w:tcW w:w="2183" w:type="dxa"/>
            <w:tcBorders>
              <w:top w:val="single" w:sz="4" w:space="0" w:color="auto"/>
              <w:left w:val="single" w:sz="4" w:space="0" w:color="auto"/>
              <w:bottom w:val="single" w:sz="4" w:space="0" w:color="auto"/>
              <w:right w:val="single" w:sz="4" w:space="0" w:color="auto"/>
            </w:tcBorders>
            <w:hideMark/>
          </w:tcPr>
          <w:p w14:paraId="74E177C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0,39 </w:t>
            </w:r>
            <w:r w:rsidRPr="00520861">
              <w:rPr>
                <w:rFonts w:eastAsia="Calibri"/>
                <w:sz w:val="28"/>
                <w:szCs w:val="28"/>
              </w:rPr>
              <w:t>(</w:t>
            </w:r>
            <w:r w:rsidRPr="00520861">
              <w:rPr>
                <w:rFonts w:eastAsia="Calibri"/>
                <w:i/>
                <w:sz w:val="28"/>
                <w:szCs w:val="28"/>
              </w:rPr>
              <w:t>p</w:t>
            </w:r>
            <w:r w:rsidRPr="00520861">
              <w:rPr>
                <w:rFonts w:eastAsia="Calibri"/>
                <w:sz w:val="28"/>
                <w:szCs w:val="28"/>
              </w:rPr>
              <w:t>=0,654)</w:t>
            </w:r>
          </w:p>
        </w:tc>
        <w:tc>
          <w:tcPr>
            <w:tcW w:w="2183" w:type="dxa"/>
            <w:tcBorders>
              <w:top w:val="single" w:sz="4" w:space="0" w:color="auto"/>
              <w:left w:val="single" w:sz="4" w:space="0" w:color="auto"/>
              <w:bottom w:val="single" w:sz="4" w:space="0" w:color="auto"/>
              <w:right w:val="single" w:sz="4" w:space="0" w:color="auto"/>
            </w:tcBorders>
            <w:hideMark/>
          </w:tcPr>
          <w:p w14:paraId="08BDDEC6"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0,43</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=0,039)</w:t>
            </w:r>
          </w:p>
        </w:tc>
        <w:tc>
          <w:tcPr>
            <w:tcW w:w="2183" w:type="dxa"/>
            <w:tcBorders>
              <w:top w:val="single" w:sz="4" w:space="0" w:color="auto"/>
              <w:left w:val="single" w:sz="4" w:space="0" w:color="auto"/>
              <w:bottom w:val="single" w:sz="4" w:space="0" w:color="auto"/>
              <w:right w:val="single" w:sz="4" w:space="0" w:color="auto"/>
            </w:tcBorders>
            <w:hideMark/>
          </w:tcPr>
          <w:p w14:paraId="77180999"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Theme="minorHAnsi"/>
                <w:sz w:val="28"/>
                <w:szCs w:val="28"/>
                <w:lang w:eastAsia="en-US"/>
              </w:rPr>
              <w:t>0,43</w:t>
            </w:r>
            <w:r w:rsidRPr="00520861">
              <w:rPr>
                <w:rFonts w:eastAsia="Calibri"/>
                <w:sz w:val="28"/>
                <w:szCs w:val="28"/>
              </w:rPr>
              <w:t>*</w:t>
            </w:r>
            <w:r w:rsidRPr="00520861">
              <w:rPr>
                <w:rFonts w:eastAsia="Calibr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=0,039)</w:t>
            </w:r>
          </w:p>
        </w:tc>
        <w:tc>
          <w:tcPr>
            <w:tcW w:w="2183" w:type="dxa"/>
            <w:tcBorders>
              <w:top w:val="single" w:sz="4" w:space="0" w:color="auto"/>
              <w:left w:val="single" w:sz="4" w:space="0" w:color="auto"/>
              <w:bottom w:val="single" w:sz="4" w:space="0" w:color="auto"/>
              <w:right w:val="single" w:sz="4" w:space="0" w:color="auto"/>
            </w:tcBorders>
            <w:hideMark/>
          </w:tcPr>
          <w:p w14:paraId="70353135"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0,40 </w:t>
            </w:r>
            <w:r w:rsidRPr="00520861">
              <w:rPr>
                <w:rFonts w:eastAsia="Calibri"/>
                <w:sz w:val="28"/>
                <w:szCs w:val="28"/>
              </w:rPr>
              <w:t>(</w:t>
            </w:r>
            <w:r w:rsidRPr="00520861">
              <w:rPr>
                <w:rFonts w:eastAsia="Calibri"/>
                <w:i/>
                <w:sz w:val="28"/>
                <w:szCs w:val="28"/>
              </w:rPr>
              <w:t>p</w:t>
            </w:r>
            <w:r w:rsidRPr="00520861">
              <w:rPr>
                <w:rFonts w:eastAsia="Calibri"/>
                <w:sz w:val="28"/>
                <w:szCs w:val="28"/>
              </w:rPr>
              <w:t>=0,412)</w:t>
            </w:r>
          </w:p>
        </w:tc>
      </w:tr>
      <w:tr w:rsidR="002E3CE8" w:rsidRPr="00520861" w14:paraId="135E5C52" w14:textId="77777777" w:rsidTr="00292D2E">
        <w:tc>
          <w:tcPr>
            <w:tcW w:w="2857" w:type="dxa"/>
            <w:tcBorders>
              <w:top w:val="single" w:sz="4" w:space="0" w:color="auto"/>
              <w:left w:val="single" w:sz="4" w:space="0" w:color="auto"/>
              <w:bottom w:val="single" w:sz="4" w:space="0" w:color="auto"/>
              <w:right w:val="single" w:sz="4" w:space="0" w:color="auto"/>
            </w:tcBorders>
          </w:tcPr>
          <w:p w14:paraId="7B4DE1C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lang w:eastAsia="en-US"/>
              </w:rPr>
              <w:t>ВП-</w:t>
            </w:r>
            <w:r w:rsidRPr="00520861">
              <w:rPr>
                <w:sz w:val="28"/>
                <w:szCs w:val="28"/>
              </w:rPr>
              <w:t>VІ</w:t>
            </w:r>
          </w:p>
        </w:tc>
        <w:tc>
          <w:tcPr>
            <w:tcW w:w="776" w:type="dxa"/>
            <w:tcBorders>
              <w:top w:val="single" w:sz="4" w:space="0" w:color="auto"/>
              <w:left w:val="single" w:sz="4" w:space="0" w:color="auto"/>
              <w:bottom w:val="single" w:sz="4" w:space="0" w:color="auto"/>
              <w:right w:val="single" w:sz="4" w:space="0" w:color="auto"/>
            </w:tcBorders>
          </w:tcPr>
          <w:p w14:paraId="75DC60EB"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0,40</w:t>
            </w:r>
          </w:p>
        </w:tc>
        <w:tc>
          <w:tcPr>
            <w:tcW w:w="2183" w:type="dxa"/>
            <w:tcBorders>
              <w:top w:val="single" w:sz="4" w:space="0" w:color="auto"/>
              <w:left w:val="single" w:sz="4" w:space="0" w:color="auto"/>
              <w:bottom w:val="single" w:sz="4" w:space="0" w:color="auto"/>
              <w:right w:val="single" w:sz="4" w:space="0" w:color="auto"/>
            </w:tcBorders>
          </w:tcPr>
          <w:p w14:paraId="227F037F"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0,44</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=0,047)</w:t>
            </w:r>
          </w:p>
        </w:tc>
        <w:tc>
          <w:tcPr>
            <w:tcW w:w="2183" w:type="dxa"/>
            <w:tcBorders>
              <w:top w:val="single" w:sz="4" w:space="0" w:color="auto"/>
              <w:left w:val="single" w:sz="4" w:space="0" w:color="auto"/>
              <w:bottom w:val="single" w:sz="4" w:space="0" w:color="auto"/>
              <w:right w:val="single" w:sz="4" w:space="0" w:color="auto"/>
            </w:tcBorders>
          </w:tcPr>
          <w:p w14:paraId="7DB5D6CE"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0,45</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=0,002)</w:t>
            </w:r>
          </w:p>
        </w:tc>
        <w:tc>
          <w:tcPr>
            <w:tcW w:w="2183" w:type="dxa"/>
            <w:tcBorders>
              <w:top w:val="single" w:sz="4" w:space="0" w:color="auto"/>
              <w:left w:val="single" w:sz="4" w:space="0" w:color="auto"/>
              <w:bottom w:val="single" w:sz="4" w:space="0" w:color="auto"/>
              <w:right w:val="single" w:sz="4" w:space="0" w:color="auto"/>
            </w:tcBorders>
          </w:tcPr>
          <w:p w14:paraId="43FE9B77"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0,45 </w:t>
            </w:r>
            <w:r w:rsidRPr="00520861">
              <w:rPr>
                <w:rFonts w:eastAsia="Calibri"/>
                <w:sz w:val="28"/>
                <w:szCs w:val="28"/>
              </w:rPr>
              <w:t>(</w:t>
            </w:r>
            <w:r w:rsidRPr="00520861">
              <w:rPr>
                <w:rFonts w:eastAsia="Calibri"/>
                <w:i/>
                <w:sz w:val="28"/>
                <w:szCs w:val="28"/>
              </w:rPr>
              <w:t>p</w:t>
            </w:r>
            <w:r w:rsidRPr="00520861">
              <w:rPr>
                <w:rFonts w:eastAsia="Calibri"/>
                <w:sz w:val="28"/>
                <w:szCs w:val="28"/>
              </w:rPr>
              <w:t>=0,254)</w:t>
            </w:r>
          </w:p>
        </w:tc>
        <w:tc>
          <w:tcPr>
            <w:tcW w:w="2183" w:type="dxa"/>
            <w:tcBorders>
              <w:top w:val="single" w:sz="4" w:space="0" w:color="auto"/>
              <w:left w:val="single" w:sz="4" w:space="0" w:color="auto"/>
              <w:bottom w:val="single" w:sz="4" w:space="0" w:color="auto"/>
              <w:right w:val="single" w:sz="4" w:space="0" w:color="auto"/>
            </w:tcBorders>
          </w:tcPr>
          <w:p w14:paraId="199EFD2C"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0,44 </w:t>
            </w:r>
            <w:r w:rsidRPr="00520861">
              <w:rPr>
                <w:rFonts w:eastAsia="Calibri"/>
                <w:sz w:val="28"/>
                <w:szCs w:val="28"/>
              </w:rPr>
              <w:t>(</w:t>
            </w:r>
            <w:r w:rsidRPr="00520861">
              <w:rPr>
                <w:rFonts w:eastAsia="Calibri"/>
                <w:i/>
                <w:sz w:val="28"/>
                <w:szCs w:val="28"/>
              </w:rPr>
              <w:t>p</w:t>
            </w:r>
            <w:r w:rsidRPr="00520861">
              <w:rPr>
                <w:rFonts w:eastAsia="Calibri"/>
                <w:sz w:val="28"/>
                <w:szCs w:val="28"/>
              </w:rPr>
              <w:t>=0,281)</w:t>
            </w:r>
          </w:p>
        </w:tc>
        <w:tc>
          <w:tcPr>
            <w:tcW w:w="2183" w:type="dxa"/>
            <w:tcBorders>
              <w:top w:val="single" w:sz="4" w:space="0" w:color="auto"/>
              <w:left w:val="single" w:sz="4" w:space="0" w:color="auto"/>
              <w:bottom w:val="single" w:sz="4" w:space="0" w:color="auto"/>
              <w:right w:val="single" w:sz="4" w:space="0" w:color="auto"/>
            </w:tcBorders>
          </w:tcPr>
          <w:p w14:paraId="03634BC4"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0,42 </w:t>
            </w:r>
            <w:r w:rsidRPr="00520861">
              <w:rPr>
                <w:rFonts w:eastAsia="Calibri"/>
                <w:sz w:val="28"/>
                <w:szCs w:val="28"/>
              </w:rPr>
              <w:t>(</w:t>
            </w:r>
            <w:r w:rsidRPr="00520861">
              <w:rPr>
                <w:rFonts w:eastAsia="Calibri"/>
                <w:i/>
                <w:sz w:val="28"/>
                <w:szCs w:val="28"/>
              </w:rPr>
              <w:t>p</w:t>
            </w:r>
            <w:r w:rsidRPr="00520861">
              <w:rPr>
                <w:rFonts w:eastAsia="Calibri"/>
                <w:sz w:val="28"/>
                <w:szCs w:val="28"/>
              </w:rPr>
              <w:t>=0,512)</w:t>
            </w:r>
          </w:p>
        </w:tc>
      </w:tr>
      <w:tr w:rsidR="002E3CE8" w:rsidRPr="00520861" w14:paraId="2C4C6A26" w14:textId="77777777" w:rsidTr="00292D2E">
        <w:tc>
          <w:tcPr>
            <w:tcW w:w="2857" w:type="dxa"/>
            <w:tcBorders>
              <w:top w:val="single" w:sz="4" w:space="0" w:color="auto"/>
              <w:left w:val="single" w:sz="4" w:space="0" w:color="auto"/>
              <w:bottom w:val="single" w:sz="4" w:space="0" w:color="auto"/>
              <w:right w:val="single" w:sz="4" w:space="0" w:color="auto"/>
            </w:tcBorders>
          </w:tcPr>
          <w:p w14:paraId="26087F8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lang w:eastAsia="en-US"/>
              </w:rPr>
              <w:t>ВП-</w:t>
            </w:r>
            <w:r w:rsidRPr="00520861">
              <w:rPr>
                <w:sz w:val="28"/>
                <w:szCs w:val="28"/>
              </w:rPr>
              <w:t>VІІ</w:t>
            </w:r>
          </w:p>
        </w:tc>
        <w:tc>
          <w:tcPr>
            <w:tcW w:w="776" w:type="dxa"/>
            <w:tcBorders>
              <w:top w:val="single" w:sz="4" w:space="0" w:color="auto"/>
              <w:left w:val="single" w:sz="4" w:space="0" w:color="auto"/>
              <w:bottom w:val="single" w:sz="4" w:space="0" w:color="auto"/>
              <w:right w:val="single" w:sz="4" w:space="0" w:color="auto"/>
            </w:tcBorders>
          </w:tcPr>
          <w:p w14:paraId="2F10E0F7"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0,38</w:t>
            </w:r>
          </w:p>
        </w:tc>
        <w:tc>
          <w:tcPr>
            <w:tcW w:w="2183" w:type="dxa"/>
            <w:tcBorders>
              <w:top w:val="single" w:sz="4" w:space="0" w:color="auto"/>
              <w:left w:val="single" w:sz="4" w:space="0" w:color="auto"/>
              <w:bottom w:val="single" w:sz="4" w:space="0" w:color="auto"/>
              <w:right w:val="single" w:sz="4" w:space="0" w:color="auto"/>
            </w:tcBorders>
          </w:tcPr>
          <w:p w14:paraId="359340CB"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0,46</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=0,000)</w:t>
            </w:r>
          </w:p>
        </w:tc>
        <w:tc>
          <w:tcPr>
            <w:tcW w:w="2183" w:type="dxa"/>
            <w:tcBorders>
              <w:top w:val="single" w:sz="4" w:space="0" w:color="auto"/>
              <w:left w:val="single" w:sz="4" w:space="0" w:color="auto"/>
              <w:bottom w:val="single" w:sz="4" w:space="0" w:color="auto"/>
              <w:right w:val="single" w:sz="4" w:space="0" w:color="auto"/>
            </w:tcBorders>
          </w:tcPr>
          <w:p w14:paraId="6D297626"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0,46</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=0,003)</w:t>
            </w:r>
          </w:p>
        </w:tc>
        <w:tc>
          <w:tcPr>
            <w:tcW w:w="2183" w:type="dxa"/>
            <w:tcBorders>
              <w:top w:val="single" w:sz="4" w:space="0" w:color="auto"/>
              <w:left w:val="single" w:sz="4" w:space="0" w:color="auto"/>
              <w:bottom w:val="single" w:sz="4" w:space="0" w:color="auto"/>
              <w:right w:val="single" w:sz="4" w:space="0" w:color="auto"/>
            </w:tcBorders>
          </w:tcPr>
          <w:p w14:paraId="6AA677CE"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0,46</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=0,002)</w:t>
            </w:r>
          </w:p>
        </w:tc>
        <w:tc>
          <w:tcPr>
            <w:tcW w:w="2183" w:type="dxa"/>
            <w:tcBorders>
              <w:top w:val="single" w:sz="4" w:space="0" w:color="auto"/>
              <w:left w:val="single" w:sz="4" w:space="0" w:color="auto"/>
              <w:bottom w:val="single" w:sz="4" w:space="0" w:color="auto"/>
              <w:right w:val="single" w:sz="4" w:space="0" w:color="auto"/>
            </w:tcBorders>
          </w:tcPr>
          <w:p w14:paraId="0F4EF82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0,51</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lang w:val="en-US"/>
              </w:rPr>
              <w:t>&lt;</w:t>
            </w:r>
            <w:r w:rsidRPr="00520861">
              <w:rPr>
                <w:rFonts w:eastAsia="Calibri"/>
                <w:sz w:val="28"/>
                <w:szCs w:val="28"/>
              </w:rPr>
              <w:t>0,001)</w:t>
            </w:r>
          </w:p>
        </w:tc>
        <w:tc>
          <w:tcPr>
            <w:tcW w:w="2183" w:type="dxa"/>
            <w:tcBorders>
              <w:top w:val="single" w:sz="4" w:space="0" w:color="auto"/>
              <w:left w:val="single" w:sz="4" w:space="0" w:color="auto"/>
              <w:bottom w:val="single" w:sz="4" w:space="0" w:color="auto"/>
              <w:right w:val="single" w:sz="4" w:space="0" w:color="auto"/>
            </w:tcBorders>
          </w:tcPr>
          <w:p w14:paraId="63937DC2"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0,44</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=0,013)</w:t>
            </w:r>
          </w:p>
        </w:tc>
      </w:tr>
      <w:tr w:rsidR="002E3CE8" w:rsidRPr="00520861" w14:paraId="2C54FEE7" w14:textId="77777777" w:rsidTr="00292D2E">
        <w:tc>
          <w:tcPr>
            <w:tcW w:w="2857" w:type="dxa"/>
            <w:tcBorders>
              <w:top w:val="single" w:sz="4" w:space="0" w:color="auto"/>
              <w:left w:val="single" w:sz="4" w:space="0" w:color="auto"/>
              <w:bottom w:val="single" w:sz="4" w:space="0" w:color="auto"/>
              <w:right w:val="single" w:sz="4" w:space="0" w:color="auto"/>
            </w:tcBorders>
          </w:tcPr>
          <w:p w14:paraId="0A90F226"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Theme="minorHAnsi"/>
                <w:sz w:val="28"/>
                <w:szCs w:val="28"/>
                <w:lang w:eastAsia="en-US"/>
              </w:rPr>
              <w:t>ВП-</w:t>
            </w:r>
            <w:r w:rsidRPr="00520861">
              <w:rPr>
                <w:sz w:val="28"/>
                <w:szCs w:val="28"/>
              </w:rPr>
              <w:t>V</w:t>
            </w:r>
            <w:r w:rsidRPr="00520861">
              <w:rPr>
                <w:rFonts w:eastAsiaTheme="minorHAnsi"/>
                <w:sz w:val="28"/>
                <w:szCs w:val="28"/>
                <w:lang w:eastAsia="en-US"/>
              </w:rPr>
              <w:t>ІІІ</w:t>
            </w:r>
          </w:p>
        </w:tc>
        <w:tc>
          <w:tcPr>
            <w:tcW w:w="776" w:type="dxa"/>
            <w:tcBorders>
              <w:top w:val="single" w:sz="4" w:space="0" w:color="auto"/>
              <w:left w:val="single" w:sz="4" w:space="0" w:color="auto"/>
              <w:bottom w:val="single" w:sz="4" w:space="0" w:color="auto"/>
              <w:right w:val="single" w:sz="4" w:space="0" w:color="auto"/>
            </w:tcBorders>
          </w:tcPr>
          <w:p w14:paraId="75A65413"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0,36</w:t>
            </w:r>
          </w:p>
        </w:tc>
        <w:tc>
          <w:tcPr>
            <w:tcW w:w="2183" w:type="dxa"/>
            <w:tcBorders>
              <w:top w:val="single" w:sz="4" w:space="0" w:color="auto"/>
              <w:left w:val="single" w:sz="4" w:space="0" w:color="auto"/>
              <w:bottom w:val="single" w:sz="4" w:space="0" w:color="auto"/>
              <w:right w:val="single" w:sz="4" w:space="0" w:color="auto"/>
            </w:tcBorders>
          </w:tcPr>
          <w:p w14:paraId="08F4468E"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0,39 </w:t>
            </w:r>
            <w:r w:rsidRPr="00520861">
              <w:rPr>
                <w:rFonts w:eastAsia="Calibri"/>
                <w:sz w:val="28"/>
                <w:szCs w:val="28"/>
              </w:rPr>
              <w:t>(</w:t>
            </w:r>
            <w:r w:rsidRPr="00520861">
              <w:rPr>
                <w:rFonts w:eastAsia="Calibri"/>
                <w:i/>
                <w:sz w:val="28"/>
                <w:szCs w:val="28"/>
              </w:rPr>
              <w:t>p</w:t>
            </w:r>
            <w:r w:rsidRPr="00520861">
              <w:rPr>
                <w:rFonts w:eastAsia="Calibri"/>
                <w:sz w:val="28"/>
                <w:szCs w:val="28"/>
              </w:rPr>
              <w:t>=0,516)</w:t>
            </w:r>
          </w:p>
        </w:tc>
        <w:tc>
          <w:tcPr>
            <w:tcW w:w="2183" w:type="dxa"/>
            <w:tcBorders>
              <w:top w:val="single" w:sz="4" w:space="0" w:color="auto"/>
              <w:left w:val="single" w:sz="4" w:space="0" w:color="auto"/>
              <w:bottom w:val="single" w:sz="4" w:space="0" w:color="auto"/>
              <w:right w:val="single" w:sz="4" w:space="0" w:color="auto"/>
            </w:tcBorders>
          </w:tcPr>
          <w:p w14:paraId="1E436D8F"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0,36 </w:t>
            </w:r>
            <w:r w:rsidRPr="00520861">
              <w:rPr>
                <w:rFonts w:eastAsia="Calibri"/>
                <w:sz w:val="28"/>
                <w:szCs w:val="28"/>
              </w:rPr>
              <w:t>(</w:t>
            </w:r>
            <w:r w:rsidRPr="00520861">
              <w:rPr>
                <w:rFonts w:eastAsia="Calibri"/>
                <w:i/>
                <w:sz w:val="28"/>
                <w:szCs w:val="28"/>
              </w:rPr>
              <w:t>p</w:t>
            </w:r>
            <w:r w:rsidRPr="00520861">
              <w:rPr>
                <w:rFonts w:eastAsia="Calibri"/>
                <w:sz w:val="28"/>
                <w:szCs w:val="28"/>
              </w:rPr>
              <w:t>=1,000)</w:t>
            </w:r>
          </w:p>
        </w:tc>
        <w:tc>
          <w:tcPr>
            <w:tcW w:w="2183" w:type="dxa"/>
            <w:tcBorders>
              <w:top w:val="single" w:sz="4" w:space="0" w:color="auto"/>
              <w:left w:val="single" w:sz="4" w:space="0" w:color="auto"/>
              <w:bottom w:val="single" w:sz="4" w:space="0" w:color="auto"/>
              <w:right w:val="single" w:sz="4" w:space="0" w:color="auto"/>
            </w:tcBorders>
          </w:tcPr>
          <w:p w14:paraId="1BCED4BA"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0,36 </w:t>
            </w:r>
            <w:r w:rsidRPr="00520861">
              <w:rPr>
                <w:rFonts w:eastAsia="Calibri"/>
                <w:sz w:val="28"/>
                <w:szCs w:val="28"/>
              </w:rPr>
              <w:t>(</w:t>
            </w:r>
            <w:r w:rsidRPr="00520861">
              <w:rPr>
                <w:rFonts w:eastAsia="Calibri"/>
                <w:i/>
                <w:sz w:val="28"/>
                <w:szCs w:val="28"/>
              </w:rPr>
              <w:t>p</w:t>
            </w:r>
            <w:r w:rsidRPr="00520861">
              <w:rPr>
                <w:rFonts w:eastAsia="Calibri"/>
                <w:sz w:val="28"/>
                <w:szCs w:val="28"/>
              </w:rPr>
              <w:t>=0,659)</w:t>
            </w:r>
          </w:p>
        </w:tc>
        <w:tc>
          <w:tcPr>
            <w:tcW w:w="2183" w:type="dxa"/>
            <w:tcBorders>
              <w:top w:val="single" w:sz="4" w:space="0" w:color="auto"/>
              <w:left w:val="single" w:sz="4" w:space="0" w:color="auto"/>
              <w:bottom w:val="single" w:sz="4" w:space="0" w:color="auto"/>
              <w:right w:val="single" w:sz="4" w:space="0" w:color="auto"/>
            </w:tcBorders>
          </w:tcPr>
          <w:p w14:paraId="68C3ABE0"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0,46</w:t>
            </w:r>
            <w:r w:rsidRPr="00520861">
              <w:rPr>
                <w:rFonts w:eastAsia="Calibri"/>
                <w:sz w:val="28"/>
                <w:szCs w:val="28"/>
              </w:rPr>
              <w:t>*</w:t>
            </w:r>
            <w:r w:rsidRPr="00520861">
              <w:rPr>
                <w:rFonts w:eastAsiaTheme="minorHAnsi"/>
                <w:sz w:val="28"/>
                <w:szCs w:val="28"/>
                <w:lang w:eastAsia="en-US"/>
              </w:rPr>
              <w:t xml:space="preserve"> </w:t>
            </w:r>
            <w:r w:rsidRPr="00520861">
              <w:rPr>
                <w:rFonts w:eastAsia="Calibri"/>
                <w:sz w:val="28"/>
                <w:szCs w:val="28"/>
              </w:rPr>
              <w:t>(</w:t>
            </w:r>
            <w:r w:rsidRPr="00520861">
              <w:rPr>
                <w:rFonts w:eastAsia="Calibri"/>
                <w:i/>
                <w:sz w:val="28"/>
                <w:szCs w:val="28"/>
              </w:rPr>
              <w:t>p</w:t>
            </w:r>
            <w:r w:rsidRPr="00520861">
              <w:rPr>
                <w:rFonts w:eastAsia="Calibri"/>
                <w:sz w:val="28"/>
                <w:szCs w:val="28"/>
              </w:rPr>
              <w:t>=0,002)</w:t>
            </w:r>
          </w:p>
        </w:tc>
        <w:tc>
          <w:tcPr>
            <w:tcW w:w="2183" w:type="dxa"/>
            <w:tcBorders>
              <w:top w:val="single" w:sz="4" w:space="0" w:color="auto"/>
              <w:left w:val="single" w:sz="4" w:space="0" w:color="auto"/>
              <w:bottom w:val="single" w:sz="4" w:space="0" w:color="auto"/>
              <w:right w:val="single" w:sz="4" w:space="0" w:color="auto"/>
            </w:tcBorders>
          </w:tcPr>
          <w:p w14:paraId="35A59514"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 xml:space="preserve">0,37 </w:t>
            </w:r>
            <w:r w:rsidRPr="00520861">
              <w:rPr>
                <w:rFonts w:eastAsia="Calibri"/>
                <w:sz w:val="28"/>
                <w:szCs w:val="28"/>
              </w:rPr>
              <w:t>(</w:t>
            </w:r>
            <w:r w:rsidRPr="00520861">
              <w:rPr>
                <w:rFonts w:eastAsia="Calibri"/>
                <w:i/>
                <w:sz w:val="28"/>
                <w:szCs w:val="28"/>
              </w:rPr>
              <w:t>p</w:t>
            </w:r>
            <w:r w:rsidRPr="00520861">
              <w:rPr>
                <w:rFonts w:eastAsia="Calibri"/>
                <w:sz w:val="28"/>
                <w:szCs w:val="28"/>
              </w:rPr>
              <w:t>=0,744)</w:t>
            </w:r>
          </w:p>
        </w:tc>
      </w:tr>
    </w:tbl>
    <w:p w14:paraId="53C3A734" w14:textId="77777777" w:rsidR="002E3CE8" w:rsidRPr="00520861" w:rsidRDefault="002E3CE8" w:rsidP="00292D2E">
      <w:pPr>
        <w:widowControl w:val="0"/>
        <w:spacing w:line="360" w:lineRule="auto"/>
        <w:ind w:firstLine="708"/>
        <w:jc w:val="both"/>
        <w:rPr>
          <w:sz w:val="28"/>
          <w:szCs w:val="28"/>
        </w:rPr>
      </w:pPr>
      <w:r w:rsidRPr="00520861">
        <w:rPr>
          <w:sz w:val="28"/>
          <w:szCs w:val="28"/>
        </w:rPr>
        <w:t xml:space="preserve">Примітка: * – різниця між ОГ і ГП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13F25414" w14:textId="77777777" w:rsidR="002E3CE8" w:rsidRPr="00520861" w:rsidRDefault="002E3CE8" w:rsidP="00292D2E">
      <w:pPr>
        <w:widowControl w:val="0"/>
        <w:spacing w:line="360" w:lineRule="auto"/>
        <w:jc w:val="both"/>
        <w:rPr>
          <w:rFonts w:eastAsia="Calibri"/>
          <w:sz w:val="28"/>
          <w:szCs w:val="28"/>
        </w:rPr>
      </w:pPr>
    </w:p>
    <w:p w14:paraId="5290431B" w14:textId="77777777" w:rsidR="002E3CE8" w:rsidRPr="00520861" w:rsidRDefault="002E3CE8" w:rsidP="00292D2E">
      <w:pPr>
        <w:widowControl w:val="0"/>
        <w:spacing w:line="360" w:lineRule="auto"/>
        <w:ind w:firstLine="709"/>
        <w:contextualSpacing/>
        <w:jc w:val="both"/>
        <w:rPr>
          <w:rFonts w:eastAsia="Calibri"/>
          <w:sz w:val="28"/>
          <w:szCs w:val="28"/>
          <w:lang w:eastAsia="en-US"/>
        </w:rPr>
        <w:sectPr w:rsidR="002E3CE8" w:rsidRPr="00520861" w:rsidSect="00292D2E">
          <w:pgSz w:w="16838" w:h="11906" w:orient="landscape"/>
          <w:pgMar w:top="1134" w:right="1134" w:bottom="567" w:left="1134" w:header="709" w:footer="709" w:gutter="0"/>
          <w:cols w:space="708"/>
          <w:docGrid w:linePitch="360"/>
        </w:sectPr>
      </w:pPr>
    </w:p>
    <w:p w14:paraId="036B335C" w14:textId="77777777" w:rsidR="002E3CE8" w:rsidRPr="00520861" w:rsidRDefault="002E3CE8" w:rsidP="00292D2E">
      <w:pPr>
        <w:widowControl w:val="0"/>
        <w:autoSpaceDE w:val="0"/>
        <w:autoSpaceDN w:val="0"/>
        <w:adjustRightInd w:val="0"/>
        <w:spacing w:line="360" w:lineRule="auto"/>
        <w:ind w:firstLine="708"/>
        <w:jc w:val="both"/>
        <w:rPr>
          <w:rFonts w:eastAsia="Calibri"/>
          <w:b/>
          <w:color w:val="000000"/>
          <w:sz w:val="28"/>
          <w:szCs w:val="28"/>
          <w:lang w:eastAsia="en-US"/>
        </w:rPr>
      </w:pPr>
      <w:r w:rsidRPr="00520861">
        <w:rPr>
          <w:rFonts w:eastAsiaTheme="minorHAnsi"/>
          <w:color w:val="000000"/>
          <w:sz w:val="28"/>
          <w:szCs w:val="28"/>
          <w:lang w:eastAsia="en-US"/>
        </w:rPr>
        <w:lastRenderedPageBreak/>
        <w:t xml:space="preserve">Змикання ікл по ІІІ-му класу за </w:t>
      </w:r>
      <w:proofErr w:type="spellStart"/>
      <w:r w:rsidRPr="00520861">
        <w:rPr>
          <w:rFonts w:eastAsiaTheme="minorHAnsi"/>
          <w:color w:val="000000"/>
          <w:sz w:val="28"/>
          <w:szCs w:val="28"/>
          <w:lang w:eastAsia="en-US"/>
        </w:rPr>
        <w:t>Енглем</w:t>
      </w:r>
      <w:proofErr w:type="spellEnd"/>
      <w:r w:rsidRPr="00520861">
        <w:rPr>
          <w:rFonts w:eastAsiaTheme="minorHAnsi"/>
          <w:color w:val="000000"/>
          <w:sz w:val="28"/>
          <w:szCs w:val="28"/>
          <w:lang w:eastAsia="en-US"/>
        </w:rPr>
        <w:t xml:space="preserve"> (рис. 5.25) було діагностовано у 26 (18,6% ДІ: 13,1% – 25,2%) осіб ОГ (по підгрупах: 8 (24,2% ДІ: 13,3% – 38,9%), 1 (4,2% ДІ: 1,0% – 14,2%), 4 (13,8% ДІ: 5,8% – 27,4%), 13 (24,1% ДІ: 15,0% – 35,6%)) та в 6 (7,6% ДІ: 3,6% – 14,2%) осіб ГП.</w:t>
      </w:r>
    </w:p>
    <w:p w14:paraId="429E0E03"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При оцінюванні змикання різців у вертикальній площині виявлено, що глибокий прикус мали 68 (48,6% ДІ: 40,7% – 56,5%) осіб ОГ (по підгрупах: 18 (54,5% ДІ: 39,2% – 69,2%), 15 (62,5% ДІ: 44,7% – 77,9%), 12 (41,4% ДІ: 26,4% – 57,7%), 23 (42,6% ДІ: 30,9% – 55,0%)), що вірогідно вище, ніж в осіб ГП, де таку аномалію мали 13 (16,5% ДІ: 10,0% – 25,0%) осіб.</w:t>
      </w:r>
    </w:p>
    <w:p w14:paraId="448C6EC5"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Відкритий прикус мали 13 (9,3% ДІ: 5,6% – 14,5%) осіб ОГ (по підгрупах: 3 (9,1% ДІ: 3,4% – 20,2%), 1 (4,2% ДІ: 1,0% – 14,2%), 3 (10,3% ДІ: 3,9% – 22,8%), 6 (11,1% ДІ: 5,4% – 20,3%). В осіб ГП таке порушення виявлено не було (0,0% ДІ: 0,0% – 4,6%).</w:t>
      </w:r>
    </w:p>
    <w:p w14:paraId="5A8241B3" w14:textId="77777777" w:rsidR="002E3CE8" w:rsidRPr="00520861" w:rsidRDefault="002E3CE8" w:rsidP="00292D2E">
      <w:pPr>
        <w:widowControl w:val="0"/>
        <w:spacing w:after="160" w:line="259" w:lineRule="auto"/>
        <w:jc w:val="center"/>
        <w:rPr>
          <w:rFonts w:eastAsia="Calibri"/>
          <w:i/>
          <w:sz w:val="28"/>
          <w:szCs w:val="28"/>
          <w:lang w:eastAsia="en-US"/>
        </w:rPr>
      </w:pPr>
      <w:r w:rsidRPr="00520861">
        <w:rPr>
          <w:rFonts w:eastAsia="Calibri"/>
          <w:i/>
          <w:noProof/>
          <w:sz w:val="28"/>
          <w:szCs w:val="28"/>
          <w:lang w:val="ru-RU"/>
        </w:rPr>
        <w:drawing>
          <wp:inline distT="0" distB="0" distL="0" distR="0" wp14:anchorId="1A5E5BC5" wp14:editId="30F34E90">
            <wp:extent cx="3355200" cy="2520000"/>
            <wp:effectExtent l="0" t="0" r="0" b="0"/>
            <wp:docPr id="97" name="Рисунок 97" descr="D:\дд\фото\макросомы 11-17\красные\соня белько\IMG_0216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дд\фото\макросомы 11-17\красные\соня белько\IMG_0216    нов.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355200" cy="2520000"/>
                    </a:xfrm>
                    <a:prstGeom prst="rect">
                      <a:avLst/>
                    </a:prstGeom>
                    <a:noFill/>
                    <a:ln>
                      <a:noFill/>
                    </a:ln>
                  </pic:spPr>
                </pic:pic>
              </a:graphicData>
            </a:graphic>
          </wp:inline>
        </w:drawing>
      </w:r>
    </w:p>
    <w:p w14:paraId="521F4A77" w14:textId="77777777" w:rsidR="002E3CE8" w:rsidRPr="00520861" w:rsidRDefault="002E3CE8" w:rsidP="00292D2E">
      <w:pPr>
        <w:widowControl w:val="0"/>
        <w:spacing w:line="360" w:lineRule="auto"/>
        <w:ind w:firstLine="708"/>
        <w:jc w:val="center"/>
        <w:rPr>
          <w:sz w:val="28"/>
          <w:szCs w:val="28"/>
        </w:rPr>
      </w:pPr>
      <w:r w:rsidRPr="00520861">
        <w:rPr>
          <w:sz w:val="28"/>
          <w:szCs w:val="28"/>
        </w:rPr>
        <w:t xml:space="preserve">Рис. 5.25. </w:t>
      </w:r>
      <w:r w:rsidRPr="00520861">
        <w:rPr>
          <w:bCs/>
          <w:iCs/>
          <w:sz w:val="28"/>
          <w:szCs w:val="28"/>
        </w:rPr>
        <w:t>Фото</w:t>
      </w:r>
      <w:r w:rsidRPr="00520861">
        <w:rPr>
          <w:sz w:val="28"/>
          <w:szCs w:val="28"/>
        </w:rPr>
        <w:t xml:space="preserve"> </w:t>
      </w:r>
      <w:r w:rsidRPr="00520861">
        <w:rPr>
          <w:bCs/>
          <w:iCs/>
          <w:sz w:val="28"/>
          <w:szCs w:val="28"/>
        </w:rPr>
        <w:t>фронтальної ділянки</w:t>
      </w:r>
      <w:r w:rsidRPr="00520861">
        <w:rPr>
          <w:sz w:val="28"/>
          <w:szCs w:val="28"/>
        </w:rPr>
        <w:t xml:space="preserve"> порожнини рота пацієнтки Б., 17 років, амб. карта № 172981, підгрупа 3</w:t>
      </w:r>
      <w:r w:rsidRPr="00520861">
        <w:rPr>
          <w:rFonts w:eastAsia="Calibri"/>
          <w:sz w:val="28"/>
          <w:szCs w:val="28"/>
        </w:rPr>
        <w:t xml:space="preserve">. </w:t>
      </w:r>
      <w:r w:rsidRPr="00520861">
        <w:rPr>
          <w:sz w:val="28"/>
          <w:szCs w:val="28"/>
        </w:rPr>
        <w:t xml:space="preserve">Аномалія ІІІ-го класу за </w:t>
      </w:r>
      <w:proofErr w:type="spellStart"/>
      <w:r w:rsidRPr="00520861">
        <w:rPr>
          <w:sz w:val="28"/>
          <w:szCs w:val="28"/>
        </w:rPr>
        <w:t>Енглем</w:t>
      </w:r>
      <w:proofErr w:type="spellEnd"/>
      <w:r w:rsidRPr="00520861">
        <w:rPr>
          <w:sz w:val="28"/>
          <w:szCs w:val="28"/>
        </w:rPr>
        <w:t xml:space="preserve">, </w:t>
      </w:r>
      <w:proofErr w:type="spellStart"/>
      <w:r w:rsidRPr="00520861">
        <w:rPr>
          <w:sz w:val="28"/>
          <w:szCs w:val="28"/>
        </w:rPr>
        <w:t>гнатична</w:t>
      </w:r>
      <w:proofErr w:type="spellEnd"/>
      <w:r w:rsidRPr="00520861">
        <w:rPr>
          <w:sz w:val="28"/>
          <w:szCs w:val="28"/>
        </w:rPr>
        <w:t xml:space="preserve"> форма, </w:t>
      </w:r>
      <w:proofErr w:type="spellStart"/>
      <w:r w:rsidRPr="00520861">
        <w:rPr>
          <w:sz w:val="28"/>
          <w:szCs w:val="28"/>
        </w:rPr>
        <w:t>макрогнатія</w:t>
      </w:r>
      <w:proofErr w:type="spellEnd"/>
      <w:r w:rsidRPr="00520861">
        <w:rPr>
          <w:sz w:val="28"/>
          <w:szCs w:val="28"/>
        </w:rPr>
        <w:t xml:space="preserve"> нижньої щелепи, вертикальний тип щелепного росту, що </w:t>
      </w:r>
      <w:r w:rsidRPr="00520861">
        <w:rPr>
          <w:sz w:val="28"/>
          <w:szCs w:val="28"/>
        </w:rPr>
        <w:br/>
        <w:t xml:space="preserve">обтяжується відкритим прикусом, </w:t>
      </w:r>
      <w:proofErr w:type="spellStart"/>
      <w:r w:rsidRPr="00520861">
        <w:rPr>
          <w:sz w:val="28"/>
          <w:szCs w:val="28"/>
        </w:rPr>
        <w:t>гнатична</w:t>
      </w:r>
      <w:proofErr w:type="spellEnd"/>
      <w:r w:rsidRPr="00520861">
        <w:rPr>
          <w:sz w:val="28"/>
          <w:szCs w:val="28"/>
        </w:rPr>
        <w:t xml:space="preserve"> форма, обтяжена двостороннім </w:t>
      </w:r>
      <w:r w:rsidRPr="00520861">
        <w:rPr>
          <w:sz w:val="28"/>
          <w:szCs w:val="28"/>
        </w:rPr>
        <w:br/>
      </w:r>
      <w:proofErr w:type="spellStart"/>
      <w:r w:rsidRPr="00520861">
        <w:rPr>
          <w:sz w:val="28"/>
          <w:szCs w:val="28"/>
        </w:rPr>
        <w:t>букальним</w:t>
      </w:r>
      <w:proofErr w:type="spellEnd"/>
      <w:r w:rsidRPr="00520861">
        <w:rPr>
          <w:sz w:val="28"/>
          <w:szCs w:val="28"/>
        </w:rPr>
        <w:t xml:space="preserve"> перехресним прикусом зі зміщенням нижньої щелепи вліво. На фоні </w:t>
      </w:r>
      <w:r w:rsidRPr="00520861">
        <w:rPr>
          <w:sz w:val="28"/>
          <w:szCs w:val="28"/>
        </w:rPr>
        <w:br/>
        <w:t xml:space="preserve">«тонкого» біотипу тканин </w:t>
      </w:r>
      <w:proofErr w:type="spellStart"/>
      <w:r w:rsidRPr="00520861">
        <w:rPr>
          <w:sz w:val="28"/>
          <w:szCs w:val="28"/>
        </w:rPr>
        <w:t>пародонта</w:t>
      </w:r>
      <w:proofErr w:type="spellEnd"/>
      <w:r w:rsidRPr="00520861">
        <w:rPr>
          <w:sz w:val="28"/>
          <w:szCs w:val="28"/>
        </w:rPr>
        <w:t xml:space="preserve"> виражені </w:t>
      </w:r>
      <w:proofErr w:type="spellStart"/>
      <w:r w:rsidRPr="00520861">
        <w:rPr>
          <w:sz w:val="28"/>
          <w:szCs w:val="28"/>
        </w:rPr>
        <w:t>генералізовані</w:t>
      </w:r>
      <w:proofErr w:type="spellEnd"/>
      <w:r w:rsidRPr="00520861">
        <w:rPr>
          <w:sz w:val="28"/>
          <w:szCs w:val="28"/>
        </w:rPr>
        <w:t xml:space="preserve"> зміни з превалюванням дистрофічного компонента, рецесія ясен. Гіпоплазія 12, 22 зубів. </w:t>
      </w:r>
    </w:p>
    <w:p w14:paraId="15789A4A" w14:textId="77777777" w:rsidR="002E3CE8" w:rsidRPr="00520861" w:rsidRDefault="002E3CE8" w:rsidP="00292D2E">
      <w:pPr>
        <w:widowControl w:val="0"/>
        <w:spacing w:line="360" w:lineRule="auto"/>
        <w:ind w:firstLine="708"/>
        <w:jc w:val="center"/>
        <w:rPr>
          <w:sz w:val="28"/>
          <w:szCs w:val="28"/>
        </w:rPr>
      </w:pPr>
      <w:r w:rsidRPr="00520861">
        <w:rPr>
          <w:sz w:val="28"/>
          <w:szCs w:val="28"/>
        </w:rPr>
        <w:t>Локалізований катаральний гінгівіт у ділянці 13 – 11 зубів.</w:t>
      </w:r>
    </w:p>
    <w:p w14:paraId="4EC3C14E" w14:textId="77777777" w:rsidR="002E3CE8" w:rsidRPr="00520861" w:rsidRDefault="002E3CE8" w:rsidP="00292D2E">
      <w:pPr>
        <w:widowControl w:val="0"/>
        <w:spacing w:line="360" w:lineRule="auto"/>
        <w:ind w:firstLine="709"/>
        <w:contextualSpacing/>
        <w:jc w:val="both"/>
        <w:rPr>
          <w:rFonts w:eastAsiaTheme="minorHAnsi"/>
          <w:sz w:val="28"/>
          <w:szCs w:val="28"/>
          <w:lang w:eastAsia="en-US"/>
        </w:rPr>
      </w:pPr>
      <w:r w:rsidRPr="00520861">
        <w:rPr>
          <w:rFonts w:eastAsia="Calibri"/>
          <w:sz w:val="28"/>
          <w:szCs w:val="28"/>
          <w:lang w:eastAsia="en-US"/>
        </w:rPr>
        <w:lastRenderedPageBreak/>
        <w:t xml:space="preserve">При дослідженні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 xml:space="preserve">-піднебінному та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напрямку</w:t>
      </w:r>
      <w:r w:rsidRPr="00520861">
        <w:rPr>
          <w:rFonts w:eastAsiaTheme="minorHAnsi"/>
          <w:sz w:val="28"/>
          <w:szCs w:val="28"/>
          <w:lang w:eastAsia="en-US"/>
        </w:rPr>
        <w:t xml:space="preserve"> (бічна ділянка) виявлено, що перехресний прикус мали 46 (32,9% ДІ: 25,8% – 40,6%) осіб ОГ (по підгрупах: 9 (27,3% ДІ: 15,6% – 42,3%), 11 (45,8% ДІ: 29,1% – 63,4%), 9 (31,0% ДІ: 17,9% – 47,2%), 17 (31,5% ДІ: 21,1% – 43,6%)) та 5 (6,3% ДІ: 2,8% – 12,5%) осіб ГП.</w:t>
      </w:r>
    </w:p>
    <w:p w14:paraId="46DB9E8F"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 xml:space="preserve">-піднебінному та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w:t>
      </w:r>
      <w:r w:rsidRPr="00520861">
        <w:rPr>
          <w:rFonts w:eastAsia="Calibri"/>
          <w:sz w:val="28"/>
          <w:szCs w:val="28"/>
          <w:lang w:eastAsia="en-US"/>
        </w:rPr>
        <w:br/>
        <w:t xml:space="preserve">напрямку (фронтальна ділянка) виявило, що зміщення середньої лінії було в 78 (55,7% ДІ: 47,8% </w:t>
      </w:r>
      <w:r w:rsidRPr="00520861">
        <w:rPr>
          <w:rFonts w:eastAsiaTheme="minorHAnsi"/>
          <w:sz w:val="28"/>
          <w:szCs w:val="28"/>
          <w:lang w:eastAsia="en-US"/>
        </w:rPr>
        <w:t>–</w:t>
      </w:r>
      <w:r w:rsidRPr="00520861">
        <w:rPr>
          <w:rFonts w:eastAsia="Calibri"/>
          <w:sz w:val="28"/>
          <w:szCs w:val="28"/>
          <w:lang w:eastAsia="en-US"/>
        </w:rPr>
        <w:t xml:space="preserve"> 63,4%) осіб ОГ (по підгрупах: 15 (45,5% ДІ: 30,8% </w:t>
      </w:r>
      <w:r w:rsidRPr="00520861">
        <w:rPr>
          <w:rFonts w:eastAsiaTheme="minorHAnsi"/>
          <w:sz w:val="28"/>
          <w:szCs w:val="28"/>
          <w:lang w:eastAsia="en-US"/>
        </w:rPr>
        <w:t>–</w:t>
      </w:r>
      <w:r w:rsidRPr="00520861">
        <w:rPr>
          <w:rFonts w:eastAsia="Calibri"/>
          <w:sz w:val="28"/>
          <w:szCs w:val="28"/>
          <w:lang w:eastAsia="en-US"/>
        </w:rPr>
        <w:t xml:space="preserve"> 60,8%), 13 (54,2% ДІ: 36,6% </w:t>
      </w:r>
      <w:r w:rsidRPr="00520861">
        <w:rPr>
          <w:rFonts w:eastAsiaTheme="minorHAnsi"/>
          <w:sz w:val="28"/>
          <w:szCs w:val="28"/>
          <w:lang w:eastAsia="en-US"/>
        </w:rPr>
        <w:t>–</w:t>
      </w:r>
      <w:r w:rsidRPr="00520861">
        <w:rPr>
          <w:rFonts w:eastAsia="Calibri"/>
          <w:sz w:val="28"/>
          <w:szCs w:val="28"/>
          <w:lang w:eastAsia="en-US"/>
        </w:rPr>
        <w:t xml:space="preserve"> 70,9%), 14 (48,3% ДІ: 32,5% </w:t>
      </w:r>
      <w:r w:rsidRPr="00520861">
        <w:rPr>
          <w:rFonts w:eastAsiaTheme="minorHAnsi"/>
          <w:sz w:val="28"/>
          <w:szCs w:val="28"/>
          <w:lang w:eastAsia="en-US"/>
        </w:rPr>
        <w:t>–</w:t>
      </w:r>
      <w:r w:rsidRPr="00520861">
        <w:rPr>
          <w:rFonts w:eastAsia="Calibri"/>
          <w:sz w:val="28"/>
          <w:szCs w:val="28"/>
          <w:lang w:eastAsia="en-US"/>
        </w:rPr>
        <w:t xml:space="preserve"> 64,3%), 36 (66,7% ДІ: 54,4% </w:t>
      </w:r>
      <w:r w:rsidRPr="00520861">
        <w:rPr>
          <w:rFonts w:eastAsiaTheme="minorHAnsi"/>
          <w:sz w:val="28"/>
          <w:szCs w:val="28"/>
          <w:lang w:eastAsia="en-US"/>
        </w:rPr>
        <w:t>–</w:t>
      </w:r>
      <w:r w:rsidRPr="00520861">
        <w:rPr>
          <w:rFonts w:eastAsia="Calibri"/>
          <w:sz w:val="28"/>
          <w:szCs w:val="28"/>
          <w:lang w:eastAsia="en-US"/>
        </w:rPr>
        <w:t xml:space="preserve"> 77,3%)) проти 26</w:t>
      </w:r>
      <w:r w:rsidRPr="00520861">
        <w:rPr>
          <w:rFonts w:eastAsiaTheme="minorHAnsi"/>
          <w:sz w:val="28"/>
          <w:szCs w:val="28"/>
          <w:lang w:eastAsia="en-US"/>
        </w:rPr>
        <w:t xml:space="preserve"> </w:t>
      </w:r>
      <w:r w:rsidRPr="00520861">
        <w:rPr>
          <w:rFonts w:eastAsia="Calibri"/>
          <w:sz w:val="28"/>
          <w:szCs w:val="28"/>
          <w:lang w:eastAsia="en-US"/>
        </w:rPr>
        <w:t xml:space="preserve">(32,9% ДІ: 23,9% </w:t>
      </w:r>
      <w:r w:rsidRPr="00520861">
        <w:rPr>
          <w:rFonts w:eastAsiaTheme="minorHAnsi"/>
          <w:sz w:val="28"/>
          <w:szCs w:val="28"/>
          <w:lang w:eastAsia="en-US"/>
        </w:rPr>
        <w:t>–</w:t>
      </w:r>
      <w:r w:rsidRPr="00520861">
        <w:rPr>
          <w:rFonts w:eastAsia="Calibri"/>
          <w:sz w:val="28"/>
          <w:szCs w:val="28"/>
          <w:lang w:eastAsia="en-US"/>
        </w:rPr>
        <w:t xml:space="preserve"> 43,1%) осіб ГП.</w:t>
      </w:r>
    </w:p>
    <w:p w14:paraId="725EA9E4"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Calibri"/>
          <w:sz w:val="28"/>
          <w:szCs w:val="28"/>
          <w:lang w:eastAsia="en-US"/>
        </w:rPr>
        <w:t xml:space="preserve">Дослідження КДМ </w:t>
      </w:r>
      <w:r w:rsidRPr="00520861">
        <w:rPr>
          <w:rFonts w:eastAsiaTheme="minorHAnsi"/>
          <w:sz w:val="28"/>
          <w:szCs w:val="28"/>
          <w:lang w:eastAsia="en-US"/>
        </w:rPr>
        <w:t xml:space="preserve">нижньої щелепи (фронтальна ділянка) по вертикалі виявило, що </w:t>
      </w:r>
      <w:proofErr w:type="spellStart"/>
      <w:r w:rsidRPr="00520861">
        <w:rPr>
          <w:rFonts w:eastAsiaTheme="minorHAnsi"/>
          <w:sz w:val="28"/>
          <w:szCs w:val="28"/>
          <w:lang w:eastAsia="en-US"/>
        </w:rPr>
        <w:t>денто</w:t>
      </w:r>
      <w:proofErr w:type="spellEnd"/>
      <w:r w:rsidRPr="00520861">
        <w:rPr>
          <w:rFonts w:eastAsiaTheme="minorHAnsi"/>
          <w:sz w:val="28"/>
          <w:szCs w:val="28"/>
          <w:lang w:eastAsia="en-US"/>
        </w:rPr>
        <w:t>-альвеолярне подовження чи вкорочення мали 73 (52,1% ДІ: 44,2% – 60,0%) особи ОГ (по підгрупах: 22 (66,7% ДІ: 51,3% – 79,6%), 12 (50,0% ДІ: 32,8% – 67,2%), 14 (48,3% ДІ: 32,5% – 64,3%), 25 (46,3% ДІ: 34,3% – 58,6%)) проти 20 (25,3% ДІ: 17,3% – 35,0%) осіб у ГП.</w:t>
      </w:r>
    </w:p>
    <w:p w14:paraId="34A876C8"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Аналіз зубних рядів верхньої щелепи (фронтальна ділянка) по вертикалі виявив, що 91 (65,0% ДІ: 57,2% – 72,2%) особа ОГ (по підгрупах: 23 (69,7% ДІ: 54,5% – 82,0%), 12 (50,0% ДІ: 32,8% – 67,2%), 16 (48,3% ДІ: 32,5% – 64,3%), 40 (74,1% ДІ: 62,4% – 83,5%)) проти 21 (26,6% ДІ: 18,3% – 36,4%) особи ГП мали зміни вертикальних розмірів.</w:t>
      </w:r>
    </w:p>
    <w:p w14:paraId="3DE1A050" w14:textId="77777777" w:rsidR="002E3CE8" w:rsidRPr="00520861" w:rsidRDefault="002E3CE8" w:rsidP="00292D2E">
      <w:pPr>
        <w:widowControl w:val="0"/>
        <w:spacing w:line="360" w:lineRule="auto"/>
        <w:ind w:firstLine="709"/>
        <w:contextualSpacing/>
        <w:jc w:val="both"/>
        <w:rPr>
          <w:rFonts w:eastAsiaTheme="minorHAnsi"/>
          <w:sz w:val="28"/>
          <w:szCs w:val="28"/>
          <w:lang w:eastAsia="en-US"/>
        </w:rPr>
      </w:pPr>
      <w:r w:rsidRPr="00520861">
        <w:rPr>
          <w:rFonts w:eastAsia="Calibri"/>
          <w:sz w:val="28"/>
          <w:szCs w:val="28"/>
          <w:lang w:eastAsia="en-US"/>
        </w:rPr>
        <w:t>Дослідження КДМ (</w:t>
      </w:r>
      <w:r w:rsidRPr="00520861">
        <w:rPr>
          <w:rFonts w:eastAsiaTheme="minorHAnsi"/>
          <w:sz w:val="28"/>
          <w:szCs w:val="28"/>
          <w:lang w:eastAsia="en-US"/>
        </w:rPr>
        <w:t xml:space="preserve">бічна ділянка) </w:t>
      </w:r>
      <w:r w:rsidRPr="00520861">
        <w:rPr>
          <w:rFonts w:eastAsia="Calibri"/>
          <w:sz w:val="28"/>
          <w:szCs w:val="28"/>
          <w:lang w:eastAsia="en-US"/>
        </w:rPr>
        <w:t xml:space="preserve">у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напрямку </w:t>
      </w:r>
      <w:r w:rsidRPr="00520861">
        <w:rPr>
          <w:rFonts w:eastAsiaTheme="minorHAnsi"/>
          <w:sz w:val="28"/>
          <w:szCs w:val="28"/>
          <w:lang w:eastAsia="en-US"/>
        </w:rPr>
        <w:t xml:space="preserve">виявило, що звуження мали 84 (60,0% ДІ: 52,1% – 67,5%) особи ОГ (по підгрупах: 22 (66,7% ДІ: 51,3% – 79,6%), 16 (66,7% ДІ: 48,9% – 81,2%), 15 (51,7% ДІ: 35,7% – 67,5%), 31 (57,4% ДІ: 45,0% – 69,1%)) та 24 (30,4% ДІ: 21,6% – 40,4%) особи ГП. </w:t>
      </w:r>
    </w:p>
    <w:p w14:paraId="13CFE5BF"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Theme="minorHAnsi"/>
          <w:sz w:val="28"/>
          <w:szCs w:val="28"/>
          <w:lang w:eastAsia="en-US"/>
        </w:rPr>
        <w:t xml:space="preserve">Розширення встановлене в 3 (2,1% ДІ: 0,8% – 5,1%) осіб ОГ і всі вони належали до </w:t>
      </w:r>
      <w:r w:rsidRPr="00520861">
        <w:rPr>
          <w:sz w:val="28"/>
          <w:szCs w:val="28"/>
        </w:rPr>
        <w:t>підгрупи 1</w:t>
      </w:r>
      <w:r w:rsidRPr="00520861">
        <w:rPr>
          <w:rFonts w:eastAsiaTheme="minorHAnsi"/>
          <w:sz w:val="28"/>
          <w:szCs w:val="28"/>
          <w:lang w:eastAsia="en-US"/>
        </w:rPr>
        <w:t xml:space="preserve"> (9,1% ДІ: 3,4% – 20,2%). У ГП такої аномалії зубних рядів виявлено не було (0,0% ДІ: 0,0% – 4,6%). </w:t>
      </w:r>
    </w:p>
    <w:p w14:paraId="29AD8B35"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Звуження зубних рядів верхньої щелепи (бічна ділянка)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-піднебінному</w:t>
      </w:r>
      <w:r w:rsidRPr="00520861">
        <w:rPr>
          <w:rFonts w:eastAsiaTheme="minorHAnsi"/>
          <w:sz w:val="28"/>
          <w:szCs w:val="28"/>
          <w:lang w:eastAsia="en-US"/>
        </w:rPr>
        <w:t xml:space="preserve"> напрямку мали 48 (34,3% ДІ: 27,1% – 42,0%) осіб ОГ (по підгрупах: 14 (42,4% ДІ: 28,1% – 57,9%), 9 (37,5% ДІ: 22,1% – 55,3%), 11 (37,9% ДІ: 23,5% – 54,3%), 14 </w:t>
      </w:r>
      <w:r w:rsidRPr="00520861">
        <w:rPr>
          <w:rFonts w:eastAsiaTheme="minorHAnsi"/>
          <w:sz w:val="28"/>
          <w:szCs w:val="28"/>
          <w:lang w:eastAsia="en-US"/>
        </w:rPr>
        <w:lastRenderedPageBreak/>
        <w:t xml:space="preserve">(25,9% ДІ: 16,5% – 37,6%)) та 9 (11,4% ДІ: 6,2% – 19,0%) осіб ГП. </w:t>
      </w:r>
    </w:p>
    <w:p w14:paraId="01C23A4A"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Розширення встановлено в 30 (21,4% ДІ: 15,6% – 28,4%) осіб ОГ (по підгрупах: 10 (30,3% ДІ: 18,0% – 45,5%), 6 (25,0% ДІ: 12,6% – 42,2%), 5 (17,2% ДІ: 8,0% – 31,7%), 9 (16,7% ДІ: 9,3% – 27,1%)) та в 14 (17,7% ДІ: 11,0% – 26,5%) осіб ГП.</w:t>
      </w:r>
    </w:p>
    <w:p w14:paraId="1342C7AE"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Аномалії прикусу та аномалії зубних рядів не виявлені в 9% осіб із </w:t>
      </w:r>
      <w:r w:rsidRPr="00520861">
        <w:rPr>
          <w:sz w:val="28"/>
          <w:szCs w:val="28"/>
        </w:rPr>
        <w:t>підгрупи 1</w:t>
      </w:r>
      <w:r w:rsidRPr="00520861">
        <w:rPr>
          <w:rFonts w:eastAsiaTheme="minorHAnsi"/>
          <w:sz w:val="28"/>
          <w:szCs w:val="28"/>
          <w:lang w:eastAsia="en-US"/>
        </w:rPr>
        <w:t xml:space="preserve">, 8% осіб із </w:t>
      </w:r>
      <w:r w:rsidRPr="00520861">
        <w:rPr>
          <w:sz w:val="28"/>
          <w:szCs w:val="28"/>
        </w:rPr>
        <w:t>підгрупи 2</w:t>
      </w:r>
      <w:r w:rsidRPr="00520861">
        <w:rPr>
          <w:rFonts w:eastAsiaTheme="minorHAnsi"/>
          <w:sz w:val="28"/>
          <w:szCs w:val="28"/>
          <w:lang w:eastAsia="en-US"/>
        </w:rPr>
        <w:t xml:space="preserve"> та в 13% осіб ГП.</w:t>
      </w:r>
    </w:p>
    <w:p w14:paraId="03F32ACB"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Оскільки аномалії окремих зубів не зустрічаються ізольовано від аномалій прикусу та аномалій форми й розміру зубних рядів, детальний аналіз аномалій положення зубів не проводився. Однак слід указати, що надкомплектні зуби мали 6 (4,3% ДІ: 2,0% </w:t>
      </w:r>
      <w:r w:rsidRPr="00520861">
        <w:rPr>
          <w:rFonts w:eastAsiaTheme="minorHAnsi"/>
          <w:sz w:val="28"/>
          <w:szCs w:val="28"/>
          <w:lang w:eastAsia="en-US"/>
        </w:rPr>
        <w:t>–</w:t>
      </w:r>
      <w:r w:rsidRPr="00520861">
        <w:rPr>
          <w:rFonts w:eastAsia="Calibri"/>
          <w:sz w:val="28"/>
          <w:szCs w:val="28"/>
          <w:lang w:eastAsia="en-US"/>
        </w:rPr>
        <w:t xml:space="preserve"> 8,1%) осіб ОГ (три з яких належали до </w:t>
      </w:r>
      <w:r w:rsidRPr="00520861">
        <w:rPr>
          <w:sz w:val="28"/>
          <w:szCs w:val="28"/>
        </w:rPr>
        <w:t>підгрупи 2</w:t>
      </w:r>
      <w:r w:rsidRPr="00520861">
        <w:rPr>
          <w:rFonts w:eastAsia="Calibri"/>
          <w:sz w:val="28"/>
          <w:szCs w:val="28"/>
          <w:lang w:eastAsia="en-US"/>
        </w:rPr>
        <w:t xml:space="preserve"> (12,5% ДІ: 4,7% </w:t>
      </w:r>
      <w:r w:rsidRPr="00520861">
        <w:rPr>
          <w:rFonts w:eastAsiaTheme="minorHAnsi"/>
          <w:sz w:val="28"/>
          <w:szCs w:val="28"/>
          <w:lang w:eastAsia="en-US"/>
        </w:rPr>
        <w:t>–</w:t>
      </w:r>
      <w:r w:rsidRPr="00520861">
        <w:rPr>
          <w:rFonts w:eastAsia="Calibri"/>
          <w:sz w:val="28"/>
          <w:szCs w:val="28"/>
          <w:lang w:eastAsia="en-US"/>
        </w:rPr>
        <w:t xml:space="preserve"> 27,0%) та одна (1,3% ДІ: 0,3% </w:t>
      </w:r>
      <w:r w:rsidRPr="00520861">
        <w:rPr>
          <w:rFonts w:eastAsiaTheme="minorHAnsi"/>
          <w:sz w:val="28"/>
          <w:szCs w:val="28"/>
          <w:lang w:eastAsia="en-US"/>
        </w:rPr>
        <w:t>–</w:t>
      </w:r>
      <w:r w:rsidRPr="00520861">
        <w:rPr>
          <w:rFonts w:eastAsia="Calibri"/>
          <w:sz w:val="28"/>
          <w:szCs w:val="28"/>
          <w:lang w:eastAsia="en-US"/>
        </w:rPr>
        <w:t xml:space="preserve"> 4,6%) особа в ГП. </w:t>
      </w:r>
    </w:p>
    <w:p w14:paraId="22BD6A4A"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Первинну (без урахування третіх молярів) </w:t>
      </w:r>
      <w:proofErr w:type="spellStart"/>
      <w:r w:rsidRPr="00520861">
        <w:rPr>
          <w:rFonts w:eastAsia="Calibri"/>
          <w:sz w:val="28"/>
          <w:szCs w:val="28"/>
          <w:lang w:eastAsia="en-US"/>
        </w:rPr>
        <w:t>адентію</w:t>
      </w:r>
      <w:proofErr w:type="spellEnd"/>
      <w:r w:rsidRPr="00520861">
        <w:rPr>
          <w:rFonts w:eastAsia="Calibri"/>
          <w:sz w:val="28"/>
          <w:szCs w:val="28"/>
          <w:lang w:eastAsia="en-US"/>
        </w:rPr>
        <w:t xml:space="preserve"> зафіксовано в 15 (10,7% ДІ: 6,7% </w:t>
      </w:r>
      <w:r w:rsidRPr="00520861">
        <w:rPr>
          <w:rFonts w:eastAsiaTheme="minorHAnsi"/>
          <w:sz w:val="28"/>
          <w:szCs w:val="28"/>
          <w:lang w:eastAsia="en-US"/>
        </w:rPr>
        <w:t>–</w:t>
      </w:r>
      <w:r w:rsidRPr="00520861">
        <w:rPr>
          <w:rFonts w:eastAsia="Calibri"/>
          <w:sz w:val="28"/>
          <w:szCs w:val="28"/>
          <w:lang w:eastAsia="en-US"/>
        </w:rPr>
        <w:t xml:space="preserve"> 16,2%) осіб ОГ (рис. 5.26), по підгрупах: 2 (6,1% ДІ: 1,9% </w:t>
      </w:r>
      <w:r w:rsidRPr="00520861">
        <w:rPr>
          <w:rFonts w:eastAsiaTheme="minorHAnsi"/>
          <w:sz w:val="28"/>
          <w:szCs w:val="28"/>
          <w:lang w:eastAsia="en-US"/>
        </w:rPr>
        <w:t>–</w:t>
      </w:r>
      <w:r w:rsidRPr="00520861">
        <w:rPr>
          <w:rFonts w:eastAsia="Calibri"/>
          <w:sz w:val="28"/>
          <w:szCs w:val="28"/>
          <w:lang w:eastAsia="en-US"/>
        </w:rPr>
        <w:t xml:space="preserve"> 15,8%), 2 (8,3% ДІ: 2,7% </w:t>
      </w:r>
      <w:r w:rsidRPr="00520861">
        <w:rPr>
          <w:rFonts w:eastAsiaTheme="minorHAnsi"/>
          <w:sz w:val="28"/>
          <w:szCs w:val="28"/>
          <w:lang w:eastAsia="en-US"/>
        </w:rPr>
        <w:t>–</w:t>
      </w:r>
      <w:r w:rsidRPr="00520861">
        <w:rPr>
          <w:rFonts w:eastAsia="Calibri"/>
          <w:sz w:val="28"/>
          <w:szCs w:val="28"/>
          <w:lang w:eastAsia="en-US"/>
        </w:rPr>
        <w:t xml:space="preserve"> 21,1%), 3 (10,3% ДІ: 3,9% </w:t>
      </w:r>
      <w:r w:rsidRPr="00520861">
        <w:rPr>
          <w:rFonts w:eastAsiaTheme="minorHAnsi"/>
          <w:sz w:val="28"/>
          <w:szCs w:val="28"/>
          <w:lang w:eastAsia="en-US"/>
        </w:rPr>
        <w:t>–</w:t>
      </w:r>
      <w:r w:rsidRPr="00520861">
        <w:rPr>
          <w:rFonts w:eastAsia="Calibri"/>
          <w:sz w:val="28"/>
          <w:szCs w:val="28"/>
          <w:lang w:eastAsia="en-US"/>
        </w:rPr>
        <w:t xml:space="preserve"> 22,8%), 8 (14,8% ДІ: 7,9% </w:t>
      </w:r>
      <w:r w:rsidRPr="00520861">
        <w:rPr>
          <w:rFonts w:eastAsiaTheme="minorHAnsi"/>
          <w:sz w:val="28"/>
          <w:szCs w:val="28"/>
          <w:lang w:eastAsia="en-US"/>
        </w:rPr>
        <w:t>–</w:t>
      </w:r>
      <w:r w:rsidRPr="00520861">
        <w:rPr>
          <w:rFonts w:eastAsia="Calibri"/>
          <w:sz w:val="28"/>
          <w:szCs w:val="28"/>
          <w:lang w:eastAsia="en-US"/>
        </w:rPr>
        <w:t xml:space="preserve"> 24,9%) у підгрупах 1, 2, 3 та 4 відповідно та у 2 (2,5% ДІ: 0,8% </w:t>
      </w:r>
      <w:r w:rsidRPr="00520861">
        <w:rPr>
          <w:rFonts w:eastAsiaTheme="minorHAnsi"/>
          <w:sz w:val="28"/>
          <w:szCs w:val="28"/>
          <w:lang w:eastAsia="en-US"/>
        </w:rPr>
        <w:t>–</w:t>
      </w:r>
      <w:r w:rsidRPr="00520861">
        <w:rPr>
          <w:rFonts w:eastAsia="Calibri"/>
          <w:sz w:val="28"/>
          <w:szCs w:val="28"/>
          <w:lang w:eastAsia="en-US"/>
        </w:rPr>
        <w:t xml:space="preserve"> 6,9%) осіб ГП.</w:t>
      </w:r>
    </w:p>
    <w:p w14:paraId="57A369BB" w14:textId="77777777" w:rsidR="002E3CE8" w:rsidRPr="00520861" w:rsidRDefault="002E3CE8" w:rsidP="00292D2E">
      <w:pPr>
        <w:widowControl w:val="0"/>
        <w:jc w:val="center"/>
        <w:rPr>
          <w:sz w:val="28"/>
          <w:szCs w:val="28"/>
        </w:rPr>
      </w:pPr>
      <w:r w:rsidRPr="00520861">
        <w:rPr>
          <w:noProof/>
          <w:sz w:val="28"/>
          <w:szCs w:val="28"/>
          <w:lang w:val="ru-RU"/>
        </w:rPr>
        <w:drawing>
          <wp:inline distT="0" distB="0" distL="0" distR="0" wp14:anchorId="0119B46C" wp14:editId="522B38FF">
            <wp:extent cx="3384000" cy="2520000"/>
            <wp:effectExtent l="0" t="0" r="6985" b="0"/>
            <wp:docPr id="98" name="Рисунок 98" descr="D:\дд\фото\30-45\мухина юлия\IMG_0652   Н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дд\фото\30-45\мухина юлия\IMG_0652   НОВ.JP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84000" cy="2520000"/>
                    </a:xfrm>
                    <a:prstGeom prst="rect">
                      <a:avLst/>
                    </a:prstGeom>
                    <a:noFill/>
                    <a:ln>
                      <a:noFill/>
                    </a:ln>
                  </pic:spPr>
                </pic:pic>
              </a:graphicData>
            </a:graphic>
          </wp:inline>
        </w:drawing>
      </w:r>
    </w:p>
    <w:p w14:paraId="331C0466" w14:textId="77777777" w:rsidR="002E3CE8" w:rsidRPr="00520861" w:rsidRDefault="002E3CE8" w:rsidP="00292D2E">
      <w:pPr>
        <w:widowControl w:val="0"/>
        <w:spacing w:line="360" w:lineRule="auto"/>
        <w:ind w:right="48"/>
        <w:contextualSpacing/>
        <w:jc w:val="center"/>
        <w:rPr>
          <w:spacing w:val="-1"/>
          <w:sz w:val="28"/>
          <w:szCs w:val="28"/>
        </w:rPr>
      </w:pPr>
      <w:r w:rsidRPr="00520861">
        <w:rPr>
          <w:sz w:val="28"/>
          <w:szCs w:val="28"/>
        </w:rPr>
        <w:t xml:space="preserve">Рис. 5.26. </w:t>
      </w:r>
      <w:r w:rsidRPr="00520861">
        <w:rPr>
          <w:bCs/>
          <w:iCs/>
          <w:sz w:val="28"/>
          <w:szCs w:val="28"/>
        </w:rPr>
        <w:t xml:space="preserve">Фото фронтальної ділянки ротової порожнини </w:t>
      </w:r>
      <w:r w:rsidRPr="00520861">
        <w:rPr>
          <w:bCs/>
          <w:iCs/>
          <w:sz w:val="28"/>
          <w:szCs w:val="28"/>
        </w:rPr>
        <w:br/>
        <w:t xml:space="preserve">пацієнтки М. (жінка) у віці 45 років, </w:t>
      </w:r>
      <w:r w:rsidRPr="00520861">
        <w:rPr>
          <w:sz w:val="28"/>
          <w:szCs w:val="28"/>
        </w:rPr>
        <w:t xml:space="preserve">амб. карта № 173639, </w:t>
      </w:r>
      <w:r w:rsidRPr="00520861">
        <w:rPr>
          <w:bCs/>
          <w:iCs/>
          <w:sz w:val="28"/>
          <w:szCs w:val="28"/>
        </w:rPr>
        <w:t>підгрупа 4</w:t>
      </w:r>
      <w:r w:rsidRPr="00520861">
        <w:rPr>
          <w:bCs/>
          <w:i/>
          <w:iCs/>
          <w:sz w:val="28"/>
          <w:szCs w:val="28"/>
        </w:rPr>
        <w:t>.</w:t>
      </w:r>
      <w:r w:rsidRPr="00520861">
        <w:rPr>
          <w:sz w:val="28"/>
          <w:szCs w:val="28"/>
        </w:rPr>
        <w:t xml:space="preserve"> </w:t>
      </w:r>
      <w:r w:rsidRPr="00520861">
        <w:rPr>
          <w:bCs/>
          <w:iCs/>
          <w:sz w:val="28"/>
          <w:szCs w:val="28"/>
        </w:rPr>
        <w:t xml:space="preserve">Вторинна деформація </w:t>
      </w:r>
      <w:proofErr w:type="spellStart"/>
      <w:r w:rsidRPr="00520861">
        <w:rPr>
          <w:bCs/>
          <w:iCs/>
          <w:sz w:val="28"/>
          <w:szCs w:val="28"/>
        </w:rPr>
        <w:t>оклюзійної</w:t>
      </w:r>
      <w:proofErr w:type="spellEnd"/>
      <w:r w:rsidRPr="00520861">
        <w:rPr>
          <w:bCs/>
          <w:iCs/>
          <w:sz w:val="28"/>
          <w:szCs w:val="28"/>
        </w:rPr>
        <w:t xml:space="preserve"> площини (феномен Попова – </w:t>
      </w:r>
      <w:proofErr w:type="spellStart"/>
      <w:r w:rsidRPr="00520861">
        <w:rPr>
          <w:bCs/>
          <w:iCs/>
          <w:sz w:val="28"/>
          <w:szCs w:val="28"/>
        </w:rPr>
        <w:t>Годона</w:t>
      </w:r>
      <w:proofErr w:type="spellEnd"/>
      <w:r w:rsidRPr="00520861">
        <w:rPr>
          <w:bCs/>
          <w:iCs/>
          <w:sz w:val="28"/>
          <w:szCs w:val="28"/>
        </w:rPr>
        <w:t xml:space="preserve">), </w:t>
      </w:r>
      <w:proofErr w:type="spellStart"/>
      <w:r w:rsidRPr="00520861">
        <w:rPr>
          <w:bCs/>
          <w:iCs/>
          <w:sz w:val="28"/>
          <w:szCs w:val="28"/>
        </w:rPr>
        <w:t>дистально</w:t>
      </w:r>
      <w:proofErr w:type="spellEnd"/>
      <w:r w:rsidRPr="00520861">
        <w:rPr>
          <w:bCs/>
          <w:iCs/>
          <w:sz w:val="28"/>
          <w:szCs w:val="28"/>
        </w:rPr>
        <w:t xml:space="preserve">-необмежений дефект нижнього зубного ряду, первинна </w:t>
      </w:r>
      <w:proofErr w:type="spellStart"/>
      <w:r w:rsidRPr="00520861">
        <w:rPr>
          <w:bCs/>
          <w:iCs/>
          <w:sz w:val="28"/>
          <w:szCs w:val="28"/>
        </w:rPr>
        <w:t>адентія</w:t>
      </w:r>
      <w:proofErr w:type="spellEnd"/>
      <w:r w:rsidRPr="00520861">
        <w:rPr>
          <w:bCs/>
          <w:iCs/>
          <w:sz w:val="28"/>
          <w:szCs w:val="28"/>
        </w:rPr>
        <w:t xml:space="preserve"> 12 та 22 зубів, хибна </w:t>
      </w:r>
      <w:proofErr w:type="spellStart"/>
      <w:r w:rsidRPr="00520861">
        <w:rPr>
          <w:bCs/>
          <w:iCs/>
          <w:sz w:val="28"/>
          <w:szCs w:val="28"/>
        </w:rPr>
        <w:t>діастема</w:t>
      </w:r>
      <w:proofErr w:type="spellEnd"/>
      <w:r w:rsidRPr="00520861">
        <w:rPr>
          <w:bCs/>
          <w:iCs/>
          <w:sz w:val="28"/>
          <w:szCs w:val="28"/>
        </w:rPr>
        <w:t xml:space="preserve"> верхнього зубного ряду, хибна </w:t>
      </w:r>
      <w:proofErr w:type="spellStart"/>
      <w:r w:rsidRPr="00520861">
        <w:rPr>
          <w:bCs/>
          <w:iCs/>
          <w:sz w:val="28"/>
          <w:szCs w:val="28"/>
        </w:rPr>
        <w:t>трема</w:t>
      </w:r>
      <w:proofErr w:type="spellEnd"/>
      <w:r w:rsidRPr="00520861">
        <w:rPr>
          <w:bCs/>
          <w:iCs/>
          <w:sz w:val="28"/>
          <w:szCs w:val="28"/>
        </w:rPr>
        <w:t xml:space="preserve"> нижнього зубного ряду. </w:t>
      </w:r>
      <w:proofErr w:type="spellStart"/>
      <w:r w:rsidRPr="00520861">
        <w:rPr>
          <w:sz w:val="28"/>
          <w:szCs w:val="28"/>
        </w:rPr>
        <w:t>Генералізовані</w:t>
      </w:r>
      <w:proofErr w:type="spellEnd"/>
      <w:r w:rsidRPr="00520861">
        <w:rPr>
          <w:sz w:val="28"/>
          <w:szCs w:val="28"/>
        </w:rPr>
        <w:t xml:space="preserve"> </w:t>
      </w:r>
      <w:proofErr w:type="spellStart"/>
      <w:r w:rsidRPr="00520861">
        <w:rPr>
          <w:sz w:val="28"/>
          <w:szCs w:val="28"/>
        </w:rPr>
        <w:t>дистрофічно</w:t>
      </w:r>
      <w:proofErr w:type="spellEnd"/>
      <w:r w:rsidRPr="00520861">
        <w:rPr>
          <w:sz w:val="28"/>
          <w:szCs w:val="28"/>
        </w:rPr>
        <w:t xml:space="preserve">-запальні зміни тканин </w:t>
      </w:r>
      <w:proofErr w:type="spellStart"/>
      <w:r w:rsidRPr="00520861">
        <w:rPr>
          <w:sz w:val="28"/>
          <w:szCs w:val="28"/>
        </w:rPr>
        <w:t>пародонта</w:t>
      </w:r>
      <w:proofErr w:type="spellEnd"/>
      <w:r w:rsidRPr="00520861">
        <w:rPr>
          <w:sz w:val="28"/>
          <w:szCs w:val="28"/>
        </w:rPr>
        <w:t xml:space="preserve"> з превалюванням дистрофічного компонента. </w:t>
      </w:r>
      <w:r w:rsidRPr="00520861">
        <w:rPr>
          <w:spacing w:val="-1"/>
          <w:sz w:val="28"/>
          <w:szCs w:val="28"/>
        </w:rPr>
        <w:t>Широкі рецесії ясен, клиноподібні дефекти 15, 14, 23, 24, 25 зубів.</w:t>
      </w:r>
    </w:p>
    <w:p w14:paraId="54E1923F" w14:textId="77777777" w:rsidR="002E3CE8" w:rsidRPr="00520861" w:rsidRDefault="002E3CE8" w:rsidP="00292D2E">
      <w:pPr>
        <w:widowControl w:val="0"/>
        <w:spacing w:line="360" w:lineRule="auto"/>
        <w:ind w:firstLine="709"/>
        <w:jc w:val="both"/>
        <w:rPr>
          <w:rFonts w:eastAsia="Calibri"/>
          <w:sz w:val="28"/>
          <w:szCs w:val="28"/>
          <w:lang w:eastAsia="en-US"/>
        </w:rPr>
      </w:pPr>
      <w:proofErr w:type="spellStart"/>
      <w:r w:rsidRPr="00520861">
        <w:rPr>
          <w:rFonts w:eastAsia="Calibri"/>
          <w:sz w:val="28"/>
          <w:szCs w:val="28"/>
          <w:lang w:eastAsia="en-US"/>
        </w:rPr>
        <w:lastRenderedPageBreak/>
        <w:t>Ретеновані</w:t>
      </w:r>
      <w:proofErr w:type="spellEnd"/>
      <w:r w:rsidRPr="00520861">
        <w:rPr>
          <w:rFonts w:eastAsia="Calibri"/>
          <w:sz w:val="28"/>
          <w:szCs w:val="28"/>
          <w:lang w:eastAsia="en-US"/>
        </w:rPr>
        <w:t xml:space="preserve"> зуби або зуби із порушеною віссю прорізування виявлено у 8 (5,7% ДІ: 3,0% </w:t>
      </w:r>
      <w:r w:rsidRPr="00520861">
        <w:rPr>
          <w:rFonts w:eastAsiaTheme="minorHAnsi"/>
          <w:sz w:val="28"/>
          <w:szCs w:val="28"/>
          <w:lang w:eastAsia="en-US"/>
        </w:rPr>
        <w:t>–</w:t>
      </w:r>
      <w:r w:rsidRPr="00520861">
        <w:rPr>
          <w:rFonts w:eastAsia="Calibri"/>
          <w:sz w:val="28"/>
          <w:szCs w:val="28"/>
          <w:lang w:eastAsia="en-US"/>
        </w:rPr>
        <w:t xml:space="preserve"> 10,0%) осіб ОГ, 5 із яких (9,3% ДІ: 4,2% </w:t>
      </w:r>
      <w:r w:rsidRPr="00520861">
        <w:rPr>
          <w:rFonts w:eastAsiaTheme="minorHAnsi"/>
          <w:sz w:val="28"/>
          <w:szCs w:val="28"/>
          <w:lang w:eastAsia="en-US"/>
        </w:rPr>
        <w:t>–</w:t>
      </w:r>
      <w:r w:rsidRPr="00520861">
        <w:rPr>
          <w:rFonts w:eastAsia="Calibri"/>
          <w:sz w:val="28"/>
          <w:szCs w:val="28"/>
          <w:lang w:eastAsia="en-US"/>
        </w:rPr>
        <w:t xml:space="preserve"> 17,9%) віднесені до </w:t>
      </w:r>
      <w:r w:rsidRPr="00520861">
        <w:rPr>
          <w:rFonts w:eastAsia="Calibri"/>
          <w:sz w:val="28"/>
          <w:szCs w:val="28"/>
          <w:lang w:eastAsia="en-US"/>
        </w:rPr>
        <w:br/>
      </w:r>
      <w:r w:rsidRPr="00520861">
        <w:rPr>
          <w:sz w:val="28"/>
          <w:szCs w:val="28"/>
        </w:rPr>
        <w:t>підгрупи 4</w:t>
      </w:r>
      <w:r w:rsidRPr="00520861">
        <w:rPr>
          <w:rFonts w:eastAsia="Calibri"/>
          <w:sz w:val="28"/>
          <w:szCs w:val="28"/>
          <w:lang w:eastAsia="en-US"/>
        </w:rPr>
        <w:t xml:space="preserve">, в осіб з ГП таких зубів виявлено не було (0,0% ДІ: 0,0% </w:t>
      </w:r>
      <w:r w:rsidRPr="00520861">
        <w:rPr>
          <w:rFonts w:eastAsiaTheme="minorHAnsi"/>
          <w:sz w:val="28"/>
          <w:szCs w:val="28"/>
          <w:lang w:eastAsia="en-US"/>
        </w:rPr>
        <w:t>–</w:t>
      </w:r>
      <w:r w:rsidRPr="00520861">
        <w:rPr>
          <w:rFonts w:eastAsia="Calibri"/>
          <w:sz w:val="28"/>
          <w:szCs w:val="28"/>
          <w:lang w:eastAsia="en-US"/>
        </w:rPr>
        <w:t xml:space="preserve"> 4,6%). </w:t>
      </w:r>
    </w:p>
    <w:p w14:paraId="6CB468E1"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У якості узагальнення одержаних результатів слід указати, що в осіб, які були віднесені до ОГ, сукупність факторів (а саме, вірогідно більший процент вузького обличчя, високого піднебіння та звуження зубних рядів верхньої і нижньої щелеп) відповідає вертикальному типу щелепного росту.</w:t>
      </w:r>
    </w:p>
    <w:p w14:paraId="60287274" w14:textId="77777777" w:rsidR="002E3CE8" w:rsidRPr="00520861" w:rsidRDefault="002E3CE8" w:rsidP="00292D2E">
      <w:pPr>
        <w:widowControl w:val="0"/>
        <w:spacing w:line="360" w:lineRule="auto"/>
        <w:ind w:firstLine="709"/>
        <w:jc w:val="both"/>
        <w:rPr>
          <w:rFonts w:eastAsia="Calibri"/>
          <w:sz w:val="28"/>
          <w:szCs w:val="28"/>
          <w:lang w:eastAsia="en-US"/>
        </w:rPr>
      </w:pPr>
    </w:p>
    <w:p w14:paraId="0ABBA994" w14:textId="77777777" w:rsidR="002E3CE8" w:rsidRPr="00520861" w:rsidRDefault="002E3CE8" w:rsidP="00292D2E">
      <w:pPr>
        <w:widowControl w:val="0"/>
        <w:spacing w:line="360" w:lineRule="auto"/>
        <w:ind w:firstLine="709"/>
        <w:contextualSpacing/>
        <w:jc w:val="both"/>
        <w:rPr>
          <w:rFonts w:eastAsia="Calibri"/>
          <w:b/>
          <w:sz w:val="28"/>
          <w:szCs w:val="28"/>
          <w:lang w:eastAsia="en-US"/>
        </w:rPr>
      </w:pPr>
      <w:r w:rsidRPr="00520861">
        <w:rPr>
          <w:rFonts w:eastAsiaTheme="minorHAnsi"/>
          <w:b/>
          <w:sz w:val="28"/>
          <w:szCs w:val="28"/>
          <w:lang w:eastAsia="en-US"/>
        </w:rPr>
        <w:t xml:space="preserve">5.7. Результати вивчення динаміки змін біохімічних показників ротової </w:t>
      </w:r>
      <w:r w:rsidRPr="00520861">
        <w:rPr>
          <w:rFonts w:eastAsiaTheme="minorHAnsi"/>
          <w:b/>
          <w:sz w:val="28"/>
          <w:szCs w:val="28"/>
          <w:lang w:eastAsia="en-US"/>
        </w:rPr>
        <w:br/>
        <w:t xml:space="preserve">рідини як маркерів особливостей структурно-функціонального стану </w:t>
      </w:r>
      <w:r w:rsidRPr="00520861">
        <w:rPr>
          <w:rFonts w:eastAsiaTheme="minorHAnsi"/>
          <w:b/>
          <w:sz w:val="28"/>
          <w:szCs w:val="28"/>
          <w:lang w:eastAsia="en-US"/>
        </w:rPr>
        <w:br/>
      </w:r>
      <w:proofErr w:type="spellStart"/>
      <w:r w:rsidRPr="00520861">
        <w:rPr>
          <w:rFonts w:eastAsiaTheme="minorHAnsi"/>
          <w:b/>
          <w:sz w:val="28"/>
          <w:szCs w:val="28"/>
          <w:lang w:eastAsia="en-US"/>
        </w:rPr>
        <w:t>стоматогнатичної</w:t>
      </w:r>
      <w:proofErr w:type="spellEnd"/>
      <w:r w:rsidRPr="00520861">
        <w:rPr>
          <w:rFonts w:eastAsiaTheme="minorHAnsi"/>
          <w:b/>
          <w:sz w:val="28"/>
          <w:szCs w:val="28"/>
          <w:lang w:eastAsia="en-US"/>
        </w:rPr>
        <w:t xml:space="preserve"> системи в осіб віком 4 – 55 років (ВП-ІІІ,</w:t>
      </w:r>
      <w:r w:rsidRPr="00520861">
        <w:rPr>
          <w:rFonts w:eastAsia="Calibri"/>
          <w:b/>
          <w:sz w:val="28"/>
          <w:szCs w:val="28"/>
          <w:lang w:eastAsia="en-US"/>
        </w:rPr>
        <w:t xml:space="preserve"> ВП-ІV, ВП-V, ВП-VI, ВП-VII, ВП-VIII)</w:t>
      </w:r>
      <w:r w:rsidRPr="00520861">
        <w:rPr>
          <w:rFonts w:eastAsiaTheme="minorHAnsi"/>
          <w:b/>
          <w:sz w:val="28"/>
          <w:szCs w:val="28"/>
          <w:lang w:eastAsia="en-US"/>
        </w:rPr>
        <w:t xml:space="preserve">, які народилися </w:t>
      </w:r>
      <w:proofErr w:type="spellStart"/>
      <w:r w:rsidRPr="00520861">
        <w:rPr>
          <w:rFonts w:eastAsiaTheme="minorHAnsi"/>
          <w:b/>
          <w:sz w:val="28"/>
          <w:szCs w:val="28"/>
          <w:lang w:eastAsia="en-US"/>
        </w:rPr>
        <w:t>макросомами</w:t>
      </w:r>
      <w:proofErr w:type="spellEnd"/>
    </w:p>
    <w:p w14:paraId="5C6559A5" w14:textId="77777777" w:rsidR="002E3CE8" w:rsidRPr="00520861" w:rsidRDefault="002E3CE8" w:rsidP="00292D2E">
      <w:pPr>
        <w:widowControl w:val="0"/>
        <w:spacing w:line="360" w:lineRule="auto"/>
        <w:ind w:firstLine="708"/>
        <w:jc w:val="both"/>
        <w:rPr>
          <w:rFonts w:eastAsiaTheme="minorHAnsi"/>
          <w:sz w:val="28"/>
          <w:szCs w:val="28"/>
          <w:lang w:eastAsia="en-US"/>
        </w:rPr>
      </w:pPr>
    </w:p>
    <w:p w14:paraId="372D08B3"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Активність ЛФ мала тенденцію до зростання (рис. 5.38) в осіб із </w:t>
      </w:r>
      <w:r w:rsidRPr="00520861">
        <w:rPr>
          <w:sz w:val="28"/>
          <w:szCs w:val="28"/>
        </w:rPr>
        <w:t>підгрупи 1</w:t>
      </w:r>
      <w:r w:rsidRPr="00520861">
        <w:rPr>
          <w:rFonts w:eastAsiaTheme="minorHAnsi"/>
          <w:sz w:val="28"/>
          <w:szCs w:val="28"/>
          <w:lang w:eastAsia="en-US"/>
        </w:rPr>
        <w:t xml:space="preserve"> та </w:t>
      </w:r>
      <w:r w:rsidRPr="00520861">
        <w:rPr>
          <w:sz w:val="28"/>
          <w:szCs w:val="28"/>
        </w:rPr>
        <w:t>підгрупи 2</w:t>
      </w:r>
      <w:r w:rsidRPr="00520861">
        <w:rPr>
          <w:rFonts w:eastAsiaTheme="minorHAnsi"/>
          <w:sz w:val="28"/>
          <w:szCs w:val="28"/>
          <w:lang w:eastAsia="en-US"/>
        </w:rPr>
        <w:t xml:space="preserve">, порівняно із ГП у більш молодших вікових періодах, проте вірогідних відмінностей не спостерігалося (табл. Б.1.20) [34]. Вірогідно виражене відносно ГП зростання активності ЛФ нами було виявлене у </w:t>
      </w:r>
      <w:r w:rsidRPr="00520861">
        <w:rPr>
          <w:rFonts w:eastAsia="Calibri"/>
          <w:sz w:val="28"/>
          <w:szCs w:val="28"/>
          <w:lang w:eastAsia="en-US"/>
        </w:rPr>
        <w:t>ВП-VI</w:t>
      </w:r>
      <w:r w:rsidRPr="00520861">
        <w:rPr>
          <w:rFonts w:eastAsiaTheme="minorHAnsi"/>
          <w:sz w:val="28"/>
          <w:szCs w:val="28"/>
          <w:lang w:eastAsia="en-US"/>
        </w:rPr>
        <w:t xml:space="preserve"> та </w:t>
      </w:r>
      <w:r w:rsidRPr="00520861">
        <w:rPr>
          <w:rFonts w:eastAsia="Calibri"/>
          <w:sz w:val="28"/>
          <w:szCs w:val="28"/>
          <w:lang w:eastAsia="en-US"/>
        </w:rPr>
        <w:t>ВП-VII</w:t>
      </w:r>
      <w:r w:rsidRPr="00520861">
        <w:rPr>
          <w:rFonts w:eastAsiaTheme="minorHAnsi"/>
          <w:sz w:val="28"/>
          <w:szCs w:val="28"/>
          <w:lang w:eastAsia="en-US"/>
        </w:rPr>
        <w:t>.</w:t>
      </w:r>
    </w:p>
    <w:p w14:paraId="55B39B3C" w14:textId="77777777" w:rsidR="002E3CE8" w:rsidRPr="00520861" w:rsidRDefault="002E3CE8" w:rsidP="00292D2E">
      <w:pPr>
        <w:widowControl w:val="0"/>
        <w:spacing w:line="360" w:lineRule="auto"/>
        <w:ind w:firstLine="708"/>
        <w:jc w:val="both"/>
        <w:rPr>
          <w:rFonts w:eastAsiaTheme="minorHAnsi"/>
          <w:spacing w:val="-4"/>
          <w:sz w:val="28"/>
          <w:szCs w:val="28"/>
          <w:lang w:eastAsia="en-US"/>
        </w:rPr>
      </w:pPr>
      <w:r w:rsidRPr="00520861">
        <w:rPr>
          <w:rFonts w:eastAsiaTheme="minorHAnsi"/>
          <w:sz w:val="28"/>
          <w:szCs w:val="28"/>
          <w:lang w:eastAsia="en-US"/>
        </w:rPr>
        <w:t xml:space="preserve">В осіб із </w:t>
      </w:r>
      <w:r w:rsidRPr="00520861">
        <w:rPr>
          <w:sz w:val="28"/>
          <w:szCs w:val="28"/>
        </w:rPr>
        <w:t>підгрупи 3</w:t>
      </w:r>
      <w:r w:rsidRPr="00520861">
        <w:rPr>
          <w:rFonts w:eastAsiaTheme="minorHAnsi"/>
          <w:sz w:val="28"/>
          <w:szCs w:val="28"/>
          <w:lang w:eastAsia="en-US"/>
        </w:rPr>
        <w:t xml:space="preserve"> та </w:t>
      </w:r>
      <w:r w:rsidRPr="00520861">
        <w:rPr>
          <w:sz w:val="28"/>
          <w:szCs w:val="28"/>
        </w:rPr>
        <w:t>підгрупи 4</w:t>
      </w:r>
      <w:r w:rsidRPr="00520861">
        <w:rPr>
          <w:rFonts w:eastAsiaTheme="minorHAnsi"/>
          <w:sz w:val="28"/>
          <w:szCs w:val="28"/>
          <w:lang w:eastAsia="en-US"/>
        </w:rPr>
        <w:t xml:space="preserve"> за умов нашого дослідження  навпаки </w:t>
      </w:r>
      <w:r w:rsidRPr="00520861">
        <w:rPr>
          <w:rFonts w:eastAsiaTheme="minorHAnsi"/>
          <w:sz w:val="28"/>
          <w:szCs w:val="28"/>
          <w:lang w:eastAsia="en-US"/>
        </w:rPr>
        <w:br/>
        <w:t xml:space="preserve">(рис. 5.27), було виявлено значне зниження активності ЛФ РР відносно ГП, яке спостерігалося у всіх ВП, навіть у ВП-ІІІ та ВП-IV. </w:t>
      </w:r>
      <w:r w:rsidRPr="00520861">
        <w:rPr>
          <w:rFonts w:eastAsiaTheme="minorHAnsi"/>
          <w:spacing w:val="-4"/>
          <w:sz w:val="28"/>
          <w:szCs w:val="28"/>
          <w:lang w:eastAsia="en-US"/>
        </w:rPr>
        <w:t>В осіб, віднесених до підгрупи 4, порівняно із особами підгрупи 3 вищевикладені зміни були більш вираженими.</w:t>
      </w:r>
    </w:p>
    <w:p w14:paraId="66572F53"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В учасників дослідження з </w:t>
      </w:r>
      <w:r w:rsidRPr="00520861">
        <w:rPr>
          <w:sz w:val="28"/>
          <w:szCs w:val="28"/>
        </w:rPr>
        <w:t>підгрупи 3</w:t>
      </w:r>
      <w:r w:rsidRPr="00520861">
        <w:rPr>
          <w:rFonts w:eastAsiaTheme="minorHAnsi"/>
          <w:sz w:val="28"/>
          <w:szCs w:val="28"/>
          <w:lang w:eastAsia="en-US"/>
        </w:rPr>
        <w:t xml:space="preserve"> та </w:t>
      </w:r>
      <w:r w:rsidRPr="00520861">
        <w:rPr>
          <w:sz w:val="28"/>
          <w:szCs w:val="28"/>
        </w:rPr>
        <w:t>підгрупи 4</w:t>
      </w:r>
      <w:r w:rsidRPr="00520861">
        <w:rPr>
          <w:rFonts w:eastAsiaTheme="minorHAnsi"/>
          <w:sz w:val="28"/>
          <w:szCs w:val="28"/>
          <w:lang w:eastAsia="en-US"/>
        </w:rPr>
        <w:t xml:space="preserve"> у віці, старшому за 18 років, поряд зі зниженням активності ЛФ знижувався рівень фосфору в РР, але була збільшена концентрація кальцію (рис. 5.27). У РР осіб із підгрупи 3 та підгрупи 4 старших ВП спостерігалося вірогідне збільшення рівнів кальцію (табл. Б.1.20).</w:t>
      </w:r>
    </w:p>
    <w:p w14:paraId="39BF7DE3"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Слід зазначити, що в осіб </w:t>
      </w:r>
      <w:r w:rsidRPr="00520861">
        <w:rPr>
          <w:sz w:val="28"/>
          <w:szCs w:val="28"/>
        </w:rPr>
        <w:t>підгрупи 1</w:t>
      </w:r>
      <w:r w:rsidRPr="00520861">
        <w:rPr>
          <w:rFonts w:eastAsiaTheme="minorHAnsi"/>
          <w:sz w:val="28"/>
          <w:szCs w:val="28"/>
          <w:lang w:eastAsia="en-US"/>
        </w:rPr>
        <w:t xml:space="preserve"> та </w:t>
      </w:r>
      <w:r w:rsidRPr="00520861">
        <w:rPr>
          <w:sz w:val="28"/>
          <w:szCs w:val="28"/>
        </w:rPr>
        <w:t xml:space="preserve">підгрупи 2 вже у віці 4 – 6 років спостерігався високий відносно ГП рівень кальцію </w:t>
      </w:r>
      <w:r w:rsidRPr="00520861">
        <w:rPr>
          <w:rFonts w:eastAsiaTheme="minorHAnsi"/>
          <w:sz w:val="28"/>
          <w:szCs w:val="28"/>
          <w:lang w:eastAsia="en-US"/>
        </w:rPr>
        <w:t>(рис. 5.28)</w:t>
      </w:r>
      <w:r w:rsidRPr="00520861">
        <w:rPr>
          <w:sz w:val="28"/>
          <w:szCs w:val="28"/>
        </w:rPr>
        <w:t xml:space="preserve">, а в осіб цих підгруп віком </w:t>
      </w:r>
      <w:r w:rsidRPr="00520861">
        <w:rPr>
          <w:rFonts w:eastAsiaTheme="minorHAnsi"/>
          <w:sz w:val="28"/>
          <w:szCs w:val="28"/>
          <w:lang w:eastAsia="en-US"/>
        </w:rPr>
        <w:t xml:space="preserve">18 – 44 роки рівень кальцію РР </w:t>
      </w:r>
      <w:proofErr w:type="spellStart"/>
      <w:r w:rsidRPr="00520861">
        <w:rPr>
          <w:rFonts w:eastAsiaTheme="minorHAnsi"/>
          <w:sz w:val="28"/>
          <w:szCs w:val="28"/>
          <w:lang w:eastAsia="en-US"/>
        </w:rPr>
        <w:t>інтенсивно</w:t>
      </w:r>
      <w:proofErr w:type="spellEnd"/>
      <w:r w:rsidRPr="00520861">
        <w:rPr>
          <w:rFonts w:eastAsiaTheme="minorHAnsi"/>
          <w:sz w:val="28"/>
          <w:szCs w:val="28"/>
          <w:lang w:eastAsia="en-US"/>
        </w:rPr>
        <w:t xml:space="preserve"> зростав, порівняно із ГП та більш молодими віковими періодами. Рівень фосфору в РР осіб </w:t>
      </w:r>
      <w:r w:rsidRPr="00520861">
        <w:rPr>
          <w:sz w:val="28"/>
          <w:szCs w:val="28"/>
        </w:rPr>
        <w:t>підгрупи 1</w:t>
      </w:r>
      <w:r w:rsidRPr="00520861">
        <w:rPr>
          <w:rFonts w:eastAsiaTheme="minorHAnsi"/>
          <w:sz w:val="28"/>
          <w:szCs w:val="28"/>
          <w:lang w:eastAsia="en-US"/>
        </w:rPr>
        <w:t xml:space="preserve"> та </w:t>
      </w:r>
      <w:r w:rsidRPr="00520861">
        <w:rPr>
          <w:sz w:val="28"/>
          <w:szCs w:val="28"/>
        </w:rPr>
        <w:t>підгрупи 2</w:t>
      </w:r>
      <w:r w:rsidRPr="00520861">
        <w:rPr>
          <w:rFonts w:eastAsiaTheme="minorHAnsi"/>
          <w:sz w:val="28"/>
          <w:szCs w:val="28"/>
          <w:lang w:eastAsia="en-US"/>
        </w:rPr>
        <w:t xml:space="preserve"> також мав стійку тенденцію до підвищення (рис. 5.29).</w:t>
      </w:r>
    </w:p>
    <w:p w14:paraId="024D352D" w14:textId="77777777" w:rsidR="002E3CE8" w:rsidRPr="00520861" w:rsidRDefault="009861F2" w:rsidP="00292D2E">
      <w:pPr>
        <w:widowControl w:val="0"/>
        <w:spacing w:line="360" w:lineRule="auto"/>
        <w:jc w:val="center"/>
        <w:rPr>
          <w:rFonts w:eastAsiaTheme="minorHAnsi"/>
          <w:sz w:val="28"/>
          <w:szCs w:val="28"/>
          <w:lang w:eastAsia="en-US"/>
        </w:rPr>
      </w:pPr>
      <w:r w:rsidRPr="00520861">
        <w:rPr>
          <w:noProof/>
          <w:sz w:val="28"/>
          <w:szCs w:val="28"/>
          <w:lang w:val="ru-RU"/>
        </w:rPr>
        <w:lastRenderedPageBreak/>
        <w:drawing>
          <wp:inline distT="0" distB="0" distL="0" distR="0" wp14:anchorId="5F367D75" wp14:editId="4877C93F">
            <wp:extent cx="3880800" cy="2160000"/>
            <wp:effectExtent l="0" t="0" r="5715" b="0"/>
            <wp:docPr id="1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3"/>
                    <pic:cNvPicPr>
                      <a:picLocks noChangeAspect="1"/>
                    </pic:cNvPicPr>
                  </pic:nvPicPr>
                  <pic:blipFill>
                    <a:blip r:embed="rId96"/>
                    <a:stretch>
                      <a:fillRect/>
                    </a:stretch>
                  </pic:blipFill>
                  <pic:spPr>
                    <a:xfrm>
                      <a:off x="0" y="0"/>
                      <a:ext cx="3880800" cy="2160000"/>
                    </a:xfrm>
                    <a:prstGeom prst="rect">
                      <a:avLst/>
                    </a:prstGeom>
                  </pic:spPr>
                </pic:pic>
              </a:graphicData>
            </a:graphic>
          </wp:inline>
        </w:drawing>
      </w:r>
    </w:p>
    <w:p w14:paraId="66FDAC4D"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Рис. 5.27. Динаміка медіанних значень показників лужної фосфатази (од./л) у ротовій рідині учасників дослідження в кожній групі чи підгрупі.</w:t>
      </w:r>
    </w:p>
    <w:p w14:paraId="2CC80594" w14:textId="77777777" w:rsidR="002E3CE8" w:rsidRPr="00520861" w:rsidRDefault="002E3CE8" w:rsidP="00292D2E">
      <w:pPr>
        <w:widowControl w:val="0"/>
        <w:spacing w:line="360" w:lineRule="auto"/>
        <w:ind w:firstLine="708"/>
        <w:jc w:val="both"/>
        <w:rPr>
          <w:rFonts w:eastAsiaTheme="minorHAnsi"/>
          <w:color w:val="2E74B5" w:themeColor="accent1" w:themeShade="BF"/>
          <w:sz w:val="28"/>
          <w:szCs w:val="28"/>
          <w:lang w:eastAsia="en-US"/>
        </w:rPr>
      </w:pPr>
    </w:p>
    <w:p w14:paraId="108AD60F" w14:textId="77777777" w:rsidR="002E3CE8" w:rsidRPr="00520861" w:rsidRDefault="00B86BF9" w:rsidP="00292D2E">
      <w:pPr>
        <w:widowControl w:val="0"/>
        <w:spacing w:line="360" w:lineRule="auto"/>
        <w:jc w:val="center"/>
        <w:rPr>
          <w:rFonts w:eastAsiaTheme="minorHAnsi"/>
          <w:sz w:val="28"/>
          <w:szCs w:val="28"/>
          <w:lang w:eastAsia="en-US"/>
        </w:rPr>
      </w:pPr>
      <w:r w:rsidRPr="00520861">
        <w:rPr>
          <w:noProof/>
          <w:sz w:val="28"/>
          <w:szCs w:val="28"/>
          <w:lang w:val="ru-RU"/>
        </w:rPr>
        <w:drawing>
          <wp:inline distT="0" distB="0" distL="0" distR="0" wp14:anchorId="36704443" wp14:editId="0BF79808">
            <wp:extent cx="3934800" cy="2160000"/>
            <wp:effectExtent l="0" t="0" r="889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pic:cNvPicPr>
                  </pic:nvPicPr>
                  <pic:blipFill>
                    <a:blip r:embed="rId97"/>
                    <a:stretch>
                      <a:fillRect/>
                    </a:stretch>
                  </pic:blipFill>
                  <pic:spPr>
                    <a:xfrm>
                      <a:off x="0" y="0"/>
                      <a:ext cx="3934800" cy="2160000"/>
                    </a:xfrm>
                    <a:prstGeom prst="rect">
                      <a:avLst/>
                    </a:prstGeom>
                  </pic:spPr>
                </pic:pic>
              </a:graphicData>
            </a:graphic>
          </wp:inline>
        </w:drawing>
      </w:r>
    </w:p>
    <w:p w14:paraId="3942C861" w14:textId="77777777" w:rsidR="002E3CE8" w:rsidRPr="00520861" w:rsidRDefault="002E3CE8" w:rsidP="00292D2E">
      <w:pPr>
        <w:widowControl w:val="0"/>
        <w:spacing w:line="360" w:lineRule="auto"/>
        <w:ind w:firstLine="708"/>
        <w:jc w:val="center"/>
        <w:rPr>
          <w:rFonts w:eastAsiaTheme="minorHAnsi"/>
          <w:sz w:val="28"/>
          <w:szCs w:val="28"/>
          <w:lang w:eastAsia="en-US"/>
        </w:rPr>
      </w:pPr>
      <w:r w:rsidRPr="00520861">
        <w:rPr>
          <w:rFonts w:eastAsiaTheme="minorHAnsi"/>
          <w:sz w:val="28"/>
          <w:szCs w:val="28"/>
          <w:lang w:eastAsia="en-US"/>
        </w:rPr>
        <w:t>Рис. 5.28. Динаміка медіанних значень показників кальцію (ммоль/л) у ротовій рідині учасників дослідження в кожній групі чи підгрупі.</w:t>
      </w:r>
    </w:p>
    <w:p w14:paraId="520DFD4A" w14:textId="77777777" w:rsidR="002E3CE8" w:rsidRPr="00520861" w:rsidRDefault="002E3CE8" w:rsidP="00292D2E">
      <w:pPr>
        <w:widowControl w:val="0"/>
        <w:spacing w:line="360" w:lineRule="auto"/>
        <w:jc w:val="center"/>
        <w:rPr>
          <w:rFonts w:eastAsiaTheme="minorHAnsi"/>
          <w:sz w:val="28"/>
          <w:szCs w:val="28"/>
          <w:lang w:eastAsia="en-US"/>
        </w:rPr>
      </w:pPr>
    </w:p>
    <w:p w14:paraId="7DBAE7BB" w14:textId="77777777" w:rsidR="002E3CE8" w:rsidRPr="00520861" w:rsidRDefault="00B86BF9" w:rsidP="00292D2E">
      <w:pPr>
        <w:widowControl w:val="0"/>
        <w:spacing w:line="360" w:lineRule="auto"/>
        <w:jc w:val="center"/>
        <w:rPr>
          <w:rFonts w:eastAsiaTheme="minorHAnsi"/>
          <w:sz w:val="28"/>
          <w:szCs w:val="28"/>
          <w:lang w:eastAsia="en-US"/>
        </w:rPr>
      </w:pPr>
      <w:r w:rsidRPr="00520861">
        <w:rPr>
          <w:noProof/>
          <w:sz w:val="28"/>
          <w:szCs w:val="28"/>
          <w:lang w:val="ru-RU"/>
        </w:rPr>
        <w:drawing>
          <wp:inline distT="0" distB="0" distL="0" distR="0" wp14:anchorId="34902EA4" wp14:editId="1A5A2B36">
            <wp:extent cx="3934800" cy="2160000"/>
            <wp:effectExtent l="0" t="0" r="8890" b="0"/>
            <wp:docPr id="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pic:cNvPicPr>
                      <a:picLocks noChangeAspect="1"/>
                    </pic:cNvPicPr>
                  </pic:nvPicPr>
                  <pic:blipFill>
                    <a:blip r:embed="rId97"/>
                    <a:stretch>
                      <a:fillRect/>
                    </a:stretch>
                  </pic:blipFill>
                  <pic:spPr>
                    <a:xfrm>
                      <a:off x="0" y="0"/>
                      <a:ext cx="3934800" cy="2160000"/>
                    </a:xfrm>
                    <a:prstGeom prst="rect">
                      <a:avLst/>
                    </a:prstGeom>
                  </pic:spPr>
                </pic:pic>
              </a:graphicData>
            </a:graphic>
          </wp:inline>
        </w:drawing>
      </w:r>
    </w:p>
    <w:p w14:paraId="0658E7B3" w14:textId="77777777" w:rsidR="002E3CE8" w:rsidRPr="00520861" w:rsidRDefault="002E3CE8" w:rsidP="00292D2E">
      <w:pPr>
        <w:widowControl w:val="0"/>
        <w:spacing w:line="360" w:lineRule="auto"/>
        <w:jc w:val="center"/>
        <w:rPr>
          <w:rFonts w:eastAsiaTheme="minorHAnsi"/>
          <w:sz w:val="28"/>
          <w:szCs w:val="28"/>
          <w:lang w:eastAsia="en-US"/>
        </w:rPr>
      </w:pPr>
      <w:r w:rsidRPr="00520861">
        <w:rPr>
          <w:rFonts w:eastAsiaTheme="minorHAnsi"/>
          <w:sz w:val="28"/>
          <w:szCs w:val="28"/>
          <w:lang w:eastAsia="en-US"/>
        </w:rPr>
        <w:t>Рис. 5.29. Динаміка медіанних значень показників фосфору (ммоль/л) у ротовій рідині учасників дослідження в кожній групі чи підгрупі.</w:t>
      </w:r>
    </w:p>
    <w:p w14:paraId="1BBD6DC2"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lastRenderedPageBreak/>
        <w:t xml:space="preserve">Отже, показники </w:t>
      </w:r>
      <w:proofErr w:type="spellStart"/>
      <w:r w:rsidRPr="00520861">
        <w:rPr>
          <w:rFonts w:eastAsiaTheme="minorHAnsi"/>
          <w:sz w:val="28"/>
          <w:szCs w:val="28"/>
          <w:lang w:eastAsia="en-US"/>
        </w:rPr>
        <w:t>фосфорно</w:t>
      </w:r>
      <w:proofErr w:type="spellEnd"/>
      <w:r w:rsidRPr="00520861">
        <w:rPr>
          <w:rFonts w:eastAsiaTheme="minorHAnsi"/>
          <w:sz w:val="28"/>
          <w:szCs w:val="28"/>
          <w:lang w:eastAsia="en-US"/>
        </w:rPr>
        <w:t xml:space="preserve">-кальцієвого обміну та активності ЛФ мають суттєві відмінності в осіб різних підгруп, які були </w:t>
      </w:r>
      <w:proofErr w:type="spellStart"/>
      <w:r w:rsidRPr="00520861">
        <w:rPr>
          <w:rFonts w:eastAsiaTheme="minorHAnsi"/>
          <w:sz w:val="28"/>
          <w:szCs w:val="28"/>
          <w:lang w:eastAsia="en-US"/>
        </w:rPr>
        <w:t>рандомізовані</w:t>
      </w:r>
      <w:proofErr w:type="spellEnd"/>
      <w:r w:rsidRPr="00520861">
        <w:rPr>
          <w:rFonts w:eastAsiaTheme="minorHAnsi"/>
          <w:sz w:val="28"/>
          <w:szCs w:val="28"/>
          <w:lang w:eastAsia="en-US"/>
        </w:rPr>
        <w:t xml:space="preserve"> в залежності від конституції тіла на момент народження та гормональних особливостей ВУ розвитку.</w:t>
      </w:r>
    </w:p>
    <w:p w14:paraId="4D287A00" w14:textId="77777777" w:rsidR="002E3CE8" w:rsidRPr="00520861" w:rsidRDefault="002E3CE8" w:rsidP="00292D2E">
      <w:pPr>
        <w:widowControl w:val="0"/>
        <w:spacing w:line="360" w:lineRule="auto"/>
        <w:ind w:firstLine="709"/>
        <w:jc w:val="both"/>
        <w:rPr>
          <w:rFonts w:eastAsiaTheme="minorHAnsi"/>
          <w:sz w:val="28"/>
          <w:szCs w:val="28"/>
          <w:lang w:eastAsia="en-US"/>
        </w:rPr>
      </w:pPr>
    </w:p>
    <w:p w14:paraId="24DD39A1" w14:textId="77777777" w:rsidR="002E3CE8" w:rsidRPr="00520861" w:rsidRDefault="002E3CE8" w:rsidP="00292D2E">
      <w:pPr>
        <w:widowControl w:val="0"/>
        <w:spacing w:line="360" w:lineRule="auto"/>
        <w:ind w:firstLine="708"/>
        <w:jc w:val="both"/>
        <w:rPr>
          <w:rFonts w:eastAsia="Calibri"/>
          <w:b/>
          <w:sz w:val="28"/>
          <w:szCs w:val="28"/>
          <w:lang w:eastAsia="en-US"/>
        </w:rPr>
      </w:pPr>
      <w:r w:rsidRPr="00520861">
        <w:rPr>
          <w:rFonts w:eastAsia="Calibri"/>
          <w:b/>
          <w:sz w:val="28"/>
          <w:szCs w:val="28"/>
          <w:lang w:eastAsia="en-US"/>
        </w:rPr>
        <w:t xml:space="preserve">5.8. Результати виявлення асоціації між поліморфізмом генів </w:t>
      </w:r>
      <w:r w:rsidRPr="00520861">
        <w:rPr>
          <w:rFonts w:eastAsia="Calibri"/>
          <w:b/>
          <w:i/>
          <w:sz w:val="28"/>
          <w:szCs w:val="28"/>
          <w:lang w:eastAsia="en-US"/>
        </w:rPr>
        <w:t xml:space="preserve">CYP19A1 </w:t>
      </w:r>
      <w:r w:rsidRPr="00520861">
        <w:rPr>
          <w:rFonts w:eastAsia="Calibri"/>
          <w:b/>
          <w:sz w:val="28"/>
          <w:szCs w:val="28"/>
          <w:lang w:eastAsia="en-US"/>
        </w:rPr>
        <w:t xml:space="preserve">[rs2414096, rs936306], </w:t>
      </w:r>
      <w:r w:rsidRPr="00520861">
        <w:rPr>
          <w:rFonts w:eastAsia="Calibri"/>
          <w:b/>
          <w:i/>
          <w:sz w:val="28"/>
          <w:szCs w:val="28"/>
          <w:lang w:eastAsia="en-US"/>
        </w:rPr>
        <w:t>ESR1</w:t>
      </w:r>
      <w:r w:rsidRPr="00520861">
        <w:rPr>
          <w:rFonts w:eastAsia="Calibri"/>
          <w:b/>
          <w:sz w:val="28"/>
          <w:szCs w:val="28"/>
          <w:lang w:eastAsia="en-US"/>
        </w:rPr>
        <w:t xml:space="preserve"> [rs2234693, rs9340799], </w:t>
      </w:r>
      <w:r w:rsidRPr="00520861">
        <w:rPr>
          <w:rFonts w:eastAsia="Calibri"/>
          <w:b/>
          <w:i/>
          <w:sz w:val="28"/>
          <w:szCs w:val="28"/>
          <w:lang w:eastAsia="en-US"/>
        </w:rPr>
        <w:t xml:space="preserve">RANKL </w:t>
      </w:r>
      <w:r w:rsidRPr="00520861">
        <w:rPr>
          <w:rFonts w:eastAsia="Calibri"/>
          <w:b/>
          <w:sz w:val="28"/>
          <w:szCs w:val="28"/>
          <w:lang w:eastAsia="en-US"/>
        </w:rPr>
        <w:t xml:space="preserve">[rs9594738, rs9594759], </w:t>
      </w:r>
      <w:r w:rsidRPr="00520861">
        <w:rPr>
          <w:rFonts w:eastAsia="Calibri"/>
          <w:b/>
          <w:i/>
          <w:sz w:val="28"/>
          <w:szCs w:val="28"/>
          <w:lang w:eastAsia="en-US"/>
        </w:rPr>
        <w:t xml:space="preserve">IL6 </w:t>
      </w:r>
      <w:r w:rsidRPr="00520861">
        <w:rPr>
          <w:rFonts w:eastAsia="Calibri"/>
          <w:b/>
          <w:sz w:val="28"/>
          <w:szCs w:val="28"/>
          <w:lang w:eastAsia="en-US"/>
        </w:rPr>
        <w:t xml:space="preserve">[rs1800796], </w:t>
      </w:r>
      <w:r w:rsidRPr="00520861">
        <w:rPr>
          <w:rFonts w:eastAsia="Calibri"/>
          <w:b/>
          <w:i/>
          <w:sz w:val="28"/>
          <w:szCs w:val="28"/>
          <w:lang w:eastAsia="en-US"/>
        </w:rPr>
        <w:t>IL1</w:t>
      </w:r>
      <w:r w:rsidRPr="00520861">
        <w:rPr>
          <w:rFonts w:eastAsia="Calibri"/>
          <w:b/>
          <w:i/>
          <w:sz w:val="28"/>
          <w:szCs w:val="28"/>
          <w:lang w:eastAsia="en-US"/>
        </w:rPr>
        <w:sym w:font="Symbol" w:char="F062"/>
      </w:r>
      <w:r w:rsidRPr="00520861">
        <w:rPr>
          <w:rFonts w:eastAsia="Calibri"/>
          <w:b/>
          <w:sz w:val="28"/>
          <w:szCs w:val="28"/>
          <w:lang w:eastAsia="en-US"/>
        </w:rPr>
        <w:t xml:space="preserve"> [rs1143627] і </w:t>
      </w:r>
      <w:r w:rsidRPr="00520861">
        <w:rPr>
          <w:rFonts w:eastAsia="Calibri"/>
          <w:b/>
          <w:i/>
          <w:sz w:val="28"/>
          <w:szCs w:val="28"/>
          <w:lang w:eastAsia="en-US"/>
        </w:rPr>
        <w:t>IL10</w:t>
      </w:r>
      <w:r w:rsidRPr="00520861">
        <w:rPr>
          <w:rFonts w:eastAsia="Calibri"/>
          <w:b/>
          <w:sz w:val="28"/>
          <w:szCs w:val="28"/>
          <w:lang w:eastAsia="en-US"/>
        </w:rPr>
        <w:t xml:space="preserve"> [rs1800896] та термінами прорізування тимчасових зубів в осіб, які народилися </w:t>
      </w:r>
      <w:proofErr w:type="spellStart"/>
      <w:r w:rsidRPr="00520861">
        <w:rPr>
          <w:rFonts w:eastAsia="Calibri"/>
          <w:b/>
          <w:sz w:val="28"/>
          <w:szCs w:val="28"/>
          <w:lang w:eastAsia="en-US"/>
        </w:rPr>
        <w:t>макросомами</w:t>
      </w:r>
      <w:proofErr w:type="spellEnd"/>
    </w:p>
    <w:p w14:paraId="55F890FB" w14:textId="77777777" w:rsidR="002E3CE8" w:rsidRPr="00520861" w:rsidRDefault="002E3CE8" w:rsidP="00292D2E">
      <w:pPr>
        <w:widowControl w:val="0"/>
        <w:spacing w:line="360" w:lineRule="auto"/>
        <w:ind w:firstLine="709"/>
        <w:jc w:val="both"/>
        <w:rPr>
          <w:rFonts w:eastAsiaTheme="minorHAnsi"/>
          <w:sz w:val="28"/>
          <w:szCs w:val="28"/>
          <w:lang w:eastAsia="en-US"/>
        </w:rPr>
      </w:pPr>
    </w:p>
    <w:p w14:paraId="3BDECF91"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Calibri"/>
          <w:bCs/>
          <w:sz w:val="28"/>
          <w:szCs w:val="28"/>
          <w:lang w:eastAsia="en-US"/>
        </w:rPr>
        <w:t>Розраховані р</w:t>
      </w:r>
      <w:r w:rsidRPr="00520861">
        <w:rPr>
          <w:rFonts w:eastAsia="Calibri"/>
          <w:sz w:val="28"/>
          <w:szCs w:val="28"/>
          <w:lang w:eastAsia="en-US"/>
        </w:rPr>
        <w:t>озподіли</w:t>
      </w:r>
      <w:r w:rsidRPr="00520861">
        <w:rPr>
          <w:rFonts w:eastAsia="Calibri"/>
          <w:bCs/>
          <w:sz w:val="28"/>
          <w:szCs w:val="28"/>
          <w:lang w:eastAsia="en-US"/>
        </w:rPr>
        <w:t xml:space="preserve"> </w:t>
      </w:r>
      <w:r w:rsidRPr="00520861">
        <w:rPr>
          <w:rFonts w:eastAsia="Calibri"/>
          <w:sz w:val="28"/>
          <w:szCs w:val="28"/>
          <w:lang w:eastAsia="en-US"/>
        </w:rPr>
        <w:t>генотипів за обраними для дослідження генами</w:t>
      </w:r>
      <w:r w:rsidRPr="00520861">
        <w:rPr>
          <w:rFonts w:eastAsia="Calibri"/>
          <w:bCs/>
          <w:sz w:val="28"/>
          <w:szCs w:val="28"/>
          <w:lang w:eastAsia="en-US"/>
        </w:rPr>
        <w:t xml:space="preserve"> (</w:t>
      </w:r>
      <w:r w:rsidRPr="00520861">
        <w:rPr>
          <w:rFonts w:eastAsia="Calibri"/>
          <w:sz w:val="28"/>
          <w:szCs w:val="28"/>
          <w:lang w:eastAsia="en-US"/>
        </w:rPr>
        <w:t xml:space="preserve">табл. Б.1.21) </w:t>
      </w:r>
      <w:r w:rsidRPr="00520861">
        <w:rPr>
          <w:rFonts w:eastAsia="Calibri"/>
          <w:bCs/>
          <w:sz w:val="28"/>
          <w:szCs w:val="28"/>
          <w:lang w:eastAsia="en-US"/>
        </w:rPr>
        <w:t xml:space="preserve">в осіб </w:t>
      </w:r>
      <w:r w:rsidRPr="00520861">
        <w:rPr>
          <w:rFonts w:eastAsiaTheme="minorHAnsi"/>
          <w:sz w:val="28"/>
          <w:szCs w:val="28"/>
          <w:lang w:eastAsia="en-US"/>
        </w:rPr>
        <w:t>ОГ ПП, ОГ ЗП, ГП I та ГП II.</w:t>
      </w:r>
      <w:r w:rsidRPr="00520861">
        <w:rPr>
          <w:rFonts w:eastAsiaTheme="minorHAnsi"/>
          <w:spacing w:val="-2"/>
          <w:sz w:val="28"/>
          <w:szCs w:val="28"/>
          <w:lang w:eastAsia="en-US"/>
        </w:rPr>
        <w:t xml:space="preserve"> Р</w:t>
      </w:r>
      <w:r w:rsidRPr="00520861">
        <w:rPr>
          <w:rFonts w:eastAsiaTheme="minorHAnsi"/>
          <w:sz w:val="28"/>
          <w:szCs w:val="28"/>
          <w:lang w:eastAsia="en-US"/>
        </w:rPr>
        <w:t xml:space="preserve">озподіл генотипів за генами </w:t>
      </w:r>
      <w:r w:rsidRPr="00520861">
        <w:rPr>
          <w:rFonts w:eastAsiaTheme="minorHAnsi"/>
          <w:i/>
          <w:sz w:val="28"/>
          <w:szCs w:val="28"/>
          <w:lang w:eastAsia="en-US"/>
        </w:rPr>
        <w:t xml:space="preserve">CYP19A1, ESR1, </w:t>
      </w:r>
      <w:r w:rsidRPr="00520861">
        <w:rPr>
          <w:rFonts w:eastAsiaTheme="minorHAnsi"/>
          <w:bCs/>
          <w:i/>
          <w:sz w:val="28"/>
          <w:szCs w:val="28"/>
          <w:lang w:eastAsia="en-US"/>
        </w:rPr>
        <w:t xml:space="preserve">IL1, IL6, IL10 </w:t>
      </w:r>
      <w:r w:rsidRPr="00520861">
        <w:rPr>
          <w:rFonts w:eastAsiaTheme="minorHAnsi"/>
          <w:bCs/>
          <w:sz w:val="28"/>
          <w:szCs w:val="28"/>
          <w:lang w:eastAsia="en-US"/>
        </w:rPr>
        <w:t>і</w:t>
      </w:r>
      <w:r w:rsidRPr="00520861">
        <w:rPr>
          <w:rFonts w:eastAsiaTheme="minorHAnsi"/>
          <w:bCs/>
          <w:i/>
          <w:sz w:val="28"/>
          <w:szCs w:val="28"/>
          <w:lang w:eastAsia="en-US"/>
        </w:rPr>
        <w:t xml:space="preserve"> RANKL</w:t>
      </w:r>
      <w:r w:rsidRPr="00520861">
        <w:rPr>
          <w:rFonts w:eastAsiaTheme="minorHAnsi"/>
          <w:bCs/>
          <w:sz w:val="28"/>
          <w:szCs w:val="28"/>
          <w:lang w:eastAsia="en-US"/>
        </w:rPr>
        <w:t xml:space="preserve"> у вказаних групах</w:t>
      </w:r>
      <w:r w:rsidRPr="00520861">
        <w:rPr>
          <w:rFonts w:eastAsiaTheme="minorHAnsi"/>
          <w:sz w:val="28"/>
          <w:szCs w:val="28"/>
          <w:lang w:eastAsia="en-US"/>
        </w:rPr>
        <w:t xml:space="preserve"> перевірявся </w:t>
      </w:r>
      <w:r w:rsidRPr="00520861">
        <w:rPr>
          <w:rFonts w:eastAsiaTheme="minorHAnsi"/>
          <w:bCs/>
          <w:sz w:val="28"/>
          <w:szCs w:val="28"/>
          <w:lang w:eastAsia="en-US"/>
        </w:rPr>
        <w:t xml:space="preserve">на відповідність закону </w:t>
      </w:r>
      <w:proofErr w:type="spellStart"/>
      <w:r w:rsidRPr="00520861">
        <w:rPr>
          <w:rFonts w:eastAsiaTheme="minorHAnsi"/>
          <w:bCs/>
          <w:sz w:val="28"/>
          <w:szCs w:val="28"/>
          <w:lang w:eastAsia="en-US"/>
        </w:rPr>
        <w:t>Харді</w:t>
      </w:r>
      <w:proofErr w:type="spellEnd"/>
      <w:r w:rsidRPr="00520861">
        <w:rPr>
          <w:rFonts w:eastAsiaTheme="minorHAnsi"/>
          <w:bCs/>
          <w:sz w:val="28"/>
          <w:szCs w:val="28"/>
          <w:lang w:eastAsia="en-US"/>
        </w:rPr>
        <w:t xml:space="preserve"> – </w:t>
      </w:r>
      <w:proofErr w:type="spellStart"/>
      <w:r w:rsidRPr="00520861">
        <w:rPr>
          <w:rFonts w:eastAsiaTheme="minorHAnsi"/>
          <w:bCs/>
          <w:sz w:val="28"/>
          <w:szCs w:val="28"/>
          <w:lang w:eastAsia="en-US"/>
        </w:rPr>
        <w:t>Вайнберга</w:t>
      </w:r>
      <w:proofErr w:type="spellEnd"/>
      <w:r w:rsidRPr="00520861">
        <w:rPr>
          <w:rFonts w:eastAsiaTheme="minorHAnsi"/>
          <w:bCs/>
          <w:sz w:val="28"/>
          <w:szCs w:val="28"/>
          <w:lang w:eastAsia="en-US"/>
        </w:rPr>
        <w:t>.</w:t>
      </w:r>
      <w:r w:rsidRPr="00520861">
        <w:rPr>
          <w:rFonts w:eastAsiaTheme="minorHAnsi"/>
          <w:spacing w:val="-2"/>
          <w:sz w:val="28"/>
          <w:szCs w:val="28"/>
          <w:lang w:eastAsia="en-US"/>
        </w:rPr>
        <w:t xml:space="preserve"> Значущі відмінності виявлені між</w:t>
      </w:r>
      <w:r w:rsidRPr="00520861">
        <w:rPr>
          <w:rFonts w:eastAsiaTheme="minorHAnsi"/>
          <w:sz w:val="28"/>
          <w:szCs w:val="28"/>
          <w:lang w:eastAsia="en-US"/>
        </w:rPr>
        <w:t xml:space="preserve"> ГП I і ГП II</w:t>
      </w:r>
      <w:r w:rsidRPr="00520861">
        <w:rPr>
          <w:rFonts w:eastAsiaTheme="minorHAnsi"/>
          <w:spacing w:val="-2"/>
          <w:sz w:val="28"/>
          <w:szCs w:val="28"/>
          <w:lang w:eastAsia="en-US"/>
        </w:rPr>
        <w:t xml:space="preserve"> (табл.5.11). </w:t>
      </w:r>
    </w:p>
    <w:p w14:paraId="6DCDB41B" w14:textId="77777777" w:rsidR="002E3CE8" w:rsidRPr="00520861" w:rsidRDefault="002E3CE8" w:rsidP="00292D2E">
      <w:pPr>
        <w:widowControl w:val="0"/>
        <w:spacing w:line="360" w:lineRule="auto"/>
        <w:jc w:val="right"/>
        <w:rPr>
          <w:rFonts w:eastAsiaTheme="minorHAnsi"/>
          <w:i/>
          <w:sz w:val="28"/>
          <w:szCs w:val="28"/>
          <w:lang w:eastAsia="en-US"/>
        </w:rPr>
      </w:pPr>
      <w:r w:rsidRPr="00520861">
        <w:rPr>
          <w:rFonts w:eastAsiaTheme="minorHAnsi"/>
          <w:i/>
          <w:sz w:val="28"/>
          <w:szCs w:val="28"/>
          <w:lang w:eastAsia="en-US"/>
        </w:rPr>
        <w:t xml:space="preserve">Таблиця 5.11 </w:t>
      </w:r>
    </w:p>
    <w:p w14:paraId="07836620" w14:textId="77777777" w:rsidR="002E3CE8" w:rsidRPr="00520861" w:rsidRDefault="002E3CE8" w:rsidP="00292D2E">
      <w:pPr>
        <w:widowControl w:val="0"/>
        <w:spacing w:line="360" w:lineRule="auto"/>
        <w:jc w:val="center"/>
        <w:rPr>
          <w:rFonts w:eastAsiaTheme="minorHAnsi"/>
          <w:b/>
          <w:i/>
          <w:sz w:val="28"/>
          <w:szCs w:val="28"/>
          <w:lang w:eastAsia="en-US"/>
        </w:rPr>
      </w:pPr>
      <w:r w:rsidRPr="00520861">
        <w:rPr>
          <w:rFonts w:eastAsiaTheme="minorHAnsi"/>
          <w:b/>
          <w:sz w:val="28"/>
          <w:szCs w:val="28"/>
          <w:lang w:eastAsia="en-US"/>
        </w:rPr>
        <w:t xml:space="preserve">Порівняння частот розподілу поліморфних варіантів за генами </w:t>
      </w:r>
      <w:r w:rsidRPr="00520861">
        <w:rPr>
          <w:rFonts w:eastAsiaTheme="minorHAnsi"/>
          <w:b/>
          <w:i/>
          <w:sz w:val="28"/>
          <w:szCs w:val="28"/>
          <w:lang w:eastAsia="en-US"/>
        </w:rPr>
        <w:t>CYP19A1: A&gt;G</w:t>
      </w:r>
      <w:r w:rsidRPr="00520861">
        <w:rPr>
          <w:rFonts w:eastAsiaTheme="minorHAnsi"/>
          <w:b/>
          <w:sz w:val="28"/>
          <w:szCs w:val="28"/>
          <w:lang w:eastAsia="en-US"/>
        </w:rPr>
        <w:t xml:space="preserve"> [rs2414096] і </w:t>
      </w:r>
      <w:r w:rsidRPr="00520861">
        <w:rPr>
          <w:rFonts w:eastAsiaTheme="minorHAnsi"/>
          <w:b/>
          <w:i/>
          <w:sz w:val="28"/>
          <w:szCs w:val="28"/>
          <w:lang w:eastAsia="en-US"/>
        </w:rPr>
        <w:t>ESR1: -351 G&gt;A [</w:t>
      </w:r>
      <w:proofErr w:type="spellStart"/>
      <w:r w:rsidRPr="00520861">
        <w:rPr>
          <w:rFonts w:eastAsiaTheme="minorHAnsi"/>
          <w:b/>
          <w:i/>
          <w:sz w:val="28"/>
          <w:szCs w:val="28"/>
          <w:lang w:eastAsia="en-US"/>
        </w:rPr>
        <w:t>XbaI</w:t>
      </w:r>
      <w:proofErr w:type="spellEnd"/>
      <w:r w:rsidRPr="00520861">
        <w:rPr>
          <w:rFonts w:eastAsiaTheme="minorHAnsi"/>
          <w:b/>
          <w:i/>
          <w:sz w:val="28"/>
          <w:szCs w:val="28"/>
          <w:lang w:eastAsia="en-US"/>
        </w:rPr>
        <w:t xml:space="preserve">] </w:t>
      </w:r>
      <w:r w:rsidRPr="00520861">
        <w:rPr>
          <w:rFonts w:eastAsiaTheme="minorHAnsi"/>
          <w:b/>
          <w:sz w:val="28"/>
          <w:szCs w:val="28"/>
          <w:lang w:eastAsia="en-US"/>
        </w:rPr>
        <w:t>[rs9340799] між ГП I і ГП II</w:t>
      </w:r>
    </w:p>
    <w:tbl>
      <w:tblPr>
        <w:tblStyle w:val="2210"/>
        <w:tblW w:w="4378" w:type="pct"/>
        <w:jc w:val="center"/>
        <w:tblLayout w:type="fixed"/>
        <w:tblLook w:val="04A0" w:firstRow="1" w:lastRow="0" w:firstColumn="1" w:lastColumn="0" w:noHBand="0" w:noVBand="1"/>
      </w:tblPr>
      <w:tblGrid>
        <w:gridCol w:w="1655"/>
        <w:gridCol w:w="1475"/>
        <w:gridCol w:w="1552"/>
        <w:gridCol w:w="1234"/>
        <w:gridCol w:w="2006"/>
        <w:gridCol w:w="955"/>
      </w:tblGrid>
      <w:tr w:rsidR="002E3CE8" w:rsidRPr="00520861" w14:paraId="06F139A5" w14:textId="77777777" w:rsidTr="00292D2E">
        <w:trPr>
          <w:jc w:val="center"/>
        </w:trPr>
        <w:tc>
          <w:tcPr>
            <w:tcW w:w="932" w:type="pct"/>
            <w:vMerge w:val="restart"/>
            <w:tcBorders>
              <w:top w:val="single" w:sz="4" w:space="0" w:color="auto"/>
              <w:left w:val="single" w:sz="4" w:space="0" w:color="auto"/>
              <w:bottom w:val="single" w:sz="4" w:space="0" w:color="auto"/>
              <w:right w:val="single" w:sz="4" w:space="0" w:color="auto"/>
            </w:tcBorders>
            <w:hideMark/>
          </w:tcPr>
          <w:p w14:paraId="56F185E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Ген</w:t>
            </w:r>
          </w:p>
        </w:tc>
        <w:tc>
          <w:tcPr>
            <w:tcW w:w="831" w:type="pct"/>
            <w:vMerge w:val="restart"/>
            <w:tcBorders>
              <w:top w:val="single" w:sz="4" w:space="0" w:color="auto"/>
              <w:left w:val="single" w:sz="4" w:space="0" w:color="auto"/>
              <w:bottom w:val="single" w:sz="4" w:space="0" w:color="auto"/>
              <w:right w:val="single" w:sz="4" w:space="0" w:color="auto"/>
            </w:tcBorders>
            <w:hideMark/>
          </w:tcPr>
          <w:p w14:paraId="0AAAFC8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Генотип</w:t>
            </w:r>
          </w:p>
        </w:tc>
        <w:tc>
          <w:tcPr>
            <w:tcW w:w="3238" w:type="pct"/>
            <w:gridSpan w:val="4"/>
            <w:tcBorders>
              <w:top w:val="single" w:sz="4" w:space="0" w:color="auto"/>
              <w:left w:val="single" w:sz="4" w:space="0" w:color="auto"/>
              <w:bottom w:val="single" w:sz="4" w:space="0" w:color="auto"/>
              <w:right w:val="single" w:sz="4" w:space="0" w:color="auto"/>
            </w:tcBorders>
            <w:hideMark/>
          </w:tcPr>
          <w:p w14:paraId="5CA6D2C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Результати статистичного аналізу</w:t>
            </w:r>
          </w:p>
        </w:tc>
      </w:tr>
      <w:tr w:rsidR="002E3CE8" w:rsidRPr="00520861" w14:paraId="061626A7" w14:textId="77777777" w:rsidTr="00292D2E">
        <w:trPr>
          <w:jc w:val="center"/>
        </w:trPr>
        <w:tc>
          <w:tcPr>
            <w:tcW w:w="932" w:type="pct"/>
            <w:vMerge/>
            <w:tcBorders>
              <w:top w:val="single" w:sz="4" w:space="0" w:color="auto"/>
              <w:left w:val="single" w:sz="4" w:space="0" w:color="auto"/>
              <w:bottom w:val="single" w:sz="4" w:space="0" w:color="auto"/>
              <w:right w:val="single" w:sz="4" w:space="0" w:color="auto"/>
            </w:tcBorders>
            <w:vAlign w:val="center"/>
            <w:hideMark/>
          </w:tcPr>
          <w:p w14:paraId="6F3D3380" w14:textId="77777777" w:rsidR="002E3CE8" w:rsidRPr="00520861" w:rsidRDefault="002E3CE8" w:rsidP="00292D2E">
            <w:pPr>
              <w:widowControl w:val="0"/>
              <w:spacing w:line="360" w:lineRule="auto"/>
              <w:rPr>
                <w:rFonts w:eastAsia="Calibri"/>
                <w:sz w:val="28"/>
                <w:szCs w:val="28"/>
              </w:rPr>
            </w:pPr>
          </w:p>
        </w:tc>
        <w:tc>
          <w:tcPr>
            <w:tcW w:w="831" w:type="pct"/>
            <w:vMerge/>
            <w:tcBorders>
              <w:top w:val="single" w:sz="4" w:space="0" w:color="auto"/>
              <w:left w:val="single" w:sz="4" w:space="0" w:color="auto"/>
              <w:bottom w:val="single" w:sz="4" w:space="0" w:color="auto"/>
              <w:right w:val="single" w:sz="4" w:space="0" w:color="auto"/>
            </w:tcBorders>
            <w:vAlign w:val="center"/>
            <w:hideMark/>
          </w:tcPr>
          <w:p w14:paraId="19ED970F" w14:textId="77777777" w:rsidR="002E3CE8" w:rsidRPr="00520861" w:rsidRDefault="002E3CE8" w:rsidP="00292D2E">
            <w:pPr>
              <w:widowControl w:val="0"/>
              <w:spacing w:line="360" w:lineRule="auto"/>
              <w:rPr>
                <w:rFonts w:eastAsia="Calibri"/>
                <w:sz w:val="28"/>
                <w:szCs w:val="28"/>
              </w:rPr>
            </w:pPr>
          </w:p>
        </w:tc>
        <w:tc>
          <w:tcPr>
            <w:tcW w:w="874" w:type="pct"/>
            <w:tcBorders>
              <w:top w:val="single" w:sz="4" w:space="0" w:color="auto"/>
              <w:left w:val="single" w:sz="4" w:space="0" w:color="auto"/>
              <w:bottom w:val="single" w:sz="4" w:space="0" w:color="auto"/>
              <w:right w:val="single" w:sz="4" w:space="0" w:color="auto"/>
            </w:tcBorders>
            <w:hideMark/>
          </w:tcPr>
          <w:p w14:paraId="4AC8E11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sym w:font="Symbol" w:char="F063"/>
            </w:r>
            <w:r w:rsidRPr="00520861">
              <w:rPr>
                <w:rFonts w:eastAsia="Calibri"/>
                <w:sz w:val="28"/>
                <w:szCs w:val="28"/>
                <w:vertAlign w:val="superscript"/>
              </w:rPr>
              <w:t>2</w:t>
            </w:r>
            <w:r w:rsidRPr="00520861">
              <w:rPr>
                <w:rFonts w:eastAsia="Calibri"/>
                <w:sz w:val="28"/>
                <w:szCs w:val="28"/>
              </w:rPr>
              <w:t xml:space="preserve"> (</w:t>
            </w:r>
            <w:proofErr w:type="spellStart"/>
            <w:r w:rsidRPr="00520861">
              <w:rPr>
                <w:rFonts w:eastAsia="Calibri"/>
                <w:sz w:val="28"/>
                <w:szCs w:val="28"/>
              </w:rPr>
              <w:t>Йєтс</w:t>
            </w:r>
            <w:proofErr w:type="spellEnd"/>
            <w:r w:rsidRPr="00520861">
              <w:rPr>
                <w:rFonts w:eastAsia="Calibri"/>
                <w:sz w:val="28"/>
                <w:szCs w:val="28"/>
              </w:rPr>
              <w:t>)</w:t>
            </w:r>
          </w:p>
        </w:tc>
        <w:tc>
          <w:tcPr>
            <w:tcW w:w="695" w:type="pct"/>
            <w:tcBorders>
              <w:top w:val="single" w:sz="4" w:space="0" w:color="auto"/>
              <w:left w:val="single" w:sz="4" w:space="0" w:color="auto"/>
              <w:bottom w:val="single" w:sz="4" w:space="0" w:color="auto"/>
              <w:right w:val="single" w:sz="4" w:space="0" w:color="auto"/>
            </w:tcBorders>
            <w:hideMark/>
          </w:tcPr>
          <w:p w14:paraId="1770ADA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ВШ</w:t>
            </w:r>
          </w:p>
        </w:tc>
        <w:tc>
          <w:tcPr>
            <w:tcW w:w="1130" w:type="pct"/>
            <w:tcBorders>
              <w:top w:val="single" w:sz="4" w:space="0" w:color="auto"/>
              <w:left w:val="single" w:sz="4" w:space="0" w:color="auto"/>
              <w:bottom w:val="single" w:sz="4" w:space="0" w:color="auto"/>
              <w:right w:val="single" w:sz="4" w:space="0" w:color="auto"/>
            </w:tcBorders>
            <w:hideMark/>
          </w:tcPr>
          <w:p w14:paraId="58C318F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95% ДІ</w:t>
            </w:r>
          </w:p>
        </w:tc>
        <w:tc>
          <w:tcPr>
            <w:tcW w:w="538" w:type="pct"/>
            <w:tcBorders>
              <w:top w:val="single" w:sz="4" w:space="0" w:color="auto"/>
              <w:left w:val="single" w:sz="4" w:space="0" w:color="auto"/>
              <w:bottom w:val="single" w:sz="4" w:space="0" w:color="auto"/>
              <w:right w:val="single" w:sz="4" w:space="0" w:color="auto"/>
            </w:tcBorders>
            <w:hideMark/>
          </w:tcPr>
          <w:p w14:paraId="4FA19D23" w14:textId="77777777" w:rsidR="002E3CE8" w:rsidRPr="00520861" w:rsidRDefault="002E3CE8" w:rsidP="00292D2E">
            <w:pPr>
              <w:widowControl w:val="0"/>
              <w:spacing w:line="360" w:lineRule="auto"/>
              <w:jc w:val="center"/>
              <w:rPr>
                <w:rFonts w:eastAsia="Calibri"/>
                <w:i/>
                <w:sz w:val="28"/>
                <w:szCs w:val="28"/>
              </w:rPr>
            </w:pPr>
            <w:r w:rsidRPr="00520861">
              <w:rPr>
                <w:rFonts w:eastAsia="Calibri"/>
                <w:i/>
                <w:sz w:val="28"/>
                <w:szCs w:val="28"/>
              </w:rPr>
              <w:t>P</w:t>
            </w:r>
          </w:p>
        </w:tc>
      </w:tr>
      <w:tr w:rsidR="002E3CE8" w:rsidRPr="00520861" w14:paraId="118C18B8" w14:textId="77777777" w:rsidTr="00292D2E">
        <w:trPr>
          <w:trHeight w:val="362"/>
          <w:jc w:val="center"/>
        </w:trPr>
        <w:tc>
          <w:tcPr>
            <w:tcW w:w="932" w:type="pct"/>
            <w:tcBorders>
              <w:top w:val="single" w:sz="4" w:space="0" w:color="auto"/>
              <w:left w:val="single" w:sz="4" w:space="0" w:color="auto"/>
              <w:bottom w:val="single" w:sz="4" w:space="0" w:color="auto"/>
              <w:right w:val="single" w:sz="4" w:space="0" w:color="auto"/>
            </w:tcBorders>
            <w:vAlign w:val="center"/>
          </w:tcPr>
          <w:p w14:paraId="1AD58D7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w:t>
            </w:r>
          </w:p>
        </w:tc>
        <w:tc>
          <w:tcPr>
            <w:tcW w:w="831" w:type="pct"/>
            <w:tcBorders>
              <w:top w:val="single" w:sz="4" w:space="0" w:color="auto"/>
              <w:left w:val="single" w:sz="4" w:space="0" w:color="auto"/>
              <w:bottom w:val="single" w:sz="4" w:space="0" w:color="auto"/>
              <w:right w:val="single" w:sz="4" w:space="0" w:color="auto"/>
            </w:tcBorders>
            <w:vAlign w:val="center"/>
          </w:tcPr>
          <w:p w14:paraId="0DA0DBE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w:t>
            </w:r>
          </w:p>
        </w:tc>
        <w:tc>
          <w:tcPr>
            <w:tcW w:w="874" w:type="pct"/>
            <w:tcBorders>
              <w:top w:val="single" w:sz="4" w:space="0" w:color="auto"/>
              <w:left w:val="single" w:sz="4" w:space="0" w:color="auto"/>
              <w:bottom w:val="single" w:sz="4" w:space="0" w:color="auto"/>
              <w:right w:val="single" w:sz="4" w:space="0" w:color="auto"/>
            </w:tcBorders>
          </w:tcPr>
          <w:p w14:paraId="6F22212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w:t>
            </w:r>
          </w:p>
        </w:tc>
        <w:tc>
          <w:tcPr>
            <w:tcW w:w="695" w:type="pct"/>
            <w:tcBorders>
              <w:top w:val="single" w:sz="4" w:space="0" w:color="auto"/>
              <w:left w:val="single" w:sz="4" w:space="0" w:color="auto"/>
              <w:bottom w:val="single" w:sz="4" w:space="0" w:color="auto"/>
              <w:right w:val="single" w:sz="4" w:space="0" w:color="auto"/>
            </w:tcBorders>
          </w:tcPr>
          <w:p w14:paraId="0B5F0AB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w:t>
            </w:r>
          </w:p>
        </w:tc>
        <w:tc>
          <w:tcPr>
            <w:tcW w:w="1130" w:type="pct"/>
            <w:tcBorders>
              <w:top w:val="single" w:sz="4" w:space="0" w:color="auto"/>
              <w:left w:val="single" w:sz="4" w:space="0" w:color="auto"/>
              <w:bottom w:val="single" w:sz="4" w:space="0" w:color="auto"/>
              <w:right w:val="single" w:sz="4" w:space="0" w:color="auto"/>
            </w:tcBorders>
          </w:tcPr>
          <w:p w14:paraId="582B132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w:t>
            </w:r>
          </w:p>
        </w:tc>
        <w:tc>
          <w:tcPr>
            <w:tcW w:w="538" w:type="pct"/>
            <w:tcBorders>
              <w:top w:val="single" w:sz="4" w:space="0" w:color="auto"/>
              <w:left w:val="single" w:sz="4" w:space="0" w:color="auto"/>
              <w:bottom w:val="single" w:sz="4" w:space="0" w:color="auto"/>
              <w:right w:val="single" w:sz="4" w:space="0" w:color="auto"/>
            </w:tcBorders>
          </w:tcPr>
          <w:p w14:paraId="078B997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w:t>
            </w:r>
          </w:p>
        </w:tc>
      </w:tr>
      <w:tr w:rsidR="002E3CE8" w:rsidRPr="00520861" w14:paraId="7DEABF66" w14:textId="77777777" w:rsidTr="00292D2E">
        <w:trPr>
          <w:jc w:val="center"/>
        </w:trPr>
        <w:tc>
          <w:tcPr>
            <w:tcW w:w="932" w:type="pct"/>
            <w:vMerge w:val="restart"/>
            <w:tcBorders>
              <w:top w:val="single" w:sz="4" w:space="0" w:color="auto"/>
              <w:left w:val="single" w:sz="4" w:space="0" w:color="auto"/>
              <w:bottom w:val="single" w:sz="4" w:space="0" w:color="auto"/>
              <w:right w:val="single" w:sz="4" w:space="0" w:color="auto"/>
            </w:tcBorders>
            <w:hideMark/>
          </w:tcPr>
          <w:p w14:paraId="469D092F" w14:textId="77777777" w:rsidR="002E3CE8" w:rsidRPr="00520861" w:rsidRDefault="002E3CE8" w:rsidP="00292D2E">
            <w:pPr>
              <w:widowControl w:val="0"/>
              <w:spacing w:line="360" w:lineRule="auto"/>
              <w:ind w:right="-133"/>
              <w:jc w:val="center"/>
              <w:rPr>
                <w:rFonts w:eastAsia="Calibri"/>
                <w:sz w:val="28"/>
                <w:szCs w:val="28"/>
              </w:rPr>
            </w:pPr>
            <w:r w:rsidRPr="00520861">
              <w:rPr>
                <w:rFonts w:eastAsia="Calibri"/>
                <w:i/>
                <w:sz w:val="28"/>
                <w:szCs w:val="28"/>
              </w:rPr>
              <w:t>CYP19A1: A&gt;G</w:t>
            </w:r>
            <w:r w:rsidRPr="00520861">
              <w:rPr>
                <w:rFonts w:eastAsia="Calibri"/>
                <w:sz w:val="28"/>
                <w:szCs w:val="28"/>
              </w:rPr>
              <w:t xml:space="preserve"> [rs2414096]</w:t>
            </w:r>
          </w:p>
        </w:tc>
        <w:tc>
          <w:tcPr>
            <w:tcW w:w="4068" w:type="pct"/>
            <w:gridSpan w:val="5"/>
            <w:tcBorders>
              <w:top w:val="single" w:sz="4" w:space="0" w:color="auto"/>
              <w:left w:val="single" w:sz="4" w:space="0" w:color="auto"/>
              <w:bottom w:val="single" w:sz="4" w:space="0" w:color="auto"/>
              <w:right w:val="single" w:sz="4" w:space="0" w:color="auto"/>
            </w:tcBorders>
            <w:hideMark/>
          </w:tcPr>
          <w:p w14:paraId="11762EB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Адитивна модель</w:t>
            </w:r>
          </w:p>
        </w:tc>
      </w:tr>
      <w:tr w:rsidR="002E3CE8" w:rsidRPr="00520861" w14:paraId="4744E0F5" w14:textId="77777777" w:rsidTr="00292D2E">
        <w:trPr>
          <w:jc w:val="center"/>
        </w:trPr>
        <w:tc>
          <w:tcPr>
            <w:tcW w:w="932" w:type="pct"/>
            <w:vMerge/>
            <w:tcBorders>
              <w:top w:val="single" w:sz="4" w:space="0" w:color="auto"/>
              <w:left w:val="single" w:sz="4" w:space="0" w:color="auto"/>
              <w:bottom w:val="single" w:sz="4" w:space="0" w:color="auto"/>
              <w:right w:val="single" w:sz="4" w:space="0" w:color="auto"/>
            </w:tcBorders>
            <w:vAlign w:val="center"/>
            <w:hideMark/>
          </w:tcPr>
          <w:p w14:paraId="31BDB09B" w14:textId="77777777" w:rsidR="002E3CE8" w:rsidRPr="00520861" w:rsidRDefault="002E3CE8" w:rsidP="00292D2E">
            <w:pPr>
              <w:widowControl w:val="0"/>
              <w:spacing w:line="360" w:lineRule="auto"/>
              <w:rPr>
                <w:rFonts w:eastAsia="Calibri"/>
                <w:sz w:val="28"/>
                <w:szCs w:val="28"/>
              </w:rPr>
            </w:pPr>
          </w:p>
        </w:tc>
        <w:tc>
          <w:tcPr>
            <w:tcW w:w="831" w:type="pct"/>
            <w:tcBorders>
              <w:top w:val="single" w:sz="4" w:space="0" w:color="auto"/>
              <w:left w:val="single" w:sz="4" w:space="0" w:color="auto"/>
              <w:bottom w:val="single" w:sz="4" w:space="0" w:color="auto"/>
              <w:right w:val="single" w:sz="4" w:space="0" w:color="auto"/>
            </w:tcBorders>
            <w:hideMark/>
          </w:tcPr>
          <w:p w14:paraId="552CEA3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w:t>
            </w:r>
          </w:p>
          <w:p w14:paraId="3722643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AG</w:t>
            </w:r>
          </w:p>
          <w:p w14:paraId="3D6BBE8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w:t>
            </w:r>
          </w:p>
        </w:tc>
        <w:tc>
          <w:tcPr>
            <w:tcW w:w="874" w:type="pct"/>
            <w:tcBorders>
              <w:top w:val="single" w:sz="4" w:space="0" w:color="auto"/>
              <w:left w:val="single" w:sz="4" w:space="0" w:color="auto"/>
              <w:bottom w:val="single" w:sz="4" w:space="0" w:color="auto"/>
              <w:right w:val="single" w:sz="4" w:space="0" w:color="auto"/>
            </w:tcBorders>
            <w:hideMark/>
          </w:tcPr>
          <w:p w14:paraId="69799A2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6,586</w:t>
            </w:r>
          </w:p>
        </w:tc>
        <w:tc>
          <w:tcPr>
            <w:tcW w:w="695" w:type="pct"/>
            <w:tcBorders>
              <w:top w:val="single" w:sz="4" w:space="0" w:color="auto"/>
              <w:left w:val="single" w:sz="4" w:space="0" w:color="auto"/>
              <w:bottom w:val="single" w:sz="4" w:space="0" w:color="auto"/>
              <w:right w:val="single" w:sz="4" w:space="0" w:color="auto"/>
            </w:tcBorders>
            <w:hideMark/>
          </w:tcPr>
          <w:p w14:paraId="791CE60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0,263</w:t>
            </w:r>
          </w:p>
          <w:p w14:paraId="64B2468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1,560</w:t>
            </w:r>
          </w:p>
          <w:p w14:paraId="26499A8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3,800</w:t>
            </w:r>
          </w:p>
        </w:tc>
        <w:tc>
          <w:tcPr>
            <w:tcW w:w="1130" w:type="pct"/>
            <w:tcBorders>
              <w:top w:val="single" w:sz="4" w:space="0" w:color="auto"/>
              <w:left w:val="single" w:sz="4" w:space="0" w:color="auto"/>
              <w:bottom w:val="single" w:sz="4" w:space="0" w:color="auto"/>
              <w:right w:val="single" w:sz="4" w:space="0" w:color="auto"/>
            </w:tcBorders>
            <w:hideMark/>
          </w:tcPr>
          <w:p w14:paraId="70B9872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0,099–0,701</w:t>
            </w:r>
          </w:p>
          <w:p w14:paraId="1881DA4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0,594–4,098</w:t>
            </w:r>
          </w:p>
          <w:p w14:paraId="489F8ED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0,830–17,401</w:t>
            </w:r>
          </w:p>
        </w:tc>
        <w:tc>
          <w:tcPr>
            <w:tcW w:w="538" w:type="pct"/>
            <w:tcBorders>
              <w:top w:val="single" w:sz="4" w:space="0" w:color="auto"/>
              <w:left w:val="single" w:sz="4" w:space="0" w:color="auto"/>
              <w:bottom w:val="single" w:sz="4" w:space="0" w:color="auto"/>
              <w:right w:val="single" w:sz="4" w:space="0" w:color="auto"/>
            </w:tcBorders>
            <w:hideMark/>
          </w:tcPr>
          <w:p w14:paraId="2C36A42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0,037</w:t>
            </w:r>
          </w:p>
        </w:tc>
      </w:tr>
      <w:tr w:rsidR="002E3CE8" w:rsidRPr="00520861" w14:paraId="01520CF7" w14:textId="77777777" w:rsidTr="00292D2E">
        <w:trPr>
          <w:jc w:val="center"/>
        </w:trPr>
        <w:tc>
          <w:tcPr>
            <w:tcW w:w="932" w:type="pct"/>
            <w:vMerge/>
            <w:tcBorders>
              <w:top w:val="single" w:sz="4" w:space="0" w:color="auto"/>
              <w:left w:val="single" w:sz="4" w:space="0" w:color="auto"/>
              <w:bottom w:val="single" w:sz="4" w:space="0" w:color="auto"/>
              <w:right w:val="single" w:sz="4" w:space="0" w:color="auto"/>
            </w:tcBorders>
            <w:vAlign w:val="center"/>
            <w:hideMark/>
          </w:tcPr>
          <w:p w14:paraId="387700F4" w14:textId="77777777" w:rsidR="002E3CE8" w:rsidRPr="00520861" w:rsidRDefault="002E3CE8" w:rsidP="00292D2E">
            <w:pPr>
              <w:widowControl w:val="0"/>
              <w:spacing w:line="360" w:lineRule="auto"/>
              <w:rPr>
                <w:rFonts w:eastAsia="Calibri"/>
                <w:sz w:val="28"/>
                <w:szCs w:val="28"/>
              </w:rPr>
            </w:pPr>
          </w:p>
        </w:tc>
        <w:tc>
          <w:tcPr>
            <w:tcW w:w="4068" w:type="pct"/>
            <w:gridSpan w:val="5"/>
            <w:tcBorders>
              <w:top w:val="single" w:sz="4" w:space="0" w:color="auto"/>
              <w:left w:val="single" w:sz="4" w:space="0" w:color="auto"/>
              <w:bottom w:val="single" w:sz="4" w:space="0" w:color="auto"/>
              <w:right w:val="single" w:sz="4" w:space="0" w:color="auto"/>
            </w:tcBorders>
            <w:hideMark/>
          </w:tcPr>
          <w:p w14:paraId="486C645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Рецесивна модель</w:t>
            </w:r>
          </w:p>
        </w:tc>
      </w:tr>
      <w:tr w:rsidR="002E3CE8" w:rsidRPr="00520861" w14:paraId="45497853" w14:textId="77777777" w:rsidTr="00292D2E">
        <w:trPr>
          <w:jc w:val="center"/>
        </w:trPr>
        <w:tc>
          <w:tcPr>
            <w:tcW w:w="932" w:type="pct"/>
            <w:vMerge/>
            <w:tcBorders>
              <w:top w:val="single" w:sz="4" w:space="0" w:color="auto"/>
              <w:left w:val="single" w:sz="4" w:space="0" w:color="auto"/>
              <w:bottom w:val="single" w:sz="4" w:space="0" w:color="auto"/>
              <w:right w:val="single" w:sz="4" w:space="0" w:color="auto"/>
            </w:tcBorders>
            <w:vAlign w:val="center"/>
            <w:hideMark/>
          </w:tcPr>
          <w:p w14:paraId="43C80B6A" w14:textId="77777777" w:rsidR="002E3CE8" w:rsidRPr="00520861" w:rsidRDefault="002E3CE8" w:rsidP="00292D2E">
            <w:pPr>
              <w:widowControl w:val="0"/>
              <w:spacing w:line="360" w:lineRule="auto"/>
              <w:rPr>
                <w:rFonts w:eastAsia="Calibri"/>
                <w:sz w:val="28"/>
                <w:szCs w:val="28"/>
              </w:rPr>
            </w:pPr>
          </w:p>
        </w:tc>
        <w:tc>
          <w:tcPr>
            <w:tcW w:w="831" w:type="pct"/>
            <w:tcBorders>
              <w:top w:val="single" w:sz="4" w:space="0" w:color="auto"/>
              <w:left w:val="single" w:sz="4" w:space="0" w:color="auto"/>
              <w:bottom w:val="single" w:sz="4" w:space="0" w:color="auto"/>
              <w:right w:val="single" w:sz="4" w:space="0" w:color="auto"/>
            </w:tcBorders>
            <w:hideMark/>
          </w:tcPr>
          <w:p w14:paraId="6C6AB76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AA+AG</w:t>
            </w:r>
          </w:p>
          <w:p w14:paraId="5509C95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w:t>
            </w:r>
          </w:p>
        </w:tc>
        <w:tc>
          <w:tcPr>
            <w:tcW w:w="874" w:type="pct"/>
            <w:tcBorders>
              <w:top w:val="single" w:sz="4" w:space="0" w:color="auto"/>
              <w:left w:val="single" w:sz="4" w:space="0" w:color="auto"/>
              <w:bottom w:val="single" w:sz="4" w:space="0" w:color="auto"/>
              <w:right w:val="single" w:sz="4" w:space="0" w:color="auto"/>
            </w:tcBorders>
            <w:hideMark/>
          </w:tcPr>
          <w:p w14:paraId="737D3AE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2,394</w:t>
            </w:r>
          </w:p>
        </w:tc>
        <w:tc>
          <w:tcPr>
            <w:tcW w:w="695" w:type="pct"/>
            <w:tcBorders>
              <w:top w:val="single" w:sz="4" w:space="0" w:color="auto"/>
              <w:left w:val="single" w:sz="4" w:space="0" w:color="auto"/>
              <w:bottom w:val="single" w:sz="4" w:space="0" w:color="auto"/>
              <w:right w:val="single" w:sz="4" w:space="0" w:color="auto"/>
            </w:tcBorders>
            <w:hideMark/>
          </w:tcPr>
          <w:p w14:paraId="2649DA9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0,263</w:t>
            </w:r>
          </w:p>
          <w:p w14:paraId="7A543DC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3,800</w:t>
            </w:r>
          </w:p>
        </w:tc>
        <w:tc>
          <w:tcPr>
            <w:tcW w:w="1130" w:type="pct"/>
            <w:tcBorders>
              <w:top w:val="single" w:sz="4" w:space="0" w:color="auto"/>
              <w:left w:val="single" w:sz="4" w:space="0" w:color="auto"/>
              <w:bottom w:val="single" w:sz="4" w:space="0" w:color="auto"/>
              <w:right w:val="single" w:sz="4" w:space="0" w:color="auto"/>
            </w:tcBorders>
            <w:hideMark/>
          </w:tcPr>
          <w:p w14:paraId="0CD1FFF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0,057–1,205</w:t>
            </w:r>
          </w:p>
          <w:p w14:paraId="6F555B1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0,830–17,401</w:t>
            </w:r>
          </w:p>
        </w:tc>
        <w:tc>
          <w:tcPr>
            <w:tcW w:w="538" w:type="pct"/>
            <w:tcBorders>
              <w:top w:val="single" w:sz="4" w:space="0" w:color="auto"/>
              <w:left w:val="single" w:sz="4" w:space="0" w:color="auto"/>
              <w:bottom w:val="single" w:sz="4" w:space="0" w:color="auto"/>
              <w:right w:val="single" w:sz="4" w:space="0" w:color="auto"/>
            </w:tcBorders>
            <w:hideMark/>
          </w:tcPr>
          <w:p w14:paraId="3894F36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0,122</w:t>
            </w:r>
          </w:p>
        </w:tc>
      </w:tr>
      <w:tr w:rsidR="002E3CE8" w:rsidRPr="00520861" w14:paraId="4E09275A" w14:textId="77777777" w:rsidTr="00292D2E">
        <w:trPr>
          <w:jc w:val="center"/>
        </w:trPr>
        <w:tc>
          <w:tcPr>
            <w:tcW w:w="932" w:type="pct"/>
            <w:vMerge/>
            <w:tcBorders>
              <w:top w:val="single" w:sz="4" w:space="0" w:color="auto"/>
              <w:left w:val="single" w:sz="4" w:space="0" w:color="auto"/>
              <w:bottom w:val="single" w:sz="4" w:space="0" w:color="auto"/>
              <w:right w:val="single" w:sz="4" w:space="0" w:color="auto"/>
            </w:tcBorders>
            <w:vAlign w:val="center"/>
            <w:hideMark/>
          </w:tcPr>
          <w:p w14:paraId="2E99E8D0" w14:textId="77777777" w:rsidR="002E3CE8" w:rsidRPr="00520861" w:rsidRDefault="002E3CE8" w:rsidP="00292D2E">
            <w:pPr>
              <w:widowControl w:val="0"/>
              <w:spacing w:line="360" w:lineRule="auto"/>
              <w:rPr>
                <w:rFonts w:eastAsia="Calibri"/>
                <w:sz w:val="28"/>
                <w:szCs w:val="28"/>
              </w:rPr>
            </w:pPr>
          </w:p>
        </w:tc>
        <w:tc>
          <w:tcPr>
            <w:tcW w:w="4068" w:type="pct"/>
            <w:gridSpan w:val="5"/>
            <w:tcBorders>
              <w:top w:val="single" w:sz="4" w:space="0" w:color="auto"/>
              <w:left w:val="single" w:sz="4" w:space="0" w:color="auto"/>
              <w:bottom w:val="single" w:sz="4" w:space="0" w:color="auto"/>
              <w:right w:val="single" w:sz="4" w:space="0" w:color="auto"/>
            </w:tcBorders>
            <w:hideMark/>
          </w:tcPr>
          <w:p w14:paraId="6185332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Домінантна модель</w:t>
            </w:r>
          </w:p>
        </w:tc>
      </w:tr>
      <w:tr w:rsidR="002E3CE8" w:rsidRPr="00520861" w14:paraId="63FA1F21" w14:textId="77777777" w:rsidTr="00292D2E">
        <w:trPr>
          <w:jc w:val="center"/>
        </w:trPr>
        <w:tc>
          <w:tcPr>
            <w:tcW w:w="932" w:type="pct"/>
            <w:vMerge/>
            <w:tcBorders>
              <w:top w:val="single" w:sz="4" w:space="0" w:color="auto"/>
              <w:left w:val="single" w:sz="4" w:space="0" w:color="auto"/>
              <w:bottom w:val="single" w:sz="4" w:space="0" w:color="auto"/>
              <w:right w:val="single" w:sz="4" w:space="0" w:color="auto"/>
            </w:tcBorders>
            <w:vAlign w:val="center"/>
            <w:hideMark/>
          </w:tcPr>
          <w:p w14:paraId="50379803" w14:textId="77777777" w:rsidR="002E3CE8" w:rsidRPr="00520861" w:rsidRDefault="002E3CE8" w:rsidP="00292D2E">
            <w:pPr>
              <w:widowControl w:val="0"/>
              <w:spacing w:line="360" w:lineRule="auto"/>
              <w:rPr>
                <w:rFonts w:eastAsia="Calibri"/>
                <w:sz w:val="28"/>
                <w:szCs w:val="28"/>
              </w:rPr>
            </w:pPr>
          </w:p>
        </w:tc>
        <w:tc>
          <w:tcPr>
            <w:tcW w:w="831" w:type="pct"/>
            <w:tcBorders>
              <w:top w:val="single" w:sz="4" w:space="0" w:color="auto"/>
              <w:left w:val="single" w:sz="4" w:space="0" w:color="auto"/>
              <w:bottom w:val="single" w:sz="4" w:space="0" w:color="auto"/>
              <w:right w:val="single" w:sz="4" w:space="0" w:color="auto"/>
            </w:tcBorders>
            <w:hideMark/>
          </w:tcPr>
          <w:p w14:paraId="7FCF8FA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w:t>
            </w:r>
          </w:p>
          <w:p w14:paraId="58C67DA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AG+GG</w:t>
            </w:r>
          </w:p>
        </w:tc>
        <w:tc>
          <w:tcPr>
            <w:tcW w:w="874" w:type="pct"/>
            <w:tcBorders>
              <w:top w:val="single" w:sz="4" w:space="0" w:color="auto"/>
              <w:left w:val="single" w:sz="4" w:space="0" w:color="auto"/>
              <w:bottom w:val="single" w:sz="4" w:space="0" w:color="auto"/>
              <w:right w:val="single" w:sz="4" w:space="0" w:color="auto"/>
            </w:tcBorders>
            <w:hideMark/>
          </w:tcPr>
          <w:p w14:paraId="51CEC82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6,310</w:t>
            </w:r>
          </w:p>
        </w:tc>
        <w:tc>
          <w:tcPr>
            <w:tcW w:w="695" w:type="pct"/>
            <w:tcBorders>
              <w:top w:val="single" w:sz="4" w:space="0" w:color="auto"/>
              <w:left w:val="single" w:sz="4" w:space="0" w:color="auto"/>
              <w:bottom w:val="single" w:sz="4" w:space="0" w:color="auto"/>
              <w:right w:val="single" w:sz="4" w:space="0" w:color="auto"/>
            </w:tcBorders>
            <w:hideMark/>
          </w:tcPr>
          <w:p w14:paraId="04E2711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0,263</w:t>
            </w:r>
          </w:p>
          <w:p w14:paraId="7E1A4EA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3,800</w:t>
            </w:r>
          </w:p>
        </w:tc>
        <w:tc>
          <w:tcPr>
            <w:tcW w:w="1130" w:type="pct"/>
            <w:tcBorders>
              <w:top w:val="single" w:sz="4" w:space="0" w:color="auto"/>
              <w:left w:val="single" w:sz="4" w:space="0" w:color="auto"/>
              <w:bottom w:val="single" w:sz="4" w:space="0" w:color="auto"/>
              <w:right w:val="single" w:sz="4" w:space="0" w:color="auto"/>
            </w:tcBorders>
            <w:hideMark/>
          </w:tcPr>
          <w:p w14:paraId="52487D2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0,099–0,701</w:t>
            </w:r>
          </w:p>
          <w:p w14:paraId="41F6911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1,428–10,115</w:t>
            </w:r>
          </w:p>
        </w:tc>
        <w:tc>
          <w:tcPr>
            <w:tcW w:w="538" w:type="pct"/>
            <w:tcBorders>
              <w:top w:val="single" w:sz="4" w:space="0" w:color="auto"/>
              <w:left w:val="single" w:sz="4" w:space="0" w:color="auto"/>
              <w:bottom w:val="single" w:sz="4" w:space="0" w:color="auto"/>
              <w:right w:val="single" w:sz="4" w:space="0" w:color="auto"/>
            </w:tcBorders>
            <w:hideMark/>
          </w:tcPr>
          <w:p w14:paraId="2B29219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0,012</w:t>
            </w:r>
          </w:p>
        </w:tc>
      </w:tr>
    </w:tbl>
    <w:p w14:paraId="0D891234" w14:textId="77777777" w:rsidR="002E3CE8" w:rsidRPr="00520861" w:rsidRDefault="002E3CE8" w:rsidP="00292D2E">
      <w:pPr>
        <w:widowControl w:val="0"/>
        <w:spacing w:after="160" w:line="259" w:lineRule="auto"/>
        <w:ind w:right="140"/>
        <w:jc w:val="right"/>
        <w:rPr>
          <w:rFonts w:eastAsiaTheme="minorHAnsi"/>
          <w:i/>
          <w:sz w:val="28"/>
          <w:szCs w:val="28"/>
          <w:lang w:eastAsia="en-US"/>
        </w:rPr>
      </w:pPr>
    </w:p>
    <w:p w14:paraId="5E8C06DE" w14:textId="77777777" w:rsidR="002E3CE8" w:rsidRPr="00520861" w:rsidRDefault="002E3CE8" w:rsidP="00292D2E">
      <w:pPr>
        <w:widowControl w:val="0"/>
        <w:spacing w:after="160" w:line="259" w:lineRule="auto"/>
        <w:ind w:right="140"/>
        <w:jc w:val="right"/>
        <w:rPr>
          <w:rFonts w:eastAsiaTheme="minorHAnsi"/>
          <w:i/>
          <w:sz w:val="28"/>
          <w:szCs w:val="28"/>
          <w:lang w:eastAsia="en-US"/>
        </w:rPr>
      </w:pPr>
      <w:r w:rsidRPr="00520861">
        <w:rPr>
          <w:rFonts w:eastAsiaTheme="minorHAnsi"/>
          <w:i/>
          <w:sz w:val="28"/>
          <w:szCs w:val="28"/>
          <w:lang w:eastAsia="en-US"/>
        </w:rPr>
        <w:lastRenderedPageBreak/>
        <w:t>Продовження таблиці 5.11</w:t>
      </w:r>
    </w:p>
    <w:tbl>
      <w:tblPr>
        <w:tblStyle w:val="2210"/>
        <w:tblW w:w="4474" w:type="pct"/>
        <w:tblInd w:w="562" w:type="dxa"/>
        <w:tblLayout w:type="fixed"/>
        <w:tblLook w:val="04A0" w:firstRow="1" w:lastRow="0" w:firstColumn="1" w:lastColumn="0" w:noHBand="0" w:noVBand="1"/>
      </w:tblPr>
      <w:tblGrid>
        <w:gridCol w:w="1641"/>
        <w:gridCol w:w="1626"/>
        <w:gridCol w:w="1551"/>
        <w:gridCol w:w="83"/>
        <w:gridCol w:w="1185"/>
        <w:gridCol w:w="93"/>
        <w:gridCol w:w="1881"/>
        <w:gridCol w:w="1011"/>
      </w:tblGrid>
      <w:tr w:rsidR="002E3CE8" w:rsidRPr="00520861" w14:paraId="31C85CA8" w14:textId="77777777" w:rsidTr="004E248E">
        <w:tc>
          <w:tcPr>
            <w:tcW w:w="905" w:type="pct"/>
            <w:tcBorders>
              <w:top w:val="single" w:sz="4" w:space="0" w:color="auto"/>
              <w:left w:val="single" w:sz="4" w:space="0" w:color="auto"/>
              <w:bottom w:val="single" w:sz="4" w:space="0" w:color="auto"/>
              <w:right w:val="single" w:sz="4" w:space="0" w:color="auto"/>
            </w:tcBorders>
            <w:vAlign w:val="center"/>
          </w:tcPr>
          <w:p w14:paraId="3CF0526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w:t>
            </w:r>
          </w:p>
        </w:tc>
        <w:tc>
          <w:tcPr>
            <w:tcW w:w="896" w:type="pct"/>
            <w:tcBorders>
              <w:top w:val="single" w:sz="4" w:space="0" w:color="auto"/>
              <w:left w:val="single" w:sz="4" w:space="0" w:color="auto"/>
              <w:bottom w:val="single" w:sz="4" w:space="0" w:color="auto"/>
              <w:right w:val="single" w:sz="4" w:space="0" w:color="auto"/>
            </w:tcBorders>
          </w:tcPr>
          <w:p w14:paraId="6A963ED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w:t>
            </w:r>
          </w:p>
        </w:tc>
        <w:tc>
          <w:tcPr>
            <w:tcW w:w="901" w:type="pct"/>
            <w:gridSpan w:val="2"/>
            <w:tcBorders>
              <w:top w:val="single" w:sz="4" w:space="0" w:color="auto"/>
              <w:left w:val="single" w:sz="4" w:space="0" w:color="auto"/>
              <w:bottom w:val="single" w:sz="4" w:space="0" w:color="auto"/>
              <w:right w:val="single" w:sz="4" w:space="0" w:color="auto"/>
            </w:tcBorders>
          </w:tcPr>
          <w:p w14:paraId="20F6916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w:t>
            </w:r>
          </w:p>
        </w:tc>
        <w:tc>
          <w:tcPr>
            <w:tcW w:w="704" w:type="pct"/>
            <w:gridSpan w:val="2"/>
            <w:tcBorders>
              <w:top w:val="single" w:sz="4" w:space="0" w:color="auto"/>
              <w:left w:val="single" w:sz="4" w:space="0" w:color="auto"/>
              <w:bottom w:val="single" w:sz="4" w:space="0" w:color="auto"/>
              <w:right w:val="single" w:sz="4" w:space="0" w:color="auto"/>
            </w:tcBorders>
          </w:tcPr>
          <w:p w14:paraId="2E34221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w:t>
            </w:r>
          </w:p>
        </w:tc>
        <w:tc>
          <w:tcPr>
            <w:tcW w:w="1037" w:type="pct"/>
            <w:tcBorders>
              <w:top w:val="single" w:sz="4" w:space="0" w:color="auto"/>
              <w:left w:val="single" w:sz="4" w:space="0" w:color="auto"/>
              <w:bottom w:val="single" w:sz="4" w:space="0" w:color="auto"/>
              <w:right w:val="single" w:sz="4" w:space="0" w:color="auto"/>
            </w:tcBorders>
          </w:tcPr>
          <w:p w14:paraId="210B81E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w:t>
            </w:r>
          </w:p>
        </w:tc>
        <w:tc>
          <w:tcPr>
            <w:tcW w:w="558" w:type="pct"/>
            <w:tcBorders>
              <w:top w:val="single" w:sz="4" w:space="0" w:color="auto"/>
              <w:left w:val="single" w:sz="4" w:space="0" w:color="auto"/>
              <w:bottom w:val="single" w:sz="4" w:space="0" w:color="auto"/>
              <w:right w:val="single" w:sz="4" w:space="0" w:color="auto"/>
            </w:tcBorders>
          </w:tcPr>
          <w:p w14:paraId="5183365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w:t>
            </w:r>
          </w:p>
        </w:tc>
      </w:tr>
      <w:tr w:rsidR="002E3CE8" w:rsidRPr="00520861" w14:paraId="29D0FF6C" w14:textId="77777777" w:rsidTr="004E248E">
        <w:tc>
          <w:tcPr>
            <w:tcW w:w="905" w:type="pct"/>
            <w:vMerge w:val="restart"/>
            <w:tcBorders>
              <w:top w:val="single" w:sz="4" w:space="0" w:color="auto"/>
              <w:left w:val="single" w:sz="4" w:space="0" w:color="auto"/>
              <w:bottom w:val="single" w:sz="4" w:space="0" w:color="auto"/>
              <w:right w:val="single" w:sz="4" w:space="0" w:color="auto"/>
            </w:tcBorders>
            <w:vAlign w:val="center"/>
            <w:hideMark/>
          </w:tcPr>
          <w:p w14:paraId="6E976395" w14:textId="77777777" w:rsidR="002E3CE8" w:rsidRPr="00520861" w:rsidRDefault="002E3CE8" w:rsidP="00292D2E">
            <w:pPr>
              <w:widowControl w:val="0"/>
              <w:spacing w:line="360" w:lineRule="auto"/>
              <w:rPr>
                <w:rFonts w:eastAsia="Calibri"/>
                <w:sz w:val="28"/>
                <w:szCs w:val="28"/>
              </w:rPr>
            </w:pPr>
          </w:p>
        </w:tc>
        <w:tc>
          <w:tcPr>
            <w:tcW w:w="4095" w:type="pct"/>
            <w:gridSpan w:val="7"/>
            <w:tcBorders>
              <w:top w:val="single" w:sz="4" w:space="0" w:color="auto"/>
              <w:left w:val="single" w:sz="4" w:space="0" w:color="auto"/>
              <w:bottom w:val="single" w:sz="4" w:space="0" w:color="auto"/>
              <w:right w:val="single" w:sz="4" w:space="0" w:color="auto"/>
            </w:tcBorders>
            <w:hideMark/>
          </w:tcPr>
          <w:p w14:paraId="40D44111" w14:textId="77777777" w:rsidR="002E3CE8" w:rsidRPr="00520861" w:rsidRDefault="002E3CE8" w:rsidP="00292D2E">
            <w:pPr>
              <w:widowControl w:val="0"/>
              <w:spacing w:line="360" w:lineRule="auto"/>
              <w:jc w:val="center"/>
              <w:rPr>
                <w:rFonts w:eastAsia="Calibri"/>
                <w:sz w:val="28"/>
                <w:szCs w:val="28"/>
              </w:rPr>
            </w:pPr>
            <w:proofErr w:type="spellStart"/>
            <w:r w:rsidRPr="00520861">
              <w:rPr>
                <w:rFonts w:eastAsia="Calibri"/>
                <w:sz w:val="28"/>
                <w:szCs w:val="28"/>
              </w:rPr>
              <w:t>Наддомінантна</w:t>
            </w:r>
            <w:proofErr w:type="spellEnd"/>
            <w:r w:rsidRPr="00520861">
              <w:rPr>
                <w:rFonts w:eastAsia="Calibri"/>
                <w:sz w:val="28"/>
                <w:szCs w:val="28"/>
              </w:rPr>
              <w:t xml:space="preserve"> модель</w:t>
            </w:r>
          </w:p>
        </w:tc>
      </w:tr>
      <w:tr w:rsidR="002E3CE8" w:rsidRPr="00520861" w14:paraId="7E5FE616"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51E38855" w14:textId="77777777" w:rsidR="002E3CE8" w:rsidRPr="00520861" w:rsidRDefault="002E3CE8" w:rsidP="00292D2E">
            <w:pPr>
              <w:widowControl w:val="0"/>
              <w:spacing w:line="360" w:lineRule="auto"/>
              <w:rPr>
                <w:rFonts w:eastAsia="Calibri"/>
                <w:sz w:val="28"/>
                <w:szCs w:val="28"/>
              </w:rPr>
            </w:pPr>
          </w:p>
        </w:tc>
        <w:tc>
          <w:tcPr>
            <w:tcW w:w="896" w:type="pct"/>
            <w:tcBorders>
              <w:top w:val="single" w:sz="4" w:space="0" w:color="auto"/>
              <w:left w:val="single" w:sz="4" w:space="0" w:color="auto"/>
              <w:bottom w:val="single" w:sz="4" w:space="0" w:color="auto"/>
              <w:right w:val="single" w:sz="4" w:space="0" w:color="auto"/>
            </w:tcBorders>
            <w:hideMark/>
          </w:tcPr>
          <w:p w14:paraId="20F2044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AA+GG</w:t>
            </w:r>
          </w:p>
          <w:p w14:paraId="7F9A60F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AG</w:t>
            </w:r>
          </w:p>
        </w:tc>
        <w:tc>
          <w:tcPr>
            <w:tcW w:w="855" w:type="pct"/>
            <w:tcBorders>
              <w:top w:val="single" w:sz="4" w:space="0" w:color="auto"/>
              <w:left w:val="single" w:sz="4" w:space="0" w:color="auto"/>
              <w:bottom w:val="single" w:sz="4" w:space="0" w:color="auto"/>
              <w:right w:val="single" w:sz="4" w:space="0" w:color="auto"/>
            </w:tcBorders>
            <w:hideMark/>
          </w:tcPr>
          <w:p w14:paraId="6085FF4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0,444</w:t>
            </w:r>
          </w:p>
        </w:tc>
        <w:tc>
          <w:tcPr>
            <w:tcW w:w="699" w:type="pct"/>
            <w:gridSpan w:val="2"/>
            <w:tcBorders>
              <w:top w:val="single" w:sz="4" w:space="0" w:color="auto"/>
              <w:left w:val="single" w:sz="4" w:space="0" w:color="auto"/>
              <w:bottom w:val="single" w:sz="4" w:space="0" w:color="auto"/>
              <w:right w:val="single" w:sz="4" w:space="0" w:color="auto"/>
            </w:tcBorders>
            <w:hideMark/>
          </w:tcPr>
          <w:p w14:paraId="0F9E244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0,641</w:t>
            </w:r>
          </w:p>
          <w:p w14:paraId="40E26C1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1,560</w:t>
            </w:r>
          </w:p>
        </w:tc>
        <w:tc>
          <w:tcPr>
            <w:tcW w:w="1087" w:type="pct"/>
            <w:gridSpan w:val="2"/>
            <w:tcBorders>
              <w:top w:val="single" w:sz="4" w:space="0" w:color="auto"/>
              <w:left w:val="single" w:sz="4" w:space="0" w:color="auto"/>
              <w:bottom w:val="single" w:sz="4" w:space="0" w:color="auto"/>
              <w:right w:val="single" w:sz="4" w:space="0" w:color="auto"/>
            </w:tcBorders>
            <w:hideMark/>
          </w:tcPr>
          <w:p w14:paraId="4959A65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0,244–1,684</w:t>
            </w:r>
          </w:p>
          <w:p w14:paraId="0F4E43D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0,594–4,098</w:t>
            </w:r>
          </w:p>
        </w:tc>
        <w:tc>
          <w:tcPr>
            <w:tcW w:w="558" w:type="pct"/>
            <w:tcBorders>
              <w:top w:val="single" w:sz="4" w:space="0" w:color="auto"/>
              <w:left w:val="single" w:sz="4" w:space="0" w:color="auto"/>
              <w:bottom w:val="single" w:sz="4" w:space="0" w:color="auto"/>
              <w:right w:val="single" w:sz="4" w:space="0" w:color="auto"/>
            </w:tcBorders>
            <w:hideMark/>
          </w:tcPr>
          <w:p w14:paraId="488DAE2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0,505</w:t>
            </w:r>
          </w:p>
        </w:tc>
      </w:tr>
      <w:tr w:rsidR="002E3CE8" w:rsidRPr="00520861" w14:paraId="74CC9317"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400ACFDB" w14:textId="77777777" w:rsidR="002E3CE8" w:rsidRPr="00520861" w:rsidRDefault="002E3CE8" w:rsidP="00292D2E">
            <w:pPr>
              <w:widowControl w:val="0"/>
              <w:spacing w:line="360" w:lineRule="auto"/>
              <w:rPr>
                <w:rFonts w:eastAsia="Calibri"/>
                <w:sz w:val="28"/>
                <w:szCs w:val="28"/>
              </w:rPr>
            </w:pPr>
          </w:p>
        </w:tc>
        <w:tc>
          <w:tcPr>
            <w:tcW w:w="4095" w:type="pct"/>
            <w:gridSpan w:val="7"/>
            <w:tcBorders>
              <w:top w:val="single" w:sz="4" w:space="0" w:color="auto"/>
              <w:left w:val="single" w:sz="4" w:space="0" w:color="auto"/>
              <w:bottom w:val="single" w:sz="4" w:space="0" w:color="auto"/>
              <w:right w:val="single" w:sz="4" w:space="0" w:color="auto"/>
            </w:tcBorders>
            <w:hideMark/>
          </w:tcPr>
          <w:p w14:paraId="79D4D3C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Мультиплікативна модель</w:t>
            </w:r>
          </w:p>
        </w:tc>
      </w:tr>
      <w:tr w:rsidR="002E3CE8" w:rsidRPr="00520861" w14:paraId="52C9489E"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6733BC7C" w14:textId="77777777" w:rsidR="002E3CE8" w:rsidRPr="00520861" w:rsidRDefault="002E3CE8" w:rsidP="00292D2E">
            <w:pPr>
              <w:widowControl w:val="0"/>
              <w:spacing w:line="360" w:lineRule="auto"/>
              <w:rPr>
                <w:rFonts w:eastAsia="Calibri"/>
                <w:sz w:val="28"/>
                <w:szCs w:val="28"/>
              </w:rPr>
            </w:pPr>
          </w:p>
        </w:tc>
        <w:tc>
          <w:tcPr>
            <w:tcW w:w="896" w:type="pct"/>
            <w:tcBorders>
              <w:top w:val="single" w:sz="4" w:space="0" w:color="auto"/>
              <w:left w:val="single" w:sz="4" w:space="0" w:color="auto"/>
              <w:bottom w:val="single" w:sz="4" w:space="0" w:color="auto"/>
              <w:right w:val="single" w:sz="4" w:space="0" w:color="auto"/>
            </w:tcBorders>
            <w:hideMark/>
          </w:tcPr>
          <w:p w14:paraId="46D2C6E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w:t>
            </w:r>
          </w:p>
          <w:p w14:paraId="1F24537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w:t>
            </w:r>
          </w:p>
        </w:tc>
        <w:tc>
          <w:tcPr>
            <w:tcW w:w="855" w:type="pct"/>
            <w:tcBorders>
              <w:top w:val="single" w:sz="4" w:space="0" w:color="auto"/>
              <w:left w:val="single" w:sz="4" w:space="0" w:color="auto"/>
              <w:bottom w:val="single" w:sz="4" w:space="0" w:color="auto"/>
              <w:right w:val="single" w:sz="4" w:space="0" w:color="auto"/>
            </w:tcBorders>
            <w:hideMark/>
          </w:tcPr>
          <w:p w14:paraId="4FA20E9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8,303</w:t>
            </w:r>
          </w:p>
        </w:tc>
        <w:tc>
          <w:tcPr>
            <w:tcW w:w="699" w:type="pct"/>
            <w:gridSpan w:val="2"/>
            <w:tcBorders>
              <w:top w:val="single" w:sz="4" w:space="0" w:color="auto"/>
              <w:left w:val="single" w:sz="4" w:space="0" w:color="auto"/>
              <w:bottom w:val="single" w:sz="4" w:space="0" w:color="auto"/>
              <w:right w:val="single" w:sz="4" w:space="0" w:color="auto"/>
            </w:tcBorders>
            <w:hideMark/>
          </w:tcPr>
          <w:p w14:paraId="17175A7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0,354</w:t>
            </w:r>
          </w:p>
          <w:p w14:paraId="75F6D20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2,826</w:t>
            </w:r>
          </w:p>
        </w:tc>
        <w:tc>
          <w:tcPr>
            <w:tcW w:w="1087" w:type="pct"/>
            <w:gridSpan w:val="2"/>
            <w:tcBorders>
              <w:top w:val="single" w:sz="4" w:space="0" w:color="auto"/>
              <w:left w:val="single" w:sz="4" w:space="0" w:color="auto"/>
              <w:bottom w:val="single" w:sz="4" w:space="0" w:color="auto"/>
              <w:right w:val="single" w:sz="4" w:space="0" w:color="auto"/>
            </w:tcBorders>
            <w:hideMark/>
          </w:tcPr>
          <w:p w14:paraId="18E57E3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0,171–0,731</w:t>
            </w:r>
          </w:p>
          <w:p w14:paraId="3726D14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1,368–5,840</w:t>
            </w:r>
          </w:p>
        </w:tc>
        <w:tc>
          <w:tcPr>
            <w:tcW w:w="558" w:type="pct"/>
            <w:tcBorders>
              <w:top w:val="single" w:sz="4" w:space="0" w:color="auto"/>
              <w:left w:val="single" w:sz="4" w:space="0" w:color="auto"/>
              <w:bottom w:val="single" w:sz="4" w:space="0" w:color="auto"/>
              <w:right w:val="single" w:sz="4" w:space="0" w:color="auto"/>
            </w:tcBorders>
            <w:hideMark/>
          </w:tcPr>
          <w:p w14:paraId="6737627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0,004</w:t>
            </w:r>
          </w:p>
        </w:tc>
      </w:tr>
      <w:tr w:rsidR="002E3CE8" w:rsidRPr="00520861" w14:paraId="5D34413B" w14:textId="77777777" w:rsidTr="004E248E">
        <w:tc>
          <w:tcPr>
            <w:tcW w:w="905" w:type="pct"/>
            <w:vMerge w:val="restart"/>
            <w:tcBorders>
              <w:top w:val="single" w:sz="4" w:space="0" w:color="auto"/>
              <w:left w:val="single" w:sz="4" w:space="0" w:color="auto"/>
              <w:bottom w:val="single" w:sz="4" w:space="0" w:color="auto"/>
              <w:right w:val="single" w:sz="4" w:space="0" w:color="auto"/>
            </w:tcBorders>
          </w:tcPr>
          <w:p w14:paraId="0EF3C9FD" w14:textId="77777777" w:rsidR="002E3CE8" w:rsidRPr="00520861" w:rsidRDefault="002E3CE8" w:rsidP="00292D2E">
            <w:pPr>
              <w:widowControl w:val="0"/>
              <w:spacing w:line="360" w:lineRule="auto"/>
              <w:ind w:right="-133"/>
              <w:jc w:val="center"/>
              <w:rPr>
                <w:rFonts w:eastAsia="Calibri"/>
                <w:i/>
                <w:sz w:val="28"/>
                <w:szCs w:val="28"/>
              </w:rPr>
            </w:pPr>
            <w:r w:rsidRPr="00520861">
              <w:rPr>
                <w:rFonts w:eastAsia="Calibri"/>
                <w:i/>
                <w:sz w:val="28"/>
                <w:szCs w:val="28"/>
              </w:rPr>
              <w:t>ESR1: -351 G&gt;A [</w:t>
            </w:r>
            <w:proofErr w:type="spellStart"/>
            <w:r w:rsidRPr="00520861">
              <w:rPr>
                <w:rFonts w:eastAsia="Calibri"/>
                <w:i/>
                <w:sz w:val="28"/>
                <w:szCs w:val="28"/>
              </w:rPr>
              <w:t>XbaI</w:t>
            </w:r>
            <w:proofErr w:type="spellEnd"/>
            <w:r w:rsidRPr="00520861">
              <w:rPr>
                <w:rFonts w:eastAsia="Calibri"/>
                <w:i/>
                <w:sz w:val="28"/>
                <w:szCs w:val="28"/>
              </w:rPr>
              <w:t>]</w:t>
            </w:r>
          </w:p>
          <w:p w14:paraId="3998BAA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[rs9340799]</w:t>
            </w:r>
          </w:p>
          <w:p w14:paraId="333DD7BC" w14:textId="77777777" w:rsidR="002E3CE8" w:rsidRPr="00520861" w:rsidRDefault="002E3CE8" w:rsidP="00292D2E">
            <w:pPr>
              <w:widowControl w:val="0"/>
              <w:spacing w:line="360" w:lineRule="auto"/>
              <w:rPr>
                <w:rFonts w:eastAsia="Calibri"/>
                <w:sz w:val="28"/>
                <w:szCs w:val="28"/>
              </w:rPr>
            </w:pPr>
          </w:p>
        </w:tc>
        <w:tc>
          <w:tcPr>
            <w:tcW w:w="4095" w:type="pct"/>
            <w:gridSpan w:val="7"/>
            <w:tcBorders>
              <w:top w:val="single" w:sz="4" w:space="0" w:color="auto"/>
              <w:left w:val="single" w:sz="4" w:space="0" w:color="auto"/>
              <w:bottom w:val="single" w:sz="4" w:space="0" w:color="auto"/>
              <w:right w:val="single" w:sz="4" w:space="0" w:color="auto"/>
            </w:tcBorders>
            <w:hideMark/>
          </w:tcPr>
          <w:p w14:paraId="668A282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Адитивна модель</w:t>
            </w:r>
          </w:p>
        </w:tc>
      </w:tr>
      <w:tr w:rsidR="002E3CE8" w:rsidRPr="00520861" w14:paraId="359DABF4"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38B74A14" w14:textId="77777777" w:rsidR="002E3CE8" w:rsidRPr="00520861" w:rsidRDefault="002E3CE8" w:rsidP="00292D2E">
            <w:pPr>
              <w:widowControl w:val="0"/>
              <w:spacing w:line="360" w:lineRule="auto"/>
              <w:rPr>
                <w:rFonts w:eastAsia="Calibri"/>
                <w:sz w:val="28"/>
                <w:szCs w:val="28"/>
              </w:rPr>
            </w:pPr>
          </w:p>
        </w:tc>
        <w:tc>
          <w:tcPr>
            <w:tcW w:w="896" w:type="pct"/>
            <w:tcBorders>
              <w:top w:val="single" w:sz="4" w:space="0" w:color="auto"/>
              <w:left w:val="single" w:sz="4" w:space="0" w:color="auto"/>
              <w:bottom w:val="single" w:sz="4" w:space="0" w:color="auto"/>
              <w:right w:val="single" w:sz="4" w:space="0" w:color="auto"/>
            </w:tcBorders>
            <w:hideMark/>
          </w:tcPr>
          <w:p w14:paraId="6AA1AC5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w:t>
            </w:r>
          </w:p>
          <w:p w14:paraId="575D85F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GA</w:t>
            </w:r>
          </w:p>
          <w:p w14:paraId="39E8E79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w:t>
            </w:r>
          </w:p>
        </w:tc>
        <w:tc>
          <w:tcPr>
            <w:tcW w:w="855" w:type="pct"/>
            <w:tcBorders>
              <w:top w:val="single" w:sz="4" w:space="0" w:color="auto"/>
              <w:left w:val="single" w:sz="4" w:space="0" w:color="auto"/>
              <w:bottom w:val="single" w:sz="4" w:space="0" w:color="auto"/>
              <w:right w:val="single" w:sz="4" w:space="0" w:color="auto"/>
            </w:tcBorders>
            <w:hideMark/>
          </w:tcPr>
          <w:p w14:paraId="370A432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3,615</w:t>
            </w:r>
          </w:p>
        </w:tc>
        <w:tc>
          <w:tcPr>
            <w:tcW w:w="699" w:type="pct"/>
            <w:gridSpan w:val="2"/>
            <w:tcBorders>
              <w:top w:val="single" w:sz="4" w:space="0" w:color="auto"/>
              <w:left w:val="single" w:sz="4" w:space="0" w:color="auto"/>
              <w:bottom w:val="single" w:sz="4" w:space="0" w:color="auto"/>
              <w:right w:val="single" w:sz="4" w:space="0" w:color="auto"/>
            </w:tcBorders>
            <w:hideMark/>
          </w:tcPr>
          <w:p w14:paraId="1FC0310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0,429</w:t>
            </w:r>
          </w:p>
          <w:p w14:paraId="2B26846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0,527</w:t>
            </w:r>
          </w:p>
          <w:p w14:paraId="7FB35F7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3,915</w:t>
            </w:r>
          </w:p>
        </w:tc>
        <w:tc>
          <w:tcPr>
            <w:tcW w:w="1087" w:type="pct"/>
            <w:gridSpan w:val="2"/>
            <w:tcBorders>
              <w:top w:val="single" w:sz="4" w:space="0" w:color="auto"/>
              <w:left w:val="single" w:sz="4" w:space="0" w:color="auto"/>
              <w:bottom w:val="single" w:sz="4" w:space="0" w:color="auto"/>
              <w:right w:val="single" w:sz="4" w:space="0" w:color="auto"/>
            </w:tcBorders>
            <w:hideMark/>
          </w:tcPr>
          <w:p w14:paraId="1F61C9C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0,118–1,562</w:t>
            </w:r>
          </w:p>
          <w:p w14:paraId="0586625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0,193–1,439</w:t>
            </w:r>
          </w:p>
          <w:p w14:paraId="0F763F1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1,072–14,297</w:t>
            </w:r>
          </w:p>
        </w:tc>
        <w:tc>
          <w:tcPr>
            <w:tcW w:w="558" w:type="pct"/>
            <w:tcBorders>
              <w:top w:val="single" w:sz="4" w:space="0" w:color="auto"/>
              <w:left w:val="single" w:sz="4" w:space="0" w:color="auto"/>
              <w:bottom w:val="single" w:sz="4" w:space="0" w:color="auto"/>
              <w:right w:val="single" w:sz="4" w:space="0" w:color="auto"/>
            </w:tcBorders>
            <w:hideMark/>
          </w:tcPr>
          <w:p w14:paraId="465E959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0,164</w:t>
            </w:r>
          </w:p>
        </w:tc>
      </w:tr>
      <w:tr w:rsidR="002E3CE8" w:rsidRPr="00520861" w14:paraId="7B4A5239"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7CDA9145" w14:textId="77777777" w:rsidR="002E3CE8" w:rsidRPr="00520861" w:rsidRDefault="002E3CE8" w:rsidP="00292D2E">
            <w:pPr>
              <w:widowControl w:val="0"/>
              <w:spacing w:line="360" w:lineRule="auto"/>
              <w:rPr>
                <w:rFonts w:eastAsia="Calibri"/>
                <w:sz w:val="28"/>
                <w:szCs w:val="28"/>
              </w:rPr>
            </w:pPr>
          </w:p>
        </w:tc>
        <w:tc>
          <w:tcPr>
            <w:tcW w:w="4095" w:type="pct"/>
            <w:gridSpan w:val="7"/>
            <w:tcBorders>
              <w:top w:val="single" w:sz="4" w:space="0" w:color="auto"/>
              <w:left w:val="single" w:sz="4" w:space="0" w:color="auto"/>
              <w:bottom w:val="single" w:sz="4" w:space="0" w:color="auto"/>
              <w:right w:val="single" w:sz="4" w:space="0" w:color="auto"/>
            </w:tcBorders>
            <w:hideMark/>
          </w:tcPr>
          <w:p w14:paraId="6803F7E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Рецесивна модель</w:t>
            </w:r>
          </w:p>
        </w:tc>
      </w:tr>
      <w:tr w:rsidR="002E3CE8" w:rsidRPr="00520861" w14:paraId="77D8D1EF"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6D4157D4" w14:textId="77777777" w:rsidR="002E3CE8" w:rsidRPr="00520861" w:rsidRDefault="002E3CE8" w:rsidP="00292D2E">
            <w:pPr>
              <w:widowControl w:val="0"/>
              <w:spacing w:line="360" w:lineRule="auto"/>
              <w:rPr>
                <w:rFonts w:eastAsia="Calibri"/>
                <w:sz w:val="28"/>
                <w:szCs w:val="28"/>
              </w:rPr>
            </w:pPr>
          </w:p>
        </w:tc>
        <w:tc>
          <w:tcPr>
            <w:tcW w:w="896" w:type="pct"/>
            <w:tcBorders>
              <w:top w:val="single" w:sz="4" w:space="0" w:color="auto"/>
              <w:left w:val="single" w:sz="4" w:space="0" w:color="auto"/>
              <w:bottom w:val="single" w:sz="4" w:space="0" w:color="auto"/>
              <w:right w:val="single" w:sz="4" w:space="0" w:color="auto"/>
            </w:tcBorders>
            <w:hideMark/>
          </w:tcPr>
          <w:p w14:paraId="7ED35B6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GG+GA</w:t>
            </w:r>
          </w:p>
          <w:p w14:paraId="0D671E5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w:t>
            </w:r>
          </w:p>
        </w:tc>
        <w:tc>
          <w:tcPr>
            <w:tcW w:w="855" w:type="pct"/>
            <w:tcBorders>
              <w:top w:val="single" w:sz="4" w:space="0" w:color="auto"/>
              <w:left w:val="single" w:sz="4" w:space="0" w:color="auto"/>
              <w:bottom w:val="single" w:sz="4" w:space="0" w:color="auto"/>
              <w:right w:val="single" w:sz="4" w:space="0" w:color="auto"/>
            </w:tcBorders>
            <w:hideMark/>
          </w:tcPr>
          <w:p w14:paraId="4804D7C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3,709</w:t>
            </w:r>
          </w:p>
        </w:tc>
        <w:tc>
          <w:tcPr>
            <w:tcW w:w="699" w:type="pct"/>
            <w:gridSpan w:val="2"/>
            <w:tcBorders>
              <w:top w:val="single" w:sz="4" w:space="0" w:color="auto"/>
              <w:left w:val="single" w:sz="4" w:space="0" w:color="auto"/>
              <w:bottom w:val="single" w:sz="4" w:space="0" w:color="auto"/>
              <w:right w:val="single" w:sz="4" w:space="0" w:color="auto"/>
            </w:tcBorders>
            <w:hideMark/>
          </w:tcPr>
          <w:p w14:paraId="7CD7197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0,255</w:t>
            </w:r>
          </w:p>
          <w:p w14:paraId="62F946E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3,915</w:t>
            </w:r>
          </w:p>
        </w:tc>
        <w:tc>
          <w:tcPr>
            <w:tcW w:w="1087" w:type="pct"/>
            <w:gridSpan w:val="2"/>
            <w:tcBorders>
              <w:top w:val="single" w:sz="4" w:space="0" w:color="auto"/>
              <w:left w:val="single" w:sz="4" w:space="0" w:color="auto"/>
              <w:bottom w:val="single" w:sz="4" w:space="0" w:color="auto"/>
              <w:right w:val="single" w:sz="4" w:space="0" w:color="auto"/>
            </w:tcBorders>
            <w:hideMark/>
          </w:tcPr>
          <w:p w14:paraId="1021967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0,070–0,933</w:t>
            </w:r>
          </w:p>
          <w:p w14:paraId="7396DDF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1,072–14,297</w:t>
            </w:r>
          </w:p>
        </w:tc>
        <w:tc>
          <w:tcPr>
            <w:tcW w:w="558" w:type="pct"/>
            <w:tcBorders>
              <w:top w:val="single" w:sz="4" w:space="0" w:color="auto"/>
              <w:left w:val="single" w:sz="4" w:space="0" w:color="auto"/>
              <w:bottom w:val="single" w:sz="4" w:space="0" w:color="auto"/>
              <w:right w:val="single" w:sz="4" w:space="0" w:color="auto"/>
            </w:tcBorders>
            <w:hideMark/>
          </w:tcPr>
          <w:p w14:paraId="7DCE8BD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0,054</w:t>
            </w:r>
          </w:p>
        </w:tc>
      </w:tr>
      <w:tr w:rsidR="002E3CE8" w:rsidRPr="00520861" w14:paraId="056D8EBE"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53FABBA1" w14:textId="77777777" w:rsidR="002E3CE8" w:rsidRPr="00520861" w:rsidRDefault="002E3CE8" w:rsidP="00292D2E">
            <w:pPr>
              <w:widowControl w:val="0"/>
              <w:spacing w:line="360" w:lineRule="auto"/>
              <w:rPr>
                <w:rFonts w:eastAsia="Calibri"/>
                <w:sz w:val="28"/>
                <w:szCs w:val="28"/>
              </w:rPr>
            </w:pPr>
          </w:p>
        </w:tc>
        <w:tc>
          <w:tcPr>
            <w:tcW w:w="4095" w:type="pct"/>
            <w:gridSpan w:val="7"/>
            <w:tcBorders>
              <w:top w:val="single" w:sz="4" w:space="0" w:color="auto"/>
              <w:left w:val="single" w:sz="4" w:space="0" w:color="auto"/>
              <w:bottom w:val="single" w:sz="4" w:space="0" w:color="auto"/>
              <w:right w:val="single" w:sz="4" w:space="0" w:color="auto"/>
            </w:tcBorders>
            <w:hideMark/>
          </w:tcPr>
          <w:p w14:paraId="54FCE86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Домінантна модель</w:t>
            </w:r>
          </w:p>
        </w:tc>
      </w:tr>
      <w:tr w:rsidR="002E3CE8" w:rsidRPr="00520861" w14:paraId="07130273"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5709CD23" w14:textId="77777777" w:rsidR="002E3CE8" w:rsidRPr="00520861" w:rsidRDefault="002E3CE8" w:rsidP="00292D2E">
            <w:pPr>
              <w:widowControl w:val="0"/>
              <w:spacing w:line="360" w:lineRule="auto"/>
              <w:rPr>
                <w:rFonts w:eastAsia="Calibri"/>
                <w:sz w:val="28"/>
                <w:szCs w:val="28"/>
              </w:rPr>
            </w:pPr>
          </w:p>
        </w:tc>
        <w:tc>
          <w:tcPr>
            <w:tcW w:w="896" w:type="pct"/>
            <w:tcBorders>
              <w:top w:val="single" w:sz="4" w:space="0" w:color="auto"/>
              <w:left w:val="single" w:sz="4" w:space="0" w:color="auto"/>
              <w:bottom w:val="single" w:sz="4" w:space="0" w:color="auto"/>
              <w:right w:val="single" w:sz="4" w:space="0" w:color="auto"/>
            </w:tcBorders>
            <w:hideMark/>
          </w:tcPr>
          <w:p w14:paraId="2E0FA7C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w:t>
            </w:r>
          </w:p>
          <w:p w14:paraId="29A57FD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GA+AA</w:t>
            </w:r>
          </w:p>
        </w:tc>
        <w:tc>
          <w:tcPr>
            <w:tcW w:w="855" w:type="pct"/>
            <w:tcBorders>
              <w:top w:val="single" w:sz="4" w:space="0" w:color="auto"/>
              <w:left w:val="single" w:sz="4" w:space="0" w:color="auto"/>
              <w:bottom w:val="single" w:sz="4" w:space="0" w:color="auto"/>
              <w:right w:val="single" w:sz="4" w:space="0" w:color="auto"/>
            </w:tcBorders>
            <w:hideMark/>
          </w:tcPr>
          <w:p w14:paraId="4D2684E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0,858</w:t>
            </w:r>
          </w:p>
        </w:tc>
        <w:tc>
          <w:tcPr>
            <w:tcW w:w="699" w:type="pct"/>
            <w:gridSpan w:val="2"/>
            <w:tcBorders>
              <w:top w:val="single" w:sz="4" w:space="0" w:color="auto"/>
              <w:left w:val="single" w:sz="4" w:space="0" w:color="auto"/>
              <w:bottom w:val="single" w:sz="4" w:space="0" w:color="auto"/>
              <w:right w:val="single" w:sz="4" w:space="0" w:color="auto"/>
            </w:tcBorders>
            <w:hideMark/>
          </w:tcPr>
          <w:p w14:paraId="59C50F9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0,429</w:t>
            </w:r>
          </w:p>
          <w:p w14:paraId="77F4223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2,333</w:t>
            </w:r>
          </w:p>
        </w:tc>
        <w:tc>
          <w:tcPr>
            <w:tcW w:w="1087" w:type="pct"/>
            <w:gridSpan w:val="2"/>
            <w:tcBorders>
              <w:top w:val="single" w:sz="4" w:space="0" w:color="auto"/>
              <w:left w:val="single" w:sz="4" w:space="0" w:color="auto"/>
              <w:bottom w:val="single" w:sz="4" w:space="0" w:color="auto"/>
              <w:right w:val="single" w:sz="4" w:space="0" w:color="auto"/>
            </w:tcBorders>
            <w:hideMark/>
          </w:tcPr>
          <w:p w14:paraId="6BD19CA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0,118–1,562</w:t>
            </w:r>
          </w:p>
          <w:p w14:paraId="63748D0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0,640–8,506</w:t>
            </w:r>
          </w:p>
        </w:tc>
        <w:tc>
          <w:tcPr>
            <w:tcW w:w="558" w:type="pct"/>
            <w:tcBorders>
              <w:top w:val="single" w:sz="4" w:space="0" w:color="auto"/>
              <w:left w:val="single" w:sz="4" w:space="0" w:color="auto"/>
              <w:bottom w:val="single" w:sz="4" w:space="0" w:color="auto"/>
              <w:right w:val="single" w:sz="4" w:space="0" w:color="auto"/>
            </w:tcBorders>
            <w:hideMark/>
          </w:tcPr>
          <w:p w14:paraId="09546E2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0,354</w:t>
            </w:r>
          </w:p>
        </w:tc>
      </w:tr>
      <w:tr w:rsidR="002E3CE8" w:rsidRPr="00520861" w14:paraId="2B403861"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7F51AA4C" w14:textId="77777777" w:rsidR="002E3CE8" w:rsidRPr="00520861" w:rsidRDefault="002E3CE8" w:rsidP="00292D2E">
            <w:pPr>
              <w:widowControl w:val="0"/>
              <w:spacing w:line="360" w:lineRule="auto"/>
              <w:rPr>
                <w:rFonts w:eastAsia="Calibri"/>
                <w:sz w:val="28"/>
                <w:szCs w:val="28"/>
              </w:rPr>
            </w:pPr>
          </w:p>
        </w:tc>
        <w:tc>
          <w:tcPr>
            <w:tcW w:w="4095" w:type="pct"/>
            <w:gridSpan w:val="7"/>
            <w:tcBorders>
              <w:top w:val="single" w:sz="4" w:space="0" w:color="auto"/>
              <w:left w:val="single" w:sz="4" w:space="0" w:color="auto"/>
              <w:bottom w:val="single" w:sz="4" w:space="0" w:color="auto"/>
              <w:right w:val="single" w:sz="4" w:space="0" w:color="auto"/>
            </w:tcBorders>
            <w:hideMark/>
          </w:tcPr>
          <w:p w14:paraId="7AFF3279" w14:textId="77777777" w:rsidR="002E3CE8" w:rsidRPr="00520861" w:rsidRDefault="002E3CE8" w:rsidP="00292D2E">
            <w:pPr>
              <w:widowControl w:val="0"/>
              <w:spacing w:line="360" w:lineRule="auto"/>
              <w:jc w:val="center"/>
              <w:rPr>
                <w:rFonts w:eastAsia="Calibri"/>
                <w:sz w:val="28"/>
                <w:szCs w:val="28"/>
              </w:rPr>
            </w:pPr>
            <w:proofErr w:type="spellStart"/>
            <w:r w:rsidRPr="00520861">
              <w:rPr>
                <w:rFonts w:eastAsia="Calibri"/>
                <w:sz w:val="28"/>
                <w:szCs w:val="28"/>
              </w:rPr>
              <w:t>Наддомінантна</w:t>
            </w:r>
            <w:proofErr w:type="spellEnd"/>
            <w:r w:rsidRPr="00520861">
              <w:rPr>
                <w:rFonts w:eastAsia="Calibri"/>
                <w:sz w:val="28"/>
                <w:szCs w:val="28"/>
              </w:rPr>
              <w:t xml:space="preserve"> модель</w:t>
            </w:r>
          </w:p>
        </w:tc>
      </w:tr>
      <w:tr w:rsidR="002E3CE8" w:rsidRPr="00520861" w14:paraId="67312CD2"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59BFB4C8" w14:textId="77777777" w:rsidR="002E3CE8" w:rsidRPr="00520861" w:rsidRDefault="002E3CE8" w:rsidP="00292D2E">
            <w:pPr>
              <w:widowControl w:val="0"/>
              <w:spacing w:line="360" w:lineRule="auto"/>
              <w:rPr>
                <w:rFonts w:eastAsia="Calibri"/>
                <w:sz w:val="28"/>
                <w:szCs w:val="28"/>
              </w:rPr>
            </w:pPr>
          </w:p>
        </w:tc>
        <w:tc>
          <w:tcPr>
            <w:tcW w:w="896" w:type="pct"/>
            <w:tcBorders>
              <w:top w:val="single" w:sz="4" w:space="0" w:color="auto"/>
              <w:left w:val="single" w:sz="4" w:space="0" w:color="auto"/>
              <w:bottom w:val="single" w:sz="4" w:space="0" w:color="auto"/>
              <w:right w:val="single" w:sz="4" w:space="0" w:color="auto"/>
            </w:tcBorders>
            <w:hideMark/>
          </w:tcPr>
          <w:p w14:paraId="2A874AC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GG+AA</w:t>
            </w:r>
          </w:p>
          <w:p w14:paraId="234D74C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GA</w:t>
            </w:r>
          </w:p>
        </w:tc>
        <w:tc>
          <w:tcPr>
            <w:tcW w:w="855" w:type="pct"/>
            <w:tcBorders>
              <w:top w:val="single" w:sz="4" w:space="0" w:color="auto"/>
              <w:left w:val="single" w:sz="4" w:space="0" w:color="auto"/>
              <w:bottom w:val="single" w:sz="4" w:space="0" w:color="auto"/>
              <w:right w:val="single" w:sz="4" w:space="0" w:color="auto"/>
            </w:tcBorders>
            <w:hideMark/>
          </w:tcPr>
          <w:p w14:paraId="6D8531F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1,031</w:t>
            </w:r>
          </w:p>
        </w:tc>
        <w:tc>
          <w:tcPr>
            <w:tcW w:w="699" w:type="pct"/>
            <w:gridSpan w:val="2"/>
            <w:tcBorders>
              <w:top w:val="single" w:sz="4" w:space="0" w:color="auto"/>
              <w:left w:val="single" w:sz="4" w:space="0" w:color="auto"/>
              <w:bottom w:val="single" w:sz="4" w:space="0" w:color="auto"/>
              <w:right w:val="single" w:sz="4" w:space="0" w:color="auto"/>
            </w:tcBorders>
            <w:hideMark/>
          </w:tcPr>
          <w:p w14:paraId="29DA6B0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1,898</w:t>
            </w:r>
          </w:p>
          <w:p w14:paraId="3B48E27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0,527</w:t>
            </w:r>
          </w:p>
        </w:tc>
        <w:tc>
          <w:tcPr>
            <w:tcW w:w="1087" w:type="pct"/>
            <w:gridSpan w:val="2"/>
            <w:tcBorders>
              <w:top w:val="single" w:sz="4" w:space="0" w:color="auto"/>
              <w:left w:val="single" w:sz="4" w:space="0" w:color="auto"/>
              <w:bottom w:val="single" w:sz="4" w:space="0" w:color="auto"/>
              <w:right w:val="single" w:sz="4" w:space="0" w:color="auto"/>
            </w:tcBorders>
            <w:hideMark/>
          </w:tcPr>
          <w:p w14:paraId="7624601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0,695–5,183</w:t>
            </w:r>
          </w:p>
          <w:p w14:paraId="6C875E6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0,193–1,439</w:t>
            </w:r>
          </w:p>
        </w:tc>
        <w:tc>
          <w:tcPr>
            <w:tcW w:w="558" w:type="pct"/>
            <w:tcBorders>
              <w:top w:val="single" w:sz="4" w:space="0" w:color="auto"/>
              <w:left w:val="single" w:sz="4" w:space="0" w:color="auto"/>
              <w:bottom w:val="single" w:sz="4" w:space="0" w:color="auto"/>
              <w:right w:val="single" w:sz="4" w:space="0" w:color="auto"/>
            </w:tcBorders>
            <w:hideMark/>
          </w:tcPr>
          <w:p w14:paraId="203D354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0,310</w:t>
            </w:r>
          </w:p>
        </w:tc>
      </w:tr>
      <w:tr w:rsidR="002E3CE8" w:rsidRPr="00520861" w14:paraId="5C80DA2E"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64915A31" w14:textId="77777777" w:rsidR="002E3CE8" w:rsidRPr="00520861" w:rsidRDefault="002E3CE8" w:rsidP="00292D2E">
            <w:pPr>
              <w:widowControl w:val="0"/>
              <w:spacing w:line="360" w:lineRule="auto"/>
              <w:rPr>
                <w:rFonts w:eastAsia="Calibri"/>
                <w:sz w:val="28"/>
                <w:szCs w:val="28"/>
              </w:rPr>
            </w:pPr>
          </w:p>
        </w:tc>
        <w:tc>
          <w:tcPr>
            <w:tcW w:w="4095" w:type="pct"/>
            <w:gridSpan w:val="7"/>
            <w:tcBorders>
              <w:top w:val="single" w:sz="4" w:space="0" w:color="auto"/>
              <w:left w:val="single" w:sz="4" w:space="0" w:color="auto"/>
              <w:bottom w:val="single" w:sz="4" w:space="0" w:color="auto"/>
              <w:right w:val="single" w:sz="4" w:space="0" w:color="auto"/>
            </w:tcBorders>
            <w:hideMark/>
          </w:tcPr>
          <w:p w14:paraId="373DE4D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Мультиплікативна модель</w:t>
            </w:r>
          </w:p>
        </w:tc>
      </w:tr>
      <w:tr w:rsidR="002E3CE8" w:rsidRPr="00520861" w14:paraId="22F8BB22" w14:textId="77777777" w:rsidTr="004E248E">
        <w:tc>
          <w:tcPr>
            <w:tcW w:w="905" w:type="pct"/>
            <w:vMerge/>
            <w:tcBorders>
              <w:top w:val="single" w:sz="4" w:space="0" w:color="auto"/>
              <w:left w:val="single" w:sz="4" w:space="0" w:color="auto"/>
              <w:bottom w:val="single" w:sz="4" w:space="0" w:color="auto"/>
              <w:right w:val="single" w:sz="4" w:space="0" w:color="auto"/>
            </w:tcBorders>
            <w:vAlign w:val="center"/>
            <w:hideMark/>
          </w:tcPr>
          <w:p w14:paraId="563EFAE4" w14:textId="77777777" w:rsidR="002E3CE8" w:rsidRPr="00520861" w:rsidRDefault="002E3CE8" w:rsidP="00292D2E">
            <w:pPr>
              <w:widowControl w:val="0"/>
              <w:spacing w:line="360" w:lineRule="auto"/>
              <w:rPr>
                <w:rFonts w:eastAsia="Calibri"/>
                <w:sz w:val="28"/>
                <w:szCs w:val="28"/>
              </w:rPr>
            </w:pPr>
          </w:p>
        </w:tc>
        <w:tc>
          <w:tcPr>
            <w:tcW w:w="896" w:type="pct"/>
            <w:tcBorders>
              <w:top w:val="single" w:sz="4" w:space="0" w:color="auto"/>
              <w:left w:val="single" w:sz="4" w:space="0" w:color="auto"/>
              <w:bottom w:val="single" w:sz="4" w:space="0" w:color="auto"/>
              <w:right w:val="single" w:sz="4" w:space="0" w:color="auto"/>
            </w:tcBorders>
            <w:hideMark/>
          </w:tcPr>
          <w:p w14:paraId="492BD10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w:t>
            </w:r>
          </w:p>
          <w:p w14:paraId="30FF997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w:t>
            </w:r>
          </w:p>
        </w:tc>
        <w:tc>
          <w:tcPr>
            <w:tcW w:w="855" w:type="pct"/>
            <w:tcBorders>
              <w:top w:val="single" w:sz="4" w:space="0" w:color="auto"/>
              <w:left w:val="single" w:sz="4" w:space="0" w:color="auto"/>
              <w:bottom w:val="single" w:sz="4" w:space="0" w:color="auto"/>
              <w:right w:val="single" w:sz="4" w:space="0" w:color="auto"/>
            </w:tcBorders>
            <w:hideMark/>
          </w:tcPr>
          <w:p w14:paraId="58B0525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4,592</w:t>
            </w:r>
          </w:p>
        </w:tc>
        <w:tc>
          <w:tcPr>
            <w:tcW w:w="699" w:type="pct"/>
            <w:gridSpan w:val="2"/>
            <w:tcBorders>
              <w:top w:val="single" w:sz="4" w:space="0" w:color="auto"/>
              <w:left w:val="single" w:sz="4" w:space="0" w:color="auto"/>
              <w:bottom w:val="single" w:sz="4" w:space="0" w:color="auto"/>
              <w:right w:val="single" w:sz="4" w:space="0" w:color="auto"/>
            </w:tcBorders>
            <w:hideMark/>
          </w:tcPr>
          <w:p w14:paraId="7F5385B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0,475</w:t>
            </w:r>
          </w:p>
          <w:p w14:paraId="423E44A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2,107</w:t>
            </w:r>
          </w:p>
        </w:tc>
        <w:tc>
          <w:tcPr>
            <w:tcW w:w="1087" w:type="pct"/>
            <w:gridSpan w:val="2"/>
            <w:tcBorders>
              <w:top w:val="single" w:sz="4" w:space="0" w:color="auto"/>
              <w:left w:val="single" w:sz="4" w:space="0" w:color="auto"/>
              <w:bottom w:val="single" w:sz="4" w:space="0" w:color="auto"/>
              <w:right w:val="single" w:sz="4" w:space="0" w:color="auto"/>
            </w:tcBorders>
            <w:hideMark/>
          </w:tcPr>
          <w:p w14:paraId="69DBAB5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0,238–0,947</w:t>
            </w:r>
          </w:p>
          <w:p w14:paraId="2B48A35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1,056–4,202</w:t>
            </w:r>
          </w:p>
        </w:tc>
        <w:tc>
          <w:tcPr>
            <w:tcW w:w="558" w:type="pct"/>
            <w:tcBorders>
              <w:top w:val="single" w:sz="4" w:space="0" w:color="auto"/>
              <w:left w:val="single" w:sz="4" w:space="0" w:color="auto"/>
              <w:bottom w:val="single" w:sz="4" w:space="0" w:color="auto"/>
              <w:right w:val="single" w:sz="4" w:space="0" w:color="auto"/>
            </w:tcBorders>
            <w:hideMark/>
          </w:tcPr>
          <w:p w14:paraId="1CAFE53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0,032</w:t>
            </w:r>
          </w:p>
        </w:tc>
      </w:tr>
    </w:tbl>
    <w:p w14:paraId="3B2FC684" w14:textId="77777777" w:rsidR="002E3CE8" w:rsidRPr="00520861" w:rsidRDefault="002E3CE8" w:rsidP="00292D2E">
      <w:pPr>
        <w:widowControl w:val="0"/>
        <w:spacing w:after="160" w:line="360" w:lineRule="auto"/>
        <w:ind w:firstLine="708"/>
        <w:jc w:val="both"/>
        <w:rPr>
          <w:rFonts w:eastAsiaTheme="minorHAnsi"/>
          <w:spacing w:val="-6"/>
          <w:sz w:val="28"/>
          <w:szCs w:val="28"/>
          <w:lang w:eastAsia="en-US"/>
        </w:rPr>
      </w:pPr>
      <w:r w:rsidRPr="00520861">
        <w:rPr>
          <w:rFonts w:eastAsiaTheme="minorHAnsi"/>
          <w:spacing w:val="-6"/>
          <w:sz w:val="28"/>
          <w:szCs w:val="28"/>
          <w:lang w:eastAsia="en-US"/>
        </w:rPr>
        <w:t xml:space="preserve">Примітки: тут і далі значення ймовірності </w:t>
      </w:r>
      <w:r w:rsidR="00E82B0F" w:rsidRPr="00520861">
        <w:rPr>
          <w:rFonts w:eastAsia="Calibri"/>
          <w:sz w:val="28"/>
          <w:szCs w:val="28"/>
          <w:lang w:eastAsia="en-US"/>
        </w:rPr>
        <w:t>похибки</w:t>
      </w:r>
      <w:r w:rsidRPr="00520861">
        <w:rPr>
          <w:rFonts w:eastAsiaTheme="minorHAnsi"/>
          <w:spacing w:val="-6"/>
          <w:sz w:val="28"/>
          <w:szCs w:val="28"/>
          <w:lang w:eastAsia="en-US"/>
        </w:rPr>
        <w:t xml:space="preserve"> </w:t>
      </w:r>
      <w:r w:rsidRPr="00520861">
        <w:rPr>
          <w:rFonts w:eastAsiaTheme="minorHAnsi"/>
          <w:i/>
          <w:spacing w:val="-6"/>
          <w:sz w:val="28"/>
          <w:szCs w:val="28"/>
          <w:lang w:eastAsia="en-US"/>
        </w:rPr>
        <w:t>p</w:t>
      </w:r>
      <w:r w:rsidRPr="00520861">
        <w:rPr>
          <w:rFonts w:eastAsiaTheme="minorHAnsi"/>
          <w:spacing w:val="-6"/>
          <w:sz w:val="28"/>
          <w:szCs w:val="28"/>
          <w:lang w:eastAsia="en-US"/>
        </w:rPr>
        <w:t xml:space="preserve"> гіпотези про значущість </w:t>
      </w:r>
      <w:r w:rsidR="00A656B7" w:rsidRPr="00520861">
        <w:rPr>
          <w:rFonts w:eastAsiaTheme="minorHAnsi"/>
          <w:spacing w:val="-6"/>
          <w:sz w:val="28"/>
          <w:szCs w:val="28"/>
          <w:lang w:eastAsia="en-US"/>
        </w:rPr>
        <w:br/>
      </w:r>
      <w:r w:rsidRPr="00520861">
        <w:rPr>
          <w:rFonts w:eastAsiaTheme="minorHAnsi"/>
          <w:spacing w:val="-6"/>
          <w:sz w:val="28"/>
          <w:szCs w:val="28"/>
          <w:lang w:eastAsia="en-US"/>
        </w:rPr>
        <w:t xml:space="preserve">відмінностей між частотами розповсюдження генотипів у групах для кожної моделі відповідають значенню </w:t>
      </w:r>
      <w:r w:rsidRPr="00520861">
        <w:rPr>
          <w:rFonts w:eastAsiaTheme="minorHAnsi"/>
          <w:spacing w:val="-6"/>
          <w:sz w:val="28"/>
          <w:szCs w:val="28"/>
          <w:lang w:eastAsia="en-US"/>
        </w:rPr>
        <w:sym w:font="Symbol" w:char="F063"/>
      </w:r>
      <w:r w:rsidRPr="00520861">
        <w:rPr>
          <w:rFonts w:eastAsiaTheme="minorHAnsi"/>
          <w:spacing w:val="-6"/>
          <w:sz w:val="28"/>
          <w:szCs w:val="28"/>
          <w:vertAlign w:val="superscript"/>
          <w:lang w:eastAsia="en-US"/>
        </w:rPr>
        <w:t>2</w:t>
      </w:r>
      <w:r w:rsidRPr="00520861">
        <w:rPr>
          <w:rFonts w:eastAsiaTheme="minorHAnsi"/>
          <w:spacing w:val="-6"/>
          <w:sz w:val="28"/>
          <w:szCs w:val="28"/>
          <w:lang w:eastAsia="en-US"/>
        </w:rPr>
        <w:t>, розрахованому для відповідної таблиці спряженості. Значення 95% довірчих інтервалів (95% ДІ) наведені для розрахованих по цим таблицям відношень шансів ВШ.</w:t>
      </w:r>
    </w:p>
    <w:p w14:paraId="32DF9484" w14:textId="77777777" w:rsidR="002E3CE8" w:rsidRPr="00520861" w:rsidRDefault="002E3CE8" w:rsidP="00292D2E">
      <w:pPr>
        <w:widowControl w:val="0"/>
        <w:spacing w:line="360" w:lineRule="auto"/>
        <w:ind w:firstLine="709"/>
        <w:jc w:val="both"/>
        <w:rPr>
          <w:rFonts w:eastAsia="Calibri"/>
          <w:spacing w:val="-2"/>
          <w:sz w:val="28"/>
          <w:szCs w:val="28"/>
          <w:lang w:eastAsia="en-US"/>
        </w:rPr>
      </w:pPr>
      <w:r w:rsidRPr="00520861">
        <w:rPr>
          <w:rFonts w:eastAsiaTheme="minorHAnsi"/>
          <w:spacing w:val="-2"/>
          <w:sz w:val="28"/>
          <w:szCs w:val="28"/>
          <w:lang w:eastAsia="en-US"/>
        </w:rPr>
        <w:lastRenderedPageBreak/>
        <w:t xml:space="preserve">Серед осіб з ГП I була значуще підвищена частота розповсюдження генотипів AG та GG за геном </w:t>
      </w:r>
      <w:r w:rsidRPr="00520861">
        <w:rPr>
          <w:rFonts w:eastAsiaTheme="minorHAnsi"/>
          <w:i/>
          <w:spacing w:val="-2"/>
          <w:sz w:val="28"/>
          <w:szCs w:val="28"/>
          <w:lang w:eastAsia="en-US"/>
        </w:rPr>
        <w:t>CYP19A1</w:t>
      </w:r>
      <w:r w:rsidRPr="00520861">
        <w:rPr>
          <w:rFonts w:eastAsiaTheme="minorHAnsi"/>
          <w:spacing w:val="-2"/>
          <w:sz w:val="28"/>
          <w:szCs w:val="28"/>
          <w:lang w:eastAsia="en-US"/>
        </w:rPr>
        <w:t xml:space="preserve"> [rs2414096] на відміну від осіб ГП II, а при розрахунку моделей ризику значущими були адитивна, домінантна та мультиплікативна моделі успадкування, серед яких найбільшу цінність мала мультиплікативна модель [324].</w:t>
      </w:r>
    </w:p>
    <w:p w14:paraId="46514845"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Також були виявлені значущі відмінності для поліморфного варіанта гена </w:t>
      </w:r>
      <w:r w:rsidRPr="00520861">
        <w:rPr>
          <w:rFonts w:eastAsiaTheme="minorHAnsi"/>
          <w:i/>
          <w:sz w:val="28"/>
          <w:szCs w:val="28"/>
          <w:lang w:eastAsia="en-US"/>
        </w:rPr>
        <w:t>ESR1 (-351 G&gt;A)</w:t>
      </w:r>
      <w:r w:rsidRPr="00520861">
        <w:rPr>
          <w:rFonts w:eastAsiaTheme="minorHAnsi"/>
          <w:sz w:val="28"/>
          <w:szCs w:val="28"/>
          <w:lang w:eastAsia="en-US"/>
        </w:rPr>
        <w:t xml:space="preserve"> [rs9340799] – мультиплікативна та рецесивна моделі ризику, з яких більшою прогностичною цінністю відрізнялася мультиплікативна. Отже, наявність алеля G за геном </w:t>
      </w:r>
      <w:r w:rsidRPr="00520861">
        <w:rPr>
          <w:rFonts w:eastAsiaTheme="minorHAnsi"/>
          <w:i/>
          <w:sz w:val="28"/>
          <w:szCs w:val="28"/>
          <w:lang w:eastAsia="en-US"/>
        </w:rPr>
        <w:t>CYP19A1</w:t>
      </w:r>
      <w:r w:rsidRPr="00520861">
        <w:rPr>
          <w:rFonts w:eastAsiaTheme="minorHAnsi"/>
          <w:sz w:val="28"/>
          <w:szCs w:val="28"/>
          <w:lang w:eastAsia="en-US"/>
        </w:rPr>
        <w:t xml:space="preserve"> та наявність алеля А за геном </w:t>
      </w:r>
      <w:r w:rsidRPr="00520861">
        <w:rPr>
          <w:rFonts w:eastAsiaTheme="minorHAnsi"/>
          <w:i/>
          <w:sz w:val="28"/>
          <w:szCs w:val="28"/>
          <w:lang w:eastAsia="en-US"/>
        </w:rPr>
        <w:t xml:space="preserve">ESR1 </w:t>
      </w:r>
      <w:r w:rsidRPr="00520861">
        <w:rPr>
          <w:rFonts w:eastAsiaTheme="minorHAnsi"/>
          <w:sz w:val="28"/>
          <w:szCs w:val="28"/>
          <w:lang w:eastAsia="en-US"/>
        </w:rPr>
        <w:t xml:space="preserve">є факторами ризику розвитку </w:t>
      </w:r>
      <w:proofErr w:type="spellStart"/>
      <w:r w:rsidRPr="00520861">
        <w:rPr>
          <w:rFonts w:eastAsiaTheme="minorHAnsi"/>
          <w:sz w:val="28"/>
          <w:szCs w:val="28"/>
          <w:lang w:eastAsia="en-US"/>
        </w:rPr>
        <w:t>макросомії</w:t>
      </w:r>
      <w:proofErr w:type="spellEnd"/>
      <w:r w:rsidRPr="00520861">
        <w:rPr>
          <w:rFonts w:eastAsiaTheme="minorHAnsi"/>
          <w:sz w:val="28"/>
          <w:szCs w:val="28"/>
          <w:lang w:eastAsia="en-US"/>
        </w:rPr>
        <w:t xml:space="preserve"> при збережених у межах норми термінах прорізування зубів.</w:t>
      </w:r>
      <w:r w:rsidRPr="00520861">
        <w:rPr>
          <w:rFonts w:eastAsia="Calibri"/>
          <w:sz w:val="28"/>
          <w:szCs w:val="28"/>
          <w:lang w:eastAsia="en-US"/>
        </w:rPr>
        <w:t xml:space="preserve"> </w:t>
      </w:r>
      <w:r w:rsidRPr="00520861">
        <w:rPr>
          <w:rFonts w:eastAsiaTheme="minorHAnsi"/>
          <w:sz w:val="28"/>
          <w:szCs w:val="28"/>
          <w:lang w:eastAsia="en-US"/>
        </w:rPr>
        <w:t xml:space="preserve">Особливої уваги заслуговує виявлена </w:t>
      </w:r>
      <w:proofErr w:type="spellStart"/>
      <w:r w:rsidRPr="00520861">
        <w:rPr>
          <w:rFonts w:eastAsiaTheme="minorHAnsi"/>
          <w:sz w:val="28"/>
          <w:szCs w:val="28"/>
          <w:lang w:eastAsia="en-US"/>
        </w:rPr>
        <w:t>модифікуюча</w:t>
      </w:r>
      <w:proofErr w:type="spellEnd"/>
      <w:r w:rsidRPr="00520861">
        <w:rPr>
          <w:rFonts w:eastAsiaTheme="minorHAnsi"/>
          <w:sz w:val="28"/>
          <w:szCs w:val="28"/>
          <w:lang w:eastAsia="en-US"/>
        </w:rPr>
        <w:t xml:space="preserve"> дія варіанта гена </w:t>
      </w:r>
      <w:r w:rsidRPr="00520861">
        <w:rPr>
          <w:rFonts w:eastAsiaTheme="minorHAnsi"/>
          <w:i/>
          <w:sz w:val="28"/>
          <w:szCs w:val="28"/>
          <w:lang w:eastAsia="en-US"/>
        </w:rPr>
        <w:t>RANKL</w:t>
      </w:r>
      <w:r w:rsidRPr="00520861">
        <w:rPr>
          <w:rFonts w:eastAsiaTheme="minorHAnsi"/>
          <w:sz w:val="28"/>
          <w:szCs w:val="28"/>
          <w:lang w:eastAsia="en-US"/>
        </w:rPr>
        <w:t xml:space="preserve"> [rs9594759] при порівнянні індивідів з ОГ ПП та ОГ ЗП [321]. Спостерігається значна різниця (табл. 5.12) у частоті поширення генотипу ТТ у гені </w:t>
      </w:r>
      <w:r w:rsidRPr="00520861">
        <w:rPr>
          <w:rFonts w:eastAsiaTheme="minorHAnsi"/>
          <w:i/>
          <w:sz w:val="28"/>
          <w:szCs w:val="28"/>
          <w:lang w:eastAsia="en-US"/>
        </w:rPr>
        <w:t>RANKL</w:t>
      </w:r>
      <w:r w:rsidRPr="00520861">
        <w:rPr>
          <w:rFonts w:eastAsiaTheme="minorHAnsi"/>
          <w:sz w:val="28"/>
          <w:szCs w:val="28"/>
          <w:lang w:eastAsia="en-US"/>
        </w:rPr>
        <w:t xml:space="preserve">. </w:t>
      </w:r>
    </w:p>
    <w:p w14:paraId="374E6160" w14:textId="77777777" w:rsidR="002E3CE8" w:rsidRPr="00520861" w:rsidRDefault="002E3CE8" w:rsidP="00292D2E">
      <w:pPr>
        <w:widowControl w:val="0"/>
        <w:spacing w:line="360" w:lineRule="auto"/>
        <w:ind w:firstLine="709"/>
        <w:jc w:val="both"/>
        <w:rPr>
          <w:rFonts w:eastAsia="Calibri"/>
          <w:spacing w:val="-2"/>
          <w:sz w:val="28"/>
          <w:szCs w:val="28"/>
          <w:lang w:eastAsia="en-US"/>
        </w:rPr>
      </w:pPr>
      <w:r w:rsidRPr="00520861">
        <w:rPr>
          <w:rFonts w:eastAsia="Calibri"/>
          <w:spacing w:val="-2"/>
          <w:sz w:val="28"/>
          <w:szCs w:val="28"/>
          <w:lang w:eastAsia="en-US"/>
        </w:rPr>
        <w:t xml:space="preserve">У порівнянні між групами ми виявили </w:t>
      </w:r>
      <w:r w:rsidRPr="00520861">
        <w:rPr>
          <w:rFonts w:eastAsiaTheme="minorHAnsi"/>
          <w:bCs/>
          <w:spacing w:val="-2"/>
          <w:sz w:val="28"/>
          <w:szCs w:val="28"/>
          <w:lang w:eastAsia="en-US"/>
        </w:rPr>
        <w:t>(табл. Б.1.21)</w:t>
      </w:r>
      <w:r w:rsidRPr="00520861">
        <w:rPr>
          <w:rFonts w:eastAsia="Calibri"/>
          <w:spacing w:val="-2"/>
          <w:sz w:val="28"/>
          <w:szCs w:val="28"/>
          <w:lang w:eastAsia="en-US"/>
        </w:rPr>
        <w:t xml:space="preserve">, що поширеність генотипу ТТ була значно нижчою в осіб з ОГ ПП (12,50%) та значно вищою в осіб з ОГЗП (48%). Тобто рецесивна модель успадкування була значущою. Тому в </w:t>
      </w:r>
      <w:proofErr w:type="spellStart"/>
      <w:r w:rsidRPr="00520861">
        <w:rPr>
          <w:rFonts w:eastAsia="Calibri"/>
          <w:spacing w:val="-2"/>
          <w:sz w:val="28"/>
          <w:szCs w:val="28"/>
          <w:lang w:eastAsia="en-US"/>
        </w:rPr>
        <w:t>макросомів</w:t>
      </w:r>
      <w:proofErr w:type="spellEnd"/>
      <w:r w:rsidRPr="00520861">
        <w:rPr>
          <w:rFonts w:eastAsia="Calibri"/>
          <w:spacing w:val="-2"/>
          <w:sz w:val="28"/>
          <w:szCs w:val="28"/>
          <w:lang w:eastAsia="en-US"/>
        </w:rPr>
        <w:t xml:space="preserve"> терміни прорізування тимчасових зубів залежать від варіанта гена </w:t>
      </w:r>
      <w:r w:rsidRPr="00520861">
        <w:rPr>
          <w:rFonts w:eastAsia="Calibri"/>
          <w:i/>
          <w:spacing w:val="-2"/>
          <w:sz w:val="28"/>
          <w:szCs w:val="28"/>
          <w:lang w:eastAsia="en-US"/>
        </w:rPr>
        <w:t xml:space="preserve">RANKL </w:t>
      </w:r>
      <w:r w:rsidRPr="00520861">
        <w:rPr>
          <w:rFonts w:eastAsia="Calibri"/>
          <w:spacing w:val="-2"/>
          <w:sz w:val="28"/>
          <w:szCs w:val="28"/>
          <w:lang w:eastAsia="en-US"/>
        </w:rPr>
        <w:t xml:space="preserve">[rs9594759]. </w:t>
      </w:r>
    </w:p>
    <w:p w14:paraId="54FA5F57"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При порівнянні між групами </w:t>
      </w:r>
      <w:proofErr w:type="spellStart"/>
      <w:r w:rsidRPr="00520861">
        <w:rPr>
          <w:rFonts w:eastAsia="Calibri"/>
          <w:sz w:val="28"/>
          <w:szCs w:val="28"/>
          <w:lang w:eastAsia="en-US"/>
        </w:rPr>
        <w:t>модифікуючий</w:t>
      </w:r>
      <w:proofErr w:type="spellEnd"/>
      <w:r w:rsidRPr="00520861">
        <w:rPr>
          <w:rFonts w:eastAsia="Calibri"/>
          <w:sz w:val="28"/>
          <w:szCs w:val="28"/>
          <w:lang w:eastAsia="en-US"/>
        </w:rPr>
        <w:t xml:space="preserve"> ефект було виявлено також для гена </w:t>
      </w:r>
      <w:r w:rsidRPr="00520861">
        <w:rPr>
          <w:rFonts w:eastAsia="Calibri"/>
          <w:i/>
          <w:sz w:val="28"/>
          <w:szCs w:val="28"/>
          <w:lang w:eastAsia="en-US"/>
        </w:rPr>
        <w:t>CYP19A1 (A&gt;G)</w:t>
      </w:r>
      <w:r w:rsidRPr="00520861">
        <w:rPr>
          <w:rFonts w:eastAsia="Calibri"/>
          <w:sz w:val="28"/>
          <w:szCs w:val="28"/>
          <w:lang w:eastAsia="en-US"/>
        </w:rPr>
        <w:t xml:space="preserve"> [rs2414096].</w:t>
      </w:r>
      <w:r w:rsidRPr="00520861">
        <w:rPr>
          <w:rFonts w:eastAsia="Calibri"/>
          <w:spacing w:val="-2"/>
          <w:sz w:val="28"/>
          <w:szCs w:val="28"/>
          <w:lang w:eastAsia="en-US"/>
        </w:rPr>
        <w:t xml:space="preserve"> Частота гетерозиготних варіантів у осіб ОГ ПП, була 75,00% порівняно з 37,50% у осіб ОГ ЗП.</w:t>
      </w:r>
    </w:p>
    <w:p w14:paraId="242860AD" w14:textId="77777777" w:rsidR="002E3CE8" w:rsidRPr="00520861" w:rsidRDefault="002E3CE8" w:rsidP="00292D2E">
      <w:pPr>
        <w:widowControl w:val="0"/>
        <w:spacing w:line="360" w:lineRule="auto"/>
        <w:jc w:val="right"/>
        <w:rPr>
          <w:rFonts w:eastAsiaTheme="minorHAnsi"/>
          <w:i/>
          <w:sz w:val="28"/>
          <w:szCs w:val="28"/>
          <w:lang w:eastAsia="en-US"/>
        </w:rPr>
      </w:pPr>
      <w:r w:rsidRPr="00520861">
        <w:rPr>
          <w:rFonts w:eastAsiaTheme="minorHAnsi"/>
          <w:i/>
          <w:sz w:val="28"/>
          <w:szCs w:val="28"/>
          <w:lang w:eastAsia="en-US"/>
        </w:rPr>
        <w:t>Таблиця 5.12</w:t>
      </w:r>
    </w:p>
    <w:p w14:paraId="3C119F0B" w14:textId="77777777" w:rsidR="002E3CE8" w:rsidRPr="00520861" w:rsidRDefault="002E3CE8" w:rsidP="00292D2E">
      <w:pPr>
        <w:widowControl w:val="0"/>
        <w:spacing w:line="360" w:lineRule="auto"/>
        <w:jc w:val="center"/>
        <w:rPr>
          <w:rFonts w:eastAsiaTheme="minorHAnsi"/>
          <w:b/>
          <w:sz w:val="28"/>
          <w:szCs w:val="28"/>
          <w:lang w:eastAsia="en-US"/>
        </w:rPr>
      </w:pPr>
      <w:r w:rsidRPr="00520861">
        <w:rPr>
          <w:rFonts w:eastAsiaTheme="minorHAnsi"/>
          <w:b/>
          <w:sz w:val="28"/>
          <w:szCs w:val="28"/>
          <w:lang w:eastAsia="en-US"/>
        </w:rPr>
        <w:t xml:space="preserve">Порівняння частот розподілу поліморфних варіантів за генами </w:t>
      </w:r>
      <w:r w:rsidRPr="00520861">
        <w:rPr>
          <w:rFonts w:eastAsiaTheme="minorHAnsi"/>
          <w:b/>
          <w:i/>
          <w:sz w:val="28"/>
          <w:szCs w:val="28"/>
          <w:lang w:eastAsia="en-US"/>
        </w:rPr>
        <w:t>CYP19A1: A&gt;G</w:t>
      </w:r>
      <w:r w:rsidRPr="00520861">
        <w:rPr>
          <w:rFonts w:eastAsiaTheme="minorHAnsi"/>
          <w:b/>
          <w:sz w:val="28"/>
          <w:szCs w:val="28"/>
          <w:lang w:eastAsia="en-US"/>
        </w:rPr>
        <w:t xml:space="preserve"> [rs2414096] і </w:t>
      </w:r>
      <w:r w:rsidRPr="00520861">
        <w:rPr>
          <w:rFonts w:eastAsiaTheme="minorHAnsi"/>
          <w:b/>
          <w:i/>
          <w:sz w:val="28"/>
          <w:szCs w:val="28"/>
          <w:lang w:eastAsia="en-US"/>
        </w:rPr>
        <w:t>RANKL: C&gt;T</w:t>
      </w:r>
      <w:r w:rsidRPr="00520861">
        <w:rPr>
          <w:rFonts w:eastAsiaTheme="minorHAnsi"/>
          <w:b/>
          <w:sz w:val="28"/>
          <w:szCs w:val="28"/>
          <w:lang w:eastAsia="en-US"/>
        </w:rPr>
        <w:t xml:space="preserve"> [rs9594759] для ОГ ЗП та ОГ ПП</w:t>
      </w:r>
    </w:p>
    <w:tbl>
      <w:tblPr>
        <w:tblStyle w:val="610"/>
        <w:tblW w:w="9351" w:type="dxa"/>
        <w:jc w:val="center"/>
        <w:tblLayout w:type="fixed"/>
        <w:tblLook w:val="04A0" w:firstRow="1" w:lastRow="0" w:firstColumn="1" w:lastColumn="0" w:noHBand="0" w:noVBand="1"/>
      </w:tblPr>
      <w:tblGrid>
        <w:gridCol w:w="1980"/>
        <w:gridCol w:w="1642"/>
        <w:gridCol w:w="1816"/>
        <w:gridCol w:w="1001"/>
        <w:gridCol w:w="2061"/>
        <w:gridCol w:w="851"/>
      </w:tblGrid>
      <w:tr w:rsidR="002E3CE8" w:rsidRPr="00520861" w14:paraId="4EB864BF" w14:textId="77777777" w:rsidTr="00292D2E">
        <w:trPr>
          <w:jc w:val="center"/>
        </w:trPr>
        <w:tc>
          <w:tcPr>
            <w:tcW w:w="1980" w:type="dxa"/>
            <w:vMerge w:val="restart"/>
            <w:tcBorders>
              <w:top w:val="single" w:sz="4" w:space="0" w:color="auto"/>
              <w:left w:val="single" w:sz="4" w:space="0" w:color="auto"/>
              <w:bottom w:val="single" w:sz="4" w:space="0" w:color="auto"/>
              <w:right w:val="single" w:sz="4" w:space="0" w:color="auto"/>
            </w:tcBorders>
            <w:hideMark/>
          </w:tcPr>
          <w:p w14:paraId="0B0F4CC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Ген</w:t>
            </w:r>
          </w:p>
        </w:tc>
        <w:tc>
          <w:tcPr>
            <w:tcW w:w="1642" w:type="dxa"/>
            <w:vMerge w:val="restart"/>
            <w:tcBorders>
              <w:top w:val="single" w:sz="4" w:space="0" w:color="auto"/>
              <w:left w:val="single" w:sz="4" w:space="0" w:color="auto"/>
              <w:bottom w:val="single" w:sz="4" w:space="0" w:color="auto"/>
              <w:right w:val="single" w:sz="4" w:space="0" w:color="auto"/>
            </w:tcBorders>
            <w:hideMark/>
          </w:tcPr>
          <w:p w14:paraId="65022C3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Генотип</w:t>
            </w:r>
          </w:p>
        </w:tc>
        <w:tc>
          <w:tcPr>
            <w:tcW w:w="5729" w:type="dxa"/>
            <w:gridSpan w:val="4"/>
            <w:tcBorders>
              <w:top w:val="single" w:sz="4" w:space="0" w:color="auto"/>
              <w:left w:val="single" w:sz="4" w:space="0" w:color="auto"/>
              <w:bottom w:val="single" w:sz="4" w:space="0" w:color="auto"/>
              <w:right w:val="single" w:sz="4" w:space="0" w:color="auto"/>
            </w:tcBorders>
            <w:hideMark/>
          </w:tcPr>
          <w:p w14:paraId="1F67085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Результати статистичного аналізу</w:t>
            </w:r>
          </w:p>
        </w:tc>
      </w:tr>
      <w:tr w:rsidR="002E3CE8" w:rsidRPr="00520861" w14:paraId="6914146D"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12FDDD7D" w14:textId="77777777" w:rsidR="002E3CE8" w:rsidRPr="00520861" w:rsidRDefault="002E3CE8" w:rsidP="00292D2E">
            <w:pPr>
              <w:widowControl w:val="0"/>
              <w:spacing w:line="360" w:lineRule="auto"/>
              <w:rPr>
                <w:rFonts w:eastAsia="Calibri"/>
                <w:sz w:val="28"/>
                <w:szCs w:val="28"/>
              </w:rPr>
            </w:pPr>
          </w:p>
        </w:tc>
        <w:tc>
          <w:tcPr>
            <w:tcW w:w="1642" w:type="dxa"/>
            <w:vMerge/>
            <w:tcBorders>
              <w:top w:val="single" w:sz="4" w:space="0" w:color="auto"/>
              <w:left w:val="single" w:sz="4" w:space="0" w:color="auto"/>
              <w:bottom w:val="single" w:sz="4" w:space="0" w:color="auto"/>
              <w:right w:val="single" w:sz="4" w:space="0" w:color="auto"/>
            </w:tcBorders>
            <w:vAlign w:val="center"/>
            <w:hideMark/>
          </w:tcPr>
          <w:p w14:paraId="3026BFAE" w14:textId="77777777" w:rsidR="002E3CE8" w:rsidRPr="00520861" w:rsidRDefault="002E3CE8" w:rsidP="00292D2E">
            <w:pPr>
              <w:widowControl w:val="0"/>
              <w:spacing w:line="360" w:lineRule="auto"/>
              <w:rPr>
                <w:rFonts w:eastAsia="Calibri"/>
                <w:sz w:val="28"/>
                <w:szCs w:val="28"/>
              </w:rPr>
            </w:pPr>
          </w:p>
        </w:tc>
        <w:tc>
          <w:tcPr>
            <w:tcW w:w="1816" w:type="dxa"/>
            <w:tcBorders>
              <w:top w:val="single" w:sz="4" w:space="0" w:color="auto"/>
              <w:left w:val="single" w:sz="4" w:space="0" w:color="auto"/>
              <w:bottom w:val="single" w:sz="4" w:space="0" w:color="auto"/>
              <w:right w:val="single" w:sz="4" w:space="0" w:color="auto"/>
            </w:tcBorders>
            <w:hideMark/>
          </w:tcPr>
          <w:p w14:paraId="599443B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sym w:font="Symbol" w:char="F063"/>
            </w:r>
            <w:r w:rsidRPr="00520861">
              <w:rPr>
                <w:rFonts w:eastAsia="Calibri"/>
                <w:sz w:val="28"/>
                <w:szCs w:val="28"/>
                <w:vertAlign w:val="superscript"/>
              </w:rPr>
              <w:t>2</w:t>
            </w:r>
            <w:r w:rsidRPr="00520861">
              <w:rPr>
                <w:rFonts w:eastAsia="Calibri"/>
                <w:sz w:val="28"/>
                <w:szCs w:val="28"/>
              </w:rPr>
              <w:t xml:space="preserve"> (</w:t>
            </w:r>
            <w:proofErr w:type="spellStart"/>
            <w:r w:rsidRPr="00520861">
              <w:rPr>
                <w:rFonts w:eastAsia="Calibri"/>
                <w:sz w:val="28"/>
                <w:szCs w:val="28"/>
              </w:rPr>
              <w:t>Йєтс</w:t>
            </w:r>
            <w:proofErr w:type="spellEnd"/>
            <w:r w:rsidRPr="00520861">
              <w:rPr>
                <w:rFonts w:eastAsia="Calibri"/>
                <w:sz w:val="28"/>
                <w:szCs w:val="28"/>
              </w:rPr>
              <w:t>)</w:t>
            </w:r>
          </w:p>
        </w:tc>
        <w:tc>
          <w:tcPr>
            <w:tcW w:w="1001" w:type="dxa"/>
            <w:tcBorders>
              <w:top w:val="single" w:sz="4" w:space="0" w:color="auto"/>
              <w:left w:val="single" w:sz="4" w:space="0" w:color="auto"/>
              <w:bottom w:val="single" w:sz="4" w:space="0" w:color="auto"/>
              <w:right w:val="single" w:sz="4" w:space="0" w:color="auto"/>
            </w:tcBorders>
            <w:hideMark/>
          </w:tcPr>
          <w:p w14:paraId="27F589B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ВШ</w:t>
            </w:r>
          </w:p>
        </w:tc>
        <w:tc>
          <w:tcPr>
            <w:tcW w:w="2061" w:type="dxa"/>
            <w:tcBorders>
              <w:top w:val="single" w:sz="4" w:space="0" w:color="auto"/>
              <w:left w:val="single" w:sz="4" w:space="0" w:color="auto"/>
              <w:bottom w:val="single" w:sz="4" w:space="0" w:color="auto"/>
              <w:right w:val="single" w:sz="4" w:space="0" w:color="auto"/>
            </w:tcBorders>
            <w:hideMark/>
          </w:tcPr>
          <w:p w14:paraId="11B1C02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95% ДІ</w:t>
            </w:r>
          </w:p>
        </w:tc>
        <w:tc>
          <w:tcPr>
            <w:tcW w:w="851" w:type="dxa"/>
            <w:tcBorders>
              <w:top w:val="single" w:sz="4" w:space="0" w:color="auto"/>
              <w:left w:val="single" w:sz="4" w:space="0" w:color="auto"/>
              <w:bottom w:val="single" w:sz="4" w:space="0" w:color="auto"/>
              <w:right w:val="single" w:sz="4" w:space="0" w:color="auto"/>
            </w:tcBorders>
            <w:hideMark/>
          </w:tcPr>
          <w:p w14:paraId="6B244265" w14:textId="77777777" w:rsidR="002E3CE8" w:rsidRPr="00520861" w:rsidRDefault="002E3CE8" w:rsidP="00292D2E">
            <w:pPr>
              <w:widowControl w:val="0"/>
              <w:spacing w:line="360" w:lineRule="auto"/>
              <w:jc w:val="center"/>
              <w:rPr>
                <w:rFonts w:eastAsia="Calibri"/>
                <w:i/>
                <w:sz w:val="28"/>
                <w:szCs w:val="28"/>
              </w:rPr>
            </w:pPr>
            <w:r w:rsidRPr="00520861">
              <w:rPr>
                <w:rFonts w:eastAsia="Calibri"/>
                <w:i/>
                <w:sz w:val="28"/>
                <w:szCs w:val="28"/>
              </w:rPr>
              <w:t>P</w:t>
            </w:r>
          </w:p>
        </w:tc>
      </w:tr>
      <w:tr w:rsidR="002E3CE8" w:rsidRPr="00520861" w14:paraId="213F6331" w14:textId="77777777" w:rsidTr="00292D2E">
        <w:trPr>
          <w:jc w:val="center"/>
        </w:trPr>
        <w:tc>
          <w:tcPr>
            <w:tcW w:w="1980" w:type="dxa"/>
            <w:tcBorders>
              <w:top w:val="single" w:sz="4" w:space="0" w:color="auto"/>
              <w:left w:val="single" w:sz="4" w:space="0" w:color="auto"/>
              <w:bottom w:val="single" w:sz="4" w:space="0" w:color="auto"/>
              <w:right w:val="single" w:sz="4" w:space="0" w:color="auto"/>
            </w:tcBorders>
            <w:vAlign w:val="center"/>
          </w:tcPr>
          <w:p w14:paraId="42607DA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w:t>
            </w:r>
          </w:p>
        </w:tc>
        <w:tc>
          <w:tcPr>
            <w:tcW w:w="1642" w:type="dxa"/>
            <w:tcBorders>
              <w:top w:val="single" w:sz="4" w:space="0" w:color="auto"/>
              <w:left w:val="single" w:sz="4" w:space="0" w:color="auto"/>
              <w:bottom w:val="single" w:sz="4" w:space="0" w:color="auto"/>
              <w:right w:val="single" w:sz="4" w:space="0" w:color="auto"/>
            </w:tcBorders>
            <w:vAlign w:val="center"/>
          </w:tcPr>
          <w:p w14:paraId="0AC04FC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w:t>
            </w:r>
          </w:p>
        </w:tc>
        <w:tc>
          <w:tcPr>
            <w:tcW w:w="1816" w:type="dxa"/>
            <w:tcBorders>
              <w:top w:val="single" w:sz="4" w:space="0" w:color="auto"/>
              <w:left w:val="single" w:sz="4" w:space="0" w:color="auto"/>
              <w:bottom w:val="single" w:sz="4" w:space="0" w:color="auto"/>
              <w:right w:val="single" w:sz="4" w:space="0" w:color="auto"/>
            </w:tcBorders>
          </w:tcPr>
          <w:p w14:paraId="0EC120F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w:t>
            </w:r>
          </w:p>
        </w:tc>
        <w:tc>
          <w:tcPr>
            <w:tcW w:w="1001" w:type="dxa"/>
            <w:tcBorders>
              <w:top w:val="single" w:sz="4" w:space="0" w:color="auto"/>
              <w:left w:val="single" w:sz="4" w:space="0" w:color="auto"/>
              <w:bottom w:val="single" w:sz="4" w:space="0" w:color="auto"/>
              <w:right w:val="single" w:sz="4" w:space="0" w:color="auto"/>
            </w:tcBorders>
          </w:tcPr>
          <w:p w14:paraId="2219985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w:t>
            </w:r>
          </w:p>
        </w:tc>
        <w:tc>
          <w:tcPr>
            <w:tcW w:w="2061" w:type="dxa"/>
            <w:tcBorders>
              <w:top w:val="single" w:sz="4" w:space="0" w:color="auto"/>
              <w:left w:val="single" w:sz="4" w:space="0" w:color="auto"/>
              <w:bottom w:val="single" w:sz="4" w:space="0" w:color="auto"/>
              <w:right w:val="single" w:sz="4" w:space="0" w:color="auto"/>
            </w:tcBorders>
          </w:tcPr>
          <w:p w14:paraId="4AF7075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w:t>
            </w:r>
          </w:p>
        </w:tc>
        <w:tc>
          <w:tcPr>
            <w:tcW w:w="851" w:type="dxa"/>
            <w:tcBorders>
              <w:top w:val="single" w:sz="4" w:space="0" w:color="auto"/>
              <w:left w:val="single" w:sz="4" w:space="0" w:color="auto"/>
              <w:bottom w:val="single" w:sz="4" w:space="0" w:color="auto"/>
              <w:right w:val="single" w:sz="4" w:space="0" w:color="auto"/>
            </w:tcBorders>
          </w:tcPr>
          <w:p w14:paraId="01E09EF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w:t>
            </w:r>
          </w:p>
        </w:tc>
      </w:tr>
      <w:tr w:rsidR="002E3CE8" w:rsidRPr="00520861" w14:paraId="65C84B50" w14:textId="77777777" w:rsidTr="00292D2E">
        <w:trPr>
          <w:jc w:val="center"/>
        </w:trPr>
        <w:tc>
          <w:tcPr>
            <w:tcW w:w="1980" w:type="dxa"/>
            <w:vMerge w:val="restart"/>
            <w:tcBorders>
              <w:top w:val="single" w:sz="4" w:space="0" w:color="auto"/>
              <w:left w:val="single" w:sz="4" w:space="0" w:color="auto"/>
              <w:right w:val="single" w:sz="4" w:space="0" w:color="auto"/>
            </w:tcBorders>
            <w:hideMark/>
          </w:tcPr>
          <w:p w14:paraId="17CD1324" w14:textId="77777777" w:rsidR="002E3CE8" w:rsidRPr="00520861" w:rsidRDefault="002E3CE8" w:rsidP="00292D2E">
            <w:pPr>
              <w:widowControl w:val="0"/>
              <w:spacing w:line="360" w:lineRule="auto"/>
              <w:jc w:val="center"/>
              <w:rPr>
                <w:rFonts w:eastAsia="Calibri"/>
                <w:sz w:val="28"/>
                <w:szCs w:val="28"/>
              </w:rPr>
            </w:pPr>
            <w:r w:rsidRPr="00520861">
              <w:rPr>
                <w:rFonts w:eastAsia="Calibri"/>
                <w:i/>
                <w:sz w:val="28"/>
                <w:szCs w:val="28"/>
              </w:rPr>
              <w:t>CYP19A1: A&gt;G</w:t>
            </w:r>
            <w:r w:rsidRPr="00520861">
              <w:rPr>
                <w:rFonts w:eastAsia="Calibri"/>
                <w:sz w:val="28"/>
                <w:szCs w:val="28"/>
              </w:rPr>
              <w:t xml:space="preserve"> [rs2414096]</w:t>
            </w:r>
          </w:p>
        </w:tc>
        <w:tc>
          <w:tcPr>
            <w:tcW w:w="7371" w:type="dxa"/>
            <w:gridSpan w:val="5"/>
            <w:tcBorders>
              <w:top w:val="single" w:sz="4" w:space="0" w:color="auto"/>
              <w:left w:val="single" w:sz="4" w:space="0" w:color="auto"/>
              <w:bottom w:val="single" w:sz="4" w:space="0" w:color="auto"/>
              <w:right w:val="single" w:sz="4" w:space="0" w:color="auto"/>
            </w:tcBorders>
            <w:hideMark/>
          </w:tcPr>
          <w:p w14:paraId="3164095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Адитивна модель</w:t>
            </w:r>
          </w:p>
        </w:tc>
      </w:tr>
      <w:tr w:rsidR="002E3CE8" w:rsidRPr="00520861" w14:paraId="21C5287A" w14:textId="77777777" w:rsidTr="00292D2E">
        <w:trPr>
          <w:jc w:val="center"/>
        </w:trPr>
        <w:tc>
          <w:tcPr>
            <w:tcW w:w="1980" w:type="dxa"/>
            <w:vMerge/>
            <w:tcBorders>
              <w:left w:val="single" w:sz="4" w:space="0" w:color="auto"/>
              <w:right w:val="single" w:sz="4" w:space="0" w:color="auto"/>
            </w:tcBorders>
            <w:vAlign w:val="center"/>
            <w:hideMark/>
          </w:tcPr>
          <w:p w14:paraId="4FFE390B" w14:textId="77777777" w:rsidR="002E3CE8" w:rsidRPr="00520861" w:rsidRDefault="002E3CE8" w:rsidP="00292D2E">
            <w:pPr>
              <w:widowControl w:val="0"/>
              <w:spacing w:line="360" w:lineRule="auto"/>
              <w:rPr>
                <w:rFonts w:eastAsia="Calibri"/>
                <w:sz w:val="28"/>
                <w:szCs w:val="28"/>
              </w:rPr>
            </w:pPr>
          </w:p>
        </w:tc>
        <w:tc>
          <w:tcPr>
            <w:tcW w:w="1642" w:type="dxa"/>
            <w:tcBorders>
              <w:top w:val="single" w:sz="4" w:space="0" w:color="auto"/>
              <w:left w:val="single" w:sz="4" w:space="0" w:color="auto"/>
              <w:bottom w:val="single" w:sz="4" w:space="0" w:color="auto"/>
              <w:right w:val="single" w:sz="4" w:space="0" w:color="auto"/>
            </w:tcBorders>
            <w:hideMark/>
          </w:tcPr>
          <w:p w14:paraId="66DF33E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w:t>
            </w:r>
          </w:p>
          <w:p w14:paraId="1BD848F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AG</w:t>
            </w:r>
          </w:p>
          <w:p w14:paraId="5374103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w:t>
            </w:r>
          </w:p>
        </w:tc>
        <w:tc>
          <w:tcPr>
            <w:tcW w:w="1816" w:type="dxa"/>
            <w:tcBorders>
              <w:top w:val="single" w:sz="4" w:space="0" w:color="auto"/>
              <w:left w:val="single" w:sz="4" w:space="0" w:color="auto"/>
              <w:bottom w:val="single" w:sz="4" w:space="0" w:color="auto"/>
              <w:right w:val="single" w:sz="4" w:space="0" w:color="auto"/>
            </w:tcBorders>
            <w:hideMark/>
          </w:tcPr>
          <w:p w14:paraId="269EB15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4,053</w:t>
            </w:r>
          </w:p>
        </w:tc>
        <w:tc>
          <w:tcPr>
            <w:tcW w:w="1001" w:type="dxa"/>
            <w:tcBorders>
              <w:top w:val="single" w:sz="4" w:space="0" w:color="auto"/>
              <w:left w:val="single" w:sz="4" w:space="0" w:color="auto"/>
              <w:bottom w:val="single" w:sz="4" w:space="0" w:color="auto"/>
              <w:right w:val="single" w:sz="4" w:space="0" w:color="auto"/>
            </w:tcBorders>
            <w:hideMark/>
          </w:tcPr>
          <w:p w14:paraId="310672F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1,784</w:t>
            </w:r>
          </w:p>
          <w:p w14:paraId="5F75E43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0,200</w:t>
            </w:r>
          </w:p>
          <w:p w14:paraId="48C20F4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7,500</w:t>
            </w:r>
          </w:p>
        </w:tc>
        <w:tc>
          <w:tcPr>
            <w:tcW w:w="2061" w:type="dxa"/>
            <w:tcBorders>
              <w:top w:val="single" w:sz="4" w:space="0" w:color="auto"/>
              <w:left w:val="single" w:sz="4" w:space="0" w:color="auto"/>
              <w:bottom w:val="single" w:sz="4" w:space="0" w:color="auto"/>
              <w:right w:val="single" w:sz="4" w:space="0" w:color="auto"/>
            </w:tcBorders>
            <w:hideMark/>
          </w:tcPr>
          <w:p w14:paraId="57D171E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0,385–8,267</w:t>
            </w:r>
          </w:p>
          <w:p w14:paraId="190AC97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0,049–0,812</w:t>
            </w:r>
          </w:p>
          <w:p w14:paraId="4DDE9B7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0,835–67,350</w:t>
            </w:r>
          </w:p>
        </w:tc>
        <w:tc>
          <w:tcPr>
            <w:tcW w:w="851" w:type="dxa"/>
            <w:tcBorders>
              <w:top w:val="single" w:sz="4" w:space="0" w:color="auto"/>
              <w:left w:val="single" w:sz="4" w:space="0" w:color="auto"/>
              <w:bottom w:val="single" w:sz="4" w:space="0" w:color="auto"/>
              <w:right w:val="single" w:sz="4" w:space="0" w:color="auto"/>
            </w:tcBorders>
            <w:hideMark/>
          </w:tcPr>
          <w:p w14:paraId="6FFEEC8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0,132</w:t>
            </w:r>
          </w:p>
        </w:tc>
      </w:tr>
    </w:tbl>
    <w:p w14:paraId="23AE8898" w14:textId="77777777" w:rsidR="002E3CE8" w:rsidRPr="00520861" w:rsidRDefault="002E3CE8" w:rsidP="00292D2E">
      <w:pPr>
        <w:widowControl w:val="0"/>
        <w:jc w:val="right"/>
        <w:rPr>
          <w:rFonts w:eastAsiaTheme="minorHAnsi"/>
          <w:i/>
          <w:sz w:val="28"/>
          <w:szCs w:val="28"/>
          <w:lang w:eastAsia="en-US"/>
        </w:rPr>
      </w:pPr>
    </w:p>
    <w:p w14:paraId="79BAF280" w14:textId="77777777" w:rsidR="002E3CE8" w:rsidRPr="00520861" w:rsidRDefault="002E3CE8" w:rsidP="00292D2E">
      <w:pPr>
        <w:widowControl w:val="0"/>
        <w:jc w:val="right"/>
        <w:rPr>
          <w:rFonts w:eastAsiaTheme="minorHAnsi"/>
          <w:i/>
          <w:sz w:val="28"/>
          <w:szCs w:val="28"/>
          <w:lang w:eastAsia="en-US"/>
        </w:rPr>
      </w:pPr>
      <w:r w:rsidRPr="00520861">
        <w:rPr>
          <w:rFonts w:eastAsiaTheme="minorHAnsi"/>
          <w:i/>
          <w:sz w:val="28"/>
          <w:szCs w:val="28"/>
          <w:lang w:eastAsia="en-US"/>
        </w:rPr>
        <w:lastRenderedPageBreak/>
        <w:t>Продовження таблиці 5.12</w:t>
      </w:r>
    </w:p>
    <w:tbl>
      <w:tblPr>
        <w:tblStyle w:val="610"/>
        <w:tblW w:w="9355" w:type="dxa"/>
        <w:jc w:val="center"/>
        <w:tblLayout w:type="fixed"/>
        <w:tblLook w:val="04A0" w:firstRow="1" w:lastRow="0" w:firstColumn="1" w:lastColumn="0" w:noHBand="0" w:noVBand="1"/>
      </w:tblPr>
      <w:tblGrid>
        <w:gridCol w:w="1980"/>
        <w:gridCol w:w="1563"/>
        <w:gridCol w:w="1545"/>
        <w:gridCol w:w="129"/>
        <w:gridCol w:w="1161"/>
        <w:gridCol w:w="2036"/>
        <w:gridCol w:w="26"/>
        <w:gridCol w:w="65"/>
        <w:gridCol w:w="850"/>
      </w:tblGrid>
      <w:tr w:rsidR="002E3CE8" w:rsidRPr="00520861" w14:paraId="03913D6F" w14:textId="77777777" w:rsidTr="00292D2E">
        <w:trPr>
          <w:jc w:val="center"/>
        </w:trPr>
        <w:tc>
          <w:tcPr>
            <w:tcW w:w="1980" w:type="dxa"/>
            <w:tcBorders>
              <w:left w:val="single" w:sz="4" w:space="0" w:color="auto"/>
              <w:right w:val="single" w:sz="4" w:space="0" w:color="auto"/>
            </w:tcBorders>
            <w:vAlign w:val="center"/>
          </w:tcPr>
          <w:p w14:paraId="13F61D0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w:t>
            </w:r>
          </w:p>
        </w:tc>
        <w:tc>
          <w:tcPr>
            <w:tcW w:w="1563" w:type="dxa"/>
            <w:tcBorders>
              <w:top w:val="single" w:sz="4" w:space="0" w:color="auto"/>
              <w:left w:val="single" w:sz="4" w:space="0" w:color="auto"/>
              <w:bottom w:val="single" w:sz="4" w:space="0" w:color="auto"/>
              <w:right w:val="single" w:sz="4" w:space="0" w:color="auto"/>
            </w:tcBorders>
          </w:tcPr>
          <w:p w14:paraId="63C53BA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w:t>
            </w:r>
          </w:p>
        </w:tc>
        <w:tc>
          <w:tcPr>
            <w:tcW w:w="1545" w:type="dxa"/>
            <w:tcBorders>
              <w:top w:val="single" w:sz="4" w:space="0" w:color="auto"/>
              <w:left w:val="single" w:sz="4" w:space="0" w:color="auto"/>
              <w:bottom w:val="single" w:sz="4" w:space="0" w:color="auto"/>
              <w:right w:val="single" w:sz="4" w:space="0" w:color="auto"/>
            </w:tcBorders>
          </w:tcPr>
          <w:p w14:paraId="208DB3B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w:t>
            </w:r>
          </w:p>
        </w:tc>
        <w:tc>
          <w:tcPr>
            <w:tcW w:w="1290" w:type="dxa"/>
            <w:gridSpan w:val="2"/>
            <w:tcBorders>
              <w:top w:val="single" w:sz="4" w:space="0" w:color="auto"/>
              <w:left w:val="single" w:sz="4" w:space="0" w:color="auto"/>
              <w:bottom w:val="single" w:sz="4" w:space="0" w:color="auto"/>
              <w:right w:val="single" w:sz="4" w:space="0" w:color="auto"/>
            </w:tcBorders>
          </w:tcPr>
          <w:p w14:paraId="7734ECC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w:t>
            </w:r>
          </w:p>
        </w:tc>
        <w:tc>
          <w:tcPr>
            <w:tcW w:w="2036" w:type="dxa"/>
            <w:tcBorders>
              <w:top w:val="single" w:sz="4" w:space="0" w:color="auto"/>
              <w:left w:val="single" w:sz="4" w:space="0" w:color="auto"/>
              <w:bottom w:val="single" w:sz="4" w:space="0" w:color="auto"/>
              <w:right w:val="single" w:sz="4" w:space="0" w:color="auto"/>
            </w:tcBorders>
          </w:tcPr>
          <w:p w14:paraId="446C014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w:t>
            </w:r>
          </w:p>
        </w:tc>
        <w:tc>
          <w:tcPr>
            <w:tcW w:w="941" w:type="dxa"/>
            <w:gridSpan w:val="3"/>
            <w:tcBorders>
              <w:top w:val="single" w:sz="4" w:space="0" w:color="auto"/>
              <w:left w:val="single" w:sz="4" w:space="0" w:color="auto"/>
              <w:bottom w:val="single" w:sz="4" w:space="0" w:color="auto"/>
              <w:right w:val="single" w:sz="4" w:space="0" w:color="auto"/>
            </w:tcBorders>
          </w:tcPr>
          <w:p w14:paraId="7E7903B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w:t>
            </w:r>
          </w:p>
        </w:tc>
      </w:tr>
      <w:tr w:rsidR="002E3CE8" w:rsidRPr="00520861" w14:paraId="58A7009B" w14:textId="77777777" w:rsidTr="00292D2E">
        <w:trPr>
          <w:jc w:val="center"/>
        </w:trPr>
        <w:tc>
          <w:tcPr>
            <w:tcW w:w="1980" w:type="dxa"/>
            <w:vMerge w:val="restart"/>
            <w:tcBorders>
              <w:left w:val="single" w:sz="4" w:space="0" w:color="auto"/>
              <w:right w:val="single" w:sz="4" w:space="0" w:color="auto"/>
            </w:tcBorders>
            <w:vAlign w:val="center"/>
            <w:hideMark/>
          </w:tcPr>
          <w:p w14:paraId="75EE81CB" w14:textId="77777777" w:rsidR="002E3CE8" w:rsidRPr="00520861" w:rsidRDefault="002E3CE8" w:rsidP="00292D2E">
            <w:pPr>
              <w:widowControl w:val="0"/>
              <w:spacing w:line="360" w:lineRule="auto"/>
              <w:rPr>
                <w:rFonts w:eastAsia="Calibri"/>
                <w:sz w:val="28"/>
                <w:szCs w:val="28"/>
              </w:rPr>
            </w:pPr>
          </w:p>
        </w:tc>
        <w:tc>
          <w:tcPr>
            <w:tcW w:w="7375" w:type="dxa"/>
            <w:gridSpan w:val="8"/>
            <w:tcBorders>
              <w:top w:val="single" w:sz="4" w:space="0" w:color="auto"/>
              <w:left w:val="single" w:sz="4" w:space="0" w:color="auto"/>
              <w:bottom w:val="single" w:sz="4" w:space="0" w:color="auto"/>
              <w:right w:val="single" w:sz="4" w:space="0" w:color="auto"/>
            </w:tcBorders>
            <w:hideMark/>
          </w:tcPr>
          <w:p w14:paraId="59F64AF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Рецесивна модель</w:t>
            </w:r>
          </w:p>
        </w:tc>
      </w:tr>
      <w:tr w:rsidR="002E3CE8" w:rsidRPr="00520861" w14:paraId="16A2B801" w14:textId="77777777" w:rsidTr="00292D2E">
        <w:trPr>
          <w:jc w:val="center"/>
        </w:trPr>
        <w:tc>
          <w:tcPr>
            <w:tcW w:w="1980" w:type="dxa"/>
            <w:vMerge/>
            <w:tcBorders>
              <w:left w:val="single" w:sz="4" w:space="0" w:color="auto"/>
              <w:right w:val="single" w:sz="4" w:space="0" w:color="auto"/>
            </w:tcBorders>
            <w:vAlign w:val="center"/>
            <w:hideMark/>
          </w:tcPr>
          <w:p w14:paraId="19CF2575"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3ADCC99A"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AA+AG</w:t>
            </w:r>
          </w:p>
          <w:p w14:paraId="432EF974"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GG</w:t>
            </w:r>
          </w:p>
        </w:tc>
        <w:tc>
          <w:tcPr>
            <w:tcW w:w="1674" w:type="dxa"/>
            <w:gridSpan w:val="2"/>
            <w:tcBorders>
              <w:top w:val="single" w:sz="4" w:space="0" w:color="auto"/>
              <w:left w:val="single" w:sz="4" w:space="0" w:color="auto"/>
              <w:bottom w:val="single" w:sz="4" w:space="0" w:color="auto"/>
              <w:right w:val="single" w:sz="4" w:space="0" w:color="auto"/>
            </w:tcBorders>
            <w:hideMark/>
          </w:tcPr>
          <w:p w14:paraId="7C24AF2E"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2,634</w:t>
            </w:r>
          </w:p>
        </w:tc>
        <w:tc>
          <w:tcPr>
            <w:tcW w:w="1161" w:type="dxa"/>
            <w:tcBorders>
              <w:top w:val="single" w:sz="4" w:space="0" w:color="auto"/>
              <w:left w:val="single" w:sz="4" w:space="0" w:color="auto"/>
              <w:bottom w:val="single" w:sz="4" w:space="0" w:color="auto"/>
              <w:right w:val="single" w:sz="4" w:space="0" w:color="auto"/>
            </w:tcBorders>
            <w:hideMark/>
          </w:tcPr>
          <w:p w14:paraId="266161F6"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0,133</w:t>
            </w:r>
          </w:p>
          <w:p w14:paraId="00F7E3BA"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7,500</w:t>
            </w:r>
          </w:p>
        </w:tc>
        <w:tc>
          <w:tcPr>
            <w:tcW w:w="2062" w:type="dxa"/>
            <w:gridSpan w:val="2"/>
            <w:tcBorders>
              <w:top w:val="single" w:sz="4" w:space="0" w:color="auto"/>
              <w:left w:val="single" w:sz="4" w:space="0" w:color="auto"/>
              <w:bottom w:val="single" w:sz="4" w:space="0" w:color="auto"/>
              <w:right w:val="single" w:sz="4" w:space="0" w:color="auto"/>
            </w:tcBorders>
            <w:hideMark/>
          </w:tcPr>
          <w:p w14:paraId="40E80361"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0,015–1,197</w:t>
            </w:r>
          </w:p>
          <w:p w14:paraId="1FD66B8B"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0,835–67,350</w:t>
            </w:r>
          </w:p>
        </w:tc>
        <w:tc>
          <w:tcPr>
            <w:tcW w:w="915" w:type="dxa"/>
            <w:gridSpan w:val="2"/>
            <w:tcBorders>
              <w:top w:val="single" w:sz="4" w:space="0" w:color="auto"/>
              <w:left w:val="single" w:sz="4" w:space="0" w:color="auto"/>
              <w:bottom w:val="single" w:sz="4" w:space="0" w:color="auto"/>
              <w:right w:val="single" w:sz="4" w:space="0" w:color="auto"/>
            </w:tcBorders>
            <w:hideMark/>
          </w:tcPr>
          <w:p w14:paraId="7FE8877D"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0,105</w:t>
            </w:r>
          </w:p>
        </w:tc>
      </w:tr>
      <w:tr w:rsidR="002E3CE8" w:rsidRPr="00520861" w14:paraId="7ECBAD46" w14:textId="77777777" w:rsidTr="00292D2E">
        <w:trPr>
          <w:jc w:val="center"/>
        </w:trPr>
        <w:tc>
          <w:tcPr>
            <w:tcW w:w="1980" w:type="dxa"/>
            <w:vMerge/>
            <w:tcBorders>
              <w:left w:val="single" w:sz="4" w:space="0" w:color="auto"/>
              <w:right w:val="single" w:sz="4" w:space="0" w:color="auto"/>
            </w:tcBorders>
            <w:vAlign w:val="center"/>
            <w:hideMark/>
          </w:tcPr>
          <w:p w14:paraId="7B79BFEC" w14:textId="77777777" w:rsidR="002E3CE8" w:rsidRPr="00520861" w:rsidRDefault="002E3CE8" w:rsidP="00292D2E">
            <w:pPr>
              <w:widowControl w:val="0"/>
              <w:spacing w:line="360" w:lineRule="auto"/>
              <w:rPr>
                <w:rFonts w:eastAsia="Calibri"/>
                <w:sz w:val="28"/>
                <w:szCs w:val="28"/>
              </w:rPr>
            </w:pPr>
          </w:p>
        </w:tc>
        <w:tc>
          <w:tcPr>
            <w:tcW w:w="7375" w:type="dxa"/>
            <w:gridSpan w:val="8"/>
            <w:tcBorders>
              <w:top w:val="single" w:sz="4" w:space="0" w:color="auto"/>
              <w:left w:val="single" w:sz="4" w:space="0" w:color="auto"/>
              <w:bottom w:val="single" w:sz="4" w:space="0" w:color="auto"/>
              <w:right w:val="single" w:sz="4" w:space="0" w:color="auto"/>
            </w:tcBorders>
            <w:hideMark/>
          </w:tcPr>
          <w:p w14:paraId="08C4BE7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Домінантна модель</w:t>
            </w:r>
          </w:p>
        </w:tc>
      </w:tr>
      <w:tr w:rsidR="002E3CE8" w:rsidRPr="00520861" w14:paraId="55C7C87C" w14:textId="77777777" w:rsidTr="00292D2E">
        <w:trPr>
          <w:jc w:val="center"/>
        </w:trPr>
        <w:tc>
          <w:tcPr>
            <w:tcW w:w="1980" w:type="dxa"/>
            <w:vMerge/>
            <w:tcBorders>
              <w:left w:val="single" w:sz="4" w:space="0" w:color="auto"/>
              <w:right w:val="single" w:sz="4" w:space="0" w:color="auto"/>
            </w:tcBorders>
            <w:vAlign w:val="center"/>
            <w:hideMark/>
          </w:tcPr>
          <w:p w14:paraId="66C352A9"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6E46FD86"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AA</w:t>
            </w:r>
          </w:p>
          <w:p w14:paraId="3478FF9B"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AG+GG</w:t>
            </w:r>
          </w:p>
        </w:tc>
        <w:tc>
          <w:tcPr>
            <w:tcW w:w="1674" w:type="dxa"/>
            <w:gridSpan w:val="2"/>
            <w:tcBorders>
              <w:top w:val="single" w:sz="4" w:space="0" w:color="auto"/>
              <w:left w:val="single" w:sz="4" w:space="0" w:color="auto"/>
              <w:bottom w:val="single" w:sz="4" w:space="0" w:color="auto"/>
              <w:right w:val="single" w:sz="4" w:space="0" w:color="auto"/>
            </w:tcBorders>
            <w:hideMark/>
          </w:tcPr>
          <w:p w14:paraId="20F2B5F3"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0,139</w:t>
            </w:r>
          </w:p>
        </w:tc>
        <w:tc>
          <w:tcPr>
            <w:tcW w:w="1161" w:type="dxa"/>
            <w:tcBorders>
              <w:top w:val="single" w:sz="4" w:space="0" w:color="auto"/>
              <w:left w:val="single" w:sz="4" w:space="0" w:color="auto"/>
              <w:bottom w:val="single" w:sz="4" w:space="0" w:color="auto"/>
              <w:right w:val="single" w:sz="4" w:space="0" w:color="auto"/>
            </w:tcBorders>
            <w:hideMark/>
          </w:tcPr>
          <w:p w14:paraId="1A3B008C"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1,784</w:t>
            </w:r>
          </w:p>
          <w:p w14:paraId="6490C975"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0,560</w:t>
            </w:r>
          </w:p>
        </w:tc>
        <w:tc>
          <w:tcPr>
            <w:tcW w:w="2127" w:type="dxa"/>
            <w:gridSpan w:val="3"/>
            <w:tcBorders>
              <w:top w:val="single" w:sz="4" w:space="0" w:color="auto"/>
              <w:left w:val="single" w:sz="4" w:space="0" w:color="auto"/>
              <w:bottom w:val="single" w:sz="4" w:space="0" w:color="auto"/>
              <w:right w:val="single" w:sz="4" w:space="0" w:color="auto"/>
            </w:tcBorders>
            <w:hideMark/>
          </w:tcPr>
          <w:p w14:paraId="218D7C1A"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0,385–8,267</w:t>
            </w:r>
          </w:p>
          <w:p w14:paraId="4BDEA8D1"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0,121–2,597</w:t>
            </w:r>
          </w:p>
        </w:tc>
        <w:tc>
          <w:tcPr>
            <w:tcW w:w="850" w:type="dxa"/>
            <w:tcBorders>
              <w:top w:val="single" w:sz="4" w:space="0" w:color="auto"/>
              <w:left w:val="single" w:sz="4" w:space="0" w:color="auto"/>
              <w:bottom w:val="single" w:sz="4" w:space="0" w:color="auto"/>
              <w:right w:val="single" w:sz="4" w:space="0" w:color="auto"/>
            </w:tcBorders>
            <w:hideMark/>
          </w:tcPr>
          <w:p w14:paraId="37FF3CAF"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0,709</w:t>
            </w:r>
          </w:p>
        </w:tc>
      </w:tr>
      <w:tr w:rsidR="002E3CE8" w:rsidRPr="00520861" w14:paraId="54C58AB3" w14:textId="77777777" w:rsidTr="00292D2E">
        <w:trPr>
          <w:jc w:val="center"/>
        </w:trPr>
        <w:tc>
          <w:tcPr>
            <w:tcW w:w="1980" w:type="dxa"/>
            <w:vMerge/>
            <w:tcBorders>
              <w:left w:val="single" w:sz="4" w:space="0" w:color="auto"/>
              <w:right w:val="single" w:sz="4" w:space="0" w:color="auto"/>
            </w:tcBorders>
            <w:vAlign w:val="center"/>
            <w:hideMark/>
          </w:tcPr>
          <w:p w14:paraId="6C631EC0" w14:textId="77777777" w:rsidR="002E3CE8" w:rsidRPr="00520861" w:rsidRDefault="002E3CE8" w:rsidP="00292D2E">
            <w:pPr>
              <w:widowControl w:val="0"/>
              <w:spacing w:line="360" w:lineRule="auto"/>
              <w:rPr>
                <w:rFonts w:eastAsia="Calibri"/>
                <w:sz w:val="28"/>
                <w:szCs w:val="28"/>
              </w:rPr>
            </w:pPr>
          </w:p>
        </w:tc>
        <w:tc>
          <w:tcPr>
            <w:tcW w:w="7375" w:type="dxa"/>
            <w:gridSpan w:val="8"/>
            <w:tcBorders>
              <w:top w:val="single" w:sz="4" w:space="0" w:color="auto"/>
              <w:left w:val="single" w:sz="4" w:space="0" w:color="auto"/>
              <w:bottom w:val="single" w:sz="4" w:space="0" w:color="auto"/>
              <w:right w:val="single" w:sz="4" w:space="0" w:color="auto"/>
            </w:tcBorders>
            <w:hideMark/>
          </w:tcPr>
          <w:p w14:paraId="319FA68F" w14:textId="77777777" w:rsidR="002E3CE8" w:rsidRPr="00520861" w:rsidRDefault="002E3CE8" w:rsidP="00292D2E">
            <w:pPr>
              <w:widowControl w:val="0"/>
              <w:spacing w:line="360" w:lineRule="auto"/>
              <w:jc w:val="center"/>
              <w:rPr>
                <w:rFonts w:eastAsia="Calibri"/>
                <w:sz w:val="28"/>
                <w:szCs w:val="28"/>
              </w:rPr>
            </w:pPr>
            <w:proofErr w:type="spellStart"/>
            <w:r w:rsidRPr="00520861">
              <w:rPr>
                <w:rFonts w:eastAsia="Calibri"/>
                <w:sz w:val="28"/>
                <w:szCs w:val="28"/>
              </w:rPr>
              <w:t>Наддомінантна</w:t>
            </w:r>
            <w:proofErr w:type="spellEnd"/>
            <w:r w:rsidRPr="00520861">
              <w:rPr>
                <w:rFonts w:eastAsia="Calibri"/>
                <w:sz w:val="28"/>
                <w:szCs w:val="28"/>
              </w:rPr>
              <w:t xml:space="preserve"> модель</w:t>
            </w:r>
          </w:p>
        </w:tc>
      </w:tr>
      <w:tr w:rsidR="002E3CE8" w:rsidRPr="00520861" w14:paraId="5B1D03C7" w14:textId="77777777" w:rsidTr="00292D2E">
        <w:trPr>
          <w:jc w:val="center"/>
        </w:trPr>
        <w:tc>
          <w:tcPr>
            <w:tcW w:w="1980" w:type="dxa"/>
            <w:vMerge/>
            <w:tcBorders>
              <w:left w:val="single" w:sz="4" w:space="0" w:color="auto"/>
              <w:right w:val="single" w:sz="4" w:space="0" w:color="auto"/>
            </w:tcBorders>
            <w:vAlign w:val="center"/>
            <w:hideMark/>
          </w:tcPr>
          <w:p w14:paraId="3966CB32"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378E12A8"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AA+GG</w:t>
            </w:r>
          </w:p>
          <w:p w14:paraId="606E9A89"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AG</w:t>
            </w:r>
          </w:p>
        </w:tc>
        <w:tc>
          <w:tcPr>
            <w:tcW w:w="1674" w:type="dxa"/>
            <w:gridSpan w:val="2"/>
            <w:tcBorders>
              <w:top w:val="single" w:sz="4" w:space="0" w:color="auto"/>
              <w:left w:val="single" w:sz="4" w:space="0" w:color="auto"/>
              <w:bottom w:val="single" w:sz="4" w:space="0" w:color="auto"/>
              <w:right w:val="single" w:sz="4" w:space="0" w:color="auto"/>
            </w:tcBorders>
            <w:hideMark/>
          </w:tcPr>
          <w:p w14:paraId="0E2B5C01"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4,014</w:t>
            </w:r>
          </w:p>
        </w:tc>
        <w:tc>
          <w:tcPr>
            <w:tcW w:w="1161" w:type="dxa"/>
            <w:tcBorders>
              <w:top w:val="single" w:sz="4" w:space="0" w:color="auto"/>
              <w:left w:val="single" w:sz="4" w:space="0" w:color="auto"/>
              <w:bottom w:val="single" w:sz="4" w:space="0" w:color="auto"/>
              <w:right w:val="single" w:sz="4" w:space="0" w:color="auto"/>
            </w:tcBorders>
            <w:hideMark/>
          </w:tcPr>
          <w:p w14:paraId="30754ADC"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5,000</w:t>
            </w:r>
          </w:p>
          <w:p w14:paraId="1EC5B21D"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0,200</w:t>
            </w:r>
          </w:p>
        </w:tc>
        <w:tc>
          <w:tcPr>
            <w:tcW w:w="2127" w:type="dxa"/>
            <w:gridSpan w:val="3"/>
            <w:tcBorders>
              <w:top w:val="single" w:sz="4" w:space="0" w:color="auto"/>
              <w:left w:val="single" w:sz="4" w:space="0" w:color="auto"/>
              <w:bottom w:val="single" w:sz="4" w:space="0" w:color="auto"/>
              <w:right w:val="single" w:sz="4" w:space="0" w:color="auto"/>
            </w:tcBorders>
            <w:hideMark/>
          </w:tcPr>
          <w:p w14:paraId="214ED45C"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1,231–20,301</w:t>
            </w:r>
          </w:p>
          <w:p w14:paraId="68358E62"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0,049–0,812</w:t>
            </w:r>
          </w:p>
        </w:tc>
        <w:tc>
          <w:tcPr>
            <w:tcW w:w="850" w:type="dxa"/>
            <w:tcBorders>
              <w:top w:val="single" w:sz="4" w:space="0" w:color="auto"/>
              <w:left w:val="single" w:sz="4" w:space="0" w:color="auto"/>
              <w:bottom w:val="single" w:sz="4" w:space="0" w:color="auto"/>
              <w:right w:val="single" w:sz="4" w:space="0" w:color="auto"/>
            </w:tcBorders>
            <w:hideMark/>
          </w:tcPr>
          <w:p w14:paraId="69A431F2"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0,045</w:t>
            </w:r>
          </w:p>
        </w:tc>
      </w:tr>
      <w:tr w:rsidR="002E3CE8" w:rsidRPr="00520861" w14:paraId="0BC83D19" w14:textId="77777777" w:rsidTr="00292D2E">
        <w:trPr>
          <w:jc w:val="center"/>
        </w:trPr>
        <w:tc>
          <w:tcPr>
            <w:tcW w:w="1980" w:type="dxa"/>
            <w:vMerge/>
            <w:tcBorders>
              <w:left w:val="single" w:sz="4" w:space="0" w:color="auto"/>
              <w:right w:val="single" w:sz="4" w:space="0" w:color="auto"/>
            </w:tcBorders>
            <w:vAlign w:val="center"/>
            <w:hideMark/>
          </w:tcPr>
          <w:p w14:paraId="0326D498" w14:textId="77777777" w:rsidR="002E3CE8" w:rsidRPr="00520861" w:rsidRDefault="002E3CE8" w:rsidP="00292D2E">
            <w:pPr>
              <w:widowControl w:val="0"/>
              <w:spacing w:line="360" w:lineRule="auto"/>
              <w:rPr>
                <w:rFonts w:eastAsia="Calibri"/>
                <w:sz w:val="28"/>
                <w:szCs w:val="28"/>
              </w:rPr>
            </w:pPr>
          </w:p>
        </w:tc>
        <w:tc>
          <w:tcPr>
            <w:tcW w:w="7375" w:type="dxa"/>
            <w:gridSpan w:val="8"/>
            <w:tcBorders>
              <w:top w:val="single" w:sz="4" w:space="0" w:color="auto"/>
              <w:left w:val="single" w:sz="4" w:space="0" w:color="auto"/>
              <w:bottom w:val="single" w:sz="4" w:space="0" w:color="auto"/>
              <w:right w:val="single" w:sz="4" w:space="0" w:color="auto"/>
            </w:tcBorders>
            <w:hideMark/>
          </w:tcPr>
          <w:p w14:paraId="03B682E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Мультиплікативна модель</w:t>
            </w:r>
          </w:p>
        </w:tc>
      </w:tr>
      <w:tr w:rsidR="002E3CE8" w:rsidRPr="00520861" w14:paraId="01247503" w14:textId="77777777" w:rsidTr="00292D2E">
        <w:trPr>
          <w:jc w:val="center"/>
        </w:trPr>
        <w:tc>
          <w:tcPr>
            <w:tcW w:w="1980" w:type="dxa"/>
            <w:vMerge/>
            <w:tcBorders>
              <w:left w:val="single" w:sz="4" w:space="0" w:color="auto"/>
              <w:bottom w:val="single" w:sz="4" w:space="0" w:color="auto"/>
              <w:right w:val="single" w:sz="4" w:space="0" w:color="auto"/>
            </w:tcBorders>
            <w:vAlign w:val="center"/>
            <w:hideMark/>
          </w:tcPr>
          <w:p w14:paraId="1BDCB181"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7C926CBE"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A</w:t>
            </w:r>
          </w:p>
          <w:p w14:paraId="1862A7E4"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G</w:t>
            </w:r>
          </w:p>
        </w:tc>
        <w:tc>
          <w:tcPr>
            <w:tcW w:w="1674" w:type="dxa"/>
            <w:gridSpan w:val="2"/>
            <w:tcBorders>
              <w:top w:val="single" w:sz="4" w:space="0" w:color="auto"/>
              <w:left w:val="single" w:sz="4" w:space="0" w:color="auto"/>
              <w:bottom w:val="single" w:sz="4" w:space="0" w:color="auto"/>
              <w:right w:val="single" w:sz="4" w:space="0" w:color="auto"/>
            </w:tcBorders>
            <w:hideMark/>
          </w:tcPr>
          <w:p w14:paraId="1BCF9AD7"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0,534</w:t>
            </w:r>
          </w:p>
        </w:tc>
        <w:tc>
          <w:tcPr>
            <w:tcW w:w="1161" w:type="dxa"/>
            <w:tcBorders>
              <w:top w:val="single" w:sz="4" w:space="0" w:color="auto"/>
              <w:left w:val="single" w:sz="4" w:space="0" w:color="auto"/>
              <w:bottom w:val="single" w:sz="4" w:space="0" w:color="auto"/>
              <w:right w:val="single" w:sz="4" w:space="0" w:color="auto"/>
            </w:tcBorders>
            <w:hideMark/>
          </w:tcPr>
          <w:p w14:paraId="0673E8C0"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0,716</w:t>
            </w:r>
          </w:p>
          <w:p w14:paraId="27B4BB88"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1,398</w:t>
            </w:r>
          </w:p>
        </w:tc>
        <w:tc>
          <w:tcPr>
            <w:tcW w:w="2127" w:type="dxa"/>
            <w:gridSpan w:val="3"/>
            <w:tcBorders>
              <w:top w:val="single" w:sz="4" w:space="0" w:color="auto"/>
              <w:left w:val="single" w:sz="4" w:space="0" w:color="auto"/>
              <w:bottom w:val="single" w:sz="4" w:space="0" w:color="auto"/>
              <w:right w:val="single" w:sz="4" w:space="0" w:color="auto"/>
            </w:tcBorders>
            <w:hideMark/>
          </w:tcPr>
          <w:p w14:paraId="5B8B2992"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0,291–1,759</w:t>
            </w:r>
          </w:p>
          <w:p w14:paraId="04C6A5BA"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0,569–3,434</w:t>
            </w:r>
          </w:p>
        </w:tc>
        <w:tc>
          <w:tcPr>
            <w:tcW w:w="850" w:type="dxa"/>
            <w:tcBorders>
              <w:top w:val="single" w:sz="4" w:space="0" w:color="auto"/>
              <w:left w:val="single" w:sz="4" w:space="0" w:color="auto"/>
              <w:bottom w:val="single" w:sz="4" w:space="0" w:color="auto"/>
              <w:right w:val="single" w:sz="4" w:space="0" w:color="auto"/>
            </w:tcBorders>
            <w:hideMark/>
          </w:tcPr>
          <w:p w14:paraId="53D08252"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0,465</w:t>
            </w:r>
          </w:p>
        </w:tc>
      </w:tr>
      <w:tr w:rsidR="002E3CE8" w:rsidRPr="00520861" w14:paraId="63148D4B" w14:textId="77777777" w:rsidTr="00292D2E">
        <w:trPr>
          <w:jc w:val="center"/>
        </w:trPr>
        <w:tc>
          <w:tcPr>
            <w:tcW w:w="1980" w:type="dxa"/>
            <w:vMerge w:val="restart"/>
            <w:tcBorders>
              <w:top w:val="single" w:sz="4" w:space="0" w:color="auto"/>
              <w:left w:val="single" w:sz="4" w:space="0" w:color="auto"/>
              <w:bottom w:val="single" w:sz="4" w:space="0" w:color="auto"/>
              <w:right w:val="single" w:sz="4" w:space="0" w:color="auto"/>
            </w:tcBorders>
            <w:hideMark/>
          </w:tcPr>
          <w:p w14:paraId="6EA992CF" w14:textId="77777777" w:rsidR="002E3CE8" w:rsidRPr="00520861" w:rsidRDefault="002E3CE8" w:rsidP="00292D2E">
            <w:pPr>
              <w:widowControl w:val="0"/>
              <w:spacing w:line="360" w:lineRule="auto"/>
              <w:jc w:val="center"/>
              <w:rPr>
                <w:rFonts w:eastAsia="Calibri"/>
                <w:i/>
                <w:sz w:val="28"/>
                <w:szCs w:val="28"/>
              </w:rPr>
            </w:pPr>
            <w:r w:rsidRPr="00520861">
              <w:rPr>
                <w:rFonts w:eastAsia="Calibri"/>
                <w:i/>
                <w:sz w:val="28"/>
                <w:szCs w:val="28"/>
              </w:rPr>
              <w:t xml:space="preserve">RANKL: </w:t>
            </w:r>
          </w:p>
          <w:p w14:paraId="7A71FB2B" w14:textId="77777777" w:rsidR="002E3CE8" w:rsidRPr="00520861" w:rsidRDefault="002E3CE8" w:rsidP="00292D2E">
            <w:pPr>
              <w:widowControl w:val="0"/>
              <w:spacing w:line="360" w:lineRule="auto"/>
              <w:jc w:val="center"/>
              <w:rPr>
                <w:rFonts w:eastAsia="Calibri"/>
                <w:sz w:val="28"/>
                <w:szCs w:val="28"/>
              </w:rPr>
            </w:pPr>
            <w:r w:rsidRPr="00520861">
              <w:rPr>
                <w:rFonts w:eastAsia="Calibri"/>
                <w:i/>
                <w:sz w:val="28"/>
                <w:szCs w:val="28"/>
              </w:rPr>
              <w:t>C&gt;T</w:t>
            </w:r>
            <w:r w:rsidRPr="00520861">
              <w:rPr>
                <w:rFonts w:eastAsia="Calibri"/>
                <w:sz w:val="28"/>
                <w:szCs w:val="28"/>
              </w:rPr>
              <w:t xml:space="preserve"> [rs9594759]</w:t>
            </w:r>
          </w:p>
        </w:tc>
        <w:tc>
          <w:tcPr>
            <w:tcW w:w="7375" w:type="dxa"/>
            <w:gridSpan w:val="8"/>
            <w:tcBorders>
              <w:top w:val="single" w:sz="4" w:space="0" w:color="auto"/>
              <w:left w:val="single" w:sz="4" w:space="0" w:color="auto"/>
              <w:bottom w:val="single" w:sz="4" w:space="0" w:color="auto"/>
              <w:right w:val="single" w:sz="4" w:space="0" w:color="auto"/>
            </w:tcBorders>
            <w:hideMark/>
          </w:tcPr>
          <w:p w14:paraId="01BDA2A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Адитивна модель</w:t>
            </w:r>
          </w:p>
        </w:tc>
      </w:tr>
      <w:tr w:rsidR="002E3CE8" w:rsidRPr="00520861" w14:paraId="756F154E"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67D66CB"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33DD3D7B"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CC</w:t>
            </w:r>
          </w:p>
          <w:p w14:paraId="498C7951"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CT</w:t>
            </w:r>
          </w:p>
          <w:p w14:paraId="2D16E5E7"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TT</w:t>
            </w:r>
          </w:p>
        </w:tc>
        <w:tc>
          <w:tcPr>
            <w:tcW w:w="1674" w:type="dxa"/>
            <w:gridSpan w:val="2"/>
            <w:tcBorders>
              <w:top w:val="single" w:sz="4" w:space="0" w:color="auto"/>
              <w:left w:val="single" w:sz="4" w:space="0" w:color="auto"/>
              <w:bottom w:val="single" w:sz="4" w:space="0" w:color="auto"/>
              <w:right w:val="single" w:sz="4" w:space="0" w:color="auto"/>
            </w:tcBorders>
            <w:hideMark/>
          </w:tcPr>
          <w:p w14:paraId="627EA1B6"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3,673</w:t>
            </w:r>
          </w:p>
        </w:tc>
        <w:tc>
          <w:tcPr>
            <w:tcW w:w="1161" w:type="dxa"/>
            <w:tcBorders>
              <w:top w:val="single" w:sz="4" w:space="0" w:color="auto"/>
              <w:left w:val="single" w:sz="4" w:space="0" w:color="auto"/>
              <w:bottom w:val="single" w:sz="4" w:space="0" w:color="auto"/>
              <w:right w:val="single" w:sz="4" w:space="0" w:color="auto"/>
            </w:tcBorders>
            <w:hideMark/>
          </w:tcPr>
          <w:p w14:paraId="2F0EB84E"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0,571</w:t>
            </w:r>
          </w:p>
          <w:p w14:paraId="62C16578"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0,338</w:t>
            </w:r>
          </w:p>
          <w:p w14:paraId="305EA455"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6,462</w:t>
            </w:r>
          </w:p>
        </w:tc>
        <w:tc>
          <w:tcPr>
            <w:tcW w:w="2127" w:type="dxa"/>
            <w:gridSpan w:val="3"/>
            <w:tcBorders>
              <w:top w:val="single" w:sz="4" w:space="0" w:color="auto"/>
              <w:left w:val="single" w:sz="4" w:space="0" w:color="auto"/>
              <w:bottom w:val="single" w:sz="4" w:space="0" w:color="auto"/>
              <w:right w:val="single" w:sz="4" w:space="0" w:color="auto"/>
            </w:tcBorders>
            <w:hideMark/>
          </w:tcPr>
          <w:p w14:paraId="39D30E65"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0,120–2,711</w:t>
            </w:r>
          </w:p>
          <w:p w14:paraId="70DC1766"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0,092–1,239</w:t>
            </w:r>
          </w:p>
          <w:p w14:paraId="467A94AC"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1,208–34,551</w:t>
            </w:r>
          </w:p>
        </w:tc>
        <w:tc>
          <w:tcPr>
            <w:tcW w:w="850" w:type="dxa"/>
            <w:tcBorders>
              <w:top w:val="single" w:sz="4" w:space="0" w:color="auto"/>
              <w:left w:val="single" w:sz="4" w:space="0" w:color="auto"/>
              <w:bottom w:val="single" w:sz="4" w:space="0" w:color="auto"/>
              <w:right w:val="single" w:sz="4" w:space="0" w:color="auto"/>
            </w:tcBorders>
            <w:hideMark/>
          </w:tcPr>
          <w:p w14:paraId="67A6649F"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0,159</w:t>
            </w:r>
          </w:p>
        </w:tc>
      </w:tr>
      <w:tr w:rsidR="002E3CE8" w:rsidRPr="00520861" w14:paraId="47EFD8CE"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4191409B" w14:textId="77777777" w:rsidR="002E3CE8" w:rsidRPr="00520861" w:rsidRDefault="002E3CE8" w:rsidP="00292D2E">
            <w:pPr>
              <w:widowControl w:val="0"/>
              <w:spacing w:line="360" w:lineRule="auto"/>
              <w:rPr>
                <w:rFonts w:eastAsia="Calibri"/>
                <w:sz w:val="28"/>
                <w:szCs w:val="28"/>
              </w:rPr>
            </w:pPr>
          </w:p>
        </w:tc>
        <w:tc>
          <w:tcPr>
            <w:tcW w:w="7375" w:type="dxa"/>
            <w:gridSpan w:val="8"/>
            <w:tcBorders>
              <w:top w:val="single" w:sz="4" w:space="0" w:color="auto"/>
              <w:left w:val="single" w:sz="4" w:space="0" w:color="auto"/>
              <w:bottom w:val="single" w:sz="4" w:space="0" w:color="auto"/>
              <w:right w:val="single" w:sz="4" w:space="0" w:color="auto"/>
            </w:tcBorders>
            <w:hideMark/>
          </w:tcPr>
          <w:p w14:paraId="7C684A1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Рецесивна модель</w:t>
            </w:r>
          </w:p>
        </w:tc>
      </w:tr>
      <w:tr w:rsidR="002E3CE8" w:rsidRPr="00520861" w14:paraId="3DFD5E54"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575D3F5C"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2F54952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CC+CT</w:t>
            </w:r>
          </w:p>
          <w:p w14:paraId="5AEB904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TT</w:t>
            </w:r>
          </w:p>
        </w:tc>
        <w:tc>
          <w:tcPr>
            <w:tcW w:w="1674" w:type="dxa"/>
            <w:gridSpan w:val="2"/>
            <w:tcBorders>
              <w:top w:val="single" w:sz="4" w:space="0" w:color="auto"/>
              <w:left w:val="single" w:sz="4" w:space="0" w:color="auto"/>
              <w:bottom w:val="single" w:sz="4" w:space="0" w:color="auto"/>
              <w:right w:val="single" w:sz="4" w:space="0" w:color="auto"/>
            </w:tcBorders>
            <w:hideMark/>
          </w:tcPr>
          <w:p w14:paraId="1A0ABEB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4,003</w:t>
            </w:r>
          </w:p>
        </w:tc>
        <w:tc>
          <w:tcPr>
            <w:tcW w:w="1161" w:type="dxa"/>
            <w:tcBorders>
              <w:top w:val="single" w:sz="4" w:space="0" w:color="auto"/>
              <w:left w:val="single" w:sz="4" w:space="0" w:color="auto"/>
              <w:bottom w:val="single" w:sz="4" w:space="0" w:color="auto"/>
              <w:right w:val="single" w:sz="4" w:space="0" w:color="auto"/>
            </w:tcBorders>
            <w:hideMark/>
          </w:tcPr>
          <w:p w14:paraId="29438B4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0,155</w:t>
            </w:r>
          </w:p>
          <w:p w14:paraId="1F424AD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6,462</w:t>
            </w:r>
          </w:p>
        </w:tc>
        <w:tc>
          <w:tcPr>
            <w:tcW w:w="2127" w:type="dxa"/>
            <w:gridSpan w:val="3"/>
            <w:tcBorders>
              <w:top w:val="single" w:sz="4" w:space="0" w:color="auto"/>
              <w:left w:val="single" w:sz="4" w:space="0" w:color="auto"/>
              <w:bottom w:val="single" w:sz="4" w:space="0" w:color="auto"/>
              <w:right w:val="single" w:sz="4" w:space="0" w:color="auto"/>
            </w:tcBorders>
            <w:hideMark/>
          </w:tcPr>
          <w:p w14:paraId="4D3D776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0,029–0,828</w:t>
            </w:r>
          </w:p>
          <w:p w14:paraId="4A1AF38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1,208–34,551</w:t>
            </w:r>
          </w:p>
        </w:tc>
        <w:tc>
          <w:tcPr>
            <w:tcW w:w="850" w:type="dxa"/>
            <w:tcBorders>
              <w:top w:val="single" w:sz="4" w:space="0" w:color="auto"/>
              <w:left w:val="single" w:sz="4" w:space="0" w:color="auto"/>
              <w:bottom w:val="single" w:sz="4" w:space="0" w:color="auto"/>
              <w:right w:val="single" w:sz="4" w:space="0" w:color="auto"/>
            </w:tcBorders>
            <w:hideMark/>
          </w:tcPr>
          <w:p w14:paraId="06FD499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0,045</w:t>
            </w:r>
          </w:p>
        </w:tc>
      </w:tr>
      <w:tr w:rsidR="002E3CE8" w:rsidRPr="00520861" w14:paraId="1116FA2D"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3C189DFF" w14:textId="77777777" w:rsidR="002E3CE8" w:rsidRPr="00520861" w:rsidRDefault="002E3CE8" w:rsidP="00292D2E">
            <w:pPr>
              <w:widowControl w:val="0"/>
              <w:spacing w:line="360" w:lineRule="auto"/>
              <w:rPr>
                <w:rFonts w:eastAsia="Calibri"/>
                <w:sz w:val="28"/>
                <w:szCs w:val="28"/>
              </w:rPr>
            </w:pPr>
          </w:p>
        </w:tc>
        <w:tc>
          <w:tcPr>
            <w:tcW w:w="7375" w:type="dxa"/>
            <w:gridSpan w:val="8"/>
            <w:tcBorders>
              <w:top w:val="single" w:sz="4" w:space="0" w:color="auto"/>
              <w:left w:val="single" w:sz="4" w:space="0" w:color="auto"/>
              <w:bottom w:val="single" w:sz="4" w:space="0" w:color="auto"/>
              <w:right w:val="single" w:sz="4" w:space="0" w:color="auto"/>
            </w:tcBorders>
            <w:hideMark/>
          </w:tcPr>
          <w:p w14:paraId="1772258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Домінантна модель</w:t>
            </w:r>
          </w:p>
        </w:tc>
      </w:tr>
      <w:tr w:rsidR="002E3CE8" w:rsidRPr="00520861" w14:paraId="73715410"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3988380F"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39DB7BA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CC</w:t>
            </w:r>
          </w:p>
          <w:p w14:paraId="3422A3B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CT+TT</w:t>
            </w:r>
          </w:p>
        </w:tc>
        <w:tc>
          <w:tcPr>
            <w:tcW w:w="1674" w:type="dxa"/>
            <w:gridSpan w:val="2"/>
            <w:tcBorders>
              <w:top w:val="single" w:sz="4" w:space="0" w:color="auto"/>
              <w:left w:val="single" w:sz="4" w:space="0" w:color="auto"/>
              <w:bottom w:val="single" w:sz="4" w:space="0" w:color="auto"/>
              <w:right w:val="single" w:sz="4" w:space="0" w:color="auto"/>
            </w:tcBorders>
            <w:hideMark/>
          </w:tcPr>
          <w:p w14:paraId="2FEF36E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0,093</w:t>
            </w:r>
          </w:p>
        </w:tc>
        <w:tc>
          <w:tcPr>
            <w:tcW w:w="1161" w:type="dxa"/>
            <w:tcBorders>
              <w:top w:val="single" w:sz="4" w:space="0" w:color="auto"/>
              <w:left w:val="single" w:sz="4" w:space="0" w:color="auto"/>
              <w:bottom w:val="single" w:sz="4" w:space="0" w:color="auto"/>
              <w:right w:val="single" w:sz="4" w:space="0" w:color="auto"/>
            </w:tcBorders>
            <w:hideMark/>
          </w:tcPr>
          <w:p w14:paraId="07197E0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0,571</w:t>
            </w:r>
          </w:p>
          <w:p w14:paraId="7804AB0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1,750</w:t>
            </w:r>
          </w:p>
        </w:tc>
        <w:tc>
          <w:tcPr>
            <w:tcW w:w="2127" w:type="dxa"/>
            <w:gridSpan w:val="3"/>
            <w:tcBorders>
              <w:top w:val="single" w:sz="4" w:space="0" w:color="auto"/>
              <w:left w:val="single" w:sz="4" w:space="0" w:color="auto"/>
              <w:bottom w:val="single" w:sz="4" w:space="0" w:color="auto"/>
              <w:right w:val="single" w:sz="4" w:space="0" w:color="auto"/>
            </w:tcBorders>
            <w:hideMark/>
          </w:tcPr>
          <w:p w14:paraId="66223F9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0,120–2,711</w:t>
            </w:r>
          </w:p>
          <w:p w14:paraId="4AEECDC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0,369–8,302</w:t>
            </w:r>
          </w:p>
        </w:tc>
        <w:tc>
          <w:tcPr>
            <w:tcW w:w="850" w:type="dxa"/>
            <w:tcBorders>
              <w:top w:val="single" w:sz="4" w:space="0" w:color="auto"/>
              <w:left w:val="single" w:sz="4" w:space="0" w:color="auto"/>
              <w:bottom w:val="single" w:sz="4" w:space="0" w:color="auto"/>
              <w:right w:val="single" w:sz="4" w:space="0" w:color="auto"/>
            </w:tcBorders>
            <w:hideMark/>
          </w:tcPr>
          <w:p w14:paraId="465985D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0,760</w:t>
            </w:r>
          </w:p>
        </w:tc>
      </w:tr>
      <w:tr w:rsidR="002E3CE8" w:rsidRPr="00520861" w14:paraId="3F6A66D4"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5DB2CF6A" w14:textId="77777777" w:rsidR="002E3CE8" w:rsidRPr="00520861" w:rsidRDefault="002E3CE8" w:rsidP="00292D2E">
            <w:pPr>
              <w:widowControl w:val="0"/>
              <w:spacing w:line="360" w:lineRule="auto"/>
              <w:rPr>
                <w:rFonts w:eastAsia="Calibri"/>
                <w:sz w:val="28"/>
                <w:szCs w:val="28"/>
              </w:rPr>
            </w:pPr>
          </w:p>
        </w:tc>
        <w:tc>
          <w:tcPr>
            <w:tcW w:w="7375" w:type="dxa"/>
            <w:gridSpan w:val="8"/>
            <w:tcBorders>
              <w:top w:val="single" w:sz="4" w:space="0" w:color="auto"/>
              <w:left w:val="single" w:sz="4" w:space="0" w:color="auto"/>
              <w:bottom w:val="single" w:sz="4" w:space="0" w:color="auto"/>
              <w:right w:val="single" w:sz="4" w:space="0" w:color="auto"/>
            </w:tcBorders>
            <w:hideMark/>
          </w:tcPr>
          <w:p w14:paraId="2FCBFB09" w14:textId="77777777" w:rsidR="002E3CE8" w:rsidRPr="00520861" w:rsidRDefault="002E3CE8" w:rsidP="00292D2E">
            <w:pPr>
              <w:widowControl w:val="0"/>
              <w:spacing w:line="360" w:lineRule="auto"/>
              <w:jc w:val="center"/>
              <w:rPr>
                <w:rFonts w:eastAsia="Calibri"/>
                <w:sz w:val="28"/>
                <w:szCs w:val="28"/>
              </w:rPr>
            </w:pPr>
            <w:proofErr w:type="spellStart"/>
            <w:r w:rsidRPr="00520861">
              <w:rPr>
                <w:rFonts w:eastAsia="Calibri"/>
                <w:sz w:val="28"/>
                <w:szCs w:val="28"/>
              </w:rPr>
              <w:t>Наддомінантна</w:t>
            </w:r>
            <w:proofErr w:type="spellEnd"/>
            <w:r w:rsidRPr="00520861">
              <w:rPr>
                <w:rFonts w:eastAsia="Calibri"/>
                <w:sz w:val="28"/>
                <w:szCs w:val="28"/>
              </w:rPr>
              <w:t xml:space="preserve"> модель</w:t>
            </w:r>
          </w:p>
        </w:tc>
      </w:tr>
      <w:tr w:rsidR="002E3CE8" w:rsidRPr="00520861" w14:paraId="44A903B5"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6FF7B5B2"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0D024FF9"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CC+TT</w:t>
            </w:r>
          </w:p>
          <w:p w14:paraId="2CC2C2EC"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CT</w:t>
            </w:r>
          </w:p>
        </w:tc>
        <w:tc>
          <w:tcPr>
            <w:tcW w:w="1674" w:type="dxa"/>
            <w:gridSpan w:val="2"/>
            <w:tcBorders>
              <w:top w:val="single" w:sz="4" w:space="0" w:color="auto"/>
              <w:left w:val="single" w:sz="4" w:space="0" w:color="auto"/>
              <w:bottom w:val="single" w:sz="4" w:space="0" w:color="auto"/>
              <w:right w:val="single" w:sz="4" w:space="0" w:color="auto"/>
            </w:tcBorders>
            <w:hideMark/>
          </w:tcPr>
          <w:p w14:paraId="46BCABCE"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1,793</w:t>
            </w:r>
          </w:p>
        </w:tc>
        <w:tc>
          <w:tcPr>
            <w:tcW w:w="1161" w:type="dxa"/>
            <w:tcBorders>
              <w:top w:val="single" w:sz="4" w:space="0" w:color="auto"/>
              <w:left w:val="single" w:sz="4" w:space="0" w:color="auto"/>
              <w:bottom w:val="single" w:sz="4" w:space="0" w:color="auto"/>
              <w:right w:val="single" w:sz="4" w:space="0" w:color="auto"/>
            </w:tcBorders>
            <w:hideMark/>
          </w:tcPr>
          <w:p w14:paraId="4F17D008"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2,963</w:t>
            </w:r>
          </w:p>
          <w:p w14:paraId="5F94A6B6"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0,338</w:t>
            </w:r>
          </w:p>
        </w:tc>
        <w:tc>
          <w:tcPr>
            <w:tcW w:w="2127" w:type="dxa"/>
            <w:gridSpan w:val="3"/>
            <w:tcBorders>
              <w:top w:val="single" w:sz="4" w:space="0" w:color="auto"/>
              <w:left w:val="single" w:sz="4" w:space="0" w:color="auto"/>
              <w:bottom w:val="single" w:sz="4" w:space="0" w:color="auto"/>
              <w:right w:val="single" w:sz="4" w:space="0" w:color="auto"/>
            </w:tcBorders>
            <w:hideMark/>
          </w:tcPr>
          <w:p w14:paraId="64CC6BDB"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0,807–10,878</w:t>
            </w:r>
          </w:p>
          <w:p w14:paraId="1152A54D"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0,092–1,239</w:t>
            </w:r>
          </w:p>
        </w:tc>
        <w:tc>
          <w:tcPr>
            <w:tcW w:w="850" w:type="dxa"/>
            <w:tcBorders>
              <w:top w:val="single" w:sz="4" w:space="0" w:color="auto"/>
              <w:left w:val="single" w:sz="4" w:space="0" w:color="auto"/>
              <w:bottom w:val="single" w:sz="4" w:space="0" w:color="auto"/>
              <w:right w:val="single" w:sz="4" w:space="0" w:color="auto"/>
            </w:tcBorders>
            <w:hideMark/>
          </w:tcPr>
          <w:p w14:paraId="2A9C2E4D" w14:textId="77777777" w:rsidR="002E3CE8" w:rsidRPr="00520861" w:rsidRDefault="002E3CE8" w:rsidP="00292D2E">
            <w:pPr>
              <w:widowControl w:val="0"/>
              <w:spacing w:before="60" w:after="60" w:line="276" w:lineRule="auto"/>
              <w:jc w:val="center"/>
              <w:rPr>
                <w:rFonts w:eastAsia="Calibri"/>
                <w:sz w:val="28"/>
                <w:szCs w:val="28"/>
              </w:rPr>
            </w:pPr>
            <w:r w:rsidRPr="00520861">
              <w:rPr>
                <w:rFonts w:eastAsia="Calibri"/>
                <w:sz w:val="28"/>
                <w:szCs w:val="28"/>
              </w:rPr>
              <w:t>0,181</w:t>
            </w:r>
          </w:p>
        </w:tc>
      </w:tr>
      <w:tr w:rsidR="002E3CE8" w:rsidRPr="00520861" w14:paraId="0324D0DA"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3001863" w14:textId="77777777" w:rsidR="002E3CE8" w:rsidRPr="00520861" w:rsidRDefault="002E3CE8" w:rsidP="00292D2E">
            <w:pPr>
              <w:widowControl w:val="0"/>
              <w:spacing w:line="360" w:lineRule="auto"/>
              <w:rPr>
                <w:rFonts w:eastAsia="Calibri"/>
                <w:sz w:val="28"/>
                <w:szCs w:val="28"/>
              </w:rPr>
            </w:pPr>
          </w:p>
        </w:tc>
        <w:tc>
          <w:tcPr>
            <w:tcW w:w="7375" w:type="dxa"/>
            <w:gridSpan w:val="8"/>
            <w:tcBorders>
              <w:top w:val="single" w:sz="4" w:space="0" w:color="auto"/>
              <w:left w:val="single" w:sz="4" w:space="0" w:color="auto"/>
              <w:bottom w:val="single" w:sz="4" w:space="0" w:color="auto"/>
              <w:right w:val="single" w:sz="4" w:space="0" w:color="auto"/>
            </w:tcBorders>
            <w:hideMark/>
          </w:tcPr>
          <w:p w14:paraId="55B45B7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Мультиплікативна модель</w:t>
            </w:r>
          </w:p>
        </w:tc>
      </w:tr>
      <w:tr w:rsidR="002E3CE8" w:rsidRPr="00520861" w14:paraId="69FEF42A"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366CE3A8" w14:textId="77777777" w:rsidR="002E3CE8" w:rsidRPr="00520861" w:rsidRDefault="002E3CE8" w:rsidP="00292D2E">
            <w:pPr>
              <w:widowControl w:val="0"/>
              <w:spacing w:line="360" w:lineRule="auto"/>
              <w:rPr>
                <w:rFonts w:eastAsia="Calibri"/>
                <w:sz w:val="28"/>
                <w:szCs w:val="28"/>
              </w:rPr>
            </w:pPr>
          </w:p>
        </w:tc>
        <w:tc>
          <w:tcPr>
            <w:tcW w:w="1563" w:type="dxa"/>
            <w:tcBorders>
              <w:top w:val="single" w:sz="4" w:space="0" w:color="auto"/>
              <w:left w:val="single" w:sz="4" w:space="0" w:color="auto"/>
              <w:bottom w:val="single" w:sz="4" w:space="0" w:color="auto"/>
              <w:right w:val="single" w:sz="4" w:space="0" w:color="auto"/>
            </w:tcBorders>
            <w:hideMark/>
          </w:tcPr>
          <w:p w14:paraId="0A66812C" w14:textId="77777777" w:rsidR="002E3CE8" w:rsidRPr="00520861" w:rsidRDefault="002E3CE8" w:rsidP="00292D2E">
            <w:pPr>
              <w:widowControl w:val="0"/>
              <w:spacing w:before="100" w:after="100" w:line="276" w:lineRule="auto"/>
              <w:jc w:val="center"/>
              <w:rPr>
                <w:rFonts w:eastAsia="Calibri"/>
                <w:sz w:val="28"/>
                <w:szCs w:val="28"/>
              </w:rPr>
            </w:pPr>
            <w:r w:rsidRPr="00520861">
              <w:rPr>
                <w:rFonts w:eastAsia="Calibri"/>
                <w:sz w:val="28"/>
                <w:szCs w:val="28"/>
              </w:rPr>
              <w:t>C</w:t>
            </w:r>
          </w:p>
          <w:p w14:paraId="19763700" w14:textId="77777777" w:rsidR="002E3CE8" w:rsidRPr="00520861" w:rsidRDefault="002E3CE8" w:rsidP="00292D2E">
            <w:pPr>
              <w:widowControl w:val="0"/>
              <w:spacing w:before="100" w:after="100" w:line="276" w:lineRule="auto"/>
              <w:jc w:val="center"/>
              <w:rPr>
                <w:rFonts w:eastAsia="Calibri"/>
                <w:sz w:val="28"/>
                <w:szCs w:val="28"/>
              </w:rPr>
            </w:pPr>
            <w:r w:rsidRPr="00520861">
              <w:rPr>
                <w:rFonts w:eastAsia="Calibri"/>
                <w:sz w:val="28"/>
                <w:szCs w:val="28"/>
              </w:rPr>
              <w:t>T</w:t>
            </w:r>
          </w:p>
        </w:tc>
        <w:tc>
          <w:tcPr>
            <w:tcW w:w="1674" w:type="dxa"/>
            <w:gridSpan w:val="2"/>
            <w:tcBorders>
              <w:top w:val="single" w:sz="4" w:space="0" w:color="auto"/>
              <w:left w:val="single" w:sz="4" w:space="0" w:color="auto"/>
              <w:bottom w:val="single" w:sz="4" w:space="0" w:color="auto"/>
              <w:right w:val="single" w:sz="4" w:space="0" w:color="auto"/>
            </w:tcBorders>
            <w:hideMark/>
          </w:tcPr>
          <w:p w14:paraId="6728AF73" w14:textId="77777777" w:rsidR="002E3CE8" w:rsidRPr="00520861" w:rsidRDefault="002E3CE8" w:rsidP="00292D2E">
            <w:pPr>
              <w:widowControl w:val="0"/>
              <w:spacing w:before="100" w:after="100" w:line="276" w:lineRule="auto"/>
              <w:jc w:val="center"/>
              <w:rPr>
                <w:rFonts w:eastAsia="Calibri"/>
                <w:sz w:val="28"/>
                <w:szCs w:val="28"/>
              </w:rPr>
            </w:pPr>
            <w:r w:rsidRPr="00520861">
              <w:rPr>
                <w:rFonts w:eastAsia="Calibri"/>
                <w:sz w:val="28"/>
                <w:szCs w:val="28"/>
              </w:rPr>
              <w:t>3,948</w:t>
            </w:r>
          </w:p>
        </w:tc>
        <w:tc>
          <w:tcPr>
            <w:tcW w:w="1161" w:type="dxa"/>
            <w:tcBorders>
              <w:top w:val="single" w:sz="4" w:space="0" w:color="auto"/>
              <w:left w:val="single" w:sz="4" w:space="0" w:color="auto"/>
              <w:bottom w:val="single" w:sz="4" w:space="0" w:color="auto"/>
              <w:right w:val="single" w:sz="4" w:space="0" w:color="auto"/>
            </w:tcBorders>
            <w:hideMark/>
          </w:tcPr>
          <w:p w14:paraId="1EDFAE50" w14:textId="77777777" w:rsidR="002E3CE8" w:rsidRPr="00520861" w:rsidRDefault="002E3CE8" w:rsidP="00292D2E">
            <w:pPr>
              <w:widowControl w:val="0"/>
              <w:spacing w:before="100" w:after="100" w:line="276" w:lineRule="auto"/>
              <w:jc w:val="center"/>
              <w:rPr>
                <w:rFonts w:eastAsia="Calibri"/>
                <w:sz w:val="28"/>
                <w:szCs w:val="28"/>
              </w:rPr>
            </w:pPr>
            <w:r w:rsidRPr="00520861">
              <w:rPr>
                <w:rFonts w:eastAsia="Calibri"/>
                <w:sz w:val="28"/>
                <w:szCs w:val="28"/>
              </w:rPr>
              <w:t>0,401</w:t>
            </w:r>
          </w:p>
          <w:p w14:paraId="062EFD3F" w14:textId="77777777" w:rsidR="002E3CE8" w:rsidRPr="00520861" w:rsidRDefault="002E3CE8" w:rsidP="00292D2E">
            <w:pPr>
              <w:widowControl w:val="0"/>
              <w:spacing w:before="100" w:after="100" w:line="276" w:lineRule="auto"/>
              <w:jc w:val="center"/>
              <w:rPr>
                <w:rFonts w:eastAsia="Calibri"/>
                <w:sz w:val="28"/>
                <w:szCs w:val="28"/>
              </w:rPr>
            </w:pPr>
            <w:r w:rsidRPr="00520861">
              <w:rPr>
                <w:rFonts w:eastAsia="Calibri"/>
                <w:sz w:val="28"/>
                <w:szCs w:val="28"/>
              </w:rPr>
              <w:t>2,496</w:t>
            </w:r>
          </w:p>
        </w:tc>
        <w:tc>
          <w:tcPr>
            <w:tcW w:w="2127" w:type="dxa"/>
            <w:gridSpan w:val="3"/>
            <w:tcBorders>
              <w:top w:val="single" w:sz="4" w:space="0" w:color="auto"/>
              <w:left w:val="single" w:sz="4" w:space="0" w:color="auto"/>
              <w:bottom w:val="single" w:sz="4" w:space="0" w:color="auto"/>
              <w:right w:val="single" w:sz="4" w:space="0" w:color="auto"/>
            </w:tcBorders>
            <w:hideMark/>
          </w:tcPr>
          <w:p w14:paraId="53B6069E" w14:textId="77777777" w:rsidR="002E3CE8" w:rsidRPr="00520861" w:rsidRDefault="002E3CE8" w:rsidP="00292D2E">
            <w:pPr>
              <w:widowControl w:val="0"/>
              <w:spacing w:before="100" w:after="100" w:line="276" w:lineRule="auto"/>
              <w:jc w:val="center"/>
              <w:rPr>
                <w:rFonts w:eastAsia="Calibri"/>
                <w:sz w:val="28"/>
                <w:szCs w:val="28"/>
              </w:rPr>
            </w:pPr>
            <w:r w:rsidRPr="00520861">
              <w:rPr>
                <w:rFonts w:eastAsia="Calibri"/>
                <w:sz w:val="28"/>
                <w:szCs w:val="28"/>
              </w:rPr>
              <w:t>0,161–0,997</w:t>
            </w:r>
          </w:p>
          <w:p w14:paraId="0928C61A" w14:textId="77777777" w:rsidR="002E3CE8" w:rsidRPr="00520861" w:rsidRDefault="002E3CE8" w:rsidP="00292D2E">
            <w:pPr>
              <w:widowControl w:val="0"/>
              <w:spacing w:before="100" w:after="100" w:line="276" w:lineRule="auto"/>
              <w:jc w:val="center"/>
              <w:rPr>
                <w:rFonts w:eastAsia="Calibri"/>
                <w:sz w:val="28"/>
                <w:szCs w:val="28"/>
              </w:rPr>
            </w:pPr>
            <w:r w:rsidRPr="00520861">
              <w:rPr>
                <w:rFonts w:eastAsia="Calibri"/>
                <w:sz w:val="28"/>
                <w:szCs w:val="28"/>
              </w:rPr>
              <w:t>1,003–6,208</w:t>
            </w:r>
          </w:p>
        </w:tc>
        <w:tc>
          <w:tcPr>
            <w:tcW w:w="850" w:type="dxa"/>
            <w:tcBorders>
              <w:top w:val="single" w:sz="4" w:space="0" w:color="auto"/>
              <w:left w:val="single" w:sz="4" w:space="0" w:color="auto"/>
              <w:bottom w:val="single" w:sz="4" w:space="0" w:color="auto"/>
              <w:right w:val="single" w:sz="4" w:space="0" w:color="auto"/>
            </w:tcBorders>
            <w:hideMark/>
          </w:tcPr>
          <w:p w14:paraId="7C4479BB" w14:textId="77777777" w:rsidR="002E3CE8" w:rsidRPr="00520861" w:rsidRDefault="002E3CE8" w:rsidP="00292D2E">
            <w:pPr>
              <w:widowControl w:val="0"/>
              <w:spacing w:before="100" w:after="100" w:line="276" w:lineRule="auto"/>
              <w:jc w:val="center"/>
              <w:rPr>
                <w:rFonts w:eastAsia="Calibri"/>
                <w:sz w:val="28"/>
                <w:szCs w:val="28"/>
              </w:rPr>
            </w:pPr>
            <w:r w:rsidRPr="00520861">
              <w:rPr>
                <w:rFonts w:eastAsia="Calibri"/>
                <w:sz w:val="28"/>
                <w:szCs w:val="28"/>
              </w:rPr>
              <w:t>0,047</w:t>
            </w:r>
          </w:p>
        </w:tc>
      </w:tr>
    </w:tbl>
    <w:p w14:paraId="74E9EB90" w14:textId="77777777" w:rsidR="002E3CE8" w:rsidRPr="00520861" w:rsidRDefault="002E3CE8" w:rsidP="00292D2E">
      <w:pPr>
        <w:widowControl w:val="0"/>
        <w:spacing w:line="360" w:lineRule="auto"/>
        <w:ind w:firstLine="708"/>
        <w:jc w:val="both"/>
        <w:rPr>
          <w:rFonts w:eastAsiaTheme="minorHAnsi"/>
          <w:spacing w:val="-2"/>
          <w:sz w:val="28"/>
          <w:szCs w:val="28"/>
          <w:lang w:eastAsia="en-US"/>
        </w:rPr>
      </w:pPr>
      <w:r w:rsidRPr="00520861">
        <w:rPr>
          <w:rFonts w:eastAsia="Calibri"/>
          <w:spacing w:val="-2"/>
          <w:sz w:val="28"/>
          <w:szCs w:val="28"/>
          <w:lang w:eastAsia="en-US"/>
        </w:rPr>
        <w:lastRenderedPageBreak/>
        <w:t xml:space="preserve">Тобто ризик передчасного прорізування збільшувався в 5 разів і </w:t>
      </w:r>
      <w:proofErr w:type="spellStart"/>
      <w:r w:rsidRPr="00520861">
        <w:rPr>
          <w:rFonts w:eastAsia="Calibri"/>
          <w:spacing w:val="-2"/>
          <w:sz w:val="28"/>
          <w:szCs w:val="28"/>
          <w:lang w:eastAsia="en-US"/>
        </w:rPr>
        <w:t>наддомінантна</w:t>
      </w:r>
      <w:proofErr w:type="spellEnd"/>
      <w:r w:rsidRPr="00520861">
        <w:rPr>
          <w:rFonts w:eastAsia="Calibri"/>
          <w:spacing w:val="-2"/>
          <w:sz w:val="28"/>
          <w:szCs w:val="28"/>
          <w:lang w:eastAsia="en-US"/>
        </w:rPr>
        <w:t xml:space="preserve"> модель успадкування була значущою.</w:t>
      </w:r>
    </w:p>
    <w:p w14:paraId="4CFEDA43"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Ураховуючи виявлені значущі відмінності, при подальшому аналізі проводили зіставлення результатів, отриманих для осіб основних груп (зі зміненими термінами прорізування зубів) та обох груп порівняння.</w:t>
      </w:r>
    </w:p>
    <w:p w14:paraId="68082C5B"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В осіб з ОГ ПП (табл. 5.13) на відміну від ГП II не було вірогідних відмінностей у розповсюдженні генотипів, але було виявлено тенденцію до зниження частоти генотипу АА </w:t>
      </w:r>
      <w:r w:rsidRPr="00520861">
        <w:rPr>
          <w:rFonts w:eastAsiaTheme="minorHAnsi"/>
          <w:spacing w:val="-2"/>
          <w:sz w:val="28"/>
          <w:szCs w:val="28"/>
          <w:lang w:eastAsia="en-US"/>
        </w:rPr>
        <w:t>(домінантна модель успадкування) та підвищення частоти гетерозигот</w:t>
      </w:r>
      <w:r w:rsidRPr="00520861">
        <w:rPr>
          <w:rFonts w:eastAsiaTheme="minorHAnsi"/>
          <w:sz w:val="28"/>
          <w:szCs w:val="28"/>
          <w:lang w:eastAsia="en-US"/>
        </w:rPr>
        <w:t>ного варіанта AG (</w:t>
      </w:r>
      <w:proofErr w:type="spellStart"/>
      <w:r w:rsidRPr="00520861">
        <w:rPr>
          <w:rFonts w:eastAsiaTheme="minorHAnsi"/>
          <w:sz w:val="28"/>
          <w:szCs w:val="28"/>
          <w:lang w:eastAsia="en-US"/>
        </w:rPr>
        <w:t>наддомінантна</w:t>
      </w:r>
      <w:proofErr w:type="spellEnd"/>
      <w:r w:rsidRPr="00520861">
        <w:rPr>
          <w:rFonts w:eastAsiaTheme="minorHAnsi"/>
          <w:sz w:val="28"/>
          <w:szCs w:val="28"/>
          <w:lang w:eastAsia="en-US"/>
        </w:rPr>
        <w:t xml:space="preserve"> модель успадкування) за геном </w:t>
      </w:r>
      <w:r w:rsidRPr="00520861">
        <w:rPr>
          <w:rFonts w:eastAsiaTheme="minorHAnsi"/>
          <w:i/>
          <w:sz w:val="28"/>
          <w:szCs w:val="28"/>
          <w:lang w:eastAsia="en-US"/>
        </w:rPr>
        <w:t>CYP19A1</w:t>
      </w:r>
      <w:r w:rsidRPr="00520861">
        <w:rPr>
          <w:rFonts w:eastAsiaTheme="minorHAnsi"/>
          <w:sz w:val="28"/>
          <w:szCs w:val="28"/>
          <w:lang w:eastAsia="en-US"/>
        </w:rPr>
        <w:t>.</w:t>
      </w:r>
    </w:p>
    <w:p w14:paraId="1C9A8E1B" w14:textId="77777777" w:rsidR="002E3CE8" w:rsidRPr="00520861" w:rsidRDefault="002E3CE8" w:rsidP="00292D2E">
      <w:pPr>
        <w:widowControl w:val="0"/>
        <w:spacing w:line="360" w:lineRule="auto"/>
        <w:ind w:firstLine="708"/>
        <w:jc w:val="both"/>
        <w:rPr>
          <w:rFonts w:eastAsia="Calibri"/>
          <w:sz w:val="28"/>
          <w:szCs w:val="28"/>
          <w:lang w:eastAsia="en-US"/>
        </w:rPr>
      </w:pPr>
      <w:r w:rsidRPr="00520861">
        <w:rPr>
          <w:rFonts w:eastAsiaTheme="minorHAnsi"/>
          <w:sz w:val="28"/>
          <w:szCs w:val="28"/>
          <w:lang w:eastAsia="en-US"/>
        </w:rPr>
        <w:t xml:space="preserve">Також спостерігалося підвищення частоти гетерозиготного варіанта гена </w:t>
      </w:r>
      <w:r w:rsidRPr="00520861">
        <w:rPr>
          <w:rFonts w:eastAsiaTheme="minorHAnsi"/>
          <w:i/>
          <w:sz w:val="28"/>
          <w:szCs w:val="28"/>
          <w:lang w:eastAsia="en-US"/>
        </w:rPr>
        <w:t>RANKL</w:t>
      </w:r>
      <w:r w:rsidRPr="00520861">
        <w:rPr>
          <w:rFonts w:eastAsiaTheme="minorHAnsi"/>
          <w:sz w:val="28"/>
          <w:szCs w:val="28"/>
          <w:lang w:eastAsia="en-US"/>
        </w:rPr>
        <w:t xml:space="preserve"> (</w:t>
      </w:r>
      <w:proofErr w:type="spellStart"/>
      <w:r w:rsidRPr="00520861">
        <w:rPr>
          <w:rFonts w:eastAsiaTheme="minorHAnsi"/>
          <w:sz w:val="28"/>
          <w:szCs w:val="28"/>
          <w:lang w:eastAsia="en-US"/>
        </w:rPr>
        <w:t>наддомінантна</w:t>
      </w:r>
      <w:proofErr w:type="spellEnd"/>
      <w:r w:rsidRPr="00520861">
        <w:rPr>
          <w:rFonts w:eastAsiaTheme="minorHAnsi"/>
          <w:sz w:val="28"/>
          <w:szCs w:val="28"/>
          <w:lang w:eastAsia="en-US"/>
        </w:rPr>
        <w:t xml:space="preserve"> модель успадкування) в основній групі.</w:t>
      </w:r>
      <w:r w:rsidRPr="00520861">
        <w:rPr>
          <w:rFonts w:eastAsia="Calibri"/>
          <w:sz w:val="28"/>
          <w:szCs w:val="28"/>
          <w:lang w:eastAsia="en-US"/>
        </w:rPr>
        <w:t xml:space="preserve"> Не було вірогідних відмінностей у розподілі генотипів між групами ОГ ПП та ГП I.</w:t>
      </w:r>
    </w:p>
    <w:p w14:paraId="704A5CA0" w14:textId="77777777" w:rsidR="002E3CE8" w:rsidRPr="00520861" w:rsidRDefault="002E3CE8"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На відміну від передчасного прорізування значні затримки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визначалися порівнянням ГП I: мультиплікативна модель </w:t>
      </w:r>
      <w:r w:rsidRPr="00520861">
        <w:rPr>
          <w:rFonts w:eastAsiaTheme="minorHAnsi"/>
          <w:sz w:val="28"/>
          <w:szCs w:val="28"/>
          <w:lang w:eastAsia="en-US"/>
        </w:rPr>
        <w:t xml:space="preserve">(табл. 5.14) </w:t>
      </w:r>
      <w:r w:rsidRPr="00520861">
        <w:rPr>
          <w:rFonts w:eastAsia="Calibri"/>
          <w:sz w:val="28"/>
          <w:szCs w:val="28"/>
          <w:lang w:eastAsia="en-US"/>
        </w:rPr>
        <w:t xml:space="preserve">для </w:t>
      </w:r>
      <w:r w:rsidRPr="00520861">
        <w:rPr>
          <w:rFonts w:eastAsia="Calibri"/>
          <w:i/>
          <w:sz w:val="28"/>
          <w:szCs w:val="28"/>
          <w:lang w:eastAsia="en-US"/>
        </w:rPr>
        <w:t>RANKL</w:t>
      </w:r>
      <w:r w:rsidRPr="00520861">
        <w:rPr>
          <w:rFonts w:eastAsia="Calibri"/>
          <w:sz w:val="28"/>
          <w:szCs w:val="28"/>
          <w:lang w:eastAsia="en-US"/>
        </w:rPr>
        <w:t xml:space="preserve"> [rs9594759] та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w:t>
      </w:r>
      <w:r w:rsidRPr="00520861">
        <w:rPr>
          <w:rFonts w:eastAsia="Calibri"/>
          <w:i/>
          <w:sz w:val="28"/>
          <w:szCs w:val="28"/>
          <w:lang w:eastAsia="en-US"/>
        </w:rPr>
        <w:t>IL10</w:t>
      </w:r>
      <w:r w:rsidRPr="00520861">
        <w:rPr>
          <w:rFonts w:eastAsia="Calibri"/>
          <w:sz w:val="28"/>
          <w:szCs w:val="28"/>
          <w:lang w:eastAsia="en-US"/>
        </w:rPr>
        <w:t xml:space="preserve"> [rs1800896] </w:t>
      </w:r>
      <w:r w:rsidRPr="00520861">
        <w:rPr>
          <w:rFonts w:eastAsiaTheme="minorHAnsi"/>
          <w:sz w:val="28"/>
          <w:szCs w:val="28"/>
          <w:lang w:eastAsia="en-US"/>
        </w:rPr>
        <w:t>(табл. 5.15)</w:t>
      </w:r>
      <w:r w:rsidRPr="00520861">
        <w:rPr>
          <w:rFonts w:eastAsia="Calibri"/>
          <w:sz w:val="28"/>
          <w:szCs w:val="28"/>
          <w:lang w:eastAsia="en-US"/>
        </w:rPr>
        <w:t>.</w:t>
      </w:r>
    </w:p>
    <w:p w14:paraId="6FD05684" w14:textId="77777777" w:rsidR="002E3CE8" w:rsidRPr="00520861" w:rsidRDefault="002E3CE8" w:rsidP="00292D2E">
      <w:pPr>
        <w:widowControl w:val="0"/>
        <w:spacing w:line="360" w:lineRule="auto"/>
        <w:jc w:val="right"/>
        <w:rPr>
          <w:rFonts w:eastAsiaTheme="minorHAnsi"/>
          <w:i/>
          <w:color w:val="0D0D0D" w:themeColor="text1" w:themeTint="F2"/>
          <w:sz w:val="28"/>
          <w:szCs w:val="28"/>
          <w:lang w:eastAsia="en-US"/>
        </w:rPr>
      </w:pPr>
      <w:r w:rsidRPr="00520861">
        <w:rPr>
          <w:rFonts w:eastAsiaTheme="minorHAnsi"/>
          <w:i/>
          <w:sz w:val="28"/>
          <w:szCs w:val="28"/>
          <w:lang w:eastAsia="en-US"/>
        </w:rPr>
        <w:t>Таблиця 5.13</w:t>
      </w:r>
    </w:p>
    <w:p w14:paraId="2693F17A" w14:textId="77777777" w:rsidR="002E3CE8" w:rsidRPr="00520861" w:rsidRDefault="002E3CE8" w:rsidP="00292D2E">
      <w:pPr>
        <w:widowControl w:val="0"/>
        <w:spacing w:line="360" w:lineRule="auto"/>
        <w:jc w:val="center"/>
        <w:rPr>
          <w:rFonts w:eastAsiaTheme="minorHAnsi"/>
          <w:b/>
          <w:color w:val="0D0D0D" w:themeColor="text1" w:themeTint="F2"/>
          <w:sz w:val="28"/>
          <w:szCs w:val="28"/>
          <w:lang w:eastAsia="en-US"/>
        </w:rPr>
      </w:pPr>
      <w:r w:rsidRPr="00520861">
        <w:rPr>
          <w:rFonts w:eastAsiaTheme="minorHAnsi"/>
          <w:b/>
          <w:sz w:val="28"/>
          <w:szCs w:val="28"/>
          <w:lang w:eastAsia="en-US"/>
        </w:rPr>
        <w:t xml:space="preserve">Порівняння частот розподілу поліморфних варіантів за генами </w:t>
      </w:r>
      <w:r w:rsidRPr="00520861">
        <w:rPr>
          <w:rFonts w:eastAsiaTheme="minorHAnsi"/>
          <w:b/>
          <w:i/>
          <w:sz w:val="28"/>
          <w:szCs w:val="28"/>
          <w:lang w:eastAsia="en-US"/>
        </w:rPr>
        <w:t>CYP19A1: A&gt;G</w:t>
      </w:r>
      <w:r w:rsidRPr="00520861">
        <w:rPr>
          <w:rFonts w:eastAsiaTheme="minorHAnsi"/>
          <w:b/>
          <w:sz w:val="28"/>
          <w:szCs w:val="28"/>
          <w:lang w:eastAsia="en-US"/>
        </w:rPr>
        <w:t xml:space="preserve"> [rs2414096] і </w:t>
      </w:r>
      <w:r w:rsidRPr="00520861">
        <w:rPr>
          <w:rFonts w:eastAsiaTheme="minorHAnsi"/>
          <w:b/>
          <w:i/>
          <w:sz w:val="28"/>
          <w:szCs w:val="28"/>
          <w:lang w:eastAsia="en-US"/>
        </w:rPr>
        <w:t>RANKL: C&gt;T</w:t>
      </w:r>
      <w:r w:rsidRPr="00520861">
        <w:rPr>
          <w:rFonts w:eastAsiaTheme="minorHAnsi"/>
          <w:b/>
          <w:sz w:val="28"/>
          <w:szCs w:val="28"/>
          <w:lang w:eastAsia="en-US"/>
        </w:rPr>
        <w:t xml:space="preserve"> [rs9594759] в осіб ОГ ПП та ГП II</w:t>
      </w:r>
    </w:p>
    <w:tbl>
      <w:tblPr>
        <w:tblStyle w:val="312"/>
        <w:tblW w:w="4543" w:type="pct"/>
        <w:tblInd w:w="562" w:type="dxa"/>
        <w:tblLayout w:type="fixed"/>
        <w:tblLook w:val="04A0" w:firstRow="1" w:lastRow="0" w:firstColumn="1" w:lastColumn="0" w:noHBand="0" w:noVBand="1"/>
      </w:tblPr>
      <w:tblGrid>
        <w:gridCol w:w="1688"/>
        <w:gridCol w:w="1831"/>
        <w:gridCol w:w="1555"/>
        <w:gridCol w:w="1240"/>
        <w:gridCol w:w="2041"/>
        <w:gridCol w:w="847"/>
        <w:gridCol w:w="9"/>
      </w:tblGrid>
      <w:tr w:rsidR="002E3CE8" w:rsidRPr="00520861" w14:paraId="187BBD3B" w14:textId="77777777" w:rsidTr="00292D2E">
        <w:tc>
          <w:tcPr>
            <w:tcW w:w="916" w:type="pct"/>
            <w:vMerge w:val="restart"/>
            <w:tcBorders>
              <w:top w:val="single" w:sz="4" w:space="0" w:color="auto"/>
              <w:left w:val="single" w:sz="4" w:space="0" w:color="auto"/>
              <w:bottom w:val="single" w:sz="4" w:space="0" w:color="auto"/>
              <w:right w:val="single" w:sz="4" w:space="0" w:color="auto"/>
            </w:tcBorders>
            <w:hideMark/>
          </w:tcPr>
          <w:p w14:paraId="14A3A1F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Ген</w:t>
            </w:r>
          </w:p>
        </w:tc>
        <w:tc>
          <w:tcPr>
            <w:tcW w:w="994" w:type="pct"/>
            <w:vMerge w:val="restart"/>
            <w:tcBorders>
              <w:top w:val="single" w:sz="4" w:space="0" w:color="auto"/>
              <w:left w:val="single" w:sz="4" w:space="0" w:color="auto"/>
              <w:bottom w:val="single" w:sz="4" w:space="0" w:color="auto"/>
              <w:right w:val="single" w:sz="4" w:space="0" w:color="auto"/>
            </w:tcBorders>
            <w:hideMark/>
          </w:tcPr>
          <w:p w14:paraId="6489A05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Генотип</w:t>
            </w:r>
          </w:p>
        </w:tc>
        <w:tc>
          <w:tcPr>
            <w:tcW w:w="3090" w:type="pct"/>
            <w:gridSpan w:val="5"/>
            <w:tcBorders>
              <w:top w:val="single" w:sz="4" w:space="0" w:color="auto"/>
              <w:left w:val="single" w:sz="4" w:space="0" w:color="auto"/>
              <w:bottom w:val="single" w:sz="4" w:space="0" w:color="auto"/>
              <w:right w:val="single" w:sz="4" w:space="0" w:color="auto"/>
            </w:tcBorders>
            <w:hideMark/>
          </w:tcPr>
          <w:p w14:paraId="0ED88C5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Результати </w:t>
            </w:r>
          </w:p>
          <w:p w14:paraId="248B8BB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статистичного аналізу</w:t>
            </w:r>
          </w:p>
        </w:tc>
      </w:tr>
      <w:tr w:rsidR="002E3CE8" w:rsidRPr="00520861" w14:paraId="2E5EB770" w14:textId="77777777" w:rsidTr="00292D2E">
        <w:trPr>
          <w:gridAfter w:val="1"/>
          <w:wAfter w:w="5" w:type="pct"/>
        </w:trPr>
        <w:tc>
          <w:tcPr>
            <w:tcW w:w="916" w:type="pct"/>
            <w:vMerge/>
            <w:tcBorders>
              <w:top w:val="single" w:sz="4" w:space="0" w:color="auto"/>
              <w:left w:val="single" w:sz="4" w:space="0" w:color="auto"/>
              <w:bottom w:val="single" w:sz="4" w:space="0" w:color="auto"/>
              <w:right w:val="single" w:sz="4" w:space="0" w:color="auto"/>
            </w:tcBorders>
            <w:vAlign w:val="center"/>
            <w:hideMark/>
          </w:tcPr>
          <w:p w14:paraId="5E173A6D" w14:textId="77777777" w:rsidR="002E3CE8" w:rsidRPr="00520861" w:rsidRDefault="002E3CE8" w:rsidP="00292D2E">
            <w:pPr>
              <w:widowControl w:val="0"/>
              <w:spacing w:line="360" w:lineRule="auto"/>
              <w:rPr>
                <w:rFonts w:eastAsia="Calibri"/>
                <w:sz w:val="28"/>
                <w:szCs w:val="28"/>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3C295811" w14:textId="77777777" w:rsidR="002E3CE8" w:rsidRPr="00520861" w:rsidRDefault="002E3CE8" w:rsidP="00292D2E">
            <w:pPr>
              <w:widowControl w:val="0"/>
              <w:spacing w:line="360" w:lineRule="auto"/>
              <w:rPr>
                <w:rFonts w:eastAsia="Calibri"/>
                <w:sz w:val="28"/>
                <w:szCs w:val="28"/>
              </w:rPr>
            </w:pPr>
          </w:p>
        </w:tc>
        <w:tc>
          <w:tcPr>
            <w:tcW w:w="844" w:type="pct"/>
            <w:tcBorders>
              <w:top w:val="single" w:sz="4" w:space="0" w:color="auto"/>
              <w:left w:val="single" w:sz="4" w:space="0" w:color="auto"/>
              <w:bottom w:val="single" w:sz="4" w:space="0" w:color="auto"/>
              <w:right w:val="single" w:sz="4" w:space="0" w:color="auto"/>
            </w:tcBorders>
            <w:hideMark/>
          </w:tcPr>
          <w:p w14:paraId="1924504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sym w:font="Symbol" w:char="F063"/>
            </w:r>
            <w:r w:rsidRPr="00520861">
              <w:rPr>
                <w:rFonts w:eastAsia="Calibri"/>
                <w:sz w:val="28"/>
                <w:szCs w:val="28"/>
                <w:vertAlign w:val="superscript"/>
              </w:rPr>
              <w:t>2</w:t>
            </w:r>
            <w:r w:rsidRPr="00520861">
              <w:rPr>
                <w:rFonts w:eastAsia="Calibri"/>
                <w:sz w:val="28"/>
                <w:szCs w:val="28"/>
              </w:rPr>
              <w:t xml:space="preserve"> (</w:t>
            </w:r>
            <w:proofErr w:type="spellStart"/>
            <w:r w:rsidRPr="00520861">
              <w:rPr>
                <w:rFonts w:eastAsia="Calibri"/>
                <w:sz w:val="28"/>
                <w:szCs w:val="28"/>
              </w:rPr>
              <w:t>Йєтс</w:t>
            </w:r>
            <w:proofErr w:type="spellEnd"/>
            <w:r w:rsidRPr="00520861">
              <w:rPr>
                <w:rFonts w:eastAsia="Calibri"/>
                <w:sz w:val="28"/>
                <w:szCs w:val="28"/>
              </w:rPr>
              <w:t>)</w:t>
            </w:r>
          </w:p>
        </w:tc>
        <w:tc>
          <w:tcPr>
            <w:tcW w:w="673" w:type="pct"/>
            <w:tcBorders>
              <w:top w:val="single" w:sz="4" w:space="0" w:color="auto"/>
              <w:left w:val="single" w:sz="4" w:space="0" w:color="auto"/>
              <w:bottom w:val="single" w:sz="4" w:space="0" w:color="auto"/>
              <w:right w:val="single" w:sz="4" w:space="0" w:color="auto"/>
            </w:tcBorders>
            <w:hideMark/>
          </w:tcPr>
          <w:p w14:paraId="212988C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ВШ</w:t>
            </w:r>
          </w:p>
        </w:tc>
        <w:tc>
          <w:tcPr>
            <w:tcW w:w="1108" w:type="pct"/>
            <w:tcBorders>
              <w:top w:val="single" w:sz="4" w:space="0" w:color="auto"/>
              <w:left w:val="single" w:sz="4" w:space="0" w:color="auto"/>
              <w:bottom w:val="single" w:sz="4" w:space="0" w:color="auto"/>
              <w:right w:val="single" w:sz="4" w:space="0" w:color="auto"/>
            </w:tcBorders>
            <w:hideMark/>
          </w:tcPr>
          <w:p w14:paraId="5171A00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95% ДІ</w:t>
            </w:r>
          </w:p>
        </w:tc>
        <w:tc>
          <w:tcPr>
            <w:tcW w:w="460" w:type="pct"/>
            <w:tcBorders>
              <w:top w:val="single" w:sz="4" w:space="0" w:color="auto"/>
              <w:left w:val="single" w:sz="4" w:space="0" w:color="auto"/>
              <w:bottom w:val="single" w:sz="4" w:space="0" w:color="auto"/>
              <w:right w:val="single" w:sz="4" w:space="0" w:color="auto"/>
            </w:tcBorders>
            <w:hideMark/>
          </w:tcPr>
          <w:p w14:paraId="0F14DC93" w14:textId="77777777" w:rsidR="002E3CE8" w:rsidRPr="00520861" w:rsidRDefault="002E3CE8" w:rsidP="00292D2E">
            <w:pPr>
              <w:widowControl w:val="0"/>
              <w:spacing w:line="360" w:lineRule="auto"/>
              <w:jc w:val="center"/>
              <w:rPr>
                <w:rFonts w:eastAsia="Calibri"/>
                <w:i/>
                <w:sz w:val="28"/>
                <w:szCs w:val="28"/>
              </w:rPr>
            </w:pPr>
            <w:r w:rsidRPr="00520861">
              <w:rPr>
                <w:rFonts w:eastAsia="Calibri"/>
                <w:i/>
                <w:sz w:val="28"/>
                <w:szCs w:val="28"/>
              </w:rPr>
              <w:t>P</w:t>
            </w:r>
          </w:p>
        </w:tc>
      </w:tr>
      <w:tr w:rsidR="002E3CE8" w:rsidRPr="00520861" w14:paraId="17BFC31F" w14:textId="77777777" w:rsidTr="00292D2E">
        <w:trPr>
          <w:gridAfter w:val="1"/>
          <w:wAfter w:w="5" w:type="pct"/>
        </w:trPr>
        <w:tc>
          <w:tcPr>
            <w:tcW w:w="916" w:type="pct"/>
            <w:tcBorders>
              <w:top w:val="single" w:sz="4" w:space="0" w:color="auto"/>
              <w:left w:val="single" w:sz="4" w:space="0" w:color="auto"/>
              <w:bottom w:val="single" w:sz="4" w:space="0" w:color="auto"/>
              <w:right w:val="single" w:sz="4" w:space="0" w:color="auto"/>
            </w:tcBorders>
            <w:vAlign w:val="center"/>
          </w:tcPr>
          <w:p w14:paraId="02B01AD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w:t>
            </w:r>
          </w:p>
        </w:tc>
        <w:tc>
          <w:tcPr>
            <w:tcW w:w="994" w:type="pct"/>
            <w:tcBorders>
              <w:top w:val="single" w:sz="4" w:space="0" w:color="auto"/>
              <w:left w:val="single" w:sz="4" w:space="0" w:color="auto"/>
              <w:bottom w:val="single" w:sz="4" w:space="0" w:color="auto"/>
              <w:right w:val="single" w:sz="4" w:space="0" w:color="auto"/>
            </w:tcBorders>
            <w:vAlign w:val="center"/>
          </w:tcPr>
          <w:p w14:paraId="39021A5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w:t>
            </w:r>
          </w:p>
        </w:tc>
        <w:tc>
          <w:tcPr>
            <w:tcW w:w="844" w:type="pct"/>
            <w:tcBorders>
              <w:top w:val="single" w:sz="4" w:space="0" w:color="auto"/>
              <w:left w:val="single" w:sz="4" w:space="0" w:color="auto"/>
              <w:bottom w:val="single" w:sz="4" w:space="0" w:color="auto"/>
              <w:right w:val="single" w:sz="4" w:space="0" w:color="auto"/>
            </w:tcBorders>
          </w:tcPr>
          <w:p w14:paraId="20BA82D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w:t>
            </w:r>
          </w:p>
        </w:tc>
        <w:tc>
          <w:tcPr>
            <w:tcW w:w="673" w:type="pct"/>
            <w:tcBorders>
              <w:top w:val="single" w:sz="4" w:space="0" w:color="auto"/>
              <w:left w:val="single" w:sz="4" w:space="0" w:color="auto"/>
              <w:bottom w:val="single" w:sz="4" w:space="0" w:color="auto"/>
              <w:right w:val="single" w:sz="4" w:space="0" w:color="auto"/>
            </w:tcBorders>
          </w:tcPr>
          <w:p w14:paraId="2E3916F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w:t>
            </w:r>
          </w:p>
        </w:tc>
        <w:tc>
          <w:tcPr>
            <w:tcW w:w="1108" w:type="pct"/>
            <w:tcBorders>
              <w:top w:val="single" w:sz="4" w:space="0" w:color="auto"/>
              <w:left w:val="single" w:sz="4" w:space="0" w:color="auto"/>
              <w:bottom w:val="single" w:sz="4" w:space="0" w:color="auto"/>
              <w:right w:val="single" w:sz="4" w:space="0" w:color="auto"/>
            </w:tcBorders>
          </w:tcPr>
          <w:p w14:paraId="5F31E9E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w:t>
            </w:r>
          </w:p>
        </w:tc>
        <w:tc>
          <w:tcPr>
            <w:tcW w:w="460" w:type="pct"/>
            <w:tcBorders>
              <w:top w:val="single" w:sz="4" w:space="0" w:color="auto"/>
              <w:left w:val="single" w:sz="4" w:space="0" w:color="auto"/>
              <w:bottom w:val="single" w:sz="4" w:space="0" w:color="auto"/>
              <w:right w:val="single" w:sz="4" w:space="0" w:color="auto"/>
            </w:tcBorders>
          </w:tcPr>
          <w:p w14:paraId="18E802C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w:t>
            </w:r>
          </w:p>
        </w:tc>
      </w:tr>
      <w:tr w:rsidR="002E3CE8" w:rsidRPr="00520861" w14:paraId="17AB95E6" w14:textId="77777777" w:rsidTr="00292D2E">
        <w:tc>
          <w:tcPr>
            <w:tcW w:w="916" w:type="pct"/>
            <w:vMerge w:val="restart"/>
            <w:tcBorders>
              <w:top w:val="single" w:sz="4" w:space="0" w:color="auto"/>
              <w:left w:val="single" w:sz="4" w:space="0" w:color="auto"/>
              <w:bottom w:val="single" w:sz="4" w:space="0" w:color="auto"/>
              <w:right w:val="single" w:sz="4" w:space="0" w:color="auto"/>
            </w:tcBorders>
            <w:hideMark/>
          </w:tcPr>
          <w:p w14:paraId="32AD3788" w14:textId="77777777" w:rsidR="002E3CE8" w:rsidRPr="00520861" w:rsidRDefault="002E3CE8" w:rsidP="00292D2E">
            <w:pPr>
              <w:widowControl w:val="0"/>
              <w:spacing w:line="360" w:lineRule="auto"/>
              <w:jc w:val="center"/>
              <w:rPr>
                <w:rFonts w:eastAsia="Calibri"/>
                <w:sz w:val="28"/>
                <w:szCs w:val="28"/>
              </w:rPr>
            </w:pPr>
            <w:r w:rsidRPr="00520861">
              <w:rPr>
                <w:rFonts w:eastAsia="Calibri"/>
                <w:i/>
                <w:sz w:val="28"/>
                <w:szCs w:val="28"/>
              </w:rPr>
              <w:t>CYP19A1: A&gt;G</w:t>
            </w:r>
            <w:r w:rsidRPr="00520861">
              <w:rPr>
                <w:rFonts w:eastAsia="Calibri"/>
                <w:sz w:val="28"/>
                <w:szCs w:val="28"/>
              </w:rPr>
              <w:t xml:space="preserve"> [rs2414096]</w:t>
            </w:r>
          </w:p>
        </w:tc>
        <w:tc>
          <w:tcPr>
            <w:tcW w:w="4084" w:type="pct"/>
            <w:gridSpan w:val="6"/>
            <w:tcBorders>
              <w:top w:val="single" w:sz="4" w:space="0" w:color="auto"/>
              <w:left w:val="single" w:sz="4" w:space="0" w:color="auto"/>
              <w:bottom w:val="single" w:sz="4" w:space="0" w:color="auto"/>
              <w:right w:val="single" w:sz="4" w:space="0" w:color="auto"/>
            </w:tcBorders>
            <w:hideMark/>
          </w:tcPr>
          <w:p w14:paraId="3A3829E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Адитивна модель</w:t>
            </w:r>
          </w:p>
        </w:tc>
      </w:tr>
      <w:tr w:rsidR="002E3CE8" w:rsidRPr="00520861" w14:paraId="03C9CB4E" w14:textId="77777777" w:rsidTr="00292D2E">
        <w:trPr>
          <w:gridAfter w:val="1"/>
          <w:wAfter w:w="5" w:type="pct"/>
        </w:trPr>
        <w:tc>
          <w:tcPr>
            <w:tcW w:w="916" w:type="pct"/>
            <w:vMerge/>
            <w:tcBorders>
              <w:top w:val="single" w:sz="4" w:space="0" w:color="auto"/>
              <w:left w:val="single" w:sz="4" w:space="0" w:color="auto"/>
              <w:bottom w:val="single" w:sz="4" w:space="0" w:color="auto"/>
              <w:right w:val="single" w:sz="4" w:space="0" w:color="auto"/>
            </w:tcBorders>
            <w:vAlign w:val="center"/>
            <w:hideMark/>
          </w:tcPr>
          <w:p w14:paraId="2CA26761" w14:textId="77777777" w:rsidR="002E3CE8" w:rsidRPr="00520861" w:rsidRDefault="002E3CE8" w:rsidP="00292D2E">
            <w:pPr>
              <w:widowControl w:val="0"/>
              <w:spacing w:line="360" w:lineRule="auto"/>
              <w:rPr>
                <w:rFonts w:eastAsia="Calibri"/>
                <w:sz w:val="28"/>
                <w:szCs w:val="28"/>
              </w:rPr>
            </w:pPr>
          </w:p>
        </w:tc>
        <w:tc>
          <w:tcPr>
            <w:tcW w:w="994" w:type="pct"/>
            <w:tcBorders>
              <w:top w:val="single" w:sz="4" w:space="0" w:color="auto"/>
              <w:left w:val="single" w:sz="4" w:space="0" w:color="auto"/>
              <w:bottom w:val="single" w:sz="4" w:space="0" w:color="auto"/>
              <w:right w:val="single" w:sz="4" w:space="0" w:color="auto"/>
            </w:tcBorders>
            <w:hideMark/>
          </w:tcPr>
          <w:p w14:paraId="6D64D15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w:t>
            </w:r>
          </w:p>
          <w:p w14:paraId="4FC1213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AG</w:t>
            </w:r>
          </w:p>
          <w:p w14:paraId="3F2551E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w:t>
            </w:r>
          </w:p>
        </w:tc>
        <w:tc>
          <w:tcPr>
            <w:tcW w:w="844" w:type="pct"/>
            <w:tcBorders>
              <w:top w:val="single" w:sz="4" w:space="0" w:color="auto"/>
              <w:left w:val="single" w:sz="4" w:space="0" w:color="auto"/>
              <w:bottom w:val="single" w:sz="4" w:space="0" w:color="auto"/>
              <w:right w:val="single" w:sz="4" w:space="0" w:color="auto"/>
            </w:tcBorders>
            <w:hideMark/>
          </w:tcPr>
          <w:p w14:paraId="15C46AA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3,611</w:t>
            </w:r>
          </w:p>
        </w:tc>
        <w:tc>
          <w:tcPr>
            <w:tcW w:w="673" w:type="pct"/>
            <w:tcBorders>
              <w:top w:val="single" w:sz="4" w:space="0" w:color="auto"/>
              <w:left w:val="single" w:sz="4" w:space="0" w:color="auto"/>
              <w:bottom w:val="single" w:sz="4" w:space="0" w:color="auto"/>
              <w:right w:val="single" w:sz="4" w:space="0" w:color="auto"/>
            </w:tcBorders>
            <w:hideMark/>
          </w:tcPr>
          <w:p w14:paraId="2B3C710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0,210</w:t>
            </w:r>
          </w:p>
          <w:p w14:paraId="48C98DC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4,875</w:t>
            </w:r>
          </w:p>
          <w:p w14:paraId="77521DB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0,633</w:t>
            </w:r>
          </w:p>
        </w:tc>
        <w:tc>
          <w:tcPr>
            <w:tcW w:w="1108" w:type="pct"/>
            <w:tcBorders>
              <w:top w:val="single" w:sz="4" w:space="0" w:color="auto"/>
              <w:left w:val="single" w:sz="4" w:space="0" w:color="auto"/>
              <w:bottom w:val="single" w:sz="4" w:space="0" w:color="auto"/>
              <w:right w:val="single" w:sz="4" w:space="0" w:color="auto"/>
            </w:tcBorders>
            <w:hideMark/>
          </w:tcPr>
          <w:p w14:paraId="244B7F7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0,046–0,959</w:t>
            </w:r>
          </w:p>
          <w:p w14:paraId="7F663E9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1,162–20,452</w:t>
            </w:r>
          </w:p>
          <w:p w14:paraId="107B12F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0,052–7,670</w:t>
            </w:r>
          </w:p>
        </w:tc>
        <w:tc>
          <w:tcPr>
            <w:tcW w:w="460" w:type="pct"/>
            <w:tcBorders>
              <w:top w:val="single" w:sz="4" w:space="0" w:color="auto"/>
              <w:left w:val="single" w:sz="4" w:space="0" w:color="auto"/>
              <w:bottom w:val="single" w:sz="4" w:space="0" w:color="auto"/>
              <w:right w:val="single" w:sz="4" w:space="0" w:color="auto"/>
            </w:tcBorders>
            <w:hideMark/>
          </w:tcPr>
          <w:p w14:paraId="5C92B8D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0,164</w:t>
            </w:r>
          </w:p>
        </w:tc>
      </w:tr>
      <w:tr w:rsidR="002E3CE8" w:rsidRPr="00520861" w14:paraId="0D6DBA66" w14:textId="77777777" w:rsidTr="00292D2E">
        <w:tc>
          <w:tcPr>
            <w:tcW w:w="916" w:type="pct"/>
            <w:vMerge/>
            <w:tcBorders>
              <w:top w:val="single" w:sz="4" w:space="0" w:color="auto"/>
              <w:left w:val="single" w:sz="4" w:space="0" w:color="auto"/>
              <w:bottom w:val="single" w:sz="4" w:space="0" w:color="auto"/>
              <w:right w:val="single" w:sz="4" w:space="0" w:color="auto"/>
            </w:tcBorders>
            <w:vAlign w:val="center"/>
            <w:hideMark/>
          </w:tcPr>
          <w:p w14:paraId="6F890F7A" w14:textId="77777777" w:rsidR="002E3CE8" w:rsidRPr="00520861" w:rsidRDefault="002E3CE8" w:rsidP="00292D2E">
            <w:pPr>
              <w:widowControl w:val="0"/>
              <w:spacing w:line="360" w:lineRule="auto"/>
              <w:rPr>
                <w:rFonts w:eastAsia="Calibri"/>
                <w:sz w:val="28"/>
                <w:szCs w:val="28"/>
              </w:rPr>
            </w:pPr>
          </w:p>
        </w:tc>
        <w:tc>
          <w:tcPr>
            <w:tcW w:w="4084" w:type="pct"/>
            <w:gridSpan w:val="6"/>
            <w:tcBorders>
              <w:top w:val="single" w:sz="4" w:space="0" w:color="auto"/>
              <w:left w:val="single" w:sz="4" w:space="0" w:color="auto"/>
              <w:bottom w:val="single" w:sz="4" w:space="0" w:color="auto"/>
              <w:right w:val="single" w:sz="4" w:space="0" w:color="auto"/>
            </w:tcBorders>
            <w:hideMark/>
          </w:tcPr>
          <w:p w14:paraId="7823B89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Рецесивна модель</w:t>
            </w:r>
          </w:p>
        </w:tc>
      </w:tr>
      <w:tr w:rsidR="002E3CE8" w:rsidRPr="00520861" w14:paraId="0B7F3941" w14:textId="77777777" w:rsidTr="00292D2E">
        <w:trPr>
          <w:gridAfter w:val="1"/>
          <w:wAfter w:w="5" w:type="pct"/>
        </w:trPr>
        <w:tc>
          <w:tcPr>
            <w:tcW w:w="916" w:type="pct"/>
            <w:vMerge/>
            <w:tcBorders>
              <w:top w:val="single" w:sz="4" w:space="0" w:color="auto"/>
              <w:left w:val="single" w:sz="4" w:space="0" w:color="auto"/>
              <w:bottom w:val="single" w:sz="4" w:space="0" w:color="auto"/>
              <w:right w:val="single" w:sz="4" w:space="0" w:color="auto"/>
            </w:tcBorders>
            <w:vAlign w:val="center"/>
            <w:hideMark/>
          </w:tcPr>
          <w:p w14:paraId="4594956C" w14:textId="77777777" w:rsidR="002E3CE8" w:rsidRPr="00520861" w:rsidRDefault="002E3CE8" w:rsidP="00292D2E">
            <w:pPr>
              <w:widowControl w:val="0"/>
              <w:spacing w:line="360" w:lineRule="auto"/>
              <w:rPr>
                <w:rFonts w:eastAsia="Calibri"/>
                <w:sz w:val="28"/>
                <w:szCs w:val="28"/>
              </w:rPr>
            </w:pPr>
          </w:p>
        </w:tc>
        <w:tc>
          <w:tcPr>
            <w:tcW w:w="994" w:type="pct"/>
            <w:tcBorders>
              <w:top w:val="single" w:sz="4" w:space="0" w:color="auto"/>
              <w:left w:val="single" w:sz="4" w:space="0" w:color="auto"/>
              <w:bottom w:val="single" w:sz="4" w:space="0" w:color="auto"/>
              <w:right w:val="single" w:sz="4" w:space="0" w:color="auto"/>
            </w:tcBorders>
            <w:hideMark/>
          </w:tcPr>
          <w:p w14:paraId="70353D2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AA+AG</w:t>
            </w:r>
          </w:p>
          <w:p w14:paraId="4578EB9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w:t>
            </w:r>
          </w:p>
        </w:tc>
        <w:tc>
          <w:tcPr>
            <w:tcW w:w="844" w:type="pct"/>
            <w:tcBorders>
              <w:top w:val="single" w:sz="4" w:space="0" w:color="auto"/>
              <w:left w:val="single" w:sz="4" w:space="0" w:color="auto"/>
              <w:bottom w:val="single" w:sz="4" w:space="0" w:color="auto"/>
              <w:right w:val="single" w:sz="4" w:space="0" w:color="auto"/>
            </w:tcBorders>
            <w:hideMark/>
          </w:tcPr>
          <w:p w14:paraId="4AF316F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0,061</w:t>
            </w:r>
          </w:p>
        </w:tc>
        <w:tc>
          <w:tcPr>
            <w:tcW w:w="673" w:type="pct"/>
            <w:tcBorders>
              <w:top w:val="single" w:sz="4" w:space="0" w:color="auto"/>
              <w:left w:val="single" w:sz="4" w:space="0" w:color="auto"/>
              <w:bottom w:val="single" w:sz="4" w:space="0" w:color="auto"/>
              <w:right w:val="single" w:sz="4" w:space="0" w:color="auto"/>
            </w:tcBorders>
            <w:hideMark/>
          </w:tcPr>
          <w:p w14:paraId="6AC5A98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1,579</w:t>
            </w:r>
          </w:p>
          <w:p w14:paraId="3C063E3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0,633</w:t>
            </w:r>
          </w:p>
        </w:tc>
        <w:tc>
          <w:tcPr>
            <w:tcW w:w="1108" w:type="pct"/>
            <w:tcBorders>
              <w:top w:val="single" w:sz="4" w:space="0" w:color="auto"/>
              <w:left w:val="single" w:sz="4" w:space="0" w:color="auto"/>
              <w:bottom w:val="single" w:sz="4" w:space="0" w:color="auto"/>
              <w:right w:val="single" w:sz="4" w:space="0" w:color="auto"/>
            </w:tcBorders>
            <w:hideMark/>
          </w:tcPr>
          <w:p w14:paraId="568CD20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0,130–19,123</w:t>
            </w:r>
          </w:p>
          <w:p w14:paraId="7361B2B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0,052–7,670</w:t>
            </w:r>
          </w:p>
        </w:tc>
        <w:tc>
          <w:tcPr>
            <w:tcW w:w="460" w:type="pct"/>
            <w:tcBorders>
              <w:top w:val="single" w:sz="4" w:space="0" w:color="auto"/>
              <w:left w:val="single" w:sz="4" w:space="0" w:color="auto"/>
              <w:bottom w:val="single" w:sz="4" w:space="0" w:color="auto"/>
              <w:right w:val="single" w:sz="4" w:space="0" w:color="auto"/>
            </w:tcBorders>
            <w:hideMark/>
          </w:tcPr>
          <w:p w14:paraId="06126A2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0,805</w:t>
            </w:r>
          </w:p>
        </w:tc>
      </w:tr>
    </w:tbl>
    <w:p w14:paraId="2AC43959" w14:textId="77777777" w:rsidR="002E3CE8" w:rsidRPr="00520861" w:rsidRDefault="002E3CE8" w:rsidP="00292D2E">
      <w:pPr>
        <w:widowControl w:val="0"/>
        <w:spacing w:after="160" w:line="259" w:lineRule="auto"/>
        <w:rPr>
          <w:rFonts w:eastAsiaTheme="minorHAnsi"/>
          <w:sz w:val="28"/>
          <w:szCs w:val="28"/>
          <w:lang w:eastAsia="en-US"/>
        </w:rPr>
      </w:pPr>
    </w:p>
    <w:p w14:paraId="44D8D0CA" w14:textId="77777777" w:rsidR="002E3CE8" w:rsidRPr="00520861" w:rsidRDefault="002E3CE8" w:rsidP="00292D2E">
      <w:pPr>
        <w:widowControl w:val="0"/>
        <w:spacing w:after="160" w:line="259" w:lineRule="auto"/>
        <w:jc w:val="right"/>
        <w:rPr>
          <w:rFonts w:eastAsiaTheme="minorHAnsi"/>
          <w:i/>
          <w:sz w:val="28"/>
          <w:szCs w:val="28"/>
          <w:lang w:eastAsia="en-US"/>
        </w:rPr>
      </w:pPr>
      <w:r w:rsidRPr="00520861">
        <w:rPr>
          <w:rFonts w:eastAsiaTheme="minorHAnsi"/>
          <w:i/>
          <w:sz w:val="28"/>
          <w:szCs w:val="28"/>
          <w:lang w:eastAsia="en-US"/>
        </w:rPr>
        <w:lastRenderedPageBreak/>
        <w:t>Продовження таблиці 5.13</w:t>
      </w:r>
    </w:p>
    <w:tbl>
      <w:tblPr>
        <w:tblStyle w:val="312"/>
        <w:tblW w:w="4614" w:type="pct"/>
        <w:tblInd w:w="562" w:type="dxa"/>
        <w:tblLayout w:type="fixed"/>
        <w:tblLook w:val="04A0" w:firstRow="1" w:lastRow="0" w:firstColumn="1" w:lastColumn="0" w:noHBand="0" w:noVBand="1"/>
      </w:tblPr>
      <w:tblGrid>
        <w:gridCol w:w="1682"/>
        <w:gridCol w:w="1976"/>
        <w:gridCol w:w="1407"/>
        <w:gridCol w:w="1199"/>
        <w:gridCol w:w="41"/>
        <w:gridCol w:w="2013"/>
        <w:gridCol w:w="1037"/>
      </w:tblGrid>
      <w:tr w:rsidR="002E3CE8" w:rsidRPr="00520861" w14:paraId="4FCBD2EE" w14:textId="77777777" w:rsidTr="00544F38">
        <w:tc>
          <w:tcPr>
            <w:tcW w:w="899" w:type="pct"/>
            <w:tcBorders>
              <w:top w:val="single" w:sz="4" w:space="0" w:color="auto"/>
              <w:left w:val="single" w:sz="4" w:space="0" w:color="auto"/>
              <w:right w:val="single" w:sz="4" w:space="0" w:color="auto"/>
            </w:tcBorders>
            <w:vAlign w:val="center"/>
          </w:tcPr>
          <w:p w14:paraId="4CCEBDD5"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w:t>
            </w:r>
          </w:p>
        </w:tc>
        <w:tc>
          <w:tcPr>
            <w:tcW w:w="1056" w:type="pct"/>
            <w:tcBorders>
              <w:top w:val="single" w:sz="4" w:space="0" w:color="auto"/>
              <w:left w:val="single" w:sz="4" w:space="0" w:color="auto"/>
              <w:bottom w:val="single" w:sz="4" w:space="0" w:color="auto"/>
              <w:right w:val="single" w:sz="4" w:space="0" w:color="auto"/>
            </w:tcBorders>
          </w:tcPr>
          <w:p w14:paraId="3255762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2</w:t>
            </w:r>
          </w:p>
        </w:tc>
        <w:tc>
          <w:tcPr>
            <w:tcW w:w="752" w:type="pct"/>
            <w:tcBorders>
              <w:top w:val="single" w:sz="4" w:space="0" w:color="auto"/>
              <w:left w:val="single" w:sz="4" w:space="0" w:color="auto"/>
              <w:bottom w:val="single" w:sz="4" w:space="0" w:color="auto"/>
              <w:right w:val="single" w:sz="4" w:space="0" w:color="auto"/>
            </w:tcBorders>
          </w:tcPr>
          <w:p w14:paraId="13A2DE4F"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3</w:t>
            </w:r>
          </w:p>
        </w:tc>
        <w:tc>
          <w:tcPr>
            <w:tcW w:w="641" w:type="pct"/>
            <w:tcBorders>
              <w:top w:val="single" w:sz="4" w:space="0" w:color="auto"/>
              <w:left w:val="single" w:sz="4" w:space="0" w:color="auto"/>
              <w:bottom w:val="single" w:sz="4" w:space="0" w:color="auto"/>
              <w:right w:val="single" w:sz="4" w:space="0" w:color="auto"/>
            </w:tcBorders>
          </w:tcPr>
          <w:p w14:paraId="6A374740"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4</w:t>
            </w:r>
          </w:p>
        </w:tc>
        <w:tc>
          <w:tcPr>
            <w:tcW w:w="1098" w:type="pct"/>
            <w:gridSpan w:val="2"/>
            <w:tcBorders>
              <w:top w:val="single" w:sz="4" w:space="0" w:color="auto"/>
              <w:left w:val="single" w:sz="4" w:space="0" w:color="auto"/>
              <w:bottom w:val="single" w:sz="4" w:space="0" w:color="auto"/>
              <w:right w:val="single" w:sz="4" w:space="0" w:color="auto"/>
            </w:tcBorders>
          </w:tcPr>
          <w:p w14:paraId="65B5582F"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5</w:t>
            </w:r>
          </w:p>
        </w:tc>
        <w:tc>
          <w:tcPr>
            <w:tcW w:w="554" w:type="pct"/>
            <w:tcBorders>
              <w:top w:val="single" w:sz="4" w:space="0" w:color="auto"/>
              <w:left w:val="single" w:sz="4" w:space="0" w:color="auto"/>
              <w:bottom w:val="single" w:sz="4" w:space="0" w:color="auto"/>
              <w:right w:val="single" w:sz="4" w:space="0" w:color="auto"/>
            </w:tcBorders>
          </w:tcPr>
          <w:p w14:paraId="7904FF87"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6</w:t>
            </w:r>
          </w:p>
        </w:tc>
      </w:tr>
      <w:tr w:rsidR="002E3CE8" w:rsidRPr="00520861" w14:paraId="5AB37C36" w14:textId="77777777" w:rsidTr="00544F38">
        <w:tc>
          <w:tcPr>
            <w:tcW w:w="899" w:type="pct"/>
            <w:vMerge w:val="restart"/>
            <w:tcBorders>
              <w:top w:val="single" w:sz="4" w:space="0" w:color="auto"/>
              <w:left w:val="single" w:sz="4" w:space="0" w:color="auto"/>
              <w:right w:val="single" w:sz="4" w:space="0" w:color="auto"/>
            </w:tcBorders>
            <w:vAlign w:val="center"/>
            <w:hideMark/>
          </w:tcPr>
          <w:p w14:paraId="5967DC16" w14:textId="77777777" w:rsidR="002E3CE8" w:rsidRPr="00520861" w:rsidRDefault="002E3CE8" w:rsidP="00292D2E">
            <w:pPr>
              <w:widowControl w:val="0"/>
              <w:spacing w:before="20" w:line="360" w:lineRule="auto"/>
              <w:rPr>
                <w:rFonts w:eastAsia="Calibri"/>
                <w:sz w:val="28"/>
                <w:szCs w:val="28"/>
              </w:rPr>
            </w:pPr>
          </w:p>
        </w:tc>
        <w:tc>
          <w:tcPr>
            <w:tcW w:w="4101" w:type="pct"/>
            <w:gridSpan w:val="6"/>
            <w:tcBorders>
              <w:top w:val="single" w:sz="4" w:space="0" w:color="auto"/>
              <w:left w:val="single" w:sz="4" w:space="0" w:color="auto"/>
              <w:bottom w:val="single" w:sz="4" w:space="0" w:color="auto"/>
              <w:right w:val="single" w:sz="4" w:space="0" w:color="auto"/>
            </w:tcBorders>
            <w:hideMark/>
          </w:tcPr>
          <w:p w14:paraId="007319DA"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Домінантна модель</w:t>
            </w:r>
          </w:p>
        </w:tc>
      </w:tr>
      <w:tr w:rsidR="002E3CE8" w:rsidRPr="00520861" w14:paraId="0D8CFA28" w14:textId="77777777" w:rsidTr="00544F38">
        <w:tc>
          <w:tcPr>
            <w:tcW w:w="899" w:type="pct"/>
            <w:vMerge/>
            <w:tcBorders>
              <w:left w:val="single" w:sz="4" w:space="0" w:color="auto"/>
              <w:right w:val="single" w:sz="4" w:space="0" w:color="auto"/>
            </w:tcBorders>
            <w:vAlign w:val="center"/>
            <w:hideMark/>
          </w:tcPr>
          <w:p w14:paraId="32B1106A" w14:textId="77777777" w:rsidR="002E3CE8" w:rsidRPr="00520861" w:rsidRDefault="002E3CE8" w:rsidP="00292D2E">
            <w:pPr>
              <w:widowControl w:val="0"/>
              <w:spacing w:before="20" w:line="360" w:lineRule="auto"/>
              <w:rPr>
                <w:rFonts w:eastAsia="Calibri"/>
                <w:sz w:val="28"/>
                <w:szCs w:val="28"/>
              </w:rPr>
            </w:pPr>
          </w:p>
        </w:tc>
        <w:tc>
          <w:tcPr>
            <w:tcW w:w="1056" w:type="pct"/>
            <w:tcBorders>
              <w:top w:val="single" w:sz="4" w:space="0" w:color="auto"/>
              <w:left w:val="single" w:sz="4" w:space="0" w:color="auto"/>
              <w:bottom w:val="single" w:sz="4" w:space="0" w:color="auto"/>
              <w:right w:val="single" w:sz="4" w:space="0" w:color="auto"/>
            </w:tcBorders>
            <w:hideMark/>
          </w:tcPr>
          <w:p w14:paraId="4DCF8DEB"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AA</w:t>
            </w:r>
          </w:p>
          <w:p w14:paraId="2E84614A"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AG+GG</w:t>
            </w:r>
          </w:p>
        </w:tc>
        <w:tc>
          <w:tcPr>
            <w:tcW w:w="752" w:type="pct"/>
            <w:tcBorders>
              <w:top w:val="single" w:sz="4" w:space="0" w:color="auto"/>
              <w:left w:val="single" w:sz="4" w:space="0" w:color="auto"/>
              <w:bottom w:val="single" w:sz="4" w:space="0" w:color="auto"/>
              <w:right w:val="single" w:sz="4" w:space="0" w:color="auto"/>
            </w:tcBorders>
            <w:hideMark/>
          </w:tcPr>
          <w:p w14:paraId="27952375"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3,054</w:t>
            </w:r>
          </w:p>
        </w:tc>
        <w:tc>
          <w:tcPr>
            <w:tcW w:w="663" w:type="pct"/>
            <w:gridSpan w:val="2"/>
            <w:tcBorders>
              <w:top w:val="single" w:sz="4" w:space="0" w:color="auto"/>
              <w:left w:val="single" w:sz="4" w:space="0" w:color="auto"/>
              <w:bottom w:val="single" w:sz="4" w:space="0" w:color="auto"/>
              <w:right w:val="single" w:sz="4" w:space="0" w:color="auto"/>
            </w:tcBorders>
            <w:hideMark/>
          </w:tcPr>
          <w:p w14:paraId="1F7E159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0,210</w:t>
            </w:r>
          </w:p>
          <w:p w14:paraId="430F5D1B"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4,767</w:t>
            </w:r>
          </w:p>
        </w:tc>
        <w:tc>
          <w:tcPr>
            <w:tcW w:w="1076" w:type="pct"/>
            <w:tcBorders>
              <w:top w:val="single" w:sz="4" w:space="0" w:color="auto"/>
              <w:left w:val="single" w:sz="4" w:space="0" w:color="auto"/>
              <w:bottom w:val="single" w:sz="4" w:space="0" w:color="auto"/>
              <w:right w:val="single" w:sz="4" w:space="0" w:color="auto"/>
            </w:tcBorders>
            <w:hideMark/>
          </w:tcPr>
          <w:p w14:paraId="3F73BC6F"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0,046–0,959</w:t>
            </w:r>
          </w:p>
          <w:p w14:paraId="5610D02E"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1,043–21,787</w:t>
            </w:r>
          </w:p>
        </w:tc>
        <w:tc>
          <w:tcPr>
            <w:tcW w:w="554" w:type="pct"/>
            <w:tcBorders>
              <w:top w:val="single" w:sz="4" w:space="0" w:color="auto"/>
              <w:left w:val="single" w:sz="4" w:space="0" w:color="auto"/>
              <w:bottom w:val="single" w:sz="4" w:space="0" w:color="auto"/>
              <w:right w:val="single" w:sz="4" w:space="0" w:color="auto"/>
            </w:tcBorders>
            <w:hideMark/>
          </w:tcPr>
          <w:p w14:paraId="5E0F5717"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0,081</w:t>
            </w:r>
          </w:p>
        </w:tc>
      </w:tr>
      <w:tr w:rsidR="002E3CE8" w:rsidRPr="00520861" w14:paraId="572E1306" w14:textId="77777777" w:rsidTr="00544F38">
        <w:tc>
          <w:tcPr>
            <w:tcW w:w="899" w:type="pct"/>
            <w:vMerge/>
            <w:tcBorders>
              <w:left w:val="single" w:sz="4" w:space="0" w:color="auto"/>
              <w:right w:val="single" w:sz="4" w:space="0" w:color="auto"/>
            </w:tcBorders>
            <w:vAlign w:val="center"/>
            <w:hideMark/>
          </w:tcPr>
          <w:p w14:paraId="74657A1D" w14:textId="77777777" w:rsidR="002E3CE8" w:rsidRPr="00520861" w:rsidRDefault="002E3CE8" w:rsidP="00292D2E">
            <w:pPr>
              <w:widowControl w:val="0"/>
              <w:spacing w:before="20" w:line="360" w:lineRule="auto"/>
              <w:rPr>
                <w:rFonts w:eastAsia="Calibri"/>
                <w:sz w:val="28"/>
                <w:szCs w:val="28"/>
              </w:rPr>
            </w:pPr>
          </w:p>
        </w:tc>
        <w:tc>
          <w:tcPr>
            <w:tcW w:w="4101" w:type="pct"/>
            <w:gridSpan w:val="6"/>
            <w:tcBorders>
              <w:top w:val="single" w:sz="4" w:space="0" w:color="auto"/>
              <w:left w:val="single" w:sz="4" w:space="0" w:color="auto"/>
              <w:bottom w:val="single" w:sz="4" w:space="0" w:color="auto"/>
              <w:right w:val="single" w:sz="4" w:space="0" w:color="auto"/>
            </w:tcBorders>
            <w:hideMark/>
          </w:tcPr>
          <w:p w14:paraId="740AA377" w14:textId="77777777" w:rsidR="002E3CE8" w:rsidRPr="00520861" w:rsidRDefault="002E3CE8" w:rsidP="00292D2E">
            <w:pPr>
              <w:widowControl w:val="0"/>
              <w:spacing w:before="20" w:line="360" w:lineRule="auto"/>
              <w:jc w:val="center"/>
              <w:rPr>
                <w:rFonts w:eastAsia="Calibri"/>
                <w:sz w:val="28"/>
                <w:szCs w:val="28"/>
              </w:rPr>
            </w:pPr>
            <w:proofErr w:type="spellStart"/>
            <w:r w:rsidRPr="00520861">
              <w:rPr>
                <w:rFonts w:eastAsia="Calibri"/>
                <w:sz w:val="28"/>
                <w:szCs w:val="28"/>
              </w:rPr>
              <w:t>Наддомінантна</w:t>
            </w:r>
            <w:proofErr w:type="spellEnd"/>
            <w:r w:rsidRPr="00520861">
              <w:rPr>
                <w:rFonts w:eastAsia="Calibri"/>
                <w:sz w:val="28"/>
                <w:szCs w:val="28"/>
              </w:rPr>
              <w:t xml:space="preserve"> модель</w:t>
            </w:r>
          </w:p>
        </w:tc>
      </w:tr>
      <w:tr w:rsidR="002E3CE8" w:rsidRPr="00520861" w14:paraId="335C8687" w14:textId="77777777" w:rsidTr="00544F38">
        <w:tc>
          <w:tcPr>
            <w:tcW w:w="899" w:type="pct"/>
            <w:vMerge/>
            <w:tcBorders>
              <w:left w:val="single" w:sz="4" w:space="0" w:color="auto"/>
              <w:right w:val="single" w:sz="4" w:space="0" w:color="auto"/>
            </w:tcBorders>
            <w:vAlign w:val="center"/>
            <w:hideMark/>
          </w:tcPr>
          <w:p w14:paraId="1D9CC4B1" w14:textId="77777777" w:rsidR="002E3CE8" w:rsidRPr="00520861" w:rsidRDefault="002E3CE8" w:rsidP="00292D2E">
            <w:pPr>
              <w:widowControl w:val="0"/>
              <w:spacing w:before="20" w:line="360" w:lineRule="auto"/>
              <w:rPr>
                <w:rFonts w:eastAsia="Calibri"/>
                <w:sz w:val="28"/>
                <w:szCs w:val="28"/>
              </w:rPr>
            </w:pPr>
          </w:p>
        </w:tc>
        <w:tc>
          <w:tcPr>
            <w:tcW w:w="1056" w:type="pct"/>
            <w:tcBorders>
              <w:top w:val="single" w:sz="4" w:space="0" w:color="auto"/>
              <w:left w:val="single" w:sz="4" w:space="0" w:color="auto"/>
              <w:bottom w:val="single" w:sz="4" w:space="0" w:color="auto"/>
              <w:right w:val="single" w:sz="4" w:space="0" w:color="auto"/>
            </w:tcBorders>
            <w:hideMark/>
          </w:tcPr>
          <w:p w14:paraId="22328947"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AA+GG</w:t>
            </w:r>
          </w:p>
          <w:p w14:paraId="07C92D82"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AG</w:t>
            </w:r>
          </w:p>
        </w:tc>
        <w:tc>
          <w:tcPr>
            <w:tcW w:w="752" w:type="pct"/>
            <w:tcBorders>
              <w:top w:val="single" w:sz="4" w:space="0" w:color="auto"/>
              <w:left w:val="single" w:sz="4" w:space="0" w:color="auto"/>
              <w:bottom w:val="single" w:sz="4" w:space="0" w:color="auto"/>
              <w:right w:val="single" w:sz="4" w:space="0" w:color="auto"/>
            </w:tcBorders>
            <w:hideMark/>
          </w:tcPr>
          <w:p w14:paraId="4BE376FE"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3,605</w:t>
            </w:r>
          </w:p>
        </w:tc>
        <w:tc>
          <w:tcPr>
            <w:tcW w:w="663" w:type="pct"/>
            <w:gridSpan w:val="2"/>
            <w:tcBorders>
              <w:top w:val="single" w:sz="4" w:space="0" w:color="auto"/>
              <w:left w:val="single" w:sz="4" w:space="0" w:color="auto"/>
              <w:bottom w:val="single" w:sz="4" w:space="0" w:color="auto"/>
              <w:right w:val="single" w:sz="4" w:space="0" w:color="auto"/>
            </w:tcBorders>
            <w:hideMark/>
          </w:tcPr>
          <w:p w14:paraId="7058D2E6"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0,205</w:t>
            </w:r>
          </w:p>
          <w:p w14:paraId="1A9FBF96"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4,875</w:t>
            </w:r>
          </w:p>
        </w:tc>
        <w:tc>
          <w:tcPr>
            <w:tcW w:w="1076" w:type="pct"/>
            <w:tcBorders>
              <w:top w:val="single" w:sz="4" w:space="0" w:color="auto"/>
              <w:left w:val="single" w:sz="4" w:space="0" w:color="auto"/>
              <w:bottom w:val="single" w:sz="4" w:space="0" w:color="auto"/>
              <w:right w:val="single" w:sz="4" w:space="0" w:color="auto"/>
            </w:tcBorders>
            <w:hideMark/>
          </w:tcPr>
          <w:p w14:paraId="7D85A50C"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0,049–0,861</w:t>
            </w:r>
          </w:p>
          <w:p w14:paraId="0B19A91C"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1,162–20,452</w:t>
            </w:r>
          </w:p>
        </w:tc>
        <w:tc>
          <w:tcPr>
            <w:tcW w:w="554" w:type="pct"/>
            <w:tcBorders>
              <w:top w:val="single" w:sz="4" w:space="0" w:color="auto"/>
              <w:left w:val="single" w:sz="4" w:space="0" w:color="auto"/>
              <w:bottom w:val="single" w:sz="4" w:space="0" w:color="auto"/>
              <w:right w:val="single" w:sz="4" w:space="0" w:color="auto"/>
            </w:tcBorders>
            <w:hideMark/>
          </w:tcPr>
          <w:p w14:paraId="72795270"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0,058</w:t>
            </w:r>
          </w:p>
        </w:tc>
      </w:tr>
      <w:tr w:rsidR="002E3CE8" w:rsidRPr="00520861" w14:paraId="28075C88" w14:textId="77777777" w:rsidTr="00544F38">
        <w:tc>
          <w:tcPr>
            <w:tcW w:w="899" w:type="pct"/>
            <w:vMerge/>
            <w:tcBorders>
              <w:left w:val="single" w:sz="4" w:space="0" w:color="auto"/>
              <w:right w:val="single" w:sz="4" w:space="0" w:color="auto"/>
            </w:tcBorders>
            <w:vAlign w:val="center"/>
            <w:hideMark/>
          </w:tcPr>
          <w:p w14:paraId="7FA1BBFC" w14:textId="77777777" w:rsidR="002E3CE8" w:rsidRPr="00520861" w:rsidRDefault="002E3CE8" w:rsidP="00292D2E">
            <w:pPr>
              <w:widowControl w:val="0"/>
              <w:spacing w:before="20" w:line="360" w:lineRule="auto"/>
              <w:rPr>
                <w:rFonts w:eastAsia="Calibri"/>
                <w:sz w:val="28"/>
                <w:szCs w:val="28"/>
              </w:rPr>
            </w:pPr>
          </w:p>
        </w:tc>
        <w:tc>
          <w:tcPr>
            <w:tcW w:w="4101" w:type="pct"/>
            <w:gridSpan w:val="6"/>
            <w:tcBorders>
              <w:top w:val="single" w:sz="4" w:space="0" w:color="auto"/>
              <w:left w:val="single" w:sz="4" w:space="0" w:color="auto"/>
              <w:bottom w:val="single" w:sz="4" w:space="0" w:color="auto"/>
              <w:right w:val="single" w:sz="4" w:space="0" w:color="auto"/>
            </w:tcBorders>
            <w:hideMark/>
          </w:tcPr>
          <w:p w14:paraId="7AB5B5AB"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Мультиплікативна модель</w:t>
            </w:r>
          </w:p>
        </w:tc>
      </w:tr>
      <w:tr w:rsidR="002E3CE8" w:rsidRPr="00520861" w14:paraId="44F22B71" w14:textId="77777777" w:rsidTr="00544F38">
        <w:tc>
          <w:tcPr>
            <w:tcW w:w="899" w:type="pct"/>
            <w:vMerge/>
            <w:tcBorders>
              <w:left w:val="single" w:sz="4" w:space="0" w:color="auto"/>
              <w:bottom w:val="single" w:sz="4" w:space="0" w:color="auto"/>
              <w:right w:val="single" w:sz="4" w:space="0" w:color="auto"/>
            </w:tcBorders>
            <w:vAlign w:val="center"/>
            <w:hideMark/>
          </w:tcPr>
          <w:p w14:paraId="3D75872D" w14:textId="77777777" w:rsidR="002E3CE8" w:rsidRPr="00520861" w:rsidRDefault="002E3CE8" w:rsidP="00292D2E">
            <w:pPr>
              <w:widowControl w:val="0"/>
              <w:spacing w:before="20" w:line="360" w:lineRule="auto"/>
              <w:rPr>
                <w:rFonts w:eastAsia="Calibri"/>
                <w:sz w:val="28"/>
                <w:szCs w:val="28"/>
              </w:rPr>
            </w:pPr>
          </w:p>
        </w:tc>
        <w:tc>
          <w:tcPr>
            <w:tcW w:w="1056" w:type="pct"/>
            <w:tcBorders>
              <w:top w:val="single" w:sz="4" w:space="0" w:color="auto"/>
              <w:left w:val="single" w:sz="4" w:space="0" w:color="auto"/>
              <w:bottom w:val="single" w:sz="4" w:space="0" w:color="auto"/>
              <w:right w:val="single" w:sz="4" w:space="0" w:color="auto"/>
            </w:tcBorders>
            <w:hideMark/>
          </w:tcPr>
          <w:p w14:paraId="60CFA4E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A</w:t>
            </w:r>
          </w:p>
          <w:p w14:paraId="18F65723"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G</w:t>
            </w:r>
          </w:p>
        </w:tc>
        <w:tc>
          <w:tcPr>
            <w:tcW w:w="752" w:type="pct"/>
            <w:tcBorders>
              <w:top w:val="single" w:sz="4" w:space="0" w:color="auto"/>
              <w:left w:val="single" w:sz="4" w:space="0" w:color="auto"/>
              <w:bottom w:val="single" w:sz="4" w:space="0" w:color="auto"/>
              <w:right w:val="single" w:sz="4" w:space="0" w:color="auto"/>
            </w:tcBorders>
            <w:hideMark/>
          </w:tcPr>
          <w:p w14:paraId="3D79A10C"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1,836</w:t>
            </w:r>
          </w:p>
        </w:tc>
        <w:tc>
          <w:tcPr>
            <w:tcW w:w="663" w:type="pct"/>
            <w:gridSpan w:val="2"/>
            <w:tcBorders>
              <w:top w:val="single" w:sz="4" w:space="0" w:color="auto"/>
              <w:left w:val="single" w:sz="4" w:space="0" w:color="auto"/>
              <w:bottom w:val="single" w:sz="4" w:space="0" w:color="auto"/>
              <w:right w:val="single" w:sz="4" w:space="0" w:color="auto"/>
            </w:tcBorders>
            <w:hideMark/>
          </w:tcPr>
          <w:p w14:paraId="7E242033"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0,514</w:t>
            </w:r>
          </w:p>
          <w:p w14:paraId="4AF4325F"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1,944</w:t>
            </w:r>
          </w:p>
        </w:tc>
        <w:tc>
          <w:tcPr>
            <w:tcW w:w="1076" w:type="pct"/>
            <w:tcBorders>
              <w:top w:val="single" w:sz="4" w:space="0" w:color="auto"/>
              <w:left w:val="single" w:sz="4" w:space="0" w:color="auto"/>
              <w:bottom w:val="single" w:sz="4" w:space="0" w:color="auto"/>
              <w:right w:val="single" w:sz="4" w:space="0" w:color="auto"/>
            </w:tcBorders>
            <w:hideMark/>
          </w:tcPr>
          <w:p w14:paraId="153D4B71"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0,195–1,353</w:t>
            </w:r>
          </w:p>
          <w:p w14:paraId="6B83FB3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0,739–5,116</w:t>
            </w:r>
          </w:p>
        </w:tc>
        <w:tc>
          <w:tcPr>
            <w:tcW w:w="554" w:type="pct"/>
            <w:tcBorders>
              <w:top w:val="single" w:sz="4" w:space="0" w:color="auto"/>
              <w:left w:val="single" w:sz="4" w:space="0" w:color="auto"/>
              <w:bottom w:val="single" w:sz="4" w:space="0" w:color="auto"/>
              <w:right w:val="single" w:sz="4" w:space="0" w:color="auto"/>
            </w:tcBorders>
            <w:hideMark/>
          </w:tcPr>
          <w:p w14:paraId="4149BD5B"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0,175</w:t>
            </w:r>
          </w:p>
        </w:tc>
      </w:tr>
      <w:tr w:rsidR="002E3CE8" w:rsidRPr="00520861" w14:paraId="5524D819" w14:textId="77777777" w:rsidTr="00544F38">
        <w:tc>
          <w:tcPr>
            <w:tcW w:w="899" w:type="pct"/>
            <w:vMerge w:val="restart"/>
            <w:tcBorders>
              <w:top w:val="single" w:sz="4" w:space="0" w:color="auto"/>
              <w:left w:val="single" w:sz="4" w:space="0" w:color="auto"/>
              <w:right w:val="single" w:sz="4" w:space="0" w:color="auto"/>
            </w:tcBorders>
            <w:hideMark/>
          </w:tcPr>
          <w:p w14:paraId="197970A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i/>
                <w:sz w:val="28"/>
                <w:szCs w:val="28"/>
              </w:rPr>
              <w:t>RANKL: C&gt;T</w:t>
            </w:r>
            <w:r w:rsidRPr="00520861">
              <w:rPr>
                <w:rFonts w:eastAsia="Calibri"/>
                <w:sz w:val="28"/>
                <w:szCs w:val="28"/>
              </w:rPr>
              <w:t xml:space="preserve"> [rs9594759]</w:t>
            </w:r>
          </w:p>
        </w:tc>
        <w:tc>
          <w:tcPr>
            <w:tcW w:w="4101" w:type="pct"/>
            <w:gridSpan w:val="6"/>
            <w:tcBorders>
              <w:top w:val="single" w:sz="4" w:space="0" w:color="auto"/>
              <w:left w:val="single" w:sz="4" w:space="0" w:color="auto"/>
              <w:bottom w:val="single" w:sz="4" w:space="0" w:color="auto"/>
              <w:right w:val="single" w:sz="4" w:space="0" w:color="auto"/>
            </w:tcBorders>
            <w:hideMark/>
          </w:tcPr>
          <w:p w14:paraId="62E3B85E"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Адитивна модель</w:t>
            </w:r>
          </w:p>
        </w:tc>
      </w:tr>
      <w:tr w:rsidR="002E3CE8" w:rsidRPr="00520861" w14:paraId="45B23D41" w14:textId="77777777" w:rsidTr="00544F38">
        <w:tc>
          <w:tcPr>
            <w:tcW w:w="899" w:type="pct"/>
            <w:vMerge/>
            <w:tcBorders>
              <w:left w:val="single" w:sz="4" w:space="0" w:color="auto"/>
              <w:right w:val="single" w:sz="4" w:space="0" w:color="auto"/>
            </w:tcBorders>
            <w:vAlign w:val="center"/>
            <w:hideMark/>
          </w:tcPr>
          <w:p w14:paraId="01830AC8" w14:textId="77777777" w:rsidR="002E3CE8" w:rsidRPr="00520861" w:rsidRDefault="002E3CE8" w:rsidP="00292D2E">
            <w:pPr>
              <w:widowControl w:val="0"/>
              <w:spacing w:before="20" w:line="360" w:lineRule="auto"/>
              <w:rPr>
                <w:rFonts w:eastAsia="Calibri"/>
                <w:sz w:val="28"/>
                <w:szCs w:val="28"/>
              </w:rPr>
            </w:pPr>
          </w:p>
        </w:tc>
        <w:tc>
          <w:tcPr>
            <w:tcW w:w="1056" w:type="pct"/>
            <w:tcBorders>
              <w:top w:val="single" w:sz="4" w:space="0" w:color="auto"/>
              <w:left w:val="single" w:sz="4" w:space="0" w:color="auto"/>
              <w:bottom w:val="single" w:sz="4" w:space="0" w:color="auto"/>
              <w:right w:val="single" w:sz="4" w:space="0" w:color="auto"/>
            </w:tcBorders>
            <w:hideMark/>
          </w:tcPr>
          <w:p w14:paraId="1B414A03"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CC</w:t>
            </w:r>
          </w:p>
          <w:p w14:paraId="32C12723"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CT</w:t>
            </w:r>
          </w:p>
          <w:p w14:paraId="37074B16"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TT</w:t>
            </w:r>
          </w:p>
        </w:tc>
        <w:tc>
          <w:tcPr>
            <w:tcW w:w="752" w:type="pct"/>
            <w:tcBorders>
              <w:top w:val="single" w:sz="4" w:space="0" w:color="auto"/>
              <w:left w:val="single" w:sz="4" w:space="0" w:color="auto"/>
              <w:bottom w:val="single" w:sz="4" w:space="0" w:color="auto"/>
              <w:right w:val="single" w:sz="4" w:space="0" w:color="auto"/>
            </w:tcBorders>
            <w:hideMark/>
          </w:tcPr>
          <w:p w14:paraId="2DD85343"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3,595</w:t>
            </w:r>
          </w:p>
        </w:tc>
        <w:tc>
          <w:tcPr>
            <w:tcW w:w="663" w:type="pct"/>
            <w:gridSpan w:val="2"/>
            <w:tcBorders>
              <w:top w:val="single" w:sz="4" w:space="0" w:color="auto"/>
              <w:left w:val="single" w:sz="4" w:space="0" w:color="auto"/>
              <w:bottom w:val="single" w:sz="4" w:space="0" w:color="auto"/>
              <w:right w:val="single" w:sz="4" w:space="0" w:color="auto"/>
            </w:tcBorders>
            <w:hideMark/>
          </w:tcPr>
          <w:p w14:paraId="5EFEFF6A"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0,833</w:t>
            </w:r>
          </w:p>
          <w:p w14:paraId="779969AF"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4,167</w:t>
            </w:r>
          </w:p>
          <w:p w14:paraId="53785928"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0,190</w:t>
            </w:r>
          </w:p>
        </w:tc>
        <w:tc>
          <w:tcPr>
            <w:tcW w:w="1076" w:type="pct"/>
            <w:tcBorders>
              <w:top w:val="single" w:sz="4" w:space="0" w:color="auto"/>
              <w:left w:val="single" w:sz="4" w:space="0" w:color="auto"/>
              <w:bottom w:val="single" w:sz="4" w:space="0" w:color="auto"/>
              <w:right w:val="single" w:sz="4" w:space="0" w:color="auto"/>
            </w:tcBorders>
            <w:hideMark/>
          </w:tcPr>
          <w:p w14:paraId="4B0133AA"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0,191–3,644</w:t>
            </w:r>
          </w:p>
          <w:p w14:paraId="0827DC53"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1,042–16,661</w:t>
            </w:r>
          </w:p>
          <w:p w14:paraId="7C3C0E47"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0,034–1,059</w:t>
            </w:r>
          </w:p>
        </w:tc>
        <w:tc>
          <w:tcPr>
            <w:tcW w:w="554" w:type="pct"/>
            <w:tcBorders>
              <w:top w:val="single" w:sz="4" w:space="0" w:color="auto"/>
              <w:left w:val="single" w:sz="4" w:space="0" w:color="auto"/>
              <w:bottom w:val="single" w:sz="4" w:space="0" w:color="auto"/>
              <w:right w:val="single" w:sz="4" w:space="0" w:color="auto"/>
            </w:tcBorders>
            <w:hideMark/>
          </w:tcPr>
          <w:p w14:paraId="26FCA77D"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0,166</w:t>
            </w:r>
          </w:p>
        </w:tc>
      </w:tr>
      <w:tr w:rsidR="002E3CE8" w:rsidRPr="00520861" w14:paraId="65ADF4BD" w14:textId="77777777" w:rsidTr="00544F38">
        <w:tc>
          <w:tcPr>
            <w:tcW w:w="899" w:type="pct"/>
            <w:vMerge/>
            <w:tcBorders>
              <w:left w:val="single" w:sz="4" w:space="0" w:color="auto"/>
              <w:right w:val="single" w:sz="4" w:space="0" w:color="auto"/>
            </w:tcBorders>
            <w:vAlign w:val="center"/>
            <w:hideMark/>
          </w:tcPr>
          <w:p w14:paraId="61E4AE18" w14:textId="77777777" w:rsidR="002E3CE8" w:rsidRPr="00520861" w:rsidRDefault="002E3CE8" w:rsidP="00292D2E">
            <w:pPr>
              <w:widowControl w:val="0"/>
              <w:spacing w:before="20" w:line="360" w:lineRule="auto"/>
              <w:rPr>
                <w:rFonts w:eastAsia="Calibri"/>
                <w:sz w:val="28"/>
                <w:szCs w:val="28"/>
              </w:rPr>
            </w:pPr>
          </w:p>
        </w:tc>
        <w:tc>
          <w:tcPr>
            <w:tcW w:w="4101" w:type="pct"/>
            <w:gridSpan w:val="6"/>
            <w:tcBorders>
              <w:top w:val="single" w:sz="4" w:space="0" w:color="auto"/>
              <w:left w:val="single" w:sz="4" w:space="0" w:color="auto"/>
              <w:bottom w:val="single" w:sz="4" w:space="0" w:color="auto"/>
              <w:right w:val="single" w:sz="4" w:space="0" w:color="auto"/>
            </w:tcBorders>
            <w:hideMark/>
          </w:tcPr>
          <w:p w14:paraId="1CF7B380"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Рецесивна модель</w:t>
            </w:r>
          </w:p>
        </w:tc>
      </w:tr>
      <w:tr w:rsidR="002E3CE8" w:rsidRPr="00520861" w14:paraId="40A91D7D" w14:textId="77777777" w:rsidTr="00544F38">
        <w:tc>
          <w:tcPr>
            <w:tcW w:w="899" w:type="pct"/>
            <w:vMerge/>
            <w:tcBorders>
              <w:left w:val="single" w:sz="4" w:space="0" w:color="auto"/>
              <w:right w:val="single" w:sz="4" w:space="0" w:color="auto"/>
            </w:tcBorders>
            <w:vAlign w:val="center"/>
            <w:hideMark/>
          </w:tcPr>
          <w:p w14:paraId="5D92DC30" w14:textId="77777777" w:rsidR="002E3CE8" w:rsidRPr="00520861" w:rsidRDefault="002E3CE8" w:rsidP="00292D2E">
            <w:pPr>
              <w:widowControl w:val="0"/>
              <w:spacing w:before="20" w:line="360" w:lineRule="auto"/>
              <w:rPr>
                <w:rFonts w:eastAsia="Calibri"/>
                <w:sz w:val="28"/>
                <w:szCs w:val="28"/>
              </w:rPr>
            </w:pPr>
          </w:p>
        </w:tc>
        <w:tc>
          <w:tcPr>
            <w:tcW w:w="1056" w:type="pct"/>
            <w:tcBorders>
              <w:top w:val="single" w:sz="4" w:space="0" w:color="auto"/>
              <w:left w:val="single" w:sz="4" w:space="0" w:color="auto"/>
              <w:bottom w:val="single" w:sz="4" w:space="0" w:color="auto"/>
              <w:right w:val="single" w:sz="4" w:space="0" w:color="auto"/>
            </w:tcBorders>
            <w:hideMark/>
          </w:tcPr>
          <w:p w14:paraId="6615FBFF"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CC+CT</w:t>
            </w:r>
          </w:p>
          <w:p w14:paraId="74714850"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TT</w:t>
            </w:r>
          </w:p>
        </w:tc>
        <w:tc>
          <w:tcPr>
            <w:tcW w:w="752" w:type="pct"/>
            <w:tcBorders>
              <w:top w:val="single" w:sz="4" w:space="0" w:color="auto"/>
              <w:left w:val="single" w:sz="4" w:space="0" w:color="auto"/>
              <w:bottom w:val="single" w:sz="4" w:space="0" w:color="auto"/>
              <w:right w:val="single" w:sz="4" w:space="0" w:color="auto"/>
            </w:tcBorders>
            <w:hideMark/>
          </w:tcPr>
          <w:p w14:paraId="38F02DBC"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2,685</w:t>
            </w:r>
          </w:p>
        </w:tc>
        <w:tc>
          <w:tcPr>
            <w:tcW w:w="663" w:type="pct"/>
            <w:gridSpan w:val="2"/>
            <w:tcBorders>
              <w:top w:val="single" w:sz="4" w:space="0" w:color="auto"/>
              <w:left w:val="single" w:sz="4" w:space="0" w:color="auto"/>
              <w:bottom w:val="single" w:sz="4" w:space="0" w:color="auto"/>
              <w:right w:val="single" w:sz="4" w:space="0" w:color="auto"/>
            </w:tcBorders>
            <w:hideMark/>
          </w:tcPr>
          <w:p w14:paraId="711744C2"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5,250</w:t>
            </w:r>
          </w:p>
          <w:p w14:paraId="24B5C0E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0,190</w:t>
            </w:r>
          </w:p>
        </w:tc>
        <w:tc>
          <w:tcPr>
            <w:tcW w:w="1076" w:type="pct"/>
            <w:tcBorders>
              <w:top w:val="single" w:sz="4" w:space="0" w:color="auto"/>
              <w:left w:val="single" w:sz="4" w:space="0" w:color="auto"/>
              <w:bottom w:val="single" w:sz="4" w:space="0" w:color="auto"/>
              <w:right w:val="single" w:sz="4" w:space="0" w:color="auto"/>
            </w:tcBorders>
            <w:hideMark/>
          </w:tcPr>
          <w:p w14:paraId="6BB67CFD"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0,945–29,181</w:t>
            </w:r>
          </w:p>
          <w:p w14:paraId="52E5E7A7"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0,034-1,059</w:t>
            </w:r>
          </w:p>
        </w:tc>
        <w:tc>
          <w:tcPr>
            <w:tcW w:w="554" w:type="pct"/>
            <w:tcBorders>
              <w:top w:val="single" w:sz="4" w:space="0" w:color="auto"/>
              <w:left w:val="single" w:sz="4" w:space="0" w:color="auto"/>
              <w:bottom w:val="single" w:sz="4" w:space="0" w:color="auto"/>
              <w:right w:val="single" w:sz="4" w:space="0" w:color="auto"/>
            </w:tcBorders>
            <w:hideMark/>
          </w:tcPr>
          <w:p w14:paraId="58F4C151"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0,101</w:t>
            </w:r>
          </w:p>
        </w:tc>
      </w:tr>
      <w:tr w:rsidR="002E3CE8" w:rsidRPr="00520861" w14:paraId="19DD57A6" w14:textId="77777777" w:rsidTr="00544F38">
        <w:tc>
          <w:tcPr>
            <w:tcW w:w="899" w:type="pct"/>
            <w:vMerge/>
            <w:tcBorders>
              <w:left w:val="single" w:sz="4" w:space="0" w:color="auto"/>
              <w:right w:val="single" w:sz="4" w:space="0" w:color="auto"/>
            </w:tcBorders>
            <w:vAlign w:val="center"/>
            <w:hideMark/>
          </w:tcPr>
          <w:p w14:paraId="32DD0ED1" w14:textId="77777777" w:rsidR="002E3CE8" w:rsidRPr="00520861" w:rsidRDefault="002E3CE8" w:rsidP="00292D2E">
            <w:pPr>
              <w:widowControl w:val="0"/>
              <w:spacing w:before="20" w:line="360" w:lineRule="auto"/>
              <w:rPr>
                <w:rFonts w:eastAsia="Calibri"/>
                <w:sz w:val="28"/>
                <w:szCs w:val="28"/>
              </w:rPr>
            </w:pPr>
          </w:p>
        </w:tc>
        <w:tc>
          <w:tcPr>
            <w:tcW w:w="4101" w:type="pct"/>
            <w:gridSpan w:val="6"/>
            <w:tcBorders>
              <w:top w:val="single" w:sz="4" w:space="0" w:color="auto"/>
              <w:left w:val="single" w:sz="4" w:space="0" w:color="auto"/>
              <w:bottom w:val="single" w:sz="4" w:space="0" w:color="auto"/>
              <w:right w:val="single" w:sz="4" w:space="0" w:color="auto"/>
            </w:tcBorders>
            <w:hideMark/>
          </w:tcPr>
          <w:p w14:paraId="658E2990"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Домінантна модель</w:t>
            </w:r>
          </w:p>
        </w:tc>
      </w:tr>
      <w:tr w:rsidR="002E3CE8" w:rsidRPr="00520861" w14:paraId="0BCAF5F1" w14:textId="77777777" w:rsidTr="00544F38">
        <w:tc>
          <w:tcPr>
            <w:tcW w:w="899" w:type="pct"/>
            <w:vMerge/>
            <w:tcBorders>
              <w:left w:val="single" w:sz="4" w:space="0" w:color="auto"/>
              <w:right w:val="single" w:sz="4" w:space="0" w:color="auto"/>
            </w:tcBorders>
            <w:vAlign w:val="center"/>
            <w:hideMark/>
          </w:tcPr>
          <w:p w14:paraId="5B784914" w14:textId="77777777" w:rsidR="002E3CE8" w:rsidRPr="00520861" w:rsidRDefault="002E3CE8" w:rsidP="00292D2E">
            <w:pPr>
              <w:widowControl w:val="0"/>
              <w:spacing w:before="20" w:line="360" w:lineRule="auto"/>
              <w:rPr>
                <w:rFonts w:eastAsia="Calibri"/>
                <w:sz w:val="28"/>
                <w:szCs w:val="28"/>
              </w:rPr>
            </w:pPr>
          </w:p>
        </w:tc>
        <w:tc>
          <w:tcPr>
            <w:tcW w:w="1056" w:type="pct"/>
            <w:tcBorders>
              <w:top w:val="single" w:sz="4" w:space="0" w:color="auto"/>
              <w:left w:val="single" w:sz="4" w:space="0" w:color="auto"/>
              <w:bottom w:val="single" w:sz="4" w:space="0" w:color="auto"/>
              <w:right w:val="single" w:sz="4" w:space="0" w:color="auto"/>
            </w:tcBorders>
            <w:hideMark/>
          </w:tcPr>
          <w:p w14:paraId="309872F0"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CC</w:t>
            </w:r>
          </w:p>
          <w:p w14:paraId="637E1F87"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CT+TT</w:t>
            </w:r>
          </w:p>
        </w:tc>
        <w:tc>
          <w:tcPr>
            <w:tcW w:w="752" w:type="pct"/>
            <w:tcBorders>
              <w:top w:val="single" w:sz="4" w:space="0" w:color="auto"/>
              <w:left w:val="single" w:sz="4" w:space="0" w:color="auto"/>
              <w:bottom w:val="single" w:sz="4" w:space="0" w:color="auto"/>
              <w:right w:val="single" w:sz="4" w:space="0" w:color="auto"/>
            </w:tcBorders>
            <w:hideMark/>
          </w:tcPr>
          <w:p w14:paraId="788C5CAD"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0,017</w:t>
            </w:r>
          </w:p>
        </w:tc>
        <w:tc>
          <w:tcPr>
            <w:tcW w:w="663" w:type="pct"/>
            <w:gridSpan w:val="2"/>
            <w:tcBorders>
              <w:top w:val="single" w:sz="4" w:space="0" w:color="auto"/>
              <w:left w:val="single" w:sz="4" w:space="0" w:color="auto"/>
              <w:bottom w:val="single" w:sz="4" w:space="0" w:color="auto"/>
              <w:right w:val="single" w:sz="4" w:space="0" w:color="auto"/>
            </w:tcBorders>
            <w:hideMark/>
          </w:tcPr>
          <w:p w14:paraId="3BCC427F"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0,833</w:t>
            </w:r>
          </w:p>
          <w:p w14:paraId="261FE07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1,200</w:t>
            </w:r>
          </w:p>
        </w:tc>
        <w:tc>
          <w:tcPr>
            <w:tcW w:w="1076" w:type="pct"/>
            <w:tcBorders>
              <w:top w:val="single" w:sz="4" w:space="0" w:color="auto"/>
              <w:left w:val="single" w:sz="4" w:space="0" w:color="auto"/>
              <w:bottom w:val="single" w:sz="4" w:space="0" w:color="auto"/>
              <w:right w:val="single" w:sz="4" w:space="0" w:color="auto"/>
            </w:tcBorders>
            <w:hideMark/>
          </w:tcPr>
          <w:p w14:paraId="2FF34FBC"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0,191–3,644</w:t>
            </w:r>
          </w:p>
          <w:p w14:paraId="2446A79B"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0,274–5,248</w:t>
            </w:r>
          </w:p>
        </w:tc>
        <w:tc>
          <w:tcPr>
            <w:tcW w:w="554" w:type="pct"/>
            <w:tcBorders>
              <w:top w:val="single" w:sz="4" w:space="0" w:color="auto"/>
              <w:left w:val="single" w:sz="4" w:space="0" w:color="auto"/>
              <w:bottom w:val="single" w:sz="4" w:space="0" w:color="auto"/>
              <w:right w:val="single" w:sz="4" w:space="0" w:color="auto"/>
            </w:tcBorders>
            <w:hideMark/>
          </w:tcPr>
          <w:p w14:paraId="4598A3A6"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0,896</w:t>
            </w:r>
          </w:p>
        </w:tc>
      </w:tr>
      <w:tr w:rsidR="002E3CE8" w:rsidRPr="00520861" w14:paraId="6E1BE64C" w14:textId="77777777" w:rsidTr="00544F38">
        <w:tc>
          <w:tcPr>
            <w:tcW w:w="899" w:type="pct"/>
            <w:vMerge/>
            <w:tcBorders>
              <w:left w:val="single" w:sz="4" w:space="0" w:color="auto"/>
              <w:right w:val="single" w:sz="4" w:space="0" w:color="auto"/>
            </w:tcBorders>
            <w:vAlign w:val="center"/>
            <w:hideMark/>
          </w:tcPr>
          <w:p w14:paraId="0449E1D7" w14:textId="77777777" w:rsidR="002E3CE8" w:rsidRPr="00520861" w:rsidRDefault="002E3CE8" w:rsidP="00292D2E">
            <w:pPr>
              <w:widowControl w:val="0"/>
              <w:spacing w:before="20" w:line="360" w:lineRule="auto"/>
              <w:rPr>
                <w:rFonts w:eastAsia="Calibri"/>
                <w:sz w:val="28"/>
                <w:szCs w:val="28"/>
              </w:rPr>
            </w:pPr>
          </w:p>
        </w:tc>
        <w:tc>
          <w:tcPr>
            <w:tcW w:w="4101" w:type="pct"/>
            <w:gridSpan w:val="6"/>
            <w:tcBorders>
              <w:top w:val="single" w:sz="4" w:space="0" w:color="auto"/>
              <w:left w:val="single" w:sz="4" w:space="0" w:color="auto"/>
              <w:bottom w:val="single" w:sz="4" w:space="0" w:color="auto"/>
              <w:right w:val="single" w:sz="4" w:space="0" w:color="auto"/>
            </w:tcBorders>
            <w:hideMark/>
          </w:tcPr>
          <w:p w14:paraId="2169ACEE" w14:textId="77777777" w:rsidR="002E3CE8" w:rsidRPr="00520861" w:rsidRDefault="002E3CE8" w:rsidP="00292D2E">
            <w:pPr>
              <w:widowControl w:val="0"/>
              <w:spacing w:before="20" w:line="360" w:lineRule="auto"/>
              <w:jc w:val="center"/>
              <w:rPr>
                <w:rFonts w:eastAsia="Calibri"/>
                <w:sz w:val="28"/>
                <w:szCs w:val="28"/>
              </w:rPr>
            </w:pPr>
            <w:proofErr w:type="spellStart"/>
            <w:r w:rsidRPr="00520861">
              <w:rPr>
                <w:rFonts w:eastAsia="Calibri"/>
                <w:sz w:val="28"/>
                <w:szCs w:val="28"/>
              </w:rPr>
              <w:t>Наддомінантна</w:t>
            </w:r>
            <w:proofErr w:type="spellEnd"/>
            <w:r w:rsidRPr="00520861">
              <w:rPr>
                <w:rFonts w:eastAsia="Calibri"/>
                <w:sz w:val="28"/>
                <w:szCs w:val="28"/>
              </w:rPr>
              <w:t xml:space="preserve"> модель</w:t>
            </w:r>
          </w:p>
        </w:tc>
      </w:tr>
      <w:tr w:rsidR="002E3CE8" w:rsidRPr="00520861" w14:paraId="4C30124A" w14:textId="77777777" w:rsidTr="00544F38">
        <w:tc>
          <w:tcPr>
            <w:tcW w:w="899" w:type="pct"/>
            <w:vMerge/>
            <w:tcBorders>
              <w:left w:val="single" w:sz="4" w:space="0" w:color="auto"/>
              <w:right w:val="single" w:sz="4" w:space="0" w:color="auto"/>
            </w:tcBorders>
            <w:vAlign w:val="center"/>
            <w:hideMark/>
          </w:tcPr>
          <w:p w14:paraId="3F5EE885" w14:textId="77777777" w:rsidR="002E3CE8" w:rsidRPr="00520861" w:rsidRDefault="002E3CE8" w:rsidP="00292D2E">
            <w:pPr>
              <w:widowControl w:val="0"/>
              <w:spacing w:before="20" w:line="360" w:lineRule="auto"/>
              <w:rPr>
                <w:rFonts w:eastAsia="Calibri"/>
                <w:sz w:val="28"/>
                <w:szCs w:val="28"/>
              </w:rPr>
            </w:pPr>
          </w:p>
        </w:tc>
        <w:tc>
          <w:tcPr>
            <w:tcW w:w="1056" w:type="pct"/>
            <w:tcBorders>
              <w:top w:val="single" w:sz="4" w:space="0" w:color="auto"/>
              <w:left w:val="single" w:sz="4" w:space="0" w:color="auto"/>
              <w:bottom w:val="single" w:sz="4" w:space="0" w:color="auto"/>
              <w:right w:val="single" w:sz="4" w:space="0" w:color="auto"/>
            </w:tcBorders>
            <w:hideMark/>
          </w:tcPr>
          <w:p w14:paraId="370B1A5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CC+TT</w:t>
            </w:r>
          </w:p>
          <w:p w14:paraId="3FFE8E9D"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CT</w:t>
            </w:r>
          </w:p>
        </w:tc>
        <w:tc>
          <w:tcPr>
            <w:tcW w:w="752" w:type="pct"/>
            <w:tcBorders>
              <w:top w:val="single" w:sz="4" w:space="0" w:color="auto"/>
              <w:left w:val="single" w:sz="4" w:space="0" w:color="auto"/>
              <w:bottom w:val="single" w:sz="4" w:space="0" w:color="auto"/>
              <w:right w:val="single" w:sz="4" w:space="0" w:color="auto"/>
            </w:tcBorders>
            <w:hideMark/>
          </w:tcPr>
          <w:p w14:paraId="23B2056A"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2,989</w:t>
            </w:r>
          </w:p>
        </w:tc>
        <w:tc>
          <w:tcPr>
            <w:tcW w:w="663" w:type="pct"/>
            <w:gridSpan w:val="2"/>
            <w:tcBorders>
              <w:top w:val="single" w:sz="4" w:space="0" w:color="auto"/>
              <w:left w:val="single" w:sz="4" w:space="0" w:color="auto"/>
              <w:bottom w:val="single" w:sz="4" w:space="0" w:color="auto"/>
              <w:right w:val="single" w:sz="4" w:space="0" w:color="auto"/>
            </w:tcBorders>
            <w:hideMark/>
          </w:tcPr>
          <w:p w14:paraId="7F8667F4"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0,240</w:t>
            </w:r>
          </w:p>
          <w:p w14:paraId="624F018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4,167</w:t>
            </w:r>
          </w:p>
        </w:tc>
        <w:tc>
          <w:tcPr>
            <w:tcW w:w="1076" w:type="pct"/>
            <w:tcBorders>
              <w:top w:val="single" w:sz="4" w:space="0" w:color="auto"/>
              <w:left w:val="single" w:sz="4" w:space="0" w:color="auto"/>
              <w:bottom w:val="single" w:sz="4" w:space="0" w:color="auto"/>
              <w:right w:val="single" w:sz="4" w:space="0" w:color="auto"/>
            </w:tcBorders>
            <w:hideMark/>
          </w:tcPr>
          <w:p w14:paraId="0BFAD564"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0,060–0,960</w:t>
            </w:r>
          </w:p>
          <w:p w14:paraId="30D91108"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1,042–16,661</w:t>
            </w:r>
          </w:p>
        </w:tc>
        <w:tc>
          <w:tcPr>
            <w:tcW w:w="554" w:type="pct"/>
            <w:tcBorders>
              <w:top w:val="single" w:sz="4" w:space="0" w:color="auto"/>
              <w:left w:val="single" w:sz="4" w:space="0" w:color="auto"/>
              <w:bottom w:val="single" w:sz="4" w:space="0" w:color="auto"/>
              <w:right w:val="single" w:sz="4" w:space="0" w:color="auto"/>
            </w:tcBorders>
            <w:hideMark/>
          </w:tcPr>
          <w:p w14:paraId="126F201F"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0,084</w:t>
            </w:r>
          </w:p>
        </w:tc>
      </w:tr>
      <w:tr w:rsidR="002E3CE8" w:rsidRPr="00520861" w14:paraId="11DE9497" w14:textId="77777777" w:rsidTr="00544F38">
        <w:tc>
          <w:tcPr>
            <w:tcW w:w="899" w:type="pct"/>
            <w:vMerge/>
            <w:tcBorders>
              <w:left w:val="single" w:sz="4" w:space="0" w:color="auto"/>
              <w:right w:val="single" w:sz="4" w:space="0" w:color="auto"/>
            </w:tcBorders>
            <w:vAlign w:val="center"/>
            <w:hideMark/>
          </w:tcPr>
          <w:p w14:paraId="6B3A703B" w14:textId="77777777" w:rsidR="002E3CE8" w:rsidRPr="00520861" w:rsidRDefault="002E3CE8" w:rsidP="00292D2E">
            <w:pPr>
              <w:widowControl w:val="0"/>
              <w:spacing w:before="20" w:line="360" w:lineRule="auto"/>
              <w:rPr>
                <w:rFonts w:eastAsia="Calibri"/>
                <w:sz w:val="28"/>
                <w:szCs w:val="28"/>
              </w:rPr>
            </w:pPr>
          </w:p>
        </w:tc>
        <w:tc>
          <w:tcPr>
            <w:tcW w:w="4101" w:type="pct"/>
            <w:gridSpan w:val="6"/>
            <w:tcBorders>
              <w:top w:val="single" w:sz="4" w:space="0" w:color="auto"/>
              <w:left w:val="single" w:sz="4" w:space="0" w:color="auto"/>
              <w:bottom w:val="single" w:sz="4" w:space="0" w:color="auto"/>
              <w:right w:val="single" w:sz="4" w:space="0" w:color="auto"/>
            </w:tcBorders>
            <w:hideMark/>
          </w:tcPr>
          <w:p w14:paraId="3BF06EFC"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Мультиплікативна модель</w:t>
            </w:r>
          </w:p>
        </w:tc>
      </w:tr>
      <w:tr w:rsidR="002E3CE8" w:rsidRPr="00520861" w14:paraId="31D2478B" w14:textId="77777777" w:rsidTr="00544F38">
        <w:tc>
          <w:tcPr>
            <w:tcW w:w="899" w:type="pct"/>
            <w:vMerge/>
            <w:tcBorders>
              <w:left w:val="single" w:sz="4" w:space="0" w:color="auto"/>
              <w:bottom w:val="single" w:sz="4" w:space="0" w:color="auto"/>
              <w:right w:val="single" w:sz="4" w:space="0" w:color="auto"/>
            </w:tcBorders>
            <w:vAlign w:val="center"/>
            <w:hideMark/>
          </w:tcPr>
          <w:p w14:paraId="22F70C92" w14:textId="77777777" w:rsidR="002E3CE8" w:rsidRPr="00520861" w:rsidRDefault="002E3CE8" w:rsidP="00292D2E">
            <w:pPr>
              <w:widowControl w:val="0"/>
              <w:spacing w:before="20" w:line="360" w:lineRule="auto"/>
              <w:rPr>
                <w:rFonts w:eastAsia="Calibri"/>
                <w:sz w:val="28"/>
                <w:szCs w:val="28"/>
              </w:rPr>
            </w:pPr>
          </w:p>
        </w:tc>
        <w:tc>
          <w:tcPr>
            <w:tcW w:w="1056" w:type="pct"/>
            <w:tcBorders>
              <w:top w:val="single" w:sz="4" w:space="0" w:color="auto"/>
              <w:left w:val="single" w:sz="4" w:space="0" w:color="auto"/>
              <w:bottom w:val="single" w:sz="4" w:space="0" w:color="auto"/>
              <w:right w:val="single" w:sz="4" w:space="0" w:color="auto"/>
            </w:tcBorders>
            <w:hideMark/>
          </w:tcPr>
          <w:p w14:paraId="7AA9FADA"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C</w:t>
            </w:r>
          </w:p>
          <w:p w14:paraId="660977C7"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T</w:t>
            </w:r>
          </w:p>
        </w:tc>
        <w:tc>
          <w:tcPr>
            <w:tcW w:w="752" w:type="pct"/>
            <w:tcBorders>
              <w:top w:val="single" w:sz="4" w:space="0" w:color="auto"/>
              <w:left w:val="single" w:sz="4" w:space="0" w:color="auto"/>
              <w:bottom w:val="single" w:sz="4" w:space="0" w:color="auto"/>
              <w:right w:val="single" w:sz="4" w:space="0" w:color="auto"/>
            </w:tcBorders>
            <w:hideMark/>
          </w:tcPr>
          <w:p w14:paraId="1444ED6E"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1,304</w:t>
            </w:r>
          </w:p>
        </w:tc>
        <w:tc>
          <w:tcPr>
            <w:tcW w:w="663" w:type="pct"/>
            <w:gridSpan w:val="2"/>
            <w:tcBorders>
              <w:top w:val="single" w:sz="4" w:space="0" w:color="auto"/>
              <w:left w:val="single" w:sz="4" w:space="0" w:color="auto"/>
              <w:bottom w:val="single" w:sz="4" w:space="0" w:color="auto"/>
              <w:right w:val="single" w:sz="4" w:space="0" w:color="auto"/>
            </w:tcBorders>
            <w:hideMark/>
          </w:tcPr>
          <w:p w14:paraId="33554A29"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1,714</w:t>
            </w:r>
          </w:p>
          <w:p w14:paraId="6A0ADF62"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0,583</w:t>
            </w:r>
          </w:p>
        </w:tc>
        <w:tc>
          <w:tcPr>
            <w:tcW w:w="1076" w:type="pct"/>
            <w:tcBorders>
              <w:top w:val="single" w:sz="4" w:space="0" w:color="auto"/>
              <w:left w:val="single" w:sz="4" w:space="0" w:color="auto"/>
              <w:bottom w:val="single" w:sz="4" w:space="0" w:color="auto"/>
              <w:right w:val="single" w:sz="4" w:space="0" w:color="auto"/>
            </w:tcBorders>
            <w:hideMark/>
          </w:tcPr>
          <w:p w14:paraId="3E28A04C"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0,678–4,336</w:t>
            </w:r>
          </w:p>
          <w:p w14:paraId="379A5A74"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0,231–1,476</w:t>
            </w:r>
          </w:p>
        </w:tc>
        <w:tc>
          <w:tcPr>
            <w:tcW w:w="554" w:type="pct"/>
            <w:tcBorders>
              <w:top w:val="single" w:sz="4" w:space="0" w:color="auto"/>
              <w:left w:val="single" w:sz="4" w:space="0" w:color="auto"/>
              <w:bottom w:val="single" w:sz="4" w:space="0" w:color="auto"/>
              <w:right w:val="single" w:sz="4" w:space="0" w:color="auto"/>
            </w:tcBorders>
            <w:hideMark/>
          </w:tcPr>
          <w:p w14:paraId="378CDBA0" w14:textId="77777777" w:rsidR="002E3CE8" w:rsidRPr="00520861" w:rsidRDefault="002E3CE8" w:rsidP="00292D2E">
            <w:pPr>
              <w:widowControl w:val="0"/>
              <w:spacing w:before="20" w:line="360" w:lineRule="auto"/>
              <w:jc w:val="center"/>
              <w:rPr>
                <w:rFonts w:eastAsia="Calibri"/>
                <w:sz w:val="28"/>
                <w:szCs w:val="28"/>
              </w:rPr>
            </w:pPr>
            <w:r w:rsidRPr="00520861">
              <w:rPr>
                <w:rFonts w:eastAsia="Calibri"/>
                <w:sz w:val="28"/>
                <w:szCs w:val="28"/>
              </w:rPr>
              <w:t>0,253</w:t>
            </w:r>
          </w:p>
        </w:tc>
      </w:tr>
    </w:tbl>
    <w:p w14:paraId="6B0F5EBC" w14:textId="77777777" w:rsidR="002E3CE8" w:rsidRPr="00520861" w:rsidRDefault="002E3CE8" w:rsidP="00292D2E">
      <w:pPr>
        <w:widowControl w:val="0"/>
        <w:spacing w:line="360" w:lineRule="auto"/>
        <w:jc w:val="right"/>
        <w:rPr>
          <w:rFonts w:eastAsiaTheme="minorHAnsi"/>
          <w:i/>
          <w:sz w:val="28"/>
          <w:szCs w:val="28"/>
          <w:lang w:eastAsia="en-US"/>
        </w:rPr>
      </w:pPr>
    </w:p>
    <w:p w14:paraId="47B237D3" w14:textId="77777777" w:rsidR="002E3CE8" w:rsidRPr="00520861" w:rsidRDefault="002E3CE8" w:rsidP="00292D2E">
      <w:pPr>
        <w:widowControl w:val="0"/>
        <w:spacing w:line="360" w:lineRule="auto"/>
        <w:ind w:firstLine="708"/>
        <w:jc w:val="both"/>
        <w:rPr>
          <w:rFonts w:eastAsia="Calibri"/>
          <w:sz w:val="28"/>
          <w:szCs w:val="28"/>
          <w:lang w:eastAsia="en-US"/>
        </w:rPr>
      </w:pPr>
    </w:p>
    <w:p w14:paraId="1B14784A" w14:textId="77777777" w:rsidR="002E3CE8" w:rsidRPr="00520861" w:rsidRDefault="002E3CE8"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В осіб із ОГ ЗП на відміну від осіб із ГП II спостерігалося зменшення частоти гетерозиготного варіанта гена </w:t>
      </w:r>
      <w:r w:rsidRPr="00520861">
        <w:rPr>
          <w:rFonts w:eastAsia="Calibri"/>
          <w:i/>
          <w:sz w:val="28"/>
          <w:szCs w:val="28"/>
          <w:lang w:eastAsia="en-US"/>
        </w:rPr>
        <w:t>IL10</w:t>
      </w:r>
      <w:r w:rsidRPr="00520861">
        <w:rPr>
          <w:rFonts w:eastAsia="Calibri"/>
          <w:sz w:val="28"/>
          <w:szCs w:val="28"/>
          <w:lang w:eastAsia="en-US"/>
        </w:rPr>
        <w:t xml:space="preserve"> [rs1800896]. </w:t>
      </w:r>
    </w:p>
    <w:p w14:paraId="7B57722A" w14:textId="77777777" w:rsidR="002E3CE8" w:rsidRPr="00520861" w:rsidRDefault="002E3CE8"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До того ж розрахунок показав, що частка людей з гетерозиготними варіантами скоротилася. Тобто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мають значно нижчий шанс розвитку затримки прорізування. В разі наявності гетерозиготного варіанта гена </w:t>
      </w:r>
      <w:r w:rsidRPr="00520861">
        <w:rPr>
          <w:rFonts w:eastAsia="Calibri"/>
          <w:i/>
          <w:sz w:val="28"/>
          <w:szCs w:val="28"/>
          <w:lang w:eastAsia="en-US"/>
        </w:rPr>
        <w:t>IL10</w:t>
      </w:r>
      <w:r w:rsidRPr="00520861">
        <w:rPr>
          <w:rFonts w:eastAsia="Calibri"/>
          <w:sz w:val="28"/>
          <w:szCs w:val="28"/>
          <w:lang w:eastAsia="en-US"/>
        </w:rPr>
        <w:t xml:space="preserve"> – шанс зменшується майже в 6 разів.</w:t>
      </w:r>
    </w:p>
    <w:p w14:paraId="64C3B9CE" w14:textId="77777777" w:rsidR="002E3CE8" w:rsidRPr="00520861" w:rsidRDefault="002E3CE8" w:rsidP="00292D2E">
      <w:pPr>
        <w:widowControl w:val="0"/>
        <w:spacing w:line="360" w:lineRule="auto"/>
        <w:jc w:val="right"/>
        <w:rPr>
          <w:rFonts w:eastAsiaTheme="minorHAnsi"/>
          <w:i/>
          <w:sz w:val="28"/>
          <w:szCs w:val="28"/>
          <w:lang w:eastAsia="en-US"/>
        </w:rPr>
      </w:pPr>
      <w:r w:rsidRPr="00520861">
        <w:rPr>
          <w:rFonts w:eastAsiaTheme="minorHAnsi"/>
          <w:i/>
          <w:sz w:val="28"/>
          <w:szCs w:val="28"/>
          <w:lang w:eastAsia="en-US"/>
        </w:rPr>
        <w:t xml:space="preserve">Таблиця 5.14 </w:t>
      </w:r>
    </w:p>
    <w:p w14:paraId="43BBFA1D" w14:textId="77777777" w:rsidR="002E3CE8" w:rsidRPr="00520861" w:rsidRDefault="002E3CE8" w:rsidP="00292D2E">
      <w:pPr>
        <w:widowControl w:val="0"/>
        <w:spacing w:line="360" w:lineRule="auto"/>
        <w:jc w:val="center"/>
        <w:rPr>
          <w:rFonts w:eastAsiaTheme="minorHAnsi"/>
          <w:b/>
          <w:sz w:val="28"/>
          <w:szCs w:val="28"/>
          <w:lang w:eastAsia="en-US"/>
        </w:rPr>
      </w:pPr>
      <w:r w:rsidRPr="00520861">
        <w:rPr>
          <w:rFonts w:eastAsiaTheme="minorHAnsi"/>
          <w:b/>
          <w:sz w:val="28"/>
          <w:szCs w:val="28"/>
          <w:lang w:eastAsia="en-US"/>
        </w:rPr>
        <w:t xml:space="preserve">Порівняння частот розподілу поліморфних варіантів за геном </w:t>
      </w:r>
    </w:p>
    <w:p w14:paraId="1D77020E" w14:textId="77777777" w:rsidR="002E3CE8" w:rsidRPr="00520861" w:rsidRDefault="002E3CE8" w:rsidP="00292D2E">
      <w:pPr>
        <w:widowControl w:val="0"/>
        <w:spacing w:line="360" w:lineRule="auto"/>
        <w:jc w:val="center"/>
        <w:rPr>
          <w:rFonts w:eastAsiaTheme="minorHAnsi"/>
          <w:b/>
          <w:sz w:val="28"/>
          <w:szCs w:val="28"/>
          <w:lang w:eastAsia="en-US"/>
        </w:rPr>
      </w:pPr>
      <w:r w:rsidRPr="00520861">
        <w:rPr>
          <w:rFonts w:eastAsiaTheme="minorHAnsi"/>
          <w:b/>
          <w:i/>
          <w:sz w:val="28"/>
          <w:szCs w:val="28"/>
          <w:lang w:eastAsia="en-US"/>
        </w:rPr>
        <w:t>RANKL: C&gt;T</w:t>
      </w:r>
      <w:r w:rsidRPr="00520861">
        <w:rPr>
          <w:rFonts w:eastAsiaTheme="minorHAnsi"/>
          <w:b/>
          <w:sz w:val="28"/>
          <w:szCs w:val="28"/>
          <w:lang w:eastAsia="en-US"/>
        </w:rPr>
        <w:t xml:space="preserve"> [rs9594759] в осіб ОГ ЗП і ГП I</w:t>
      </w:r>
    </w:p>
    <w:tbl>
      <w:tblPr>
        <w:tblStyle w:val="4110"/>
        <w:tblW w:w="9211" w:type="dxa"/>
        <w:jc w:val="center"/>
        <w:tblLook w:val="04A0" w:firstRow="1" w:lastRow="0" w:firstColumn="1" w:lastColumn="0" w:noHBand="0" w:noVBand="1"/>
      </w:tblPr>
      <w:tblGrid>
        <w:gridCol w:w="1825"/>
        <w:gridCol w:w="1670"/>
        <w:gridCol w:w="174"/>
        <w:gridCol w:w="1222"/>
        <w:gridCol w:w="1258"/>
        <w:gridCol w:w="195"/>
        <w:gridCol w:w="2014"/>
        <w:gridCol w:w="7"/>
        <w:gridCol w:w="846"/>
      </w:tblGrid>
      <w:tr w:rsidR="002E3CE8" w:rsidRPr="00520861" w14:paraId="24F5D151" w14:textId="77777777" w:rsidTr="00292D2E">
        <w:trPr>
          <w:jc w:val="center"/>
        </w:trPr>
        <w:tc>
          <w:tcPr>
            <w:tcW w:w="1825" w:type="dxa"/>
            <w:vMerge w:val="restart"/>
            <w:tcBorders>
              <w:top w:val="single" w:sz="4" w:space="0" w:color="auto"/>
              <w:left w:val="single" w:sz="4" w:space="0" w:color="auto"/>
              <w:bottom w:val="single" w:sz="4" w:space="0" w:color="auto"/>
              <w:right w:val="single" w:sz="4" w:space="0" w:color="auto"/>
            </w:tcBorders>
            <w:hideMark/>
          </w:tcPr>
          <w:p w14:paraId="79968C8E" w14:textId="77777777" w:rsidR="002E3CE8" w:rsidRPr="00520861" w:rsidRDefault="002E3CE8" w:rsidP="00292D2E">
            <w:pPr>
              <w:widowControl w:val="0"/>
              <w:spacing w:line="360" w:lineRule="auto"/>
              <w:ind w:hanging="195"/>
              <w:jc w:val="center"/>
              <w:rPr>
                <w:rFonts w:eastAsia="Calibri"/>
                <w:sz w:val="28"/>
                <w:szCs w:val="28"/>
              </w:rPr>
            </w:pPr>
            <w:r w:rsidRPr="00520861">
              <w:rPr>
                <w:rFonts w:eastAsia="Calibri"/>
                <w:sz w:val="28"/>
                <w:szCs w:val="28"/>
              </w:rPr>
              <w:t>Ген</w:t>
            </w:r>
          </w:p>
        </w:tc>
        <w:tc>
          <w:tcPr>
            <w:tcW w:w="1844" w:type="dxa"/>
            <w:gridSpan w:val="2"/>
            <w:vMerge w:val="restart"/>
            <w:tcBorders>
              <w:top w:val="single" w:sz="4" w:space="0" w:color="auto"/>
              <w:left w:val="single" w:sz="4" w:space="0" w:color="auto"/>
              <w:bottom w:val="single" w:sz="4" w:space="0" w:color="auto"/>
              <w:right w:val="single" w:sz="4" w:space="0" w:color="auto"/>
            </w:tcBorders>
            <w:hideMark/>
          </w:tcPr>
          <w:p w14:paraId="1F9B09A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Генотип</w:t>
            </w:r>
          </w:p>
          <w:p w14:paraId="19CD9B58" w14:textId="77777777" w:rsidR="002E3CE8" w:rsidRPr="00520861" w:rsidRDefault="002E3CE8" w:rsidP="00292D2E">
            <w:pPr>
              <w:widowControl w:val="0"/>
              <w:spacing w:line="360" w:lineRule="auto"/>
              <w:jc w:val="center"/>
              <w:rPr>
                <w:rFonts w:eastAsia="Calibri"/>
                <w:sz w:val="28"/>
                <w:szCs w:val="28"/>
              </w:rPr>
            </w:pPr>
          </w:p>
        </w:tc>
        <w:tc>
          <w:tcPr>
            <w:tcW w:w="5542" w:type="dxa"/>
            <w:gridSpan w:val="6"/>
            <w:tcBorders>
              <w:top w:val="single" w:sz="4" w:space="0" w:color="auto"/>
              <w:left w:val="single" w:sz="4" w:space="0" w:color="auto"/>
              <w:bottom w:val="single" w:sz="4" w:space="0" w:color="auto"/>
              <w:right w:val="single" w:sz="4" w:space="0" w:color="auto"/>
            </w:tcBorders>
            <w:hideMark/>
          </w:tcPr>
          <w:p w14:paraId="7FCD2C5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Результати </w:t>
            </w:r>
          </w:p>
          <w:p w14:paraId="7D2C3B8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статистичного аналізу</w:t>
            </w:r>
          </w:p>
        </w:tc>
      </w:tr>
      <w:tr w:rsidR="002E3CE8" w:rsidRPr="00520861" w14:paraId="3B4260E9" w14:textId="77777777" w:rsidTr="00292D2E">
        <w:trPr>
          <w:jc w:val="center"/>
        </w:trPr>
        <w:tc>
          <w:tcPr>
            <w:tcW w:w="1825" w:type="dxa"/>
            <w:vMerge/>
            <w:tcBorders>
              <w:top w:val="single" w:sz="4" w:space="0" w:color="auto"/>
              <w:left w:val="single" w:sz="4" w:space="0" w:color="auto"/>
              <w:bottom w:val="single" w:sz="4" w:space="0" w:color="auto"/>
              <w:right w:val="single" w:sz="4" w:space="0" w:color="auto"/>
            </w:tcBorders>
            <w:vAlign w:val="center"/>
            <w:hideMark/>
          </w:tcPr>
          <w:p w14:paraId="056BC75A" w14:textId="77777777" w:rsidR="002E3CE8" w:rsidRPr="00520861" w:rsidRDefault="002E3CE8" w:rsidP="00292D2E">
            <w:pPr>
              <w:widowControl w:val="0"/>
              <w:spacing w:line="360" w:lineRule="auto"/>
              <w:rPr>
                <w:rFonts w:eastAsia="Calibri"/>
                <w:sz w:val="28"/>
                <w:szCs w:val="28"/>
              </w:rPr>
            </w:pPr>
          </w:p>
        </w:tc>
        <w:tc>
          <w:tcPr>
            <w:tcW w:w="1844" w:type="dxa"/>
            <w:gridSpan w:val="2"/>
            <w:vMerge/>
            <w:tcBorders>
              <w:top w:val="single" w:sz="4" w:space="0" w:color="auto"/>
              <w:left w:val="single" w:sz="4" w:space="0" w:color="auto"/>
              <w:bottom w:val="single" w:sz="4" w:space="0" w:color="auto"/>
              <w:right w:val="single" w:sz="4" w:space="0" w:color="auto"/>
            </w:tcBorders>
            <w:vAlign w:val="center"/>
            <w:hideMark/>
          </w:tcPr>
          <w:p w14:paraId="12CB80A5" w14:textId="77777777" w:rsidR="002E3CE8" w:rsidRPr="00520861" w:rsidRDefault="002E3CE8" w:rsidP="00292D2E">
            <w:pPr>
              <w:widowControl w:val="0"/>
              <w:spacing w:line="360" w:lineRule="auto"/>
              <w:rPr>
                <w:rFonts w:eastAsia="Calibri"/>
                <w:sz w:val="28"/>
                <w:szCs w:val="28"/>
              </w:rPr>
            </w:pPr>
          </w:p>
        </w:tc>
        <w:tc>
          <w:tcPr>
            <w:tcW w:w="1222" w:type="dxa"/>
            <w:tcBorders>
              <w:top w:val="single" w:sz="4" w:space="0" w:color="auto"/>
              <w:left w:val="single" w:sz="4" w:space="0" w:color="auto"/>
              <w:bottom w:val="single" w:sz="4" w:space="0" w:color="auto"/>
              <w:right w:val="single" w:sz="4" w:space="0" w:color="auto"/>
            </w:tcBorders>
            <w:hideMark/>
          </w:tcPr>
          <w:p w14:paraId="2412EF3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sym w:font="Symbol" w:char="F063"/>
            </w:r>
            <w:r w:rsidRPr="00520861">
              <w:rPr>
                <w:rFonts w:eastAsia="Calibri"/>
                <w:sz w:val="28"/>
                <w:szCs w:val="28"/>
                <w:vertAlign w:val="superscript"/>
              </w:rPr>
              <w:t>2</w:t>
            </w:r>
            <w:r w:rsidRPr="00520861">
              <w:rPr>
                <w:rFonts w:eastAsia="Calibri"/>
                <w:sz w:val="28"/>
                <w:szCs w:val="28"/>
              </w:rPr>
              <w:t xml:space="preserve"> (</w:t>
            </w:r>
            <w:proofErr w:type="spellStart"/>
            <w:r w:rsidRPr="00520861">
              <w:rPr>
                <w:rFonts w:eastAsia="Calibri"/>
                <w:sz w:val="28"/>
                <w:szCs w:val="28"/>
              </w:rPr>
              <w:t>Йєтс</w:t>
            </w:r>
            <w:proofErr w:type="spellEnd"/>
            <w:r w:rsidRPr="00520861">
              <w:rPr>
                <w:rFonts w:eastAsia="Calibri"/>
                <w:sz w:val="28"/>
                <w:szCs w:val="28"/>
              </w:rPr>
              <w:t>)</w:t>
            </w:r>
          </w:p>
        </w:tc>
        <w:tc>
          <w:tcPr>
            <w:tcW w:w="1258" w:type="dxa"/>
            <w:tcBorders>
              <w:top w:val="single" w:sz="4" w:space="0" w:color="auto"/>
              <w:left w:val="single" w:sz="4" w:space="0" w:color="auto"/>
              <w:bottom w:val="single" w:sz="4" w:space="0" w:color="auto"/>
              <w:right w:val="single" w:sz="4" w:space="0" w:color="auto"/>
            </w:tcBorders>
            <w:hideMark/>
          </w:tcPr>
          <w:p w14:paraId="056FF07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ВШ</w:t>
            </w:r>
          </w:p>
        </w:tc>
        <w:tc>
          <w:tcPr>
            <w:tcW w:w="2216" w:type="dxa"/>
            <w:gridSpan w:val="3"/>
            <w:tcBorders>
              <w:top w:val="single" w:sz="4" w:space="0" w:color="auto"/>
              <w:left w:val="single" w:sz="4" w:space="0" w:color="auto"/>
              <w:bottom w:val="single" w:sz="4" w:space="0" w:color="auto"/>
              <w:right w:val="single" w:sz="4" w:space="0" w:color="auto"/>
            </w:tcBorders>
            <w:hideMark/>
          </w:tcPr>
          <w:p w14:paraId="3267E24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95% ДІ</w:t>
            </w:r>
          </w:p>
        </w:tc>
        <w:tc>
          <w:tcPr>
            <w:tcW w:w="846" w:type="dxa"/>
            <w:tcBorders>
              <w:top w:val="single" w:sz="4" w:space="0" w:color="auto"/>
              <w:left w:val="single" w:sz="4" w:space="0" w:color="auto"/>
              <w:bottom w:val="single" w:sz="4" w:space="0" w:color="auto"/>
              <w:right w:val="single" w:sz="4" w:space="0" w:color="auto"/>
            </w:tcBorders>
            <w:hideMark/>
          </w:tcPr>
          <w:p w14:paraId="565FFB8E" w14:textId="77777777" w:rsidR="002E3CE8" w:rsidRPr="00520861" w:rsidRDefault="002E3CE8" w:rsidP="00292D2E">
            <w:pPr>
              <w:widowControl w:val="0"/>
              <w:spacing w:line="360" w:lineRule="auto"/>
              <w:jc w:val="center"/>
              <w:rPr>
                <w:rFonts w:eastAsia="Calibri"/>
                <w:i/>
                <w:sz w:val="28"/>
                <w:szCs w:val="28"/>
              </w:rPr>
            </w:pPr>
            <w:r w:rsidRPr="00520861">
              <w:rPr>
                <w:rFonts w:eastAsia="Calibri"/>
                <w:i/>
                <w:sz w:val="28"/>
                <w:szCs w:val="28"/>
              </w:rPr>
              <w:t>P</w:t>
            </w:r>
          </w:p>
        </w:tc>
      </w:tr>
      <w:tr w:rsidR="002E3CE8" w:rsidRPr="00520861" w14:paraId="5E2FC7BC" w14:textId="77777777" w:rsidTr="00292D2E">
        <w:trPr>
          <w:jc w:val="center"/>
        </w:trPr>
        <w:tc>
          <w:tcPr>
            <w:tcW w:w="1825" w:type="dxa"/>
            <w:vMerge w:val="restart"/>
            <w:tcBorders>
              <w:top w:val="single" w:sz="4" w:space="0" w:color="auto"/>
              <w:left w:val="single" w:sz="4" w:space="0" w:color="auto"/>
              <w:bottom w:val="single" w:sz="4" w:space="0" w:color="auto"/>
              <w:right w:val="single" w:sz="4" w:space="0" w:color="auto"/>
            </w:tcBorders>
            <w:hideMark/>
          </w:tcPr>
          <w:p w14:paraId="7C8C9AD0" w14:textId="77777777" w:rsidR="002E3CE8" w:rsidRPr="00520861" w:rsidRDefault="002E3CE8" w:rsidP="00292D2E">
            <w:pPr>
              <w:widowControl w:val="0"/>
              <w:spacing w:line="360" w:lineRule="auto"/>
              <w:jc w:val="center"/>
              <w:rPr>
                <w:rFonts w:eastAsia="Calibri"/>
                <w:i/>
                <w:sz w:val="28"/>
                <w:szCs w:val="28"/>
              </w:rPr>
            </w:pPr>
            <w:r w:rsidRPr="00520861">
              <w:rPr>
                <w:rFonts w:eastAsia="Calibri"/>
                <w:i/>
                <w:sz w:val="28"/>
                <w:szCs w:val="28"/>
              </w:rPr>
              <w:t xml:space="preserve">RANKL: </w:t>
            </w:r>
          </w:p>
          <w:p w14:paraId="391C2B67" w14:textId="77777777" w:rsidR="002E3CE8" w:rsidRPr="00520861" w:rsidRDefault="002E3CE8" w:rsidP="00292D2E">
            <w:pPr>
              <w:widowControl w:val="0"/>
              <w:spacing w:line="360" w:lineRule="auto"/>
              <w:jc w:val="center"/>
              <w:rPr>
                <w:rFonts w:eastAsia="Calibri"/>
                <w:sz w:val="28"/>
                <w:szCs w:val="28"/>
              </w:rPr>
            </w:pPr>
            <w:r w:rsidRPr="00520861">
              <w:rPr>
                <w:rFonts w:eastAsia="Calibri"/>
                <w:i/>
                <w:sz w:val="28"/>
                <w:szCs w:val="28"/>
              </w:rPr>
              <w:t>C&gt;T</w:t>
            </w:r>
            <w:r w:rsidRPr="00520861">
              <w:rPr>
                <w:rFonts w:eastAsia="Calibri"/>
                <w:sz w:val="28"/>
                <w:szCs w:val="28"/>
              </w:rPr>
              <w:t xml:space="preserve"> [rs9594759]</w:t>
            </w:r>
          </w:p>
        </w:tc>
        <w:tc>
          <w:tcPr>
            <w:tcW w:w="7386" w:type="dxa"/>
            <w:gridSpan w:val="8"/>
            <w:tcBorders>
              <w:top w:val="single" w:sz="4" w:space="0" w:color="auto"/>
              <w:left w:val="single" w:sz="4" w:space="0" w:color="auto"/>
              <w:bottom w:val="single" w:sz="4" w:space="0" w:color="auto"/>
              <w:right w:val="single" w:sz="4" w:space="0" w:color="auto"/>
            </w:tcBorders>
            <w:hideMark/>
          </w:tcPr>
          <w:p w14:paraId="08B9E26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Адитивна модель</w:t>
            </w:r>
          </w:p>
        </w:tc>
      </w:tr>
      <w:tr w:rsidR="002E3CE8" w:rsidRPr="00520861" w14:paraId="6901130F" w14:textId="77777777" w:rsidTr="00292D2E">
        <w:trPr>
          <w:jc w:val="center"/>
        </w:trPr>
        <w:tc>
          <w:tcPr>
            <w:tcW w:w="1825" w:type="dxa"/>
            <w:vMerge/>
            <w:tcBorders>
              <w:top w:val="single" w:sz="4" w:space="0" w:color="auto"/>
              <w:left w:val="single" w:sz="4" w:space="0" w:color="auto"/>
              <w:bottom w:val="nil"/>
              <w:right w:val="single" w:sz="4" w:space="0" w:color="auto"/>
            </w:tcBorders>
            <w:vAlign w:val="center"/>
            <w:hideMark/>
          </w:tcPr>
          <w:p w14:paraId="6A0E5F38" w14:textId="77777777" w:rsidR="002E3CE8" w:rsidRPr="00520861" w:rsidRDefault="002E3CE8" w:rsidP="00292D2E">
            <w:pPr>
              <w:widowControl w:val="0"/>
              <w:spacing w:line="360" w:lineRule="auto"/>
              <w:rPr>
                <w:rFonts w:eastAsia="Calibri"/>
                <w:sz w:val="28"/>
                <w:szCs w:val="28"/>
              </w:rPr>
            </w:pPr>
          </w:p>
        </w:tc>
        <w:tc>
          <w:tcPr>
            <w:tcW w:w="1844" w:type="dxa"/>
            <w:gridSpan w:val="2"/>
            <w:tcBorders>
              <w:top w:val="single" w:sz="4" w:space="0" w:color="auto"/>
              <w:left w:val="single" w:sz="4" w:space="0" w:color="auto"/>
              <w:bottom w:val="single" w:sz="4" w:space="0" w:color="auto"/>
              <w:right w:val="single" w:sz="4" w:space="0" w:color="auto"/>
            </w:tcBorders>
            <w:hideMark/>
          </w:tcPr>
          <w:p w14:paraId="4467E51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CC</w:t>
            </w:r>
          </w:p>
          <w:p w14:paraId="60CBDBC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CT</w:t>
            </w:r>
          </w:p>
          <w:p w14:paraId="07BC0F6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TT</w:t>
            </w:r>
          </w:p>
        </w:tc>
        <w:tc>
          <w:tcPr>
            <w:tcW w:w="1222" w:type="dxa"/>
            <w:tcBorders>
              <w:top w:val="single" w:sz="4" w:space="0" w:color="auto"/>
              <w:left w:val="single" w:sz="4" w:space="0" w:color="auto"/>
              <w:bottom w:val="single" w:sz="4" w:space="0" w:color="auto"/>
              <w:right w:val="single" w:sz="4" w:space="0" w:color="auto"/>
            </w:tcBorders>
            <w:hideMark/>
          </w:tcPr>
          <w:p w14:paraId="54A7CAA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4,137</w:t>
            </w:r>
          </w:p>
        </w:tc>
        <w:tc>
          <w:tcPr>
            <w:tcW w:w="1258" w:type="dxa"/>
            <w:tcBorders>
              <w:top w:val="single" w:sz="4" w:space="0" w:color="auto"/>
              <w:left w:val="single" w:sz="4" w:space="0" w:color="auto"/>
              <w:bottom w:val="single" w:sz="4" w:space="0" w:color="auto"/>
              <w:right w:val="single" w:sz="4" w:space="0" w:color="auto"/>
            </w:tcBorders>
            <w:hideMark/>
          </w:tcPr>
          <w:p w14:paraId="4415E8D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0,369</w:t>
            </w:r>
          </w:p>
          <w:p w14:paraId="179181B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0,837</w:t>
            </w:r>
          </w:p>
          <w:p w14:paraId="44299FD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2,658</w:t>
            </w:r>
          </w:p>
        </w:tc>
        <w:tc>
          <w:tcPr>
            <w:tcW w:w="2216" w:type="dxa"/>
            <w:gridSpan w:val="3"/>
            <w:tcBorders>
              <w:top w:val="single" w:sz="4" w:space="0" w:color="auto"/>
              <w:left w:val="single" w:sz="4" w:space="0" w:color="auto"/>
              <w:bottom w:val="single" w:sz="4" w:space="0" w:color="auto"/>
              <w:right w:val="single" w:sz="4" w:space="0" w:color="auto"/>
            </w:tcBorders>
            <w:hideMark/>
          </w:tcPr>
          <w:p w14:paraId="0BE5156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0,117–1,165</w:t>
            </w:r>
          </w:p>
          <w:p w14:paraId="6E73E42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0,336–2,082</w:t>
            </w:r>
          </w:p>
          <w:p w14:paraId="6F04285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1,073–6,585</w:t>
            </w:r>
          </w:p>
        </w:tc>
        <w:tc>
          <w:tcPr>
            <w:tcW w:w="846" w:type="dxa"/>
            <w:tcBorders>
              <w:top w:val="single" w:sz="4" w:space="0" w:color="auto"/>
              <w:left w:val="single" w:sz="4" w:space="0" w:color="auto"/>
              <w:bottom w:val="single" w:sz="4" w:space="0" w:color="auto"/>
              <w:right w:val="single" w:sz="4" w:space="0" w:color="auto"/>
            </w:tcBorders>
            <w:hideMark/>
          </w:tcPr>
          <w:p w14:paraId="0D8CAE2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0,126</w:t>
            </w:r>
          </w:p>
        </w:tc>
      </w:tr>
      <w:tr w:rsidR="002E3CE8" w:rsidRPr="00520861" w14:paraId="14EBF361" w14:textId="77777777" w:rsidTr="00292D2E">
        <w:trPr>
          <w:jc w:val="center"/>
        </w:trPr>
        <w:tc>
          <w:tcPr>
            <w:tcW w:w="1825" w:type="dxa"/>
            <w:vMerge w:val="restart"/>
            <w:tcBorders>
              <w:top w:val="nil"/>
              <w:left w:val="single" w:sz="4" w:space="0" w:color="auto"/>
              <w:bottom w:val="single" w:sz="4" w:space="0" w:color="auto"/>
              <w:right w:val="single" w:sz="4" w:space="0" w:color="auto"/>
            </w:tcBorders>
            <w:vAlign w:val="center"/>
            <w:hideMark/>
          </w:tcPr>
          <w:p w14:paraId="694515F1" w14:textId="77777777" w:rsidR="002E3CE8" w:rsidRPr="00520861" w:rsidRDefault="002E3CE8" w:rsidP="00292D2E">
            <w:pPr>
              <w:widowControl w:val="0"/>
              <w:spacing w:line="360" w:lineRule="auto"/>
              <w:rPr>
                <w:rFonts w:eastAsia="Calibri"/>
                <w:sz w:val="28"/>
                <w:szCs w:val="28"/>
              </w:rPr>
            </w:pPr>
          </w:p>
        </w:tc>
        <w:tc>
          <w:tcPr>
            <w:tcW w:w="7386" w:type="dxa"/>
            <w:gridSpan w:val="8"/>
            <w:tcBorders>
              <w:top w:val="single" w:sz="4" w:space="0" w:color="auto"/>
              <w:left w:val="single" w:sz="4" w:space="0" w:color="auto"/>
              <w:bottom w:val="single" w:sz="4" w:space="0" w:color="auto"/>
              <w:right w:val="single" w:sz="4" w:space="0" w:color="auto"/>
            </w:tcBorders>
            <w:hideMark/>
          </w:tcPr>
          <w:p w14:paraId="1A67A32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Рецесивна модель</w:t>
            </w:r>
          </w:p>
        </w:tc>
      </w:tr>
      <w:tr w:rsidR="002E3CE8" w:rsidRPr="00520861" w14:paraId="0C7B83A6" w14:textId="77777777" w:rsidTr="00292D2E">
        <w:trPr>
          <w:jc w:val="center"/>
        </w:trPr>
        <w:tc>
          <w:tcPr>
            <w:tcW w:w="1825" w:type="dxa"/>
            <w:vMerge/>
            <w:tcBorders>
              <w:top w:val="nil"/>
              <w:left w:val="single" w:sz="4" w:space="0" w:color="auto"/>
              <w:bottom w:val="single" w:sz="4" w:space="0" w:color="auto"/>
              <w:right w:val="single" w:sz="4" w:space="0" w:color="auto"/>
            </w:tcBorders>
            <w:vAlign w:val="center"/>
            <w:hideMark/>
          </w:tcPr>
          <w:p w14:paraId="3AE497A5" w14:textId="77777777" w:rsidR="002E3CE8" w:rsidRPr="00520861" w:rsidRDefault="002E3CE8" w:rsidP="00292D2E">
            <w:pPr>
              <w:widowControl w:val="0"/>
              <w:spacing w:line="360" w:lineRule="auto"/>
              <w:rPr>
                <w:rFonts w:eastAsia="Calibri"/>
                <w:sz w:val="28"/>
                <w:szCs w:val="28"/>
              </w:rPr>
            </w:pPr>
          </w:p>
        </w:tc>
        <w:tc>
          <w:tcPr>
            <w:tcW w:w="1670" w:type="dxa"/>
            <w:tcBorders>
              <w:top w:val="single" w:sz="4" w:space="0" w:color="auto"/>
              <w:left w:val="single" w:sz="4" w:space="0" w:color="auto"/>
              <w:bottom w:val="single" w:sz="4" w:space="0" w:color="auto"/>
              <w:right w:val="single" w:sz="4" w:space="0" w:color="auto"/>
            </w:tcBorders>
            <w:hideMark/>
          </w:tcPr>
          <w:p w14:paraId="6E9A72C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CC+CT</w:t>
            </w:r>
          </w:p>
          <w:p w14:paraId="3631197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TT</w:t>
            </w:r>
          </w:p>
        </w:tc>
        <w:tc>
          <w:tcPr>
            <w:tcW w:w="1396" w:type="dxa"/>
            <w:gridSpan w:val="2"/>
            <w:tcBorders>
              <w:top w:val="single" w:sz="4" w:space="0" w:color="auto"/>
              <w:left w:val="single" w:sz="4" w:space="0" w:color="auto"/>
              <w:bottom w:val="single" w:sz="4" w:space="0" w:color="auto"/>
              <w:right w:val="single" w:sz="4" w:space="0" w:color="auto"/>
            </w:tcBorders>
            <w:hideMark/>
          </w:tcPr>
          <w:p w14:paraId="14AB1C3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3,655</w:t>
            </w:r>
          </w:p>
        </w:tc>
        <w:tc>
          <w:tcPr>
            <w:tcW w:w="1453" w:type="dxa"/>
            <w:gridSpan w:val="2"/>
            <w:tcBorders>
              <w:top w:val="single" w:sz="4" w:space="0" w:color="auto"/>
              <w:left w:val="single" w:sz="4" w:space="0" w:color="auto"/>
              <w:bottom w:val="single" w:sz="4" w:space="0" w:color="auto"/>
              <w:right w:val="single" w:sz="4" w:space="0" w:color="auto"/>
            </w:tcBorders>
            <w:hideMark/>
          </w:tcPr>
          <w:p w14:paraId="0365202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0,376</w:t>
            </w:r>
          </w:p>
          <w:p w14:paraId="598E386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2,658</w:t>
            </w:r>
          </w:p>
        </w:tc>
        <w:tc>
          <w:tcPr>
            <w:tcW w:w="2014" w:type="dxa"/>
            <w:tcBorders>
              <w:top w:val="single" w:sz="4" w:space="0" w:color="auto"/>
              <w:left w:val="single" w:sz="4" w:space="0" w:color="auto"/>
              <w:bottom w:val="single" w:sz="4" w:space="0" w:color="auto"/>
              <w:right w:val="single" w:sz="4" w:space="0" w:color="auto"/>
            </w:tcBorders>
            <w:hideMark/>
          </w:tcPr>
          <w:p w14:paraId="40178E6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0,152–0,932</w:t>
            </w:r>
          </w:p>
          <w:p w14:paraId="62BEF95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1,073–6,585</w:t>
            </w:r>
          </w:p>
        </w:tc>
        <w:tc>
          <w:tcPr>
            <w:tcW w:w="853" w:type="dxa"/>
            <w:gridSpan w:val="2"/>
            <w:tcBorders>
              <w:top w:val="single" w:sz="4" w:space="0" w:color="auto"/>
              <w:left w:val="single" w:sz="4" w:space="0" w:color="auto"/>
              <w:bottom w:val="single" w:sz="4" w:space="0" w:color="auto"/>
              <w:right w:val="single" w:sz="4" w:space="0" w:color="auto"/>
            </w:tcBorders>
            <w:hideMark/>
          </w:tcPr>
          <w:p w14:paraId="53700BA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0,056</w:t>
            </w:r>
          </w:p>
        </w:tc>
      </w:tr>
      <w:tr w:rsidR="002E3CE8" w:rsidRPr="00520861" w14:paraId="5FE4109F" w14:textId="77777777" w:rsidTr="00292D2E">
        <w:trPr>
          <w:jc w:val="center"/>
        </w:trPr>
        <w:tc>
          <w:tcPr>
            <w:tcW w:w="1825" w:type="dxa"/>
            <w:vMerge/>
            <w:tcBorders>
              <w:top w:val="nil"/>
              <w:left w:val="single" w:sz="4" w:space="0" w:color="auto"/>
              <w:bottom w:val="single" w:sz="4" w:space="0" w:color="auto"/>
              <w:right w:val="single" w:sz="4" w:space="0" w:color="auto"/>
            </w:tcBorders>
            <w:vAlign w:val="center"/>
            <w:hideMark/>
          </w:tcPr>
          <w:p w14:paraId="79762E73" w14:textId="77777777" w:rsidR="002E3CE8" w:rsidRPr="00520861" w:rsidRDefault="002E3CE8" w:rsidP="00292D2E">
            <w:pPr>
              <w:widowControl w:val="0"/>
              <w:spacing w:line="360" w:lineRule="auto"/>
              <w:rPr>
                <w:rFonts w:eastAsia="Calibri"/>
                <w:sz w:val="28"/>
                <w:szCs w:val="28"/>
              </w:rPr>
            </w:pPr>
          </w:p>
        </w:tc>
        <w:tc>
          <w:tcPr>
            <w:tcW w:w="7386" w:type="dxa"/>
            <w:gridSpan w:val="8"/>
            <w:tcBorders>
              <w:top w:val="single" w:sz="4" w:space="0" w:color="auto"/>
              <w:left w:val="single" w:sz="4" w:space="0" w:color="auto"/>
              <w:bottom w:val="single" w:sz="4" w:space="0" w:color="auto"/>
              <w:right w:val="single" w:sz="4" w:space="0" w:color="auto"/>
            </w:tcBorders>
            <w:hideMark/>
          </w:tcPr>
          <w:p w14:paraId="45E0E5F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Домінантна модель</w:t>
            </w:r>
          </w:p>
        </w:tc>
      </w:tr>
      <w:tr w:rsidR="002E3CE8" w:rsidRPr="00520861" w14:paraId="1B1243E0" w14:textId="77777777" w:rsidTr="00292D2E">
        <w:trPr>
          <w:jc w:val="center"/>
        </w:trPr>
        <w:tc>
          <w:tcPr>
            <w:tcW w:w="1825" w:type="dxa"/>
            <w:vMerge/>
            <w:tcBorders>
              <w:top w:val="nil"/>
              <w:left w:val="single" w:sz="4" w:space="0" w:color="auto"/>
              <w:bottom w:val="single" w:sz="4" w:space="0" w:color="auto"/>
              <w:right w:val="single" w:sz="4" w:space="0" w:color="auto"/>
            </w:tcBorders>
            <w:vAlign w:val="center"/>
            <w:hideMark/>
          </w:tcPr>
          <w:p w14:paraId="4B5E8B50" w14:textId="77777777" w:rsidR="002E3CE8" w:rsidRPr="00520861" w:rsidRDefault="002E3CE8" w:rsidP="00292D2E">
            <w:pPr>
              <w:widowControl w:val="0"/>
              <w:spacing w:line="360" w:lineRule="auto"/>
              <w:rPr>
                <w:rFonts w:eastAsia="Calibri"/>
                <w:sz w:val="28"/>
                <w:szCs w:val="28"/>
              </w:rPr>
            </w:pPr>
          </w:p>
        </w:tc>
        <w:tc>
          <w:tcPr>
            <w:tcW w:w="1670" w:type="dxa"/>
            <w:tcBorders>
              <w:top w:val="single" w:sz="4" w:space="0" w:color="auto"/>
              <w:left w:val="single" w:sz="4" w:space="0" w:color="auto"/>
              <w:bottom w:val="single" w:sz="4" w:space="0" w:color="auto"/>
              <w:right w:val="single" w:sz="4" w:space="0" w:color="auto"/>
            </w:tcBorders>
            <w:hideMark/>
          </w:tcPr>
          <w:p w14:paraId="051356F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CC</w:t>
            </w:r>
          </w:p>
          <w:p w14:paraId="51FB8EC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CT+TT</w:t>
            </w:r>
          </w:p>
        </w:tc>
        <w:tc>
          <w:tcPr>
            <w:tcW w:w="1396" w:type="dxa"/>
            <w:gridSpan w:val="2"/>
            <w:tcBorders>
              <w:top w:val="single" w:sz="4" w:space="0" w:color="auto"/>
              <w:left w:val="single" w:sz="4" w:space="0" w:color="auto"/>
              <w:bottom w:val="single" w:sz="4" w:space="0" w:color="auto"/>
              <w:right w:val="single" w:sz="4" w:space="0" w:color="auto"/>
            </w:tcBorders>
            <w:hideMark/>
          </w:tcPr>
          <w:p w14:paraId="3AA154B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2,262</w:t>
            </w:r>
          </w:p>
        </w:tc>
        <w:tc>
          <w:tcPr>
            <w:tcW w:w="1453" w:type="dxa"/>
            <w:gridSpan w:val="2"/>
            <w:tcBorders>
              <w:top w:val="single" w:sz="4" w:space="0" w:color="auto"/>
              <w:left w:val="single" w:sz="4" w:space="0" w:color="auto"/>
              <w:bottom w:val="single" w:sz="4" w:space="0" w:color="auto"/>
              <w:right w:val="single" w:sz="4" w:space="0" w:color="auto"/>
            </w:tcBorders>
            <w:hideMark/>
          </w:tcPr>
          <w:p w14:paraId="5A3BC3F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0,369</w:t>
            </w:r>
          </w:p>
          <w:p w14:paraId="41D9287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2,707</w:t>
            </w:r>
          </w:p>
        </w:tc>
        <w:tc>
          <w:tcPr>
            <w:tcW w:w="2014" w:type="dxa"/>
            <w:tcBorders>
              <w:top w:val="single" w:sz="4" w:space="0" w:color="auto"/>
              <w:left w:val="single" w:sz="4" w:space="0" w:color="auto"/>
              <w:bottom w:val="single" w:sz="4" w:space="0" w:color="auto"/>
              <w:right w:val="single" w:sz="4" w:space="0" w:color="auto"/>
            </w:tcBorders>
            <w:hideMark/>
          </w:tcPr>
          <w:p w14:paraId="42F1C88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0,117–1,165</w:t>
            </w:r>
          </w:p>
          <w:p w14:paraId="50A79DF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0,858–8,539</w:t>
            </w:r>
          </w:p>
        </w:tc>
        <w:tc>
          <w:tcPr>
            <w:tcW w:w="853" w:type="dxa"/>
            <w:gridSpan w:val="2"/>
            <w:tcBorders>
              <w:top w:val="single" w:sz="4" w:space="0" w:color="auto"/>
              <w:left w:val="single" w:sz="4" w:space="0" w:color="auto"/>
              <w:bottom w:val="single" w:sz="4" w:space="0" w:color="auto"/>
              <w:right w:val="single" w:sz="4" w:space="0" w:color="auto"/>
            </w:tcBorders>
            <w:hideMark/>
          </w:tcPr>
          <w:p w14:paraId="4963F74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0,133</w:t>
            </w:r>
          </w:p>
        </w:tc>
      </w:tr>
      <w:tr w:rsidR="002E3CE8" w:rsidRPr="00520861" w14:paraId="4E03E52E" w14:textId="77777777" w:rsidTr="00292D2E">
        <w:trPr>
          <w:jc w:val="center"/>
        </w:trPr>
        <w:tc>
          <w:tcPr>
            <w:tcW w:w="1825" w:type="dxa"/>
            <w:vMerge/>
            <w:tcBorders>
              <w:top w:val="nil"/>
              <w:left w:val="single" w:sz="4" w:space="0" w:color="auto"/>
              <w:bottom w:val="single" w:sz="4" w:space="0" w:color="auto"/>
              <w:right w:val="single" w:sz="4" w:space="0" w:color="auto"/>
            </w:tcBorders>
            <w:vAlign w:val="center"/>
            <w:hideMark/>
          </w:tcPr>
          <w:p w14:paraId="26C29D20" w14:textId="77777777" w:rsidR="002E3CE8" w:rsidRPr="00520861" w:rsidRDefault="002E3CE8" w:rsidP="00292D2E">
            <w:pPr>
              <w:widowControl w:val="0"/>
              <w:spacing w:line="360" w:lineRule="auto"/>
              <w:rPr>
                <w:rFonts w:eastAsia="Calibri"/>
                <w:sz w:val="28"/>
                <w:szCs w:val="28"/>
              </w:rPr>
            </w:pPr>
          </w:p>
        </w:tc>
        <w:tc>
          <w:tcPr>
            <w:tcW w:w="7386" w:type="dxa"/>
            <w:gridSpan w:val="8"/>
            <w:tcBorders>
              <w:top w:val="single" w:sz="4" w:space="0" w:color="auto"/>
              <w:left w:val="single" w:sz="4" w:space="0" w:color="auto"/>
              <w:bottom w:val="single" w:sz="4" w:space="0" w:color="auto"/>
              <w:right w:val="single" w:sz="4" w:space="0" w:color="auto"/>
            </w:tcBorders>
            <w:hideMark/>
          </w:tcPr>
          <w:p w14:paraId="1312A9AC" w14:textId="77777777" w:rsidR="002E3CE8" w:rsidRPr="00520861" w:rsidRDefault="002E3CE8" w:rsidP="00292D2E">
            <w:pPr>
              <w:widowControl w:val="0"/>
              <w:spacing w:line="360" w:lineRule="auto"/>
              <w:jc w:val="center"/>
              <w:rPr>
                <w:rFonts w:eastAsia="Calibri"/>
                <w:sz w:val="28"/>
                <w:szCs w:val="28"/>
              </w:rPr>
            </w:pPr>
            <w:proofErr w:type="spellStart"/>
            <w:r w:rsidRPr="00520861">
              <w:rPr>
                <w:rFonts w:eastAsia="Calibri"/>
                <w:sz w:val="28"/>
                <w:szCs w:val="28"/>
              </w:rPr>
              <w:t>Наддомінантна</w:t>
            </w:r>
            <w:proofErr w:type="spellEnd"/>
            <w:r w:rsidRPr="00520861">
              <w:rPr>
                <w:rFonts w:eastAsia="Calibri"/>
                <w:sz w:val="28"/>
                <w:szCs w:val="28"/>
              </w:rPr>
              <w:t xml:space="preserve"> модель</w:t>
            </w:r>
          </w:p>
        </w:tc>
      </w:tr>
      <w:tr w:rsidR="002E3CE8" w:rsidRPr="00520861" w14:paraId="0133F29E" w14:textId="77777777" w:rsidTr="00292D2E">
        <w:trPr>
          <w:jc w:val="center"/>
        </w:trPr>
        <w:tc>
          <w:tcPr>
            <w:tcW w:w="1825" w:type="dxa"/>
            <w:vMerge/>
            <w:tcBorders>
              <w:top w:val="nil"/>
              <w:left w:val="single" w:sz="4" w:space="0" w:color="auto"/>
              <w:bottom w:val="single" w:sz="4" w:space="0" w:color="auto"/>
              <w:right w:val="single" w:sz="4" w:space="0" w:color="auto"/>
            </w:tcBorders>
            <w:vAlign w:val="center"/>
            <w:hideMark/>
          </w:tcPr>
          <w:p w14:paraId="067BEA4F" w14:textId="77777777" w:rsidR="002E3CE8" w:rsidRPr="00520861" w:rsidRDefault="002E3CE8" w:rsidP="00292D2E">
            <w:pPr>
              <w:widowControl w:val="0"/>
              <w:spacing w:line="360" w:lineRule="auto"/>
              <w:rPr>
                <w:rFonts w:eastAsia="Calibri"/>
                <w:sz w:val="28"/>
                <w:szCs w:val="28"/>
              </w:rPr>
            </w:pPr>
          </w:p>
        </w:tc>
        <w:tc>
          <w:tcPr>
            <w:tcW w:w="1670" w:type="dxa"/>
            <w:tcBorders>
              <w:top w:val="single" w:sz="4" w:space="0" w:color="auto"/>
              <w:left w:val="single" w:sz="4" w:space="0" w:color="auto"/>
              <w:bottom w:val="single" w:sz="4" w:space="0" w:color="auto"/>
              <w:right w:val="single" w:sz="4" w:space="0" w:color="auto"/>
            </w:tcBorders>
            <w:hideMark/>
          </w:tcPr>
          <w:p w14:paraId="5AD88EF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CC+TT</w:t>
            </w:r>
          </w:p>
          <w:p w14:paraId="40F0C73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CT</w:t>
            </w:r>
          </w:p>
        </w:tc>
        <w:tc>
          <w:tcPr>
            <w:tcW w:w="1396" w:type="dxa"/>
            <w:gridSpan w:val="2"/>
            <w:tcBorders>
              <w:top w:val="single" w:sz="4" w:space="0" w:color="auto"/>
              <w:left w:val="single" w:sz="4" w:space="0" w:color="auto"/>
              <w:bottom w:val="single" w:sz="4" w:space="0" w:color="auto"/>
              <w:right w:val="single" w:sz="4" w:space="0" w:color="auto"/>
            </w:tcBorders>
            <w:hideMark/>
          </w:tcPr>
          <w:p w14:paraId="7018232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0,024</w:t>
            </w:r>
          </w:p>
        </w:tc>
        <w:tc>
          <w:tcPr>
            <w:tcW w:w="1453" w:type="dxa"/>
            <w:gridSpan w:val="2"/>
            <w:tcBorders>
              <w:top w:val="single" w:sz="4" w:space="0" w:color="auto"/>
              <w:left w:val="single" w:sz="4" w:space="0" w:color="auto"/>
              <w:bottom w:val="single" w:sz="4" w:space="0" w:color="auto"/>
              <w:right w:val="single" w:sz="4" w:space="0" w:color="auto"/>
            </w:tcBorders>
            <w:hideMark/>
          </w:tcPr>
          <w:p w14:paraId="6909B7F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1,195</w:t>
            </w:r>
          </w:p>
          <w:p w14:paraId="34E3FB2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0,837</w:t>
            </w:r>
          </w:p>
        </w:tc>
        <w:tc>
          <w:tcPr>
            <w:tcW w:w="2014" w:type="dxa"/>
            <w:tcBorders>
              <w:top w:val="single" w:sz="4" w:space="0" w:color="auto"/>
              <w:left w:val="single" w:sz="4" w:space="0" w:color="auto"/>
              <w:bottom w:val="single" w:sz="4" w:space="0" w:color="auto"/>
              <w:right w:val="single" w:sz="4" w:space="0" w:color="auto"/>
            </w:tcBorders>
            <w:hideMark/>
          </w:tcPr>
          <w:p w14:paraId="2927521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0,480–2,976</w:t>
            </w:r>
          </w:p>
          <w:p w14:paraId="6484783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0,336–2,082</w:t>
            </w:r>
          </w:p>
        </w:tc>
        <w:tc>
          <w:tcPr>
            <w:tcW w:w="853" w:type="dxa"/>
            <w:gridSpan w:val="2"/>
            <w:tcBorders>
              <w:top w:val="single" w:sz="4" w:space="0" w:color="auto"/>
              <w:left w:val="single" w:sz="4" w:space="0" w:color="auto"/>
              <w:bottom w:val="single" w:sz="4" w:space="0" w:color="auto"/>
              <w:right w:val="single" w:sz="4" w:space="0" w:color="auto"/>
            </w:tcBorders>
            <w:hideMark/>
          </w:tcPr>
          <w:p w14:paraId="4905DE7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0,877</w:t>
            </w:r>
          </w:p>
        </w:tc>
      </w:tr>
      <w:tr w:rsidR="002E3CE8" w:rsidRPr="00520861" w14:paraId="46CB55FB" w14:textId="77777777" w:rsidTr="00292D2E">
        <w:trPr>
          <w:jc w:val="center"/>
        </w:trPr>
        <w:tc>
          <w:tcPr>
            <w:tcW w:w="1825" w:type="dxa"/>
            <w:vMerge/>
            <w:tcBorders>
              <w:top w:val="nil"/>
              <w:left w:val="single" w:sz="4" w:space="0" w:color="auto"/>
              <w:bottom w:val="single" w:sz="4" w:space="0" w:color="auto"/>
              <w:right w:val="single" w:sz="4" w:space="0" w:color="auto"/>
            </w:tcBorders>
            <w:vAlign w:val="center"/>
            <w:hideMark/>
          </w:tcPr>
          <w:p w14:paraId="40EF4F25" w14:textId="77777777" w:rsidR="002E3CE8" w:rsidRPr="00520861" w:rsidRDefault="002E3CE8" w:rsidP="00292D2E">
            <w:pPr>
              <w:widowControl w:val="0"/>
              <w:spacing w:line="360" w:lineRule="auto"/>
              <w:rPr>
                <w:rFonts w:eastAsia="Calibri"/>
                <w:sz w:val="28"/>
                <w:szCs w:val="28"/>
              </w:rPr>
            </w:pPr>
          </w:p>
        </w:tc>
        <w:tc>
          <w:tcPr>
            <w:tcW w:w="7386" w:type="dxa"/>
            <w:gridSpan w:val="8"/>
            <w:tcBorders>
              <w:top w:val="single" w:sz="4" w:space="0" w:color="auto"/>
              <w:left w:val="single" w:sz="4" w:space="0" w:color="auto"/>
              <w:bottom w:val="single" w:sz="4" w:space="0" w:color="auto"/>
              <w:right w:val="single" w:sz="4" w:space="0" w:color="auto"/>
            </w:tcBorders>
            <w:hideMark/>
          </w:tcPr>
          <w:p w14:paraId="37BC1DA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Мультиплікативна модель</w:t>
            </w:r>
          </w:p>
        </w:tc>
      </w:tr>
      <w:tr w:rsidR="002E3CE8" w:rsidRPr="00520861" w14:paraId="79E6AE08" w14:textId="77777777" w:rsidTr="00292D2E">
        <w:trPr>
          <w:jc w:val="center"/>
        </w:trPr>
        <w:tc>
          <w:tcPr>
            <w:tcW w:w="1825" w:type="dxa"/>
            <w:vMerge/>
            <w:tcBorders>
              <w:top w:val="nil"/>
              <w:left w:val="single" w:sz="4" w:space="0" w:color="auto"/>
              <w:bottom w:val="single" w:sz="4" w:space="0" w:color="auto"/>
              <w:right w:val="single" w:sz="4" w:space="0" w:color="auto"/>
            </w:tcBorders>
            <w:vAlign w:val="center"/>
            <w:hideMark/>
          </w:tcPr>
          <w:p w14:paraId="01AE59C0" w14:textId="77777777" w:rsidR="002E3CE8" w:rsidRPr="00520861" w:rsidRDefault="002E3CE8" w:rsidP="00292D2E">
            <w:pPr>
              <w:widowControl w:val="0"/>
              <w:spacing w:line="360" w:lineRule="auto"/>
              <w:rPr>
                <w:rFonts w:eastAsia="Calibri"/>
                <w:sz w:val="28"/>
                <w:szCs w:val="28"/>
              </w:rPr>
            </w:pPr>
          </w:p>
        </w:tc>
        <w:tc>
          <w:tcPr>
            <w:tcW w:w="1670" w:type="dxa"/>
            <w:tcBorders>
              <w:top w:val="single" w:sz="4" w:space="0" w:color="auto"/>
              <w:left w:val="single" w:sz="4" w:space="0" w:color="auto"/>
              <w:bottom w:val="single" w:sz="4" w:space="0" w:color="auto"/>
              <w:right w:val="single" w:sz="4" w:space="0" w:color="auto"/>
            </w:tcBorders>
            <w:hideMark/>
          </w:tcPr>
          <w:p w14:paraId="18B5CCE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C</w:t>
            </w:r>
          </w:p>
          <w:p w14:paraId="11819B1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T</w:t>
            </w:r>
          </w:p>
        </w:tc>
        <w:tc>
          <w:tcPr>
            <w:tcW w:w="1396" w:type="dxa"/>
            <w:gridSpan w:val="2"/>
            <w:tcBorders>
              <w:top w:val="single" w:sz="4" w:space="0" w:color="auto"/>
              <w:left w:val="single" w:sz="4" w:space="0" w:color="auto"/>
              <w:bottom w:val="single" w:sz="4" w:space="0" w:color="auto"/>
              <w:right w:val="single" w:sz="4" w:space="0" w:color="auto"/>
            </w:tcBorders>
            <w:hideMark/>
          </w:tcPr>
          <w:p w14:paraId="3426EF6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6,440</w:t>
            </w:r>
          </w:p>
        </w:tc>
        <w:tc>
          <w:tcPr>
            <w:tcW w:w="1453" w:type="dxa"/>
            <w:gridSpan w:val="2"/>
            <w:tcBorders>
              <w:top w:val="single" w:sz="4" w:space="0" w:color="auto"/>
              <w:left w:val="single" w:sz="4" w:space="0" w:color="auto"/>
              <w:bottom w:val="single" w:sz="4" w:space="0" w:color="auto"/>
              <w:right w:val="single" w:sz="4" w:space="0" w:color="auto"/>
            </w:tcBorders>
            <w:hideMark/>
          </w:tcPr>
          <w:p w14:paraId="54BA676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0,437</w:t>
            </w:r>
          </w:p>
          <w:p w14:paraId="0E1CD9D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2,290</w:t>
            </w:r>
          </w:p>
        </w:tc>
        <w:tc>
          <w:tcPr>
            <w:tcW w:w="2014" w:type="dxa"/>
            <w:tcBorders>
              <w:top w:val="single" w:sz="4" w:space="0" w:color="auto"/>
              <w:left w:val="single" w:sz="4" w:space="0" w:color="auto"/>
              <w:bottom w:val="single" w:sz="4" w:space="0" w:color="auto"/>
              <w:right w:val="single" w:sz="4" w:space="0" w:color="auto"/>
            </w:tcBorders>
            <w:hideMark/>
          </w:tcPr>
          <w:p w14:paraId="03DDF2A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0,228–0,836</w:t>
            </w:r>
          </w:p>
          <w:p w14:paraId="74B20F6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1,196–4,386</w:t>
            </w:r>
          </w:p>
        </w:tc>
        <w:tc>
          <w:tcPr>
            <w:tcW w:w="853" w:type="dxa"/>
            <w:gridSpan w:val="2"/>
            <w:tcBorders>
              <w:top w:val="single" w:sz="4" w:space="0" w:color="auto"/>
              <w:left w:val="single" w:sz="4" w:space="0" w:color="auto"/>
              <w:bottom w:val="single" w:sz="4" w:space="0" w:color="auto"/>
              <w:right w:val="single" w:sz="4" w:space="0" w:color="auto"/>
            </w:tcBorders>
            <w:hideMark/>
          </w:tcPr>
          <w:p w14:paraId="6E0611D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0,011</w:t>
            </w:r>
          </w:p>
        </w:tc>
      </w:tr>
    </w:tbl>
    <w:p w14:paraId="21AF55C7" w14:textId="77777777" w:rsidR="002E3CE8" w:rsidRPr="00520861" w:rsidRDefault="002E3CE8" w:rsidP="00292D2E">
      <w:pPr>
        <w:widowControl w:val="0"/>
        <w:spacing w:line="360" w:lineRule="auto"/>
        <w:jc w:val="right"/>
        <w:rPr>
          <w:rFonts w:eastAsiaTheme="minorHAnsi"/>
          <w:i/>
          <w:sz w:val="28"/>
          <w:szCs w:val="28"/>
          <w:lang w:eastAsia="en-US"/>
        </w:rPr>
      </w:pPr>
    </w:p>
    <w:p w14:paraId="5E7A8A48" w14:textId="77777777" w:rsidR="002E3CE8" w:rsidRPr="00520861" w:rsidRDefault="002E3CE8" w:rsidP="00292D2E">
      <w:pPr>
        <w:widowControl w:val="0"/>
        <w:spacing w:line="360" w:lineRule="auto"/>
        <w:jc w:val="right"/>
        <w:rPr>
          <w:rFonts w:eastAsiaTheme="minorHAnsi"/>
          <w:i/>
          <w:sz w:val="28"/>
          <w:szCs w:val="28"/>
          <w:lang w:eastAsia="en-US"/>
        </w:rPr>
      </w:pPr>
      <w:r w:rsidRPr="00520861">
        <w:rPr>
          <w:rFonts w:eastAsiaTheme="minorHAnsi"/>
          <w:i/>
          <w:sz w:val="28"/>
          <w:szCs w:val="28"/>
          <w:lang w:eastAsia="en-US"/>
        </w:rPr>
        <w:lastRenderedPageBreak/>
        <w:t xml:space="preserve">Таблиця 5.15 </w:t>
      </w:r>
    </w:p>
    <w:p w14:paraId="1E17E7F1" w14:textId="77777777" w:rsidR="002E3CE8" w:rsidRPr="00520861" w:rsidRDefault="002E3CE8" w:rsidP="00292D2E">
      <w:pPr>
        <w:widowControl w:val="0"/>
        <w:spacing w:line="360" w:lineRule="auto"/>
        <w:jc w:val="center"/>
        <w:rPr>
          <w:rFonts w:eastAsiaTheme="minorHAnsi"/>
          <w:b/>
          <w:sz w:val="28"/>
          <w:szCs w:val="28"/>
          <w:lang w:eastAsia="en-US"/>
        </w:rPr>
      </w:pPr>
      <w:r w:rsidRPr="00520861">
        <w:rPr>
          <w:rFonts w:eastAsiaTheme="minorHAnsi"/>
          <w:b/>
          <w:sz w:val="28"/>
          <w:szCs w:val="28"/>
          <w:lang w:eastAsia="en-US"/>
        </w:rPr>
        <w:t xml:space="preserve">Порівняння частот розподілу поліморфних варіантів за геном </w:t>
      </w:r>
    </w:p>
    <w:p w14:paraId="1629BEBA" w14:textId="77777777" w:rsidR="002E3CE8" w:rsidRPr="00520861" w:rsidRDefault="002E3CE8" w:rsidP="00292D2E">
      <w:pPr>
        <w:widowControl w:val="0"/>
        <w:spacing w:line="360" w:lineRule="auto"/>
        <w:jc w:val="center"/>
        <w:rPr>
          <w:rFonts w:eastAsiaTheme="minorHAnsi"/>
          <w:b/>
          <w:sz w:val="28"/>
          <w:szCs w:val="28"/>
          <w:lang w:eastAsia="en-US"/>
        </w:rPr>
      </w:pPr>
      <w:r w:rsidRPr="00520861">
        <w:rPr>
          <w:rFonts w:eastAsiaTheme="minorHAnsi"/>
          <w:b/>
          <w:i/>
          <w:sz w:val="28"/>
          <w:szCs w:val="28"/>
          <w:lang w:eastAsia="en-US"/>
        </w:rPr>
        <w:t>IL 10 -1082 G&gt;A</w:t>
      </w:r>
      <w:r w:rsidRPr="00520861">
        <w:rPr>
          <w:rFonts w:eastAsiaTheme="minorHAnsi"/>
          <w:b/>
          <w:bCs/>
          <w:sz w:val="28"/>
          <w:szCs w:val="28"/>
          <w:lang w:eastAsia="en-US"/>
        </w:rPr>
        <w:t xml:space="preserve"> [rs1800896] </w:t>
      </w:r>
      <w:r w:rsidRPr="00520861">
        <w:rPr>
          <w:rFonts w:eastAsiaTheme="minorHAnsi"/>
          <w:b/>
          <w:sz w:val="28"/>
          <w:szCs w:val="28"/>
          <w:lang w:eastAsia="en-US"/>
        </w:rPr>
        <w:t>в ОГ ЗП і ГП II</w:t>
      </w:r>
    </w:p>
    <w:tbl>
      <w:tblPr>
        <w:tblStyle w:val="530"/>
        <w:tblW w:w="9212" w:type="dxa"/>
        <w:jc w:val="center"/>
        <w:tblLook w:val="04A0" w:firstRow="1" w:lastRow="0" w:firstColumn="1" w:lastColumn="0" w:noHBand="0" w:noVBand="1"/>
      </w:tblPr>
      <w:tblGrid>
        <w:gridCol w:w="1838"/>
        <w:gridCol w:w="1843"/>
        <w:gridCol w:w="1276"/>
        <w:gridCol w:w="1225"/>
        <w:gridCol w:w="2130"/>
        <w:gridCol w:w="900"/>
      </w:tblGrid>
      <w:tr w:rsidR="002E3CE8" w:rsidRPr="00520861" w14:paraId="4A37941E" w14:textId="77777777" w:rsidTr="00292D2E">
        <w:trPr>
          <w:jc w:val="center"/>
        </w:trPr>
        <w:tc>
          <w:tcPr>
            <w:tcW w:w="1838" w:type="dxa"/>
            <w:vMerge w:val="restart"/>
            <w:tcBorders>
              <w:top w:val="single" w:sz="4" w:space="0" w:color="auto"/>
              <w:left w:val="single" w:sz="4" w:space="0" w:color="auto"/>
              <w:bottom w:val="single" w:sz="4" w:space="0" w:color="auto"/>
              <w:right w:val="single" w:sz="4" w:space="0" w:color="auto"/>
            </w:tcBorders>
            <w:hideMark/>
          </w:tcPr>
          <w:p w14:paraId="5A86A58F" w14:textId="77777777" w:rsidR="002E3CE8" w:rsidRPr="00520861" w:rsidRDefault="002E3CE8" w:rsidP="00292D2E">
            <w:pPr>
              <w:widowControl w:val="0"/>
              <w:spacing w:line="360" w:lineRule="auto"/>
              <w:rPr>
                <w:rFonts w:eastAsia="Calibri"/>
                <w:sz w:val="28"/>
                <w:szCs w:val="28"/>
              </w:rPr>
            </w:pPr>
            <w:r w:rsidRPr="00520861">
              <w:rPr>
                <w:rFonts w:eastAsia="Calibri"/>
                <w:sz w:val="28"/>
                <w:szCs w:val="28"/>
              </w:rPr>
              <w:t>Ген</w:t>
            </w:r>
          </w:p>
        </w:tc>
        <w:tc>
          <w:tcPr>
            <w:tcW w:w="1843" w:type="dxa"/>
            <w:vMerge w:val="restart"/>
            <w:tcBorders>
              <w:top w:val="single" w:sz="4" w:space="0" w:color="auto"/>
              <w:left w:val="single" w:sz="4" w:space="0" w:color="auto"/>
              <w:bottom w:val="single" w:sz="4" w:space="0" w:color="auto"/>
              <w:right w:val="single" w:sz="4" w:space="0" w:color="auto"/>
            </w:tcBorders>
            <w:hideMark/>
          </w:tcPr>
          <w:p w14:paraId="7A8A3D6E" w14:textId="77777777" w:rsidR="002E3CE8" w:rsidRPr="00520861" w:rsidRDefault="002E3CE8" w:rsidP="00292D2E">
            <w:pPr>
              <w:widowControl w:val="0"/>
              <w:spacing w:line="360" w:lineRule="auto"/>
              <w:ind w:hanging="62"/>
              <w:jc w:val="center"/>
              <w:rPr>
                <w:rFonts w:eastAsia="Calibri"/>
                <w:sz w:val="28"/>
                <w:szCs w:val="28"/>
              </w:rPr>
            </w:pPr>
            <w:r w:rsidRPr="00520861">
              <w:rPr>
                <w:rFonts w:eastAsia="Calibri"/>
                <w:sz w:val="28"/>
                <w:szCs w:val="28"/>
              </w:rPr>
              <w:t>Генотип</w:t>
            </w:r>
          </w:p>
        </w:tc>
        <w:tc>
          <w:tcPr>
            <w:tcW w:w="5531" w:type="dxa"/>
            <w:gridSpan w:val="4"/>
            <w:tcBorders>
              <w:top w:val="single" w:sz="4" w:space="0" w:color="auto"/>
              <w:left w:val="single" w:sz="4" w:space="0" w:color="auto"/>
              <w:bottom w:val="single" w:sz="4" w:space="0" w:color="auto"/>
              <w:right w:val="single" w:sz="4" w:space="0" w:color="auto"/>
            </w:tcBorders>
            <w:hideMark/>
          </w:tcPr>
          <w:p w14:paraId="2463A70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Результати </w:t>
            </w:r>
          </w:p>
          <w:p w14:paraId="1E0BEAB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статистичного аналізу</w:t>
            </w:r>
          </w:p>
        </w:tc>
      </w:tr>
      <w:tr w:rsidR="002E3CE8" w:rsidRPr="00520861" w14:paraId="6F9EC1F0" w14:textId="77777777" w:rsidTr="00292D2E">
        <w:trPr>
          <w:jc w:val="center"/>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513A1A7D" w14:textId="77777777" w:rsidR="002E3CE8" w:rsidRPr="00520861" w:rsidRDefault="002E3CE8" w:rsidP="00292D2E">
            <w:pPr>
              <w:widowControl w:val="0"/>
              <w:spacing w:line="360" w:lineRule="auto"/>
              <w:rPr>
                <w:rFonts w:eastAsia="Calibri"/>
                <w:sz w:val="28"/>
                <w:szCs w:val="28"/>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D171436" w14:textId="77777777" w:rsidR="002E3CE8" w:rsidRPr="00520861" w:rsidRDefault="002E3CE8" w:rsidP="00292D2E">
            <w:pPr>
              <w:widowControl w:val="0"/>
              <w:spacing w:line="360" w:lineRule="auto"/>
              <w:rPr>
                <w:rFonts w:eastAsia="Calibri"/>
                <w:sz w:val="28"/>
                <w:szCs w:val="28"/>
              </w:rPr>
            </w:pPr>
          </w:p>
        </w:tc>
        <w:tc>
          <w:tcPr>
            <w:tcW w:w="1276" w:type="dxa"/>
            <w:tcBorders>
              <w:top w:val="single" w:sz="4" w:space="0" w:color="auto"/>
              <w:left w:val="single" w:sz="4" w:space="0" w:color="auto"/>
              <w:bottom w:val="single" w:sz="4" w:space="0" w:color="auto"/>
              <w:right w:val="single" w:sz="4" w:space="0" w:color="auto"/>
            </w:tcBorders>
            <w:hideMark/>
          </w:tcPr>
          <w:p w14:paraId="396F3D8D" w14:textId="77777777" w:rsidR="002E3CE8" w:rsidRPr="00520861" w:rsidRDefault="002E3CE8" w:rsidP="00292D2E">
            <w:pPr>
              <w:widowControl w:val="0"/>
              <w:spacing w:line="360" w:lineRule="auto"/>
              <w:ind w:right="-45"/>
              <w:jc w:val="center"/>
              <w:rPr>
                <w:rFonts w:eastAsia="Calibri"/>
                <w:sz w:val="28"/>
                <w:szCs w:val="28"/>
              </w:rPr>
            </w:pPr>
            <w:r w:rsidRPr="00520861">
              <w:rPr>
                <w:rFonts w:eastAsia="Calibri"/>
                <w:sz w:val="28"/>
                <w:szCs w:val="28"/>
              </w:rPr>
              <w:sym w:font="Symbol" w:char="F063"/>
            </w:r>
            <w:r w:rsidRPr="00520861">
              <w:rPr>
                <w:rFonts w:eastAsia="Calibri"/>
                <w:sz w:val="28"/>
                <w:szCs w:val="28"/>
                <w:vertAlign w:val="superscript"/>
              </w:rPr>
              <w:t>2</w:t>
            </w:r>
            <w:r w:rsidRPr="00520861">
              <w:rPr>
                <w:rFonts w:eastAsia="Calibri"/>
                <w:sz w:val="28"/>
                <w:szCs w:val="28"/>
              </w:rPr>
              <w:t xml:space="preserve"> (</w:t>
            </w:r>
            <w:proofErr w:type="spellStart"/>
            <w:r w:rsidRPr="00520861">
              <w:rPr>
                <w:rFonts w:eastAsia="Calibri"/>
                <w:sz w:val="28"/>
                <w:szCs w:val="28"/>
              </w:rPr>
              <w:t>Йєтс</w:t>
            </w:r>
            <w:proofErr w:type="spellEnd"/>
            <w:r w:rsidRPr="00520861">
              <w:rPr>
                <w:rFonts w:eastAsia="Calibri"/>
                <w:sz w:val="28"/>
                <w:szCs w:val="28"/>
              </w:rPr>
              <w:t>)</w:t>
            </w:r>
          </w:p>
        </w:tc>
        <w:tc>
          <w:tcPr>
            <w:tcW w:w="1225" w:type="dxa"/>
            <w:tcBorders>
              <w:top w:val="single" w:sz="4" w:space="0" w:color="auto"/>
              <w:left w:val="single" w:sz="4" w:space="0" w:color="auto"/>
              <w:bottom w:val="single" w:sz="4" w:space="0" w:color="auto"/>
              <w:right w:val="single" w:sz="4" w:space="0" w:color="auto"/>
            </w:tcBorders>
            <w:hideMark/>
          </w:tcPr>
          <w:p w14:paraId="7B990D3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ВШ</w:t>
            </w:r>
          </w:p>
        </w:tc>
        <w:tc>
          <w:tcPr>
            <w:tcW w:w="2130" w:type="dxa"/>
            <w:tcBorders>
              <w:top w:val="single" w:sz="4" w:space="0" w:color="auto"/>
              <w:left w:val="single" w:sz="4" w:space="0" w:color="auto"/>
              <w:bottom w:val="single" w:sz="4" w:space="0" w:color="auto"/>
              <w:right w:val="single" w:sz="4" w:space="0" w:color="auto"/>
            </w:tcBorders>
            <w:hideMark/>
          </w:tcPr>
          <w:p w14:paraId="399C92E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95% ДІ</w:t>
            </w:r>
          </w:p>
        </w:tc>
        <w:tc>
          <w:tcPr>
            <w:tcW w:w="900" w:type="dxa"/>
            <w:tcBorders>
              <w:top w:val="single" w:sz="4" w:space="0" w:color="auto"/>
              <w:left w:val="single" w:sz="4" w:space="0" w:color="auto"/>
              <w:bottom w:val="single" w:sz="4" w:space="0" w:color="auto"/>
              <w:right w:val="single" w:sz="4" w:space="0" w:color="auto"/>
            </w:tcBorders>
            <w:hideMark/>
          </w:tcPr>
          <w:p w14:paraId="46BD84DC" w14:textId="77777777" w:rsidR="002E3CE8" w:rsidRPr="00520861" w:rsidRDefault="00B747A2" w:rsidP="00292D2E">
            <w:pPr>
              <w:widowControl w:val="0"/>
              <w:spacing w:line="360" w:lineRule="auto"/>
              <w:jc w:val="center"/>
              <w:rPr>
                <w:rFonts w:eastAsia="Calibri"/>
                <w:i/>
                <w:sz w:val="28"/>
                <w:szCs w:val="28"/>
              </w:rPr>
            </w:pPr>
            <w:r w:rsidRPr="00520861">
              <w:rPr>
                <w:rFonts w:eastAsia="Calibri"/>
                <w:i/>
                <w:sz w:val="28"/>
                <w:szCs w:val="28"/>
              </w:rPr>
              <w:t>P</w:t>
            </w:r>
          </w:p>
        </w:tc>
      </w:tr>
      <w:tr w:rsidR="002E3CE8" w:rsidRPr="00520861" w14:paraId="71C4633A" w14:textId="77777777" w:rsidTr="00292D2E">
        <w:trPr>
          <w:jc w:val="center"/>
        </w:trPr>
        <w:tc>
          <w:tcPr>
            <w:tcW w:w="1838" w:type="dxa"/>
            <w:tcBorders>
              <w:top w:val="single" w:sz="4" w:space="0" w:color="auto"/>
              <w:left w:val="single" w:sz="4" w:space="0" w:color="auto"/>
              <w:bottom w:val="single" w:sz="4" w:space="0" w:color="auto"/>
              <w:right w:val="single" w:sz="4" w:space="0" w:color="auto"/>
            </w:tcBorders>
            <w:vAlign w:val="center"/>
          </w:tcPr>
          <w:p w14:paraId="3883021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w:t>
            </w:r>
          </w:p>
        </w:tc>
        <w:tc>
          <w:tcPr>
            <w:tcW w:w="1843" w:type="dxa"/>
            <w:tcBorders>
              <w:top w:val="single" w:sz="4" w:space="0" w:color="auto"/>
              <w:left w:val="single" w:sz="4" w:space="0" w:color="auto"/>
              <w:bottom w:val="single" w:sz="4" w:space="0" w:color="auto"/>
              <w:right w:val="single" w:sz="4" w:space="0" w:color="auto"/>
            </w:tcBorders>
            <w:vAlign w:val="center"/>
          </w:tcPr>
          <w:p w14:paraId="14F4B1A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w:t>
            </w:r>
          </w:p>
        </w:tc>
        <w:tc>
          <w:tcPr>
            <w:tcW w:w="1276" w:type="dxa"/>
            <w:tcBorders>
              <w:top w:val="single" w:sz="4" w:space="0" w:color="auto"/>
              <w:left w:val="single" w:sz="4" w:space="0" w:color="auto"/>
              <w:bottom w:val="single" w:sz="4" w:space="0" w:color="auto"/>
              <w:right w:val="single" w:sz="4" w:space="0" w:color="auto"/>
            </w:tcBorders>
          </w:tcPr>
          <w:p w14:paraId="0A4F55F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w:t>
            </w:r>
          </w:p>
        </w:tc>
        <w:tc>
          <w:tcPr>
            <w:tcW w:w="1225" w:type="dxa"/>
            <w:tcBorders>
              <w:top w:val="single" w:sz="4" w:space="0" w:color="auto"/>
              <w:left w:val="single" w:sz="4" w:space="0" w:color="auto"/>
              <w:bottom w:val="single" w:sz="4" w:space="0" w:color="auto"/>
              <w:right w:val="single" w:sz="4" w:space="0" w:color="auto"/>
            </w:tcBorders>
          </w:tcPr>
          <w:p w14:paraId="20A0B9F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w:t>
            </w:r>
          </w:p>
        </w:tc>
        <w:tc>
          <w:tcPr>
            <w:tcW w:w="2130" w:type="dxa"/>
            <w:tcBorders>
              <w:top w:val="single" w:sz="4" w:space="0" w:color="auto"/>
              <w:left w:val="single" w:sz="4" w:space="0" w:color="auto"/>
              <w:bottom w:val="single" w:sz="4" w:space="0" w:color="auto"/>
              <w:right w:val="single" w:sz="4" w:space="0" w:color="auto"/>
            </w:tcBorders>
          </w:tcPr>
          <w:p w14:paraId="510B3A8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w:t>
            </w:r>
          </w:p>
        </w:tc>
        <w:tc>
          <w:tcPr>
            <w:tcW w:w="900" w:type="dxa"/>
            <w:tcBorders>
              <w:top w:val="single" w:sz="4" w:space="0" w:color="auto"/>
              <w:left w:val="single" w:sz="4" w:space="0" w:color="auto"/>
              <w:bottom w:val="single" w:sz="4" w:space="0" w:color="auto"/>
              <w:right w:val="single" w:sz="4" w:space="0" w:color="auto"/>
            </w:tcBorders>
          </w:tcPr>
          <w:p w14:paraId="36D057C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w:t>
            </w:r>
          </w:p>
        </w:tc>
      </w:tr>
      <w:tr w:rsidR="002E3CE8" w:rsidRPr="00520861" w14:paraId="608319AC" w14:textId="77777777" w:rsidTr="00292D2E">
        <w:trPr>
          <w:jc w:val="center"/>
        </w:trPr>
        <w:tc>
          <w:tcPr>
            <w:tcW w:w="1838" w:type="dxa"/>
            <w:vMerge w:val="restart"/>
            <w:tcBorders>
              <w:top w:val="single" w:sz="4" w:space="0" w:color="auto"/>
              <w:left w:val="single" w:sz="4" w:space="0" w:color="auto"/>
              <w:right w:val="single" w:sz="4" w:space="0" w:color="auto"/>
            </w:tcBorders>
            <w:hideMark/>
          </w:tcPr>
          <w:p w14:paraId="161FA487" w14:textId="77777777" w:rsidR="002E3CE8" w:rsidRPr="00520861" w:rsidRDefault="002E3CE8" w:rsidP="00292D2E">
            <w:pPr>
              <w:widowControl w:val="0"/>
              <w:spacing w:line="360" w:lineRule="auto"/>
              <w:jc w:val="center"/>
              <w:rPr>
                <w:rFonts w:eastAsia="Calibri"/>
                <w:i/>
                <w:sz w:val="28"/>
                <w:szCs w:val="28"/>
              </w:rPr>
            </w:pPr>
            <w:r w:rsidRPr="00520861">
              <w:rPr>
                <w:rFonts w:eastAsia="Calibri"/>
                <w:i/>
                <w:sz w:val="28"/>
                <w:szCs w:val="28"/>
              </w:rPr>
              <w:t>IL 10 -1082</w:t>
            </w:r>
          </w:p>
          <w:p w14:paraId="56F79DA4" w14:textId="77777777" w:rsidR="002E3CE8" w:rsidRPr="00520861" w:rsidRDefault="002E3CE8" w:rsidP="00292D2E">
            <w:pPr>
              <w:widowControl w:val="0"/>
              <w:spacing w:line="360" w:lineRule="auto"/>
              <w:jc w:val="center"/>
              <w:rPr>
                <w:rFonts w:eastAsia="Calibri"/>
                <w:i/>
                <w:sz w:val="28"/>
                <w:szCs w:val="28"/>
              </w:rPr>
            </w:pPr>
            <w:r w:rsidRPr="00520861">
              <w:rPr>
                <w:rFonts w:eastAsia="Calibri"/>
                <w:i/>
                <w:sz w:val="28"/>
                <w:szCs w:val="28"/>
              </w:rPr>
              <w:t>G&gt;A</w:t>
            </w:r>
          </w:p>
          <w:p w14:paraId="74678B2B" w14:textId="77777777" w:rsidR="002E3CE8" w:rsidRPr="00520861" w:rsidRDefault="002E3CE8" w:rsidP="00292D2E">
            <w:pPr>
              <w:widowControl w:val="0"/>
              <w:spacing w:line="360" w:lineRule="auto"/>
              <w:jc w:val="center"/>
              <w:rPr>
                <w:rFonts w:eastAsia="Calibri"/>
                <w:sz w:val="28"/>
                <w:szCs w:val="28"/>
              </w:rPr>
            </w:pPr>
            <w:r w:rsidRPr="00520861">
              <w:rPr>
                <w:rFonts w:eastAsia="Calibri"/>
                <w:bCs/>
                <w:sz w:val="28"/>
                <w:szCs w:val="28"/>
              </w:rPr>
              <w:t>[rs1800896]</w:t>
            </w:r>
          </w:p>
        </w:tc>
        <w:tc>
          <w:tcPr>
            <w:tcW w:w="7374" w:type="dxa"/>
            <w:gridSpan w:val="5"/>
            <w:tcBorders>
              <w:top w:val="single" w:sz="4" w:space="0" w:color="auto"/>
              <w:left w:val="single" w:sz="4" w:space="0" w:color="auto"/>
              <w:bottom w:val="single" w:sz="4" w:space="0" w:color="auto"/>
              <w:right w:val="single" w:sz="4" w:space="0" w:color="auto"/>
            </w:tcBorders>
            <w:hideMark/>
          </w:tcPr>
          <w:p w14:paraId="4352F4B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Адитивна модель</w:t>
            </w:r>
          </w:p>
        </w:tc>
      </w:tr>
      <w:tr w:rsidR="002E3CE8" w:rsidRPr="00520861" w14:paraId="105DD765" w14:textId="77777777" w:rsidTr="00292D2E">
        <w:trPr>
          <w:jc w:val="center"/>
        </w:trPr>
        <w:tc>
          <w:tcPr>
            <w:tcW w:w="1838" w:type="dxa"/>
            <w:vMerge/>
            <w:tcBorders>
              <w:left w:val="single" w:sz="4" w:space="0" w:color="auto"/>
              <w:right w:val="single" w:sz="4" w:space="0" w:color="auto"/>
            </w:tcBorders>
            <w:vAlign w:val="center"/>
            <w:hideMark/>
          </w:tcPr>
          <w:p w14:paraId="207CCBBB" w14:textId="77777777" w:rsidR="002E3CE8" w:rsidRPr="00520861" w:rsidRDefault="002E3CE8" w:rsidP="00292D2E">
            <w:pPr>
              <w:widowControl w:val="0"/>
              <w:spacing w:line="360" w:lineRule="auto"/>
              <w:rPr>
                <w:rFonts w:eastAsia="Calibri"/>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6EA07C2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w:t>
            </w:r>
          </w:p>
          <w:p w14:paraId="1DC7DF5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GA</w:t>
            </w:r>
          </w:p>
          <w:p w14:paraId="17D04AD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w:t>
            </w:r>
          </w:p>
        </w:tc>
        <w:tc>
          <w:tcPr>
            <w:tcW w:w="1276" w:type="dxa"/>
            <w:tcBorders>
              <w:top w:val="single" w:sz="4" w:space="0" w:color="auto"/>
              <w:left w:val="single" w:sz="4" w:space="0" w:color="auto"/>
              <w:bottom w:val="single" w:sz="4" w:space="0" w:color="auto"/>
              <w:right w:val="single" w:sz="4" w:space="0" w:color="auto"/>
            </w:tcBorders>
            <w:hideMark/>
          </w:tcPr>
          <w:p w14:paraId="2CD447C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4,840</w:t>
            </w:r>
          </w:p>
        </w:tc>
        <w:tc>
          <w:tcPr>
            <w:tcW w:w="1225" w:type="dxa"/>
            <w:tcBorders>
              <w:top w:val="single" w:sz="4" w:space="0" w:color="auto"/>
              <w:left w:val="single" w:sz="4" w:space="0" w:color="auto"/>
              <w:bottom w:val="single" w:sz="4" w:space="0" w:color="auto"/>
              <w:right w:val="single" w:sz="4" w:space="0" w:color="auto"/>
            </w:tcBorders>
            <w:hideMark/>
          </w:tcPr>
          <w:p w14:paraId="66D2EBD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3,300</w:t>
            </w:r>
          </w:p>
          <w:p w14:paraId="44AF9B8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0,171</w:t>
            </w:r>
          </w:p>
          <w:p w14:paraId="1FEEA23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4,471</w:t>
            </w:r>
          </w:p>
        </w:tc>
        <w:tc>
          <w:tcPr>
            <w:tcW w:w="2130" w:type="dxa"/>
            <w:tcBorders>
              <w:top w:val="single" w:sz="4" w:space="0" w:color="auto"/>
              <w:left w:val="single" w:sz="4" w:space="0" w:color="auto"/>
              <w:bottom w:val="single" w:sz="4" w:space="0" w:color="auto"/>
              <w:right w:val="single" w:sz="4" w:space="0" w:color="auto"/>
            </w:tcBorders>
            <w:hideMark/>
          </w:tcPr>
          <w:p w14:paraId="20D23B2D"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0,876–12,426</w:t>
            </w:r>
          </w:p>
          <w:p w14:paraId="3C34F85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0,045–0,658</w:t>
            </w:r>
          </w:p>
          <w:p w14:paraId="572867B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0,454–44,013</w:t>
            </w:r>
          </w:p>
        </w:tc>
        <w:tc>
          <w:tcPr>
            <w:tcW w:w="900" w:type="dxa"/>
            <w:tcBorders>
              <w:top w:val="single" w:sz="4" w:space="0" w:color="auto"/>
              <w:left w:val="single" w:sz="4" w:space="0" w:color="auto"/>
              <w:bottom w:val="single" w:sz="4" w:space="0" w:color="auto"/>
              <w:right w:val="single" w:sz="4" w:space="0" w:color="auto"/>
            </w:tcBorders>
            <w:hideMark/>
          </w:tcPr>
          <w:p w14:paraId="441FBB3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0,089 </w:t>
            </w:r>
          </w:p>
        </w:tc>
      </w:tr>
      <w:tr w:rsidR="002E3CE8" w:rsidRPr="00520861" w14:paraId="6CBB1D59" w14:textId="77777777" w:rsidTr="00292D2E">
        <w:trPr>
          <w:jc w:val="center"/>
        </w:trPr>
        <w:tc>
          <w:tcPr>
            <w:tcW w:w="1838" w:type="dxa"/>
            <w:vMerge/>
            <w:tcBorders>
              <w:left w:val="single" w:sz="4" w:space="0" w:color="auto"/>
              <w:right w:val="single" w:sz="4" w:space="0" w:color="auto"/>
            </w:tcBorders>
            <w:vAlign w:val="center"/>
            <w:hideMark/>
          </w:tcPr>
          <w:p w14:paraId="7B1CE9D2" w14:textId="77777777" w:rsidR="002E3CE8" w:rsidRPr="00520861" w:rsidRDefault="002E3CE8" w:rsidP="00292D2E">
            <w:pPr>
              <w:widowControl w:val="0"/>
              <w:spacing w:line="360" w:lineRule="auto"/>
              <w:rPr>
                <w:rFonts w:eastAsia="Calibri"/>
                <w:sz w:val="28"/>
                <w:szCs w:val="28"/>
              </w:rPr>
            </w:pPr>
          </w:p>
        </w:tc>
        <w:tc>
          <w:tcPr>
            <w:tcW w:w="7374" w:type="dxa"/>
            <w:gridSpan w:val="5"/>
            <w:tcBorders>
              <w:top w:val="single" w:sz="4" w:space="0" w:color="auto"/>
              <w:left w:val="single" w:sz="4" w:space="0" w:color="auto"/>
              <w:bottom w:val="single" w:sz="4" w:space="0" w:color="auto"/>
              <w:right w:val="single" w:sz="4" w:space="0" w:color="auto"/>
            </w:tcBorders>
            <w:hideMark/>
          </w:tcPr>
          <w:p w14:paraId="1F431CF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Рецесивна модель</w:t>
            </w:r>
          </w:p>
        </w:tc>
      </w:tr>
      <w:tr w:rsidR="002E3CE8" w:rsidRPr="00520861" w14:paraId="6EEB5F9F" w14:textId="77777777" w:rsidTr="00292D2E">
        <w:trPr>
          <w:jc w:val="center"/>
        </w:trPr>
        <w:tc>
          <w:tcPr>
            <w:tcW w:w="1838" w:type="dxa"/>
            <w:vMerge/>
            <w:tcBorders>
              <w:left w:val="single" w:sz="4" w:space="0" w:color="auto"/>
              <w:right w:val="single" w:sz="4" w:space="0" w:color="auto"/>
            </w:tcBorders>
            <w:vAlign w:val="center"/>
            <w:hideMark/>
          </w:tcPr>
          <w:p w14:paraId="6161D591" w14:textId="77777777" w:rsidR="002E3CE8" w:rsidRPr="00520861" w:rsidRDefault="002E3CE8" w:rsidP="00292D2E">
            <w:pPr>
              <w:widowControl w:val="0"/>
              <w:spacing w:line="360" w:lineRule="auto"/>
              <w:rPr>
                <w:rFonts w:eastAsia="Calibri"/>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014B0DC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 +GA</w:t>
            </w:r>
          </w:p>
          <w:p w14:paraId="375CF0B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AA</w:t>
            </w:r>
          </w:p>
        </w:tc>
        <w:tc>
          <w:tcPr>
            <w:tcW w:w="1276" w:type="dxa"/>
            <w:tcBorders>
              <w:top w:val="single" w:sz="4" w:space="0" w:color="auto"/>
              <w:left w:val="single" w:sz="4" w:space="0" w:color="auto"/>
              <w:bottom w:val="single" w:sz="4" w:space="0" w:color="auto"/>
              <w:right w:val="single" w:sz="4" w:space="0" w:color="auto"/>
            </w:tcBorders>
            <w:hideMark/>
          </w:tcPr>
          <w:p w14:paraId="038BCA1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0,804</w:t>
            </w:r>
          </w:p>
        </w:tc>
        <w:tc>
          <w:tcPr>
            <w:tcW w:w="1225" w:type="dxa"/>
            <w:tcBorders>
              <w:top w:val="single" w:sz="4" w:space="0" w:color="auto"/>
              <w:left w:val="single" w:sz="4" w:space="0" w:color="auto"/>
              <w:bottom w:val="single" w:sz="4" w:space="0" w:color="auto"/>
              <w:right w:val="single" w:sz="4" w:space="0" w:color="auto"/>
            </w:tcBorders>
            <w:hideMark/>
          </w:tcPr>
          <w:p w14:paraId="24D4B45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0,224</w:t>
            </w:r>
          </w:p>
          <w:p w14:paraId="0F173B3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4,471</w:t>
            </w:r>
          </w:p>
        </w:tc>
        <w:tc>
          <w:tcPr>
            <w:tcW w:w="2130" w:type="dxa"/>
            <w:tcBorders>
              <w:top w:val="single" w:sz="4" w:space="0" w:color="auto"/>
              <w:left w:val="single" w:sz="4" w:space="0" w:color="auto"/>
              <w:bottom w:val="single" w:sz="4" w:space="0" w:color="auto"/>
              <w:right w:val="single" w:sz="4" w:space="0" w:color="auto"/>
            </w:tcBorders>
            <w:hideMark/>
          </w:tcPr>
          <w:p w14:paraId="0948272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0,023–2,202</w:t>
            </w:r>
          </w:p>
          <w:p w14:paraId="3013633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0,454–44,013</w:t>
            </w:r>
          </w:p>
        </w:tc>
        <w:tc>
          <w:tcPr>
            <w:tcW w:w="900" w:type="dxa"/>
            <w:tcBorders>
              <w:top w:val="single" w:sz="4" w:space="0" w:color="auto"/>
              <w:left w:val="single" w:sz="4" w:space="0" w:color="auto"/>
              <w:bottom w:val="single" w:sz="4" w:space="0" w:color="auto"/>
              <w:right w:val="single" w:sz="4" w:space="0" w:color="auto"/>
            </w:tcBorders>
            <w:hideMark/>
          </w:tcPr>
          <w:p w14:paraId="72D19FC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0,370</w:t>
            </w:r>
          </w:p>
        </w:tc>
      </w:tr>
      <w:tr w:rsidR="002E3CE8" w:rsidRPr="00520861" w14:paraId="75ECFD29" w14:textId="77777777" w:rsidTr="00292D2E">
        <w:trPr>
          <w:jc w:val="center"/>
        </w:trPr>
        <w:tc>
          <w:tcPr>
            <w:tcW w:w="1838" w:type="dxa"/>
            <w:vMerge/>
            <w:tcBorders>
              <w:left w:val="single" w:sz="4" w:space="0" w:color="auto"/>
              <w:right w:val="single" w:sz="4" w:space="0" w:color="auto"/>
            </w:tcBorders>
            <w:vAlign w:val="center"/>
            <w:hideMark/>
          </w:tcPr>
          <w:p w14:paraId="56C037CB" w14:textId="77777777" w:rsidR="002E3CE8" w:rsidRPr="00520861" w:rsidRDefault="002E3CE8" w:rsidP="00292D2E">
            <w:pPr>
              <w:widowControl w:val="0"/>
              <w:spacing w:line="360" w:lineRule="auto"/>
              <w:rPr>
                <w:rFonts w:eastAsia="Calibri"/>
                <w:sz w:val="28"/>
                <w:szCs w:val="28"/>
              </w:rPr>
            </w:pPr>
          </w:p>
        </w:tc>
        <w:tc>
          <w:tcPr>
            <w:tcW w:w="7374" w:type="dxa"/>
            <w:gridSpan w:val="5"/>
            <w:tcBorders>
              <w:top w:val="single" w:sz="4" w:space="0" w:color="auto"/>
              <w:left w:val="single" w:sz="4" w:space="0" w:color="auto"/>
              <w:bottom w:val="single" w:sz="4" w:space="0" w:color="auto"/>
              <w:right w:val="single" w:sz="4" w:space="0" w:color="auto"/>
            </w:tcBorders>
            <w:hideMark/>
          </w:tcPr>
          <w:p w14:paraId="2729494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Домінантна модель</w:t>
            </w:r>
          </w:p>
        </w:tc>
      </w:tr>
      <w:tr w:rsidR="002E3CE8" w:rsidRPr="00520861" w14:paraId="7D41A9A1" w14:textId="77777777" w:rsidTr="00292D2E">
        <w:trPr>
          <w:jc w:val="center"/>
        </w:trPr>
        <w:tc>
          <w:tcPr>
            <w:tcW w:w="1838" w:type="dxa"/>
            <w:vMerge/>
            <w:tcBorders>
              <w:left w:val="single" w:sz="4" w:space="0" w:color="auto"/>
              <w:right w:val="single" w:sz="4" w:space="0" w:color="auto"/>
            </w:tcBorders>
            <w:vAlign w:val="center"/>
            <w:hideMark/>
          </w:tcPr>
          <w:p w14:paraId="1FB8FBF7" w14:textId="77777777" w:rsidR="002E3CE8" w:rsidRPr="00520861" w:rsidRDefault="002E3CE8" w:rsidP="00292D2E">
            <w:pPr>
              <w:widowControl w:val="0"/>
              <w:spacing w:line="360" w:lineRule="auto"/>
              <w:rPr>
                <w:rFonts w:eastAsia="Calibri"/>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16A7062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GG </w:t>
            </w:r>
          </w:p>
          <w:p w14:paraId="20A2D9D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GA + AA</w:t>
            </w:r>
          </w:p>
        </w:tc>
        <w:tc>
          <w:tcPr>
            <w:tcW w:w="1276" w:type="dxa"/>
            <w:tcBorders>
              <w:top w:val="single" w:sz="4" w:space="0" w:color="auto"/>
              <w:left w:val="single" w:sz="4" w:space="0" w:color="auto"/>
              <w:bottom w:val="single" w:sz="4" w:space="0" w:color="auto"/>
              <w:right w:val="single" w:sz="4" w:space="0" w:color="auto"/>
            </w:tcBorders>
            <w:hideMark/>
          </w:tcPr>
          <w:p w14:paraId="228BA2E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2,179</w:t>
            </w:r>
          </w:p>
        </w:tc>
        <w:tc>
          <w:tcPr>
            <w:tcW w:w="1225" w:type="dxa"/>
            <w:tcBorders>
              <w:top w:val="single" w:sz="4" w:space="0" w:color="auto"/>
              <w:left w:val="single" w:sz="4" w:space="0" w:color="auto"/>
              <w:bottom w:val="single" w:sz="4" w:space="0" w:color="auto"/>
              <w:right w:val="single" w:sz="4" w:space="0" w:color="auto"/>
            </w:tcBorders>
            <w:hideMark/>
          </w:tcPr>
          <w:p w14:paraId="61F5990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3,300</w:t>
            </w:r>
          </w:p>
          <w:p w14:paraId="25FBF62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0,303</w:t>
            </w:r>
          </w:p>
        </w:tc>
        <w:tc>
          <w:tcPr>
            <w:tcW w:w="2130" w:type="dxa"/>
            <w:tcBorders>
              <w:top w:val="single" w:sz="4" w:space="0" w:color="auto"/>
              <w:left w:val="single" w:sz="4" w:space="0" w:color="auto"/>
              <w:bottom w:val="single" w:sz="4" w:space="0" w:color="auto"/>
              <w:right w:val="single" w:sz="4" w:space="0" w:color="auto"/>
            </w:tcBorders>
            <w:hideMark/>
          </w:tcPr>
          <w:p w14:paraId="4E1F5637"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0,876–12,426</w:t>
            </w:r>
          </w:p>
          <w:p w14:paraId="233B553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0,080–1,141</w:t>
            </w:r>
          </w:p>
        </w:tc>
        <w:tc>
          <w:tcPr>
            <w:tcW w:w="900" w:type="dxa"/>
            <w:tcBorders>
              <w:top w:val="single" w:sz="4" w:space="0" w:color="auto"/>
              <w:left w:val="single" w:sz="4" w:space="0" w:color="auto"/>
              <w:bottom w:val="single" w:sz="4" w:space="0" w:color="auto"/>
              <w:right w:val="single" w:sz="4" w:space="0" w:color="auto"/>
            </w:tcBorders>
            <w:hideMark/>
          </w:tcPr>
          <w:p w14:paraId="36412BF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0,140</w:t>
            </w:r>
          </w:p>
        </w:tc>
      </w:tr>
      <w:tr w:rsidR="002E3CE8" w:rsidRPr="00520861" w14:paraId="71DA892A" w14:textId="77777777" w:rsidTr="00292D2E">
        <w:trPr>
          <w:jc w:val="center"/>
        </w:trPr>
        <w:tc>
          <w:tcPr>
            <w:tcW w:w="1838" w:type="dxa"/>
            <w:vMerge/>
            <w:tcBorders>
              <w:left w:val="single" w:sz="4" w:space="0" w:color="auto"/>
              <w:right w:val="single" w:sz="4" w:space="0" w:color="auto"/>
            </w:tcBorders>
            <w:vAlign w:val="center"/>
            <w:hideMark/>
          </w:tcPr>
          <w:p w14:paraId="5B157714" w14:textId="77777777" w:rsidR="002E3CE8" w:rsidRPr="00520861" w:rsidRDefault="002E3CE8" w:rsidP="00292D2E">
            <w:pPr>
              <w:widowControl w:val="0"/>
              <w:spacing w:line="360" w:lineRule="auto"/>
              <w:rPr>
                <w:rFonts w:eastAsia="Calibri"/>
                <w:sz w:val="28"/>
                <w:szCs w:val="28"/>
              </w:rPr>
            </w:pPr>
          </w:p>
        </w:tc>
        <w:tc>
          <w:tcPr>
            <w:tcW w:w="7374" w:type="dxa"/>
            <w:gridSpan w:val="5"/>
            <w:tcBorders>
              <w:top w:val="single" w:sz="4" w:space="0" w:color="auto"/>
              <w:left w:val="single" w:sz="4" w:space="0" w:color="auto"/>
              <w:bottom w:val="single" w:sz="4" w:space="0" w:color="auto"/>
              <w:right w:val="single" w:sz="4" w:space="0" w:color="auto"/>
            </w:tcBorders>
            <w:hideMark/>
          </w:tcPr>
          <w:p w14:paraId="61862230" w14:textId="77777777" w:rsidR="002E3CE8" w:rsidRPr="00520861" w:rsidRDefault="002E3CE8" w:rsidP="00292D2E">
            <w:pPr>
              <w:widowControl w:val="0"/>
              <w:spacing w:line="360" w:lineRule="auto"/>
              <w:jc w:val="center"/>
              <w:rPr>
                <w:rFonts w:eastAsia="Calibri"/>
                <w:sz w:val="28"/>
                <w:szCs w:val="28"/>
              </w:rPr>
            </w:pPr>
            <w:proofErr w:type="spellStart"/>
            <w:r w:rsidRPr="00520861">
              <w:rPr>
                <w:rFonts w:eastAsia="Calibri"/>
                <w:sz w:val="28"/>
                <w:szCs w:val="28"/>
              </w:rPr>
              <w:t>Наддомінантна</w:t>
            </w:r>
            <w:proofErr w:type="spellEnd"/>
            <w:r w:rsidRPr="00520861">
              <w:rPr>
                <w:rFonts w:eastAsia="Calibri"/>
                <w:sz w:val="28"/>
                <w:szCs w:val="28"/>
              </w:rPr>
              <w:t xml:space="preserve"> модель</w:t>
            </w:r>
          </w:p>
        </w:tc>
      </w:tr>
      <w:tr w:rsidR="002E3CE8" w:rsidRPr="00520861" w14:paraId="353DF9E7" w14:textId="77777777" w:rsidTr="00292D2E">
        <w:trPr>
          <w:jc w:val="center"/>
        </w:trPr>
        <w:tc>
          <w:tcPr>
            <w:tcW w:w="1838" w:type="dxa"/>
            <w:vMerge/>
            <w:tcBorders>
              <w:left w:val="single" w:sz="4" w:space="0" w:color="auto"/>
              <w:right w:val="single" w:sz="4" w:space="0" w:color="auto"/>
            </w:tcBorders>
            <w:vAlign w:val="center"/>
            <w:hideMark/>
          </w:tcPr>
          <w:p w14:paraId="67CD0884" w14:textId="77777777" w:rsidR="002E3CE8" w:rsidRPr="00520861" w:rsidRDefault="002E3CE8" w:rsidP="00292D2E">
            <w:pPr>
              <w:widowControl w:val="0"/>
              <w:spacing w:line="360" w:lineRule="auto"/>
              <w:rPr>
                <w:rFonts w:eastAsia="Calibri"/>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3FCC9E5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GG + AA</w:t>
            </w:r>
          </w:p>
          <w:p w14:paraId="27E29EF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GA</w:t>
            </w:r>
          </w:p>
        </w:tc>
        <w:tc>
          <w:tcPr>
            <w:tcW w:w="1276" w:type="dxa"/>
            <w:tcBorders>
              <w:top w:val="single" w:sz="4" w:space="0" w:color="auto"/>
              <w:left w:val="single" w:sz="4" w:space="0" w:color="auto"/>
              <w:bottom w:val="single" w:sz="4" w:space="0" w:color="auto"/>
              <w:right w:val="single" w:sz="4" w:space="0" w:color="auto"/>
            </w:tcBorders>
            <w:hideMark/>
          </w:tcPr>
          <w:p w14:paraId="3BF9F24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5,476</w:t>
            </w:r>
          </w:p>
        </w:tc>
        <w:tc>
          <w:tcPr>
            <w:tcW w:w="1225" w:type="dxa"/>
            <w:tcBorders>
              <w:top w:val="single" w:sz="4" w:space="0" w:color="auto"/>
              <w:left w:val="single" w:sz="4" w:space="0" w:color="auto"/>
              <w:bottom w:val="single" w:sz="4" w:space="0" w:color="auto"/>
              <w:right w:val="single" w:sz="4" w:space="0" w:color="auto"/>
            </w:tcBorders>
            <w:hideMark/>
          </w:tcPr>
          <w:p w14:paraId="7ED15C1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5,833</w:t>
            </w:r>
          </w:p>
          <w:p w14:paraId="40C7FD8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0,171</w:t>
            </w:r>
          </w:p>
        </w:tc>
        <w:tc>
          <w:tcPr>
            <w:tcW w:w="2130" w:type="dxa"/>
            <w:tcBorders>
              <w:top w:val="single" w:sz="4" w:space="0" w:color="auto"/>
              <w:left w:val="single" w:sz="4" w:space="0" w:color="auto"/>
              <w:bottom w:val="single" w:sz="4" w:space="0" w:color="auto"/>
              <w:right w:val="single" w:sz="4" w:space="0" w:color="auto"/>
            </w:tcBorders>
            <w:hideMark/>
          </w:tcPr>
          <w:p w14:paraId="5356366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1,519–22,406</w:t>
            </w:r>
          </w:p>
          <w:p w14:paraId="2D70F743"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0,045-0,658</w:t>
            </w:r>
          </w:p>
        </w:tc>
        <w:tc>
          <w:tcPr>
            <w:tcW w:w="900" w:type="dxa"/>
            <w:tcBorders>
              <w:top w:val="single" w:sz="4" w:space="0" w:color="auto"/>
              <w:left w:val="single" w:sz="4" w:space="0" w:color="auto"/>
              <w:bottom w:val="single" w:sz="4" w:space="0" w:color="auto"/>
              <w:right w:val="single" w:sz="4" w:space="0" w:color="auto"/>
            </w:tcBorders>
            <w:hideMark/>
          </w:tcPr>
          <w:p w14:paraId="61CA9EE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0,019</w:t>
            </w:r>
          </w:p>
        </w:tc>
      </w:tr>
      <w:tr w:rsidR="002E3CE8" w:rsidRPr="00520861" w14:paraId="2F0867C7" w14:textId="77777777" w:rsidTr="00292D2E">
        <w:trPr>
          <w:jc w:val="center"/>
        </w:trPr>
        <w:tc>
          <w:tcPr>
            <w:tcW w:w="1838" w:type="dxa"/>
            <w:vMerge/>
            <w:tcBorders>
              <w:left w:val="single" w:sz="4" w:space="0" w:color="auto"/>
              <w:right w:val="single" w:sz="4" w:space="0" w:color="auto"/>
            </w:tcBorders>
            <w:vAlign w:val="center"/>
            <w:hideMark/>
          </w:tcPr>
          <w:p w14:paraId="25A8D66E" w14:textId="77777777" w:rsidR="002E3CE8" w:rsidRPr="00520861" w:rsidRDefault="002E3CE8" w:rsidP="00292D2E">
            <w:pPr>
              <w:widowControl w:val="0"/>
              <w:spacing w:line="360" w:lineRule="auto"/>
              <w:rPr>
                <w:rFonts w:eastAsia="Calibri"/>
                <w:sz w:val="28"/>
                <w:szCs w:val="28"/>
              </w:rPr>
            </w:pPr>
          </w:p>
        </w:tc>
        <w:tc>
          <w:tcPr>
            <w:tcW w:w="7374" w:type="dxa"/>
            <w:gridSpan w:val="5"/>
            <w:tcBorders>
              <w:top w:val="single" w:sz="4" w:space="0" w:color="auto"/>
              <w:left w:val="single" w:sz="4" w:space="0" w:color="auto"/>
              <w:bottom w:val="single" w:sz="4" w:space="0" w:color="auto"/>
              <w:right w:val="single" w:sz="4" w:space="0" w:color="auto"/>
            </w:tcBorders>
            <w:hideMark/>
          </w:tcPr>
          <w:p w14:paraId="593706B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Мультиплікативна модель</w:t>
            </w:r>
          </w:p>
        </w:tc>
      </w:tr>
      <w:tr w:rsidR="002E3CE8" w:rsidRPr="00520861" w14:paraId="527044C0" w14:textId="77777777" w:rsidTr="00292D2E">
        <w:trPr>
          <w:jc w:val="center"/>
        </w:trPr>
        <w:tc>
          <w:tcPr>
            <w:tcW w:w="1838" w:type="dxa"/>
            <w:vMerge/>
            <w:tcBorders>
              <w:left w:val="single" w:sz="4" w:space="0" w:color="auto"/>
              <w:bottom w:val="single" w:sz="4" w:space="0" w:color="auto"/>
              <w:right w:val="single" w:sz="4" w:space="0" w:color="auto"/>
            </w:tcBorders>
            <w:vAlign w:val="center"/>
            <w:hideMark/>
          </w:tcPr>
          <w:p w14:paraId="70820EF6" w14:textId="77777777" w:rsidR="002E3CE8" w:rsidRPr="00520861" w:rsidRDefault="002E3CE8" w:rsidP="00292D2E">
            <w:pPr>
              <w:widowControl w:val="0"/>
              <w:spacing w:line="360" w:lineRule="auto"/>
              <w:rPr>
                <w:rFonts w:eastAsia="Calibri"/>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4884F31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G </w:t>
            </w:r>
          </w:p>
          <w:p w14:paraId="2F6FBA9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A</w:t>
            </w:r>
          </w:p>
        </w:tc>
        <w:tc>
          <w:tcPr>
            <w:tcW w:w="1276" w:type="dxa"/>
            <w:tcBorders>
              <w:top w:val="single" w:sz="4" w:space="0" w:color="auto"/>
              <w:left w:val="single" w:sz="4" w:space="0" w:color="auto"/>
              <w:bottom w:val="single" w:sz="4" w:space="0" w:color="auto"/>
              <w:right w:val="single" w:sz="4" w:space="0" w:color="auto"/>
            </w:tcBorders>
            <w:hideMark/>
          </w:tcPr>
          <w:p w14:paraId="6C54F90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0,392</w:t>
            </w:r>
          </w:p>
        </w:tc>
        <w:tc>
          <w:tcPr>
            <w:tcW w:w="1225" w:type="dxa"/>
            <w:tcBorders>
              <w:top w:val="single" w:sz="4" w:space="0" w:color="auto"/>
              <w:left w:val="single" w:sz="4" w:space="0" w:color="auto"/>
              <w:bottom w:val="single" w:sz="4" w:space="0" w:color="auto"/>
              <w:right w:val="single" w:sz="4" w:space="0" w:color="auto"/>
            </w:tcBorders>
            <w:hideMark/>
          </w:tcPr>
          <w:p w14:paraId="12E2962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1,333</w:t>
            </w:r>
          </w:p>
          <w:p w14:paraId="19A62AF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0,750</w:t>
            </w:r>
          </w:p>
        </w:tc>
        <w:tc>
          <w:tcPr>
            <w:tcW w:w="2130" w:type="dxa"/>
            <w:tcBorders>
              <w:top w:val="single" w:sz="4" w:space="0" w:color="auto"/>
              <w:left w:val="single" w:sz="4" w:space="0" w:color="auto"/>
              <w:bottom w:val="single" w:sz="4" w:space="0" w:color="auto"/>
              <w:right w:val="single" w:sz="4" w:space="0" w:color="auto"/>
            </w:tcBorders>
            <w:hideMark/>
          </w:tcPr>
          <w:p w14:paraId="16CAD0F9"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0,542–3,283</w:t>
            </w:r>
          </w:p>
          <w:p w14:paraId="7DBF9D5F"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0,305–1,847</w:t>
            </w:r>
          </w:p>
        </w:tc>
        <w:tc>
          <w:tcPr>
            <w:tcW w:w="900" w:type="dxa"/>
            <w:tcBorders>
              <w:top w:val="single" w:sz="4" w:space="0" w:color="auto"/>
              <w:left w:val="single" w:sz="4" w:space="0" w:color="auto"/>
              <w:bottom w:val="single" w:sz="4" w:space="0" w:color="auto"/>
              <w:right w:val="single" w:sz="4" w:space="0" w:color="auto"/>
            </w:tcBorders>
            <w:hideMark/>
          </w:tcPr>
          <w:p w14:paraId="3B05393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0,531</w:t>
            </w:r>
          </w:p>
        </w:tc>
      </w:tr>
    </w:tbl>
    <w:p w14:paraId="380A50D1" w14:textId="77777777" w:rsidR="002E3CE8" w:rsidRPr="00520861" w:rsidRDefault="002E3CE8" w:rsidP="00292D2E">
      <w:pPr>
        <w:widowControl w:val="0"/>
        <w:spacing w:after="160" w:line="360" w:lineRule="auto"/>
        <w:jc w:val="right"/>
        <w:rPr>
          <w:rFonts w:eastAsiaTheme="minorHAnsi"/>
          <w:i/>
          <w:sz w:val="28"/>
          <w:szCs w:val="28"/>
          <w:lang w:eastAsia="en-US"/>
        </w:rPr>
      </w:pPr>
    </w:p>
    <w:p w14:paraId="7ECB3E4F"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Отримані та опубліковані в цьому підрозділі результати вказують на те, що </w:t>
      </w:r>
      <w:r w:rsidR="00A656B7" w:rsidRPr="00520861">
        <w:rPr>
          <w:rFonts w:eastAsia="Calibri"/>
          <w:sz w:val="28"/>
          <w:szCs w:val="28"/>
          <w:lang w:eastAsia="en-US"/>
        </w:rPr>
        <w:br/>
      </w:r>
      <w:r w:rsidRPr="00520861">
        <w:rPr>
          <w:rFonts w:eastAsia="Calibri"/>
          <w:sz w:val="28"/>
          <w:szCs w:val="28"/>
          <w:lang w:eastAsia="en-US"/>
        </w:rPr>
        <w:t xml:space="preserve">поліморфні варіанти генів </w:t>
      </w:r>
      <w:r w:rsidRPr="00520861">
        <w:rPr>
          <w:rFonts w:eastAsia="Calibri"/>
          <w:i/>
          <w:sz w:val="28"/>
          <w:szCs w:val="28"/>
          <w:lang w:eastAsia="en-US"/>
        </w:rPr>
        <w:t>IL10</w:t>
      </w:r>
      <w:r w:rsidRPr="00520861">
        <w:rPr>
          <w:rFonts w:eastAsia="Calibri"/>
          <w:sz w:val="28"/>
          <w:szCs w:val="28"/>
          <w:lang w:eastAsia="en-US"/>
        </w:rPr>
        <w:t xml:space="preserve"> [rs1800896] та </w:t>
      </w:r>
      <w:r w:rsidRPr="00520861">
        <w:rPr>
          <w:rFonts w:eastAsia="Calibri"/>
          <w:i/>
          <w:sz w:val="28"/>
          <w:szCs w:val="28"/>
          <w:lang w:eastAsia="en-US"/>
        </w:rPr>
        <w:t>RANKL</w:t>
      </w:r>
      <w:r w:rsidRPr="00520861">
        <w:rPr>
          <w:rFonts w:eastAsia="Calibri"/>
          <w:sz w:val="28"/>
          <w:szCs w:val="28"/>
          <w:lang w:eastAsia="en-US"/>
        </w:rPr>
        <w:t xml:space="preserve"> [rs9594759], починаючи з ВУ періоду, модулюють ризик затримки або передчасного прорізування зубів за умови формування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яка пов’язана з особливостями поліморфізму за генами </w:t>
      </w:r>
      <w:r w:rsidRPr="00520861">
        <w:rPr>
          <w:rFonts w:eastAsia="Calibri"/>
          <w:i/>
          <w:sz w:val="28"/>
          <w:szCs w:val="28"/>
          <w:lang w:eastAsia="en-US"/>
        </w:rPr>
        <w:t>CYP19A1</w:t>
      </w:r>
      <w:r w:rsidRPr="00520861">
        <w:rPr>
          <w:rFonts w:eastAsia="Calibri"/>
          <w:sz w:val="28"/>
          <w:szCs w:val="28"/>
          <w:lang w:eastAsia="en-US"/>
        </w:rPr>
        <w:t xml:space="preserve"> та </w:t>
      </w:r>
      <w:r w:rsidRPr="00520861">
        <w:rPr>
          <w:rFonts w:eastAsia="Calibri"/>
          <w:i/>
          <w:sz w:val="28"/>
          <w:szCs w:val="28"/>
          <w:lang w:eastAsia="en-US"/>
        </w:rPr>
        <w:t>ESR1</w:t>
      </w:r>
      <w:r w:rsidRPr="00520861">
        <w:rPr>
          <w:rFonts w:eastAsia="Calibri"/>
          <w:sz w:val="28"/>
          <w:szCs w:val="28"/>
          <w:lang w:eastAsia="en-US"/>
        </w:rPr>
        <w:t>.</w:t>
      </w:r>
    </w:p>
    <w:p w14:paraId="56225B7A" w14:textId="77777777" w:rsidR="002E3CE8" w:rsidRPr="00520861" w:rsidRDefault="002E3CE8" w:rsidP="00292D2E">
      <w:pPr>
        <w:widowControl w:val="0"/>
        <w:spacing w:line="360" w:lineRule="auto"/>
        <w:ind w:firstLine="709"/>
        <w:jc w:val="both"/>
        <w:rPr>
          <w:rFonts w:eastAsia="Calibri"/>
          <w:b/>
          <w:sz w:val="28"/>
          <w:szCs w:val="28"/>
          <w:lang w:eastAsia="en-US"/>
        </w:rPr>
      </w:pPr>
      <w:r w:rsidRPr="00520861">
        <w:rPr>
          <w:rFonts w:eastAsia="Calibri"/>
          <w:b/>
          <w:sz w:val="28"/>
          <w:szCs w:val="28"/>
          <w:lang w:eastAsia="en-US"/>
        </w:rPr>
        <w:lastRenderedPageBreak/>
        <w:t>5.9. Результати виявлення асоціації між поліморфізмом генів CYP19A1 [rs2414096, rs936306], ESR1[rs2234693, rs9340799], RANKL [rs9594738, rs9594759], IL6 [rs1800796], IL1</w:t>
      </w:r>
      <w:r w:rsidRPr="00520861">
        <w:rPr>
          <w:rFonts w:eastAsia="Calibri"/>
          <w:b/>
          <w:sz w:val="28"/>
          <w:szCs w:val="28"/>
          <w:lang w:eastAsia="en-US"/>
        </w:rPr>
        <w:sym w:font="Symbol" w:char="F062"/>
      </w:r>
      <w:r w:rsidRPr="00520861">
        <w:rPr>
          <w:rFonts w:eastAsia="Calibri"/>
          <w:b/>
          <w:sz w:val="28"/>
          <w:szCs w:val="28"/>
          <w:lang w:eastAsia="en-US"/>
        </w:rPr>
        <w:t xml:space="preserve"> [rs1143627] і IL10 [rs1800896] та ризиком </w:t>
      </w:r>
      <w:r w:rsidRPr="00520861">
        <w:rPr>
          <w:rFonts w:eastAsia="Calibri"/>
          <w:b/>
          <w:sz w:val="28"/>
          <w:szCs w:val="28"/>
          <w:lang w:eastAsia="en-US"/>
        </w:rPr>
        <w:br/>
        <w:t xml:space="preserve">розвитку </w:t>
      </w:r>
      <w:proofErr w:type="spellStart"/>
      <w:r w:rsidRPr="00520861">
        <w:rPr>
          <w:rFonts w:eastAsia="Calibri"/>
          <w:b/>
          <w:sz w:val="28"/>
          <w:szCs w:val="28"/>
          <w:lang w:eastAsia="en-US"/>
        </w:rPr>
        <w:t>зубощелепних</w:t>
      </w:r>
      <w:proofErr w:type="spellEnd"/>
      <w:r w:rsidRPr="00520861">
        <w:rPr>
          <w:rFonts w:eastAsia="Calibri"/>
          <w:b/>
          <w:sz w:val="28"/>
          <w:szCs w:val="28"/>
          <w:lang w:eastAsia="en-US"/>
        </w:rPr>
        <w:t xml:space="preserve"> аномалій в осіб, які народилися </w:t>
      </w:r>
      <w:proofErr w:type="spellStart"/>
      <w:r w:rsidRPr="00520861">
        <w:rPr>
          <w:rFonts w:eastAsia="Calibri"/>
          <w:b/>
          <w:sz w:val="28"/>
          <w:szCs w:val="28"/>
          <w:lang w:eastAsia="en-US"/>
        </w:rPr>
        <w:t>макросомами</w:t>
      </w:r>
      <w:proofErr w:type="spellEnd"/>
    </w:p>
    <w:p w14:paraId="7F1C3E0B" w14:textId="77777777" w:rsidR="002E3CE8" w:rsidRPr="00520861" w:rsidRDefault="002E3CE8" w:rsidP="00292D2E">
      <w:pPr>
        <w:widowControl w:val="0"/>
        <w:spacing w:line="360" w:lineRule="auto"/>
        <w:ind w:firstLine="709"/>
        <w:jc w:val="both"/>
        <w:rPr>
          <w:rFonts w:eastAsia="Calibri"/>
          <w:sz w:val="28"/>
          <w:szCs w:val="28"/>
          <w:lang w:eastAsia="en-US"/>
        </w:rPr>
      </w:pPr>
    </w:p>
    <w:p w14:paraId="79852D52" w14:textId="77777777" w:rsidR="002E3CE8" w:rsidRPr="00520861" w:rsidRDefault="002E3CE8" w:rsidP="00292D2E">
      <w:pPr>
        <w:widowControl w:val="0"/>
        <w:spacing w:line="360" w:lineRule="auto"/>
        <w:ind w:firstLine="709"/>
        <w:jc w:val="both"/>
        <w:rPr>
          <w:rFonts w:eastAsia="Calibri"/>
          <w:bCs/>
          <w:sz w:val="28"/>
          <w:szCs w:val="28"/>
          <w:lang w:eastAsia="en-US"/>
        </w:rPr>
      </w:pPr>
      <w:r w:rsidRPr="00520861">
        <w:rPr>
          <w:rFonts w:eastAsia="Calibri"/>
          <w:sz w:val="28"/>
          <w:szCs w:val="28"/>
          <w:lang w:eastAsia="en-US"/>
        </w:rPr>
        <w:t xml:space="preserve">Перед початком порівнянь </w:t>
      </w:r>
      <w:r w:rsidRPr="00520861">
        <w:rPr>
          <w:rFonts w:eastAsiaTheme="minorHAnsi"/>
          <w:sz w:val="28"/>
          <w:szCs w:val="28"/>
          <w:lang w:eastAsia="en-US"/>
        </w:rPr>
        <w:t>частот розподілу генотипів у різних парах груп</w:t>
      </w:r>
      <w:r w:rsidRPr="00520861">
        <w:rPr>
          <w:rFonts w:eastAsia="Calibri"/>
          <w:sz w:val="28"/>
          <w:szCs w:val="28"/>
          <w:lang w:eastAsia="en-US"/>
        </w:rPr>
        <w:t xml:space="preserve"> та аналізом отриманих результатів ми оцінили розподіл генотипів за генами</w:t>
      </w:r>
      <w:r w:rsidRPr="00520861">
        <w:rPr>
          <w:rFonts w:eastAsia="Calibri"/>
          <w:i/>
          <w:sz w:val="28"/>
          <w:szCs w:val="28"/>
          <w:lang w:eastAsia="en-US"/>
        </w:rPr>
        <w:t xml:space="preserve"> CYP19A1, ESR1, </w:t>
      </w:r>
      <w:r w:rsidRPr="00520861">
        <w:rPr>
          <w:rFonts w:eastAsia="Calibri"/>
          <w:bCs/>
          <w:i/>
          <w:sz w:val="28"/>
          <w:szCs w:val="28"/>
          <w:lang w:eastAsia="en-US"/>
        </w:rPr>
        <w:t xml:space="preserve">IL1, IL6, IL10 </w:t>
      </w:r>
      <w:r w:rsidRPr="00520861">
        <w:rPr>
          <w:rFonts w:eastAsia="Calibri"/>
          <w:bCs/>
          <w:sz w:val="28"/>
          <w:szCs w:val="28"/>
          <w:lang w:eastAsia="en-US"/>
        </w:rPr>
        <w:t xml:space="preserve">і </w:t>
      </w:r>
      <w:r w:rsidRPr="00520861">
        <w:rPr>
          <w:rFonts w:eastAsia="Calibri"/>
          <w:bCs/>
          <w:i/>
          <w:sz w:val="28"/>
          <w:szCs w:val="28"/>
          <w:lang w:eastAsia="en-US"/>
        </w:rPr>
        <w:t>RANKL</w:t>
      </w:r>
      <w:r w:rsidRPr="00520861">
        <w:rPr>
          <w:rFonts w:eastAsia="Calibri"/>
          <w:bCs/>
          <w:sz w:val="28"/>
          <w:szCs w:val="28"/>
          <w:lang w:eastAsia="en-US"/>
        </w:rPr>
        <w:t xml:space="preserve"> </w:t>
      </w:r>
      <w:r w:rsidRPr="00520861">
        <w:rPr>
          <w:rFonts w:eastAsiaTheme="minorHAnsi"/>
          <w:bCs/>
          <w:sz w:val="28"/>
          <w:szCs w:val="28"/>
          <w:lang w:eastAsia="en-US"/>
        </w:rPr>
        <w:t xml:space="preserve">(табл. Б.1.22) </w:t>
      </w:r>
      <w:r w:rsidRPr="00520861">
        <w:rPr>
          <w:rFonts w:eastAsia="Calibri"/>
          <w:bCs/>
          <w:sz w:val="28"/>
          <w:szCs w:val="28"/>
          <w:lang w:eastAsia="en-US"/>
        </w:rPr>
        <w:t>в обраних групах (ГПП 26-30, ГЗП 31-35, ГП I та ГП II)</w:t>
      </w:r>
      <w:r w:rsidRPr="00520861">
        <w:rPr>
          <w:rFonts w:eastAsiaTheme="minorHAnsi"/>
          <w:bCs/>
          <w:sz w:val="28"/>
          <w:szCs w:val="28"/>
          <w:lang w:eastAsia="en-US"/>
        </w:rPr>
        <w:t>.</w:t>
      </w:r>
      <w:r w:rsidRPr="00520861">
        <w:rPr>
          <w:rFonts w:eastAsia="Calibri"/>
          <w:bCs/>
          <w:sz w:val="28"/>
          <w:szCs w:val="28"/>
          <w:lang w:eastAsia="en-US"/>
        </w:rPr>
        <w:t xml:space="preserve"> </w:t>
      </w:r>
      <w:r w:rsidRPr="00520861">
        <w:rPr>
          <w:rFonts w:eastAsia="Calibri"/>
          <w:sz w:val="28"/>
          <w:szCs w:val="28"/>
          <w:lang w:eastAsia="en-US"/>
        </w:rPr>
        <w:t xml:space="preserve">Серед осіб з ГП I значуще підвищена була частота розповсюдження генотипів GG та AG за геном </w:t>
      </w:r>
      <w:r w:rsidRPr="00520861">
        <w:rPr>
          <w:rFonts w:eastAsia="Calibri"/>
          <w:i/>
          <w:sz w:val="28"/>
          <w:szCs w:val="28"/>
          <w:lang w:eastAsia="en-US"/>
        </w:rPr>
        <w:t>CYP19A1</w:t>
      </w:r>
      <w:r w:rsidRPr="00520861">
        <w:rPr>
          <w:rFonts w:eastAsia="Calibri"/>
          <w:sz w:val="28"/>
          <w:szCs w:val="28"/>
          <w:lang w:eastAsia="en-US"/>
        </w:rPr>
        <w:t xml:space="preserve"> [rs2414096] на відміну від осіб ГП II </w:t>
      </w:r>
      <w:r w:rsidRPr="00520861">
        <w:rPr>
          <w:rFonts w:eastAsia="Calibri"/>
          <w:sz w:val="28"/>
          <w:szCs w:val="28"/>
          <w:lang w:eastAsia="en-US"/>
        </w:rPr>
        <w:br/>
        <w:t>(табл. 5.16), а при розрахунку моделей ризику значущими були адитивна, рецесивна, домінантна та мультиплікативна моделі успадкування, серед яких найбільшу цінність мали домінантна та мультиплікативна моделі [64].</w:t>
      </w:r>
    </w:p>
    <w:p w14:paraId="0528906A"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Calibri"/>
          <w:sz w:val="28"/>
          <w:szCs w:val="28"/>
          <w:lang w:eastAsia="en-US"/>
        </w:rPr>
        <w:t xml:space="preserve">При порівнянні </w:t>
      </w:r>
      <w:r w:rsidRPr="00520861">
        <w:rPr>
          <w:rFonts w:eastAsiaTheme="minorHAnsi"/>
          <w:sz w:val="28"/>
          <w:szCs w:val="28"/>
          <w:lang w:eastAsia="en-US"/>
        </w:rPr>
        <w:t>ГПП 26 – 30 і ГП I</w:t>
      </w:r>
      <w:r w:rsidRPr="00520861">
        <w:rPr>
          <w:rFonts w:eastAsia="Calibri"/>
          <w:sz w:val="28"/>
          <w:szCs w:val="28"/>
          <w:lang w:eastAsia="en-US"/>
        </w:rPr>
        <w:t xml:space="preserve"> (табл. 5.17) виявилося, що наявність гетерозиготного варіанта гена </w:t>
      </w:r>
      <w:r w:rsidRPr="00520861">
        <w:rPr>
          <w:rFonts w:eastAsia="Calibri"/>
          <w:i/>
          <w:sz w:val="28"/>
          <w:szCs w:val="28"/>
          <w:lang w:eastAsia="en-US"/>
        </w:rPr>
        <w:t>ESR1: -397 T&gt;C [</w:t>
      </w:r>
      <w:proofErr w:type="spellStart"/>
      <w:r w:rsidRPr="00520861">
        <w:rPr>
          <w:rFonts w:eastAsia="Calibri"/>
          <w:i/>
          <w:sz w:val="28"/>
          <w:szCs w:val="28"/>
          <w:lang w:eastAsia="en-US"/>
        </w:rPr>
        <w:t>PvuII</w:t>
      </w:r>
      <w:proofErr w:type="spellEnd"/>
      <w:r w:rsidRPr="00520861">
        <w:rPr>
          <w:rFonts w:eastAsia="Calibri"/>
          <w:sz w:val="28"/>
          <w:szCs w:val="28"/>
          <w:lang w:eastAsia="en-US"/>
        </w:rPr>
        <w:t>]</w:t>
      </w:r>
      <w:r w:rsidRPr="00520861">
        <w:rPr>
          <w:rFonts w:eastAsiaTheme="minorHAnsi"/>
          <w:sz w:val="28"/>
          <w:szCs w:val="28"/>
          <w:lang w:eastAsia="en-US"/>
        </w:rPr>
        <w:t xml:space="preserve"> [rs2234693]</w:t>
      </w:r>
      <w:r w:rsidRPr="00520861">
        <w:rPr>
          <w:rFonts w:eastAsia="Calibri"/>
          <w:sz w:val="28"/>
          <w:szCs w:val="28"/>
          <w:lang w:eastAsia="en-US"/>
        </w:rPr>
        <w:t xml:space="preserve">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вірогідно (</w:t>
      </w:r>
      <w:r w:rsidRPr="00520861">
        <w:rPr>
          <w:rFonts w:eastAsia="Calibri"/>
          <w:i/>
          <w:sz w:val="28"/>
          <w:szCs w:val="28"/>
          <w:lang w:eastAsia="en-US"/>
        </w:rPr>
        <w:t>р</w:t>
      </w:r>
      <w:r w:rsidR="00CD7533" w:rsidRPr="00520861">
        <w:rPr>
          <w:rFonts w:eastAsia="Calibri"/>
          <w:sz w:val="28"/>
          <w:szCs w:val="28"/>
          <w:lang w:eastAsia="en-US"/>
        </w:rPr>
        <w:t>&lt;</w:t>
      </w:r>
      <w:r w:rsidRPr="00520861">
        <w:rPr>
          <w:rFonts w:eastAsia="Calibri"/>
          <w:sz w:val="28"/>
          <w:szCs w:val="28"/>
          <w:lang w:eastAsia="en-US"/>
        </w:rPr>
        <w:t xml:space="preserve">0,05) зменшує ризик розвитку помірних порушень ЗЩС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у 2,7 </w:t>
      </w:r>
      <w:proofErr w:type="spellStart"/>
      <w:r w:rsidRPr="00520861">
        <w:rPr>
          <w:rFonts w:eastAsia="Calibri"/>
          <w:sz w:val="28"/>
          <w:szCs w:val="28"/>
          <w:lang w:eastAsia="en-US"/>
        </w:rPr>
        <w:t>раза</w:t>
      </w:r>
      <w:proofErr w:type="spellEnd"/>
      <w:r w:rsidRPr="00520861">
        <w:rPr>
          <w:rFonts w:eastAsia="Calibri"/>
          <w:sz w:val="28"/>
          <w:szCs w:val="28"/>
          <w:lang w:eastAsia="en-US"/>
        </w:rPr>
        <w:t>.</w:t>
      </w:r>
    </w:p>
    <w:p w14:paraId="0038DC19" w14:textId="77777777" w:rsidR="002E3CE8" w:rsidRPr="00520861" w:rsidRDefault="002E3CE8"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t>Таблиця 5.16</w:t>
      </w:r>
    </w:p>
    <w:p w14:paraId="2060574B" w14:textId="77777777" w:rsidR="002E3CE8" w:rsidRPr="00520861" w:rsidRDefault="002E3CE8" w:rsidP="00292D2E">
      <w:pPr>
        <w:widowControl w:val="0"/>
        <w:spacing w:after="40" w:line="276" w:lineRule="auto"/>
        <w:ind w:firstLine="709"/>
        <w:jc w:val="center"/>
        <w:rPr>
          <w:rFonts w:eastAsiaTheme="minorHAnsi"/>
          <w:i/>
          <w:sz w:val="28"/>
          <w:szCs w:val="28"/>
          <w:lang w:eastAsia="en-US"/>
        </w:rPr>
      </w:pPr>
      <w:r w:rsidRPr="00520861">
        <w:rPr>
          <w:rFonts w:eastAsiaTheme="minorHAnsi"/>
          <w:b/>
          <w:sz w:val="28"/>
          <w:szCs w:val="28"/>
          <w:lang w:eastAsia="en-US"/>
        </w:rPr>
        <w:t>Порівняння частот розподілу поліморфних варіантів за геном</w:t>
      </w:r>
      <w:r w:rsidRPr="00520861">
        <w:rPr>
          <w:rFonts w:eastAsiaTheme="minorHAnsi"/>
          <w:i/>
          <w:sz w:val="28"/>
          <w:szCs w:val="28"/>
          <w:lang w:eastAsia="en-US"/>
        </w:rPr>
        <w:t xml:space="preserve"> </w:t>
      </w:r>
    </w:p>
    <w:p w14:paraId="2B01922B" w14:textId="77777777" w:rsidR="002E3CE8" w:rsidRPr="00520861" w:rsidRDefault="002E3CE8" w:rsidP="00292D2E">
      <w:pPr>
        <w:widowControl w:val="0"/>
        <w:spacing w:after="40" w:line="276" w:lineRule="auto"/>
        <w:ind w:firstLine="709"/>
        <w:jc w:val="center"/>
        <w:rPr>
          <w:rFonts w:eastAsia="Calibri"/>
          <w:b/>
          <w:sz w:val="28"/>
          <w:szCs w:val="28"/>
          <w:lang w:eastAsia="en-US"/>
        </w:rPr>
      </w:pPr>
      <w:r w:rsidRPr="00520861">
        <w:rPr>
          <w:rFonts w:eastAsiaTheme="minorHAnsi"/>
          <w:b/>
          <w:i/>
          <w:sz w:val="28"/>
          <w:szCs w:val="28"/>
          <w:lang w:eastAsia="en-US"/>
        </w:rPr>
        <w:t>CYP19A1: A&gt;G</w:t>
      </w:r>
      <w:r w:rsidRPr="00520861">
        <w:rPr>
          <w:rFonts w:eastAsiaTheme="minorHAnsi"/>
          <w:b/>
          <w:sz w:val="28"/>
          <w:szCs w:val="28"/>
          <w:lang w:eastAsia="en-US"/>
        </w:rPr>
        <w:t xml:space="preserve"> [rs2414096] </w:t>
      </w:r>
      <w:r w:rsidRPr="00520861">
        <w:rPr>
          <w:rFonts w:eastAsia="Calibri"/>
          <w:b/>
          <w:sz w:val="28"/>
          <w:szCs w:val="28"/>
          <w:lang w:eastAsia="en-US"/>
        </w:rPr>
        <w:t>між ГП I і ГП II</w:t>
      </w:r>
    </w:p>
    <w:tbl>
      <w:tblPr>
        <w:tblStyle w:val="8"/>
        <w:tblW w:w="9003" w:type="dxa"/>
        <w:tblInd w:w="704" w:type="dxa"/>
        <w:tblLook w:val="04A0" w:firstRow="1" w:lastRow="0" w:firstColumn="1" w:lastColumn="0" w:noHBand="0" w:noVBand="1"/>
      </w:tblPr>
      <w:tblGrid>
        <w:gridCol w:w="1585"/>
        <w:gridCol w:w="1421"/>
        <w:gridCol w:w="1275"/>
        <w:gridCol w:w="1268"/>
        <w:gridCol w:w="2145"/>
        <w:gridCol w:w="1309"/>
      </w:tblGrid>
      <w:tr w:rsidR="002E3CE8" w:rsidRPr="00520861" w14:paraId="3AB63045" w14:textId="77777777" w:rsidTr="00292D2E">
        <w:tc>
          <w:tcPr>
            <w:tcW w:w="1585" w:type="dxa"/>
            <w:vMerge w:val="restart"/>
            <w:tcBorders>
              <w:top w:val="single" w:sz="4" w:space="0" w:color="auto"/>
              <w:left w:val="single" w:sz="4" w:space="0" w:color="auto"/>
              <w:bottom w:val="single" w:sz="4" w:space="0" w:color="auto"/>
              <w:right w:val="single" w:sz="4" w:space="0" w:color="auto"/>
            </w:tcBorders>
            <w:hideMark/>
          </w:tcPr>
          <w:p w14:paraId="76514D24" w14:textId="77777777" w:rsidR="002E3CE8" w:rsidRPr="00520861" w:rsidRDefault="002E3CE8" w:rsidP="00292D2E">
            <w:pPr>
              <w:widowControl w:val="0"/>
              <w:spacing w:line="360" w:lineRule="auto"/>
              <w:rPr>
                <w:rFonts w:eastAsia="Calibri" w:cs="Times New Roman"/>
                <w:sz w:val="28"/>
                <w:szCs w:val="28"/>
              </w:rPr>
            </w:pPr>
            <w:r w:rsidRPr="00520861">
              <w:rPr>
                <w:rFonts w:eastAsia="Calibri" w:cs="Times New Roman"/>
                <w:sz w:val="28"/>
                <w:szCs w:val="28"/>
              </w:rPr>
              <w:t>Ген</w:t>
            </w:r>
          </w:p>
        </w:tc>
        <w:tc>
          <w:tcPr>
            <w:tcW w:w="1421" w:type="dxa"/>
            <w:vMerge w:val="restart"/>
            <w:tcBorders>
              <w:top w:val="single" w:sz="4" w:space="0" w:color="auto"/>
              <w:left w:val="single" w:sz="4" w:space="0" w:color="auto"/>
              <w:bottom w:val="single" w:sz="4" w:space="0" w:color="auto"/>
              <w:right w:val="single" w:sz="4" w:space="0" w:color="auto"/>
            </w:tcBorders>
            <w:hideMark/>
          </w:tcPr>
          <w:p w14:paraId="28094FE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Генотип</w:t>
            </w:r>
          </w:p>
        </w:tc>
        <w:tc>
          <w:tcPr>
            <w:tcW w:w="5997" w:type="dxa"/>
            <w:gridSpan w:val="4"/>
            <w:tcBorders>
              <w:top w:val="single" w:sz="4" w:space="0" w:color="auto"/>
              <w:left w:val="single" w:sz="4" w:space="0" w:color="auto"/>
              <w:bottom w:val="single" w:sz="4" w:space="0" w:color="auto"/>
              <w:right w:val="single" w:sz="4" w:space="0" w:color="auto"/>
            </w:tcBorders>
            <w:hideMark/>
          </w:tcPr>
          <w:p w14:paraId="084ADAB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Результати статистичного аналізу</w:t>
            </w:r>
          </w:p>
        </w:tc>
      </w:tr>
      <w:tr w:rsidR="002E3CE8" w:rsidRPr="00520861" w14:paraId="4947A85A" w14:textId="77777777" w:rsidTr="00292D2E">
        <w:tc>
          <w:tcPr>
            <w:tcW w:w="1585" w:type="dxa"/>
            <w:vMerge/>
            <w:tcBorders>
              <w:top w:val="single" w:sz="4" w:space="0" w:color="auto"/>
              <w:left w:val="single" w:sz="4" w:space="0" w:color="auto"/>
              <w:bottom w:val="single" w:sz="4" w:space="0" w:color="auto"/>
              <w:right w:val="single" w:sz="4" w:space="0" w:color="auto"/>
            </w:tcBorders>
            <w:vAlign w:val="center"/>
            <w:hideMark/>
          </w:tcPr>
          <w:p w14:paraId="7A6695F6" w14:textId="77777777" w:rsidR="002E3CE8" w:rsidRPr="00520861" w:rsidRDefault="002E3CE8" w:rsidP="00292D2E">
            <w:pPr>
              <w:widowControl w:val="0"/>
              <w:spacing w:line="360" w:lineRule="auto"/>
              <w:rPr>
                <w:rFonts w:eastAsia="Calibri" w:cs="Times New Roman"/>
                <w:sz w:val="28"/>
                <w:szCs w:val="28"/>
              </w:rPr>
            </w:pPr>
          </w:p>
        </w:tc>
        <w:tc>
          <w:tcPr>
            <w:tcW w:w="1421" w:type="dxa"/>
            <w:vMerge/>
            <w:tcBorders>
              <w:top w:val="single" w:sz="4" w:space="0" w:color="auto"/>
              <w:left w:val="single" w:sz="4" w:space="0" w:color="auto"/>
              <w:bottom w:val="single" w:sz="4" w:space="0" w:color="auto"/>
              <w:right w:val="single" w:sz="4" w:space="0" w:color="auto"/>
            </w:tcBorders>
            <w:vAlign w:val="center"/>
            <w:hideMark/>
          </w:tcPr>
          <w:p w14:paraId="4C9408D6" w14:textId="77777777" w:rsidR="002E3CE8" w:rsidRPr="00520861" w:rsidRDefault="002E3CE8" w:rsidP="00292D2E">
            <w:pPr>
              <w:widowControl w:val="0"/>
              <w:spacing w:line="360" w:lineRule="auto"/>
              <w:jc w:val="center"/>
              <w:rPr>
                <w:rFonts w:eastAsia="Calibri" w:cs="Times New Roman"/>
                <w:sz w:val="28"/>
                <w:szCs w:val="28"/>
              </w:rPr>
            </w:pPr>
          </w:p>
        </w:tc>
        <w:tc>
          <w:tcPr>
            <w:tcW w:w="1275" w:type="dxa"/>
            <w:tcBorders>
              <w:top w:val="single" w:sz="4" w:space="0" w:color="auto"/>
              <w:left w:val="single" w:sz="4" w:space="0" w:color="auto"/>
              <w:bottom w:val="single" w:sz="4" w:space="0" w:color="auto"/>
              <w:right w:val="single" w:sz="4" w:space="0" w:color="auto"/>
            </w:tcBorders>
            <w:hideMark/>
          </w:tcPr>
          <w:p w14:paraId="6623C6F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sym w:font="Symbol" w:char="F063"/>
            </w:r>
            <w:r w:rsidRPr="00520861">
              <w:rPr>
                <w:rFonts w:eastAsia="Calibri" w:cs="Times New Roman"/>
                <w:sz w:val="28"/>
                <w:szCs w:val="28"/>
                <w:vertAlign w:val="superscript"/>
              </w:rPr>
              <w:t>2</w:t>
            </w:r>
            <w:r w:rsidRPr="00520861">
              <w:rPr>
                <w:rFonts w:eastAsia="Calibri" w:cs="Times New Roman"/>
                <w:sz w:val="28"/>
                <w:szCs w:val="28"/>
              </w:rPr>
              <w:t>(</w:t>
            </w:r>
            <w:proofErr w:type="spellStart"/>
            <w:r w:rsidRPr="00520861">
              <w:rPr>
                <w:rFonts w:eastAsia="Calibri" w:cs="Times New Roman"/>
                <w:sz w:val="28"/>
                <w:szCs w:val="28"/>
              </w:rPr>
              <w:t>Йєтс</w:t>
            </w:r>
            <w:proofErr w:type="spellEnd"/>
            <w:r w:rsidRPr="00520861">
              <w:rPr>
                <w:rFonts w:eastAsia="Calibri" w:cs="Times New Roman"/>
                <w:sz w:val="28"/>
                <w:szCs w:val="28"/>
              </w:rPr>
              <w:t>)</w:t>
            </w:r>
          </w:p>
        </w:tc>
        <w:tc>
          <w:tcPr>
            <w:tcW w:w="1268" w:type="dxa"/>
            <w:tcBorders>
              <w:top w:val="single" w:sz="4" w:space="0" w:color="auto"/>
              <w:left w:val="single" w:sz="4" w:space="0" w:color="auto"/>
              <w:bottom w:val="single" w:sz="4" w:space="0" w:color="auto"/>
              <w:right w:val="single" w:sz="4" w:space="0" w:color="auto"/>
            </w:tcBorders>
            <w:hideMark/>
          </w:tcPr>
          <w:p w14:paraId="0595E28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ВШ</w:t>
            </w:r>
          </w:p>
        </w:tc>
        <w:tc>
          <w:tcPr>
            <w:tcW w:w="2145" w:type="dxa"/>
            <w:tcBorders>
              <w:top w:val="single" w:sz="4" w:space="0" w:color="auto"/>
              <w:left w:val="single" w:sz="4" w:space="0" w:color="auto"/>
              <w:bottom w:val="single" w:sz="4" w:space="0" w:color="auto"/>
              <w:right w:val="single" w:sz="4" w:space="0" w:color="auto"/>
            </w:tcBorders>
            <w:hideMark/>
          </w:tcPr>
          <w:p w14:paraId="6220303B" w14:textId="77777777" w:rsidR="002E3CE8" w:rsidRPr="00520861" w:rsidRDefault="002E3CE8" w:rsidP="00292D2E">
            <w:pPr>
              <w:widowControl w:val="0"/>
              <w:jc w:val="center"/>
              <w:rPr>
                <w:rFonts w:eastAsia="Calibri" w:cs="Times New Roman"/>
                <w:sz w:val="28"/>
                <w:szCs w:val="28"/>
              </w:rPr>
            </w:pPr>
            <w:r w:rsidRPr="00520861">
              <w:rPr>
                <w:rFonts w:eastAsia="Calibri" w:cs="Times New Roman"/>
                <w:sz w:val="28"/>
                <w:szCs w:val="28"/>
              </w:rPr>
              <w:t>95% ДІ</w:t>
            </w:r>
          </w:p>
        </w:tc>
        <w:tc>
          <w:tcPr>
            <w:tcW w:w="1309" w:type="dxa"/>
            <w:tcBorders>
              <w:top w:val="single" w:sz="4" w:space="0" w:color="auto"/>
              <w:left w:val="single" w:sz="4" w:space="0" w:color="auto"/>
              <w:bottom w:val="single" w:sz="4" w:space="0" w:color="auto"/>
              <w:right w:val="single" w:sz="4" w:space="0" w:color="auto"/>
            </w:tcBorders>
            <w:hideMark/>
          </w:tcPr>
          <w:p w14:paraId="07E72373" w14:textId="77777777" w:rsidR="002E3CE8" w:rsidRPr="00520861" w:rsidRDefault="002E3CE8" w:rsidP="00292D2E">
            <w:pPr>
              <w:widowControl w:val="0"/>
              <w:jc w:val="center"/>
              <w:rPr>
                <w:rFonts w:eastAsia="Calibri" w:cs="Times New Roman"/>
                <w:i/>
                <w:sz w:val="28"/>
                <w:szCs w:val="28"/>
              </w:rPr>
            </w:pPr>
            <w:r w:rsidRPr="00520861">
              <w:rPr>
                <w:rFonts w:eastAsia="Calibri" w:cs="Times New Roman"/>
                <w:i/>
                <w:sz w:val="28"/>
                <w:szCs w:val="28"/>
              </w:rPr>
              <w:t>P</w:t>
            </w:r>
          </w:p>
        </w:tc>
      </w:tr>
      <w:tr w:rsidR="002E3CE8" w:rsidRPr="00520861" w14:paraId="3855E097" w14:textId="77777777" w:rsidTr="00292D2E">
        <w:tc>
          <w:tcPr>
            <w:tcW w:w="1585" w:type="dxa"/>
            <w:tcBorders>
              <w:top w:val="single" w:sz="4" w:space="0" w:color="auto"/>
              <w:left w:val="single" w:sz="4" w:space="0" w:color="auto"/>
              <w:bottom w:val="single" w:sz="4" w:space="0" w:color="auto"/>
              <w:right w:val="single" w:sz="4" w:space="0" w:color="auto"/>
            </w:tcBorders>
            <w:vAlign w:val="center"/>
          </w:tcPr>
          <w:p w14:paraId="5D1259AA" w14:textId="77777777" w:rsidR="002E3CE8" w:rsidRPr="00520861" w:rsidRDefault="002E3CE8" w:rsidP="00292D2E">
            <w:pPr>
              <w:widowControl w:val="0"/>
              <w:spacing w:line="360" w:lineRule="auto"/>
              <w:rPr>
                <w:rFonts w:eastAsia="Calibri" w:cs="Times New Roman"/>
                <w:sz w:val="28"/>
                <w:szCs w:val="28"/>
              </w:rPr>
            </w:pPr>
            <w:r w:rsidRPr="00520861">
              <w:rPr>
                <w:rFonts w:eastAsia="Calibri" w:cs="Times New Roman"/>
                <w:sz w:val="28"/>
                <w:szCs w:val="28"/>
              </w:rPr>
              <w:t>1</w:t>
            </w:r>
          </w:p>
        </w:tc>
        <w:tc>
          <w:tcPr>
            <w:tcW w:w="1421" w:type="dxa"/>
            <w:tcBorders>
              <w:top w:val="single" w:sz="4" w:space="0" w:color="auto"/>
              <w:left w:val="single" w:sz="4" w:space="0" w:color="auto"/>
              <w:bottom w:val="single" w:sz="4" w:space="0" w:color="auto"/>
              <w:right w:val="single" w:sz="4" w:space="0" w:color="auto"/>
            </w:tcBorders>
            <w:vAlign w:val="center"/>
          </w:tcPr>
          <w:p w14:paraId="2406A7D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w:t>
            </w:r>
          </w:p>
        </w:tc>
        <w:tc>
          <w:tcPr>
            <w:tcW w:w="1275" w:type="dxa"/>
            <w:tcBorders>
              <w:top w:val="single" w:sz="4" w:space="0" w:color="auto"/>
              <w:left w:val="single" w:sz="4" w:space="0" w:color="auto"/>
              <w:bottom w:val="single" w:sz="4" w:space="0" w:color="auto"/>
              <w:right w:val="single" w:sz="4" w:space="0" w:color="auto"/>
            </w:tcBorders>
          </w:tcPr>
          <w:p w14:paraId="2E62088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w:t>
            </w:r>
          </w:p>
        </w:tc>
        <w:tc>
          <w:tcPr>
            <w:tcW w:w="1268" w:type="dxa"/>
            <w:tcBorders>
              <w:top w:val="single" w:sz="4" w:space="0" w:color="auto"/>
              <w:left w:val="single" w:sz="4" w:space="0" w:color="auto"/>
              <w:bottom w:val="single" w:sz="4" w:space="0" w:color="auto"/>
              <w:right w:val="single" w:sz="4" w:space="0" w:color="auto"/>
            </w:tcBorders>
          </w:tcPr>
          <w:p w14:paraId="01EEBF1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w:t>
            </w:r>
          </w:p>
        </w:tc>
        <w:tc>
          <w:tcPr>
            <w:tcW w:w="2145" w:type="dxa"/>
            <w:tcBorders>
              <w:top w:val="single" w:sz="4" w:space="0" w:color="auto"/>
              <w:left w:val="single" w:sz="4" w:space="0" w:color="auto"/>
              <w:bottom w:val="single" w:sz="4" w:space="0" w:color="auto"/>
              <w:right w:val="single" w:sz="4" w:space="0" w:color="auto"/>
            </w:tcBorders>
          </w:tcPr>
          <w:p w14:paraId="3F25EC90" w14:textId="77777777" w:rsidR="002E3CE8" w:rsidRPr="00520861" w:rsidRDefault="002E3CE8" w:rsidP="00292D2E">
            <w:pPr>
              <w:widowControl w:val="0"/>
              <w:jc w:val="center"/>
              <w:rPr>
                <w:rFonts w:eastAsia="Calibri" w:cs="Times New Roman"/>
                <w:sz w:val="28"/>
                <w:szCs w:val="28"/>
              </w:rPr>
            </w:pPr>
            <w:r w:rsidRPr="00520861">
              <w:rPr>
                <w:rFonts w:eastAsia="Calibri" w:cs="Times New Roman"/>
                <w:sz w:val="28"/>
                <w:szCs w:val="28"/>
              </w:rPr>
              <w:t>5</w:t>
            </w:r>
          </w:p>
        </w:tc>
        <w:tc>
          <w:tcPr>
            <w:tcW w:w="1309" w:type="dxa"/>
            <w:tcBorders>
              <w:top w:val="single" w:sz="4" w:space="0" w:color="auto"/>
              <w:left w:val="single" w:sz="4" w:space="0" w:color="auto"/>
              <w:bottom w:val="single" w:sz="4" w:space="0" w:color="auto"/>
              <w:right w:val="single" w:sz="4" w:space="0" w:color="auto"/>
            </w:tcBorders>
          </w:tcPr>
          <w:p w14:paraId="2CF118EC" w14:textId="77777777" w:rsidR="002E3CE8" w:rsidRPr="00520861" w:rsidRDefault="002E3CE8" w:rsidP="00292D2E">
            <w:pPr>
              <w:widowControl w:val="0"/>
              <w:jc w:val="center"/>
              <w:rPr>
                <w:rFonts w:eastAsia="Calibri" w:cs="Times New Roman"/>
                <w:i/>
                <w:sz w:val="28"/>
                <w:szCs w:val="28"/>
              </w:rPr>
            </w:pPr>
            <w:r w:rsidRPr="00520861">
              <w:rPr>
                <w:rFonts w:eastAsia="Calibri" w:cs="Times New Roman"/>
                <w:i/>
                <w:sz w:val="28"/>
                <w:szCs w:val="28"/>
              </w:rPr>
              <w:t>6</w:t>
            </w:r>
          </w:p>
        </w:tc>
      </w:tr>
      <w:tr w:rsidR="002E3CE8" w:rsidRPr="00520861" w14:paraId="599018EB" w14:textId="77777777" w:rsidTr="00292D2E">
        <w:tc>
          <w:tcPr>
            <w:tcW w:w="1585" w:type="dxa"/>
            <w:vMerge w:val="restart"/>
            <w:tcBorders>
              <w:top w:val="single" w:sz="4" w:space="0" w:color="auto"/>
              <w:left w:val="single" w:sz="4" w:space="0" w:color="auto"/>
              <w:right w:val="single" w:sz="4" w:space="0" w:color="auto"/>
            </w:tcBorders>
            <w:shd w:val="clear" w:color="auto" w:fill="auto"/>
          </w:tcPr>
          <w:p w14:paraId="5195C5F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i/>
                <w:sz w:val="28"/>
                <w:szCs w:val="28"/>
              </w:rPr>
              <w:t>CYP19A1: A&gt;G</w:t>
            </w:r>
            <w:r w:rsidRPr="00520861">
              <w:rPr>
                <w:rFonts w:eastAsia="Calibri" w:cs="Times New Roman"/>
                <w:sz w:val="28"/>
                <w:szCs w:val="28"/>
              </w:rPr>
              <w:t xml:space="preserve"> [rs2414096]</w:t>
            </w:r>
          </w:p>
        </w:tc>
        <w:tc>
          <w:tcPr>
            <w:tcW w:w="7418" w:type="dxa"/>
            <w:gridSpan w:val="5"/>
            <w:tcBorders>
              <w:top w:val="single" w:sz="4" w:space="0" w:color="auto"/>
              <w:left w:val="single" w:sz="4" w:space="0" w:color="auto"/>
              <w:bottom w:val="single" w:sz="4" w:space="0" w:color="auto"/>
              <w:right w:val="single" w:sz="4" w:space="0" w:color="auto"/>
            </w:tcBorders>
          </w:tcPr>
          <w:p w14:paraId="79D7742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Адитивна модель</w:t>
            </w:r>
          </w:p>
        </w:tc>
      </w:tr>
      <w:tr w:rsidR="002E3CE8" w:rsidRPr="00520861" w14:paraId="09660E6C" w14:textId="77777777" w:rsidTr="00292D2E">
        <w:tc>
          <w:tcPr>
            <w:tcW w:w="1585" w:type="dxa"/>
            <w:vMerge/>
            <w:tcBorders>
              <w:left w:val="single" w:sz="4" w:space="0" w:color="auto"/>
              <w:right w:val="single" w:sz="4" w:space="0" w:color="auto"/>
            </w:tcBorders>
            <w:shd w:val="clear" w:color="auto" w:fill="auto"/>
            <w:hideMark/>
          </w:tcPr>
          <w:p w14:paraId="0818C8EA" w14:textId="77777777" w:rsidR="002E3CE8" w:rsidRPr="00520861" w:rsidRDefault="002E3CE8" w:rsidP="00292D2E">
            <w:pPr>
              <w:widowControl w:val="0"/>
              <w:spacing w:line="360" w:lineRule="auto"/>
              <w:jc w:val="center"/>
              <w:rPr>
                <w:rFonts w:eastAsia="Calibri" w:cs="Times New Roman"/>
                <w:sz w:val="28"/>
                <w:szCs w:val="28"/>
              </w:rPr>
            </w:pPr>
          </w:p>
        </w:tc>
        <w:tc>
          <w:tcPr>
            <w:tcW w:w="1421" w:type="dxa"/>
            <w:tcBorders>
              <w:top w:val="single" w:sz="4" w:space="0" w:color="auto"/>
              <w:left w:val="single" w:sz="4" w:space="0" w:color="auto"/>
              <w:bottom w:val="single" w:sz="4" w:space="0" w:color="auto"/>
              <w:right w:val="single" w:sz="4" w:space="0" w:color="auto"/>
            </w:tcBorders>
            <w:hideMark/>
          </w:tcPr>
          <w:p w14:paraId="39E06EC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w:t>
            </w:r>
          </w:p>
          <w:p w14:paraId="7207BEB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AG</w:t>
            </w:r>
          </w:p>
          <w:p w14:paraId="2E2C18D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GG</w:t>
            </w:r>
          </w:p>
        </w:tc>
        <w:tc>
          <w:tcPr>
            <w:tcW w:w="1275" w:type="dxa"/>
            <w:tcBorders>
              <w:top w:val="single" w:sz="4" w:space="0" w:color="auto"/>
              <w:left w:val="single" w:sz="4" w:space="0" w:color="auto"/>
              <w:bottom w:val="single" w:sz="4" w:space="0" w:color="auto"/>
              <w:right w:val="single" w:sz="4" w:space="0" w:color="auto"/>
            </w:tcBorders>
            <w:hideMark/>
          </w:tcPr>
          <w:p w14:paraId="6CC1F04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12,226</w:t>
            </w:r>
          </w:p>
        </w:tc>
        <w:tc>
          <w:tcPr>
            <w:tcW w:w="1268" w:type="dxa"/>
            <w:tcBorders>
              <w:top w:val="single" w:sz="4" w:space="0" w:color="auto"/>
              <w:left w:val="single" w:sz="4" w:space="0" w:color="auto"/>
              <w:bottom w:val="single" w:sz="4" w:space="0" w:color="auto"/>
              <w:right w:val="single" w:sz="4" w:space="0" w:color="auto"/>
            </w:tcBorders>
            <w:hideMark/>
          </w:tcPr>
          <w:p w14:paraId="672CD85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0,112</w:t>
            </w:r>
          </w:p>
          <w:p w14:paraId="3E758E0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2,600</w:t>
            </w:r>
          </w:p>
          <w:p w14:paraId="3ED764E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14,167</w:t>
            </w:r>
          </w:p>
        </w:tc>
        <w:tc>
          <w:tcPr>
            <w:tcW w:w="2145" w:type="dxa"/>
            <w:tcBorders>
              <w:top w:val="single" w:sz="4" w:space="0" w:color="auto"/>
              <w:left w:val="single" w:sz="4" w:space="0" w:color="auto"/>
              <w:bottom w:val="single" w:sz="4" w:space="0" w:color="auto"/>
              <w:right w:val="single" w:sz="4" w:space="0" w:color="auto"/>
            </w:tcBorders>
            <w:hideMark/>
          </w:tcPr>
          <w:p w14:paraId="68461BF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0,033–0,380</w:t>
            </w:r>
          </w:p>
          <w:p w14:paraId="64AC128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0,804–8,406</w:t>
            </w:r>
          </w:p>
          <w:p w14:paraId="38505EB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0,798–251,388</w:t>
            </w:r>
          </w:p>
        </w:tc>
        <w:tc>
          <w:tcPr>
            <w:tcW w:w="1309" w:type="dxa"/>
            <w:tcBorders>
              <w:top w:val="single" w:sz="4" w:space="0" w:color="auto"/>
              <w:left w:val="single" w:sz="4" w:space="0" w:color="auto"/>
              <w:bottom w:val="single" w:sz="4" w:space="0" w:color="auto"/>
              <w:right w:val="single" w:sz="4" w:space="0" w:color="auto"/>
            </w:tcBorders>
            <w:hideMark/>
          </w:tcPr>
          <w:p w14:paraId="7E4DCAB2" w14:textId="77777777" w:rsidR="002E3CE8" w:rsidRPr="00520861" w:rsidRDefault="002E3CE8" w:rsidP="00292D2E">
            <w:pPr>
              <w:widowControl w:val="0"/>
              <w:jc w:val="center"/>
              <w:rPr>
                <w:rFonts w:eastAsia="Calibri" w:cs="Times New Roman"/>
                <w:sz w:val="28"/>
                <w:szCs w:val="28"/>
              </w:rPr>
            </w:pPr>
            <w:r w:rsidRPr="00520861">
              <w:rPr>
                <w:rFonts w:eastAsia="Calibri" w:cs="Times New Roman"/>
                <w:sz w:val="28"/>
                <w:szCs w:val="28"/>
              </w:rPr>
              <w:t>0,002</w:t>
            </w:r>
          </w:p>
        </w:tc>
      </w:tr>
      <w:tr w:rsidR="002E3CE8" w:rsidRPr="00520861" w14:paraId="443F7E9C" w14:textId="77777777" w:rsidTr="00292D2E">
        <w:tc>
          <w:tcPr>
            <w:tcW w:w="1585" w:type="dxa"/>
            <w:vMerge/>
            <w:tcBorders>
              <w:left w:val="single" w:sz="4" w:space="0" w:color="auto"/>
              <w:right w:val="single" w:sz="4" w:space="0" w:color="auto"/>
            </w:tcBorders>
            <w:shd w:val="clear" w:color="auto" w:fill="auto"/>
          </w:tcPr>
          <w:p w14:paraId="2B43ED2C" w14:textId="77777777" w:rsidR="002E3CE8" w:rsidRPr="00520861" w:rsidRDefault="002E3CE8" w:rsidP="00292D2E">
            <w:pPr>
              <w:widowControl w:val="0"/>
              <w:spacing w:line="360" w:lineRule="auto"/>
              <w:jc w:val="center"/>
              <w:rPr>
                <w:rFonts w:eastAsia="Calibri" w:cs="Times New Roman"/>
                <w:sz w:val="28"/>
                <w:szCs w:val="28"/>
              </w:rPr>
            </w:pPr>
          </w:p>
        </w:tc>
        <w:tc>
          <w:tcPr>
            <w:tcW w:w="7418" w:type="dxa"/>
            <w:gridSpan w:val="5"/>
            <w:tcBorders>
              <w:top w:val="single" w:sz="4" w:space="0" w:color="auto"/>
              <w:left w:val="single" w:sz="4" w:space="0" w:color="auto"/>
              <w:bottom w:val="single" w:sz="4" w:space="0" w:color="auto"/>
              <w:right w:val="single" w:sz="4" w:space="0" w:color="auto"/>
            </w:tcBorders>
          </w:tcPr>
          <w:p w14:paraId="67EE83B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Рецесивна модель</w:t>
            </w:r>
          </w:p>
        </w:tc>
      </w:tr>
      <w:tr w:rsidR="002E3CE8" w:rsidRPr="00520861" w14:paraId="73126FB4" w14:textId="77777777" w:rsidTr="00292D2E">
        <w:tc>
          <w:tcPr>
            <w:tcW w:w="1585" w:type="dxa"/>
            <w:vMerge/>
            <w:tcBorders>
              <w:left w:val="single" w:sz="4" w:space="0" w:color="auto"/>
              <w:right w:val="single" w:sz="4" w:space="0" w:color="auto"/>
            </w:tcBorders>
            <w:shd w:val="clear" w:color="auto" w:fill="auto"/>
          </w:tcPr>
          <w:p w14:paraId="52E907EE" w14:textId="77777777" w:rsidR="002E3CE8" w:rsidRPr="00520861" w:rsidRDefault="002E3CE8" w:rsidP="00292D2E">
            <w:pPr>
              <w:widowControl w:val="0"/>
              <w:spacing w:line="360" w:lineRule="auto"/>
              <w:jc w:val="center"/>
              <w:rPr>
                <w:rFonts w:eastAsia="Calibri" w:cs="Times New Roman"/>
                <w:sz w:val="28"/>
                <w:szCs w:val="28"/>
              </w:rPr>
            </w:pPr>
          </w:p>
        </w:tc>
        <w:tc>
          <w:tcPr>
            <w:tcW w:w="1421" w:type="dxa"/>
            <w:tcBorders>
              <w:top w:val="single" w:sz="4" w:space="0" w:color="auto"/>
              <w:left w:val="single" w:sz="4" w:space="0" w:color="auto"/>
              <w:bottom w:val="single" w:sz="4" w:space="0" w:color="auto"/>
              <w:right w:val="single" w:sz="4" w:space="0" w:color="auto"/>
            </w:tcBorders>
          </w:tcPr>
          <w:p w14:paraId="50E2067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AA+AG</w:t>
            </w:r>
          </w:p>
          <w:p w14:paraId="0A1E9DE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GG</w:t>
            </w:r>
          </w:p>
        </w:tc>
        <w:tc>
          <w:tcPr>
            <w:tcW w:w="1275" w:type="dxa"/>
            <w:tcBorders>
              <w:top w:val="single" w:sz="4" w:space="0" w:color="auto"/>
              <w:left w:val="single" w:sz="4" w:space="0" w:color="auto"/>
              <w:bottom w:val="single" w:sz="4" w:space="0" w:color="auto"/>
              <w:right w:val="single" w:sz="4" w:space="0" w:color="auto"/>
            </w:tcBorders>
          </w:tcPr>
          <w:p w14:paraId="539C9A3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3,841</w:t>
            </w:r>
          </w:p>
        </w:tc>
        <w:tc>
          <w:tcPr>
            <w:tcW w:w="1268" w:type="dxa"/>
            <w:tcBorders>
              <w:top w:val="single" w:sz="4" w:space="0" w:color="auto"/>
              <w:left w:val="single" w:sz="4" w:space="0" w:color="auto"/>
              <w:bottom w:val="single" w:sz="4" w:space="0" w:color="auto"/>
              <w:right w:val="single" w:sz="4" w:space="0" w:color="auto"/>
            </w:tcBorders>
          </w:tcPr>
          <w:p w14:paraId="39D5B82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0,071</w:t>
            </w:r>
          </w:p>
          <w:p w14:paraId="5707820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14,167</w:t>
            </w:r>
          </w:p>
        </w:tc>
        <w:tc>
          <w:tcPr>
            <w:tcW w:w="2145" w:type="dxa"/>
            <w:tcBorders>
              <w:top w:val="single" w:sz="4" w:space="0" w:color="auto"/>
              <w:left w:val="single" w:sz="4" w:space="0" w:color="auto"/>
              <w:bottom w:val="single" w:sz="4" w:space="0" w:color="auto"/>
              <w:right w:val="single" w:sz="4" w:space="0" w:color="auto"/>
            </w:tcBorders>
          </w:tcPr>
          <w:p w14:paraId="5613D45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0,004–1,253</w:t>
            </w:r>
          </w:p>
          <w:p w14:paraId="51C5848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0,798–251,388</w:t>
            </w:r>
          </w:p>
        </w:tc>
        <w:tc>
          <w:tcPr>
            <w:tcW w:w="1309" w:type="dxa"/>
            <w:tcBorders>
              <w:top w:val="single" w:sz="4" w:space="0" w:color="auto"/>
              <w:left w:val="single" w:sz="4" w:space="0" w:color="auto"/>
              <w:bottom w:val="single" w:sz="4" w:space="0" w:color="auto"/>
              <w:right w:val="single" w:sz="4" w:space="0" w:color="auto"/>
            </w:tcBorders>
          </w:tcPr>
          <w:p w14:paraId="217A7CCC" w14:textId="77777777" w:rsidR="002E3CE8" w:rsidRPr="00520861" w:rsidRDefault="002E3CE8" w:rsidP="00292D2E">
            <w:pPr>
              <w:widowControl w:val="0"/>
              <w:jc w:val="center"/>
              <w:rPr>
                <w:rFonts w:eastAsia="Calibri" w:cs="Times New Roman"/>
                <w:sz w:val="28"/>
                <w:szCs w:val="28"/>
              </w:rPr>
            </w:pPr>
            <w:r w:rsidRPr="00520861">
              <w:rPr>
                <w:rFonts w:eastAsia="Calibri" w:cs="Times New Roman"/>
                <w:sz w:val="28"/>
                <w:szCs w:val="28"/>
              </w:rPr>
              <w:t>0,050</w:t>
            </w:r>
          </w:p>
        </w:tc>
      </w:tr>
    </w:tbl>
    <w:p w14:paraId="2554452D" w14:textId="77777777" w:rsidR="002E3CE8" w:rsidRPr="00520861" w:rsidRDefault="002E3CE8" w:rsidP="00292D2E">
      <w:pPr>
        <w:widowControl w:val="0"/>
        <w:spacing w:after="160" w:line="259" w:lineRule="auto"/>
        <w:jc w:val="right"/>
        <w:rPr>
          <w:rFonts w:eastAsiaTheme="minorHAnsi"/>
          <w:sz w:val="28"/>
          <w:szCs w:val="28"/>
          <w:lang w:val="ru-RU" w:eastAsia="en-US"/>
        </w:rPr>
      </w:pPr>
      <w:r w:rsidRPr="00520861">
        <w:rPr>
          <w:rFonts w:eastAsiaTheme="minorHAnsi"/>
          <w:i/>
          <w:sz w:val="28"/>
          <w:szCs w:val="28"/>
          <w:lang w:eastAsia="en-US"/>
        </w:rPr>
        <w:lastRenderedPageBreak/>
        <w:t>Продовження таблиці 5.16</w:t>
      </w:r>
    </w:p>
    <w:tbl>
      <w:tblPr>
        <w:tblStyle w:val="8"/>
        <w:tblW w:w="8930" w:type="dxa"/>
        <w:tblInd w:w="704" w:type="dxa"/>
        <w:tblLook w:val="04A0" w:firstRow="1" w:lastRow="0" w:firstColumn="1" w:lastColumn="0" w:noHBand="0" w:noVBand="1"/>
      </w:tblPr>
      <w:tblGrid>
        <w:gridCol w:w="1584"/>
        <w:gridCol w:w="1558"/>
        <w:gridCol w:w="1275"/>
        <w:gridCol w:w="1283"/>
        <w:gridCol w:w="1955"/>
        <w:gridCol w:w="1275"/>
      </w:tblGrid>
      <w:tr w:rsidR="002E3CE8" w:rsidRPr="00520861" w14:paraId="0A6D7EA4" w14:textId="77777777" w:rsidTr="00292D2E">
        <w:tc>
          <w:tcPr>
            <w:tcW w:w="1584" w:type="dxa"/>
          </w:tcPr>
          <w:p w14:paraId="2CEEA1B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w:t>
            </w:r>
          </w:p>
        </w:tc>
        <w:tc>
          <w:tcPr>
            <w:tcW w:w="1558" w:type="dxa"/>
          </w:tcPr>
          <w:p w14:paraId="59BDF50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w:t>
            </w:r>
          </w:p>
        </w:tc>
        <w:tc>
          <w:tcPr>
            <w:tcW w:w="1275" w:type="dxa"/>
          </w:tcPr>
          <w:p w14:paraId="676E767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w:t>
            </w:r>
          </w:p>
        </w:tc>
        <w:tc>
          <w:tcPr>
            <w:tcW w:w="1283" w:type="dxa"/>
          </w:tcPr>
          <w:p w14:paraId="13C4B54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w:t>
            </w:r>
          </w:p>
        </w:tc>
        <w:tc>
          <w:tcPr>
            <w:tcW w:w="1955" w:type="dxa"/>
          </w:tcPr>
          <w:p w14:paraId="7C6A9DF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w:t>
            </w:r>
          </w:p>
        </w:tc>
        <w:tc>
          <w:tcPr>
            <w:tcW w:w="1275" w:type="dxa"/>
          </w:tcPr>
          <w:p w14:paraId="213BB3C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6</w:t>
            </w:r>
          </w:p>
        </w:tc>
      </w:tr>
      <w:tr w:rsidR="002E3CE8" w:rsidRPr="00520861" w14:paraId="30E831FB" w14:textId="77777777" w:rsidTr="00292D2E">
        <w:tc>
          <w:tcPr>
            <w:tcW w:w="1584" w:type="dxa"/>
            <w:vMerge w:val="restart"/>
            <w:tcBorders>
              <w:left w:val="single" w:sz="4" w:space="0" w:color="auto"/>
              <w:right w:val="single" w:sz="4" w:space="0" w:color="auto"/>
            </w:tcBorders>
            <w:shd w:val="clear" w:color="auto" w:fill="auto"/>
          </w:tcPr>
          <w:p w14:paraId="25A011C7" w14:textId="77777777" w:rsidR="002E3CE8" w:rsidRPr="00520861" w:rsidRDefault="002E3CE8" w:rsidP="00292D2E">
            <w:pPr>
              <w:widowControl w:val="0"/>
              <w:spacing w:line="360" w:lineRule="auto"/>
              <w:jc w:val="center"/>
              <w:rPr>
                <w:rFonts w:eastAsia="Calibri" w:cs="Times New Roman"/>
                <w:sz w:val="28"/>
                <w:szCs w:val="28"/>
              </w:rPr>
            </w:pPr>
          </w:p>
        </w:tc>
        <w:tc>
          <w:tcPr>
            <w:tcW w:w="7346" w:type="dxa"/>
            <w:gridSpan w:val="5"/>
            <w:tcBorders>
              <w:top w:val="single" w:sz="4" w:space="0" w:color="auto"/>
              <w:left w:val="single" w:sz="4" w:space="0" w:color="auto"/>
              <w:bottom w:val="single" w:sz="4" w:space="0" w:color="auto"/>
              <w:right w:val="single" w:sz="4" w:space="0" w:color="auto"/>
            </w:tcBorders>
          </w:tcPr>
          <w:p w14:paraId="08D6BB9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Домінантна модель</w:t>
            </w:r>
          </w:p>
        </w:tc>
      </w:tr>
      <w:tr w:rsidR="002E3CE8" w:rsidRPr="00520861" w14:paraId="63B5F442" w14:textId="77777777" w:rsidTr="00292D2E">
        <w:tc>
          <w:tcPr>
            <w:tcW w:w="1584" w:type="dxa"/>
            <w:vMerge/>
            <w:tcBorders>
              <w:left w:val="single" w:sz="4" w:space="0" w:color="auto"/>
              <w:right w:val="single" w:sz="4" w:space="0" w:color="auto"/>
            </w:tcBorders>
            <w:shd w:val="clear" w:color="auto" w:fill="auto"/>
          </w:tcPr>
          <w:p w14:paraId="56D229A6" w14:textId="77777777" w:rsidR="002E3CE8" w:rsidRPr="00520861" w:rsidRDefault="002E3CE8" w:rsidP="00292D2E">
            <w:pPr>
              <w:widowControl w:val="0"/>
              <w:spacing w:line="360" w:lineRule="auto"/>
              <w:jc w:val="center"/>
              <w:rPr>
                <w:rFonts w:eastAsia="Calibri" w:cs="Times New Roman"/>
                <w:sz w:val="28"/>
                <w:szCs w:val="28"/>
              </w:rPr>
            </w:pPr>
          </w:p>
        </w:tc>
        <w:tc>
          <w:tcPr>
            <w:tcW w:w="1558" w:type="dxa"/>
            <w:tcBorders>
              <w:top w:val="single" w:sz="4" w:space="0" w:color="auto"/>
              <w:left w:val="single" w:sz="4" w:space="0" w:color="auto"/>
              <w:bottom w:val="single" w:sz="4" w:space="0" w:color="auto"/>
              <w:right w:val="single" w:sz="4" w:space="0" w:color="auto"/>
            </w:tcBorders>
          </w:tcPr>
          <w:p w14:paraId="5794996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w:t>
            </w:r>
          </w:p>
          <w:p w14:paraId="7ACCCA1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AG+GG</w:t>
            </w:r>
          </w:p>
        </w:tc>
        <w:tc>
          <w:tcPr>
            <w:tcW w:w="1275" w:type="dxa"/>
            <w:tcBorders>
              <w:top w:val="single" w:sz="4" w:space="0" w:color="auto"/>
              <w:left w:val="single" w:sz="4" w:space="0" w:color="auto"/>
              <w:bottom w:val="single" w:sz="4" w:space="0" w:color="auto"/>
              <w:right w:val="single" w:sz="4" w:space="0" w:color="auto"/>
            </w:tcBorders>
          </w:tcPr>
          <w:p w14:paraId="1D70F85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12,170</w:t>
            </w:r>
          </w:p>
        </w:tc>
        <w:tc>
          <w:tcPr>
            <w:tcW w:w="1283" w:type="dxa"/>
            <w:tcBorders>
              <w:top w:val="single" w:sz="4" w:space="0" w:color="auto"/>
              <w:left w:val="single" w:sz="4" w:space="0" w:color="auto"/>
              <w:bottom w:val="single" w:sz="4" w:space="0" w:color="auto"/>
              <w:right w:val="single" w:sz="4" w:space="0" w:color="auto"/>
            </w:tcBorders>
          </w:tcPr>
          <w:p w14:paraId="11F41FB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0,112</w:t>
            </w:r>
          </w:p>
          <w:p w14:paraId="5D71577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8,945</w:t>
            </w:r>
          </w:p>
        </w:tc>
        <w:tc>
          <w:tcPr>
            <w:tcW w:w="1955" w:type="dxa"/>
            <w:tcBorders>
              <w:top w:val="single" w:sz="4" w:space="0" w:color="auto"/>
              <w:left w:val="single" w:sz="4" w:space="0" w:color="auto"/>
              <w:bottom w:val="single" w:sz="4" w:space="0" w:color="auto"/>
              <w:right w:val="single" w:sz="4" w:space="0" w:color="auto"/>
            </w:tcBorders>
          </w:tcPr>
          <w:p w14:paraId="6036567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0,033–0,380</w:t>
            </w:r>
          </w:p>
          <w:p w14:paraId="1F9FD6F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2,632–30,400</w:t>
            </w:r>
          </w:p>
        </w:tc>
        <w:tc>
          <w:tcPr>
            <w:tcW w:w="1275" w:type="dxa"/>
            <w:tcBorders>
              <w:top w:val="single" w:sz="4" w:space="0" w:color="auto"/>
              <w:left w:val="single" w:sz="4" w:space="0" w:color="auto"/>
              <w:bottom w:val="single" w:sz="4" w:space="0" w:color="auto"/>
              <w:right w:val="single" w:sz="4" w:space="0" w:color="auto"/>
            </w:tcBorders>
          </w:tcPr>
          <w:p w14:paraId="5206A35C" w14:textId="77777777" w:rsidR="002E3CE8" w:rsidRPr="00520861" w:rsidRDefault="002E3CE8" w:rsidP="00292D2E">
            <w:pPr>
              <w:widowControl w:val="0"/>
              <w:jc w:val="center"/>
              <w:rPr>
                <w:rFonts w:eastAsia="Calibri" w:cs="Times New Roman"/>
                <w:sz w:val="28"/>
                <w:szCs w:val="28"/>
              </w:rPr>
            </w:pPr>
            <w:r w:rsidRPr="00520861">
              <w:rPr>
                <w:rFonts w:eastAsia="Calibri" w:cs="Times New Roman"/>
                <w:sz w:val="28"/>
                <w:szCs w:val="28"/>
              </w:rPr>
              <w:t>&lt;0,0005</w:t>
            </w:r>
          </w:p>
        </w:tc>
      </w:tr>
      <w:tr w:rsidR="002E3CE8" w:rsidRPr="00520861" w14:paraId="5CE88D44" w14:textId="77777777" w:rsidTr="00292D2E">
        <w:tc>
          <w:tcPr>
            <w:tcW w:w="1584" w:type="dxa"/>
            <w:vMerge/>
            <w:tcBorders>
              <w:left w:val="single" w:sz="4" w:space="0" w:color="auto"/>
              <w:right w:val="single" w:sz="4" w:space="0" w:color="auto"/>
            </w:tcBorders>
            <w:shd w:val="clear" w:color="auto" w:fill="auto"/>
          </w:tcPr>
          <w:p w14:paraId="56688122" w14:textId="77777777" w:rsidR="002E3CE8" w:rsidRPr="00520861" w:rsidRDefault="002E3CE8" w:rsidP="00292D2E">
            <w:pPr>
              <w:widowControl w:val="0"/>
              <w:spacing w:line="360" w:lineRule="auto"/>
              <w:jc w:val="center"/>
              <w:rPr>
                <w:rFonts w:eastAsia="Calibri" w:cs="Times New Roman"/>
                <w:sz w:val="28"/>
                <w:szCs w:val="28"/>
              </w:rPr>
            </w:pPr>
          </w:p>
        </w:tc>
        <w:tc>
          <w:tcPr>
            <w:tcW w:w="7346" w:type="dxa"/>
            <w:gridSpan w:val="5"/>
            <w:tcBorders>
              <w:top w:val="single" w:sz="4" w:space="0" w:color="auto"/>
              <w:left w:val="single" w:sz="4" w:space="0" w:color="auto"/>
              <w:bottom w:val="single" w:sz="4" w:space="0" w:color="auto"/>
              <w:right w:val="single" w:sz="4" w:space="0" w:color="auto"/>
            </w:tcBorders>
          </w:tcPr>
          <w:p w14:paraId="022EEA8B" w14:textId="77777777" w:rsidR="002E3CE8" w:rsidRPr="00520861" w:rsidRDefault="002E3CE8" w:rsidP="00292D2E">
            <w:pPr>
              <w:widowControl w:val="0"/>
              <w:spacing w:line="360" w:lineRule="auto"/>
              <w:jc w:val="center"/>
              <w:rPr>
                <w:rFonts w:eastAsia="Calibri" w:cs="Times New Roman"/>
                <w:sz w:val="28"/>
                <w:szCs w:val="28"/>
              </w:rPr>
            </w:pPr>
            <w:proofErr w:type="spellStart"/>
            <w:r w:rsidRPr="00520861">
              <w:rPr>
                <w:rFonts w:eastAsia="Calibri" w:cs="Times New Roman"/>
                <w:sz w:val="28"/>
                <w:szCs w:val="28"/>
              </w:rPr>
              <w:t>Наддомінантна</w:t>
            </w:r>
            <w:proofErr w:type="spellEnd"/>
            <w:r w:rsidRPr="00520861">
              <w:rPr>
                <w:rFonts w:eastAsia="Calibri" w:cs="Times New Roman"/>
                <w:sz w:val="28"/>
                <w:szCs w:val="28"/>
              </w:rPr>
              <w:t xml:space="preserve"> модель</w:t>
            </w:r>
          </w:p>
        </w:tc>
      </w:tr>
      <w:tr w:rsidR="002E3CE8" w:rsidRPr="00520861" w14:paraId="18AEF48A" w14:textId="77777777" w:rsidTr="00292D2E">
        <w:tc>
          <w:tcPr>
            <w:tcW w:w="1584" w:type="dxa"/>
            <w:vMerge/>
            <w:tcBorders>
              <w:left w:val="single" w:sz="4" w:space="0" w:color="auto"/>
              <w:right w:val="single" w:sz="4" w:space="0" w:color="auto"/>
            </w:tcBorders>
            <w:shd w:val="clear" w:color="auto" w:fill="auto"/>
          </w:tcPr>
          <w:p w14:paraId="60806170" w14:textId="77777777" w:rsidR="002E3CE8" w:rsidRPr="00520861" w:rsidRDefault="002E3CE8" w:rsidP="00292D2E">
            <w:pPr>
              <w:widowControl w:val="0"/>
              <w:spacing w:line="360" w:lineRule="auto"/>
              <w:jc w:val="center"/>
              <w:rPr>
                <w:rFonts w:eastAsia="Calibri" w:cs="Times New Roman"/>
                <w:sz w:val="28"/>
                <w:szCs w:val="28"/>
              </w:rPr>
            </w:pPr>
          </w:p>
        </w:tc>
        <w:tc>
          <w:tcPr>
            <w:tcW w:w="1558" w:type="dxa"/>
            <w:tcBorders>
              <w:top w:val="single" w:sz="4" w:space="0" w:color="auto"/>
              <w:left w:val="single" w:sz="4" w:space="0" w:color="auto"/>
              <w:bottom w:val="single" w:sz="4" w:space="0" w:color="auto"/>
              <w:right w:val="single" w:sz="4" w:space="0" w:color="auto"/>
            </w:tcBorders>
          </w:tcPr>
          <w:p w14:paraId="3827009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AA+GG</w:t>
            </w:r>
          </w:p>
          <w:p w14:paraId="4B4DB6A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AG</w:t>
            </w:r>
          </w:p>
        </w:tc>
        <w:tc>
          <w:tcPr>
            <w:tcW w:w="1275" w:type="dxa"/>
            <w:tcBorders>
              <w:top w:val="single" w:sz="4" w:space="0" w:color="auto"/>
              <w:left w:val="single" w:sz="4" w:space="0" w:color="auto"/>
              <w:bottom w:val="single" w:sz="4" w:space="0" w:color="auto"/>
              <w:right w:val="single" w:sz="4" w:space="0" w:color="auto"/>
            </w:tcBorders>
          </w:tcPr>
          <w:p w14:paraId="7F6622A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1,814</w:t>
            </w:r>
          </w:p>
        </w:tc>
        <w:tc>
          <w:tcPr>
            <w:tcW w:w="1283" w:type="dxa"/>
            <w:tcBorders>
              <w:top w:val="single" w:sz="4" w:space="0" w:color="auto"/>
              <w:left w:val="single" w:sz="4" w:space="0" w:color="auto"/>
              <w:bottom w:val="single" w:sz="4" w:space="0" w:color="auto"/>
              <w:right w:val="single" w:sz="4" w:space="0" w:color="auto"/>
            </w:tcBorders>
          </w:tcPr>
          <w:p w14:paraId="0C4C3AA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0,385</w:t>
            </w:r>
          </w:p>
          <w:p w14:paraId="63731EB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2,600</w:t>
            </w:r>
          </w:p>
        </w:tc>
        <w:tc>
          <w:tcPr>
            <w:tcW w:w="1955" w:type="dxa"/>
            <w:tcBorders>
              <w:top w:val="single" w:sz="4" w:space="0" w:color="auto"/>
              <w:left w:val="single" w:sz="4" w:space="0" w:color="auto"/>
              <w:bottom w:val="single" w:sz="4" w:space="0" w:color="auto"/>
              <w:right w:val="single" w:sz="4" w:space="0" w:color="auto"/>
            </w:tcBorders>
          </w:tcPr>
          <w:p w14:paraId="526E2A9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0,119–1,244</w:t>
            </w:r>
          </w:p>
          <w:p w14:paraId="6764FA6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0,804–8,406</w:t>
            </w:r>
          </w:p>
        </w:tc>
        <w:tc>
          <w:tcPr>
            <w:tcW w:w="1275" w:type="dxa"/>
            <w:tcBorders>
              <w:top w:val="single" w:sz="4" w:space="0" w:color="auto"/>
              <w:left w:val="single" w:sz="4" w:space="0" w:color="auto"/>
              <w:bottom w:val="single" w:sz="4" w:space="0" w:color="auto"/>
              <w:right w:val="single" w:sz="4" w:space="0" w:color="auto"/>
            </w:tcBorders>
          </w:tcPr>
          <w:p w14:paraId="27E85FC6" w14:textId="77777777" w:rsidR="002E3CE8" w:rsidRPr="00520861" w:rsidRDefault="002E3CE8" w:rsidP="00292D2E">
            <w:pPr>
              <w:widowControl w:val="0"/>
              <w:jc w:val="center"/>
              <w:rPr>
                <w:rFonts w:eastAsia="Calibri" w:cs="Times New Roman"/>
                <w:sz w:val="28"/>
                <w:szCs w:val="28"/>
              </w:rPr>
            </w:pPr>
            <w:r w:rsidRPr="00520861">
              <w:rPr>
                <w:rFonts w:eastAsia="Calibri" w:cs="Times New Roman"/>
                <w:sz w:val="28"/>
                <w:szCs w:val="28"/>
              </w:rPr>
              <w:t>0,178</w:t>
            </w:r>
          </w:p>
        </w:tc>
      </w:tr>
      <w:tr w:rsidR="002E3CE8" w:rsidRPr="00520861" w14:paraId="0C54B8B4" w14:textId="77777777" w:rsidTr="00292D2E">
        <w:tc>
          <w:tcPr>
            <w:tcW w:w="1584" w:type="dxa"/>
            <w:vMerge/>
            <w:tcBorders>
              <w:left w:val="single" w:sz="4" w:space="0" w:color="auto"/>
              <w:right w:val="single" w:sz="4" w:space="0" w:color="auto"/>
            </w:tcBorders>
            <w:shd w:val="clear" w:color="auto" w:fill="auto"/>
          </w:tcPr>
          <w:p w14:paraId="0AE82229" w14:textId="77777777" w:rsidR="002E3CE8" w:rsidRPr="00520861" w:rsidRDefault="002E3CE8" w:rsidP="00292D2E">
            <w:pPr>
              <w:widowControl w:val="0"/>
              <w:spacing w:line="360" w:lineRule="auto"/>
              <w:jc w:val="center"/>
              <w:rPr>
                <w:rFonts w:eastAsia="Calibri" w:cs="Times New Roman"/>
                <w:sz w:val="28"/>
                <w:szCs w:val="28"/>
              </w:rPr>
            </w:pPr>
          </w:p>
        </w:tc>
        <w:tc>
          <w:tcPr>
            <w:tcW w:w="7346" w:type="dxa"/>
            <w:gridSpan w:val="5"/>
            <w:tcBorders>
              <w:top w:val="single" w:sz="4" w:space="0" w:color="auto"/>
              <w:left w:val="single" w:sz="4" w:space="0" w:color="auto"/>
              <w:bottom w:val="single" w:sz="4" w:space="0" w:color="auto"/>
              <w:right w:val="single" w:sz="4" w:space="0" w:color="auto"/>
            </w:tcBorders>
          </w:tcPr>
          <w:p w14:paraId="0673321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Мультиплікативна модель</w:t>
            </w:r>
          </w:p>
        </w:tc>
      </w:tr>
      <w:tr w:rsidR="002E3CE8" w:rsidRPr="00520861" w14:paraId="344FF2D0" w14:textId="77777777" w:rsidTr="00292D2E">
        <w:tc>
          <w:tcPr>
            <w:tcW w:w="1584" w:type="dxa"/>
            <w:vMerge/>
            <w:tcBorders>
              <w:left w:val="single" w:sz="4" w:space="0" w:color="auto"/>
              <w:bottom w:val="single" w:sz="4" w:space="0" w:color="auto"/>
              <w:right w:val="single" w:sz="4" w:space="0" w:color="auto"/>
            </w:tcBorders>
            <w:shd w:val="clear" w:color="auto" w:fill="auto"/>
          </w:tcPr>
          <w:p w14:paraId="293E94E7" w14:textId="77777777" w:rsidR="002E3CE8" w:rsidRPr="00520861" w:rsidRDefault="002E3CE8" w:rsidP="00292D2E">
            <w:pPr>
              <w:widowControl w:val="0"/>
              <w:spacing w:line="360" w:lineRule="auto"/>
              <w:jc w:val="center"/>
              <w:rPr>
                <w:rFonts w:eastAsia="Calibri" w:cs="Times New Roman"/>
                <w:sz w:val="28"/>
                <w:szCs w:val="28"/>
              </w:rPr>
            </w:pPr>
          </w:p>
        </w:tc>
        <w:tc>
          <w:tcPr>
            <w:tcW w:w="1558" w:type="dxa"/>
            <w:tcBorders>
              <w:top w:val="single" w:sz="4" w:space="0" w:color="auto"/>
              <w:left w:val="single" w:sz="4" w:space="0" w:color="auto"/>
              <w:bottom w:val="single" w:sz="4" w:space="0" w:color="auto"/>
              <w:right w:val="single" w:sz="4" w:space="0" w:color="auto"/>
            </w:tcBorders>
          </w:tcPr>
          <w:p w14:paraId="60E32EA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w:t>
            </w:r>
          </w:p>
          <w:p w14:paraId="068149C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w:t>
            </w:r>
          </w:p>
        </w:tc>
        <w:tc>
          <w:tcPr>
            <w:tcW w:w="1275" w:type="dxa"/>
            <w:tcBorders>
              <w:top w:val="single" w:sz="4" w:space="0" w:color="auto"/>
              <w:left w:val="single" w:sz="4" w:space="0" w:color="auto"/>
              <w:bottom w:val="single" w:sz="4" w:space="0" w:color="auto"/>
              <w:right w:val="single" w:sz="4" w:space="0" w:color="auto"/>
            </w:tcBorders>
          </w:tcPr>
          <w:p w14:paraId="28F84F5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14,996</w:t>
            </w:r>
          </w:p>
        </w:tc>
        <w:tc>
          <w:tcPr>
            <w:tcW w:w="1283" w:type="dxa"/>
            <w:tcBorders>
              <w:top w:val="single" w:sz="4" w:space="0" w:color="auto"/>
              <w:left w:val="single" w:sz="4" w:space="0" w:color="auto"/>
              <w:bottom w:val="single" w:sz="4" w:space="0" w:color="auto"/>
              <w:right w:val="single" w:sz="4" w:space="0" w:color="auto"/>
            </w:tcBorders>
          </w:tcPr>
          <w:p w14:paraId="590822E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0,170</w:t>
            </w:r>
          </w:p>
          <w:p w14:paraId="282FEC8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5,884</w:t>
            </w:r>
          </w:p>
        </w:tc>
        <w:tc>
          <w:tcPr>
            <w:tcW w:w="1955" w:type="dxa"/>
            <w:tcBorders>
              <w:top w:val="single" w:sz="4" w:space="0" w:color="auto"/>
              <w:left w:val="single" w:sz="4" w:space="0" w:color="auto"/>
              <w:bottom w:val="single" w:sz="4" w:space="0" w:color="auto"/>
              <w:right w:val="single" w:sz="4" w:space="0" w:color="auto"/>
            </w:tcBorders>
          </w:tcPr>
          <w:p w14:paraId="519102F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0,065–0,445</w:t>
            </w:r>
          </w:p>
          <w:p w14:paraId="432C232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2,249–15,393</w:t>
            </w:r>
          </w:p>
        </w:tc>
        <w:tc>
          <w:tcPr>
            <w:tcW w:w="1275" w:type="dxa"/>
            <w:tcBorders>
              <w:top w:val="single" w:sz="4" w:space="0" w:color="auto"/>
              <w:left w:val="single" w:sz="4" w:space="0" w:color="auto"/>
              <w:bottom w:val="single" w:sz="4" w:space="0" w:color="auto"/>
              <w:right w:val="single" w:sz="4" w:space="0" w:color="auto"/>
            </w:tcBorders>
          </w:tcPr>
          <w:p w14:paraId="0F4DBCC8" w14:textId="77777777" w:rsidR="002E3CE8" w:rsidRPr="00520861" w:rsidRDefault="002E3CE8" w:rsidP="00292D2E">
            <w:pPr>
              <w:widowControl w:val="0"/>
              <w:jc w:val="center"/>
              <w:rPr>
                <w:rFonts w:eastAsia="Calibri" w:cs="Times New Roman"/>
                <w:sz w:val="28"/>
                <w:szCs w:val="28"/>
              </w:rPr>
            </w:pPr>
            <w:r w:rsidRPr="00520861">
              <w:rPr>
                <w:rFonts w:eastAsia="Calibri" w:cs="Times New Roman"/>
                <w:sz w:val="28"/>
                <w:szCs w:val="28"/>
              </w:rPr>
              <w:t>&lt;0,0005</w:t>
            </w:r>
          </w:p>
        </w:tc>
      </w:tr>
    </w:tbl>
    <w:p w14:paraId="7A22EB34" w14:textId="77777777" w:rsidR="002E3CE8" w:rsidRPr="00520861" w:rsidRDefault="002E3CE8" w:rsidP="00292D2E">
      <w:pPr>
        <w:widowControl w:val="0"/>
        <w:spacing w:line="360" w:lineRule="auto"/>
        <w:ind w:firstLine="708"/>
        <w:jc w:val="both"/>
        <w:rPr>
          <w:rFonts w:eastAsiaTheme="minorHAnsi"/>
          <w:spacing w:val="-2"/>
          <w:sz w:val="28"/>
          <w:szCs w:val="28"/>
          <w:lang w:eastAsia="en-US"/>
        </w:rPr>
      </w:pPr>
      <w:r w:rsidRPr="00520861">
        <w:rPr>
          <w:rFonts w:eastAsiaTheme="minorHAnsi"/>
          <w:sz w:val="28"/>
          <w:szCs w:val="28"/>
          <w:lang w:eastAsia="en-US"/>
        </w:rPr>
        <w:t xml:space="preserve">Примітки: тут і далі значення ймовірності </w:t>
      </w:r>
      <w:r w:rsidR="00E82B0F" w:rsidRPr="00520861">
        <w:rPr>
          <w:rFonts w:eastAsia="Calibri"/>
          <w:sz w:val="28"/>
          <w:szCs w:val="28"/>
          <w:lang w:eastAsia="en-US"/>
        </w:rPr>
        <w:t>похибки</w:t>
      </w:r>
      <w:r w:rsidRPr="00520861">
        <w:rPr>
          <w:rFonts w:eastAsiaTheme="minorHAnsi"/>
          <w:sz w:val="28"/>
          <w:szCs w:val="28"/>
          <w:lang w:eastAsia="en-US"/>
        </w:rPr>
        <w:t xml:space="preserve"> </w:t>
      </w:r>
      <w:r w:rsidRPr="00520861">
        <w:rPr>
          <w:rFonts w:eastAsiaTheme="minorHAnsi"/>
          <w:i/>
          <w:sz w:val="28"/>
          <w:szCs w:val="28"/>
          <w:lang w:eastAsia="en-US"/>
        </w:rPr>
        <w:t>p</w:t>
      </w:r>
      <w:r w:rsidRPr="00520861">
        <w:rPr>
          <w:rFonts w:eastAsiaTheme="minorHAnsi"/>
          <w:sz w:val="28"/>
          <w:szCs w:val="28"/>
          <w:lang w:eastAsia="en-US"/>
        </w:rPr>
        <w:t xml:space="preserve"> гіпотези про значущість відмінностей між частотами розповсюдження генотипів у групах для кожної моделі відповідають значенню </w:t>
      </w:r>
      <w:r w:rsidRPr="00520861">
        <w:rPr>
          <w:rFonts w:eastAsiaTheme="minorHAnsi"/>
          <w:sz w:val="28"/>
          <w:szCs w:val="28"/>
          <w:lang w:eastAsia="en-US"/>
        </w:rPr>
        <w:sym w:font="Symbol" w:char="F063"/>
      </w:r>
      <w:r w:rsidRPr="00520861">
        <w:rPr>
          <w:rFonts w:eastAsiaTheme="minorHAnsi"/>
          <w:sz w:val="28"/>
          <w:szCs w:val="28"/>
          <w:vertAlign w:val="superscript"/>
          <w:lang w:eastAsia="en-US"/>
        </w:rPr>
        <w:t>2</w:t>
      </w:r>
      <w:r w:rsidRPr="00520861">
        <w:rPr>
          <w:rFonts w:eastAsiaTheme="minorHAnsi"/>
          <w:sz w:val="28"/>
          <w:szCs w:val="28"/>
          <w:lang w:eastAsia="en-US"/>
        </w:rPr>
        <w:t xml:space="preserve">, розрахованому для відповідної таблиці спряженості. </w:t>
      </w:r>
      <w:r w:rsidRPr="00520861">
        <w:rPr>
          <w:rFonts w:eastAsiaTheme="minorHAnsi"/>
          <w:spacing w:val="-2"/>
          <w:sz w:val="28"/>
          <w:szCs w:val="28"/>
          <w:lang w:eastAsia="en-US"/>
        </w:rPr>
        <w:t>Значення 95% ДІ наведені для розрахованих по цим таблицям відношень шансів ВШ.</w:t>
      </w:r>
    </w:p>
    <w:p w14:paraId="28A61B55" w14:textId="77777777" w:rsidR="002E3CE8" w:rsidRPr="00520861" w:rsidRDefault="002E3CE8" w:rsidP="00292D2E">
      <w:pPr>
        <w:widowControl w:val="0"/>
        <w:spacing w:line="360" w:lineRule="auto"/>
        <w:jc w:val="both"/>
        <w:rPr>
          <w:rFonts w:eastAsiaTheme="minorHAnsi"/>
          <w:sz w:val="28"/>
          <w:szCs w:val="28"/>
          <w:lang w:eastAsia="en-US"/>
        </w:rPr>
      </w:pPr>
    </w:p>
    <w:p w14:paraId="07736605" w14:textId="77777777" w:rsidR="002E3CE8" w:rsidRPr="00520861" w:rsidRDefault="002E3CE8"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t>Таблиця 5.17</w:t>
      </w:r>
    </w:p>
    <w:p w14:paraId="711D94FF" w14:textId="77777777" w:rsidR="002E3CE8" w:rsidRPr="00520861" w:rsidRDefault="002E3CE8" w:rsidP="00292D2E">
      <w:pPr>
        <w:widowControl w:val="0"/>
        <w:spacing w:after="40" w:line="276" w:lineRule="auto"/>
        <w:ind w:firstLine="709"/>
        <w:jc w:val="center"/>
        <w:rPr>
          <w:rFonts w:eastAsiaTheme="minorHAnsi"/>
          <w:i/>
          <w:sz w:val="28"/>
          <w:szCs w:val="28"/>
          <w:lang w:eastAsia="en-US"/>
        </w:rPr>
      </w:pPr>
      <w:r w:rsidRPr="00520861">
        <w:rPr>
          <w:rFonts w:eastAsiaTheme="minorHAnsi"/>
          <w:b/>
          <w:sz w:val="28"/>
          <w:szCs w:val="28"/>
          <w:lang w:eastAsia="en-US"/>
        </w:rPr>
        <w:t>Порівняння частот розподілу поліморфних варіантів за геном</w:t>
      </w:r>
      <w:r w:rsidRPr="00520861">
        <w:rPr>
          <w:rFonts w:eastAsiaTheme="minorHAnsi"/>
          <w:i/>
          <w:sz w:val="28"/>
          <w:szCs w:val="28"/>
          <w:lang w:eastAsia="en-US"/>
        </w:rPr>
        <w:t xml:space="preserve"> </w:t>
      </w:r>
    </w:p>
    <w:p w14:paraId="16E9E9E8" w14:textId="77777777" w:rsidR="002E3CE8" w:rsidRPr="00520861" w:rsidRDefault="002E3CE8" w:rsidP="00292D2E">
      <w:pPr>
        <w:widowControl w:val="0"/>
        <w:spacing w:line="360" w:lineRule="auto"/>
        <w:ind w:firstLine="709"/>
        <w:jc w:val="center"/>
        <w:rPr>
          <w:rFonts w:eastAsiaTheme="minorHAnsi"/>
          <w:b/>
          <w:sz w:val="28"/>
          <w:szCs w:val="28"/>
          <w:lang w:eastAsia="en-US"/>
        </w:rPr>
      </w:pPr>
      <w:r w:rsidRPr="00520861">
        <w:rPr>
          <w:rFonts w:eastAsiaTheme="minorHAnsi"/>
          <w:b/>
          <w:i/>
          <w:sz w:val="28"/>
          <w:szCs w:val="28"/>
          <w:lang w:eastAsia="en-US"/>
        </w:rPr>
        <w:t>ESR1: -397 T&gt;C (</w:t>
      </w:r>
      <w:proofErr w:type="spellStart"/>
      <w:r w:rsidRPr="00520861">
        <w:rPr>
          <w:rFonts w:eastAsiaTheme="minorHAnsi"/>
          <w:b/>
          <w:i/>
          <w:sz w:val="28"/>
          <w:szCs w:val="28"/>
          <w:lang w:eastAsia="en-US"/>
        </w:rPr>
        <w:t>PvuII</w:t>
      </w:r>
      <w:proofErr w:type="spellEnd"/>
      <w:r w:rsidRPr="00520861">
        <w:rPr>
          <w:rFonts w:eastAsiaTheme="minorHAnsi"/>
          <w:b/>
          <w:i/>
          <w:sz w:val="28"/>
          <w:szCs w:val="28"/>
          <w:lang w:eastAsia="en-US"/>
        </w:rPr>
        <w:t>)</w:t>
      </w:r>
      <w:r w:rsidRPr="00520861">
        <w:rPr>
          <w:rFonts w:eastAsia="Calibri"/>
          <w:b/>
          <w:sz w:val="28"/>
          <w:szCs w:val="28"/>
          <w:lang w:eastAsia="en-US"/>
        </w:rPr>
        <w:t xml:space="preserve"> [</w:t>
      </w:r>
      <w:proofErr w:type="spellStart"/>
      <w:r w:rsidRPr="00520861">
        <w:rPr>
          <w:rFonts w:eastAsia="Calibri"/>
          <w:b/>
          <w:sz w:val="28"/>
          <w:szCs w:val="28"/>
          <w:lang w:eastAsia="en-US"/>
        </w:rPr>
        <w:t>rs</w:t>
      </w:r>
      <w:proofErr w:type="spellEnd"/>
      <w:r w:rsidRPr="00520861">
        <w:rPr>
          <w:rFonts w:eastAsia="Calibri"/>
          <w:b/>
          <w:sz w:val="28"/>
          <w:szCs w:val="28"/>
          <w:lang w:eastAsia="en-US"/>
        </w:rPr>
        <w:t xml:space="preserve"> 2234693]</w:t>
      </w:r>
      <w:r w:rsidRPr="00520861">
        <w:rPr>
          <w:rFonts w:eastAsiaTheme="minorHAnsi"/>
          <w:b/>
          <w:sz w:val="28"/>
          <w:szCs w:val="28"/>
          <w:lang w:eastAsia="en-US"/>
        </w:rPr>
        <w:t xml:space="preserve"> в осіб ГПП 26 – 30 і ГП I</w:t>
      </w:r>
    </w:p>
    <w:tbl>
      <w:tblPr>
        <w:tblStyle w:val="8"/>
        <w:tblW w:w="8930" w:type="dxa"/>
        <w:tblInd w:w="817" w:type="dxa"/>
        <w:tblLayout w:type="fixed"/>
        <w:tblLook w:val="04A0" w:firstRow="1" w:lastRow="0" w:firstColumn="1" w:lastColumn="0" w:noHBand="0" w:noVBand="1"/>
      </w:tblPr>
      <w:tblGrid>
        <w:gridCol w:w="1559"/>
        <w:gridCol w:w="1639"/>
        <w:gridCol w:w="1196"/>
        <w:gridCol w:w="1330"/>
        <w:gridCol w:w="1931"/>
        <w:gridCol w:w="1275"/>
      </w:tblGrid>
      <w:tr w:rsidR="002E3CE8" w:rsidRPr="00520861" w14:paraId="10F4C80A" w14:textId="77777777" w:rsidTr="00292D2E">
        <w:tc>
          <w:tcPr>
            <w:tcW w:w="1559" w:type="dxa"/>
            <w:vMerge w:val="restart"/>
            <w:tcBorders>
              <w:top w:val="single" w:sz="4" w:space="0" w:color="auto"/>
              <w:left w:val="single" w:sz="4" w:space="0" w:color="auto"/>
              <w:bottom w:val="single" w:sz="4" w:space="0" w:color="auto"/>
              <w:right w:val="single" w:sz="4" w:space="0" w:color="auto"/>
            </w:tcBorders>
            <w:hideMark/>
          </w:tcPr>
          <w:p w14:paraId="26BF391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Ген</w:t>
            </w:r>
          </w:p>
        </w:tc>
        <w:tc>
          <w:tcPr>
            <w:tcW w:w="1639" w:type="dxa"/>
            <w:vMerge w:val="restart"/>
            <w:tcBorders>
              <w:top w:val="single" w:sz="4" w:space="0" w:color="auto"/>
              <w:left w:val="single" w:sz="4" w:space="0" w:color="auto"/>
              <w:bottom w:val="single" w:sz="4" w:space="0" w:color="auto"/>
              <w:right w:val="single" w:sz="4" w:space="0" w:color="auto"/>
            </w:tcBorders>
            <w:hideMark/>
          </w:tcPr>
          <w:p w14:paraId="10FD9F4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Генотип</w:t>
            </w:r>
          </w:p>
        </w:tc>
        <w:tc>
          <w:tcPr>
            <w:tcW w:w="5732" w:type="dxa"/>
            <w:gridSpan w:val="4"/>
            <w:tcBorders>
              <w:top w:val="single" w:sz="4" w:space="0" w:color="auto"/>
              <w:left w:val="single" w:sz="4" w:space="0" w:color="auto"/>
              <w:bottom w:val="single" w:sz="4" w:space="0" w:color="auto"/>
              <w:right w:val="single" w:sz="4" w:space="0" w:color="auto"/>
            </w:tcBorders>
            <w:hideMark/>
          </w:tcPr>
          <w:p w14:paraId="6CD3B5D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Результати статистичного аналізу</w:t>
            </w:r>
          </w:p>
        </w:tc>
      </w:tr>
      <w:tr w:rsidR="002E3CE8" w:rsidRPr="00520861" w14:paraId="427D290A" w14:textId="77777777" w:rsidTr="00292D2E">
        <w:tc>
          <w:tcPr>
            <w:tcW w:w="1559" w:type="dxa"/>
            <w:vMerge/>
            <w:tcBorders>
              <w:top w:val="single" w:sz="4" w:space="0" w:color="auto"/>
              <w:left w:val="single" w:sz="4" w:space="0" w:color="auto"/>
              <w:bottom w:val="single" w:sz="4" w:space="0" w:color="auto"/>
              <w:right w:val="single" w:sz="4" w:space="0" w:color="auto"/>
            </w:tcBorders>
            <w:vAlign w:val="center"/>
            <w:hideMark/>
          </w:tcPr>
          <w:p w14:paraId="19AAD8B7" w14:textId="77777777" w:rsidR="002E3CE8" w:rsidRPr="00520861" w:rsidRDefault="002E3CE8" w:rsidP="00292D2E">
            <w:pPr>
              <w:widowControl w:val="0"/>
              <w:spacing w:line="360" w:lineRule="auto"/>
              <w:jc w:val="center"/>
              <w:rPr>
                <w:rFonts w:eastAsia="Calibri" w:cs="Times New Roman"/>
                <w:sz w:val="28"/>
                <w:szCs w:val="28"/>
              </w:rPr>
            </w:pPr>
          </w:p>
        </w:tc>
        <w:tc>
          <w:tcPr>
            <w:tcW w:w="1639" w:type="dxa"/>
            <w:vMerge/>
            <w:tcBorders>
              <w:top w:val="single" w:sz="4" w:space="0" w:color="auto"/>
              <w:left w:val="single" w:sz="4" w:space="0" w:color="auto"/>
              <w:bottom w:val="single" w:sz="4" w:space="0" w:color="auto"/>
              <w:right w:val="single" w:sz="4" w:space="0" w:color="auto"/>
            </w:tcBorders>
            <w:vAlign w:val="center"/>
            <w:hideMark/>
          </w:tcPr>
          <w:p w14:paraId="4A4896FB" w14:textId="77777777" w:rsidR="002E3CE8" w:rsidRPr="00520861" w:rsidRDefault="002E3CE8" w:rsidP="00292D2E">
            <w:pPr>
              <w:widowControl w:val="0"/>
              <w:spacing w:line="360" w:lineRule="auto"/>
              <w:jc w:val="center"/>
              <w:rPr>
                <w:rFonts w:eastAsia="Calibri" w:cs="Times New Roman"/>
                <w:sz w:val="28"/>
                <w:szCs w:val="28"/>
              </w:rPr>
            </w:pPr>
          </w:p>
        </w:tc>
        <w:tc>
          <w:tcPr>
            <w:tcW w:w="1196" w:type="dxa"/>
            <w:tcBorders>
              <w:top w:val="single" w:sz="4" w:space="0" w:color="auto"/>
              <w:left w:val="single" w:sz="4" w:space="0" w:color="auto"/>
              <w:bottom w:val="single" w:sz="4" w:space="0" w:color="auto"/>
              <w:right w:val="single" w:sz="4" w:space="0" w:color="auto"/>
            </w:tcBorders>
            <w:hideMark/>
          </w:tcPr>
          <w:p w14:paraId="5DD5055B" w14:textId="77777777" w:rsidR="002E3CE8" w:rsidRPr="00520861" w:rsidRDefault="002E3CE8" w:rsidP="00292D2E">
            <w:pPr>
              <w:widowControl w:val="0"/>
              <w:spacing w:line="360" w:lineRule="auto"/>
              <w:ind w:right="-108" w:hanging="50"/>
              <w:jc w:val="center"/>
              <w:rPr>
                <w:rFonts w:eastAsia="Calibri" w:cs="Times New Roman"/>
                <w:sz w:val="28"/>
                <w:szCs w:val="28"/>
              </w:rPr>
            </w:pPr>
            <w:r w:rsidRPr="00520861">
              <w:rPr>
                <w:rFonts w:eastAsia="Calibri" w:cs="Times New Roman"/>
                <w:sz w:val="28"/>
                <w:szCs w:val="28"/>
              </w:rPr>
              <w:sym w:font="Symbol" w:char="F063"/>
            </w:r>
            <w:r w:rsidRPr="00520861">
              <w:rPr>
                <w:rFonts w:eastAsia="Calibri" w:cs="Times New Roman"/>
                <w:sz w:val="28"/>
                <w:szCs w:val="28"/>
                <w:vertAlign w:val="superscript"/>
              </w:rPr>
              <w:t>2</w:t>
            </w:r>
            <w:r w:rsidRPr="00520861">
              <w:rPr>
                <w:rFonts w:eastAsia="Calibri" w:cs="Times New Roman"/>
                <w:sz w:val="28"/>
                <w:szCs w:val="28"/>
              </w:rPr>
              <w:t xml:space="preserve"> (</w:t>
            </w:r>
            <w:proofErr w:type="spellStart"/>
            <w:r w:rsidRPr="00520861">
              <w:rPr>
                <w:rFonts w:eastAsia="Calibri" w:cs="Times New Roman"/>
                <w:sz w:val="28"/>
                <w:szCs w:val="28"/>
              </w:rPr>
              <w:t>Йєтс</w:t>
            </w:r>
            <w:proofErr w:type="spellEnd"/>
            <w:r w:rsidRPr="00520861">
              <w:rPr>
                <w:rFonts w:eastAsia="Calibri" w:cs="Times New Roman"/>
                <w:sz w:val="28"/>
                <w:szCs w:val="28"/>
              </w:rPr>
              <w:t>)</w:t>
            </w:r>
          </w:p>
        </w:tc>
        <w:tc>
          <w:tcPr>
            <w:tcW w:w="1330" w:type="dxa"/>
            <w:tcBorders>
              <w:top w:val="single" w:sz="4" w:space="0" w:color="auto"/>
              <w:left w:val="single" w:sz="4" w:space="0" w:color="auto"/>
              <w:bottom w:val="single" w:sz="4" w:space="0" w:color="auto"/>
              <w:right w:val="single" w:sz="4" w:space="0" w:color="auto"/>
            </w:tcBorders>
            <w:hideMark/>
          </w:tcPr>
          <w:p w14:paraId="503B5CA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ВШ</w:t>
            </w:r>
          </w:p>
        </w:tc>
        <w:tc>
          <w:tcPr>
            <w:tcW w:w="1931" w:type="dxa"/>
            <w:tcBorders>
              <w:top w:val="single" w:sz="4" w:space="0" w:color="auto"/>
              <w:left w:val="single" w:sz="4" w:space="0" w:color="auto"/>
              <w:bottom w:val="single" w:sz="4" w:space="0" w:color="auto"/>
              <w:right w:val="single" w:sz="4" w:space="0" w:color="auto"/>
            </w:tcBorders>
            <w:hideMark/>
          </w:tcPr>
          <w:p w14:paraId="105E88C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95% ДІ</w:t>
            </w:r>
          </w:p>
        </w:tc>
        <w:tc>
          <w:tcPr>
            <w:tcW w:w="1275" w:type="dxa"/>
            <w:tcBorders>
              <w:top w:val="single" w:sz="4" w:space="0" w:color="auto"/>
              <w:left w:val="single" w:sz="4" w:space="0" w:color="auto"/>
              <w:bottom w:val="single" w:sz="4" w:space="0" w:color="auto"/>
              <w:right w:val="single" w:sz="4" w:space="0" w:color="auto"/>
            </w:tcBorders>
            <w:hideMark/>
          </w:tcPr>
          <w:p w14:paraId="15B100EC" w14:textId="77777777" w:rsidR="002E3CE8" w:rsidRPr="00520861" w:rsidRDefault="002E3CE8" w:rsidP="00292D2E">
            <w:pPr>
              <w:widowControl w:val="0"/>
              <w:spacing w:line="360" w:lineRule="auto"/>
              <w:jc w:val="center"/>
              <w:rPr>
                <w:rFonts w:eastAsia="Calibri" w:cs="Times New Roman"/>
                <w:i/>
                <w:sz w:val="28"/>
                <w:szCs w:val="28"/>
              </w:rPr>
            </w:pPr>
            <w:r w:rsidRPr="00520861">
              <w:rPr>
                <w:rFonts w:eastAsia="Calibri" w:cs="Times New Roman"/>
                <w:i/>
                <w:sz w:val="28"/>
                <w:szCs w:val="28"/>
              </w:rPr>
              <w:t>P</w:t>
            </w:r>
          </w:p>
        </w:tc>
      </w:tr>
      <w:tr w:rsidR="002E3CE8" w:rsidRPr="00520861" w14:paraId="64FB0E61" w14:textId="77777777" w:rsidTr="00292D2E">
        <w:tc>
          <w:tcPr>
            <w:tcW w:w="1559" w:type="dxa"/>
            <w:tcBorders>
              <w:top w:val="single" w:sz="4" w:space="0" w:color="auto"/>
              <w:left w:val="single" w:sz="4" w:space="0" w:color="auto"/>
              <w:bottom w:val="single" w:sz="4" w:space="0" w:color="auto"/>
              <w:right w:val="single" w:sz="4" w:space="0" w:color="auto"/>
            </w:tcBorders>
            <w:vAlign w:val="center"/>
          </w:tcPr>
          <w:p w14:paraId="569C2D2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w:t>
            </w:r>
          </w:p>
        </w:tc>
        <w:tc>
          <w:tcPr>
            <w:tcW w:w="1639" w:type="dxa"/>
            <w:tcBorders>
              <w:top w:val="single" w:sz="4" w:space="0" w:color="auto"/>
              <w:left w:val="single" w:sz="4" w:space="0" w:color="auto"/>
              <w:bottom w:val="single" w:sz="4" w:space="0" w:color="auto"/>
              <w:right w:val="single" w:sz="4" w:space="0" w:color="auto"/>
            </w:tcBorders>
            <w:vAlign w:val="center"/>
          </w:tcPr>
          <w:p w14:paraId="407D778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w:t>
            </w:r>
          </w:p>
        </w:tc>
        <w:tc>
          <w:tcPr>
            <w:tcW w:w="1196" w:type="dxa"/>
            <w:tcBorders>
              <w:top w:val="single" w:sz="4" w:space="0" w:color="auto"/>
              <w:left w:val="single" w:sz="4" w:space="0" w:color="auto"/>
              <w:bottom w:val="single" w:sz="4" w:space="0" w:color="auto"/>
              <w:right w:val="single" w:sz="4" w:space="0" w:color="auto"/>
            </w:tcBorders>
          </w:tcPr>
          <w:p w14:paraId="285E622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w:t>
            </w:r>
          </w:p>
        </w:tc>
        <w:tc>
          <w:tcPr>
            <w:tcW w:w="1330" w:type="dxa"/>
            <w:tcBorders>
              <w:top w:val="single" w:sz="4" w:space="0" w:color="auto"/>
              <w:left w:val="single" w:sz="4" w:space="0" w:color="auto"/>
              <w:bottom w:val="single" w:sz="4" w:space="0" w:color="auto"/>
              <w:right w:val="single" w:sz="4" w:space="0" w:color="auto"/>
            </w:tcBorders>
          </w:tcPr>
          <w:p w14:paraId="47E79D2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w:t>
            </w:r>
          </w:p>
        </w:tc>
        <w:tc>
          <w:tcPr>
            <w:tcW w:w="1931" w:type="dxa"/>
            <w:tcBorders>
              <w:top w:val="single" w:sz="4" w:space="0" w:color="auto"/>
              <w:left w:val="single" w:sz="4" w:space="0" w:color="auto"/>
              <w:bottom w:val="single" w:sz="4" w:space="0" w:color="auto"/>
              <w:right w:val="single" w:sz="4" w:space="0" w:color="auto"/>
            </w:tcBorders>
          </w:tcPr>
          <w:p w14:paraId="1B83A83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w:t>
            </w:r>
          </w:p>
        </w:tc>
        <w:tc>
          <w:tcPr>
            <w:tcW w:w="1275" w:type="dxa"/>
            <w:tcBorders>
              <w:top w:val="single" w:sz="4" w:space="0" w:color="auto"/>
              <w:left w:val="single" w:sz="4" w:space="0" w:color="auto"/>
              <w:bottom w:val="single" w:sz="4" w:space="0" w:color="auto"/>
              <w:right w:val="single" w:sz="4" w:space="0" w:color="auto"/>
            </w:tcBorders>
          </w:tcPr>
          <w:p w14:paraId="24DA47A3" w14:textId="77777777" w:rsidR="002E3CE8" w:rsidRPr="00520861" w:rsidRDefault="002E3CE8" w:rsidP="00292D2E">
            <w:pPr>
              <w:widowControl w:val="0"/>
              <w:spacing w:line="360" w:lineRule="auto"/>
              <w:jc w:val="center"/>
              <w:rPr>
                <w:rFonts w:eastAsia="Calibri" w:cs="Times New Roman"/>
                <w:i/>
                <w:sz w:val="28"/>
                <w:szCs w:val="28"/>
              </w:rPr>
            </w:pPr>
            <w:r w:rsidRPr="00520861">
              <w:rPr>
                <w:rFonts w:eastAsia="Calibri" w:cs="Times New Roman"/>
                <w:i/>
                <w:sz w:val="28"/>
                <w:szCs w:val="28"/>
              </w:rPr>
              <w:t>6</w:t>
            </w:r>
          </w:p>
        </w:tc>
      </w:tr>
      <w:tr w:rsidR="002E3CE8" w:rsidRPr="00520861" w14:paraId="6988750B" w14:textId="77777777" w:rsidTr="00292D2E">
        <w:tc>
          <w:tcPr>
            <w:tcW w:w="1559" w:type="dxa"/>
            <w:vMerge w:val="restart"/>
            <w:tcBorders>
              <w:top w:val="single" w:sz="4" w:space="0" w:color="auto"/>
              <w:left w:val="single" w:sz="4" w:space="0" w:color="auto"/>
              <w:right w:val="single" w:sz="4" w:space="0" w:color="auto"/>
            </w:tcBorders>
          </w:tcPr>
          <w:p w14:paraId="0E639B19" w14:textId="77777777" w:rsidR="002E3CE8" w:rsidRPr="00520861" w:rsidRDefault="002E3CE8" w:rsidP="00292D2E">
            <w:pPr>
              <w:widowControl w:val="0"/>
              <w:spacing w:line="360" w:lineRule="auto"/>
              <w:jc w:val="center"/>
              <w:rPr>
                <w:rFonts w:eastAsia="Calibri" w:cs="Times New Roman"/>
                <w:i/>
                <w:sz w:val="28"/>
                <w:szCs w:val="28"/>
              </w:rPr>
            </w:pPr>
            <w:r w:rsidRPr="00520861">
              <w:rPr>
                <w:rFonts w:eastAsia="Calibri" w:cs="Times New Roman"/>
                <w:i/>
                <w:sz w:val="28"/>
                <w:szCs w:val="28"/>
              </w:rPr>
              <w:t>ESR1: -397 T&gt;C (</w:t>
            </w:r>
            <w:proofErr w:type="spellStart"/>
            <w:r w:rsidRPr="00520861">
              <w:rPr>
                <w:rFonts w:eastAsia="Calibri" w:cs="Times New Roman"/>
                <w:i/>
                <w:sz w:val="28"/>
                <w:szCs w:val="28"/>
              </w:rPr>
              <w:t>PvuII</w:t>
            </w:r>
            <w:proofErr w:type="spellEnd"/>
            <w:r w:rsidRPr="00520861">
              <w:rPr>
                <w:rFonts w:eastAsia="Calibri" w:cs="Times New Roman"/>
                <w:i/>
                <w:sz w:val="28"/>
                <w:szCs w:val="28"/>
              </w:rPr>
              <w:t>)</w:t>
            </w:r>
          </w:p>
          <w:p w14:paraId="1E41CB3A" w14:textId="77777777" w:rsidR="002E3CE8" w:rsidRPr="00520861" w:rsidRDefault="002E3CE8" w:rsidP="00292D2E">
            <w:pPr>
              <w:widowControl w:val="0"/>
              <w:spacing w:line="360" w:lineRule="auto"/>
              <w:ind w:left="-243" w:right="-250" w:hanging="142"/>
              <w:jc w:val="center"/>
              <w:rPr>
                <w:rFonts w:eastAsia="Calibri" w:cs="Times New Roman"/>
                <w:sz w:val="28"/>
                <w:szCs w:val="28"/>
              </w:rPr>
            </w:pPr>
            <w:r w:rsidRPr="00520861">
              <w:rPr>
                <w:rFonts w:eastAsia="Calibri" w:cs="Times New Roman"/>
                <w:sz w:val="28"/>
                <w:szCs w:val="28"/>
              </w:rPr>
              <w:t>[rs2234693]</w:t>
            </w:r>
          </w:p>
        </w:tc>
        <w:tc>
          <w:tcPr>
            <w:tcW w:w="7371" w:type="dxa"/>
            <w:gridSpan w:val="5"/>
            <w:tcBorders>
              <w:top w:val="single" w:sz="4" w:space="0" w:color="auto"/>
              <w:left w:val="single" w:sz="4" w:space="0" w:color="auto"/>
              <w:bottom w:val="single" w:sz="4" w:space="0" w:color="auto"/>
              <w:right w:val="single" w:sz="4" w:space="0" w:color="auto"/>
            </w:tcBorders>
          </w:tcPr>
          <w:p w14:paraId="5D1E2BF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Адитивна модель</w:t>
            </w:r>
          </w:p>
        </w:tc>
      </w:tr>
      <w:tr w:rsidR="002E3CE8" w:rsidRPr="00520861" w14:paraId="037432BE" w14:textId="77777777" w:rsidTr="00292D2E">
        <w:tc>
          <w:tcPr>
            <w:tcW w:w="1559" w:type="dxa"/>
            <w:vMerge/>
            <w:tcBorders>
              <w:left w:val="single" w:sz="4" w:space="0" w:color="auto"/>
              <w:right w:val="single" w:sz="4" w:space="0" w:color="auto"/>
            </w:tcBorders>
            <w:hideMark/>
          </w:tcPr>
          <w:p w14:paraId="32FF258D" w14:textId="77777777" w:rsidR="002E3CE8" w:rsidRPr="00520861" w:rsidRDefault="002E3CE8" w:rsidP="00292D2E">
            <w:pPr>
              <w:widowControl w:val="0"/>
              <w:spacing w:line="360" w:lineRule="auto"/>
              <w:jc w:val="center"/>
              <w:rPr>
                <w:rFonts w:eastAsia="Calibri" w:cs="Times New Roman"/>
                <w:sz w:val="28"/>
                <w:szCs w:val="28"/>
              </w:rPr>
            </w:pPr>
          </w:p>
        </w:tc>
        <w:tc>
          <w:tcPr>
            <w:tcW w:w="1639" w:type="dxa"/>
            <w:tcBorders>
              <w:top w:val="single" w:sz="4" w:space="0" w:color="auto"/>
              <w:left w:val="single" w:sz="4" w:space="0" w:color="auto"/>
              <w:bottom w:val="single" w:sz="4" w:space="0" w:color="auto"/>
              <w:right w:val="single" w:sz="4" w:space="0" w:color="auto"/>
            </w:tcBorders>
            <w:hideMark/>
          </w:tcPr>
          <w:p w14:paraId="0150640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TT</w:t>
            </w:r>
          </w:p>
          <w:p w14:paraId="041AE15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TC</w:t>
            </w:r>
          </w:p>
          <w:p w14:paraId="1642F32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CC</w:t>
            </w:r>
          </w:p>
        </w:tc>
        <w:tc>
          <w:tcPr>
            <w:tcW w:w="1196" w:type="dxa"/>
            <w:tcBorders>
              <w:top w:val="single" w:sz="4" w:space="0" w:color="auto"/>
              <w:left w:val="single" w:sz="4" w:space="0" w:color="auto"/>
              <w:bottom w:val="single" w:sz="4" w:space="0" w:color="auto"/>
              <w:right w:val="single" w:sz="4" w:space="0" w:color="auto"/>
            </w:tcBorders>
            <w:hideMark/>
          </w:tcPr>
          <w:p w14:paraId="21765DB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5,545</w:t>
            </w:r>
          </w:p>
        </w:tc>
        <w:tc>
          <w:tcPr>
            <w:tcW w:w="1330" w:type="dxa"/>
            <w:tcBorders>
              <w:top w:val="single" w:sz="4" w:space="0" w:color="auto"/>
              <w:left w:val="single" w:sz="4" w:space="0" w:color="auto"/>
              <w:bottom w:val="single" w:sz="4" w:space="0" w:color="auto"/>
              <w:right w:val="single" w:sz="4" w:space="0" w:color="auto"/>
            </w:tcBorders>
            <w:hideMark/>
          </w:tcPr>
          <w:p w14:paraId="54F6017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2,103</w:t>
            </w:r>
          </w:p>
          <w:p w14:paraId="7CA20E6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0,375</w:t>
            </w:r>
          </w:p>
          <w:p w14:paraId="7010B5F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1,875</w:t>
            </w:r>
          </w:p>
        </w:tc>
        <w:tc>
          <w:tcPr>
            <w:tcW w:w="1931" w:type="dxa"/>
            <w:tcBorders>
              <w:top w:val="single" w:sz="4" w:space="0" w:color="auto"/>
              <w:left w:val="single" w:sz="4" w:space="0" w:color="auto"/>
              <w:bottom w:val="single" w:sz="4" w:space="0" w:color="auto"/>
              <w:right w:val="single" w:sz="4" w:space="0" w:color="auto"/>
            </w:tcBorders>
            <w:hideMark/>
          </w:tcPr>
          <w:p w14:paraId="4C22293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0,882–5,012</w:t>
            </w:r>
          </w:p>
          <w:p w14:paraId="5592E98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0,178–0,786</w:t>
            </w:r>
          </w:p>
          <w:p w14:paraId="0015F11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0,753–4,669</w:t>
            </w:r>
          </w:p>
        </w:tc>
        <w:tc>
          <w:tcPr>
            <w:tcW w:w="1275" w:type="dxa"/>
            <w:tcBorders>
              <w:top w:val="single" w:sz="4" w:space="0" w:color="auto"/>
              <w:left w:val="single" w:sz="4" w:space="0" w:color="auto"/>
              <w:bottom w:val="single" w:sz="4" w:space="0" w:color="auto"/>
              <w:right w:val="single" w:sz="4" w:space="0" w:color="auto"/>
            </w:tcBorders>
            <w:hideMark/>
          </w:tcPr>
          <w:p w14:paraId="64CF657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0,063</w:t>
            </w:r>
          </w:p>
        </w:tc>
      </w:tr>
      <w:tr w:rsidR="002E3CE8" w:rsidRPr="00520861" w14:paraId="740CE960" w14:textId="77777777" w:rsidTr="00292D2E">
        <w:tc>
          <w:tcPr>
            <w:tcW w:w="1559" w:type="dxa"/>
            <w:vMerge/>
            <w:tcBorders>
              <w:left w:val="single" w:sz="4" w:space="0" w:color="auto"/>
              <w:right w:val="single" w:sz="4" w:space="0" w:color="auto"/>
            </w:tcBorders>
          </w:tcPr>
          <w:p w14:paraId="1BCB6018" w14:textId="77777777" w:rsidR="002E3CE8" w:rsidRPr="00520861" w:rsidRDefault="002E3CE8" w:rsidP="00292D2E">
            <w:pPr>
              <w:widowControl w:val="0"/>
              <w:spacing w:line="360" w:lineRule="auto"/>
              <w:jc w:val="center"/>
              <w:rPr>
                <w:rFonts w:eastAsia="Calibri" w:cs="Times New Roman"/>
                <w:sz w:val="28"/>
                <w:szCs w:val="28"/>
              </w:rPr>
            </w:pPr>
          </w:p>
        </w:tc>
        <w:tc>
          <w:tcPr>
            <w:tcW w:w="7371" w:type="dxa"/>
            <w:gridSpan w:val="5"/>
            <w:tcBorders>
              <w:top w:val="single" w:sz="4" w:space="0" w:color="auto"/>
              <w:left w:val="single" w:sz="4" w:space="0" w:color="auto"/>
              <w:bottom w:val="single" w:sz="4" w:space="0" w:color="auto"/>
              <w:right w:val="single" w:sz="4" w:space="0" w:color="auto"/>
            </w:tcBorders>
          </w:tcPr>
          <w:p w14:paraId="64322D9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Рецесивна модель</w:t>
            </w:r>
          </w:p>
        </w:tc>
      </w:tr>
      <w:tr w:rsidR="002E3CE8" w:rsidRPr="00520861" w14:paraId="6193924A" w14:textId="77777777" w:rsidTr="00292D2E">
        <w:tc>
          <w:tcPr>
            <w:tcW w:w="1559" w:type="dxa"/>
            <w:vMerge/>
            <w:tcBorders>
              <w:left w:val="single" w:sz="4" w:space="0" w:color="auto"/>
              <w:right w:val="single" w:sz="4" w:space="0" w:color="auto"/>
            </w:tcBorders>
          </w:tcPr>
          <w:p w14:paraId="2E62060E" w14:textId="77777777" w:rsidR="002E3CE8" w:rsidRPr="00520861" w:rsidRDefault="002E3CE8" w:rsidP="00292D2E">
            <w:pPr>
              <w:widowControl w:val="0"/>
              <w:spacing w:line="360" w:lineRule="auto"/>
              <w:jc w:val="center"/>
              <w:rPr>
                <w:rFonts w:eastAsia="Calibri" w:cs="Times New Roman"/>
                <w:sz w:val="28"/>
                <w:szCs w:val="28"/>
              </w:rPr>
            </w:pPr>
          </w:p>
        </w:tc>
        <w:tc>
          <w:tcPr>
            <w:tcW w:w="1639" w:type="dxa"/>
            <w:tcBorders>
              <w:top w:val="single" w:sz="4" w:space="0" w:color="auto"/>
              <w:left w:val="single" w:sz="4" w:space="0" w:color="auto"/>
              <w:bottom w:val="single" w:sz="4" w:space="0" w:color="auto"/>
              <w:right w:val="single" w:sz="4" w:space="0" w:color="auto"/>
            </w:tcBorders>
          </w:tcPr>
          <w:p w14:paraId="018F1C6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TT+TC</w:t>
            </w:r>
          </w:p>
          <w:p w14:paraId="6A427D8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CC</w:t>
            </w:r>
          </w:p>
        </w:tc>
        <w:tc>
          <w:tcPr>
            <w:tcW w:w="1196" w:type="dxa"/>
            <w:tcBorders>
              <w:top w:val="single" w:sz="4" w:space="0" w:color="auto"/>
              <w:left w:val="single" w:sz="4" w:space="0" w:color="auto"/>
              <w:bottom w:val="single" w:sz="4" w:space="0" w:color="auto"/>
              <w:right w:val="single" w:sz="4" w:space="0" w:color="auto"/>
            </w:tcBorders>
          </w:tcPr>
          <w:p w14:paraId="13D68E8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1,308</w:t>
            </w:r>
          </w:p>
        </w:tc>
        <w:tc>
          <w:tcPr>
            <w:tcW w:w="1330" w:type="dxa"/>
            <w:tcBorders>
              <w:top w:val="single" w:sz="4" w:space="0" w:color="auto"/>
              <w:left w:val="single" w:sz="4" w:space="0" w:color="auto"/>
              <w:bottom w:val="single" w:sz="4" w:space="0" w:color="auto"/>
              <w:right w:val="single" w:sz="4" w:space="0" w:color="auto"/>
            </w:tcBorders>
          </w:tcPr>
          <w:p w14:paraId="2926478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0,533</w:t>
            </w:r>
          </w:p>
          <w:p w14:paraId="3C92DD4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1,875</w:t>
            </w:r>
          </w:p>
        </w:tc>
        <w:tc>
          <w:tcPr>
            <w:tcW w:w="1931" w:type="dxa"/>
            <w:tcBorders>
              <w:top w:val="single" w:sz="4" w:space="0" w:color="auto"/>
              <w:left w:val="single" w:sz="4" w:space="0" w:color="auto"/>
              <w:bottom w:val="single" w:sz="4" w:space="0" w:color="auto"/>
              <w:right w:val="single" w:sz="4" w:space="0" w:color="auto"/>
            </w:tcBorders>
          </w:tcPr>
          <w:p w14:paraId="693F174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0,214–1,328</w:t>
            </w:r>
          </w:p>
          <w:p w14:paraId="346DB52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0,753–4,669</w:t>
            </w:r>
          </w:p>
        </w:tc>
        <w:tc>
          <w:tcPr>
            <w:tcW w:w="1275" w:type="dxa"/>
            <w:tcBorders>
              <w:top w:val="single" w:sz="4" w:space="0" w:color="auto"/>
              <w:left w:val="single" w:sz="4" w:space="0" w:color="auto"/>
              <w:bottom w:val="single" w:sz="4" w:space="0" w:color="auto"/>
              <w:right w:val="single" w:sz="4" w:space="0" w:color="auto"/>
            </w:tcBorders>
          </w:tcPr>
          <w:p w14:paraId="6FCB33E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0,253</w:t>
            </w:r>
          </w:p>
        </w:tc>
      </w:tr>
    </w:tbl>
    <w:p w14:paraId="75600B81" w14:textId="77777777" w:rsidR="002E3CE8" w:rsidRPr="00520861" w:rsidRDefault="002E3CE8" w:rsidP="00292D2E">
      <w:pPr>
        <w:widowControl w:val="0"/>
        <w:jc w:val="right"/>
        <w:rPr>
          <w:rFonts w:eastAsiaTheme="minorHAnsi"/>
          <w:i/>
          <w:sz w:val="28"/>
          <w:szCs w:val="28"/>
          <w:lang w:eastAsia="en-US"/>
        </w:rPr>
      </w:pPr>
    </w:p>
    <w:p w14:paraId="00A63FEA" w14:textId="77777777" w:rsidR="002E3CE8" w:rsidRPr="00520861" w:rsidRDefault="002E3CE8" w:rsidP="00292D2E">
      <w:pPr>
        <w:widowControl w:val="0"/>
        <w:jc w:val="right"/>
        <w:rPr>
          <w:rFonts w:eastAsiaTheme="minorHAnsi"/>
          <w:i/>
          <w:sz w:val="28"/>
          <w:szCs w:val="28"/>
          <w:lang w:eastAsia="en-US"/>
        </w:rPr>
      </w:pPr>
      <w:r w:rsidRPr="00520861">
        <w:rPr>
          <w:rFonts w:eastAsiaTheme="minorHAnsi"/>
          <w:i/>
          <w:sz w:val="28"/>
          <w:szCs w:val="28"/>
          <w:lang w:eastAsia="en-US"/>
        </w:rPr>
        <w:lastRenderedPageBreak/>
        <w:t>Продовження таблиці 5.17</w:t>
      </w:r>
    </w:p>
    <w:tbl>
      <w:tblPr>
        <w:tblStyle w:val="8"/>
        <w:tblW w:w="9072" w:type="dxa"/>
        <w:tblInd w:w="817" w:type="dxa"/>
        <w:tblLayout w:type="fixed"/>
        <w:tblLook w:val="04A0" w:firstRow="1" w:lastRow="0" w:firstColumn="1" w:lastColumn="0" w:noHBand="0" w:noVBand="1"/>
      </w:tblPr>
      <w:tblGrid>
        <w:gridCol w:w="1720"/>
        <w:gridCol w:w="1682"/>
        <w:gridCol w:w="1134"/>
        <w:gridCol w:w="1324"/>
        <w:gridCol w:w="2078"/>
        <w:gridCol w:w="1134"/>
      </w:tblGrid>
      <w:tr w:rsidR="002E3CE8" w:rsidRPr="00520861" w14:paraId="65C60C89" w14:textId="77777777" w:rsidTr="00292D2E">
        <w:tc>
          <w:tcPr>
            <w:tcW w:w="1720" w:type="dxa"/>
            <w:tcBorders>
              <w:left w:val="single" w:sz="4" w:space="0" w:color="auto"/>
              <w:right w:val="single" w:sz="4" w:space="0" w:color="auto"/>
            </w:tcBorders>
          </w:tcPr>
          <w:p w14:paraId="04EEA4C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w:t>
            </w:r>
          </w:p>
        </w:tc>
        <w:tc>
          <w:tcPr>
            <w:tcW w:w="1682" w:type="dxa"/>
            <w:tcBorders>
              <w:top w:val="single" w:sz="4" w:space="0" w:color="auto"/>
              <w:left w:val="single" w:sz="4" w:space="0" w:color="auto"/>
              <w:bottom w:val="single" w:sz="4" w:space="0" w:color="auto"/>
              <w:right w:val="single" w:sz="4" w:space="0" w:color="auto"/>
            </w:tcBorders>
          </w:tcPr>
          <w:p w14:paraId="5234966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w:t>
            </w:r>
          </w:p>
        </w:tc>
        <w:tc>
          <w:tcPr>
            <w:tcW w:w="1134" w:type="dxa"/>
            <w:tcBorders>
              <w:top w:val="single" w:sz="4" w:space="0" w:color="auto"/>
              <w:left w:val="single" w:sz="4" w:space="0" w:color="auto"/>
              <w:bottom w:val="single" w:sz="4" w:space="0" w:color="auto"/>
              <w:right w:val="single" w:sz="4" w:space="0" w:color="auto"/>
            </w:tcBorders>
          </w:tcPr>
          <w:p w14:paraId="4679C0A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w:t>
            </w:r>
          </w:p>
        </w:tc>
        <w:tc>
          <w:tcPr>
            <w:tcW w:w="1324" w:type="dxa"/>
            <w:tcBorders>
              <w:top w:val="single" w:sz="4" w:space="0" w:color="auto"/>
              <w:left w:val="single" w:sz="4" w:space="0" w:color="auto"/>
              <w:bottom w:val="single" w:sz="4" w:space="0" w:color="auto"/>
              <w:right w:val="single" w:sz="4" w:space="0" w:color="auto"/>
            </w:tcBorders>
          </w:tcPr>
          <w:p w14:paraId="47E127E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w:t>
            </w:r>
          </w:p>
        </w:tc>
        <w:tc>
          <w:tcPr>
            <w:tcW w:w="2078" w:type="dxa"/>
            <w:tcBorders>
              <w:top w:val="single" w:sz="4" w:space="0" w:color="auto"/>
              <w:left w:val="single" w:sz="4" w:space="0" w:color="auto"/>
              <w:bottom w:val="single" w:sz="4" w:space="0" w:color="auto"/>
              <w:right w:val="single" w:sz="4" w:space="0" w:color="auto"/>
            </w:tcBorders>
          </w:tcPr>
          <w:p w14:paraId="23C4A33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w:t>
            </w:r>
          </w:p>
        </w:tc>
        <w:tc>
          <w:tcPr>
            <w:tcW w:w="1134" w:type="dxa"/>
            <w:tcBorders>
              <w:top w:val="single" w:sz="4" w:space="0" w:color="auto"/>
              <w:left w:val="single" w:sz="4" w:space="0" w:color="auto"/>
              <w:bottom w:val="single" w:sz="4" w:space="0" w:color="auto"/>
              <w:right w:val="single" w:sz="4" w:space="0" w:color="auto"/>
            </w:tcBorders>
          </w:tcPr>
          <w:p w14:paraId="49B5FD5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6</w:t>
            </w:r>
          </w:p>
        </w:tc>
      </w:tr>
      <w:tr w:rsidR="002E3CE8" w:rsidRPr="00520861" w14:paraId="762EAC1E" w14:textId="77777777" w:rsidTr="00292D2E">
        <w:tc>
          <w:tcPr>
            <w:tcW w:w="1720" w:type="dxa"/>
            <w:vMerge w:val="restart"/>
            <w:tcBorders>
              <w:left w:val="single" w:sz="4" w:space="0" w:color="auto"/>
              <w:right w:val="single" w:sz="4" w:space="0" w:color="auto"/>
            </w:tcBorders>
          </w:tcPr>
          <w:p w14:paraId="79DBDA9A" w14:textId="77777777" w:rsidR="002E3CE8" w:rsidRPr="00520861" w:rsidRDefault="002E3CE8" w:rsidP="00292D2E">
            <w:pPr>
              <w:widowControl w:val="0"/>
              <w:spacing w:line="360" w:lineRule="auto"/>
              <w:jc w:val="center"/>
              <w:rPr>
                <w:rFonts w:eastAsia="Calibri" w:cs="Times New Roman"/>
                <w:sz w:val="28"/>
                <w:szCs w:val="28"/>
              </w:rPr>
            </w:pPr>
          </w:p>
        </w:tc>
        <w:tc>
          <w:tcPr>
            <w:tcW w:w="7352" w:type="dxa"/>
            <w:gridSpan w:val="5"/>
            <w:tcBorders>
              <w:top w:val="single" w:sz="4" w:space="0" w:color="auto"/>
              <w:left w:val="single" w:sz="4" w:space="0" w:color="auto"/>
              <w:bottom w:val="single" w:sz="4" w:space="0" w:color="auto"/>
              <w:right w:val="single" w:sz="4" w:space="0" w:color="auto"/>
            </w:tcBorders>
          </w:tcPr>
          <w:p w14:paraId="025E494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Домінантна модель</w:t>
            </w:r>
          </w:p>
        </w:tc>
      </w:tr>
      <w:tr w:rsidR="002E3CE8" w:rsidRPr="00520861" w14:paraId="4D9D061C" w14:textId="77777777" w:rsidTr="00292D2E">
        <w:tc>
          <w:tcPr>
            <w:tcW w:w="1720" w:type="dxa"/>
            <w:vMerge/>
            <w:tcBorders>
              <w:left w:val="single" w:sz="4" w:space="0" w:color="auto"/>
              <w:right w:val="single" w:sz="4" w:space="0" w:color="auto"/>
            </w:tcBorders>
          </w:tcPr>
          <w:p w14:paraId="778DEDFD" w14:textId="77777777" w:rsidR="002E3CE8" w:rsidRPr="00520861" w:rsidRDefault="002E3CE8" w:rsidP="00292D2E">
            <w:pPr>
              <w:widowControl w:val="0"/>
              <w:spacing w:line="360" w:lineRule="auto"/>
              <w:jc w:val="center"/>
              <w:rPr>
                <w:rFonts w:eastAsia="Calibri" w:cs="Times New Roman"/>
                <w:sz w:val="28"/>
                <w:szCs w:val="28"/>
              </w:rPr>
            </w:pPr>
          </w:p>
        </w:tc>
        <w:tc>
          <w:tcPr>
            <w:tcW w:w="1682" w:type="dxa"/>
            <w:tcBorders>
              <w:top w:val="single" w:sz="4" w:space="0" w:color="auto"/>
              <w:left w:val="single" w:sz="4" w:space="0" w:color="auto"/>
              <w:bottom w:val="single" w:sz="4" w:space="0" w:color="auto"/>
              <w:right w:val="single" w:sz="4" w:space="0" w:color="auto"/>
            </w:tcBorders>
          </w:tcPr>
          <w:p w14:paraId="1AEFF3D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TT</w:t>
            </w:r>
          </w:p>
          <w:p w14:paraId="0269DBA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TC+CC</w:t>
            </w:r>
          </w:p>
        </w:tc>
        <w:tc>
          <w:tcPr>
            <w:tcW w:w="1134" w:type="dxa"/>
            <w:tcBorders>
              <w:top w:val="single" w:sz="4" w:space="0" w:color="auto"/>
              <w:left w:val="single" w:sz="4" w:space="0" w:color="auto"/>
              <w:bottom w:val="single" w:sz="4" w:space="0" w:color="auto"/>
              <w:right w:val="single" w:sz="4" w:space="0" w:color="auto"/>
            </w:tcBorders>
          </w:tcPr>
          <w:p w14:paraId="321CE5D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2,217</w:t>
            </w:r>
          </w:p>
        </w:tc>
        <w:tc>
          <w:tcPr>
            <w:tcW w:w="1324" w:type="dxa"/>
            <w:tcBorders>
              <w:top w:val="single" w:sz="4" w:space="0" w:color="auto"/>
              <w:left w:val="single" w:sz="4" w:space="0" w:color="auto"/>
              <w:bottom w:val="single" w:sz="4" w:space="0" w:color="auto"/>
              <w:right w:val="single" w:sz="4" w:space="0" w:color="auto"/>
            </w:tcBorders>
          </w:tcPr>
          <w:p w14:paraId="19A973B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2,103</w:t>
            </w:r>
          </w:p>
          <w:p w14:paraId="14C84C4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0,476</w:t>
            </w:r>
          </w:p>
        </w:tc>
        <w:tc>
          <w:tcPr>
            <w:tcW w:w="2078" w:type="dxa"/>
            <w:tcBorders>
              <w:top w:val="single" w:sz="4" w:space="0" w:color="auto"/>
              <w:left w:val="single" w:sz="4" w:space="0" w:color="auto"/>
              <w:bottom w:val="single" w:sz="4" w:space="0" w:color="auto"/>
              <w:right w:val="single" w:sz="4" w:space="0" w:color="auto"/>
            </w:tcBorders>
          </w:tcPr>
          <w:p w14:paraId="6324219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0,882–5,012</w:t>
            </w:r>
          </w:p>
          <w:p w14:paraId="7C2A05E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0,200–1,134</w:t>
            </w:r>
          </w:p>
        </w:tc>
        <w:tc>
          <w:tcPr>
            <w:tcW w:w="1134" w:type="dxa"/>
            <w:tcBorders>
              <w:top w:val="single" w:sz="4" w:space="0" w:color="auto"/>
              <w:left w:val="single" w:sz="4" w:space="0" w:color="auto"/>
              <w:bottom w:val="single" w:sz="4" w:space="0" w:color="auto"/>
              <w:right w:val="single" w:sz="4" w:space="0" w:color="auto"/>
            </w:tcBorders>
          </w:tcPr>
          <w:p w14:paraId="733183D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0,136</w:t>
            </w:r>
          </w:p>
        </w:tc>
      </w:tr>
      <w:tr w:rsidR="002E3CE8" w:rsidRPr="00520861" w14:paraId="0514F31D" w14:textId="77777777" w:rsidTr="00292D2E">
        <w:tc>
          <w:tcPr>
            <w:tcW w:w="1720" w:type="dxa"/>
            <w:vMerge/>
            <w:tcBorders>
              <w:left w:val="single" w:sz="4" w:space="0" w:color="auto"/>
              <w:right w:val="single" w:sz="4" w:space="0" w:color="auto"/>
            </w:tcBorders>
          </w:tcPr>
          <w:p w14:paraId="1C004301" w14:textId="77777777" w:rsidR="002E3CE8" w:rsidRPr="00520861" w:rsidRDefault="002E3CE8" w:rsidP="00292D2E">
            <w:pPr>
              <w:widowControl w:val="0"/>
              <w:spacing w:line="360" w:lineRule="auto"/>
              <w:jc w:val="center"/>
              <w:rPr>
                <w:rFonts w:eastAsia="Calibri" w:cs="Times New Roman"/>
                <w:sz w:val="28"/>
                <w:szCs w:val="28"/>
              </w:rPr>
            </w:pPr>
          </w:p>
        </w:tc>
        <w:tc>
          <w:tcPr>
            <w:tcW w:w="7352" w:type="dxa"/>
            <w:gridSpan w:val="5"/>
            <w:tcBorders>
              <w:top w:val="single" w:sz="4" w:space="0" w:color="auto"/>
              <w:left w:val="single" w:sz="4" w:space="0" w:color="auto"/>
              <w:bottom w:val="single" w:sz="4" w:space="0" w:color="auto"/>
              <w:right w:val="single" w:sz="4" w:space="0" w:color="auto"/>
            </w:tcBorders>
          </w:tcPr>
          <w:p w14:paraId="5117473E" w14:textId="77777777" w:rsidR="002E3CE8" w:rsidRPr="00520861" w:rsidRDefault="002E3CE8" w:rsidP="00292D2E">
            <w:pPr>
              <w:widowControl w:val="0"/>
              <w:spacing w:line="360" w:lineRule="auto"/>
              <w:jc w:val="center"/>
              <w:rPr>
                <w:rFonts w:eastAsia="Calibri" w:cs="Times New Roman"/>
                <w:sz w:val="28"/>
                <w:szCs w:val="28"/>
              </w:rPr>
            </w:pPr>
            <w:proofErr w:type="spellStart"/>
            <w:r w:rsidRPr="00520861">
              <w:rPr>
                <w:rFonts w:eastAsia="Calibri" w:cs="Times New Roman"/>
                <w:sz w:val="28"/>
                <w:szCs w:val="28"/>
              </w:rPr>
              <w:t>Наддомінантна</w:t>
            </w:r>
            <w:proofErr w:type="spellEnd"/>
            <w:r w:rsidRPr="00520861">
              <w:rPr>
                <w:rFonts w:eastAsia="Calibri" w:cs="Times New Roman"/>
                <w:sz w:val="28"/>
                <w:szCs w:val="28"/>
              </w:rPr>
              <w:t xml:space="preserve"> модель</w:t>
            </w:r>
          </w:p>
        </w:tc>
      </w:tr>
      <w:tr w:rsidR="002E3CE8" w:rsidRPr="00520861" w14:paraId="13B10129" w14:textId="77777777" w:rsidTr="00292D2E">
        <w:tc>
          <w:tcPr>
            <w:tcW w:w="1720" w:type="dxa"/>
            <w:vMerge/>
            <w:tcBorders>
              <w:left w:val="single" w:sz="4" w:space="0" w:color="auto"/>
              <w:right w:val="single" w:sz="4" w:space="0" w:color="auto"/>
            </w:tcBorders>
          </w:tcPr>
          <w:p w14:paraId="0FBF4DFE" w14:textId="77777777" w:rsidR="002E3CE8" w:rsidRPr="00520861" w:rsidRDefault="002E3CE8" w:rsidP="00292D2E">
            <w:pPr>
              <w:widowControl w:val="0"/>
              <w:spacing w:line="360" w:lineRule="auto"/>
              <w:jc w:val="center"/>
              <w:rPr>
                <w:rFonts w:eastAsia="Calibri" w:cs="Times New Roman"/>
                <w:sz w:val="28"/>
                <w:szCs w:val="28"/>
              </w:rPr>
            </w:pPr>
          </w:p>
        </w:tc>
        <w:tc>
          <w:tcPr>
            <w:tcW w:w="1682" w:type="dxa"/>
            <w:tcBorders>
              <w:top w:val="single" w:sz="4" w:space="0" w:color="auto"/>
              <w:left w:val="single" w:sz="4" w:space="0" w:color="auto"/>
              <w:bottom w:val="single" w:sz="4" w:space="0" w:color="auto"/>
              <w:right w:val="single" w:sz="4" w:space="0" w:color="auto"/>
            </w:tcBorders>
          </w:tcPr>
          <w:p w14:paraId="391FD46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TT+CC</w:t>
            </w:r>
          </w:p>
          <w:p w14:paraId="15253A8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TC</w:t>
            </w:r>
          </w:p>
        </w:tc>
        <w:tc>
          <w:tcPr>
            <w:tcW w:w="1134" w:type="dxa"/>
            <w:tcBorders>
              <w:top w:val="single" w:sz="4" w:space="0" w:color="auto"/>
              <w:left w:val="single" w:sz="4" w:space="0" w:color="auto"/>
              <w:bottom w:val="single" w:sz="4" w:space="0" w:color="auto"/>
              <w:right w:val="single" w:sz="4" w:space="0" w:color="auto"/>
            </w:tcBorders>
          </w:tcPr>
          <w:p w14:paraId="5044351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6,895</w:t>
            </w:r>
          </w:p>
        </w:tc>
        <w:tc>
          <w:tcPr>
            <w:tcW w:w="1324" w:type="dxa"/>
            <w:tcBorders>
              <w:top w:val="single" w:sz="4" w:space="0" w:color="auto"/>
              <w:left w:val="single" w:sz="4" w:space="0" w:color="auto"/>
              <w:bottom w:val="single" w:sz="4" w:space="0" w:color="auto"/>
              <w:right w:val="single" w:sz="4" w:space="0" w:color="auto"/>
            </w:tcBorders>
          </w:tcPr>
          <w:p w14:paraId="63B4EB6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2,669</w:t>
            </w:r>
          </w:p>
          <w:p w14:paraId="2EB8800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0,375</w:t>
            </w:r>
          </w:p>
        </w:tc>
        <w:tc>
          <w:tcPr>
            <w:tcW w:w="2078" w:type="dxa"/>
            <w:tcBorders>
              <w:top w:val="single" w:sz="4" w:space="0" w:color="auto"/>
              <w:left w:val="single" w:sz="4" w:space="0" w:color="auto"/>
              <w:bottom w:val="single" w:sz="4" w:space="0" w:color="auto"/>
              <w:right w:val="single" w:sz="4" w:space="0" w:color="auto"/>
            </w:tcBorders>
          </w:tcPr>
          <w:p w14:paraId="7715493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1,272–5,602</w:t>
            </w:r>
          </w:p>
          <w:p w14:paraId="06A5A7C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0,178–0,786</w:t>
            </w:r>
          </w:p>
        </w:tc>
        <w:tc>
          <w:tcPr>
            <w:tcW w:w="1134" w:type="dxa"/>
            <w:tcBorders>
              <w:top w:val="single" w:sz="4" w:space="0" w:color="auto"/>
              <w:left w:val="single" w:sz="4" w:space="0" w:color="auto"/>
              <w:bottom w:val="single" w:sz="4" w:space="0" w:color="auto"/>
              <w:right w:val="single" w:sz="4" w:space="0" w:color="auto"/>
            </w:tcBorders>
          </w:tcPr>
          <w:p w14:paraId="1C235CE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0,009</w:t>
            </w:r>
          </w:p>
        </w:tc>
      </w:tr>
      <w:tr w:rsidR="002E3CE8" w:rsidRPr="00520861" w14:paraId="05E792BB" w14:textId="77777777" w:rsidTr="00292D2E">
        <w:tc>
          <w:tcPr>
            <w:tcW w:w="1720" w:type="dxa"/>
            <w:vMerge/>
            <w:tcBorders>
              <w:left w:val="single" w:sz="4" w:space="0" w:color="auto"/>
              <w:right w:val="single" w:sz="4" w:space="0" w:color="auto"/>
            </w:tcBorders>
          </w:tcPr>
          <w:p w14:paraId="08864E8D" w14:textId="77777777" w:rsidR="002E3CE8" w:rsidRPr="00520861" w:rsidRDefault="002E3CE8" w:rsidP="00292D2E">
            <w:pPr>
              <w:widowControl w:val="0"/>
              <w:spacing w:line="360" w:lineRule="auto"/>
              <w:jc w:val="center"/>
              <w:rPr>
                <w:rFonts w:eastAsia="Calibri" w:cs="Times New Roman"/>
                <w:sz w:val="28"/>
                <w:szCs w:val="28"/>
              </w:rPr>
            </w:pPr>
          </w:p>
        </w:tc>
        <w:tc>
          <w:tcPr>
            <w:tcW w:w="7352" w:type="dxa"/>
            <w:gridSpan w:val="5"/>
            <w:tcBorders>
              <w:top w:val="single" w:sz="4" w:space="0" w:color="auto"/>
              <w:left w:val="single" w:sz="4" w:space="0" w:color="auto"/>
              <w:bottom w:val="single" w:sz="4" w:space="0" w:color="auto"/>
              <w:right w:val="single" w:sz="4" w:space="0" w:color="auto"/>
            </w:tcBorders>
          </w:tcPr>
          <w:p w14:paraId="238023B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Мультиплікативна модель</w:t>
            </w:r>
          </w:p>
        </w:tc>
      </w:tr>
      <w:tr w:rsidR="002E3CE8" w:rsidRPr="00520861" w14:paraId="67794DB7" w14:textId="77777777" w:rsidTr="00292D2E">
        <w:tc>
          <w:tcPr>
            <w:tcW w:w="1720" w:type="dxa"/>
            <w:vMerge/>
            <w:tcBorders>
              <w:left w:val="single" w:sz="4" w:space="0" w:color="auto"/>
              <w:bottom w:val="single" w:sz="4" w:space="0" w:color="auto"/>
              <w:right w:val="single" w:sz="4" w:space="0" w:color="auto"/>
            </w:tcBorders>
          </w:tcPr>
          <w:p w14:paraId="1FF4C296" w14:textId="77777777" w:rsidR="002E3CE8" w:rsidRPr="00520861" w:rsidRDefault="002E3CE8" w:rsidP="00292D2E">
            <w:pPr>
              <w:widowControl w:val="0"/>
              <w:spacing w:line="360" w:lineRule="auto"/>
              <w:jc w:val="center"/>
              <w:rPr>
                <w:rFonts w:eastAsia="Calibri" w:cs="Times New Roman"/>
                <w:sz w:val="28"/>
                <w:szCs w:val="28"/>
              </w:rPr>
            </w:pPr>
          </w:p>
        </w:tc>
        <w:tc>
          <w:tcPr>
            <w:tcW w:w="1682" w:type="dxa"/>
            <w:tcBorders>
              <w:top w:val="single" w:sz="4" w:space="0" w:color="auto"/>
              <w:left w:val="single" w:sz="4" w:space="0" w:color="auto"/>
              <w:bottom w:val="single" w:sz="4" w:space="0" w:color="auto"/>
              <w:right w:val="single" w:sz="4" w:space="0" w:color="auto"/>
            </w:tcBorders>
          </w:tcPr>
          <w:p w14:paraId="0BD9C63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T</w:t>
            </w:r>
          </w:p>
          <w:p w14:paraId="3C96F28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C</w:t>
            </w:r>
          </w:p>
        </w:tc>
        <w:tc>
          <w:tcPr>
            <w:tcW w:w="1134" w:type="dxa"/>
            <w:tcBorders>
              <w:top w:val="single" w:sz="4" w:space="0" w:color="auto"/>
              <w:left w:val="single" w:sz="4" w:space="0" w:color="auto"/>
              <w:bottom w:val="single" w:sz="4" w:space="0" w:color="auto"/>
              <w:right w:val="single" w:sz="4" w:space="0" w:color="auto"/>
            </w:tcBorders>
          </w:tcPr>
          <w:p w14:paraId="05E2A26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0,064</w:t>
            </w:r>
          </w:p>
        </w:tc>
        <w:tc>
          <w:tcPr>
            <w:tcW w:w="1324" w:type="dxa"/>
            <w:tcBorders>
              <w:top w:val="single" w:sz="4" w:space="0" w:color="auto"/>
              <w:left w:val="single" w:sz="4" w:space="0" w:color="auto"/>
              <w:bottom w:val="single" w:sz="4" w:space="0" w:color="auto"/>
              <w:right w:val="single" w:sz="4" w:space="0" w:color="auto"/>
            </w:tcBorders>
          </w:tcPr>
          <w:p w14:paraId="627DD55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1,068</w:t>
            </w:r>
          </w:p>
          <w:p w14:paraId="106F193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0,937</w:t>
            </w:r>
          </w:p>
        </w:tc>
        <w:tc>
          <w:tcPr>
            <w:tcW w:w="2078" w:type="dxa"/>
            <w:tcBorders>
              <w:top w:val="single" w:sz="4" w:space="0" w:color="auto"/>
              <w:left w:val="single" w:sz="4" w:space="0" w:color="auto"/>
              <w:bottom w:val="single" w:sz="4" w:space="0" w:color="auto"/>
              <w:right w:val="single" w:sz="4" w:space="0" w:color="auto"/>
            </w:tcBorders>
          </w:tcPr>
          <w:p w14:paraId="11282BC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0,644–1,769</w:t>
            </w:r>
          </w:p>
          <w:p w14:paraId="4D252DD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0,565–1,552</w:t>
            </w:r>
          </w:p>
        </w:tc>
        <w:tc>
          <w:tcPr>
            <w:tcW w:w="1134" w:type="dxa"/>
            <w:tcBorders>
              <w:top w:val="single" w:sz="4" w:space="0" w:color="auto"/>
              <w:left w:val="single" w:sz="4" w:space="0" w:color="auto"/>
              <w:bottom w:val="single" w:sz="4" w:space="0" w:color="auto"/>
              <w:right w:val="single" w:sz="4" w:space="0" w:color="auto"/>
            </w:tcBorders>
          </w:tcPr>
          <w:p w14:paraId="265D61A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0,800</w:t>
            </w:r>
          </w:p>
        </w:tc>
      </w:tr>
    </w:tbl>
    <w:p w14:paraId="33A748D6" w14:textId="77777777" w:rsidR="002E3CE8" w:rsidRPr="00520861" w:rsidRDefault="002E3CE8" w:rsidP="00292D2E">
      <w:pPr>
        <w:widowControl w:val="0"/>
        <w:spacing w:line="360" w:lineRule="auto"/>
        <w:ind w:firstLine="709"/>
        <w:jc w:val="both"/>
        <w:rPr>
          <w:rFonts w:eastAsia="Calibri"/>
          <w:sz w:val="28"/>
          <w:szCs w:val="28"/>
          <w:lang w:eastAsia="en-US"/>
        </w:rPr>
      </w:pPr>
    </w:p>
    <w:p w14:paraId="33A20E0A"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При порівнянні ГПП 26 – 30 і групою осіб, які народилися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та на момент обстеження не мали без порушень прикусу (ГП II), виявилося, що генотип АА гена</w:t>
      </w:r>
      <w:r w:rsidRPr="00520861">
        <w:rPr>
          <w:rFonts w:eastAsia="Calibri"/>
          <w:i/>
          <w:sz w:val="28"/>
          <w:szCs w:val="28"/>
          <w:lang w:eastAsia="en-US"/>
        </w:rPr>
        <w:t xml:space="preserve"> CYP19A1: A&gt;G </w:t>
      </w:r>
      <w:r w:rsidRPr="00520861">
        <w:rPr>
          <w:rFonts w:eastAsia="Calibri"/>
          <w:sz w:val="28"/>
          <w:szCs w:val="28"/>
          <w:lang w:eastAsia="en-US"/>
        </w:rPr>
        <w:t xml:space="preserve">[rs2414096] (адитивна і домінантна моделі успадкування) забезпечує зменшення ризику виникнення аномалій ЗЩС майже у 8 разів </w:t>
      </w:r>
      <w:r w:rsidRPr="00520861">
        <w:rPr>
          <w:rFonts w:eastAsia="Calibri"/>
          <w:sz w:val="28"/>
          <w:szCs w:val="28"/>
          <w:lang w:eastAsia="en-US"/>
        </w:rPr>
        <w:br/>
        <w:t xml:space="preserve">(табл. 5.18). </w:t>
      </w:r>
    </w:p>
    <w:p w14:paraId="6B01565E"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Протекторні властивості має й алель А гена </w:t>
      </w:r>
      <w:r w:rsidRPr="00520861">
        <w:rPr>
          <w:rFonts w:eastAsia="Calibri"/>
          <w:i/>
          <w:sz w:val="28"/>
          <w:szCs w:val="28"/>
          <w:lang w:eastAsia="en-US"/>
        </w:rPr>
        <w:t xml:space="preserve">CYP19A1: A&gt;G </w:t>
      </w:r>
      <w:r w:rsidRPr="00520861">
        <w:rPr>
          <w:rFonts w:eastAsia="Calibri"/>
          <w:sz w:val="28"/>
          <w:szCs w:val="28"/>
          <w:lang w:eastAsia="en-US"/>
        </w:rPr>
        <w:t xml:space="preserve">[rs2414096] </w:t>
      </w:r>
      <w:r w:rsidRPr="00520861">
        <w:rPr>
          <w:rFonts w:eastAsia="Calibri"/>
          <w:sz w:val="28"/>
          <w:szCs w:val="28"/>
          <w:lang w:eastAsia="en-US"/>
        </w:rPr>
        <w:br/>
        <w:t xml:space="preserve">(мультиплікативна модель успадкування). Наявність цього алеля зменшує ризик виникнення порушень ЗЩС у 5,2 </w:t>
      </w:r>
      <w:proofErr w:type="spellStart"/>
      <w:r w:rsidRPr="00520861">
        <w:rPr>
          <w:rFonts w:eastAsia="Calibri"/>
          <w:sz w:val="28"/>
          <w:szCs w:val="28"/>
          <w:lang w:eastAsia="en-US"/>
        </w:rPr>
        <w:t>раза</w:t>
      </w:r>
      <w:proofErr w:type="spellEnd"/>
      <w:r w:rsidRPr="00520861">
        <w:rPr>
          <w:rFonts w:eastAsia="Calibri"/>
          <w:sz w:val="28"/>
          <w:szCs w:val="28"/>
          <w:lang w:eastAsia="en-US"/>
        </w:rPr>
        <w:t xml:space="preserve"> порівняно з наявним алелем G. </w:t>
      </w:r>
    </w:p>
    <w:p w14:paraId="2D5B51F4"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Вірогідні відмінності мають місце також і для гена </w:t>
      </w:r>
      <w:r w:rsidRPr="00520861">
        <w:rPr>
          <w:rFonts w:eastAsia="Calibri"/>
          <w:i/>
          <w:sz w:val="28"/>
          <w:szCs w:val="28"/>
          <w:lang w:eastAsia="en-US"/>
        </w:rPr>
        <w:t xml:space="preserve">IL10:-1082 G&gt;A </w:t>
      </w:r>
      <w:r w:rsidRPr="00520861">
        <w:rPr>
          <w:rFonts w:eastAsia="Calibri"/>
          <w:sz w:val="28"/>
          <w:szCs w:val="28"/>
          <w:lang w:eastAsia="en-US"/>
        </w:rPr>
        <w:t xml:space="preserve">[rs1800896]. </w:t>
      </w:r>
    </w:p>
    <w:p w14:paraId="2363D695"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У носіїв гетерозиготного варіанта цього гена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серед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зменшено ризик виникнення ЗЩА в 4,6 </w:t>
      </w:r>
      <w:proofErr w:type="spellStart"/>
      <w:r w:rsidRPr="00520861">
        <w:rPr>
          <w:rFonts w:eastAsia="Calibri"/>
          <w:sz w:val="28"/>
          <w:szCs w:val="28"/>
          <w:lang w:eastAsia="en-US"/>
        </w:rPr>
        <w:t>раза</w:t>
      </w:r>
      <w:proofErr w:type="spellEnd"/>
      <w:r w:rsidRPr="00520861">
        <w:rPr>
          <w:rFonts w:eastAsia="Calibri"/>
          <w:sz w:val="28"/>
          <w:szCs w:val="28"/>
          <w:lang w:eastAsia="en-US"/>
        </w:rPr>
        <w:t xml:space="preserve"> </w:t>
      </w:r>
      <w:r w:rsidRPr="00520861">
        <w:rPr>
          <w:rFonts w:eastAsia="Calibri"/>
          <w:sz w:val="28"/>
          <w:szCs w:val="28"/>
          <w:lang w:eastAsia="en-US"/>
        </w:rPr>
        <w:br/>
        <w:t xml:space="preserve">порівняно з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w:t>
      </w:r>
    </w:p>
    <w:p w14:paraId="482BDCE8"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Theme="minorHAnsi"/>
          <w:sz w:val="28"/>
          <w:szCs w:val="28"/>
          <w:lang w:eastAsia="en-US"/>
        </w:rPr>
        <w:t xml:space="preserve">На відміну від </w:t>
      </w:r>
      <w:r w:rsidRPr="00520861">
        <w:rPr>
          <w:rFonts w:eastAsia="Calibri"/>
          <w:sz w:val="28"/>
          <w:szCs w:val="28"/>
          <w:lang w:eastAsia="en-US"/>
        </w:rPr>
        <w:t xml:space="preserve">ГПП 26 – 30 у ГЗП 31 – 35 при порівнянні з ГП І значущих відмінностей у розповсюдженні генотипів виявлено не було. </w:t>
      </w:r>
    </w:p>
    <w:p w14:paraId="55C694C2"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А при порівнянні ГЗП 31 – 35 з ГП II також виявилося, що гетерозиготний </w:t>
      </w:r>
      <w:r w:rsidR="00A656B7" w:rsidRPr="00520861">
        <w:rPr>
          <w:rFonts w:eastAsia="Calibri"/>
          <w:sz w:val="28"/>
          <w:szCs w:val="28"/>
          <w:lang w:eastAsia="en-US"/>
        </w:rPr>
        <w:br/>
      </w:r>
      <w:r w:rsidRPr="00520861">
        <w:rPr>
          <w:rFonts w:eastAsia="Calibri"/>
          <w:sz w:val="28"/>
          <w:szCs w:val="28"/>
          <w:lang w:eastAsia="en-US"/>
        </w:rPr>
        <w:t xml:space="preserve">варіант гена </w:t>
      </w:r>
      <w:r w:rsidRPr="00520861">
        <w:rPr>
          <w:rFonts w:eastAsia="Calibri"/>
          <w:i/>
          <w:sz w:val="28"/>
          <w:szCs w:val="28"/>
          <w:lang w:eastAsia="en-US"/>
        </w:rPr>
        <w:t>IL10: -1082 G&gt;A</w:t>
      </w:r>
      <w:r w:rsidRPr="00520861">
        <w:rPr>
          <w:rFonts w:eastAsia="Calibri"/>
          <w:sz w:val="28"/>
          <w:szCs w:val="28"/>
          <w:lang w:eastAsia="en-US"/>
        </w:rPr>
        <w:t xml:space="preserve"> [rs1800896]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w:t>
      </w:r>
      <w:r w:rsidRPr="00520861">
        <w:rPr>
          <w:rFonts w:eastAsia="Calibri"/>
          <w:sz w:val="28"/>
          <w:szCs w:val="28"/>
          <w:lang w:eastAsia="en-US"/>
        </w:rPr>
        <w:br/>
        <w:t xml:space="preserve">зменшує ризик виникнення значних порушень прикусу в 6,7 </w:t>
      </w:r>
      <w:proofErr w:type="spellStart"/>
      <w:r w:rsidRPr="00520861">
        <w:rPr>
          <w:rFonts w:eastAsia="Calibri"/>
          <w:sz w:val="28"/>
          <w:szCs w:val="28"/>
          <w:lang w:eastAsia="en-US"/>
        </w:rPr>
        <w:t>раза</w:t>
      </w:r>
      <w:proofErr w:type="spellEnd"/>
      <w:r w:rsidRPr="00520861">
        <w:rPr>
          <w:rFonts w:eastAsia="Calibri"/>
          <w:sz w:val="28"/>
          <w:szCs w:val="28"/>
          <w:lang w:eastAsia="en-US"/>
        </w:rPr>
        <w:t xml:space="preserve"> </w:t>
      </w:r>
      <w:r w:rsidRPr="00520861">
        <w:rPr>
          <w:rFonts w:eastAsia="Calibri"/>
          <w:bCs/>
          <w:sz w:val="28"/>
          <w:szCs w:val="28"/>
          <w:lang w:eastAsia="en-US"/>
        </w:rPr>
        <w:t>(табл. 5.19)</w:t>
      </w:r>
      <w:r w:rsidRPr="00520861">
        <w:rPr>
          <w:rFonts w:eastAsia="Calibri"/>
          <w:sz w:val="28"/>
          <w:szCs w:val="28"/>
          <w:lang w:eastAsia="en-US"/>
        </w:rPr>
        <w:t>.</w:t>
      </w:r>
    </w:p>
    <w:p w14:paraId="3E45C692" w14:textId="77777777" w:rsidR="00AC51A6" w:rsidRPr="00520861" w:rsidRDefault="00AC51A6" w:rsidP="00292D2E">
      <w:pPr>
        <w:widowControl w:val="0"/>
        <w:spacing w:line="360" w:lineRule="auto"/>
        <w:ind w:firstLine="709"/>
        <w:jc w:val="right"/>
        <w:rPr>
          <w:rFonts w:eastAsia="Calibri"/>
          <w:i/>
          <w:sz w:val="28"/>
          <w:szCs w:val="28"/>
          <w:lang w:eastAsia="en-US"/>
        </w:rPr>
      </w:pPr>
    </w:p>
    <w:p w14:paraId="15DF9EB1" w14:textId="77777777" w:rsidR="002E3CE8" w:rsidRPr="00520861" w:rsidRDefault="002E3CE8"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lastRenderedPageBreak/>
        <w:t xml:space="preserve">Таблиця 5.18 </w:t>
      </w:r>
    </w:p>
    <w:p w14:paraId="3ED7A300" w14:textId="77777777" w:rsidR="002E3CE8" w:rsidRPr="00520861" w:rsidRDefault="002E3CE8" w:rsidP="00292D2E">
      <w:pPr>
        <w:widowControl w:val="0"/>
        <w:spacing w:after="40" w:line="360" w:lineRule="auto"/>
        <w:ind w:firstLine="709"/>
        <w:jc w:val="center"/>
        <w:rPr>
          <w:rFonts w:eastAsiaTheme="minorHAnsi"/>
          <w:b/>
          <w:i/>
          <w:sz w:val="28"/>
          <w:szCs w:val="28"/>
          <w:lang w:eastAsia="en-US"/>
        </w:rPr>
      </w:pPr>
      <w:r w:rsidRPr="00520861">
        <w:rPr>
          <w:rFonts w:eastAsiaTheme="minorHAnsi"/>
          <w:b/>
          <w:sz w:val="28"/>
          <w:szCs w:val="28"/>
          <w:lang w:eastAsia="en-US"/>
        </w:rPr>
        <w:t xml:space="preserve">Порівняння частот розподілу поліморфних варіантів за генами </w:t>
      </w:r>
      <w:r w:rsidRPr="00520861">
        <w:rPr>
          <w:rFonts w:eastAsiaTheme="minorHAnsi"/>
          <w:b/>
          <w:i/>
          <w:sz w:val="28"/>
          <w:szCs w:val="28"/>
          <w:lang w:eastAsia="en-US"/>
        </w:rPr>
        <w:t>CYP19A1: A&gt;G</w:t>
      </w:r>
      <w:r w:rsidRPr="00520861">
        <w:rPr>
          <w:rFonts w:eastAsiaTheme="minorHAnsi"/>
          <w:b/>
          <w:sz w:val="28"/>
          <w:szCs w:val="28"/>
          <w:lang w:eastAsia="en-US"/>
        </w:rPr>
        <w:t xml:space="preserve"> [rs2414096] і </w:t>
      </w:r>
      <w:r w:rsidRPr="00520861">
        <w:rPr>
          <w:rFonts w:eastAsiaTheme="minorHAnsi"/>
          <w:b/>
          <w:i/>
          <w:sz w:val="28"/>
          <w:szCs w:val="28"/>
          <w:lang w:eastAsia="en-US"/>
        </w:rPr>
        <w:t xml:space="preserve">IL10: -1082 G&gt;A </w:t>
      </w:r>
      <w:r w:rsidRPr="00520861">
        <w:rPr>
          <w:rFonts w:eastAsiaTheme="minorHAnsi"/>
          <w:b/>
          <w:sz w:val="28"/>
          <w:szCs w:val="28"/>
          <w:lang w:eastAsia="en-US"/>
        </w:rPr>
        <w:t>[rs1800896] в осіб ГПП 26 – 30 та ГП II</w:t>
      </w:r>
    </w:p>
    <w:tbl>
      <w:tblPr>
        <w:tblStyle w:val="8"/>
        <w:tblW w:w="9498" w:type="dxa"/>
        <w:tblInd w:w="562" w:type="dxa"/>
        <w:tblLayout w:type="fixed"/>
        <w:tblLook w:val="04A0" w:firstRow="1" w:lastRow="0" w:firstColumn="1" w:lastColumn="0" w:noHBand="0" w:noVBand="1"/>
      </w:tblPr>
      <w:tblGrid>
        <w:gridCol w:w="1700"/>
        <w:gridCol w:w="1701"/>
        <w:gridCol w:w="1533"/>
        <w:gridCol w:w="1264"/>
        <w:gridCol w:w="12"/>
        <w:gridCol w:w="2154"/>
        <w:gridCol w:w="1134"/>
      </w:tblGrid>
      <w:tr w:rsidR="002E3CE8" w:rsidRPr="00520861" w14:paraId="510AFE1B" w14:textId="77777777" w:rsidTr="009B7ECD">
        <w:tc>
          <w:tcPr>
            <w:tcW w:w="1700" w:type="dxa"/>
            <w:vMerge w:val="restart"/>
            <w:tcBorders>
              <w:top w:val="single" w:sz="4" w:space="0" w:color="auto"/>
              <w:left w:val="single" w:sz="4" w:space="0" w:color="auto"/>
              <w:bottom w:val="single" w:sz="4" w:space="0" w:color="auto"/>
              <w:right w:val="single" w:sz="4" w:space="0" w:color="auto"/>
            </w:tcBorders>
            <w:hideMark/>
          </w:tcPr>
          <w:p w14:paraId="71950167" w14:textId="77777777" w:rsidR="002E3CE8" w:rsidRPr="00520861" w:rsidRDefault="002E3CE8" w:rsidP="00292D2E">
            <w:pPr>
              <w:widowControl w:val="0"/>
              <w:spacing w:line="360" w:lineRule="auto"/>
              <w:rPr>
                <w:rFonts w:eastAsia="Calibri" w:cs="Times New Roman"/>
                <w:sz w:val="28"/>
                <w:szCs w:val="28"/>
              </w:rPr>
            </w:pPr>
            <w:r w:rsidRPr="00520861">
              <w:rPr>
                <w:rFonts w:eastAsia="Calibri" w:cs="Times New Roman"/>
                <w:sz w:val="28"/>
                <w:szCs w:val="28"/>
              </w:rPr>
              <w:t>Ген</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7C63B46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Генотип</w:t>
            </w:r>
          </w:p>
        </w:tc>
        <w:tc>
          <w:tcPr>
            <w:tcW w:w="6097" w:type="dxa"/>
            <w:gridSpan w:val="5"/>
            <w:tcBorders>
              <w:top w:val="single" w:sz="4" w:space="0" w:color="auto"/>
              <w:left w:val="single" w:sz="4" w:space="0" w:color="auto"/>
              <w:bottom w:val="single" w:sz="4" w:space="0" w:color="auto"/>
              <w:right w:val="single" w:sz="4" w:space="0" w:color="auto"/>
            </w:tcBorders>
            <w:hideMark/>
          </w:tcPr>
          <w:p w14:paraId="180D4B3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Результати статистичного аналізу</w:t>
            </w:r>
          </w:p>
        </w:tc>
      </w:tr>
      <w:tr w:rsidR="002E3CE8" w:rsidRPr="00520861" w14:paraId="506FBF91" w14:textId="77777777" w:rsidTr="009B7ECD">
        <w:tc>
          <w:tcPr>
            <w:tcW w:w="1700" w:type="dxa"/>
            <w:vMerge/>
            <w:tcBorders>
              <w:top w:val="single" w:sz="4" w:space="0" w:color="auto"/>
              <w:left w:val="single" w:sz="4" w:space="0" w:color="auto"/>
              <w:bottom w:val="single" w:sz="4" w:space="0" w:color="auto"/>
              <w:right w:val="single" w:sz="4" w:space="0" w:color="auto"/>
            </w:tcBorders>
            <w:vAlign w:val="center"/>
            <w:hideMark/>
          </w:tcPr>
          <w:p w14:paraId="2DC32116" w14:textId="77777777" w:rsidR="002E3CE8" w:rsidRPr="00520861" w:rsidRDefault="002E3CE8" w:rsidP="00292D2E">
            <w:pPr>
              <w:widowControl w:val="0"/>
              <w:spacing w:line="360" w:lineRule="auto"/>
              <w:rPr>
                <w:rFonts w:eastAsia="Calibri" w:cs="Times New Roman"/>
                <w:sz w:val="28"/>
                <w:szCs w:val="28"/>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1D90336" w14:textId="77777777" w:rsidR="002E3CE8" w:rsidRPr="00520861" w:rsidRDefault="002E3CE8" w:rsidP="00292D2E">
            <w:pPr>
              <w:widowControl w:val="0"/>
              <w:spacing w:line="360" w:lineRule="auto"/>
              <w:jc w:val="center"/>
              <w:rPr>
                <w:rFonts w:eastAsia="Calibri" w:cs="Times New Roman"/>
                <w:sz w:val="28"/>
                <w:szCs w:val="28"/>
              </w:rPr>
            </w:pPr>
          </w:p>
        </w:tc>
        <w:tc>
          <w:tcPr>
            <w:tcW w:w="1533" w:type="dxa"/>
            <w:tcBorders>
              <w:top w:val="single" w:sz="4" w:space="0" w:color="auto"/>
              <w:left w:val="single" w:sz="4" w:space="0" w:color="auto"/>
              <w:bottom w:val="single" w:sz="4" w:space="0" w:color="auto"/>
              <w:right w:val="single" w:sz="4" w:space="0" w:color="auto"/>
            </w:tcBorders>
            <w:hideMark/>
          </w:tcPr>
          <w:p w14:paraId="6D5D0DA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sym w:font="Symbol" w:char="F063"/>
            </w:r>
            <w:r w:rsidRPr="00520861">
              <w:rPr>
                <w:rFonts w:eastAsia="Calibri" w:cs="Times New Roman"/>
                <w:sz w:val="28"/>
                <w:szCs w:val="28"/>
                <w:vertAlign w:val="superscript"/>
              </w:rPr>
              <w:t>2</w:t>
            </w:r>
            <w:r w:rsidRPr="00520861">
              <w:rPr>
                <w:rFonts w:eastAsia="Calibri" w:cs="Times New Roman"/>
                <w:sz w:val="28"/>
                <w:szCs w:val="28"/>
              </w:rPr>
              <w:t xml:space="preserve"> (</w:t>
            </w:r>
            <w:proofErr w:type="spellStart"/>
            <w:r w:rsidRPr="00520861">
              <w:rPr>
                <w:rFonts w:eastAsia="Calibri" w:cs="Times New Roman"/>
                <w:sz w:val="28"/>
                <w:szCs w:val="28"/>
              </w:rPr>
              <w:t>Йєтс</w:t>
            </w:r>
            <w:proofErr w:type="spellEnd"/>
            <w:r w:rsidRPr="00520861">
              <w:rPr>
                <w:rFonts w:eastAsia="Calibri" w:cs="Times New Roman"/>
                <w:sz w:val="28"/>
                <w:szCs w:val="28"/>
              </w:rPr>
              <w:t>)</w:t>
            </w:r>
          </w:p>
        </w:tc>
        <w:tc>
          <w:tcPr>
            <w:tcW w:w="1276" w:type="dxa"/>
            <w:gridSpan w:val="2"/>
            <w:tcBorders>
              <w:top w:val="single" w:sz="4" w:space="0" w:color="auto"/>
              <w:left w:val="single" w:sz="4" w:space="0" w:color="auto"/>
              <w:bottom w:val="single" w:sz="4" w:space="0" w:color="auto"/>
              <w:right w:val="single" w:sz="4" w:space="0" w:color="auto"/>
            </w:tcBorders>
            <w:hideMark/>
          </w:tcPr>
          <w:p w14:paraId="25E0994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ВШ</w:t>
            </w:r>
          </w:p>
        </w:tc>
        <w:tc>
          <w:tcPr>
            <w:tcW w:w="2154" w:type="dxa"/>
            <w:tcBorders>
              <w:top w:val="single" w:sz="4" w:space="0" w:color="auto"/>
              <w:left w:val="single" w:sz="4" w:space="0" w:color="auto"/>
              <w:bottom w:val="single" w:sz="4" w:space="0" w:color="auto"/>
              <w:right w:val="single" w:sz="4" w:space="0" w:color="auto"/>
            </w:tcBorders>
            <w:hideMark/>
          </w:tcPr>
          <w:p w14:paraId="34641C4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95% ДІ</w:t>
            </w:r>
          </w:p>
        </w:tc>
        <w:tc>
          <w:tcPr>
            <w:tcW w:w="1134" w:type="dxa"/>
            <w:tcBorders>
              <w:top w:val="single" w:sz="4" w:space="0" w:color="auto"/>
              <w:left w:val="single" w:sz="4" w:space="0" w:color="auto"/>
              <w:bottom w:val="single" w:sz="4" w:space="0" w:color="auto"/>
              <w:right w:val="single" w:sz="4" w:space="0" w:color="auto"/>
            </w:tcBorders>
            <w:hideMark/>
          </w:tcPr>
          <w:p w14:paraId="7F9D4BBE" w14:textId="77777777" w:rsidR="002E3CE8" w:rsidRPr="00520861" w:rsidRDefault="002E3CE8" w:rsidP="00544F38">
            <w:pPr>
              <w:widowControl w:val="0"/>
              <w:spacing w:line="360" w:lineRule="auto"/>
              <w:ind w:hanging="227"/>
              <w:jc w:val="center"/>
              <w:rPr>
                <w:rFonts w:eastAsia="Calibri" w:cs="Times New Roman"/>
                <w:i/>
                <w:sz w:val="28"/>
                <w:szCs w:val="28"/>
              </w:rPr>
            </w:pPr>
            <w:r w:rsidRPr="00520861">
              <w:rPr>
                <w:rFonts w:eastAsia="Calibri" w:cs="Times New Roman"/>
                <w:i/>
                <w:sz w:val="28"/>
                <w:szCs w:val="28"/>
              </w:rPr>
              <w:t>P</w:t>
            </w:r>
          </w:p>
        </w:tc>
      </w:tr>
      <w:tr w:rsidR="002E3CE8" w:rsidRPr="00520861" w14:paraId="6795F690" w14:textId="77777777" w:rsidTr="009B7ECD">
        <w:tc>
          <w:tcPr>
            <w:tcW w:w="1700" w:type="dxa"/>
            <w:tcBorders>
              <w:top w:val="single" w:sz="4" w:space="0" w:color="auto"/>
              <w:left w:val="single" w:sz="4" w:space="0" w:color="auto"/>
              <w:bottom w:val="single" w:sz="4" w:space="0" w:color="auto"/>
              <w:right w:val="single" w:sz="4" w:space="0" w:color="auto"/>
            </w:tcBorders>
            <w:vAlign w:val="center"/>
          </w:tcPr>
          <w:p w14:paraId="6A150E24" w14:textId="77777777" w:rsidR="002E3CE8" w:rsidRPr="00520861" w:rsidRDefault="002E3CE8" w:rsidP="00292D2E">
            <w:pPr>
              <w:widowControl w:val="0"/>
              <w:spacing w:line="360" w:lineRule="auto"/>
              <w:rPr>
                <w:rFonts w:eastAsia="Calibri" w:cs="Times New Roman"/>
                <w:sz w:val="28"/>
                <w:szCs w:val="28"/>
              </w:rPr>
            </w:pPr>
            <w:r w:rsidRPr="00520861">
              <w:rPr>
                <w:rFonts w:eastAsia="Calibri" w:cs="Times New Roman"/>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tcPr>
          <w:p w14:paraId="44CC6D9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w:t>
            </w:r>
          </w:p>
        </w:tc>
        <w:tc>
          <w:tcPr>
            <w:tcW w:w="1533" w:type="dxa"/>
            <w:tcBorders>
              <w:top w:val="single" w:sz="4" w:space="0" w:color="auto"/>
              <w:left w:val="single" w:sz="4" w:space="0" w:color="auto"/>
              <w:bottom w:val="single" w:sz="4" w:space="0" w:color="auto"/>
              <w:right w:val="single" w:sz="4" w:space="0" w:color="auto"/>
            </w:tcBorders>
          </w:tcPr>
          <w:p w14:paraId="7194427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w:t>
            </w:r>
          </w:p>
        </w:tc>
        <w:tc>
          <w:tcPr>
            <w:tcW w:w="1276" w:type="dxa"/>
            <w:gridSpan w:val="2"/>
            <w:tcBorders>
              <w:top w:val="single" w:sz="4" w:space="0" w:color="auto"/>
              <w:left w:val="single" w:sz="4" w:space="0" w:color="auto"/>
              <w:bottom w:val="single" w:sz="4" w:space="0" w:color="auto"/>
              <w:right w:val="single" w:sz="4" w:space="0" w:color="auto"/>
            </w:tcBorders>
          </w:tcPr>
          <w:p w14:paraId="5FC7CE6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w:t>
            </w:r>
          </w:p>
        </w:tc>
        <w:tc>
          <w:tcPr>
            <w:tcW w:w="2154" w:type="dxa"/>
            <w:tcBorders>
              <w:top w:val="single" w:sz="4" w:space="0" w:color="auto"/>
              <w:left w:val="single" w:sz="4" w:space="0" w:color="auto"/>
              <w:bottom w:val="single" w:sz="4" w:space="0" w:color="auto"/>
              <w:right w:val="single" w:sz="4" w:space="0" w:color="auto"/>
            </w:tcBorders>
          </w:tcPr>
          <w:p w14:paraId="0F468F0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w:t>
            </w:r>
          </w:p>
        </w:tc>
        <w:tc>
          <w:tcPr>
            <w:tcW w:w="1134" w:type="dxa"/>
            <w:tcBorders>
              <w:top w:val="single" w:sz="4" w:space="0" w:color="auto"/>
              <w:left w:val="single" w:sz="4" w:space="0" w:color="auto"/>
              <w:bottom w:val="single" w:sz="4" w:space="0" w:color="auto"/>
              <w:right w:val="single" w:sz="4" w:space="0" w:color="auto"/>
            </w:tcBorders>
          </w:tcPr>
          <w:p w14:paraId="20EAB7B2" w14:textId="77777777" w:rsidR="002E3CE8" w:rsidRPr="00520861" w:rsidRDefault="002E3CE8" w:rsidP="00292D2E">
            <w:pPr>
              <w:widowControl w:val="0"/>
              <w:spacing w:line="360" w:lineRule="auto"/>
              <w:jc w:val="center"/>
              <w:rPr>
                <w:rFonts w:eastAsia="Calibri" w:cs="Times New Roman"/>
                <w:i/>
                <w:sz w:val="28"/>
                <w:szCs w:val="28"/>
              </w:rPr>
            </w:pPr>
            <w:r w:rsidRPr="00520861">
              <w:rPr>
                <w:rFonts w:eastAsia="Calibri" w:cs="Times New Roman"/>
                <w:i/>
                <w:sz w:val="28"/>
                <w:szCs w:val="28"/>
              </w:rPr>
              <w:t>6</w:t>
            </w:r>
          </w:p>
        </w:tc>
      </w:tr>
      <w:tr w:rsidR="002E3CE8" w:rsidRPr="00520861" w14:paraId="75154D96" w14:textId="77777777" w:rsidTr="009B7ECD">
        <w:tc>
          <w:tcPr>
            <w:tcW w:w="1700" w:type="dxa"/>
            <w:vMerge w:val="restart"/>
            <w:tcBorders>
              <w:top w:val="single" w:sz="4" w:space="0" w:color="auto"/>
              <w:left w:val="single" w:sz="4" w:space="0" w:color="auto"/>
              <w:right w:val="single" w:sz="4" w:space="0" w:color="auto"/>
            </w:tcBorders>
          </w:tcPr>
          <w:p w14:paraId="7F20D66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i/>
                <w:sz w:val="28"/>
                <w:szCs w:val="28"/>
              </w:rPr>
              <w:t>CYP19A1: A&gt;G</w:t>
            </w:r>
            <w:r w:rsidRPr="00520861">
              <w:rPr>
                <w:rFonts w:eastAsia="Calibri" w:cs="Times New Roman"/>
                <w:sz w:val="28"/>
                <w:szCs w:val="28"/>
              </w:rPr>
              <w:t xml:space="preserve"> [rs2414096]</w:t>
            </w:r>
          </w:p>
        </w:tc>
        <w:tc>
          <w:tcPr>
            <w:tcW w:w="7798" w:type="dxa"/>
            <w:gridSpan w:val="6"/>
            <w:tcBorders>
              <w:top w:val="single" w:sz="4" w:space="0" w:color="auto"/>
              <w:left w:val="single" w:sz="4" w:space="0" w:color="auto"/>
              <w:bottom w:val="single" w:sz="4" w:space="0" w:color="auto"/>
              <w:right w:val="single" w:sz="4" w:space="0" w:color="auto"/>
            </w:tcBorders>
          </w:tcPr>
          <w:p w14:paraId="29CE942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Адитивна модель</w:t>
            </w:r>
          </w:p>
        </w:tc>
      </w:tr>
      <w:tr w:rsidR="002E3CE8" w:rsidRPr="00520861" w14:paraId="6F20D822" w14:textId="77777777" w:rsidTr="009B7ECD">
        <w:tc>
          <w:tcPr>
            <w:tcW w:w="1700" w:type="dxa"/>
            <w:vMerge/>
            <w:tcBorders>
              <w:left w:val="single" w:sz="4" w:space="0" w:color="auto"/>
              <w:right w:val="single" w:sz="4" w:space="0" w:color="auto"/>
            </w:tcBorders>
            <w:hideMark/>
          </w:tcPr>
          <w:p w14:paraId="4D4E7C03" w14:textId="77777777" w:rsidR="002E3CE8" w:rsidRPr="00520861" w:rsidRDefault="002E3CE8" w:rsidP="00292D2E">
            <w:pPr>
              <w:widowControl w:val="0"/>
              <w:spacing w:line="360" w:lineRule="auto"/>
              <w:jc w:val="center"/>
              <w:rPr>
                <w:rFonts w:eastAsia="Calibri"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hideMark/>
          </w:tcPr>
          <w:p w14:paraId="56F8572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w:t>
            </w:r>
          </w:p>
          <w:p w14:paraId="1033773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AG</w:t>
            </w:r>
          </w:p>
          <w:p w14:paraId="2172285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GG</w:t>
            </w:r>
          </w:p>
        </w:tc>
        <w:tc>
          <w:tcPr>
            <w:tcW w:w="1533" w:type="dxa"/>
            <w:tcBorders>
              <w:top w:val="single" w:sz="4" w:space="0" w:color="auto"/>
              <w:left w:val="single" w:sz="4" w:space="0" w:color="auto"/>
              <w:bottom w:val="single" w:sz="4" w:space="0" w:color="auto"/>
              <w:right w:val="single" w:sz="4" w:space="0" w:color="auto"/>
            </w:tcBorders>
            <w:hideMark/>
          </w:tcPr>
          <w:p w14:paraId="3383636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12,783</w:t>
            </w:r>
          </w:p>
        </w:tc>
        <w:tc>
          <w:tcPr>
            <w:tcW w:w="1276" w:type="dxa"/>
            <w:gridSpan w:val="2"/>
            <w:tcBorders>
              <w:top w:val="single" w:sz="4" w:space="0" w:color="auto"/>
              <w:left w:val="single" w:sz="4" w:space="0" w:color="auto"/>
              <w:bottom w:val="single" w:sz="4" w:space="0" w:color="auto"/>
              <w:right w:val="single" w:sz="4" w:space="0" w:color="auto"/>
            </w:tcBorders>
            <w:hideMark/>
          </w:tcPr>
          <w:p w14:paraId="52887A2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0,126</w:t>
            </w:r>
          </w:p>
          <w:p w14:paraId="58C2CB9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2,838</w:t>
            </w:r>
          </w:p>
          <w:p w14:paraId="440913C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11,525</w:t>
            </w:r>
          </w:p>
        </w:tc>
        <w:tc>
          <w:tcPr>
            <w:tcW w:w="2154" w:type="dxa"/>
            <w:tcBorders>
              <w:top w:val="single" w:sz="4" w:space="0" w:color="auto"/>
              <w:left w:val="single" w:sz="4" w:space="0" w:color="auto"/>
              <w:bottom w:val="single" w:sz="4" w:space="0" w:color="auto"/>
              <w:right w:val="single" w:sz="4" w:space="0" w:color="auto"/>
            </w:tcBorders>
            <w:hideMark/>
          </w:tcPr>
          <w:p w14:paraId="2B48B4C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0,040–0,394</w:t>
            </w:r>
          </w:p>
          <w:p w14:paraId="1F4BF6F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0,919–8,762</w:t>
            </w:r>
          </w:p>
          <w:p w14:paraId="404DE57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0,662–200,786</w:t>
            </w:r>
          </w:p>
        </w:tc>
        <w:tc>
          <w:tcPr>
            <w:tcW w:w="1134" w:type="dxa"/>
            <w:tcBorders>
              <w:top w:val="single" w:sz="4" w:space="0" w:color="auto"/>
              <w:left w:val="single" w:sz="4" w:space="0" w:color="auto"/>
              <w:bottom w:val="single" w:sz="4" w:space="0" w:color="auto"/>
              <w:right w:val="single" w:sz="4" w:space="0" w:color="auto"/>
            </w:tcBorders>
            <w:hideMark/>
          </w:tcPr>
          <w:p w14:paraId="0769564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0,002</w:t>
            </w:r>
          </w:p>
        </w:tc>
      </w:tr>
      <w:tr w:rsidR="002E3CE8" w:rsidRPr="00520861" w14:paraId="75CCE789" w14:textId="77777777" w:rsidTr="009B7ECD">
        <w:tc>
          <w:tcPr>
            <w:tcW w:w="1700" w:type="dxa"/>
            <w:vMerge/>
            <w:tcBorders>
              <w:left w:val="single" w:sz="4" w:space="0" w:color="auto"/>
              <w:right w:val="single" w:sz="4" w:space="0" w:color="auto"/>
            </w:tcBorders>
          </w:tcPr>
          <w:p w14:paraId="5A107C79" w14:textId="77777777" w:rsidR="002E3CE8" w:rsidRPr="00520861" w:rsidRDefault="002E3CE8" w:rsidP="00292D2E">
            <w:pPr>
              <w:widowControl w:val="0"/>
              <w:spacing w:line="360" w:lineRule="auto"/>
              <w:jc w:val="center"/>
              <w:rPr>
                <w:rFonts w:eastAsia="Calibri" w:cs="Times New Roman"/>
                <w:sz w:val="28"/>
                <w:szCs w:val="28"/>
              </w:rPr>
            </w:pPr>
          </w:p>
        </w:tc>
        <w:tc>
          <w:tcPr>
            <w:tcW w:w="7798" w:type="dxa"/>
            <w:gridSpan w:val="6"/>
            <w:tcBorders>
              <w:top w:val="single" w:sz="4" w:space="0" w:color="auto"/>
              <w:left w:val="single" w:sz="4" w:space="0" w:color="auto"/>
              <w:bottom w:val="single" w:sz="4" w:space="0" w:color="auto"/>
              <w:right w:val="single" w:sz="4" w:space="0" w:color="auto"/>
            </w:tcBorders>
          </w:tcPr>
          <w:p w14:paraId="45840BF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Рецесивна модель</w:t>
            </w:r>
          </w:p>
        </w:tc>
      </w:tr>
      <w:tr w:rsidR="002E3CE8" w:rsidRPr="00520861" w14:paraId="7CBA55EB" w14:textId="77777777" w:rsidTr="009B7ECD">
        <w:tc>
          <w:tcPr>
            <w:tcW w:w="1700" w:type="dxa"/>
            <w:vMerge/>
            <w:tcBorders>
              <w:left w:val="single" w:sz="4" w:space="0" w:color="auto"/>
              <w:right w:val="single" w:sz="4" w:space="0" w:color="auto"/>
            </w:tcBorders>
          </w:tcPr>
          <w:p w14:paraId="50DB71EC" w14:textId="77777777" w:rsidR="002E3CE8" w:rsidRPr="00520861" w:rsidRDefault="002E3CE8" w:rsidP="00292D2E">
            <w:pPr>
              <w:widowControl w:val="0"/>
              <w:spacing w:line="360" w:lineRule="auto"/>
              <w:jc w:val="center"/>
              <w:rPr>
                <w:rFonts w:eastAsia="Calibri"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tcPr>
          <w:p w14:paraId="0DAE4E0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AA+AG</w:t>
            </w:r>
          </w:p>
          <w:p w14:paraId="72F3BCC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GG</w:t>
            </w:r>
          </w:p>
        </w:tc>
        <w:tc>
          <w:tcPr>
            <w:tcW w:w="1533" w:type="dxa"/>
            <w:tcBorders>
              <w:top w:val="single" w:sz="4" w:space="0" w:color="auto"/>
              <w:left w:val="single" w:sz="4" w:space="0" w:color="auto"/>
              <w:bottom w:val="single" w:sz="4" w:space="0" w:color="auto"/>
              <w:right w:val="single" w:sz="4" w:space="0" w:color="auto"/>
            </w:tcBorders>
          </w:tcPr>
          <w:p w14:paraId="0B9E098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3,081</w:t>
            </w:r>
          </w:p>
        </w:tc>
        <w:tc>
          <w:tcPr>
            <w:tcW w:w="1276" w:type="dxa"/>
            <w:gridSpan w:val="2"/>
            <w:tcBorders>
              <w:top w:val="single" w:sz="4" w:space="0" w:color="auto"/>
              <w:left w:val="single" w:sz="4" w:space="0" w:color="auto"/>
              <w:bottom w:val="single" w:sz="4" w:space="0" w:color="auto"/>
              <w:right w:val="single" w:sz="4" w:space="0" w:color="auto"/>
            </w:tcBorders>
          </w:tcPr>
          <w:p w14:paraId="48DFE41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0,087</w:t>
            </w:r>
          </w:p>
          <w:p w14:paraId="503E501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11,525</w:t>
            </w:r>
          </w:p>
        </w:tc>
        <w:tc>
          <w:tcPr>
            <w:tcW w:w="2154" w:type="dxa"/>
            <w:tcBorders>
              <w:top w:val="single" w:sz="4" w:space="0" w:color="auto"/>
              <w:left w:val="single" w:sz="4" w:space="0" w:color="auto"/>
              <w:bottom w:val="single" w:sz="4" w:space="0" w:color="auto"/>
              <w:right w:val="single" w:sz="4" w:space="0" w:color="auto"/>
            </w:tcBorders>
          </w:tcPr>
          <w:p w14:paraId="0192BD3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0,005–1,512</w:t>
            </w:r>
          </w:p>
          <w:p w14:paraId="75710E4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0,662–200,786</w:t>
            </w:r>
          </w:p>
        </w:tc>
        <w:tc>
          <w:tcPr>
            <w:tcW w:w="1134" w:type="dxa"/>
            <w:tcBorders>
              <w:top w:val="single" w:sz="4" w:space="0" w:color="auto"/>
              <w:left w:val="single" w:sz="4" w:space="0" w:color="auto"/>
              <w:bottom w:val="single" w:sz="4" w:space="0" w:color="auto"/>
              <w:right w:val="single" w:sz="4" w:space="0" w:color="auto"/>
            </w:tcBorders>
          </w:tcPr>
          <w:p w14:paraId="0D3D1E2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0,079</w:t>
            </w:r>
          </w:p>
        </w:tc>
      </w:tr>
      <w:tr w:rsidR="002E3CE8" w:rsidRPr="00520861" w14:paraId="114D70CD" w14:textId="77777777" w:rsidTr="009B7ECD">
        <w:tc>
          <w:tcPr>
            <w:tcW w:w="1700" w:type="dxa"/>
            <w:vMerge/>
            <w:tcBorders>
              <w:left w:val="single" w:sz="4" w:space="0" w:color="auto"/>
              <w:right w:val="single" w:sz="4" w:space="0" w:color="auto"/>
            </w:tcBorders>
          </w:tcPr>
          <w:p w14:paraId="137F0878" w14:textId="77777777" w:rsidR="002E3CE8" w:rsidRPr="00520861" w:rsidRDefault="002E3CE8" w:rsidP="00292D2E">
            <w:pPr>
              <w:widowControl w:val="0"/>
              <w:spacing w:line="360" w:lineRule="auto"/>
              <w:rPr>
                <w:rFonts w:eastAsia="Calibri" w:cs="Times New Roman"/>
                <w:sz w:val="28"/>
                <w:szCs w:val="28"/>
              </w:rPr>
            </w:pPr>
          </w:p>
        </w:tc>
        <w:tc>
          <w:tcPr>
            <w:tcW w:w="7798" w:type="dxa"/>
            <w:gridSpan w:val="6"/>
            <w:tcBorders>
              <w:top w:val="single" w:sz="4" w:space="0" w:color="auto"/>
              <w:left w:val="single" w:sz="4" w:space="0" w:color="auto"/>
              <w:bottom w:val="single" w:sz="4" w:space="0" w:color="auto"/>
              <w:right w:val="single" w:sz="4" w:space="0" w:color="auto"/>
            </w:tcBorders>
          </w:tcPr>
          <w:p w14:paraId="0B748CE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Домінантна модель</w:t>
            </w:r>
          </w:p>
        </w:tc>
      </w:tr>
      <w:tr w:rsidR="002E3CE8" w:rsidRPr="00520861" w14:paraId="7D4DD205" w14:textId="77777777" w:rsidTr="009B7ECD">
        <w:tc>
          <w:tcPr>
            <w:tcW w:w="1700" w:type="dxa"/>
            <w:vMerge/>
            <w:tcBorders>
              <w:left w:val="single" w:sz="4" w:space="0" w:color="auto"/>
              <w:right w:val="single" w:sz="4" w:space="0" w:color="auto"/>
            </w:tcBorders>
          </w:tcPr>
          <w:p w14:paraId="62ED32E0" w14:textId="77777777" w:rsidR="002E3CE8" w:rsidRPr="00520861" w:rsidRDefault="002E3CE8" w:rsidP="00292D2E">
            <w:pPr>
              <w:widowControl w:val="0"/>
              <w:spacing w:line="360" w:lineRule="auto"/>
              <w:rPr>
                <w:rFonts w:eastAsia="Calibri"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tcPr>
          <w:p w14:paraId="40C5A36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w:t>
            </w:r>
          </w:p>
          <w:p w14:paraId="7919783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AG+GG</w:t>
            </w:r>
          </w:p>
        </w:tc>
        <w:tc>
          <w:tcPr>
            <w:tcW w:w="1533" w:type="dxa"/>
            <w:tcBorders>
              <w:top w:val="single" w:sz="4" w:space="0" w:color="auto"/>
              <w:left w:val="single" w:sz="4" w:space="0" w:color="auto"/>
              <w:bottom w:val="single" w:sz="4" w:space="0" w:color="auto"/>
              <w:right w:val="single" w:sz="4" w:space="0" w:color="auto"/>
            </w:tcBorders>
          </w:tcPr>
          <w:p w14:paraId="61257D6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12,933</w:t>
            </w:r>
          </w:p>
        </w:tc>
        <w:tc>
          <w:tcPr>
            <w:tcW w:w="1264" w:type="dxa"/>
            <w:tcBorders>
              <w:top w:val="single" w:sz="4" w:space="0" w:color="auto"/>
              <w:left w:val="single" w:sz="4" w:space="0" w:color="auto"/>
              <w:bottom w:val="single" w:sz="4" w:space="0" w:color="auto"/>
              <w:right w:val="single" w:sz="4" w:space="0" w:color="auto"/>
            </w:tcBorders>
          </w:tcPr>
          <w:p w14:paraId="7648542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0,126</w:t>
            </w:r>
          </w:p>
          <w:p w14:paraId="4FD1021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7,957</w:t>
            </w:r>
          </w:p>
        </w:tc>
        <w:tc>
          <w:tcPr>
            <w:tcW w:w="2166" w:type="dxa"/>
            <w:gridSpan w:val="2"/>
            <w:tcBorders>
              <w:top w:val="single" w:sz="4" w:space="0" w:color="auto"/>
              <w:left w:val="single" w:sz="4" w:space="0" w:color="auto"/>
              <w:bottom w:val="single" w:sz="4" w:space="0" w:color="auto"/>
              <w:right w:val="single" w:sz="4" w:space="0" w:color="auto"/>
            </w:tcBorders>
          </w:tcPr>
          <w:p w14:paraId="2049B62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0,040–0,394</w:t>
            </w:r>
          </w:p>
          <w:p w14:paraId="46DE87F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2,537–24,956</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21290E7" w14:textId="77777777" w:rsidR="002E3CE8" w:rsidRPr="00520861" w:rsidRDefault="002E3CE8" w:rsidP="00544F38">
            <w:pPr>
              <w:widowControl w:val="0"/>
              <w:spacing w:line="360" w:lineRule="auto"/>
              <w:ind w:left="-105" w:hanging="44"/>
              <w:jc w:val="center"/>
              <w:rPr>
                <w:rFonts w:eastAsia="Calibri" w:cs="Times New Roman"/>
                <w:sz w:val="28"/>
                <w:szCs w:val="28"/>
              </w:rPr>
            </w:pPr>
            <w:r w:rsidRPr="00520861">
              <w:rPr>
                <w:rFonts w:eastAsia="Calibri" w:cs="Times New Roman"/>
                <w:sz w:val="28"/>
                <w:szCs w:val="28"/>
              </w:rPr>
              <w:t>&lt;0,0005</w:t>
            </w:r>
          </w:p>
        </w:tc>
      </w:tr>
      <w:tr w:rsidR="002E3CE8" w:rsidRPr="00520861" w14:paraId="0D817E0B" w14:textId="77777777" w:rsidTr="009B7ECD">
        <w:tc>
          <w:tcPr>
            <w:tcW w:w="1700" w:type="dxa"/>
            <w:vMerge/>
            <w:tcBorders>
              <w:left w:val="single" w:sz="4" w:space="0" w:color="auto"/>
              <w:right w:val="single" w:sz="4" w:space="0" w:color="auto"/>
            </w:tcBorders>
          </w:tcPr>
          <w:p w14:paraId="2D7EFD6F" w14:textId="77777777" w:rsidR="002E3CE8" w:rsidRPr="00520861" w:rsidRDefault="002E3CE8" w:rsidP="00292D2E">
            <w:pPr>
              <w:widowControl w:val="0"/>
              <w:spacing w:line="360" w:lineRule="auto"/>
              <w:rPr>
                <w:rFonts w:eastAsia="Calibri" w:cs="Times New Roman"/>
                <w:sz w:val="28"/>
                <w:szCs w:val="28"/>
              </w:rPr>
            </w:pPr>
          </w:p>
        </w:tc>
        <w:tc>
          <w:tcPr>
            <w:tcW w:w="7798" w:type="dxa"/>
            <w:gridSpan w:val="6"/>
            <w:tcBorders>
              <w:top w:val="single" w:sz="4" w:space="0" w:color="auto"/>
              <w:left w:val="single" w:sz="4" w:space="0" w:color="auto"/>
              <w:bottom w:val="single" w:sz="4" w:space="0" w:color="auto"/>
              <w:right w:val="single" w:sz="4" w:space="0" w:color="auto"/>
            </w:tcBorders>
            <w:shd w:val="clear" w:color="auto" w:fill="auto"/>
          </w:tcPr>
          <w:p w14:paraId="7BCD4949" w14:textId="77777777" w:rsidR="002E3CE8" w:rsidRPr="00520861" w:rsidRDefault="002E3CE8" w:rsidP="00292D2E">
            <w:pPr>
              <w:widowControl w:val="0"/>
              <w:spacing w:line="360" w:lineRule="auto"/>
              <w:jc w:val="center"/>
              <w:rPr>
                <w:rFonts w:eastAsia="Calibri" w:cs="Times New Roman"/>
                <w:sz w:val="28"/>
                <w:szCs w:val="28"/>
              </w:rPr>
            </w:pPr>
            <w:proofErr w:type="spellStart"/>
            <w:r w:rsidRPr="00520861">
              <w:rPr>
                <w:rFonts w:eastAsia="Calibri" w:cs="Times New Roman"/>
                <w:sz w:val="28"/>
                <w:szCs w:val="28"/>
              </w:rPr>
              <w:t>Наддомінантна</w:t>
            </w:r>
            <w:proofErr w:type="spellEnd"/>
            <w:r w:rsidRPr="00520861">
              <w:rPr>
                <w:rFonts w:eastAsia="Calibri" w:cs="Times New Roman"/>
                <w:sz w:val="28"/>
                <w:szCs w:val="28"/>
              </w:rPr>
              <w:t xml:space="preserve"> модель</w:t>
            </w:r>
          </w:p>
        </w:tc>
      </w:tr>
      <w:tr w:rsidR="002E3CE8" w:rsidRPr="00520861" w14:paraId="354E5F59" w14:textId="77777777" w:rsidTr="009B7ECD">
        <w:tc>
          <w:tcPr>
            <w:tcW w:w="1700" w:type="dxa"/>
            <w:vMerge/>
            <w:tcBorders>
              <w:left w:val="single" w:sz="4" w:space="0" w:color="auto"/>
              <w:right w:val="single" w:sz="4" w:space="0" w:color="auto"/>
            </w:tcBorders>
          </w:tcPr>
          <w:p w14:paraId="3BCD1DAD" w14:textId="77777777" w:rsidR="002E3CE8" w:rsidRPr="00520861" w:rsidRDefault="002E3CE8" w:rsidP="00292D2E">
            <w:pPr>
              <w:widowControl w:val="0"/>
              <w:spacing w:line="360" w:lineRule="auto"/>
              <w:rPr>
                <w:rFonts w:eastAsia="Calibri"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tcPr>
          <w:p w14:paraId="46F839B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AA+GG</w:t>
            </w:r>
          </w:p>
          <w:p w14:paraId="3BCBAA8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AG</w:t>
            </w:r>
          </w:p>
        </w:tc>
        <w:tc>
          <w:tcPr>
            <w:tcW w:w="1533" w:type="dxa"/>
            <w:tcBorders>
              <w:top w:val="single" w:sz="4" w:space="0" w:color="auto"/>
              <w:left w:val="single" w:sz="4" w:space="0" w:color="auto"/>
              <w:bottom w:val="single" w:sz="4" w:space="0" w:color="auto"/>
              <w:right w:val="single" w:sz="4" w:space="0" w:color="auto"/>
            </w:tcBorders>
          </w:tcPr>
          <w:p w14:paraId="0F58DC1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2,554</w:t>
            </w:r>
          </w:p>
        </w:tc>
        <w:tc>
          <w:tcPr>
            <w:tcW w:w="1264" w:type="dxa"/>
            <w:tcBorders>
              <w:top w:val="single" w:sz="4" w:space="0" w:color="auto"/>
              <w:left w:val="single" w:sz="4" w:space="0" w:color="auto"/>
              <w:bottom w:val="single" w:sz="4" w:space="0" w:color="auto"/>
              <w:right w:val="single" w:sz="4" w:space="0" w:color="auto"/>
            </w:tcBorders>
          </w:tcPr>
          <w:p w14:paraId="5F007EA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0,352</w:t>
            </w:r>
          </w:p>
          <w:p w14:paraId="3106AE4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2,838</w:t>
            </w:r>
          </w:p>
        </w:tc>
        <w:tc>
          <w:tcPr>
            <w:tcW w:w="2166" w:type="dxa"/>
            <w:gridSpan w:val="2"/>
            <w:tcBorders>
              <w:top w:val="single" w:sz="4" w:space="0" w:color="auto"/>
              <w:left w:val="single" w:sz="4" w:space="0" w:color="auto"/>
              <w:bottom w:val="single" w:sz="4" w:space="0" w:color="auto"/>
              <w:right w:val="single" w:sz="4" w:space="0" w:color="auto"/>
            </w:tcBorders>
          </w:tcPr>
          <w:p w14:paraId="6858675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0,114–1,088</w:t>
            </w:r>
          </w:p>
          <w:p w14:paraId="2281E32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0,919–8,762</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BF51C5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0,110</w:t>
            </w:r>
          </w:p>
        </w:tc>
      </w:tr>
      <w:tr w:rsidR="002E3CE8" w:rsidRPr="00520861" w14:paraId="45A2E99C" w14:textId="77777777" w:rsidTr="009B7ECD">
        <w:tc>
          <w:tcPr>
            <w:tcW w:w="1700" w:type="dxa"/>
            <w:vMerge/>
            <w:tcBorders>
              <w:left w:val="single" w:sz="4" w:space="0" w:color="auto"/>
              <w:right w:val="single" w:sz="4" w:space="0" w:color="auto"/>
            </w:tcBorders>
          </w:tcPr>
          <w:p w14:paraId="1AACB678" w14:textId="77777777" w:rsidR="002E3CE8" w:rsidRPr="00520861" w:rsidRDefault="002E3CE8" w:rsidP="00292D2E">
            <w:pPr>
              <w:widowControl w:val="0"/>
              <w:spacing w:line="360" w:lineRule="auto"/>
              <w:rPr>
                <w:rFonts w:eastAsia="Calibri" w:cs="Times New Roman"/>
                <w:sz w:val="28"/>
                <w:szCs w:val="28"/>
              </w:rPr>
            </w:pPr>
          </w:p>
        </w:tc>
        <w:tc>
          <w:tcPr>
            <w:tcW w:w="7798" w:type="dxa"/>
            <w:gridSpan w:val="6"/>
            <w:tcBorders>
              <w:top w:val="single" w:sz="4" w:space="0" w:color="auto"/>
              <w:left w:val="single" w:sz="4" w:space="0" w:color="auto"/>
              <w:bottom w:val="single" w:sz="4" w:space="0" w:color="auto"/>
              <w:right w:val="single" w:sz="4" w:space="0" w:color="auto"/>
            </w:tcBorders>
            <w:shd w:val="clear" w:color="auto" w:fill="auto"/>
          </w:tcPr>
          <w:p w14:paraId="6EE0EAF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Мультиплікативна модель</w:t>
            </w:r>
          </w:p>
        </w:tc>
      </w:tr>
      <w:tr w:rsidR="002E3CE8" w:rsidRPr="00520861" w14:paraId="4F876F50" w14:textId="77777777" w:rsidTr="009B7ECD">
        <w:tc>
          <w:tcPr>
            <w:tcW w:w="1700" w:type="dxa"/>
            <w:vMerge/>
            <w:tcBorders>
              <w:left w:val="single" w:sz="4" w:space="0" w:color="auto"/>
              <w:bottom w:val="single" w:sz="4" w:space="0" w:color="auto"/>
              <w:right w:val="single" w:sz="4" w:space="0" w:color="auto"/>
            </w:tcBorders>
          </w:tcPr>
          <w:p w14:paraId="15E8E476" w14:textId="77777777" w:rsidR="002E3CE8" w:rsidRPr="00520861" w:rsidRDefault="002E3CE8" w:rsidP="00292D2E">
            <w:pPr>
              <w:widowControl w:val="0"/>
              <w:spacing w:line="360" w:lineRule="auto"/>
              <w:rPr>
                <w:rFonts w:eastAsia="Calibri"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tcPr>
          <w:p w14:paraId="22912DB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w:t>
            </w:r>
          </w:p>
          <w:p w14:paraId="36940E8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w:t>
            </w:r>
          </w:p>
        </w:tc>
        <w:tc>
          <w:tcPr>
            <w:tcW w:w="1533" w:type="dxa"/>
            <w:tcBorders>
              <w:top w:val="single" w:sz="4" w:space="0" w:color="auto"/>
              <w:left w:val="single" w:sz="4" w:space="0" w:color="auto"/>
              <w:bottom w:val="single" w:sz="4" w:space="0" w:color="auto"/>
              <w:right w:val="single" w:sz="4" w:space="0" w:color="auto"/>
            </w:tcBorders>
          </w:tcPr>
          <w:p w14:paraId="68FD9E8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13,953</w:t>
            </w:r>
          </w:p>
        </w:tc>
        <w:tc>
          <w:tcPr>
            <w:tcW w:w="1264" w:type="dxa"/>
            <w:tcBorders>
              <w:top w:val="single" w:sz="4" w:space="0" w:color="auto"/>
              <w:left w:val="single" w:sz="4" w:space="0" w:color="auto"/>
              <w:bottom w:val="single" w:sz="4" w:space="0" w:color="auto"/>
              <w:right w:val="single" w:sz="4" w:space="0" w:color="auto"/>
            </w:tcBorders>
          </w:tcPr>
          <w:p w14:paraId="64B8040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0,192</w:t>
            </w:r>
          </w:p>
          <w:p w14:paraId="027E551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5,215</w:t>
            </w:r>
          </w:p>
        </w:tc>
        <w:tc>
          <w:tcPr>
            <w:tcW w:w="2166" w:type="dxa"/>
            <w:gridSpan w:val="2"/>
            <w:tcBorders>
              <w:top w:val="single" w:sz="4" w:space="0" w:color="auto"/>
              <w:left w:val="single" w:sz="4" w:space="0" w:color="auto"/>
              <w:bottom w:val="single" w:sz="4" w:space="0" w:color="auto"/>
              <w:right w:val="single" w:sz="4" w:space="0" w:color="auto"/>
            </w:tcBorders>
          </w:tcPr>
          <w:p w14:paraId="4393D63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0,075–0,487</w:t>
            </w:r>
          </w:p>
          <w:p w14:paraId="198E851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2,052–13,254</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B943379" w14:textId="77777777" w:rsidR="002E3CE8" w:rsidRPr="00520861" w:rsidRDefault="002E3CE8" w:rsidP="00E23234">
            <w:pPr>
              <w:widowControl w:val="0"/>
              <w:spacing w:line="360" w:lineRule="auto"/>
              <w:ind w:left="-113"/>
              <w:jc w:val="center"/>
              <w:rPr>
                <w:rFonts w:eastAsia="Calibri" w:cs="Times New Roman"/>
                <w:sz w:val="28"/>
                <w:szCs w:val="28"/>
              </w:rPr>
            </w:pPr>
            <w:r w:rsidRPr="00520861">
              <w:rPr>
                <w:rFonts w:eastAsia="Calibri" w:cs="Times New Roman"/>
                <w:sz w:val="28"/>
                <w:szCs w:val="28"/>
              </w:rPr>
              <w:t>&lt;0,0005</w:t>
            </w:r>
          </w:p>
        </w:tc>
      </w:tr>
      <w:tr w:rsidR="002E3CE8" w:rsidRPr="00520861" w14:paraId="37BB6F4F" w14:textId="77777777" w:rsidTr="009B7ECD">
        <w:tc>
          <w:tcPr>
            <w:tcW w:w="1700" w:type="dxa"/>
            <w:vMerge w:val="restart"/>
            <w:tcBorders>
              <w:top w:val="single" w:sz="4" w:space="0" w:color="auto"/>
              <w:left w:val="single" w:sz="4" w:space="0" w:color="auto"/>
              <w:right w:val="single" w:sz="4" w:space="0" w:color="auto"/>
            </w:tcBorders>
          </w:tcPr>
          <w:p w14:paraId="19C63F69" w14:textId="77777777" w:rsidR="002E3CE8" w:rsidRPr="00520861" w:rsidRDefault="002E3CE8" w:rsidP="00292D2E">
            <w:pPr>
              <w:widowControl w:val="0"/>
              <w:spacing w:line="360" w:lineRule="auto"/>
              <w:jc w:val="center"/>
              <w:rPr>
                <w:rFonts w:eastAsia="Calibri" w:cs="Times New Roman"/>
                <w:i/>
                <w:sz w:val="28"/>
                <w:szCs w:val="28"/>
              </w:rPr>
            </w:pPr>
            <w:r w:rsidRPr="00520861">
              <w:rPr>
                <w:rFonts w:eastAsia="Calibri" w:cs="Times New Roman"/>
                <w:i/>
                <w:sz w:val="28"/>
                <w:szCs w:val="28"/>
              </w:rPr>
              <w:t>IL10: -1082</w:t>
            </w:r>
          </w:p>
          <w:p w14:paraId="657B4F7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i/>
                <w:sz w:val="28"/>
                <w:szCs w:val="28"/>
              </w:rPr>
              <w:t xml:space="preserve">G&gt;A </w:t>
            </w:r>
            <w:r w:rsidRPr="00520861">
              <w:rPr>
                <w:rFonts w:eastAsia="Calibri" w:cs="Times New Roman"/>
                <w:sz w:val="28"/>
                <w:szCs w:val="28"/>
              </w:rPr>
              <w:t>[rs1800896]</w:t>
            </w:r>
          </w:p>
        </w:tc>
        <w:tc>
          <w:tcPr>
            <w:tcW w:w="7798" w:type="dxa"/>
            <w:gridSpan w:val="6"/>
            <w:tcBorders>
              <w:top w:val="single" w:sz="4" w:space="0" w:color="auto"/>
              <w:left w:val="single" w:sz="4" w:space="0" w:color="auto"/>
              <w:bottom w:val="single" w:sz="4" w:space="0" w:color="auto"/>
              <w:right w:val="single" w:sz="4" w:space="0" w:color="auto"/>
            </w:tcBorders>
            <w:shd w:val="clear" w:color="auto" w:fill="auto"/>
          </w:tcPr>
          <w:p w14:paraId="46A4B4D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Адитивна модель</w:t>
            </w:r>
          </w:p>
        </w:tc>
      </w:tr>
      <w:tr w:rsidR="002E3CE8" w:rsidRPr="00520861" w14:paraId="09B0724D" w14:textId="77777777" w:rsidTr="009B7ECD">
        <w:tc>
          <w:tcPr>
            <w:tcW w:w="1700" w:type="dxa"/>
            <w:vMerge/>
            <w:tcBorders>
              <w:left w:val="single" w:sz="4" w:space="0" w:color="auto"/>
              <w:right w:val="single" w:sz="4" w:space="0" w:color="auto"/>
            </w:tcBorders>
            <w:hideMark/>
          </w:tcPr>
          <w:p w14:paraId="2CA9E831" w14:textId="77777777" w:rsidR="002E3CE8" w:rsidRPr="00520861" w:rsidRDefault="002E3CE8" w:rsidP="00292D2E">
            <w:pPr>
              <w:widowControl w:val="0"/>
              <w:spacing w:line="360" w:lineRule="auto"/>
              <w:jc w:val="center"/>
              <w:rPr>
                <w:rFonts w:eastAsia="Calibri"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hideMark/>
          </w:tcPr>
          <w:p w14:paraId="0D3D660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GG </w:t>
            </w:r>
          </w:p>
          <w:p w14:paraId="077F3C2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GA</w:t>
            </w:r>
          </w:p>
          <w:p w14:paraId="3732C34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w:t>
            </w:r>
          </w:p>
        </w:tc>
        <w:tc>
          <w:tcPr>
            <w:tcW w:w="1533" w:type="dxa"/>
            <w:tcBorders>
              <w:top w:val="single" w:sz="4" w:space="0" w:color="auto"/>
              <w:left w:val="single" w:sz="4" w:space="0" w:color="auto"/>
              <w:bottom w:val="single" w:sz="4" w:space="0" w:color="auto"/>
              <w:right w:val="single" w:sz="4" w:space="0" w:color="auto"/>
            </w:tcBorders>
            <w:hideMark/>
          </w:tcPr>
          <w:p w14:paraId="317AA6A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4,372</w:t>
            </w:r>
          </w:p>
        </w:tc>
        <w:tc>
          <w:tcPr>
            <w:tcW w:w="1264" w:type="dxa"/>
            <w:tcBorders>
              <w:top w:val="single" w:sz="4" w:space="0" w:color="auto"/>
              <w:left w:val="single" w:sz="4" w:space="0" w:color="auto"/>
              <w:bottom w:val="single" w:sz="4" w:space="0" w:color="auto"/>
              <w:right w:val="single" w:sz="4" w:space="0" w:color="auto"/>
            </w:tcBorders>
            <w:hideMark/>
          </w:tcPr>
          <w:p w14:paraId="49592EE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2,679</w:t>
            </w:r>
          </w:p>
          <w:p w14:paraId="7D69885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0,218</w:t>
            </w:r>
          </w:p>
          <w:p w14:paraId="54A080C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6,982</w:t>
            </w:r>
          </w:p>
        </w:tc>
        <w:tc>
          <w:tcPr>
            <w:tcW w:w="2166" w:type="dxa"/>
            <w:gridSpan w:val="2"/>
            <w:tcBorders>
              <w:top w:val="single" w:sz="4" w:space="0" w:color="auto"/>
              <w:left w:val="single" w:sz="4" w:space="0" w:color="auto"/>
              <w:bottom w:val="single" w:sz="4" w:space="0" w:color="auto"/>
              <w:right w:val="single" w:sz="4" w:space="0" w:color="auto"/>
            </w:tcBorders>
            <w:hideMark/>
          </w:tcPr>
          <w:p w14:paraId="2C79CA1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0,698–10,285</w:t>
            </w:r>
          </w:p>
          <w:p w14:paraId="574A556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0,061–0,781</w:t>
            </w:r>
          </w:p>
          <w:p w14:paraId="59BB3F1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0,391–124,784</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7F7013B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0,112</w:t>
            </w:r>
          </w:p>
        </w:tc>
      </w:tr>
      <w:tr w:rsidR="002E3CE8" w:rsidRPr="00520861" w14:paraId="6AD99DFC" w14:textId="77777777" w:rsidTr="009B7ECD">
        <w:tc>
          <w:tcPr>
            <w:tcW w:w="1700" w:type="dxa"/>
            <w:vMerge/>
            <w:tcBorders>
              <w:left w:val="single" w:sz="4" w:space="0" w:color="auto"/>
              <w:right w:val="single" w:sz="4" w:space="0" w:color="auto"/>
            </w:tcBorders>
          </w:tcPr>
          <w:p w14:paraId="511DB755" w14:textId="77777777" w:rsidR="002E3CE8" w:rsidRPr="00520861" w:rsidRDefault="002E3CE8" w:rsidP="00292D2E">
            <w:pPr>
              <w:widowControl w:val="0"/>
              <w:spacing w:line="360" w:lineRule="auto"/>
              <w:jc w:val="center"/>
              <w:rPr>
                <w:rFonts w:eastAsia="Calibri" w:cs="Times New Roman"/>
                <w:sz w:val="28"/>
                <w:szCs w:val="28"/>
              </w:rPr>
            </w:pPr>
          </w:p>
        </w:tc>
        <w:tc>
          <w:tcPr>
            <w:tcW w:w="7798" w:type="dxa"/>
            <w:gridSpan w:val="6"/>
            <w:tcBorders>
              <w:top w:val="single" w:sz="4" w:space="0" w:color="auto"/>
              <w:left w:val="single" w:sz="4" w:space="0" w:color="auto"/>
              <w:bottom w:val="single" w:sz="4" w:space="0" w:color="auto"/>
              <w:right w:val="single" w:sz="4" w:space="0" w:color="auto"/>
            </w:tcBorders>
            <w:shd w:val="clear" w:color="auto" w:fill="auto"/>
          </w:tcPr>
          <w:p w14:paraId="7C0F1D0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Рецесивна модель</w:t>
            </w:r>
          </w:p>
        </w:tc>
      </w:tr>
      <w:tr w:rsidR="002E3CE8" w:rsidRPr="00520861" w14:paraId="43034454" w14:textId="77777777" w:rsidTr="009B7ECD">
        <w:tc>
          <w:tcPr>
            <w:tcW w:w="1700" w:type="dxa"/>
            <w:vMerge/>
            <w:tcBorders>
              <w:left w:val="single" w:sz="4" w:space="0" w:color="auto"/>
              <w:right w:val="single" w:sz="4" w:space="0" w:color="auto"/>
            </w:tcBorders>
          </w:tcPr>
          <w:p w14:paraId="398EC3E9" w14:textId="77777777" w:rsidR="002E3CE8" w:rsidRPr="00520861" w:rsidRDefault="002E3CE8" w:rsidP="00292D2E">
            <w:pPr>
              <w:widowControl w:val="0"/>
              <w:spacing w:line="360" w:lineRule="auto"/>
              <w:jc w:val="center"/>
              <w:rPr>
                <w:rFonts w:eastAsia="Calibri"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tcPr>
          <w:p w14:paraId="34FE82C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GG+GA </w:t>
            </w:r>
          </w:p>
          <w:p w14:paraId="22EB206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w:t>
            </w:r>
          </w:p>
        </w:tc>
        <w:tc>
          <w:tcPr>
            <w:tcW w:w="1533" w:type="dxa"/>
            <w:tcBorders>
              <w:top w:val="single" w:sz="4" w:space="0" w:color="auto"/>
              <w:left w:val="single" w:sz="4" w:space="0" w:color="auto"/>
              <w:bottom w:val="single" w:sz="4" w:space="0" w:color="auto"/>
              <w:right w:val="single" w:sz="4" w:space="0" w:color="auto"/>
            </w:tcBorders>
          </w:tcPr>
          <w:p w14:paraId="3146AD5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1,282</w:t>
            </w:r>
          </w:p>
        </w:tc>
        <w:tc>
          <w:tcPr>
            <w:tcW w:w="1264" w:type="dxa"/>
            <w:tcBorders>
              <w:top w:val="single" w:sz="4" w:space="0" w:color="auto"/>
              <w:left w:val="single" w:sz="4" w:space="0" w:color="auto"/>
              <w:bottom w:val="single" w:sz="4" w:space="0" w:color="auto"/>
              <w:right w:val="single" w:sz="4" w:space="0" w:color="auto"/>
            </w:tcBorders>
          </w:tcPr>
          <w:p w14:paraId="7F73C21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0,143</w:t>
            </w:r>
          </w:p>
          <w:p w14:paraId="16EA832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6,982</w:t>
            </w:r>
          </w:p>
        </w:tc>
        <w:tc>
          <w:tcPr>
            <w:tcW w:w="2166" w:type="dxa"/>
            <w:gridSpan w:val="2"/>
            <w:tcBorders>
              <w:top w:val="single" w:sz="4" w:space="0" w:color="auto"/>
              <w:left w:val="single" w:sz="4" w:space="0" w:color="auto"/>
              <w:bottom w:val="single" w:sz="4" w:space="0" w:color="auto"/>
              <w:right w:val="single" w:sz="4" w:space="0" w:color="auto"/>
            </w:tcBorders>
          </w:tcPr>
          <w:p w14:paraId="3DB6B7C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0,008–2,560</w:t>
            </w:r>
          </w:p>
          <w:p w14:paraId="25B4244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0,391–124,784</w:t>
            </w:r>
          </w:p>
        </w:tc>
        <w:tc>
          <w:tcPr>
            <w:tcW w:w="1134" w:type="dxa"/>
            <w:tcBorders>
              <w:top w:val="single" w:sz="4" w:space="0" w:color="auto"/>
              <w:left w:val="single" w:sz="4" w:space="0" w:color="auto"/>
              <w:bottom w:val="single" w:sz="4" w:space="0" w:color="auto"/>
              <w:right w:val="single" w:sz="4" w:space="0" w:color="auto"/>
            </w:tcBorders>
          </w:tcPr>
          <w:p w14:paraId="0ADFB3D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0,257</w:t>
            </w:r>
          </w:p>
        </w:tc>
      </w:tr>
    </w:tbl>
    <w:p w14:paraId="6F6122B4" w14:textId="77777777" w:rsidR="002E3CE8" w:rsidRPr="00520861" w:rsidRDefault="002E3CE8" w:rsidP="00292D2E">
      <w:pPr>
        <w:widowControl w:val="0"/>
        <w:spacing w:line="360" w:lineRule="auto"/>
        <w:jc w:val="right"/>
        <w:rPr>
          <w:rFonts w:eastAsiaTheme="minorHAnsi"/>
          <w:sz w:val="28"/>
          <w:szCs w:val="28"/>
          <w:lang w:val="ru-RU" w:eastAsia="en-US"/>
        </w:rPr>
      </w:pPr>
      <w:r w:rsidRPr="00520861">
        <w:rPr>
          <w:rFonts w:eastAsiaTheme="minorHAnsi"/>
          <w:i/>
          <w:sz w:val="28"/>
          <w:szCs w:val="28"/>
          <w:lang w:eastAsia="en-US"/>
        </w:rPr>
        <w:lastRenderedPageBreak/>
        <w:t>Продовження таблиці 5.18</w:t>
      </w:r>
    </w:p>
    <w:tbl>
      <w:tblPr>
        <w:tblStyle w:val="8"/>
        <w:tblW w:w="9472" w:type="dxa"/>
        <w:tblInd w:w="562" w:type="dxa"/>
        <w:tblLayout w:type="fixed"/>
        <w:tblLook w:val="04A0" w:firstRow="1" w:lastRow="0" w:firstColumn="1" w:lastColumn="0" w:noHBand="0" w:noVBand="1"/>
      </w:tblPr>
      <w:tblGrid>
        <w:gridCol w:w="1700"/>
        <w:gridCol w:w="1650"/>
        <w:gridCol w:w="51"/>
        <w:gridCol w:w="1524"/>
        <w:gridCol w:w="9"/>
        <w:gridCol w:w="1264"/>
        <w:gridCol w:w="32"/>
        <w:gridCol w:w="2280"/>
        <w:gridCol w:w="108"/>
        <w:gridCol w:w="854"/>
      </w:tblGrid>
      <w:tr w:rsidR="002E3CE8" w:rsidRPr="00520861" w14:paraId="4E348922" w14:textId="77777777" w:rsidTr="00292D2E">
        <w:tc>
          <w:tcPr>
            <w:tcW w:w="1700" w:type="dxa"/>
            <w:tcBorders>
              <w:left w:val="single" w:sz="4" w:space="0" w:color="auto"/>
              <w:right w:val="single" w:sz="4" w:space="0" w:color="auto"/>
            </w:tcBorders>
          </w:tcPr>
          <w:p w14:paraId="7C7D4B92" w14:textId="77777777" w:rsidR="002E3CE8" w:rsidRPr="00520861" w:rsidRDefault="002E3CE8" w:rsidP="00292D2E">
            <w:pPr>
              <w:widowControl w:val="0"/>
              <w:spacing w:line="360" w:lineRule="auto"/>
              <w:rPr>
                <w:rFonts w:eastAsia="Calibri" w:cs="Times New Roman"/>
                <w:sz w:val="28"/>
                <w:szCs w:val="28"/>
              </w:rPr>
            </w:pPr>
            <w:r w:rsidRPr="00520861">
              <w:rPr>
                <w:rFonts w:eastAsia="Calibri" w:cs="Times New Roman"/>
                <w:sz w:val="28"/>
                <w:szCs w:val="28"/>
              </w:rPr>
              <w:t>1</w:t>
            </w:r>
          </w:p>
        </w:tc>
        <w:tc>
          <w:tcPr>
            <w:tcW w:w="1650" w:type="dxa"/>
            <w:tcBorders>
              <w:top w:val="single" w:sz="4" w:space="0" w:color="auto"/>
              <w:left w:val="single" w:sz="4" w:space="0" w:color="auto"/>
              <w:bottom w:val="single" w:sz="4" w:space="0" w:color="auto"/>
              <w:right w:val="single" w:sz="4" w:space="0" w:color="auto"/>
            </w:tcBorders>
          </w:tcPr>
          <w:p w14:paraId="6DC92DB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w:t>
            </w:r>
          </w:p>
        </w:tc>
        <w:tc>
          <w:tcPr>
            <w:tcW w:w="1575" w:type="dxa"/>
            <w:gridSpan w:val="2"/>
            <w:tcBorders>
              <w:top w:val="single" w:sz="4" w:space="0" w:color="auto"/>
              <w:left w:val="single" w:sz="4" w:space="0" w:color="auto"/>
              <w:bottom w:val="single" w:sz="4" w:space="0" w:color="auto"/>
              <w:right w:val="single" w:sz="4" w:space="0" w:color="auto"/>
            </w:tcBorders>
          </w:tcPr>
          <w:p w14:paraId="59EC24F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w:t>
            </w:r>
          </w:p>
        </w:tc>
        <w:tc>
          <w:tcPr>
            <w:tcW w:w="1305" w:type="dxa"/>
            <w:gridSpan w:val="3"/>
            <w:tcBorders>
              <w:top w:val="single" w:sz="4" w:space="0" w:color="auto"/>
              <w:left w:val="single" w:sz="4" w:space="0" w:color="auto"/>
              <w:bottom w:val="single" w:sz="4" w:space="0" w:color="auto"/>
              <w:right w:val="single" w:sz="4" w:space="0" w:color="auto"/>
            </w:tcBorders>
          </w:tcPr>
          <w:p w14:paraId="5353F7D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w:t>
            </w:r>
          </w:p>
        </w:tc>
        <w:tc>
          <w:tcPr>
            <w:tcW w:w="2280" w:type="dxa"/>
            <w:tcBorders>
              <w:top w:val="single" w:sz="4" w:space="0" w:color="auto"/>
              <w:left w:val="single" w:sz="4" w:space="0" w:color="auto"/>
              <w:bottom w:val="single" w:sz="4" w:space="0" w:color="auto"/>
              <w:right w:val="single" w:sz="4" w:space="0" w:color="auto"/>
            </w:tcBorders>
          </w:tcPr>
          <w:p w14:paraId="5756FB1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w:t>
            </w:r>
          </w:p>
        </w:tc>
        <w:tc>
          <w:tcPr>
            <w:tcW w:w="962" w:type="dxa"/>
            <w:gridSpan w:val="2"/>
            <w:tcBorders>
              <w:top w:val="single" w:sz="4" w:space="0" w:color="auto"/>
              <w:left w:val="single" w:sz="4" w:space="0" w:color="auto"/>
              <w:bottom w:val="single" w:sz="4" w:space="0" w:color="auto"/>
              <w:right w:val="single" w:sz="4" w:space="0" w:color="auto"/>
            </w:tcBorders>
          </w:tcPr>
          <w:p w14:paraId="3EEABBD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6</w:t>
            </w:r>
          </w:p>
        </w:tc>
      </w:tr>
      <w:tr w:rsidR="002E3CE8" w:rsidRPr="00520861" w14:paraId="4BC05C1A" w14:textId="77777777" w:rsidTr="00292D2E">
        <w:tc>
          <w:tcPr>
            <w:tcW w:w="1700" w:type="dxa"/>
            <w:vMerge w:val="restart"/>
            <w:tcBorders>
              <w:left w:val="single" w:sz="4" w:space="0" w:color="auto"/>
              <w:right w:val="single" w:sz="4" w:space="0" w:color="auto"/>
            </w:tcBorders>
          </w:tcPr>
          <w:p w14:paraId="507DC461" w14:textId="77777777" w:rsidR="002E3CE8" w:rsidRPr="00520861" w:rsidRDefault="002E3CE8" w:rsidP="00292D2E">
            <w:pPr>
              <w:widowControl w:val="0"/>
              <w:spacing w:line="360" w:lineRule="auto"/>
              <w:jc w:val="center"/>
              <w:rPr>
                <w:rFonts w:eastAsia="Calibri" w:cs="Times New Roman"/>
                <w:sz w:val="28"/>
                <w:szCs w:val="28"/>
              </w:rPr>
            </w:pPr>
          </w:p>
        </w:tc>
        <w:tc>
          <w:tcPr>
            <w:tcW w:w="7772" w:type="dxa"/>
            <w:gridSpan w:val="9"/>
            <w:tcBorders>
              <w:top w:val="single" w:sz="4" w:space="0" w:color="auto"/>
              <w:left w:val="single" w:sz="4" w:space="0" w:color="auto"/>
              <w:bottom w:val="single" w:sz="4" w:space="0" w:color="auto"/>
              <w:right w:val="single" w:sz="4" w:space="0" w:color="auto"/>
            </w:tcBorders>
          </w:tcPr>
          <w:p w14:paraId="03E38DB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Домінантна модель</w:t>
            </w:r>
          </w:p>
        </w:tc>
      </w:tr>
      <w:tr w:rsidR="002E3CE8" w:rsidRPr="00520861" w14:paraId="1C899D88" w14:textId="77777777" w:rsidTr="00292D2E">
        <w:tc>
          <w:tcPr>
            <w:tcW w:w="1700" w:type="dxa"/>
            <w:vMerge/>
            <w:tcBorders>
              <w:left w:val="single" w:sz="4" w:space="0" w:color="auto"/>
              <w:right w:val="single" w:sz="4" w:space="0" w:color="auto"/>
            </w:tcBorders>
          </w:tcPr>
          <w:p w14:paraId="2D9A3B3F" w14:textId="77777777" w:rsidR="002E3CE8" w:rsidRPr="00520861" w:rsidRDefault="002E3CE8" w:rsidP="00292D2E">
            <w:pPr>
              <w:widowControl w:val="0"/>
              <w:spacing w:line="360" w:lineRule="auto"/>
              <w:jc w:val="center"/>
              <w:rPr>
                <w:rFonts w:eastAsia="Calibri" w:cs="Times New Roman"/>
                <w:sz w:val="28"/>
                <w:szCs w:val="28"/>
              </w:rPr>
            </w:pPr>
          </w:p>
        </w:tc>
        <w:tc>
          <w:tcPr>
            <w:tcW w:w="1701" w:type="dxa"/>
            <w:gridSpan w:val="2"/>
            <w:tcBorders>
              <w:top w:val="single" w:sz="4" w:space="0" w:color="auto"/>
              <w:left w:val="single" w:sz="4" w:space="0" w:color="auto"/>
              <w:bottom w:val="single" w:sz="4" w:space="0" w:color="auto"/>
              <w:right w:val="single" w:sz="4" w:space="0" w:color="auto"/>
            </w:tcBorders>
          </w:tcPr>
          <w:p w14:paraId="10DFA5A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GG </w:t>
            </w:r>
          </w:p>
          <w:p w14:paraId="6EE288E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GA+AA</w:t>
            </w:r>
          </w:p>
        </w:tc>
        <w:tc>
          <w:tcPr>
            <w:tcW w:w="1533" w:type="dxa"/>
            <w:gridSpan w:val="2"/>
            <w:tcBorders>
              <w:top w:val="single" w:sz="4" w:space="0" w:color="auto"/>
              <w:left w:val="single" w:sz="4" w:space="0" w:color="auto"/>
              <w:bottom w:val="single" w:sz="4" w:space="0" w:color="auto"/>
              <w:right w:val="single" w:sz="4" w:space="0" w:color="auto"/>
            </w:tcBorders>
          </w:tcPr>
          <w:p w14:paraId="03AAD73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1,401</w:t>
            </w:r>
          </w:p>
        </w:tc>
        <w:tc>
          <w:tcPr>
            <w:tcW w:w="1264" w:type="dxa"/>
            <w:tcBorders>
              <w:top w:val="single" w:sz="4" w:space="0" w:color="auto"/>
              <w:left w:val="single" w:sz="4" w:space="0" w:color="auto"/>
              <w:bottom w:val="single" w:sz="4" w:space="0" w:color="auto"/>
              <w:right w:val="single" w:sz="4" w:space="0" w:color="auto"/>
            </w:tcBorders>
          </w:tcPr>
          <w:p w14:paraId="4C0F35F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2,679</w:t>
            </w:r>
          </w:p>
          <w:p w14:paraId="7E962E8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0,373</w:t>
            </w:r>
          </w:p>
        </w:tc>
        <w:tc>
          <w:tcPr>
            <w:tcW w:w="2420" w:type="dxa"/>
            <w:gridSpan w:val="3"/>
            <w:tcBorders>
              <w:top w:val="single" w:sz="4" w:space="0" w:color="auto"/>
              <w:left w:val="single" w:sz="4" w:space="0" w:color="auto"/>
              <w:bottom w:val="single" w:sz="4" w:space="0" w:color="auto"/>
              <w:right w:val="single" w:sz="4" w:space="0" w:color="auto"/>
            </w:tcBorders>
          </w:tcPr>
          <w:p w14:paraId="6283DD2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0,698–10,285</w:t>
            </w:r>
          </w:p>
          <w:p w14:paraId="77C8724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0,097–1,434</w:t>
            </w:r>
          </w:p>
        </w:tc>
        <w:tc>
          <w:tcPr>
            <w:tcW w:w="854" w:type="dxa"/>
            <w:tcBorders>
              <w:top w:val="single" w:sz="4" w:space="0" w:color="auto"/>
              <w:left w:val="single" w:sz="4" w:space="0" w:color="auto"/>
              <w:bottom w:val="single" w:sz="4" w:space="0" w:color="auto"/>
              <w:right w:val="single" w:sz="4" w:space="0" w:color="auto"/>
            </w:tcBorders>
          </w:tcPr>
          <w:p w14:paraId="5FD57F8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0,237</w:t>
            </w:r>
          </w:p>
        </w:tc>
      </w:tr>
      <w:tr w:rsidR="002E3CE8" w:rsidRPr="00520861" w14:paraId="7DB98150" w14:textId="77777777" w:rsidTr="00292D2E">
        <w:tc>
          <w:tcPr>
            <w:tcW w:w="1700" w:type="dxa"/>
            <w:vMerge/>
            <w:tcBorders>
              <w:left w:val="single" w:sz="4" w:space="0" w:color="auto"/>
              <w:right w:val="single" w:sz="4" w:space="0" w:color="auto"/>
            </w:tcBorders>
          </w:tcPr>
          <w:p w14:paraId="666D352F" w14:textId="77777777" w:rsidR="002E3CE8" w:rsidRPr="00520861" w:rsidRDefault="002E3CE8" w:rsidP="00292D2E">
            <w:pPr>
              <w:widowControl w:val="0"/>
              <w:spacing w:line="360" w:lineRule="auto"/>
              <w:jc w:val="center"/>
              <w:rPr>
                <w:rFonts w:eastAsia="Calibri" w:cs="Times New Roman"/>
                <w:sz w:val="28"/>
                <w:szCs w:val="28"/>
              </w:rPr>
            </w:pPr>
          </w:p>
        </w:tc>
        <w:tc>
          <w:tcPr>
            <w:tcW w:w="7772" w:type="dxa"/>
            <w:gridSpan w:val="9"/>
            <w:tcBorders>
              <w:top w:val="single" w:sz="4" w:space="0" w:color="auto"/>
              <w:left w:val="single" w:sz="4" w:space="0" w:color="auto"/>
              <w:bottom w:val="single" w:sz="4" w:space="0" w:color="auto"/>
              <w:right w:val="single" w:sz="4" w:space="0" w:color="auto"/>
            </w:tcBorders>
          </w:tcPr>
          <w:p w14:paraId="069E308F" w14:textId="77777777" w:rsidR="002E3CE8" w:rsidRPr="00520861" w:rsidRDefault="002E3CE8" w:rsidP="00292D2E">
            <w:pPr>
              <w:widowControl w:val="0"/>
              <w:spacing w:line="360" w:lineRule="auto"/>
              <w:jc w:val="center"/>
              <w:rPr>
                <w:rFonts w:eastAsia="Calibri" w:cs="Times New Roman"/>
                <w:sz w:val="28"/>
                <w:szCs w:val="28"/>
              </w:rPr>
            </w:pPr>
            <w:proofErr w:type="spellStart"/>
            <w:r w:rsidRPr="00520861">
              <w:rPr>
                <w:rFonts w:eastAsia="Calibri" w:cs="Times New Roman"/>
                <w:sz w:val="28"/>
                <w:szCs w:val="28"/>
              </w:rPr>
              <w:t>Наддомінантна</w:t>
            </w:r>
            <w:proofErr w:type="spellEnd"/>
            <w:r w:rsidRPr="00520861">
              <w:rPr>
                <w:rFonts w:eastAsia="Calibri" w:cs="Times New Roman"/>
                <w:sz w:val="28"/>
                <w:szCs w:val="28"/>
              </w:rPr>
              <w:t xml:space="preserve"> модель</w:t>
            </w:r>
          </w:p>
        </w:tc>
      </w:tr>
      <w:tr w:rsidR="002E3CE8" w:rsidRPr="00520861" w14:paraId="4B25CFED" w14:textId="77777777" w:rsidTr="00292D2E">
        <w:tc>
          <w:tcPr>
            <w:tcW w:w="1700" w:type="dxa"/>
            <w:vMerge/>
            <w:tcBorders>
              <w:left w:val="single" w:sz="4" w:space="0" w:color="auto"/>
              <w:right w:val="single" w:sz="4" w:space="0" w:color="auto"/>
            </w:tcBorders>
          </w:tcPr>
          <w:p w14:paraId="50A2D013" w14:textId="77777777" w:rsidR="002E3CE8" w:rsidRPr="00520861" w:rsidRDefault="002E3CE8" w:rsidP="00292D2E">
            <w:pPr>
              <w:widowControl w:val="0"/>
              <w:spacing w:line="360" w:lineRule="auto"/>
              <w:jc w:val="center"/>
              <w:rPr>
                <w:rFonts w:eastAsia="Calibri" w:cs="Times New Roman"/>
                <w:sz w:val="28"/>
                <w:szCs w:val="28"/>
              </w:rPr>
            </w:pPr>
          </w:p>
        </w:tc>
        <w:tc>
          <w:tcPr>
            <w:tcW w:w="1701" w:type="dxa"/>
            <w:gridSpan w:val="2"/>
            <w:tcBorders>
              <w:top w:val="single" w:sz="4" w:space="0" w:color="auto"/>
              <w:left w:val="single" w:sz="4" w:space="0" w:color="auto"/>
              <w:bottom w:val="single" w:sz="4" w:space="0" w:color="auto"/>
              <w:right w:val="single" w:sz="4" w:space="0" w:color="auto"/>
            </w:tcBorders>
          </w:tcPr>
          <w:p w14:paraId="1115460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GG +AA</w:t>
            </w:r>
          </w:p>
          <w:p w14:paraId="782CBF0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GA</w:t>
            </w:r>
          </w:p>
        </w:tc>
        <w:tc>
          <w:tcPr>
            <w:tcW w:w="1533" w:type="dxa"/>
            <w:gridSpan w:val="2"/>
            <w:tcBorders>
              <w:top w:val="single" w:sz="4" w:space="0" w:color="auto"/>
              <w:left w:val="single" w:sz="4" w:space="0" w:color="auto"/>
              <w:bottom w:val="single" w:sz="4" w:space="0" w:color="auto"/>
              <w:right w:val="single" w:sz="4" w:space="0" w:color="auto"/>
            </w:tcBorders>
          </w:tcPr>
          <w:p w14:paraId="67A86D3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4,846</w:t>
            </w:r>
          </w:p>
        </w:tc>
        <w:tc>
          <w:tcPr>
            <w:tcW w:w="1264" w:type="dxa"/>
            <w:tcBorders>
              <w:top w:val="single" w:sz="4" w:space="0" w:color="auto"/>
              <w:left w:val="single" w:sz="4" w:space="0" w:color="auto"/>
              <w:bottom w:val="single" w:sz="4" w:space="0" w:color="auto"/>
              <w:right w:val="single" w:sz="4" w:space="0" w:color="auto"/>
            </w:tcBorders>
          </w:tcPr>
          <w:p w14:paraId="4373C24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4,581</w:t>
            </w:r>
          </w:p>
          <w:p w14:paraId="4AF221E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0,218</w:t>
            </w:r>
          </w:p>
        </w:tc>
        <w:tc>
          <w:tcPr>
            <w:tcW w:w="2420" w:type="dxa"/>
            <w:gridSpan w:val="3"/>
            <w:tcBorders>
              <w:top w:val="single" w:sz="4" w:space="0" w:color="auto"/>
              <w:left w:val="single" w:sz="4" w:space="0" w:color="auto"/>
              <w:bottom w:val="single" w:sz="4" w:space="0" w:color="auto"/>
              <w:right w:val="single" w:sz="4" w:space="0" w:color="auto"/>
            </w:tcBorders>
          </w:tcPr>
          <w:p w14:paraId="460C30A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1,280–16,390</w:t>
            </w:r>
          </w:p>
          <w:p w14:paraId="5CB443C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0,061–0,781</w:t>
            </w:r>
          </w:p>
        </w:tc>
        <w:tc>
          <w:tcPr>
            <w:tcW w:w="854" w:type="dxa"/>
            <w:tcBorders>
              <w:top w:val="single" w:sz="4" w:space="0" w:color="auto"/>
              <w:left w:val="single" w:sz="4" w:space="0" w:color="auto"/>
              <w:bottom w:val="single" w:sz="4" w:space="0" w:color="auto"/>
              <w:right w:val="single" w:sz="4" w:space="0" w:color="auto"/>
            </w:tcBorders>
          </w:tcPr>
          <w:p w14:paraId="0A99D8F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0,028</w:t>
            </w:r>
          </w:p>
        </w:tc>
      </w:tr>
      <w:tr w:rsidR="002E3CE8" w:rsidRPr="00520861" w14:paraId="61E39291" w14:textId="77777777" w:rsidTr="00292D2E">
        <w:tc>
          <w:tcPr>
            <w:tcW w:w="1700" w:type="dxa"/>
            <w:vMerge/>
            <w:tcBorders>
              <w:left w:val="single" w:sz="4" w:space="0" w:color="auto"/>
              <w:right w:val="single" w:sz="4" w:space="0" w:color="auto"/>
            </w:tcBorders>
          </w:tcPr>
          <w:p w14:paraId="04A6A087" w14:textId="77777777" w:rsidR="002E3CE8" w:rsidRPr="00520861" w:rsidRDefault="002E3CE8" w:rsidP="00292D2E">
            <w:pPr>
              <w:widowControl w:val="0"/>
              <w:spacing w:line="360" w:lineRule="auto"/>
              <w:jc w:val="center"/>
              <w:rPr>
                <w:rFonts w:eastAsia="Calibri" w:cs="Times New Roman"/>
                <w:sz w:val="28"/>
                <w:szCs w:val="28"/>
              </w:rPr>
            </w:pPr>
          </w:p>
        </w:tc>
        <w:tc>
          <w:tcPr>
            <w:tcW w:w="7772" w:type="dxa"/>
            <w:gridSpan w:val="9"/>
            <w:tcBorders>
              <w:top w:val="single" w:sz="4" w:space="0" w:color="auto"/>
              <w:left w:val="single" w:sz="4" w:space="0" w:color="auto"/>
              <w:bottom w:val="single" w:sz="4" w:space="0" w:color="auto"/>
              <w:right w:val="single" w:sz="4" w:space="0" w:color="auto"/>
            </w:tcBorders>
          </w:tcPr>
          <w:p w14:paraId="0768FDF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Мультиплікативна модель</w:t>
            </w:r>
          </w:p>
        </w:tc>
      </w:tr>
      <w:tr w:rsidR="002E3CE8" w:rsidRPr="00520861" w14:paraId="0318B562" w14:textId="77777777" w:rsidTr="00292D2E">
        <w:tc>
          <w:tcPr>
            <w:tcW w:w="1700" w:type="dxa"/>
            <w:vMerge/>
            <w:tcBorders>
              <w:left w:val="single" w:sz="4" w:space="0" w:color="auto"/>
              <w:bottom w:val="single" w:sz="4" w:space="0" w:color="auto"/>
              <w:right w:val="single" w:sz="4" w:space="0" w:color="auto"/>
            </w:tcBorders>
          </w:tcPr>
          <w:p w14:paraId="727ABA76" w14:textId="77777777" w:rsidR="002E3CE8" w:rsidRPr="00520861" w:rsidRDefault="002E3CE8" w:rsidP="00292D2E">
            <w:pPr>
              <w:widowControl w:val="0"/>
              <w:spacing w:line="360" w:lineRule="auto"/>
              <w:jc w:val="center"/>
              <w:rPr>
                <w:rFonts w:eastAsia="Calibri" w:cs="Times New Roman"/>
                <w:sz w:val="28"/>
                <w:szCs w:val="28"/>
              </w:rPr>
            </w:pPr>
          </w:p>
        </w:tc>
        <w:tc>
          <w:tcPr>
            <w:tcW w:w="1701" w:type="dxa"/>
            <w:gridSpan w:val="2"/>
            <w:tcBorders>
              <w:top w:val="single" w:sz="4" w:space="0" w:color="auto"/>
              <w:left w:val="single" w:sz="4" w:space="0" w:color="auto"/>
              <w:bottom w:val="single" w:sz="4" w:space="0" w:color="auto"/>
              <w:right w:val="single" w:sz="4" w:space="0" w:color="auto"/>
            </w:tcBorders>
          </w:tcPr>
          <w:p w14:paraId="69502F6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G </w:t>
            </w:r>
          </w:p>
          <w:p w14:paraId="4436BFC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w:t>
            </w:r>
          </w:p>
        </w:tc>
        <w:tc>
          <w:tcPr>
            <w:tcW w:w="1533" w:type="dxa"/>
            <w:gridSpan w:val="2"/>
            <w:tcBorders>
              <w:top w:val="single" w:sz="4" w:space="0" w:color="auto"/>
              <w:left w:val="single" w:sz="4" w:space="0" w:color="auto"/>
              <w:bottom w:val="single" w:sz="4" w:space="0" w:color="auto"/>
              <w:right w:val="single" w:sz="4" w:space="0" w:color="auto"/>
            </w:tcBorders>
          </w:tcPr>
          <w:p w14:paraId="03692FA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0,050</w:t>
            </w:r>
          </w:p>
        </w:tc>
        <w:tc>
          <w:tcPr>
            <w:tcW w:w="1264" w:type="dxa"/>
            <w:tcBorders>
              <w:top w:val="single" w:sz="4" w:space="0" w:color="auto"/>
              <w:left w:val="single" w:sz="4" w:space="0" w:color="auto"/>
              <w:bottom w:val="single" w:sz="4" w:space="0" w:color="auto"/>
              <w:right w:val="single" w:sz="4" w:space="0" w:color="auto"/>
            </w:tcBorders>
          </w:tcPr>
          <w:p w14:paraId="75570AF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1,092</w:t>
            </w:r>
          </w:p>
          <w:p w14:paraId="274D718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0,916</w:t>
            </w:r>
          </w:p>
        </w:tc>
        <w:tc>
          <w:tcPr>
            <w:tcW w:w="2420" w:type="dxa"/>
            <w:gridSpan w:val="3"/>
            <w:tcBorders>
              <w:top w:val="single" w:sz="4" w:space="0" w:color="auto"/>
              <w:left w:val="single" w:sz="4" w:space="0" w:color="auto"/>
              <w:bottom w:val="single" w:sz="4" w:space="0" w:color="auto"/>
              <w:right w:val="single" w:sz="4" w:space="0" w:color="auto"/>
            </w:tcBorders>
          </w:tcPr>
          <w:p w14:paraId="6108941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0,504–2,362</w:t>
            </w:r>
          </w:p>
          <w:p w14:paraId="2127217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0,423–1,982</w:t>
            </w:r>
          </w:p>
        </w:tc>
        <w:tc>
          <w:tcPr>
            <w:tcW w:w="854" w:type="dxa"/>
            <w:tcBorders>
              <w:top w:val="single" w:sz="4" w:space="0" w:color="auto"/>
              <w:left w:val="single" w:sz="4" w:space="0" w:color="auto"/>
              <w:bottom w:val="single" w:sz="4" w:space="0" w:color="auto"/>
              <w:right w:val="single" w:sz="4" w:space="0" w:color="auto"/>
            </w:tcBorders>
          </w:tcPr>
          <w:p w14:paraId="753B682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0,824</w:t>
            </w:r>
          </w:p>
        </w:tc>
      </w:tr>
    </w:tbl>
    <w:p w14:paraId="65F33010" w14:textId="77777777" w:rsidR="002E3CE8" w:rsidRPr="00520861" w:rsidRDefault="002E3CE8" w:rsidP="00292D2E">
      <w:pPr>
        <w:widowControl w:val="0"/>
        <w:spacing w:line="360" w:lineRule="auto"/>
        <w:ind w:firstLine="709"/>
        <w:jc w:val="both"/>
        <w:rPr>
          <w:rFonts w:eastAsia="Calibri"/>
          <w:sz w:val="28"/>
          <w:szCs w:val="28"/>
          <w:lang w:eastAsia="en-US"/>
        </w:rPr>
      </w:pPr>
    </w:p>
    <w:p w14:paraId="3D87D040" w14:textId="77777777" w:rsidR="002E3CE8" w:rsidRPr="00520861" w:rsidRDefault="002E3CE8" w:rsidP="00292D2E">
      <w:pPr>
        <w:widowControl w:val="0"/>
        <w:spacing w:line="360" w:lineRule="auto"/>
        <w:ind w:firstLine="709"/>
        <w:jc w:val="right"/>
        <w:rPr>
          <w:rFonts w:eastAsia="Calibri"/>
          <w:i/>
          <w:sz w:val="28"/>
          <w:szCs w:val="28"/>
          <w:lang w:eastAsia="en-US"/>
        </w:rPr>
      </w:pPr>
      <w:r w:rsidRPr="00520861">
        <w:rPr>
          <w:rFonts w:eastAsia="Calibri"/>
          <w:i/>
          <w:sz w:val="28"/>
          <w:szCs w:val="28"/>
          <w:lang w:eastAsia="en-US"/>
        </w:rPr>
        <w:t>Таблиця 5.19</w:t>
      </w:r>
    </w:p>
    <w:p w14:paraId="1E4CEA17" w14:textId="77777777" w:rsidR="002E3CE8" w:rsidRPr="00520861" w:rsidRDefault="002E3CE8" w:rsidP="00292D2E">
      <w:pPr>
        <w:widowControl w:val="0"/>
        <w:spacing w:after="40" w:line="276" w:lineRule="auto"/>
        <w:ind w:firstLine="709"/>
        <w:jc w:val="center"/>
        <w:rPr>
          <w:rFonts w:eastAsiaTheme="minorHAnsi"/>
          <w:i/>
          <w:sz w:val="28"/>
          <w:szCs w:val="28"/>
          <w:lang w:eastAsia="en-US"/>
        </w:rPr>
      </w:pPr>
      <w:r w:rsidRPr="00520861">
        <w:rPr>
          <w:rFonts w:eastAsiaTheme="minorHAnsi"/>
          <w:b/>
          <w:sz w:val="28"/>
          <w:szCs w:val="28"/>
          <w:lang w:eastAsia="en-US"/>
        </w:rPr>
        <w:t>Порівняння частот розподілу поліморфних варіантів за геном</w:t>
      </w:r>
      <w:r w:rsidRPr="00520861">
        <w:rPr>
          <w:rFonts w:eastAsiaTheme="minorHAnsi"/>
          <w:i/>
          <w:sz w:val="28"/>
          <w:szCs w:val="28"/>
          <w:lang w:eastAsia="en-US"/>
        </w:rPr>
        <w:t xml:space="preserve"> </w:t>
      </w:r>
    </w:p>
    <w:p w14:paraId="07BD28BC" w14:textId="77777777" w:rsidR="002E3CE8" w:rsidRPr="00520861" w:rsidRDefault="002E3CE8" w:rsidP="00292D2E">
      <w:pPr>
        <w:widowControl w:val="0"/>
        <w:spacing w:line="360" w:lineRule="auto"/>
        <w:ind w:firstLine="709"/>
        <w:jc w:val="center"/>
        <w:rPr>
          <w:rFonts w:eastAsiaTheme="minorHAnsi"/>
          <w:b/>
          <w:sz w:val="28"/>
          <w:szCs w:val="28"/>
          <w:lang w:eastAsia="en-US"/>
        </w:rPr>
      </w:pPr>
      <w:r w:rsidRPr="00520861">
        <w:rPr>
          <w:rFonts w:eastAsiaTheme="minorHAnsi"/>
          <w:b/>
          <w:i/>
          <w:sz w:val="28"/>
          <w:szCs w:val="28"/>
          <w:lang w:eastAsia="en-US"/>
        </w:rPr>
        <w:t>IL10: -1082 G&gt;A</w:t>
      </w:r>
      <w:r w:rsidRPr="00520861">
        <w:rPr>
          <w:rFonts w:eastAsiaTheme="minorHAnsi"/>
          <w:b/>
          <w:sz w:val="28"/>
          <w:szCs w:val="28"/>
          <w:lang w:eastAsia="en-US"/>
        </w:rPr>
        <w:t xml:space="preserve"> [rs1800896] в осіб ГЗП 31 </w:t>
      </w:r>
      <w:r w:rsidRPr="00520861">
        <w:rPr>
          <w:rFonts w:eastAsia="Calibri"/>
          <w:b/>
          <w:sz w:val="28"/>
          <w:szCs w:val="28"/>
          <w:lang w:eastAsia="en-US"/>
        </w:rPr>
        <w:t xml:space="preserve">– </w:t>
      </w:r>
      <w:r w:rsidRPr="00520861">
        <w:rPr>
          <w:rFonts w:eastAsiaTheme="minorHAnsi"/>
          <w:b/>
          <w:sz w:val="28"/>
          <w:szCs w:val="28"/>
          <w:lang w:eastAsia="en-US"/>
        </w:rPr>
        <w:t>35 і ГП II</w:t>
      </w:r>
    </w:p>
    <w:tbl>
      <w:tblPr>
        <w:tblStyle w:val="8"/>
        <w:tblW w:w="9497" w:type="dxa"/>
        <w:tblInd w:w="534" w:type="dxa"/>
        <w:tblLayout w:type="fixed"/>
        <w:tblLook w:val="04A0" w:firstRow="1" w:lastRow="0" w:firstColumn="1" w:lastColumn="0" w:noHBand="0" w:noVBand="1"/>
      </w:tblPr>
      <w:tblGrid>
        <w:gridCol w:w="1700"/>
        <w:gridCol w:w="1700"/>
        <w:gridCol w:w="1561"/>
        <w:gridCol w:w="1134"/>
        <w:gridCol w:w="2551"/>
        <w:gridCol w:w="851"/>
      </w:tblGrid>
      <w:tr w:rsidR="002E3CE8" w:rsidRPr="00520861" w14:paraId="6B91CDF6" w14:textId="77777777" w:rsidTr="00292D2E">
        <w:tc>
          <w:tcPr>
            <w:tcW w:w="1700" w:type="dxa"/>
            <w:vMerge w:val="restart"/>
            <w:tcBorders>
              <w:top w:val="single" w:sz="4" w:space="0" w:color="auto"/>
              <w:left w:val="single" w:sz="4" w:space="0" w:color="auto"/>
              <w:bottom w:val="single" w:sz="4" w:space="0" w:color="auto"/>
              <w:right w:val="single" w:sz="4" w:space="0" w:color="auto"/>
            </w:tcBorders>
            <w:hideMark/>
          </w:tcPr>
          <w:p w14:paraId="7ED0667F" w14:textId="77777777" w:rsidR="002E3CE8" w:rsidRPr="00520861" w:rsidRDefault="002E3CE8" w:rsidP="00292D2E">
            <w:pPr>
              <w:widowControl w:val="0"/>
              <w:spacing w:line="360" w:lineRule="auto"/>
              <w:rPr>
                <w:rFonts w:eastAsia="Calibri" w:cs="Times New Roman"/>
                <w:sz w:val="28"/>
                <w:szCs w:val="28"/>
              </w:rPr>
            </w:pPr>
            <w:r w:rsidRPr="00520861">
              <w:rPr>
                <w:rFonts w:eastAsia="Calibri" w:cs="Times New Roman"/>
                <w:sz w:val="28"/>
                <w:szCs w:val="28"/>
              </w:rPr>
              <w:t>Ген</w:t>
            </w:r>
          </w:p>
        </w:tc>
        <w:tc>
          <w:tcPr>
            <w:tcW w:w="1700" w:type="dxa"/>
            <w:vMerge w:val="restart"/>
            <w:tcBorders>
              <w:top w:val="single" w:sz="4" w:space="0" w:color="auto"/>
              <w:left w:val="single" w:sz="4" w:space="0" w:color="auto"/>
              <w:bottom w:val="single" w:sz="4" w:space="0" w:color="auto"/>
              <w:right w:val="single" w:sz="4" w:space="0" w:color="auto"/>
            </w:tcBorders>
            <w:hideMark/>
          </w:tcPr>
          <w:p w14:paraId="1BF90AC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Поліморфні варіанти</w:t>
            </w:r>
          </w:p>
        </w:tc>
        <w:tc>
          <w:tcPr>
            <w:tcW w:w="6097" w:type="dxa"/>
            <w:gridSpan w:val="4"/>
            <w:tcBorders>
              <w:top w:val="single" w:sz="4" w:space="0" w:color="auto"/>
              <w:left w:val="single" w:sz="4" w:space="0" w:color="auto"/>
              <w:bottom w:val="single" w:sz="4" w:space="0" w:color="auto"/>
              <w:right w:val="single" w:sz="4" w:space="0" w:color="auto"/>
            </w:tcBorders>
            <w:hideMark/>
          </w:tcPr>
          <w:p w14:paraId="3C202D4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Результати </w:t>
            </w:r>
          </w:p>
          <w:p w14:paraId="39757EE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статистичного аналізу</w:t>
            </w:r>
          </w:p>
        </w:tc>
      </w:tr>
      <w:tr w:rsidR="002E3CE8" w:rsidRPr="00520861" w14:paraId="4F4DDB28" w14:textId="77777777" w:rsidTr="00292D2E">
        <w:tc>
          <w:tcPr>
            <w:tcW w:w="1700" w:type="dxa"/>
            <w:vMerge/>
            <w:tcBorders>
              <w:top w:val="single" w:sz="4" w:space="0" w:color="auto"/>
              <w:left w:val="single" w:sz="4" w:space="0" w:color="auto"/>
              <w:bottom w:val="single" w:sz="4" w:space="0" w:color="auto"/>
              <w:right w:val="single" w:sz="4" w:space="0" w:color="auto"/>
            </w:tcBorders>
            <w:vAlign w:val="center"/>
            <w:hideMark/>
          </w:tcPr>
          <w:p w14:paraId="53974E1A" w14:textId="77777777" w:rsidR="002E3CE8" w:rsidRPr="00520861" w:rsidRDefault="002E3CE8" w:rsidP="00292D2E">
            <w:pPr>
              <w:widowControl w:val="0"/>
              <w:spacing w:line="360" w:lineRule="auto"/>
              <w:rPr>
                <w:rFonts w:eastAsia="Calibri" w:cs="Times New Roman"/>
                <w:sz w:val="28"/>
                <w:szCs w:val="28"/>
              </w:rPr>
            </w:pPr>
          </w:p>
        </w:tc>
        <w:tc>
          <w:tcPr>
            <w:tcW w:w="1700" w:type="dxa"/>
            <w:vMerge/>
            <w:tcBorders>
              <w:top w:val="single" w:sz="4" w:space="0" w:color="auto"/>
              <w:left w:val="single" w:sz="4" w:space="0" w:color="auto"/>
              <w:bottom w:val="single" w:sz="4" w:space="0" w:color="auto"/>
              <w:right w:val="single" w:sz="4" w:space="0" w:color="auto"/>
            </w:tcBorders>
            <w:vAlign w:val="center"/>
            <w:hideMark/>
          </w:tcPr>
          <w:p w14:paraId="6E9C1F79" w14:textId="77777777" w:rsidR="002E3CE8" w:rsidRPr="00520861" w:rsidRDefault="002E3CE8" w:rsidP="00292D2E">
            <w:pPr>
              <w:widowControl w:val="0"/>
              <w:spacing w:line="360" w:lineRule="auto"/>
              <w:jc w:val="center"/>
              <w:rPr>
                <w:rFonts w:eastAsia="Calibri" w:cs="Times New Roman"/>
                <w:sz w:val="28"/>
                <w:szCs w:val="28"/>
              </w:rPr>
            </w:pPr>
          </w:p>
        </w:tc>
        <w:tc>
          <w:tcPr>
            <w:tcW w:w="1561" w:type="dxa"/>
            <w:tcBorders>
              <w:top w:val="single" w:sz="4" w:space="0" w:color="auto"/>
              <w:left w:val="single" w:sz="4" w:space="0" w:color="auto"/>
              <w:bottom w:val="single" w:sz="4" w:space="0" w:color="auto"/>
              <w:right w:val="single" w:sz="4" w:space="0" w:color="auto"/>
            </w:tcBorders>
            <w:hideMark/>
          </w:tcPr>
          <w:p w14:paraId="7670519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sym w:font="Symbol" w:char="F063"/>
            </w:r>
            <w:r w:rsidRPr="00520861">
              <w:rPr>
                <w:rFonts w:eastAsia="Calibri" w:cs="Times New Roman"/>
                <w:sz w:val="28"/>
                <w:szCs w:val="28"/>
                <w:vertAlign w:val="superscript"/>
              </w:rPr>
              <w:t>2</w:t>
            </w:r>
            <w:r w:rsidRPr="00520861">
              <w:rPr>
                <w:rFonts w:eastAsia="Calibri" w:cs="Times New Roman"/>
                <w:sz w:val="28"/>
                <w:szCs w:val="28"/>
              </w:rPr>
              <w:t xml:space="preserve"> (</w:t>
            </w:r>
            <w:proofErr w:type="spellStart"/>
            <w:r w:rsidRPr="00520861">
              <w:rPr>
                <w:rFonts w:eastAsia="Calibri" w:cs="Times New Roman"/>
                <w:sz w:val="28"/>
                <w:szCs w:val="28"/>
              </w:rPr>
              <w:t>Йєтс</w:t>
            </w:r>
            <w:proofErr w:type="spellEnd"/>
            <w:r w:rsidRPr="00520861">
              <w:rPr>
                <w:rFonts w:eastAsia="Calibri" w:cs="Times New Roman"/>
                <w:sz w:val="28"/>
                <w:szCs w:val="28"/>
              </w:rPr>
              <w:t>)</w:t>
            </w:r>
          </w:p>
        </w:tc>
        <w:tc>
          <w:tcPr>
            <w:tcW w:w="1134" w:type="dxa"/>
            <w:tcBorders>
              <w:top w:val="single" w:sz="4" w:space="0" w:color="auto"/>
              <w:left w:val="single" w:sz="4" w:space="0" w:color="auto"/>
              <w:bottom w:val="single" w:sz="4" w:space="0" w:color="auto"/>
              <w:right w:val="single" w:sz="4" w:space="0" w:color="auto"/>
            </w:tcBorders>
            <w:hideMark/>
          </w:tcPr>
          <w:p w14:paraId="4DF7697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ВШ</w:t>
            </w:r>
          </w:p>
        </w:tc>
        <w:tc>
          <w:tcPr>
            <w:tcW w:w="2551" w:type="dxa"/>
            <w:tcBorders>
              <w:top w:val="single" w:sz="4" w:space="0" w:color="auto"/>
              <w:left w:val="single" w:sz="4" w:space="0" w:color="auto"/>
              <w:bottom w:val="single" w:sz="4" w:space="0" w:color="auto"/>
              <w:right w:val="single" w:sz="4" w:space="0" w:color="auto"/>
            </w:tcBorders>
            <w:hideMark/>
          </w:tcPr>
          <w:p w14:paraId="2796096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95% ДІ</w:t>
            </w:r>
          </w:p>
        </w:tc>
        <w:tc>
          <w:tcPr>
            <w:tcW w:w="851" w:type="dxa"/>
            <w:tcBorders>
              <w:top w:val="single" w:sz="4" w:space="0" w:color="auto"/>
              <w:left w:val="single" w:sz="4" w:space="0" w:color="auto"/>
              <w:bottom w:val="single" w:sz="4" w:space="0" w:color="auto"/>
              <w:right w:val="single" w:sz="4" w:space="0" w:color="auto"/>
            </w:tcBorders>
            <w:hideMark/>
          </w:tcPr>
          <w:p w14:paraId="41F42C22" w14:textId="77777777" w:rsidR="002E3CE8" w:rsidRPr="00520861" w:rsidRDefault="002E3CE8" w:rsidP="00292D2E">
            <w:pPr>
              <w:widowControl w:val="0"/>
              <w:spacing w:line="360" w:lineRule="auto"/>
              <w:jc w:val="center"/>
              <w:rPr>
                <w:rFonts w:eastAsia="Calibri" w:cs="Times New Roman"/>
                <w:i/>
                <w:sz w:val="28"/>
                <w:szCs w:val="28"/>
              </w:rPr>
            </w:pPr>
            <w:r w:rsidRPr="00520861">
              <w:rPr>
                <w:rFonts w:eastAsia="Calibri" w:cs="Times New Roman"/>
                <w:i/>
                <w:sz w:val="28"/>
                <w:szCs w:val="28"/>
              </w:rPr>
              <w:t>P</w:t>
            </w:r>
          </w:p>
        </w:tc>
      </w:tr>
      <w:tr w:rsidR="002E3CE8" w:rsidRPr="00520861" w14:paraId="66691B53" w14:textId="77777777" w:rsidTr="00292D2E">
        <w:tc>
          <w:tcPr>
            <w:tcW w:w="1700" w:type="dxa"/>
            <w:tcBorders>
              <w:top w:val="single" w:sz="4" w:space="0" w:color="auto"/>
              <w:left w:val="single" w:sz="4" w:space="0" w:color="auto"/>
              <w:bottom w:val="single" w:sz="4" w:space="0" w:color="auto"/>
              <w:right w:val="single" w:sz="4" w:space="0" w:color="auto"/>
            </w:tcBorders>
            <w:vAlign w:val="center"/>
          </w:tcPr>
          <w:p w14:paraId="78DD8051" w14:textId="77777777" w:rsidR="002E3CE8" w:rsidRPr="00520861" w:rsidRDefault="002E3CE8" w:rsidP="00292D2E">
            <w:pPr>
              <w:widowControl w:val="0"/>
              <w:spacing w:line="360" w:lineRule="auto"/>
              <w:rPr>
                <w:rFonts w:eastAsia="Calibri" w:cs="Times New Roman"/>
                <w:sz w:val="28"/>
                <w:szCs w:val="28"/>
              </w:rPr>
            </w:pPr>
            <w:r w:rsidRPr="00520861">
              <w:rPr>
                <w:rFonts w:eastAsia="Calibri" w:cs="Times New Roman"/>
                <w:sz w:val="28"/>
                <w:szCs w:val="28"/>
              </w:rPr>
              <w:t>1</w:t>
            </w:r>
          </w:p>
        </w:tc>
        <w:tc>
          <w:tcPr>
            <w:tcW w:w="1700" w:type="dxa"/>
            <w:tcBorders>
              <w:top w:val="single" w:sz="4" w:space="0" w:color="auto"/>
              <w:left w:val="single" w:sz="4" w:space="0" w:color="auto"/>
              <w:bottom w:val="single" w:sz="4" w:space="0" w:color="auto"/>
              <w:right w:val="single" w:sz="4" w:space="0" w:color="auto"/>
            </w:tcBorders>
            <w:vAlign w:val="center"/>
          </w:tcPr>
          <w:p w14:paraId="6490AE1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w:t>
            </w:r>
          </w:p>
        </w:tc>
        <w:tc>
          <w:tcPr>
            <w:tcW w:w="1561" w:type="dxa"/>
            <w:tcBorders>
              <w:top w:val="single" w:sz="4" w:space="0" w:color="auto"/>
              <w:left w:val="single" w:sz="4" w:space="0" w:color="auto"/>
              <w:bottom w:val="single" w:sz="4" w:space="0" w:color="auto"/>
              <w:right w:val="single" w:sz="4" w:space="0" w:color="auto"/>
            </w:tcBorders>
          </w:tcPr>
          <w:p w14:paraId="1D74972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w:t>
            </w:r>
          </w:p>
        </w:tc>
        <w:tc>
          <w:tcPr>
            <w:tcW w:w="1134" w:type="dxa"/>
            <w:tcBorders>
              <w:top w:val="single" w:sz="4" w:space="0" w:color="auto"/>
              <w:left w:val="single" w:sz="4" w:space="0" w:color="auto"/>
              <w:bottom w:val="single" w:sz="4" w:space="0" w:color="auto"/>
              <w:right w:val="single" w:sz="4" w:space="0" w:color="auto"/>
            </w:tcBorders>
          </w:tcPr>
          <w:p w14:paraId="1CD6ABD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w:t>
            </w:r>
          </w:p>
        </w:tc>
        <w:tc>
          <w:tcPr>
            <w:tcW w:w="2551" w:type="dxa"/>
            <w:tcBorders>
              <w:top w:val="single" w:sz="4" w:space="0" w:color="auto"/>
              <w:left w:val="single" w:sz="4" w:space="0" w:color="auto"/>
              <w:bottom w:val="single" w:sz="4" w:space="0" w:color="auto"/>
              <w:right w:val="single" w:sz="4" w:space="0" w:color="auto"/>
            </w:tcBorders>
          </w:tcPr>
          <w:p w14:paraId="728B7C0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w:t>
            </w:r>
          </w:p>
        </w:tc>
        <w:tc>
          <w:tcPr>
            <w:tcW w:w="851" w:type="dxa"/>
            <w:tcBorders>
              <w:top w:val="single" w:sz="4" w:space="0" w:color="auto"/>
              <w:left w:val="single" w:sz="4" w:space="0" w:color="auto"/>
              <w:bottom w:val="single" w:sz="4" w:space="0" w:color="auto"/>
              <w:right w:val="single" w:sz="4" w:space="0" w:color="auto"/>
            </w:tcBorders>
          </w:tcPr>
          <w:p w14:paraId="6C21C400" w14:textId="77777777" w:rsidR="002E3CE8" w:rsidRPr="00520861" w:rsidRDefault="002E3CE8" w:rsidP="00292D2E">
            <w:pPr>
              <w:widowControl w:val="0"/>
              <w:spacing w:line="360" w:lineRule="auto"/>
              <w:jc w:val="center"/>
              <w:rPr>
                <w:rFonts w:eastAsia="Calibri" w:cs="Times New Roman"/>
                <w:i/>
                <w:sz w:val="28"/>
                <w:szCs w:val="28"/>
              </w:rPr>
            </w:pPr>
            <w:r w:rsidRPr="00520861">
              <w:rPr>
                <w:rFonts w:eastAsia="Calibri" w:cs="Times New Roman"/>
                <w:i/>
                <w:sz w:val="28"/>
                <w:szCs w:val="28"/>
              </w:rPr>
              <w:t>6</w:t>
            </w:r>
          </w:p>
        </w:tc>
      </w:tr>
      <w:tr w:rsidR="002E3CE8" w:rsidRPr="00520861" w14:paraId="7B6DDAD8" w14:textId="77777777" w:rsidTr="00292D2E">
        <w:tc>
          <w:tcPr>
            <w:tcW w:w="1700" w:type="dxa"/>
            <w:vMerge w:val="restart"/>
            <w:tcBorders>
              <w:top w:val="single" w:sz="4" w:space="0" w:color="auto"/>
              <w:left w:val="single" w:sz="4" w:space="0" w:color="auto"/>
              <w:right w:val="single" w:sz="4" w:space="0" w:color="auto"/>
            </w:tcBorders>
          </w:tcPr>
          <w:p w14:paraId="694A2B92" w14:textId="77777777" w:rsidR="002E3CE8" w:rsidRPr="00520861" w:rsidRDefault="002E3CE8" w:rsidP="00292D2E">
            <w:pPr>
              <w:widowControl w:val="0"/>
              <w:spacing w:line="360" w:lineRule="auto"/>
              <w:jc w:val="center"/>
              <w:rPr>
                <w:rFonts w:eastAsia="Calibri" w:cs="Times New Roman"/>
                <w:i/>
                <w:sz w:val="28"/>
                <w:szCs w:val="28"/>
              </w:rPr>
            </w:pPr>
            <w:r w:rsidRPr="00520861">
              <w:rPr>
                <w:rFonts w:eastAsia="Calibri" w:cs="Times New Roman"/>
                <w:i/>
                <w:sz w:val="28"/>
                <w:szCs w:val="28"/>
              </w:rPr>
              <w:t>IL10: -1082</w:t>
            </w:r>
          </w:p>
          <w:p w14:paraId="5D7679D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i/>
                <w:sz w:val="28"/>
                <w:szCs w:val="28"/>
              </w:rPr>
              <w:t>G</w:t>
            </w:r>
            <w:r w:rsidRPr="00520861">
              <w:rPr>
                <w:rFonts w:eastAsia="Calibri" w:cs="Times New Roman"/>
                <w:sz w:val="28"/>
                <w:szCs w:val="28"/>
              </w:rPr>
              <w:t>&gt;</w:t>
            </w:r>
            <w:r w:rsidRPr="00520861">
              <w:rPr>
                <w:rFonts w:eastAsia="Calibri" w:cs="Times New Roman"/>
                <w:i/>
                <w:sz w:val="28"/>
                <w:szCs w:val="28"/>
              </w:rPr>
              <w:t>A</w:t>
            </w:r>
            <w:r w:rsidRPr="00520861">
              <w:rPr>
                <w:rFonts w:eastAsia="Calibri" w:cs="Times New Roman"/>
                <w:sz w:val="28"/>
                <w:szCs w:val="28"/>
              </w:rPr>
              <w:t xml:space="preserve"> [rs1800896]</w:t>
            </w:r>
          </w:p>
        </w:tc>
        <w:tc>
          <w:tcPr>
            <w:tcW w:w="7797" w:type="dxa"/>
            <w:gridSpan w:val="5"/>
            <w:tcBorders>
              <w:top w:val="single" w:sz="4" w:space="0" w:color="auto"/>
              <w:left w:val="single" w:sz="4" w:space="0" w:color="auto"/>
              <w:bottom w:val="single" w:sz="4" w:space="0" w:color="auto"/>
              <w:right w:val="single" w:sz="4" w:space="0" w:color="auto"/>
            </w:tcBorders>
          </w:tcPr>
          <w:p w14:paraId="252E473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Адитивна модель</w:t>
            </w:r>
          </w:p>
        </w:tc>
      </w:tr>
      <w:tr w:rsidR="002E3CE8" w:rsidRPr="00520861" w14:paraId="29389D62" w14:textId="77777777" w:rsidTr="00292D2E">
        <w:tc>
          <w:tcPr>
            <w:tcW w:w="1700" w:type="dxa"/>
            <w:vMerge/>
            <w:tcBorders>
              <w:left w:val="single" w:sz="4" w:space="0" w:color="auto"/>
              <w:right w:val="single" w:sz="4" w:space="0" w:color="auto"/>
            </w:tcBorders>
            <w:hideMark/>
          </w:tcPr>
          <w:p w14:paraId="40718B94" w14:textId="77777777" w:rsidR="002E3CE8" w:rsidRPr="00520861" w:rsidRDefault="002E3CE8" w:rsidP="00292D2E">
            <w:pPr>
              <w:widowControl w:val="0"/>
              <w:spacing w:line="360" w:lineRule="auto"/>
              <w:jc w:val="center"/>
              <w:rPr>
                <w:rFonts w:eastAsia="Calibri" w:cs="Times New Roman"/>
                <w:sz w:val="28"/>
                <w:szCs w:val="28"/>
              </w:rPr>
            </w:pPr>
          </w:p>
        </w:tc>
        <w:tc>
          <w:tcPr>
            <w:tcW w:w="1700" w:type="dxa"/>
            <w:tcBorders>
              <w:top w:val="single" w:sz="4" w:space="0" w:color="auto"/>
              <w:left w:val="single" w:sz="4" w:space="0" w:color="auto"/>
              <w:bottom w:val="single" w:sz="4" w:space="0" w:color="auto"/>
              <w:right w:val="single" w:sz="4" w:space="0" w:color="auto"/>
            </w:tcBorders>
            <w:hideMark/>
          </w:tcPr>
          <w:p w14:paraId="5F047106"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GG </w:t>
            </w:r>
          </w:p>
          <w:p w14:paraId="4870DF3A"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GA</w:t>
            </w:r>
          </w:p>
          <w:p w14:paraId="2D308B1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w:t>
            </w:r>
          </w:p>
        </w:tc>
        <w:tc>
          <w:tcPr>
            <w:tcW w:w="1561" w:type="dxa"/>
            <w:tcBorders>
              <w:top w:val="single" w:sz="4" w:space="0" w:color="auto"/>
              <w:left w:val="single" w:sz="4" w:space="0" w:color="auto"/>
              <w:bottom w:val="single" w:sz="4" w:space="0" w:color="auto"/>
              <w:right w:val="single" w:sz="4" w:space="0" w:color="auto"/>
            </w:tcBorders>
            <w:hideMark/>
          </w:tcPr>
          <w:p w14:paraId="3A53BA3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3,464</w:t>
            </w:r>
          </w:p>
        </w:tc>
        <w:tc>
          <w:tcPr>
            <w:tcW w:w="1134" w:type="dxa"/>
            <w:tcBorders>
              <w:top w:val="single" w:sz="4" w:space="0" w:color="auto"/>
              <w:left w:val="single" w:sz="4" w:space="0" w:color="auto"/>
              <w:bottom w:val="single" w:sz="4" w:space="0" w:color="auto"/>
              <w:right w:val="single" w:sz="4" w:space="0" w:color="auto"/>
            </w:tcBorders>
            <w:hideMark/>
          </w:tcPr>
          <w:p w14:paraId="391C45F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3,375</w:t>
            </w:r>
          </w:p>
          <w:p w14:paraId="0CB5217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0,150</w:t>
            </w:r>
          </w:p>
          <w:p w14:paraId="1BD0F0E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8,727</w:t>
            </w:r>
          </w:p>
        </w:tc>
        <w:tc>
          <w:tcPr>
            <w:tcW w:w="2551" w:type="dxa"/>
            <w:tcBorders>
              <w:top w:val="single" w:sz="4" w:space="0" w:color="auto"/>
              <w:left w:val="single" w:sz="4" w:space="0" w:color="auto"/>
              <w:bottom w:val="single" w:sz="4" w:space="0" w:color="auto"/>
              <w:right w:val="single" w:sz="4" w:space="0" w:color="auto"/>
            </w:tcBorders>
            <w:hideMark/>
          </w:tcPr>
          <w:p w14:paraId="39B6834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0,655–17,377</w:t>
            </w:r>
          </w:p>
          <w:p w14:paraId="29D6AE2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0,030–0,747</w:t>
            </w:r>
          </w:p>
          <w:p w14:paraId="2BE30D7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0,397–191,954</w:t>
            </w:r>
          </w:p>
        </w:tc>
        <w:tc>
          <w:tcPr>
            <w:tcW w:w="851" w:type="dxa"/>
            <w:tcBorders>
              <w:top w:val="single" w:sz="4" w:space="0" w:color="auto"/>
              <w:left w:val="single" w:sz="4" w:space="0" w:color="auto"/>
              <w:bottom w:val="single" w:sz="4" w:space="0" w:color="auto"/>
              <w:right w:val="single" w:sz="4" w:space="0" w:color="auto"/>
            </w:tcBorders>
            <w:hideMark/>
          </w:tcPr>
          <w:p w14:paraId="40877FA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0,177</w:t>
            </w:r>
          </w:p>
        </w:tc>
      </w:tr>
      <w:tr w:rsidR="002E3CE8" w:rsidRPr="00520861" w14:paraId="1BDED8EC" w14:textId="77777777" w:rsidTr="00292D2E">
        <w:tc>
          <w:tcPr>
            <w:tcW w:w="1700" w:type="dxa"/>
            <w:vMerge/>
            <w:tcBorders>
              <w:left w:val="single" w:sz="4" w:space="0" w:color="auto"/>
              <w:right w:val="single" w:sz="4" w:space="0" w:color="auto"/>
            </w:tcBorders>
          </w:tcPr>
          <w:p w14:paraId="7BFA742B" w14:textId="77777777" w:rsidR="002E3CE8" w:rsidRPr="00520861" w:rsidRDefault="002E3CE8" w:rsidP="00292D2E">
            <w:pPr>
              <w:widowControl w:val="0"/>
              <w:spacing w:line="360" w:lineRule="auto"/>
              <w:jc w:val="center"/>
              <w:rPr>
                <w:rFonts w:eastAsia="Calibri" w:cs="Times New Roman"/>
                <w:sz w:val="28"/>
                <w:szCs w:val="28"/>
              </w:rPr>
            </w:pPr>
          </w:p>
        </w:tc>
        <w:tc>
          <w:tcPr>
            <w:tcW w:w="7797" w:type="dxa"/>
            <w:gridSpan w:val="5"/>
            <w:tcBorders>
              <w:top w:val="single" w:sz="4" w:space="0" w:color="auto"/>
              <w:left w:val="single" w:sz="4" w:space="0" w:color="auto"/>
              <w:bottom w:val="single" w:sz="4" w:space="0" w:color="auto"/>
              <w:right w:val="single" w:sz="4" w:space="0" w:color="auto"/>
            </w:tcBorders>
          </w:tcPr>
          <w:p w14:paraId="52477EF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Рецесивна модель</w:t>
            </w:r>
          </w:p>
        </w:tc>
      </w:tr>
      <w:tr w:rsidR="002E3CE8" w:rsidRPr="00520861" w14:paraId="23B78418" w14:textId="77777777" w:rsidTr="00292D2E">
        <w:tc>
          <w:tcPr>
            <w:tcW w:w="1700" w:type="dxa"/>
            <w:vMerge/>
            <w:tcBorders>
              <w:left w:val="single" w:sz="4" w:space="0" w:color="auto"/>
              <w:right w:val="single" w:sz="4" w:space="0" w:color="auto"/>
            </w:tcBorders>
          </w:tcPr>
          <w:p w14:paraId="4F348DA1" w14:textId="77777777" w:rsidR="002E3CE8" w:rsidRPr="00520861" w:rsidRDefault="002E3CE8" w:rsidP="00292D2E">
            <w:pPr>
              <w:widowControl w:val="0"/>
              <w:spacing w:line="360" w:lineRule="auto"/>
              <w:jc w:val="center"/>
              <w:rPr>
                <w:rFonts w:eastAsia="Calibri" w:cs="Times New Roman"/>
                <w:sz w:val="28"/>
                <w:szCs w:val="28"/>
              </w:rPr>
            </w:pPr>
          </w:p>
        </w:tc>
        <w:tc>
          <w:tcPr>
            <w:tcW w:w="1700" w:type="dxa"/>
            <w:tcBorders>
              <w:top w:val="single" w:sz="4" w:space="0" w:color="auto"/>
              <w:left w:val="single" w:sz="4" w:space="0" w:color="auto"/>
              <w:bottom w:val="single" w:sz="4" w:space="0" w:color="auto"/>
              <w:right w:val="single" w:sz="4" w:space="0" w:color="auto"/>
            </w:tcBorders>
          </w:tcPr>
          <w:p w14:paraId="2E2A46A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GG+GA </w:t>
            </w:r>
          </w:p>
          <w:p w14:paraId="26E58DD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AA</w:t>
            </w:r>
          </w:p>
        </w:tc>
        <w:tc>
          <w:tcPr>
            <w:tcW w:w="1561" w:type="dxa"/>
            <w:tcBorders>
              <w:top w:val="single" w:sz="4" w:space="0" w:color="auto"/>
              <w:left w:val="single" w:sz="4" w:space="0" w:color="auto"/>
              <w:bottom w:val="single" w:sz="4" w:space="0" w:color="auto"/>
              <w:right w:val="single" w:sz="4" w:space="0" w:color="auto"/>
            </w:tcBorders>
          </w:tcPr>
          <w:p w14:paraId="4F7E959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1,038</w:t>
            </w:r>
          </w:p>
        </w:tc>
        <w:tc>
          <w:tcPr>
            <w:tcW w:w="1134" w:type="dxa"/>
            <w:tcBorders>
              <w:top w:val="single" w:sz="4" w:space="0" w:color="auto"/>
              <w:left w:val="single" w:sz="4" w:space="0" w:color="auto"/>
              <w:bottom w:val="single" w:sz="4" w:space="0" w:color="auto"/>
              <w:right w:val="single" w:sz="4" w:space="0" w:color="auto"/>
            </w:tcBorders>
          </w:tcPr>
          <w:p w14:paraId="463EB08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0,115</w:t>
            </w:r>
          </w:p>
          <w:p w14:paraId="6E080F7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8,727</w:t>
            </w:r>
          </w:p>
        </w:tc>
        <w:tc>
          <w:tcPr>
            <w:tcW w:w="2551" w:type="dxa"/>
            <w:tcBorders>
              <w:top w:val="single" w:sz="4" w:space="0" w:color="auto"/>
              <w:left w:val="single" w:sz="4" w:space="0" w:color="auto"/>
              <w:bottom w:val="single" w:sz="4" w:space="0" w:color="auto"/>
              <w:right w:val="single" w:sz="4" w:space="0" w:color="auto"/>
            </w:tcBorders>
          </w:tcPr>
          <w:p w14:paraId="464697A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0,005–2,520</w:t>
            </w:r>
          </w:p>
          <w:p w14:paraId="1D33F34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0,397–191,954</w:t>
            </w:r>
          </w:p>
        </w:tc>
        <w:tc>
          <w:tcPr>
            <w:tcW w:w="851" w:type="dxa"/>
            <w:tcBorders>
              <w:top w:val="single" w:sz="4" w:space="0" w:color="auto"/>
              <w:left w:val="single" w:sz="4" w:space="0" w:color="auto"/>
              <w:bottom w:val="single" w:sz="4" w:space="0" w:color="auto"/>
              <w:right w:val="single" w:sz="4" w:space="0" w:color="auto"/>
            </w:tcBorders>
          </w:tcPr>
          <w:p w14:paraId="6D09957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0,308</w:t>
            </w:r>
          </w:p>
        </w:tc>
      </w:tr>
      <w:tr w:rsidR="002E3CE8" w:rsidRPr="00520861" w14:paraId="5829183C" w14:textId="77777777" w:rsidTr="00292D2E">
        <w:tc>
          <w:tcPr>
            <w:tcW w:w="1700" w:type="dxa"/>
            <w:vMerge/>
            <w:tcBorders>
              <w:left w:val="single" w:sz="4" w:space="0" w:color="auto"/>
              <w:right w:val="single" w:sz="4" w:space="0" w:color="auto"/>
            </w:tcBorders>
          </w:tcPr>
          <w:p w14:paraId="5253576C" w14:textId="77777777" w:rsidR="002E3CE8" w:rsidRPr="00520861" w:rsidRDefault="002E3CE8" w:rsidP="00292D2E">
            <w:pPr>
              <w:widowControl w:val="0"/>
              <w:spacing w:line="360" w:lineRule="auto"/>
              <w:jc w:val="center"/>
              <w:rPr>
                <w:rFonts w:eastAsia="Calibri" w:cs="Times New Roman"/>
                <w:sz w:val="28"/>
                <w:szCs w:val="28"/>
              </w:rPr>
            </w:pPr>
          </w:p>
        </w:tc>
        <w:tc>
          <w:tcPr>
            <w:tcW w:w="7797" w:type="dxa"/>
            <w:gridSpan w:val="5"/>
            <w:tcBorders>
              <w:top w:val="single" w:sz="4" w:space="0" w:color="auto"/>
              <w:left w:val="single" w:sz="4" w:space="0" w:color="auto"/>
              <w:bottom w:val="single" w:sz="4" w:space="0" w:color="auto"/>
              <w:right w:val="single" w:sz="4" w:space="0" w:color="auto"/>
            </w:tcBorders>
          </w:tcPr>
          <w:p w14:paraId="624DA7B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Домінантна модель</w:t>
            </w:r>
          </w:p>
        </w:tc>
      </w:tr>
      <w:tr w:rsidR="002E3CE8" w:rsidRPr="00520861" w14:paraId="0B3E93CC" w14:textId="77777777" w:rsidTr="00292D2E">
        <w:tc>
          <w:tcPr>
            <w:tcW w:w="1700" w:type="dxa"/>
            <w:vMerge/>
            <w:tcBorders>
              <w:left w:val="single" w:sz="4" w:space="0" w:color="auto"/>
              <w:right w:val="single" w:sz="4" w:space="0" w:color="auto"/>
            </w:tcBorders>
          </w:tcPr>
          <w:p w14:paraId="3B93AB6F" w14:textId="77777777" w:rsidR="002E3CE8" w:rsidRPr="00520861" w:rsidRDefault="002E3CE8" w:rsidP="00292D2E">
            <w:pPr>
              <w:widowControl w:val="0"/>
              <w:spacing w:line="360" w:lineRule="auto"/>
              <w:jc w:val="center"/>
              <w:rPr>
                <w:rFonts w:eastAsia="Calibri" w:cs="Times New Roman"/>
                <w:sz w:val="28"/>
                <w:szCs w:val="28"/>
              </w:rPr>
            </w:pPr>
          </w:p>
        </w:tc>
        <w:tc>
          <w:tcPr>
            <w:tcW w:w="1700" w:type="dxa"/>
            <w:tcBorders>
              <w:top w:val="single" w:sz="4" w:space="0" w:color="auto"/>
              <w:left w:val="single" w:sz="4" w:space="0" w:color="auto"/>
              <w:bottom w:val="single" w:sz="4" w:space="0" w:color="auto"/>
              <w:right w:val="single" w:sz="4" w:space="0" w:color="auto"/>
            </w:tcBorders>
          </w:tcPr>
          <w:p w14:paraId="2B24A1E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GG </w:t>
            </w:r>
          </w:p>
          <w:p w14:paraId="3764204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GA+AA</w:t>
            </w:r>
          </w:p>
        </w:tc>
        <w:tc>
          <w:tcPr>
            <w:tcW w:w="1561" w:type="dxa"/>
            <w:tcBorders>
              <w:top w:val="single" w:sz="4" w:space="0" w:color="auto"/>
              <w:left w:val="single" w:sz="4" w:space="0" w:color="auto"/>
              <w:bottom w:val="single" w:sz="4" w:space="0" w:color="auto"/>
              <w:right w:val="single" w:sz="4" w:space="0" w:color="auto"/>
            </w:tcBorders>
          </w:tcPr>
          <w:p w14:paraId="17379D0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1,189</w:t>
            </w:r>
          </w:p>
        </w:tc>
        <w:tc>
          <w:tcPr>
            <w:tcW w:w="1134" w:type="dxa"/>
            <w:tcBorders>
              <w:top w:val="single" w:sz="4" w:space="0" w:color="auto"/>
              <w:left w:val="single" w:sz="4" w:space="0" w:color="auto"/>
              <w:bottom w:val="single" w:sz="4" w:space="0" w:color="auto"/>
              <w:right w:val="single" w:sz="4" w:space="0" w:color="auto"/>
            </w:tcBorders>
          </w:tcPr>
          <w:p w14:paraId="4B8F45A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3,375</w:t>
            </w:r>
          </w:p>
          <w:p w14:paraId="52709932"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0,296</w:t>
            </w:r>
          </w:p>
        </w:tc>
        <w:tc>
          <w:tcPr>
            <w:tcW w:w="2551" w:type="dxa"/>
            <w:tcBorders>
              <w:top w:val="single" w:sz="4" w:space="0" w:color="auto"/>
              <w:left w:val="single" w:sz="4" w:space="0" w:color="auto"/>
              <w:bottom w:val="single" w:sz="4" w:space="0" w:color="auto"/>
              <w:right w:val="single" w:sz="4" w:space="0" w:color="auto"/>
            </w:tcBorders>
          </w:tcPr>
          <w:p w14:paraId="44B1F878"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0,655–17,377</w:t>
            </w:r>
          </w:p>
          <w:p w14:paraId="7A95DD3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0,058–1,526</w:t>
            </w:r>
          </w:p>
        </w:tc>
        <w:tc>
          <w:tcPr>
            <w:tcW w:w="851" w:type="dxa"/>
            <w:tcBorders>
              <w:top w:val="single" w:sz="4" w:space="0" w:color="auto"/>
              <w:left w:val="single" w:sz="4" w:space="0" w:color="auto"/>
              <w:bottom w:val="single" w:sz="4" w:space="0" w:color="auto"/>
              <w:right w:val="single" w:sz="4" w:space="0" w:color="auto"/>
            </w:tcBorders>
          </w:tcPr>
          <w:p w14:paraId="6255A8E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0,275</w:t>
            </w:r>
          </w:p>
        </w:tc>
      </w:tr>
    </w:tbl>
    <w:p w14:paraId="7AB8AAB5" w14:textId="77777777" w:rsidR="002E3CE8" w:rsidRPr="00520861" w:rsidRDefault="002E3CE8" w:rsidP="00292D2E">
      <w:pPr>
        <w:widowControl w:val="0"/>
        <w:spacing w:after="160" w:line="259" w:lineRule="auto"/>
        <w:rPr>
          <w:rFonts w:eastAsiaTheme="minorHAnsi"/>
          <w:i/>
          <w:sz w:val="28"/>
          <w:szCs w:val="28"/>
          <w:lang w:eastAsia="en-US"/>
        </w:rPr>
      </w:pPr>
    </w:p>
    <w:p w14:paraId="1979EB66" w14:textId="77777777" w:rsidR="002E3CE8" w:rsidRPr="00520861" w:rsidRDefault="002E3CE8" w:rsidP="00292D2E">
      <w:pPr>
        <w:widowControl w:val="0"/>
        <w:spacing w:line="360" w:lineRule="auto"/>
        <w:jc w:val="right"/>
        <w:rPr>
          <w:rFonts w:eastAsiaTheme="minorHAnsi"/>
          <w:i/>
          <w:sz w:val="28"/>
          <w:szCs w:val="28"/>
          <w:lang w:eastAsia="en-US"/>
        </w:rPr>
      </w:pPr>
      <w:r w:rsidRPr="00520861">
        <w:rPr>
          <w:rFonts w:eastAsiaTheme="minorHAnsi"/>
          <w:i/>
          <w:sz w:val="28"/>
          <w:szCs w:val="28"/>
          <w:lang w:eastAsia="en-US"/>
        </w:rPr>
        <w:lastRenderedPageBreak/>
        <w:t>Продовження табл. 5.19</w:t>
      </w:r>
    </w:p>
    <w:tbl>
      <w:tblPr>
        <w:tblStyle w:val="8"/>
        <w:tblW w:w="9497" w:type="dxa"/>
        <w:tblInd w:w="534" w:type="dxa"/>
        <w:tblLayout w:type="fixed"/>
        <w:tblLook w:val="04A0" w:firstRow="1" w:lastRow="0" w:firstColumn="1" w:lastColumn="0" w:noHBand="0" w:noVBand="1"/>
      </w:tblPr>
      <w:tblGrid>
        <w:gridCol w:w="1700"/>
        <w:gridCol w:w="1700"/>
        <w:gridCol w:w="1561"/>
        <w:gridCol w:w="1134"/>
        <w:gridCol w:w="2551"/>
        <w:gridCol w:w="851"/>
      </w:tblGrid>
      <w:tr w:rsidR="002E3CE8" w:rsidRPr="00520861" w14:paraId="35483DEA" w14:textId="77777777" w:rsidTr="00292D2E">
        <w:tc>
          <w:tcPr>
            <w:tcW w:w="1700" w:type="dxa"/>
            <w:tcBorders>
              <w:left w:val="single" w:sz="4" w:space="0" w:color="auto"/>
              <w:right w:val="single" w:sz="4" w:space="0" w:color="auto"/>
            </w:tcBorders>
          </w:tcPr>
          <w:p w14:paraId="75487574" w14:textId="77777777" w:rsidR="002E3CE8" w:rsidRPr="00520861" w:rsidRDefault="002E3CE8" w:rsidP="00292D2E">
            <w:pPr>
              <w:widowControl w:val="0"/>
              <w:spacing w:line="360" w:lineRule="auto"/>
              <w:rPr>
                <w:rFonts w:eastAsia="Calibri" w:cs="Times New Roman"/>
                <w:sz w:val="28"/>
                <w:szCs w:val="28"/>
              </w:rPr>
            </w:pPr>
            <w:r w:rsidRPr="00520861">
              <w:rPr>
                <w:rFonts w:eastAsia="Calibri" w:cs="Times New Roman"/>
                <w:sz w:val="28"/>
                <w:szCs w:val="28"/>
              </w:rPr>
              <w:t>1</w:t>
            </w:r>
          </w:p>
        </w:tc>
        <w:tc>
          <w:tcPr>
            <w:tcW w:w="1700" w:type="dxa"/>
            <w:tcBorders>
              <w:top w:val="single" w:sz="4" w:space="0" w:color="auto"/>
              <w:left w:val="single" w:sz="4" w:space="0" w:color="auto"/>
              <w:bottom w:val="single" w:sz="4" w:space="0" w:color="auto"/>
              <w:right w:val="single" w:sz="4" w:space="0" w:color="auto"/>
            </w:tcBorders>
          </w:tcPr>
          <w:p w14:paraId="77CED55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2</w:t>
            </w:r>
          </w:p>
        </w:tc>
        <w:tc>
          <w:tcPr>
            <w:tcW w:w="1561" w:type="dxa"/>
            <w:tcBorders>
              <w:top w:val="single" w:sz="4" w:space="0" w:color="auto"/>
              <w:left w:val="single" w:sz="4" w:space="0" w:color="auto"/>
              <w:bottom w:val="single" w:sz="4" w:space="0" w:color="auto"/>
              <w:right w:val="single" w:sz="4" w:space="0" w:color="auto"/>
            </w:tcBorders>
          </w:tcPr>
          <w:p w14:paraId="54DAF0D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3</w:t>
            </w:r>
          </w:p>
        </w:tc>
        <w:tc>
          <w:tcPr>
            <w:tcW w:w="1134" w:type="dxa"/>
            <w:tcBorders>
              <w:top w:val="single" w:sz="4" w:space="0" w:color="auto"/>
              <w:left w:val="single" w:sz="4" w:space="0" w:color="auto"/>
              <w:bottom w:val="single" w:sz="4" w:space="0" w:color="auto"/>
              <w:right w:val="single" w:sz="4" w:space="0" w:color="auto"/>
            </w:tcBorders>
          </w:tcPr>
          <w:p w14:paraId="6E55AB7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w:t>
            </w:r>
          </w:p>
        </w:tc>
        <w:tc>
          <w:tcPr>
            <w:tcW w:w="2551" w:type="dxa"/>
            <w:tcBorders>
              <w:top w:val="single" w:sz="4" w:space="0" w:color="auto"/>
              <w:left w:val="single" w:sz="4" w:space="0" w:color="auto"/>
              <w:bottom w:val="single" w:sz="4" w:space="0" w:color="auto"/>
              <w:right w:val="single" w:sz="4" w:space="0" w:color="auto"/>
            </w:tcBorders>
          </w:tcPr>
          <w:p w14:paraId="67A0B64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5</w:t>
            </w:r>
          </w:p>
        </w:tc>
        <w:tc>
          <w:tcPr>
            <w:tcW w:w="851" w:type="dxa"/>
            <w:tcBorders>
              <w:top w:val="single" w:sz="4" w:space="0" w:color="auto"/>
              <w:left w:val="single" w:sz="4" w:space="0" w:color="auto"/>
              <w:bottom w:val="single" w:sz="4" w:space="0" w:color="auto"/>
              <w:right w:val="single" w:sz="4" w:space="0" w:color="auto"/>
            </w:tcBorders>
          </w:tcPr>
          <w:p w14:paraId="1B7D699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6</w:t>
            </w:r>
          </w:p>
        </w:tc>
      </w:tr>
      <w:tr w:rsidR="002E3CE8" w:rsidRPr="00520861" w14:paraId="450C9177" w14:textId="77777777" w:rsidTr="00292D2E">
        <w:tc>
          <w:tcPr>
            <w:tcW w:w="1700" w:type="dxa"/>
            <w:vMerge w:val="restart"/>
            <w:tcBorders>
              <w:left w:val="single" w:sz="4" w:space="0" w:color="auto"/>
              <w:right w:val="single" w:sz="4" w:space="0" w:color="auto"/>
            </w:tcBorders>
          </w:tcPr>
          <w:p w14:paraId="2F7C0A1C" w14:textId="77777777" w:rsidR="002E3CE8" w:rsidRPr="00520861" w:rsidRDefault="002E3CE8" w:rsidP="00292D2E">
            <w:pPr>
              <w:widowControl w:val="0"/>
              <w:spacing w:line="360" w:lineRule="auto"/>
              <w:jc w:val="center"/>
              <w:rPr>
                <w:rFonts w:eastAsia="Calibri" w:cs="Times New Roman"/>
                <w:sz w:val="28"/>
                <w:szCs w:val="28"/>
              </w:rPr>
            </w:pPr>
          </w:p>
        </w:tc>
        <w:tc>
          <w:tcPr>
            <w:tcW w:w="7797" w:type="dxa"/>
            <w:gridSpan w:val="5"/>
            <w:tcBorders>
              <w:top w:val="single" w:sz="4" w:space="0" w:color="auto"/>
              <w:left w:val="single" w:sz="4" w:space="0" w:color="auto"/>
              <w:bottom w:val="single" w:sz="4" w:space="0" w:color="auto"/>
              <w:right w:val="single" w:sz="4" w:space="0" w:color="auto"/>
            </w:tcBorders>
          </w:tcPr>
          <w:p w14:paraId="449C8E51" w14:textId="77777777" w:rsidR="002E3CE8" w:rsidRPr="00520861" w:rsidRDefault="002E3CE8" w:rsidP="00292D2E">
            <w:pPr>
              <w:widowControl w:val="0"/>
              <w:spacing w:line="360" w:lineRule="auto"/>
              <w:jc w:val="center"/>
              <w:rPr>
                <w:rFonts w:eastAsia="Calibri" w:cs="Times New Roman"/>
                <w:sz w:val="28"/>
                <w:szCs w:val="28"/>
              </w:rPr>
            </w:pPr>
            <w:proofErr w:type="spellStart"/>
            <w:r w:rsidRPr="00520861">
              <w:rPr>
                <w:rFonts w:eastAsia="Calibri" w:cs="Times New Roman"/>
                <w:sz w:val="28"/>
                <w:szCs w:val="28"/>
              </w:rPr>
              <w:t>Наддомінантна</w:t>
            </w:r>
            <w:proofErr w:type="spellEnd"/>
            <w:r w:rsidRPr="00520861">
              <w:rPr>
                <w:rFonts w:eastAsia="Calibri" w:cs="Times New Roman"/>
                <w:sz w:val="28"/>
                <w:szCs w:val="28"/>
              </w:rPr>
              <w:t xml:space="preserve"> модель</w:t>
            </w:r>
          </w:p>
        </w:tc>
      </w:tr>
      <w:tr w:rsidR="002E3CE8" w:rsidRPr="00520861" w14:paraId="7E24E594" w14:textId="77777777" w:rsidTr="00292D2E">
        <w:tc>
          <w:tcPr>
            <w:tcW w:w="1700" w:type="dxa"/>
            <w:vMerge/>
            <w:tcBorders>
              <w:left w:val="single" w:sz="4" w:space="0" w:color="auto"/>
              <w:right w:val="single" w:sz="4" w:space="0" w:color="auto"/>
            </w:tcBorders>
          </w:tcPr>
          <w:p w14:paraId="0E356C7B" w14:textId="77777777" w:rsidR="002E3CE8" w:rsidRPr="00520861" w:rsidRDefault="002E3CE8" w:rsidP="00292D2E">
            <w:pPr>
              <w:widowControl w:val="0"/>
              <w:spacing w:line="360" w:lineRule="auto"/>
              <w:jc w:val="center"/>
              <w:rPr>
                <w:rFonts w:eastAsia="Calibri" w:cs="Times New Roman"/>
                <w:sz w:val="28"/>
                <w:szCs w:val="28"/>
              </w:rPr>
            </w:pPr>
          </w:p>
        </w:tc>
        <w:tc>
          <w:tcPr>
            <w:tcW w:w="1700" w:type="dxa"/>
            <w:tcBorders>
              <w:top w:val="single" w:sz="4" w:space="0" w:color="auto"/>
              <w:left w:val="single" w:sz="4" w:space="0" w:color="auto"/>
              <w:bottom w:val="single" w:sz="4" w:space="0" w:color="auto"/>
              <w:right w:val="single" w:sz="4" w:space="0" w:color="auto"/>
            </w:tcBorders>
          </w:tcPr>
          <w:p w14:paraId="328F73E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GG+AA</w:t>
            </w:r>
          </w:p>
          <w:p w14:paraId="445DB710"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GA</w:t>
            </w:r>
          </w:p>
        </w:tc>
        <w:tc>
          <w:tcPr>
            <w:tcW w:w="1561" w:type="dxa"/>
            <w:tcBorders>
              <w:top w:val="single" w:sz="4" w:space="0" w:color="auto"/>
              <w:left w:val="single" w:sz="4" w:space="0" w:color="auto"/>
              <w:bottom w:val="single" w:sz="4" w:space="0" w:color="auto"/>
              <w:right w:val="single" w:sz="4" w:space="0" w:color="auto"/>
            </w:tcBorders>
          </w:tcPr>
          <w:p w14:paraId="5A44B45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4,165</w:t>
            </w:r>
          </w:p>
        </w:tc>
        <w:tc>
          <w:tcPr>
            <w:tcW w:w="1134" w:type="dxa"/>
            <w:tcBorders>
              <w:top w:val="single" w:sz="4" w:space="0" w:color="auto"/>
              <w:left w:val="single" w:sz="4" w:space="0" w:color="auto"/>
              <w:bottom w:val="single" w:sz="4" w:space="0" w:color="auto"/>
              <w:right w:val="single" w:sz="4" w:space="0" w:color="auto"/>
            </w:tcBorders>
          </w:tcPr>
          <w:p w14:paraId="18C7F53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6,686</w:t>
            </w:r>
          </w:p>
          <w:p w14:paraId="4A16A62E"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0,150</w:t>
            </w:r>
          </w:p>
        </w:tc>
        <w:tc>
          <w:tcPr>
            <w:tcW w:w="2551" w:type="dxa"/>
            <w:tcBorders>
              <w:top w:val="single" w:sz="4" w:space="0" w:color="auto"/>
              <w:left w:val="single" w:sz="4" w:space="0" w:color="auto"/>
              <w:bottom w:val="single" w:sz="4" w:space="0" w:color="auto"/>
              <w:right w:val="single" w:sz="4" w:space="0" w:color="auto"/>
            </w:tcBorders>
          </w:tcPr>
          <w:p w14:paraId="61F207D4"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1,338–33,408</w:t>
            </w:r>
          </w:p>
          <w:p w14:paraId="1D23370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0,030–0,747</w:t>
            </w:r>
          </w:p>
        </w:tc>
        <w:tc>
          <w:tcPr>
            <w:tcW w:w="851" w:type="dxa"/>
            <w:tcBorders>
              <w:top w:val="single" w:sz="4" w:space="0" w:color="auto"/>
              <w:left w:val="single" w:sz="4" w:space="0" w:color="auto"/>
              <w:bottom w:val="single" w:sz="4" w:space="0" w:color="auto"/>
              <w:right w:val="single" w:sz="4" w:space="0" w:color="auto"/>
            </w:tcBorders>
          </w:tcPr>
          <w:p w14:paraId="6B037177"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0,041</w:t>
            </w:r>
          </w:p>
        </w:tc>
      </w:tr>
      <w:tr w:rsidR="002E3CE8" w:rsidRPr="00520861" w14:paraId="6C17D20B" w14:textId="77777777" w:rsidTr="00292D2E">
        <w:tc>
          <w:tcPr>
            <w:tcW w:w="1700" w:type="dxa"/>
            <w:vMerge/>
            <w:tcBorders>
              <w:left w:val="single" w:sz="4" w:space="0" w:color="auto"/>
              <w:right w:val="single" w:sz="4" w:space="0" w:color="auto"/>
            </w:tcBorders>
          </w:tcPr>
          <w:p w14:paraId="688848A3" w14:textId="77777777" w:rsidR="002E3CE8" w:rsidRPr="00520861" w:rsidRDefault="002E3CE8" w:rsidP="00292D2E">
            <w:pPr>
              <w:widowControl w:val="0"/>
              <w:spacing w:line="360" w:lineRule="auto"/>
              <w:jc w:val="center"/>
              <w:rPr>
                <w:rFonts w:eastAsia="Calibri" w:cs="Times New Roman"/>
                <w:sz w:val="28"/>
                <w:szCs w:val="28"/>
              </w:rPr>
            </w:pPr>
          </w:p>
        </w:tc>
        <w:tc>
          <w:tcPr>
            <w:tcW w:w="7797" w:type="dxa"/>
            <w:gridSpan w:val="5"/>
            <w:tcBorders>
              <w:top w:val="single" w:sz="4" w:space="0" w:color="auto"/>
              <w:left w:val="single" w:sz="4" w:space="0" w:color="auto"/>
              <w:bottom w:val="single" w:sz="4" w:space="0" w:color="auto"/>
              <w:right w:val="single" w:sz="4" w:space="0" w:color="auto"/>
            </w:tcBorders>
          </w:tcPr>
          <w:p w14:paraId="4F578861"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Мультиплікативна модель</w:t>
            </w:r>
          </w:p>
        </w:tc>
      </w:tr>
      <w:tr w:rsidR="002E3CE8" w:rsidRPr="00520861" w14:paraId="7E0DCD68" w14:textId="77777777" w:rsidTr="00292D2E">
        <w:tc>
          <w:tcPr>
            <w:tcW w:w="1700" w:type="dxa"/>
            <w:vMerge/>
            <w:tcBorders>
              <w:left w:val="single" w:sz="4" w:space="0" w:color="auto"/>
              <w:bottom w:val="single" w:sz="4" w:space="0" w:color="auto"/>
              <w:right w:val="single" w:sz="4" w:space="0" w:color="auto"/>
            </w:tcBorders>
          </w:tcPr>
          <w:p w14:paraId="68E1E3E8" w14:textId="77777777" w:rsidR="002E3CE8" w:rsidRPr="00520861" w:rsidRDefault="002E3CE8" w:rsidP="00292D2E">
            <w:pPr>
              <w:widowControl w:val="0"/>
              <w:spacing w:line="360" w:lineRule="auto"/>
              <w:jc w:val="center"/>
              <w:rPr>
                <w:rFonts w:eastAsia="Calibri" w:cs="Times New Roman"/>
                <w:sz w:val="28"/>
                <w:szCs w:val="28"/>
              </w:rPr>
            </w:pPr>
          </w:p>
        </w:tc>
        <w:tc>
          <w:tcPr>
            <w:tcW w:w="1700" w:type="dxa"/>
            <w:tcBorders>
              <w:top w:val="single" w:sz="4" w:space="0" w:color="auto"/>
              <w:left w:val="single" w:sz="4" w:space="0" w:color="auto"/>
              <w:bottom w:val="single" w:sz="4" w:space="0" w:color="auto"/>
              <w:right w:val="single" w:sz="4" w:space="0" w:color="auto"/>
            </w:tcBorders>
          </w:tcPr>
          <w:p w14:paraId="3CF13B7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 xml:space="preserve">G </w:t>
            </w:r>
          </w:p>
          <w:p w14:paraId="0D83D5B9"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A</w:t>
            </w:r>
          </w:p>
        </w:tc>
        <w:tc>
          <w:tcPr>
            <w:tcW w:w="1561" w:type="dxa"/>
            <w:tcBorders>
              <w:top w:val="single" w:sz="4" w:space="0" w:color="auto"/>
              <w:left w:val="single" w:sz="4" w:space="0" w:color="auto"/>
              <w:bottom w:val="single" w:sz="4" w:space="0" w:color="auto"/>
              <w:right w:val="single" w:sz="4" w:space="0" w:color="auto"/>
            </w:tcBorders>
          </w:tcPr>
          <w:p w14:paraId="15AACD3C"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0,062</w:t>
            </w:r>
          </w:p>
        </w:tc>
        <w:tc>
          <w:tcPr>
            <w:tcW w:w="1134" w:type="dxa"/>
            <w:tcBorders>
              <w:top w:val="single" w:sz="4" w:space="0" w:color="auto"/>
              <w:left w:val="single" w:sz="4" w:space="0" w:color="auto"/>
              <w:bottom w:val="single" w:sz="4" w:space="0" w:color="auto"/>
              <w:right w:val="single" w:sz="4" w:space="0" w:color="auto"/>
            </w:tcBorders>
          </w:tcPr>
          <w:p w14:paraId="54904505"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1,139</w:t>
            </w:r>
          </w:p>
          <w:p w14:paraId="3DB4C2EF"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0,878</w:t>
            </w:r>
          </w:p>
        </w:tc>
        <w:tc>
          <w:tcPr>
            <w:tcW w:w="2551" w:type="dxa"/>
            <w:tcBorders>
              <w:top w:val="single" w:sz="4" w:space="0" w:color="auto"/>
              <w:left w:val="single" w:sz="4" w:space="0" w:color="auto"/>
              <w:bottom w:val="single" w:sz="4" w:space="0" w:color="auto"/>
              <w:right w:val="single" w:sz="4" w:space="0" w:color="auto"/>
            </w:tcBorders>
          </w:tcPr>
          <w:p w14:paraId="5AA716CD"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0,408–3,176</w:t>
            </w:r>
          </w:p>
          <w:p w14:paraId="5722975B"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0,315–2,449</w:t>
            </w:r>
          </w:p>
        </w:tc>
        <w:tc>
          <w:tcPr>
            <w:tcW w:w="851" w:type="dxa"/>
            <w:tcBorders>
              <w:top w:val="single" w:sz="4" w:space="0" w:color="auto"/>
              <w:left w:val="single" w:sz="4" w:space="0" w:color="auto"/>
              <w:bottom w:val="single" w:sz="4" w:space="0" w:color="auto"/>
              <w:right w:val="single" w:sz="4" w:space="0" w:color="auto"/>
            </w:tcBorders>
          </w:tcPr>
          <w:p w14:paraId="65155293" w14:textId="77777777" w:rsidR="002E3CE8" w:rsidRPr="00520861" w:rsidRDefault="002E3CE8" w:rsidP="00292D2E">
            <w:pPr>
              <w:widowControl w:val="0"/>
              <w:spacing w:line="360" w:lineRule="auto"/>
              <w:jc w:val="center"/>
              <w:rPr>
                <w:rFonts w:eastAsia="Calibri" w:cs="Times New Roman"/>
                <w:sz w:val="28"/>
                <w:szCs w:val="28"/>
              </w:rPr>
            </w:pPr>
            <w:r w:rsidRPr="00520861">
              <w:rPr>
                <w:rFonts w:eastAsia="Calibri" w:cs="Times New Roman"/>
                <w:sz w:val="28"/>
                <w:szCs w:val="28"/>
              </w:rPr>
              <w:t>0,804</w:t>
            </w:r>
          </w:p>
        </w:tc>
      </w:tr>
    </w:tbl>
    <w:p w14:paraId="728E0038" w14:textId="77777777" w:rsidR="002E3CE8" w:rsidRPr="00520861" w:rsidRDefault="002E3CE8" w:rsidP="00292D2E">
      <w:pPr>
        <w:widowControl w:val="0"/>
        <w:spacing w:line="360" w:lineRule="auto"/>
        <w:ind w:firstLine="709"/>
        <w:jc w:val="both"/>
        <w:rPr>
          <w:rFonts w:eastAsia="Calibri"/>
          <w:sz w:val="28"/>
          <w:szCs w:val="28"/>
          <w:lang w:eastAsia="en-US"/>
        </w:rPr>
      </w:pPr>
    </w:p>
    <w:p w14:paraId="4CAB64D8"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Отже, помірні порушення прикусу (значення DAI 26 – 30 балів) в обстежених осіб були асоційовані з варіантами генів </w:t>
      </w:r>
      <w:r w:rsidRPr="00520861">
        <w:rPr>
          <w:rFonts w:eastAsia="Calibri"/>
          <w:i/>
          <w:sz w:val="28"/>
          <w:szCs w:val="28"/>
          <w:lang w:eastAsia="en-US"/>
        </w:rPr>
        <w:t>ESR1</w:t>
      </w:r>
      <w:r w:rsidR="008B4F0A" w:rsidRPr="00520861">
        <w:rPr>
          <w:rFonts w:eastAsia="Calibri"/>
          <w:sz w:val="28"/>
          <w:szCs w:val="28"/>
          <w:lang w:eastAsia="en-US"/>
        </w:rPr>
        <w:t xml:space="preserve"> [rs</w:t>
      </w:r>
      <w:r w:rsidRPr="00520861">
        <w:rPr>
          <w:rFonts w:eastAsia="Calibri"/>
          <w:sz w:val="28"/>
          <w:szCs w:val="28"/>
          <w:lang w:eastAsia="en-US"/>
        </w:rPr>
        <w:t>2234693]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w:t>
      </w:r>
      <w:r w:rsidRPr="00520861">
        <w:rPr>
          <w:rFonts w:eastAsia="Calibri"/>
          <w:i/>
          <w:sz w:val="28"/>
          <w:szCs w:val="28"/>
          <w:lang w:eastAsia="en-US"/>
        </w:rPr>
        <w:t>CYP19A1</w:t>
      </w:r>
      <w:r w:rsidRPr="00520861">
        <w:rPr>
          <w:rFonts w:eastAsia="Calibri"/>
          <w:sz w:val="28"/>
          <w:szCs w:val="28"/>
          <w:lang w:eastAsia="en-US"/>
        </w:rPr>
        <w:t xml:space="preserve"> [rs2414096] (адитивна, домінантна і мультиплікативна моделі успадкування) та </w:t>
      </w:r>
      <w:r w:rsidRPr="00520861">
        <w:rPr>
          <w:rFonts w:eastAsia="Calibri"/>
          <w:i/>
          <w:sz w:val="28"/>
          <w:szCs w:val="28"/>
          <w:lang w:eastAsia="en-US"/>
        </w:rPr>
        <w:t>IL10</w:t>
      </w:r>
      <w:r w:rsidRPr="00520861">
        <w:rPr>
          <w:rFonts w:eastAsia="Calibri"/>
          <w:sz w:val="28"/>
          <w:szCs w:val="28"/>
          <w:lang w:eastAsia="en-US"/>
        </w:rPr>
        <w:t xml:space="preserve"> [rs1800896]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Поліморфізм гена </w:t>
      </w:r>
      <w:r w:rsidRPr="00520861">
        <w:rPr>
          <w:rFonts w:eastAsia="Calibri"/>
          <w:i/>
          <w:sz w:val="28"/>
          <w:szCs w:val="28"/>
          <w:lang w:eastAsia="en-US"/>
        </w:rPr>
        <w:t>IL10</w:t>
      </w:r>
      <w:r w:rsidRPr="00520861">
        <w:rPr>
          <w:rFonts w:eastAsia="Calibri"/>
          <w:sz w:val="28"/>
          <w:szCs w:val="28"/>
          <w:lang w:eastAsia="en-US"/>
        </w:rPr>
        <w:t xml:space="preserve"> [rs1800896] був значуще пов’язаний як з розвитком помірних, так і значних порушень прикусу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Протекція від значних порушень прикусу (значення DAI 31 – 35 балів) була асоційована з варіантом гена </w:t>
      </w:r>
      <w:r w:rsidRPr="00520861">
        <w:rPr>
          <w:rFonts w:eastAsia="Calibri"/>
          <w:i/>
          <w:sz w:val="28"/>
          <w:szCs w:val="28"/>
          <w:lang w:eastAsia="en-US"/>
        </w:rPr>
        <w:t>IL10</w:t>
      </w:r>
      <w:r w:rsidRPr="00520861">
        <w:rPr>
          <w:rFonts w:eastAsia="Calibri"/>
          <w:sz w:val="28"/>
          <w:szCs w:val="28"/>
          <w:lang w:eastAsia="en-US"/>
        </w:rPr>
        <w:t xml:space="preserve"> [rs1800896]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за наявності </w:t>
      </w:r>
      <w:r w:rsidR="00A160E0" w:rsidRPr="00520861">
        <w:rPr>
          <w:rFonts w:eastAsia="Calibri"/>
          <w:sz w:val="28"/>
          <w:szCs w:val="28"/>
          <w:lang w:eastAsia="en-US"/>
        </w:rPr>
        <w:br/>
      </w:r>
      <w:r w:rsidRPr="00520861">
        <w:rPr>
          <w:rFonts w:eastAsia="Calibri"/>
          <w:sz w:val="28"/>
          <w:szCs w:val="28"/>
          <w:lang w:eastAsia="en-US"/>
        </w:rPr>
        <w:t xml:space="preserve">гетерозиготного генотипу GA ризик розвитку порушень зменшувався в 6,7 </w:t>
      </w:r>
      <w:proofErr w:type="spellStart"/>
      <w:r w:rsidRPr="00520861">
        <w:rPr>
          <w:rFonts w:eastAsia="Calibri"/>
          <w:sz w:val="28"/>
          <w:szCs w:val="28"/>
          <w:lang w:eastAsia="en-US"/>
        </w:rPr>
        <w:t>раза</w:t>
      </w:r>
      <w:proofErr w:type="spellEnd"/>
      <w:r w:rsidRPr="00520861">
        <w:rPr>
          <w:rFonts w:eastAsia="Calibri"/>
          <w:sz w:val="28"/>
          <w:szCs w:val="28"/>
          <w:lang w:eastAsia="en-US"/>
        </w:rPr>
        <w:t>.</w:t>
      </w:r>
    </w:p>
    <w:p w14:paraId="6648A016" w14:textId="77777777" w:rsidR="002E3CE8" w:rsidRPr="00520861" w:rsidRDefault="002E3CE8" w:rsidP="00292D2E">
      <w:pPr>
        <w:widowControl w:val="0"/>
        <w:tabs>
          <w:tab w:val="left" w:pos="5670"/>
        </w:tabs>
        <w:spacing w:line="360" w:lineRule="auto"/>
        <w:ind w:firstLine="708"/>
        <w:jc w:val="both"/>
        <w:rPr>
          <w:rFonts w:eastAsia="Calibri"/>
          <w:sz w:val="28"/>
          <w:szCs w:val="28"/>
          <w:lang w:eastAsia="en-US"/>
        </w:rPr>
      </w:pPr>
      <w:r w:rsidRPr="00520861">
        <w:rPr>
          <w:rFonts w:eastAsia="Calibri"/>
          <w:sz w:val="28"/>
          <w:szCs w:val="28"/>
          <w:lang w:eastAsia="en-US"/>
        </w:rPr>
        <w:t>Підбиваючи підсумок</w:t>
      </w:r>
      <w:r w:rsidRPr="00520861">
        <w:rPr>
          <w:rFonts w:eastAsia="Calibri"/>
          <w:b/>
          <w:sz w:val="28"/>
          <w:szCs w:val="28"/>
          <w:lang w:eastAsia="en-US"/>
        </w:rPr>
        <w:t xml:space="preserve"> </w:t>
      </w:r>
      <w:r w:rsidRPr="00520861">
        <w:rPr>
          <w:rFonts w:eastAsiaTheme="minorHAnsi"/>
          <w:sz w:val="28"/>
          <w:szCs w:val="28"/>
          <w:lang w:eastAsia="en-US"/>
        </w:rPr>
        <w:t>викладеного в розділі, встановлено, що випадки д</w:t>
      </w:r>
      <w:r w:rsidRPr="00520861">
        <w:rPr>
          <w:sz w:val="28"/>
          <w:szCs w:val="28"/>
        </w:rPr>
        <w:t xml:space="preserve">омінування ВУ ожиріння, ВУ збільшення довжини тіла чи гармонійного прискорення набору маси та збільшення довжини тіла </w:t>
      </w:r>
      <w:r w:rsidRPr="00520861">
        <w:rPr>
          <w:rFonts w:eastAsiaTheme="minorHAnsi"/>
          <w:sz w:val="28"/>
          <w:szCs w:val="28"/>
          <w:lang w:eastAsia="en-US"/>
        </w:rPr>
        <w:t xml:space="preserve">в дітей, які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w:t>
      </w:r>
      <w:r w:rsidRPr="00520861">
        <w:rPr>
          <w:sz w:val="28"/>
          <w:szCs w:val="28"/>
        </w:rPr>
        <w:t xml:space="preserve"> мають певні особливості проявів у стоматологічному статусі новонароджених та дітей </w:t>
      </w:r>
      <w:r w:rsidR="00A656B7" w:rsidRPr="00520861">
        <w:rPr>
          <w:sz w:val="28"/>
          <w:szCs w:val="28"/>
        </w:rPr>
        <w:br/>
      </w:r>
      <w:r w:rsidRPr="00520861">
        <w:rPr>
          <w:sz w:val="28"/>
          <w:szCs w:val="28"/>
        </w:rPr>
        <w:t xml:space="preserve">грудного віку, зокрема, у термінах прорізування та швидкості росту тимчасових зубів у цей період </w:t>
      </w:r>
      <w:r w:rsidRPr="00520861">
        <w:rPr>
          <w:rFonts w:eastAsia="Calibri"/>
          <w:sz w:val="28"/>
          <w:szCs w:val="28"/>
          <w:lang w:eastAsia="en-US"/>
        </w:rPr>
        <w:t>це вповільнені темпи росту тимчасових зубів, а також збільшена у 2 – 4 рази частота спостереження відхилень у термінах їх прорізування від регіональних норм.</w:t>
      </w:r>
    </w:p>
    <w:p w14:paraId="0B32623C" w14:textId="77777777" w:rsidR="002E3CE8" w:rsidRPr="00520861" w:rsidRDefault="002E3CE8" w:rsidP="00292D2E">
      <w:pPr>
        <w:widowControl w:val="0"/>
        <w:spacing w:line="360" w:lineRule="auto"/>
        <w:ind w:firstLine="709"/>
        <w:jc w:val="both"/>
        <w:rPr>
          <w:sz w:val="28"/>
          <w:szCs w:val="28"/>
        </w:rPr>
      </w:pPr>
      <w:r w:rsidRPr="00520861">
        <w:rPr>
          <w:sz w:val="28"/>
          <w:szCs w:val="28"/>
        </w:rPr>
        <w:t xml:space="preserve">Аномалії м’яких тканин ротової порожнини асоційовані з </w:t>
      </w:r>
      <w:proofErr w:type="spellStart"/>
      <w:r w:rsidRPr="00520861">
        <w:rPr>
          <w:sz w:val="28"/>
          <w:szCs w:val="28"/>
        </w:rPr>
        <w:t>макросомією</w:t>
      </w:r>
      <w:proofErr w:type="spellEnd"/>
      <w:r w:rsidRPr="00520861">
        <w:rPr>
          <w:sz w:val="28"/>
          <w:szCs w:val="28"/>
        </w:rPr>
        <w:t xml:space="preserve"> плода. Переважна кількість із зафіксованих аномалій може свідчити про наявність у дітей </w:t>
      </w:r>
      <w:proofErr w:type="spellStart"/>
      <w:r w:rsidRPr="00520861">
        <w:rPr>
          <w:sz w:val="28"/>
          <w:szCs w:val="28"/>
        </w:rPr>
        <w:t>дисплазії</w:t>
      </w:r>
      <w:proofErr w:type="spellEnd"/>
      <w:r w:rsidRPr="00520861">
        <w:rPr>
          <w:sz w:val="28"/>
          <w:szCs w:val="28"/>
        </w:rPr>
        <w:t xml:space="preserve"> сполучної тканини, яка в подальшому з високою ймовірністю сприятиме формуванню та поглибленню стоматологічних патологій.</w:t>
      </w:r>
    </w:p>
    <w:p w14:paraId="26EF3D0A" w14:textId="77777777" w:rsidR="002E3CE8" w:rsidRPr="00520861" w:rsidRDefault="002E3CE8" w:rsidP="00292D2E">
      <w:pPr>
        <w:widowControl w:val="0"/>
        <w:spacing w:line="360" w:lineRule="auto"/>
        <w:ind w:firstLine="709"/>
        <w:jc w:val="both"/>
        <w:rPr>
          <w:sz w:val="28"/>
          <w:szCs w:val="28"/>
        </w:rPr>
      </w:pPr>
      <w:r w:rsidRPr="00520861">
        <w:rPr>
          <w:rFonts w:eastAsiaTheme="minorHAnsi"/>
          <w:sz w:val="28"/>
          <w:szCs w:val="28"/>
          <w:lang w:eastAsia="en-US"/>
        </w:rPr>
        <w:lastRenderedPageBreak/>
        <w:t xml:space="preserve">Особи, які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мают</w:t>
      </w:r>
      <w:r w:rsidR="00A656B7" w:rsidRPr="00520861">
        <w:rPr>
          <w:rFonts w:eastAsiaTheme="minorHAnsi"/>
          <w:sz w:val="28"/>
          <w:szCs w:val="28"/>
          <w:lang w:eastAsia="en-US"/>
        </w:rPr>
        <w:t>ь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00A656B7" w:rsidRPr="00520861">
        <w:rPr>
          <w:rFonts w:eastAsiaTheme="minorHAnsi"/>
          <w:sz w:val="28"/>
          <w:szCs w:val="28"/>
          <w:lang w:eastAsia="en-US"/>
        </w:rPr>
        <w:t>) більшу про</w:t>
      </w:r>
      <w:r w:rsidRPr="00520861">
        <w:rPr>
          <w:rFonts w:eastAsiaTheme="minorHAnsi"/>
          <w:sz w:val="28"/>
          <w:szCs w:val="28"/>
          <w:lang w:eastAsia="en-US"/>
        </w:rPr>
        <w:t xml:space="preserve">центну кількість ЗЩА порівняно з </w:t>
      </w:r>
      <w:proofErr w:type="spellStart"/>
      <w:r w:rsidRPr="00520861">
        <w:rPr>
          <w:rFonts w:eastAsiaTheme="minorHAnsi"/>
          <w:sz w:val="28"/>
          <w:szCs w:val="28"/>
          <w:lang w:eastAsia="en-US"/>
        </w:rPr>
        <w:t>нормосомами</w:t>
      </w:r>
      <w:proofErr w:type="spellEnd"/>
      <w:r w:rsidRPr="00520861">
        <w:rPr>
          <w:rFonts w:eastAsiaTheme="minorHAnsi"/>
          <w:sz w:val="28"/>
          <w:szCs w:val="28"/>
          <w:lang w:eastAsia="en-US"/>
        </w:rPr>
        <w:t xml:space="preserve"> відповідного віку. У переважної кількості таких осіб спостерігаються ознаки вертикального типу щелепного росту та в більшості з них порушення росту щелеп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-оральному</w:t>
      </w:r>
      <w:r w:rsidRPr="00520861">
        <w:rPr>
          <w:rFonts w:eastAsiaTheme="minorHAnsi"/>
          <w:sz w:val="28"/>
          <w:szCs w:val="28"/>
          <w:lang w:eastAsia="en-US"/>
        </w:rPr>
        <w:t xml:space="preserve"> напрямку.</w:t>
      </w:r>
    </w:p>
    <w:p w14:paraId="430566AC" w14:textId="77777777" w:rsidR="002E3CE8" w:rsidRPr="00520861" w:rsidRDefault="002E3CE8" w:rsidP="00292D2E">
      <w:pPr>
        <w:widowControl w:val="0"/>
        <w:spacing w:line="360" w:lineRule="auto"/>
        <w:ind w:firstLine="708"/>
        <w:contextualSpacing/>
        <w:jc w:val="both"/>
        <w:rPr>
          <w:rFonts w:eastAsiaTheme="minorHAnsi"/>
          <w:sz w:val="28"/>
          <w:szCs w:val="28"/>
          <w:lang w:eastAsia="en-US"/>
        </w:rPr>
      </w:pPr>
      <w:r w:rsidRPr="00520861">
        <w:rPr>
          <w:rFonts w:eastAsiaTheme="minorHAnsi"/>
          <w:sz w:val="28"/>
          <w:szCs w:val="28"/>
          <w:lang w:eastAsia="en-US"/>
        </w:rPr>
        <w:t xml:space="preserve">Зміни показників </w:t>
      </w:r>
      <w:proofErr w:type="spellStart"/>
      <w:r w:rsidRPr="00520861">
        <w:rPr>
          <w:rFonts w:eastAsiaTheme="minorHAnsi"/>
          <w:sz w:val="28"/>
          <w:szCs w:val="28"/>
          <w:lang w:eastAsia="en-US"/>
        </w:rPr>
        <w:t>фосфорно</w:t>
      </w:r>
      <w:proofErr w:type="spellEnd"/>
      <w:r w:rsidRPr="00520861">
        <w:rPr>
          <w:rFonts w:eastAsiaTheme="minorHAnsi"/>
          <w:sz w:val="28"/>
          <w:szCs w:val="28"/>
          <w:lang w:eastAsia="en-US"/>
        </w:rPr>
        <w:t xml:space="preserve">-кальцієвого обміну та активності ЛФ ротової рідини можуть бути використані як маркери розвитку порушень ЗЩС в осіб, які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з урахуванням відмінностей їхніх антропометричних </w:t>
      </w:r>
      <w:r w:rsidRPr="00520861">
        <w:rPr>
          <w:rFonts w:eastAsiaTheme="minorHAnsi"/>
          <w:sz w:val="28"/>
          <w:szCs w:val="28"/>
          <w:lang w:eastAsia="en-US"/>
        </w:rPr>
        <w:br/>
        <w:t>показників при народженні.</w:t>
      </w:r>
    </w:p>
    <w:p w14:paraId="4140BD9C" w14:textId="77777777" w:rsidR="002E3CE8" w:rsidRPr="00520861" w:rsidRDefault="002E3CE8" w:rsidP="00292D2E">
      <w:pPr>
        <w:widowControl w:val="0"/>
        <w:spacing w:line="360" w:lineRule="auto"/>
        <w:ind w:right="-1" w:firstLine="708"/>
        <w:jc w:val="both"/>
        <w:rPr>
          <w:sz w:val="28"/>
          <w:szCs w:val="28"/>
        </w:rPr>
      </w:pPr>
      <w:r w:rsidRPr="00520861">
        <w:rPr>
          <w:sz w:val="28"/>
          <w:szCs w:val="28"/>
        </w:rPr>
        <w:t>Наявніст</w:t>
      </w:r>
      <w:r w:rsidR="00C641A2" w:rsidRPr="00520861">
        <w:rPr>
          <w:sz w:val="28"/>
          <w:szCs w:val="28"/>
        </w:rPr>
        <w:t>ь алеля</w:t>
      </w:r>
      <w:r w:rsidRPr="00520861">
        <w:rPr>
          <w:sz w:val="28"/>
          <w:szCs w:val="28"/>
        </w:rPr>
        <w:t xml:space="preserve"> G за геном </w:t>
      </w:r>
      <w:r w:rsidRPr="00520861">
        <w:rPr>
          <w:i/>
          <w:sz w:val="28"/>
          <w:szCs w:val="28"/>
        </w:rPr>
        <w:t xml:space="preserve">CYP19A1 </w:t>
      </w:r>
      <w:r w:rsidRPr="00520861">
        <w:rPr>
          <w:sz w:val="28"/>
          <w:szCs w:val="28"/>
        </w:rPr>
        <w:t>[rs2414096] (мультиплікативна модель успадкуван</w:t>
      </w:r>
      <w:r w:rsidR="00C641A2" w:rsidRPr="00520861">
        <w:rPr>
          <w:sz w:val="28"/>
          <w:szCs w:val="28"/>
        </w:rPr>
        <w:t>ня, ВШ=2,826) та наявність алеля</w:t>
      </w:r>
      <w:r w:rsidRPr="00520861">
        <w:rPr>
          <w:sz w:val="28"/>
          <w:szCs w:val="28"/>
        </w:rPr>
        <w:t xml:space="preserve"> А за геном </w:t>
      </w:r>
      <w:r w:rsidRPr="00520861">
        <w:rPr>
          <w:i/>
          <w:sz w:val="28"/>
          <w:szCs w:val="28"/>
        </w:rPr>
        <w:t>ESR1</w:t>
      </w:r>
      <w:r w:rsidRPr="00520861">
        <w:rPr>
          <w:sz w:val="28"/>
          <w:szCs w:val="28"/>
        </w:rPr>
        <w:t xml:space="preserve"> [rs9340799] (мультиплікативна модель успадкування, ВШ=2,107) є факторами ризику розвитку </w:t>
      </w:r>
      <w:proofErr w:type="spellStart"/>
      <w:r w:rsidRPr="00520861">
        <w:rPr>
          <w:sz w:val="28"/>
          <w:szCs w:val="28"/>
        </w:rPr>
        <w:t>макросомії</w:t>
      </w:r>
      <w:proofErr w:type="spellEnd"/>
      <w:r w:rsidRPr="00520861">
        <w:rPr>
          <w:sz w:val="28"/>
          <w:szCs w:val="28"/>
        </w:rPr>
        <w:t xml:space="preserve"> плода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w:t>
      </w:r>
      <w:r w:rsidRPr="00520861">
        <w:rPr>
          <w:rFonts w:eastAsia="Calibri"/>
          <w:sz w:val="28"/>
          <w:szCs w:val="28"/>
          <w:lang w:eastAsia="en-US"/>
        </w:rPr>
        <w:t xml:space="preserve">Варіанти генів </w:t>
      </w:r>
      <w:r w:rsidRPr="00520861">
        <w:rPr>
          <w:rFonts w:eastAsia="Calibri"/>
          <w:i/>
          <w:sz w:val="28"/>
          <w:szCs w:val="28"/>
          <w:lang w:eastAsia="en-US"/>
        </w:rPr>
        <w:t>RANKL</w:t>
      </w:r>
      <w:r w:rsidRPr="00520861">
        <w:rPr>
          <w:rFonts w:eastAsia="Calibri"/>
          <w:sz w:val="28"/>
          <w:szCs w:val="28"/>
          <w:lang w:eastAsia="en-US"/>
        </w:rPr>
        <w:t xml:space="preserve"> [</w:t>
      </w:r>
      <w:r w:rsidRPr="00520861">
        <w:rPr>
          <w:rFonts w:eastAsiaTheme="minorHAnsi"/>
          <w:sz w:val="28"/>
          <w:szCs w:val="28"/>
          <w:lang w:eastAsia="en-US"/>
        </w:rPr>
        <w:t>rs9594759]</w:t>
      </w:r>
      <w:r w:rsidRPr="00520861">
        <w:rPr>
          <w:rFonts w:eastAsia="Calibri"/>
          <w:sz w:val="28"/>
          <w:szCs w:val="28"/>
          <w:lang w:eastAsia="en-US"/>
        </w:rPr>
        <w:t xml:space="preserve"> та </w:t>
      </w:r>
      <w:r w:rsidRPr="00520861">
        <w:rPr>
          <w:rFonts w:eastAsia="Calibri"/>
          <w:i/>
          <w:sz w:val="28"/>
          <w:szCs w:val="28"/>
          <w:lang w:eastAsia="en-US"/>
        </w:rPr>
        <w:t>IL10</w:t>
      </w:r>
      <w:r w:rsidRPr="00520861">
        <w:rPr>
          <w:rFonts w:eastAsia="Calibri"/>
          <w:sz w:val="28"/>
          <w:szCs w:val="28"/>
          <w:lang w:eastAsia="en-US"/>
        </w:rPr>
        <w:t xml:space="preserve"> [rs1800896], а також гена </w:t>
      </w:r>
      <w:r w:rsidRPr="00520861">
        <w:rPr>
          <w:rFonts w:eastAsia="Calibri"/>
          <w:i/>
          <w:sz w:val="28"/>
          <w:szCs w:val="28"/>
          <w:lang w:eastAsia="en-US"/>
        </w:rPr>
        <w:t>CYP19A1</w:t>
      </w:r>
      <w:r w:rsidRPr="00520861">
        <w:rPr>
          <w:rFonts w:eastAsia="Calibri"/>
          <w:sz w:val="28"/>
          <w:szCs w:val="28"/>
          <w:lang w:eastAsia="en-US"/>
        </w:rPr>
        <w:t xml:space="preserve"> [rs2414096] мають </w:t>
      </w:r>
      <w:proofErr w:type="spellStart"/>
      <w:r w:rsidRPr="00520861">
        <w:rPr>
          <w:rFonts w:eastAsia="Calibri"/>
          <w:sz w:val="28"/>
          <w:szCs w:val="28"/>
          <w:lang w:eastAsia="en-US"/>
        </w:rPr>
        <w:t>різнонаправлений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модифікуючий</w:t>
      </w:r>
      <w:proofErr w:type="spellEnd"/>
      <w:r w:rsidRPr="00520861">
        <w:rPr>
          <w:rFonts w:eastAsia="Calibri"/>
          <w:sz w:val="28"/>
          <w:szCs w:val="28"/>
          <w:lang w:eastAsia="en-US"/>
        </w:rPr>
        <w:t xml:space="preserve"> вплив на терміни прорізування тимчасових зубів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П</w:t>
      </w:r>
      <w:r w:rsidRPr="00520861">
        <w:rPr>
          <w:sz w:val="28"/>
          <w:szCs w:val="28"/>
        </w:rPr>
        <w:t xml:space="preserve">ідвищений ризик затримки прорізування тимчасових зубів в осіб, які народилися </w:t>
      </w:r>
      <w:proofErr w:type="spellStart"/>
      <w:r w:rsidRPr="00520861">
        <w:rPr>
          <w:sz w:val="28"/>
          <w:szCs w:val="28"/>
        </w:rPr>
        <w:t>макросомами</w:t>
      </w:r>
      <w:proofErr w:type="spellEnd"/>
      <w:r w:rsidRPr="00520861">
        <w:rPr>
          <w:sz w:val="28"/>
          <w:szCs w:val="28"/>
        </w:rPr>
        <w:t>, асоційований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з варіантами гена </w:t>
      </w:r>
      <w:r w:rsidRPr="00520861">
        <w:rPr>
          <w:i/>
          <w:sz w:val="28"/>
          <w:szCs w:val="28"/>
        </w:rPr>
        <w:t>RANKL</w:t>
      </w:r>
      <w:r w:rsidRPr="00520861">
        <w:rPr>
          <w:sz w:val="28"/>
          <w:szCs w:val="28"/>
        </w:rPr>
        <w:t xml:space="preserve"> [rs9594759] (алель T, мультиплікативна модель успадкування, ВШ=2,290) та гена </w:t>
      </w:r>
      <w:r w:rsidRPr="00520861">
        <w:rPr>
          <w:i/>
          <w:sz w:val="28"/>
          <w:szCs w:val="28"/>
        </w:rPr>
        <w:t>IL10</w:t>
      </w:r>
      <w:r w:rsidRPr="00520861">
        <w:rPr>
          <w:sz w:val="28"/>
          <w:szCs w:val="28"/>
        </w:rPr>
        <w:t xml:space="preserve"> [rs1800896] (генотипи GG+AA, </w:t>
      </w:r>
      <w:proofErr w:type="spellStart"/>
      <w:r w:rsidRPr="00520861">
        <w:rPr>
          <w:sz w:val="28"/>
          <w:szCs w:val="28"/>
        </w:rPr>
        <w:t>наддомінантна</w:t>
      </w:r>
      <w:proofErr w:type="spellEnd"/>
      <w:r w:rsidRPr="00520861">
        <w:rPr>
          <w:sz w:val="28"/>
          <w:szCs w:val="28"/>
        </w:rPr>
        <w:t xml:space="preserve"> модель успадкування, ВШ=5,833)</w:t>
      </w:r>
      <w:r w:rsidRPr="00520861">
        <w:rPr>
          <w:rFonts w:eastAsia="Calibri"/>
          <w:sz w:val="28"/>
          <w:szCs w:val="28"/>
          <w:lang w:eastAsia="en-US"/>
        </w:rPr>
        <w:t>.</w:t>
      </w:r>
    </w:p>
    <w:p w14:paraId="6BB6DD70" w14:textId="77777777" w:rsidR="002E3CE8" w:rsidRPr="00520861" w:rsidRDefault="002E3CE8" w:rsidP="00AC51A6">
      <w:pPr>
        <w:widowControl w:val="0"/>
        <w:spacing w:line="360" w:lineRule="auto"/>
        <w:ind w:firstLine="709"/>
        <w:jc w:val="both"/>
        <w:rPr>
          <w:spacing w:val="-4"/>
          <w:sz w:val="28"/>
          <w:szCs w:val="28"/>
        </w:rPr>
      </w:pPr>
      <w:r w:rsidRPr="00520861">
        <w:rPr>
          <w:rFonts w:eastAsia="Calibri"/>
          <w:sz w:val="28"/>
          <w:szCs w:val="28"/>
          <w:lang w:eastAsia="en-US"/>
        </w:rPr>
        <w:t xml:space="preserve">Отримані дані про особливості генетичної складової метаболізму кісткової тканини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r w:rsidRPr="00520861">
        <w:rPr>
          <w:sz w:val="28"/>
          <w:szCs w:val="28"/>
        </w:rPr>
        <w:t xml:space="preserve">Помірні порушення прикусу (DAI 26 – 30 балів) в осіб, народжених </w:t>
      </w:r>
      <w:proofErr w:type="spellStart"/>
      <w:r w:rsidRPr="00520861">
        <w:rPr>
          <w:sz w:val="28"/>
          <w:szCs w:val="28"/>
        </w:rPr>
        <w:t>макросомами</w:t>
      </w:r>
      <w:proofErr w:type="spellEnd"/>
      <w:r w:rsidRPr="00520861">
        <w:rPr>
          <w:sz w:val="28"/>
          <w:szCs w:val="28"/>
        </w:rPr>
        <w:t xml:space="preserve">, асоційовані з поліморфізмом генів </w:t>
      </w:r>
      <w:r w:rsidRPr="00520861">
        <w:rPr>
          <w:i/>
          <w:sz w:val="28"/>
          <w:szCs w:val="28"/>
        </w:rPr>
        <w:t xml:space="preserve">ESR1 </w:t>
      </w:r>
      <w:r w:rsidRPr="00520861">
        <w:rPr>
          <w:sz w:val="28"/>
          <w:szCs w:val="28"/>
        </w:rPr>
        <w:t xml:space="preserve">[rs2234693], </w:t>
      </w:r>
      <w:r w:rsidRPr="00520861">
        <w:rPr>
          <w:i/>
          <w:sz w:val="28"/>
          <w:szCs w:val="28"/>
        </w:rPr>
        <w:t xml:space="preserve">CYP19A1 </w:t>
      </w:r>
      <w:r w:rsidRPr="00520861">
        <w:rPr>
          <w:sz w:val="28"/>
          <w:szCs w:val="28"/>
        </w:rPr>
        <w:t xml:space="preserve">rs2414096 і </w:t>
      </w:r>
      <w:r w:rsidRPr="00520861">
        <w:rPr>
          <w:i/>
          <w:sz w:val="28"/>
          <w:szCs w:val="28"/>
        </w:rPr>
        <w:t xml:space="preserve">IL10 </w:t>
      </w:r>
      <w:r w:rsidRPr="00520861">
        <w:rPr>
          <w:sz w:val="28"/>
          <w:szCs w:val="28"/>
        </w:rPr>
        <w:t xml:space="preserve">[rs1800896]. Протекторний ефект вірогідно (p&lt;0,05) мали гетерозиготні варіанти генотипів за генами </w:t>
      </w:r>
      <w:r w:rsidRPr="00520861">
        <w:rPr>
          <w:i/>
          <w:sz w:val="28"/>
          <w:szCs w:val="28"/>
        </w:rPr>
        <w:t xml:space="preserve">ESR1 </w:t>
      </w:r>
      <w:r w:rsidRPr="00520861">
        <w:rPr>
          <w:sz w:val="28"/>
          <w:szCs w:val="28"/>
        </w:rPr>
        <w:t>[rs2234693] (</w:t>
      </w:r>
      <w:proofErr w:type="spellStart"/>
      <w:r w:rsidRPr="00520861">
        <w:rPr>
          <w:sz w:val="28"/>
          <w:szCs w:val="28"/>
        </w:rPr>
        <w:t>наддомінантна</w:t>
      </w:r>
      <w:proofErr w:type="spellEnd"/>
      <w:r w:rsidRPr="00520861">
        <w:rPr>
          <w:sz w:val="28"/>
          <w:szCs w:val="28"/>
        </w:rPr>
        <w:t xml:space="preserve"> модель успадкування, ВШ=0,375) та </w:t>
      </w:r>
      <w:r w:rsidRPr="00520861">
        <w:rPr>
          <w:i/>
          <w:sz w:val="28"/>
          <w:szCs w:val="28"/>
        </w:rPr>
        <w:t>IL10</w:t>
      </w:r>
      <w:r w:rsidRPr="00520861">
        <w:rPr>
          <w:sz w:val="28"/>
          <w:szCs w:val="28"/>
        </w:rPr>
        <w:t xml:space="preserve"> [rs1800896] (</w:t>
      </w:r>
      <w:proofErr w:type="spellStart"/>
      <w:r w:rsidRPr="00520861">
        <w:rPr>
          <w:sz w:val="28"/>
          <w:szCs w:val="28"/>
        </w:rPr>
        <w:t>наддомінантна</w:t>
      </w:r>
      <w:proofErr w:type="spellEnd"/>
      <w:r w:rsidRPr="00520861">
        <w:rPr>
          <w:sz w:val="28"/>
          <w:szCs w:val="28"/>
        </w:rPr>
        <w:t xml:space="preserve"> модель успадкування, ВШ=0,218), а також генотип AA і алель A гена </w:t>
      </w:r>
      <w:r w:rsidRPr="00520861">
        <w:rPr>
          <w:i/>
          <w:sz w:val="28"/>
          <w:szCs w:val="28"/>
        </w:rPr>
        <w:t>CYP19A1</w:t>
      </w:r>
      <w:r w:rsidRPr="00520861">
        <w:rPr>
          <w:sz w:val="28"/>
          <w:szCs w:val="28"/>
        </w:rPr>
        <w:t xml:space="preserve"> [rs2414096] – адитивна, домінантна (ВШ=0,126) та мультиплікативна (ВШ=0,192) моделі успадкування. Поліморфізм за геном </w:t>
      </w:r>
      <w:r w:rsidRPr="00520861">
        <w:rPr>
          <w:i/>
          <w:sz w:val="28"/>
          <w:szCs w:val="28"/>
        </w:rPr>
        <w:t>IL10</w:t>
      </w:r>
      <w:r w:rsidRPr="00520861">
        <w:rPr>
          <w:sz w:val="28"/>
          <w:szCs w:val="28"/>
        </w:rPr>
        <w:t xml:space="preserve"> </w:t>
      </w:r>
      <w:r w:rsidRPr="00520861">
        <w:rPr>
          <w:sz w:val="28"/>
          <w:szCs w:val="28"/>
          <w:lang w:val="ru-RU"/>
        </w:rPr>
        <w:t>[</w:t>
      </w:r>
      <w:r w:rsidRPr="00520861">
        <w:rPr>
          <w:sz w:val="28"/>
          <w:szCs w:val="28"/>
        </w:rPr>
        <w:t>rs1800896</w:t>
      </w:r>
      <w:r w:rsidRPr="00520861">
        <w:rPr>
          <w:sz w:val="28"/>
          <w:szCs w:val="28"/>
          <w:lang w:val="ru-RU"/>
        </w:rPr>
        <w:t>]</w:t>
      </w:r>
      <w:r w:rsidRPr="00520861">
        <w:rPr>
          <w:sz w:val="28"/>
          <w:szCs w:val="28"/>
        </w:rPr>
        <w:t xml:space="preserve"> вірогідно пов'язаний як з розвитком помірних, так і значних порушень прикусу (DAI 31 – 35 балів). </w:t>
      </w:r>
      <w:r w:rsidRPr="00520861">
        <w:rPr>
          <w:spacing w:val="-4"/>
          <w:sz w:val="28"/>
          <w:szCs w:val="28"/>
        </w:rPr>
        <w:t>Протекція від значних порушень прикусу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pacing w:val="-4"/>
          <w:sz w:val="28"/>
          <w:szCs w:val="28"/>
        </w:rPr>
        <w:t xml:space="preserve">) асоційована з гетерозиготним варіантом GA гена </w:t>
      </w:r>
      <w:r w:rsidRPr="00520861">
        <w:rPr>
          <w:i/>
          <w:spacing w:val="-4"/>
          <w:sz w:val="28"/>
          <w:szCs w:val="28"/>
        </w:rPr>
        <w:t>IL10</w:t>
      </w:r>
      <w:r w:rsidRPr="00520861">
        <w:rPr>
          <w:spacing w:val="-4"/>
          <w:sz w:val="28"/>
          <w:szCs w:val="28"/>
        </w:rPr>
        <w:t xml:space="preserve"> [rs1800896] (</w:t>
      </w:r>
      <w:proofErr w:type="spellStart"/>
      <w:r w:rsidRPr="00520861">
        <w:rPr>
          <w:spacing w:val="-4"/>
          <w:sz w:val="28"/>
          <w:szCs w:val="28"/>
        </w:rPr>
        <w:t>наддомінантна</w:t>
      </w:r>
      <w:proofErr w:type="spellEnd"/>
      <w:r w:rsidRPr="00520861">
        <w:rPr>
          <w:spacing w:val="-4"/>
          <w:sz w:val="28"/>
          <w:szCs w:val="28"/>
        </w:rPr>
        <w:t xml:space="preserve"> модель успадкування, ВШ=0,150).</w:t>
      </w:r>
      <w:r w:rsidR="00AC51A6" w:rsidRPr="00520861">
        <w:rPr>
          <w:spacing w:val="-4"/>
          <w:sz w:val="28"/>
          <w:szCs w:val="28"/>
        </w:rPr>
        <w:br w:type="page"/>
      </w:r>
    </w:p>
    <w:p w14:paraId="615A14BC" w14:textId="77777777" w:rsidR="002E3CE8" w:rsidRPr="00520861" w:rsidRDefault="002E3CE8" w:rsidP="00292D2E">
      <w:pPr>
        <w:widowControl w:val="0"/>
        <w:spacing w:after="160" w:line="259" w:lineRule="auto"/>
        <w:jc w:val="center"/>
        <w:rPr>
          <w:rFonts w:eastAsiaTheme="minorHAnsi"/>
          <w:b/>
          <w:sz w:val="28"/>
          <w:szCs w:val="28"/>
          <w:lang w:eastAsia="en-US"/>
        </w:rPr>
      </w:pPr>
      <w:r w:rsidRPr="00520861">
        <w:rPr>
          <w:rFonts w:eastAsiaTheme="minorHAnsi"/>
          <w:b/>
          <w:sz w:val="28"/>
          <w:szCs w:val="28"/>
          <w:lang w:eastAsia="en-US"/>
        </w:rPr>
        <w:lastRenderedPageBreak/>
        <w:t>РОЗДІЛ 6</w:t>
      </w:r>
    </w:p>
    <w:p w14:paraId="57DA64A9" w14:textId="77777777" w:rsidR="002E3CE8" w:rsidRPr="00520861" w:rsidRDefault="002E3CE8" w:rsidP="00292D2E">
      <w:pPr>
        <w:widowControl w:val="0"/>
        <w:spacing w:after="160" w:line="259" w:lineRule="auto"/>
        <w:jc w:val="center"/>
        <w:rPr>
          <w:rFonts w:eastAsiaTheme="minorHAnsi"/>
          <w:b/>
          <w:sz w:val="28"/>
          <w:szCs w:val="28"/>
          <w:lang w:eastAsia="en-US"/>
        </w:rPr>
      </w:pPr>
    </w:p>
    <w:p w14:paraId="7054849A" w14:textId="77777777" w:rsidR="002E3CE8" w:rsidRPr="00520861" w:rsidRDefault="002E3CE8" w:rsidP="00292D2E">
      <w:pPr>
        <w:widowControl w:val="0"/>
        <w:spacing w:after="160" w:line="259" w:lineRule="auto"/>
        <w:jc w:val="center"/>
        <w:rPr>
          <w:rFonts w:eastAsiaTheme="minorHAnsi"/>
          <w:b/>
          <w:sz w:val="28"/>
          <w:szCs w:val="28"/>
          <w:lang w:eastAsia="en-US"/>
        </w:rPr>
      </w:pPr>
    </w:p>
    <w:p w14:paraId="757006A5" w14:textId="77777777" w:rsidR="002E3CE8" w:rsidRPr="00520861" w:rsidRDefault="002E3CE8" w:rsidP="00292D2E">
      <w:pPr>
        <w:widowControl w:val="0"/>
        <w:spacing w:line="360" w:lineRule="auto"/>
        <w:jc w:val="center"/>
        <w:rPr>
          <w:rFonts w:eastAsiaTheme="minorHAnsi"/>
          <w:b/>
          <w:sz w:val="28"/>
          <w:szCs w:val="28"/>
          <w:lang w:eastAsia="en-US"/>
        </w:rPr>
      </w:pPr>
      <w:r w:rsidRPr="00520861">
        <w:rPr>
          <w:rFonts w:eastAsiaTheme="minorHAnsi"/>
          <w:b/>
          <w:sz w:val="28"/>
          <w:szCs w:val="28"/>
          <w:lang w:eastAsia="en-US"/>
        </w:rPr>
        <w:t xml:space="preserve">ОСОБЛИВОСТІ ДІАГНОСТИКИ ТА ПРОГНОЗУВАННЯ КАРІЄСОГЕННОЇ СИТУАЦІЇ В ОСІБ РІЗНОГО ВІКУ ПОПУЛЯЦІЇ ХАРКІВСЬКОЇ ОБЛАСТІ ТА ПРИЛЕГЛИХ (ДОНЕЦЬКОЇ, ЛУГАНСЬКОЇ) ОБЛАСТЕЙ, </w:t>
      </w:r>
    </w:p>
    <w:p w14:paraId="65BBEE23" w14:textId="77777777" w:rsidR="002E3CE8" w:rsidRPr="00520861" w:rsidRDefault="002E3CE8" w:rsidP="00292D2E">
      <w:pPr>
        <w:widowControl w:val="0"/>
        <w:spacing w:line="360" w:lineRule="auto"/>
        <w:jc w:val="center"/>
        <w:rPr>
          <w:rFonts w:eastAsiaTheme="minorHAnsi"/>
          <w:b/>
          <w:sz w:val="28"/>
          <w:szCs w:val="28"/>
          <w:lang w:val="ru-RU" w:eastAsia="en-US"/>
        </w:rPr>
      </w:pPr>
      <w:r w:rsidRPr="00520861">
        <w:rPr>
          <w:rFonts w:eastAsiaTheme="minorHAnsi"/>
          <w:b/>
          <w:sz w:val="28"/>
          <w:szCs w:val="28"/>
          <w:lang w:val="ru-RU" w:eastAsia="en-US"/>
        </w:rPr>
        <w:t>ЯКІ НАРОДИЛИСЯ З МАКРОСОМІЄЮ</w:t>
      </w:r>
    </w:p>
    <w:p w14:paraId="75AB9AD7" w14:textId="77777777" w:rsidR="002E3CE8" w:rsidRPr="00520861" w:rsidRDefault="002E3CE8" w:rsidP="00292D2E">
      <w:pPr>
        <w:widowControl w:val="0"/>
        <w:spacing w:line="360" w:lineRule="auto"/>
        <w:jc w:val="center"/>
        <w:rPr>
          <w:rFonts w:eastAsiaTheme="minorHAnsi"/>
          <w:b/>
          <w:sz w:val="28"/>
          <w:szCs w:val="28"/>
          <w:lang w:val="ru-RU" w:eastAsia="en-US"/>
        </w:rPr>
      </w:pPr>
    </w:p>
    <w:p w14:paraId="53601A0C" w14:textId="77777777" w:rsidR="002E3CE8" w:rsidRPr="00520861" w:rsidRDefault="002E3CE8" w:rsidP="00292D2E">
      <w:pPr>
        <w:widowControl w:val="0"/>
        <w:spacing w:line="360" w:lineRule="auto"/>
        <w:jc w:val="center"/>
        <w:rPr>
          <w:rFonts w:eastAsiaTheme="minorHAnsi"/>
          <w:b/>
          <w:sz w:val="28"/>
          <w:szCs w:val="28"/>
          <w:lang w:eastAsia="en-US"/>
        </w:rPr>
      </w:pPr>
    </w:p>
    <w:p w14:paraId="28D42696"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b/>
          <w:bCs/>
          <w:color w:val="000000"/>
          <w:sz w:val="28"/>
          <w:szCs w:val="28"/>
          <w:shd w:val="clear" w:color="auto" w:fill="FFFFFF"/>
          <w:lang w:val="ru-RU" w:eastAsia="en-US"/>
        </w:rPr>
        <w:t>6</w:t>
      </w:r>
      <w:r w:rsidRPr="00520861">
        <w:rPr>
          <w:rFonts w:eastAsia="Calibri"/>
          <w:b/>
          <w:bCs/>
          <w:color w:val="000000"/>
          <w:sz w:val="28"/>
          <w:szCs w:val="28"/>
          <w:shd w:val="clear" w:color="auto" w:fill="FFFFFF"/>
          <w:lang w:eastAsia="en-US"/>
        </w:rPr>
        <w:t xml:space="preserve">.1. </w:t>
      </w:r>
      <w:r w:rsidRPr="00520861">
        <w:rPr>
          <w:b/>
          <w:sz w:val="28"/>
          <w:szCs w:val="28"/>
        </w:rPr>
        <w:t>Результати клініко-ретроспективного дослідження п</w:t>
      </w:r>
      <w:r w:rsidRPr="00520861">
        <w:rPr>
          <w:rFonts w:eastAsia="Calibri"/>
          <w:b/>
          <w:sz w:val="28"/>
          <w:szCs w:val="28"/>
          <w:lang w:eastAsia="en-US"/>
        </w:rPr>
        <w:t xml:space="preserve">оказників </w:t>
      </w:r>
      <w:r w:rsidRPr="00520861">
        <w:rPr>
          <w:rFonts w:eastAsia="Calibri"/>
          <w:b/>
          <w:sz w:val="28"/>
          <w:szCs w:val="28"/>
          <w:lang w:eastAsia="en-US"/>
        </w:rPr>
        <w:br/>
        <w:t xml:space="preserve">карієсу в дітей та підлітків, які народилися з </w:t>
      </w:r>
      <w:proofErr w:type="spellStart"/>
      <w:r w:rsidRPr="00520861">
        <w:rPr>
          <w:rFonts w:eastAsia="Calibri"/>
          <w:b/>
          <w:sz w:val="28"/>
          <w:szCs w:val="28"/>
          <w:lang w:eastAsia="en-US"/>
        </w:rPr>
        <w:t>макросомією</w:t>
      </w:r>
      <w:proofErr w:type="spellEnd"/>
    </w:p>
    <w:p w14:paraId="6DD9155E"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p>
    <w:p w14:paraId="3C159EED"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Виявилося, що із 681 проаналізованої історії розвитку дітей,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у 184 були записи про лікування карієсу та його ускладнень. </w:t>
      </w:r>
    </w:p>
    <w:p w14:paraId="247EB39B" w14:textId="77777777" w:rsidR="002E3CE8" w:rsidRPr="00520861" w:rsidRDefault="002E3CE8" w:rsidP="00292D2E">
      <w:pPr>
        <w:widowControl w:val="0"/>
        <w:spacing w:line="360" w:lineRule="auto"/>
        <w:ind w:firstLine="708"/>
        <w:contextualSpacing/>
        <w:jc w:val="both"/>
        <w:rPr>
          <w:rFonts w:eastAsia="Calibri"/>
          <w:spacing w:val="-2"/>
          <w:sz w:val="28"/>
          <w:szCs w:val="28"/>
          <w:lang w:eastAsia="en-US"/>
        </w:rPr>
      </w:pPr>
      <w:r w:rsidRPr="00520861">
        <w:rPr>
          <w:rFonts w:eastAsia="Calibri"/>
          <w:sz w:val="28"/>
          <w:szCs w:val="28"/>
          <w:lang w:eastAsia="en-US"/>
        </w:rPr>
        <w:t xml:space="preserve">Із даних, представлених у табл. 6.1 витікає, що в групі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(ОГ), у порівнянні із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(ГП), була виявлена вірогідно більша процентна кількість історій, у яких були записи про лікування карієсу тимчасових зубів [51]. Розподіл за підгрупами показав, що в підгрупах 1, 3 та 4 процентна кількість дітей, які мали карієс тимчасових зубів, була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більшою, ніж у ГП. </w:t>
      </w:r>
      <w:r w:rsidRPr="00520861">
        <w:rPr>
          <w:rFonts w:eastAsia="Calibri"/>
          <w:spacing w:val="-2"/>
          <w:sz w:val="28"/>
          <w:szCs w:val="28"/>
          <w:lang w:eastAsia="en-US"/>
        </w:rPr>
        <w:t xml:space="preserve">У підгрупі 2 процентна кількість дітей, які мали карієс тимчасових зубів, була зіставною з такою у ГП. </w:t>
      </w:r>
    </w:p>
    <w:p w14:paraId="2BBCFC0E" w14:textId="77777777" w:rsidR="002E3CE8" w:rsidRPr="00520861" w:rsidRDefault="002E3CE8" w:rsidP="00292D2E">
      <w:pPr>
        <w:widowControl w:val="0"/>
        <w:spacing w:line="360" w:lineRule="auto"/>
        <w:ind w:firstLine="708"/>
        <w:contextualSpacing/>
        <w:jc w:val="both"/>
        <w:rPr>
          <w:rFonts w:eastAsia="Calibri"/>
          <w:b/>
          <w:sz w:val="28"/>
          <w:szCs w:val="28"/>
          <w:lang w:eastAsia="en-US"/>
        </w:rPr>
      </w:pPr>
      <w:r w:rsidRPr="00520861">
        <w:rPr>
          <w:rFonts w:eastAsia="Calibri"/>
          <w:sz w:val="28"/>
          <w:szCs w:val="28"/>
          <w:lang w:eastAsia="en-US"/>
        </w:rPr>
        <w:t>У дітей із підгрупи 2 не було зафіксовано жодного випадку РДК. У всіх інших підгрупах процентна кількість дітей, які мали РДК, була більшою, ніж у ГП. Відмінності є вірогідними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для дітей із підгруп 1 та 4.</w:t>
      </w:r>
    </w:p>
    <w:p w14:paraId="0C1E6826"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Процентна кількість історій із записами про лікування ускладненого карієсу тимчасових зубів також була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більшою в ОГ, ніж у ГП. Під час аналізу цього показника за підгрупами виявилося, що найвища процентна кількість дітей, які мали ускладнений карієс, і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вища у порівнянні з ГП, була в підгрупі 4. Вірогідним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у порівнянні із ГП, виявилося перевищення процентної кількості показника «РДК» для підгруп 1 та 4. У підгрупі 3 мала місце стійка </w:t>
      </w:r>
      <w:r w:rsidRPr="00520861">
        <w:rPr>
          <w:rFonts w:eastAsia="Calibri"/>
          <w:sz w:val="28"/>
          <w:szCs w:val="28"/>
          <w:lang w:eastAsia="en-US"/>
        </w:rPr>
        <w:br/>
        <w:t xml:space="preserve">тенденція до збільшення цього показника, у порівнянні з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(табл.6.1). </w:t>
      </w:r>
    </w:p>
    <w:p w14:paraId="058E4317" w14:textId="77777777" w:rsidR="002E3CE8" w:rsidRPr="00520861" w:rsidRDefault="002E3CE8" w:rsidP="00292D2E">
      <w:pPr>
        <w:widowControl w:val="0"/>
        <w:spacing w:line="256" w:lineRule="auto"/>
        <w:rPr>
          <w:rFonts w:eastAsia="Calibri"/>
          <w:sz w:val="28"/>
          <w:szCs w:val="28"/>
          <w:lang w:eastAsia="en-US"/>
        </w:rPr>
        <w:sectPr w:rsidR="002E3CE8" w:rsidRPr="00520861" w:rsidSect="00AC51A6">
          <w:headerReference w:type="default" r:id="rId98"/>
          <w:pgSz w:w="11906" w:h="16838"/>
          <w:pgMar w:top="1134" w:right="624" w:bottom="1134" w:left="1134" w:header="709" w:footer="709" w:gutter="0"/>
          <w:pgNumType w:start="251"/>
          <w:cols w:space="720"/>
        </w:sectPr>
      </w:pPr>
    </w:p>
    <w:p w14:paraId="3DB06F32" w14:textId="77777777" w:rsidR="002E3CE8" w:rsidRPr="00520861" w:rsidRDefault="002E3CE8" w:rsidP="00292D2E">
      <w:pPr>
        <w:widowControl w:val="0"/>
        <w:spacing w:line="360" w:lineRule="auto"/>
        <w:ind w:firstLine="708"/>
        <w:contextualSpacing/>
        <w:jc w:val="right"/>
        <w:rPr>
          <w:rFonts w:eastAsia="Calibri"/>
          <w:i/>
          <w:spacing w:val="-2"/>
          <w:sz w:val="28"/>
          <w:szCs w:val="28"/>
          <w:lang w:eastAsia="en-US"/>
        </w:rPr>
      </w:pPr>
      <w:r w:rsidRPr="00520861">
        <w:rPr>
          <w:rFonts w:eastAsia="Calibri"/>
          <w:i/>
          <w:spacing w:val="-2"/>
          <w:sz w:val="28"/>
          <w:szCs w:val="28"/>
          <w:lang w:eastAsia="en-US"/>
        </w:rPr>
        <w:lastRenderedPageBreak/>
        <w:t>Таблиця 6.1</w:t>
      </w:r>
    </w:p>
    <w:p w14:paraId="34A6A097" w14:textId="77777777" w:rsidR="002E3CE8" w:rsidRPr="00520861" w:rsidRDefault="002E3CE8" w:rsidP="00292D2E">
      <w:pPr>
        <w:widowControl w:val="0"/>
        <w:shd w:val="clear" w:color="auto" w:fill="FFFFFF"/>
        <w:spacing w:line="360" w:lineRule="auto"/>
        <w:contextualSpacing/>
        <w:jc w:val="center"/>
        <w:rPr>
          <w:b/>
          <w:spacing w:val="-2"/>
          <w:sz w:val="28"/>
          <w:szCs w:val="28"/>
        </w:rPr>
      </w:pPr>
      <w:r w:rsidRPr="00520861">
        <w:rPr>
          <w:rFonts w:eastAsia="Calibri"/>
          <w:b/>
          <w:color w:val="000000"/>
          <w:spacing w:val="-2"/>
          <w:sz w:val="28"/>
          <w:szCs w:val="28"/>
          <w:lang w:eastAsia="en-US"/>
        </w:rPr>
        <w:t xml:space="preserve">Зведені ретроспективні відомості про кількість, процент, (95% ДІ) дітей, які мали карієс та його ускладнення </w:t>
      </w:r>
      <w:r w:rsidRPr="00520861">
        <w:rPr>
          <w:rFonts w:eastAsia="Calibri"/>
          <w:b/>
          <w:color w:val="000000"/>
          <w:spacing w:val="-2"/>
          <w:sz w:val="28"/>
          <w:szCs w:val="28"/>
          <w:lang w:eastAsia="en-US"/>
        </w:rPr>
        <w:br/>
        <w:t xml:space="preserve">в </w:t>
      </w:r>
      <w:r w:rsidRPr="00520861">
        <w:rPr>
          <w:b/>
          <w:spacing w:val="-2"/>
          <w:sz w:val="28"/>
          <w:szCs w:val="28"/>
        </w:rPr>
        <w:t>ГП, ОГ та в підгрупах</w:t>
      </w:r>
    </w:p>
    <w:tbl>
      <w:tblPr>
        <w:tblStyle w:val="180"/>
        <w:tblW w:w="14601" w:type="dxa"/>
        <w:tblInd w:w="108" w:type="dxa"/>
        <w:tblLook w:val="04A0" w:firstRow="1" w:lastRow="0" w:firstColumn="1" w:lastColumn="0" w:noHBand="0" w:noVBand="1"/>
      </w:tblPr>
      <w:tblGrid>
        <w:gridCol w:w="1392"/>
        <w:gridCol w:w="2002"/>
        <w:gridCol w:w="2002"/>
        <w:gridCol w:w="2003"/>
        <w:gridCol w:w="1800"/>
        <w:gridCol w:w="1801"/>
        <w:gridCol w:w="1800"/>
        <w:gridCol w:w="1801"/>
      </w:tblGrid>
      <w:tr w:rsidR="002E3CE8" w:rsidRPr="00520861" w14:paraId="0CEC8A25" w14:textId="77777777" w:rsidTr="00292D2E">
        <w:tc>
          <w:tcPr>
            <w:tcW w:w="1392" w:type="dxa"/>
            <w:tcBorders>
              <w:top w:val="single" w:sz="4" w:space="0" w:color="auto"/>
              <w:left w:val="single" w:sz="4" w:space="0" w:color="auto"/>
              <w:bottom w:val="single" w:sz="4" w:space="0" w:color="auto"/>
              <w:right w:val="single" w:sz="4" w:space="0" w:color="auto"/>
            </w:tcBorders>
            <w:hideMark/>
          </w:tcPr>
          <w:p w14:paraId="776B8902"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 xml:space="preserve">Група, підгрупа, </w:t>
            </w:r>
          </w:p>
          <w:p w14:paraId="73740EDB" w14:textId="77777777" w:rsidR="002E3CE8" w:rsidRPr="00520861" w:rsidRDefault="002E3CE8" w:rsidP="00292D2E">
            <w:pPr>
              <w:widowControl w:val="0"/>
              <w:spacing w:line="360" w:lineRule="auto"/>
              <w:ind w:right="-40"/>
              <w:contextualSpacing/>
              <w:jc w:val="center"/>
              <w:rPr>
                <w:rFonts w:eastAsia="Calibri"/>
                <w:sz w:val="28"/>
                <w:szCs w:val="28"/>
              </w:rPr>
            </w:pPr>
            <w:r w:rsidRPr="00520861">
              <w:rPr>
                <w:rFonts w:eastAsia="Calibri"/>
                <w:sz w:val="28"/>
                <w:szCs w:val="28"/>
              </w:rPr>
              <w:t>(кількість учасників)</w:t>
            </w:r>
          </w:p>
        </w:tc>
        <w:tc>
          <w:tcPr>
            <w:tcW w:w="2002" w:type="dxa"/>
            <w:tcBorders>
              <w:top w:val="single" w:sz="4" w:space="0" w:color="auto"/>
              <w:left w:val="single" w:sz="4" w:space="0" w:color="auto"/>
              <w:bottom w:val="single" w:sz="4" w:space="0" w:color="auto"/>
              <w:right w:val="single" w:sz="4" w:space="0" w:color="auto"/>
            </w:tcBorders>
            <w:hideMark/>
          </w:tcPr>
          <w:p w14:paraId="466ACE96"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 xml:space="preserve">Кількість дітей із карієсом </w:t>
            </w:r>
          </w:p>
          <w:p w14:paraId="0A84210B"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тимчасових зубів,</w:t>
            </w:r>
            <w:r w:rsidR="00611A5B" w:rsidRPr="00520861">
              <w:rPr>
                <w:rFonts w:eastAsia="Calibri"/>
                <w:sz w:val="28"/>
                <w:szCs w:val="28"/>
              </w:rPr>
              <w:t>%</w:t>
            </w:r>
            <w:r w:rsidRPr="00520861">
              <w:rPr>
                <w:rFonts w:eastAsia="Calibri"/>
                <w:sz w:val="28"/>
                <w:szCs w:val="28"/>
              </w:rPr>
              <w:t xml:space="preserve">, </w:t>
            </w:r>
          </w:p>
          <w:p w14:paraId="09F46097"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(ДІ)</w:t>
            </w:r>
          </w:p>
        </w:tc>
        <w:tc>
          <w:tcPr>
            <w:tcW w:w="2002" w:type="dxa"/>
            <w:tcBorders>
              <w:top w:val="single" w:sz="4" w:space="0" w:color="auto"/>
              <w:left w:val="single" w:sz="4" w:space="0" w:color="auto"/>
              <w:bottom w:val="single" w:sz="4" w:space="0" w:color="auto"/>
              <w:right w:val="single" w:sz="4" w:space="0" w:color="auto"/>
            </w:tcBorders>
            <w:hideMark/>
          </w:tcPr>
          <w:p w14:paraId="7F2A402B" w14:textId="77777777" w:rsidR="002E3CE8" w:rsidRPr="00520861" w:rsidRDefault="002E3CE8" w:rsidP="00292D2E">
            <w:pPr>
              <w:widowControl w:val="0"/>
              <w:spacing w:line="360" w:lineRule="auto"/>
              <w:ind w:right="-103" w:hanging="104"/>
              <w:contextualSpacing/>
              <w:jc w:val="center"/>
              <w:rPr>
                <w:rFonts w:eastAsia="Calibri"/>
                <w:sz w:val="28"/>
                <w:szCs w:val="28"/>
              </w:rPr>
            </w:pPr>
            <w:r w:rsidRPr="00520861">
              <w:rPr>
                <w:rFonts w:eastAsia="Calibri"/>
                <w:sz w:val="28"/>
                <w:szCs w:val="28"/>
              </w:rPr>
              <w:t>Кількість дітей із ускладненим карієсом тимчасових зубів,</w:t>
            </w:r>
            <w:r w:rsidR="00611A5B" w:rsidRPr="00520861">
              <w:rPr>
                <w:rFonts w:eastAsia="Calibri"/>
                <w:sz w:val="28"/>
                <w:szCs w:val="28"/>
              </w:rPr>
              <w:t>%</w:t>
            </w:r>
            <w:r w:rsidRPr="00520861">
              <w:rPr>
                <w:rFonts w:eastAsia="Calibri"/>
                <w:sz w:val="28"/>
                <w:szCs w:val="28"/>
              </w:rPr>
              <w:t>, (ДІ)</w:t>
            </w:r>
          </w:p>
        </w:tc>
        <w:tc>
          <w:tcPr>
            <w:tcW w:w="2003" w:type="dxa"/>
            <w:tcBorders>
              <w:top w:val="single" w:sz="4" w:space="0" w:color="auto"/>
              <w:left w:val="single" w:sz="4" w:space="0" w:color="auto"/>
              <w:bottom w:val="single" w:sz="4" w:space="0" w:color="auto"/>
              <w:right w:val="single" w:sz="4" w:space="0" w:color="auto"/>
            </w:tcBorders>
            <w:hideMark/>
          </w:tcPr>
          <w:p w14:paraId="12EC9E1F"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 xml:space="preserve">Кількість дітей із раннім дитячим </w:t>
            </w:r>
          </w:p>
          <w:p w14:paraId="1A7ABF57"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карієсом,</w:t>
            </w:r>
            <w:r w:rsidR="00611A5B" w:rsidRPr="00520861">
              <w:rPr>
                <w:rFonts w:eastAsia="Calibri"/>
                <w:sz w:val="28"/>
                <w:szCs w:val="28"/>
              </w:rPr>
              <w:t>%</w:t>
            </w:r>
            <w:r w:rsidRPr="00520861">
              <w:rPr>
                <w:rFonts w:eastAsia="Calibri"/>
                <w:sz w:val="28"/>
                <w:szCs w:val="28"/>
              </w:rPr>
              <w:t>, (ДІ)</w:t>
            </w:r>
          </w:p>
        </w:tc>
        <w:tc>
          <w:tcPr>
            <w:tcW w:w="1800" w:type="dxa"/>
            <w:tcBorders>
              <w:top w:val="single" w:sz="4" w:space="0" w:color="auto"/>
              <w:left w:val="single" w:sz="4" w:space="0" w:color="auto"/>
              <w:bottom w:val="single" w:sz="4" w:space="0" w:color="auto"/>
              <w:right w:val="single" w:sz="4" w:space="0" w:color="auto"/>
            </w:tcBorders>
            <w:hideMark/>
          </w:tcPr>
          <w:p w14:paraId="720B294B" w14:textId="77777777" w:rsidR="002E3CE8" w:rsidRPr="00520861" w:rsidRDefault="002E3CE8" w:rsidP="00292D2E">
            <w:pPr>
              <w:widowControl w:val="0"/>
              <w:spacing w:line="360" w:lineRule="auto"/>
              <w:ind w:right="-123" w:hanging="142"/>
              <w:contextualSpacing/>
              <w:jc w:val="center"/>
              <w:rPr>
                <w:rFonts w:eastAsia="Calibri"/>
                <w:sz w:val="28"/>
                <w:szCs w:val="28"/>
              </w:rPr>
            </w:pPr>
            <w:r w:rsidRPr="00520861">
              <w:rPr>
                <w:rFonts w:eastAsia="Calibri"/>
                <w:sz w:val="28"/>
                <w:szCs w:val="28"/>
              </w:rPr>
              <w:t xml:space="preserve">Кількість </w:t>
            </w:r>
          </w:p>
          <w:p w14:paraId="313C2765" w14:textId="77777777" w:rsidR="002E3CE8" w:rsidRPr="00520861" w:rsidRDefault="002E3CE8" w:rsidP="00292D2E">
            <w:pPr>
              <w:widowControl w:val="0"/>
              <w:spacing w:line="360" w:lineRule="auto"/>
              <w:ind w:right="-123" w:hanging="142"/>
              <w:contextualSpacing/>
              <w:jc w:val="center"/>
              <w:rPr>
                <w:rFonts w:eastAsia="Calibri"/>
                <w:sz w:val="28"/>
                <w:szCs w:val="28"/>
              </w:rPr>
            </w:pPr>
            <w:r w:rsidRPr="00520861">
              <w:rPr>
                <w:rFonts w:eastAsia="Calibri"/>
                <w:sz w:val="28"/>
                <w:szCs w:val="28"/>
              </w:rPr>
              <w:t>дітей із тяжким раннім дитячим карієсом,</w:t>
            </w:r>
            <w:r w:rsidR="00611A5B" w:rsidRPr="00520861">
              <w:rPr>
                <w:rFonts w:eastAsia="Calibri"/>
                <w:sz w:val="28"/>
                <w:szCs w:val="28"/>
              </w:rPr>
              <w:t>%</w:t>
            </w:r>
            <w:r w:rsidRPr="00520861">
              <w:rPr>
                <w:rFonts w:eastAsia="Calibri"/>
                <w:sz w:val="28"/>
                <w:szCs w:val="28"/>
              </w:rPr>
              <w:t>, (ДІ)</w:t>
            </w:r>
          </w:p>
        </w:tc>
        <w:tc>
          <w:tcPr>
            <w:tcW w:w="1801" w:type="dxa"/>
            <w:tcBorders>
              <w:top w:val="single" w:sz="4" w:space="0" w:color="auto"/>
              <w:left w:val="single" w:sz="4" w:space="0" w:color="auto"/>
              <w:bottom w:val="single" w:sz="4" w:space="0" w:color="auto"/>
              <w:right w:val="single" w:sz="4" w:space="0" w:color="auto"/>
            </w:tcBorders>
            <w:hideMark/>
          </w:tcPr>
          <w:p w14:paraId="6BC01EFC"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Кількість дітей із карієсом віком до 3-х років,</w:t>
            </w:r>
            <w:r w:rsidR="00611A5B" w:rsidRPr="00520861">
              <w:rPr>
                <w:rFonts w:eastAsia="Calibri"/>
                <w:sz w:val="28"/>
                <w:szCs w:val="28"/>
              </w:rPr>
              <w:t>%</w:t>
            </w:r>
            <w:r w:rsidRPr="00520861">
              <w:rPr>
                <w:rFonts w:eastAsia="Calibri"/>
                <w:sz w:val="28"/>
                <w:szCs w:val="28"/>
              </w:rPr>
              <w:t>, (ДІ)</w:t>
            </w:r>
          </w:p>
        </w:tc>
        <w:tc>
          <w:tcPr>
            <w:tcW w:w="1800" w:type="dxa"/>
            <w:tcBorders>
              <w:top w:val="single" w:sz="4" w:space="0" w:color="auto"/>
              <w:left w:val="single" w:sz="4" w:space="0" w:color="auto"/>
              <w:bottom w:val="single" w:sz="4" w:space="0" w:color="auto"/>
              <w:right w:val="single" w:sz="4" w:space="0" w:color="auto"/>
            </w:tcBorders>
            <w:hideMark/>
          </w:tcPr>
          <w:p w14:paraId="4471ACD2"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Кількість дітей, які мали карієс постійних зубів,</w:t>
            </w:r>
            <w:r w:rsidR="00611A5B" w:rsidRPr="00520861">
              <w:rPr>
                <w:rFonts w:eastAsia="Calibri"/>
                <w:sz w:val="28"/>
                <w:szCs w:val="28"/>
              </w:rPr>
              <w:t>%</w:t>
            </w:r>
            <w:r w:rsidRPr="00520861">
              <w:rPr>
                <w:rFonts w:eastAsia="Calibri"/>
                <w:sz w:val="28"/>
                <w:szCs w:val="28"/>
              </w:rPr>
              <w:t>, (ДІ)</w:t>
            </w:r>
          </w:p>
        </w:tc>
        <w:tc>
          <w:tcPr>
            <w:tcW w:w="1801" w:type="dxa"/>
            <w:tcBorders>
              <w:top w:val="single" w:sz="4" w:space="0" w:color="auto"/>
              <w:left w:val="single" w:sz="4" w:space="0" w:color="auto"/>
              <w:bottom w:val="single" w:sz="4" w:space="0" w:color="auto"/>
              <w:right w:val="single" w:sz="4" w:space="0" w:color="auto"/>
            </w:tcBorders>
            <w:hideMark/>
          </w:tcPr>
          <w:p w14:paraId="57FFD71E" w14:textId="77777777" w:rsidR="002E3CE8" w:rsidRPr="00520861" w:rsidRDefault="002E3CE8" w:rsidP="00292D2E">
            <w:pPr>
              <w:widowControl w:val="0"/>
              <w:spacing w:line="360" w:lineRule="auto"/>
              <w:ind w:left="-152" w:right="-113" w:firstLine="152"/>
              <w:contextualSpacing/>
              <w:jc w:val="center"/>
              <w:rPr>
                <w:rFonts w:eastAsia="Calibri"/>
                <w:sz w:val="28"/>
                <w:szCs w:val="28"/>
              </w:rPr>
            </w:pPr>
            <w:r w:rsidRPr="00520861">
              <w:rPr>
                <w:rFonts w:eastAsia="Calibri"/>
                <w:spacing w:val="-8"/>
                <w:sz w:val="28"/>
                <w:szCs w:val="28"/>
              </w:rPr>
              <w:t>Кількість дітей, із ускладненим карієсом постійних зубів,</w:t>
            </w:r>
            <w:r w:rsidR="00611A5B" w:rsidRPr="00520861">
              <w:rPr>
                <w:rFonts w:eastAsia="Calibri"/>
                <w:spacing w:val="-8"/>
                <w:sz w:val="28"/>
                <w:szCs w:val="28"/>
              </w:rPr>
              <w:t>%</w:t>
            </w:r>
            <w:r w:rsidRPr="00520861">
              <w:rPr>
                <w:rFonts w:eastAsia="Calibri"/>
                <w:spacing w:val="-8"/>
                <w:sz w:val="28"/>
                <w:szCs w:val="28"/>
              </w:rPr>
              <w:t>, (ДІ)</w:t>
            </w:r>
          </w:p>
        </w:tc>
      </w:tr>
      <w:tr w:rsidR="002E3CE8" w:rsidRPr="00520861" w14:paraId="1C23C2B7" w14:textId="77777777" w:rsidTr="00292D2E">
        <w:tc>
          <w:tcPr>
            <w:tcW w:w="1392" w:type="dxa"/>
            <w:tcBorders>
              <w:top w:val="single" w:sz="4" w:space="0" w:color="auto"/>
              <w:left w:val="single" w:sz="4" w:space="0" w:color="auto"/>
              <w:bottom w:val="single" w:sz="4" w:space="0" w:color="auto"/>
              <w:right w:val="single" w:sz="4" w:space="0" w:color="auto"/>
            </w:tcBorders>
            <w:hideMark/>
          </w:tcPr>
          <w:p w14:paraId="697C64A9" w14:textId="77777777" w:rsidR="002E3CE8" w:rsidRPr="00520861" w:rsidRDefault="002E3CE8" w:rsidP="00292D2E">
            <w:pPr>
              <w:widowControl w:val="0"/>
              <w:spacing w:line="360" w:lineRule="auto"/>
              <w:contextualSpacing/>
              <w:jc w:val="center"/>
              <w:rPr>
                <w:rFonts w:eastAsia="Calibri"/>
                <w:color w:val="000000"/>
                <w:sz w:val="28"/>
                <w:szCs w:val="28"/>
              </w:rPr>
            </w:pPr>
            <w:r w:rsidRPr="00520861">
              <w:rPr>
                <w:rFonts w:eastAsia="Calibri"/>
                <w:color w:val="000000"/>
                <w:sz w:val="28"/>
                <w:szCs w:val="28"/>
              </w:rPr>
              <w:t>ГП</w:t>
            </w:r>
          </w:p>
          <w:p w14:paraId="642EA293"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color w:val="000000"/>
                <w:sz w:val="28"/>
                <w:szCs w:val="28"/>
              </w:rPr>
              <w:t>(</w:t>
            </w:r>
            <w:r w:rsidRPr="00520861">
              <w:rPr>
                <w:rFonts w:eastAsia="Calibri"/>
                <w:sz w:val="28"/>
                <w:szCs w:val="28"/>
              </w:rPr>
              <w:t>329)</w:t>
            </w:r>
          </w:p>
        </w:tc>
        <w:tc>
          <w:tcPr>
            <w:tcW w:w="2002" w:type="dxa"/>
            <w:tcBorders>
              <w:top w:val="single" w:sz="4" w:space="0" w:color="auto"/>
              <w:left w:val="single" w:sz="4" w:space="0" w:color="auto"/>
              <w:bottom w:val="single" w:sz="4" w:space="0" w:color="auto"/>
              <w:right w:val="single" w:sz="4" w:space="0" w:color="auto"/>
            </w:tcBorders>
            <w:hideMark/>
          </w:tcPr>
          <w:p w14:paraId="6C1FD2EB" w14:textId="77777777" w:rsidR="002E3CE8" w:rsidRPr="00520861" w:rsidRDefault="002E3CE8" w:rsidP="00292D2E">
            <w:pPr>
              <w:widowControl w:val="0"/>
              <w:spacing w:line="360" w:lineRule="auto"/>
              <w:ind w:firstLine="159"/>
              <w:contextualSpacing/>
              <w:jc w:val="center"/>
              <w:rPr>
                <w:rFonts w:eastAsia="Calibri"/>
                <w:sz w:val="28"/>
                <w:szCs w:val="28"/>
              </w:rPr>
            </w:pPr>
            <w:r w:rsidRPr="00520861">
              <w:rPr>
                <w:rFonts w:eastAsia="Calibri"/>
                <w:sz w:val="28"/>
                <w:szCs w:val="28"/>
              </w:rPr>
              <w:t>67; 20,4</w:t>
            </w:r>
            <w:r w:rsidR="00611A5B" w:rsidRPr="00520861">
              <w:rPr>
                <w:rFonts w:eastAsia="Calibri"/>
                <w:sz w:val="28"/>
                <w:szCs w:val="28"/>
              </w:rPr>
              <w:t>%</w:t>
            </w:r>
            <w:r w:rsidRPr="00520861">
              <w:rPr>
                <w:rFonts w:eastAsia="Calibri"/>
                <w:sz w:val="28"/>
                <w:szCs w:val="28"/>
              </w:rPr>
              <w:t xml:space="preserve"> </w:t>
            </w:r>
          </w:p>
          <w:p w14:paraId="1BEB6255" w14:textId="77777777" w:rsidR="002E3CE8" w:rsidRPr="00520861" w:rsidRDefault="002E3CE8" w:rsidP="00292D2E">
            <w:pPr>
              <w:widowControl w:val="0"/>
              <w:spacing w:line="360" w:lineRule="auto"/>
              <w:ind w:left="-84" w:right="-150"/>
              <w:contextualSpacing/>
              <w:jc w:val="center"/>
              <w:rPr>
                <w:rFonts w:eastAsia="Calibri"/>
                <w:sz w:val="28"/>
                <w:szCs w:val="28"/>
              </w:rPr>
            </w:pPr>
            <w:r w:rsidRPr="00520861">
              <w:rPr>
                <w:rFonts w:eastAsia="Calibri"/>
                <w:sz w:val="28"/>
                <w:szCs w:val="28"/>
              </w:rPr>
              <w:t>(16,4</w:t>
            </w:r>
            <w:r w:rsidR="00611A5B" w:rsidRPr="00520861">
              <w:rPr>
                <w:rFonts w:eastAsia="Calibri"/>
                <w:sz w:val="28"/>
                <w:szCs w:val="28"/>
              </w:rPr>
              <w:t>%</w:t>
            </w:r>
            <w:r w:rsidRPr="00520861">
              <w:rPr>
                <w:rFonts w:eastAsia="Calibri"/>
                <w:sz w:val="28"/>
                <w:szCs w:val="28"/>
              </w:rPr>
              <w:t xml:space="preserve"> - 24,8</w:t>
            </w:r>
            <w:r w:rsidR="00611A5B" w:rsidRPr="00520861">
              <w:rPr>
                <w:rFonts w:eastAsia="Calibri"/>
                <w:sz w:val="28"/>
                <w:szCs w:val="28"/>
              </w:rPr>
              <w:t>%</w:t>
            </w:r>
            <w:r w:rsidRPr="00520861">
              <w:rPr>
                <w:rFonts w:eastAsia="Calibri"/>
                <w:sz w:val="28"/>
                <w:szCs w:val="28"/>
              </w:rPr>
              <w:t>)</w:t>
            </w:r>
          </w:p>
        </w:tc>
        <w:tc>
          <w:tcPr>
            <w:tcW w:w="2002" w:type="dxa"/>
            <w:tcBorders>
              <w:top w:val="single" w:sz="4" w:space="0" w:color="auto"/>
              <w:left w:val="single" w:sz="4" w:space="0" w:color="auto"/>
              <w:bottom w:val="single" w:sz="4" w:space="0" w:color="auto"/>
              <w:right w:val="single" w:sz="4" w:space="0" w:color="auto"/>
            </w:tcBorders>
            <w:hideMark/>
          </w:tcPr>
          <w:p w14:paraId="30280C27" w14:textId="77777777" w:rsidR="002E3CE8" w:rsidRPr="00520861" w:rsidRDefault="002E3CE8" w:rsidP="00292D2E">
            <w:pPr>
              <w:widowControl w:val="0"/>
              <w:spacing w:line="360" w:lineRule="auto"/>
              <w:ind w:left="-261" w:right="-186" w:firstLine="142"/>
              <w:contextualSpacing/>
              <w:jc w:val="center"/>
              <w:rPr>
                <w:rFonts w:eastAsia="Calibri"/>
                <w:sz w:val="28"/>
                <w:szCs w:val="28"/>
              </w:rPr>
            </w:pPr>
            <w:r w:rsidRPr="00520861">
              <w:rPr>
                <w:rFonts w:eastAsia="Calibri"/>
                <w:sz w:val="28"/>
                <w:szCs w:val="28"/>
              </w:rPr>
              <w:t>61; 18,5</w:t>
            </w:r>
            <w:r w:rsidR="00611A5B" w:rsidRPr="00520861">
              <w:rPr>
                <w:rFonts w:eastAsia="Calibri"/>
                <w:sz w:val="28"/>
                <w:szCs w:val="28"/>
              </w:rPr>
              <w:t>%</w:t>
            </w:r>
            <w:r w:rsidRPr="00520861">
              <w:rPr>
                <w:rFonts w:eastAsia="Calibri"/>
                <w:sz w:val="28"/>
                <w:szCs w:val="28"/>
              </w:rPr>
              <w:t xml:space="preserve"> </w:t>
            </w:r>
          </w:p>
          <w:p w14:paraId="0B6713A1" w14:textId="77777777" w:rsidR="002E3CE8" w:rsidRPr="00520861" w:rsidRDefault="002E3CE8" w:rsidP="00292D2E">
            <w:pPr>
              <w:widowControl w:val="0"/>
              <w:spacing w:line="360" w:lineRule="auto"/>
              <w:ind w:left="-261" w:right="-186" w:firstLine="142"/>
              <w:contextualSpacing/>
              <w:jc w:val="center"/>
              <w:rPr>
                <w:rFonts w:eastAsia="Calibri"/>
                <w:sz w:val="28"/>
                <w:szCs w:val="28"/>
              </w:rPr>
            </w:pPr>
            <w:r w:rsidRPr="00520861">
              <w:rPr>
                <w:rFonts w:eastAsia="Calibri"/>
                <w:sz w:val="28"/>
                <w:szCs w:val="28"/>
              </w:rPr>
              <w:t>(14,8% - 22,8%)</w:t>
            </w:r>
          </w:p>
        </w:tc>
        <w:tc>
          <w:tcPr>
            <w:tcW w:w="2003" w:type="dxa"/>
            <w:tcBorders>
              <w:top w:val="single" w:sz="4" w:space="0" w:color="auto"/>
              <w:left w:val="single" w:sz="4" w:space="0" w:color="auto"/>
              <w:bottom w:val="single" w:sz="4" w:space="0" w:color="auto"/>
              <w:right w:val="single" w:sz="4" w:space="0" w:color="auto"/>
            </w:tcBorders>
            <w:hideMark/>
          </w:tcPr>
          <w:p w14:paraId="0C68CAB4"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37; 11,2</w:t>
            </w:r>
            <w:r w:rsidR="00611A5B" w:rsidRPr="00520861">
              <w:rPr>
                <w:rFonts w:eastAsia="Calibri"/>
                <w:sz w:val="28"/>
                <w:szCs w:val="28"/>
              </w:rPr>
              <w:t>%</w:t>
            </w:r>
            <w:r w:rsidRPr="00520861">
              <w:rPr>
                <w:rFonts w:eastAsia="Calibri"/>
                <w:sz w:val="28"/>
                <w:szCs w:val="28"/>
              </w:rPr>
              <w:t xml:space="preserve"> </w:t>
            </w:r>
          </w:p>
          <w:p w14:paraId="2B350C3F" w14:textId="77777777" w:rsidR="002E3CE8" w:rsidRPr="00520861" w:rsidRDefault="002E3CE8" w:rsidP="00292D2E">
            <w:pPr>
              <w:widowControl w:val="0"/>
              <w:spacing w:line="360" w:lineRule="auto"/>
              <w:ind w:left="-168" w:right="-139"/>
              <w:contextualSpacing/>
              <w:jc w:val="center"/>
              <w:rPr>
                <w:rFonts w:eastAsia="Calibri"/>
                <w:sz w:val="28"/>
                <w:szCs w:val="28"/>
              </w:rPr>
            </w:pPr>
            <w:r w:rsidRPr="00520861">
              <w:rPr>
                <w:rFonts w:eastAsia="Calibri"/>
                <w:sz w:val="28"/>
                <w:szCs w:val="28"/>
              </w:rPr>
              <w:t>(8,3% - 14,8%)</w:t>
            </w:r>
          </w:p>
        </w:tc>
        <w:tc>
          <w:tcPr>
            <w:tcW w:w="1800" w:type="dxa"/>
            <w:tcBorders>
              <w:top w:val="single" w:sz="4" w:space="0" w:color="auto"/>
              <w:left w:val="single" w:sz="4" w:space="0" w:color="auto"/>
              <w:bottom w:val="single" w:sz="4" w:space="0" w:color="auto"/>
              <w:right w:val="single" w:sz="4" w:space="0" w:color="auto"/>
            </w:tcBorders>
            <w:hideMark/>
          </w:tcPr>
          <w:p w14:paraId="2D2390D9"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21; 6,7</w:t>
            </w:r>
            <w:r w:rsidR="00611A5B" w:rsidRPr="00520861">
              <w:rPr>
                <w:rFonts w:eastAsia="Calibri"/>
                <w:sz w:val="28"/>
                <w:szCs w:val="28"/>
              </w:rPr>
              <w:t>%</w:t>
            </w:r>
            <w:r w:rsidRPr="00520861">
              <w:rPr>
                <w:rFonts w:eastAsia="Calibri"/>
                <w:sz w:val="28"/>
                <w:szCs w:val="28"/>
              </w:rPr>
              <w:t xml:space="preserve"> </w:t>
            </w:r>
          </w:p>
          <w:p w14:paraId="4878A501" w14:textId="77777777" w:rsidR="002E3CE8" w:rsidRPr="00520861" w:rsidRDefault="002E3CE8" w:rsidP="00292D2E">
            <w:pPr>
              <w:widowControl w:val="0"/>
              <w:spacing w:line="360" w:lineRule="auto"/>
              <w:ind w:right="-123" w:hanging="142"/>
              <w:contextualSpacing/>
              <w:jc w:val="center"/>
              <w:rPr>
                <w:rFonts w:eastAsia="Calibri"/>
                <w:sz w:val="28"/>
                <w:szCs w:val="28"/>
              </w:rPr>
            </w:pPr>
            <w:r w:rsidRPr="00520861">
              <w:rPr>
                <w:rFonts w:eastAsia="Calibri"/>
                <w:sz w:val="28"/>
                <w:szCs w:val="28"/>
              </w:rPr>
              <w:t>(4,5% - 9,6</w:t>
            </w:r>
            <w:r w:rsidR="00611A5B" w:rsidRPr="00520861">
              <w:rPr>
                <w:rFonts w:eastAsia="Calibri"/>
                <w:sz w:val="28"/>
                <w:szCs w:val="28"/>
              </w:rPr>
              <w:t>%</w:t>
            </w:r>
            <w:r w:rsidRPr="00520861">
              <w:rPr>
                <w:rFonts w:eastAsia="Calibri"/>
                <w:sz w:val="28"/>
                <w:szCs w:val="28"/>
              </w:rPr>
              <w:t>)</w:t>
            </w:r>
          </w:p>
        </w:tc>
        <w:tc>
          <w:tcPr>
            <w:tcW w:w="1801" w:type="dxa"/>
            <w:tcBorders>
              <w:top w:val="single" w:sz="4" w:space="0" w:color="auto"/>
              <w:left w:val="single" w:sz="4" w:space="0" w:color="auto"/>
              <w:bottom w:val="single" w:sz="4" w:space="0" w:color="auto"/>
              <w:right w:val="single" w:sz="4" w:space="0" w:color="auto"/>
            </w:tcBorders>
            <w:hideMark/>
          </w:tcPr>
          <w:p w14:paraId="575EFED7"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8; 2,4</w:t>
            </w:r>
            <w:r w:rsidR="00611A5B" w:rsidRPr="00520861">
              <w:rPr>
                <w:rFonts w:eastAsia="Calibri"/>
                <w:sz w:val="28"/>
                <w:szCs w:val="28"/>
              </w:rPr>
              <w:t>%</w:t>
            </w:r>
            <w:r w:rsidRPr="00520861">
              <w:rPr>
                <w:rFonts w:eastAsia="Calibri"/>
                <w:sz w:val="28"/>
                <w:szCs w:val="28"/>
              </w:rPr>
              <w:t xml:space="preserve"> </w:t>
            </w:r>
          </w:p>
          <w:p w14:paraId="72635206" w14:textId="77777777" w:rsidR="002E3CE8" w:rsidRPr="00520861" w:rsidRDefault="002E3CE8" w:rsidP="00292D2E">
            <w:pPr>
              <w:widowControl w:val="0"/>
              <w:spacing w:line="360" w:lineRule="auto"/>
              <w:ind w:left="-89"/>
              <w:contextualSpacing/>
              <w:jc w:val="center"/>
              <w:rPr>
                <w:rFonts w:eastAsia="Calibri"/>
                <w:sz w:val="28"/>
                <w:szCs w:val="28"/>
              </w:rPr>
            </w:pPr>
            <w:r w:rsidRPr="00520861">
              <w:rPr>
                <w:rFonts w:eastAsia="Calibri"/>
                <w:sz w:val="28"/>
                <w:szCs w:val="28"/>
              </w:rPr>
              <w:t>(1,3% - 4,3%)</w:t>
            </w:r>
          </w:p>
        </w:tc>
        <w:tc>
          <w:tcPr>
            <w:tcW w:w="1800" w:type="dxa"/>
            <w:tcBorders>
              <w:top w:val="single" w:sz="4" w:space="0" w:color="auto"/>
              <w:left w:val="single" w:sz="4" w:space="0" w:color="auto"/>
              <w:bottom w:val="single" w:sz="4" w:space="0" w:color="auto"/>
              <w:right w:val="single" w:sz="4" w:space="0" w:color="auto"/>
            </w:tcBorders>
            <w:hideMark/>
          </w:tcPr>
          <w:p w14:paraId="674E9ACD"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26; 7,9</w:t>
            </w:r>
            <w:r w:rsidR="00611A5B" w:rsidRPr="00520861">
              <w:rPr>
                <w:rFonts w:eastAsia="Calibri"/>
                <w:sz w:val="28"/>
                <w:szCs w:val="28"/>
              </w:rPr>
              <w:t>%</w:t>
            </w:r>
            <w:r w:rsidRPr="00520861">
              <w:rPr>
                <w:rFonts w:eastAsia="Calibri"/>
                <w:sz w:val="28"/>
                <w:szCs w:val="28"/>
              </w:rPr>
              <w:t xml:space="preserve"> </w:t>
            </w:r>
          </w:p>
          <w:p w14:paraId="4D959698" w14:textId="77777777" w:rsidR="002E3CE8" w:rsidRPr="00520861" w:rsidRDefault="002E3CE8" w:rsidP="00292D2E">
            <w:pPr>
              <w:widowControl w:val="0"/>
              <w:spacing w:line="360" w:lineRule="auto"/>
              <w:ind w:right="-149" w:hanging="158"/>
              <w:contextualSpacing/>
              <w:jc w:val="center"/>
              <w:rPr>
                <w:rFonts w:eastAsia="Calibri"/>
                <w:sz w:val="28"/>
                <w:szCs w:val="28"/>
              </w:rPr>
            </w:pPr>
            <w:r w:rsidRPr="00520861">
              <w:rPr>
                <w:rFonts w:eastAsia="Calibri"/>
                <w:sz w:val="28"/>
                <w:szCs w:val="28"/>
              </w:rPr>
              <w:t>(5,5% - 11,0%)</w:t>
            </w:r>
          </w:p>
        </w:tc>
        <w:tc>
          <w:tcPr>
            <w:tcW w:w="1801" w:type="dxa"/>
            <w:tcBorders>
              <w:top w:val="single" w:sz="4" w:space="0" w:color="auto"/>
              <w:left w:val="single" w:sz="4" w:space="0" w:color="auto"/>
              <w:bottom w:val="single" w:sz="4" w:space="0" w:color="auto"/>
              <w:right w:val="single" w:sz="4" w:space="0" w:color="auto"/>
            </w:tcBorders>
            <w:hideMark/>
          </w:tcPr>
          <w:p w14:paraId="7EBF232D"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6; 1,8</w:t>
            </w:r>
            <w:r w:rsidR="00611A5B" w:rsidRPr="00520861">
              <w:rPr>
                <w:rFonts w:eastAsia="Calibri"/>
                <w:sz w:val="28"/>
                <w:szCs w:val="28"/>
              </w:rPr>
              <w:t>%</w:t>
            </w:r>
            <w:r w:rsidRPr="00520861">
              <w:rPr>
                <w:rFonts w:eastAsia="Calibri"/>
                <w:sz w:val="28"/>
                <w:szCs w:val="28"/>
              </w:rPr>
              <w:t xml:space="preserve"> </w:t>
            </w:r>
          </w:p>
          <w:p w14:paraId="05B56D03" w14:textId="77777777" w:rsidR="002E3CE8" w:rsidRPr="00520861" w:rsidRDefault="002E3CE8" w:rsidP="00292D2E">
            <w:pPr>
              <w:widowControl w:val="0"/>
              <w:spacing w:line="360" w:lineRule="auto"/>
              <w:ind w:left="-152" w:right="-113"/>
              <w:contextualSpacing/>
              <w:jc w:val="center"/>
              <w:rPr>
                <w:rFonts w:eastAsia="Calibri"/>
                <w:sz w:val="28"/>
                <w:szCs w:val="28"/>
              </w:rPr>
            </w:pPr>
            <w:r w:rsidRPr="00520861">
              <w:rPr>
                <w:rFonts w:eastAsia="Calibri"/>
                <w:sz w:val="28"/>
                <w:szCs w:val="28"/>
              </w:rPr>
              <w:t>(0,9% - 3,5%)</w:t>
            </w:r>
          </w:p>
        </w:tc>
      </w:tr>
      <w:tr w:rsidR="002E3CE8" w:rsidRPr="00520861" w14:paraId="12355D18" w14:textId="77777777" w:rsidTr="00292D2E">
        <w:tc>
          <w:tcPr>
            <w:tcW w:w="1392" w:type="dxa"/>
            <w:tcBorders>
              <w:top w:val="single" w:sz="4" w:space="0" w:color="auto"/>
              <w:left w:val="single" w:sz="4" w:space="0" w:color="auto"/>
              <w:bottom w:val="single" w:sz="4" w:space="0" w:color="auto"/>
              <w:right w:val="single" w:sz="4" w:space="0" w:color="auto"/>
            </w:tcBorders>
            <w:hideMark/>
          </w:tcPr>
          <w:p w14:paraId="22F1A9EB" w14:textId="77777777" w:rsidR="002E3CE8" w:rsidRPr="00520861" w:rsidRDefault="002E3CE8" w:rsidP="00292D2E">
            <w:pPr>
              <w:widowControl w:val="0"/>
              <w:spacing w:line="360" w:lineRule="auto"/>
              <w:contextualSpacing/>
              <w:jc w:val="center"/>
              <w:rPr>
                <w:rFonts w:eastAsia="Calibri"/>
                <w:color w:val="000000"/>
                <w:sz w:val="28"/>
                <w:szCs w:val="28"/>
              </w:rPr>
            </w:pPr>
            <w:r w:rsidRPr="00520861">
              <w:rPr>
                <w:rFonts w:eastAsia="Calibri"/>
                <w:color w:val="000000"/>
                <w:sz w:val="28"/>
                <w:szCs w:val="28"/>
              </w:rPr>
              <w:t>ОГ</w:t>
            </w:r>
          </w:p>
          <w:p w14:paraId="2C106222" w14:textId="77777777" w:rsidR="002E3CE8" w:rsidRPr="00520861" w:rsidRDefault="002E3CE8" w:rsidP="00292D2E">
            <w:pPr>
              <w:widowControl w:val="0"/>
              <w:spacing w:line="360" w:lineRule="auto"/>
              <w:contextualSpacing/>
              <w:jc w:val="center"/>
              <w:rPr>
                <w:rFonts w:eastAsia="Calibri"/>
                <w:color w:val="000000"/>
                <w:sz w:val="28"/>
                <w:szCs w:val="28"/>
              </w:rPr>
            </w:pPr>
            <w:r w:rsidRPr="00520861">
              <w:rPr>
                <w:rFonts w:eastAsia="Calibri"/>
                <w:color w:val="000000"/>
                <w:sz w:val="28"/>
                <w:szCs w:val="28"/>
              </w:rPr>
              <w:t>(</w:t>
            </w:r>
            <w:r w:rsidRPr="00520861">
              <w:rPr>
                <w:rFonts w:eastAsia="Calibri"/>
                <w:sz w:val="28"/>
                <w:szCs w:val="28"/>
              </w:rPr>
              <w:t>352</w:t>
            </w:r>
            <w:r w:rsidRPr="00520861">
              <w:rPr>
                <w:rFonts w:eastAsia="Calibri"/>
                <w:color w:val="000000"/>
                <w:sz w:val="28"/>
                <w:szCs w:val="28"/>
              </w:rPr>
              <w:t>)</w:t>
            </w:r>
          </w:p>
        </w:tc>
        <w:tc>
          <w:tcPr>
            <w:tcW w:w="2002" w:type="dxa"/>
            <w:tcBorders>
              <w:top w:val="single" w:sz="4" w:space="0" w:color="auto"/>
              <w:left w:val="single" w:sz="4" w:space="0" w:color="auto"/>
              <w:bottom w:val="single" w:sz="4" w:space="0" w:color="auto"/>
              <w:right w:val="single" w:sz="4" w:space="0" w:color="auto"/>
            </w:tcBorders>
            <w:hideMark/>
          </w:tcPr>
          <w:p w14:paraId="0B9169F4" w14:textId="77777777" w:rsidR="002E3CE8" w:rsidRPr="00520861" w:rsidRDefault="002E3CE8" w:rsidP="00292D2E">
            <w:pPr>
              <w:widowControl w:val="0"/>
              <w:spacing w:line="360" w:lineRule="auto"/>
              <w:ind w:left="-226" w:right="-93"/>
              <w:contextualSpacing/>
              <w:jc w:val="center"/>
              <w:rPr>
                <w:rFonts w:eastAsia="Calibri"/>
                <w:sz w:val="28"/>
                <w:szCs w:val="28"/>
              </w:rPr>
            </w:pPr>
            <w:r w:rsidRPr="00520861">
              <w:rPr>
                <w:rFonts w:eastAsia="Calibri"/>
                <w:sz w:val="28"/>
                <w:szCs w:val="28"/>
              </w:rPr>
              <w:t>113; 32,1</w:t>
            </w:r>
            <w:r w:rsidR="00611A5B" w:rsidRPr="00520861">
              <w:rPr>
                <w:rFonts w:eastAsia="Calibri"/>
                <w:sz w:val="28"/>
                <w:szCs w:val="28"/>
              </w:rPr>
              <w:t>%</w:t>
            </w:r>
            <w:r w:rsidRPr="00520861">
              <w:rPr>
                <w:rFonts w:eastAsia="Calibri"/>
                <w:sz w:val="28"/>
                <w:szCs w:val="28"/>
              </w:rPr>
              <w:t>* (27,5</w:t>
            </w:r>
            <w:r w:rsidR="00611A5B" w:rsidRPr="00520861">
              <w:rPr>
                <w:rFonts w:eastAsia="Calibri"/>
                <w:sz w:val="28"/>
                <w:szCs w:val="28"/>
              </w:rPr>
              <w:t>%</w:t>
            </w:r>
            <w:r w:rsidRPr="00520861">
              <w:rPr>
                <w:rFonts w:eastAsia="Calibri"/>
                <w:sz w:val="28"/>
                <w:szCs w:val="28"/>
              </w:rPr>
              <w:t xml:space="preserve"> - 37,0</w:t>
            </w:r>
            <w:r w:rsidR="00611A5B" w:rsidRPr="00520861">
              <w:rPr>
                <w:rFonts w:eastAsia="Calibri"/>
                <w:sz w:val="28"/>
                <w:szCs w:val="28"/>
              </w:rPr>
              <w:t>%</w:t>
            </w:r>
            <w:r w:rsidRPr="00520861">
              <w:rPr>
                <w:rFonts w:eastAsia="Calibri"/>
                <w:sz w:val="28"/>
                <w:szCs w:val="28"/>
              </w:rPr>
              <w:t>)</w:t>
            </w:r>
          </w:p>
        </w:tc>
        <w:tc>
          <w:tcPr>
            <w:tcW w:w="2002" w:type="dxa"/>
            <w:tcBorders>
              <w:top w:val="single" w:sz="4" w:space="0" w:color="auto"/>
              <w:left w:val="single" w:sz="4" w:space="0" w:color="auto"/>
              <w:bottom w:val="single" w:sz="4" w:space="0" w:color="auto"/>
              <w:right w:val="single" w:sz="4" w:space="0" w:color="auto"/>
            </w:tcBorders>
            <w:hideMark/>
          </w:tcPr>
          <w:p w14:paraId="649A6093"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101; 28,7</w:t>
            </w:r>
            <w:r w:rsidR="00611A5B" w:rsidRPr="00520861">
              <w:rPr>
                <w:rFonts w:eastAsia="Calibri"/>
                <w:sz w:val="28"/>
                <w:szCs w:val="28"/>
              </w:rPr>
              <w:t>%</w:t>
            </w:r>
            <w:r w:rsidRPr="00520861">
              <w:rPr>
                <w:rFonts w:eastAsia="Calibri"/>
                <w:sz w:val="28"/>
                <w:szCs w:val="28"/>
              </w:rPr>
              <w:t>* (24,3% - 33,4)</w:t>
            </w:r>
          </w:p>
        </w:tc>
        <w:tc>
          <w:tcPr>
            <w:tcW w:w="2003" w:type="dxa"/>
            <w:tcBorders>
              <w:top w:val="single" w:sz="4" w:space="0" w:color="auto"/>
              <w:left w:val="single" w:sz="4" w:space="0" w:color="auto"/>
              <w:bottom w:val="single" w:sz="4" w:space="0" w:color="auto"/>
              <w:right w:val="single" w:sz="4" w:space="0" w:color="auto"/>
            </w:tcBorders>
            <w:hideMark/>
          </w:tcPr>
          <w:p w14:paraId="1177C451" w14:textId="77777777" w:rsidR="002E3CE8" w:rsidRPr="00520861" w:rsidRDefault="002E3CE8" w:rsidP="00292D2E">
            <w:pPr>
              <w:widowControl w:val="0"/>
              <w:spacing w:line="360" w:lineRule="auto"/>
              <w:ind w:left="-181" w:right="-83"/>
              <w:contextualSpacing/>
              <w:jc w:val="center"/>
              <w:rPr>
                <w:rFonts w:eastAsia="Calibri"/>
                <w:sz w:val="28"/>
                <w:szCs w:val="28"/>
              </w:rPr>
            </w:pPr>
            <w:r w:rsidRPr="00520861">
              <w:rPr>
                <w:rFonts w:eastAsia="Calibri"/>
                <w:sz w:val="28"/>
                <w:szCs w:val="28"/>
              </w:rPr>
              <w:t>69; 19,6</w:t>
            </w:r>
            <w:r w:rsidR="00611A5B" w:rsidRPr="00520861">
              <w:rPr>
                <w:rFonts w:eastAsia="Calibri"/>
                <w:sz w:val="28"/>
                <w:szCs w:val="28"/>
              </w:rPr>
              <w:t>%</w:t>
            </w:r>
            <w:r w:rsidRPr="00520861">
              <w:rPr>
                <w:rFonts w:eastAsia="Calibri"/>
                <w:sz w:val="28"/>
                <w:szCs w:val="28"/>
              </w:rPr>
              <w:t>* (15,8% - 23,8%)</w:t>
            </w:r>
          </w:p>
        </w:tc>
        <w:tc>
          <w:tcPr>
            <w:tcW w:w="1800" w:type="dxa"/>
            <w:tcBorders>
              <w:top w:val="single" w:sz="4" w:space="0" w:color="auto"/>
              <w:left w:val="single" w:sz="4" w:space="0" w:color="auto"/>
              <w:bottom w:val="single" w:sz="4" w:space="0" w:color="auto"/>
              <w:right w:val="single" w:sz="4" w:space="0" w:color="auto"/>
            </w:tcBorders>
            <w:hideMark/>
          </w:tcPr>
          <w:p w14:paraId="3AB313E5" w14:textId="77777777" w:rsidR="002E3CE8" w:rsidRPr="00520861" w:rsidRDefault="002E3CE8" w:rsidP="00292D2E">
            <w:pPr>
              <w:widowControl w:val="0"/>
              <w:spacing w:line="360" w:lineRule="auto"/>
              <w:ind w:left="-283" w:right="-123"/>
              <w:contextualSpacing/>
              <w:jc w:val="center"/>
              <w:rPr>
                <w:rFonts w:eastAsia="Calibri"/>
                <w:sz w:val="28"/>
                <w:szCs w:val="28"/>
              </w:rPr>
            </w:pPr>
            <w:r w:rsidRPr="00520861">
              <w:rPr>
                <w:rFonts w:eastAsia="Calibri"/>
                <w:sz w:val="28"/>
                <w:szCs w:val="28"/>
              </w:rPr>
              <w:t>43; 12,2</w:t>
            </w:r>
            <w:r w:rsidR="00611A5B" w:rsidRPr="00520861">
              <w:rPr>
                <w:rFonts w:eastAsia="Calibri"/>
                <w:sz w:val="28"/>
                <w:szCs w:val="28"/>
              </w:rPr>
              <w:t>%</w:t>
            </w:r>
            <w:r w:rsidRPr="00520861">
              <w:rPr>
                <w:rFonts w:eastAsia="Calibri"/>
                <w:sz w:val="28"/>
                <w:szCs w:val="28"/>
              </w:rPr>
              <w:t xml:space="preserve"> </w:t>
            </w:r>
          </w:p>
          <w:p w14:paraId="030F0213" w14:textId="77777777" w:rsidR="002E3CE8" w:rsidRPr="00520861" w:rsidRDefault="002E3CE8" w:rsidP="00292D2E">
            <w:pPr>
              <w:widowControl w:val="0"/>
              <w:spacing w:line="360" w:lineRule="auto"/>
              <w:ind w:left="-142" w:right="-123"/>
              <w:contextualSpacing/>
              <w:jc w:val="center"/>
              <w:rPr>
                <w:rFonts w:eastAsia="Calibri"/>
                <w:sz w:val="28"/>
                <w:szCs w:val="28"/>
              </w:rPr>
            </w:pPr>
            <w:r w:rsidRPr="00520861">
              <w:rPr>
                <w:rFonts w:eastAsia="Calibri"/>
                <w:sz w:val="28"/>
                <w:szCs w:val="28"/>
              </w:rPr>
              <w:t>(9,2% - 15,8%)</w:t>
            </w:r>
          </w:p>
        </w:tc>
        <w:tc>
          <w:tcPr>
            <w:tcW w:w="1801" w:type="dxa"/>
            <w:tcBorders>
              <w:top w:val="single" w:sz="4" w:space="0" w:color="auto"/>
              <w:left w:val="single" w:sz="4" w:space="0" w:color="auto"/>
              <w:bottom w:val="single" w:sz="4" w:space="0" w:color="auto"/>
              <w:right w:val="single" w:sz="4" w:space="0" w:color="auto"/>
            </w:tcBorders>
            <w:hideMark/>
          </w:tcPr>
          <w:p w14:paraId="71CF4A1F"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21; 6,0</w:t>
            </w:r>
            <w:r w:rsidR="00611A5B" w:rsidRPr="00520861">
              <w:rPr>
                <w:rFonts w:eastAsia="Calibri"/>
                <w:sz w:val="28"/>
                <w:szCs w:val="28"/>
              </w:rPr>
              <w:t>%</w:t>
            </w:r>
            <w:r w:rsidRPr="00520861">
              <w:rPr>
                <w:rFonts w:eastAsia="Calibri"/>
                <w:sz w:val="28"/>
                <w:szCs w:val="28"/>
              </w:rPr>
              <w:t xml:space="preserve"> </w:t>
            </w:r>
          </w:p>
          <w:p w14:paraId="385B8272" w14:textId="77777777" w:rsidR="002E3CE8" w:rsidRPr="00520861" w:rsidRDefault="002E3CE8" w:rsidP="00292D2E">
            <w:pPr>
              <w:widowControl w:val="0"/>
              <w:spacing w:line="360" w:lineRule="auto"/>
              <w:ind w:left="-89" w:right="-21"/>
              <w:contextualSpacing/>
              <w:jc w:val="center"/>
              <w:rPr>
                <w:rFonts w:eastAsia="Calibri"/>
                <w:sz w:val="28"/>
                <w:szCs w:val="28"/>
              </w:rPr>
            </w:pPr>
            <w:r w:rsidRPr="00520861">
              <w:rPr>
                <w:rFonts w:eastAsia="Calibri"/>
                <w:sz w:val="28"/>
                <w:szCs w:val="28"/>
              </w:rPr>
              <w:t>(4,0% - 8,6%)</w:t>
            </w:r>
          </w:p>
        </w:tc>
        <w:tc>
          <w:tcPr>
            <w:tcW w:w="1800" w:type="dxa"/>
            <w:tcBorders>
              <w:top w:val="single" w:sz="4" w:space="0" w:color="auto"/>
              <w:left w:val="single" w:sz="4" w:space="0" w:color="auto"/>
              <w:bottom w:val="single" w:sz="4" w:space="0" w:color="auto"/>
              <w:right w:val="single" w:sz="4" w:space="0" w:color="auto"/>
            </w:tcBorders>
            <w:hideMark/>
          </w:tcPr>
          <w:p w14:paraId="29A831A6"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29; 8,2</w:t>
            </w:r>
            <w:r w:rsidR="00611A5B" w:rsidRPr="00520861">
              <w:rPr>
                <w:rFonts w:eastAsia="Calibri"/>
                <w:sz w:val="28"/>
                <w:szCs w:val="28"/>
              </w:rPr>
              <w:t>%</w:t>
            </w:r>
            <w:r w:rsidRPr="00520861">
              <w:rPr>
                <w:rFonts w:eastAsia="Calibri"/>
                <w:sz w:val="28"/>
                <w:szCs w:val="28"/>
              </w:rPr>
              <w:t xml:space="preserve"> </w:t>
            </w:r>
          </w:p>
          <w:p w14:paraId="348565CD" w14:textId="77777777" w:rsidR="002E3CE8" w:rsidRPr="00520861" w:rsidRDefault="002E3CE8" w:rsidP="00292D2E">
            <w:pPr>
              <w:widowControl w:val="0"/>
              <w:spacing w:line="360" w:lineRule="auto"/>
              <w:ind w:left="-192" w:right="-203"/>
              <w:contextualSpacing/>
              <w:jc w:val="center"/>
              <w:rPr>
                <w:rFonts w:eastAsia="Calibri"/>
                <w:sz w:val="28"/>
                <w:szCs w:val="28"/>
              </w:rPr>
            </w:pPr>
            <w:r w:rsidRPr="00520861">
              <w:rPr>
                <w:rFonts w:eastAsia="Calibri"/>
                <w:sz w:val="28"/>
                <w:szCs w:val="28"/>
              </w:rPr>
              <w:t>(5,8% - 11,3%)</w:t>
            </w:r>
          </w:p>
        </w:tc>
        <w:tc>
          <w:tcPr>
            <w:tcW w:w="1801" w:type="dxa"/>
            <w:tcBorders>
              <w:top w:val="single" w:sz="4" w:space="0" w:color="auto"/>
              <w:left w:val="single" w:sz="4" w:space="0" w:color="auto"/>
              <w:bottom w:val="single" w:sz="4" w:space="0" w:color="auto"/>
              <w:right w:val="single" w:sz="4" w:space="0" w:color="auto"/>
            </w:tcBorders>
            <w:hideMark/>
          </w:tcPr>
          <w:p w14:paraId="7C9F41A9"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20; 5,7</w:t>
            </w:r>
            <w:r w:rsidR="00611A5B" w:rsidRPr="00520861">
              <w:rPr>
                <w:rFonts w:eastAsia="Calibri"/>
                <w:sz w:val="28"/>
                <w:szCs w:val="28"/>
              </w:rPr>
              <w:t>%</w:t>
            </w:r>
            <w:r w:rsidRPr="00520861">
              <w:rPr>
                <w:rFonts w:eastAsia="Calibri"/>
                <w:sz w:val="28"/>
                <w:szCs w:val="28"/>
              </w:rPr>
              <w:t xml:space="preserve">*  </w:t>
            </w:r>
          </w:p>
          <w:p w14:paraId="04A6E895" w14:textId="77777777" w:rsidR="002E3CE8" w:rsidRPr="00520861" w:rsidRDefault="002E3CE8" w:rsidP="00292D2E">
            <w:pPr>
              <w:widowControl w:val="0"/>
              <w:spacing w:line="360" w:lineRule="auto"/>
              <w:ind w:left="-152"/>
              <w:contextualSpacing/>
              <w:jc w:val="center"/>
              <w:rPr>
                <w:rFonts w:eastAsia="Calibri"/>
                <w:sz w:val="28"/>
                <w:szCs w:val="28"/>
              </w:rPr>
            </w:pPr>
            <w:r w:rsidRPr="00520861">
              <w:rPr>
                <w:rFonts w:eastAsia="Calibri"/>
                <w:sz w:val="28"/>
                <w:szCs w:val="28"/>
              </w:rPr>
              <w:t>(3,7% - 8,3%)</w:t>
            </w:r>
          </w:p>
        </w:tc>
      </w:tr>
      <w:tr w:rsidR="002E3CE8" w:rsidRPr="00520861" w14:paraId="28175822" w14:textId="77777777" w:rsidTr="00292D2E">
        <w:tc>
          <w:tcPr>
            <w:tcW w:w="1392" w:type="dxa"/>
            <w:tcBorders>
              <w:top w:val="single" w:sz="4" w:space="0" w:color="00000A"/>
              <w:left w:val="single" w:sz="4" w:space="0" w:color="00000A"/>
              <w:bottom w:val="single" w:sz="4" w:space="0" w:color="00000A"/>
              <w:right w:val="single" w:sz="4" w:space="0" w:color="00000A"/>
            </w:tcBorders>
            <w:shd w:val="clear" w:color="auto" w:fill="FFFFFF"/>
            <w:hideMark/>
          </w:tcPr>
          <w:p w14:paraId="244127B4" w14:textId="77777777" w:rsidR="002E3CE8" w:rsidRPr="00520861" w:rsidRDefault="002E3CE8" w:rsidP="00292D2E">
            <w:pPr>
              <w:widowControl w:val="0"/>
              <w:spacing w:line="360" w:lineRule="auto"/>
              <w:contextualSpacing/>
              <w:rPr>
                <w:rFonts w:eastAsia="Calibri"/>
                <w:color w:val="000000"/>
                <w:sz w:val="28"/>
                <w:szCs w:val="28"/>
              </w:rPr>
            </w:pPr>
            <w:r w:rsidRPr="00520861">
              <w:rPr>
                <w:rFonts w:eastAsia="Calibri"/>
                <w:sz w:val="28"/>
                <w:szCs w:val="28"/>
              </w:rPr>
              <w:t xml:space="preserve">Підгрупа </w:t>
            </w:r>
            <w:r w:rsidRPr="00520861">
              <w:rPr>
                <w:rFonts w:eastAsia="Calibri"/>
                <w:color w:val="000000"/>
                <w:sz w:val="28"/>
                <w:szCs w:val="28"/>
              </w:rPr>
              <w:t>1 (</w:t>
            </w:r>
            <w:r w:rsidRPr="00520861">
              <w:rPr>
                <w:rFonts w:eastAsia="Calibri"/>
                <w:sz w:val="28"/>
                <w:szCs w:val="28"/>
              </w:rPr>
              <w:t>110</w:t>
            </w:r>
            <w:r w:rsidRPr="00520861">
              <w:rPr>
                <w:rFonts w:eastAsia="Calibri"/>
                <w:color w:val="000000"/>
                <w:sz w:val="28"/>
                <w:szCs w:val="28"/>
              </w:rPr>
              <w:t>)</w:t>
            </w:r>
          </w:p>
        </w:tc>
        <w:tc>
          <w:tcPr>
            <w:tcW w:w="2002" w:type="dxa"/>
            <w:tcBorders>
              <w:top w:val="single" w:sz="4" w:space="0" w:color="auto"/>
              <w:left w:val="single" w:sz="4" w:space="0" w:color="auto"/>
              <w:bottom w:val="single" w:sz="4" w:space="0" w:color="auto"/>
              <w:right w:val="single" w:sz="4" w:space="0" w:color="auto"/>
            </w:tcBorders>
            <w:hideMark/>
          </w:tcPr>
          <w:p w14:paraId="729CF0E4"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36; 32,7</w:t>
            </w:r>
            <w:r w:rsidR="00611A5B" w:rsidRPr="00520861">
              <w:rPr>
                <w:rFonts w:eastAsia="Calibri"/>
                <w:sz w:val="28"/>
                <w:szCs w:val="28"/>
              </w:rPr>
              <w:t>%</w:t>
            </w:r>
            <w:r w:rsidRPr="00520861">
              <w:rPr>
                <w:rFonts w:eastAsia="Calibri"/>
                <w:sz w:val="28"/>
                <w:szCs w:val="28"/>
              </w:rPr>
              <w:t>*</w:t>
            </w:r>
          </w:p>
          <w:p w14:paraId="09D24621" w14:textId="77777777" w:rsidR="002E3CE8" w:rsidRPr="00520861" w:rsidRDefault="002E3CE8" w:rsidP="00292D2E">
            <w:pPr>
              <w:widowControl w:val="0"/>
              <w:spacing w:line="360" w:lineRule="auto"/>
              <w:ind w:left="58" w:right="-121" w:hanging="58"/>
              <w:contextualSpacing/>
              <w:jc w:val="center"/>
              <w:rPr>
                <w:rFonts w:eastAsia="Calibri"/>
                <w:sz w:val="28"/>
                <w:szCs w:val="28"/>
              </w:rPr>
            </w:pPr>
            <w:r w:rsidRPr="00520861">
              <w:rPr>
                <w:rFonts w:eastAsia="Calibri"/>
                <w:sz w:val="28"/>
                <w:szCs w:val="28"/>
              </w:rPr>
              <w:t>(24,9% - 41,4%)</w:t>
            </w:r>
          </w:p>
        </w:tc>
        <w:tc>
          <w:tcPr>
            <w:tcW w:w="2002" w:type="dxa"/>
            <w:tcBorders>
              <w:top w:val="single" w:sz="4" w:space="0" w:color="auto"/>
              <w:left w:val="single" w:sz="4" w:space="0" w:color="auto"/>
              <w:bottom w:val="single" w:sz="4" w:space="0" w:color="auto"/>
              <w:right w:val="single" w:sz="4" w:space="0" w:color="auto"/>
            </w:tcBorders>
            <w:hideMark/>
          </w:tcPr>
          <w:p w14:paraId="62D917A9"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32; 28,2</w:t>
            </w:r>
            <w:r w:rsidR="00611A5B" w:rsidRPr="00520861">
              <w:rPr>
                <w:rFonts w:eastAsia="Calibri"/>
                <w:sz w:val="28"/>
                <w:szCs w:val="28"/>
              </w:rPr>
              <w:t>%</w:t>
            </w:r>
          </w:p>
          <w:p w14:paraId="3D6D86A9" w14:textId="77777777" w:rsidR="002E3CE8" w:rsidRPr="00520861" w:rsidRDefault="002E3CE8" w:rsidP="00292D2E">
            <w:pPr>
              <w:widowControl w:val="0"/>
              <w:spacing w:line="360" w:lineRule="auto"/>
              <w:ind w:left="-104" w:right="-103"/>
              <w:contextualSpacing/>
              <w:jc w:val="center"/>
              <w:rPr>
                <w:rFonts w:eastAsia="Calibri"/>
                <w:sz w:val="28"/>
                <w:szCs w:val="28"/>
              </w:rPr>
            </w:pPr>
            <w:r w:rsidRPr="00520861">
              <w:rPr>
                <w:rFonts w:eastAsia="Calibri"/>
                <w:sz w:val="28"/>
                <w:szCs w:val="28"/>
              </w:rPr>
              <w:t>(21,6% - 37,6%)</w:t>
            </w:r>
          </w:p>
        </w:tc>
        <w:tc>
          <w:tcPr>
            <w:tcW w:w="2003" w:type="dxa"/>
            <w:tcBorders>
              <w:top w:val="single" w:sz="4" w:space="0" w:color="auto"/>
              <w:left w:val="single" w:sz="4" w:space="0" w:color="auto"/>
              <w:bottom w:val="single" w:sz="4" w:space="0" w:color="auto"/>
              <w:right w:val="single" w:sz="4" w:space="0" w:color="auto"/>
            </w:tcBorders>
            <w:hideMark/>
          </w:tcPr>
          <w:p w14:paraId="2DD3DA30" w14:textId="77777777" w:rsidR="002E3CE8" w:rsidRPr="00520861" w:rsidRDefault="002E3CE8" w:rsidP="00292D2E">
            <w:pPr>
              <w:widowControl w:val="0"/>
              <w:spacing w:line="360" w:lineRule="auto"/>
              <w:ind w:left="-122" w:right="-83"/>
              <w:contextualSpacing/>
              <w:jc w:val="center"/>
              <w:rPr>
                <w:rFonts w:eastAsia="Calibri"/>
                <w:sz w:val="28"/>
                <w:szCs w:val="28"/>
              </w:rPr>
            </w:pPr>
            <w:r w:rsidRPr="00520861">
              <w:rPr>
                <w:rFonts w:eastAsia="Calibri"/>
                <w:sz w:val="28"/>
                <w:szCs w:val="28"/>
              </w:rPr>
              <w:t>27; 24,5</w:t>
            </w:r>
            <w:r w:rsidR="00611A5B" w:rsidRPr="00520861">
              <w:rPr>
                <w:rFonts w:eastAsia="Calibri"/>
                <w:sz w:val="28"/>
                <w:szCs w:val="28"/>
              </w:rPr>
              <w:t>%</w:t>
            </w:r>
            <w:r w:rsidRPr="00520861">
              <w:rPr>
                <w:rFonts w:eastAsia="Calibri"/>
                <w:sz w:val="28"/>
                <w:szCs w:val="28"/>
              </w:rPr>
              <w:t>*</w:t>
            </w:r>
          </w:p>
          <w:p w14:paraId="33662048" w14:textId="77777777" w:rsidR="002E3CE8" w:rsidRPr="00520861" w:rsidRDefault="002E3CE8" w:rsidP="00292D2E">
            <w:pPr>
              <w:widowControl w:val="0"/>
              <w:spacing w:line="360" w:lineRule="auto"/>
              <w:ind w:left="-122" w:right="-83"/>
              <w:contextualSpacing/>
              <w:jc w:val="center"/>
              <w:rPr>
                <w:rFonts w:eastAsia="Calibri"/>
                <w:sz w:val="28"/>
                <w:szCs w:val="28"/>
              </w:rPr>
            </w:pPr>
            <w:r w:rsidRPr="00520861">
              <w:rPr>
                <w:rFonts w:eastAsia="Calibri"/>
                <w:sz w:val="28"/>
                <w:szCs w:val="28"/>
              </w:rPr>
              <w:t>(17,6% - 32,7%)</w:t>
            </w:r>
          </w:p>
        </w:tc>
        <w:tc>
          <w:tcPr>
            <w:tcW w:w="1800" w:type="dxa"/>
            <w:tcBorders>
              <w:top w:val="single" w:sz="4" w:space="0" w:color="auto"/>
              <w:left w:val="single" w:sz="4" w:space="0" w:color="auto"/>
              <w:bottom w:val="single" w:sz="4" w:space="0" w:color="auto"/>
              <w:right w:val="single" w:sz="4" w:space="0" w:color="auto"/>
            </w:tcBorders>
            <w:hideMark/>
          </w:tcPr>
          <w:p w14:paraId="6FF13083"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13; 11,8</w:t>
            </w:r>
            <w:r w:rsidR="00611A5B" w:rsidRPr="00520861">
              <w:rPr>
                <w:rFonts w:eastAsia="Calibri"/>
                <w:sz w:val="28"/>
                <w:szCs w:val="28"/>
              </w:rPr>
              <w:t>%</w:t>
            </w:r>
            <w:r w:rsidRPr="00520861">
              <w:rPr>
                <w:rFonts w:eastAsia="Calibri"/>
                <w:sz w:val="28"/>
                <w:szCs w:val="28"/>
              </w:rPr>
              <w:t xml:space="preserve"> (7,1% - 18,3)</w:t>
            </w:r>
          </w:p>
        </w:tc>
        <w:tc>
          <w:tcPr>
            <w:tcW w:w="1801" w:type="dxa"/>
            <w:tcBorders>
              <w:top w:val="single" w:sz="4" w:space="0" w:color="auto"/>
              <w:left w:val="single" w:sz="4" w:space="0" w:color="auto"/>
              <w:bottom w:val="single" w:sz="4" w:space="0" w:color="auto"/>
              <w:right w:val="single" w:sz="4" w:space="0" w:color="auto"/>
            </w:tcBorders>
            <w:hideMark/>
          </w:tcPr>
          <w:p w14:paraId="12DF00F0"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6; 5,5</w:t>
            </w:r>
            <w:r w:rsidR="00611A5B" w:rsidRPr="00520861">
              <w:rPr>
                <w:rFonts w:eastAsia="Calibri"/>
                <w:sz w:val="28"/>
                <w:szCs w:val="28"/>
              </w:rPr>
              <w:t>%</w:t>
            </w:r>
          </w:p>
          <w:p w14:paraId="1033A7AB" w14:textId="77777777" w:rsidR="002E3CE8" w:rsidRPr="00520861" w:rsidRDefault="002E3CE8" w:rsidP="00292D2E">
            <w:pPr>
              <w:widowControl w:val="0"/>
              <w:spacing w:line="360" w:lineRule="auto"/>
              <w:ind w:left="-89" w:right="-163"/>
              <w:contextualSpacing/>
              <w:jc w:val="center"/>
              <w:rPr>
                <w:rFonts w:eastAsia="Calibri"/>
                <w:sz w:val="28"/>
                <w:szCs w:val="28"/>
              </w:rPr>
            </w:pPr>
            <w:r w:rsidRPr="00520861">
              <w:rPr>
                <w:rFonts w:eastAsia="Calibri"/>
                <w:sz w:val="28"/>
                <w:szCs w:val="28"/>
              </w:rPr>
              <w:t>(2,6% - 10,3%)</w:t>
            </w:r>
          </w:p>
        </w:tc>
        <w:tc>
          <w:tcPr>
            <w:tcW w:w="1800" w:type="dxa"/>
            <w:tcBorders>
              <w:top w:val="single" w:sz="4" w:space="0" w:color="auto"/>
              <w:left w:val="single" w:sz="4" w:space="0" w:color="auto"/>
              <w:bottom w:val="single" w:sz="4" w:space="0" w:color="auto"/>
              <w:right w:val="single" w:sz="4" w:space="0" w:color="auto"/>
            </w:tcBorders>
            <w:hideMark/>
          </w:tcPr>
          <w:p w14:paraId="28B4129B"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8; 7,3</w:t>
            </w:r>
            <w:r w:rsidR="00611A5B" w:rsidRPr="00520861">
              <w:rPr>
                <w:rFonts w:eastAsia="Calibri"/>
                <w:sz w:val="28"/>
                <w:szCs w:val="28"/>
              </w:rPr>
              <w:t>%</w:t>
            </w:r>
            <w:r w:rsidRPr="00520861">
              <w:rPr>
                <w:rFonts w:eastAsia="Calibri"/>
                <w:sz w:val="28"/>
                <w:szCs w:val="28"/>
              </w:rPr>
              <w:t xml:space="preserve"> </w:t>
            </w:r>
          </w:p>
          <w:p w14:paraId="1F3A82BA" w14:textId="77777777" w:rsidR="002E3CE8" w:rsidRPr="00520861" w:rsidRDefault="002E3CE8" w:rsidP="00292D2E">
            <w:pPr>
              <w:widowControl w:val="0"/>
              <w:spacing w:line="360" w:lineRule="auto"/>
              <w:ind w:left="-50" w:right="-203" w:hanging="142"/>
              <w:contextualSpacing/>
              <w:jc w:val="center"/>
              <w:rPr>
                <w:rFonts w:eastAsia="Calibri"/>
                <w:sz w:val="28"/>
                <w:szCs w:val="28"/>
              </w:rPr>
            </w:pPr>
            <w:r w:rsidRPr="00520861">
              <w:rPr>
                <w:rFonts w:eastAsia="Calibri"/>
                <w:sz w:val="28"/>
                <w:szCs w:val="28"/>
              </w:rPr>
              <w:t>(3,8% - 12,7%)</w:t>
            </w:r>
          </w:p>
        </w:tc>
        <w:tc>
          <w:tcPr>
            <w:tcW w:w="1801" w:type="dxa"/>
            <w:tcBorders>
              <w:top w:val="single" w:sz="4" w:space="0" w:color="auto"/>
              <w:left w:val="single" w:sz="4" w:space="0" w:color="auto"/>
              <w:bottom w:val="single" w:sz="4" w:space="0" w:color="auto"/>
              <w:right w:val="single" w:sz="4" w:space="0" w:color="auto"/>
            </w:tcBorders>
            <w:hideMark/>
          </w:tcPr>
          <w:p w14:paraId="22B5D8D0"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4;3,6</w:t>
            </w:r>
            <w:r w:rsidR="00611A5B" w:rsidRPr="00520861">
              <w:rPr>
                <w:rFonts w:eastAsia="Calibri"/>
                <w:sz w:val="28"/>
                <w:szCs w:val="28"/>
              </w:rPr>
              <w:t>%</w:t>
            </w:r>
            <w:r w:rsidRPr="00520861">
              <w:rPr>
                <w:rFonts w:eastAsia="Calibri"/>
                <w:sz w:val="28"/>
                <w:szCs w:val="28"/>
              </w:rPr>
              <w:t xml:space="preserve"> </w:t>
            </w:r>
          </w:p>
          <w:p w14:paraId="354B62BA" w14:textId="77777777" w:rsidR="002E3CE8" w:rsidRPr="00520861" w:rsidRDefault="002E3CE8" w:rsidP="00292D2E">
            <w:pPr>
              <w:widowControl w:val="0"/>
              <w:spacing w:line="360" w:lineRule="auto"/>
              <w:ind w:left="-152" w:right="-113" w:firstLine="152"/>
              <w:contextualSpacing/>
              <w:jc w:val="center"/>
              <w:rPr>
                <w:rFonts w:eastAsia="Calibri"/>
                <w:sz w:val="28"/>
                <w:szCs w:val="28"/>
              </w:rPr>
            </w:pPr>
            <w:r w:rsidRPr="00520861">
              <w:rPr>
                <w:rFonts w:eastAsia="Calibri"/>
                <w:sz w:val="28"/>
                <w:szCs w:val="28"/>
              </w:rPr>
              <w:t>(1,5% - 7,8%)</w:t>
            </w:r>
          </w:p>
        </w:tc>
      </w:tr>
      <w:tr w:rsidR="002E3CE8" w:rsidRPr="00520861" w14:paraId="44148E70" w14:textId="77777777" w:rsidTr="00292D2E">
        <w:tc>
          <w:tcPr>
            <w:tcW w:w="1392" w:type="dxa"/>
            <w:tcBorders>
              <w:top w:val="single" w:sz="4" w:space="0" w:color="00000A"/>
              <w:left w:val="single" w:sz="4" w:space="0" w:color="00000A"/>
              <w:bottom w:val="single" w:sz="4" w:space="0" w:color="00000A"/>
              <w:right w:val="single" w:sz="4" w:space="0" w:color="00000A"/>
            </w:tcBorders>
            <w:shd w:val="clear" w:color="auto" w:fill="FFFFFF"/>
            <w:hideMark/>
          </w:tcPr>
          <w:p w14:paraId="229CCCAC" w14:textId="77777777" w:rsidR="002E3CE8" w:rsidRPr="00520861" w:rsidRDefault="002E3CE8" w:rsidP="00292D2E">
            <w:pPr>
              <w:widowControl w:val="0"/>
              <w:spacing w:line="360" w:lineRule="auto"/>
              <w:contextualSpacing/>
              <w:jc w:val="center"/>
              <w:rPr>
                <w:rFonts w:eastAsia="Calibri"/>
                <w:color w:val="000000"/>
                <w:sz w:val="28"/>
                <w:szCs w:val="28"/>
              </w:rPr>
            </w:pPr>
            <w:r w:rsidRPr="00520861">
              <w:rPr>
                <w:rFonts w:eastAsia="Calibri"/>
                <w:sz w:val="28"/>
                <w:szCs w:val="28"/>
              </w:rPr>
              <w:t>Підгрупа</w:t>
            </w:r>
            <w:r w:rsidRPr="00520861">
              <w:rPr>
                <w:rFonts w:eastAsia="Calibri"/>
                <w:color w:val="000000"/>
                <w:sz w:val="28"/>
                <w:szCs w:val="28"/>
              </w:rPr>
              <w:t xml:space="preserve"> 2 (</w:t>
            </w:r>
            <w:r w:rsidRPr="00520861">
              <w:rPr>
                <w:rFonts w:eastAsia="Calibri"/>
                <w:sz w:val="28"/>
                <w:szCs w:val="28"/>
              </w:rPr>
              <w:t>36</w:t>
            </w:r>
            <w:r w:rsidRPr="00520861">
              <w:rPr>
                <w:rFonts w:eastAsia="Calibri"/>
                <w:color w:val="000000"/>
                <w:sz w:val="28"/>
                <w:szCs w:val="28"/>
              </w:rPr>
              <w:t>)</w:t>
            </w:r>
          </w:p>
        </w:tc>
        <w:tc>
          <w:tcPr>
            <w:tcW w:w="2002" w:type="dxa"/>
            <w:tcBorders>
              <w:top w:val="single" w:sz="4" w:space="0" w:color="auto"/>
              <w:left w:val="single" w:sz="4" w:space="0" w:color="auto"/>
              <w:bottom w:val="single" w:sz="4" w:space="0" w:color="auto"/>
              <w:right w:val="single" w:sz="4" w:space="0" w:color="auto"/>
            </w:tcBorders>
            <w:hideMark/>
          </w:tcPr>
          <w:p w14:paraId="74649E6D"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8; 22,2</w:t>
            </w:r>
            <w:r w:rsidR="00611A5B" w:rsidRPr="00520861">
              <w:rPr>
                <w:rFonts w:eastAsia="Calibri"/>
                <w:sz w:val="28"/>
                <w:szCs w:val="28"/>
              </w:rPr>
              <w:t>%</w:t>
            </w:r>
          </w:p>
          <w:p w14:paraId="531EA16D" w14:textId="77777777" w:rsidR="002E3CE8" w:rsidRPr="00520861" w:rsidRDefault="002E3CE8" w:rsidP="00292D2E">
            <w:pPr>
              <w:widowControl w:val="0"/>
              <w:spacing w:line="360" w:lineRule="auto"/>
              <w:ind w:left="-84" w:hanging="50"/>
              <w:contextualSpacing/>
              <w:jc w:val="center"/>
              <w:rPr>
                <w:rFonts w:eastAsia="Calibri"/>
                <w:sz w:val="28"/>
                <w:szCs w:val="28"/>
              </w:rPr>
            </w:pPr>
            <w:r w:rsidRPr="00520861">
              <w:rPr>
                <w:rFonts w:eastAsia="Calibri"/>
                <w:sz w:val="28"/>
                <w:szCs w:val="28"/>
              </w:rPr>
              <w:t>(12,1% - 36,0%)</w:t>
            </w:r>
          </w:p>
        </w:tc>
        <w:tc>
          <w:tcPr>
            <w:tcW w:w="2002" w:type="dxa"/>
            <w:tcBorders>
              <w:top w:val="single" w:sz="4" w:space="0" w:color="auto"/>
              <w:left w:val="single" w:sz="4" w:space="0" w:color="auto"/>
              <w:bottom w:val="single" w:sz="4" w:space="0" w:color="auto"/>
              <w:right w:val="single" w:sz="4" w:space="0" w:color="auto"/>
            </w:tcBorders>
            <w:hideMark/>
          </w:tcPr>
          <w:p w14:paraId="5923A6BE"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7; 19,4</w:t>
            </w:r>
            <w:r w:rsidR="00611A5B" w:rsidRPr="00520861">
              <w:rPr>
                <w:rFonts w:eastAsia="Calibri"/>
                <w:sz w:val="28"/>
                <w:szCs w:val="28"/>
              </w:rPr>
              <w:t>%</w:t>
            </w:r>
            <w:r w:rsidRPr="00520861">
              <w:rPr>
                <w:rFonts w:eastAsia="Calibri"/>
                <w:sz w:val="28"/>
                <w:szCs w:val="28"/>
              </w:rPr>
              <w:t xml:space="preserve"> </w:t>
            </w:r>
          </w:p>
          <w:p w14:paraId="47C0A030" w14:textId="77777777" w:rsidR="002E3CE8" w:rsidRPr="00520861" w:rsidRDefault="002E3CE8" w:rsidP="00292D2E">
            <w:pPr>
              <w:widowControl w:val="0"/>
              <w:spacing w:line="360" w:lineRule="auto"/>
              <w:ind w:hanging="106"/>
              <w:contextualSpacing/>
              <w:jc w:val="center"/>
              <w:rPr>
                <w:rFonts w:eastAsia="Calibri"/>
                <w:sz w:val="28"/>
                <w:szCs w:val="28"/>
              </w:rPr>
            </w:pPr>
            <w:r w:rsidRPr="00520861">
              <w:rPr>
                <w:rFonts w:eastAsia="Calibri"/>
                <w:sz w:val="28"/>
                <w:szCs w:val="28"/>
              </w:rPr>
              <w:t>(10,1% - 32,8%)</w:t>
            </w:r>
          </w:p>
        </w:tc>
        <w:tc>
          <w:tcPr>
            <w:tcW w:w="2003" w:type="dxa"/>
            <w:tcBorders>
              <w:top w:val="single" w:sz="4" w:space="0" w:color="auto"/>
              <w:left w:val="single" w:sz="4" w:space="0" w:color="auto"/>
              <w:bottom w:val="single" w:sz="4" w:space="0" w:color="auto"/>
              <w:right w:val="single" w:sz="4" w:space="0" w:color="auto"/>
            </w:tcBorders>
            <w:hideMark/>
          </w:tcPr>
          <w:p w14:paraId="43CE311F"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2; 5,6</w:t>
            </w:r>
            <w:r w:rsidR="00611A5B" w:rsidRPr="00520861">
              <w:rPr>
                <w:rFonts w:eastAsia="Calibri"/>
                <w:sz w:val="28"/>
                <w:szCs w:val="28"/>
              </w:rPr>
              <w:t>%</w:t>
            </w:r>
          </w:p>
          <w:p w14:paraId="583F4A60" w14:textId="77777777" w:rsidR="002E3CE8" w:rsidRPr="00520861" w:rsidRDefault="002E3CE8" w:rsidP="00292D2E">
            <w:pPr>
              <w:widowControl w:val="0"/>
              <w:spacing w:line="360" w:lineRule="auto"/>
              <w:ind w:left="-122"/>
              <w:contextualSpacing/>
              <w:jc w:val="center"/>
              <w:rPr>
                <w:rFonts w:eastAsia="Calibri"/>
                <w:sz w:val="28"/>
                <w:szCs w:val="28"/>
              </w:rPr>
            </w:pPr>
            <w:r w:rsidRPr="00520861">
              <w:rPr>
                <w:rFonts w:eastAsia="Calibri"/>
                <w:sz w:val="28"/>
                <w:szCs w:val="28"/>
              </w:rPr>
              <w:t>(1,8% - 14,5%)</w:t>
            </w:r>
          </w:p>
        </w:tc>
        <w:tc>
          <w:tcPr>
            <w:tcW w:w="1800" w:type="dxa"/>
            <w:tcBorders>
              <w:top w:val="single" w:sz="4" w:space="0" w:color="auto"/>
              <w:left w:val="single" w:sz="4" w:space="0" w:color="auto"/>
              <w:bottom w:val="single" w:sz="4" w:space="0" w:color="auto"/>
              <w:right w:val="single" w:sz="4" w:space="0" w:color="auto"/>
            </w:tcBorders>
            <w:hideMark/>
          </w:tcPr>
          <w:p w14:paraId="0F153618"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1; 2,8</w:t>
            </w:r>
            <w:r w:rsidR="00611A5B" w:rsidRPr="00520861">
              <w:rPr>
                <w:rFonts w:eastAsia="Calibri"/>
                <w:sz w:val="28"/>
                <w:szCs w:val="28"/>
              </w:rPr>
              <w:t>%</w:t>
            </w:r>
            <w:r w:rsidRPr="00520861">
              <w:rPr>
                <w:rFonts w:eastAsia="Calibri"/>
                <w:sz w:val="28"/>
                <w:szCs w:val="28"/>
              </w:rPr>
              <w:t xml:space="preserve"> </w:t>
            </w:r>
          </w:p>
          <w:p w14:paraId="3BC8FBCE" w14:textId="77777777" w:rsidR="002E3CE8" w:rsidRPr="00520861" w:rsidRDefault="002E3CE8" w:rsidP="00292D2E">
            <w:pPr>
              <w:widowControl w:val="0"/>
              <w:spacing w:line="360" w:lineRule="auto"/>
              <w:ind w:left="-142" w:right="-123" w:firstLine="142"/>
              <w:contextualSpacing/>
              <w:jc w:val="center"/>
              <w:rPr>
                <w:rFonts w:eastAsia="Calibri"/>
                <w:sz w:val="28"/>
                <w:szCs w:val="28"/>
              </w:rPr>
            </w:pPr>
            <w:r w:rsidRPr="00520861">
              <w:rPr>
                <w:rFonts w:eastAsia="Calibri"/>
                <w:sz w:val="28"/>
                <w:szCs w:val="28"/>
              </w:rPr>
              <w:t>(0,7% - 9,7%)</w:t>
            </w:r>
          </w:p>
        </w:tc>
        <w:tc>
          <w:tcPr>
            <w:tcW w:w="1801" w:type="dxa"/>
            <w:tcBorders>
              <w:top w:val="single" w:sz="4" w:space="0" w:color="auto"/>
              <w:left w:val="single" w:sz="4" w:space="0" w:color="auto"/>
              <w:bottom w:val="single" w:sz="4" w:space="0" w:color="auto"/>
              <w:right w:val="single" w:sz="4" w:space="0" w:color="auto"/>
            </w:tcBorders>
            <w:hideMark/>
          </w:tcPr>
          <w:p w14:paraId="2870D372"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0; 0,0</w:t>
            </w:r>
            <w:r w:rsidR="00611A5B" w:rsidRPr="00520861">
              <w:rPr>
                <w:rFonts w:eastAsia="Calibri"/>
                <w:sz w:val="28"/>
                <w:szCs w:val="28"/>
              </w:rPr>
              <w:t>%</w:t>
            </w:r>
          </w:p>
          <w:p w14:paraId="0B6C8C71" w14:textId="77777777" w:rsidR="002E3CE8" w:rsidRPr="00520861" w:rsidRDefault="002E3CE8" w:rsidP="00292D2E">
            <w:pPr>
              <w:widowControl w:val="0"/>
              <w:spacing w:line="360" w:lineRule="auto"/>
              <w:ind w:left="-205" w:right="-189"/>
              <w:contextualSpacing/>
              <w:jc w:val="center"/>
              <w:rPr>
                <w:rFonts w:eastAsia="Calibri"/>
                <w:sz w:val="28"/>
                <w:szCs w:val="28"/>
              </w:rPr>
            </w:pPr>
            <w:r w:rsidRPr="00520861">
              <w:rPr>
                <w:rFonts w:eastAsia="Calibri"/>
                <w:sz w:val="28"/>
                <w:szCs w:val="28"/>
              </w:rPr>
              <w:t>(0,0% - 9,7%)</w:t>
            </w:r>
          </w:p>
        </w:tc>
        <w:tc>
          <w:tcPr>
            <w:tcW w:w="1800" w:type="dxa"/>
            <w:tcBorders>
              <w:top w:val="single" w:sz="4" w:space="0" w:color="auto"/>
              <w:left w:val="single" w:sz="4" w:space="0" w:color="auto"/>
              <w:bottom w:val="single" w:sz="4" w:space="0" w:color="auto"/>
              <w:right w:val="single" w:sz="4" w:space="0" w:color="auto"/>
            </w:tcBorders>
            <w:hideMark/>
          </w:tcPr>
          <w:p w14:paraId="5E547E3A"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0; 0,0</w:t>
            </w:r>
            <w:r w:rsidR="00611A5B" w:rsidRPr="00520861">
              <w:rPr>
                <w:rFonts w:eastAsia="Calibri"/>
                <w:sz w:val="28"/>
                <w:szCs w:val="28"/>
              </w:rPr>
              <w:t>%</w:t>
            </w:r>
          </w:p>
          <w:p w14:paraId="6A7B533B" w14:textId="77777777" w:rsidR="002E3CE8" w:rsidRPr="00520861" w:rsidRDefault="002E3CE8" w:rsidP="00292D2E">
            <w:pPr>
              <w:widowControl w:val="0"/>
              <w:spacing w:line="360" w:lineRule="auto"/>
              <w:ind w:left="-162" w:right="-90" w:firstLine="162"/>
              <w:contextualSpacing/>
              <w:jc w:val="center"/>
              <w:rPr>
                <w:rFonts w:eastAsia="Calibri"/>
                <w:sz w:val="28"/>
                <w:szCs w:val="28"/>
              </w:rPr>
            </w:pPr>
            <w:r w:rsidRPr="00520861">
              <w:rPr>
                <w:rFonts w:eastAsia="Calibri"/>
                <w:sz w:val="28"/>
                <w:szCs w:val="28"/>
              </w:rPr>
              <w:t>(0,0% - 9,7%)</w:t>
            </w:r>
          </w:p>
        </w:tc>
        <w:tc>
          <w:tcPr>
            <w:tcW w:w="1801" w:type="dxa"/>
            <w:tcBorders>
              <w:top w:val="single" w:sz="4" w:space="0" w:color="auto"/>
              <w:left w:val="single" w:sz="4" w:space="0" w:color="auto"/>
              <w:bottom w:val="single" w:sz="4" w:space="0" w:color="auto"/>
              <w:right w:val="single" w:sz="4" w:space="0" w:color="auto"/>
            </w:tcBorders>
            <w:hideMark/>
          </w:tcPr>
          <w:p w14:paraId="1834E84F"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0; 0,0</w:t>
            </w:r>
            <w:r w:rsidR="00611A5B" w:rsidRPr="00520861">
              <w:rPr>
                <w:rFonts w:eastAsia="Calibri"/>
                <w:sz w:val="28"/>
                <w:szCs w:val="28"/>
              </w:rPr>
              <w:t>%</w:t>
            </w:r>
          </w:p>
          <w:p w14:paraId="40C0EB6D" w14:textId="77777777" w:rsidR="002E3CE8" w:rsidRPr="00520861" w:rsidRDefault="002E3CE8" w:rsidP="00292D2E">
            <w:pPr>
              <w:widowControl w:val="0"/>
              <w:spacing w:line="360" w:lineRule="auto"/>
              <w:ind w:left="-119"/>
              <w:contextualSpacing/>
              <w:jc w:val="center"/>
              <w:rPr>
                <w:rFonts w:eastAsia="Calibri"/>
                <w:sz w:val="28"/>
                <w:szCs w:val="28"/>
              </w:rPr>
            </w:pPr>
            <w:r w:rsidRPr="00520861">
              <w:rPr>
                <w:rFonts w:eastAsia="Calibri"/>
                <w:sz w:val="28"/>
                <w:szCs w:val="28"/>
              </w:rPr>
              <w:t>(0,0% - 9,7%)</w:t>
            </w:r>
          </w:p>
        </w:tc>
      </w:tr>
      <w:tr w:rsidR="002E3CE8" w:rsidRPr="00520861" w14:paraId="1DA4A88C" w14:textId="77777777" w:rsidTr="00292D2E">
        <w:tc>
          <w:tcPr>
            <w:tcW w:w="1392" w:type="dxa"/>
            <w:tcBorders>
              <w:top w:val="single" w:sz="4" w:space="0" w:color="00000A"/>
              <w:left w:val="single" w:sz="4" w:space="0" w:color="00000A"/>
              <w:bottom w:val="single" w:sz="4" w:space="0" w:color="00000A"/>
              <w:right w:val="single" w:sz="4" w:space="0" w:color="00000A"/>
            </w:tcBorders>
            <w:shd w:val="clear" w:color="auto" w:fill="FFFFFF"/>
            <w:hideMark/>
          </w:tcPr>
          <w:p w14:paraId="63A9305C" w14:textId="77777777" w:rsidR="002E3CE8" w:rsidRPr="00520861" w:rsidRDefault="002E3CE8" w:rsidP="00292D2E">
            <w:pPr>
              <w:widowControl w:val="0"/>
              <w:spacing w:line="360" w:lineRule="auto"/>
              <w:contextualSpacing/>
              <w:jc w:val="center"/>
              <w:rPr>
                <w:rFonts w:eastAsia="Calibri"/>
                <w:color w:val="000000"/>
                <w:sz w:val="28"/>
                <w:szCs w:val="28"/>
              </w:rPr>
            </w:pPr>
            <w:r w:rsidRPr="00520861">
              <w:rPr>
                <w:rFonts w:eastAsia="Calibri"/>
                <w:sz w:val="28"/>
                <w:szCs w:val="28"/>
              </w:rPr>
              <w:t>Підгрупа</w:t>
            </w:r>
            <w:r w:rsidRPr="00520861">
              <w:rPr>
                <w:rFonts w:eastAsia="Calibri"/>
                <w:color w:val="000000"/>
                <w:sz w:val="28"/>
                <w:szCs w:val="28"/>
              </w:rPr>
              <w:t xml:space="preserve"> 3 (</w:t>
            </w:r>
            <w:r w:rsidRPr="00520861">
              <w:rPr>
                <w:rFonts w:eastAsia="Calibri"/>
                <w:sz w:val="28"/>
                <w:szCs w:val="28"/>
              </w:rPr>
              <w:t>66</w:t>
            </w:r>
            <w:r w:rsidRPr="00520861">
              <w:rPr>
                <w:rFonts w:eastAsia="Calibri"/>
                <w:color w:val="000000"/>
                <w:sz w:val="28"/>
                <w:szCs w:val="28"/>
              </w:rPr>
              <w:t>)</w:t>
            </w:r>
          </w:p>
        </w:tc>
        <w:tc>
          <w:tcPr>
            <w:tcW w:w="2002" w:type="dxa"/>
            <w:tcBorders>
              <w:top w:val="single" w:sz="4" w:space="0" w:color="auto"/>
              <w:left w:val="single" w:sz="4" w:space="0" w:color="auto"/>
              <w:bottom w:val="single" w:sz="4" w:space="0" w:color="auto"/>
              <w:right w:val="single" w:sz="4" w:space="0" w:color="auto"/>
            </w:tcBorders>
            <w:hideMark/>
          </w:tcPr>
          <w:p w14:paraId="6CB112CF" w14:textId="77777777" w:rsidR="002E3CE8" w:rsidRPr="00520861" w:rsidRDefault="002E3CE8" w:rsidP="00292D2E">
            <w:pPr>
              <w:widowControl w:val="0"/>
              <w:spacing w:line="360" w:lineRule="auto"/>
              <w:ind w:left="-84" w:right="-121"/>
              <w:contextualSpacing/>
              <w:jc w:val="center"/>
              <w:rPr>
                <w:rFonts w:eastAsia="Calibri"/>
                <w:sz w:val="28"/>
                <w:szCs w:val="28"/>
              </w:rPr>
            </w:pPr>
            <w:r w:rsidRPr="00520861">
              <w:rPr>
                <w:rFonts w:eastAsia="Calibri"/>
                <w:sz w:val="28"/>
                <w:szCs w:val="28"/>
              </w:rPr>
              <w:t>23; 34,8</w:t>
            </w:r>
            <w:r w:rsidR="00611A5B" w:rsidRPr="00520861">
              <w:rPr>
                <w:rFonts w:eastAsia="Calibri"/>
                <w:sz w:val="28"/>
                <w:szCs w:val="28"/>
              </w:rPr>
              <w:t>%</w:t>
            </w:r>
            <w:r w:rsidRPr="00520861">
              <w:rPr>
                <w:rFonts w:eastAsia="Calibri"/>
                <w:sz w:val="28"/>
                <w:szCs w:val="28"/>
              </w:rPr>
              <w:t xml:space="preserve"> * (24,9% - 46,0%)</w:t>
            </w:r>
          </w:p>
        </w:tc>
        <w:tc>
          <w:tcPr>
            <w:tcW w:w="2002" w:type="dxa"/>
            <w:tcBorders>
              <w:top w:val="single" w:sz="4" w:space="0" w:color="auto"/>
              <w:left w:val="single" w:sz="4" w:space="0" w:color="auto"/>
              <w:bottom w:val="single" w:sz="4" w:space="0" w:color="auto"/>
              <w:right w:val="single" w:sz="4" w:space="0" w:color="auto"/>
            </w:tcBorders>
            <w:hideMark/>
          </w:tcPr>
          <w:p w14:paraId="602B83C9" w14:textId="77777777" w:rsidR="002E3CE8" w:rsidRPr="00520861" w:rsidRDefault="002E3CE8" w:rsidP="00292D2E">
            <w:pPr>
              <w:widowControl w:val="0"/>
              <w:spacing w:line="360" w:lineRule="auto"/>
              <w:ind w:left="-104" w:right="-103" w:firstLine="104"/>
              <w:contextualSpacing/>
              <w:jc w:val="center"/>
              <w:rPr>
                <w:rFonts w:eastAsia="Calibri"/>
                <w:sz w:val="28"/>
                <w:szCs w:val="28"/>
              </w:rPr>
            </w:pPr>
            <w:r w:rsidRPr="00520861">
              <w:rPr>
                <w:rFonts w:eastAsia="Calibri"/>
                <w:sz w:val="28"/>
                <w:szCs w:val="28"/>
              </w:rPr>
              <w:t>19; 28,8</w:t>
            </w:r>
            <w:r w:rsidR="00611A5B" w:rsidRPr="00520861">
              <w:rPr>
                <w:rFonts w:eastAsia="Calibri"/>
                <w:sz w:val="28"/>
                <w:szCs w:val="28"/>
              </w:rPr>
              <w:t>%</w:t>
            </w:r>
            <w:r w:rsidRPr="00520861">
              <w:rPr>
                <w:rFonts w:eastAsia="Calibri"/>
                <w:sz w:val="28"/>
                <w:szCs w:val="28"/>
              </w:rPr>
              <w:t xml:space="preserve"> (19,6% - 39,6%)</w:t>
            </w:r>
          </w:p>
        </w:tc>
        <w:tc>
          <w:tcPr>
            <w:tcW w:w="2003" w:type="dxa"/>
            <w:tcBorders>
              <w:top w:val="single" w:sz="4" w:space="0" w:color="auto"/>
              <w:left w:val="single" w:sz="4" w:space="0" w:color="auto"/>
              <w:bottom w:val="single" w:sz="4" w:space="0" w:color="auto"/>
              <w:right w:val="single" w:sz="4" w:space="0" w:color="auto"/>
            </w:tcBorders>
            <w:hideMark/>
          </w:tcPr>
          <w:p w14:paraId="006BA824"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11; 16,7</w:t>
            </w:r>
            <w:r w:rsidR="00611A5B" w:rsidRPr="00520861">
              <w:rPr>
                <w:rFonts w:eastAsia="Calibri"/>
                <w:sz w:val="28"/>
                <w:szCs w:val="28"/>
              </w:rPr>
              <w:t>%</w:t>
            </w:r>
            <w:r w:rsidRPr="00520861">
              <w:rPr>
                <w:rFonts w:eastAsia="Calibri"/>
                <w:sz w:val="28"/>
                <w:szCs w:val="28"/>
              </w:rPr>
              <w:t xml:space="preserve"> (9,8% - 26,1)</w:t>
            </w:r>
          </w:p>
        </w:tc>
        <w:tc>
          <w:tcPr>
            <w:tcW w:w="1800" w:type="dxa"/>
            <w:tcBorders>
              <w:top w:val="single" w:sz="4" w:space="0" w:color="auto"/>
              <w:left w:val="single" w:sz="4" w:space="0" w:color="auto"/>
              <w:bottom w:val="single" w:sz="4" w:space="0" w:color="auto"/>
              <w:right w:val="single" w:sz="4" w:space="0" w:color="auto"/>
            </w:tcBorders>
            <w:hideMark/>
          </w:tcPr>
          <w:p w14:paraId="3D1E12B1"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6; 9,1</w:t>
            </w:r>
            <w:r w:rsidR="00611A5B" w:rsidRPr="00520861">
              <w:rPr>
                <w:rFonts w:eastAsia="Calibri"/>
                <w:sz w:val="28"/>
                <w:szCs w:val="28"/>
              </w:rPr>
              <w:t>%</w:t>
            </w:r>
            <w:r w:rsidRPr="00520861">
              <w:rPr>
                <w:rFonts w:eastAsia="Calibri"/>
                <w:sz w:val="28"/>
                <w:szCs w:val="28"/>
              </w:rPr>
              <w:t xml:space="preserve"> </w:t>
            </w:r>
          </w:p>
          <w:p w14:paraId="45BFF12F" w14:textId="77777777" w:rsidR="002E3CE8" w:rsidRPr="00520861" w:rsidRDefault="002E3CE8" w:rsidP="00292D2E">
            <w:pPr>
              <w:widowControl w:val="0"/>
              <w:spacing w:line="360" w:lineRule="auto"/>
              <w:ind w:left="-142" w:right="-123"/>
              <w:contextualSpacing/>
              <w:jc w:val="center"/>
              <w:rPr>
                <w:rFonts w:eastAsia="Calibri"/>
                <w:sz w:val="28"/>
                <w:szCs w:val="28"/>
              </w:rPr>
            </w:pPr>
            <w:r w:rsidRPr="00520861">
              <w:rPr>
                <w:rFonts w:eastAsia="Calibri"/>
                <w:sz w:val="28"/>
                <w:szCs w:val="28"/>
              </w:rPr>
              <w:t>(4,4% - 16,8%)</w:t>
            </w:r>
          </w:p>
        </w:tc>
        <w:tc>
          <w:tcPr>
            <w:tcW w:w="1801" w:type="dxa"/>
            <w:tcBorders>
              <w:top w:val="single" w:sz="4" w:space="0" w:color="auto"/>
              <w:left w:val="single" w:sz="4" w:space="0" w:color="auto"/>
              <w:bottom w:val="single" w:sz="4" w:space="0" w:color="auto"/>
              <w:right w:val="single" w:sz="4" w:space="0" w:color="auto"/>
            </w:tcBorders>
            <w:hideMark/>
          </w:tcPr>
          <w:p w14:paraId="6F94780E"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4;6,1</w:t>
            </w:r>
            <w:r w:rsidR="00611A5B" w:rsidRPr="00520861">
              <w:rPr>
                <w:rFonts w:eastAsia="Calibri"/>
                <w:sz w:val="28"/>
                <w:szCs w:val="28"/>
              </w:rPr>
              <w:t>%</w:t>
            </w:r>
            <w:r w:rsidRPr="00520861">
              <w:rPr>
                <w:rFonts w:eastAsia="Calibri"/>
                <w:sz w:val="28"/>
                <w:szCs w:val="28"/>
              </w:rPr>
              <w:t xml:space="preserve"> </w:t>
            </w:r>
          </w:p>
          <w:p w14:paraId="2DCEA514" w14:textId="77777777" w:rsidR="002E3CE8" w:rsidRPr="00520861" w:rsidRDefault="002E3CE8" w:rsidP="00292D2E">
            <w:pPr>
              <w:widowControl w:val="0"/>
              <w:spacing w:line="360" w:lineRule="auto"/>
              <w:ind w:left="-89" w:right="-163"/>
              <w:contextualSpacing/>
              <w:jc w:val="center"/>
              <w:rPr>
                <w:rFonts w:eastAsia="Calibri"/>
                <w:sz w:val="28"/>
                <w:szCs w:val="28"/>
              </w:rPr>
            </w:pPr>
            <w:r w:rsidRPr="00520861">
              <w:rPr>
                <w:rFonts w:eastAsia="Calibri"/>
                <w:sz w:val="28"/>
                <w:szCs w:val="28"/>
              </w:rPr>
              <w:t>(2,5% - 12,7%)</w:t>
            </w:r>
          </w:p>
        </w:tc>
        <w:tc>
          <w:tcPr>
            <w:tcW w:w="1800" w:type="dxa"/>
            <w:tcBorders>
              <w:top w:val="single" w:sz="4" w:space="0" w:color="auto"/>
              <w:left w:val="single" w:sz="4" w:space="0" w:color="auto"/>
              <w:bottom w:val="single" w:sz="4" w:space="0" w:color="auto"/>
              <w:right w:val="single" w:sz="4" w:space="0" w:color="auto"/>
            </w:tcBorders>
            <w:hideMark/>
          </w:tcPr>
          <w:p w14:paraId="6B9FAAA2"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7; 10,6</w:t>
            </w:r>
            <w:r w:rsidR="00611A5B" w:rsidRPr="00520861">
              <w:rPr>
                <w:rFonts w:eastAsia="Calibri"/>
                <w:sz w:val="28"/>
                <w:szCs w:val="28"/>
              </w:rPr>
              <w:t>%</w:t>
            </w:r>
            <w:r w:rsidRPr="00520861">
              <w:rPr>
                <w:rFonts w:eastAsia="Calibri"/>
                <w:sz w:val="28"/>
                <w:szCs w:val="28"/>
              </w:rPr>
              <w:t xml:space="preserve"> </w:t>
            </w:r>
          </w:p>
          <w:p w14:paraId="6761F5CC" w14:textId="77777777" w:rsidR="002E3CE8" w:rsidRPr="00520861" w:rsidRDefault="002E3CE8" w:rsidP="00292D2E">
            <w:pPr>
              <w:widowControl w:val="0"/>
              <w:spacing w:line="360" w:lineRule="auto"/>
              <w:ind w:left="-192" w:right="-203"/>
              <w:contextualSpacing/>
              <w:jc w:val="center"/>
              <w:rPr>
                <w:rFonts w:eastAsia="Calibri"/>
                <w:sz w:val="28"/>
                <w:szCs w:val="28"/>
              </w:rPr>
            </w:pPr>
            <w:r w:rsidRPr="00520861">
              <w:rPr>
                <w:rFonts w:eastAsia="Calibri"/>
                <w:sz w:val="28"/>
                <w:szCs w:val="28"/>
              </w:rPr>
              <w:t>(5,4% - 18,7%)</w:t>
            </w:r>
          </w:p>
        </w:tc>
        <w:tc>
          <w:tcPr>
            <w:tcW w:w="1801" w:type="dxa"/>
            <w:tcBorders>
              <w:top w:val="single" w:sz="4" w:space="0" w:color="auto"/>
              <w:left w:val="single" w:sz="4" w:space="0" w:color="auto"/>
              <w:bottom w:val="single" w:sz="4" w:space="0" w:color="auto"/>
              <w:right w:val="single" w:sz="4" w:space="0" w:color="auto"/>
            </w:tcBorders>
            <w:hideMark/>
          </w:tcPr>
          <w:p w14:paraId="341F7125"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6; 9,1</w:t>
            </w:r>
            <w:r w:rsidR="00611A5B" w:rsidRPr="00520861">
              <w:rPr>
                <w:rFonts w:eastAsia="Calibri"/>
                <w:sz w:val="28"/>
                <w:szCs w:val="28"/>
              </w:rPr>
              <w:t>%</w:t>
            </w:r>
            <w:r w:rsidRPr="00520861">
              <w:rPr>
                <w:rFonts w:eastAsia="Calibri"/>
                <w:sz w:val="28"/>
                <w:szCs w:val="28"/>
              </w:rPr>
              <w:t xml:space="preserve">* </w:t>
            </w:r>
          </w:p>
          <w:p w14:paraId="354470B5" w14:textId="77777777" w:rsidR="002E3CE8" w:rsidRPr="00520861" w:rsidRDefault="002E3CE8" w:rsidP="00292D2E">
            <w:pPr>
              <w:widowControl w:val="0"/>
              <w:spacing w:line="360" w:lineRule="auto"/>
              <w:ind w:left="-152" w:right="-113"/>
              <w:contextualSpacing/>
              <w:jc w:val="center"/>
              <w:rPr>
                <w:rFonts w:eastAsia="Calibri"/>
                <w:sz w:val="28"/>
                <w:szCs w:val="28"/>
              </w:rPr>
            </w:pPr>
            <w:r w:rsidRPr="00520861">
              <w:rPr>
                <w:rFonts w:eastAsia="Calibri"/>
                <w:sz w:val="28"/>
                <w:szCs w:val="28"/>
              </w:rPr>
              <w:t>(4,4% - 16,8%)</w:t>
            </w:r>
          </w:p>
        </w:tc>
      </w:tr>
      <w:tr w:rsidR="002E3CE8" w:rsidRPr="00520861" w14:paraId="02A8C464" w14:textId="77777777" w:rsidTr="00292D2E">
        <w:tc>
          <w:tcPr>
            <w:tcW w:w="1392" w:type="dxa"/>
            <w:tcBorders>
              <w:top w:val="single" w:sz="4" w:space="0" w:color="00000A"/>
              <w:left w:val="single" w:sz="4" w:space="0" w:color="00000A"/>
              <w:bottom w:val="single" w:sz="4" w:space="0" w:color="00000A"/>
              <w:right w:val="single" w:sz="4" w:space="0" w:color="00000A"/>
            </w:tcBorders>
            <w:shd w:val="clear" w:color="auto" w:fill="FFFFFF"/>
            <w:hideMark/>
          </w:tcPr>
          <w:p w14:paraId="50E2BFB3" w14:textId="77777777" w:rsidR="002E3CE8" w:rsidRPr="00520861" w:rsidRDefault="002E3CE8" w:rsidP="00292D2E">
            <w:pPr>
              <w:widowControl w:val="0"/>
              <w:spacing w:line="360" w:lineRule="auto"/>
              <w:contextualSpacing/>
              <w:jc w:val="center"/>
              <w:rPr>
                <w:rFonts w:eastAsia="Calibri"/>
                <w:color w:val="000000"/>
                <w:sz w:val="28"/>
                <w:szCs w:val="28"/>
              </w:rPr>
            </w:pPr>
            <w:r w:rsidRPr="00520861">
              <w:rPr>
                <w:rFonts w:eastAsia="Calibri"/>
                <w:sz w:val="28"/>
                <w:szCs w:val="28"/>
              </w:rPr>
              <w:t>Підгрупа</w:t>
            </w:r>
            <w:r w:rsidRPr="00520861">
              <w:rPr>
                <w:rFonts w:eastAsia="Calibri"/>
                <w:color w:val="000000"/>
                <w:sz w:val="28"/>
                <w:szCs w:val="28"/>
              </w:rPr>
              <w:t xml:space="preserve"> 4 (</w:t>
            </w:r>
            <w:r w:rsidRPr="00520861">
              <w:rPr>
                <w:rFonts w:eastAsia="Calibri"/>
                <w:sz w:val="28"/>
                <w:szCs w:val="28"/>
              </w:rPr>
              <w:t>140</w:t>
            </w:r>
            <w:r w:rsidRPr="00520861">
              <w:rPr>
                <w:rFonts w:eastAsia="Calibri"/>
                <w:color w:val="000000"/>
                <w:sz w:val="28"/>
                <w:szCs w:val="28"/>
              </w:rPr>
              <w:t>)</w:t>
            </w:r>
          </w:p>
        </w:tc>
        <w:tc>
          <w:tcPr>
            <w:tcW w:w="2002" w:type="dxa"/>
            <w:tcBorders>
              <w:top w:val="single" w:sz="4" w:space="0" w:color="auto"/>
              <w:left w:val="single" w:sz="4" w:space="0" w:color="auto"/>
              <w:bottom w:val="single" w:sz="4" w:space="0" w:color="auto"/>
              <w:right w:val="single" w:sz="4" w:space="0" w:color="auto"/>
            </w:tcBorders>
            <w:hideMark/>
          </w:tcPr>
          <w:p w14:paraId="25E122C0"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46; 32,9</w:t>
            </w:r>
            <w:r w:rsidR="00611A5B" w:rsidRPr="00520861">
              <w:rPr>
                <w:rFonts w:eastAsia="Calibri"/>
                <w:sz w:val="28"/>
                <w:szCs w:val="28"/>
              </w:rPr>
              <w:t>%</w:t>
            </w:r>
            <w:r w:rsidRPr="00520861">
              <w:rPr>
                <w:rFonts w:eastAsia="Calibri"/>
                <w:sz w:val="28"/>
                <w:szCs w:val="28"/>
              </w:rPr>
              <w:t xml:space="preserve">* </w:t>
            </w:r>
          </w:p>
          <w:p w14:paraId="48FEE8BB" w14:textId="77777777" w:rsidR="002E3CE8" w:rsidRPr="00520861" w:rsidRDefault="002E3CE8" w:rsidP="00292D2E">
            <w:pPr>
              <w:widowControl w:val="0"/>
              <w:spacing w:line="360" w:lineRule="auto"/>
              <w:ind w:left="-84" w:hanging="50"/>
              <w:contextualSpacing/>
              <w:jc w:val="center"/>
              <w:rPr>
                <w:rFonts w:eastAsia="Calibri"/>
                <w:sz w:val="28"/>
                <w:szCs w:val="28"/>
              </w:rPr>
            </w:pPr>
            <w:r w:rsidRPr="00520861">
              <w:rPr>
                <w:rFonts w:eastAsia="Calibri"/>
                <w:sz w:val="28"/>
                <w:szCs w:val="28"/>
              </w:rPr>
              <w:t>(25,8% - 40,6%)</w:t>
            </w:r>
          </w:p>
        </w:tc>
        <w:tc>
          <w:tcPr>
            <w:tcW w:w="2002" w:type="dxa"/>
            <w:tcBorders>
              <w:top w:val="single" w:sz="4" w:space="0" w:color="auto"/>
              <w:left w:val="single" w:sz="4" w:space="0" w:color="auto"/>
              <w:bottom w:val="single" w:sz="4" w:space="0" w:color="auto"/>
              <w:right w:val="single" w:sz="4" w:space="0" w:color="auto"/>
            </w:tcBorders>
            <w:hideMark/>
          </w:tcPr>
          <w:p w14:paraId="7633249F" w14:textId="77777777" w:rsidR="002E3CE8" w:rsidRPr="00520861" w:rsidRDefault="002E3CE8" w:rsidP="00292D2E">
            <w:pPr>
              <w:widowControl w:val="0"/>
              <w:spacing w:line="360" w:lineRule="auto"/>
              <w:ind w:left="-104"/>
              <w:contextualSpacing/>
              <w:jc w:val="center"/>
              <w:rPr>
                <w:rFonts w:eastAsia="Calibri"/>
                <w:sz w:val="28"/>
                <w:szCs w:val="28"/>
              </w:rPr>
            </w:pPr>
            <w:r w:rsidRPr="00520861">
              <w:rPr>
                <w:rFonts w:eastAsia="Calibri"/>
                <w:sz w:val="28"/>
                <w:szCs w:val="28"/>
              </w:rPr>
              <w:t>43; 30,7</w:t>
            </w:r>
            <w:r w:rsidR="00611A5B" w:rsidRPr="00520861">
              <w:rPr>
                <w:rFonts w:eastAsia="Calibri"/>
                <w:sz w:val="28"/>
                <w:szCs w:val="28"/>
              </w:rPr>
              <w:t>%</w:t>
            </w:r>
            <w:r w:rsidRPr="00520861">
              <w:rPr>
                <w:rFonts w:eastAsia="Calibri"/>
                <w:sz w:val="28"/>
                <w:szCs w:val="28"/>
              </w:rPr>
              <w:t>*  (23,9% - 38,3%)</w:t>
            </w:r>
          </w:p>
        </w:tc>
        <w:tc>
          <w:tcPr>
            <w:tcW w:w="2003" w:type="dxa"/>
            <w:tcBorders>
              <w:top w:val="single" w:sz="4" w:space="0" w:color="auto"/>
              <w:left w:val="single" w:sz="4" w:space="0" w:color="auto"/>
              <w:bottom w:val="single" w:sz="4" w:space="0" w:color="auto"/>
              <w:right w:val="single" w:sz="4" w:space="0" w:color="auto"/>
            </w:tcBorders>
            <w:hideMark/>
          </w:tcPr>
          <w:p w14:paraId="2310EE09" w14:textId="77777777" w:rsidR="002E3CE8" w:rsidRPr="00520861" w:rsidRDefault="002E3CE8" w:rsidP="00292D2E">
            <w:pPr>
              <w:widowControl w:val="0"/>
              <w:spacing w:line="360" w:lineRule="auto"/>
              <w:ind w:left="-122" w:right="-83"/>
              <w:contextualSpacing/>
              <w:jc w:val="center"/>
              <w:rPr>
                <w:rFonts w:eastAsia="Calibri"/>
                <w:sz w:val="28"/>
                <w:szCs w:val="28"/>
              </w:rPr>
            </w:pPr>
            <w:r w:rsidRPr="00520861">
              <w:rPr>
                <w:rFonts w:eastAsia="Calibri"/>
                <w:sz w:val="28"/>
                <w:szCs w:val="28"/>
              </w:rPr>
              <w:t>29; 20,7</w:t>
            </w:r>
            <w:r w:rsidR="00611A5B" w:rsidRPr="00520861">
              <w:rPr>
                <w:rFonts w:eastAsia="Calibri"/>
                <w:sz w:val="28"/>
                <w:szCs w:val="28"/>
              </w:rPr>
              <w:t>%</w:t>
            </w:r>
            <w:r w:rsidRPr="00520861">
              <w:rPr>
                <w:rFonts w:eastAsia="Calibri"/>
                <w:sz w:val="28"/>
                <w:szCs w:val="28"/>
              </w:rPr>
              <w:t>* (14,9% - 27,6%)</w:t>
            </w:r>
          </w:p>
        </w:tc>
        <w:tc>
          <w:tcPr>
            <w:tcW w:w="1800" w:type="dxa"/>
            <w:tcBorders>
              <w:top w:val="single" w:sz="4" w:space="0" w:color="auto"/>
              <w:left w:val="single" w:sz="4" w:space="0" w:color="auto"/>
              <w:bottom w:val="single" w:sz="4" w:space="0" w:color="auto"/>
              <w:right w:val="single" w:sz="4" w:space="0" w:color="auto"/>
            </w:tcBorders>
            <w:hideMark/>
          </w:tcPr>
          <w:p w14:paraId="5B8895ED" w14:textId="77777777" w:rsidR="002E3CE8" w:rsidRPr="00520861" w:rsidRDefault="002E3CE8" w:rsidP="00292D2E">
            <w:pPr>
              <w:widowControl w:val="0"/>
              <w:spacing w:line="360" w:lineRule="auto"/>
              <w:ind w:left="-283" w:right="-265" w:firstLine="72"/>
              <w:contextualSpacing/>
              <w:jc w:val="center"/>
              <w:rPr>
                <w:rFonts w:eastAsia="Calibri"/>
                <w:sz w:val="28"/>
                <w:szCs w:val="28"/>
              </w:rPr>
            </w:pPr>
            <w:r w:rsidRPr="00520861">
              <w:rPr>
                <w:rFonts w:eastAsia="Calibri"/>
                <w:sz w:val="28"/>
                <w:szCs w:val="28"/>
              </w:rPr>
              <w:t>23; 16,4</w:t>
            </w:r>
            <w:r w:rsidR="00611A5B" w:rsidRPr="00520861">
              <w:rPr>
                <w:rFonts w:eastAsia="Calibri"/>
                <w:sz w:val="28"/>
                <w:szCs w:val="28"/>
              </w:rPr>
              <w:t>%</w:t>
            </w:r>
            <w:r w:rsidRPr="00520861">
              <w:rPr>
                <w:rFonts w:eastAsia="Calibri"/>
                <w:sz w:val="28"/>
                <w:szCs w:val="28"/>
              </w:rPr>
              <w:t xml:space="preserve">* </w:t>
            </w:r>
            <w:r w:rsidRPr="00520861">
              <w:rPr>
                <w:rFonts w:eastAsia="Calibri"/>
                <w:spacing w:val="-8"/>
                <w:sz w:val="28"/>
                <w:szCs w:val="28"/>
              </w:rPr>
              <w:t>(11,3% - 22,8%)</w:t>
            </w:r>
          </w:p>
        </w:tc>
        <w:tc>
          <w:tcPr>
            <w:tcW w:w="1801" w:type="dxa"/>
            <w:tcBorders>
              <w:top w:val="single" w:sz="4" w:space="0" w:color="auto"/>
              <w:left w:val="single" w:sz="4" w:space="0" w:color="auto"/>
              <w:bottom w:val="single" w:sz="4" w:space="0" w:color="auto"/>
              <w:right w:val="single" w:sz="4" w:space="0" w:color="auto"/>
            </w:tcBorders>
            <w:hideMark/>
          </w:tcPr>
          <w:p w14:paraId="21EC89F4"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11; 7,9</w:t>
            </w:r>
            <w:r w:rsidR="00611A5B" w:rsidRPr="00520861">
              <w:rPr>
                <w:rFonts w:eastAsia="Calibri"/>
                <w:sz w:val="28"/>
                <w:szCs w:val="28"/>
              </w:rPr>
              <w:t>%</w:t>
            </w:r>
            <w:r w:rsidRPr="00520861">
              <w:rPr>
                <w:rFonts w:eastAsia="Calibri"/>
                <w:sz w:val="28"/>
                <w:szCs w:val="28"/>
              </w:rPr>
              <w:t xml:space="preserve">* </w:t>
            </w:r>
          </w:p>
          <w:p w14:paraId="0A751BDA" w14:textId="77777777" w:rsidR="002E3CE8" w:rsidRPr="00520861" w:rsidRDefault="002E3CE8" w:rsidP="00292D2E">
            <w:pPr>
              <w:widowControl w:val="0"/>
              <w:spacing w:line="360" w:lineRule="auto"/>
              <w:ind w:left="-231" w:right="-163"/>
              <w:contextualSpacing/>
              <w:jc w:val="center"/>
              <w:rPr>
                <w:rFonts w:eastAsia="Calibri"/>
                <w:sz w:val="28"/>
                <w:szCs w:val="28"/>
              </w:rPr>
            </w:pPr>
            <w:r w:rsidRPr="00520861">
              <w:rPr>
                <w:rFonts w:eastAsia="Calibri"/>
                <w:sz w:val="28"/>
                <w:szCs w:val="28"/>
              </w:rPr>
              <w:t>(4,5% - 12,7%)</w:t>
            </w:r>
          </w:p>
        </w:tc>
        <w:tc>
          <w:tcPr>
            <w:tcW w:w="1800" w:type="dxa"/>
            <w:tcBorders>
              <w:top w:val="single" w:sz="4" w:space="0" w:color="auto"/>
              <w:left w:val="single" w:sz="4" w:space="0" w:color="auto"/>
              <w:bottom w:val="single" w:sz="4" w:space="0" w:color="auto"/>
              <w:right w:val="single" w:sz="4" w:space="0" w:color="auto"/>
            </w:tcBorders>
            <w:hideMark/>
          </w:tcPr>
          <w:p w14:paraId="49BA353D" w14:textId="77777777" w:rsidR="002E3CE8" w:rsidRPr="00520861" w:rsidRDefault="002E3CE8" w:rsidP="00292D2E">
            <w:pPr>
              <w:widowControl w:val="0"/>
              <w:spacing w:line="360" w:lineRule="auto"/>
              <w:ind w:left="-192" w:right="-61"/>
              <w:contextualSpacing/>
              <w:jc w:val="center"/>
              <w:rPr>
                <w:rFonts w:eastAsia="Calibri"/>
                <w:sz w:val="28"/>
                <w:szCs w:val="28"/>
              </w:rPr>
            </w:pPr>
            <w:r w:rsidRPr="00520861">
              <w:rPr>
                <w:rFonts w:eastAsia="Calibri"/>
                <w:sz w:val="28"/>
                <w:szCs w:val="28"/>
              </w:rPr>
              <w:t>14; 10,0</w:t>
            </w:r>
            <w:r w:rsidR="00611A5B" w:rsidRPr="00520861">
              <w:rPr>
                <w:rFonts w:eastAsia="Calibri"/>
                <w:sz w:val="28"/>
                <w:szCs w:val="28"/>
              </w:rPr>
              <w:t>%</w:t>
            </w:r>
          </w:p>
          <w:p w14:paraId="07994419" w14:textId="77777777" w:rsidR="002E3CE8" w:rsidRPr="00520861" w:rsidRDefault="002E3CE8" w:rsidP="00292D2E">
            <w:pPr>
              <w:widowControl w:val="0"/>
              <w:spacing w:line="360" w:lineRule="auto"/>
              <w:ind w:left="-192" w:right="-61"/>
              <w:contextualSpacing/>
              <w:jc w:val="center"/>
              <w:rPr>
                <w:rFonts w:eastAsia="Calibri"/>
                <w:sz w:val="28"/>
                <w:szCs w:val="28"/>
              </w:rPr>
            </w:pPr>
            <w:r w:rsidRPr="00520861">
              <w:rPr>
                <w:rFonts w:eastAsia="Calibri"/>
                <w:sz w:val="28"/>
                <w:szCs w:val="28"/>
              </w:rPr>
              <w:t xml:space="preserve"> (6,1% - 15,4%)</w:t>
            </w:r>
          </w:p>
        </w:tc>
        <w:tc>
          <w:tcPr>
            <w:tcW w:w="1801" w:type="dxa"/>
            <w:tcBorders>
              <w:top w:val="single" w:sz="4" w:space="0" w:color="auto"/>
              <w:left w:val="single" w:sz="4" w:space="0" w:color="auto"/>
              <w:bottom w:val="single" w:sz="4" w:space="0" w:color="auto"/>
              <w:right w:val="single" w:sz="4" w:space="0" w:color="auto"/>
            </w:tcBorders>
            <w:hideMark/>
          </w:tcPr>
          <w:p w14:paraId="1DD62BE1" w14:textId="77777777" w:rsidR="002E3CE8" w:rsidRPr="00520861" w:rsidRDefault="002E3CE8" w:rsidP="00292D2E">
            <w:pPr>
              <w:widowControl w:val="0"/>
              <w:spacing w:line="360" w:lineRule="auto"/>
              <w:contextualSpacing/>
              <w:jc w:val="center"/>
              <w:rPr>
                <w:rFonts w:eastAsia="Calibri"/>
                <w:sz w:val="28"/>
                <w:szCs w:val="28"/>
              </w:rPr>
            </w:pPr>
            <w:r w:rsidRPr="00520861">
              <w:rPr>
                <w:rFonts w:eastAsia="Calibri"/>
                <w:sz w:val="28"/>
                <w:szCs w:val="28"/>
              </w:rPr>
              <w:t>10; 7,1</w:t>
            </w:r>
            <w:r w:rsidR="00611A5B" w:rsidRPr="00520861">
              <w:rPr>
                <w:rFonts w:eastAsia="Calibri"/>
                <w:sz w:val="28"/>
                <w:szCs w:val="28"/>
              </w:rPr>
              <w:t>%</w:t>
            </w:r>
            <w:r w:rsidRPr="00520861">
              <w:rPr>
                <w:rFonts w:eastAsia="Calibri"/>
                <w:sz w:val="28"/>
                <w:szCs w:val="28"/>
              </w:rPr>
              <w:t xml:space="preserve"> *</w:t>
            </w:r>
          </w:p>
          <w:p w14:paraId="3C5E2471" w14:textId="77777777" w:rsidR="002E3CE8" w:rsidRPr="00520861" w:rsidRDefault="002E3CE8" w:rsidP="00292D2E">
            <w:pPr>
              <w:widowControl w:val="0"/>
              <w:spacing w:line="360" w:lineRule="auto"/>
              <w:ind w:left="-152" w:right="-113"/>
              <w:contextualSpacing/>
              <w:jc w:val="center"/>
              <w:rPr>
                <w:rFonts w:eastAsia="Calibri"/>
                <w:sz w:val="28"/>
                <w:szCs w:val="28"/>
              </w:rPr>
            </w:pPr>
            <w:r w:rsidRPr="00520861">
              <w:rPr>
                <w:rFonts w:eastAsia="Calibri"/>
                <w:sz w:val="28"/>
                <w:szCs w:val="28"/>
              </w:rPr>
              <w:t>(4,0% - 11,9%)</w:t>
            </w:r>
          </w:p>
        </w:tc>
      </w:tr>
    </w:tbl>
    <w:p w14:paraId="1F82F2CB"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Примітка: * – різниця між групою (підгрупою) ОГ і ГП статистично вірогідна при ймовірності </w:t>
      </w:r>
      <w:r w:rsidR="00E82B0F" w:rsidRPr="00520861">
        <w:rPr>
          <w:rFonts w:eastAsia="Calibri"/>
          <w:sz w:val="28"/>
          <w:szCs w:val="28"/>
          <w:lang w:eastAsia="en-US"/>
        </w:rPr>
        <w:t>похибки</w:t>
      </w:r>
      <w:r w:rsidRPr="00520861">
        <w:rPr>
          <w:rFonts w:eastAsia="Calibri"/>
          <w:sz w:val="28"/>
          <w:szCs w:val="28"/>
          <w:lang w:eastAsia="en-US"/>
        </w:rPr>
        <w:t xml:space="preserve"> </w:t>
      </w:r>
      <w:r w:rsidRPr="00520861">
        <w:rPr>
          <w:rFonts w:eastAsia="Calibri"/>
          <w:i/>
          <w:sz w:val="28"/>
          <w:szCs w:val="28"/>
          <w:lang w:eastAsia="en-US"/>
        </w:rPr>
        <w:t>p</w:t>
      </w:r>
      <w:r w:rsidR="00FF6C32" w:rsidRPr="00520861">
        <w:rPr>
          <w:rFonts w:eastAsia="Calibri"/>
          <w:sz w:val="28"/>
          <w:szCs w:val="28"/>
          <w:lang w:eastAsia="en-US"/>
        </w:rPr>
        <w:t>&lt;</w:t>
      </w:r>
      <w:r w:rsidRPr="00520861">
        <w:rPr>
          <w:rFonts w:eastAsia="Calibri"/>
          <w:sz w:val="28"/>
          <w:szCs w:val="28"/>
          <w:lang w:eastAsia="en-US"/>
        </w:rPr>
        <w:t>0,05.</w:t>
      </w:r>
    </w:p>
    <w:p w14:paraId="7DA90DA4" w14:textId="77777777" w:rsidR="002E3CE8" w:rsidRPr="00520861" w:rsidRDefault="002E3CE8" w:rsidP="00292D2E">
      <w:pPr>
        <w:widowControl w:val="0"/>
        <w:spacing w:after="160" w:line="360" w:lineRule="auto"/>
        <w:rPr>
          <w:rFonts w:eastAsia="Calibri"/>
          <w:sz w:val="28"/>
          <w:szCs w:val="28"/>
          <w:lang w:eastAsia="en-US"/>
        </w:rPr>
        <w:sectPr w:rsidR="002E3CE8" w:rsidRPr="00520861" w:rsidSect="00292D2E">
          <w:headerReference w:type="default" r:id="rId99"/>
          <w:pgSz w:w="16838" w:h="11906" w:orient="landscape"/>
          <w:pgMar w:top="1134" w:right="1134" w:bottom="567" w:left="1134" w:header="709" w:footer="709" w:gutter="0"/>
          <w:cols w:space="720"/>
        </w:sectPr>
      </w:pPr>
    </w:p>
    <w:p w14:paraId="597D50C0" w14:textId="77777777" w:rsidR="002E3CE8" w:rsidRPr="00520861" w:rsidRDefault="002E3CE8" w:rsidP="00292D2E">
      <w:pPr>
        <w:widowControl w:val="0"/>
        <w:spacing w:line="360" w:lineRule="auto"/>
        <w:contextualSpacing/>
        <w:jc w:val="both"/>
        <w:rPr>
          <w:rFonts w:eastAsia="Calibri"/>
          <w:sz w:val="28"/>
          <w:szCs w:val="28"/>
          <w:lang w:eastAsia="en-US"/>
        </w:rPr>
      </w:pPr>
      <w:r w:rsidRPr="00520861">
        <w:rPr>
          <w:rFonts w:eastAsia="Calibri"/>
          <w:sz w:val="28"/>
          <w:szCs w:val="28"/>
          <w:lang w:eastAsia="en-US"/>
        </w:rPr>
        <w:lastRenderedPageBreak/>
        <w:t>Із показником «тяжкий РДК» спостерігається досить схожа ситуація.</w:t>
      </w:r>
    </w:p>
    <w:p w14:paraId="378FBF7A"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Процентна кількість дітей, для яких за записами в історіях розвитку можна встановити наявність тяжкого РДК, у підгрупах 1, 3 та 4 більша, ніж у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Для дітей підгрупи 4 ця різниця є вірогідною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Діти підгрупи 2 мали </w:t>
      </w:r>
      <w:r w:rsidRPr="00520861">
        <w:rPr>
          <w:rFonts w:eastAsia="Calibri"/>
          <w:sz w:val="28"/>
          <w:szCs w:val="28"/>
          <w:lang w:eastAsia="en-US"/>
        </w:rPr>
        <w:br/>
        <w:t xml:space="preserve">найнижчу серед усіх учасників дослідження процентну кількість як РДК, так і </w:t>
      </w:r>
      <w:r w:rsidRPr="00520861">
        <w:rPr>
          <w:rFonts w:eastAsia="Calibri"/>
          <w:sz w:val="28"/>
          <w:szCs w:val="28"/>
          <w:lang w:eastAsia="en-US"/>
        </w:rPr>
        <w:br/>
        <w:t>ускладненого РДК.</w:t>
      </w:r>
    </w:p>
    <w:p w14:paraId="20B16A1D" w14:textId="77777777" w:rsidR="002E3CE8" w:rsidRPr="00520861" w:rsidRDefault="002E3CE8" w:rsidP="00292D2E">
      <w:pPr>
        <w:widowControl w:val="0"/>
        <w:spacing w:line="360" w:lineRule="auto"/>
        <w:ind w:firstLine="708"/>
        <w:contextualSpacing/>
        <w:jc w:val="both"/>
        <w:rPr>
          <w:rFonts w:eastAsia="Calibri"/>
          <w:spacing w:val="-2"/>
          <w:sz w:val="28"/>
          <w:szCs w:val="28"/>
          <w:lang w:eastAsia="en-US"/>
        </w:rPr>
      </w:pPr>
      <w:r w:rsidRPr="00520861">
        <w:rPr>
          <w:rFonts w:eastAsia="Calibri"/>
          <w:sz w:val="28"/>
          <w:szCs w:val="28"/>
          <w:lang w:eastAsia="en-US"/>
        </w:rPr>
        <w:t xml:space="preserve">Незважаючи на те, що кількість дітей віком до 3-х років із карієсом тимчасових зубів була врахована під час підрахунку кількості дітей із РДК (табл. 6.1), ми окремо проаналізували кількість дітей віком до 3-х років із записами про лікування карієсу. </w:t>
      </w:r>
      <w:r w:rsidRPr="00520861">
        <w:rPr>
          <w:rFonts w:eastAsia="Calibri"/>
          <w:spacing w:val="-2"/>
          <w:sz w:val="28"/>
          <w:szCs w:val="28"/>
          <w:lang w:eastAsia="en-US"/>
        </w:rPr>
        <w:t>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pacing w:val="-2"/>
          <w:sz w:val="28"/>
          <w:szCs w:val="28"/>
          <w:lang w:eastAsia="en-US"/>
        </w:rPr>
        <w:t>) більшою, ця різниця порівняно з ГП, виявилася у дітей підгрупи 4.</w:t>
      </w:r>
    </w:p>
    <w:p w14:paraId="51409641"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Відомості, наведені у табл. 6.1, демонструють, що процентна кількість дітей, </w:t>
      </w:r>
      <w:r w:rsidRPr="00520861">
        <w:rPr>
          <w:rFonts w:eastAsia="Calibri"/>
          <w:sz w:val="28"/>
          <w:szCs w:val="28"/>
          <w:lang w:eastAsia="en-US"/>
        </w:rPr>
        <w:br/>
        <w:t xml:space="preserve">у яких була встановлена наявність карієсу постійних зубів,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більша в ОГ у порівнянні із ГП. Натомість процентна кількість дітей із ускладненим карієсом </w:t>
      </w:r>
      <w:r w:rsidR="00517614" w:rsidRPr="00520861">
        <w:rPr>
          <w:rFonts w:eastAsia="Calibri"/>
          <w:sz w:val="28"/>
          <w:szCs w:val="28"/>
          <w:lang w:eastAsia="en-US"/>
        </w:rPr>
        <w:br/>
      </w:r>
      <w:r w:rsidRPr="00520861">
        <w:rPr>
          <w:rFonts w:eastAsia="Calibri"/>
          <w:sz w:val="28"/>
          <w:szCs w:val="28"/>
          <w:lang w:eastAsia="en-US"/>
        </w:rPr>
        <w:t>постійних зубів є серед дітей ОГ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більшою. </w:t>
      </w:r>
    </w:p>
    <w:p w14:paraId="35D10C89"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Під час аналізу розподілу дітей з ускладненим карієсом постійних зубів за підгрупами було встановлено, що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більше таких дітей виявилося у </w:t>
      </w:r>
      <w:r w:rsidRPr="00520861">
        <w:rPr>
          <w:rFonts w:eastAsia="Calibri"/>
          <w:sz w:val="28"/>
          <w:szCs w:val="28"/>
          <w:lang w:eastAsia="en-US"/>
        </w:rPr>
        <w:br/>
        <w:t>підгрупах 3 та 4. У дітей із підгрупи 2 записів щодо карієсу постійних зубів виявлено не було. Аналіз записів у історіях розвитку дітей за 14 років життя виявив, що в 3,7</w:t>
      </w:r>
      <w:r w:rsidR="00611A5B" w:rsidRPr="00520861">
        <w:rPr>
          <w:rFonts w:eastAsia="Calibri"/>
          <w:sz w:val="28"/>
          <w:szCs w:val="28"/>
          <w:lang w:eastAsia="en-US"/>
        </w:rPr>
        <w:t>%</w:t>
      </w:r>
      <w:r w:rsidRPr="00520861">
        <w:rPr>
          <w:rFonts w:eastAsia="Calibri"/>
          <w:sz w:val="28"/>
          <w:szCs w:val="28"/>
          <w:lang w:eastAsia="en-US"/>
        </w:rPr>
        <w:t xml:space="preserve"> (ДІ: 2,2</w:t>
      </w:r>
      <w:r w:rsidR="00611A5B" w:rsidRPr="00520861">
        <w:rPr>
          <w:rFonts w:eastAsia="Calibri"/>
          <w:sz w:val="28"/>
          <w:szCs w:val="28"/>
          <w:lang w:eastAsia="en-US"/>
        </w:rPr>
        <w:t>%</w:t>
      </w:r>
      <w:r w:rsidRPr="00520861">
        <w:rPr>
          <w:rFonts w:eastAsia="Calibri"/>
          <w:sz w:val="28"/>
          <w:szCs w:val="28"/>
          <w:lang w:eastAsia="en-US"/>
        </w:rPr>
        <w:t xml:space="preserve"> – 5,9</w:t>
      </w:r>
      <w:r w:rsidR="00611A5B" w:rsidRPr="00520861">
        <w:rPr>
          <w:rFonts w:eastAsia="Calibri"/>
          <w:sz w:val="28"/>
          <w:szCs w:val="28"/>
          <w:lang w:eastAsia="en-US"/>
        </w:rPr>
        <w:t>%</w:t>
      </w:r>
      <w:r w:rsidRPr="00520861">
        <w:rPr>
          <w:rFonts w:eastAsia="Calibri"/>
          <w:sz w:val="28"/>
          <w:szCs w:val="28"/>
          <w:lang w:eastAsia="en-US"/>
        </w:rPr>
        <w:t>) випадків ускладнення карієсу як тимчасових, так і постійних зубів у ОГ реалізувалися у періостити, тоді як у групі порівняння ПКВ склала лише 0,6</w:t>
      </w:r>
      <w:r w:rsidR="00611A5B" w:rsidRPr="00520861">
        <w:rPr>
          <w:rFonts w:eastAsia="Calibri"/>
          <w:sz w:val="28"/>
          <w:szCs w:val="28"/>
          <w:lang w:eastAsia="en-US"/>
        </w:rPr>
        <w:t>%</w:t>
      </w:r>
      <w:r w:rsidRPr="00520861">
        <w:rPr>
          <w:rFonts w:eastAsia="Calibri"/>
          <w:sz w:val="28"/>
          <w:szCs w:val="28"/>
          <w:lang w:eastAsia="en-US"/>
        </w:rPr>
        <w:t xml:space="preserve"> (ДІ: 0,2</w:t>
      </w:r>
      <w:r w:rsidR="00611A5B" w:rsidRPr="00520861">
        <w:rPr>
          <w:rFonts w:eastAsia="Calibri"/>
          <w:sz w:val="28"/>
          <w:szCs w:val="28"/>
          <w:lang w:eastAsia="en-US"/>
        </w:rPr>
        <w:t>%</w:t>
      </w:r>
      <w:r w:rsidRPr="00520861">
        <w:rPr>
          <w:rFonts w:eastAsia="Calibri"/>
          <w:sz w:val="28"/>
          <w:szCs w:val="28"/>
          <w:lang w:eastAsia="en-US"/>
        </w:rPr>
        <w:t xml:space="preserve"> – 1,7</w:t>
      </w:r>
      <w:r w:rsidR="00611A5B" w:rsidRPr="00520861">
        <w:rPr>
          <w:rFonts w:eastAsia="Calibri"/>
          <w:sz w:val="28"/>
          <w:szCs w:val="28"/>
          <w:lang w:eastAsia="en-US"/>
        </w:rPr>
        <w:t>%</w:t>
      </w:r>
      <w:r w:rsidRPr="00520861">
        <w:rPr>
          <w:rFonts w:eastAsia="Calibri"/>
          <w:sz w:val="28"/>
          <w:szCs w:val="28"/>
          <w:lang w:eastAsia="en-US"/>
        </w:rPr>
        <w:t xml:space="preserve">). Доречно буде сказати, що 7 із 13 зафіксованих випадків періоститів щелеп припадали на дітей із підгрупи 4. </w:t>
      </w:r>
    </w:p>
    <w:p w14:paraId="2FDAC434" w14:textId="77777777" w:rsidR="002E3CE8" w:rsidRPr="00520861" w:rsidRDefault="002E3CE8" w:rsidP="00292D2E">
      <w:pPr>
        <w:widowControl w:val="0"/>
        <w:spacing w:line="360" w:lineRule="auto"/>
        <w:ind w:left="142" w:firstLine="567"/>
        <w:contextualSpacing/>
        <w:jc w:val="both"/>
        <w:rPr>
          <w:rFonts w:eastAsia="Calibri"/>
          <w:sz w:val="28"/>
          <w:szCs w:val="28"/>
          <w:lang w:eastAsia="en-US"/>
        </w:rPr>
      </w:pPr>
      <w:r w:rsidRPr="00520861">
        <w:rPr>
          <w:rFonts w:eastAsia="Calibri"/>
          <w:sz w:val="28"/>
          <w:szCs w:val="28"/>
          <w:lang w:eastAsia="en-US"/>
        </w:rPr>
        <w:t>У структурі записів про захворюваність за 14 років життя в ОГ виявлено вірогідно (</w:t>
      </w:r>
      <w:r w:rsidRPr="00520861">
        <w:rPr>
          <w:rFonts w:eastAsia="Calibri"/>
          <w:sz w:val="28"/>
          <w:szCs w:val="28"/>
          <w:lang w:val="en-US" w:eastAsia="en-US"/>
        </w:rPr>
        <w:t>p</w:t>
      </w:r>
      <w:r w:rsidRPr="00520861">
        <w:rPr>
          <w:rFonts w:eastAsia="Calibri"/>
          <w:sz w:val="28"/>
          <w:szCs w:val="28"/>
          <w:lang w:val="ru-RU" w:eastAsia="en-US"/>
        </w:rPr>
        <w:t>&lt;0,05</w:t>
      </w:r>
      <w:r w:rsidRPr="00520861">
        <w:rPr>
          <w:rFonts w:eastAsia="Calibri"/>
          <w:sz w:val="28"/>
          <w:szCs w:val="28"/>
          <w:lang w:eastAsia="en-US"/>
        </w:rPr>
        <w:t xml:space="preserve">) більшу ПКВ гострого </w:t>
      </w:r>
      <w:proofErr w:type="spellStart"/>
      <w:r w:rsidRPr="00520861">
        <w:rPr>
          <w:rFonts w:eastAsia="Calibri"/>
          <w:sz w:val="28"/>
          <w:szCs w:val="28"/>
          <w:lang w:eastAsia="en-US"/>
        </w:rPr>
        <w:t>герпетичного</w:t>
      </w:r>
      <w:proofErr w:type="spellEnd"/>
      <w:r w:rsidRPr="00520861">
        <w:rPr>
          <w:rFonts w:eastAsia="Calibri"/>
          <w:sz w:val="28"/>
          <w:szCs w:val="28"/>
          <w:lang w:eastAsia="en-US"/>
        </w:rPr>
        <w:t xml:space="preserve"> стоматиту – 11,1</w:t>
      </w:r>
      <w:r w:rsidR="00611A5B" w:rsidRPr="00520861">
        <w:rPr>
          <w:rFonts w:eastAsia="Calibri"/>
          <w:sz w:val="28"/>
          <w:szCs w:val="28"/>
          <w:lang w:eastAsia="en-US"/>
        </w:rPr>
        <w:t>%</w:t>
      </w:r>
      <w:r w:rsidRPr="00520861">
        <w:rPr>
          <w:rFonts w:eastAsia="Calibri"/>
          <w:sz w:val="28"/>
          <w:szCs w:val="28"/>
          <w:lang w:eastAsia="en-US"/>
        </w:rPr>
        <w:t xml:space="preserve"> (ДІ: 8,2</w:t>
      </w:r>
      <w:r w:rsidR="00611A5B" w:rsidRPr="00520861">
        <w:rPr>
          <w:rFonts w:eastAsia="Calibri"/>
          <w:sz w:val="28"/>
          <w:szCs w:val="28"/>
          <w:lang w:eastAsia="en-US"/>
        </w:rPr>
        <w:t>%</w:t>
      </w:r>
      <w:r w:rsidRPr="00520861">
        <w:rPr>
          <w:rFonts w:eastAsia="Calibri"/>
          <w:sz w:val="28"/>
          <w:szCs w:val="28"/>
          <w:lang w:eastAsia="en-US"/>
        </w:rPr>
        <w:t xml:space="preserve"> – 14,5</w:t>
      </w:r>
      <w:r w:rsidR="00611A5B" w:rsidRPr="00520861">
        <w:rPr>
          <w:rFonts w:eastAsia="Calibri"/>
          <w:sz w:val="28"/>
          <w:szCs w:val="28"/>
          <w:lang w:eastAsia="en-US"/>
        </w:rPr>
        <w:t>%</w:t>
      </w:r>
      <w:r w:rsidRPr="00520861">
        <w:rPr>
          <w:rFonts w:eastAsia="Calibri"/>
          <w:sz w:val="28"/>
          <w:szCs w:val="28"/>
          <w:lang w:eastAsia="en-US"/>
        </w:rPr>
        <w:t>) у порівнянні із ГП, де такі записи мали 5,5</w:t>
      </w:r>
      <w:r w:rsidR="00611A5B" w:rsidRPr="00520861">
        <w:rPr>
          <w:rFonts w:eastAsia="Calibri"/>
          <w:sz w:val="28"/>
          <w:szCs w:val="28"/>
          <w:lang w:eastAsia="en-US"/>
        </w:rPr>
        <w:t>%</w:t>
      </w:r>
      <w:r w:rsidRPr="00520861">
        <w:rPr>
          <w:rFonts w:eastAsia="Calibri"/>
          <w:sz w:val="28"/>
          <w:szCs w:val="28"/>
          <w:lang w:eastAsia="en-US"/>
        </w:rPr>
        <w:t xml:space="preserve"> (ДІ: 3,5</w:t>
      </w:r>
      <w:r w:rsidR="00611A5B" w:rsidRPr="00520861">
        <w:rPr>
          <w:rFonts w:eastAsia="Calibri"/>
          <w:sz w:val="28"/>
          <w:szCs w:val="28"/>
          <w:lang w:eastAsia="en-US"/>
        </w:rPr>
        <w:t>%</w:t>
      </w:r>
      <w:r w:rsidRPr="00520861">
        <w:rPr>
          <w:rFonts w:eastAsia="Calibri"/>
          <w:sz w:val="28"/>
          <w:szCs w:val="28"/>
          <w:lang w:eastAsia="en-US"/>
        </w:rPr>
        <w:t xml:space="preserve"> – 8,1</w:t>
      </w:r>
      <w:r w:rsidR="00611A5B" w:rsidRPr="00520861">
        <w:rPr>
          <w:rFonts w:eastAsia="Calibri"/>
          <w:sz w:val="28"/>
          <w:szCs w:val="28"/>
          <w:lang w:eastAsia="en-US"/>
        </w:rPr>
        <w:t>%</w:t>
      </w:r>
      <w:r w:rsidRPr="00520861">
        <w:rPr>
          <w:rFonts w:eastAsia="Calibri"/>
          <w:sz w:val="28"/>
          <w:szCs w:val="28"/>
          <w:lang w:eastAsia="en-US"/>
        </w:rPr>
        <w:t xml:space="preserve">) дітей. </w:t>
      </w:r>
    </w:p>
    <w:p w14:paraId="76A5CFF6"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На основі вищенаведених ретроспективних даних слід очікувати високу </w:t>
      </w:r>
      <w:r w:rsidRPr="00520861">
        <w:rPr>
          <w:rFonts w:eastAsia="Calibri"/>
          <w:sz w:val="28"/>
          <w:szCs w:val="28"/>
          <w:lang w:eastAsia="en-US"/>
        </w:rPr>
        <w:br/>
        <w:t xml:space="preserve">інтенсивність карієсу тимчасових зубів у всіх дітей,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Виключення становили діти та підлітки підгрупи 2. Можливою причиною «низьких» показників виявлених у цій підгрупі є невелика, порівняно з іншими підгрупами, </w:t>
      </w:r>
      <w:r w:rsidRPr="00520861">
        <w:rPr>
          <w:rFonts w:eastAsia="Calibri"/>
          <w:sz w:val="28"/>
          <w:szCs w:val="28"/>
          <w:lang w:eastAsia="en-US"/>
        </w:rPr>
        <w:br/>
        <w:t>кількість проаналізованих історій розвитку дітей.</w:t>
      </w:r>
    </w:p>
    <w:p w14:paraId="5227FEBC"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lastRenderedPageBreak/>
        <w:t xml:space="preserve">Найвищі індекси карієсу спостерігали у дітей та підлітків із підгруп 3 та 4. </w:t>
      </w:r>
    </w:p>
    <w:p w14:paraId="63646190"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p>
    <w:p w14:paraId="1CFFC767" w14:textId="77777777" w:rsidR="002E3CE8" w:rsidRPr="00520861" w:rsidRDefault="002E3CE8" w:rsidP="00292D2E">
      <w:pPr>
        <w:widowControl w:val="0"/>
        <w:spacing w:line="360" w:lineRule="auto"/>
        <w:ind w:firstLine="709"/>
        <w:contextualSpacing/>
        <w:jc w:val="both"/>
        <w:rPr>
          <w:rFonts w:eastAsia="Calibri"/>
          <w:b/>
          <w:sz w:val="28"/>
          <w:szCs w:val="28"/>
          <w:lang w:eastAsia="en-US"/>
        </w:rPr>
      </w:pPr>
      <w:r w:rsidRPr="00520861">
        <w:rPr>
          <w:rFonts w:eastAsia="Calibri"/>
          <w:b/>
          <w:sz w:val="28"/>
          <w:szCs w:val="28"/>
          <w:lang w:eastAsia="en-US"/>
        </w:rPr>
        <w:t xml:space="preserve">6.2. Результати оцінювання </w:t>
      </w:r>
      <w:proofErr w:type="spellStart"/>
      <w:r w:rsidRPr="00520861">
        <w:rPr>
          <w:rFonts w:eastAsia="Calibri"/>
          <w:b/>
          <w:sz w:val="28"/>
          <w:szCs w:val="28"/>
          <w:lang w:eastAsia="en-US"/>
        </w:rPr>
        <w:t>карієсогенної</w:t>
      </w:r>
      <w:proofErr w:type="spellEnd"/>
      <w:r w:rsidRPr="00520861">
        <w:rPr>
          <w:rFonts w:eastAsia="Calibri"/>
          <w:b/>
          <w:sz w:val="28"/>
          <w:szCs w:val="28"/>
          <w:lang w:eastAsia="en-US"/>
        </w:rPr>
        <w:t xml:space="preserve"> ситуації в період тимчасового прикусу (ВП-ІІ, ВП-ІІІ) у дітей, які народилися з </w:t>
      </w:r>
      <w:proofErr w:type="spellStart"/>
      <w:r w:rsidRPr="00520861">
        <w:rPr>
          <w:rFonts w:eastAsia="Calibri"/>
          <w:b/>
          <w:sz w:val="28"/>
          <w:szCs w:val="28"/>
          <w:lang w:eastAsia="en-US"/>
        </w:rPr>
        <w:t>макросомією</w:t>
      </w:r>
      <w:proofErr w:type="spellEnd"/>
    </w:p>
    <w:p w14:paraId="1B917816" w14:textId="77777777" w:rsidR="002E3CE8" w:rsidRPr="00520861" w:rsidRDefault="002E3CE8" w:rsidP="00292D2E">
      <w:pPr>
        <w:widowControl w:val="0"/>
        <w:spacing w:line="360" w:lineRule="auto"/>
        <w:ind w:firstLine="709"/>
        <w:contextualSpacing/>
        <w:rPr>
          <w:rFonts w:eastAsia="Calibri"/>
          <w:b/>
          <w:sz w:val="28"/>
          <w:szCs w:val="28"/>
          <w:lang w:eastAsia="en-US"/>
        </w:rPr>
      </w:pPr>
    </w:p>
    <w:p w14:paraId="36B8AA47" w14:textId="77777777" w:rsidR="002E3CE8" w:rsidRPr="00520861" w:rsidRDefault="002E3CE8" w:rsidP="00292D2E">
      <w:pPr>
        <w:widowControl w:val="0"/>
        <w:tabs>
          <w:tab w:val="left" w:pos="5812"/>
        </w:tabs>
        <w:spacing w:line="360" w:lineRule="auto"/>
        <w:ind w:right="48" w:firstLine="709"/>
        <w:contextualSpacing/>
        <w:jc w:val="both"/>
        <w:rPr>
          <w:sz w:val="28"/>
          <w:szCs w:val="28"/>
        </w:rPr>
      </w:pPr>
      <w:r w:rsidRPr="00520861">
        <w:rPr>
          <w:sz w:val="28"/>
          <w:szCs w:val="28"/>
        </w:rPr>
        <w:t>У 3,0 – 3,5 роки стан гігієни ПР у 14 (33</w:t>
      </w:r>
      <w:r w:rsidR="00611A5B" w:rsidRPr="00520861">
        <w:rPr>
          <w:sz w:val="28"/>
          <w:szCs w:val="28"/>
        </w:rPr>
        <w:t>%</w:t>
      </w:r>
      <w:r w:rsidRPr="00520861">
        <w:rPr>
          <w:sz w:val="28"/>
          <w:szCs w:val="28"/>
        </w:rPr>
        <w:t>) дітей ОГ та 7 (29</w:t>
      </w:r>
      <w:r w:rsidR="00611A5B" w:rsidRPr="00520861">
        <w:rPr>
          <w:sz w:val="28"/>
          <w:szCs w:val="28"/>
        </w:rPr>
        <w:t>%</w:t>
      </w:r>
      <w:r w:rsidRPr="00520861">
        <w:rPr>
          <w:sz w:val="28"/>
          <w:szCs w:val="28"/>
        </w:rPr>
        <w:t>) дітей із ГП виявився «хорошим», у 26 дітей (60</w:t>
      </w:r>
      <w:r w:rsidR="00611A5B" w:rsidRPr="00520861">
        <w:rPr>
          <w:sz w:val="28"/>
          <w:szCs w:val="28"/>
        </w:rPr>
        <w:t>%</w:t>
      </w:r>
      <w:r w:rsidRPr="00520861">
        <w:rPr>
          <w:sz w:val="28"/>
          <w:szCs w:val="28"/>
        </w:rPr>
        <w:t>) в ОГ та 15 (63</w:t>
      </w:r>
      <w:r w:rsidR="00611A5B" w:rsidRPr="00520861">
        <w:rPr>
          <w:sz w:val="28"/>
          <w:szCs w:val="28"/>
        </w:rPr>
        <w:t>%</w:t>
      </w:r>
      <w:r w:rsidRPr="00520861">
        <w:rPr>
          <w:sz w:val="28"/>
          <w:szCs w:val="28"/>
        </w:rPr>
        <w:t xml:space="preserve">) в ГП – «задовільним», </w:t>
      </w:r>
      <w:r w:rsidRPr="00520861">
        <w:rPr>
          <w:sz w:val="28"/>
          <w:szCs w:val="28"/>
        </w:rPr>
        <w:br/>
        <w:t>а у 3 (7</w:t>
      </w:r>
      <w:r w:rsidR="00611A5B" w:rsidRPr="00520861">
        <w:rPr>
          <w:sz w:val="28"/>
          <w:szCs w:val="28"/>
        </w:rPr>
        <w:t>%</w:t>
      </w:r>
      <w:r w:rsidRPr="00520861">
        <w:rPr>
          <w:sz w:val="28"/>
          <w:szCs w:val="28"/>
        </w:rPr>
        <w:t>) дітей ОГ та 2 (8</w:t>
      </w:r>
      <w:r w:rsidR="00611A5B" w:rsidRPr="00520861">
        <w:rPr>
          <w:sz w:val="28"/>
          <w:szCs w:val="28"/>
        </w:rPr>
        <w:t>%</w:t>
      </w:r>
      <w:r w:rsidRPr="00520861">
        <w:rPr>
          <w:sz w:val="28"/>
          <w:szCs w:val="28"/>
        </w:rPr>
        <w:t xml:space="preserve">) дітей ГП – «незадовільним» </w:t>
      </w:r>
      <w:r w:rsidRPr="00520861">
        <w:rPr>
          <w:sz w:val="28"/>
          <w:szCs w:val="28"/>
          <w:lang w:val="ru-RU"/>
        </w:rPr>
        <w:t>[48]</w:t>
      </w:r>
      <w:r w:rsidRPr="00520861">
        <w:rPr>
          <w:sz w:val="28"/>
          <w:szCs w:val="28"/>
        </w:rPr>
        <w:t xml:space="preserve">. </w:t>
      </w:r>
    </w:p>
    <w:p w14:paraId="656927CE" w14:textId="77777777" w:rsidR="002E3CE8" w:rsidRPr="00520861" w:rsidRDefault="002E3CE8" w:rsidP="00292D2E">
      <w:pPr>
        <w:widowControl w:val="0"/>
        <w:tabs>
          <w:tab w:val="left" w:pos="5812"/>
        </w:tabs>
        <w:spacing w:line="360" w:lineRule="auto"/>
        <w:ind w:right="48" w:firstLine="709"/>
        <w:contextualSpacing/>
        <w:jc w:val="both"/>
        <w:rPr>
          <w:sz w:val="28"/>
          <w:szCs w:val="28"/>
        </w:rPr>
      </w:pPr>
      <w:r w:rsidRPr="00520861">
        <w:rPr>
          <w:sz w:val="28"/>
          <w:szCs w:val="28"/>
        </w:rPr>
        <w:t>У дітей 4,5 – 6,5 року «хороший» стан гігієни мали 6 (15</w:t>
      </w:r>
      <w:r w:rsidR="00611A5B" w:rsidRPr="00520861">
        <w:rPr>
          <w:sz w:val="28"/>
          <w:szCs w:val="28"/>
        </w:rPr>
        <w:t>%</w:t>
      </w:r>
      <w:r w:rsidRPr="00520861">
        <w:rPr>
          <w:sz w:val="28"/>
          <w:szCs w:val="28"/>
        </w:rPr>
        <w:t>) дітей ОГ та 3 (23,1</w:t>
      </w:r>
      <w:r w:rsidR="00611A5B" w:rsidRPr="00520861">
        <w:rPr>
          <w:sz w:val="28"/>
          <w:szCs w:val="28"/>
        </w:rPr>
        <w:t>%</w:t>
      </w:r>
      <w:r w:rsidRPr="00520861">
        <w:rPr>
          <w:sz w:val="28"/>
          <w:szCs w:val="28"/>
        </w:rPr>
        <w:t>) дитини ГП, «задовільний» стан –19 (47,5</w:t>
      </w:r>
      <w:r w:rsidR="00611A5B" w:rsidRPr="00520861">
        <w:rPr>
          <w:sz w:val="28"/>
          <w:szCs w:val="28"/>
        </w:rPr>
        <w:t>%</w:t>
      </w:r>
      <w:r w:rsidRPr="00520861">
        <w:rPr>
          <w:sz w:val="28"/>
          <w:szCs w:val="28"/>
        </w:rPr>
        <w:t>) дітей в ОГ та 7 (53,8</w:t>
      </w:r>
      <w:r w:rsidR="00611A5B" w:rsidRPr="00520861">
        <w:rPr>
          <w:sz w:val="28"/>
          <w:szCs w:val="28"/>
        </w:rPr>
        <w:t>%</w:t>
      </w:r>
      <w:r w:rsidRPr="00520861">
        <w:rPr>
          <w:sz w:val="28"/>
          <w:szCs w:val="28"/>
        </w:rPr>
        <w:t>) дітей у ГП, «незадовільний» стан –15 дітей (37,5</w:t>
      </w:r>
      <w:r w:rsidR="00611A5B" w:rsidRPr="00520861">
        <w:rPr>
          <w:sz w:val="28"/>
          <w:szCs w:val="28"/>
        </w:rPr>
        <w:t>%</w:t>
      </w:r>
      <w:r w:rsidRPr="00520861">
        <w:rPr>
          <w:sz w:val="28"/>
          <w:szCs w:val="28"/>
        </w:rPr>
        <w:t>) в ОГ та 3 (23,1</w:t>
      </w:r>
      <w:r w:rsidR="00611A5B" w:rsidRPr="00520861">
        <w:rPr>
          <w:sz w:val="28"/>
          <w:szCs w:val="28"/>
        </w:rPr>
        <w:t>%</w:t>
      </w:r>
      <w:r w:rsidRPr="00520861">
        <w:rPr>
          <w:sz w:val="28"/>
          <w:szCs w:val="28"/>
        </w:rPr>
        <w:t>) дитини в ГП.</w:t>
      </w:r>
    </w:p>
    <w:p w14:paraId="0E28E4A7" w14:textId="77777777" w:rsidR="002E3CE8" w:rsidRPr="00520861" w:rsidRDefault="002E3CE8" w:rsidP="00292D2E">
      <w:pPr>
        <w:widowControl w:val="0"/>
        <w:tabs>
          <w:tab w:val="left" w:pos="5812"/>
        </w:tabs>
        <w:spacing w:line="360" w:lineRule="auto"/>
        <w:ind w:right="48" w:firstLine="709"/>
        <w:contextualSpacing/>
        <w:jc w:val="both"/>
        <w:rPr>
          <w:sz w:val="28"/>
          <w:szCs w:val="28"/>
        </w:rPr>
      </w:pPr>
      <w:r w:rsidRPr="00520861">
        <w:rPr>
          <w:sz w:val="28"/>
          <w:szCs w:val="28"/>
        </w:rPr>
        <w:t>У дітей 3,0 – 3,5 років ОГ поширеність карієсу складала 51</w:t>
      </w:r>
      <w:r w:rsidR="00611A5B" w:rsidRPr="00520861">
        <w:rPr>
          <w:sz w:val="28"/>
          <w:szCs w:val="28"/>
        </w:rPr>
        <w:t>%</w:t>
      </w:r>
      <w:r w:rsidRPr="00520861">
        <w:rPr>
          <w:rFonts w:eastAsia="Calibri"/>
          <w:sz w:val="28"/>
          <w:szCs w:val="28"/>
          <w:lang w:eastAsia="en-US"/>
        </w:rPr>
        <w:t xml:space="preserve"> </w:t>
      </w:r>
      <w:r w:rsidRPr="00520861">
        <w:rPr>
          <w:sz w:val="28"/>
          <w:szCs w:val="28"/>
        </w:rPr>
        <w:t>(ДІ: 37,7</w:t>
      </w:r>
      <w:r w:rsidR="00611A5B" w:rsidRPr="00520861">
        <w:rPr>
          <w:sz w:val="28"/>
          <w:szCs w:val="28"/>
        </w:rPr>
        <w:t>%</w:t>
      </w:r>
      <w:r w:rsidRPr="00520861">
        <w:rPr>
          <w:sz w:val="28"/>
          <w:szCs w:val="28"/>
        </w:rPr>
        <w:t xml:space="preserve"> – 64,5</w:t>
      </w:r>
      <w:r w:rsidR="00611A5B" w:rsidRPr="00520861">
        <w:rPr>
          <w:sz w:val="28"/>
          <w:szCs w:val="28"/>
        </w:rPr>
        <w:t>%</w:t>
      </w:r>
      <w:r w:rsidRPr="00520861">
        <w:rPr>
          <w:sz w:val="28"/>
          <w:szCs w:val="28"/>
        </w:rPr>
        <w:t>). У ГП вона була вірогідно меншою та складала 21</w:t>
      </w:r>
      <w:r w:rsidR="00611A5B" w:rsidRPr="00520861">
        <w:rPr>
          <w:sz w:val="28"/>
          <w:szCs w:val="28"/>
        </w:rPr>
        <w:t>%</w:t>
      </w:r>
      <w:r w:rsidRPr="00520861">
        <w:rPr>
          <w:sz w:val="28"/>
          <w:szCs w:val="28"/>
        </w:rPr>
        <w:t xml:space="preserve"> (ДІ: 9,8</w:t>
      </w:r>
      <w:r w:rsidR="00611A5B" w:rsidRPr="00520861">
        <w:rPr>
          <w:sz w:val="28"/>
          <w:szCs w:val="28"/>
        </w:rPr>
        <w:t>%</w:t>
      </w:r>
      <w:r w:rsidRPr="00520861">
        <w:rPr>
          <w:sz w:val="28"/>
          <w:szCs w:val="28"/>
        </w:rPr>
        <w:t xml:space="preserve"> – 37,4</w:t>
      </w:r>
      <w:r w:rsidR="00611A5B" w:rsidRPr="00520861">
        <w:rPr>
          <w:sz w:val="28"/>
          <w:szCs w:val="28"/>
        </w:rPr>
        <w:t>%</w:t>
      </w:r>
      <w:r w:rsidRPr="00520861">
        <w:rPr>
          <w:sz w:val="28"/>
          <w:szCs w:val="28"/>
        </w:rPr>
        <w:t xml:space="preserve">). </w:t>
      </w:r>
    </w:p>
    <w:p w14:paraId="51D893D6" w14:textId="77777777" w:rsidR="002E3CE8" w:rsidRPr="00520861" w:rsidRDefault="002E3CE8" w:rsidP="00292D2E">
      <w:pPr>
        <w:widowControl w:val="0"/>
        <w:tabs>
          <w:tab w:val="left" w:pos="5812"/>
        </w:tabs>
        <w:spacing w:line="360" w:lineRule="auto"/>
        <w:ind w:right="48" w:firstLine="709"/>
        <w:contextualSpacing/>
        <w:jc w:val="both"/>
        <w:rPr>
          <w:spacing w:val="-4"/>
          <w:sz w:val="28"/>
          <w:szCs w:val="28"/>
        </w:rPr>
      </w:pPr>
      <w:r w:rsidRPr="00520861">
        <w:rPr>
          <w:spacing w:val="-4"/>
          <w:sz w:val="28"/>
          <w:szCs w:val="28"/>
        </w:rPr>
        <w:t>У дітей ОГ віком 4,5 – 6,5 років поширеність також була високою  та складала 90</w:t>
      </w:r>
      <w:r w:rsidR="00611A5B" w:rsidRPr="00520861">
        <w:rPr>
          <w:spacing w:val="-4"/>
          <w:sz w:val="28"/>
          <w:szCs w:val="28"/>
        </w:rPr>
        <w:t>%</w:t>
      </w:r>
      <w:r w:rsidRPr="00520861">
        <w:rPr>
          <w:spacing w:val="-4"/>
          <w:sz w:val="28"/>
          <w:szCs w:val="28"/>
        </w:rPr>
        <w:t xml:space="preserve"> (ДІ: 77,9</w:t>
      </w:r>
      <w:r w:rsidR="00611A5B" w:rsidRPr="00520861">
        <w:rPr>
          <w:spacing w:val="-4"/>
          <w:sz w:val="28"/>
          <w:szCs w:val="28"/>
        </w:rPr>
        <w:t>%</w:t>
      </w:r>
      <w:r w:rsidRPr="00520861">
        <w:rPr>
          <w:spacing w:val="-4"/>
          <w:sz w:val="28"/>
          <w:szCs w:val="28"/>
        </w:rPr>
        <w:t xml:space="preserve"> – 96,2</w:t>
      </w:r>
      <w:r w:rsidR="00611A5B" w:rsidRPr="00520861">
        <w:rPr>
          <w:spacing w:val="-4"/>
          <w:sz w:val="28"/>
          <w:szCs w:val="28"/>
        </w:rPr>
        <w:t>%</w:t>
      </w:r>
      <w:r w:rsidRPr="00520861">
        <w:rPr>
          <w:spacing w:val="-4"/>
          <w:sz w:val="28"/>
          <w:szCs w:val="28"/>
        </w:rPr>
        <w:t>)</w:t>
      </w:r>
      <w:r w:rsidRPr="00520861">
        <w:rPr>
          <w:rFonts w:eastAsia="Calibri"/>
          <w:spacing w:val="-4"/>
          <w:sz w:val="28"/>
          <w:szCs w:val="28"/>
          <w:lang w:eastAsia="en-US"/>
        </w:rPr>
        <w:t xml:space="preserve"> на противагу </w:t>
      </w:r>
      <w:r w:rsidRPr="00520861">
        <w:rPr>
          <w:spacing w:val="-4"/>
          <w:sz w:val="28"/>
          <w:szCs w:val="28"/>
        </w:rPr>
        <w:t>58</w:t>
      </w:r>
      <w:r w:rsidR="00611A5B" w:rsidRPr="00520861">
        <w:rPr>
          <w:spacing w:val="-4"/>
          <w:sz w:val="28"/>
          <w:szCs w:val="28"/>
        </w:rPr>
        <w:t>%</w:t>
      </w:r>
      <w:r w:rsidRPr="00520861">
        <w:rPr>
          <w:spacing w:val="-4"/>
          <w:sz w:val="28"/>
          <w:szCs w:val="28"/>
        </w:rPr>
        <w:t xml:space="preserve"> (ДІ: 34,9</w:t>
      </w:r>
      <w:r w:rsidR="00611A5B" w:rsidRPr="00520861">
        <w:rPr>
          <w:spacing w:val="-4"/>
          <w:sz w:val="28"/>
          <w:szCs w:val="28"/>
        </w:rPr>
        <w:t>%</w:t>
      </w:r>
      <w:r w:rsidRPr="00520861">
        <w:rPr>
          <w:spacing w:val="-4"/>
          <w:sz w:val="28"/>
          <w:szCs w:val="28"/>
        </w:rPr>
        <w:t xml:space="preserve"> – 78,9</w:t>
      </w:r>
      <w:r w:rsidR="00611A5B" w:rsidRPr="00520861">
        <w:rPr>
          <w:spacing w:val="-4"/>
          <w:sz w:val="28"/>
          <w:szCs w:val="28"/>
        </w:rPr>
        <w:t>%</w:t>
      </w:r>
      <w:r w:rsidRPr="00520861">
        <w:rPr>
          <w:spacing w:val="-4"/>
          <w:sz w:val="28"/>
          <w:szCs w:val="28"/>
        </w:rPr>
        <w:t xml:space="preserve">) дітей ГП. </w:t>
      </w:r>
    </w:p>
    <w:p w14:paraId="7CAC6948" w14:textId="77777777" w:rsidR="002E3CE8" w:rsidRPr="00520861" w:rsidRDefault="002E3CE8" w:rsidP="00292D2E">
      <w:pPr>
        <w:widowControl w:val="0"/>
        <w:spacing w:line="360" w:lineRule="auto"/>
        <w:ind w:right="48" w:firstLine="709"/>
        <w:contextualSpacing/>
        <w:jc w:val="both"/>
        <w:rPr>
          <w:sz w:val="28"/>
          <w:szCs w:val="28"/>
        </w:rPr>
      </w:pPr>
      <w:r w:rsidRPr="00520861">
        <w:rPr>
          <w:sz w:val="28"/>
          <w:szCs w:val="28"/>
        </w:rPr>
        <w:t>Із таблиці 6.2 видно, що осереднені значення показника інтенсивності карієсу у 3,0 – 3,5 років були вірогідно більшими для дітей-</w:t>
      </w:r>
      <w:proofErr w:type="spellStart"/>
      <w:r w:rsidRPr="00520861">
        <w:rPr>
          <w:sz w:val="28"/>
          <w:szCs w:val="28"/>
        </w:rPr>
        <w:t>макросомів</w:t>
      </w:r>
      <w:proofErr w:type="spellEnd"/>
      <w:r w:rsidRPr="00520861">
        <w:rPr>
          <w:sz w:val="28"/>
          <w:szCs w:val="28"/>
        </w:rPr>
        <w:t xml:space="preserve"> із гармонійним ВУ розвитком (підгрупа 1) та дітей із ВУ ожирінням (</w:t>
      </w:r>
      <w:r w:rsidRPr="00520861">
        <w:rPr>
          <w:rFonts w:eastAsia="Calibri"/>
          <w:sz w:val="28"/>
          <w:szCs w:val="28"/>
          <w:lang w:eastAsia="en-US"/>
        </w:rPr>
        <w:t xml:space="preserve">підгрупа </w:t>
      </w:r>
      <w:r w:rsidRPr="00520861">
        <w:rPr>
          <w:sz w:val="28"/>
          <w:szCs w:val="28"/>
        </w:rPr>
        <w:t xml:space="preserve">4) порівняно із дітьми ГП. Схожа тенденція зберіглася і для дітей віком 4,5 – 6,5 років </w:t>
      </w:r>
      <w:r w:rsidRPr="00520861">
        <w:rPr>
          <w:spacing w:val="-4"/>
          <w:sz w:val="28"/>
          <w:szCs w:val="28"/>
        </w:rPr>
        <w:t>(рис. 6.1, 6.2)</w:t>
      </w:r>
      <w:r w:rsidRPr="00520861">
        <w:rPr>
          <w:sz w:val="28"/>
          <w:szCs w:val="28"/>
        </w:rPr>
        <w:t>.</w:t>
      </w:r>
    </w:p>
    <w:p w14:paraId="7D4FE89D" w14:textId="77777777" w:rsidR="002E3CE8" w:rsidRPr="00520861" w:rsidRDefault="002E3CE8" w:rsidP="00292D2E">
      <w:pPr>
        <w:widowControl w:val="0"/>
        <w:shd w:val="clear" w:color="auto" w:fill="FFFFFF"/>
        <w:spacing w:line="360" w:lineRule="auto"/>
        <w:ind w:firstLine="720"/>
        <w:contextualSpacing/>
        <w:jc w:val="right"/>
        <w:rPr>
          <w:i/>
          <w:color w:val="000000"/>
          <w:sz w:val="28"/>
          <w:szCs w:val="28"/>
        </w:rPr>
      </w:pPr>
      <w:r w:rsidRPr="00520861">
        <w:rPr>
          <w:i/>
          <w:color w:val="000000"/>
          <w:sz w:val="28"/>
          <w:szCs w:val="28"/>
        </w:rPr>
        <w:t>Таблиця 6.2</w:t>
      </w:r>
    </w:p>
    <w:p w14:paraId="7D9BB9CE" w14:textId="77777777" w:rsidR="002E3CE8" w:rsidRPr="00520861" w:rsidRDefault="002E3CE8" w:rsidP="00292D2E">
      <w:pPr>
        <w:widowControl w:val="0"/>
        <w:spacing w:line="360" w:lineRule="auto"/>
        <w:contextualSpacing/>
        <w:jc w:val="center"/>
        <w:rPr>
          <w:b/>
          <w:sz w:val="28"/>
          <w:szCs w:val="28"/>
        </w:rPr>
      </w:pPr>
      <w:r w:rsidRPr="00520861">
        <w:rPr>
          <w:b/>
          <w:sz w:val="28"/>
          <w:szCs w:val="28"/>
        </w:rPr>
        <w:t>Індексна оцінка стану твердих тканин зубів учасників дослідження ОГ і ГП</w:t>
      </w:r>
    </w:p>
    <w:p w14:paraId="5A340DE5" w14:textId="77777777" w:rsidR="002E3CE8" w:rsidRPr="00520861" w:rsidRDefault="002E3CE8" w:rsidP="00292D2E">
      <w:pPr>
        <w:widowControl w:val="0"/>
        <w:spacing w:line="360" w:lineRule="auto"/>
        <w:contextualSpacing/>
        <w:jc w:val="center"/>
        <w:rPr>
          <w:b/>
          <w:sz w:val="28"/>
          <w:szCs w:val="28"/>
        </w:rPr>
      </w:pPr>
      <w:r w:rsidRPr="00520861">
        <w:rPr>
          <w:b/>
          <w:sz w:val="28"/>
          <w:szCs w:val="28"/>
        </w:rPr>
        <w:t xml:space="preserve"> у ВП-ІІ –</w:t>
      </w:r>
      <w:r w:rsidRPr="00520861">
        <w:rPr>
          <w:b/>
          <w:bCs/>
          <w:sz w:val="28"/>
          <w:szCs w:val="28"/>
          <w:shd w:val="clear" w:color="auto" w:fill="FFFFFF"/>
        </w:rPr>
        <w:t xml:space="preserve"> ВП-ІІІ</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08"/>
        <w:gridCol w:w="822"/>
        <w:gridCol w:w="1365"/>
        <w:gridCol w:w="1430"/>
        <w:gridCol w:w="1431"/>
        <w:gridCol w:w="1431"/>
        <w:gridCol w:w="1431"/>
      </w:tblGrid>
      <w:tr w:rsidR="002E3CE8" w:rsidRPr="00520861" w14:paraId="13311F2D" w14:textId="77777777" w:rsidTr="00292D2E">
        <w:trPr>
          <w:trHeight w:val="356"/>
          <w:jc w:val="center"/>
        </w:trPr>
        <w:tc>
          <w:tcPr>
            <w:tcW w:w="2008" w:type="dxa"/>
            <w:tcBorders>
              <w:top w:val="single" w:sz="4" w:space="0" w:color="auto"/>
              <w:left w:val="single" w:sz="4" w:space="0" w:color="auto"/>
              <w:bottom w:val="single" w:sz="4" w:space="0" w:color="auto"/>
              <w:right w:val="single" w:sz="4" w:space="0" w:color="auto"/>
            </w:tcBorders>
            <w:hideMark/>
          </w:tcPr>
          <w:p w14:paraId="1A05DFFD" w14:textId="77777777" w:rsidR="002E3CE8" w:rsidRPr="00520861" w:rsidRDefault="002E3CE8" w:rsidP="00292D2E">
            <w:pPr>
              <w:widowControl w:val="0"/>
              <w:spacing w:line="360" w:lineRule="auto"/>
              <w:contextualSpacing/>
              <w:jc w:val="center"/>
              <w:rPr>
                <w:sz w:val="28"/>
                <w:szCs w:val="28"/>
              </w:rPr>
            </w:pPr>
            <w:r w:rsidRPr="00520861">
              <w:rPr>
                <w:sz w:val="28"/>
                <w:szCs w:val="28"/>
              </w:rPr>
              <w:t>Показник</w:t>
            </w:r>
          </w:p>
        </w:tc>
        <w:tc>
          <w:tcPr>
            <w:tcW w:w="822" w:type="dxa"/>
            <w:tcBorders>
              <w:top w:val="single" w:sz="4" w:space="0" w:color="auto"/>
              <w:left w:val="single" w:sz="4" w:space="0" w:color="auto"/>
              <w:bottom w:val="single" w:sz="4" w:space="0" w:color="auto"/>
              <w:right w:val="single" w:sz="4" w:space="0" w:color="auto"/>
            </w:tcBorders>
            <w:hideMark/>
          </w:tcPr>
          <w:p w14:paraId="6E6E9F8F" w14:textId="77777777" w:rsidR="002E3CE8" w:rsidRPr="00520861" w:rsidRDefault="002E3CE8" w:rsidP="00292D2E">
            <w:pPr>
              <w:widowControl w:val="0"/>
              <w:spacing w:line="360" w:lineRule="auto"/>
              <w:contextualSpacing/>
              <w:jc w:val="center"/>
              <w:rPr>
                <w:sz w:val="28"/>
                <w:szCs w:val="28"/>
              </w:rPr>
            </w:pPr>
            <w:r w:rsidRPr="00520861">
              <w:rPr>
                <w:sz w:val="28"/>
                <w:szCs w:val="28"/>
              </w:rPr>
              <w:t>ГП</w:t>
            </w:r>
          </w:p>
        </w:tc>
        <w:tc>
          <w:tcPr>
            <w:tcW w:w="1365" w:type="dxa"/>
            <w:tcBorders>
              <w:top w:val="single" w:sz="4" w:space="0" w:color="auto"/>
              <w:left w:val="single" w:sz="4" w:space="0" w:color="auto"/>
              <w:bottom w:val="single" w:sz="4" w:space="0" w:color="auto"/>
              <w:right w:val="single" w:sz="4" w:space="0" w:color="auto"/>
            </w:tcBorders>
          </w:tcPr>
          <w:p w14:paraId="24EC2910" w14:textId="77777777" w:rsidR="002E3CE8" w:rsidRPr="00520861" w:rsidRDefault="002E3CE8" w:rsidP="00292D2E">
            <w:pPr>
              <w:widowControl w:val="0"/>
              <w:spacing w:line="360" w:lineRule="auto"/>
              <w:contextualSpacing/>
              <w:jc w:val="center"/>
              <w:rPr>
                <w:sz w:val="28"/>
                <w:szCs w:val="28"/>
              </w:rPr>
            </w:pPr>
            <w:r w:rsidRPr="00520861">
              <w:rPr>
                <w:sz w:val="28"/>
                <w:szCs w:val="28"/>
              </w:rPr>
              <w:t>ОГ</w:t>
            </w:r>
          </w:p>
        </w:tc>
        <w:tc>
          <w:tcPr>
            <w:tcW w:w="1430" w:type="dxa"/>
          </w:tcPr>
          <w:p w14:paraId="12F004E3" w14:textId="77777777" w:rsidR="002E3CE8" w:rsidRPr="00520861" w:rsidRDefault="002E3CE8" w:rsidP="00292D2E">
            <w:pPr>
              <w:widowControl w:val="0"/>
              <w:spacing w:line="360" w:lineRule="auto"/>
              <w:ind w:hanging="156"/>
              <w:jc w:val="center"/>
              <w:rPr>
                <w:sz w:val="28"/>
                <w:szCs w:val="28"/>
              </w:rPr>
            </w:pPr>
            <w:r w:rsidRPr="00520861">
              <w:rPr>
                <w:sz w:val="28"/>
                <w:szCs w:val="28"/>
              </w:rPr>
              <w:t xml:space="preserve">Підгрупа </w:t>
            </w:r>
          </w:p>
          <w:p w14:paraId="1CF8232D"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1</w:t>
            </w:r>
          </w:p>
        </w:tc>
        <w:tc>
          <w:tcPr>
            <w:tcW w:w="1431" w:type="dxa"/>
          </w:tcPr>
          <w:p w14:paraId="766A3D5A" w14:textId="77777777" w:rsidR="002E3CE8" w:rsidRPr="00520861" w:rsidRDefault="002E3CE8" w:rsidP="00292D2E">
            <w:pPr>
              <w:widowControl w:val="0"/>
              <w:spacing w:line="360" w:lineRule="auto"/>
              <w:ind w:hanging="156"/>
              <w:jc w:val="center"/>
              <w:rPr>
                <w:sz w:val="28"/>
                <w:szCs w:val="28"/>
              </w:rPr>
            </w:pPr>
            <w:r w:rsidRPr="00520861">
              <w:rPr>
                <w:sz w:val="28"/>
                <w:szCs w:val="28"/>
              </w:rPr>
              <w:t xml:space="preserve">Підгрупа </w:t>
            </w:r>
          </w:p>
          <w:p w14:paraId="64C094E3"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2</w:t>
            </w:r>
          </w:p>
        </w:tc>
        <w:tc>
          <w:tcPr>
            <w:tcW w:w="1431" w:type="dxa"/>
          </w:tcPr>
          <w:p w14:paraId="4B1CB795" w14:textId="77777777" w:rsidR="002E3CE8" w:rsidRPr="00520861" w:rsidRDefault="002E3CE8" w:rsidP="00292D2E">
            <w:pPr>
              <w:widowControl w:val="0"/>
              <w:spacing w:line="360" w:lineRule="auto"/>
              <w:ind w:hanging="156"/>
              <w:jc w:val="center"/>
              <w:rPr>
                <w:sz w:val="28"/>
                <w:szCs w:val="28"/>
              </w:rPr>
            </w:pPr>
            <w:r w:rsidRPr="00520861">
              <w:rPr>
                <w:sz w:val="28"/>
                <w:szCs w:val="28"/>
              </w:rPr>
              <w:t xml:space="preserve">Підгрупа </w:t>
            </w:r>
          </w:p>
          <w:p w14:paraId="27BBB748"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3</w:t>
            </w:r>
          </w:p>
        </w:tc>
        <w:tc>
          <w:tcPr>
            <w:tcW w:w="1431" w:type="dxa"/>
          </w:tcPr>
          <w:p w14:paraId="67730B10" w14:textId="77777777" w:rsidR="002E3CE8" w:rsidRPr="00520861" w:rsidRDefault="002E3CE8" w:rsidP="00292D2E">
            <w:pPr>
              <w:widowControl w:val="0"/>
              <w:spacing w:line="360" w:lineRule="auto"/>
              <w:ind w:hanging="156"/>
              <w:jc w:val="center"/>
              <w:rPr>
                <w:sz w:val="28"/>
                <w:szCs w:val="28"/>
              </w:rPr>
            </w:pPr>
            <w:r w:rsidRPr="00520861">
              <w:rPr>
                <w:sz w:val="28"/>
                <w:szCs w:val="28"/>
              </w:rPr>
              <w:t xml:space="preserve">Підгрупа </w:t>
            </w:r>
          </w:p>
          <w:p w14:paraId="437C50B6"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4</w:t>
            </w:r>
          </w:p>
        </w:tc>
      </w:tr>
      <w:tr w:rsidR="002E3CE8" w:rsidRPr="00520861" w14:paraId="68E06F89" w14:textId="77777777" w:rsidTr="00292D2E">
        <w:trPr>
          <w:trHeight w:val="390"/>
          <w:jc w:val="center"/>
        </w:trPr>
        <w:tc>
          <w:tcPr>
            <w:tcW w:w="2008" w:type="dxa"/>
            <w:tcBorders>
              <w:top w:val="single" w:sz="4" w:space="0" w:color="auto"/>
              <w:left w:val="single" w:sz="4" w:space="0" w:color="auto"/>
              <w:bottom w:val="single" w:sz="4" w:space="0" w:color="auto"/>
              <w:right w:val="single" w:sz="4" w:space="0" w:color="auto"/>
            </w:tcBorders>
            <w:hideMark/>
          </w:tcPr>
          <w:p w14:paraId="5E85B8A5" w14:textId="77777777" w:rsidR="002E3CE8" w:rsidRPr="00520861" w:rsidRDefault="002E3CE8" w:rsidP="00292D2E">
            <w:pPr>
              <w:widowControl w:val="0"/>
              <w:spacing w:line="360" w:lineRule="auto"/>
              <w:ind w:right="-16"/>
              <w:contextualSpacing/>
              <w:jc w:val="center"/>
              <w:rPr>
                <w:sz w:val="28"/>
                <w:szCs w:val="28"/>
              </w:rPr>
            </w:pPr>
            <w:proofErr w:type="spellStart"/>
            <w:r w:rsidRPr="00520861">
              <w:rPr>
                <w:sz w:val="28"/>
                <w:szCs w:val="28"/>
              </w:rPr>
              <w:t>кп</w:t>
            </w:r>
            <w:proofErr w:type="spellEnd"/>
            <w:r w:rsidRPr="00520861">
              <w:rPr>
                <w:sz w:val="28"/>
                <w:szCs w:val="28"/>
              </w:rPr>
              <w:t xml:space="preserve"> </w:t>
            </w:r>
          </w:p>
          <w:p w14:paraId="4B096DBA" w14:textId="77777777" w:rsidR="002E3CE8" w:rsidRPr="00520861" w:rsidRDefault="002E3CE8" w:rsidP="00292D2E">
            <w:pPr>
              <w:widowControl w:val="0"/>
              <w:spacing w:line="360" w:lineRule="auto"/>
              <w:ind w:right="-16"/>
              <w:contextualSpacing/>
              <w:jc w:val="center"/>
              <w:rPr>
                <w:sz w:val="28"/>
                <w:szCs w:val="28"/>
                <w:u w:val="single"/>
              </w:rPr>
            </w:pPr>
            <w:r w:rsidRPr="00520861">
              <w:rPr>
                <w:sz w:val="28"/>
                <w:szCs w:val="28"/>
              </w:rPr>
              <w:t>(3 – 3,5 року)</w:t>
            </w:r>
          </w:p>
        </w:tc>
        <w:tc>
          <w:tcPr>
            <w:tcW w:w="822" w:type="dxa"/>
            <w:tcBorders>
              <w:top w:val="single" w:sz="4" w:space="0" w:color="auto"/>
              <w:left w:val="single" w:sz="4" w:space="0" w:color="auto"/>
              <w:bottom w:val="single" w:sz="4" w:space="0" w:color="auto"/>
              <w:right w:val="single" w:sz="4" w:space="0" w:color="auto"/>
            </w:tcBorders>
            <w:hideMark/>
          </w:tcPr>
          <w:p w14:paraId="43C365F7" w14:textId="77777777" w:rsidR="002E3CE8" w:rsidRPr="00520861" w:rsidRDefault="002E3CE8" w:rsidP="00292D2E">
            <w:pPr>
              <w:widowControl w:val="0"/>
              <w:spacing w:line="360" w:lineRule="auto"/>
              <w:contextualSpacing/>
              <w:jc w:val="center"/>
              <w:rPr>
                <w:sz w:val="28"/>
                <w:szCs w:val="28"/>
              </w:rPr>
            </w:pPr>
            <w:r w:rsidRPr="00520861">
              <w:rPr>
                <w:sz w:val="28"/>
                <w:szCs w:val="28"/>
              </w:rPr>
              <w:t>0,46</w:t>
            </w:r>
          </w:p>
        </w:tc>
        <w:tc>
          <w:tcPr>
            <w:tcW w:w="1365" w:type="dxa"/>
            <w:tcBorders>
              <w:top w:val="single" w:sz="4" w:space="0" w:color="auto"/>
              <w:left w:val="single" w:sz="4" w:space="0" w:color="auto"/>
              <w:bottom w:val="single" w:sz="4" w:space="0" w:color="auto"/>
              <w:right w:val="single" w:sz="4" w:space="0" w:color="auto"/>
            </w:tcBorders>
          </w:tcPr>
          <w:p w14:paraId="3A2B9610" w14:textId="77777777" w:rsidR="002E3CE8" w:rsidRPr="00520861" w:rsidRDefault="002E3CE8" w:rsidP="00292D2E">
            <w:pPr>
              <w:widowControl w:val="0"/>
              <w:tabs>
                <w:tab w:val="center" w:pos="561"/>
              </w:tabs>
              <w:spacing w:line="360" w:lineRule="auto"/>
              <w:contextualSpacing/>
              <w:jc w:val="center"/>
              <w:rPr>
                <w:rFonts w:eastAsia="Calibri"/>
                <w:sz w:val="28"/>
                <w:szCs w:val="28"/>
                <w:lang w:eastAsia="en-US"/>
              </w:rPr>
            </w:pPr>
            <w:r w:rsidRPr="00520861">
              <w:rPr>
                <w:rFonts w:eastAsia="Calibri"/>
                <w:sz w:val="28"/>
                <w:szCs w:val="28"/>
                <w:lang w:eastAsia="en-US"/>
              </w:rPr>
              <w:t>1,37</w:t>
            </w:r>
            <w:r w:rsidRPr="00520861">
              <w:rPr>
                <w:sz w:val="28"/>
                <w:szCs w:val="28"/>
              </w:rPr>
              <w:t>*</w:t>
            </w:r>
          </w:p>
          <w:p w14:paraId="3528BBC8" w14:textId="77777777" w:rsidR="002E3CE8" w:rsidRPr="00520861" w:rsidRDefault="002E3CE8" w:rsidP="00292D2E">
            <w:pPr>
              <w:widowControl w:val="0"/>
              <w:tabs>
                <w:tab w:val="center" w:pos="561"/>
              </w:tabs>
              <w:spacing w:line="360" w:lineRule="auto"/>
              <w:contextualSpacing/>
              <w:jc w:val="center"/>
              <w:rPr>
                <w:rFonts w:eastAsia="Calibri"/>
                <w:sz w:val="28"/>
                <w:szCs w:val="28"/>
                <w:lang w:eastAsia="en-US"/>
              </w:rPr>
            </w:pPr>
            <w:r w:rsidRPr="00520861">
              <w:rPr>
                <w:rFonts w:eastAsia="Calibri"/>
                <w:sz w:val="28"/>
                <w:szCs w:val="28"/>
                <w:lang w:val="en-US" w:eastAsia="en-US"/>
              </w:rPr>
              <w:t>p=</w:t>
            </w:r>
            <w:r w:rsidRPr="00520861">
              <w:rPr>
                <w:rFonts w:eastAsia="Calibri"/>
                <w:sz w:val="28"/>
                <w:szCs w:val="28"/>
                <w:lang w:val="ru-RU" w:eastAsia="en-US"/>
              </w:rPr>
              <w:t>0,0108</w:t>
            </w:r>
          </w:p>
        </w:tc>
        <w:tc>
          <w:tcPr>
            <w:tcW w:w="1430" w:type="dxa"/>
            <w:tcBorders>
              <w:top w:val="single" w:sz="4" w:space="0" w:color="auto"/>
              <w:left w:val="single" w:sz="4" w:space="0" w:color="auto"/>
              <w:bottom w:val="single" w:sz="4" w:space="0" w:color="auto"/>
              <w:right w:val="single" w:sz="4" w:space="0" w:color="auto"/>
            </w:tcBorders>
            <w:hideMark/>
          </w:tcPr>
          <w:p w14:paraId="76B8A492" w14:textId="77777777" w:rsidR="002E3CE8" w:rsidRPr="00520861" w:rsidRDefault="002E3CE8" w:rsidP="00292D2E">
            <w:pPr>
              <w:widowControl w:val="0"/>
              <w:tabs>
                <w:tab w:val="center" w:pos="561"/>
              </w:tabs>
              <w:spacing w:line="360" w:lineRule="auto"/>
              <w:contextualSpacing/>
              <w:jc w:val="center"/>
              <w:rPr>
                <w:sz w:val="28"/>
                <w:szCs w:val="28"/>
              </w:rPr>
            </w:pPr>
            <w:r w:rsidRPr="00520861">
              <w:rPr>
                <w:rFonts w:eastAsia="Calibri"/>
                <w:sz w:val="28"/>
                <w:szCs w:val="28"/>
                <w:lang w:eastAsia="en-US"/>
              </w:rPr>
              <w:t>1,18</w:t>
            </w:r>
            <w:r w:rsidRPr="00520861">
              <w:rPr>
                <w:sz w:val="28"/>
                <w:szCs w:val="28"/>
              </w:rPr>
              <w:t>*</w:t>
            </w:r>
          </w:p>
          <w:p w14:paraId="248E68BB" w14:textId="77777777" w:rsidR="002E3CE8" w:rsidRPr="00520861" w:rsidRDefault="002E3CE8" w:rsidP="00292D2E">
            <w:pPr>
              <w:widowControl w:val="0"/>
              <w:tabs>
                <w:tab w:val="center" w:pos="561"/>
              </w:tabs>
              <w:spacing w:line="360" w:lineRule="auto"/>
              <w:contextualSpacing/>
              <w:rPr>
                <w:rFonts w:eastAsia="Calibri"/>
                <w:sz w:val="28"/>
                <w:szCs w:val="28"/>
                <w:lang w:eastAsia="en-US"/>
              </w:rPr>
            </w:pPr>
            <w:r w:rsidRPr="00520861">
              <w:rPr>
                <w:rFonts w:eastAsia="Calibri"/>
                <w:sz w:val="28"/>
                <w:szCs w:val="28"/>
                <w:lang w:val="en-US" w:eastAsia="en-US"/>
              </w:rPr>
              <w:t>p=</w:t>
            </w:r>
            <w:r w:rsidRPr="00520861">
              <w:rPr>
                <w:rFonts w:eastAsia="Calibri"/>
                <w:sz w:val="28"/>
                <w:szCs w:val="28"/>
                <w:lang w:eastAsia="en-US"/>
              </w:rPr>
              <w:t>0,0414</w:t>
            </w:r>
          </w:p>
        </w:tc>
        <w:tc>
          <w:tcPr>
            <w:tcW w:w="1431" w:type="dxa"/>
            <w:tcBorders>
              <w:top w:val="single" w:sz="4" w:space="0" w:color="auto"/>
              <w:left w:val="single" w:sz="4" w:space="0" w:color="auto"/>
              <w:bottom w:val="single" w:sz="4" w:space="0" w:color="auto"/>
              <w:right w:val="single" w:sz="4" w:space="0" w:color="auto"/>
            </w:tcBorders>
          </w:tcPr>
          <w:p w14:paraId="065492CC" w14:textId="77777777" w:rsidR="002E3CE8" w:rsidRPr="00520861" w:rsidRDefault="002E3CE8" w:rsidP="00292D2E">
            <w:pPr>
              <w:widowControl w:val="0"/>
              <w:spacing w:line="360" w:lineRule="auto"/>
              <w:ind w:firstLine="34"/>
              <w:contextualSpacing/>
              <w:jc w:val="center"/>
              <w:rPr>
                <w:rFonts w:eastAsia="Calibri"/>
                <w:sz w:val="28"/>
                <w:szCs w:val="28"/>
                <w:lang w:eastAsia="en-US"/>
              </w:rPr>
            </w:pPr>
            <w:r w:rsidRPr="00520861">
              <w:rPr>
                <w:rFonts w:eastAsia="Calibri"/>
                <w:sz w:val="28"/>
                <w:szCs w:val="28"/>
                <w:lang w:eastAsia="en-US"/>
              </w:rPr>
              <w:t>1,46</w:t>
            </w:r>
          </w:p>
          <w:p w14:paraId="75904CCF" w14:textId="77777777" w:rsidR="002E3CE8" w:rsidRPr="00520861" w:rsidRDefault="002E3CE8" w:rsidP="00292D2E">
            <w:pPr>
              <w:widowControl w:val="0"/>
              <w:spacing w:line="360" w:lineRule="auto"/>
              <w:ind w:firstLine="34"/>
              <w:contextualSpacing/>
              <w:jc w:val="center"/>
              <w:rPr>
                <w:sz w:val="28"/>
                <w:szCs w:val="28"/>
              </w:rPr>
            </w:pPr>
            <w:r w:rsidRPr="00520861">
              <w:rPr>
                <w:rFonts w:eastAsia="Calibri"/>
                <w:sz w:val="28"/>
                <w:szCs w:val="28"/>
                <w:lang w:val="en-US" w:eastAsia="en-US"/>
              </w:rPr>
              <w:t>p=</w:t>
            </w:r>
            <w:r w:rsidRPr="00520861">
              <w:rPr>
                <w:rFonts w:eastAsia="Calibri"/>
                <w:sz w:val="28"/>
                <w:szCs w:val="28"/>
                <w:lang w:val="ru-RU" w:eastAsia="en-US"/>
              </w:rPr>
              <w:t>0,0669</w:t>
            </w:r>
          </w:p>
        </w:tc>
        <w:tc>
          <w:tcPr>
            <w:tcW w:w="1431" w:type="dxa"/>
            <w:tcBorders>
              <w:top w:val="single" w:sz="4" w:space="0" w:color="auto"/>
              <w:left w:val="single" w:sz="4" w:space="0" w:color="auto"/>
              <w:bottom w:val="single" w:sz="4" w:space="0" w:color="auto"/>
              <w:right w:val="single" w:sz="4" w:space="0" w:color="auto"/>
            </w:tcBorders>
            <w:hideMark/>
          </w:tcPr>
          <w:p w14:paraId="3BDFA3F3"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eastAsia="en-US"/>
              </w:rPr>
              <w:t>1,11</w:t>
            </w:r>
          </w:p>
          <w:p w14:paraId="0DA179C5" w14:textId="77777777" w:rsidR="002E3CE8" w:rsidRPr="00520861" w:rsidRDefault="002E3CE8" w:rsidP="00292D2E">
            <w:pPr>
              <w:widowControl w:val="0"/>
              <w:spacing w:line="360" w:lineRule="auto"/>
              <w:contextualSpacing/>
              <w:jc w:val="center"/>
              <w:rPr>
                <w:rFonts w:eastAsia="Calibri"/>
                <w:sz w:val="28"/>
                <w:szCs w:val="28"/>
                <w:u w:val="single"/>
                <w:lang w:eastAsia="en-US"/>
              </w:rPr>
            </w:pPr>
            <w:r w:rsidRPr="00520861">
              <w:rPr>
                <w:rFonts w:eastAsia="Calibri"/>
                <w:sz w:val="28"/>
                <w:szCs w:val="28"/>
                <w:lang w:val="en-US" w:eastAsia="en-US"/>
              </w:rPr>
              <w:t>p=</w:t>
            </w:r>
            <w:r w:rsidRPr="00520861">
              <w:rPr>
                <w:rFonts w:eastAsia="Calibri"/>
                <w:sz w:val="28"/>
                <w:szCs w:val="28"/>
                <w:lang w:val="ru-RU" w:eastAsia="en-US"/>
              </w:rPr>
              <w:t>0,1630</w:t>
            </w:r>
          </w:p>
        </w:tc>
        <w:tc>
          <w:tcPr>
            <w:tcW w:w="1431" w:type="dxa"/>
            <w:tcBorders>
              <w:top w:val="single" w:sz="4" w:space="0" w:color="auto"/>
              <w:left w:val="single" w:sz="4" w:space="0" w:color="auto"/>
              <w:bottom w:val="single" w:sz="4" w:space="0" w:color="auto"/>
              <w:right w:val="single" w:sz="4" w:space="0" w:color="auto"/>
            </w:tcBorders>
            <w:hideMark/>
          </w:tcPr>
          <w:p w14:paraId="06C941E7" w14:textId="77777777" w:rsidR="002E3CE8" w:rsidRPr="00520861" w:rsidRDefault="002E3CE8" w:rsidP="00292D2E">
            <w:pPr>
              <w:widowControl w:val="0"/>
              <w:spacing w:line="360" w:lineRule="auto"/>
              <w:contextualSpacing/>
              <w:jc w:val="center"/>
              <w:rPr>
                <w:sz w:val="28"/>
                <w:szCs w:val="28"/>
              </w:rPr>
            </w:pPr>
            <w:r w:rsidRPr="00520861">
              <w:rPr>
                <w:rFonts w:eastAsia="Calibri"/>
                <w:sz w:val="28"/>
                <w:szCs w:val="28"/>
                <w:lang w:eastAsia="en-US"/>
              </w:rPr>
              <w:t>2,17</w:t>
            </w:r>
            <w:r w:rsidRPr="00520861">
              <w:rPr>
                <w:sz w:val="28"/>
                <w:szCs w:val="28"/>
              </w:rPr>
              <w:t>*</w:t>
            </w:r>
          </w:p>
          <w:p w14:paraId="71F1EB65"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val="en-US" w:eastAsia="en-US"/>
              </w:rPr>
              <w:t>p=</w:t>
            </w:r>
            <w:r w:rsidRPr="00520861">
              <w:rPr>
                <w:rFonts w:eastAsia="Calibri"/>
                <w:sz w:val="28"/>
                <w:szCs w:val="28"/>
                <w:lang w:eastAsia="en-US"/>
              </w:rPr>
              <w:t>0,0112</w:t>
            </w:r>
          </w:p>
        </w:tc>
      </w:tr>
      <w:tr w:rsidR="002E3CE8" w:rsidRPr="00520861" w14:paraId="1C611A58" w14:textId="77777777" w:rsidTr="00292D2E">
        <w:trPr>
          <w:trHeight w:val="570"/>
          <w:jc w:val="center"/>
        </w:trPr>
        <w:tc>
          <w:tcPr>
            <w:tcW w:w="2008" w:type="dxa"/>
            <w:tcBorders>
              <w:top w:val="single" w:sz="4" w:space="0" w:color="auto"/>
              <w:left w:val="single" w:sz="4" w:space="0" w:color="auto"/>
              <w:bottom w:val="single" w:sz="4" w:space="0" w:color="auto"/>
              <w:right w:val="single" w:sz="4" w:space="0" w:color="auto"/>
            </w:tcBorders>
          </w:tcPr>
          <w:p w14:paraId="0523BFB4" w14:textId="77777777" w:rsidR="002E3CE8" w:rsidRPr="00520861" w:rsidRDefault="002E3CE8" w:rsidP="00292D2E">
            <w:pPr>
              <w:widowControl w:val="0"/>
              <w:spacing w:line="360" w:lineRule="auto"/>
              <w:contextualSpacing/>
              <w:jc w:val="center"/>
              <w:rPr>
                <w:sz w:val="28"/>
                <w:szCs w:val="28"/>
              </w:rPr>
            </w:pPr>
            <w:proofErr w:type="spellStart"/>
            <w:r w:rsidRPr="00520861">
              <w:rPr>
                <w:sz w:val="28"/>
                <w:szCs w:val="28"/>
              </w:rPr>
              <w:t>кп</w:t>
            </w:r>
            <w:proofErr w:type="spellEnd"/>
            <w:r w:rsidRPr="00520861">
              <w:rPr>
                <w:sz w:val="28"/>
                <w:szCs w:val="28"/>
              </w:rPr>
              <w:t xml:space="preserve"> </w:t>
            </w:r>
          </w:p>
          <w:p w14:paraId="477E0334" w14:textId="77777777" w:rsidR="002E3CE8" w:rsidRPr="00520861" w:rsidRDefault="002E3CE8" w:rsidP="00292D2E">
            <w:pPr>
              <w:widowControl w:val="0"/>
              <w:spacing w:line="360" w:lineRule="auto"/>
              <w:ind w:left="-121" w:right="-194"/>
              <w:contextualSpacing/>
              <w:jc w:val="center"/>
              <w:rPr>
                <w:sz w:val="28"/>
                <w:szCs w:val="28"/>
              </w:rPr>
            </w:pPr>
            <w:r w:rsidRPr="00520861">
              <w:rPr>
                <w:sz w:val="28"/>
                <w:szCs w:val="28"/>
              </w:rPr>
              <w:t>(4,5 – 6,5 року)</w:t>
            </w:r>
          </w:p>
        </w:tc>
        <w:tc>
          <w:tcPr>
            <w:tcW w:w="822" w:type="dxa"/>
            <w:tcBorders>
              <w:top w:val="single" w:sz="4" w:space="0" w:color="auto"/>
              <w:left w:val="single" w:sz="4" w:space="0" w:color="auto"/>
              <w:bottom w:val="single" w:sz="4" w:space="0" w:color="auto"/>
              <w:right w:val="single" w:sz="4" w:space="0" w:color="auto"/>
            </w:tcBorders>
          </w:tcPr>
          <w:p w14:paraId="484DBF2D" w14:textId="77777777" w:rsidR="002E3CE8" w:rsidRPr="00520861" w:rsidRDefault="002E3CE8" w:rsidP="00292D2E">
            <w:pPr>
              <w:widowControl w:val="0"/>
              <w:spacing w:line="360" w:lineRule="auto"/>
              <w:contextualSpacing/>
              <w:jc w:val="center"/>
              <w:rPr>
                <w:sz w:val="28"/>
                <w:szCs w:val="28"/>
              </w:rPr>
            </w:pPr>
            <w:r w:rsidRPr="00520861">
              <w:rPr>
                <w:sz w:val="28"/>
                <w:szCs w:val="28"/>
              </w:rPr>
              <w:t>3,08</w:t>
            </w:r>
          </w:p>
        </w:tc>
        <w:tc>
          <w:tcPr>
            <w:tcW w:w="1365" w:type="dxa"/>
            <w:tcBorders>
              <w:top w:val="single" w:sz="4" w:space="0" w:color="auto"/>
              <w:left w:val="single" w:sz="4" w:space="0" w:color="auto"/>
              <w:bottom w:val="single" w:sz="4" w:space="0" w:color="auto"/>
              <w:right w:val="single" w:sz="4" w:space="0" w:color="auto"/>
            </w:tcBorders>
          </w:tcPr>
          <w:p w14:paraId="69AC00A7"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eastAsia="en-US"/>
              </w:rPr>
              <w:t>5,88</w:t>
            </w:r>
            <w:r w:rsidRPr="00520861">
              <w:rPr>
                <w:sz w:val="28"/>
                <w:szCs w:val="28"/>
              </w:rPr>
              <w:t>*</w:t>
            </w:r>
          </w:p>
          <w:p w14:paraId="06A208AC"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val="en-US" w:eastAsia="en-US"/>
              </w:rPr>
              <w:t>p=</w:t>
            </w:r>
            <w:r w:rsidRPr="00520861">
              <w:rPr>
                <w:rFonts w:eastAsia="Calibri"/>
                <w:sz w:val="28"/>
                <w:szCs w:val="28"/>
                <w:lang w:eastAsia="en-US"/>
              </w:rPr>
              <w:t>0,0073</w:t>
            </w:r>
          </w:p>
        </w:tc>
        <w:tc>
          <w:tcPr>
            <w:tcW w:w="1430" w:type="dxa"/>
            <w:tcBorders>
              <w:top w:val="single" w:sz="4" w:space="0" w:color="auto"/>
              <w:left w:val="single" w:sz="4" w:space="0" w:color="auto"/>
              <w:bottom w:val="single" w:sz="4" w:space="0" w:color="auto"/>
              <w:right w:val="single" w:sz="4" w:space="0" w:color="auto"/>
            </w:tcBorders>
          </w:tcPr>
          <w:p w14:paraId="11336795" w14:textId="77777777" w:rsidR="002E3CE8" w:rsidRPr="00520861" w:rsidRDefault="002E3CE8" w:rsidP="00292D2E">
            <w:pPr>
              <w:widowControl w:val="0"/>
              <w:spacing w:line="360" w:lineRule="auto"/>
              <w:contextualSpacing/>
              <w:jc w:val="center"/>
              <w:rPr>
                <w:sz w:val="28"/>
                <w:szCs w:val="28"/>
              </w:rPr>
            </w:pPr>
            <w:r w:rsidRPr="00520861">
              <w:rPr>
                <w:rFonts w:eastAsia="Calibri"/>
                <w:sz w:val="28"/>
                <w:szCs w:val="28"/>
                <w:lang w:eastAsia="en-US"/>
              </w:rPr>
              <w:t>6,29</w:t>
            </w:r>
            <w:r w:rsidRPr="00520861">
              <w:rPr>
                <w:sz w:val="28"/>
                <w:szCs w:val="28"/>
              </w:rPr>
              <w:t>*</w:t>
            </w:r>
          </w:p>
          <w:p w14:paraId="7C198256"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val="en-US" w:eastAsia="en-US"/>
              </w:rPr>
              <w:t>p=</w:t>
            </w:r>
            <w:r w:rsidRPr="00520861">
              <w:rPr>
                <w:rFonts w:eastAsia="Calibri"/>
                <w:sz w:val="28"/>
                <w:szCs w:val="28"/>
                <w:lang w:eastAsia="en-US"/>
              </w:rPr>
              <w:t>0,0268</w:t>
            </w:r>
          </w:p>
        </w:tc>
        <w:tc>
          <w:tcPr>
            <w:tcW w:w="1431" w:type="dxa"/>
            <w:tcBorders>
              <w:top w:val="single" w:sz="4" w:space="0" w:color="auto"/>
              <w:left w:val="single" w:sz="4" w:space="0" w:color="auto"/>
              <w:bottom w:val="single" w:sz="4" w:space="0" w:color="auto"/>
              <w:right w:val="single" w:sz="4" w:space="0" w:color="auto"/>
            </w:tcBorders>
          </w:tcPr>
          <w:p w14:paraId="79AA1AD2"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eastAsia="en-US"/>
              </w:rPr>
              <w:t>6,71</w:t>
            </w:r>
            <w:r w:rsidRPr="00520861">
              <w:rPr>
                <w:sz w:val="28"/>
                <w:szCs w:val="28"/>
              </w:rPr>
              <w:t>*</w:t>
            </w:r>
          </w:p>
          <w:p w14:paraId="0DD3D49E" w14:textId="77777777" w:rsidR="002E3CE8" w:rsidRPr="00520861" w:rsidRDefault="002E3CE8" w:rsidP="00292D2E">
            <w:pPr>
              <w:widowControl w:val="0"/>
              <w:spacing w:line="360" w:lineRule="auto"/>
              <w:ind w:firstLine="34"/>
              <w:contextualSpacing/>
              <w:jc w:val="center"/>
              <w:rPr>
                <w:rFonts w:eastAsia="Calibri"/>
                <w:sz w:val="28"/>
                <w:szCs w:val="28"/>
                <w:lang w:eastAsia="en-US"/>
              </w:rPr>
            </w:pPr>
            <w:r w:rsidRPr="00520861">
              <w:rPr>
                <w:rFonts w:eastAsia="Calibri"/>
                <w:sz w:val="28"/>
                <w:szCs w:val="28"/>
                <w:lang w:val="en-US" w:eastAsia="en-US"/>
              </w:rPr>
              <w:t>p=</w:t>
            </w:r>
            <w:r w:rsidRPr="00520861">
              <w:rPr>
                <w:rFonts w:eastAsia="Calibri"/>
                <w:sz w:val="28"/>
                <w:szCs w:val="28"/>
                <w:lang w:eastAsia="en-US"/>
              </w:rPr>
              <w:t>0,0139</w:t>
            </w:r>
          </w:p>
        </w:tc>
        <w:tc>
          <w:tcPr>
            <w:tcW w:w="1431" w:type="dxa"/>
            <w:tcBorders>
              <w:top w:val="single" w:sz="4" w:space="0" w:color="auto"/>
              <w:left w:val="single" w:sz="4" w:space="0" w:color="auto"/>
              <w:bottom w:val="single" w:sz="4" w:space="0" w:color="auto"/>
              <w:right w:val="single" w:sz="4" w:space="0" w:color="auto"/>
            </w:tcBorders>
          </w:tcPr>
          <w:p w14:paraId="12905B49" w14:textId="77777777" w:rsidR="002E3CE8" w:rsidRPr="00520861" w:rsidRDefault="002E3CE8" w:rsidP="00292D2E">
            <w:pPr>
              <w:widowControl w:val="0"/>
              <w:spacing w:line="360" w:lineRule="auto"/>
              <w:ind w:firstLine="34"/>
              <w:contextualSpacing/>
              <w:jc w:val="center"/>
              <w:rPr>
                <w:sz w:val="28"/>
                <w:szCs w:val="28"/>
              </w:rPr>
            </w:pPr>
            <w:r w:rsidRPr="00520861">
              <w:rPr>
                <w:rFonts w:eastAsia="Calibri"/>
                <w:sz w:val="28"/>
                <w:szCs w:val="28"/>
                <w:lang w:eastAsia="en-US"/>
              </w:rPr>
              <w:t>5,0</w:t>
            </w:r>
            <w:r w:rsidRPr="00520861">
              <w:rPr>
                <w:rFonts w:eastAsia="Calibri"/>
                <w:sz w:val="28"/>
                <w:szCs w:val="28"/>
                <w:lang w:val="en-US" w:eastAsia="en-US"/>
              </w:rPr>
              <w:t>0</w:t>
            </w:r>
          </w:p>
          <w:p w14:paraId="470AC79A"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val="en-US" w:eastAsia="en-US"/>
              </w:rPr>
              <w:t>p=</w:t>
            </w:r>
            <w:r w:rsidRPr="00520861">
              <w:rPr>
                <w:rFonts w:eastAsia="Calibri"/>
                <w:sz w:val="28"/>
                <w:szCs w:val="28"/>
                <w:lang w:eastAsia="en-US"/>
              </w:rPr>
              <w:t xml:space="preserve">0,1624  </w:t>
            </w:r>
          </w:p>
        </w:tc>
        <w:tc>
          <w:tcPr>
            <w:tcW w:w="1431" w:type="dxa"/>
            <w:tcBorders>
              <w:top w:val="single" w:sz="4" w:space="0" w:color="auto"/>
              <w:left w:val="single" w:sz="4" w:space="0" w:color="auto"/>
              <w:bottom w:val="single" w:sz="4" w:space="0" w:color="auto"/>
              <w:right w:val="single" w:sz="4" w:space="0" w:color="auto"/>
            </w:tcBorders>
          </w:tcPr>
          <w:p w14:paraId="03982EBF" w14:textId="77777777" w:rsidR="002E3CE8" w:rsidRPr="00520861" w:rsidRDefault="002E3CE8" w:rsidP="00292D2E">
            <w:pPr>
              <w:widowControl w:val="0"/>
              <w:spacing w:line="360" w:lineRule="auto"/>
              <w:contextualSpacing/>
              <w:jc w:val="center"/>
              <w:rPr>
                <w:sz w:val="28"/>
                <w:szCs w:val="28"/>
              </w:rPr>
            </w:pPr>
            <w:r w:rsidRPr="00520861">
              <w:rPr>
                <w:rFonts w:eastAsia="Calibri"/>
                <w:sz w:val="28"/>
                <w:szCs w:val="28"/>
                <w:lang w:eastAsia="en-US"/>
              </w:rPr>
              <w:t>5,45</w:t>
            </w:r>
            <w:r w:rsidRPr="00520861">
              <w:rPr>
                <w:sz w:val="28"/>
                <w:szCs w:val="28"/>
              </w:rPr>
              <w:t>*</w:t>
            </w:r>
          </w:p>
          <w:p w14:paraId="00461A06"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val="en-US" w:eastAsia="en-US"/>
              </w:rPr>
              <w:t>p=</w:t>
            </w:r>
            <w:r w:rsidRPr="00520861">
              <w:rPr>
                <w:rFonts w:eastAsia="Calibri"/>
                <w:sz w:val="28"/>
                <w:szCs w:val="28"/>
                <w:lang w:eastAsia="en-US"/>
              </w:rPr>
              <w:t>0,0460</w:t>
            </w:r>
          </w:p>
        </w:tc>
      </w:tr>
    </w:tbl>
    <w:p w14:paraId="543C645B" w14:textId="77777777" w:rsidR="002E3CE8" w:rsidRPr="00520861" w:rsidRDefault="002E3CE8" w:rsidP="00292D2E">
      <w:pPr>
        <w:widowControl w:val="0"/>
        <w:spacing w:line="360" w:lineRule="auto"/>
        <w:ind w:right="48" w:firstLine="708"/>
        <w:contextualSpacing/>
        <w:jc w:val="both"/>
        <w:rPr>
          <w:sz w:val="28"/>
          <w:szCs w:val="28"/>
        </w:rPr>
      </w:pPr>
      <w:r w:rsidRPr="00520861">
        <w:rPr>
          <w:sz w:val="28"/>
          <w:szCs w:val="28"/>
        </w:rPr>
        <w:t xml:space="preserve">Примітка: * – різниця між ОГ (підгрупою) і ГП відповідного віку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2BE2DCBD" w14:textId="77777777" w:rsidR="002E3CE8" w:rsidRPr="00520861" w:rsidRDefault="002E3CE8" w:rsidP="00292D2E">
      <w:pPr>
        <w:widowControl w:val="0"/>
        <w:ind w:right="48"/>
        <w:contextualSpacing/>
        <w:jc w:val="center"/>
        <w:rPr>
          <w:sz w:val="28"/>
          <w:szCs w:val="28"/>
        </w:rPr>
      </w:pPr>
      <w:r w:rsidRPr="00520861">
        <w:rPr>
          <w:noProof/>
          <w:sz w:val="28"/>
          <w:szCs w:val="28"/>
          <w:lang w:val="ru-RU"/>
        </w:rPr>
        <w:lastRenderedPageBreak/>
        <w:drawing>
          <wp:inline distT="0" distB="0" distL="0" distR="0" wp14:anchorId="10388419" wp14:editId="63305F83">
            <wp:extent cx="4798800" cy="3600000"/>
            <wp:effectExtent l="0" t="0" r="1905" b="635"/>
            <wp:docPr id="102" name="Рисунок 102" descr="IMG_0389 н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IMG_0389 нов"/>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798800" cy="3600000"/>
                    </a:xfrm>
                    <a:prstGeom prst="rect">
                      <a:avLst/>
                    </a:prstGeom>
                    <a:noFill/>
                    <a:ln>
                      <a:noFill/>
                    </a:ln>
                  </pic:spPr>
                </pic:pic>
              </a:graphicData>
            </a:graphic>
          </wp:inline>
        </w:drawing>
      </w:r>
    </w:p>
    <w:p w14:paraId="393B04CB" w14:textId="77777777" w:rsidR="002E3CE8" w:rsidRPr="00520861" w:rsidRDefault="002E3CE8" w:rsidP="00292D2E">
      <w:pPr>
        <w:widowControl w:val="0"/>
        <w:spacing w:line="360" w:lineRule="auto"/>
        <w:ind w:right="48" w:firstLine="709"/>
        <w:contextualSpacing/>
        <w:jc w:val="center"/>
        <w:rPr>
          <w:bCs/>
          <w:iCs/>
          <w:sz w:val="28"/>
          <w:szCs w:val="28"/>
        </w:rPr>
      </w:pPr>
      <w:r w:rsidRPr="00520861">
        <w:rPr>
          <w:sz w:val="28"/>
          <w:szCs w:val="28"/>
        </w:rPr>
        <w:t xml:space="preserve">Рис. 6.1. </w:t>
      </w:r>
      <w:r w:rsidRPr="00520861">
        <w:rPr>
          <w:bCs/>
          <w:iCs/>
          <w:sz w:val="28"/>
          <w:szCs w:val="28"/>
        </w:rPr>
        <w:t xml:space="preserve">Фото верхньої щелепи дитини К. (хлопчик) </w:t>
      </w:r>
    </w:p>
    <w:p w14:paraId="2833BA30" w14:textId="77777777" w:rsidR="002E3CE8" w:rsidRPr="00520861" w:rsidRDefault="002E3CE8" w:rsidP="00292D2E">
      <w:pPr>
        <w:widowControl w:val="0"/>
        <w:spacing w:line="360" w:lineRule="auto"/>
        <w:ind w:right="48" w:firstLine="709"/>
        <w:contextualSpacing/>
        <w:jc w:val="center"/>
        <w:rPr>
          <w:sz w:val="28"/>
          <w:szCs w:val="28"/>
        </w:rPr>
      </w:pPr>
      <w:r w:rsidRPr="00520861">
        <w:rPr>
          <w:bCs/>
          <w:iCs/>
          <w:sz w:val="28"/>
          <w:szCs w:val="28"/>
        </w:rPr>
        <w:t xml:space="preserve">у віці п’ять років, </w:t>
      </w:r>
      <w:r w:rsidRPr="00520861">
        <w:rPr>
          <w:sz w:val="28"/>
          <w:szCs w:val="28"/>
        </w:rPr>
        <w:t xml:space="preserve">амб. карта № </w:t>
      </w:r>
      <w:r w:rsidRPr="00520861">
        <w:rPr>
          <w:color w:val="000000"/>
          <w:sz w:val="28"/>
          <w:szCs w:val="28"/>
        </w:rPr>
        <w:t>173370</w:t>
      </w:r>
      <w:r w:rsidRPr="00520861">
        <w:rPr>
          <w:bCs/>
          <w:iCs/>
          <w:sz w:val="28"/>
          <w:szCs w:val="28"/>
        </w:rPr>
        <w:t xml:space="preserve">, </w:t>
      </w:r>
      <w:r w:rsidRPr="00520861">
        <w:rPr>
          <w:rFonts w:eastAsia="Calibri"/>
          <w:sz w:val="28"/>
          <w:szCs w:val="28"/>
          <w:lang w:eastAsia="en-US"/>
        </w:rPr>
        <w:t>підгрупа 1</w:t>
      </w:r>
      <w:r w:rsidRPr="00520861">
        <w:rPr>
          <w:bCs/>
          <w:i/>
          <w:iCs/>
          <w:sz w:val="28"/>
          <w:szCs w:val="28"/>
        </w:rPr>
        <w:t>.</w:t>
      </w:r>
      <w:r w:rsidRPr="00520861">
        <w:rPr>
          <w:sz w:val="28"/>
          <w:szCs w:val="28"/>
        </w:rPr>
        <w:t xml:space="preserve"> Множинний ускладнений карієс.</w:t>
      </w:r>
    </w:p>
    <w:p w14:paraId="637A8021" w14:textId="77777777" w:rsidR="002E3CE8" w:rsidRPr="00520861" w:rsidRDefault="002E3CE8" w:rsidP="00292D2E">
      <w:pPr>
        <w:widowControl w:val="0"/>
        <w:spacing w:line="360" w:lineRule="auto"/>
        <w:ind w:right="48"/>
        <w:contextualSpacing/>
        <w:jc w:val="center"/>
        <w:rPr>
          <w:bCs/>
          <w:iCs/>
          <w:sz w:val="28"/>
          <w:szCs w:val="28"/>
        </w:rPr>
      </w:pPr>
    </w:p>
    <w:p w14:paraId="6D9250C5" w14:textId="77777777" w:rsidR="002E3CE8" w:rsidRPr="00520861" w:rsidRDefault="002E3CE8" w:rsidP="00292D2E">
      <w:pPr>
        <w:widowControl w:val="0"/>
        <w:tabs>
          <w:tab w:val="left" w:pos="2835"/>
        </w:tabs>
        <w:ind w:right="48"/>
        <w:contextualSpacing/>
        <w:jc w:val="center"/>
        <w:rPr>
          <w:sz w:val="28"/>
          <w:szCs w:val="28"/>
        </w:rPr>
      </w:pPr>
      <w:r w:rsidRPr="00520861">
        <w:rPr>
          <w:noProof/>
          <w:sz w:val="28"/>
          <w:szCs w:val="28"/>
          <w:lang w:val="ru-RU"/>
        </w:rPr>
        <w:drawing>
          <wp:inline distT="0" distB="0" distL="0" distR="0" wp14:anchorId="51CD19C7" wp14:editId="4462C46E">
            <wp:extent cx="4798800" cy="3600000"/>
            <wp:effectExtent l="0" t="0" r="1905" b="635"/>
            <wp:docPr id="103" name="Рисунок 11" descr="IMG_0428 н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IMG_0428 нов"/>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798800" cy="3600000"/>
                    </a:xfrm>
                    <a:prstGeom prst="rect">
                      <a:avLst/>
                    </a:prstGeom>
                    <a:noFill/>
                    <a:ln>
                      <a:noFill/>
                    </a:ln>
                  </pic:spPr>
                </pic:pic>
              </a:graphicData>
            </a:graphic>
          </wp:inline>
        </w:drawing>
      </w:r>
    </w:p>
    <w:p w14:paraId="21318D27" w14:textId="77777777" w:rsidR="002E3CE8" w:rsidRPr="00520861" w:rsidRDefault="002E3CE8" w:rsidP="00292D2E">
      <w:pPr>
        <w:widowControl w:val="0"/>
        <w:spacing w:line="360" w:lineRule="auto"/>
        <w:ind w:right="48" w:firstLine="709"/>
        <w:contextualSpacing/>
        <w:jc w:val="center"/>
        <w:rPr>
          <w:bCs/>
          <w:iCs/>
          <w:sz w:val="28"/>
          <w:szCs w:val="28"/>
        </w:rPr>
      </w:pPr>
      <w:r w:rsidRPr="00520861">
        <w:rPr>
          <w:sz w:val="28"/>
          <w:szCs w:val="28"/>
        </w:rPr>
        <w:t xml:space="preserve">Рис. 6.2. </w:t>
      </w:r>
      <w:r w:rsidRPr="00520861">
        <w:rPr>
          <w:bCs/>
          <w:iCs/>
          <w:sz w:val="28"/>
          <w:szCs w:val="28"/>
        </w:rPr>
        <w:t>Фото верхньої щелепи дитини Т. (дівчинка)</w:t>
      </w:r>
    </w:p>
    <w:p w14:paraId="0500E71D" w14:textId="77777777" w:rsidR="002E3CE8" w:rsidRPr="00520861" w:rsidRDefault="002E3CE8" w:rsidP="00292D2E">
      <w:pPr>
        <w:widowControl w:val="0"/>
        <w:spacing w:line="360" w:lineRule="auto"/>
        <w:ind w:right="48" w:firstLine="709"/>
        <w:contextualSpacing/>
        <w:jc w:val="center"/>
        <w:rPr>
          <w:sz w:val="28"/>
          <w:szCs w:val="28"/>
        </w:rPr>
      </w:pPr>
      <w:r w:rsidRPr="00520861">
        <w:rPr>
          <w:bCs/>
          <w:iCs/>
          <w:sz w:val="28"/>
          <w:szCs w:val="28"/>
        </w:rPr>
        <w:t xml:space="preserve"> у віці 5 років, 11 місяців, </w:t>
      </w:r>
      <w:r w:rsidRPr="00520861">
        <w:rPr>
          <w:sz w:val="28"/>
          <w:szCs w:val="28"/>
        </w:rPr>
        <w:t>амб. карта № 173403</w:t>
      </w:r>
      <w:r w:rsidRPr="00520861">
        <w:rPr>
          <w:bCs/>
          <w:iCs/>
          <w:sz w:val="28"/>
          <w:szCs w:val="28"/>
        </w:rPr>
        <w:t xml:space="preserve">, </w:t>
      </w:r>
      <w:r w:rsidRPr="00520861">
        <w:rPr>
          <w:rFonts w:eastAsia="Calibri"/>
          <w:sz w:val="28"/>
          <w:szCs w:val="28"/>
          <w:lang w:eastAsia="en-US"/>
        </w:rPr>
        <w:t>підгрупа 1</w:t>
      </w:r>
      <w:r w:rsidRPr="00520861">
        <w:rPr>
          <w:bCs/>
          <w:i/>
          <w:iCs/>
          <w:sz w:val="28"/>
          <w:szCs w:val="28"/>
        </w:rPr>
        <w:t>.</w:t>
      </w:r>
      <w:r w:rsidRPr="00520861">
        <w:rPr>
          <w:sz w:val="28"/>
          <w:szCs w:val="28"/>
        </w:rPr>
        <w:t xml:space="preserve"> Множинний ускладнений карієс.</w:t>
      </w:r>
    </w:p>
    <w:p w14:paraId="0EAF0420" w14:textId="77777777" w:rsidR="002E3CE8" w:rsidRPr="00520861" w:rsidRDefault="002E3CE8" w:rsidP="00292D2E">
      <w:pPr>
        <w:widowControl w:val="0"/>
        <w:spacing w:line="360" w:lineRule="auto"/>
        <w:ind w:right="48" w:firstLine="709"/>
        <w:contextualSpacing/>
        <w:jc w:val="both"/>
        <w:rPr>
          <w:sz w:val="28"/>
          <w:szCs w:val="28"/>
        </w:rPr>
      </w:pPr>
      <w:r w:rsidRPr="00520861">
        <w:rPr>
          <w:sz w:val="28"/>
          <w:szCs w:val="28"/>
        </w:rPr>
        <w:lastRenderedPageBreak/>
        <w:t>Висока інтенсивність карієсу притаманна всім дітям-</w:t>
      </w:r>
      <w:proofErr w:type="spellStart"/>
      <w:r w:rsidRPr="00520861">
        <w:rPr>
          <w:sz w:val="28"/>
          <w:szCs w:val="28"/>
        </w:rPr>
        <w:t>макросомам</w:t>
      </w:r>
      <w:proofErr w:type="spellEnd"/>
      <w:r w:rsidRPr="00520861">
        <w:rPr>
          <w:sz w:val="28"/>
          <w:szCs w:val="28"/>
        </w:rPr>
        <w:t>, за виключенням дітей із ВУ ожирінням на фоні акселерації. Ускладнений карієс тимчасових зубів був зафіксований у 10 (33</w:t>
      </w:r>
      <w:r w:rsidR="00611A5B" w:rsidRPr="00520861">
        <w:rPr>
          <w:sz w:val="28"/>
          <w:szCs w:val="28"/>
        </w:rPr>
        <w:t>%</w:t>
      </w:r>
      <w:r w:rsidRPr="00520861">
        <w:rPr>
          <w:sz w:val="28"/>
          <w:szCs w:val="28"/>
        </w:rPr>
        <w:t>) дітей. Зуби, видалені раніше строків фізіологічної зміни, мали 4 (13</w:t>
      </w:r>
      <w:r w:rsidR="00611A5B" w:rsidRPr="00520861">
        <w:rPr>
          <w:sz w:val="28"/>
          <w:szCs w:val="28"/>
        </w:rPr>
        <w:t>%</w:t>
      </w:r>
      <w:r w:rsidRPr="00520861">
        <w:rPr>
          <w:sz w:val="28"/>
          <w:szCs w:val="28"/>
        </w:rPr>
        <w:t>) дитини ОГ із практично рівномірним розподілом за підгрупами.</w:t>
      </w:r>
    </w:p>
    <w:p w14:paraId="6B3E0921" w14:textId="77777777" w:rsidR="002E3CE8" w:rsidRPr="00520861" w:rsidRDefault="002E3CE8" w:rsidP="00292D2E">
      <w:pPr>
        <w:widowControl w:val="0"/>
        <w:tabs>
          <w:tab w:val="left" w:pos="5812"/>
        </w:tabs>
        <w:spacing w:line="360" w:lineRule="auto"/>
        <w:ind w:right="48" w:firstLine="709"/>
        <w:contextualSpacing/>
        <w:jc w:val="both"/>
        <w:rPr>
          <w:b/>
          <w:bCs/>
          <w:sz w:val="28"/>
          <w:szCs w:val="28"/>
        </w:rPr>
      </w:pPr>
      <w:r w:rsidRPr="00520861">
        <w:rPr>
          <w:bCs/>
          <w:sz w:val="28"/>
          <w:szCs w:val="28"/>
        </w:rPr>
        <w:t>Результати кількісного визначення секрету малих слинних залоз, а також кількості малих слинних залоз на площі 3,5 м</w:t>
      </w:r>
      <w:r w:rsidRPr="00520861">
        <w:rPr>
          <w:bCs/>
          <w:sz w:val="28"/>
          <w:szCs w:val="28"/>
          <w:vertAlign w:val="superscript"/>
        </w:rPr>
        <w:t>2</w:t>
      </w:r>
      <w:r w:rsidRPr="00520861">
        <w:rPr>
          <w:sz w:val="28"/>
          <w:szCs w:val="28"/>
        </w:rPr>
        <w:t>× 10</w:t>
      </w:r>
      <w:r w:rsidRPr="00520861">
        <w:rPr>
          <w:sz w:val="28"/>
          <w:szCs w:val="28"/>
          <w:vertAlign w:val="superscript"/>
        </w:rPr>
        <w:t>-4</w:t>
      </w:r>
      <w:r w:rsidRPr="00520861">
        <w:rPr>
          <w:bCs/>
          <w:sz w:val="28"/>
          <w:szCs w:val="28"/>
        </w:rPr>
        <w:t xml:space="preserve"> (табл. 6.3) свідчать, що д</w:t>
      </w:r>
      <w:r w:rsidRPr="00520861">
        <w:rPr>
          <w:sz w:val="28"/>
          <w:szCs w:val="28"/>
        </w:rPr>
        <w:t xml:space="preserve">іти </w:t>
      </w:r>
      <w:proofErr w:type="spellStart"/>
      <w:r w:rsidRPr="00520861">
        <w:rPr>
          <w:sz w:val="28"/>
          <w:szCs w:val="28"/>
        </w:rPr>
        <w:t>макросоми</w:t>
      </w:r>
      <w:proofErr w:type="spellEnd"/>
      <w:r w:rsidRPr="00520861">
        <w:rPr>
          <w:sz w:val="28"/>
          <w:szCs w:val="28"/>
        </w:rPr>
        <w:t xml:space="preserve"> мають зменшену кількість малих слинних залоз на певній площі, осереднена кількість секрету, який виділяється, також вірогідно зменшена у всіх осіб ОГ.</w:t>
      </w:r>
    </w:p>
    <w:p w14:paraId="45F11818" w14:textId="77777777" w:rsidR="002E3CE8" w:rsidRPr="00520861" w:rsidRDefault="002E3CE8" w:rsidP="00292D2E">
      <w:pPr>
        <w:widowControl w:val="0"/>
        <w:spacing w:line="360" w:lineRule="auto"/>
        <w:ind w:firstLine="709"/>
        <w:contextualSpacing/>
        <w:jc w:val="right"/>
        <w:rPr>
          <w:rFonts w:eastAsia="Calibri"/>
          <w:i/>
          <w:sz w:val="28"/>
          <w:szCs w:val="28"/>
          <w:lang w:eastAsia="en-US"/>
        </w:rPr>
      </w:pPr>
      <w:r w:rsidRPr="00520861">
        <w:rPr>
          <w:rFonts w:eastAsia="Calibri"/>
          <w:i/>
          <w:sz w:val="28"/>
          <w:szCs w:val="28"/>
          <w:lang w:eastAsia="en-US"/>
        </w:rPr>
        <w:t>Таблиця. 6.3</w:t>
      </w:r>
    </w:p>
    <w:p w14:paraId="4D363A24" w14:textId="77777777" w:rsidR="002E3CE8" w:rsidRPr="00520861" w:rsidRDefault="002E3CE8" w:rsidP="00292D2E">
      <w:pPr>
        <w:widowControl w:val="0"/>
        <w:spacing w:line="360" w:lineRule="auto"/>
        <w:ind w:firstLine="709"/>
        <w:contextualSpacing/>
        <w:jc w:val="center"/>
        <w:rPr>
          <w:rFonts w:eastAsia="Calibri"/>
          <w:b/>
          <w:sz w:val="28"/>
          <w:szCs w:val="28"/>
          <w:lang w:eastAsia="en-US"/>
        </w:rPr>
      </w:pPr>
      <w:r w:rsidRPr="00520861">
        <w:rPr>
          <w:rFonts w:eastAsia="Calibri"/>
          <w:b/>
          <w:sz w:val="28"/>
          <w:szCs w:val="28"/>
          <w:lang w:eastAsia="en-US"/>
        </w:rPr>
        <w:t>Значення математичного очікування кількості та продуктивності малих слинних залоз в учасників дослідження віком 4,5 – 6,5 років (</w:t>
      </w:r>
      <w:r w:rsidRPr="00520861">
        <w:rPr>
          <w:b/>
          <w:bCs/>
          <w:sz w:val="28"/>
          <w:szCs w:val="28"/>
          <w:shd w:val="clear" w:color="auto" w:fill="FFFFFF"/>
        </w:rPr>
        <w:t>ВП-ІІІ)</w:t>
      </w:r>
    </w:p>
    <w:tbl>
      <w:tblPr>
        <w:tblW w:w="98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77"/>
        <w:gridCol w:w="851"/>
        <w:gridCol w:w="1270"/>
        <w:gridCol w:w="1271"/>
        <w:gridCol w:w="1271"/>
        <w:gridCol w:w="1270"/>
        <w:gridCol w:w="1271"/>
      </w:tblGrid>
      <w:tr w:rsidR="002E3CE8" w:rsidRPr="00520861" w14:paraId="1935E64F" w14:textId="77777777" w:rsidTr="00292D2E">
        <w:trPr>
          <w:trHeight w:val="356"/>
          <w:jc w:val="center"/>
        </w:trPr>
        <w:tc>
          <w:tcPr>
            <w:tcW w:w="2677" w:type="dxa"/>
            <w:tcBorders>
              <w:top w:val="single" w:sz="4" w:space="0" w:color="auto"/>
              <w:left w:val="single" w:sz="4" w:space="0" w:color="auto"/>
              <w:bottom w:val="single" w:sz="4" w:space="0" w:color="auto"/>
              <w:right w:val="single" w:sz="4" w:space="0" w:color="auto"/>
            </w:tcBorders>
            <w:hideMark/>
          </w:tcPr>
          <w:p w14:paraId="346166B9" w14:textId="77777777" w:rsidR="002E3CE8" w:rsidRPr="00520861" w:rsidRDefault="002E3CE8" w:rsidP="00292D2E">
            <w:pPr>
              <w:widowControl w:val="0"/>
              <w:spacing w:line="360" w:lineRule="auto"/>
              <w:contextualSpacing/>
              <w:jc w:val="center"/>
              <w:rPr>
                <w:sz w:val="28"/>
                <w:szCs w:val="28"/>
              </w:rPr>
            </w:pPr>
            <w:r w:rsidRPr="00520861">
              <w:rPr>
                <w:sz w:val="28"/>
                <w:szCs w:val="28"/>
              </w:rPr>
              <w:t>Показники</w:t>
            </w:r>
          </w:p>
        </w:tc>
        <w:tc>
          <w:tcPr>
            <w:tcW w:w="851" w:type="dxa"/>
            <w:tcBorders>
              <w:top w:val="single" w:sz="4" w:space="0" w:color="auto"/>
              <w:left w:val="single" w:sz="4" w:space="0" w:color="auto"/>
              <w:bottom w:val="single" w:sz="4" w:space="0" w:color="auto"/>
              <w:right w:val="single" w:sz="4" w:space="0" w:color="auto"/>
            </w:tcBorders>
            <w:hideMark/>
          </w:tcPr>
          <w:p w14:paraId="17AE9369" w14:textId="77777777" w:rsidR="002E3CE8" w:rsidRPr="00520861" w:rsidRDefault="002E3CE8" w:rsidP="00292D2E">
            <w:pPr>
              <w:widowControl w:val="0"/>
              <w:spacing w:line="360" w:lineRule="auto"/>
              <w:contextualSpacing/>
              <w:jc w:val="center"/>
              <w:rPr>
                <w:sz w:val="28"/>
                <w:szCs w:val="28"/>
              </w:rPr>
            </w:pPr>
            <w:r w:rsidRPr="00520861">
              <w:rPr>
                <w:rFonts w:eastAsia="Calibri"/>
                <w:sz w:val="28"/>
                <w:szCs w:val="28"/>
                <w:lang w:eastAsia="en-US"/>
              </w:rPr>
              <w:t>ГП</w:t>
            </w:r>
          </w:p>
        </w:tc>
        <w:tc>
          <w:tcPr>
            <w:tcW w:w="1270" w:type="dxa"/>
            <w:tcBorders>
              <w:top w:val="single" w:sz="4" w:space="0" w:color="auto"/>
              <w:left w:val="single" w:sz="4" w:space="0" w:color="auto"/>
              <w:bottom w:val="single" w:sz="4" w:space="0" w:color="auto"/>
              <w:right w:val="single" w:sz="4" w:space="0" w:color="auto"/>
            </w:tcBorders>
            <w:vAlign w:val="center"/>
          </w:tcPr>
          <w:p w14:paraId="1F59F292"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eastAsia="en-US"/>
              </w:rPr>
              <w:t>ОГ</w:t>
            </w:r>
          </w:p>
        </w:tc>
        <w:tc>
          <w:tcPr>
            <w:tcW w:w="1271" w:type="dxa"/>
          </w:tcPr>
          <w:p w14:paraId="58BB9332"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1</w:t>
            </w:r>
          </w:p>
        </w:tc>
        <w:tc>
          <w:tcPr>
            <w:tcW w:w="1271" w:type="dxa"/>
            <w:hideMark/>
          </w:tcPr>
          <w:p w14:paraId="2F0ABBEF"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2</w:t>
            </w:r>
          </w:p>
        </w:tc>
        <w:tc>
          <w:tcPr>
            <w:tcW w:w="1270" w:type="dxa"/>
            <w:hideMark/>
          </w:tcPr>
          <w:p w14:paraId="49D88056"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3</w:t>
            </w:r>
          </w:p>
        </w:tc>
        <w:tc>
          <w:tcPr>
            <w:tcW w:w="1271" w:type="dxa"/>
            <w:hideMark/>
          </w:tcPr>
          <w:p w14:paraId="11C04C25"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4</w:t>
            </w:r>
          </w:p>
        </w:tc>
      </w:tr>
      <w:tr w:rsidR="002E3CE8" w:rsidRPr="00520861" w14:paraId="682E17EB" w14:textId="77777777" w:rsidTr="00292D2E">
        <w:trPr>
          <w:jc w:val="center"/>
        </w:trPr>
        <w:tc>
          <w:tcPr>
            <w:tcW w:w="2677" w:type="dxa"/>
            <w:tcBorders>
              <w:top w:val="single" w:sz="4" w:space="0" w:color="auto"/>
              <w:left w:val="single" w:sz="4" w:space="0" w:color="auto"/>
              <w:bottom w:val="single" w:sz="4" w:space="0" w:color="auto"/>
              <w:right w:val="single" w:sz="4" w:space="0" w:color="auto"/>
            </w:tcBorders>
            <w:hideMark/>
          </w:tcPr>
          <w:p w14:paraId="43D12763" w14:textId="77777777" w:rsidR="002E3CE8" w:rsidRPr="00520861" w:rsidRDefault="002E3CE8" w:rsidP="00292D2E">
            <w:pPr>
              <w:widowControl w:val="0"/>
              <w:spacing w:line="360" w:lineRule="auto"/>
              <w:ind w:left="-120" w:right="-228"/>
              <w:contextualSpacing/>
              <w:jc w:val="center"/>
              <w:rPr>
                <w:sz w:val="28"/>
                <w:szCs w:val="28"/>
              </w:rPr>
            </w:pPr>
            <w:r w:rsidRPr="00520861">
              <w:rPr>
                <w:bCs/>
                <w:sz w:val="28"/>
                <w:szCs w:val="28"/>
              </w:rPr>
              <w:t>Кількість залоз на площі 3,5 м</w:t>
            </w:r>
            <w:r w:rsidRPr="00520861">
              <w:rPr>
                <w:bCs/>
                <w:sz w:val="28"/>
                <w:szCs w:val="28"/>
                <w:vertAlign w:val="superscript"/>
              </w:rPr>
              <w:t>2</w:t>
            </w:r>
            <w:r w:rsidRPr="00520861">
              <w:rPr>
                <w:sz w:val="28"/>
                <w:szCs w:val="28"/>
              </w:rPr>
              <w:t>× 10</w:t>
            </w:r>
            <w:r w:rsidRPr="00520861">
              <w:rPr>
                <w:sz w:val="28"/>
                <w:szCs w:val="28"/>
                <w:vertAlign w:val="superscript"/>
              </w:rPr>
              <w:t>-4</w:t>
            </w:r>
          </w:p>
        </w:tc>
        <w:tc>
          <w:tcPr>
            <w:tcW w:w="851" w:type="dxa"/>
            <w:tcBorders>
              <w:top w:val="single" w:sz="4" w:space="0" w:color="auto"/>
              <w:left w:val="single" w:sz="4" w:space="0" w:color="auto"/>
              <w:bottom w:val="single" w:sz="4" w:space="0" w:color="auto"/>
              <w:right w:val="single" w:sz="4" w:space="0" w:color="auto"/>
            </w:tcBorders>
            <w:vAlign w:val="center"/>
            <w:hideMark/>
          </w:tcPr>
          <w:p w14:paraId="49E0CDC4" w14:textId="77777777" w:rsidR="002E3CE8" w:rsidRPr="00520861" w:rsidRDefault="002E3CE8" w:rsidP="00292D2E">
            <w:pPr>
              <w:widowControl w:val="0"/>
              <w:spacing w:line="360" w:lineRule="auto"/>
              <w:contextualSpacing/>
              <w:jc w:val="center"/>
              <w:rPr>
                <w:sz w:val="28"/>
                <w:szCs w:val="28"/>
              </w:rPr>
            </w:pPr>
            <w:r w:rsidRPr="00520861">
              <w:rPr>
                <w:sz w:val="28"/>
                <w:szCs w:val="28"/>
              </w:rPr>
              <w:t>15,3</w:t>
            </w:r>
          </w:p>
        </w:tc>
        <w:tc>
          <w:tcPr>
            <w:tcW w:w="1270" w:type="dxa"/>
            <w:tcBorders>
              <w:top w:val="single" w:sz="4" w:space="0" w:color="auto"/>
              <w:left w:val="single" w:sz="4" w:space="0" w:color="auto"/>
              <w:bottom w:val="single" w:sz="4" w:space="0" w:color="auto"/>
              <w:right w:val="single" w:sz="4" w:space="0" w:color="auto"/>
            </w:tcBorders>
            <w:vAlign w:val="center"/>
          </w:tcPr>
          <w:p w14:paraId="5042B903"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eastAsia="en-US"/>
              </w:rPr>
              <w:t>12,63</w:t>
            </w:r>
          </w:p>
          <w:p w14:paraId="2AC075A4" w14:textId="77777777" w:rsidR="002E3CE8" w:rsidRPr="00520861" w:rsidRDefault="002E3CE8" w:rsidP="00292D2E">
            <w:pPr>
              <w:widowControl w:val="0"/>
              <w:spacing w:line="360" w:lineRule="auto"/>
              <w:ind w:left="-113"/>
              <w:contextualSpacing/>
              <w:jc w:val="center"/>
              <w:rPr>
                <w:rFonts w:eastAsia="Calibri"/>
                <w:sz w:val="28"/>
                <w:szCs w:val="28"/>
                <w:lang w:eastAsia="en-US"/>
              </w:rPr>
            </w:pPr>
            <w:r w:rsidRPr="00520861">
              <w:rPr>
                <w:rFonts w:eastAsia="Calibri"/>
                <w:i/>
                <w:sz w:val="28"/>
                <w:szCs w:val="28"/>
                <w:lang w:val="en-US" w:eastAsia="en-US"/>
              </w:rPr>
              <w:t>p</w:t>
            </w:r>
            <w:r w:rsidRPr="00520861">
              <w:rPr>
                <w:rFonts w:eastAsia="Calibri"/>
                <w:sz w:val="28"/>
                <w:szCs w:val="28"/>
                <w:lang w:val="en-US" w:eastAsia="en-US"/>
              </w:rPr>
              <w:t>&lt;</w:t>
            </w:r>
            <w:r w:rsidRPr="00520861">
              <w:rPr>
                <w:sz w:val="28"/>
                <w:szCs w:val="28"/>
              </w:rPr>
              <w:t>0,0001</w:t>
            </w:r>
          </w:p>
        </w:tc>
        <w:tc>
          <w:tcPr>
            <w:tcW w:w="1271" w:type="dxa"/>
            <w:tcBorders>
              <w:top w:val="single" w:sz="4" w:space="0" w:color="auto"/>
              <w:left w:val="single" w:sz="4" w:space="0" w:color="auto"/>
              <w:bottom w:val="single" w:sz="4" w:space="0" w:color="auto"/>
              <w:right w:val="single" w:sz="4" w:space="0" w:color="auto"/>
            </w:tcBorders>
            <w:vAlign w:val="center"/>
          </w:tcPr>
          <w:p w14:paraId="346DEE58"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eastAsia="en-US"/>
              </w:rPr>
              <w:t>13,1</w:t>
            </w:r>
            <w:r w:rsidRPr="00520861">
              <w:rPr>
                <w:sz w:val="28"/>
                <w:szCs w:val="28"/>
              </w:rPr>
              <w:t>*</w:t>
            </w:r>
          </w:p>
          <w:p w14:paraId="785D70AB" w14:textId="77777777" w:rsidR="002E3CE8" w:rsidRPr="00520861" w:rsidRDefault="002E3CE8" w:rsidP="00292D2E">
            <w:pPr>
              <w:widowControl w:val="0"/>
              <w:spacing w:line="360" w:lineRule="auto"/>
              <w:ind w:left="-113"/>
              <w:contextualSpacing/>
              <w:jc w:val="center"/>
              <w:rPr>
                <w:rFonts w:eastAsia="Calibri"/>
                <w:sz w:val="28"/>
                <w:szCs w:val="28"/>
                <w:lang w:eastAsia="en-US"/>
              </w:rPr>
            </w:pP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lang w:eastAsia="en-US"/>
              </w:rPr>
              <w:t>0,0011</w:t>
            </w:r>
          </w:p>
        </w:tc>
        <w:tc>
          <w:tcPr>
            <w:tcW w:w="1271" w:type="dxa"/>
            <w:tcBorders>
              <w:top w:val="single" w:sz="4" w:space="0" w:color="auto"/>
              <w:left w:val="single" w:sz="4" w:space="0" w:color="auto"/>
              <w:bottom w:val="single" w:sz="4" w:space="0" w:color="auto"/>
              <w:right w:val="single" w:sz="4" w:space="0" w:color="auto"/>
            </w:tcBorders>
            <w:vAlign w:val="center"/>
            <w:hideMark/>
          </w:tcPr>
          <w:p w14:paraId="33B853FF" w14:textId="77777777" w:rsidR="002E3CE8" w:rsidRPr="00520861" w:rsidRDefault="002E3CE8" w:rsidP="00292D2E">
            <w:pPr>
              <w:widowControl w:val="0"/>
              <w:spacing w:line="360" w:lineRule="auto"/>
              <w:ind w:hanging="115"/>
              <w:contextualSpacing/>
              <w:jc w:val="center"/>
              <w:rPr>
                <w:sz w:val="28"/>
                <w:szCs w:val="28"/>
              </w:rPr>
            </w:pPr>
            <w:r w:rsidRPr="00520861">
              <w:rPr>
                <w:sz w:val="28"/>
                <w:szCs w:val="28"/>
              </w:rPr>
              <w:t>12,5*</w:t>
            </w:r>
          </w:p>
          <w:p w14:paraId="417B2B7D" w14:textId="77777777" w:rsidR="002E3CE8" w:rsidRPr="00520861" w:rsidRDefault="002E3CE8" w:rsidP="00292D2E">
            <w:pPr>
              <w:widowControl w:val="0"/>
              <w:spacing w:line="360" w:lineRule="auto"/>
              <w:ind w:hanging="115"/>
              <w:contextualSpacing/>
              <w:jc w:val="center"/>
              <w:rPr>
                <w:sz w:val="28"/>
                <w:szCs w:val="28"/>
              </w:rPr>
            </w:pP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Calibri"/>
                <w:sz w:val="28"/>
                <w:szCs w:val="28"/>
                <w:lang w:val="ru-RU" w:eastAsia="en-US"/>
              </w:rPr>
              <w:t>0,0002</w:t>
            </w:r>
          </w:p>
        </w:tc>
        <w:tc>
          <w:tcPr>
            <w:tcW w:w="1270" w:type="dxa"/>
            <w:tcBorders>
              <w:top w:val="single" w:sz="4" w:space="0" w:color="auto"/>
              <w:left w:val="single" w:sz="4" w:space="0" w:color="auto"/>
              <w:bottom w:val="single" w:sz="4" w:space="0" w:color="auto"/>
              <w:right w:val="single" w:sz="4" w:space="0" w:color="auto"/>
            </w:tcBorders>
            <w:vAlign w:val="center"/>
            <w:hideMark/>
          </w:tcPr>
          <w:p w14:paraId="2D4029B0" w14:textId="77777777" w:rsidR="002E3CE8" w:rsidRPr="00520861" w:rsidRDefault="002E3CE8" w:rsidP="00292D2E">
            <w:pPr>
              <w:widowControl w:val="0"/>
              <w:spacing w:line="360" w:lineRule="auto"/>
              <w:contextualSpacing/>
              <w:jc w:val="center"/>
              <w:rPr>
                <w:rFonts w:eastAsia="Calibri"/>
                <w:sz w:val="28"/>
                <w:szCs w:val="28"/>
                <w:lang w:eastAsia="en-US"/>
              </w:rPr>
            </w:pPr>
            <w:r w:rsidRPr="00520861">
              <w:rPr>
                <w:rFonts w:eastAsia="Calibri"/>
                <w:sz w:val="28"/>
                <w:szCs w:val="28"/>
                <w:lang w:eastAsia="en-US"/>
              </w:rPr>
              <w:t>13,0</w:t>
            </w:r>
            <w:r w:rsidRPr="00520861">
              <w:rPr>
                <w:sz w:val="28"/>
                <w:szCs w:val="28"/>
              </w:rPr>
              <w:t>*</w:t>
            </w:r>
          </w:p>
          <w:p w14:paraId="118BFF29" w14:textId="77777777" w:rsidR="002E3CE8" w:rsidRPr="00520861" w:rsidRDefault="002E3CE8" w:rsidP="00292D2E">
            <w:pPr>
              <w:widowControl w:val="0"/>
              <w:spacing w:line="360" w:lineRule="auto"/>
              <w:ind w:hanging="85"/>
              <w:contextualSpacing/>
              <w:jc w:val="center"/>
              <w:rPr>
                <w:rFonts w:eastAsia="Calibri"/>
                <w:sz w:val="28"/>
                <w:szCs w:val="28"/>
                <w:lang w:eastAsia="en-US"/>
              </w:rPr>
            </w:pPr>
            <w:r w:rsidRPr="00520861">
              <w:rPr>
                <w:rFonts w:eastAsia="Calibri"/>
                <w:i/>
                <w:sz w:val="28"/>
                <w:szCs w:val="28"/>
                <w:lang w:val="en-US" w:eastAsia="en-US"/>
              </w:rPr>
              <w:t>p</w:t>
            </w:r>
            <w:r w:rsidRPr="00520861">
              <w:rPr>
                <w:rFonts w:eastAsia="Calibri"/>
                <w:sz w:val="28"/>
                <w:szCs w:val="28"/>
                <w:lang w:val="en-US" w:eastAsia="en-US"/>
              </w:rPr>
              <w:t>=</w:t>
            </w:r>
            <w:r w:rsidRPr="00520861">
              <w:rPr>
                <w:rFonts w:eastAsiaTheme="minorHAnsi"/>
                <w:sz w:val="28"/>
                <w:szCs w:val="28"/>
                <w:lang w:val="ru-RU" w:eastAsia="en-US"/>
              </w:rPr>
              <w:t>0,0022</w:t>
            </w:r>
          </w:p>
        </w:tc>
        <w:tc>
          <w:tcPr>
            <w:tcW w:w="1271" w:type="dxa"/>
            <w:tcBorders>
              <w:top w:val="single" w:sz="4" w:space="0" w:color="auto"/>
              <w:left w:val="single" w:sz="4" w:space="0" w:color="auto"/>
              <w:bottom w:val="single" w:sz="4" w:space="0" w:color="auto"/>
              <w:right w:val="single" w:sz="4" w:space="0" w:color="auto"/>
            </w:tcBorders>
            <w:vAlign w:val="center"/>
            <w:hideMark/>
          </w:tcPr>
          <w:p w14:paraId="42C8808A" w14:textId="77777777" w:rsidR="002E3CE8" w:rsidRPr="00520861" w:rsidRDefault="002E3CE8" w:rsidP="00292D2E">
            <w:pPr>
              <w:widowControl w:val="0"/>
              <w:spacing w:line="360" w:lineRule="auto"/>
              <w:contextualSpacing/>
              <w:jc w:val="center"/>
              <w:rPr>
                <w:sz w:val="28"/>
                <w:szCs w:val="28"/>
              </w:rPr>
            </w:pPr>
            <w:r w:rsidRPr="00520861">
              <w:rPr>
                <w:rFonts w:eastAsia="Calibri"/>
                <w:sz w:val="28"/>
                <w:szCs w:val="28"/>
                <w:lang w:eastAsia="en-US"/>
              </w:rPr>
              <w:t>11,8</w:t>
            </w:r>
            <w:r w:rsidRPr="00520861">
              <w:rPr>
                <w:sz w:val="28"/>
                <w:szCs w:val="28"/>
              </w:rPr>
              <w:t>*</w:t>
            </w:r>
          </w:p>
          <w:p w14:paraId="20F81443" w14:textId="77777777" w:rsidR="002E3CE8" w:rsidRPr="00520861" w:rsidRDefault="002E3CE8" w:rsidP="00292D2E">
            <w:pPr>
              <w:widowControl w:val="0"/>
              <w:spacing w:line="360" w:lineRule="auto"/>
              <w:ind w:hanging="86"/>
              <w:contextualSpacing/>
              <w:jc w:val="center"/>
              <w:rPr>
                <w:rFonts w:eastAsia="Calibri"/>
                <w:sz w:val="28"/>
                <w:szCs w:val="28"/>
                <w:lang w:eastAsia="en-US"/>
              </w:rPr>
            </w:pPr>
            <w:r w:rsidRPr="00520861">
              <w:rPr>
                <w:rFonts w:eastAsia="Calibri"/>
                <w:i/>
                <w:sz w:val="28"/>
                <w:szCs w:val="28"/>
                <w:lang w:eastAsia="en-US"/>
              </w:rPr>
              <w:t>р</w:t>
            </w:r>
            <w:r w:rsidRPr="00520861">
              <w:rPr>
                <w:rFonts w:eastAsia="Calibri"/>
                <w:sz w:val="28"/>
                <w:szCs w:val="28"/>
                <w:lang w:val="en-US" w:eastAsia="en-US"/>
              </w:rPr>
              <w:t>&lt;</w:t>
            </w:r>
            <w:r w:rsidRPr="00520861">
              <w:rPr>
                <w:rFonts w:eastAsiaTheme="minorHAnsi"/>
                <w:sz w:val="28"/>
                <w:szCs w:val="28"/>
                <w:lang w:val="ru-RU" w:eastAsia="en-US"/>
              </w:rPr>
              <w:t>0,0001</w:t>
            </w:r>
          </w:p>
        </w:tc>
      </w:tr>
      <w:tr w:rsidR="002E3CE8" w:rsidRPr="00520861" w14:paraId="30D8166E" w14:textId="77777777" w:rsidTr="00292D2E">
        <w:trPr>
          <w:jc w:val="center"/>
        </w:trPr>
        <w:tc>
          <w:tcPr>
            <w:tcW w:w="2677" w:type="dxa"/>
            <w:tcBorders>
              <w:top w:val="single" w:sz="4" w:space="0" w:color="auto"/>
              <w:left w:val="single" w:sz="4" w:space="0" w:color="auto"/>
              <w:bottom w:val="single" w:sz="4" w:space="0" w:color="auto"/>
              <w:right w:val="single" w:sz="4" w:space="0" w:color="auto"/>
            </w:tcBorders>
            <w:hideMark/>
          </w:tcPr>
          <w:p w14:paraId="4B587A72" w14:textId="77777777" w:rsidR="002E3CE8" w:rsidRPr="00520861" w:rsidRDefault="002E3CE8" w:rsidP="00292D2E">
            <w:pPr>
              <w:widowControl w:val="0"/>
              <w:spacing w:line="360" w:lineRule="auto"/>
              <w:ind w:left="-120" w:right="-198" w:firstLine="120"/>
              <w:contextualSpacing/>
              <w:jc w:val="center"/>
              <w:rPr>
                <w:sz w:val="28"/>
                <w:szCs w:val="28"/>
              </w:rPr>
            </w:pPr>
            <w:r w:rsidRPr="00520861">
              <w:rPr>
                <w:bCs/>
                <w:sz w:val="28"/>
                <w:szCs w:val="28"/>
              </w:rPr>
              <w:t>Кількість</w:t>
            </w:r>
            <w:r w:rsidRPr="00520861">
              <w:rPr>
                <w:sz w:val="28"/>
                <w:szCs w:val="28"/>
              </w:rPr>
              <w:t xml:space="preserve"> секрету</w:t>
            </w:r>
          </w:p>
          <w:p w14:paraId="1C5E4CB8" w14:textId="77777777" w:rsidR="002E3CE8" w:rsidRPr="00520861" w:rsidRDefault="002E3CE8" w:rsidP="00292D2E">
            <w:pPr>
              <w:widowControl w:val="0"/>
              <w:spacing w:line="360" w:lineRule="auto"/>
              <w:contextualSpacing/>
              <w:jc w:val="center"/>
              <w:rPr>
                <w:sz w:val="28"/>
                <w:szCs w:val="28"/>
                <w:u w:val="single"/>
              </w:rPr>
            </w:pPr>
            <w:r w:rsidRPr="00520861">
              <w:rPr>
                <w:sz w:val="28"/>
                <w:szCs w:val="28"/>
              </w:rPr>
              <w:t>однієї слинної залози, кг/с × 6</w:t>
            </w:r>
            <w:r w:rsidRPr="00520861">
              <w:rPr>
                <w:sz w:val="28"/>
                <w:szCs w:val="28"/>
              </w:rPr>
              <w:sym w:font="Symbol" w:char="F0D7"/>
            </w:r>
            <w:r w:rsidRPr="00520861">
              <w:rPr>
                <w:sz w:val="28"/>
                <w:szCs w:val="28"/>
              </w:rPr>
              <w:t>10</w:t>
            </w:r>
            <w:r w:rsidRPr="00520861">
              <w:rPr>
                <w:sz w:val="28"/>
                <w:szCs w:val="28"/>
                <w:vertAlign w:val="superscript"/>
              </w:rPr>
              <w:t>-8</w:t>
            </w:r>
          </w:p>
        </w:tc>
        <w:tc>
          <w:tcPr>
            <w:tcW w:w="851" w:type="dxa"/>
            <w:tcBorders>
              <w:top w:val="single" w:sz="4" w:space="0" w:color="auto"/>
              <w:left w:val="single" w:sz="4" w:space="0" w:color="auto"/>
              <w:bottom w:val="single" w:sz="4" w:space="0" w:color="auto"/>
              <w:right w:val="single" w:sz="4" w:space="0" w:color="auto"/>
            </w:tcBorders>
            <w:vAlign w:val="center"/>
            <w:hideMark/>
          </w:tcPr>
          <w:p w14:paraId="68B1F87F" w14:textId="77777777" w:rsidR="002E3CE8" w:rsidRPr="00520861" w:rsidRDefault="002E3CE8" w:rsidP="00292D2E">
            <w:pPr>
              <w:widowControl w:val="0"/>
              <w:spacing w:line="360" w:lineRule="auto"/>
              <w:ind w:hanging="115"/>
              <w:contextualSpacing/>
              <w:jc w:val="center"/>
              <w:rPr>
                <w:sz w:val="28"/>
                <w:szCs w:val="28"/>
              </w:rPr>
            </w:pPr>
            <w:r w:rsidRPr="00520861">
              <w:rPr>
                <w:sz w:val="28"/>
                <w:szCs w:val="28"/>
              </w:rPr>
              <w:t>1,76</w:t>
            </w:r>
          </w:p>
        </w:tc>
        <w:tc>
          <w:tcPr>
            <w:tcW w:w="1270" w:type="dxa"/>
            <w:tcBorders>
              <w:top w:val="single" w:sz="4" w:space="0" w:color="auto"/>
              <w:left w:val="single" w:sz="4" w:space="0" w:color="auto"/>
              <w:bottom w:val="single" w:sz="4" w:space="0" w:color="auto"/>
              <w:right w:val="single" w:sz="4" w:space="0" w:color="auto"/>
            </w:tcBorders>
            <w:vAlign w:val="center"/>
          </w:tcPr>
          <w:p w14:paraId="0E970F2F" w14:textId="77777777" w:rsidR="002E3CE8" w:rsidRPr="00520861" w:rsidRDefault="002E3CE8" w:rsidP="00292D2E">
            <w:pPr>
              <w:widowControl w:val="0"/>
              <w:spacing w:line="360" w:lineRule="auto"/>
              <w:contextualSpacing/>
              <w:jc w:val="center"/>
              <w:rPr>
                <w:sz w:val="28"/>
                <w:szCs w:val="28"/>
              </w:rPr>
            </w:pPr>
            <w:r w:rsidRPr="00520861">
              <w:rPr>
                <w:sz w:val="28"/>
                <w:szCs w:val="28"/>
              </w:rPr>
              <w:t>1,34</w:t>
            </w:r>
          </w:p>
          <w:p w14:paraId="542E38E4" w14:textId="77777777" w:rsidR="002E3CE8" w:rsidRPr="00520861" w:rsidRDefault="002E3CE8" w:rsidP="00292D2E">
            <w:pPr>
              <w:widowControl w:val="0"/>
              <w:spacing w:line="360" w:lineRule="auto"/>
              <w:ind w:hanging="113"/>
              <w:contextualSpacing/>
              <w:jc w:val="center"/>
              <w:rPr>
                <w:sz w:val="28"/>
                <w:szCs w:val="28"/>
              </w:rPr>
            </w:pPr>
            <w:r w:rsidRPr="00520861">
              <w:rPr>
                <w:rFonts w:eastAsia="Calibri"/>
                <w:i/>
                <w:sz w:val="28"/>
                <w:szCs w:val="28"/>
                <w:lang w:val="en-US" w:eastAsia="en-US"/>
              </w:rPr>
              <w:t>p</w:t>
            </w:r>
            <w:r w:rsidRPr="00520861">
              <w:rPr>
                <w:rFonts w:eastAsia="Calibri"/>
                <w:sz w:val="28"/>
                <w:szCs w:val="28"/>
                <w:lang w:val="en-US" w:eastAsia="en-US"/>
              </w:rPr>
              <w:t>&lt;</w:t>
            </w:r>
            <w:r w:rsidRPr="00520861">
              <w:rPr>
                <w:sz w:val="28"/>
                <w:szCs w:val="28"/>
              </w:rPr>
              <w:t>0,0001</w:t>
            </w:r>
          </w:p>
        </w:tc>
        <w:tc>
          <w:tcPr>
            <w:tcW w:w="1271" w:type="dxa"/>
            <w:tcBorders>
              <w:top w:val="single" w:sz="4" w:space="0" w:color="auto"/>
              <w:left w:val="single" w:sz="4" w:space="0" w:color="auto"/>
              <w:bottom w:val="single" w:sz="4" w:space="0" w:color="auto"/>
              <w:right w:val="single" w:sz="4" w:space="0" w:color="auto"/>
            </w:tcBorders>
            <w:vAlign w:val="center"/>
          </w:tcPr>
          <w:p w14:paraId="0C497339" w14:textId="77777777" w:rsidR="002E3CE8" w:rsidRPr="00520861" w:rsidRDefault="002E3CE8" w:rsidP="00292D2E">
            <w:pPr>
              <w:widowControl w:val="0"/>
              <w:spacing w:line="360" w:lineRule="auto"/>
              <w:contextualSpacing/>
              <w:jc w:val="center"/>
              <w:rPr>
                <w:sz w:val="28"/>
                <w:szCs w:val="28"/>
              </w:rPr>
            </w:pPr>
            <w:r w:rsidRPr="00520861">
              <w:rPr>
                <w:sz w:val="28"/>
                <w:szCs w:val="28"/>
              </w:rPr>
              <w:t>1,48*</w:t>
            </w:r>
          </w:p>
          <w:p w14:paraId="78D616DD" w14:textId="77777777" w:rsidR="002E3CE8" w:rsidRPr="00520861" w:rsidRDefault="002E3CE8" w:rsidP="00292D2E">
            <w:pPr>
              <w:widowControl w:val="0"/>
              <w:spacing w:line="360" w:lineRule="auto"/>
              <w:ind w:hanging="113"/>
              <w:contextualSpacing/>
              <w:jc w:val="center"/>
              <w:rPr>
                <w:sz w:val="28"/>
                <w:szCs w:val="28"/>
              </w:rPr>
            </w:pPr>
            <w:r w:rsidRPr="00520861">
              <w:rPr>
                <w:rFonts w:eastAsia="Calibri"/>
                <w:i/>
                <w:sz w:val="28"/>
                <w:szCs w:val="28"/>
                <w:lang w:val="en-US" w:eastAsia="en-US"/>
              </w:rPr>
              <w:t>p</w:t>
            </w:r>
            <w:r w:rsidRPr="00520861">
              <w:rPr>
                <w:rFonts w:eastAsia="Calibri"/>
                <w:sz w:val="28"/>
                <w:szCs w:val="28"/>
                <w:lang w:val="en-US" w:eastAsia="en-US"/>
              </w:rPr>
              <w:t>=</w:t>
            </w:r>
            <w:r w:rsidRPr="00520861">
              <w:rPr>
                <w:sz w:val="28"/>
                <w:szCs w:val="28"/>
              </w:rPr>
              <w:t>0,0002</w:t>
            </w:r>
          </w:p>
        </w:tc>
        <w:tc>
          <w:tcPr>
            <w:tcW w:w="1271" w:type="dxa"/>
            <w:tcBorders>
              <w:top w:val="single" w:sz="4" w:space="0" w:color="auto"/>
              <w:left w:val="single" w:sz="4" w:space="0" w:color="auto"/>
              <w:bottom w:val="single" w:sz="4" w:space="0" w:color="auto"/>
              <w:right w:val="single" w:sz="4" w:space="0" w:color="auto"/>
            </w:tcBorders>
            <w:vAlign w:val="center"/>
            <w:hideMark/>
          </w:tcPr>
          <w:p w14:paraId="48380F3A" w14:textId="77777777" w:rsidR="002E3CE8" w:rsidRPr="00520861" w:rsidRDefault="002E3CE8" w:rsidP="00292D2E">
            <w:pPr>
              <w:widowControl w:val="0"/>
              <w:spacing w:line="360" w:lineRule="auto"/>
              <w:ind w:firstLine="34"/>
              <w:contextualSpacing/>
              <w:jc w:val="center"/>
              <w:rPr>
                <w:sz w:val="28"/>
                <w:szCs w:val="28"/>
              </w:rPr>
            </w:pPr>
            <w:r w:rsidRPr="00520861">
              <w:rPr>
                <w:sz w:val="28"/>
                <w:szCs w:val="28"/>
              </w:rPr>
              <w:t>1,36*</w:t>
            </w:r>
          </w:p>
          <w:p w14:paraId="29ACF020" w14:textId="77777777" w:rsidR="002E3CE8" w:rsidRPr="00520861" w:rsidRDefault="002E3CE8" w:rsidP="00292D2E">
            <w:pPr>
              <w:widowControl w:val="0"/>
              <w:spacing w:line="360" w:lineRule="auto"/>
              <w:ind w:hanging="114"/>
              <w:contextualSpacing/>
              <w:jc w:val="center"/>
              <w:rPr>
                <w:sz w:val="28"/>
                <w:szCs w:val="28"/>
              </w:rPr>
            </w:pPr>
            <w:r w:rsidRPr="00520861">
              <w:rPr>
                <w:rFonts w:eastAsia="Calibri"/>
                <w:i/>
                <w:sz w:val="28"/>
                <w:szCs w:val="28"/>
                <w:lang w:val="en-US" w:eastAsia="en-US"/>
              </w:rPr>
              <w:t>p</w:t>
            </w:r>
            <w:r w:rsidRPr="00520861">
              <w:rPr>
                <w:rFonts w:eastAsia="Calibri"/>
                <w:sz w:val="28"/>
                <w:szCs w:val="28"/>
                <w:lang w:val="en-US" w:eastAsia="en-US"/>
              </w:rPr>
              <w:t>=</w:t>
            </w:r>
            <w:r w:rsidRPr="00520861">
              <w:rPr>
                <w:sz w:val="28"/>
                <w:szCs w:val="28"/>
              </w:rPr>
              <w:t>0,0002</w:t>
            </w:r>
          </w:p>
        </w:tc>
        <w:tc>
          <w:tcPr>
            <w:tcW w:w="1270" w:type="dxa"/>
            <w:tcBorders>
              <w:top w:val="single" w:sz="4" w:space="0" w:color="auto"/>
              <w:left w:val="single" w:sz="4" w:space="0" w:color="auto"/>
              <w:bottom w:val="single" w:sz="4" w:space="0" w:color="auto"/>
              <w:right w:val="single" w:sz="4" w:space="0" w:color="auto"/>
            </w:tcBorders>
            <w:vAlign w:val="center"/>
            <w:hideMark/>
          </w:tcPr>
          <w:p w14:paraId="6A84BD1C" w14:textId="77777777" w:rsidR="002E3CE8" w:rsidRPr="00520861" w:rsidRDefault="002E3CE8" w:rsidP="00292D2E">
            <w:pPr>
              <w:widowControl w:val="0"/>
              <w:spacing w:line="360" w:lineRule="auto"/>
              <w:contextualSpacing/>
              <w:jc w:val="center"/>
              <w:rPr>
                <w:sz w:val="28"/>
                <w:szCs w:val="28"/>
              </w:rPr>
            </w:pPr>
            <w:r w:rsidRPr="00520861">
              <w:rPr>
                <w:sz w:val="28"/>
                <w:szCs w:val="28"/>
              </w:rPr>
              <w:t>1,24*</w:t>
            </w:r>
          </w:p>
          <w:p w14:paraId="0157D1F0" w14:textId="77777777" w:rsidR="002E3CE8" w:rsidRPr="00520861" w:rsidRDefault="002E3CE8" w:rsidP="00292D2E">
            <w:pPr>
              <w:widowControl w:val="0"/>
              <w:spacing w:line="360" w:lineRule="auto"/>
              <w:ind w:hanging="85"/>
              <w:contextualSpacing/>
              <w:jc w:val="center"/>
              <w:rPr>
                <w:sz w:val="28"/>
                <w:szCs w:val="28"/>
              </w:rPr>
            </w:pPr>
            <w:r w:rsidRPr="00520861">
              <w:rPr>
                <w:rFonts w:eastAsia="Calibri"/>
                <w:i/>
                <w:sz w:val="28"/>
                <w:szCs w:val="28"/>
                <w:lang w:val="en-US" w:eastAsia="en-US"/>
              </w:rPr>
              <w:t>p</w:t>
            </w:r>
            <w:r w:rsidRPr="00520861">
              <w:rPr>
                <w:rFonts w:eastAsia="Calibri"/>
                <w:sz w:val="28"/>
                <w:szCs w:val="28"/>
                <w:lang w:val="en-US" w:eastAsia="en-US"/>
              </w:rPr>
              <w:t>=</w:t>
            </w:r>
            <w:r w:rsidRPr="00520861">
              <w:rPr>
                <w:sz w:val="28"/>
                <w:szCs w:val="28"/>
              </w:rPr>
              <w:t>0,0002</w:t>
            </w:r>
          </w:p>
        </w:tc>
        <w:tc>
          <w:tcPr>
            <w:tcW w:w="1271" w:type="dxa"/>
            <w:tcBorders>
              <w:top w:val="single" w:sz="4" w:space="0" w:color="auto"/>
              <w:left w:val="single" w:sz="4" w:space="0" w:color="auto"/>
              <w:bottom w:val="single" w:sz="4" w:space="0" w:color="auto"/>
              <w:right w:val="single" w:sz="4" w:space="0" w:color="auto"/>
            </w:tcBorders>
            <w:vAlign w:val="center"/>
            <w:hideMark/>
          </w:tcPr>
          <w:p w14:paraId="211D93D8" w14:textId="77777777" w:rsidR="002E3CE8" w:rsidRPr="00520861" w:rsidRDefault="002E3CE8" w:rsidP="00292D2E">
            <w:pPr>
              <w:widowControl w:val="0"/>
              <w:spacing w:line="360" w:lineRule="auto"/>
              <w:contextualSpacing/>
              <w:jc w:val="center"/>
              <w:rPr>
                <w:sz w:val="28"/>
                <w:szCs w:val="28"/>
              </w:rPr>
            </w:pPr>
            <w:r w:rsidRPr="00520861">
              <w:rPr>
                <w:sz w:val="28"/>
                <w:szCs w:val="28"/>
              </w:rPr>
              <w:t>1,21*</w:t>
            </w:r>
          </w:p>
          <w:p w14:paraId="06BD8D08" w14:textId="77777777" w:rsidR="002E3CE8" w:rsidRPr="00520861" w:rsidRDefault="002E3CE8" w:rsidP="00292D2E">
            <w:pPr>
              <w:widowControl w:val="0"/>
              <w:spacing w:line="360" w:lineRule="auto"/>
              <w:ind w:hanging="86"/>
              <w:contextualSpacing/>
              <w:jc w:val="both"/>
              <w:rPr>
                <w:sz w:val="28"/>
                <w:szCs w:val="28"/>
              </w:rPr>
            </w:pPr>
            <w:r w:rsidRPr="00520861">
              <w:rPr>
                <w:rFonts w:eastAsia="Calibri"/>
                <w:i/>
                <w:sz w:val="28"/>
                <w:szCs w:val="28"/>
                <w:lang w:val="en-US" w:eastAsia="en-US"/>
              </w:rPr>
              <w:t>р</w:t>
            </w:r>
            <w:r w:rsidRPr="00520861">
              <w:rPr>
                <w:rFonts w:eastAsia="Calibri"/>
                <w:sz w:val="28"/>
                <w:szCs w:val="28"/>
                <w:lang w:val="en-US" w:eastAsia="en-US"/>
              </w:rPr>
              <w:t>&lt;</w:t>
            </w:r>
            <w:r w:rsidRPr="00520861">
              <w:rPr>
                <w:rFonts w:eastAsiaTheme="minorHAnsi"/>
                <w:sz w:val="28"/>
                <w:szCs w:val="28"/>
                <w:lang w:val="ru-RU" w:eastAsia="en-US"/>
              </w:rPr>
              <w:t>0,0001</w:t>
            </w:r>
          </w:p>
        </w:tc>
      </w:tr>
    </w:tbl>
    <w:p w14:paraId="6CE143BA" w14:textId="77777777" w:rsidR="002E3CE8" w:rsidRPr="00520861" w:rsidRDefault="002E3CE8" w:rsidP="00292D2E">
      <w:pPr>
        <w:widowControl w:val="0"/>
        <w:spacing w:line="360" w:lineRule="auto"/>
        <w:ind w:right="48" w:firstLine="708"/>
        <w:contextualSpacing/>
        <w:jc w:val="both"/>
        <w:rPr>
          <w:sz w:val="28"/>
          <w:szCs w:val="28"/>
        </w:rPr>
      </w:pPr>
      <w:r w:rsidRPr="00520861">
        <w:rPr>
          <w:sz w:val="28"/>
          <w:szCs w:val="28"/>
        </w:rPr>
        <w:t xml:space="preserve">Примітка: * – різниця між ОГ (підгрупою) і ГП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18F01CE3" w14:textId="77777777" w:rsidR="002E3CE8" w:rsidRPr="00520861" w:rsidRDefault="002E3CE8" w:rsidP="00292D2E">
      <w:pPr>
        <w:widowControl w:val="0"/>
        <w:spacing w:line="360" w:lineRule="auto"/>
        <w:ind w:right="48"/>
        <w:contextualSpacing/>
        <w:jc w:val="both"/>
        <w:rPr>
          <w:sz w:val="28"/>
          <w:szCs w:val="28"/>
        </w:rPr>
      </w:pPr>
    </w:p>
    <w:p w14:paraId="4E90F852" w14:textId="77777777" w:rsidR="002E3CE8" w:rsidRPr="00520861" w:rsidRDefault="002E3CE8" w:rsidP="00292D2E">
      <w:pPr>
        <w:widowControl w:val="0"/>
        <w:spacing w:line="360" w:lineRule="auto"/>
        <w:ind w:right="48" w:firstLine="708"/>
        <w:contextualSpacing/>
        <w:jc w:val="both"/>
        <w:rPr>
          <w:spacing w:val="-1"/>
          <w:sz w:val="28"/>
          <w:szCs w:val="28"/>
        </w:rPr>
      </w:pPr>
      <w:r w:rsidRPr="00520861">
        <w:rPr>
          <w:spacing w:val="-1"/>
          <w:sz w:val="28"/>
          <w:szCs w:val="28"/>
        </w:rPr>
        <w:t xml:space="preserve">Отже, в осіб дошкільного віку, які народилися </w:t>
      </w:r>
      <w:proofErr w:type="spellStart"/>
      <w:r w:rsidRPr="00520861">
        <w:rPr>
          <w:spacing w:val="-1"/>
          <w:sz w:val="28"/>
          <w:szCs w:val="28"/>
        </w:rPr>
        <w:t>макросомами</w:t>
      </w:r>
      <w:proofErr w:type="spellEnd"/>
      <w:r w:rsidRPr="00520861">
        <w:rPr>
          <w:spacing w:val="-1"/>
          <w:sz w:val="28"/>
          <w:szCs w:val="28"/>
        </w:rPr>
        <w:t>, спостерігається знижена кількість та продуктивність малих слинних залоз й у більшості дітей виявлена вірогідно вища, ніж у ГП, інтенсивність карієсу тимчасових зубів [48, 313].</w:t>
      </w:r>
    </w:p>
    <w:p w14:paraId="2A93430C" w14:textId="77777777" w:rsidR="002E3CE8" w:rsidRPr="00520861" w:rsidRDefault="002E3CE8" w:rsidP="00292D2E">
      <w:pPr>
        <w:widowControl w:val="0"/>
        <w:spacing w:line="360" w:lineRule="auto"/>
        <w:ind w:right="48" w:firstLine="708"/>
        <w:contextualSpacing/>
        <w:jc w:val="both"/>
        <w:rPr>
          <w:sz w:val="28"/>
          <w:szCs w:val="28"/>
        </w:rPr>
      </w:pPr>
    </w:p>
    <w:p w14:paraId="6E7FF45B" w14:textId="77777777" w:rsidR="002E3CE8" w:rsidRPr="00520861" w:rsidRDefault="002E3CE8" w:rsidP="00292D2E">
      <w:pPr>
        <w:widowControl w:val="0"/>
        <w:spacing w:after="160" w:line="360" w:lineRule="auto"/>
        <w:ind w:right="141" w:firstLine="709"/>
        <w:jc w:val="both"/>
        <w:rPr>
          <w:rFonts w:eastAsia="Calibri"/>
          <w:b/>
          <w:iCs/>
          <w:sz w:val="28"/>
          <w:szCs w:val="28"/>
          <w:lang w:eastAsia="en-US"/>
        </w:rPr>
      </w:pPr>
      <w:r w:rsidRPr="00520861">
        <w:rPr>
          <w:rFonts w:eastAsia="Calibri"/>
          <w:b/>
          <w:iCs/>
          <w:sz w:val="28"/>
          <w:szCs w:val="28"/>
          <w:lang w:eastAsia="en-US"/>
        </w:rPr>
        <w:t xml:space="preserve">6.3. Результати оцінювання </w:t>
      </w:r>
      <w:proofErr w:type="spellStart"/>
      <w:r w:rsidRPr="00520861">
        <w:rPr>
          <w:rFonts w:eastAsia="Calibri"/>
          <w:b/>
          <w:iCs/>
          <w:sz w:val="28"/>
          <w:szCs w:val="28"/>
          <w:lang w:eastAsia="en-US"/>
        </w:rPr>
        <w:t>карієсогенної</w:t>
      </w:r>
      <w:proofErr w:type="spellEnd"/>
      <w:r w:rsidRPr="00520861">
        <w:rPr>
          <w:rFonts w:eastAsia="Calibri"/>
          <w:b/>
          <w:iCs/>
          <w:sz w:val="28"/>
          <w:szCs w:val="28"/>
          <w:lang w:eastAsia="en-US"/>
        </w:rPr>
        <w:t xml:space="preserve"> ситуації в період змінного </w:t>
      </w:r>
      <w:r w:rsidRPr="00520861">
        <w:rPr>
          <w:rFonts w:eastAsia="Calibri"/>
          <w:b/>
          <w:iCs/>
          <w:sz w:val="28"/>
          <w:szCs w:val="28"/>
          <w:lang w:eastAsia="en-US"/>
        </w:rPr>
        <w:br/>
        <w:t xml:space="preserve">прикусу (ВП-IV) у дітей, які народилися з </w:t>
      </w:r>
      <w:proofErr w:type="spellStart"/>
      <w:r w:rsidRPr="00520861">
        <w:rPr>
          <w:rFonts w:eastAsia="Calibri"/>
          <w:b/>
          <w:iCs/>
          <w:sz w:val="28"/>
          <w:szCs w:val="28"/>
          <w:lang w:eastAsia="en-US"/>
        </w:rPr>
        <w:t>макросомією</w:t>
      </w:r>
      <w:proofErr w:type="spellEnd"/>
    </w:p>
    <w:p w14:paraId="3DCE2E76" w14:textId="77777777" w:rsidR="002E3CE8" w:rsidRPr="00520861" w:rsidRDefault="002E3CE8" w:rsidP="00292D2E">
      <w:pPr>
        <w:widowControl w:val="0"/>
        <w:tabs>
          <w:tab w:val="left" w:pos="5812"/>
        </w:tabs>
        <w:spacing w:line="360" w:lineRule="auto"/>
        <w:ind w:right="48" w:firstLine="709"/>
        <w:contextualSpacing/>
        <w:jc w:val="both"/>
        <w:rPr>
          <w:rFonts w:eastAsia="Calibri"/>
          <w:sz w:val="28"/>
          <w:szCs w:val="28"/>
          <w:shd w:val="clear" w:color="auto" w:fill="FFFFFF"/>
        </w:rPr>
      </w:pPr>
    </w:p>
    <w:p w14:paraId="29D931D2" w14:textId="77777777" w:rsidR="002E3CE8" w:rsidRPr="00520861" w:rsidRDefault="002E3CE8" w:rsidP="00292D2E">
      <w:pPr>
        <w:widowControl w:val="0"/>
        <w:tabs>
          <w:tab w:val="left" w:pos="5812"/>
        </w:tabs>
        <w:spacing w:line="360" w:lineRule="auto"/>
        <w:ind w:right="48" w:firstLine="709"/>
        <w:contextualSpacing/>
        <w:jc w:val="both"/>
        <w:rPr>
          <w:sz w:val="28"/>
          <w:szCs w:val="28"/>
        </w:rPr>
      </w:pPr>
      <w:r w:rsidRPr="00520861">
        <w:rPr>
          <w:rFonts w:eastAsia="Calibri"/>
          <w:sz w:val="28"/>
          <w:szCs w:val="28"/>
          <w:shd w:val="clear" w:color="auto" w:fill="FFFFFF"/>
        </w:rPr>
        <w:t xml:space="preserve">Стан гігієни ПР у дітей ОГ у цьому віці, </w:t>
      </w:r>
      <w:r w:rsidRPr="00520861">
        <w:rPr>
          <w:spacing w:val="-4"/>
          <w:sz w:val="28"/>
          <w:szCs w:val="28"/>
        </w:rPr>
        <w:t xml:space="preserve">класифікований як «хороший», </w:t>
      </w:r>
      <w:proofErr w:type="spellStart"/>
      <w:r w:rsidRPr="00520861">
        <w:rPr>
          <w:spacing w:val="-4"/>
          <w:sz w:val="28"/>
          <w:szCs w:val="28"/>
        </w:rPr>
        <w:t>вия</w:t>
      </w:r>
      <w:proofErr w:type="spellEnd"/>
      <w:r w:rsidRPr="00520861">
        <w:rPr>
          <w:spacing w:val="-4"/>
          <w:sz w:val="28"/>
          <w:szCs w:val="28"/>
        </w:rPr>
        <w:t xml:space="preserve">-вився </w:t>
      </w:r>
      <w:r w:rsidRPr="00520861">
        <w:rPr>
          <w:sz w:val="28"/>
          <w:szCs w:val="28"/>
        </w:rPr>
        <w:t>у 10 (33</w:t>
      </w:r>
      <w:r w:rsidR="00611A5B" w:rsidRPr="00520861">
        <w:rPr>
          <w:sz w:val="28"/>
          <w:szCs w:val="28"/>
        </w:rPr>
        <w:t>%</w:t>
      </w:r>
      <w:r w:rsidRPr="00520861">
        <w:rPr>
          <w:sz w:val="28"/>
          <w:szCs w:val="28"/>
        </w:rPr>
        <w:t>) дітей ОГ та 7 (43,8</w:t>
      </w:r>
      <w:r w:rsidR="00611A5B" w:rsidRPr="00520861">
        <w:rPr>
          <w:sz w:val="28"/>
          <w:szCs w:val="28"/>
        </w:rPr>
        <w:t>%</w:t>
      </w:r>
      <w:r w:rsidRPr="00520861">
        <w:rPr>
          <w:sz w:val="28"/>
          <w:szCs w:val="28"/>
        </w:rPr>
        <w:t xml:space="preserve">) </w:t>
      </w:r>
      <w:proofErr w:type="spellStart"/>
      <w:r w:rsidRPr="00520861">
        <w:rPr>
          <w:sz w:val="28"/>
          <w:szCs w:val="28"/>
        </w:rPr>
        <w:t>діт</w:t>
      </w:r>
      <w:proofErr w:type="spellEnd"/>
      <w:r w:rsidRPr="00520861">
        <w:rPr>
          <w:sz w:val="28"/>
          <w:szCs w:val="28"/>
          <w:lang w:val="ru-RU"/>
        </w:rPr>
        <w:t>е</w:t>
      </w:r>
      <w:r w:rsidRPr="00520861">
        <w:rPr>
          <w:sz w:val="28"/>
          <w:szCs w:val="28"/>
        </w:rPr>
        <w:t xml:space="preserve">й ГП, «задовільний» стан був виявлений </w:t>
      </w:r>
      <w:r w:rsidRPr="00520861">
        <w:rPr>
          <w:sz w:val="28"/>
          <w:szCs w:val="28"/>
        </w:rPr>
        <w:lastRenderedPageBreak/>
        <w:t>у 17 (56,7</w:t>
      </w:r>
      <w:r w:rsidR="00611A5B" w:rsidRPr="00520861">
        <w:rPr>
          <w:sz w:val="28"/>
          <w:szCs w:val="28"/>
        </w:rPr>
        <w:t>%</w:t>
      </w:r>
      <w:r w:rsidRPr="00520861">
        <w:rPr>
          <w:sz w:val="28"/>
          <w:szCs w:val="28"/>
        </w:rPr>
        <w:t>) дітей ОГ та у 5 (31,3</w:t>
      </w:r>
      <w:r w:rsidR="00611A5B" w:rsidRPr="00520861">
        <w:rPr>
          <w:sz w:val="28"/>
          <w:szCs w:val="28"/>
        </w:rPr>
        <w:t>%</w:t>
      </w:r>
      <w:r w:rsidRPr="00520861">
        <w:rPr>
          <w:sz w:val="28"/>
          <w:szCs w:val="28"/>
        </w:rPr>
        <w:t>) дітей ГП. В ОГ «незадовільний» стан гігієни ПР був виявлений у 3 дітей (10</w:t>
      </w:r>
      <w:r w:rsidR="00611A5B" w:rsidRPr="00520861">
        <w:rPr>
          <w:sz w:val="28"/>
          <w:szCs w:val="28"/>
        </w:rPr>
        <w:t>%</w:t>
      </w:r>
      <w:r w:rsidRPr="00520861">
        <w:rPr>
          <w:sz w:val="28"/>
          <w:szCs w:val="28"/>
        </w:rPr>
        <w:t>), а в ГП – у 3 дітей (18,8</w:t>
      </w:r>
      <w:r w:rsidR="00611A5B" w:rsidRPr="00520861">
        <w:rPr>
          <w:sz w:val="28"/>
          <w:szCs w:val="28"/>
        </w:rPr>
        <w:t>%</w:t>
      </w:r>
      <w:r w:rsidRPr="00520861">
        <w:rPr>
          <w:sz w:val="28"/>
          <w:szCs w:val="28"/>
        </w:rPr>
        <w:t>).</w:t>
      </w:r>
    </w:p>
    <w:p w14:paraId="0C590DAC" w14:textId="77777777" w:rsidR="002E3CE8" w:rsidRPr="00520861" w:rsidRDefault="002E3CE8" w:rsidP="00292D2E">
      <w:pPr>
        <w:widowControl w:val="0"/>
        <w:tabs>
          <w:tab w:val="left" w:pos="5812"/>
        </w:tabs>
        <w:spacing w:line="360" w:lineRule="auto"/>
        <w:ind w:firstLine="709"/>
        <w:jc w:val="both"/>
        <w:rPr>
          <w:rFonts w:eastAsia="Calibri"/>
          <w:sz w:val="28"/>
          <w:szCs w:val="28"/>
        </w:rPr>
      </w:pPr>
      <w:r w:rsidRPr="00520861">
        <w:rPr>
          <w:rFonts w:eastAsia="Calibri"/>
          <w:sz w:val="28"/>
          <w:szCs w:val="28"/>
        </w:rPr>
        <w:t>У дітей ОГ поширеність карієсу була високою і становила 87</w:t>
      </w:r>
      <w:r w:rsidR="00611A5B" w:rsidRPr="00520861">
        <w:rPr>
          <w:rFonts w:eastAsia="Calibri"/>
          <w:sz w:val="28"/>
          <w:szCs w:val="28"/>
        </w:rPr>
        <w:t>%</w:t>
      </w:r>
      <w:r w:rsidRPr="00520861">
        <w:rPr>
          <w:rFonts w:eastAsia="Calibri"/>
          <w:sz w:val="28"/>
          <w:szCs w:val="28"/>
        </w:rPr>
        <w:t xml:space="preserve"> (ДІ: 73,5</w:t>
      </w:r>
      <w:r w:rsidR="00611A5B" w:rsidRPr="00520861">
        <w:rPr>
          <w:rFonts w:eastAsia="Calibri"/>
          <w:sz w:val="28"/>
          <w:szCs w:val="28"/>
        </w:rPr>
        <w:t>%</w:t>
      </w:r>
      <w:r w:rsidRPr="00520861">
        <w:rPr>
          <w:rFonts w:eastAsia="Calibri"/>
          <w:sz w:val="28"/>
          <w:szCs w:val="28"/>
        </w:rPr>
        <w:t xml:space="preserve"> – 94,4</w:t>
      </w:r>
      <w:r w:rsidR="00611A5B" w:rsidRPr="00520861">
        <w:rPr>
          <w:rFonts w:eastAsia="Calibri"/>
          <w:sz w:val="28"/>
          <w:szCs w:val="28"/>
        </w:rPr>
        <w:t>%</w:t>
      </w:r>
      <w:r w:rsidRPr="00520861">
        <w:rPr>
          <w:rFonts w:eastAsia="Calibri"/>
          <w:sz w:val="28"/>
          <w:szCs w:val="28"/>
        </w:rPr>
        <w:t>) порівняно з 69</w:t>
      </w:r>
      <w:r w:rsidR="00611A5B" w:rsidRPr="00520861">
        <w:rPr>
          <w:rFonts w:eastAsia="Calibri"/>
          <w:sz w:val="28"/>
          <w:szCs w:val="28"/>
        </w:rPr>
        <w:t>%</w:t>
      </w:r>
      <w:r w:rsidRPr="00520861">
        <w:rPr>
          <w:rFonts w:eastAsia="Calibri"/>
          <w:sz w:val="28"/>
          <w:szCs w:val="28"/>
        </w:rPr>
        <w:t xml:space="preserve"> (ДІ: 47,6</w:t>
      </w:r>
      <w:r w:rsidR="00611A5B" w:rsidRPr="00520861">
        <w:rPr>
          <w:rFonts w:eastAsia="Calibri"/>
          <w:sz w:val="28"/>
          <w:szCs w:val="28"/>
        </w:rPr>
        <w:t>%</w:t>
      </w:r>
      <w:r w:rsidRPr="00520861">
        <w:rPr>
          <w:rFonts w:eastAsia="Calibri"/>
          <w:sz w:val="28"/>
          <w:szCs w:val="28"/>
        </w:rPr>
        <w:t xml:space="preserve"> – 84,8</w:t>
      </w:r>
      <w:r w:rsidR="00611A5B" w:rsidRPr="00520861">
        <w:rPr>
          <w:rFonts w:eastAsia="Calibri"/>
          <w:sz w:val="28"/>
          <w:szCs w:val="28"/>
        </w:rPr>
        <w:t>%</w:t>
      </w:r>
      <w:r w:rsidRPr="00520861">
        <w:rPr>
          <w:rFonts w:eastAsia="Calibri"/>
          <w:sz w:val="28"/>
          <w:szCs w:val="28"/>
        </w:rPr>
        <w:t>) у ГП.</w:t>
      </w:r>
    </w:p>
    <w:p w14:paraId="4F6E44CB" w14:textId="77777777" w:rsidR="002E3CE8" w:rsidRPr="00520861" w:rsidRDefault="002E3CE8" w:rsidP="00292D2E">
      <w:pPr>
        <w:widowControl w:val="0"/>
        <w:spacing w:line="360" w:lineRule="auto"/>
        <w:ind w:firstLine="709"/>
        <w:jc w:val="both"/>
        <w:rPr>
          <w:rFonts w:eastAsia="Calibri"/>
          <w:sz w:val="28"/>
          <w:szCs w:val="28"/>
        </w:rPr>
      </w:pPr>
      <w:r w:rsidRPr="00520861">
        <w:rPr>
          <w:rFonts w:eastAsia="Calibri"/>
          <w:sz w:val="28"/>
          <w:szCs w:val="28"/>
        </w:rPr>
        <w:t xml:space="preserve">Із даних таблиці 6.4. видно, що середні значення індексу інтенсивності карієсу (КПВ + </w:t>
      </w:r>
      <w:proofErr w:type="spellStart"/>
      <w:r w:rsidRPr="00520861">
        <w:rPr>
          <w:rFonts w:eastAsia="Calibri"/>
          <w:sz w:val="28"/>
          <w:szCs w:val="28"/>
        </w:rPr>
        <w:t>кп</w:t>
      </w:r>
      <w:proofErr w:type="spellEnd"/>
      <w:r w:rsidRPr="00520861">
        <w:rPr>
          <w:rFonts w:eastAsia="Calibri"/>
          <w:sz w:val="28"/>
          <w:szCs w:val="28"/>
        </w:rPr>
        <w:t xml:space="preserve">) були вірогідно вищими для дітей ОГ загалом </w:t>
      </w:r>
      <w:r w:rsidRPr="00520861">
        <w:rPr>
          <w:rFonts w:eastAsia="Calibri"/>
          <w:sz w:val="28"/>
          <w:szCs w:val="28"/>
          <w:lang w:eastAsia="en-US"/>
        </w:rPr>
        <w:t xml:space="preserve">(див. наприклад рис. </w:t>
      </w:r>
      <w:r w:rsidRPr="00520861">
        <w:rPr>
          <w:rFonts w:eastAsia="Calibri"/>
          <w:sz w:val="28"/>
          <w:szCs w:val="28"/>
        </w:rPr>
        <w:t xml:space="preserve">6.3) та дітей із </w:t>
      </w:r>
      <w:r w:rsidRPr="00520861">
        <w:rPr>
          <w:rFonts w:eastAsia="Calibri"/>
          <w:sz w:val="28"/>
          <w:szCs w:val="28"/>
          <w:lang w:eastAsia="en-US"/>
        </w:rPr>
        <w:t>підгрупи 4</w:t>
      </w:r>
      <w:r w:rsidRPr="00520861">
        <w:rPr>
          <w:rFonts w:eastAsia="Calibri"/>
          <w:sz w:val="28"/>
          <w:szCs w:val="28"/>
        </w:rPr>
        <w:t xml:space="preserve"> порівняно з дітьми ГП. У дітей із </w:t>
      </w:r>
      <w:r w:rsidRPr="00520861">
        <w:rPr>
          <w:rFonts w:eastAsia="Calibri"/>
          <w:sz w:val="28"/>
          <w:szCs w:val="28"/>
          <w:lang w:eastAsia="en-US"/>
        </w:rPr>
        <w:t>підгруп 1</w:t>
      </w:r>
      <w:r w:rsidRPr="00520861">
        <w:rPr>
          <w:rFonts w:eastAsia="Calibri"/>
          <w:sz w:val="28"/>
          <w:szCs w:val="28"/>
        </w:rPr>
        <w:t xml:space="preserve"> та</w:t>
      </w:r>
      <w:r w:rsidRPr="00520861">
        <w:rPr>
          <w:rFonts w:eastAsia="Calibri"/>
          <w:sz w:val="28"/>
          <w:szCs w:val="28"/>
          <w:lang w:eastAsia="en-US"/>
        </w:rPr>
        <w:t xml:space="preserve"> 3</w:t>
      </w:r>
      <w:r w:rsidRPr="00520861">
        <w:rPr>
          <w:rFonts w:eastAsia="Calibri"/>
          <w:sz w:val="28"/>
          <w:szCs w:val="28"/>
        </w:rPr>
        <w:t xml:space="preserve"> в середньому також спостерігалися високі показники інтенсивності карієсу, що було зумовлено карієсом перших постійних молярів, проте різниця, порівняно з дітьми ГП, </w:t>
      </w:r>
      <w:r w:rsidRPr="00520861">
        <w:rPr>
          <w:rFonts w:eastAsia="Calibri"/>
          <w:sz w:val="28"/>
          <w:szCs w:val="28"/>
        </w:rPr>
        <w:br/>
        <w:t xml:space="preserve">не є вірогідною. </w:t>
      </w:r>
    </w:p>
    <w:p w14:paraId="5451FA42" w14:textId="77777777" w:rsidR="002E3CE8" w:rsidRPr="00520861" w:rsidRDefault="002E3CE8" w:rsidP="00292D2E">
      <w:pPr>
        <w:widowControl w:val="0"/>
        <w:spacing w:line="360" w:lineRule="auto"/>
        <w:ind w:firstLine="709"/>
        <w:jc w:val="both"/>
        <w:rPr>
          <w:rFonts w:eastAsia="Calibri"/>
          <w:sz w:val="28"/>
          <w:szCs w:val="28"/>
        </w:rPr>
      </w:pPr>
      <w:r w:rsidRPr="00520861">
        <w:rPr>
          <w:rFonts w:eastAsia="Calibri"/>
          <w:sz w:val="28"/>
          <w:szCs w:val="28"/>
        </w:rPr>
        <w:t xml:space="preserve">Середня швидкість секреції нестимульованої РР (табл. 6.5) у дітей ОГ була </w:t>
      </w:r>
      <w:r w:rsidRPr="00520861">
        <w:rPr>
          <w:rFonts w:eastAsia="Calibri"/>
          <w:sz w:val="28"/>
          <w:szCs w:val="28"/>
        </w:rPr>
        <w:br/>
        <w:t xml:space="preserve">нижчою, ніж у дітей ГП. Ця різниця є вірогідною для дітей </w:t>
      </w:r>
      <w:r w:rsidRPr="00520861">
        <w:rPr>
          <w:rFonts w:eastAsia="Calibri"/>
          <w:sz w:val="28"/>
          <w:szCs w:val="28"/>
          <w:lang w:eastAsia="en-US"/>
        </w:rPr>
        <w:t>підгрупи 3</w:t>
      </w:r>
      <w:r w:rsidRPr="00520861">
        <w:rPr>
          <w:rFonts w:eastAsia="Calibri"/>
          <w:sz w:val="28"/>
          <w:szCs w:val="28"/>
        </w:rPr>
        <w:t xml:space="preserve"> та </w:t>
      </w:r>
      <w:r w:rsidRPr="00520861">
        <w:rPr>
          <w:rFonts w:eastAsia="Calibri"/>
          <w:sz w:val="28"/>
          <w:szCs w:val="28"/>
          <w:lang w:eastAsia="en-US"/>
        </w:rPr>
        <w:t>підгрупи 4</w:t>
      </w:r>
      <w:r w:rsidRPr="00520861">
        <w:rPr>
          <w:rFonts w:eastAsia="Calibri"/>
          <w:sz w:val="28"/>
          <w:szCs w:val="28"/>
        </w:rPr>
        <w:t xml:space="preserve">. </w:t>
      </w:r>
    </w:p>
    <w:p w14:paraId="67FA9FFF" w14:textId="77777777" w:rsidR="002E3CE8" w:rsidRPr="00520861" w:rsidRDefault="002E3CE8" w:rsidP="00292D2E">
      <w:pPr>
        <w:widowControl w:val="0"/>
        <w:tabs>
          <w:tab w:val="left" w:pos="5812"/>
        </w:tabs>
        <w:spacing w:line="360" w:lineRule="auto"/>
        <w:ind w:right="-1" w:firstLine="851"/>
        <w:jc w:val="both"/>
        <w:rPr>
          <w:rFonts w:eastAsia="Calibri"/>
          <w:sz w:val="28"/>
          <w:szCs w:val="28"/>
        </w:rPr>
      </w:pPr>
      <w:r w:rsidRPr="00520861">
        <w:rPr>
          <w:rFonts w:eastAsia="Calibri"/>
          <w:noProof/>
          <w:sz w:val="28"/>
          <w:szCs w:val="28"/>
          <w:lang w:val="ru-RU"/>
        </w:rPr>
        <w:drawing>
          <wp:anchor distT="0" distB="0" distL="114300" distR="114300" simplePos="0" relativeHeight="251662336" behindDoc="0" locked="0" layoutInCell="1" allowOverlap="1" wp14:anchorId="1C168156" wp14:editId="266C7DC3">
            <wp:simplePos x="0" y="0"/>
            <wp:positionH relativeFrom="margin">
              <wp:posOffset>85090</wp:posOffset>
            </wp:positionH>
            <wp:positionV relativeFrom="paragraph">
              <wp:posOffset>1174750</wp:posOffset>
            </wp:positionV>
            <wp:extent cx="3181985" cy="2372360"/>
            <wp:effectExtent l="0" t="0" r="0" b="8890"/>
            <wp:wrapTopAndBottom/>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181985" cy="2372360"/>
                    </a:xfrm>
                    <a:prstGeom prst="rect">
                      <a:avLst/>
                    </a:prstGeom>
                    <a:noFill/>
                  </pic:spPr>
                </pic:pic>
              </a:graphicData>
            </a:graphic>
            <wp14:sizeRelH relativeFrom="margin">
              <wp14:pctWidth>0</wp14:pctWidth>
            </wp14:sizeRelH>
            <wp14:sizeRelV relativeFrom="margin">
              <wp14:pctHeight>0</wp14:pctHeight>
            </wp14:sizeRelV>
          </wp:anchor>
        </w:drawing>
      </w:r>
      <w:r w:rsidRPr="00520861">
        <w:rPr>
          <w:rFonts w:eastAsia="Calibri"/>
          <w:noProof/>
          <w:sz w:val="28"/>
          <w:szCs w:val="28"/>
          <w:lang w:val="ru-RU"/>
        </w:rPr>
        <w:drawing>
          <wp:anchor distT="0" distB="0" distL="114300" distR="114300" simplePos="0" relativeHeight="251661312" behindDoc="0" locked="0" layoutInCell="1" allowOverlap="1" wp14:anchorId="2B215A30" wp14:editId="398DADB1">
            <wp:simplePos x="0" y="0"/>
            <wp:positionH relativeFrom="margin">
              <wp:align>right</wp:align>
            </wp:positionH>
            <wp:positionV relativeFrom="paragraph">
              <wp:posOffset>1172845</wp:posOffset>
            </wp:positionV>
            <wp:extent cx="3170555" cy="2381885"/>
            <wp:effectExtent l="0" t="0" r="0" b="0"/>
            <wp:wrapTopAndBottom/>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170555" cy="2381885"/>
                    </a:xfrm>
                    <a:prstGeom prst="rect">
                      <a:avLst/>
                    </a:prstGeom>
                    <a:noFill/>
                  </pic:spPr>
                </pic:pic>
              </a:graphicData>
            </a:graphic>
            <wp14:sizeRelH relativeFrom="margin">
              <wp14:pctWidth>0</wp14:pctWidth>
            </wp14:sizeRelH>
            <wp14:sizeRelV relativeFrom="margin">
              <wp14:pctHeight>0</wp14:pctHeight>
            </wp14:sizeRelV>
          </wp:anchor>
        </w:drawing>
      </w:r>
      <w:r w:rsidRPr="00520861">
        <w:rPr>
          <w:rFonts w:eastAsia="Calibri"/>
          <w:sz w:val="28"/>
          <w:szCs w:val="28"/>
        </w:rPr>
        <w:t xml:space="preserve">Дані, наведені в таблиці 6.5 свідчать, що діти ОГ, коли їм виповнюється 7 – 11 років, мають зменшену кількість малих слинних залоз на одиницю площі. Середня кількість секреції малої слинної залози також нижча у дітей ОГ загалом і у дітей </w:t>
      </w:r>
      <w:r w:rsidRPr="00520861">
        <w:rPr>
          <w:rFonts w:eastAsia="Calibri"/>
          <w:sz w:val="28"/>
          <w:szCs w:val="28"/>
          <w:lang w:eastAsia="en-US"/>
        </w:rPr>
        <w:t>підгруп 1</w:t>
      </w:r>
      <w:r w:rsidRPr="00520861">
        <w:rPr>
          <w:rFonts w:eastAsia="Calibri"/>
          <w:sz w:val="28"/>
          <w:szCs w:val="28"/>
        </w:rPr>
        <w:t xml:space="preserve">, </w:t>
      </w:r>
      <w:r w:rsidRPr="00520861">
        <w:rPr>
          <w:rFonts w:eastAsia="Calibri"/>
          <w:sz w:val="28"/>
          <w:szCs w:val="28"/>
          <w:lang w:eastAsia="en-US"/>
        </w:rPr>
        <w:t>3</w:t>
      </w:r>
      <w:r w:rsidRPr="00520861">
        <w:rPr>
          <w:rFonts w:eastAsia="Calibri"/>
          <w:sz w:val="28"/>
          <w:szCs w:val="28"/>
        </w:rPr>
        <w:t xml:space="preserve"> та</w:t>
      </w:r>
      <w:r w:rsidRPr="00520861">
        <w:rPr>
          <w:rFonts w:eastAsia="Calibri"/>
          <w:sz w:val="28"/>
          <w:szCs w:val="28"/>
          <w:lang w:eastAsia="en-US"/>
        </w:rPr>
        <w:t xml:space="preserve"> 4</w:t>
      </w:r>
      <w:r w:rsidRPr="00520861">
        <w:rPr>
          <w:rFonts w:eastAsia="Calibri"/>
          <w:sz w:val="28"/>
          <w:szCs w:val="28"/>
        </w:rPr>
        <w:t xml:space="preserve"> порівняно з такою у дітей ГП.</w:t>
      </w:r>
    </w:p>
    <w:tbl>
      <w:tblPr>
        <w:tblStyle w:val="720"/>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0"/>
        <w:gridCol w:w="5671"/>
      </w:tblGrid>
      <w:tr w:rsidR="002E3CE8" w:rsidRPr="00520861" w14:paraId="3C13FE7B" w14:textId="77777777" w:rsidTr="00292D2E">
        <w:tc>
          <w:tcPr>
            <w:tcW w:w="4110" w:type="dxa"/>
          </w:tcPr>
          <w:p w14:paraId="14D8FAAB" w14:textId="77777777" w:rsidR="002E3CE8" w:rsidRPr="00520861" w:rsidRDefault="002E3CE8" w:rsidP="00292D2E">
            <w:pPr>
              <w:widowControl w:val="0"/>
              <w:ind w:left="-113"/>
              <w:jc w:val="center"/>
              <w:rPr>
                <w:rFonts w:eastAsia="Calibri" w:cs="Times New Roman"/>
                <w:bCs/>
                <w:i/>
                <w:iCs/>
                <w:sz w:val="28"/>
                <w:szCs w:val="28"/>
              </w:rPr>
            </w:pPr>
            <w:r w:rsidRPr="00520861">
              <w:rPr>
                <w:rFonts w:eastAsia="Calibri" w:cs="Times New Roman"/>
                <w:bCs/>
                <w:i/>
                <w:iCs/>
                <w:sz w:val="28"/>
                <w:szCs w:val="28"/>
              </w:rPr>
              <w:t>а</w:t>
            </w:r>
            <w:r w:rsidR="00437AC5" w:rsidRPr="00520861">
              <w:rPr>
                <w:rFonts w:eastAsia="Calibri" w:cs="Times New Roman"/>
                <w:bCs/>
                <w:iCs/>
                <w:sz w:val="28"/>
                <w:szCs w:val="28"/>
              </w:rPr>
              <w:t>)</w:t>
            </w:r>
          </w:p>
        </w:tc>
        <w:tc>
          <w:tcPr>
            <w:tcW w:w="5671" w:type="dxa"/>
          </w:tcPr>
          <w:p w14:paraId="63151D5A" w14:textId="77777777" w:rsidR="002E3CE8" w:rsidRPr="00520861" w:rsidRDefault="002E3CE8" w:rsidP="00292D2E">
            <w:pPr>
              <w:widowControl w:val="0"/>
              <w:ind w:left="-105"/>
              <w:jc w:val="center"/>
              <w:rPr>
                <w:rFonts w:eastAsia="Calibri" w:cs="Times New Roman"/>
                <w:i/>
                <w:sz w:val="28"/>
                <w:szCs w:val="28"/>
              </w:rPr>
            </w:pPr>
            <w:r w:rsidRPr="00520861">
              <w:rPr>
                <w:rFonts w:eastAsia="Calibri" w:cs="Times New Roman"/>
                <w:i/>
                <w:sz w:val="28"/>
                <w:szCs w:val="28"/>
              </w:rPr>
              <w:t>б</w:t>
            </w:r>
            <w:r w:rsidR="00437AC5" w:rsidRPr="00520861">
              <w:rPr>
                <w:rFonts w:eastAsia="Calibri" w:cs="Times New Roman"/>
                <w:sz w:val="28"/>
                <w:szCs w:val="28"/>
              </w:rPr>
              <w:t>)</w:t>
            </w:r>
          </w:p>
        </w:tc>
      </w:tr>
    </w:tbl>
    <w:p w14:paraId="66168707" w14:textId="77777777" w:rsidR="002E3CE8" w:rsidRPr="00520861" w:rsidRDefault="002E3CE8" w:rsidP="00292D2E">
      <w:pPr>
        <w:widowControl w:val="0"/>
        <w:spacing w:line="360" w:lineRule="auto"/>
        <w:ind w:firstLine="709"/>
        <w:jc w:val="center"/>
        <w:rPr>
          <w:rFonts w:eastAsia="Calibri"/>
          <w:sz w:val="28"/>
          <w:szCs w:val="28"/>
        </w:rPr>
      </w:pPr>
      <w:r w:rsidRPr="00520861">
        <w:rPr>
          <w:rFonts w:eastAsia="Calibri"/>
          <w:sz w:val="28"/>
          <w:szCs w:val="28"/>
        </w:rPr>
        <w:t>Рис 6.3. Фото порожнини рота дитини Р. (хлопець)</w:t>
      </w:r>
      <w:r w:rsidRPr="00520861">
        <w:rPr>
          <w:bCs/>
          <w:iCs/>
          <w:spacing w:val="-4"/>
          <w:sz w:val="28"/>
          <w:szCs w:val="28"/>
        </w:rPr>
        <w:t xml:space="preserve"> у віці 17 років,</w:t>
      </w:r>
      <w:r w:rsidRPr="00520861">
        <w:rPr>
          <w:rFonts w:eastAsia="Calibri"/>
          <w:sz w:val="28"/>
          <w:szCs w:val="28"/>
        </w:rPr>
        <w:t xml:space="preserve"> </w:t>
      </w:r>
      <w:r w:rsidRPr="00520861">
        <w:rPr>
          <w:sz w:val="28"/>
          <w:szCs w:val="28"/>
        </w:rPr>
        <w:t>амб. карта № 180627</w:t>
      </w:r>
      <w:r w:rsidRPr="00520861">
        <w:rPr>
          <w:rFonts w:eastAsia="Calibri"/>
          <w:sz w:val="28"/>
          <w:szCs w:val="28"/>
        </w:rPr>
        <w:t xml:space="preserve">, </w:t>
      </w:r>
      <w:r w:rsidRPr="00520861">
        <w:rPr>
          <w:rFonts w:eastAsia="Calibri"/>
          <w:sz w:val="28"/>
          <w:szCs w:val="28"/>
          <w:lang w:eastAsia="en-US"/>
        </w:rPr>
        <w:t>підгрупа 2</w:t>
      </w:r>
      <w:r w:rsidRPr="00520861">
        <w:rPr>
          <w:rFonts w:eastAsia="Calibri"/>
          <w:sz w:val="28"/>
          <w:szCs w:val="28"/>
        </w:rPr>
        <w:t xml:space="preserve">: а) карієс тимчасових 55 і 65 та постійних 11, 21, 16 і 26 зубів, </w:t>
      </w:r>
    </w:p>
    <w:p w14:paraId="0947094A" w14:textId="77777777" w:rsidR="002E3CE8" w:rsidRPr="00520861" w:rsidRDefault="002E3CE8" w:rsidP="00292D2E">
      <w:pPr>
        <w:widowControl w:val="0"/>
        <w:spacing w:line="360" w:lineRule="auto"/>
        <w:ind w:firstLine="709"/>
        <w:jc w:val="center"/>
        <w:rPr>
          <w:rFonts w:eastAsia="Calibri"/>
          <w:sz w:val="28"/>
          <w:szCs w:val="28"/>
        </w:rPr>
      </w:pPr>
      <w:r w:rsidRPr="00520861">
        <w:rPr>
          <w:rFonts w:eastAsia="Calibri"/>
          <w:sz w:val="28"/>
          <w:szCs w:val="28"/>
        </w:rPr>
        <w:t xml:space="preserve">б) </w:t>
      </w:r>
      <w:r w:rsidRPr="00520861">
        <w:rPr>
          <w:rFonts w:eastAsia="Calibri"/>
          <w:bCs/>
          <w:iCs/>
          <w:sz w:val="28"/>
          <w:szCs w:val="28"/>
        </w:rPr>
        <w:t xml:space="preserve">IІ вид вуздечки верхньої губи (за класифікацією </w:t>
      </w:r>
      <w:proofErr w:type="spellStart"/>
      <w:r w:rsidRPr="00520861">
        <w:rPr>
          <w:rFonts w:eastAsia="Calibri"/>
          <w:bCs/>
          <w:iCs/>
          <w:sz w:val="28"/>
          <w:szCs w:val="28"/>
        </w:rPr>
        <w:t>Хорошилкіної</w:t>
      </w:r>
      <w:proofErr w:type="spellEnd"/>
      <w:r w:rsidRPr="00520861">
        <w:rPr>
          <w:rFonts w:eastAsia="Calibri"/>
          <w:bCs/>
          <w:iCs/>
          <w:sz w:val="28"/>
          <w:szCs w:val="28"/>
        </w:rPr>
        <w:t xml:space="preserve"> Ф.Я.), </w:t>
      </w:r>
      <w:r w:rsidRPr="00520861">
        <w:rPr>
          <w:rFonts w:eastAsia="Calibri"/>
          <w:sz w:val="28"/>
          <w:szCs w:val="28"/>
        </w:rPr>
        <w:t xml:space="preserve">аномалія ІІ-го класу 2-го підкласу за </w:t>
      </w:r>
      <w:proofErr w:type="spellStart"/>
      <w:r w:rsidRPr="00520861">
        <w:rPr>
          <w:rFonts w:eastAsia="Calibri"/>
          <w:sz w:val="28"/>
          <w:szCs w:val="28"/>
        </w:rPr>
        <w:t>Енглем</w:t>
      </w:r>
      <w:proofErr w:type="spellEnd"/>
      <w:r w:rsidRPr="00520861">
        <w:rPr>
          <w:rFonts w:eastAsia="Calibri"/>
          <w:sz w:val="28"/>
          <w:szCs w:val="28"/>
        </w:rPr>
        <w:t xml:space="preserve"> обтяжена глибоким прикусом, звуженням і вкороченням верхнього та нижнього зубних рядів, піднебінним положенням </w:t>
      </w:r>
      <w:r w:rsidRPr="00520861">
        <w:rPr>
          <w:rFonts w:eastAsia="Calibri"/>
          <w:sz w:val="28"/>
          <w:szCs w:val="28"/>
        </w:rPr>
        <w:br/>
        <w:t xml:space="preserve">11, 21 зубів, </w:t>
      </w:r>
      <w:r w:rsidRPr="00520861">
        <w:rPr>
          <w:sz w:val="28"/>
          <w:szCs w:val="28"/>
        </w:rPr>
        <w:t>вестибулярним положенням 12, 22 зубів</w:t>
      </w:r>
      <w:r w:rsidRPr="00520861">
        <w:rPr>
          <w:rFonts w:eastAsia="Calibri"/>
          <w:sz w:val="28"/>
          <w:szCs w:val="28"/>
        </w:rPr>
        <w:t>.</w:t>
      </w:r>
    </w:p>
    <w:p w14:paraId="053C0506" w14:textId="77777777" w:rsidR="002E3CE8" w:rsidRPr="00520861" w:rsidRDefault="002E3CE8" w:rsidP="00292D2E">
      <w:pPr>
        <w:widowControl w:val="0"/>
        <w:spacing w:line="360" w:lineRule="auto"/>
        <w:ind w:left="720"/>
        <w:contextualSpacing/>
        <w:jc w:val="right"/>
        <w:rPr>
          <w:rFonts w:eastAsia="Calibri"/>
          <w:i/>
          <w:sz w:val="28"/>
          <w:szCs w:val="28"/>
          <w:lang w:eastAsia="en-US"/>
        </w:rPr>
      </w:pPr>
      <w:r w:rsidRPr="00520861">
        <w:rPr>
          <w:rFonts w:eastAsia="Calibri"/>
          <w:i/>
          <w:sz w:val="28"/>
          <w:szCs w:val="28"/>
          <w:lang w:eastAsia="en-US"/>
        </w:rPr>
        <w:lastRenderedPageBreak/>
        <w:t>Таблиця. 6.4</w:t>
      </w:r>
    </w:p>
    <w:p w14:paraId="6A995FF0" w14:textId="77777777" w:rsidR="002E3CE8" w:rsidRPr="00520861" w:rsidRDefault="002E3CE8" w:rsidP="00292D2E">
      <w:pPr>
        <w:widowControl w:val="0"/>
        <w:spacing w:line="360" w:lineRule="auto"/>
        <w:ind w:firstLine="709"/>
        <w:contextualSpacing/>
        <w:jc w:val="center"/>
        <w:rPr>
          <w:rFonts w:eastAsia="Calibri"/>
          <w:b/>
          <w:sz w:val="28"/>
          <w:szCs w:val="28"/>
          <w:lang w:eastAsia="en-US"/>
        </w:rPr>
      </w:pPr>
      <w:r w:rsidRPr="00520861">
        <w:rPr>
          <w:rFonts w:eastAsia="Calibri"/>
          <w:b/>
          <w:sz w:val="28"/>
          <w:szCs w:val="28"/>
        </w:rPr>
        <w:t xml:space="preserve">Значення КПВ + </w:t>
      </w:r>
      <w:proofErr w:type="spellStart"/>
      <w:r w:rsidRPr="00520861">
        <w:rPr>
          <w:rFonts w:eastAsia="Calibri"/>
          <w:b/>
          <w:sz w:val="28"/>
          <w:szCs w:val="28"/>
        </w:rPr>
        <w:t>кп</w:t>
      </w:r>
      <w:proofErr w:type="spellEnd"/>
      <w:r w:rsidRPr="00520861">
        <w:rPr>
          <w:rFonts w:eastAsia="Calibri"/>
          <w:b/>
          <w:sz w:val="28"/>
          <w:szCs w:val="28"/>
        </w:rPr>
        <w:t xml:space="preserve"> та індексу найвищої інтенсивності карієсу (НІК) </w:t>
      </w:r>
      <w:r w:rsidRPr="00520861">
        <w:rPr>
          <w:rFonts w:eastAsia="Calibri"/>
          <w:b/>
          <w:sz w:val="28"/>
          <w:szCs w:val="28"/>
        </w:rPr>
        <w:br/>
      </w:r>
      <w:r w:rsidRPr="00520861">
        <w:rPr>
          <w:rFonts w:eastAsia="Calibri"/>
          <w:b/>
          <w:sz w:val="28"/>
          <w:szCs w:val="28"/>
          <w:lang w:eastAsia="en-US"/>
        </w:rPr>
        <w:t>учасників дослідження віком 7 – 11 років (</w:t>
      </w:r>
      <w:r w:rsidRPr="00520861">
        <w:rPr>
          <w:b/>
          <w:bCs/>
          <w:sz w:val="28"/>
          <w:szCs w:val="28"/>
          <w:shd w:val="clear" w:color="auto" w:fill="FFFFFF"/>
        </w:rPr>
        <w:t>ВП-І</w:t>
      </w:r>
      <w:r w:rsidRPr="00520861">
        <w:rPr>
          <w:b/>
          <w:bCs/>
          <w:sz w:val="28"/>
          <w:szCs w:val="28"/>
          <w:shd w:val="clear" w:color="auto" w:fill="FFFFFF"/>
          <w:lang w:val="en-US"/>
        </w:rPr>
        <w:t>V</w:t>
      </w:r>
      <w:r w:rsidRPr="00520861">
        <w:rPr>
          <w:b/>
          <w:bCs/>
          <w:sz w:val="28"/>
          <w:szCs w:val="28"/>
          <w:shd w:val="clear" w:color="auto" w:fill="FFFFFF"/>
        </w:rPr>
        <w:t>)</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766"/>
        <w:gridCol w:w="1701"/>
        <w:gridCol w:w="1453"/>
        <w:gridCol w:w="1453"/>
        <w:gridCol w:w="1453"/>
        <w:gridCol w:w="1453"/>
      </w:tblGrid>
      <w:tr w:rsidR="002E3CE8" w:rsidRPr="00520861" w14:paraId="3B0DFABC" w14:textId="77777777" w:rsidTr="00292D2E">
        <w:trPr>
          <w:trHeight w:val="356"/>
          <w:jc w:val="center"/>
        </w:trPr>
        <w:tc>
          <w:tcPr>
            <w:tcW w:w="1639" w:type="dxa"/>
          </w:tcPr>
          <w:p w14:paraId="19027333" w14:textId="77777777" w:rsidR="002E3CE8" w:rsidRPr="00520861" w:rsidRDefault="002E3CE8" w:rsidP="00292D2E">
            <w:pPr>
              <w:widowControl w:val="0"/>
              <w:spacing w:line="360" w:lineRule="auto"/>
              <w:ind w:firstLine="29"/>
              <w:jc w:val="center"/>
              <w:rPr>
                <w:rFonts w:eastAsia="Calibri"/>
                <w:sz w:val="28"/>
                <w:szCs w:val="28"/>
              </w:rPr>
            </w:pPr>
            <w:r w:rsidRPr="00520861">
              <w:rPr>
                <w:rFonts w:eastAsia="Calibri"/>
                <w:sz w:val="28"/>
                <w:szCs w:val="28"/>
              </w:rPr>
              <w:t>Показники</w:t>
            </w:r>
          </w:p>
        </w:tc>
        <w:tc>
          <w:tcPr>
            <w:tcW w:w="766" w:type="dxa"/>
          </w:tcPr>
          <w:p w14:paraId="0E0A2C6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ГП</w:t>
            </w:r>
          </w:p>
        </w:tc>
        <w:tc>
          <w:tcPr>
            <w:tcW w:w="1701" w:type="dxa"/>
          </w:tcPr>
          <w:p w14:paraId="3756C3E3"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ОГ</w:t>
            </w:r>
          </w:p>
        </w:tc>
        <w:tc>
          <w:tcPr>
            <w:tcW w:w="1453" w:type="dxa"/>
          </w:tcPr>
          <w:p w14:paraId="16A5AC17"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1</w:t>
            </w:r>
          </w:p>
        </w:tc>
        <w:tc>
          <w:tcPr>
            <w:tcW w:w="1453" w:type="dxa"/>
          </w:tcPr>
          <w:p w14:paraId="6CC7B2EA"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2</w:t>
            </w:r>
          </w:p>
        </w:tc>
        <w:tc>
          <w:tcPr>
            <w:tcW w:w="1453" w:type="dxa"/>
          </w:tcPr>
          <w:p w14:paraId="44279C91"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3</w:t>
            </w:r>
          </w:p>
        </w:tc>
        <w:tc>
          <w:tcPr>
            <w:tcW w:w="1453" w:type="dxa"/>
          </w:tcPr>
          <w:p w14:paraId="3EAE2D55"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4</w:t>
            </w:r>
          </w:p>
        </w:tc>
      </w:tr>
      <w:tr w:rsidR="002E3CE8" w:rsidRPr="00520861" w14:paraId="77001B91" w14:textId="77777777" w:rsidTr="00292D2E">
        <w:trPr>
          <w:jc w:val="center"/>
        </w:trPr>
        <w:tc>
          <w:tcPr>
            <w:tcW w:w="1639" w:type="dxa"/>
          </w:tcPr>
          <w:p w14:paraId="2258C48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 xml:space="preserve">КПВ + </w:t>
            </w:r>
            <w:proofErr w:type="spellStart"/>
            <w:r w:rsidRPr="00520861">
              <w:rPr>
                <w:rFonts w:eastAsia="Calibri"/>
                <w:sz w:val="28"/>
                <w:szCs w:val="28"/>
              </w:rPr>
              <w:t>кп</w:t>
            </w:r>
            <w:proofErr w:type="spellEnd"/>
            <w:r w:rsidRPr="00520861">
              <w:rPr>
                <w:rFonts w:eastAsia="Calibri"/>
                <w:sz w:val="28"/>
                <w:szCs w:val="28"/>
              </w:rPr>
              <w:t xml:space="preserve"> </w:t>
            </w:r>
          </w:p>
        </w:tc>
        <w:tc>
          <w:tcPr>
            <w:tcW w:w="766" w:type="dxa"/>
          </w:tcPr>
          <w:p w14:paraId="42776A45"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2,7</w:t>
            </w:r>
          </w:p>
        </w:tc>
        <w:tc>
          <w:tcPr>
            <w:tcW w:w="1701" w:type="dxa"/>
          </w:tcPr>
          <w:p w14:paraId="7A34B7FF" w14:textId="77777777" w:rsidR="002E3CE8" w:rsidRPr="00520861" w:rsidRDefault="002E3CE8" w:rsidP="00292D2E">
            <w:pPr>
              <w:widowControl w:val="0"/>
              <w:spacing w:line="360" w:lineRule="auto"/>
              <w:jc w:val="center"/>
              <w:rPr>
                <w:rFonts w:eastAsia="Calibri"/>
                <w:sz w:val="28"/>
                <w:szCs w:val="28"/>
                <w:lang w:val="ru-RU"/>
              </w:rPr>
            </w:pPr>
            <w:r w:rsidRPr="00520861">
              <w:rPr>
                <w:rFonts w:eastAsia="Calibri"/>
                <w:sz w:val="28"/>
                <w:szCs w:val="28"/>
              </w:rPr>
              <w:t>5</w:t>
            </w:r>
            <w:r w:rsidRPr="00520861">
              <w:rPr>
                <w:rFonts w:eastAsia="Calibri"/>
                <w:sz w:val="28"/>
                <w:szCs w:val="28"/>
                <w:lang w:val="ru-RU"/>
              </w:rPr>
              <w:t>,13</w:t>
            </w:r>
            <w:r w:rsidRPr="00520861">
              <w:rPr>
                <w:rFonts w:eastAsia="Calibri"/>
                <w:sz w:val="28"/>
                <w:szCs w:val="28"/>
              </w:rPr>
              <w:t>* (</w:t>
            </w:r>
            <w:r w:rsidRPr="00520861">
              <w:rPr>
                <w:rFonts w:eastAsia="Calibri"/>
                <w:i/>
                <w:sz w:val="28"/>
                <w:szCs w:val="28"/>
              </w:rPr>
              <w:t>p</w:t>
            </w:r>
            <w:r w:rsidRPr="00520861">
              <w:rPr>
                <w:rFonts w:eastAsia="Calibri"/>
                <w:sz w:val="28"/>
                <w:szCs w:val="28"/>
              </w:rPr>
              <w:t>=0,03377)</w:t>
            </w:r>
          </w:p>
        </w:tc>
        <w:tc>
          <w:tcPr>
            <w:tcW w:w="1453" w:type="dxa"/>
          </w:tcPr>
          <w:p w14:paraId="5383B72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5,0</w:t>
            </w:r>
          </w:p>
        </w:tc>
        <w:tc>
          <w:tcPr>
            <w:tcW w:w="1453" w:type="dxa"/>
          </w:tcPr>
          <w:p w14:paraId="7F166DBE" w14:textId="77777777" w:rsidR="002E3CE8" w:rsidRPr="00520861" w:rsidRDefault="002E3CE8" w:rsidP="00292D2E">
            <w:pPr>
              <w:widowControl w:val="0"/>
              <w:spacing w:line="360" w:lineRule="auto"/>
              <w:ind w:firstLine="34"/>
              <w:jc w:val="center"/>
              <w:rPr>
                <w:rFonts w:eastAsia="Calibri"/>
                <w:sz w:val="28"/>
                <w:szCs w:val="28"/>
              </w:rPr>
            </w:pPr>
            <w:r w:rsidRPr="00520861">
              <w:rPr>
                <w:rFonts w:eastAsia="Calibri"/>
                <w:sz w:val="28"/>
                <w:szCs w:val="28"/>
              </w:rPr>
              <w:t>3,0</w:t>
            </w:r>
          </w:p>
        </w:tc>
        <w:tc>
          <w:tcPr>
            <w:tcW w:w="1453" w:type="dxa"/>
          </w:tcPr>
          <w:p w14:paraId="1A7D07AA"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6,0</w:t>
            </w:r>
          </w:p>
        </w:tc>
        <w:tc>
          <w:tcPr>
            <w:tcW w:w="1453" w:type="dxa"/>
          </w:tcPr>
          <w:p w14:paraId="499BBF20" w14:textId="77777777" w:rsidR="002E3CE8" w:rsidRPr="00520861" w:rsidRDefault="002E3CE8" w:rsidP="00292D2E">
            <w:pPr>
              <w:widowControl w:val="0"/>
              <w:spacing w:line="360" w:lineRule="auto"/>
              <w:ind w:left="-215" w:right="-112"/>
              <w:jc w:val="center"/>
              <w:rPr>
                <w:rFonts w:eastAsia="Calibri"/>
                <w:sz w:val="28"/>
                <w:szCs w:val="28"/>
              </w:rPr>
            </w:pPr>
            <w:r w:rsidRPr="00520861">
              <w:rPr>
                <w:rFonts w:eastAsia="Calibri"/>
                <w:sz w:val="28"/>
                <w:szCs w:val="28"/>
              </w:rPr>
              <w:t>6,8* (</w:t>
            </w:r>
            <w:r w:rsidRPr="00520861">
              <w:rPr>
                <w:rFonts w:eastAsia="Calibri"/>
                <w:i/>
                <w:sz w:val="28"/>
                <w:szCs w:val="28"/>
              </w:rPr>
              <w:t>p</w:t>
            </w:r>
            <w:r w:rsidRPr="00520861">
              <w:rPr>
                <w:rFonts w:eastAsia="Calibri"/>
                <w:sz w:val="28"/>
                <w:szCs w:val="28"/>
              </w:rPr>
              <w:t>=0,04347)</w:t>
            </w:r>
          </w:p>
        </w:tc>
      </w:tr>
      <w:tr w:rsidR="002E3CE8" w:rsidRPr="00520861" w14:paraId="663125DD" w14:textId="77777777" w:rsidTr="00292D2E">
        <w:trPr>
          <w:jc w:val="center"/>
        </w:trPr>
        <w:tc>
          <w:tcPr>
            <w:tcW w:w="1639" w:type="dxa"/>
          </w:tcPr>
          <w:p w14:paraId="5A2E8DEC"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НІК</w:t>
            </w:r>
          </w:p>
        </w:tc>
        <w:tc>
          <w:tcPr>
            <w:tcW w:w="766" w:type="dxa"/>
          </w:tcPr>
          <w:p w14:paraId="4707878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4,8</w:t>
            </w:r>
          </w:p>
        </w:tc>
        <w:tc>
          <w:tcPr>
            <w:tcW w:w="1701" w:type="dxa"/>
          </w:tcPr>
          <w:p w14:paraId="06E62181"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8,5</w:t>
            </w:r>
          </w:p>
        </w:tc>
        <w:tc>
          <w:tcPr>
            <w:tcW w:w="1453" w:type="dxa"/>
          </w:tcPr>
          <w:p w14:paraId="45A009D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8,3</w:t>
            </w:r>
          </w:p>
        </w:tc>
        <w:tc>
          <w:tcPr>
            <w:tcW w:w="1453" w:type="dxa"/>
          </w:tcPr>
          <w:p w14:paraId="27A62485" w14:textId="77777777" w:rsidR="002E3CE8" w:rsidRPr="00520861" w:rsidRDefault="002E3CE8" w:rsidP="00292D2E">
            <w:pPr>
              <w:widowControl w:val="0"/>
              <w:spacing w:line="360" w:lineRule="auto"/>
              <w:ind w:firstLine="34"/>
              <w:jc w:val="center"/>
              <w:rPr>
                <w:rFonts w:eastAsia="Calibri"/>
                <w:sz w:val="28"/>
                <w:szCs w:val="28"/>
              </w:rPr>
            </w:pPr>
            <w:r w:rsidRPr="00520861">
              <w:rPr>
                <w:rFonts w:eastAsia="Calibri"/>
                <w:sz w:val="28"/>
                <w:szCs w:val="28"/>
              </w:rPr>
              <w:t>5,5</w:t>
            </w:r>
          </w:p>
        </w:tc>
        <w:tc>
          <w:tcPr>
            <w:tcW w:w="1453" w:type="dxa"/>
          </w:tcPr>
          <w:p w14:paraId="2BD3CAA0"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12,5</w:t>
            </w:r>
          </w:p>
        </w:tc>
        <w:tc>
          <w:tcPr>
            <w:tcW w:w="1453" w:type="dxa"/>
          </w:tcPr>
          <w:p w14:paraId="77111A76"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10,0</w:t>
            </w:r>
          </w:p>
        </w:tc>
      </w:tr>
    </w:tbl>
    <w:p w14:paraId="06867903" w14:textId="77777777" w:rsidR="002E3CE8" w:rsidRPr="00520861" w:rsidRDefault="002E3CE8" w:rsidP="00292D2E">
      <w:pPr>
        <w:widowControl w:val="0"/>
        <w:spacing w:line="360" w:lineRule="auto"/>
        <w:ind w:firstLine="708"/>
        <w:contextualSpacing/>
        <w:jc w:val="both"/>
        <w:rPr>
          <w:spacing w:val="-4"/>
          <w:sz w:val="28"/>
          <w:szCs w:val="28"/>
        </w:rPr>
      </w:pPr>
      <w:r w:rsidRPr="00520861">
        <w:rPr>
          <w:spacing w:val="-4"/>
          <w:sz w:val="28"/>
          <w:szCs w:val="28"/>
        </w:rPr>
        <w:t xml:space="preserve">Примітка: * – різниця між ОГ (підгрупою) і ГП (обчислювалася для індексів </w:t>
      </w:r>
      <w:r w:rsidRPr="00520861">
        <w:rPr>
          <w:rFonts w:eastAsia="Calibri"/>
          <w:spacing w:val="-4"/>
          <w:sz w:val="28"/>
          <w:szCs w:val="28"/>
        </w:rPr>
        <w:t xml:space="preserve">КПВ + </w:t>
      </w:r>
      <w:proofErr w:type="spellStart"/>
      <w:r w:rsidRPr="00520861">
        <w:rPr>
          <w:rFonts w:eastAsia="Calibri"/>
          <w:spacing w:val="-4"/>
          <w:sz w:val="28"/>
          <w:szCs w:val="28"/>
        </w:rPr>
        <w:t>кп</w:t>
      </w:r>
      <w:proofErr w:type="spellEnd"/>
      <w:r w:rsidRPr="00520861">
        <w:rPr>
          <w:spacing w:val="-4"/>
          <w:sz w:val="28"/>
          <w:szCs w:val="28"/>
        </w:rPr>
        <w:t xml:space="preserve">) статистично вірогідна, ймовірність похибки </w:t>
      </w:r>
      <w:r w:rsidRPr="00520861">
        <w:rPr>
          <w:i/>
          <w:spacing w:val="-4"/>
          <w:sz w:val="28"/>
          <w:szCs w:val="28"/>
        </w:rPr>
        <w:t>p</w:t>
      </w:r>
      <w:r w:rsidR="00FF6C32" w:rsidRPr="00520861">
        <w:rPr>
          <w:rFonts w:eastAsia="Calibri"/>
          <w:sz w:val="28"/>
          <w:szCs w:val="28"/>
          <w:lang w:eastAsia="en-US"/>
        </w:rPr>
        <w:t>&lt;</w:t>
      </w:r>
      <w:r w:rsidRPr="00520861">
        <w:rPr>
          <w:spacing w:val="-4"/>
          <w:sz w:val="28"/>
          <w:szCs w:val="28"/>
        </w:rPr>
        <w:t>0,05 за критерієм Манна – Уітні.</w:t>
      </w:r>
    </w:p>
    <w:p w14:paraId="6FDD26E1" w14:textId="77777777" w:rsidR="002E3CE8" w:rsidRPr="00520861" w:rsidRDefault="002E3CE8" w:rsidP="00292D2E">
      <w:pPr>
        <w:widowControl w:val="0"/>
        <w:spacing w:line="360" w:lineRule="auto"/>
        <w:contextualSpacing/>
        <w:jc w:val="both"/>
        <w:rPr>
          <w:sz w:val="28"/>
          <w:szCs w:val="28"/>
        </w:rPr>
      </w:pPr>
    </w:p>
    <w:p w14:paraId="122967D3" w14:textId="77777777" w:rsidR="002E3CE8" w:rsidRPr="00520861" w:rsidRDefault="002E3CE8" w:rsidP="00292D2E">
      <w:pPr>
        <w:widowControl w:val="0"/>
        <w:spacing w:line="360" w:lineRule="auto"/>
        <w:ind w:left="720"/>
        <w:contextualSpacing/>
        <w:jc w:val="right"/>
        <w:rPr>
          <w:rFonts w:eastAsia="Calibri"/>
          <w:i/>
          <w:sz w:val="28"/>
          <w:szCs w:val="28"/>
          <w:lang w:eastAsia="en-US"/>
        </w:rPr>
      </w:pPr>
      <w:r w:rsidRPr="00520861">
        <w:rPr>
          <w:rFonts w:eastAsia="Calibri"/>
          <w:i/>
          <w:sz w:val="28"/>
          <w:szCs w:val="28"/>
          <w:lang w:eastAsia="en-US"/>
        </w:rPr>
        <w:t>Таблиця. 6.5</w:t>
      </w:r>
    </w:p>
    <w:p w14:paraId="5980B449" w14:textId="77777777" w:rsidR="002E3CE8" w:rsidRPr="00520861" w:rsidRDefault="002E3CE8" w:rsidP="00292D2E">
      <w:pPr>
        <w:widowControl w:val="0"/>
        <w:spacing w:line="360" w:lineRule="auto"/>
        <w:ind w:firstLine="709"/>
        <w:contextualSpacing/>
        <w:jc w:val="center"/>
        <w:rPr>
          <w:rFonts w:eastAsia="Calibri"/>
          <w:b/>
          <w:sz w:val="28"/>
          <w:szCs w:val="28"/>
          <w:lang w:eastAsia="en-US"/>
        </w:rPr>
      </w:pPr>
      <w:r w:rsidRPr="00520861">
        <w:rPr>
          <w:rFonts w:eastAsia="Calibri"/>
          <w:b/>
          <w:sz w:val="28"/>
          <w:szCs w:val="28"/>
          <w:lang w:eastAsia="en-US"/>
        </w:rPr>
        <w:t>Значення математичного очікування кількості та продуктивності малих слинних залоз, швидкості секреції нестимульованої РР та значення водневого показника ротової рідини в учасників дослідження віком 7 – 11 років (</w:t>
      </w:r>
      <w:r w:rsidRPr="00520861">
        <w:rPr>
          <w:b/>
          <w:bCs/>
          <w:sz w:val="28"/>
          <w:szCs w:val="28"/>
          <w:shd w:val="clear" w:color="auto" w:fill="FFFFFF"/>
        </w:rPr>
        <w:t>ВП-І</w:t>
      </w:r>
      <w:r w:rsidRPr="00520861">
        <w:rPr>
          <w:b/>
          <w:bCs/>
          <w:sz w:val="28"/>
          <w:szCs w:val="28"/>
          <w:shd w:val="clear" w:color="auto" w:fill="FFFFFF"/>
          <w:lang w:val="en-US"/>
        </w:rPr>
        <w:t>V</w:t>
      </w:r>
      <w:r w:rsidRPr="00520861">
        <w:rPr>
          <w:b/>
          <w:bCs/>
          <w:sz w:val="28"/>
          <w:szCs w:val="28"/>
          <w:shd w:val="clear" w:color="auto" w:fill="FFFFFF"/>
        </w:rPr>
        <w:t>)</w:t>
      </w:r>
    </w:p>
    <w:tbl>
      <w:tblPr>
        <w:tblW w:w="9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5"/>
        <w:gridCol w:w="703"/>
        <w:gridCol w:w="1282"/>
        <w:gridCol w:w="1348"/>
        <w:gridCol w:w="1349"/>
        <w:gridCol w:w="1348"/>
        <w:gridCol w:w="1349"/>
      </w:tblGrid>
      <w:tr w:rsidR="002E3CE8" w:rsidRPr="00520861" w14:paraId="5C3CA208" w14:textId="77777777" w:rsidTr="00292D2E">
        <w:trPr>
          <w:trHeight w:val="356"/>
          <w:jc w:val="center"/>
        </w:trPr>
        <w:tc>
          <w:tcPr>
            <w:tcW w:w="2405" w:type="dxa"/>
          </w:tcPr>
          <w:p w14:paraId="39913BEC" w14:textId="77777777" w:rsidR="002E3CE8" w:rsidRPr="00520861" w:rsidRDefault="002E3CE8" w:rsidP="00292D2E">
            <w:pPr>
              <w:widowControl w:val="0"/>
              <w:spacing w:line="360" w:lineRule="auto"/>
              <w:ind w:hanging="120"/>
              <w:jc w:val="center"/>
              <w:rPr>
                <w:rFonts w:eastAsia="Calibri"/>
                <w:sz w:val="28"/>
                <w:szCs w:val="28"/>
              </w:rPr>
            </w:pPr>
            <w:r w:rsidRPr="00520861">
              <w:rPr>
                <w:rFonts w:eastAsia="Calibri"/>
                <w:sz w:val="28"/>
                <w:szCs w:val="28"/>
              </w:rPr>
              <w:t>Групи та підгрупи</w:t>
            </w:r>
          </w:p>
        </w:tc>
        <w:tc>
          <w:tcPr>
            <w:tcW w:w="703" w:type="dxa"/>
          </w:tcPr>
          <w:p w14:paraId="13B499B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ГП</w:t>
            </w:r>
          </w:p>
        </w:tc>
        <w:tc>
          <w:tcPr>
            <w:tcW w:w="1282" w:type="dxa"/>
          </w:tcPr>
          <w:p w14:paraId="1278BD52" w14:textId="77777777" w:rsidR="002E3CE8" w:rsidRPr="00520861" w:rsidRDefault="002E3CE8" w:rsidP="00292D2E">
            <w:pPr>
              <w:widowControl w:val="0"/>
              <w:spacing w:line="360" w:lineRule="auto"/>
              <w:ind w:right="29" w:firstLine="29"/>
              <w:jc w:val="center"/>
              <w:rPr>
                <w:rFonts w:eastAsia="Calibri"/>
                <w:sz w:val="28"/>
                <w:szCs w:val="28"/>
                <w:lang w:eastAsia="en-US"/>
              </w:rPr>
            </w:pPr>
            <w:r w:rsidRPr="00520861">
              <w:rPr>
                <w:rFonts w:eastAsia="Calibri"/>
                <w:sz w:val="28"/>
                <w:szCs w:val="28"/>
                <w:lang w:eastAsia="en-US"/>
              </w:rPr>
              <w:t>ОГ</w:t>
            </w:r>
          </w:p>
        </w:tc>
        <w:tc>
          <w:tcPr>
            <w:tcW w:w="1348" w:type="dxa"/>
          </w:tcPr>
          <w:p w14:paraId="3D03B819" w14:textId="77777777" w:rsidR="002E3CE8" w:rsidRPr="00520861" w:rsidRDefault="002E3CE8" w:rsidP="00292D2E">
            <w:pPr>
              <w:widowControl w:val="0"/>
              <w:spacing w:line="360" w:lineRule="auto"/>
              <w:ind w:left="-104" w:right="-172"/>
              <w:jc w:val="center"/>
              <w:rPr>
                <w:rFonts w:eastAsia="Calibri"/>
                <w:sz w:val="28"/>
                <w:szCs w:val="28"/>
              </w:rPr>
            </w:pPr>
            <w:r w:rsidRPr="00520861">
              <w:rPr>
                <w:sz w:val="28"/>
                <w:szCs w:val="28"/>
              </w:rPr>
              <w:t>Підгрупа 1</w:t>
            </w:r>
          </w:p>
        </w:tc>
        <w:tc>
          <w:tcPr>
            <w:tcW w:w="1349" w:type="dxa"/>
          </w:tcPr>
          <w:p w14:paraId="52BA7198" w14:textId="77777777" w:rsidR="002E3CE8" w:rsidRPr="00520861" w:rsidRDefault="002E3CE8" w:rsidP="00292D2E">
            <w:pPr>
              <w:widowControl w:val="0"/>
              <w:spacing w:line="360" w:lineRule="auto"/>
              <w:ind w:right="-98" w:hanging="156"/>
              <w:jc w:val="center"/>
              <w:rPr>
                <w:rFonts w:eastAsia="Calibri"/>
                <w:sz w:val="28"/>
                <w:szCs w:val="28"/>
              </w:rPr>
            </w:pPr>
            <w:r w:rsidRPr="00520861">
              <w:rPr>
                <w:sz w:val="28"/>
                <w:szCs w:val="28"/>
              </w:rPr>
              <w:t>Підгрупа 2</w:t>
            </w:r>
          </w:p>
        </w:tc>
        <w:tc>
          <w:tcPr>
            <w:tcW w:w="1348" w:type="dxa"/>
          </w:tcPr>
          <w:p w14:paraId="55A4BE3E" w14:textId="77777777" w:rsidR="002E3CE8" w:rsidRPr="00520861" w:rsidRDefault="002E3CE8" w:rsidP="00292D2E">
            <w:pPr>
              <w:widowControl w:val="0"/>
              <w:spacing w:line="360" w:lineRule="auto"/>
              <w:ind w:left="-111" w:right="-39" w:hanging="45"/>
              <w:jc w:val="center"/>
              <w:rPr>
                <w:rFonts w:eastAsia="Calibri"/>
                <w:sz w:val="28"/>
                <w:szCs w:val="28"/>
              </w:rPr>
            </w:pPr>
            <w:r w:rsidRPr="00520861">
              <w:rPr>
                <w:sz w:val="28"/>
                <w:szCs w:val="28"/>
              </w:rPr>
              <w:t>Підгрупа 3</w:t>
            </w:r>
          </w:p>
        </w:tc>
        <w:tc>
          <w:tcPr>
            <w:tcW w:w="1349" w:type="dxa"/>
          </w:tcPr>
          <w:p w14:paraId="2C232B30" w14:textId="77777777" w:rsidR="002E3CE8" w:rsidRPr="00520861" w:rsidRDefault="002E3CE8" w:rsidP="00292D2E">
            <w:pPr>
              <w:widowControl w:val="0"/>
              <w:spacing w:line="360" w:lineRule="auto"/>
              <w:ind w:right="-105" w:hanging="156"/>
              <w:jc w:val="center"/>
              <w:rPr>
                <w:rFonts w:eastAsia="Calibri"/>
                <w:sz w:val="28"/>
                <w:szCs w:val="28"/>
              </w:rPr>
            </w:pPr>
            <w:r w:rsidRPr="00520861">
              <w:rPr>
                <w:sz w:val="28"/>
                <w:szCs w:val="28"/>
              </w:rPr>
              <w:t>Підгрупа 4</w:t>
            </w:r>
          </w:p>
        </w:tc>
      </w:tr>
      <w:tr w:rsidR="002E3CE8" w:rsidRPr="00520861" w14:paraId="35E5A62F" w14:textId="77777777" w:rsidTr="00292D2E">
        <w:trPr>
          <w:jc w:val="center"/>
        </w:trPr>
        <w:tc>
          <w:tcPr>
            <w:tcW w:w="2405" w:type="dxa"/>
          </w:tcPr>
          <w:p w14:paraId="1D2105B1" w14:textId="77777777" w:rsidR="002E3CE8" w:rsidRPr="00520861" w:rsidRDefault="002E3CE8" w:rsidP="00292D2E">
            <w:pPr>
              <w:widowControl w:val="0"/>
              <w:spacing w:line="360" w:lineRule="auto"/>
              <w:ind w:right="-164"/>
              <w:jc w:val="center"/>
              <w:rPr>
                <w:rFonts w:eastAsia="Calibri"/>
                <w:sz w:val="28"/>
                <w:szCs w:val="28"/>
              </w:rPr>
            </w:pPr>
            <w:r w:rsidRPr="00520861">
              <w:rPr>
                <w:bCs/>
                <w:sz w:val="28"/>
                <w:szCs w:val="28"/>
              </w:rPr>
              <w:t>Кількість малих слинних залоз на площі, 3,5 м</w:t>
            </w:r>
            <w:r w:rsidRPr="00520861">
              <w:rPr>
                <w:bCs/>
                <w:sz w:val="28"/>
                <w:szCs w:val="28"/>
                <w:vertAlign w:val="superscript"/>
              </w:rPr>
              <w:t>2</w:t>
            </w:r>
            <w:r w:rsidRPr="00520861">
              <w:rPr>
                <w:sz w:val="28"/>
                <w:szCs w:val="28"/>
              </w:rPr>
              <w:t>× 10</w:t>
            </w:r>
            <w:r w:rsidRPr="00520861">
              <w:rPr>
                <w:sz w:val="28"/>
                <w:szCs w:val="28"/>
                <w:vertAlign w:val="superscript"/>
              </w:rPr>
              <w:t>-4</w:t>
            </w:r>
          </w:p>
        </w:tc>
        <w:tc>
          <w:tcPr>
            <w:tcW w:w="703" w:type="dxa"/>
          </w:tcPr>
          <w:p w14:paraId="16E429A6" w14:textId="77777777" w:rsidR="002E3CE8" w:rsidRPr="00520861" w:rsidRDefault="002E3CE8" w:rsidP="00292D2E">
            <w:pPr>
              <w:widowControl w:val="0"/>
              <w:spacing w:line="360" w:lineRule="auto"/>
              <w:ind w:hanging="64"/>
              <w:jc w:val="center"/>
              <w:rPr>
                <w:rFonts w:eastAsia="Calibri"/>
                <w:sz w:val="28"/>
                <w:szCs w:val="28"/>
              </w:rPr>
            </w:pPr>
            <w:r w:rsidRPr="00520861">
              <w:rPr>
                <w:rFonts w:eastAsia="Calibri"/>
                <w:sz w:val="28"/>
                <w:szCs w:val="28"/>
              </w:rPr>
              <w:t>15,3</w:t>
            </w:r>
          </w:p>
        </w:tc>
        <w:tc>
          <w:tcPr>
            <w:tcW w:w="1282" w:type="dxa"/>
          </w:tcPr>
          <w:p w14:paraId="4A1E90AF" w14:textId="77777777" w:rsidR="002E3CE8" w:rsidRPr="00520861" w:rsidRDefault="002E3CE8" w:rsidP="00292D2E">
            <w:pPr>
              <w:widowControl w:val="0"/>
              <w:spacing w:line="360" w:lineRule="auto"/>
              <w:ind w:left="-105" w:right="-113"/>
              <w:jc w:val="center"/>
              <w:rPr>
                <w:rFonts w:eastAsia="Calibri"/>
                <w:sz w:val="28"/>
                <w:szCs w:val="28"/>
              </w:rPr>
            </w:pPr>
            <w:r w:rsidRPr="00520861">
              <w:rPr>
                <w:rFonts w:eastAsia="Calibri"/>
                <w:sz w:val="28"/>
                <w:szCs w:val="28"/>
              </w:rPr>
              <w:t>13,6*</w:t>
            </w:r>
          </w:p>
          <w:p w14:paraId="11A15914" w14:textId="77777777" w:rsidR="002E3CE8" w:rsidRPr="00520861" w:rsidRDefault="002E3CE8" w:rsidP="00292D2E">
            <w:pPr>
              <w:widowControl w:val="0"/>
              <w:spacing w:line="360" w:lineRule="auto"/>
              <w:ind w:left="-105" w:right="-113"/>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lang w:val="en-US"/>
              </w:rPr>
              <w:t>&lt;</w:t>
            </w:r>
            <w:r w:rsidRPr="00520861">
              <w:rPr>
                <w:rFonts w:eastAsia="Calibri"/>
                <w:sz w:val="28"/>
                <w:szCs w:val="28"/>
              </w:rPr>
              <w:t>0,000</w:t>
            </w:r>
            <w:r w:rsidRPr="00520861">
              <w:rPr>
                <w:rFonts w:eastAsia="Calibri"/>
                <w:sz w:val="28"/>
                <w:szCs w:val="28"/>
                <w:lang w:val="en-US"/>
              </w:rPr>
              <w:t>1</w:t>
            </w:r>
            <w:r w:rsidRPr="00520861">
              <w:rPr>
                <w:rFonts w:eastAsia="Calibri"/>
                <w:sz w:val="28"/>
                <w:szCs w:val="28"/>
              </w:rPr>
              <w:t>)</w:t>
            </w:r>
          </w:p>
        </w:tc>
        <w:tc>
          <w:tcPr>
            <w:tcW w:w="1348" w:type="dxa"/>
          </w:tcPr>
          <w:p w14:paraId="75E2FD06"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13,1</w:t>
            </w:r>
            <w:r w:rsidRPr="00520861">
              <w:rPr>
                <w:rFonts w:eastAsia="Calibri"/>
                <w:sz w:val="28"/>
                <w:szCs w:val="28"/>
              </w:rPr>
              <w:t>*</w:t>
            </w:r>
          </w:p>
          <w:p w14:paraId="2011C831" w14:textId="77777777" w:rsidR="002E3CE8" w:rsidRPr="00520861" w:rsidRDefault="002E3CE8" w:rsidP="00292D2E">
            <w:pPr>
              <w:widowControl w:val="0"/>
              <w:spacing w:line="360" w:lineRule="auto"/>
              <w:ind w:left="-151" w:right="-111"/>
              <w:jc w:val="center"/>
              <w:rPr>
                <w:rFonts w:eastAsia="Calibri"/>
                <w:sz w:val="28"/>
                <w:szCs w:val="28"/>
                <w:lang w:eastAsia="en-US"/>
              </w:rPr>
            </w:pPr>
            <w:r w:rsidRPr="00520861">
              <w:rPr>
                <w:rFonts w:eastAsia="Calibri"/>
                <w:sz w:val="28"/>
                <w:szCs w:val="28"/>
              </w:rPr>
              <w:t>(</w:t>
            </w:r>
            <w:r w:rsidRPr="00520861">
              <w:rPr>
                <w:rFonts w:eastAsia="Calibri"/>
                <w:i/>
                <w:sz w:val="28"/>
                <w:szCs w:val="28"/>
              </w:rPr>
              <w:t>p</w:t>
            </w:r>
            <w:r w:rsidRPr="00520861">
              <w:rPr>
                <w:rFonts w:eastAsia="Calibri"/>
                <w:sz w:val="28"/>
                <w:szCs w:val="28"/>
              </w:rPr>
              <w:t>=0,0002)</w:t>
            </w:r>
          </w:p>
        </w:tc>
        <w:tc>
          <w:tcPr>
            <w:tcW w:w="1349" w:type="dxa"/>
          </w:tcPr>
          <w:p w14:paraId="6539C0C3" w14:textId="77777777" w:rsidR="002E3CE8" w:rsidRPr="00520861" w:rsidRDefault="002E3CE8" w:rsidP="00292D2E">
            <w:pPr>
              <w:widowControl w:val="0"/>
              <w:spacing w:line="360" w:lineRule="auto"/>
              <w:ind w:hanging="115"/>
              <w:jc w:val="center"/>
              <w:rPr>
                <w:rFonts w:eastAsia="Calibri"/>
                <w:sz w:val="28"/>
                <w:szCs w:val="28"/>
              </w:rPr>
            </w:pPr>
            <w:r w:rsidRPr="00520861">
              <w:rPr>
                <w:rFonts w:eastAsia="Calibri"/>
                <w:sz w:val="28"/>
                <w:szCs w:val="28"/>
              </w:rPr>
              <w:t>13,9*</w:t>
            </w:r>
          </w:p>
          <w:p w14:paraId="73A4E52F" w14:textId="77777777" w:rsidR="002E3CE8" w:rsidRPr="00520861" w:rsidRDefault="002E3CE8" w:rsidP="00292D2E">
            <w:pPr>
              <w:widowControl w:val="0"/>
              <w:spacing w:line="360" w:lineRule="auto"/>
              <w:ind w:right="-188" w:hanging="115"/>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=0,0026)</w:t>
            </w:r>
          </w:p>
        </w:tc>
        <w:tc>
          <w:tcPr>
            <w:tcW w:w="1348" w:type="dxa"/>
          </w:tcPr>
          <w:p w14:paraId="17F92EF1"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14,0</w:t>
            </w:r>
            <w:r w:rsidRPr="00520861">
              <w:rPr>
                <w:rFonts w:eastAsia="Calibri"/>
                <w:sz w:val="28"/>
                <w:szCs w:val="28"/>
              </w:rPr>
              <w:t>*</w:t>
            </w:r>
          </w:p>
          <w:p w14:paraId="4D8A988F" w14:textId="77777777" w:rsidR="002E3CE8" w:rsidRPr="00520861" w:rsidRDefault="002E3CE8" w:rsidP="00292D2E">
            <w:pPr>
              <w:widowControl w:val="0"/>
              <w:spacing w:line="360" w:lineRule="auto"/>
              <w:ind w:left="-170" w:right="-46"/>
              <w:jc w:val="center"/>
              <w:rPr>
                <w:rFonts w:eastAsia="Calibri"/>
                <w:sz w:val="28"/>
                <w:szCs w:val="28"/>
                <w:lang w:eastAsia="en-US"/>
              </w:rPr>
            </w:pPr>
            <w:r w:rsidRPr="00520861">
              <w:rPr>
                <w:rFonts w:eastAsia="Calibri"/>
                <w:sz w:val="28"/>
                <w:szCs w:val="28"/>
              </w:rPr>
              <w:t>(</w:t>
            </w:r>
            <w:r w:rsidRPr="00520861">
              <w:rPr>
                <w:rFonts w:eastAsia="Calibri"/>
                <w:i/>
                <w:sz w:val="28"/>
                <w:szCs w:val="28"/>
              </w:rPr>
              <w:t>p</w:t>
            </w:r>
            <w:r w:rsidRPr="00520861">
              <w:rPr>
                <w:rFonts w:eastAsia="Calibri"/>
                <w:sz w:val="28"/>
                <w:szCs w:val="28"/>
              </w:rPr>
              <w:t>=0,0257)</w:t>
            </w:r>
          </w:p>
        </w:tc>
        <w:tc>
          <w:tcPr>
            <w:tcW w:w="1349" w:type="dxa"/>
          </w:tcPr>
          <w:p w14:paraId="590B8AF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13,5*</w:t>
            </w:r>
          </w:p>
          <w:p w14:paraId="2ADE86C9" w14:textId="77777777" w:rsidR="002E3CE8" w:rsidRPr="00520861" w:rsidRDefault="002E3CE8" w:rsidP="00292D2E">
            <w:pPr>
              <w:widowControl w:val="0"/>
              <w:spacing w:line="360" w:lineRule="auto"/>
              <w:ind w:left="-170" w:right="-45"/>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=0,0115)</w:t>
            </w:r>
          </w:p>
        </w:tc>
      </w:tr>
      <w:tr w:rsidR="002E3CE8" w:rsidRPr="00520861" w14:paraId="42F2C61B" w14:textId="77777777" w:rsidTr="00292D2E">
        <w:trPr>
          <w:jc w:val="center"/>
        </w:trPr>
        <w:tc>
          <w:tcPr>
            <w:tcW w:w="2405" w:type="dxa"/>
          </w:tcPr>
          <w:p w14:paraId="462538C2" w14:textId="77777777" w:rsidR="002E3CE8" w:rsidRPr="00520861" w:rsidRDefault="002E3CE8" w:rsidP="00292D2E">
            <w:pPr>
              <w:widowControl w:val="0"/>
              <w:shd w:val="clear" w:color="auto" w:fill="FFFFFF"/>
              <w:spacing w:line="360" w:lineRule="auto"/>
              <w:ind w:right="-114" w:hanging="33"/>
              <w:jc w:val="center"/>
              <w:rPr>
                <w:spacing w:val="-8"/>
                <w:sz w:val="28"/>
                <w:szCs w:val="28"/>
              </w:rPr>
            </w:pPr>
            <w:r w:rsidRPr="00520861">
              <w:rPr>
                <w:bCs/>
                <w:spacing w:val="-8"/>
                <w:sz w:val="28"/>
                <w:szCs w:val="28"/>
              </w:rPr>
              <w:t>Кількість</w:t>
            </w:r>
            <w:r w:rsidRPr="00520861">
              <w:rPr>
                <w:spacing w:val="-8"/>
                <w:sz w:val="28"/>
                <w:szCs w:val="28"/>
              </w:rPr>
              <w:t xml:space="preserve"> секрету, який виділяється </w:t>
            </w:r>
          </w:p>
          <w:p w14:paraId="1CFF4298" w14:textId="77777777" w:rsidR="002E3CE8" w:rsidRPr="00520861" w:rsidRDefault="002E3CE8" w:rsidP="00292D2E">
            <w:pPr>
              <w:widowControl w:val="0"/>
              <w:shd w:val="clear" w:color="auto" w:fill="FFFFFF"/>
              <w:spacing w:line="360" w:lineRule="auto"/>
              <w:ind w:right="-114" w:hanging="33"/>
              <w:jc w:val="center"/>
              <w:rPr>
                <w:spacing w:val="-8"/>
                <w:sz w:val="28"/>
                <w:szCs w:val="28"/>
              </w:rPr>
            </w:pPr>
            <w:r w:rsidRPr="00520861">
              <w:rPr>
                <w:spacing w:val="-8"/>
                <w:sz w:val="28"/>
                <w:szCs w:val="28"/>
              </w:rPr>
              <w:t xml:space="preserve">однією малою слинною залозою, </w:t>
            </w:r>
          </w:p>
          <w:p w14:paraId="07AA8C13" w14:textId="77777777" w:rsidR="002E3CE8" w:rsidRPr="00520861" w:rsidRDefault="002E3CE8" w:rsidP="00292D2E">
            <w:pPr>
              <w:widowControl w:val="0"/>
              <w:shd w:val="clear" w:color="auto" w:fill="FFFFFF"/>
              <w:spacing w:line="360" w:lineRule="auto"/>
              <w:ind w:right="-114" w:hanging="33"/>
              <w:jc w:val="center"/>
              <w:rPr>
                <w:rFonts w:eastAsia="Calibri"/>
                <w:spacing w:val="-8"/>
                <w:sz w:val="28"/>
                <w:szCs w:val="28"/>
              </w:rPr>
            </w:pPr>
            <w:r w:rsidRPr="00520861">
              <w:rPr>
                <w:spacing w:val="-8"/>
                <w:sz w:val="28"/>
                <w:szCs w:val="28"/>
              </w:rPr>
              <w:t>кг/с × 6</w:t>
            </w:r>
            <w:r w:rsidRPr="00520861">
              <w:rPr>
                <w:spacing w:val="-8"/>
                <w:sz w:val="28"/>
                <w:szCs w:val="28"/>
              </w:rPr>
              <w:sym w:font="Symbol" w:char="F0D7"/>
            </w:r>
            <w:r w:rsidRPr="00520861">
              <w:rPr>
                <w:spacing w:val="-8"/>
                <w:sz w:val="28"/>
                <w:szCs w:val="28"/>
              </w:rPr>
              <w:t>10</w:t>
            </w:r>
            <w:r w:rsidRPr="00520861">
              <w:rPr>
                <w:spacing w:val="-8"/>
                <w:sz w:val="28"/>
                <w:szCs w:val="28"/>
                <w:vertAlign w:val="superscript"/>
              </w:rPr>
              <w:t>-8</w:t>
            </w:r>
          </w:p>
        </w:tc>
        <w:tc>
          <w:tcPr>
            <w:tcW w:w="703" w:type="dxa"/>
          </w:tcPr>
          <w:p w14:paraId="34CC79FD" w14:textId="77777777" w:rsidR="002E3CE8" w:rsidRPr="00520861" w:rsidRDefault="002E3CE8" w:rsidP="00292D2E">
            <w:pPr>
              <w:widowControl w:val="0"/>
              <w:spacing w:line="360" w:lineRule="auto"/>
              <w:ind w:left="-64" w:hanging="115"/>
              <w:jc w:val="center"/>
              <w:rPr>
                <w:rFonts w:eastAsia="Calibri"/>
                <w:sz w:val="28"/>
                <w:szCs w:val="28"/>
              </w:rPr>
            </w:pPr>
          </w:p>
          <w:p w14:paraId="2370A485" w14:textId="77777777" w:rsidR="002E3CE8" w:rsidRPr="00520861" w:rsidRDefault="002E3CE8" w:rsidP="00292D2E">
            <w:pPr>
              <w:widowControl w:val="0"/>
              <w:spacing w:line="360" w:lineRule="auto"/>
              <w:ind w:hanging="115"/>
              <w:jc w:val="center"/>
              <w:rPr>
                <w:rFonts w:eastAsia="Calibri"/>
                <w:sz w:val="28"/>
                <w:szCs w:val="28"/>
              </w:rPr>
            </w:pPr>
            <w:r w:rsidRPr="00520861">
              <w:rPr>
                <w:rFonts w:eastAsia="Calibri"/>
                <w:sz w:val="28"/>
                <w:szCs w:val="28"/>
              </w:rPr>
              <w:t>1,83</w:t>
            </w:r>
          </w:p>
          <w:p w14:paraId="33645257" w14:textId="77777777" w:rsidR="002E3CE8" w:rsidRPr="00520861" w:rsidRDefault="002E3CE8" w:rsidP="00292D2E">
            <w:pPr>
              <w:widowControl w:val="0"/>
              <w:spacing w:line="360" w:lineRule="auto"/>
              <w:ind w:hanging="115"/>
              <w:jc w:val="center"/>
              <w:rPr>
                <w:rFonts w:eastAsia="Calibri"/>
                <w:sz w:val="28"/>
                <w:szCs w:val="28"/>
              </w:rPr>
            </w:pPr>
          </w:p>
        </w:tc>
        <w:tc>
          <w:tcPr>
            <w:tcW w:w="1282" w:type="dxa"/>
          </w:tcPr>
          <w:p w14:paraId="2AB7AD25" w14:textId="77777777" w:rsidR="002E3CE8" w:rsidRPr="00520861" w:rsidRDefault="002E3CE8" w:rsidP="00292D2E">
            <w:pPr>
              <w:widowControl w:val="0"/>
              <w:spacing w:line="360" w:lineRule="auto"/>
              <w:ind w:left="-105" w:right="-113"/>
              <w:jc w:val="center"/>
              <w:rPr>
                <w:rFonts w:eastAsia="Calibri"/>
                <w:sz w:val="28"/>
                <w:szCs w:val="28"/>
              </w:rPr>
            </w:pPr>
          </w:p>
          <w:p w14:paraId="637A409A" w14:textId="77777777" w:rsidR="002E3CE8" w:rsidRPr="00520861" w:rsidRDefault="002E3CE8" w:rsidP="00292D2E">
            <w:pPr>
              <w:widowControl w:val="0"/>
              <w:spacing w:line="360" w:lineRule="auto"/>
              <w:ind w:left="-105" w:right="-113"/>
              <w:jc w:val="center"/>
              <w:rPr>
                <w:rFonts w:eastAsia="Calibri"/>
                <w:sz w:val="28"/>
                <w:szCs w:val="28"/>
              </w:rPr>
            </w:pPr>
            <w:r w:rsidRPr="00520861">
              <w:rPr>
                <w:rFonts w:eastAsia="Calibri"/>
                <w:sz w:val="28"/>
                <w:szCs w:val="28"/>
              </w:rPr>
              <w:t>1,52*</w:t>
            </w:r>
          </w:p>
          <w:p w14:paraId="640D3DD1" w14:textId="77777777" w:rsidR="002E3CE8" w:rsidRPr="00520861" w:rsidRDefault="002E3CE8" w:rsidP="00292D2E">
            <w:pPr>
              <w:widowControl w:val="0"/>
              <w:spacing w:line="360" w:lineRule="auto"/>
              <w:ind w:left="-105" w:right="-113"/>
              <w:jc w:val="center"/>
              <w:rPr>
                <w:rFonts w:eastAsia="Calibri"/>
                <w:sz w:val="28"/>
                <w:szCs w:val="28"/>
                <w:lang w:val="en-US"/>
              </w:rPr>
            </w:pPr>
            <w:r w:rsidRPr="00520861">
              <w:rPr>
                <w:rFonts w:eastAsia="Calibri"/>
                <w:sz w:val="28"/>
                <w:szCs w:val="28"/>
              </w:rPr>
              <w:t>(</w:t>
            </w:r>
            <w:r w:rsidRPr="00520861">
              <w:rPr>
                <w:rFonts w:eastAsia="Calibri"/>
                <w:i/>
                <w:sz w:val="28"/>
                <w:szCs w:val="28"/>
              </w:rPr>
              <w:t>p</w:t>
            </w:r>
            <w:r w:rsidRPr="00520861">
              <w:rPr>
                <w:rFonts w:eastAsia="Calibri"/>
                <w:sz w:val="28"/>
                <w:szCs w:val="28"/>
              </w:rPr>
              <w:t>=0,0</w:t>
            </w:r>
            <w:r w:rsidRPr="00520861">
              <w:rPr>
                <w:rFonts w:eastAsia="Calibri"/>
                <w:sz w:val="28"/>
                <w:szCs w:val="28"/>
                <w:lang w:val="en-US"/>
              </w:rPr>
              <w:t>027)</w:t>
            </w:r>
          </w:p>
        </w:tc>
        <w:tc>
          <w:tcPr>
            <w:tcW w:w="1348" w:type="dxa"/>
          </w:tcPr>
          <w:p w14:paraId="6B096E03" w14:textId="77777777" w:rsidR="002E3CE8" w:rsidRPr="00520861" w:rsidRDefault="002E3CE8" w:rsidP="00292D2E">
            <w:pPr>
              <w:widowControl w:val="0"/>
              <w:spacing w:line="360" w:lineRule="auto"/>
              <w:ind w:left="-58" w:right="-139"/>
              <w:jc w:val="center"/>
              <w:rPr>
                <w:rFonts w:eastAsia="Calibri"/>
                <w:sz w:val="28"/>
                <w:szCs w:val="28"/>
              </w:rPr>
            </w:pPr>
          </w:p>
          <w:p w14:paraId="63CE694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1,64*</w:t>
            </w:r>
          </w:p>
          <w:p w14:paraId="00AA33FF" w14:textId="77777777" w:rsidR="002E3CE8" w:rsidRPr="00520861" w:rsidRDefault="002E3CE8" w:rsidP="00292D2E">
            <w:pPr>
              <w:widowControl w:val="0"/>
              <w:spacing w:line="360" w:lineRule="auto"/>
              <w:ind w:right="-139" w:hanging="58"/>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=0,0460)</w:t>
            </w:r>
          </w:p>
        </w:tc>
        <w:tc>
          <w:tcPr>
            <w:tcW w:w="1349" w:type="dxa"/>
          </w:tcPr>
          <w:p w14:paraId="1C9977A2" w14:textId="77777777" w:rsidR="002E3CE8" w:rsidRPr="00520861" w:rsidRDefault="002E3CE8" w:rsidP="00292D2E">
            <w:pPr>
              <w:widowControl w:val="0"/>
              <w:spacing w:line="360" w:lineRule="auto"/>
              <w:ind w:firstLine="34"/>
              <w:jc w:val="center"/>
              <w:rPr>
                <w:rFonts w:eastAsia="Calibri"/>
                <w:sz w:val="28"/>
                <w:szCs w:val="28"/>
              </w:rPr>
            </w:pPr>
          </w:p>
          <w:p w14:paraId="468F4BF5" w14:textId="77777777" w:rsidR="002E3CE8" w:rsidRPr="00520861" w:rsidRDefault="002E3CE8" w:rsidP="00292D2E">
            <w:pPr>
              <w:widowControl w:val="0"/>
              <w:spacing w:line="360" w:lineRule="auto"/>
              <w:ind w:firstLine="34"/>
              <w:jc w:val="center"/>
              <w:rPr>
                <w:rFonts w:eastAsia="Calibri"/>
                <w:sz w:val="28"/>
                <w:szCs w:val="28"/>
              </w:rPr>
            </w:pPr>
            <w:r w:rsidRPr="00520861">
              <w:rPr>
                <w:rFonts w:eastAsia="Calibri"/>
                <w:sz w:val="28"/>
                <w:szCs w:val="28"/>
              </w:rPr>
              <w:t>1,74</w:t>
            </w:r>
          </w:p>
          <w:p w14:paraId="0261CDA3" w14:textId="77777777" w:rsidR="002E3CE8" w:rsidRPr="00520861" w:rsidRDefault="002E3CE8" w:rsidP="00292D2E">
            <w:pPr>
              <w:widowControl w:val="0"/>
              <w:spacing w:line="360" w:lineRule="auto"/>
              <w:ind w:firstLine="34"/>
              <w:jc w:val="center"/>
              <w:rPr>
                <w:rFonts w:eastAsia="Calibri"/>
                <w:sz w:val="28"/>
                <w:szCs w:val="28"/>
              </w:rPr>
            </w:pPr>
          </w:p>
        </w:tc>
        <w:tc>
          <w:tcPr>
            <w:tcW w:w="1348" w:type="dxa"/>
          </w:tcPr>
          <w:p w14:paraId="7D1A96EA" w14:textId="77777777" w:rsidR="002E3CE8" w:rsidRPr="00520861" w:rsidRDefault="002E3CE8" w:rsidP="00292D2E">
            <w:pPr>
              <w:widowControl w:val="0"/>
              <w:spacing w:line="360" w:lineRule="auto"/>
              <w:jc w:val="center"/>
              <w:rPr>
                <w:rFonts w:eastAsia="Calibri"/>
                <w:sz w:val="28"/>
                <w:szCs w:val="28"/>
              </w:rPr>
            </w:pPr>
          </w:p>
          <w:p w14:paraId="001C91C4"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1,36*</w:t>
            </w:r>
          </w:p>
          <w:p w14:paraId="6310AEE5" w14:textId="77777777" w:rsidR="002E3CE8" w:rsidRPr="00520861" w:rsidRDefault="002E3CE8" w:rsidP="00292D2E">
            <w:pPr>
              <w:widowControl w:val="0"/>
              <w:spacing w:line="360" w:lineRule="auto"/>
              <w:ind w:left="-77" w:right="-139"/>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=0,0008)</w:t>
            </w:r>
          </w:p>
        </w:tc>
        <w:tc>
          <w:tcPr>
            <w:tcW w:w="1349" w:type="dxa"/>
          </w:tcPr>
          <w:p w14:paraId="121264DB" w14:textId="77777777" w:rsidR="002E3CE8" w:rsidRPr="00520861" w:rsidRDefault="002E3CE8" w:rsidP="00292D2E">
            <w:pPr>
              <w:widowControl w:val="0"/>
              <w:spacing w:line="360" w:lineRule="auto"/>
              <w:jc w:val="center"/>
              <w:rPr>
                <w:rFonts w:eastAsia="Calibri"/>
                <w:sz w:val="28"/>
                <w:szCs w:val="28"/>
              </w:rPr>
            </w:pPr>
          </w:p>
          <w:p w14:paraId="66B3E95E"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1,27*</w:t>
            </w:r>
          </w:p>
          <w:p w14:paraId="1F0CA3C0" w14:textId="77777777" w:rsidR="002E3CE8" w:rsidRPr="00520861" w:rsidRDefault="002E3CE8" w:rsidP="00292D2E">
            <w:pPr>
              <w:widowControl w:val="0"/>
              <w:spacing w:line="360" w:lineRule="auto"/>
              <w:ind w:left="-77" w:right="-138"/>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=0,0093)</w:t>
            </w:r>
          </w:p>
        </w:tc>
      </w:tr>
      <w:tr w:rsidR="002E3CE8" w:rsidRPr="00520861" w14:paraId="69EC2E1A" w14:textId="77777777" w:rsidTr="00292D2E">
        <w:trPr>
          <w:jc w:val="center"/>
        </w:trPr>
        <w:tc>
          <w:tcPr>
            <w:tcW w:w="2405" w:type="dxa"/>
          </w:tcPr>
          <w:p w14:paraId="76A6CCFA" w14:textId="77777777" w:rsidR="002E3CE8" w:rsidRPr="00520861" w:rsidRDefault="002E3CE8" w:rsidP="00292D2E">
            <w:pPr>
              <w:widowControl w:val="0"/>
              <w:spacing w:line="360" w:lineRule="auto"/>
              <w:ind w:right="-115"/>
              <w:jc w:val="center"/>
              <w:rPr>
                <w:rFonts w:eastAsia="Calibri"/>
                <w:bCs/>
                <w:sz w:val="28"/>
                <w:szCs w:val="28"/>
              </w:rPr>
            </w:pPr>
            <w:r w:rsidRPr="00520861">
              <w:rPr>
                <w:bCs/>
                <w:sz w:val="28"/>
                <w:szCs w:val="28"/>
              </w:rPr>
              <w:t>Швидкість секреції нестимульованої РР, м</w:t>
            </w:r>
            <w:r w:rsidRPr="00520861">
              <w:rPr>
                <w:bCs/>
                <w:sz w:val="28"/>
                <w:szCs w:val="28"/>
                <w:vertAlign w:val="superscript"/>
              </w:rPr>
              <w:t>3</w:t>
            </w:r>
            <w:r w:rsidRPr="00520861">
              <w:rPr>
                <w:bCs/>
                <w:sz w:val="28"/>
                <w:szCs w:val="28"/>
              </w:rPr>
              <w:t>/с</w:t>
            </w:r>
            <w:r w:rsidRPr="00520861">
              <w:rPr>
                <w:sz w:val="28"/>
                <w:szCs w:val="28"/>
              </w:rPr>
              <w:t>× 6</w:t>
            </w:r>
            <w:r w:rsidRPr="00520861">
              <w:rPr>
                <w:sz w:val="28"/>
                <w:szCs w:val="28"/>
              </w:rPr>
              <w:sym w:font="Symbol" w:char="F0D7"/>
            </w:r>
            <w:r w:rsidRPr="00520861">
              <w:rPr>
                <w:sz w:val="28"/>
                <w:szCs w:val="28"/>
              </w:rPr>
              <w:t>10</w:t>
            </w:r>
            <w:r w:rsidRPr="00520861">
              <w:rPr>
                <w:sz w:val="28"/>
                <w:szCs w:val="28"/>
                <w:vertAlign w:val="superscript"/>
              </w:rPr>
              <w:t>-7</w:t>
            </w:r>
          </w:p>
        </w:tc>
        <w:tc>
          <w:tcPr>
            <w:tcW w:w="703" w:type="dxa"/>
          </w:tcPr>
          <w:p w14:paraId="7812847C" w14:textId="77777777" w:rsidR="002E3CE8" w:rsidRPr="00520861" w:rsidRDefault="002E3CE8" w:rsidP="00292D2E">
            <w:pPr>
              <w:widowControl w:val="0"/>
              <w:spacing w:line="360" w:lineRule="auto"/>
              <w:ind w:hanging="115"/>
              <w:jc w:val="center"/>
              <w:rPr>
                <w:rFonts w:eastAsia="Calibri"/>
                <w:sz w:val="28"/>
                <w:szCs w:val="28"/>
              </w:rPr>
            </w:pPr>
            <w:r w:rsidRPr="00520861">
              <w:rPr>
                <w:rFonts w:eastAsia="Calibri"/>
                <w:sz w:val="28"/>
                <w:szCs w:val="28"/>
              </w:rPr>
              <w:t>0,32</w:t>
            </w:r>
          </w:p>
        </w:tc>
        <w:tc>
          <w:tcPr>
            <w:tcW w:w="1282" w:type="dxa"/>
          </w:tcPr>
          <w:p w14:paraId="79717803" w14:textId="77777777" w:rsidR="002E3CE8" w:rsidRPr="00520861" w:rsidRDefault="002E3CE8" w:rsidP="00292D2E">
            <w:pPr>
              <w:widowControl w:val="0"/>
              <w:spacing w:line="360" w:lineRule="auto"/>
              <w:ind w:left="-105" w:right="-113"/>
              <w:jc w:val="center"/>
              <w:rPr>
                <w:rFonts w:eastAsia="Calibri"/>
                <w:sz w:val="28"/>
                <w:szCs w:val="28"/>
              </w:rPr>
            </w:pPr>
            <w:r w:rsidRPr="00520861">
              <w:rPr>
                <w:rFonts w:eastAsia="Calibri"/>
                <w:sz w:val="28"/>
                <w:szCs w:val="28"/>
              </w:rPr>
              <w:t>0,27*</w:t>
            </w:r>
          </w:p>
          <w:p w14:paraId="11160BBF" w14:textId="77777777" w:rsidR="002E3CE8" w:rsidRPr="00520861" w:rsidRDefault="002E3CE8" w:rsidP="00292D2E">
            <w:pPr>
              <w:widowControl w:val="0"/>
              <w:spacing w:line="360" w:lineRule="auto"/>
              <w:ind w:left="-105" w:right="-113"/>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=0,0033)</w:t>
            </w:r>
          </w:p>
        </w:tc>
        <w:tc>
          <w:tcPr>
            <w:tcW w:w="1348" w:type="dxa"/>
          </w:tcPr>
          <w:p w14:paraId="15CD4D38"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0,30</w:t>
            </w:r>
          </w:p>
          <w:p w14:paraId="001824FB" w14:textId="77777777" w:rsidR="002E3CE8" w:rsidRPr="00520861" w:rsidRDefault="002E3CE8" w:rsidP="00292D2E">
            <w:pPr>
              <w:widowControl w:val="0"/>
              <w:spacing w:line="360" w:lineRule="auto"/>
              <w:jc w:val="center"/>
              <w:rPr>
                <w:rFonts w:eastAsia="Calibri"/>
                <w:sz w:val="28"/>
                <w:szCs w:val="28"/>
              </w:rPr>
            </w:pPr>
          </w:p>
        </w:tc>
        <w:tc>
          <w:tcPr>
            <w:tcW w:w="1349" w:type="dxa"/>
          </w:tcPr>
          <w:p w14:paraId="394F572C" w14:textId="77777777" w:rsidR="002E3CE8" w:rsidRPr="00520861" w:rsidRDefault="002E3CE8" w:rsidP="00292D2E">
            <w:pPr>
              <w:widowControl w:val="0"/>
              <w:spacing w:line="360" w:lineRule="auto"/>
              <w:ind w:firstLine="34"/>
              <w:jc w:val="center"/>
              <w:rPr>
                <w:rFonts w:eastAsia="Calibri"/>
                <w:sz w:val="28"/>
                <w:szCs w:val="28"/>
              </w:rPr>
            </w:pPr>
            <w:r w:rsidRPr="00520861">
              <w:rPr>
                <w:rFonts w:eastAsia="Calibri"/>
                <w:sz w:val="28"/>
                <w:szCs w:val="28"/>
              </w:rPr>
              <w:t>0,29</w:t>
            </w:r>
          </w:p>
          <w:p w14:paraId="33D01059" w14:textId="77777777" w:rsidR="002E3CE8" w:rsidRPr="00520861" w:rsidRDefault="002E3CE8" w:rsidP="00292D2E">
            <w:pPr>
              <w:widowControl w:val="0"/>
              <w:spacing w:line="360" w:lineRule="auto"/>
              <w:ind w:right="-113" w:firstLine="34"/>
              <w:rPr>
                <w:rFonts w:eastAsia="Calibri"/>
                <w:sz w:val="28"/>
                <w:szCs w:val="28"/>
              </w:rPr>
            </w:pPr>
          </w:p>
        </w:tc>
        <w:tc>
          <w:tcPr>
            <w:tcW w:w="1348" w:type="dxa"/>
          </w:tcPr>
          <w:p w14:paraId="500FF3E2"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0,25*</w:t>
            </w:r>
          </w:p>
          <w:p w14:paraId="0F0BFEDE" w14:textId="77777777" w:rsidR="002E3CE8" w:rsidRPr="00520861" w:rsidRDefault="002E3CE8" w:rsidP="00292D2E">
            <w:pPr>
              <w:widowControl w:val="0"/>
              <w:spacing w:line="360" w:lineRule="auto"/>
              <w:ind w:left="-62" w:right="-123"/>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=0,0116)</w:t>
            </w:r>
          </w:p>
        </w:tc>
        <w:tc>
          <w:tcPr>
            <w:tcW w:w="1349" w:type="dxa"/>
          </w:tcPr>
          <w:p w14:paraId="5A3D555A"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0,20*</w:t>
            </w:r>
          </w:p>
          <w:p w14:paraId="7E003B34" w14:textId="77777777" w:rsidR="002E3CE8" w:rsidRPr="00520861" w:rsidRDefault="002E3CE8" w:rsidP="00292D2E">
            <w:pPr>
              <w:widowControl w:val="0"/>
              <w:spacing w:line="360" w:lineRule="auto"/>
              <w:ind w:left="-93" w:right="-122"/>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=0,0005)</w:t>
            </w:r>
          </w:p>
        </w:tc>
      </w:tr>
      <w:tr w:rsidR="002E3CE8" w:rsidRPr="00520861" w14:paraId="24B60711" w14:textId="77777777" w:rsidTr="00292D2E">
        <w:trPr>
          <w:jc w:val="center"/>
        </w:trPr>
        <w:tc>
          <w:tcPr>
            <w:tcW w:w="2405" w:type="dxa"/>
          </w:tcPr>
          <w:p w14:paraId="24B19129" w14:textId="77777777" w:rsidR="002E3CE8" w:rsidRPr="00520861" w:rsidRDefault="002E3CE8" w:rsidP="00292D2E">
            <w:pPr>
              <w:widowControl w:val="0"/>
              <w:spacing w:line="360" w:lineRule="auto"/>
              <w:ind w:right="-167" w:hanging="121"/>
              <w:jc w:val="center"/>
              <w:rPr>
                <w:rFonts w:eastAsia="Calibri"/>
                <w:bCs/>
                <w:sz w:val="28"/>
                <w:szCs w:val="28"/>
              </w:rPr>
            </w:pPr>
            <w:r w:rsidRPr="00520861">
              <w:rPr>
                <w:rFonts w:eastAsia="Calibri"/>
                <w:sz w:val="28"/>
                <w:szCs w:val="28"/>
                <w:lang w:eastAsia="en-US"/>
              </w:rPr>
              <w:t>Значення водневого показника (p</w:t>
            </w:r>
            <w:r w:rsidRPr="00520861">
              <w:rPr>
                <w:rFonts w:eastAsia="Calibri"/>
                <w:sz w:val="28"/>
                <w:szCs w:val="28"/>
                <w:lang w:val="en-US" w:eastAsia="en-US"/>
              </w:rPr>
              <w:t>H</w:t>
            </w:r>
            <w:r w:rsidRPr="00520861">
              <w:rPr>
                <w:rFonts w:eastAsia="Calibri"/>
                <w:sz w:val="28"/>
                <w:szCs w:val="28"/>
                <w:lang w:eastAsia="en-US"/>
              </w:rPr>
              <w:t>)</w:t>
            </w:r>
          </w:p>
        </w:tc>
        <w:tc>
          <w:tcPr>
            <w:tcW w:w="703" w:type="dxa"/>
          </w:tcPr>
          <w:p w14:paraId="4B1A9315" w14:textId="77777777" w:rsidR="002E3CE8" w:rsidRPr="00520861" w:rsidRDefault="002E3CE8" w:rsidP="00292D2E">
            <w:pPr>
              <w:widowControl w:val="0"/>
              <w:spacing w:line="360" w:lineRule="auto"/>
              <w:ind w:hanging="115"/>
              <w:jc w:val="center"/>
              <w:rPr>
                <w:rFonts w:eastAsia="Calibri"/>
                <w:sz w:val="28"/>
                <w:szCs w:val="28"/>
              </w:rPr>
            </w:pPr>
            <w:r w:rsidRPr="00520861">
              <w:rPr>
                <w:rFonts w:eastAsia="Calibri"/>
                <w:sz w:val="28"/>
                <w:szCs w:val="28"/>
              </w:rPr>
              <w:t>6,8</w:t>
            </w:r>
          </w:p>
        </w:tc>
        <w:tc>
          <w:tcPr>
            <w:tcW w:w="1282" w:type="dxa"/>
          </w:tcPr>
          <w:p w14:paraId="55896784" w14:textId="77777777" w:rsidR="002E3CE8" w:rsidRPr="00520861" w:rsidRDefault="002E3CE8" w:rsidP="00292D2E">
            <w:pPr>
              <w:widowControl w:val="0"/>
              <w:spacing w:line="360" w:lineRule="auto"/>
              <w:ind w:left="-105" w:right="-113" w:hanging="110"/>
              <w:jc w:val="center"/>
              <w:rPr>
                <w:rFonts w:eastAsia="Calibri"/>
                <w:sz w:val="28"/>
                <w:szCs w:val="28"/>
              </w:rPr>
            </w:pPr>
            <w:r w:rsidRPr="00520861">
              <w:rPr>
                <w:rFonts w:eastAsia="Calibri"/>
                <w:sz w:val="28"/>
                <w:szCs w:val="28"/>
              </w:rPr>
              <w:t>6,5*</w:t>
            </w:r>
          </w:p>
          <w:p w14:paraId="13551975" w14:textId="77777777" w:rsidR="002E3CE8" w:rsidRPr="00520861" w:rsidRDefault="002E3CE8" w:rsidP="00292D2E">
            <w:pPr>
              <w:widowControl w:val="0"/>
              <w:spacing w:line="360" w:lineRule="auto"/>
              <w:ind w:left="-105" w:right="-113"/>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=0,0178)</w:t>
            </w:r>
          </w:p>
        </w:tc>
        <w:tc>
          <w:tcPr>
            <w:tcW w:w="1348" w:type="dxa"/>
          </w:tcPr>
          <w:p w14:paraId="42BE6390"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6,6</w:t>
            </w:r>
          </w:p>
        </w:tc>
        <w:tc>
          <w:tcPr>
            <w:tcW w:w="1349" w:type="dxa"/>
          </w:tcPr>
          <w:p w14:paraId="1CFE5EC9" w14:textId="77777777" w:rsidR="002E3CE8" w:rsidRPr="00520861" w:rsidRDefault="002E3CE8" w:rsidP="00292D2E">
            <w:pPr>
              <w:widowControl w:val="0"/>
              <w:spacing w:line="360" w:lineRule="auto"/>
              <w:ind w:hanging="110"/>
              <w:jc w:val="center"/>
              <w:rPr>
                <w:rFonts w:eastAsia="Calibri"/>
                <w:sz w:val="28"/>
                <w:szCs w:val="28"/>
              </w:rPr>
            </w:pPr>
            <w:r w:rsidRPr="00520861">
              <w:rPr>
                <w:rFonts w:eastAsia="Calibri"/>
                <w:sz w:val="28"/>
                <w:szCs w:val="28"/>
              </w:rPr>
              <w:t>6,5*</w:t>
            </w:r>
          </w:p>
          <w:p w14:paraId="658705D5" w14:textId="77777777" w:rsidR="002E3CE8" w:rsidRPr="00520861" w:rsidRDefault="002E3CE8" w:rsidP="00292D2E">
            <w:pPr>
              <w:widowControl w:val="0"/>
              <w:spacing w:line="360" w:lineRule="auto"/>
              <w:ind w:left="-77" w:right="-139"/>
              <w:jc w:val="center"/>
              <w:rPr>
                <w:rFonts w:eastAsia="Calibri"/>
                <w:sz w:val="28"/>
                <w:szCs w:val="28"/>
              </w:rPr>
            </w:pPr>
            <w:r w:rsidRPr="00520861">
              <w:rPr>
                <w:rFonts w:eastAsia="Calibri"/>
                <w:sz w:val="28"/>
                <w:szCs w:val="28"/>
              </w:rPr>
              <w:t>(</w:t>
            </w:r>
            <w:r w:rsidRPr="00520861">
              <w:rPr>
                <w:rFonts w:eastAsia="Calibri"/>
                <w:i/>
                <w:sz w:val="28"/>
                <w:szCs w:val="28"/>
              </w:rPr>
              <w:t>p</w:t>
            </w:r>
            <w:r w:rsidRPr="00520861">
              <w:rPr>
                <w:rFonts w:eastAsia="Calibri"/>
                <w:sz w:val="28"/>
                <w:szCs w:val="28"/>
              </w:rPr>
              <w:t>=0,0029)</w:t>
            </w:r>
          </w:p>
        </w:tc>
        <w:tc>
          <w:tcPr>
            <w:tcW w:w="1348" w:type="dxa"/>
          </w:tcPr>
          <w:p w14:paraId="07F79ACB" w14:textId="77777777" w:rsidR="002E3CE8" w:rsidRPr="00520861" w:rsidRDefault="002E3CE8" w:rsidP="00292D2E">
            <w:pPr>
              <w:widowControl w:val="0"/>
              <w:spacing w:line="360" w:lineRule="auto"/>
              <w:jc w:val="center"/>
              <w:rPr>
                <w:rFonts w:eastAsia="Calibri"/>
                <w:sz w:val="28"/>
                <w:szCs w:val="28"/>
              </w:rPr>
            </w:pPr>
            <w:r w:rsidRPr="00520861">
              <w:rPr>
                <w:rFonts w:eastAsia="Calibri"/>
                <w:sz w:val="28"/>
                <w:szCs w:val="28"/>
              </w:rPr>
              <w:t>6,4</w:t>
            </w:r>
          </w:p>
        </w:tc>
        <w:tc>
          <w:tcPr>
            <w:tcW w:w="1349" w:type="dxa"/>
          </w:tcPr>
          <w:p w14:paraId="40FA0C21" w14:textId="77777777" w:rsidR="002E3CE8" w:rsidRPr="00520861" w:rsidRDefault="002E3CE8" w:rsidP="00292D2E">
            <w:pPr>
              <w:widowControl w:val="0"/>
              <w:spacing w:line="360" w:lineRule="auto"/>
              <w:ind w:firstLine="34"/>
              <w:jc w:val="center"/>
              <w:rPr>
                <w:rFonts w:eastAsia="Calibri"/>
                <w:sz w:val="28"/>
                <w:szCs w:val="28"/>
              </w:rPr>
            </w:pPr>
            <w:r w:rsidRPr="00520861">
              <w:rPr>
                <w:rFonts w:eastAsia="Calibri"/>
                <w:sz w:val="28"/>
                <w:szCs w:val="28"/>
              </w:rPr>
              <w:t>6,6</w:t>
            </w:r>
          </w:p>
          <w:p w14:paraId="53B0122C" w14:textId="77777777" w:rsidR="002E3CE8" w:rsidRPr="00520861" w:rsidRDefault="002E3CE8" w:rsidP="00292D2E">
            <w:pPr>
              <w:widowControl w:val="0"/>
              <w:spacing w:line="360" w:lineRule="auto"/>
              <w:jc w:val="center"/>
              <w:rPr>
                <w:rFonts w:eastAsia="Calibri"/>
                <w:sz w:val="28"/>
                <w:szCs w:val="28"/>
              </w:rPr>
            </w:pPr>
          </w:p>
        </w:tc>
      </w:tr>
    </w:tbl>
    <w:p w14:paraId="7639CBEC" w14:textId="77777777" w:rsidR="002E3CE8" w:rsidRPr="00520861" w:rsidRDefault="002E3CE8" w:rsidP="00292D2E">
      <w:pPr>
        <w:widowControl w:val="0"/>
        <w:spacing w:line="360" w:lineRule="auto"/>
        <w:ind w:right="48" w:firstLine="708"/>
        <w:contextualSpacing/>
        <w:jc w:val="both"/>
        <w:rPr>
          <w:sz w:val="28"/>
          <w:szCs w:val="28"/>
        </w:rPr>
      </w:pPr>
      <w:r w:rsidRPr="00520861">
        <w:rPr>
          <w:sz w:val="28"/>
          <w:szCs w:val="28"/>
        </w:rPr>
        <w:t xml:space="preserve">Примітка: * – різниця між ОГ (підгрупою) і ГП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22511825" w14:textId="77777777" w:rsidR="002E3CE8" w:rsidRPr="00520861" w:rsidRDefault="002E3CE8" w:rsidP="00292D2E">
      <w:pPr>
        <w:widowControl w:val="0"/>
        <w:shd w:val="clear" w:color="auto" w:fill="FFFFFF"/>
        <w:spacing w:line="360" w:lineRule="auto"/>
        <w:ind w:right="-1" w:firstLine="708"/>
        <w:jc w:val="both"/>
        <w:rPr>
          <w:rFonts w:eastAsia="Calibri"/>
          <w:sz w:val="28"/>
          <w:szCs w:val="28"/>
        </w:rPr>
      </w:pPr>
      <w:r w:rsidRPr="00520861">
        <w:rPr>
          <w:rFonts w:eastAsia="Calibri"/>
          <w:sz w:val="28"/>
          <w:szCs w:val="28"/>
        </w:rPr>
        <w:lastRenderedPageBreak/>
        <w:t xml:space="preserve">Значення показника </w:t>
      </w:r>
      <w:proofErr w:type="spellStart"/>
      <w:r w:rsidRPr="00520861">
        <w:rPr>
          <w:rFonts w:eastAsia="Calibri"/>
          <w:sz w:val="28"/>
          <w:szCs w:val="28"/>
        </w:rPr>
        <w:t>pH</w:t>
      </w:r>
      <w:proofErr w:type="spellEnd"/>
      <w:r w:rsidRPr="00520861">
        <w:rPr>
          <w:rFonts w:eastAsia="Calibri"/>
          <w:sz w:val="28"/>
          <w:szCs w:val="28"/>
        </w:rPr>
        <w:t xml:space="preserve"> (табл. 6.5) для всіх дітей ОГ також виявилися в середньому менші, ніж у дітей ГП. Ця різниця є вірогідною для дітей із </w:t>
      </w:r>
      <w:r w:rsidRPr="00520861">
        <w:rPr>
          <w:rFonts w:eastAsia="Calibri"/>
          <w:sz w:val="28"/>
          <w:szCs w:val="28"/>
          <w:lang w:eastAsia="en-US"/>
        </w:rPr>
        <w:t>підгрупи 2</w:t>
      </w:r>
      <w:r w:rsidRPr="00520861">
        <w:rPr>
          <w:rFonts w:eastAsia="Calibri"/>
          <w:sz w:val="28"/>
          <w:szCs w:val="28"/>
        </w:rPr>
        <w:t>.</w:t>
      </w:r>
    </w:p>
    <w:p w14:paraId="1C17FD37" w14:textId="77777777" w:rsidR="002E3CE8" w:rsidRPr="00520861" w:rsidRDefault="002E3CE8" w:rsidP="00292D2E">
      <w:pPr>
        <w:widowControl w:val="0"/>
        <w:spacing w:line="360" w:lineRule="auto"/>
        <w:ind w:right="48" w:firstLine="708"/>
        <w:contextualSpacing/>
        <w:jc w:val="both"/>
        <w:rPr>
          <w:spacing w:val="-1"/>
          <w:sz w:val="28"/>
          <w:szCs w:val="28"/>
        </w:rPr>
      </w:pPr>
      <w:r w:rsidRPr="00520861">
        <w:rPr>
          <w:spacing w:val="-1"/>
          <w:sz w:val="28"/>
          <w:szCs w:val="28"/>
        </w:rPr>
        <w:t>Отже, у період змінного прикусу переважна більшість дітей ОГ мала знижену кількість та продуктивність малих слинних залоз. Вірогідно знижені значення водневого показника, порівняно з ГП, мали діти, чиї МРП при народженні свідчили про відносну недостатність маси тіла. Вірогідно знижена швидкість секреції нестимульованої РР та вища, ніж у ГП, інтенсивність карієсу зубів спостерігалася у дітей, які народилися з ознаками ВУ ожиріння.</w:t>
      </w:r>
    </w:p>
    <w:p w14:paraId="5F59DC2E" w14:textId="77777777" w:rsidR="002E3CE8" w:rsidRPr="00520861" w:rsidRDefault="002E3CE8" w:rsidP="00292D2E">
      <w:pPr>
        <w:widowControl w:val="0"/>
        <w:spacing w:line="360" w:lineRule="auto"/>
        <w:ind w:right="-1"/>
        <w:jc w:val="both"/>
        <w:rPr>
          <w:rFonts w:eastAsia="Calibri"/>
          <w:sz w:val="28"/>
          <w:szCs w:val="28"/>
        </w:rPr>
      </w:pPr>
    </w:p>
    <w:p w14:paraId="1560A934" w14:textId="77777777" w:rsidR="002E3CE8" w:rsidRPr="00520861" w:rsidRDefault="002E3CE8" w:rsidP="00292D2E">
      <w:pPr>
        <w:widowControl w:val="0"/>
        <w:spacing w:line="360" w:lineRule="auto"/>
        <w:ind w:right="-1" w:firstLine="709"/>
        <w:jc w:val="both"/>
        <w:rPr>
          <w:rFonts w:eastAsiaTheme="minorHAnsi"/>
          <w:b/>
          <w:sz w:val="28"/>
          <w:szCs w:val="28"/>
          <w:lang w:eastAsia="en-US"/>
        </w:rPr>
      </w:pPr>
      <w:r w:rsidRPr="00520861">
        <w:rPr>
          <w:rFonts w:eastAsiaTheme="minorHAnsi"/>
          <w:b/>
          <w:sz w:val="28"/>
          <w:szCs w:val="28"/>
          <w:lang w:eastAsia="en-US"/>
        </w:rPr>
        <w:t xml:space="preserve">6.4. Результати оцінювання </w:t>
      </w:r>
      <w:proofErr w:type="spellStart"/>
      <w:r w:rsidRPr="00520861">
        <w:rPr>
          <w:rFonts w:eastAsiaTheme="minorHAnsi"/>
          <w:b/>
          <w:sz w:val="28"/>
          <w:szCs w:val="28"/>
          <w:lang w:eastAsia="en-US"/>
        </w:rPr>
        <w:t>карієсогенної</w:t>
      </w:r>
      <w:proofErr w:type="spellEnd"/>
      <w:r w:rsidRPr="00520861">
        <w:rPr>
          <w:rFonts w:eastAsiaTheme="minorHAnsi"/>
          <w:b/>
          <w:sz w:val="28"/>
          <w:szCs w:val="28"/>
          <w:lang w:eastAsia="en-US"/>
        </w:rPr>
        <w:t xml:space="preserve"> ситуації в період постійного </w:t>
      </w:r>
      <w:r w:rsidRPr="00520861">
        <w:rPr>
          <w:rFonts w:eastAsiaTheme="minorHAnsi"/>
          <w:b/>
          <w:sz w:val="28"/>
          <w:szCs w:val="28"/>
          <w:lang w:eastAsia="en-US"/>
        </w:rPr>
        <w:br/>
        <w:t xml:space="preserve">прикусу (ВП-V, ВП-VI, ВП-VII, ВП-VIII) в осіб, які народилися з </w:t>
      </w:r>
      <w:proofErr w:type="spellStart"/>
      <w:r w:rsidRPr="00520861">
        <w:rPr>
          <w:rFonts w:eastAsiaTheme="minorHAnsi"/>
          <w:b/>
          <w:sz w:val="28"/>
          <w:szCs w:val="28"/>
          <w:lang w:eastAsia="en-US"/>
        </w:rPr>
        <w:t>макросомією</w:t>
      </w:r>
      <w:proofErr w:type="spellEnd"/>
    </w:p>
    <w:p w14:paraId="3847F739" w14:textId="77777777" w:rsidR="002E3CE8" w:rsidRPr="00520861" w:rsidRDefault="002E3CE8" w:rsidP="00292D2E">
      <w:pPr>
        <w:widowControl w:val="0"/>
        <w:spacing w:line="360" w:lineRule="auto"/>
        <w:ind w:right="-1"/>
        <w:jc w:val="both"/>
        <w:rPr>
          <w:rFonts w:eastAsiaTheme="minorHAnsi"/>
          <w:b/>
          <w:sz w:val="28"/>
          <w:szCs w:val="28"/>
          <w:lang w:eastAsia="en-US"/>
        </w:rPr>
      </w:pPr>
    </w:p>
    <w:p w14:paraId="3BE41C8D" w14:textId="77777777" w:rsidR="002E3CE8" w:rsidRPr="00520861" w:rsidRDefault="002E3CE8" w:rsidP="00292D2E">
      <w:pPr>
        <w:widowControl w:val="0"/>
        <w:spacing w:line="360" w:lineRule="auto"/>
        <w:ind w:right="-1" w:firstLine="708"/>
        <w:jc w:val="both"/>
        <w:rPr>
          <w:sz w:val="28"/>
          <w:szCs w:val="28"/>
        </w:rPr>
      </w:pPr>
      <w:r w:rsidRPr="00520861">
        <w:rPr>
          <w:sz w:val="28"/>
          <w:szCs w:val="28"/>
        </w:rPr>
        <w:t>Стан гігієни ПР, що був класифікований як «незадовільний» у ВП-</w:t>
      </w:r>
      <w:r w:rsidRPr="00520861">
        <w:rPr>
          <w:sz w:val="28"/>
          <w:szCs w:val="28"/>
          <w:lang w:val="en-US"/>
        </w:rPr>
        <w:t>V</w:t>
      </w:r>
      <w:r w:rsidRPr="00520861">
        <w:rPr>
          <w:sz w:val="28"/>
          <w:szCs w:val="28"/>
        </w:rPr>
        <w:t>, ВП-</w:t>
      </w:r>
      <w:r w:rsidRPr="00520861">
        <w:rPr>
          <w:sz w:val="28"/>
          <w:szCs w:val="28"/>
          <w:lang w:val="en-US"/>
        </w:rPr>
        <w:t>VI</w:t>
      </w:r>
      <w:r w:rsidRPr="00520861">
        <w:rPr>
          <w:sz w:val="28"/>
          <w:szCs w:val="28"/>
        </w:rPr>
        <w:t>, ВП-</w:t>
      </w:r>
      <w:r w:rsidRPr="00520861">
        <w:rPr>
          <w:sz w:val="28"/>
          <w:szCs w:val="28"/>
          <w:lang w:val="en-US"/>
        </w:rPr>
        <w:t>VII</w:t>
      </w:r>
      <w:r w:rsidRPr="00520861">
        <w:rPr>
          <w:sz w:val="28"/>
          <w:szCs w:val="28"/>
        </w:rPr>
        <w:t xml:space="preserve"> та ВП-VIII мали більшість учасників ГП, а також </w:t>
      </w:r>
      <w:r w:rsidRPr="00520861">
        <w:rPr>
          <w:rFonts w:eastAsia="Calibri"/>
          <w:sz w:val="28"/>
          <w:szCs w:val="28"/>
          <w:lang w:eastAsia="en-US"/>
        </w:rPr>
        <w:t>підгруп 1</w:t>
      </w:r>
      <w:r w:rsidRPr="00520861">
        <w:rPr>
          <w:sz w:val="28"/>
          <w:szCs w:val="28"/>
        </w:rPr>
        <w:t xml:space="preserve"> та</w:t>
      </w:r>
      <w:r w:rsidRPr="00520861">
        <w:rPr>
          <w:rFonts w:eastAsia="Calibri"/>
          <w:sz w:val="28"/>
          <w:szCs w:val="28"/>
          <w:lang w:eastAsia="en-US"/>
        </w:rPr>
        <w:t xml:space="preserve"> 2</w:t>
      </w:r>
      <w:r w:rsidRPr="00520861">
        <w:rPr>
          <w:sz w:val="28"/>
          <w:szCs w:val="28"/>
        </w:rPr>
        <w:t xml:space="preserve"> основної групи. Треба зазначити, що в деяких підгрупах із високою інтенсивністю карієсу </w:t>
      </w:r>
      <w:r w:rsidRPr="00520861">
        <w:rPr>
          <w:sz w:val="28"/>
          <w:szCs w:val="28"/>
        </w:rPr>
        <w:br/>
        <w:t>(</w:t>
      </w:r>
      <w:r w:rsidRPr="00520861">
        <w:rPr>
          <w:rFonts w:eastAsia="Calibri"/>
          <w:sz w:val="28"/>
          <w:szCs w:val="28"/>
          <w:lang w:eastAsia="en-US"/>
        </w:rPr>
        <w:t>підгрупи 3</w:t>
      </w:r>
      <w:r w:rsidRPr="00520861">
        <w:rPr>
          <w:sz w:val="28"/>
          <w:szCs w:val="28"/>
        </w:rPr>
        <w:t xml:space="preserve"> та </w:t>
      </w:r>
      <w:r w:rsidRPr="00520861">
        <w:rPr>
          <w:rFonts w:eastAsia="Calibri"/>
          <w:sz w:val="28"/>
          <w:szCs w:val="28"/>
          <w:lang w:eastAsia="en-US"/>
        </w:rPr>
        <w:t>4</w:t>
      </w:r>
      <w:r w:rsidRPr="00520861">
        <w:rPr>
          <w:sz w:val="28"/>
          <w:szCs w:val="28"/>
        </w:rPr>
        <w:t>) показники індексу OHI-S (</w:t>
      </w:r>
      <w:proofErr w:type="spellStart"/>
      <w:r w:rsidRPr="00520861">
        <w:rPr>
          <w:sz w:val="28"/>
          <w:szCs w:val="28"/>
        </w:rPr>
        <w:t>Green-Vermillion</w:t>
      </w:r>
      <w:proofErr w:type="spellEnd"/>
      <w:r w:rsidRPr="00520861">
        <w:rPr>
          <w:sz w:val="28"/>
          <w:szCs w:val="28"/>
        </w:rPr>
        <w:t xml:space="preserve">) були вірогідно нижчими за аналогічні в ГП (табл. 6.6) і свідчили про «задовільний» гігієнічний стан ПР. </w:t>
      </w:r>
    </w:p>
    <w:p w14:paraId="392814B4" w14:textId="77777777" w:rsidR="002E3CE8" w:rsidRPr="00520861" w:rsidRDefault="002E3CE8" w:rsidP="00292D2E">
      <w:pPr>
        <w:widowControl w:val="0"/>
        <w:spacing w:line="360" w:lineRule="auto"/>
        <w:ind w:right="-1" w:firstLine="709"/>
        <w:jc w:val="both"/>
        <w:rPr>
          <w:sz w:val="28"/>
          <w:szCs w:val="28"/>
        </w:rPr>
      </w:pPr>
      <w:r w:rsidRPr="00520861">
        <w:rPr>
          <w:sz w:val="28"/>
          <w:szCs w:val="28"/>
        </w:rPr>
        <w:t>Поширеність карієсу в осіб ОГ у ВП-</w:t>
      </w:r>
      <w:r w:rsidRPr="00520861">
        <w:rPr>
          <w:sz w:val="28"/>
          <w:szCs w:val="28"/>
          <w:lang w:val="en-US"/>
        </w:rPr>
        <w:t>V</w:t>
      </w:r>
      <w:r w:rsidRPr="00520861">
        <w:rPr>
          <w:sz w:val="28"/>
          <w:szCs w:val="28"/>
        </w:rPr>
        <w:t xml:space="preserve"> (11 – 12 – 17 років) склала 80,8</w:t>
      </w:r>
      <w:r w:rsidR="00611A5B" w:rsidRPr="00520861">
        <w:rPr>
          <w:sz w:val="28"/>
          <w:szCs w:val="28"/>
        </w:rPr>
        <w:t>%</w:t>
      </w:r>
      <w:r w:rsidRPr="00520861">
        <w:rPr>
          <w:sz w:val="28"/>
          <w:szCs w:val="28"/>
        </w:rPr>
        <w:t xml:space="preserve"> (ДI: 65,1</w:t>
      </w:r>
      <w:r w:rsidR="00611A5B" w:rsidRPr="00520861">
        <w:rPr>
          <w:sz w:val="28"/>
          <w:szCs w:val="28"/>
        </w:rPr>
        <w:t>%</w:t>
      </w:r>
      <w:r w:rsidRPr="00520861">
        <w:rPr>
          <w:sz w:val="28"/>
          <w:szCs w:val="28"/>
        </w:rPr>
        <w:t xml:space="preserve"> – 91,0</w:t>
      </w:r>
      <w:r w:rsidR="00611A5B" w:rsidRPr="00520861">
        <w:rPr>
          <w:sz w:val="28"/>
          <w:szCs w:val="28"/>
        </w:rPr>
        <w:t>%</w:t>
      </w:r>
      <w:r w:rsidRPr="00520861">
        <w:rPr>
          <w:sz w:val="28"/>
          <w:szCs w:val="28"/>
        </w:rPr>
        <w:t xml:space="preserve">) </w:t>
      </w:r>
      <w:r w:rsidRPr="00520861">
        <w:rPr>
          <w:rFonts w:eastAsia="Calibri"/>
          <w:sz w:val="28"/>
          <w:szCs w:val="28"/>
          <w:lang w:eastAsia="en-US"/>
        </w:rPr>
        <w:t xml:space="preserve">проти </w:t>
      </w:r>
      <w:r w:rsidRPr="00520861">
        <w:rPr>
          <w:sz w:val="28"/>
          <w:szCs w:val="28"/>
        </w:rPr>
        <w:t>78,6</w:t>
      </w:r>
      <w:r w:rsidR="00611A5B" w:rsidRPr="00520861">
        <w:rPr>
          <w:sz w:val="28"/>
          <w:szCs w:val="28"/>
        </w:rPr>
        <w:t>%</w:t>
      </w:r>
      <w:r w:rsidRPr="00520861">
        <w:rPr>
          <w:sz w:val="28"/>
          <w:szCs w:val="28"/>
        </w:rPr>
        <w:t xml:space="preserve"> (ДI: 57,2</w:t>
      </w:r>
      <w:r w:rsidR="00611A5B" w:rsidRPr="00520861">
        <w:rPr>
          <w:sz w:val="28"/>
          <w:szCs w:val="28"/>
        </w:rPr>
        <w:t>%</w:t>
      </w:r>
      <w:r w:rsidRPr="00520861">
        <w:rPr>
          <w:sz w:val="28"/>
          <w:szCs w:val="28"/>
        </w:rPr>
        <w:t xml:space="preserve"> – 91,6</w:t>
      </w:r>
      <w:r w:rsidR="00611A5B" w:rsidRPr="00520861">
        <w:rPr>
          <w:sz w:val="28"/>
          <w:szCs w:val="28"/>
        </w:rPr>
        <w:t>%</w:t>
      </w:r>
      <w:r w:rsidRPr="00520861">
        <w:rPr>
          <w:sz w:val="28"/>
          <w:szCs w:val="28"/>
        </w:rPr>
        <w:t xml:space="preserve">) в осіб ГП </w:t>
      </w:r>
      <w:r w:rsidRPr="00520861">
        <w:rPr>
          <w:sz w:val="28"/>
          <w:szCs w:val="28"/>
          <w:lang w:val="ru-RU"/>
        </w:rPr>
        <w:t>[315]</w:t>
      </w:r>
      <w:r w:rsidRPr="00520861">
        <w:rPr>
          <w:sz w:val="28"/>
          <w:szCs w:val="28"/>
        </w:rPr>
        <w:t>. В осіб ОГ у ВП-</w:t>
      </w:r>
      <w:r w:rsidRPr="00520861">
        <w:rPr>
          <w:sz w:val="28"/>
          <w:szCs w:val="28"/>
          <w:lang w:val="en-US"/>
        </w:rPr>
        <w:t>VI</w:t>
      </w:r>
      <w:r w:rsidRPr="00520861">
        <w:rPr>
          <w:sz w:val="28"/>
          <w:szCs w:val="28"/>
        </w:rPr>
        <w:t xml:space="preserve"> (18 – 24 роки) поширеність карієсу склала 94,9</w:t>
      </w:r>
      <w:r w:rsidR="00611A5B" w:rsidRPr="00520861">
        <w:rPr>
          <w:sz w:val="28"/>
          <w:szCs w:val="28"/>
        </w:rPr>
        <w:t>%</w:t>
      </w:r>
      <w:r w:rsidRPr="00520861">
        <w:rPr>
          <w:sz w:val="28"/>
          <w:szCs w:val="28"/>
        </w:rPr>
        <w:t xml:space="preserve"> (ДI: 86,5</w:t>
      </w:r>
      <w:r w:rsidR="00611A5B" w:rsidRPr="00520861">
        <w:rPr>
          <w:sz w:val="28"/>
          <w:szCs w:val="28"/>
        </w:rPr>
        <w:t>%</w:t>
      </w:r>
      <w:r w:rsidRPr="00520861">
        <w:rPr>
          <w:sz w:val="28"/>
          <w:szCs w:val="28"/>
        </w:rPr>
        <w:t xml:space="preserve"> – 98,4</w:t>
      </w:r>
      <w:r w:rsidR="00611A5B" w:rsidRPr="00520861">
        <w:rPr>
          <w:sz w:val="28"/>
          <w:szCs w:val="28"/>
        </w:rPr>
        <w:t>%</w:t>
      </w:r>
      <w:r w:rsidRPr="00520861">
        <w:rPr>
          <w:sz w:val="28"/>
          <w:szCs w:val="28"/>
        </w:rPr>
        <w:t xml:space="preserve">) </w:t>
      </w:r>
      <w:r w:rsidRPr="00520861">
        <w:rPr>
          <w:rFonts w:eastAsia="Calibri"/>
          <w:sz w:val="28"/>
          <w:szCs w:val="28"/>
          <w:lang w:eastAsia="en-US"/>
        </w:rPr>
        <w:t>проти 85,7</w:t>
      </w:r>
      <w:r w:rsidR="00611A5B"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 xml:space="preserve">ДI: </w:t>
      </w:r>
      <w:r w:rsidRPr="00520861">
        <w:rPr>
          <w:rFonts w:eastAsia="Calibri"/>
          <w:sz w:val="28"/>
          <w:szCs w:val="28"/>
          <w:lang w:eastAsia="en-US"/>
        </w:rPr>
        <w:t>71,8</w:t>
      </w:r>
      <w:r w:rsidR="00611A5B"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93,9</w:t>
      </w:r>
      <w:r w:rsidR="00611A5B" w:rsidRPr="00520861">
        <w:rPr>
          <w:rFonts w:eastAsia="Calibri"/>
          <w:sz w:val="28"/>
          <w:szCs w:val="28"/>
          <w:lang w:eastAsia="en-US"/>
        </w:rPr>
        <w:t>%</w:t>
      </w:r>
      <w:r w:rsidRPr="00520861">
        <w:rPr>
          <w:rFonts w:eastAsia="Calibri"/>
          <w:sz w:val="28"/>
          <w:szCs w:val="28"/>
          <w:lang w:eastAsia="en-US"/>
        </w:rPr>
        <w:t>)</w:t>
      </w:r>
      <w:r w:rsidRPr="00520861">
        <w:rPr>
          <w:sz w:val="28"/>
          <w:szCs w:val="28"/>
        </w:rPr>
        <w:t xml:space="preserve"> у ГП. Для осіб ВП-</w:t>
      </w:r>
      <w:r w:rsidRPr="00520861">
        <w:rPr>
          <w:sz w:val="28"/>
          <w:szCs w:val="28"/>
          <w:lang w:val="en-US"/>
        </w:rPr>
        <w:t>VII</w:t>
      </w:r>
      <w:r w:rsidRPr="00520861">
        <w:rPr>
          <w:sz w:val="28"/>
          <w:szCs w:val="28"/>
        </w:rPr>
        <w:t xml:space="preserve"> (25 – 44 роки) цей показник відповідно становив 100% </w:t>
      </w:r>
      <w:r w:rsidRPr="00520861">
        <w:rPr>
          <w:rFonts w:eastAsia="Calibri"/>
          <w:sz w:val="28"/>
          <w:szCs w:val="28"/>
          <w:lang w:eastAsia="en-US"/>
        </w:rPr>
        <w:t xml:space="preserve">проти </w:t>
      </w:r>
      <w:r w:rsidR="00353F20" w:rsidRPr="00520861">
        <w:rPr>
          <w:sz w:val="28"/>
          <w:szCs w:val="28"/>
        </w:rPr>
        <w:t>96,2</w:t>
      </w:r>
      <w:r w:rsidRPr="00520861">
        <w:rPr>
          <w:sz w:val="28"/>
          <w:szCs w:val="28"/>
        </w:rPr>
        <w:t>% (ДI: 86,8</w:t>
      </w:r>
      <w:r w:rsidR="00611A5B" w:rsidRPr="00520861">
        <w:rPr>
          <w:sz w:val="28"/>
          <w:szCs w:val="28"/>
        </w:rPr>
        <w:t>%</w:t>
      </w:r>
      <w:r w:rsidRPr="00520861">
        <w:rPr>
          <w:sz w:val="28"/>
          <w:szCs w:val="28"/>
        </w:rPr>
        <w:t xml:space="preserve"> – 99,1</w:t>
      </w:r>
      <w:r w:rsidR="00611A5B" w:rsidRPr="00520861">
        <w:rPr>
          <w:sz w:val="28"/>
          <w:szCs w:val="28"/>
        </w:rPr>
        <w:t>%</w:t>
      </w:r>
      <w:r w:rsidRPr="00520861">
        <w:rPr>
          <w:sz w:val="28"/>
          <w:szCs w:val="28"/>
        </w:rPr>
        <w:t xml:space="preserve">), а для ВП-VIII (44 – 54 років) </w:t>
      </w:r>
      <w:r w:rsidR="00611A5B" w:rsidRPr="00520861">
        <w:rPr>
          <w:sz w:val="28"/>
          <w:szCs w:val="28"/>
        </w:rPr>
        <w:br/>
      </w:r>
      <w:r w:rsidRPr="00520861">
        <w:rPr>
          <w:sz w:val="28"/>
          <w:szCs w:val="28"/>
        </w:rPr>
        <w:t>поширеність карієсу склала 100</w:t>
      </w:r>
      <w:r w:rsidR="00611A5B" w:rsidRPr="00520861">
        <w:rPr>
          <w:sz w:val="28"/>
          <w:szCs w:val="28"/>
        </w:rPr>
        <w:t>%</w:t>
      </w:r>
      <w:r w:rsidRPr="00520861">
        <w:rPr>
          <w:sz w:val="28"/>
          <w:szCs w:val="28"/>
        </w:rPr>
        <w:t xml:space="preserve"> як в ОГ, так і у ГП. </w:t>
      </w:r>
    </w:p>
    <w:p w14:paraId="51AF222B" w14:textId="77777777" w:rsidR="002E3CE8" w:rsidRPr="00520861" w:rsidRDefault="002E3CE8" w:rsidP="00292D2E">
      <w:pPr>
        <w:widowControl w:val="0"/>
        <w:spacing w:line="360" w:lineRule="auto"/>
        <w:ind w:right="-1" w:firstLine="709"/>
        <w:jc w:val="both"/>
        <w:rPr>
          <w:sz w:val="28"/>
          <w:szCs w:val="28"/>
        </w:rPr>
      </w:pPr>
      <w:r w:rsidRPr="00520861">
        <w:rPr>
          <w:sz w:val="28"/>
          <w:szCs w:val="28"/>
        </w:rPr>
        <w:t>Таким чином, вірогідної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різниці в поширеності карієсу між учасниками ОГ та ГП усіх вікових періодах виявлено не було.</w:t>
      </w:r>
    </w:p>
    <w:p w14:paraId="46BEB139" w14:textId="77777777" w:rsidR="002E3CE8" w:rsidRPr="00520861" w:rsidRDefault="002E3CE8" w:rsidP="00292D2E">
      <w:pPr>
        <w:widowControl w:val="0"/>
        <w:spacing w:line="360" w:lineRule="auto"/>
        <w:ind w:right="-1" w:firstLine="708"/>
        <w:jc w:val="both"/>
        <w:rPr>
          <w:sz w:val="28"/>
          <w:szCs w:val="28"/>
        </w:rPr>
      </w:pPr>
      <w:r w:rsidRPr="00520861">
        <w:rPr>
          <w:sz w:val="28"/>
          <w:szCs w:val="28"/>
        </w:rPr>
        <w:t xml:space="preserve">Аналізуючи динаміку інтенсивності карієсу в учасників дослідження за віковим аспектом (ілюструє табл. 6.6) бачимо, що практично у всіх ВП осереднені значення показників інтенсивності карієсу були вищими для осіб із підгрупи 3 та </w:t>
      </w:r>
      <w:r w:rsidRPr="00520861">
        <w:rPr>
          <w:sz w:val="28"/>
          <w:szCs w:val="28"/>
        </w:rPr>
        <w:br/>
        <w:t xml:space="preserve">підгрупи 4, порівняно із </w:t>
      </w:r>
      <w:proofErr w:type="spellStart"/>
      <w:r w:rsidRPr="00520861">
        <w:rPr>
          <w:sz w:val="28"/>
          <w:szCs w:val="28"/>
        </w:rPr>
        <w:t>нормосомами</w:t>
      </w:r>
      <w:proofErr w:type="spellEnd"/>
      <w:r w:rsidRPr="00520861">
        <w:rPr>
          <w:sz w:val="28"/>
          <w:szCs w:val="28"/>
        </w:rPr>
        <w:t>. У більш старшому віці ці зміни, порівняно з ГП, були вірогідними.</w:t>
      </w:r>
    </w:p>
    <w:p w14:paraId="1CA1BD3D" w14:textId="77777777" w:rsidR="002E3CE8" w:rsidRPr="00520861" w:rsidRDefault="002E3CE8" w:rsidP="00292D2E">
      <w:pPr>
        <w:widowControl w:val="0"/>
        <w:spacing w:line="360" w:lineRule="auto"/>
        <w:ind w:right="141"/>
        <w:jc w:val="both"/>
        <w:rPr>
          <w:sz w:val="28"/>
          <w:szCs w:val="28"/>
        </w:rPr>
        <w:sectPr w:rsidR="002E3CE8" w:rsidRPr="00520861" w:rsidSect="00292D2E">
          <w:pgSz w:w="11906" w:h="16838"/>
          <w:pgMar w:top="1134" w:right="624" w:bottom="1134" w:left="1134" w:header="709" w:footer="709" w:gutter="0"/>
          <w:cols w:space="708"/>
          <w:docGrid w:linePitch="360"/>
        </w:sectPr>
      </w:pPr>
    </w:p>
    <w:p w14:paraId="03E5855C" w14:textId="77777777" w:rsidR="002E3CE8" w:rsidRPr="00520861" w:rsidRDefault="002E3CE8"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lastRenderedPageBreak/>
        <w:t>Таблиця 6.6</w:t>
      </w:r>
    </w:p>
    <w:p w14:paraId="1739D6BE" w14:textId="77777777" w:rsidR="002E3CE8" w:rsidRPr="00520861" w:rsidRDefault="002E3CE8" w:rsidP="00292D2E">
      <w:pPr>
        <w:widowControl w:val="0"/>
        <w:spacing w:line="360" w:lineRule="auto"/>
        <w:ind w:right="-1" w:firstLine="709"/>
        <w:jc w:val="center"/>
        <w:rPr>
          <w:rFonts w:eastAsiaTheme="minorHAnsi"/>
          <w:b/>
          <w:sz w:val="28"/>
          <w:szCs w:val="28"/>
          <w:lang w:eastAsia="en-US"/>
        </w:rPr>
      </w:pPr>
      <w:r w:rsidRPr="00520861">
        <w:rPr>
          <w:b/>
          <w:sz w:val="28"/>
          <w:szCs w:val="28"/>
        </w:rPr>
        <w:t xml:space="preserve">Оцінка інтенсивності карієсу та гігієнічного стану ротової порожнини учасників дослідження </w:t>
      </w:r>
      <w:r w:rsidRPr="00520861">
        <w:rPr>
          <w:rFonts w:eastAsia="Calibri"/>
          <w:b/>
          <w:sz w:val="28"/>
          <w:szCs w:val="28"/>
          <w:lang w:eastAsia="en-US"/>
        </w:rPr>
        <w:t>(ВП-</w:t>
      </w:r>
      <w:r w:rsidRPr="00520861">
        <w:rPr>
          <w:rFonts w:eastAsia="Calibri"/>
          <w:b/>
          <w:sz w:val="28"/>
          <w:szCs w:val="28"/>
          <w:lang w:val="en-US" w:eastAsia="en-US"/>
        </w:rPr>
        <w:t>V</w:t>
      </w:r>
      <w:r w:rsidRPr="00520861">
        <w:rPr>
          <w:rFonts w:eastAsia="Calibri"/>
          <w:b/>
          <w:sz w:val="28"/>
          <w:szCs w:val="28"/>
          <w:lang w:eastAsia="en-US"/>
        </w:rPr>
        <w:t>, ВП-</w:t>
      </w:r>
      <w:r w:rsidRPr="00520861">
        <w:rPr>
          <w:rFonts w:eastAsia="Calibri"/>
          <w:b/>
          <w:sz w:val="28"/>
          <w:szCs w:val="28"/>
          <w:lang w:val="en-US" w:eastAsia="en-US"/>
        </w:rPr>
        <w:t>VI</w:t>
      </w:r>
      <w:r w:rsidRPr="00520861">
        <w:rPr>
          <w:rFonts w:eastAsia="Calibri"/>
          <w:b/>
          <w:sz w:val="28"/>
          <w:szCs w:val="28"/>
          <w:lang w:eastAsia="en-US"/>
        </w:rPr>
        <w:t>, ВП-</w:t>
      </w:r>
      <w:r w:rsidRPr="00520861">
        <w:rPr>
          <w:rFonts w:eastAsia="Calibri"/>
          <w:b/>
          <w:sz w:val="28"/>
          <w:szCs w:val="28"/>
          <w:lang w:val="en-US" w:eastAsia="en-US"/>
        </w:rPr>
        <w:t>VII</w:t>
      </w:r>
      <w:r w:rsidRPr="00520861">
        <w:rPr>
          <w:rFonts w:eastAsia="Calibri"/>
          <w:b/>
          <w:sz w:val="28"/>
          <w:szCs w:val="28"/>
          <w:lang w:eastAsia="en-US"/>
        </w:rPr>
        <w:t>, ВП-</w:t>
      </w:r>
      <w:r w:rsidRPr="00520861">
        <w:rPr>
          <w:rFonts w:eastAsia="Calibri"/>
          <w:b/>
          <w:sz w:val="28"/>
          <w:szCs w:val="28"/>
          <w:lang w:val="en-US" w:eastAsia="en-US"/>
        </w:rPr>
        <w:t>VIII</w:t>
      </w:r>
      <w:r w:rsidRPr="00520861">
        <w:rPr>
          <w:rFonts w:eastAsia="Calibri"/>
          <w:b/>
          <w:sz w:val="28"/>
          <w:szCs w:val="28"/>
          <w:lang w:eastAsia="en-US"/>
        </w:rPr>
        <w:t>)</w:t>
      </w:r>
      <w:r w:rsidRPr="00520861">
        <w:rPr>
          <w:rFonts w:eastAsiaTheme="minorHAnsi"/>
          <w:b/>
          <w:sz w:val="28"/>
          <w:szCs w:val="28"/>
          <w:lang w:eastAsia="en-US"/>
        </w:rPr>
        <w:t xml:space="preserve"> </w:t>
      </w:r>
      <w:r w:rsidRPr="00520861">
        <w:rPr>
          <w:b/>
          <w:sz w:val="28"/>
          <w:szCs w:val="28"/>
        </w:rPr>
        <w:t>за індексами КПВ, НІК та OHI-S (</w:t>
      </w:r>
      <w:proofErr w:type="spellStart"/>
      <w:r w:rsidRPr="00520861">
        <w:rPr>
          <w:b/>
          <w:sz w:val="28"/>
          <w:szCs w:val="28"/>
        </w:rPr>
        <w:t>Green-Vermillion</w:t>
      </w:r>
      <w:proofErr w:type="spellEnd"/>
      <w:r w:rsidRPr="00520861">
        <w:rPr>
          <w:b/>
          <w:sz w:val="28"/>
          <w:szCs w:val="28"/>
        </w:rPr>
        <w:t>)</w:t>
      </w:r>
    </w:p>
    <w:tbl>
      <w:tblPr>
        <w:tblW w:w="1447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1"/>
        <w:gridCol w:w="1588"/>
        <w:gridCol w:w="2551"/>
        <w:gridCol w:w="1701"/>
        <w:gridCol w:w="1843"/>
        <w:gridCol w:w="2622"/>
        <w:gridCol w:w="2623"/>
        <w:gridCol w:w="15"/>
      </w:tblGrid>
      <w:tr w:rsidR="002E3CE8" w:rsidRPr="00520861" w14:paraId="60EB8572" w14:textId="77777777" w:rsidTr="00292D2E">
        <w:trPr>
          <w:gridAfter w:val="1"/>
          <w:wAfter w:w="15" w:type="dxa"/>
          <w:trHeight w:val="356"/>
          <w:jc w:val="right"/>
        </w:trPr>
        <w:tc>
          <w:tcPr>
            <w:tcW w:w="1531" w:type="dxa"/>
            <w:tcBorders>
              <w:top w:val="single" w:sz="4" w:space="0" w:color="auto"/>
              <w:left w:val="single" w:sz="4" w:space="0" w:color="auto"/>
              <w:bottom w:val="single" w:sz="4" w:space="0" w:color="auto"/>
              <w:right w:val="single" w:sz="4" w:space="0" w:color="auto"/>
            </w:tcBorders>
            <w:hideMark/>
          </w:tcPr>
          <w:p w14:paraId="20EFF2F8" w14:textId="77777777" w:rsidR="002E3CE8" w:rsidRPr="00520861" w:rsidRDefault="002E3CE8" w:rsidP="00292D2E">
            <w:pPr>
              <w:widowControl w:val="0"/>
              <w:spacing w:line="360" w:lineRule="auto"/>
              <w:jc w:val="center"/>
              <w:rPr>
                <w:sz w:val="28"/>
                <w:szCs w:val="28"/>
              </w:rPr>
            </w:pPr>
            <w:r w:rsidRPr="00520861">
              <w:rPr>
                <w:sz w:val="28"/>
                <w:szCs w:val="28"/>
              </w:rPr>
              <w:t xml:space="preserve">Група, </w:t>
            </w:r>
          </w:p>
          <w:p w14:paraId="3048D38F" w14:textId="77777777" w:rsidR="002E3CE8" w:rsidRPr="00520861" w:rsidRDefault="002E3CE8" w:rsidP="00292D2E">
            <w:pPr>
              <w:widowControl w:val="0"/>
              <w:spacing w:line="360" w:lineRule="auto"/>
              <w:jc w:val="center"/>
              <w:rPr>
                <w:sz w:val="28"/>
                <w:szCs w:val="28"/>
              </w:rPr>
            </w:pPr>
            <w:r w:rsidRPr="00520861">
              <w:rPr>
                <w:sz w:val="28"/>
                <w:szCs w:val="28"/>
              </w:rPr>
              <w:t>підгрупа</w:t>
            </w:r>
          </w:p>
        </w:tc>
        <w:tc>
          <w:tcPr>
            <w:tcW w:w="1588" w:type="dxa"/>
            <w:tcBorders>
              <w:top w:val="single" w:sz="4" w:space="0" w:color="auto"/>
              <w:left w:val="single" w:sz="4" w:space="0" w:color="auto"/>
              <w:bottom w:val="single" w:sz="4" w:space="0" w:color="auto"/>
              <w:right w:val="single" w:sz="4" w:space="0" w:color="auto"/>
            </w:tcBorders>
            <w:hideMark/>
          </w:tcPr>
          <w:p w14:paraId="74E8E904" w14:textId="77777777" w:rsidR="002E3CE8" w:rsidRPr="00520861" w:rsidRDefault="002E3CE8" w:rsidP="00292D2E">
            <w:pPr>
              <w:widowControl w:val="0"/>
              <w:spacing w:line="360" w:lineRule="auto"/>
              <w:jc w:val="center"/>
              <w:rPr>
                <w:sz w:val="28"/>
                <w:szCs w:val="28"/>
              </w:rPr>
            </w:pPr>
            <w:r w:rsidRPr="00520861">
              <w:rPr>
                <w:sz w:val="28"/>
                <w:szCs w:val="28"/>
              </w:rPr>
              <w:t>ГП</w:t>
            </w:r>
          </w:p>
        </w:tc>
        <w:tc>
          <w:tcPr>
            <w:tcW w:w="2551" w:type="dxa"/>
            <w:tcBorders>
              <w:top w:val="single" w:sz="4" w:space="0" w:color="auto"/>
              <w:left w:val="single" w:sz="4" w:space="0" w:color="auto"/>
              <w:bottom w:val="single" w:sz="4" w:space="0" w:color="auto"/>
              <w:right w:val="single" w:sz="4" w:space="0" w:color="auto"/>
            </w:tcBorders>
          </w:tcPr>
          <w:p w14:paraId="26403704" w14:textId="77777777" w:rsidR="002E3CE8" w:rsidRPr="00520861" w:rsidRDefault="002E3CE8" w:rsidP="00292D2E">
            <w:pPr>
              <w:widowControl w:val="0"/>
              <w:spacing w:line="360" w:lineRule="auto"/>
              <w:jc w:val="center"/>
              <w:rPr>
                <w:sz w:val="28"/>
                <w:szCs w:val="28"/>
              </w:rPr>
            </w:pPr>
            <w:r w:rsidRPr="00520861">
              <w:rPr>
                <w:sz w:val="28"/>
                <w:szCs w:val="28"/>
              </w:rPr>
              <w:t>ОГ</w:t>
            </w:r>
          </w:p>
        </w:tc>
        <w:tc>
          <w:tcPr>
            <w:tcW w:w="1701" w:type="dxa"/>
          </w:tcPr>
          <w:p w14:paraId="088B51F9"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1</w:t>
            </w:r>
          </w:p>
        </w:tc>
        <w:tc>
          <w:tcPr>
            <w:tcW w:w="1843" w:type="dxa"/>
          </w:tcPr>
          <w:p w14:paraId="63D475CD"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2</w:t>
            </w:r>
          </w:p>
        </w:tc>
        <w:tc>
          <w:tcPr>
            <w:tcW w:w="2622" w:type="dxa"/>
          </w:tcPr>
          <w:p w14:paraId="68B82A16"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3</w:t>
            </w:r>
          </w:p>
        </w:tc>
        <w:tc>
          <w:tcPr>
            <w:tcW w:w="2623" w:type="dxa"/>
          </w:tcPr>
          <w:p w14:paraId="7C338E6A"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4</w:t>
            </w:r>
          </w:p>
        </w:tc>
      </w:tr>
      <w:tr w:rsidR="002E3CE8" w:rsidRPr="00520861" w14:paraId="1F63E30F" w14:textId="77777777" w:rsidTr="00292D2E">
        <w:trPr>
          <w:trHeight w:val="356"/>
          <w:jc w:val="right"/>
        </w:trPr>
        <w:tc>
          <w:tcPr>
            <w:tcW w:w="14474" w:type="dxa"/>
            <w:gridSpan w:val="8"/>
            <w:tcBorders>
              <w:top w:val="single" w:sz="4" w:space="0" w:color="auto"/>
              <w:left w:val="single" w:sz="4" w:space="0" w:color="auto"/>
              <w:bottom w:val="single" w:sz="4" w:space="0" w:color="auto"/>
              <w:right w:val="single" w:sz="4" w:space="0" w:color="auto"/>
            </w:tcBorders>
          </w:tcPr>
          <w:p w14:paraId="466B59E1" w14:textId="77777777" w:rsidR="002E3CE8" w:rsidRPr="00520861" w:rsidRDefault="002E3CE8" w:rsidP="00292D2E">
            <w:pPr>
              <w:widowControl w:val="0"/>
              <w:spacing w:line="360" w:lineRule="auto"/>
              <w:jc w:val="center"/>
              <w:rPr>
                <w:rFonts w:eastAsia="Calibri"/>
                <w:sz w:val="28"/>
                <w:szCs w:val="28"/>
                <w:lang w:eastAsia="en-US"/>
              </w:rPr>
            </w:pPr>
            <w:r w:rsidRPr="00520861">
              <w:rPr>
                <w:sz w:val="28"/>
                <w:szCs w:val="28"/>
              </w:rPr>
              <w:t>OHI-S, бали</w:t>
            </w:r>
          </w:p>
        </w:tc>
      </w:tr>
      <w:tr w:rsidR="002E3CE8" w:rsidRPr="00520861" w14:paraId="12D17702" w14:textId="77777777" w:rsidTr="00292D2E">
        <w:trPr>
          <w:gridAfter w:val="1"/>
          <w:wAfter w:w="15" w:type="dxa"/>
          <w:trHeight w:val="356"/>
          <w:jc w:val="right"/>
        </w:trPr>
        <w:tc>
          <w:tcPr>
            <w:tcW w:w="1531" w:type="dxa"/>
            <w:tcBorders>
              <w:top w:val="single" w:sz="4" w:space="0" w:color="auto"/>
              <w:left w:val="single" w:sz="4" w:space="0" w:color="auto"/>
              <w:bottom w:val="single" w:sz="4" w:space="0" w:color="auto"/>
              <w:right w:val="single" w:sz="4" w:space="0" w:color="auto"/>
            </w:tcBorders>
            <w:hideMark/>
          </w:tcPr>
          <w:p w14:paraId="560A7384" w14:textId="77777777" w:rsidR="002E3CE8" w:rsidRPr="00520861" w:rsidRDefault="002E3CE8" w:rsidP="00292D2E">
            <w:pPr>
              <w:widowControl w:val="0"/>
              <w:spacing w:line="360" w:lineRule="auto"/>
              <w:jc w:val="center"/>
              <w:rPr>
                <w:sz w:val="28"/>
                <w:szCs w:val="28"/>
              </w:rPr>
            </w:pPr>
            <w:r w:rsidRPr="00520861">
              <w:rPr>
                <w:sz w:val="28"/>
                <w:szCs w:val="28"/>
              </w:rPr>
              <w:t>ВП-V</w:t>
            </w:r>
          </w:p>
        </w:tc>
        <w:tc>
          <w:tcPr>
            <w:tcW w:w="1588" w:type="dxa"/>
            <w:tcBorders>
              <w:top w:val="single" w:sz="4" w:space="0" w:color="auto"/>
              <w:left w:val="single" w:sz="4" w:space="0" w:color="auto"/>
              <w:bottom w:val="single" w:sz="4" w:space="0" w:color="auto"/>
              <w:right w:val="single" w:sz="4" w:space="0" w:color="auto"/>
            </w:tcBorders>
            <w:hideMark/>
          </w:tcPr>
          <w:p w14:paraId="69FE6A37" w14:textId="77777777" w:rsidR="002E3CE8" w:rsidRPr="00520861" w:rsidRDefault="002E3CE8" w:rsidP="00292D2E">
            <w:pPr>
              <w:widowControl w:val="0"/>
              <w:spacing w:line="360" w:lineRule="auto"/>
              <w:jc w:val="center"/>
              <w:rPr>
                <w:sz w:val="28"/>
                <w:szCs w:val="28"/>
              </w:rPr>
            </w:pPr>
            <w:r w:rsidRPr="00520861">
              <w:rPr>
                <w:sz w:val="28"/>
                <w:szCs w:val="28"/>
              </w:rPr>
              <w:t>1,74</w:t>
            </w:r>
          </w:p>
        </w:tc>
        <w:tc>
          <w:tcPr>
            <w:tcW w:w="2551" w:type="dxa"/>
            <w:tcBorders>
              <w:top w:val="single" w:sz="4" w:space="0" w:color="auto"/>
              <w:left w:val="single" w:sz="4" w:space="0" w:color="auto"/>
              <w:bottom w:val="single" w:sz="4" w:space="0" w:color="auto"/>
              <w:right w:val="single" w:sz="4" w:space="0" w:color="auto"/>
            </w:tcBorders>
          </w:tcPr>
          <w:p w14:paraId="603DA2F6" w14:textId="77777777" w:rsidR="002E3CE8" w:rsidRPr="00520861" w:rsidRDefault="002E3CE8" w:rsidP="00292D2E">
            <w:pPr>
              <w:widowControl w:val="0"/>
              <w:spacing w:line="360" w:lineRule="auto"/>
              <w:jc w:val="center"/>
              <w:rPr>
                <w:sz w:val="28"/>
                <w:szCs w:val="28"/>
              </w:rPr>
            </w:pPr>
            <w:r w:rsidRPr="00520861">
              <w:rPr>
                <w:sz w:val="28"/>
                <w:szCs w:val="28"/>
              </w:rPr>
              <w:t>1,53</w:t>
            </w:r>
          </w:p>
        </w:tc>
        <w:tc>
          <w:tcPr>
            <w:tcW w:w="1701" w:type="dxa"/>
            <w:tcBorders>
              <w:top w:val="single" w:sz="4" w:space="0" w:color="auto"/>
              <w:left w:val="single" w:sz="4" w:space="0" w:color="auto"/>
              <w:bottom w:val="single" w:sz="4" w:space="0" w:color="auto"/>
              <w:right w:val="single" w:sz="4" w:space="0" w:color="auto"/>
            </w:tcBorders>
          </w:tcPr>
          <w:p w14:paraId="37A18F2F" w14:textId="77777777" w:rsidR="002E3CE8" w:rsidRPr="00520861" w:rsidRDefault="002E3CE8" w:rsidP="00292D2E">
            <w:pPr>
              <w:widowControl w:val="0"/>
              <w:spacing w:line="360" w:lineRule="auto"/>
              <w:jc w:val="center"/>
              <w:rPr>
                <w:sz w:val="28"/>
                <w:szCs w:val="28"/>
              </w:rPr>
            </w:pPr>
            <w:r w:rsidRPr="00520861">
              <w:rPr>
                <w:sz w:val="28"/>
                <w:szCs w:val="28"/>
              </w:rPr>
              <w:t>1,76</w:t>
            </w:r>
          </w:p>
        </w:tc>
        <w:tc>
          <w:tcPr>
            <w:tcW w:w="1843" w:type="dxa"/>
            <w:tcBorders>
              <w:top w:val="single" w:sz="4" w:space="0" w:color="auto"/>
              <w:left w:val="single" w:sz="4" w:space="0" w:color="auto"/>
              <w:bottom w:val="single" w:sz="4" w:space="0" w:color="auto"/>
              <w:right w:val="single" w:sz="4" w:space="0" w:color="auto"/>
            </w:tcBorders>
          </w:tcPr>
          <w:p w14:paraId="4BFED36B" w14:textId="77777777" w:rsidR="002E3CE8" w:rsidRPr="00520861" w:rsidRDefault="002E3CE8" w:rsidP="00292D2E">
            <w:pPr>
              <w:widowControl w:val="0"/>
              <w:spacing w:line="360" w:lineRule="auto"/>
              <w:jc w:val="center"/>
              <w:rPr>
                <w:sz w:val="28"/>
                <w:szCs w:val="28"/>
              </w:rPr>
            </w:pPr>
            <w:r w:rsidRPr="00520861">
              <w:rPr>
                <w:sz w:val="28"/>
                <w:szCs w:val="28"/>
              </w:rPr>
              <w:t>1,72</w:t>
            </w:r>
          </w:p>
        </w:tc>
        <w:tc>
          <w:tcPr>
            <w:tcW w:w="2622" w:type="dxa"/>
            <w:tcBorders>
              <w:top w:val="single" w:sz="4" w:space="0" w:color="auto"/>
              <w:left w:val="single" w:sz="4" w:space="0" w:color="auto"/>
              <w:bottom w:val="single" w:sz="4" w:space="0" w:color="auto"/>
              <w:right w:val="single" w:sz="4" w:space="0" w:color="auto"/>
            </w:tcBorders>
          </w:tcPr>
          <w:p w14:paraId="0A018571" w14:textId="77777777" w:rsidR="002E3CE8" w:rsidRPr="00520861" w:rsidRDefault="002E3CE8" w:rsidP="00292D2E">
            <w:pPr>
              <w:widowControl w:val="0"/>
              <w:spacing w:line="360" w:lineRule="auto"/>
              <w:jc w:val="center"/>
              <w:rPr>
                <w:sz w:val="28"/>
                <w:szCs w:val="28"/>
              </w:rPr>
            </w:pPr>
            <w:r w:rsidRPr="00520861">
              <w:rPr>
                <w:sz w:val="28"/>
                <w:szCs w:val="28"/>
              </w:rPr>
              <w:t>1,36</w:t>
            </w:r>
          </w:p>
        </w:tc>
        <w:tc>
          <w:tcPr>
            <w:tcW w:w="2623" w:type="dxa"/>
            <w:tcBorders>
              <w:top w:val="single" w:sz="4" w:space="0" w:color="auto"/>
              <w:left w:val="single" w:sz="4" w:space="0" w:color="auto"/>
              <w:bottom w:val="single" w:sz="4" w:space="0" w:color="auto"/>
              <w:right w:val="single" w:sz="4" w:space="0" w:color="auto"/>
            </w:tcBorders>
          </w:tcPr>
          <w:p w14:paraId="77690428" w14:textId="77777777" w:rsidR="002E3CE8" w:rsidRPr="00520861" w:rsidRDefault="002E3CE8" w:rsidP="00292D2E">
            <w:pPr>
              <w:widowControl w:val="0"/>
              <w:spacing w:line="360" w:lineRule="auto"/>
              <w:jc w:val="center"/>
              <w:rPr>
                <w:sz w:val="28"/>
                <w:szCs w:val="28"/>
              </w:rPr>
            </w:pPr>
            <w:r w:rsidRPr="00520861">
              <w:rPr>
                <w:sz w:val="28"/>
                <w:szCs w:val="28"/>
              </w:rPr>
              <w:t>1,29</w:t>
            </w:r>
          </w:p>
        </w:tc>
      </w:tr>
      <w:tr w:rsidR="002E3CE8" w:rsidRPr="00520861" w14:paraId="10A376E2" w14:textId="77777777" w:rsidTr="00292D2E">
        <w:trPr>
          <w:gridAfter w:val="1"/>
          <w:wAfter w:w="15" w:type="dxa"/>
          <w:trHeight w:val="356"/>
          <w:jc w:val="right"/>
        </w:trPr>
        <w:tc>
          <w:tcPr>
            <w:tcW w:w="1531" w:type="dxa"/>
            <w:tcBorders>
              <w:top w:val="single" w:sz="4" w:space="0" w:color="auto"/>
              <w:left w:val="single" w:sz="4" w:space="0" w:color="auto"/>
              <w:bottom w:val="single" w:sz="4" w:space="0" w:color="auto"/>
              <w:right w:val="single" w:sz="4" w:space="0" w:color="auto"/>
            </w:tcBorders>
            <w:hideMark/>
          </w:tcPr>
          <w:p w14:paraId="08CF409A" w14:textId="77777777" w:rsidR="002E3CE8" w:rsidRPr="00520861" w:rsidRDefault="002E3CE8" w:rsidP="00292D2E">
            <w:pPr>
              <w:widowControl w:val="0"/>
              <w:spacing w:line="360" w:lineRule="auto"/>
              <w:jc w:val="center"/>
              <w:rPr>
                <w:sz w:val="28"/>
                <w:szCs w:val="28"/>
              </w:rPr>
            </w:pPr>
            <w:r w:rsidRPr="00520861">
              <w:rPr>
                <w:sz w:val="28"/>
                <w:szCs w:val="28"/>
              </w:rPr>
              <w:t>ВП-VІ</w:t>
            </w:r>
          </w:p>
        </w:tc>
        <w:tc>
          <w:tcPr>
            <w:tcW w:w="1588" w:type="dxa"/>
            <w:tcBorders>
              <w:top w:val="single" w:sz="4" w:space="0" w:color="auto"/>
              <w:left w:val="single" w:sz="4" w:space="0" w:color="auto"/>
              <w:bottom w:val="single" w:sz="4" w:space="0" w:color="auto"/>
              <w:right w:val="single" w:sz="4" w:space="0" w:color="auto"/>
            </w:tcBorders>
            <w:hideMark/>
          </w:tcPr>
          <w:p w14:paraId="11EE0241" w14:textId="77777777" w:rsidR="002E3CE8" w:rsidRPr="00520861" w:rsidRDefault="002E3CE8" w:rsidP="00292D2E">
            <w:pPr>
              <w:widowControl w:val="0"/>
              <w:spacing w:line="360" w:lineRule="auto"/>
              <w:jc w:val="center"/>
              <w:rPr>
                <w:sz w:val="28"/>
                <w:szCs w:val="28"/>
              </w:rPr>
            </w:pPr>
            <w:r w:rsidRPr="00520861">
              <w:rPr>
                <w:sz w:val="28"/>
                <w:szCs w:val="28"/>
              </w:rPr>
              <w:t>1,63</w:t>
            </w:r>
          </w:p>
        </w:tc>
        <w:tc>
          <w:tcPr>
            <w:tcW w:w="2551" w:type="dxa"/>
            <w:tcBorders>
              <w:top w:val="single" w:sz="4" w:space="0" w:color="auto"/>
              <w:left w:val="single" w:sz="4" w:space="0" w:color="auto"/>
              <w:bottom w:val="single" w:sz="4" w:space="0" w:color="auto"/>
              <w:right w:val="single" w:sz="4" w:space="0" w:color="auto"/>
            </w:tcBorders>
          </w:tcPr>
          <w:p w14:paraId="72D934D4" w14:textId="77777777" w:rsidR="002E3CE8" w:rsidRPr="00520861" w:rsidRDefault="002E3CE8" w:rsidP="00292D2E">
            <w:pPr>
              <w:widowControl w:val="0"/>
              <w:spacing w:line="360" w:lineRule="auto"/>
              <w:jc w:val="center"/>
              <w:rPr>
                <w:sz w:val="28"/>
                <w:szCs w:val="28"/>
              </w:rPr>
            </w:pPr>
            <w:r w:rsidRPr="00520861">
              <w:rPr>
                <w:sz w:val="28"/>
                <w:szCs w:val="28"/>
              </w:rPr>
              <w:t>1,39</w:t>
            </w:r>
          </w:p>
        </w:tc>
        <w:tc>
          <w:tcPr>
            <w:tcW w:w="1701" w:type="dxa"/>
            <w:tcBorders>
              <w:top w:val="single" w:sz="4" w:space="0" w:color="auto"/>
              <w:left w:val="single" w:sz="4" w:space="0" w:color="auto"/>
              <w:bottom w:val="single" w:sz="4" w:space="0" w:color="auto"/>
              <w:right w:val="single" w:sz="4" w:space="0" w:color="auto"/>
            </w:tcBorders>
          </w:tcPr>
          <w:p w14:paraId="11CC9238" w14:textId="77777777" w:rsidR="002E3CE8" w:rsidRPr="00520861" w:rsidRDefault="002E3CE8" w:rsidP="00292D2E">
            <w:pPr>
              <w:widowControl w:val="0"/>
              <w:spacing w:line="360" w:lineRule="auto"/>
              <w:jc w:val="center"/>
              <w:rPr>
                <w:sz w:val="28"/>
                <w:szCs w:val="28"/>
              </w:rPr>
            </w:pPr>
            <w:r w:rsidRPr="00520861">
              <w:rPr>
                <w:sz w:val="28"/>
                <w:szCs w:val="28"/>
              </w:rPr>
              <w:t>1,72</w:t>
            </w:r>
          </w:p>
        </w:tc>
        <w:tc>
          <w:tcPr>
            <w:tcW w:w="1843" w:type="dxa"/>
            <w:tcBorders>
              <w:top w:val="single" w:sz="4" w:space="0" w:color="auto"/>
              <w:left w:val="single" w:sz="4" w:space="0" w:color="auto"/>
              <w:bottom w:val="single" w:sz="4" w:space="0" w:color="auto"/>
              <w:right w:val="single" w:sz="4" w:space="0" w:color="auto"/>
            </w:tcBorders>
          </w:tcPr>
          <w:p w14:paraId="701222B7" w14:textId="77777777" w:rsidR="002E3CE8" w:rsidRPr="00520861" w:rsidRDefault="002E3CE8" w:rsidP="00292D2E">
            <w:pPr>
              <w:widowControl w:val="0"/>
              <w:spacing w:line="360" w:lineRule="auto"/>
              <w:jc w:val="center"/>
              <w:rPr>
                <w:sz w:val="28"/>
                <w:szCs w:val="28"/>
              </w:rPr>
            </w:pPr>
            <w:r w:rsidRPr="00520861">
              <w:rPr>
                <w:sz w:val="28"/>
                <w:szCs w:val="28"/>
              </w:rPr>
              <w:t>1,60</w:t>
            </w:r>
          </w:p>
        </w:tc>
        <w:tc>
          <w:tcPr>
            <w:tcW w:w="2622" w:type="dxa"/>
            <w:tcBorders>
              <w:top w:val="single" w:sz="4" w:space="0" w:color="auto"/>
              <w:left w:val="single" w:sz="4" w:space="0" w:color="auto"/>
              <w:bottom w:val="single" w:sz="4" w:space="0" w:color="auto"/>
              <w:right w:val="single" w:sz="4" w:space="0" w:color="auto"/>
            </w:tcBorders>
          </w:tcPr>
          <w:p w14:paraId="02CAC56A" w14:textId="77777777" w:rsidR="002E3CE8" w:rsidRPr="00520861" w:rsidRDefault="002E3CE8" w:rsidP="00292D2E">
            <w:pPr>
              <w:widowControl w:val="0"/>
              <w:spacing w:line="360" w:lineRule="auto"/>
              <w:jc w:val="center"/>
              <w:rPr>
                <w:sz w:val="28"/>
                <w:szCs w:val="28"/>
              </w:rPr>
            </w:pPr>
            <w:r w:rsidRPr="00520861">
              <w:rPr>
                <w:sz w:val="28"/>
                <w:szCs w:val="28"/>
              </w:rPr>
              <w:t>1,26</w:t>
            </w:r>
          </w:p>
        </w:tc>
        <w:tc>
          <w:tcPr>
            <w:tcW w:w="2623" w:type="dxa"/>
            <w:tcBorders>
              <w:top w:val="single" w:sz="4" w:space="0" w:color="auto"/>
              <w:left w:val="single" w:sz="4" w:space="0" w:color="auto"/>
              <w:bottom w:val="single" w:sz="4" w:space="0" w:color="auto"/>
              <w:right w:val="single" w:sz="4" w:space="0" w:color="auto"/>
            </w:tcBorders>
          </w:tcPr>
          <w:p w14:paraId="38041B98" w14:textId="77777777" w:rsidR="002E3CE8" w:rsidRPr="00520861" w:rsidRDefault="002E3CE8" w:rsidP="00292D2E">
            <w:pPr>
              <w:widowControl w:val="0"/>
              <w:spacing w:line="360" w:lineRule="auto"/>
              <w:jc w:val="center"/>
              <w:rPr>
                <w:sz w:val="28"/>
                <w:szCs w:val="28"/>
              </w:rPr>
            </w:pPr>
            <w:r w:rsidRPr="00520861">
              <w:rPr>
                <w:sz w:val="28"/>
                <w:szCs w:val="28"/>
              </w:rPr>
              <w:t>1,08* (</w:t>
            </w:r>
            <w:r w:rsidRPr="00520861">
              <w:rPr>
                <w:i/>
                <w:sz w:val="28"/>
                <w:szCs w:val="28"/>
              </w:rPr>
              <w:t>p</w:t>
            </w:r>
            <w:r w:rsidRPr="00520861">
              <w:rPr>
                <w:sz w:val="28"/>
                <w:szCs w:val="28"/>
              </w:rPr>
              <w:t>=0,02959)</w:t>
            </w:r>
          </w:p>
        </w:tc>
      </w:tr>
      <w:tr w:rsidR="002E3CE8" w:rsidRPr="00520861" w14:paraId="3E6CD4B9" w14:textId="77777777" w:rsidTr="00292D2E">
        <w:trPr>
          <w:gridAfter w:val="1"/>
          <w:wAfter w:w="15" w:type="dxa"/>
          <w:trHeight w:val="356"/>
          <w:jc w:val="right"/>
        </w:trPr>
        <w:tc>
          <w:tcPr>
            <w:tcW w:w="1531" w:type="dxa"/>
            <w:tcBorders>
              <w:top w:val="single" w:sz="4" w:space="0" w:color="auto"/>
              <w:left w:val="single" w:sz="4" w:space="0" w:color="auto"/>
              <w:bottom w:val="single" w:sz="4" w:space="0" w:color="auto"/>
              <w:right w:val="single" w:sz="4" w:space="0" w:color="auto"/>
            </w:tcBorders>
            <w:hideMark/>
          </w:tcPr>
          <w:p w14:paraId="6A146C5A" w14:textId="77777777" w:rsidR="002E3CE8" w:rsidRPr="00520861" w:rsidRDefault="002E3CE8" w:rsidP="00292D2E">
            <w:pPr>
              <w:widowControl w:val="0"/>
              <w:spacing w:line="360" w:lineRule="auto"/>
              <w:jc w:val="center"/>
              <w:rPr>
                <w:sz w:val="28"/>
                <w:szCs w:val="28"/>
              </w:rPr>
            </w:pPr>
            <w:r w:rsidRPr="00520861">
              <w:rPr>
                <w:sz w:val="28"/>
                <w:szCs w:val="28"/>
              </w:rPr>
              <w:t>ВП-VІІ</w:t>
            </w:r>
          </w:p>
        </w:tc>
        <w:tc>
          <w:tcPr>
            <w:tcW w:w="1588" w:type="dxa"/>
            <w:tcBorders>
              <w:top w:val="single" w:sz="4" w:space="0" w:color="auto"/>
              <w:left w:val="single" w:sz="4" w:space="0" w:color="auto"/>
              <w:bottom w:val="single" w:sz="4" w:space="0" w:color="auto"/>
              <w:right w:val="single" w:sz="4" w:space="0" w:color="auto"/>
            </w:tcBorders>
            <w:hideMark/>
          </w:tcPr>
          <w:p w14:paraId="2C8DB800" w14:textId="77777777" w:rsidR="002E3CE8" w:rsidRPr="00520861" w:rsidRDefault="002E3CE8" w:rsidP="00292D2E">
            <w:pPr>
              <w:widowControl w:val="0"/>
              <w:spacing w:line="360" w:lineRule="auto"/>
              <w:jc w:val="center"/>
              <w:rPr>
                <w:sz w:val="28"/>
                <w:szCs w:val="28"/>
              </w:rPr>
            </w:pPr>
            <w:r w:rsidRPr="00520861">
              <w:rPr>
                <w:sz w:val="28"/>
                <w:szCs w:val="28"/>
              </w:rPr>
              <w:t>1,69</w:t>
            </w:r>
          </w:p>
        </w:tc>
        <w:tc>
          <w:tcPr>
            <w:tcW w:w="2551" w:type="dxa"/>
            <w:tcBorders>
              <w:top w:val="single" w:sz="4" w:space="0" w:color="auto"/>
              <w:left w:val="single" w:sz="4" w:space="0" w:color="auto"/>
              <w:bottom w:val="single" w:sz="4" w:space="0" w:color="auto"/>
              <w:right w:val="single" w:sz="4" w:space="0" w:color="auto"/>
            </w:tcBorders>
          </w:tcPr>
          <w:p w14:paraId="53D8A2C7" w14:textId="77777777" w:rsidR="002E3CE8" w:rsidRPr="00520861" w:rsidRDefault="002E3CE8" w:rsidP="00292D2E">
            <w:pPr>
              <w:widowControl w:val="0"/>
              <w:spacing w:line="360" w:lineRule="auto"/>
              <w:jc w:val="center"/>
              <w:rPr>
                <w:sz w:val="28"/>
                <w:szCs w:val="28"/>
              </w:rPr>
            </w:pPr>
            <w:r w:rsidRPr="00520861">
              <w:rPr>
                <w:sz w:val="28"/>
                <w:szCs w:val="28"/>
              </w:rPr>
              <w:t>1,17*</w:t>
            </w:r>
            <w:r w:rsidRPr="00520861">
              <w:rPr>
                <w:sz w:val="28"/>
                <w:szCs w:val="28"/>
                <w:lang w:val="en-US"/>
              </w:rPr>
              <w:t xml:space="preserve"> </w:t>
            </w:r>
            <w:r w:rsidRPr="00520861">
              <w:rPr>
                <w:sz w:val="28"/>
                <w:szCs w:val="28"/>
              </w:rPr>
              <w:t>(</w:t>
            </w:r>
            <w:r w:rsidRPr="00520861">
              <w:rPr>
                <w:i/>
                <w:sz w:val="28"/>
                <w:szCs w:val="28"/>
              </w:rPr>
              <w:t>p</w:t>
            </w:r>
            <w:r w:rsidRPr="00520861">
              <w:rPr>
                <w:sz w:val="28"/>
                <w:szCs w:val="28"/>
              </w:rPr>
              <w:t>=0,00284)</w:t>
            </w:r>
          </w:p>
        </w:tc>
        <w:tc>
          <w:tcPr>
            <w:tcW w:w="1701" w:type="dxa"/>
            <w:tcBorders>
              <w:top w:val="single" w:sz="4" w:space="0" w:color="auto"/>
              <w:left w:val="single" w:sz="4" w:space="0" w:color="auto"/>
              <w:bottom w:val="single" w:sz="4" w:space="0" w:color="auto"/>
              <w:right w:val="single" w:sz="4" w:space="0" w:color="auto"/>
            </w:tcBorders>
          </w:tcPr>
          <w:p w14:paraId="38E990C6" w14:textId="77777777" w:rsidR="002E3CE8" w:rsidRPr="00520861" w:rsidRDefault="002E3CE8" w:rsidP="00292D2E">
            <w:pPr>
              <w:widowControl w:val="0"/>
              <w:spacing w:line="360" w:lineRule="auto"/>
              <w:jc w:val="center"/>
              <w:rPr>
                <w:sz w:val="28"/>
                <w:szCs w:val="28"/>
              </w:rPr>
            </w:pPr>
            <w:r w:rsidRPr="00520861">
              <w:rPr>
                <w:sz w:val="28"/>
                <w:szCs w:val="28"/>
              </w:rPr>
              <w:t>1,79</w:t>
            </w:r>
          </w:p>
        </w:tc>
        <w:tc>
          <w:tcPr>
            <w:tcW w:w="1843" w:type="dxa"/>
            <w:tcBorders>
              <w:top w:val="single" w:sz="4" w:space="0" w:color="auto"/>
              <w:left w:val="single" w:sz="4" w:space="0" w:color="auto"/>
              <w:bottom w:val="single" w:sz="4" w:space="0" w:color="auto"/>
              <w:right w:val="single" w:sz="4" w:space="0" w:color="auto"/>
            </w:tcBorders>
          </w:tcPr>
          <w:p w14:paraId="7363C5A8" w14:textId="77777777" w:rsidR="002E3CE8" w:rsidRPr="00520861" w:rsidRDefault="002E3CE8" w:rsidP="00292D2E">
            <w:pPr>
              <w:widowControl w:val="0"/>
              <w:spacing w:line="360" w:lineRule="auto"/>
              <w:jc w:val="center"/>
              <w:rPr>
                <w:sz w:val="28"/>
                <w:szCs w:val="28"/>
              </w:rPr>
            </w:pPr>
            <w:r w:rsidRPr="00520861">
              <w:rPr>
                <w:sz w:val="28"/>
                <w:szCs w:val="28"/>
              </w:rPr>
              <w:t>1,71</w:t>
            </w:r>
          </w:p>
        </w:tc>
        <w:tc>
          <w:tcPr>
            <w:tcW w:w="2622" w:type="dxa"/>
            <w:tcBorders>
              <w:top w:val="single" w:sz="4" w:space="0" w:color="auto"/>
              <w:left w:val="single" w:sz="4" w:space="0" w:color="auto"/>
              <w:bottom w:val="single" w:sz="4" w:space="0" w:color="auto"/>
              <w:right w:val="single" w:sz="4" w:space="0" w:color="auto"/>
            </w:tcBorders>
          </w:tcPr>
          <w:p w14:paraId="55A2B40B" w14:textId="77777777" w:rsidR="002E3CE8" w:rsidRPr="00520861" w:rsidRDefault="002E3CE8" w:rsidP="00292D2E">
            <w:pPr>
              <w:widowControl w:val="0"/>
              <w:spacing w:line="360" w:lineRule="auto"/>
              <w:jc w:val="center"/>
              <w:rPr>
                <w:sz w:val="28"/>
                <w:szCs w:val="28"/>
              </w:rPr>
            </w:pPr>
            <w:r w:rsidRPr="00520861">
              <w:rPr>
                <w:sz w:val="28"/>
                <w:szCs w:val="28"/>
              </w:rPr>
              <w:t>1,15*</w:t>
            </w:r>
            <w:r w:rsidRPr="00520861">
              <w:rPr>
                <w:sz w:val="28"/>
                <w:szCs w:val="28"/>
                <w:lang w:val="en-US"/>
              </w:rPr>
              <w:t xml:space="preserve"> </w:t>
            </w:r>
            <w:r w:rsidRPr="00520861">
              <w:rPr>
                <w:sz w:val="28"/>
                <w:szCs w:val="28"/>
              </w:rPr>
              <w:t>(</w:t>
            </w:r>
            <w:r w:rsidRPr="00520861">
              <w:rPr>
                <w:i/>
                <w:sz w:val="28"/>
                <w:szCs w:val="28"/>
              </w:rPr>
              <w:t>p</w:t>
            </w:r>
            <w:r w:rsidRPr="00520861">
              <w:rPr>
                <w:sz w:val="28"/>
                <w:szCs w:val="28"/>
              </w:rPr>
              <w:t>=0,00526)</w:t>
            </w:r>
          </w:p>
        </w:tc>
        <w:tc>
          <w:tcPr>
            <w:tcW w:w="2623" w:type="dxa"/>
            <w:tcBorders>
              <w:top w:val="single" w:sz="4" w:space="0" w:color="auto"/>
              <w:left w:val="single" w:sz="4" w:space="0" w:color="auto"/>
              <w:bottom w:val="single" w:sz="4" w:space="0" w:color="auto"/>
              <w:right w:val="single" w:sz="4" w:space="0" w:color="auto"/>
            </w:tcBorders>
          </w:tcPr>
          <w:p w14:paraId="5DE1E721" w14:textId="77777777" w:rsidR="002E3CE8" w:rsidRPr="00520861" w:rsidRDefault="002E3CE8" w:rsidP="00292D2E">
            <w:pPr>
              <w:widowControl w:val="0"/>
              <w:spacing w:line="360" w:lineRule="auto"/>
              <w:jc w:val="center"/>
              <w:rPr>
                <w:sz w:val="28"/>
                <w:szCs w:val="28"/>
              </w:rPr>
            </w:pPr>
            <w:r w:rsidRPr="00520861">
              <w:rPr>
                <w:sz w:val="28"/>
                <w:szCs w:val="28"/>
              </w:rPr>
              <w:t>0,68* (</w:t>
            </w:r>
            <w:r w:rsidRPr="00520861">
              <w:rPr>
                <w:i/>
                <w:sz w:val="28"/>
                <w:szCs w:val="28"/>
              </w:rPr>
              <w:t>p</w:t>
            </w:r>
            <w:r w:rsidRPr="00520861">
              <w:rPr>
                <w:sz w:val="28"/>
                <w:szCs w:val="28"/>
              </w:rPr>
              <w:t>=0,00000)</w:t>
            </w:r>
          </w:p>
        </w:tc>
      </w:tr>
      <w:tr w:rsidR="002E3CE8" w:rsidRPr="00520861" w14:paraId="1F2AC917" w14:textId="77777777" w:rsidTr="00292D2E">
        <w:trPr>
          <w:gridAfter w:val="1"/>
          <w:wAfter w:w="15" w:type="dxa"/>
          <w:trHeight w:val="356"/>
          <w:jc w:val="right"/>
        </w:trPr>
        <w:tc>
          <w:tcPr>
            <w:tcW w:w="1531" w:type="dxa"/>
            <w:tcBorders>
              <w:top w:val="single" w:sz="4" w:space="0" w:color="auto"/>
              <w:left w:val="single" w:sz="4" w:space="0" w:color="auto"/>
              <w:bottom w:val="single" w:sz="4" w:space="0" w:color="auto"/>
              <w:right w:val="single" w:sz="4" w:space="0" w:color="auto"/>
            </w:tcBorders>
            <w:hideMark/>
          </w:tcPr>
          <w:p w14:paraId="7029A115" w14:textId="77777777" w:rsidR="002E3CE8" w:rsidRPr="00520861" w:rsidRDefault="002E3CE8" w:rsidP="00292D2E">
            <w:pPr>
              <w:widowControl w:val="0"/>
              <w:spacing w:line="360" w:lineRule="auto"/>
              <w:jc w:val="center"/>
              <w:rPr>
                <w:sz w:val="28"/>
                <w:szCs w:val="28"/>
                <w:lang w:val="en-US"/>
              </w:rPr>
            </w:pPr>
            <w:r w:rsidRPr="00520861">
              <w:rPr>
                <w:sz w:val="28"/>
                <w:szCs w:val="28"/>
              </w:rPr>
              <w:t>ВП-VІ</w:t>
            </w:r>
            <w:r w:rsidRPr="00520861">
              <w:rPr>
                <w:sz w:val="28"/>
                <w:szCs w:val="28"/>
                <w:lang w:val="en-US"/>
              </w:rPr>
              <w:t>II</w:t>
            </w:r>
          </w:p>
        </w:tc>
        <w:tc>
          <w:tcPr>
            <w:tcW w:w="1588" w:type="dxa"/>
            <w:tcBorders>
              <w:top w:val="single" w:sz="4" w:space="0" w:color="auto"/>
              <w:left w:val="single" w:sz="4" w:space="0" w:color="auto"/>
              <w:bottom w:val="single" w:sz="4" w:space="0" w:color="auto"/>
              <w:right w:val="single" w:sz="4" w:space="0" w:color="auto"/>
            </w:tcBorders>
            <w:hideMark/>
          </w:tcPr>
          <w:p w14:paraId="0815A7B5" w14:textId="77777777" w:rsidR="002E3CE8" w:rsidRPr="00520861" w:rsidRDefault="002E3CE8" w:rsidP="00292D2E">
            <w:pPr>
              <w:widowControl w:val="0"/>
              <w:spacing w:line="360" w:lineRule="auto"/>
              <w:jc w:val="center"/>
              <w:rPr>
                <w:sz w:val="28"/>
                <w:szCs w:val="28"/>
              </w:rPr>
            </w:pPr>
            <w:r w:rsidRPr="00520861">
              <w:rPr>
                <w:sz w:val="28"/>
                <w:szCs w:val="28"/>
              </w:rPr>
              <w:t>1,78</w:t>
            </w:r>
          </w:p>
        </w:tc>
        <w:tc>
          <w:tcPr>
            <w:tcW w:w="2551" w:type="dxa"/>
            <w:tcBorders>
              <w:top w:val="single" w:sz="4" w:space="0" w:color="auto"/>
              <w:left w:val="single" w:sz="4" w:space="0" w:color="auto"/>
              <w:bottom w:val="single" w:sz="4" w:space="0" w:color="auto"/>
              <w:right w:val="single" w:sz="4" w:space="0" w:color="auto"/>
            </w:tcBorders>
          </w:tcPr>
          <w:p w14:paraId="41CF6EA5" w14:textId="77777777" w:rsidR="002E3CE8" w:rsidRPr="00520861" w:rsidRDefault="002E3CE8" w:rsidP="00292D2E">
            <w:pPr>
              <w:widowControl w:val="0"/>
              <w:spacing w:line="360" w:lineRule="auto"/>
              <w:jc w:val="center"/>
              <w:rPr>
                <w:sz w:val="28"/>
                <w:szCs w:val="28"/>
              </w:rPr>
            </w:pPr>
            <w:r w:rsidRPr="00520861">
              <w:rPr>
                <w:sz w:val="28"/>
                <w:szCs w:val="28"/>
              </w:rPr>
              <w:t>1,30</w:t>
            </w:r>
          </w:p>
        </w:tc>
        <w:tc>
          <w:tcPr>
            <w:tcW w:w="1701" w:type="dxa"/>
            <w:tcBorders>
              <w:top w:val="single" w:sz="4" w:space="0" w:color="auto"/>
              <w:left w:val="single" w:sz="4" w:space="0" w:color="auto"/>
              <w:bottom w:val="single" w:sz="4" w:space="0" w:color="auto"/>
              <w:right w:val="single" w:sz="4" w:space="0" w:color="auto"/>
            </w:tcBorders>
          </w:tcPr>
          <w:p w14:paraId="4DD48A01" w14:textId="77777777" w:rsidR="002E3CE8" w:rsidRPr="00520861" w:rsidRDefault="002E3CE8" w:rsidP="00292D2E">
            <w:pPr>
              <w:widowControl w:val="0"/>
              <w:spacing w:line="360" w:lineRule="auto"/>
              <w:jc w:val="center"/>
              <w:rPr>
                <w:sz w:val="28"/>
                <w:szCs w:val="28"/>
              </w:rPr>
            </w:pPr>
            <w:r w:rsidRPr="00520861">
              <w:rPr>
                <w:sz w:val="28"/>
                <w:szCs w:val="28"/>
              </w:rPr>
              <w:t>2,13</w:t>
            </w:r>
          </w:p>
        </w:tc>
        <w:tc>
          <w:tcPr>
            <w:tcW w:w="1843" w:type="dxa"/>
            <w:tcBorders>
              <w:top w:val="single" w:sz="4" w:space="0" w:color="auto"/>
              <w:left w:val="single" w:sz="4" w:space="0" w:color="auto"/>
              <w:bottom w:val="single" w:sz="4" w:space="0" w:color="auto"/>
              <w:right w:val="single" w:sz="4" w:space="0" w:color="auto"/>
            </w:tcBorders>
          </w:tcPr>
          <w:p w14:paraId="6DBF2EF0" w14:textId="77777777" w:rsidR="002E3CE8" w:rsidRPr="00520861" w:rsidRDefault="002E3CE8" w:rsidP="00292D2E">
            <w:pPr>
              <w:widowControl w:val="0"/>
              <w:spacing w:line="360" w:lineRule="auto"/>
              <w:jc w:val="center"/>
              <w:rPr>
                <w:sz w:val="28"/>
                <w:szCs w:val="28"/>
              </w:rPr>
            </w:pPr>
            <w:r w:rsidRPr="00520861">
              <w:rPr>
                <w:sz w:val="28"/>
                <w:szCs w:val="28"/>
              </w:rPr>
              <w:t>1,89</w:t>
            </w:r>
          </w:p>
        </w:tc>
        <w:tc>
          <w:tcPr>
            <w:tcW w:w="2622" w:type="dxa"/>
            <w:tcBorders>
              <w:top w:val="single" w:sz="4" w:space="0" w:color="auto"/>
              <w:left w:val="single" w:sz="4" w:space="0" w:color="auto"/>
              <w:bottom w:val="single" w:sz="4" w:space="0" w:color="auto"/>
              <w:right w:val="single" w:sz="4" w:space="0" w:color="auto"/>
            </w:tcBorders>
          </w:tcPr>
          <w:p w14:paraId="5A78A093" w14:textId="77777777" w:rsidR="002E3CE8" w:rsidRPr="00520861" w:rsidRDefault="002E3CE8" w:rsidP="00292D2E">
            <w:pPr>
              <w:widowControl w:val="0"/>
              <w:spacing w:line="360" w:lineRule="auto"/>
              <w:jc w:val="center"/>
              <w:rPr>
                <w:sz w:val="28"/>
                <w:szCs w:val="28"/>
              </w:rPr>
            </w:pPr>
            <w:r w:rsidRPr="00520861">
              <w:rPr>
                <w:sz w:val="28"/>
                <w:szCs w:val="28"/>
              </w:rPr>
              <w:t>1,40</w:t>
            </w:r>
          </w:p>
        </w:tc>
        <w:tc>
          <w:tcPr>
            <w:tcW w:w="2623" w:type="dxa"/>
            <w:tcBorders>
              <w:top w:val="single" w:sz="4" w:space="0" w:color="auto"/>
              <w:left w:val="single" w:sz="4" w:space="0" w:color="auto"/>
              <w:bottom w:val="single" w:sz="4" w:space="0" w:color="auto"/>
              <w:right w:val="single" w:sz="4" w:space="0" w:color="auto"/>
            </w:tcBorders>
          </w:tcPr>
          <w:p w14:paraId="60B51D1D" w14:textId="77777777" w:rsidR="002E3CE8" w:rsidRPr="00520861" w:rsidRDefault="002E3CE8" w:rsidP="00292D2E">
            <w:pPr>
              <w:widowControl w:val="0"/>
              <w:spacing w:line="360" w:lineRule="auto"/>
              <w:jc w:val="center"/>
              <w:rPr>
                <w:sz w:val="28"/>
                <w:szCs w:val="28"/>
              </w:rPr>
            </w:pPr>
            <w:r w:rsidRPr="00520861">
              <w:rPr>
                <w:sz w:val="28"/>
                <w:szCs w:val="28"/>
              </w:rPr>
              <w:t>0,83* (</w:t>
            </w:r>
            <w:r w:rsidRPr="00520861">
              <w:rPr>
                <w:i/>
                <w:sz w:val="28"/>
                <w:szCs w:val="28"/>
              </w:rPr>
              <w:t>p</w:t>
            </w:r>
            <w:r w:rsidRPr="00520861">
              <w:rPr>
                <w:sz w:val="28"/>
                <w:szCs w:val="28"/>
              </w:rPr>
              <w:t>=0,00939)</w:t>
            </w:r>
          </w:p>
        </w:tc>
      </w:tr>
      <w:tr w:rsidR="002E3CE8" w:rsidRPr="00520861" w14:paraId="5BAD3D3D" w14:textId="77777777" w:rsidTr="00292D2E">
        <w:trPr>
          <w:trHeight w:val="356"/>
          <w:jc w:val="right"/>
        </w:trPr>
        <w:tc>
          <w:tcPr>
            <w:tcW w:w="14474" w:type="dxa"/>
            <w:gridSpan w:val="8"/>
            <w:tcBorders>
              <w:top w:val="single" w:sz="4" w:space="0" w:color="auto"/>
              <w:left w:val="single" w:sz="4" w:space="0" w:color="auto"/>
              <w:bottom w:val="single" w:sz="4" w:space="0" w:color="auto"/>
              <w:right w:val="single" w:sz="4" w:space="0" w:color="auto"/>
            </w:tcBorders>
          </w:tcPr>
          <w:p w14:paraId="47712BE1" w14:textId="77777777" w:rsidR="002E3CE8" w:rsidRPr="00520861" w:rsidRDefault="002E3CE8" w:rsidP="00292D2E">
            <w:pPr>
              <w:widowControl w:val="0"/>
              <w:spacing w:line="360" w:lineRule="auto"/>
              <w:jc w:val="center"/>
              <w:rPr>
                <w:sz w:val="28"/>
                <w:szCs w:val="28"/>
              </w:rPr>
            </w:pPr>
            <w:r w:rsidRPr="00520861">
              <w:rPr>
                <w:sz w:val="28"/>
                <w:szCs w:val="28"/>
              </w:rPr>
              <w:t>КПВ та (НІК), бали</w:t>
            </w:r>
          </w:p>
        </w:tc>
      </w:tr>
      <w:tr w:rsidR="002E3CE8" w:rsidRPr="00520861" w14:paraId="1BBAE557" w14:textId="77777777" w:rsidTr="00292D2E">
        <w:trPr>
          <w:gridAfter w:val="1"/>
          <w:wAfter w:w="15" w:type="dxa"/>
          <w:jc w:val="right"/>
        </w:trPr>
        <w:tc>
          <w:tcPr>
            <w:tcW w:w="1531" w:type="dxa"/>
            <w:tcBorders>
              <w:top w:val="single" w:sz="4" w:space="0" w:color="auto"/>
              <w:left w:val="single" w:sz="4" w:space="0" w:color="auto"/>
              <w:bottom w:val="single" w:sz="4" w:space="0" w:color="auto"/>
              <w:right w:val="single" w:sz="4" w:space="0" w:color="auto"/>
            </w:tcBorders>
          </w:tcPr>
          <w:p w14:paraId="20133995" w14:textId="77777777" w:rsidR="002E3CE8" w:rsidRPr="00520861" w:rsidRDefault="002E3CE8" w:rsidP="00292D2E">
            <w:pPr>
              <w:widowControl w:val="0"/>
              <w:spacing w:line="360" w:lineRule="auto"/>
              <w:jc w:val="center"/>
              <w:rPr>
                <w:sz w:val="28"/>
                <w:szCs w:val="28"/>
              </w:rPr>
            </w:pPr>
            <w:r w:rsidRPr="00520861">
              <w:rPr>
                <w:sz w:val="28"/>
                <w:szCs w:val="28"/>
                <w:lang w:val="ru-RU"/>
              </w:rPr>
              <w:t>ВП-</w:t>
            </w:r>
            <w:r w:rsidRPr="00520861">
              <w:rPr>
                <w:sz w:val="28"/>
                <w:szCs w:val="28"/>
              </w:rPr>
              <w:t>V</w:t>
            </w:r>
          </w:p>
        </w:tc>
        <w:tc>
          <w:tcPr>
            <w:tcW w:w="1588" w:type="dxa"/>
            <w:tcBorders>
              <w:top w:val="single" w:sz="4" w:space="0" w:color="auto"/>
              <w:left w:val="single" w:sz="4" w:space="0" w:color="auto"/>
              <w:bottom w:val="single" w:sz="4" w:space="0" w:color="auto"/>
              <w:right w:val="single" w:sz="4" w:space="0" w:color="auto"/>
            </w:tcBorders>
            <w:hideMark/>
          </w:tcPr>
          <w:p w14:paraId="1C94DC9A" w14:textId="77777777" w:rsidR="002E3CE8" w:rsidRPr="00520861" w:rsidRDefault="002E3CE8" w:rsidP="00292D2E">
            <w:pPr>
              <w:widowControl w:val="0"/>
              <w:spacing w:line="360" w:lineRule="auto"/>
              <w:jc w:val="center"/>
              <w:rPr>
                <w:sz w:val="28"/>
                <w:szCs w:val="28"/>
              </w:rPr>
            </w:pPr>
            <w:r w:rsidRPr="00520861">
              <w:rPr>
                <w:sz w:val="28"/>
                <w:szCs w:val="28"/>
              </w:rPr>
              <w:t>3,93</w:t>
            </w:r>
            <w:r w:rsidRPr="00520861">
              <w:rPr>
                <w:sz w:val="28"/>
                <w:szCs w:val="28"/>
                <w:lang w:val="en-US"/>
              </w:rPr>
              <w:t xml:space="preserve"> </w:t>
            </w:r>
            <w:r w:rsidRPr="00520861">
              <w:rPr>
                <w:sz w:val="28"/>
                <w:szCs w:val="28"/>
              </w:rPr>
              <w:t>(7,6)</w:t>
            </w:r>
          </w:p>
        </w:tc>
        <w:tc>
          <w:tcPr>
            <w:tcW w:w="2551" w:type="dxa"/>
            <w:tcBorders>
              <w:top w:val="single" w:sz="4" w:space="0" w:color="auto"/>
              <w:left w:val="single" w:sz="4" w:space="0" w:color="auto"/>
              <w:bottom w:val="single" w:sz="4" w:space="0" w:color="auto"/>
              <w:right w:val="single" w:sz="4" w:space="0" w:color="auto"/>
            </w:tcBorders>
          </w:tcPr>
          <w:p w14:paraId="15DFC0C3" w14:textId="77777777" w:rsidR="002E3CE8" w:rsidRPr="00520861" w:rsidRDefault="002E3CE8" w:rsidP="00292D2E">
            <w:pPr>
              <w:widowControl w:val="0"/>
              <w:spacing w:line="360" w:lineRule="auto"/>
              <w:jc w:val="center"/>
              <w:rPr>
                <w:sz w:val="28"/>
                <w:szCs w:val="28"/>
              </w:rPr>
            </w:pPr>
            <w:r w:rsidRPr="00520861">
              <w:rPr>
                <w:sz w:val="28"/>
                <w:szCs w:val="28"/>
              </w:rPr>
              <w:t>6,00</w:t>
            </w:r>
            <w:r w:rsidRPr="00520861">
              <w:rPr>
                <w:sz w:val="28"/>
                <w:szCs w:val="28"/>
                <w:lang w:val="en-US"/>
              </w:rPr>
              <w:t xml:space="preserve"> </w:t>
            </w:r>
            <w:r w:rsidRPr="00520861">
              <w:rPr>
                <w:sz w:val="28"/>
                <w:szCs w:val="28"/>
              </w:rPr>
              <w:t>(11,56)</w:t>
            </w:r>
          </w:p>
        </w:tc>
        <w:tc>
          <w:tcPr>
            <w:tcW w:w="1701" w:type="dxa"/>
            <w:tcBorders>
              <w:top w:val="single" w:sz="4" w:space="0" w:color="auto"/>
              <w:left w:val="single" w:sz="4" w:space="0" w:color="auto"/>
              <w:bottom w:val="single" w:sz="4" w:space="0" w:color="auto"/>
              <w:right w:val="single" w:sz="4" w:space="0" w:color="auto"/>
            </w:tcBorders>
            <w:hideMark/>
          </w:tcPr>
          <w:p w14:paraId="43F2B0E3"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4,57</w:t>
            </w:r>
            <w:r w:rsidRPr="00520861">
              <w:rPr>
                <w:rFonts w:eastAsia="Calibri"/>
                <w:sz w:val="28"/>
                <w:szCs w:val="28"/>
                <w:lang w:val="en-US" w:eastAsia="en-US"/>
              </w:rPr>
              <w:t xml:space="preserve"> </w:t>
            </w:r>
            <w:r w:rsidRPr="00520861">
              <w:rPr>
                <w:rFonts w:eastAsia="Calibri"/>
                <w:sz w:val="28"/>
                <w:szCs w:val="28"/>
                <w:lang w:eastAsia="en-US"/>
              </w:rPr>
              <w:t>(6,5)</w:t>
            </w:r>
          </w:p>
        </w:tc>
        <w:tc>
          <w:tcPr>
            <w:tcW w:w="1843" w:type="dxa"/>
            <w:tcBorders>
              <w:top w:val="single" w:sz="4" w:space="0" w:color="auto"/>
              <w:left w:val="single" w:sz="4" w:space="0" w:color="auto"/>
              <w:bottom w:val="single" w:sz="4" w:space="0" w:color="auto"/>
              <w:right w:val="single" w:sz="4" w:space="0" w:color="auto"/>
            </w:tcBorders>
          </w:tcPr>
          <w:p w14:paraId="5078C935" w14:textId="77777777" w:rsidR="002E3CE8" w:rsidRPr="00520861" w:rsidRDefault="002E3CE8" w:rsidP="00292D2E">
            <w:pPr>
              <w:widowControl w:val="0"/>
              <w:spacing w:line="360" w:lineRule="auto"/>
              <w:jc w:val="center"/>
              <w:rPr>
                <w:sz w:val="28"/>
                <w:szCs w:val="28"/>
              </w:rPr>
            </w:pPr>
            <w:r w:rsidRPr="00520861">
              <w:rPr>
                <w:sz w:val="28"/>
                <w:szCs w:val="28"/>
              </w:rPr>
              <w:t>7,00</w:t>
            </w:r>
            <w:r w:rsidRPr="00520861">
              <w:rPr>
                <w:sz w:val="28"/>
                <w:szCs w:val="28"/>
                <w:lang w:val="en-US"/>
              </w:rPr>
              <w:t xml:space="preserve"> </w:t>
            </w:r>
            <w:r w:rsidRPr="00520861">
              <w:rPr>
                <w:sz w:val="28"/>
                <w:szCs w:val="28"/>
              </w:rPr>
              <w:t>(8)</w:t>
            </w:r>
          </w:p>
        </w:tc>
        <w:tc>
          <w:tcPr>
            <w:tcW w:w="2622" w:type="dxa"/>
            <w:tcBorders>
              <w:top w:val="single" w:sz="4" w:space="0" w:color="auto"/>
              <w:left w:val="single" w:sz="4" w:space="0" w:color="auto"/>
              <w:bottom w:val="single" w:sz="4" w:space="0" w:color="auto"/>
              <w:right w:val="single" w:sz="4" w:space="0" w:color="auto"/>
            </w:tcBorders>
            <w:hideMark/>
          </w:tcPr>
          <w:p w14:paraId="44CBE0CD"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7,50 (14,5)</w:t>
            </w:r>
          </w:p>
        </w:tc>
        <w:tc>
          <w:tcPr>
            <w:tcW w:w="2623" w:type="dxa"/>
            <w:tcBorders>
              <w:top w:val="single" w:sz="4" w:space="0" w:color="auto"/>
              <w:left w:val="single" w:sz="4" w:space="0" w:color="auto"/>
              <w:bottom w:val="single" w:sz="4" w:space="0" w:color="auto"/>
              <w:right w:val="single" w:sz="4" w:space="0" w:color="auto"/>
            </w:tcBorders>
            <w:hideMark/>
          </w:tcPr>
          <w:p w14:paraId="5C7BFD8D"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5,29 (13,5)</w:t>
            </w:r>
          </w:p>
        </w:tc>
      </w:tr>
      <w:tr w:rsidR="002E3CE8" w:rsidRPr="00520861" w14:paraId="65CFE4C0" w14:textId="77777777" w:rsidTr="00292D2E">
        <w:trPr>
          <w:gridAfter w:val="1"/>
          <w:wAfter w:w="15" w:type="dxa"/>
          <w:jc w:val="right"/>
        </w:trPr>
        <w:tc>
          <w:tcPr>
            <w:tcW w:w="1531" w:type="dxa"/>
            <w:tcBorders>
              <w:top w:val="single" w:sz="4" w:space="0" w:color="auto"/>
              <w:left w:val="single" w:sz="4" w:space="0" w:color="auto"/>
              <w:bottom w:val="single" w:sz="4" w:space="0" w:color="auto"/>
              <w:right w:val="single" w:sz="4" w:space="0" w:color="auto"/>
            </w:tcBorders>
          </w:tcPr>
          <w:p w14:paraId="6BFCE949" w14:textId="77777777" w:rsidR="002E3CE8" w:rsidRPr="00520861" w:rsidRDefault="002E3CE8" w:rsidP="00292D2E">
            <w:pPr>
              <w:widowControl w:val="0"/>
              <w:spacing w:line="360" w:lineRule="auto"/>
              <w:jc w:val="center"/>
              <w:rPr>
                <w:sz w:val="28"/>
                <w:szCs w:val="28"/>
              </w:rPr>
            </w:pPr>
            <w:r w:rsidRPr="00520861">
              <w:rPr>
                <w:sz w:val="28"/>
                <w:szCs w:val="28"/>
              </w:rPr>
              <w:t>ВП-VІ</w:t>
            </w:r>
          </w:p>
        </w:tc>
        <w:tc>
          <w:tcPr>
            <w:tcW w:w="1588" w:type="dxa"/>
            <w:tcBorders>
              <w:top w:val="single" w:sz="4" w:space="0" w:color="auto"/>
              <w:left w:val="single" w:sz="4" w:space="0" w:color="auto"/>
              <w:bottom w:val="single" w:sz="4" w:space="0" w:color="auto"/>
              <w:right w:val="single" w:sz="4" w:space="0" w:color="auto"/>
            </w:tcBorders>
          </w:tcPr>
          <w:p w14:paraId="608E7593" w14:textId="77777777" w:rsidR="002E3CE8" w:rsidRPr="00520861" w:rsidRDefault="002E3CE8" w:rsidP="00292D2E">
            <w:pPr>
              <w:widowControl w:val="0"/>
              <w:spacing w:line="360" w:lineRule="auto"/>
              <w:jc w:val="center"/>
              <w:rPr>
                <w:sz w:val="28"/>
                <w:szCs w:val="28"/>
              </w:rPr>
            </w:pPr>
            <w:r w:rsidRPr="00520861">
              <w:rPr>
                <w:sz w:val="28"/>
                <w:szCs w:val="28"/>
              </w:rPr>
              <w:t>7,11</w:t>
            </w:r>
            <w:r w:rsidRPr="00520861">
              <w:rPr>
                <w:sz w:val="28"/>
                <w:szCs w:val="28"/>
                <w:lang w:val="en-US"/>
              </w:rPr>
              <w:t xml:space="preserve"> </w:t>
            </w:r>
            <w:r w:rsidRPr="00520861">
              <w:rPr>
                <w:sz w:val="28"/>
                <w:szCs w:val="28"/>
              </w:rPr>
              <w:t>(12,2)</w:t>
            </w:r>
          </w:p>
        </w:tc>
        <w:tc>
          <w:tcPr>
            <w:tcW w:w="2551" w:type="dxa"/>
            <w:tcBorders>
              <w:top w:val="single" w:sz="4" w:space="0" w:color="auto"/>
              <w:left w:val="single" w:sz="4" w:space="0" w:color="auto"/>
              <w:bottom w:val="single" w:sz="4" w:space="0" w:color="auto"/>
              <w:right w:val="single" w:sz="4" w:space="0" w:color="auto"/>
            </w:tcBorders>
          </w:tcPr>
          <w:p w14:paraId="54418382" w14:textId="77777777" w:rsidR="002E3CE8" w:rsidRPr="00520861" w:rsidRDefault="002E3CE8" w:rsidP="00292D2E">
            <w:pPr>
              <w:widowControl w:val="0"/>
              <w:spacing w:line="360" w:lineRule="auto"/>
              <w:jc w:val="center"/>
              <w:rPr>
                <w:sz w:val="28"/>
                <w:szCs w:val="28"/>
              </w:rPr>
            </w:pPr>
            <w:r w:rsidRPr="00520861">
              <w:rPr>
                <w:sz w:val="28"/>
                <w:szCs w:val="28"/>
              </w:rPr>
              <w:t>9,28 (13,92)</w:t>
            </w:r>
          </w:p>
        </w:tc>
        <w:tc>
          <w:tcPr>
            <w:tcW w:w="1701" w:type="dxa"/>
            <w:tcBorders>
              <w:top w:val="single" w:sz="4" w:space="0" w:color="auto"/>
              <w:left w:val="single" w:sz="4" w:space="0" w:color="auto"/>
              <w:bottom w:val="single" w:sz="4" w:space="0" w:color="auto"/>
              <w:right w:val="single" w:sz="4" w:space="0" w:color="auto"/>
            </w:tcBorders>
          </w:tcPr>
          <w:p w14:paraId="705EFCC6" w14:textId="77777777" w:rsidR="002E3CE8" w:rsidRPr="00520861" w:rsidRDefault="002E3CE8" w:rsidP="00292D2E">
            <w:pPr>
              <w:widowControl w:val="0"/>
              <w:spacing w:line="360" w:lineRule="auto"/>
              <w:jc w:val="center"/>
              <w:rPr>
                <w:sz w:val="28"/>
                <w:szCs w:val="28"/>
              </w:rPr>
            </w:pPr>
            <w:r w:rsidRPr="00520861">
              <w:rPr>
                <w:sz w:val="28"/>
                <w:szCs w:val="28"/>
              </w:rPr>
              <w:t>7,60 (13,3)</w:t>
            </w:r>
          </w:p>
        </w:tc>
        <w:tc>
          <w:tcPr>
            <w:tcW w:w="1843" w:type="dxa"/>
            <w:tcBorders>
              <w:top w:val="single" w:sz="4" w:space="0" w:color="auto"/>
              <w:left w:val="single" w:sz="4" w:space="0" w:color="auto"/>
              <w:bottom w:val="single" w:sz="4" w:space="0" w:color="auto"/>
              <w:right w:val="single" w:sz="4" w:space="0" w:color="auto"/>
            </w:tcBorders>
          </w:tcPr>
          <w:p w14:paraId="07141D03" w14:textId="77777777" w:rsidR="002E3CE8" w:rsidRPr="00520861" w:rsidRDefault="002E3CE8" w:rsidP="00292D2E">
            <w:pPr>
              <w:widowControl w:val="0"/>
              <w:spacing w:line="360" w:lineRule="auto"/>
              <w:jc w:val="center"/>
              <w:rPr>
                <w:sz w:val="28"/>
                <w:szCs w:val="28"/>
              </w:rPr>
            </w:pPr>
            <w:r w:rsidRPr="00520861">
              <w:rPr>
                <w:sz w:val="28"/>
                <w:szCs w:val="28"/>
              </w:rPr>
              <w:t>9,50</w:t>
            </w:r>
            <w:r w:rsidRPr="00520861">
              <w:rPr>
                <w:sz w:val="28"/>
                <w:szCs w:val="28"/>
                <w:lang w:val="en-US"/>
              </w:rPr>
              <w:t xml:space="preserve"> </w:t>
            </w:r>
            <w:r w:rsidRPr="00520861">
              <w:rPr>
                <w:sz w:val="28"/>
                <w:szCs w:val="28"/>
              </w:rPr>
              <w:t>(13)</w:t>
            </w:r>
          </w:p>
        </w:tc>
        <w:tc>
          <w:tcPr>
            <w:tcW w:w="2622" w:type="dxa"/>
            <w:tcBorders>
              <w:top w:val="single" w:sz="4" w:space="0" w:color="auto"/>
              <w:left w:val="single" w:sz="4" w:space="0" w:color="auto"/>
              <w:bottom w:val="single" w:sz="4" w:space="0" w:color="auto"/>
              <w:right w:val="single" w:sz="4" w:space="0" w:color="auto"/>
            </w:tcBorders>
          </w:tcPr>
          <w:p w14:paraId="29A9B0EA"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10,11 (15)</w:t>
            </w:r>
          </w:p>
        </w:tc>
        <w:tc>
          <w:tcPr>
            <w:tcW w:w="2623" w:type="dxa"/>
            <w:tcBorders>
              <w:top w:val="single" w:sz="4" w:space="0" w:color="auto"/>
              <w:left w:val="single" w:sz="4" w:space="0" w:color="auto"/>
              <w:bottom w:val="single" w:sz="4" w:space="0" w:color="auto"/>
              <w:right w:val="single" w:sz="4" w:space="0" w:color="auto"/>
            </w:tcBorders>
          </w:tcPr>
          <w:p w14:paraId="6DF4DD04" w14:textId="77777777" w:rsidR="002E3CE8" w:rsidRPr="00520861" w:rsidRDefault="002E3CE8" w:rsidP="00292D2E">
            <w:pPr>
              <w:widowControl w:val="0"/>
              <w:spacing w:line="360" w:lineRule="auto"/>
              <w:jc w:val="center"/>
              <w:rPr>
                <w:sz w:val="28"/>
                <w:szCs w:val="28"/>
              </w:rPr>
            </w:pPr>
            <w:r w:rsidRPr="00520861">
              <w:rPr>
                <w:sz w:val="28"/>
                <w:szCs w:val="28"/>
              </w:rPr>
              <w:t>9,92 (16)</w:t>
            </w:r>
          </w:p>
        </w:tc>
      </w:tr>
      <w:tr w:rsidR="002E3CE8" w:rsidRPr="00520861" w14:paraId="3273E765" w14:textId="77777777" w:rsidTr="00292D2E">
        <w:trPr>
          <w:gridAfter w:val="1"/>
          <w:wAfter w:w="15" w:type="dxa"/>
          <w:jc w:val="right"/>
        </w:trPr>
        <w:tc>
          <w:tcPr>
            <w:tcW w:w="1531" w:type="dxa"/>
            <w:tcBorders>
              <w:top w:val="single" w:sz="4" w:space="0" w:color="auto"/>
              <w:left w:val="single" w:sz="4" w:space="0" w:color="auto"/>
              <w:bottom w:val="single" w:sz="4" w:space="0" w:color="auto"/>
              <w:right w:val="single" w:sz="4" w:space="0" w:color="auto"/>
            </w:tcBorders>
          </w:tcPr>
          <w:p w14:paraId="73879527" w14:textId="77777777" w:rsidR="002E3CE8" w:rsidRPr="00520861" w:rsidRDefault="002E3CE8" w:rsidP="00292D2E">
            <w:pPr>
              <w:widowControl w:val="0"/>
              <w:spacing w:line="360" w:lineRule="auto"/>
              <w:jc w:val="center"/>
              <w:rPr>
                <w:sz w:val="28"/>
                <w:szCs w:val="28"/>
              </w:rPr>
            </w:pPr>
            <w:r w:rsidRPr="00520861">
              <w:rPr>
                <w:sz w:val="28"/>
                <w:szCs w:val="28"/>
              </w:rPr>
              <w:t>ВП-VІІ</w:t>
            </w:r>
          </w:p>
        </w:tc>
        <w:tc>
          <w:tcPr>
            <w:tcW w:w="1588" w:type="dxa"/>
            <w:tcBorders>
              <w:top w:val="single" w:sz="4" w:space="0" w:color="auto"/>
              <w:left w:val="single" w:sz="4" w:space="0" w:color="auto"/>
              <w:bottom w:val="single" w:sz="4" w:space="0" w:color="auto"/>
              <w:right w:val="single" w:sz="4" w:space="0" w:color="auto"/>
            </w:tcBorders>
          </w:tcPr>
          <w:p w14:paraId="3371FF97" w14:textId="77777777" w:rsidR="002E3CE8" w:rsidRPr="00520861" w:rsidRDefault="002E3CE8" w:rsidP="00292D2E">
            <w:pPr>
              <w:widowControl w:val="0"/>
              <w:spacing w:line="360" w:lineRule="auto"/>
              <w:jc w:val="center"/>
              <w:rPr>
                <w:sz w:val="28"/>
                <w:szCs w:val="28"/>
              </w:rPr>
            </w:pPr>
            <w:r w:rsidRPr="00520861">
              <w:rPr>
                <w:sz w:val="28"/>
                <w:szCs w:val="28"/>
              </w:rPr>
              <w:t>9,92</w:t>
            </w:r>
            <w:r w:rsidRPr="00520861">
              <w:rPr>
                <w:sz w:val="28"/>
                <w:szCs w:val="28"/>
                <w:lang w:val="en-US"/>
              </w:rPr>
              <w:t xml:space="preserve"> </w:t>
            </w:r>
            <w:r w:rsidRPr="00520861">
              <w:rPr>
                <w:sz w:val="28"/>
                <w:szCs w:val="28"/>
              </w:rPr>
              <w:t>(15,33)</w:t>
            </w:r>
          </w:p>
        </w:tc>
        <w:tc>
          <w:tcPr>
            <w:tcW w:w="2551" w:type="dxa"/>
            <w:tcBorders>
              <w:top w:val="single" w:sz="4" w:space="0" w:color="auto"/>
              <w:left w:val="single" w:sz="4" w:space="0" w:color="auto"/>
              <w:bottom w:val="single" w:sz="4" w:space="0" w:color="auto"/>
              <w:right w:val="single" w:sz="4" w:space="0" w:color="auto"/>
            </w:tcBorders>
          </w:tcPr>
          <w:p w14:paraId="3767189A" w14:textId="77777777" w:rsidR="002E3CE8" w:rsidRPr="00520861" w:rsidRDefault="002E3CE8" w:rsidP="00292D2E">
            <w:pPr>
              <w:widowControl w:val="0"/>
              <w:spacing w:line="360" w:lineRule="auto"/>
              <w:jc w:val="center"/>
              <w:rPr>
                <w:sz w:val="28"/>
                <w:szCs w:val="28"/>
              </w:rPr>
            </w:pPr>
            <w:r w:rsidRPr="00520861">
              <w:rPr>
                <w:sz w:val="28"/>
                <w:szCs w:val="28"/>
              </w:rPr>
              <w:t>14,86*</w:t>
            </w:r>
            <w:r w:rsidRPr="00520861">
              <w:rPr>
                <w:sz w:val="28"/>
                <w:szCs w:val="28"/>
                <w:lang w:val="en-US"/>
              </w:rPr>
              <w:t xml:space="preserve"> </w:t>
            </w:r>
            <w:r w:rsidRPr="00520861">
              <w:rPr>
                <w:sz w:val="28"/>
                <w:szCs w:val="28"/>
              </w:rPr>
              <w:t>(</w:t>
            </w:r>
            <w:r w:rsidRPr="00520861">
              <w:rPr>
                <w:i/>
                <w:sz w:val="28"/>
                <w:szCs w:val="28"/>
              </w:rPr>
              <w:t>p</w:t>
            </w:r>
            <w:r w:rsidRPr="00520861">
              <w:rPr>
                <w:sz w:val="28"/>
                <w:szCs w:val="28"/>
              </w:rPr>
              <w:t>=0,0005)</w:t>
            </w:r>
          </w:p>
          <w:p w14:paraId="09279022" w14:textId="77777777" w:rsidR="002E3CE8" w:rsidRPr="00520861" w:rsidRDefault="002E3CE8" w:rsidP="00292D2E">
            <w:pPr>
              <w:widowControl w:val="0"/>
              <w:spacing w:line="360" w:lineRule="auto"/>
              <w:jc w:val="center"/>
              <w:rPr>
                <w:sz w:val="28"/>
                <w:szCs w:val="28"/>
              </w:rPr>
            </w:pPr>
            <w:r w:rsidRPr="00520861">
              <w:rPr>
                <w:sz w:val="28"/>
                <w:szCs w:val="28"/>
              </w:rPr>
              <w:t>(20,76)</w:t>
            </w:r>
          </w:p>
        </w:tc>
        <w:tc>
          <w:tcPr>
            <w:tcW w:w="1701" w:type="dxa"/>
            <w:tcBorders>
              <w:top w:val="single" w:sz="4" w:space="0" w:color="auto"/>
              <w:left w:val="single" w:sz="4" w:space="0" w:color="auto"/>
              <w:bottom w:val="single" w:sz="4" w:space="0" w:color="auto"/>
              <w:right w:val="single" w:sz="4" w:space="0" w:color="auto"/>
            </w:tcBorders>
          </w:tcPr>
          <w:p w14:paraId="4DD12711" w14:textId="77777777" w:rsidR="002E3CE8" w:rsidRPr="00520861" w:rsidRDefault="002E3CE8" w:rsidP="00292D2E">
            <w:pPr>
              <w:widowControl w:val="0"/>
              <w:spacing w:line="360" w:lineRule="auto"/>
              <w:jc w:val="center"/>
              <w:rPr>
                <w:sz w:val="28"/>
                <w:szCs w:val="28"/>
              </w:rPr>
            </w:pPr>
            <w:r w:rsidRPr="00520861">
              <w:rPr>
                <w:sz w:val="28"/>
                <w:szCs w:val="28"/>
              </w:rPr>
              <w:t>12,1 (19,3)</w:t>
            </w:r>
          </w:p>
        </w:tc>
        <w:tc>
          <w:tcPr>
            <w:tcW w:w="1843" w:type="dxa"/>
            <w:tcBorders>
              <w:top w:val="single" w:sz="4" w:space="0" w:color="auto"/>
              <w:left w:val="single" w:sz="4" w:space="0" w:color="auto"/>
              <w:bottom w:val="single" w:sz="4" w:space="0" w:color="auto"/>
              <w:right w:val="single" w:sz="4" w:space="0" w:color="auto"/>
            </w:tcBorders>
          </w:tcPr>
          <w:p w14:paraId="6BD49249" w14:textId="77777777" w:rsidR="002E3CE8" w:rsidRPr="00520861" w:rsidRDefault="002E3CE8" w:rsidP="00292D2E">
            <w:pPr>
              <w:widowControl w:val="0"/>
              <w:spacing w:line="360" w:lineRule="auto"/>
              <w:jc w:val="center"/>
              <w:rPr>
                <w:sz w:val="28"/>
                <w:szCs w:val="28"/>
              </w:rPr>
            </w:pPr>
            <w:r w:rsidRPr="00520861">
              <w:rPr>
                <w:sz w:val="28"/>
                <w:szCs w:val="28"/>
              </w:rPr>
              <w:t>14,57 (20,5)</w:t>
            </w:r>
          </w:p>
        </w:tc>
        <w:tc>
          <w:tcPr>
            <w:tcW w:w="2622" w:type="dxa"/>
            <w:tcBorders>
              <w:top w:val="single" w:sz="4" w:space="0" w:color="auto"/>
              <w:left w:val="single" w:sz="4" w:space="0" w:color="auto"/>
              <w:bottom w:val="single" w:sz="4" w:space="0" w:color="auto"/>
              <w:right w:val="single" w:sz="4" w:space="0" w:color="auto"/>
            </w:tcBorders>
          </w:tcPr>
          <w:p w14:paraId="54FCF5ED" w14:textId="77777777" w:rsidR="002E3CE8" w:rsidRPr="00520861" w:rsidRDefault="002E3CE8" w:rsidP="00292D2E">
            <w:pPr>
              <w:widowControl w:val="0"/>
              <w:spacing w:line="360" w:lineRule="auto"/>
              <w:jc w:val="center"/>
              <w:rPr>
                <w:sz w:val="28"/>
                <w:szCs w:val="28"/>
              </w:rPr>
            </w:pPr>
            <w:r w:rsidRPr="00520861">
              <w:rPr>
                <w:rFonts w:eastAsia="Calibri"/>
                <w:sz w:val="28"/>
                <w:szCs w:val="28"/>
                <w:lang w:eastAsia="en-US"/>
              </w:rPr>
              <w:t>15,33</w:t>
            </w:r>
            <w:r w:rsidRPr="00520861">
              <w:rPr>
                <w:sz w:val="28"/>
                <w:szCs w:val="28"/>
              </w:rPr>
              <w:t>*</w:t>
            </w:r>
            <w:r w:rsidRPr="00520861">
              <w:rPr>
                <w:sz w:val="28"/>
                <w:szCs w:val="28"/>
                <w:lang w:val="en-US"/>
              </w:rPr>
              <w:t xml:space="preserve"> </w:t>
            </w:r>
            <w:r w:rsidRPr="00520861">
              <w:rPr>
                <w:sz w:val="28"/>
                <w:szCs w:val="28"/>
              </w:rPr>
              <w:t>(</w:t>
            </w:r>
            <w:r w:rsidRPr="00520861">
              <w:rPr>
                <w:i/>
                <w:sz w:val="28"/>
                <w:szCs w:val="28"/>
              </w:rPr>
              <w:t>p</w:t>
            </w:r>
            <w:r w:rsidRPr="00520861">
              <w:rPr>
                <w:sz w:val="28"/>
                <w:szCs w:val="28"/>
              </w:rPr>
              <w:t>=0,0075)</w:t>
            </w:r>
          </w:p>
          <w:p w14:paraId="0773653C" w14:textId="77777777" w:rsidR="002E3CE8" w:rsidRPr="00520861" w:rsidRDefault="002E3CE8" w:rsidP="00292D2E">
            <w:pPr>
              <w:widowControl w:val="0"/>
              <w:spacing w:line="360" w:lineRule="auto"/>
              <w:jc w:val="center"/>
              <w:rPr>
                <w:rFonts w:eastAsia="Calibri"/>
                <w:sz w:val="28"/>
                <w:szCs w:val="28"/>
                <w:lang w:eastAsia="en-US"/>
              </w:rPr>
            </w:pPr>
            <w:r w:rsidRPr="00520861">
              <w:rPr>
                <w:sz w:val="28"/>
                <w:szCs w:val="28"/>
              </w:rPr>
              <w:t>(19,77)</w:t>
            </w:r>
          </w:p>
        </w:tc>
        <w:tc>
          <w:tcPr>
            <w:tcW w:w="2623" w:type="dxa"/>
            <w:tcBorders>
              <w:top w:val="single" w:sz="4" w:space="0" w:color="auto"/>
              <w:left w:val="single" w:sz="4" w:space="0" w:color="auto"/>
              <w:bottom w:val="single" w:sz="4" w:space="0" w:color="auto"/>
              <w:right w:val="single" w:sz="4" w:space="0" w:color="auto"/>
            </w:tcBorders>
          </w:tcPr>
          <w:p w14:paraId="70FF63FE" w14:textId="77777777" w:rsidR="002E3CE8" w:rsidRPr="00520861" w:rsidRDefault="002E3CE8" w:rsidP="00292D2E">
            <w:pPr>
              <w:widowControl w:val="0"/>
              <w:spacing w:line="360" w:lineRule="auto"/>
              <w:jc w:val="center"/>
              <w:rPr>
                <w:sz w:val="28"/>
                <w:szCs w:val="28"/>
              </w:rPr>
            </w:pPr>
            <w:r w:rsidRPr="00520861">
              <w:rPr>
                <w:sz w:val="28"/>
                <w:szCs w:val="28"/>
              </w:rPr>
              <w:t>16,27 (</w:t>
            </w:r>
            <w:r w:rsidRPr="00520861">
              <w:rPr>
                <w:i/>
                <w:sz w:val="28"/>
                <w:szCs w:val="28"/>
              </w:rPr>
              <w:t>p</w:t>
            </w:r>
            <w:r w:rsidRPr="00520861">
              <w:rPr>
                <w:sz w:val="28"/>
                <w:szCs w:val="28"/>
              </w:rPr>
              <w:t>=0,0002)</w:t>
            </w:r>
          </w:p>
          <w:p w14:paraId="10AC0621" w14:textId="77777777" w:rsidR="002E3CE8" w:rsidRPr="00520861" w:rsidRDefault="002E3CE8" w:rsidP="00292D2E">
            <w:pPr>
              <w:widowControl w:val="0"/>
              <w:spacing w:line="360" w:lineRule="auto"/>
              <w:jc w:val="center"/>
              <w:rPr>
                <w:sz w:val="28"/>
                <w:szCs w:val="28"/>
              </w:rPr>
            </w:pPr>
            <w:r w:rsidRPr="00520861">
              <w:rPr>
                <w:sz w:val="28"/>
                <w:szCs w:val="28"/>
              </w:rPr>
              <w:t>(21,7)</w:t>
            </w:r>
          </w:p>
        </w:tc>
      </w:tr>
      <w:tr w:rsidR="002E3CE8" w:rsidRPr="00520861" w14:paraId="16A9C6F2" w14:textId="77777777" w:rsidTr="00292D2E">
        <w:trPr>
          <w:gridAfter w:val="1"/>
          <w:wAfter w:w="15" w:type="dxa"/>
          <w:jc w:val="right"/>
        </w:trPr>
        <w:tc>
          <w:tcPr>
            <w:tcW w:w="1531" w:type="dxa"/>
            <w:tcBorders>
              <w:top w:val="single" w:sz="4" w:space="0" w:color="auto"/>
              <w:left w:val="single" w:sz="4" w:space="0" w:color="auto"/>
              <w:bottom w:val="single" w:sz="4" w:space="0" w:color="auto"/>
              <w:right w:val="single" w:sz="4" w:space="0" w:color="auto"/>
            </w:tcBorders>
          </w:tcPr>
          <w:p w14:paraId="2380EB81" w14:textId="77777777" w:rsidR="002E3CE8" w:rsidRPr="00520861" w:rsidRDefault="002E3CE8" w:rsidP="00292D2E">
            <w:pPr>
              <w:widowControl w:val="0"/>
              <w:spacing w:line="360" w:lineRule="auto"/>
              <w:jc w:val="center"/>
              <w:rPr>
                <w:sz w:val="28"/>
                <w:szCs w:val="28"/>
                <w:lang w:val="en-US"/>
              </w:rPr>
            </w:pPr>
            <w:r w:rsidRPr="00520861">
              <w:rPr>
                <w:sz w:val="28"/>
                <w:szCs w:val="28"/>
              </w:rPr>
              <w:t>ВП-VІ</w:t>
            </w:r>
            <w:r w:rsidRPr="00520861">
              <w:rPr>
                <w:sz w:val="28"/>
                <w:szCs w:val="28"/>
                <w:lang w:val="en-US"/>
              </w:rPr>
              <w:t>II</w:t>
            </w:r>
          </w:p>
        </w:tc>
        <w:tc>
          <w:tcPr>
            <w:tcW w:w="1588" w:type="dxa"/>
            <w:tcBorders>
              <w:top w:val="single" w:sz="4" w:space="0" w:color="auto"/>
              <w:left w:val="single" w:sz="4" w:space="0" w:color="auto"/>
              <w:bottom w:val="single" w:sz="4" w:space="0" w:color="auto"/>
              <w:right w:val="single" w:sz="4" w:space="0" w:color="auto"/>
            </w:tcBorders>
          </w:tcPr>
          <w:p w14:paraId="23D7773A" w14:textId="77777777" w:rsidR="002E3CE8" w:rsidRPr="00520861" w:rsidRDefault="002E3CE8" w:rsidP="00292D2E">
            <w:pPr>
              <w:widowControl w:val="0"/>
              <w:spacing w:line="360" w:lineRule="auto"/>
              <w:jc w:val="center"/>
              <w:rPr>
                <w:sz w:val="28"/>
                <w:szCs w:val="28"/>
              </w:rPr>
            </w:pPr>
            <w:r w:rsidRPr="00520861">
              <w:rPr>
                <w:sz w:val="28"/>
                <w:szCs w:val="28"/>
              </w:rPr>
              <w:t>15,25 (21)</w:t>
            </w:r>
          </w:p>
        </w:tc>
        <w:tc>
          <w:tcPr>
            <w:tcW w:w="2551" w:type="dxa"/>
            <w:tcBorders>
              <w:top w:val="single" w:sz="4" w:space="0" w:color="auto"/>
              <w:left w:val="single" w:sz="4" w:space="0" w:color="auto"/>
              <w:bottom w:val="single" w:sz="4" w:space="0" w:color="auto"/>
              <w:right w:val="single" w:sz="4" w:space="0" w:color="auto"/>
            </w:tcBorders>
          </w:tcPr>
          <w:p w14:paraId="1C05AADD" w14:textId="77777777" w:rsidR="002E3CE8" w:rsidRPr="00520861" w:rsidRDefault="002E3CE8" w:rsidP="00292D2E">
            <w:pPr>
              <w:widowControl w:val="0"/>
              <w:spacing w:line="360" w:lineRule="auto"/>
              <w:jc w:val="center"/>
              <w:rPr>
                <w:sz w:val="28"/>
                <w:szCs w:val="28"/>
              </w:rPr>
            </w:pPr>
            <w:r w:rsidRPr="00520861">
              <w:rPr>
                <w:sz w:val="28"/>
                <w:szCs w:val="28"/>
              </w:rPr>
              <w:t>19,16* (</w:t>
            </w:r>
            <w:r w:rsidRPr="00520861">
              <w:rPr>
                <w:i/>
                <w:sz w:val="28"/>
                <w:szCs w:val="28"/>
              </w:rPr>
              <w:t>p</w:t>
            </w:r>
            <w:r w:rsidRPr="00520861">
              <w:rPr>
                <w:sz w:val="28"/>
                <w:szCs w:val="28"/>
              </w:rPr>
              <w:t>=0,0247)</w:t>
            </w:r>
          </w:p>
          <w:p w14:paraId="20789C01" w14:textId="77777777" w:rsidR="002E3CE8" w:rsidRPr="00520861" w:rsidRDefault="002E3CE8" w:rsidP="00292D2E">
            <w:pPr>
              <w:widowControl w:val="0"/>
              <w:spacing w:line="360" w:lineRule="auto"/>
              <w:jc w:val="center"/>
              <w:rPr>
                <w:sz w:val="28"/>
                <w:szCs w:val="28"/>
              </w:rPr>
            </w:pPr>
            <w:r w:rsidRPr="00520861">
              <w:rPr>
                <w:sz w:val="28"/>
                <w:szCs w:val="28"/>
              </w:rPr>
              <w:t>(23,63)</w:t>
            </w:r>
          </w:p>
        </w:tc>
        <w:tc>
          <w:tcPr>
            <w:tcW w:w="1701" w:type="dxa"/>
            <w:tcBorders>
              <w:top w:val="single" w:sz="4" w:space="0" w:color="auto"/>
              <w:left w:val="single" w:sz="4" w:space="0" w:color="auto"/>
              <w:bottom w:val="single" w:sz="4" w:space="0" w:color="auto"/>
              <w:right w:val="single" w:sz="4" w:space="0" w:color="auto"/>
            </w:tcBorders>
          </w:tcPr>
          <w:p w14:paraId="4E05A349" w14:textId="77777777" w:rsidR="002E3CE8" w:rsidRPr="00520861" w:rsidRDefault="002E3CE8" w:rsidP="00292D2E">
            <w:pPr>
              <w:widowControl w:val="0"/>
              <w:spacing w:line="360" w:lineRule="auto"/>
              <w:jc w:val="center"/>
              <w:rPr>
                <w:sz w:val="28"/>
                <w:szCs w:val="28"/>
              </w:rPr>
            </w:pPr>
            <w:r w:rsidRPr="00520861">
              <w:rPr>
                <w:sz w:val="28"/>
                <w:szCs w:val="28"/>
              </w:rPr>
              <w:t>18,25 (24,0)</w:t>
            </w:r>
          </w:p>
        </w:tc>
        <w:tc>
          <w:tcPr>
            <w:tcW w:w="1843" w:type="dxa"/>
            <w:tcBorders>
              <w:top w:val="single" w:sz="4" w:space="0" w:color="auto"/>
              <w:left w:val="single" w:sz="4" w:space="0" w:color="auto"/>
              <w:bottom w:val="single" w:sz="4" w:space="0" w:color="auto"/>
              <w:right w:val="single" w:sz="4" w:space="0" w:color="auto"/>
            </w:tcBorders>
          </w:tcPr>
          <w:p w14:paraId="495607F4" w14:textId="77777777" w:rsidR="002E3CE8" w:rsidRPr="00520861" w:rsidRDefault="002E3CE8" w:rsidP="00292D2E">
            <w:pPr>
              <w:widowControl w:val="0"/>
              <w:spacing w:line="360" w:lineRule="auto"/>
              <w:jc w:val="center"/>
              <w:rPr>
                <w:sz w:val="28"/>
                <w:szCs w:val="28"/>
              </w:rPr>
            </w:pPr>
            <w:r w:rsidRPr="00520861">
              <w:rPr>
                <w:sz w:val="28"/>
                <w:szCs w:val="28"/>
              </w:rPr>
              <w:t>17,67 (21,0)</w:t>
            </w:r>
          </w:p>
        </w:tc>
        <w:tc>
          <w:tcPr>
            <w:tcW w:w="2622" w:type="dxa"/>
            <w:tcBorders>
              <w:top w:val="single" w:sz="4" w:space="0" w:color="auto"/>
              <w:left w:val="single" w:sz="4" w:space="0" w:color="auto"/>
              <w:bottom w:val="single" w:sz="4" w:space="0" w:color="auto"/>
              <w:right w:val="single" w:sz="4" w:space="0" w:color="auto"/>
            </w:tcBorders>
          </w:tcPr>
          <w:p w14:paraId="047BECB8" w14:textId="77777777" w:rsidR="002E3CE8" w:rsidRPr="00520861" w:rsidRDefault="002E3CE8" w:rsidP="00292D2E">
            <w:pPr>
              <w:widowControl w:val="0"/>
              <w:spacing w:line="360" w:lineRule="auto"/>
              <w:jc w:val="center"/>
              <w:rPr>
                <w:sz w:val="28"/>
                <w:szCs w:val="28"/>
              </w:rPr>
            </w:pPr>
            <w:r w:rsidRPr="00520861">
              <w:rPr>
                <w:rFonts w:eastAsia="Calibri"/>
                <w:sz w:val="28"/>
                <w:szCs w:val="28"/>
                <w:lang w:eastAsia="en-US"/>
              </w:rPr>
              <w:t>20,6</w:t>
            </w:r>
            <w:r w:rsidRPr="00520861">
              <w:rPr>
                <w:sz w:val="28"/>
                <w:szCs w:val="28"/>
              </w:rPr>
              <w:t>* (</w:t>
            </w:r>
            <w:r w:rsidRPr="00520861">
              <w:rPr>
                <w:i/>
                <w:sz w:val="28"/>
                <w:szCs w:val="28"/>
              </w:rPr>
              <w:t>p</w:t>
            </w:r>
            <w:r w:rsidRPr="00520861">
              <w:rPr>
                <w:sz w:val="28"/>
                <w:szCs w:val="28"/>
              </w:rPr>
              <w:t>=0,0447)</w:t>
            </w:r>
          </w:p>
          <w:p w14:paraId="2134F07D"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(24,0)</w:t>
            </w:r>
          </w:p>
        </w:tc>
        <w:tc>
          <w:tcPr>
            <w:tcW w:w="2623" w:type="dxa"/>
            <w:tcBorders>
              <w:top w:val="single" w:sz="4" w:space="0" w:color="auto"/>
              <w:left w:val="single" w:sz="4" w:space="0" w:color="auto"/>
              <w:bottom w:val="single" w:sz="4" w:space="0" w:color="auto"/>
              <w:right w:val="single" w:sz="4" w:space="0" w:color="auto"/>
            </w:tcBorders>
          </w:tcPr>
          <w:p w14:paraId="06FAB43F" w14:textId="77777777" w:rsidR="002E3CE8" w:rsidRPr="00520861" w:rsidRDefault="002E3CE8" w:rsidP="00292D2E">
            <w:pPr>
              <w:widowControl w:val="0"/>
              <w:spacing w:line="360" w:lineRule="auto"/>
              <w:jc w:val="center"/>
              <w:rPr>
                <w:sz w:val="28"/>
                <w:szCs w:val="28"/>
              </w:rPr>
            </w:pPr>
            <w:r w:rsidRPr="00520861">
              <w:rPr>
                <w:sz w:val="28"/>
                <w:szCs w:val="28"/>
              </w:rPr>
              <w:t>19,23* (</w:t>
            </w:r>
            <w:r w:rsidRPr="00520861">
              <w:rPr>
                <w:i/>
                <w:sz w:val="28"/>
                <w:szCs w:val="28"/>
              </w:rPr>
              <w:t>p</w:t>
            </w:r>
            <w:r w:rsidRPr="00520861">
              <w:rPr>
                <w:sz w:val="28"/>
                <w:szCs w:val="28"/>
              </w:rPr>
              <w:t>=0,0383)</w:t>
            </w:r>
          </w:p>
          <w:p w14:paraId="5AE17747" w14:textId="77777777" w:rsidR="002E3CE8" w:rsidRPr="00520861" w:rsidRDefault="002E3CE8" w:rsidP="00292D2E">
            <w:pPr>
              <w:widowControl w:val="0"/>
              <w:spacing w:line="360" w:lineRule="auto"/>
              <w:jc w:val="center"/>
              <w:rPr>
                <w:sz w:val="28"/>
                <w:szCs w:val="28"/>
              </w:rPr>
            </w:pPr>
            <w:r w:rsidRPr="00520861">
              <w:rPr>
                <w:sz w:val="28"/>
                <w:szCs w:val="28"/>
              </w:rPr>
              <w:t>(23,75)</w:t>
            </w:r>
          </w:p>
        </w:tc>
      </w:tr>
    </w:tbl>
    <w:p w14:paraId="0A41F7D3" w14:textId="77777777" w:rsidR="002E3CE8" w:rsidRPr="00520861" w:rsidRDefault="002E3CE8" w:rsidP="00292D2E">
      <w:pPr>
        <w:widowControl w:val="0"/>
        <w:spacing w:line="360" w:lineRule="auto"/>
        <w:ind w:right="48" w:firstLine="708"/>
        <w:contextualSpacing/>
        <w:jc w:val="both"/>
        <w:rPr>
          <w:sz w:val="28"/>
          <w:szCs w:val="28"/>
        </w:rPr>
      </w:pPr>
      <w:r w:rsidRPr="00520861">
        <w:rPr>
          <w:sz w:val="28"/>
          <w:szCs w:val="28"/>
        </w:rPr>
        <w:t xml:space="preserve">Примітка: * – різниця між ОГ (підгрупою) і ГП відповідного віку (обчислювалася для індексів ГІ та КПВ)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1FCD1F30" w14:textId="77777777" w:rsidR="002E3CE8" w:rsidRPr="00520861" w:rsidRDefault="002E3CE8" w:rsidP="00292D2E">
      <w:pPr>
        <w:widowControl w:val="0"/>
        <w:spacing w:line="360" w:lineRule="auto"/>
        <w:ind w:right="48" w:firstLine="708"/>
        <w:contextualSpacing/>
        <w:jc w:val="both"/>
        <w:rPr>
          <w:sz w:val="28"/>
          <w:szCs w:val="28"/>
        </w:rPr>
        <w:sectPr w:rsidR="002E3CE8" w:rsidRPr="00520861" w:rsidSect="00292D2E">
          <w:pgSz w:w="16838" w:h="11906" w:orient="landscape"/>
          <w:pgMar w:top="1134" w:right="1134" w:bottom="567" w:left="1134" w:header="709" w:footer="709" w:gutter="0"/>
          <w:cols w:space="708"/>
          <w:docGrid w:linePitch="360"/>
        </w:sectPr>
      </w:pPr>
    </w:p>
    <w:p w14:paraId="1B323D7F" w14:textId="77777777" w:rsidR="002E3CE8" w:rsidRPr="00520861" w:rsidRDefault="002E3CE8" w:rsidP="00292D2E">
      <w:pPr>
        <w:widowControl w:val="0"/>
        <w:spacing w:line="360" w:lineRule="auto"/>
        <w:ind w:right="-1" w:firstLine="708"/>
        <w:jc w:val="both"/>
        <w:rPr>
          <w:sz w:val="28"/>
          <w:szCs w:val="28"/>
        </w:rPr>
      </w:pPr>
      <w:r w:rsidRPr="00520861">
        <w:rPr>
          <w:sz w:val="28"/>
          <w:szCs w:val="28"/>
        </w:rPr>
        <w:lastRenderedPageBreak/>
        <w:t>В осіб із підгрупи 1, хоч осереднені значення індексів інтенсивності карієсу і були вищими за такі у ГП, але вірогідних відмінностей не спостерігалося.</w:t>
      </w:r>
      <w:r w:rsidRPr="00520861">
        <w:rPr>
          <w:color w:val="2E74B5" w:themeColor="accent1" w:themeShade="BF"/>
          <w:sz w:val="28"/>
          <w:szCs w:val="28"/>
        </w:rPr>
        <w:t xml:space="preserve"> </w:t>
      </w:r>
    </w:p>
    <w:p w14:paraId="716DE86E" w14:textId="77777777" w:rsidR="002E3CE8" w:rsidRPr="00520861" w:rsidRDefault="002E3CE8" w:rsidP="00292D2E">
      <w:pPr>
        <w:widowControl w:val="0"/>
        <w:spacing w:line="360" w:lineRule="auto"/>
        <w:ind w:right="-1" w:firstLine="709"/>
        <w:jc w:val="both"/>
        <w:rPr>
          <w:sz w:val="28"/>
          <w:szCs w:val="28"/>
        </w:rPr>
      </w:pPr>
      <w:r w:rsidRPr="00520861">
        <w:rPr>
          <w:sz w:val="28"/>
          <w:szCs w:val="28"/>
        </w:rPr>
        <w:t xml:space="preserve">Цікавим є факт, що в учасників цього дослідження каріозні порожнини </w:t>
      </w:r>
      <w:r w:rsidRPr="00520861">
        <w:rPr>
          <w:sz w:val="28"/>
          <w:szCs w:val="28"/>
        </w:rPr>
        <w:br/>
        <w:t xml:space="preserve">здебільшого локалізуються на </w:t>
      </w:r>
      <w:proofErr w:type="spellStart"/>
      <w:r w:rsidRPr="00520861">
        <w:rPr>
          <w:sz w:val="28"/>
          <w:szCs w:val="28"/>
        </w:rPr>
        <w:t>апроксимальних</w:t>
      </w:r>
      <w:proofErr w:type="spellEnd"/>
      <w:r w:rsidRPr="00520861">
        <w:rPr>
          <w:sz w:val="28"/>
          <w:szCs w:val="28"/>
        </w:rPr>
        <w:t xml:space="preserve">, щічних та вестибулярних поверхнях зубів (див. рис. 6.4.). </w:t>
      </w:r>
      <w:r w:rsidRPr="00520861">
        <w:rPr>
          <w:spacing w:val="-4"/>
          <w:sz w:val="28"/>
          <w:szCs w:val="28"/>
        </w:rPr>
        <w:t>Анатомо-</w:t>
      </w:r>
      <w:proofErr w:type="spellStart"/>
      <w:r w:rsidRPr="00520861">
        <w:rPr>
          <w:spacing w:val="-4"/>
          <w:sz w:val="28"/>
          <w:szCs w:val="28"/>
        </w:rPr>
        <w:t>топографічно</w:t>
      </w:r>
      <w:proofErr w:type="spellEnd"/>
      <w:r w:rsidRPr="00520861">
        <w:rPr>
          <w:spacing w:val="-4"/>
          <w:sz w:val="28"/>
          <w:szCs w:val="28"/>
        </w:rPr>
        <w:t xml:space="preserve"> малі слинні залози знаходяться у щільному </w:t>
      </w:r>
      <w:r w:rsidRPr="00520861">
        <w:rPr>
          <w:spacing w:val="-4"/>
          <w:sz w:val="28"/>
          <w:szCs w:val="28"/>
        </w:rPr>
        <w:br/>
        <w:t xml:space="preserve">контакті із вестибулярними та щічними поверхнями зубів і у безпосередній близькості до їх </w:t>
      </w:r>
      <w:proofErr w:type="spellStart"/>
      <w:r w:rsidRPr="00520861">
        <w:rPr>
          <w:spacing w:val="-4"/>
          <w:sz w:val="28"/>
          <w:szCs w:val="28"/>
        </w:rPr>
        <w:t>апроксимальних</w:t>
      </w:r>
      <w:proofErr w:type="spellEnd"/>
      <w:r w:rsidRPr="00520861">
        <w:rPr>
          <w:spacing w:val="-4"/>
          <w:sz w:val="28"/>
          <w:szCs w:val="28"/>
        </w:rPr>
        <w:t xml:space="preserve"> поверхонь. Отже, існує природна обумовленість у дії малих слинних залоз саме на ці поверхні. Аналізуючи вищевикладену інформацію можна </w:t>
      </w:r>
      <w:r w:rsidRPr="00520861">
        <w:rPr>
          <w:spacing w:val="-4"/>
          <w:sz w:val="28"/>
          <w:szCs w:val="28"/>
        </w:rPr>
        <w:br/>
        <w:t xml:space="preserve">стверджувати, що вади у роботі малих слинних залоз є одним із пояснень такої </w:t>
      </w:r>
      <w:r w:rsidRPr="00520861">
        <w:rPr>
          <w:spacing w:val="-4"/>
          <w:sz w:val="28"/>
          <w:szCs w:val="28"/>
        </w:rPr>
        <w:br/>
        <w:t>локалізації каріозних порожнин.</w:t>
      </w:r>
    </w:p>
    <w:p w14:paraId="207AC61D" w14:textId="77777777" w:rsidR="002E3CE8" w:rsidRPr="00520861" w:rsidRDefault="002E3CE8" w:rsidP="00292D2E">
      <w:pPr>
        <w:widowControl w:val="0"/>
        <w:spacing w:line="360" w:lineRule="auto"/>
        <w:ind w:right="-1"/>
        <w:jc w:val="center"/>
        <w:rPr>
          <w:sz w:val="28"/>
          <w:szCs w:val="28"/>
        </w:rPr>
      </w:pPr>
      <w:r w:rsidRPr="00520861">
        <w:rPr>
          <w:noProof/>
          <w:sz w:val="28"/>
          <w:szCs w:val="28"/>
          <w:lang w:val="ru-RU"/>
        </w:rPr>
        <w:drawing>
          <wp:inline distT="0" distB="0" distL="0" distR="0" wp14:anchorId="0B4D395E" wp14:editId="2C9E8B5D">
            <wp:extent cx="3438000" cy="2520000"/>
            <wp:effectExtent l="0" t="0" r="0" b="0"/>
            <wp:docPr id="106" name="Рисунок 106" descr="D:\дд\фото\макросомы 11-17\фиолетовые\маяцкий никита\IMG_4991  нов  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дд\фото\макросомы 11-17\фиолетовые\маяцкий никита\IMG_4991  нов  111.JP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3438000" cy="2520000"/>
                    </a:xfrm>
                    <a:prstGeom prst="rect">
                      <a:avLst/>
                    </a:prstGeom>
                    <a:noFill/>
                    <a:ln>
                      <a:noFill/>
                    </a:ln>
                  </pic:spPr>
                </pic:pic>
              </a:graphicData>
            </a:graphic>
          </wp:inline>
        </w:drawing>
      </w:r>
    </w:p>
    <w:p w14:paraId="210F0DA5" w14:textId="77777777" w:rsidR="002E3CE8" w:rsidRPr="00520861" w:rsidRDefault="002E3CE8" w:rsidP="00292D2E">
      <w:pPr>
        <w:widowControl w:val="0"/>
        <w:tabs>
          <w:tab w:val="left" w:pos="5812"/>
        </w:tabs>
        <w:spacing w:line="360" w:lineRule="auto"/>
        <w:ind w:right="141" w:firstLine="709"/>
        <w:jc w:val="center"/>
        <w:rPr>
          <w:spacing w:val="-4"/>
          <w:sz w:val="28"/>
          <w:szCs w:val="28"/>
        </w:rPr>
      </w:pPr>
      <w:r w:rsidRPr="00520861">
        <w:rPr>
          <w:rFonts w:eastAsia="Calibri"/>
          <w:bCs/>
          <w:spacing w:val="-4"/>
          <w:sz w:val="28"/>
          <w:szCs w:val="28"/>
          <w:lang w:eastAsia="en-US"/>
        </w:rPr>
        <w:t>Рис. 6.4.</w:t>
      </w:r>
      <w:r w:rsidRPr="00520861">
        <w:rPr>
          <w:rFonts w:eastAsia="Calibri"/>
          <w:spacing w:val="-4"/>
          <w:sz w:val="28"/>
          <w:szCs w:val="28"/>
          <w:lang w:eastAsia="en-US"/>
        </w:rPr>
        <w:t xml:space="preserve"> Фото бічної ділянки ротової порожнини дитини М. (хлопець)</w:t>
      </w:r>
      <w:r w:rsidRPr="00520861">
        <w:rPr>
          <w:bCs/>
          <w:iCs/>
          <w:spacing w:val="-4"/>
          <w:sz w:val="28"/>
          <w:szCs w:val="28"/>
        </w:rPr>
        <w:t xml:space="preserve"> у віці </w:t>
      </w:r>
      <w:r w:rsidRPr="00520861">
        <w:rPr>
          <w:bCs/>
          <w:iCs/>
          <w:spacing w:val="-4"/>
          <w:sz w:val="28"/>
          <w:szCs w:val="28"/>
        </w:rPr>
        <w:br/>
        <w:t>17 років, амб. карта № 172294, підгрупа 4.</w:t>
      </w:r>
      <w:r w:rsidRPr="00520861">
        <w:rPr>
          <w:spacing w:val="-4"/>
          <w:sz w:val="28"/>
          <w:szCs w:val="28"/>
        </w:rPr>
        <w:t xml:space="preserve"> Карієс 21, 22, 24, 36, 35 зубів різної </w:t>
      </w:r>
      <w:r w:rsidRPr="00520861">
        <w:rPr>
          <w:spacing w:val="-4"/>
          <w:sz w:val="28"/>
          <w:szCs w:val="28"/>
        </w:rPr>
        <w:br/>
        <w:t>глибини ураження.</w:t>
      </w:r>
    </w:p>
    <w:p w14:paraId="598B34E1" w14:textId="77777777" w:rsidR="002E3CE8" w:rsidRPr="00520861" w:rsidRDefault="002E3CE8" w:rsidP="00292D2E">
      <w:pPr>
        <w:widowControl w:val="0"/>
        <w:tabs>
          <w:tab w:val="left" w:pos="5812"/>
        </w:tabs>
        <w:spacing w:line="360" w:lineRule="auto"/>
        <w:ind w:right="141" w:firstLine="709"/>
        <w:jc w:val="both"/>
        <w:rPr>
          <w:bCs/>
          <w:sz w:val="28"/>
          <w:szCs w:val="28"/>
        </w:rPr>
      </w:pPr>
    </w:p>
    <w:p w14:paraId="4C786F95" w14:textId="77777777" w:rsidR="002E3CE8" w:rsidRPr="00520861" w:rsidRDefault="002E3CE8" w:rsidP="00292D2E">
      <w:pPr>
        <w:widowControl w:val="0"/>
        <w:tabs>
          <w:tab w:val="left" w:pos="5812"/>
        </w:tabs>
        <w:spacing w:line="360" w:lineRule="auto"/>
        <w:ind w:right="141" w:firstLine="709"/>
        <w:jc w:val="both"/>
        <w:rPr>
          <w:bCs/>
          <w:sz w:val="28"/>
          <w:szCs w:val="28"/>
        </w:rPr>
      </w:pPr>
      <w:r w:rsidRPr="00520861">
        <w:rPr>
          <w:bCs/>
          <w:sz w:val="28"/>
          <w:szCs w:val="28"/>
        </w:rPr>
        <w:t xml:space="preserve">Із віком осереднена кількість секрету малих слинних залоз зменшується в усіх групах. Результати, наведені в табл. 6.7, свідчать про те, що зменшення об’єму </w:t>
      </w:r>
      <w:r w:rsidRPr="00520861">
        <w:rPr>
          <w:bCs/>
          <w:sz w:val="28"/>
          <w:szCs w:val="28"/>
        </w:rPr>
        <w:br/>
        <w:t xml:space="preserve">секреції слини найбільш виражене в осіб із </w:t>
      </w:r>
      <w:r w:rsidRPr="00520861">
        <w:rPr>
          <w:bCs/>
          <w:iCs/>
          <w:sz w:val="28"/>
          <w:szCs w:val="28"/>
        </w:rPr>
        <w:t xml:space="preserve">підгрупи 3 </w:t>
      </w:r>
      <w:r w:rsidRPr="00520861">
        <w:rPr>
          <w:bCs/>
          <w:sz w:val="28"/>
          <w:szCs w:val="28"/>
        </w:rPr>
        <w:t xml:space="preserve">та </w:t>
      </w:r>
      <w:r w:rsidRPr="00520861">
        <w:rPr>
          <w:bCs/>
          <w:iCs/>
          <w:sz w:val="28"/>
          <w:szCs w:val="28"/>
        </w:rPr>
        <w:t>підгрупи 4</w:t>
      </w:r>
      <w:r w:rsidRPr="00520861">
        <w:rPr>
          <w:bCs/>
          <w:sz w:val="28"/>
          <w:szCs w:val="28"/>
        </w:rPr>
        <w:t xml:space="preserve">. </w:t>
      </w:r>
    </w:p>
    <w:p w14:paraId="435D8AC9" w14:textId="77777777" w:rsidR="002E3CE8" w:rsidRPr="00520861" w:rsidRDefault="002E3CE8" w:rsidP="00292D2E">
      <w:pPr>
        <w:widowControl w:val="0"/>
        <w:spacing w:line="360" w:lineRule="auto"/>
        <w:ind w:right="141" w:firstLine="708"/>
        <w:jc w:val="both"/>
        <w:rPr>
          <w:sz w:val="28"/>
          <w:szCs w:val="28"/>
        </w:rPr>
      </w:pPr>
      <w:r w:rsidRPr="00520861">
        <w:rPr>
          <w:sz w:val="28"/>
          <w:szCs w:val="28"/>
        </w:rPr>
        <w:t>В осіб ОГ зафіксована в середньому менша кількість малих слинних залоз на одиниці площі (табл.6.7). М</w:t>
      </w:r>
      <w:r w:rsidRPr="00520861">
        <w:rPr>
          <w:rFonts w:eastAsiaTheme="minorHAnsi"/>
          <w:sz w:val="28"/>
          <w:szCs w:val="28"/>
          <w:lang w:eastAsia="en-US"/>
        </w:rPr>
        <w:t xml:space="preserve">аксимальне зменшення кількості залоз ми виявили в учасників </w:t>
      </w:r>
      <w:r w:rsidRPr="00520861">
        <w:rPr>
          <w:bCs/>
          <w:iCs/>
          <w:sz w:val="28"/>
          <w:szCs w:val="28"/>
        </w:rPr>
        <w:t>підгруп 3</w:t>
      </w:r>
      <w:r w:rsidRPr="00520861">
        <w:rPr>
          <w:bCs/>
          <w:sz w:val="28"/>
          <w:szCs w:val="28"/>
        </w:rPr>
        <w:t xml:space="preserve"> та</w:t>
      </w:r>
      <w:r w:rsidRPr="00520861">
        <w:rPr>
          <w:bCs/>
          <w:iCs/>
          <w:sz w:val="28"/>
          <w:szCs w:val="28"/>
        </w:rPr>
        <w:t xml:space="preserve"> 4</w:t>
      </w:r>
      <w:r w:rsidRPr="00520861">
        <w:rPr>
          <w:rFonts w:eastAsiaTheme="minorHAnsi"/>
          <w:sz w:val="28"/>
          <w:szCs w:val="28"/>
          <w:lang w:eastAsia="en-US"/>
        </w:rPr>
        <w:t xml:space="preserve">. У них також, порівняно з учасниками інших підгруп, </w:t>
      </w:r>
      <w:r w:rsidRPr="00520861">
        <w:rPr>
          <w:rFonts w:eastAsiaTheme="minorHAnsi"/>
          <w:sz w:val="28"/>
          <w:szCs w:val="28"/>
          <w:lang w:eastAsia="en-US"/>
        </w:rPr>
        <w:br/>
        <w:t>спостерігалася й їх мінімальна продуктивність в розрахунку на одну слинну залозу.</w:t>
      </w:r>
    </w:p>
    <w:p w14:paraId="76A20AD2" w14:textId="77777777" w:rsidR="002E3CE8" w:rsidRPr="00520861" w:rsidRDefault="002E3CE8"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lastRenderedPageBreak/>
        <w:t>Таблиця 6.7</w:t>
      </w:r>
    </w:p>
    <w:p w14:paraId="41861745" w14:textId="77777777" w:rsidR="002E3CE8" w:rsidRPr="00520861" w:rsidRDefault="002E3CE8" w:rsidP="00292D2E">
      <w:pPr>
        <w:widowControl w:val="0"/>
        <w:spacing w:line="360" w:lineRule="auto"/>
        <w:ind w:firstLine="709"/>
        <w:contextualSpacing/>
        <w:jc w:val="center"/>
        <w:rPr>
          <w:rFonts w:eastAsia="Calibri"/>
          <w:b/>
          <w:sz w:val="28"/>
          <w:szCs w:val="28"/>
          <w:lang w:eastAsia="en-US"/>
        </w:rPr>
      </w:pPr>
      <w:r w:rsidRPr="00520861">
        <w:rPr>
          <w:rFonts w:eastAsia="Calibri"/>
          <w:b/>
          <w:sz w:val="28"/>
          <w:szCs w:val="28"/>
          <w:lang w:eastAsia="en-US"/>
        </w:rPr>
        <w:t>Значення математичного очікування кількості та продуктивності малих слинних залоз, швидкості секреції нестимульованої РР та значення водневого показника РР в учасників дослідження віком 12 – 55 років</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63"/>
        <w:gridCol w:w="709"/>
        <w:gridCol w:w="1559"/>
        <w:gridCol w:w="1418"/>
        <w:gridCol w:w="1417"/>
        <w:gridCol w:w="1560"/>
        <w:gridCol w:w="2126"/>
      </w:tblGrid>
      <w:tr w:rsidR="002E3CE8" w:rsidRPr="00520861" w14:paraId="1EBEBE7B" w14:textId="77777777" w:rsidTr="00292D2E">
        <w:trPr>
          <w:trHeight w:val="356"/>
        </w:trPr>
        <w:tc>
          <w:tcPr>
            <w:tcW w:w="1163" w:type="dxa"/>
            <w:tcBorders>
              <w:top w:val="single" w:sz="4" w:space="0" w:color="auto"/>
              <w:left w:val="single" w:sz="4" w:space="0" w:color="auto"/>
              <w:bottom w:val="single" w:sz="4" w:space="0" w:color="auto"/>
              <w:right w:val="single" w:sz="4" w:space="0" w:color="auto"/>
            </w:tcBorders>
            <w:hideMark/>
          </w:tcPr>
          <w:p w14:paraId="50378B01" w14:textId="77777777" w:rsidR="002E3CE8" w:rsidRPr="00520861" w:rsidRDefault="002E3CE8" w:rsidP="00292D2E">
            <w:pPr>
              <w:widowControl w:val="0"/>
              <w:spacing w:line="360" w:lineRule="auto"/>
              <w:ind w:left="-113" w:right="-107"/>
              <w:jc w:val="center"/>
              <w:rPr>
                <w:sz w:val="28"/>
                <w:szCs w:val="28"/>
              </w:rPr>
            </w:pPr>
            <w:r w:rsidRPr="00520861">
              <w:rPr>
                <w:sz w:val="28"/>
                <w:szCs w:val="28"/>
              </w:rPr>
              <w:t xml:space="preserve">Група, </w:t>
            </w:r>
          </w:p>
          <w:p w14:paraId="7DDC9680" w14:textId="77777777" w:rsidR="002E3CE8" w:rsidRPr="00520861" w:rsidRDefault="002E3CE8" w:rsidP="00292D2E">
            <w:pPr>
              <w:widowControl w:val="0"/>
              <w:spacing w:line="360" w:lineRule="auto"/>
              <w:ind w:left="-113" w:right="-107"/>
              <w:jc w:val="center"/>
              <w:rPr>
                <w:sz w:val="28"/>
                <w:szCs w:val="28"/>
              </w:rPr>
            </w:pPr>
            <w:r w:rsidRPr="00520861">
              <w:rPr>
                <w:sz w:val="28"/>
                <w:szCs w:val="28"/>
              </w:rPr>
              <w:t>підгрупа</w:t>
            </w:r>
          </w:p>
        </w:tc>
        <w:tc>
          <w:tcPr>
            <w:tcW w:w="709" w:type="dxa"/>
            <w:tcBorders>
              <w:top w:val="single" w:sz="4" w:space="0" w:color="auto"/>
              <w:left w:val="single" w:sz="4" w:space="0" w:color="auto"/>
              <w:bottom w:val="single" w:sz="4" w:space="0" w:color="auto"/>
              <w:right w:val="single" w:sz="4" w:space="0" w:color="auto"/>
            </w:tcBorders>
            <w:hideMark/>
          </w:tcPr>
          <w:p w14:paraId="1286B758" w14:textId="77777777" w:rsidR="002E3CE8" w:rsidRPr="00520861" w:rsidRDefault="002E3CE8" w:rsidP="00292D2E">
            <w:pPr>
              <w:widowControl w:val="0"/>
              <w:spacing w:line="360" w:lineRule="auto"/>
              <w:jc w:val="center"/>
              <w:rPr>
                <w:sz w:val="28"/>
                <w:szCs w:val="28"/>
              </w:rPr>
            </w:pPr>
            <w:r w:rsidRPr="00520861">
              <w:rPr>
                <w:sz w:val="28"/>
                <w:szCs w:val="28"/>
              </w:rPr>
              <w:t>ГП</w:t>
            </w:r>
          </w:p>
        </w:tc>
        <w:tc>
          <w:tcPr>
            <w:tcW w:w="1559" w:type="dxa"/>
            <w:tcBorders>
              <w:top w:val="single" w:sz="4" w:space="0" w:color="auto"/>
              <w:left w:val="single" w:sz="4" w:space="0" w:color="auto"/>
              <w:bottom w:val="single" w:sz="4" w:space="0" w:color="auto"/>
              <w:right w:val="single" w:sz="4" w:space="0" w:color="auto"/>
            </w:tcBorders>
          </w:tcPr>
          <w:p w14:paraId="553474C6" w14:textId="77777777" w:rsidR="002E3CE8" w:rsidRPr="00520861" w:rsidRDefault="002E3CE8" w:rsidP="00292D2E">
            <w:pPr>
              <w:widowControl w:val="0"/>
              <w:spacing w:line="360" w:lineRule="auto"/>
              <w:jc w:val="center"/>
              <w:rPr>
                <w:sz w:val="28"/>
                <w:szCs w:val="28"/>
              </w:rPr>
            </w:pPr>
            <w:r w:rsidRPr="00520861">
              <w:rPr>
                <w:sz w:val="28"/>
                <w:szCs w:val="28"/>
              </w:rPr>
              <w:t>ОГ</w:t>
            </w:r>
          </w:p>
        </w:tc>
        <w:tc>
          <w:tcPr>
            <w:tcW w:w="1418" w:type="dxa"/>
            <w:hideMark/>
          </w:tcPr>
          <w:p w14:paraId="5870A68C"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1</w:t>
            </w:r>
          </w:p>
        </w:tc>
        <w:tc>
          <w:tcPr>
            <w:tcW w:w="1417" w:type="dxa"/>
            <w:hideMark/>
          </w:tcPr>
          <w:p w14:paraId="74B221CC"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2</w:t>
            </w:r>
          </w:p>
        </w:tc>
        <w:tc>
          <w:tcPr>
            <w:tcW w:w="1560" w:type="dxa"/>
            <w:hideMark/>
          </w:tcPr>
          <w:p w14:paraId="70C78040"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3</w:t>
            </w:r>
          </w:p>
        </w:tc>
        <w:tc>
          <w:tcPr>
            <w:tcW w:w="2126" w:type="dxa"/>
            <w:hideMark/>
          </w:tcPr>
          <w:p w14:paraId="308FFBE1" w14:textId="77777777" w:rsidR="002E3CE8" w:rsidRPr="00520861" w:rsidRDefault="002E3CE8" w:rsidP="00292D2E">
            <w:pPr>
              <w:widowControl w:val="0"/>
              <w:spacing w:line="360" w:lineRule="auto"/>
              <w:ind w:hanging="156"/>
              <w:jc w:val="center"/>
              <w:rPr>
                <w:rFonts w:eastAsia="Calibri"/>
                <w:sz w:val="28"/>
                <w:szCs w:val="28"/>
              </w:rPr>
            </w:pPr>
            <w:r w:rsidRPr="00520861">
              <w:rPr>
                <w:sz w:val="28"/>
                <w:szCs w:val="28"/>
              </w:rPr>
              <w:t>Підгрупа 4</w:t>
            </w:r>
          </w:p>
        </w:tc>
      </w:tr>
      <w:tr w:rsidR="002E3CE8" w:rsidRPr="00520861" w14:paraId="485952D1" w14:textId="77777777" w:rsidTr="00292D2E">
        <w:trPr>
          <w:trHeight w:val="356"/>
        </w:trPr>
        <w:tc>
          <w:tcPr>
            <w:tcW w:w="1163" w:type="dxa"/>
            <w:tcBorders>
              <w:top w:val="single" w:sz="4" w:space="0" w:color="auto"/>
              <w:left w:val="single" w:sz="4" w:space="0" w:color="auto"/>
              <w:bottom w:val="single" w:sz="4" w:space="0" w:color="auto"/>
              <w:right w:val="single" w:sz="4" w:space="0" w:color="auto"/>
            </w:tcBorders>
          </w:tcPr>
          <w:p w14:paraId="169E4310" w14:textId="77777777" w:rsidR="002E3CE8" w:rsidRPr="00520861" w:rsidRDefault="002E3CE8" w:rsidP="00292D2E">
            <w:pPr>
              <w:widowControl w:val="0"/>
              <w:spacing w:line="360" w:lineRule="auto"/>
              <w:ind w:left="-113" w:right="-107"/>
              <w:jc w:val="center"/>
              <w:rPr>
                <w:sz w:val="28"/>
                <w:szCs w:val="28"/>
              </w:rPr>
            </w:pPr>
            <w:r w:rsidRPr="00520861">
              <w:rPr>
                <w:sz w:val="28"/>
                <w:szCs w:val="28"/>
              </w:rPr>
              <w:t>1</w:t>
            </w:r>
          </w:p>
        </w:tc>
        <w:tc>
          <w:tcPr>
            <w:tcW w:w="709" w:type="dxa"/>
            <w:tcBorders>
              <w:top w:val="single" w:sz="4" w:space="0" w:color="auto"/>
              <w:left w:val="single" w:sz="4" w:space="0" w:color="auto"/>
              <w:bottom w:val="single" w:sz="4" w:space="0" w:color="auto"/>
              <w:right w:val="single" w:sz="4" w:space="0" w:color="auto"/>
            </w:tcBorders>
          </w:tcPr>
          <w:p w14:paraId="507F7023" w14:textId="77777777" w:rsidR="002E3CE8" w:rsidRPr="00520861" w:rsidRDefault="002E3CE8" w:rsidP="00292D2E">
            <w:pPr>
              <w:widowControl w:val="0"/>
              <w:spacing w:line="360" w:lineRule="auto"/>
              <w:jc w:val="center"/>
              <w:rPr>
                <w:sz w:val="28"/>
                <w:szCs w:val="28"/>
              </w:rPr>
            </w:pPr>
            <w:r w:rsidRPr="00520861">
              <w:rPr>
                <w:sz w:val="28"/>
                <w:szCs w:val="28"/>
              </w:rPr>
              <w:t>2</w:t>
            </w:r>
          </w:p>
        </w:tc>
        <w:tc>
          <w:tcPr>
            <w:tcW w:w="1559" w:type="dxa"/>
            <w:tcBorders>
              <w:top w:val="single" w:sz="4" w:space="0" w:color="auto"/>
              <w:left w:val="single" w:sz="4" w:space="0" w:color="auto"/>
              <w:bottom w:val="single" w:sz="4" w:space="0" w:color="auto"/>
              <w:right w:val="single" w:sz="4" w:space="0" w:color="auto"/>
            </w:tcBorders>
          </w:tcPr>
          <w:p w14:paraId="43FDD8D0" w14:textId="77777777" w:rsidR="002E3CE8" w:rsidRPr="00520861" w:rsidRDefault="002E3CE8" w:rsidP="00292D2E">
            <w:pPr>
              <w:widowControl w:val="0"/>
              <w:spacing w:line="360" w:lineRule="auto"/>
              <w:jc w:val="center"/>
              <w:rPr>
                <w:sz w:val="28"/>
                <w:szCs w:val="28"/>
              </w:rPr>
            </w:pPr>
            <w:r w:rsidRPr="00520861">
              <w:rPr>
                <w:sz w:val="28"/>
                <w:szCs w:val="28"/>
              </w:rPr>
              <w:t>3</w:t>
            </w:r>
          </w:p>
        </w:tc>
        <w:tc>
          <w:tcPr>
            <w:tcW w:w="1418" w:type="dxa"/>
            <w:tcBorders>
              <w:top w:val="single" w:sz="4" w:space="0" w:color="auto"/>
              <w:left w:val="single" w:sz="4" w:space="0" w:color="auto"/>
              <w:bottom w:val="single" w:sz="4" w:space="0" w:color="auto"/>
              <w:right w:val="single" w:sz="4" w:space="0" w:color="auto"/>
            </w:tcBorders>
          </w:tcPr>
          <w:p w14:paraId="7C738531" w14:textId="77777777" w:rsidR="002E3CE8" w:rsidRPr="00520861" w:rsidRDefault="002E3CE8" w:rsidP="00292D2E">
            <w:pPr>
              <w:widowControl w:val="0"/>
              <w:spacing w:line="360" w:lineRule="auto"/>
              <w:jc w:val="center"/>
              <w:rPr>
                <w:bCs/>
                <w:iCs/>
                <w:sz w:val="28"/>
                <w:szCs w:val="28"/>
              </w:rPr>
            </w:pPr>
            <w:r w:rsidRPr="00520861">
              <w:rPr>
                <w:bCs/>
                <w:iCs/>
                <w:sz w:val="28"/>
                <w:szCs w:val="28"/>
              </w:rPr>
              <w:t>4</w:t>
            </w:r>
          </w:p>
        </w:tc>
        <w:tc>
          <w:tcPr>
            <w:tcW w:w="1417" w:type="dxa"/>
            <w:tcBorders>
              <w:top w:val="single" w:sz="4" w:space="0" w:color="auto"/>
              <w:left w:val="single" w:sz="4" w:space="0" w:color="auto"/>
              <w:bottom w:val="single" w:sz="4" w:space="0" w:color="auto"/>
              <w:right w:val="single" w:sz="4" w:space="0" w:color="auto"/>
            </w:tcBorders>
          </w:tcPr>
          <w:p w14:paraId="76C99CA3" w14:textId="77777777" w:rsidR="002E3CE8" w:rsidRPr="00520861" w:rsidRDefault="002E3CE8" w:rsidP="00292D2E">
            <w:pPr>
              <w:widowControl w:val="0"/>
              <w:spacing w:line="360" w:lineRule="auto"/>
              <w:jc w:val="center"/>
              <w:rPr>
                <w:bCs/>
                <w:iCs/>
                <w:sz w:val="28"/>
                <w:szCs w:val="28"/>
              </w:rPr>
            </w:pPr>
            <w:r w:rsidRPr="00520861">
              <w:rPr>
                <w:bCs/>
                <w:iCs/>
                <w:sz w:val="28"/>
                <w:szCs w:val="28"/>
              </w:rPr>
              <w:t>5</w:t>
            </w:r>
          </w:p>
        </w:tc>
        <w:tc>
          <w:tcPr>
            <w:tcW w:w="1560" w:type="dxa"/>
            <w:tcBorders>
              <w:top w:val="single" w:sz="4" w:space="0" w:color="auto"/>
              <w:left w:val="single" w:sz="4" w:space="0" w:color="auto"/>
              <w:bottom w:val="single" w:sz="4" w:space="0" w:color="auto"/>
              <w:right w:val="single" w:sz="4" w:space="0" w:color="auto"/>
            </w:tcBorders>
          </w:tcPr>
          <w:p w14:paraId="2F8B1286" w14:textId="77777777" w:rsidR="002E3CE8" w:rsidRPr="00520861" w:rsidRDefault="002E3CE8" w:rsidP="00292D2E">
            <w:pPr>
              <w:widowControl w:val="0"/>
              <w:spacing w:line="360" w:lineRule="auto"/>
              <w:jc w:val="center"/>
              <w:rPr>
                <w:bCs/>
                <w:iCs/>
                <w:sz w:val="28"/>
                <w:szCs w:val="28"/>
              </w:rPr>
            </w:pPr>
            <w:r w:rsidRPr="00520861">
              <w:rPr>
                <w:bCs/>
                <w:iCs/>
                <w:sz w:val="28"/>
                <w:szCs w:val="28"/>
              </w:rPr>
              <w:t>6</w:t>
            </w:r>
          </w:p>
        </w:tc>
        <w:tc>
          <w:tcPr>
            <w:tcW w:w="2126" w:type="dxa"/>
            <w:tcBorders>
              <w:top w:val="single" w:sz="4" w:space="0" w:color="auto"/>
              <w:left w:val="single" w:sz="4" w:space="0" w:color="auto"/>
              <w:bottom w:val="single" w:sz="4" w:space="0" w:color="auto"/>
              <w:right w:val="single" w:sz="4" w:space="0" w:color="auto"/>
            </w:tcBorders>
          </w:tcPr>
          <w:p w14:paraId="05527B85" w14:textId="77777777" w:rsidR="002E3CE8" w:rsidRPr="00520861" w:rsidRDefault="002E3CE8" w:rsidP="00292D2E">
            <w:pPr>
              <w:widowControl w:val="0"/>
              <w:spacing w:line="360" w:lineRule="auto"/>
              <w:jc w:val="center"/>
              <w:rPr>
                <w:bCs/>
                <w:iCs/>
                <w:sz w:val="28"/>
                <w:szCs w:val="28"/>
              </w:rPr>
            </w:pPr>
            <w:r w:rsidRPr="00520861">
              <w:rPr>
                <w:bCs/>
                <w:iCs/>
                <w:sz w:val="28"/>
                <w:szCs w:val="28"/>
              </w:rPr>
              <w:t>7</w:t>
            </w:r>
          </w:p>
        </w:tc>
      </w:tr>
      <w:tr w:rsidR="002E3CE8" w:rsidRPr="00520861" w14:paraId="747D064E" w14:textId="77777777" w:rsidTr="00292D2E">
        <w:trPr>
          <w:trHeight w:val="356"/>
        </w:trPr>
        <w:tc>
          <w:tcPr>
            <w:tcW w:w="9952" w:type="dxa"/>
            <w:gridSpan w:val="7"/>
            <w:tcBorders>
              <w:top w:val="single" w:sz="4" w:space="0" w:color="auto"/>
              <w:left w:val="single" w:sz="4" w:space="0" w:color="auto"/>
              <w:bottom w:val="single" w:sz="4" w:space="0" w:color="auto"/>
              <w:right w:val="single" w:sz="4" w:space="0" w:color="auto"/>
            </w:tcBorders>
          </w:tcPr>
          <w:p w14:paraId="25CAE9EE" w14:textId="77777777" w:rsidR="002E3CE8" w:rsidRPr="00520861" w:rsidRDefault="002E3CE8" w:rsidP="00292D2E">
            <w:pPr>
              <w:widowControl w:val="0"/>
              <w:spacing w:line="360" w:lineRule="auto"/>
              <w:jc w:val="center"/>
              <w:rPr>
                <w:bCs/>
                <w:sz w:val="28"/>
                <w:szCs w:val="28"/>
                <w:vertAlign w:val="superscript"/>
              </w:rPr>
            </w:pPr>
            <w:r w:rsidRPr="00520861">
              <w:rPr>
                <w:bCs/>
                <w:sz w:val="28"/>
                <w:szCs w:val="28"/>
              </w:rPr>
              <w:t>Кількість малих слинних залоз на площі 3,5 м</w:t>
            </w:r>
            <w:r w:rsidRPr="00520861">
              <w:rPr>
                <w:bCs/>
                <w:sz w:val="28"/>
                <w:szCs w:val="28"/>
                <w:vertAlign w:val="superscript"/>
              </w:rPr>
              <w:t>2</w:t>
            </w:r>
            <w:r w:rsidRPr="00520861">
              <w:rPr>
                <w:sz w:val="28"/>
                <w:szCs w:val="28"/>
              </w:rPr>
              <w:t>× 10</w:t>
            </w:r>
            <w:r w:rsidRPr="00520861">
              <w:rPr>
                <w:sz w:val="28"/>
                <w:szCs w:val="28"/>
                <w:vertAlign w:val="superscript"/>
              </w:rPr>
              <w:t>-4</w:t>
            </w:r>
          </w:p>
        </w:tc>
      </w:tr>
      <w:tr w:rsidR="002E3CE8" w:rsidRPr="00520861" w14:paraId="3AA9EF37" w14:textId="77777777" w:rsidTr="00292D2E">
        <w:tc>
          <w:tcPr>
            <w:tcW w:w="1163" w:type="dxa"/>
            <w:tcBorders>
              <w:top w:val="single" w:sz="4" w:space="0" w:color="auto"/>
              <w:left w:val="single" w:sz="4" w:space="0" w:color="auto"/>
              <w:bottom w:val="single" w:sz="4" w:space="0" w:color="auto"/>
              <w:right w:val="single" w:sz="4" w:space="0" w:color="auto"/>
            </w:tcBorders>
            <w:hideMark/>
          </w:tcPr>
          <w:p w14:paraId="7B67DD09" w14:textId="77777777" w:rsidR="002E3CE8" w:rsidRPr="00520861" w:rsidRDefault="002E3CE8" w:rsidP="00292D2E">
            <w:pPr>
              <w:widowControl w:val="0"/>
              <w:spacing w:line="360" w:lineRule="auto"/>
              <w:jc w:val="center"/>
              <w:rPr>
                <w:sz w:val="28"/>
                <w:szCs w:val="28"/>
              </w:rPr>
            </w:pPr>
            <w:r w:rsidRPr="00520861">
              <w:rPr>
                <w:sz w:val="28"/>
                <w:szCs w:val="28"/>
              </w:rPr>
              <w:t>ВП-V</w:t>
            </w:r>
          </w:p>
        </w:tc>
        <w:tc>
          <w:tcPr>
            <w:tcW w:w="709" w:type="dxa"/>
            <w:tcBorders>
              <w:top w:val="single" w:sz="4" w:space="0" w:color="auto"/>
              <w:left w:val="single" w:sz="4" w:space="0" w:color="auto"/>
              <w:bottom w:val="single" w:sz="4" w:space="0" w:color="auto"/>
              <w:right w:val="single" w:sz="4" w:space="0" w:color="auto"/>
            </w:tcBorders>
            <w:hideMark/>
          </w:tcPr>
          <w:p w14:paraId="5A97A877" w14:textId="77777777" w:rsidR="002E3CE8" w:rsidRPr="00520861" w:rsidRDefault="002E3CE8" w:rsidP="00292D2E">
            <w:pPr>
              <w:widowControl w:val="0"/>
              <w:spacing w:line="360" w:lineRule="auto"/>
              <w:jc w:val="center"/>
              <w:rPr>
                <w:sz w:val="28"/>
                <w:szCs w:val="28"/>
              </w:rPr>
            </w:pPr>
            <w:r w:rsidRPr="00520861">
              <w:rPr>
                <w:sz w:val="28"/>
                <w:szCs w:val="28"/>
              </w:rPr>
              <w:t>15,9</w:t>
            </w:r>
          </w:p>
        </w:tc>
        <w:tc>
          <w:tcPr>
            <w:tcW w:w="1559" w:type="dxa"/>
            <w:tcBorders>
              <w:top w:val="single" w:sz="4" w:space="0" w:color="auto"/>
              <w:left w:val="single" w:sz="4" w:space="0" w:color="auto"/>
              <w:bottom w:val="single" w:sz="4" w:space="0" w:color="auto"/>
              <w:right w:val="single" w:sz="4" w:space="0" w:color="auto"/>
            </w:tcBorders>
          </w:tcPr>
          <w:p w14:paraId="0726C35D" w14:textId="77777777" w:rsidR="002E3CE8" w:rsidRPr="00520861" w:rsidRDefault="002E3CE8" w:rsidP="00292D2E">
            <w:pPr>
              <w:widowControl w:val="0"/>
              <w:spacing w:line="360" w:lineRule="auto"/>
              <w:jc w:val="center"/>
              <w:rPr>
                <w:sz w:val="28"/>
                <w:szCs w:val="28"/>
              </w:rPr>
            </w:pPr>
            <w:r w:rsidRPr="00520861">
              <w:rPr>
                <w:sz w:val="28"/>
                <w:szCs w:val="28"/>
              </w:rPr>
              <w:t>13,85* (</w:t>
            </w:r>
            <w:r w:rsidRPr="00520861">
              <w:rPr>
                <w:i/>
                <w:sz w:val="28"/>
                <w:szCs w:val="28"/>
              </w:rPr>
              <w:t>p</w:t>
            </w:r>
            <w:r w:rsidRPr="00520861">
              <w:rPr>
                <w:sz w:val="28"/>
                <w:szCs w:val="28"/>
              </w:rPr>
              <w:t>=0,0075)</w:t>
            </w:r>
          </w:p>
        </w:tc>
        <w:tc>
          <w:tcPr>
            <w:tcW w:w="1418" w:type="dxa"/>
            <w:tcBorders>
              <w:top w:val="single" w:sz="4" w:space="0" w:color="auto"/>
              <w:left w:val="single" w:sz="4" w:space="0" w:color="auto"/>
              <w:bottom w:val="single" w:sz="4" w:space="0" w:color="auto"/>
              <w:right w:val="single" w:sz="4" w:space="0" w:color="auto"/>
            </w:tcBorders>
            <w:hideMark/>
          </w:tcPr>
          <w:p w14:paraId="75216A00" w14:textId="77777777" w:rsidR="002E3CE8" w:rsidRPr="00520861" w:rsidRDefault="002E3CE8" w:rsidP="00292D2E">
            <w:pPr>
              <w:widowControl w:val="0"/>
              <w:spacing w:line="360" w:lineRule="auto"/>
              <w:jc w:val="center"/>
              <w:rPr>
                <w:sz w:val="28"/>
                <w:szCs w:val="28"/>
              </w:rPr>
            </w:pPr>
            <w:r w:rsidRPr="00520861">
              <w:rPr>
                <w:sz w:val="28"/>
                <w:szCs w:val="28"/>
              </w:rPr>
              <w:t>15,0</w:t>
            </w:r>
          </w:p>
        </w:tc>
        <w:tc>
          <w:tcPr>
            <w:tcW w:w="1417" w:type="dxa"/>
            <w:tcBorders>
              <w:top w:val="single" w:sz="4" w:space="0" w:color="auto"/>
              <w:left w:val="single" w:sz="4" w:space="0" w:color="auto"/>
              <w:bottom w:val="single" w:sz="4" w:space="0" w:color="auto"/>
              <w:right w:val="single" w:sz="4" w:space="0" w:color="auto"/>
            </w:tcBorders>
            <w:hideMark/>
          </w:tcPr>
          <w:p w14:paraId="1DEC6A14" w14:textId="77777777" w:rsidR="002E3CE8" w:rsidRPr="00520861" w:rsidRDefault="002E3CE8" w:rsidP="00292D2E">
            <w:pPr>
              <w:widowControl w:val="0"/>
              <w:tabs>
                <w:tab w:val="left" w:pos="0"/>
              </w:tabs>
              <w:spacing w:line="360" w:lineRule="auto"/>
              <w:ind w:right="-109"/>
              <w:jc w:val="center"/>
              <w:rPr>
                <w:sz w:val="28"/>
                <w:szCs w:val="28"/>
              </w:rPr>
            </w:pPr>
            <w:r w:rsidRPr="00520861">
              <w:rPr>
                <w:sz w:val="28"/>
                <w:szCs w:val="28"/>
              </w:rPr>
              <w:t>13,5* (</w:t>
            </w:r>
            <w:r w:rsidRPr="00520861">
              <w:rPr>
                <w:i/>
                <w:sz w:val="28"/>
                <w:szCs w:val="28"/>
              </w:rPr>
              <w:t>p</w:t>
            </w:r>
            <w:r w:rsidRPr="00520861">
              <w:rPr>
                <w:sz w:val="28"/>
                <w:szCs w:val="28"/>
              </w:rPr>
              <w:t>=0,0393)</w:t>
            </w:r>
          </w:p>
        </w:tc>
        <w:tc>
          <w:tcPr>
            <w:tcW w:w="1560" w:type="dxa"/>
            <w:tcBorders>
              <w:top w:val="single" w:sz="4" w:space="0" w:color="auto"/>
              <w:left w:val="single" w:sz="4" w:space="0" w:color="auto"/>
              <w:bottom w:val="single" w:sz="4" w:space="0" w:color="auto"/>
              <w:right w:val="single" w:sz="4" w:space="0" w:color="auto"/>
            </w:tcBorders>
            <w:hideMark/>
          </w:tcPr>
          <w:p w14:paraId="11AE4049" w14:textId="77777777" w:rsidR="002E3CE8" w:rsidRPr="00520861" w:rsidRDefault="002E3CE8" w:rsidP="00292D2E">
            <w:pPr>
              <w:widowControl w:val="0"/>
              <w:tabs>
                <w:tab w:val="left" w:pos="-12724"/>
              </w:tabs>
              <w:spacing w:line="360" w:lineRule="auto"/>
              <w:jc w:val="center"/>
              <w:rPr>
                <w:rFonts w:eastAsia="Calibri"/>
                <w:sz w:val="28"/>
                <w:szCs w:val="28"/>
                <w:lang w:eastAsia="en-US"/>
              </w:rPr>
            </w:pPr>
            <w:r w:rsidRPr="00520861">
              <w:rPr>
                <w:rFonts w:eastAsia="Calibri"/>
                <w:sz w:val="28"/>
                <w:szCs w:val="28"/>
                <w:lang w:eastAsia="en-US"/>
              </w:rPr>
              <w:t>13,5</w:t>
            </w:r>
          </w:p>
        </w:tc>
        <w:tc>
          <w:tcPr>
            <w:tcW w:w="2126" w:type="dxa"/>
            <w:tcBorders>
              <w:top w:val="single" w:sz="4" w:space="0" w:color="auto"/>
              <w:left w:val="single" w:sz="4" w:space="0" w:color="auto"/>
              <w:bottom w:val="single" w:sz="4" w:space="0" w:color="auto"/>
              <w:right w:val="single" w:sz="4" w:space="0" w:color="auto"/>
            </w:tcBorders>
            <w:hideMark/>
          </w:tcPr>
          <w:p w14:paraId="64E4DAC7" w14:textId="77777777" w:rsidR="002E3CE8" w:rsidRPr="00520861" w:rsidRDefault="002E3CE8" w:rsidP="00292D2E">
            <w:pPr>
              <w:widowControl w:val="0"/>
              <w:spacing w:line="360" w:lineRule="auto"/>
              <w:jc w:val="center"/>
              <w:rPr>
                <w:sz w:val="28"/>
                <w:szCs w:val="28"/>
              </w:rPr>
            </w:pPr>
            <w:r w:rsidRPr="00520861">
              <w:rPr>
                <w:sz w:val="28"/>
                <w:szCs w:val="28"/>
              </w:rPr>
              <w:t>13,3* (</w:t>
            </w:r>
            <w:r w:rsidRPr="00520861">
              <w:rPr>
                <w:i/>
                <w:sz w:val="28"/>
                <w:szCs w:val="28"/>
              </w:rPr>
              <w:t>p</w:t>
            </w:r>
            <w:r w:rsidRPr="00520861">
              <w:rPr>
                <w:sz w:val="28"/>
                <w:szCs w:val="28"/>
              </w:rPr>
              <w:t>=0,0092)</w:t>
            </w:r>
          </w:p>
        </w:tc>
      </w:tr>
      <w:tr w:rsidR="002E3CE8" w:rsidRPr="00520861" w14:paraId="30DAD1B7" w14:textId="77777777" w:rsidTr="00292D2E">
        <w:tc>
          <w:tcPr>
            <w:tcW w:w="1163" w:type="dxa"/>
            <w:tcBorders>
              <w:top w:val="single" w:sz="4" w:space="0" w:color="auto"/>
              <w:left w:val="single" w:sz="4" w:space="0" w:color="auto"/>
              <w:bottom w:val="single" w:sz="4" w:space="0" w:color="auto"/>
              <w:right w:val="single" w:sz="4" w:space="0" w:color="auto"/>
            </w:tcBorders>
          </w:tcPr>
          <w:p w14:paraId="244AF28A" w14:textId="77777777" w:rsidR="002E3CE8" w:rsidRPr="00520861" w:rsidRDefault="002E3CE8" w:rsidP="00292D2E">
            <w:pPr>
              <w:widowControl w:val="0"/>
              <w:spacing w:line="360" w:lineRule="auto"/>
              <w:jc w:val="center"/>
              <w:rPr>
                <w:sz w:val="28"/>
                <w:szCs w:val="28"/>
              </w:rPr>
            </w:pPr>
            <w:r w:rsidRPr="00520861">
              <w:rPr>
                <w:sz w:val="28"/>
                <w:szCs w:val="28"/>
              </w:rPr>
              <w:t>ВП-VІ</w:t>
            </w:r>
          </w:p>
        </w:tc>
        <w:tc>
          <w:tcPr>
            <w:tcW w:w="709" w:type="dxa"/>
            <w:tcBorders>
              <w:top w:val="single" w:sz="4" w:space="0" w:color="auto"/>
              <w:left w:val="single" w:sz="4" w:space="0" w:color="auto"/>
              <w:bottom w:val="single" w:sz="4" w:space="0" w:color="auto"/>
              <w:right w:val="single" w:sz="4" w:space="0" w:color="auto"/>
            </w:tcBorders>
          </w:tcPr>
          <w:p w14:paraId="6A475EA3" w14:textId="77777777" w:rsidR="002E3CE8" w:rsidRPr="00520861" w:rsidRDefault="002E3CE8" w:rsidP="00292D2E">
            <w:pPr>
              <w:widowControl w:val="0"/>
              <w:spacing w:line="360" w:lineRule="auto"/>
              <w:jc w:val="center"/>
              <w:rPr>
                <w:sz w:val="28"/>
                <w:szCs w:val="28"/>
              </w:rPr>
            </w:pPr>
            <w:r w:rsidRPr="00520861">
              <w:rPr>
                <w:sz w:val="28"/>
                <w:szCs w:val="28"/>
              </w:rPr>
              <w:t>14,1</w:t>
            </w:r>
          </w:p>
        </w:tc>
        <w:tc>
          <w:tcPr>
            <w:tcW w:w="1559" w:type="dxa"/>
            <w:tcBorders>
              <w:top w:val="single" w:sz="4" w:space="0" w:color="auto"/>
              <w:left w:val="single" w:sz="4" w:space="0" w:color="auto"/>
              <w:bottom w:val="single" w:sz="4" w:space="0" w:color="auto"/>
              <w:right w:val="single" w:sz="4" w:space="0" w:color="auto"/>
            </w:tcBorders>
          </w:tcPr>
          <w:p w14:paraId="4F06907F" w14:textId="77777777" w:rsidR="002E3CE8" w:rsidRPr="00520861" w:rsidRDefault="002E3CE8" w:rsidP="00292D2E">
            <w:pPr>
              <w:widowControl w:val="0"/>
              <w:spacing w:line="360" w:lineRule="auto"/>
              <w:jc w:val="center"/>
              <w:rPr>
                <w:sz w:val="28"/>
                <w:szCs w:val="28"/>
              </w:rPr>
            </w:pPr>
            <w:r w:rsidRPr="00520861">
              <w:rPr>
                <w:rFonts w:eastAsia="Calibri"/>
                <w:sz w:val="28"/>
                <w:szCs w:val="28"/>
                <w:lang w:eastAsia="en-US"/>
              </w:rPr>
              <w:t>12,28</w:t>
            </w:r>
            <w:r w:rsidRPr="00520861">
              <w:rPr>
                <w:sz w:val="28"/>
                <w:szCs w:val="28"/>
              </w:rPr>
              <w:t>* (</w:t>
            </w:r>
            <w:r w:rsidRPr="00520861">
              <w:rPr>
                <w:i/>
                <w:sz w:val="28"/>
                <w:szCs w:val="28"/>
              </w:rPr>
              <w:t>p</w:t>
            </w:r>
            <w:r w:rsidRPr="00520861">
              <w:rPr>
                <w:sz w:val="28"/>
                <w:szCs w:val="28"/>
              </w:rPr>
              <w:t>=0,0112)</w:t>
            </w:r>
          </w:p>
        </w:tc>
        <w:tc>
          <w:tcPr>
            <w:tcW w:w="1418" w:type="dxa"/>
            <w:tcBorders>
              <w:top w:val="single" w:sz="4" w:space="0" w:color="auto"/>
              <w:left w:val="single" w:sz="4" w:space="0" w:color="auto"/>
              <w:bottom w:val="single" w:sz="4" w:space="0" w:color="auto"/>
              <w:right w:val="single" w:sz="4" w:space="0" w:color="auto"/>
            </w:tcBorders>
          </w:tcPr>
          <w:p w14:paraId="49E22696"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13, 3</w:t>
            </w:r>
          </w:p>
        </w:tc>
        <w:tc>
          <w:tcPr>
            <w:tcW w:w="1417" w:type="dxa"/>
            <w:tcBorders>
              <w:top w:val="single" w:sz="4" w:space="0" w:color="auto"/>
              <w:left w:val="single" w:sz="4" w:space="0" w:color="auto"/>
              <w:bottom w:val="single" w:sz="4" w:space="0" w:color="auto"/>
              <w:right w:val="single" w:sz="4" w:space="0" w:color="auto"/>
            </w:tcBorders>
          </w:tcPr>
          <w:p w14:paraId="03EF2927" w14:textId="77777777" w:rsidR="002E3CE8" w:rsidRPr="00520861" w:rsidRDefault="002E3CE8" w:rsidP="00292D2E">
            <w:pPr>
              <w:widowControl w:val="0"/>
              <w:tabs>
                <w:tab w:val="left" w:pos="0"/>
              </w:tabs>
              <w:spacing w:line="360" w:lineRule="auto"/>
              <w:ind w:right="-109"/>
              <w:jc w:val="center"/>
              <w:rPr>
                <w:sz w:val="28"/>
                <w:szCs w:val="28"/>
              </w:rPr>
            </w:pPr>
            <w:r w:rsidRPr="00520861">
              <w:rPr>
                <w:sz w:val="28"/>
                <w:szCs w:val="28"/>
              </w:rPr>
              <w:t>12,6</w:t>
            </w:r>
          </w:p>
        </w:tc>
        <w:tc>
          <w:tcPr>
            <w:tcW w:w="1560" w:type="dxa"/>
            <w:tcBorders>
              <w:top w:val="single" w:sz="4" w:space="0" w:color="auto"/>
              <w:left w:val="single" w:sz="4" w:space="0" w:color="auto"/>
              <w:bottom w:val="single" w:sz="4" w:space="0" w:color="auto"/>
              <w:right w:val="single" w:sz="4" w:space="0" w:color="auto"/>
            </w:tcBorders>
          </w:tcPr>
          <w:p w14:paraId="090A7CC9" w14:textId="77777777" w:rsidR="002E3CE8" w:rsidRPr="00520861" w:rsidRDefault="002E3CE8" w:rsidP="00292D2E">
            <w:pPr>
              <w:widowControl w:val="0"/>
              <w:tabs>
                <w:tab w:val="left" w:pos="-12724"/>
              </w:tabs>
              <w:spacing w:line="360" w:lineRule="auto"/>
              <w:jc w:val="center"/>
              <w:rPr>
                <w:sz w:val="28"/>
                <w:szCs w:val="28"/>
              </w:rPr>
            </w:pPr>
            <w:r w:rsidRPr="00520861">
              <w:rPr>
                <w:rFonts w:eastAsia="Calibri"/>
                <w:sz w:val="28"/>
                <w:szCs w:val="28"/>
                <w:lang w:eastAsia="en-US"/>
              </w:rPr>
              <w:t>11,8</w:t>
            </w:r>
            <w:r w:rsidRPr="00520861">
              <w:rPr>
                <w:sz w:val="28"/>
                <w:szCs w:val="28"/>
              </w:rPr>
              <w:t>* (</w:t>
            </w:r>
            <w:r w:rsidRPr="00520861">
              <w:rPr>
                <w:i/>
                <w:sz w:val="28"/>
                <w:szCs w:val="28"/>
              </w:rPr>
              <w:t>p</w:t>
            </w:r>
            <w:r w:rsidRPr="00520861">
              <w:rPr>
                <w:sz w:val="28"/>
                <w:szCs w:val="28"/>
              </w:rPr>
              <w:t>=0,0159)</w:t>
            </w:r>
          </w:p>
        </w:tc>
        <w:tc>
          <w:tcPr>
            <w:tcW w:w="2126" w:type="dxa"/>
            <w:tcBorders>
              <w:top w:val="single" w:sz="4" w:space="0" w:color="auto"/>
              <w:left w:val="single" w:sz="4" w:space="0" w:color="auto"/>
              <w:bottom w:val="single" w:sz="4" w:space="0" w:color="auto"/>
              <w:right w:val="single" w:sz="4" w:space="0" w:color="auto"/>
            </w:tcBorders>
          </w:tcPr>
          <w:p w14:paraId="7261E6A9" w14:textId="77777777" w:rsidR="002E3CE8" w:rsidRPr="00520861" w:rsidRDefault="002E3CE8" w:rsidP="00292D2E">
            <w:pPr>
              <w:widowControl w:val="0"/>
              <w:spacing w:line="360" w:lineRule="auto"/>
              <w:jc w:val="center"/>
              <w:rPr>
                <w:sz w:val="28"/>
                <w:szCs w:val="28"/>
              </w:rPr>
            </w:pPr>
            <w:r w:rsidRPr="00520861">
              <w:rPr>
                <w:sz w:val="28"/>
                <w:szCs w:val="28"/>
              </w:rPr>
              <w:t>11,6* (</w:t>
            </w:r>
            <w:r w:rsidRPr="00520861">
              <w:rPr>
                <w:i/>
                <w:sz w:val="28"/>
                <w:szCs w:val="28"/>
              </w:rPr>
              <w:t>p</w:t>
            </w:r>
            <w:r w:rsidRPr="00520861">
              <w:rPr>
                <w:sz w:val="28"/>
                <w:szCs w:val="28"/>
              </w:rPr>
              <w:t>=0,0104)</w:t>
            </w:r>
          </w:p>
        </w:tc>
      </w:tr>
      <w:tr w:rsidR="002E3CE8" w:rsidRPr="00520861" w14:paraId="57A48752" w14:textId="77777777" w:rsidTr="00292D2E">
        <w:tc>
          <w:tcPr>
            <w:tcW w:w="1163" w:type="dxa"/>
            <w:tcBorders>
              <w:top w:val="single" w:sz="4" w:space="0" w:color="auto"/>
              <w:left w:val="single" w:sz="4" w:space="0" w:color="auto"/>
              <w:bottom w:val="single" w:sz="4" w:space="0" w:color="auto"/>
              <w:right w:val="single" w:sz="4" w:space="0" w:color="auto"/>
            </w:tcBorders>
          </w:tcPr>
          <w:p w14:paraId="55AC17BF" w14:textId="77777777" w:rsidR="002E3CE8" w:rsidRPr="00520861" w:rsidRDefault="002E3CE8" w:rsidP="00292D2E">
            <w:pPr>
              <w:widowControl w:val="0"/>
              <w:spacing w:line="360" w:lineRule="auto"/>
              <w:jc w:val="center"/>
              <w:rPr>
                <w:sz w:val="28"/>
                <w:szCs w:val="28"/>
              </w:rPr>
            </w:pPr>
            <w:r w:rsidRPr="00520861">
              <w:rPr>
                <w:sz w:val="28"/>
                <w:szCs w:val="28"/>
              </w:rPr>
              <w:t>ВП-VІІ</w:t>
            </w:r>
          </w:p>
        </w:tc>
        <w:tc>
          <w:tcPr>
            <w:tcW w:w="709" w:type="dxa"/>
            <w:tcBorders>
              <w:top w:val="single" w:sz="4" w:space="0" w:color="auto"/>
              <w:left w:val="single" w:sz="4" w:space="0" w:color="auto"/>
              <w:bottom w:val="single" w:sz="4" w:space="0" w:color="auto"/>
              <w:right w:val="single" w:sz="4" w:space="0" w:color="auto"/>
            </w:tcBorders>
          </w:tcPr>
          <w:p w14:paraId="4617D20E" w14:textId="77777777" w:rsidR="002E3CE8" w:rsidRPr="00520861" w:rsidRDefault="002E3CE8" w:rsidP="00292D2E">
            <w:pPr>
              <w:widowControl w:val="0"/>
              <w:spacing w:line="360" w:lineRule="auto"/>
              <w:jc w:val="center"/>
              <w:rPr>
                <w:sz w:val="28"/>
                <w:szCs w:val="28"/>
              </w:rPr>
            </w:pPr>
            <w:r w:rsidRPr="00520861">
              <w:rPr>
                <w:sz w:val="28"/>
                <w:szCs w:val="28"/>
              </w:rPr>
              <w:t>12,0</w:t>
            </w:r>
          </w:p>
        </w:tc>
        <w:tc>
          <w:tcPr>
            <w:tcW w:w="1559" w:type="dxa"/>
            <w:tcBorders>
              <w:top w:val="single" w:sz="4" w:space="0" w:color="auto"/>
              <w:left w:val="single" w:sz="4" w:space="0" w:color="auto"/>
              <w:bottom w:val="single" w:sz="4" w:space="0" w:color="auto"/>
              <w:right w:val="single" w:sz="4" w:space="0" w:color="auto"/>
            </w:tcBorders>
          </w:tcPr>
          <w:p w14:paraId="1AE22A7F" w14:textId="77777777" w:rsidR="002E3CE8" w:rsidRPr="00520861" w:rsidRDefault="002E3CE8" w:rsidP="00292D2E">
            <w:pPr>
              <w:widowControl w:val="0"/>
              <w:spacing w:line="360" w:lineRule="auto"/>
              <w:jc w:val="center"/>
              <w:rPr>
                <w:sz w:val="28"/>
                <w:szCs w:val="28"/>
              </w:rPr>
            </w:pPr>
            <w:r w:rsidRPr="00520861">
              <w:rPr>
                <w:rFonts w:eastAsia="Calibri"/>
                <w:sz w:val="28"/>
                <w:szCs w:val="28"/>
                <w:lang w:eastAsia="en-US"/>
              </w:rPr>
              <w:t>10,58</w:t>
            </w:r>
            <w:r w:rsidRPr="00520861">
              <w:rPr>
                <w:sz w:val="28"/>
                <w:szCs w:val="28"/>
              </w:rPr>
              <w:t>* (</w:t>
            </w:r>
            <w:r w:rsidRPr="00520861">
              <w:rPr>
                <w:i/>
                <w:sz w:val="28"/>
                <w:szCs w:val="28"/>
              </w:rPr>
              <w:t>p</w:t>
            </w:r>
            <w:r w:rsidRPr="00520861">
              <w:rPr>
                <w:sz w:val="28"/>
                <w:szCs w:val="28"/>
              </w:rPr>
              <w:t>=0,0009)</w:t>
            </w:r>
          </w:p>
        </w:tc>
        <w:tc>
          <w:tcPr>
            <w:tcW w:w="1418" w:type="dxa"/>
            <w:tcBorders>
              <w:top w:val="single" w:sz="4" w:space="0" w:color="auto"/>
              <w:left w:val="single" w:sz="4" w:space="0" w:color="auto"/>
              <w:bottom w:val="single" w:sz="4" w:space="0" w:color="auto"/>
              <w:right w:val="single" w:sz="4" w:space="0" w:color="auto"/>
            </w:tcBorders>
          </w:tcPr>
          <w:p w14:paraId="71850195"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11,1</w:t>
            </w:r>
          </w:p>
        </w:tc>
        <w:tc>
          <w:tcPr>
            <w:tcW w:w="1417" w:type="dxa"/>
            <w:tcBorders>
              <w:top w:val="single" w:sz="4" w:space="0" w:color="auto"/>
              <w:left w:val="single" w:sz="4" w:space="0" w:color="auto"/>
              <w:bottom w:val="single" w:sz="4" w:space="0" w:color="auto"/>
              <w:right w:val="single" w:sz="4" w:space="0" w:color="auto"/>
            </w:tcBorders>
          </w:tcPr>
          <w:p w14:paraId="169A9ADB" w14:textId="77777777" w:rsidR="002E3CE8" w:rsidRPr="00520861" w:rsidRDefault="002E3CE8" w:rsidP="00292D2E">
            <w:pPr>
              <w:widowControl w:val="0"/>
              <w:tabs>
                <w:tab w:val="left" w:pos="0"/>
              </w:tabs>
              <w:spacing w:line="360" w:lineRule="auto"/>
              <w:ind w:right="-109"/>
              <w:jc w:val="center"/>
              <w:rPr>
                <w:sz w:val="28"/>
                <w:szCs w:val="28"/>
              </w:rPr>
            </w:pPr>
            <w:r w:rsidRPr="00520861">
              <w:rPr>
                <w:sz w:val="28"/>
                <w:szCs w:val="28"/>
              </w:rPr>
              <w:t>11,00</w:t>
            </w:r>
          </w:p>
        </w:tc>
        <w:tc>
          <w:tcPr>
            <w:tcW w:w="1560" w:type="dxa"/>
            <w:tcBorders>
              <w:top w:val="single" w:sz="4" w:space="0" w:color="auto"/>
              <w:left w:val="single" w:sz="4" w:space="0" w:color="auto"/>
              <w:bottom w:val="single" w:sz="4" w:space="0" w:color="auto"/>
              <w:right w:val="single" w:sz="4" w:space="0" w:color="auto"/>
            </w:tcBorders>
          </w:tcPr>
          <w:p w14:paraId="4433826C" w14:textId="77777777" w:rsidR="002E3CE8" w:rsidRPr="00520861" w:rsidRDefault="002E3CE8" w:rsidP="00292D2E">
            <w:pPr>
              <w:widowControl w:val="0"/>
              <w:tabs>
                <w:tab w:val="left" w:pos="-12724"/>
              </w:tabs>
              <w:spacing w:line="360" w:lineRule="auto"/>
              <w:jc w:val="center"/>
              <w:rPr>
                <w:sz w:val="28"/>
                <w:szCs w:val="28"/>
              </w:rPr>
            </w:pPr>
            <w:r w:rsidRPr="00520861">
              <w:rPr>
                <w:rFonts w:eastAsia="Calibri"/>
                <w:sz w:val="28"/>
                <w:szCs w:val="28"/>
                <w:lang w:eastAsia="en-US"/>
              </w:rPr>
              <w:t>10,2</w:t>
            </w:r>
            <w:r w:rsidRPr="00520861">
              <w:rPr>
                <w:sz w:val="28"/>
                <w:szCs w:val="28"/>
              </w:rPr>
              <w:t>* (</w:t>
            </w:r>
            <w:r w:rsidRPr="00520861">
              <w:rPr>
                <w:i/>
                <w:sz w:val="28"/>
                <w:szCs w:val="28"/>
              </w:rPr>
              <w:t>p</w:t>
            </w:r>
            <w:r w:rsidRPr="00520861">
              <w:rPr>
                <w:sz w:val="28"/>
                <w:szCs w:val="28"/>
              </w:rPr>
              <w:t>=0,0136)</w:t>
            </w:r>
          </w:p>
        </w:tc>
        <w:tc>
          <w:tcPr>
            <w:tcW w:w="2126" w:type="dxa"/>
            <w:tcBorders>
              <w:top w:val="single" w:sz="4" w:space="0" w:color="auto"/>
              <w:left w:val="single" w:sz="4" w:space="0" w:color="auto"/>
              <w:bottom w:val="single" w:sz="4" w:space="0" w:color="auto"/>
              <w:right w:val="single" w:sz="4" w:space="0" w:color="auto"/>
            </w:tcBorders>
          </w:tcPr>
          <w:p w14:paraId="071F524A" w14:textId="77777777" w:rsidR="002E3CE8" w:rsidRPr="00520861" w:rsidRDefault="002E3CE8" w:rsidP="00292D2E">
            <w:pPr>
              <w:widowControl w:val="0"/>
              <w:spacing w:line="360" w:lineRule="auto"/>
              <w:jc w:val="center"/>
              <w:rPr>
                <w:sz w:val="28"/>
                <w:szCs w:val="28"/>
              </w:rPr>
            </w:pPr>
            <w:r w:rsidRPr="00520861">
              <w:rPr>
                <w:sz w:val="28"/>
                <w:szCs w:val="28"/>
              </w:rPr>
              <w:t>10,3* (</w:t>
            </w:r>
            <w:r w:rsidRPr="00520861">
              <w:rPr>
                <w:i/>
                <w:sz w:val="28"/>
                <w:szCs w:val="28"/>
              </w:rPr>
              <w:t>p</w:t>
            </w:r>
            <w:r w:rsidRPr="00520861">
              <w:rPr>
                <w:sz w:val="28"/>
                <w:szCs w:val="28"/>
              </w:rPr>
              <w:t>=0,0020)</w:t>
            </w:r>
          </w:p>
        </w:tc>
      </w:tr>
      <w:tr w:rsidR="002E3CE8" w:rsidRPr="00520861" w14:paraId="79C1423E" w14:textId="77777777" w:rsidTr="00292D2E">
        <w:tc>
          <w:tcPr>
            <w:tcW w:w="1163" w:type="dxa"/>
            <w:tcBorders>
              <w:top w:val="single" w:sz="4" w:space="0" w:color="auto"/>
              <w:left w:val="single" w:sz="4" w:space="0" w:color="auto"/>
              <w:bottom w:val="single" w:sz="4" w:space="0" w:color="auto"/>
              <w:right w:val="single" w:sz="4" w:space="0" w:color="auto"/>
            </w:tcBorders>
          </w:tcPr>
          <w:p w14:paraId="5DE83598" w14:textId="77777777" w:rsidR="002E3CE8" w:rsidRPr="00520861" w:rsidRDefault="002E3CE8" w:rsidP="00292D2E">
            <w:pPr>
              <w:widowControl w:val="0"/>
              <w:spacing w:line="360" w:lineRule="auto"/>
              <w:ind w:left="-113" w:right="-107" w:firstLine="113"/>
              <w:jc w:val="center"/>
              <w:rPr>
                <w:sz w:val="28"/>
                <w:szCs w:val="28"/>
                <w:lang w:val="en-US"/>
              </w:rPr>
            </w:pPr>
            <w:r w:rsidRPr="00520861">
              <w:rPr>
                <w:sz w:val="28"/>
                <w:szCs w:val="28"/>
              </w:rPr>
              <w:t>ВП-VІ</w:t>
            </w:r>
            <w:r w:rsidRPr="00520861">
              <w:rPr>
                <w:sz w:val="28"/>
                <w:szCs w:val="28"/>
                <w:lang w:val="en-US"/>
              </w:rPr>
              <w:t>II</w:t>
            </w:r>
          </w:p>
        </w:tc>
        <w:tc>
          <w:tcPr>
            <w:tcW w:w="709" w:type="dxa"/>
            <w:tcBorders>
              <w:top w:val="single" w:sz="4" w:space="0" w:color="auto"/>
              <w:left w:val="single" w:sz="4" w:space="0" w:color="auto"/>
              <w:bottom w:val="single" w:sz="4" w:space="0" w:color="auto"/>
              <w:right w:val="single" w:sz="4" w:space="0" w:color="auto"/>
            </w:tcBorders>
          </w:tcPr>
          <w:p w14:paraId="305CFC22" w14:textId="77777777" w:rsidR="002E3CE8" w:rsidRPr="00520861" w:rsidRDefault="002E3CE8" w:rsidP="00292D2E">
            <w:pPr>
              <w:widowControl w:val="0"/>
              <w:spacing w:line="360" w:lineRule="auto"/>
              <w:jc w:val="center"/>
              <w:rPr>
                <w:sz w:val="28"/>
                <w:szCs w:val="28"/>
              </w:rPr>
            </w:pPr>
            <w:r w:rsidRPr="00520861">
              <w:rPr>
                <w:sz w:val="28"/>
                <w:szCs w:val="28"/>
              </w:rPr>
              <w:t>11,6</w:t>
            </w:r>
          </w:p>
        </w:tc>
        <w:tc>
          <w:tcPr>
            <w:tcW w:w="1559" w:type="dxa"/>
            <w:tcBorders>
              <w:top w:val="single" w:sz="4" w:space="0" w:color="auto"/>
              <w:left w:val="single" w:sz="4" w:space="0" w:color="auto"/>
              <w:bottom w:val="single" w:sz="4" w:space="0" w:color="auto"/>
              <w:right w:val="single" w:sz="4" w:space="0" w:color="auto"/>
            </w:tcBorders>
          </w:tcPr>
          <w:p w14:paraId="7A417E1D" w14:textId="77777777" w:rsidR="002E3CE8" w:rsidRPr="00520861" w:rsidRDefault="002E3CE8" w:rsidP="00292D2E">
            <w:pPr>
              <w:widowControl w:val="0"/>
              <w:spacing w:line="360" w:lineRule="auto"/>
              <w:jc w:val="center"/>
              <w:rPr>
                <w:sz w:val="28"/>
                <w:szCs w:val="28"/>
              </w:rPr>
            </w:pPr>
            <w:r w:rsidRPr="00520861">
              <w:rPr>
                <w:rFonts w:eastAsia="Calibri"/>
                <w:sz w:val="28"/>
                <w:szCs w:val="28"/>
                <w:lang w:eastAsia="en-US"/>
              </w:rPr>
              <w:t>9,08</w:t>
            </w:r>
            <w:r w:rsidRPr="00520861">
              <w:rPr>
                <w:sz w:val="28"/>
                <w:szCs w:val="28"/>
              </w:rPr>
              <w:t>* (</w:t>
            </w:r>
            <w:r w:rsidRPr="00520861">
              <w:rPr>
                <w:i/>
                <w:sz w:val="28"/>
                <w:szCs w:val="28"/>
              </w:rPr>
              <w:t>p</w:t>
            </w:r>
            <w:r w:rsidRPr="00520861">
              <w:rPr>
                <w:sz w:val="28"/>
                <w:szCs w:val="28"/>
              </w:rPr>
              <w:t>=0,0005)</w:t>
            </w:r>
          </w:p>
        </w:tc>
        <w:tc>
          <w:tcPr>
            <w:tcW w:w="1418" w:type="dxa"/>
            <w:tcBorders>
              <w:top w:val="single" w:sz="4" w:space="0" w:color="auto"/>
              <w:left w:val="single" w:sz="4" w:space="0" w:color="auto"/>
              <w:bottom w:val="single" w:sz="4" w:space="0" w:color="auto"/>
              <w:right w:val="single" w:sz="4" w:space="0" w:color="auto"/>
            </w:tcBorders>
          </w:tcPr>
          <w:p w14:paraId="3D900F9A"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11,0</w:t>
            </w:r>
          </w:p>
        </w:tc>
        <w:tc>
          <w:tcPr>
            <w:tcW w:w="1417" w:type="dxa"/>
            <w:tcBorders>
              <w:top w:val="single" w:sz="4" w:space="0" w:color="auto"/>
              <w:left w:val="single" w:sz="4" w:space="0" w:color="auto"/>
              <w:bottom w:val="single" w:sz="4" w:space="0" w:color="auto"/>
              <w:right w:val="single" w:sz="4" w:space="0" w:color="auto"/>
            </w:tcBorders>
          </w:tcPr>
          <w:p w14:paraId="5AB36488" w14:textId="77777777" w:rsidR="002E3CE8" w:rsidRPr="00520861" w:rsidRDefault="002E3CE8" w:rsidP="00292D2E">
            <w:pPr>
              <w:widowControl w:val="0"/>
              <w:tabs>
                <w:tab w:val="left" w:pos="0"/>
              </w:tabs>
              <w:spacing w:line="360" w:lineRule="auto"/>
              <w:ind w:right="-109"/>
              <w:jc w:val="center"/>
              <w:rPr>
                <w:sz w:val="28"/>
                <w:szCs w:val="28"/>
              </w:rPr>
            </w:pPr>
            <w:r w:rsidRPr="00520861">
              <w:rPr>
                <w:sz w:val="28"/>
                <w:szCs w:val="28"/>
              </w:rPr>
              <w:t>11,3</w:t>
            </w:r>
          </w:p>
        </w:tc>
        <w:tc>
          <w:tcPr>
            <w:tcW w:w="1560" w:type="dxa"/>
            <w:tcBorders>
              <w:top w:val="single" w:sz="4" w:space="0" w:color="auto"/>
              <w:left w:val="single" w:sz="4" w:space="0" w:color="auto"/>
              <w:bottom w:val="single" w:sz="4" w:space="0" w:color="auto"/>
              <w:right w:val="single" w:sz="4" w:space="0" w:color="auto"/>
            </w:tcBorders>
          </w:tcPr>
          <w:p w14:paraId="2F248A3A" w14:textId="77777777" w:rsidR="002E3CE8" w:rsidRPr="00520861" w:rsidRDefault="002E3CE8" w:rsidP="00292D2E">
            <w:pPr>
              <w:widowControl w:val="0"/>
              <w:tabs>
                <w:tab w:val="left" w:pos="-12724"/>
              </w:tabs>
              <w:spacing w:line="360" w:lineRule="auto"/>
              <w:jc w:val="center"/>
              <w:rPr>
                <w:sz w:val="28"/>
                <w:szCs w:val="28"/>
              </w:rPr>
            </w:pPr>
            <w:r w:rsidRPr="00520861">
              <w:rPr>
                <w:rFonts w:eastAsia="Calibri"/>
                <w:sz w:val="28"/>
                <w:szCs w:val="28"/>
                <w:lang w:eastAsia="en-US"/>
              </w:rPr>
              <w:t>8,0</w:t>
            </w:r>
            <w:r w:rsidRPr="00520861">
              <w:rPr>
                <w:sz w:val="28"/>
                <w:szCs w:val="28"/>
              </w:rPr>
              <w:t>* (</w:t>
            </w:r>
            <w:r w:rsidRPr="00520861">
              <w:rPr>
                <w:i/>
                <w:sz w:val="28"/>
                <w:szCs w:val="28"/>
              </w:rPr>
              <w:t>p</w:t>
            </w:r>
            <w:r w:rsidRPr="00520861">
              <w:rPr>
                <w:sz w:val="28"/>
                <w:szCs w:val="28"/>
              </w:rPr>
              <w:t>=0,0014)</w:t>
            </w:r>
          </w:p>
        </w:tc>
        <w:tc>
          <w:tcPr>
            <w:tcW w:w="2126" w:type="dxa"/>
            <w:tcBorders>
              <w:top w:val="single" w:sz="4" w:space="0" w:color="auto"/>
              <w:left w:val="single" w:sz="4" w:space="0" w:color="auto"/>
              <w:bottom w:val="single" w:sz="4" w:space="0" w:color="auto"/>
              <w:right w:val="single" w:sz="4" w:space="0" w:color="auto"/>
            </w:tcBorders>
          </w:tcPr>
          <w:p w14:paraId="27D79E3A" w14:textId="77777777" w:rsidR="002E3CE8" w:rsidRPr="00520861" w:rsidRDefault="002E3CE8" w:rsidP="00292D2E">
            <w:pPr>
              <w:widowControl w:val="0"/>
              <w:spacing w:line="360" w:lineRule="auto"/>
              <w:ind w:hanging="55"/>
              <w:jc w:val="center"/>
              <w:rPr>
                <w:sz w:val="28"/>
                <w:szCs w:val="28"/>
              </w:rPr>
            </w:pPr>
            <w:r w:rsidRPr="00520861">
              <w:rPr>
                <w:sz w:val="28"/>
                <w:szCs w:val="28"/>
              </w:rPr>
              <w:t>8,4*</w:t>
            </w:r>
          </w:p>
          <w:p w14:paraId="15DDD1AB" w14:textId="77777777" w:rsidR="002E3CE8" w:rsidRPr="00520861" w:rsidRDefault="002E3CE8" w:rsidP="00292D2E">
            <w:pPr>
              <w:widowControl w:val="0"/>
              <w:spacing w:line="360" w:lineRule="auto"/>
              <w:ind w:hanging="55"/>
              <w:jc w:val="center"/>
              <w:rPr>
                <w:sz w:val="28"/>
                <w:szCs w:val="28"/>
              </w:rPr>
            </w:pPr>
            <w:r w:rsidRPr="00520861">
              <w:rPr>
                <w:sz w:val="28"/>
                <w:szCs w:val="28"/>
              </w:rPr>
              <w:t>(</w:t>
            </w:r>
            <w:r w:rsidRPr="00520861">
              <w:rPr>
                <w:i/>
                <w:sz w:val="28"/>
                <w:szCs w:val="28"/>
              </w:rPr>
              <w:t>p</w:t>
            </w:r>
            <w:r w:rsidRPr="00520861">
              <w:rPr>
                <w:sz w:val="28"/>
                <w:szCs w:val="28"/>
              </w:rPr>
              <w:t>=0,0001)</w:t>
            </w:r>
          </w:p>
        </w:tc>
      </w:tr>
      <w:tr w:rsidR="002E3CE8" w:rsidRPr="00520861" w14:paraId="44755399" w14:textId="77777777" w:rsidTr="00292D2E">
        <w:tc>
          <w:tcPr>
            <w:tcW w:w="9952" w:type="dxa"/>
            <w:gridSpan w:val="7"/>
            <w:tcBorders>
              <w:top w:val="single" w:sz="4" w:space="0" w:color="auto"/>
              <w:left w:val="single" w:sz="4" w:space="0" w:color="auto"/>
              <w:bottom w:val="single" w:sz="4" w:space="0" w:color="auto"/>
              <w:right w:val="single" w:sz="4" w:space="0" w:color="auto"/>
            </w:tcBorders>
          </w:tcPr>
          <w:p w14:paraId="06173C6A" w14:textId="77777777" w:rsidR="002E3CE8" w:rsidRPr="00520861" w:rsidRDefault="002E3CE8" w:rsidP="00292D2E">
            <w:pPr>
              <w:widowControl w:val="0"/>
              <w:spacing w:line="360" w:lineRule="auto"/>
              <w:ind w:right="-109" w:hanging="83"/>
              <w:jc w:val="center"/>
              <w:rPr>
                <w:sz w:val="28"/>
                <w:szCs w:val="28"/>
              </w:rPr>
            </w:pPr>
            <w:r w:rsidRPr="00520861">
              <w:rPr>
                <w:bCs/>
                <w:sz w:val="28"/>
                <w:szCs w:val="28"/>
              </w:rPr>
              <w:t>Кількість</w:t>
            </w:r>
            <w:r w:rsidRPr="00520861">
              <w:rPr>
                <w:sz w:val="28"/>
                <w:szCs w:val="28"/>
              </w:rPr>
              <w:t xml:space="preserve"> секрету, який виділяється однією малою слинною залозою, кг/с × 6</w:t>
            </w:r>
            <w:r w:rsidRPr="00520861">
              <w:rPr>
                <w:sz w:val="28"/>
                <w:szCs w:val="28"/>
              </w:rPr>
              <w:sym w:font="Symbol" w:char="F0D7"/>
            </w:r>
            <w:r w:rsidRPr="00520861">
              <w:rPr>
                <w:sz w:val="28"/>
                <w:szCs w:val="28"/>
              </w:rPr>
              <w:t>10</w:t>
            </w:r>
            <w:r w:rsidRPr="00520861">
              <w:rPr>
                <w:sz w:val="28"/>
                <w:szCs w:val="28"/>
                <w:vertAlign w:val="superscript"/>
              </w:rPr>
              <w:t>-8</w:t>
            </w:r>
          </w:p>
        </w:tc>
      </w:tr>
      <w:tr w:rsidR="002E3CE8" w:rsidRPr="00520861" w14:paraId="58C5FAED" w14:textId="77777777" w:rsidTr="00292D2E">
        <w:tc>
          <w:tcPr>
            <w:tcW w:w="1163" w:type="dxa"/>
            <w:tcBorders>
              <w:top w:val="single" w:sz="4" w:space="0" w:color="auto"/>
              <w:left w:val="single" w:sz="4" w:space="0" w:color="auto"/>
              <w:bottom w:val="single" w:sz="4" w:space="0" w:color="auto"/>
              <w:right w:val="single" w:sz="4" w:space="0" w:color="auto"/>
            </w:tcBorders>
            <w:hideMark/>
          </w:tcPr>
          <w:p w14:paraId="6414EB0C" w14:textId="77777777" w:rsidR="002E3CE8" w:rsidRPr="00520861" w:rsidRDefault="002E3CE8" w:rsidP="00292D2E">
            <w:pPr>
              <w:widowControl w:val="0"/>
              <w:spacing w:line="360" w:lineRule="auto"/>
              <w:jc w:val="center"/>
              <w:rPr>
                <w:sz w:val="28"/>
                <w:szCs w:val="28"/>
              </w:rPr>
            </w:pPr>
            <w:r w:rsidRPr="00520861">
              <w:rPr>
                <w:sz w:val="28"/>
                <w:szCs w:val="28"/>
              </w:rPr>
              <w:t>ВП-V</w:t>
            </w:r>
          </w:p>
        </w:tc>
        <w:tc>
          <w:tcPr>
            <w:tcW w:w="709" w:type="dxa"/>
            <w:tcBorders>
              <w:top w:val="single" w:sz="4" w:space="0" w:color="auto"/>
              <w:left w:val="single" w:sz="4" w:space="0" w:color="auto"/>
              <w:bottom w:val="single" w:sz="4" w:space="0" w:color="auto"/>
              <w:right w:val="single" w:sz="4" w:space="0" w:color="auto"/>
            </w:tcBorders>
          </w:tcPr>
          <w:p w14:paraId="118A1CBB" w14:textId="77777777" w:rsidR="002E3CE8" w:rsidRPr="00520861" w:rsidRDefault="002E3CE8" w:rsidP="00292D2E">
            <w:pPr>
              <w:widowControl w:val="0"/>
              <w:tabs>
                <w:tab w:val="left" w:pos="-8256"/>
              </w:tabs>
              <w:spacing w:line="360" w:lineRule="auto"/>
              <w:jc w:val="center"/>
              <w:rPr>
                <w:sz w:val="28"/>
                <w:szCs w:val="28"/>
              </w:rPr>
            </w:pPr>
            <w:r w:rsidRPr="00520861">
              <w:rPr>
                <w:sz w:val="28"/>
                <w:szCs w:val="28"/>
              </w:rPr>
              <w:t>1,90</w:t>
            </w:r>
          </w:p>
        </w:tc>
        <w:tc>
          <w:tcPr>
            <w:tcW w:w="1559" w:type="dxa"/>
            <w:tcBorders>
              <w:top w:val="single" w:sz="4" w:space="0" w:color="auto"/>
              <w:left w:val="single" w:sz="4" w:space="0" w:color="auto"/>
              <w:bottom w:val="single" w:sz="4" w:space="0" w:color="auto"/>
              <w:right w:val="single" w:sz="4" w:space="0" w:color="auto"/>
            </w:tcBorders>
          </w:tcPr>
          <w:p w14:paraId="7A7CDE96" w14:textId="77777777" w:rsidR="002E3CE8" w:rsidRPr="00520861" w:rsidRDefault="002E3CE8" w:rsidP="00292D2E">
            <w:pPr>
              <w:widowControl w:val="0"/>
              <w:spacing w:line="360" w:lineRule="auto"/>
              <w:jc w:val="center"/>
              <w:rPr>
                <w:sz w:val="28"/>
                <w:szCs w:val="28"/>
              </w:rPr>
            </w:pPr>
            <w:r w:rsidRPr="00520861">
              <w:rPr>
                <w:sz w:val="28"/>
                <w:szCs w:val="28"/>
              </w:rPr>
              <w:t>1,61* (</w:t>
            </w:r>
            <w:r w:rsidRPr="00520861">
              <w:rPr>
                <w:i/>
                <w:sz w:val="28"/>
                <w:szCs w:val="28"/>
              </w:rPr>
              <w:t>p</w:t>
            </w:r>
            <w:r w:rsidRPr="00520861">
              <w:rPr>
                <w:sz w:val="28"/>
                <w:szCs w:val="28"/>
              </w:rPr>
              <w:t>=0,0194)</w:t>
            </w:r>
          </w:p>
        </w:tc>
        <w:tc>
          <w:tcPr>
            <w:tcW w:w="1418" w:type="dxa"/>
            <w:tcBorders>
              <w:top w:val="single" w:sz="4" w:space="0" w:color="auto"/>
              <w:left w:val="single" w:sz="4" w:space="0" w:color="auto"/>
              <w:bottom w:val="single" w:sz="4" w:space="0" w:color="auto"/>
              <w:right w:val="single" w:sz="4" w:space="0" w:color="auto"/>
            </w:tcBorders>
          </w:tcPr>
          <w:p w14:paraId="23742A96"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1,76</w:t>
            </w:r>
          </w:p>
        </w:tc>
        <w:tc>
          <w:tcPr>
            <w:tcW w:w="1417" w:type="dxa"/>
            <w:tcBorders>
              <w:top w:val="single" w:sz="4" w:space="0" w:color="auto"/>
              <w:left w:val="single" w:sz="4" w:space="0" w:color="auto"/>
              <w:bottom w:val="single" w:sz="4" w:space="0" w:color="auto"/>
              <w:right w:val="single" w:sz="4" w:space="0" w:color="auto"/>
            </w:tcBorders>
          </w:tcPr>
          <w:p w14:paraId="3A928D57" w14:textId="77777777" w:rsidR="002E3CE8" w:rsidRPr="00520861" w:rsidRDefault="002E3CE8" w:rsidP="00292D2E">
            <w:pPr>
              <w:widowControl w:val="0"/>
              <w:tabs>
                <w:tab w:val="left" w:pos="0"/>
              </w:tabs>
              <w:spacing w:line="360" w:lineRule="auto"/>
              <w:ind w:right="-109"/>
              <w:jc w:val="center"/>
              <w:rPr>
                <w:sz w:val="28"/>
                <w:szCs w:val="28"/>
              </w:rPr>
            </w:pPr>
            <w:r w:rsidRPr="00520861">
              <w:rPr>
                <w:sz w:val="28"/>
                <w:szCs w:val="28"/>
              </w:rPr>
              <w:t>1,68</w:t>
            </w:r>
          </w:p>
        </w:tc>
        <w:tc>
          <w:tcPr>
            <w:tcW w:w="1560" w:type="dxa"/>
            <w:tcBorders>
              <w:top w:val="single" w:sz="4" w:space="0" w:color="auto"/>
              <w:left w:val="single" w:sz="4" w:space="0" w:color="auto"/>
              <w:bottom w:val="single" w:sz="4" w:space="0" w:color="auto"/>
              <w:right w:val="single" w:sz="4" w:space="0" w:color="auto"/>
            </w:tcBorders>
          </w:tcPr>
          <w:p w14:paraId="23451C12" w14:textId="77777777" w:rsidR="002E3CE8" w:rsidRPr="00520861" w:rsidRDefault="002E3CE8" w:rsidP="00292D2E">
            <w:pPr>
              <w:widowControl w:val="0"/>
              <w:spacing w:line="360" w:lineRule="auto"/>
              <w:jc w:val="center"/>
              <w:rPr>
                <w:sz w:val="28"/>
                <w:szCs w:val="28"/>
              </w:rPr>
            </w:pPr>
            <w:r w:rsidRPr="00520861">
              <w:rPr>
                <w:sz w:val="28"/>
                <w:szCs w:val="28"/>
              </w:rPr>
              <w:t>1,50</w:t>
            </w:r>
          </w:p>
        </w:tc>
        <w:tc>
          <w:tcPr>
            <w:tcW w:w="2126" w:type="dxa"/>
            <w:tcBorders>
              <w:top w:val="single" w:sz="4" w:space="0" w:color="auto"/>
              <w:left w:val="single" w:sz="4" w:space="0" w:color="auto"/>
              <w:bottom w:val="single" w:sz="4" w:space="0" w:color="auto"/>
              <w:right w:val="single" w:sz="4" w:space="0" w:color="auto"/>
            </w:tcBorders>
          </w:tcPr>
          <w:p w14:paraId="2D52B3BC" w14:textId="77777777" w:rsidR="002E3CE8" w:rsidRPr="00520861" w:rsidRDefault="002E3CE8" w:rsidP="00292D2E">
            <w:pPr>
              <w:widowControl w:val="0"/>
              <w:spacing w:line="360" w:lineRule="auto"/>
              <w:jc w:val="center"/>
              <w:rPr>
                <w:sz w:val="28"/>
                <w:szCs w:val="28"/>
              </w:rPr>
            </w:pPr>
            <w:r w:rsidRPr="00520861">
              <w:rPr>
                <w:sz w:val="28"/>
                <w:szCs w:val="28"/>
              </w:rPr>
              <w:t>1,50* (</w:t>
            </w:r>
            <w:r w:rsidRPr="00520861">
              <w:rPr>
                <w:i/>
                <w:sz w:val="28"/>
                <w:szCs w:val="28"/>
              </w:rPr>
              <w:t>p</w:t>
            </w:r>
            <w:r w:rsidRPr="00520861">
              <w:rPr>
                <w:sz w:val="28"/>
                <w:szCs w:val="28"/>
              </w:rPr>
              <w:t>=0,0162)</w:t>
            </w:r>
          </w:p>
        </w:tc>
      </w:tr>
      <w:tr w:rsidR="002E3CE8" w:rsidRPr="00520861" w14:paraId="79F1D873" w14:textId="77777777" w:rsidTr="00292D2E">
        <w:tc>
          <w:tcPr>
            <w:tcW w:w="1163" w:type="dxa"/>
            <w:tcBorders>
              <w:top w:val="single" w:sz="4" w:space="0" w:color="auto"/>
              <w:left w:val="single" w:sz="4" w:space="0" w:color="auto"/>
              <w:bottom w:val="single" w:sz="4" w:space="0" w:color="auto"/>
              <w:right w:val="single" w:sz="4" w:space="0" w:color="auto"/>
            </w:tcBorders>
          </w:tcPr>
          <w:p w14:paraId="3E3848D0" w14:textId="77777777" w:rsidR="002E3CE8" w:rsidRPr="00520861" w:rsidRDefault="002E3CE8" w:rsidP="00292D2E">
            <w:pPr>
              <w:widowControl w:val="0"/>
              <w:spacing w:line="360" w:lineRule="auto"/>
              <w:jc w:val="center"/>
              <w:rPr>
                <w:sz w:val="28"/>
                <w:szCs w:val="28"/>
              </w:rPr>
            </w:pPr>
            <w:r w:rsidRPr="00520861">
              <w:rPr>
                <w:sz w:val="28"/>
                <w:szCs w:val="28"/>
              </w:rPr>
              <w:t>ВП-VІ</w:t>
            </w:r>
          </w:p>
        </w:tc>
        <w:tc>
          <w:tcPr>
            <w:tcW w:w="709" w:type="dxa"/>
            <w:tcBorders>
              <w:top w:val="single" w:sz="4" w:space="0" w:color="auto"/>
              <w:left w:val="single" w:sz="4" w:space="0" w:color="auto"/>
              <w:bottom w:val="single" w:sz="4" w:space="0" w:color="auto"/>
              <w:right w:val="single" w:sz="4" w:space="0" w:color="auto"/>
            </w:tcBorders>
          </w:tcPr>
          <w:p w14:paraId="104E30ED" w14:textId="77777777" w:rsidR="002E3CE8" w:rsidRPr="00520861" w:rsidRDefault="002E3CE8" w:rsidP="00292D2E">
            <w:pPr>
              <w:widowControl w:val="0"/>
              <w:tabs>
                <w:tab w:val="left" w:pos="-8256"/>
              </w:tabs>
              <w:spacing w:line="360" w:lineRule="auto"/>
              <w:jc w:val="center"/>
              <w:rPr>
                <w:sz w:val="28"/>
                <w:szCs w:val="28"/>
              </w:rPr>
            </w:pPr>
            <w:r w:rsidRPr="00520861">
              <w:rPr>
                <w:sz w:val="28"/>
                <w:szCs w:val="28"/>
              </w:rPr>
              <w:t>1,85</w:t>
            </w:r>
          </w:p>
        </w:tc>
        <w:tc>
          <w:tcPr>
            <w:tcW w:w="1559" w:type="dxa"/>
            <w:tcBorders>
              <w:top w:val="single" w:sz="4" w:space="0" w:color="auto"/>
              <w:left w:val="single" w:sz="4" w:space="0" w:color="auto"/>
              <w:bottom w:val="single" w:sz="4" w:space="0" w:color="auto"/>
              <w:right w:val="single" w:sz="4" w:space="0" w:color="auto"/>
            </w:tcBorders>
          </w:tcPr>
          <w:p w14:paraId="22B7B403" w14:textId="77777777" w:rsidR="002E3CE8" w:rsidRPr="00520861" w:rsidRDefault="002E3CE8" w:rsidP="00292D2E">
            <w:pPr>
              <w:widowControl w:val="0"/>
              <w:spacing w:line="360" w:lineRule="auto"/>
              <w:jc w:val="center"/>
              <w:rPr>
                <w:sz w:val="28"/>
                <w:szCs w:val="28"/>
              </w:rPr>
            </w:pPr>
            <w:r w:rsidRPr="00520861">
              <w:rPr>
                <w:sz w:val="28"/>
                <w:szCs w:val="28"/>
              </w:rPr>
              <w:t>1,71</w:t>
            </w:r>
          </w:p>
        </w:tc>
        <w:tc>
          <w:tcPr>
            <w:tcW w:w="1418" w:type="dxa"/>
            <w:tcBorders>
              <w:top w:val="single" w:sz="4" w:space="0" w:color="auto"/>
              <w:left w:val="single" w:sz="4" w:space="0" w:color="auto"/>
              <w:bottom w:val="single" w:sz="4" w:space="0" w:color="auto"/>
              <w:right w:val="single" w:sz="4" w:space="0" w:color="auto"/>
            </w:tcBorders>
          </w:tcPr>
          <w:p w14:paraId="7C81AE9A"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1,86</w:t>
            </w:r>
          </w:p>
        </w:tc>
        <w:tc>
          <w:tcPr>
            <w:tcW w:w="1417" w:type="dxa"/>
            <w:tcBorders>
              <w:top w:val="single" w:sz="4" w:space="0" w:color="auto"/>
              <w:left w:val="single" w:sz="4" w:space="0" w:color="auto"/>
              <w:bottom w:val="single" w:sz="4" w:space="0" w:color="auto"/>
              <w:right w:val="single" w:sz="4" w:space="0" w:color="auto"/>
            </w:tcBorders>
          </w:tcPr>
          <w:p w14:paraId="16145025" w14:textId="77777777" w:rsidR="002E3CE8" w:rsidRPr="00520861" w:rsidRDefault="002E3CE8" w:rsidP="00292D2E">
            <w:pPr>
              <w:widowControl w:val="0"/>
              <w:tabs>
                <w:tab w:val="left" w:pos="0"/>
              </w:tabs>
              <w:spacing w:line="360" w:lineRule="auto"/>
              <w:ind w:right="-109"/>
              <w:jc w:val="center"/>
              <w:rPr>
                <w:sz w:val="28"/>
                <w:szCs w:val="28"/>
              </w:rPr>
            </w:pPr>
            <w:r w:rsidRPr="00520861">
              <w:rPr>
                <w:sz w:val="28"/>
                <w:szCs w:val="28"/>
              </w:rPr>
              <w:t>1,74</w:t>
            </w:r>
          </w:p>
        </w:tc>
        <w:tc>
          <w:tcPr>
            <w:tcW w:w="1560" w:type="dxa"/>
            <w:tcBorders>
              <w:top w:val="single" w:sz="4" w:space="0" w:color="auto"/>
              <w:left w:val="single" w:sz="4" w:space="0" w:color="auto"/>
              <w:bottom w:val="single" w:sz="4" w:space="0" w:color="auto"/>
              <w:right w:val="single" w:sz="4" w:space="0" w:color="auto"/>
            </w:tcBorders>
          </w:tcPr>
          <w:p w14:paraId="24535B35" w14:textId="77777777" w:rsidR="002E3CE8" w:rsidRPr="00520861" w:rsidRDefault="002E3CE8" w:rsidP="00292D2E">
            <w:pPr>
              <w:widowControl w:val="0"/>
              <w:spacing w:line="360" w:lineRule="auto"/>
              <w:jc w:val="center"/>
              <w:rPr>
                <w:sz w:val="28"/>
                <w:szCs w:val="28"/>
              </w:rPr>
            </w:pPr>
            <w:r w:rsidRPr="00520861">
              <w:rPr>
                <w:sz w:val="28"/>
                <w:szCs w:val="28"/>
              </w:rPr>
              <w:t>1,70</w:t>
            </w:r>
          </w:p>
        </w:tc>
        <w:tc>
          <w:tcPr>
            <w:tcW w:w="2126" w:type="dxa"/>
            <w:tcBorders>
              <w:top w:val="single" w:sz="4" w:space="0" w:color="auto"/>
              <w:left w:val="single" w:sz="4" w:space="0" w:color="auto"/>
              <w:bottom w:val="single" w:sz="4" w:space="0" w:color="auto"/>
              <w:right w:val="single" w:sz="4" w:space="0" w:color="auto"/>
            </w:tcBorders>
          </w:tcPr>
          <w:p w14:paraId="2CDEC9D6" w14:textId="77777777" w:rsidR="002E3CE8" w:rsidRPr="00520861" w:rsidRDefault="002E3CE8" w:rsidP="00292D2E">
            <w:pPr>
              <w:widowControl w:val="0"/>
              <w:spacing w:line="360" w:lineRule="auto"/>
              <w:jc w:val="center"/>
              <w:rPr>
                <w:sz w:val="28"/>
                <w:szCs w:val="28"/>
              </w:rPr>
            </w:pPr>
            <w:r w:rsidRPr="00520861">
              <w:rPr>
                <w:sz w:val="28"/>
                <w:szCs w:val="28"/>
              </w:rPr>
              <w:t>1,58</w:t>
            </w:r>
          </w:p>
        </w:tc>
      </w:tr>
      <w:tr w:rsidR="002E3CE8" w:rsidRPr="00520861" w14:paraId="4C24BF3B" w14:textId="77777777" w:rsidTr="00292D2E">
        <w:tc>
          <w:tcPr>
            <w:tcW w:w="1163" w:type="dxa"/>
            <w:tcBorders>
              <w:top w:val="single" w:sz="4" w:space="0" w:color="auto"/>
              <w:left w:val="single" w:sz="4" w:space="0" w:color="auto"/>
              <w:bottom w:val="single" w:sz="4" w:space="0" w:color="auto"/>
              <w:right w:val="single" w:sz="4" w:space="0" w:color="auto"/>
            </w:tcBorders>
          </w:tcPr>
          <w:p w14:paraId="4E09BF71" w14:textId="77777777" w:rsidR="002E3CE8" w:rsidRPr="00520861" w:rsidRDefault="002E3CE8" w:rsidP="00292D2E">
            <w:pPr>
              <w:widowControl w:val="0"/>
              <w:spacing w:line="360" w:lineRule="auto"/>
              <w:jc w:val="center"/>
              <w:rPr>
                <w:sz w:val="28"/>
                <w:szCs w:val="28"/>
              </w:rPr>
            </w:pPr>
            <w:r w:rsidRPr="00520861">
              <w:rPr>
                <w:sz w:val="28"/>
                <w:szCs w:val="28"/>
              </w:rPr>
              <w:t>ВП-VІІ</w:t>
            </w:r>
          </w:p>
        </w:tc>
        <w:tc>
          <w:tcPr>
            <w:tcW w:w="709" w:type="dxa"/>
            <w:tcBorders>
              <w:top w:val="single" w:sz="4" w:space="0" w:color="auto"/>
              <w:left w:val="single" w:sz="4" w:space="0" w:color="auto"/>
              <w:bottom w:val="single" w:sz="4" w:space="0" w:color="auto"/>
              <w:right w:val="single" w:sz="4" w:space="0" w:color="auto"/>
            </w:tcBorders>
          </w:tcPr>
          <w:p w14:paraId="67024211" w14:textId="77777777" w:rsidR="002E3CE8" w:rsidRPr="00520861" w:rsidRDefault="002E3CE8" w:rsidP="00292D2E">
            <w:pPr>
              <w:widowControl w:val="0"/>
              <w:tabs>
                <w:tab w:val="left" w:pos="-8256"/>
              </w:tabs>
              <w:spacing w:line="360" w:lineRule="auto"/>
              <w:jc w:val="center"/>
              <w:rPr>
                <w:sz w:val="28"/>
                <w:szCs w:val="28"/>
              </w:rPr>
            </w:pPr>
            <w:r w:rsidRPr="00520861">
              <w:rPr>
                <w:sz w:val="28"/>
                <w:szCs w:val="28"/>
              </w:rPr>
              <w:t>1,59</w:t>
            </w:r>
          </w:p>
        </w:tc>
        <w:tc>
          <w:tcPr>
            <w:tcW w:w="1559" w:type="dxa"/>
            <w:tcBorders>
              <w:top w:val="single" w:sz="4" w:space="0" w:color="auto"/>
              <w:left w:val="single" w:sz="4" w:space="0" w:color="auto"/>
              <w:bottom w:val="single" w:sz="4" w:space="0" w:color="auto"/>
              <w:right w:val="single" w:sz="4" w:space="0" w:color="auto"/>
            </w:tcBorders>
          </w:tcPr>
          <w:p w14:paraId="5CAD7538" w14:textId="77777777" w:rsidR="002E3CE8" w:rsidRPr="00520861" w:rsidRDefault="002E3CE8" w:rsidP="00292D2E">
            <w:pPr>
              <w:widowControl w:val="0"/>
              <w:spacing w:line="360" w:lineRule="auto"/>
              <w:jc w:val="center"/>
              <w:rPr>
                <w:sz w:val="28"/>
                <w:szCs w:val="28"/>
              </w:rPr>
            </w:pPr>
            <w:r w:rsidRPr="00520861">
              <w:rPr>
                <w:sz w:val="28"/>
                <w:szCs w:val="28"/>
              </w:rPr>
              <w:t>1,47</w:t>
            </w:r>
          </w:p>
        </w:tc>
        <w:tc>
          <w:tcPr>
            <w:tcW w:w="1418" w:type="dxa"/>
            <w:tcBorders>
              <w:top w:val="single" w:sz="4" w:space="0" w:color="auto"/>
              <w:left w:val="single" w:sz="4" w:space="0" w:color="auto"/>
              <w:bottom w:val="single" w:sz="4" w:space="0" w:color="auto"/>
              <w:right w:val="single" w:sz="4" w:space="0" w:color="auto"/>
            </w:tcBorders>
          </w:tcPr>
          <w:p w14:paraId="0576C688"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1,66</w:t>
            </w:r>
          </w:p>
        </w:tc>
        <w:tc>
          <w:tcPr>
            <w:tcW w:w="1417" w:type="dxa"/>
            <w:tcBorders>
              <w:top w:val="single" w:sz="4" w:space="0" w:color="auto"/>
              <w:left w:val="single" w:sz="4" w:space="0" w:color="auto"/>
              <w:bottom w:val="single" w:sz="4" w:space="0" w:color="auto"/>
              <w:right w:val="single" w:sz="4" w:space="0" w:color="auto"/>
            </w:tcBorders>
          </w:tcPr>
          <w:p w14:paraId="38AAF313" w14:textId="77777777" w:rsidR="002E3CE8" w:rsidRPr="00520861" w:rsidRDefault="002E3CE8" w:rsidP="00292D2E">
            <w:pPr>
              <w:widowControl w:val="0"/>
              <w:tabs>
                <w:tab w:val="left" w:pos="0"/>
              </w:tabs>
              <w:spacing w:line="360" w:lineRule="auto"/>
              <w:ind w:right="-109"/>
              <w:jc w:val="center"/>
              <w:rPr>
                <w:sz w:val="28"/>
                <w:szCs w:val="28"/>
              </w:rPr>
            </w:pPr>
            <w:r w:rsidRPr="00520861">
              <w:rPr>
                <w:sz w:val="28"/>
                <w:szCs w:val="28"/>
              </w:rPr>
              <w:t>1,46</w:t>
            </w:r>
          </w:p>
        </w:tc>
        <w:tc>
          <w:tcPr>
            <w:tcW w:w="1560" w:type="dxa"/>
            <w:tcBorders>
              <w:top w:val="single" w:sz="4" w:space="0" w:color="auto"/>
              <w:left w:val="single" w:sz="4" w:space="0" w:color="auto"/>
              <w:bottom w:val="single" w:sz="4" w:space="0" w:color="auto"/>
              <w:right w:val="single" w:sz="4" w:space="0" w:color="auto"/>
            </w:tcBorders>
          </w:tcPr>
          <w:p w14:paraId="113BE510" w14:textId="77777777" w:rsidR="002E3CE8" w:rsidRPr="00520861" w:rsidRDefault="002E3CE8" w:rsidP="00292D2E">
            <w:pPr>
              <w:widowControl w:val="0"/>
              <w:spacing w:line="360" w:lineRule="auto"/>
              <w:jc w:val="center"/>
              <w:rPr>
                <w:sz w:val="28"/>
                <w:szCs w:val="28"/>
              </w:rPr>
            </w:pPr>
            <w:r w:rsidRPr="00520861">
              <w:rPr>
                <w:sz w:val="28"/>
                <w:szCs w:val="28"/>
              </w:rPr>
              <w:t>1,37* (</w:t>
            </w:r>
            <w:r w:rsidRPr="00520861">
              <w:rPr>
                <w:i/>
                <w:sz w:val="28"/>
                <w:szCs w:val="28"/>
              </w:rPr>
              <w:t>p</w:t>
            </w:r>
            <w:r w:rsidRPr="00520861">
              <w:rPr>
                <w:sz w:val="28"/>
                <w:szCs w:val="28"/>
              </w:rPr>
              <w:t>=0,0424)</w:t>
            </w:r>
          </w:p>
        </w:tc>
        <w:tc>
          <w:tcPr>
            <w:tcW w:w="2126" w:type="dxa"/>
            <w:tcBorders>
              <w:top w:val="single" w:sz="4" w:space="0" w:color="auto"/>
              <w:left w:val="single" w:sz="4" w:space="0" w:color="auto"/>
              <w:bottom w:val="single" w:sz="4" w:space="0" w:color="auto"/>
              <w:right w:val="single" w:sz="4" w:space="0" w:color="auto"/>
            </w:tcBorders>
          </w:tcPr>
          <w:p w14:paraId="41CF6364" w14:textId="77777777" w:rsidR="002E3CE8" w:rsidRPr="00520861" w:rsidRDefault="002E3CE8" w:rsidP="00292D2E">
            <w:pPr>
              <w:widowControl w:val="0"/>
              <w:spacing w:line="360" w:lineRule="auto"/>
              <w:jc w:val="center"/>
              <w:rPr>
                <w:sz w:val="28"/>
                <w:szCs w:val="28"/>
              </w:rPr>
            </w:pPr>
            <w:r w:rsidRPr="00520861">
              <w:rPr>
                <w:sz w:val="28"/>
                <w:szCs w:val="28"/>
              </w:rPr>
              <w:t>1,41* (</w:t>
            </w:r>
            <w:r w:rsidRPr="00520861">
              <w:rPr>
                <w:i/>
                <w:sz w:val="28"/>
                <w:szCs w:val="28"/>
              </w:rPr>
              <w:t>p</w:t>
            </w:r>
            <w:r w:rsidRPr="00520861">
              <w:rPr>
                <w:sz w:val="28"/>
                <w:szCs w:val="28"/>
              </w:rPr>
              <w:t>=0,0298)</w:t>
            </w:r>
          </w:p>
        </w:tc>
      </w:tr>
      <w:tr w:rsidR="002E3CE8" w:rsidRPr="00520861" w14:paraId="33C01E39" w14:textId="77777777" w:rsidTr="00292D2E">
        <w:trPr>
          <w:trHeight w:val="407"/>
        </w:trPr>
        <w:tc>
          <w:tcPr>
            <w:tcW w:w="1163" w:type="dxa"/>
            <w:tcBorders>
              <w:top w:val="single" w:sz="4" w:space="0" w:color="auto"/>
              <w:left w:val="single" w:sz="4" w:space="0" w:color="auto"/>
              <w:bottom w:val="single" w:sz="4" w:space="0" w:color="auto"/>
              <w:right w:val="single" w:sz="4" w:space="0" w:color="auto"/>
            </w:tcBorders>
          </w:tcPr>
          <w:p w14:paraId="38C91459" w14:textId="77777777" w:rsidR="002E3CE8" w:rsidRPr="00520861" w:rsidRDefault="002E3CE8" w:rsidP="00292D2E">
            <w:pPr>
              <w:widowControl w:val="0"/>
              <w:spacing w:line="360" w:lineRule="auto"/>
              <w:ind w:left="-113" w:right="-107" w:firstLine="113"/>
              <w:jc w:val="center"/>
              <w:rPr>
                <w:sz w:val="28"/>
                <w:szCs w:val="28"/>
                <w:lang w:val="en-US"/>
              </w:rPr>
            </w:pPr>
            <w:r w:rsidRPr="00520861">
              <w:rPr>
                <w:sz w:val="28"/>
                <w:szCs w:val="28"/>
              </w:rPr>
              <w:t>ВП-VІ</w:t>
            </w:r>
            <w:r w:rsidRPr="00520861">
              <w:rPr>
                <w:sz w:val="28"/>
                <w:szCs w:val="28"/>
                <w:lang w:val="en-US"/>
              </w:rPr>
              <w:t>II</w:t>
            </w:r>
          </w:p>
        </w:tc>
        <w:tc>
          <w:tcPr>
            <w:tcW w:w="709" w:type="dxa"/>
            <w:tcBorders>
              <w:top w:val="single" w:sz="4" w:space="0" w:color="auto"/>
              <w:left w:val="single" w:sz="4" w:space="0" w:color="auto"/>
              <w:bottom w:val="single" w:sz="4" w:space="0" w:color="auto"/>
              <w:right w:val="single" w:sz="4" w:space="0" w:color="auto"/>
            </w:tcBorders>
          </w:tcPr>
          <w:p w14:paraId="151E72FA" w14:textId="77777777" w:rsidR="002E3CE8" w:rsidRPr="00520861" w:rsidRDefault="002E3CE8" w:rsidP="00292D2E">
            <w:pPr>
              <w:widowControl w:val="0"/>
              <w:tabs>
                <w:tab w:val="left" w:pos="-8256"/>
              </w:tabs>
              <w:spacing w:line="360" w:lineRule="auto"/>
              <w:jc w:val="center"/>
              <w:rPr>
                <w:sz w:val="28"/>
                <w:szCs w:val="28"/>
              </w:rPr>
            </w:pPr>
            <w:r w:rsidRPr="00520861">
              <w:rPr>
                <w:sz w:val="28"/>
                <w:szCs w:val="28"/>
              </w:rPr>
              <w:t>1,20</w:t>
            </w:r>
          </w:p>
        </w:tc>
        <w:tc>
          <w:tcPr>
            <w:tcW w:w="1559" w:type="dxa"/>
            <w:tcBorders>
              <w:top w:val="single" w:sz="4" w:space="0" w:color="auto"/>
              <w:left w:val="single" w:sz="4" w:space="0" w:color="auto"/>
              <w:bottom w:val="single" w:sz="4" w:space="0" w:color="auto"/>
              <w:right w:val="single" w:sz="4" w:space="0" w:color="auto"/>
            </w:tcBorders>
          </w:tcPr>
          <w:p w14:paraId="4C2D8FBA" w14:textId="77777777" w:rsidR="002E3CE8" w:rsidRPr="00520861" w:rsidRDefault="002E3CE8" w:rsidP="00292D2E">
            <w:pPr>
              <w:widowControl w:val="0"/>
              <w:spacing w:line="360" w:lineRule="auto"/>
              <w:jc w:val="center"/>
              <w:rPr>
                <w:sz w:val="28"/>
                <w:szCs w:val="28"/>
              </w:rPr>
            </w:pPr>
            <w:r w:rsidRPr="00520861">
              <w:rPr>
                <w:sz w:val="28"/>
                <w:szCs w:val="28"/>
              </w:rPr>
              <w:t>1,04</w:t>
            </w:r>
          </w:p>
        </w:tc>
        <w:tc>
          <w:tcPr>
            <w:tcW w:w="1418" w:type="dxa"/>
            <w:tcBorders>
              <w:top w:val="single" w:sz="4" w:space="0" w:color="auto"/>
              <w:left w:val="single" w:sz="4" w:space="0" w:color="auto"/>
              <w:bottom w:val="single" w:sz="4" w:space="0" w:color="auto"/>
              <w:right w:val="single" w:sz="4" w:space="0" w:color="auto"/>
            </w:tcBorders>
          </w:tcPr>
          <w:p w14:paraId="0AEFA12C"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1,20</w:t>
            </w:r>
          </w:p>
        </w:tc>
        <w:tc>
          <w:tcPr>
            <w:tcW w:w="1417" w:type="dxa"/>
            <w:tcBorders>
              <w:top w:val="single" w:sz="4" w:space="0" w:color="auto"/>
              <w:left w:val="single" w:sz="4" w:space="0" w:color="auto"/>
              <w:bottom w:val="single" w:sz="4" w:space="0" w:color="auto"/>
              <w:right w:val="single" w:sz="4" w:space="0" w:color="auto"/>
            </w:tcBorders>
          </w:tcPr>
          <w:p w14:paraId="2606DD38" w14:textId="77777777" w:rsidR="002E3CE8" w:rsidRPr="00520861" w:rsidRDefault="002E3CE8" w:rsidP="00292D2E">
            <w:pPr>
              <w:widowControl w:val="0"/>
              <w:tabs>
                <w:tab w:val="left" w:pos="0"/>
              </w:tabs>
              <w:spacing w:line="360" w:lineRule="auto"/>
              <w:ind w:right="-109"/>
              <w:jc w:val="center"/>
              <w:rPr>
                <w:sz w:val="28"/>
                <w:szCs w:val="28"/>
              </w:rPr>
            </w:pPr>
            <w:r w:rsidRPr="00520861">
              <w:rPr>
                <w:sz w:val="28"/>
                <w:szCs w:val="28"/>
              </w:rPr>
              <w:t>1,20</w:t>
            </w:r>
          </w:p>
        </w:tc>
        <w:tc>
          <w:tcPr>
            <w:tcW w:w="1560" w:type="dxa"/>
            <w:tcBorders>
              <w:top w:val="single" w:sz="4" w:space="0" w:color="auto"/>
              <w:left w:val="single" w:sz="4" w:space="0" w:color="auto"/>
              <w:bottom w:val="single" w:sz="4" w:space="0" w:color="auto"/>
              <w:right w:val="single" w:sz="4" w:space="0" w:color="auto"/>
            </w:tcBorders>
          </w:tcPr>
          <w:p w14:paraId="706164B7" w14:textId="77777777" w:rsidR="002E3CE8" w:rsidRPr="00520861" w:rsidRDefault="002E3CE8" w:rsidP="00292D2E">
            <w:pPr>
              <w:widowControl w:val="0"/>
              <w:spacing w:line="360" w:lineRule="auto"/>
              <w:jc w:val="center"/>
              <w:rPr>
                <w:sz w:val="28"/>
                <w:szCs w:val="28"/>
              </w:rPr>
            </w:pPr>
            <w:r w:rsidRPr="00520861">
              <w:rPr>
                <w:sz w:val="28"/>
                <w:szCs w:val="28"/>
              </w:rPr>
              <w:t>0,96</w:t>
            </w:r>
          </w:p>
        </w:tc>
        <w:tc>
          <w:tcPr>
            <w:tcW w:w="2126" w:type="dxa"/>
            <w:tcBorders>
              <w:top w:val="single" w:sz="4" w:space="0" w:color="auto"/>
              <w:left w:val="single" w:sz="4" w:space="0" w:color="auto"/>
              <w:bottom w:val="single" w:sz="4" w:space="0" w:color="auto"/>
              <w:right w:val="single" w:sz="4" w:space="0" w:color="auto"/>
            </w:tcBorders>
          </w:tcPr>
          <w:p w14:paraId="6361A33C" w14:textId="77777777" w:rsidR="002E3CE8" w:rsidRPr="00520861" w:rsidRDefault="002E3CE8" w:rsidP="00292D2E">
            <w:pPr>
              <w:widowControl w:val="0"/>
              <w:spacing w:line="360" w:lineRule="auto"/>
              <w:ind w:left="-84" w:right="-110" w:hanging="84"/>
              <w:jc w:val="center"/>
              <w:rPr>
                <w:sz w:val="28"/>
                <w:szCs w:val="28"/>
              </w:rPr>
            </w:pPr>
            <w:r w:rsidRPr="00520861">
              <w:rPr>
                <w:sz w:val="28"/>
                <w:szCs w:val="28"/>
              </w:rPr>
              <w:t>0,98* (</w:t>
            </w:r>
            <w:r w:rsidRPr="00520861">
              <w:rPr>
                <w:i/>
                <w:sz w:val="28"/>
                <w:szCs w:val="28"/>
              </w:rPr>
              <w:t>p</w:t>
            </w:r>
            <w:r w:rsidRPr="00520861">
              <w:rPr>
                <w:sz w:val="28"/>
                <w:szCs w:val="28"/>
              </w:rPr>
              <w:t>=0,0306)</w:t>
            </w:r>
          </w:p>
        </w:tc>
      </w:tr>
      <w:tr w:rsidR="002E3CE8" w:rsidRPr="00520861" w14:paraId="76416B1C" w14:textId="77777777" w:rsidTr="00292D2E">
        <w:tc>
          <w:tcPr>
            <w:tcW w:w="9952" w:type="dxa"/>
            <w:gridSpan w:val="7"/>
            <w:tcBorders>
              <w:top w:val="single" w:sz="4" w:space="0" w:color="auto"/>
              <w:left w:val="single" w:sz="4" w:space="0" w:color="auto"/>
              <w:bottom w:val="single" w:sz="4" w:space="0" w:color="auto"/>
              <w:right w:val="single" w:sz="4" w:space="0" w:color="auto"/>
            </w:tcBorders>
          </w:tcPr>
          <w:p w14:paraId="6C5439FC" w14:textId="77777777" w:rsidR="002E3CE8" w:rsidRPr="00520861" w:rsidRDefault="002E3CE8" w:rsidP="00292D2E">
            <w:pPr>
              <w:widowControl w:val="0"/>
              <w:spacing w:line="360" w:lineRule="auto"/>
              <w:ind w:right="-109"/>
              <w:jc w:val="center"/>
              <w:rPr>
                <w:sz w:val="28"/>
                <w:szCs w:val="28"/>
              </w:rPr>
            </w:pPr>
            <w:r w:rsidRPr="00520861">
              <w:rPr>
                <w:bCs/>
                <w:sz w:val="28"/>
                <w:szCs w:val="28"/>
              </w:rPr>
              <w:t>Швидкість секреції нестимульованої ротової рідини, м</w:t>
            </w:r>
            <w:r w:rsidRPr="00520861">
              <w:rPr>
                <w:bCs/>
                <w:sz w:val="28"/>
                <w:szCs w:val="28"/>
                <w:vertAlign w:val="superscript"/>
              </w:rPr>
              <w:t>3</w:t>
            </w:r>
            <w:r w:rsidRPr="00520861">
              <w:rPr>
                <w:bCs/>
                <w:sz w:val="28"/>
                <w:szCs w:val="28"/>
              </w:rPr>
              <w:t>/с</w:t>
            </w:r>
            <w:r w:rsidRPr="00520861">
              <w:rPr>
                <w:sz w:val="28"/>
                <w:szCs w:val="28"/>
              </w:rPr>
              <w:t>× 6</w:t>
            </w:r>
            <w:r w:rsidRPr="00520861">
              <w:rPr>
                <w:sz w:val="28"/>
                <w:szCs w:val="28"/>
              </w:rPr>
              <w:sym w:font="Symbol" w:char="F0D7"/>
            </w:r>
            <w:r w:rsidRPr="00520861">
              <w:rPr>
                <w:sz w:val="28"/>
                <w:szCs w:val="28"/>
              </w:rPr>
              <w:t>10</w:t>
            </w:r>
            <w:r w:rsidRPr="00520861">
              <w:rPr>
                <w:sz w:val="28"/>
                <w:szCs w:val="28"/>
                <w:vertAlign w:val="superscript"/>
              </w:rPr>
              <w:t>-7</w:t>
            </w:r>
          </w:p>
        </w:tc>
      </w:tr>
      <w:tr w:rsidR="002E3CE8" w:rsidRPr="00520861" w14:paraId="39F2C30C" w14:textId="77777777" w:rsidTr="00292D2E">
        <w:tc>
          <w:tcPr>
            <w:tcW w:w="1163" w:type="dxa"/>
            <w:tcBorders>
              <w:top w:val="single" w:sz="4" w:space="0" w:color="auto"/>
              <w:left w:val="single" w:sz="4" w:space="0" w:color="auto"/>
              <w:bottom w:val="single" w:sz="4" w:space="0" w:color="auto"/>
              <w:right w:val="single" w:sz="4" w:space="0" w:color="auto"/>
            </w:tcBorders>
            <w:hideMark/>
          </w:tcPr>
          <w:p w14:paraId="46B70709" w14:textId="77777777" w:rsidR="002E3CE8" w:rsidRPr="00520861" w:rsidRDefault="002E3CE8" w:rsidP="00292D2E">
            <w:pPr>
              <w:widowControl w:val="0"/>
              <w:spacing w:line="360" w:lineRule="auto"/>
              <w:jc w:val="center"/>
              <w:rPr>
                <w:sz w:val="28"/>
                <w:szCs w:val="28"/>
              </w:rPr>
            </w:pPr>
            <w:r w:rsidRPr="00520861">
              <w:rPr>
                <w:sz w:val="28"/>
                <w:szCs w:val="28"/>
              </w:rPr>
              <w:t>ВП-V</w:t>
            </w:r>
          </w:p>
        </w:tc>
        <w:tc>
          <w:tcPr>
            <w:tcW w:w="709" w:type="dxa"/>
            <w:tcBorders>
              <w:top w:val="single" w:sz="4" w:space="0" w:color="auto"/>
              <w:left w:val="single" w:sz="4" w:space="0" w:color="auto"/>
              <w:bottom w:val="single" w:sz="4" w:space="0" w:color="auto"/>
              <w:right w:val="single" w:sz="4" w:space="0" w:color="auto"/>
            </w:tcBorders>
          </w:tcPr>
          <w:p w14:paraId="7695B377"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0,59</w:t>
            </w:r>
          </w:p>
        </w:tc>
        <w:tc>
          <w:tcPr>
            <w:tcW w:w="1559" w:type="dxa"/>
            <w:tcBorders>
              <w:top w:val="single" w:sz="4" w:space="0" w:color="auto"/>
              <w:left w:val="single" w:sz="4" w:space="0" w:color="auto"/>
              <w:bottom w:val="single" w:sz="4" w:space="0" w:color="auto"/>
              <w:right w:val="single" w:sz="4" w:space="0" w:color="auto"/>
            </w:tcBorders>
          </w:tcPr>
          <w:p w14:paraId="6812DC35" w14:textId="77777777" w:rsidR="002E3CE8" w:rsidRPr="00520861" w:rsidRDefault="002E3CE8" w:rsidP="00292D2E">
            <w:pPr>
              <w:widowControl w:val="0"/>
              <w:spacing w:line="360" w:lineRule="auto"/>
              <w:jc w:val="center"/>
              <w:rPr>
                <w:sz w:val="28"/>
                <w:szCs w:val="28"/>
              </w:rPr>
            </w:pPr>
            <w:r w:rsidRPr="00520861">
              <w:rPr>
                <w:sz w:val="28"/>
                <w:szCs w:val="28"/>
              </w:rPr>
              <w:t>0,42* (</w:t>
            </w:r>
            <w:r w:rsidRPr="00520861">
              <w:rPr>
                <w:i/>
                <w:sz w:val="28"/>
                <w:szCs w:val="28"/>
              </w:rPr>
              <w:t>p</w:t>
            </w:r>
            <w:r w:rsidRPr="00520861">
              <w:rPr>
                <w:sz w:val="28"/>
                <w:szCs w:val="28"/>
              </w:rPr>
              <w:t>=0,012)</w:t>
            </w:r>
          </w:p>
        </w:tc>
        <w:tc>
          <w:tcPr>
            <w:tcW w:w="1418" w:type="dxa"/>
            <w:tcBorders>
              <w:top w:val="single" w:sz="4" w:space="0" w:color="auto"/>
              <w:left w:val="single" w:sz="4" w:space="0" w:color="auto"/>
              <w:bottom w:val="single" w:sz="4" w:space="0" w:color="auto"/>
              <w:right w:val="single" w:sz="4" w:space="0" w:color="auto"/>
            </w:tcBorders>
          </w:tcPr>
          <w:p w14:paraId="3696C063" w14:textId="77777777" w:rsidR="002E3CE8" w:rsidRPr="00520861" w:rsidRDefault="002E3CE8" w:rsidP="00292D2E">
            <w:pPr>
              <w:widowControl w:val="0"/>
              <w:spacing w:line="360" w:lineRule="auto"/>
              <w:jc w:val="center"/>
              <w:rPr>
                <w:sz w:val="28"/>
                <w:szCs w:val="28"/>
              </w:rPr>
            </w:pPr>
            <w:r w:rsidRPr="00520861">
              <w:rPr>
                <w:sz w:val="28"/>
                <w:szCs w:val="28"/>
              </w:rPr>
              <w:t>0,46</w:t>
            </w:r>
          </w:p>
        </w:tc>
        <w:tc>
          <w:tcPr>
            <w:tcW w:w="1417" w:type="dxa"/>
            <w:tcBorders>
              <w:top w:val="single" w:sz="4" w:space="0" w:color="auto"/>
              <w:left w:val="single" w:sz="4" w:space="0" w:color="auto"/>
              <w:bottom w:val="single" w:sz="4" w:space="0" w:color="auto"/>
              <w:right w:val="single" w:sz="4" w:space="0" w:color="auto"/>
            </w:tcBorders>
          </w:tcPr>
          <w:p w14:paraId="505F555A" w14:textId="77777777" w:rsidR="002E3CE8" w:rsidRPr="00520861" w:rsidRDefault="002E3CE8" w:rsidP="00292D2E">
            <w:pPr>
              <w:widowControl w:val="0"/>
              <w:spacing w:line="360" w:lineRule="auto"/>
              <w:ind w:right="-109"/>
              <w:jc w:val="center"/>
              <w:rPr>
                <w:sz w:val="28"/>
                <w:szCs w:val="28"/>
              </w:rPr>
            </w:pPr>
            <w:r w:rsidRPr="00520861">
              <w:rPr>
                <w:sz w:val="28"/>
                <w:szCs w:val="28"/>
              </w:rPr>
              <w:t>0,43* (</w:t>
            </w:r>
            <w:r w:rsidRPr="00520861">
              <w:rPr>
                <w:i/>
                <w:sz w:val="28"/>
                <w:szCs w:val="28"/>
              </w:rPr>
              <w:t>p</w:t>
            </w:r>
            <w:r w:rsidRPr="00520861">
              <w:rPr>
                <w:sz w:val="28"/>
                <w:szCs w:val="28"/>
              </w:rPr>
              <w:t>=0,0371)</w:t>
            </w:r>
          </w:p>
        </w:tc>
        <w:tc>
          <w:tcPr>
            <w:tcW w:w="1560" w:type="dxa"/>
            <w:tcBorders>
              <w:top w:val="single" w:sz="4" w:space="0" w:color="auto"/>
              <w:left w:val="single" w:sz="4" w:space="0" w:color="auto"/>
              <w:bottom w:val="single" w:sz="4" w:space="0" w:color="auto"/>
              <w:right w:val="single" w:sz="4" w:space="0" w:color="auto"/>
            </w:tcBorders>
          </w:tcPr>
          <w:p w14:paraId="745A5128" w14:textId="77777777" w:rsidR="002E3CE8" w:rsidRPr="00520861" w:rsidRDefault="002E3CE8" w:rsidP="00292D2E">
            <w:pPr>
              <w:widowControl w:val="0"/>
              <w:spacing w:line="360" w:lineRule="auto"/>
              <w:jc w:val="center"/>
              <w:rPr>
                <w:sz w:val="28"/>
                <w:szCs w:val="28"/>
              </w:rPr>
            </w:pPr>
            <w:r w:rsidRPr="00520861">
              <w:rPr>
                <w:sz w:val="28"/>
                <w:szCs w:val="28"/>
              </w:rPr>
              <w:t>0,41* (</w:t>
            </w:r>
            <w:r w:rsidRPr="00520861">
              <w:rPr>
                <w:i/>
                <w:sz w:val="28"/>
                <w:szCs w:val="28"/>
              </w:rPr>
              <w:t>p</w:t>
            </w:r>
            <w:r w:rsidRPr="00520861">
              <w:rPr>
                <w:sz w:val="28"/>
                <w:szCs w:val="28"/>
              </w:rPr>
              <w:t>=0,0238)</w:t>
            </w:r>
          </w:p>
        </w:tc>
        <w:tc>
          <w:tcPr>
            <w:tcW w:w="2126" w:type="dxa"/>
            <w:tcBorders>
              <w:top w:val="single" w:sz="4" w:space="0" w:color="auto"/>
              <w:left w:val="single" w:sz="4" w:space="0" w:color="auto"/>
              <w:bottom w:val="single" w:sz="4" w:space="0" w:color="auto"/>
              <w:right w:val="single" w:sz="4" w:space="0" w:color="auto"/>
            </w:tcBorders>
          </w:tcPr>
          <w:p w14:paraId="47E86836" w14:textId="77777777" w:rsidR="002E3CE8" w:rsidRPr="00520861" w:rsidRDefault="002E3CE8" w:rsidP="00292D2E">
            <w:pPr>
              <w:widowControl w:val="0"/>
              <w:spacing w:line="360" w:lineRule="auto"/>
              <w:jc w:val="center"/>
              <w:rPr>
                <w:sz w:val="28"/>
                <w:szCs w:val="28"/>
              </w:rPr>
            </w:pPr>
            <w:r w:rsidRPr="00520861">
              <w:rPr>
                <w:sz w:val="28"/>
                <w:szCs w:val="28"/>
              </w:rPr>
              <w:t>0,38* (</w:t>
            </w:r>
            <w:r w:rsidRPr="00520861">
              <w:rPr>
                <w:i/>
                <w:sz w:val="28"/>
                <w:szCs w:val="28"/>
              </w:rPr>
              <w:t>p</w:t>
            </w:r>
            <w:r w:rsidRPr="00520861">
              <w:rPr>
                <w:sz w:val="28"/>
                <w:szCs w:val="28"/>
              </w:rPr>
              <w:t>=0,0037)</w:t>
            </w:r>
          </w:p>
        </w:tc>
      </w:tr>
      <w:tr w:rsidR="002E3CE8" w:rsidRPr="00520861" w14:paraId="7F4C0520" w14:textId="77777777" w:rsidTr="00292D2E">
        <w:tc>
          <w:tcPr>
            <w:tcW w:w="1163" w:type="dxa"/>
            <w:tcBorders>
              <w:top w:val="single" w:sz="4" w:space="0" w:color="auto"/>
              <w:left w:val="single" w:sz="4" w:space="0" w:color="auto"/>
              <w:bottom w:val="single" w:sz="4" w:space="0" w:color="auto"/>
              <w:right w:val="single" w:sz="4" w:space="0" w:color="auto"/>
            </w:tcBorders>
          </w:tcPr>
          <w:p w14:paraId="31317EA0" w14:textId="77777777" w:rsidR="002E3CE8" w:rsidRPr="00520861" w:rsidRDefault="002E3CE8" w:rsidP="00292D2E">
            <w:pPr>
              <w:widowControl w:val="0"/>
              <w:spacing w:line="360" w:lineRule="auto"/>
              <w:jc w:val="center"/>
              <w:rPr>
                <w:sz w:val="28"/>
                <w:szCs w:val="28"/>
              </w:rPr>
            </w:pPr>
            <w:r w:rsidRPr="00520861">
              <w:rPr>
                <w:sz w:val="28"/>
                <w:szCs w:val="28"/>
              </w:rPr>
              <w:t>ВП-VІ</w:t>
            </w:r>
          </w:p>
        </w:tc>
        <w:tc>
          <w:tcPr>
            <w:tcW w:w="709" w:type="dxa"/>
            <w:tcBorders>
              <w:top w:val="single" w:sz="4" w:space="0" w:color="auto"/>
              <w:left w:val="single" w:sz="4" w:space="0" w:color="auto"/>
              <w:bottom w:val="single" w:sz="4" w:space="0" w:color="auto"/>
              <w:right w:val="single" w:sz="4" w:space="0" w:color="auto"/>
            </w:tcBorders>
          </w:tcPr>
          <w:p w14:paraId="52D37CBE"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0,64</w:t>
            </w:r>
          </w:p>
        </w:tc>
        <w:tc>
          <w:tcPr>
            <w:tcW w:w="1559" w:type="dxa"/>
            <w:tcBorders>
              <w:top w:val="single" w:sz="4" w:space="0" w:color="auto"/>
              <w:left w:val="single" w:sz="4" w:space="0" w:color="auto"/>
              <w:bottom w:val="single" w:sz="4" w:space="0" w:color="auto"/>
              <w:right w:val="single" w:sz="4" w:space="0" w:color="auto"/>
            </w:tcBorders>
          </w:tcPr>
          <w:p w14:paraId="16655CD8" w14:textId="77777777" w:rsidR="002E3CE8" w:rsidRPr="00520861" w:rsidRDefault="002E3CE8" w:rsidP="00292D2E">
            <w:pPr>
              <w:widowControl w:val="0"/>
              <w:spacing w:line="360" w:lineRule="auto"/>
              <w:jc w:val="center"/>
              <w:rPr>
                <w:sz w:val="28"/>
                <w:szCs w:val="28"/>
              </w:rPr>
            </w:pPr>
            <w:r w:rsidRPr="00520861">
              <w:rPr>
                <w:sz w:val="28"/>
                <w:szCs w:val="28"/>
              </w:rPr>
              <w:t>0,54</w:t>
            </w:r>
          </w:p>
        </w:tc>
        <w:tc>
          <w:tcPr>
            <w:tcW w:w="1418" w:type="dxa"/>
            <w:tcBorders>
              <w:top w:val="single" w:sz="4" w:space="0" w:color="auto"/>
              <w:left w:val="single" w:sz="4" w:space="0" w:color="auto"/>
              <w:bottom w:val="single" w:sz="4" w:space="0" w:color="auto"/>
              <w:right w:val="single" w:sz="4" w:space="0" w:color="auto"/>
            </w:tcBorders>
          </w:tcPr>
          <w:p w14:paraId="49A77973" w14:textId="77777777" w:rsidR="002E3CE8" w:rsidRPr="00520861" w:rsidRDefault="002E3CE8" w:rsidP="00292D2E">
            <w:pPr>
              <w:widowControl w:val="0"/>
              <w:spacing w:line="360" w:lineRule="auto"/>
              <w:jc w:val="center"/>
              <w:rPr>
                <w:sz w:val="28"/>
                <w:szCs w:val="28"/>
              </w:rPr>
            </w:pPr>
            <w:r w:rsidRPr="00520861">
              <w:rPr>
                <w:sz w:val="28"/>
                <w:szCs w:val="28"/>
              </w:rPr>
              <w:t>0,52</w:t>
            </w:r>
          </w:p>
        </w:tc>
        <w:tc>
          <w:tcPr>
            <w:tcW w:w="1417" w:type="dxa"/>
            <w:tcBorders>
              <w:top w:val="single" w:sz="4" w:space="0" w:color="auto"/>
              <w:left w:val="single" w:sz="4" w:space="0" w:color="auto"/>
              <w:bottom w:val="single" w:sz="4" w:space="0" w:color="auto"/>
              <w:right w:val="single" w:sz="4" w:space="0" w:color="auto"/>
            </w:tcBorders>
          </w:tcPr>
          <w:p w14:paraId="38EB0659" w14:textId="77777777" w:rsidR="002E3CE8" w:rsidRPr="00520861" w:rsidRDefault="002E3CE8" w:rsidP="00292D2E">
            <w:pPr>
              <w:widowControl w:val="0"/>
              <w:spacing w:line="360" w:lineRule="auto"/>
              <w:ind w:right="-109"/>
              <w:jc w:val="center"/>
              <w:rPr>
                <w:sz w:val="28"/>
                <w:szCs w:val="28"/>
              </w:rPr>
            </w:pPr>
            <w:r w:rsidRPr="00520861">
              <w:rPr>
                <w:sz w:val="28"/>
                <w:szCs w:val="28"/>
              </w:rPr>
              <w:t>0,50</w:t>
            </w:r>
          </w:p>
        </w:tc>
        <w:tc>
          <w:tcPr>
            <w:tcW w:w="1560" w:type="dxa"/>
            <w:tcBorders>
              <w:top w:val="single" w:sz="4" w:space="0" w:color="auto"/>
              <w:left w:val="single" w:sz="4" w:space="0" w:color="auto"/>
              <w:bottom w:val="single" w:sz="4" w:space="0" w:color="auto"/>
              <w:right w:val="single" w:sz="4" w:space="0" w:color="auto"/>
            </w:tcBorders>
          </w:tcPr>
          <w:p w14:paraId="2B5F4872" w14:textId="77777777" w:rsidR="002E3CE8" w:rsidRPr="00520861" w:rsidRDefault="002E3CE8" w:rsidP="00292D2E">
            <w:pPr>
              <w:widowControl w:val="0"/>
              <w:spacing w:line="360" w:lineRule="auto"/>
              <w:jc w:val="center"/>
              <w:rPr>
                <w:sz w:val="28"/>
                <w:szCs w:val="28"/>
              </w:rPr>
            </w:pPr>
            <w:r w:rsidRPr="00520861">
              <w:rPr>
                <w:sz w:val="28"/>
                <w:szCs w:val="28"/>
              </w:rPr>
              <w:t>0,57</w:t>
            </w:r>
          </w:p>
        </w:tc>
        <w:tc>
          <w:tcPr>
            <w:tcW w:w="2126" w:type="dxa"/>
            <w:tcBorders>
              <w:top w:val="single" w:sz="4" w:space="0" w:color="auto"/>
              <w:left w:val="single" w:sz="4" w:space="0" w:color="auto"/>
              <w:bottom w:val="single" w:sz="4" w:space="0" w:color="auto"/>
              <w:right w:val="single" w:sz="4" w:space="0" w:color="auto"/>
            </w:tcBorders>
          </w:tcPr>
          <w:p w14:paraId="016AF52A" w14:textId="77777777" w:rsidR="002E3CE8" w:rsidRPr="00520861" w:rsidRDefault="002E3CE8" w:rsidP="00292D2E">
            <w:pPr>
              <w:widowControl w:val="0"/>
              <w:spacing w:line="360" w:lineRule="auto"/>
              <w:jc w:val="center"/>
              <w:rPr>
                <w:sz w:val="28"/>
                <w:szCs w:val="28"/>
              </w:rPr>
            </w:pPr>
            <w:r w:rsidRPr="00520861">
              <w:rPr>
                <w:sz w:val="28"/>
                <w:szCs w:val="28"/>
              </w:rPr>
              <w:t>0,55</w:t>
            </w:r>
          </w:p>
        </w:tc>
      </w:tr>
      <w:tr w:rsidR="002E3CE8" w:rsidRPr="00520861" w14:paraId="47ABC5C0" w14:textId="77777777" w:rsidTr="00292D2E">
        <w:tc>
          <w:tcPr>
            <w:tcW w:w="1163" w:type="dxa"/>
            <w:tcBorders>
              <w:top w:val="single" w:sz="4" w:space="0" w:color="auto"/>
              <w:left w:val="single" w:sz="4" w:space="0" w:color="auto"/>
              <w:bottom w:val="single" w:sz="4" w:space="0" w:color="auto"/>
              <w:right w:val="single" w:sz="4" w:space="0" w:color="auto"/>
            </w:tcBorders>
          </w:tcPr>
          <w:p w14:paraId="226D97A9" w14:textId="77777777" w:rsidR="002E3CE8" w:rsidRPr="00520861" w:rsidRDefault="002E3CE8" w:rsidP="00292D2E">
            <w:pPr>
              <w:widowControl w:val="0"/>
              <w:spacing w:line="360" w:lineRule="auto"/>
              <w:jc w:val="center"/>
              <w:rPr>
                <w:sz w:val="28"/>
                <w:szCs w:val="28"/>
              </w:rPr>
            </w:pPr>
            <w:r w:rsidRPr="00520861">
              <w:rPr>
                <w:sz w:val="28"/>
                <w:szCs w:val="28"/>
              </w:rPr>
              <w:t>ВП-VІІ</w:t>
            </w:r>
          </w:p>
        </w:tc>
        <w:tc>
          <w:tcPr>
            <w:tcW w:w="709" w:type="dxa"/>
            <w:tcBorders>
              <w:top w:val="single" w:sz="4" w:space="0" w:color="auto"/>
              <w:left w:val="single" w:sz="4" w:space="0" w:color="auto"/>
              <w:bottom w:val="single" w:sz="4" w:space="0" w:color="auto"/>
              <w:right w:val="single" w:sz="4" w:space="0" w:color="auto"/>
            </w:tcBorders>
          </w:tcPr>
          <w:p w14:paraId="615FF726"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0,62</w:t>
            </w:r>
          </w:p>
        </w:tc>
        <w:tc>
          <w:tcPr>
            <w:tcW w:w="1559" w:type="dxa"/>
            <w:tcBorders>
              <w:top w:val="single" w:sz="4" w:space="0" w:color="auto"/>
              <w:left w:val="single" w:sz="4" w:space="0" w:color="auto"/>
              <w:bottom w:val="single" w:sz="4" w:space="0" w:color="auto"/>
              <w:right w:val="single" w:sz="4" w:space="0" w:color="auto"/>
            </w:tcBorders>
          </w:tcPr>
          <w:p w14:paraId="399954F5" w14:textId="77777777" w:rsidR="002E3CE8" w:rsidRPr="00520861" w:rsidRDefault="002E3CE8" w:rsidP="00292D2E">
            <w:pPr>
              <w:widowControl w:val="0"/>
              <w:spacing w:line="360" w:lineRule="auto"/>
              <w:jc w:val="center"/>
              <w:rPr>
                <w:sz w:val="28"/>
                <w:szCs w:val="28"/>
              </w:rPr>
            </w:pPr>
            <w:r w:rsidRPr="00520861">
              <w:rPr>
                <w:sz w:val="28"/>
                <w:szCs w:val="28"/>
              </w:rPr>
              <w:t>0,47*</w:t>
            </w:r>
          </w:p>
          <w:p w14:paraId="4A5D00E9" w14:textId="77777777" w:rsidR="002E3CE8" w:rsidRPr="00520861" w:rsidRDefault="002E3CE8"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=0,0024)</w:t>
            </w:r>
          </w:p>
        </w:tc>
        <w:tc>
          <w:tcPr>
            <w:tcW w:w="1418" w:type="dxa"/>
            <w:tcBorders>
              <w:top w:val="single" w:sz="4" w:space="0" w:color="auto"/>
              <w:left w:val="single" w:sz="4" w:space="0" w:color="auto"/>
              <w:bottom w:val="single" w:sz="4" w:space="0" w:color="auto"/>
              <w:right w:val="single" w:sz="4" w:space="0" w:color="auto"/>
            </w:tcBorders>
          </w:tcPr>
          <w:p w14:paraId="6CF8D68A" w14:textId="77777777" w:rsidR="002E3CE8" w:rsidRPr="00520861" w:rsidRDefault="002E3CE8" w:rsidP="00292D2E">
            <w:pPr>
              <w:widowControl w:val="0"/>
              <w:spacing w:line="360" w:lineRule="auto"/>
              <w:jc w:val="center"/>
              <w:rPr>
                <w:sz w:val="28"/>
                <w:szCs w:val="28"/>
              </w:rPr>
            </w:pPr>
            <w:r w:rsidRPr="00520861">
              <w:rPr>
                <w:sz w:val="28"/>
                <w:szCs w:val="28"/>
              </w:rPr>
              <w:t>0,50</w:t>
            </w:r>
          </w:p>
        </w:tc>
        <w:tc>
          <w:tcPr>
            <w:tcW w:w="1417" w:type="dxa"/>
            <w:tcBorders>
              <w:top w:val="single" w:sz="4" w:space="0" w:color="auto"/>
              <w:left w:val="single" w:sz="4" w:space="0" w:color="auto"/>
              <w:bottom w:val="single" w:sz="4" w:space="0" w:color="auto"/>
              <w:right w:val="single" w:sz="4" w:space="0" w:color="auto"/>
            </w:tcBorders>
          </w:tcPr>
          <w:p w14:paraId="214B5B8E" w14:textId="77777777" w:rsidR="002E3CE8" w:rsidRPr="00520861" w:rsidRDefault="002E3CE8" w:rsidP="00292D2E">
            <w:pPr>
              <w:widowControl w:val="0"/>
              <w:spacing w:line="360" w:lineRule="auto"/>
              <w:ind w:right="-109"/>
              <w:jc w:val="center"/>
              <w:rPr>
                <w:sz w:val="28"/>
                <w:szCs w:val="28"/>
              </w:rPr>
            </w:pPr>
            <w:r w:rsidRPr="00520861">
              <w:rPr>
                <w:sz w:val="28"/>
                <w:szCs w:val="28"/>
              </w:rPr>
              <w:t>0,51</w:t>
            </w:r>
          </w:p>
        </w:tc>
        <w:tc>
          <w:tcPr>
            <w:tcW w:w="1560" w:type="dxa"/>
            <w:tcBorders>
              <w:top w:val="single" w:sz="4" w:space="0" w:color="auto"/>
              <w:left w:val="single" w:sz="4" w:space="0" w:color="auto"/>
              <w:bottom w:val="single" w:sz="4" w:space="0" w:color="auto"/>
              <w:right w:val="single" w:sz="4" w:space="0" w:color="auto"/>
            </w:tcBorders>
          </w:tcPr>
          <w:p w14:paraId="63040DF5" w14:textId="77777777" w:rsidR="002E3CE8" w:rsidRPr="00520861" w:rsidRDefault="002E3CE8" w:rsidP="00292D2E">
            <w:pPr>
              <w:widowControl w:val="0"/>
              <w:spacing w:line="360" w:lineRule="auto"/>
              <w:jc w:val="center"/>
              <w:rPr>
                <w:sz w:val="28"/>
                <w:szCs w:val="28"/>
              </w:rPr>
            </w:pPr>
            <w:r w:rsidRPr="00520861">
              <w:rPr>
                <w:sz w:val="28"/>
                <w:szCs w:val="28"/>
              </w:rPr>
              <w:t>0,46</w:t>
            </w:r>
          </w:p>
        </w:tc>
        <w:tc>
          <w:tcPr>
            <w:tcW w:w="2126" w:type="dxa"/>
            <w:tcBorders>
              <w:top w:val="single" w:sz="4" w:space="0" w:color="auto"/>
              <w:left w:val="single" w:sz="4" w:space="0" w:color="auto"/>
              <w:bottom w:val="single" w:sz="4" w:space="0" w:color="auto"/>
              <w:right w:val="single" w:sz="4" w:space="0" w:color="auto"/>
            </w:tcBorders>
          </w:tcPr>
          <w:p w14:paraId="2D9852C3" w14:textId="77777777" w:rsidR="002E3CE8" w:rsidRPr="00520861" w:rsidRDefault="002E3CE8" w:rsidP="00292D2E">
            <w:pPr>
              <w:widowControl w:val="0"/>
              <w:spacing w:line="360" w:lineRule="auto"/>
              <w:jc w:val="center"/>
              <w:rPr>
                <w:sz w:val="28"/>
                <w:szCs w:val="28"/>
              </w:rPr>
            </w:pPr>
            <w:r w:rsidRPr="00520861">
              <w:rPr>
                <w:sz w:val="28"/>
                <w:szCs w:val="28"/>
              </w:rPr>
              <w:t>0,44* (</w:t>
            </w:r>
            <w:r w:rsidRPr="00520861">
              <w:rPr>
                <w:i/>
                <w:sz w:val="28"/>
                <w:szCs w:val="28"/>
              </w:rPr>
              <w:t>p</w:t>
            </w:r>
            <w:r w:rsidRPr="00520861">
              <w:rPr>
                <w:sz w:val="28"/>
                <w:szCs w:val="28"/>
              </w:rPr>
              <w:t>=0,0016)</w:t>
            </w:r>
          </w:p>
        </w:tc>
      </w:tr>
    </w:tbl>
    <w:p w14:paraId="23CE3875" w14:textId="77777777" w:rsidR="002E3CE8" w:rsidRPr="00520861" w:rsidRDefault="002E3CE8" w:rsidP="00292D2E">
      <w:pPr>
        <w:widowControl w:val="0"/>
        <w:spacing w:after="160" w:line="259" w:lineRule="auto"/>
        <w:jc w:val="right"/>
        <w:rPr>
          <w:rFonts w:eastAsia="Calibri"/>
          <w:sz w:val="28"/>
          <w:szCs w:val="28"/>
          <w:lang w:eastAsia="en-US"/>
        </w:rPr>
      </w:pPr>
    </w:p>
    <w:p w14:paraId="3958B4F3" w14:textId="77777777" w:rsidR="002E3CE8" w:rsidRPr="00520861" w:rsidRDefault="002E3CE8" w:rsidP="00292D2E">
      <w:pPr>
        <w:widowControl w:val="0"/>
        <w:spacing w:after="160"/>
        <w:jc w:val="right"/>
        <w:rPr>
          <w:rFonts w:eastAsiaTheme="minorHAnsi"/>
          <w:i/>
          <w:sz w:val="28"/>
          <w:szCs w:val="28"/>
          <w:lang w:val="ru-RU" w:eastAsia="en-US"/>
        </w:rPr>
      </w:pPr>
      <w:r w:rsidRPr="00520861">
        <w:rPr>
          <w:rFonts w:eastAsia="Calibri"/>
          <w:i/>
          <w:sz w:val="28"/>
          <w:szCs w:val="28"/>
          <w:lang w:eastAsia="en-US"/>
        </w:rPr>
        <w:lastRenderedPageBreak/>
        <w:t>Продовження таблиці 6.7</w:t>
      </w:r>
    </w:p>
    <w:tbl>
      <w:tblPr>
        <w:tblW w:w="100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63"/>
        <w:gridCol w:w="709"/>
        <w:gridCol w:w="1559"/>
        <w:gridCol w:w="1502"/>
        <w:gridCol w:w="1559"/>
        <w:gridCol w:w="1560"/>
        <w:gridCol w:w="1984"/>
      </w:tblGrid>
      <w:tr w:rsidR="002E3CE8" w:rsidRPr="00520861" w14:paraId="4F16681B" w14:textId="77777777" w:rsidTr="00292D2E">
        <w:tc>
          <w:tcPr>
            <w:tcW w:w="1163" w:type="dxa"/>
            <w:tcBorders>
              <w:top w:val="single" w:sz="4" w:space="0" w:color="auto"/>
              <w:left w:val="single" w:sz="4" w:space="0" w:color="auto"/>
              <w:bottom w:val="single" w:sz="4" w:space="0" w:color="auto"/>
              <w:right w:val="single" w:sz="4" w:space="0" w:color="auto"/>
            </w:tcBorders>
          </w:tcPr>
          <w:p w14:paraId="1B229CF4" w14:textId="77777777" w:rsidR="002E3CE8" w:rsidRPr="00520861" w:rsidRDefault="002E3CE8" w:rsidP="00292D2E">
            <w:pPr>
              <w:widowControl w:val="0"/>
              <w:spacing w:line="360" w:lineRule="auto"/>
              <w:jc w:val="center"/>
              <w:rPr>
                <w:sz w:val="28"/>
                <w:szCs w:val="28"/>
              </w:rPr>
            </w:pPr>
            <w:r w:rsidRPr="00520861">
              <w:rPr>
                <w:sz w:val="28"/>
                <w:szCs w:val="28"/>
              </w:rPr>
              <w:t>1</w:t>
            </w:r>
          </w:p>
        </w:tc>
        <w:tc>
          <w:tcPr>
            <w:tcW w:w="709" w:type="dxa"/>
            <w:tcBorders>
              <w:top w:val="single" w:sz="4" w:space="0" w:color="auto"/>
              <w:left w:val="single" w:sz="4" w:space="0" w:color="auto"/>
              <w:bottom w:val="single" w:sz="4" w:space="0" w:color="auto"/>
              <w:right w:val="single" w:sz="4" w:space="0" w:color="auto"/>
            </w:tcBorders>
          </w:tcPr>
          <w:p w14:paraId="19EC0BD8" w14:textId="77777777" w:rsidR="002E3CE8" w:rsidRPr="00520861" w:rsidRDefault="002E3CE8" w:rsidP="00292D2E">
            <w:pPr>
              <w:widowControl w:val="0"/>
              <w:spacing w:line="360" w:lineRule="auto"/>
              <w:jc w:val="center"/>
              <w:rPr>
                <w:sz w:val="28"/>
                <w:szCs w:val="28"/>
              </w:rPr>
            </w:pPr>
            <w:r w:rsidRPr="00520861">
              <w:rPr>
                <w:sz w:val="28"/>
                <w:szCs w:val="28"/>
              </w:rPr>
              <w:t>2</w:t>
            </w:r>
          </w:p>
        </w:tc>
        <w:tc>
          <w:tcPr>
            <w:tcW w:w="1559" w:type="dxa"/>
            <w:tcBorders>
              <w:top w:val="single" w:sz="4" w:space="0" w:color="auto"/>
              <w:left w:val="single" w:sz="4" w:space="0" w:color="auto"/>
              <w:bottom w:val="single" w:sz="4" w:space="0" w:color="auto"/>
              <w:right w:val="single" w:sz="4" w:space="0" w:color="auto"/>
            </w:tcBorders>
          </w:tcPr>
          <w:p w14:paraId="0F8F10B9"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3</w:t>
            </w:r>
          </w:p>
        </w:tc>
        <w:tc>
          <w:tcPr>
            <w:tcW w:w="1502" w:type="dxa"/>
            <w:tcBorders>
              <w:top w:val="single" w:sz="4" w:space="0" w:color="auto"/>
              <w:left w:val="single" w:sz="4" w:space="0" w:color="auto"/>
              <w:bottom w:val="single" w:sz="4" w:space="0" w:color="auto"/>
              <w:right w:val="single" w:sz="4" w:space="0" w:color="auto"/>
            </w:tcBorders>
          </w:tcPr>
          <w:p w14:paraId="7E8145F8" w14:textId="77777777" w:rsidR="002E3CE8" w:rsidRPr="00520861" w:rsidRDefault="002E3CE8" w:rsidP="00292D2E">
            <w:pPr>
              <w:widowControl w:val="0"/>
              <w:spacing w:line="360" w:lineRule="auto"/>
              <w:jc w:val="center"/>
              <w:rPr>
                <w:sz w:val="28"/>
                <w:szCs w:val="28"/>
              </w:rPr>
            </w:pPr>
            <w:r w:rsidRPr="00520861">
              <w:rPr>
                <w:sz w:val="28"/>
                <w:szCs w:val="28"/>
              </w:rPr>
              <w:t>4</w:t>
            </w:r>
          </w:p>
        </w:tc>
        <w:tc>
          <w:tcPr>
            <w:tcW w:w="1559" w:type="dxa"/>
            <w:tcBorders>
              <w:top w:val="single" w:sz="4" w:space="0" w:color="auto"/>
              <w:left w:val="single" w:sz="4" w:space="0" w:color="auto"/>
              <w:bottom w:val="single" w:sz="4" w:space="0" w:color="auto"/>
              <w:right w:val="single" w:sz="4" w:space="0" w:color="auto"/>
            </w:tcBorders>
          </w:tcPr>
          <w:p w14:paraId="40664736"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5</w:t>
            </w:r>
          </w:p>
        </w:tc>
        <w:tc>
          <w:tcPr>
            <w:tcW w:w="1560" w:type="dxa"/>
            <w:tcBorders>
              <w:top w:val="single" w:sz="4" w:space="0" w:color="auto"/>
              <w:left w:val="single" w:sz="4" w:space="0" w:color="auto"/>
              <w:bottom w:val="single" w:sz="4" w:space="0" w:color="auto"/>
              <w:right w:val="single" w:sz="4" w:space="0" w:color="auto"/>
            </w:tcBorders>
          </w:tcPr>
          <w:p w14:paraId="2EC6AFDF" w14:textId="77777777" w:rsidR="002E3CE8" w:rsidRPr="00520861" w:rsidRDefault="002E3CE8" w:rsidP="00292D2E">
            <w:pPr>
              <w:widowControl w:val="0"/>
              <w:spacing w:line="360" w:lineRule="auto"/>
              <w:jc w:val="center"/>
              <w:rPr>
                <w:sz w:val="28"/>
                <w:szCs w:val="28"/>
              </w:rPr>
            </w:pPr>
            <w:r w:rsidRPr="00520861">
              <w:rPr>
                <w:sz w:val="28"/>
                <w:szCs w:val="28"/>
              </w:rPr>
              <w:t>6</w:t>
            </w:r>
          </w:p>
        </w:tc>
        <w:tc>
          <w:tcPr>
            <w:tcW w:w="1984" w:type="dxa"/>
            <w:tcBorders>
              <w:top w:val="single" w:sz="4" w:space="0" w:color="auto"/>
              <w:left w:val="single" w:sz="4" w:space="0" w:color="auto"/>
              <w:bottom w:val="single" w:sz="4" w:space="0" w:color="auto"/>
              <w:right w:val="single" w:sz="4" w:space="0" w:color="auto"/>
            </w:tcBorders>
          </w:tcPr>
          <w:p w14:paraId="1755BBE8" w14:textId="77777777" w:rsidR="002E3CE8" w:rsidRPr="00520861" w:rsidRDefault="002E3CE8" w:rsidP="00292D2E">
            <w:pPr>
              <w:widowControl w:val="0"/>
              <w:spacing w:line="360" w:lineRule="auto"/>
              <w:jc w:val="center"/>
              <w:rPr>
                <w:sz w:val="28"/>
                <w:szCs w:val="28"/>
              </w:rPr>
            </w:pPr>
            <w:r w:rsidRPr="00520861">
              <w:rPr>
                <w:sz w:val="28"/>
                <w:szCs w:val="28"/>
              </w:rPr>
              <w:t>7</w:t>
            </w:r>
          </w:p>
        </w:tc>
      </w:tr>
      <w:tr w:rsidR="002E3CE8" w:rsidRPr="00520861" w14:paraId="7FCF3CCA" w14:textId="77777777" w:rsidTr="00292D2E">
        <w:tc>
          <w:tcPr>
            <w:tcW w:w="1163" w:type="dxa"/>
            <w:tcBorders>
              <w:top w:val="single" w:sz="4" w:space="0" w:color="auto"/>
              <w:left w:val="single" w:sz="4" w:space="0" w:color="auto"/>
              <w:bottom w:val="single" w:sz="4" w:space="0" w:color="auto"/>
              <w:right w:val="single" w:sz="4" w:space="0" w:color="auto"/>
            </w:tcBorders>
          </w:tcPr>
          <w:p w14:paraId="29A4AFD2" w14:textId="77777777" w:rsidR="002E3CE8" w:rsidRPr="00520861" w:rsidRDefault="002E3CE8" w:rsidP="00292D2E">
            <w:pPr>
              <w:widowControl w:val="0"/>
              <w:spacing w:line="360" w:lineRule="auto"/>
              <w:ind w:left="-113" w:right="-107"/>
              <w:jc w:val="center"/>
              <w:rPr>
                <w:sz w:val="28"/>
                <w:szCs w:val="28"/>
                <w:lang w:val="en-US"/>
              </w:rPr>
            </w:pPr>
            <w:r w:rsidRPr="00520861">
              <w:rPr>
                <w:sz w:val="28"/>
                <w:szCs w:val="28"/>
              </w:rPr>
              <w:t>ВП-VІ</w:t>
            </w:r>
            <w:r w:rsidRPr="00520861">
              <w:rPr>
                <w:sz w:val="28"/>
                <w:szCs w:val="28"/>
                <w:lang w:val="en-US"/>
              </w:rPr>
              <w:t>II</w:t>
            </w:r>
          </w:p>
        </w:tc>
        <w:tc>
          <w:tcPr>
            <w:tcW w:w="709" w:type="dxa"/>
            <w:tcBorders>
              <w:top w:val="single" w:sz="4" w:space="0" w:color="auto"/>
              <w:left w:val="single" w:sz="4" w:space="0" w:color="auto"/>
              <w:bottom w:val="single" w:sz="4" w:space="0" w:color="auto"/>
              <w:right w:val="single" w:sz="4" w:space="0" w:color="auto"/>
            </w:tcBorders>
          </w:tcPr>
          <w:p w14:paraId="2DF9E73A"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0,47</w:t>
            </w:r>
          </w:p>
        </w:tc>
        <w:tc>
          <w:tcPr>
            <w:tcW w:w="1559" w:type="dxa"/>
            <w:tcBorders>
              <w:top w:val="single" w:sz="4" w:space="0" w:color="auto"/>
              <w:left w:val="single" w:sz="4" w:space="0" w:color="auto"/>
              <w:bottom w:val="single" w:sz="4" w:space="0" w:color="auto"/>
              <w:right w:val="single" w:sz="4" w:space="0" w:color="auto"/>
            </w:tcBorders>
          </w:tcPr>
          <w:p w14:paraId="67287109" w14:textId="77777777" w:rsidR="002E3CE8" w:rsidRPr="00520861" w:rsidRDefault="002E3CE8" w:rsidP="00292D2E">
            <w:pPr>
              <w:widowControl w:val="0"/>
              <w:spacing w:line="360" w:lineRule="auto"/>
              <w:jc w:val="center"/>
              <w:rPr>
                <w:sz w:val="28"/>
                <w:szCs w:val="28"/>
              </w:rPr>
            </w:pPr>
            <w:r w:rsidRPr="00520861">
              <w:rPr>
                <w:sz w:val="28"/>
                <w:szCs w:val="28"/>
              </w:rPr>
              <w:t>0,38</w:t>
            </w:r>
          </w:p>
        </w:tc>
        <w:tc>
          <w:tcPr>
            <w:tcW w:w="1502" w:type="dxa"/>
            <w:tcBorders>
              <w:top w:val="single" w:sz="4" w:space="0" w:color="auto"/>
              <w:left w:val="single" w:sz="4" w:space="0" w:color="auto"/>
              <w:bottom w:val="single" w:sz="4" w:space="0" w:color="auto"/>
              <w:right w:val="single" w:sz="4" w:space="0" w:color="auto"/>
            </w:tcBorders>
          </w:tcPr>
          <w:p w14:paraId="158565BA" w14:textId="77777777" w:rsidR="002E3CE8" w:rsidRPr="00520861" w:rsidRDefault="002E3CE8" w:rsidP="00292D2E">
            <w:pPr>
              <w:widowControl w:val="0"/>
              <w:spacing w:line="360" w:lineRule="auto"/>
              <w:jc w:val="center"/>
              <w:rPr>
                <w:sz w:val="28"/>
                <w:szCs w:val="28"/>
              </w:rPr>
            </w:pPr>
            <w:r w:rsidRPr="00520861">
              <w:rPr>
                <w:sz w:val="28"/>
                <w:szCs w:val="28"/>
              </w:rPr>
              <w:t>0,44</w:t>
            </w:r>
          </w:p>
        </w:tc>
        <w:tc>
          <w:tcPr>
            <w:tcW w:w="1559" w:type="dxa"/>
            <w:tcBorders>
              <w:top w:val="single" w:sz="4" w:space="0" w:color="auto"/>
              <w:left w:val="single" w:sz="4" w:space="0" w:color="auto"/>
              <w:bottom w:val="single" w:sz="4" w:space="0" w:color="auto"/>
              <w:right w:val="single" w:sz="4" w:space="0" w:color="auto"/>
            </w:tcBorders>
          </w:tcPr>
          <w:p w14:paraId="399C42EC" w14:textId="77777777" w:rsidR="002E3CE8" w:rsidRPr="00520861" w:rsidRDefault="002E3CE8" w:rsidP="00292D2E">
            <w:pPr>
              <w:widowControl w:val="0"/>
              <w:spacing w:line="360" w:lineRule="auto"/>
              <w:jc w:val="center"/>
              <w:rPr>
                <w:sz w:val="28"/>
                <w:szCs w:val="28"/>
              </w:rPr>
            </w:pPr>
            <w:r w:rsidRPr="00520861">
              <w:rPr>
                <w:sz w:val="28"/>
                <w:szCs w:val="28"/>
              </w:rPr>
              <w:t>0,40</w:t>
            </w:r>
          </w:p>
        </w:tc>
        <w:tc>
          <w:tcPr>
            <w:tcW w:w="1560" w:type="dxa"/>
            <w:tcBorders>
              <w:top w:val="single" w:sz="4" w:space="0" w:color="auto"/>
              <w:left w:val="single" w:sz="4" w:space="0" w:color="auto"/>
              <w:bottom w:val="single" w:sz="4" w:space="0" w:color="auto"/>
              <w:right w:val="single" w:sz="4" w:space="0" w:color="auto"/>
            </w:tcBorders>
          </w:tcPr>
          <w:p w14:paraId="3AC033F9" w14:textId="77777777" w:rsidR="002E3CE8" w:rsidRPr="00520861" w:rsidRDefault="002E3CE8" w:rsidP="00292D2E">
            <w:pPr>
              <w:widowControl w:val="0"/>
              <w:spacing w:line="360" w:lineRule="auto"/>
              <w:jc w:val="center"/>
              <w:rPr>
                <w:sz w:val="28"/>
                <w:szCs w:val="28"/>
              </w:rPr>
            </w:pPr>
            <w:r w:rsidRPr="00520861">
              <w:rPr>
                <w:sz w:val="28"/>
                <w:szCs w:val="28"/>
              </w:rPr>
              <w:t>0,38</w:t>
            </w:r>
          </w:p>
        </w:tc>
        <w:tc>
          <w:tcPr>
            <w:tcW w:w="1984" w:type="dxa"/>
            <w:tcBorders>
              <w:top w:val="single" w:sz="4" w:space="0" w:color="auto"/>
              <w:left w:val="single" w:sz="4" w:space="0" w:color="auto"/>
              <w:bottom w:val="single" w:sz="4" w:space="0" w:color="auto"/>
              <w:right w:val="single" w:sz="4" w:space="0" w:color="auto"/>
            </w:tcBorders>
          </w:tcPr>
          <w:p w14:paraId="7A96A1EF" w14:textId="77777777" w:rsidR="002E3CE8" w:rsidRPr="00520861" w:rsidRDefault="002E3CE8" w:rsidP="00292D2E">
            <w:pPr>
              <w:widowControl w:val="0"/>
              <w:spacing w:line="360" w:lineRule="auto"/>
              <w:jc w:val="center"/>
              <w:rPr>
                <w:sz w:val="28"/>
                <w:szCs w:val="28"/>
              </w:rPr>
            </w:pPr>
            <w:r w:rsidRPr="00520861">
              <w:rPr>
                <w:sz w:val="28"/>
                <w:szCs w:val="28"/>
              </w:rPr>
              <w:t>0,37</w:t>
            </w:r>
          </w:p>
        </w:tc>
      </w:tr>
      <w:tr w:rsidR="002E3CE8" w:rsidRPr="00520861" w14:paraId="032CB878" w14:textId="77777777" w:rsidTr="00292D2E">
        <w:tc>
          <w:tcPr>
            <w:tcW w:w="10036" w:type="dxa"/>
            <w:gridSpan w:val="7"/>
            <w:tcBorders>
              <w:top w:val="single" w:sz="4" w:space="0" w:color="auto"/>
              <w:left w:val="single" w:sz="4" w:space="0" w:color="auto"/>
              <w:bottom w:val="single" w:sz="4" w:space="0" w:color="auto"/>
              <w:right w:val="single" w:sz="4" w:space="0" w:color="auto"/>
            </w:tcBorders>
          </w:tcPr>
          <w:p w14:paraId="4C5C1209" w14:textId="77777777" w:rsidR="002E3CE8" w:rsidRPr="00520861" w:rsidRDefault="002E3CE8" w:rsidP="00292D2E">
            <w:pPr>
              <w:widowControl w:val="0"/>
              <w:spacing w:line="360" w:lineRule="auto"/>
              <w:jc w:val="center"/>
              <w:rPr>
                <w:sz w:val="28"/>
                <w:szCs w:val="28"/>
              </w:rPr>
            </w:pPr>
            <w:r w:rsidRPr="00520861">
              <w:rPr>
                <w:rFonts w:eastAsia="Calibri"/>
                <w:sz w:val="28"/>
                <w:szCs w:val="28"/>
                <w:lang w:eastAsia="en-US"/>
              </w:rPr>
              <w:t>Значення водневого показника (p</w:t>
            </w:r>
            <w:r w:rsidRPr="00520861">
              <w:rPr>
                <w:rFonts w:eastAsia="Calibri"/>
                <w:sz w:val="28"/>
                <w:szCs w:val="28"/>
                <w:lang w:val="en-US" w:eastAsia="en-US"/>
              </w:rPr>
              <w:t>h</w:t>
            </w:r>
            <w:r w:rsidRPr="00520861">
              <w:rPr>
                <w:rFonts w:eastAsia="Calibri"/>
                <w:sz w:val="28"/>
                <w:szCs w:val="28"/>
                <w:lang w:eastAsia="en-US"/>
              </w:rPr>
              <w:t>), відносні одиниці</w:t>
            </w:r>
          </w:p>
        </w:tc>
      </w:tr>
      <w:tr w:rsidR="002E3CE8" w:rsidRPr="00520861" w14:paraId="29E251BD" w14:textId="77777777" w:rsidTr="00292D2E">
        <w:tc>
          <w:tcPr>
            <w:tcW w:w="1163" w:type="dxa"/>
            <w:tcBorders>
              <w:top w:val="single" w:sz="4" w:space="0" w:color="auto"/>
              <w:left w:val="single" w:sz="4" w:space="0" w:color="auto"/>
              <w:bottom w:val="single" w:sz="4" w:space="0" w:color="auto"/>
              <w:right w:val="single" w:sz="4" w:space="0" w:color="auto"/>
            </w:tcBorders>
          </w:tcPr>
          <w:p w14:paraId="65AD74DC" w14:textId="77777777" w:rsidR="002E3CE8" w:rsidRPr="00520861" w:rsidRDefault="002E3CE8" w:rsidP="00292D2E">
            <w:pPr>
              <w:widowControl w:val="0"/>
              <w:spacing w:line="360" w:lineRule="auto"/>
              <w:jc w:val="center"/>
              <w:rPr>
                <w:sz w:val="28"/>
                <w:szCs w:val="28"/>
              </w:rPr>
            </w:pPr>
            <w:r w:rsidRPr="00520861">
              <w:rPr>
                <w:sz w:val="28"/>
                <w:szCs w:val="28"/>
              </w:rPr>
              <w:t>ВП-V</w:t>
            </w:r>
          </w:p>
        </w:tc>
        <w:tc>
          <w:tcPr>
            <w:tcW w:w="709" w:type="dxa"/>
            <w:tcBorders>
              <w:top w:val="single" w:sz="4" w:space="0" w:color="auto"/>
              <w:left w:val="single" w:sz="4" w:space="0" w:color="auto"/>
              <w:bottom w:val="single" w:sz="4" w:space="0" w:color="auto"/>
              <w:right w:val="single" w:sz="4" w:space="0" w:color="auto"/>
            </w:tcBorders>
          </w:tcPr>
          <w:p w14:paraId="4A690EA4" w14:textId="77777777" w:rsidR="002E3CE8" w:rsidRPr="00520861" w:rsidRDefault="002E3CE8" w:rsidP="00292D2E">
            <w:pPr>
              <w:widowControl w:val="0"/>
              <w:spacing w:line="360" w:lineRule="auto"/>
              <w:jc w:val="center"/>
              <w:rPr>
                <w:sz w:val="28"/>
                <w:szCs w:val="28"/>
              </w:rPr>
            </w:pPr>
            <w:r w:rsidRPr="00520861">
              <w:rPr>
                <w:sz w:val="28"/>
                <w:szCs w:val="28"/>
              </w:rPr>
              <w:t>6,63</w:t>
            </w:r>
          </w:p>
        </w:tc>
        <w:tc>
          <w:tcPr>
            <w:tcW w:w="1559" w:type="dxa"/>
            <w:tcBorders>
              <w:top w:val="single" w:sz="4" w:space="0" w:color="auto"/>
              <w:left w:val="single" w:sz="4" w:space="0" w:color="auto"/>
              <w:bottom w:val="single" w:sz="4" w:space="0" w:color="auto"/>
              <w:right w:val="single" w:sz="4" w:space="0" w:color="auto"/>
            </w:tcBorders>
          </w:tcPr>
          <w:p w14:paraId="3B637794"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6,61</w:t>
            </w:r>
          </w:p>
        </w:tc>
        <w:tc>
          <w:tcPr>
            <w:tcW w:w="1502" w:type="dxa"/>
            <w:tcBorders>
              <w:top w:val="single" w:sz="4" w:space="0" w:color="auto"/>
              <w:left w:val="single" w:sz="4" w:space="0" w:color="auto"/>
              <w:bottom w:val="single" w:sz="4" w:space="0" w:color="auto"/>
              <w:right w:val="single" w:sz="4" w:space="0" w:color="auto"/>
            </w:tcBorders>
          </w:tcPr>
          <w:p w14:paraId="71EF45F9" w14:textId="77777777" w:rsidR="002E3CE8" w:rsidRPr="00520861" w:rsidRDefault="002E3CE8" w:rsidP="00292D2E">
            <w:pPr>
              <w:widowControl w:val="0"/>
              <w:spacing w:line="360" w:lineRule="auto"/>
              <w:jc w:val="center"/>
              <w:rPr>
                <w:sz w:val="28"/>
                <w:szCs w:val="28"/>
              </w:rPr>
            </w:pPr>
            <w:r w:rsidRPr="00520861">
              <w:rPr>
                <w:sz w:val="28"/>
                <w:szCs w:val="28"/>
              </w:rPr>
              <w:t>6,77</w:t>
            </w:r>
          </w:p>
        </w:tc>
        <w:tc>
          <w:tcPr>
            <w:tcW w:w="1559" w:type="dxa"/>
            <w:tcBorders>
              <w:top w:val="single" w:sz="4" w:space="0" w:color="auto"/>
              <w:left w:val="single" w:sz="4" w:space="0" w:color="auto"/>
              <w:bottom w:val="single" w:sz="4" w:space="0" w:color="auto"/>
              <w:right w:val="single" w:sz="4" w:space="0" w:color="auto"/>
            </w:tcBorders>
          </w:tcPr>
          <w:p w14:paraId="035C602A"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6,52</w:t>
            </w:r>
          </w:p>
        </w:tc>
        <w:tc>
          <w:tcPr>
            <w:tcW w:w="1560" w:type="dxa"/>
            <w:tcBorders>
              <w:top w:val="single" w:sz="4" w:space="0" w:color="auto"/>
              <w:left w:val="single" w:sz="4" w:space="0" w:color="auto"/>
              <w:bottom w:val="single" w:sz="4" w:space="0" w:color="auto"/>
              <w:right w:val="single" w:sz="4" w:space="0" w:color="auto"/>
            </w:tcBorders>
          </w:tcPr>
          <w:p w14:paraId="09E1E4BB" w14:textId="77777777" w:rsidR="002E3CE8" w:rsidRPr="00520861" w:rsidRDefault="002E3CE8" w:rsidP="00292D2E">
            <w:pPr>
              <w:widowControl w:val="0"/>
              <w:spacing w:line="360" w:lineRule="auto"/>
              <w:jc w:val="center"/>
              <w:rPr>
                <w:sz w:val="28"/>
                <w:szCs w:val="28"/>
              </w:rPr>
            </w:pPr>
            <w:r w:rsidRPr="00520861">
              <w:rPr>
                <w:sz w:val="28"/>
                <w:szCs w:val="28"/>
              </w:rPr>
              <w:t>6,55</w:t>
            </w:r>
          </w:p>
        </w:tc>
        <w:tc>
          <w:tcPr>
            <w:tcW w:w="1984" w:type="dxa"/>
            <w:tcBorders>
              <w:top w:val="single" w:sz="4" w:space="0" w:color="auto"/>
              <w:left w:val="single" w:sz="4" w:space="0" w:color="auto"/>
              <w:bottom w:val="single" w:sz="4" w:space="0" w:color="auto"/>
              <w:right w:val="single" w:sz="4" w:space="0" w:color="auto"/>
            </w:tcBorders>
          </w:tcPr>
          <w:p w14:paraId="3A1099A0" w14:textId="77777777" w:rsidR="002E3CE8" w:rsidRPr="00520861" w:rsidRDefault="002E3CE8" w:rsidP="00292D2E">
            <w:pPr>
              <w:widowControl w:val="0"/>
              <w:spacing w:line="360" w:lineRule="auto"/>
              <w:jc w:val="center"/>
              <w:rPr>
                <w:sz w:val="28"/>
                <w:szCs w:val="28"/>
              </w:rPr>
            </w:pPr>
            <w:r w:rsidRPr="00520861">
              <w:rPr>
                <w:sz w:val="28"/>
                <w:szCs w:val="28"/>
              </w:rPr>
              <w:t>6,59</w:t>
            </w:r>
          </w:p>
        </w:tc>
      </w:tr>
      <w:tr w:rsidR="002E3CE8" w:rsidRPr="00520861" w14:paraId="41A1992D" w14:textId="77777777" w:rsidTr="00292D2E">
        <w:tc>
          <w:tcPr>
            <w:tcW w:w="1163" w:type="dxa"/>
            <w:tcBorders>
              <w:top w:val="single" w:sz="4" w:space="0" w:color="auto"/>
              <w:left w:val="single" w:sz="4" w:space="0" w:color="auto"/>
              <w:bottom w:val="single" w:sz="4" w:space="0" w:color="auto"/>
              <w:right w:val="single" w:sz="4" w:space="0" w:color="auto"/>
            </w:tcBorders>
          </w:tcPr>
          <w:p w14:paraId="6A66857E" w14:textId="77777777" w:rsidR="002E3CE8" w:rsidRPr="00520861" w:rsidRDefault="002E3CE8" w:rsidP="00292D2E">
            <w:pPr>
              <w:widowControl w:val="0"/>
              <w:spacing w:line="360" w:lineRule="auto"/>
              <w:jc w:val="center"/>
              <w:rPr>
                <w:sz w:val="28"/>
                <w:szCs w:val="28"/>
              </w:rPr>
            </w:pPr>
            <w:r w:rsidRPr="00520861">
              <w:rPr>
                <w:sz w:val="28"/>
                <w:szCs w:val="28"/>
              </w:rPr>
              <w:t>ВП-VІ</w:t>
            </w:r>
          </w:p>
        </w:tc>
        <w:tc>
          <w:tcPr>
            <w:tcW w:w="709" w:type="dxa"/>
            <w:tcBorders>
              <w:top w:val="single" w:sz="4" w:space="0" w:color="auto"/>
              <w:left w:val="single" w:sz="4" w:space="0" w:color="auto"/>
              <w:bottom w:val="single" w:sz="4" w:space="0" w:color="auto"/>
              <w:right w:val="single" w:sz="4" w:space="0" w:color="auto"/>
            </w:tcBorders>
          </w:tcPr>
          <w:p w14:paraId="7A1C17B3" w14:textId="77777777" w:rsidR="002E3CE8" w:rsidRPr="00520861" w:rsidRDefault="002E3CE8" w:rsidP="00292D2E">
            <w:pPr>
              <w:widowControl w:val="0"/>
              <w:spacing w:line="360" w:lineRule="auto"/>
              <w:jc w:val="center"/>
              <w:rPr>
                <w:sz w:val="28"/>
                <w:szCs w:val="28"/>
              </w:rPr>
            </w:pPr>
            <w:r w:rsidRPr="00520861">
              <w:rPr>
                <w:sz w:val="28"/>
                <w:szCs w:val="28"/>
              </w:rPr>
              <w:t>6,68</w:t>
            </w:r>
          </w:p>
        </w:tc>
        <w:tc>
          <w:tcPr>
            <w:tcW w:w="1559" w:type="dxa"/>
            <w:tcBorders>
              <w:top w:val="single" w:sz="4" w:space="0" w:color="auto"/>
              <w:left w:val="single" w:sz="4" w:space="0" w:color="auto"/>
              <w:bottom w:val="single" w:sz="4" w:space="0" w:color="auto"/>
              <w:right w:val="single" w:sz="4" w:space="0" w:color="auto"/>
            </w:tcBorders>
          </w:tcPr>
          <w:p w14:paraId="22C62192"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6,61</w:t>
            </w:r>
          </w:p>
        </w:tc>
        <w:tc>
          <w:tcPr>
            <w:tcW w:w="1502" w:type="dxa"/>
            <w:tcBorders>
              <w:top w:val="single" w:sz="4" w:space="0" w:color="auto"/>
              <w:left w:val="single" w:sz="4" w:space="0" w:color="auto"/>
              <w:bottom w:val="single" w:sz="4" w:space="0" w:color="auto"/>
              <w:right w:val="single" w:sz="4" w:space="0" w:color="auto"/>
            </w:tcBorders>
          </w:tcPr>
          <w:p w14:paraId="2602951D" w14:textId="77777777" w:rsidR="002E3CE8" w:rsidRPr="00520861" w:rsidRDefault="002E3CE8" w:rsidP="00292D2E">
            <w:pPr>
              <w:widowControl w:val="0"/>
              <w:spacing w:line="360" w:lineRule="auto"/>
              <w:jc w:val="center"/>
              <w:rPr>
                <w:sz w:val="28"/>
                <w:szCs w:val="28"/>
              </w:rPr>
            </w:pPr>
            <w:r w:rsidRPr="00520861">
              <w:rPr>
                <w:sz w:val="28"/>
                <w:szCs w:val="28"/>
              </w:rPr>
              <w:t>6,72</w:t>
            </w:r>
          </w:p>
        </w:tc>
        <w:tc>
          <w:tcPr>
            <w:tcW w:w="1559" w:type="dxa"/>
            <w:tcBorders>
              <w:top w:val="single" w:sz="4" w:space="0" w:color="auto"/>
              <w:left w:val="single" w:sz="4" w:space="0" w:color="auto"/>
              <w:bottom w:val="single" w:sz="4" w:space="0" w:color="auto"/>
              <w:right w:val="single" w:sz="4" w:space="0" w:color="auto"/>
            </w:tcBorders>
          </w:tcPr>
          <w:p w14:paraId="4C1F406B"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6,69</w:t>
            </w:r>
          </w:p>
        </w:tc>
        <w:tc>
          <w:tcPr>
            <w:tcW w:w="1560" w:type="dxa"/>
            <w:tcBorders>
              <w:top w:val="single" w:sz="4" w:space="0" w:color="auto"/>
              <w:left w:val="single" w:sz="4" w:space="0" w:color="auto"/>
              <w:bottom w:val="single" w:sz="4" w:space="0" w:color="auto"/>
              <w:right w:val="single" w:sz="4" w:space="0" w:color="auto"/>
            </w:tcBorders>
          </w:tcPr>
          <w:p w14:paraId="65F71C44" w14:textId="77777777" w:rsidR="002E3CE8" w:rsidRPr="00520861" w:rsidRDefault="002E3CE8" w:rsidP="00292D2E">
            <w:pPr>
              <w:widowControl w:val="0"/>
              <w:spacing w:line="360" w:lineRule="auto"/>
              <w:jc w:val="center"/>
              <w:rPr>
                <w:sz w:val="28"/>
                <w:szCs w:val="28"/>
              </w:rPr>
            </w:pPr>
            <w:r w:rsidRPr="00520861">
              <w:rPr>
                <w:sz w:val="28"/>
                <w:szCs w:val="28"/>
              </w:rPr>
              <w:t>6,42</w:t>
            </w:r>
          </w:p>
        </w:tc>
        <w:tc>
          <w:tcPr>
            <w:tcW w:w="1984" w:type="dxa"/>
            <w:tcBorders>
              <w:top w:val="single" w:sz="4" w:space="0" w:color="auto"/>
              <w:left w:val="single" w:sz="4" w:space="0" w:color="auto"/>
              <w:bottom w:val="single" w:sz="4" w:space="0" w:color="auto"/>
              <w:right w:val="single" w:sz="4" w:space="0" w:color="auto"/>
            </w:tcBorders>
          </w:tcPr>
          <w:p w14:paraId="54043CE9" w14:textId="77777777" w:rsidR="002E3CE8" w:rsidRPr="00520861" w:rsidRDefault="002E3CE8" w:rsidP="00292D2E">
            <w:pPr>
              <w:widowControl w:val="0"/>
              <w:spacing w:line="360" w:lineRule="auto"/>
              <w:jc w:val="center"/>
              <w:rPr>
                <w:sz w:val="28"/>
                <w:szCs w:val="28"/>
              </w:rPr>
            </w:pPr>
            <w:r w:rsidRPr="00520861">
              <w:rPr>
                <w:sz w:val="28"/>
                <w:szCs w:val="28"/>
              </w:rPr>
              <w:t>6,61</w:t>
            </w:r>
          </w:p>
        </w:tc>
      </w:tr>
      <w:tr w:rsidR="002E3CE8" w:rsidRPr="00520861" w14:paraId="1829A5DE" w14:textId="77777777" w:rsidTr="00292D2E">
        <w:tc>
          <w:tcPr>
            <w:tcW w:w="1163" w:type="dxa"/>
            <w:tcBorders>
              <w:top w:val="single" w:sz="4" w:space="0" w:color="auto"/>
              <w:left w:val="single" w:sz="4" w:space="0" w:color="auto"/>
              <w:bottom w:val="single" w:sz="4" w:space="0" w:color="auto"/>
              <w:right w:val="single" w:sz="4" w:space="0" w:color="auto"/>
            </w:tcBorders>
          </w:tcPr>
          <w:p w14:paraId="6F7E27B7" w14:textId="77777777" w:rsidR="002E3CE8" w:rsidRPr="00520861" w:rsidRDefault="002E3CE8" w:rsidP="00292D2E">
            <w:pPr>
              <w:widowControl w:val="0"/>
              <w:spacing w:line="360" w:lineRule="auto"/>
              <w:jc w:val="center"/>
              <w:rPr>
                <w:sz w:val="28"/>
                <w:szCs w:val="28"/>
              </w:rPr>
            </w:pPr>
            <w:r w:rsidRPr="00520861">
              <w:rPr>
                <w:sz w:val="28"/>
                <w:szCs w:val="28"/>
              </w:rPr>
              <w:t>ВП-VІІ</w:t>
            </w:r>
          </w:p>
        </w:tc>
        <w:tc>
          <w:tcPr>
            <w:tcW w:w="709" w:type="dxa"/>
            <w:tcBorders>
              <w:top w:val="single" w:sz="4" w:space="0" w:color="auto"/>
              <w:left w:val="single" w:sz="4" w:space="0" w:color="auto"/>
              <w:bottom w:val="single" w:sz="4" w:space="0" w:color="auto"/>
              <w:right w:val="single" w:sz="4" w:space="0" w:color="auto"/>
            </w:tcBorders>
          </w:tcPr>
          <w:p w14:paraId="55C6858D" w14:textId="77777777" w:rsidR="002E3CE8" w:rsidRPr="00520861" w:rsidRDefault="002E3CE8" w:rsidP="00292D2E">
            <w:pPr>
              <w:widowControl w:val="0"/>
              <w:spacing w:line="360" w:lineRule="auto"/>
              <w:jc w:val="center"/>
              <w:rPr>
                <w:sz w:val="28"/>
                <w:szCs w:val="28"/>
              </w:rPr>
            </w:pPr>
            <w:r w:rsidRPr="00520861">
              <w:rPr>
                <w:sz w:val="28"/>
                <w:szCs w:val="28"/>
              </w:rPr>
              <w:t>6,65</w:t>
            </w:r>
          </w:p>
        </w:tc>
        <w:tc>
          <w:tcPr>
            <w:tcW w:w="1559" w:type="dxa"/>
            <w:tcBorders>
              <w:top w:val="single" w:sz="4" w:space="0" w:color="auto"/>
              <w:left w:val="single" w:sz="4" w:space="0" w:color="auto"/>
              <w:bottom w:val="single" w:sz="4" w:space="0" w:color="auto"/>
              <w:right w:val="single" w:sz="4" w:space="0" w:color="auto"/>
            </w:tcBorders>
          </w:tcPr>
          <w:p w14:paraId="3BFE459E"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6,54</w:t>
            </w:r>
          </w:p>
        </w:tc>
        <w:tc>
          <w:tcPr>
            <w:tcW w:w="1502" w:type="dxa"/>
            <w:tcBorders>
              <w:top w:val="single" w:sz="4" w:space="0" w:color="auto"/>
              <w:left w:val="single" w:sz="4" w:space="0" w:color="auto"/>
              <w:bottom w:val="single" w:sz="4" w:space="0" w:color="auto"/>
              <w:right w:val="single" w:sz="4" w:space="0" w:color="auto"/>
            </w:tcBorders>
          </w:tcPr>
          <w:p w14:paraId="24C19E9C" w14:textId="77777777" w:rsidR="002E3CE8" w:rsidRPr="00520861" w:rsidRDefault="002E3CE8" w:rsidP="00292D2E">
            <w:pPr>
              <w:widowControl w:val="0"/>
              <w:spacing w:line="360" w:lineRule="auto"/>
              <w:jc w:val="center"/>
              <w:rPr>
                <w:sz w:val="28"/>
                <w:szCs w:val="28"/>
              </w:rPr>
            </w:pPr>
            <w:r w:rsidRPr="00520861">
              <w:rPr>
                <w:sz w:val="28"/>
                <w:szCs w:val="28"/>
              </w:rPr>
              <w:t>6,75</w:t>
            </w:r>
          </w:p>
        </w:tc>
        <w:tc>
          <w:tcPr>
            <w:tcW w:w="1559" w:type="dxa"/>
            <w:tcBorders>
              <w:top w:val="single" w:sz="4" w:space="0" w:color="auto"/>
              <w:left w:val="single" w:sz="4" w:space="0" w:color="auto"/>
              <w:bottom w:val="single" w:sz="4" w:space="0" w:color="auto"/>
              <w:right w:val="single" w:sz="4" w:space="0" w:color="auto"/>
            </w:tcBorders>
          </w:tcPr>
          <w:p w14:paraId="32EE82D7"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6,74</w:t>
            </w:r>
          </w:p>
        </w:tc>
        <w:tc>
          <w:tcPr>
            <w:tcW w:w="1560" w:type="dxa"/>
            <w:tcBorders>
              <w:top w:val="single" w:sz="4" w:space="0" w:color="auto"/>
              <w:left w:val="single" w:sz="4" w:space="0" w:color="auto"/>
              <w:bottom w:val="single" w:sz="4" w:space="0" w:color="auto"/>
              <w:right w:val="single" w:sz="4" w:space="0" w:color="auto"/>
            </w:tcBorders>
          </w:tcPr>
          <w:p w14:paraId="031E467B" w14:textId="77777777" w:rsidR="002E3CE8" w:rsidRPr="00520861" w:rsidRDefault="002E3CE8" w:rsidP="00292D2E">
            <w:pPr>
              <w:widowControl w:val="0"/>
              <w:spacing w:line="360" w:lineRule="auto"/>
              <w:jc w:val="center"/>
              <w:rPr>
                <w:sz w:val="28"/>
                <w:szCs w:val="28"/>
              </w:rPr>
            </w:pPr>
            <w:r w:rsidRPr="00520861">
              <w:rPr>
                <w:sz w:val="28"/>
                <w:szCs w:val="28"/>
              </w:rPr>
              <w:t>6,42</w:t>
            </w:r>
          </w:p>
        </w:tc>
        <w:tc>
          <w:tcPr>
            <w:tcW w:w="1984" w:type="dxa"/>
            <w:tcBorders>
              <w:top w:val="single" w:sz="4" w:space="0" w:color="auto"/>
              <w:left w:val="single" w:sz="4" w:space="0" w:color="auto"/>
              <w:bottom w:val="single" w:sz="4" w:space="0" w:color="auto"/>
              <w:right w:val="single" w:sz="4" w:space="0" w:color="auto"/>
            </w:tcBorders>
          </w:tcPr>
          <w:p w14:paraId="3B827E07" w14:textId="77777777" w:rsidR="002E3CE8" w:rsidRPr="00520861" w:rsidRDefault="002E3CE8" w:rsidP="00292D2E">
            <w:pPr>
              <w:widowControl w:val="0"/>
              <w:spacing w:line="360" w:lineRule="auto"/>
              <w:jc w:val="center"/>
              <w:rPr>
                <w:sz w:val="28"/>
                <w:szCs w:val="28"/>
              </w:rPr>
            </w:pPr>
            <w:r w:rsidRPr="00520861">
              <w:rPr>
                <w:sz w:val="28"/>
                <w:szCs w:val="28"/>
              </w:rPr>
              <w:t>6,40</w:t>
            </w:r>
          </w:p>
        </w:tc>
      </w:tr>
      <w:tr w:rsidR="002E3CE8" w:rsidRPr="00520861" w14:paraId="51FF250A" w14:textId="77777777" w:rsidTr="00292D2E">
        <w:tc>
          <w:tcPr>
            <w:tcW w:w="1163" w:type="dxa"/>
            <w:tcBorders>
              <w:top w:val="single" w:sz="4" w:space="0" w:color="auto"/>
              <w:left w:val="single" w:sz="4" w:space="0" w:color="auto"/>
              <w:bottom w:val="single" w:sz="4" w:space="0" w:color="auto"/>
              <w:right w:val="single" w:sz="4" w:space="0" w:color="auto"/>
            </w:tcBorders>
          </w:tcPr>
          <w:p w14:paraId="10CCFF88" w14:textId="77777777" w:rsidR="002E3CE8" w:rsidRPr="00520861" w:rsidRDefault="002E3CE8" w:rsidP="00292D2E">
            <w:pPr>
              <w:widowControl w:val="0"/>
              <w:spacing w:line="360" w:lineRule="auto"/>
              <w:ind w:right="-107" w:hanging="113"/>
              <w:jc w:val="center"/>
              <w:rPr>
                <w:sz w:val="28"/>
                <w:szCs w:val="28"/>
                <w:lang w:val="en-US"/>
              </w:rPr>
            </w:pPr>
            <w:r w:rsidRPr="00520861">
              <w:rPr>
                <w:sz w:val="28"/>
                <w:szCs w:val="28"/>
              </w:rPr>
              <w:t>ВП-VІ</w:t>
            </w:r>
            <w:r w:rsidRPr="00520861">
              <w:rPr>
                <w:sz w:val="28"/>
                <w:szCs w:val="28"/>
                <w:lang w:val="en-US"/>
              </w:rPr>
              <w:t>II</w:t>
            </w:r>
          </w:p>
        </w:tc>
        <w:tc>
          <w:tcPr>
            <w:tcW w:w="709" w:type="dxa"/>
            <w:tcBorders>
              <w:top w:val="single" w:sz="4" w:space="0" w:color="auto"/>
              <w:left w:val="single" w:sz="4" w:space="0" w:color="auto"/>
              <w:bottom w:val="single" w:sz="4" w:space="0" w:color="auto"/>
              <w:right w:val="single" w:sz="4" w:space="0" w:color="auto"/>
            </w:tcBorders>
          </w:tcPr>
          <w:p w14:paraId="2373BBA1" w14:textId="77777777" w:rsidR="002E3CE8" w:rsidRPr="00520861" w:rsidRDefault="002E3CE8" w:rsidP="00292D2E">
            <w:pPr>
              <w:widowControl w:val="0"/>
              <w:spacing w:line="360" w:lineRule="auto"/>
              <w:jc w:val="center"/>
              <w:rPr>
                <w:sz w:val="28"/>
                <w:szCs w:val="28"/>
              </w:rPr>
            </w:pPr>
            <w:r w:rsidRPr="00520861">
              <w:rPr>
                <w:sz w:val="28"/>
                <w:szCs w:val="28"/>
              </w:rPr>
              <w:t>6,76</w:t>
            </w:r>
          </w:p>
        </w:tc>
        <w:tc>
          <w:tcPr>
            <w:tcW w:w="1559" w:type="dxa"/>
            <w:tcBorders>
              <w:top w:val="single" w:sz="4" w:space="0" w:color="auto"/>
              <w:left w:val="single" w:sz="4" w:space="0" w:color="auto"/>
              <w:bottom w:val="single" w:sz="4" w:space="0" w:color="auto"/>
              <w:right w:val="single" w:sz="4" w:space="0" w:color="auto"/>
            </w:tcBorders>
          </w:tcPr>
          <w:p w14:paraId="29F1E44F"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6,60</w:t>
            </w:r>
          </w:p>
        </w:tc>
        <w:tc>
          <w:tcPr>
            <w:tcW w:w="1502" w:type="dxa"/>
            <w:tcBorders>
              <w:top w:val="single" w:sz="4" w:space="0" w:color="auto"/>
              <w:left w:val="single" w:sz="4" w:space="0" w:color="auto"/>
              <w:bottom w:val="single" w:sz="4" w:space="0" w:color="auto"/>
              <w:right w:val="single" w:sz="4" w:space="0" w:color="auto"/>
            </w:tcBorders>
          </w:tcPr>
          <w:p w14:paraId="3FD075DA" w14:textId="77777777" w:rsidR="002E3CE8" w:rsidRPr="00520861" w:rsidRDefault="002E3CE8" w:rsidP="00292D2E">
            <w:pPr>
              <w:widowControl w:val="0"/>
              <w:spacing w:line="360" w:lineRule="auto"/>
              <w:jc w:val="center"/>
              <w:rPr>
                <w:sz w:val="28"/>
                <w:szCs w:val="28"/>
              </w:rPr>
            </w:pPr>
            <w:r w:rsidRPr="00520861">
              <w:rPr>
                <w:sz w:val="28"/>
                <w:szCs w:val="28"/>
              </w:rPr>
              <w:t>6,90</w:t>
            </w:r>
          </w:p>
        </w:tc>
        <w:tc>
          <w:tcPr>
            <w:tcW w:w="1559" w:type="dxa"/>
            <w:tcBorders>
              <w:top w:val="single" w:sz="4" w:space="0" w:color="auto"/>
              <w:left w:val="single" w:sz="4" w:space="0" w:color="auto"/>
              <w:bottom w:val="single" w:sz="4" w:space="0" w:color="auto"/>
              <w:right w:val="single" w:sz="4" w:space="0" w:color="auto"/>
            </w:tcBorders>
          </w:tcPr>
          <w:p w14:paraId="3B460D27" w14:textId="77777777" w:rsidR="002E3CE8" w:rsidRPr="00520861" w:rsidRDefault="002E3CE8" w:rsidP="00292D2E">
            <w:pPr>
              <w:widowControl w:val="0"/>
              <w:tabs>
                <w:tab w:val="left" w:pos="0"/>
              </w:tabs>
              <w:spacing w:line="360" w:lineRule="auto"/>
              <w:jc w:val="center"/>
              <w:rPr>
                <w:sz w:val="28"/>
                <w:szCs w:val="28"/>
              </w:rPr>
            </w:pPr>
            <w:r w:rsidRPr="00520861">
              <w:rPr>
                <w:sz w:val="28"/>
                <w:szCs w:val="28"/>
              </w:rPr>
              <w:t>7,3</w:t>
            </w:r>
          </w:p>
        </w:tc>
        <w:tc>
          <w:tcPr>
            <w:tcW w:w="1560" w:type="dxa"/>
            <w:tcBorders>
              <w:top w:val="single" w:sz="4" w:space="0" w:color="auto"/>
              <w:left w:val="single" w:sz="4" w:space="0" w:color="auto"/>
              <w:bottom w:val="single" w:sz="4" w:space="0" w:color="auto"/>
              <w:right w:val="single" w:sz="4" w:space="0" w:color="auto"/>
            </w:tcBorders>
          </w:tcPr>
          <w:p w14:paraId="09736CA9" w14:textId="77777777" w:rsidR="002E3CE8" w:rsidRPr="00520861" w:rsidRDefault="002E3CE8" w:rsidP="00292D2E">
            <w:pPr>
              <w:widowControl w:val="0"/>
              <w:spacing w:line="360" w:lineRule="auto"/>
              <w:jc w:val="center"/>
              <w:rPr>
                <w:sz w:val="28"/>
                <w:szCs w:val="28"/>
              </w:rPr>
            </w:pPr>
            <w:r w:rsidRPr="00520861">
              <w:rPr>
                <w:sz w:val="28"/>
                <w:szCs w:val="28"/>
              </w:rPr>
              <w:t>6,48</w:t>
            </w:r>
          </w:p>
        </w:tc>
        <w:tc>
          <w:tcPr>
            <w:tcW w:w="1984" w:type="dxa"/>
            <w:tcBorders>
              <w:top w:val="single" w:sz="4" w:space="0" w:color="auto"/>
              <w:left w:val="single" w:sz="4" w:space="0" w:color="auto"/>
              <w:bottom w:val="single" w:sz="4" w:space="0" w:color="auto"/>
              <w:right w:val="single" w:sz="4" w:space="0" w:color="auto"/>
            </w:tcBorders>
          </w:tcPr>
          <w:p w14:paraId="2C1C3A8E" w14:textId="77777777" w:rsidR="002E3CE8" w:rsidRPr="00520861" w:rsidRDefault="002E3CE8" w:rsidP="00292D2E">
            <w:pPr>
              <w:widowControl w:val="0"/>
              <w:spacing w:line="360" w:lineRule="auto"/>
              <w:ind w:left="-84" w:right="-29" w:hanging="115"/>
              <w:jc w:val="center"/>
              <w:rPr>
                <w:sz w:val="28"/>
                <w:szCs w:val="28"/>
              </w:rPr>
            </w:pPr>
            <w:r w:rsidRPr="00520861">
              <w:rPr>
                <w:spacing w:val="-8"/>
                <w:sz w:val="28"/>
                <w:szCs w:val="28"/>
              </w:rPr>
              <w:t>6,38* (</w:t>
            </w:r>
            <w:r w:rsidRPr="00520861">
              <w:rPr>
                <w:i/>
                <w:spacing w:val="-8"/>
                <w:sz w:val="28"/>
                <w:szCs w:val="28"/>
              </w:rPr>
              <w:t>p</w:t>
            </w:r>
            <w:r w:rsidRPr="00520861">
              <w:rPr>
                <w:spacing w:val="-8"/>
                <w:sz w:val="28"/>
                <w:szCs w:val="28"/>
              </w:rPr>
              <w:t>=0,0398)</w:t>
            </w:r>
          </w:p>
        </w:tc>
      </w:tr>
    </w:tbl>
    <w:p w14:paraId="443CC71A" w14:textId="77777777" w:rsidR="002E3CE8" w:rsidRPr="00520861" w:rsidRDefault="002E3CE8" w:rsidP="00292D2E">
      <w:pPr>
        <w:widowControl w:val="0"/>
        <w:spacing w:line="360" w:lineRule="auto"/>
        <w:ind w:right="48" w:firstLine="708"/>
        <w:contextualSpacing/>
        <w:jc w:val="both"/>
        <w:rPr>
          <w:sz w:val="28"/>
          <w:szCs w:val="28"/>
        </w:rPr>
      </w:pPr>
      <w:r w:rsidRPr="00520861">
        <w:rPr>
          <w:sz w:val="28"/>
          <w:szCs w:val="28"/>
        </w:rPr>
        <w:t xml:space="preserve">Примітка: * – різниця між ОГ (підгрупою) і ГП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6AAEFB72" w14:textId="77777777" w:rsidR="002E3CE8" w:rsidRPr="00520861" w:rsidRDefault="002E3CE8" w:rsidP="00292D2E">
      <w:pPr>
        <w:widowControl w:val="0"/>
        <w:spacing w:line="360" w:lineRule="auto"/>
        <w:ind w:firstLine="708"/>
        <w:contextualSpacing/>
        <w:jc w:val="both"/>
        <w:rPr>
          <w:spacing w:val="-8"/>
          <w:sz w:val="28"/>
          <w:szCs w:val="28"/>
        </w:rPr>
      </w:pPr>
    </w:p>
    <w:p w14:paraId="55F13DCC" w14:textId="77777777" w:rsidR="002E3CE8" w:rsidRPr="00520861" w:rsidRDefault="002E3CE8" w:rsidP="00292D2E">
      <w:pPr>
        <w:widowControl w:val="0"/>
        <w:spacing w:line="360" w:lineRule="auto"/>
        <w:ind w:right="141" w:firstLine="708"/>
        <w:jc w:val="both"/>
        <w:rPr>
          <w:rFonts w:eastAsiaTheme="minorHAnsi"/>
          <w:sz w:val="28"/>
          <w:szCs w:val="28"/>
          <w:lang w:eastAsia="en-US"/>
        </w:rPr>
      </w:pPr>
      <w:r w:rsidRPr="00520861">
        <w:rPr>
          <w:rFonts w:eastAsiaTheme="minorHAnsi"/>
          <w:sz w:val="28"/>
          <w:szCs w:val="28"/>
          <w:lang w:eastAsia="en-US"/>
        </w:rPr>
        <w:t>Швидкість секреції нестимульованої РР (табл. 6.7) також значно менша в осіб із підгрупи 3</w:t>
      </w:r>
      <w:r w:rsidRPr="00520861">
        <w:rPr>
          <w:bCs/>
          <w:sz w:val="28"/>
          <w:szCs w:val="28"/>
        </w:rPr>
        <w:t xml:space="preserve"> та </w:t>
      </w:r>
      <w:r w:rsidRPr="00520861">
        <w:rPr>
          <w:rFonts w:eastAsiaTheme="minorHAnsi"/>
          <w:sz w:val="28"/>
          <w:szCs w:val="28"/>
          <w:lang w:eastAsia="en-US"/>
        </w:rPr>
        <w:t xml:space="preserve">підгрупи 4. </w:t>
      </w:r>
    </w:p>
    <w:p w14:paraId="22DC9ED7" w14:textId="77777777" w:rsidR="002E3CE8" w:rsidRPr="00520861" w:rsidRDefault="002E3CE8" w:rsidP="00292D2E">
      <w:pPr>
        <w:widowControl w:val="0"/>
        <w:spacing w:line="360" w:lineRule="auto"/>
        <w:ind w:right="141" w:firstLine="708"/>
        <w:jc w:val="both"/>
        <w:rPr>
          <w:sz w:val="28"/>
          <w:szCs w:val="28"/>
        </w:rPr>
      </w:pPr>
      <w:r w:rsidRPr="00520861">
        <w:rPr>
          <w:sz w:val="28"/>
          <w:szCs w:val="28"/>
        </w:rPr>
        <w:t xml:space="preserve">Зміщення кислотно-лужної рівноваги РР у сторону ацидозу (значення </w:t>
      </w:r>
      <w:proofErr w:type="spellStart"/>
      <w:r w:rsidRPr="00520861">
        <w:rPr>
          <w:sz w:val="28"/>
          <w:szCs w:val="28"/>
        </w:rPr>
        <w:t>pH</w:t>
      </w:r>
      <w:proofErr w:type="spellEnd"/>
      <w:r w:rsidRPr="00520861">
        <w:rPr>
          <w:sz w:val="28"/>
          <w:szCs w:val="28"/>
        </w:rPr>
        <w:t xml:space="preserve"> у табл. 6.7) переважно притаманне учасникам </w:t>
      </w:r>
      <w:r w:rsidRPr="00520861">
        <w:rPr>
          <w:rFonts w:eastAsiaTheme="minorHAnsi"/>
          <w:sz w:val="28"/>
          <w:szCs w:val="28"/>
          <w:lang w:eastAsia="en-US"/>
        </w:rPr>
        <w:t>підгрупи 3</w:t>
      </w:r>
      <w:r w:rsidRPr="00520861">
        <w:rPr>
          <w:sz w:val="28"/>
          <w:szCs w:val="28"/>
        </w:rPr>
        <w:t xml:space="preserve"> та </w:t>
      </w:r>
      <w:r w:rsidRPr="00520861">
        <w:rPr>
          <w:rFonts w:eastAsiaTheme="minorHAnsi"/>
          <w:sz w:val="28"/>
          <w:szCs w:val="28"/>
          <w:lang w:eastAsia="en-US"/>
        </w:rPr>
        <w:t>підгрупи 4</w:t>
      </w:r>
      <w:r w:rsidRPr="00520861">
        <w:rPr>
          <w:sz w:val="28"/>
          <w:szCs w:val="28"/>
        </w:rPr>
        <w:t xml:space="preserve">. Незважаючи на високу інтенсивність карієсу в осіб цих підгруп, значення </w:t>
      </w:r>
      <w:proofErr w:type="spellStart"/>
      <w:r w:rsidRPr="00520861">
        <w:rPr>
          <w:rFonts w:eastAsia="Calibri"/>
          <w:sz w:val="28"/>
          <w:szCs w:val="28"/>
          <w:lang w:eastAsia="en-US"/>
        </w:rPr>
        <w:t>pH</w:t>
      </w:r>
      <w:proofErr w:type="spellEnd"/>
      <w:r w:rsidRPr="00520861">
        <w:rPr>
          <w:sz w:val="28"/>
          <w:szCs w:val="28"/>
        </w:rPr>
        <w:t xml:space="preserve"> у багатьох із них є </w:t>
      </w:r>
      <w:proofErr w:type="spellStart"/>
      <w:r w:rsidRPr="00520861">
        <w:rPr>
          <w:sz w:val="28"/>
          <w:szCs w:val="28"/>
        </w:rPr>
        <w:t>невірогідно</w:t>
      </w:r>
      <w:proofErr w:type="spellEnd"/>
      <w:r w:rsidRPr="00520861">
        <w:rPr>
          <w:sz w:val="28"/>
          <w:szCs w:val="28"/>
        </w:rPr>
        <w:t xml:space="preserve"> нижчим, ніж в осіб ГП, а у деяких осіб навіть наближене до </w:t>
      </w:r>
      <w:r w:rsidRPr="00520861">
        <w:rPr>
          <w:sz w:val="28"/>
          <w:szCs w:val="28"/>
        </w:rPr>
        <w:br/>
        <w:t xml:space="preserve">нейтрального. </w:t>
      </w:r>
    </w:p>
    <w:p w14:paraId="04C66EE2" w14:textId="77777777" w:rsidR="002E3CE8" w:rsidRPr="00520861" w:rsidRDefault="002E3CE8" w:rsidP="00292D2E">
      <w:pPr>
        <w:widowControl w:val="0"/>
        <w:spacing w:line="360" w:lineRule="auto"/>
        <w:ind w:firstLine="708"/>
        <w:contextualSpacing/>
        <w:jc w:val="both"/>
        <w:rPr>
          <w:rFonts w:eastAsiaTheme="minorHAnsi"/>
          <w:sz w:val="28"/>
          <w:szCs w:val="28"/>
          <w:lang w:eastAsia="en-US"/>
        </w:rPr>
      </w:pPr>
      <w:r w:rsidRPr="00520861">
        <w:rPr>
          <w:sz w:val="28"/>
          <w:szCs w:val="28"/>
        </w:rPr>
        <w:t xml:space="preserve">Отже, </w:t>
      </w:r>
      <w:r w:rsidRPr="00520861">
        <w:rPr>
          <w:rFonts w:eastAsiaTheme="minorHAnsi"/>
          <w:sz w:val="28"/>
          <w:szCs w:val="28"/>
          <w:lang w:eastAsia="en-US"/>
        </w:rPr>
        <w:t xml:space="preserve">значне зменшення кількості малих слинних залоз на одиницю площі, поєднане з вірогідно зменшеною активністю слиновиділення, призвело до порушення рівноваги між процесами де- та </w:t>
      </w:r>
      <w:proofErr w:type="spellStart"/>
      <w:r w:rsidRPr="00520861">
        <w:rPr>
          <w:rFonts w:eastAsiaTheme="minorHAnsi"/>
          <w:sz w:val="28"/>
          <w:szCs w:val="28"/>
          <w:lang w:eastAsia="en-US"/>
        </w:rPr>
        <w:t>ремінералізації</w:t>
      </w:r>
      <w:proofErr w:type="spellEnd"/>
      <w:r w:rsidRPr="00520861">
        <w:rPr>
          <w:rFonts w:eastAsiaTheme="minorHAnsi"/>
          <w:sz w:val="28"/>
          <w:szCs w:val="28"/>
          <w:lang w:eastAsia="en-US"/>
        </w:rPr>
        <w:t xml:space="preserve"> у бік </w:t>
      </w:r>
      <w:proofErr w:type="spellStart"/>
      <w:r w:rsidRPr="00520861">
        <w:rPr>
          <w:rFonts w:eastAsiaTheme="minorHAnsi"/>
          <w:sz w:val="28"/>
          <w:szCs w:val="28"/>
          <w:lang w:eastAsia="en-US"/>
        </w:rPr>
        <w:t>демінералізації</w:t>
      </w:r>
      <w:proofErr w:type="spellEnd"/>
      <w:r w:rsidRPr="00520861">
        <w:rPr>
          <w:rFonts w:eastAsiaTheme="minorHAnsi"/>
          <w:sz w:val="28"/>
          <w:szCs w:val="28"/>
          <w:lang w:eastAsia="en-US"/>
        </w:rPr>
        <w:t>, що сприяло виникненню каріозних порожнин.</w:t>
      </w:r>
    </w:p>
    <w:p w14:paraId="4B98803C" w14:textId="77777777" w:rsidR="002E3CE8" w:rsidRPr="00520861" w:rsidRDefault="002E3CE8" w:rsidP="00292D2E">
      <w:pPr>
        <w:widowControl w:val="0"/>
        <w:spacing w:line="360" w:lineRule="auto"/>
        <w:ind w:right="141" w:firstLine="708"/>
        <w:jc w:val="both"/>
        <w:rPr>
          <w:sz w:val="28"/>
          <w:szCs w:val="28"/>
        </w:rPr>
      </w:pPr>
      <w:r w:rsidRPr="00520861">
        <w:rPr>
          <w:sz w:val="28"/>
          <w:szCs w:val="28"/>
        </w:rPr>
        <w:t xml:space="preserve">Середні показники інтенсивності карієсу зубів в осіб </w:t>
      </w:r>
      <w:proofErr w:type="spellStart"/>
      <w:r w:rsidRPr="00520861">
        <w:rPr>
          <w:sz w:val="28"/>
          <w:szCs w:val="28"/>
        </w:rPr>
        <w:t>макросомів</w:t>
      </w:r>
      <w:proofErr w:type="spellEnd"/>
      <w:r w:rsidRPr="00520861">
        <w:rPr>
          <w:sz w:val="28"/>
          <w:szCs w:val="28"/>
        </w:rPr>
        <w:t xml:space="preserve"> для всіх досліджених ВП були більшими за такі у ГП. Проте, якщо в осіб </w:t>
      </w:r>
      <w:r w:rsidRPr="00520861">
        <w:rPr>
          <w:rFonts w:eastAsiaTheme="minorHAnsi"/>
          <w:sz w:val="28"/>
          <w:szCs w:val="28"/>
          <w:lang w:eastAsia="en-US"/>
        </w:rPr>
        <w:t xml:space="preserve">підгрупи 1 </w:t>
      </w:r>
      <w:r w:rsidRPr="00520861">
        <w:rPr>
          <w:sz w:val="28"/>
          <w:szCs w:val="28"/>
        </w:rPr>
        <w:t xml:space="preserve">та </w:t>
      </w:r>
      <w:r w:rsidRPr="00520861">
        <w:rPr>
          <w:rFonts w:eastAsiaTheme="minorHAnsi"/>
          <w:sz w:val="28"/>
          <w:szCs w:val="28"/>
          <w:lang w:eastAsia="en-US"/>
        </w:rPr>
        <w:t>підгрупи 2</w:t>
      </w:r>
      <w:r w:rsidRPr="00520861">
        <w:rPr>
          <w:sz w:val="28"/>
          <w:szCs w:val="28"/>
        </w:rPr>
        <w:t xml:space="preserve"> із віком показники інтенсивності каріозного процесу залишалися </w:t>
      </w:r>
      <w:proofErr w:type="spellStart"/>
      <w:r w:rsidRPr="00520861">
        <w:rPr>
          <w:sz w:val="28"/>
          <w:szCs w:val="28"/>
        </w:rPr>
        <w:t>невірогідно</w:t>
      </w:r>
      <w:proofErr w:type="spellEnd"/>
      <w:r w:rsidRPr="00520861">
        <w:rPr>
          <w:sz w:val="28"/>
          <w:szCs w:val="28"/>
        </w:rPr>
        <w:t xml:space="preserve"> вищими, ніж у ГП, то в осіб із ВУ ожирінням як на фоні середніх показників довжини тіла при народженні, так і на фоні ВУ акселерації, ці показники вірогідно відрізнялися від таких в ГП. </w:t>
      </w:r>
    </w:p>
    <w:p w14:paraId="347C571D" w14:textId="77777777" w:rsidR="002E3CE8" w:rsidRPr="00520861" w:rsidRDefault="002E3CE8" w:rsidP="00292D2E">
      <w:pPr>
        <w:widowControl w:val="0"/>
        <w:spacing w:line="360" w:lineRule="auto"/>
        <w:ind w:right="141" w:firstLine="708"/>
        <w:jc w:val="both"/>
        <w:rPr>
          <w:sz w:val="28"/>
          <w:szCs w:val="28"/>
        </w:rPr>
      </w:pPr>
      <w:proofErr w:type="spellStart"/>
      <w:r w:rsidRPr="00520861">
        <w:rPr>
          <w:sz w:val="28"/>
          <w:szCs w:val="28"/>
        </w:rPr>
        <w:t>Домінувальний</w:t>
      </w:r>
      <w:proofErr w:type="spellEnd"/>
      <w:r w:rsidRPr="00520861">
        <w:rPr>
          <w:sz w:val="28"/>
          <w:szCs w:val="28"/>
        </w:rPr>
        <w:t xml:space="preserve"> вплив гігієнічного стану ротової порожнини осіб ОГ на появу каріозних порожнин виявлений не був.</w:t>
      </w:r>
    </w:p>
    <w:p w14:paraId="2126BACB" w14:textId="77777777" w:rsidR="002E3CE8" w:rsidRPr="00520861" w:rsidRDefault="002E3CE8" w:rsidP="00292D2E">
      <w:pPr>
        <w:widowControl w:val="0"/>
        <w:spacing w:line="360" w:lineRule="auto"/>
        <w:ind w:firstLine="709"/>
        <w:jc w:val="both"/>
        <w:rPr>
          <w:rFonts w:eastAsia="Calibri"/>
          <w:b/>
          <w:sz w:val="28"/>
          <w:szCs w:val="28"/>
          <w:lang w:eastAsia="en-US"/>
        </w:rPr>
      </w:pPr>
      <w:r w:rsidRPr="00520861">
        <w:rPr>
          <w:rFonts w:eastAsia="Calibri"/>
          <w:b/>
          <w:sz w:val="28"/>
          <w:szCs w:val="28"/>
          <w:lang w:eastAsia="en-US"/>
        </w:rPr>
        <w:lastRenderedPageBreak/>
        <w:t xml:space="preserve">6.5. Результати вивчення динаміки змін біохімічних показників ротової </w:t>
      </w:r>
      <w:r w:rsidRPr="00520861">
        <w:rPr>
          <w:rFonts w:eastAsia="Calibri"/>
          <w:b/>
          <w:sz w:val="28"/>
          <w:szCs w:val="28"/>
          <w:lang w:eastAsia="en-US"/>
        </w:rPr>
        <w:br/>
        <w:t xml:space="preserve">рідини як маркерів ризику розвитку каріозних уражень в осіб різного віку, які народилися </w:t>
      </w:r>
      <w:proofErr w:type="spellStart"/>
      <w:r w:rsidRPr="00520861">
        <w:rPr>
          <w:rFonts w:eastAsia="Calibri"/>
          <w:b/>
          <w:sz w:val="28"/>
          <w:szCs w:val="28"/>
          <w:lang w:eastAsia="en-US"/>
        </w:rPr>
        <w:t>макросомами</w:t>
      </w:r>
      <w:proofErr w:type="spellEnd"/>
    </w:p>
    <w:p w14:paraId="65D8CD9E" w14:textId="77777777" w:rsidR="002E3CE8" w:rsidRPr="00520861" w:rsidRDefault="002E3CE8" w:rsidP="00292D2E">
      <w:pPr>
        <w:widowControl w:val="0"/>
        <w:jc w:val="both"/>
        <w:rPr>
          <w:rFonts w:eastAsia="Calibri"/>
          <w:sz w:val="28"/>
          <w:szCs w:val="28"/>
          <w:lang w:eastAsia="en-US"/>
        </w:rPr>
      </w:pPr>
    </w:p>
    <w:p w14:paraId="4955185D"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Аналізуючи вміст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в РР учасників дослідження </w:t>
      </w:r>
      <w:r w:rsidRPr="00520861">
        <w:rPr>
          <w:rFonts w:eastAsia="Calibri"/>
          <w:sz w:val="28"/>
          <w:szCs w:val="28"/>
          <w:lang w:eastAsia="en-US"/>
        </w:rPr>
        <w:br/>
        <w:t xml:space="preserve">(табл. Б.1.23), ми  виявили високі значення вмісту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в РР осіб усіх ВП у </w:t>
      </w:r>
      <w:r w:rsidRPr="00520861">
        <w:rPr>
          <w:rFonts w:eastAsia="Calibri"/>
          <w:sz w:val="28"/>
          <w:szCs w:val="28"/>
          <w:lang w:eastAsia="en-US"/>
        </w:rPr>
        <w:br/>
      </w:r>
      <w:r w:rsidRPr="00520861">
        <w:rPr>
          <w:rFonts w:eastAsiaTheme="minorHAnsi"/>
          <w:sz w:val="28"/>
          <w:szCs w:val="28"/>
          <w:lang w:eastAsia="en-US"/>
        </w:rPr>
        <w:t xml:space="preserve">підгрупах </w:t>
      </w:r>
      <w:r w:rsidRPr="00520861">
        <w:rPr>
          <w:rFonts w:eastAsia="Calibri"/>
          <w:sz w:val="28"/>
          <w:szCs w:val="28"/>
          <w:lang w:eastAsia="en-US"/>
        </w:rPr>
        <w:t xml:space="preserve">3 та 4. Найбільш виражене підвищення спостерігалося в осіб </w:t>
      </w:r>
      <w:r w:rsidRPr="00520861">
        <w:rPr>
          <w:rFonts w:eastAsiaTheme="minorHAnsi"/>
          <w:sz w:val="28"/>
          <w:szCs w:val="28"/>
          <w:lang w:eastAsia="en-US"/>
        </w:rPr>
        <w:t xml:space="preserve">підгрупи </w:t>
      </w:r>
      <w:r w:rsidRPr="00520861">
        <w:rPr>
          <w:rFonts w:eastAsia="Calibri"/>
          <w:sz w:val="28"/>
          <w:szCs w:val="28"/>
          <w:lang w:eastAsia="en-US"/>
        </w:rPr>
        <w:t>4 (рис. 6.5).</w:t>
      </w:r>
    </w:p>
    <w:p w14:paraId="60948C30"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Слід зазначити, що в осіб </w:t>
      </w:r>
      <w:r w:rsidRPr="00520861">
        <w:rPr>
          <w:rFonts w:eastAsiaTheme="minorHAnsi"/>
          <w:sz w:val="28"/>
          <w:szCs w:val="28"/>
          <w:lang w:eastAsia="en-US"/>
        </w:rPr>
        <w:t xml:space="preserve">підгрупи </w:t>
      </w:r>
      <w:r w:rsidRPr="00520861">
        <w:rPr>
          <w:rFonts w:eastAsia="Calibri"/>
          <w:sz w:val="28"/>
          <w:szCs w:val="28"/>
          <w:lang w:eastAsia="en-US"/>
        </w:rPr>
        <w:t xml:space="preserve">3 та </w:t>
      </w:r>
      <w:r w:rsidRPr="00520861">
        <w:rPr>
          <w:rFonts w:eastAsiaTheme="minorHAnsi"/>
          <w:sz w:val="28"/>
          <w:szCs w:val="28"/>
          <w:lang w:eastAsia="en-US"/>
        </w:rPr>
        <w:t xml:space="preserve">підгрупи </w:t>
      </w:r>
      <w:r w:rsidRPr="00520861">
        <w:rPr>
          <w:rFonts w:eastAsia="Calibri"/>
          <w:sz w:val="28"/>
          <w:szCs w:val="28"/>
          <w:lang w:eastAsia="en-US"/>
        </w:rPr>
        <w:t xml:space="preserve">4 зростання концентрації </w:t>
      </w:r>
      <w:r w:rsidR="00517614" w:rsidRPr="00520861">
        <w:rPr>
          <w:rFonts w:eastAsia="Calibri"/>
          <w:sz w:val="28"/>
          <w:szCs w:val="28"/>
          <w:lang w:eastAsia="en-US"/>
        </w:rPr>
        <w:br/>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збільшувалося із віком. Водночас в осіб, що були віднесені до </w:t>
      </w:r>
      <w:r w:rsidRPr="00520861">
        <w:rPr>
          <w:rFonts w:eastAsiaTheme="minorHAnsi"/>
          <w:sz w:val="28"/>
          <w:szCs w:val="28"/>
          <w:lang w:eastAsia="en-US"/>
        </w:rPr>
        <w:t xml:space="preserve">підгрупи </w:t>
      </w:r>
      <w:r w:rsidRPr="00520861">
        <w:rPr>
          <w:rFonts w:eastAsia="Calibri"/>
          <w:sz w:val="28"/>
          <w:szCs w:val="28"/>
          <w:lang w:eastAsia="en-US"/>
        </w:rPr>
        <w:t xml:space="preserve">1, з віком не спостерігалося зростання його концентрації, хоча медіанні значення були вірогідно вищими за такі у ГП (табл. Б.1.23). У </w:t>
      </w:r>
      <w:r w:rsidRPr="00520861">
        <w:rPr>
          <w:rFonts w:eastAsiaTheme="minorHAnsi"/>
          <w:sz w:val="28"/>
          <w:szCs w:val="28"/>
          <w:lang w:eastAsia="en-US"/>
        </w:rPr>
        <w:t xml:space="preserve">підгрупі </w:t>
      </w:r>
      <w:r w:rsidRPr="00520861">
        <w:rPr>
          <w:rFonts w:eastAsia="Calibri"/>
          <w:sz w:val="28"/>
          <w:szCs w:val="28"/>
          <w:lang w:eastAsia="en-US"/>
        </w:rPr>
        <w:t xml:space="preserve">2 цей показник навіть був </w:t>
      </w:r>
      <w:r w:rsidRPr="00520861">
        <w:rPr>
          <w:rFonts w:eastAsia="Calibri"/>
          <w:sz w:val="28"/>
          <w:szCs w:val="28"/>
          <w:lang w:eastAsia="en-US"/>
        </w:rPr>
        <w:br/>
        <w:t xml:space="preserve">зниженим (рис. 6.5). </w:t>
      </w:r>
    </w:p>
    <w:p w14:paraId="3DD2F690" w14:textId="77777777" w:rsidR="002E3CE8" w:rsidRPr="00520861" w:rsidRDefault="002E3CE8"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Наступним етапом наших досліджень було визначення вмісту в РР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(табл. Б.1.23). Спостерігалася стійка тенденція до зниження рівня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у РР осіб </w:t>
      </w:r>
      <w:r w:rsidRPr="00520861">
        <w:rPr>
          <w:rFonts w:eastAsiaTheme="minorHAnsi"/>
          <w:sz w:val="28"/>
          <w:szCs w:val="28"/>
          <w:lang w:eastAsia="en-US"/>
        </w:rPr>
        <w:t xml:space="preserve">підгрупи </w:t>
      </w:r>
      <w:r w:rsidRPr="00520861">
        <w:rPr>
          <w:rFonts w:eastAsia="Calibri"/>
          <w:sz w:val="28"/>
          <w:szCs w:val="28"/>
          <w:lang w:eastAsia="en-US"/>
        </w:rPr>
        <w:t xml:space="preserve">3 та </w:t>
      </w:r>
      <w:r w:rsidRPr="00520861">
        <w:rPr>
          <w:rFonts w:eastAsiaTheme="minorHAnsi"/>
          <w:sz w:val="28"/>
          <w:szCs w:val="28"/>
          <w:lang w:eastAsia="en-US"/>
        </w:rPr>
        <w:t xml:space="preserve">підгрупи </w:t>
      </w:r>
      <w:r w:rsidRPr="00520861">
        <w:rPr>
          <w:rFonts w:eastAsia="Calibri"/>
          <w:sz w:val="28"/>
          <w:szCs w:val="28"/>
          <w:lang w:eastAsia="en-US"/>
        </w:rPr>
        <w:t xml:space="preserve">4, порівняно з таким у ГП, за одночасного зростання концентрації </w:t>
      </w:r>
      <w:proofErr w:type="spellStart"/>
      <w:r w:rsidRPr="00520861">
        <w:rPr>
          <w:rFonts w:eastAsia="Calibri"/>
          <w:sz w:val="28"/>
          <w:szCs w:val="28"/>
          <w:lang w:eastAsia="en-US"/>
        </w:rPr>
        <w:t>лептину</w:t>
      </w:r>
      <w:proofErr w:type="spellEnd"/>
      <w:r w:rsidRPr="00520861">
        <w:rPr>
          <w:rFonts w:eastAsia="Calibri"/>
          <w:sz w:val="28"/>
          <w:szCs w:val="28"/>
          <w:lang w:val="ru-RU" w:eastAsia="en-US"/>
        </w:rPr>
        <w:t xml:space="preserve"> [39]</w:t>
      </w:r>
      <w:r w:rsidRPr="00520861">
        <w:rPr>
          <w:rFonts w:eastAsia="Calibri"/>
          <w:sz w:val="28"/>
          <w:szCs w:val="28"/>
          <w:lang w:eastAsia="en-US"/>
        </w:rPr>
        <w:t xml:space="preserve">. При цьому більш виражене зниження рівня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спостерігалося в осіб </w:t>
      </w:r>
      <w:r w:rsidRPr="00520861">
        <w:rPr>
          <w:rFonts w:eastAsiaTheme="minorHAnsi"/>
          <w:sz w:val="28"/>
          <w:szCs w:val="28"/>
          <w:lang w:eastAsia="en-US"/>
        </w:rPr>
        <w:t xml:space="preserve">підгрупи </w:t>
      </w:r>
      <w:r w:rsidRPr="00520861">
        <w:rPr>
          <w:rFonts w:eastAsia="Calibri"/>
          <w:sz w:val="28"/>
          <w:szCs w:val="28"/>
          <w:lang w:eastAsia="en-US"/>
        </w:rPr>
        <w:t xml:space="preserve">4 та прогресувало з віком. </w:t>
      </w:r>
    </w:p>
    <w:p w14:paraId="6149C615" w14:textId="77777777" w:rsidR="002E3CE8" w:rsidRPr="00520861" w:rsidRDefault="002E3CE8" w:rsidP="00292D2E">
      <w:pPr>
        <w:widowControl w:val="0"/>
        <w:spacing w:line="360" w:lineRule="auto"/>
        <w:ind w:firstLine="708"/>
        <w:jc w:val="both"/>
        <w:rPr>
          <w:rFonts w:eastAsia="Calibri"/>
          <w:spacing w:val="-4"/>
          <w:sz w:val="28"/>
          <w:szCs w:val="28"/>
          <w:lang w:eastAsia="en-US"/>
        </w:rPr>
      </w:pPr>
      <w:r w:rsidRPr="00520861">
        <w:rPr>
          <w:rFonts w:eastAsia="Calibri"/>
          <w:spacing w:val="-4"/>
          <w:sz w:val="28"/>
          <w:szCs w:val="28"/>
          <w:lang w:eastAsia="en-US"/>
        </w:rPr>
        <w:t xml:space="preserve">У старших ВП у </w:t>
      </w:r>
      <w:r w:rsidRPr="00520861">
        <w:rPr>
          <w:rFonts w:eastAsiaTheme="minorHAnsi"/>
          <w:spacing w:val="-4"/>
          <w:sz w:val="28"/>
          <w:szCs w:val="28"/>
          <w:lang w:eastAsia="en-US"/>
        </w:rPr>
        <w:t xml:space="preserve">підгрупах </w:t>
      </w:r>
      <w:r w:rsidRPr="00520861">
        <w:rPr>
          <w:rFonts w:eastAsia="Calibri"/>
          <w:spacing w:val="-4"/>
          <w:sz w:val="28"/>
          <w:szCs w:val="28"/>
          <w:lang w:eastAsia="en-US"/>
        </w:rPr>
        <w:t xml:space="preserve">1 та 2 рівень </w:t>
      </w:r>
      <w:proofErr w:type="spellStart"/>
      <w:r w:rsidRPr="00520861">
        <w:rPr>
          <w:rFonts w:eastAsia="Calibri"/>
          <w:spacing w:val="-4"/>
          <w:sz w:val="28"/>
          <w:szCs w:val="28"/>
          <w:lang w:eastAsia="en-US"/>
        </w:rPr>
        <w:t>адипонектину</w:t>
      </w:r>
      <w:proofErr w:type="spellEnd"/>
      <w:r w:rsidRPr="00520861">
        <w:rPr>
          <w:rFonts w:eastAsia="Calibri"/>
          <w:spacing w:val="-4"/>
          <w:sz w:val="28"/>
          <w:szCs w:val="28"/>
          <w:lang w:eastAsia="en-US"/>
        </w:rPr>
        <w:t xml:space="preserve"> вірогідно не відрізнявся від ГП, проте у </w:t>
      </w:r>
      <w:r w:rsidRPr="00520861">
        <w:rPr>
          <w:rFonts w:eastAsiaTheme="minorHAnsi"/>
          <w:spacing w:val="-4"/>
          <w:sz w:val="28"/>
          <w:szCs w:val="28"/>
          <w:lang w:eastAsia="en-US"/>
        </w:rPr>
        <w:t xml:space="preserve">підгрупі </w:t>
      </w:r>
      <w:r w:rsidRPr="00520861">
        <w:rPr>
          <w:rFonts w:eastAsia="Calibri"/>
          <w:spacing w:val="-4"/>
          <w:sz w:val="28"/>
          <w:szCs w:val="28"/>
          <w:lang w:eastAsia="en-US"/>
        </w:rPr>
        <w:t>2 його концентрація була найбільшою (рис. 6.6). Та за всі ВП разом концентрація цього білка в осіб підгрупи 2 виявилася вірогідно більшою ніж в ГП.</w:t>
      </w:r>
    </w:p>
    <w:p w14:paraId="6640F050"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Зафіксований в </w:t>
      </w:r>
      <w:r w:rsidRPr="00520861">
        <w:rPr>
          <w:rFonts w:eastAsiaTheme="minorHAnsi"/>
          <w:sz w:val="28"/>
          <w:szCs w:val="28"/>
          <w:lang w:eastAsia="en-US"/>
        </w:rPr>
        <w:t xml:space="preserve">підгрупах </w:t>
      </w:r>
      <w:r w:rsidRPr="00520861">
        <w:rPr>
          <w:rFonts w:eastAsia="Calibri"/>
          <w:sz w:val="28"/>
          <w:szCs w:val="28"/>
          <w:lang w:eastAsia="en-US"/>
        </w:rPr>
        <w:t xml:space="preserve">3 і 4 дисбаланс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можна розглядати як маркер наявного метаболічного запалення </w:t>
      </w:r>
      <w:r w:rsidRPr="00520861">
        <w:rPr>
          <w:rFonts w:eastAsia="Calibri"/>
          <w:sz w:val="28"/>
          <w:szCs w:val="28"/>
          <w:lang w:val="ru-RU" w:eastAsia="en-US"/>
        </w:rPr>
        <w:t>[31, 35]</w:t>
      </w:r>
      <w:r w:rsidRPr="00520861">
        <w:rPr>
          <w:rFonts w:eastAsia="Calibri"/>
          <w:sz w:val="28"/>
          <w:szCs w:val="28"/>
          <w:lang w:eastAsia="en-US"/>
        </w:rPr>
        <w:t xml:space="preserve">. Ми виявили, що в осіб цих підгруп спостерігалося значне зростання індексу співвідношення </w:t>
      </w:r>
      <w:proofErr w:type="spellStart"/>
      <w:r w:rsidRPr="00520861">
        <w:rPr>
          <w:rFonts w:eastAsia="Calibri"/>
          <w:sz w:val="28"/>
          <w:szCs w:val="28"/>
          <w:lang w:eastAsia="en-US"/>
        </w:rPr>
        <w:t>лептин</w:t>
      </w:r>
      <w:proofErr w:type="spellEnd"/>
      <w:r w:rsidRPr="00520861">
        <w:rPr>
          <w:rFonts w:eastAsia="Calibri"/>
          <w:sz w:val="28"/>
          <w:szCs w:val="28"/>
          <w:lang w:eastAsia="en-US"/>
        </w:rPr>
        <w:t>/</w:t>
      </w:r>
      <w:proofErr w:type="spellStart"/>
      <w:r w:rsidRPr="00520861">
        <w:rPr>
          <w:rFonts w:eastAsia="Calibri"/>
          <w:sz w:val="28"/>
          <w:szCs w:val="28"/>
          <w:lang w:eastAsia="en-US"/>
        </w:rPr>
        <w:t>адипонектин</w:t>
      </w:r>
      <w:proofErr w:type="spellEnd"/>
      <w:r w:rsidRPr="00520861">
        <w:rPr>
          <w:rFonts w:eastAsia="Calibri"/>
          <w:sz w:val="28"/>
          <w:szCs w:val="28"/>
          <w:lang w:eastAsia="en-US"/>
        </w:rPr>
        <w:t xml:space="preserve"> (рис. 6.7). Найбільш вираженим воно було в осіб </w:t>
      </w:r>
      <w:r w:rsidRPr="00520861">
        <w:rPr>
          <w:rFonts w:eastAsiaTheme="minorHAnsi"/>
          <w:sz w:val="28"/>
          <w:szCs w:val="28"/>
          <w:lang w:eastAsia="en-US"/>
        </w:rPr>
        <w:t xml:space="preserve">підгрупи </w:t>
      </w:r>
      <w:r w:rsidRPr="00520861">
        <w:rPr>
          <w:rFonts w:eastAsia="Calibri"/>
          <w:sz w:val="28"/>
          <w:szCs w:val="28"/>
          <w:lang w:eastAsia="en-US"/>
        </w:rPr>
        <w:t xml:space="preserve">4, що узгоджувалося з даними викладеного вище їхнього стоматологічного обстеження – у них було зафіксовано високу інтенсивність карієсу. </w:t>
      </w:r>
    </w:p>
    <w:p w14:paraId="64502159"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w:t>
      </w:r>
      <w:r w:rsidRPr="00520861">
        <w:rPr>
          <w:rFonts w:eastAsiaTheme="minorHAnsi"/>
          <w:sz w:val="28"/>
          <w:szCs w:val="28"/>
          <w:lang w:eastAsia="en-US"/>
        </w:rPr>
        <w:t xml:space="preserve">підгрупах </w:t>
      </w:r>
      <w:r w:rsidRPr="00520861">
        <w:rPr>
          <w:rFonts w:eastAsia="Calibri"/>
          <w:sz w:val="28"/>
          <w:szCs w:val="28"/>
          <w:lang w:eastAsia="en-US"/>
        </w:rPr>
        <w:t>1 та</w:t>
      </w:r>
      <w:r w:rsidRPr="00520861">
        <w:rPr>
          <w:rFonts w:eastAsiaTheme="minorHAnsi"/>
          <w:sz w:val="28"/>
          <w:szCs w:val="28"/>
          <w:lang w:eastAsia="en-US"/>
        </w:rPr>
        <w:t xml:space="preserve"> </w:t>
      </w:r>
      <w:r w:rsidRPr="00520861">
        <w:rPr>
          <w:rFonts w:eastAsia="Calibri"/>
          <w:sz w:val="28"/>
          <w:szCs w:val="28"/>
          <w:lang w:eastAsia="en-US"/>
        </w:rPr>
        <w:t xml:space="preserve">2 індекс </w:t>
      </w:r>
      <w:proofErr w:type="spellStart"/>
      <w:r w:rsidRPr="00520861">
        <w:rPr>
          <w:rFonts w:eastAsia="Calibri"/>
          <w:sz w:val="28"/>
          <w:szCs w:val="28"/>
          <w:lang w:eastAsia="en-US"/>
        </w:rPr>
        <w:t>лептин</w:t>
      </w:r>
      <w:proofErr w:type="spellEnd"/>
      <w:r w:rsidRPr="00520861">
        <w:rPr>
          <w:rFonts w:eastAsia="Calibri"/>
          <w:sz w:val="28"/>
          <w:szCs w:val="28"/>
          <w:lang w:eastAsia="en-US"/>
        </w:rPr>
        <w:t>/</w:t>
      </w:r>
      <w:proofErr w:type="spellStart"/>
      <w:r w:rsidRPr="00520861">
        <w:rPr>
          <w:rFonts w:eastAsia="Calibri"/>
          <w:sz w:val="28"/>
          <w:szCs w:val="28"/>
          <w:lang w:eastAsia="en-US"/>
        </w:rPr>
        <w:t>адипонектин</w:t>
      </w:r>
      <w:proofErr w:type="spellEnd"/>
      <w:r w:rsidRPr="00520861">
        <w:rPr>
          <w:rFonts w:eastAsia="Calibri"/>
          <w:sz w:val="28"/>
          <w:szCs w:val="28"/>
          <w:lang w:eastAsia="en-US"/>
        </w:rPr>
        <w:t xml:space="preserve"> в більшості випадків був зіставним із ГП (рис. 6.7), що може розглядатися як більш сприятливий прогноз щодо стану кісткової тканини, зокрема твердих тканин зубів [39]. </w:t>
      </w:r>
    </w:p>
    <w:p w14:paraId="711C4FEF" w14:textId="77777777" w:rsidR="002E3CE8" w:rsidRPr="00520861" w:rsidRDefault="00085EF0" w:rsidP="00292D2E">
      <w:pPr>
        <w:widowControl w:val="0"/>
        <w:spacing w:line="360" w:lineRule="auto"/>
        <w:jc w:val="center"/>
        <w:rPr>
          <w:rFonts w:eastAsia="Calibri"/>
          <w:sz w:val="28"/>
          <w:szCs w:val="28"/>
          <w:lang w:eastAsia="en-US"/>
        </w:rPr>
      </w:pPr>
      <w:r w:rsidRPr="00520861">
        <w:rPr>
          <w:noProof/>
          <w:sz w:val="28"/>
          <w:szCs w:val="28"/>
          <w:lang w:val="ru-RU"/>
        </w:rPr>
        <w:lastRenderedPageBreak/>
        <w:drawing>
          <wp:inline distT="0" distB="0" distL="0" distR="0" wp14:anchorId="59553BCF" wp14:editId="35E469EA">
            <wp:extent cx="4669200" cy="2340000"/>
            <wp:effectExtent l="0" t="0" r="0" b="3175"/>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05"/>
                    <a:stretch>
                      <a:fillRect/>
                    </a:stretch>
                  </pic:blipFill>
                  <pic:spPr>
                    <a:xfrm>
                      <a:off x="0" y="0"/>
                      <a:ext cx="4669200" cy="2340000"/>
                    </a:xfrm>
                    <a:prstGeom prst="rect">
                      <a:avLst/>
                    </a:prstGeom>
                  </pic:spPr>
                </pic:pic>
              </a:graphicData>
            </a:graphic>
          </wp:inline>
        </w:drawing>
      </w:r>
    </w:p>
    <w:p w14:paraId="663386A6" w14:textId="77777777" w:rsidR="002E3CE8" w:rsidRPr="00520861" w:rsidRDefault="002E3CE8"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6.5. Динаміка медіанних значень показників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в ротовій рідині.</w:t>
      </w:r>
    </w:p>
    <w:p w14:paraId="61C16DD6" w14:textId="77777777" w:rsidR="002E3CE8" w:rsidRPr="00520861" w:rsidRDefault="002E3CE8" w:rsidP="00292D2E">
      <w:pPr>
        <w:widowControl w:val="0"/>
        <w:spacing w:line="360" w:lineRule="auto"/>
        <w:jc w:val="center"/>
        <w:rPr>
          <w:rFonts w:eastAsia="Calibri"/>
          <w:sz w:val="28"/>
          <w:szCs w:val="28"/>
          <w:lang w:eastAsia="en-US"/>
        </w:rPr>
      </w:pPr>
    </w:p>
    <w:p w14:paraId="549F9B49" w14:textId="77777777" w:rsidR="002E3CE8" w:rsidRPr="00520861" w:rsidRDefault="00085EF0" w:rsidP="00292D2E">
      <w:pPr>
        <w:widowControl w:val="0"/>
        <w:spacing w:line="360" w:lineRule="auto"/>
        <w:jc w:val="center"/>
        <w:rPr>
          <w:rFonts w:eastAsia="Calibri"/>
          <w:sz w:val="28"/>
          <w:szCs w:val="28"/>
          <w:lang w:eastAsia="en-US"/>
        </w:rPr>
      </w:pPr>
      <w:r w:rsidRPr="00520861">
        <w:rPr>
          <w:noProof/>
          <w:sz w:val="28"/>
          <w:szCs w:val="28"/>
          <w:lang w:val="ru-RU"/>
        </w:rPr>
        <w:drawing>
          <wp:inline distT="0" distB="0" distL="0" distR="0" wp14:anchorId="16BFF733" wp14:editId="5D7B140D">
            <wp:extent cx="4669200" cy="2340000"/>
            <wp:effectExtent l="0" t="0" r="0" b="3175"/>
            <wp:docPr id="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a:blip r:embed="rId106"/>
                    <a:stretch>
                      <a:fillRect/>
                    </a:stretch>
                  </pic:blipFill>
                  <pic:spPr>
                    <a:xfrm>
                      <a:off x="0" y="0"/>
                      <a:ext cx="4669200" cy="2340000"/>
                    </a:xfrm>
                    <a:prstGeom prst="rect">
                      <a:avLst/>
                    </a:prstGeom>
                  </pic:spPr>
                </pic:pic>
              </a:graphicData>
            </a:graphic>
          </wp:inline>
        </w:drawing>
      </w:r>
    </w:p>
    <w:p w14:paraId="0A15129E" w14:textId="77777777" w:rsidR="002E3CE8" w:rsidRPr="00520861" w:rsidRDefault="002E3CE8" w:rsidP="00292D2E">
      <w:pPr>
        <w:widowControl w:val="0"/>
        <w:spacing w:line="360" w:lineRule="auto"/>
        <w:ind w:firstLine="708"/>
        <w:jc w:val="center"/>
        <w:rPr>
          <w:rFonts w:eastAsia="Calibri"/>
          <w:spacing w:val="-6"/>
          <w:sz w:val="28"/>
          <w:szCs w:val="28"/>
          <w:lang w:eastAsia="en-US"/>
        </w:rPr>
      </w:pPr>
      <w:r w:rsidRPr="00520861">
        <w:rPr>
          <w:rFonts w:eastAsia="Calibri"/>
          <w:spacing w:val="-6"/>
          <w:sz w:val="28"/>
          <w:szCs w:val="28"/>
          <w:lang w:eastAsia="en-US"/>
        </w:rPr>
        <w:t xml:space="preserve">Рис. 6.6. Динаміка медіанних значень показників </w:t>
      </w:r>
      <w:proofErr w:type="spellStart"/>
      <w:r w:rsidRPr="00520861">
        <w:rPr>
          <w:rFonts w:eastAsia="Calibri"/>
          <w:spacing w:val="-6"/>
          <w:sz w:val="28"/>
          <w:szCs w:val="28"/>
          <w:lang w:eastAsia="en-US"/>
        </w:rPr>
        <w:t>адипонектину</w:t>
      </w:r>
      <w:proofErr w:type="spellEnd"/>
      <w:r w:rsidRPr="00520861">
        <w:rPr>
          <w:rFonts w:eastAsia="Calibri"/>
          <w:spacing w:val="-6"/>
          <w:sz w:val="28"/>
          <w:szCs w:val="28"/>
          <w:lang w:eastAsia="en-US"/>
        </w:rPr>
        <w:t xml:space="preserve"> в ротовій рідині. </w:t>
      </w:r>
    </w:p>
    <w:p w14:paraId="6577FBBB" w14:textId="77777777" w:rsidR="002E3CE8" w:rsidRPr="00520861" w:rsidRDefault="002E3CE8" w:rsidP="00292D2E">
      <w:pPr>
        <w:widowControl w:val="0"/>
        <w:spacing w:line="360" w:lineRule="auto"/>
        <w:jc w:val="center"/>
        <w:rPr>
          <w:rFonts w:eastAsia="Calibri"/>
          <w:spacing w:val="-6"/>
          <w:sz w:val="28"/>
          <w:szCs w:val="28"/>
          <w:lang w:eastAsia="en-US"/>
        </w:rPr>
      </w:pPr>
    </w:p>
    <w:p w14:paraId="470127F3" w14:textId="77777777" w:rsidR="002E3CE8" w:rsidRPr="00520861" w:rsidRDefault="00085EF0" w:rsidP="00292D2E">
      <w:pPr>
        <w:widowControl w:val="0"/>
        <w:spacing w:line="360" w:lineRule="auto"/>
        <w:jc w:val="center"/>
        <w:rPr>
          <w:rFonts w:eastAsia="Calibri"/>
          <w:sz w:val="28"/>
          <w:szCs w:val="28"/>
          <w:lang w:eastAsia="en-US"/>
        </w:rPr>
      </w:pPr>
      <w:r w:rsidRPr="00520861">
        <w:rPr>
          <w:noProof/>
          <w:sz w:val="28"/>
          <w:szCs w:val="28"/>
          <w:lang w:val="ru-RU"/>
        </w:rPr>
        <w:drawing>
          <wp:inline distT="0" distB="0" distL="0" distR="0" wp14:anchorId="55BD1D39" wp14:editId="53170021">
            <wp:extent cx="4680000" cy="2340000"/>
            <wp:effectExtent l="0" t="0" r="6350" b="3175"/>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107"/>
                    <a:stretch>
                      <a:fillRect/>
                    </a:stretch>
                  </pic:blipFill>
                  <pic:spPr>
                    <a:xfrm>
                      <a:off x="0" y="0"/>
                      <a:ext cx="4680000" cy="2340000"/>
                    </a:xfrm>
                    <a:prstGeom prst="rect">
                      <a:avLst/>
                    </a:prstGeom>
                  </pic:spPr>
                </pic:pic>
              </a:graphicData>
            </a:graphic>
          </wp:inline>
        </w:drawing>
      </w:r>
    </w:p>
    <w:p w14:paraId="12666827" w14:textId="77777777" w:rsidR="002E3CE8" w:rsidRPr="00520861" w:rsidRDefault="002E3CE8"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6.7. Динаміка відношення медіанних значень показників </w:t>
      </w:r>
    </w:p>
    <w:p w14:paraId="7DB64F98" w14:textId="77777777" w:rsidR="002E3CE8" w:rsidRPr="00520861" w:rsidRDefault="002E3CE8" w:rsidP="00292D2E">
      <w:pPr>
        <w:widowControl w:val="0"/>
        <w:spacing w:line="360" w:lineRule="auto"/>
        <w:ind w:firstLine="708"/>
        <w:jc w:val="center"/>
        <w:rPr>
          <w:rFonts w:eastAsia="Calibri"/>
          <w:sz w:val="28"/>
          <w:szCs w:val="28"/>
          <w:lang w:eastAsia="en-US"/>
        </w:rPr>
      </w:pPr>
      <w:proofErr w:type="spellStart"/>
      <w:r w:rsidRPr="00520861">
        <w:rPr>
          <w:rFonts w:eastAsia="Calibri"/>
          <w:sz w:val="28"/>
          <w:szCs w:val="28"/>
          <w:lang w:eastAsia="en-US"/>
        </w:rPr>
        <w:t>лептину</w:t>
      </w:r>
      <w:proofErr w:type="spellEnd"/>
      <w:r w:rsidRPr="00520861">
        <w:rPr>
          <w:rFonts w:eastAsia="Calibri"/>
          <w:sz w:val="28"/>
          <w:szCs w:val="28"/>
          <w:lang w:eastAsia="en-US"/>
        </w:rPr>
        <w:t>/</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в ротовій рідині. </w:t>
      </w:r>
    </w:p>
    <w:p w14:paraId="56187999"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lastRenderedPageBreak/>
        <w:t xml:space="preserve">Наше припущення щодо формування метаболічного запалення в осіб </w:t>
      </w:r>
      <w:r w:rsidRPr="00520861">
        <w:rPr>
          <w:rFonts w:eastAsiaTheme="minorHAnsi"/>
          <w:sz w:val="28"/>
          <w:szCs w:val="28"/>
          <w:lang w:eastAsia="en-US"/>
        </w:rPr>
        <w:t xml:space="preserve">підгрупи </w:t>
      </w:r>
      <w:r w:rsidRPr="00520861">
        <w:rPr>
          <w:rFonts w:eastAsia="Calibri"/>
          <w:sz w:val="28"/>
          <w:szCs w:val="28"/>
          <w:lang w:eastAsia="en-US"/>
        </w:rPr>
        <w:t xml:space="preserve">3 та </w:t>
      </w:r>
      <w:r w:rsidRPr="00520861">
        <w:rPr>
          <w:rFonts w:eastAsiaTheme="minorHAnsi"/>
          <w:sz w:val="28"/>
          <w:szCs w:val="28"/>
          <w:lang w:eastAsia="en-US"/>
        </w:rPr>
        <w:t xml:space="preserve">підгрупи </w:t>
      </w:r>
      <w:r w:rsidRPr="00520861">
        <w:rPr>
          <w:rFonts w:eastAsia="Calibri"/>
          <w:sz w:val="28"/>
          <w:szCs w:val="28"/>
          <w:lang w:eastAsia="en-US"/>
        </w:rPr>
        <w:t xml:space="preserve">4 підтверджувалося також динамікою вмісту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яка в осіб цих підгруп у більшості ВП була вірогідно вищою за таку у ГП (табл. Б.1.24) та вміст </w:t>
      </w:r>
      <w:r w:rsidRPr="00520861">
        <w:rPr>
          <w:rFonts w:eastAsia="Calibri"/>
          <w:sz w:val="28"/>
          <w:szCs w:val="28"/>
          <w:lang w:eastAsia="en-US"/>
        </w:rPr>
        <w:br/>
        <w:t xml:space="preserve">збільшувався із віком (рис. 6.8). Особливо виражене зростання цього показника спостерігалося в осіб </w:t>
      </w:r>
      <w:r w:rsidRPr="00520861">
        <w:rPr>
          <w:rFonts w:eastAsiaTheme="minorHAnsi"/>
          <w:sz w:val="28"/>
          <w:szCs w:val="28"/>
          <w:lang w:eastAsia="en-US"/>
        </w:rPr>
        <w:t xml:space="preserve">підгрупи </w:t>
      </w:r>
      <w:r w:rsidRPr="00520861">
        <w:rPr>
          <w:rFonts w:eastAsia="Calibri"/>
          <w:sz w:val="28"/>
          <w:szCs w:val="28"/>
          <w:lang w:eastAsia="en-US"/>
        </w:rPr>
        <w:t xml:space="preserve">4, які первинно мали </w:t>
      </w:r>
      <w:proofErr w:type="spellStart"/>
      <w:r w:rsidRPr="00520861">
        <w:rPr>
          <w:rFonts w:eastAsia="Calibri"/>
          <w:sz w:val="28"/>
          <w:szCs w:val="28"/>
          <w:lang w:eastAsia="en-US"/>
        </w:rPr>
        <w:t>гіперкортизолемію</w:t>
      </w:r>
      <w:proofErr w:type="spellEnd"/>
      <w:r w:rsidRPr="00520861">
        <w:rPr>
          <w:rFonts w:eastAsia="Calibri"/>
          <w:sz w:val="28"/>
          <w:szCs w:val="28"/>
          <w:lang w:eastAsia="en-US"/>
        </w:rPr>
        <w:t>.</w:t>
      </w:r>
    </w:p>
    <w:p w14:paraId="03FDB455"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 учасників дослідження із </w:t>
      </w:r>
      <w:r w:rsidRPr="00520861">
        <w:rPr>
          <w:rFonts w:eastAsiaTheme="minorHAnsi"/>
          <w:sz w:val="28"/>
          <w:szCs w:val="28"/>
          <w:lang w:eastAsia="en-US"/>
        </w:rPr>
        <w:t xml:space="preserve">підгрупи </w:t>
      </w:r>
      <w:r w:rsidRPr="00520861">
        <w:rPr>
          <w:rFonts w:eastAsia="Calibri"/>
          <w:sz w:val="28"/>
          <w:szCs w:val="28"/>
          <w:lang w:eastAsia="en-US"/>
        </w:rPr>
        <w:t xml:space="preserve">2 не спостерігалося вірогідних змін рівня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в РР відносно значень у ГП (табл. Б.1.24). Хоча медіанні значення рівня </w:t>
      </w:r>
      <w:r w:rsidRPr="00520861">
        <w:rPr>
          <w:rFonts w:eastAsia="Calibri"/>
          <w:sz w:val="28"/>
          <w:szCs w:val="28"/>
          <w:lang w:eastAsia="en-US"/>
        </w:rPr>
        <w:br/>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в учасників </w:t>
      </w:r>
      <w:r w:rsidRPr="00520861">
        <w:rPr>
          <w:rFonts w:eastAsiaTheme="minorHAnsi"/>
          <w:sz w:val="28"/>
          <w:szCs w:val="28"/>
          <w:lang w:eastAsia="en-US"/>
        </w:rPr>
        <w:t xml:space="preserve">підгрупи </w:t>
      </w:r>
      <w:r w:rsidRPr="00520861">
        <w:rPr>
          <w:rFonts w:eastAsia="Calibri"/>
          <w:sz w:val="28"/>
          <w:szCs w:val="28"/>
          <w:lang w:eastAsia="en-US"/>
        </w:rPr>
        <w:t xml:space="preserve">1 за всі ВП разом (табл. Б.1.24) були вірогідно вищими за такі у ГП, у окремих ВП вони вірогідно не відрізнялися від контрольних. </w:t>
      </w:r>
    </w:p>
    <w:p w14:paraId="36FBDAE0"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Було виявлено зміни продукції інтерлейкіну-6 (рис. 6.9), рівень якого був вищім в осіб </w:t>
      </w:r>
      <w:r w:rsidRPr="00520861">
        <w:rPr>
          <w:rFonts w:eastAsiaTheme="minorHAnsi"/>
          <w:sz w:val="28"/>
          <w:szCs w:val="28"/>
          <w:lang w:eastAsia="en-US"/>
        </w:rPr>
        <w:t xml:space="preserve">підгрупи </w:t>
      </w:r>
      <w:r w:rsidRPr="00520861">
        <w:rPr>
          <w:rFonts w:eastAsia="Calibri"/>
          <w:sz w:val="28"/>
          <w:szCs w:val="28"/>
          <w:lang w:eastAsia="en-US"/>
        </w:rPr>
        <w:t xml:space="preserve">3 та </w:t>
      </w:r>
      <w:r w:rsidRPr="00520861">
        <w:rPr>
          <w:rFonts w:eastAsiaTheme="minorHAnsi"/>
          <w:sz w:val="28"/>
          <w:szCs w:val="28"/>
          <w:lang w:eastAsia="en-US"/>
        </w:rPr>
        <w:t xml:space="preserve">підгрупи </w:t>
      </w:r>
      <w:r w:rsidRPr="00520861">
        <w:rPr>
          <w:rFonts w:eastAsia="Calibri"/>
          <w:sz w:val="28"/>
          <w:szCs w:val="28"/>
          <w:lang w:eastAsia="en-US"/>
        </w:rPr>
        <w:t xml:space="preserve">4. Тенденція до цих змін простежувалася у всіх ВП внаслідок прогресування у таких осіб метаболічного запалення. В осіб підгрупи 1 ми не виявили суттєвих змін рівня ІЛ-6, а в осіб підгрупи 2 мала місце тенденція до зростання цього показника. Найбільші, проте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збільшені відносно ГП, </w:t>
      </w:r>
      <w:r w:rsidRPr="00520861">
        <w:rPr>
          <w:rFonts w:eastAsia="Calibri"/>
          <w:sz w:val="28"/>
          <w:szCs w:val="28"/>
          <w:lang w:eastAsia="en-US"/>
        </w:rPr>
        <w:br/>
        <w:t xml:space="preserve">показники ІЛ-6 в осіб підгрупи 2 спостерігалися у ВП-VІ ВП-VІІІ. </w:t>
      </w:r>
    </w:p>
    <w:p w14:paraId="77088D7A"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Мала місце суттєво зменшена активність α-амілази в РР дітей та підлітків ОГ (рис. 6.10). Вірогідне зниження активності α-амілази РР спостерігається в осіб із підгрупи 4 та, у більшості випадків, із підгрупи 3 в усіх вікових періодах (табл. Б.1.24).</w:t>
      </w:r>
    </w:p>
    <w:p w14:paraId="1E2873D0"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Наступним етапом наших досліджень було вивчення </w:t>
      </w:r>
      <w:proofErr w:type="spellStart"/>
      <w:r w:rsidRPr="00520861">
        <w:rPr>
          <w:rFonts w:eastAsia="Calibri"/>
          <w:sz w:val="28"/>
          <w:szCs w:val="28"/>
          <w:lang w:eastAsia="en-US"/>
        </w:rPr>
        <w:t>антиоксидантно-прооксидантної</w:t>
      </w:r>
      <w:proofErr w:type="spellEnd"/>
      <w:r w:rsidRPr="00520861">
        <w:rPr>
          <w:rFonts w:eastAsia="Calibri"/>
          <w:sz w:val="28"/>
          <w:szCs w:val="28"/>
          <w:lang w:eastAsia="en-US"/>
        </w:rPr>
        <w:t xml:space="preserve"> рівноваги (табл. Б.1.25). </w:t>
      </w:r>
    </w:p>
    <w:p w14:paraId="10EFBB05"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дітей ОГ у ВП-ІІІ (навіть у тих, чий ВУ розвиток ми оцінювали як гармонійний – підгрупа 1), спостерігаються високі значення ТБК-АП. Зафіксовано підвищення рівня ТБК-АП в усіх ВП, більш суттєве у підгрупах 2 – 4 (рис. 6.11). </w:t>
      </w:r>
    </w:p>
    <w:p w14:paraId="57E67B18"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В осіб підгруп 2 та 3 інтенсифікація ПОЛ і більш виражене збільшення вмісту ТБК-АП спостерігалося й у віці до 18 років. У старшому ВП найменші медіанні значення ТБК-АП серед осіб ОГ зафіксовані в осіб із підгрупи 1 (табл. Б.1.25).</w:t>
      </w:r>
    </w:p>
    <w:p w14:paraId="400D1E1D"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Мали місце зниження ферментних антиоксидантів, більш виражене у підгрупах 3 та 4, а також тенденція до зменшення рівня показників із віком (рис. 6.12, 6.13). </w:t>
      </w:r>
    </w:p>
    <w:p w14:paraId="52490292"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більшості осіб підгрупи 2 в молодому віці виражених змін активності СОД і каталази не спостерігалося (рис. 6.12, 6.13). </w:t>
      </w:r>
    </w:p>
    <w:p w14:paraId="55F4722E" w14:textId="77777777" w:rsidR="002E3CE8" w:rsidRPr="00520861" w:rsidRDefault="00085EF0" w:rsidP="00292D2E">
      <w:pPr>
        <w:widowControl w:val="0"/>
        <w:spacing w:line="360" w:lineRule="auto"/>
        <w:jc w:val="center"/>
        <w:rPr>
          <w:rFonts w:eastAsia="Calibri"/>
          <w:sz w:val="28"/>
          <w:szCs w:val="28"/>
          <w:lang w:eastAsia="en-US"/>
        </w:rPr>
      </w:pPr>
      <w:r w:rsidRPr="00520861">
        <w:rPr>
          <w:noProof/>
          <w:sz w:val="28"/>
          <w:szCs w:val="28"/>
          <w:lang w:val="ru-RU"/>
        </w:rPr>
        <w:lastRenderedPageBreak/>
        <w:drawing>
          <wp:inline distT="0" distB="0" distL="0" distR="0" wp14:anchorId="346CC576" wp14:editId="4BE000AE">
            <wp:extent cx="4669200" cy="2340000"/>
            <wp:effectExtent l="0" t="0" r="0" b="3175"/>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08"/>
                    <a:stretch>
                      <a:fillRect/>
                    </a:stretch>
                  </pic:blipFill>
                  <pic:spPr>
                    <a:xfrm>
                      <a:off x="0" y="0"/>
                      <a:ext cx="4669200" cy="2340000"/>
                    </a:xfrm>
                    <a:prstGeom prst="rect">
                      <a:avLst/>
                    </a:prstGeom>
                  </pic:spPr>
                </pic:pic>
              </a:graphicData>
            </a:graphic>
          </wp:inline>
        </w:drawing>
      </w:r>
    </w:p>
    <w:p w14:paraId="1DCD3211" w14:textId="77777777" w:rsidR="002E3CE8" w:rsidRPr="00520861" w:rsidRDefault="002E3CE8"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Рис.6.8. Динаміка медіанних значень показників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у ротовій рідині. </w:t>
      </w:r>
    </w:p>
    <w:p w14:paraId="64068A78" w14:textId="77777777" w:rsidR="002E3CE8" w:rsidRPr="00520861" w:rsidRDefault="002E3CE8" w:rsidP="00292D2E">
      <w:pPr>
        <w:widowControl w:val="0"/>
        <w:spacing w:line="360" w:lineRule="auto"/>
        <w:jc w:val="center"/>
        <w:rPr>
          <w:rFonts w:eastAsia="Calibri"/>
          <w:sz w:val="28"/>
          <w:szCs w:val="28"/>
          <w:lang w:eastAsia="en-US"/>
        </w:rPr>
      </w:pPr>
    </w:p>
    <w:p w14:paraId="69FB04B1" w14:textId="77777777" w:rsidR="002E3CE8" w:rsidRPr="00520861" w:rsidRDefault="00085EF0" w:rsidP="00292D2E">
      <w:pPr>
        <w:widowControl w:val="0"/>
        <w:spacing w:line="360" w:lineRule="auto"/>
        <w:jc w:val="center"/>
        <w:rPr>
          <w:rFonts w:eastAsia="Calibri"/>
          <w:sz w:val="28"/>
          <w:szCs w:val="28"/>
          <w:lang w:eastAsia="en-US"/>
        </w:rPr>
      </w:pPr>
      <w:r w:rsidRPr="00520861">
        <w:rPr>
          <w:noProof/>
          <w:sz w:val="28"/>
          <w:szCs w:val="28"/>
          <w:lang w:val="ru-RU"/>
        </w:rPr>
        <w:drawing>
          <wp:inline distT="0" distB="0" distL="0" distR="0" wp14:anchorId="6B86F19E" wp14:editId="32F03582">
            <wp:extent cx="4669200" cy="2340000"/>
            <wp:effectExtent l="0" t="0" r="0" b="3175"/>
            <wp:docPr id="1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a:blip r:embed="rId109"/>
                    <a:stretch>
                      <a:fillRect/>
                    </a:stretch>
                  </pic:blipFill>
                  <pic:spPr>
                    <a:xfrm>
                      <a:off x="0" y="0"/>
                      <a:ext cx="4669200" cy="2340000"/>
                    </a:xfrm>
                    <a:prstGeom prst="rect">
                      <a:avLst/>
                    </a:prstGeom>
                  </pic:spPr>
                </pic:pic>
              </a:graphicData>
            </a:graphic>
          </wp:inline>
        </w:drawing>
      </w:r>
    </w:p>
    <w:p w14:paraId="5DEFF81B" w14:textId="77777777" w:rsidR="002E3CE8" w:rsidRPr="00520861" w:rsidRDefault="002E3CE8"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Рис.6.9. Динаміка медіанних значень показників ІЛ 6 у ротовій рідині. </w:t>
      </w:r>
    </w:p>
    <w:p w14:paraId="5A0DFCAC" w14:textId="77777777" w:rsidR="002E3CE8" w:rsidRPr="00520861" w:rsidRDefault="002E3CE8" w:rsidP="00292D2E">
      <w:pPr>
        <w:widowControl w:val="0"/>
        <w:spacing w:line="360" w:lineRule="auto"/>
        <w:jc w:val="center"/>
        <w:rPr>
          <w:rFonts w:eastAsia="Calibri"/>
          <w:sz w:val="28"/>
          <w:szCs w:val="28"/>
          <w:lang w:eastAsia="en-US"/>
        </w:rPr>
      </w:pPr>
    </w:p>
    <w:p w14:paraId="65A33CA8" w14:textId="77777777" w:rsidR="002E3CE8" w:rsidRPr="00520861" w:rsidRDefault="00085EF0" w:rsidP="00292D2E">
      <w:pPr>
        <w:widowControl w:val="0"/>
        <w:spacing w:line="360" w:lineRule="auto"/>
        <w:jc w:val="center"/>
        <w:rPr>
          <w:rFonts w:eastAsia="Calibri"/>
          <w:sz w:val="28"/>
          <w:szCs w:val="28"/>
          <w:lang w:eastAsia="en-US"/>
        </w:rPr>
      </w:pPr>
      <w:r w:rsidRPr="00520861">
        <w:rPr>
          <w:noProof/>
          <w:sz w:val="28"/>
          <w:szCs w:val="28"/>
          <w:lang w:val="ru-RU"/>
        </w:rPr>
        <w:drawing>
          <wp:inline distT="0" distB="0" distL="0" distR="0" wp14:anchorId="4441807C" wp14:editId="1FEB0119">
            <wp:extent cx="4662000" cy="2340000"/>
            <wp:effectExtent l="0" t="0" r="5715" b="3175"/>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110"/>
                    <a:stretch>
                      <a:fillRect/>
                    </a:stretch>
                  </pic:blipFill>
                  <pic:spPr>
                    <a:xfrm>
                      <a:off x="0" y="0"/>
                      <a:ext cx="4662000" cy="2340000"/>
                    </a:xfrm>
                    <a:prstGeom prst="rect">
                      <a:avLst/>
                    </a:prstGeom>
                  </pic:spPr>
                </pic:pic>
              </a:graphicData>
            </a:graphic>
          </wp:inline>
        </w:drawing>
      </w:r>
    </w:p>
    <w:p w14:paraId="425AE1A2" w14:textId="77777777" w:rsidR="002E3CE8" w:rsidRPr="00520861" w:rsidRDefault="002E3CE8"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6.10. Динаміка медіанних значень показників  α-амілази в ротовій рідині. </w:t>
      </w:r>
    </w:p>
    <w:p w14:paraId="338ECD35" w14:textId="77777777" w:rsidR="002E3CE8" w:rsidRPr="00520861" w:rsidRDefault="00E53B21" w:rsidP="00292D2E">
      <w:pPr>
        <w:widowControl w:val="0"/>
        <w:tabs>
          <w:tab w:val="left" w:pos="5812"/>
        </w:tabs>
        <w:spacing w:line="360" w:lineRule="auto"/>
        <w:jc w:val="center"/>
        <w:rPr>
          <w:rFonts w:eastAsia="Calibri"/>
          <w:sz w:val="28"/>
          <w:szCs w:val="28"/>
          <w:lang w:eastAsia="en-US"/>
        </w:rPr>
      </w:pPr>
      <w:r w:rsidRPr="00520861">
        <w:rPr>
          <w:noProof/>
          <w:sz w:val="28"/>
          <w:szCs w:val="28"/>
          <w:lang w:val="ru-RU"/>
        </w:rPr>
        <w:lastRenderedPageBreak/>
        <w:drawing>
          <wp:inline distT="0" distB="0" distL="0" distR="0" wp14:anchorId="1595CCB7" wp14:editId="2EDB3789">
            <wp:extent cx="3916800" cy="2340000"/>
            <wp:effectExtent l="0" t="0" r="7620" b="3175"/>
            <wp:docPr id="1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111"/>
                    <a:stretch>
                      <a:fillRect/>
                    </a:stretch>
                  </pic:blipFill>
                  <pic:spPr>
                    <a:xfrm>
                      <a:off x="0" y="0"/>
                      <a:ext cx="3916800" cy="2340000"/>
                    </a:xfrm>
                    <a:prstGeom prst="rect">
                      <a:avLst/>
                    </a:prstGeom>
                  </pic:spPr>
                </pic:pic>
              </a:graphicData>
            </a:graphic>
          </wp:inline>
        </w:drawing>
      </w:r>
    </w:p>
    <w:p w14:paraId="08633D6E" w14:textId="77777777" w:rsidR="002E3CE8" w:rsidRPr="00520861" w:rsidRDefault="002E3CE8"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6.11. Динаміка медіанних значень показників ТБК-активних продуктів </w:t>
      </w:r>
    </w:p>
    <w:p w14:paraId="623849E6"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у ротовій рідині. </w:t>
      </w:r>
    </w:p>
    <w:p w14:paraId="2477EB73" w14:textId="77777777" w:rsidR="002E3CE8" w:rsidRPr="00520861" w:rsidRDefault="002E3CE8" w:rsidP="00292D2E">
      <w:pPr>
        <w:widowControl w:val="0"/>
        <w:spacing w:line="360" w:lineRule="auto"/>
        <w:jc w:val="center"/>
        <w:rPr>
          <w:rFonts w:eastAsia="Calibri"/>
          <w:sz w:val="28"/>
          <w:szCs w:val="28"/>
          <w:lang w:eastAsia="en-US"/>
        </w:rPr>
      </w:pPr>
    </w:p>
    <w:p w14:paraId="27906E06" w14:textId="77777777" w:rsidR="002E3CE8" w:rsidRPr="00520861" w:rsidRDefault="00E53B21" w:rsidP="00292D2E">
      <w:pPr>
        <w:widowControl w:val="0"/>
        <w:spacing w:line="360" w:lineRule="auto"/>
        <w:jc w:val="center"/>
        <w:rPr>
          <w:rFonts w:eastAsia="Calibri"/>
          <w:sz w:val="28"/>
          <w:szCs w:val="28"/>
          <w:lang w:val="ru-RU" w:eastAsia="en-US"/>
        </w:rPr>
      </w:pPr>
      <w:r w:rsidRPr="00520861">
        <w:rPr>
          <w:noProof/>
          <w:sz w:val="28"/>
          <w:szCs w:val="28"/>
          <w:lang w:val="ru-RU"/>
        </w:rPr>
        <w:drawing>
          <wp:inline distT="0" distB="0" distL="0" distR="0" wp14:anchorId="2AEE5F4F" wp14:editId="15CB19B1">
            <wp:extent cx="3945600" cy="2340000"/>
            <wp:effectExtent l="0" t="0" r="0" b="3175"/>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12"/>
                    <a:stretch>
                      <a:fillRect/>
                    </a:stretch>
                  </pic:blipFill>
                  <pic:spPr>
                    <a:xfrm>
                      <a:off x="0" y="0"/>
                      <a:ext cx="3945600" cy="2340000"/>
                    </a:xfrm>
                    <a:prstGeom prst="rect">
                      <a:avLst/>
                    </a:prstGeom>
                  </pic:spPr>
                </pic:pic>
              </a:graphicData>
            </a:graphic>
          </wp:inline>
        </w:drawing>
      </w:r>
    </w:p>
    <w:p w14:paraId="6AD9AE73" w14:textId="77777777" w:rsidR="002E3CE8" w:rsidRPr="00520861" w:rsidRDefault="002E3CE8" w:rsidP="00292D2E">
      <w:pPr>
        <w:widowControl w:val="0"/>
        <w:spacing w:line="360" w:lineRule="auto"/>
        <w:ind w:firstLine="708"/>
        <w:jc w:val="center"/>
        <w:rPr>
          <w:rFonts w:eastAsia="Calibri"/>
          <w:sz w:val="28"/>
          <w:szCs w:val="28"/>
          <w:lang w:eastAsia="en-US"/>
        </w:rPr>
      </w:pPr>
      <w:r w:rsidRPr="00520861">
        <w:rPr>
          <w:rFonts w:eastAsia="Calibri"/>
          <w:sz w:val="28"/>
          <w:szCs w:val="28"/>
          <w:lang w:eastAsia="en-US"/>
        </w:rPr>
        <w:t xml:space="preserve">Рис. 6.12. Динаміка медіанних значень показників СОД у ротовій рідині. </w:t>
      </w:r>
    </w:p>
    <w:p w14:paraId="3C065C8D" w14:textId="77777777" w:rsidR="002E3CE8" w:rsidRPr="00520861" w:rsidRDefault="002E3CE8" w:rsidP="00292D2E">
      <w:pPr>
        <w:widowControl w:val="0"/>
        <w:spacing w:line="360" w:lineRule="auto"/>
        <w:jc w:val="center"/>
        <w:rPr>
          <w:rFonts w:eastAsia="Calibri"/>
          <w:sz w:val="28"/>
          <w:szCs w:val="28"/>
          <w:lang w:eastAsia="en-US"/>
        </w:rPr>
      </w:pPr>
    </w:p>
    <w:p w14:paraId="5B1960EB" w14:textId="77777777" w:rsidR="002E3CE8" w:rsidRPr="00520861" w:rsidRDefault="00E53B21" w:rsidP="00292D2E">
      <w:pPr>
        <w:widowControl w:val="0"/>
        <w:spacing w:line="360" w:lineRule="auto"/>
        <w:jc w:val="center"/>
        <w:rPr>
          <w:rFonts w:eastAsia="Calibri"/>
          <w:sz w:val="28"/>
          <w:szCs w:val="28"/>
          <w:lang w:eastAsia="en-US"/>
        </w:rPr>
      </w:pPr>
      <w:r w:rsidRPr="00520861">
        <w:rPr>
          <w:noProof/>
          <w:sz w:val="28"/>
          <w:szCs w:val="28"/>
          <w:lang w:val="ru-RU"/>
        </w:rPr>
        <w:drawing>
          <wp:inline distT="0" distB="0" distL="0" distR="0" wp14:anchorId="2BA5536C" wp14:editId="007E31F3">
            <wp:extent cx="3927600" cy="2340000"/>
            <wp:effectExtent l="0" t="0" r="0" b="3175"/>
            <wp:docPr id="13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a:blip r:embed="rId113"/>
                    <a:stretch>
                      <a:fillRect/>
                    </a:stretch>
                  </pic:blipFill>
                  <pic:spPr>
                    <a:xfrm>
                      <a:off x="0" y="0"/>
                      <a:ext cx="3927600" cy="2340000"/>
                    </a:xfrm>
                    <a:prstGeom prst="rect">
                      <a:avLst/>
                    </a:prstGeom>
                  </pic:spPr>
                </pic:pic>
              </a:graphicData>
            </a:graphic>
          </wp:inline>
        </w:drawing>
      </w:r>
    </w:p>
    <w:p w14:paraId="77A7ED16" w14:textId="77777777" w:rsidR="002E3CE8" w:rsidRPr="00520861" w:rsidRDefault="002E3CE8"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Рис. 6.13. Динаміка медіанних значень показників каталази в ротовій рідині. </w:t>
      </w:r>
    </w:p>
    <w:p w14:paraId="003F5D68" w14:textId="77777777" w:rsidR="002E3CE8" w:rsidRPr="00520861" w:rsidRDefault="002E3CE8"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eastAsia="en-US"/>
        </w:rPr>
      </w:pPr>
      <w:r w:rsidRPr="00520861">
        <w:rPr>
          <w:rFonts w:eastAsia="Calibri"/>
          <w:sz w:val="28"/>
          <w:szCs w:val="28"/>
          <w:lang w:eastAsia="en-US"/>
        </w:rPr>
        <w:lastRenderedPageBreak/>
        <w:t xml:space="preserve">Розвиток каріозного процесу в осіб,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із різними МРП при народженні, взаємопов’язаний із динамікою біохімічних показників їх РР. </w:t>
      </w:r>
    </w:p>
    <w:p w14:paraId="19EF0E5D" w14:textId="77777777" w:rsidR="002E3CE8" w:rsidRPr="00520861" w:rsidRDefault="002E3CE8" w:rsidP="00292D2E">
      <w:pPr>
        <w:widowControl w:val="0"/>
        <w:spacing w:line="360" w:lineRule="auto"/>
        <w:ind w:firstLine="709"/>
        <w:rPr>
          <w:rFonts w:eastAsiaTheme="minorHAnsi"/>
          <w:b/>
          <w:sz w:val="28"/>
          <w:szCs w:val="28"/>
          <w:lang w:eastAsia="en-US"/>
        </w:rPr>
      </w:pPr>
    </w:p>
    <w:p w14:paraId="0306C661" w14:textId="77777777" w:rsidR="002E3CE8" w:rsidRPr="00520861" w:rsidRDefault="002E3CE8" w:rsidP="00292D2E">
      <w:pPr>
        <w:widowControl w:val="0"/>
        <w:spacing w:line="360" w:lineRule="auto"/>
        <w:ind w:firstLine="709"/>
        <w:jc w:val="both"/>
        <w:rPr>
          <w:rFonts w:eastAsia="Calibri"/>
          <w:b/>
          <w:bCs/>
          <w:sz w:val="28"/>
          <w:szCs w:val="28"/>
          <w:lang w:eastAsia="en-US"/>
        </w:rPr>
      </w:pPr>
      <w:r w:rsidRPr="00520861">
        <w:rPr>
          <w:rFonts w:eastAsiaTheme="minorHAnsi"/>
          <w:b/>
          <w:sz w:val="28"/>
          <w:szCs w:val="28"/>
          <w:lang w:eastAsia="en-US"/>
        </w:rPr>
        <w:t xml:space="preserve">6.6. Результати виявлення асоціації між поліморфізмом генів </w:t>
      </w:r>
      <w:r w:rsidRPr="00520861">
        <w:rPr>
          <w:rFonts w:eastAsiaTheme="minorHAnsi"/>
          <w:b/>
          <w:sz w:val="28"/>
          <w:szCs w:val="28"/>
          <w:lang w:eastAsia="en-US"/>
        </w:rPr>
        <w:br/>
      </w:r>
      <w:r w:rsidRPr="00520861">
        <w:rPr>
          <w:rFonts w:eastAsiaTheme="minorHAnsi"/>
          <w:b/>
          <w:i/>
          <w:sz w:val="28"/>
          <w:szCs w:val="28"/>
          <w:lang w:eastAsia="en-US"/>
        </w:rPr>
        <w:t>CYP19A1</w:t>
      </w:r>
      <w:r w:rsidRPr="00520861">
        <w:rPr>
          <w:rFonts w:eastAsiaTheme="minorHAnsi"/>
          <w:b/>
          <w:sz w:val="28"/>
          <w:szCs w:val="28"/>
          <w:lang w:eastAsia="en-US"/>
        </w:rPr>
        <w:t xml:space="preserve"> [rs2414096, rs936306], </w:t>
      </w:r>
      <w:r w:rsidRPr="00520861">
        <w:rPr>
          <w:rFonts w:eastAsiaTheme="minorHAnsi"/>
          <w:b/>
          <w:i/>
          <w:sz w:val="28"/>
          <w:szCs w:val="28"/>
          <w:lang w:eastAsia="en-US"/>
        </w:rPr>
        <w:t>ESR1</w:t>
      </w:r>
      <w:r w:rsidRPr="00520861">
        <w:rPr>
          <w:rFonts w:eastAsiaTheme="minorHAnsi"/>
          <w:b/>
          <w:sz w:val="28"/>
          <w:szCs w:val="28"/>
          <w:lang w:eastAsia="en-US"/>
        </w:rPr>
        <w:t xml:space="preserve">[rs2234693, rs9340799], </w:t>
      </w:r>
      <w:r w:rsidRPr="00520861">
        <w:rPr>
          <w:rFonts w:eastAsiaTheme="minorHAnsi"/>
          <w:b/>
          <w:i/>
          <w:sz w:val="28"/>
          <w:szCs w:val="28"/>
          <w:lang w:eastAsia="en-US"/>
        </w:rPr>
        <w:t>RANKL</w:t>
      </w:r>
      <w:r w:rsidRPr="00520861">
        <w:rPr>
          <w:rFonts w:eastAsiaTheme="minorHAnsi"/>
          <w:b/>
          <w:sz w:val="28"/>
          <w:szCs w:val="28"/>
          <w:lang w:eastAsia="en-US"/>
        </w:rPr>
        <w:t xml:space="preserve"> [rs9594738, rs9594759], </w:t>
      </w:r>
      <w:r w:rsidRPr="00520861">
        <w:rPr>
          <w:rFonts w:eastAsiaTheme="minorHAnsi"/>
          <w:b/>
          <w:i/>
          <w:sz w:val="28"/>
          <w:szCs w:val="28"/>
          <w:lang w:eastAsia="en-US"/>
        </w:rPr>
        <w:t>IL6</w:t>
      </w:r>
      <w:r w:rsidRPr="00520861">
        <w:rPr>
          <w:rFonts w:eastAsiaTheme="minorHAnsi"/>
          <w:b/>
          <w:sz w:val="28"/>
          <w:szCs w:val="28"/>
          <w:lang w:eastAsia="en-US"/>
        </w:rPr>
        <w:t xml:space="preserve"> [rs1800796], </w:t>
      </w:r>
      <w:r w:rsidRPr="00520861">
        <w:rPr>
          <w:rFonts w:eastAsiaTheme="minorHAnsi"/>
          <w:b/>
          <w:i/>
          <w:sz w:val="28"/>
          <w:szCs w:val="28"/>
          <w:lang w:eastAsia="en-US"/>
        </w:rPr>
        <w:t>IL1</w:t>
      </w:r>
      <w:r w:rsidRPr="00520861">
        <w:rPr>
          <w:rFonts w:eastAsiaTheme="minorHAnsi"/>
          <w:b/>
          <w:i/>
          <w:sz w:val="28"/>
          <w:szCs w:val="28"/>
          <w:lang w:eastAsia="en-US"/>
        </w:rPr>
        <w:sym w:font="Symbol" w:char="F062"/>
      </w:r>
      <w:r w:rsidRPr="00520861">
        <w:rPr>
          <w:rFonts w:eastAsiaTheme="minorHAnsi"/>
          <w:b/>
          <w:sz w:val="28"/>
          <w:szCs w:val="28"/>
          <w:lang w:eastAsia="en-US"/>
        </w:rPr>
        <w:t xml:space="preserve"> [rs1143627] і </w:t>
      </w:r>
      <w:r w:rsidRPr="00520861">
        <w:rPr>
          <w:rFonts w:eastAsiaTheme="minorHAnsi"/>
          <w:b/>
          <w:i/>
          <w:sz w:val="28"/>
          <w:szCs w:val="28"/>
          <w:lang w:eastAsia="en-US"/>
        </w:rPr>
        <w:t>IL10</w:t>
      </w:r>
      <w:r w:rsidRPr="00520861">
        <w:rPr>
          <w:rFonts w:eastAsiaTheme="minorHAnsi"/>
          <w:b/>
          <w:sz w:val="28"/>
          <w:szCs w:val="28"/>
          <w:lang w:eastAsia="en-US"/>
        </w:rPr>
        <w:t xml:space="preserve"> [rs1800896] та ризиком </w:t>
      </w:r>
      <w:r w:rsidRPr="00520861">
        <w:rPr>
          <w:rFonts w:eastAsiaTheme="minorHAnsi"/>
          <w:b/>
          <w:sz w:val="28"/>
          <w:szCs w:val="28"/>
          <w:lang w:eastAsia="en-US"/>
        </w:rPr>
        <w:br/>
        <w:t xml:space="preserve">розвитку раннього дитячого карієсу в осіб, які народилися </w:t>
      </w:r>
      <w:proofErr w:type="spellStart"/>
      <w:r w:rsidRPr="00520861">
        <w:rPr>
          <w:rFonts w:eastAsiaTheme="minorHAnsi"/>
          <w:b/>
          <w:sz w:val="28"/>
          <w:szCs w:val="28"/>
          <w:lang w:eastAsia="en-US"/>
        </w:rPr>
        <w:t>макросомами</w:t>
      </w:r>
      <w:proofErr w:type="spellEnd"/>
    </w:p>
    <w:p w14:paraId="35F528C0" w14:textId="77777777" w:rsidR="002E3CE8" w:rsidRPr="00520861" w:rsidRDefault="002E3CE8" w:rsidP="00292D2E">
      <w:pPr>
        <w:widowControl w:val="0"/>
        <w:spacing w:line="360" w:lineRule="auto"/>
        <w:ind w:left="709" w:firstLine="567"/>
        <w:rPr>
          <w:rFonts w:eastAsiaTheme="minorHAnsi"/>
          <w:b/>
          <w:sz w:val="28"/>
          <w:szCs w:val="28"/>
          <w:lang w:eastAsia="en-US"/>
        </w:rPr>
      </w:pPr>
    </w:p>
    <w:p w14:paraId="19290B8D"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bCs/>
          <w:sz w:val="28"/>
          <w:szCs w:val="28"/>
          <w:lang w:eastAsia="en-US"/>
        </w:rPr>
        <w:t>Визначені кількісні та процентні р</w:t>
      </w:r>
      <w:r w:rsidRPr="00520861">
        <w:rPr>
          <w:rFonts w:eastAsia="Calibri"/>
          <w:sz w:val="28"/>
          <w:szCs w:val="28"/>
          <w:lang w:eastAsia="en-US"/>
        </w:rPr>
        <w:t>озподіли</w:t>
      </w:r>
      <w:r w:rsidRPr="00520861">
        <w:rPr>
          <w:rFonts w:eastAsia="Calibri"/>
          <w:bCs/>
          <w:sz w:val="28"/>
          <w:szCs w:val="28"/>
          <w:lang w:eastAsia="en-US"/>
        </w:rPr>
        <w:t xml:space="preserve"> </w:t>
      </w:r>
      <w:r w:rsidRPr="00520861">
        <w:rPr>
          <w:rFonts w:eastAsia="Calibri"/>
          <w:sz w:val="28"/>
          <w:szCs w:val="28"/>
          <w:lang w:eastAsia="en-US"/>
        </w:rPr>
        <w:t xml:space="preserve">генотипів за обраними для </w:t>
      </w:r>
      <w:r w:rsidRPr="00520861">
        <w:rPr>
          <w:rFonts w:eastAsia="Calibri"/>
          <w:sz w:val="28"/>
          <w:szCs w:val="28"/>
          <w:lang w:eastAsia="en-US"/>
        </w:rPr>
        <w:br/>
        <w:t>дослідження генами</w:t>
      </w:r>
      <w:r w:rsidRPr="00520861">
        <w:rPr>
          <w:rFonts w:eastAsia="Calibri"/>
          <w:bCs/>
          <w:sz w:val="28"/>
          <w:szCs w:val="28"/>
          <w:lang w:eastAsia="en-US"/>
        </w:rPr>
        <w:t xml:space="preserve"> (</w:t>
      </w:r>
      <w:r w:rsidRPr="00520861">
        <w:rPr>
          <w:rFonts w:eastAsia="Calibri"/>
          <w:sz w:val="28"/>
          <w:szCs w:val="28"/>
          <w:lang w:eastAsia="en-US"/>
        </w:rPr>
        <w:t xml:space="preserve">табл. Б.1.26) </w:t>
      </w:r>
      <w:r w:rsidRPr="00520861">
        <w:rPr>
          <w:rFonts w:eastAsia="Calibri"/>
          <w:bCs/>
          <w:sz w:val="28"/>
          <w:szCs w:val="28"/>
          <w:lang w:eastAsia="en-US"/>
        </w:rPr>
        <w:t xml:space="preserve">в осіб основної групи із раннім дитячим карієсом (ОГ РДК) та двох груп порівняння – </w:t>
      </w:r>
      <w:proofErr w:type="spellStart"/>
      <w:r w:rsidRPr="00520861">
        <w:rPr>
          <w:rFonts w:eastAsia="Calibri"/>
          <w:bCs/>
          <w:sz w:val="28"/>
          <w:szCs w:val="28"/>
          <w:lang w:eastAsia="en-US"/>
        </w:rPr>
        <w:t>макросоми</w:t>
      </w:r>
      <w:proofErr w:type="spellEnd"/>
      <w:r w:rsidRPr="00520861">
        <w:rPr>
          <w:rFonts w:eastAsia="Calibri"/>
          <w:bCs/>
          <w:sz w:val="28"/>
          <w:szCs w:val="28"/>
          <w:lang w:eastAsia="en-US"/>
        </w:rPr>
        <w:t xml:space="preserve"> без карієсу (ГП-1) та </w:t>
      </w:r>
      <w:proofErr w:type="spellStart"/>
      <w:r w:rsidRPr="00520861">
        <w:rPr>
          <w:rFonts w:eastAsia="Calibri"/>
          <w:bCs/>
          <w:sz w:val="28"/>
          <w:szCs w:val="28"/>
          <w:lang w:eastAsia="en-US"/>
        </w:rPr>
        <w:t>нормосоми</w:t>
      </w:r>
      <w:proofErr w:type="spellEnd"/>
      <w:r w:rsidRPr="00520861">
        <w:rPr>
          <w:rFonts w:eastAsia="Calibri"/>
          <w:bCs/>
          <w:sz w:val="28"/>
          <w:szCs w:val="28"/>
          <w:lang w:eastAsia="en-US"/>
        </w:rPr>
        <w:t xml:space="preserve"> без карієсу (ГП-2). </w:t>
      </w:r>
    </w:p>
    <w:p w14:paraId="56ACECF3" w14:textId="77777777" w:rsidR="002E3CE8" w:rsidRPr="00520861" w:rsidRDefault="002E3CE8"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 об’єднаній </w:t>
      </w:r>
      <w:r w:rsidRPr="00520861">
        <w:rPr>
          <w:rFonts w:eastAsia="Calibri"/>
          <w:bCs/>
          <w:sz w:val="28"/>
          <w:szCs w:val="28"/>
          <w:lang w:eastAsia="en-US"/>
        </w:rPr>
        <w:t xml:space="preserve">групі учасників </w:t>
      </w:r>
      <w:r w:rsidRPr="00520861">
        <w:rPr>
          <w:rFonts w:eastAsia="Calibri"/>
          <w:sz w:val="28"/>
          <w:szCs w:val="28"/>
          <w:lang w:eastAsia="en-US"/>
        </w:rPr>
        <w:t xml:space="preserve">ці розподіли </w:t>
      </w:r>
      <w:r w:rsidRPr="00520861">
        <w:rPr>
          <w:rFonts w:eastAsia="Calibri"/>
          <w:bCs/>
          <w:sz w:val="28"/>
          <w:szCs w:val="28"/>
          <w:lang w:eastAsia="en-US"/>
        </w:rPr>
        <w:t xml:space="preserve">відповідали закону </w:t>
      </w:r>
      <w:proofErr w:type="spellStart"/>
      <w:r w:rsidRPr="00520861">
        <w:rPr>
          <w:rFonts w:eastAsia="Calibri"/>
          <w:bCs/>
          <w:sz w:val="28"/>
          <w:szCs w:val="28"/>
          <w:lang w:eastAsia="en-US"/>
        </w:rPr>
        <w:t>Харді-Вайнберга</w:t>
      </w:r>
      <w:proofErr w:type="spellEnd"/>
      <w:r w:rsidRPr="00520861">
        <w:rPr>
          <w:rFonts w:eastAsia="Calibri"/>
          <w:bCs/>
          <w:sz w:val="28"/>
          <w:szCs w:val="28"/>
          <w:lang w:eastAsia="en-US"/>
        </w:rPr>
        <w:t xml:space="preserve"> із імовірністю </w:t>
      </w:r>
      <w:r w:rsidR="00E82B0F" w:rsidRPr="00520861">
        <w:rPr>
          <w:rFonts w:eastAsia="Calibri"/>
          <w:sz w:val="28"/>
          <w:szCs w:val="28"/>
          <w:lang w:eastAsia="en-US"/>
        </w:rPr>
        <w:t>похибки</w:t>
      </w:r>
      <w:r w:rsidRPr="00520861">
        <w:rPr>
          <w:rFonts w:eastAsia="Calibri"/>
          <w:bCs/>
          <w:sz w:val="28"/>
          <w:szCs w:val="28"/>
          <w:lang w:eastAsia="en-US"/>
        </w:rPr>
        <w:t xml:space="preserve"> </w:t>
      </w:r>
      <w:r w:rsidRPr="00520861">
        <w:rPr>
          <w:rFonts w:eastAsia="Calibri"/>
          <w:bCs/>
          <w:i/>
          <w:sz w:val="28"/>
          <w:szCs w:val="28"/>
          <w:lang w:eastAsia="en-US"/>
        </w:rPr>
        <w:t>p</w:t>
      </w:r>
      <w:r w:rsidR="00FF6C32" w:rsidRPr="00520861">
        <w:rPr>
          <w:rFonts w:eastAsia="Calibri"/>
          <w:sz w:val="28"/>
          <w:szCs w:val="28"/>
          <w:lang w:eastAsia="en-US"/>
        </w:rPr>
        <w:t>&lt;</w:t>
      </w:r>
      <w:r w:rsidRPr="00520861">
        <w:rPr>
          <w:rFonts w:eastAsia="Calibri"/>
          <w:bCs/>
          <w:sz w:val="28"/>
          <w:szCs w:val="28"/>
          <w:lang w:eastAsia="en-US"/>
        </w:rPr>
        <w:t>0,05.</w:t>
      </w:r>
    </w:p>
    <w:p w14:paraId="430B001E" w14:textId="77777777" w:rsidR="002E3CE8" w:rsidRPr="00520861" w:rsidRDefault="002E3CE8" w:rsidP="00292D2E">
      <w:pPr>
        <w:widowControl w:val="0"/>
        <w:spacing w:line="360" w:lineRule="auto"/>
        <w:ind w:firstLine="708"/>
        <w:jc w:val="both"/>
        <w:rPr>
          <w:rFonts w:eastAsiaTheme="minorHAnsi"/>
          <w:spacing w:val="-4"/>
          <w:sz w:val="28"/>
          <w:szCs w:val="28"/>
          <w:lang w:eastAsia="en-US"/>
        </w:rPr>
      </w:pPr>
      <w:r w:rsidRPr="00520861">
        <w:rPr>
          <w:rFonts w:eastAsiaTheme="minorHAnsi"/>
          <w:spacing w:val="-4"/>
          <w:sz w:val="28"/>
          <w:szCs w:val="28"/>
          <w:lang w:eastAsia="en-US"/>
        </w:rPr>
        <w:t>Аналіз генотипів поліморфного варіанта гена</w:t>
      </w:r>
      <w:r w:rsidRPr="00520861">
        <w:rPr>
          <w:rFonts w:eastAsia="Calibri"/>
          <w:i/>
          <w:spacing w:val="-4"/>
          <w:sz w:val="28"/>
          <w:szCs w:val="28"/>
          <w:lang w:eastAsia="en-US"/>
        </w:rPr>
        <w:t xml:space="preserve"> CYP19A1: A&gt;G</w:t>
      </w:r>
      <w:r w:rsidRPr="00520861">
        <w:rPr>
          <w:rFonts w:eastAsia="Calibri"/>
          <w:spacing w:val="-4"/>
          <w:sz w:val="28"/>
          <w:szCs w:val="28"/>
          <w:lang w:eastAsia="en-US"/>
        </w:rPr>
        <w:t xml:space="preserve"> [rs2414096] </w:t>
      </w:r>
      <w:r w:rsidRPr="00520861">
        <w:rPr>
          <w:rFonts w:eastAsiaTheme="minorHAnsi"/>
          <w:spacing w:val="-4"/>
          <w:sz w:val="28"/>
          <w:szCs w:val="28"/>
          <w:lang w:eastAsia="en-US"/>
        </w:rPr>
        <w:t>виявив, що генотип GG в осіб ОГ РДК зустрічається у 2,3 рази частіше, ніж в осіб ГП-1+ГП-2 (37,3% проти 16,3%), в 1,96 разів частіше в осіб ОГ РДК проти осіб ГП-1 (37,3% проти 19%) та в 4,3 рази частіше в осіб ОГ</w:t>
      </w:r>
      <w:r w:rsidR="0012082A" w:rsidRPr="00520861">
        <w:rPr>
          <w:rFonts w:eastAsiaTheme="minorHAnsi"/>
          <w:spacing w:val="-4"/>
          <w:sz w:val="28"/>
          <w:szCs w:val="28"/>
          <w:lang w:eastAsia="en-US"/>
        </w:rPr>
        <w:t xml:space="preserve"> </w:t>
      </w:r>
      <w:r w:rsidRPr="00520861">
        <w:rPr>
          <w:rFonts w:eastAsiaTheme="minorHAnsi"/>
          <w:spacing w:val="-4"/>
          <w:sz w:val="28"/>
          <w:szCs w:val="28"/>
          <w:lang w:eastAsia="en-US"/>
        </w:rPr>
        <w:t xml:space="preserve">РДК проти осіб ГП-1 (37,3% проти 8%). </w:t>
      </w:r>
    </w:p>
    <w:p w14:paraId="18105093" w14:textId="77777777" w:rsidR="002E3CE8" w:rsidRPr="00520861" w:rsidRDefault="002E3CE8" w:rsidP="00292D2E">
      <w:pPr>
        <w:widowControl w:val="0"/>
        <w:spacing w:line="360" w:lineRule="auto"/>
        <w:ind w:firstLine="709"/>
        <w:jc w:val="both"/>
        <w:rPr>
          <w:rFonts w:eastAsiaTheme="minorHAnsi"/>
          <w:spacing w:val="-2"/>
          <w:sz w:val="28"/>
          <w:szCs w:val="28"/>
          <w:lang w:eastAsia="en-US"/>
        </w:rPr>
      </w:pPr>
      <w:r w:rsidRPr="00520861">
        <w:rPr>
          <w:rFonts w:eastAsiaTheme="minorHAnsi"/>
          <w:spacing w:val="-2"/>
          <w:sz w:val="28"/>
          <w:szCs w:val="28"/>
          <w:lang w:eastAsia="en-US"/>
        </w:rPr>
        <w:t xml:space="preserve">Виявлені значущі відмінності частот </w:t>
      </w:r>
      <w:r w:rsidRPr="00520861">
        <w:rPr>
          <w:rFonts w:eastAsia="Calibri"/>
          <w:spacing w:val="-2"/>
          <w:sz w:val="28"/>
          <w:szCs w:val="28"/>
          <w:lang w:eastAsia="en-US"/>
        </w:rPr>
        <w:t xml:space="preserve">розподілу генотипів за геном </w:t>
      </w:r>
      <w:proofErr w:type="spellStart"/>
      <w:r w:rsidRPr="00520861">
        <w:rPr>
          <w:rFonts w:eastAsia="Calibri"/>
          <w:spacing w:val="-2"/>
          <w:sz w:val="28"/>
          <w:szCs w:val="28"/>
          <w:lang w:eastAsia="en-US"/>
        </w:rPr>
        <w:t>ароматази</w:t>
      </w:r>
      <w:proofErr w:type="spellEnd"/>
      <w:r w:rsidRPr="00520861">
        <w:rPr>
          <w:rFonts w:eastAsia="Calibri"/>
          <w:spacing w:val="-2"/>
          <w:sz w:val="28"/>
          <w:szCs w:val="28"/>
          <w:lang w:eastAsia="en-US"/>
        </w:rPr>
        <w:t xml:space="preserve"> між особами ГП-1 і ГП-2</w:t>
      </w:r>
      <w:r w:rsidRPr="00520861">
        <w:rPr>
          <w:rFonts w:eastAsiaTheme="minorHAnsi"/>
          <w:spacing w:val="-2"/>
          <w:sz w:val="28"/>
          <w:szCs w:val="28"/>
          <w:lang w:eastAsia="en-US"/>
        </w:rPr>
        <w:t xml:space="preserve"> (табл. 6.8)</w:t>
      </w:r>
      <w:r w:rsidRPr="00520861">
        <w:rPr>
          <w:rFonts w:eastAsia="Calibri"/>
          <w:spacing w:val="-2"/>
          <w:sz w:val="28"/>
          <w:szCs w:val="28"/>
          <w:lang w:eastAsia="en-US"/>
        </w:rPr>
        <w:t xml:space="preserve">, а також між особами </w:t>
      </w:r>
      <w:r w:rsidRPr="00520861">
        <w:rPr>
          <w:rFonts w:eastAsiaTheme="minorHAnsi"/>
          <w:spacing w:val="-2"/>
          <w:sz w:val="28"/>
          <w:szCs w:val="28"/>
          <w:lang w:eastAsia="en-US"/>
        </w:rPr>
        <w:t>ОГ РДК і ГП-1 (</w:t>
      </w:r>
      <w:r w:rsidRPr="00520861">
        <w:rPr>
          <w:rFonts w:eastAsia="Calibri"/>
          <w:spacing w:val="-2"/>
          <w:sz w:val="28"/>
          <w:szCs w:val="28"/>
          <w:lang w:eastAsia="en-US"/>
        </w:rPr>
        <w:t xml:space="preserve">табл. </w:t>
      </w:r>
      <w:r w:rsidRPr="00520861">
        <w:rPr>
          <w:rFonts w:eastAsiaTheme="minorHAnsi"/>
          <w:spacing w:val="-2"/>
          <w:sz w:val="28"/>
          <w:szCs w:val="28"/>
          <w:lang w:eastAsia="en-US"/>
        </w:rPr>
        <w:t xml:space="preserve">6.9). </w:t>
      </w:r>
    </w:p>
    <w:p w14:paraId="44EFCA6E"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Аналіз генотипів варіанту вищеназваного гена показав, що співвідношення </w:t>
      </w:r>
      <w:r w:rsidRPr="00520861">
        <w:rPr>
          <w:rFonts w:eastAsiaTheme="minorHAnsi"/>
          <w:sz w:val="28"/>
          <w:szCs w:val="28"/>
          <w:lang w:eastAsia="en-US"/>
        </w:rPr>
        <w:br/>
        <w:t xml:space="preserve">частот виявлення генотипів AA або GA до частот виявлення GG значимо відрізняється в осіб ОГ РДК проти осіб із ГП-1+ГП-2 – </w:t>
      </w:r>
      <w:r w:rsidRPr="00520861">
        <w:rPr>
          <w:sz w:val="28"/>
          <w:szCs w:val="28"/>
        </w:rPr>
        <w:sym w:font="Symbol" w:char="F063"/>
      </w:r>
      <w:r w:rsidRPr="00520861">
        <w:rPr>
          <w:sz w:val="28"/>
          <w:szCs w:val="28"/>
          <w:vertAlign w:val="superscript"/>
        </w:rPr>
        <w:t>2</w:t>
      </w:r>
      <w:r w:rsidRPr="00520861">
        <w:rPr>
          <w:sz w:val="28"/>
          <w:szCs w:val="28"/>
        </w:rPr>
        <w:t xml:space="preserve"> =9,07 </w:t>
      </w:r>
      <w:r w:rsidRPr="00520861">
        <w:rPr>
          <w:rFonts w:eastAsiaTheme="minorHAnsi"/>
          <w:sz w:val="28"/>
          <w:szCs w:val="28"/>
          <w:lang w:eastAsia="en-US"/>
        </w:rPr>
        <w:t>(</w:t>
      </w:r>
      <w:r w:rsidRPr="00520861">
        <w:rPr>
          <w:rFonts w:eastAsiaTheme="minorHAnsi"/>
          <w:i/>
          <w:sz w:val="28"/>
          <w:szCs w:val="28"/>
          <w:lang w:eastAsia="en-US"/>
        </w:rPr>
        <w:t>р</w:t>
      </w:r>
      <w:r w:rsidRPr="00520861">
        <w:rPr>
          <w:rFonts w:eastAsiaTheme="minorHAnsi"/>
          <w:sz w:val="28"/>
          <w:szCs w:val="28"/>
          <w:lang w:eastAsia="en-US"/>
        </w:rPr>
        <w:t xml:space="preserve">=0,03), в осіб ОГРДК проти ГП-1 – </w:t>
      </w:r>
      <w:r w:rsidRPr="00520861">
        <w:rPr>
          <w:sz w:val="28"/>
          <w:szCs w:val="28"/>
        </w:rPr>
        <w:sym w:font="Symbol" w:char="F063"/>
      </w:r>
      <w:r w:rsidRPr="00520861">
        <w:rPr>
          <w:sz w:val="28"/>
          <w:szCs w:val="28"/>
          <w:vertAlign w:val="superscript"/>
        </w:rPr>
        <w:t>2</w:t>
      </w:r>
      <w:r w:rsidRPr="00520861">
        <w:rPr>
          <w:sz w:val="28"/>
          <w:szCs w:val="28"/>
        </w:rPr>
        <w:t xml:space="preserve"> =5,765 </w:t>
      </w:r>
      <w:r w:rsidRPr="00520861">
        <w:rPr>
          <w:rFonts w:eastAsiaTheme="minorHAnsi"/>
          <w:sz w:val="28"/>
          <w:szCs w:val="28"/>
          <w:lang w:eastAsia="en-US"/>
        </w:rPr>
        <w:t>(</w:t>
      </w:r>
      <w:r w:rsidRPr="00520861">
        <w:rPr>
          <w:rFonts w:eastAsiaTheme="minorHAnsi"/>
          <w:i/>
          <w:sz w:val="28"/>
          <w:szCs w:val="28"/>
          <w:lang w:eastAsia="en-US"/>
        </w:rPr>
        <w:t>р</w:t>
      </w:r>
      <w:r w:rsidRPr="00520861">
        <w:rPr>
          <w:rFonts w:eastAsiaTheme="minorHAnsi"/>
          <w:sz w:val="28"/>
          <w:szCs w:val="28"/>
          <w:lang w:eastAsia="en-US"/>
        </w:rPr>
        <w:t xml:space="preserve">=0,016), а також в осіб ОГ РДК проти ГП-2 – </w:t>
      </w:r>
      <w:r w:rsidRPr="00520861">
        <w:rPr>
          <w:sz w:val="28"/>
          <w:szCs w:val="28"/>
        </w:rPr>
        <w:sym w:font="Symbol" w:char="F063"/>
      </w:r>
      <w:r w:rsidRPr="00520861">
        <w:rPr>
          <w:sz w:val="28"/>
          <w:szCs w:val="28"/>
          <w:vertAlign w:val="superscript"/>
        </w:rPr>
        <w:t>2</w:t>
      </w:r>
      <w:r w:rsidRPr="00520861">
        <w:rPr>
          <w:sz w:val="28"/>
          <w:szCs w:val="28"/>
        </w:rPr>
        <w:t xml:space="preserve"> =7,381 </w:t>
      </w:r>
      <w:r w:rsidRPr="00520861">
        <w:rPr>
          <w:rFonts w:eastAsiaTheme="minorHAnsi"/>
          <w:sz w:val="28"/>
          <w:szCs w:val="28"/>
          <w:lang w:eastAsia="en-US"/>
        </w:rPr>
        <w:t>(</w:t>
      </w:r>
      <w:r w:rsidRPr="00520861">
        <w:rPr>
          <w:rFonts w:eastAsiaTheme="minorHAnsi"/>
          <w:i/>
          <w:sz w:val="28"/>
          <w:szCs w:val="28"/>
          <w:lang w:eastAsia="en-US"/>
        </w:rPr>
        <w:t>р</w:t>
      </w:r>
      <w:r w:rsidRPr="00520861">
        <w:rPr>
          <w:rFonts w:eastAsiaTheme="minorHAnsi"/>
          <w:sz w:val="28"/>
          <w:szCs w:val="28"/>
          <w:lang w:eastAsia="en-US"/>
        </w:rPr>
        <w:t xml:space="preserve">=0,007). </w:t>
      </w:r>
    </w:p>
    <w:p w14:paraId="3E35AC30"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В осіб із карієсом частіше зустрічається генотип GG </w:t>
      </w:r>
      <w:r w:rsidRPr="00520861">
        <w:rPr>
          <w:rFonts w:eastAsia="Calibri"/>
          <w:sz w:val="28"/>
          <w:szCs w:val="28"/>
          <w:lang w:eastAsia="en-US"/>
        </w:rPr>
        <w:t xml:space="preserve">гену </w:t>
      </w:r>
      <w:r w:rsidRPr="00520861">
        <w:rPr>
          <w:rFonts w:eastAsia="Calibri"/>
          <w:i/>
          <w:sz w:val="28"/>
          <w:szCs w:val="28"/>
          <w:lang w:eastAsia="en-US"/>
        </w:rPr>
        <w:t>CYP19A1: A&gt;G</w:t>
      </w:r>
      <w:r w:rsidRPr="00520861">
        <w:rPr>
          <w:rFonts w:eastAsia="Calibri"/>
          <w:sz w:val="28"/>
          <w:szCs w:val="28"/>
          <w:lang w:eastAsia="en-US"/>
        </w:rPr>
        <w:t xml:space="preserve"> [rs2414096].</w:t>
      </w:r>
      <w:r w:rsidRPr="00520861">
        <w:rPr>
          <w:rFonts w:eastAsiaTheme="minorHAnsi"/>
          <w:sz w:val="28"/>
          <w:szCs w:val="28"/>
          <w:lang w:eastAsia="en-US"/>
        </w:rPr>
        <w:t xml:space="preserve"> </w:t>
      </w:r>
    </w:p>
    <w:p w14:paraId="2C1B7931" w14:textId="77777777" w:rsidR="002E3CE8" w:rsidRPr="00520861" w:rsidRDefault="002E3CE8" w:rsidP="00292D2E">
      <w:pPr>
        <w:widowControl w:val="0"/>
        <w:spacing w:line="360" w:lineRule="auto"/>
        <w:ind w:firstLine="708"/>
        <w:jc w:val="both"/>
        <w:rPr>
          <w:rFonts w:eastAsiaTheme="minorHAnsi"/>
          <w:sz w:val="28"/>
          <w:szCs w:val="28"/>
          <w:lang w:eastAsia="en-US"/>
        </w:rPr>
      </w:pPr>
      <w:r w:rsidRPr="00520861">
        <w:rPr>
          <w:rFonts w:eastAsiaTheme="minorHAnsi"/>
          <w:sz w:val="28"/>
          <w:szCs w:val="28"/>
          <w:lang w:eastAsia="en-US"/>
        </w:rPr>
        <w:t xml:space="preserve">Відношення шансів розвитку РДК у таких осіб становить 3,04 при порівнянні осіб із груп ОГ РДК та об’єднаної групи ГП-1+ГП-2, 2,58 при порівнянні осіб із груп ОГ РДК та ГП-1 і 6,84 – для осіб із груп ОГ РДК та ГП-2. </w:t>
      </w:r>
    </w:p>
    <w:p w14:paraId="350518C7" w14:textId="77777777" w:rsidR="002E3CE8" w:rsidRPr="00520861" w:rsidRDefault="002E3CE8" w:rsidP="00292D2E">
      <w:pPr>
        <w:widowControl w:val="0"/>
        <w:spacing w:line="360" w:lineRule="auto"/>
        <w:contextualSpacing/>
        <w:jc w:val="right"/>
        <w:rPr>
          <w:rFonts w:eastAsia="Calibri"/>
          <w:i/>
          <w:sz w:val="28"/>
          <w:szCs w:val="28"/>
          <w:lang w:eastAsia="en-US"/>
        </w:rPr>
      </w:pPr>
    </w:p>
    <w:p w14:paraId="1F946B2D" w14:textId="77777777" w:rsidR="002E3CE8" w:rsidRPr="00520861" w:rsidRDefault="002E3CE8"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lastRenderedPageBreak/>
        <w:t>Таблиця 6.8</w:t>
      </w:r>
    </w:p>
    <w:p w14:paraId="1BE071DF" w14:textId="77777777" w:rsidR="002E3CE8" w:rsidRPr="00520861" w:rsidRDefault="002E3CE8"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Порівняння частот розподілу генотипів за геном </w:t>
      </w:r>
      <w:r w:rsidRPr="00520861">
        <w:rPr>
          <w:rFonts w:eastAsia="Calibri"/>
          <w:b/>
          <w:i/>
          <w:sz w:val="28"/>
          <w:szCs w:val="28"/>
          <w:lang w:eastAsia="en-US"/>
        </w:rPr>
        <w:t>CYP19A1: A&gt;G</w:t>
      </w:r>
      <w:r w:rsidRPr="00520861">
        <w:rPr>
          <w:rFonts w:eastAsia="Calibri"/>
          <w:b/>
          <w:sz w:val="28"/>
          <w:szCs w:val="28"/>
          <w:lang w:eastAsia="en-US"/>
        </w:rPr>
        <w:t xml:space="preserve"> [rs2414096] між </w:t>
      </w:r>
    </w:p>
    <w:p w14:paraId="0C7D274C" w14:textId="77777777" w:rsidR="002E3CE8" w:rsidRPr="00520861" w:rsidRDefault="002E3CE8" w:rsidP="00292D2E">
      <w:pPr>
        <w:widowControl w:val="0"/>
        <w:spacing w:line="360" w:lineRule="auto"/>
        <w:jc w:val="center"/>
        <w:rPr>
          <w:rFonts w:eastAsia="Calibri"/>
          <w:b/>
          <w:sz w:val="28"/>
          <w:szCs w:val="28"/>
          <w:lang w:eastAsia="en-US"/>
        </w:rPr>
      </w:pPr>
      <w:r w:rsidRPr="00520861">
        <w:rPr>
          <w:rFonts w:eastAsia="Calibri"/>
          <w:b/>
          <w:sz w:val="28"/>
          <w:szCs w:val="28"/>
          <w:lang w:eastAsia="en-US"/>
        </w:rPr>
        <w:t>ГП-1 і ГП-2</w:t>
      </w:r>
    </w:p>
    <w:tbl>
      <w:tblPr>
        <w:tblStyle w:val="250"/>
        <w:tblW w:w="9794" w:type="dxa"/>
        <w:jc w:val="center"/>
        <w:tblLook w:val="04A0" w:firstRow="1" w:lastRow="0" w:firstColumn="1" w:lastColumn="0" w:noHBand="0" w:noVBand="1"/>
      </w:tblPr>
      <w:tblGrid>
        <w:gridCol w:w="1838"/>
        <w:gridCol w:w="1642"/>
        <w:gridCol w:w="1676"/>
        <w:gridCol w:w="1360"/>
        <w:gridCol w:w="2268"/>
        <w:gridCol w:w="985"/>
        <w:gridCol w:w="25"/>
      </w:tblGrid>
      <w:tr w:rsidR="002E3CE8" w:rsidRPr="00520861" w14:paraId="58B27DF7" w14:textId="77777777" w:rsidTr="00292D2E">
        <w:trPr>
          <w:jc w:val="center"/>
        </w:trPr>
        <w:tc>
          <w:tcPr>
            <w:tcW w:w="1838" w:type="dxa"/>
            <w:vMerge w:val="restart"/>
            <w:tcBorders>
              <w:top w:val="single" w:sz="4" w:space="0" w:color="auto"/>
              <w:left w:val="single" w:sz="4" w:space="0" w:color="auto"/>
              <w:bottom w:val="single" w:sz="4" w:space="0" w:color="auto"/>
              <w:right w:val="single" w:sz="4" w:space="0" w:color="auto"/>
            </w:tcBorders>
            <w:hideMark/>
          </w:tcPr>
          <w:p w14:paraId="38593353" w14:textId="77777777" w:rsidR="002E3CE8" w:rsidRPr="00520861" w:rsidRDefault="002E3CE8" w:rsidP="00292D2E">
            <w:pPr>
              <w:widowControl w:val="0"/>
              <w:spacing w:line="360" w:lineRule="auto"/>
              <w:jc w:val="center"/>
              <w:rPr>
                <w:rFonts w:eastAsiaTheme="minorHAnsi" w:cs="Times New Roman"/>
                <w:sz w:val="28"/>
                <w:szCs w:val="28"/>
              </w:rPr>
            </w:pPr>
          </w:p>
          <w:p w14:paraId="5112D12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Ген</w:t>
            </w:r>
          </w:p>
        </w:tc>
        <w:tc>
          <w:tcPr>
            <w:tcW w:w="1642" w:type="dxa"/>
            <w:vMerge w:val="restart"/>
            <w:tcBorders>
              <w:top w:val="single" w:sz="4" w:space="0" w:color="auto"/>
              <w:left w:val="single" w:sz="4" w:space="0" w:color="auto"/>
              <w:bottom w:val="single" w:sz="4" w:space="0" w:color="auto"/>
              <w:right w:val="single" w:sz="4" w:space="0" w:color="auto"/>
            </w:tcBorders>
            <w:hideMark/>
          </w:tcPr>
          <w:p w14:paraId="59EE31AF" w14:textId="77777777" w:rsidR="002E3CE8" w:rsidRPr="00520861" w:rsidRDefault="002E3CE8" w:rsidP="00292D2E">
            <w:pPr>
              <w:widowControl w:val="0"/>
              <w:spacing w:line="360" w:lineRule="auto"/>
              <w:jc w:val="center"/>
              <w:rPr>
                <w:rFonts w:eastAsiaTheme="minorHAnsi" w:cs="Times New Roman"/>
                <w:sz w:val="28"/>
                <w:szCs w:val="28"/>
              </w:rPr>
            </w:pPr>
          </w:p>
          <w:p w14:paraId="21F4FE16"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Генотип</w:t>
            </w:r>
          </w:p>
        </w:tc>
        <w:tc>
          <w:tcPr>
            <w:tcW w:w="6314" w:type="dxa"/>
            <w:gridSpan w:val="5"/>
            <w:tcBorders>
              <w:top w:val="single" w:sz="4" w:space="0" w:color="auto"/>
              <w:left w:val="single" w:sz="4" w:space="0" w:color="auto"/>
              <w:bottom w:val="single" w:sz="4" w:space="0" w:color="auto"/>
              <w:right w:val="single" w:sz="4" w:space="0" w:color="auto"/>
            </w:tcBorders>
            <w:hideMark/>
          </w:tcPr>
          <w:p w14:paraId="4EC460F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 xml:space="preserve">Результати </w:t>
            </w:r>
          </w:p>
          <w:p w14:paraId="5EC8CECD"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статистичного аналізу</w:t>
            </w:r>
          </w:p>
        </w:tc>
      </w:tr>
      <w:tr w:rsidR="002E3CE8" w:rsidRPr="00520861" w14:paraId="213A9413" w14:textId="77777777" w:rsidTr="00292D2E">
        <w:trPr>
          <w:gridAfter w:val="1"/>
          <w:wAfter w:w="25" w:type="dxa"/>
          <w:jc w:val="center"/>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5297515C" w14:textId="77777777" w:rsidR="002E3CE8" w:rsidRPr="00520861" w:rsidRDefault="002E3CE8" w:rsidP="00292D2E">
            <w:pPr>
              <w:widowControl w:val="0"/>
              <w:spacing w:line="360" w:lineRule="auto"/>
              <w:rPr>
                <w:rFonts w:eastAsiaTheme="minorHAnsi" w:cs="Times New Roman"/>
                <w:sz w:val="28"/>
                <w:szCs w:val="28"/>
              </w:rPr>
            </w:pPr>
          </w:p>
        </w:tc>
        <w:tc>
          <w:tcPr>
            <w:tcW w:w="1642" w:type="dxa"/>
            <w:vMerge/>
            <w:tcBorders>
              <w:top w:val="single" w:sz="4" w:space="0" w:color="auto"/>
              <w:left w:val="single" w:sz="4" w:space="0" w:color="auto"/>
              <w:bottom w:val="single" w:sz="4" w:space="0" w:color="auto"/>
              <w:right w:val="single" w:sz="4" w:space="0" w:color="auto"/>
            </w:tcBorders>
            <w:vAlign w:val="center"/>
            <w:hideMark/>
          </w:tcPr>
          <w:p w14:paraId="12190E17" w14:textId="77777777" w:rsidR="002E3CE8" w:rsidRPr="00520861" w:rsidRDefault="002E3CE8" w:rsidP="00292D2E">
            <w:pPr>
              <w:widowControl w:val="0"/>
              <w:spacing w:line="360" w:lineRule="auto"/>
              <w:rPr>
                <w:rFonts w:eastAsiaTheme="minorHAnsi" w:cs="Times New Roman"/>
                <w:sz w:val="28"/>
                <w:szCs w:val="28"/>
              </w:rPr>
            </w:pPr>
          </w:p>
        </w:tc>
        <w:tc>
          <w:tcPr>
            <w:tcW w:w="1676" w:type="dxa"/>
            <w:tcBorders>
              <w:top w:val="single" w:sz="4" w:space="0" w:color="auto"/>
              <w:left w:val="single" w:sz="4" w:space="0" w:color="auto"/>
              <w:bottom w:val="single" w:sz="4" w:space="0" w:color="auto"/>
              <w:right w:val="single" w:sz="4" w:space="0" w:color="auto"/>
            </w:tcBorders>
            <w:hideMark/>
          </w:tcPr>
          <w:p w14:paraId="663E4FC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sym w:font="Symbol" w:char="F063"/>
            </w:r>
            <w:r w:rsidRPr="00520861">
              <w:rPr>
                <w:rFonts w:eastAsiaTheme="minorHAnsi" w:cs="Times New Roman"/>
                <w:sz w:val="28"/>
                <w:szCs w:val="28"/>
                <w:vertAlign w:val="superscript"/>
              </w:rPr>
              <w:t>2</w:t>
            </w:r>
            <w:r w:rsidRPr="00520861">
              <w:rPr>
                <w:rFonts w:eastAsiaTheme="minorHAnsi" w:cs="Times New Roman"/>
                <w:sz w:val="28"/>
                <w:szCs w:val="28"/>
              </w:rPr>
              <w:t xml:space="preserve"> </w:t>
            </w:r>
          </w:p>
          <w:p w14:paraId="7F86C9A6"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w:t>
            </w:r>
            <w:proofErr w:type="spellStart"/>
            <w:r w:rsidRPr="00520861">
              <w:rPr>
                <w:rFonts w:eastAsiaTheme="minorHAnsi" w:cs="Times New Roman"/>
                <w:sz w:val="28"/>
                <w:szCs w:val="28"/>
              </w:rPr>
              <w:t>Йєтс</w:t>
            </w:r>
            <w:proofErr w:type="spellEnd"/>
            <w:r w:rsidRPr="00520861">
              <w:rPr>
                <w:rFonts w:eastAsiaTheme="minorHAnsi" w:cs="Times New Roman"/>
                <w:sz w:val="28"/>
                <w:szCs w:val="28"/>
              </w:rPr>
              <w:t>)</w:t>
            </w:r>
          </w:p>
        </w:tc>
        <w:tc>
          <w:tcPr>
            <w:tcW w:w="1360" w:type="dxa"/>
            <w:tcBorders>
              <w:top w:val="single" w:sz="4" w:space="0" w:color="auto"/>
              <w:left w:val="single" w:sz="4" w:space="0" w:color="auto"/>
              <w:bottom w:val="single" w:sz="4" w:space="0" w:color="auto"/>
              <w:right w:val="single" w:sz="4" w:space="0" w:color="auto"/>
            </w:tcBorders>
            <w:hideMark/>
          </w:tcPr>
          <w:p w14:paraId="70F2CF0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ВШ</w:t>
            </w:r>
          </w:p>
        </w:tc>
        <w:tc>
          <w:tcPr>
            <w:tcW w:w="2268" w:type="dxa"/>
            <w:tcBorders>
              <w:top w:val="single" w:sz="4" w:space="0" w:color="auto"/>
              <w:left w:val="single" w:sz="4" w:space="0" w:color="auto"/>
              <w:bottom w:val="single" w:sz="4" w:space="0" w:color="auto"/>
              <w:right w:val="single" w:sz="4" w:space="0" w:color="auto"/>
            </w:tcBorders>
            <w:hideMark/>
          </w:tcPr>
          <w:p w14:paraId="2DFD24C6"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95% ДІ</w:t>
            </w:r>
          </w:p>
        </w:tc>
        <w:tc>
          <w:tcPr>
            <w:tcW w:w="985" w:type="dxa"/>
            <w:tcBorders>
              <w:top w:val="single" w:sz="4" w:space="0" w:color="auto"/>
              <w:left w:val="single" w:sz="4" w:space="0" w:color="auto"/>
              <w:bottom w:val="single" w:sz="4" w:space="0" w:color="auto"/>
              <w:right w:val="single" w:sz="4" w:space="0" w:color="auto"/>
            </w:tcBorders>
            <w:hideMark/>
          </w:tcPr>
          <w:p w14:paraId="637882B0" w14:textId="77777777" w:rsidR="002E3CE8" w:rsidRPr="00520861" w:rsidRDefault="002E3CE8" w:rsidP="00292D2E">
            <w:pPr>
              <w:widowControl w:val="0"/>
              <w:spacing w:line="360" w:lineRule="auto"/>
              <w:jc w:val="center"/>
              <w:rPr>
                <w:rFonts w:eastAsiaTheme="minorHAnsi" w:cs="Times New Roman"/>
                <w:i/>
                <w:sz w:val="28"/>
                <w:szCs w:val="28"/>
              </w:rPr>
            </w:pPr>
            <w:r w:rsidRPr="00520861">
              <w:rPr>
                <w:rFonts w:eastAsiaTheme="minorHAnsi" w:cs="Times New Roman"/>
                <w:i/>
                <w:sz w:val="28"/>
                <w:szCs w:val="28"/>
              </w:rPr>
              <w:t>P</w:t>
            </w:r>
          </w:p>
        </w:tc>
      </w:tr>
      <w:tr w:rsidR="002E3CE8" w:rsidRPr="00520861" w14:paraId="7544FDE0" w14:textId="77777777" w:rsidTr="00292D2E">
        <w:trPr>
          <w:jc w:val="center"/>
        </w:trPr>
        <w:tc>
          <w:tcPr>
            <w:tcW w:w="1838" w:type="dxa"/>
            <w:vMerge w:val="restart"/>
            <w:tcBorders>
              <w:top w:val="single" w:sz="4" w:space="0" w:color="auto"/>
              <w:left w:val="single" w:sz="4" w:space="0" w:color="auto"/>
              <w:right w:val="single" w:sz="4" w:space="0" w:color="auto"/>
            </w:tcBorders>
          </w:tcPr>
          <w:p w14:paraId="5F4F5339"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i/>
                <w:sz w:val="28"/>
                <w:szCs w:val="28"/>
              </w:rPr>
              <w:t>CYP19A1: A&gt;G</w:t>
            </w:r>
            <w:r w:rsidRPr="00520861">
              <w:rPr>
                <w:rFonts w:eastAsiaTheme="minorHAnsi" w:cs="Times New Roman"/>
                <w:sz w:val="28"/>
                <w:szCs w:val="28"/>
              </w:rPr>
              <w:t xml:space="preserve"> [rs2414096]</w:t>
            </w:r>
          </w:p>
        </w:tc>
        <w:tc>
          <w:tcPr>
            <w:tcW w:w="7956" w:type="dxa"/>
            <w:gridSpan w:val="6"/>
            <w:tcBorders>
              <w:top w:val="single" w:sz="4" w:space="0" w:color="auto"/>
              <w:left w:val="single" w:sz="4" w:space="0" w:color="auto"/>
              <w:bottom w:val="single" w:sz="4" w:space="0" w:color="auto"/>
              <w:right w:val="single" w:sz="4" w:space="0" w:color="auto"/>
            </w:tcBorders>
          </w:tcPr>
          <w:p w14:paraId="0138A600"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Адитивна модель</w:t>
            </w:r>
          </w:p>
        </w:tc>
      </w:tr>
      <w:tr w:rsidR="002E3CE8" w:rsidRPr="00520861" w14:paraId="057A737D" w14:textId="77777777" w:rsidTr="00292D2E">
        <w:trPr>
          <w:gridAfter w:val="1"/>
          <w:wAfter w:w="25" w:type="dxa"/>
          <w:jc w:val="center"/>
        </w:trPr>
        <w:tc>
          <w:tcPr>
            <w:tcW w:w="1838" w:type="dxa"/>
            <w:vMerge/>
            <w:tcBorders>
              <w:left w:val="single" w:sz="4" w:space="0" w:color="auto"/>
              <w:right w:val="single" w:sz="4" w:space="0" w:color="auto"/>
            </w:tcBorders>
            <w:hideMark/>
          </w:tcPr>
          <w:p w14:paraId="72CC7D33" w14:textId="77777777" w:rsidR="002E3CE8" w:rsidRPr="00520861" w:rsidRDefault="002E3CE8" w:rsidP="00292D2E">
            <w:pPr>
              <w:widowControl w:val="0"/>
              <w:spacing w:line="360" w:lineRule="auto"/>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hideMark/>
          </w:tcPr>
          <w:p w14:paraId="29EBF87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AA</w:t>
            </w:r>
          </w:p>
          <w:p w14:paraId="5CA73568"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AG</w:t>
            </w:r>
          </w:p>
          <w:p w14:paraId="15B8CAA0"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GG</w:t>
            </w:r>
          </w:p>
        </w:tc>
        <w:tc>
          <w:tcPr>
            <w:tcW w:w="1676" w:type="dxa"/>
            <w:tcBorders>
              <w:top w:val="single" w:sz="4" w:space="0" w:color="auto"/>
              <w:left w:val="single" w:sz="4" w:space="0" w:color="auto"/>
              <w:bottom w:val="single" w:sz="4" w:space="0" w:color="auto"/>
              <w:right w:val="single" w:sz="4" w:space="0" w:color="auto"/>
            </w:tcBorders>
            <w:hideMark/>
          </w:tcPr>
          <w:p w14:paraId="6D42088E"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4,209</w:t>
            </w:r>
          </w:p>
        </w:tc>
        <w:tc>
          <w:tcPr>
            <w:tcW w:w="1360" w:type="dxa"/>
            <w:tcBorders>
              <w:top w:val="single" w:sz="4" w:space="0" w:color="auto"/>
              <w:left w:val="single" w:sz="4" w:space="0" w:color="auto"/>
              <w:bottom w:val="single" w:sz="4" w:space="0" w:color="auto"/>
              <w:right w:val="single" w:sz="4" w:space="0" w:color="auto"/>
            </w:tcBorders>
            <w:hideMark/>
          </w:tcPr>
          <w:p w14:paraId="194F24C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0,337</w:t>
            </w:r>
          </w:p>
          <w:p w14:paraId="0C429D1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1,722</w:t>
            </w:r>
          </w:p>
          <w:p w14:paraId="7290668C"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2,654</w:t>
            </w:r>
          </w:p>
        </w:tc>
        <w:tc>
          <w:tcPr>
            <w:tcW w:w="2268" w:type="dxa"/>
            <w:tcBorders>
              <w:top w:val="single" w:sz="4" w:space="0" w:color="auto"/>
              <w:left w:val="single" w:sz="4" w:space="0" w:color="auto"/>
              <w:bottom w:val="single" w:sz="4" w:space="0" w:color="auto"/>
              <w:right w:val="single" w:sz="4" w:space="0" w:color="auto"/>
            </w:tcBorders>
            <w:hideMark/>
          </w:tcPr>
          <w:p w14:paraId="28BAECBE"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0,132-0,863</w:t>
            </w:r>
          </w:p>
          <w:p w14:paraId="2618ED7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0,696-4,259</w:t>
            </w:r>
          </w:p>
          <w:p w14:paraId="2559FFA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0,563-12,506</w:t>
            </w:r>
          </w:p>
        </w:tc>
        <w:tc>
          <w:tcPr>
            <w:tcW w:w="985" w:type="dxa"/>
            <w:tcBorders>
              <w:top w:val="single" w:sz="4" w:space="0" w:color="auto"/>
              <w:left w:val="single" w:sz="4" w:space="0" w:color="auto"/>
              <w:bottom w:val="single" w:sz="4" w:space="0" w:color="auto"/>
              <w:right w:val="single" w:sz="4" w:space="0" w:color="auto"/>
            </w:tcBorders>
            <w:hideMark/>
          </w:tcPr>
          <w:p w14:paraId="08B0E629"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0,122</w:t>
            </w:r>
          </w:p>
        </w:tc>
      </w:tr>
      <w:tr w:rsidR="002E3CE8" w:rsidRPr="00520861" w14:paraId="270346F1" w14:textId="77777777" w:rsidTr="00292D2E">
        <w:trPr>
          <w:jc w:val="center"/>
        </w:trPr>
        <w:tc>
          <w:tcPr>
            <w:tcW w:w="1838" w:type="dxa"/>
            <w:vMerge/>
            <w:tcBorders>
              <w:left w:val="single" w:sz="4" w:space="0" w:color="auto"/>
              <w:right w:val="single" w:sz="4" w:space="0" w:color="auto"/>
            </w:tcBorders>
          </w:tcPr>
          <w:p w14:paraId="45AD258D" w14:textId="77777777" w:rsidR="002E3CE8" w:rsidRPr="00520861" w:rsidRDefault="002E3CE8" w:rsidP="00292D2E">
            <w:pPr>
              <w:widowControl w:val="0"/>
              <w:spacing w:line="360" w:lineRule="auto"/>
              <w:rPr>
                <w:rFonts w:eastAsiaTheme="minorHAnsi" w:cs="Times New Roman"/>
                <w:sz w:val="28"/>
                <w:szCs w:val="28"/>
              </w:rPr>
            </w:pPr>
          </w:p>
        </w:tc>
        <w:tc>
          <w:tcPr>
            <w:tcW w:w="7956" w:type="dxa"/>
            <w:gridSpan w:val="6"/>
            <w:tcBorders>
              <w:top w:val="single" w:sz="4" w:space="0" w:color="auto"/>
              <w:left w:val="single" w:sz="4" w:space="0" w:color="auto"/>
              <w:bottom w:val="single" w:sz="4" w:space="0" w:color="auto"/>
              <w:right w:val="single" w:sz="4" w:space="0" w:color="auto"/>
            </w:tcBorders>
          </w:tcPr>
          <w:p w14:paraId="1E867355"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Рецесивна модель</w:t>
            </w:r>
          </w:p>
        </w:tc>
      </w:tr>
      <w:tr w:rsidR="002E3CE8" w:rsidRPr="00520861" w14:paraId="2F40B171" w14:textId="77777777" w:rsidTr="00292D2E">
        <w:trPr>
          <w:gridAfter w:val="1"/>
          <w:wAfter w:w="25" w:type="dxa"/>
          <w:jc w:val="center"/>
        </w:trPr>
        <w:tc>
          <w:tcPr>
            <w:tcW w:w="1838" w:type="dxa"/>
            <w:vMerge/>
            <w:tcBorders>
              <w:left w:val="single" w:sz="4" w:space="0" w:color="auto"/>
              <w:right w:val="single" w:sz="4" w:space="0" w:color="auto"/>
            </w:tcBorders>
          </w:tcPr>
          <w:p w14:paraId="43C554D5" w14:textId="77777777" w:rsidR="002E3CE8" w:rsidRPr="00520861" w:rsidRDefault="002E3CE8" w:rsidP="00292D2E">
            <w:pPr>
              <w:widowControl w:val="0"/>
              <w:spacing w:line="360" w:lineRule="auto"/>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04543B96"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AA+AG</w:t>
            </w:r>
          </w:p>
          <w:p w14:paraId="2E7E928E"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GG</w:t>
            </w:r>
          </w:p>
        </w:tc>
        <w:tc>
          <w:tcPr>
            <w:tcW w:w="1676" w:type="dxa"/>
            <w:tcBorders>
              <w:top w:val="single" w:sz="4" w:space="0" w:color="auto"/>
              <w:left w:val="single" w:sz="4" w:space="0" w:color="auto"/>
              <w:bottom w:val="single" w:sz="4" w:space="0" w:color="auto"/>
              <w:right w:val="single" w:sz="4" w:space="0" w:color="auto"/>
            </w:tcBorders>
          </w:tcPr>
          <w:p w14:paraId="48C919BE"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0,927</w:t>
            </w:r>
          </w:p>
        </w:tc>
        <w:tc>
          <w:tcPr>
            <w:tcW w:w="1360" w:type="dxa"/>
            <w:tcBorders>
              <w:top w:val="single" w:sz="4" w:space="0" w:color="auto"/>
              <w:left w:val="single" w:sz="4" w:space="0" w:color="auto"/>
              <w:bottom w:val="single" w:sz="4" w:space="0" w:color="auto"/>
              <w:right w:val="single" w:sz="4" w:space="0" w:color="auto"/>
            </w:tcBorders>
          </w:tcPr>
          <w:p w14:paraId="65ED64CA"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0,377</w:t>
            </w:r>
          </w:p>
          <w:p w14:paraId="5F40804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2,654</w:t>
            </w:r>
          </w:p>
        </w:tc>
        <w:tc>
          <w:tcPr>
            <w:tcW w:w="2268" w:type="dxa"/>
            <w:tcBorders>
              <w:top w:val="single" w:sz="4" w:space="0" w:color="auto"/>
              <w:left w:val="single" w:sz="4" w:space="0" w:color="auto"/>
              <w:bottom w:val="single" w:sz="4" w:space="0" w:color="auto"/>
              <w:right w:val="single" w:sz="4" w:space="0" w:color="auto"/>
            </w:tcBorders>
          </w:tcPr>
          <w:p w14:paraId="48854CE0"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0,080-1,776</w:t>
            </w:r>
          </w:p>
          <w:p w14:paraId="3CE3129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0,563-12,506</w:t>
            </w:r>
          </w:p>
        </w:tc>
        <w:tc>
          <w:tcPr>
            <w:tcW w:w="985" w:type="dxa"/>
            <w:tcBorders>
              <w:top w:val="single" w:sz="4" w:space="0" w:color="auto"/>
              <w:left w:val="single" w:sz="4" w:space="0" w:color="auto"/>
              <w:bottom w:val="single" w:sz="4" w:space="0" w:color="auto"/>
              <w:right w:val="single" w:sz="4" w:space="0" w:color="auto"/>
            </w:tcBorders>
          </w:tcPr>
          <w:p w14:paraId="6E4D86FE"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0,336</w:t>
            </w:r>
          </w:p>
        </w:tc>
      </w:tr>
      <w:tr w:rsidR="002E3CE8" w:rsidRPr="00520861" w14:paraId="3E362A98" w14:textId="77777777" w:rsidTr="00292D2E">
        <w:trPr>
          <w:jc w:val="center"/>
        </w:trPr>
        <w:tc>
          <w:tcPr>
            <w:tcW w:w="1838" w:type="dxa"/>
            <w:vMerge/>
            <w:tcBorders>
              <w:left w:val="single" w:sz="4" w:space="0" w:color="auto"/>
              <w:right w:val="single" w:sz="4" w:space="0" w:color="auto"/>
            </w:tcBorders>
          </w:tcPr>
          <w:p w14:paraId="5FE3F691" w14:textId="77777777" w:rsidR="002E3CE8" w:rsidRPr="00520861" w:rsidRDefault="002E3CE8" w:rsidP="00292D2E">
            <w:pPr>
              <w:widowControl w:val="0"/>
              <w:spacing w:line="360" w:lineRule="auto"/>
              <w:rPr>
                <w:rFonts w:eastAsiaTheme="minorHAnsi" w:cs="Times New Roman"/>
                <w:sz w:val="28"/>
                <w:szCs w:val="28"/>
              </w:rPr>
            </w:pPr>
          </w:p>
        </w:tc>
        <w:tc>
          <w:tcPr>
            <w:tcW w:w="7956" w:type="dxa"/>
            <w:gridSpan w:val="6"/>
            <w:tcBorders>
              <w:top w:val="single" w:sz="4" w:space="0" w:color="auto"/>
              <w:left w:val="single" w:sz="4" w:space="0" w:color="auto"/>
              <w:bottom w:val="single" w:sz="4" w:space="0" w:color="auto"/>
              <w:right w:val="single" w:sz="4" w:space="0" w:color="auto"/>
            </w:tcBorders>
          </w:tcPr>
          <w:p w14:paraId="4777138F"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Домінантна модель</w:t>
            </w:r>
          </w:p>
        </w:tc>
      </w:tr>
      <w:tr w:rsidR="002E3CE8" w:rsidRPr="00520861" w14:paraId="1674F9CE" w14:textId="77777777" w:rsidTr="00292D2E">
        <w:trPr>
          <w:gridAfter w:val="1"/>
          <w:wAfter w:w="25" w:type="dxa"/>
          <w:jc w:val="center"/>
        </w:trPr>
        <w:tc>
          <w:tcPr>
            <w:tcW w:w="1838" w:type="dxa"/>
            <w:vMerge/>
            <w:tcBorders>
              <w:left w:val="single" w:sz="4" w:space="0" w:color="auto"/>
              <w:right w:val="single" w:sz="4" w:space="0" w:color="auto"/>
            </w:tcBorders>
          </w:tcPr>
          <w:p w14:paraId="3F0CD44C" w14:textId="77777777" w:rsidR="002E3CE8" w:rsidRPr="00520861" w:rsidRDefault="002E3CE8" w:rsidP="00292D2E">
            <w:pPr>
              <w:widowControl w:val="0"/>
              <w:spacing w:line="360" w:lineRule="auto"/>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6A394199"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AA</w:t>
            </w:r>
          </w:p>
          <w:p w14:paraId="31966A31"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AG+GG</w:t>
            </w:r>
          </w:p>
        </w:tc>
        <w:tc>
          <w:tcPr>
            <w:tcW w:w="1676" w:type="dxa"/>
            <w:tcBorders>
              <w:top w:val="single" w:sz="4" w:space="0" w:color="auto"/>
              <w:left w:val="single" w:sz="4" w:space="0" w:color="auto"/>
              <w:bottom w:val="single" w:sz="4" w:space="0" w:color="auto"/>
              <w:right w:val="single" w:sz="4" w:space="0" w:color="auto"/>
            </w:tcBorders>
          </w:tcPr>
          <w:p w14:paraId="7274AAF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4,281</w:t>
            </w:r>
          </w:p>
        </w:tc>
        <w:tc>
          <w:tcPr>
            <w:tcW w:w="1360" w:type="dxa"/>
            <w:tcBorders>
              <w:top w:val="single" w:sz="4" w:space="0" w:color="auto"/>
              <w:left w:val="single" w:sz="4" w:space="0" w:color="auto"/>
              <w:bottom w:val="single" w:sz="4" w:space="0" w:color="auto"/>
              <w:right w:val="single" w:sz="4" w:space="0" w:color="auto"/>
            </w:tcBorders>
          </w:tcPr>
          <w:p w14:paraId="00CEFB4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0,337</w:t>
            </w:r>
          </w:p>
          <w:p w14:paraId="1F89B17A"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2,964</w:t>
            </w:r>
          </w:p>
        </w:tc>
        <w:tc>
          <w:tcPr>
            <w:tcW w:w="2268" w:type="dxa"/>
            <w:tcBorders>
              <w:top w:val="single" w:sz="4" w:space="0" w:color="auto"/>
              <w:left w:val="single" w:sz="4" w:space="0" w:color="auto"/>
              <w:bottom w:val="single" w:sz="4" w:space="0" w:color="auto"/>
              <w:right w:val="single" w:sz="4" w:space="0" w:color="auto"/>
            </w:tcBorders>
          </w:tcPr>
          <w:p w14:paraId="006A460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0,132-0,863</w:t>
            </w:r>
          </w:p>
          <w:p w14:paraId="080D3C1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1,159-7,575</w:t>
            </w:r>
          </w:p>
        </w:tc>
        <w:tc>
          <w:tcPr>
            <w:tcW w:w="985" w:type="dxa"/>
            <w:tcBorders>
              <w:top w:val="single" w:sz="4" w:space="0" w:color="auto"/>
              <w:left w:val="single" w:sz="4" w:space="0" w:color="auto"/>
              <w:bottom w:val="single" w:sz="4" w:space="0" w:color="auto"/>
              <w:right w:val="single" w:sz="4" w:space="0" w:color="auto"/>
            </w:tcBorders>
          </w:tcPr>
          <w:p w14:paraId="7EC63F3D"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0,039</w:t>
            </w:r>
          </w:p>
        </w:tc>
      </w:tr>
      <w:tr w:rsidR="002E3CE8" w:rsidRPr="00520861" w14:paraId="29762780" w14:textId="77777777" w:rsidTr="00292D2E">
        <w:trPr>
          <w:jc w:val="center"/>
        </w:trPr>
        <w:tc>
          <w:tcPr>
            <w:tcW w:w="1838" w:type="dxa"/>
            <w:vMerge/>
            <w:tcBorders>
              <w:left w:val="single" w:sz="4" w:space="0" w:color="auto"/>
              <w:right w:val="single" w:sz="4" w:space="0" w:color="auto"/>
            </w:tcBorders>
          </w:tcPr>
          <w:p w14:paraId="20A00404" w14:textId="77777777" w:rsidR="002E3CE8" w:rsidRPr="00520861" w:rsidRDefault="002E3CE8" w:rsidP="00292D2E">
            <w:pPr>
              <w:widowControl w:val="0"/>
              <w:spacing w:line="360" w:lineRule="auto"/>
              <w:rPr>
                <w:rFonts w:eastAsiaTheme="minorHAnsi" w:cs="Times New Roman"/>
                <w:sz w:val="28"/>
                <w:szCs w:val="28"/>
              </w:rPr>
            </w:pPr>
          </w:p>
        </w:tc>
        <w:tc>
          <w:tcPr>
            <w:tcW w:w="7956" w:type="dxa"/>
            <w:gridSpan w:val="6"/>
            <w:tcBorders>
              <w:top w:val="single" w:sz="4" w:space="0" w:color="auto"/>
              <w:left w:val="single" w:sz="4" w:space="0" w:color="auto"/>
              <w:bottom w:val="single" w:sz="4" w:space="0" w:color="auto"/>
              <w:right w:val="single" w:sz="4" w:space="0" w:color="auto"/>
            </w:tcBorders>
          </w:tcPr>
          <w:p w14:paraId="35C6DF6D" w14:textId="77777777" w:rsidR="002E3CE8" w:rsidRPr="00520861" w:rsidRDefault="002E3CE8" w:rsidP="00292D2E">
            <w:pPr>
              <w:widowControl w:val="0"/>
              <w:spacing w:line="360" w:lineRule="auto"/>
              <w:jc w:val="center"/>
              <w:rPr>
                <w:rFonts w:eastAsiaTheme="minorHAnsi" w:cs="Times New Roman"/>
                <w:sz w:val="28"/>
                <w:szCs w:val="28"/>
              </w:rPr>
            </w:pPr>
            <w:proofErr w:type="spellStart"/>
            <w:r w:rsidRPr="00520861">
              <w:rPr>
                <w:rFonts w:eastAsiaTheme="minorHAnsi" w:cs="Times New Roman"/>
                <w:sz w:val="28"/>
                <w:szCs w:val="28"/>
              </w:rPr>
              <w:t>Наддомінантна</w:t>
            </w:r>
            <w:proofErr w:type="spellEnd"/>
            <w:r w:rsidRPr="00520861">
              <w:rPr>
                <w:rFonts w:eastAsiaTheme="minorHAnsi" w:cs="Times New Roman"/>
                <w:sz w:val="28"/>
                <w:szCs w:val="28"/>
              </w:rPr>
              <w:t xml:space="preserve"> модель</w:t>
            </w:r>
          </w:p>
        </w:tc>
      </w:tr>
      <w:tr w:rsidR="002E3CE8" w:rsidRPr="00520861" w14:paraId="7F9BD665" w14:textId="77777777" w:rsidTr="00292D2E">
        <w:trPr>
          <w:gridAfter w:val="1"/>
          <w:wAfter w:w="25" w:type="dxa"/>
          <w:jc w:val="center"/>
        </w:trPr>
        <w:tc>
          <w:tcPr>
            <w:tcW w:w="1838" w:type="dxa"/>
            <w:vMerge/>
            <w:tcBorders>
              <w:left w:val="single" w:sz="4" w:space="0" w:color="auto"/>
              <w:right w:val="single" w:sz="4" w:space="0" w:color="auto"/>
            </w:tcBorders>
          </w:tcPr>
          <w:p w14:paraId="34D6173E" w14:textId="77777777" w:rsidR="002E3CE8" w:rsidRPr="00520861" w:rsidRDefault="002E3CE8" w:rsidP="00292D2E">
            <w:pPr>
              <w:widowControl w:val="0"/>
              <w:spacing w:line="360" w:lineRule="auto"/>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144672C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AA+GG</w:t>
            </w:r>
          </w:p>
          <w:p w14:paraId="6DADFA2E"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AG</w:t>
            </w:r>
          </w:p>
        </w:tc>
        <w:tc>
          <w:tcPr>
            <w:tcW w:w="1676" w:type="dxa"/>
            <w:tcBorders>
              <w:top w:val="single" w:sz="4" w:space="0" w:color="auto"/>
              <w:left w:val="single" w:sz="4" w:space="0" w:color="auto"/>
              <w:bottom w:val="single" w:sz="4" w:space="0" w:color="auto"/>
              <w:right w:val="single" w:sz="4" w:space="0" w:color="auto"/>
            </w:tcBorders>
          </w:tcPr>
          <w:p w14:paraId="4663B84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0,908</w:t>
            </w:r>
          </w:p>
        </w:tc>
        <w:tc>
          <w:tcPr>
            <w:tcW w:w="1360" w:type="dxa"/>
            <w:tcBorders>
              <w:top w:val="single" w:sz="4" w:space="0" w:color="auto"/>
              <w:left w:val="single" w:sz="4" w:space="0" w:color="auto"/>
              <w:bottom w:val="single" w:sz="4" w:space="0" w:color="auto"/>
              <w:right w:val="single" w:sz="4" w:space="0" w:color="auto"/>
            </w:tcBorders>
          </w:tcPr>
          <w:p w14:paraId="7AA0BE6C"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0,581</w:t>
            </w:r>
          </w:p>
          <w:p w14:paraId="03B63E8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1,722</w:t>
            </w:r>
          </w:p>
        </w:tc>
        <w:tc>
          <w:tcPr>
            <w:tcW w:w="2268" w:type="dxa"/>
            <w:tcBorders>
              <w:top w:val="single" w:sz="4" w:space="0" w:color="auto"/>
              <w:left w:val="single" w:sz="4" w:space="0" w:color="auto"/>
              <w:bottom w:val="single" w:sz="4" w:space="0" w:color="auto"/>
              <w:right w:val="single" w:sz="4" w:space="0" w:color="auto"/>
            </w:tcBorders>
          </w:tcPr>
          <w:p w14:paraId="0188ABB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0,235-1,436</w:t>
            </w:r>
          </w:p>
          <w:p w14:paraId="73303E9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0,696-4,259</w:t>
            </w:r>
          </w:p>
        </w:tc>
        <w:tc>
          <w:tcPr>
            <w:tcW w:w="985" w:type="dxa"/>
            <w:tcBorders>
              <w:top w:val="single" w:sz="4" w:space="0" w:color="auto"/>
              <w:left w:val="single" w:sz="4" w:space="0" w:color="auto"/>
              <w:bottom w:val="single" w:sz="4" w:space="0" w:color="auto"/>
              <w:right w:val="single" w:sz="4" w:space="0" w:color="auto"/>
            </w:tcBorders>
          </w:tcPr>
          <w:p w14:paraId="1CDDAF5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0,341</w:t>
            </w:r>
          </w:p>
        </w:tc>
      </w:tr>
      <w:tr w:rsidR="002E3CE8" w:rsidRPr="00520861" w14:paraId="04032A77" w14:textId="77777777" w:rsidTr="00292D2E">
        <w:trPr>
          <w:jc w:val="center"/>
        </w:trPr>
        <w:tc>
          <w:tcPr>
            <w:tcW w:w="1838" w:type="dxa"/>
            <w:vMerge/>
            <w:tcBorders>
              <w:left w:val="single" w:sz="4" w:space="0" w:color="auto"/>
              <w:right w:val="single" w:sz="4" w:space="0" w:color="auto"/>
            </w:tcBorders>
          </w:tcPr>
          <w:p w14:paraId="187CD954" w14:textId="77777777" w:rsidR="002E3CE8" w:rsidRPr="00520861" w:rsidRDefault="002E3CE8" w:rsidP="00292D2E">
            <w:pPr>
              <w:widowControl w:val="0"/>
              <w:spacing w:line="360" w:lineRule="auto"/>
              <w:rPr>
                <w:rFonts w:eastAsiaTheme="minorHAnsi" w:cs="Times New Roman"/>
                <w:sz w:val="28"/>
                <w:szCs w:val="28"/>
              </w:rPr>
            </w:pPr>
          </w:p>
        </w:tc>
        <w:tc>
          <w:tcPr>
            <w:tcW w:w="7956" w:type="dxa"/>
            <w:gridSpan w:val="6"/>
            <w:tcBorders>
              <w:top w:val="single" w:sz="4" w:space="0" w:color="auto"/>
              <w:left w:val="single" w:sz="4" w:space="0" w:color="auto"/>
              <w:bottom w:val="single" w:sz="4" w:space="0" w:color="auto"/>
              <w:right w:val="single" w:sz="4" w:space="0" w:color="auto"/>
            </w:tcBorders>
          </w:tcPr>
          <w:p w14:paraId="08AA301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Мультиплікативна модель</w:t>
            </w:r>
          </w:p>
        </w:tc>
      </w:tr>
      <w:tr w:rsidR="002E3CE8" w:rsidRPr="00520861" w14:paraId="345FB47A" w14:textId="77777777" w:rsidTr="00292D2E">
        <w:trPr>
          <w:gridAfter w:val="1"/>
          <w:wAfter w:w="25" w:type="dxa"/>
          <w:jc w:val="center"/>
        </w:trPr>
        <w:tc>
          <w:tcPr>
            <w:tcW w:w="1838" w:type="dxa"/>
            <w:vMerge/>
            <w:tcBorders>
              <w:left w:val="single" w:sz="4" w:space="0" w:color="auto"/>
              <w:bottom w:val="single" w:sz="4" w:space="0" w:color="auto"/>
              <w:right w:val="single" w:sz="4" w:space="0" w:color="auto"/>
            </w:tcBorders>
          </w:tcPr>
          <w:p w14:paraId="0880B761" w14:textId="77777777" w:rsidR="002E3CE8" w:rsidRPr="00520861" w:rsidRDefault="002E3CE8" w:rsidP="00292D2E">
            <w:pPr>
              <w:widowControl w:val="0"/>
              <w:spacing w:line="360" w:lineRule="auto"/>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4D07B4C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w:t>
            </w:r>
          </w:p>
          <w:p w14:paraId="3BAF9E3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G</w:t>
            </w:r>
          </w:p>
        </w:tc>
        <w:tc>
          <w:tcPr>
            <w:tcW w:w="1676" w:type="dxa"/>
            <w:tcBorders>
              <w:top w:val="single" w:sz="4" w:space="0" w:color="auto"/>
              <w:left w:val="single" w:sz="4" w:space="0" w:color="auto"/>
              <w:bottom w:val="single" w:sz="4" w:space="0" w:color="auto"/>
              <w:right w:val="single" w:sz="4" w:space="0" w:color="auto"/>
            </w:tcBorders>
          </w:tcPr>
          <w:p w14:paraId="5B54C4D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4,751</w:t>
            </w:r>
          </w:p>
        </w:tc>
        <w:tc>
          <w:tcPr>
            <w:tcW w:w="1360" w:type="dxa"/>
            <w:tcBorders>
              <w:top w:val="single" w:sz="4" w:space="0" w:color="auto"/>
              <w:left w:val="single" w:sz="4" w:space="0" w:color="auto"/>
              <w:bottom w:val="single" w:sz="4" w:space="0" w:color="auto"/>
              <w:right w:val="single" w:sz="4" w:space="0" w:color="auto"/>
            </w:tcBorders>
          </w:tcPr>
          <w:p w14:paraId="5E0F924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0,474</w:t>
            </w:r>
          </w:p>
          <w:p w14:paraId="166B1CB6"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2,111</w:t>
            </w:r>
          </w:p>
        </w:tc>
        <w:tc>
          <w:tcPr>
            <w:tcW w:w="2268" w:type="dxa"/>
            <w:tcBorders>
              <w:top w:val="single" w:sz="4" w:space="0" w:color="auto"/>
              <w:left w:val="single" w:sz="4" w:space="0" w:color="auto"/>
              <w:bottom w:val="single" w:sz="4" w:space="0" w:color="auto"/>
              <w:right w:val="single" w:sz="4" w:space="0" w:color="auto"/>
            </w:tcBorders>
          </w:tcPr>
          <w:p w14:paraId="26393C1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0,240-0,935</w:t>
            </w:r>
          </w:p>
          <w:p w14:paraId="7CC2631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1,070-4,166</w:t>
            </w:r>
          </w:p>
        </w:tc>
        <w:tc>
          <w:tcPr>
            <w:tcW w:w="985" w:type="dxa"/>
            <w:tcBorders>
              <w:top w:val="single" w:sz="4" w:space="0" w:color="auto"/>
              <w:left w:val="single" w:sz="4" w:space="0" w:color="auto"/>
              <w:bottom w:val="single" w:sz="4" w:space="0" w:color="auto"/>
              <w:right w:val="single" w:sz="4" w:space="0" w:color="auto"/>
            </w:tcBorders>
          </w:tcPr>
          <w:p w14:paraId="4860606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0,029</w:t>
            </w:r>
          </w:p>
        </w:tc>
      </w:tr>
    </w:tbl>
    <w:p w14:paraId="569B6A5C" w14:textId="77777777" w:rsidR="002E3CE8" w:rsidRPr="00520861" w:rsidRDefault="002E3CE8" w:rsidP="00292D2E">
      <w:pPr>
        <w:widowControl w:val="0"/>
        <w:spacing w:before="160" w:line="360" w:lineRule="auto"/>
        <w:ind w:firstLine="709"/>
        <w:jc w:val="both"/>
        <w:rPr>
          <w:rFonts w:eastAsiaTheme="minorHAnsi"/>
          <w:i/>
          <w:sz w:val="28"/>
          <w:szCs w:val="28"/>
          <w:lang w:eastAsia="en-US"/>
        </w:rPr>
      </w:pPr>
      <w:r w:rsidRPr="00520861">
        <w:rPr>
          <w:rFonts w:eastAsiaTheme="minorHAnsi"/>
          <w:sz w:val="28"/>
          <w:szCs w:val="28"/>
          <w:lang w:eastAsia="en-US"/>
        </w:rPr>
        <w:t xml:space="preserve">Примітка: тут і далі для таблиць порівняння частот розподілу генотипів значення ймовірності </w:t>
      </w:r>
      <w:r w:rsidR="00E82B0F" w:rsidRPr="00520861">
        <w:rPr>
          <w:rFonts w:eastAsia="Calibri"/>
          <w:sz w:val="28"/>
          <w:szCs w:val="28"/>
          <w:lang w:eastAsia="en-US"/>
        </w:rPr>
        <w:t>похибки</w:t>
      </w:r>
      <w:r w:rsidRPr="00520861">
        <w:rPr>
          <w:rFonts w:eastAsiaTheme="minorHAnsi"/>
          <w:sz w:val="28"/>
          <w:szCs w:val="28"/>
          <w:lang w:eastAsia="en-US"/>
        </w:rPr>
        <w:t xml:space="preserve"> </w:t>
      </w:r>
      <w:r w:rsidRPr="00520861">
        <w:rPr>
          <w:rFonts w:eastAsiaTheme="minorHAnsi"/>
          <w:i/>
          <w:sz w:val="28"/>
          <w:szCs w:val="28"/>
          <w:lang w:eastAsia="en-US"/>
        </w:rPr>
        <w:t>p</w:t>
      </w:r>
      <w:r w:rsidRPr="00520861">
        <w:rPr>
          <w:rFonts w:eastAsiaTheme="minorHAnsi"/>
          <w:sz w:val="28"/>
          <w:szCs w:val="28"/>
          <w:lang w:eastAsia="en-US"/>
        </w:rPr>
        <w:t xml:space="preserve"> гіпотези про значущість відмінностей між частотами розповсюдження генотипів у групах для кожної моделі відповідають значенню </w:t>
      </w:r>
      <w:r w:rsidRPr="00520861">
        <w:rPr>
          <w:rFonts w:eastAsiaTheme="minorHAnsi"/>
          <w:sz w:val="28"/>
          <w:szCs w:val="28"/>
          <w:lang w:eastAsia="en-US"/>
        </w:rPr>
        <w:sym w:font="Symbol" w:char="F063"/>
      </w:r>
      <w:r w:rsidRPr="00520861">
        <w:rPr>
          <w:rFonts w:eastAsiaTheme="minorHAnsi"/>
          <w:sz w:val="28"/>
          <w:szCs w:val="28"/>
          <w:vertAlign w:val="superscript"/>
          <w:lang w:eastAsia="en-US"/>
        </w:rPr>
        <w:t>2</w:t>
      </w:r>
      <w:r w:rsidRPr="00520861">
        <w:rPr>
          <w:rFonts w:eastAsiaTheme="minorHAnsi"/>
          <w:sz w:val="28"/>
          <w:szCs w:val="28"/>
          <w:lang w:eastAsia="en-US"/>
        </w:rPr>
        <w:t>, розрахованому для відповідної таблиці спряженості. Значення 95</w:t>
      </w:r>
      <w:r w:rsidR="00611A5B" w:rsidRPr="00520861">
        <w:rPr>
          <w:rFonts w:eastAsiaTheme="minorHAnsi"/>
          <w:sz w:val="28"/>
          <w:szCs w:val="28"/>
          <w:lang w:eastAsia="en-US"/>
        </w:rPr>
        <w:t>%</w:t>
      </w:r>
      <w:r w:rsidRPr="00520861">
        <w:rPr>
          <w:rFonts w:eastAsiaTheme="minorHAnsi"/>
          <w:sz w:val="28"/>
          <w:szCs w:val="28"/>
          <w:lang w:eastAsia="en-US"/>
        </w:rPr>
        <w:t xml:space="preserve"> довірчих інтервалів (95</w:t>
      </w:r>
      <w:r w:rsidR="00611A5B" w:rsidRPr="00520861">
        <w:rPr>
          <w:rFonts w:eastAsiaTheme="minorHAnsi"/>
          <w:sz w:val="28"/>
          <w:szCs w:val="28"/>
          <w:lang w:eastAsia="en-US"/>
        </w:rPr>
        <w:t>%</w:t>
      </w:r>
      <w:r w:rsidRPr="00520861">
        <w:rPr>
          <w:rFonts w:eastAsiaTheme="minorHAnsi"/>
          <w:sz w:val="28"/>
          <w:szCs w:val="28"/>
          <w:lang w:eastAsia="en-US"/>
        </w:rPr>
        <w:t xml:space="preserve"> ДІ) наведені для розрахованих по цим таблицям відношень шансів ВШ.</w:t>
      </w:r>
    </w:p>
    <w:p w14:paraId="234C348C" w14:textId="77777777" w:rsidR="002E3CE8" w:rsidRPr="00520861" w:rsidRDefault="002E3CE8" w:rsidP="00292D2E">
      <w:pPr>
        <w:widowControl w:val="0"/>
        <w:spacing w:line="360" w:lineRule="auto"/>
        <w:ind w:left="720"/>
        <w:contextualSpacing/>
        <w:jc w:val="right"/>
        <w:rPr>
          <w:rFonts w:eastAsia="Calibri"/>
          <w:b/>
          <w:i/>
          <w:sz w:val="28"/>
          <w:szCs w:val="28"/>
          <w:lang w:eastAsia="en-US"/>
        </w:rPr>
      </w:pPr>
    </w:p>
    <w:p w14:paraId="3D88B2A1" w14:textId="77777777" w:rsidR="002E3CE8" w:rsidRPr="00520861" w:rsidRDefault="002E3CE8" w:rsidP="00292D2E">
      <w:pPr>
        <w:widowControl w:val="0"/>
        <w:spacing w:line="360" w:lineRule="auto"/>
        <w:ind w:left="720"/>
        <w:contextualSpacing/>
        <w:jc w:val="right"/>
        <w:rPr>
          <w:rFonts w:eastAsia="Calibri"/>
          <w:sz w:val="28"/>
          <w:szCs w:val="28"/>
          <w:lang w:eastAsia="en-US"/>
        </w:rPr>
      </w:pPr>
      <w:r w:rsidRPr="00520861">
        <w:rPr>
          <w:rFonts w:eastAsia="Calibri"/>
          <w:i/>
          <w:sz w:val="28"/>
          <w:szCs w:val="28"/>
          <w:lang w:eastAsia="en-US"/>
        </w:rPr>
        <w:lastRenderedPageBreak/>
        <w:t>Таблиця. 6.9</w:t>
      </w:r>
    </w:p>
    <w:p w14:paraId="4039A72D" w14:textId="77777777" w:rsidR="002E3CE8" w:rsidRPr="00520861" w:rsidRDefault="002E3CE8" w:rsidP="00292D2E">
      <w:pPr>
        <w:widowControl w:val="0"/>
        <w:spacing w:line="360" w:lineRule="auto"/>
        <w:contextualSpacing/>
        <w:jc w:val="center"/>
        <w:rPr>
          <w:rFonts w:eastAsia="Calibri"/>
          <w:b/>
          <w:sz w:val="28"/>
          <w:szCs w:val="28"/>
          <w:lang w:eastAsia="en-US"/>
        </w:rPr>
      </w:pPr>
      <w:r w:rsidRPr="00520861">
        <w:rPr>
          <w:rFonts w:eastAsia="Calibri"/>
          <w:b/>
          <w:sz w:val="28"/>
          <w:szCs w:val="28"/>
          <w:lang w:eastAsia="en-US"/>
        </w:rPr>
        <w:t xml:space="preserve">Порівняння частот розподілу поліморфних варіантів за геном </w:t>
      </w:r>
      <w:r w:rsidRPr="00520861">
        <w:rPr>
          <w:rFonts w:eastAsia="Calibri"/>
          <w:b/>
          <w:i/>
          <w:sz w:val="28"/>
          <w:szCs w:val="28"/>
          <w:lang w:eastAsia="en-US"/>
        </w:rPr>
        <w:t>CYP19A1: A&gt;G</w:t>
      </w:r>
      <w:r w:rsidRPr="00520861">
        <w:rPr>
          <w:rFonts w:eastAsia="Calibri"/>
          <w:b/>
          <w:sz w:val="28"/>
          <w:szCs w:val="28"/>
          <w:lang w:eastAsia="en-US"/>
        </w:rPr>
        <w:t xml:space="preserve"> [rs2414096] в осіб ОГ РДК і ГП-1</w:t>
      </w:r>
    </w:p>
    <w:tbl>
      <w:tblPr>
        <w:tblStyle w:val="250"/>
        <w:tblW w:w="9621" w:type="dxa"/>
        <w:jc w:val="center"/>
        <w:tblLook w:val="04A0" w:firstRow="1" w:lastRow="0" w:firstColumn="1" w:lastColumn="0" w:noHBand="0" w:noVBand="1"/>
      </w:tblPr>
      <w:tblGrid>
        <w:gridCol w:w="1698"/>
        <w:gridCol w:w="2032"/>
        <w:gridCol w:w="1228"/>
        <w:gridCol w:w="1560"/>
        <w:gridCol w:w="2124"/>
        <w:gridCol w:w="964"/>
        <w:gridCol w:w="15"/>
      </w:tblGrid>
      <w:tr w:rsidR="002E3CE8" w:rsidRPr="00520861" w14:paraId="4D467448" w14:textId="77777777" w:rsidTr="00292D2E">
        <w:trPr>
          <w:jc w:val="center"/>
        </w:trPr>
        <w:tc>
          <w:tcPr>
            <w:tcW w:w="1698" w:type="dxa"/>
            <w:vMerge w:val="restart"/>
            <w:tcBorders>
              <w:top w:val="single" w:sz="4" w:space="0" w:color="auto"/>
              <w:left w:val="single" w:sz="4" w:space="0" w:color="auto"/>
              <w:bottom w:val="single" w:sz="4" w:space="0" w:color="auto"/>
              <w:right w:val="single" w:sz="4" w:space="0" w:color="auto"/>
            </w:tcBorders>
            <w:hideMark/>
          </w:tcPr>
          <w:p w14:paraId="7ECF3745" w14:textId="77777777" w:rsidR="002E3CE8" w:rsidRPr="00520861" w:rsidRDefault="002E3CE8" w:rsidP="00292D2E">
            <w:pPr>
              <w:widowControl w:val="0"/>
              <w:spacing w:line="360" w:lineRule="auto"/>
              <w:jc w:val="center"/>
              <w:rPr>
                <w:rFonts w:eastAsiaTheme="minorHAnsi" w:cs="Times New Roman"/>
                <w:sz w:val="28"/>
                <w:szCs w:val="28"/>
              </w:rPr>
            </w:pPr>
          </w:p>
          <w:p w14:paraId="6E884EA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Ген</w:t>
            </w:r>
          </w:p>
        </w:tc>
        <w:tc>
          <w:tcPr>
            <w:tcW w:w="2032" w:type="dxa"/>
            <w:vMerge w:val="restart"/>
            <w:tcBorders>
              <w:top w:val="single" w:sz="4" w:space="0" w:color="auto"/>
              <w:left w:val="single" w:sz="4" w:space="0" w:color="auto"/>
              <w:bottom w:val="single" w:sz="4" w:space="0" w:color="auto"/>
              <w:right w:val="single" w:sz="4" w:space="0" w:color="auto"/>
            </w:tcBorders>
            <w:hideMark/>
          </w:tcPr>
          <w:p w14:paraId="7E3EF904" w14:textId="77777777" w:rsidR="002E3CE8" w:rsidRPr="00520861" w:rsidRDefault="002E3CE8" w:rsidP="00292D2E">
            <w:pPr>
              <w:widowControl w:val="0"/>
              <w:spacing w:line="360" w:lineRule="auto"/>
              <w:jc w:val="center"/>
              <w:rPr>
                <w:rFonts w:eastAsiaTheme="minorHAnsi" w:cs="Times New Roman"/>
                <w:sz w:val="28"/>
                <w:szCs w:val="28"/>
              </w:rPr>
            </w:pPr>
          </w:p>
          <w:p w14:paraId="50E41B3E"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Генотип</w:t>
            </w:r>
          </w:p>
        </w:tc>
        <w:tc>
          <w:tcPr>
            <w:tcW w:w="5891" w:type="dxa"/>
            <w:gridSpan w:val="5"/>
            <w:tcBorders>
              <w:top w:val="single" w:sz="4" w:space="0" w:color="auto"/>
              <w:left w:val="single" w:sz="4" w:space="0" w:color="auto"/>
              <w:bottom w:val="single" w:sz="4" w:space="0" w:color="auto"/>
              <w:right w:val="single" w:sz="4" w:space="0" w:color="auto"/>
            </w:tcBorders>
            <w:hideMark/>
          </w:tcPr>
          <w:p w14:paraId="59F5FF0D"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Результати статистичного аналізу</w:t>
            </w:r>
          </w:p>
        </w:tc>
      </w:tr>
      <w:tr w:rsidR="002E3CE8" w:rsidRPr="00520861" w14:paraId="3E005260" w14:textId="77777777" w:rsidTr="00292D2E">
        <w:trPr>
          <w:gridAfter w:val="1"/>
          <w:wAfter w:w="15" w:type="dxa"/>
          <w:jc w:val="center"/>
        </w:trPr>
        <w:tc>
          <w:tcPr>
            <w:tcW w:w="1698" w:type="dxa"/>
            <w:vMerge/>
            <w:tcBorders>
              <w:top w:val="single" w:sz="4" w:space="0" w:color="auto"/>
              <w:left w:val="single" w:sz="4" w:space="0" w:color="auto"/>
              <w:bottom w:val="single" w:sz="4" w:space="0" w:color="auto"/>
              <w:right w:val="single" w:sz="4" w:space="0" w:color="auto"/>
            </w:tcBorders>
            <w:vAlign w:val="center"/>
            <w:hideMark/>
          </w:tcPr>
          <w:p w14:paraId="22E7D0D7" w14:textId="77777777" w:rsidR="002E3CE8" w:rsidRPr="00520861" w:rsidRDefault="002E3CE8" w:rsidP="00292D2E">
            <w:pPr>
              <w:widowControl w:val="0"/>
              <w:spacing w:line="360" w:lineRule="auto"/>
              <w:rPr>
                <w:rFonts w:eastAsiaTheme="minorHAnsi" w:cs="Times New Roman"/>
                <w:sz w:val="28"/>
                <w:szCs w:val="28"/>
              </w:rPr>
            </w:pPr>
          </w:p>
        </w:tc>
        <w:tc>
          <w:tcPr>
            <w:tcW w:w="2032" w:type="dxa"/>
            <w:vMerge/>
            <w:tcBorders>
              <w:top w:val="single" w:sz="4" w:space="0" w:color="auto"/>
              <w:left w:val="single" w:sz="4" w:space="0" w:color="auto"/>
              <w:bottom w:val="single" w:sz="4" w:space="0" w:color="auto"/>
              <w:right w:val="single" w:sz="4" w:space="0" w:color="auto"/>
            </w:tcBorders>
            <w:vAlign w:val="center"/>
            <w:hideMark/>
          </w:tcPr>
          <w:p w14:paraId="3243840D" w14:textId="77777777" w:rsidR="002E3CE8" w:rsidRPr="00520861" w:rsidRDefault="002E3CE8" w:rsidP="00292D2E">
            <w:pPr>
              <w:widowControl w:val="0"/>
              <w:spacing w:line="360" w:lineRule="auto"/>
              <w:rPr>
                <w:rFonts w:eastAsiaTheme="minorHAnsi" w:cs="Times New Roman"/>
                <w:sz w:val="28"/>
                <w:szCs w:val="28"/>
              </w:rPr>
            </w:pPr>
          </w:p>
        </w:tc>
        <w:tc>
          <w:tcPr>
            <w:tcW w:w="1228" w:type="dxa"/>
            <w:tcBorders>
              <w:top w:val="single" w:sz="4" w:space="0" w:color="auto"/>
              <w:left w:val="single" w:sz="4" w:space="0" w:color="auto"/>
              <w:bottom w:val="single" w:sz="4" w:space="0" w:color="auto"/>
              <w:right w:val="single" w:sz="4" w:space="0" w:color="auto"/>
            </w:tcBorders>
            <w:hideMark/>
          </w:tcPr>
          <w:p w14:paraId="632DA62F"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sym w:font="Symbol" w:char="F063"/>
            </w:r>
            <w:r w:rsidRPr="00520861">
              <w:rPr>
                <w:rFonts w:eastAsiaTheme="minorHAnsi" w:cs="Times New Roman"/>
                <w:sz w:val="28"/>
                <w:szCs w:val="28"/>
                <w:vertAlign w:val="superscript"/>
              </w:rPr>
              <w:t>2</w:t>
            </w:r>
            <w:r w:rsidRPr="00520861">
              <w:rPr>
                <w:rFonts w:eastAsiaTheme="minorHAnsi" w:cs="Times New Roman"/>
                <w:sz w:val="28"/>
                <w:szCs w:val="28"/>
              </w:rPr>
              <w:t xml:space="preserve"> (</w:t>
            </w:r>
            <w:proofErr w:type="spellStart"/>
            <w:r w:rsidRPr="00520861">
              <w:rPr>
                <w:rFonts w:eastAsiaTheme="minorHAnsi" w:cs="Times New Roman"/>
                <w:sz w:val="28"/>
                <w:szCs w:val="28"/>
              </w:rPr>
              <w:t>Йєтс</w:t>
            </w:r>
            <w:proofErr w:type="spellEnd"/>
            <w:r w:rsidRPr="00520861">
              <w:rPr>
                <w:rFonts w:eastAsiaTheme="minorHAnsi" w:cs="Times New Roman"/>
                <w:sz w:val="28"/>
                <w:szCs w:val="28"/>
              </w:rPr>
              <w:t>)</w:t>
            </w:r>
          </w:p>
        </w:tc>
        <w:tc>
          <w:tcPr>
            <w:tcW w:w="1560" w:type="dxa"/>
            <w:tcBorders>
              <w:top w:val="single" w:sz="4" w:space="0" w:color="auto"/>
              <w:left w:val="single" w:sz="4" w:space="0" w:color="auto"/>
              <w:bottom w:val="single" w:sz="4" w:space="0" w:color="auto"/>
              <w:right w:val="single" w:sz="4" w:space="0" w:color="auto"/>
            </w:tcBorders>
            <w:hideMark/>
          </w:tcPr>
          <w:p w14:paraId="694D5381"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ВШ</w:t>
            </w:r>
          </w:p>
        </w:tc>
        <w:tc>
          <w:tcPr>
            <w:tcW w:w="2124" w:type="dxa"/>
            <w:tcBorders>
              <w:top w:val="single" w:sz="4" w:space="0" w:color="auto"/>
              <w:left w:val="single" w:sz="4" w:space="0" w:color="auto"/>
              <w:bottom w:val="single" w:sz="4" w:space="0" w:color="auto"/>
              <w:right w:val="single" w:sz="4" w:space="0" w:color="auto"/>
            </w:tcBorders>
            <w:hideMark/>
          </w:tcPr>
          <w:p w14:paraId="5689746C"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95% ДІ</w:t>
            </w:r>
          </w:p>
        </w:tc>
        <w:tc>
          <w:tcPr>
            <w:tcW w:w="964" w:type="dxa"/>
            <w:tcBorders>
              <w:top w:val="single" w:sz="4" w:space="0" w:color="auto"/>
              <w:left w:val="single" w:sz="4" w:space="0" w:color="auto"/>
              <w:bottom w:val="single" w:sz="4" w:space="0" w:color="auto"/>
              <w:right w:val="single" w:sz="4" w:space="0" w:color="auto"/>
            </w:tcBorders>
            <w:hideMark/>
          </w:tcPr>
          <w:p w14:paraId="72443709" w14:textId="77777777" w:rsidR="002E3CE8" w:rsidRPr="00520861" w:rsidRDefault="002E3CE8" w:rsidP="00292D2E">
            <w:pPr>
              <w:widowControl w:val="0"/>
              <w:spacing w:line="360" w:lineRule="auto"/>
              <w:jc w:val="center"/>
              <w:rPr>
                <w:rFonts w:eastAsiaTheme="minorHAnsi" w:cs="Times New Roman"/>
                <w:i/>
                <w:sz w:val="28"/>
                <w:szCs w:val="28"/>
              </w:rPr>
            </w:pPr>
            <w:r w:rsidRPr="00520861">
              <w:rPr>
                <w:rFonts w:eastAsiaTheme="minorHAnsi" w:cs="Times New Roman"/>
                <w:i/>
                <w:sz w:val="28"/>
                <w:szCs w:val="28"/>
              </w:rPr>
              <w:t>P</w:t>
            </w:r>
          </w:p>
        </w:tc>
      </w:tr>
      <w:tr w:rsidR="002E3CE8" w:rsidRPr="00520861" w14:paraId="2BD60E2E" w14:textId="77777777" w:rsidTr="00292D2E">
        <w:trPr>
          <w:jc w:val="center"/>
        </w:trPr>
        <w:tc>
          <w:tcPr>
            <w:tcW w:w="1698" w:type="dxa"/>
            <w:vMerge w:val="restart"/>
            <w:tcBorders>
              <w:top w:val="single" w:sz="4" w:space="0" w:color="auto"/>
              <w:left w:val="single" w:sz="4" w:space="0" w:color="auto"/>
              <w:right w:val="single" w:sz="4" w:space="0" w:color="auto"/>
            </w:tcBorders>
          </w:tcPr>
          <w:p w14:paraId="2D64FB5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i/>
                <w:sz w:val="28"/>
                <w:szCs w:val="28"/>
              </w:rPr>
              <w:t>CYP19A1: A&gt;G</w:t>
            </w:r>
            <w:r w:rsidRPr="00520861">
              <w:rPr>
                <w:rFonts w:eastAsiaTheme="minorHAnsi" w:cs="Times New Roman"/>
                <w:sz w:val="28"/>
                <w:szCs w:val="28"/>
              </w:rPr>
              <w:t xml:space="preserve"> [rs2414096]</w:t>
            </w:r>
          </w:p>
        </w:tc>
        <w:tc>
          <w:tcPr>
            <w:tcW w:w="7923" w:type="dxa"/>
            <w:gridSpan w:val="6"/>
            <w:tcBorders>
              <w:top w:val="single" w:sz="4" w:space="0" w:color="auto"/>
              <w:left w:val="single" w:sz="4" w:space="0" w:color="auto"/>
              <w:bottom w:val="single" w:sz="4" w:space="0" w:color="auto"/>
              <w:right w:val="single" w:sz="4" w:space="0" w:color="auto"/>
            </w:tcBorders>
          </w:tcPr>
          <w:p w14:paraId="160A7FD0"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Адитивна модель</w:t>
            </w:r>
          </w:p>
        </w:tc>
      </w:tr>
      <w:tr w:rsidR="002E3CE8" w:rsidRPr="00520861" w14:paraId="65FB9155" w14:textId="77777777" w:rsidTr="00292D2E">
        <w:trPr>
          <w:gridAfter w:val="1"/>
          <w:wAfter w:w="15" w:type="dxa"/>
          <w:jc w:val="center"/>
        </w:trPr>
        <w:tc>
          <w:tcPr>
            <w:tcW w:w="1698" w:type="dxa"/>
            <w:vMerge/>
            <w:tcBorders>
              <w:left w:val="single" w:sz="4" w:space="0" w:color="auto"/>
              <w:right w:val="single" w:sz="4" w:space="0" w:color="auto"/>
            </w:tcBorders>
            <w:hideMark/>
          </w:tcPr>
          <w:p w14:paraId="4DEAB65A" w14:textId="77777777" w:rsidR="002E3CE8" w:rsidRPr="00520861" w:rsidRDefault="002E3CE8" w:rsidP="00292D2E">
            <w:pPr>
              <w:widowControl w:val="0"/>
              <w:spacing w:line="360" w:lineRule="auto"/>
              <w:rPr>
                <w:rFonts w:eastAsiaTheme="minorHAnsi" w:cs="Times New Roman"/>
                <w:sz w:val="28"/>
                <w:szCs w:val="28"/>
              </w:rPr>
            </w:pPr>
          </w:p>
        </w:tc>
        <w:tc>
          <w:tcPr>
            <w:tcW w:w="2032" w:type="dxa"/>
            <w:tcBorders>
              <w:top w:val="single" w:sz="4" w:space="0" w:color="auto"/>
              <w:left w:val="single" w:sz="4" w:space="0" w:color="auto"/>
              <w:bottom w:val="single" w:sz="4" w:space="0" w:color="auto"/>
              <w:right w:val="single" w:sz="4" w:space="0" w:color="auto"/>
            </w:tcBorders>
            <w:hideMark/>
          </w:tcPr>
          <w:p w14:paraId="40628B0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AA</w:t>
            </w:r>
          </w:p>
          <w:p w14:paraId="1F7BD6A5"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AG</w:t>
            </w:r>
          </w:p>
          <w:p w14:paraId="6CE648A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GG</w:t>
            </w:r>
          </w:p>
        </w:tc>
        <w:tc>
          <w:tcPr>
            <w:tcW w:w="1228" w:type="dxa"/>
            <w:tcBorders>
              <w:top w:val="single" w:sz="4" w:space="0" w:color="auto"/>
              <w:left w:val="single" w:sz="4" w:space="0" w:color="auto"/>
              <w:bottom w:val="single" w:sz="4" w:space="0" w:color="auto"/>
              <w:right w:val="single" w:sz="4" w:space="0" w:color="auto"/>
            </w:tcBorders>
            <w:hideMark/>
          </w:tcPr>
          <w:p w14:paraId="597D871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5,305</w:t>
            </w:r>
          </w:p>
        </w:tc>
        <w:tc>
          <w:tcPr>
            <w:tcW w:w="1560" w:type="dxa"/>
            <w:tcBorders>
              <w:top w:val="single" w:sz="4" w:space="0" w:color="auto"/>
              <w:left w:val="single" w:sz="4" w:space="0" w:color="auto"/>
              <w:bottom w:val="single" w:sz="4" w:space="0" w:color="auto"/>
              <w:right w:val="single" w:sz="4" w:space="0" w:color="auto"/>
            </w:tcBorders>
            <w:hideMark/>
          </w:tcPr>
          <w:p w14:paraId="3FB4F43F"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0,907</w:t>
            </w:r>
          </w:p>
          <w:p w14:paraId="1C0ADBC5"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0,507</w:t>
            </w:r>
          </w:p>
          <w:p w14:paraId="679DE7F6"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2,577</w:t>
            </w:r>
          </w:p>
        </w:tc>
        <w:tc>
          <w:tcPr>
            <w:tcW w:w="2124" w:type="dxa"/>
            <w:tcBorders>
              <w:top w:val="single" w:sz="4" w:space="0" w:color="auto"/>
              <w:left w:val="single" w:sz="4" w:space="0" w:color="auto"/>
              <w:bottom w:val="single" w:sz="4" w:space="0" w:color="auto"/>
              <w:right w:val="single" w:sz="4" w:space="0" w:color="auto"/>
            </w:tcBorders>
            <w:hideMark/>
          </w:tcPr>
          <w:p w14:paraId="2FD8A89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0,407-2,025</w:t>
            </w:r>
          </w:p>
          <w:p w14:paraId="25C7F1EF"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0,256-1,003</w:t>
            </w:r>
          </w:p>
          <w:p w14:paraId="0299323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1,192-5,568</w:t>
            </w:r>
          </w:p>
        </w:tc>
        <w:tc>
          <w:tcPr>
            <w:tcW w:w="964" w:type="dxa"/>
            <w:tcBorders>
              <w:top w:val="single" w:sz="4" w:space="0" w:color="auto"/>
              <w:left w:val="single" w:sz="4" w:space="0" w:color="auto"/>
              <w:bottom w:val="single" w:sz="4" w:space="0" w:color="auto"/>
              <w:right w:val="single" w:sz="4" w:space="0" w:color="auto"/>
            </w:tcBorders>
            <w:hideMark/>
          </w:tcPr>
          <w:p w14:paraId="4A276FDF"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0,070</w:t>
            </w:r>
          </w:p>
        </w:tc>
      </w:tr>
      <w:tr w:rsidR="002E3CE8" w:rsidRPr="00520861" w14:paraId="62E93DB9" w14:textId="77777777" w:rsidTr="00292D2E">
        <w:trPr>
          <w:jc w:val="center"/>
        </w:trPr>
        <w:tc>
          <w:tcPr>
            <w:tcW w:w="1698" w:type="dxa"/>
            <w:vMerge/>
            <w:tcBorders>
              <w:left w:val="single" w:sz="4" w:space="0" w:color="auto"/>
              <w:right w:val="single" w:sz="4" w:space="0" w:color="auto"/>
            </w:tcBorders>
          </w:tcPr>
          <w:p w14:paraId="7F035A1E" w14:textId="77777777" w:rsidR="002E3CE8" w:rsidRPr="00520861" w:rsidRDefault="002E3CE8" w:rsidP="00292D2E">
            <w:pPr>
              <w:widowControl w:val="0"/>
              <w:spacing w:line="360" w:lineRule="auto"/>
              <w:rPr>
                <w:rFonts w:eastAsiaTheme="minorHAnsi" w:cs="Times New Roman"/>
                <w:sz w:val="28"/>
                <w:szCs w:val="28"/>
              </w:rPr>
            </w:pPr>
          </w:p>
        </w:tc>
        <w:tc>
          <w:tcPr>
            <w:tcW w:w="7923" w:type="dxa"/>
            <w:gridSpan w:val="6"/>
            <w:tcBorders>
              <w:top w:val="single" w:sz="4" w:space="0" w:color="auto"/>
              <w:left w:val="single" w:sz="4" w:space="0" w:color="auto"/>
              <w:bottom w:val="single" w:sz="4" w:space="0" w:color="auto"/>
              <w:right w:val="single" w:sz="4" w:space="0" w:color="auto"/>
            </w:tcBorders>
          </w:tcPr>
          <w:p w14:paraId="3EA534D9"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Рецесивна модель</w:t>
            </w:r>
          </w:p>
        </w:tc>
      </w:tr>
      <w:tr w:rsidR="002E3CE8" w:rsidRPr="00520861" w14:paraId="477ED4D9" w14:textId="77777777" w:rsidTr="00292D2E">
        <w:trPr>
          <w:gridAfter w:val="1"/>
          <w:wAfter w:w="15" w:type="dxa"/>
          <w:jc w:val="center"/>
        </w:trPr>
        <w:tc>
          <w:tcPr>
            <w:tcW w:w="1698" w:type="dxa"/>
            <w:vMerge/>
            <w:tcBorders>
              <w:left w:val="single" w:sz="4" w:space="0" w:color="auto"/>
              <w:right w:val="single" w:sz="4" w:space="0" w:color="auto"/>
            </w:tcBorders>
          </w:tcPr>
          <w:p w14:paraId="28F1DAB2" w14:textId="77777777" w:rsidR="002E3CE8" w:rsidRPr="00520861" w:rsidRDefault="002E3CE8" w:rsidP="00292D2E">
            <w:pPr>
              <w:widowControl w:val="0"/>
              <w:spacing w:line="360" w:lineRule="auto"/>
              <w:rPr>
                <w:rFonts w:eastAsiaTheme="minorHAnsi" w:cs="Times New Roman"/>
                <w:sz w:val="28"/>
                <w:szCs w:val="28"/>
              </w:rPr>
            </w:pPr>
          </w:p>
        </w:tc>
        <w:tc>
          <w:tcPr>
            <w:tcW w:w="2032" w:type="dxa"/>
            <w:tcBorders>
              <w:top w:val="single" w:sz="4" w:space="0" w:color="auto"/>
              <w:left w:val="single" w:sz="4" w:space="0" w:color="auto"/>
              <w:bottom w:val="single" w:sz="4" w:space="0" w:color="auto"/>
              <w:right w:val="single" w:sz="4" w:space="0" w:color="auto"/>
            </w:tcBorders>
          </w:tcPr>
          <w:p w14:paraId="615F952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AA+AG</w:t>
            </w:r>
          </w:p>
          <w:p w14:paraId="2AE93B9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GG</w:t>
            </w:r>
          </w:p>
        </w:tc>
        <w:tc>
          <w:tcPr>
            <w:tcW w:w="1228" w:type="dxa"/>
            <w:tcBorders>
              <w:top w:val="single" w:sz="4" w:space="0" w:color="auto"/>
              <w:left w:val="single" w:sz="4" w:space="0" w:color="auto"/>
              <w:bottom w:val="single" w:sz="4" w:space="0" w:color="auto"/>
              <w:right w:val="single" w:sz="4" w:space="0" w:color="auto"/>
            </w:tcBorders>
          </w:tcPr>
          <w:p w14:paraId="509F6AC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5,063</w:t>
            </w:r>
          </w:p>
        </w:tc>
        <w:tc>
          <w:tcPr>
            <w:tcW w:w="1560" w:type="dxa"/>
            <w:tcBorders>
              <w:top w:val="single" w:sz="4" w:space="0" w:color="auto"/>
              <w:left w:val="single" w:sz="4" w:space="0" w:color="auto"/>
              <w:bottom w:val="single" w:sz="4" w:space="0" w:color="auto"/>
              <w:right w:val="single" w:sz="4" w:space="0" w:color="auto"/>
            </w:tcBorders>
          </w:tcPr>
          <w:p w14:paraId="0ECFBE6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0,388</w:t>
            </w:r>
          </w:p>
          <w:p w14:paraId="52C8C0D9"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2,577</w:t>
            </w:r>
          </w:p>
        </w:tc>
        <w:tc>
          <w:tcPr>
            <w:tcW w:w="2124" w:type="dxa"/>
            <w:tcBorders>
              <w:top w:val="single" w:sz="4" w:space="0" w:color="auto"/>
              <w:left w:val="single" w:sz="4" w:space="0" w:color="auto"/>
              <w:bottom w:val="single" w:sz="4" w:space="0" w:color="auto"/>
              <w:right w:val="single" w:sz="4" w:space="0" w:color="auto"/>
            </w:tcBorders>
          </w:tcPr>
          <w:p w14:paraId="7A9B2496"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0,180-0,839</w:t>
            </w:r>
          </w:p>
          <w:p w14:paraId="2CD793F1"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1,192-5,568</w:t>
            </w:r>
          </w:p>
        </w:tc>
        <w:tc>
          <w:tcPr>
            <w:tcW w:w="964" w:type="dxa"/>
            <w:tcBorders>
              <w:top w:val="single" w:sz="4" w:space="0" w:color="auto"/>
              <w:left w:val="single" w:sz="4" w:space="0" w:color="auto"/>
              <w:bottom w:val="single" w:sz="4" w:space="0" w:color="auto"/>
              <w:right w:val="single" w:sz="4" w:space="0" w:color="auto"/>
            </w:tcBorders>
          </w:tcPr>
          <w:p w14:paraId="65534B5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0,024</w:t>
            </w:r>
          </w:p>
        </w:tc>
      </w:tr>
      <w:tr w:rsidR="002E3CE8" w:rsidRPr="00520861" w14:paraId="2F48EA9D" w14:textId="77777777" w:rsidTr="00292D2E">
        <w:trPr>
          <w:jc w:val="center"/>
        </w:trPr>
        <w:tc>
          <w:tcPr>
            <w:tcW w:w="1698" w:type="dxa"/>
            <w:vMerge/>
            <w:tcBorders>
              <w:left w:val="single" w:sz="4" w:space="0" w:color="auto"/>
              <w:right w:val="single" w:sz="4" w:space="0" w:color="auto"/>
            </w:tcBorders>
          </w:tcPr>
          <w:p w14:paraId="67B86D29" w14:textId="77777777" w:rsidR="002E3CE8" w:rsidRPr="00520861" w:rsidRDefault="002E3CE8" w:rsidP="00292D2E">
            <w:pPr>
              <w:widowControl w:val="0"/>
              <w:spacing w:line="360" w:lineRule="auto"/>
              <w:rPr>
                <w:rFonts w:eastAsiaTheme="minorHAnsi" w:cs="Times New Roman"/>
                <w:sz w:val="28"/>
                <w:szCs w:val="28"/>
              </w:rPr>
            </w:pPr>
          </w:p>
        </w:tc>
        <w:tc>
          <w:tcPr>
            <w:tcW w:w="7923" w:type="dxa"/>
            <w:gridSpan w:val="6"/>
            <w:tcBorders>
              <w:top w:val="single" w:sz="4" w:space="0" w:color="auto"/>
              <w:left w:val="single" w:sz="4" w:space="0" w:color="auto"/>
              <w:bottom w:val="single" w:sz="4" w:space="0" w:color="auto"/>
              <w:right w:val="single" w:sz="4" w:space="0" w:color="auto"/>
            </w:tcBorders>
          </w:tcPr>
          <w:p w14:paraId="2940A00D"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Домінантна модель</w:t>
            </w:r>
          </w:p>
        </w:tc>
      </w:tr>
      <w:tr w:rsidR="002E3CE8" w:rsidRPr="00520861" w14:paraId="6464D79C" w14:textId="77777777" w:rsidTr="00292D2E">
        <w:trPr>
          <w:gridAfter w:val="1"/>
          <w:wAfter w:w="15" w:type="dxa"/>
          <w:jc w:val="center"/>
        </w:trPr>
        <w:tc>
          <w:tcPr>
            <w:tcW w:w="1698" w:type="dxa"/>
            <w:vMerge/>
            <w:tcBorders>
              <w:left w:val="single" w:sz="4" w:space="0" w:color="auto"/>
              <w:right w:val="single" w:sz="4" w:space="0" w:color="auto"/>
            </w:tcBorders>
          </w:tcPr>
          <w:p w14:paraId="1B5D6559" w14:textId="77777777" w:rsidR="002E3CE8" w:rsidRPr="00520861" w:rsidRDefault="002E3CE8" w:rsidP="00292D2E">
            <w:pPr>
              <w:widowControl w:val="0"/>
              <w:spacing w:line="360" w:lineRule="auto"/>
              <w:rPr>
                <w:rFonts w:eastAsiaTheme="minorHAnsi" w:cs="Times New Roman"/>
                <w:sz w:val="28"/>
                <w:szCs w:val="28"/>
              </w:rPr>
            </w:pPr>
          </w:p>
        </w:tc>
        <w:tc>
          <w:tcPr>
            <w:tcW w:w="2032" w:type="dxa"/>
            <w:tcBorders>
              <w:top w:val="single" w:sz="4" w:space="0" w:color="auto"/>
              <w:left w:val="single" w:sz="4" w:space="0" w:color="auto"/>
              <w:bottom w:val="single" w:sz="4" w:space="0" w:color="auto"/>
              <w:right w:val="single" w:sz="4" w:space="0" w:color="auto"/>
            </w:tcBorders>
          </w:tcPr>
          <w:p w14:paraId="6905D8C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AA</w:t>
            </w:r>
          </w:p>
          <w:p w14:paraId="205A3525"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AG+GG</w:t>
            </w:r>
          </w:p>
        </w:tc>
        <w:tc>
          <w:tcPr>
            <w:tcW w:w="1228" w:type="dxa"/>
            <w:tcBorders>
              <w:top w:val="single" w:sz="4" w:space="0" w:color="auto"/>
              <w:left w:val="single" w:sz="4" w:space="0" w:color="auto"/>
              <w:bottom w:val="single" w:sz="4" w:space="0" w:color="auto"/>
              <w:right w:val="single" w:sz="4" w:space="0" w:color="auto"/>
            </w:tcBorders>
          </w:tcPr>
          <w:p w14:paraId="3FB580A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0,001</w:t>
            </w:r>
          </w:p>
        </w:tc>
        <w:tc>
          <w:tcPr>
            <w:tcW w:w="1560" w:type="dxa"/>
            <w:tcBorders>
              <w:top w:val="single" w:sz="4" w:space="0" w:color="auto"/>
              <w:left w:val="single" w:sz="4" w:space="0" w:color="auto"/>
              <w:bottom w:val="single" w:sz="4" w:space="0" w:color="auto"/>
              <w:right w:val="single" w:sz="4" w:space="0" w:color="auto"/>
            </w:tcBorders>
          </w:tcPr>
          <w:p w14:paraId="3115EAC0"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0,907</w:t>
            </w:r>
          </w:p>
          <w:p w14:paraId="30DB9E4B"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1,102</w:t>
            </w:r>
          </w:p>
        </w:tc>
        <w:tc>
          <w:tcPr>
            <w:tcW w:w="2124" w:type="dxa"/>
            <w:tcBorders>
              <w:top w:val="single" w:sz="4" w:space="0" w:color="auto"/>
              <w:left w:val="single" w:sz="4" w:space="0" w:color="auto"/>
              <w:bottom w:val="single" w:sz="4" w:space="0" w:color="auto"/>
              <w:right w:val="single" w:sz="4" w:space="0" w:color="auto"/>
            </w:tcBorders>
          </w:tcPr>
          <w:p w14:paraId="74547537"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0,407-2,025</w:t>
            </w:r>
          </w:p>
          <w:p w14:paraId="6721B43E"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0,494-2,459</w:t>
            </w:r>
          </w:p>
        </w:tc>
        <w:tc>
          <w:tcPr>
            <w:tcW w:w="964" w:type="dxa"/>
            <w:tcBorders>
              <w:top w:val="single" w:sz="4" w:space="0" w:color="auto"/>
              <w:left w:val="single" w:sz="4" w:space="0" w:color="auto"/>
              <w:bottom w:val="single" w:sz="4" w:space="0" w:color="auto"/>
              <w:right w:val="single" w:sz="4" w:space="0" w:color="auto"/>
            </w:tcBorders>
          </w:tcPr>
          <w:p w14:paraId="130C92B5"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0,973</w:t>
            </w:r>
          </w:p>
        </w:tc>
      </w:tr>
      <w:tr w:rsidR="002E3CE8" w:rsidRPr="00520861" w14:paraId="3D41268C" w14:textId="77777777" w:rsidTr="00292D2E">
        <w:trPr>
          <w:jc w:val="center"/>
        </w:trPr>
        <w:tc>
          <w:tcPr>
            <w:tcW w:w="1698" w:type="dxa"/>
            <w:vMerge/>
            <w:tcBorders>
              <w:left w:val="single" w:sz="4" w:space="0" w:color="auto"/>
              <w:right w:val="single" w:sz="4" w:space="0" w:color="auto"/>
            </w:tcBorders>
          </w:tcPr>
          <w:p w14:paraId="0BB05BCF" w14:textId="77777777" w:rsidR="002E3CE8" w:rsidRPr="00520861" w:rsidRDefault="002E3CE8" w:rsidP="00292D2E">
            <w:pPr>
              <w:widowControl w:val="0"/>
              <w:spacing w:line="360" w:lineRule="auto"/>
              <w:rPr>
                <w:rFonts w:eastAsiaTheme="minorHAnsi" w:cs="Times New Roman"/>
                <w:sz w:val="28"/>
                <w:szCs w:val="28"/>
              </w:rPr>
            </w:pPr>
          </w:p>
        </w:tc>
        <w:tc>
          <w:tcPr>
            <w:tcW w:w="7923" w:type="dxa"/>
            <w:gridSpan w:val="6"/>
            <w:tcBorders>
              <w:top w:val="single" w:sz="4" w:space="0" w:color="auto"/>
              <w:left w:val="single" w:sz="4" w:space="0" w:color="auto"/>
              <w:bottom w:val="single" w:sz="4" w:space="0" w:color="auto"/>
              <w:right w:val="single" w:sz="4" w:space="0" w:color="auto"/>
            </w:tcBorders>
          </w:tcPr>
          <w:p w14:paraId="07BEC967" w14:textId="77777777" w:rsidR="002E3CE8" w:rsidRPr="00520861" w:rsidRDefault="002E3CE8" w:rsidP="00292D2E">
            <w:pPr>
              <w:widowControl w:val="0"/>
              <w:spacing w:line="360" w:lineRule="auto"/>
              <w:jc w:val="center"/>
              <w:rPr>
                <w:rFonts w:eastAsiaTheme="minorHAnsi" w:cs="Times New Roman"/>
                <w:sz w:val="28"/>
                <w:szCs w:val="28"/>
              </w:rPr>
            </w:pPr>
            <w:proofErr w:type="spellStart"/>
            <w:r w:rsidRPr="00520861">
              <w:rPr>
                <w:rFonts w:eastAsiaTheme="minorHAnsi" w:cs="Times New Roman"/>
                <w:sz w:val="28"/>
                <w:szCs w:val="28"/>
              </w:rPr>
              <w:t>Наддомінантна</w:t>
            </w:r>
            <w:proofErr w:type="spellEnd"/>
            <w:r w:rsidRPr="00520861">
              <w:rPr>
                <w:rFonts w:eastAsiaTheme="minorHAnsi" w:cs="Times New Roman"/>
                <w:sz w:val="28"/>
                <w:szCs w:val="28"/>
              </w:rPr>
              <w:t xml:space="preserve"> модель</w:t>
            </w:r>
          </w:p>
        </w:tc>
      </w:tr>
      <w:tr w:rsidR="002E3CE8" w:rsidRPr="00520861" w14:paraId="7696C4A6" w14:textId="77777777" w:rsidTr="00292D2E">
        <w:trPr>
          <w:gridAfter w:val="1"/>
          <w:wAfter w:w="15" w:type="dxa"/>
          <w:jc w:val="center"/>
        </w:trPr>
        <w:tc>
          <w:tcPr>
            <w:tcW w:w="1698" w:type="dxa"/>
            <w:vMerge/>
            <w:tcBorders>
              <w:left w:val="single" w:sz="4" w:space="0" w:color="auto"/>
              <w:right w:val="single" w:sz="4" w:space="0" w:color="auto"/>
            </w:tcBorders>
          </w:tcPr>
          <w:p w14:paraId="07709032" w14:textId="77777777" w:rsidR="002E3CE8" w:rsidRPr="00520861" w:rsidRDefault="002E3CE8" w:rsidP="00292D2E">
            <w:pPr>
              <w:widowControl w:val="0"/>
              <w:spacing w:line="360" w:lineRule="auto"/>
              <w:rPr>
                <w:rFonts w:eastAsiaTheme="minorHAnsi" w:cs="Times New Roman"/>
                <w:sz w:val="28"/>
                <w:szCs w:val="28"/>
              </w:rPr>
            </w:pPr>
          </w:p>
        </w:tc>
        <w:tc>
          <w:tcPr>
            <w:tcW w:w="2032" w:type="dxa"/>
            <w:tcBorders>
              <w:top w:val="single" w:sz="4" w:space="0" w:color="auto"/>
              <w:left w:val="single" w:sz="4" w:space="0" w:color="auto"/>
              <w:bottom w:val="single" w:sz="4" w:space="0" w:color="auto"/>
              <w:right w:val="single" w:sz="4" w:space="0" w:color="auto"/>
            </w:tcBorders>
          </w:tcPr>
          <w:p w14:paraId="04587EA6"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AA+GG</w:t>
            </w:r>
          </w:p>
          <w:p w14:paraId="51FF476C"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AG</w:t>
            </w:r>
          </w:p>
        </w:tc>
        <w:tc>
          <w:tcPr>
            <w:tcW w:w="1228" w:type="dxa"/>
            <w:tcBorders>
              <w:top w:val="single" w:sz="4" w:space="0" w:color="auto"/>
              <w:left w:val="single" w:sz="4" w:space="0" w:color="auto"/>
              <w:bottom w:val="single" w:sz="4" w:space="0" w:color="auto"/>
              <w:right w:val="single" w:sz="4" w:space="0" w:color="auto"/>
            </w:tcBorders>
          </w:tcPr>
          <w:p w14:paraId="4963DF0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3,200</w:t>
            </w:r>
          </w:p>
        </w:tc>
        <w:tc>
          <w:tcPr>
            <w:tcW w:w="1560" w:type="dxa"/>
            <w:tcBorders>
              <w:top w:val="single" w:sz="4" w:space="0" w:color="auto"/>
              <w:left w:val="single" w:sz="4" w:space="0" w:color="auto"/>
              <w:bottom w:val="single" w:sz="4" w:space="0" w:color="auto"/>
              <w:right w:val="single" w:sz="4" w:space="0" w:color="auto"/>
            </w:tcBorders>
          </w:tcPr>
          <w:p w14:paraId="176F5BB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1,973</w:t>
            </w:r>
          </w:p>
          <w:p w14:paraId="261D7AD5"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0,507</w:t>
            </w:r>
          </w:p>
        </w:tc>
        <w:tc>
          <w:tcPr>
            <w:tcW w:w="2124" w:type="dxa"/>
            <w:tcBorders>
              <w:top w:val="single" w:sz="4" w:space="0" w:color="auto"/>
              <w:left w:val="single" w:sz="4" w:space="0" w:color="auto"/>
              <w:bottom w:val="single" w:sz="4" w:space="0" w:color="auto"/>
              <w:right w:val="single" w:sz="4" w:space="0" w:color="auto"/>
            </w:tcBorders>
          </w:tcPr>
          <w:p w14:paraId="53FDF59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0,997-3,906</w:t>
            </w:r>
          </w:p>
          <w:p w14:paraId="50C2EB15"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0,256-1,003</w:t>
            </w:r>
          </w:p>
        </w:tc>
        <w:tc>
          <w:tcPr>
            <w:tcW w:w="964" w:type="dxa"/>
            <w:tcBorders>
              <w:top w:val="single" w:sz="4" w:space="0" w:color="auto"/>
              <w:left w:val="single" w:sz="4" w:space="0" w:color="auto"/>
              <w:bottom w:val="single" w:sz="4" w:space="0" w:color="auto"/>
              <w:right w:val="single" w:sz="4" w:space="0" w:color="auto"/>
            </w:tcBorders>
          </w:tcPr>
          <w:p w14:paraId="60C166EF"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0,074</w:t>
            </w:r>
          </w:p>
        </w:tc>
      </w:tr>
      <w:tr w:rsidR="002E3CE8" w:rsidRPr="00520861" w14:paraId="2339871B" w14:textId="77777777" w:rsidTr="00292D2E">
        <w:trPr>
          <w:jc w:val="center"/>
        </w:trPr>
        <w:tc>
          <w:tcPr>
            <w:tcW w:w="1698" w:type="dxa"/>
            <w:vMerge/>
            <w:tcBorders>
              <w:left w:val="single" w:sz="4" w:space="0" w:color="auto"/>
              <w:right w:val="single" w:sz="4" w:space="0" w:color="auto"/>
            </w:tcBorders>
          </w:tcPr>
          <w:p w14:paraId="11030EBE" w14:textId="77777777" w:rsidR="002E3CE8" w:rsidRPr="00520861" w:rsidRDefault="002E3CE8" w:rsidP="00292D2E">
            <w:pPr>
              <w:widowControl w:val="0"/>
              <w:spacing w:line="360" w:lineRule="auto"/>
              <w:rPr>
                <w:rFonts w:eastAsiaTheme="minorHAnsi" w:cs="Times New Roman"/>
                <w:sz w:val="28"/>
                <w:szCs w:val="28"/>
              </w:rPr>
            </w:pPr>
          </w:p>
        </w:tc>
        <w:tc>
          <w:tcPr>
            <w:tcW w:w="7923" w:type="dxa"/>
            <w:gridSpan w:val="6"/>
            <w:tcBorders>
              <w:top w:val="single" w:sz="4" w:space="0" w:color="auto"/>
              <w:left w:val="single" w:sz="4" w:space="0" w:color="auto"/>
              <w:bottom w:val="single" w:sz="4" w:space="0" w:color="auto"/>
              <w:right w:val="single" w:sz="4" w:space="0" w:color="auto"/>
            </w:tcBorders>
          </w:tcPr>
          <w:p w14:paraId="3D593B0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Мультиплікативна модель</w:t>
            </w:r>
          </w:p>
        </w:tc>
      </w:tr>
      <w:tr w:rsidR="002E3CE8" w:rsidRPr="00520861" w14:paraId="5FA1EBDD" w14:textId="77777777" w:rsidTr="00292D2E">
        <w:trPr>
          <w:gridAfter w:val="1"/>
          <w:wAfter w:w="15" w:type="dxa"/>
          <w:jc w:val="center"/>
        </w:trPr>
        <w:tc>
          <w:tcPr>
            <w:tcW w:w="1698" w:type="dxa"/>
            <w:vMerge/>
            <w:tcBorders>
              <w:left w:val="single" w:sz="4" w:space="0" w:color="auto"/>
              <w:bottom w:val="single" w:sz="4" w:space="0" w:color="auto"/>
              <w:right w:val="single" w:sz="4" w:space="0" w:color="auto"/>
            </w:tcBorders>
          </w:tcPr>
          <w:p w14:paraId="7100E64E" w14:textId="77777777" w:rsidR="002E3CE8" w:rsidRPr="00520861" w:rsidRDefault="002E3CE8" w:rsidP="00292D2E">
            <w:pPr>
              <w:widowControl w:val="0"/>
              <w:spacing w:line="360" w:lineRule="auto"/>
              <w:rPr>
                <w:rFonts w:eastAsiaTheme="minorHAnsi" w:cs="Times New Roman"/>
                <w:sz w:val="28"/>
                <w:szCs w:val="28"/>
              </w:rPr>
            </w:pPr>
          </w:p>
        </w:tc>
        <w:tc>
          <w:tcPr>
            <w:tcW w:w="2032" w:type="dxa"/>
            <w:tcBorders>
              <w:top w:val="single" w:sz="4" w:space="0" w:color="auto"/>
              <w:left w:val="single" w:sz="4" w:space="0" w:color="auto"/>
              <w:bottom w:val="single" w:sz="4" w:space="0" w:color="auto"/>
              <w:right w:val="single" w:sz="4" w:space="0" w:color="auto"/>
            </w:tcBorders>
          </w:tcPr>
          <w:p w14:paraId="4A9033D3"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A</w:t>
            </w:r>
          </w:p>
          <w:p w14:paraId="1920F84D"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G</w:t>
            </w:r>
          </w:p>
        </w:tc>
        <w:tc>
          <w:tcPr>
            <w:tcW w:w="1228" w:type="dxa"/>
            <w:tcBorders>
              <w:top w:val="single" w:sz="4" w:space="0" w:color="auto"/>
              <w:left w:val="single" w:sz="4" w:space="0" w:color="auto"/>
              <w:bottom w:val="single" w:sz="4" w:space="0" w:color="auto"/>
              <w:right w:val="single" w:sz="4" w:space="0" w:color="auto"/>
            </w:tcBorders>
          </w:tcPr>
          <w:p w14:paraId="20E262DD"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2,790</w:t>
            </w:r>
          </w:p>
        </w:tc>
        <w:tc>
          <w:tcPr>
            <w:tcW w:w="1560" w:type="dxa"/>
            <w:tcBorders>
              <w:top w:val="single" w:sz="4" w:space="0" w:color="auto"/>
              <w:left w:val="single" w:sz="4" w:space="0" w:color="auto"/>
              <w:bottom w:val="single" w:sz="4" w:space="0" w:color="auto"/>
              <w:right w:val="single" w:sz="4" w:space="0" w:color="auto"/>
            </w:tcBorders>
          </w:tcPr>
          <w:p w14:paraId="27F7774D"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0,665</w:t>
            </w:r>
          </w:p>
          <w:p w14:paraId="5BA89598"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1,503</w:t>
            </w:r>
          </w:p>
        </w:tc>
        <w:tc>
          <w:tcPr>
            <w:tcW w:w="2124" w:type="dxa"/>
            <w:tcBorders>
              <w:top w:val="single" w:sz="4" w:space="0" w:color="auto"/>
              <w:left w:val="single" w:sz="4" w:space="0" w:color="auto"/>
              <w:bottom w:val="single" w:sz="4" w:space="0" w:color="auto"/>
              <w:right w:val="single" w:sz="4" w:space="0" w:color="auto"/>
            </w:tcBorders>
          </w:tcPr>
          <w:p w14:paraId="6D7FD324"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0,412-1,074</w:t>
            </w:r>
          </w:p>
          <w:p w14:paraId="5BD3EDA2"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0,931-2,427</w:t>
            </w:r>
          </w:p>
        </w:tc>
        <w:tc>
          <w:tcPr>
            <w:tcW w:w="964" w:type="dxa"/>
            <w:tcBorders>
              <w:top w:val="single" w:sz="4" w:space="0" w:color="auto"/>
              <w:left w:val="single" w:sz="4" w:space="0" w:color="auto"/>
              <w:bottom w:val="single" w:sz="4" w:space="0" w:color="auto"/>
              <w:right w:val="single" w:sz="4" w:space="0" w:color="auto"/>
            </w:tcBorders>
          </w:tcPr>
          <w:p w14:paraId="6C504CDF" w14:textId="77777777" w:rsidR="002E3CE8" w:rsidRPr="00520861" w:rsidRDefault="002E3CE8" w:rsidP="00292D2E">
            <w:pPr>
              <w:widowControl w:val="0"/>
              <w:spacing w:line="360" w:lineRule="auto"/>
              <w:jc w:val="center"/>
              <w:rPr>
                <w:rFonts w:eastAsiaTheme="minorHAnsi" w:cs="Times New Roman"/>
                <w:sz w:val="28"/>
                <w:szCs w:val="28"/>
              </w:rPr>
            </w:pPr>
            <w:r w:rsidRPr="00520861">
              <w:rPr>
                <w:rFonts w:eastAsiaTheme="minorHAnsi" w:cs="Times New Roman"/>
                <w:sz w:val="28"/>
                <w:szCs w:val="28"/>
              </w:rPr>
              <w:t>0,095</w:t>
            </w:r>
          </w:p>
        </w:tc>
      </w:tr>
    </w:tbl>
    <w:p w14:paraId="61E26A01" w14:textId="77777777" w:rsidR="002E3CE8" w:rsidRPr="00520861" w:rsidRDefault="002E3CE8" w:rsidP="00292D2E">
      <w:pPr>
        <w:widowControl w:val="0"/>
        <w:spacing w:line="360" w:lineRule="auto"/>
        <w:contextualSpacing/>
        <w:jc w:val="both"/>
        <w:rPr>
          <w:rFonts w:eastAsia="Calibri"/>
          <w:b/>
          <w:sz w:val="28"/>
          <w:szCs w:val="28"/>
          <w:lang w:eastAsia="en-US"/>
        </w:rPr>
      </w:pPr>
    </w:p>
    <w:p w14:paraId="460997B5"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Виявлено вірогідну різницю у частоті генотипу GG гену </w:t>
      </w:r>
      <w:r w:rsidRPr="00520861">
        <w:rPr>
          <w:rFonts w:eastAsiaTheme="minorHAnsi"/>
          <w:i/>
          <w:sz w:val="28"/>
          <w:szCs w:val="28"/>
          <w:lang w:eastAsia="en-US"/>
        </w:rPr>
        <w:t>CYP19A1: A&gt;G</w:t>
      </w:r>
      <w:r w:rsidRPr="00520861">
        <w:rPr>
          <w:rFonts w:eastAsiaTheme="minorHAnsi"/>
          <w:sz w:val="28"/>
          <w:szCs w:val="28"/>
          <w:lang w:eastAsia="en-US"/>
        </w:rPr>
        <w:t xml:space="preserve"> [rs2414096] між особами, які мали РДК, та особами, в яких він не був зафіксований. </w:t>
      </w:r>
    </w:p>
    <w:p w14:paraId="790DD171" w14:textId="77777777" w:rsidR="002E3CE8" w:rsidRPr="00520861" w:rsidRDefault="002E3CE8" w:rsidP="00292D2E">
      <w:pPr>
        <w:widowControl w:val="0"/>
        <w:spacing w:line="360" w:lineRule="auto"/>
        <w:jc w:val="both"/>
        <w:rPr>
          <w:rFonts w:eastAsia="Calibri"/>
          <w:sz w:val="28"/>
          <w:szCs w:val="28"/>
          <w:lang w:eastAsia="en-US"/>
        </w:rPr>
      </w:pPr>
      <w:r w:rsidRPr="00520861">
        <w:rPr>
          <w:rFonts w:eastAsiaTheme="minorHAnsi"/>
          <w:sz w:val="28"/>
          <w:szCs w:val="28"/>
          <w:lang w:eastAsia="en-US"/>
        </w:rPr>
        <w:t xml:space="preserve">Із викладених фактів витікає, що поліморфізм за геном </w:t>
      </w:r>
      <w:r w:rsidRPr="00520861">
        <w:rPr>
          <w:rFonts w:eastAsiaTheme="minorHAnsi"/>
          <w:i/>
          <w:sz w:val="28"/>
          <w:szCs w:val="28"/>
          <w:lang w:eastAsia="en-US"/>
        </w:rPr>
        <w:t>CYP19A1: A&gt;G</w:t>
      </w:r>
      <w:r w:rsidRPr="00520861">
        <w:rPr>
          <w:rFonts w:eastAsiaTheme="minorHAnsi"/>
          <w:sz w:val="28"/>
          <w:szCs w:val="28"/>
          <w:lang w:eastAsia="en-US"/>
        </w:rPr>
        <w:t xml:space="preserve"> [rs2414096] може бути використаним у якості </w:t>
      </w:r>
      <w:proofErr w:type="spellStart"/>
      <w:r w:rsidRPr="00520861">
        <w:rPr>
          <w:rFonts w:eastAsiaTheme="minorHAnsi"/>
          <w:sz w:val="28"/>
          <w:szCs w:val="28"/>
          <w:lang w:eastAsia="en-US"/>
        </w:rPr>
        <w:t>предиктивного</w:t>
      </w:r>
      <w:proofErr w:type="spellEnd"/>
      <w:r w:rsidRPr="00520861">
        <w:rPr>
          <w:rFonts w:eastAsiaTheme="minorHAnsi"/>
          <w:sz w:val="28"/>
          <w:szCs w:val="28"/>
          <w:lang w:eastAsia="en-US"/>
        </w:rPr>
        <w:t xml:space="preserve"> маркера ризику розвитку РДК в осіб, чиї параметри при народженні були вищими за норму [46].</w:t>
      </w:r>
      <w:r w:rsidRPr="00520861">
        <w:rPr>
          <w:rFonts w:eastAsia="Calibri"/>
          <w:sz w:val="28"/>
          <w:szCs w:val="28"/>
          <w:lang w:eastAsia="en-US"/>
        </w:rPr>
        <w:t xml:space="preserve"> </w:t>
      </w:r>
    </w:p>
    <w:p w14:paraId="2228E253" w14:textId="77777777" w:rsidR="002E3CE8" w:rsidRPr="00520861" w:rsidRDefault="002E3CE8"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Подальший аналіз </w:t>
      </w:r>
      <w:proofErr w:type="spellStart"/>
      <w:r w:rsidRPr="00520861">
        <w:rPr>
          <w:rFonts w:eastAsia="Calibri"/>
          <w:sz w:val="28"/>
          <w:szCs w:val="28"/>
          <w:lang w:eastAsia="en-US"/>
        </w:rPr>
        <w:t>міжгенних</w:t>
      </w:r>
      <w:proofErr w:type="spellEnd"/>
      <w:r w:rsidRPr="00520861">
        <w:rPr>
          <w:rFonts w:eastAsia="Calibri"/>
          <w:sz w:val="28"/>
          <w:szCs w:val="28"/>
          <w:lang w:eastAsia="en-US"/>
        </w:rPr>
        <w:t xml:space="preserve"> взаємодій допоможе створити молекулярний профіль відхилень.</w:t>
      </w:r>
    </w:p>
    <w:p w14:paraId="157F50D0" w14:textId="77777777" w:rsidR="002E3CE8" w:rsidRPr="00520861" w:rsidRDefault="002E3CE8" w:rsidP="00292D2E">
      <w:pPr>
        <w:widowControl w:val="0"/>
        <w:spacing w:line="360" w:lineRule="auto"/>
        <w:ind w:firstLine="708"/>
        <w:contextualSpacing/>
        <w:jc w:val="both"/>
        <w:rPr>
          <w:rFonts w:eastAsia="Calibri"/>
          <w:b/>
          <w:spacing w:val="-1"/>
          <w:sz w:val="28"/>
          <w:szCs w:val="28"/>
          <w:lang w:eastAsia="en-US"/>
        </w:rPr>
      </w:pPr>
      <w:r w:rsidRPr="00520861">
        <w:rPr>
          <w:rFonts w:eastAsia="Calibri"/>
          <w:b/>
          <w:spacing w:val="-1"/>
          <w:sz w:val="28"/>
          <w:szCs w:val="28"/>
          <w:lang w:eastAsia="en-US"/>
        </w:rPr>
        <w:lastRenderedPageBreak/>
        <w:t xml:space="preserve">6.7. Результати виявлення асоціації між поліморфізмом генів </w:t>
      </w:r>
      <w:r w:rsidRPr="00520861">
        <w:rPr>
          <w:rFonts w:eastAsia="Calibri"/>
          <w:b/>
          <w:i/>
          <w:spacing w:val="-1"/>
          <w:sz w:val="28"/>
          <w:szCs w:val="28"/>
          <w:lang w:eastAsia="en-US"/>
        </w:rPr>
        <w:t xml:space="preserve">CYP19A1 </w:t>
      </w:r>
      <w:r w:rsidRPr="00520861">
        <w:rPr>
          <w:rFonts w:eastAsia="Calibri"/>
          <w:b/>
          <w:spacing w:val="-1"/>
          <w:sz w:val="28"/>
          <w:szCs w:val="28"/>
          <w:lang w:eastAsia="en-US"/>
        </w:rPr>
        <w:t xml:space="preserve">[rs2414096, rs936306], </w:t>
      </w:r>
      <w:r w:rsidRPr="00520861">
        <w:rPr>
          <w:rFonts w:eastAsia="Calibri"/>
          <w:b/>
          <w:i/>
          <w:spacing w:val="-1"/>
          <w:sz w:val="28"/>
          <w:szCs w:val="28"/>
          <w:lang w:eastAsia="en-US"/>
        </w:rPr>
        <w:t xml:space="preserve">ESR1 </w:t>
      </w:r>
      <w:r w:rsidRPr="00520861">
        <w:rPr>
          <w:rFonts w:eastAsia="Calibri"/>
          <w:b/>
          <w:spacing w:val="-1"/>
          <w:sz w:val="28"/>
          <w:szCs w:val="28"/>
          <w:lang w:eastAsia="en-US"/>
        </w:rPr>
        <w:t xml:space="preserve">[rs2234693, rs9340799], </w:t>
      </w:r>
      <w:r w:rsidRPr="00520861">
        <w:rPr>
          <w:rFonts w:eastAsia="Calibri"/>
          <w:b/>
          <w:i/>
          <w:spacing w:val="-1"/>
          <w:sz w:val="28"/>
          <w:szCs w:val="28"/>
          <w:lang w:eastAsia="en-US"/>
        </w:rPr>
        <w:t>RANKL</w:t>
      </w:r>
      <w:r w:rsidRPr="00520861">
        <w:rPr>
          <w:rFonts w:eastAsia="Calibri"/>
          <w:b/>
          <w:spacing w:val="-1"/>
          <w:sz w:val="28"/>
          <w:szCs w:val="28"/>
          <w:lang w:eastAsia="en-US"/>
        </w:rPr>
        <w:t xml:space="preserve"> [rs9594738, rs9594759], </w:t>
      </w:r>
      <w:r w:rsidRPr="00520861">
        <w:rPr>
          <w:rFonts w:eastAsia="Calibri"/>
          <w:b/>
          <w:i/>
          <w:spacing w:val="-1"/>
          <w:sz w:val="28"/>
          <w:szCs w:val="28"/>
          <w:lang w:eastAsia="en-US"/>
        </w:rPr>
        <w:t xml:space="preserve">IL6 </w:t>
      </w:r>
      <w:r w:rsidRPr="00520861">
        <w:rPr>
          <w:rFonts w:eastAsia="Calibri"/>
          <w:b/>
          <w:spacing w:val="-1"/>
          <w:sz w:val="28"/>
          <w:szCs w:val="28"/>
          <w:lang w:eastAsia="en-US"/>
        </w:rPr>
        <w:t xml:space="preserve">[rs1800796], </w:t>
      </w:r>
      <w:r w:rsidRPr="00520861">
        <w:rPr>
          <w:rFonts w:eastAsia="Calibri"/>
          <w:b/>
          <w:i/>
          <w:spacing w:val="-1"/>
          <w:sz w:val="28"/>
          <w:szCs w:val="28"/>
          <w:lang w:eastAsia="en-US"/>
        </w:rPr>
        <w:t>IL1</w:t>
      </w:r>
      <w:r w:rsidRPr="00520861">
        <w:rPr>
          <w:rFonts w:eastAsia="Calibri"/>
          <w:b/>
          <w:i/>
          <w:spacing w:val="-1"/>
          <w:sz w:val="28"/>
          <w:szCs w:val="28"/>
          <w:lang w:eastAsia="en-US"/>
        </w:rPr>
        <w:sym w:font="Symbol" w:char="F062"/>
      </w:r>
      <w:r w:rsidRPr="00520861">
        <w:rPr>
          <w:rFonts w:eastAsia="Calibri"/>
          <w:b/>
          <w:spacing w:val="-1"/>
          <w:sz w:val="28"/>
          <w:szCs w:val="28"/>
          <w:lang w:eastAsia="en-US"/>
        </w:rPr>
        <w:t xml:space="preserve"> [rs1143627], </w:t>
      </w:r>
      <w:r w:rsidRPr="00520861">
        <w:rPr>
          <w:rFonts w:eastAsia="Calibri"/>
          <w:b/>
          <w:i/>
          <w:spacing w:val="-1"/>
          <w:sz w:val="28"/>
          <w:szCs w:val="28"/>
          <w:lang w:eastAsia="en-US"/>
        </w:rPr>
        <w:t>IL10</w:t>
      </w:r>
      <w:r w:rsidRPr="00520861">
        <w:rPr>
          <w:rFonts w:eastAsia="Calibri"/>
          <w:b/>
          <w:spacing w:val="-1"/>
          <w:sz w:val="28"/>
          <w:szCs w:val="28"/>
          <w:lang w:eastAsia="en-US"/>
        </w:rPr>
        <w:t xml:space="preserve"> [rs1800896] і </w:t>
      </w:r>
      <w:r w:rsidRPr="00520861">
        <w:rPr>
          <w:rFonts w:eastAsia="Calibri"/>
          <w:b/>
          <w:i/>
          <w:spacing w:val="-1"/>
          <w:sz w:val="28"/>
          <w:szCs w:val="28"/>
          <w:lang w:eastAsia="en-US"/>
        </w:rPr>
        <w:t xml:space="preserve">VDR </w:t>
      </w:r>
      <w:r w:rsidRPr="00520861">
        <w:rPr>
          <w:rFonts w:eastAsia="Calibri"/>
          <w:b/>
          <w:spacing w:val="-1"/>
          <w:sz w:val="28"/>
          <w:szCs w:val="28"/>
          <w:lang w:eastAsia="en-US"/>
        </w:rPr>
        <w:t xml:space="preserve">[rs1544410, rs10735810] та ризиком розвитку карієсу постійних зубів в осіб, які народилися </w:t>
      </w:r>
      <w:proofErr w:type="spellStart"/>
      <w:r w:rsidRPr="00520861">
        <w:rPr>
          <w:rFonts w:eastAsia="Calibri"/>
          <w:b/>
          <w:spacing w:val="-1"/>
          <w:sz w:val="28"/>
          <w:szCs w:val="28"/>
          <w:lang w:eastAsia="en-US"/>
        </w:rPr>
        <w:t>макросомами</w:t>
      </w:r>
      <w:proofErr w:type="spellEnd"/>
      <w:r w:rsidRPr="00520861">
        <w:rPr>
          <w:rFonts w:eastAsia="Calibri"/>
          <w:b/>
          <w:spacing w:val="-1"/>
          <w:sz w:val="28"/>
          <w:szCs w:val="28"/>
          <w:lang w:eastAsia="en-US"/>
        </w:rPr>
        <w:t>.</w:t>
      </w:r>
    </w:p>
    <w:p w14:paraId="504BFA0D" w14:textId="77777777" w:rsidR="002E3CE8" w:rsidRPr="00520861" w:rsidRDefault="002E3CE8" w:rsidP="00292D2E">
      <w:pPr>
        <w:widowControl w:val="0"/>
        <w:spacing w:line="360" w:lineRule="auto"/>
        <w:ind w:firstLine="708"/>
        <w:contextualSpacing/>
        <w:jc w:val="both"/>
        <w:rPr>
          <w:rFonts w:eastAsia="Calibri"/>
          <w:bCs/>
          <w:sz w:val="28"/>
          <w:szCs w:val="28"/>
          <w:lang w:eastAsia="en-US"/>
        </w:rPr>
      </w:pPr>
    </w:p>
    <w:p w14:paraId="0DC4B14C" w14:textId="77777777" w:rsidR="002E3CE8" w:rsidRPr="00520861" w:rsidRDefault="002E3CE8" w:rsidP="00292D2E">
      <w:pPr>
        <w:widowControl w:val="0"/>
        <w:spacing w:line="360" w:lineRule="auto"/>
        <w:ind w:firstLine="708"/>
        <w:contextualSpacing/>
        <w:jc w:val="both"/>
        <w:rPr>
          <w:rFonts w:eastAsia="Calibri"/>
          <w:b/>
          <w:sz w:val="28"/>
          <w:szCs w:val="28"/>
          <w:lang w:eastAsia="en-US"/>
        </w:rPr>
      </w:pPr>
      <w:r w:rsidRPr="00520861">
        <w:rPr>
          <w:rFonts w:eastAsia="Calibri"/>
          <w:bCs/>
          <w:sz w:val="28"/>
          <w:szCs w:val="28"/>
          <w:lang w:eastAsia="en-US"/>
        </w:rPr>
        <w:t>Визначені кількісні та процентні р</w:t>
      </w:r>
      <w:r w:rsidRPr="00520861">
        <w:rPr>
          <w:rFonts w:eastAsia="Calibri"/>
          <w:sz w:val="28"/>
          <w:szCs w:val="28"/>
          <w:lang w:eastAsia="en-US"/>
        </w:rPr>
        <w:t>озподіли</w:t>
      </w:r>
      <w:r w:rsidRPr="00520861">
        <w:rPr>
          <w:rFonts w:eastAsia="Calibri"/>
          <w:bCs/>
          <w:sz w:val="28"/>
          <w:szCs w:val="28"/>
          <w:lang w:eastAsia="en-US"/>
        </w:rPr>
        <w:t xml:space="preserve"> </w:t>
      </w:r>
      <w:r w:rsidRPr="00520861">
        <w:rPr>
          <w:rFonts w:eastAsia="Calibri"/>
          <w:sz w:val="28"/>
          <w:szCs w:val="28"/>
          <w:lang w:eastAsia="en-US"/>
        </w:rPr>
        <w:t xml:space="preserve">генотипів за обраними для </w:t>
      </w:r>
      <w:r w:rsidRPr="00520861">
        <w:rPr>
          <w:rFonts w:eastAsia="Calibri"/>
          <w:sz w:val="28"/>
          <w:szCs w:val="28"/>
          <w:lang w:eastAsia="en-US"/>
        </w:rPr>
        <w:br/>
        <w:t>дослідження генами</w:t>
      </w:r>
      <w:r w:rsidRPr="00520861">
        <w:rPr>
          <w:rFonts w:eastAsia="Calibri"/>
          <w:bCs/>
          <w:sz w:val="28"/>
          <w:szCs w:val="28"/>
          <w:lang w:eastAsia="en-US"/>
        </w:rPr>
        <w:t xml:space="preserve"> (</w:t>
      </w:r>
      <w:r w:rsidRPr="00520861">
        <w:rPr>
          <w:rFonts w:eastAsia="Calibri"/>
          <w:sz w:val="28"/>
          <w:szCs w:val="28"/>
          <w:lang w:eastAsia="en-US"/>
        </w:rPr>
        <w:t xml:space="preserve">табл. Б.1.27) </w:t>
      </w:r>
      <w:r w:rsidRPr="00520861">
        <w:rPr>
          <w:rFonts w:eastAsia="Calibri"/>
          <w:bCs/>
          <w:spacing w:val="-2"/>
          <w:sz w:val="28"/>
          <w:szCs w:val="28"/>
          <w:lang w:eastAsia="en-US"/>
        </w:rPr>
        <w:t>в осіб-</w:t>
      </w:r>
      <w:proofErr w:type="spellStart"/>
      <w:r w:rsidRPr="00520861">
        <w:rPr>
          <w:rFonts w:eastAsia="Calibri"/>
          <w:bCs/>
          <w:spacing w:val="-2"/>
          <w:sz w:val="28"/>
          <w:szCs w:val="28"/>
          <w:lang w:eastAsia="en-US"/>
        </w:rPr>
        <w:t>макросомів</w:t>
      </w:r>
      <w:proofErr w:type="spellEnd"/>
      <w:r w:rsidRPr="00520861">
        <w:rPr>
          <w:rFonts w:eastAsia="Calibri"/>
          <w:bCs/>
          <w:spacing w:val="-2"/>
          <w:sz w:val="28"/>
          <w:szCs w:val="28"/>
          <w:lang w:eastAsia="en-US"/>
        </w:rPr>
        <w:t xml:space="preserve"> як основних груп – із середньою інтенсивністю карієсу (ОГ СІК) та високою інтенсивністю карієсу (ОГ ВІК), так і групи порівняння із низькою інтенсивністю карієсу (ГП)</w:t>
      </w:r>
      <w:r w:rsidRPr="00520861">
        <w:rPr>
          <w:rFonts w:eastAsia="Calibri"/>
          <w:spacing w:val="-2"/>
          <w:sz w:val="28"/>
          <w:szCs w:val="28"/>
          <w:lang w:eastAsia="en-US"/>
        </w:rPr>
        <w:t xml:space="preserve">. В об’єднаній </w:t>
      </w:r>
      <w:r w:rsidRPr="00520861">
        <w:rPr>
          <w:rFonts w:eastAsia="Calibri"/>
          <w:bCs/>
          <w:spacing w:val="-2"/>
          <w:sz w:val="28"/>
          <w:szCs w:val="28"/>
          <w:lang w:eastAsia="en-US"/>
        </w:rPr>
        <w:t xml:space="preserve">групі учасників </w:t>
      </w:r>
      <w:r w:rsidRPr="00520861">
        <w:rPr>
          <w:rFonts w:eastAsia="Calibri"/>
          <w:spacing w:val="-2"/>
          <w:sz w:val="28"/>
          <w:szCs w:val="28"/>
          <w:lang w:eastAsia="en-US"/>
        </w:rPr>
        <w:t xml:space="preserve">ці розподіли </w:t>
      </w:r>
      <w:r w:rsidRPr="00520861">
        <w:rPr>
          <w:rFonts w:eastAsia="Calibri"/>
          <w:bCs/>
          <w:spacing w:val="-2"/>
          <w:sz w:val="28"/>
          <w:szCs w:val="28"/>
          <w:lang w:eastAsia="en-US"/>
        </w:rPr>
        <w:t xml:space="preserve">відповідали закону </w:t>
      </w:r>
      <w:proofErr w:type="spellStart"/>
      <w:r w:rsidRPr="00520861">
        <w:rPr>
          <w:rFonts w:eastAsia="Calibri"/>
          <w:bCs/>
          <w:spacing w:val="-2"/>
          <w:sz w:val="28"/>
          <w:szCs w:val="28"/>
          <w:lang w:eastAsia="en-US"/>
        </w:rPr>
        <w:t>Харді-Вайнберга</w:t>
      </w:r>
      <w:proofErr w:type="spellEnd"/>
      <w:r w:rsidRPr="00520861">
        <w:rPr>
          <w:rFonts w:eastAsia="Calibri"/>
          <w:bCs/>
          <w:spacing w:val="-2"/>
          <w:sz w:val="28"/>
          <w:szCs w:val="28"/>
          <w:lang w:eastAsia="en-US"/>
        </w:rPr>
        <w:t xml:space="preserve"> із імовірністю </w:t>
      </w:r>
      <w:r w:rsidR="00E82B0F" w:rsidRPr="00520861">
        <w:rPr>
          <w:rFonts w:eastAsia="Calibri"/>
          <w:sz w:val="28"/>
          <w:szCs w:val="28"/>
          <w:lang w:eastAsia="en-US"/>
        </w:rPr>
        <w:t>похибки</w:t>
      </w:r>
      <w:r w:rsidRPr="00520861">
        <w:rPr>
          <w:rFonts w:eastAsia="Calibri"/>
          <w:bCs/>
          <w:spacing w:val="-2"/>
          <w:sz w:val="28"/>
          <w:szCs w:val="28"/>
          <w:lang w:eastAsia="en-US"/>
        </w:rPr>
        <w:t xml:space="preserve"> </w:t>
      </w:r>
      <w:r w:rsidRPr="00520861">
        <w:rPr>
          <w:rFonts w:eastAsia="Calibri"/>
          <w:bCs/>
          <w:i/>
          <w:spacing w:val="-2"/>
          <w:sz w:val="28"/>
          <w:szCs w:val="28"/>
          <w:lang w:eastAsia="en-US"/>
        </w:rPr>
        <w:t>p</w:t>
      </w:r>
      <w:r w:rsidR="00FF6C32" w:rsidRPr="00520861">
        <w:rPr>
          <w:rFonts w:eastAsia="Calibri"/>
          <w:sz w:val="28"/>
          <w:szCs w:val="28"/>
          <w:lang w:eastAsia="en-US"/>
        </w:rPr>
        <w:t>&lt;</w:t>
      </w:r>
      <w:r w:rsidRPr="00520861">
        <w:rPr>
          <w:rFonts w:eastAsia="Calibri"/>
          <w:bCs/>
          <w:spacing w:val="-2"/>
          <w:sz w:val="28"/>
          <w:szCs w:val="28"/>
          <w:lang w:eastAsia="en-US"/>
        </w:rPr>
        <w:t>0,05.</w:t>
      </w:r>
    </w:p>
    <w:p w14:paraId="4DD26BA7" w14:textId="77777777" w:rsidR="002E3CE8" w:rsidRPr="00520861" w:rsidRDefault="002E3CE8" w:rsidP="00292D2E">
      <w:pPr>
        <w:widowControl w:val="0"/>
        <w:spacing w:line="360" w:lineRule="auto"/>
        <w:ind w:firstLine="709"/>
        <w:jc w:val="both"/>
        <w:rPr>
          <w:rFonts w:eastAsia="Calibri"/>
          <w:color w:val="FF0000"/>
          <w:spacing w:val="-4"/>
          <w:sz w:val="28"/>
          <w:szCs w:val="28"/>
          <w:lang w:eastAsia="en-US"/>
        </w:rPr>
      </w:pPr>
      <w:r w:rsidRPr="00520861">
        <w:rPr>
          <w:rFonts w:eastAsia="Calibri"/>
          <w:sz w:val="28"/>
          <w:szCs w:val="28"/>
          <w:lang w:eastAsia="en-US"/>
        </w:rPr>
        <w:t>Під час порівняння між ОГ СІК та ГП були 10 виявлені значущі відмінності (табл. 6).</w:t>
      </w:r>
      <w:r w:rsidRPr="00520861">
        <w:rPr>
          <w:rFonts w:eastAsia="Calibri"/>
          <w:color w:val="FF0000"/>
          <w:sz w:val="28"/>
          <w:szCs w:val="28"/>
          <w:lang w:eastAsia="en-US"/>
        </w:rPr>
        <w:t xml:space="preserve"> </w:t>
      </w:r>
      <w:r w:rsidRPr="00520861">
        <w:rPr>
          <w:rFonts w:eastAsia="Calibri"/>
          <w:sz w:val="28"/>
          <w:szCs w:val="28"/>
          <w:lang w:eastAsia="en-US"/>
        </w:rPr>
        <w:t xml:space="preserve">Серед осіб із ОГ СІК було виявлене значуще підвищення частоти розповсюдження генотипів СС та СТ за геном </w:t>
      </w:r>
      <w:r w:rsidRPr="00520861">
        <w:rPr>
          <w:rFonts w:eastAsia="Calibri"/>
          <w:i/>
          <w:sz w:val="28"/>
          <w:szCs w:val="28"/>
          <w:lang w:eastAsia="en-US"/>
        </w:rPr>
        <w:t>RANKL: C&gt;T</w:t>
      </w:r>
      <w:r w:rsidRPr="00520861">
        <w:rPr>
          <w:rFonts w:eastAsia="Calibri"/>
          <w:sz w:val="28"/>
          <w:szCs w:val="28"/>
          <w:lang w:eastAsia="en-US"/>
        </w:rPr>
        <w:t xml:space="preserve"> [rs9594738],</w:t>
      </w:r>
      <w:r w:rsidRPr="00520861">
        <w:rPr>
          <w:rFonts w:eastAsia="Calibri"/>
          <w:i/>
          <w:sz w:val="28"/>
          <w:szCs w:val="28"/>
          <w:lang w:eastAsia="en-US"/>
        </w:rPr>
        <w:t xml:space="preserve"> </w:t>
      </w:r>
      <w:r w:rsidRPr="00520861">
        <w:rPr>
          <w:rFonts w:eastAsia="Calibri"/>
          <w:sz w:val="28"/>
          <w:szCs w:val="28"/>
          <w:lang w:eastAsia="en-US"/>
        </w:rPr>
        <w:t>а серед осіб ГП – переважало розповсюдження генотипу ТТ.</w:t>
      </w:r>
      <w:r w:rsidRPr="00520861">
        <w:rPr>
          <w:rFonts w:eastAsia="Calibri"/>
          <w:i/>
          <w:sz w:val="28"/>
          <w:szCs w:val="28"/>
          <w:lang w:eastAsia="en-US"/>
        </w:rPr>
        <w:t xml:space="preserve"> </w:t>
      </w:r>
      <w:r w:rsidRPr="00520861">
        <w:rPr>
          <w:rFonts w:eastAsia="Calibri"/>
          <w:sz w:val="28"/>
          <w:szCs w:val="28"/>
          <w:lang w:eastAsia="en-US"/>
        </w:rPr>
        <w:t xml:space="preserve">Значущими були рецесивна та </w:t>
      </w:r>
      <w:r w:rsidR="00517614" w:rsidRPr="00520861">
        <w:rPr>
          <w:rFonts w:eastAsia="Calibri"/>
          <w:sz w:val="28"/>
          <w:szCs w:val="28"/>
          <w:lang w:eastAsia="en-US"/>
        </w:rPr>
        <w:br/>
      </w:r>
      <w:r w:rsidRPr="00520861">
        <w:rPr>
          <w:rFonts w:eastAsia="Calibri"/>
          <w:spacing w:val="-4"/>
          <w:sz w:val="28"/>
          <w:szCs w:val="28"/>
          <w:lang w:eastAsia="en-US"/>
        </w:rPr>
        <w:t>мультиплікативна моделі успадкування, серед яких остання мала найвищу цінність</w:t>
      </w:r>
      <w:r w:rsidRPr="00520861">
        <w:rPr>
          <w:rFonts w:eastAsia="Calibri"/>
          <w:spacing w:val="-4"/>
          <w:sz w:val="28"/>
          <w:szCs w:val="28"/>
          <w:lang w:val="ru-RU" w:eastAsia="en-US"/>
        </w:rPr>
        <w:t xml:space="preserve"> [40]</w:t>
      </w:r>
      <w:r w:rsidRPr="00520861">
        <w:rPr>
          <w:rFonts w:eastAsia="Calibri"/>
          <w:spacing w:val="-4"/>
          <w:sz w:val="28"/>
          <w:szCs w:val="28"/>
          <w:lang w:eastAsia="en-US"/>
        </w:rPr>
        <w:t>.</w:t>
      </w:r>
    </w:p>
    <w:p w14:paraId="1C78C49B"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Серед осіб ОГ СІК, на відміну від осіб ГП, підвищеною була частота розповсюдження генотипів АG за геном </w:t>
      </w:r>
      <w:r w:rsidRPr="00520861">
        <w:rPr>
          <w:rFonts w:eastAsia="Calibri"/>
          <w:i/>
          <w:sz w:val="28"/>
          <w:szCs w:val="28"/>
          <w:lang w:eastAsia="en-US"/>
        </w:rPr>
        <w:t>VDR: 283 A&gt;G</w:t>
      </w:r>
      <w:r w:rsidRPr="00520861">
        <w:rPr>
          <w:rFonts w:eastAsia="Calibri"/>
          <w:sz w:val="28"/>
          <w:szCs w:val="28"/>
          <w:lang w:eastAsia="en-US"/>
        </w:rPr>
        <w:t xml:space="preserve"> (</w:t>
      </w:r>
      <w:proofErr w:type="spellStart"/>
      <w:r w:rsidRPr="00520861">
        <w:rPr>
          <w:rFonts w:eastAsia="Calibri"/>
          <w:sz w:val="28"/>
          <w:szCs w:val="28"/>
          <w:lang w:eastAsia="en-US"/>
        </w:rPr>
        <w:t>BsmI</w:t>
      </w:r>
      <w:proofErr w:type="spellEnd"/>
      <w:r w:rsidRPr="00520861">
        <w:rPr>
          <w:rFonts w:eastAsia="Calibri"/>
          <w:sz w:val="28"/>
          <w:szCs w:val="28"/>
          <w:lang w:eastAsia="en-US"/>
        </w:rPr>
        <w:t xml:space="preserve">) [rs1544410], а серед осіб з ГП – частота поширення генотипів АА цього гену. Під час розрахунку моделей ризику значущими були адитивна, та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моделі успадкування, серед яких найвищу цінність мала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Отже, наявність алеля А є </w:t>
      </w:r>
      <w:proofErr w:type="spellStart"/>
      <w:r w:rsidRPr="00520861">
        <w:rPr>
          <w:rFonts w:eastAsia="Calibri"/>
          <w:sz w:val="28"/>
          <w:szCs w:val="28"/>
          <w:lang w:eastAsia="en-US"/>
        </w:rPr>
        <w:t>протективним</w:t>
      </w:r>
      <w:proofErr w:type="spellEnd"/>
      <w:r w:rsidRPr="00520861">
        <w:rPr>
          <w:rFonts w:eastAsia="Calibri"/>
          <w:sz w:val="28"/>
          <w:szCs w:val="28"/>
          <w:lang w:eastAsia="en-US"/>
        </w:rPr>
        <w:t xml:space="preserve"> фактором під час формування каріозних уражень в осіб,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w:t>
      </w:r>
    </w:p>
    <w:p w14:paraId="601B271A" w14:textId="77777777" w:rsidR="002E3CE8" w:rsidRPr="00520861" w:rsidRDefault="002E3CE8" w:rsidP="00292D2E">
      <w:pPr>
        <w:widowControl w:val="0"/>
        <w:spacing w:line="360" w:lineRule="auto"/>
        <w:ind w:firstLine="708"/>
        <w:contextualSpacing/>
        <w:jc w:val="both"/>
        <w:rPr>
          <w:rFonts w:eastAsia="Calibri"/>
          <w:i/>
          <w:spacing w:val="-6"/>
          <w:sz w:val="28"/>
          <w:szCs w:val="28"/>
          <w:lang w:eastAsia="en-US"/>
        </w:rPr>
      </w:pPr>
      <w:r w:rsidRPr="00520861">
        <w:rPr>
          <w:rFonts w:eastAsia="Calibri"/>
          <w:sz w:val="28"/>
          <w:szCs w:val="28"/>
          <w:lang w:eastAsia="en-US"/>
        </w:rPr>
        <w:t xml:space="preserve">При порівнянні між ОГ ВІК та ГП були виявлені значущі відмінності (табл. 6.11). </w:t>
      </w:r>
      <w:r w:rsidRPr="00520861">
        <w:rPr>
          <w:rFonts w:eastAsia="Calibri"/>
          <w:spacing w:val="-6"/>
          <w:sz w:val="28"/>
          <w:szCs w:val="28"/>
          <w:lang w:eastAsia="en-US"/>
        </w:rPr>
        <w:t xml:space="preserve">В осіб із ОГ ВІК фіксується підвищення частоти розповсюдження генотипів СС та СТ за геном </w:t>
      </w:r>
      <w:r w:rsidRPr="00520861">
        <w:rPr>
          <w:rFonts w:eastAsia="Calibri"/>
          <w:i/>
          <w:spacing w:val="-6"/>
          <w:sz w:val="28"/>
          <w:szCs w:val="28"/>
          <w:lang w:eastAsia="en-US"/>
        </w:rPr>
        <w:t xml:space="preserve">RANKL: C&gt;T </w:t>
      </w:r>
      <w:r w:rsidRPr="00520861">
        <w:rPr>
          <w:rFonts w:eastAsia="Calibri"/>
          <w:spacing w:val="-6"/>
          <w:sz w:val="28"/>
          <w:szCs w:val="28"/>
          <w:lang w:eastAsia="en-US"/>
        </w:rPr>
        <w:t>[rs9594738], а серед осіб ГП – спостерігалося значиме підвищення розповсюдженості генотипу ТТ.</w:t>
      </w:r>
      <w:r w:rsidRPr="00520861">
        <w:rPr>
          <w:rFonts w:eastAsia="Calibri"/>
          <w:i/>
          <w:spacing w:val="-6"/>
          <w:sz w:val="28"/>
          <w:szCs w:val="28"/>
          <w:lang w:eastAsia="en-US"/>
        </w:rPr>
        <w:t xml:space="preserve"> </w:t>
      </w:r>
      <w:r w:rsidRPr="00520861">
        <w:rPr>
          <w:rFonts w:eastAsia="Calibri"/>
          <w:spacing w:val="-6"/>
          <w:sz w:val="28"/>
          <w:szCs w:val="28"/>
          <w:lang w:eastAsia="en-US"/>
        </w:rPr>
        <w:t xml:space="preserve">Значущими були адитивна, рецесивна та </w:t>
      </w:r>
      <w:r w:rsidRPr="00520861">
        <w:rPr>
          <w:rFonts w:eastAsia="Calibri"/>
          <w:spacing w:val="-6"/>
          <w:sz w:val="28"/>
          <w:szCs w:val="28"/>
          <w:lang w:eastAsia="en-US"/>
        </w:rPr>
        <w:br/>
        <w:t xml:space="preserve">мультиплікативна моделі успадкування, серед яких рецесивна мала найвищу цінність. </w:t>
      </w:r>
    </w:p>
    <w:p w14:paraId="0CB80483"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Отже, наявність алеля С є ризиковим фактором під час формування як середньої, так і високої інтенсивності карієсу, а наявність алеля Т, навпаки, є </w:t>
      </w:r>
      <w:proofErr w:type="spellStart"/>
      <w:r w:rsidRPr="00520861">
        <w:rPr>
          <w:rFonts w:eastAsia="Calibri"/>
          <w:sz w:val="28"/>
          <w:szCs w:val="28"/>
          <w:lang w:eastAsia="en-US"/>
        </w:rPr>
        <w:t>протективним</w:t>
      </w:r>
      <w:proofErr w:type="spellEnd"/>
      <w:r w:rsidRPr="00520861">
        <w:rPr>
          <w:rFonts w:eastAsia="Calibri"/>
          <w:sz w:val="28"/>
          <w:szCs w:val="28"/>
          <w:lang w:eastAsia="en-US"/>
        </w:rPr>
        <w:t xml:space="preserve"> фактором, який попереджає формування каріозних уражень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[40]. </w:t>
      </w:r>
    </w:p>
    <w:p w14:paraId="0A91D6EE" w14:textId="77777777" w:rsidR="002E3CE8" w:rsidRPr="00520861" w:rsidRDefault="002E3CE8" w:rsidP="00292D2E">
      <w:pPr>
        <w:widowControl w:val="0"/>
        <w:spacing w:line="360" w:lineRule="auto"/>
        <w:jc w:val="right"/>
        <w:rPr>
          <w:rFonts w:eastAsia="Calibri"/>
          <w:sz w:val="28"/>
          <w:szCs w:val="28"/>
          <w:lang w:eastAsia="en-US"/>
        </w:rPr>
      </w:pPr>
      <w:r w:rsidRPr="00520861">
        <w:rPr>
          <w:rFonts w:eastAsia="Calibri"/>
          <w:i/>
          <w:sz w:val="28"/>
          <w:szCs w:val="28"/>
          <w:lang w:eastAsia="en-US"/>
        </w:rPr>
        <w:lastRenderedPageBreak/>
        <w:t>Таблиця. 6.10</w:t>
      </w:r>
    </w:p>
    <w:p w14:paraId="17EF2AED" w14:textId="77777777" w:rsidR="002E3CE8" w:rsidRPr="00520861" w:rsidRDefault="002E3CE8" w:rsidP="00292D2E">
      <w:pPr>
        <w:widowControl w:val="0"/>
        <w:spacing w:after="40" w:line="360" w:lineRule="auto"/>
        <w:ind w:firstLine="709"/>
        <w:jc w:val="center"/>
        <w:rPr>
          <w:rFonts w:eastAsia="Calibri"/>
          <w:b/>
          <w:sz w:val="28"/>
          <w:szCs w:val="28"/>
          <w:lang w:eastAsia="en-US"/>
        </w:rPr>
      </w:pPr>
      <w:r w:rsidRPr="00520861">
        <w:rPr>
          <w:rFonts w:eastAsiaTheme="minorHAnsi"/>
          <w:b/>
          <w:sz w:val="28"/>
          <w:szCs w:val="28"/>
          <w:lang w:eastAsia="en-US"/>
        </w:rPr>
        <w:t xml:space="preserve">Порівняння частот розподілу поліморфних варіантів </w:t>
      </w:r>
      <w:r w:rsidRPr="00520861">
        <w:rPr>
          <w:rFonts w:eastAsia="Calibri"/>
          <w:b/>
          <w:sz w:val="28"/>
          <w:szCs w:val="28"/>
          <w:lang w:eastAsia="en-US"/>
        </w:rPr>
        <w:t xml:space="preserve"> за генами </w:t>
      </w:r>
    </w:p>
    <w:p w14:paraId="4D4E7DFE" w14:textId="77777777" w:rsidR="002E3CE8" w:rsidRPr="00520861" w:rsidRDefault="002E3CE8" w:rsidP="00292D2E">
      <w:pPr>
        <w:widowControl w:val="0"/>
        <w:spacing w:after="40" w:line="360" w:lineRule="auto"/>
        <w:ind w:firstLine="709"/>
        <w:jc w:val="center"/>
        <w:rPr>
          <w:rFonts w:eastAsia="Calibri"/>
          <w:b/>
          <w:sz w:val="28"/>
          <w:szCs w:val="28"/>
          <w:lang w:eastAsia="en-US"/>
        </w:rPr>
      </w:pPr>
      <w:r w:rsidRPr="00520861">
        <w:rPr>
          <w:rFonts w:eastAsia="Calibri"/>
          <w:b/>
          <w:i/>
          <w:sz w:val="28"/>
          <w:szCs w:val="28"/>
          <w:lang w:eastAsia="en-US"/>
        </w:rPr>
        <w:t>RANKL: C&gt;T</w:t>
      </w:r>
      <w:r w:rsidRPr="00520861">
        <w:rPr>
          <w:rFonts w:eastAsia="Calibri"/>
          <w:b/>
          <w:sz w:val="28"/>
          <w:szCs w:val="28"/>
          <w:lang w:eastAsia="en-US"/>
        </w:rPr>
        <w:t xml:space="preserve"> [rs9594738] і </w:t>
      </w:r>
      <w:r w:rsidRPr="00520861">
        <w:rPr>
          <w:rFonts w:eastAsia="Calibri"/>
          <w:b/>
          <w:i/>
          <w:sz w:val="28"/>
          <w:szCs w:val="28"/>
          <w:lang w:eastAsia="en-US"/>
        </w:rPr>
        <w:t>VDR: 283</w:t>
      </w:r>
      <w:r w:rsidRPr="00520861">
        <w:rPr>
          <w:rFonts w:eastAsia="Calibri"/>
          <w:b/>
          <w:sz w:val="28"/>
          <w:szCs w:val="28"/>
          <w:lang w:eastAsia="en-US"/>
        </w:rPr>
        <w:t xml:space="preserve"> </w:t>
      </w:r>
      <w:r w:rsidRPr="00520861">
        <w:rPr>
          <w:rFonts w:eastAsia="Calibri"/>
          <w:b/>
          <w:i/>
          <w:sz w:val="28"/>
          <w:szCs w:val="28"/>
          <w:lang w:eastAsia="en-US"/>
        </w:rPr>
        <w:t>A&gt;G (</w:t>
      </w:r>
      <w:proofErr w:type="spellStart"/>
      <w:r w:rsidRPr="00520861">
        <w:rPr>
          <w:rFonts w:eastAsia="Calibri"/>
          <w:b/>
          <w:i/>
          <w:sz w:val="28"/>
          <w:szCs w:val="28"/>
          <w:lang w:eastAsia="en-US"/>
        </w:rPr>
        <w:t>BsmI</w:t>
      </w:r>
      <w:proofErr w:type="spellEnd"/>
      <w:r w:rsidRPr="00520861">
        <w:rPr>
          <w:rFonts w:eastAsia="Calibri"/>
          <w:b/>
          <w:i/>
          <w:sz w:val="28"/>
          <w:szCs w:val="28"/>
          <w:lang w:eastAsia="en-US"/>
        </w:rPr>
        <w:t>)</w:t>
      </w:r>
      <w:r w:rsidRPr="00520861">
        <w:rPr>
          <w:rFonts w:eastAsia="Calibri"/>
          <w:b/>
          <w:sz w:val="28"/>
          <w:szCs w:val="28"/>
          <w:lang w:eastAsia="en-US"/>
        </w:rPr>
        <w:t xml:space="preserve"> в осіб ОГ СІК та ГП</w:t>
      </w:r>
    </w:p>
    <w:tbl>
      <w:tblPr>
        <w:tblStyle w:val="430"/>
        <w:tblW w:w="9781" w:type="dxa"/>
        <w:jc w:val="center"/>
        <w:tblLook w:val="04A0" w:firstRow="1" w:lastRow="0" w:firstColumn="1" w:lastColumn="0" w:noHBand="0" w:noVBand="1"/>
      </w:tblPr>
      <w:tblGrid>
        <w:gridCol w:w="2122"/>
        <w:gridCol w:w="1724"/>
        <w:gridCol w:w="1417"/>
        <w:gridCol w:w="1290"/>
        <w:gridCol w:w="2089"/>
        <w:gridCol w:w="1139"/>
      </w:tblGrid>
      <w:tr w:rsidR="002E3CE8" w:rsidRPr="00520861" w14:paraId="14B2219C" w14:textId="77777777" w:rsidTr="00292D2E">
        <w:trPr>
          <w:jc w:val="center"/>
        </w:trPr>
        <w:tc>
          <w:tcPr>
            <w:tcW w:w="2122" w:type="dxa"/>
            <w:vMerge w:val="restart"/>
            <w:tcBorders>
              <w:top w:val="single" w:sz="4" w:space="0" w:color="auto"/>
              <w:left w:val="single" w:sz="4" w:space="0" w:color="auto"/>
              <w:bottom w:val="single" w:sz="4" w:space="0" w:color="auto"/>
              <w:right w:val="single" w:sz="4" w:space="0" w:color="auto"/>
            </w:tcBorders>
            <w:hideMark/>
          </w:tcPr>
          <w:p w14:paraId="57446671" w14:textId="77777777" w:rsidR="002E3CE8" w:rsidRPr="00520861" w:rsidRDefault="002E3CE8" w:rsidP="00292D2E">
            <w:pPr>
              <w:widowControl w:val="0"/>
              <w:spacing w:line="360" w:lineRule="auto"/>
              <w:contextualSpacing/>
              <w:jc w:val="center"/>
              <w:rPr>
                <w:rFonts w:eastAsiaTheme="minorHAnsi" w:cs="Times New Roman"/>
                <w:sz w:val="28"/>
                <w:szCs w:val="28"/>
              </w:rPr>
            </w:pPr>
          </w:p>
          <w:p w14:paraId="761AEFD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Ген</w:t>
            </w:r>
          </w:p>
        </w:tc>
        <w:tc>
          <w:tcPr>
            <w:tcW w:w="1724" w:type="dxa"/>
            <w:vMerge w:val="restart"/>
            <w:tcBorders>
              <w:top w:val="single" w:sz="4" w:space="0" w:color="auto"/>
              <w:left w:val="single" w:sz="4" w:space="0" w:color="auto"/>
              <w:bottom w:val="single" w:sz="4" w:space="0" w:color="auto"/>
              <w:right w:val="single" w:sz="4" w:space="0" w:color="auto"/>
            </w:tcBorders>
            <w:hideMark/>
          </w:tcPr>
          <w:p w14:paraId="026FEF70" w14:textId="77777777" w:rsidR="002E3CE8" w:rsidRPr="00520861" w:rsidRDefault="002E3CE8" w:rsidP="00292D2E">
            <w:pPr>
              <w:widowControl w:val="0"/>
              <w:spacing w:line="360" w:lineRule="auto"/>
              <w:contextualSpacing/>
              <w:jc w:val="center"/>
              <w:rPr>
                <w:rFonts w:eastAsiaTheme="minorHAnsi" w:cs="Times New Roman"/>
                <w:sz w:val="28"/>
                <w:szCs w:val="28"/>
              </w:rPr>
            </w:pPr>
          </w:p>
          <w:p w14:paraId="1B41578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Генотип</w:t>
            </w:r>
          </w:p>
        </w:tc>
        <w:tc>
          <w:tcPr>
            <w:tcW w:w="5935" w:type="dxa"/>
            <w:gridSpan w:val="4"/>
            <w:tcBorders>
              <w:top w:val="single" w:sz="4" w:space="0" w:color="auto"/>
              <w:left w:val="single" w:sz="4" w:space="0" w:color="auto"/>
              <w:bottom w:val="single" w:sz="4" w:space="0" w:color="auto"/>
              <w:right w:val="single" w:sz="4" w:space="0" w:color="auto"/>
            </w:tcBorders>
            <w:hideMark/>
          </w:tcPr>
          <w:p w14:paraId="34C8C17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Результати статистичного аналізу</w:t>
            </w:r>
          </w:p>
        </w:tc>
      </w:tr>
      <w:tr w:rsidR="002E3CE8" w:rsidRPr="00520861" w14:paraId="1846C0D3" w14:textId="77777777" w:rsidTr="00292D2E">
        <w:trPr>
          <w:jc w:val="center"/>
        </w:trPr>
        <w:tc>
          <w:tcPr>
            <w:tcW w:w="2122" w:type="dxa"/>
            <w:vMerge/>
            <w:tcBorders>
              <w:top w:val="single" w:sz="4" w:space="0" w:color="auto"/>
              <w:left w:val="single" w:sz="4" w:space="0" w:color="auto"/>
              <w:bottom w:val="single" w:sz="4" w:space="0" w:color="auto"/>
              <w:right w:val="single" w:sz="4" w:space="0" w:color="auto"/>
            </w:tcBorders>
            <w:vAlign w:val="center"/>
            <w:hideMark/>
          </w:tcPr>
          <w:p w14:paraId="10C0266E"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14:paraId="368F0BC0"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417" w:type="dxa"/>
            <w:tcBorders>
              <w:top w:val="single" w:sz="4" w:space="0" w:color="auto"/>
              <w:left w:val="single" w:sz="4" w:space="0" w:color="auto"/>
              <w:bottom w:val="single" w:sz="4" w:space="0" w:color="auto"/>
              <w:right w:val="single" w:sz="4" w:space="0" w:color="auto"/>
            </w:tcBorders>
            <w:hideMark/>
          </w:tcPr>
          <w:p w14:paraId="28C28AA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sym w:font="Symbol" w:char="F063"/>
            </w:r>
            <w:r w:rsidRPr="00520861">
              <w:rPr>
                <w:rFonts w:eastAsiaTheme="minorHAnsi" w:cs="Times New Roman"/>
                <w:sz w:val="28"/>
                <w:szCs w:val="28"/>
                <w:vertAlign w:val="superscript"/>
              </w:rPr>
              <w:t>2</w:t>
            </w:r>
            <w:r w:rsidRPr="00520861">
              <w:rPr>
                <w:rFonts w:eastAsiaTheme="minorHAnsi" w:cs="Times New Roman"/>
                <w:sz w:val="28"/>
                <w:szCs w:val="28"/>
              </w:rPr>
              <w:t xml:space="preserve"> (</w:t>
            </w:r>
            <w:proofErr w:type="spellStart"/>
            <w:r w:rsidRPr="00520861">
              <w:rPr>
                <w:rFonts w:eastAsiaTheme="minorHAnsi" w:cs="Times New Roman"/>
                <w:sz w:val="28"/>
                <w:szCs w:val="28"/>
              </w:rPr>
              <w:t>Йєтс</w:t>
            </w:r>
            <w:proofErr w:type="spellEnd"/>
            <w:r w:rsidRPr="00520861">
              <w:rPr>
                <w:rFonts w:eastAsiaTheme="minorHAnsi" w:cs="Times New Roman"/>
                <w:sz w:val="28"/>
                <w:szCs w:val="28"/>
              </w:rPr>
              <w:t>)</w:t>
            </w:r>
          </w:p>
        </w:tc>
        <w:tc>
          <w:tcPr>
            <w:tcW w:w="1290" w:type="dxa"/>
            <w:tcBorders>
              <w:top w:val="single" w:sz="4" w:space="0" w:color="auto"/>
              <w:left w:val="single" w:sz="4" w:space="0" w:color="auto"/>
              <w:bottom w:val="single" w:sz="4" w:space="0" w:color="auto"/>
              <w:right w:val="single" w:sz="4" w:space="0" w:color="auto"/>
            </w:tcBorders>
            <w:hideMark/>
          </w:tcPr>
          <w:p w14:paraId="4A4E3AE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ВШ</w:t>
            </w:r>
          </w:p>
        </w:tc>
        <w:tc>
          <w:tcPr>
            <w:tcW w:w="2089" w:type="dxa"/>
            <w:tcBorders>
              <w:top w:val="single" w:sz="4" w:space="0" w:color="auto"/>
              <w:left w:val="single" w:sz="4" w:space="0" w:color="auto"/>
              <w:bottom w:val="single" w:sz="4" w:space="0" w:color="auto"/>
              <w:right w:val="single" w:sz="4" w:space="0" w:color="auto"/>
            </w:tcBorders>
            <w:hideMark/>
          </w:tcPr>
          <w:p w14:paraId="3637858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95% ДІ</w:t>
            </w:r>
          </w:p>
        </w:tc>
        <w:tc>
          <w:tcPr>
            <w:tcW w:w="1139" w:type="dxa"/>
            <w:tcBorders>
              <w:top w:val="single" w:sz="4" w:space="0" w:color="auto"/>
              <w:left w:val="single" w:sz="4" w:space="0" w:color="auto"/>
              <w:bottom w:val="single" w:sz="4" w:space="0" w:color="auto"/>
              <w:right w:val="single" w:sz="4" w:space="0" w:color="auto"/>
            </w:tcBorders>
            <w:hideMark/>
          </w:tcPr>
          <w:p w14:paraId="0B09F69E"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P</w:t>
            </w:r>
          </w:p>
        </w:tc>
      </w:tr>
      <w:tr w:rsidR="002E3CE8" w:rsidRPr="00520861" w14:paraId="22DD5D27" w14:textId="77777777" w:rsidTr="00292D2E">
        <w:trPr>
          <w:jc w:val="center"/>
        </w:trPr>
        <w:tc>
          <w:tcPr>
            <w:tcW w:w="2122" w:type="dxa"/>
            <w:tcBorders>
              <w:top w:val="single" w:sz="4" w:space="0" w:color="auto"/>
              <w:left w:val="single" w:sz="4" w:space="0" w:color="auto"/>
              <w:bottom w:val="single" w:sz="4" w:space="0" w:color="auto"/>
              <w:right w:val="single" w:sz="4" w:space="0" w:color="auto"/>
            </w:tcBorders>
            <w:vAlign w:val="center"/>
          </w:tcPr>
          <w:p w14:paraId="6D6025AF"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1</w:t>
            </w:r>
          </w:p>
        </w:tc>
        <w:tc>
          <w:tcPr>
            <w:tcW w:w="1724" w:type="dxa"/>
            <w:tcBorders>
              <w:top w:val="single" w:sz="4" w:space="0" w:color="auto"/>
              <w:left w:val="single" w:sz="4" w:space="0" w:color="auto"/>
              <w:bottom w:val="single" w:sz="4" w:space="0" w:color="auto"/>
              <w:right w:val="single" w:sz="4" w:space="0" w:color="auto"/>
            </w:tcBorders>
            <w:vAlign w:val="center"/>
          </w:tcPr>
          <w:p w14:paraId="1C928BE9"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2</w:t>
            </w:r>
          </w:p>
        </w:tc>
        <w:tc>
          <w:tcPr>
            <w:tcW w:w="1417" w:type="dxa"/>
            <w:tcBorders>
              <w:top w:val="single" w:sz="4" w:space="0" w:color="auto"/>
              <w:left w:val="single" w:sz="4" w:space="0" w:color="auto"/>
              <w:bottom w:val="single" w:sz="4" w:space="0" w:color="auto"/>
              <w:right w:val="single" w:sz="4" w:space="0" w:color="auto"/>
            </w:tcBorders>
          </w:tcPr>
          <w:p w14:paraId="3D0E1B5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w:t>
            </w:r>
          </w:p>
        </w:tc>
        <w:tc>
          <w:tcPr>
            <w:tcW w:w="1290" w:type="dxa"/>
            <w:tcBorders>
              <w:top w:val="single" w:sz="4" w:space="0" w:color="auto"/>
              <w:left w:val="single" w:sz="4" w:space="0" w:color="auto"/>
              <w:bottom w:val="single" w:sz="4" w:space="0" w:color="auto"/>
              <w:right w:val="single" w:sz="4" w:space="0" w:color="auto"/>
            </w:tcBorders>
          </w:tcPr>
          <w:p w14:paraId="613B030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w:t>
            </w:r>
          </w:p>
        </w:tc>
        <w:tc>
          <w:tcPr>
            <w:tcW w:w="2089" w:type="dxa"/>
            <w:tcBorders>
              <w:top w:val="single" w:sz="4" w:space="0" w:color="auto"/>
              <w:left w:val="single" w:sz="4" w:space="0" w:color="auto"/>
              <w:bottom w:val="single" w:sz="4" w:space="0" w:color="auto"/>
              <w:right w:val="single" w:sz="4" w:space="0" w:color="auto"/>
            </w:tcBorders>
          </w:tcPr>
          <w:p w14:paraId="2FF05FD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w:t>
            </w:r>
          </w:p>
        </w:tc>
        <w:tc>
          <w:tcPr>
            <w:tcW w:w="1139" w:type="dxa"/>
            <w:tcBorders>
              <w:top w:val="single" w:sz="4" w:space="0" w:color="auto"/>
              <w:left w:val="single" w:sz="4" w:space="0" w:color="auto"/>
              <w:bottom w:val="single" w:sz="4" w:space="0" w:color="auto"/>
              <w:right w:val="single" w:sz="4" w:space="0" w:color="auto"/>
            </w:tcBorders>
          </w:tcPr>
          <w:p w14:paraId="33998057"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6</w:t>
            </w:r>
          </w:p>
        </w:tc>
      </w:tr>
      <w:tr w:rsidR="002E3CE8" w:rsidRPr="00520861" w14:paraId="0146C968" w14:textId="77777777" w:rsidTr="00292D2E">
        <w:trPr>
          <w:jc w:val="center"/>
        </w:trPr>
        <w:tc>
          <w:tcPr>
            <w:tcW w:w="2122" w:type="dxa"/>
            <w:vMerge w:val="restart"/>
            <w:tcBorders>
              <w:top w:val="single" w:sz="4" w:space="0" w:color="auto"/>
              <w:left w:val="single" w:sz="4" w:space="0" w:color="auto"/>
              <w:right w:val="single" w:sz="4" w:space="0" w:color="auto"/>
            </w:tcBorders>
          </w:tcPr>
          <w:p w14:paraId="214B68F4"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RANKL:</w:t>
            </w:r>
          </w:p>
          <w:p w14:paraId="65060C90"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 xml:space="preserve"> C&gt;T</w:t>
            </w:r>
          </w:p>
          <w:p w14:paraId="341CEBC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 xml:space="preserve"> [rs9594738]</w:t>
            </w:r>
          </w:p>
        </w:tc>
        <w:tc>
          <w:tcPr>
            <w:tcW w:w="7659" w:type="dxa"/>
            <w:gridSpan w:val="5"/>
            <w:tcBorders>
              <w:top w:val="single" w:sz="4" w:space="0" w:color="auto"/>
              <w:left w:val="single" w:sz="4" w:space="0" w:color="auto"/>
              <w:bottom w:val="single" w:sz="4" w:space="0" w:color="auto"/>
              <w:right w:val="single" w:sz="4" w:space="0" w:color="auto"/>
            </w:tcBorders>
          </w:tcPr>
          <w:p w14:paraId="548EB1C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Адитивна модель</w:t>
            </w:r>
          </w:p>
        </w:tc>
      </w:tr>
      <w:tr w:rsidR="002E3CE8" w:rsidRPr="00520861" w14:paraId="27E47E05" w14:textId="77777777" w:rsidTr="00292D2E">
        <w:trPr>
          <w:jc w:val="center"/>
        </w:trPr>
        <w:tc>
          <w:tcPr>
            <w:tcW w:w="2122" w:type="dxa"/>
            <w:vMerge/>
            <w:tcBorders>
              <w:left w:val="single" w:sz="4" w:space="0" w:color="auto"/>
              <w:right w:val="single" w:sz="4" w:space="0" w:color="auto"/>
            </w:tcBorders>
            <w:hideMark/>
          </w:tcPr>
          <w:p w14:paraId="13A95168"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4" w:type="dxa"/>
            <w:tcBorders>
              <w:top w:val="single" w:sz="4" w:space="0" w:color="auto"/>
              <w:left w:val="single" w:sz="4" w:space="0" w:color="auto"/>
              <w:bottom w:val="single" w:sz="4" w:space="0" w:color="auto"/>
              <w:right w:val="single" w:sz="4" w:space="0" w:color="auto"/>
            </w:tcBorders>
            <w:hideMark/>
          </w:tcPr>
          <w:p w14:paraId="61A4C63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w:t>
            </w:r>
          </w:p>
          <w:p w14:paraId="0955239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CT</w:t>
            </w:r>
          </w:p>
          <w:p w14:paraId="2243B79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TT</w:t>
            </w:r>
          </w:p>
        </w:tc>
        <w:tc>
          <w:tcPr>
            <w:tcW w:w="1417" w:type="dxa"/>
            <w:tcBorders>
              <w:top w:val="single" w:sz="4" w:space="0" w:color="auto"/>
              <w:left w:val="single" w:sz="4" w:space="0" w:color="auto"/>
              <w:bottom w:val="single" w:sz="4" w:space="0" w:color="auto"/>
              <w:right w:val="single" w:sz="4" w:space="0" w:color="auto"/>
            </w:tcBorders>
            <w:hideMark/>
          </w:tcPr>
          <w:p w14:paraId="1AE7043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4,710</w:t>
            </w:r>
          </w:p>
        </w:tc>
        <w:tc>
          <w:tcPr>
            <w:tcW w:w="1290" w:type="dxa"/>
            <w:tcBorders>
              <w:top w:val="single" w:sz="4" w:space="0" w:color="auto"/>
              <w:left w:val="single" w:sz="4" w:space="0" w:color="auto"/>
              <w:bottom w:val="single" w:sz="4" w:space="0" w:color="auto"/>
              <w:right w:val="single" w:sz="4" w:space="0" w:color="auto"/>
            </w:tcBorders>
            <w:hideMark/>
          </w:tcPr>
          <w:p w14:paraId="2B9A264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2,667</w:t>
            </w:r>
          </w:p>
          <w:p w14:paraId="53BA1E6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2,000</w:t>
            </w:r>
          </w:p>
          <w:p w14:paraId="262DDF6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0,205</w:t>
            </w:r>
          </w:p>
        </w:tc>
        <w:tc>
          <w:tcPr>
            <w:tcW w:w="2089" w:type="dxa"/>
            <w:tcBorders>
              <w:top w:val="single" w:sz="4" w:space="0" w:color="auto"/>
              <w:left w:val="single" w:sz="4" w:space="0" w:color="auto"/>
              <w:bottom w:val="single" w:sz="4" w:space="0" w:color="auto"/>
              <w:right w:val="single" w:sz="4" w:space="0" w:color="auto"/>
            </w:tcBorders>
            <w:hideMark/>
          </w:tcPr>
          <w:p w14:paraId="48E0B89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0,715-9,951</w:t>
            </w:r>
          </w:p>
          <w:p w14:paraId="7016D6A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0,574-6,968</w:t>
            </w:r>
          </w:p>
          <w:p w14:paraId="3735449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0,058-0,718</w:t>
            </w:r>
          </w:p>
        </w:tc>
        <w:tc>
          <w:tcPr>
            <w:tcW w:w="1139" w:type="dxa"/>
            <w:tcBorders>
              <w:top w:val="single" w:sz="4" w:space="0" w:color="auto"/>
              <w:left w:val="single" w:sz="4" w:space="0" w:color="auto"/>
              <w:bottom w:val="single" w:sz="4" w:space="0" w:color="auto"/>
              <w:right w:val="single" w:sz="4" w:space="0" w:color="auto"/>
            </w:tcBorders>
            <w:hideMark/>
          </w:tcPr>
          <w:p w14:paraId="11954E2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0,095</w:t>
            </w:r>
          </w:p>
        </w:tc>
      </w:tr>
      <w:tr w:rsidR="002E3CE8" w:rsidRPr="00520861" w14:paraId="400A62FF" w14:textId="77777777" w:rsidTr="00292D2E">
        <w:trPr>
          <w:jc w:val="center"/>
        </w:trPr>
        <w:tc>
          <w:tcPr>
            <w:tcW w:w="2122" w:type="dxa"/>
            <w:vMerge/>
            <w:tcBorders>
              <w:left w:val="single" w:sz="4" w:space="0" w:color="auto"/>
              <w:right w:val="single" w:sz="4" w:space="0" w:color="auto"/>
            </w:tcBorders>
          </w:tcPr>
          <w:p w14:paraId="03C35AB7"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659" w:type="dxa"/>
            <w:gridSpan w:val="5"/>
            <w:tcBorders>
              <w:top w:val="single" w:sz="4" w:space="0" w:color="auto"/>
              <w:left w:val="single" w:sz="4" w:space="0" w:color="auto"/>
              <w:bottom w:val="single" w:sz="4" w:space="0" w:color="auto"/>
              <w:right w:val="single" w:sz="4" w:space="0" w:color="auto"/>
            </w:tcBorders>
          </w:tcPr>
          <w:p w14:paraId="787BCA3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Рецесивна модель</w:t>
            </w:r>
          </w:p>
        </w:tc>
      </w:tr>
      <w:tr w:rsidR="002E3CE8" w:rsidRPr="00520861" w14:paraId="3DE65FA2" w14:textId="77777777" w:rsidTr="00292D2E">
        <w:trPr>
          <w:jc w:val="center"/>
        </w:trPr>
        <w:tc>
          <w:tcPr>
            <w:tcW w:w="2122" w:type="dxa"/>
            <w:vMerge/>
            <w:tcBorders>
              <w:left w:val="single" w:sz="4" w:space="0" w:color="auto"/>
              <w:right w:val="single" w:sz="4" w:space="0" w:color="auto"/>
            </w:tcBorders>
          </w:tcPr>
          <w:p w14:paraId="6984AC92"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4" w:type="dxa"/>
            <w:tcBorders>
              <w:top w:val="single" w:sz="4" w:space="0" w:color="auto"/>
              <w:left w:val="single" w:sz="4" w:space="0" w:color="auto"/>
              <w:bottom w:val="single" w:sz="4" w:space="0" w:color="auto"/>
              <w:right w:val="single" w:sz="4" w:space="0" w:color="auto"/>
            </w:tcBorders>
          </w:tcPr>
          <w:p w14:paraId="21DD586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CC+CT</w:t>
            </w:r>
          </w:p>
          <w:p w14:paraId="43940D9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TT</w:t>
            </w:r>
          </w:p>
        </w:tc>
        <w:tc>
          <w:tcPr>
            <w:tcW w:w="1417" w:type="dxa"/>
            <w:tcBorders>
              <w:top w:val="single" w:sz="4" w:space="0" w:color="auto"/>
              <w:left w:val="single" w:sz="4" w:space="0" w:color="auto"/>
              <w:bottom w:val="single" w:sz="4" w:space="0" w:color="auto"/>
              <w:right w:val="single" w:sz="4" w:space="0" w:color="auto"/>
            </w:tcBorders>
          </w:tcPr>
          <w:p w14:paraId="21DAA5A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5,084</w:t>
            </w:r>
          </w:p>
        </w:tc>
        <w:tc>
          <w:tcPr>
            <w:tcW w:w="1290" w:type="dxa"/>
            <w:tcBorders>
              <w:top w:val="single" w:sz="4" w:space="0" w:color="auto"/>
              <w:left w:val="single" w:sz="4" w:space="0" w:color="auto"/>
              <w:bottom w:val="single" w:sz="4" w:space="0" w:color="auto"/>
              <w:right w:val="single" w:sz="4" w:space="0" w:color="auto"/>
            </w:tcBorders>
          </w:tcPr>
          <w:p w14:paraId="5C1220A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4,889</w:t>
            </w:r>
          </w:p>
          <w:p w14:paraId="3E7AB15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0,205</w:t>
            </w:r>
          </w:p>
        </w:tc>
        <w:tc>
          <w:tcPr>
            <w:tcW w:w="2089" w:type="dxa"/>
            <w:tcBorders>
              <w:top w:val="single" w:sz="4" w:space="0" w:color="auto"/>
              <w:left w:val="single" w:sz="4" w:space="0" w:color="auto"/>
              <w:bottom w:val="single" w:sz="4" w:space="0" w:color="auto"/>
              <w:right w:val="single" w:sz="4" w:space="0" w:color="auto"/>
            </w:tcBorders>
          </w:tcPr>
          <w:p w14:paraId="03F1D27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1,393-17,159</w:t>
            </w:r>
          </w:p>
          <w:p w14:paraId="6F24B94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0,058-0,718</w:t>
            </w:r>
          </w:p>
        </w:tc>
        <w:tc>
          <w:tcPr>
            <w:tcW w:w="1139" w:type="dxa"/>
            <w:tcBorders>
              <w:top w:val="single" w:sz="4" w:space="0" w:color="auto"/>
              <w:left w:val="single" w:sz="4" w:space="0" w:color="auto"/>
              <w:bottom w:val="single" w:sz="4" w:space="0" w:color="auto"/>
              <w:right w:val="single" w:sz="4" w:space="0" w:color="auto"/>
            </w:tcBorders>
          </w:tcPr>
          <w:p w14:paraId="6EE40D7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0,024</w:t>
            </w:r>
          </w:p>
        </w:tc>
      </w:tr>
      <w:tr w:rsidR="002E3CE8" w:rsidRPr="00520861" w14:paraId="62FDDBC8" w14:textId="77777777" w:rsidTr="00292D2E">
        <w:trPr>
          <w:jc w:val="center"/>
        </w:trPr>
        <w:tc>
          <w:tcPr>
            <w:tcW w:w="2122" w:type="dxa"/>
            <w:vMerge/>
            <w:tcBorders>
              <w:left w:val="single" w:sz="4" w:space="0" w:color="auto"/>
              <w:right w:val="single" w:sz="4" w:space="0" w:color="auto"/>
            </w:tcBorders>
          </w:tcPr>
          <w:p w14:paraId="49EFA0FE"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659" w:type="dxa"/>
            <w:gridSpan w:val="5"/>
            <w:tcBorders>
              <w:top w:val="single" w:sz="4" w:space="0" w:color="auto"/>
              <w:left w:val="single" w:sz="4" w:space="0" w:color="auto"/>
              <w:bottom w:val="single" w:sz="4" w:space="0" w:color="auto"/>
              <w:right w:val="single" w:sz="4" w:space="0" w:color="auto"/>
            </w:tcBorders>
          </w:tcPr>
          <w:p w14:paraId="090013A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Домінантна модель</w:t>
            </w:r>
          </w:p>
        </w:tc>
      </w:tr>
      <w:tr w:rsidR="002E3CE8" w:rsidRPr="00520861" w14:paraId="13E9A5FE" w14:textId="77777777" w:rsidTr="00292D2E">
        <w:trPr>
          <w:jc w:val="center"/>
        </w:trPr>
        <w:tc>
          <w:tcPr>
            <w:tcW w:w="2122" w:type="dxa"/>
            <w:vMerge/>
            <w:tcBorders>
              <w:left w:val="single" w:sz="4" w:space="0" w:color="auto"/>
              <w:right w:val="single" w:sz="4" w:space="0" w:color="auto"/>
            </w:tcBorders>
          </w:tcPr>
          <w:p w14:paraId="3FE56EC2"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4" w:type="dxa"/>
            <w:tcBorders>
              <w:top w:val="single" w:sz="4" w:space="0" w:color="auto"/>
              <w:left w:val="single" w:sz="4" w:space="0" w:color="auto"/>
              <w:bottom w:val="single" w:sz="4" w:space="0" w:color="auto"/>
              <w:right w:val="single" w:sz="4" w:space="0" w:color="auto"/>
            </w:tcBorders>
          </w:tcPr>
          <w:p w14:paraId="5FD6DFE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w:t>
            </w:r>
          </w:p>
          <w:p w14:paraId="5159133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CT+TT</w:t>
            </w:r>
          </w:p>
        </w:tc>
        <w:tc>
          <w:tcPr>
            <w:tcW w:w="1417" w:type="dxa"/>
            <w:tcBorders>
              <w:top w:val="single" w:sz="4" w:space="0" w:color="auto"/>
              <w:left w:val="single" w:sz="4" w:space="0" w:color="auto"/>
              <w:bottom w:val="single" w:sz="4" w:space="0" w:color="auto"/>
              <w:right w:val="single" w:sz="4" w:space="0" w:color="auto"/>
            </w:tcBorders>
          </w:tcPr>
          <w:p w14:paraId="6143CEF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1,383</w:t>
            </w:r>
          </w:p>
        </w:tc>
        <w:tc>
          <w:tcPr>
            <w:tcW w:w="1290" w:type="dxa"/>
            <w:tcBorders>
              <w:top w:val="single" w:sz="4" w:space="0" w:color="auto"/>
              <w:left w:val="single" w:sz="4" w:space="0" w:color="auto"/>
              <w:bottom w:val="single" w:sz="4" w:space="0" w:color="auto"/>
              <w:right w:val="single" w:sz="4" w:space="0" w:color="auto"/>
            </w:tcBorders>
          </w:tcPr>
          <w:p w14:paraId="0167E8B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2,667</w:t>
            </w:r>
          </w:p>
          <w:p w14:paraId="0A56BE0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0,375</w:t>
            </w:r>
          </w:p>
        </w:tc>
        <w:tc>
          <w:tcPr>
            <w:tcW w:w="2089" w:type="dxa"/>
            <w:tcBorders>
              <w:top w:val="single" w:sz="4" w:space="0" w:color="auto"/>
              <w:left w:val="single" w:sz="4" w:space="0" w:color="auto"/>
              <w:bottom w:val="single" w:sz="4" w:space="0" w:color="auto"/>
              <w:right w:val="single" w:sz="4" w:space="0" w:color="auto"/>
            </w:tcBorders>
          </w:tcPr>
          <w:p w14:paraId="3CC498F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0,715-9,951</w:t>
            </w:r>
          </w:p>
          <w:p w14:paraId="5D2DF8B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0,100-1,399</w:t>
            </w:r>
          </w:p>
        </w:tc>
        <w:tc>
          <w:tcPr>
            <w:tcW w:w="1139" w:type="dxa"/>
            <w:tcBorders>
              <w:top w:val="single" w:sz="4" w:space="0" w:color="auto"/>
              <w:left w:val="single" w:sz="4" w:space="0" w:color="auto"/>
              <w:bottom w:val="single" w:sz="4" w:space="0" w:color="auto"/>
              <w:right w:val="single" w:sz="4" w:space="0" w:color="auto"/>
            </w:tcBorders>
          </w:tcPr>
          <w:p w14:paraId="47AB5BB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0,240</w:t>
            </w:r>
          </w:p>
        </w:tc>
      </w:tr>
      <w:tr w:rsidR="002E3CE8" w:rsidRPr="00520861" w14:paraId="5171DBBA" w14:textId="77777777" w:rsidTr="00292D2E">
        <w:trPr>
          <w:jc w:val="center"/>
        </w:trPr>
        <w:tc>
          <w:tcPr>
            <w:tcW w:w="2122" w:type="dxa"/>
            <w:vMerge/>
            <w:tcBorders>
              <w:left w:val="single" w:sz="4" w:space="0" w:color="auto"/>
              <w:right w:val="single" w:sz="4" w:space="0" w:color="auto"/>
            </w:tcBorders>
          </w:tcPr>
          <w:p w14:paraId="0591AB16"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659" w:type="dxa"/>
            <w:gridSpan w:val="5"/>
            <w:tcBorders>
              <w:top w:val="single" w:sz="4" w:space="0" w:color="auto"/>
              <w:left w:val="single" w:sz="4" w:space="0" w:color="auto"/>
              <w:bottom w:val="single" w:sz="4" w:space="0" w:color="auto"/>
              <w:right w:val="single" w:sz="4" w:space="0" w:color="auto"/>
            </w:tcBorders>
          </w:tcPr>
          <w:p w14:paraId="405D2C1B" w14:textId="77777777" w:rsidR="002E3CE8" w:rsidRPr="00520861" w:rsidRDefault="002E3CE8" w:rsidP="00292D2E">
            <w:pPr>
              <w:widowControl w:val="0"/>
              <w:spacing w:line="360" w:lineRule="auto"/>
              <w:contextualSpacing/>
              <w:jc w:val="center"/>
              <w:rPr>
                <w:rFonts w:eastAsiaTheme="minorHAnsi" w:cs="Times New Roman"/>
                <w:sz w:val="28"/>
                <w:szCs w:val="28"/>
              </w:rPr>
            </w:pPr>
            <w:proofErr w:type="spellStart"/>
            <w:r w:rsidRPr="00520861">
              <w:rPr>
                <w:rFonts w:eastAsiaTheme="minorHAnsi" w:cs="Times New Roman"/>
                <w:sz w:val="28"/>
                <w:szCs w:val="28"/>
              </w:rPr>
              <w:t>Наддомінантна</w:t>
            </w:r>
            <w:proofErr w:type="spellEnd"/>
            <w:r w:rsidRPr="00520861">
              <w:rPr>
                <w:rFonts w:eastAsiaTheme="minorHAnsi" w:cs="Times New Roman"/>
                <w:sz w:val="28"/>
                <w:szCs w:val="28"/>
              </w:rPr>
              <w:t xml:space="preserve"> модель</w:t>
            </w:r>
          </w:p>
        </w:tc>
      </w:tr>
      <w:tr w:rsidR="002E3CE8" w:rsidRPr="00520861" w14:paraId="64589276" w14:textId="77777777" w:rsidTr="00292D2E">
        <w:trPr>
          <w:jc w:val="center"/>
        </w:trPr>
        <w:tc>
          <w:tcPr>
            <w:tcW w:w="2122" w:type="dxa"/>
            <w:vMerge/>
            <w:tcBorders>
              <w:left w:val="single" w:sz="4" w:space="0" w:color="auto"/>
              <w:right w:val="single" w:sz="4" w:space="0" w:color="auto"/>
            </w:tcBorders>
          </w:tcPr>
          <w:p w14:paraId="18075932"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4" w:type="dxa"/>
            <w:tcBorders>
              <w:top w:val="single" w:sz="4" w:space="0" w:color="auto"/>
              <w:left w:val="single" w:sz="4" w:space="0" w:color="auto"/>
              <w:bottom w:val="single" w:sz="4" w:space="0" w:color="auto"/>
              <w:right w:val="single" w:sz="4" w:space="0" w:color="auto"/>
            </w:tcBorders>
          </w:tcPr>
          <w:p w14:paraId="6CF598D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CC+TT</w:t>
            </w:r>
          </w:p>
          <w:p w14:paraId="24F593D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CT</w:t>
            </w:r>
          </w:p>
        </w:tc>
        <w:tc>
          <w:tcPr>
            <w:tcW w:w="1417" w:type="dxa"/>
            <w:tcBorders>
              <w:top w:val="single" w:sz="4" w:space="0" w:color="auto"/>
              <w:left w:val="single" w:sz="4" w:space="0" w:color="auto"/>
              <w:bottom w:val="single" w:sz="4" w:space="0" w:color="auto"/>
              <w:right w:val="single" w:sz="4" w:space="0" w:color="auto"/>
            </w:tcBorders>
          </w:tcPr>
          <w:p w14:paraId="7C34DB2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0,628</w:t>
            </w:r>
          </w:p>
        </w:tc>
        <w:tc>
          <w:tcPr>
            <w:tcW w:w="1290" w:type="dxa"/>
            <w:tcBorders>
              <w:top w:val="single" w:sz="4" w:space="0" w:color="auto"/>
              <w:left w:val="single" w:sz="4" w:space="0" w:color="auto"/>
              <w:bottom w:val="single" w:sz="4" w:space="0" w:color="auto"/>
              <w:right w:val="single" w:sz="4" w:space="0" w:color="auto"/>
            </w:tcBorders>
          </w:tcPr>
          <w:p w14:paraId="12C7FDF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0,500</w:t>
            </w:r>
          </w:p>
          <w:p w14:paraId="1D660F2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2,000</w:t>
            </w:r>
          </w:p>
        </w:tc>
        <w:tc>
          <w:tcPr>
            <w:tcW w:w="2089" w:type="dxa"/>
            <w:tcBorders>
              <w:top w:val="single" w:sz="4" w:space="0" w:color="auto"/>
              <w:left w:val="single" w:sz="4" w:space="0" w:color="auto"/>
              <w:bottom w:val="single" w:sz="4" w:space="0" w:color="auto"/>
              <w:right w:val="single" w:sz="4" w:space="0" w:color="auto"/>
            </w:tcBorders>
          </w:tcPr>
          <w:p w14:paraId="6F5FDD4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0,144-1,742</w:t>
            </w:r>
          </w:p>
          <w:p w14:paraId="4BB9AB2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0,574-6,968</w:t>
            </w:r>
          </w:p>
        </w:tc>
        <w:tc>
          <w:tcPr>
            <w:tcW w:w="1139" w:type="dxa"/>
            <w:tcBorders>
              <w:top w:val="single" w:sz="4" w:space="0" w:color="auto"/>
              <w:left w:val="single" w:sz="4" w:space="0" w:color="auto"/>
              <w:bottom w:val="single" w:sz="4" w:space="0" w:color="auto"/>
              <w:right w:val="single" w:sz="4" w:space="0" w:color="auto"/>
            </w:tcBorders>
          </w:tcPr>
          <w:p w14:paraId="2CE83C2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0,428</w:t>
            </w:r>
          </w:p>
        </w:tc>
      </w:tr>
      <w:tr w:rsidR="002E3CE8" w:rsidRPr="00520861" w14:paraId="6660C8FE" w14:textId="77777777" w:rsidTr="00292D2E">
        <w:trPr>
          <w:jc w:val="center"/>
        </w:trPr>
        <w:tc>
          <w:tcPr>
            <w:tcW w:w="2122" w:type="dxa"/>
            <w:vMerge/>
            <w:tcBorders>
              <w:left w:val="single" w:sz="4" w:space="0" w:color="auto"/>
              <w:right w:val="single" w:sz="4" w:space="0" w:color="auto"/>
            </w:tcBorders>
          </w:tcPr>
          <w:p w14:paraId="34F7A118"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659" w:type="dxa"/>
            <w:gridSpan w:val="5"/>
            <w:tcBorders>
              <w:top w:val="single" w:sz="4" w:space="0" w:color="auto"/>
              <w:left w:val="single" w:sz="4" w:space="0" w:color="auto"/>
              <w:bottom w:val="single" w:sz="4" w:space="0" w:color="auto"/>
              <w:right w:val="single" w:sz="4" w:space="0" w:color="auto"/>
            </w:tcBorders>
          </w:tcPr>
          <w:p w14:paraId="1AEBE29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Мультиплікативна модель</w:t>
            </w:r>
          </w:p>
        </w:tc>
      </w:tr>
      <w:tr w:rsidR="002E3CE8" w:rsidRPr="00520861" w14:paraId="7115EC21" w14:textId="77777777" w:rsidTr="00292D2E">
        <w:trPr>
          <w:jc w:val="center"/>
        </w:trPr>
        <w:tc>
          <w:tcPr>
            <w:tcW w:w="2122" w:type="dxa"/>
            <w:vMerge/>
            <w:tcBorders>
              <w:left w:val="single" w:sz="4" w:space="0" w:color="auto"/>
              <w:bottom w:val="single" w:sz="4" w:space="0" w:color="auto"/>
              <w:right w:val="single" w:sz="4" w:space="0" w:color="auto"/>
            </w:tcBorders>
          </w:tcPr>
          <w:p w14:paraId="2A0BA811"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4" w:type="dxa"/>
            <w:tcBorders>
              <w:top w:val="single" w:sz="4" w:space="0" w:color="auto"/>
              <w:left w:val="single" w:sz="4" w:space="0" w:color="auto"/>
              <w:bottom w:val="single" w:sz="4" w:space="0" w:color="auto"/>
              <w:right w:val="single" w:sz="4" w:space="0" w:color="auto"/>
            </w:tcBorders>
          </w:tcPr>
          <w:p w14:paraId="1C3B6E5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w:t>
            </w:r>
          </w:p>
          <w:p w14:paraId="2F03E09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T</w:t>
            </w:r>
          </w:p>
        </w:tc>
        <w:tc>
          <w:tcPr>
            <w:tcW w:w="1417" w:type="dxa"/>
            <w:tcBorders>
              <w:top w:val="single" w:sz="4" w:space="0" w:color="auto"/>
              <w:left w:val="single" w:sz="4" w:space="0" w:color="auto"/>
              <w:bottom w:val="single" w:sz="4" w:space="0" w:color="auto"/>
              <w:right w:val="single" w:sz="4" w:space="0" w:color="auto"/>
            </w:tcBorders>
          </w:tcPr>
          <w:p w14:paraId="42CC899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7,263</w:t>
            </w:r>
          </w:p>
        </w:tc>
        <w:tc>
          <w:tcPr>
            <w:tcW w:w="1290" w:type="dxa"/>
            <w:tcBorders>
              <w:top w:val="single" w:sz="4" w:space="0" w:color="auto"/>
              <w:left w:val="single" w:sz="4" w:space="0" w:color="auto"/>
              <w:bottom w:val="single" w:sz="4" w:space="0" w:color="auto"/>
              <w:right w:val="single" w:sz="4" w:space="0" w:color="auto"/>
            </w:tcBorders>
          </w:tcPr>
          <w:p w14:paraId="3BC6C27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3,115</w:t>
            </w:r>
          </w:p>
          <w:p w14:paraId="5320197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0,321</w:t>
            </w:r>
          </w:p>
        </w:tc>
        <w:tc>
          <w:tcPr>
            <w:tcW w:w="2089" w:type="dxa"/>
            <w:tcBorders>
              <w:top w:val="single" w:sz="4" w:space="0" w:color="auto"/>
              <w:left w:val="single" w:sz="4" w:space="0" w:color="auto"/>
              <w:bottom w:val="single" w:sz="4" w:space="0" w:color="auto"/>
              <w:right w:val="single" w:sz="4" w:space="0" w:color="auto"/>
            </w:tcBorders>
          </w:tcPr>
          <w:p w14:paraId="117CCA5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1,346-7,212</w:t>
            </w:r>
          </w:p>
          <w:p w14:paraId="7B6B074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0,139-0,743</w:t>
            </w:r>
          </w:p>
        </w:tc>
        <w:tc>
          <w:tcPr>
            <w:tcW w:w="1139" w:type="dxa"/>
            <w:tcBorders>
              <w:top w:val="single" w:sz="4" w:space="0" w:color="auto"/>
              <w:left w:val="single" w:sz="4" w:space="0" w:color="auto"/>
              <w:bottom w:val="single" w:sz="4" w:space="0" w:color="auto"/>
              <w:right w:val="single" w:sz="4" w:space="0" w:color="auto"/>
            </w:tcBorders>
          </w:tcPr>
          <w:p w14:paraId="5402236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0,007</w:t>
            </w:r>
          </w:p>
        </w:tc>
      </w:tr>
      <w:tr w:rsidR="002E3CE8" w:rsidRPr="00520861" w14:paraId="1D3C23D5" w14:textId="77777777" w:rsidTr="00292D2E">
        <w:trPr>
          <w:jc w:val="center"/>
        </w:trPr>
        <w:tc>
          <w:tcPr>
            <w:tcW w:w="2122" w:type="dxa"/>
            <w:vMerge w:val="restart"/>
            <w:tcBorders>
              <w:top w:val="single" w:sz="4" w:space="0" w:color="auto"/>
              <w:left w:val="single" w:sz="4" w:space="0" w:color="auto"/>
              <w:right w:val="single" w:sz="4" w:space="0" w:color="auto"/>
            </w:tcBorders>
          </w:tcPr>
          <w:p w14:paraId="71109E87"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VDR: 283 A&gt;G (</w:t>
            </w:r>
            <w:proofErr w:type="spellStart"/>
            <w:r w:rsidRPr="00520861">
              <w:rPr>
                <w:rFonts w:eastAsiaTheme="minorHAnsi" w:cs="Times New Roman"/>
                <w:i/>
                <w:sz w:val="28"/>
                <w:szCs w:val="28"/>
              </w:rPr>
              <w:t>BsmI</w:t>
            </w:r>
            <w:proofErr w:type="spellEnd"/>
            <w:r w:rsidRPr="00520861">
              <w:rPr>
                <w:rFonts w:eastAsiaTheme="minorHAnsi" w:cs="Times New Roman"/>
                <w:i/>
                <w:sz w:val="28"/>
                <w:szCs w:val="28"/>
              </w:rPr>
              <w:t>)</w:t>
            </w:r>
          </w:p>
          <w:p w14:paraId="259E9AA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[rs1544410]</w:t>
            </w:r>
          </w:p>
        </w:tc>
        <w:tc>
          <w:tcPr>
            <w:tcW w:w="7659" w:type="dxa"/>
            <w:gridSpan w:val="5"/>
            <w:tcBorders>
              <w:top w:val="single" w:sz="4" w:space="0" w:color="auto"/>
              <w:left w:val="single" w:sz="4" w:space="0" w:color="auto"/>
              <w:bottom w:val="single" w:sz="4" w:space="0" w:color="auto"/>
              <w:right w:val="single" w:sz="4" w:space="0" w:color="auto"/>
            </w:tcBorders>
          </w:tcPr>
          <w:p w14:paraId="509FCB0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Адитивна модель</w:t>
            </w:r>
          </w:p>
        </w:tc>
      </w:tr>
      <w:tr w:rsidR="002E3CE8" w:rsidRPr="00520861" w14:paraId="61C5F9D6" w14:textId="77777777" w:rsidTr="00292D2E">
        <w:trPr>
          <w:jc w:val="center"/>
        </w:trPr>
        <w:tc>
          <w:tcPr>
            <w:tcW w:w="2122" w:type="dxa"/>
            <w:vMerge/>
            <w:tcBorders>
              <w:left w:val="single" w:sz="4" w:space="0" w:color="auto"/>
              <w:right w:val="single" w:sz="4" w:space="0" w:color="auto"/>
            </w:tcBorders>
            <w:hideMark/>
          </w:tcPr>
          <w:p w14:paraId="273771E1"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4" w:type="dxa"/>
            <w:tcBorders>
              <w:top w:val="single" w:sz="4" w:space="0" w:color="auto"/>
              <w:left w:val="single" w:sz="4" w:space="0" w:color="auto"/>
              <w:bottom w:val="single" w:sz="4" w:space="0" w:color="auto"/>
              <w:right w:val="single" w:sz="4" w:space="0" w:color="auto"/>
            </w:tcBorders>
            <w:hideMark/>
          </w:tcPr>
          <w:p w14:paraId="151893D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AA</w:t>
            </w:r>
          </w:p>
          <w:p w14:paraId="6AED57E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AG</w:t>
            </w:r>
          </w:p>
          <w:p w14:paraId="2E532CB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GG</w:t>
            </w:r>
          </w:p>
        </w:tc>
        <w:tc>
          <w:tcPr>
            <w:tcW w:w="1417" w:type="dxa"/>
            <w:tcBorders>
              <w:top w:val="single" w:sz="4" w:space="0" w:color="auto"/>
              <w:left w:val="single" w:sz="4" w:space="0" w:color="auto"/>
              <w:bottom w:val="single" w:sz="4" w:space="0" w:color="auto"/>
              <w:right w:val="single" w:sz="4" w:space="0" w:color="auto"/>
            </w:tcBorders>
            <w:hideMark/>
          </w:tcPr>
          <w:p w14:paraId="47E727A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6,387</w:t>
            </w:r>
          </w:p>
        </w:tc>
        <w:tc>
          <w:tcPr>
            <w:tcW w:w="1290" w:type="dxa"/>
            <w:tcBorders>
              <w:top w:val="single" w:sz="4" w:space="0" w:color="auto"/>
              <w:left w:val="single" w:sz="4" w:space="0" w:color="auto"/>
              <w:bottom w:val="single" w:sz="4" w:space="0" w:color="auto"/>
              <w:right w:val="single" w:sz="4" w:space="0" w:color="auto"/>
            </w:tcBorders>
            <w:hideMark/>
          </w:tcPr>
          <w:p w14:paraId="09E8C38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0,190</w:t>
            </w:r>
          </w:p>
          <w:p w14:paraId="41A0E82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10,421</w:t>
            </w:r>
          </w:p>
          <w:p w14:paraId="54F80F0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0,831</w:t>
            </w:r>
          </w:p>
        </w:tc>
        <w:tc>
          <w:tcPr>
            <w:tcW w:w="2089" w:type="dxa"/>
            <w:tcBorders>
              <w:top w:val="single" w:sz="4" w:space="0" w:color="auto"/>
              <w:left w:val="single" w:sz="4" w:space="0" w:color="auto"/>
              <w:bottom w:val="single" w:sz="4" w:space="0" w:color="auto"/>
              <w:right w:val="single" w:sz="4" w:space="0" w:color="auto"/>
            </w:tcBorders>
            <w:hideMark/>
          </w:tcPr>
          <w:p w14:paraId="4B64F24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0,042-0,866</w:t>
            </w:r>
          </w:p>
          <w:p w14:paraId="7AAF883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1,218-89,130</w:t>
            </w:r>
          </w:p>
          <w:p w14:paraId="3B09EB4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0,261-2,649</w:t>
            </w:r>
          </w:p>
        </w:tc>
        <w:tc>
          <w:tcPr>
            <w:tcW w:w="1139" w:type="dxa"/>
            <w:tcBorders>
              <w:top w:val="single" w:sz="4" w:space="0" w:color="auto"/>
              <w:left w:val="single" w:sz="4" w:space="0" w:color="auto"/>
              <w:bottom w:val="single" w:sz="4" w:space="0" w:color="auto"/>
              <w:right w:val="single" w:sz="4" w:space="0" w:color="auto"/>
            </w:tcBorders>
            <w:hideMark/>
          </w:tcPr>
          <w:p w14:paraId="0693739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0,041</w:t>
            </w:r>
          </w:p>
        </w:tc>
      </w:tr>
      <w:tr w:rsidR="002E3CE8" w:rsidRPr="00520861" w14:paraId="453521A0" w14:textId="77777777" w:rsidTr="00292D2E">
        <w:trPr>
          <w:jc w:val="center"/>
        </w:trPr>
        <w:tc>
          <w:tcPr>
            <w:tcW w:w="2122" w:type="dxa"/>
            <w:vMerge/>
            <w:tcBorders>
              <w:left w:val="single" w:sz="4" w:space="0" w:color="auto"/>
              <w:right w:val="single" w:sz="4" w:space="0" w:color="auto"/>
            </w:tcBorders>
          </w:tcPr>
          <w:p w14:paraId="030E775D"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659" w:type="dxa"/>
            <w:gridSpan w:val="5"/>
            <w:tcBorders>
              <w:top w:val="single" w:sz="4" w:space="0" w:color="auto"/>
              <w:left w:val="single" w:sz="4" w:space="0" w:color="auto"/>
              <w:bottom w:val="single" w:sz="4" w:space="0" w:color="auto"/>
              <w:right w:val="single" w:sz="4" w:space="0" w:color="auto"/>
            </w:tcBorders>
          </w:tcPr>
          <w:p w14:paraId="5D05DE7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Рецесивна модель</w:t>
            </w:r>
          </w:p>
        </w:tc>
      </w:tr>
      <w:tr w:rsidR="002E3CE8" w:rsidRPr="00520861" w14:paraId="56B3A5F0" w14:textId="77777777" w:rsidTr="00292D2E">
        <w:trPr>
          <w:jc w:val="center"/>
        </w:trPr>
        <w:tc>
          <w:tcPr>
            <w:tcW w:w="2122" w:type="dxa"/>
            <w:vMerge/>
            <w:tcBorders>
              <w:left w:val="single" w:sz="4" w:space="0" w:color="auto"/>
              <w:right w:val="single" w:sz="4" w:space="0" w:color="auto"/>
            </w:tcBorders>
          </w:tcPr>
          <w:p w14:paraId="2257DB28"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4" w:type="dxa"/>
            <w:tcBorders>
              <w:top w:val="single" w:sz="4" w:space="0" w:color="auto"/>
              <w:left w:val="single" w:sz="4" w:space="0" w:color="auto"/>
              <w:bottom w:val="single" w:sz="4" w:space="0" w:color="auto"/>
              <w:right w:val="single" w:sz="4" w:space="0" w:color="auto"/>
            </w:tcBorders>
          </w:tcPr>
          <w:p w14:paraId="1F7F53D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AA+AG</w:t>
            </w:r>
          </w:p>
          <w:p w14:paraId="72BF3AE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GG</w:t>
            </w:r>
          </w:p>
        </w:tc>
        <w:tc>
          <w:tcPr>
            <w:tcW w:w="1417" w:type="dxa"/>
            <w:tcBorders>
              <w:top w:val="single" w:sz="4" w:space="0" w:color="auto"/>
              <w:left w:val="single" w:sz="4" w:space="0" w:color="auto"/>
              <w:bottom w:val="single" w:sz="4" w:space="0" w:color="auto"/>
              <w:right w:val="single" w:sz="4" w:space="0" w:color="auto"/>
            </w:tcBorders>
          </w:tcPr>
          <w:p w14:paraId="2D44E40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0,000</w:t>
            </w:r>
          </w:p>
        </w:tc>
        <w:tc>
          <w:tcPr>
            <w:tcW w:w="1290" w:type="dxa"/>
            <w:tcBorders>
              <w:top w:val="single" w:sz="4" w:space="0" w:color="auto"/>
              <w:left w:val="single" w:sz="4" w:space="0" w:color="auto"/>
              <w:bottom w:val="single" w:sz="4" w:space="0" w:color="auto"/>
              <w:right w:val="single" w:sz="4" w:space="0" w:color="auto"/>
            </w:tcBorders>
          </w:tcPr>
          <w:p w14:paraId="46EBB38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1,203</w:t>
            </w:r>
          </w:p>
          <w:p w14:paraId="5B5358F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0,831</w:t>
            </w:r>
          </w:p>
        </w:tc>
        <w:tc>
          <w:tcPr>
            <w:tcW w:w="2089" w:type="dxa"/>
            <w:tcBorders>
              <w:top w:val="single" w:sz="4" w:space="0" w:color="auto"/>
              <w:left w:val="single" w:sz="4" w:space="0" w:color="auto"/>
              <w:bottom w:val="single" w:sz="4" w:space="0" w:color="auto"/>
              <w:right w:val="single" w:sz="4" w:space="0" w:color="auto"/>
            </w:tcBorders>
          </w:tcPr>
          <w:p w14:paraId="2788356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0,377-3,835</w:t>
            </w:r>
          </w:p>
          <w:p w14:paraId="2F74683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0,261-2,649</w:t>
            </w:r>
          </w:p>
        </w:tc>
        <w:tc>
          <w:tcPr>
            <w:tcW w:w="1139" w:type="dxa"/>
            <w:tcBorders>
              <w:top w:val="single" w:sz="4" w:space="0" w:color="auto"/>
              <w:left w:val="single" w:sz="4" w:space="0" w:color="auto"/>
              <w:bottom w:val="single" w:sz="4" w:space="0" w:color="auto"/>
              <w:right w:val="single" w:sz="4" w:space="0" w:color="auto"/>
            </w:tcBorders>
          </w:tcPr>
          <w:p w14:paraId="1FCEAC4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0,986</w:t>
            </w:r>
          </w:p>
        </w:tc>
      </w:tr>
    </w:tbl>
    <w:p w14:paraId="44F1BDFB" w14:textId="77777777" w:rsidR="002E3CE8" w:rsidRPr="00520861" w:rsidRDefault="002E3CE8" w:rsidP="00292D2E">
      <w:pPr>
        <w:widowControl w:val="0"/>
        <w:spacing w:after="160" w:line="259" w:lineRule="auto"/>
        <w:jc w:val="right"/>
        <w:rPr>
          <w:rFonts w:eastAsiaTheme="minorHAnsi"/>
          <w:i/>
          <w:sz w:val="28"/>
          <w:szCs w:val="28"/>
          <w:lang w:eastAsia="en-US"/>
        </w:rPr>
      </w:pPr>
      <w:r w:rsidRPr="00520861">
        <w:rPr>
          <w:rFonts w:eastAsiaTheme="minorHAnsi"/>
          <w:i/>
          <w:sz w:val="28"/>
          <w:szCs w:val="28"/>
          <w:lang w:eastAsia="en-US"/>
        </w:rPr>
        <w:lastRenderedPageBreak/>
        <w:t>Продовження таблиці 6.10</w:t>
      </w:r>
    </w:p>
    <w:tbl>
      <w:tblPr>
        <w:tblStyle w:val="430"/>
        <w:tblW w:w="9634" w:type="dxa"/>
        <w:jc w:val="center"/>
        <w:tblLook w:val="04A0" w:firstRow="1" w:lastRow="0" w:firstColumn="1" w:lastColumn="0" w:noHBand="0" w:noVBand="1"/>
      </w:tblPr>
      <w:tblGrid>
        <w:gridCol w:w="1977"/>
        <w:gridCol w:w="1714"/>
        <w:gridCol w:w="9"/>
        <w:gridCol w:w="1392"/>
        <w:gridCol w:w="24"/>
        <w:gridCol w:w="1291"/>
        <w:gridCol w:w="1947"/>
        <w:gridCol w:w="1280"/>
      </w:tblGrid>
      <w:tr w:rsidR="002E3CE8" w:rsidRPr="00520861" w14:paraId="69D6C721" w14:textId="77777777" w:rsidTr="00292D2E">
        <w:trPr>
          <w:jc w:val="center"/>
        </w:trPr>
        <w:tc>
          <w:tcPr>
            <w:tcW w:w="1977" w:type="dxa"/>
            <w:tcBorders>
              <w:left w:val="single" w:sz="4" w:space="0" w:color="auto"/>
              <w:right w:val="single" w:sz="4" w:space="0" w:color="auto"/>
            </w:tcBorders>
          </w:tcPr>
          <w:p w14:paraId="09121F34"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1</w:t>
            </w:r>
          </w:p>
        </w:tc>
        <w:tc>
          <w:tcPr>
            <w:tcW w:w="1714" w:type="dxa"/>
            <w:tcBorders>
              <w:top w:val="single" w:sz="4" w:space="0" w:color="auto"/>
              <w:left w:val="single" w:sz="4" w:space="0" w:color="auto"/>
              <w:bottom w:val="single" w:sz="4" w:space="0" w:color="auto"/>
              <w:right w:val="single" w:sz="4" w:space="0" w:color="auto"/>
            </w:tcBorders>
          </w:tcPr>
          <w:p w14:paraId="1743B94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w:t>
            </w:r>
          </w:p>
        </w:tc>
        <w:tc>
          <w:tcPr>
            <w:tcW w:w="1401" w:type="dxa"/>
            <w:gridSpan w:val="2"/>
            <w:tcBorders>
              <w:top w:val="single" w:sz="4" w:space="0" w:color="auto"/>
              <w:left w:val="single" w:sz="4" w:space="0" w:color="auto"/>
              <w:bottom w:val="single" w:sz="4" w:space="0" w:color="auto"/>
              <w:right w:val="single" w:sz="4" w:space="0" w:color="auto"/>
            </w:tcBorders>
          </w:tcPr>
          <w:p w14:paraId="1C2792C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w:t>
            </w:r>
          </w:p>
        </w:tc>
        <w:tc>
          <w:tcPr>
            <w:tcW w:w="1315" w:type="dxa"/>
            <w:gridSpan w:val="2"/>
            <w:tcBorders>
              <w:top w:val="single" w:sz="4" w:space="0" w:color="auto"/>
              <w:left w:val="single" w:sz="4" w:space="0" w:color="auto"/>
              <w:bottom w:val="single" w:sz="4" w:space="0" w:color="auto"/>
              <w:right w:val="single" w:sz="4" w:space="0" w:color="auto"/>
            </w:tcBorders>
          </w:tcPr>
          <w:p w14:paraId="3537197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w:t>
            </w:r>
          </w:p>
        </w:tc>
        <w:tc>
          <w:tcPr>
            <w:tcW w:w="1947" w:type="dxa"/>
            <w:tcBorders>
              <w:top w:val="single" w:sz="4" w:space="0" w:color="auto"/>
              <w:left w:val="single" w:sz="4" w:space="0" w:color="auto"/>
              <w:bottom w:val="single" w:sz="4" w:space="0" w:color="auto"/>
              <w:right w:val="single" w:sz="4" w:space="0" w:color="auto"/>
            </w:tcBorders>
          </w:tcPr>
          <w:p w14:paraId="1DD99C8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w:t>
            </w:r>
          </w:p>
        </w:tc>
        <w:tc>
          <w:tcPr>
            <w:tcW w:w="1280" w:type="dxa"/>
            <w:tcBorders>
              <w:top w:val="single" w:sz="4" w:space="0" w:color="auto"/>
              <w:left w:val="single" w:sz="4" w:space="0" w:color="auto"/>
              <w:bottom w:val="single" w:sz="4" w:space="0" w:color="auto"/>
              <w:right w:val="single" w:sz="4" w:space="0" w:color="auto"/>
            </w:tcBorders>
          </w:tcPr>
          <w:p w14:paraId="4057229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w:t>
            </w:r>
          </w:p>
        </w:tc>
      </w:tr>
      <w:tr w:rsidR="002E3CE8" w:rsidRPr="00520861" w14:paraId="0F4BBE61" w14:textId="77777777" w:rsidTr="00292D2E">
        <w:trPr>
          <w:jc w:val="center"/>
        </w:trPr>
        <w:tc>
          <w:tcPr>
            <w:tcW w:w="1977" w:type="dxa"/>
            <w:vMerge w:val="restart"/>
            <w:tcBorders>
              <w:left w:val="single" w:sz="4" w:space="0" w:color="auto"/>
              <w:right w:val="single" w:sz="4" w:space="0" w:color="auto"/>
            </w:tcBorders>
          </w:tcPr>
          <w:p w14:paraId="6FA239BE"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657" w:type="dxa"/>
            <w:gridSpan w:val="7"/>
            <w:tcBorders>
              <w:top w:val="single" w:sz="4" w:space="0" w:color="auto"/>
              <w:left w:val="single" w:sz="4" w:space="0" w:color="auto"/>
              <w:bottom w:val="single" w:sz="4" w:space="0" w:color="auto"/>
              <w:right w:val="single" w:sz="4" w:space="0" w:color="auto"/>
            </w:tcBorders>
          </w:tcPr>
          <w:p w14:paraId="3D8E186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Домінантна модель</w:t>
            </w:r>
          </w:p>
        </w:tc>
      </w:tr>
      <w:tr w:rsidR="002E3CE8" w:rsidRPr="00520861" w14:paraId="400A177D" w14:textId="77777777" w:rsidTr="00292D2E">
        <w:trPr>
          <w:jc w:val="center"/>
        </w:trPr>
        <w:tc>
          <w:tcPr>
            <w:tcW w:w="1977" w:type="dxa"/>
            <w:vMerge/>
            <w:tcBorders>
              <w:left w:val="single" w:sz="4" w:space="0" w:color="auto"/>
              <w:right w:val="single" w:sz="4" w:space="0" w:color="auto"/>
            </w:tcBorders>
          </w:tcPr>
          <w:p w14:paraId="67D34C3A"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3" w:type="dxa"/>
            <w:gridSpan w:val="2"/>
            <w:tcBorders>
              <w:top w:val="single" w:sz="4" w:space="0" w:color="auto"/>
              <w:left w:val="single" w:sz="4" w:space="0" w:color="auto"/>
              <w:bottom w:val="single" w:sz="4" w:space="0" w:color="auto"/>
              <w:right w:val="single" w:sz="4" w:space="0" w:color="auto"/>
            </w:tcBorders>
          </w:tcPr>
          <w:p w14:paraId="302047B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AA</w:t>
            </w:r>
          </w:p>
          <w:p w14:paraId="616C91A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AG+GG</w:t>
            </w:r>
          </w:p>
        </w:tc>
        <w:tc>
          <w:tcPr>
            <w:tcW w:w="1416" w:type="dxa"/>
            <w:gridSpan w:val="2"/>
            <w:tcBorders>
              <w:top w:val="single" w:sz="4" w:space="0" w:color="auto"/>
              <w:left w:val="single" w:sz="4" w:space="0" w:color="auto"/>
              <w:bottom w:val="single" w:sz="4" w:space="0" w:color="auto"/>
              <w:right w:val="single" w:sz="4" w:space="0" w:color="auto"/>
            </w:tcBorders>
          </w:tcPr>
          <w:p w14:paraId="1D1D4AE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3,640</w:t>
            </w:r>
          </w:p>
        </w:tc>
        <w:tc>
          <w:tcPr>
            <w:tcW w:w="1291" w:type="dxa"/>
            <w:tcBorders>
              <w:top w:val="single" w:sz="4" w:space="0" w:color="auto"/>
              <w:left w:val="single" w:sz="4" w:space="0" w:color="auto"/>
              <w:bottom w:val="single" w:sz="4" w:space="0" w:color="auto"/>
              <w:right w:val="single" w:sz="4" w:space="0" w:color="auto"/>
            </w:tcBorders>
          </w:tcPr>
          <w:p w14:paraId="07D03EF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0,190</w:t>
            </w:r>
          </w:p>
          <w:p w14:paraId="5B0C4D8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5,250</w:t>
            </w:r>
          </w:p>
        </w:tc>
        <w:tc>
          <w:tcPr>
            <w:tcW w:w="1947" w:type="dxa"/>
            <w:tcBorders>
              <w:top w:val="single" w:sz="4" w:space="0" w:color="auto"/>
              <w:left w:val="single" w:sz="4" w:space="0" w:color="auto"/>
              <w:bottom w:val="single" w:sz="4" w:space="0" w:color="auto"/>
              <w:right w:val="single" w:sz="4" w:space="0" w:color="auto"/>
            </w:tcBorders>
          </w:tcPr>
          <w:p w14:paraId="02078FB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0,042-0,866</w:t>
            </w:r>
          </w:p>
          <w:p w14:paraId="7721E8A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1,155-23,857</w:t>
            </w:r>
          </w:p>
        </w:tc>
        <w:tc>
          <w:tcPr>
            <w:tcW w:w="1280" w:type="dxa"/>
            <w:tcBorders>
              <w:top w:val="single" w:sz="4" w:space="0" w:color="auto"/>
              <w:left w:val="single" w:sz="4" w:space="0" w:color="auto"/>
              <w:bottom w:val="single" w:sz="4" w:space="0" w:color="auto"/>
              <w:right w:val="single" w:sz="4" w:space="0" w:color="auto"/>
            </w:tcBorders>
          </w:tcPr>
          <w:p w14:paraId="6AE721D7" w14:textId="77777777" w:rsidR="002E3CE8" w:rsidRPr="00520861" w:rsidRDefault="002E3CE8" w:rsidP="00292D2E">
            <w:pPr>
              <w:widowControl w:val="0"/>
              <w:spacing w:line="360" w:lineRule="auto"/>
              <w:ind w:right="35"/>
              <w:contextualSpacing/>
              <w:jc w:val="center"/>
              <w:rPr>
                <w:rFonts w:eastAsiaTheme="minorHAnsi" w:cs="Times New Roman"/>
                <w:sz w:val="28"/>
                <w:szCs w:val="28"/>
              </w:rPr>
            </w:pPr>
            <w:r w:rsidRPr="00520861">
              <w:rPr>
                <w:rFonts w:eastAsiaTheme="minorHAnsi" w:cs="Times New Roman"/>
                <w:sz w:val="28"/>
                <w:szCs w:val="28"/>
              </w:rPr>
              <w:t>0,056</w:t>
            </w:r>
          </w:p>
        </w:tc>
      </w:tr>
      <w:tr w:rsidR="002E3CE8" w:rsidRPr="00520861" w14:paraId="01C4B756" w14:textId="77777777" w:rsidTr="00292D2E">
        <w:trPr>
          <w:jc w:val="center"/>
        </w:trPr>
        <w:tc>
          <w:tcPr>
            <w:tcW w:w="1977" w:type="dxa"/>
            <w:vMerge/>
            <w:tcBorders>
              <w:left w:val="single" w:sz="4" w:space="0" w:color="auto"/>
              <w:right w:val="single" w:sz="4" w:space="0" w:color="auto"/>
            </w:tcBorders>
          </w:tcPr>
          <w:p w14:paraId="5E33DCEB"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657" w:type="dxa"/>
            <w:gridSpan w:val="7"/>
            <w:tcBorders>
              <w:top w:val="single" w:sz="4" w:space="0" w:color="auto"/>
              <w:left w:val="single" w:sz="4" w:space="0" w:color="auto"/>
              <w:bottom w:val="single" w:sz="4" w:space="0" w:color="auto"/>
              <w:right w:val="single" w:sz="4" w:space="0" w:color="auto"/>
            </w:tcBorders>
          </w:tcPr>
          <w:p w14:paraId="06AEFA4B" w14:textId="77777777" w:rsidR="002E3CE8" w:rsidRPr="00520861" w:rsidRDefault="002E3CE8" w:rsidP="00292D2E">
            <w:pPr>
              <w:widowControl w:val="0"/>
              <w:spacing w:line="360" w:lineRule="auto"/>
              <w:contextualSpacing/>
              <w:jc w:val="center"/>
              <w:rPr>
                <w:rFonts w:eastAsiaTheme="minorHAnsi" w:cs="Times New Roman"/>
                <w:sz w:val="28"/>
                <w:szCs w:val="28"/>
              </w:rPr>
            </w:pPr>
            <w:proofErr w:type="spellStart"/>
            <w:r w:rsidRPr="00520861">
              <w:rPr>
                <w:rFonts w:eastAsiaTheme="minorHAnsi" w:cs="Times New Roman"/>
                <w:sz w:val="28"/>
                <w:szCs w:val="28"/>
              </w:rPr>
              <w:t>Наддомінантна</w:t>
            </w:r>
            <w:proofErr w:type="spellEnd"/>
            <w:r w:rsidRPr="00520861">
              <w:rPr>
                <w:rFonts w:eastAsiaTheme="minorHAnsi" w:cs="Times New Roman"/>
                <w:sz w:val="28"/>
                <w:szCs w:val="28"/>
              </w:rPr>
              <w:t xml:space="preserve"> модель</w:t>
            </w:r>
          </w:p>
        </w:tc>
      </w:tr>
      <w:tr w:rsidR="002E3CE8" w:rsidRPr="00520861" w14:paraId="75544A2C" w14:textId="77777777" w:rsidTr="00292D2E">
        <w:trPr>
          <w:jc w:val="center"/>
        </w:trPr>
        <w:tc>
          <w:tcPr>
            <w:tcW w:w="1977" w:type="dxa"/>
            <w:vMerge/>
            <w:tcBorders>
              <w:left w:val="single" w:sz="4" w:space="0" w:color="auto"/>
              <w:right w:val="single" w:sz="4" w:space="0" w:color="auto"/>
            </w:tcBorders>
          </w:tcPr>
          <w:p w14:paraId="72BA1889"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3" w:type="dxa"/>
            <w:gridSpan w:val="2"/>
            <w:tcBorders>
              <w:top w:val="single" w:sz="4" w:space="0" w:color="auto"/>
              <w:left w:val="single" w:sz="4" w:space="0" w:color="auto"/>
              <w:bottom w:val="single" w:sz="4" w:space="0" w:color="auto"/>
              <w:right w:val="single" w:sz="4" w:space="0" w:color="auto"/>
            </w:tcBorders>
          </w:tcPr>
          <w:p w14:paraId="684C25B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AA+GG</w:t>
            </w:r>
          </w:p>
          <w:p w14:paraId="4C51096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AG</w:t>
            </w:r>
          </w:p>
        </w:tc>
        <w:tc>
          <w:tcPr>
            <w:tcW w:w="1416" w:type="dxa"/>
            <w:gridSpan w:val="2"/>
            <w:tcBorders>
              <w:top w:val="single" w:sz="4" w:space="0" w:color="auto"/>
              <w:left w:val="single" w:sz="4" w:space="0" w:color="auto"/>
              <w:bottom w:val="single" w:sz="4" w:space="0" w:color="auto"/>
              <w:right w:val="single" w:sz="4" w:space="0" w:color="auto"/>
            </w:tcBorders>
          </w:tcPr>
          <w:p w14:paraId="5BE24EF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4,622</w:t>
            </w:r>
          </w:p>
        </w:tc>
        <w:tc>
          <w:tcPr>
            <w:tcW w:w="1291" w:type="dxa"/>
            <w:tcBorders>
              <w:top w:val="single" w:sz="4" w:space="0" w:color="auto"/>
              <w:left w:val="single" w:sz="4" w:space="0" w:color="auto"/>
              <w:bottom w:val="single" w:sz="4" w:space="0" w:color="auto"/>
              <w:right w:val="single" w:sz="4" w:space="0" w:color="auto"/>
            </w:tcBorders>
          </w:tcPr>
          <w:p w14:paraId="13FB58E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0,096</w:t>
            </w:r>
          </w:p>
          <w:p w14:paraId="2C8F731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10,421</w:t>
            </w:r>
          </w:p>
        </w:tc>
        <w:tc>
          <w:tcPr>
            <w:tcW w:w="1947" w:type="dxa"/>
            <w:tcBorders>
              <w:top w:val="single" w:sz="4" w:space="0" w:color="auto"/>
              <w:left w:val="single" w:sz="4" w:space="0" w:color="auto"/>
              <w:bottom w:val="single" w:sz="4" w:space="0" w:color="auto"/>
              <w:right w:val="single" w:sz="4" w:space="0" w:color="auto"/>
            </w:tcBorders>
          </w:tcPr>
          <w:p w14:paraId="163ED78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0,011-0,821</w:t>
            </w:r>
          </w:p>
          <w:p w14:paraId="03E01DC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1,218-89,130</w:t>
            </w:r>
          </w:p>
        </w:tc>
        <w:tc>
          <w:tcPr>
            <w:tcW w:w="1280" w:type="dxa"/>
            <w:tcBorders>
              <w:top w:val="single" w:sz="4" w:space="0" w:color="auto"/>
              <w:left w:val="single" w:sz="4" w:space="0" w:color="auto"/>
              <w:bottom w:val="single" w:sz="4" w:space="0" w:color="auto"/>
              <w:right w:val="single" w:sz="4" w:space="0" w:color="auto"/>
            </w:tcBorders>
          </w:tcPr>
          <w:p w14:paraId="47E3482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0,032</w:t>
            </w:r>
          </w:p>
        </w:tc>
      </w:tr>
      <w:tr w:rsidR="002E3CE8" w:rsidRPr="00520861" w14:paraId="340BED0D" w14:textId="77777777" w:rsidTr="00292D2E">
        <w:trPr>
          <w:jc w:val="center"/>
        </w:trPr>
        <w:tc>
          <w:tcPr>
            <w:tcW w:w="1977" w:type="dxa"/>
            <w:vMerge/>
            <w:tcBorders>
              <w:left w:val="single" w:sz="4" w:space="0" w:color="auto"/>
              <w:right w:val="single" w:sz="4" w:space="0" w:color="auto"/>
            </w:tcBorders>
          </w:tcPr>
          <w:p w14:paraId="3DAE6ECC"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657" w:type="dxa"/>
            <w:gridSpan w:val="7"/>
            <w:tcBorders>
              <w:top w:val="single" w:sz="4" w:space="0" w:color="auto"/>
              <w:left w:val="single" w:sz="4" w:space="0" w:color="auto"/>
              <w:bottom w:val="single" w:sz="4" w:space="0" w:color="auto"/>
              <w:right w:val="single" w:sz="4" w:space="0" w:color="auto"/>
            </w:tcBorders>
          </w:tcPr>
          <w:p w14:paraId="67DD68D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Мультиплікативна модель</w:t>
            </w:r>
          </w:p>
        </w:tc>
      </w:tr>
      <w:tr w:rsidR="002E3CE8" w:rsidRPr="00520861" w14:paraId="67360DA9" w14:textId="77777777" w:rsidTr="00292D2E">
        <w:trPr>
          <w:jc w:val="center"/>
        </w:trPr>
        <w:tc>
          <w:tcPr>
            <w:tcW w:w="1977" w:type="dxa"/>
            <w:vMerge/>
            <w:tcBorders>
              <w:left w:val="single" w:sz="4" w:space="0" w:color="auto"/>
              <w:bottom w:val="single" w:sz="4" w:space="0" w:color="auto"/>
              <w:right w:val="single" w:sz="4" w:space="0" w:color="auto"/>
            </w:tcBorders>
          </w:tcPr>
          <w:p w14:paraId="4891E99C"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723" w:type="dxa"/>
            <w:gridSpan w:val="2"/>
            <w:tcBorders>
              <w:top w:val="single" w:sz="4" w:space="0" w:color="auto"/>
              <w:left w:val="single" w:sz="4" w:space="0" w:color="auto"/>
              <w:bottom w:val="single" w:sz="4" w:space="0" w:color="auto"/>
              <w:right w:val="single" w:sz="4" w:space="0" w:color="auto"/>
            </w:tcBorders>
          </w:tcPr>
          <w:p w14:paraId="20BBD00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w:t>
            </w:r>
          </w:p>
          <w:p w14:paraId="6027710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w:t>
            </w:r>
          </w:p>
        </w:tc>
        <w:tc>
          <w:tcPr>
            <w:tcW w:w="1416" w:type="dxa"/>
            <w:gridSpan w:val="2"/>
            <w:tcBorders>
              <w:top w:val="single" w:sz="4" w:space="0" w:color="auto"/>
              <w:left w:val="single" w:sz="4" w:space="0" w:color="auto"/>
              <w:bottom w:val="single" w:sz="4" w:space="0" w:color="auto"/>
              <w:right w:val="single" w:sz="4" w:space="0" w:color="auto"/>
            </w:tcBorders>
          </w:tcPr>
          <w:p w14:paraId="6428225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1,313</w:t>
            </w:r>
          </w:p>
        </w:tc>
        <w:tc>
          <w:tcPr>
            <w:tcW w:w="1291" w:type="dxa"/>
            <w:tcBorders>
              <w:top w:val="single" w:sz="4" w:space="0" w:color="auto"/>
              <w:left w:val="single" w:sz="4" w:space="0" w:color="auto"/>
              <w:bottom w:val="single" w:sz="4" w:space="0" w:color="auto"/>
              <w:right w:val="single" w:sz="4" w:space="0" w:color="auto"/>
            </w:tcBorders>
          </w:tcPr>
          <w:p w14:paraId="72BB172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0,606</w:t>
            </w:r>
          </w:p>
          <w:p w14:paraId="0E75584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1,650</w:t>
            </w:r>
          </w:p>
        </w:tc>
        <w:tc>
          <w:tcPr>
            <w:tcW w:w="1947" w:type="dxa"/>
            <w:tcBorders>
              <w:top w:val="single" w:sz="4" w:space="0" w:color="auto"/>
              <w:left w:val="single" w:sz="4" w:space="0" w:color="auto"/>
              <w:bottom w:val="single" w:sz="4" w:space="0" w:color="auto"/>
              <w:right w:val="single" w:sz="4" w:space="0" w:color="auto"/>
            </w:tcBorders>
          </w:tcPr>
          <w:p w14:paraId="46C7FBA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0,257-1,432</w:t>
            </w:r>
          </w:p>
          <w:p w14:paraId="010DEC1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0,699-3,896</w:t>
            </w:r>
          </w:p>
        </w:tc>
        <w:tc>
          <w:tcPr>
            <w:tcW w:w="1280" w:type="dxa"/>
            <w:tcBorders>
              <w:top w:val="single" w:sz="4" w:space="0" w:color="auto"/>
              <w:left w:val="single" w:sz="4" w:space="0" w:color="auto"/>
              <w:bottom w:val="single" w:sz="4" w:space="0" w:color="auto"/>
              <w:right w:val="single" w:sz="4" w:space="0" w:color="auto"/>
            </w:tcBorders>
          </w:tcPr>
          <w:p w14:paraId="0E261D1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0,252</w:t>
            </w:r>
          </w:p>
        </w:tc>
      </w:tr>
    </w:tbl>
    <w:p w14:paraId="1FB6F4BC" w14:textId="77777777" w:rsidR="002E3CE8" w:rsidRPr="00520861" w:rsidRDefault="002E3CE8" w:rsidP="00292D2E">
      <w:pPr>
        <w:widowControl w:val="0"/>
        <w:spacing w:line="360" w:lineRule="auto"/>
        <w:ind w:firstLine="709"/>
        <w:jc w:val="both"/>
        <w:rPr>
          <w:rFonts w:eastAsiaTheme="minorHAnsi"/>
          <w:sz w:val="28"/>
          <w:szCs w:val="28"/>
          <w:lang w:eastAsia="en-US"/>
        </w:rPr>
      </w:pPr>
      <w:r w:rsidRPr="00520861">
        <w:rPr>
          <w:rFonts w:eastAsiaTheme="minorHAnsi"/>
          <w:sz w:val="28"/>
          <w:szCs w:val="28"/>
          <w:lang w:eastAsia="en-US"/>
        </w:rPr>
        <w:t xml:space="preserve">Примітка: тут і далі значення ймовірності </w:t>
      </w:r>
      <w:r w:rsidR="005179E6" w:rsidRPr="00520861">
        <w:rPr>
          <w:rFonts w:eastAsia="Calibri"/>
          <w:sz w:val="28"/>
          <w:szCs w:val="28"/>
          <w:lang w:eastAsia="en-US"/>
        </w:rPr>
        <w:t>похибки</w:t>
      </w:r>
      <w:r w:rsidRPr="00520861">
        <w:rPr>
          <w:rFonts w:eastAsiaTheme="minorHAnsi"/>
          <w:sz w:val="28"/>
          <w:szCs w:val="28"/>
          <w:lang w:eastAsia="en-US"/>
        </w:rPr>
        <w:t xml:space="preserve"> </w:t>
      </w:r>
      <w:r w:rsidRPr="00520861">
        <w:rPr>
          <w:rFonts w:eastAsiaTheme="minorHAnsi"/>
          <w:i/>
          <w:sz w:val="28"/>
          <w:szCs w:val="28"/>
          <w:lang w:eastAsia="en-US"/>
        </w:rPr>
        <w:t>p</w:t>
      </w:r>
      <w:r w:rsidRPr="00520861">
        <w:rPr>
          <w:rFonts w:eastAsiaTheme="minorHAnsi"/>
          <w:sz w:val="28"/>
          <w:szCs w:val="28"/>
          <w:lang w:eastAsia="en-US"/>
        </w:rPr>
        <w:t xml:space="preserve"> гіпотези про значущість відмінностей між частотами розповсюдження генотипів у групах для кожної моделі відповідають значенню </w:t>
      </w:r>
      <w:r w:rsidRPr="00520861">
        <w:rPr>
          <w:rFonts w:eastAsiaTheme="minorHAnsi"/>
          <w:sz w:val="28"/>
          <w:szCs w:val="28"/>
          <w:lang w:eastAsia="en-US"/>
        </w:rPr>
        <w:sym w:font="Symbol" w:char="F063"/>
      </w:r>
      <w:r w:rsidRPr="00520861">
        <w:rPr>
          <w:rFonts w:eastAsiaTheme="minorHAnsi"/>
          <w:sz w:val="28"/>
          <w:szCs w:val="28"/>
          <w:vertAlign w:val="superscript"/>
          <w:lang w:eastAsia="en-US"/>
        </w:rPr>
        <w:t>2</w:t>
      </w:r>
      <w:r w:rsidRPr="00520861">
        <w:rPr>
          <w:rFonts w:eastAsiaTheme="minorHAnsi"/>
          <w:sz w:val="28"/>
          <w:szCs w:val="28"/>
          <w:lang w:eastAsia="en-US"/>
        </w:rPr>
        <w:t>, розрахованому для відповідної таблиці спряженості. Значення 95</w:t>
      </w:r>
      <w:r w:rsidR="00611A5B" w:rsidRPr="00520861">
        <w:rPr>
          <w:rFonts w:eastAsiaTheme="minorHAnsi"/>
          <w:sz w:val="28"/>
          <w:szCs w:val="28"/>
          <w:lang w:eastAsia="en-US"/>
        </w:rPr>
        <w:t>%</w:t>
      </w:r>
      <w:r w:rsidRPr="00520861">
        <w:rPr>
          <w:rFonts w:eastAsiaTheme="minorHAnsi"/>
          <w:sz w:val="28"/>
          <w:szCs w:val="28"/>
          <w:lang w:eastAsia="en-US"/>
        </w:rPr>
        <w:t xml:space="preserve"> довірчих інтервалів (95</w:t>
      </w:r>
      <w:r w:rsidR="00611A5B" w:rsidRPr="00520861">
        <w:rPr>
          <w:rFonts w:eastAsiaTheme="minorHAnsi"/>
          <w:sz w:val="28"/>
          <w:szCs w:val="28"/>
          <w:lang w:eastAsia="en-US"/>
        </w:rPr>
        <w:t>%</w:t>
      </w:r>
      <w:r w:rsidRPr="00520861">
        <w:rPr>
          <w:rFonts w:eastAsiaTheme="minorHAnsi"/>
          <w:sz w:val="28"/>
          <w:szCs w:val="28"/>
          <w:lang w:eastAsia="en-US"/>
        </w:rPr>
        <w:t xml:space="preserve"> ДІ) наведені для розрахованих за цими таблицями відношень шансів ВШ. </w:t>
      </w:r>
    </w:p>
    <w:p w14:paraId="48D7947B" w14:textId="77777777" w:rsidR="002E3CE8" w:rsidRPr="00520861" w:rsidRDefault="002E3CE8" w:rsidP="00292D2E">
      <w:pPr>
        <w:widowControl w:val="0"/>
        <w:spacing w:line="360" w:lineRule="auto"/>
        <w:ind w:firstLine="709"/>
        <w:jc w:val="both"/>
        <w:rPr>
          <w:rFonts w:eastAsia="Calibri"/>
          <w:sz w:val="28"/>
          <w:szCs w:val="28"/>
          <w:lang w:eastAsia="en-US"/>
        </w:rPr>
      </w:pPr>
    </w:p>
    <w:p w14:paraId="116817C4"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Із табл. 6.11 також бачимо, що наявність алеля А за геном </w:t>
      </w:r>
      <w:r w:rsidRPr="00520861">
        <w:rPr>
          <w:rFonts w:eastAsia="Calibri"/>
          <w:i/>
          <w:sz w:val="28"/>
          <w:szCs w:val="28"/>
          <w:lang w:eastAsia="en-US"/>
        </w:rPr>
        <w:t>VDR: 283 A&gt;G</w:t>
      </w:r>
      <w:r w:rsidRPr="00520861">
        <w:rPr>
          <w:rFonts w:eastAsia="Calibri"/>
          <w:sz w:val="28"/>
          <w:szCs w:val="28"/>
          <w:lang w:eastAsia="en-US"/>
        </w:rPr>
        <w:t xml:space="preserve"> </w:t>
      </w:r>
      <w:r w:rsidRPr="00520861">
        <w:rPr>
          <w:rFonts w:eastAsia="Calibri"/>
          <w:i/>
          <w:sz w:val="28"/>
          <w:szCs w:val="28"/>
          <w:lang w:eastAsia="en-US"/>
        </w:rPr>
        <w:t>(</w:t>
      </w:r>
      <w:proofErr w:type="spellStart"/>
      <w:r w:rsidRPr="00520861">
        <w:rPr>
          <w:rFonts w:eastAsia="Calibri"/>
          <w:i/>
          <w:sz w:val="28"/>
          <w:szCs w:val="28"/>
          <w:lang w:eastAsia="en-US"/>
        </w:rPr>
        <w:t>BsmI</w:t>
      </w:r>
      <w:proofErr w:type="spellEnd"/>
      <w:r w:rsidRPr="00520861">
        <w:rPr>
          <w:rFonts w:eastAsia="Calibri"/>
          <w:i/>
          <w:sz w:val="28"/>
          <w:szCs w:val="28"/>
          <w:lang w:eastAsia="en-US"/>
        </w:rPr>
        <w:t xml:space="preserve">) </w:t>
      </w:r>
      <w:r w:rsidRPr="00520861">
        <w:rPr>
          <w:rFonts w:eastAsia="Calibri"/>
          <w:sz w:val="28"/>
          <w:szCs w:val="28"/>
          <w:lang w:eastAsia="en-US"/>
        </w:rPr>
        <w:t>[</w:t>
      </w:r>
      <w:r w:rsidRPr="00520861">
        <w:rPr>
          <w:rFonts w:eastAsia="Calibri"/>
          <w:color w:val="333333"/>
          <w:sz w:val="28"/>
          <w:szCs w:val="28"/>
          <w:shd w:val="clear" w:color="auto" w:fill="FFFFFF"/>
          <w:lang w:eastAsia="en-US"/>
        </w:rPr>
        <w:t xml:space="preserve">rs1544410] </w:t>
      </w:r>
      <w:r w:rsidRPr="00520861">
        <w:rPr>
          <w:rFonts w:eastAsia="Calibri"/>
          <w:sz w:val="28"/>
          <w:szCs w:val="28"/>
          <w:lang w:eastAsia="en-US"/>
        </w:rPr>
        <w:t xml:space="preserve">є </w:t>
      </w:r>
      <w:proofErr w:type="spellStart"/>
      <w:r w:rsidRPr="00520861">
        <w:rPr>
          <w:rFonts w:eastAsia="Calibri"/>
          <w:sz w:val="28"/>
          <w:szCs w:val="28"/>
          <w:lang w:eastAsia="en-US"/>
        </w:rPr>
        <w:t>протективним</w:t>
      </w:r>
      <w:proofErr w:type="spellEnd"/>
      <w:r w:rsidRPr="00520861">
        <w:rPr>
          <w:rFonts w:eastAsia="Calibri"/>
          <w:sz w:val="28"/>
          <w:szCs w:val="28"/>
          <w:lang w:eastAsia="en-US"/>
        </w:rPr>
        <w:t xml:space="preserve"> фактором проти розвитку карієсу постійних зубів не тільки середньої, але і високої інтенсивності. </w:t>
      </w:r>
    </w:p>
    <w:p w14:paraId="61646EF3"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Також із табл. 6.10 та 6.11 видно, що частота розповсюдженості гетерозиготного варіанта даного гена підвищена відносно групи порівняння в осіб як із середньою, так і високою інтенсивністю карієсу. </w:t>
      </w:r>
    </w:p>
    <w:p w14:paraId="65015BAF"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Виявлено </w:t>
      </w:r>
      <w:proofErr w:type="spellStart"/>
      <w:r w:rsidRPr="00520861">
        <w:rPr>
          <w:rFonts w:eastAsia="Calibri"/>
          <w:sz w:val="28"/>
          <w:szCs w:val="28"/>
          <w:lang w:eastAsia="en-US"/>
        </w:rPr>
        <w:t>модулюючий</w:t>
      </w:r>
      <w:proofErr w:type="spellEnd"/>
      <w:r w:rsidRPr="00520861">
        <w:rPr>
          <w:rFonts w:eastAsia="Calibri"/>
          <w:sz w:val="28"/>
          <w:szCs w:val="28"/>
          <w:lang w:eastAsia="en-US"/>
        </w:rPr>
        <w:t xml:space="preserve"> вплив гена </w:t>
      </w:r>
      <w:r w:rsidRPr="00520861">
        <w:rPr>
          <w:rFonts w:eastAsia="Calibri"/>
          <w:i/>
          <w:sz w:val="28"/>
          <w:szCs w:val="28"/>
          <w:lang w:eastAsia="en-US"/>
        </w:rPr>
        <w:t>IL6: -174 G&gt;C</w:t>
      </w:r>
      <w:r w:rsidRPr="00520861">
        <w:rPr>
          <w:rFonts w:eastAsia="Calibri"/>
          <w:sz w:val="28"/>
          <w:szCs w:val="28"/>
          <w:lang w:eastAsia="en-US"/>
        </w:rPr>
        <w:t xml:space="preserve"> [rs1800795] на інтенсивність карієсу постійних зубів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r w:rsidRPr="00520861">
        <w:rPr>
          <w:rFonts w:eastAsia="Calibri"/>
          <w:bCs/>
          <w:sz w:val="28"/>
          <w:szCs w:val="28"/>
          <w:lang w:eastAsia="en-US"/>
        </w:rPr>
        <w:t>С</w:t>
      </w:r>
      <w:r w:rsidRPr="00520861">
        <w:rPr>
          <w:rFonts w:eastAsia="Calibri"/>
          <w:sz w:val="28"/>
          <w:szCs w:val="28"/>
          <w:lang w:eastAsia="en-US"/>
        </w:rPr>
        <w:t xml:space="preserve">еред осіб із ОГ ВІК, на відміну від осіб ОГ СІК, була значуще підвищеною частота розповсюдження генотипів GG за цим геном </w:t>
      </w:r>
      <w:r w:rsidRPr="00520861">
        <w:rPr>
          <w:rFonts w:eastAsia="Calibri"/>
          <w:bCs/>
          <w:sz w:val="28"/>
          <w:szCs w:val="28"/>
          <w:lang w:eastAsia="en-US"/>
        </w:rPr>
        <w:t>(табл. 6 12)</w:t>
      </w:r>
      <w:r w:rsidRPr="00520861">
        <w:rPr>
          <w:rFonts w:eastAsia="Calibri"/>
          <w:sz w:val="28"/>
          <w:szCs w:val="28"/>
          <w:lang w:eastAsia="en-US"/>
        </w:rPr>
        <w:t xml:space="preserve">. </w:t>
      </w:r>
    </w:p>
    <w:p w14:paraId="002728A3"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Значущими є рецесивна та мультиплікативна моделі успадкування. За наявності генотипу GG та алеля G в осіб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при народженні зростає вірогідність розвитку саме високої інтенсивності карієсу постійних зубів [40].  </w:t>
      </w:r>
    </w:p>
    <w:p w14:paraId="794EA371" w14:textId="77777777" w:rsidR="002E3CE8" w:rsidRPr="00520861" w:rsidRDefault="002E3CE8" w:rsidP="00292D2E">
      <w:pPr>
        <w:widowControl w:val="0"/>
        <w:spacing w:line="360" w:lineRule="auto"/>
        <w:contextualSpacing/>
        <w:jc w:val="right"/>
        <w:rPr>
          <w:rFonts w:eastAsia="Calibri"/>
          <w:i/>
          <w:sz w:val="28"/>
          <w:szCs w:val="28"/>
          <w:lang w:eastAsia="en-US"/>
        </w:rPr>
      </w:pPr>
      <w:r w:rsidRPr="00520861">
        <w:rPr>
          <w:rFonts w:eastAsia="Calibri"/>
          <w:i/>
          <w:sz w:val="28"/>
          <w:szCs w:val="28"/>
          <w:lang w:eastAsia="en-US"/>
        </w:rPr>
        <w:lastRenderedPageBreak/>
        <w:t>Таблиця. 6.11</w:t>
      </w:r>
    </w:p>
    <w:p w14:paraId="58E12907" w14:textId="77777777" w:rsidR="002E3CE8" w:rsidRPr="00520861" w:rsidRDefault="002E3CE8" w:rsidP="00292D2E">
      <w:pPr>
        <w:widowControl w:val="0"/>
        <w:spacing w:after="40" w:line="360" w:lineRule="auto"/>
        <w:ind w:firstLine="709"/>
        <w:jc w:val="center"/>
        <w:rPr>
          <w:rFonts w:eastAsia="Calibri"/>
          <w:b/>
          <w:sz w:val="28"/>
          <w:szCs w:val="28"/>
          <w:lang w:eastAsia="en-US"/>
        </w:rPr>
      </w:pPr>
      <w:r w:rsidRPr="00520861">
        <w:rPr>
          <w:rFonts w:eastAsiaTheme="minorHAnsi"/>
          <w:b/>
          <w:sz w:val="28"/>
          <w:szCs w:val="28"/>
          <w:lang w:eastAsia="en-US"/>
        </w:rPr>
        <w:t xml:space="preserve">Порівняння частот розподілу поліморфних варіантів </w:t>
      </w:r>
      <w:r w:rsidRPr="00520861">
        <w:rPr>
          <w:rFonts w:eastAsia="Calibri"/>
          <w:b/>
          <w:sz w:val="28"/>
          <w:szCs w:val="28"/>
          <w:lang w:eastAsia="en-US"/>
        </w:rPr>
        <w:t xml:space="preserve">за генами </w:t>
      </w:r>
      <w:r w:rsidRPr="00520861">
        <w:rPr>
          <w:rFonts w:eastAsia="Calibri"/>
          <w:b/>
          <w:i/>
          <w:sz w:val="28"/>
          <w:szCs w:val="28"/>
          <w:lang w:eastAsia="en-US"/>
        </w:rPr>
        <w:t>RANKL: C&gt;T</w:t>
      </w:r>
      <w:r w:rsidRPr="00520861">
        <w:rPr>
          <w:rFonts w:eastAsia="Calibri"/>
          <w:b/>
          <w:sz w:val="28"/>
          <w:szCs w:val="28"/>
          <w:lang w:eastAsia="en-US"/>
        </w:rPr>
        <w:t xml:space="preserve"> [rs9594738] і </w:t>
      </w:r>
      <w:r w:rsidRPr="00520861">
        <w:rPr>
          <w:rFonts w:eastAsia="Calibri"/>
          <w:b/>
          <w:i/>
          <w:sz w:val="28"/>
          <w:szCs w:val="28"/>
          <w:lang w:eastAsia="en-US"/>
        </w:rPr>
        <w:t>VDR: 283 A&gt;G (</w:t>
      </w:r>
      <w:proofErr w:type="spellStart"/>
      <w:r w:rsidRPr="00520861">
        <w:rPr>
          <w:rFonts w:eastAsia="Calibri"/>
          <w:b/>
          <w:i/>
          <w:sz w:val="28"/>
          <w:szCs w:val="28"/>
          <w:lang w:eastAsia="en-US"/>
        </w:rPr>
        <w:t>BsmI</w:t>
      </w:r>
      <w:proofErr w:type="spellEnd"/>
      <w:r w:rsidRPr="00520861">
        <w:rPr>
          <w:rFonts w:eastAsia="Calibri"/>
          <w:b/>
          <w:i/>
          <w:sz w:val="28"/>
          <w:szCs w:val="28"/>
          <w:lang w:eastAsia="en-US"/>
        </w:rPr>
        <w:t>)</w:t>
      </w:r>
      <w:r w:rsidRPr="00520861">
        <w:rPr>
          <w:rFonts w:eastAsia="Calibri"/>
          <w:b/>
          <w:sz w:val="28"/>
          <w:szCs w:val="28"/>
          <w:lang w:eastAsia="en-US"/>
        </w:rPr>
        <w:t xml:space="preserve"> в осіб ОГ ВІК та ГП</w:t>
      </w:r>
    </w:p>
    <w:tbl>
      <w:tblPr>
        <w:tblStyle w:val="430"/>
        <w:tblW w:w="9494" w:type="dxa"/>
        <w:jc w:val="center"/>
        <w:tblLook w:val="04A0" w:firstRow="1" w:lastRow="0" w:firstColumn="1" w:lastColumn="0" w:noHBand="0" w:noVBand="1"/>
      </w:tblPr>
      <w:tblGrid>
        <w:gridCol w:w="1966"/>
        <w:gridCol w:w="1642"/>
        <w:gridCol w:w="1402"/>
        <w:gridCol w:w="1401"/>
        <w:gridCol w:w="2089"/>
        <w:gridCol w:w="994"/>
      </w:tblGrid>
      <w:tr w:rsidR="002E3CE8" w:rsidRPr="00520861" w14:paraId="0B5B8859" w14:textId="77777777" w:rsidTr="00292D2E">
        <w:trPr>
          <w:jc w:val="center"/>
        </w:trPr>
        <w:tc>
          <w:tcPr>
            <w:tcW w:w="1966" w:type="dxa"/>
            <w:vMerge w:val="restart"/>
            <w:tcBorders>
              <w:top w:val="single" w:sz="4" w:space="0" w:color="auto"/>
              <w:left w:val="single" w:sz="4" w:space="0" w:color="auto"/>
              <w:bottom w:val="single" w:sz="4" w:space="0" w:color="auto"/>
              <w:right w:val="single" w:sz="4" w:space="0" w:color="auto"/>
            </w:tcBorders>
            <w:hideMark/>
          </w:tcPr>
          <w:p w14:paraId="50EFC6E3" w14:textId="77777777" w:rsidR="002E3CE8" w:rsidRPr="00520861" w:rsidRDefault="002E3CE8" w:rsidP="00292D2E">
            <w:pPr>
              <w:widowControl w:val="0"/>
              <w:spacing w:line="360" w:lineRule="auto"/>
              <w:contextualSpacing/>
              <w:jc w:val="center"/>
              <w:rPr>
                <w:rFonts w:eastAsiaTheme="minorHAnsi" w:cs="Times New Roman"/>
                <w:sz w:val="28"/>
                <w:szCs w:val="28"/>
              </w:rPr>
            </w:pPr>
          </w:p>
          <w:p w14:paraId="19ADC80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Ген</w:t>
            </w:r>
          </w:p>
        </w:tc>
        <w:tc>
          <w:tcPr>
            <w:tcW w:w="1642" w:type="dxa"/>
            <w:vMerge w:val="restart"/>
            <w:tcBorders>
              <w:top w:val="single" w:sz="4" w:space="0" w:color="auto"/>
              <w:left w:val="single" w:sz="4" w:space="0" w:color="auto"/>
              <w:bottom w:val="single" w:sz="4" w:space="0" w:color="auto"/>
              <w:right w:val="single" w:sz="4" w:space="0" w:color="auto"/>
            </w:tcBorders>
            <w:hideMark/>
          </w:tcPr>
          <w:p w14:paraId="3ADFC561" w14:textId="77777777" w:rsidR="002E3CE8" w:rsidRPr="00520861" w:rsidRDefault="002E3CE8" w:rsidP="00292D2E">
            <w:pPr>
              <w:widowControl w:val="0"/>
              <w:spacing w:line="360" w:lineRule="auto"/>
              <w:contextualSpacing/>
              <w:jc w:val="center"/>
              <w:rPr>
                <w:rFonts w:eastAsiaTheme="minorHAnsi" w:cs="Times New Roman"/>
                <w:sz w:val="28"/>
                <w:szCs w:val="28"/>
              </w:rPr>
            </w:pPr>
          </w:p>
          <w:p w14:paraId="35A3F85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Генотип</w:t>
            </w:r>
          </w:p>
        </w:tc>
        <w:tc>
          <w:tcPr>
            <w:tcW w:w="5886" w:type="dxa"/>
            <w:gridSpan w:val="4"/>
            <w:tcBorders>
              <w:top w:val="single" w:sz="4" w:space="0" w:color="auto"/>
              <w:left w:val="single" w:sz="4" w:space="0" w:color="auto"/>
              <w:bottom w:val="single" w:sz="4" w:space="0" w:color="auto"/>
              <w:right w:val="single" w:sz="4" w:space="0" w:color="auto"/>
            </w:tcBorders>
            <w:hideMark/>
          </w:tcPr>
          <w:p w14:paraId="6E7B4D9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Результати статистичного аналізу</w:t>
            </w:r>
          </w:p>
        </w:tc>
      </w:tr>
      <w:tr w:rsidR="002E3CE8" w:rsidRPr="00520861" w14:paraId="2A0E69DA" w14:textId="77777777" w:rsidTr="00292D2E">
        <w:trPr>
          <w:jc w:val="center"/>
        </w:trPr>
        <w:tc>
          <w:tcPr>
            <w:tcW w:w="1966" w:type="dxa"/>
            <w:vMerge/>
            <w:tcBorders>
              <w:top w:val="single" w:sz="4" w:space="0" w:color="auto"/>
              <w:left w:val="single" w:sz="4" w:space="0" w:color="auto"/>
              <w:bottom w:val="single" w:sz="4" w:space="0" w:color="auto"/>
              <w:right w:val="single" w:sz="4" w:space="0" w:color="auto"/>
            </w:tcBorders>
            <w:vAlign w:val="center"/>
            <w:hideMark/>
          </w:tcPr>
          <w:p w14:paraId="518A7BB3"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vMerge/>
            <w:tcBorders>
              <w:top w:val="single" w:sz="4" w:space="0" w:color="auto"/>
              <w:left w:val="single" w:sz="4" w:space="0" w:color="auto"/>
              <w:bottom w:val="single" w:sz="4" w:space="0" w:color="auto"/>
              <w:right w:val="single" w:sz="4" w:space="0" w:color="auto"/>
            </w:tcBorders>
            <w:vAlign w:val="center"/>
            <w:hideMark/>
          </w:tcPr>
          <w:p w14:paraId="48B852CD"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402" w:type="dxa"/>
            <w:tcBorders>
              <w:top w:val="single" w:sz="4" w:space="0" w:color="auto"/>
              <w:left w:val="single" w:sz="4" w:space="0" w:color="auto"/>
              <w:bottom w:val="single" w:sz="4" w:space="0" w:color="auto"/>
              <w:right w:val="single" w:sz="4" w:space="0" w:color="auto"/>
            </w:tcBorders>
            <w:hideMark/>
          </w:tcPr>
          <w:p w14:paraId="624D54F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sym w:font="Symbol" w:char="F063"/>
            </w:r>
            <w:r w:rsidRPr="00520861">
              <w:rPr>
                <w:rFonts w:eastAsiaTheme="minorHAnsi" w:cs="Times New Roman"/>
                <w:sz w:val="28"/>
                <w:szCs w:val="28"/>
                <w:vertAlign w:val="superscript"/>
              </w:rPr>
              <w:t>2</w:t>
            </w:r>
            <w:r w:rsidRPr="00520861">
              <w:rPr>
                <w:rFonts w:eastAsiaTheme="minorHAnsi" w:cs="Times New Roman"/>
                <w:sz w:val="28"/>
                <w:szCs w:val="28"/>
              </w:rPr>
              <w:t xml:space="preserve"> (</w:t>
            </w:r>
            <w:proofErr w:type="spellStart"/>
            <w:r w:rsidRPr="00520861">
              <w:rPr>
                <w:rFonts w:eastAsiaTheme="minorHAnsi" w:cs="Times New Roman"/>
                <w:sz w:val="28"/>
                <w:szCs w:val="28"/>
              </w:rPr>
              <w:t>Йєтс</w:t>
            </w:r>
            <w:proofErr w:type="spellEnd"/>
            <w:r w:rsidRPr="00520861">
              <w:rPr>
                <w:rFonts w:eastAsiaTheme="minorHAnsi" w:cs="Times New Roman"/>
                <w:sz w:val="28"/>
                <w:szCs w:val="28"/>
              </w:rPr>
              <w:t>)</w:t>
            </w:r>
          </w:p>
        </w:tc>
        <w:tc>
          <w:tcPr>
            <w:tcW w:w="1401" w:type="dxa"/>
            <w:tcBorders>
              <w:top w:val="single" w:sz="4" w:space="0" w:color="auto"/>
              <w:left w:val="single" w:sz="4" w:space="0" w:color="auto"/>
              <w:bottom w:val="single" w:sz="4" w:space="0" w:color="auto"/>
              <w:right w:val="single" w:sz="4" w:space="0" w:color="auto"/>
            </w:tcBorders>
            <w:hideMark/>
          </w:tcPr>
          <w:p w14:paraId="4BC1876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ВШ</w:t>
            </w:r>
          </w:p>
        </w:tc>
        <w:tc>
          <w:tcPr>
            <w:tcW w:w="2089" w:type="dxa"/>
            <w:tcBorders>
              <w:top w:val="single" w:sz="4" w:space="0" w:color="auto"/>
              <w:left w:val="single" w:sz="4" w:space="0" w:color="auto"/>
              <w:bottom w:val="single" w:sz="4" w:space="0" w:color="auto"/>
              <w:right w:val="single" w:sz="4" w:space="0" w:color="auto"/>
            </w:tcBorders>
            <w:hideMark/>
          </w:tcPr>
          <w:p w14:paraId="5A748E6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95% ДІ</w:t>
            </w:r>
          </w:p>
        </w:tc>
        <w:tc>
          <w:tcPr>
            <w:tcW w:w="989" w:type="dxa"/>
            <w:tcBorders>
              <w:top w:val="single" w:sz="4" w:space="0" w:color="auto"/>
              <w:left w:val="single" w:sz="4" w:space="0" w:color="auto"/>
              <w:bottom w:val="single" w:sz="4" w:space="0" w:color="auto"/>
              <w:right w:val="single" w:sz="4" w:space="0" w:color="auto"/>
            </w:tcBorders>
            <w:hideMark/>
          </w:tcPr>
          <w:p w14:paraId="4487D54B"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P</w:t>
            </w:r>
          </w:p>
        </w:tc>
      </w:tr>
      <w:tr w:rsidR="002E3CE8" w:rsidRPr="00520861" w14:paraId="1F8C79D3" w14:textId="77777777" w:rsidTr="00292D2E">
        <w:trPr>
          <w:jc w:val="center"/>
        </w:trPr>
        <w:tc>
          <w:tcPr>
            <w:tcW w:w="1966" w:type="dxa"/>
            <w:tcBorders>
              <w:top w:val="single" w:sz="4" w:space="0" w:color="auto"/>
              <w:left w:val="single" w:sz="4" w:space="0" w:color="auto"/>
              <w:bottom w:val="single" w:sz="4" w:space="0" w:color="auto"/>
              <w:right w:val="single" w:sz="4" w:space="0" w:color="auto"/>
            </w:tcBorders>
            <w:vAlign w:val="center"/>
          </w:tcPr>
          <w:p w14:paraId="05FF8E3D"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1</w:t>
            </w:r>
          </w:p>
        </w:tc>
        <w:tc>
          <w:tcPr>
            <w:tcW w:w="1642" w:type="dxa"/>
            <w:tcBorders>
              <w:top w:val="single" w:sz="4" w:space="0" w:color="auto"/>
              <w:left w:val="single" w:sz="4" w:space="0" w:color="auto"/>
              <w:bottom w:val="single" w:sz="4" w:space="0" w:color="auto"/>
              <w:right w:val="single" w:sz="4" w:space="0" w:color="auto"/>
            </w:tcBorders>
            <w:vAlign w:val="center"/>
          </w:tcPr>
          <w:p w14:paraId="38007CEC"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2</w:t>
            </w:r>
          </w:p>
        </w:tc>
        <w:tc>
          <w:tcPr>
            <w:tcW w:w="1402" w:type="dxa"/>
            <w:tcBorders>
              <w:top w:val="single" w:sz="4" w:space="0" w:color="auto"/>
              <w:left w:val="single" w:sz="4" w:space="0" w:color="auto"/>
              <w:bottom w:val="single" w:sz="4" w:space="0" w:color="auto"/>
              <w:right w:val="single" w:sz="4" w:space="0" w:color="auto"/>
            </w:tcBorders>
          </w:tcPr>
          <w:p w14:paraId="05C53D8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w:t>
            </w:r>
          </w:p>
        </w:tc>
        <w:tc>
          <w:tcPr>
            <w:tcW w:w="1401" w:type="dxa"/>
            <w:tcBorders>
              <w:top w:val="single" w:sz="4" w:space="0" w:color="auto"/>
              <w:left w:val="single" w:sz="4" w:space="0" w:color="auto"/>
              <w:bottom w:val="single" w:sz="4" w:space="0" w:color="auto"/>
              <w:right w:val="single" w:sz="4" w:space="0" w:color="auto"/>
            </w:tcBorders>
          </w:tcPr>
          <w:p w14:paraId="7AD55A8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w:t>
            </w:r>
          </w:p>
        </w:tc>
        <w:tc>
          <w:tcPr>
            <w:tcW w:w="2089" w:type="dxa"/>
            <w:tcBorders>
              <w:top w:val="single" w:sz="4" w:space="0" w:color="auto"/>
              <w:left w:val="single" w:sz="4" w:space="0" w:color="auto"/>
              <w:bottom w:val="single" w:sz="4" w:space="0" w:color="auto"/>
              <w:right w:val="single" w:sz="4" w:space="0" w:color="auto"/>
            </w:tcBorders>
          </w:tcPr>
          <w:p w14:paraId="65FFA12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w:t>
            </w:r>
          </w:p>
        </w:tc>
        <w:tc>
          <w:tcPr>
            <w:tcW w:w="989" w:type="dxa"/>
            <w:tcBorders>
              <w:top w:val="single" w:sz="4" w:space="0" w:color="auto"/>
              <w:left w:val="single" w:sz="4" w:space="0" w:color="auto"/>
              <w:bottom w:val="single" w:sz="4" w:space="0" w:color="auto"/>
              <w:right w:val="single" w:sz="4" w:space="0" w:color="auto"/>
            </w:tcBorders>
          </w:tcPr>
          <w:p w14:paraId="1AD6050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w:t>
            </w:r>
          </w:p>
        </w:tc>
      </w:tr>
      <w:tr w:rsidR="002E3CE8" w:rsidRPr="00520861" w14:paraId="47835EB1" w14:textId="77777777" w:rsidTr="00292D2E">
        <w:trPr>
          <w:jc w:val="center"/>
        </w:trPr>
        <w:tc>
          <w:tcPr>
            <w:tcW w:w="1966" w:type="dxa"/>
            <w:vMerge w:val="restart"/>
            <w:tcBorders>
              <w:top w:val="single" w:sz="4" w:space="0" w:color="auto"/>
              <w:left w:val="single" w:sz="4" w:space="0" w:color="auto"/>
              <w:right w:val="single" w:sz="4" w:space="0" w:color="auto"/>
            </w:tcBorders>
          </w:tcPr>
          <w:p w14:paraId="6B2A4CA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i/>
                <w:sz w:val="28"/>
                <w:szCs w:val="28"/>
              </w:rPr>
              <w:t>RANKL: C&gt;T</w:t>
            </w:r>
            <w:r w:rsidRPr="00520861">
              <w:rPr>
                <w:rFonts w:eastAsiaTheme="minorHAnsi" w:cs="Times New Roman"/>
                <w:sz w:val="28"/>
                <w:szCs w:val="28"/>
              </w:rPr>
              <w:t xml:space="preserve"> [rs9594738]</w:t>
            </w:r>
          </w:p>
        </w:tc>
        <w:tc>
          <w:tcPr>
            <w:tcW w:w="7528" w:type="dxa"/>
            <w:gridSpan w:val="5"/>
            <w:tcBorders>
              <w:top w:val="single" w:sz="4" w:space="0" w:color="auto"/>
              <w:left w:val="single" w:sz="4" w:space="0" w:color="auto"/>
              <w:bottom w:val="single" w:sz="4" w:space="0" w:color="auto"/>
              <w:right w:val="single" w:sz="4" w:space="0" w:color="auto"/>
            </w:tcBorders>
          </w:tcPr>
          <w:p w14:paraId="50CC451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Адитивна модель</w:t>
            </w:r>
          </w:p>
        </w:tc>
      </w:tr>
      <w:tr w:rsidR="002E3CE8" w:rsidRPr="00520861" w14:paraId="3E1A848D" w14:textId="77777777" w:rsidTr="00292D2E">
        <w:trPr>
          <w:jc w:val="center"/>
        </w:trPr>
        <w:tc>
          <w:tcPr>
            <w:tcW w:w="1966" w:type="dxa"/>
            <w:vMerge/>
            <w:tcBorders>
              <w:left w:val="single" w:sz="4" w:space="0" w:color="auto"/>
              <w:right w:val="single" w:sz="4" w:space="0" w:color="auto"/>
            </w:tcBorders>
            <w:hideMark/>
          </w:tcPr>
          <w:p w14:paraId="15D49641"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hideMark/>
          </w:tcPr>
          <w:p w14:paraId="1794E8F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w:t>
            </w:r>
          </w:p>
          <w:p w14:paraId="46B961A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CT</w:t>
            </w:r>
          </w:p>
          <w:p w14:paraId="50E355E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TT</w:t>
            </w:r>
          </w:p>
        </w:tc>
        <w:tc>
          <w:tcPr>
            <w:tcW w:w="1402" w:type="dxa"/>
            <w:tcBorders>
              <w:top w:val="single" w:sz="4" w:space="0" w:color="auto"/>
              <w:left w:val="single" w:sz="4" w:space="0" w:color="auto"/>
              <w:bottom w:val="single" w:sz="4" w:space="0" w:color="auto"/>
              <w:right w:val="single" w:sz="4" w:space="0" w:color="auto"/>
            </w:tcBorders>
            <w:hideMark/>
          </w:tcPr>
          <w:p w14:paraId="3C632E6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6,101</w:t>
            </w:r>
          </w:p>
        </w:tc>
        <w:tc>
          <w:tcPr>
            <w:tcW w:w="1401" w:type="dxa"/>
            <w:tcBorders>
              <w:top w:val="single" w:sz="4" w:space="0" w:color="auto"/>
              <w:left w:val="single" w:sz="4" w:space="0" w:color="auto"/>
              <w:bottom w:val="single" w:sz="4" w:space="0" w:color="auto"/>
              <w:right w:val="single" w:sz="4" w:space="0" w:color="auto"/>
            </w:tcBorders>
            <w:hideMark/>
          </w:tcPr>
          <w:p w14:paraId="43F8C53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1,939</w:t>
            </w:r>
          </w:p>
          <w:p w14:paraId="39B2C2F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2,654</w:t>
            </w:r>
          </w:p>
          <w:p w14:paraId="19EE84D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0,210</w:t>
            </w:r>
          </w:p>
        </w:tc>
        <w:tc>
          <w:tcPr>
            <w:tcW w:w="2089" w:type="dxa"/>
            <w:tcBorders>
              <w:top w:val="single" w:sz="4" w:space="0" w:color="auto"/>
              <w:left w:val="single" w:sz="4" w:space="0" w:color="auto"/>
              <w:bottom w:val="single" w:sz="4" w:space="0" w:color="auto"/>
              <w:right w:val="single" w:sz="4" w:space="0" w:color="auto"/>
            </w:tcBorders>
            <w:hideMark/>
          </w:tcPr>
          <w:p w14:paraId="6E6A7F9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0,557-6,754</w:t>
            </w:r>
          </w:p>
          <w:p w14:paraId="06ADEE7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0,834-8,442</w:t>
            </w:r>
          </w:p>
          <w:p w14:paraId="59A23BF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0,068-0,644</w:t>
            </w:r>
          </w:p>
        </w:tc>
        <w:tc>
          <w:tcPr>
            <w:tcW w:w="989" w:type="dxa"/>
            <w:tcBorders>
              <w:top w:val="single" w:sz="4" w:space="0" w:color="auto"/>
              <w:left w:val="single" w:sz="4" w:space="0" w:color="auto"/>
              <w:bottom w:val="single" w:sz="4" w:space="0" w:color="auto"/>
              <w:right w:val="single" w:sz="4" w:space="0" w:color="auto"/>
            </w:tcBorders>
            <w:hideMark/>
          </w:tcPr>
          <w:p w14:paraId="3FE48DA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0,047</w:t>
            </w:r>
          </w:p>
        </w:tc>
      </w:tr>
      <w:tr w:rsidR="002E3CE8" w:rsidRPr="00520861" w14:paraId="3A29780A" w14:textId="77777777" w:rsidTr="00292D2E">
        <w:trPr>
          <w:jc w:val="center"/>
        </w:trPr>
        <w:tc>
          <w:tcPr>
            <w:tcW w:w="1966" w:type="dxa"/>
            <w:vMerge/>
            <w:tcBorders>
              <w:left w:val="single" w:sz="4" w:space="0" w:color="auto"/>
              <w:right w:val="single" w:sz="4" w:space="0" w:color="auto"/>
            </w:tcBorders>
          </w:tcPr>
          <w:p w14:paraId="1A5BE300"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528" w:type="dxa"/>
            <w:gridSpan w:val="5"/>
            <w:tcBorders>
              <w:top w:val="single" w:sz="4" w:space="0" w:color="auto"/>
              <w:left w:val="single" w:sz="4" w:space="0" w:color="auto"/>
              <w:bottom w:val="single" w:sz="4" w:space="0" w:color="auto"/>
              <w:right w:val="single" w:sz="4" w:space="0" w:color="auto"/>
            </w:tcBorders>
          </w:tcPr>
          <w:p w14:paraId="52203F4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Рецесивна модель</w:t>
            </w:r>
          </w:p>
        </w:tc>
      </w:tr>
      <w:tr w:rsidR="002E3CE8" w:rsidRPr="00520861" w14:paraId="42B10A8E" w14:textId="77777777" w:rsidTr="00292D2E">
        <w:trPr>
          <w:jc w:val="center"/>
        </w:trPr>
        <w:tc>
          <w:tcPr>
            <w:tcW w:w="1966" w:type="dxa"/>
            <w:vMerge/>
            <w:tcBorders>
              <w:left w:val="single" w:sz="4" w:space="0" w:color="auto"/>
              <w:right w:val="single" w:sz="4" w:space="0" w:color="auto"/>
            </w:tcBorders>
          </w:tcPr>
          <w:p w14:paraId="63EEF644"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616A785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CC+CT</w:t>
            </w:r>
          </w:p>
          <w:p w14:paraId="4C97F2E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TT</w:t>
            </w:r>
          </w:p>
        </w:tc>
        <w:tc>
          <w:tcPr>
            <w:tcW w:w="1402" w:type="dxa"/>
            <w:tcBorders>
              <w:top w:val="single" w:sz="4" w:space="0" w:color="auto"/>
              <w:left w:val="single" w:sz="4" w:space="0" w:color="auto"/>
              <w:bottom w:val="single" w:sz="4" w:space="0" w:color="auto"/>
              <w:right w:val="single" w:sz="4" w:space="0" w:color="auto"/>
            </w:tcBorders>
          </w:tcPr>
          <w:p w14:paraId="7C4D87F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6,476</w:t>
            </w:r>
          </w:p>
        </w:tc>
        <w:tc>
          <w:tcPr>
            <w:tcW w:w="1401" w:type="dxa"/>
            <w:tcBorders>
              <w:top w:val="single" w:sz="4" w:space="0" w:color="auto"/>
              <w:left w:val="single" w:sz="4" w:space="0" w:color="auto"/>
              <w:bottom w:val="single" w:sz="4" w:space="0" w:color="auto"/>
              <w:right w:val="single" w:sz="4" w:space="0" w:color="auto"/>
            </w:tcBorders>
          </w:tcPr>
          <w:p w14:paraId="4564F91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4,767</w:t>
            </w:r>
          </w:p>
          <w:p w14:paraId="4DB5181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0,210</w:t>
            </w:r>
          </w:p>
        </w:tc>
        <w:tc>
          <w:tcPr>
            <w:tcW w:w="2089" w:type="dxa"/>
            <w:tcBorders>
              <w:top w:val="single" w:sz="4" w:space="0" w:color="auto"/>
              <w:left w:val="single" w:sz="4" w:space="0" w:color="auto"/>
              <w:bottom w:val="single" w:sz="4" w:space="0" w:color="auto"/>
              <w:right w:val="single" w:sz="4" w:space="0" w:color="auto"/>
            </w:tcBorders>
          </w:tcPr>
          <w:p w14:paraId="376AD6D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1,552-14,637</w:t>
            </w:r>
          </w:p>
          <w:p w14:paraId="18BFF84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0,068-0,644</w:t>
            </w:r>
          </w:p>
        </w:tc>
        <w:tc>
          <w:tcPr>
            <w:tcW w:w="989" w:type="dxa"/>
            <w:tcBorders>
              <w:top w:val="single" w:sz="4" w:space="0" w:color="auto"/>
              <w:left w:val="single" w:sz="4" w:space="0" w:color="auto"/>
              <w:bottom w:val="single" w:sz="4" w:space="0" w:color="auto"/>
              <w:right w:val="single" w:sz="4" w:space="0" w:color="auto"/>
            </w:tcBorders>
          </w:tcPr>
          <w:p w14:paraId="17A57CC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0,011</w:t>
            </w:r>
          </w:p>
        </w:tc>
      </w:tr>
      <w:tr w:rsidR="002E3CE8" w:rsidRPr="00520861" w14:paraId="3B6A034F" w14:textId="77777777" w:rsidTr="00292D2E">
        <w:trPr>
          <w:jc w:val="center"/>
        </w:trPr>
        <w:tc>
          <w:tcPr>
            <w:tcW w:w="1966" w:type="dxa"/>
            <w:vMerge/>
            <w:tcBorders>
              <w:left w:val="single" w:sz="4" w:space="0" w:color="auto"/>
              <w:right w:val="single" w:sz="4" w:space="0" w:color="auto"/>
            </w:tcBorders>
          </w:tcPr>
          <w:p w14:paraId="1CEEB3C4"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528" w:type="dxa"/>
            <w:gridSpan w:val="5"/>
            <w:tcBorders>
              <w:top w:val="single" w:sz="4" w:space="0" w:color="auto"/>
              <w:left w:val="single" w:sz="4" w:space="0" w:color="auto"/>
              <w:bottom w:val="single" w:sz="4" w:space="0" w:color="auto"/>
              <w:right w:val="single" w:sz="4" w:space="0" w:color="auto"/>
            </w:tcBorders>
          </w:tcPr>
          <w:p w14:paraId="0C73394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Домінантна модель</w:t>
            </w:r>
          </w:p>
        </w:tc>
      </w:tr>
      <w:tr w:rsidR="002E3CE8" w:rsidRPr="00520861" w14:paraId="7FC3793B" w14:textId="77777777" w:rsidTr="00292D2E">
        <w:trPr>
          <w:jc w:val="center"/>
        </w:trPr>
        <w:tc>
          <w:tcPr>
            <w:tcW w:w="1966" w:type="dxa"/>
            <w:vMerge/>
            <w:tcBorders>
              <w:left w:val="single" w:sz="4" w:space="0" w:color="auto"/>
              <w:right w:val="single" w:sz="4" w:space="0" w:color="auto"/>
            </w:tcBorders>
          </w:tcPr>
          <w:p w14:paraId="6D0DBA59"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42B2E19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w:t>
            </w:r>
          </w:p>
          <w:p w14:paraId="63844D9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CT+TT</w:t>
            </w:r>
          </w:p>
        </w:tc>
        <w:tc>
          <w:tcPr>
            <w:tcW w:w="1402" w:type="dxa"/>
            <w:tcBorders>
              <w:top w:val="single" w:sz="4" w:space="0" w:color="auto"/>
              <w:left w:val="single" w:sz="4" w:space="0" w:color="auto"/>
              <w:bottom w:val="single" w:sz="4" w:space="0" w:color="auto"/>
              <w:right w:val="single" w:sz="4" w:space="0" w:color="auto"/>
            </w:tcBorders>
          </w:tcPr>
          <w:p w14:paraId="65A28D5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0,575</w:t>
            </w:r>
          </w:p>
        </w:tc>
        <w:tc>
          <w:tcPr>
            <w:tcW w:w="1401" w:type="dxa"/>
            <w:tcBorders>
              <w:top w:val="single" w:sz="4" w:space="0" w:color="auto"/>
              <w:left w:val="single" w:sz="4" w:space="0" w:color="auto"/>
              <w:bottom w:val="single" w:sz="4" w:space="0" w:color="auto"/>
              <w:right w:val="single" w:sz="4" w:space="0" w:color="auto"/>
            </w:tcBorders>
          </w:tcPr>
          <w:p w14:paraId="28157F3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1,939</w:t>
            </w:r>
          </w:p>
          <w:p w14:paraId="5BBDA8A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0,516</w:t>
            </w:r>
          </w:p>
        </w:tc>
        <w:tc>
          <w:tcPr>
            <w:tcW w:w="2089" w:type="dxa"/>
            <w:tcBorders>
              <w:top w:val="single" w:sz="4" w:space="0" w:color="auto"/>
              <w:left w:val="single" w:sz="4" w:space="0" w:color="auto"/>
              <w:bottom w:val="single" w:sz="4" w:space="0" w:color="auto"/>
              <w:right w:val="single" w:sz="4" w:space="0" w:color="auto"/>
            </w:tcBorders>
          </w:tcPr>
          <w:p w14:paraId="15FB384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0,557-6,754</w:t>
            </w:r>
          </w:p>
          <w:p w14:paraId="61AAC51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0,148-1,796</w:t>
            </w:r>
          </w:p>
        </w:tc>
        <w:tc>
          <w:tcPr>
            <w:tcW w:w="989" w:type="dxa"/>
            <w:tcBorders>
              <w:top w:val="single" w:sz="4" w:space="0" w:color="auto"/>
              <w:left w:val="single" w:sz="4" w:space="0" w:color="auto"/>
              <w:bottom w:val="single" w:sz="4" w:space="0" w:color="auto"/>
              <w:right w:val="single" w:sz="4" w:space="0" w:color="auto"/>
            </w:tcBorders>
          </w:tcPr>
          <w:p w14:paraId="6F57361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0,448</w:t>
            </w:r>
          </w:p>
        </w:tc>
      </w:tr>
      <w:tr w:rsidR="002E3CE8" w:rsidRPr="00520861" w14:paraId="133DD188" w14:textId="77777777" w:rsidTr="00292D2E">
        <w:trPr>
          <w:jc w:val="center"/>
        </w:trPr>
        <w:tc>
          <w:tcPr>
            <w:tcW w:w="1966" w:type="dxa"/>
            <w:vMerge/>
            <w:tcBorders>
              <w:left w:val="single" w:sz="4" w:space="0" w:color="auto"/>
              <w:right w:val="single" w:sz="4" w:space="0" w:color="auto"/>
            </w:tcBorders>
          </w:tcPr>
          <w:p w14:paraId="090EBAF5"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528" w:type="dxa"/>
            <w:gridSpan w:val="5"/>
            <w:tcBorders>
              <w:top w:val="single" w:sz="4" w:space="0" w:color="auto"/>
              <w:left w:val="single" w:sz="4" w:space="0" w:color="auto"/>
              <w:bottom w:val="single" w:sz="4" w:space="0" w:color="auto"/>
              <w:right w:val="single" w:sz="4" w:space="0" w:color="auto"/>
            </w:tcBorders>
          </w:tcPr>
          <w:p w14:paraId="1526F97C" w14:textId="77777777" w:rsidR="002E3CE8" w:rsidRPr="00520861" w:rsidRDefault="002E3CE8" w:rsidP="00292D2E">
            <w:pPr>
              <w:widowControl w:val="0"/>
              <w:spacing w:line="360" w:lineRule="auto"/>
              <w:contextualSpacing/>
              <w:jc w:val="center"/>
              <w:rPr>
                <w:rFonts w:eastAsiaTheme="minorHAnsi" w:cs="Times New Roman"/>
                <w:sz w:val="28"/>
                <w:szCs w:val="28"/>
              </w:rPr>
            </w:pPr>
            <w:proofErr w:type="spellStart"/>
            <w:r w:rsidRPr="00520861">
              <w:rPr>
                <w:rFonts w:eastAsiaTheme="minorHAnsi" w:cs="Times New Roman"/>
                <w:sz w:val="28"/>
                <w:szCs w:val="28"/>
              </w:rPr>
              <w:t>Наддомінантна</w:t>
            </w:r>
            <w:proofErr w:type="spellEnd"/>
            <w:r w:rsidRPr="00520861">
              <w:rPr>
                <w:rFonts w:eastAsiaTheme="minorHAnsi" w:cs="Times New Roman"/>
                <w:sz w:val="28"/>
                <w:szCs w:val="28"/>
              </w:rPr>
              <w:t xml:space="preserve"> модель</w:t>
            </w:r>
          </w:p>
        </w:tc>
      </w:tr>
      <w:tr w:rsidR="002E3CE8" w:rsidRPr="00520861" w14:paraId="0FFFCD2F" w14:textId="77777777" w:rsidTr="00292D2E">
        <w:trPr>
          <w:jc w:val="center"/>
        </w:trPr>
        <w:tc>
          <w:tcPr>
            <w:tcW w:w="1966" w:type="dxa"/>
            <w:vMerge/>
            <w:tcBorders>
              <w:left w:val="single" w:sz="4" w:space="0" w:color="auto"/>
              <w:right w:val="single" w:sz="4" w:space="0" w:color="auto"/>
            </w:tcBorders>
          </w:tcPr>
          <w:p w14:paraId="459C0CD2"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0EA4B9E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CC+TT</w:t>
            </w:r>
          </w:p>
          <w:p w14:paraId="607C455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CT</w:t>
            </w:r>
          </w:p>
        </w:tc>
        <w:tc>
          <w:tcPr>
            <w:tcW w:w="1402" w:type="dxa"/>
            <w:tcBorders>
              <w:top w:val="single" w:sz="4" w:space="0" w:color="auto"/>
              <w:left w:val="single" w:sz="4" w:space="0" w:color="auto"/>
              <w:bottom w:val="single" w:sz="4" w:space="0" w:color="auto"/>
              <w:right w:val="single" w:sz="4" w:space="0" w:color="auto"/>
            </w:tcBorders>
          </w:tcPr>
          <w:p w14:paraId="1A7D929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1,998</w:t>
            </w:r>
          </w:p>
        </w:tc>
        <w:tc>
          <w:tcPr>
            <w:tcW w:w="1401" w:type="dxa"/>
            <w:tcBorders>
              <w:top w:val="single" w:sz="4" w:space="0" w:color="auto"/>
              <w:left w:val="single" w:sz="4" w:space="0" w:color="auto"/>
              <w:bottom w:val="single" w:sz="4" w:space="0" w:color="auto"/>
              <w:right w:val="single" w:sz="4" w:space="0" w:color="auto"/>
            </w:tcBorders>
          </w:tcPr>
          <w:p w14:paraId="5E6E9A1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0,377</w:t>
            </w:r>
          </w:p>
          <w:p w14:paraId="5419D39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2,654</w:t>
            </w:r>
          </w:p>
        </w:tc>
        <w:tc>
          <w:tcPr>
            <w:tcW w:w="2089" w:type="dxa"/>
            <w:tcBorders>
              <w:top w:val="single" w:sz="4" w:space="0" w:color="auto"/>
              <w:left w:val="single" w:sz="4" w:space="0" w:color="auto"/>
              <w:bottom w:val="single" w:sz="4" w:space="0" w:color="auto"/>
              <w:right w:val="single" w:sz="4" w:space="0" w:color="auto"/>
            </w:tcBorders>
          </w:tcPr>
          <w:p w14:paraId="7DD66DD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0,118-1,199</w:t>
            </w:r>
          </w:p>
          <w:p w14:paraId="2641B1B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0,834-8,442</w:t>
            </w:r>
          </w:p>
        </w:tc>
        <w:tc>
          <w:tcPr>
            <w:tcW w:w="989" w:type="dxa"/>
            <w:tcBorders>
              <w:top w:val="single" w:sz="4" w:space="0" w:color="auto"/>
              <w:left w:val="single" w:sz="4" w:space="0" w:color="auto"/>
              <w:bottom w:val="single" w:sz="4" w:space="0" w:color="auto"/>
              <w:right w:val="single" w:sz="4" w:space="0" w:color="auto"/>
            </w:tcBorders>
          </w:tcPr>
          <w:p w14:paraId="414BB23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0,157</w:t>
            </w:r>
          </w:p>
        </w:tc>
      </w:tr>
      <w:tr w:rsidR="002E3CE8" w:rsidRPr="00520861" w14:paraId="45682EAB" w14:textId="77777777" w:rsidTr="00292D2E">
        <w:trPr>
          <w:jc w:val="center"/>
        </w:trPr>
        <w:tc>
          <w:tcPr>
            <w:tcW w:w="1966" w:type="dxa"/>
            <w:vMerge/>
            <w:tcBorders>
              <w:left w:val="single" w:sz="4" w:space="0" w:color="auto"/>
              <w:right w:val="single" w:sz="4" w:space="0" w:color="auto"/>
            </w:tcBorders>
          </w:tcPr>
          <w:p w14:paraId="636F2D35"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528" w:type="dxa"/>
            <w:gridSpan w:val="5"/>
            <w:tcBorders>
              <w:top w:val="single" w:sz="4" w:space="0" w:color="auto"/>
              <w:left w:val="single" w:sz="4" w:space="0" w:color="auto"/>
              <w:bottom w:val="single" w:sz="4" w:space="0" w:color="auto"/>
              <w:right w:val="single" w:sz="4" w:space="0" w:color="auto"/>
            </w:tcBorders>
          </w:tcPr>
          <w:p w14:paraId="3B263FB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Мультиплікативна модель</w:t>
            </w:r>
          </w:p>
        </w:tc>
      </w:tr>
      <w:tr w:rsidR="002E3CE8" w:rsidRPr="00520861" w14:paraId="0278C8E5" w14:textId="77777777" w:rsidTr="00292D2E">
        <w:trPr>
          <w:jc w:val="center"/>
        </w:trPr>
        <w:tc>
          <w:tcPr>
            <w:tcW w:w="1966" w:type="dxa"/>
            <w:vMerge/>
            <w:tcBorders>
              <w:left w:val="single" w:sz="4" w:space="0" w:color="auto"/>
              <w:bottom w:val="single" w:sz="4" w:space="0" w:color="auto"/>
              <w:right w:val="single" w:sz="4" w:space="0" w:color="auto"/>
            </w:tcBorders>
          </w:tcPr>
          <w:p w14:paraId="48D33D5F"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6AE64AE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w:t>
            </w:r>
          </w:p>
          <w:p w14:paraId="1FD3DD7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T</w:t>
            </w:r>
          </w:p>
        </w:tc>
        <w:tc>
          <w:tcPr>
            <w:tcW w:w="1402" w:type="dxa"/>
            <w:tcBorders>
              <w:top w:val="single" w:sz="4" w:space="0" w:color="auto"/>
              <w:left w:val="single" w:sz="4" w:space="0" w:color="auto"/>
              <w:bottom w:val="single" w:sz="4" w:space="0" w:color="auto"/>
              <w:right w:val="single" w:sz="4" w:space="0" w:color="auto"/>
            </w:tcBorders>
          </w:tcPr>
          <w:p w14:paraId="1DE36FB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6,342</w:t>
            </w:r>
          </w:p>
        </w:tc>
        <w:tc>
          <w:tcPr>
            <w:tcW w:w="1401" w:type="dxa"/>
            <w:tcBorders>
              <w:top w:val="single" w:sz="4" w:space="0" w:color="auto"/>
              <w:left w:val="single" w:sz="4" w:space="0" w:color="auto"/>
              <w:bottom w:val="single" w:sz="4" w:space="0" w:color="auto"/>
              <w:right w:val="single" w:sz="4" w:space="0" w:color="auto"/>
            </w:tcBorders>
          </w:tcPr>
          <w:p w14:paraId="3941079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2,657</w:t>
            </w:r>
          </w:p>
          <w:p w14:paraId="0ECCCC0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0,376</w:t>
            </w:r>
          </w:p>
        </w:tc>
        <w:tc>
          <w:tcPr>
            <w:tcW w:w="2089" w:type="dxa"/>
            <w:tcBorders>
              <w:top w:val="single" w:sz="4" w:space="0" w:color="auto"/>
              <w:left w:val="single" w:sz="4" w:space="0" w:color="auto"/>
              <w:bottom w:val="single" w:sz="4" w:space="0" w:color="auto"/>
              <w:right w:val="single" w:sz="4" w:space="0" w:color="auto"/>
            </w:tcBorders>
          </w:tcPr>
          <w:p w14:paraId="61BAF2E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1,227-5,753</w:t>
            </w:r>
          </w:p>
          <w:p w14:paraId="5C05EFD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0,174-0,815</w:t>
            </w:r>
          </w:p>
        </w:tc>
        <w:tc>
          <w:tcPr>
            <w:tcW w:w="989" w:type="dxa"/>
            <w:tcBorders>
              <w:top w:val="single" w:sz="4" w:space="0" w:color="auto"/>
              <w:left w:val="single" w:sz="4" w:space="0" w:color="auto"/>
              <w:bottom w:val="single" w:sz="4" w:space="0" w:color="auto"/>
              <w:right w:val="single" w:sz="4" w:space="0" w:color="auto"/>
            </w:tcBorders>
          </w:tcPr>
          <w:p w14:paraId="6ACE2BF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0,012</w:t>
            </w:r>
          </w:p>
        </w:tc>
      </w:tr>
      <w:tr w:rsidR="002E3CE8" w:rsidRPr="00520861" w14:paraId="21FD0438" w14:textId="77777777" w:rsidTr="00292D2E">
        <w:trPr>
          <w:jc w:val="center"/>
        </w:trPr>
        <w:tc>
          <w:tcPr>
            <w:tcW w:w="1966" w:type="dxa"/>
            <w:vMerge w:val="restart"/>
            <w:tcBorders>
              <w:top w:val="single" w:sz="4" w:space="0" w:color="auto"/>
              <w:left w:val="single" w:sz="4" w:space="0" w:color="auto"/>
              <w:right w:val="single" w:sz="4" w:space="0" w:color="auto"/>
            </w:tcBorders>
          </w:tcPr>
          <w:p w14:paraId="6EBFB4E8"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VDR: 283</w:t>
            </w:r>
          </w:p>
          <w:p w14:paraId="4B8C1F92"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A&gt;G (</w:t>
            </w:r>
            <w:proofErr w:type="spellStart"/>
            <w:r w:rsidRPr="00520861">
              <w:rPr>
                <w:rFonts w:eastAsiaTheme="minorHAnsi" w:cs="Times New Roman"/>
                <w:i/>
                <w:sz w:val="28"/>
                <w:szCs w:val="28"/>
              </w:rPr>
              <w:t>BsmI</w:t>
            </w:r>
            <w:proofErr w:type="spellEnd"/>
            <w:r w:rsidRPr="00520861">
              <w:rPr>
                <w:rFonts w:eastAsiaTheme="minorHAnsi" w:cs="Times New Roman"/>
                <w:i/>
                <w:sz w:val="28"/>
                <w:szCs w:val="28"/>
              </w:rPr>
              <w:t>)</w:t>
            </w:r>
          </w:p>
          <w:p w14:paraId="59A3F52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[rs1544410]</w:t>
            </w:r>
          </w:p>
        </w:tc>
        <w:tc>
          <w:tcPr>
            <w:tcW w:w="7528" w:type="dxa"/>
            <w:gridSpan w:val="5"/>
            <w:tcBorders>
              <w:top w:val="single" w:sz="4" w:space="0" w:color="auto"/>
              <w:left w:val="single" w:sz="4" w:space="0" w:color="auto"/>
              <w:bottom w:val="single" w:sz="4" w:space="0" w:color="auto"/>
              <w:right w:val="single" w:sz="4" w:space="0" w:color="auto"/>
            </w:tcBorders>
          </w:tcPr>
          <w:p w14:paraId="0202016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Адитивна модель</w:t>
            </w:r>
          </w:p>
        </w:tc>
      </w:tr>
      <w:tr w:rsidR="002E3CE8" w:rsidRPr="00520861" w14:paraId="397DE4E0" w14:textId="77777777" w:rsidTr="00292D2E">
        <w:trPr>
          <w:jc w:val="center"/>
        </w:trPr>
        <w:tc>
          <w:tcPr>
            <w:tcW w:w="1966" w:type="dxa"/>
            <w:vMerge/>
            <w:tcBorders>
              <w:left w:val="single" w:sz="4" w:space="0" w:color="auto"/>
              <w:right w:val="single" w:sz="4" w:space="0" w:color="auto"/>
            </w:tcBorders>
            <w:hideMark/>
          </w:tcPr>
          <w:p w14:paraId="0297A17B"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hideMark/>
          </w:tcPr>
          <w:p w14:paraId="0E1A9A9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AA</w:t>
            </w:r>
          </w:p>
          <w:p w14:paraId="2DA9617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AG</w:t>
            </w:r>
          </w:p>
          <w:p w14:paraId="560CA4B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GG</w:t>
            </w:r>
          </w:p>
        </w:tc>
        <w:tc>
          <w:tcPr>
            <w:tcW w:w="1402" w:type="dxa"/>
            <w:tcBorders>
              <w:top w:val="single" w:sz="4" w:space="0" w:color="auto"/>
              <w:left w:val="single" w:sz="4" w:space="0" w:color="auto"/>
              <w:bottom w:val="single" w:sz="4" w:space="0" w:color="auto"/>
              <w:right w:val="single" w:sz="4" w:space="0" w:color="auto"/>
            </w:tcBorders>
            <w:hideMark/>
          </w:tcPr>
          <w:p w14:paraId="3E18BB5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12,136</w:t>
            </w:r>
          </w:p>
        </w:tc>
        <w:tc>
          <w:tcPr>
            <w:tcW w:w="1401" w:type="dxa"/>
            <w:tcBorders>
              <w:top w:val="single" w:sz="4" w:space="0" w:color="auto"/>
              <w:left w:val="single" w:sz="4" w:space="0" w:color="auto"/>
              <w:bottom w:val="single" w:sz="4" w:space="0" w:color="auto"/>
              <w:right w:val="single" w:sz="4" w:space="0" w:color="auto"/>
            </w:tcBorders>
            <w:hideMark/>
          </w:tcPr>
          <w:p w14:paraId="55D7691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0,112</w:t>
            </w:r>
          </w:p>
          <w:p w14:paraId="43E7A6E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14,667</w:t>
            </w:r>
          </w:p>
          <w:p w14:paraId="28FB601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0,698</w:t>
            </w:r>
          </w:p>
        </w:tc>
        <w:tc>
          <w:tcPr>
            <w:tcW w:w="2089" w:type="dxa"/>
            <w:tcBorders>
              <w:top w:val="single" w:sz="4" w:space="0" w:color="auto"/>
              <w:left w:val="single" w:sz="4" w:space="0" w:color="auto"/>
              <w:bottom w:val="single" w:sz="4" w:space="0" w:color="auto"/>
              <w:right w:val="single" w:sz="4" w:space="0" w:color="auto"/>
            </w:tcBorders>
            <w:hideMark/>
          </w:tcPr>
          <w:p w14:paraId="4EA2EAB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0,025-0,498</w:t>
            </w:r>
          </w:p>
          <w:p w14:paraId="5B1422F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1,812-118,687</w:t>
            </w:r>
          </w:p>
          <w:p w14:paraId="2E8E0A1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0,240-2,034</w:t>
            </w:r>
          </w:p>
        </w:tc>
        <w:tc>
          <w:tcPr>
            <w:tcW w:w="989" w:type="dxa"/>
            <w:tcBorders>
              <w:top w:val="single" w:sz="4" w:space="0" w:color="auto"/>
              <w:left w:val="single" w:sz="4" w:space="0" w:color="auto"/>
              <w:bottom w:val="single" w:sz="4" w:space="0" w:color="auto"/>
              <w:right w:val="single" w:sz="4" w:space="0" w:color="auto"/>
            </w:tcBorders>
            <w:hideMark/>
          </w:tcPr>
          <w:p w14:paraId="1A25DC3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0,002</w:t>
            </w:r>
          </w:p>
        </w:tc>
      </w:tr>
      <w:tr w:rsidR="002E3CE8" w:rsidRPr="00520861" w14:paraId="1497FAF6" w14:textId="77777777" w:rsidTr="00292D2E">
        <w:trPr>
          <w:jc w:val="center"/>
        </w:trPr>
        <w:tc>
          <w:tcPr>
            <w:tcW w:w="1966" w:type="dxa"/>
            <w:vMerge/>
            <w:tcBorders>
              <w:left w:val="single" w:sz="4" w:space="0" w:color="auto"/>
              <w:right w:val="single" w:sz="4" w:space="0" w:color="auto"/>
            </w:tcBorders>
          </w:tcPr>
          <w:p w14:paraId="2DC23660"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528" w:type="dxa"/>
            <w:gridSpan w:val="5"/>
            <w:tcBorders>
              <w:top w:val="single" w:sz="4" w:space="0" w:color="auto"/>
              <w:left w:val="single" w:sz="4" w:space="0" w:color="auto"/>
              <w:bottom w:val="single" w:sz="4" w:space="0" w:color="auto"/>
              <w:right w:val="single" w:sz="4" w:space="0" w:color="auto"/>
            </w:tcBorders>
          </w:tcPr>
          <w:p w14:paraId="0EACC1E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Рецесивна модель</w:t>
            </w:r>
          </w:p>
        </w:tc>
      </w:tr>
      <w:tr w:rsidR="002E3CE8" w:rsidRPr="00520861" w14:paraId="5BA26BFC" w14:textId="77777777" w:rsidTr="00292D2E">
        <w:trPr>
          <w:jc w:val="center"/>
        </w:trPr>
        <w:tc>
          <w:tcPr>
            <w:tcW w:w="1966" w:type="dxa"/>
            <w:vMerge/>
            <w:tcBorders>
              <w:left w:val="single" w:sz="4" w:space="0" w:color="auto"/>
              <w:right w:val="single" w:sz="4" w:space="0" w:color="auto"/>
            </w:tcBorders>
          </w:tcPr>
          <w:p w14:paraId="258377C0"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tcBorders>
              <w:top w:val="single" w:sz="4" w:space="0" w:color="auto"/>
              <w:left w:val="single" w:sz="4" w:space="0" w:color="auto"/>
              <w:bottom w:val="single" w:sz="4" w:space="0" w:color="auto"/>
              <w:right w:val="single" w:sz="4" w:space="0" w:color="auto"/>
            </w:tcBorders>
          </w:tcPr>
          <w:p w14:paraId="3F95C60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AA+AG</w:t>
            </w:r>
          </w:p>
          <w:p w14:paraId="6FDC07F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GG</w:t>
            </w:r>
          </w:p>
        </w:tc>
        <w:tc>
          <w:tcPr>
            <w:tcW w:w="1402" w:type="dxa"/>
            <w:tcBorders>
              <w:top w:val="single" w:sz="4" w:space="0" w:color="auto"/>
              <w:left w:val="single" w:sz="4" w:space="0" w:color="auto"/>
              <w:bottom w:val="single" w:sz="4" w:space="0" w:color="auto"/>
              <w:right w:val="single" w:sz="4" w:space="0" w:color="auto"/>
            </w:tcBorders>
          </w:tcPr>
          <w:p w14:paraId="672A526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0,152</w:t>
            </w:r>
          </w:p>
        </w:tc>
        <w:tc>
          <w:tcPr>
            <w:tcW w:w="1401" w:type="dxa"/>
            <w:tcBorders>
              <w:top w:val="single" w:sz="4" w:space="0" w:color="auto"/>
              <w:left w:val="single" w:sz="4" w:space="0" w:color="auto"/>
              <w:bottom w:val="single" w:sz="4" w:space="0" w:color="auto"/>
              <w:right w:val="single" w:sz="4" w:space="0" w:color="auto"/>
            </w:tcBorders>
          </w:tcPr>
          <w:p w14:paraId="5DA7A11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1,432</w:t>
            </w:r>
          </w:p>
          <w:p w14:paraId="02DAE1B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0,698</w:t>
            </w:r>
          </w:p>
        </w:tc>
        <w:tc>
          <w:tcPr>
            <w:tcW w:w="2089" w:type="dxa"/>
            <w:tcBorders>
              <w:top w:val="single" w:sz="4" w:space="0" w:color="auto"/>
              <w:left w:val="single" w:sz="4" w:space="0" w:color="auto"/>
              <w:bottom w:val="single" w:sz="4" w:space="0" w:color="auto"/>
              <w:right w:val="single" w:sz="4" w:space="0" w:color="auto"/>
            </w:tcBorders>
          </w:tcPr>
          <w:p w14:paraId="2213045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0,492-4,172</w:t>
            </w:r>
          </w:p>
          <w:p w14:paraId="4E99B6E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0,240-2,034</w:t>
            </w:r>
          </w:p>
        </w:tc>
        <w:tc>
          <w:tcPr>
            <w:tcW w:w="989" w:type="dxa"/>
            <w:tcBorders>
              <w:top w:val="single" w:sz="4" w:space="0" w:color="auto"/>
              <w:left w:val="single" w:sz="4" w:space="0" w:color="auto"/>
              <w:bottom w:val="single" w:sz="4" w:space="0" w:color="auto"/>
              <w:right w:val="single" w:sz="4" w:space="0" w:color="auto"/>
            </w:tcBorders>
          </w:tcPr>
          <w:p w14:paraId="7A098E3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0,697</w:t>
            </w:r>
          </w:p>
        </w:tc>
      </w:tr>
    </w:tbl>
    <w:p w14:paraId="01159AD0" w14:textId="77777777" w:rsidR="002E3CE8" w:rsidRPr="00520861" w:rsidRDefault="002E3CE8" w:rsidP="00292D2E">
      <w:pPr>
        <w:widowControl w:val="0"/>
        <w:spacing w:line="360" w:lineRule="auto"/>
        <w:jc w:val="right"/>
        <w:rPr>
          <w:rFonts w:eastAsiaTheme="minorHAnsi"/>
          <w:i/>
          <w:sz w:val="28"/>
          <w:szCs w:val="28"/>
          <w:lang w:eastAsia="en-US"/>
        </w:rPr>
      </w:pPr>
      <w:r w:rsidRPr="00520861">
        <w:rPr>
          <w:rFonts w:eastAsiaTheme="minorHAnsi"/>
          <w:i/>
          <w:sz w:val="28"/>
          <w:szCs w:val="28"/>
          <w:lang w:eastAsia="en-US"/>
        </w:rPr>
        <w:lastRenderedPageBreak/>
        <w:t>Продовження таблиці 6.11</w:t>
      </w:r>
    </w:p>
    <w:tbl>
      <w:tblPr>
        <w:tblStyle w:val="430"/>
        <w:tblW w:w="9351" w:type="dxa"/>
        <w:jc w:val="center"/>
        <w:tblLook w:val="04A0" w:firstRow="1" w:lastRow="0" w:firstColumn="1" w:lastColumn="0" w:noHBand="0" w:noVBand="1"/>
      </w:tblPr>
      <w:tblGrid>
        <w:gridCol w:w="1965"/>
        <w:gridCol w:w="1590"/>
        <w:gridCol w:w="52"/>
        <w:gridCol w:w="1375"/>
        <w:gridCol w:w="27"/>
        <w:gridCol w:w="1401"/>
        <w:gridCol w:w="1891"/>
        <w:gridCol w:w="60"/>
        <w:gridCol w:w="990"/>
      </w:tblGrid>
      <w:tr w:rsidR="002E3CE8" w:rsidRPr="00520861" w14:paraId="22E3507D" w14:textId="77777777" w:rsidTr="00292D2E">
        <w:trPr>
          <w:trHeight w:val="376"/>
          <w:jc w:val="center"/>
        </w:trPr>
        <w:tc>
          <w:tcPr>
            <w:tcW w:w="1965" w:type="dxa"/>
            <w:tcBorders>
              <w:left w:val="single" w:sz="4" w:space="0" w:color="auto"/>
              <w:right w:val="single" w:sz="4" w:space="0" w:color="auto"/>
            </w:tcBorders>
          </w:tcPr>
          <w:p w14:paraId="34E0BF22"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1</w:t>
            </w:r>
          </w:p>
        </w:tc>
        <w:tc>
          <w:tcPr>
            <w:tcW w:w="1590" w:type="dxa"/>
            <w:tcBorders>
              <w:top w:val="single" w:sz="4" w:space="0" w:color="auto"/>
              <w:left w:val="single" w:sz="4" w:space="0" w:color="auto"/>
              <w:bottom w:val="single" w:sz="4" w:space="0" w:color="auto"/>
              <w:right w:val="single" w:sz="4" w:space="0" w:color="auto"/>
            </w:tcBorders>
          </w:tcPr>
          <w:p w14:paraId="2D113D3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w:t>
            </w:r>
          </w:p>
        </w:tc>
        <w:tc>
          <w:tcPr>
            <w:tcW w:w="1427" w:type="dxa"/>
            <w:gridSpan w:val="2"/>
            <w:tcBorders>
              <w:top w:val="single" w:sz="4" w:space="0" w:color="auto"/>
              <w:left w:val="single" w:sz="4" w:space="0" w:color="auto"/>
              <w:bottom w:val="single" w:sz="4" w:space="0" w:color="auto"/>
              <w:right w:val="single" w:sz="4" w:space="0" w:color="auto"/>
            </w:tcBorders>
          </w:tcPr>
          <w:p w14:paraId="09663F5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w:t>
            </w:r>
          </w:p>
        </w:tc>
        <w:tc>
          <w:tcPr>
            <w:tcW w:w="1428" w:type="dxa"/>
            <w:gridSpan w:val="2"/>
            <w:tcBorders>
              <w:top w:val="single" w:sz="4" w:space="0" w:color="auto"/>
              <w:left w:val="single" w:sz="4" w:space="0" w:color="auto"/>
              <w:bottom w:val="single" w:sz="4" w:space="0" w:color="auto"/>
              <w:right w:val="single" w:sz="4" w:space="0" w:color="auto"/>
            </w:tcBorders>
          </w:tcPr>
          <w:p w14:paraId="32997C7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w:t>
            </w:r>
          </w:p>
        </w:tc>
        <w:tc>
          <w:tcPr>
            <w:tcW w:w="1891" w:type="dxa"/>
            <w:tcBorders>
              <w:top w:val="single" w:sz="4" w:space="0" w:color="auto"/>
              <w:left w:val="single" w:sz="4" w:space="0" w:color="auto"/>
              <w:bottom w:val="single" w:sz="4" w:space="0" w:color="auto"/>
              <w:right w:val="single" w:sz="4" w:space="0" w:color="auto"/>
            </w:tcBorders>
          </w:tcPr>
          <w:p w14:paraId="45496AE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w:t>
            </w:r>
          </w:p>
        </w:tc>
        <w:tc>
          <w:tcPr>
            <w:tcW w:w="1050" w:type="dxa"/>
            <w:gridSpan w:val="2"/>
            <w:tcBorders>
              <w:top w:val="single" w:sz="4" w:space="0" w:color="auto"/>
              <w:left w:val="single" w:sz="4" w:space="0" w:color="auto"/>
              <w:bottom w:val="single" w:sz="4" w:space="0" w:color="auto"/>
              <w:right w:val="single" w:sz="4" w:space="0" w:color="auto"/>
            </w:tcBorders>
          </w:tcPr>
          <w:p w14:paraId="2C9673C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w:t>
            </w:r>
          </w:p>
        </w:tc>
      </w:tr>
      <w:tr w:rsidR="002E3CE8" w:rsidRPr="00520861" w14:paraId="0248C8BD" w14:textId="77777777" w:rsidTr="00292D2E">
        <w:trPr>
          <w:jc w:val="center"/>
        </w:trPr>
        <w:tc>
          <w:tcPr>
            <w:tcW w:w="1965" w:type="dxa"/>
            <w:vMerge w:val="restart"/>
            <w:tcBorders>
              <w:left w:val="single" w:sz="4" w:space="0" w:color="auto"/>
              <w:right w:val="single" w:sz="4" w:space="0" w:color="auto"/>
            </w:tcBorders>
          </w:tcPr>
          <w:p w14:paraId="059386AF"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386" w:type="dxa"/>
            <w:gridSpan w:val="8"/>
            <w:tcBorders>
              <w:top w:val="single" w:sz="4" w:space="0" w:color="auto"/>
              <w:left w:val="single" w:sz="4" w:space="0" w:color="auto"/>
              <w:bottom w:val="single" w:sz="4" w:space="0" w:color="auto"/>
              <w:right w:val="single" w:sz="4" w:space="0" w:color="auto"/>
            </w:tcBorders>
          </w:tcPr>
          <w:p w14:paraId="07A28EB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Домінантна модель</w:t>
            </w:r>
          </w:p>
        </w:tc>
      </w:tr>
      <w:tr w:rsidR="002E3CE8" w:rsidRPr="00520861" w14:paraId="27D41947" w14:textId="77777777" w:rsidTr="00292D2E">
        <w:trPr>
          <w:jc w:val="center"/>
        </w:trPr>
        <w:tc>
          <w:tcPr>
            <w:tcW w:w="1965" w:type="dxa"/>
            <w:vMerge/>
            <w:tcBorders>
              <w:left w:val="single" w:sz="4" w:space="0" w:color="auto"/>
              <w:right w:val="single" w:sz="4" w:space="0" w:color="auto"/>
            </w:tcBorders>
          </w:tcPr>
          <w:p w14:paraId="3D49A31F"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gridSpan w:val="2"/>
            <w:tcBorders>
              <w:top w:val="single" w:sz="4" w:space="0" w:color="auto"/>
              <w:left w:val="single" w:sz="4" w:space="0" w:color="auto"/>
              <w:bottom w:val="single" w:sz="4" w:space="0" w:color="auto"/>
              <w:right w:val="single" w:sz="4" w:space="0" w:color="auto"/>
            </w:tcBorders>
          </w:tcPr>
          <w:p w14:paraId="4D03B96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AA</w:t>
            </w:r>
          </w:p>
          <w:p w14:paraId="22EC666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AG+GG</w:t>
            </w:r>
          </w:p>
        </w:tc>
        <w:tc>
          <w:tcPr>
            <w:tcW w:w="1402" w:type="dxa"/>
            <w:gridSpan w:val="2"/>
            <w:tcBorders>
              <w:top w:val="single" w:sz="4" w:space="0" w:color="auto"/>
              <w:left w:val="single" w:sz="4" w:space="0" w:color="auto"/>
              <w:bottom w:val="single" w:sz="4" w:space="0" w:color="auto"/>
              <w:right w:val="single" w:sz="4" w:space="0" w:color="auto"/>
            </w:tcBorders>
          </w:tcPr>
          <w:p w14:paraId="622264C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7,997</w:t>
            </w:r>
          </w:p>
        </w:tc>
        <w:tc>
          <w:tcPr>
            <w:tcW w:w="1401" w:type="dxa"/>
            <w:tcBorders>
              <w:top w:val="single" w:sz="4" w:space="0" w:color="auto"/>
              <w:left w:val="single" w:sz="4" w:space="0" w:color="auto"/>
              <w:bottom w:val="single" w:sz="4" w:space="0" w:color="auto"/>
              <w:right w:val="single" w:sz="4" w:space="0" w:color="auto"/>
            </w:tcBorders>
          </w:tcPr>
          <w:p w14:paraId="5C80DF7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0,112</w:t>
            </w:r>
          </w:p>
          <w:p w14:paraId="5709A26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8,944</w:t>
            </w:r>
          </w:p>
        </w:tc>
        <w:tc>
          <w:tcPr>
            <w:tcW w:w="1951" w:type="dxa"/>
            <w:gridSpan w:val="2"/>
            <w:tcBorders>
              <w:top w:val="single" w:sz="4" w:space="0" w:color="auto"/>
              <w:left w:val="single" w:sz="4" w:space="0" w:color="auto"/>
              <w:bottom w:val="single" w:sz="4" w:space="0" w:color="auto"/>
              <w:right w:val="single" w:sz="4" w:space="0" w:color="auto"/>
            </w:tcBorders>
          </w:tcPr>
          <w:p w14:paraId="27A8693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0,025-0,498</w:t>
            </w:r>
          </w:p>
          <w:p w14:paraId="02DA33D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2,007-39,859</w:t>
            </w:r>
          </w:p>
        </w:tc>
        <w:tc>
          <w:tcPr>
            <w:tcW w:w="990" w:type="dxa"/>
            <w:tcBorders>
              <w:top w:val="single" w:sz="4" w:space="0" w:color="auto"/>
              <w:left w:val="single" w:sz="4" w:space="0" w:color="auto"/>
              <w:bottom w:val="single" w:sz="4" w:space="0" w:color="auto"/>
              <w:right w:val="single" w:sz="4" w:space="0" w:color="auto"/>
            </w:tcBorders>
          </w:tcPr>
          <w:p w14:paraId="08044B9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0,005</w:t>
            </w:r>
          </w:p>
        </w:tc>
      </w:tr>
      <w:tr w:rsidR="002E3CE8" w:rsidRPr="00520861" w14:paraId="4F8BB522" w14:textId="77777777" w:rsidTr="00292D2E">
        <w:trPr>
          <w:jc w:val="center"/>
        </w:trPr>
        <w:tc>
          <w:tcPr>
            <w:tcW w:w="1965" w:type="dxa"/>
            <w:vMerge/>
            <w:tcBorders>
              <w:left w:val="single" w:sz="4" w:space="0" w:color="auto"/>
              <w:right w:val="single" w:sz="4" w:space="0" w:color="auto"/>
            </w:tcBorders>
          </w:tcPr>
          <w:p w14:paraId="0EDA7F38"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386" w:type="dxa"/>
            <w:gridSpan w:val="8"/>
            <w:tcBorders>
              <w:top w:val="single" w:sz="4" w:space="0" w:color="auto"/>
              <w:left w:val="single" w:sz="4" w:space="0" w:color="auto"/>
              <w:bottom w:val="single" w:sz="4" w:space="0" w:color="auto"/>
              <w:right w:val="single" w:sz="4" w:space="0" w:color="auto"/>
            </w:tcBorders>
          </w:tcPr>
          <w:p w14:paraId="6F4F480B" w14:textId="77777777" w:rsidR="002E3CE8" w:rsidRPr="00520861" w:rsidRDefault="002E3CE8" w:rsidP="00292D2E">
            <w:pPr>
              <w:widowControl w:val="0"/>
              <w:spacing w:line="360" w:lineRule="auto"/>
              <w:contextualSpacing/>
              <w:jc w:val="center"/>
              <w:rPr>
                <w:rFonts w:eastAsiaTheme="minorHAnsi" w:cs="Times New Roman"/>
                <w:sz w:val="28"/>
                <w:szCs w:val="28"/>
              </w:rPr>
            </w:pPr>
            <w:proofErr w:type="spellStart"/>
            <w:r w:rsidRPr="00520861">
              <w:rPr>
                <w:rFonts w:eastAsiaTheme="minorHAnsi" w:cs="Times New Roman"/>
                <w:sz w:val="28"/>
                <w:szCs w:val="28"/>
              </w:rPr>
              <w:t>Наддомінантна</w:t>
            </w:r>
            <w:proofErr w:type="spellEnd"/>
            <w:r w:rsidRPr="00520861">
              <w:rPr>
                <w:rFonts w:eastAsiaTheme="minorHAnsi" w:cs="Times New Roman"/>
                <w:sz w:val="28"/>
                <w:szCs w:val="28"/>
              </w:rPr>
              <w:t xml:space="preserve"> модель</w:t>
            </w:r>
          </w:p>
        </w:tc>
      </w:tr>
      <w:tr w:rsidR="002E3CE8" w:rsidRPr="00520861" w14:paraId="522F2CEA" w14:textId="77777777" w:rsidTr="00292D2E">
        <w:trPr>
          <w:jc w:val="center"/>
        </w:trPr>
        <w:tc>
          <w:tcPr>
            <w:tcW w:w="1965" w:type="dxa"/>
            <w:vMerge/>
            <w:tcBorders>
              <w:left w:val="single" w:sz="4" w:space="0" w:color="auto"/>
              <w:right w:val="single" w:sz="4" w:space="0" w:color="auto"/>
            </w:tcBorders>
          </w:tcPr>
          <w:p w14:paraId="3DB0C792"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gridSpan w:val="2"/>
            <w:tcBorders>
              <w:top w:val="single" w:sz="4" w:space="0" w:color="auto"/>
              <w:left w:val="single" w:sz="4" w:space="0" w:color="auto"/>
              <w:bottom w:val="single" w:sz="4" w:space="0" w:color="auto"/>
              <w:right w:val="single" w:sz="4" w:space="0" w:color="auto"/>
            </w:tcBorders>
          </w:tcPr>
          <w:p w14:paraId="41E50D4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AA+GG</w:t>
            </w:r>
          </w:p>
          <w:p w14:paraId="0B3BED9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AG</w:t>
            </w:r>
          </w:p>
        </w:tc>
        <w:tc>
          <w:tcPr>
            <w:tcW w:w="1402" w:type="dxa"/>
            <w:gridSpan w:val="2"/>
            <w:tcBorders>
              <w:top w:val="single" w:sz="4" w:space="0" w:color="auto"/>
              <w:left w:val="single" w:sz="4" w:space="0" w:color="auto"/>
              <w:bottom w:val="single" w:sz="4" w:space="0" w:color="auto"/>
              <w:right w:val="single" w:sz="4" w:space="0" w:color="auto"/>
            </w:tcBorders>
          </w:tcPr>
          <w:p w14:paraId="15173AB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7,920</w:t>
            </w:r>
          </w:p>
        </w:tc>
        <w:tc>
          <w:tcPr>
            <w:tcW w:w="1401" w:type="dxa"/>
            <w:tcBorders>
              <w:top w:val="single" w:sz="4" w:space="0" w:color="auto"/>
              <w:left w:val="single" w:sz="4" w:space="0" w:color="auto"/>
              <w:bottom w:val="single" w:sz="4" w:space="0" w:color="auto"/>
              <w:right w:val="single" w:sz="4" w:space="0" w:color="auto"/>
            </w:tcBorders>
          </w:tcPr>
          <w:p w14:paraId="3734251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0,068</w:t>
            </w:r>
          </w:p>
          <w:p w14:paraId="667EEBE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14,667</w:t>
            </w:r>
          </w:p>
        </w:tc>
        <w:tc>
          <w:tcPr>
            <w:tcW w:w="1951" w:type="dxa"/>
            <w:gridSpan w:val="2"/>
            <w:tcBorders>
              <w:top w:val="single" w:sz="4" w:space="0" w:color="auto"/>
              <w:left w:val="single" w:sz="4" w:space="0" w:color="auto"/>
              <w:bottom w:val="single" w:sz="4" w:space="0" w:color="auto"/>
              <w:right w:val="single" w:sz="4" w:space="0" w:color="auto"/>
            </w:tcBorders>
          </w:tcPr>
          <w:p w14:paraId="2E2D820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0,008-0,552</w:t>
            </w:r>
          </w:p>
          <w:p w14:paraId="22E2BA8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1,812-118,687</w:t>
            </w:r>
          </w:p>
        </w:tc>
        <w:tc>
          <w:tcPr>
            <w:tcW w:w="990" w:type="dxa"/>
            <w:tcBorders>
              <w:top w:val="single" w:sz="4" w:space="0" w:color="auto"/>
              <w:left w:val="single" w:sz="4" w:space="0" w:color="auto"/>
              <w:bottom w:val="single" w:sz="4" w:space="0" w:color="auto"/>
              <w:right w:val="single" w:sz="4" w:space="0" w:color="auto"/>
            </w:tcBorders>
          </w:tcPr>
          <w:p w14:paraId="6F19F73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0,005</w:t>
            </w:r>
          </w:p>
        </w:tc>
      </w:tr>
      <w:tr w:rsidR="002E3CE8" w:rsidRPr="00520861" w14:paraId="37545636" w14:textId="77777777" w:rsidTr="00292D2E">
        <w:trPr>
          <w:jc w:val="center"/>
        </w:trPr>
        <w:tc>
          <w:tcPr>
            <w:tcW w:w="1965" w:type="dxa"/>
            <w:vMerge/>
            <w:tcBorders>
              <w:left w:val="single" w:sz="4" w:space="0" w:color="auto"/>
              <w:right w:val="single" w:sz="4" w:space="0" w:color="auto"/>
            </w:tcBorders>
          </w:tcPr>
          <w:p w14:paraId="76DADEC0"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386" w:type="dxa"/>
            <w:gridSpan w:val="8"/>
            <w:tcBorders>
              <w:top w:val="single" w:sz="4" w:space="0" w:color="auto"/>
              <w:left w:val="single" w:sz="4" w:space="0" w:color="auto"/>
              <w:bottom w:val="single" w:sz="4" w:space="0" w:color="auto"/>
              <w:right w:val="single" w:sz="4" w:space="0" w:color="auto"/>
            </w:tcBorders>
          </w:tcPr>
          <w:p w14:paraId="45A0727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Мультиплікативна модель</w:t>
            </w:r>
          </w:p>
        </w:tc>
      </w:tr>
      <w:tr w:rsidR="002E3CE8" w:rsidRPr="00520861" w14:paraId="16495E3C" w14:textId="77777777" w:rsidTr="00292D2E">
        <w:trPr>
          <w:jc w:val="center"/>
        </w:trPr>
        <w:tc>
          <w:tcPr>
            <w:tcW w:w="1965" w:type="dxa"/>
            <w:vMerge/>
            <w:tcBorders>
              <w:left w:val="single" w:sz="4" w:space="0" w:color="auto"/>
              <w:bottom w:val="single" w:sz="4" w:space="0" w:color="auto"/>
              <w:right w:val="single" w:sz="4" w:space="0" w:color="auto"/>
            </w:tcBorders>
          </w:tcPr>
          <w:p w14:paraId="397C2FAF"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642" w:type="dxa"/>
            <w:gridSpan w:val="2"/>
            <w:tcBorders>
              <w:top w:val="single" w:sz="4" w:space="0" w:color="auto"/>
              <w:left w:val="single" w:sz="4" w:space="0" w:color="auto"/>
              <w:bottom w:val="single" w:sz="4" w:space="0" w:color="auto"/>
              <w:right w:val="single" w:sz="4" w:space="0" w:color="auto"/>
            </w:tcBorders>
          </w:tcPr>
          <w:p w14:paraId="6C3E0CC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A</w:t>
            </w:r>
          </w:p>
          <w:p w14:paraId="237D6E6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w:t>
            </w:r>
          </w:p>
        </w:tc>
        <w:tc>
          <w:tcPr>
            <w:tcW w:w="1402" w:type="dxa"/>
            <w:gridSpan w:val="2"/>
            <w:tcBorders>
              <w:top w:val="single" w:sz="4" w:space="0" w:color="auto"/>
              <w:left w:val="single" w:sz="4" w:space="0" w:color="auto"/>
              <w:bottom w:val="single" w:sz="4" w:space="0" w:color="auto"/>
              <w:right w:val="single" w:sz="4" w:space="0" w:color="auto"/>
            </w:tcBorders>
          </w:tcPr>
          <w:p w14:paraId="1E01817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1,505</w:t>
            </w:r>
          </w:p>
        </w:tc>
        <w:tc>
          <w:tcPr>
            <w:tcW w:w="1401" w:type="dxa"/>
            <w:tcBorders>
              <w:top w:val="single" w:sz="4" w:space="0" w:color="auto"/>
              <w:left w:val="single" w:sz="4" w:space="0" w:color="auto"/>
              <w:bottom w:val="single" w:sz="4" w:space="0" w:color="auto"/>
              <w:right w:val="single" w:sz="4" w:space="0" w:color="auto"/>
            </w:tcBorders>
          </w:tcPr>
          <w:p w14:paraId="3AD1A65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0,613</w:t>
            </w:r>
          </w:p>
          <w:p w14:paraId="17E6990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1,630</w:t>
            </w:r>
          </w:p>
        </w:tc>
        <w:tc>
          <w:tcPr>
            <w:tcW w:w="1951" w:type="dxa"/>
            <w:gridSpan w:val="2"/>
            <w:tcBorders>
              <w:top w:val="single" w:sz="4" w:space="0" w:color="auto"/>
              <w:left w:val="single" w:sz="4" w:space="0" w:color="auto"/>
              <w:bottom w:val="single" w:sz="4" w:space="0" w:color="auto"/>
              <w:right w:val="single" w:sz="4" w:space="0" w:color="auto"/>
            </w:tcBorders>
          </w:tcPr>
          <w:p w14:paraId="0489FB2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0,280-1,344</w:t>
            </w:r>
          </w:p>
          <w:p w14:paraId="3C7433C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0,744-3,572</w:t>
            </w:r>
          </w:p>
        </w:tc>
        <w:tc>
          <w:tcPr>
            <w:tcW w:w="990" w:type="dxa"/>
            <w:tcBorders>
              <w:top w:val="single" w:sz="4" w:space="0" w:color="auto"/>
              <w:left w:val="single" w:sz="4" w:space="0" w:color="auto"/>
              <w:bottom w:val="single" w:sz="4" w:space="0" w:color="auto"/>
              <w:right w:val="single" w:sz="4" w:space="0" w:color="auto"/>
            </w:tcBorders>
          </w:tcPr>
          <w:p w14:paraId="50F3066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0,220</w:t>
            </w:r>
          </w:p>
        </w:tc>
      </w:tr>
    </w:tbl>
    <w:p w14:paraId="17B0DBD9" w14:textId="77777777" w:rsidR="002E3CE8" w:rsidRPr="00520861" w:rsidRDefault="002E3CE8" w:rsidP="00292D2E">
      <w:pPr>
        <w:widowControl w:val="0"/>
        <w:spacing w:line="360" w:lineRule="auto"/>
        <w:contextualSpacing/>
        <w:rPr>
          <w:rFonts w:eastAsia="Calibri"/>
          <w:sz w:val="28"/>
          <w:szCs w:val="28"/>
          <w:lang w:eastAsia="en-US"/>
        </w:rPr>
      </w:pPr>
    </w:p>
    <w:p w14:paraId="76EEC236" w14:textId="77777777" w:rsidR="002E3CE8" w:rsidRPr="00520861" w:rsidRDefault="002E3CE8" w:rsidP="00292D2E">
      <w:pPr>
        <w:widowControl w:val="0"/>
        <w:spacing w:line="360" w:lineRule="auto"/>
        <w:contextualSpacing/>
        <w:jc w:val="right"/>
        <w:rPr>
          <w:rFonts w:eastAsia="Calibri"/>
          <w:sz w:val="28"/>
          <w:szCs w:val="28"/>
          <w:lang w:eastAsia="en-US"/>
        </w:rPr>
      </w:pPr>
      <w:r w:rsidRPr="00520861">
        <w:rPr>
          <w:rFonts w:eastAsia="Calibri"/>
          <w:i/>
          <w:sz w:val="28"/>
          <w:szCs w:val="28"/>
          <w:lang w:eastAsia="en-US"/>
        </w:rPr>
        <w:t>Таблиця. 6.12</w:t>
      </w:r>
    </w:p>
    <w:p w14:paraId="409D7C2A" w14:textId="77777777" w:rsidR="002E3CE8" w:rsidRPr="00520861" w:rsidRDefault="002E3CE8" w:rsidP="00292D2E">
      <w:pPr>
        <w:widowControl w:val="0"/>
        <w:spacing w:line="360" w:lineRule="auto"/>
        <w:ind w:firstLine="709"/>
        <w:jc w:val="center"/>
        <w:rPr>
          <w:rFonts w:eastAsiaTheme="minorHAnsi"/>
          <w:i/>
          <w:sz w:val="28"/>
          <w:szCs w:val="28"/>
          <w:lang w:eastAsia="en-US"/>
        </w:rPr>
      </w:pPr>
      <w:r w:rsidRPr="00520861">
        <w:rPr>
          <w:rFonts w:eastAsiaTheme="minorHAnsi"/>
          <w:b/>
          <w:sz w:val="28"/>
          <w:szCs w:val="28"/>
          <w:lang w:eastAsia="en-US"/>
        </w:rPr>
        <w:t>Порівняння частот розподілу поліморфних варіантів за геном</w:t>
      </w:r>
      <w:r w:rsidRPr="00520861">
        <w:rPr>
          <w:rFonts w:eastAsiaTheme="minorHAnsi"/>
          <w:i/>
          <w:sz w:val="28"/>
          <w:szCs w:val="28"/>
          <w:lang w:eastAsia="en-US"/>
        </w:rPr>
        <w:t xml:space="preserve"> </w:t>
      </w:r>
    </w:p>
    <w:p w14:paraId="74B13C7C" w14:textId="77777777" w:rsidR="002E3CE8" w:rsidRPr="00520861" w:rsidRDefault="002E3CE8" w:rsidP="00292D2E">
      <w:pPr>
        <w:widowControl w:val="0"/>
        <w:spacing w:line="360" w:lineRule="auto"/>
        <w:contextualSpacing/>
        <w:jc w:val="center"/>
        <w:rPr>
          <w:rFonts w:eastAsia="Calibri"/>
          <w:b/>
          <w:spacing w:val="-2"/>
          <w:sz w:val="28"/>
          <w:szCs w:val="28"/>
          <w:lang w:eastAsia="en-US"/>
        </w:rPr>
      </w:pPr>
      <w:r w:rsidRPr="00520861">
        <w:rPr>
          <w:rFonts w:eastAsia="Calibri"/>
          <w:b/>
          <w:i/>
          <w:spacing w:val="-2"/>
          <w:sz w:val="28"/>
          <w:szCs w:val="28"/>
          <w:lang w:eastAsia="en-US"/>
        </w:rPr>
        <w:t>IL6: -174 G&gt;C</w:t>
      </w:r>
      <w:r w:rsidRPr="00520861">
        <w:rPr>
          <w:rFonts w:eastAsia="Calibri"/>
          <w:b/>
          <w:spacing w:val="-2"/>
          <w:sz w:val="28"/>
          <w:szCs w:val="28"/>
          <w:lang w:eastAsia="en-US"/>
        </w:rPr>
        <w:t xml:space="preserve"> в осіб ОГ СІК та ОГ ВІК</w:t>
      </w:r>
    </w:p>
    <w:tbl>
      <w:tblPr>
        <w:tblStyle w:val="430"/>
        <w:tblW w:w="9362" w:type="dxa"/>
        <w:jc w:val="center"/>
        <w:tblLook w:val="04A0" w:firstRow="1" w:lastRow="0" w:firstColumn="1" w:lastColumn="0" w:noHBand="0" w:noVBand="1"/>
      </w:tblPr>
      <w:tblGrid>
        <w:gridCol w:w="1980"/>
        <w:gridCol w:w="1843"/>
        <w:gridCol w:w="1417"/>
        <w:gridCol w:w="1276"/>
        <w:gridCol w:w="1843"/>
        <w:gridCol w:w="992"/>
        <w:gridCol w:w="11"/>
      </w:tblGrid>
      <w:tr w:rsidR="002E3CE8" w:rsidRPr="00520861" w14:paraId="4A3B1D95" w14:textId="77777777" w:rsidTr="00292D2E">
        <w:trPr>
          <w:gridAfter w:val="1"/>
          <w:wAfter w:w="11" w:type="dxa"/>
          <w:jc w:val="center"/>
        </w:trPr>
        <w:tc>
          <w:tcPr>
            <w:tcW w:w="1980" w:type="dxa"/>
            <w:vMerge w:val="restart"/>
            <w:tcBorders>
              <w:top w:val="single" w:sz="4" w:space="0" w:color="auto"/>
              <w:left w:val="single" w:sz="4" w:space="0" w:color="auto"/>
              <w:bottom w:val="single" w:sz="4" w:space="0" w:color="auto"/>
              <w:right w:val="single" w:sz="4" w:space="0" w:color="auto"/>
            </w:tcBorders>
            <w:hideMark/>
          </w:tcPr>
          <w:p w14:paraId="4E6A4A19" w14:textId="77777777" w:rsidR="002E3CE8" w:rsidRPr="00520861" w:rsidRDefault="002E3CE8" w:rsidP="00292D2E">
            <w:pPr>
              <w:widowControl w:val="0"/>
              <w:spacing w:line="360" w:lineRule="auto"/>
              <w:contextualSpacing/>
              <w:jc w:val="center"/>
              <w:rPr>
                <w:rFonts w:eastAsiaTheme="minorHAnsi" w:cs="Times New Roman"/>
                <w:sz w:val="28"/>
                <w:szCs w:val="28"/>
              </w:rPr>
            </w:pPr>
          </w:p>
          <w:p w14:paraId="5EA96E0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Ген</w:t>
            </w:r>
          </w:p>
        </w:tc>
        <w:tc>
          <w:tcPr>
            <w:tcW w:w="1843" w:type="dxa"/>
            <w:vMerge w:val="restart"/>
            <w:tcBorders>
              <w:top w:val="single" w:sz="4" w:space="0" w:color="auto"/>
              <w:left w:val="single" w:sz="4" w:space="0" w:color="auto"/>
              <w:bottom w:val="single" w:sz="4" w:space="0" w:color="auto"/>
              <w:right w:val="single" w:sz="4" w:space="0" w:color="auto"/>
            </w:tcBorders>
            <w:hideMark/>
          </w:tcPr>
          <w:p w14:paraId="24EF17A7" w14:textId="77777777" w:rsidR="002E3CE8" w:rsidRPr="00520861" w:rsidRDefault="002E3CE8" w:rsidP="00292D2E">
            <w:pPr>
              <w:widowControl w:val="0"/>
              <w:spacing w:line="360" w:lineRule="auto"/>
              <w:contextualSpacing/>
              <w:jc w:val="center"/>
              <w:rPr>
                <w:rFonts w:eastAsiaTheme="minorHAnsi" w:cs="Times New Roman"/>
                <w:sz w:val="28"/>
                <w:szCs w:val="28"/>
              </w:rPr>
            </w:pPr>
          </w:p>
          <w:p w14:paraId="036B26F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Генотип</w:t>
            </w:r>
          </w:p>
        </w:tc>
        <w:tc>
          <w:tcPr>
            <w:tcW w:w="5528" w:type="dxa"/>
            <w:gridSpan w:val="4"/>
            <w:tcBorders>
              <w:top w:val="single" w:sz="4" w:space="0" w:color="auto"/>
              <w:left w:val="single" w:sz="4" w:space="0" w:color="auto"/>
              <w:bottom w:val="single" w:sz="4" w:space="0" w:color="auto"/>
              <w:right w:val="single" w:sz="4" w:space="0" w:color="auto"/>
            </w:tcBorders>
            <w:hideMark/>
          </w:tcPr>
          <w:p w14:paraId="40C31F5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 xml:space="preserve">Результати </w:t>
            </w:r>
          </w:p>
          <w:p w14:paraId="1895E9E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статистичного аналізу</w:t>
            </w:r>
          </w:p>
        </w:tc>
      </w:tr>
      <w:tr w:rsidR="002E3CE8" w:rsidRPr="00520861" w14:paraId="5B58B558" w14:textId="77777777" w:rsidTr="00292D2E">
        <w:trPr>
          <w:gridAfter w:val="1"/>
          <w:wAfter w:w="11" w:type="dxa"/>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58EAAEBA"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E3DE7FE"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417" w:type="dxa"/>
            <w:tcBorders>
              <w:top w:val="single" w:sz="4" w:space="0" w:color="auto"/>
              <w:left w:val="single" w:sz="4" w:space="0" w:color="auto"/>
              <w:bottom w:val="single" w:sz="4" w:space="0" w:color="auto"/>
              <w:right w:val="single" w:sz="4" w:space="0" w:color="auto"/>
            </w:tcBorders>
            <w:hideMark/>
          </w:tcPr>
          <w:p w14:paraId="67F9CD9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sym w:font="Symbol" w:char="F063"/>
            </w:r>
            <w:r w:rsidRPr="00520861">
              <w:rPr>
                <w:rFonts w:eastAsiaTheme="minorHAnsi" w:cs="Times New Roman"/>
                <w:sz w:val="28"/>
                <w:szCs w:val="28"/>
                <w:vertAlign w:val="superscript"/>
              </w:rPr>
              <w:t>2</w:t>
            </w:r>
            <w:r w:rsidRPr="00520861">
              <w:rPr>
                <w:rFonts w:eastAsiaTheme="minorHAnsi" w:cs="Times New Roman"/>
                <w:sz w:val="28"/>
                <w:szCs w:val="28"/>
              </w:rPr>
              <w:t xml:space="preserve"> (</w:t>
            </w:r>
            <w:proofErr w:type="spellStart"/>
            <w:r w:rsidRPr="00520861">
              <w:rPr>
                <w:rFonts w:eastAsiaTheme="minorHAnsi" w:cs="Times New Roman"/>
                <w:sz w:val="28"/>
                <w:szCs w:val="28"/>
              </w:rPr>
              <w:t>Йєтс</w:t>
            </w:r>
            <w:proofErr w:type="spellEnd"/>
            <w:r w:rsidRPr="00520861">
              <w:rPr>
                <w:rFonts w:eastAsiaTheme="minorHAnsi" w:cs="Times New Roman"/>
                <w:sz w:val="28"/>
                <w:szCs w:val="28"/>
              </w:rPr>
              <w:t>)</w:t>
            </w:r>
          </w:p>
        </w:tc>
        <w:tc>
          <w:tcPr>
            <w:tcW w:w="1276" w:type="dxa"/>
            <w:tcBorders>
              <w:top w:val="single" w:sz="4" w:space="0" w:color="auto"/>
              <w:left w:val="single" w:sz="4" w:space="0" w:color="auto"/>
              <w:bottom w:val="single" w:sz="4" w:space="0" w:color="auto"/>
              <w:right w:val="single" w:sz="4" w:space="0" w:color="auto"/>
            </w:tcBorders>
            <w:hideMark/>
          </w:tcPr>
          <w:p w14:paraId="7552182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ВШ</w:t>
            </w:r>
          </w:p>
        </w:tc>
        <w:tc>
          <w:tcPr>
            <w:tcW w:w="1843" w:type="dxa"/>
            <w:tcBorders>
              <w:top w:val="single" w:sz="4" w:space="0" w:color="auto"/>
              <w:left w:val="single" w:sz="4" w:space="0" w:color="auto"/>
              <w:bottom w:val="single" w:sz="4" w:space="0" w:color="auto"/>
              <w:right w:val="single" w:sz="4" w:space="0" w:color="auto"/>
            </w:tcBorders>
            <w:hideMark/>
          </w:tcPr>
          <w:p w14:paraId="6974EC9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95% ДІ</w:t>
            </w:r>
          </w:p>
        </w:tc>
        <w:tc>
          <w:tcPr>
            <w:tcW w:w="992" w:type="dxa"/>
            <w:tcBorders>
              <w:top w:val="single" w:sz="4" w:space="0" w:color="auto"/>
              <w:left w:val="single" w:sz="4" w:space="0" w:color="auto"/>
              <w:bottom w:val="single" w:sz="4" w:space="0" w:color="auto"/>
              <w:right w:val="single" w:sz="4" w:space="0" w:color="auto"/>
            </w:tcBorders>
            <w:hideMark/>
          </w:tcPr>
          <w:p w14:paraId="45A4B8F7" w14:textId="77777777" w:rsidR="002E3CE8" w:rsidRPr="00520861" w:rsidRDefault="002E3CE8" w:rsidP="00292D2E">
            <w:pPr>
              <w:widowControl w:val="0"/>
              <w:spacing w:line="360" w:lineRule="auto"/>
              <w:contextualSpacing/>
              <w:jc w:val="center"/>
              <w:rPr>
                <w:rFonts w:eastAsiaTheme="minorHAnsi" w:cs="Times New Roman"/>
                <w:i/>
                <w:sz w:val="28"/>
                <w:szCs w:val="28"/>
              </w:rPr>
            </w:pPr>
            <w:r w:rsidRPr="00520861">
              <w:rPr>
                <w:rFonts w:eastAsiaTheme="minorHAnsi" w:cs="Times New Roman"/>
                <w:i/>
                <w:sz w:val="28"/>
                <w:szCs w:val="28"/>
              </w:rPr>
              <w:t>P</w:t>
            </w:r>
          </w:p>
        </w:tc>
      </w:tr>
      <w:tr w:rsidR="002E3CE8" w:rsidRPr="00520861" w14:paraId="0F54A83A" w14:textId="77777777" w:rsidTr="00292D2E">
        <w:trPr>
          <w:gridAfter w:val="1"/>
          <w:wAfter w:w="11" w:type="dxa"/>
          <w:jc w:val="center"/>
        </w:trPr>
        <w:tc>
          <w:tcPr>
            <w:tcW w:w="1980" w:type="dxa"/>
            <w:tcBorders>
              <w:top w:val="single" w:sz="4" w:space="0" w:color="auto"/>
              <w:left w:val="single" w:sz="4" w:space="0" w:color="auto"/>
              <w:bottom w:val="single" w:sz="4" w:space="0" w:color="auto"/>
              <w:right w:val="single" w:sz="4" w:space="0" w:color="auto"/>
            </w:tcBorders>
            <w:vAlign w:val="center"/>
          </w:tcPr>
          <w:p w14:paraId="7531D419"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1</w:t>
            </w:r>
          </w:p>
        </w:tc>
        <w:tc>
          <w:tcPr>
            <w:tcW w:w="1843" w:type="dxa"/>
            <w:tcBorders>
              <w:top w:val="single" w:sz="4" w:space="0" w:color="auto"/>
              <w:left w:val="single" w:sz="4" w:space="0" w:color="auto"/>
              <w:bottom w:val="single" w:sz="4" w:space="0" w:color="auto"/>
              <w:right w:val="single" w:sz="4" w:space="0" w:color="auto"/>
            </w:tcBorders>
            <w:vAlign w:val="center"/>
          </w:tcPr>
          <w:p w14:paraId="13A2A8D6"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2</w:t>
            </w:r>
          </w:p>
        </w:tc>
        <w:tc>
          <w:tcPr>
            <w:tcW w:w="1417" w:type="dxa"/>
            <w:tcBorders>
              <w:top w:val="single" w:sz="4" w:space="0" w:color="auto"/>
              <w:left w:val="single" w:sz="4" w:space="0" w:color="auto"/>
              <w:bottom w:val="single" w:sz="4" w:space="0" w:color="auto"/>
              <w:right w:val="single" w:sz="4" w:space="0" w:color="auto"/>
            </w:tcBorders>
          </w:tcPr>
          <w:p w14:paraId="6233E6F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w:t>
            </w:r>
          </w:p>
        </w:tc>
        <w:tc>
          <w:tcPr>
            <w:tcW w:w="1276" w:type="dxa"/>
            <w:tcBorders>
              <w:top w:val="single" w:sz="4" w:space="0" w:color="auto"/>
              <w:left w:val="single" w:sz="4" w:space="0" w:color="auto"/>
              <w:bottom w:val="single" w:sz="4" w:space="0" w:color="auto"/>
              <w:right w:val="single" w:sz="4" w:space="0" w:color="auto"/>
            </w:tcBorders>
          </w:tcPr>
          <w:p w14:paraId="7C31828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w:t>
            </w:r>
          </w:p>
        </w:tc>
        <w:tc>
          <w:tcPr>
            <w:tcW w:w="1843" w:type="dxa"/>
            <w:tcBorders>
              <w:top w:val="single" w:sz="4" w:space="0" w:color="auto"/>
              <w:left w:val="single" w:sz="4" w:space="0" w:color="auto"/>
              <w:bottom w:val="single" w:sz="4" w:space="0" w:color="auto"/>
              <w:right w:val="single" w:sz="4" w:space="0" w:color="auto"/>
            </w:tcBorders>
          </w:tcPr>
          <w:p w14:paraId="1269503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w:t>
            </w:r>
          </w:p>
        </w:tc>
        <w:tc>
          <w:tcPr>
            <w:tcW w:w="992" w:type="dxa"/>
            <w:tcBorders>
              <w:top w:val="single" w:sz="4" w:space="0" w:color="auto"/>
              <w:left w:val="single" w:sz="4" w:space="0" w:color="auto"/>
              <w:bottom w:val="single" w:sz="4" w:space="0" w:color="auto"/>
              <w:right w:val="single" w:sz="4" w:space="0" w:color="auto"/>
            </w:tcBorders>
          </w:tcPr>
          <w:p w14:paraId="6D37C38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w:t>
            </w:r>
          </w:p>
        </w:tc>
      </w:tr>
      <w:tr w:rsidR="002E3CE8" w:rsidRPr="00520861" w14:paraId="5C357FEA" w14:textId="77777777" w:rsidTr="00292D2E">
        <w:trPr>
          <w:jc w:val="center"/>
        </w:trPr>
        <w:tc>
          <w:tcPr>
            <w:tcW w:w="1980" w:type="dxa"/>
            <w:vMerge w:val="restart"/>
            <w:tcBorders>
              <w:top w:val="single" w:sz="4" w:space="0" w:color="auto"/>
              <w:left w:val="single" w:sz="4" w:space="0" w:color="auto"/>
              <w:right w:val="single" w:sz="4" w:space="0" w:color="auto"/>
            </w:tcBorders>
          </w:tcPr>
          <w:p w14:paraId="3DC6638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i/>
                <w:sz w:val="28"/>
                <w:szCs w:val="28"/>
              </w:rPr>
              <w:t xml:space="preserve">IL6: -174 G&gt;C </w:t>
            </w:r>
            <w:r w:rsidRPr="00520861">
              <w:rPr>
                <w:rFonts w:eastAsiaTheme="minorHAnsi" w:cs="Times New Roman"/>
                <w:sz w:val="28"/>
                <w:szCs w:val="28"/>
              </w:rPr>
              <w:t>[rs1800795]</w:t>
            </w:r>
          </w:p>
        </w:tc>
        <w:tc>
          <w:tcPr>
            <w:tcW w:w="7382" w:type="dxa"/>
            <w:gridSpan w:val="6"/>
            <w:tcBorders>
              <w:top w:val="single" w:sz="4" w:space="0" w:color="auto"/>
              <w:left w:val="single" w:sz="4" w:space="0" w:color="auto"/>
              <w:bottom w:val="single" w:sz="4" w:space="0" w:color="auto"/>
              <w:right w:val="single" w:sz="4" w:space="0" w:color="auto"/>
            </w:tcBorders>
          </w:tcPr>
          <w:p w14:paraId="7EE6180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Адитивна модель</w:t>
            </w:r>
          </w:p>
        </w:tc>
      </w:tr>
      <w:tr w:rsidR="002E3CE8" w:rsidRPr="00520861" w14:paraId="7F1274DA" w14:textId="77777777" w:rsidTr="00292D2E">
        <w:trPr>
          <w:gridAfter w:val="1"/>
          <w:wAfter w:w="11" w:type="dxa"/>
          <w:jc w:val="center"/>
        </w:trPr>
        <w:tc>
          <w:tcPr>
            <w:tcW w:w="1980" w:type="dxa"/>
            <w:vMerge/>
            <w:tcBorders>
              <w:left w:val="single" w:sz="4" w:space="0" w:color="auto"/>
              <w:right w:val="single" w:sz="4" w:space="0" w:color="auto"/>
            </w:tcBorders>
            <w:hideMark/>
          </w:tcPr>
          <w:p w14:paraId="0B792215"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843" w:type="dxa"/>
            <w:tcBorders>
              <w:top w:val="single" w:sz="4" w:space="0" w:color="auto"/>
              <w:left w:val="single" w:sz="4" w:space="0" w:color="auto"/>
              <w:bottom w:val="single" w:sz="4" w:space="0" w:color="auto"/>
              <w:right w:val="single" w:sz="4" w:space="0" w:color="auto"/>
            </w:tcBorders>
            <w:hideMark/>
          </w:tcPr>
          <w:p w14:paraId="411D2C9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GG</w:t>
            </w:r>
          </w:p>
          <w:p w14:paraId="17444FB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GC</w:t>
            </w:r>
          </w:p>
          <w:p w14:paraId="32B39F9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w:t>
            </w:r>
          </w:p>
        </w:tc>
        <w:tc>
          <w:tcPr>
            <w:tcW w:w="1417" w:type="dxa"/>
            <w:tcBorders>
              <w:top w:val="single" w:sz="4" w:space="0" w:color="auto"/>
              <w:left w:val="single" w:sz="4" w:space="0" w:color="auto"/>
              <w:bottom w:val="single" w:sz="4" w:space="0" w:color="auto"/>
              <w:right w:val="single" w:sz="4" w:space="0" w:color="auto"/>
            </w:tcBorders>
            <w:hideMark/>
          </w:tcPr>
          <w:p w14:paraId="2FFE117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4,820</w:t>
            </w:r>
          </w:p>
        </w:tc>
        <w:tc>
          <w:tcPr>
            <w:tcW w:w="1276" w:type="dxa"/>
            <w:tcBorders>
              <w:top w:val="single" w:sz="4" w:space="0" w:color="auto"/>
              <w:left w:val="single" w:sz="4" w:space="0" w:color="auto"/>
              <w:bottom w:val="single" w:sz="4" w:space="0" w:color="auto"/>
              <w:right w:val="single" w:sz="4" w:space="0" w:color="auto"/>
            </w:tcBorders>
            <w:hideMark/>
          </w:tcPr>
          <w:p w14:paraId="40F1B3A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0,628</w:t>
            </w:r>
          </w:p>
          <w:p w14:paraId="13855C2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0,574</w:t>
            </w:r>
          </w:p>
          <w:p w14:paraId="7E2CA87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4,400</w:t>
            </w:r>
          </w:p>
        </w:tc>
        <w:tc>
          <w:tcPr>
            <w:tcW w:w="1843" w:type="dxa"/>
            <w:tcBorders>
              <w:top w:val="single" w:sz="4" w:space="0" w:color="auto"/>
              <w:left w:val="single" w:sz="4" w:space="0" w:color="auto"/>
              <w:bottom w:val="single" w:sz="4" w:space="0" w:color="auto"/>
              <w:right w:val="single" w:sz="4" w:space="0" w:color="auto"/>
            </w:tcBorders>
            <w:hideMark/>
          </w:tcPr>
          <w:p w14:paraId="1246EF5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0,223-1,768</w:t>
            </w:r>
          </w:p>
          <w:p w14:paraId="4657981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0,229-1,435</w:t>
            </w:r>
          </w:p>
          <w:p w14:paraId="2971B35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1,330-14,559</w:t>
            </w:r>
          </w:p>
        </w:tc>
        <w:tc>
          <w:tcPr>
            <w:tcW w:w="992" w:type="dxa"/>
            <w:tcBorders>
              <w:top w:val="single" w:sz="4" w:space="0" w:color="auto"/>
              <w:left w:val="single" w:sz="4" w:space="0" w:color="auto"/>
              <w:bottom w:val="single" w:sz="4" w:space="0" w:color="auto"/>
              <w:right w:val="single" w:sz="4" w:space="0" w:color="auto"/>
            </w:tcBorders>
            <w:hideMark/>
          </w:tcPr>
          <w:p w14:paraId="09FB0C45"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0,090</w:t>
            </w:r>
          </w:p>
        </w:tc>
      </w:tr>
      <w:tr w:rsidR="002E3CE8" w:rsidRPr="00520861" w14:paraId="30298AEB" w14:textId="77777777" w:rsidTr="00292D2E">
        <w:trPr>
          <w:jc w:val="center"/>
        </w:trPr>
        <w:tc>
          <w:tcPr>
            <w:tcW w:w="1980" w:type="dxa"/>
            <w:vMerge/>
            <w:tcBorders>
              <w:left w:val="single" w:sz="4" w:space="0" w:color="auto"/>
              <w:right w:val="single" w:sz="4" w:space="0" w:color="auto"/>
            </w:tcBorders>
          </w:tcPr>
          <w:p w14:paraId="0219BB79"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382" w:type="dxa"/>
            <w:gridSpan w:val="6"/>
            <w:tcBorders>
              <w:top w:val="single" w:sz="4" w:space="0" w:color="auto"/>
              <w:left w:val="single" w:sz="4" w:space="0" w:color="auto"/>
              <w:bottom w:val="single" w:sz="4" w:space="0" w:color="auto"/>
              <w:right w:val="single" w:sz="4" w:space="0" w:color="auto"/>
            </w:tcBorders>
          </w:tcPr>
          <w:p w14:paraId="3039B03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Рецесивна модель</w:t>
            </w:r>
          </w:p>
        </w:tc>
      </w:tr>
      <w:tr w:rsidR="002E3CE8" w:rsidRPr="00520861" w14:paraId="0682C6E4" w14:textId="77777777" w:rsidTr="00292D2E">
        <w:trPr>
          <w:gridAfter w:val="1"/>
          <w:wAfter w:w="11" w:type="dxa"/>
          <w:jc w:val="center"/>
        </w:trPr>
        <w:tc>
          <w:tcPr>
            <w:tcW w:w="1980" w:type="dxa"/>
            <w:vMerge/>
            <w:tcBorders>
              <w:left w:val="single" w:sz="4" w:space="0" w:color="auto"/>
              <w:right w:val="single" w:sz="4" w:space="0" w:color="auto"/>
            </w:tcBorders>
          </w:tcPr>
          <w:p w14:paraId="44C3238D"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843" w:type="dxa"/>
            <w:tcBorders>
              <w:top w:val="single" w:sz="4" w:space="0" w:color="auto"/>
              <w:left w:val="single" w:sz="4" w:space="0" w:color="auto"/>
              <w:bottom w:val="single" w:sz="4" w:space="0" w:color="auto"/>
              <w:right w:val="single" w:sz="4" w:space="0" w:color="auto"/>
            </w:tcBorders>
          </w:tcPr>
          <w:p w14:paraId="0D37AB5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GG+GC</w:t>
            </w:r>
          </w:p>
          <w:p w14:paraId="2BB42D2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CC</w:t>
            </w:r>
          </w:p>
        </w:tc>
        <w:tc>
          <w:tcPr>
            <w:tcW w:w="1417" w:type="dxa"/>
            <w:tcBorders>
              <w:top w:val="single" w:sz="4" w:space="0" w:color="auto"/>
              <w:left w:val="single" w:sz="4" w:space="0" w:color="auto"/>
              <w:bottom w:val="single" w:sz="4" w:space="0" w:color="auto"/>
              <w:right w:val="single" w:sz="4" w:space="0" w:color="auto"/>
            </w:tcBorders>
          </w:tcPr>
          <w:p w14:paraId="3A33F14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5,055</w:t>
            </w:r>
          </w:p>
        </w:tc>
        <w:tc>
          <w:tcPr>
            <w:tcW w:w="1276" w:type="dxa"/>
            <w:tcBorders>
              <w:top w:val="single" w:sz="4" w:space="0" w:color="auto"/>
              <w:left w:val="single" w:sz="4" w:space="0" w:color="auto"/>
              <w:bottom w:val="single" w:sz="4" w:space="0" w:color="auto"/>
              <w:right w:val="single" w:sz="4" w:space="0" w:color="auto"/>
            </w:tcBorders>
          </w:tcPr>
          <w:p w14:paraId="75BC03A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0,227</w:t>
            </w:r>
          </w:p>
          <w:p w14:paraId="48E5668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4,400</w:t>
            </w:r>
          </w:p>
        </w:tc>
        <w:tc>
          <w:tcPr>
            <w:tcW w:w="1843" w:type="dxa"/>
            <w:tcBorders>
              <w:top w:val="single" w:sz="4" w:space="0" w:color="auto"/>
              <w:left w:val="single" w:sz="4" w:space="0" w:color="auto"/>
              <w:bottom w:val="single" w:sz="4" w:space="0" w:color="auto"/>
              <w:right w:val="single" w:sz="4" w:space="0" w:color="auto"/>
            </w:tcBorders>
          </w:tcPr>
          <w:p w14:paraId="239C085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0,069-0,752</w:t>
            </w:r>
          </w:p>
          <w:p w14:paraId="33F7BDC7"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1,330-14,559</w:t>
            </w:r>
          </w:p>
        </w:tc>
        <w:tc>
          <w:tcPr>
            <w:tcW w:w="992" w:type="dxa"/>
            <w:tcBorders>
              <w:top w:val="single" w:sz="4" w:space="0" w:color="auto"/>
              <w:left w:val="single" w:sz="4" w:space="0" w:color="auto"/>
              <w:bottom w:val="single" w:sz="4" w:space="0" w:color="auto"/>
              <w:right w:val="single" w:sz="4" w:space="0" w:color="auto"/>
            </w:tcBorders>
          </w:tcPr>
          <w:p w14:paraId="4238578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0,025</w:t>
            </w:r>
          </w:p>
        </w:tc>
      </w:tr>
      <w:tr w:rsidR="002E3CE8" w:rsidRPr="00520861" w14:paraId="13ED6944" w14:textId="77777777" w:rsidTr="00292D2E">
        <w:trPr>
          <w:trHeight w:val="311"/>
          <w:jc w:val="center"/>
        </w:trPr>
        <w:tc>
          <w:tcPr>
            <w:tcW w:w="1980" w:type="dxa"/>
            <w:vMerge/>
            <w:tcBorders>
              <w:left w:val="single" w:sz="4" w:space="0" w:color="auto"/>
              <w:right w:val="single" w:sz="4" w:space="0" w:color="auto"/>
            </w:tcBorders>
          </w:tcPr>
          <w:p w14:paraId="6214BB12"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382" w:type="dxa"/>
            <w:gridSpan w:val="6"/>
            <w:tcBorders>
              <w:top w:val="single" w:sz="4" w:space="0" w:color="auto"/>
              <w:left w:val="single" w:sz="4" w:space="0" w:color="auto"/>
              <w:bottom w:val="single" w:sz="4" w:space="0" w:color="auto"/>
              <w:right w:val="single" w:sz="4" w:space="0" w:color="auto"/>
            </w:tcBorders>
          </w:tcPr>
          <w:p w14:paraId="50597BC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Домінантна модель</w:t>
            </w:r>
          </w:p>
        </w:tc>
      </w:tr>
      <w:tr w:rsidR="002E3CE8" w:rsidRPr="00520861" w14:paraId="68A1A1F4" w14:textId="77777777" w:rsidTr="00292D2E">
        <w:trPr>
          <w:gridAfter w:val="1"/>
          <w:wAfter w:w="11" w:type="dxa"/>
          <w:trHeight w:val="814"/>
          <w:jc w:val="center"/>
        </w:trPr>
        <w:tc>
          <w:tcPr>
            <w:tcW w:w="1980" w:type="dxa"/>
            <w:vMerge/>
            <w:tcBorders>
              <w:left w:val="single" w:sz="4" w:space="0" w:color="auto"/>
              <w:right w:val="single" w:sz="4" w:space="0" w:color="auto"/>
            </w:tcBorders>
          </w:tcPr>
          <w:p w14:paraId="15EC1A7D"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843" w:type="dxa"/>
            <w:tcBorders>
              <w:top w:val="single" w:sz="4" w:space="0" w:color="auto"/>
              <w:left w:val="single" w:sz="4" w:space="0" w:color="auto"/>
              <w:bottom w:val="single" w:sz="4" w:space="0" w:color="auto"/>
              <w:right w:val="single" w:sz="4" w:space="0" w:color="auto"/>
            </w:tcBorders>
          </w:tcPr>
          <w:p w14:paraId="1DC0FD8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GG</w:t>
            </w:r>
          </w:p>
          <w:p w14:paraId="0FCA44B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GC+CC</w:t>
            </w:r>
          </w:p>
        </w:tc>
        <w:tc>
          <w:tcPr>
            <w:tcW w:w="1417" w:type="dxa"/>
            <w:tcBorders>
              <w:top w:val="single" w:sz="4" w:space="0" w:color="auto"/>
              <w:left w:val="single" w:sz="4" w:space="0" w:color="auto"/>
              <w:bottom w:val="single" w:sz="4" w:space="0" w:color="auto"/>
              <w:right w:val="single" w:sz="4" w:space="0" w:color="auto"/>
            </w:tcBorders>
          </w:tcPr>
          <w:p w14:paraId="5DBBB85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0,397</w:t>
            </w:r>
          </w:p>
        </w:tc>
        <w:tc>
          <w:tcPr>
            <w:tcW w:w="1276" w:type="dxa"/>
            <w:tcBorders>
              <w:top w:val="single" w:sz="4" w:space="0" w:color="auto"/>
              <w:left w:val="single" w:sz="4" w:space="0" w:color="auto"/>
              <w:bottom w:val="single" w:sz="4" w:space="0" w:color="auto"/>
              <w:right w:val="single" w:sz="4" w:space="0" w:color="auto"/>
            </w:tcBorders>
          </w:tcPr>
          <w:p w14:paraId="059BA57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0,628</w:t>
            </w:r>
          </w:p>
          <w:p w14:paraId="3F289BF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1,593</w:t>
            </w:r>
          </w:p>
        </w:tc>
        <w:tc>
          <w:tcPr>
            <w:tcW w:w="1843" w:type="dxa"/>
            <w:tcBorders>
              <w:top w:val="single" w:sz="4" w:space="0" w:color="auto"/>
              <w:left w:val="single" w:sz="4" w:space="0" w:color="auto"/>
              <w:bottom w:val="single" w:sz="4" w:space="0" w:color="auto"/>
              <w:right w:val="single" w:sz="4" w:space="0" w:color="auto"/>
            </w:tcBorders>
          </w:tcPr>
          <w:p w14:paraId="13F4B16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0,223-1,768</w:t>
            </w:r>
          </w:p>
          <w:p w14:paraId="2D47296B"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0,566-4,487</w:t>
            </w:r>
          </w:p>
        </w:tc>
        <w:tc>
          <w:tcPr>
            <w:tcW w:w="992" w:type="dxa"/>
            <w:tcBorders>
              <w:top w:val="single" w:sz="4" w:space="0" w:color="auto"/>
              <w:left w:val="single" w:sz="4" w:space="0" w:color="auto"/>
              <w:bottom w:val="single" w:sz="4" w:space="0" w:color="auto"/>
              <w:right w:val="single" w:sz="4" w:space="0" w:color="auto"/>
            </w:tcBorders>
          </w:tcPr>
          <w:p w14:paraId="1E0CB5A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0,529</w:t>
            </w:r>
          </w:p>
        </w:tc>
      </w:tr>
    </w:tbl>
    <w:p w14:paraId="1BCF0920" w14:textId="77777777" w:rsidR="002E3CE8" w:rsidRPr="00520861" w:rsidRDefault="002E3CE8" w:rsidP="00292D2E">
      <w:pPr>
        <w:widowControl w:val="0"/>
        <w:spacing w:after="160" w:line="259" w:lineRule="auto"/>
        <w:jc w:val="right"/>
        <w:rPr>
          <w:rFonts w:eastAsiaTheme="minorHAnsi"/>
          <w:i/>
          <w:sz w:val="28"/>
          <w:szCs w:val="28"/>
          <w:lang w:eastAsia="en-US"/>
        </w:rPr>
      </w:pPr>
    </w:p>
    <w:p w14:paraId="709DD149" w14:textId="77777777" w:rsidR="002E3CE8" w:rsidRPr="00520861" w:rsidRDefault="002E3CE8" w:rsidP="00292D2E">
      <w:pPr>
        <w:widowControl w:val="0"/>
        <w:spacing w:after="160" w:line="259" w:lineRule="auto"/>
        <w:jc w:val="right"/>
        <w:rPr>
          <w:rFonts w:eastAsiaTheme="minorHAnsi"/>
          <w:i/>
          <w:sz w:val="28"/>
          <w:szCs w:val="28"/>
          <w:lang w:val="ru-RU" w:eastAsia="en-US"/>
        </w:rPr>
      </w:pPr>
      <w:r w:rsidRPr="00520861">
        <w:rPr>
          <w:rFonts w:eastAsiaTheme="minorHAnsi"/>
          <w:i/>
          <w:sz w:val="28"/>
          <w:szCs w:val="28"/>
          <w:lang w:eastAsia="en-US"/>
        </w:rPr>
        <w:lastRenderedPageBreak/>
        <w:t>Продовження таблиці 6.12</w:t>
      </w:r>
    </w:p>
    <w:tbl>
      <w:tblPr>
        <w:tblStyle w:val="430"/>
        <w:tblW w:w="9351" w:type="dxa"/>
        <w:jc w:val="center"/>
        <w:tblLook w:val="04A0" w:firstRow="1" w:lastRow="0" w:firstColumn="1" w:lastColumn="0" w:noHBand="0" w:noVBand="1"/>
      </w:tblPr>
      <w:tblGrid>
        <w:gridCol w:w="1980"/>
        <w:gridCol w:w="1843"/>
        <w:gridCol w:w="32"/>
        <w:gridCol w:w="1385"/>
        <w:gridCol w:w="40"/>
        <w:gridCol w:w="1236"/>
        <w:gridCol w:w="84"/>
        <w:gridCol w:w="1759"/>
        <w:gridCol w:w="992"/>
      </w:tblGrid>
      <w:tr w:rsidR="002E3CE8" w:rsidRPr="00520861" w14:paraId="2F9C690F" w14:textId="77777777" w:rsidTr="00292D2E">
        <w:trPr>
          <w:jc w:val="center"/>
        </w:trPr>
        <w:tc>
          <w:tcPr>
            <w:tcW w:w="1980" w:type="dxa"/>
            <w:tcBorders>
              <w:left w:val="single" w:sz="4" w:space="0" w:color="auto"/>
              <w:right w:val="single" w:sz="4" w:space="0" w:color="auto"/>
            </w:tcBorders>
          </w:tcPr>
          <w:p w14:paraId="7172D45A" w14:textId="77777777" w:rsidR="002E3CE8" w:rsidRPr="00520861" w:rsidRDefault="002E3CE8" w:rsidP="00292D2E">
            <w:pPr>
              <w:widowControl w:val="0"/>
              <w:spacing w:line="360" w:lineRule="auto"/>
              <w:contextualSpacing/>
              <w:rPr>
                <w:rFonts w:eastAsiaTheme="minorHAnsi" w:cs="Times New Roman"/>
                <w:sz w:val="28"/>
                <w:szCs w:val="28"/>
              </w:rPr>
            </w:pPr>
            <w:r w:rsidRPr="00520861">
              <w:rPr>
                <w:rFonts w:eastAsiaTheme="minorHAnsi" w:cs="Times New Roman"/>
                <w:sz w:val="28"/>
                <w:szCs w:val="28"/>
              </w:rPr>
              <w:t>1</w:t>
            </w:r>
          </w:p>
        </w:tc>
        <w:tc>
          <w:tcPr>
            <w:tcW w:w="1875" w:type="dxa"/>
            <w:gridSpan w:val="2"/>
            <w:tcBorders>
              <w:top w:val="single" w:sz="4" w:space="0" w:color="auto"/>
              <w:left w:val="single" w:sz="4" w:space="0" w:color="auto"/>
              <w:bottom w:val="single" w:sz="4" w:space="0" w:color="auto"/>
              <w:right w:val="single" w:sz="4" w:space="0" w:color="auto"/>
            </w:tcBorders>
          </w:tcPr>
          <w:p w14:paraId="5D498431"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2</w:t>
            </w:r>
          </w:p>
        </w:tc>
        <w:tc>
          <w:tcPr>
            <w:tcW w:w="1425" w:type="dxa"/>
            <w:gridSpan w:val="2"/>
            <w:tcBorders>
              <w:top w:val="single" w:sz="4" w:space="0" w:color="auto"/>
              <w:left w:val="single" w:sz="4" w:space="0" w:color="auto"/>
              <w:bottom w:val="single" w:sz="4" w:space="0" w:color="auto"/>
              <w:right w:val="single" w:sz="4" w:space="0" w:color="auto"/>
            </w:tcBorders>
          </w:tcPr>
          <w:p w14:paraId="6861439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w:t>
            </w:r>
          </w:p>
        </w:tc>
        <w:tc>
          <w:tcPr>
            <w:tcW w:w="1320" w:type="dxa"/>
            <w:gridSpan w:val="2"/>
            <w:tcBorders>
              <w:top w:val="single" w:sz="4" w:space="0" w:color="auto"/>
              <w:left w:val="single" w:sz="4" w:space="0" w:color="auto"/>
              <w:bottom w:val="single" w:sz="4" w:space="0" w:color="auto"/>
              <w:right w:val="single" w:sz="4" w:space="0" w:color="auto"/>
            </w:tcBorders>
          </w:tcPr>
          <w:p w14:paraId="766BA28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4</w:t>
            </w:r>
          </w:p>
        </w:tc>
        <w:tc>
          <w:tcPr>
            <w:tcW w:w="1759" w:type="dxa"/>
            <w:tcBorders>
              <w:top w:val="single" w:sz="4" w:space="0" w:color="auto"/>
              <w:left w:val="single" w:sz="4" w:space="0" w:color="auto"/>
              <w:bottom w:val="single" w:sz="4" w:space="0" w:color="auto"/>
              <w:right w:val="single" w:sz="4" w:space="0" w:color="auto"/>
            </w:tcBorders>
          </w:tcPr>
          <w:p w14:paraId="1A46A2E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5</w:t>
            </w:r>
          </w:p>
        </w:tc>
        <w:tc>
          <w:tcPr>
            <w:tcW w:w="992" w:type="dxa"/>
            <w:tcBorders>
              <w:top w:val="single" w:sz="4" w:space="0" w:color="auto"/>
              <w:left w:val="single" w:sz="4" w:space="0" w:color="auto"/>
              <w:bottom w:val="single" w:sz="4" w:space="0" w:color="auto"/>
              <w:right w:val="single" w:sz="4" w:space="0" w:color="auto"/>
            </w:tcBorders>
          </w:tcPr>
          <w:p w14:paraId="22E468FD"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6</w:t>
            </w:r>
          </w:p>
        </w:tc>
      </w:tr>
      <w:tr w:rsidR="002E3CE8" w:rsidRPr="00520861" w14:paraId="49A4E878" w14:textId="77777777" w:rsidTr="00292D2E">
        <w:trPr>
          <w:trHeight w:val="374"/>
          <w:jc w:val="center"/>
        </w:trPr>
        <w:tc>
          <w:tcPr>
            <w:tcW w:w="1980" w:type="dxa"/>
            <w:vMerge w:val="restart"/>
            <w:tcBorders>
              <w:left w:val="single" w:sz="4" w:space="0" w:color="auto"/>
              <w:right w:val="single" w:sz="4" w:space="0" w:color="auto"/>
            </w:tcBorders>
          </w:tcPr>
          <w:p w14:paraId="1E77324D"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371" w:type="dxa"/>
            <w:gridSpan w:val="8"/>
            <w:tcBorders>
              <w:top w:val="single" w:sz="4" w:space="0" w:color="auto"/>
              <w:left w:val="single" w:sz="4" w:space="0" w:color="auto"/>
              <w:bottom w:val="single" w:sz="4" w:space="0" w:color="auto"/>
              <w:right w:val="single" w:sz="4" w:space="0" w:color="auto"/>
            </w:tcBorders>
          </w:tcPr>
          <w:p w14:paraId="5DD1833F" w14:textId="77777777" w:rsidR="002E3CE8" w:rsidRPr="00520861" w:rsidRDefault="002E3CE8" w:rsidP="00292D2E">
            <w:pPr>
              <w:widowControl w:val="0"/>
              <w:spacing w:after="100" w:afterAutospacing="1" w:line="360" w:lineRule="auto"/>
              <w:contextualSpacing/>
              <w:jc w:val="center"/>
              <w:rPr>
                <w:rFonts w:eastAsiaTheme="minorHAnsi" w:cs="Times New Roman"/>
                <w:sz w:val="28"/>
                <w:szCs w:val="28"/>
              </w:rPr>
            </w:pPr>
            <w:proofErr w:type="spellStart"/>
            <w:r w:rsidRPr="00520861">
              <w:rPr>
                <w:rFonts w:eastAsiaTheme="minorHAnsi" w:cs="Times New Roman"/>
                <w:sz w:val="28"/>
                <w:szCs w:val="28"/>
              </w:rPr>
              <w:t>Наддомінантна</w:t>
            </w:r>
            <w:proofErr w:type="spellEnd"/>
            <w:r w:rsidRPr="00520861">
              <w:rPr>
                <w:rFonts w:eastAsiaTheme="minorHAnsi" w:cs="Times New Roman"/>
                <w:sz w:val="28"/>
                <w:szCs w:val="28"/>
              </w:rPr>
              <w:t xml:space="preserve"> модель</w:t>
            </w:r>
          </w:p>
        </w:tc>
      </w:tr>
      <w:tr w:rsidR="002E3CE8" w:rsidRPr="00520861" w14:paraId="5804B8AD" w14:textId="77777777" w:rsidTr="00292D2E">
        <w:trPr>
          <w:jc w:val="center"/>
        </w:trPr>
        <w:tc>
          <w:tcPr>
            <w:tcW w:w="1980" w:type="dxa"/>
            <w:vMerge/>
            <w:tcBorders>
              <w:left w:val="single" w:sz="4" w:space="0" w:color="auto"/>
              <w:right w:val="single" w:sz="4" w:space="0" w:color="auto"/>
            </w:tcBorders>
          </w:tcPr>
          <w:p w14:paraId="5677229A"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843" w:type="dxa"/>
            <w:tcBorders>
              <w:top w:val="single" w:sz="4" w:space="0" w:color="auto"/>
              <w:left w:val="single" w:sz="4" w:space="0" w:color="auto"/>
              <w:bottom w:val="single" w:sz="4" w:space="0" w:color="auto"/>
              <w:right w:val="single" w:sz="4" w:space="0" w:color="auto"/>
            </w:tcBorders>
          </w:tcPr>
          <w:p w14:paraId="3377541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GG+CC</w:t>
            </w:r>
          </w:p>
          <w:p w14:paraId="03E1267C"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GC</w:t>
            </w:r>
          </w:p>
        </w:tc>
        <w:tc>
          <w:tcPr>
            <w:tcW w:w="1417" w:type="dxa"/>
            <w:gridSpan w:val="2"/>
            <w:tcBorders>
              <w:top w:val="single" w:sz="4" w:space="0" w:color="auto"/>
              <w:left w:val="single" w:sz="4" w:space="0" w:color="auto"/>
              <w:bottom w:val="single" w:sz="4" w:space="0" w:color="auto"/>
              <w:right w:val="single" w:sz="4" w:space="0" w:color="auto"/>
            </w:tcBorders>
          </w:tcPr>
          <w:p w14:paraId="6F8E24C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0,922</w:t>
            </w:r>
          </w:p>
        </w:tc>
        <w:tc>
          <w:tcPr>
            <w:tcW w:w="1276" w:type="dxa"/>
            <w:gridSpan w:val="2"/>
            <w:tcBorders>
              <w:top w:val="single" w:sz="4" w:space="0" w:color="auto"/>
              <w:left w:val="single" w:sz="4" w:space="0" w:color="auto"/>
              <w:bottom w:val="single" w:sz="4" w:space="0" w:color="auto"/>
              <w:right w:val="single" w:sz="4" w:space="0" w:color="auto"/>
            </w:tcBorders>
          </w:tcPr>
          <w:p w14:paraId="3B250BC8"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1,744</w:t>
            </w:r>
          </w:p>
          <w:p w14:paraId="1741C15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0,574</w:t>
            </w:r>
          </w:p>
        </w:tc>
        <w:tc>
          <w:tcPr>
            <w:tcW w:w="1843" w:type="dxa"/>
            <w:gridSpan w:val="2"/>
            <w:tcBorders>
              <w:top w:val="single" w:sz="4" w:space="0" w:color="auto"/>
              <w:left w:val="single" w:sz="4" w:space="0" w:color="auto"/>
              <w:bottom w:val="single" w:sz="4" w:space="0" w:color="auto"/>
              <w:right w:val="single" w:sz="4" w:space="0" w:color="auto"/>
            </w:tcBorders>
          </w:tcPr>
          <w:p w14:paraId="50A1E2B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0,697-4,364</w:t>
            </w:r>
          </w:p>
          <w:p w14:paraId="6D847434"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0,229-1,435</w:t>
            </w:r>
          </w:p>
        </w:tc>
        <w:tc>
          <w:tcPr>
            <w:tcW w:w="992" w:type="dxa"/>
            <w:tcBorders>
              <w:top w:val="single" w:sz="4" w:space="0" w:color="auto"/>
              <w:left w:val="single" w:sz="4" w:space="0" w:color="auto"/>
              <w:bottom w:val="single" w:sz="4" w:space="0" w:color="auto"/>
              <w:right w:val="single" w:sz="4" w:space="0" w:color="auto"/>
            </w:tcBorders>
          </w:tcPr>
          <w:p w14:paraId="0D6ADF4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0,337</w:t>
            </w:r>
          </w:p>
        </w:tc>
      </w:tr>
      <w:tr w:rsidR="002E3CE8" w:rsidRPr="00520861" w14:paraId="5342A66F" w14:textId="77777777" w:rsidTr="00292D2E">
        <w:trPr>
          <w:jc w:val="center"/>
        </w:trPr>
        <w:tc>
          <w:tcPr>
            <w:tcW w:w="1980" w:type="dxa"/>
            <w:vMerge w:val="restart"/>
            <w:tcBorders>
              <w:left w:val="single" w:sz="4" w:space="0" w:color="auto"/>
              <w:right w:val="single" w:sz="4" w:space="0" w:color="auto"/>
            </w:tcBorders>
          </w:tcPr>
          <w:p w14:paraId="482DB7CA" w14:textId="77777777" w:rsidR="002E3CE8" w:rsidRPr="00520861" w:rsidRDefault="002E3CE8" w:rsidP="00292D2E">
            <w:pPr>
              <w:widowControl w:val="0"/>
              <w:spacing w:line="360" w:lineRule="auto"/>
              <w:contextualSpacing/>
              <w:rPr>
                <w:rFonts w:eastAsiaTheme="minorHAnsi" w:cs="Times New Roman"/>
                <w:sz w:val="28"/>
                <w:szCs w:val="28"/>
              </w:rPr>
            </w:pPr>
          </w:p>
        </w:tc>
        <w:tc>
          <w:tcPr>
            <w:tcW w:w="7371" w:type="dxa"/>
            <w:gridSpan w:val="8"/>
            <w:tcBorders>
              <w:top w:val="single" w:sz="4" w:space="0" w:color="auto"/>
              <w:left w:val="single" w:sz="4" w:space="0" w:color="auto"/>
              <w:bottom w:val="single" w:sz="4" w:space="0" w:color="auto"/>
              <w:right w:val="single" w:sz="4" w:space="0" w:color="auto"/>
            </w:tcBorders>
          </w:tcPr>
          <w:p w14:paraId="1CF08C4A"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Мультиплікативна модель</w:t>
            </w:r>
          </w:p>
        </w:tc>
      </w:tr>
      <w:tr w:rsidR="002E3CE8" w:rsidRPr="00520861" w14:paraId="78B63393" w14:textId="77777777" w:rsidTr="00292D2E">
        <w:trPr>
          <w:jc w:val="center"/>
        </w:trPr>
        <w:tc>
          <w:tcPr>
            <w:tcW w:w="1980" w:type="dxa"/>
            <w:vMerge/>
            <w:tcBorders>
              <w:left w:val="single" w:sz="4" w:space="0" w:color="auto"/>
              <w:bottom w:val="single" w:sz="4" w:space="0" w:color="auto"/>
              <w:right w:val="single" w:sz="4" w:space="0" w:color="auto"/>
            </w:tcBorders>
          </w:tcPr>
          <w:p w14:paraId="3EF7C8F7" w14:textId="77777777" w:rsidR="002E3CE8" w:rsidRPr="00520861" w:rsidRDefault="002E3CE8" w:rsidP="00292D2E">
            <w:pPr>
              <w:widowControl w:val="0"/>
              <w:spacing w:line="360" w:lineRule="auto"/>
              <w:contextualSpacing/>
              <w:rPr>
                <w:rFonts w:eastAsiaTheme="minorHAnsi" w:cs="Times New Roman"/>
                <w:sz w:val="28"/>
                <w:szCs w:val="28"/>
              </w:rPr>
            </w:pPr>
          </w:p>
        </w:tc>
        <w:tc>
          <w:tcPr>
            <w:tcW w:w="1843" w:type="dxa"/>
            <w:tcBorders>
              <w:top w:val="single" w:sz="4" w:space="0" w:color="auto"/>
              <w:left w:val="single" w:sz="4" w:space="0" w:color="auto"/>
              <w:bottom w:val="single" w:sz="4" w:space="0" w:color="auto"/>
              <w:right w:val="single" w:sz="4" w:space="0" w:color="auto"/>
            </w:tcBorders>
          </w:tcPr>
          <w:p w14:paraId="42E58100"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G</w:t>
            </w:r>
          </w:p>
          <w:p w14:paraId="7992AB99"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C</w:t>
            </w:r>
          </w:p>
        </w:tc>
        <w:tc>
          <w:tcPr>
            <w:tcW w:w="1417" w:type="dxa"/>
            <w:gridSpan w:val="2"/>
            <w:tcBorders>
              <w:top w:val="single" w:sz="4" w:space="0" w:color="auto"/>
              <w:left w:val="single" w:sz="4" w:space="0" w:color="auto"/>
              <w:bottom w:val="single" w:sz="4" w:space="0" w:color="auto"/>
              <w:right w:val="single" w:sz="4" w:space="0" w:color="auto"/>
            </w:tcBorders>
          </w:tcPr>
          <w:p w14:paraId="0ACDFB2E"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3,959</w:t>
            </w:r>
          </w:p>
        </w:tc>
        <w:tc>
          <w:tcPr>
            <w:tcW w:w="1276" w:type="dxa"/>
            <w:gridSpan w:val="2"/>
            <w:tcBorders>
              <w:top w:val="single" w:sz="4" w:space="0" w:color="auto"/>
              <w:left w:val="single" w:sz="4" w:space="0" w:color="auto"/>
              <w:bottom w:val="single" w:sz="4" w:space="0" w:color="auto"/>
              <w:right w:val="single" w:sz="4" w:space="0" w:color="auto"/>
            </w:tcBorders>
          </w:tcPr>
          <w:p w14:paraId="1B29CB1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0,518</w:t>
            </w:r>
          </w:p>
          <w:p w14:paraId="2D60C763"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1,930</w:t>
            </w:r>
          </w:p>
        </w:tc>
        <w:tc>
          <w:tcPr>
            <w:tcW w:w="1843" w:type="dxa"/>
            <w:gridSpan w:val="2"/>
            <w:tcBorders>
              <w:top w:val="single" w:sz="4" w:space="0" w:color="auto"/>
              <w:left w:val="single" w:sz="4" w:space="0" w:color="auto"/>
              <w:bottom w:val="single" w:sz="4" w:space="0" w:color="auto"/>
              <w:right w:val="single" w:sz="4" w:space="0" w:color="auto"/>
            </w:tcBorders>
          </w:tcPr>
          <w:p w14:paraId="74CDE3DF"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0,270-0,994</w:t>
            </w:r>
          </w:p>
          <w:p w14:paraId="19ABEA16"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1,006-3,700</w:t>
            </w:r>
          </w:p>
        </w:tc>
        <w:tc>
          <w:tcPr>
            <w:tcW w:w="992" w:type="dxa"/>
            <w:tcBorders>
              <w:top w:val="single" w:sz="4" w:space="0" w:color="auto"/>
              <w:left w:val="single" w:sz="4" w:space="0" w:color="auto"/>
              <w:bottom w:val="single" w:sz="4" w:space="0" w:color="auto"/>
              <w:right w:val="single" w:sz="4" w:space="0" w:color="auto"/>
            </w:tcBorders>
          </w:tcPr>
          <w:p w14:paraId="733FFC12" w14:textId="77777777" w:rsidR="002E3CE8" w:rsidRPr="00520861" w:rsidRDefault="002E3CE8" w:rsidP="00292D2E">
            <w:pPr>
              <w:widowControl w:val="0"/>
              <w:spacing w:line="360" w:lineRule="auto"/>
              <w:contextualSpacing/>
              <w:jc w:val="center"/>
              <w:rPr>
                <w:rFonts w:eastAsiaTheme="minorHAnsi" w:cs="Times New Roman"/>
                <w:sz w:val="28"/>
                <w:szCs w:val="28"/>
              </w:rPr>
            </w:pPr>
            <w:r w:rsidRPr="00520861">
              <w:rPr>
                <w:rFonts w:eastAsiaTheme="minorHAnsi" w:cs="Times New Roman"/>
                <w:sz w:val="28"/>
                <w:szCs w:val="28"/>
              </w:rPr>
              <w:t>0,047</w:t>
            </w:r>
          </w:p>
        </w:tc>
      </w:tr>
    </w:tbl>
    <w:p w14:paraId="00E5841E"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p>
    <w:p w14:paraId="000A342A"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Наведені результати можуть бути використані із метою передбачення стану твердих тканин постійних зубів в осіб,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p>
    <w:p w14:paraId="227FEAC1"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p>
    <w:p w14:paraId="205DB5A2" w14:textId="77777777" w:rsidR="002E3CE8" w:rsidRPr="00520861" w:rsidRDefault="002E3CE8" w:rsidP="00292D2E">
      <w:pPr>
        <w:widowControl w:val="0"/>
        <w:spacing w:line="360" w:lineRule="auto"/>
        <w:ind w:firstLine="708"/>
        <w:jc w:val="both"/>
        <w:rPr>
          <w:b/>
          <w:sz w:val="28"/>
          <w:szCs w:val="28"/>
        </w:rPr>
      </w:pPr>
      <w:r w:rsidRPr="00520861">
        <w:rPr>
          <w:rFonts w:eastAsia="Calibri"/>
          <w:b/>
          <w:sz w:val="28"/>
          <w:szCs w:val="28"/>
          <w:lang w:eastAsia="en-US"/>
        </w:rPr>
        <w:t xml:space="preserve">6.8. Результати виявлення асоціації між поліморфізмом гена </w:t>
      </w:r>
      <w:r w:rsidRPr="00520861">
        <w:rPr>
          <w:b/>
          <w:i/>
          <w:sz w:val="28"/>
          <w:szCs w:val="28"/>
          <w:lang w:val="en-US"/>
        </w:rPr>
        <w:t>BMP</w:t>
      </w:r>
      <w:r w:rsidRPr="00520861">
        <w:rPr>
          <w:b/>
          <w:i/>
          <w:sz w:val="28"/>
          <w:szCs w:val="28"/>
        </w:rPr>
        <w:t>-7</w:t>
      </w:r>
      <w:r w:rsidRPr="00520861">
        <w:rPr>
          <w:b/>
          <w:sz w:val="28"/>
          <w:szCs w:val="28"/>
        </w:rPr>
        <w:t xml:space="preserve"> [rs72626594] і карієсом постійних зубів в осіб, народжених із </w:t>
      </w:r>
      <w:proofErr w:type="spellStart"/>
      <w:r w:rsidRPr="00520861">
        <w:rPr>
          <w:b/>
          <w:sz w:val="28"/>
          <w:szCs w:val="28"/>
        </w:rPr>
        <w:t>макросомією</w:t>
      </w:r>
      <w:proofErr w:type="spellEnd"/>
    </w:p>
    <w:p w14:paraId="460DC81A" w14:textId="77777777" w:rsidR="002E3CE8" w:rsidRPr="00520861" w:rsidRDefault="002E3CE8" w:rsidP="00292D2E">
      <w:pPr>
        <w:widowControl w:val="0"/>
        <w:spacing w:line="360" w:lineRule="auto"/>
        <w:ind w:firstLine="708"/>
        <w:jc w:val="both"/>
        <w:rPr>
          <w:b/>
          <w:sz w:val="28"/>
          <w:szCs w:val="28"/>
        </w:rPr>
      </w:pPr>
    </w:p>
    <w:p w14:paraId="19C27124" w14:textId="77777777" w:rsidR="002E3CE8" w:rsidRPr="00520861" w:rsidRDefault="002E3CE8" w:rsidP="00292D2E">
      <w:pPr>
        <w:widowControl w:val="0"/>
        <w:spacing w:line="360" w:lineRule="auto"/>
        <w:ind w:firstLine="708"/>
        <w:jc w:val="both"/>
        <w:rPr>
          <w:b/>
          <w:sz w:val="28"/>
          <w:szCs w:val="28"/>
        </w:rPr>
      </w:pPr>
      <w:r w:rsidRPr="00520861">
        <w:rPr>
          <w:rFonts w:eastAsia="Calibri"/>
          <w:sz w:val="28"/>
          <w:szCs w:val="28"/>
          <w:lang w:eastAsia="en-US"/>
        </w:rPr>
        <w:t xml:space="preserve">Аналіз генотипів поліморфного варіанта гена </w:t>
      </w:r>
      <w:r w:rsidRPr="00520861">
        <w:rPr>
          <w:rFonts w:eastAsia="Calibri"/>
          <w:i/>
          <w:sz w:val="28"/>
          <w:szCs w:val="28"/>
          <w:lang w:eastAsia="en-US"/>
        </w:rPr>
        <w:t>BMP7</w:t>
      </w:r>
      <w:r w:rsidRPr="00520861">
        <w:rPr>
          <w:rFonts w:eastAsia="Calibri"/>
          <w:sz w:val="28"/>
          <w:szCs w:val="28"/>
          <w:lang w:eastAsia="en-US"/>
        </w:rPr>
        <w:t xml:space="preserve"> в мутаційній точці rs72626594 показав, що жодного носія А алеля як в основній групі (100 осіб), так і в групі порівняння (50 осіб) виявлено не було (див. наприклад рис. 6.14). </w:t>
      </w:r>
    </w:p>
    <w:p w14:paraId="537B2C39" w14:textId="77777777" w:rsidR="002E3CE8" w:rsidRPr="00520861" w:rsidRDefault="002E3CE8" w:rsidP="00292D2E">
      <w:pPr>
        <w:widowControl w:val="0"/>
        <w:spacing w:line="360" w:lineRule="auto"/>
        <w:ind w:firstLine="709"/>
        <w:contextualSpacing/>
        <w:jc w:val="center"/>
        <w:rPr>
          <w:rFonts w:eastAsia="Calibri"/>
          <w:sz w:val="28"/>
          <w:szCs w:val="28"/>
          <w:lang w:eastAsia="en-US"/>
        </w:rPr>
      </w:pPr>
      <w:r w:rsidRPr="00520861">
        <w:rPr>
          <w:rFonts w:eastAsiaTheme="minorHAnsi"/>
          <w:noProof/>
          <w:sz w:val="28"/>
          <w:szCs w:val="28"/>
          <w:lang w:val="ru-RU"/>
        </w:rPr>
        <w:drawing>
          <wp:inline distT="0" distB="0" distL="0" distR="0" wp14:anchorId="044EF758" wp14:editId="6473AA0F">
            <wp:extent cx="4613607" cy="1230923"/>
            <wp:effectExtent l="0" t="0" r="0" b="7620"/>
            <wp:docPr id="116" name="Рисунок 116" descr="278 003    новый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78 003    новый    "/>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4972962" cy="1326800"/>
                    </a:xfrm>
                    <a:prstGeom prst="rect">
                      <a:avLst/>
                    </a:prstGeom>
                    <a:noFill/>
                    <a:ln>
                      <a:noFill/>
                    </a:ln>
                  </pic:spPr>
                </pic:pic>
              </a:graphicData>
            </a:graphic>
          </wp:inline>
        </w:drawing>
      </w:r>
    </w:p>
    <w:p w14:paraId="375C5EC0" w14:textId="77777777" w:rsidR="002E3CE8" w:rsidRPr="00520861" w:rsidRDefault="002E3CE8" w:rsidP="00292D2E">
      <w:pPr>
        <w:widowControl w:val="0"/>
        <w:spacing w:line="360" w:lineRule="auto"/>
        <w:ind w:firstLine="709"/>
        <w:contextualSpacing/>
        <w:jc w:val="center"/>
        <w:rPr>
          <w:rFonts w:eastAsia="Calibri"/>
          <w:sz w:val="28"/>
          <w:szCs w:val="28"/>
          <w:lang w:eastAsia="en-US"/>
        </w:rPr>
      </w:pPr>
      <w:r w:rsidRPr="00520861">
        <w:rPr>
          <w:rFonts w:eastAsia="Calibri"/>
          <w:sz w:val="28"/>
          <w:szCs w:val="28"/>
          <w:lang w:eastAsia="en-US"/>
        </w:rPr>
        <w:t xml:space="preserve">Рис. 6.14. </w:t>
      </w:r>
      <w:proofErr w:type="spellStart"/>
      <w:r w:rsidRPr="00520861">
        <w:rPr>
          <w:rFonts w:eastAsia="Calibri"/>
          <w:sz w:val="28"/>
          <w:szCs w:val="28"/>
          <w:lang w:eastAsia="en-US"/>
        </w:rPr>
        <w:t>Електрофореграма</w:t>
      </w:r>
      <w:proofErr w:type="spellEnd"/>
      <w:r w:rsidRPr="00520861">
        <w:rPr>
          <w:rFonts w:eastAsia="Calibri"/>
          <w:sz w:val="28"/>
          <w:szCs w:val="28"/>
          <w:lang w:eastAsia="en-US"/>
        </w:rPr>
        <w:t xml:space="preserve"> розподілення </w:t>
      </w:r>
      <w:proofErr w:type="spellStart"/>
      <w:r w:rsidRPr="00520861">
        <w:rPr>
          <w:rFonts w:eastAsia="Calibri"/>
          <w:sz w:val="28"/>
          <w:szCs w:val="28"/>
          <w:lang w:eastAsia="en-US"/>
        </w:rPr>
        <w:t>рестрикційних</w:t>
      </w:r>
      <w:proofErr w:type="spellEnd"/>
      <w:r w:rsidRPr="00520861">
        <w:rPr>
          <w:rFonts w:eastAsia="Calibri"/>
          <w:sz w:val="28"/>
          <w:szCs w:val="28"/>
          <w:lang w:eastAsia="en-US"/>
        </w:rPr>
        <w:t xml:space="preserve"> фрагментів гена </w:t>
      </w:r>
      <w:r w:rsidRPr="00520861">
        <w:rPr>
          <w:rFonts w:eastAsia="Calibri"/>
          <w:i/>
          <w:sz w:val="28"/>
          <w:szCs w:val="28"/>
          <w:lang w:eastAsia="en-US"/>
        </w:rPr>
        <w:t>BMP7</w:t>
      </w:r>
      <w:r w:rsidRPr="00520861">
        <w:rPr>
          <w:rFonts w:eastAsia="Calibri"/>
          <w:sz w:val="28"/>
          <w:szCs w:val="28"/>
          <w:lang w:eastAsia="en-US"/>
        </w:rPr>
        <w:t xml:space="preserve"> [rs72626594] у досліджених зразках, ліворуч 4 лунки – алель А, праворуч 4 лунки – алель G. У всіх 4 випадках зафіксовано генотип GG.</w:t>
      </w:r>
    </w:p>
    <w:p w14:paraId="6DABAFA2"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p>
    <w:p w14:paraId="6E7DC96B" w14:textId="77777777" w:rsidR="002E3CE8" w:rsidRPr="00520861" w:rsidRDefault="002E3CE8"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Отже, можливий вплив поліморфізму rs72626594 на частоту виникнення каріозних уражень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має обмежений характер</w:t>
      </w:r>
      <w:r w:rsidRPr="00520861">
        <w:rPr>
          <w:rFonts w:eastAsia="Calibri"/>
          <w:sz w:val="28"/>
          <w:szCs w:val="28"/>
          <w:lang w:val="ru-RU" w:eastAsia="en-US"/>
        </w:rPr>
        <w:t xml:space="preserve"> [56]</w:t>
      </w:r>
      <w:r w:rsidRPr="00520861">
        <w:rPr>
          <w:rFonts w:eastAsia="Calibri"/>
          <w:sz w:val="28"/>
          <w:szCs w:val="28"/>
          <w:lang w:eastAsia="en-US"/>
        </w:rPr>
        <w:t>.</w:t>
      </w:r>
    </w:p>
    <w:p w14:paraId="6AA4F98A" w14:textId="77777777" w:rsidR="002E3CE8" w:rsidRPr="00520861" w:rsidRDefault="002E3CE8" w:rsidP="00292D2E">
      <w:pPr>
        <w:widowControl w:val="0"/>
        <w:spacing w:line="360" w:lineRule="auto"/>
        <w:ind w:firstLine="709"/>
        <w:contextualSpacing/>
        <w:jc w:val="both"/>
        <w:rPr>
          <w:rFonts w:eastAsia="Calibri"/>
          <w:spacing w:val="-2"/>
          <w:sz w:val="28"/>
          <w:szCs w:val="28"/>
          <w:lang w:eastAsia="en-US"/>
        </w:rPr>
      </w:pPr>
      <w:r w:rsidRPr="00520861">
        <w:rPr>
          <w:rFonts w:eastAsia="Calibri"/>
          <w:spacing w:val="-2"/>
          <w:sz w:val="28"/>
          <w:szCs w:val="28"/>
          <w:lang w:eastAsia="en-US"/>
        </w:rPr>
        <w:t xml:space="preserve">Зроблена нами спроба проаналізувати отримані дані щодо деяких особливостей </w:t>
      </w:r>
      <w:r w:rsidRPr="00520861">
        <w:rPr>
          <w:rFonts w:eastAsia="Calibri"/>
          <w:spacing w:val="-2"/>
          <w:sz w:val="28"/>
          <w:szCs w:val="28"/>
          <w:lang w:eastAsia="en-US"/>
        </w:rPr>
        <w:lastRenderedPageBreak/>
        <w:t xml:space="preserve">генетичної складової формування карієсу постійних зубів в осіб, які народилися </w:t>
      </w:r>
      <w:proofErr w:type="spellStart"/>
      <w:r w:rsidRPr="00520861">
        <w:rPr>
          <w:rFonts w:eastAsia="Calibri"/>
          <w:spacing w:val="-2"/>
          <w:sz w:val="28"/>
          <w:szCs w:val="28"/>
          <w:lang w:eastAsia="en-US"/>
        </w:rPr>
        <w:t>макросомами</w:t>
      </w:r>
      <w:proofErr w:type="spellEnd"/>
      <w:r w:rsidRPr="00520861">
        <w:rPr>
          <w:rFonts w:eastAsia="Calibri"/>
          <w:spacing w:val="-2"/>
          <w:sz w:val="28"/>
          <w:szCs w:val="28"/>
          <w:lang w:eastAsia="en-US"/>
        </w:rPr>
        <w:t xml:space="preserve">, і пов’язати їх із описаними вище відомостями: низький, високий чи середній рівень інтенсивності каріозного процесу у дослідженого контингенту дала </w:t>
      </w:r>
      <w:r w:rsidRPr="00520861">
        <w:rPr>
          <w:rFonts w:eastAsia="Calibri"/>
          <w:spacing w:val="-2"/>
          <w:sz w:val="28"/>
          <w:szCs w:val="28"/>
          <w:lang w:eastAsia="en-US"/>
        </w:rPr>
        <w:br/>
        <w:t xml:space="preserve">позитивні результати. Особам, чиї параметри при народженні були вищими за норму, необхідно впроваджувати методи профілактики карієсу з урахуванням особливостей спадкової схильності до каріозних уражень та динаміки біохімічних показників </w:t>
      </w:r>
      <w:r w:rsidRPr="00520861">
        <w:rPr>
          <w:rFonts w:eastAsia="Calibri"/>
          <w:spacing w:val="-2"/>
          <w:sz w:val="28"/>
          <w:szCs w:val="28"/>
          <w:lang w:eastAsia="en-US"/>
        </w:rPr>
        <w:br/>
        <w:t>ротової рідини.</w:t>
      </w:r>
    </w:p>
    <w:p w14:paraId="56062415" w14:textId="77777777" w:rsidR="002E3CE8" w:rsidRPr="00520861" w:rsidRDefault="002E3CE8" w:rsidP="00292D2E">
      <w:pPr>
        <w:widowControl w:val="0"/>
        <w:spacing w:line="360" w:lineRule="auto"/>
        <w:ind w:firstLine="709"/>
        <w:contextualSpacing/>
        <w:jc w:val="both"/>
        <w:rPr>
          <w:rFonts w:eastAsia="Calibri"/>
          <w:b/>
          <w:sz w:val="28"/>
          <w:szCs w:val="28"/>
          <w:lang w:eastAsia="en-US"/>
        </w:rPr>
      </w:pPr>
      <w:r w:rsidRPr="00520861">
        <w:rPr>
          <w:rFonts w:eastAsia="Calibri"/>
          <w:sz w:val="28"/>
          <w:szCs w:val="28"/>
          <w:lang w:eastAsia="en-US"/>
        </w:rPr>
        <w:t>Узагальнюючи результати, викладені у цьому розділі, виділено наступні факти. Клініко-ретроспективне дослідження показало, що</w:t>
      </w:r>
      <w:r w:rsidRPr="00520861">
        <w:rPr>
          <w:rFonts w:eastAsia="Calibri"/>
          <w:i/>
          <w:sz w:val="28"/>
          <w:szCs w:val="28"/>
          <w:lang w:eastAsia="en-US"/>
        </w:rPr>
        <w:t xml:space="preserve"> </w:t>
      </w:r>
      <w:r w:rsidRPr="00520861">
        <w:rPr>
          <w:rFonts w:eastAsia="Calibri"/>
          <w:sz w:val="28"/>
          <w:szCs w:val="28"/>
          <w:lang w:eastAsia="en-US"/>
        </w:rPr>
        <w:t xml:space="preserve">більш висока ПКВ карієсу спостерігається в дітей ОГ порівняно з дітьми ГП. </w:t>
      </w:r>
    </w:p>
    <w:p w14:paraId="44A32A9F"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Дослідження </w:t>
      </w:r>
      <w:proofErr w:type="spellStart"/>
      <w:r w:rsidRPr="00520861">
        <w:rPr>
          <w:rFonts w:eastAsia="Calibri"/>
          <w:sz w:val="28"/>
          <w:szCs w:val="28"/>
          <w:lang w:eastAsia="en-US"/>
        </w:rPr>
        <w:t>карієсогенної</w:t>
      </w:r>
      <w:proofErr w:type="spellEnd"/>
      <w:r w:rsidRPr="00520861">
        <w:rPr>
          <w:rFonts w:eastAsia="Calibri"/>
          <w:sz w:val="28"/>
          <w:szCs w:val="28"/>
          <w:lang w:eastAsia="en-US"/>
        </w:rPr>
        <w:t xml:space="preserve"> ситуації у дітей, які народилися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в період тимчасового прикусу виявило, що у них фіксується вірогідно вищий показник інтенсивності карієсу тимчасових зубів, ніж у ГП. Найнижчі значення цього показника були зафіксовані у дітей, які народилися із ВУ ожирінням на фоні акселерації. У період змінного прикусу вірогідно вищі значення показників карієсу були зафіксовані у дітей із ВУ ожирінням та середньою довжиною тіла. У період постійного прикусу значення показників, що характеризують інтенсивність каріозного процесу на рівні контрольних, були зафіксовані в осіб із гармонійним ВУ розвитком. Найвищі значення показників карієсу були зафіксовані в осіб, які народилися із ВУ ожирінням. Отже, </w:t>
      </w:r>
      <w:r w:rsidRPr="00520861">
        <w:rPr>
          <w:sz w:val="28"/>
          <w:szCs w:val="28"/>
        </w:rPr>
        <w:t xml:space="preserve">прогноз стану твердих тканин зубів щодо каріозного ураження в осіб, які народилися </w:t>
      </w:r>
      <w:proofErr w:type="spellStart"/>
      <w:r w:rsidRPr="00520861">
        <w:rPr>
          <w:sz w:val="28"/>
          <w:szCs w:val="28"/>
        </w:rPr>
        <w:t>макросомами</w:t>
      </w:r>
      <w:proofErr w:type="spellEnd"/>
      <w:r w:rsidRPr="00520861">
        <w:rPr>
          <w:sz w:val="28"/>
          <w:szCs w:val="28"/>
        </w:rPr>
        <w:t xml:space="preserve">, є більш сприятливим, для осіб, які не мали ВУ ожиріння </w:t>
      </w:r>
      <w:r w:rsidRPr="00520861">
        <w:rPr>
          <w:sz w:val="28"/>
          <w:szCs w:val="28"/>
        </w:rPr>
        <w:br/>
        <w:t>(підгрупи 1 та 2), ніж для осіб, які його мали (підгрупи 3 та 4).</w:t>
      </w:r>
    </w:p>
    <w:p w14:paraId="42A6EC4E" w14:textId="77777777" w:rsidR="002E3CE8" w:rsidRPr="00520861" w:rsidRDefault="002E3CE8"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Особи ОГ мають зменшену в середньому на 1 – 4 одиниці кількість малих слинних залоз на площі</w:t>
      </w:r>
      <w:r w:rsidRPr="00520861">
        <w:rPr>
          <w:bCs/>
          <w:sz w:val="28"/>
          <w:szCs w:val="28"/>
        </w:rPr>
        <w:t xml:space="preserve"> 3,5 м</w:t>
      </w:r>
      <w:r w:rsidRPr="00520861">
        <w:rPr>
          <w:bCs/>
          <w:sz w:val="28"/>
          <w:szCs w:val="28"/>
          <w:vertAlign w:val="superscript"/>
        </w:rPr>
        <w:t>2</w:t>
      </w:r>
      <w:r w:rsidRPr="00520861">
        <w:rPr>
          <w:sz w:val="28"/>
          <w:szCs w:val="28"/>
        </w:rPr>
        <w:t>× 10</w:t>
      </w:r>
      <w:r w:rsidRPr="00520861">
        <w:rPr>
          <w:sz w:val="28"/>
          <w:szCs w:val="28"/>
          <w:vertAlign w:val="superscript"/>
        </w:rPr>
        <w:t>-4</w:t>
      </w:r>
      <w:r w:rsidRPr="00520861">
        <w:rPr>
          <w:rFonts w:eastAsia="Calibri"/>
          <w:sz w:val="28"/>
          <w:szCs w:val="28"/>
          <w:lang w:eastAsia="en-US"/>
        </w:rPr>
        <w:t xml:space="preserve">, порівняно з особами ГП. Секреція цих залоз в осіб ОГ також вірогідно в середньому на 11,4% – 22%, зменшена, порівняно із ГП. </w:t>
      </w:r>
    </w:p>
    <w:p w14:paraId="18C43E4F" w14:textId="77777777" w:rsidR="002E3CE8" w:rsidRPr="00520861" w:rsidRDefault="002E3CE8" w:rsidP="00292D2E">
      <w:pPr>
        <w:widowControl w:val="0"/>
        <w:spacing w:line="360" w:lineRule="auto"/>
        <w:ind w:firstLine="709"/>
        <w:jc w:val="both"/>
        <w:rPr>
          <w:sz w:val="28"/>
          <w:szCs w:val="28"/>
        </w:rPr>
      </w:pPr>
      <w:r w:rsidRPr="00520861">
        <w:rPr>
          <w:rFonts w:eastAsia="Calibri"/>
          <w:sz w:val="28"/>
          <w:szCs w:val="28"/>
          <w:lang w:eastAsia="en-US"/>
        </w:rPr>
        <w:t xml:space="preserve">Існує </w:t>
      </w:r>
      <w:r w:rsidRPr="00520861">
        <w:rPr>
          <w:sz w:val="28"/>
          <w:szCs w:val="28"/>
        </w:rPr>
        <w:t>взаємозв’язок між динамікою гуморальних факторів (</w:t>
      </w:r>
      <w:proofErr w:type="spellStart"/>
      <w:r w:rsidRPr="00520861">
        <w:rPr>
          <w:sz w:val="28"/>
          <w:szCs w:val="28"/>
        </w:rPr>
        <w:t>лептину</w:t>
      </w:r>
      <w:proofErr w:type="spellEnd"/>
      <w:r w:rsidRPr="00520861">
        <w:rPr>
          <w:sz w:val="28"/>
          <w:szCs w:val="28"/>
        </w:rPr>
        <w:t xml:space="preserve">, </w:t>
      </w:r>
      <w:proofErr w:type="spellStart"/>
      <w:r w:rsidRPr="00520861">
        <w:rPr>
          <w:sz w:val="28"/>
          <w:szCs w:val="28"/>
        </w:rPr>
        <w:t>адипонектину</w:t>
      </w:r>
      <w:proofErr w:type="spellEnd"/>
      <w:r w:rsidRPr="00520861">
        <w:rPr>
          <w:sz w:val="28"/>
          <w:szCs w:val="28"/>
        </w:rPr>
        <w:t xml:space="preserve">, </w:t>
      </w:r>
      <w:proofErr w:type="spellStart"/>
      <w:r w:rsidRPr="00520861">
        <w:rPr>
          <w:sz w:val="28"/>
          <w:szCs w:val="28"/>
        </w:rPr>
        <w:t>кортизолу</w:t>
      </w:r>
      <w:proofErr w:type="spellEnd"/>
      <w:r w:rsidRPr="00520861">
        <w:rPr>
          <w:sz w:val="28"/>
          <w:szCs w:val="28"/>
        </w:rPr>
        <w:t xml:space="preserve">), секреторною активністю слинних залоз (активність α-амілази), показниками </w:t>
      </w:r>
      <w:proofErr w:type="spellStart"/>
      <w:r w:rsidRPr="00520861">
        <w:rPr>
          <w:sz w:val="28"/>
          <w:szCs w:val="28"/>
        </w:rPr>
        <w:t>антиоксидантно-прооксидантного</w:t>
      </w:r>
      <w:proofErr w:type="spellEnd"/>
      <w:r w:rsidRPr="00520861">
        <w:rPr>
          <w:sz w:val="28"/>
          <w:szCs w:val="28"/>
        </w:rPr>
        <w:t xml:space="preserve"> статусу (активність каталази, СОД та вмістом ТБК-АП) та рівнями </w:t>
      </w:r>
      <w:proofErr w:type="spellStart"/>
      <w:r w:rsidRPr="00520861">
        <w:rPr>
          <w:sz w:val="28"/>
          <w:szCs w:val="28"/>
        </w:rPr>
        <w:t>прозапальних</w:t>
      </w:r>
      <w:proofErr w:type="spellEnd"/>
      <w:r w:rsidRPr="00520861">
        <w:rPr>
          <w:sz w:val="28"/>
          <w:szCs w:val="28"/>
        </w:rPr>
        <w:t xml:space="preserve"> цитокінів (ІЛ-6)</w:t>
      </w:r>
      <w:r w:rsidRPr="00520861">
        <w:rPr>
          <w:rFonts w:eastAsiaTheme="minorHAnsi"/>
          <w:sz w:val="28"/>
          <w:szCs w:val="28"/>
          <w:lang w:eastAsia="en-US"/>
        </w:rPr>
        <w:t xml:space="preserve"> визначених </w:t>
      </w:r>
      <w:r w:rsidRPr="00520861">
        <w:rPr>
          <w:sz w:val="28"/>
          <w:szCs w:val="28"/>
        </w:rPr>
        <w:t xml:space="preserve">у </w:t>
      </w:r>
      <w:r w:rsidRPr="00520861">
        <w:rPr>
          <w:sz w:val="28"/>
          <w:szCs w:val="28"/>
        </w:rPr>
        <w:br/>
        <w:t xml:space="preserve">нестимульованій ротовій рідині осіб різного віку, які народилися з </w:t>
      </w:r>
      <w:proofErr w:type="spellStart"/>
      <w:r w:rsidRPr="00520861">
        <w:rPr>
          <w:sz w:val="28"/>
          <w:szCs w:val="28"/>
        </w:rPr>
        <w:t>макросомією</w:t>
      </w:r>
      <w:proofErr w:type="spellEnd"/>
      <w:r w:rsidRPr="00520861">
        <w:rPr>
          <w:sz w:val="28"/>
          <w:szCs w:val="28"/>
        </w:rPr>
        <w:t xml:space="preserve">, та </w:t>
      </w:r>
      <w:r w:rsidRPr="00520861">
        <w:rPr>
          <w:sz w:val="28"/>
          <w:szCs w:val="28"/>
        </w:rPr>
        <w:lastRenderedPageBreak/>
        <w:t>інтенсивністю каріозного процесу в їх тимчасових і постійних зубах.</w:t>
      </w:r>
    </w:p>
    <w:p w14:paraId="3B972B99" w14:textId="77777777" w:rsidR="002E3CE8" w:rsidRPr="00520861" w:rsidRDefault="002E3CE8" w:rsidP="00292D2E">
      <w:pPr>
        <w:widowControl w:val="0"/>
        <w:spacing w:line="360" w:lineRule="auto"/>
        <w:ind w:right="-1" w:firstLine="709"/>
        <w:jc w:val="both"/>
        <w:rPr>
          <w:sz w:val="28"/>
          <w:szCs w:val="28"/>
        </w:rPr>
      </w:pPr>
      <w:proofErr w:type="spellStart"/>
      <w:r w:rsidRPr="00520861">
        <w:rPr>
          <w:rFonts w:eastAsia="Calibri"/>
          <w:sz w:val="28"/>
          <w:szCs w:val="28"/>
          <w:lang w:eastAsia="en-US"/>
        </w:rPr>
        <w:t>Однонуклеотидний</w:t>
      </w:r>
      <w:proofErr w:type="spellEnd"/>
      <w:r w:rsidRPr="00520861">
        <w:rPr>
          <w:rFonts w:eastAsia="Calibri"/>
          <w:sz w:val="28"/>
          <w:szCs w:val="28"/>
          <w:lang w:eastAsia="en-US"/>
        </w:rPr>
        <w:t xml:space="preserve"> поліморфізм у гені </w:t>
      </w:r>
      <w:proofErr w:type="spellStart"/>
      <w:r w:rsidRPr="00520861">
        <w:rPr>
          <w:rFonts w:eastAsia="Calibri"/>
          <w:sz w:val="28"/>
          <w:szCs w:val="28"/>
          <w:lang w:eastAsia="en-US"/>
        </w:rPr>
        <w:t>ароматази</w:t>
      </w:r>
      <w:proofErr w:type="spellEnd"/>
      <w:r w:rsidRPr="00520861">
        <w:rPr>
          <w:rFonts w:eastAsia="Calibri"/>
          <w:sz w:val="28"/>
          <w:szCs w:val="28"/>
          <w:lang w:eastAsia="en-US"/>
        </w:rPr>
        <w:t xml:space="preserve"> (</w:t>
      </w:r>
      <w:r w:rsidRPr="00520861">
        <w:rPr>
          <w:rFonts w:eastAsia="Calibri"/>
          <w:i/>
          <w:sz w:val="28"/>
          <w:szCs w:val="28"/>
          <w:lang w:eastAsia="en-US"/>
        </w:rPr>
        <w:t>CYP19A1:A&gt; G</w:t>
      </w:r>
      <w:r w:rsidRPr="00520861">
        <w:rPr>
          <w:rFonts w:eastAsia="Calibri"/>
          <w:sz w:val="28"/>
          <w:szCs w:val="28"/>
          <w:lang w:eastAsia="en-US"/>
        </w:rPr>
        <w:t xml:space="preserve"> [rs2414096]) може використовуватися як один із маркерів виявлення схильності до розвитку РДК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r w:rsidRPr="00520861">
        <w:rPr>
          <w:sz w:val="28"/>
          <w:szCs w:val="28"/>
        </w:rPr>
        <w:t xml:space="preserve">Він вірогідно (p=0,024) пов’язаний із </w:t>
      </w:r>
      <w:r w:rsidR="00517614" w:rsidRPr="00520861">
        <w:rPr>
          <w:sz w:val="28"/>
          <w:szCs w:val="28"/>
        </w:rPr>
        <w:br/>
      </w:r>
      <w:r w:rsidRPr="00520861">
        <w:rPr>
          <w:sz w:val="28"/>
          <w:szCs w:val="28"/>
        </w:rPr>
        <w:t>гомозиготним варіантом GG генотипу (рецесивна модель успадкування, ВШ=2,577).</w:t>
      </w:r>
    </w:p>
    <w:p w14:paraId="317070B0" w14:textId="77777777" w:rsidR="002E3CE8" w:rsidRPr="00520861" w:rsidRDefault="002E3CE8" w:rsidP="00292D2E">
      <w:pPr>
        <w:widowControl w:val="0"/>
        <w:spacing w:after="160"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таких осіб виявлена залежність інтенсивності карієсу постійних зубів від </w:t>
      </w:r>
      <w:r w:rsidRPr="00520861">
        <w:rPr>
          <w:rFonts w:eastAsia="Calibri"/>
          <w:sz w:val="28"/>
          <w:szCs w:val="28"/>
          <w:lang w:eastAsia="en-US"/>
        </w:rPr>
        <w:br/>
        <w:t xml:space="preserve">варіантів генів </w:t>
      </w:r>
      <w:r w:rsidRPr="00520861">
        <w:rPr>
          <w:rFonts w:eastAsia="Calibri"/>
          <w:i/>
          <w:sz w:val="28"/>
          <w:szCs w:val="28"/>
          <w:lang w:eastAsia="en-US"/>
        </w:rPr>
        <w:t>RANKL: C&gt;T</w:t>
      </w:r>
      <w:r w:rsidRPr="00520861">
        <w:rPr>
          <w:rFonts w:eastAsia="Calibri"/>
          <w:sz w:val="28"/>
          <w:szCs w:val="28"/>
          <w:lang w:eastAsia="en-US"/>
        </w:rPr>
        <w:t xml:space="preserve"> [rs9594738], </w:t>
      </w:r>
      <w:r w:rsidRPr="00520861">
        <w:rPr>
          <w:rFonts w:eastAsia="Calibri"/>
          <w:i/>
          <w:sz w:val="28"/>
          <w:szCs w:val="28"/>
          <w:lang w:eastAsia="en-US"/>
        </w:rPr>
        <w:t>VDR: 283A&gt;G (</w:t>
      </w:r>
      <w:proofErr w:type="spellStart"/>
      <w:r w:rsidRPr="00520861">
        <w:rPr>
          <w:rFonts w:eastAsia="Calibri"/>
          <w:i/>
          <w:sz w:val="28"/>
          <w:szCs w:val="28"/>
          <w:lang w:eastAsia="en-US"/>
        </w:rPr>
        <w:t>BsmI</w:t>
      </w:r>
      <w:proofErr w:type="spellEnd"/>
      <w:r w:rsidRPr="00520861">
        <w:rPr>
          <w:rFonts w:eastAsia="Calibri"/>
          <w:i/>
          <w:sz w:val="28"/>
          <w:szCs w:val="28"/>
          <w:lang w:eastAsia="en-US"/>
        </w:rPr>
        <w:t xml:space="preserve">) </w:t>
      </w:r>
      <w:r w:rsidRPr="00520861">
        <w:rPr>
          <w:rFonts w:eastAsia="Calibri"/>
          <w:sz w:val="28"/>
          <w:szCs w:val="28"/>
          <w:lang w:eastAsia="en-US"/>
        </w:rPr>
        <w:t xml:space="preserve">[rs1544410] </w:t>
      </w:r>
      <w:r w:rsidRPr="00520861">
        <w:rPr>
          <w:rFonts w:eastAsia="Calibri"/>
          <w:bCs/>
          <w:sz w:val="28"/>
          <w:szCs w:val="28"/>
          <w:lang w:eastAsia="en-US"/>
        </w:rPr>
        <w:t xml:space="preserve">та </w:t>
      </w:r>
      <w:r w:rsidRPr="00520861">
        <w:rPr>
          <w:rFonts w:eastAsia="Calibri"/>
          <w:bCs/>
          <w:sz w:val="28"/>
          <w:szCs w:val="28"/>
          <w:lang w:eastAsia="en-US"/>
        </w:rPr>
        <w:br/>
      </w:r>
      <w:r w:rsidRPr="00520861">
        <w:rPr>
          <w:rFonts w:eastAsia="Calibri"/>
          <w:i/>
          <w:sz w:val="28"/>
          <w:szCs w:val="28"/>
          <w:lang w:eastAsia="en-US"/>
        </w:rPr>
        <w:t>IL6: -174 G&gt;C</w:t>
      </w:r>
      <w:r w:rsidRPr="00520861">
        <w:rPr>
          <w:rFonts w:eastAsia="Calibri"/>
          <w:sz w:val="28"/>
          <w:szCs w:val="28"/>
          <w:lang w:eastAsia="en-US"/>
        </w:rPr>
        <w:t xml:space="preserve"> [rs1800795]. </w:t>
      </w:r>
    </w:p>
    <w:p w14:paraId="419FDD30" w14:textId="77777777" w:rsidR="002E3CE8" w:rsidRPr="00520861" w:rsidRDefault="002E3CE8" w:rsidP="00292D2E">
      <w:pPr>
        <w:widowControl w:val="0"/>
        <w:spacing w:line="360" w:lineRule="auto"/>
        <w:ind w:right="-1" w:firstLine="708"/>
        <w:jc w:val="both"/>
        <w:rPr>
          <w:sz w:val="28"/>
          <w:szCs w:val="28"/>
        </w:rPr>
      </w:pPr>
      <w:r w:rsidRPr="00520861">
        <w:rPr>
          <w:sz w:val="28"/>
          <w:szCs w:val="28"/>
        </w:rPr>
        <w:t xml:space="preserve">Поліморфізм за геном </w:t>
      </w:r>
      <w:r w:rsidRPr="00520861">
        <w:rPr>
          <w:i/>
          <w:sz w:val="28"/>
          <w:szCs w:val="28"/>
        </w:rPr>
        <w:t>VDR</w:t>
      </w:r>
      <w:r w:rsidRPr="00520861">
        <w:rPr>
          <w:sz w:val="28"/>
          <w:szCs w:val="28"/>
        </w:rPr>
        <w:t xml:space="preserve"> [rs1544410] – гетерозиготний AG варіант генотипу (ВШ=10,421), адитивна і </w:t>
      </w:r>
      <w:proofErr w:type="spellStart"/>
      <w:r w:rsidRPr="00520861">
        <w:rPr>
          <w:sz w:val="28"/>
          <w:szCs w:val="28"/>
        </w:rPr>
        <w:t>наддомінантна</w:t>
      </w:r>
      <w:proofErr w:type="spellEnd"/>
      <w:r w:rsidRPr="00520861">
        <w:rPr>
          <w:sz w:val="28"/>
          <w:szCs w:val="28"/>
        </w:rPr>
        <w:t xml:space="preserve"> моделі успадкування –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асоційований із зростанням ризику розвитку середньої інтенсивності карієсу постійних зубів, а поліморфізм гена </w:t>
      </w:r>
      <w:r w:rsidRPr="00520861">
        <w:rPr>
          <w:i/>
          <w:sz w:val="28"/>
          <w:szCs w:val="28"/>
        </w:rPr>
        <w:t>RANKL</w:t>
      </w:r>
      <w:r w:rsidRPr="00520861">
        <w:rPr>
          <w:sz w:val="28"/>
          <w:szCs w:val="28"/>
        </w:rPr>
        <w:t xml:space="preserve"> [rs9594738] – рецесивна (генотип TT, ВШ=0,205) і мультиплікативна (алель T, ВШ=0,321) моделі успадкування –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є </w:t>
      </w:r>
      <w:proofErr w:type="spellStart"/>
      <w:r w:rsidRPr="00520861">
        <w:rPr>
          <w:sz w:val="28"/>
          <w:szCs w:val="28"/>
        </w:rPr>
        <w:t>протективним</w:t>
      </w:r>
      <w:proofErr w:type="spellEnd"/>
      <w:r w:rsidRPr="00520861">
        <w:rPr>
          <w:sz w:val="28"/>
          <w:szCs w:val="28"/>
        </w:rPr>
        <w:t xml:space="preserve"> фактором для розвитку середньої інтенсивності карієсу в осіб, які народилися </w:t>
      </w:r>
      <w:proofErr w:type="spellStart"/>
      <w:r w:rsidRPr="00520861">
        <w:rPr>
          <w:sz w:val="28"/>
          <w:szCs w:val="28"/>
        </w:rPr>
        <w:t>макросомами</w:t>
      </w:r>
      <w:proofErr w:type="spellEnd"/>
      <w:r w:rsidRPr="00520861">
        <w:rPr>
          <w:sz w:val="28"/>
          <w:szCs w:val="28"/>
        </w:rPr>
        <w:t xml:space="preserve">. Поліморфізм гена </w:t>
      </w:r>
      <w:r w:rsidRPr="00520861">
        <w:rPr>
          <w:i/>
          <w:sz w:val="28"/>
          <w:szCs w:val="28"/>
        </w:rPr>
        <w:t>VDR</w:t>
      </w:r>
      <w:r w:rsidRPr="00520861">
        <w:rPr>
          <w:sz w:val="28"/>
          <w:szCs w:val="28"/>
        </w:rPr>
        <w:t xml:space="preserve"> [rs1544410] – адитивна, домінантна (генотип AG+GG, ВШ=8,944) і </w:t>
      </w:r>
      <w:proofErr w:type="spellStart"/>
      <w:r w:rsidRPr="00520861">
        <w:rPr>
          <w:sz w:val="28"/>
          <w:szCs w:val="28"/>
        </w:rPr>
        <w:t>наддомінантна</w:t>
      </w:r>
      <w:proofErr w:type="spellEnd"/>
      <w:r w:rsidRPr="00520861">
        <w:rPr>
          <w:sz w:val="28"/>
          <w:szCs w:val="28"/>
        </w:rPr>
        <w:t xml:space="preserve"> (генотип AG, ВШ=14,667) моделі успадкування –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асоційований із зростанням ризику розвитку високої інтенсивності карієсу постійних зубів. Поліморфізм гена </w:t>
      </w:r>
      <w:r w:rsidRPr="00520861">
        <w:rPr>
          <w:i/>
          <w:sz w:val="28"/>
          <w:szCs w:val="28"/>
        </w:rPr>
        <w:t>RANKL</w:t>
      </w:r>
      <w:r w:rsidRPr="00520861">
        <w:rPr>
          <w:sz w:val="28"/>
          <w:szCs w:val="28"/>
        </w:rPr>
        <w:t xml:space="preserve"> [rs9594738] – адитивна, рецесивна (генотип TT, ВШ=0,210) і мультиплікативна (алель T, ВШ=0,376) моделі успадкування –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є протекторним для розвитку високої інтенсивності карієсу в осіб, які народилися </w:t>
      </w:r>
      <w:proofErr w:type="spellStart"/>
      <w:r w:rsidRPr="00520861">
        <w:rPr>
          <w:sz w:val="28"/>
          <w:szCs w:val="28"/>
        </w:rPr>
        <w:t>макросомами</w:t>
      </w:r>
      <w:proofErr w:type="spellEnd"/>
      <w:r w:rsidRPr="00520861">
        <w:rPr>
          <w:sz w:val="28"/>
          <w:szCs w:val="28"/>
        </w:rPr>
        <w:t>. Виявлено вірогідний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протекторний вплив поліморфізму за геном </w:t>
      </w:r>
      <w:r w:rsidRPr="00520861">
        <w:rPr>
          <w:i/>
          <w:sz w:val="28"/>
          <w:szCs w:val="28"/>
        </w:rPr>
        <w:t xml:space="preserve">IL6 </w:t>
      </w:r>
      <w:r w:rsidRPr="00520861">
        <w:rPr>
          <w:sz w:val="28"/>
          <w:szCs w:val="28"/>
        </w:rPr>
        <w:t xml:space="preserve">[rs1800795] – рецесивна (ВШ=0,227) і мультиплікативна (ВШ=0,518) моделі успадкування – спрямований на зниження ризику розвитку високої інтенсивності карієсу постійних зубів в осіб, які народилися </w:t>
      </w:r>
      <w:proofErr w:type="spellStart"/>
      <w:r w:rsidRPr="00520861">
        <w:rPr>
          <w:sz w:val="28"/>
          <w:szCs w:val="28"/>
        </w:rPr>
        <w:t>макросомами</w:t>
      </w:r>
      <w:proofErr w:type="spellEnd"/>
      <w:r w:rsidRPr="00520861">
        <w:rPr>
          <w:sz w:val="28"/>
          <w:szCs w:val="28"/>
        </w:rPr>
        <w:t xml:space="preserve">. </w:t>
      </w:r>
    </w:p>
    <w:p w14:paraId="2CF55EB1" w14:textId="77777777" w:rsidR="002E3CE8" w:rsidRPr="00520861" w:rsidRDefault="002E3CE8" w:rsidP="00292D2E">
      <w:pPr>
        <w:widowControl w:val="0"/>
        <w:spacing w:after="160" w:line="360" w:lineRule="auto"/>
        <w:ind w:firstLine="708"/>
        <w:contextualSpacing/>
        <w:jc w:val="both"/>
        <w:rPr>
          <w:sz w:val="28"/>
          <w:szCs w:val="28"/>
        </w:rPr>
      </w:pPr>
    </w:p>
    <w:p w14:paraId="5C3E877D" w14:textId="77777777" w:rsidR="002E3CE8" w:rsidRPr="00520861" w:rsidRDefault="002E3CE8" w:rsidP="00292D2E">
      <w:pPr>
        <w:widowControl w:val="0"/>
        <w:spacing w:line="360" w:lineRule="auto"/>
        <w:ind w:firstLine="708"/>
        <w:contextualSpacing/>
        <w:jc w:val="both"/>
        <w:rPr>
          <w:sz w:val="28"/>
          <w:szCs w:val="28"/>
        </w:rPr>
      </w:pPr>
    </w:p>
    <w:p w14:paraId="65E0A26C" w14:textId="77777777" w:rsidR="00180D3E" w:rsidRPr="00520861" w:rsidRDefault="00180D3E" w:rsidP="00292D2E">
      <w:pPr>
        <w:widowControl w:val="0"/>
        <w:spacing w:line="360" w:lineRule="auto"/>
        <w:ind w:firstLine="708"/>
        <w:contextualSpacing/>
        <w:jc w:val="both"/>
        <w:rPr>
          <w:sz w:val="28"/>
          <w:szCs w:val="28"/>
        </w:rPr>
      </w:pPr>
    </w:p>
    <w:p w14:paraId="75C3E52B" w14:textId="77777777" w:rsidR="00180D3E" w:rsidRPr="00520861" w:rsidRDefault="00180D3E" w:rsidP="00292D2E">
      <w:pPr>
        <w:widowControl w:val="0"/>
        <w:spacing w:line="360" w:lineRule="auto"/>
        <w:ind w:firstLine="708"/>
        <w:contextualSpacing/>
        <w:jc w:val="both"/>
        <w:rPr>
          <w:sz w:val="28"/>
          <w:szCs w:val="28"/>
        </w:rPr>
      </w:pPr>
    </w:p>
    <w:p w14:paraId="773B9DF3" w14:textId="77777777" w:rsidR="00180D3E" w:rsidRPr="00520861" w:rsidRDefault="00D115B8" w:rsidP="00D115B8">
      <w:pPr>
        <w:widowControl w:val="0"/>
        <w:spacing w:line="360" w:lineRule="auto"/>
        <w:ind w:firstLine="708"/>
        <w:contextualSpacing/>
        <w:jc w:val="both"/>
        <w:rPr>
          <w:sz w:val="28"/>
          <w:szCs w:val="28"/>
        </w:rPr>
      </w:pPr>
      <w:r w:rsidRPr="00520861">
        <w:rPr>
          <w:sz w:val="28"/>
          <w:szCs w:val="28"/>
        </w:rPr>
        <w:br w:type="page"/>
      </w:r>
    </w:p>
    <w:p w14:paraId="452772E1" w14:textId="77777777" w:rsidR="00180D3E" w:rsidRPr="00520861" w:rsidRDefault="00180D3E" w:rsidP="00292D2E">
      <w:pPr>
        <w:widowControl w:val="0"/>
        <w:spacing w:line="360" w:lineRule="auto"/>
        <w:jc w:val="center"/>
        <w:rPr>
          <w:rFonts w:eastAsia="Calibri"/>
          <w:b/>
          <w:color w:val="000000"/>
          <w:sz w:val="28"/>
          <w:szCs w:val="28"/>
        </w:rPr>
      </w:pPr>
      <w:r w:rsidRPr="00520861">
        <w:rPr>
          <w:rFonts w:eastAsia="Calibri"/>
          <w:b/>
          <w:sz w:val="28"/>
          <w:szCs w:val="28"/>
          <w:lang w:eastAsia="en-US"/>
        </w:rPr>
        <w:lastRenderedPageBreak/>
        <w:t>РОЗДІЛ 7</w:t>
      </w:r>
    </w:p>
    <w:p w14:paraId="156F0878" w14:textId="77777777" w:rsidR="00180D3E" w:rsidRPr="00520861" w:rsidRDefault="00180D3E" w:rsidP="00292D2E">
      <w:pPr>
        <w:widowControl w:val="0"/>
        <w:spacing w:line="360" w:lineRule="auto"/>
        <w:jc w:val="center"/>
        <w:rPr>
          <w:rFonts w:eastAsia="Calibri"/>
          <w:b/>
          <w:color w:val="000000"/>
          <w:sz w:val="28"/>
          <w:szCs w:val="28"/>
        </w:rPr>
      </w:pPr>
    </w:p>
    <w:p w14:paraId="5FA49831" w14:textId="77777777" w:rsidR="00180D3E" w:rsidRPr="00520861" w:rsidRDefault="00180D3E" w:rsidP="00292D2E">
      <w:pPr>
        <w:widowControl w:val="0"/>
        <w:spacing w:line="360" w:lineRule="auto"/>
        <w:jc w:val="center"/>
        <w:rPr>
          <w:rFonts w:eastAsia="Calibri"/>
          <w:b/>
          <w:color w:val="000000"/>
          <w:sz w:val="28"/>
          <w:szCs w:val="28"/>
        </w:rPr>
      </w:pPr>
    </w:p>
    <w:p w14:paraId="486F7D45" w14:textId="77777777" w:rsidR="00180D3E" w:rsidRPr="00520861" w:rsidRDefault="00180D3E" w:rsidP="00292D2E">
      <w:pPr>
        <w:widowControl w:val="0"/>
        <w:spacing w:line="360" w:lineRule="auto"/>
        <w:ind w:firstLine="708"/>
        <w:jc w:val="center"/>
        <w:rPr>
          <w:rFonts w:eastAsia="Calibri"/>
          <w:b/>
          <w:sz w:val="28"/>
          <w:szCs w:val="28"/>
          <w:lang w:eastAsia="en-US"/>
        </w:rPr>
      </w:pPr>
      <w:r w:rsidRPr="00520861">
        <w:rPr>
          <w:rFonts w:eastAsia="Calibri"/>
          <w:b/>
          <w:sz w:val="28"/>
          <w:szCs w:val="28"/>
          <w:lang w:eastAsia="en-US"/>
        </w:rPr>
        <w:t>ОСОБЛИВОСТІ ДІАГНОСТИКИ ТА ПРОГНОЗУВАННЯ СТАНУ ТКАНИН ПАРОДОНТА В ОСІБ РІЗНОГО ВІКУ ПОПУЛЯЦІЇ ХАРКІВСЬКОЇ ОБЛАСТІ ТА ПРИЛЕГЛИХ (ДОНЕЦЬКОЇ, ЛУГАНСЬКОЇ) ОБЛАСТЕЙ, ЯКІ НАРОДИЛИСЯ З МАКРОСОМІЄЮ</w:t>
      </w:r>
    </w:p>
    <w:p w14:paraId="7825A85D" w14:textId="77777777" w:rsidR="00180D3E" w:rsidRPr="00520861" w:rsidRDefault="00180D3E" w:rsidP="00292D2E">
      <w:pPr>
        <w:widowControl w:val="0"/>
        <w:spacing w:line="360" w:lineRule="auto"/>
        <w:ind w:firstLine="708"/>
        <w:jc w:val="center"/>
        <w:rPr>
          <w:rFonts w:eastAsia="Calibri"/>
          <w:b/>
          <w:sz w:val="28"/>
          <w:szCs w:val="28"/>
          <w:lang w:eastAsia="en-US"/>
        </w:rPr>
      </w:pPr>
    </w:p>
    <w:p w14:paraId="57B8F1FE" w14:textId="77777777" w:rsidR="00180D3E" w:rsidRPr="00520861" w:rsidRDefault="00180D3E" w:rsidP="00292D2E">
      <w:pPr>
        <w:widowControl w:val="0"/>
        <w:spacing w:line="360" w:lineRule="auto"/>
        <w:ind w:firstLine="709"/>
        <w:jc w:val="both"/>
        <w:rPr>
          <w:rFonts w:eastAsia="Calibri"/>
          <w:b/>
          <w:sz w:val="28"/>
          <w:szCs w:val="28"/>
          <w:lang w:eastAsia="en-US"/>
        </w:rPr>
      </w:pPr>
      <w:r w:rsidRPr="00520861">
        <w:rPr>
          <w:rFonts w:eastAsia="Calibri"/>
          <w:b/>
          <w:sz w:val="28"/>
          <w:szCs w:val="28"/>
          <w:lang w:eastAsia="en-US"/>
        </w:rPr>
        <w:t xml:space="preserve">7.1. Результати вивчення частоти захворюваності на хронічний </w:t>
      </w:r>
      <w:r w:rsidRPr="00520861">
        <w:rPr>
          <w:rFonts w:eastAsia="Calibri"/>
          <w:b/>
          <w:sz w:val="28"/>
          <w:szCs w:val="28"/>
          <w:lang w:eastAsia="en-US"/>
        </w:rPr>
        <w:br/>
        <w:t xml:space="preserve">катаральний гінгівіт в період тимчасового прикусу (ВП-ІІІ) у дітей, які </w:t>
      </w:r>
      <w:r w:rsidRPr="00520861">
        <w:rPr>
          <w:rFonts w:eastAsia="Calibri"/>
          <w:b/>
          <w:sz w:val="28"/>
          <w:szCs w:val="28"/>
          <w:lang w:eastAsia="en-US"/>
        </w:rPr>
        <w:br/>
        <w:t xml:space="preserve">народилися </w:t>
      </w:r>
      <w:proofErr w:type="spellStart"/>
      <w:r w:rsidRPr="00520861">
        <w:rPr>
          <w:rFonts w:eastAsia="Calibri"/>
          <w:b/>
          <w:sz w:val="28"/>
          <w:szCs w:val="28"/>
          <w:lang w:eastAsia="en-US"/>
        </w:rPr>
        <w:t>макросомами</w:t>
      </w:r>
      <w:proofErr w:type="spellEnd"/>
      <w:r w:rsidRPr="00520861">
        <w:rPr>
          <w:rFonts w:eastAsia="Calibri"/>
          <w:b/>
          <w:sz w:val="28"/>
          <w:szCs w:val="28"/>
          <w:lang w:eastAsia="en-US"/>
        </w:rPr>
        <w:t xml:space="preserve"> </w:t>
      </w:r>
    </w:p>
    <w:p w14:paraId="6D288100" w14:textId="77777777" w:rsidR="00180D3E" w:rsidRPr="00520861" w:rsidRDefault="00180D3E" w:rsidP="00292D2E">
      <w:pPr>
        <w:widowControl w:val="0"/>
        <w:spacing w:line="360" w:lineRule="auto"/>
        <w:ind w:firstLine="709"/>
        <w:jc w:val="both"/>
        <w:rPr>
          <w:rFonts w:eastAsia="Calibri"/>
          <w:sz w:val="28"/>
          <w:szCs w:val="28"/>
          <w:lang w:eastAsia="en-US"/>
        </w:rPr>
      </w:pPr>
    </w:p>
    <w:p w14:paraId="45E9D423" w14:textId="77777777" w:rsidR="00180D3E" w:rsidRPr="00520861" w:rsidRDefault="00180D3E" w:rsidP="00292D2E">
      <w:pPr>
        <w:widowControl w:val="0"/>
        <w:pBdr>
          <w:top w:val="nil"/>
          <w:left w:val="nil"/>
          <w:bottom w:val="nil"/>
          <w:right w:val="nil"/>
          <w:between w:val="nil"/>
        </w:pBdr>
        <w:spacing w:line="360" w:lineRule="auto"/>
        <w:ind w:firstLine="720"/>
        <w:jc w:val="both"/>
        <w:rPr>
          <w:rFonts w:eastAsia="Calibri"/>
          <w:sz w:val="28"/>
          <w:szCs w:val="28"/>
          <w:lang w:eastAsia="en-US"/>
        </w:rPr>
      </w:pPr>
      <w:r w:rsidRPr="00520861">
        <w:rPr>
          <w:rFonts w:eastAsia="Calibri"/>
          <w:sz w:val="28"/>
          <w:szCs w:val="28"/>
          <w:lang w:eastAsia="en-US"/>
        </w:rPr>
        <w:t>Виявилося, що в період тимчасового прикусу 26 дітей ОГ (або 65,0</w:t>
      </w:r>
      <w:r w:rsidR="00611A5B" w:rsidRPr="00520861">
        <w:rPr>
          <w:rFonts w:eastAsia="Calibri"/>
          <w:sz w:val="28"/>
          <w:szCs w:val="28"/>
          <w:lang w:eastAsia="en-US"/>
        </w:rPr>
        <w:t>%</w:t>
      </w:r>
      <w:r w:rsidRPr="00520861">
        <w:rPr>
          <w:rFonts w:eastAsia="Calibri"/>
          <w:sz w:val="28"/>
          <w:szCs w:val="28"/>
          <w:lang w:eastAsia="en-US"/>
        </w:rPr>
        <w:t>; ДІ: 50,9</w:t>
      </w:r>
      <w:r w:rsidR="00611A5B" w:rsidRPr="00520861">
        <w:rPr>
          <w:rFonts w:eastAsia="Calibri"/>
          <w:sz w:val="28"/>
          <w:szCs w:val="28"/>
          <w:lang w:eastAsia="en-US"/>
        </w:rPr>
        <w:t>%</w:t>
      </w:r>
      <w:r w:rsidRPr="00520861">
        <w:rPr>
          <w:rFonts w:eastAsia="Calibri"/>
          <w:sz w:val="28"/>
          <w:szCs w:val="28"/>
          <w:lang w:eastAsia="en-US"/>
        </w:rPr>
        <w:t xml:space="preserve"> – 77,3</w:t>
      </w:r>
      <w:r w:rsidR="00611A5B" w:rsidRPr="00520861">
        <w:rPr>
          <w:rFonts w:eastAsia="Calibri"/>
          <w:sz w:val="28"/>
          <w:szCs w:val="28"/>
          <w:lang w:eastAsia="en-US"/>
        </w:rPr>
        <w:t>%</w:t>
      </w:r>
      <w:r w:rsidRPr="00520861">
        <w:rPr>
          <w:rFonts w:eastAsia="Calibri"/>
          <w:sz w:val="28"/>
          <w:szCs w:val="28"/>
          <w:lang w:eastAsia="en-US"/>
        </w:rPr>
        <w:t>) проти 6 дітей (або 46,2</w:t>
      </w:r>
      <w:r w:rsidR="00611A5B" w:rsidRPr="00520861">
        <w:rPr>
          <w:rFonts w:eastAsia="Calibri"/>
          <w:sz w:val="28"/>
          <w:szCs w:val="28"/>
          <w:lang w:eastAsia="en-US"/>
        </w:rPr>
        <w:t>%</w:t>
      </w:r>
      <w:r w:rsidRPr="00520861">
        <w:rPr>
          <w:rFonts w:eastAsia="Calibri"/>
          <w:sz w:val="28"/>
          <w:szCs w:val="28"/>
          <w:lang w:eastAsia="en-US"/>
        </w:rPr>
        <w:t>; ДІ: 25,1</w:t>
      </w:r>
      <w:r w:rsidR="00611A5B" w:rsidRPr="00520861">
        <w:rPr>
          <w:rFonts w:eastAsia="Calibri"/>
          <w:sz w:val="28"/>
          <w:szCs w:val="28"/>
          <w:lang w:eastAsia="en-US"/>
        </w:rPr>
        <w:t>%</w:t>
      </w:r>
      <w:r w:rsidRPr="00520861">
        <w:rPr>
          <w:rFonts w:eastAsia="Calibri"/>
          <w:sz w:val="28"/>
          <w:szCs w:val="28"/>
          <w:lang w:eastAsia="en-US"/>
        </w:rPr>
        <w:t xml:space="preserve"> – 68,4</w:t>
      </w:r>
      <w:r w:rsidR="00611A5B" w:rsidRPr="00520861">
        <w:rPr>
          <w:rFonts w:eastAsia="Calibri"/>
          <w:sz w:val="28"/>
          <w:szCs w:val="28"/>
          <w:lang w:eastAsia="en-US"/>
        </w:rPr>
        <w:t>%</w:t>
      </w:r>
      <w:r w:rsidRPr="00520861">
        <w:rPr>
          <w:rFonts w:eastAsia="Calibri"/>
          <w:sz w:val="28"/>
          <w:szCs w:val="28"/>
          <w:lang w:eastAsia="en-US"/>
        </w:rPr>
        <w:t xml:space="preserve">) ГП, мали хронічний катаральний гінгівіт (рис. 7.1) легкого чи середнього ступеня. Аналіз за підгрупами не проводився через їх </w:t>
      </w:r>
      <w:proofErr w:type="spellStart"/>
      <w:r w:rsidRPr="00520861">
        <w:rPr>
          <w:rFonts w:eastAsia="Calibri"/>
          <w:sz w:val="28"/>
          <w:szCs w:val="28"/>
          <w:lang w:eastAsia="en-US"/>
        </w:rPr>
        <w:t>нечисельність</w:t>
      </w:r>
      <w:proofErr w:type="spellEnd"/>
      <w:r w:rsidRPr="00520861">
        <w:rPr>
          <w:rFonts w:eastAsia="Calibri"/>
          <w:sz w:val="28"/>
          <w:szCs w:val="28"/>
          <w:lang w:eastAsia="en-US"/>
        </w:rPr>
        <w:t xml:space="preserve">. </w:t>
      </w:r>
    </w:p>
    <w:p w14:paraId="367C155D" w14:textId="77777777" w:rsidR="00180D3E" w:rsidRPr="00520861" w:rsidRDefault="00180D3E" w:rsidP="00292D2E">
      <w:pPr>
        <w:widowControl w:val="0"/>
        <w:spacing w:line="360" w:lineRule="auto"/>
        <w:ind w:firstLine="720"/>
        <w:jc w:val="both"/>
        <w:rPr>
          <w:sz w:val="28"/>
          <w:szCs w:val="28"/>
        </w:rPr>
      </w:pPr>
      <w:r w:rsidRPr="00520861">
        <w:rPr>
          <w:sz w:val="28"/>
          <w:szCs w:val="28"/>
        </w:rPr>
        <w:t>У дітей ВП</w:t>
      </w:r>
      <w:r w:rsidRPr="00520861">
        <w:rPr>
          <w:b/>
          <w:sz w:val="28"/>
          <w:szCs w:val="28"/>
        </w:rPr>
        <w:t>-</w:t>
      </w:r>
      <w:r w:rsidRPr="00520861">
        <w:rPr>
          <w:sz w:val="28"/>
          <w:szCs w:val="28"/>
        </w:rPr>
        <w:t xml:space="preserve">ІІІ вірогідна різниця між ГП і ОГ чи окремими підгрупами виявлена не була ні для індексу Федорова – </w:t>
      </w:r>
      <w:proofErr w:type="spellStart"/>
      <w:r w:rsidRPr="00520861">
        <w:rPr>
          <w:sz w:val="28"/>
          <w:szCs w:val="28"/>
        </w:rPr>
        <w:t>Володкіної</w:t>
      </w:r>
      <w:proofErr w:type="spellEnd"/>
      <w:r w:rsidRPr="00520861">
        <w:rPr>
          <w:sz w:val="28"/>
          <w:szCs w:val="28"/>
        </w:rPr>
        <w:t>, ні для індексу РМА (</w:t>
      </w:r>
      <w:proofErr w:type="spellStart"/>
      <w:r w:rsidRPr="00520861">
        <w:rPr>
          <w:sz w:val="28"/>
          <w:szCs w:val="28"/>
        </w:rPr>
        <w:t>табл</w:t>
      </w:r>
      <w:proofErr w:type="spellEnd"/>
      <w:r w:rsidRPr="00520861">
        <w:rPr>
          <w:sz w:val="28"/>
          <w:szCs w:val="28"/>
        </w:rPr>
        <w:t xml:space="preserve"> 7.1).</w:t>
      </w:r>
    </w:p>
    <w:p w14:paraId="514C51AC" w14:textId="77777777" w:rsidR="00180D3E" w:rsidRPr="00520861" w:rsidRDefault="00180D3E" w:rsidP="00292D2E">
      <w:pPr>
        <w:widowControl w:val="0"/>
        <w:pBdr>
          <w:top w:val="nil"/>
          <w:left w:val="nil"/>
          <w:bottom w:val="nil"/>
          <w:right w:val="nil"/>
          <w:between w:val="nil"/>
        </w:pBdr>
        <w:spacing w:line="360" w:lineRule="auto"/>
        <w:jc w:val="center"/>
        <w:rPr>
          <w:rFonts w:eastAsia="Calibri"/>
          <w:b/>
          <w:sz w:val="28"/>
          <w:szCs w:val="28"/>
          <w:lang w:eastAsia="en-US"/>
        </w:rPr>
      </w:pPr>
      <w:r w:rsidRPr="00520861">
        <w:rPr>
          <w:b/>
          <w:noProof/>
          <w:sz w:val="28"/>
          <w:szCs w:val="28"/>
          <w:lang w:val="ru-RU"/>
        </w:rPr>
        <w:drawing>
          <wp:inline distT="0" distB="0" distL="0" distR="0" wp14:anchorId="444FE48A" wp14:editId="47FF499D">
            <wp:extent cx="3366000" cy="2520000"/>
            <wp:effectExtent l="0" t="0" r="6350" b="0"/>
            <wp:docPr id="119" name="Рисунок 17" descr="IMG_1657 нов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IMG_1657 нов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366000" cy="2520000"/>
                    </a:xfrm>
                    <a:prstGeom prst="rect">
                      <a:avLst/>
                    </a:prstGeom>
                    <a:noFill/>
                    <a:ln>
                      <a:noFill/>
                    </a:ln>
                  </pic:spPr>
                </pic:pic>
              </a:graphicData>
            </a:graphic>
          </wp:inline>
        </w:drawing>
      </w:r>
    </w:p>
    <w:p w14:paraId="77E618DC" w14:textId="77777777" w:rsidR="00180D3E" w:rsidRPr="00520861" w:rsidRDefault="00180D3E" w:rsidP="00292D2E">
      <w:pPr>
        <w:widowControl w:val="0"/>
        <w:spacing w:line="360" w:lineRule="auto"/>
        <w:ind w:right="48" w:firstLine="709"/>
        <w:contextualSpacing/>
        <w:jc w:val="center"/>
        <w:rPr>
          <w:bCs/>
          <w:iCs/>
          <w:sz w:val="28"/>
          <w:szCs w:val="28"/>
        </w:rPr>
      </w:pPr>
      <w:r w:rsidRPr="00520861">
        <w:rPr>
          <w:sz w:val="28"/>
          <w:szCs w:val="28"/>
        </w:rPr>
        <w:t xml:space="preserve">Рис. 7.1. </w:t>
      </w:r>
      <w:r w:rsidRPr="00520861">
        <w:rPr>
          <w:bCs/>
          <w:iCs/>
          <w:sz w:val="28"/>
          <w:szCs w:val="28"/>
        </w:rPr>
        <w:t>Фото фронтальної ділянки ротової порожнини дитини Х. (хлопчик) у віці трьох років, амб. карта № 150106, підгрупа 1</w:t>
      </w:r>
      <w:r w:rsidRPr="00520861">
        <w:rPr>
          <w:bCs/>
          <w:i/>
          <w:iCs/>
          <w:sz w:val="28"/>
          <w:szCs w:val="28"/>
        </w:rPr>
        <w:t>.</w:t>
      </w:r>
      <w:r w:rsidRPr="00520861">
        <w:rPr>
          <w:bCs/>
          <w:iCs/>
          <w:sz w:val="28"/>
          <w:szCs w:val="28"/>
        </w:rPr>
        <w:t xml:space="preserve"> Циркулярний карієс 51, 52, 61, 62 зубів. Хронічний катаральний гінгівіт. </w:t>
      </w:r>
      <w:proofErr w:type="spellStart"/>
      <w:r w:rsidRPr="00520861">
        <w:rPr>
          <w:bCs/>
          <w:iCs/>
          <w:sz w:val="28"/>
          <w:szCs w:val="28"/>
        </w:rPr>
        <w:t>Гіпопластично</w:t>
      </w:r>
      <w:proofErr w:type="spellEnd"/>
      <w:r w:rsidRPr="00520861">
        <w:rPr>
          <w:bCs/>
          <w:iCs/>
          <w:sz w:val="28"/>
          <w:szCs w:val="28"/>
        </w:rPr>
        <w:t xml:space="preserve"> змінена форма 51, 52, 61, 62 </w:t>
      </w:r>
      <w:r w:rsidRPr="00520861">
        <w:rPr>
          <w:bCs/>
          <w:iCs/>
          <w:sz w:val="28"/>
          <w:szCs w:val="28"/>
        </w:rPr>
        <w:lastRenderedPageBreak/>
        <w:t xml:space="preserve">зубів, IІ вид вуздечки верхньої губи (за класифікацією </w:t>
      </w:r>
      <w:proofErr w:type="spellStart"/>
      <w:r w:rsidRPr="00520861">
        <w:rPr>
          <w:bCs/>
          <w:iCs/>
          <w:sz w:val="28"/>
          <w:szCs w:val="28"/>
        </w:rPr>
        <w:t>Хорошилкіної</w:t>
      </w:r>
      <w:proofErr w:type="spellEnd"/>
      <w:r w:rsidRPr="00520861">
        <w:rPr>
          <w:bCs/>
          <w:iCs/>
          <w:sz w:val="28"/>
          <w:szCs w:val="28"/>
        </w:rPr>
        <w:t xml:space="preserve"> Ф.Я.).</w:t>
      </w:r>
    </w:p>
    <w:p w14:paraId="5154A6E8" w14:textId="77777777" w:rsidR="00180D3E" w:rsidRPr="00520861" w:rsidRDefault="00180D3E" w:rsidP="00292D2E">
      <w:pPr>
        <w:widowControl w:val="0"/>
        <w:pBdr>
          <w:top w:val="nil"/>
          <w:left w:val="nil"/>
          <w:bottom w:val="nil"/>
          <w:right w:val="nil"/>
          <w:between w:val="nil"/>
        </w:pBdr>
        <w:spacing w:line="360" w:lineRule="auto"/>
        <w:ind w:firstLine="720"/>
        <w:jc w:val="right"/>
        <w:rPr>
          <w:rFonts w:eastAsia="Calibri"/>
          <w:i/>
          <w:sz w:val="28"/>
          <w:szCs w:val="28"/>
          <w:lang w:eastAsia="en-US"/>
        </w:rPr>
      </w:pPr>
      <w:r w:rsidRPr="00520861">
        <w:rPr>
          <w:rFonts w:eastAsia="Calibri"/>
          <w:i/>
          <w:sz w:val="28"/>
          <w:szCs w:val="28"/>
          <w:lang w:eastAsia="en-US"/>
        </w:rPr>
        <w:t>Таблиця.7.1</w:t>
      </w:r>
    </w:p>
    <w:p w14:paraId="3793FD34" w14:textId="77777777" w:rsidR="00180D3E" w:rsidRPr="00520861" w:rsidRDefault="00180D3E" w:rsidP="00292D2E">
      <w:pPr>
        <w:widowControl w:val="0"/>
        <w:spacing w:line="360" w:lineRule="auto"/>
        <w:ind w:right="48" w:firstLine="720"/>
        <w:contextualSpacing/>
        <w:jc w:val="center"/>
        <w:rPr>
          <w:rFonts w:eastAsia="Calibri"/>
          <w:b/>
          <w:color w:val="000000"/>
          <w:sz w:val="28"/>
          <w:szCs w:val="28"/>
        </w:rPr>
      </w:pPr>
      <w:r w:rsidRPr="00520861">
        <w:rPr>
          <w:rFonts w:eastAsia="Calibri"/>
          <w:b/>
          <w:sz w:val="28"/>
          <w:szCs w:val="28"/>
          <w:lang w:eastAsia="en-US"/>
        </w:rPr>
        <w:t xml:space="preserve">Індексне оцінювання гігієнічного стану порожнини рота дітей ОГ і ГП </w:t>
      </w:r>
      <w:r w:rsidRPr="00520861">
        <w:rPr>
          <w:rFonts w:eastAsia="Calibri"/>
          <w:b/>
          <w:sz w:val="28"/>
          <w:szCs w:val="28"/>
          <w:lang w:eastAsia="en-US"/>
        </w:rPr>
        <w:br/>
        <w:t xml:space="preserve">у ВП-II та ВП-ІІІ: індекс Федорова– </w:t>
      </w:r>
      <w:proofErr w:type="spellStart"/>
      <w:r w:rsidRPr="00520861">
        <w:rPr>
          <w:rFonts w:eastAsia="Calibri"/>
          <w:b/>
          <w:sz w:val="28"/>
          <w:szCs w:val="28"/>
          <w:lang w:eastAsia="en-US"/>
        </w:rPr>
        <w:t>Володкіної</w:t>
      </w:r>
      <w:proofErr w:type="spellEnd"/>
      <w:r w:rsidRPr="00520861">
        <w:rPr>
          <w:rFonts w:eastAsia="Calibri"/>
          <w:b/>
          <w:sz w:val="28"/>
          <w:szCs w:val="28"/>
          <w:lang w:eastAsia="en-US"/>
        </w:rPr>
        <w:t xml:space="preserve"> (ГІ), </w:t>
      </w:r>
      <w:proofErr w:type="spellStart"/>
      <w:r w:rsidRPr="00520861">
        <w:rPr>
          <w:rFonts w:eastAsia="Calibri"/>
          <w:b/>
          <w:sz w:val="28"/>
          <w:szCs w:val="28"/>
          <w:lang w:eastAsia="en-US"/>
        </w:rPr>
        <w:t>папілярно-маргінально</w:t>
      </w:r>
      <w:proofErr w:type="spellEnd"/>
      <w:r w:rsidRPr="00520861">
        <w:rPr>
          <w:rFonts w:eastAsia="Calibri"/>
          <w:b/>
          <w:sz w:val="28"/>
          <w:szCs w:val="28"/>
          <w:lang w:eastAsia="en-US"/>
        </w:rPr>
        <w:t xml:space="preserve"> альвеолярний індекс (</w:t>
      </w:r>
      <w:r w:rsidRPr="00520861">
        <w:rPr>
          <w:rFonts w:eastAsia="Calibri"/>
          <w:b/>
          <w:color w:val="000000"/>
          <w:sz w:val="28"/>
          <w:szCs w:val="28"/>
          <w:lang w:eastAsia="en-US"/>
        </w:rPr>
        <w:t>РМА</w:t>
      </w:r>
      <w:r w:rsidRPr="00520861">
        <w:rPr>
          <w:rFonts w:eastAsia="Calibri"/>
          <w:b/>
          <w:sz w:val="28"/>
          <w:szCs w:val="28"/>
          <w:lang w:eastAsia="en-US"/>
        </w:rPr>
        <w:t xml:space="preserve">) в модифікації </w:t>
      </w:r>
      <w:proofErr w:type="spellStart"/>
      <w:r w:rsidRPr="00520861">
        <w:rPr>
          <w:rFonts w:eastAsia="Calibri"/>
          <w:b/>
          <w:sz w:val="28"/>
          <w:szCs w:val="28"/>
          <w:lang w:eastAsia="en-US"/>
        </w:rPr>
        <w:t>Parma</w:t>
      </w:r>
      <w:proofErr w:type="spellEnd"/>
    </w:p>
    <w:tbl>
      <w:tblPr>
        <w:tblW w:w="99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851"/>
        <w:gridCol w:w="1502"/>
        <w:gridCol w:w="1502"/>
        <w:gridCol w:w="1503"/>
        <w:gridCol w:w="1502"/>
        <w:gridCol w:w="1503"/>
      </w:tblGrid>
      <w:tr w:rsidR="00180D3E" w:rsidRPr="00520861" w14:paraId="14220422" w14:textId="77777777" w:rsidTr="00292D2E">
        <w:trPr>
          <w:jc w:val="center"/>
        </w:trPr>
        <w:tc>
          <w:tcPr>
            <w:tcW w:w="1559" w:type="dxa"/>
            <w:tcBorders>
              <w:top w:val="single" w:sz="4" w:space="0" w:color="auto"/>
              <w:left w:val="single" w:sz="4" w:space="0" w:color="auto"/>
              <w:bottom w:val="single" w:sz="4" w:space="0" w:color="auto"/>
              <w:right w:val="single" w:sz="4" w:space="0" w:color="auto"/>
            </w:tcBorders>
            <w:shd w:val="clear" w:color="auto" w:fill="auto"/>
          </w:tcPr>
          <w:p w14:paraId="43659573" w14:textId="77777777" w:rsidR="00180D3E" w:rsidRPr="00520861" w:rsidRDefault="00180D3E" w:rsidP="00292D2E">
            <w:pPr>
              <w:widowControl w:val="0"/>
              <w:pBdr>
                <w:top w:val="nil"/>
                <w:left w:val="nil"/>
                <w:bottom w:val="nil"/>
                <w:right w:val="nil"/>
                <w:between w:val="nil"/>
              </w:pBdr>
              <w:spacing w:line="360" w:lineRule="auto"/>
              <w:rPr>
                <w:color w:val="000000"/>
                <w:sz w:val="28"/>
                <w:szCs w:val="28"/>
              </w:rPr>
            </w:pPr>
            <w:r w:rsidRPr="00520861">
              <w:rPr>
                <w:color w:val="000000"/>
                <w:sz w:val="28"/>
                <w:szCs w:val="28"/>
              </w:rPr>
              <w:t xml:space="preserve">Група, </w:t>
            </w:r>
          </w:p>
          <w:p w14:paraId="2B232349" w14:textId="77777777" w:rsidR="00180D3E" w:rsidRPr="00520861" w:rsidRDefault="00180D3E" w:rsidP="00292D2E">
            <w:pPr>
              <w:widowControl w:val="0"/>
              <w:pBdr>
                <w:top w:val="nil"/>
                <w:left w:val="nil"/>
                <w:bottom w:val="nil"/>
                <w:right w:val="nil"/>
                <w:between w:val="nil"/>
              </w:pBdr>
              <w:spacing w:line="360" w:lineRule="auto"/>
              <w:rPr>
                <w:color w:val="000000"/>
                <w:sz w:val="28"/>
                <w:szCs w:val="28"/>
              </w:rPr>
            </w:pPr>
            <w:r w:rsidRPr="00520861">
              <w:rPr>
                <w:color w:val="000000"/>
                <w:sz w:val="28"/>
                <w:szCs w:val="28"/>
              </w:rPr>
              <w:t>підгрупа</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E0D7E6F"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color w:val="000000"/>
                <w:sz w:val="28"/>
                <w:szCs w:val="28"/>
              </w:rPr>
              <w:t>ГП</w:t>
            </w:r>
          </w:p>
        </w:tc>
        <w:tc>
          <w:tcPr>
            <w:tcW w:w="1502" w:type="dxa"/>
            <w:tcBorders>
              <w:top w:val="single" w:sz="4" w:space="0" w:color="auto"/>
              <w:left w:val="single" w:sz="4" w:space="0" w:color="auto"/>
              <w:bottom w:val="single" w:sz="4" w:space="0" w:color="auto"/>
              <w:right w:val="single" w:sz="4" w:space="0" w:color="auto"/>
            </w:tcBorders>
            <w:shd w:val="clear" w:color="auto" w:fill="auto"/>
          </w:tcPr>
          <w:p w14:paraId="66B85D23"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color w:val="000000"/>
                <w:sz w:val="28"/>
                <w:szCs w:val="28"/>
              </w:rPr>
              <w:t>ОГ</w:t>
            </w:r>
          </w:p>
        </w:tc>
        <w:tc>
          <w:tcPr>
            <w:tcW w:w="1502" w:type="dxa"/>
          </w:tcPr>
          <w:p w14:paraId="49D9E872"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47B74A5C"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1</w:t>
            </w:r>
          </w:p>
        </w:tc>
        <w:tc>
          <w:tcPr>
            <w:tcW w:w="1503" w:type="dxa"/>
          </w:tcPr>
          <w:p w14:paraId="5DAC894E"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3F1C6607"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2</w:t>
            </w:r>
          </w:p>
        </w:tc>
        <w:tc>
          <w:tcPr>
            <w:tcW w:w="1502" w:type="dxa"/>
          </w:tcPr>
          <w:p w14:paraId="3F82FB93"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1EFA18DC"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3</w:t>
            </w:r>
          </w:p>
        </w:tc>
        <w:tc>
          <w:tcPr>
            <w:tcW w:w="1503" w:type="dxa"/>
          </w:tcPr>
          <w:p w14:paraId="7B987D52"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240CA4FB"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4</w:t>
            </w:r>
          </w:p>
        </w:tc>
      </w:tr>
      <w:tr w:rsidR="00180D3E" w:rsidRPr="00520861" w14:paraId="705A3949" w14:textId="77777777" w:rsidTr="00292D2E">
        <w:trPr>
          <w:jc w:val="center"/>
        </w:trPr>
        <w:tc>
          <w:tcPr>
            <w:tcW w:w="1559" w:type="dxa"/>
            <w:tcBorders>
              <w:top w:val="single" w:sz="4" w:space="0" w:color="auto"/>
              <w:left w:val="single" w:sz="4" w:space="0" w:color="auto"/>
              <w:bottom w:val="single" w:sz="4" w:space="0" w:color="auto"/>
              <w:right w:val="single" w:sz="4" w:space="0" w:color="auto"/>
            </w:tcBorders>
            <w:shd w:val="clear" w:color="auto" w:fill="auto"/>
          </w:tcPr>
          <w:p w14:paraId="780542BF" w14:textId="77777777" w:rsidR="00180D3E" w:rsidRPr="00520861" w:rsidRDefault="00180D3E" w:rsidP="00292D2E">
            <w:pPr>
              <w:widowControl w:val="0"/>
              <w:pBdr>
                <w:top w:val="nil"/>
                <w:left w:val="nil"/>
                <w:bottom w:val="nil"/>
                <w:right w:val="nil"/>
                <w:between w:val="nil"/>
              </w:pBdr>
              <w:spacing w:line="360" w:lineRule="auto"/>
              <w:ind w:right="-105"/>
              <w:jc w:val="both"/>
              <w:rPr>
                <w:rFonts w:eastAsia="Calibri"/>
                <w:color w:val="000000"/>
                <w:sz w:val="28"/>
                <w:szCs w:val="28"/>
                <w:lang w:eastAsia="en-US"/>
              </w:rPr>
            </w:pPr>
            <w:r w:rsidRPr="00520861">
              <w:rPr>
                <w:rFonts w:eastAsia="Calibri"/>
                <w:color w:val="000000"/>
                <w:sz w:val="28"/>
                <w:szCs w:val="28"/>
                <w:lang w:val="ru-RU" w:eastAsia="en-US"/>
              </w:rPr>
              <w:t>Г</w:t>
            </w:r>
            <w:r w:rsidRPr="00520861">
              <w:rPr>
                <w:rFonts w:eastAsia="Calibri"/>
                <w:color w:val="000000"/>
                <w:sz w:val="28"/>
                <w:szCs w:val="28"/>
                <w:lang w:eastAsia="en-US"/>
              </w:rPr>
              <w:t>І, бали</w:t>
            </w:r>
          </w:p>
        </w:tc>
        <w:tc>
          <w:tcPr>
            <w:tcW w:w="851" w:type="dxa"/>
            <w:tcBorders>
              <w:top w:val="single" w:sz="4" w:space="0" w:color="auto"/>
              <w:left w:val="single" w:sz="4" w:space="0" w:color="auto"/>
              <w:bottom w:val="single" w:sz="4" w:space="0" w:color="auto"/>
              <w:right w:val="single" w:sz="4" w:space="0" w:color="auto"/>
            </w:tcBorders>
          </w:tcPr>
          <w:p w14:paraId="7CDE94A4"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1,78</w:t>
            </w:r>
          </w:p>
        </w:tc>
        <w:tc>
          <w:tcPr>
            <w:tcW w:w="1502" w:type="dxa"/>
            <w:tcBorders>
              <w:top w:val="single" w:sz="4" w:space="0" w:color="auto"/>
              <w:left w:val="single" w:sz="4" w:space="0" w:color="auto"/>
              <w:bottom w:val="single" w:sz="4" w:space="0" w:color="auto"/>
              <w:right w:val="single" w:sz="4" w:space="0" w:color="auto"/>
            </w:tcBorders>
            <w:shd w:val="clear" w:color="auto" w:fill="auto"/>
          </w:tcPr>
          <w:p w14:paraId="01F95024"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1,81</w:t>
            </w:r>
          </w:p>
          <w:p w14:paraId="54843298"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=0,868</w:t>
            </w:r>
          </w:p>
        </w:tc>
        <w:tc>
          <w:tcPr>
            <w:tcW w:w="1502" w:type="dxa"/>
            <w:tcBorders>
              <w:top w:val="single" w:sz="4" w:space="0" w:color="auto"/>
              <w:left w:val="single" w:sz="4" w:space="0" w:color="auto"/>
              <w:bottom w:val="single" w:sz="4" w:space="0" w:color="auto"/>
              <w:right w:val="single" w:sz="4" w:space="0" w:color="auto"/>
            </w:tcBorders>
            <w:shd w:val="clear" w:color="auto" w:fill="auto"/>
          </w:tcPr>
          <w:p w14:paraId="6E95CFEE"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1,88</w:t>
            </w:r>
          </w:p>
          <w:p w14:paraId="0456BEB9"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=0,624</w:t>
            </w:r>
          </w:p>
        </w:tc>
        <w:tc>
          <w:tcPr>
            <w:tcW w:w="1503" w:type="dxa"/>
            <w:tcBorders>
              <w:top w:val="single" w:sz="4" w:space="0" w:color="auto"/>
              <w:left w:val="single" w:sz="4" w:space="0" w:color="auto"/>
              <w:bottom w:val="single" w:sz="4" w:space="0" w:color="auto"/>
              <w:right w:val="single" w:sz="4" w:space="0" w:color="auto"/>
            </w:tcBorders>
            <w:shd w:val="clear" w:color="auto" w:fill="auto"/>
          </w:tcPr>
          <w:p w14:paraId="0EDF69FF"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1,78</w:t>
            </w:r>
          </w:p>
          <w:p w14:paraId="2BF20440"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w:t>
            </w:r>
            <w:r w:rsidRPr="00520861">
              <w:rPr>
                <w:rFonts w:eastAsia="Calibri"/>
                <w:sz w:val="28"/>
                <w:szCs w:val="28"/>
                <w:lang w:eastAsia="en-US"/>
              </w:rPr>
              <w:t>1,000</w:t>
            </w:r>
          </w:p>
        </w:tc>
        <w:tc>
          <w:tcPr>
            <w:tcW w:w="1502" w:type="dxa"/>
            <w:tcBorders>
              <w:top w:val="single" w:sz="4" w:space="0" w:color="auto"/>
              <w:left w:val="single" w:sz="4" w:space="0" w:color="auto"/>
              <w:bottom w:val="single" w:sz="4" w:space="0" w:color="auto"/>
              <w:right w:val="single" w:sz="4" w:space="0" w:color="auto"/>
            </w:tcBorders>
            <w:shd w:val="clear" w:color="auto" w:fill="auto"/>
          </w:tcPr>
          <w:p w14:paraId="7E99CFF5"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1,79</w:t>
            </w:r>
          </w:p>
          <w:p w14:paraId="6DCBD97F"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=0,905</w:t>
            </w:r>
          </w:p>
        </w:tc>
        <w:tc>
          <w:tcPr>
            <w:tcW w:w="1503" w:type="dxa"/>
            <w:tcBorders>
              <w:top w:val="single" w:sz="4" w:space="0" w:color="auto"/>
              <w:left w:val="single" w:sz="4" w:space="0" w:color="auto"/>
              <w:bottom w:val="single" w:sz="4" w:space="0" w:color="auto"/>
              <w:right w:val="single" w:sz="4" w:space="0" w:color="auto"/>
            </w:tcBorders>
            <w:shd w:val="clear" w:color="auto" w:fill="auto"/>
          </w:tcPr>
          <w:p w14:paraId="4063C1C4"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1,77</w:t>
            </w:r>
          </w:p>
          <w:p w14:paraId="4E0D53F2"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=0,977</w:t>
            </w:r>
          </w:p>
        </w:tc>
      </w:tr>
      <w:tr w:rsidR="00180D3E" w:rsidRPr="00520861" w14:paraId="63761754" w14:textId="77777777" w:rsidTr="00292D2E">
        <w:trPr>
          <w:jc w:val="center"/>
        </w:trPr>
        <w:tc>
          <w:tcPr>
            <w:tcW w:w="1559" w:type="dxa"/>
            <w:tcBorders>
              <w:top w:val="single" w:sz="4" w:space="0" w:color="auto"/>
              <w:left w:val="single" w:sz="4" w:space="0" w:color="auto"/>
              <w:bottom w:val="single" w:sz="4" w:space="0" w:color="auto"/>
              <w:right w:val="single" w:sz="4" w:space="0" w:color="auto"/>
            </w:tcBorders>
            <w:shd w:val="clear" w:color="auto" w:fill="auto"/>
          </w:tcPr>
          <w:p w14:paraId="5054A592" w14:textId="77777777" w:rsidR="00180D3E" w:rsidRPr="00520861" w:rsidRDefault="00180D3E" w:rsidP="00292D2E">
            <w:pPr>
              <w:widowControl w:val="0"/>
              <w:pBdr>
                <w:top w:val="nil"/>
                <w:left w:val="nil"/>
                <w:bottom w:val="nil"/>
                <w:right w:val="nil"/>
                <w:between w:val="nil"/>
              </w:pBdr>
              <w:spacing w:line="360" w:lineRule="auto"/>
              <w:jc w:val="both"/>
              <w:rPr>
                <w:rFonts w:eastAsia="Calibri"/>
                <w:color w:val="000000"/>
                <w:sz w:val="28"/>
                <w:szCs w:val="28"/>
                <w:lang w:eastAsia="en-US"/>
              </w:rPr>
            </w:pPr>
            <w:r w:rsidRPr="00520861">
              <w:rPr>
                <w:rFonts w:eastAsia="Calibri"/>
                <w:color w:val="000000"/>
                <w:sz w:val="28"/>
                <w:szCs w:val="28"/>
                <w:lang w:eastAsia="en-US"/>
              </w:rPr>
              <w:t>РМА, %</w:t>
            </w:r>
          </w:p>
        </w:tc>
        <w:tc>
          <w:tcPr>
            <w:tcW w:w="851" w:type="dxa"/>
            <w:tcBorders>
              <w:top w:val="single" w:sz="4" w:space="0" w:color="auto"/>
              <w:left w:val="single" w:sz="4" w:space="0" w:color="auto"/>
              <w:bottom w:val="single" w:sz="4" w:space="0" w:color="auto"/>
              <w:right w:val="single" w:sz="4" w:space="0" w:color="auto"/>
            </w:tcBorders>
          </w:tcPr>
          <w:p w14:paraId="5A60BC36"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9,23</w:t>
            </w:r>
          </w:p>
        </w:tc>
        <w:tc>
          <w:tcPr>
            <w:tcW w:w="1502" w:type="dxa"/>
            <w:tcBorders>
              <w:top w:val="single" w:sz="4" w:space="0" w:color="auto"/>
              <w:left w:val="single" w:sz="4" w:space="0" w:color="auto"/>
              <w:bottom w:val="single" w:sz="4" w:space="0" w:color="auto"/>
              <w:right w:val="single" w:sz="4" w:space="0" w:color="auto"/>
            </w:tcBorders>
            <w:shd w:val="clear" w:color="auto" w:fill="auto"/>
          </w:tcPr>
          <w:p w14:paraId="4C214C37"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12,43</w:t>
            </w:r>
          </w:p>
          <w:p w14:paraId="3475C9B3"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=0,590</w:t>
            </w:r>
          </w:p>
        </w:tc>
        <w:tc>
          <w:tcPr>
            <w:tcW w:w="1502" w:type="dxa"/>
            <w:tcBorders>
              <w:top w:val="single" w:sz="4" w:space="0" w:color="auto"/>
              <w:left w:val="single" w:sz="4" w:space="0" w:color="auto"/>
              <w:bottom w:val="single" w:sz="4" w:space="0" w:color="auto"/>
              <w:right w:val="single" w:sz="4" w:space="0" w:color="auto"/>
            </w:tcBorders>
            <w:shd w:val="clear" w:color="auto" w:fill="auto"/>
          </w:tcPr>
          <w:p w14:paraId="25C7AB33"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15,86</w:t>
            </w:r>
          </w:p>
          <w:p w14:paraId="77FF8ED4"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sz w:val="28"/>
                <w:szCs w:val="28"/>
                <w:lang w:eastAsia="en-US"/>
              </w:rPr>
              <w:t>р</w:t>
            </w:r>
            <w:r w:rsidRPr="00520861">
              <w:rPr>
                <w:rFonts w:eastAsia="Calibri"/>
                <w:sz w:val="28"/>
                <w:szCs w:val="28"/>
                <w:lang w:eastAsia="en-US"/>
              </w:rPr>
              <w:t>=0,230</w:t>
            </w:r>
          </w:p>
        </w:tc>
        <w:tc>
          <w:tcPr>
            <w:tcW w:w="1503" w:type="dxa"/>
            <w:tcBorders>
              <w:top w:val="single" w:sz="4" w:space="0" w:color="auto"/>
              <w:left w:val="single" w:sz="4" w:space="0" w:color="auto"/>
              <w:bottom w:val="single" w:sz="4" w:space="0" w:color="auto"/>
              <w:right w:val="single" w:sz="4" w:space="0" w:color="auto"/>
            </w:tcBorders>
            <w:shd w:val="clear" w:color="auto" w:fill="auto"/>
          </w:tcPr>
          <w:p w14:paraId="221749E9"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13,75</w:t>
            </w:r>
          </w:p>
          <w:p w14:paraId="727B42E3"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=0,567</w:t>
            </w:r>
          </w:p>
        </w:tc>
        <w:tc>
          <w:tcPr>
            <w:tcW w:w="1502" w:type="dxa"/>
            <w:tcBorders>
              <w:top w:val="single" w:sz="4" w:space="0" w:color="auto"/>
              <w:left w:val="single" w:sz="4" w:space="0" w:color="auto"/>
              <w:bottom w:val="single" w:sz="4" w:space="0" w:color="auto"/>
              <w:right w:val="single" w:sz="4" w:space="0" w:color="auto"/>
            </w:tcBorders>
            <w:shd w:val="clear" w:color="auto" w:fill="auto"/>
          </w:tcPr>
          <w:p w14:paraId="7DC1F719"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10,71</w:t>
            </w:r>
          </w:p>
          <w:p w14:paraId="15316502"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=0,966</w:t>
            </w:r>
          </w:p>
        </w:tc>
        <w:tc>
          <w:tcPr>
            <w:tcW w:w="1503" w:type="dxa"/>
            <w:tcBorders>
              <w:top w:val="single" w:sz="4" w:space="0" w:color="auto"/>
              <w:left w:val="single" w:sz="4" w:space="0" w:color="auto"/>
              <w:bottom w:val="single" w:sz="4" w:space="0" w:color="auto"/>
              <w:right w:val="single" w:sz="4" w:space="0" w:color="auto"/>
            </w:tcBorders>
            <w:shd w:val="clear" w:color="auto" w:fill="auto"/>
          </w:tcPr>
          <w:p w14:paraId="22FCB8FF"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8,18</w:t>
            </w:r>
          </w:p>
          <w:p w14:paraId="5451DC1D"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=0,647</w:t>
            </w:r>
          </w:p>
        </w:tc>
      </w:tr>
    </w:tbl>
    <w:p w14:paraId="4469E6B4" w14:textId="77777777" w:rsidR="00180D3E" w:rsidRPr="00520861" w:rsidRDefault="00180D3E" w:rsidP="00292D2E">
      <w:pPr>
        <w:widowControl w:val="0"/>
        <w:spacing w:line="360" w:lineRule="auto"/>
        <w:ind w:right="48" w:firstLine="709"/>
        <w:contextualSpacing/>
        <w:jc w:val="center"/>
        <w:rPr>
          <w:bCs/>
          <w:iCs/>
          <w:sz w:val="28"/>
          <w:szCs w:val="28"/>
        </w:rPr>
      </w:pPr>
    </w:p>
    <w:p w14:paraId="2DC46487" w14:textId="77777777" w:rsidR="00180D3E" w:rsidRPr="00520861" w:rsidRDefault="00180D3E" w:rsidP="00292D2E">
      <w:pPr>
        <w:widowControl w:val="0"/>
        <w:pBdr>
          <w:top w:val="nil"/>
          <w:left w:val="nil"/>
          <w:bottom w:val="nil"/>
          <w:right w:val="nil"/>
          <w:between w:val="nil"/>
        </w:pBdr>
        <w:spacing w:line="360" w:lineRule="auto"/>
        <w:ind w:firstLine="708"/>
        <w:jc w:val="both"/>
        <w:rPr>
          <w:rFonts w:eastAsia="Calibri"/>
          <w:sz w:val="28"/>
          <w:szCs w:val="28"/>
          <w:lang w:eastAsia="en-US"/>
        </w:rPr>
      </w:pPr>
      <w:r w:rsidRPr="00520861">
        <w:rPr>
          <w:rFonts w:eastAsia="Calibri"/>
          <w:sz w:val="28"/>
          <w:szCs w:val="28"/>
          <w:lang w:eastAsia="en-US"/>
        </w:rPr>
        <w:t>Попри відсутність вірогідних відмінностей у значеннях індексів, звертають на себе увагу різноспрямовані тенденції показників РМА у дітей підгрупи 1 та підгрупи 2 проти підгрупи 3 та підгрупи 4.</w:t>
      </w:r>
    </w:p>
    <w:p w14:paraId="6251606A" w14:textId="77777777" w:rsidR="00180D3E" w:rsidRPr="00520861" w:rsidRDefault="00180D3E" w:rsidP="00292D2E">
      <w:pPr>
        <w:widowControl w:val="0"/>
        <w:pBdr>
          <w:top w:val="nil"/>
          <w:left w:val="nil"/>
          <w:bottom w:val="nil"/>
          <w:right w:val="nil"/>
          <w:between w:val="nil"/>
        </w:pBdr>
        <w:spacing w:line="360" w:lineRule="auto"/>
        <w:ind w:firstLine="708"/>
        <w:jc w:val="both"/>
        <w:rPr>
          <w:rFonts w:eastAsia="Calibri"/>
          <w:sz w:val="28"/>
          <w:szCs w:val="28"/>
          <w:lang w:eastAsia="en-US"/>
        </w:rPr>
      </w:pPr>
    </w:p>
    <w:p w14:paraId="66ECA663" w14:textId="77777777" w:rsidR="00180D3E" w:rsidRPr="00520861" w:rsidRDefault="00180D3E" w:rsidP="00292D2E">
      <w:pPr>
        <w:widowControl w:val="0"/>
        <w:spacing w:line="360" w:lineRule="auto"/>
        <w:ind w:firstLine="851"/>
        <w:jc w:val="both"/>
        <w:rPr>
          <w:rFonts w:eastAsia="Calibri"/>
          <w:b/>
          <w:sz w:val="28"/>
          <w:szCs w:val="28"/>
          <w:lang w:eastAsia="en-US"/>
        </w:rPr>
      </w:pPr>
      <w:r w:rsidRPr="00520861">
        <w:rPr>
          <w:rFonts w:eastAsia="Calibri"/>
          <w:b/>
          <w:sz w:val="28"/>
          <w:szCs w:val="28"/>
          <w:lang w:eastAsia="en-US"/>
        </w:rPr>
        <w:t>7.2</w:t>
      </w:r>
      <w:r w:rsidRPr="00520861">
        <w:rPr>
          <w:rFonts w:eastAsia="Calibri"/>
          <w:b/>
          <w:color w:val="FF0000"/>
          <w:sz w:val="28"/>
          <w:szCs w:val="28"/>
          <w:lang w:eastAsia="en-US"/>
        </w:rPr>
        <w:t xml:space="preserve">. </w:t>
      </w:r>
      <w:r w:rsidRPr="00520861">
        <w:rPr>
          <w:rFonts w:eastAsia="Calibri"/>
          <w:b/>
          <w:sz w:val="28"/>
          <w:szCs w:val="28"/>
          <w:lang w:eastAsia="en-US"/>
        </w:rPr>
        <w:t xml:space="preserve">Результати вивчення частоти захворюваності на хронічний </w:t>
      </w:r>
      <w:r w:rsidRPr="00520861">
        <w:rPr>
          <w:rFonts w:eastAsia="Calibri"/>
          <w:b/>
          <w:sz w:val="28"/>
          <w:szCs w:val="28"/>
          <w:lang w:eastAsia="en-US"/>
        </w:rPr>
        <w:br/>
        <w:t xml:space="preserve">катаральний гінгівіт в період змінного прикусу (ВП-ІV) у дітей, які народилися </w:t>
      </w:r>
      <w:r w:rsidRPr="00520861">
        <w:rPr>
          <w:rFonts w:eastAsia="Calibri"/>
          <w:b/>
          <w:sz w:val="28"/>
          <w:szCs w:val="28"/>
          <w:lang w:eastAsia="en-US"/>
        </w:rPr>
        <w:br/>
      </w:r>
      <w:proofErr w:type="spellStart"/>
      <w:r w:rsidRPr="00520861">
        <w:rPr>
          <w:rFonts w:eastAsia="Calibri"/>
          <w:b/>
          <w:sz w:val="28"/>
          <w:szCs w:val="28"/>
          <w:lang w:eastAsia="en-US"/>
        </w:rPr>
        <w:t>макросомами</w:t>
      </w:r>
      <w:proofErr w:type="spellEnd"/>
    </w:p>
    <w:p w14:paraId="1FB802AD" w14:textId="77777777" w:rsidR="00180D3E" w:rsidRPr="00520861" w:rsidRDefault="00180D3E" w:rsidP="00292D2E">
      <w:pPr>
        <w:widowControl w:val="0"/>
        <w:pBdr>
          <w:top w:val="nil"/>
          <w:left w:val="nil"/>
          <w:bottom w:val="nil"/>
          <w:right w:val="nil"/>
          <w:between w:val="nil"/>
        </w:pBdr>
        <w:spacing w:line="360" w:lineRule="auto"/>
        <w:ind w:firstLine="720"/>
        <w:jc w:val="both"/>
        <w:rPr>
          <w:rFonts w:eastAsia="Calibri"/>
          <w:spacing w:val="-6"/>
          <w:sz w:val="28"/>
          <w:szCs w:val="28"/>
          <w:lang w:eastAsia="en-US"/>
        </w:rPr>
      </w:pPr>
    </w:p>
    <w:p w14:paraId="714B7119" w14:textId="77777777" w:rsidR="00180D3E" w:rsidRPr="00520861" w:rsidRDefault="00180D3E" w:rsidP="00292D2E">
      <w:pPr>
        <w:widowControl w:val="0"/>
        <w:pBdr>
          <w:top w:val="nil"/>
          <w:left w:val="nil"/>
          <w:bottom w:val="nil"/>
          <w:right w:val="nil"/>
          <w:between w:val="nil"/>
        </w:pBdr>
        <w:spacing w:line="360" w:lineRule="auto"/>
        <w:ind w:firstLine="720"/>
        <w:jc w:val="both"/>
        <w:rPr>
          <w:rFonts w:eastAsia="Calibri"/>
          <w:sz w:val="28"/>
          <w:szCs w:val="28"/>
          <w:lang w:eastAsia="en-US"/>
        </w:rPr>
      </w:pPr>
      <w:r w:rsidRPr="00520861">
        <w:rPr>
          <w:rFonts w:eastAsia="Calibri"/>
          <w:sz w:val="28"/>
          <w:szCs w:val="28"/>
          <w:lang w:eastAsia="en-US"/>
        </w:rPr>
        <w:t>Із метою збільшення вірогідності результатів у період змінного прикусу окремі показники були проаналізовані для об’єднаних підгруп осіб, які на момент народження мали більш схожі МРП, а саме підгрупа 3+4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з ВУ ожирінням) та підгрупа 1+2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які не мали ВУ ожиріння).</w:t>
      </w:r>
    </w:p>
    <w:p w14:paraId="763ECC82" w14:textId="77777777" w:rsidR="00180D3E" w:rsidRPr="00520861" w:rsidRDefault="00180D3E" w:rsidP="00292D2E">
      <w:pPr>
        <w:widowControl w:val="0"/>
        <w:pBdr>
          <w:top w:val="nil"/>
          <w:left w:val="nil"/>
          <w:bottom w:val="nil"/>
          <w:right w:val="nil"/>
          <w:between w:val="nil"/>
        </w:pBdr>
        <w:spacing w:line="360" w:lineRule="auto"/>
        <w:ind w:firstLine="720"/>
        <w:jc w:val="both"/>
        <w:rPr>
          <w:rFonts w:eastAsia="Calibri"/>
          <w:sz w:val="28"/>
          <w:szCs w:val="28"/>
          <w:lang w:eastAsia="en-US"/>
        </w:rPr>
      </w:pPr>
      <w:r w:rsidRPr="00520861">
        <w:rPr>
          <w:rFonts w:eastAsia="Calibri"/>
          <w:sz w:val="28"/>
          <w:szCs w:val="28"/>
          <w:lang w:eastAsia="en-US"/>
        </w:rPr>
        <w:t>У період змінного прикусу 94,1</w:t>
      </w:r>
      <w:r w:rsidR="00611A5B" w:rsidRPr="00520861">
        <w:rPr>
          <w:rFonts w:eastAsia="Calibri"/>
          <w:sz w:val="28"/>
          <w:szCs w:val="28"/>
          <w:lang w:eastAsia="en-US"/>
        </w:rPr>
        <w:t>%</w:t>
      </w:r>
      <w:r w:rsidRPr="00520861">
        <w:rPr>
          <w:rFonts w:eastAsia="Calibri"/>
          <w:sz w:val="28"/>
          <w:szCs w:val="28"/>
          <w:lang w:eastAsia="en-US"/>
        </w:rPr>
        <w:t xml:space="preserve"> (ДІ: 80,5</w:t>
      </w:r>
      <w:r w:rsidR="00611A5B" w:rsidRPr="00520861">
        <w:rPr>
          <w:rFonts w:eastAsia="Calibri"/>
          <w:sz w:val="28"/>
          <w:szCs w:val="28"/>
          <w:lang w:eastAsia="en-US"/>
        </w:rPr>
        <w:t>%</w:t>
      </w:r>
      <w:r w:rsidRPr="00520861">
        <w:rPr>
          <w:rFonts w:eastAsia="Calibri"/>
          <w:sz w:val="28"/>
          <w:szCs w:val="28"/>
          <w:lang w:eastAsia="en-US"/>
        </w:rPr>
        <w:t xml:space="preserve"> – 98,5</w:t>
      </w:r>
      <w:r w:rsidR="00611A5B" w:rsidRPr="00520861">
        <w:rPr>
          <w:rFonts w:eastAsia="Calibri"/>
          <w:sz w:val="28"/>
          <w:szCs w:val="28"/>
          <w:lang w:eastAsia="en-US"/>
        </w:rPr>
        <w:t>%</w:t>
      </w:r>
      <w:r w:rsidRPr="00520861">
        <w:rPr>
          <w:rFonts w:eastAsia="Calibri"/>
          <w:sz w:val="28"/>
          <w:szCs w:val="28"/>
          <w:lang w:eastAsia="en-US"/>
        </w:rPr>
        <w:t xml:space="preserve">) дітей в об’єднаній </w:t>
      </w:r>
      <w:r w:rsidR="00611A5B" w:rsidRPr="00520861">
        <w:rPr>
          <w:rFonts w:eastAsia="Calibri"/>
          <w:sz w:val="28"/>
          <w:szCs w:val="28"/>
          <w:lang w:eastAsia="en-US"/>
        </w:rPr>
        <w:br/>
      </w:r>
      <w:r w:rsidRPr="00520861">
        <w:rPr>
          <w:rFonts w:eastAsia="Calibri"/>
          <w:sz w:val="28"/>
          <w:szCs w:val="28"/>
          <w:lang w:eastAsia="en-US"/>
        </w:rPr>
        <w:t>підгрупі 1+2 та 46,2</w:t>
      </w:r>
      <w:r w:rsidR="00611A5B" w:rsidRPr="00520861">
        <w:rPr>
          <w:rFonts w:eastAsia="Calibri"/>
          <w:sz w:val="28"/>
          <w:szCs w:val="28"/>
          <w:lang w:eastAsia="en-US"/>
        </w:rPr>
        <w:t>%</w:t>
      </w:r>
      <w:r w:rsidRPr="00520861">
        <w:rPr>
          <w:rFonts w:eastAsia="Calibri"/>
          <w:sz w:val="28"/>
          <w:szCs w:val="28"/>
          <w:lang w:eastAsia="en-US"/>
        </w:rPr>
        <w:t xml:space="preserve"> (ДІ: 25,1</w:t>
      </w:r>
      <w:r w:rsidR="00611A5B" w:rsidRPr="00520861">
        <w:rPr>
          <w:rFonts w:eastAsia="Calibri"/>
          <w:sz w:val="28"/>
          <w:szCs w:val="28"/>
          <w:lang w:eastAsia="en-US"/>
        </w:rPr>
        <w:t>%</w:t>
      </w:r>
      <w:r w:rsidRPr="00520861">
        <w:rPr>
          <w:rFonts w:eastAsia="Calibri"/>
          <w:sz w:val="28"/>
          <w:szCs w:val="28"/>
          <w:lang w:eastAsia="en-US"/>
        </w:rPr>
        <w:t xml:space="preserve"> – 68,4</w:t>
      </w:r>
      <w:r w:rsidR="00611A5B" w:rsidRPr="00520861">
        <w:rPr>
          <w:rFonts w:eastAsia="Calibri"/>
          <w:sz w:val="28"/>
          <w:szCs w:val="28"/>
          <w:lang w:eastAsia="en-US"/>
        </w:rPr>
        <w:t>%</w:t>
      </w:r>
      <w:r w:rsidRPr="00520861">
        <w:rPr>
          <w:rFonts w:eastAsia="Calibri"/>
          <w:sz w:val="28"/>
          <w:szCs w:val="28"/>
          <w:lang w:eastAsia="en-US"/>
        </w:rPr>
        <w:t>) дітей в об’єднаній підгрупі 3+4 проти 62,5</w:t>
      </w:r>
      <w:r w:rsidR="00611A5B" w:rsidRPr="00520861">
        <w:rPr>
          <w:rFonts w:eastAsia="Calibri"/>
          <w:sz w:val="28"/>
          <w:szCs w:val="28"/>
          <w:lang w:eastAsia="en-US"/>
        </w:rPr>
        <w:t>%</w:t>
      </w:r>
      <w:r w:rsidRPr="00520861">
        <w:rPr>
          <w:rFonts w:eastAsia="Calibri"/>
          <w:sz w:val="28"/>
          <w:szCs w:val="28"/>
          <w:lang w:eastAsia="en-US"/>
        </w:rPr>
        <w:t xml:space="preserve"> (ДІ: 41,3</w:t>
      </w:r>
      <w:r w:rsidR="00611A5B" w:rsidRPr="00520861">
        <w:rPr>
          <w:rFonts w:eastAsia="Calibri"/>
          <w:sz w:val="28"/>
          <w:szCs w:val="28"/>
          <w:lang w:eastAsia="en-US"/>
        </w:rPr>
        <w:t>%</w:t>
      </w:r>
      <w:r w:rsidRPr="00520861">
        <w:rPr>
          <w:rFonts w:eastAsia="Calibri"/>
          <w:sz w:val="28"/>
          <w:szCs w:val="28"/>
          <w:lang w:eastAsia="en-US"/>
        </w:rPr>
        <w:t xml:space="preserve"> – 80,2</w:t>
      </w:r>
      <w:r w:rsidR="00611A5B" w:rsidRPr="00520861">
        <w:rPr>
          <w:rFonts w:eastAsia="Calibri"/>
          <w:sz w:val="28"/>
          <w:szCs w:val="28"/>
          <w:lang w:eastAsia="en-US"/>
        </w:rPr>
        <w:t>%</w:t>
      </w:r>
      <w:r w:rsidRPr="00520861">
        <w:rPr>
          <w:rFonts w:eastAsia="Calibri"/>
          <w:sz w:val="28"/>
          <w:szCs w:val="28"/>
          <w:lang w:eastAsia="en-US"/>
        </w:rPr>
        <w:t>) дітей у ГП, мали хронічний катаральний гінгівіт (рис. 7.2) легкого чи середнього ступеня. У 29,4</w:t>
      </w:r>
      <w:r w:rsidR="00611A5B" w:rsidRPr="00520861">
        <w:rPr>
          <w:rFonts w:eastAsia="Calibri"/>
          <w:sz w:val="28"/>
          <w:szCs w:val="28"/>
          <w:lang w:eastAsia="en-US"/>
        </w:rPr>
        <w:t>%</w:t>
      </w:r>
      <w:r w:rsidRPr="00520861">
        <w:rPr>
          <w:rFonts w:eastAsia="Calibri"/>
          <w:sz w:val="28"/>
          <w:szCs w:val="28"/>
          <w:lang w:eastAsia="en-US"/>
        </w:rPr>
        <w:t xml:space="preserve"> дітей (ДІ: 14,2</w:t>
      </w:r>
      <w:r w:rsidR="00611A5B" w:rsidRPr="00520861">
        <w:rPr>
          <w:rFonts w:eastAsia="Calibri"/>
          <w:sz w:val="28"/>
          <w:szCs w:val="28"/>
          <w:lang w:eastAsia="en-US"/>
        </w:rPr>
        <w:t>%</w:t>
      </w:r>
      <w:r w:rsidRPr="00520861">
        <w:rPr>
          <w:rFonts w:eastAsia="Calibri"/>
          <w:sz w:val="28"/>
          <w:szCs w:val="28"/>
          <w:lang w:eastAsia="en-US"/>
        </w:rPr>
        <w:t xml:space="preserve"> – 49,9</w:t>
      </w:r>
      <w:r w:rsidR="00611A5B" w:rsidRPr="00520861">
        <w:rPr>
          <w:rFonts w:eastAsia="Calibri"/>
          <w:sz w:val="28"/>
          <w:szCs w:val="28"/>
          <w:lang w:eastAsia="en-US"/>
        </w:rPr>
        <w:t>%</w:t>
      </w:r>
      <w:r w:rsidRPr="00520861">
        <w:rPr>
          <w:rFonts w:eastAsia="Calibri"/>
          <w:sz w:val="28"/>
          <w:szCs w:val="28"/>
          <w:lang w:eastAsia="en-US"/>
        </w:rPr>
        <w:t>) підгрупи 1+2 та у 18,8</w:t>
      </w:r>
      <w:r w:rsidR="00611A5B" w:rsidRPr="00520861">
        <w:rPr>
          <w:rFonts w:eastAsia="Calibri"/>
          <w:sz w:val="28"/>
          <w:szCs w:val="28"/>
          <w:lang w:eastAsia="en-US"/>
        </w:rPr>
        <w:t>%</w:t>
      </w:r>
      <w:r w:rsidRPr="00520861">
        <w:rPr>
          <w:rFonts w:eastAsia="Calibri"/>
          <w:sz w:val="28"/>
          <w:szCs w:val="28"/>
          <w:lang w:eastAsia="en-US"/>
        </w:rPr>
        <w:t xml:space="preserve"> (ДІ: 7,3%  – 38,3</w:t>
      </w:r>
      <w:r w:rsidR="00611A5B" w:rsidRPr="00520861">
        <w:rPr>
          <w:rFonts w:eastAsia="Calibri"/>
          <w:sz w:val="28"/>
          <w:szCs w:val="28"/>
          <w:lang w:eastAsia="en-US"/>
        </w:rPr>
        <w:t>%</w:t>
      </w:r>
      <w:r w:rsidRPr="00520861">
        <w:rPr>
          <w:rFonts w:eastAsia="Calibri"/>
          <w:sz w:val="28"/>
          <w:szCs w:val="28"/>
          <w:lang w:eastAsia="en-US"/>
        </w:rPr>
        <w:t xml:space="preserve">) дітей ГП гінгівіт носив </w:t>
      </w:r>
      <w:proofErr w:type="spellStart"/>
      <w:r w:rsidRPr="00520861">
        <w:rPr>
          <w:rFonts w:eastAsia="Calibri"/>
          <w:sz w:val="28"/>
          <w:szCs w:val="28"/>
          <w:lang w:eastAsia="en-US"/>
        </w:rPr>
        <w:t>генералізований</w:t>
      </w:r>
      <w:proofErr w:type="spellEnd"/>
      <w:r w:rsidRPr="00520861">
        <w:rPr>
          <w:rFonts w:eastAsia="Calibri"/>
          <w:sz w:val="28"/>
          <w:szCs w:val="28"/>
          <w:lang w:eastAsia="en-US"/>
        </w:rPr>
        <w:t xml:space="preserve"> характер. </w:t>
      </w:r>
    </w:p>
    <w:p w14:paraId="62387DF4" w14:textId="77777777" w:rsidR="00180D3E" w:rsidRPr="00520861" w:rsidRDefault="00180D3E" w:rsidP="00292D2E">
      <w:pPr>
        <w:widowControl w:val="0"/>
        <w:spacing w:line="360" w:lineRule="auto"/>
        <w:ind w:firstLine="720"/>
        <w:jc w:val="both"/>
        <w:rPr>
          <w:spacing w:val="-1"/>
          <w:sz w:val="28"/>
          <w:szCs w:val="28"/>
        </w:rPr>
      </w:pPr>
      <w:r w:rsidRPr="00520861">
        <w:rPr>
          <w:spacing w:val="-1"/>
          <w:sz w:val="28"/>
          <w:szCs w:val="28"/>
        </w:rPr>
        <w:lastRenderedPageBreak/>
        <w:t xml:space="preserve">Із таблиці 7.2 видно, що у дітей ВП-ІV вірогідна різниця між ГП і ОГ чи окремими підгрупами для індексу Федорова - </w:t>
      </w:r>
      <w:proofErr w:type="spellStart"/>
      <w:r w:rsidRPr="00520861">
        <w:rPr>
          <w:spacing w:val="-1"/>
          <w:sz w:val="28"/>
          <w:szCs w:val="28"/>
        </w:rPr>
        <w:t>Володкіної</w:t>
      </w:r>
      <w:proofErr w:type="spellEnd"/>
      <w:r w:rsidRPr="00520861">
        <w:rPr>
          <w:spacing w:val="-1"/>
          <w:sz w:val="28"/>
          <w:szCs w:val="28"/>
        </w:rPr>
        <w:t xml:space="preserve"> та для індексу РМА відсутня.</w:t>
      </w:r>
    </w:p>
    <w:p w14:paraId="2C44D4AE" w14:textId="77777777" w:rsidR="00180D3E" w:rsidRPr="00520861" w:rsidRDefault="00180D3E" w:rsidP="00292D2E">
      <w:pPr>
        <w:widowControl w:val="0"/>
        <w:pBdr>
          <w:top w:val="nil"/>
          <w:left w:val="nil"/>
          <w:bottom w:val="nil"/>
          <w:right w:val="nil"/>
          <w:between w:val="nil"/>
        </w:pBdr>
        <w:spacing w:line="360" w:lineRule="auto"/>
        <w:ind w:firstLine="142"/>
        <w:jc w:val="center"/>
        <w:rPr>
          <w:rFonts w:eastAsia="Calibri"/>
          <w:b/>
          <w:sz w:val="28"/>
          <w:szCs w:val="28"/>
          <w:lang w:eastAsia="en-US"/>
        </w:rPr>
      </w:pPr>
      <w:r w:rsidRPr="00520861">
        <w:rPr>
          <w:rFonts w:eastAsia="Calibri"/>
          <w:b/>
          <w:noProof/>
          <w:sz w:val="28"/>
          <w:szCs w:val="28"/>
          <w:lang w:val="ru-RU"/>
        </w:rPr>
        <mc:AlternateContent>
          <mc:Choice Requires="wps">
            <w:drawing>
              <wp:anchor distT="0" distB="0" distL="114300" distR="114300" simplePos="0" relativeHeight="251666432" behindDoc="0" locked="0" layoutInCell="1" allowOverlap="1" wp14:anchorId="27B7F0D1" wp14:editId="569E412A">
                <wp:simplePos x="0" y="0"/>
                <wp:positionH relativeFrom="margin">
                  <wp:posOffset>3247390</wp:posOffset>
                </wp:positionH>
                <wp:positionV relativeFrom="paragraph">
                  <wp:posOffset>3114675</wp:posOffset>
                </wp:positionV>
                <wp:extent cx="323850" cy="357505"/>
                <wp:effectExtent l="38100" t="19050" r="38100" b="23495"/>
                <wp:wrapNone/>
                <wp:docPr id="6"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1106130">
                          <a:off x="0" y="0"/>
                          <a:ext cx="323850" cy="357505"/>
                        </a:xfrm>
                        <a:prstGeom prst="downArrow">
                          <a:avLst>
                            <a:gd name="adj1" fmla="val 50000"/>
                            <a:gd name="adj2" fmla="val 2759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B37A5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7" o:spid="_x0000_s1026" type="#_x0000_t67" style="position:absolute;margin-left:255.7pt;margin-top:245.25pt;width:25.5pt;height:28.15pt;rotation:-11462104fd;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">
                <v:textbox style="layout-flow:vertical-ideographic"/>
                <w10:wrap anchorx="margin"/>
              </v:shape>
            </w:pict>
          </mc:Fallback>
        </mc:AlternateContent>
      </w:r>
      <w:r w:rsidRPr="00520861">
        <w:rPr>
          <w:rFonts w:eastAsia="Calibri"/>
          <w:b/>
          <w:noProof/>
          <w:sz w:val="28"/>
          <w:szCs w:val="28"/>
          <w:lang w:val="ru-RU"/>
        </w:rPr>
        <mc:AlternateContent>
          <mc:Choice Requires="wps">
            <w:drawing>
              <wp:anchor distT="0" distB="0" distL="114300" distR="114300" simplePos="0" relativeHeight="251664384" behindDoc="0" locked="0" layoutInCell="1" allowOverlap="1" wp14:anchorId="1036CDCA" wp14:editId="21817695">
                <wp:simplePos x="0" y="0"/>
                <wp:positionH relativeFrom="margin">
                  <wp:posOffset>2458720</wp:posOffset>
                </wp:positionH>
                <wp:positionV relativeFrom="paragraph">
                  <wp:posOffset>3070226</wp:posOffset>
                </wp:positionV>
                <wp:extent cx="323850" cy="357505"/>
                <wp:effectExtent l="38100" t="19050" r="38100" b="23495"/>
                <wp:wrapNone/>
                <wp:docPr id="117"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1106130">
                          <a:off x="0" y="0"/>
                          <a:ext cx="323850" cy="357505"/>
                        </a:xfrm>
                        <a:prstGeom prst="downArrow">
                          <a:avLst>
                            <a:gd name="adj1" fmla="val 50000"/>
                            <a:gd name="adj2" fmla="val 2759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2E6E0A" id="AutoShape 67" o:spid="_x0000_s1026" type="#_x0000_t67" style="position:absolute;margin-left:193.6pt;margin-top:241.75pt;width:25.5pt;height:28.15pt;rotation:-11462104fd;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">
                <v:textbox style="layout-flow:vertical-ideographic"/>
                <w10:wrap anchorx="margin"/>
              </v:shape>
            </w:pict>
          </mc:Fallback>
        </mc:AlternateContent>
      </w:r>
      <w:r w:rsidRPr="00520861">
        <w:rPr>
          <w:rFonts w:eastAsia="Calibri"/>
          <w:b/>
          <w:noProof/>
          <w:sz w:val="28"/>
          <w:szCs w:val="28"/>
          <w:lang w:val="ru-RU"/>
        </w:rPr>
        <mc:AlternateContent>
          <mc:Choice Requires="wps">
            <w:drawing>
              <wp:anchor distT="0" distB="0" distL="114300" distR="114300" simplePos="0" relativeHeight="251665408" behindDoc="0" locked="0" layoutInCell="1" allowOverlap="1" wp14:anchorId="7EAEEE71" wp14:editId="17FE6DB9">
                <wp:simplePos x="0" y="0"/>
                <wp:positionH relativeFrom="margin">
                  <wp:posOffset>1745615</wp:posOffset>
                </wp:positionH>
                <wp:positionV relativeFrom="paragraph">
                  <wp:posOffset>2923540</wp:posOffset>
                </wp:positionV>
                <wp:extent cx="323850" cy="357505"/>
                <wp:effectExtent l="38100" t="19050" r="38100" b="23495"/>
                <wp:wrapNone/>
                <wp:docPr id="5"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1106130">
                          <a:off x="0" y="0"/>
                          <a:ext cx="323850" cy="357505"/>
                        </a:xfrm>
                        <a:prstGeom prst="downArrow">
                          <a:avLst>
                            <a:gd name="adj1" fmla="val 50000"/>
                            <a:gd name="adj2" fmla="val 2759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B1C89D" id="AutoShape 67" o:spid="_x0000_s1026" type="#_x0000_t67" style="position:absolute;margin-left:137.45pt;margin-top:230.2pt;width:25.5pt;height:28.15pt;rotation:-11462104fd;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">
                <v:textbox style="layout-flow:vertical-ideographic"/>
                <w10:wrap anchorx="margin"/>
              </v:shape>
            </w:pict>
          </mc:Fallback>
        </mc:AlternateContent>
      </w:r>
      <w:r w:rsidRPr="00520861">
        <w:rPr>
          <w:rFonts w:eastAsia="Calibri"/>
          <w:b/>
          <w:noProof/>
          <w:sz w:val="28"/>
          <w:szCs w:val="28"/>
          <w:lang w:val="ru-RU"/>
        </w:rPr>
        <w:drawing>
          <wp:inline distT="0" distB="0" distL="0" distR="0" wp14:anchorId="16C411AD" wp14:editId="7AE6C78D">
            <wp:extent cx="4989600" cy="3744000"/>
            <wp:effectExtent l="0" t="0" r="1905" b="8890"/>
            <wp:docPr id="120" name="Рисунок 120" descr="IMG_1565 нов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_1565 нов   111"/>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4989600" cy="3744000"/>
                    </a:xfrm>
                    <a:prstGeom prst="rect">
                      <a:avLst/>
                    </a:prstGeom>
                    <a:noFill/>
                    <a:ln>
                      <a:noFill/>
                    </a:ln>
                  </pic:spPr>
                </pic:pic>
              </a:graphicData>
            </a:graphic>
          </wp:inline>
        </w:drawing>
      </w:r>
    </w:p>
    <w:p w14:paraId="679FE549" w14:textId="77777777" w:rsidR="00180D3E" w:rsidRPr="00520861" w:rsidRDefault="00180D3E" w:rsidP="00292D2E">
      <w:pPr>
        <w:widowControl w:val="0"/>
        <w:pBdr>
          <w:top w:val="nil"/>
          <w:left w:val="nil"/>
          <w:bottom w:val="nil"/>
          <w:right w:val="nil"/>
          <w:between w:val="nil"/>
        </w:pBdr>
        <w:spacing w:line="360" w:lineRule="auto"/>
        <w:ind w:firstLine="708"/>
        <w:jc w:val="center"/>
        <w:rPr>
          <w:rFonts w:eastAsia="Calibri"/>
          <w:sz w:val="28"/>
          <w:szCs w:val="28"/>
        </w:rPr>
      </w:pPr>
      <w:r w:rsidRPr="00520861">
        <w:rPr>
          <w:sz w:val="28"/>
          <w:szCs w:val="28"/>
        </w:rPr>
        <w:t>Рис. 7.2.</w:t>
      </w:r>
      <w:r w:rsidRPr="00520861">
        <w:rPr>
          <w:rFonts w:eastAsia="Calibri"/>
          <w:color w:val="000000"/>
          <w:sz w:val="28"/>
          <w:szCs w:val="28"/>
        </w:rPr>
        <w:t xml:space="preserve"> </w:t>
      </w:r>
      <w:r w:rsidRPr="00520861">
        <w:rPr>
          <w:sz w:val="28"/>
          <w:szCs w:val="28"/>
        </w:rPr>
        <w:t xml:space="preserve">Фото фронтальної ділянки верхньої та нижньої щелеп пацієнта М., 10 років, амб. карта № 161950, </w:t>
      </w:r>
      <w:r w:rsidRPr="00520861">
        <w:rPr>
          <w:rFonts w:eastAsia="Calibri"/>
          <w:sz w:val="28"/>
          <w:szCs w:val="28"/>
        </w:rPr>
        <w:t>підгрупа 2</w:t>
      </w:r>
      <w:r w:rsidRPr="00520861">
        <w:rPr>
          <w:sz w:val="28"/>
          <w:szCs w:val="28"/>
        </w:rPr>
        <w:t>.</w:t>
      </w:r>
      <w:r w:rsidRPr="00520861">
        <w:rPr>
          <w:rFonts w:eastAsia="Calibri"/>
          <w:sz w:val="28"/>
          <w:szCs w:val="28"/>
        </w:rPr>
        <w:t xml:space="preserve"> Спостерігається хронічний катаральний гінгівіт (позначено стрілками). Аномалія ІІІ класу за </w:t>
      </w:r>
      <w:proofErr w:type="spellStart"/>
      <w:r w:rsidRPr="00520861">
        <w:rPr>
          <w:rFonts w:eastAsia="Calibri"/>
          <w:sz w:val="28"/>
          <w:szCs w:val="28"/>
        </w:rPr>
        <w:t>Енглем</w:t>
      </w:r>
      <w:proofErr w:type="spellEnd"/>
      <w:r w:rsidRPr="00520861">
        <w:rPr>
          <w:rFonts w:eastAsia="Calibri"/>
          <w:sz w:val="28"/>
          <w:szCs w:val="28"/>
        </w:rPr>
        <w:t xml:space="preserve"> обтяжена </w:t>
      </w:r>
      <w:proofErr w:type="spellStart"/>
      <w:r w:rsidRPr="00520861">
        <w:rPr>
          <w:rFonts w:eastAsia="Calibri"/>
          <w:sz w:val="28"/>
          <w:szCs w:val="28"/>
        </w:rPr>
        <w:t>лінгвально-букальним</w:t>
      </w:r>
      <w:proofErr w:type="spellEnd"/>
      <w:r w:rsidRPr="00520861">
        <w:rPr>
          <w:rFonts w:eastAsia="Calibri"/>
          <w:sz w:val="28"/>
          <w:szCs w:val="28"/>
        </w:rPr>
        <w:t xml:space="preserve"> перехресним прикусом, асиметричною справжньою </w:t>
      </w:r>
      <w:proofErr w:type="spellStart"/>
      <w:r w:rsidRPr="00520861">
        <w:rPr>
          <w:rFonts w:eastAsia="Calibri"/>
          <w:sz w:val="28"/>
          <w:szCs w:val="28"/>
        </w:rPr>
        <w:t>діастемою</w:t>
      </w:r>
      <w:proofErr w:type="spellEnd"/>
      <w:r w:rsidRPr="00520861">
        <w:rPr>
          <w:rFonts w:eastAsia="Calibri"/>
          <w:sz w:val="28"/>
          <w:szCs w:val="28"/>
        </w:rPr>
        <w:t xml:space="preserve"> </w:t>
      </w:r>
      <w:r w:rsidRPr="00520861">
        <w:rPr>
          <w:rFonts w:eastAsia="Calibri"/>
          <w:sz w:val="28"/>
          <w:szCs w:val="28"/>
        </w:rPr>
        <w:br/>
        <w:t xml:space="preserve">та </w:t>
      </w:r>
      <w:proofErr w:type="spellStart"/>
      <w:r w:rsidRPr="00520861">
        <w:rPr>
          <w:rFonts w:eastAsia="Calibri"/>
          <w:sz w:val="28"/>
          <w:szCs w:val="28"/>
        </w:rPr>
        <w:t>тремами</w:t>
      </w:r>
      <w:proofErr w:type="spellEnd"/>
      <w:r w:rsidRPr="00520861">
        <w:rPr>
          <w:rFonts w:eastAsia="Calibri"/>
          <w:sz w:val="28"/>
          <w:szCs w:val="28"/>
        </w:rPr>
        <w:t xml:space="preserve"> верхнього зубного ряду. </w:t>
      </w:r>
    </w:p>
    <w:p w14:paraId="7C2C05B2" w14:textId="77777777" w:rsidR="00180D3E" w:rsidRPr="00520861" w:rsidRDefault="00180D3E" w:rsidP="00292D2E">
      <w:pPr>
        <w:widowControl w:val="0"/>
        <w:pBdr>
          <w:top w:val="nil"/>
          <w:left w:val="nil"/>
          <w:bottom w:val="nil"/>
          <w:right w:val="nil"/>
          <w:between w:val="nil"/>
        </w:pBdr>
        <w:spacing w:line="360" w:lineRule="auto"/>
        <w:ind w:firstLine="720"/>
        <w:jc w:val="both"/>
        <w:rPr>
          <w:rFonts w:eastAsia="Calibri"/>
          <w:sz w:val="28"/>
          <w:szCs w:val="28"/>
          <w:lang w:eastAsia="en-US"/>
        </w:rPr>
      </w:pPr>
    </w:p>
    <w:p w14:paraId="3FE3783F" w14:textId="77777777" w:rsidR="00180D3E" w:rsidRPr="00520861" w:rsidRDefault="00180D3E" w:rsidP="00292D2E">
      <w:pPr>
        <w:widowControl w:val="0"/>
        <w:pBdr>
          <w:top w:val="nil"/>
          <w:left w:val="nil"/>
          <w:bottom w:val="nil"/>
          <w:right w:val="nil"/>
          <w:between w:val="nil"/>
        </w:pBdr>
        <w:spacing w:line="360" w:lineRule="auto"/>
        <w:jc w:val="right"/>
        <w:rPr>
          <w:rFonts w:eastAsia="Calibri"/>
          <w:i/>
          <w:sz w:val="28"/>
          <w:szCs w:val="28"/>
          <w:lang w:eastAsia="en-US"/>
        </w:rPr>
      </w:pPr>
      <w:r w:rsidRPr="00520861">
        <w:rPr>
          <w:rFonts w:eastAsia="Calibri"/>
          <w:i/>
          <w:sz w:val="28"/>
          <w:szCs w:val="28"/>
          <w:lang w:eastAsia="en-US"/>
        </w:rPr>
        <w:t>Таблиця.7.2</w:t>
      </w:r>
    </w:p>
    <w:p w14:paraId="1488E906" w14:textId="77777777" w:rsidR="00180D3E" w:rsidRPr="00520861" w:rsidRDefault="00180D3E" w:rsidP="00292D2E">
      <w:pPr>
        <w:widowControl w:val="0"/>
        <w:spacing w:line="360" w:lineRule="auto"/>
        <w:ind w:right="48"/>
        <w:contextualSpacing/>
        <w:jc w:val="center"/>
        <w:rPr>
          <w:rFonts w:eastAsia="Calibri"/>
          <w:b/>
          <w:color w:val="000000"/>
          <w:sz w:val="28"/>
          <w:szCs w:val="28"/>
        </w:rPr>
      </w:pPr>
      <w:r w:rsidRPr="00520861">
        <w:rPr>
          <w:rFonts w:eastAsia="Calibri"/>
          <w:b/>
          <w:sz w:val="28"/>
          <w:szCs w:val="28"/>
          <w:lang w:eastAsia="en-US"/>
        </w:rPr>
        <w:t>Індексне оцінювання гігієнічного стану порожнини рота у дітей основної групи та групи порівняння у ВП-</w:t>
      </w:r>
      <w:r w:rsidRPr="00520861">
        <w:rPr>
          <w:b/>
          <w:bCs/>
          <w:sz w:val="28"/>
          <w:szCs w:val="28"/>
          <w:shd w:val="clear" w:color="auto" w:fill="FFFFFF"/>
        </w:rPr>
        <w:t>-ІV</w:t>
      </w:r>
      <w:r w:rsidRPr="00520861">
        <w:rPr>
          <w:rFonts w:eastAsia="Calibri"/>
          <w:b/>
          <w:sz w:val="28"/>
          <w:szCs w:val="28"/>
          <w:lang w:eastAsia="en-US"/>
        </w:rPr>
        <w:t xml:space="preserve">: індекс Федорова– </w:t>
      </w:r>
      <w:proofErr w:type="spellStart"/>
      <w:r w:rsidRPr="00520861">
        <w:rPr>
          <w:rFonts w:eastAsia="Calibri"/>
          <w:b/>
          <w:sz w:val="28"/>
          <w:szCs w:val="28"/>
          <w:lang w:eastAsia="en-US"/>
        </w:rPr>
        <w:t>Володкіної</w:t>
      </w:r>
      <w:proofErr w:type="spellEnd"/>
      <w:r w:rsidRPr="00520861">
        <w:rPr>
          <w:rFonts w:eastAsia="Calibri"/>
          <w:b/>
          <w:sz w:val="28"/>
          <w:szCs w:val="28"/>
          <w:lang w:eastAsia="en-US"/>
        </w:rPr>
        <w:t xml:space="preserve"> (ГІ), </w:t>
      </w:r>
      <w:proofErr w:type="spellStart"/>
      <w:r w:rsidRPr="00520861">
        <w:rPr>
          <w:rFonts w:eastAsia="Calibri"/>
          <w:b/>
          <w:sz w:val="28"/>
          <w:szCs w:val="28"/>
          <w:lang w:eastAsia="en-US"/>
        </w:rPr>
        <w:t>папілярно</w:t>
      </w:r>
      <w:proofErr w:type="spellEnd"/>
      <w:r w:rsidRPr="00520861">
        <w:rPr>
          <w:rFonts w:eastAsia="Calibri"/>
          <w:b/>
          <w:sz w:val="28"/>
          <w:szCs w:val="28"/>
          <w:lang w:eastAsia="en-US"/>
        </w:rPr>
        <w:t>-</w:t>
      </w:r>
      <w:proofErr w:type="spellStart"/>
      <w:r w:rsidRPr="00520861">
        <w:rPr>
          <w:rFonts w:eastAsia="Calibri"/>
          <w:b/>
          <w:sz w:val="28"/>
          <w:szCs w:val="28"/>
          <w:lang w:eastAsia="en-US"/>
        </w:rPr>
        <w:t>маргінально</w:t>
      </w:r>
      <w:proofErr w:type="spellEnd"/>
      <w:r w:rsidRPr="00520861">
        <w:rPr>
          <w:rFonts w:eastAsia="Calibri"/>
          <w:b/>
          <w:sz w:val="28"/>
          <w:szCs w:val="28"/>
          <w:lang w:eastAsia="en-US"/>
        </w:rPr>
        <w:t>-альвеолярний індекс (</w:t>
      </w:r>
      <w:r w:rsidRPr="00520861">
        <w:rPr>
          <w:rFonts w:eastAsia="Calibri"/>
          <w:b/>
          <w:color w:val="000000"/>
          <w:sz w:val="28"/>
          <w:szCs w:val="28"/>
          <w:lang w:eastAsia="en-US"/>
        </w:rPr>
        <w:t>РМА</w:t>
      </w:r>
      <w:r w:rsidRPr="00520861">
        <w:rPr>
          <w:rFonts w:eastAsia="Calibri"/>
          <w:b/>
          <w:sz w:val="28"/>
          <w:szCs w:val="28"/>
          <w:lang w:eastAsia="en-US"/>
        </w:rPr>
        <w:t xml:space="preserve">) в модифікації </w:t>
      </w:r>
      <w:r w:rsidRPr="00520861">
        <w:rPr>
          <w:rFonts w:eastAsia="Calibri"/>
          <w:b/>
          <w:sz w:val="28"/>
          <w:szCs w:val="28"/>
          <w:lang w:val="en-US" w:eastAsia="en-US"/>
        </w:rPr>
        <w:t>Parma</w:t>
      </w:r>
      <w:r w:rsidRPr="00520861">
        <w:rPr>
          <w:rFonts w:eastAsia="Calibri"/>
          <w:b/>
          <w:sz w:val="28"/>
          <w:szCs w:val="28"/>
          <w:lang w:eastAsia="en-US"/>
        </w:rPr>
        <w:t>.</w:t>
      </w:r>
    </w:p>
    <w:tbl>
      <w:tblPr>
        <w:tblW w:w="990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391"/>
        <w:gridCol w:w="1391"/>
        <w:gridCol w:w="1392"/>
        <w:gridCol w:w="1391"/>
        <w:gridCol w:w="1391"/>
        <w:gridCol w:w="1392"/>
      </w:tblGrid>
      <w:tr w:rsidR="00180D3E" w:rsidRPr="00520861" w14:paraId="51FE29AF" w14:textId="77777777" w:rsidTr="00292D2E">
        <w:tc>
          <w:tcPr>
            <w:tcW w:w="1559" w:type="dxa"/>
            <w:tcBorders>
              <w:top w:val="single" w:sz="4" w:space="0" w:color="auto"/>
              <w:left w:val="single" w:sz="4" w:space="0" w:color="auto"/>
              <w:bottom w:val="single" w:sz="4" w:space="0" w:color="auto"/>
              <w:right w:val="single" w:sz="4" w:space="0" w:color="auto"/>
            </w:tcBorders>
            <w:shd w:val="clear" w:color="auto" w:fill="auto"/>
          </w:tcPr>
          <w:p w14:paraId="63604060" w14:textId="77777777" w:rsidR="00180D3E" w:rsidRPr="00520861" w:rsidRDefault="00180D3E" w:rsidP="00292D2E">
            <w:pPr>
              <w:widowControl w:val="0"/>
              <w:pBdr>
                <w:top w:val="nil"/>
                <w:left w:val="nil"/>
                <w:bottom w:val="nil"/>
                <w:right w:val="nil"/>
                <w:between w:val="nil"/>
              </w:pBdr>
              <w:spacing w:line="360" w:lineRule="auto"/>
              <w:rPr>
                <w:color w:val="000000"/>
                <w:sz w:val="28"/>
                <w:szCs w:val="28"/>
              </w:rPr>
            </w:pPr>
            <w:r w:rsidRPr="00520861">
              <w:rPr>
                <w:color w:val="000000"/>
                <w:sz w:val="28"/>
                <w:szCs w:val="28"/>
              </w:rPr>
              <w:t xml:space="preserve">Група, </w:t>
            </w:r>
          </w:p>
          <w:p w14:paraId="7E92A1BA" w14:textId="77777777" w:rsidR="00180D3E" w:rsidRPr="00520861" w:rsidRDefault="00180D3E" w:rsidP="00292D2E">
            <w:pPr>
              <w:widowControl w:val="0"/>
              <w:pBdr>
                <w:top w:val="nil"/>
                <w:left w:val="nil"/>
                <w:bottom w:val="nil"/>
                <w:right w:val="nil"/>
                <w:between w:val="nil"/>
              </w:pBdr>
              <w:spacing w:line="360" w:lineRule="auto"/>
              <w:rPr>
                <w:color w:val="000000"/>
                <w:sz w:val="28"/>
                <w:szCs w:val="28"/>
              </w:rPr>
            </w:pPr>
            <w:r w:rsidRPr="00520861">
              <w:rPr>
                <w:color w:val="000000"/>
                <w:sz w:val="28"/>
                <w:szCs w:val="28"/>
              </w:rPr>
              <w:t>підгрупа</w:t>
            </w:r>
          </w:p>
        </w:tc>
        <w:tc>
          <w:tcPr>
            <w:tcW w:w="1391" w:type="dxa"/>
            <w:tcBorders>
              <w:top w:val="single" w:sz="4" w:space="0" w:color="auto"/>
              <w:left w:val="single" w:sz="4" w:space="0" w:color="auto"/>
              <w:bottom w:val="single" w:sz="4" w:space="0" w:color="auto"/>
              <w:right w:val="single" w:sz="4" w:space="0" w:color="auto"/>
            </w:tcBorders>
            <w:shd w:val="clear" w:color="auto" w:fill="auto"/>
          </w:tcPr>
          <w:p w14:paraId="5A534A44"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color w:val="000000"/>
                <w:sz w:val="28"/>
                <w:szCs w:val="28"/>
              </w:rPr>
              <w:t>ГП</w:t>
            </w:r>
          </w:p>
        </w:tc>
        <w:tc>
          <w:tcPr>
            <w:tcW w:w="1391" w:type="dxa"/>
            <w:tcBorders>
              <w:top w:val="single" w:sz="4" w:space="0" w:color="auto"/>
              <w:left w:val="single" w:sz="4" w:space="0" w:color="auto"/>
              <w:bottom w:val="single" w:sz="4" w:space="0" w:color="auto"/>
              <w:right w:val="single" w:sz="4" w:space="0" w:color="auto"/>
            </w:tcBorders>
            <w:shd w:val="clear" w:color="auto" w:fill="auto"/>
          </w:tcPr>
          <w:p w14:paraId="4854E98B"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color w:val="000000"/>
                <w:sz w:val="28"/>
                <w:szCs w:val="28"/>
              </w:rPr>
              <w:t>ОГ</w:t>
            </w:r>
          </w:p>
        </w:tc>
        <w:tc>
          <w:tcPr>
            <w:tcW w:w="1392" w:type="dxa"/>
          </w:tcPr>
          <w:p w14:paraId="7C906756"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4AD95962"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1</w:t>
            </w:r>
          </w:p>
        </w:tc>
        <w:tc>
          <w:tcPr>
            <w:tcW w:w="1391" w:type="dxa"/>
          </w:tcPr>
          <w:p w14:paraId="0F46EA48"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2E96924A"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2</w:t>
            </w:r>
          </w:p>
        </w:tc>
        <w:tc>
          <w:tcPr>
            <w:tcW w:w="1391" w:type="dxa"/>
          </w:tcPr>
          <w:p w14:paraId="6176FB52"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2C945BD9"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3</w:t>
            </w:r>
          </w:p>
        </w:tc>
        <w:tc>
          <w:tcPr>
            <w:tcW w:w="1392" w:type="dxa"/>
          </w:tcPr>
          <w:p w14:paraId="52944C41"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1E3E2AD7"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4</w:t>
            </w:r>
          </w:p>
        </w:tc>
      </w:tr>
      <w:tr w:rsidR="00180D3E" w:rsidRPr="00520861" w14:paraId="2D1F3764" w14:textId="77777777" w:rsidTr="00292D2E">
        <w:tc>
          <w:tcPr>
            <w:tcW w:w="1559" w:type="dxa"/>
            <w:tcBorders>
              <w:top w:val="single" w:sz="4" w:space="0" w:color="auto"/>
              <w:left w:val="single" w:sz="4" w:space="0" w:color="auto"/>
              <w:bottom w:val="single" w:sz="4" w:space="0" w:color="auto"/>
              <w:right w:val="single" w:sz="4" w:space="0" w:color="auto"/>
            </w:tcBorders>
            <w:shd w:val="clear" w:color="auto" w:fill="auto"/>
          </w:tcPr>
          <w:p w14:paraId="1E920587" w14:textId="77777777" w:rsidR="00180D3E" w:rsidRPr="00520861" w:rsidRDefault="00180D3E" w:rsidP="00292D2E">
            <w:pPr>
              <w:widowControl w:val="0"/>
              <w:pBdr>
                <w:top w:val="nil"/>
                <w:left w:val="nil"/>
                <w:bottom w:val="nil"/>
                <w:right w:val="nil"/>
                <w:between w:val="nil"/>
              </w:pBdr>
              <w:spacing w:line="360" w:lineRule="auto"/>
              <w:rPr>
                <w:rFonts w:eastAsia="Calibri"/>
                <w:color w:val="000000"/>
                <w:sz w:val="28"/>
                <w:szCs w:val="28"/>
                <w:lang w:eastAsia="en-US"/>
              </w:rPr>
            </w:pPr>
            <w:r w:rsidRPr="00520861">
              <w:rPr>
                <w:rFonts w:eastAsia="Calibri"/>
                <w:color w:val="000000"/>
                <w:sz w:val="28"/>
                <w:szCs w:val="28"/>
                <w:lang w:eastAsia="en-US"/>
              </w:rPr>
              <w:t>ГІ, бали</w:t>
            </w:r>
          </w:p>
        </w:tc>
        <w:tc>
          <w:tcPr>
            <w:tcW w:w="1391" w:type="dxa"/>
            <w:tcBorders>
              <w:top w:val="single" w:sz="4" w:space="0" w:color="auto"/>
              <w:left w:val="single" w:sz="4" w:space="0" w:color="auto"/>
              <w:bottom w:val="single" w:sz="4" w:space="0" w:color="auto"/>
              <w:right w:val="single" w:sz="4" w:space="0" w:color="auto"/>
            </w:tcBorders>
          </w:tcPr>
          <w:p w14:paraId="62EAD58C"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1,72</w:t>
            </w:r>
          </w:p>
          <w:p w14:paraId="660F3CF7"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14:paraId="71A2B927"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1,62</w:t>
            </w:r>
          </w:p>
          <w:p w14:paraId="0AA5FCD1"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р</w:t>
            </w:r>
            <w:r w:rsidRPr="00520861">
              <w:rPr>
                <w:rFonts w:eastAsia="Calibri"/>
                <w:color w:val="000000"/>
                <w:sz w:val="28"/>
                <w:szCs w:val="28"/>
                <w:lang w:eastAsia="en-US"/>
              </w:rPr>
              <w:t>=0,779</w:t>
            </w:r>
          </w:p>
        </w:tc>
        <w:tc>
          <w:tcPr>
            <w:tcW w:w="1392" w:type="dxa"/>
            <w:tcBorders>
              <w:top w:val="single" w:sz="4" w:space="0" w:color="auto"/>
              <w:left w:val="single" w:sz="4" w:space="0" w:color="auto"/>
              <w:bottom w:val="single" w:sz="4" w:space="0" w:color="auto"/>
              <w:right w:val="single" w:sz="4" w:space="0" w:color="auto"/>
            </w:tcBorders>
            <w:shd w:val="clear" w:color="auto" w:fill="auto"/>
          </w:tcPr>
          <w:p w14:paraId="1CE083EB"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1,63</w:t>
            </w:r>
          </w:p>
          <w:p w14:paraId="6C31855E"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p</w:t>
            </w:r>
            <w:r w:rsidRPr="00520861">
              <w:rPr>
                <w:rFonts w:eastAsia="Calibri"/>
                <w:color w:val="000000"/>
                <w:sz w:val="28"/>
                <w:szCs w:val="28"/>
                <w:lang w:eastAsia="en-US"/>
              </w:rPr>
              <w:t>=0,957</w:t>
            </w:r>
          </w:p>
        </w:tc>
        <w:tc>
          <w:tcPr>
            <w:tcW w:w="1391" w:type="dxa"/>
            <w:tcBorders>
              <w:top w:val="single" w:sz="4" w:space="0" w:color="auto"/>
              <w:left w:val="single" w:sz="4" w:space="0" w:color="auto"/>
              <w:bottom w:val="single" w:sz="4" w:space="0" w:color="auto"/>
              <w:right w:val="single" w:sz="4" w:space="0" w:color="auto"/>
            </w:tcBorders>
            <w:shd w:val="clear" w:color="auto" w:fill="auto"/>
          </w:tcPr>
          <w:p w14:paraId="42D64D6D"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1,87</w:t>
            </w:r>
          </w:p>
          <w:p w14:paraId="32652631"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p</w:t>
            </w:r>
            <w:r w:rsidRPr="00520861">
              <w:rPr>
                <w:rFonts w:eastAsia="Calibri"/>
                <w:color w:val="000000"/>
                <w:sz w:val="28"/>
                <w:szCs w:val="28"/>
                <w:lang w:eastAsia="en-US"/>
              </w:rPr>
              <w:t>=0,413</w:t>
            </w:r>
          </w:p>
        </w:tc>
        <w:tc>
          <w:tcPr>
            <w:tcW w:w="1391" w:type="dxa"/>
            <w:tcBorders>
              <w:top w:val="single" w:sz="4" w:space="0" w:color="auto"/>
              <w:left w:val="single" w:sz="4" w:space="0" w:color="auto"/>
              <w:bottom w:val="single" w:sz="4" w:space="0" w:color="auto"/>
              <w:right w:val="single" w:sz="4" w:space="0" w:color="auto"/>
            </w:tcBorders>
            <w:shd w:val="clear" w:color="auto" w:fill="auto"/>
          </w:tcPr>
          <w:p w14:paraId="6D76E63D"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1,36</w:t>
            </w:r>
          </w:p>
          <w:p w14:paraId="056B9418"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p</w:t>
            </w:r>
            <w:r w:rsidRPr="00520861">
              <w:rPr>
                <w:rFonts w:eastAsia="Calibri"/>
                <w:color w:val="000000"/>
                <w:sz w:val="28"/>
                <w:szCs w:val="28"/>
                <w:lang w:eastAsia="en-US"/>
              </w:rPr>
              <w:t>=0,164</w:t>
            </w:r>
          </w:p>
        </w:tc>
        <w:tc>
          <w:tcPr>
            <w:tcW w:w="1392" w:type="dxa"/>
            <w:tcBorders>
              <w:top w:val="single" w:sz="4" w:space="0" w:color="auto"/>
              <w:left w:val="single" w:sz="4" w:space="0" w:color="auto"/>
              <w:bottom w:val="single" w:sz="4" w:space="0" w:color="auto"/>
              <w:right w:val="single" w:sz="4" w:space="0" w:color="auto"/>
            </w:tcBorders>
            <w:shd w:val="clear" w:color="auto" w:fill="auto"/>
          </w:tcPr>
          <w:p w14:paraId="0B1D1FC8"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1,60</w:t>
            </w:r>
          </w:p>
          <w:p w14:paraId="775904EF"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t>p</w:t>
            </w:r>
            <w:r w:rsidRPr="00520861">
              <w:rPr>
                <w:rFonts w:eastAsia="Calibri"/>
                <w:color w:val="000000"/>
                <w:sz w:val="28"/>
                <w:szCs w:val="28"/>
                <w:lang w:eastAsia="en-US"/>
              </w:rPr>
              <w:t>=0,851</w:t>
            </w:r>
          </w:p>
        </w:tc>
      </w:tr>
      <w:tr w:rsidR="00180D3E" w:rsidRPr="00520861" w14:paraId="04A328D0" w14:textId="77777777" w:rsidTr="00292D2E">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19CC6D4" w14:textId="77777777" w:rsidR="00180D3E" w:rsidRPr="00520861" w:rsidRDefault="00180D3E" w:rsidP="00292D2E">
            <w:pPr>
              <w:widowControl w:val="0"/>
              <w:pBdr>
                <w:top w:val="nil"/>
                <w:left w:val="nil"/>
                <w:bottom w:val="nil"/>
                <w:right w:val="nil"/>
                <w:between w:val="nil"/>
              </w:pBdr>
              <w:spacing w:line="360" w:lineRule="auto"/>
              <w:rPr>
                <w:rFonts w:eastAsia="Calibri"/>
                <w:color w:val="000000"/>
                <w:sz w:val="28"/>
                <w:szCs w:val="28"/>
                <w:lang w:eastAsia="en-US"/>
              </w:rPr>
            </w:pPr>
            <w:r w:rsidRPr="00520861">
              <w:rPr>
                <w:rFonts w:eastAsia="Calibri"/>
                <w:color w:val="000000"/>
                <w:sz w:val="28"/>
                <w:szCs w:val="28"/>
                <w:lang w:eastAsia="en-US"/>
              </w:rPr>
              <w:t>РМА, %</w:t>
            </w:r>
          </w:p>
        </w:tc>
        <w:tc>
          <w:tcPr>
            <w:tcW w:w="1391" w:type="dxa"/>
            <w:tcBorders>
              <w:top w:val="single" w:sz="4" w:space="0" w:color="auto"/>
              <w:left w:val="single" w:sz="4" w:space="0" w:color="auto"/>
              <w:bottom w:val="single" w:sz="4" w:space="0" w:color="auto"/>
              <w:right w:val="single" w:sz="4" w:space="0" w:color="auto"/>
            </w:tcBorders>
          </w:tcPr>
          <w:p w14:paraId="16848225"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t>13,44</w:t>
            </w:r>
          </w:p>
          <w:p w14:paraId="748171B9"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p>
        </w:tc>
        <w:tc>
          <w:tcPr>
            <w:tcW w:w="1391" w:type="dxa"/>
            <w:tcBorders>
              <w:top w:val="single" w:sz="4" w:space="0" w:color="auto"/>
              <w:left w:val="single" w:sz="4" w:space="0" w:color="auto"/>
              <w:bottom w:val="single" w:sz="4" w:space="0" w:color="auto"/>
              <w:right w:val="single" w:sz="4" w:space="0" w:color="auto"/>
            </w:tcBorders>
            <w:shd w:val="clear" w:color="auto" w:fill="auto"/>
            <w:hideMark/>
          </w:tcPr>
          <w:p w14:paraId="24F4AD76"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lastRenderedPageBreak/>
              <w:t>13,23</w:t>
            </w:r>
          </w:p>
          <w:p w14:paraId="59AF4708"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lastRenderedPageBreak/>
              <w:t>p</w:t>
            </w:r>
            <w:r w:rsidRPr="00520861">
              <w:rPr>
                <w:rFonts w:eastAsia="Calibri"/>
                <w:color w:val="000000"/>
                <w:sz w:val="28"/>
                <w:szCs w:val="28"/>
                <w:lang w:eastAsia="en-US"/>
              </w:rPr>
              <w:t>=0,859</w:t>
            </w:r>
          </w:p>
        </w:tc>
        <w:tc>
          <w:tcPr>
            <w:tcW w:w="1392" w:type="dxa"/>
            <w:tcBorders>
              <w:top w:val="single" w:sz="4" w:space="0" w:color="auto"/>
              <w:left w:val="single" w:sz="4" w:space="0" w:color="auto"/>
              <w:bottom w:val="single" w:sz="4" w:space="0" w:color="auto"/>
              <w:right w:val="single" w:sz="4" w:space="0" w:color="auto"/>
            </w:tcBorders>
            <w:shd w:val="clear" w:color="auto" w:fill="auto"/>
            <w:hideMark/>
          </w:tcPr>
          <w:p w14:paraId="3444DC77"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lastRenderedPageBreak/>
              <w:t>14,70</w:t>
            </w:r>
          </w:p>
          <w:p w14:paraId="50CAA3E9"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lastRenderedPageBreak/>
              <w:t>p</w:t>
            </w:r>
            <w:r w:rsidRPr="00520861">
              <w:rPr>
                <w:rFonts w:eastAsia="Calibri"/>
                <w:color w:val="000000"/>
                <w:sz w:val="28"/>
                <w:szCs w:val="28"/>
                <w:lang w:eastAsia="en-US"/>
              </w:rPr>
              <w:t>=0,914</w:t>
            </w:r>
          </w:p>
        </w:tc>
        <w:tc>
          <w:tcPr>
            <w:tcW w:w="1391" w:type="dxa"/>
            <w:tcBorders>
              <w:top w:val="single" w:sz="4" w:space="0" w:color="auto"/>
              <w:left w:val="single" w:sz="4" w:space="0" w:color="auto"/>
              <w:bottom w:val="single" w:sz="4" w:space="0" w:color="auto"/>
              <w:right w:val="single" w:sz="4" w:space="0" w:color="auto"/>
            </w:tcBorders>
            <w:shd w:val="clear" w:color="auto" w:fill="auto"/>
          </w:tcPr>
          <w:p w14:paraId="08FF03F4"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lastRenderedPageBreak/>
              <w:t>17,14</w:t>
            </w:r>
          </w:p>
          <w:p w14:paraId="3A47671B"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lastRenderedPageBreak/>
              <w:t>p</w:t>
            </w:r>
            <w:r w:rsidRPr="00520861">
              <w:rPr>
                <w:rFonts w:eastAsia="Calibri"/>
                <w:color w:val="000000"/>
                <w:sz w:val="28"/>
                <w:szCs w:val="28"/>
                <w:lang w:eastAsia="en-US"/>
              </w:rPr>
              <w:t>=0,656</w:t>
            </w:r>
          </w:p>
        </w:tc>
        <w:tc>
          <w:tcPr>
            <w:tcW w:w="1391" w:type="dxa"/>
            <w:tcBorders>
              <w:top w:val="single" w:sz="4" w:space="0" w:color="auto"/>
              <w:left w:val="single" w:sz="4" w:space="0" w:color="auto"/>
              <w:bottom w:val="single" w:sz="4" w:space="0" w:color="auto"/>
              <w:right w:val="single" w:sz="4" w:space="0" w:color="auto"/>
            </w:tcBorders>
            <w:shd w:val="clear" w:color="auto" w:fill="auto"/>
          </w:tcPr>
          <w:p w14:paraId="604B4AE0"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lastRenderedPageBreak/>
              <w:t>8,57</w:t>
            </w:r>
          </w:p>
          <w:p w14:paraId="43846BEF"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lastRenderedPageBreak/>
              <w:t>p</w:t>
            </w:r>
            <w:r w:rsidRPr="00520861">
              <w:rPr>
                <w:rFonts w:eastAsia="Calibri"/>
                <w:color w:val="000000"/>
                <w:sz w:val="28"/>
                <w:szCs w:val="28"/>
                <w:lang w:eastAsia="en-US"/>
              </w:rPr>
              <w:t>=0,362</w:t>
            </w:r>
          </w:p>
        </w:tc>
        <w:tc>
          <w:tcPr>
            <w:tcW w:w="1392" w:type="dxa"/>
            <w:tcBorders>
              <w:top w:val="single" w:sz="4" w:space="0" w:color="auto"/>
              <w:left w:val="single" w:sz="4" w:space="0" w:color="auto"/>
              <w:bottom w:val="single" w:sz="4" w:space="0" w:color="auto"/>
              <w:right w:val="single" w:sz="4" w:space="0" w:color="auto"/>
            </w:tcBorders>
            <w:shd w:val="clear" w:color="auto" w:fill="auto"/>
          </w:tcPr>
          <w:p w14:paraId="4A2D93A1"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color w:val="000000"/>
                <w:sz w:val="28"/>
                <w:szCs w:val="28"/>
                <w:lang w:eastAsia="en-US"/>
              </w:rPr>
              <w:lastRenderedPageBreak/>
              <w:t>11,67</w:t>
            </w:r>
          </w:p>
          <w:p w14:paraId="51855F3B"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lang w:eastAsia="en-US"/>
              </w:rPr>
            </w:pPr>
            <w:r w:rsidRPr="00520861">
              <w:rPr>
                <w:rFonts w:eastAsia="Calibri"/>
                <w:i/>
                <w:color w:val="000000"/>
                <w:sz w:val="28"/>
                <w:szCs w:val="28"/>
                <w:lang w:eastAsia="en-US"/>
              </w:rPr>
              <w:lastRenderedPageBreak/>
              <w:t>p</w:t>
            </w:r>
            <w:r w:rsidRPr="00520861">
              <w:rPr>
                <w:rFonts w:eastAsia="Calibri"/>
                <w:color w:val="000000"/>
                <w:sz w:val="28"/>
                <w:szCs w:val="28"/>
                <w:lang w:eastAsia="en-US"/>
              </w:rPr>
              <w:t>=0,817</w:t>
            </w:r>
          </w:p>
        </w:tc>
      </w:tr>
    </w:tbl>
    <w:p w14:paraId="026166E4" w14:textId="77777777" w:rsidR="00180D3E" w:rsidRPr="00520861" w:rsidRDefault="00180D3E" w:rsidP="00292D2E">
      <w:pPr>
        <w:widowControl w:val="0"/>
        <w:spacing w:line="360" w:lineRule="auto"/>
        <w:ind w:firstLine="720"/>
        <w:jc w:val="both"/>
        <w:rPr>
          <w:spacing w:val="-1"/>
          <w:sz w:val="28"/>
          <w:szCs w:val="28"/>
        </w:rPr>
      </w:pPr>
    </w:p>
    <w:p w14:paraId="6DB4FC90" w14:textId="77777777" w:rsidR="00180D3E" w:rsidRPr="00520861" w:rsidRDefault="00180D3E" w:rsidP="00292D2E">
      <w:pPr>
        <w:widowControl w:val="0"/>
        <w:pBdr>
          <w:top w:val="nil"/>
          <w:left w:val="nil"/>
          <w:bottom w:val="nil"/>
          <w:right w:val="nil"/>
          <w:between w:val="nil"/>
        </w:pBdr>
        <w:spacing w:line="360" w:lineRule="auto"/>
        <w:ind w:firstLine="708"/>
        <w:jc w:val="both"/>
        <w:rPr>
          <w:rFonts w:eastAsia="Calibri"/>
          <w:sz w:val="28"/>
          <w:szCs w:val="28"/>
        </w:rPr>
      </w:pPr>
      <w:r w:rsidRPr="00520861">
        <w:rPr>
          <w:rFonts w:eastAsia="Calibri"/>
          <w:sz w:val="28"/>
          <w:szCs w:val="28"/>
          <w:lang w:eastAsia="en-US"/>
        </w:rPr>
        <w:t xml:space="preserve">Отже, у період змінного прикусу у вірогідно більшої кількості дітей, які </w:t>
      </w:r>
      <w:r w:rsidR="0000090A" w:rsidRPr="00520861">
        <w:rPr>
          <w:rFonts w:eastAsia="Calibri"/>
          <w:sz w:val="28"/>
          <w:szCs w:val="28"/>
          <w:lang w:eastAsia="en-US"/>
        </w:rPr>
        <w:br/>
      </w:r>
      <w:r w:rsidRPr="00520861">
        <w:rPr>
          <w:rFonts w:eastAsia="Calibri"/>
          <w:sz w:val="28"/>
          <w:szCs w:val="28"/>
          <w:lang w:eastAsia="en-US"/>
        </w:rPr>
        <w:t xml:space="preserve">народилися </w:t>
      </w:r>
      <w:proofErr w:type="spellStart"/>
      <w:r w:rsidRPr="00520861">
        <w:rPr>
          <w:rFonts w:eastAsia="Calibri"/>
          <w:sz w:val="28"/>
          <w:szCs w:val="28"/>
          <w:lang w:eastAsia="en-US"/>
        </w:rPr>
        <w:t>макросомими</w:t>
      </w:r>
      <w:proofErr w:type="spellEnd"/>
      <w:r w:rsidRPr="00520861">
        <w:rPr>
          <w:rFonts w:eastAsia="Calibri"/>
          <w:sz w:val="28"/>
          <w:szCs w:val="28"/>
          <w:lang w:eastAsia="en-US"/>
        </w:rPr>
        <w:t xml:space="preserve"> та на момент народження не мали ознак ВУ ожиріння </w:t>
      </w:r>
      <w:r w:rsidRPr="00520861">
        <w:rPr>
          <w:rFonts w:eastAsia="Calibri"/>
          <w:sz w:val="28"/>
          <w:szCs w:val="28"/>
          <w:lang w:eastAsia="en-US"/>
        </w:rPr>
        <w:br/>
        <w:t xml:space="preserve">(об’єднана </w:t>
      </w:r>
      <w:r w:rsidRPr="00520861">
        <w:rPr>
          <w:rFonts w:eastAsia="Calibri"/>
          <w:spacing w:val="-6"/>
          <w:sz w:val="28"/>
          <w:szCs w:val="28"/>
          <w:lang w:eastAsia="en-US"/>
        </w:rPr>
        <w:t>підгрупа 1+2</w:t>
      </w:r>
      <w:r w:rsidRPr="00520861">
        <w:rPr>
          <w:rFonts w:eastAsia="Calibri"/>
          <w:sz w:val="28"/>
          <w:szCs w:val="28"/>
          <w:lang w:eastAsia="en-US"/>
        </w:rPr>
        <w:t xml:space="preserve">), порівняно з дітьми, чиї МРП на момент народження були оцінені як норма (ГП), спостерігався </w:t>
      </w:r>
      <w:r w:rsidRPr="00520861">
        <w:rPr>
          <w:rFonts w:eastAsia="Calibri"/>
          <w:sz w:val="28"/>
          <w:szCs w:val="28"/>
        </w:rPr>
        <w:t xml:space="preserve">хронічний катаральний гінгівіт. </w:t>
      </w:r>
    </w:p>
    <w:p w14:paraId="534A01F2" w14:textId="77777777" w:rsidR="00180D3E" w:rsidRPr="00520861" w:rsidRDefault="00180D3E" w:rsidP="00292D2E">
      <w:pPr>
        <w:widowControl w:val="0"/>
        <w:pBdr>
          <w:top w:val="nil"/>
          <w:left w:val="nil"/>
          <w:bottom w:val="nil"/>
          <w:right w:val="nil"/>
          <w:between w:val="nil"/>
        </w:pBdr>
        <w:spacing w:line="360" w:lineRule="auto"/>
        <w:ind w:firstLine="708"/>
        <w:jc w:val="both"/>
        <w:rPr>
          <w:rFonts w:eastAsia="Calibri"/>
          <w:sz w:val="28"/>
          <w:szCs w:val="28"/>
        </w:rPr>
      </w:pPr>
    </w:p>
    <w:p w14:paraId="59398564" w14:textId="77777777" w:rsidR="00180D3E" w:rsidRPr="00520861" w:rsidRDefault="00180D3E" w:rsidP="00292D2E">
      <w:pPr>
        <w:widowControl w:val="0"/>
        <w:spacing w:line="360" w:lineRule="auto"/>
        <w:ind w:firstLine="709"/>
        <w:jc w:val="both"/>
        <w:rPr>
          <w:rFonts w:eastAsia="Calibri"/>
          <w:b/>
          <w:sz w:val="28"/>
          <w:szCs w:val="28"/>
          <w:lang w:eastAsia="en-US"/>
        </w:rPr>
      </w:pPr>
      <w:r w:rsidRPr="00520861">
        <w:rPr>
          <w:rFonts w:eastAsia="Calibri"/>
          <w:b/>
          <w:sz w:val="28"/>
          <w:szCs w:val="28"/>
          <w:lang w:eastAsia="en-US"/>
        </w:rPr>
        <w:t xml:space="preserve">7.3. Результати вивчення стану тканин </w:t>
      </w:r>
      <w:proofErr w:type="spellStart"/>
      <w:r w:rsidRPr="00520861">
        <w:rPr>
          <w:rFonts w:eastAsia="Calibri"/>
          <w:b/>
          <w:sz w:val="28"/>
          <w:szCs w:val="28"/>
          <w:lang w:eastAsia="en-US"/>
        </w:rPr>
        <w:t>пародонта</w:t>
      </w:r>
      <w:proofErr w:type="spellEnd"/>
      <w:r w:rsidRPr="00520861">
        <w:rPr>
          <w:rFonts w:eastAsia="Calibri"/>
          <w:b/>
          <w:sz w:val="28"/>
          <w:szCs w:val="28"/>
          <w:lang w:eastAsia="en-US"/>
        </w:rPr>
        <w:t xml:space="preserve"> в період постійного при-кусу (ВП-V, ВП-VI, ВП-VII, ВП-VIII) в осіб, які народилися </w:t>
      </w:r>
      <w:proofErr w:type="spellStart"/>
      <w:r w:rsidRPr="00520861">
        <w:rPr>
          <w:rFonts w:eastAsia="Calibri"/>
          <w:b/>
          <w:sz w:val="28"/>
          <w:szCs w:val="28"/>
          <w:lang w:eastAsia="en-US"/>
        </w:rPr>
        <w:t>макросомами</w:t>
      </w:r>
      <w:proofErr w:type="spellEnd"/>
    </w:p>
    <w:p w14:paraId="0EBF3D6D" w14:textId="77777777" w:rsidR="00180D3E" w:rsidRPr="00520861" w:rsidRDefault="00180D3E" w:rsidP="00292D2E">
      <w:pPr>
        <w:widowControl w:val="0"/>
        <w:spacing w:line="360" w:lineRule="auto"/>
        <w:ind w:firstLine="709"/>
        <w:jc w:val="both"/>
        <w:rPr>
          <w:rFonts w:eastAsia="Calibri"/>
          <w:b/>
          <w:sz w:val="28"/>
          <w:szCs w:val="28"/>
          <w:lang w:eastAsia="en-US"/>
        </w:rPr>
      </w:pPr>
    </w:p>
    <w:p w14:paraId="59A427E2" w14:textId="77777777" w:rsidR="00180D3E" w:rsidRPr="00520861" w:rsidRDefault="00180D3E" w:rsidP="00292D2E">
      <w:pPr>
        <w:widowControl w:val="0"/>
        <w:pBdr>
          <w:top w:val="nil"/>
          <w:left w:val="nil"/>
          <w:bottom w:val="nil"/>
          <w:right w:val="nil"/>
          <w:between w:val="nil"/>
        </w:pBdr>
        <w:spacing w:line="360" w:lineRule="auto"/>
        <w:ind w:firstLine="708"/>
        <w:jc w:val="both"/>
        <w:rPr>
          <w:rFonts w:eastAsia="Calibri"/>
          <w:sz w:val="28"/>
          <w:szCs w:val="28"/>
          <w:lang w:eastAsia="en-US"/>
        </w:rPr>
      </w:pPr>
      <w:r w:rsidRPr="00520861">
        <w:rPr>
          <w:rFonts w:eastAsia="Calibri"/>
          <w:sz w:val="28"/>
          <w:szCs w:val="28"/>
          <w:lang w:eastAsia="en-US"/>
        </w:rPr>
        <w:t>Стан гігієни ПР в осіб ОГ і ГП практично у всіх ВП вірогідно не відрізнявся (табл. 7.3), на рівні підгруп спостерігалася чітка тенденція до більш «кращого» гігієнічного стану порожнини рота в учасників підгрупи 3 та підгрупи 4.</w:t>
      </w:r>
    </w:p>
    <w:p w14:paraId="099AE62B" w14:textId="77777777" w:rsidR="00180D3E" w:rsidRPr="00520861" w:rsidRDefault="00180D3E" w:rsidP="00292D2E">
      <w:pPr>
        <w:widowControl w:val="0"/>
        <w:spacing w:line="360" w:lineRule="auto"/>
        <w:ind w:right="141" w:firstLine="708"/>
        <w:jc w:val="both"/>
        <w:rPr>
          <w:rFonts w:eastAsia="Calibri"/>
          <w:sz w:val="28"/>
          <w:szCs w:val="28"/>
          <w:lang w:eastAsia="en-US"/>
        </w:rPr>
      </w:pPr>
      <w:r w:rsidRPr="00520861">
        <w:rPr>
          <w:rFonts w:eastAsia="Calibri"/>
          <w:sz w:val="28"/>
          <w:szCs w:val="28"/>
          <w:lang w:eastAsia="en-US"/>
        </w:rPr>
        <w:t>Проведене стоматологічне обстеження виявило, що у</w:t>
      </w:r>
      <w:r w:rsidRPr="00520861">
        <w:rPr>
          <w:rFonts w:eastAsia="Calibri"/>
          <w:b/>
          <w:sz w:val="28"/>
          <w:szCs w:val="28"/>
          <w:lang w:eastAsia="en-US"/>
        </w:rPr>
        <w:t xml:space="preserve"> </w:t>
      </w:r>
      <w:r w:rsidRPr="00520861">
        <w:rPr>
          <w:rFonts w:eastAsia="Calibri"/>
          <w:sz w:val="28"/>
          <w:szCs w:val="28"/>
          <w:lang w:eastAsia="en-US"/>
        </w:rPr>
        <w:t>ВП-</w:t>
      </w:r>
      <w:r w:rsidRPr="00520861">
        <w:rPr>
          <w:sz w:val="28"/>
          <w:szCs w:val="28"/>
        </w:rPr>
        <w:t xml:space="preserve">V </w:t>
      </w:r>
      <w:r w:rsidRPr="00520861">
        <w:rPr>
          <w:rFonts w:eastAsia="Calibri"/>
          <w:sz w:val="28"/>
          <w:szCs w:val="28"/>
          <w:lang w:eastAsia="en-US"/>
        </w:rPr>
        <w:t xml:space="preserve">захворювання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зафіксовані у 24 (92,3%; ДІ: 80,4% </w:t>
      </w:r>
      <w:r w:rsidRPr="00520861">
        <w:rPr>
          <w:sz w:val="28"/>
          <w:szCs w:val="28"/>
        </w:rPr>
        <w:t>–</w:t>
      </w:r>
      <w:r w:rsidRPr="00520861">
        <w:rPr>
          <w:rFonts w:eastAsia="Calibri"/>
          <w:sz w:val="28"/>
          <w:szCs w:val="28"/>
          <w:lang w:eastAsia="en-US"/>
        </w:rPr>
        <w:t xml:space="preserve"> 97,6%) підлітків ОГ. </w:t>
      </w:r>
      <w:r w:rsidRPr="00520861">
        <w:rPr>
          <w:rFonts w:eastAsia="Calibri"/>
          <w:spacing w:val="-2"/>
          <w:sz w:val="28"/>
          <w:szCs w:val="28"/>
          <w:lang w:eastAsia="en-US"/>
        </w:rPr>
        <w:t>Гінгівіт був виявлений у 22 (85</w:t>
      </w:r>
      <w:r w:rsidR="00611A5B" w:rsidRPr="00520861">
        <w:rPr>
          <w:rFonts w:eastAsia="Calibri"/>
          <w:spacing w:val="-2"/>
          <w:sz w:val="28"/>
          <w:szCs w:val="28"/>
          <w:lang w:eastAsia="en-US"/>
        </w:rPr>
        <w:t>%</w:t>
      </w:r>
      <w:r w:rsidRPr="00520861">
        <w:rPr>
          <w:rFonts w:eastAsia="Calibri"/>
          <w:spacing w:val="-2"/>
          <w:sz w:val="28"/>
          <w:szCs w:val="28"/>
          <w:lang w:eastAsia="en-US"/>
        </w:rPr>
        <w:t xml:space="preserve">) осіб, </w:t>
      </w:r>
      <w:proofErr w:type="spellStart"/>
      <w:r w:rsidRPr="00520861">
        <w:rPr>
          <w:rFonts w:eastAsia="Calibri"/>
          <w:spacing w:val="-2"/>
          <w:sz w:val="28"/>
          <w:szCs w:val="28"/>
          <w:lang w:eastAsia="en-US"/>
        </w:rPr>
        <w:t>генералізований</w:t>
      </w:r>
      <w:proofErr w:type="spellEnd"/>
      <w:r w:rsidRPr="00520861">
        <w:rPr>
          <w:rFonts w:eastAsia="Calibri"/>
          <w:spacing w:val="-2"/>
          <w:sz w:val="28"/>
          <w:szCs w:val="28"/>
          <w:lang w:eastAsia="en-US"/>
        </w:rPr>
        <w:t xml:space="preserve"> </w:t>
      </w:r>
      <w:proofErr w:type="spellStart"/>
      <w:r w:rsidRPr="00520861">
        <w:rPr>
          <w:rFonts w:eastAsia="Calibri"/>
          <w:spacing w:val="-2"/>
          <w:sz w:val="28"/>
          <w:szCs w:val="28"/>
          <w:lang w:eastAsia="en-US"/>
        </w:rPr>
        <w:t>пародонтит</w:t>
      </w:r>
      <w:proofErr w:type="spellEnd"/>
      <w:r w:rsidRPr="00520861">
        <w:rPr>
          <w:rFonts w:eastAsia="Calibri"/>
          <w:spacing w:val="-2"/>
          <w:sz w:val="28"/>
          <w:szCs w:val="28"/>
          <w:lang w:eastAsia="en-US"/>
        </w:rPr>
        <w:t xml:space="preserve"> початкового ступеня </w:t>
      </w:r>
      <w:r w:rsidRPr="00520861">
        <w:rPr>
          <w:spacing w:val="-2"/>
          <w:sz w:val="28"/>
          <w:szCs w:val="28"/>
        </w:rPr>
        <w:t xml:space="preserve">– </w:t>
      </w:r>
      <w:r w:rsidRPr="00520861">
        <w:rPr>
          <w:rFonts w:eastAsia="Calibri"/>
          <w:spacing w:val="-2"/>
          <w:sz w:val="28"/>
          <w:szCs w:val="28"/>
          <w:lang w:eastAsia="en-US"/>
        </w:rPr>
        <w:t>у 2 (8</w:t>
      </w:r>
      <w:r w:rsidR="00611A5B" w:rsidRPr="00520861">
        <w:rPr>
          <w:rFonts w:eastAsia="Calibri"/>
          <w:spacing w:val="-2"/>
          <w:sz w:val="28"/>
          <w:szCs w:val="28"/>
          <w:lang w:eastAsia="en-US"/>
        </w:rPr>
        <w:t>%</w:t>
      </w:r>
      <w:r w:rsidRPr="00520861">
        <w:rPr>
          <w:rFonts w:eastAsia="Calibri"/>
          <w:spacing w:val="-2"/>
          <w:sz w:val="28"/>
          <w:szCs w:val="28"/>
          <w:lang w:eastAsia="en-US"/>
        </w:rPr>
        <w:t xml:space="preserve">) обстежених із підгруп 1 і 2, а дві особи із підгрупи 3 і підгрупи 4 мали здоровий пародонт. </w:t>
      </w:r>
      <w:r w:rsidRPr="00520861">
        <w:rPr>
          <w:rFonts w:eastAsia="Calibri"/>
          <w:sz w:val="28"/>
          <w:szCs w:val="28"/>
          <w:lang w:eastAsia="en-US"/>
        </w:rPr>
        <w:t>У ГП гінгівіт був виявлений у 12 (85,7</w:t>
      </w:r>
      <w:r w:rsidR="00611A5B" w:rsidRPr="00520861">
        <w:rPr>
          <w:rFonts w:eastAsia="Calibri"/>
          <w:sz w:val="28"/>
          <w:szCs w:val="28"/>
          <w:lang w:eastAsia="en-US"/>
        </w:rPr>
        <w:t>%</w:t>
      </w:r>
      <w:r w:rsidRPr="00520861">
        <w:rPr>
          <w:rFonts w:eastAsia="Calibri"/>
          <w:sz w:val="28"/>
          <w:szCs w:val="28"/>
          <w:lang w:eastAsia="en-US"/>
        </w:rPr>
        <w:t>; ДІ: 66,1</w:t>
      </w:r>
      <w:r w:rsidR="00611A5B"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95,3</w:t>
      </w:r>
      <w:r w:rsidR="00611A5B" w:rsidRPr="00520861">
        <w:rPr>
          <w:rFonts w:eastAsia="Calibri"/>
          <w:sz w:val="28"/>
          <w:szCs w:val="28"/>
          <w:lang w:eastAsia="en-US"/>
        </w:rPr>
        <w:t>%</w:t>
      </w:r>
      <w:r w:rsidRPr="00520861">
        <w:rPr>
          <w:rFonts w:eastAsia="Calibri"/>
          <w:sz w:val="28"/>
          <w:szCs w:val="28"/>
          <w:lang w:eastAsia="en-US"/>
        </w:rPr>
        <w:t xml:space="preserve">) осіб. </w:t>
      </w:r>
    </w:p>
    <w:p w14:paraId="167CA3AA" w14:textId="77777777" w:rsidR="00180D3E" w:rsidRPr="00520861" w:rsidRDefault="00180D3E" w:rsidP="00292D2E">
      <w:pPr>
        <w:widowControl w:val="0"/>
        <w:pBdr>
          <w:top w:val="nil"/>
          <w:left w:val="nil"/>
          <w:bottom w:val="nil"/>
          <w:right w:val="nil"/>
          <w:between w:val="nil"/>
        </w:pBdr>
        <w:spacing w:line="360" w:lineRule="auto"/>
        <w:ind w:right="141" w:firstLine="708"/>
        <w:jc w:val="both"/>
        <w:rPr>
          <w:spacing w:val="-6"/>
          <w:sz w:val="28"/>
          <w:szCs w:val="28"/>
        </w:rPr>
      </w:pPr>
      <w:r w:rsidRPr="00520861">
        <w:rPr>
          <w:spacing w:val="-6"/>
          <w:sz w:val="28"/>
          <w:szCs w:val="28"/>
        </w:rPr>
        <w:t>У підлітків підгрупи 1</w:t>
      </w:r>
      <w:r w:rsidRPr="00520861">
        <w:rPr>
          <w:rFonts w:eastAsia="Calibri"/>
          <w:spacing w:val="-6"/>
          <w:sz w:val="28"/>
          <w:szCs w:val="28"/>
          <w:lang w:eastAsia="en-US"/>
        </w:rPr>
        <w:t xml:space="preserve"> і підгрупи 2</w:t>
      </w:r>
      <w:r w:rsidRPr="00520861">
        <w:rPr>
          <w:spacing w:val="-6"/>
          <w:sz w:val="28"/>
          <w:szCs w:val="28"/>
        </w:rPr>
        <w:t xml:space="preserve"> у середньому виявлена тенденція до збільшення показників індексу РМА, а в підгрупі 3 та підгрупі 4 показники цього індексу зіставні з такими у ГП.</w:t>
      </w:r>
    </w:p>
    <w:p w14:paraId="469F7265" w14:textId="77777777" w:rsidR="00180D3E" w:rsidRPr="00520861" w:rsidRDefault="00180D3E" w:rsidP="00292D2E">
      <w:pPr>
        <w:widowControl w:val="0"/>
        <w:spacing w:line="360" w:lineRule="auto"/>
        <w:ind w:firstLine="709"/>
        <w:jc w:val="both"/>
        <w:rPr>
          <w:rFonts w:eastAsia="Calibri"/>
          <w:color w:val="000000"/>
          <w:sz w:val="28"/>
          <w:szCs w:val="28"/>
        </w:rPr>
      </w:pPr>
      <w:r w:rsidRPr="00520861">
        <w:rPr>
          <w:rFonts w:eastAsia="Calibri"/>
          <w:color w:val="000000"/>
          <w:sz w:val="28"/>
          <w:szCs w:val="28"/>
        </w:rPr>
        <w:t>В осіб ВП-</w:t>
      </w:r>
      <w:r w:rsidRPr="00520861">
        <w:rPr>
          <w:sz w:val="28"/>
          <w:szCs w:val="28"/>
        </w:rPr>
        <w:t>V</w:t>
      </w:r>
      <w:r w:rsidRPr="00520861">
        <w:rPr>
          <w:rFonts w:eastAsia="Calibri"/>
          <w:color w:val="000000"/>
          <w:sz w:val="28"/>
          <w:szCs w:val="28"/>
        </w:rPr>
        <w:t xml:space="preserve">I захворювання тканин </w:t>
      </w:r>
      <w:proofErr w:type="spellStart"/>
      <w:r w:rsidRPr="00520861">
        <w:rPr>
          <w:rFonts w:eastAsia="Calibri"/>
          <w:color w:val="000000"/>
          <w:sz w:val="28"/>
          <w:szCs w:val="28"/>
        </w:rPr>
        <w:t>пародонта</w:t>
      </w:r>
      <w:proofErr w:type="spellEnd"/>
      <w:r w:rsidRPr="00520861">
        <w:rPr>
          <w:rFonts w:eastAsia="Calibri"/>
          <w:color w:val="000000"/>
          <w:sz w:val="28"/>
          <w:szCs w:val="28"/>
        </w:rPr>
        <w:t xml:space="preserve"> виявили у 37 (94,9</w:t>
      </w:r>
      <w:r w:rsidR="00611A5B" w:rsidRPr="00520861">
        <w:rPr>
          <w:rFonts w:eastAsia="Calibri"/>
          <w:color w:val="000000"/>
          <w:sz w:val="28"/>
          <w:szCs w:val="28"/>
        </w:rPr>
        <w:t>%</w:t>
      </w:r>
      <w:r w:rsidRPr="00520861">
        <w:rPr>
          <w:rFonts w:eastAsia="Calibri"/>
          <w:color w:val="000000"/>
          <w:sz w:val="28"/>
          <w:szCs w:val="28"/>
        </w:rPr>
        <w:t>: ДІ: 86,5</w:t>
      </w:r>
      <w:r w:rsidR="00611A5B" w:rsidRPr="00520861">
        <w:rPr>
          <w:rFonts w:eastAsia="Calibri"/>
          <w:color w:val="000000"/>
          <w:sz w:val="28"/>
          <w:szCs w:val="28"/>
        </w:rPr>
        <w:t>%</w:t>
      </w:r>
      <w:r w:rsidRPr="00520861">
        <w:rPr>
          <w:rFonts w:eastAsia="Calibri"/>
          <w:color w:val="000000"/>
          <w:sz w:val="28"/>
          <w:szCs w:val="28"/>
        </w:rPr>
        <w:t xml:space="preserve"> </w:t>
      </w:r>
      <w:r w:rsidRPr="00520861">
        <w:rPr>
          <w:sz w:val="28"/>
          <w:szCs w:val="28"/>
        </w:rPr>
        <w:t>–</w:t>
      </w:r>
      <w:r w:rsidRPr="00520861">
        <w:rPr>
          <w:rFonts w:eastAsia="Calibri"/>
          <w:color w:val="000000"/>
          <w:sz w:val="28"/>
          <w:szCs w:val="28"/>
        </w:rPr>
        <w:t xml:space="preserve"> 98,4</w:t>
      </w:r>
      <w:r w:rsidR="00611A5B" w:rsidRPr="00520861">
        <w:rPr>
          <w:rFonts w:eastAsia="Calibri"/>
          <w:color w:val="000000"/>
          <w:sz w:val="28"/>
          <w:szCs w:val="28"/>
        </w:rPr>
        <w:t>%</w:t>
      </w:r>
      <w:r w:rsidRPr="00520861">
        <w:rPr>
          <w:rFonts w:eastAsia="Calibri"/>
          <w:color w:val="000000"/>
          <w:sz w:val="28"/>
          <w:szCs w:val="28"/>
        </w:rPr>
        <w:t>) осіб (табл. 7.3). Патологічні стани в ОГ були представлені гінгівітом (у 30</w:t>
      </w:r>
      <w:r w:rsidR="00611A5B" w:rsidRPr="00520861">
        <w:rPr>
          <w:rFonts w:eastAsia="Calibri"/>
          <w:color w:val="000000"/>
          <w:sz w:val="28"/>
          <w:szCs w:val="28"/>
        </w:rPr>
        <w:t>%</w:t>
      </w:r>
      <w:r w:rsidRPr="00520861">
        <w:rPr>
          <w:rFonts w:eastAsia="Calibri"/>
          <w:color w:val="000000"/>
          <w:sz w:val="28"/>
          <w:szCs w:val="28"/>
        </w:rPr>
        <w:t xml:space="preserve"> осіб), </w:t>
      </w:r>
      <w:proofErr w:type="spellStart"/>
      <w:r w:rsidRPr="00520861">
        <w:rPr>
          <w:rFonts w:eastAsia="Calibri"/>
          <w:color w:val="000000"/>
          <w:sz w:val="28"/>
          <w:szCs w:val="28"/>
        </w:rPr>
        <w:t>генералізованим</w:t>
      </w:r>
      <w:proofErr w:type="spellEnd"/>
      <w:r w:rsidRPr="00520861">
        <w:rPr>
          <w:rFonts w:eastAsia="Calibri"/>
          <w:color w:val="000000"/>
          <w:sz w:val="28"/>
          <w:szCs w:val="28"/>
        </w:rPr>
        <w:t xml:space="preserve"> </w:t>
      </w:r>
      <w:proofErr w:type="spellStart"/>
      <w:r w:rsidRPr="00520861">
        <w:rPr>
          <w:rFonts w:eastAsia="Calibri"/>
          <w:color w:val="000000"/>
          <w:sz w:val="28"/>
          <w:szCs w:val="28"/>
        </w:rPr>
        <w:t>пародонтитом</w:t>
      </w:r>
      <w:proofErr w:type="spellEnd"/>
      <w:r w:rsidRPr="00520861">
        <w:rPr>
          <w:rFonts w:eastAsia="Calibri"/>
          <w:color w:val="000000"/>
          <w:sz w:val="28"/>
          <w:szCs w:val="28"/>
        </w:rPr>
        <w:t xml:space="preserve"> початкового ступеня тяжкості (у 35</w:t>
      </w:r>
      <w:r w:rsidR="00611A5B" w:rsidRPr="00520861">
        <w:rPr>
          <w:rFonts w:eastAsia="Calibri"/>
          <w:color w:val="000000"/>
          <w:sz w:val="28"/>
          <w:szCs w:val="28"/>
        </w:rPr>
        <w:t>%</w:t>
      </w:r>
      <w:r w:rsidRPr="00520861">
        <w:rPr>
          <w:rFonts w:eastAsia="Calibri"/>
          <w:color w:val="000000"/>
          <w:sz w:val="28"/>
          <w:szCs w:val="28"/>
        </w:rPr>
        <w:t xml:space="preserve"> осіб) та рецесією ясен з атрофією альвеолярного відростку </w:t>
      </w:r>
      <w:r w:rsidRPr="00520861">
        <w:rPr>
          <w:sz w:val="28"/>
          <w:szCs w:val="28"/>
        </w:rPr>
        <w:t xml:space="preserve">– </w:t>
      </w:r>
      <w:r w:rsidRPr="00520861">
        <w:rPr>
          <w:rFonts w:eastAsia="Calibri"/>
          <w:color w:val="000000"/>
          <w:sz w:val="28"/>
          <w:szCs w:val="28"/>
        </w:rPr>
        <w:t>пародонтоз початкового ступеня тяжкості (у 35</w:t>
      </w:r>
      <w:r w:rsidR="00611A5B" w:rsidRPr="00520861">
        <w:rPr>
          <w:rFonts w:eastAsia="Calibri"/>
          <w:color w:val="000000"/>
          <w:sz w:val="28"/>
          <w:szCs w:val="28"/>
        </w:rPr>
        <w:t>%</w:t>
      </w:r>
      <w:r w:rsidRPr="00520861">
        <w:rPr>
          <w:rFonts w:eastAsia="Calibri"/>
          <w:color w:val="000000"/>
          <w:sz w:val="28"/>
          <w:szCs w:val="28"/>
        </w:rPr>
        <w:t xml:space="preserve"> осіб). </w:t>
      </w:r>
    </w:p>
    <w:p w14:paraId="6DF46B06" w14:textId="77777777" w:rsidR="00180D3E" w:rsidRPr="00520861" w:rsidRDefault="00180D3E" w:rsidP="00292D2E">
      <w:pPr>
        <w:widowControl w:val="0"/>
        <w:spacing w:line="360" w:lineRule="auto"/>
        <w:ind w:firstLine="709"/>
        <w:jc w:val="both"/>
        <w:rPr>
          <w:rFonts w:eastAsia="Calibri"/>
          <w:color w:val="000000"/>
          <w:sz w:val="28"/>
          <w:szCs w:val="28"/>
        </w:rPr>
      </w:pPr>
      <w:r w:rsidRPr="00520861">
        <w:rPr>
          <w:rFonts w:eastAsia="Calibri"/>
          <w:color w:val="000000"/>
          <w:sz w:val="28"/>
          <w:szCs w:val="28"/>
        </w:rPr>
        <w:t xml:space="preserve">Випадки деструкції альвеолярного відростка з переважанням незапального компонента зустрічалися тільки в осіб, які мали ВУ ожиріння (підгрупи 3 та 4). </w:t>
      </w:r>
    </w:p>
    <w:p w14:paraId="54BAB951" w14:textId="77777777" w:rsidR="00180D3E" w:rsidRPr="00520861" w:rsidRDefault="00180D3E" w:rsidP="00292D2E">
      <w:pPr>
        <w:widowControl w:val="0"/>
        <w:spacing w:line="360" w:lineRule="auto"/>
        <w:ind w:firstLine="709"/>
        <w:jc w:val="both"/>
        <w:rPr>
          <w:rFonts w:eastAsia="Calibri"/>
          <w:color w:val="000000"/>
          <w:sz w:val="28"/>
          <w:szCs w:val="28"/>
        </w:rPr>
      </w:pPr>
      <w:r w:rsidRPr="00520861">
        <w:rPr>
          <w:rFonts w:eastAsia="Calibri"/>
          <w:color w:val="000000"/>
          <w:sz w:val="28"/>
          <w:szCs w:val="28"/>
        </w:rPr>
        <w:t xml:space="preserve">Із 21 особи, що становили загальну кількість осіб у </w:t>
      </w:r>
      <w:r w:rsidRPr="00520861">
        <w:rPr>
          <w:spacing w:val="-6"/>
          <w:sz w:val="28"/>
          <w:szCs w:val="28"/>
        </w:rPr>
        <w:t xml:space="preserve">підгрупі </w:t>
      </w:r>
      <w:r w:rsidRPr="00520861">
        <w:rPr>
          <w:rFonts w:eastAsia="Calibri"/>
          <w:color w:val="000000"/>
          <w:sz w:val="28"/>
          <w:szCs w:val="28"/>
        </w:rPr>
        <w:t xml:space="preserve">3 і </w:t>
      </w:r>
      <w:r w:rsidRPr="00520861">
        <w:rPr>
          <w:spacing w:val="-6"/>
          <w:sz w:val="28"/>
          <w:szCs w:val="28"/>
        </w:rPr>
        <w:t xml:space="preserve">підгрупі </w:t>
      </w:r>
      <w:r w:rsidRPr="00520861">
        <w:rPr>
          <w:rFonts w:eastAsia="Calibri"/>
          <w:color w:val="000000"/>
          <w:sz w:val="28"/>
          <w:szCs w:val="28"/>
        </w:rPr>
        <w:t xml:space="preserve">4 у цьому ВП, у 11 осіб було зафіксовано наявність </w:t>
      </w:r>
      <w:proofErr w:type="spellStart"/>
      <w:r w:rsidRPr="00520861">
        <w:rPr>
          <w:rFonts w:eastAsia="Calibri"/>
          <w:color w:val="000000"/>
          <w:sz w:val="28"/>
          <w:szCs w:val="28"/>
        </w:rPr>
        <w:t>рецесій</w:t>
      </w:r>
      <w:proofErr w:type="spellEnd"/>
      <w:r w:rsidRPr="00520861">
        <w:rPr>
          <w:rFonts w:eastAsia="Calibri"/>
          <w:color w:val="000000"/>
          <w:sz w:val="28"/>
          <w:szCs w:val="28"/>
        </w:rPr>
        <w:t xml:space="preserve"> ясен. </w:t>
      </w:r>
    </w:p>
    <w:p w14:paraId="1A64473F" w14:textId="77777777" w:rsidR="00180D3E" w:rsidRPr="00520861" w:rsidRDefault="00180D3E" w:rsidP="00292D2E">
      <w:pPr>
        <w:widowControl w:val="0"/>
        <w:spacing w:line="360" w:lineRule="auto"/>
        <w:ind w:firstLine="709"/>
        <w:jc w:val="both"/>
        <w:rPr>
          <w:rFonts w:eastAsia="Calibri"/>
          <w:spacing w:val="-4"/>
          <w:sz w:val="28"/>
          <w:szCs w:val="28"/>
          <w:lang w:eastAsia="en-US"/>
        </w:rPr>
      </w:pPr>
      <w:r w:rsidRPr="00520861">
        <w:rPr>
          <w:rFonts w:eastAsia="Calibri"/>
          <w:spacing w:val="-4"/>
          <w:sz w:val="28"/>
          <w:szCs w:val="28"/>
          <w:lang w:eastAsia="en-US"/>
        </w:rPr>
        <w:lastRenderedPageBreak/>
        <w:t xml:space="preserve">У ГП патологія </w:t>
      </w:r>
      <w:proofErr w:type="spellStart"/>
      <w:r w:rsidRPr="00520861">
        <w:rPr>
          <w:rFonts w:eastAsia="Calibri"/>
          <w:spacing w:val="-4"/>
          <w:sz w:val="28"/>
          <w:szCs w:val="28"/>
          <w:lang w:eastAsia="en-US"/>
        </w:rPr>
        <w:t>пародонта</w:t>
      </w:r>
      <w:proofErr w:type="spellEnd"/>
      <w:r w:rsidRPr="00520861">
        <w:rPr>
          <w:rFonts w:eastAsia="Calibri"/>
          <w:spacing w:val="-4"/>
          <w:sz w:val="28"/>
          <w:szCs w:val="28"/>
          <w:lang w:eastAsia="en-US"/>
        </w:rPr>
        <w:t xml:space="preserve"> виявлена у 24 (85,7</w:t>
      </w:r>
      <w:r w:rsidR="00611A5B" w:rsidRPr="00520861">
        <w:rPr>
          <w:rFonts w:eastAsia="Calibri"/>
          <w:spacing w:val="-4"/>
          <w:sz w:val="28"/>
          <w:szCs w:val="28"/>
          <w:lang w:eastAsia="en-US"/>
        </w:rPr>
        <w:t>%</w:t>
      </w:r>
      <w:r w:rsidRPr="00520861">
        <w:rPr>
          <w:rFonts w:eastAsia="Calibri"/>
          <w:spacing w:val="-4"/>
          <w:sz w:val="28"/>
          <w:szCs w:val="28"/>
          <w:lang w:eastAsia="en-US"/>
        </w:rPr>
        <w:t xml:space="preserve">; ДІ: 71,8% </w:t>
      </w:r>
      <w:r w:rsidRPr="00520861">
        <w:rPr>
          <w:spacing w:val="-4"/>
          <w:sz w:val="28"/>
          <w:szCs w:val="28"/>
        </w:rPr>
        <w:t>–</w:t>
      </w:r>
      <w:r w:rsidRPr="00520861">
        <w:rPr>
          <w:rFonts w:eastAsia="Calibri"/>
          <w:spacing w:val="-4"/>
          <w:sz w:val="28"/>
          <w:szCs w:val="28"/>
          <w:lang w:eastAsia="en-US"/>
        </w:rPr>
        <w:t xml:space="preserve"> 93,9%) осіб, із яких 50% мали гінгівіт, а у 50% обстежених було виявлено початковий ступінь </w:t>
      </w:r>
      <w:proofErr w:type="spellStart"/>
      <w:r w:rsidRPr="00520861">
        <w:rPr>
          <w:rFonts w:eastAsia="Calibri"/>
          <w:spacing w:val="-4"/>
          <w:sz w:val="28"/>
          <w:szCs w:val="28"/>
          <w:lang w:eastAsia="en-US"/>
        </w:rPr>
        <w:t>пародонтиту</w:t>
      </w:r>
      <w:proofErr w:type="spellEnd"/>
      <w:r w:rsidRPr="00520861">
        <w:rPr>
          <w:rFonts w:eastAsia="Calibri"/>
          <w:spacing w:val="-4"/>
          <w:sz w:val="28"/>
          <w:szCs w:val="28"/>
          <w:lang w:eastAsia="en-US"/>
        </w:rPr>
        <w:t>.</w:t>
      </w:r>
    </w:p>
    <w:p w14:paraId="140E082B" w14:textId="77777777" w:rsidR="00180D3E" w:rsidRPr="00520861" w:rsidRDefault="00180D3E" w:rsidP="00292D2E">
      <w:pPr>
        <w:widowControl w:val="0"/>
        <w:spacing w:line="360" w:lineRule="auto"/>
        <w:jc w:val="right"/>
        <w:rPr>
          <w:rFonts w:eastAsia="Calibri"/>
          <w:i/>
          <w:sz w:val="28"/>
          <w:szCs w:val="28"/>
          <w:lang w:eastAsia="en-US"/>
        </w:rPr>
      </w:pPr>
      <w:r w:rsidRPr="00520861">
        <w:rPr>
          <w:rFonts w:eastAsia="Calibri"/>
          <w:i/>
          <w:sz w:val="28"/>
          <w:szCs w:val="28"/>
          <w:lang w:eastAsia="en-US"/>
        </w:rPr>
        <w:t>Таблиця 7.3</w:t>
      </w:r>
    </w:p>
    <w:p w14:paraId="795C09A6" w14:textId="77777777" w:rsidR="00180D3E" w:rsidRPr="00520861" w:rsidRDefault="00180D3E"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Індексне оцінювання гігієнічного стану ПР в осіб ГП і ОГ у ВП-V – ВП-VІІІ: </w:t>
      </w:r>
      <w:r w:rsidRPr="00520861">
        <w:rPr>
          <w:rFonts w:eastAsia="Calibri"/>
          <w:b/>
          <w:sz w:val="28"/>
          <w:szCs w:val="28"/>
          <w:lang w:eastAsia="en-US"/>
        </w:rPr>
        <w:br/>
        <w:t>індекс OHI-S, індекс кровотечі (</w:t>
      </w:r>
      <w:proofErr w:type="spellStart"/>
      <w:r w:rsidRPr="00520861">
        <w:rPr>
          <w:rFonts w:eastAsia="Calibri"/>
          <w:b/>
          <w:sz w:val="28"/>
          <w:szCs w:val="28"/>
          <w:lang w:eastAsia="en-US"/>
        </w:rPr>
        <w:t>Mühlemann-Cowell</w:t>
      </w:r>
      <w:proofErr w:type="spellEnd"/>
      <w:r w:rsidRPr="00520861">
        <w:rPr>
          <w:rFonts w:eastAsia="Calibri"/>
          <w:b/>
          <w:sz w:val="28"/>
          <w:szCs w:val="28"/>
          <w:lang w:eastAsia="en-US"/>
        </w:rPr>
        <w:t xml:space="preserve">), індекс PMA в модифікації </w:t>
      </w:r>
      <w:proofErr w:type="spellStart"/>
      <w:r w:rsidRPr="00520861">
        <w:rPr>
          <w:rFonts w:eastAsia="Calibri"/>
          <w:b/>
          <w:sz w:val="28"/>
          <w:szCs w:val="28"/>
          <w:lang w:eastAsia="en-US"/>
        </w:rPr>
        <w:t>Parma</w:t>
      </w:r>
      <w:proofErr w:type="spellEnd"/>
      <w:r w:rsidRPr="00520861">
        <w:rPr>
          <w:rFonts w:eastAsia="Calibri"/>
          <w:b/>
          <w:sz w:val="28"/>
          <w:szCs w:val="28"/>
          <w:lang w:eastAsia="en-US"/>
        </w:rPr>
        <w:t xml:space="preserve"> та відстань між емалево-цементною межею та циркулярною зв’язкою</w:t>
      </w:r>
    </w:p>
    <w:tbl>
      <w:tblPr>
        <w:tblW w:w="9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9"/>
        <w:gridCol w:w="999"/>
        <w:gridCol w:w="1555"/>
        <w:gridCol w:w="1555"/>
        <w:gridCol w:w="1556"/>
        <w:gridCol w:w="1555"/>
        <w:gridCol w:w="1556"/>
        <w:gridCol w:w="22"/>
      </w:tblGrid>
      <w:tr w:rsidR="00180D3E" w:rsidRPr="00520861" w14:paraId="7596643C" w14:textId="77777777" w:rsidTr="00292D2E">
        <w:trPr>
          <w:gridAfter w:val="1"/>
          <w:wAfter w:w="22" w:type="dxa"/>
          <w:trHeight w:val="356"/>
          <w:jc w:val="center"/>
        </w:trPr>
        <w:tc>
          <w:tcPr>
            <w:tcW w:w="1129" w:type="dxa"/>
            <w:tcBorders>
              <w:top w:val="single" w:sz="4" w:space="0" w:color="auto"/>
              <w:left w:val="single" w:sz="4" w:space="0" w:color="auto"/>
              <w:bottom w:val="single" w:sz="4" w:space="0" w:color="auto"/>
              <w:right w:val="single" w:sz="4" w:space="0" w:color="auto"/>
            </w:tcBorders>
            <w:hideMark/>
          </w:tcPr>
          <w:p w14:paraId="5AEB0FB4" w14:textId="77777777" w:rsidR="00180D3E" w:rsidRPr="00520861" w:rsidRDefault="00180D3E" w:rsidP="00292D2E">
            <w:pPr>
              <w:widowControl w:val="0"/>
              <w:spacing w:line="276" w:lineRule="auto"/>
              <w:ind w:right="-195"/>
              <w:contextualSpacing/>
              <w:rPr>
                <w:rFonts w:eastAsia="Calibri"/>
                <w:sz w:val="28"/>
                <w:szCs w:val="28"/>
                <w:lang w:eastAsia="en-US"/>
              </w:rPr>
            </w:pPr>
            <w:r w:rsidRPr="00520861">
              <w:rPr>
                <w:rFonts w:eastAsia="Calibri"/>
                <w:sz w:val="28"/>
                <w:szCs w:val="28"/>
                <w:lang w:eastAsia="en-US"/>
              </w:rPr>
              <w:t>Група,</w:t>
            </w:r>
          </w:p>
          <w:p w14:paraId="06C64389" w14:textId="77777777" w:rsidR="00180D3E" w:rsidRPr="00520861" w:rsidRDefault="00180D3E" w:rsidP="00292D2E">
            <w:pPr>
              <w:widowControl w:val="0"/>
              <w:spacing w:line="276" w:lineRule="auto"/>
              <w:ind w:right="-195"/>
              <w:contextualSpacing/>
              <w:rPr>
                <w:rFonts w:eastAsia="Calibri"/>
                <w:sz w:val="28"/>
                <w:szCs w:val="28"/>
                <w:lang w:eastAsia="en-US"/>
              </w:rPr>
            </w:pPr>
            <w:r w:rsidRPr="00520861">
              <w:rPr>
                <w:rFonts w:eastAsia="Calibri"/>
                <w:sz w:val="28"/>
                <w:szCs w:val="28"/>
                <w:lang w:eastAsia="en-US"/>
              </w:rPr>
              <w:t>Підгрупа</w:t>
            </w:r>
          </w:p>
        </w:tc>
        <w:tc>
          <w:tcPr>
            <w:tcW w:w="999" w:type="dxa"/>
            <w:tcBorders>
              <w:top w:val="single" w:sz="4" w:space="0" w:color="auto"/>
              <w:left w:val="single" w:sz="4" w:space="0" w:color="auto"/>
              <w:bottom w:val="single" w:sz="4" w:space="0" w:color="auto"/>
              <w:right w:val="single" w:sz="4" w:space="0" w:color="auto"/>
            </w:tcBorders>
            <w:hideMark/>
          </w:tcPr>
          <w:p w14:paraId="7F199BC2" w14:textId="77777777" w:rsidR="00180D3E" w:rsidRPr="00520861" w:rsidRDefault="00180D3E" w:rsidP="00292D2E">
            <w:pPr>
              <w:widowControl w:val="0"/>
              <w:spacing w:line="276" w:lineRule="auto"/>
              <w:contextualSpacing/>
              <w:jc w:val="center"/>
              <w:rPr>
                <w:sz w:val="28"/>
                <w:szCs w:val="28"/>
              </w:rPr>
            </w:pPr>
            <w:r w:rsidRPr="00520861">
              <w:rPr>
                <w:sz w:val="28"/>
                <w:szCs w:val="28"/>
              </w:rPr>
              <w:t>ГП</w:t>
            </w:r>
          </w:p>
        </w:tc>
        <w:tc>
          <w:tcPr>
            <w:tcW w:w="1555" w:type="dxa"/>
            <w:tcBorders>
              <w:top w:val="single" w:sz="4" w:space="0" w:color="auto"/>
              <w:left w:val="single" w:sz="4" w:space="0" w:color="auto"/>
              <w:bottom w:val="single" w:sz="4" w:space="0" w:color="auto"/>
              <w:right w:val="single" w:sz="4" w:space="0" w:color="auto"/>
            </w:tcBorders>
            <w:hideMark/>
          </w:tcPr>
          <w:p w14:paraId="14795C23" w14:textId="77777777" w:rsidR="00180D3E" w:rsidRPr="00520861" w:rsidRDefault="00180D3E" w:rsidP="00292D2E">
            <w:pPr>
              <w:widowControl w:val="0"/>
              <w:spacing w:line="276" w:lineRule="auto"/>
              <w:contextualSpacing/>
              <w:jc w:val="center"/>
              <w:rPr>
                <w:sz w:val="28"/>
                <w:szCs w:val="28"/>
              </w:rPr>
            </w:pPr>
            <w:r w:rsidRPr="00520861">
              <w:rPr>
                <w:sz w:val="28"/>
                <w:szCs w:val="28"/>
              </w:rPr>
              <w:t>ОГ</w:t>
            </w:r>
          </w:p>
        </w:tc>
        <w:tc>
          <w:tcPr>
            <w:tcW w:w="1555" w:type="dxa"/>
            <w:hideMark/>
          </w:tcPr>
          <w:p w14:paraId="0ED06B88" w14:textId="77777777" w:rsidR="00180D3E" w:rsidRPr="00520861" w:rsidRDefault="00180D3E" w:rsidP="00292D2E">
            <w:pPr>
              <w:widowControl w:val="0"/>
              <w:pBdr>
                <w:top w:val="nil"/>
                <w:left w:val="nil"/>
                <w:bottom w:val="nil"/>
                <w:right w:val="nil"/>
                <w:between w:val="nil"/>
              </w:pBdr>
              <w:spacing w:line="276" w:lineRule="auto"/>
              <w:ind w:hanging="156"/>
              <w:jc w:val="center"/>
              <w:rPr>
                <w:color w:val="000000"/>
                <w:sz w:val="28"/>
                <w:szCs w:val="28"/>
              </w:rPr>
            </w:pPr>
            <w:r w:rsidRPr="00520861">
              <w:rPr>
                <w:color w:val="000000"/>
                <w:sz w:val="28"/>
                <w:szCs w:val="28"/>
              </w:rPr>
              <w:t xml:space="preserve">Підгрупа </w:t>
            </w:r>
          </w:p>
          <w:p w14:paraId="6CB9F873" w14:textId="77777777" w:rsidR="00180D3E" w:rsidRPr="00520861" w:rsidRDefault="00180D3E" w:rsidP="00292D2E">
            <w:pPr>
              <w:widowControl w:val="0"/>
              <w:pBdr>
                <w:top w:val="nil"/>
                <w:left w:val="nil"/>
                <w:bottom w:val="nil"/>
                <w:right w:val="nil"/>
                <w:between w:val="nil"/>
              </w:pBdr>
              <w:spacing w:line="276" w:lineRule="auto"/>
              <w:ind w:left="-56" w:hanging="142"/>
              <w:jc w:val="center"/>
              <w:rPr>
                <w:rFonts w:eastAsia="Calibri"/>
                <w:color w:val="000000"/>
                <w:sz w:val="28"/>
                <w:szCs w:val="28"/>
              </w:rPr>
            </w:pPr>
            <w:r w:rsidRPr="00520861">
              <w:rPr>
                <w:color w:val="000000"/>
                <w:sz w:val="28"/>
                <w:szCs w:val="28"/>
              </w:rPr>
              <w:t>1</w:t>
            </w:r>
          </w:p>
        </w:tc>
        <w:tc>
          <w:tcPr>
            <w:tcW w:w="1556" w:type="dxa"/>
            <w:hideMark/>
          </w:tcPr>
          <w:p w14:paraId="357D4EE3" w14:textId="77777777" w:rsidR="00180D3E" w:rsidRPr="00520861" w:rsidRDefault="00180D3E" w:rsidP="00292D2E">
            <w:pPr>
              <w:widowControl w:val="0"/>
              <w:pBdr>
                <w:top w:val="nil"/>
                <w:left w:val="nil"/>
                <w:bottom w:val="nil"/>
                <w:right w:val="nil"/>
                <w:between w:val="nil"/>
              </w:pBdr>
              <w:spacing w:line="276" w:lineRule="auto"/>
              <w:ind w:hanging="156"/>
              <w:jc w:val="center"/>
              <w:rPr>
                <w:color w:val="000000"/>
                <w:sz w:val="28"/>
                <w:szCs w:val="28"/>
              </w:rPr>
            </w:pPr>
            <w:r w:rsidRPr="00520861">
              <w:rPr>
                <w:color w:val="000000"/>
                <w:sz w:val="28"/>
                <w:szCs w:val="28"/>
              </w:rPr>
              <w:t xml:space="preserve">Підгрупа </w:t>
            </w:r>
          </w:p>
          <w:p w14:paraId="23481EBA" w14:textId="77777777" w:rsidR="00180D3E" w:rsidRPr="00520861" w:rsidRDefault="00180D3E" w:rsidP="00292D2E">
            <w:pPr>
              <w:widowControl w:val="0"/>
              <w:pBdr>
                <w:top w:val="nil"/>
                <w:left w:val="nil"/>
                <w:bottom w:val="nil"/>
                <w:right w:val="nil"/>
                <w:between w:val="nil"/>
              </w:pBdr>
              <w:spacing w:line="276" w:lineRule="auto"/>
              <w:ind w:hanging="156"/>
              <w:jc w:val="center"/>
              <w:rPr>
                <w:rFonts w:eastAsia="Calibri"/>
                <w:color w:val="000000"/>
                <w:sz w:val="28"/>
                <w:szCs w:val="28"/>
              </w:rPr>
            </w:pPr>
            <w:r w:rsidRPr="00520861">
              <w:rPr>
                <w:color w:val="000000"/>
                <w:sz w:val="28"/>
                <w:szCs w:val="28"/>
              </w:rPr>
              <w:t>2</w:t>
            </w:r>
          </w:p>
        </w:tc>
        <w:tc>
          <w:tcPr>
            <w:tcW w:w="1555" w:type="dxa"/>
            <w:hideMark/>
          </w:tcPr>
          <w:p w14:paraId="20CF8B41" w14:textId="77777777" w:rsidR="00180D3E" w:rsidRPr="00520861" w:rsidRDefault="00180D3E" w:rsidP="00292D2E">
            <w:pPr>
              <w:widowControl w:val="0"/>
              <w:pBdr>
                <w:top w:val="nil"/>
                <w:left w:val="nil"/>
                <w:bottom w:val="nil"/>
                <w:right w:val="nil"/>
                <w:between w:val="nil"/>
              </w:pBdr>
              <w:spacing w:line="276" w:lineRule="auto"/>
              <w:ind w:hanging="156"/>
              <w:jc w:val="center"/>
              <w:rPr>
                <w:color w:val="000000"/>
                <w:sz w:val="28"/>
                <w:szCs w:val="28"/>
              </w:rPr>
            </w:pPr>
            <w:r w:rsidRPr="00520861">
              <w:rPr>
                <w:color w:val="000000"/>
                <w:sz w:val="28"/>
                <w:szCs w:val="28"/>
              </w:rPr>
              <w:t xml:space="preserve">Підгрупа </w:t>
            </w:r>
          </w:p>
          <w:p w14:paraId="551E139B" w14:textId="77777777" w:rsidR="00180D3E" w:rsidRPr="00520861" w:rsidRDefault="00180D3E" w:rsidP="00292D2E">
            <w:pPr>
              <w:widowControl w:val="0"/>
              <w:pBdr>
                <w:top w:val="nil"/>
                <w:left w:val="nil"/>
                <w:bottom w:val="nil"/>
                <w:right w:val="nil"/>
                <w:between w:val="nil"/>
              </w:pBdr>
              <w:spacing w:line="276" w:lineRule="auto"/>
              <w:ind w:hanging="156"/>
              <w:jc w:val="center"/>
              <w:rPr>
                <w:rFonts w:eastAsia="Calibri"/>
                <w:color w:val="000000"/>
                <w:sz w:val="28"/>
                <w:szCs w:val="28"/>
              </w:rPr>
            </w:pPr>
            <w:r w:rsidRPr="00520861">
              <w:rPr>
                <w:color w:val="000000"/>
                <w:sz w:val="28"/>
                <w:szCs w:val="28"/>
              </w:rPr>
              <w:t>3</w:t>
            </w:r>
          </w:p>
        </w:tc>
        <w:tc>
          <w:tcPr>
            <w:tcW w:w="1556" w:type="dxa"/>
            <w:hideMark/>
          </w:tcPr>
          <w:p w14:paraId="7DE2F6B9" w14:textId="77777777" w:rsidR="00180D3E" w:rsidRPr="00520861" w:rsidRDefault="00180D3E" w:rsidP="00292D2E">
            <w:pPr>
              <w:widowControl w:val="0"/>
              <w:pBdr>
                <w:top w:val="nil"/>
                <w:left w:val="nil"/>
                <w:bottom w:val="nil"/>
                <w:right w:val="nil"/>
                <w:between w:val="nil"/>
              </w:pBdr>
              <w:spacing w:line="276" w:lineRule="auto"/>
              <w:ind w:hanging="156"/>
              <w:jc w:val="center"/>
              <w:rPr>
                <w:color w:val="000000"/>
                <w:sz w:val="28"/>
                <w:szCs w:val="28"/>
              </w:rPr>
            </w:pPr>
            <w:r w:rsidRPr="00520861">
              <w:rPr>
                <w:color w:val="000000"/>
                <w:sz w:val="28"/>
                <w:szCs w:val="28"/>
              </w:rPr>
              <w:t xml:space="preserve">Підгрупа </w:t>
            </w:r>
          </w:p>
          <w:p w14:paraId="07201A1C" w14:textId="77777777" w:rsidR="00180D3E" w:rsidRPr="00520861" w:rsidRDefault="00180D3E" w:rsidP="00292D2E">
            <w:pPr>
              <w:widowControl w:val="0"/>
              <w:pBdr>
                <w:top w:val="nil"/>
                <w:left w:val="nil"/>
                <w:bottom w:val="nil"/>
                <w:right w:val="nil"/>
                <w:between w:val="nil"/>
              </w:pBdr>
              <w:spacing w:line="276" w:lineRule="auto"/>
              <w:ind w:hanging="156"/>
              <w:jc w:val="center"/>
              <w:rPr>
                <w:rFonts w:eastAsia="Calibri"/>
                <w:color w:val="000000"/>
                <w:sz w:val="28"/>
                <w:szCs w:val="28"/>
              </w:rPr>
            </w:pPr>
            <w:r w:rsidRPr="00520861">
              <w:rPr>
                <w:color w:val="000000"/>
                <w:sz w:val="28"/>
                <w:szCs w:val="28"/>
              </w:rPr>
              <w:t>4</w:t>
            </w:r>
          </w:p>
        </w:tc>
      </w:tr>
      <w:tr w:rsidR="00180D3E" w:rsidRPr="00520861" w14:paraId="41624251" w14:textId="77777777" w:rsidTr="00292D2E">
        <w:trPr>
          <w:gridAfter w:val="1"/>
          <w:wAfter w:w="22" w:type="dxa"/>
          <w:trHeight w:val="356"/>
          <w:jc w:val="center"/>
        </w:trPr>
        <w:tc>
          <w:tcPr>
            <w:tcW w:w="1129" w:type="dxa"/>
            <w:tcBorders>
              <w:top w:val="single" w:sz="4" w:space="0" w:color="auto"/>
              <w:left w:val="single" w:sz="4" w:space="0" w:color="auto"/>
              <w:bottom w:val="single" w:sz="4" w:space="0" w:color="auto"/>
              <w:right w:val="single" w:sz="4" w:space="0" w:color="auto"/>
            </w:tcBorders>
          </w:tcPr>
          <w:p w14:paraId="25903740" w14:textId="77777777" w:rsidR="00180D3E" w:rsidRPr="00520861" w:rsidRDefault="00180D3E" w:rsidP="00292D2E">
            <w:pPr>
              <w:widowControl w:val="0"/>
              <w:spacing w:line="360" w:lineRule="auto"/>
              <w:contextualSpacing/>
              <w:jc w:val="center"/>
              <w:rPr>
                <w:rFonts w:eastAsia="Calibri"/>
                <w:sz w:val="28"/>
                <w:szCs w:val="28"/>
                <w:lang w:eastAsia="en-US"/>
              </w:rPr>
            </w:pPr>
            <w:r w:rsidRPr="00520861">
              <w:rPr>
                <w:rFonts w:eastAsia="Calibri"/>
                <w:sz w:val="28"/>
                <w:szCs w:val="28"/>
                <w:lang w:eastAsia="en-US"/>
              </w:rPr>
              <w:t>1</w:t>
            </w:r>
          </w:p>
        </w:tc>
        <w:tc>
          <w:tcPr>
            <w:tcW w:w="999" w:type="dxa"/>
            <w:tcBorders>
              <w:top w:val="single" w:sz="4" w:space="0" w:color="auto"/>
              <w:left w:val="single" w:sz="4" w:space="0" w:color="auto"/>
              <w:bottom w:val="single" w:sz="4" w:space="0" w:color="auto"/>
              <w:right w:val="single" w:sz="4" w:space="0" w:color="auto"/>
            </w:tcBorders>
          </w:tcPr>
          <w:p w14:paraId="28A469FE" w14:textId="77777777" w:rsidR="00180D3E" w:rsidRPr="00520861" w:rsidRDefault="00180D3E" w:rsidP="00292D2E">
            <w:pPr>
              <w:widowControl w:val="0"/>
              <w:spacing w:line="360" w:lineRule="auto"/>
              <w:contextualSpacing/>
              <w:jc w:val="center"/>
              <w:rPr>
                <w:sz w:val="28"/>
                <w:szCs w:val="28"/>
              </w:rPr>
            </w:pPr>
            <w:r w:rsidRPr="00520861">
              <w:rPr>
                <w:sz w:val="28"/>
                <w:szCs w:val="28"/>
              </w:rPr>
              <w:t>2</w:t>
            </w:r>
          </w:p>
        </w:tc>
        <w:tc>
          <w:tcPr>
            <w:tcW w:w="1555" w:type="dxa"/>
            <w:tcBorders>
              <w:top w:val="single" w:sz="4" w:space="0" w:color="auto"/>
              <w:left w:val="single" w:sz="4" w:space="0" w:color="auto"/>
              <w:bottom w:val="single" w:sz="4" w:space="0" w:color="auto"/>
              <w:right w:val="single" w:sz="4" w:space="0" w:color="auto"/>
            </w:tcBorders>
          </w:tcPr>
          <w:p w14:paraId="468303A6" w14:textId="77777777" w:rsidR="00180D3E" w:rsidRPr="00520861" w:rsidRDefault="00180D3E" w:rsidP="00292D2E">
            <w:pPr>
              <w:widowControl w:val="0"/>
              <w:spacing w:line="360" w:lineRule="auto"/>
              <w:contextualSpacing/>
              <w:jc w:val="center"/>
              <w:rPr>
                <w:sz w:val="28"/>
                <w:szCs w:val="28"/>
              </w:rPr>
            </w:pPr>
            <w:r w:rsidRPr="00520861">
              <w:rPr>
                <w:sz w:val="28"/>
                <w:szCs w:val="28"/>
              </w:rPr>
              <w:t>3</w:t>
            </w:r>
          </w:p>
        </w:tc>
        <w:tc>
          <w:tcPr>
            <w:tcW w:w="1555" w:type="dxa"/>
            <w:tcBorders>
              <w:top w:val="single" w:sz="4" w:space="0" w:color="auto"/>
              <w:left w:val="single" w:sz="4" w:space="0" w:color="auto"/>
              <w:bottom w:val="single" w:sz="4" w:space="0" w:color="auto"/>
              <w:right w:val="single" w:sz="4" w:space="0" w:color="auto"/>
            </w:tcBorders>
          </w:tcPr>
          <w:p w14:paraId="2B2FD0FF" w14:textId="77777777" w:rsidR="00180D3E" w:rsidRPr="00520861" w:rsidRDefault="00180D3E" w:rsidP="00292D2E">
            <w:pPr>
              <w:widowControl w:val="0"/>
              <w:tabs>
                <w:tab w:val="left" w:pos="748"/>
              </w:tabs>
              <w:spacing w:line="360" w:lineRule="auto"/>
              <w:contextualSpacing/>
              <w:jc w:val="center"/>
              <w:rPr>
                <w:sz w:val="28"/>
                <w:szCs w:val="28"/>
              </w:rPr>
            </w:pPr>
            <w:r w:rsidRPr="00520861">
              <w:rPr>
                <w:sz w:val="28"/>
                <w:szCs w:val="28"/>
              </w:rPr>
              <w:t>4</w:t>
            </w:r>
          </w:p>
        </w:tc>
        <w:tc>
          <w:tcPr>
            <w:tcW w:w="1556" w:type="dxa"/>
            <w:tcBorders>
              <w:top w:val="single" w:sz="4" w:space="0" w:color="auto"/>
              <w:left w:val="single" w:sz="4" w:space="0" w:color="auto"/>
              <w:bottom w:val="single" w:sz="4" w:space="0" w:color="auto"/>
              <w:right w:val="single" w:sz="4" w:space="0" w:color="auto"/>
            </w:tcBorders>
          </w:tcPr>
          <w:p w14:paraId="64718A5F" w14:textId="77777777" w:rsidR="00180D3E" w:rsidRPr="00520861" w:rsidRDefault="00180D3E" w:rsidP="00292D2E">
            <w:pPr>
              <w:widowControl w:val="0"/>
              <w:tabs>
                <w:tab w:val="left" w:pos="-13169"/>
                <w:tab w:val="left" w:pos="0"/>
              </w:tabs>
              <w:spacing w:line="360" w:lineRule="auto"/>
              <w:contextualSpacing/>
              <w:jc w:val="center"/>
              <w:rPr>
                <w:sz w:val="28"/>
                <w:szCs w:val="28"/>
              </w:rPr>
            </w:pPr>
            <w:r w:rsidRPr="00520861">
              <w:rPr>
                <w:sz w:val="28"/>
                <w:szCs w:val="28"/>
              </w:rPr>
              <w:t>5</w:t>
            </w:r>
          </w:p>
        </w:tc>
        <w:tc>
          <w:tcPr>
            <w:tcW w:w="1555" w:type="dxa"/>
            <w:tcBorders>
              <w:top w:val="single" w:sz="4" w:space="0" w:color="auto"/>
              <w:left w:val="single" w:sz="4" w:space="0" w:color="auto"/>
              <w:bottom w:val="single" w:sz="4" w:space="0" w:color="auto"/>
              <w:right w:val="single" w:sz="4" w:space="0" w:color="auto"/>
            </w:tcBorders>
          </w:tcPr>
          <w:p w14:paraId="72D64024" w14:textId="77777777" w:rsidR="00180D3E" w:rsidRPr="00520861" w:rsidRDefault="00180D3E" w:rsidP="00292D2E">
            <w:pPr>
              <w:widowControl w:val="0"/>
              <w:spacing w:line="360" w:lineRule="auto"/>
              <w:contextualSpacing/>
              <w:jc w:val="center"/>
              <w:rPr>
                <w:sz w:val="28"/>
                <w:szCs w:val="28"/>
              </w:rPr>
            </w:pPr>
            <w:r w:rsidRPr="00520861">
              <w:rPr>
                <w:sz w:val="28"/>
                <w:szCs w:val="28"/>
              </w:rPr>
              <w:t>6</w:t>
            </w:r>
          </w:p>
        </w:tc>
        <w:tc>
          <w:tcPr>
            <w:tcW w:w="1556" w:type="dxa"/>
            <w:tcBorders>
              <w:top w:val="single" w:sz="4" w:space="0" w:color="auto"/>
              <w:left w:val="single" w:sz="4" w:space="0" w:color="auto"/>
              <w:bottom w:val="single" w:sz="4" w:space="0" w:color="auto"/>
              <w:right w:val="single" w:sz="4" w:space="0" w:color="auto"/>
            </w:tcBorders>
          </w:tcPr>
          <w:p w14:paraId="206798EB" w14:textId="77777777" w:rsidR="00180D3E" w:rsidRPr="00520861" w:rsidRDefault="00180D3E" w:rsidP="00292D2E">
            <w:pPr>
              <w:widowControl w:val="0"/>
              <w:tabs>
                <w:tab w:val="left" w:pos="889"/>
              </w:tabs>
              <w:spacing w:line="360" w:lineRule="auto"/>
              <w:contextualSpacing/>
              <w:jc w:val="center"/>
              <w:rPr>
                <w:sz w:val="28"/>
                <w:szCs w:val="28"/>
              </w:rPr>
            </w:pPr>
            <w:r w:rsidRPr="00520861">
              <w:rPr>
                <w:sz w:val="28"/>
                <w:szCs w:val="28"/>
              </w:rPr>
              <w:t>7</w:t>
            </w:r>
          </w:p>
        </w:tc>
      </w:tr>
      <w:tr w:rsidR="00180D3E" w:rsidRPr="00520861" w14:paraId="4808D855" w14:textId="77777777" w:rsidTr="00292D2E">
        <w:trPr>
          <w:trHeight w:val="356"/>
          <w:jc w:val="center"/>
        </w:trPr>
        <w:tc>
          <w:tcPr>
            <w:tcW w:w="9927" w:type="dxa"/>
            <w:gridSpan w:val="8"/>
            <w:tcBorders>
              <w:top w:val="single" w:sz="4" w:space="0" w:color="auto"/>
              <w:left w:val="single" w:sz="4" w:space="0" w:color="auto"/>
              <w:bottom w:val="single" w:sz="4" w:space="0" w:color="auto"/>
              <w:right w:val="single" w:sz="4" w:space="0" w:color="auto"/>
            </w:tcBorders>
          </w:tcPr>
          <w:p w14:paraId="7196FA2F" w14:textId="77777777" w:rsidR="00180D3E" w:rsidRPr="00520861" w:rsidRDefault="00180D3E" w:rsidP="00292D2E">
            <w:pPr>
              <w:widowControl w:val="0"/>
              <w:tabs>
                <w:tab w:val="left" w:pos="889"/>
              </w:tabs>
              <w:spacing w:line="360" w:lineRule="auto"/>
              <w:contextualSpacing/>
              <w:jc w:val="center"/>
              <w:rPr>
                <w:sz w:val="28"/>
                <w:szCs w:val="28"/>
              </w:rPr>
            </w:pPr>
            <w:r w:rsidRPr="00520861">
              <w:rPr>
                <w:sz w:val="28"/>
                <w:szCs w:val="28"/>
              </w:rPr>
              <w:t xml:space="preserve">OHI-S </w:t>
            </w:r>
            <w:proofErr w:type="spellStart"/>
            <w:r w:rsidRPr="00520861">
              <w:rPr>
                <w:sz w:val="28"/>
                <w:szCs w:val="28"/>
              </w:rPr>
              <w:t>Green-Vermillion</w:t>
            </w:r>
            <w:proofErr w:type="spellEnd"/>
            <w:r w:rsidRPr="00520861">
              <w:rPr>
                <w:sz w:val="28"/>
                <w:szCs w:val="28"/>
              </w:rPr>
              <w:t>, бали</w:t>
            </w:r>
          </w:p>
        </w:tc>
      </w:tr>
      <w:tr w:rsidR="00180D3E" w:rsidRPr="00520861" w14:paraId="4A0A6BFD"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16600714"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w:t>
            </w:r>
          </w:p>
        </w:tc>
        <w:tc>
          <w:tcPr>
            <w:tcW w:w="999" w:type="dxa"/>
            <w:tcBorders>
              <w:top w:val="single" w:sz="4" w:space="0" w:color="auto"/>
              <w:left w:val="single" w:sz="4" w:space="0" w:color="auto"/>
              <w:bottom w:val="single" w:sz="4" w:space="0" w:color="auto"/>
              <w:right w:val="single" w:sz="4" w:space="0" w:color="auto"/>
            </w:tcBorders>
          </w:tcPr>
          <w:p w14:paraId="7CFC47B4" w14:textId="77777777" w:rsidR="00180D3E" w:rsidRPr="00520861" w:rsidRDefault="00180D3E" w:rsidP="00292D2E">
            <w:pPr>
              <w:widowControl w:val="0"/>
              <w:spacing w:line="360" w:lineRule="auto"/>
              <w:jc w:val="center"/>
              <w:rPr>
                <w:sz w:val="28"/>
                <w:szCs w:val="28"/>
              </w:rPr>
            </w:pPr>
            <w:r w:rsidRPr="00520861">
              <w:rPr>
                <w:sz w:val="28"/>
                <w:szCs w:val="28"/>
              </w:rPr>
              <w:t>1,74</w:t>
            </w:r>
          </w:p>
        </w:tc>
        <w:tc>
          <w:tcPr>
            <w:tcW w:w="1555" w:type="dxa"/>
            <w:tcBorders>
              <w:top w:val="single" w:sz="4" w:space="0" w:color="auto"/>
              <w:left w:val="single" w:sz="4" w:space="0" w:color="auto"/>
              <w:bottom w:val="single" w:sz="4" w:space="0" w:color="auto"/>
              <w:right w:val="single" w:sz="4" w:space="0" w:color="auto"/>
            </w:tcBorders>
          </w:tcPr>
          <w:p w14:paraId="7557C27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1,53</w:t>
            </w:r>
          </w:p>
        </w:tc>
        <w:tc>
          <w:tcPr>
            <w:tcW w:w="1555" w:type="dxa"/>
            <w:tcBorders>
              <w:top w:val="single" w:sz="4" w:space="0" w:color="auto"/>
              <w:left w:val="single" w:sz="4" w:space="0" w:color="auto"/>
              <w:bottom w:val="single" w:sz="4" w:space="0" w:color="auto"/>
              <w:right w:val="single" w:sz="4" w:space="0" w:color="auto"/>
            </w:tcBorders>
          </w:tcPr>
          <w:p w14:paraId="42CD5096" w14:textId="77777777" w:rsidR="00180D3E" w:rsidRPr="00520861" w:rsidRDefault="00180D3E" w:rsidP="00292D2E">
            <w:pPr>
              <w:widowControl w:val="0"/>
              <w:spacing w:line="360" w:lineRule="auto"/>
              <w:jc w:val="center"/>
              <w:rPr>
                <w:sz w:val="28"/>
                <w:szCs w:val="28"/>
              </w:rPr>
            </w:pPr>
            <w:r w:rsidRPr="00520861">
              <w:rPr>
                <w:sz w:val="28"/>
                <w:szCs w:val="28"/>
              </w:rPr>
              <w:t>1,76</w:t>
            </w:r>
          </w:p>
        </w:tc>
        <w:tc>
          <w:tcPr>
            <w:tcW w:w="1556" w:type="dxa"/>
            <w:tcBorders>
              <w:top w:val="single" w:sz="4" w:space="0" w:color="auto"/>
              <w:left w:val="single" w:sz="4" w:space="0" w:color="auto"/>
              <w:bottom w:val="single" w:sz="4" w:space="0" w:color="auto"/>
              <w:right w:val="single" w:sz="4" w:space="0" w:color="auto"/>
            </w:tcBorders>
          </w:tcPr>
          <w:p w14:paraId="59996B39" w14:textId="77777777" w:rsidR="00180D3E" w:rsidRPr="00520861" w:rsidRDefault="00180D3E" w:rsidP="00292D2E">
            <w:pPr>
              <w:widowControl w:val="0"/>
              <w:spacing w:line="360" w:lineRule="auto"/>
              <w:jc w:val="center"/>
              <w:rPr>
                <w:sz w:val="28"/>
                <w:szCs w:val="28"/>
              </w:rPr>
            </w:pPr>
            <w:r w:rsidRPr="00520861">
              <w:rPr>
                <w:sz w:val="28"/>
                <w:szCs w:val="28"/>
              </w:rPr>
              <w:t>1,72</w:t>
            </w:r>
          </w:p>
        </w:tc>
        <w:tc>
          <w:tcPr>
            <w:tcW w:w="1555" w:type="dxa"/>
            <w:tcBorders>
              <w:top w:val="single" w:sz="4" w:space="0" w:color="auto"/>
              <w:left w:val="single" w:sz="4" w:space="0" w:color="auto"/>
              <w:bottom w:val="single" w:sz="4" w:space="0" w:color="auto"/>
              <w:right w:val="single" w:sz="4" w:space="0" w:color="auto"/>
            </w:tcBorders>
          </w:tcPr>
          <w:p w14:paraId="6DB356A6" w14:textId="77777777" w:rsidR="00180D3E" w:rsidRPr="00520861" w:rsidRDefault="00180D3E" w:rsidP="00292D2E">
            <w:pPr>
              <w:widowControl w:val="0"/>
              <w:spacing w:line="360" w:lineRule="auto"/>
              <w:jc w:val="center"/>
              <w:rPr>
                <w:rFonts w:eastAsia="Calibri"/>
                <w:sz w:val="28"/>
                <w:szCs w:val="28"/>
                <w:u w:val="single"/>
                <w:lang w:eastAsia="en-US"/>
              </w:rPr>
            </w:pPr>
            <w:r w:rsidRPr="00520861">
              <w:rPr>
                <w:sz w:val="28"/>
                <w:szCs w:val="28"/>
              </w:rPr>
              <w:t>1,36</w:t>
            </w:r>
          </w:p>
        </w:tc>
        <w:tc>
          <w:tcPr>
            <w:tcW w:w="1556" w:type="dxa"/>
            <w:tcBorders>
              <w:top w:val="single" w:sz="4" w:space="0" w:color="auto"/>
              <w:left w:val="single" w:sz="4" w:space="0" w:color="auto"/>
              <w:bottom w:val="single" w:sz="4" w:space="0" w:color="auto"/>
              <w:right w:val="single" w:sz="4" w:space="0" w:color="auto"/>
            </w:tcBorders>
          </w:tcPr>
          <w:p w14:paraId="1410228E"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1,29</w:t>
            </w:r>
          </w:p>
        </w:tc>
      </w:tr>
      <w:tr w:rsidR="00180D3E" w:rsidRPr="00520861" w14:paraId="46366BA3" w14:textId="77777777" w:rsidTr="00292D2E">
        <w:trPr>
          <w:gridAfter w:val="1"/>
          <w:wAfter w:w="22" w:type="dxa"/>
          <w:trHeight w:val="493"/>
          <w:jc w:val="center"/>
        </w:trPr>
        <w:tc>
          <w:tcPr>
            <w:tcW w:w="1129" w:type="dxa"/>
            <w:tcBorders>
              <w:top w:val="single" w:sz="4" w:space="0" w:color="auto"/>
              <w:left w:val="single" w:sz="4" w:space="0" w:color="auto"/>
              <w:bottom w:val="single" w:sz="4" w:space="0" w:color="auto"/>
              <w:right w:val="single" w:sz="4" w:space="0" w:color="auto"/>
            </w:tcBorders>
            <w:hideMark/>
          </w:tcPr>
          <w:p w14:paraId="0CDDB0EA"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-VІ</w:t>
            </w:r>
          </w:p>
        </w:tc>
        <w:tc>
          <w:tcPr>
            <w:tcW w:w="999" w:type="dxa"/>
            <w:tcBorders>
              <w:top w:val="single" w:sz="4" w:space="0" w:color="auto"/>
              <w:left w:val="single" w:sz="4" w:space="0" w:color="auto"/>
              <w:bottom w:val="single" w:sz="4" w:space="0" w:color="auto"/>
              <w:right w:val="single" w:sz="4" w:space="0" w:color="auto"/>
            </w:tcBorders>
            <w:hideMark/>
          </w:tcPr>
          <w:p w14:paraId="2FD8B8FB" w14:textId="77777777" w:rsidR="00180D3E" w:rsidRPr="00520861" w:rsidRDefault="00180D3E" w:rsidP="00292D2E">
            <w:pPr>
              <w:widowControl w:val="0"/>
              <w:spacing w:line="360" w:lineRule="auto"/>
              <w:jc w:val="center"/>
              <w:rPr>
                <w:sz w:val="28"/>
                <w:szCs w:val="28"/>
              </w:rPr>
            </w:pPr>
            <w:r w:rsidRPr="00520861">
              <w:rPr>
                <w:sz w:val="28"/>
                <w:szCs w:val="28"/>
              </w:rPr>
              <w:t>1,63</w:t>
            </w:r>
          </w:p>
        </w:tc>
        <w:tc>
          <w:tcPr>
            <w:tcW w:w="1555" w:type="dxa"/>
            <w:tcBorders>
              <w:top w:val="single" w:sz="4" w:space="0" w:color="auto"/>
              <w:left w:val="single" w:sz="4" w:space="0" w:color="auto"/>
              <w:bottom w:val="single" w:sz="4" w:space="0" w:color="auto"/>
              <w:right w:val="single" w:sz="4" w:space="0" w:color="auto"/>
            </w:tcBorders>
          </w:tcPr>
          <w:p w14:paraId="283D42F6" w14:textId="77777777" w:rsidR="00180D3E" w:rsidRPr="00520861" w:rsidRDefault="00180D3E" w:rsidP="00292D2E">
            <w:pPr>
              <w:widowControl w:val="0"/>
              <w:spacing w:line="360" w:lineRule="auto"/>
              <w:jc w:val="center"/>
              <w:rPr>
                <w:sz w:val="28"/>
                <w:szCs w:val="28"/>
              </w:rPr>
            </w:pPr>
            <w:r w:rsidRPr="00520861">
              <w:rPr>
                <w:sz w:val="28"/>
                <w:szCs w:val="28"/>
              </w:rPr>
              <w:t>1,39</w:t>
            </w:r>
          </w:p>
          <w:p w14:paraId="513E9FAC" w14:textId="77777777" w:rsidR="00180D3E" w:rsidRPr="00520861" w:rsidRDefault="00180D3E" w:rsidP="00292D2E">
            <w:pPr>
              <w:widowControl w:val="0"/>
              <w:spacing w:line="360" w:lineRule="auto"/>
              <w:jc w:val="center"/>
              <w:rPr>
                <w:sz w:val="28"/>
                <w:szCs w:val="28"/>
              </w:rPr>
            </w:pPr>
          </w:p>
        </w:tc>
        <w:tc>
          <w:tcPr>
            <w:tcW w:w="1555" w:type="dxa"/>
            <w:tcBorders>
              <w:top w:val="single" w:sz="4" w:space="0" w:color="auto"/>
              <w:left w:val="single" w:sz="4" w:space="0" w:color="auto"/>
              <w:bottom w:val="single" w:sz="4" w:space="0" w:color="auto"/>
              <w:right w:val="single" w:sz="4" w:space="0" w:color="auto"/>
            </w:tcBorders>
          </w:tcPr>
          <w:p w14:paraId="6A806E30" w14:textId="77777777" w:rsidR="00180D3E" w:rsidRPr="00520861" w:rsidRDefault="00180D3E" w:rsidP="00292D2E">
            <w:pPr>
              <w:widowControl w:val="0"/>
              <w:spacing w:line="360" w:lineRule="auto"/>
              <w:jc w:val="center"/>
              <w:rPr>
                <w:sz w:val="28"/>
                <w:szCs w:val="28"/>
              </w:rPr>
            </w:pPr>
            <w:r w:rsidRPr="00520861">
              <w:rPr>
                <w:sz w:val="28"/>
                <w:szCs w:val="28"/>
              </w:rPr>
              <w:t>1,72</w:t>
            </w:r>
          </w:p>
          <w:p w14:paraId="5C100612" w14:textId="77777777" w:rsidR="00180D3E" w:rsidRPr="00520861" w:rsidRDefault="00180D3E" w:rsidP="00292D2E">
            <w:pPr>
              <w:widowControl w:val="0"/>
              <w:spacing w:line="360" w:lineRule="auto"/>
              <w:jc w:val="center"/>
              <w:rPr>
                <w:sz w:val="28"/>
                <w:szCs w:val="28"/>
              </w:rPr>
            </w:pPr>
          </w:p>
        </w:tc>
        <w:tc>
          <w:tcPr>
            <w:tcW w:w="1556" w:type="dxa"/>
            <w:tcBorders>
              <w:top w:val="single" w:sz="4" w:space="0" w:color="auto"/>
              <w:left w:val="single" w:sz="4" w:space="0" w:color="auto"/>
              <w:bottom w:val="single" w:sz="4" w:space="0" w:color="auto"/>
              <w:right w:val="single" w:sz="4" w:space="0" w:color="auto"/>
            </w:tcBorders>
            <w:hideMark/>
          </w:tcPr>
          <w:p w14:paraId="6DC5CA2F" w14:textId="77777777" w:rsidR="00180D3E" w:rsidRPr="00520861" w:rsidRDefault="00180D3E" w:rsidP="00292D2E">
            <w:pPr>
              <w:widowControl w:val="0"/>
              <w:spacing w:line="360" w:lineRule="auto"/>
              <w:jc w:val="center"/>
              <w:rPr>
                <w:sz w:val="28"/>
                <w:szCs w:val="28"/>
              </w:rPr>
            </w:pPr>
            <w:r w:rsidRPr="00520861">
              <w:rPr>
                <w:sz w:val="28"/>
                <w:szCs w:val="28"/>
              </w:rPr>
              <w:t>1,60</w:t>
            </w:r>
          </w:p>
        </w:tc>
        <w:tc>
          <w:tcPr>
            <w:tcW w:w="1555" w:type="dxa"/>
            <w:tcBorders>
              <w:top w:val="single" w:sz="4" w:space="0" w:color="auto"/>
              <w:left w:val="single" w:sz="4" w:space="0" w:color="auto"/>
              <w:bottom w:val="single" w:sz="4" w:space="0" w:color="auto"/>
              <w:right w:val="single" w:sz="4" w:space="0" w:color="auto"/>
            </w:tcBorders>
            <w:hideMark/>
          </w:tcPr>
          <w:p w14:paraId="57EA719F" w14:textId="77777777" w:rsidR="00180D3E" w:rsidRPr="00520861" w:rsidRDefault="00180D3E" w:rsidP="00292D2E">
            <w:pPr>
              <w:widowControl w:val="0"/>
              <w:spacing w:line="360" w:lineRule="auto"/>
              <w:jc w:val="center"/>
              <w:rPr>
                <w:rFonts w:eastAsia="Calibri"/>
                <w:sz w:val="28"/>
                <w:szCs w:val="28"/>
                <w:u w:val="single"/>
                <w:lang w:eastAsia="en-US"/>
              </w:rPr>
            </w:pPr>
            <w:r w:rsidRPr="00520861">
              <w:rPr>
                <w:sz w:val="28"/>
                <w:szCs w:val="28"/>
              </w:rPr>
              <w:t>1,26</w:t>
            </w:r>
          </w:p>
        </w:tc>
        <w:tc>
          <w:tcPr>
            <w:tcW w:w="1556" w:type="dxa"/>
            <w:tcBorders>
              <w:top w:val="single" w:sz="4" w:space="0" w:color="auto"/>
              <w:left w:val="single" w:sz="4" w:space="0" w:color="auto"/>
              <w:bottom w:val="single" w:sz="4" w:space="0" w:color="auto"/>
              <w:right w:val="single" w:sz="4" w:space="0" w:color="auto"/>
            </w:tcBorders>
            <w:hideMark/>
          </w:tcPr>
          <w:p w14:paraId="5815C70A" w14:textId="77777777" w:rsidR="00180D3E" w:rsidRPr="00520861" w:rsidRDefault="00180D3E" w:rsidP="00292D2E">
            <w:pPr>
              <w:widowControl w:val="0"/>
              <w:spacing w:line="360" w:lineRule="auto"/>
              <w:jc w:val="center"/>
              <w:rPr>
                <w:sz w:val="28"/>
                <w:szCs w:val="28"/>
              </w:rPr>
            </w:pPr>
            <w:r w:rsidRPr="00520861">
              <w:rPr>
                <w:sz w:val="28"/>
                <w:szCs w:val="28"/>
              </w:rPr>
              <w:t>1,08*</w:t>
            </w:r>
          </w:p>
          <w:p w14:paraId="5681A226" w14:textId="77777777" w:rsidR="00180D3E" w:rsidRPr="00520861" w:rsidRDefault="00180D3E" w:rsidP="00292D2E">
            <w:pPr>
              <w:widowControl w:val="0"/>
              <w:spacing w:line="360" w:lineRule="auto"/>
              <w:rPr>
                <w:sz w:val="28"/>
                <w:szCs w:val="28"/>
              </w:rPr>
            </w:pPr>
            <w:r w:rsidRPr="00520861">
              <w:rPr>
                <w:sz w:val="28"/>
                <w:szCs w:val="28"/>
              </w:rPr>
              <w:t>(</w:t>
            </w:r>
            <w:r w:rsidRPr="00520861">
              <w:rPr>
                <w:i/>
                <w:sz w:val="28"/>
                <w:szCs w:val="28"/>
              </w:rPr>
              <w:t>p</w:t>
            </w:r>
            <w:r w:rsidRPr="00520861">
              <w:rPr>
                <w:sz w:val="28"/>
                <w:szCs w:val="28"/>
              </w:rPr>
              <w:t>=0,0296)</w:t>
            </w:r>
          </w:p>
        </w:tc>
      </w:tr>
      <w:tr w:rsidR="00180D3E" w:rsidRPr="00520861" w14:paraId="426D0427"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30CC3245"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-VІІ</w:t>
            </w:r>
          </w:p>
        </w:tc>
        <w:tc>
          <w:tcPr>
            <w:tcW w:w="999" w:type="dxa"/>
            <w:tcBorders>
              <w:top w:val="single" w:sz="4" w:space="0" w:color="auto"/>
              <w:left w:val="single" w:sz="4" w:space="0" w:color="auto"/>
              <w:bottom w:val="single" w:sz="4" w:space="0" w:color="auto"/>
              <w:right w:val="single" w:sz="4" w:space="0" w:color="auto"/>
            </w:tcBorders>
            <w:hideMark/>
          </w:tcPr>
          <w:p w14:paraId="24B143AE" w14:textId="77777777" w:rsidR="00180D3E" w:rsidRPr="00520861" w:rsidRDefault="00180D3E" w:rsidP="00292D2E">
            <w:pPr>
              <w:widowControl w:val="0"/>
              <w:spacing w:line="360" w:lineRule="auto"/>
              <w:jc w:val="center"/>
              <w:rPr>
                <w:sz w:val="28"/>
                <w:szCs w:val="28"/>
              </w:rPr>
            </w:pPr>
            <w:r w:rsidRPr="00520861">
              <w:rPr>
                <w:sz w:val="28"/>
                <w:szCs w:val="28"/>
              </w:rPr>
              <w:t>1,69</w:t>
            </w:r>
          </w:p>
        </w:tc>
        <w:tc>
          <w:tcPr>
            <w:tcW w:w="1555" w:type="dxa"/>
            <w:tcBorders>
              <w:top w:val="single" w:sz="4" w:space="0" w:color="auto"/>
              <w:left w:val="single" w:sz="4" w:space="0" w:color="auto"/>
              <w:bottom w:val="single" w:sz="4" w:space="0" w:color="auto"/>
              <w:right w:val="single" w:sz="4" w:space="0" w:color="auto"/>
            </w:tcBorders>
            <w:hideMark/>
          </w:tcPr>
          <w:p w14:paraId="3F7E300B" w14:textId="77777777" w:rsidR="00180D3E" w:rsidRPr="00520861" w:rsidRDefault="00180D3E" w:rsidP="00292D2E">
            <w:pPr>
              <w:widowControl w:val="0"/>
              <w:spacing w:line="360" w:lineRule="auto"/>
              <w:jc w:val="center"/>
              <w:rPr>
                <w:sz w:val="28"/>
                <w:szCs w:val="28"/>
              </w:rPr>
            </w:pPr>
            <w:r w:rsidRPr="00520861">
              <w:rPr>
                <w:sz w:val="28"/>
                <w:szCs w:val="28"/>
              </w:rPr>
              <w:t>1,17*</w:t>
            </w:r>
          </w:p>
          <w:p w14:paraId="6705FAEC" w14:textId="77777777" w:rsidR="00180D3E" w:rsidRPr="00520861" w:rsidRDefault="00180D3E"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=0,0028)</w:t>
            </w:r>
          </w:p>
        </w:tc>
        <w:tc>
          <w:tcPr>
            <w:tcW w:w="1555" w:type="dxa"/>
            <w:tcBorders>
              <w:top w:val="single" w:sz="4" w:space="0" w:color="auto"/>
              <w:left w:val="single" w:sz="4" w:space="0" w:color="auto"/>
              <w:bottom w:val="single" w:sz="4" w:space="0" w:color="auto"/>
              <w:right w:val="single" w:sz="4" w:space="0" w:color="auto"/>
            </w:tcBorders>
            <w:hideMark/>
          </w:tcPr>
          <w:p w14:paraId="6B782345" w14:textId="77777777" w:rsidR="00180D3E" w:rsidRPr="00520861" w:rsidRDefault="00180D3E" w:rsidP="00292D2E">
            <w:pPr>
              <w:widowControl w:val="0"/>
              <w:spacing w:line="360" w:lineRule="auto"/>
              <w:jc w:val="center"/>
              <w:rPr>
                <w:sz w:val="28"/>
                <w:szCs w:val="28"/>
              </w:rPr>
            </w:pPr>
            <w:r w:rsidRPr="00520861">
              <w:rPr>
                <w:sz w:val="28"/>
                <w:szCs w:val="28"/>
              </w:rPr>
              <w:t>1,79</w:t>
            </w:r>
          </w:p>
        </w:tc>
        <w:tc>
          <w:tcPr>
            <w:tcW w:w="1556" w:type="dxa"/>
            <w:tcBorders>
              <w:top w:val="single" w:sz="4" w:space="0" w:color="auto"/>
              <w:left w:val="single" w:sz="4" w:space="0" w:color="auto"/>
              <w:bottom w:val="single" w:sz="4" w:space="0" w:color="auto"/>
              <w:right w:val="single" w:sz="4" w:space="0" w:color="auto"/>
            </w:tcBorders>
            <w:hideMark/>
          </w:tcPr>
          <w:p w14:paraId="7AEE11B6" w14:textId="77777777" w:rsidR="00180D3E" w:rsidRPr="00520861" w:rsidRDefault="00180D3E" w:rsidP="00292D2E">
            <w:pPr>
              <w:widowControl w:val="0"/>
              <w:spacing w:line="360" w:lineRule="auto"/>
              <w:jc w:val="center"/>
              <w:rPr>
                <w:sz w:val="28"/>
                <w:szCs w:val="28"/>
              </w:rPr>
            </w:pPr>
            <w:r w:rsidRPr="00520861">
              <w:rPr>
                <w:sz w:val="28"/>
                <w:szCs w:val="28"/>
              </w:rPr>
              <w:t>1,71</w:t>
            </w:r>
          </w:p>
        </w:tc>
        <w:tc>
          <w:tcPr>
            <w:tcW w:w="1555" w:type="dxa"/>
            <w:tcBorders>
              <w:top w:val="single" w:sz="4" w:space="0" w:color="auto"/>
              <w:left w:val="single" w:sz="4" w:space="0" w:color="auto"/>
              <w:bottom w:val="single" w:sz="4" w:space="0" w:color="auto"/>
              <w:right w:val="single" w:sz="4" w:space="0" w:color="auto"/>
            </w:tcBorders>
            <w:hideMark/>
          </w:tcPr>
          <w:p w14:paraId="1A2A78DE" w14:textId="77777777" w:rsidR="00180D3E" w:rsidRPr="00520861" w:rsidRDefault="00180D3E" w:rsidP="00292D2E">
            <w:pPr>
              <w:widowControl w:val="0"/>
              <w:spacing w:line="360" w:lineRule="auto"/>
              <w:jc w:val="center"/>
              <w:rPr>
                <w:sz w:val="28"/>
                <w:szCs w:val="28"/>
              </w:rPr>
            </w:pPr>
            <w:r w:rsidRPr="00520861">
              <w:rPr>
                <w:sz w:val="28"/>
                <w:szCs w:val="28"/>
              </w:rPr>
              <w:t>1,15*</w:t>
            </w:r>
          </w:p>
          <w:p w14:paraId="6A6B98F7"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=0,0053)</w:t>
            </w:r>
          </w:p>
        </w:tc>
        <w:tc>
          <w:tcPr>
            <w:tcW w:w="1556" w:type="dxa"/>
            <w:tcBorders>
              <w:top w:val="single" w:sz="4" w:space="0" w:color="auto"/>
              <w:left w:val="single" w:sz="4" w:space="0" w:color="auto"/>
              <w:bottom w:val="single" w:sz="4" w:space="0" w:color="auto"/>
              <w:right w:val="single" w:sz="4" w:space="0" w:color="auto"/>
            </w:tcBorders>
            <w:hideMark/>
          </w:tcPr>
          <w:p w14:paraId="3CD81E09" w14:textId="77777777" w:rsidR="00180D3E" w:rsidRPr="00520861" w:rsidRDefault="00180D3E" w:rsidP="00292D2E">
            <w:pPr>
              <w:widowControl w:val="0"/>
              <w:spacing w:line="360" w:lineRule="auto"/>
              <w:jc w:val="center"/>
              <w:rPr>
                <w:sz w:val="28"/>
                <w:szCs w:val="28"/>
              </w:rPr>
            </w:pPr>
            <w:r w:rsidRPr="00520861">
              <w:rPr>
                <w:sz w:val="28"/>
                <w:szCs w:val="28"/>
              </w:rPr>
              <w:t>0,68*</w:t>
            </w:r>
          </w:p>
          <w:p w14:paraId="4A052519"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w:t>
            </w:r>
            <w:r w:rsidRPr="00520861">
              <w:rPr>
                <w:i/>
                <w:sz w:val="28"/>
                <w:szCs w:val="28"/>
              </w:rPr>
              <w:t>p</w:t>
            </w:r>
            <w:r w:rsidRPr="00520861">
              <w:rPr>
                <w:sz w:val="28"/>
                <w:szCs w:val="28"/>
                <w:lang w:val="en-US"/>
              </w:rPr>
              <w:t>&lt;</w:t>
            </w:r>
            <w:r w:rsidRPr="00520861">
              <w:rPr>
                <w:sz w:val="28"/>
                <w:szCs w:val="28"/>
              </w:rPr>
              <w:t>0,0001)</w:t>
            </w:r>
          </w:p>
        </w:tc>
      </w:tr>
      <w:tr w:rsidR="00180D3E" w:rsidRPr="00520861" w14:paraId="57BC050D"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6B451E5D"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-VIII</w:t>
            </w:r>
          </w:p>
        </w:tc>
        <w:tc>
          <w:tcPr>
            <w:tcW w:w="999" w:type="dxa"/>
            <w:tcBorders>
              <w:top w:val="single" w:sz="4" w:space="0" w:color="auto"/>
              <w:left w:val="single" w:sz="4" w:space="0" w:color="auto"/>
              <w:bottom w:val="single" w:sz="4" w:space="0" w:color="auto"/>
              <w:right w:val="single" w:sz="4" w:space="0" w:color="auto"/>
            </w:tcBorders>
            <w:hideMark/>
          </w:tcPr>
          <w:p w14:paraId="55AAB997" w14:textId="77777777" w:rsidR="00180D3E" w:rsidRPr="00520861" w:rsidRDefault="00180D3E" w:rsidP="00292D2E">
            <w:pPr>
              <w:widowControl w:val="0"/>
              <w:spacing w:line="360" w:lineRule="auto"/>
              <w:jc w:val="center"/>
              <w:rPr>
                <w:sz w:val="28"/>
                <w:szCs w:val="28"/>
              </w:rPr>
            </w:pPr>
            <w:r w:rsidRPr="00520861">
              <w:rPr>
                <w:sz w:val="28"/>
                <w:szCs w:val="28"/>
              </w:rPr>
              <w:t>1,78</w:t>
            </w:r>
          </w:p>
        </w:tc>
        <w:tc>
          <w:tcPr>
            <w:tcW w:w="1555" w:type="dxa"/>
            <w:tcBorders>
              <w:top w:val="single" w:sz="4" w:space="0" w:color="auto"/>
              <w:left w:val="single" w:sz="4" w:space="0" w:color="auto"/>
              <w:bottom w:val="single" w:sz="4" w:space="0" w:color="auto"/>
              <w:right w:val="single" w:sz="4" w:space="0" w:color="auto"/>
            </w:tcBorders>
          </w:tcPr>
          <w:p w14:paraId="119EAD9A" w14:textId="77777777" w:rsidR="00180D3E" w:rsidRPr="00520861" w:rsidRDefault="00180D3E" w:rsidP="00292D2E">
            <w:pPr>
              <w:widowControl w:val="0"/>
              <w:spacing w:line="360" w:lineRule="auto"/>
              <w:jc w:val="center"/>
              <w:rPr>
                <w:sz w:val="28"/>
                <w:szCs w:val="28"/>
              </w:rPr>
            </w:pPr>
            <w:r w:rsidRPr="00520861">
              <w:rPr>
                <w:sz w:val="28"/>
                <w:szCs w:val="28"/>
              </w:rPr>
              <w:t>1,30</w:t>
            </w:r>
          </w:p>
          <w:p w14:paraId="0F7694F6" w14:textId="77777777" w:rsidR="00180D3E" w:rsidRPr="00520861" w:rsidRDefault="00180D3E" w:rsidP="00292D2E">
            <w:pPr>
              <w:widowControl w:val="0"/>
              <w:spacing w:line="360" w:lineRule="auto"/>
              <w:jc w:val="center"/>
              <w:rPr>
                <w:sz w:val="28"/>
                <w:szCs w:val="28"/>
              </w:rPr>
            </w:pPr>
          </w:p>
        </w:tc>
        <w:tc>
          <w:tcPr>
            <w:tcW w:w="1555" w:type="dxa"/>
            <w:tcBorders>
              <w:top w:val="single" w:sz="4" w:space="0" w:color="auto"/>
              <w:left w:val="single" w:sz="4" w:space="0" w:color="auto"/>
              <w:bottom w:val="single" w:sz="4" w:space="0" w:color="auto"/>
              <w:right w:val="single" w:sz="4" w:space="0" w:color="auto"/>
            </w:tcBorders>
            <w:hideMark/>
          </w:tcPr>
          <w:p w14:paraId="533D54B1" w14:textId="77777777" w:rsidR="00180D3E" w:rsidRPr="00520861" w:rsidRDefault="00180D3E" w:rsidP="00292D2E">
            <w:pPr>
              <w:widowControl w:val="0"/>
              <w:spacing w:line="360" w:lineRule="auto"/>
              <w:jc w:val="center"/>
              <w:rPr>
                <w:sz w:val="28"/>
                <w:szCs w:val="28"/>
              </w:rPr>
            </w:pPr>
            <w:r w:rsidRPr="00520861">
              <w:rPr>
                <w:sz w:val="28"/>
                <w:szCs w:val="28"/>
              </w:rPr>
              <w:t>2,13</w:t>
            </w:r>
          </w:p>
        </w:tc>
        <w:tc>
          <w:tcPr>
            <w:tcW w:w="1556" w:type="dxa"/>
            <w:tcBorders>
              <w:top w:val="single" w:sz="4" w:space="0" w:color="auto"/>
              <w:left w:val="single" w:sz="4" w:space="0" w:color="auto"/>
              <w:bottom w:val="single" w:sz="4" w:space="0" w:color="auto"/>
              <w:right w:val="single" w:sz="4" w:space="0" w:color="auto"/>
            </w:tcBorders>
            <w:hideMark/>
          </w:tcPr>
          <w:p w14:paraId="72E6F465" w14:textId="77777777" w:rsidR="00180D3E" w:rsidRPr="00520861" w:rsidRDefault="00180D3E" w:rsidP="00292D2E">
            <w:pPr>
              <w:widowControl w:val="0"/>
              <w:spacing w:line="360" w:lineRule="auto"/>
              <w:jc w:val="center"/>
              <w:rPr>
                <w:sz w:val="28"/>
                <w:szCs w:val="28"/>
              </w:rPr>
            </w:pPr>
            <w:r w:rsidRPr="00520861">
              <w:rPr>
                <w:sz w:val="28"/>
                <w:szCs w:val="28"/>
              </w:rPr>
              <w:t>1,89</w:t>
            </w:r>
          </w:p>
        </w:tc>
        <w:tc>
          <w:tcPr>
            <w:tcW w:w="1555" w:type="dxa"/>
            <w:tcBorders>
              <w:top w:val="single" w:sz="4" w:space="0" w:color="auto"/>
              <w:left w:val="single" w:sz="4" w:space="0" w:color="auto"/>
              <w:bottom w:val="single" w:sz="4" w:space="0" w:color="auto"/>
              <w:right w:val="single" w:sz="4" w:space="0" w:color="auto"/>
            </w:tcBorders>
            <w:hideMark/>
          </w:tcPr>
          <w:p w14:paraId="213ACEB0" w14:textId="77777777" w:rsidR="00180D3E" w:rsidRPr="00520861" w:rsidRDefault="00180D3E" w:rsidP="00292D2E">
            <w:pPr>
              <w:widowControl w:val="0"/>
              <w:spacing w:line="360" w:lineRule="auto"/>
              <w:jc w:val="center"/>
              <w:rPr>
                <w:rFonts w:eastAsia="Calibri"/>
                <w:sz w:val="28"/>
                <w:szCs w:val="28"/>
                <w:u w:val="single"/>
                <w:lang w:eastAsia="en-US"/>
              </w:rPr>
            </w:pPr>
            <w:r w:rsidRPr="00520861">
              <w:rPr>
                <w:sz w:val="28"/>
                <w:szCs w:val="28"/>
              </w:rPr>
              <w:t>1,40</w:t>
            </w:r>
          </w:p>
        </w:tc>
        <w:tc>
          <w:tcPr>
            <w:tcW w:w="1556" w:type="dxa"/>
            <w:tcBorders>
              <w:top w:val="single" w:sz="4" w:space="0" w:color="auto"/>
              <w:left w:val="single" w:sz="4" w:space="0" w:color="auto"/>
              <w:bottom w:val="single" w:sz="4" w:space="0" w:color="auto"/>
              <w:right w:val="single" w:sz="4" w:space="0" w:color="auto"/>
            </w:tcBorders>
            <w:hideMark/>
          </w:tcPr>
          <w:p w14:paraId="6818037C" w14:textId="77777777" w:rsidR="00180D3E" w:rsidRPr="00520861" w:rsidRDefault="00180D3E" w:rsidP="00292D2E">
            <w:pPr>
              <w:widowControl w:val="0"/>
              <w:spacing w:line="360" w:lineRule="auto"/>
              <w:jc w:val="center"/>
              <w:rPr>
                <w:sz w:val="28"/>
                <w:szCs w:val="28"/>
              </w:rPr>
            </w:pPr>
            <w:r w:rsidRPr="00520861">
              <w:rPr>
                <w:sz w:val="28"/>
                <w:szCs w:val="28"/>
              </w:rPr>
              <w:t>0,83*</w:t>
            </w:r>
          </w:p>
          <w:p w14:paraId="7C4AAC2C" w14:textId="77777777" w:rsidR="00180D3E" w:rsidRPr="00520861" w:rsidRDefault="00180D3E"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=0,0094)</w:t>
            </w:r>
          </w:p>
        </w:tc>
      </w:tr>
      <w:tr w:rsidR="00180D3E" w:rsidRPr="00520861" w14:paraId="0FAB2885" w14:textId="77777777" w:rsidTr="00292D2E">
        <w:trPr>
          <w:trHeight w:val="389"/>
          <w:jc w:val="center"/>
        </w:trPr>
        <w:tc>
          <w:tcPr>
            <w:tcW w:w="9927" w:type="dxa"/>
            <w:gridSpan w:val="8"/>
            <w:tcBorders>
              <w:top w:val="single" w:sz="4" w:space="0" w:color="auto"/>
              <w:left w:val="single" w:sz="4" w:space="0" w:color="auto"/>
              <w:bottom w:val="single" w:sz="4" w:space="0" w:color="auto"/>
              <w:right w:val="single" w:sz="4" w:space="0" w:color="auto"/>
            </w:tcBorders>
          </w:tcPr>
          <w:p w14:paraId="631AA14E" w14:textId="77777777" w:rsidR="00180D3E" w:rsidRPr="00520861" w:rsidRDefault="00180D3E" w:rsidP="00292D2E">
            <w:pPr>
              <w:widowControl w:val="0"/>
              <w:spacing w:line="360" w:lineRule="auto"/>
              <w:jc w:val="center"/>
              <w:rPr>
                <w:sz w:val="28"/>
                <w:szCs w:val="28"/>
              </w:rPr>
            </w:pPr>
            <w:r w:rsidRPr="00520861">
              <w:rPr>
                <w:sz w:val="28"/>
                <w:szCs w:val="28"/>
              </w:rPr>
              <w:t>Кровоточивість (</w:t>
            </w:r>
            <w:proofErr w:type="spellStart"/>
            <w:r w:rsidRPr="00520861">
              <w:rPr>
                <w:sz w:val="28"/>
                <w:szCs w:val="28"/>
              </w:rPr>
              <w:t>Muhleman-Cowel</w:t>
            </w:r>
            <w:proofErr w:type="spellEnd"/>
            <w:r w:rsidRPr="00520861">
              <w:rPr>
                <w:sz w:val="28"/>
                <w:szCs w:val="28"/>
              </w:rPr>
              <w:t>), бали</w:t>
            </w:r>
          </w:p>
        </w:tc>
      </w:tr>
      <w:tr w:rsidR="00180D3E" w:rsidRPr="00520861" w14:paraId="6EF14D68"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343E4178"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w:t>
            </w:r>
          </w:p>
        </w:tc>
        <w:tc>
          <w:tcPr>
            <w:tcW w:w="999" w:type="dxa"/>
            <w:tcBorders>
              <w:top w:val="single" w:sz="4" w:space="0" w:color="auto"/>
              <w:left w:val="single" w:sz="4" w:space="0" w:color="auto"/>
              <w:bottom w:val="single" w:sz="4" w:space="0" w:color="auto"/>
              <w:right w:val="single" w:sz="4" w:space="0" w:color="auto"/>
            </w:tcBorders>
            <w:hideMark/>
          </w:tcPr>
          <w:p w14:paraId="5362798D" w14:textId="77777777" w:rsidR="00180D3E" w:rsidRPr="00520861" w:rsidRDefault="00180D3E" w:rsidP="00292D2E">
            <w:pPr>
              <w:widowControl w:val="0"/>
              <w:spacing w:line="360" w:lineRule="auto"/>
              <w:jc w:val="center"/>
              <w:rPr>
                <w:sz w:val="28"/>
                <w:szCs w:val="28"/>
              </w:rPr>
            </w:pPr>
            <w:r w:rsidRPr="00520861">
              <w:rPr>
                <w:sz w:val="28"/>
                <w:szCs w:val="28"/>
              </w:rPr>
              <w:t>0,89</w:t>
            </w:r>
          </w:p>
        </w:tc>
        <w:tc>
          <w:tcPr>
            <w:tcW w:w="1555" w:type="dxa"/>
            <w:tcBorders>
              <w:top w:val="single" w:sz="4" w:space="0" w:color="auto"/>
              <w:left w:val="single" w:sz="4" w:space="0" w:color="auto"/>
              <w:bottom w:val="single" w:sz="4" w:space="0" w:color="auto"/>
              <w:right w:val="single" w:sz="4" w:space="0" w:color="auto"/>
            </w:tcBorders>
            <w:hideMark/>
          </w:tcPr>
          <w:p w14:paraId="03DDF1B7" w14:textId="77777777" w:rsidR="00180D3E" w:rsidRPr="00520861" w:rsidRDefault="00180D3E" w:rsidP="00292D2E">
            <w:pPr>
              <w:widowControl w:val="0"/>
              <w:spacing w:line="360" w:lineRule="auto"/>
              <w:jc w:val="center"/>
              <w:rPr>
                <w:sz w:val="28"/>
                <w:szCs w:val="28"/>
              </w:rPr>
            </w:pPr>
            <w:r w:rsidRPr="00520861">
              <w:rPr>
                <w:sz w:val="28"/>
                <w:szCs w:val="28"/>
              </w:rPr>
              <w:t>1,25</w:t>
            </w:r>
          </w:p>
        </w:tc>
        <w:tc>
          <w:tcPr>
            <w:tcW w:w="1555" w:type="dxa"/>
            <w:tcBorders>
              <w:top w:val="single" w:sz="4" w:space="0" w:color="auto"/>
              <w:left w:val="single" w:sz="4" w:space="0" w:color="auto"/>
              <w:bottom w:val="single" w:sz="4" w:space="0" w:color="auto"/>
              <w:right w:val="single" w:sz="4" w:space="0" w:color="auto"/>
            </w:tcBorders>
            <w:hideMark/>
          </w:tcPr>
          <w:p w14:paraId="748EA4A3" w14:textId="77777777" w:rsidR="00180D3E" w:rsidRPr="00520861" w:rsidRDefault="00180D3E" w:rsidP="00292D2E">
            <w:pPr>
              <w:widowControl w:val="0"/>
              <w:spacing w:line="360" w:lineRule="auto"/>
              <w:jc w:val="center"/>
              <w:rPr>
                <w:sz w:val="28"/>
                <w:szCs w:val="28"/>
              </w:rPr>
            </w:pPr>
            <w:r w:rsidRPr="00520861">
              <w:rPr>
                <w:sz w:val="28"/>
                <w:szCs w:val="28"/>
              </w:rPr>
              <w:t>1,76</w:t>
            </w:r>
          </w:p>
          <w:p w14:paraId="1F4EF309" w14:textId="77777777" w:rsidR="00180D3E" w:rsidRPr="00520861" w:rsidRDefault="00180D3E" w:rsidP="00292D2E">
            <w:pPr>
              <w:widowControl w:val="0"/>
              <w:spacing w:line="360" w:lineRule="auto"/>
              <w:ind w:right="-115"/>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=0,0113)</w:t>
            </w:r>
          </w:p>
        </w:tc>
        <w:tc>
          <w:tcPr>
            <w:tcW w:w="1556" w:type="dxa"/>
            <w:tcBorders>
              <w:top w:val="single" w:sz="4" w:space="0" w:color="auto"/>
              <w:left w:val="single" w:sz="4" w:space="0" w:color="auto"/>
              <w:bottom w:val="single" w:sz="4" w:space="0" w:color="auto"/>
              <w:right w:val="single" w:sz="4" w:space="0" w:color="auto"/>
            </w:tcBorders>
            <w:hideMark/>
          </w:tcPr>
          <w:p w14:paraId="32CE5073" w14:textId="77777777" w:rsidR="00180D3E" w:rsidRPr="00520861" w:rsidRDefault="00180D3E" w:rsidP="00292D2E">
            <w:pPr>
              <w:widowControl w:val="0"/>
              <w:spacing w:line="360" w:lineRule="auto"/>
              <w:jc w:val="center"/>
              <w:rPr>
                <w:sz w:val="28"/>
                <w:szCs w:val="28"/>
              </w:rPr>
            </w:pPr>
            <w:r w:rsidRPr="00520861">
              <w:rPr>
                <w:sz w:val="28"/>
                <w:szCs w:val="28"/>
              </w:rPr>
              <w:t>1,61</w:t>
            </w:r>
          </w:p>
        </w:tc>
        <w:tc>
          <w:tcPr>
            <w:tcW w:w="1555" w:type="dxa"/>
            <w:tcBorders>
              <w:top w:val="single" w:sz="4" w:space="0" w:color="auto"/>
              <w:left w:val="single" w:sz="4" w:space="0" w:color="auto"/>
              <w:bottom w:val="single" w:sz="4" w:space="0" w:color="auto"/>
              <w:right w:val="single" w:sz="4" w:space="0" w:color="auto"/>
            </w:tcBorders>
            <w:hideMark/>
          </w:tcPr>
          <w:p w14:paraId="2FF11DC0"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0,86</w:t>
            </w:r>
          </w:p>
        </w:tc>
        <w:tc>
          <w:tcPr>
            <w:tcW w:w="1556" w:type="dxa"/>
            <w:tcBorders>
              <w:top w:val="single" w:sz="4" w:space="0" w:color="auto"/>
              <w:left w:val="single" w:sz="4" w:space="0" w:color="auto"/>
              <w:bottom w:val="single" w:sz="4" w:space="0" w:color="auto"/>
              <w:right w:val="single" w:sz="4" w:space="0" w:color="auto"/>
            </w:tcBorders>
            <w:hideMark/>
          </w:tcPr>
          <w:p w14:paraId="500F1DA6"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0,78</w:t>
            </w:r>
          </w:p>
        </w:tc>
      </w:tr>
      <w:tr w:rsidR="00180D3E" w:rsidRPr="00520861" w14:paraId="10D12FCD"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3A338265"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-VІ</w:t>
            </w:r>
          </w:p>
        </w:tc>
        <w:tc>
          <w:tcPr>
            <w:tcW w:w="999" w:type="dxa"/>
            <w:tcBorders>
              <w:top w:val="single" w:sz="4" w:space="0" w:color="auto"/>
              <w:left w:val="single" w:sz="4" w:space="0" w:color="auto"/>
              <w:bottom w:val="single" w:sz="4" w:space="0" w:color="auto"/>
              <w:right w:val="single" w:sz="4" w:space="0" w:color="auto"/>
            </w:tcBorders>
            <w:hideMark/>
          </w:tcPr>
          <w:p w14:paraId="651E4105" w14:textId="77777777" w:rsidR="00180D3E" w:rsidRPr="00520861" w:rsidRDefault="00180D3E" w:rsidP="00292D2E">
            <w:pPr>
              <w:widowControl w:val="0"/>
              <w:spacing w:line="360" w:lineRule="auto"/>
              <w:jc w:val="center"/>
              <w:rPr>
                <w:sz w:val="28"/>
                <w:szCs w:val="28"/>
              </w:rPr>
            </w:pPr>
            <w:r w:rsidRPr="00520861">
              <w:rPr>
                <w:sz w:val="28"/>
                <w:szCs w:val="28"/>
              </w:rPr>
              <w:t>0,82</w:t>
            </w:r>
          </w:p>
        </w:tc>
        <w:tc>
          <w:tcPr>
            <w:tcW w:w="1555" w:type="dxa"/>
            <w:tcBorders>
              <w:top w:val="single" w:sz="4" w:space="0" w:color="auto"/>
              <w:left w:val="single" w:sz="4" w:space="0" w:color="auto"/>
              <w:bottom w:val="single" w:sz="4" w:space="0" w:color="auto"/>
              <w:right w:val="single" w:sz="4" w:space="0" w:color="auto"/>
            </w:tcBorders>
            <w:hideMark/>
          </w:tcPr>
          <w:p w14:paraId="54B13EF9" w14:textId="77777777" w:rsidR="00180D3E" w:rsidRPr="00520861" w:rsidRDefault="00180D3E" w:rsidP="00292D2E">
            <w:pPr>
              <w:widowControl w:val="0"/>
              <w:spacing w:line="360" w:lineRule="auto"/>
              <w:jc w:val="center"/>
              <w:rPr>
                <w:sz w:val="28"/>
                <w:szCs w:val="28"/>
              </w:rPr>
            </w:pPr>
            <w:r w:rsidRPr="00520861">
              <w:rPr>
                <w:sz w:val="28"/>
                <w:szCs w:val="28"/>
              </w:rPr>
              <w:t>0,76</w:t>
            </w:r>
          </w:p>
        </w:tc>
        <w:tc>
          <w:tcPr>
            <w:tcW w:w="1555" w:type="dxa"/>
            <w:tcBorders>
              <w:top w:val="single" w:sz="4" w:space="0" w:color="auto"/>
              <w:left w:val="single" w:sz="4" w:space="0" w:color="auto"/>
              <w:bottom w:val="single" w:sz="4" w:space="0" w:color="auto"/>
              <w:right w:val="single" w:sz="4" w:space="0" w:color="auto"/>
            </w:tcBorders>
            <w:hideMark/>
          </w:tcPr>
          <w:p w14:paraId="2EC9AE59" w14:textId="77777777" w:rsidR="00180D3E" w:rsidRPr="00520861" w:rsidRDefault="00180D3E" w:rsidP="00292D2E">
            <w:pPr>
              <w:widowControl w:val="0"/>
              <w:spacing w:line="360" w:lineRule="auto"/>
              <w:jc w:val="center"/>
              <w:rPr>
                <w:sz w:val="28"/>
                <w:szCs w:val="28"/>
              </w:rPr>
            </w:pPr>
            <w:r w:rsidRPr="00520861">
              <w:rPr>
                <w:sz w:val="28"/>
                <w:szCs w:val="28"/>
              </w:rPr>
              <w:t>1,27</w:t>
            </w:r>
          </w:p>
        </w:tc>
        <w:tc>
          <w:tcPr>
            <w:tcW w:w="1556" w:type="dxa"/>
            <w:tcBorders>
              <w:top w:val="single" w:sz="4" w:space="0" w:color="auto"/>
              <w:left w:val="single" w:sz="4" w:space="0" w:color="auto"/>
              <w:bottom w:val="single" w:sz="4" w:space="0" w:color="auto"/>
              <w:right w:val="single" w:sz="4" w:space="0" w:color="auto"/>
            </w:tcBorders>
            <w:hideMark/>
          </w:tcPr>
          <w:p w14:paraId="0A3268A6" w14:textId="77777777" w:rsidR="00180D3E" w:rsidRPr="00520861" w:rsidRDefault="00180D3E" w:rsidP="00292D2E">
            <w:pPr>
              <w:widowControl w:val="0"/>
              <w:spacing w:line="360" w:lineRule="auto"/>
              <w:jc w:val="center"/>
              <w:rPr>
                <w:sz w:val="28"/>
                <w:szCs w:val="28"/>
              </w:rPr>
            </w:pPr>
            <w:r w:rsidRPr="00520861">
              <w:rPr>
                <w:sz w:val="28"/>
                <w:szCs w:val="28"/>
              </w:rPr>
              <w:t>1,04</w:t>
            </w:r>
          </w:p>
        </w:tc>
        <w:tc>
          <w:tcPr>
            <w:tcW w:w="1555" w:type="dxa"/>
            <w:tcBorders>
              <w:top w:val="single" w:sz="4" w:space="0" w:color="auto"/>
              <w:left w:val="single" w:sz="4" w:space="0" w:color="auto"/>
              <w:bottom w:val="single" w:sz="4" w:space="0" w:color="auto"/>
              <w:right w:val="single" w:sz="4" w:space="0" w:color="auto"/>
            </w:tcBorders>
            <w:hideMark/>
          </w:tcPr>
          <w:p w14:paraId="4AE55363" w14:textId="77777777" w:rsidR="00180D3E" w:rsidRPr="00520861" w:rsidRDefault="00180D3E" w:rsidP="00292D2E">
            <w:pPr>
              <w:widowControl w:val="0"/>
              <w:spacing w:line="360" w:lineRule="auto"/>
              <w:jc w:val="center"/>
              <w:rPr>
                <w:sz w:val="28"/>
                <w:szCs w:val="28"/>
              </w:rPr>
            </w:pPr>
            <w:r w:rsidRPr="00520861">
              <w:rPr>
                <w:sz w:val="28"/>
                <w:szCs w:val="28"/>
              </w:rPr>
              <w:t>0,22*</w:t>
            </w:r>
          </w:p>
          <w:p w14:paraId="5ABCE7D0"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=0,0127)</w:t>
            </w:r>
          </w:p>
        </w:tc>
        <w:tc>
          <w:tcPr>
            <w:tcW w:w="1556" w:type="dxa"/>
            <w:tcBorders>
              <w:top w:val="single" w:sz="4" w:space="0" w:color="auto"/>
              <w:left w:val="single" w:sz="4" w:space="0" w:color="auto"/>
              <w:bottom w:val="single" w:sz="4" w:space="0" w:color="auto"/>
              <w:right w:val="single" w:sz="4" w:space="0" w:color="auto"/>
            </w:tcBorders>
            <w:hideMark/>
          </w:tcPr>
          <w:p w14:paraId="1C15F127" w14:textId="77777777" w:rsidR="00180D3E" w:rsidRPr="00520861" w:rsidRDefault="00180D3E" w:rsidP="00292D2E">
            <w:pPr>
              <w:widowControl w:val="0"/>
              <w:spacing w:line="360" w:lineRule="auto"/>
              <w:jc w:val="center"/>
              <w:rPr>
                <w:sz w:val="28"/>
                <w:szCs w:val="28"/>
              </w:rPr>
            </w:pPr>
            <w:r w:rsidRPr="00520861">
              <w:rPr>
                <w:sz w:val="28"/>
                <w:szCs w:val="28"/>
              </w:rPr>
              <w:t>0,56</w:t>
            </w:r>
          </w:p>
        </w:tc>
      </w:tr>
      <w:tr w:rsidR="00180D3E" w:rsidRPr="00520861" w14:paraId="1AFE2426"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44237BA7"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-VІІ</w:t>
            </w:r>
          </w:p>
        </w:tc>
        <w:tc>
          <w:tcPr>
            <w:tcW w:w="999" w:type="dxa"/>
            <w:tcBorders>
              <w:top w:val="single" w:sz="4" w:space="0" w:color="auto"/>
              <w:left w:val="single" w:sz="4" w:space="0" w:color="auto"/>
              <w:bottom w:val="single" w:sz="4" w:space="0" w:color="auto"/>
              <w:right w:val="single" w:sz="4" w:space="0" w:color="auto"/>
            </w:tcBorders>
            <w:hideMark/>
          </w:tcPr>
          <w:p w14:paraId="204B87A4" w14:textId="77777777" w:rsidR="00180D3E" w:rsidRPr="00520861" w:rsidRDefault="00180D3E" w:rsidP="00292D2E">
            <w:pPr>
              <w:widowControl w:val="0"/>
              <w:spacing w:line="360" w:lineRule="auto"/>
              <w:jc w:val="center"/>
              <w:rPr>
                <w:sz w:val="28"/>
                <w:szCs w:val="28"/>
              </w:rPr>
            </w:pPr>
            <w:r w:rsidRPr="00520861">
              <w:rPr>
                <w:sz w:val="28"/>
                <w:szCs w:val="28"/>
              </w:rPr>
              <w:t>1,00</w:t>
            </w:r>
          </w:p>
        </w:tc>
        <w:tc>
          <w:tcPr>
            <w:tcW w:w="1555" w:type="dxa"/>
            <w:tcBorders>
              <w:top w:val="single" w:sz="4" w:space="0" w:color="auto"/>
              <w:left w:val="single" w:sz="4" w:space="0" w:color="auto"/>
              <w:bottom w:val="single" w:sz="4" w:space="0" w:color="auto"/>
              <w:right w:val="single" w:sz="4" w:space="0" w:color="auto"/>
            </w:tcBorders>
            <w:hideMark/>
          </w:tcPr>
          <w:p w14:paraId="0C9F6D7B" w14:textId="77777777" w:rsidR="00180D3E" w:rsidRPr="00520861" w:rsidRDefault="00180D3E" w:rsidP="00292D2E">
            <w:pPr>
              <w:widowControl w:val="0"/>
              <w:spacing w:line="360" w:lineRule="auto"/>
              <w:jc w:val="center"/>
              <w:rPr>
                <w:sz w:val="28"/>
                <w:szCs w:val="28"/>
              </w:rPr>
            </w:pPr>
            <w:r w:rsidRPr="00520861">
              <w:rPr>
                <w:sz w:val="28"/>
                <w:szCs w:val="28"/>
              </w:rPr>
              <w:t>0,76</w:t>
            </w:r>
          </w:p>
        </w:tc>
        <w:tc>
          <w:tcPr>
            <w:tcW w:w="1555" w:type="dxa"/>
            <w:tcBorders>
              <w:top w:val="single" w:sz="4" w:space="0" w:color="auto"/>
              <w:left w:val="single" w:sz="4" w:space="0" w:color="auto"/>
              <w:bottom w:val="single" w:sz="4" w:space="0" w:color="auto"/>
              <w:right w:val="single" w:sz="4" w:space="0" w:color="auto"/>
            </w:tcBorders>
            <w:hideMark/>
          </w:tcPr>
          <w:p w14:paraId="5B37C56C" w14:textId="77777777" w:rsidR="00180D3E" w:rsidRPr="00520861" w:rsidRDefault="00180D3E" w:rsidP="00292D2E">
            <w:pPr>
              <w:widowControl w:val="0"/>
              <w:spacing w:line="360" w:lineRule="auto"/>
              <w:jc w:val="center"/>
              <w:rPr>
                <w:sz w:val="28"/>
                <w:szCs w:val="28"/>
              </w:rPr>
            </w:pPr>
            <w:r w:rsidRPr="00520861">
              <w:rPr>
                <w:sz w:val="28"/>
                <w:szCs w:val="28"/>
              </w:rPr>
              <w:t>1,47</w:t>
            </w:r>
          </w:p>
        </w:tc>
        <w:tc>
          <w:tcPr>
            <w:tcW w:w="1556" w:type="dxa"/>
            <w:tcBorders>
              <w:top w:val="single" w:sz="4" w:space="0" w:color="auto"/>
              <w:left w:val="single" w:sz="4" w:space="0" w:color="auto"/>
              <w:bottom w:val="single" w:sz="4" w:space="0" w:color="auto"/>
              <w:right w:val="single" w:sz="4" w:space="0" w:color="auto"/>
            </w:tcBorders>
            <w:hideMark/>
          </w:tcPr>
          <w:p w14:paraId="059DB3DA" w14:textId="77777777" w:rsidR="00180D3E" w:rsidRPr="00520861" w:rsidRDefault="00180D3E" w:rsidP="00292D2E">
            <w:pPr>
              <w:widowControl w:val="0"/>
              <w:spacing w:line="360" w:lineRule="auto"/>
              <w:jc w:val="center"/>
              <w:rPr>
                <w:sz w:val="28"/>
                <w:szCs w:val="28"/>
              </w:rPr>
            </w:pPr>
            <w:r w:rsidRPr="00520861">
              <w:rPr>
                <w:sz w:val="28"/>
                <w:szCs w:val="28"/>
              </w:rPr>
              <w:t>1,52</w:t>
            </w:r>
          </w:p>
        </w:tc>
        <w:tc>
          <w:tcPr>
            <w:tcW w:w="1555" w:type="dxa"/>
            <w:tcBorders>
              <w:top w:val="single" w:sz="4" w:space="0" w:color="auto"/>
              <w:left w:val="single" w:sz="4" w:space="0" w:color="auto"/>
              <w:bottom w:val="single" w:sz="4" w:space="0" w:color="auto"/>
              <w:right w:val="single" w:sz="4" w:space="0" w:color="auto"/>
            </w:tcBorders>
            <w:hideMark/>
          </w:tcPr>
          <w:p w14:paraId="0E097017" w14:textId="77777777" w:rsidR="00180D3E" w:rsidRPr="00520861" w:rsidRDefault="00180D3E" w:rsidP="00292D2E">
            <w:pPr>
              <w:widowControl w:val="0"/>
              <w:spacing w:line="360" w:lineRule="auto"/>
              <w:jc w:val="center"/>
              <w:rPr>
                <w:sz w:val="28"/>
                <w:szCs w:val="28"/>
              </w:rPr>
            </w:pPr>
            <w:r w:rsidRPr="00520861">
              <w:rPr>
                <w:sz w:val="28"/>
                <w:szCs w:val="28"/>
              </w:rPr>
              <w:t>0,26*</w:t>
            </w:r>
          </w:p>
          <w:p w14:paraId="1B1DD72F"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=0,0064)</w:t>
            </w:r>
          </w:p>
        </w:tc>
        <w:tc>
          <w:tcPr>
            <w:tcW w:w="1556" w:type="dxa"/>
            <w:tcBorders>
              <w:top w:val="single" w:sz="4" w:space="0" w:color="auto"/>
              <w:left w:val="single" w:sz="4" w:space="0" w:color="auto"/>
              <w:bottom w:val="single" w:sz="4" w:space="0" w:color="auto"/>
              <w:right w:val="single" w:sz="4" w:space="0" w:color="auto"/>
            </w:tcBorders>
            <w:hideMark/>
          </w:tcPr>
          <w:p w14:paraId="62D4DBB9" w14:textId="77777777" w:rsidR="00180D3E" w:rsidRPr="00520861" w:rsidRDefault="00180D3E" w:rsidP="00292D2E">
            <w:pPr>
              <w:widowControl w:val="0"/>
              <w:spacing w:line="360" w:lineRule="auto"/>
              <w:jc w:val="center"/>
              <w:rPr>
                <w:sz w:val="28"/>
                <w:szCs w:val="28"/>
              </w:rPr>
            </w:pPr>
            <w:r w:rsidRPr="00520861">
              <w:rPr>
                <w:sz w:val="28"/>
                <w:szCs w:val="28"/>
              </w:rPr>
              <w:t>0,33* (</w:t>
            </w:r>
            <w:r w:rsidRPr="00520861">
              <w:rPr>
                <w:i/>
                <w:sz w:val="28"/>
                <w:szCs w:val="28"/>
              </w:rPr>
              <w:t>p</w:t>
            </w:r>
            <w:r w:rsidRPr="00520861">
              <w:rPr>
                <w:sz w:val="28"/>
                <w:szCs w:val="28"/>
              </w:rPr>
              <w:t>=0,0013)</w:t>
            </w:r>
          </w:p>
        </w:tc>
      </w:tr>
      <w:tr w:rsidR="00180D3E" w:rsidRPr="00520861" w14:paraId="48ED7050"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22BD746A"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-VIII</w:t>
            </w:r>
          </w:p>
        </w:tc>
        <w:tc>
          <w:tcPr>
            <w:tcW w:w="999" w:type="dxa"/>
            <w:tcBorders>
              <w:top w:val="single" w:sz="4" w:space="0" w:color="auto"/>
              <w:left w:val="single" w:sz="4" w:space="0" w:color="auto"/>
              <w:bottom w:val="single" w:sz="4" w:space="0" w:color="auto"/>
              <w:right w:val="single" w:sz="4" w:space="0" w:color="auto"/>
            </w:tcBorders>
            <w:hideMark/>
          </w:tcPr>
          <w:p w14:paraId="5927B93C" w14:textId="77777777" w:rsidR="00180D3E" w:rsidRPr="00520861" w:rsidRDefault="00180D3E" w:rsidP="00292D2E">
            <w:pPr>
              <w:widowControl w:val="0"/>
              <w:spacing w:line="360" w:lineRule="auto"/>
              <w:jc w:val="center"/>
              <w:rPr>
                <w:sz w:val="28"/>
                <w:szCs w:val="28"/>
              </w:rPr>
            </w:pPr>
            <w:r w:rsidRPr="00520861">
              <w:rPr>
                <w:sz w:val="28"/>
                <w:szCs w:val="28"/>
              </w:rPr>
              <w:t>1,04</w:t>
            </w:r>
          </w:p>
        </w:tc>
        <w:tc>
          <w:tcPr>
            <w:tcW w:w="1555" w:type="dxa"/>
            <w:tcBorders>
              <w:top w:val="single" w:sz="4" w:space="0" w:color="auto"/>
              <w:left w:val="single" w:sz="4" w:space="0" w:color="auto"/>
              <w:bottom w:val="single" w:sz="4" w:space="0" w:color="auto"/>
              <w:right w:val="single" w:sz="4" w:space="0" w:color="auto"/>
            </w:tcBorders>
            <w:hideMark/>
          </w:tcPr>
          <w:p w14:paraId="63FA0B83" w14:textId="77777777" w:rsidR="00180D3E" w:rsidRPr="00520861" w:rsidRDefault="00180D3E" w:rsidP="00292D2E">
            <w:pPr>
              <w:widowControl w:val="0"/>
              <w:spacing w:line="360" w:lineRule="auto"/>
              <w:jc w:val="center"/>
              <w:rPr>
                <w:sz w:val="28"/>
                <w:szCs w:val="28"/>
              </w:rPr>
            </w:pPr>
            <w:r w:rsidRPr="00520861">
              <w:rPr>
                <w:sz w:val="28"/>
                <w:szCs w:val="28"/>
              </w:rPr>
              <w:t>0,74</w:t>
            </w:r>
          </w:p>
        </w:tc>
        <w:tc>
          <w:tcPr>
            <w:tcW w:w="1555" w:type="dxa"/>
            <w:tcBorders>
              <w:top w:val="single" w:sz="4" w:space="0" w:color="auto"/>
              <w:left w:val="single" w:sz="4" w:space="0" w:color="auto"/>
              <w:bottom w:val="single" w:sz="4" w:space="0" w:color="auto"/>
              <w:right w:val="single" w:sz="4" w:space="0" w:color="auto"/>
            </w:tcBorders>
            <w:hideMark/>
          </w:tcPr>
          <w:p w14:paraId="0A987CD5" w14:textId="77777777" w:rsidR="00180D3E" w:rsidRPr="00520861" w:rsidRDefault="00180D3E" w:rsidP="00292D2E">
            <w:pPr>
              <w:widowControl w:val="0"/>
              <w:spacing w:line="360" w:lineRule="auto"/>
              <w:jc w:val="center"/>
              <w:rPr>
                <w:sz w:val="28"/>
                <w:szCs w:val="28"/>
              </w:rPr>
            </w:pPr>
            <w:r w:rsidRPr="00520861">
              <w:rPr>
                <w:sz w:val="28"/>
                <w:szCs w:val="28"/>
              </w:rPr>
              <w:t>1,66</w:t>
            </w:r>
          </w:p>
        </w:tc>
        <w:tc>
          <w:tcPr>
            <w:tcW w:w="1556" w:type="dxa"/>
            <w:tcBorders>
              <w:top w:val="single" w:sz="4" w:space="0" w:color="auto"/>
              <w:left w:val="single" w:sz="4" w:space="0" w:color="auto"/>
              <w:bottom w:val="single" w:sz="4" w:space="0" w:color="auto"/>
              <w:right w:val="single" w:sz="4" w:space="0" w:color="auto"/>
            </w:tcBorders>
            <w:hideMark/>
          </w:tcPr>
          <w:p w14:paraId="16F99B7F" w14:textId="77777777" w:rsidR="00180D3E" w:rsidRPr="00520861" w:rsidRDefault="00180D3E" w:rsidP="00292D2E">
            <w:pPr>
              <w:widowControl w:val="0"/>
              <w:spacing w:line="360" w:lineRule="auto"/>
              <w:jc w:val="center"/>
              <w:rPr>
                <w:sz w:val="28"/>
                <w:szCs w:val="28"/>
              </w:rPr>
            </w:pPr>
            <w:r w:rsidRPr="00520861">
              <w:rPr>
                <w:sz w:val="28"/>
                <w:szCs w:val="28"/>
              </w:rPr>
              <w:t>2,33</w:t>
            </w:r>
          </w:p>
        </w:tc>
        <w:tc>
          <w:tcPr>
            <w:tcW w:w="1555" w:type="dxa"/>
            <w:tcBorders>
              <w:top w:val="single" w:sz="4" w:space="0" w:color="auto"/>
              <w:left w:val="single" w:sz="4" w:space="0" w:color="auto"/>
              <w:bottom w:val="single" w:sz="4" w:space="0" w:color="auto"/>
              <w:right w:val="single" w:sz="4" w:space="0" w:color="auto"/>
            </w:tcBorders>
            <w:hideMark/>
          </w:tcPr>
          <w:p w14:paraId="00CF1FBF"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0,40</w:t>
            </w:r>
          </w:p>
        </w:tc>
        <w:tc>
          <w:tcPr>
            <w:tcW w:w="1556" w:type="dxa"/>
            <w:tcBorders>
              <w:top w:val="single" w:sz="4" w:space="0" w:color="auto"/>
              <w:left w:val="single" w:sz="4" w:space="0" w:color="auto"/>
              <w:bottom w:val="single" w:sz="4" w:space="0" w:color="auto"/>
              <w:right w:val="single" w:sz="4" w:space="0" w:color="auto"/>
            </w:tcBorders>
            <w:hideMark/>
          </w:tcPr>
          <w:p w14:paraId="2501963D" w14:textId="77777777" w:rsidR="00180D3E" w:rsidRPr="00520861" w:rsidRDefault="00180D3E" w:rsidP="00292D2E">
            <w:pPr>
              <w:widowControl w:val="0"/>
              <w:spacing w:line="360" w:lineRule="auto"/>
              <w:jc w:val="center"/>
              <w:rPr>
                <w:sz w:val="28"/>
                <w:szCs w:val="28"/>
              </w:rPr>
            </w:pPr>
            <w:r w:rsidRPr="00520861">
              <w:rPr>
                <w:sz w:val="28"/>
                <w:szCs w:val="28"/>
              </w:rPr>
              <w:t>0,23* (</w:t>
            </w:r>
            <w:r w:rsidRPr="00520861">
              <w:rPr>
                <w:i/>
                <w:sz w:val="28"/>
                <w:szCs w:val="28"/>
              </w:rPr>
              <w:t>p</w:t>
            </w:r>
            <w:r w:rsidRPr="00520861">
              <w:rPr>
                <w:sz w:val="28"/>
                <w:szCs w:val="28"/>
              </w:rPr>
              <w:t>=0,0260)</w:t>
            </w:r>
          </w:p>
        </w:tc>
      </w:tr>
      <w:tr w:rsidR="00180D3E" w:rsidRPr="00520861" w14:paraId="3FA79E0B" w14:textId="77777777" w:rsidTr="00292D2E">
        <w:trPr>
          <w:jc w:val="center"/>
        </w:trPr>
        <w:tc>
          <w:tcPr>
            <w:tcW w:w="9927" w:type="dxa"/>
            <w:gridSpan w:val="8"/>
            <w:tcBorders>
              <w:top w:val="single" w:sz="4" w:space="0" w:color="auto"/>
              <w:left w:val="single" w:sz="4" w:space="0" w:color="auto"/>
              <w:bottom w:val="single" w:sz="4" w:space="0" w:color="auto"/>
              <w:right w:val="single" w:sz="4" w:space="0" w:color="auto"/>
            </w:tcBorders>
          </w:tcPr>
          <w:p w14:paraId="57FA7D59" w14:textId="77777777" w:rsidR="00180D3E" w:rsidRPr="00520861" w:rsidRDefault="00180D3E" w:rsidP="00292D2E">
            <w:pPr>
              <w:widowControl w:val="0"/>
              <w:spacing w:line="360" w:lineRule="auto"/>
              <w:jc w:val="center"/>
              <w:rPr>
                <w:sz w:val="28"/>
                <w:szCs w:val="28"/>
              </w:rPr>
            </w:pPr>
            <w:r w:rsidRPr="00520861">
              <w:rPr>
                <w:sz w:val="28"/>
                <w:szCs w:val="28"/>
              </w:rPr>
              <w:t>Індекс PMA (</w:t>
            </w:r>
            <w:proofErr w:type="spellStart"/>
            <w:r w:rsidRPr="00520861">
              <w:rPr>
                <w:sz w:val="28"/>
                <w:szCs w:val="28"/>
              </w:rPr>
              <w:t>Parma</w:t>
            </w:r>
            <w:proofErr w:type="spellEnd"/>
            <w:r w:rsidRPr="00520861">
              <w:rPr>
                <w:sz w:val="28"/>
                <w:szCs w:val="28"/>
              </w:rPr>
              <w:t>), %</w:t>
            </w:r>
          </w:p>
        </w:tc>
      </w:tr>
      <w:tr w:rsidR="00180D3E" w:rsidRPr="00520861" w14:paraId="23919208"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1C66D641"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w:t>
            </w:r>
          </w:p>
        </w:tc>
        <w:tc>
          <w:tcPr>
            <w:tcW w:w="999" w:type="dxa"/>
            <w:tcBorders>
              <w:top w:val="single" w:sz="4" w:space="0" w:color="auto"/>
              <w:left w:val="single" w:sz="4" w:space="0" w:color="auto"/>
              <w:bottom w:val="single" w:sz="4" w:space="0" w:color="auto"/>
              <w:right w:val="single" w:sz="4" w:space="0" w:color="auto"/>
            </w:tcBorders>
            <w:hideMark/>
          </w:tcPr>
          <w:p w14:paraId="30362F51" w14:textId="77777777" w:rsidR="00180D3E" w:rsidRPr="00520861" w:rsidRDefault="00180D3E" w:rsidP="00292D2E">
            <w:pPr>
              <w:widowControl w:val="0"/>
              <w:spacing w:line="360" w:lineRule="auto"/>
              <w:jc w:val="center"/>
              <w:rPr>
                <w:sz w:val="28"/>
                <w:szCs w:val="28"/>
              </w:rPr>
            </w:pPr>
            <w:r w:rsidRPr="00520861">
              <w:rPr>
                <w:sz w:val="28"/>
                <w:szCs w:val="28"/>
              </w:rPr>
              <w:t>24,82</w:t>
            </w:r>
          </w:p>
        </w:tc>
        <w:tc>
          <w:tcPr>
            <w:tcW w:w="1555" w:type="dxa"/>
            <w:tcBorders>
              <w:top w:val="single" w:sz="4" w:space="0" w:color="auto"/>
              <w:left w:val="single" w:sz="4" w:space="0" w:color="auto"/>
              <w:bottom w:val="single" w:sz="4" w:space="0" w:color="auto"/>
              <w:right w:val="single" w:sz="4" w:space="0" w:color="auto"/>
            </w:tcBorders>
            <w:hideMark/>
          </w:tcPr>
          <w:p w14:paraId="29C1F6A4" w14:textId="77777777" w:rsidR="00180D3E" w:rsidRPr="00520861" w:rsidRDefault="00180D3E" w:rsidP="00292D2E">
            <w:pPr>
              <w:widowControl w:val="0"/>
              <w:spacing w:line="360" w:lineRule="auto"/>
              <w:jc w:val="center"/>
              <w:rPr>
                <w:sz w:val="28"/>
                <w:szCs w:val="28"/>
              </w:rPr>
            </w:pPr>
            <w:r w:rsidRPr="00520861">
              <w:rPr>
                <w:sz w:val="28"/>
                <w:szCs w:val="28"/>
              </w:rPr>
              <w:t>28,94</w:t>
            </w:r>
          </w:p>
        </w:tc>
        <w:tc>
          <w:tcPr>
            <w:tcW w:w="1555" w:type="dxa"/>
            <w:tcBorders>
              <w:top w:val="single" w:sz="4" w:space="0" w:color="auto"/>
              <w:left w:val="single" w:sz="4" w:space="0" w:color="auto"/>
              <w:bottom w:val="single" w:sz="4" w:space="0" w:color="auto"/>
              <w:right w:val="single" w:sz="4" w:space="0" w:color="auto"/>
            </w:tcBorders>
            <w:hideMark/>
          </w:tcPr>
          <w:p w14:paraId="111FBE9C"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35,53</w:t>
            </w:r>
          </w:p>
        </w:tc>
        <w:tc>
          <w:tcPr>
            <w:tcW w:w="1556" w:type="dxa"/>
            <w:tcBorders>
              <w:top w:val="single" w:sz="4" w:space="0" w:color="auto"/>
              <w:left w:val="single" w:sz="4" w:space="0" w:color="auto"/>
              <w:bottom w:val="single" w:sz="4" w:space="0" w:color="auto"/>
              <w:right w:val="single" w:sz="4" w:space="0" w:color="auto"/>
            </w:tcBorders>
            <w:hideMark/>
          </w:tcPr>
          <w:p w14:paraId="09E00FA9" w14:textId="77777777" w:rsidR="00180D3E" w:rsidRPr="00520861" w:rsidRDefault="00180D3E" w:rsidP="00292D2E">
            <w:pPr>
              <w:widowControl w:val="0"/>
              <w:spacing w:line="360" w:lineRule="auto"/>
              <w:jc w:val="center"/>
              <w:rPr>
                <w:sz w:val="28"/>
                <w:szCs w:val="28"/>
              </w:rPr>
            </w:pPr>
            <w:r w:rsidRPr="00520861">
              <w:rPr>
                <w:sz w:val="28"/>
                <w:szCs w:val="28"/>
              </w:rPr>
              <w:t>34,53</w:t>
            </w:r>
          </w:p>
        </w:tc>
        <w:tc>
          <w:tcPr>
            <w:tcW w:w="1555" w:type="dxa"/>
            <w:tcBorders>
              <w:top w:val="single" w:sz="4" w:space="0" w:color="auto"/>
              <w:left w:val="single" w:sz="4" w:space="0" w:color="auto"/>
              <w:bottom w:val="single" w:sz="4" w:space="0" w:color="auto"/>
              <w:right w:val="single" w:sz="4" w:space="0" w:color="auto"/>
            </w:tcBorders>
            <w:hideMark/>
          </w:tcPr>
          <w:p w14:paraId="73C58794"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20,85</w:t>
            </w:r>
          </w:p>
        </w:tc>
        <w:tc>
          <w:tcPr>
            <w:tcW w:w="1556" w:type="dxa"/>
            <w:tcBorders>
              <w:top w:val="single" w:sz="4" w:space="0" w:color="auto"/>
              <w:left w:val="single" w:sz="4" w:space="0" w:color="auto"/>
              <w:bottom w:val="single" w:sz="4" w:space="0" w:color="auto"/>
              <w:right w:val="single" w:sz="4" w:space="0" w:color="auto"/>
            </w:tcBorders>
            <w:hideMark/>
          </w:tcPr>
          <w:p w14:paraId="7BEF3A03"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24,50</w:t>
            </w:r>
          </w:p>
        </w:tc>
      </w:tr>
      <w:tr w:rsidR="00180D3E" w:rsidRPr="00520861" w14:paraId="4468F11E"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229C0A02"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-VІ</w:t>
            </w:r>
          </w:p>
        </w:tc>
        <w:tc>
          <w:tcPr>
            <w:tcW w:w="999" w:type="dxa"/>
            <w:tcBorders>
              <w:top w:val="single" w:sz="4" w:space="0" w:color="auto"/>
              <w:left w:val="single" w:sz="4" w:space="0" w:color="auto"/>
              <w:bottom w:val="single" w:sz="4" w:space="0" w:color="auto"/>
              <w:right w:val="single" w:sz="4" w:space="0" w:color="auto"/>
            </w:tcBorders>
            <w:hideMark/>
          </w:tcPr>
          <w:p w14:paraId="5738C50B" w14:textId="77777777" w:rsidR="00180D3E" w:rsidRPr="00520861" w:rsidRDefault="00180D3E" w:rsidP="00292D2E">
            <w:pPr>
              <w:widowControl w:val="0"/>
              <w:spacing w:line="360" w:lineRule="auto"/>
              <w:jc w:val="center"/>
              <w:rPr>
                <w:sz w:val="28"/>
                <w:szCs w:val="28"/>
              </w:rPr>
            </w:pPr>
            <w:r w:rsidRPr="00520861">
              <w:rPr>
                <w:sz w:val="28"/>
                <w:szCs w:val="28"/>
              </w:rPr>
              <w:t>29,80</w:t>
            </w:r>
          </w:p>
        </w:tc>
        <w:tc>
          <w:tcPr>
            <w:tcW w:w="1555" w:type="dxa"/>
            <w:tcBorders>
              <w:top w:val="single" w:sz="4" w:space="0" w:color="auto"/>
              <w:left w:val="single" w:sz="4" w:space="0" w:color="auto"/>
              <w:bottom w:val="single" w:sz="4" w:space="0" w:color="auto"/>
              <w:right w:val="single" w:sz="4" w:space="0" w:color="auto"/>
            </w:tcBorders>
            <w:hideMark/>
          </w:tcPr>
          <w:p w14:paraId="37EC1A6D" w14:textId="77777777" w:rsidR="00180D3E" w:rsidRPr="00520861" w:rsidRDefault="00180D3E" w:rsidP="00292D2E">
            <w:pPr>
              <w:widowControl w:val="0"/>
              <w:spacing w:line="360" w:lineRule="auto"/>
              <w:jc w:val="center"/>
              <w:rPr>
                <w:sz w:val="28"/>
                <w:szCs w:val="28"/>
              </w:rPr>
            </w:pPr>
            <w:r w:rsidRPr="00520861">
              <w:rPr>
                <w:sz w:val="28"/>
                <w:szCs w:val="28"/>
              </w:rPr>
              <w:t>23,46</w:t>
            </w:r>
          </w:p>
        </w:tc>
        <w:tc>
          <w:tcPr>
            <w:tcW w:w="1555" w:type="dxa"/>
            <w:tcBorders>
              <w:top w:val="single" w:sz="4" w:space="0" w:color="auto"/>
              <w:left w:val="single" w:sz="4" w:space="0" w:color="auto"/>
              <w:bottom w:val="single" w:sz="4" w:space="0" w:color="auto"/>
              <w:right w:val="single" w:sz="4" w:space="0" w:color="auto"/>
            </w:tcBorders>
            <w:hideMark/>
          </w:tcPr>
          <w:p w14:paraId="77BEA2DB" w14:textId="77777777" w:rsidR="00180D3E" w:rsidRPr="00520861" w:rsidRDefault="00180D3E" w:rsidP="00292D2E">
            <w:pPr>
              <w:widowControl w:val="0"/>
              <w:spacing w:line="360" w:lineRule="auto"/>
              <w:jc w:val="center"/>
              <w:rPr>
                <w:sz w:val="28"/>
                <w:szCs w:val="28"/>
              </w:rPr>
            </w:pPr>
            <w:r w:rsidRPr="00520861">
              <w:rPr>
                <w:sz w:val="28"/>
                <w:szCs w:val="28"/>
              </w:rPr>
              <w:t>35,46</w:t>
            </w:r>
          </w:p>
        </w:tc>
        <w:tc>
          <w:tcPr>
            <w:tcW w:w="1556" w:type="dxa"/>
            <w:tcBorders>
              <w:top w:val="single" w:sz="4" w:space="0" w:color="auto"/>
              <w:left w:val="single" w:sz="4" w:space="0" w:color="auto"/>
              <w:bottom w:val="single" w:sz="4" w:space="0" w:color="auto"/>
              <w:right w:val="single" w:sz="4" w:space="0" w:color="auto"/>
            </w:tcBorders>
            <w:hideMark/>
          </w:tcPr>
          <w:p w14:paraId="677AB4E6" w14:textId="77777777" w:rsidR="00180D3E" w:rsidRPr="00520861" w:rsidRDefault="00180D3E" w:rsidP="00292D2E">
            <w:pPr>
              <w:widowControl w:val="0"/>
              <w:spacing w:line="360" w:lineRule="auto"/>
              <w:jc w:val="center"/>
              <w:rPr>
                <w:sz w:val="28"/>
                <w:szCs w:val="28"/>
              </w:rPr>
            </w:pPr>
            <w:r w:rsidRPr="00520861">
              <w:rPr>
                <w:sz w:val="28"/>
                <w:szCs w:val="28"/>
              </w:rPr>
              <w:t>33,91</w:t>
            </w:r>
          </w:p>
        </w:tc>
        <w:tc>
          <w:tcPr>
            <w:tcW w:w="1555" w:type="dxa"/>
            <w:tcBorders>
              <w:top w:val="single" w:sz="4" w:space="0" w:color="auto"/>
              <w:left w:val="single" w:sz="4" w:space="0" w:color="auto"/>
              <w:bottom w:val="single" w:sz="4" w:space="0" w:color="auto"/>
              <w:right w:val="single" w:sz="4" w:space="0" w:color="auto"/>
            </w:tcBorders>
            <w:hideMark/>
          </w:tcPr>
          <w:p w14:paraId="697AD9CF" w14:textId="77777777" w:rsidR="00180D3E" w:rsidRPr="00520861" w:rsidRDefault="00180D3E" w:rsidP="00292D2E">
            <w:pPr>
              <w:widowControl w:val="0"/>
              <w:spacing w:line="360" w:lineRule="auto"/>
              <w:jc w:val="center"/>
              <w:rPr>
                <w:sz w:val="28"/>
                <w:szCs w:val="28"/>
              </w:rPr>
            </w:pPr>
            <w:r w:rsidRPr="00520861">
              <w:rPr>
                <w:sz w:val="28"/>
                <w:szCs w:val="28"/>
              </w:rPr>
              <w:t>9,26*</w:t>
            </w:r>
          </w:p>
          <w:p w14:paraId="2902B683"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=0,0074)</w:t>
            </w:r>
          </w:p>
        </w:tc>
        <w:tc>
          <w:tcPr>
            <w:tcW w:w="1556" w:type="dxa"/>
            <w:tcBorders>
              <w:top w:val="single" w:sz="4" w:space="0" w:color="auto"/>
              <w:left w:val="single" w:sz="4" w:space="0" w:color="auto"/>
              <w:bottom w:val="single" w:sz="4" w:space="0" w:color="auto"/>
              <w:right w:val="single" w:sz="4" w:space="0" w:color="auto"/>
            </w:tcBorders>
            <w:hideMark/>
          </w:tcPr>
          <w:p w14:paraId="68209109" w14:textId="77777777" w:rsidR="00180D3E" w:rsidRPr="00520861" w:rsidRDefault="00180D3E" w:rsidP="00292D2E">
            <w:pPr>
              <w:widowControl w:val="0"/>
              <w:spacing w:line="360" w:lineRule="auto"/>
              <w:jc w:val="center"/>
              <w:rPr>
                <w:sz w:val="28"/>
                <w:szCs w:val="28"/>
              </w:rPr>
            </w:pPr>
            <w:r w:rsidRPr="00520861">
              <w:rPr>
                <w:sz w:val="28"/>
                <w:szCs w:val="28"/>
              </w:rPr>
              <w:t>17,16</w:t>
            </w:r>
          </w:p>
        </w:tc>
      </w:tr>
      <w:tr w:rsidR="00180D3E" w:rsidRPr="00520861" w14:paraId="11AE763F" w14:textId="77777777" w:rsidTr="00292D2E">
        <w:trPr>
          <w:gridAfter w:val="1"/>
          <w:wAfter w:w="22" w:type="dxa"/>
          <w:jc w:val="center"/>
        </w:trPr>
        <w:tc>
          <w:tcPr>
            <w:tcW w:w="1129" w:type="dxa"/>
            <w:tcBorders>
              <w:top w:val="single" w:sz="4" w:space="0" w:color="auto"/>
              <w:left w:val="single" w:sz="4" w:space="0" w:color="auto"/>
              <w:bottom w:val="single" w:sz="4" w:space="0" w:color="auto"/>
              <w:right w:val="single" w:sz="4" w:space="0" w:color="auto"/>
            </w:tcBorders>
            <w:hideMark/>
          </w:tcPr>
          <w:p w14:paraId="08F6E67E"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lastRenderedPageBreak/>
              <w:t>ВП</w:t>
            </w:r>
            <w:r w:rsidRPr="00520861">
              <w:rPr>
                <w:sz w:val="28"/>
                <w:szCs w:val="28"/>
              </w:rPr>
              <w:t>-VІІ</w:t>
            </w:r>
          </w:p>
        </w:tc>
        <w:tc>
          <w:tcPr>
            <w:tcW w:w="999" w:type="dxa"/>
            <w:tcBorders>
              <w:top w:val="single" w:sz="4" w:space="0" w:color="auto"/>
              <w:left w:val="single" w:sz="4" w:space="0" w:color="auto"/>
              <w:bottom w:val="single" w:sz="4" w:space="0" w:color="auto"/>
              <w:right w:val="single" w:sz="4" w:space="0" w:color="auto"/>
            </w:tcBorders>
            <w:hideMark/>
          </w:tcPr>
          <w:p w14:paraId="02F5140B" w14:textId="77777777" w:rsidR="00180D3E" w:rsidRPr="00520861" w:rsidRDefault="00180D3E" w:rsidP="00292D2E">
            <w:pPr>
              <w:widowControl w:val="0"/>
              <w:spacing w:line="360" w:lineRule="auto"/>
              <w:jc w:val="center"/>
              <w:rPr>
                <w:sz w:val="28"/>
                <w:szCs w:val="28"/>
              </w:rPr>
            </w:pPr>
            <w:r w:rsidRPr="00520861">
              <w:rPr>
                <w:sz w:val="28"/>
                <w:szCs w:val="28"/>
              </w:rPr>
              <w:t>31,55</w:t>
            </w:r>
          </w:p>
        </w:tc>
        <w:tc>
          <w:tcPr>
            <w:tcW w:w="1555" w:type="dxa"/>
            <w:tcBorders>
              <w:top w:val="single" w:sz="4" w:space="0" w:color="auto"/>
              <w:left w:val="single" w:sz="4" w:space="0" w:color="auto"/>
              <w:bottom w:val="single" w:sz="4" w:space="0" w:color="auto"/>
              <w:right w:val="single" w:sz="4" w:space="0" w:color="auto"/>
            </w:tcBorders>
            <w:hideMark/>
          </w:tcPr>
          <w:p w14:paraId="0F0E9A2E" w14:textId="77777777" w:rsidR="00180D3E" w:rsidRPr="00520861" w:rsidRDefault="00180D3E" w:rsidP="00292D2E">
            <w:pPr>
              <w:widowControl w:val="0"/>
              <w:spacing w:line="360" w:lineRule="auto"/>
              <w:jc w:val="center"/>
              <w:rPr>
                <w:sz w:val="28"/>
                <w:szCs w:val="28"/>
              </w:rPr>
            </w:pPr>
            <w:r w:rsidRPr="00520861">
              <w:rPr>
                <w:sz w:val="28"/>
                <w:szCs w:val="28"/>
              </w:rPr>
              <w:t>18,02*</w:t>
            </w:r>
          </w:p>
          <w:p w14:paraId="3E3D8252" w14:textId="77777777" w:rsidR="00180D3E" w:rsidRPr="00520861" w:rsidRDefault="00180D3E"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=0,0036)</w:t>
            </w:r>
          </w:p>
        </w:tc>
        <w:tc>
          <w:tcPr>
            <w:tcW w:w="1555" w:type="dxa"/>
            <w:tcBorders>
              <w:top w:val="single" w:sz="4" w:space="0" w:color="auto"/>
              <w:left w:val="single" w:sz="4" w:space="0" w:color="auto"/>
              <w:bottom w:val="single" w:sz="4" w:space="0" w:color="auto"/>
              <w:right w:val="single" w:sz="4" w:space="0" w:color="auto"/>
            </w:tcBorders>
            <w:hideMark/>
          </w:tcPr>
          <w:p w14:paraId="58BD69B1" w14:textId="77777777" w:rsidR="00180D3E" w:rsidRPr="00520861" w:rsidRDefault="00180D3E" w:rsidP="00292D2E">
            <w:pPr>
              <w:widowControl w:val="0"/>
              <w:spacing w:line="360" w:lineRule="auto"/>
              <w:jc w:val="center"/>
              <w:rPr>
                <w:sz w:val="28"/>
                <w:szCs w:val="28"/>
              </w:rPr>
            </w:pPr>
            <w:r w:rsidRPr="00520861">
              <w:rPr>
                <w:sz w:val="28"/>
                <w:szCs w:val="28"/>
              </w:rPr>
              <w:t>35,91</w:t>
            </w:r>
          </w:p>
        </w:tc>
        <w:tc>
          <w:tcPr>
            <w:tcW w:w="1556" w:type="dxa"/>
            <w:tcBorders>
              <w:top w:val="single" w:sz="4" w:space="0" w:color="auto"/>
              <w:left w:val="single" w:sz="4" w:space="0" w:color="auto"/>
              <w:bottom w:val="single" w:sz="4" w:space="0" w:color="auto"/>
              <w:right w:val="single" w:sz="4" w:space="0" w:color="auto"/>
            </w:tcBorders>
            <w:hideMark/>
          </w:tcPr>
          <w:p w14:paraId="758C8656" w14:textId="77777777" w:rsidR="00180D3E" w:rsidRPr="00520861" w:rsidRDefault="00180D3E" w:rsidP="00292D2E">
            <w:pPr>
              <w:widowControl w:val="0"/>
              <w:spacing w:line="360" w:lineRule="auto"/>
              <w:jc w:val="center"/>
              <w:rPr>
                <w:sz w:val="28"/>
                <w:szCs w:val="28"/>
              </w:rPr>
            </w:pPr>
            <w:r w:rsidRPr="00520861">
              <w:rPr>
                <w:sz w:val="28"/>
                <w:szCs w:val="28"/>
              </w:rPr>
              <w:t>35,01</w:t>
            </w:r>
          </w:p>
        </w:tc>
        <w:tc>
          <w:tcPr>
            <w:tcW w:w="1555" w:type="dxa"/>
            <w:tcBorders>
              <w:top w:val="single" w:sz="4" w:space="0" w:color="auto"/>
              <w:left w:val="single" w:sz="4" w:space="0" w:color="auto"/>
              <w:bottom w:val="single" w:sz="4" w:space="0" w:color="auto"/>
              <w:right w:val="single" w:sz="4" w:space="0" w:color="auto"/>
            </w:tcBorders>
            <w:hideMark/>
          </w:tcPr>
          <w:p w14:paraId="2B0A85AF" w14:textId="77777777" w:rsidR="00180D3E" w:rsidRPr="00520861" w:rsidRDefault="00180D3E" w:rsidP="00292D2E">
            <w:pPr>
              <w:widowControl w:val="0"/>
              <w:spacing w:line="360" w:lineRule="auto"/>
              <w:jc w:val="center"/>
              <w:rPr>
                <w:sz w:val="28"/>
                <w:szCs w:val="28"/>
              </w:rPr>
            </w:pPr>
            <w:r w:rsidRPr="00520861">
              <w:rPr>
                <w:sz w:val="28"/>
                <w:szCs w:val="28"/>
              </w:rPr>
              <w:t>4,76*</w:t>
            </w:r>
          </w:p>
          <w:p w14:paraId="4DB7488A"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=0,0005)</w:t>
            </w:r>
          </w:p>
        </w:tc>
        <w:tc>
          <w:tcPr>
            <w:tcW w:w="1556" w:type="dxa"/>
            <w:tcBorders>
              <w:top w:val="single" w:sz="4" w:space="0" w:color="auto"/>
              <w:left w:val="single" w:sz="4" w:space="0" w:color="auto"/>
              <w:bottom w:val="single" w:sz="4" w:space="0" w:color="auto"/>
              <w:right w:val="single" w:sz="4" w:space="0" w:color="auto"/>
            </w:tcBorders>
            <w:hideMark/>
          </w:tcPr>
          <w:p w14:paraId="0B66B84B" w14:textId="77777777" w:rsidR="00180D3E" w:rsidRPr="00520861" w:rsidRDefault="00180D3E" w:rsidP="00292D2E">
            <w:pPr>
              <w:widowControl w:val="0"/>
              <w:spacing w:line="360" w:lineRule="auto"/>
              <w:jc w:val="center"/>
              <w:rPr>
                <w:sz w:val="28"/>
                <w:szCs w:val="28"/>
              </w:rPr>
            </w:pPr>
            <w:r w:rsidRPr="00520861">
              <w:rPr>
                <w:sz w:val="28"/>
                <w:szCs w:val="28"/>
              </w:rPr>
              <w:t>8,27*</w:t>
            </w:r>
          </w:p>
          <w:p w14:paraId="7EB8C6C5" w14:textId="77777777" w:rsidR="00180D3E" w:rsidRPr="00520861" w:rsidRDefault="00180D3E"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=0,0002)</w:t>
            </w:r>
          </w:p>
        </w:tc>
      </w:tr>
    </w:tbl>
    <w:p w14:paraId="6CFAF9F8" w14:textId="77777777" w:rsidR="00180D3E" w:rsidRPr="00520861" w:rsidRDefault="00180D3E" w:rsidP="00292D2E">
      <w:pPr>
        <w:widowControl w:val="0"/>
        <w:pBdr>
          <w:top w:val="nil"/>
          <w:left w:val="nil"/>
          <w:bottom w:val="nil"/>
          <w:right w:val="nil"/>
          <w:between w:val="nil"/>
        </w:pBdr>
        <w:spacing w:line="360" w:lineRule="auto"/>
        <w:jc w:val="right"/>
        <w:rPr>
          <w:rFonts w:eastAsia="Calibri"/>
          <w:i/>
          <w:color w:val="000000"/>
          <w:sz w:val="28"/>
          <w:szCs w:val="28"/>
        </w:rPr>
      </w:pPr>
      <w:r w:rsidRPr="00520861">
        <w:rPr>
          <w:rFonts w:eastAsia="Calibri"/>
          <w:i/>
          <w:color w:val="000000"/>
          <w:sz w:val="28"/>
          <w:szCs w:val="28"/>
        </w:rPr>
        <w:t>Продовження таблиці 7.3</w:t>
      </w:r>
    </w:p>
    <w:tbl>
      <w:tblPr>
        <w:tblW w:w="9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9"/>
        <w:gridCol w:w="999"/>
        <w:gridCol w:w="1650"/>
        <w:gridCol w:w="1650"/>
        <w:gridCol w:w="982"/>
        <w:gridCol w:w="1673"/>
        <w:gridCol w:w="1680"/>
      </w:tblGrid>
      <w:tr w:rsidR="00180D3E" w:rsidRPr="00520861" w14:paraId="73BE932C" w14:textId="77777777" w:rsidTr="00292D2E">
        <w:trPr>
          <w:jc w:val="center"/>
        </w:trPr>
        <w:tc>
          <w:tcPr>
            <w:tcW w:w="1129" w:type="dxa"/>
            <w:tcBorders>
              <w:top w:val="single" w:sz="4" w:space="0" w:color="auto"/>
              <w:left w:val="single" w:sz="4" w:space="0" w:color="auto"/>
              <w:bottom w:val="single" w:sz="4" w:space="0" w:color="auto"/>
              <w:right w:val="single" w:sz="4" w:space="0" w:color="auto"/>
            </w:tcBorders>
          </w:tcPr>
          <w:p w14:paraId="735489F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w:t>
            </w:r>
          </w:p>
        </w:tc>
        <w:tc>
          <w:tcPr>
            <w:tcW w:w="999" w:type="dxa"/>
            <w:tcBorders>
              <w:top w:val="single" w:sz="4" w:space="0" w:color="auto"/>
              <w:left w:val="single" w:sz="4" w:space="0" w:color="auto"/>
              <w:bottom w:val="single" w:sz="4" w:space="0" w:color="auto"/>
              <w:right w:val="single" w:sz="4" w:space="0" w:color="auto"/>
            </w:tcBorders>
          </w:tcPr>
          <w:p w14:paraId="0D3CBD4B" w14:textId="77777777" w:rsidR="00180D3E" w:rsidRPr="00520861" w:rsidRDefault="00180D3E" w:rsidP="00292D2E">
            <w:pPr>
              <w:widowControl w:val="0"/>
              <w:spacing w:line="360" w:lineRule="auto"/>
              <w:jc w:val="center"/>
              <w:rPr>
                <w:sz w:val="28"/>
                <w:szCs w:val="28"/>
              </w:rPr>
            </w:pPr>
            <w:r w:rsidRPr="00520861">
              <w:rPr>
                <w:sz w:val="28"/>
                <w:szCs w:val="28"/>
              </w:rPr>
              <w:t>2</w:t>
            </w:r>
          </w:p>
        </w:tc>
        <w:tc>
          <w:tcPr>
            <w:tcW w:w="1650" w:type="dxa"/>
            <w:tcBorders>
              <w:top w:val="single" w:sz="4" w:space="0" w:color="auto"/>
              <w:left w:val="single" w:sz="4" w:space="0" w:color="auto"/>
              <w:bottom w:val="single" w:sz="4" w:space="0" w:color="auto"/>
              <w:right w:val="single" w:sz="4" w:space="0" w:color="auto"/>
            </w:tcBorders>
          </w:tcPr>
          <w:p w14:paraId="6E369885" w14:textId="77777777" w:rsidR="00180D3E" w:rsidRPr="00520861" w:rsidRDefault="00180D3E" w:rsidP="00292D2E">
            <w:pPr>
              <w:widowControl w:val="0"/>
              <w:spacing w:line="360" w:lineRule="auto"/>
              <w:jc w:val="center"/>
              <w:rPr>
                <w:sz w:val="28"/>
                <w:szCs w:val="28"/>
              </w:rPr>
            </w:pPr>
            <w:r w:rsidRPr="00520861">
              <w:rPr>
                <w:sz w:val="28"/>
                <w:szCs w:val="28"/>
              </w:rPr>
              <w:t>3</w:t>
            </w:r>
          </w:p>
        </w:tc>
        <w:tc>
          <w:tcPr>
            <w:tcW w:w="1650" w:type="dxa"/>
            <w:tcBorders>
              <w:top w:val="single" w:sz="4" w:space="0" w:color="auto"/>
              <w:left w:val="single" w:sz="4" w:space="0" w:color="auto"/>
              <w:bottom w:val="single" w:sz="4" w:space="0" w:color="auto"/>
              <w:right w:val="single" w:sz="4" w:space="0" w:color="auto"/>
            </w:tcBorders>
          </w:tcPr>
          <w:p w14:paraId="3F8621F3" w14:textId="77777777" w:rsidR="00180D3E" w:rsidRPr="00520861" w:rsidRDefault="00180D3E" w:rsidP="00292D2E">
            <w:pPr>
              <w:widowControl w:val="0"/>
              <w:spacing w:line="360" w:lineRule="auto"/>
              <w:jc w:val="center"/>
              <w:rPr>
                <w:sz w:val="28"/>
                <w:szCs w:val="28"/>
              </w:rPr>
            </w:pPr>
            <w:r w:rsidRPr="00520861">
              <w:rPr>
                <w:sz w:val="28"/>
                <w:szCs w:val="28"/>
              </w:rPr>
              <w:t>4</w:t>
            </w:r>
          </w:p>
        </w:tc>
        <w:tc>
          <w:tcPr>
            <w:tcW w:w="982" w:type="dxa"/>
            <w:tcBorders>
              <w:top w:val="single" w:sz="4" w:space="0" w:color="auto"/>
              <w:left w:val="single" w:sz="4" w:space="0" w:color="auto"/>
              <w:bottom w:val="single" w:sz="4" w:space="0" w:color="auto"/>
              <w:right w:val="single" w:sz="4" w:space="0" w:color="auto"/>
            </w:tcBorders>
          </w:tcPr>
          <w:p w14:paraId="17D13608" w14:textId="77777777" w:rsidR="00180D3E" w:rsidRPr="00520861" w:rsidRDefault="00180D3E" w:rsidP="00292D2E">
            <w:pPr>
              <w:widowControl w:val="0"/>
              <w:spacing w:line="360" w:lineRule="auto"/>
              <w:jc w:val="center"/>
              <w:rPr>
                <w:sz w:val="28"/>
                <w:szCs w:val="28"/>
              </w:rPr>
            </w:pPr>
            <w:r w:rsidRPr="00520861">
              <w:rPr>
                <w:sz w:val="28"/>
                <w:szCs w:val="28"/>
              </w:rPr>
              <w:t>5</w:t>
            </w:r>
          </w:p>
        </w:tc>
        <w:tc>
          <w:tcPr>
            <w:tcW w:w="1673" w:type="dxa"/>
            <w:tcBorders>
              <w:top w:val="single" w:sz="4" w:space="0" w:color="auto"/>
              <w:left w:val="single" w:sz="4" w:space="0" w:color="auto"/>
              <w:bottom w:val="single" w:sz="4" w:space="0" w:color="auto"/>
              <w:right w:val="single" w:sz="4" w:space="0" w:color="auto"/>
            </w:tcBorders>
          </w:tcPr>
          <w:p w14:paraId="501280B6" w14:textId="77777777" w:rsidR="00180D3E" w:rsidRPr="00520861" w:rsidRDefault="00180D3E" w:rsidP="00292D2E">
            <w:pPr>
              <w:widowControl w:val="0"/>
              <w:spacing w:line="360" w:lineRule="auto"/>
              <w:jc w:val="center"/>
              <w:rPr>
                <w:sz w:val="28"/>
                <w:szCs w:val="28"/>
              </w:rPr>
            </w:pPr>
            <w:r w:rsidRPr="00520861">
              <w:rPr>
                <w:sz w:val="28"/>
                <w:szCs w:val="28"/>
              </w:rPr>
              <w:t>6</w:t>
            </w:r>
          </w:p>
        </w:tc>
        <w:tc>
          <w:tcPr>
            <w:tcW w:w="1679" w:type="dxa"/>
            <w:tcBorders>
              <w:top w:val="single" w:sz="4" w:space="0" w:color="auto"/>
              <w:left w:val="single" w:sz="4" w:space="0" w:color="auto"/>
              <w:bottom w:val="single" w:sz="4" w:space="0" w:color="auto"/>
              <w:right w:val="single" w:sz="4" w:space="0" w:color="auto"/>
            </w:tcBorders>
          </w:tcPr>
          <w:p w14:paraId="70E09B9C" w14:textId="77777777" w:rsidR="00180D3E" w:rsidRPr="00520861" w:rsidRDefault="00180D3E" w:rsidP="00292D2E">
            <w:pPr>
              <w:widowControl w:val="0"/>
              <w:spacing w:line="360" w:lineRule="auto"/>
              <w:jc w:val="center"/>
              <w:rPr>
                <w:sz w:val="28"/>
                <w:szCs w:val="28"/>
              </w:rPr>
            </w:pPr>
            <w:r w:rsidRPr="00520861">
              <w:rPr>
                <w:sz w:val="28"/>
                <w:szCs w:val="28"/>
              </w:rPr>
              <w:t>7</w:t>
            </w:r>
          </w:p>
        </w:tc>
      </w:tr>
      <w:tr w:rsidR="00180D3E" w:rsidRPr="00520861" w14:paraId="6194B80B" w14:textId="77777777" w:rsidTr="00292D2E">
        <w:trPr>
          <w:jc w:val="center"/>
        </w:trPr>
        <w:tc>
          <w:tcPr>
            <w:tcW w:w="1129" w:type="dxa"/>
            <w:tcBorders>
              <w:top w:val="single" w:sz="4" w:space="0" w:color="auto"/>
              <w:left w:val="single" w:sz="4" w:space="0" w:color="auto"/>
              <w:bottom w:val="single" w:sz="4" w:space="0" w:color="auto"/>
              <w:right w:val="single" w:sz="4" w:space="0" w:color="auto"/>
            </w:tcBorders>
            <w:hideMark/>
          </w:tcPr>
          <w:p w14:paraId="71210793" w14:textId="77777777" w:rsidR="00180D3E" w:rsidRPr="00520861" w:rsidRDefault="00180D3E" w:rsidP="00292D2E">
            <w:pPr>
              <w:widowControl w:val="0"/>
              <w:spacing w:line="360" w:lineRule="auto"/>
              <w:ind w:left="-120" w:right="-114"/>
              <w:jc w:val="center"/>
              <w:rPr>
                <w:sz w:val="28"/>
                <w:szCs w:val="28"/>
              </w:rPr>
            </w:pPr>
            <w:r w:rsidRPr="00520861">
              <w:rPr>
                <w:rFonts w:eastAsia="Calibri"/>
                <w:sz w:val="28"/>
                <w:szCs w:val="28"/>
                <w:lang w:eastAsia="en-US"/>
              </w:rPr>
              <w:t>ВП</w:t>
            </w:r>
            <w:r w:rsidRPr="00520861">
              <w:rPr>
                <w:sz w:val="28"/>
                <w:szCs w:val="28"/>
              </w:rPr>
              <w:t>-VIII</w:t>
            </w:r>
          </w:p>
        </w:tc>
        <w:tc>
          <w:tcPr>
            <w:tcW w:w="999" w:type="dxa"/>
            <w:tcBorders>
              <w:top w:val="single" w:sz="4" w:space="0" w:color="auto"/>
              <w:left w:val="single" w:sz="4" w:space="0" w:color="auto"/>
              <w:bottom w:val="single" w:sz="4" w:space="0" w:color="auto"/>
              <w:right w:val="single" w:sz="4" w:space="0" w:color="auto"/>
            </w:tcBorders>
            <w:hideMark/>
          </w:tcPr>
          <w:p w14:paraId="1B2C97B4" w14:textId="77777777" w:rsidR="00180D3E" w:rsidRPr="00520861" w:rsidRDefault="00180D3E" w:rsidP="00292D2E">
            <w:pPr>
              <w:widowControl w:val="0"/>
              <w:spacing w:line="360" w:lineRule="auto"/>
              <w:jc w:val="center"/>
              <w:rPr>
                <w:sz w:val="28"/>
                <w:szCs w:val="28"/>
              </w:rPr>
            </w:pPr>
            <w:r w:rsidRPr="00520861">
              <w:rPr>
                <w:sz w:val="28"/>
                <w:szCs w:val="28"/>
              </w:rPr>
              <w:t>31,94</w:t>
            </w:r>
          </w:p>
        </w:tc>
        <w:tc>
          <w:tcPr>
            <w:tcW w:w="1650" w:type="dxa"/>
            <w:tcBorders>
              <w:top w:val="single" w:sz="4" w:space="0" w:color="auto"/>
              <w:left w:val="single" w:sz="4" w:space="0" w:color="auto"/>
              <w:bottom w:val="single" w:sz="4" w:space="0" w:color="auto"/>
              <w:right w:val="single" w:sz="4" w:space="0" w:color="auto"/>
            </w:tcBorders>
            <w:hideMark/>
          </w:tcPr>
          <w:p w14:paraId="18C48D44" w14:textId="77777777" w:rsidR="00180D3E" w:rsidRPr="00520861" w:rsidRDefault="00180D3E" w:rsidP="00292D2E">
            <w:pPr>
              <w:widowControl w:val="0"/>
              <w:spacing w:line="360" w:lineRule="auto"/>
              <w:jc w:val="center"/>
              <w:rPr>
                <w:sz w:val="28"/>
                <w:szCs w:val="28"/>
              </w:rPr>
            </w:pPr>
            <w:r w:rsidRPr="00520861">
              <w:rPr>
                <w:sz w:val="28"/>
                <w:szCs w:val="28"/>
              </w:rPr>
              <w:t>20,19</w:t>
            </w:r>
          </w:p>
        </w:tc>
        <w:tc>
          <w:tcPr>
            <w:tcW w:w="1650" w:type="dxa"/>
            <w:tcBorders>
              <w:top w:val="single" w:sz="4" w:space="0" w:color="auto"/>
              <w:left w:val="single" w:sz="4" w:space="0" w:color="auto"/>
              <w:bottom w:val="single" w:sz="4" w:space="0" w:color="auto"/>
              <w:right w:val="single" w:sz="4" w:space="0" w:color="auto"/>
            </w:tcBorders>
            <w:hideMark/>
          </w:tcPr>
          <w:p w14:paraId="476C1802" w14:textId="77777777" w:rsidR="00180D3E" w:rsidRPr="00520861" w:rsidRDefault="00180D3E" w:rsidP="00292D2E">
            <w:pPr>
              <w:widowControl w:val="0"/>
              <w:spacing w:line="360" w:lineRule="auto"/>
              <w:jc w:val="center"/>
              <w:rPr>
                <w:sz w:val="28"/>
                <w:szCs w:val="28"/>
              </w:rPr>
            </w:pPr>
            <w:r w:rsidRPr="00520861">
              <w:rPr>
                <w:sz w:val="28"/>
                <w:szCs w:val="28"/>
              </w:rPr>
              <w:t>42,58</w:t>
            </w:r>
          </w:p>
        </w:tc>
        <w:tc>
          <w:tcPr>
            <w:tcW w:w="982" w:type="dxa"/>
            <w:tcBorders>
              <w:top w:val="single" w:sz="4" w:space="0" w:color="auto"/>
              <w:left w:val="single" w:sz="4" w:space="0" w:color="auto"/>
              <w:bottom w:val="single" w:sz="4" w:space="0" w:color="auto"/>
              <w:right w:val="single" w:sz="4" w:space="0" w:color="auto"/>
            </w:tcBorders>
            <w:hideMark/>
          </w:tcPr>
          <w:p w14:paraId="18E1E84F" w14:textId="77777777" w:rsidR="00180D3E" w:rsidRPr="00520861" w:rsidRDefault="00180D3E" w:rsidP="00292D2E">
            <w:pPr>
              <w:widowControl w:val="0"/>
              <w:spacing w:line="360" w:lineRule="auto"/>
              <w:jc w:val="center"/>
              <w:rPr>
                <w:sz w:val="28"/>
                <w:szCs w:val="28"/>
              </w:rPr>
            </w:pPr>
            <w:r w:rsidRPr="00520861">
              <w:rPr>
                <w:sz w:val="28"/>
                <w:szCs w:val="28"/>
              </w:rPr>
              <w:t>40,07</w:t>
            </w:r>
          </w:p>
        </w:tc>
        <w:tc>
          <w:tcPr>
            <w:tcW w:w="1673" w:type="dxa"/>
            <w:tcBorders>
              <w:top w:val="single" w:sz="4" w:space="0" w:color="auto"/>
              <w:left w:val="single" w:sz="4" w:space="0" w:color="auto"/>
              <w:bottom w:val="single" w:sz="4" w:space="0" w:color="auto"/>
              <w:right w:val="single" w:sz="4" w:space="0" w:color="auto"/>
            </w:tcBorders>
            <w:hideMark/>
          </w:tcPr>
          <w:p w14:paraId="2D99E189"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20,46</w:t>
            </w:r>
          </w:p>
        </w:tc>
        <w:tc>
          <w:tcPr>
            <w:tcW w:w="1679" w:type="dxa"/>
            <w:tcBorders>
              <w:top w:val="single" w:sz="4" w:space="0" w:color="auto"/>
              <w:left w:val="single" w:sz="4" w:space="0" w:color="auto"/>
              <w:bottom w:val="single" w:sz="4" w:space="0" w:color="auto"/>
              <w:right w:val="single" w:sz="4" w:space="0" w:color="auto"/>
            </w:tcBorders>
            <w:hideMark/>
          </w:tcPr>
          <w:p w14:paraId="036E1F83" w14:textId="77777777" w:rsidR="00180D3E" w:rsidRPr="00520861" w:rsidRDefault="00180D3E" w:rsidP="00292D2E">
            <w:pPr>
              <w:widowControl w:val="0"/>
              <w:spacing w:line="360" w:lineRule="auto"/>
              <w:jc w:val="center"/>
              <w:rPr>
                <w:sz w:val="28"/>
                <w:szCs w:val="28"/>
              </w:rPr>
            </w:pPr>
            <w:r w:rsidRPr="00520861">
              <w:rPr>
                <w:sz w:val="28"/>
                <w:szCs w:val="28"/>
              </w:rPr>
              <w:t>8,61*</w:t>
            </w:r>
          </w:p>
          <w:p w14:paraId="32BB96CB" w14:textId="77777777" w:rsidR="00180D3E" w:rsidRPr="00520861" w:rsidRDefault="00180D3E"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=0,0119)</w:t>
            </w:r>
          </w:p>
        </w:tc>
      </w:tr>
      <w:tr w:rsidR="00180D3E" w:rsidRPr="00520861" w14:paraId="4C96287C" w14:textId="77777777" w:rsidTr="00292D2E">
        <w:trPr>
          <w:jc w:val="center"/>
        </w:trPr>
        <w:tc>
          <w:tcPr>
            <w:tcW w:w="9763" w:type="dxa"/>
            <w:gridSpan w:val="7"/>
            <w:tcBorders>
              <w:top w:val="single" w:sz="4" w:space="0" w:color="auto"/>
              <w:left w:val="single" w:sz="4" w:space="0" w:color="auto"/>
              <w:bottom w:val="single" w:sz="4" w:space="0" w:color="auto"/>
              <w:right w:val="single" w:sz="4" w:space="0" w:color="auto"/>
            </w:tcBorders>
          </w:tcPr>
          <w:p w14:paraId="21657715" w14:textId="77777777" w:rsidR="00180D3E" w:rsidRPr="00520861" w:rsidRDefault="00180D3E" w:rsidP="00292D2E">
            <w:pPr>
              <w:widowControl w:val="0"/>
              <w:spacing w:line="360" w:lineRule="auto"/>
              <w:ind w:left="-120" w:right="-114"/>
              <w:jc w:val="center"/>
              <w:rPr>
                <w:rFonts w:eastAsia="Calibri"/>
                <w:sz w:val="28"/>
                <w:szCs w:val="28"/>
                <w:lang w:eastAsia="en-US"/>
              </w:rPr>
            </w:pPr>
            <w:r w:rsidRPr="00520861">
              <w:rPr>
                <w:sz w:val="28"/>
                <w:szCs w:val="28"/>
              </w:rPr>
              <w:t>Відстань між емалево-цементною межею та циркулярною зв’язкою,</w:t>
            </w:r>
            <w:r w:rsidRPr="00520861">
              <w:rPr>
                <w:rFonts w:eastAsia="Calibri"/>
                <w:sz w:val="28"/>
                <w:szCs w:val="28"/>
                <w:lang w:eastAsia="en-US"/>
              </w:rPr>
              <w:t xml:space="preserve"> м×10</w:t>
            </w:r>
            <w:r w:rsidRPr="00520861">
              <w:rPr>
                <w:rFonts w:eastAsia="Calibri"/>
                <w:sz w:val="28"/>
                <w:szCs w:val="28"/>
                <w:vertAlign w:val="superscript"/>
                <w:lang w:eastAsia="en-US"/>
              </w:rPr>
              <w:t>3</w:t>
            </w:r>
          </w:p>
        </w:tc>
      </w:tr>
      <w:tr w:rsidR="00180D3E" w:rsidRPr="00520861" w14:paraId="61CD6A5B" w14:textId="77777777" w:rsidTr="00292D2E">
        <w:trPr>
          <w:jc w:val="center"/>
        </w:trPr>
        <w:tc>
          <w:tcPr>
            <w:tcW w:w="1129" w:type="dxa"/>
            <w:tcBorders>
              <w:top w:val="single" w:sz="4" w:space="0" w:color="auto"/>
              <w:left w:val="single" w:sz="4" w:space="0" w:color="auto"/>
              <w:bottom w:val="single" w:sz="4" w:space="0" w:color="auto"/>
              <w:right w:val="single" w:sz="4" w:space="0" w:color="auto"/>
            </w:tcBorders>
            <w:hideMark/>
          </w:tcPr>
          <w:p w14:paraId="379BFE4E" w14:textId="77777777" w:rsidR="00180D3E" w:rsidRPr="00520861" w:rsidRDefault="00180D3E" w:rsidP="00292D2E">
            <w:pPr>
              <w:widowControl w:val="0"/>
              <w:spacing w:line="360" w:lineRule="auto"/>
              <w:ind w:left="-120" w:right="-114"/>
              <w:jc w:val="center"/>
              <w:rPr>
                <w:sz w:val="28"/>
                <w:szCs w:val="28"/>
              </w:rPr>
            </w:pPr>
            <w:r w:rsidRPr="00520861">
              <w:rPr>
                <w:rFonts w:eastAsia="Calibri"/>
                <w:sz w:val="28"/>
                <w:szCs w:val="28"/>
                <w:lang w:eastAsia="en-US"/>
              </w:rPr>
              <w:t>ВП-</w:t>
            </w:r>
            <w:r w:rsidRPr="00520861">
              <w:rPr>
                <w:sz w:val="28"/>
                <w:szCs w:val="28"/>
              </w:rPr>
              <w:t>V</w:t>
            </w:r>
          </w:p>
        </w:tc>
        <w:tc>
          <w:tcPr>
            <w:tcW w:w="999" w:type="dxa"/>
            <w:tcBorders>
              <w:top w:val="single" w:sz="4" w:space="0" w:color="auto"/>
              <w:left w:val="single" w:sz="4" w:space="0" w:color="auto"/>
              <w:bottom w:val="single" w:sz="4" w:space="0" w:color="auto"/>
              <w:right w:val="single" w:sz="4" w:space="0" w:color="auto"/>
            </w:tcBorders>
          </w:tcPr>
          <w:p w14:paraId="7677C755" w14:textId="77777777" w:rsidR="00180D3E" w:rsidRPr="00520861" w:rsidRDefault="00180D3E" w:rsidP="00292D2E">
            <w:pPr>
              <w:widowControl w:val="0"/>
              <w:spacing w:line="360" w:lineRule="auto"/>
              <w:jc w:val="center"/>
              <w:rPr>
                <w:sz w:val="28"/>
                <w:szCs w:val="28"/>
              </w:rPr>
            </w:pPr>
            <w:r w:rsidRPr="00520861">
              <w:rPr>
                <w:sz w:val="28"/>
                <w:szCs w:val="28"/>
              </w:rPr>
              <w:t>-</w:t>
            </w:r>
          </w:p>
        </w:tc>
        <w:tc>
          <w:tcPr>
            <w:tcW w:w="1650" w:type="dxa"/>
            <w:tcBorders>
              <w:top w:val="single" w:sz="4" w:space="0" w:color="auto"/>
              <w:left w:val="single" w:sz="4" w:space="0" w:color="auto"/>
              <w:bottom w:val="single" w:sz="4" w:space="0" w:color="auto"/>
              <w:right w:val="single" w:sz="4" w:space="0" w:color="auto"/>
            </w:tcBorders>
          </w:tcPr>
          <w:p w14:paraId="6C26EF47" w14:textId="77777777" w:rsidR="00180D3E" w:rsidRPr="00520861" w:rsidRDefault="00180D3E" w:rsidP="00292D2E">
            <w:pPr>
              <w:widowControl w:val="0"/>
              <w:spacing w:line="360" w:lineRule="auto"/>
              <w:jc w:val="center"/>
              <w:rPr>
                <w:sz w:val="28"/>
                <w:szCs w:val="28"/>
              </w:rPr>
            </w:pPr>
            <w:r w:rsidRPr="00520861">
              <w:rPr>
                <w:sz w:val="28"/>
                <w:szCs w:val="28"/>
              </w:rPr>
              <w:t>0,23</w:t>
            </w:r>
          </w:p>
        </w:tc>
        <w:tc>
          <w:tcPr>
            <w:tcW w:w="1650" w:type="dxa"/>
            <w:tcBorders>
              <w:top w:val="single" w:sz="4" w:space="0" w:color="auto"/>
              <w:left w:val="single" w:sz="4" w:space="0" w:color="auto"/>
              <w:bottom w:val="single" w:sz="4" w:space="0" w:color="auto"/>
              <w:right w:val="single" w:sz="4" w:space="0" w:color="auto"/>
            </w:tcBorders>
          </w:tcPr>
          <w:p w14:paraId="2CB66A1C" w14:textId="77777777" w:rsidR="00180D3E" w:rsidRPr="00520861" w:rsidRDefault="00180D3E" w:rsidP="00292D2E">
            <w:pPr>
              <w:widowControl w:val="0"/>
              <w:spacing w:line="360" w:lineRule="auto"/>
              <w:jc w:val="center"/>
              <w:rPr>
                <w:sz w:val="28"/>
                <w:szCs w:val="28"/>
              </w:rPr>
            </w:pPr>
            <w:r w:rsidRPr="00520861">
              <w:rPr>
                <w:sz w:val="28"/>
                <w:szCs w:val="28"/>
              </w:rPr>
              <w:t>0,43</w:t>
            </w:r>
          </w:p>
        </w:tc>
        <w:tc>
          <w:tcPr>
            <w:tcW w:w="982" w:type="dxa"/>
            <w:tcBorders>
              <w:top w:val="single" w:sz="4" w:space="0" w:color="auto"/>
              <w:left w:val="single" w:sz="4" w:space="0" w:color="auto"/>
              <w:bottom w:val="single" w:sz="4" w:space="0" w:color="auto"/>
              <w:right w:val="single" w:sz="4" w:space="0" w:color="auto"/>
            </w:tcBorders>
          </w:tcPr>
          <w:p w14:paraId="6D117CA0" w14:textId="77777777" w:rsidR="00180D3E" w:rsidRPr="00520861" w:rsidRDefault="00180D3E" w:rsidP="00292D2E">
            <w:pPr>
              <w:widowControl w:val="0"/>
              <w:spacing w:line="360" w:lineRule="auto"/>
              <w:jc w:val="center"/>
              <w:rPr>
                <w:sz w:val="28"/>
                <w:szCs w:val="28"/>
              </w:rPr>
            </w:pPr>
            <w:r w:rsidRPr="00520861">
              <w:rPr>
                <w:sz w:val="28"/>
                <w:szCs w:val="28"/>
              </w:rPr>
              <w:t>0,50</w:t>
            </w:r>
          </w:p>
        </w:tc>
        <w:tc>
          <w:tcPr>
            <w:tcW w:w="1673" w:type="dxa"/>
            <w:tcBorders>
              <w:top w:val="single" w:sz="4" w:space="0" w:color="auto"/>
              <w:left w:val="single" w:sz="4" w:space="0" w:color="auto"/>
              <w:bottom w:val="single" w:sz="4" w:space="0" w:color="auto"/>
              <w:right w:val="single" w:sz="4" w:space="0" w:color="auto"/>
            </w:tcBorders>
          </w:tcPr>
          <w:p w14:paraId="52E6F8C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w:t>
            </w:r>
          </w:p>
        </w:tc>
        <w:tc>
          <w:tcPr>
            <w:tcW w:w="1679" w:type="dxa"/>
            <w:tcBorders>
              <w:top w:val="single" w:sz="4" w:space="0" w:color="auto"/>
              <w:left w:val="single" w:sz="4" w:space="0" w:color="auto"/>
              <w:bottom w:val="single" w:sz="4" w:space="0" w:color="auto"/>
              <w:right w:val="single" w:sz="4" w:space="0" w:color="auto"/>
            </w:tcBorders>
          </w:tcPr>
          <w:p w14:paraId="01E24DC0" w14:textId="77777777" w:rsidR="00180D3E" w:rsidRPr="00520861" w:rsidRDefault="00180D3E" w:rsidP="00292D2E">
            <w:pPr>
              <w:widowControl w:val="0"/>
              <w:spacing w:line="360" w:lineRule="auto"/>
              <w:jc w:val="center"/>
              <w:rPr>
                <w:sz w:val="28"/>
                <w:szCs w:val="28"/>
              </w:rPr>
            </w:pPr>
            <w:r w:rsidRPr="00520861">
              <w:rPr>
                <w:sz w:val="28"/>
                <w:szCs w:val="28"/>
              </w:rPr>
              <w:t>-</w:t>
            </w:r>
          </w:p>
        </w:tc>
      </w:tr>
      <w:tr w:rsidR="00180D3E" w:rsidRPr="00520861" w14:paraId="4F4A32B0" w14:textId="77777777" w:rsidTr="00292D2E">
        <w:trPr>
          <w:jc w:val="center"/>
        </w:trPr>
        <w:tc>
          <w:tcPr>
            <w:tcW w:w="1129" w:type="dxa"/>
            <w:tcBorders>
              <w:top w:val="single" w:sz="4" w:space="0" w:color="auto"/>
              <w:left w:val="single" w:sz="4" w:space="0" w:color="auto"/>
              <w:bottom w:val="single" w:sz="4" w:space="0" w:color="auto"/>
              <w:right w:val="single" w:sz="4" w:space="0" w:color="auto"/>
            </w:tcBorders>
            <w:hideMark/>
          </w:tcPr>
          <w:p w14:paraId="20761A53" w14:textId="77777777" w:rsidR="00180D3E" w:rsidRPr="00520861" w:rsidRDefault="00180D3E" w:rsidP="00292D2E">
            <w:pPr>
              <w:widowControl w:val="0"/>
              <w:spacing w:line="360" w:lineRule="auto"/>
              <w:ind w:left="-120" w:right="-114"/>
              <w:jc w:val="center"/>
              <w:rPr>
                <w:sz w:val="28"/>
                <w:szCs w:val="28"/>
              </w:rPr>
            </w:pPr>
            <w:r w:rsidRPr="00520861">
              <w:rPr>
                <w:rFonts w:eastAsia="Calibri"/>
                <w:sz w:val="28"/>
                <w:szCs w:val="28"/>
                <w:lang w:eastAsia="en-US"/>
              </w:rPr>
              <w:t>ВП</w:t>
            </w:r>
            <w:r w:rsidRPr="00520861">
              <w:rPr>
                <w:sz w:val="28"/>
                <w:szCs w:val="28"/>
              </w:rPr>
              <w:t>-VІ</w:t>
            </w:r>
          </w:p>
        </w:tc>
        <w:tc>
          <w:tcPr>
            <w:tcW w:w="999" w:type="dxa"/>
            <w:tcBorders>
              <w:top w:val="single" w:sz="4" w:space="0" w:color="auto"/>
              <w:left w:val="single" w:sz="4" w:space="0" w:color="auto"/>
              <w:bottom w:val="single" w:sz="4" w:space="0" w:color="auto"/>
              <w:right w:val="single" w:sz="4" w:space="0" w:color="auto"/>
            </w:tcBorders>
            <w:hideMark/>
          </w:tcPr>
          <w:p w14:paraId="6DDCB6E5" w14:textId="77777777" w:rsidR="00180D3E" w:rsidRPr="00520861" w:rsidRDefault="00180D3E" w:rsidP="00292D2E">
            <w:pPr>
              <w:widowControl w:val="0"/>
              <w:spacing w:line="360" w:lineRule="auto"/>
              <w:jc w:val="center"/>
              <w:rPr>
                <w:sz w:val="28"/>
                <w:szCs w:val="28"/>
              </w:rPr>
            </w:pPr>
            <w:r w:rsidRPr="00520861">
              <w:rPr>
                <w:sz w:val="28"/>
                <w:szCs w:val="28"/>
              </w:rPr>
              <w:t>1,32</w:t>
            </w:r>
          </w:p>
        </w:tc>
        <w:tc>
          <w:tcPr>
            <w:tcW w:w="1650" w:type="dxa"/>
            <w:tcBorders>
              <w:top w:val="single" w:sz="4" w:space="0" w:color="auto"/>
              <w:left w:val="single" w:sz="4" w:space="0" w:color="auto"/>
              <w:bottom w:val="single" w:sz="4" w:space="0" w:color="auto"/>
              <w:right w:val="single" w:sz="4" w:space="0" w:color="auto"/>
            </w:tcBorders>
            <w:hideMark/>
          </w:tcPr>
          <w:p w14:paraId="476159BD" w14:textId="77777777" w:rsidR="00180D3E" w:rsidRPr="00520861" w:rsidRDefault="00180D3E" w:rsidP="00292D2E">
            <w:pPr>
              <w:widowControl w:val="0"/>
              <w:spacing w:line="360" w:lineRule="auto"/>
              <w:jc w:val="center"/>
              <w:rPr>
                <w:sz w:val="28"/>
                <w:szCs w:val="28"/>
              </w:rPr>
            </w:pPr>
            <w:r w:rsidRPr="00520861">
              <w:rPr>
                <w:sz w:val="28"/>
                <w:szCs w:val="28"/>
              </w:rPr>
              <w:t>2,26* (</w:t>
            </w:r>
            <w:r w:rsidRPr="00520861">
              <w:rPr>
                <w:i/>
                <w:sz w:val="28"/>
                <w:szCs w:val="28"/>
              </w:rPr>
              <w:t>p</w:t>
            </w:r>
            <w:r w:rsidRPr="00520861">
              <w:rPr>
                <w:sz w:val="28"/>
                <w:szCs w:val="28"/>
              </w:rPr>
              <w:t>=0,0146)</w:t>
            </w:r>
          </w:p>
        </w:tc>
        <w:tc>
          <w:tcPr>
            <w:tcW w:w="1650" w:type="dxa"/>
            <w:tcBorders>
              <w:top w:val="single" w:sz="4" w:space="0" w:color="auto"/>
              <w:left w:val="single" w:sz="4" w:space="0" w:color="auto"/>
              <w:bottom w:val="single" w:sz="4" w:space="0" w:color="auto"/>
              <w:right w:val="single" w:sz="4" w:space="0" w:color="auto"/>
            </w:tcBorders>
            <w:hideMark/>
          </w:tcPr>
          <w:p w14:paraId="7CBC8CE3" w14:textId="77777777" w:rsidR="00180D3E" w:rsidRPr="00520861" w:rsidRDefault="00180D3E" w:rsidP="00292D2E">
            <w:pPr>
              <w:widowControl w:val="0"/>
              <w:spacing w:line="360" w:lineRule="auto"/>
              <w:jc w:val="center"/>
              <w:rPr>
                <w:sz w:val="28"/>
                <w:szCs w:val="28"/>
              </w:rPr>
            </w:pPr>
            <w:r w:rsidRPr="00520861">
              <w:rPr>
                <w:sz w:val="28"/>
                <w:szCs w:val="28"/>
              </w:rPr>
              <w:t>2,20</w:t>
            </w:r>
          </w:p>
        </w:tc>
        <w:tc>
          <w:tcPr>
            <w:tcW w:w="982" w:type="dxa"/>
            <w:tcBorders>
              <w:top w:val="single" w:sz="4" w:space="0" w:color="auto"/>
              <w:left w:val="single" w:sz="4" w:space="0" w:color="auto"/>
              <w:bottom w:val="single" w:sz="4" w:space="0" w:color="auto"/>
              <w:right w:val="single" w:sz="4" w:space="0" w:color="auto"/>
            </w:tcBorders>
            <w:hideMark/>
          </w:tcPr>
          <w:p w14:paraId="6875C983" w14:textId="77777777" w:rsidR="00180D3E" w:rsidRPr="00520861" w:rsidRDefault="00180D3E" w:rsidP="00292D2E">
            <w:pPr>
              <w:widowControl w:val="0"/>
              <w:spacing w:line="360" w:lineRule="auto"/>
              <w:jc w:val="center"/>
              <w:rPr>
                <w:sz w:val="28"/>
                <w:szCs w:val="28"/>
              </w:rPr>
            </w:pPr>
            <w:r w:rsidRPr="00520861">
              <w:rPr>
                <w:sz w:val="28"/>
                <w:szCs w:val="28"/>
              </w:rPr>
              <w:t>1,38</w:t>
            </w:r>
          </w:p>
        </w:tc>
        <w:tc>
          <w:tcPr>
            <w:tcW w:w="1673" w:type="dxa"/>
            <w:tcBorders>
              <w:top w:val="single" w:sz="4" w:space="0" w:color="auto"/>
              <w:left w:val="single" w:sz="4" w:space="0" w:color="auto"/>
              <w:bottom w:val="single" w:sz="4" w:space="0" w:color="auto"/>
              <w:right w:val="single" w:sz="4" w:space="0" w:color="auto"/>
            </w:tcBorders>
            <w:hideMark/>
          </w:tcPr>
          <w:p w14:paraId="09C099E8"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2,44</w:t>
            </w:r>
          </w:p>
        </w:tc>
        <w:tc>
          <w:tcPr>
            <w:tcW w:w="1679" w:type="dxa"/>
            <w:tcBorders>
              <w:top w:val="single" w:sz="4" w:space="0" w:color="auto"/>
              <w:left w:val="single" w:sz="4" w:space="0" w:color="auto"/>
              <w:bottom w:val="single" w:sz="4" w:space="0" w:color="auto"/>
              <w:right w:val="single" w:sz="4" w:space="0" w:color="auto"/>
            </w:tcBorders>
            <w:hideMark/>
          </w:tcPr>
          <w:p w14:paraId="3CDD21AA" w14:textId="77777777" w:rsidR="00180D3E" w:rsidRPr="00520861" w:rsidRDefault="00180D3E" w:rsidP="00292D2E">
            <w:pPr>
              <w:widowControl w:val="0"/>
              <w:spacing w:line="360" w:lineRule="auto"/>
              <w:jc w:val="center"/>
              <w:rPr>
                <w:sz w:val="28"/>
                <w:szCs w:val="28"/>
              </w:rPr>
            </w:pPr>
            <w:r w:rsidRPr="00520861">
              <w:rPr>
                <w:sz w:val="28"/>
                <w:szCs w:val="28"/>
              </w:rPr>
              <w:t>2,75*</w:t>
            </w:r>
          </w:p>
          <w:p w14:paraId="0A613C12" w14:textId="77777777" w:rsidR="00180D3E" w:rsidRPr="00520861" w:rsidRDefault="00180D3E" w:rsidP="00292D2E">
            <w:pPr>
              <w:widowControl w:val="0"/>
              <w:spacing w:line="360" w:lineRule="auto"/>
              <w:jc w:val="center"/>
              <w:rPr>
                <w:sz w:val="28"/>
                <w:szCs w:val="28"/>
              </w:rPr>
            </w:pPr>
            <w:r w:rsidRPr="00520861">
              <w:rPr>
                <w:sz w:val="28"/>
                <w:szCs w:val="28"/>
              </w:rPr>
              <w:t>(</w:t>
            </w:r>
            <w:r w:rsidRPr="00520861">
              <w:rPr>
                <w:i/>
                <w:sz w:val="28"/>
                <w:szCs w:val="28"/>
              </w:rPr>
              <w:t>p</w:t>
            </w:r>
            <w:r w:rsidRPr="00520861">
              <w:rPr>
                <w:sz w:val="28"/>
                <w:szCs w:val="28"/>
              </w:rPr>
              <w:t>=0,0082)</w:t>
            </w:r>
          </w:p>
        </w:tc>
      </w:tr>
      <w:tr w:rsidR="00180D3E" w:rsidRPr="00520861" w14:paraId="315C32EF" w14:textId="77777777" w:rsidTr="00292D2E">
        <w:trPr>
          <w:jc w:val="center"/>
        </w:trPr>
        <w:tc>
          <w:tcPr>
            <w:tcW w:w="1129" w:type="dxa"/>
            <w:tcBorders>
              <w:top w:val="single" w:sz="4" w:space="0" w:color="auto"/>
              <w:left w:val="single" w:sz="4" w:space="0" w:color="auto"/>
              <w:bottom w:val="single" w:sz="4" w:space="0" w:color="auto"/>
              <w:right w:val="single" w:sz="4" w:space="0" w:color="auto"/>
            </w:tcBorders>
            <w:hideMark/>
          </w:tcPr>
          <w:p w14:paraId="6C8773F5" w14:textId="77777777" w:rsidR="00180D3E" w:rsidRPr="00520861" w:rsidRDefault="00180D3E" w:rsidP="00292D2E">
            <w:pPr>
              <w:widowControl w:val="0"/>
              <w:spacing w:line="360" w:lineRule="auto"/>
              <w:ind w:left="-120" w:right="-114"/>
              <w:jc w:val="center"/>
              <w:rPr>
                <w:sz w:val="28"/>
                <w:szCs w:val="28"/>
              </w:rPr>
            </w:pPr>
            <w:r w:rsidRPr="00520861">
              <w:rPr>
                <w:rFonts w:eastAsia="Calibri"/>
                <w:sz w:val="28"/>
                <w:szCs w:val="28"/>
                <w:lang w:eastAsia="en-US"/>
              </w:rPr>
              <w:t>ВП</w:t>
            </w:r>
            <w:r w:rsidRPr="00520861">
              <w:rPr>
                <w:sz w:val="28"/>
                <w:szCs w:val="28"/>
              </w:rPr>
              <w:t>-VІІ</w:t>
            </w:r>
          </w:p>
        </w:tc>
        <w:tc>
          <w:tcPr>
            <w:tcW w:w="999" w:type="dxa"/>
            <w:tcBorders>
              <w:top w:val="single" w:sz="4" w:space="0" w:color="auto"/>
              <w:left w:val="single" w:sz="4" w:space="0" w:color="auto"/>
              <w:bottom w:val="single" w:sz="4" w:space="0" w:color="auto"/>
              <w:right w:val="single" w:sz="4" w:space="0" w:color="auto"/>
            </w:tcBorders>
            <w:hideMark/>
          </w:tcPr>
          <w:p w14:paraId="23787F08" w14:textId="77777777" w:rsidR="00180D3E" w:rsidRPr="00520861" w:rsidRDefault="00180D3E" w:rsidP="00292D2E">
            <w:pPr>
              <w:widowControl w:val="0"/>
              <w:spacing w:line="360" w:lineRule="auto"/>
              <w:jc w:val="center"/>
              <w:rPr>
                <w:sz w:val="28"/>
                <w:szCs w:val="28"/>
              </w:rPr>
            </w:pPr>
            <w:r w:rsidRPr="00520861">
              <w:rPr>
                <w:sz w:val="28"/>
                <w:szCs w:val="28"/>
              </w:rPr>
              <w:t>2,77</w:t>
            </w:r>
          </w:p>
        </w:tc>
        <w:tc>
          <w:tcPr>
            <w:tcW w:w="1650" w:type="dxa"/>
            <w:tcBorders>
              <w:top w:val="single" w:sz="4" w:space="0" w:color="auto"/>
              <w:left w:val="single" w:sz="4" w:space="0" w:color="auto"/>
              <w:bottom w:val="single" w:sz="4" w:space="0" w:color="auto"/>
              <w:right w:val="single" w:sz="4" w:space="0" w:color="auto"/>
            </w:tcBorders>
            <w:hideMark/>
          </w:tcPr>
          <w:p w14:paraId="60AE27A7" w14:textId="77777777" w:rsidR="00180D3E" w:rsidRPr="00520861" w:rsidRDefault="00180D3E" w:rsidP="00292D2E">
            <w:pPr>
              <w:widowControl w:val="0"/>
              <w:spacing w:line="360" w:lineRule="auto"/>
              <w:jc w:val="center"/>
              <w:rPr>
                <w:sz w:val="28"/>
                <w:szCs w:val="28"/>
              </w:rPr>
            </w:pPr>
            <w:r w:rsidRPr="00520861">
              <w:rPr>
                <w:sz w:val="28"/>
                <w:szCs w:val="28"/>
              </w:rPr>
              <w:t>3,00</w:t>
            </w:r>
          </w:p>
        </w:tc>
        <w:tc>
          <w:tcPr>
            <w:tcW w:w="1650" w:type="dxa"/>
            <w:tcBorders>
              <w:top w:val="single" w:sz="4" w:space="0" w:color="auto"/>
              <w:left w:val="single" w:sz="4" w:space="0" w:color="auto"/>
              <w:bottom w:val="single" w:sz="4" w:space="0" w:color="auto"/>
              <w:right w:val="single" w:sz="4" w:space="0" w:color="auto"/>
            </w:tcBorders>
            <w:hideMark/>
          </w:tcPr>
          <w:p w14:paraId="14341207" w14:textId="77777777" w:rsidR="00180D3E" w:rsidRPr="00520861" w:rsidRDefault="00180D3E" w:rsidP="00292D2E">
            <w:pPr>
              <w:widowControl w:val="0"/>
              <w:spacing w:line="360" w:lineRule="auto"/>
              <w:jc w:val="center"/>
              <w:rPr>
                <w:sz w:val="28"/>
                <w:szCs w:val="28"/>
              </w:rPr>
            </w:pPr>
            <w:r w:rsidRPr="00520861">
              <w:rPr>
                <w:sz w:val="28"/>
                <w:szCs w:val="28"/>
              </w:rPr>
              <w:t>2,75</w:t>
            </w:r>
          </w:p>
        </w:tc>
        <w:tc>
          <w:tcPr>
            <w:tcW w:w="982" w:type="dxa"/>
            <w:tcBorders>
              <w:top w:val="single" w:sz="4" w:space="0" w:color="auto"/>
              <w:left w:val="single" w:sz="4" w:space="0" w:color="auto"/>
              <w:bottom w:val="single" w:sz="4" w:space="0" w:color="auto"/>
              <w:right w:val="single" w:sz="4" w:space="0" w:color="auto"/>
            </w:tcBorders>
            <w:hideMark/>
          </w:tcPr>
          <w:p w14:paraId="2CA460A6" w14:textId="77777777" w:rsidR="00180D3E" w:rsidRPr="00520861" w:rsidRDefault="00180D3E" w:rsidP="00292D2E">
            <w:pPr>
              <w:widowControl w:val="0"/>
              <w:spacing w:line="360" w:lineRule="auto"/>
              <w:jc w:val="center"/>
              <w:rPr>
                <w:sz w:val="28"/>
                <w:szCs w:val="28"/>
              </w:rPr>
            </w:pPr>
            <w:r w:rsidRPr="00520861">
              <w:rPr>
                <w:sz w:val="28"/>
                <w:szCs w:val="28"/>
              </w:rPr>
              <w:t>2,86</w:t>
            </w:r>
          </w:p>
        </w:tc>
        <w:tc>
          <w:tcPr>
            <w:tcW w:w="1673" w:type="dxa"/>
            <w:tcBorders>
              <w:top w:val="single" w:sz="4" w:space="0" w:color="auto"/>
              <w:left w:val="single" w:sz="4" w:space="0" w:color="auto"/>
              <w:bottom w:val="single" w:sz="4" w:space="0" w:color="auto"/>
              <w:right w:val="single" w:sz="4" w:space="0" w:color="auto"/>
            </w:tcBorders>
            <w:hideMark/>
          </w:tcPr>
          <w:p w14:paraId="391C8C6F"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3,00</w:t>
            </w:r>
          </w:p>
        </w:tc>
        <w:tc>
          <w:tcPr>
            <w:tcW w:w="1679" w:type="dxa"/>
            <w:tcBorders>
              <w:top w:val="single" w:sz="4" w:space="0" w:color="auto"/>
              <w:left w:val="single" w:sz="4" w:space="0" w:color="auto"/>
              <w:bottom w:val="single" w:sz="4" w:space="0" w:color="auto"/>
              <w:right w:val="single" w:sz="4" w:space="0" w:color="auto"/>
            </w:tcBorders>
            <w:hideMark/>
          </w:tcPr>
          <w:p w14:paraId="174446C8" w14:textId="77777777" w:rsidR="00180D3E" w:rsidRPr="00520861" w:rsidRDefault="00180D3E" w:rsidP="00292D2E">
            <w:pPr>
              <w:widowControl w:val="0"/>
              <w:spacing w:line="360" w:lineRule="auto"/>
              <w:jc w:val="center"/>
              <w:rPr>
                <w:sz w:val="28"/>
                <w:szCs w:val="28"/>
              </w:rPr>
            </w:pPr>
            <w:r w:rsidRPr="00520861">
              <w:rPr>
                <w:sz w:val="28"/>
                <w:szCs w:val="28"/>
              </w:rPr>
              <w:t>3,18</w:t>
            </w:r>
          </w:p>
        </w:tc>
      </w:tr>
      <w:tr w:rsidR="00180D3E" w:rsidRPr="00520861" w14:paraId="62F302E3" w14:textId="77777777" w:rsidTr="00292D2E">
        <w:trPr>
          <w:trHeight w:val="220"/>
          <w:jc w:val="center"/>
        </w:trPr>
        <w:tc>
          <w:tcPr>
            <w:tcW w:w="1129" w:type="dxa"/>
            <w:tcBorders>
              <w:top w:val="single" w:sz="4" w:space="0" w:color="auto"/>
              <w:left w:val="single" w:sz="4" w:space="0" w:color="auto"/>
              <w:bottom w:val="single" w:sz="4" w:space="0" w:color="auto"/>
              <w:right w:val="single" w:sz="4" w:space="0" w:color="auto"/>
            </w:tcBorders>
            <w:hideMark/>
          </w:tcPr>
          <w:p w14:paraId="391AD138" w14:textId="77777777" w:rsidR="00180D3E" w:rsidRPr="00520861" w:rsidRDefault="00180D3E" w:rsidP="00292D2E">
            <w:pPr>
              <w:widowControl w:val="0"/>
              <w:spacing w:line="360" w:lineRule="auto"/>
              <w:ind w:left="-120" w:right="-114"/>
              <w:jc w:val="center"/>
              <w:rPr>
                <w:sz w:val="28"/>
                <w:szCs w:val="28"/>
              </w:rPr>
            </w:pPr>
            <w:r w:rsidRPr="00520861">
              <w:rPr>
                <w:rFonts w:eastAsia="Calibri"/>
                <w:sz w:val="28"/>
                <w:szCs w:val="28"/>
                <w:lang w:eastAsia="en-US"/>
              </w:rPr>
              <w:t>ВП</w:t>
            </w:r>
            <w:r w:rsidRPr="00520861">
              <w:rPr>
                <w:sz w:val="28"/>
                <w:szCs w:val="28"/>
              </w:rPr>
              <w:t>-VIII</w:t>
            </w:r>
          </w:p>
        </w:tc>
        <w:tc>
          <w:tcPr>
            <w:tcW w:w="999" w:type="dxa"/>
            <w:tcBorders>
              <w:top w:val="single" w:sz="4" w:space="0" w:color="auto"/>
              <w:left w:val="single" w:sz="4" w:space="0" w:color="auto"/>
              <w:bottom w:val="single" w:sz="4" w:space="0" w:color="auto"/>
              <w:right w:val="single" w:sz="4" w:space="0" w:color="auto"/>
            </w:tcBorders>
            <w:hideMark/>
          </w:tcPr>
          <w:p w14:paraId="54D91561" w14:textId="77777777" w:rsidR="00180D3E" w:rsidRPr="00520861" w:rsidRDefault="00180D3E" w:rsidP="00292D2E">
            <w:pPr>
              <w:widowControl w:val="0"/>
              <w:spacing w:line="360" w:lineRule="auto"/>
              <w:jc w:val="center"/>
              <w:rPr>
                <w:sz w:val="28"/>
                <w:szCs w:val="28"/>
              </w:rPr>
            </w:pPr>
            <w:r w:rsidRPr="00520861">
              <w:rPr>
                <w:sz w:val="28"/>
                <w:szCs w:val="28"/>
              </w:rPr>
              <w:t>3,90</w:t>
            </w:r>
          </w:p>
        </w:tc>
        <w:tc>
          <w:tcPr>
            <w:tcW w:w="1650" w:type="dxa"/>
            <w:tcBorders>
              <w:top w:val="single" w:sz="4" w:space="0" w:color="auto"/>
              <w:left w:val="single" w:sz="4" w:space="0" w:color="auto"/>
              <w:bottom w:val="single" w:sz="4" w:space="0" w:color="auto"/>
              <w:right w:val="single" w:sz="4" w:space="0" w:color="auto"/>
            </w:tcBorders>
            <w:hideMark/>
          </w:tcPr>
          <w:p w14:paraId="27160162" w14:textId="77777777" w:rsidR="00180D3E" w:rsidRPr="00520861" w:rsidRDefault="00180D3E" w:rsidP="00292D2E">
            <w:pPr>
              <w:widowControl w:val="0"/>
              <w:spacing w:line="360" w:lineRule="auto"/>
              <w:jc w:val="center"/>
              <w:rPr>
                <w:sz w:val="28"/>
                <w:szCs w:val="28"/>
              </w:rPr>
            </w:pPr>
            <w:r w:rsidRPr="00520861">
              <w:rPr>
                <w:sz w:val="28"/>
                <w:szCs w:val="28"/>
              </w:rPr>
              <w:t>4,92</w:t>
            </w:r>
          </w:p>
        </w:tc>
        <w:tc>
          <w:tcPr>
            <w:tcW w:w="1650" w:type="dxa"/>
            <w:tcBorders>
              <w:top w:val="single" w:sz="4" w:space="0" w:color="auto"/>
              <w:left w:val="single" w:sz="4" w:space="0" w:color="auto"/>
              <w:bottom w:val="single" w:sz="4" w:space="0" w:color="auto"/>
              <w:right w:val="single" w:sz="4" w:space="0" w:color="auto"/>
            </w:tcBorders>
            <w:hideMark/>
          </w:tcPr>
          <w:p w14:paraId="123FC999" w14:textId="77777777" w:rsidR="00180D3E" w:rsidRPr="00520861" w:rsidRDefault="00180D3E" w:rsidP="00292D2E">
            <w:pPr>
              <w:widowControl w:val="0"/>
              <w:spacing w:line="360" w:lineRule="auto"/>
              <w:jc w:val="center"/>
              <w:rPr>
                <w:sz w:val="28"/>
                <w:szCs w:val="28"/>
              </w:rPr>
            </w:pPr>
            <w:r w:rsidRPr="00520861">
              <w:rPr>
                <w:sz w:val="28"/>
                <w:szCs w:val="28"/>
              </w:rPr>
              <w:t>5,00</w:t>
            </w:r>
          </w:p>
        </w:tc>
        <w:tc>
          <w:tcPr>
            <w:tcW w:w="982" w:type="dxa"/>
            <w:tcBorders>
              <w:top w:val="single" w:sz="4" w:space="0" w:color="auto"/>
              <w:left w:val="single" w:sz="4" w:space="0" w:color="auto"/>
              <w:bottom w:val="single" w:sz="4" w:space="0" w:color="auto"/>
              <w:right w:val="single" w:sz="4" w:space="0" w:color="auto"/>
            </w:tcBorders>
            <w:hideMark/>
          </w:tcPr>
          <w:p w14:paraId="3425A084" w14:textId="77777777" w:rsidR="00180D3E" w:rsidRPr="00520861" w:rsidRDefault="00180D3E" w:rsidP="00292D2E">
            <w:pPr>
              <w:widowControl w:val="0"/>
              <w:spacing w:line="360" w:lineRule="auto"/>
              <w:jc w:val="center"/>
              <w:rPr>
                <w:sz w:val="28"/>
                <w:szCs w:val="28"/>
              </w:rPr>
            </w:pPr>
            <w:r w:rsidRPr="00520861">
              <w:rPr>
                <w:sz w:val="28"/>
                <w:szCs w:val="28"/>
              </w:rPr>
              <w:t>5,00</w:t>
            </w:r>
          </w:p>
        </w:tc>
        <w:tc>
          <w:tcPr>
            <w:tcW w:w="1673" w:type="dxa"/>
            <w:tcBorders>
              <w:top w:val="single" w:sz="4" w:space="0" w:color="auto"/>
              <w:left w:val="single" w:sz="4" w:space="0" w:color="auto"/>
              <w:bottom w:val="single" w:sz="4" w:space="0" w:color="auto"/>
              <w:right w:val="single" w:sz="4" w:space="0" w:color="auto"/>
            </w:tcBorders>
            <w:hideMark/>
          </w:tcPr>
          <w:p w14:paraId="228BA8B1" w14:textId="77777777" w:rsidR="00180D3E" w:rsidRPr="00520861" w:rsidRDefault="00180D3E" w:rsidP="00292D2E">
            <w:pPr>
              <w:widowControl w:val="0"/>
              <w:spacing w:line="360" w:lineRule="auto"/>
              <w:jc w:val="center"/>
              <w:rPr>
                <w:rFonts w:eastAsia="Calibri"/>
                <w:sz w:val="28"/>
                <w:szCs w:val="28"/>
                <w:lang w:eastAsia="en-US"/>
              </w:rPr>
            </w:pPr>
            <w:r w:rsidRPr="00520861">
              <w:rPr>
                <w:sz w:val="28"/>
                <w:szCs w:val="28"/>
              </w:rPr>
              <w:t>5,20</w:t>
            </w:r>
          </w:p>
        </w:tc>
        <w:tc>
          <w:tcPr>
            <w:tcW w:w="1679" w:type="dxa"/>
            <w:tcBorders>
              <w:top w:val="single" w:sz="4" w:space="0" w:color="auto"/>
              <w:left w:val="single" w:sz="4" w:space="0" w:color="auto"/>
              <w:bottom w:val="single" w:sz="4" w:space="0" w:color="auto"/>
              <w:right w:val="single" w:sz="4" w:space="0" w:color="auto"/>
            </w:tcBorders>
            <w:hideMark/>
          </w:tcPr>
          <w:p w14:paraId="62D365BE" w14:textId="77777777" w:rsidR="00180D3E" w:rsidRPr="00520861" w:rsidRDefault="00180D3E" w:rsidP="00292D2E">
            <w:pPr>
              <w:widowControl w:val="0"/>
              <w:spacing w:line="360" w:lineRule="auto"/>
              <w:jc w:val="center"/>
              <w:rPr>
                <w:sz w:val="28"/>
                <w:szCs w:val="28"/>
              </w:rPr>
            </w:pPr>
            <w:r w:rsidRPr="00520861">
              <w:rPr>
                <w:sz w:val="28"/>
                <w:szCs w:val="28"/>
              </w:rPr>
              <w:t>4,77</w:t>
            </w:r>
          </w:p>
        </w:tc>
      </w:tr>
    </w:tbl>
    <w:p w14:paraId="1FC2A8A4" w14:textId="77777777" w:rsidR="00180D3E" w:rsidRPr="00520861" w:rsidRDefault="00180D3E" w:rsidP="00292D2E">
      <w:pPr>
        <w:widowControl w:val="0"/>
        <w:pBdr>
          <w:top w:val="nil"/>
          <w:left w:val="nil"/>
          <w:bottom w:val="nil"/>
          <w:right w:val="nil"/>
          <w:between w:val="nil"/>
        </w:pBdr>
        <w:spacing w:line="360" w:lineRule="auto"/>
        <w:ind w:right="48" w:firstLine="708"/>
        <w:contextualSpacing/>
        <w:jc w:val="both"/>
        <w:rPr>
          <w:sz w:val="28"/>
          <w:szCs w:val="28"/>
        </w:rPr>
      </w:pPr>
      <w:r w:rsidRPr="00520861">
        <w:rPr>
          <w:rFonts w:eastAsia="Calibri"/>
          <w:color w:val="000000"/>
          <w:sz w:val="28"/>
          <w:szCs w:val="28"/>
        </w:rPr>
        <w:t xml:space="preserve">Примітка: </w:t>
      </w:r>
      <w:r w:rsidRPr="00520861">
        <w:rPr>
          <w:b/>
          <w:sz w:val="28"/>
          <w:szCs w:val="28"/>
        </w:rPr>
        <w:t xml:space="preserve">* </w:t>
      </w:r>
      <w:r w:rsidRPr="00520861">
        <w:rPr>
          <w:sz w:val="28"/>
          <w:szCs w:val="28"/>
        </w:rPr>
        <w:t xml:space="preserve">– відмінність від ГП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09CC5DD2" w14:textId="77777777" w:rsidR="00180D3E" w:rsidRPr="00520861" w:rsidRDefault="00180D3E" w:rsidP="00292D2E">
      <w:pPr>
        <w:widowControl w:val="0"/>
        <w:spacing w:line="360" w:lineRule="auto"/>
        <w:ind w:right="141" w:firstLine="708"/>
        <w:jc w:val="both"/>
        <w:rPr>
          <w:rFonts w:eastAsia="Calibri"/>
          <w:sz w:val="28"/>
          <w:szCs w:val="28"/>
          <w:lang w:eastAsia="en-US"/>
        </w:rPr>
      </w:pPr>
    </w:p>
    <w:p w14:paraId="0037E449" w14:textId="77777777" w:rsidR="00180D3E" w:rsidRPr="00520861" w:rsidRDefault="00180D3E" w:rsidP="00292D2E">
      <w:pPr>
        <w:widowControl w:val="0"/>
        <w:pBdr>
          <w:top w:val="nil"/>
          <w:left w:val="nil"/>
          <w:bottom w:val="nil"/>
          <w:right w:val="nil"/>
          <w:between w:val="nil"/>
        </w:pBdr>
        <w:spacing w:line="360" w:lineRule="auto"/>
        <w:ind w:firstLine="708"/>
        <w:jc w:val="both"/>
        <w:rPr>
          <w:rFonts w:eastAsia="Calibri"/>
          <w:color w:val="000000"/>
          <w:spacing w:val="-2"/>
          <w:sz w:val="28"/>
          <w:szCs w:val="28"/>
        </w:rPr>
      </w:pPr>
      <w:r w:rsidRPr="00520861">
        <w:rPr>
          <w:rFonts w:eastAsia="Calibri"/>
          <w:color w:val="000000"/>
          <w:spacing w:val="-2"/>
          <w:sz w:val="28"/>
          <w:szCs w:val="28"/>
        </w:rPr>
        <w:t>Серед обстежених у ВП-</w:t>
      </w:r>
      <w:r w:rsidRPr="00520861">
        <w:rPr>
          <w:spacing w:val="-2"/>
          <w:sz w:val="28"/>
          <w:szCs w:val="28"/>
        </w:rPr>
        <w:t>V</w:t>
      </w:r>
      <w:r w:rsidRPr="00520861">
        <w:rPr>
          <w:rFonts w:eastAsia="Calibri"/>
          <w:color w:val="000000"/>
          <w:spacing w:val="-2"/>
          <w:sz w:val="28"/>
          <w:szCs w:val="28"/>
        </w:rPr>
        <w:t xml:space="preserve">II, які були віднесені до ОГ, захворювання тканин </w:t>
      </w:r>
      <w:r w:rsidRPr="00520861">
        <w:rPr>
          <w:rFonts w:eastAsia="Calibri"/>
          <w:color w:val="000000"/>
          <w:spacing w:val="-2"/>
          <w:sz w:val="28"/>
          <w:szCs w:val="28"/>
        </w:rPr>
        <w:br/>
      </w:r>
      <w:proofErr w:type="spellStart"/>
      <w:r w:rsidRPr="00520861">
        <w:rPr>
          <w:rFonts w:eastAsia="Calibri"/>
          <w:color w:val="000000"/>
          <w:spacing w:val="-2"/>
          <w:sz w:val="28"/>
          <w:szCs w:val="28"/>
        </w:rPr>
        <w:t>пародонта</w:t>
      </w:r>
      <w:proofErr w:type="spellEnd"/>
      <w:r w:rsidRPr="00520861">
        <w:rPr>
          <w:rFonts w:eastAsia="Calibri"/>
          <w:color w:val="000000"/>
          <w:spacing w:val="-2"/>
          <w:sz w:val="28"/>
          <w:szCs w:val="28"/>
        </w:rPr>
        <w:t xml:space="preserve"> були виявлені в 47 (94,0</w:t>
      </w:r>
      <w:r w:rsidR="00611A5B" w:rsidRPr="00520861">
        <w:rPr>
          <w:rFonts w:eastAsia="Calibri"/>
          <w:color w:val="000000"/>
          <w:spacing w:val="-2"/>
          <w:sz w:val="28"/>
          <w:szCs w:val="28"/>
        </w:rPr>
        <w:t>%</w:t>
      </w:r>
      <w:r w:rsidRPr="00520861">
        <w:rPr>
          <w:rFonts w:eastAsia="Calibri"/>
          <w:color w:val="000000"/>
          <w:spacing w:val="-2"/>
          <w:sz w:val="28"/>
          <w:szCs w:val="28"/>
        </w:rPr>
        <w:t>; ДІ: 86,3</w:t>
      </w:r>
      <w:r w:rsidR="00611A5B" w:rsidRPr="00520861">
        <w:rPr>
          <w:rFonts w:eastAsia="Calibri"/>
          <w:color w:val="000000"/>
          <w:spacing w:val="-2"/>
          <w:sz w:val="28"/>
          <w:szCs w:val="28"/>
        </w:rPr>
        <w:t>%</w:t>
      </w:r>
      <w:r w:rsidRPr="00520861">
        <w:rPr>
          <w:rFonts w:eastAsia="Calibri"/>
          <w:color w:val="000000"/>
          <w:spacing w:val="-2"/>
          <w:sz w:val="28"/>
          <w:szCs w:val="28"/>
        </w:rPr>
        <w:t xml:space="preserve"> </w:t>
      </w:r>
      <w:r w:rsidRPr="00520861">
        <w:rPr>
          <w:spacing w:val="-2"/>
          <w:sz w:val="28"/>
          <w:szCs w:val="28"/>
        </w:rPr>
        <w:t>–</w:t>
      </w:r>
      <w:r w:rsidRPr="00520861">
        <w:rPr>
          <w:rFonts w:eastAsia="Calibri"/>
          <w:color w:val="000000"/>
          <w:spacing w:val="-2"/>
          <w:sz w:val="28"/>
          <w:szCs w:val="28"/>
        </w:rPr>
        <w:t xml:space="preserve"> 97,8</w:t>
      </w:r>
      <w:r w:rsidR="00611A5B" w:rsidRPr="00520861">
        <w:rPr>
          <w:rFonts w:eastAsia="Calibri"/>
          <w:color w:val="000000"/>
          <w:spacing w:val="-2"/>
          <w:sz w:val="28"/>
          <w:szCs w:val="28"/>
        </w:rPr>
        <w:t>%</w:t>
      </w:r>
      <w:r w:rsidRPr="00520861">
        <w:rPr>
          <w:rFonts w:eastAsia="Calibri"/>
          <w:color w:val="000000"/>
          <w:spacing w:val="-2"/>
          <w:sz w:val="28"/>
          <w:szCs w:val="28"/>
        </w:rPr>
        <w:t xml:space="preserve">) осіб (табл. 7.3). </w:t>
      </w:r>
    </w:p>
    <w:p w14:paraId="7B3D7153" w14:textId="77777777" w:rsidR="00180D3E" w:rsidRPr="00520861" w:rsidRDefault="00180D3E" w:rsidP="00292D2E">
      <w:pPr>
        <w:widowControl w:val="0"/>
        <w:pBdr>
          <w:top w:val="nil"/>
          <w:left w:val="nil"/>
          <w:bottom w:val="nil"/>
          <w:right w:val="nil"/>
          <w:between w:val="nil"/>
        </w:pBdr>
        <w:spacing w:line="360" w:lineRule="auto"/>
        <w:ind w:firstLine="708"/>
        <w:jc w:val="both"/>
        <w:rPr>
          <w:rFonts w:eastAsia="Calibri"/>
          <w:sz w:val="28"/>
          <w:szCs w:val="28"/>
          <w:lang w:eastAsia="en-US"/>
        </w:rPr>
      </w:pPr>
      <w:r w:rsidRPr="00520861">
        <w:rPr>
          <w:rFonts w:eastAsia="Calibri"/>
          <w:color w:val="000000"/>
          <w:spacing w:val="-2"/>
          <w:sz w:val="28"/>
          <w:szCs w:val="28"/>
        </w:rPr>
        <w:t>Із них у 55</w:t>
      </w:r>
      <w:r w:rsidR="00611A5B" w:rsidRPr="00520861">
        <w:rPr>
          <w:rFonts w:eastAsia="Calibri"/>
          <w:color w:val="000000"/>
          <w:spacing w:val="-2"/>
          <w:sz w:val="28"/>
          <w:szCs w:val="28"/>
        </w:rPr>
        <w:t>%</w:t>
      </w:r>
      <w:r w:rsidRPr="00520861">
        <w:rPr>
          <w:rFonts w:eastAsia="Calibri"/>
          <w:color w:val="000000"/>
          <w:spacing w:val="-2"/>
          <w:sz w:val="28"/>
          <w:szCs w:val="28"/>
        </w:rPr>
        <w:t xml:space="preserve"> осіб переважав запальний компонент: гінгівіт </w:t>
      </w:r>
      <w:r w:rsidRPr="00520861">
        <w:rPr>
          <w:spacing w:val="-2"/>
          <w:sz w:val="28"/>
          <w:szCs w:val="28"/>
        </w:rPr>
        <w:t xml:space="preserve">– </w:t>
      </w:r>
      <w:r w:rsidRPr="00520861">
        <w:rPr>
          <w:rFonts w:eastAsia="Calibri"/>
          <w:color w:val="000000"/>
          <w:spacing w:val="-2"/>
          <w:sz w:val="28"/>
          <w:szCs w:val="28"/>
        </w:rPr>
        <w:t>у 7 (15</w:t>
      </w:r>
      <w:r w:rsidR="00611A5B" w:rsidRPr="00520861">
        <w:rPr>
          <w:rFonts w:eastAsia="Calibri"/>
          <w:color w:val="000000"/>
          <w:spacing w:val="-2"/>
          <w:sz w:val="28"/>
          <w:szCs w:val="28"/>
        </w:rPr>
        <w:t>%</w:t>
      </w:r>
      <w:r w:rsidRPr="00520861">
        <w:rPr>
          <w:rFonts w:eastAsia="Calibri"/>
          <w:color w:val="000000"/>
          <w:spacing w:val="-2"/>
          <w:sz w:val="28"/>
          <w:szCs w:val="28"/>
        </w:rPr>
        <w:t xml:space="preserve">) і </w:t>
      </w:r>
      <w:proofErr w:type="spellStart"/>
      <w:r w:rsidRPr="00520861">
        <w:rPr>
          <w:rFonts w:eastAsia="Calibri"/>
          <w:color w:val="000000"/>
          <w:spacing w:val="-2"/>
          <w:sz w:val="28"/>
          <w:szCs w:val="28"/>
        </w:rPr>
        <w:t>пародонтит</w:t>
      </w:r>
      <w:proofErr w:type="spellEnd"/>
      <w:r w:rsidRPr="00520861">
        <w:rPr>
          <w:rFonts w:eastAsia="Calibri"/>
          <w:color w:val="000000"/>
          <w:spacing w:val="-2"/>
          <w:sz w:val="28"/>
          <w:szCs w:val="28"/>
        </w:rPr>
        <w:t xml:space="preserve"> </w:t>
      </w:r>
      <w:r w:rsidRPr="00520861">
        <w:rPr>
          <w:spacing w:val="-2"/>
          <w:sz w:val="28"/>
          <w:szCs w:val="28"/>
        </w:rPr>
        <w:t>– у</w:t>
      </w:r>
      <w:r w:rsidRPr="00520861">
        <w:rPr>
          <w:rFonts w:eastAsia="Calibri"/>
          <w:color w:val="000000"/>
          <w:spacing w:val="-2"/>
          <w:sz w:val="28"/>
          <w:szCs w:val="28"/>
        </w:rPr>
        <w:t xml:space="preserve"> 19 (40</w:t>
      </w:r>
      <w:r w:rsidR="00611A5B" w:rsidRPr="00520861">
        <w:rPr>
          <w:rFonts w:eastAsia="Calibri"/>
          <w:color w:val="000000"/>
          <w:spacing w:val="-2"/>
          <w:sz w:val="28"/>
          <w:szCs w:val="28"/>
        </w:rPr>
        <w:t>%</w:t>
      </w:r>
      <w:r w:rsidRPr="00520861">
        <w:rPr>
          <w:rFonts w:eastAsia="Calibri"/>
          <w:color w:val="000000"/>
          <w:spacing w:val="-2"/>
          <w:sz w:val="28"/>
          <w:szCs w:val="28"/>
        </w:rPr>
        <w:t>)</w:t>
      </w:r>
      <w:r w:rsidRPr="00520861">
        <w:rPr>
          <w:rFonts w:eastAsia="Calibri"/>
          <w:color w:val="000000"/>
          <w:sz w:val="28"/>
          <w:szCs w:val="28"/>
        </w:rPr>
        <w:t>.</w:t>
      </w:r>
      <w:r w:rsidRPr="00520861">
        <w:rPr>
          <w:rFonts w:eastAsia="Calibri"/>
          <w:sz w:val="28"/>
          <w:szCs w:val="28"/>
          <w:lang w:eastAsia="en-US"/>
        </w:rPr>
        <w:t xml:space="preserve"> </w:t>
      </w:r>
      <w:r w:rsidRPr="00520861">
        <w:rPr>
          <w:rFonts w:eastAsia="Calibri"/>
          <w:color w:val="000000"/>
          <w:sz w:val="28"/>
          <w:szCs w:val="28"/>
        </w:rPr>
        <w:t>У решти (21 особа чи 45</w:t>
      </w:r>
      <w:r w:rsidR="00611A5B" w:rsidRPr="00520861">
        <w:rPr>
          <w:rFonts w:eastAsia="Calibri"/>
          <w:color w:val="000000"/>
          <w:sz w:val="28"/>
          <w:szCs w:val="28"/>
        </w:rPr>
        <w:t>%</w:t>
      </w:r>
      <w:r w:rsidRPr="00520861">
        <w:rPr>
          <w:rFonts w:eastAsia="Calibri"/>
          <w:color w:val="000000"/>
          <w:sz w:val="28"/>
          <w:szCs w:val="28"/>
        </w:rPr>
        <w:t xml:space="preserve">) переважали незапальні деструкції: атрофічні процеси, наявність </w:t>
      </w:r>
      <w:proofErr w:type="spellStart"/>
      <w:r w:rsidRPr="00520861">
        <w:rPr>
          <w:rFonts w:eastAsia="Calibri"/>
          <w:color w:val="000000"/>
          <w:sz w:val="28"/>
          <w:szCs w:val="28"/>
        </w:rPr>
        <w:t>рецесій</w:t>
      </w:r>
      <w:proofErr w:type="spellEnd"/>
      <w:r w:rsidRPr="00520861">
        <w:rPr>
          <w:rFonts w:eastAsia="Calibri"/>
          <w:color w:val="000000"/>
          <w:sz w:val="28"/>
          <w:szCs w:val="28"/>
        </w:rPr>
        <w:t xml:space="preserve">, які супроводжувалися клиноподібними </w:t>
      </w:r>
      <w:r w:rsidRPr="00520861">
        <w:rPr>
          <w:rFonts w:eastAsia="Calibri"/>
          <w:color w:val="000000"/>
          <w:sz w:val="28"/>
          <w:szCs w:val="28"/>
        </w:rPr>
        <w:br/>
        <w:t>дефектами.</w:t>
      </w:r>
    </w:p>
    <w:p w14:paraId="7F316ED1"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 осіб підгрупи 1 та підгрупи 2 були зафіксовані тільки процеси з превалюванням запального компонента (рис. 7.3). </w:t>
      </w:r>
    </w:p>
    <w:p w14:paraId="2675454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Деструктивні процеси з превалюванням дистрофічного компонента (рис.7.4) були виявлені у 21 із 31 особи, що становили загальну кількість осіб підгрупи 3 та підгрупи 4. </w:t>
      </w:r>
    </w:p>
    <w:p w14:paraId="7BEFB0A5"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У ГП 25 (96,2</w:t>
      </w:r>
      <w:r w:rsidR="00611A5B" w:rsidRPr="00520861">
        <w:rPr>
          <w:rFonts w:eastAsia="Calibri"/>
          <w:sz w:val="28"/>
          <w:szCs w:val="28"/>
          <w:lang w:eastAsia="en-US"/>
        </w:rPr>
        <w:t>%</w:t>
      </w:r>
      <w:r w:rsidRPr="00520861">
        <w:rPr>
          <w:rFonts w:eastAsia="Calibri"/>
          <w:sz w:val="28"/>
          <w:szCs w:val="28"/>
          <w:lang w:eastAsia="en-US"/>
        </w:rPr>
        <w:t>; ДІ: 86,8</w:t>
      </w:r>
      <w:r w:rsidR="00611A5B"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99,1</w:t>
      </w:r>
      <w:r w:rsidR="00611A5B" w:rsidRPr="00520861">
        <w:rPr>
          <w:rFonts w:eastAsia="Calibri"/>
          <w:sz w:val="28"/>
          <w:szCs w:val="28"/>
          <w:lang w:eastAsia="en-US"/>
        </w:rPr>
        <w:t>%</w:t>
      </w:r>
      <w:r w:rsidRPr="00520861">
        <w:rPr>
          <w:rFonts w:eastAsia="Calibri"/>
          <w:sz w:val="28"/>
          <w:szCs w:val="28"/>
          <w:lang w:eastAsia="en-US"/>
        </w:rPr>
        <w:t xml:space="preserve">) осіб мали патологію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w:t>
      </w:r>
      <w:r w:rsidRPr="00520861">
        <w:rPr>
          <w:rFonts w:eastAsia="Calibri"/>
          <w:sz w:val="28"/>
          <w:szCs w:val="28"/>
          <w:lang w:eastAsia="en-US"/>
        </w:rPr>
        <w:br/>
        <w:t xml:space="preserve"> гінгівіт </w:t>
      </w:r>
      <w:r w:rsidRPr="00520861">
        <w:rPr>
          <w:sz w:val="28"/>
          <w:szCs w:val="28"/>
        </w:rPr>
        <w:t xml:space="preserve">– </w:t>
      </w:r>
      <w:r w:rsidRPr="00520861">
        <w:rPr>
          <w:rFonts w:eastAsia="Calibri"/>
          <w:sz w:val="28"/>
          <w:szCs w:val="28"/>
          <w:lang w:eastAsia="en-US"/>
        </w:rPr>
        <w:t>7 (28</w:t>
      </w:r>
      <w:r w:rsidR="00611A5B" w:rsidRPr="00520861">
        <w:rPr>
          <w:rFonts w:eastAsia="Calibri"/>
          <w:sz w:val="28"/>
          <w:szCs w:val="28"/>
          <w:lang w:eastAsia="en-US"/>
        </w:rPr>
        <w:t>%</w:t>
      </w:r>
      <w:r w:rsidRPr="00520861">
        <w:rPr>
          <w:rFonts w:eastAsia="Calibri"/>
          <w:sz w:val="28"/>
          <w:szCs w:val="28"/>
          <w:lang w:eastAsia="en-US"/>
        </w:rPr>
        <w:t xml:space="preserve">) осіб і </w:t>
      </w:r>
      <w:proofErr w:type="spellStart"/>
      <w:r w:rsidRPr="00520861">
        <w:rPr>
          <w:rFonts w:eastAsia="Calibri"/>
          <w:sz w:val="28"/>
          <w:szCs w:val="28"/>
          <w:lang w:eastAsia="en-US"/>
        </w:rPr>
        <w:t>пародонтит</w:t>
      </w:r>
      <w:proofErr w:type="spellEnd"/>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15 (60</w:t>
      </w:r>
      <w:r w:rsidR="00611A5B" w:rsidRPr="00520861">
        <w:rPr>
          <w:rFonts w:eastAsia="Calibri"/>
          <w:sz w:val="28"/>
          <w:szCs w:val="28"/>
          <w:lang w:eastAsia="en-US"/>
        </w:rPr>
        <w:t>%</w:t>
      </w:r>
      <w:r w:rsidRPr="00520861">
        <w:rPr>
          <w:rFonts w:eastAsia="Calibri"/>
          <w:sz w:val="28"/>
          <w:szCs w:val="28"/>
          <w:lang w:eastAsia="en-US"/>
        </w:rPr>
        <w:t>) осіб. У 3 (12</w:t>
      </w:r>
      <w:r w:rsidR="00611A5B" w:rsidRPr="00520861">
        <w:rPr>
          <w:rFonts w:eastAsia="Calibri"/>
          <w:sz w:val="28"/>
          <w:szCs w:val="28"/>
          <w:lang w:eastAsia="en-US"/>
        </w:rPr>
        <w:t>%</w:t>
      </w:r>
      <w:r w:rsidRPr="00520861">
        <w:rPr>
          <w:rFonts w:eastAsia="Calibri"/>
          <w:sz w:val="28"/>
          <w:szCs w:val="28"/>
          <w:lang w:eastAsia="en-US"/>
        </w:rPr>
        <w:t xml:space="preserve">) осіб деструкція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перебігала з превалюванням незапального компонента. </w:t>
      </w:r>
    </w:p>
    <w:p w14:paraId="3558B3C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Слід зауважити, що двоє з них народилися з масою тіла 3,8 кг, що на сьогоднішній день не відповідає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 але все ж таки є достатньо великою масою тіла для новонародженої дитини.</w:t>
      </w:r>
    </w:p>
    <w:p w14:paraId="26F6EE6F" w14:textId="77777777" w:rsidR="00180D3E" w:rsidRPr="00520861" w:rsidRDefault="00180D3E" w:rsidP="00292D2E">
      <w:pPr>
        <w:widowControl w:val="0"/>
        <w:spacing w:after="160"/>
        <w:jc w:val="center"/>
        <w:rPr>
          <w:sz w:val="28"/>
          <w:szCs w:val="28"/>
        </w:rPr>
      </w:pPr>
      <w:r w:rsidRPr="00520861">
        <w:rPr>
          <w:noProof/>
          <w:sz w:val="28"/>
          <w:szCs w:val="28"/>
          <w:lang w:val="ru-RU"/>
        </w:rPr>
        <w:drawing>
          <wp:inline distT="0" distB="0" distL="0" distR="0" wp14:anchorId="028264C9" wp14:editId="5F613089">
            <wp:extent cx="4100400" cy="2988000"/>
            <wp:effectExtent l="0" t="0" r="0" b="3175"/>
            <wp:docPr id="121" name="Рисунок 1" descr="IMG_4935 новій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G_4935 новій 1"/>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4100400" cy="2988000"/>
                    </a:xfrm>
                    <a:prstGeom prst="rect">
                      <a:avLst/>
                    </a:prstGeom>
                    <a:noFill/>
                    <a:ln>
                      <a:noFill/>
                    </a:ln>
                  </pic:spPr>
                </pic:pic>
              </a:graphicData>
            </a:graphic>
          </wp:inline>
        </w:drawing>
      </w:r>
    </w:p>
    <w:p w14:paraId="6A25D0D1" w14:textId="77777777" w:rsidR="00180D3E" w:rsidRPr="00520861" w:rsidRDefault="00180D3E" w:rsidP="00292D2E">
      <w:pPr>
        <w:widowControl w:val="0"/>
        <w:spacing w:line="360" w:lineRule="auto"/>
        <w:ind w:firstLine="720"/>
        <w:jc w:val="center"/>
        <w:rPr>
          <w:rFonts w:eastAsia="Calibri"/>
          <w:sz w:val="28"/>
          <w:szCs w:val="28"/>
        </w:rPr>
      </w:pPr>
      <w:r w:rsidRPr="00520861">
        <w:rPr>
          <w:sz w:val="28"/>
          <w:szCs w:val="28"/>
        </w:rPr>
        <w:t>Рис. 7.3.</w:t>
      </w:r>
      <w:r w:rsidRPr="00520861">
        <w:rPr>
          <w:rFonts w:eastAsia="Calibri"/>
          <w:color w:val="000000"/>
          <w:sz w:val="28"/>
          <w:szCs w:val="28"/>
        </w:rPr>
        <w:t xml:space="preserve"> </w:t>
      </w:r>
      <w:r w:rsidRPr="00520861">
        <w:rPr>
          <w:sz w:val="28"/>
          <w:szCs w:val="28"/>
        </w:rPr>
        <w:t xml:space="preserve">Фото фронтальної ділянки верхньої та нижньої щелеп пацієнта Т., 36 років, амб. карта № 183044, </w:t>
      </w:r>
      <w:r w:rsidRPr="00520861">
        <w:rPr>
          <w:rFonts w:eastAsia="Calibri"/>
          <w:sz w:val="28"/>
          <w:szCs w:val="28"/>
        </w:rPr>
        <w:t>підгрупа 1</w:t>
      </w:r>
      <w:r w:rsidRPr="00520861">
        <w:rPr>
          <w:sz w:val="28"/>
          <w:szCs w:val="28"/>
        </w:rPr>
        <w:t>.</w:t>
      </w:r>
      <w:r w:rsidRPr="00520861">
        <w:rPr>
          <w:rFonts w:eastAsia="Calibri"/>
          <w:sz w:val="28"/>
          <w:szCs w:val="28"/>
        </w:rPr>
        <w:t xml:space="preserve"> Товстий фенотип тканин </w:t>
      </w:r>
      <w:proofErr w:type="spellStart"/>
      <w:r w:rsidRPr="00520861">
        <w:rPr>
          <w:rFonts w:eastAsia="Calibri"/>
          <w:sz w:val="28"/>
          <w:szCs w:val="28"/>
        </w:rPr>
        <w:t>пародонта</w:t>
      </w:r>
      <w:proofErr w:type="spellEnd"/>
      <w:r w:rsidRPr="00520861">
        <w:rPr>
          <w:rFonts w:eastAsia="Calibri"/>
          <w:sz w:val="28"/>
          <w:szCs w:val="28"/>
        </w:rPr>
        <w:t xml:space="preserve">. Зміни в тканинах </w:t>
      </w:r>
      <w:proofErr w:type="spellStart"/>
      <w:r w:rsidRPr="00520861">
        <w:rPr>
          <w:rFonts w:eastAsia="Calibri"/>
          <w:sz w:val="28"/>
          <w:szCs w:val="28"/>
        </w:rPr>
        <w:t>пародонта</w:t>
      </w:r>
      <w:proofErr w:type="spellEnd"/>
      <w:r w:rsidRPr="00520861">
        <w:rPr>
          <w:rFonts w:eastAsia="Calibri"/>
          <w:sz w:val="28"/>
          <w:szCs w:val="28"/>
        </w:rPr>
        <w:t xml:space="preserve"> з превалюванням запального компонента. </w:t>
      </w:r>
    </w:p>
    <w:p w14:paraId="47C8E07B" w14:textId="77777777" w:rsidR="00180D3E" w:rsidRPr="00520861" w:rsidRDefault="00180D3E" w:rsidP="00292D2E">
      <w:pPr>
        <w:widowControl w:val="0"/>
        <w:spacing w:line="360" w:lineRule="auto"/>
        <w:jc w:val="both"/>
        <w:rPr>
          <w:rFonts w:eastAsia="Calibri"/>
          <w:sz w:val="28"/>
          <w:szCs w:val="28"/>
        </w:rPr>
      </w:pPr>
    </w:p>
    <w:p w14:paraId="0058A082" w14:textId="77777777" w:rsidR="00180D3E" w:rsidRPr="00520861" w:rsidRDefault="00180D3E" w:rsidP="00292D2E">
      <w:pPr>
        <w:widowControl w:val="0"/>
        <w:spacing w:line="360" w:lineRule="auto"/>
        <w:contextualSpacing/>
        <w:jc w:val="center"/>
        <w:rPr>
          <w:rFonts w:eastAsia="Calibri"/>
          <w:sz w:val="28"/>
          <w:szCs w:val="28"/>
          <w:lang w:eastAsia="en-US"/>
        </w:rPr>
      </w:pPr>
      <w:r w:rsidRPr="00520861">
        <w:rPr>
          <w:rFonts w:eastAsia="Calibri"/>
          <w:noProof/>
          <w:sz w:val="28"/>
          <w:szCs w:val="28"/>
          <w:lang w:val="ru-RU"/>
        </w:rPr>
        <w:drawing>
          <wp:inline distT="0" distB="0" distL="0" distR="0" wp14:anchorId="2E8FD67C" wp14:editId="5F240DF0">
            <wp:extent cx="4089600" cy="2988000"/>
            <wp:effectExtent l="0" t="0" r="6350" b="3175"/>
            <wp:docPr id="122" name="Рисунок 2" descr="IMG_6389   нов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IMG_6389   новий"/>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4089600" cy="2988000"/>
                    </a:xfrm>
                    <a:prstGeom prst="rect">
                      <a:avLst/>
                    </a:prstGeom>
                    <a:noFill/>
                    <a:ln>
                      <a:noFill/>
                    </a:ln>
                  </pic:spPr>
                </pic:pic>
              </a:graphicData>
            </a:graphic>
          </wp:inline>
        </w:drawing>
      </w:r>
    </w:p>
    <w:p w14:paraId="63125C30" w14:textId="77777777" w:rsidR="00180D3E" w:rsidRPr="00520861" w:rsidRDefault="00180D3E" w:rsidP="00292D2E">
      <w:pPr>
        <w:widowControl w:val="0"/>
        <w:spacing w:line="360" w:lineRule="auto"/>
        <w:ind w:firstLine="708"/>
        <w:jc w:val="center"/>
        <w:rPr>
          <w:sz w:val="28"/>
          <w:szCs w:val="28"/>
        </w:rPr>
      </w:pPr>
      <w:r w:rsidRPr="00520861">
        <w:rPr>
          <w:sz w:val="28"/>
          <w:szCs w:val="28"/>
        </w:rPr>
        <w:t xml:space="preserve">Рис. 7.4. </w:t>
      </w:r>
      <w:r w:rsidRPr="00520861">
        <w:rPr>
          <w:bCs/>
          <w:iCs/>
          <w:sz w:val="28"/>
          <w:szCs w:val="28"/>
        </w:rPr>
        <w:t>Фото</w:t>
      </w:r>
      <w:r w:rsidRPr="00520861">
        <w:rPr>
          <w:sz w:val="28"/>
          <w:szCs w:val="28"/>
        </w:rPr>
        <w:t xml:space="preserve"> </w:t>
      </w:r>
      <w:r w:rsidRPr="00520861">
        <w:rPr>
          <w:bCs/>
          <w:iCs/>
          <w:sz w:val="28"/>
          <w:szCs w:val="28"/>
        </w:rPr>
        <w:t>фронтальної ділянки</w:t>
      </w:r>
      <w:r w:rsidRPr="00520861">
        <w:rPr>
          <w:sz w:val="28"/>
          <w:szCs w:val="28"/>
        </w:rPr>
        <w:t xml:space="preserve"> порожнини рота пацієнта Ш., 44 роки, амб. карта № 190715, підгрупа 4</w:t>
      </w:r>
      <w:r w:rsidRPr="00520861">
        <w:rPr>
          <w:rFonts w:eastAsia="Calibri"/>
          <w:sz w:val="28"/>
          <w:szCs w:val="28"/>
        </w:rPr>
        <w:t xml:space="preserve">. </w:t>
      </w:r>
      <w:r w:rsidRPr="00520861">
        <w:rPr>
          <w:sz w:val="28"/>
          <w:szCs w:val="28"/>
        </w:rPr>
        <w:t xml:space="preserve">На фоні «тонкого» біотипу тканин </w:t>
      </w:r>
      <w:proofErr w:type="spellStart"/>
      <w:r w:rsidRPr="00520861">
        <w:rPr>
          <w:sz w:val="28"/>
          <w:szCs w:val="28"/>
        </w:rPr>
        <w:t>пародонта</w:t>
      </w:r>
      <w:proofErr w:type="spellEnd"/>
      <w:r w:rsidRPr="00520861">
        <w:rPr>
          <w:sz w:val="28"/>
          <w:szCs w:val="28"/>
        </w:rPr>
        <w:t xml:space="preserve"> виражені </w:t>
      </w:r>
      <w:proofErr w:type="spellStart"/>
      <w:r w:rsidRPr="00520861">
        <w:rPr>
          <w:sz w:val="28"/>
          <w:szCs w:val="28"/>
        </w:rPr>
        <w:t>генералізовані</w:t>
      </w:r>
      <w:proofErr w:type="spellEnd"/>
      <w:r w:rsidRPr="00520861">
        <w:rPr>
          <w:sz w:val="28"/>
          <w:szCs w:val="28"/>
        </w:rPr>
        <w:t xml:space="preserve"> зміни з превалюванням дистрофічного компонента, рецесія </w:t>
      </w:r>
      <w:r w:rsidRPr="00520861">
        <w:rPr>
          <w:sz w:val="28"/>
          <w:szCs w:val="28"/>
        </w:rPr>
        <w:lastRenderedPageBreak/>
        <w:t xml:space="preserve">ясен. Мінералізовані </w:t>
      </w:r>
      <w:proofErr w:type="spellStart"/>
      <w:r w:rsidRPr="00520861">
        <w:rPr>
          <w:sz w:val="28"/>
          <w:szCs w:val="28"/>
        </w:rPr>
        <w:t>над’ясенні</w:t>
      </w:r>
      <w:proofErr w:type="spellEnd"/>
      <w:r w:rsidRPr="00520861">
        <w:rPr>
          <w:sz w:val="28"/>
          <w:szCs w:val="28"/>
        </w:rPr>
        <w:t xml:space="preserve"> зубні відкладення на 31 та 41 зубах. Клиноподібні дефекти 13, 23, 24, 25, 34, 35, 36, 44, та 45 зубів. </w:t>
      </w:r>
      <w:proofErr w:type="spellStart"/>
      <w:r w:rsidRPr="00520861">
        <w:rPr>
          <w:sz w:val="28"/>
          <w:szCs w:val="28"/>
        </w:rPr>
        <w:t>треми</w:t>
      </w:r>
      <w:proofErr w:type="spellEnd"/>
      <w:r w:rsidRPr="00520861">
        <w:rPr>
          <w:sz w:val="28"/>
          <w:szCs w:val="28"/>
        </w:rPr>
        <w:t xml:space="preserve"> нижнього зубного ряду. </w:t>
      </w:r>
    </w:p>
    <w:p w14:paraId="526789C9" w14:textId="77777777" w:rsidR="00180D3E" w:rsidRPr="00520861" w:rsidRDefault="00180D3E" w:rsidP="00292D2E">
      <w:pPr>
        <w:widowControl w:val="0"/>
        <w:spacing w:line="360" w:lineRule="auto"/>
        <w:ind w:firstLine="708"/>
        <w:jc w:val="center"/>
        <w:rPr>
          <w:sz w:val="28"/>
          <w:szCs w:val="28"/>
        </w:rPr>
      </w:pPr>
      <w:r w:rsidRPr="00520861">
        <w:rPr>
          <w:sz w:val="28"/>
          <w:szCs w:val="28"/>
        </w:rPr>
        <w:t xml:space="preserve">Вторинна </w:t>
      </w:r>
      <w:proofErr w:type="spellStart"/>
      <w:r w:rsidRPr="00520861">
        <w:rPr>
          <w:sz w:val="28"/>
          <w:szCs w:val="28"/>
        </w:rPr>
        <w:t>адентія</w:t>
      </w:r>
      <w:proofErr w:type="spellEnd"/>
      <w:r w:rsidRPr="00520861">
        <w:rPr>
          <w:sz w:val="28"/>
          <w:szCs w:val="28"/>
        </w:rPr>
        <w:t xml:space="preserve"> зуба 43.</w:t>
      </w:r>
    </w:p>
    <w:p w14:paraId="691DBEE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color w:val="000000"/>
          <w:sz w:val="28"/>
          <w:szCs w:val="28"/>
        </w:rPr>
        <w:t xml:space="preserve">Особи ОГ в ВП-VIII мали захворювання тканин </w:t>
      </w:r>
      <w:proofErr w:type="spellStart"/>
      <w:r w:rsidRPr="00520861">
        <w:rPr>
          <w:rFonts w:eastAsia="Calibri"/>
          <w:color w:val="000000"/>
          <w:sz w:val="28"/>
          <w:szCs w:val="28"/>
        </w:rPr>
        <w:t>пародонта</w:t>
      </w:r>
      <w:proofErr w:type="spellEnd"/>
      <w:r w:rsidRPr="00520861">
        <w:rPr>
          <w:rFonts w:eastAsia="Calibri"/>
          <w:color w:val="000000"/>
          <w:sz w:val="28"/>
          <w:szCs w:val="28"/>
        </w:rPr>
        <w:t xml:space="preserve"> в 100</w:t>
      </w:r>
      <w:r w:rsidR="00611A5B" w:rsidRPr="00520861">
        <w:rPr>
          <w:rFonts w:eastAsia="Calibri"/>
          <w:color w:val="000000"/>
          <w:sz w:val="28"/>
          <w:szCs w:val="28"/>
          <w:lang w:val="ru-RU"/>
        </w:rPr>
        <w:t>%</w:t>
      </w:r>
      <w:r w:rsidRPr="00520861">
        <w:rPr>
          <w:rFonts w:eastAsia="Calibri"/>
          <w:color w:val="000000"/>
          <w:sz w:val="28"/>
          <w:szCs w:val="28"/>
        </w:rPr>
        <w:t xml:space="preserve"> випадків (табл. 7.3). Усі особи із підгрупи 1 та підгрупи 2 мали переважно запальні зміни в пародонті</w:t>
      </w:r>
      <w:r w:rsidRPr="00520861">
        <w:rPr>
          <w:rFonts w:eastAsia="Calibri"/>
          <w:sz w:val="28"/>
          <w:szCs w:val="28"/>
          <w:lang w:eastAsia="en-US"/>
        </w:rPr>
        <w:t xml:space="preserve">, </w:t>
      </w:r>
      <w:r w:rsidRPr="00520861">
        <w:rPr>
          <w:rFonts w:eastAsia="Calibri"/>
          <w:color w:val="000000"/>
          <w:sz w:val="28"/>
          <w:szCs w:val="28"/>
        </w:rPr>
        <w:t xml:space="preserve">які супроводжувалися кровоточивістю та набряком ясен, наявністю </w:t>
      </w:r>
      <w:proofErr w:type="spellStart"/>
      <w:r w:rsidRPr="00520861">
        <w:rPr>
          <w:rFonts w:eastAsia="Calibri"/>
          <w:color w:val="000000"/>
          <w:sz w:val="28"/>
          <w:szCs w:val="28"/>
        </w:rPr>
        <w:t>пародонтальних</w:t>
      </w:r>
      <w:proofErr w:type="spellEnd"/>
      <w:r w:rsidRPr="00520861">
        <w:rPr>
          <w:rFonts w:eastAsia="Calibri"/>
          <w:color w:val="000000"/>
          <w:sz w:val="28"/>
          <w:szCs w:val="28"/>
        </w:rPr>
        <w:t xml:space="preserve"> кишень. </w:t>
      </w:r>
    </w:p>
    <w:p w14:paraId="3531B0C9" w14:textId="77777777" w:rsidR="00180D3E" w:rsidRPr="00520861" w:rsidRDefault="00180D3E" w:rsidP="00292D2E">
      <w:pPr>
        <w:widowControl w:val="0"/>
        <w:pBdr>
          <w:top w:val="nil"/>
          <w:left w:val="nil"/>
          <w:bottom w:val="nil"/>
          <w:right w:val="nil"/>
          <w:between w:val="nil"/>
        </w:pBdr>
        <w:spacing w:line="360" w:lineRule="auto"/>
        <w:ind w:firstLine="708"/>
        <w:jc w:val="both"/>
        <w:rPr>
          <w:rFonts w:eastAsia="Calibri"/>
          <w:spacing w:val="-2"/>
          <w:sz w:val="28"/>
          <w:szCs w:val="28"/>
          <w:lang w:eastAsia="en-US"/>
        </w:rPr>
      </w:pPr>
      <w:r w:rsidRPr="00520861">
        <w:rPr>
          <w:rFonts w:eastAsia="Calibri"/>
          <w:color w:val="000000"/>
          <w:spacing w:val="-2"/>
          <w:sz w:val="28"/>
          <w:szCs w:val="28"/>
        </w:rPr>
        <w:t xml:space="preserve">У 13 із 18 осіб, що складали загальну кількість учасників у підгрупі 3 та </w:t>
      </w:r>
      <w:r w:rsidRPr="00520861">
        <w:rPr>
          <w:spacing w:val="-6"/>
          <w:sz w:val="28"/>
          <w:szCs w:val="28"/>
        </w:rPr>
        <w:t xml:space="preserve">підгрупі </w:t>
      </w:r>
      <w:r w:rsidRPr="00520861">
        <w:rPr>
          <w:rFonts w:eastAsia="Calibri"/>
          <w:color w:val="000000"/>
          <w:spacing w:val="-2"/>
          <w:sz w:val="28"/>
          <w:szCs w:val="28"/>
        </w:rPr>
        <w:t xml:space="preserve">4, була виявлена деструкція тканин </w:t>
      </w:r>
      <w:proofErr w:type="spellStart"/>
      <w:r w:rsidRPr="00520861">
        <w:rPr>
          <w:rFonts w:eastAsia="Calibri"/>
          <w:color w:val="000000"/>
          <w:spacing w:val="-2"/>
          <w:sz w:val="28"/>
          <w:szCs w:val="28"/>
        </w:rPr>
        <w:t>пародонта</w:t>
      </w:r>
      <w:proofErr w:type="spellEnd"/>
      <w:r w:rsidRPr="00520861">
        <w:rPr>
          <w:rFonts w:eastAsia="Calibri"/>
          <w:color w:val="000000"/>
          <w:spacing w:val="-2"/>
          <w:sz w:val="28"/>
          <w:szCs w:val="28"/>
        </w:rPr>
        <w:t xml:space="preserve"> з переважанням незапального </w:t>
      </w:r>
      <w:proofErr w:type="spellStart"/>
      <w:r w:rsidRPr="00520861">
        <w:rPr>
          <w:rFonts w:eastAsia="Calibri"/>
          <w:color w:val="000000"/>
          <w:spacing w:val="-2"/>
          <w:sz w:val="28"/>
          <w:szCs w:val="28"/>
        </w:rPr>
        <w:t>компо-нента</w:t>
      </w:r>
      <w:proofErr w:type="spellEnd"/>
      <w:r w:rsidRPr="00520861">
        <w:rPr>
          <w:rFonts w:eastAsia="Calibri"/>
          <w:color w:val="000000"/>
          <w:spacing w:val="-2"/>
          <w:sz w:val="28"/>
          <w:szCs w:val="28"/>
        </w:rPr>
        <w:t xml:space="preserve"> (пародонтоз), яка супроводжувалася атрофією альвеолярного відростка та рецесією ясен, оціненою як 1 чи 2 клас.</w:t>
      </w:r>
      <w:r w:rsidRPr="00520861">
        <w:rPr>
          <w:rFonts w:eastAsia="Calibri"/>
          <w:spacing w:val="-2"/>
          <w:sz w:val="28"/>
          <w:szCs w:val="28"/>
          <w:lang w:eastAsia="en-US"/>
        </w:rPr>
        <w:t xml:space="preserve"> Також була зафіксована наявність клиноподібних дефектів. </w:t>
      </w:r>
      <w:r w:rsidRPr="00520861">
        <w:rPr>
          <w:rFonts w:eastAsia="Calibri"/>
          <w:spacing w:val="-6"/>
          <w:sz w:val="28"/>
          <w:szCs w:val="28"/>
          <w:lang w:eastAsia="en-US"/>
        </w:rPr>
        <w:t>У ГП патологічні процеси в пародонті встановлені у 11 (91,7</w:t>
      </w:r>
      <w:r w:rsidR="00611A5B" w:rsidRPr="00520861">
        <w:rPr>
          <w:rFonts w:eastAsia="Calibri"/>
          <w:spacing w:val="-6"/>
          <w:sz w:val="28"/>
          <w:szCs w:val="28"/>
          <w:lang w:eastAsia="en-US"/>
        </w:rPr>
        <w:t>%</w:t>
      </w:r>
      <w:r w:rsidRPr="00520861">
        <w:rPr>
          <w:rFonts w:eastAsia="Calibri"/>
          <w:spacing w:val="-6"/>
          <w:sz w:val="28"/>
          <w:szCs w:val="28"/>
          <w:lang w:eastAsia="en-US"/>
        </w:rPr>
        <w:t>; ДІ: 73,5</w:t>
      </w:r>
      <w:r w:rsidR="00611A5B" w:rsidRPr="00520861">
        <w:rPr>
          <w:rFonts w:eastAsia="Calibri"/>
          <w:spacing w:val="-6"/>
          <w:sz w:val="28"/>
          <w:szCs w:val="28"/>
          <w:lang w:eastAsia="en-US"/>
        </w:rPr>
        <w:t>%</w:t>
      </w:r>
      <w:r w:rsidRPr="00520861">
        <w:rPr>
          <w:rFonts w:eastAsia="Calibri"/>
          <w:spacing w:val="-6"/>
          <w:sz w:val="28"/>
          <w:szCs w:val="28"/>
          <w:lang w:eastAsia="en-US"/>
        </w:rPr>
        <w:t xml:space="preserve"> </w:t>
      </w:r>
      <w:r w:rsidRPr="00520861">
        <w:rPr>
          <w:spacing w:val="-6"/>
          <w:sz w:val="28"/>
          <w:szCs w:val="28"/>
        </w:rPr>
        <w:t>–</w:t>
      </w:r>
      <w:r w:rsidRPr="00520861">
        <w:rPr>
          <w:rFonts w:eastAsia="Calibri"/>
          <w:spacing w:val="-6"/>
          <w:sz w:val="28"/>
          <w:szCs w:val="28"/>
          <w:lang w:eastAsia="en-US"/>
        </w:rPr>
        <w:t xml:space="preserve"> 97,9</w:t>
      </w:r>
      <w:r w:rsidR="00611A5B" w:rsidRPr="00520861">
        <w:rPr>
          <w:rFonts w:eastAsia="Calibri"/>
          <w:spacing w:val="-6"/>
          <w:sz w:val="28"/>
          <w:szCs w:val="28"/>
          <w:lang w:eastAsia="en-US"/>
        </w:rPr>
        <w:t>%</w:t>
      </w:r>
      <w:r w:rsidRPr="00520861">
        <w:rPr>
          <w:rFonts w:eastAsia="Calibri"/>
          <w:spacing w:val="-6"/>
          <w:sz w:val="28"/>
          <w:szCs w:val="28"/>
          <w:lang w:eastAsia="en-US"/>
        </w:rPr>
        <w:t xml:space="preserve">) осіб: гінгівіт </w:t>
      </w:r>
      <w:r w:rsidRPr="00520861">
        <w:rPr>
          <w:spacing w:val="-6"/>
          <w:sz w:val="28"/>
          <w:szCs w:val="28"/>
        </w:rPr>
        <w:t xml:space="preserve">– у </w:t>
      </w:r>
      <w:r w:rsidRPr="00520861">
        <w:rPr>
          <w:rFonts w:eastAsia="Calibri"/>
          <w:spacing w:val="-6"/>
          <w:sz w:val="28"/>
          <w:szCs w:val="28"/>
          <w:lang w:eastAsia="en-US"/>
        </w:rPr>
        <w:t>1 (9</w:t>
      </w:r>
      <w:r w:rsidR="00611A5B" w:rsidRPr="00520861">
        <w:rPr>
          <w:rFonts w:eastAsia="Calibri"/>
          <w:spacing w:val="-6"/>
          <w:sz w:val="28"/>
          <w:szCs w:val="28"/>
          <w:lang w:eastAsia="en-US"/>
        </w:rPr>
        <w:t>%</w:t>
      </w:r>
      <w:r w:rsidRPr="00520861">
        <w:rPr>
          <w:rFonts w:eastAsia="Calibri"/>
          <w:spacing w:val="-6"/>
          <w:sz w:val="28"/>
          <w:szCs w:val="28"/>
          <w:lang w:eastAsia="en-US"/>
        </w:rPr>
        <w:t xml:space="preserve">) особи, </w:t>
      </w:r>
      <w:proofErr w:type="spellStart"/>
      <w:r w:rsidRPr="00520861">
        <w:rPr>
          <w:rFonts w:eastAsia="Calibri"/>
          <w:spacing w:val="-6"/>
          <w:sz w:val="28"/>
          <w:szCs w:val="28"/>
          <w:lang w:eastAsia="en-US"/>
        </w:rPr>
        <w:t>генералізований</w:t>
      </w:r>
      <w:proofErr w:type="spellEnd"/>
      <w:r w:rsidRPr="00520861">
        <w:rPr>
          <w:rFonts w:eastAsia="Calibri"/>
          <w:spacing w:val="-6"/>
          <w:sz w:val="28"/>
          <w:szCs w:val="28"/>
          <w:lang w:eastAsia="en-US"/>
        </w:rPr>
        <w:t xml:space="preserve"> </w:t>
      </w:r>
      <w:proofErr w:type="spellStart"/>
      <w:r w:rsidRPr="00520861">
        <w:rPr>
          <w:rFonts w:eastAsia="Calibri"/>
          <w:spacing w:val="-6"/>
          <w:sz w:val="28"/>
          <w:szCs w:val="28"/>
          <w:lang w:eastAsia="en-US"/>
        </w:rPr>
        <w:t>пародонтит</w:t>
      </w:r>
      <w:proofErr w:type="spellEnd"/>
      <w:r w:rsidRPr="00520861">
        <w:rPr>
          <w:rFonts w:eastAsia="Calibri"/>
          <w:spacing w:val="-6"/>
          <w:sz w:val="28"/>
          <w:szCs w:val="28"/>
          <w:lang w:eastAsia="en-US"/>
        </w:rPr>
        <w:t xml:space="preserve"> 1 – 3 ступеня тяжкості </w:t>
      </w:r>
      <w:r w:rsidRPr="00520861">
        <w:rPr>
          <w:spacing w:val="-6"/>
          <w:sz w:val="28"/>
          <w:szCs w:val="28"/>
        </w:rPr>
        <w:t xml:space="preserve">– у </w:t>
      </w:r>
      <w:r w:rsidRPr="00520861">
        <w:rPr>
          <w:rFonts w:eastAsia="Calibri"/>
          <w:spacing w:val="-6"/>
          <w:sz w:val="28"/>
          <w:szCs w:val="28"/>
          <w:lang w:eastAsia="en-US"/>
        </w:rPr>
        <w:t>8 (73</w:t>
      </w:r>
      <w:r w:rsidR="00611A5B" w:rsidRPr="00520861">
        <w:rPr>
          <w:rFonts w:eastAsia="Calibri"/>
          <w:spacing w:val="-6"/>
          <w:sz w:val="28"/>
          <w:szCs w:val="28"/>
          <w:lang w:eastAsia="en-US"/>
        </w:rPr>
        <w:t>%</w:t>
      </w:r>
      <w:r w:rsidRPr="00520861">
        <w:rPr>
          <w:rFonts w:eastAsia="Calibri"/>
          <w:spacing w:val="-6"/>
          <w:sz w:val="28"/>
          <w:szCs w:val="28"/>
          <w:lang w:eastAsia="en-US"/>
        </w:rPr>
        <w:t>) осіб та</w:t>
      </w:r>
      <w:r w:rsidRPr="00520861">
        <w:rPr>
          <w:rFonts w:eastAsia="Calibri"/>
          <w:color w:val="000000"/>
          <w:spacing w:val="-6"/>
          <w:sz w:val="28"/>
          <w:szCs w:val="28"/>
        </w:rPr>
        <w:t xml:space="preserve"> </w:t>
      </w:r>
      <w:r w:rsidRPr="00520861">
        <w:rPr>
          <w:rFonts w:eastAsia="Calibri"/>
          <w:spacing w:val="-6"/>
          <w:sz w:val="28"/>
          <w:szCs w:val="28"/>
          <w:lang w:eastAsia="en-US"/>
        </w:rPr>
        <w:t xml:space="preserve">деструкція з домінуванням незапального компонента </w:t>
      </w:r>
      <w:r w:rsidRPr="00520861">
        <w:rPr>
          <w:spacing w:val="-6"/>
          <w:sz w:val="28"/>
          <w:szCs w:val="28"/>
        </w:rPr>
        <w:t>–</w:t>
      </w:r>
      <w:r w:rsidRPr="00520861">
        <w:rPr>
          <w:rFonts w:eastAsia="Calibri"/>
          <w:spacing w:val="-6"/>
          <w:sz w:val="28"/>
          <w:szCs w:val="28"/>
          <w:lang w:eastAsia="en-US"/>
        </w:rPr>
        <w:t xml:space="preserve"> у 2 (18</w:t>
      </w:r>
      <w:r w:rsidR="00611A5B" w:rsidRPr="00520861">
        <w:rPr>
          <w:rFonts w:eastAsia="Calibri"/>
          <w:spacing w:val="-6"/>
          <w:sz w:val="28"/>
          <w:szCs w:val="28"/>
          <w:lang w:eastAsia="en-US"/>
        </w:rPr>
        <w:t>%</w:t>
      </w:r>
      <w:r w:rsidRPr="00520861">
        <w:rPr>
          <w:rFonts w:eastAsia="Calibri"/>
          <w:spacing w:val="-6"/>
          <w:sz w:val="28"/>
          <w:szCs w:val="28"/>
          <w:lang w:eastAsia="en-US"/>
        </w:rPr>
        <w:t xml:space="preserve">) осіб. </w:t>
      </w:r>
    </w:p>
    <w:p w14:paraId="4E57D514" w14:textId="77777777" w:rsidR="00180D3E" w:rsidRPr="00520861" w:rsidRDefault="00180D3E" w:rsidP="00292D2E">
      <w:pPr>
        <w:widowControl w:val="0"/>
        <w:pBdr>
          <w:top w:val="nil"/>
          <w:left w:val="nil"/>
          <w:bottom w:val="nil"/>
          <w:right w:val="nil"/>
          <w:between w:val="nil"/>
        </w:pBdr>
        <w:autoSpaceDE w:val="0"/>
        <w:autoSpaceDN w:val="0"/>
        <w:adjustRightInd w:val="0"/>
        <w:spacing w:line="360" w:lineRule="auto"/>
        <w:ind w:firstLine="708"/>
        <w:jc w:val="both"/>
        <w:rPr>
          <w:rFonts w:eastAsia="Calibri"/>
          <w:spacing w:val="-2"/>
          <w:sz w:val="28"/>
          <w:szCs w:val="28"/>
          <w:lang w:eastAsia="en-US"/>
        </w:rPr>
      </w:pPr>
      <w:r w:rsidRPr="00520861">
        <w:rPr>
          <w:rFonts w:eastAsia="Calibri"/>
          <w:spacing w:val="-2"/>
          <w:sz w:val="28"/>
          <w:szCs w:val="28"/>
          <w:lang w:eastAsia="en-US"/>
        </w:rPr>
        <w:t xml:space="preserve">Із метою підтвердження одержаних вище результатів вибірково були якісно і </w:t>
      </w:r>
      <w:r w:rsidRPr="00520861">
        <w:rPr>
          <w:rFonts w:eastAsia="Calibri"/>
          <w:spacing w:val="-2"/>
          <w:sz w:val="28"/>
          <w:szCs w:val="28"/>
          <w:lang w:eastAsia="en-US"/>
        </w:rPr>
        <w:br/>
        <w:t xml:space="preserve">кількісно оцінені </w:t>
      </w:r>
      <w:proofErr w:type="spellStart"/>
      <w:r w:rsidRPr="00520861">
        <w:rPr>
          <w:rFonts w:eastAsia="Calibri"/>
          <w:spacing w:val="-2"/>
          <w:sz w:val="28"/>
          <w:szCs w:val="28"/>
          <w:lang w:eastAsia="en-US"/>
        </w:rPr>
        <w:t>ортопантомограми</w:t>
      </w:r>
      <w:proofErr w:type="spellEnd"/>
      <w:r w:rsidRPr="00520861">
        <w:rPr>
          <w:rFonts w:eastAsia="Calibri"/>
          <w:spacing w:val="-2"/>
          <w:sz w:val="28"/>
          <w:szCs w:val="28"/>
          <w:lang w:eastAsia="en-US"/>
        </w:rPr>
        <w:t xml:space="preserve"> учасників дослідження. Кількість оцінених ОПТГ та осереднені значення індексів демонструє табл. 7.4. </w:t>
      </w:r>
    </w:p>
    <w:p w14:paraId="1A9633BD" w14:textId="77777777" w:rsidR="00180D3E" w:rsidRPr="00520861" w:rsidRDefault="00180D3E" w:rsidP="00292D2E">
      <w:pPr>
        <w:widowControl w:val="0"/>
        <w:pBdr>
          <w:top w:val="nil"/>
          <w:left w:val="nil"/>
          <w:bottom w:val="nil"/>
          <w:right w:val="nil"/>
          <w:between w:val="nil"/>
        </w:pBdr>
        <w:autoSpaceDE w:val="0"/>
        <w:autoSpaceDN w:val="0"/>
        <w:adjustRightInd w:val="0"/>
        <w:spacing w:line="360" w:lineRule="auto"/>
        <w:ind w:firstLine="708"/>
        <w:jc w:val="both"/>
        <w:rPr>
          <w:rFonts w:eastAsia="Calibri"/>
          <w:spacing w:val="-2"/>
          <w:sz w:val="28"/>
          <w:szCs w:val="28"/>
          <w:lang w:eastAsia="en-US"/>
        </w:rPr>
      </w:pPr>
      <w:r w:rsidRPr="00520861">
        <w:rPr>
          <w:rFonts w:eastAsia="Calibri"/>
          <w:color w:val="000000"/>
          <w:spacing w:val="-2"/>
          <w:sz w:val="28"/>
          <w:szCs w:val="28"/>
        </w:rPr>
        <w:t>Результати візуального сортування знімків повністю підтвердили дані, одержані під час клінічного дослідження.</w:t>
      </w:r>
      <w:r w:rsidRPr="00520861">
        <w:rPr>
          <w:rFonts w:eastAsia="Calibri"/>
          <w:spacing w:val="-2"/>
          <w:sz w:val="28"/>
          <w:szCs w:val="28"/>
          <w:lang w:eastAsia="en-US"/>
        </w:rPr>
        <w:t xml:space="preserve"> </w:t>
      </w:r>
      <w:r w:rsidRPr="00520861">
        <w:rPr>
          <w:rFonts w:eastAsia="Calibri"/>
          <w:color w:val="000000"/>
          <w:sz w:val="28"/>
          <w:szCs w:val="28"/>
        </w:rPr>
        <w:t xml:space="preserve">Виявлено, що в осіб підгрупи 1 та підгрупи 2 є </w:t>
      </w:r>
      <w:r w:rsidRPr="00520861">
        <w:rPr>
          <w:rFonts w:eastAsia="Calibri"/>
          <w:color w:val="000000"/>
          <w:sz w:val="28"/>
          <w:szCs w:val="28"/>
        </w:rPr>
        <w:br/>
        <w:t xml:space="preserve">рентгенологічні ознаки запальної деструкції, а в осіб підгруп 3 та 4 превалюють ознаки, які свідчать про незапальні деструктивні процеси в кістковій тканині щелеп. </w:t>
      </w:r>
    </w:p>
    <w:p w14:paraId="0F4B9A7A" w14:textId="77777777" w:rsidR="00180D3E" w:rsidRPr="00520861" w:rsidRDefault="00180D3E" w:rsidP="00292D2E">
      <w:pPr>
        <w:widowControl w:val="0"/>
        <w:spacing w:line="360" w:lineRule="auto"/>
        <w:ind w:right="141" w:firstLine="708"/>
        <w:jc w:val="both"/>
        <w:rPr>
          <w:rFonts w:eastAsia="Calibri"/>
          <w:sz w:val="28"/>
          <w:szCs w:val="28"/>
          <w:lang w:eastAsia="en-US"/>
        </w:rPr>
      </w:pPr>
      <w:r w:rsidRPr="00520861">
        <w:rPr>
          <w:rFonts w:eastAsia="Calibri"/>
          <w:sz w:val="28"/>
          <w:szCs w:val="28"/>
          <w:lang w:eastAsia="en-US"/>
        </w:rPr>
        <w:t>Абсолютні значення (</w:t>
      </w:r>
      <w:proofErr w:type="spellStart"/>
      <w:r w:rsidRPr="00520861">
        <w:rPr>
          <w:rFonts w:eastAsia="Calibri"/>
          <w:sz w:val="28"/>
          <w:szCs w:val="28"/>
          <w:lang w:eastAsia="en-US"/>
        </w:rPr>
        <w:t>L</w:t>
      </w:r>
      <w:r w:rsidRPr="00520861">
        <w:rPr>
          <w:rFonts w:eastAsia="Calibri"/>
          <w:sz w:val="28"/>
          <w:szCs w:val="28"/>
          <w:vertAlign w:val="subscript"/>
          <w:lang w:eastAsia="en-US"/>
        </w:rPr>
        <w:t>оптг</w:t>
      </w:r>
      <w:proofErr w:type="spellEnd"/>
      <w:r w:rsidRPr="00520861">
        <w:rPr>
          <w:rFonts w:eastAsia="Calibri"/>
          <w:sz w:val="28"/>
          <w:szCs w:val="28"/>
          <w:lang w:eastAsia="en-US"/>
        </w:rPr>
        <w:t xml:space="preserve"> та MI) у ВП-VI (18 – 24 роки) демонструє табл. 7.4. Із наведених у таблиці результатів випливає, що в осіб із підгрупи 3 і підгрупи 4 осереднені значення товщини кортикального шару нижньої щелепи були вірогідно вищими, ніж в </w:t>
      </w:r>
      <w:r w:rsidRPr="00520861">
        <w:rPr>
          <w:spacing w:val="-6"/>
          <w:sz w:val="28"/>
          <w:szCs w:val="28"/>
        </w:rPr>
        <w:t xml:space="preserve">підгрупі </w:t>
      </w:r>
      <w:r w:rsidRPr="00520861">
        <w:rPr>
          <w:rFonts w:eastAsia="Calibri"/>
          <w:sz w:val="28"/>
          <w:szCs w:val="28"/>
          <w:lang w:eastAsia="en-US"/>
        </w:rPr>
        <w:t xml:space="preserve">1 і </w:t>
      </w:r>
      <w:r w:rsidRPr="00520861">
        <w:rPr>
          <w:spacing w:val="-6"/>
          <w:sz w:val="28"/>
          <w:szCs w:val="28"/>
        </w:rPr>
        <w:t xml:space="preserve">підгрупі </w:t>
      </w:r>
      <w:r w:rsidRPr="00520861">
        <w:rPr>
          <w:rFonts w:eastAsia="Calibri"/>
          <w:sz w:val="28"/>
          <w:szCs w:val="28"/>
          <w:lang w:eastAsia="en-US"/>
        </w:rPr>
        <w:t xml:space="preserve">2 (рис. 7.5), а також у ГП, тобто кортикальний шар щелепи товще в осіб, які народилися із ВУ ожирінням. </w:t>
      </w:r>
    </w:p>
    <w:p w14:paraId="6271F25D" w14:textId="77777777" w:rsidR="00180D3E" w:rsidRPr="00520861" w:rsidRDefault="00180D3E" w:rsidP="00292D2E">
      <w:pPr>
        <w:widowControl w:val="0"/>
        <w:spacing w:line="360" w:lineRule="auto"/>
        <w:ind w:right="141" w:firstLine="709"/>
        <w:jc w:val="both"/>
        <w:rPr>
          <w:rFonts w:eastAsia="Calibri"/>
          <w:sz w:val="28"/>
          <w:szCs w:val="28"/>
          <w:lang w:eastAsia="en-US"/>
        </w:rPr>
      </w:pPr>
      <w:r w:rsidRPr="00520861">
        <w:rPr>
          <w:rFonts w:eastAsia="Calibri"/>
          <w:sz w:val="28"/>
          <w:szCs w:val="28"/>
          <w:lang w:eastAsia="en-US"/>
        </w:rPr>
        <w:t>Також на всіх ОПТГ нами був вичислений PМІ. Результати демонструє табл. 7.4, з якої видно, що цей індекс для осіб підгрупи 3 і підгрупи 4 був вищим, ніж для осіб підгрупи 1 і підгрупи 2 навіть у ВП-</w:t>
      </w:r>
      <w:r w:rsidRPr="00520861">
        <w:rPr>
          <w:rFonts w:eastAsia="Calibri"/>
          <w:sz w:val="28"/>
          <w:szCs w:val="28"/>
          <w:lang w:val="en-US" w:eastAsia="en-US"/>
        </w:rPr>
        <w:t>V</w:t>
      </w:r>
      <w:r w:rsidRPr="00520861">
        <w:rPr>
          <w:rFonts w:eastAsia="Calibri"/>
          <w:sz w:val="28"/>
          <w:szCs w:val="28"/>
          <w:lang w:eastAsia="en-US"/>
        </w:rPr>
        <w:t xml:space="preserve">. </w:t>
      </w:r>
    </w:p>
    <w:p w14:paraId="486BD4E4" w14:textId="77777777" w:rsidR="00180D3E" w:rsidRPr="00520861" w:rsidRDefault="00180D3E" w:rsidP="00292D2E">
      <w:pPr>
        <w:widowControl w:val="0"/>
        <w:spacing w:line="360" w:lineRule="auto"/>
        <w:ind w:right="141" w:firstLine="709"/>
        <w:jc w:val="both"/>
        <w:rPr>
          <w:rFonts w:eastAsia="Calibri"/>
          <w:sz w:val="28"/>
          <w:szCs w:val="28"/>
          <w:lang w:eastAsia="en-US"/>
        </w:rPr>
      </w:pPr>
      <w:r w:rsidRPr="00520861">
        <w:rPr>
          <w:rFonts w:eastAsia="Calibri"/>
          <w:sz w:val="28"/>
          <w:szCs w:val="28"/>
          <w:lang w:eastAsia="en-US"/>
        </w:rPr>
        <w:lastRenderedPageBreak/>
        <w:t xml:space="preserve">У віковому аспекті також спостерігається цікава ситуація – збільшення значення РМІ в </w:t>
      </w:r>
      <w:r w:rsidRPr="00520861">
        <w:rPr>
          <w:spacing w:val="-6"/>
          <w:sz w:val="28"/>
          <w:szCs w:val="28"/>
        </w:rPr>
        <w:t xml:space="preserve">підгрупі </w:t>
      </w:r>
      <w:r w:rsidRPr="00520861">
        <w:rPr>
          <w:rFonts w:eastAsia="Calibri"/>
          <w:sz w:val="28"/>
          <w:szCs w:val="28"/>
          <w:lang w:eastAsia="en-US"/>
        </w:rPr>
        <w:t xml:space="preserve">1, </w:t>
      </w:r>
      <w:r w:rsidRPr="00520861">
        <w:rPr>
          <w:spacing w:val="-6"/>
          <w:sz w:val="28"/>
          <w:szCs w:val="28"/>
        </w:rPr>
        <w:t xml:space="preserve">підгрупі </w:t>
      </w:r>
      <w:r w:rsidRPr="00520861">
        <w:rPr>
          <w:rFonts w:eastAsia="Calibri"/>
          <w:sz w:val="28"/>
          <w:szCs w:val="28"/>
          <w:lang w:eastAsia="en-US"/>
        </w:rPr>
        <w:t>2 і ГП відбувається за рахунок зменшення відстані між краєм нижньої щелепи та ментальним отвором, а в осіб підгрупи 3 та підгрупи 4 – за рахунок потовщення кортикального шару.</w:t>
      </w:r>
    </w:p>
    <w:p w14:paraId="6BD31960" w14:textId="77777777" w:rsidR="00180D3E" w:rsidRPr="00520861" w:rsidRDefault="00180D3E" w:rsidP="00292D2E">
      <w:pPr>
        <w:widowControl w:val="0"/>
        <w:spacing w:line="360" w:lineRule="auto"/>
        <w:ind w:right="141" w:firstLine="709"/>
        <w:jc w:val="right"/>
        <w:rPr>
          <w:rFonts w:eastAsia="Calibri"/>
          <w:i/>
          <w:sz w:val="28"/>
          <w:szCs w:val="28"/>
          <w:lang w:eastAsia="en-US"/>
        </w:rPr>
      </w:pPr>
      <w:r w:rsidRPr="00520861">
        <w:rPr>
          <w:rFonts w:eastAsia="Calibri"/>
          <w:i/>
          <w:sz w:val="28"/>
          <w:szCs w:val="28"/>
          <w:lang w:eastAsia="en-US"/>
        </w:rPr>
        <w:t>Таблиця 7.4</w:t>
      </w:r>
    </w:p>
    <w:tbl>
      <w:tblPr>
        <w:tblpPr w:leftFromText="180" w:rightFromText="180" w:vertAnchor="text" w:horzAnchor="margin" w:tblpXSpec="center" w:tblpY="1377"/>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276"/>
        <w:gridCol w:w="1418"/>
        <w:gridCol w:w="1417"/>
        <w:gridCol w:w="1418"/>
        <w:gridCol w:w="1417"/>
        <w:gridCol w:w="1730"/>
      </w:tblGrid>
      <w:tr w:rsidR="00180D3E" w:rsidRPr="00520861" w14:paraId="3E4A7BD7" w14:textId="77777777" w:rsidTr="00292D2E">
        <w:trPr>
          <w:trHeight w:val="270"/>
        </w:trPr>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1C815CF5" w14:textId="77777777" w:rsidR="00180D3E" w:rsidRPr="00520861" w:rsidRDefault="00180D3E" w:rsidP="00292D2E">
            <w:pPr>
              <w:widowControl w:val="0"/>
              <w:pBdr>
                <w:top w:val="nil"/>
                <w:left w:val="nil"/>
                <w:bottom w:val="nil"/>
                <w:right w:val="nil"/>
                <w:between w:val="nil"/>
              </w:pBdr>
              <w:spacing w:line="360" w:lineRule="auto"/>
              <w:ind w:left="-142" w:right="-106"/>
              <w:jc w:val="center"/>
              <w:rPr>
                <w:color w:val="000000"/>
                <w:sz w:val="28"/>
                <w:szCs w:val="28"/>
              </w:rPr>
            </w:pPr>
            <w:r w:rsidRPr="00520861">
              <w:rPr>
                <w:color w:val="000000"/>
                <w:sz w:val="28"/>
                <w:szCs w:val="28"/>
              </w:rPr>
              <w:t>Група,</w:t>
            </w:r>
          </w:p>
          <w:p w14:paraId="29D7D7D4" w14:textId="77777777" w:rsidR="00180D3E" w:rsidRPr="00520861" w:rsidRDefault="00180D3E" w:rsidP="00292D2E">
            <w:pPr>
              <w:widowControl w:val="0"/>
              <w:pBdr>
                <w:top w:val="nil"/>
                <w:left w:val="nil"/>
                <w:bottom w:val="nil"/>
                <w:right w:val="nil"/>
                <w:between w:val="nil"/>
              </w:pBdr>
              <w:spacing w:line="360" w:lineRule="auto"/>
              <w:ind w:left="-142" w:right="-106"/>
              <w:jc w:val="center"/>
              <w:rPr>
                <w:color w:val="000000"/>
                <w:sz w:val="28"/>
                <w:szCs w:val="28"/>
              </w:rPr>
            </w:pPr>
            <w:r w:rsidRPr="00520861">
              <w:rPr>
                <w:color w:val="000000"/>
                <w:sz w:val="28"/>
                <w:szCs w:val="28"/>
              </w:rPr>
              <w:t xml:space="preserve"> підгрупа</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587FBC07" w14:textId="77777777" w:rsidR="00180D3E" w:rsidRPr="00520861" w:rsidRDefault="00180D3E" w:rsidP="00292D2E">
            <w:pPr>
              <w:widowControl w:val="0"/>
              <w:pBdr>
                <w:top w:val="nil"/>
                <w:left w:val="nil"/>
                <w:bottom w:val="nil"/>
                <w:right w:val="nil"/>
                <w:between w:val="nil"/>
              </w:pBdr>
              <w:spacing w:line="360" w:lineRule="auto"/>
              <w:ind w:left="-108" w:right="-106"/>
              <w:jc w:val="center"/>
              <w:rPr>
                <w:color w:val="000000"/>
                <w:sz w:val="28"/>
                <w:szCs w:val="28"/>
              </w:rPr>
            </w:pPr>
            <w:r w:rsidRPr="00520861">
              <w:rPr>
                <w:color w:val="000000"/>
                <w:sz w:val="28"/>
                <w:szCs w:val="28"/>
              </w:rPr>
              <w:t>ГП</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14:paraId="375D347B" w14:textId="77777777" w:rsidR="00180D3E" w:rsidRPr="00520861" w:rsidRDefault="00180D3E" w:rsidP="00292D2E">
            <w:pPr>
              <w:widowControl w:val="0"/>
              <w:pBdr>
                <w:top w:val="nil"/>
                <w:left w:val="nil"/>
                <w:bottom w:val="nil"/>
                <w:right w:val="nil"/>
                <w:between w:val="nil"/>
              </w:pBdr>
              <w:spacing w:line="360" w:lineRule="auto"/>
              <w:ind w:right="-106"/>
              <w:jc w:val="center"/>
              <w:rPr>
                <w:color w:val="000000"/>
                <w:sz w:val="28"/>
                <w:szCs w:val="28"/>
              </w:rPr>
            </w:pPr>
            <w:r w:rsidRPr="00520861">
              <w:rPr>
                <w:color w:val="000000"/>
                <w:sz w:val="28"/>
                <w:szCs w:val="28"/>
              </w:rPr>
              <w:t>ОГ</w:t>
            </w:r>
          </w:p>
        </w:tc>
        <w:tc>
          <w:tcPr>
            <w:tcW w:w="1417" w:type="dxa"/>
          </w:tcPr>
          <w:p w14:paraId="0DB327A8"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2D050AC2"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1</w:t>
            </w:r>
          </w:p>
        </w:tc>
        <w:tc>
          <w:tcPr>
            <w:tcW w:w="1418" w:type="dxa"/>
          </w:tcPr>
          <w:p w14:paraId="357A8D31"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39876D0A"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2</w:t>
            </w:r>
          </w:p>
        </w:tc>
        <w:tc>
          <w:tcPr>
            <w:tcW w:w="1417" w:type="dxa"/>
          </w:tcPr>
          <w:p w14:paraId="1B6EE31D"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080B9825"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3</w:t>
            </w:r>
          </w:p>
        </w:tc>
        <w:tc>
          <w:tcPr>
            <w:tcW w:w="1730" w:type="dxa"/>
            <w:hideMark/>
          </w:tcPr>
          <w:p w14:paraId="3FD8774B"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6E654665"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4</w:t>
            </w:r>
          </w:p>
        </w:tc>
      </w:tr>
      <w:tr w:rsidR="00180D3E" w:rsidRPr="00520861" w14:paraId="53EFE624" w14:textId="77777777" w:rsidTr="00292D2E">
        <w:trPr>
          <w:trHeight w:val="270"/>
        </w:trPr>
        <w:tc>
          <w:tcPr>
            <w:tcW w:w="9918" w:type="dxa"/>
            <w:gridSpan w:val="7"/>
            <w:tcBorders>
              <w:top w:val="single" w:sz="4" w:space="0" w:color="auto"/>
              <w:left w:val="single" w:sz="4" w:space="0" w:color="auto"/>
              <w:bottom w:val="single" w:sz="4" w:space="0" w:color="auto"/>
              <w:right w:val="single" w:sz="4" w:space="0" w:color="auto"/>
            </w:tcBorders>
            <w:shd w:val="clear" w:color="auto" w:fill="auto"/>
          </w:tcPr>
          <w:p w14:paraId="4A7DB75A" w14:textId="77777777" w:rsidR="00180D3E" w:rsidRPr="00520861" w:rsidRDefault="00180D3E" w:rsidP="00292D2E">
            <w:pPr>
              <w:widowControl w:val="0"/>
              <w:pBdr>
                <w:top w:val="nil"/>
                <w:left w:val="nil"/>
                <w:bottom w:val="nil"/>
                <w:right w:val="nil"/>
                <w:between w:val="nil"/>
              </w:pBdr>
              <w:tabs>
                <w:tab w:val="left" w:pos="889"/>
              </w:tabs>
              <w:spacing w:line="360" w:lineRule="auto"/>
              <w:ind w:left="-108" w:right="-106"/>
              <w:jc w:val="center"/>
              <w:rPr>
                <w:color w:val="000000"/>
                <w:sz w:val="28"/>
                <w:szCs w:val="28"/>
              </w:rPr>
            </w:pPr>
            <w:r w:rsidRPr="00520861">
              <w:rPr>
                <w:rFonts w:eastAsia="Calibri"/>
                <w:color w:val="000000"/>
                <w:sz w:val="28"/>
                <w:szCs w:val="28"/>
              </w:rPr>
              <w:t>Кількість ОПТГ</w:t>
            </w:r>
          </w:p>
        </w:tc>
      </w:tr>
      <w:tr w:rsidR="00180D3E" w:rsidRPr="00520861" w14:paraId="233C6B18" w14:textId="77777777" w:rsidTr="00292D2E">
        <w:tc>
          <w:tcPr>
            <w:tcW w:w="1242" w:type="dxa"/>
            <w:tcBorders>
              <w:top w:val="single" w:sz="4" w:space="0" w:color="auto"/>
              <w:left w:val="single" w:sz="4" w:space="0" w:color="auto"/>
              <w:bottom w:val="single" w:sz="4" w:space="0" w:color="auto"/>
              <w:right w:val="single" w:sz="4" w:space="0" w:color="auto"/>
            </w:tcBorders>
            <w:hideMark/>
          </w:tcPr>
          <w:p w14:paraId="355CC2E1" w14:textId="77777777" w:rsidR="00180D3E" w:rsidRPr="00520861" w:rsidRDefault="00180D3E" w:rsidP="00292D2E">
            <w:pPr>
              <w:widowControl w:val="0"/>
              <w:spacing w:line="360" w:lineRule="auto"/>
              <w:ind w:right="-102"/>
              <w:jc w:val="center"/>
              <w:rPr>
                <w:sz w:val="28"/>
                <w:szCs w:val="28"/>
              </w:rPr>
            </w:pPr>
            <w:r w:rsidRPr="00520861">
              <w:rPr>
                <w:rFonts w:eastAsia="Calibri"/>
                <w:sz w:val="28"/>
                <w:szCs w:val="28"/>
                <w:lang w:eastAsia="en-US"/>
              </w:rPr>
              <w:t>ВП-</w:t>
            </w:r>
            <w:r w:rsidRPr="00520861">
              <w:rPr>
                <w:sz w:val="28"/>
                <w:szCs w:val="28"/>
              </w:rPr>
              <w:t>V</w:t>
            </w:r>
          </w:p>
        </w:tc>
        <w:tc>
          <w:tcPr>
            <w:tcW w:w="1276" w:type="dxa"/>
            <w:tcBorders>
              <w:top w:val="single" w:sz="4" w:space="0" w:color="auto"/>
              <w:left w:val="single" w:sz="4" w:space="0" w:color="auto"/>
              <w:bottom w:val="single" w:sz="4" w:space="0" w:color="auto"/>
              <w:right w:val="single" w:sz="4" w:space="0" w:color="auto"/>
            </w:tcBorders>
            <w:hideMark/>
          </w:tcPr>
          <w:p w14:paraId="42ACF65F"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 xml:space="preserve">7 </w:t>
            </w:r>
          </w:p>
          <w:p w14:paraId="0074830A"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(4/3)</w:t>
            </w:r>
          </w:p>
        </w:tc>
        <w:tc>
          <w:tcPr>
            <w:tcW w:w="1418" w:type="dxa"/>
            <w:tcBorders>
              <w:top w:val="single" w:sz="4" w:space="0" w:color="auto"/>
              <w:left w:val="single" w:sz="4" w:space="0" w:color="auto"/>
              <w:bottom w:val="single" w:sz="4" w:space="0" w:color="auto"/>
              <w:right w:val="single" w:sz="4" w:space="0" w:color="auto"/>
            </w:tcBorders>
            <w:hideMark/>
          </w:tcPr>
          <w:p w14:paraId="10D3D906"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 xml:space="preserve">17 </w:t>
            </w:r>
          </w:p>
          <w:p w14:paraId="2A396C1C"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(10/7)</w:t>
            </w:r>
          </w:p>
        </w:tc>
        <w:tc>
          <w:tcPr>
            <w:tcW w:w="1417" w:type="dxa"/>
            <w:tcBorders>
              <w:top w:val="single" w:sz="4" w:space="0" w:color="auto"/>
              <w:left w:val="single" w:sz="4" w:space="0" w:color="auto"/>
              <w:bottom w:val="single" w:sz="4" w:space="0" w:color="auto"/>
              <w:right w:val="single" w:sz="4" w:space="0" w:color="auto"/>
            </w:tcBorders>
            <w:hideMark/>
          </w:tcPr>
          <w:p w14:paraId="77F54499"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r w:rsidRPr="00520861">
              <w:rPr>
                <w:rFonts w:eastAsia="Calibri"/>
                <w:sz w:val="28"/>
                <w:szCs w:val="28"/>
                <w:lang w:eastAsia="en-US"/>
              </w:rPr>
              <w:t xml:space="preserve">4 </w:t>
            </w:r>
          </w:p>
          <w:p w14:paraId="1755A2A6" w14:textId="77777777" w:rsidR="00180D3E" w:rsidRPr="00520861" w:rsidRDefault="00180D3E" w:rsidP="00292D2E">
            <w:pPr>
              <w:widowControl w:val="0"/>
              <w:tabs>
                <w:tab w:val="left" w:pos="748"/>
              </w:tabs>
              <w:spacing w:line="360" w:lineRule="auto"/>
              <w:ind w:left="-106" w:right="-106"/>
              <w:jc w:val="center"/>
              <w:rPr>
                <w:rFonts w:eastAsia="Calibri"/>
                <w:sz w:val="28"/>
                <w:szCs w:val="28"/>
                <w:lang w:eastAsia="en-US"/>
              </w:rPr>
            </w:pPr>
            <w:r w:rsidRPr="00520861">
              <w:rPr>
                <w:rFonts w:eastAsia="Calibri"/>
                <w:sz w:val="28"/>
                <w:szCs w:val="28"/>
                <w:lang w:eastAsia="en-US"/>
              </w:rPr>
              <w:t>(2/2)</w:t>
            </w:r>
          </w:p>
        </w:tc>
        <w:tc>
          <w:tcPr>
            <w:tcW w:w="1418" w:type="dxa"/>
            <w:tcBorders>
              <w:top w:val="single" w:sz="4" w:space="0" w:color="auto"/>
              <w:left w:val="single" w:sz="4" w:space="0" w:color="auto"/>
              <w:bottom w:val="single" w:sz="4" w:space="0" w:color="auto"/>
              <w:right w:val="single" w:sz="4" w:space="0" w:color="auto"/>
            </w:tcBorders>
            <w:hideMark/>
          </w:tcPr>
          <w:p w14:paraId="4B4D7C51"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r w:rsidRPr="00520861">
              <w:rPr>
                <w:rFonts w:eastAsia="Calibri"/>
                <w:sz w:val="28"/>
                <w:szCs w:val="28"/>
                <w:lang w:eastAsia="en-US"/>
              </w:rPr>
              <w:t xml:space="preserve">3 </w:t>
            </w:r>
          </w:p>
          <w:p w14:paraId="76A70A3C" w14:textId="77777777" w:rsidR="00180D3E" w:rsidRPr="00520861" w:rsidRDefault="00180D3E" w:rsidP="00292D2E">
            <w:pPr>
              <w:widowControl w:val="0"/>
              <w:tabs>
                <w:tab w:val="left" w:pos="-12296"/>
              </w:tabs>
              <w:spacing w:line="360" w:lineRule="auto"/>
              <w:ind w:left="-105" w:right="-106"/>
              <w:jc w:val="center"/>
              <w:rPr>
                <w:rFonts w:eastAsia="Calibri"/>
                <w:sz w:val="28"/>
                <w:szCs w:val="28"/>
                <w:lang w:eastAsia="en-US"/>
              </w:rPr>
            </w:pPr>
            <w:r w:rsidRPr="00520861">
              <w:rPr>
                <w:rFonts w:eastAsia="Calibri"/>
                <w:sz w:val="28"/>
                <w:szCs w:val="28"/>
                <w:lang w:eastAsia="en-US"/>
              </w:rPr>
              <w:t>(1/2)</w:t>
            </w:r>
          </w:p>
        </w:tc>
        <w:tc>
          <w:tcPr>
            <w:tcW w:w="1417" w:type="dxa"/>
            <w:tcBorders>
              <w:top w:val="single" w:sz="4" w:space="0" w:color="auto"/>
              <w:left w:val="single" w:sz="4" w:space="0" w:color="auto"/>
              <w:bottom w:val="single" w:sz="4" w:space="0" w:color="auto"/>
              <w:right w:val="single" w:sz="4" w:space="0" w:color="auto"/>
            </w:tcBorders>
            <w:hideMark/>
          </w:tcPr>
          <w:p w14:paraId="0140A5B3"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 xml:space="preserve">5 </w:t>
            </w:r>
          </w:p>
          <w:p w14:paraId="282167EB" w14:textId="77777777" w:rsidR="00180D3E" w:rsidRPr="00520861" w:rsidRDefault="00180D3E" w:rsidP="00292D2E">
            <w:pPr>
              <w:widowControl w:val="0"/>
              <w:spacing w:line="360" w:lineRule="auto"/>
              <w:ind w:left="-106" w:right="-106"/>
              <w:jc w:val="center"/>
              <w:rPr>
                <w:rFonts w:eastAsia="Calibri"/>
                <w:sz w:val="28"/>
                <w:szCs w:val="28"/>
                <w:lang w:eastAsia="en-US"/>
              </w:rPr>
            </w:pPr>
            <w:r w:rsidRPr="00520861">
              <w:rPr>
                <w:rFonts w:eastAsia="Calibri"/>
                <w:sz w:val="28"/>
                <w:szCs w:val="28"/>
                <w:lang w:eastAsia="en-US"/>
              </w:rPr>
              <w:t>(3 /2)</w:t>
            </w:r>
          </w:p>
        </w:tc>
        <w:tc>
          <w:tcPr>
            <w:tcW w:w="1730" w:type="dxa"/>
            <w:tcBorders>
              <w:top w:val="single" w:sz="4" w:space="0" w:color="auto"/>
              <w:left w:val="single" w:sz="4" w:space="0" w:color="auto"/>
              <w:bottom w:val="single" w:sz="4" w:space="0" w:color="auto"/>
              <w:right w:val="single" w:sz="4" w:space="0" w:color="auto"/>
            </w:tcBorders>
            <w:hideMark/>
          </w:tcPr>
          <w:p w14:paraId="249C7C70"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 xml:space="preserve">5 </w:t>
            </w:r>
          </w:p>
          <w:p w14:paraId="225EA068"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(4/1)</w:t>
            </w:r>
          </w:p>
        </w:tc>
      </w:tr>
      <w:tr w:rsidR="00180D3E" w:rsidRPr="00520861" w14:paraId="17A5D2F0" w14:textId="77777777" w:rsidTr="00292D2E">
        <w:tc>
          <w:tcPr>
            <w:tcW w:w="1242" w:type="dxa"/>
            <w:tcBorders>
              <w:top w:val="single" w:sz="4" w:space="0" w:color="auto"/>
              <w:left w:val="single" w:sz="4" w:space="0" w:color="auto"/>
              <w:bottom w:val="single" w:sz="4" w:space="0" w:color="auto"/>
              <w:right w:val="single" w:sz="4" w:space="0" w:color="auto"/>
            </w:tcBorders>
            <w:hideMark/>
          </w:tcPr>
          <w:p w14:paraId="5FE5477A"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-VІ</w:t>
            </w:r>
          </w:p>
        </w:tc>
        <w:tc>
          <w:tcPr>
            <w:tcW w:w="1276" w:type="dxa"/>
            <w:tcBorders>
              <w:top w:val="single" w:sz="4" w:space="0" w:color="auto"/>
              <w:left w:val="single" w:sz="4" w:space="0" w:color="auto"/>
              <w:bottom w:val="single" w:sz="4" w:space="0" w:color="auto"/>
              <w:right w:val="single" w:sz="4" w:space="0" w:color="auto"/>
            </w:tcBorders>
            <w:hideMark/>
          </w:tcPr>
          <w:p w14:paraId="79F40E03"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 xml:space="preserve">16 </w:t>
            </w:r>
          </w:p>
          <w:p w14:paraId="22CA86D2"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(10/6)</w:t>
            </w:r>
          </w:p>
        </w:tc>
        <w:tc>
          <w:tcPr>
            <w:tcW w:w="1418" w:type="dxa"/>
            <w:tcBorders>
              <w:top w:val="single" w:sz="4" w:space="0" w:color="auto"/>
              <w:left w:val="single" w:sz="4" w:space="0" w:color="auto"/>
              <w:bottom w:val="single" w:sz="4" w:space="0" w:color="auto"/>
              <w:right w:val="single" w:sz="4" w:space="0" w:color="auto"/>
            </w:tcBorders>
            <w:hideMark/>
          </w:tcPr>
          <w:p w14:paraId="4EA2F856"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 xml:space="preserve">31 </w:t>
            </w:r>
          </w:p>
          <w:p w14:paraId="5D1DD11C"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(20/11)</w:t>
            </w:r>
          </w:p>
        </w:tc>
        <w:tc>
          <w:tcPr>
            <w:tcW w:w="1417" w:type="dxa"/>
            <w:tcBorders>
              <w:top w:val="single" w:sz="4" w:space="0" w:color="auto"/>
              <w:left w:val="single" w:sz="4" w:space="0" w:color="auto"/>
              <w:bottom w:val="single" w:sz="4" w:space="0" w:color="auto"/>
              <w:right w:val="single" w:sz="4" w:space="0" w:color="auto"/>
            </w:tcBorders>
            <w:hideMark/>
          </w:tcPr>
          <w:p w14:paraId="5BEBFF27"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r w:rsidRPr="00520861">
              <w:rPr>
                <w:rFonts w:eastAsia="Calibri"/>
                <w:sz w:val="28"/>
                <w:szCs w:val="28"/>
                <w:lang w:eastAsia="en-US"/>
              </w:rPr>
              <w:t xml:space="preserve">6 </w:t>
            </w:r>
          </w:p>
          <w:p w14:paraId="07A86F29"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r w:rsidRPr="00520861">
              <w:rPr>
                <w:rFonts w:eastAsia="Calibri"/>
                <w:sz w:val="28"/>
                <w:szCs w:val="28"/>
                <w:lang w:eastAsia="en-US"/>
              </w:rPr>
              <w:t>(4/2)</w:t>
            </w:r>
          </w:p>
        </w:tc>
        <w:tc>
          <w:tcPr>
            <w:tcW w:w="1418" w:type="dxa"/>
            <w:tcBorders>
              <w:top w:val="single" w:sz="4" w:space="0" w:color="auto"/>
              <w:left w:val="single" w:sz="4" w:space="0" w:color="auto"/>
              <w:bottom w:val="single" w:sz="4" w:space="0" w:color="auto"/>
              <w:right w:val="single" w:sz="4" w:space="0" w:color="auto"/>
            </w:tcBorders>
            <w:hideMark/>
          </w:tcPr>
          <w:p w14:paraId="63BD3243"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r w:rsidRPr="00520861">
              <w:rPr>
                <w:rFonts w:eastAsia="Calibri"/>
                <w:sz w:val="28"/>
                <w:szCs w:val="28"/>
                <w:lang w:eastAsia="en-US"/>
              </w:rPr>
              <w:t xml:space="preserve">6 </w:t>
            </w:r>
          </w:p>
          <w:p w14:paraId="6C3E2149"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r w:rsidRPr="00520861">
              <w:rPr>
                <w:rFonts w:eastAsia="Calibri"/>
                <w:sz w:val="28"/>
                <w:szCs w:val="28"/>
                <w:lang w:eastAsia="en-US"/>
              </w:rPr>
              <w:t>(3/3)</w:t>
            </w:r>
          </w:p>
        </w:tc>
        <w:tc>
          <w:tcPr>
            <w:tcW w:w="1417" w:type="dxa"/>
            <w:tcBorders>
              <w:top w:val="single" w:sz="4" w:space="0" w:color="auto"/>
              <w:left w:val="single" w:sz="4" w:space="0" w:color="auto"/>
              <w:bottom w:val="single" w:sz="4" w:space="0" w:color="auto"/>
              <w:right w:val="single" w:sz="4" w:space="0" w:color="auto"/>
            </w:tcBorders>
            <w:hideMark/>
          </w:tcPr>
          <w:p w14:paraId="268FCB68"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 xml:space="preserve">8 </w:t>
            </w:r>
          </w:p>
          <w:p w14:paraId="757B1F2F"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(6/2)</w:t>
            </w:r>
          </w:p>
        </w:tc>
        <w:tc>
          <w:tcPr>
            <w:tcW w:w="1730" w:type="dxa"/>
            <w:tcBorders>
              <w:top w:val="single" w:sz="4" w:space="0" w:color="auto"/>
              <w:left w:val="single" w:sz="4" w:space="0" w:color="auto"/>
              <w:bottom w:val="single" w:sz="4" w:space="0" w:color="auto"/>
              <w:right w:val="single" w:sz="4" w:space="0" w:color="auto"/>
            </w:tcBorders>
            <w:hideMark/>
          </w:tcPr>
          <w:p w14:paraId="0F683614"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11</w:t>
            </w:r>
          </w:p>
          <w:p w14:paraId="2BEF553D"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(7/4)</w:t>
            </w:r>
          </w:p>
        </w:tc>
      </w:tr>
      <w:tr w:rsidR="00180D3E" w:rsidRPr="00520861" w14:paraId="356AAC28" w14:textId="77777777" w:rsidTr="00292D2E">
        <w:tc>
          <w:tcPr>
            <w:tcW w:w="1242" w:type="dxa"/>
            <w:tcBorders>
              <w:top w:val="single" w:sz="4" w:space="0" w:color="auto"/>
              <w:left w:val="single" w:sz="4" w:space="0" w:color="auto"/>
              <w:bottom w:val="single" w:sz="4" w:space="0" w:color="auto"/>
              <w:right w:val="single" w:sz="4" w:space="0" w:color="auto"/>
            </w:tcBorders>
            <w:hideMark/>
          </w:tcPr>
          <w:p w14:paraId="4F9A097E"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-VІІ</w:t>
            </w:r>
          </w:p>
        </w:tc>
        <w:tc>
          <w:tcPr>
            <w:tcW w:w="1276" w:type="dxa"/>
            <w:tcBorders>
              <w:top w:val="single" w:sz="4" w:space="0" w:color="auto"/>
              <w:left w:val="single" w:sz="4" w:space="0" w:color="auto"/>
              <w:bottom w:val="single" w:sz="4" w:space="0" w:color="auto"/>
              <w:right w:val="single" w:sz="4" w:space="0" w:color="auto"/>
            </w:tcBorders>
            <w:hideMark/>
          </w:tcPr>
          <w:p w14:paraId="636B0B7A"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 xml:space="preserve">16 </w:t>
            </w:r>
          </w:p>
          <w:p w14:paraId="1CA425F5"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(8/8)</w:t>
            </w:r>
          </w:p>
        </w:tc>
        <w:tc>
          <w:tcPr>
            <w:tcW w:w="1418" w:type="dxa"/>
            <w:tcBorders>
              <w:top w:val="single" w:sz="4" w:space="0" w:color="auto"/>
              <w:left w:val="single" w:sz="4" w:space="0" w:color="auto"/>
              <w:bottom w:val="single" w:sz="4" w:space="0" w:color="auto"/>
              <w:right w:val="single" w:sz="4" w:space="0" w:color="auto"/>
            </w:tcBorders>
            <w:hideMark/>
          </w:tcPr>
          <w:p w14:paraId="6050EB4A"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 xml:space="preserve">32 </w:t>
            </w:r>
          </w:p>
          <w:p w14:paraId="1B5F5412"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(20/12)</w:t>
            </w:r>
          </w:p>
        </w:tc>
        <w:tc>
          <w:tcPr>
            <w:tcW w:w="1417" w:type="dxa"/>
            <w:tcBorders>
              <w:top w:val="single" w:sz="4" w:space="0" w:color="auto"/>
              <w:left w:val="single" w:sz="4" w:space="0" w:color="auto"/>
              <w:bottom w:val="single" w:sz="4" w:space="0" w:color="auto"/>
              <w:right w:val="single" w:sz="4" w:space="0" w:color="auto"/>
            </w:tcBorders>
            <w:hideMark/>
          </w:tcPr>
          <w:p w14:paraId="3328F661"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r w:rsidRPr="00520861">
              <w:rPr>
                <w:rFonts w:eastAsia="Calibri"/>
                <w:sz w:val="28"/>
                <w:szCs w:val="28"/>
                <w:lang w:eastAsia="en-US"/>
              </w:rPr>
              <w:t xml:space="preserve">9 </w:t>
            </w:r>
          </w:p>
          <w:p w14:paraId="4580B7C9"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r w:rsidRPr="00520861">
              <w:rPr>
                <w:rFonts w:eastAsia="Calibri"/>
                <w:sz w:val="28"/>
                <w:szCs w:val="28"/>
                <w:lang w:eastAsia="en-US"/>
              </w:rPr>
              <w:t>(6/3)</w:t>
            </w:r>
          </w:p>
        </w:tc>
        <w:tc>
          <w:tcPr>
            <w:tcW w:w="1418" w:type="dxa"/>
            <w:tcBorders>
              <w:top w:val="single" w:sz="4" w:space="0" w:color="auto"/>
              <w:left w:val="single" w:sz="4" w:space="0" w:color="auto"/>
              <w:bottom w:val="single" w:sz="4" w:space="0" w:color="auto"/>
              <w:right w:val="single" w:sz="4" w:space="0" w:color="auto"/>
            </w:tcBorders>
            <w:hideMark/>
          </w:tcPr>
          <w:p w14:paraId="76177DF9"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r w:rsidRPr="00520861">
              <w:rPr>
                <w:rFonts w:eastAsia="Calibri"/>
                <w:sz w:val="28"/>
                <w:szCs w:val="28"/>
                <w:lang w:eastAsia="en-US"/>
              </w:rPr>
              <w:t xml:space="preserve">5 </w:t>
            </w:r>
          </w:p>
          <w:p w14:paraId="7E489F22"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r w:rsidRPr="00520861">
              <w:rPr>
                <w:rFonts w:eastAsia="Calibri"/>
                <w:sz w:val="28"/>
                <w:szCs w:val="28"/>
                <w:lang w:eastAsia="en-US"/>
              </w:rPr>
              <w:t>(4/1)</w:t>
            </w:r>
          </w:p>
        </w:tc>
        <w:tc>
          <w:tcPr>
            <w:tcW w:w="1417" w:type="dxa"/>
            <w:tcBorders>
              <w:top w:val="single" w:sz="4" w:space="0" w:color="auto"/>
              <w:left w:val="single" w:sz="4" w:space="0" w:color="auto"/>
              <w:bottom w:val="single" w:sz="4" w:space="0" w:color="auto"/>
              <w:right w:val="single" w:sz="4" w:space="0" w:color="auto"/>
            </w:tcBorders>
            <w:hideMark/>
          </w:tcPr>
          <w:p w14:paraId="430DC7EC"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 xml:space="preserve">6 </w:t>
            </w:r>
          </w:p>
          <w:p w14:paraId="02BB8A38"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(4/2)</w:t>
            </w:r>
          </w:p>
        </w:tc>
        <w:tc>
          <w:tcPr>
            <w:tcW w:w="1730" w:type="dxa"/>
            <w:tcBorders>
              <w:top w:val="single" w:sz="4" w:space="0" w:color="auto"/>
              <w:left w:val="single" w:sz="4" w:space="0" w:color="auto"/>
              <w:bottom w:val="single" w:sz="4" w:space="0" w:color="auto"/>
              <w:right w:val="single" w:sz="4" w:space="0" w:color="auto"/>
            </w:tcBorders>
            <w:hideMark/>
          </w:tcPr>
          <w:p w14:paraId="6FB245E1"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 xml:space="preserve">12 </w:t>
            </w:r>
          </w:p>
          <w:p w14:paraId="252FCA25"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(6/6)</w:t>
            </w:r>
          </w:p>
        </w:tc>
      </w:tr>
      <w:tr w:rsidR="00180D3E" w:rsidRPr="00520861" w14:paraId="1E038F0F" w14:textId="77777777" w:rsidTr="00292D2E">
        <w:tc>
          <w:tcPr>
            <w:tcW w:w="1242" w:type="dxa"/>
            <w:tcBorders>
              <w:top w:val="single" w:sz="4" w:space="0" w:color="auto"/>
              <w:left w:val="single" w:sz="4" w:space="0" w:color="auto"/>
              <w:bottom w:val="single" w:sz="4" w:space="0" w:color="auto"/>
              <w:right w:val="single" w:sz="4" w:space="0" w:color="auto"/>
            </w:tcBorders>
            <w:hideMark/>
          </w:tcPr>
          <w:p w14:paraId="585B55A5"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ВП</w:t>
            </w:r>
            <w:r w:rsidRPr="00520861">
              <w:rPr>
                <w:sz w:val="28"/>
                <w:szCs w:val="28"/>
              </w:rPr>
              <w:t>-VIII</w:t>
            </w:r>
          </w:p>
        </w:tc>
        <w:tc>
          <w:tcPr>
            <w:tcW w:w="1276" w:type="dxa"/>
            <w:tcBorders>
              <w:top w:val="single" w:sz="4" w:space="0" w:color="auto"/>
              <w:left w:val="single" w:sz="4" w:space="0" w:color="auto"/>
              <w:bottom w:val="single" w:sz="4" w:space="0" w:color="auto"/>
              <w:right w:val="single" w:sz="4" w:space="0" w:color="auto"/>
            </w:tcBorders>
            <w:hideMark/>
          </w:tcPr>
          <w:p w14:paraId="42F16FFC"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 xml:space="preserve">9 </w:t>
            </w:r>
          </w:p>
          <w:p w14:paraId="4361F69B"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(4/5)</w:t>
            </w:r>
          </w:p>
        </w:tc>
        <w:tc>
          <w:tcPr>
            <w:tcW w:w="1418" w:type="dxa"/>
            <w:tcBorders>
              <w:top w:val="single" w:sz="4" w:space="0" w:color="auto"/>
              <w:left w:val="single" w:sz="4" w:space="0" w:color="auto"/>
              <w:bottom w:val="single" w:sz="4" w:space="0" w:color="auto"/>
              <w:right w:val="single" w:sz="4" w:space="0" w:color="auto"/>
            </w:tcBorders>
            <w:hideMark/>
          </w:tcPr>
          <w:p w14:paraId="203E6CE8"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 xml:space="preserve">17 </w:t>
            </w:r>
          </w:p>
          <w:p w14:paraId="15E4B688"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(9/8)</w:t>
            </w:r>
          </w:p>
        </w:tc>
        <w:tc>
          <w:tcPr>
            <w:tcW w:w="1417" w:type="dxa"/>
            <w:tcBorders>
              <w:top w:val="single" w:sz="4" w:space="0" w:color="auto"/>
              <w:left w:val="single" w:sz="4" w:space="0" w:color="auto"/>
              <w:bottom w:val="single" w:sz="4" w:space="0" w:color="auto"/>
              <w:right w:val="single" w:sz="4" w:space="0" w:color="auto"/>
            </w:tcBorders>
            <w:hideMark/>
          </w:tcPr>
          <w:p w14:paraId="023B465E"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r w:rsidRPr="00520861">
              <w:rPr>
                <w:rFonts w:eastAsia="Calibri"/>
                <w:sz w:val="28"/>
                <w:szCs w:val="28"/>
                <w:lang w:eastAsia="en-US"/>
              </w:rPr>
              <w:t xml:space="preserve">4 </w:t>
            </w:r>
          </w:p>
          <w:p w14:paraId="37073826"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r w:rsidRPr="00520861">
              <w:rPr>
                <w:rFonts w:eastAsia="Calibri"/>
                <w:sz w:val="28"/>
                <w:szCs w:val="28"/>
                <w:lang w:eastAsia="en-US"/>
              </w:rPr>
              <w:t>(2/2)</w:t>
            </w:r>
          </w:p>
        </w:tc>
        <w:tc>
          <w:tcPr>
            <w:tcW w:w="1418" w:type="dxa"/>
            <w:tcBorders>
              <w:top w:val="single" w:sz="4" w:space="0" w:color="auto"/>
              <w:left w:val="single" w:sz="4" w:space="0" w:color="auto"/>
              <w:bottom w:val="single" w:sz="4" w:space="0" w:color="auto"/>
              <w:right w:val="single" w:sz="4" w:space="0" w:color="auto"/>
            </w:tcBorders>
            <w:hideMark/>
          </w:tcPr>
          <w:p w14:paraId="2B01E5E5"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r w:rsidRPr="00520861">
              <w:rPr>
                <w:rFonts w:eastAsia="Calibri"/>
                <w:sz w:val="28"/>
                <w:szCs w:val="28"/>
                <w:lang w:eastAsia="en-US"/>
              </w:rPr>
              <w:t xml:space="preserve">3 </w:t>
            </w:r>
          </w:p>
          <w:p w14:paraId="02DD55BE"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r w:rsidRPr="00520861">
              <w:rPr>
                <w:rFonts w:eastAsia="Calibri"/>
                <w:sz w:val="28"/>
                <w:szCs w:val="28"/>
                <w:lang w:eastAsia="en-US"/>
              </w:rPr>
              <w:t>(1/2)</w:t>
            </w:r>
          </w:p>
        </w:tc>
        <w:tc>
          <w:tcPr>
            <w:tcW w:w="1417" w:type="dxa"/>
            <w:tcBorders>
              <w:top w:val="single" w:sz="4" w:space="0" w:color="auto"/>
              <w:left w:val="single" w:sz="4" w:space="0" w:color="auto"/>
              <w:bottom w:val="single" w:sz="4" w:space="0" w:color="auto"/>
              <w:right w:val="single" w:sz="4" w:space="0" w:color="auto"/>
            </w:tcBorders>
            <w:hideMark/>
          </w:tcPr>
          <w:p w14:paraId="002EFB72"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 xml:space="preserve">4 </w:t>
            </w:r>
          </w:p>
          <w:p w14:paraId="2570F858"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(3/1)</w:t>
            </w:r>
          </w:p>
        </w:tc>
        <w:tc>
          <w:tcPr>
            <w:tcW w:w="1730" w:type="dxa"/>
            <w:tcBorders>
              <w:top w:val="single" w:sz="4" w:space="0" w:color="auto"/>
              <w:left w:val="single" w:sz="4" w:space="0" w:color="auto"/>
              <w:bottom w:val="single" w:sz="4" w:space="0" w:color="auto"/>
              <w:right w:val="single" w:sz="4" w:space="0" w:color="auto"/>
            </w:tcBorders>
            <w:hideMark/>
          </w:tcPr>
          <w:p w14:paraId="79F40DB8"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 xml:space="preserve">6 </w:t>
            </w:r>
          </w:p>
          <w:p w14:paraId="22BF3FE9"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(3/3)</w:t>
            </w:r>
          </w:p>
        </w:tc>
      </w:tr>
      <w:tr w:rsidR="00180D3E" w:rsidRPr="00520861" w14:paraId="0D32C0E1" w14:textId="77777777" w:rsidTr="00292D2E">
        <w:tc>
          <w:tcPr>
            <w:tcW w:w="9918" w:type="dxa"/>
            <w:gridSpan w:val="7"/>
            <w:tcBorders>
              <w:top w:val="single" w:sz="4" w:space="0" w:color="auto"/>
              <w:left w:val="single" w:sz="4" w:space="0" w:color="auto"/>
              <w:bottom w:val="single" w:sz="4" w:space="0" w:color="auto"/>
              <w:right w:val="single" w:sz="4" w:space="0" w:color="auto"/>
            </w:tcBorders>
            <w:shd w:val="clear" w:color="auto" w:fill="auto"/>
          </w:tcPr>
          <w:p w14:paraId="0993FBE2" w14:textId="77777777" w:rsidR="00180D3E" w:rsidRPr="00520861" w:rsidRDefault="00180D3E" w:rsidP="00292D2E">
            <w:pPr>
              <w:widowControl w:val="0"/>
              <w:pBdr>
                <w:top w:val="nil"/>
                <w:left w:val="nil"/>
                <w:bottom w:val="nil"/>
                <w:right w:val="nil"/>
                <w:between w:val="nil"/>
              </w:pBdr>
              <w:spacing w:line="360" w:lineRule="auto"/>
              <w:jc w:val="center"/>
              <w:rPr>
                <w:rFonts w:eastAsia="Calibri"/>
                <w:sz w:val="28"/>
                <w:szCs w:val="28"/>
                <w:lang w:eastAsia="en-US"/>
              </w:rPr>
            </w:pPr>
            <w:r w:rsidRPr="00520861">
              <w:rPr>
                <w:rFonts w:eastAsia="Calibri"/>
                <w:color w:val="000000"/>
                <w:sz w:val="28"/>
                <w:szCs w:val="28"/>
              </w:rPr>
              <w:t>Індекс</w:t>
            </w:r>
          </w:p>
        </w:tc>
      </w:tr>
      <w:tr w:rsidR="00180D3E" w:rsidRPr="00520861" w14:paraId="4278D78C" w14:textId="77777777" w:rsidTr="00292D2E">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6F1E3EEB"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rPr>
            </w:pPr>
            <w:r w:rsidRPr="00520861">
              <w:rPr>
                <w:rFonts w:eastAsia="Calibri"/>
                <w:color w:val="000000"/>
                <w:sz w:val="28"/>
                <w:szCs w:val="28"/>
              </w:rPr>
              <w:t xml:space="preserve">PMI, </w:t>
            </w:r>
          </w:p>
          <w:p w14:paraId="7660ACA3"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rPr>
            </w:pPr>
            <w:r w:rsidRPr="00520861">
              <w:rPr>
                <w:rFonts w:eastAsia="Calibri"/>
                <w:color w:val="000000"/>
                <w:sz w:val="28"/>
                <w:szCs w:val="28"/>
              </w:rPr>
              <w:t>ВП</w:t>
            </w:r>
            <w:r w:rsidRPr="00520861">
              <w:rPr>
                <w:color w:val="000000"/>
                <w:sz w:val="28"/>
                <w:szCs w:val="28"/>
              </w:rPr>
              <w:t>-V</w:t>
            </w:r>
          </w:p>
        </w:tc>
        <w:tc>
          <w:tcPr>
            <w:tcW w:w="1276" w:type="dxa"/>
            <w:tcBorders>
              <w:top w:val="single" w:sz="4" w:space="0" w:color="auto"/>
              <w:left w:val="single" w:sz="4" w:space="0" w:color="auto"/>
              <w:bottom w:val="single" w:sz="4" w:space="0" w:color="auto"/>
              <w:right w:val="single" w:sz="4" w:space="0" w:color="auto"/>
            </w:tcBorders>
          </w:tcPr>
          <w:p w14:paraId="75CBDF60" w14:textId="77777777" w:rsidR="00180D3E" w:rsidRPr="00520861" w:rsidRDefault="00180D3E" w:rsidP="00292D2E">
            <w:pPr>
              <w:widowControl w:val="0"/>
              <w:spacing w:line="360" w:lineRule="auto"/>
              <w:ind w:left="-108"/>
              <w:jc w:val="center"/>
              <w:rPr>
                <w:rFonts w:eastAsia="Calibri"/>
                <w:sz w:val="28"/>
                <w:szCs w:val="28"/>
                <w:lang w:eastAsia="en-US"/>
              </w:rPr>
            </w:pPr>
            <w:r w:rsidRPr="00520861">
              <w:rPr>
                <w:rFonts w:eastAsia="Calibri"/>
                <w:sz w:val="28"/>
                <w:szCs w:val="28"/>
                <w:lang w:eastAsia="en-US"/>
              </w:rPr>
              <w:t>0,249</w:t>
            </w:r>
          </w:p>
        </w:tc>
        <w:tc>
          <w:tcPr>
            <w:tcW w:w="1418" w:type="dxa"/>
            <w:tcBorders>
              <w:top w:val="single" w:sz="4" w:space="0" w:color="auto"/>
              <w:left w:val="single" w:sz="4" w:space="0" w:color="auto"/>
              <w:bottom w:val="single" w:sz="4" w:space="0" w:color="auto"/>
              <w:right w:val="single" w:sz="4" w:space="0" w:color="auto"/>
            </w:tcBorders>
          </w:tcPr>
          <w:p w14:paraId="294550F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0,254</w:t>
            </w:r>
          </w:p>
        </w:tc>
        <w:tc>
          <w:tcPr>
            <w:tcW w:w="1417" w:type="dxa"/>
            <w:tcBorders>
              <w:top w:val="single" w:sz="4" w:space="0" w:color="auto"/>
              <w:left w:val="single" w:sz="4" w:space="0" w:color="auto"/>
              <w:bottom w:val="single" w:sz="4" w:space="0" w:color="auto"/>
              <w:right w:val="single" w:sz="4" w:space="0" w:color="auto"/>
            </w:tcBorders>
          </w:tcPr>
          <w:p w14:paraId="633F437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0,224</w:t>
            </w:r>
          </w:p>
        </w:tc>
        <w:tc>
          <w:tcPr>
            <w:tcW w:w="1418" w:type="dxa"/>
            <w:tcBorders>
              <w:top w:val="single" w:sz="4" w:space="0" w:color="auto"/>
              <w:left w:val="single" w:sz="4" w:space="0" w:color="auto"/>
              <w:bottom w:val="single" w:sz="4" w:space="0" w:color="auto"/>
              <w:right w:val="single" w:sz="4" w:space="0" w:color="auto"/>
            </w:tcBorders>
          </w:tcPr>
          <w:p w14:paraId="0D0CB14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0,193</w:t>
            </w:r>
          </w:p>
        </w:tc>
        <w:tc>
          <w:tcPr>
            <w:tcW w:w="1417" w:type="dxa"/>
            <w:tcBorders>
              <w:top w:val="single" w:sz="4" w:space="0" w:color="auto"/>
              <w:left w:val="single" w:sz="4" w:space="0" w:color="auto"/>
              <w:bottom w:val="single" w:sz="4" w:space="0" w:color="auto"/>
              <w:right w:val="single" w:sz="4" w:space="0" w:color="auto"/>
            </w:tcBorders>
          </w:tcPr>
          <w:p w14:paraId="3AF9EAB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0,266</w:t>
            </w:r>
          </w:p>
        </w:tc>
        <w:tc>
          <w:tcPr>
            <w:tcW w:w="1730" w:type="dxa"/>
            <w:tcBorders>
              <w:top w:val="single" w:sz="4" w:space="0" w:color="auto"/>
              <w:left w:val="single" w:sz="4" w:space="0" w:color="auto"/>
              <w:bottom w:val="single" w:sz="4" w:space="0" w:color="auto"/>
              <w:right w:val="single" w:sz="4" w:space="0" w:color="auto"/>
            </w:tcBorders>
            <w:hideMark/>
          </w:tcPr>
          <w:p w14:paraId="20ADC32D" w14:textId="77777777" w:rsidR="00180D3E" w:rsidRPr="00520861" w:rsidRDefault="00180D3E" w:rsidP="00292D2E">
            <w:pPr>
              <w:widowControl w:val="0"/>
              <w:spacing w:line="360" w:lineRule="auto"/>
              <w:jc w:val="center"/>
              <w:rPr>
                <w:sz w:val="28"/>
                <w:szCs w:val="28"/>
              </w:rPr>
            </w:pPr>
            <w:r w:rsidRPr="00520861">
              <w:rPr>
                <w:rFonts w:eastAsia="Calibri"/>
                <w:sz w:val="28"/>
                <w:szCs w:val="28"/>
                <w:lang w:eastAsia="en-US"/>
              </w:rPr>
              <w:t>0,301</w:t>
            </w:r>
            <w:r w:rsidRPr="00520861">
              <w:rPr>
                <w:sz w:val="28"/>
                <w:szCs w:val="28"/>
              </w:rPr>
              <w:t>*</w:t>
            </w:r>
          </w:p>
          <w:p w14:paraId="45254946" w14:textId="77777777" w:rsidR="00180D3E" w:rsidRPr="00520861" w:rsidRDefault="00180D3E" w:rsidP="00292D2E">
            <w:pPr>
              <w:widowControl w:val="0"/>
              <w:spacing w:line="360" w:lineRule="auto"/>
              <w:ind w:left="-108" w:right="-114"/>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=0,04236)</w:t>
            </w:r>
          </w:p>
        </w:tc>
      </w:tr>
      <w:tr w:rsidR="00180D3E" w:rsidRPr="00520861" w14:paraId="594215D7" w14:textId="77777777" w:rsidTr="00292D2E">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30F1FCE3" w14:textId="77777777" w:rsidR="00180D3E" w:rsidRPr="00520861" w:rsidRDefault="00180D3E" w:rsidP="00292D2E">
            <w:pPr>
              <w:widowControl w:val="0"/>
              <w:pBdr>
                <w:top w:val="nil"/>
                <w:left w:val="nil"/>
                <w:bottom w:val="nil"/>
                <w:right w:val="nil"/>
                <w:between w:val="nil"/>
              </w:pBdr>
              <w:spacing w:line="360" w:lineRule="auto"/>
              <w:ind w:right="-106"/>
              <w:jc w:val="center"/>
              <w:rPr>
                <w:rFonts w:eastAsia="Calibri"/>
                <w:color w:val="000000"/>
                <w:sz w:val="28"/>
                <w:szCs w:val="28"/>
              </w:rPr>
            </w:pPr>
            <w:r w:rsidRPr="00520861">
              <w:rPr>
                <w:rFonts w:eastAsia="Calibri"/>
                <w:color w:val="000000"/>
                <w:sz w:val="28"/>
                <w:szCs w:val="28"/>
              </w:rPr>
              <w:t xml:space="preserve">PMI, </w:t>
            </w:r>
          </w:p>
          <w:p w14:paraId="4E7F60F0" w14:textId="77777777" w:rsidR="00180D3E" w:rsidRPr="00520861" w:rsidRDefault="00180D3E" w:rsidP="00292D2E">
            <w:pPr>
              <w:widowControl w:val="0"/>
              <w:pBdr>
                <w:top w:val="nil"/>
                <w:left w:val="nil"/>
                <w:bottom w:val="nil"/>
                <w:right w:val="nil"/>
                <w:between w:val="nil"/>
              </w:pBdr>
              <w:spacing w:line="360" w:lineRule="auto"/>
              <w:ind w:right="-106"/>
              <w:jc w:val="center"/>
              <w:rPr>
                <w:color w:val="000000"/>
                <w:sz w:val="28"/>
                <w:szCs w:val="28"/>
              </w:rPr>
            </w:pPr>
            <w:r w:rsidRPr="00520861">
              <w:rPr>
                <w:rFonts w:eastAsia="Calibri"/>
                <w:color w:val="000000"/>
                <w:sz w:val="28"/>
                <w:szCs w:val="28"/>
              </w:rPr>
              <w:t>ВП-</w:t>
            </w:r>
            <w:r w:rsidRPr="00520861">
              <w:rPr>
                <w:color w:val="000000"/>
                <w:sz w:val="28"/>
                <w:szCs w:val="28"/>
              </w:rPr>
              <w:t>VІ</w:t>
            </w:r>
          </w:p>
        </w:tc>
        <w:tc>
          <w:tcPr>
            <w:tcW w:w="1276" w:type="dxa"/>
            <w:tcBorders>
              <w:top w:val="single" w:sz="4" w:space="0" w:color="auto"/>
              <w:left w:val="single" w:sz="4" w:space="0" w:color="auto"/>
              <w:bottom w:val="single" w:sz="4" w:space="0" w:color="auto"/>
              <w:right w:val="single" w:sz="4" w:space="0" w:color="auto"/>
            </w:tcBorders>
          </w:tcPr>
          <w:p w14:paraId="07B6B42D"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0,221</w:t>
            </w:r>
          </w:p>
          <w:p w14:paraId="072AE5C9" w14:textId="77777777" w:rsidR="00180D3E" w:rsidRPr="00520861" w:rsidRDefault="00180D3E" w:rsidP="00292D2E">
            <w:pPr>
              <w:widowControl w:val="0"/>
              <w:spacing w:line="360" w:lineRule="auto"/>
              <w:ind w:left="-108" w:right="-106"/>
              <w:jc w:val="center"/>
              <w:rPr>
                <w:rFonts w:eastAsia="Calibri"/>
                <w:sz w:val="28"/>
                <w:szCs w:val="28"/>
                <w:lang w:eastAsia="en-US"/>
              </w:rPr>
            </w:pPr>
          </w:p>
        </w:tc>
        <w:tc>
          <w:tcPr>
            <w:tcW w:w="1418" w:type="dxa"/>
            <w:tcBorders>
              <w:top w:val="single" w:sz="4" w:space="0" w:color="auto"/>
              <w:left w:val="single" w:sz="4" w:space="0" w:color="auto"/>
              <w:bottom w:val="single" w:sz="4" w:space="0" w:color="auto"/>
              <w:right w:val="single" w:sz="4" w:space="0" w:color="auto"/>
            </w:tcBorders>
            <w:hideMark/>
          </w:tcPr>
          <w:p w14:paraId="13BE15C8"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0,254</w:t>
            </w:r>
          </w:p>
        </w:tc>
        <w:tc>
          <w:tcPr>
            <w:tcW w:w="1417" w:type="dxa"/>
            <w:tcBorders>
              <w:top w:val="single" w:sz="4" w:space="0" w:color="auto"/>
              <w:left w:val="single" w:sz="4" w:space="0" w:color="auto"/>
              <w:bottom w:val="single" w:sz="4" w:space="0" w:color="auto"/>
              <w:right w:val="single" w:sz="4" w:space="0" w:color="auto"/>
            </w:tcBorders>
          </w:tcPr>
          <w:p w14:paraId="7E565140"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0,205</w:t>
            </w:r>
          </w:p>
          <w:p w14:paraId="5077FBE9"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p>
        </w:tc>
        <w:tc>
          <w:tcPr>
            <w:tcW w:w="1418" w:type="dxa"/>
            <w:tcBorders>
              <w:top w:val="single" w:sz="4" w:space="0" w:color="auto"/>
              <w:left w:val="single" w:sz="4" w:space="0" w:color="auto"/>
              <w:bottom w:val="single" w:sz="4" w:space="0" w:color="auto"/>
              <w:right w:val="single" w:sz="4" w:space="0" w:color="auto"/>
            </w:tcBorders>
          </w:tcPr>
          <w:p w14:paraId="2607F6A2"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0,225</w:t>
            </w:r>
          </w:p>
          <w:p w14:paraId="1A8D684A"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hideMark/>
          </w:tcPr>
          <w:p w14:paraId="3DE6A4A4" w14:textId="77777777" w:rsidR="00180D3E" w:rsidRPr="00520861" w:rsidRDefault="00180D3E" w:rsidP="00292D2E">
            <w:pPr>
              <w:widowControl w:val="0"/>
              <w:spacing w:line="360" w:lineRule="auto"/>
              <w:ind w:left="-108" w:right="-106"/>
              <w:jc w:val="center"/>
              <w:rPr>
                <w:sz w:val="28"/>
                <w:szCs w:val="28"/>
              </w:rPr>
            </w:pPr>
            <w:r w:rsidRPr="00520861">
              <w:rPr>
                <w:rFonts w:eastAsia="Calibri"/>
                <w:sz w:val="28"/>
                <w:szCs w:val="28"/>
                <w:lang w:eastAsia="en-US"/>
              </w:rPr>
              <w:t>0,278</w:t>
            </w:r>
            <w:r w:rsidRPr="00520861">
              <w:rPr>
                <w:sz w:val="28"/>
                <w:szCs w:val="28"/>
              </w:rPr>
              <w:t>*</w:t>
            </w:r>
          </w:p>
          <w:p w14:paraId="5447058A"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=0,03416)</w:t>
            </w:r>
          </w:p>
        </w:tc>
        <w:tc>
          <w:tcPr>
            <w:tcW w:w="1730" w:type="dxa"/>
            <w:tcBorders>
              <w:top w:val="single" w:sz="4" w:space="0" w:color="auto"/>
              <w:left w:val="single" w:sz="4" w:space="0" w:color="auto"/>
              <w:bottom w:val="single" w:sz="4" w:space="0" w:color="auto"/>
              <w:right w:val="single" w:sz="4" w:space="0" w:color="auto"/>
            </w:tcBorders>
            <w:hideMark/>
          </w:tcPr>
          <w:p w14:paraId="43AC506E" w14:textId="77777777" w:rsidR="00180D3E" w:rsidRPr="00520861" w:rsidRDefault="00180D3E" w:rsidP="00292D2E">
            <w:pPr>
              <w:widowControl w:val="0"/>
              <w:spacing w:line="360" w:lineRule="auto"/>
              <w:ind w:right="-106"/>
              <w:jc w:val="center"/>
              <w:rPr>
                <w:sz w:val="28"/>
                <w:szCs w:val="28"/>
              </w:rPr>
            </w:pPr>
            <w:r w:rsidRPr="00520861">
              <w:rPr>
                <w:rFonts w:eastAsia="Calibri"/>
                <w:sz w:val="28"/>
                <w:szCs w:val="28"/>
                <w:lang w:eastAsia="en-US"/>
              </w:rPr>
              <w:t>0,280</w:t>
            </w:r>
            <w:r w:rsidRPr="00520861">
              <w:rPr>
                <w:sz w:val="28"/>
                <w:szCs w:val="28"/>
              </w:rPr>
              <w:t>*</w:t>
            </w:r>
          </w:p>
          <w:p w14:paraId="449668DF"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=0,04526)</w:t>
            </w:r>
          </w:p>
        </w:tc>
      </w:tr>
      <w:tr w:rsidR="00180D3E" w:rsidRPr="00520861" w14:paraId="14C28145" w14:textId="77777777" w:rsidTr="00292D2E">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574CC959" w14:textId="77777777" w:rsidR="00180D3E" w:rsidRPr="00520861" w:rsidRDefault="00180D3E" w:rsidP="00292D2E">
            <w:pPr>
              <w:widowControl w:val="0"/>
              <w:pBdr>
                <w:top w:val="nil"/>
                <w:left w:val="nil"/>
                <w:bottom w:val="nil"/>
                <w:right w:val="nil"/>
                <w:between w:val="nil"/>
              </w:pBdr>
              <w:spacing w:line="360" w:lineRule="auto"/>
              <w:ind w:right="-106"/>
              <w:jc w:val="center"/>
              <w:rPr>
                <w:rFonts w:eastAsia="Calibri"/>
                <w:color w:val="000000"/>
                <w:sz w:val="28"/>
                <w:szCs w:val="28"/>
              </w:rPr>
            </w:pPr>
            <w:proofErr w:type="spellStart"/>
            <w:r w:rsidRPr="00520861">
              <w:rPr>
                <w:rFonts w:eastAsia="Calibri"/>
                <w:color w:val="000000"/>
                <w:sz w:val="28"/>
                <w:szCs w:val="28"/>
              </w:rPr>
              <w:t>L</w:t>
            </w:r>
            <w:r w:rsidRPr="00520861">
              <w:rPr>
                <w:rFonts w:eastAsia="Calibri"/>
                <w:color w:val="000000"/>
                <w:sz w:val="28"/>
                <w:szCs w:val="28"/>
                <w:vertAlign w:val="subscript"/>
              </w:rPr>
              <w:t>оптг</w:t>
            </w:r>
            <w:proofErr w:type="spellEnd"/>
            <w:r w:rsidRPr="00520861">
              <w:rPr>
                <w:rFonts w:eastAsia="Calibri"/>
                <w:color w:val="000000"/>
                <w:sz w:val="28"/>
                <w:szCs w:val="28"/>
              </w:rPr>
              <w:t>, ВП</w:t>
            </w:r>
            <w:r w:rsidRPr="00520861">
              <w:rPr>
                <w:color w:val="000000"/>
                <w:sz w:val="28"/>
                <w:szCs w:val="28"/>
              </w:rPr>
              <w:t>-VІ</w:t>
            </w:r>
          </w:p>
        </w:tc>
        <w:tc>
          <w:tcPr>
            <w:tcW w:w="1276" w:type="dxa"/>
            <w:tcBorders>
              <w:top w:val="single" w:sz="4" w:space="0" w:color="auto"/>
              <w:left w:val="single" w:sz="4" w:space="0" w:color="auto"/>
              <w:bottom w:val="single" w:sz="4" w:space="0" w:color="auto"/>
              <w:right w:val="single" w:sz="4" w:space="0" w:color="auto"/>
            </w:tcBorders>
          </w:tcPr>
          <w:p w14:paraId="37D538EB"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20,188</w:t>
            </w:r>
          </w:p>
        </w:tc>
        <w:tc>
          <w:tcPr>
            <w:tcW w:w="1418" w:type="dxa"/>
            <w:tcBorders>
              <w:top w:val="single" w:sz="4" w:space="0" w:color="auto"/>
              <w:left w:val="single" w:sz="4" w:space="0" w:color="auto"/>
              <w:bottom w:val="single" w:sz="4" w:space="0" w:color="auto"/>
              <w:right w:val="single" w:sz="4" w:space="0" w:color="auto"/>
            </w:tcBorders>
          </w:tcPr>
          <w:p w14:paraId="09F56432"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19,597</w:t>
            </w:r>
          </w:p>
        </w:tc>
        <w:tc>
          <w:tcPr>
            <w:tcW w:w="1417" w:type="dxa"/>
            <w:tcBorders>
              <w:top w:val="single" w:sz="4" w:space="0" w:color="auto"/>
              <w:left w:val="single" w:sz="4" w:space="0" w:color="auto"/>
              <w:bottom w:val="single" w:sz="4" w:space="0" w:color="auto"/>
              <w:right w:val="single" w:sz="4" w:space="0" w:color="auto"/>
            </w:tcBorders>
          </w:tcPr>
          <w:p w14:paraId="261176F5"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20,483</w:t>
            </w:r>
          </w:p>
        </w:tc>
        <w:tc>
          <w:tcPr>
            <w:tcW w:w="1418" w:type="dxa"/>
            <w:tcBorders>
              <w:top w:val="single" w:sz="4" w:space="0" w:color="auto"/>
              <w:left w:val="single" w:sz="4" w:space="0" w:color="auto"/>
              <w:bottom w:val="single" w:sz="4" w:space="0" w:color="auto"/>
              <w:right w:val="single" w:sz="4" w:space="0" w:color="auto"/>
            </w:tcBorders>
          </w:tcPr>
          <w:p w14:paraId="070D4F9A"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20,667</w:t>
            </w:r>
          </w:p>
        </w:tc>
        <w:tc>
          <w:tcPr>
            <w:tcW w:w="1417" w:type="dxa"/>
            <w:tcBorders>
              <w:top w:val="single" w:sz="4" w:space="0" w:color="auto"/>
              <w:left w:val="single" w:sz="4" w:space="0" w:color="auto"/>
              <w:bottom w:val="single" w:sz="4" w:space="0" w:color="auto"/>
              <w:right w:val="single" w:sz="4" w:space="0" w:color="auto"/>
            </w:tcBorders>
          </w:tcPr>
          <w:p w14:paraId="24B37C12"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19,575</w:t>
            </w:r>
          </w:p>
        </w:tc>
        <w:tc>
          <w:tcPr>
            <w:tcW w:w="1730" w:type="dxa"/>
            <w:tcBorders>
              <w:top w:val="single" w:sz="4" w:space="0" w:color="auto"/>
              <w:left w:val="single" w:sz="4" w:space="0" w:color="auto"/>
              <w:bottom w:val="single" w:sz="4" w:space="0" w:color="auto"/>
              <w:right w:val="single" w:sz="4" w:space="0" w:color="auto"/>
            </w:tcBorders>
          </w:tcPr>
          <w:p w14:paraId="14AB901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18,545</w:t>
            </w:r>
          </w:p>
        </w:tc>
      </w:tr>
      <w:tr w:rsidR="00180D3E" w:rsidRPr="00520861" w14:paraId="39D75885" w14:textId="77777777" w:rsidTr="00292D2E">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04E5E42D" w14:textId="77777777" w:rsidR="00180D3E" w:rsidRPr="00520861" w:rsidRDefault="00180D3E" w:rsidP="00292D2E">
            <w:pPr>
              <w:widowControl w:val="0"/>
              <w:pBdr>
                <w:top w:val="nil"/>
                <w:left w:val="nil"/>
                <w:bottom w:val="nil"/>
                <w:right w:val="nil"/>
                <w:between w:val="nil"/>
              </w:pBdr>
              <w:spacing w:line="360" w:lineRule="auto"/>
              <w:ind w:right="-106"/>
              <w:jc w:val="center"/>
              <w:rPr>
                <w:rFonts w:eastAsia="Calibri"/>
                <w:color w:val="000000"/>
                <w:sz w:val="28"/>
                <w:szCs w:val="28"/>
              </w:rPr>
            </w:pPr>
            <w:r w:rsidRPr="00520861">
              <w:rPr>
                <w:rFonts w:eastAsia="Calibri"/>
                <w:color w:val="000000"/>
                <w:sz w:val="28"/>
                <w:szCs w:val="28"/>
              </w:rPr>
              <w:t xml:space="preserve">MI, </w:t>
            </w:r>
          </w:p>
          <w:p w14:paraId="026F36FE" w14:textId="77777777" w:rsidR="00180D3E" w:rsidRPr="00520861" w:rsidRDefault="00180D3E" w:rsidP="00292D2E">
            <w:pPr>
              <w:widowControl w:val="0"/>
              <w:pBdr>
                <w:top w:val="nil"/>
                <w:left w:val="nil"/>
                <w:bottom w:val="nil"/>
                <w:right w:val="nil"/>
                <w:between w:val="nil"/>
              </w:pBdr>
              <w:spacing w:line="360" w:lineRule="auto"/>
              <w:ind w:right="-106"/>
              <w:jc w:val="center"/>
              <w:rPr>
                <w:rFonts w:eastAsia="Calibri"/>
                <w:color w:val="000000"/>
                <w:sz w:val="28"/>
                <w:szCs w:val="28"/>
              </w:rPr>
            </w:pPr>
            <w:r w:rsidRPr="00520861">
              <w:rPr>
                <w:rFonts w:eastAsia="Calibri"/>
                <w:color w:val="000000"/>
                <w:sz w:val="28"/>
                <w:szCs w:val="28"/>
              </w:rPr>
              <w:t>ВП</w:t>
            </w:r>
            <w:r w:rsidRPr="00520861">
              <w:rPr>
                <w:color w:val="000000"/>
                <w:sz w:val="28"/>
                <w:szCs w:val="28"/>
              </w:rPr>
              <w:t>-VІ</w:t>
            </w:r>
          </w:p>
        </w:tc>
        <w:tc>
          <w:tcPr>
            <w:tcW w:w="1276" w:type="dxa"/>
            <w:tcBorders>
              <w:top w:val="single" w:sz="4" w:space="0" w:color="auto"/>
              <w:left w:val="single" w:sz="4" w:space="0" w:color="auto"/>
              <w:bottom w:val="single" w:sz="4" w:space="0" w:color="auto"/>
              <w:right w:val="single" w:sz="4" w:space="0" w:color="auto"/>
            </w:tcBorders>
          </w:tcPr>
          <w:p w14:paraId="7F9D5AED"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4,425</w:t>
            </w:r>
          </w:p>
          <w:p w14:paraId="52B64031" w14:textId="77777777" w:rsidR="00180D3E" w:rsidRPr="00520861" w:rsidRDefault="00180D3E" w:rsidP="00292D2E">
            <w:pPr>
              <w:widowControl w:val="0"/>
              <w:spacing w:line="360" w:lineRule="auto"/>
              <w:ind w:left="-108" w:right="-106"/>
              <w:jc w:val="center"/>
              <w:rPr>
                <w:rFonts w:eastAsia="Calibri"/>
                <w:sz w:val="28"/>
                <w:szCs w:val="28"/>
                <w:lang w:eastAsia="en-US"/>
              </w:rPr>
            </w:pPr>
          </w:p>
        </w:tc>
        <w:tc>
          <w:tcPr>
            <w:tcW w:w="1418" w:type="dxa"/>
            <w:tcBorders>
              <w:top w:val="single" w:sz="4" w:space="0" w:color="auto"/>
              <w:left w:val="single" w:sz="4" w:space="0" w:color="auto"/>
              <w:bottom w:val="single" w:sz="4" w:space="0" w:color="auto"/>
              <w:right w:val="single" w:sz="4" w:space="0" w:color="auto"/>
            </w:tcBorders>
          </w:tcPr>
          <w:p w14:paraId="34C97F94"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4,910</w:t>
            </w:r>
          </w:p>
          <w:p w14:paraId="31301A32" w14:textId="77777777" w:rsidR="00180D3E" w:rsidRPr="00520861" w:rsidRDefault="00180D3E" w:rsidP="00292D2E">
            <w:pPr>
              <w:widowControl w:val="0"/>
              <w:spacing w:line="360" w:lineRule="auto"/>
              <w:ind w:right="-106"/>
              <w:jc w:val="center"/>
              <w:rPr>
                <w:rFonts w:eastAsia="Calibri"/>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tcPr>
          <w:p w14:paraId="1D69CA4E"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4,167</w:t>
            </w:r>
          </w:p>
          <w:p w14:paraId="7E82D984" w14:textId="77777777" w:rsidR="00180D3E" w:rsidRPr="00520861" w:rsidRDefault="00180D3E" w:rsidP="00292D2E">
            <w:pPr>
              <w:widowControl w:val="0"/>
              <w:spacing w:line="360" w:lineRule="auto"/>
              <w:ind w:right="-106"/>
              <w:jc w:val="center"/>
              <w:rPr>
                <w:rFonts w:eastAsia="Calibri"/>
                <w:sz w:val="28"/>
                <w:szCs w:val="28"/>
                <w:lang w:eastAsia="en-US"/>
              </w:rPr>
            </w:pPr>
          </w:p>
        </w:tc>
        <w:tc>
          <w:tcPr>
            <w:tcW w:w="1418" w:type="dxa"/>
            <w:tcBorders>
              <w:top w:val="single" w:sz="4" w:space="0" w:color="auto"/>
              <w:left w:val="single" w:sz="4" w:space="0" w:color="auto"/>
              <w:bottom w:val="single" w:sz="4" w:space="0" w:color="auto"/>
              <w:right w:val="single" w:sz="4" w:space="0" w:color="auto"/>
            </w:tcBorders>
          </w:tcPr>
          <w:p w14:paraId="7CDF8C38"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4,617</w:t>
            </w:r>
          </w:p>
          <w:p w14:paraId="27133682" w14:textId="77777777" w:rsidR="00180D3E" w:rsidRPr="00520861" w:rsidRDefault="00180D3E" w:rsidP="00292D2E">
            <w:pPr>
              <w:widowControl w:val="0"/>
              <w:spacing w:line="360" w:lineRule="auto"/>
              <w:ind w:right="-106"/>
              <w:jc w:val="center"/>
              <w:rPr>
                <w:rFonts w:eastAsia="Calibri"/>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hideMark/>
          </w:tcPr>
          <w:p w14:paraId="271EDDF0" w14:textId="77777777" w:rsidR="00180D3E" w:rsidRPr="00520861" w:rsidRDefault="00180D3E" w:rsidP="00292D2E">
            <w:pPr>
              <w:widowControl w:val="0"/>
              <w:spacing w:line="360" w:lineRule="auto"/>
              <w:ind w:right="-106"/>
              <w:jc w:val="center"/>
              <w:rPr>
                <w:sz w:val="28"/>
                <w:szCs w:val="28"/>
              </w:rPr>
            </w:pPr>
            <w:r w:rsidRPr="00520861">
              <w:rPr>
                <w:rFonts w:eastAsia="Calibri"/>
                <w:sz w:val="28"/>
                <w:szCs w:val="28"/>
                <w:lang w:eastAsia="en-US"/>
              </w:rPr>
              <w:t>5,425</w:t>
            </w:r>
            <w:r w:rsidRPr="00520861">
              <w:rPr>
                <w:sz w:val="28"/>
                <w:szCs w:val="28"/>
              </w:rPr>
              <w:t>*</w:t>
            </w:r>
          </w:p>
          <w:p w14:paraId="66350951"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=0,00586)</w:t>
            </w:r>
          </w:p>
        </w:tc>
        <w:tc>
          <w:tcPr>
            <w:tcW w:w="1730" w:type="dxa"/>
            <w:tcBorders>
              <w:top w:val="single" w:sz="4" w:space="0" w:color="auto"/>
              <w:left w:val="single" w:sz="4" w:space="0" w:color="auto"/>
              <w:bottom w:val="single" w:sz="4" w:space="0" w:color="auto"/>
              <w:right w:val="single" w:sz="4" w:space="0" w:color="auto"/>
            </w:tcBorders>
            <w:hideMark/>
          </w:tcPr>
          <w:p w14:paraId="1BB34D0F" w14:textId="77777777" w:rsidR="00180D3E" w:rsidRPr="00520861" w:rsidRDefault="00180D3E" w:rsidP="00292D2E">
            <w:pPr>
              <w:widowControl w:val="0"/>
              <w:spacing w:line="360" w:lineRule="auto"/>
              <w:ind w:right="-106"/>
              <w:jc w:val="center"/>
              <w:rPr>
                <w:sz w:val="28"/>
                <w:szCs w:val="28"/>
              </w:rPr>
            </w:pPr>
            <w:r w:rsidRPr="00520861">
              <w:rPr>
                <w:rFonts w:eastAsia="Calibri"/>
                <w:sz w:val="28"/>
                <w:szCs w:val="28"/>
                <w:lang w:eastAsia="en-US"/>
              </w:rPr>
              <w:t>5,100</w:t>
            </w:r>
            <w:r w:rsidRPr="00520861">
              <w:rPr>
                <w:sz w:val="28"/>
                <w:szCs w:val="28"/>
              </w:rPr>
              <w:t>*</w:t>
            </w:r>
          </w:p>
          <w:p w14:paraId="489FE9C0"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=0,03822)</w:t>
            </w:r>
          </w:p>
        </w:tc>
      </w:tr>
      <w:tr w:rsidR="00180D3E" w:rsidRPr="00520861" w14:paraId="66DFC276" w14:textId="77777777" w:rsidTr="00292D2E">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156BC421" w14:textId="77777777" w:rsidR="00180D3E" w:rsidRPr="00520861" w:rsidRDefault="00180D3E" w:rsidP="00292D2E">
            <w:pPr>
              <w:widowControl w:val="0"/>
              <w:pBdr>
                <w:top w:val="nil"/>
                <w:left w:val="nil"/>
                <w:bottom w:val="nil"/>
                <w:right w:val="nil"/>
                <w:between w:val="nil"/>
              </w:pBdr>
              <w:spacing w:line="360" w:lineRule="auto"/>
              <w:ind w:right="-106"/>
              <w:jc w:val="center"/>
              <w:rPr>
                <w:rFonts w:eastAsia="Calibri"/>
                <w:color w:val="000000"/>
                <w:sz w:val="28"/>
                <w:szCs w:val="28"/>
              </w:rPr>
            </w:pPr>
            <w:r w:rsidRPr="00520861">
              <w:rPr>
                <w:rFonts w:eastAsia="Calibri"/>
                <w:color w:val="000000"/>
                <w:sz w:val="28"/>
                <w:szCs w:val="28"/>
              </w:rPr>
              <w:t xml:space="preserve">PMI, </w:t>
            </w:r>
          </w:p>
          <w:p w14:paraId="624FE959" w14:textId="77777777" w:rsidR="00180D3E" w:rsidRPr="00520861" w:rsidRDefault="00180D3E" w:rsidP="00292D2E">
            <w:pPr>
              <w:widowControl w:val="0"/>
              <w:pBdr>
                <w:top w:val="nil"/>
                <w:left w:val="nil"/>
                <w:bottom w:val="nil"/>
                <w:right w:val="nil"/>
                <w:between w:val="nil"/>
              </w:pBdr>
              <w:spacing w:line="360" w:lineRule="auto"/>
              <w:ind w:right="-106"/>
              <w:jc w:val="center"/>
              <w:rPr>
                <w:color w:val="000000"/>
                <w:sz w:val="28"/>
                <w:szCs w:val="28"/>
              </w:rPr>
            </w:pPr>
            <w:r w:rsidRPr="00520861">
              <w:rPr>
                <w:rFonts w:eastAsia="Calibri"/>
                <w:color w:val="000000"/>
                <w:sz w:val="28"/>
                <w:szCs w:val="28"/>
              </w:rPr>
              <w:t>ВП</w:t>
            </w:r>
            <w:r w:rsidRPr="00520861">
              <w:rPr>
                <w:color w:val="000000"/>
                <w:sz w:val="28"/>
                <w:szCs w:val="28"/>
              </w:rPr>
              <w:t>-VІІ</w:t>
            </w:r>
          </w:p>
        </w:tc>
        <w:tc>
          <w:tcPr>
            <w:tcW w:w="1276" w:type="dxa"/>
            <w:tcBorders>
              <w:top w:val="single" w:sz="4" w:space="0" w:color="auto"/>
              <w:left w:val="single" w:sz="4" w:space="0" w:color="auto"/>
              <w:bottom w:val="single" w:sz="4" w:space="0" w:color="auto"/>
              <w:right w:val="single" w:sz="4" w:space="0" w:color="auto"/>
            </w:tcBorders>
          </w:tcPr>
          <w:p w14:paraId="2EB7E07D"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rFonts w:eastAsia="Calibri"/>
                <w:sz w:val="28"/>
                <w:szCs w:val="28"/>
                <w:lang w:eastAsia="en-US"/>
              </w:rPr>
              <w:t>0,222</w:t>
            </w:r>
          </w:p>
          <w:p w14:paraId="5F2BD720" w14:textId="77777777" w:rsidR="00180D3E" w:rsidRPr="00520861" w:rsidRDefault="00180D3E" w:rsidP="00292D2E">
            <w:pPr>
              <w:widowControl w:val="0"/>
              <w:spacing w:line="360" w:lineRule="auto"/>
              <w:ind w:left="-108" w:right="-106"/>
              <w:jc w:val="center"/>
              <w:rPr>
                <w:rFonts w:eastAsia="Calibri"/>
                <w:sz w:val="28"/>
                <w:szCs w:val="28"/>
                <w:lang w:eastAsia="en-US"/>
              </w:rPr>
            </w:pPr>
          </w:p>
        </w:tc>
        <w:tc>
          <w:tcPr>
            <w:tcW w:w="1418" w:type="dxa"/>
            <w:tcBorders>
              <w:top w:val="single" w:sz="4" w:space="0" w:color="auto"/>
              <w:left w:val="single" w:sz="4" w:space="0" w:color="auto"/>
              <w:bottom w:val="single" w:sz="4" w:space="0" w:color="auto"/>
              <w:right w:val="single" w:sz="4" w:space="0" w:color="auto"/>
            </w:tcBorders>
            <w:hideMark/>
          </w:tcPr>
          <w:p w14:paraId="2FE8DDEA" w14:textId="77777777" w:rsidR="00180D3E" w:rsidRPr="00520861" w:rsidRDefault="00180D3E" w:rsidP="00292D2E">
            <w:pPr>
              <w:widowControl w:val="0"/>
              <w:spacing w:line="360" w:lineRule="auto"/>
              <w:ind w:right="-106"/>
              <w:jc w:val="center"/>
              <w:rPr>
                <w:sz w:val="28"/>
                <w:szCs w:val="28"/>
              </w:rPr>
            </w:pPr>
            <w:r w:rsidRPr="00520861">
              <w:rPr>
                <w:rFonts w:eastAsia="Calibri"/>
                <w:sz w:val="28"/>
                <w:szCs w:val="28"/>
                <w:lang w:eastAsia="en-US"/>
              </w:rPr>
              <w:t>0,244</w:t>
            </w:r>
            <w:r w:rsidRPr="00520861">
              <w:rPr>
                <w:sz w:val="28"/>
                <w:szCs w:val="28"/>
              </w:rPr>
              <w:t>*</w:t>
            </w:r>
          </w:p>
          <w:p w14:paraId="13961415"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=0,00566)</w:t>
            </w:r>
          </w:p>
        </w:tc>
        <w:tc>
          <w:tcPr>
            <w:tcW w:w="1417" w:type="dxa"/>
            <w:tcBorders>
              <w:top w:val="single" w:sz="4" w:space="0" w:color="auto"/>
              <w:left w:val="single" w:sz="4" w:space="0" w:color="auto"/>
              <w:bottom w:val="single" w:sz="4" w:space="0" w:color="auto"/>
              <w:right w:val="single" w:sz="4" w:space="0" w:color="auto"/>
            </w:tcBorders>
          </w:tcPr>
          <w:p w14:paraId="7F8D1456"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0,243</w:t>
            </w:r>
          </w:p>
          <w:p w14:paraId="6252159C" w14:textId="77777777" w:rsidR="00180D3E" w:rsidRPr="00520861" w:rsidRDefault="00180D3E" w:rsidP="00292D2E">
            <w:pPr>
              <w:widowControl w:val="0"/>
              <w:tabs>
                <w:tab w:val="left" w:pos="748"/>
              </w:tabs>
              <w:spacing w:line="360" w:lineRule="auto"/>
              <w:ind w:right="-106"/>
              <w:jc w:val="center"/>
              <w:rPr>
                <w:rFonts w:eastAsia="Calibri"/>
                <w:sz w:val="28"/>
                <w:szCs w:val="28"/>
                <w:lang w:eastAsia="en-US"/>
              </w:rPr>
            </w:pPr>
          </w:p>
        </w:tc>
        <w:tc>
          <w:tcPr>
            <w:tcW w:w="1418" w:type="dxa"/>
            <w:tcBorders>
              <w:top w:val="single" w:sz="4" w:space="0" w:color="auto"/>
              <w:left w:val="single" w:sz="4" w:space="0" w:color="auto"/>
              <w:bottom w:val="single" w:sz="4" w:space="0" w:color="auto"/>
              <w:right w:val="single" w:sz="4" w:space="0" w:color="auto"/>
            </w:tcBorders>
          </w:tcPr>
          <w:p w14:paraId="0213F0F2"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0,237</w:t>
            </w:r>
          </w:p>
          <w:p w14:paraId="520F1D46"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hideMark/>
          </w:tcPr>
          <w:p w14:paraId="28E2EA77" w14:textId="77777777" w:rsidR="00180D3E" w:rsidRPr="00520861" w:rsidRDefault="00180D3E" w:rsidP="00292D2E">
            <w:pPr>
              <w:widowControl w:val="0"/>
              <w:spacing w:line="360" w:lineRule="auto"/>
              <w:ind w:right="-106"/>
              <w:jc w:val="center"/>
              <w:rPr>
                <w:sz w:val="28"/>
                <w:szCs w:val="28"/>
              </w:rPr>
            </w:pPr>
            <w:r w:rsidRPr="00520861">
              <w:rPr>
                <w:rFonts w:eastAsia="Calibri"/>
                <w:sz w:val="28"/>
                <w:szCs w:val="28"/>
                <w:lang w:eastAsia="en-US"/>
              </w:rPr>
              <w:t>0,275</w:t>
            </w:r>
            <w:r w:rsidRPr="00520861">
              <w:rPr>
                <w:sz w:val="28"/>
                <w:szCs w:val="28"/>
              </w:rPr>
              <w:t>*</w:t>
            </w:r>
          </w:p>
          <w:p w14:paraId="24498E28"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=0,02699)</w:t>
            </w:r>
          </w:p>
        </w:tc>
        <w:tc>
          <w:tcPr>
            <w:tcW w:w="1730" w:type="dxa"/>
            <w:tcBorders>
              <w:top w:val="single" w:sz="4" w:space="0" w:color="auto"/>
              <w:left w:val="single" w:sz="4" w:space="0" w:color="auto"/>
              <w:bottom w:val="single" w:sz="4" w:space="0" w:color="auto"/>
              <w:right w:val="single" w:sz="4" w:space="0" w:color="auto"/>
            </w:tcBorders>
            <w:hideMark/>
          </w:tcPr>
          <w:p w14:paraId="34DF4D7A" w14:textId="77777777" w:rsidR="00180D3E" w:rsidRPr="00520861" w:rsidRDefault="00180D3E" w:rsidP="00292D2E">
            <w:pPr>
              <w:widowControl w:val="0"/>
              <w:spacing w:line="360" w:lineRule="auto"/>
              <w:ind w:right="-106"/>
              <w:jc w:val="center"/>
              <w:rPr>
                <w:sz w:val="28"/>
                <w:szCs w:val="28"/>
              </w:rPr>
            </w:pPr>
            <w:r w:rsidRPr="00520861">
              <w:rPr>
                <w:rFonts w:eastAsia="Calibri"/>
                <w:sz w:val="28"/>
                <w:szCs w:val="28"/>
                <w:lang w:eastAsia="en-US"/>
              </w:rPr>
              <w:t>0,296</w:t>
            </w:r>
            <w:r w:rsidRPr="00520861">
              <w:rPr>
                <w:sz w:val="28"/>
                <w:szCs w:val="28"/>
              </w:rPr>
              <w:t>*</w:t>
            </w:r>
          </w:p>
          <w:p w14:paraId="75AC1CF4" w14:textId="77777777" w:rsidR="00180D3E" w:rsidRPr="00520861" w:rsidRDefault="00180D3E" w:rsidP="00292D2E">
            <w:pPr>
              <w:widowControl w:val="0"/>
              <w:spacing w:line="360" w:lineRule="auto"/>
              <w:ind w:left="-108" w:right="-106"/>
              <w:jc w:val="center"/>
              <w:rPr>
                <w:rFonts w:eastAsia="Calibri"/>
                <w:sz w:val="28"/>
                <w:szCs w:val="28"/>
                <w:lang w:eastAsia="en-US"/>
              </w:rPr>
            </w:pPr>
            <w:r w:rsidRPr="00520861">
              <w:rPr>
                <w:sz w:val="28"/>
                <w:szCs w:val="28"/>
              </w:rPr>
              <w:t>(</w:t>
            </w:r>
            <w:r w:rsidRPr="00520861">
              <w:rPr>
                <w:i/>
                <w:sz w:val="28"/>
                <w:szCs w:val="28"/>
              </w:rPr>
              <w:t>p</w:t>
            </w:r>
            <w:r w:rsidRPr="00520861">
              <w:rPr>
                <w:sz w:val="28"/>
                <w:szCs w:val="28"/>
              </w:rPr>
              <w:t>=0,00125)</w:t>
            </w:r>
          </w:p>
        </w:tc>
      </w:tr>
      <w:tr w:rsidR="00180D3E" w:rsidRPr="00520861" w14:paraId="29BD7194" w14:textId="77777777" w:rsidTr="00292D2E">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31341298" w14:textId="77777777" w:rsidR="00180D3E" w:rsidRPr="00520861" w:rsidRDefault="00180D3E" w:rsidP="00292D2E">
            <w:pPr>
              <w:widowControl w:val="0"/>
              <w:pBdr>
                <w:top w:val="nil"/>
                <w:left w:val="nil"/>
                <w:bottom w:val="nil"/>
                <w:right w:val="nil"/>
                <w:between w:val="nil"/>
              </w:pBdr>
              <w:spacing w:line="360" w:lineRule="auto"/>
              <w:ind w:right="-106"/>
              <w:jc w:val="center"/>
              <w:rPr>
                <w:rFonts w:eastAsia="Calibri"/>
                <w:color w:val="000000"/>
                <w:sz w:val="28"/>
                <w:szCs w:val="28"/>
              </w:rPr>
            </w:pPr>
            <w:r w:rsidRPr="00520861">
              <w:rPr>
                <w:rFonts w:eastAsia="Calibri"/>
                <w:color w:val="000000"/>
                <w:sz w:val="28"/>
                <w:szCs w:val="28"/>
              </w:rPr>
              <w:lastRenderedPageBreak/>
              <w:t>PMI,</w:t>
            </w:r>
          </w:p>
          <w:p w14:paraId="35BA1002" w14:textId="77777777" w:rsidR="00180D3E" w:rsidRPr="00520861" w:rsidRDefault="00180D3E" w:rsidP="00292D2E">
            <w:pPr>
              <w:widowControl w:val="0"/>
              <w:pBdr>
                <w:top w:val="nil"/>
                <w:left w:val="nil"/>
                <w:bottom w:val="nil"/>
                <w:right w:val="nil"/>
                <w:between w:val="nil"/>
              </w:pBdr>
              <w:spacing w:line="360" w:lineRule="auto"/>
              <w:ind w:right="-106"/>
              <w:jc w:val="center"/>
              <w:rPr>
                <w:color w:val="000000"/>
                <w:sz w:val="28"/>
                <w:szCs w:val="28"/>
              </w:rPr>
            </w:pPr>
            <w:r w:rsidRPr="00520861">
              <w:rPr>
                <w:rFonts w:eastAsia="Calibri"/>
                <w:color w:val="000000"/>
                <w:sz w:val="28"/>
                <w:szCs w:val="28"/>
              </w:rPr>
              <w:t>ВП-</w:t>
            </w:r>
            <w:r w:rsidRPr="00520861">
              <w:rPr>
                <w:color w:val="000000"/>
                <w:sz w:val="28"/>
                <w:szCs w:val="28"/>
              </w:rPr>
              <w:t>VIII</w:t>
            </w:r>
          </w:p>
        </w:tc>
        <w:tc>
          <w:tcPr>
            <w:tcW w:w="1276" w:type="dxa"/>
            <w:tcBorders>
              <w:top w:val="single" w:sz="4" w:space="0" w:color="auto"/>
              <w:left w:val="single" w:sz="4" w:space="0" w:color="auto"/>
              <w:bottom w:val="single" w:sz="4" w:space="0" w:color="auto"/>
              <w:right w:val="single" w:sz="4" w:space="0" w:color="auto"/>
            </w:tcBorders>
          </w:tcPr>
          <w:p w14:paraId="3E04FECF" w14:textId="77777777" w:rsidR="00180D3E" w:rsidRPr="00520861" w:rsidRDefault="00180D3E" w:rsidP="00292D2E">
            <w:pPr>
              <w:widowControl w:val="0"/>
              <w:spacing w:line="360" w:lineRule="auto"/>
              <w:ind w:left="-108" w:right="-106"/>
              <w:jc w:val="center"/>
              <w:rPr>
                <w:rFonts w:eastAsia="Calibri"/>
                <w:color w:val="000000"/>
                <w:sz w:val="28"/>
                <w:szCs w:val="28"/>
                <w:lang w:eastAsia="en-US"/>
              </w:rPr>
            </w:pPr>
            <w:r w:rsidRPr="00520861">
              <w:rPr>
                <w:rFonts w:eastAsia="Calibri"/>
                <w:color w:val="000000"/>
                <w:sz w:val="28"/>
                <w:szCs w:val="28"/>
                <w:lang w:eastAsia="en-US"/>
              </w:rPr>
              <w:t>0,245</w:t>
            </w:r>
          </w:p>
          <w:p w14:paraId="60B01C1F" w14:textId="77777777" w:rsidR="00180D3E" w:rsidRPr="00520861" w:rsidRDefault="00180D3E" w:rsidP="00292D2E">
            <w:pPr>
              <w:widowControl w:val="0"/>
              <w:spacing w:line="360" w:lineRule="auto"/>
              <w:ind w:left="-108" w:right="-106"/>
              <w:jc w:val="center"/>
              <w:rPr>
                <w:rFonts w:eastAsia="Calibri"/>
                <w:sz w:val="28"/>
                <w:szCs w:val="28"/>
                <w:lang w:eastAsia="en-US"/>
              </w:rPr>
            </w:pPr>
          </w:p>
        </w:tc>
        <w:tc>
          <w:tcPr>
            <w:tcW w:w="1418" w:type="dxa"/>
            <w:tcBorders>
              <w:top w:val="single" w:sz="4" w:space="0" w:color="auto"/>
              <w:left w:val="single" w:sz="4" w:space="0" w:color="auto"/>
              <w:bottom w:val="single" w:sz="4" w:space="0" w:color="auto"/>
              <w:right w:val="single" w:sz="4" w:space="0" w:color="auto"/>
            </w:tcBorders>
            <w:hideMark/>
          </w:tcPr>
          <w:p w14:paraId="5F33B1B1" w14:textId="77777777" w:rsidR="00180D3E" w:rsidRPr="00520861" w:rsidRDefault="00180D3E" w:rsidP="00292D2E">
            <w:pPr>
              <w:widowControl w:val="0"/>
              <w:spacing w:line="360" w:lineRule="auto"/>
              <w:ind w:right="-106"/>
              <w:jc w:val="center"/>
              <w:rPr>
                <w:sz w:val="28"/>
                <w:szCs w:val="28"/>
              </w:rPr>
            </w:pPr>
            <w:r w:rsidRPr="00520861">
              <w:rPr>
                <w:rFonts w:eastAsia="Calibri"/>
                <w:color w:val="000000"/>
                <w:sz w:val="28"/>
                <w:szCs w:val="28"/>
                <w:lang w:eastAsia="en-US"/>
              </w:rPr>
              <w:t>0,322</w:t>
            </w:r>
            <w:r w:rsidRPr="00520861">
              <w:rPr>
                <w:sz w:val="28"/>
                <w:szCs w:val="28"/>
              </w:rPr>
              <w:t>*</w:t>
            </w:r>
          </w:p>
          <w:p w14:paraId="5D34CABC" w14:textId="77777777" w:rsidR="00180D3E" w:rsidRPr="00520861" w:rsidRDefault="00180D3E" w:rsidP="00292D2E">
            <w:pPr>
              <w:widowControl w:val="0"/>
              <w:spacing w:line="360" w:lineRule="auto"/>
              <w:ind w:left="-108" w:right="-106"/>
              <w:jc w:val="center"/>
              <w:rPr>
                <w:rFonts w:eastAsia="Calibri"/>
                <w:color w:val="000000"/>
                <w:sz w:val="28"/>
                <w:szCs w:val="28"/>
                <w:lang w:eastAsia="en-US"/>
              </w:rPr>
            </w:pPr>
            <w:r w:rsidRPr="00520861">
              <w:rPr>
                <w:sz w:val="28"/>
                <w:szCs w:val="28"/>
              </w:rPr>
              <w:t>(</w:t>
            </w:r>
            <w:r w:rsidRPr="00520861">
              <w:rPr>
                <w:i/>
                <w:sz w:val="28"/>
                <w:szCs w:val="28"/>
              </w:rPr>
              <w:t>p</w:t>
            </w:r>
            <w:r w:rsidRPr="00520861">
              <w:rPr>
                <w:sz w:val="28"/>
                <w:szCs w:val="28"/>
              </w:rPr>
              <w:t>=0,00321)</w:t>
            </w:r>
          </w:p>
        </w:tc>
        <w:tc>
          <w:tcPr>
            <w:tcW w:w="1417" w:type="dxa"/>
            <w:tcBorders>
              <w:top w:val="single" w:sz="4" w:space="0" w:color="auto"/>
              <w:left w:val="single" w:sz="4" w:space="0" w:color="auto"/>
              <w:bottom w:val="single" w:sz="4" w:space="0" w:color="auto"/>
              <w:right w:val="single" w:sz="4" w:space="0" w:color="auto"/>
            </w:tcBorders>
            <w:hideMark/>
          </w:tcPr>
          <w:p w14:paraId="4D527CAA" w14:textId="77777777" w:rsidR="00180D3E" w:rsidRPr="00520861" w:rsidRDefault="00180D3E" w:rsidP="00292D2E">
            <w:pPr>
              <w:widowControl w:val="0"/>
              <w:spacing w:line="360" w:lineRule="auto"/>
              <w:ind w:right="-106"/>
              <w:jc w:val="center"/>
              <w:rPr>
                <w:rFonts w:eastAsia="Calibri"/>
                <w:color w:val="000000"/>
                <w:sz w:val="28"/>
                <w:szCs w:val="28"/>
                <w:lang w:eastAsia="en-US"/>
              </w:rPr>
            </w:pPr>
            <w:r w:rsidRPr="00520861">
              <w:rPr>
                <w:rFonts w:eastAsia="Calibri"/>
                <w:color w:val="000000"/>
                <w:sz w:val="28"/>
                <w:szCs w:val="28"/>
                <w:lang w:eastAsia="en-US"/>
              </w:rPr>
              <w:t>0,278</w:t>
            </w:r>
          </w:p>
        </w:tc>
        <w:tc>
          <w:tcPr>
            <w:tcW w:w="1418" w:type="dxa"/>
            <w:tcBorders>
              <w:top w:val="single" w:sz="4" w:space="0" w:color="auto"/>
              <w:left w:val="single" w:sz="4" w:space="0" w:color="auto"/>
              <w:bottom w:val="single" w:sz="4" w:space="0" w:color="auto"/>
              <w:right w:val="single" w:sz="4" w:space="0" w:color="auto"/>
            </w:tcBorders>
          </w:tcPr>
          <w:p w14:paraId="708574F3" w14:textId="77777777" w:rsidR="00180D3E" w:rsidRPr="00520861" w:rsidRDefault="00180D3E" w:rsidP="00292D2E">
            <w:pPr>
              <w:widowControl w:val="0"/>
              <w:spacing w:line="360" w:lineRule="auto"/>
              <w:ind w:right="-106"/>
              <w:jc w:val="center"/>
              <w:rPr>
                <w:rFonts w:eastAsia="Calibri"/>
                <w:color w:val="000000"/>
                <w:sz w:val="28"/>
                <w:szCs w:val="28"/>
                <w:lang w:eastAsia="en-US"/>
              </w:rPr>
            </w:pPr>
            <w:r w:rsidRPr="00520861">
              <w:rPr>
                <w:rFonts w:eastAsia="Calibri"/>
                <w:color w:val="000000"/>
                <w:sz w:val="28"/>
                <w:szCs w:val="28"/>
                <w:lang w:eastAsia="en-US"/>
              </w:rPr>
              <w:t>0,271</w:t>
            </w:r>
          </w:p>
          <w:p w14:paraId="4AE47D65" w14:textId="77777777" w:rsidR="00180D3E" w:rsidRPr="00520861" w:rsidRDefault="00180D3E" w:rsidP="00292D2E">
            <w:pPr>
              <w:widowControl w:val="0"/>
              <w:tabs>
                <w:tab w:val="left" w:pos="40"/>
              </w:tabs>
              <w:spacing w:line="360" w:lineRule="auto"/>
              <w:ind w:right="-106"/>
              <w:jc w:val="center"/>
              <w:rPr>
                <w:rFonts w:eastAsia="Calibri"/>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hideMark/>
          </w:tcPr>
          <w:p w14:paraId="3AAB73EB" w14:textId="77777777" w:rsidR="00180D3E" w:rsidRPr="00520861" w:rsidRDefault="00180D3E" w:rsidP="00292D2E">
            <w:pPr>
              <w:widowControl w:val="0"/>
              <w:spacing w:line="360" w:lineRule="auto"/>
              <w:ind w:right="-106"/>
              <w:jc w:val="center"/>
              <w:rPr>
                <w:sz w:val="28"/>
                <w:szCs w:val="28"/>
              </w:rPr>
            </w:pPr>
            <w:r w:rsidRPr="00520861">
              <w:rPr>
                <w:rFonts w:eastAsia="Calibri"/>
                <w:color w:val="000000"/>
                <w:sz w:val="28"/>
                <w:szCs w:val="28"/>
                <w:lang w:eastAsia="en-US"/>
              </w:rPr>
              <w:t>0,320</w:t>
            </w:r>
            <w:r w:rsidRPr="00520861">
              <w:rPr>
                <w:sz w:val="28"/>
                <w:szCs w:val="28"/>
              </w:rPr>
              <w:t>*</w:t>
            </w:r>
          </w:p>
          <w:p w14:paraId="5E8ACB3F" w14:textId="77777777" w:rsidR="00180D3E" w:rsidRPr="00520861" w:rsidRDefault="00180D3E" w:rsidP="00292D2E">
            <w:pPr>
              <w:widowControl w:val="0"/>
              <w:spacing w:line="360" w:lineRule="auto"/>
              <w:ind w:left="-108" w:right="-106"/>
              <w:jc w:val="center"/>
              <w:rPr>
                <w:rFonts w:eastAsia="Calibri"/>
                <w:color w:val="000000"/>
                <w:sz w:val="28"/>
                <w:szCs w:val="28"/>
                <w:lang w:eastAsia="en-US"/>
              </w:rPr>
            </w:pPr>
            <w:r w:rsidRPr="00520861">
              <w:rPr>
                <w:sz w:val="28"/>
                <w:szCs w:val="28"/>
              </w:rPr>
              <w:t>(</w:t>
            </w:r>
            <w:r w:rsidRPr="00520861">
              <w:rPr>
                <w:i/>
                <w:sz w:val="28"/>
                <w:szCs w:val="28"/>
              </w:rPr>
              <w:t>p</w:t>
            </w:r>
            <w:r w:rsidRPr="00520861">
              <w:rPr>
                <w:sz w:val="28"/>
                <w:szCs w:val="28"/>
              </w:rPr>
              <w:t>=0,03075)</w:t>
            </w:r>
          </w:p>
        </w:tc>
        <w:tc>
          <w:tcPr>
            <w:tcW w:w="1730" w:type="dxa"/>
            <w:tcBorders>
              <w:top w:val="single" w:sz="4" w:space="0" w:color="auto"/>
              <w:left w:val="single" w:sz="4" w:space="0" w:color="auto"/>
              <w:bottom w:val="single" w:sz="4" w:space="0" w:color="auto"/>
              <w:right w:val="single" w:sz="4" w:space="0" w:color="auto"/>
            </w:tcBorders>
            <w:hideMark/>
          </w:tcPr>
          <w:p w14:paraId="0DA417AA" w14:textId="77777777" w:rsidR="00180D3E" w:rsidRPr="00520861" w:rsidRDefault="00180D3E" w:rsidP="00292D2E">
            <w:pPr>
              <w:widowControl w:val="0"/>
              <w:spacing w:line="360" w:lineRule="auto"/>
              <w:ind w:right="-106"/>
              <w:jc w:val="center"/>
              <w:rPr>
                <w:sz w:val="28"/>
                <w:szCs w:val="28"/>
              </w:rPr>
            </w:pPr>
            <w:r w:rsidRPr="00520861">
              <w:rPr>
                <w:rFonts w:eastAsia="Calibri"/>
                <w:color w:val="000000"/>
                <w:sz w:val="28"/>
                <w:szCs w:val="28"/>
                <w:lang w:eastAsia="en-US"/>
              </w:rPr>
              <w:t>0,377</w:t>
            </w:r>
            <w:r w:rsidRPr="00520861">
              <w:rPr>
                <w:sz w:val="28"/>
                <w:szCs w:val="28"/>
              </w:rPr>
              <w:t>*</w:t>
            </w:r>
          </w:p>
          <w:p w14:paraId="6B2C9E2F" w14:textId="77777777" w:rsidR="00180D3E" w:rsidRPr="00520861" w:rsidRDefault="00180D3E" w:rsidP="00292D2E">
            <w:pPr>
              <w:widowControl w:val="0"/>
              <w:spacing w:line="360" w:lineRule="auto"/>
              <w:ind w:left="-108" w:right="-106"/>
              <w:jc w:val="center"/>
              <w:rPr>
                <w:rFonts w:eastAsia="Calibri"/>
                <w:color w:val="000000"/>
                <w:sz w:val="28"/>
                <w:szCs w:val="28"/>
                <w:lang w:eastAsia="en-US"/>
              </w:rPr>
            </w:pPr>
            <w:r w:rsidRPr="00520861">
              <w:rPr>
                <w:sz w:val="28"/>
                <w:szCs w:val="28"/>
              </w:rPr>
              <w:t>(</w:t>
            </w:r>
            <w:r w:rsidRPr="00520861">
              <w:rPr>
                <w:i/>
                <w:sz w:val="28"/>
                <w:szCs w:val="28"/>
              </w:rPr>
              <w:t>p</w:t>
            </w:r>
            <w:r w:rsidRPr="00520861">
              <w:rPr>
                <w:sz w:val="28"/>
                <w:szCs w:val="28"/>
              </w:rPr>
              <w:t>=0,00146)</w:t>
            </w:r>
          </w:p>
        </w:tc>
      </w:tr>
    </w:tbl>
    <w:p w14:paraId="63BB0205" w14:textId="77777777" w:rsidR="00180D3E" w:rsidRPr="00520861" w:rsidRDefault="00180D3E" w:rsidP="00292D2E">
      <w:pPr>
        <w:widowControl w:val="0"/>
        <w:spacing w:line="360" w:lineRule="auto"/>
        <w:ind w:right="141" w:firstLine="709"/>
        <w:jc w:val="center"/>
        <w:rPr>
          <w:rFonts w:eastAsia="Calibri"/>
          <w:b/>
          <w:i/>
          <w:sz w:val="28"/>
          <w:szCs w:val="28"/>
          <w:lang w:eastAsia="en-US"/>
        </w:rPr>
      </w:pPr>
      <w:r w:rsidRPr="00520861">
        <w:rPr>
          <w:rFonts w:eastAsia="Calibri"/>
          <w:b/>
          <w:sz w:val="28"/>
          <w:szCs w:val="28"/>
          <w:lang w:eastAsia="en-US"/>
        </w:rPr>
        <w:t>К</w:t>
      </w:r>
      <w:r w:rsidRPr="00520861">
        <w:rPr>
          <w:b/>
          <w:bCs/>
          <w:sz w:val="28"/>
          <w:szCs w:val="28"/>
        </w:rPr>
        <w:t xml:space="preserve">ількість оцінених </w:t>
      </w:r>
      <w:proofErr w:type="spellStart"/>
      <w:r w:rsidRPr="00520861">
        <w:rPr>
          <w:b/>
          <w:bCs/>
          <w:sz w:val="28"/>
          <w:szCs w:val="28"/>
        </w:rPr>
        <w:t>ортопантомограм</w:t>
      </w:r>
      <w:proofErr w:type="spellEnd"/>
      <w:r w:rsidRPr="00520861">
        <w:rPr>
          <w:b/>
          <w:bCs/>
          <w:sz w:val="28"/>
          <w:szCs w:val="28"/>
        </w:rPr>
        <w:t xml:space="preserve"> учасників (чоловічої / жіночої статі) у ВП-V – ВП-VІІІ та з</w:t>
      </w:r>
      <w:r w:rsidRPr="00520861">
        <w:rPr>
          <w:rFonts w:eastAsia="Calibri"/>
          <w:b/>
          <w:sz w:val="28"/>
          <w:szCs w:val="28"/>
          <w:lang w:eastAsia="en-US"/>
        </w:rPr>
        <w:t xml:space="preserve">начення математичного очікування обчислених </w:t>
      </w:r>
      <w:r w:rsidRPr="00520861">
        <w:rPr>
          <w:rFonts w:eastAsia="Calibri"/>
          <w:b/>
          <w:sz w:val="28"/>
          <w:szCs w:val="28"/>
          <w:lang w:eastAsia="en-US"/>
        </w:rPr>
        <w:br/>
      </w:r>
      <w:proofErr w:type="spellStart"/>
      <w:r w:rsidRPr="00520861">
        <w:rPr>
          <w:rFonts w:eastAsia="Calibri"/>
          <w:b/>
          <w:sz w:val="28"/>
          <w:szCs w:val="28"/>
          <w:lang w:eastAsia="en-US"/>
        </w:rPr>
        <w:t>рентгенморфометричних</w:t>
      </w:r>
      <w:proofErr w:type="spellEnd"/>
      <w:r w:rsidRPr="00520861">
        <w:rPr>
          <w:rFonts w:eastAsia="Calibri"/>
          <w:b/>
          <w:sz w:val="28"/>
          <w:szCs w:val="28"/>
          <w:lang w:eastAsia="en-US"/>
        </w:rPr>
        <w:t xml:space="preserve"> індексів (</w:t>
      </w:r>
      <w:proofErr w:type="spellStart"/>
      <w:r w:rsidRPr="00520861">
        <w:rPr>
          <w:rFonts w:eastAsia="Calibri"/>
          <w:b/>
          <w:sz w:val="28"/>
          <w:szCs w:val="28"/>
          <w:lang w:eastAsia="en-US"/>
        </w:rPr>
        <w:t>у.о</w:t>
      </w:r>
      <w:proofErr w:type="spellEnd"/>
      <w:r w:rsidRPr="00520861">
        <w:rPr>
          <w:rFonts w:eastAsia="Calibri"/>
          <w:b/>
          <w:sz w:val="28"/>
          <w:szCs w:val="28"/>
          <w:lang w:eastAsia="en-US"/>
        </w:rPr>
        <w:t>.)</w:t>
      </w:r>
    </w:p>
    <w:p w14:paraId="1849700E" w14:textId="77777777" w:rsidR="00180D3E" w:rsidRPr="00520861" w:rsidRDefault="00180D3E" w:rsidP="00292D2E">
      <w:pPr>
        <w:widowControl w:val="0"/>
        <w:pBdr>
          <w:top w:val="nil"/>
          <w:left w:val="nil"/>
          <w:bottom w:val="nil"/>
          <w:right w:val="nil"/>
          <w:between w:val="nil"/>
        </w:pBdr>
        <w:spacing w:line="360" w:lineRule="auto"/>
        <w:ind w:right="48" w:firstLine="708"/>
        <w:contextualSpacing/>
        <w:jc w:val="both"/>
        <w:rPr>
          <w:sz w:val="28"/>
          <w:szCs w:val="28"/>
        </w:rPr>
      </w:pPr>
      <w:r w:rsidRPr="00520861">
        <w:rPr>
          <w:rFonts w:eastAsia="Calibri"/>
          <w:color w:val="000000"/>
          <w:sz w:val="28"/>
          <w:szCs w:val="28"/>
        </w:rPr>
        <w:t xml:space="preserve">Примітка: </w:t>
      </w:r>
      <w:r w:rsidRPr="00520861">
        <w:rPr>
          <w:b/>
          <w:sz w:val="28"/>
          <w:szCs w:val="28"/>
        </w:rPr>
        <w:t xml:space="preserve">* </w:t>
      </w:r>
      <w:r w:rsidRPr="00520861">
        <w:rPr>
          <w:sz w:val="28"/>
          <w:szCs w:val="28"/>
        </w:rPr>
        <w:t xml:space="preserve">– відмінність від ГП статистично вірогідна, ймовірність похибки </w:t>
      </w:r>
      <w:r w:rsidRPr="00520861">
        <w:rPr>
          <w:i/>
          <w:sz w:val="28"/>
          <w:szCs w:val="28"/>
        </w:rPr>
        <w:t>p</w:t>
      </w:r>
      <w:r w:rsidR="00FF6C32" w:rsidRPr="00520861">
        <w:rPr>
          <w:rFonts w:eastAsia="Calibri"/>
          <w:sz w:val="28"/>
          <w:szCs w:val="28"/>
          <w:lang w:eastAsia="en-US"/>
        </w:rPr>
        <w:t>&lt;</w:t>
      </w:r>
      <w:r w:rsidRPr="00520861">
        <w:rPr>
          <w:sz w:val="28"/>
          <w:szCs w:val="28"/>
        </w:rPr>
        <w:t>0,05 за критерієм Манна – Уітні.</w:t>
      </w:r>
    </w:p>
    <w:p w14:paraId="545C94B0" w14:textId="77777777" w:rsidR="00180D3E" w:rsidRPr="00520861" w:rsidRDefault="00180D3E" w:rsidP="00292D2E">
      <w:pPr>
        <w:widowControl w:val="0"/>
        <w:spacing w:line="360" w:lineRule="auto"/>
        <w:ind w:right="141"/>
        <w:jc w:val="both"/>
        <w:rPr>
          <w:rFonts w:eastAsia="Calibri"/>
          <w:sz w:val="28"/>
          <w:szCs w:val="28"/>
          <w:lang w:eastAsia="en-US"/>
        </w:rPr>
      </w:pPr>
      <w:r w:rsidRPr="00520861">
        <w:rPr>
          <w:rFonts w:eastAsia="Calibri"/>
          <w:noProof/>
          <w:sz w:val="28"/>
          <w:szCs w:val="28"/>
          <w:lang w:val="ru-RU"/>
        </w:rPr>
        <mc:AlternateContent>
          <mc:Choice Requires="wps">
            <w:drawing>
              <wp:anchor distT="0" distB="0" distL="114300" distR="114300" simplePos="0" relativeHeight="251668480" behindDoc="0" locked="0" layoutInCell="1" allowOverlap="1" wp14:anchorId="0537A78D" wp14:editId="43238D43">
                <wp:simplePos x="0" y="0"/>
                <wp:positionH relativeFrom="column">
                  <wp:posOffset>4115342</wp:posOffset>
                </wp:positionH>
                <wp:positionV relativeFrom="paragraph">
                  <wp:posOffset>2531811</wp:posOffset>
                </wp:positionV>
                <wp:extent cx="89050" cy="64637"/>
                <wp:effectExtent l="19050" t="19050" r="25400" b="31115"/>
                <wp:wrapNone/>
                <wp:docPr id="9" name="Блок-схема: процесс 9"/>
                <wp:cNvGraphicFramePr/>
                <a:graphic xmlns:a="http://schemas.openxmlformats.org/drawingml/2006/main">
                  <a:graphicData uri="http://schemas.microsoft.com/office/word/2010/wordprocessingShape">
                    <wps:wsp>
                      <wps:cNvSpPr/>
                      <wps:spPr>
                        <a:xfrm rot="21273283">
                          <a:off x="0" y="0"/>
                          <a:ext cx="89050" cy="64637"/>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90E8D6" id="_x0000_t109" coordsize="21600,21600" o:spt="109" path="m,l,21600r21600,l21600,xe">
                <v:stroke joinstyle="miter"/>
                <v:path gradientshapeok="t" o:connecttype="rect"/>
              </v:shapetype>
              <v:shape id="Блок-схема: процесс 9" o:spid="_x0000_s1026" type="#_x0000_t109" style="position:absolute;margin-left:324.05pt;margin-top:199.35pt;width:7pt;height:5.1pt;rotation:-356862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" fillcolor="window" strokecolor="#385d8a" strokeweight="2pt"/>
            </w:pict>
          </mc:Fallback>
        </mc:AlternateContent>
      </w:r>
      <w:r w:rsidRPr="00520861">
        <w:rPr>
          <w:rFonts w:eastAsia="Calibri"/>
          <w:noProof/>
          <w:sz w:val="28"/>
          <w:szCs w:val="28"/>
          <w:lang w:val="ru-RU"/>
        </w:rPr>
        <w:drawing>
          <wp:inline distT="0" distB="0" distL="0" distR="0" wp14:anchorId="45EF104B" wp14:editId="7F50D5A0">
            <wp:extent cx="6379200" cy="3002400"/>
            <wp:effectExtent l="0" t="0" r="3175" b="7620"/>
            <wp:docPr id="123" name="Рисунок 5" descr="марченко сереж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марченко сережа"/>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6379200" cy="3002400"/>
                    </a:xfrm>
                    <a:prstGeom prst="rect">
                      <a:avLst/>
                    </a:prstGeom>
                    <a:noFill/>
                    <a:ln>
                      <a:noFill/>
                    </a:ln>
                  </pic:spPr>
                </pic:pic>
              </a:graphicData>
            </a:graphic>
          </wp:inline>
        </w:drawing>
      </w:r>
    </w:p>
    <w:p w14:paraId="7EC10857" w14:textId="77777777" w:rsidR="00180D3E" w:rsidRPr="00520861" w:rsidRDefault="00180D3E" w:rsidP="00292D2E">
      <w:pPr>
        <w:widowControl w:val="0"/>
        <w:spacing w:line="360" w:lineRule="auto"/>
        <w:ind w:firstLine="708"/>
        <w:jc w:val="center"/>
        <w:rPr>
          <w:sz w:val="28"/>
          <w:szCs w:val="28"/>
        </w:rPr>
      </w:pPr>
      <w:r w:rsidRPr="00520861">
        <w:rPr>
          <w:sz w:val="28"/>
          <w:szCs w:val="28"/>
        </w:rPr>
        <w:t xml:space="preserve">Рис. 7.5 </w:t>
      </w:r>
      <w:proofErr w:type="spellStart"/>
      <w:r w:rsidRPr="00520861">
        <w:rPr>
          <w:sz w:val="28"/>
          <w:szCs w:val="28"/>
        </w:rPr>
        <w:t>Ортопантомограма</w:t>
      </w:r>
      <w:proofErr w:type="spellEnd"/>
      <w:r w:rsidRPr="00520861">
        <w:rPr>
          <w:sz w:val="28"/>
          <w:szCs w:val="28"/>
        </w:rPr>
        <w:t xml:space="preserve"> пацієнта М., 30 років,</w:t>
      </w:r>
      <w:r w:rsidRPr="00520861">
        <w:rPr>
          <w:bCs/>
          <w:iCs/>
          <w:sz w:val="28"/>
          <w:szCs w:val="28"/>
        </w:rPr>
        <w:t xml:space="preserve"> амб. карта № 161628, </w:t>
      </w:r>
      <w:r w:rsidRPr="00520861">
        <w:rPr>
          <w:sz w:val="28"/>
          <w:szCs w:val="28"/>
        </w:rPr>
        <w:t xml:space="preserve">під-група 2. Спостерігається </w:t>
      </w:r>
      <w:proofErr w:type="spellStart"/>
      <w:r w:rsidRPr="00520861">
        <w:rPr>
          <w:sz w:val="28"/>
          <w:szCs w:val="28"/>
        </w:rPr>
        <w:t>крупнопетлистий</w:t>
      </w:r>
      <w:proofErr w:type="spellEnd"/>
      <w:r w:rsidRPr="00520861">
        <w:rPr>
          <w:sz w:val="28"/>
          <w:szCs w:val="28"/>
        </w:rPr>
        <w:t xml:space="preserve"> малюнок кісткової тканин нижньої </w:t>
      </w:r>
      <w:r w:rsidRPr="00520861">
        <w:rPr>
          <w:sz w:val="28"/>
          <w:szCs w:val="28"/>
        </w:rPr>
        <w:br/>
        <w:t xml:space="preserve">щелепи, множинні каріозні ураження зубів. Зуб 38 – </w:t>
      </w:r>
      <w:proofErr w:type="spellStart"/>
      <w:r w:rsidRPr="00520861">
        <w:rPr>
          <w:sz w:val="28"/>
          <w:szCs w:val="28"/>
        </w:rPr>
        <w:t>напівретенований</w:t>
      </w:r>
      <w:proofErr w:type="spellEnd"/>
      <w:r w:rsidRPr="00520861">
        <w:rPr>
          <w:sz w:val="28"/>
          <w:szCs w:val="28"/>
        </w:rPr>
        <w:t xml:space="preserve"> (</w:t>
      </w:r>
      <w:proofErr w:type="spellStart"/>
      <w:r w:rsidRPr="00520861">
        <w:rPr>
          <w:sz w:val="28"/>
          <w:szCs w:val="28"/>
        </w:rPr>
        <w:t>мезіальний</w:t>
      </w:r>
      <w:proofErr w:type="spellEnd"/>
      <w:r w:rsidRPr="00520861">
        <w:rPr>
          <w:sz w:val="28"/>
          <w:szCs w:val="28"/>
        </w:rPr>
        <w:t xml:space="preserve"> </w:t>
      </w:r>
      <w:r w:rsidRPr="00520861">
        <w:rPr>
          <w:sz w:val="28"/>
          <w:szCs w:val="28"/>
        </w:rPr>
        <w:br/>
        <w:t xml:space="preserve">нахил). Тонка кортикальна пластинка (біла </w:t>
      </w:r>
      <w:proofErr w:type="spellStart"/>
      <w:r w:rsidRPr="00520861">
        <w:rPr>
          <w:sz w:val="28"/>
          <w:szCs w:val="28"/>
        </w:rPr>
        <w:t>полоска</w:t>
      </w:r>
      <w:proofErr w:type="spellEnd"/>
      <w:r w:rsidRPr="00520861">
        <w:rPr>
          <w:sz w:val="28"/>
          <w:szCs w:val="28"/>
        </w:rPr>
        <w:t>) нижньої щелепи.</w:t>
      </w:r>
    </w:p>
    <w:p w14:paraId="4E69DABB" w14:textId="77777777" w:rsidR="00180D3E" w:rsidRPr="00520861" w:rsidRDefault="00180D3E" w:rsidP="00292D2E">
      <w:pPr>
        <w:widowControl w:val="0"/>
        <w:spacing w:line="360" w:lineRule="auto"/>
        <w:ind w:right="141" w:firstLine="709"/>
        <w:jc w:val="both"/>
        <w:rPr>
          <w:rFonts w:eastAsia="Calibri"/>
          <w:sz w:val="28"/>
          <w:szCs w:val="28"/>
          <w:lang w:eastAsia="en-US"/>
        </w:rPr>
      </w:pPr>
    </w:p>
    <w:p w14:paraId="4DF90BC7" w14:textId="77777777" w:rsidR="00180D3E" w:rsidRPr="00520861" w:rsidRDefault="00180D3E" w:rsidP="00292D2E">
      <w:pPr>
        <w:widowControl w:val="0"/>
        <w:spacing w:line="360" w:lineRule="auto"/>
        <w:ind w:right="141" w:firstLine="709"/>
        <w:jc w:val="both"/>
        <w:rPr>
          <w:rFonts w:eastAsia="Calibri"/>
          <w:sz w:val="28"/>
          <w:szCs w:val="28"/>
          <w:lang w:eastAsia="en-US"/>
        </w:rPr>
      </w:pPr>
      <w:r w:rsidRPr="00520861">
        <w:rPr>
          <w:rFonts w:eastAsia="Calibri"/>
          <w:sz w:val="28"/>
          <w:szCs w:val="28"/>
          <w:lang w:eastAsia="en-US"/>
        </w:rPr>
        <w:t>Отже, результати нашого дослідження свідчать, що індекс РМІ є інформативним, але його застосування потребує додаткових умов (наприклад, точного визначення індексу МІ).</w:t>
      </w:r>
    </w:p>
    <w:p w14:paraId="6645B4F2" w14:textId="77777777" w:rsidR="00180D3E" w:rsidRPr="00520861" w:rsidRDefault="00180D3E" w:rsidP="00292D2E">
      <w:pPr>
        <w:widowControl w:val="0"/>
        <w:spacing w:line="360" w:lineRule="auto"/>
        <w:ind w:right="141" w:firstLine="709"/>
        <w:jc w:val="both"/>
        <w:rPr>
          <w:rFonts w:eastAsia="Calibri"/>
          <w:sz w:val="28"/>
          <w:szCs w:val="28"/>
          <w:lang w:eastAsia="en-US"/>
        </w:rPr>
      </w:pPr>
      <w:r w:rsidRPr="00520861">
        <w:rPr>
          <w:rFonts w:eastAsia="Calibri"/>
          <w:sz w:val="28"/>
          <w:szCs w:val="28"/>
          <w:lang w:eastAsia="en-US"/>
        </w:rPr>
        <w:t xml:space="preserve">Первинна </w:t>
      </w:r>
      <w:proofErr w:type="spellStart"/>
      <w:r w:rsidRPr="00520861">
        <w:rPr>
          <w:rFonts w:eastAsia="Calibri"/>
          <w:sz w:val="28"/>
          <w:szCs w:val="28"/>
          <w:lang w:eastAsia="en-US"/>
        </w:rPr>
        <w:t>аденія</w:t>
      </w:r>
      <w:proofErr w:type="spellEnd"/>
      <w:r w:rsidRPr="00520861">
        <w:rPr>
          <w:rFonts w:eastAsia="Calibri"/>
          <w:sz w:val="28"/>
          <w:szCs w:val="28"/>
          <w:lang w:eastAsia="en-US"/>
        </w:rPr>
        <w:t xml:space="preserve"> щонайменше одного з третіх молярів на верхній або нижній щелепі спостерігалася в осіб ВП-V </w:t>
      </w:r>
      <w:r w:rsidRPr="00520861">
        <w:rPr>
          <w:sz w:val="28"/>
          <w:szCs w:val="28"/>
        </w:rPr>
        <w:t>– ВП</w:t>
      </w:r>
      <w:r w:rsidRPr="00520861">
        <w:rPr>
          <w:rFonts w:eastAsia="Calibri"/>
          <w:sz w:val="28"/>
          <w:szCs w:val="28"/>
          <w:lang w:eastAsia="en-US"/>
        </w:rPr>
        <w:t>-VII, а саме у 20 (15,0</w:t>
      </w:r>
      <w:r w:rsidR="00611A5B" w:rsidRPr="00520861">
        <w:rPr>
          <w:rFonts w:eastAsia="Calibri"/>
          <w:sz w:val="28"/>
          <w:szCs w:val="28"/>
          <w:lang w:eastAsia="en-US"/>
        </w:rPr>
        <w:t>%</w:t>
      </w:r>
      <w:r w:rsidRPr="00520861">
        <w:rPr>
          <w:rFonts w:eastAsia="Calibri"/>
          <w:sz w:val="28"/>
          <w:szCs w:val="28"/>
          <w:lang w:eastAsia="en-US"/>
        </w:rPr>
        <w:t>; ДІ: 8,9</w:t>
      </w:r>
      <w:r w:rsidR="00611A5B"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23,3</w:t>
      </w:r>
      <w:r w:rsidR="00611A5B" w:rsidRPr="00520861">
        <w:rPr>
          <w:rFonts w:eastAsia="Calibri"/>
          <w:sz w:val="28"/>
          <w:szCs w:val="28"/>
          <w:lang w:eastAsia="en-US"/>
        </w:rPr>
        <w:t>%</w:t>
      </w:r>
      <w:r w:rsidRPr="00520861">
        <w:rPr>
          <w:rFonts w:eastAsia="Calibri"/>
          <w:sz w:val="28"/>
          <w:szCs w:val="28"/>
          <w:lang w:eastAsia="en-US"/>
        </w:rPr>
        <w:t>) осіб ОГ та в 9 (23,1</w:t>
      </w:r>
      <w:r w:rsidR="00611A5B" w:rsidRPr="00520861">
        <w:rPr>
          <w:rFonts w:eastAsia="Calibri"/>
          <w:sz w:val="28"/>
          <w:szCs w:val="28"/>
          <w:lang w:eastAsia="en-US"/>
        </w:rPr>
        <w:t>%</w:t>
      </w:r>
      <w:r w:rsidRPr="00520861">
        <w:rPr>
          <w:rFonts w:eastAsia="Calibri"/>
          <w:sz w:val="28"/>
          <w:szCs w:val="28"/>
          <w:lang w:eastAsia="en-US"/>
        </w:rPr>
        <w:t>; ДІ: 13,0</w:t>
      </w:r>
      <w:r w:rsidR="00611A5B"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36,5</w:t>
      </w:r>
      <w:r w:rsidR="00611A5B" w:rsidRPr="00520861">
        <w:rPr>
          <w:rFonts w:eastAsia="Calibri"/>
          <w:sz w:val="28"/>
          <w:szCs w:val="28"/>
          <w:lang w:eastAsia="en-US"/>
        </w:rPr>
        <w:t>%</w:t>
      </w:r>
      <w:r w:rsidRPr="00520861">
        <w:rPr>
          <w:rFonts w:eastAsia="Calibri"/>
          <w:sz w:val="28"/>
          <w:szCs w:val="28"/>
          <w:lang w:eastAsia="en-US"/>
        </w:rPr>
        <w:t xml:space="preserve">) осіб ГП. </w:t>
      </w:r>
    </w:p>
    <w:p w14:paraId="1B3B9816" w14:textId="77777777" w:rsidR="00180D3E" w:rsidRPr="00520861" w:rsidRDefault="00180D3E" w:rsidP="00292D2E">
      <w:pPr>
        <w:widowControl w:val="0"/>
        <w:pBdr>
          <w:top w:val="nil"/>
          <w:left w:val="nil"/>
          <w:bottom w:val="nil"/>
          <w:right w:val="nil"/>
          <w:between w:val="nil"/>
        </w:pBdr>
        <w:spacing w:line="360" w:lineRule="auto"/>
        <w:ind w:right="141" w:firstLine="709"/>
        <w:jc w:val="both"/>
        <w:rPr>
          <w:rFonts w:eastAsia="Calibri"/>
          <w:color w:val="000000"/>
          <w:sz w:val="28"/>
          <w:szCs w:val="28"/>
        </w:rPr>
      </w:pPr>
      <w:r w:rsidRPr="00520861">
        <w:rPr>
          <w:rFonts w:eastAsia="Calibri"/>
          <w:color w:val="000000"/>
          <w:sz w:val="28"/>
          <w:szCs w:val="28"/>
        </w:rPr>
        <w:t xml:space="preserve">На досліджених ОПТГ осіб ВП-V звертало на себе увагу </w:t>
      </w:r>
      <w:proofErr w:type="spellStart"/>
      <w:r w:rsidRPr="00520861">
        <w:rPr>
          <w:rFonts w:eastAsia="Calibri"/>
          <w:color w:val="000000"/>
          <w:sz w:val="28"/>
          <w:szCs w:val="28"/>
        </w:rPr>
        <w:t>аномалійне</w:t>
      </w:r>
      <w:proofErr w:type="spellEnd"/>
      <w:r w:rsidRPr="00520861">
        <w:rPr>
          <w:rFonts w:eastAsia="Calibri"/>
          <w:color w:val="000000"/>
          <w:sz w:val="28"/>
          <w:szCs w:val="28"/>
        </w:rPr>
        <w:t xml:space="preserve"> розташування зачатків третіх молярів. Ми зафіксували </w:t>
      </w:r>
      <w:proofErr w:type="spellStart"/>
      <w:r w:rsidRPr="00520861">
        <w:rPr>
          <w:rFonts w:eastAsia="Calibri"/>
          <w:color w:val="000000"/>
          <w:sz w:val="28"/>
          <w:szCs w:val="28"/>
        </w:rPr>
        <w:t>ретеновані</w:t>
      </w:r>
      <w:proofErr w:type="spellEnd"/>
      <w:r w:rsidRPr="00520861">
        <w:rPr>
          <w:rFonts w:eastAsia="Calibri"/>
          <w:color w:val="000000"/>
          <w:sz w:val="28"/>
          <w:szCs w:val="28"/>
        </w:rPr>
        <w:t xml:space="preserve"> треті моляри (РТМ) в осіб </w:t>
      </w:r>
      <w:r w:rsidRPr="00520861">
        <w:rPr>
          <w:rFonts w:eastAsia="Calibri"/>
          <w:color w:val="000000"/>
          <w:sz w:val="28"/>
          <w:szCs w:val="28"/>
        </w:rPr>
        <w:lastRenderedPageBreak/>
        <w:t xml:space="preserve">ОГ навіть у ВП-VІІІ. </w:t>
      </w:r>
    </w:p>
    <w:p w14:paraId="5846343F" w14:textId="77777777" w:rsidR="00034176" w:rsidRPr="00520861" w:rsidRDefault="00180D3E" w:rsidP="00292D2E">
      <w:pPr>
        <w:widowControl w:val="0"/>
        <w:spacing w:line="360" w:lineRule="auto"/>
        <w:ind w:right="141" w:firstLine="720"/>
        <w:jc w:val="both"/>
        <w:rPr>
          <w:rFonts w:eastAsia="Calibri"/>
          <w:sz w:val="28"/>
          <w:szCs w:val="28"/>
          <w:lang w:eastAsia="en-US"/>
        </w:rPr>
      </w:pPr>
      <w:r w:rsidRPr="00520861">
        <w:rPr>
          <w:rFonts w:eastAsia="Calibri"/>
          <w:color w:val="000000"/>
          <w:sz w:val="28"/>
          <w:szCs w:val="28"/>
        </w:rPr>
        <w:t xml:space="preserve">Кількість та процентну кількість осіб із РТМ фіксували на нижній щелепі (із урахуванням тільки тих випадків, коли в осіб сформувалися треті моляри (табл. 7.5)). </w:t>
      </w:r>
      <w:r w:rsidRPr="00520861">
        <w:rPr>
          <w:rFonts w:eastAsia="Calibri"/>
          <w:sz w:val="28"/>
          <w:szCs w:val="28"/>
          <w:lang w:eastAsia="en-US"/>
        </w:rPr>
        <w:t>У 10 (34,5</w:t>
      </w:r>
      <w:r w:rsidR="00611A5B" w:rsidRPr="00520861">
        <w:rPr>
          <w:rFonts w:eastAsia="Calibri"/>
          <w:sz w:val="28"/>
          <w:szCs w:val="28"/>
          <w:lang w:eastAsia="en-US"/>
        </w:rPr>
        <w:t>%</w:t>
      </w:r>
      <w:r w:rsidRPr="00520861">
        <w:rPr>
          <w:rFonts w:eastAsia="Calibri"/>
          <w:sz w:val="28"/>
          <w:szCs w:val="28"/>
          <w:lang w:eastAsia="en-US"/>
        </w:rPr>
        <w:t>; ДІ: 20,7</w:t>
      </w:r>
      <w:r w:rsidR="00611A5B"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50,8</w:t>
      </w:r>
      <w:r w:rsidR="00611A5B" w:rsidRPr="00520861">
        <w:rPr>
          <w:rFonts w:eastAsia="Calibri"/>
          <w:sz w:val="28"/>
          <w:szCs w:val="28"/>
          <w:lang w:eastAsia="en-US"/>
        </w:rPr>
        <w:t>%</w:t>
      </w:r>
      <w:r w:rsidRPr="00520861">
        <w:rPr>
          <w:rFonts w:eastAsia="Calibri"/>
          <w:sz w:val="28"/>
          <w:szCs w:val="28"/>
          <w:lang w:eastAsia="en-US"/>
        </w:rPr>
        <w:t>) із 29 осіб ГП та у 36 (65,5</w:t>
      </w:r>
      <w:r w:rsidR="00611A5B" w:rsidRPr="00520861">
        <w:rPr>
          <w:rFonts w:eastAsia="Calibri"/>
          <w:sz w:val="28"/>
          <w:szCs w:val="28"/>
          <w:lang w:eastAsia="en-US"/>
        </w:rPr>
        <w:t>%</w:t>
      </w:r>
      <w:r w:rsidRPr="00520861">
        <w:rPr>
          <w:rFonts w:eastAsia="Calibri"/>
          <w:sz w:val="28"/>
          <w:szCs w:val="28"/>
          <w:lang w:eastAsia="en-US"/>
        </w:rPr>
        <w:t>; ДІ: 53,3</w:t>
      </w:r>
      <w:r w:rsidR="00611A5B" w:rsidRPr="00520861">
        <w:rPr>
          <w:rFonts w:eastAsia="Calibri"/>
          <w:sz w:val="28"/>
          <w:szCs w:val="28"/>
          <w:lang w:eastAsia="en-US"/>
        </w:rPr>
        <w:t>%</w:t>
      </w:r>
      <w:r w:rsidRPr="00520861">
        <w:rPr>
          <w:rFonts w:eastAsia="Calibri"/>
          <w:sz w:val="28"/>
          <w:szCs w:val="28"/>
          <w:lang w:eastAsia="en-US"/>
        </w:rPr>
        <w:t xml:space="preserve"> </w:t>
      </w:r>
      <w:r w:rsidRPr="00520861">
        <w:rPr>
          <w:sz w:val="28"/>
          <w:szCs w:val="28"/>
        </w:rPr>
        <w:t>–</w:t>
      </w:r>
      <w:r w:rsidRPr="00520861">
        <w:rPr>
          <w:rFonts w:eastAsia="Calibri"/>
          <w:sz w:val="28"/>
          <w:szCs w:val="28"/>
          <w:lang w:eastAsia="en-US"/>
        </w:rPr>
        <w:t xml:space="preserve"> 76,2</w:t>
      </w:r>
      <w:r w:rsidR="00611A5B" w:rsidRPr="00520861">
        <w:rPr>
          <w:rFonts w:eastAsia="Calibri"/>
          <w:sz w:val="28"/>
          <w:szCs w:val="28"/>
          <w:lang w:eastAsia="en-US"/>
        </w:rPr>
        <w:t>%</w:t>
      </w:r>
      <w:r w:rsidRPr="00520861">
        <w:rPr>
          <w:rFonts w:eastAsia="Calibri"/>
          <w:sz w:val="28"/>
          <w:szCs w:val="28"/>
          <w:lang w:eastAsia="en-US"/>
        </w:rPr>
        <w:t xml:space="preserve">) із 55 осіб ОГ спостерігалися РТМ. </w:t>
      </w:r>
    </w:p>
    <w:p w14:paraId="184F2DD4" w14:textId="77777777" w:rsidR="00180D3E" w:rsidRPr="00520861" w:rsidRDefault="00180D3E" w:rsidP="00292D2E">
      <w:pPr>
        <w:widowControl w:val="0"/>
        <w:spacing w:line="360" w:lineRule="auto"/>
        <w:ind w:right="141" w:firstLine="720"/>
        <w:jc w:val="both"/>
        <w:rPr>
          <w:rFonts w:eastAsia="Calibri"/>
          <w:sz w:val="28"/>
          <w:szCs w:val="28"/>
          <w:lang w:eastAsia="en-US"/>
        </w:rPr>
      </w:pPr>
      <w:r w:rsidRPr="00520861">
        <w:rPr>
          <w:rFonts w:eastAsia="Calibri"/>
          <w:sz w:val="28"/>
          <w:szCs w:val="28"/>
          <w:lang w:eastAsia="en-US"/>
        </w:rPr>
        <w:t xml:space="preserve">Розподіл за підгрупами такий: у </w:t>
      </w:r>
      <w:r w:rsidRPr="00520861">
        <w:rPr>
          <w:sz w:val="28"/>
          <w:szCs w:val="28"/>
        </w:rPr>
        <w:t xml:space="preserve">підгрупі </w:t>
      </w:r>
      <w:r w:rsidRPr="00520861">
        <w:rPr>
          <w:rFonts w:eastAsia="Calibri"/>
          <w:sz w:val="28"/>
          <w:szCs w:val="28"/>
          <w:lang w:eastAsia="en-US"/>
        </w:rPr>
        <w:t>1 – 8 (61,5</w:t>
      </w:r>
      <w:r w:rsidR="00611A5B" w:rsidRPr="00520861">
        <w:rPr>
          <w:rFonts w:eastAsia="Calibri"/>
          <w:sz w:val="28"/>
          <w:szCs w:val="28"/>
          <w:lang w:eastAsia="en-US"/>
        </w:rPr>
        <w:t>%</w:t>
      </w:r>
      <w:r w:rsidRPr="00520861">
        <w:rPr>
          <w:rFonts w:eastAsia="Calibri"/>
          <w:sz w:val="28"/>
          <w:szCs w:val="28"/>
          <w:lang w:eastAsia="en-US"/>
        </w:rPr>
        <w:t xml:space="preserve"> ДІ: 38,6</w:t>
      </w:r>
      <w:r w:rsidR="00611A5B" w:rsidRPr="00520861">
        <w:rPr>
          <w:rFonts w:eastAsia="Calibri"/>
          <w:sz w:val="28"/>
          <w:szCs w:val="28"/>
          <w:lang w:eastAsia="en-US"/>
        </w:rPr>
        <w:t>%</w:t>
      </w:r>
      <w:r w:rsidRPr="00520861">
        <w:rPr>
          <w:rFonts w:eastAsia="Calibri"/>
          <w:sz w:val="28"/>
          <w:szCs w:val="28"/>
          <w:lang w:eastAsia="en-US"/>
        </w:rPr>
        <w:t xml:space="preserve"> – 80,8</w:t>
      </w:r>
      <w:r w:rsidR="00611A5B" w:rsidRPr="00520861">
        <w:rPr>
          <w:rFonts w:eastAsia="Calibri"/>
          <w:sz w:val="28"/>
          <w:szCs w:val="28"/>
          <w:lang w:eastAsia="en-US"/>
        </w:rPr>
        <w:t>%</w:t>
      </w:r>
      <w:r w:rsidRPr="00520861">
        <w:rPr>
          <w:rFonts w:eastAsia="Calibri"/>
          <w:sz w:val="28"/>
          <w:szCs w:val="28"/>
          <w:lang w:eastAsia="en-US"/>
        </w:rPr>
        <w:t xml:space="preserve">) осіб із 13, у </w:t>
      </w:r>
      <w:r w:rsidRPr="00520861">
        <w:rPr>
          <w:sz w:val="28"/>
          <w:szCs w:val="28"/>
        </w:rPr>
        <w:t xml:space="preserve">підгрупі </w:t>
      </w:r>
      <w:r w:rsidRPr="00520861">
        <w:rPr>
          <w:rFonts w:eastAsia="Calibri"/>
          <w:sz w:val="28"/>
          <w:szCs w:val="28"/>
          <w:lang w:eastAsia="en-US"/>
        </w:rPr>
        <w:t>2 – 4 (50,0</w:t>
      </w:r>
      <w:r w:rsidR="00611A5B" w:rsidRPr="00520861">
        <w:rPr>
          <w:rFonts w:eastAsia="Calibri"/>
          <w:sz w:val="28"/>
          <w:szCs w:val="28"/>
          <w:lang w:eastAsia="en-US"/>
        </w:rPr>
        <w:t>%</w:t>
      </w:r>
      <w:r w:rsidR="00353F20" w:rsidRPr="00520861">
        <w:rPr>
          <w:rFonts w:eastAsia="Calibri"/>
          <w:sz w:val="28"/>
          <w:szCs w:val="28"/>
          <w:lang w:eastAsia="en-US"/>
        </w:rPr>
        <w:t xml:space="preserve"> ДІ: 24,5</w:t>
      </w:r>
      <w:r w:rsidRPr="00520861">
        <w:rPr>
          <w:rFonts w:eastAsia="Calibri"/>
          <w:sz w:val="28"/>
          <w:szCs w:val="28"/>
          <w:lang w:eastAsia="en-US"/>
        </w:rPr>
        <w:t>% – 75,5</w:t>
      </w:r>
      <w:r w:rsidR="00611A5B" w:rsidRPr="00520861">
        <w:rPr>
          <w:rFonts w:eastAsia="Calibri"/>
          <w:sz w:val="28"/>
          <w:szCs w:val="28"/>
          <w:lang w:eastAsia="en-US"/>
        </w:rPr>
        <w:t>%</w:t>
      </w:r>
      <w:r w:rsidRPr="00520861">
        <w:rPr>
          <w:rFonts w:eastAsia="Calibri"/>
          <w:sz w:val="28"/>
          <w:szCs w:val="28"/>
          <w:lang w:eastAsia="en-US"/>
        </w:rPr>
        <w:t xml:space="preserve">) особи з 8, у </w:t>
      </w:r>
      <w:r w:rsidRPr="00520861">
        <w:rPr>
          <w:sz w:val="28"/>
          <w:szCs w:val="28"/>
        </w:rPr>
        <w:t xml:space="preserve">підгрупі </w:t>
      </w:r>
      <w:r w:rsidRPr="00520861">
        <w:rPr>
          <w:rFonts w:eastAsia="Calibri"/>
          <w:sz w:val="28"/>
          <w:szCs w:val="28"/>
          <w:lang w:eastAsia="en-US"/>
        </w:rPr>
        <w:t>3 – 9 (81,8</w:t>
      </w:r>
      <w:r w:rsidR="00611A5B" w:rsidRPr="00520861">
        <w:rPr>
          <w:rFonts w:eastAsia="Calibri"/>
          <w:sz w:val="28"/>
          <w:szCs w:val="28"/>
          <w:lang w:eastAsia="en-US"/>
        </w:rPr>
        <w:t>%</w:t>
      </w:r>
      <w:r w:rsidRPr="00520861">
        <w:rPr>
          <w:rFonts w:eastAsia="Calibri"/>
          <w:sz w:val="28"/>
          <w:szCs w:val="28"/>
          <w:lang w:eastAsia="en-US"/>
        </w:rPr>
        <w:t xml:space="preserve"> ДІ: 58,7</w:t>
      </w:r>
      <w:r w:rsidR="00611A5B" w:rsidRPr="00520861">
        <w:rPr>
          <w:rFonts w:eastAsia="Calibri"/>
          <w:sz w:val="28"/>
          <w:szCs w:val="28"/>
          <w:lang w:eastAsia="en-US"/>
        </w:rPr>
        <w:t>%</w:t>
      </w:r>
      <w:r w:rsidRPr="00520861">
        <w:rPr>
          <w:rFonts w:eastAsia="Calibri"/>
          <w:sz w:val="28"/>
          <w:szCs w:val="28"/>
          <w:lang w:eastAsia="en-US"/>
        </w:rPr>
        <w:t xml:space="preserve"> – 94,0</w:t>
      </w:r>
      <w:r w:rsidR="00611A5B" w:rsidRPr="00520861">
        <w:rPr>
          <w:rFonts w:eastAsia="Calibri"/>
          <w:sz w:val="28"/>
          <w:szCs w:val="28"/>
          <w:lang w:eastAsia="en-US"/>
        </w:rPr>
        <w:t>%</w:t>
      </w:r>
      <w:r w:rsidRPr="00520861">
        <w:rPr>
          <w:rFonts w:eastAsia="Calibri"/>
          <w:sz w:val="28"/>
          <w:szCs w:val="28"/>
          <w:lang w:eastAsia="en-US"/>
        </w:rPr>
        <w:t xml:space="preserve">) осіб із 11, а у </w:t>
      </w:r>
      <w:r w:rsidRPr="00520861">
        <w:rPr>
          <w:sz w:val="28"/>
          <w:szCs w:val="28"/>
        </w:rPr>
        <w:t xml:space="preserve">підгрупі </w:t>
      </w:r>
      <w:r w:rsidRPr="00520861">
        <w:rPr>
          <w:rFonts w:eastAsia="Calibri"/>
          <w:sz w:val="28"/>
          <w:szCs w:val="28"/>
          <w:lang w:eastAsia="en-US"/>
        </w:rPr>
        <w:t>4 – 15 (68,2</w:t>
      </w:r>
      <w:r w:rsidR="00611A5B" w:rsidRPr="00520861">
        <w:rPr>
          <w:rFonts w:eastAsia="Calibri"/>
          <w:sz w:val="28"/>
          <w:szCs w:val="28"/>
          <w:lang w:eastAsia="en-US"/>
        </w:rPr>
        <w:t>%</w:t>
      </w:r>
      <w:r w:rsidRPr="00520861">
        <w:rPr>
          <w:rFonts w:eastAsia="Calibri"/>
          <w:sz w:val="28"/>
          <w:szCs w:val="28"/>
          <w:lang w:eastAsia="en-US"/>
        </w:rPr>
        <w:t xml:space="preserve"> ДІ: 49,8</w:t>
      </w:r>
      <w:r w:rsidR="00611A5B" w:rsidRPr="00520861">
        <w:rPr>
          <w:rFonts w:eastAsia="Calibri"/>
          <w:sz w:val="28"/>
          <w:szCs w:val="28"/>
          <w:lang w:eastAsia="en-US"/>
        </w:rPr>
        <w:t>%</w:t>
      </w:r>
      <w:r w:rsidRPr="00520861">
        <w:rPr>
          <w:rFonts w:eastAsia="Calibri"/>
          <w:sz w:val="28"/>
          <w:szCs w:val="28"/>
          <w:lang w:eastAsia="en-US"/>
        </w:rPr>
        <w:t xml:space="preserve"> – 82,8</w:t>
      </w:r>
      <w:r w:rsidR="00611A5B" w:rsidRPr="00520861">
        <w:rPr>
          <w:rFonts w:eastAsia="Calibri"/>
          <w:sz w:val="28"/>
          <w:szCs w:val="28"/>
          <w:lang w:eastAsia="en-US"/>
        </w:rPr>
        <w:t>%</w:t>
      </w:r>
      <w:r w:rsidRPr="00520861">
        <w:rPr>
          <w:rFonts w:eastAsia="Calibri"/>
          <w:sz w:val="28"/>
          <w:szCs w:val="28"/>
          <w:lang w:eastAsia="en-US"/>
        </w:rPr>
        <w:t xml:space="preserve">) </w:t>
      </w:r>
      <w:r w:rsidR="00611A5B" w:rsidRPr="00520861">
        <w:rPr>
          <w:rFonts w:eastAsia="Calibri"/>
          <w:sz w:val="28"/>
          <w:szCs w:val="28"/>
          <w:lang w:eastAsia="en-US"/>
        </w:rPr>
        <w:br/>
      </w:r>
      <w:r w:rsidRPr="00520861">
        <w:rPr>
          <w:rFonts w:eastAsia="Calibri"/>
          <w:sz w:val="28"/>
          <w:szCs w:val="28"/>
          <w:lang w:eastAsia="en-US"/>
        </w:rPr>
        <w:t>осіб із 22.</w:t>
      </w:r>
    </w:p>
    <w:p w14:paraId="309DE8CC" w14:textId="77777777" w:rsidR="00180D3E" w:rsidRPr="00520861" w:rsidRDefault="00180D3E" w:rsidP="00292D2E">
      <w:pPr>
        <w:widowControl w:val="0"/>
        <w:spacing w:line="360" w:lineRule="auto"/>
        <w:ind w:right="141"/>
        <w:jc w:val="right"/>
        <w:rPr>
          <w:rFonts w:eastAsia="Calibri"/>
          <w:i/>
          <w:sz w:val="28"/>
          <w:szCs w:val="28"/>
          <w:lang w:eastAsia="en-US"/>
        </w:rPr>
      </w:pPr>
      <w:r w:rsidRPr="00520861">
        <w:rPr>
          <w:rFonts w:eastAsia="Calibri"/>
          <w:noProof/>
          <w:color w:val="000000"/>
          <w:sz w:val="28"/>
          <w:szCs w:val="28"/>
          <w:lang w:val="ru-RU"/>
        </w:rPr>
        <mc:AlternateContent>
          <mc:Choice Requires="wps">
            <w:drawing>
              <wp:anchor distT="0" distB="0" distL="114300" distR="114300" simplePos="0" relativeHeight="251667456" behindDoc="0" locked="0" layoutInCell="1" allowOverlap="1" wp14:anchorId="5B2046CC" wp14:editId="0048DAB4">
                <wp:simplePos x="0" y="0"/>
                <wp:positionH relativeFrom="column">
                  <wp:posOffset>3887470</wp:posOffset>
                </wp:positionH>
                <wp:positionV relativeFrom="paragraph">
                  <wp:posOffset>2592070</wp:posOffset>
                </wp:positionV>
                <wp:extent cx="57150" cy="9525"/>
                <wp:effectExtent l="0" t="19050" r="19050" b="47625"/>
                <wp:wrapNone/>
                <wp:docPr id="118"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 cy="9525"/>
                        </a:xfrm>
                        <a:prstGeom prst="straightConnector1">
                          <a:avLst/>
                        </a:prstGeom>
                        <a:noFill/>
                        <a:ln w="50800">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646AACB" id="_x0000_t32" coordsize="21600,21600" o:spt="32" o:oned="t" path="m,l21600,21600e" filled="f">
                <v:path arrowok="t" fillok="f" o:connecttype="none"/>
                <o:lock v:ext="edit" shapetype="t"/>
              </v:shapetype>
              <v:shape id="AutoShape 6" o:spid="_x0000_s1026" type="#_x0000_t32" style="position:absolute;margin-left:306.1pt;margin-top:204.1pt;width:4.5pt;height:.7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" strokecolor="white" strokeweight="4pt"/>
            </w:pict>
          </mc:Fallback>
        </mc:AlternateContent>
      </w:r>
      <w:r w:rsidRPr="00520861">
        <w:rPr>
          <w:rFonts w:eastAsia="Calibri"/>
          <w:i/>
          <w:sz w:val="28"/>
          <w:szCs w:val="28"/>
          <w:lang w:eastAsia="en-US"/>
        </w:rPr>
        <w:t>Таблиця 7.5</w:t>
      </w:r>
    </w:p>
    <w:p w14:paraId="34F8983A" w14:textId="77777777" w:rsidR="00180D3E" w:rsidRPr="00520861" w:rsidRDefault="00180D3E" w:rsidP="00292D2E">
      <w:pPr>
        <w:widowControl w:val="0"/>
        <w:spacing w:line="360" w:lineRule="auto"/>
        <w:ind w:firstLine="709"/>
        <w:jc w:val="center"/>
        <w:rPr>
          <w:b/>
          <w:color w:val="000000"/>
          <w:sz w:val="28"/>
          <w:szCs w:val="28"/>
        </w:rPr>
      </w:pPr>
      <w:r w:rsidRPr="00520861">
        <w:rPr>
          <w:rFonts w:eastAsia="Calibri"/>
          <w:b/>
          <w:color w:val="000000"/>
          <w:spacing w:val="-1"/>
          <w:sz w:val="28"/>
          <w:szCs w:val="28"/>
        </w:rPr>
        <w:t>Кількість та процентна кількість осіб у</w:t>
      </w:r>
      <w:r w:rsidRPr="00520861">
        <w:rPr>
          <w:rFonts w:eastAsia="Calibri"/>
          <w:b/>
          <w:color w:val="000000"/>
          <w:sz w:val="28"/>
          <w:szCs w:val="28"/>
        </w:rPr>
        <w:t xml:space="preserve"> ВП</w:t>
      </w:r>
      <w:r w:rsidRPr="00520861">
        <w:rPr>
          <w:b/>
          <w:color w:val="000000"/>
          <w:sz w:val="28"/>
          <w:szCs w:val="28"/>
        </w:rPr>
        <w:t xml:space="preserve">-VІ та </w:t>
      </w:r>
      <w:r w:rsidRPr="00520861">
        <w:rPr>
          <w:rFonts w:eastAsia="Calibri"/>
          <w:b/>
          <w:color w:val="000000"/>
          <w:sz w:val="28"/>
          <w:szCs w:val="28"/>
        </w:rPr>
        <w:t>ВП</w:t>
      </w:r>
      <w:r w:rsidRPr="00520861">
        <w:rPr>
          <w:b/>
          <w:color w:val="000000"/>
          <w:sz w:val="28"/>
          <w:szCs w:val="28"/>
        </w:rPr>
        <w:t>-VІI</w:t>
      </w:r>
      <w:r w:rsidRPr="00520861">
        <w:rPr>
          <w:rFonts w:eastAsia="Calibri"/>
          <w:b/>
          <w:color w:val="000000"/>
          <w:spacing w:val="-1"/>
          <w:sz w:val="28"/>
          <w:szCs w:val="28"/>
        </w:rPr>
        <w:t xml:space="preserve">, </w:t>
      </w:r>
      <w:r w:rsidRPr="00520861">
        <w:rPr>
          <w:rFonts w:eastAsia="Calibri"/>
          <w:b/>
          <w:color w:val="000000"/>
          <w:sz w:val="28"/>
          <w:szCs w:val="28"/>
        </w:rPr>
        <w:t>які мали треті моляри</w:t>
      </w:r>
      <w:r w:rsidRPr="00520861">
        <w:rPr>
          <w:rFonts w:eastAsia="Calibri"/>
          <w:b/>
          <w:color w:val="000000"/>
          <w:spacing w:val="-1"/>
          <w:sz w:val="28"/>
          <w:szCs w:val="28"/>
        </w:rPr>
        <w:t xml:space="preserve"> та РТМ на нижній щелепі</w:t>
      </w:r>
      <w:r w:rsidRPr="00520861">
        <w:rPr>
          <w:b/>
          <w:color w:val="000000"/>
          <w:sz w:val="28"/>
          <w:szCs w:val="28"/>
        </w:rPr>
        <w:t xml:space="preserve"> </w:t>
      </w:r>
    </w:p>
    <w:tbl>
      <w:tblPr>
        <w:tblpPr w:leftFromText="180" w:rightFromText="180" w:vertAnchor="text" w:horzAnchor="margin" w:tblpX="137" w:tblpY="-69"/>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418"/>
        <w:gridCol w:w="1512"/>
        <w:gridCol w:w="1465"/>
        <w:gridCol w:w="1417"/>
        <w:gridCol w:w="1512"/>
        <w:gridCol w:w="1465"/>
      </w:tblGrid>
      <w:tr w:rsidR="00180D3E" w:rsidRPr="00520861" w14:paraId="7A10AED0" w14:textId="77777777" w:rsidTr="00292D2E">
        <w:tc>
          <w:tcPr>
            <w:tcW w:w="1129" w:type="dxa"/>
            <w:tcBorders>
              <w:top w:val="single" w:sz="4" w:space="0" w:color="auto"/>
              <w:left w:val="single" w:sz="4" w:space="0" w:color="auto"/>
              <w:bottom w:val="single" w:sz="4" w:space="0" w:color="auto"/>
              <w:right w:val="single" w:sz="4" w:space="0" w:color="auto"/>
            </w:tcBorders>
            <w:shd w:val="clear" w:color="auto" w:fill="auto"/>
          </w:tcPr>
          <w:p w14:paraId="3FF4B2CD" w14:textId="77777777" w:rsidR="00180D3E" w:rsidRPr="00520861" w:rsidRDefault="00180D3E" w:rsidP="00292D2E">
            <w:pPr>
              <w:widowControl w:val="0"/>
              <w:pBdr>
                <w:top w:val="nil"/>
                <w:left w:val="nil"/>
                <w:bottom w:val="nil"/>
                <w:right w:val="nil"/>
                <w:between w:val="nil"/>
              </w:pBdr>
              <w:spacing w:line="360" w:lineRule="auto"/>
              <w:ind w:right="-112"/>
              <w:rPr>
                <w:color w:val="000000"/>
                <w:sz w:val="28"/>
                <w:szCs w:val="28"/>
              </w:rPr>
            </w:pPr>
            <w:r w:rsidRPr="00520861">
              <w:rPr>
                <w:color w:val="000000"/>
                <w:spacing w:val="-8"/>
                <w:sz w:val="28"/>
                <w:szCs w:val="28"/>
              </w:rPr>
              <w:t>Група, підгрупа</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97C3220" w14:textId="77777777" w:rsidR="00180D3E" w:rsidRPr="00520861" w:rsidRDefault="00180D3E" w:rsidP="00292D2E">
            <w:pPr>
              <w:widowControl w:val="0"/>
              <w:pBdr>
                <w:top w:val="nil"/>
                <w:left w:val="nil"/>
                <w:bottom w:val="nil"/>
                <w:right w:val="nil"/>
                <w:between w:val="nil"/>
              </w:pBdr>
              <w:spacing w:line="360" w:lineRule="auto"/>
              <w:ind w:hanging="181"/>
              <w:jc w:val="center"/>
              <w:rPr>
                <w:color w:val="000000"/>
                <w:sz w:val="28"/>
                <w:szCs w:val="28"/>
              </w:rPr>
            </w:pPr>
            <w:r w:rsidRPr="00520861">
              <w:rPr>
                <w:color w:val="000000"/>
                <w:sz w:val="28"/>
                <w:szCs w:val="28"/>
              </w:rPr>
              <w:t>ГП</w:t>
            </w:r>
          </w:p>
        </w:tc>
        <w:tc>
          <w:tcPr>
            <w:tcW w:w="1512" w:type="dxa"/>
            <w:tcBorders>
              <w:top w:val="single" w:sz="4" w:space="0" w:color="auto"/>
              <w:left w:val="single" w:sz="4" w:space="0" w:color="auto"/>
              <w:bottom w:val="single" w:sz="4" w:space="0" w:color="auto"/>
              <w:right w:val="single" w:sz="4" w:space="0" w:color="auto"/>
            </w:tcBorders>
            <w:shd w:val="clear" w:color="auto" w:fill="auto"/>
          </w:tcPr>
          <w:p w14:paraId="1C9BAC53"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color w:val="000000"/>
                <w:sz w:val="28"/>
                <w:szCs w:val="28"/>
              </w:rPr>
              <w:t>ОГ</w:t>
            </w:r>
          </w:p>
        </w:tc>
        <w:tc>
          <w:tcPr>
            <w:tcW w:w="1465" w:type="dxa"/>
          </w:tcPr>
          <w:p w14:paraId="1B2EB68F"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6A1E4D96"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1</w:t>
            </w:r>
          </w:p>
        </w:tc>
        <w:tc>
          <w:tcPr>
            <w:tcW w:w="1417" w:type="dxa"/>
          </w:tcPr>
          <w:p w14:paraId="279351D4"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59B6FFCA"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2</w:t>
            </w:r>
          </w:p>
        </w:tc>
        <w:tc>
          <w:tcPr>
            <w:tcW w:w="1512" w:type="dxa"/>
          </w:tcPr>
          <w:p w14:paraId="5C7FD70D"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2F69F26D"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3</w:t>
            </w:r>
          </w:p>
        </w:tc>
        <w:tc>
          <w:tcPr>
            <w:tcW w:w="1465" w:type="dxa"/>
          </w:tcPr>
          <w:p w14:paraId="0E861E3C" w14:textId="77777777" w:rsidR="00180D3E" w:rsidRPr="00520861" w:rsidRDefault="00180D3E" w:rsidP="00292D2E">
            <w:pPr>
              <w:widowControl w:val="0"/>
              <w:pBdr>
                <w:top w:val="nil"/>
                <w:left w:val="nil"/>
                <w:bottom w:val="nil"/>
                <w:right w:val="nil"/>
                <w:between w:val="nil"/>
              </w:pBdr>
              <w:spacing w:line="360" w:lineRule="auto"/>
              <w:ind w:hanging="156"/>
              <w:jc w:val="center"/>
              <w:rPr>
                <w:color w:val="000000"/>
                <w:sz w:val="28"/>
                <w:szCs w:val="28"/>
              </w:rPr>
            </w:pPr>
            <w:r w:rsidRPr="00520861">
              <w:rPr>
                <w:color w:val="000000"/>
                <w:sz w:val="28"/>
                <w:szCs w:val="28"/>
              </w:rPr>
              <w:t xml:space="preserve">Підгрупа </w:t>
            </w:r>
          </w:p>
          <w:p w14:paraId="4A42A715" w14:textId="77777777" w:rsidR="00180D3E" w:rsidRPr="00520861" w:rsidRDefault="00180D3E" w:rsidP="00292D2E">
            <w:pPr>
              <w:widowControl w:val="0"/>
              <w:pBdr>
                <w:top w:val="nil"/>
                <w:left w:val="nil"/>
                <w:bottom w:val="nil"/>
                <w:right w:val="nil"/>
                <w:between w:val="nil"/>
              </w:pBdr>
              <w:spacing w:line="360" w:lineRule="auto"/>
              <w:ind w:hanging="156"/>
              <w:jc w:val="center"/>
              <w:rPr>
                <w:rFonts w:eastAsia="Calibri"/>
                <w:color w:val="000000"/>
                <w:sz w:val="28"/>
                <w:szCs w:val="28"/>
              </w:rPr>
            </w:pPr>
            <w:r w:rsidRPr="00520861">
              <w:rPr>
                <w:color w:val="000000"/>
                <w:sz w:val="28"/>
                <w:szCs w:val="28"/>
              </w:rPr>
              <w:t>4</w:t>
            </w:r>
          </w:p>
        </w:tc>
      </w:tr>
      <w:tr w:rsidR="00180D3E" w:rsidRPr="00520861" w14:paraId="7E40FABF" w14:textId="77777777" w:rsidTr="00292D2E">
        <w:tc>
          <w:tcPr>
            <w:tcW w:w="9918" w:type="dxa"/>
            <w:gridSpan w:val="7"/>
            <w:tcBorders>
              <w:top w:val="single" w:sz="4" w:space="0" w:color="auto"/>
              <w:left w:val="single" w:sz="4" w:space="0" w:color="auto"/>
              <w:bottom w:val="single" w:sz="4" w:space="0" w:color="auto"/>
              <w:right w:val="single" w:sz="4" w:space="0" w:color="auto"/>
            </w:tcBorders>
            <w:shd w:val="clear" w:color="auto" w:fill="auto"/>
          </w:tcPr>
          <w:p w14:paraId="6D0F47C3"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rPr>
              <w:t>Кількість осіб, які мали треті моляри</w:t>
            </w:r>
          </w:p>
        </w:tc>
      </w:tr>
      <w:tr w:rsidR="00180D3E" w:rsidRPr="00520861" w14:paraId="664FC0F3" w14:textId="77777777" w:rsidTr="00292D2E">
        <w:tc>
          <w:tcPr>
            <w:tcW w:w="1129" w:type="dxa"/>
            <w:tcBorders>
              <w:top w:val="single" w:sz="4" w:space="0" w:color="auto"/>
              <w:left w:val="single" w:sz="4" w:space="0" w:color="auto"/>
              <w:bottom w:val="single" w:sz="4" w:space="0" w:color="auto"/>
              <w:right w:val="single" w:sz="4" w:space="0" w:color="auto"/>
            </w:tcBorders>
            <w:shd w:val="clear" w:color="auto" w:fill="auto"/>
            <w:hideMark/>
          </w:tcPr>
          <w:p w14:paraId="1DE07BC8"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rPr>
            </w:pPr>
            <w:r w:rsidRPr="00520861">
              <w:rPr>
                <w:rFonts w:eastAsia="Calibri"/>
                <w:color w:val="000000"/>
                <w:sz w:val="28"/>
                <w:szCs w:val="28"/>
              </w:rPr>
              <w:t>ВП</w:t>
            </w:r>
            <w:r w:rsidRPr="00520861">
              <w:rPr>
                <w:color w:val="000000"/>
                <w:sz w:val="28"/>
                <w:szCs w:val="28"/>
              </w:rPr>
              <w:t>-VІ</w:t>
            </w:r>
          </w:p>
        </w:tc>
        <w:tc>
          <w:tcPr>
            <w:tcW w:w="1418" w:type="dxa"/>
            <w:tcBorders>
              <w:top w:val="single" w:sz="4" w:space="0" w:color="auto"/>
              <w:left w:val="single" w:sz="4" w:space="0" w:color="auto"/>
              <w:bottom w:val="single" w:sz="4" w:space="0" w:color="auto"/>
              <w:right w:val="single" w:sz="4" w:space="0" w:color="auto"/>
            </w:tcBorders>
          </w:tcPr>
          <w:p w14:paraId="47F96E0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15</w:t>
            </w:r>
          </w:p>
        </w:tc>
        <w:tc>
          <w:tcPr>
            <w:tcW w:w="1512" w:type="dxa"/>
            <w:tcBorders>
              <w:top w:val="single" w:sz="4" w:space="0" w:color="auto"/>
              <w:left w:val="single" w:sz="4" w:space="0" w:color="auto"/>
              <w:bottom w:val="single" w:sz="4" w:space="0" w:color="auto"/>
              <w:right w:val="single" w:sz="4" w:space="0" w:color="auto"/>
            </w:tcBorders>
          </w:tcPr>
          <w:p w14:paraId="46FE586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29</w:t>
            </w:r>
          </w:p>
        </w:tc>
        <w:tc>
          <w:tcPr>
            <w:tcW w:w="1465" w:type="dxa"/>
            <w:tcBorders>
              <w:top w:val="single" w:sz="4" w:space="0" w:color="auto"/>
              <w:left w:val="single" w:sz="4" w:space="0" w:color="auto"/>
              <w:bottom w:val="single" w:sz="4" w:space="0" w:color="auto"/>
              <w:right w:val="single" w:sz="4" w:space="0" w:color="auto"/>
            </w:tcBorders>
          </w:tcPr>
          <w:p w14:paraId="26937105" w14:textId="77777777" w:rsidR="00180D3E" w:rsidRPr="00520861" w:rsidRDefault="00180D3E" w:rsidP="00292D2E">
            <w:pPr>
              <w:widowControl w:val="0"/>
              <w:tabs>
                <w:tab w:val="left" w:pos="748"/>
              </w:tabs>
              <w:spacing w:line="360" w:lineRule="auto"/>
              <w:jc w:val="center"/>
              <w:rPr>
                <w:rFonts w:eastAsia="Calibri"/>
                <w:sz w:val="28"/>
                <w:szCs w:val="28"/>
                <w:lang w:eastAsia="en-US"/>
              </w:rPr>
            </w:pPr>
            <w:r w:rsidRPr="00520861">
              <w:rPr>
                <w:rFonts w:eastAsia="Calibri"/>
                <w:sz w:val="28"/>
                <w:szCs w:val="28"/>
                <w:lang w:eastAsia="en-US"/>
              </w:rPr>
              <w:t>6</w:t>
            </w:r>
          </w:p>
        </w:tc>
        <w:tc>
          <w:tcPr>
            <w:tcW w:w="1417" w:type="dxa"/>
            <w:tcBorders>
              <w:top w:val="single" w:sz="4" w:space="0" w:color="auto"/>
              <w:left w:val="single" w:sz="4" w:space="0" w:color="auto"/>
              <w:bottom w:val="single" w:sz="4" w:space="0" w:color="auto"/>
              <w:right w:val="single" w:sz="4" w:space="0" w:color="auto"/>
            </w:tcBorders>
          </w:tcPr>
          <w:p w14:paraId="0163865E" w14:textId="77777777" w:rsidR="00180D3E" w:rsidRPr="00520861" w:rsidRDefault="00180D3E" w:rsidP="00292D2E">
            <w:pPr>
              <w:widowControl w:val="0"/>
              <w:tabs>
                <w:tab w:val="left" w:pos="40"/>
              </w:tabs>
              <w:spacing w:line="360" w:lineRule="auto"/>
              <w:jc w:val="center"/>
              <w:rPr>
                <w:rFonts w:eastAsia="Calibri"/>
                <w:sz w:val="28"/>
                <w:szCs w:val="28"/>
                <w:lang w:eastAsia="en-US"/>
              </w:rPr>
            </w:pPr>
            <w:r w:rsidRPr="00520861">
              <w:rPr>
                <w:rFonts w:eastAsia="Calibri"/>
                <w:sz w:val="28"/>
                <w:szCs w:val="28"/>
                <w:lang w:eastAsia="en-US"/>
              </w:rPr>
              <w:t>5</w:t>
            </w:r>
          </w:p>
        </w:tc>
        <w:tc>
          <w:tcPr>
            <w:tcW w:w="1512" w:type="dxa"/>
            <w:tcBorders>
              <w:top w:val="single" w:sz="4" w:space="0" w:color="auto"/>
              <w:left w:val="single" w:sz="4" w:space="0" w:color="auto"/>
              <w:bottom w:val="single" w:sz="4" w:space="0" w:color="auto"/>
              <w:right w:val="single" w:sz="4" w:space="0" w:color="auto"/>
            </w:tcBorders>
          </w:tcPr>
          <w:p w14:paraId="6226647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7</w:t>
            </w:r>
          </w:p>
        </w:tc>
        <w:tc>
          <w:tcPr>
            <w:tcW w:w="1465" w:type="dxa"/>
            <w:tcBorders>
              <w:top w:val="single" w:sz="4" w:space="0" w:color="auto"/>
              <w:left w:val="single" w:sz="4" w:space="0" w:color="auto"/>
              <w:bottom w:val="single" w:sz="4" w:space="0" w:color="auto"/>
              <w:right w:val="single" w:sz="4" w:space="0" w:color="auto"/>
            </w:tcBorders>
          </w:tcPr>
          <w:p w14:paraId="75E827E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11</w:t>
            </w:r>
          </w:p>
        </w:tc>
      </w:tr>
      <w:tr w:rsidR="00180D3E" w:rsidRPr="00520861" w14:paraId="7B48AA8B" w14:textId="77777777" w:rsidTr="00292D2E">
        <w:tc>
          <w:tcPr>
            <w:tcW w:w="1129" w:type="dxa"/>
            <w:tcBorders>
              <w:top w:val="single" w:sz="4" w:space="0" w:color="auto"/>
              <w:left w:val="single" w:sz="4" w:space="0" w:color="auto"/>
              <w:bottom w:val="single" w:sz="4" w:space="0" w:color="auto"/>
              <w:right w:val="single" w:sz="4" w:space="0" w:color="auto"/>
            </w:tcBorders>
            <w:shd w:val="clear" w:color="auto" w:fill="auto"/>
          </w:tcPr>
          <w:p w14:paraId="1CAA2A2F"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rPr>
            </w:pPr>
            <w:r w:rsidRPr="00520861">
              <w:rPr>
                <w:rFonts w:eastAsia="Calibri"/>
                <w:color w:val="000000"/>
                <w:sz w:val="28"/>
                <w:szCs w:val="28"/>
              </w:rPr>
              <w:t>ВП</w:t>
            </w:r>
            <w:r w:rsidRPr="00520861">
              <w:rPr>
                <w:color w:val="000000"/>
                <w:sz w:val="28"/>
                <w:szCs w:val="28"/>
              </w:rPr>
              <w:t>-VІI</w:t>
            </w:r>
          </w:p>
        </w:tc>
        <w:tc>
          <w:tcPr>
            <w:tcW w:w="1418" w:type="dxa"/>
            <w:tcBorders>
              <w:top w:val="single" w:sz="4" w:space="0" w:color="auto"/>
              <w:left w:val="single" w:sz="4" w:space="0" w:color="auto"/>
              <w:bottom w:val="single" w:sz="4" w:space="0" w:color="auto"/>
              <w:right w:val="single" w:sz="4" w:space="0" w:color="auto"/>
            </w:tcBorders>
          </w:tcPr>
          <w:p w14:paraId="472102D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14</w:t>
            </w:r>
          </w:p>
        </w:tc>
        <w:tc>
          <w:tcPr>
            <w:tcW w:w="1512" w:type="dxa"/>
            <w:tcBorders>
              <w:top w:val="single" w:sz="4" w:space="0" w:color="auto"/>
              <w:left w:val="single" w:sz="4" w:space="0" w:color="auto"/>
              <w:bottom w:val="single" w:sz="4" w:space="0" w:color="auto"/>
              <w:right w:val="single" w:sz="4" w:space="0" w:color="auto"/>
            </w:tcBorders>
          </w:tcPr>
          <w:p w14:paraId="58780EE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26</w:t>
            </w:r>
          </w:p>
        </w:tc>
        <w:tc>
          <w:tcPr>
            <w:tcW w:w="1465" w:type="dxa"/>
            <w:tcBorders>
              <w:top w:val="single" w:sz="4" w:space="0" w:color="auto"/>
              <w:left w:val="single" w:sz="4" w:space="0" w:color="auto"/>
              <w:bottom w:val="single" w:sz="4" w:space="0" w:color="auto"/>
              <w:right w:val="single" w:sz="4" w:space="0" w:color="auto"/>
            </w:tcBorders>
          </w:tcPr>
          <w:p w14:paraId="10DFE732" w14:textId="77777777" w:rsidR="00180D3E" w:rsidRPr="00520861" w:rsidRDefault="00180D3E" w:rsidP="00292D2E">
            <w:pPr>
              <w:widowControl w:val="0"/>
              <w:tabs>
                <w:tab w:val="left" w:pos="748"/>
              </w:tabs>
              <w:spacing w:line="360" w:lineRule="auto"/>
              <w:jc w:val="center"/>
              <w:rPr>
                <w:rFonts w:eastAsia="Calibri"/>
                <w:sz w:val="28"/>
                <w:szCs w:val="28"/>
                <w:lang w:eastAsia="en-US"/>
              </w:rPr>
            </w:pPr>
            <w:r w:rsidRPr="00520861">
              <w:rPr>
                <w:rFonts w:eastAsia="Calibri"/>
                <w:sz w:val="28"/>
                <w:szCs w:val="28"/>
                <w:lang w:eastAsia="en-US"/>
              </w:rPr>
              <w:t>7</w:t>
            </w:r>
          </w:p>
        </w:tc>
        <w:tc>
          <w:tcPr>
            <w:tcW w:w="1417" w:type="dxa"/>
            <w:tcBorders>
              <w:top w:val="single" w:sz="4" w:space="0" w:color="auto"/>
              <w:left w:val="single" w:sz="4" w:space="0" w:color="auto"/>
              <w:bottom w:val="single" w:sz="4" w:space="0" w:color="auto"/>
              <w:right w:val="single" w:sz="4" w:space="0" w:color="auto"/>
            </w:tcBorders>
          </w:tcPr>
          <w:p w14:paraId="78B51CA3" w14:textId="77777777" w:rsidR="00180D3E" w:rsidRPr="00520861" w:rsidRDefault="00180D3E" w:rsidP="00292D2E">
            <w:pPr>
              <w:widowControl w:val="0"/>
              <w:tabs>
                <w:tab w:val="left" w:pos="40"/>
              </w:tabs>
              <w:spacing w:line="360" w:lineRule="auto"/>
              <w:jc w:val="center"/>
              <w:rPr>
                <w:rFonts w:eastAsia="Calibri"/>
                <w:sz w:val="28"/>
                <w:szCs w:val="28"/>
                <w:lang w:eastAsia="en-US"/>
              </w:rPr>
            </w:pPr>
            <w:r w:rsidRPr="00520861">
              <w:rPr>
                <w:rFonts w:eastAsia="Calibri"/>
                <w:sz w:val="28"/>
                <w:szCs w:val="28"/>
                <w:lang w:eastAsia="en-US"/>
              </w:rPr>
              <w:t>3</w:t>
            </w:r>
          </w:p>
        </w:tc>
        <w:tc>
          <w:tcPr>
            <w:tcW w:w="1512" w:type="dxa"/>
            <w:tcBorders>
              <w:top w:val="single" w:sz="4" w:space="0" w:color="auto"/>
              <w:left w:val="single" w:sz="4" w:space="0" w:color="auto"/>
              <w:bottom w:val="single" w:sz="4" w:space="0" w:color="auto"/>
              <w:right w:val="single" w:sz="4" w:space="0" w:color="auto"/>
            </w:tcBorders>
          </w:tcPr>
          <w:p w14:paraId="5718914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4</w:t>
            </w:r>
          </w:p>
        </w:tc>
        <w:tc>
          <w:tcPr>
            <w:tcW w:w="1465" w:type="dxa"/>
            <w:tcBorders>
              <w:top w:val="single" w:sz="4" w:space="0" w:color="auto"/>
              <w:left w:val="single" w:sz="4" w:space="0" w:color="auto"/>
              <w:bottom w:val="single" w:sz="4" w:space="0" w:color="auto"/>
              <w:right w:val="single" w:sz="4" w:space="0" w:color="auto"/>
            </w:tcBorders>
          </w:tcPr>
          <w:p w14:paraId="64891DC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12</w:t>
            </w:r>
          </w:p>
        </w:tc>
      </w:tr>
      <w:tr w:rsidR="00180D3E" w:rsidRPr="00520861" w14:paraId="40208950" w14:textId="77777777" w:rsidTr="00292D2E">
        <w:tc>
          <w:tcPr>
            <w:tcW w:w="9918" w:type="dxa"/>
            <w:gridSpan w:val="7"/>
            <w:tcBorders>
              <w:top w:val="single" w:sz="4" w:space="0" w:color="auto"/>
              <w:left w:val="single" w:sz="4" w:space="0" w:color="auto"/>
              <w:bottom w:val="single" w:sz="4" w:space="0" w:color="auto"/>
              <w:right w:val="single" w:sz="4" w:space="0" w:color="auto"/>
            </w:tcBorders>
            <w:shd w:val="clear" w:color="auto" w:fill="auto"/>
          </w:tcPr>
          <w:p w14:paraId="2DC3805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color w:val="000000"/>
                <w:sz w:val="28"/>
                <w:szCs w:val="28"/>
              </w:rPr>
              <w:t>Кількість та (%) осіб із PТМ</w:t>
            </w:r>
          </w:p>
        </w:tc>
      </w:tr>
      <w:tr w:rsidR="00180D3E" w:rsidRPr="00520861" w14:paraId="4F20AC2B" w14:textId="77777777" w:rsidTr="00292D2E">
        <w:tc>
          <w:tcPr>
            <w:tcW w:w="1129" w:type="dxa"/>
            <w:tcBorders>
              <w:top w:val="single" w:sz="4" w:space="0" w:color="auto"/>
              <w:left w:val="single" w:sz="4" w:space="0" w:color="auto"/>
              <w:bottom w:val="single" w:sz="4" w:space="0" w:color="auto"/>
              <w:right w:val="single" w:sz="4" w:space="0" w:color="auto"/>
            </w:tcBorders>
            <w:shd w:val="clear" w:color="auto" w:fill="auto"/>
            <w:hideMark/>
          </w:tcPr>
          <w:p w14:paraId="3B40A2DF"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rPr>
            </w:pPr>
            <w:r w:rsidRPr="00520861">
              <w:rPr>
                <w:rFonts w:eastAsia="Calibri"/>
                <w:color w:val="000000"/>
                <w:sz w:val="28"/>
                <w:szCs w:val="28"/>
              </w:rPr>
              <w:t>ВП</w:t>
            </w:r>
            <w:r w:rsidRPr="00520861">
              <w:rPr>
                <w:color w:val="000000"/>
                <w:sz w:val="28"/>
                <w:szCs w:val="28"/>
              </w:rPr>
              <w:t>-VІ</w:t>
            </w:r>
          </w:p>
        </w:tc>
        <w:tc>
          <w:tcPr>
            <w:tcW w:w="1418" w:type="dxa"/>
            <w:tcBorders>
              <w:top w:val="single" w:sz="4" w:space="0" w:color="auto"/>
              <w:left w:val="single" w:sz="4" w:space="0" w:color="auto"/>
              <w:bottom w:val="single" w:sz="4" w:space="0" w:color="auto"/>
              <w:right w:val="single" w:sz="4" w:space="0" w:color="auto"/>
            </w:tcBorders>
          </w:tcPr>
          <w:p w14:paraId="39B51290" w14:textId="77777777" w:rsidR="00180D3E" w:rsidRPr="00520861" w:rsidRDefault="00180D3E" w:rsidP="00292D2E">
            <w:pPr>
              <w:widowControl w:val="0"/>
              <w:spacing w:line="360" w:lineRule="auto"/>
              <w:ind w:right="-113"/>
              <w:jc w:val="center"/>
              <w:rPr>
                <w:rFonts w:eastAsia="Calibri"/>
                <w:sz w:val="28"/>
                <w:szCs w:val="28"/>
                <w:lang w:eastAsia="en-US"/>
              </w:rPr>
            </w:pPr>
            <w:r w:rsidRPr="00520861">
              <w:rPr>
                <w:rFonts w:eastAsia="Calibri"/>
                <w:sz w:val="28"/>
                <w:szCs w:val="28"/>
                <w:lang w:eastAsia="en-US"/>
              </w:rPr>
              <w:t>8 (53,3</w:t>
            </w:r>
            <w:r w:rsidR="00611A5B" w:rsidRPr="00520861">
              <w:rPr>
                <w:rFonts w:eastAsia="Calibri"/>
                <w:sz w:val="28"/>
                <w:szCs w:val="28"/>
                <w:lang w:eastAsia="en-US"/>
              </w:rPr>
              <w:t>%</w:t>
            </w:r>
            <w:r w:rsidRPr="00520861">
              <w:rPr>
                <w:rFonts w:eastAsia="Calibri"/>
                <w:sz w:val="28"/>
                <w:szCs w:val="28"/>
                <w:lang w:eastAsia="en-US"/>
              </w:rPr>
              <w:t>)</w:t>
            </w:r>
          </w:p>
        </w:tc>
        <w:tc>
          <w:tcPr>
            <w:tcW w:w="1512" w:type="dxa"/>
            <w:tcBorders>
              <w:top w:val="single" w:sz="4" w:space="0" w:color="auto"/>
              <w:left w:val="single" w:sz="4" w:space="0" w:color="auto"/>
              <w:bottom w:val="single" w:sz="4" w:space="0" w:color="auto"/>
              <w:right w:val="single" w:sz="4" w:space="0" w:color="auto"/>
            </w:tcBorders>
          </w:tcPr>
          <w:p w14:paraId="7295F813" w14:textId="77777777" w:rsidR="00180D3E" w:rsidRPr="00520861" w:rsidRDefault="00180D3E" w:rsidP="00865094">
            <w:pPr>
              <w:widowControl w:val="0"/>
              <w:spacing w:line="360" w:lineRule="auto"/>
              <w:ind w:right="-151"/>
              <w:jc w:val="center"/>
              <w:rPr>
                <w:rFonts w:eastAsia="Calibri"/>
                <w:sz w:val="28"/>
                <w:szCs w:val="28"/>
                <w:lang w:eastAsia="en-US"/>
              </w:rPr>
            </w:pPr>
            <w:r w:rsidRPr="00520861">
              <w:rPr>
                <w:rFonts w:eastAsia="Calibri"/>
                <w:sz w:val="28"/>
                <w:szCs w:val="28"/>
                <w:lang w:eastAsia="en-US"/>
              </w:rPr>
              <w:t>24 (82,8</w:t>
            </w:r>
            <w:r w:rsidR="00611A5B" w:rsidRPr="00520861">
              <w:rPr>
                <w:rFonts w:eastAsia="Calibri"/>
                <w:sz w:val="28"/>
                <w:szCs w:val="28"/>
                <w:lang w:val="en-US" w:eastAsia="en-US"/>
              </w:rPr>
              <w:t>%</w:t>
            </w:r>
            <w:r w:rsidRPr="00520861">
              <w:rPr>
                <w:rFonts w:eastAsia="Calibri"/>
                <w:sz w:val="28"/>
                <w:szCs w:val="28"/>
                <w:lang w:eastAsia="en-US"/>
              </w:rPr>
              <w:t>)</w:t>
            </w:r>
          </w:p>
        </w:tc>
        <w:tc>
          <w:tcPr>
            <w:tcW w:w="1465" w:type="dxa"/>
            <w:tcBorders>
              <w:top w:val="single" w:sz="4" w:space="0" w:color="auto"/>
              <w:left w:val="single" w:sz="4" w:space="0" w:color="auto"/>
              <w:bottom w:val="single" w:sz="4" w:space="0" w:color="auto"/>
              <w:right w:val="single" w:sz="4" w:space="0" w:color="auto"/>
            </w:tcBorders>
          </w:tcPr>
          <w:p w14:paraId="7E5AE1F7" w14:textId="77777777" w:rsidR="00180D3E" w:rsidRPr="00520861" w:rsidRDefault="00180D3E" w:rsidP="00292D2E">
            <w:pPr>
              <w:widowControl w:val="0"/>
              <w:tabs>
                <w:tab w:val="left" w:pos="748"/>
              </w:tabs>
              <w:spacing w:line="360" w:lineRule="auto"/>
              <w:jc w:val="center"/>
              <w:rPr>
                <w:rFonts w:eastAsia="Calibri"/>
                <w:sz w:val="28"/>
                <w:szCs w:val="28"/>
                <w:lang w:eastAsia="en-US"/>
              </w:rPr>
            </w:pPr>
            <w:r w:rsidRPr="00520861">
              <w:rPr>
                <w:rFonts w:eastAsia="Calibri"/>
                <w:sz w:val="28"/>
                <w:szCs w:val="28"/>
                <w:lang w:eastAsia="en-US"/>
              </w:rPr>
              <w:t>5 (83,3</w:t>
            </w:r>
            <w:r w:rsidR="00611A5B" w:rsidRPr="00520861">
              <w:rPr>
                <w:rFonts w:eastAsia="Calibri"/>
                <w:sz w:val="28"/>
                <w:szCs w:val="28"/>
                <w:lang w:eastAsia="en-US"/>
              </w:rPr>
              <w:t>%</w:t>
            </w:r>
            <w:r w:rsidRPr="00520861">
              <w:rPr>
                <w:rFonts w:eastAsia="Calibri"/>
                <w:sz w:val="28"/>
                <w:szCs w:val="28"/>
                <w:lang w:eastAsia="en-US"/>
              </w:rPr>
              <w:t>)</w:t>
            </w:r>
          </w:p>
        </w:tc>
        <w:tc>
          <w:tcPr>
            <w:tcW w:w="1417" w:type="dxa"/>
            <w:tcBorders>
              <w:top w:val="single" w:sz="4" w:space="0" w:color="auto"/>
              <w:left w:val="single" w:sz="4" w:space="0" w:color="auto"/>
              <w:bottom w:val="single" w:sz="4" w:space="0" w:color="auto"/>
              <w:right w:val="single" w:sz="4" w:space="0" w:color="auto"/>
            </w:tcBorders>
          </w:tcPr>
          <w:p w14:paraId="7F9BC4AD" w14:textId="77777777" w:rsidR="00180D3E" w:rsidRPr="00520861" w:rsidRDefault="00180D3E" w:rsidP="00292D2E">
            <w:pPr>
              <w:widowControl w:val="0"/>
              <w:tabs>
                <w:tab w:val="left" w:pos="40"/>
              </w:tabs>
              <w:spacing w:line="360" w:lineRule="auto"/>
              <w:jc w:val="center"/>
              <w:rPr>
                <w:rFonts w:eastAsia="Calibri"/>
                <w:sz w:val="28"/>
                <w:szCs w:val="28"/>
                <w:lang w:eastAsia="en-US"/>
              </w:rPr>
            </w:pPr>
            <w:r w:rsidRPr="00520861">
              <w:rPr>
                <w:rFonts w:eastAsia="Calibri"/>
                <w:sz w:val="28"/>
                <w:szCs w:val="28"/>
                <w:lang w:eastAsia="en-US"/>
              </w:rPr>
              <w:t>3 (60,0</w:t>
            </w:r>
            <w:r w:rsidR="00611A5B" w:rsidRPr="00520861">
              <w:rPr>
                <w:rFonts w:eastAsia="Calibri"/>
                <w:sz w:val="28"/>
                <w:szCs w:val="28"/>
                <w:lang w:eastAsia="en-US"/>
              </w:rPr>
              <w:t>%</w:t>
            </w:r>
            <w:r w:rsidRPr="00520861">
              <w:rPr>
                <w:rFonts w:eastAsia="Calibri"/>
                <w:sz w:val="28"/>
                <w:szCs w:val="28"/>
                <w:lang w:eastAsia="en-US"/>
              </w:rPr>
              <w:t>)</w:t>
            </w:r>
          </w:p>
        </w:tc>
        <w:tc>
          <w:tcPr>
            <w:tcW w:w="1512" w:type="dxa"/>
            <w:tcBorders>
              <w:top w:val="single" w:sz="4" w:space="0" w:color="auto"/>
              <w:left w:val="single" w:sz="4" w:space="0" w:color="auto"/>
              <w:bottom w:val="single" w:sz="4" w:space="0" w:color="auto"/>
              <w:right w:val="single" w:sz="4" w:space="0" w:color="auto"/>
            </w:tcBorders>
          </w:tcPr>
          <w:p w14:paraId="15D51C1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7 (100,0%)</w:t>
            </w:r>
          </w:p>
        </w:tc>
        <w:tc>
          <w:tcPr>
            <w:tcW w:w="1465" w:type="dxa"/>
            <w:tcBorders>
              <w:top w:val="single" w:sz="4" w:space="0" w:color="auto"/>
              <w:left w:val="single" w:sz="4" w:space="0" w:color="auto"/>
              <w:bottom w:val="single" w:sz="4" w:space="0" w:color="auto"/>
              <w:right w:val="single" w:sz="4" w:space="0" w:color="auto"/>
            </w:tcBorders>
          </w:tcPr>
          <w:p w14:paraId="2BA40A0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9 (81,8</w:t>
            </w:r>
            <w:r w:rsidR="00611A5B" w:rsidRPr="00520861">
              <w:rPr>
                <w:rFonts w:eastAsia="Calibri"/>
                <w:sz w:val="28"/>
                <w:szCs w:val="28"/>
                <w:lang w:eastAsia="en-US"/>
              </w:rPr>
              <w:t>%</w:t>
            </w:r>
            <w:r w:rsidRPr="00520861">
              <w:rPr>
                <w:rFonts w:eastAsia="Calibri"/>
                <w:sz w:val="28"/>
                <w:szCs w:val="28"/>
                <w:lang w:eastAsia="en-US"/>
              </w:rPr>
              <w:t>)</w:t>
            </w:r>
          </w:p>
        </w:tc>
      </w:tr>
      <w:tr w:rsidR="00180D3E" w:rsidRPr="00520861" w14:paraId="12C40A3E" w14:textId="77777777" w:rsidTr="00292D2E">
        <w:tc>
          <w:tcPr>
            <w:tcW w:w="1129" w:type="dxa"/>
            <w:tcBorders>
              <w:top w:val="single" w:sz="4" w:space="0" w:color="auto"/>
              <w:left w:val="single" w:sz="4" w:space="0" w:color="auto"/>
              <w:bottom w:val="single" w:sz="4" w:space="0" w:color="auto"/>
              <w:right w:val="single" w:sz="4" w:space="0" w:color="auto"/>
            </w:tcBorders>
            <w:shd w:val="clear" w:color="auto" w:fill="auto"/>
            <w:hideMark/>
          </w:tcPr>
          <w:p w14:paraId="3379C55D" w14:textId="77777777" w:rsidR="00180D3E" w:rsidRPr="00520861" w:rsidRDefault="00180D3E" w:rsidP="00292D2E">
            <w:pPr>
              <w:widowControl w:val="0"/>
              <w:pBdr>
                <w:top w:val="nil"/>
                <w:left w:val="nil"/>
                <w:bottom w:val="nil"/>
                <w:right w:val="nil"/>
                <w:between w:val="nil"/>
              </w:pBdr>
              <w:spacing w:line="360" w:lineRule="auto"/>
              <w:ind w:right="-106"/>
              <w:jc w:val="center"/>
              <w:rPr>
                <w:color w:val="000000"/>
                <w:sz w:val="28"/>
                <w:szCs w:val="28"/>
              </w:rPr>
            </w:pPr>
            <w:r w:rsidRPr="00520861">
              <w:rPr>
                <w:rFonts w:eastAsia="Calibri"/>
                <w:color w:val="000000"/>
                <w:sz w:val="28"/>
                <w:szCs w:val="28"/>
              </w:rPr>
              <w:t>ВП</w:t>
            </w:r>
            <w:r w:rsidRPr="00520861">
              <w:rPr>
                <w:color w:val="000000"/>
                <w:sz w:val="28"/>
                <w:szCs w:val="28"/>
              </w:rPr>
              <w:t>-VІІ</w:t>
            </w:r>
          </w:p>
        </w:tc>
        <w:tc>
          <w:tcPr>
            <w:tcW w:w="1418" w:type="dxa"/>
            <w:tcBorders>
              <w:top w:val="single" w:sz="4" w:space="0" w:color="auto"/>
              <w:left w:val="single" w:sz="4" w:space="0" w:color="auto"/>
              <w:bottom w:val="single" w:sz="4" w:space="0" w:color="auto"/>
              <w:right w:val="single" w:sz="4" w:space="0" w:color="auto"/>
            </w:tcBorders>
          </w:tcPr>
          <w:p w14:paraId="61954F29" w14:textId="77777777" w:rsidR="00180D3E" w:rsidRPr="00520861" w:rsidRDefault="00180D3E" w:rsidP="00292D2E">
            <w:pPr>
              <w:widowControl w:val="0"/>
              <w:spacing w:line="360" w:lineRule="auto"/>
              <w:ind w:left="-108" w:right="-114"/>
              <w:jc w:val="center"/>
              <w:rPr>
                <w:rFonts w:eastAsia="Calibri"/>
                <w:sz w:val="28"/>
                <w:szCs w:val="28"/>
                <w:lang w:eastAsia="en-US"/>
              </w:rPr>
            </w:pPr>
            <w:r w:rsidRPr="00520861">
              <w:rPr>
                <w:rFonts w:eastAsia="Calibri"/>
                <w:sz w:val="28"/>
                <w:szCs w:val="28"/>
                <w:lang w:eastAsia="en-US"/>
              </w:rPr>
              <w:t>2 (14,3</w:t>
            </w:r>
            <w:r w:rsidR="00611A5B" w:rsidRPr="00520861">
              <w:rPr>
                <w:rFonts w:eastAsia="Calibri"/>
                <w:sz w:val="28"/>
                <w:szCs w:val="28"/>
                <w:lang w:eastAsia="en-US"/>
              </w:rPr>
              <w:t>%</w:t>
            </w:r>
            <w:r w:rsidRPr="00520861">
              <w:rPr>
                <w:rFonts w:eastAsia="Calibri"/>
                <w:sz w:val="28"/>
                <w:szCs w:val="28"/>
                <w:lang w:eastAsia="en-US"/>
              </w:rPr>
              <w:t>)</w:t>
            </w:r>
          </w:p>
        </w:tc>
        <w:tc>
          <w:tcPr>
            <w:tcW w:w="1512" w:type="dxa"/>
            <w:tcBorders>
              <w:top w:val="single" w:sz="4" w:space="0" w:color="auto"/>
              <w:left w:val="single" w:sz="4" w:space="0" w:color="auto"/>
              <w:bottom w:val="single" w:sz="4" w:space="0" w:color="auto"/>
              <w:right w:val="single" w:sz="4" w:space="0" w:color="auto"/>
            </w:tcBorders>
          </w:tcPr>
          <w:p w14:paraId="380AB196"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12 (46,2</w:t>
            </w:r>
            <w:r w:rsidR="00611A5B" w:rsidRPr="00520861">
              <w:rPr>
                <w:rFonts w:eastAsia="Calibri"/>
                <w:color w:val="000000"/>
                <w:sz w:val="28"/>
                <w:szCs w:val="28"/>
              </w:rPr>
              <w:t>%</w:t>
            </w:r>
            <w:r w:rsidRPr="00520861">
              <w:rPr>
                <w:rFonts w:eastAsia="Calibri"/>
                <w:sz w:val="28"/>
                <w:szCs w:val="28"/>
                <w:lang w:eastAsia="en-US"/>
              </w:rPr>
              <w:t>)</w:t>
            </w:r>
          </w:p>
        </w:tc>
        <w:tc>
          <w:tcPr>
            <w:tcW w:w="1465" w:type="dxa"/>
            <w:tcBorders>
              <w:top w:val="single" w:sz="4" w:space="0" w:color="auto"/>
              <w:left w:val="single" w:sz="4" w:space="0" w:color="auto"/>
              <w:bottom w:val="single" w:sz="4" w:space="0" w:color="auto"/>
              <w:right w:val="single" w:sz="4" w:space="0" w:color="auto"/>
            </w:tcBorders>
          </w:tcPr>
          <w:p w14:paraId="0D4B8B3B" w14:textId="77777777" w:rsidR="00180D3E" w:rsidRPr="00520861" w:rsidRDefault="00180D3E" w:rsidP="00292D2E">
            <w:pPr>
              <w:widowControl w:val="0"/>
              <w:tabs>
                <w:tab w:val="left" w:pos="748"/>
              </w:tabs>
              <w:spacing w:line="360" w:lineRule="auto"/>
              <w:ind w:right="-107"/>
              <w:jc w:val="center"/>
              <w:rPr>
                <w:rFonts w:eastAsia="Calibri"/>
                <w:sz w:val="28"/>
                <w:szCs w:val="28"/>
                <w:lang w:eastAsia="en-US"/>
              </w:rPr>
            </w:pPr>
            <w:r w:rsidRPr="00520861">
              <w:rPr>
                <w:rFonts w:eastAsia="Calibri"/>
                <w:sz w:val="28"/>
                <w:szCs w:val="28"/>
                <w:lang w:eastAsia="en-US"/>
              </w:rPr>
              <w:t>3 (42,9</w:t>
            </w:r>
            <w:r w:rsidR="00611A5B" w:rsidRPr="00520861">
              <w:rPr>
                <w:rFonts w:eastAsia="Calibri"/>
                <w:sz w:val="28"/>
                <w:szCs w:val="28"/>
                <w:lang w:eastAsia="en-US"/>
              </w:rPr>
              <w:t>%</w:t>
            </w:r>
            <w:r w:rsidRPr="00520861">
              <w:rPr>
                <w:rFonts w:eastAsia="Calibri"/>
                <w:sz w:val="28"/>
                <w:szCs w:val="28"/>
                <w:lang w:eastAsia="en-US"/>
              </w:rPr>
              <w:t>)</w:t>
            </w:r>
          </w:p>
        </w:tc>
        <w:tc>
          <w:tcPr>
            <w:tcW w:w="1417" w:type="dxa"/>
            <w:tcBorders>
              <w:top w:val="single" w:sz="4" w:space="0" w:color="auto"/>
              <w:left w:val="single" w:sz="4" w:space="0" w:color="auto"/>
              <w:bottom w:val="single" w:sz="4" w:space="0" w:color="auto"/>
              <w:right w:val="single" w:sz="4" w:space="0" w:color="auto"/>
            </w:tcBorders>
          </w:tcPr>
          <w:p w14:paraId="262911B4" w14:textId="77777777" w:rsidR="00180D3E" w:rsidRPr="00520861" w:rsidRDefault="00180D3E" w:rsidP="00292D2E">
            <w:pPr>
              <w:widowControl w:val="0"/>
              <w:tabs>
                <w:tab w:val="left" w:pos="40"/>
              </w:tabs>
              <w:spacing w:line="360" w:lineRule="auto"/>
              <w:ind w:right="-108"/>
              <w:jc w:val="center"/>
              <w:rPr>
                <w:rFonts w:eastAsia="Calibri"/>
                <w:sz w:val="28"/>
                <w:szCs w:val="28"/>
                <w:lang w:eastAsia="en-US"/>
              </w:rPr>
            </w:pPr>
            <w:r w:rsidRPr="00520861">
              <w:rPr>
                <w:rFonts w:eastAsia="Calibri"/>
                <w:sz w:val="28"/>
                <w:szCs w:val="28"/>
                <w:lang w:eastAsia="en-US"/>
              </w:rPr>
              <w:t>1 (33,3</w:t>
            </w:r>
            <w:r w:rsidR="00611A5B" w:rsidRPr="00520861">
              <w:rPr>
                <w:rFonts w:eastAsia="Calibri"/>
                <w:color w:val="000000"/>
                <w:sz w:val="28"/>
                <w:szCs w:val="28"/>
              </w:rPr>
              <w:t>%</w:t>
            </w:r>
            <w:r w:rsidRPr="00520861">
              <w:rPr>
                <w:rFonts w:eastAsia="Calibri"/>
                <w:sz w:val="28"/>
                <w:szCs w:val="28"/>
                <w:lang w:eastAsia="en-US"/>
              </w:rPr>
              <w:t>)</w:t>
            </w:r>
          </w:p>
        </w:tc>
        <w:tc>
          <w:tcPr>
            <w:tcW w:w="1512" w:type="dxa"/>
            <w:tcBorders>
              <w:top w:val="single" w:sz="4" w:space="0" w:color="auto"/>
              <w:left w:val="single" w:sz="4" w:space="0" w:color="auto"/>
              <w:bottom w:val="single" w:sz="4" w:space="0" w:color="auto"/>
              <w:right w:val="single" w:sz="4" w:space="0" w:color="auto"/>
            </w:tcBorders>
          </w:tcPr>
          <w:p w14:paraId="1098F3DF" w14:textId="77777777" w:rsidR="00180D3E" w:rsidRPr="00520861" w:rsidRDefault="00180D3E" w:rsidP="00292D2E">
            <w:pPr>
              <w:widowControl w:val="0"/>
              <w:spacing w:line="360" w:lineRule="auto"/>
              <w:ind w:right="-123"/>
              <w:jc w:val="center"/>
              <w:rPr>
                <w:rFonts w:eastAsia="Calibri"/>
                <w:sz w:val="28"/>
                <w:szCs w:val="28"/>
                <w:lang w:eastAsia="en-US"/>
              </w:rPr>
            </w:pPr>
            <w:r w:rsidRPr="00520861">
              <w:rPr>
                <w:rFonts w:eastAsia="Calibri"/>
                <w:sz w:val="28"/>
                <w:szCs w:val="28"/>
                <w:lang w:eastAsia="en-US"/>
              </w:rPr>
              <w:t>2 (50,0</w:t>
            </w:r>
            <w:r w:rsidR="00611A5B" w:rsidRPr="00520861">
              <w:rPr>
                <w:rFonts w:eastAsia="Calibri"/>
                <w:sz w:val="28"/>
                <w:szCs w:val="28"/>
                <w:lang w:eastAsia="en-US"/>
              </w:rPr>
              <w:t>%</w:t>
            </w:r>
            <w:r w:rsidRPr="00520861">
              <w:rPr>
                <w:rFonts w:eastAsia="Calibri"/>
                <w:sz w:val="28"/>
                <w:szCs w:val="28"/>
                <w:lang w:eastAsia="en-US"/>
              </w:rPr>
              <w:t>)</w:t>
            </w:r>
          </w:p>
        </w:tc>
        <w:tc>
          <w:tcPr>
            <w:tcW w:w="1465" w:type="dxa"/>
            <w:tcBorders>
              <w:top w:val="single" w:sz="4" w:space="0" w:color="auto"/>
              <w:left w:val="single" w:sz="4" w:space="0" w:color="auto"/>
              <w:bottom w:val="single" w:sz="4" w:space="0" w:color="auto"/>
              <w:right w:val="single" w:sz="4" w:space="0" w:color="auto"/>
            </w:tcBorders>
          </w:tcPr>
          <w:p w14:paraId="56D05E71" w14:textId="77777777" w:rsidR="00180D3E" w:rsidRPr="00520861" w:rsidRDefault="00180D3E" w:rsidP="00292D2E">
            <w:pPr>
              <w:widowControl w:val="0"/>
              <w:spacing w:line="360" w:lineRule="auto"/>
              <w:ind w:right="-3"/>
              <w:jc w:val="center"/>
              <w:rPr>
                <w:rFonts w:eastAsia="Calibri"/>
                <w:sz w:val="28"/>
                <w:szCs w:val="28"/>
                <w:lang w:eastAsia="en-US"/>
              </w:rPr>
            </w:pPr>
            <w:r w:rsidRPr="00520861">
              <w:rPr>
                <w:rFonts w:eastAsia="Calibri"/>
                <w:sz w:val="28"/>
                <w:szCs w:val="28"/>
                <w:lang w:eastAsia="en-US"/>
              </w:rPr>
              <w:t>6 (50,0</w:t>
            </w:r>
            <w:r w:rsidR="00611A5B" w:rsidRPr="00520861">
              <w:rPr>
                <w:rFonts w:eastAsia="Calibri"/>
                <w:sz w:val="28"/>
                <w:szCs w:val="28"/>
                <w:lang w:eastAsia="en-US"/>
              </w:rPr>
              <w:t>%</w:t>
            </w:r>
            <w:r w:rsidRPr="00520861">
              <w:rPr>
                <w:rFonts w:eastAsia="Calibri"/>
                <w:sz w:val="28"/>
                <w:szCs w:val="28"/>
                <w:lang w:eastAsia="en-US"/>
              </w:rPr>
              <w:t>)</w:t>
            </w:r>
          </w:p>
        </w:tc>
      </w:tr>
      <w:tr w:rsidR="00180D3E" w:rsidRPr="00520861" w14:paraId="5F6F1309" w14:textId="77777777" w:rsidTr="00292D2E">
        <w:tc>
          <w:tcPr>
            <w:tcW w:w="1129" w:type="dxa"/>
            <w:tcBorders>
              <w:top w:val="single" w:sz="4" w:space="0" w:color="auto"/>
              <w:left w:val="single" w:sz="4" w:space="0" w:color="auto"/>
              <w:bottom w:val="single" w:sz="4" w:space="0" w:color="auto"/>
              <w:right w:val="single" w:sz="4" w:space="0" w:color="auto"/>
            </w:tcBorders>
            <w:shd w:val="clear" w:color="auto" w:fill="auto"/>
            <w:hideMark/>
          </w:tcPr>
          <w:p w14:paraId="05C9A34D" w14:textId="77777777" w:rsidR="00180D3E" w:rsidRPr="00520861" w:rsidRDefault="00180D3E" w:rsidP="00292D2E">
            <w:pPr>
              <w:widowControl w:val="0"/>
              <w:pBdr>
                <w:top w:val="nil"/>
                <w:left w:val="nil"/>
                <w:bottom w:val="nil"/>
                <w:right w:val="nil"/>
                <w:between w:val="nil"/>
              </w:pBdr>
              <w:spacing w:line="360" w:lineRule="auto"/>
              <w:ind w:right="-106"/>
              <w:jc w:val="center"/>
              <w:rPr>
                <w:rFonts w:eastAsia="Calibri"/>
                <w:color w:val="000000"/>
                <w:sz w:val="28"/>
                <w:szCs w:val="28"/>
              </w:rPr>
            </w:pPr>
            <w:r w:rsidRPr="00520861">
              <w:rPr>
                <w:rFonts w:eastAsia="Calibri"/>
                <w:color w:val="000000"/>
                <w:sz w:val="28"/>
                <w:szCs w:val="28"/>
              </w:rPr>
              <w:t>ВП</w:t>
            </w:r>
            <w:r w:rsidRPr="00520861">
              <w:rPr>
                <w:color w:val="000000"/>
                <w:sz w:val="28"/>
                <w:szCs w:val="28"/>
              </w:rPr>
              <w:t>-VІ+</w:t>
            </w:r>
            <w:r w:rsidRPr="00520861">
              <w:rPr>
                <w:rFonts w:eastAsia="Calibri"/>
                <w:color w:val="000000"/>
                <w:sz w:val="28"/>
                <w:szCs w:val="28"/>
              </w:rPr>
              <w:t xml:space="preserve"> ВП</w:t>
            </w:r>
            <w:r w:rsidRPr="00520861">
              <w:rPr>
                <w:color w:val="000000"/>
                <w:sz w:val="28"/>
                <w:szCs w:val="28"/>
              </w:rPr>
              <w:t>-VІІ</w:t>
            </w:r>
          </w:p>
        </w:tc>
        <w:tc>
          <w:tcPr>
            <w:tcW w:w="1418" w:type="dxa"/>
            <w:tcBorders>
              <w:top w:val="single" w:sz="4" w:space="0" w:color="auto"/>
              <w:left w:val="single" w:sz="4" w:space="0" w:color="auto"/>
              <w:bottom w:val="single" w:sz="4" w:space="0" w:color="auto"/>
              <w:right w:val="single" w:sz="4" w:space="0" w:color="auto"/>
            </w:tcBorders>
          </w:tcPr>
          <w:p w14:paraId="238A6BFC" w14:textId="77777777" w:rsidR="00180D3E" w:rsidRPr="00520861" w:rsidRDefault="00180D3E" w:rsidP="00292D2E">
            <w:pPr>
              <w:widowControl w:val="0"/>
              <w:spacing w:line="360" w:lineRule="auto"/>
              <w:ind w:left="-108" w:right="-114"/>
              <w:jc w:val="center"/>
              <w:rPr>
                <w:rFonts w:eastAsia="Calibri"/>
                <w:sz w:val="28"/>
                <w:szCs w:val="28"/>
                <w:lang w:eastAsia="en-US"/>
              </w:rPr>
            </w:pPr>
            <w:r w:rsidRPr="00520861">
              <w:rPr>
                <w:rFonts w:eastAsia="Calibri"/>
                <w:sz w:val="28"/>
                <w:szCs w:val="28"/>
                <w:lang w:eastAsia="en-US"/>
              </w:rPr>
              <w:t xml:space="preserve">10 </w:t>
            </w:r>
          </w:p>
          <w:p w14:paraId="105D6011" w14:textId="77777777" w:rsidR="00180D3E" w:rsidRPr="00520861" w:rsidRDefault="00180D3E" w:rsidP="00292D2E">
            <w:pPr>
              <w:widowControl w:val="0"/>
              <w:spacing w:line="360" w:lineRule="auto"/>
              <w:ind w:left="-108" w:right="-114"/>
              <w:jc w:val="center"/>
              <w:rPr>
                <w:rFonts w:eastAsia="Calibri"/>
                <w:sz w:val="28"/>
                <w:szCs w:val="28"/>
                <w:lang w:eastAsia="en-US"/>
              </w:rPr>
            </w:pPr>
            <w:r w:rsidRPr="00520861">
              <w:rPr>
                <w:rFonts w:eastAsia="Calibri"/>
                <w:sz w:val="28"/>
                <w:szCs w:val="28"/>
                <w:lang w:eastAsia="en-US"/>
              </w:rPr>
              <w:t>(34,5</w:t>
            </w:r>
            <w:r w:rsidR="00611A5B" w:rsidRPr="00520861">
              <w:rPr>
                <w:rFonts w:eastAsia="Calibri"/>
                <w:sz w:val="28"/>
                <w:szCs w:val="28"/>
                <w:lang w:eastAsia="en-US"/>
              </w:rPr>
              <w:t>%</w:t>
            </w:r>
            <w:r w:rsidRPr="00520861">
              <w:rPr>
                <w:rFonts w:eastAsia="Calibri"/>
                <w:sz w:val="28"/>
                <w:szCs w:val="28"/>
                <w:lang w:eastAsia="en-US"/>
              </w:rPr>
              <w:t>)</w:t>
            </w:r>
          </w:p>
        </w:tc>
        <w:tc>
          <w:tcPr>
            <w:tcW w:w="1512" w:type="dxa"/>
            <w:tcBorders>
              <w:top w:val="single" w:sz="4" w:space="0" w:color="auto"/>
              <w:left w:val="single" w:sz="4" w:space="0" w:color="auto"/>
              <w:bottom w:val="single" w:sz="4" w:space="0" w:color="auto"/>
              <w:right w:val="single" w:sz="4" w:space="0" w:color="auto"/>
            </w:tcBorders>
          </w:tcPr>
          <w:p w14:paraId="693B2485"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 xml:space="preserve">36 </w:t>
            </w:r>
          </w:p>
          <w:p w14:paraId="1CF4F2F0" w14:textId="77777777" w:rsidR="00180D3E" w:rsidRPr="00520861" w:rsidRDefault="00180D3E" w:rsidP="00292D2E">
            <w:pPr>
              <w:widowControl w:val="0"/>
              <w:spacing w:line="360" w:lineRule="auto"/>
              <w:ind w:right="-106"/>
              <w:jc w:val="center"/>
              <w:rPr>
                <w:rFonts w:eastAsia="Calibri"/>
                <w:sz w:val="28"/>
                <w:szCs w:val="28"/>
                <w:lang w:eastAsia="en-US"/>
              </w:rPr>
            </w:pPr>
            <w:r w:rsidRPr="00520861">
              <w:rPr>
                <w:rFonts w:eastAsia="Calibri"/>
                <w:sz w:val="28"/>
                <w:szCs w:val="28"/>
                <w:lang w:eastAsia="en-US"/>
              </w:rPr>
              <w:t>(65,5</w:t>
            </w:r>
            <w:r w:rsidR="00611A5B" w:rsidRPr="00520861">
              <w:rPr>
                <w:rFonts w:eastAsia="Calibri"/>
                <w:sz w:val="28"/>
                <w:szCs w:val="28"/>
                <w:lang w:eastAsia="en-US"/>
              </w:rPr>
              <w:t>%</w:t>
            </w:r>
            <w:r w:rsidRPr="00520861">
              <w:rPr>
                <w:rFonts w:eastAsia="Calibri"/>
                <w:sz w:val="28"/>
                <w:szCs w:val="28"/>
                <w:lang w:eastAsia="en-US"/>
              </w:rPr>
              <w:t>)</w:t>
            </w:r>
          </w:p>
        </w:tc>
        <w:tc>
          <w:tcPr>
            <w:tcW w:w="1465" w:type="dxa"/>
            <w:tcBorders>
              <w:top w:val="single" w:sz="4" w:space="0" w:color="auto"/>
              <w:left w:val="single" w:sz="4" w:space="0" w:color="auto"/>
              <w:bottom w:val="single" w:sz="4" w:space="0" w:color="auto"/>
              <w:right w:val="single" w:sz="4" w:space="0" w:color="auto"/>
            </w:tcBorders>
          </w:tcPr>
          <w:p w14:paraId="7C1894E2" w14:textId="77777777" w:rsidR="00180D3E" w:rsidRPr="00520861" w:rsidRDefault="00180D3E" w:rsidP="00292D2E">
            <w:pPr>
              <w:widowControl w:val="0"/>
              <w:tabs>
                <w:tab w:val="left" w:pos="748"/>
              </w:tabs>
              <w:spacing w:line="360" w:lineRule="auto"/>
              <w:ind w:right="-107"/>
              <w:jc w:val="center"/>
              <w:rPr>
                <w:rFonts w:eastAsia="Calibri"/>
                <w:sz w:val="28"/>
                <w:szCs w:val="28"/>
                <w:lang w:eastAsia="en-US"/>
              </w:rPr>
            </w:pPr>
            <w:r w:rsidRPr="00520861">
              <w:rPr>
                <w:rFonts w:eastAsia="Calibri"/>
                <w:sz w:val="28"/>
                <w:szCs w:val="28"/>
                <w:lang w:eastAsia="en-US"/>
              </w:rPr>
              <w:t xml:space="preserve">8 </w:t>
            </w:r>
          </w:p>
          <w:p w14:paraId="5614AF0A" w14:textId="77777777" w:rsidR="00180D3E" w:rsidRPr="00520861" w:rsidRDefault="00180D3E" w:rsidP="00292D2E">
            <w:pPr>
              <w:widowControl w:val="0"/>
              <w:tabs>
                <w:tab w:val="left" w:pos="748"/>
              </w:tabs>
              <w:spacing w:line="360" w:lineRule="auto"/>
              <w:ind w:right="-107"/>
              <w:jc w:val="center"/>
              <w:rPr>
                <w:rFonts w:eastAsia="Calibri"/>
                <w:sz w:val="28"/>
                <w:szCs w:val="28"/>
                <w:lang w:eastAsia="en-US"/>
              </w:rPr>
            </w:pPr>
            <w:r w:rsidRPr="00520861">
              <w:rPr>
                <w:rFonts w:eastAsia="Calibri"/>
                <w:sz w:val="28"/>
                <w:szCs w:val="28"/>
                <w:lang w:eastAsia="en-US"/>
              </w:rPr>
              <w:t>(61,5</w:t>
            </w:r>
            <w:r w:rsidR="00611A5B" w:rsidRPr="00520861">
              <w:rPr>
                <w:rFonts w:eastAsia="Calibri"/>
                <w:sz w:val="28"/>
                <w:szCs w:val="28"/>
                <w:lang w:eastAsia="en-US"/>
              </w:rPr>
              <w:t>%</w:t>
            </w:r>
            <w:r w:rsidRPr="00520861">
              <w:rPr>
                <w:rFonts w:eastAsia="Calibri"/>
                <w:sz w:val="28"/>
                <w:szCs w:val="28"/>
                <w:lang w:eastAsia="en-US"/>
              </w:rPr>
              <w:t>)</w:t>
            </w:r>
          </w:p>
        </w:tc>
        <w:tc>
          <w:tcPr>
            <w:tcW w:w="1417" w:type="dxa"/>
            <w:tcBorders>
              <w:top w:val="single" w:sz="4" w:space="0" w:color="auto"/>
              <w:left w:val="single" w:sz="4" w:space="0" w:color="auto"/>
              <w:bottom w:val="single" w:sz="4" w:space="0" w:color="auto"/>
              <w:right w:val="single" w:sz="4" w:space="0" w:color="auto"/>
            </w:tcBorders>
          </w:tcPr>
          <w:p w14:paraId="728C0618" w14:textId="77777777" w:rsidR="00180D3E" w:rsidRPr="00520861" w:rsidRDefault="00180D3E" w:rsidP="00292D2E">
            <w:pPr>
              <w:widowControl w:val="0"/>
              <w:tabs>
                <w:tab w:val="left" w:pos="40"/>
              </w:tabs>
              <w:spacing w:line="360" w:lineRule="auto"/>
              <w:ind w:right="-108"/>
              <w:jc w:val="center"/>
              <w:rPr>
                <w:rFonts w:eastAsia="Calibri"/>
                <w:sz w:val="28"/>
                <w:szCs w:val="28"/>
                <w:lang w:eastAsia="en-US"/>
              </w:rPr>
            </w:pPr>
            <w:r w:rsidRPr="00520861">
              <w:rPr>
                <w:rFonts w:eastAsia="Calibri"/>
                <w:sz w:val="28"/>
                <w:szCs w:val="28"/>
                <w:lang w:eastAsia="en-US"/>
              </w:rPr>
              <w:t xml:space="preserve">4 </w:t>
            </w:r>
          </w:p>
          <w:p w14:paraId="00D2C367" w14:textId="77777777" w:rsidR="00180D3E" w:rsidRPr="00520861" w:rsidRDefault="00180D3E" w:rsidP="00292D2E">
            <w:pPr>
              <w:widowControl w:val="0"/>
              <w:tabs>
                <w:tab w:val="left" w:pos="40"/>
              </w:tabs>
              <w:spacing w:line="360" w:lineRule="auto"/>
              <w:ind w:right="-108"/>
              <w:jc w:val="center"/>
              <w:rPr>
                <w:rFonts w:eastAsia="Calibri"/>
                <w:sz w:val="28"/>
                <w:szCs w:val="28"/>
                <w:lang w:eastAsia="en-US"/>
              </w:rPr>
            </w:pPr>
            <w:r w:rsidRPr="00520861">
              <w:rPr>
                <w:rFonts w:eastAsia="Calibri"/>
                <w:sz w:val="28"/>
                <w:szCs w:val="28"/>
                <w:lang w:eastAsia="en-US"/>
              </w:rPr>
              <w:t>(50,0</w:t>
            </w:r>
            <w:r w:rsidR="00611A5B" w:rsidRPr="00520861">
              <w:rPr>
                <w:rFonts w:eastAsia="Calibri"/>
                <w:sz w:val="28"/>
                <w:szCs w:val="28"/>
                <w:lang w:eastAsia="en-US"/>
              </w:rPr>
              <w:t>%</w:t>
            </w:r>
            <w:r w:rsidRPr="00520861">
              <w:rPr>
                <w:rFonts w:eastAsia="Calibri"/>
                <w:sz w:val="28"/>
                <w:szCs w:val="28"/>
                <w:lang w:eastAsia="en-US"/>
              </w:rPr>
              <w:t>)</w:t>
            </w:r>
          </w:p>
        </w:tc>
        <w:tc>
          <w:tcPr>
            <w:tcW w:w="1512" w:type="dxa"/>
            <w:tcBorders>
              <w:top w:val="single" w:sz="4" w:space="0" w:color="auto"/>
              <w:left w:val="single" w:sz="4" w:space="0" w:color="auto"/>
              <w:bottom w:val="single" w:sz="4" w:space="0" w:color="auto"/>
              <w:right w:val="single" w:sz="4" w:space="0" w:color="auto"/>
            </w:tcBorders>
          </w:tcPr>
          <w:p w14:paraId="309F037C" w14:textId="77777777" w:rsidR="00180D3E" w:rsidRPr="00520861" w:rsidRDefault="00180D3E" w:rsidP="00292D2E">
            <w:pPr>
              <w:widowControl w:val="0"/>
              <w:spacing w:line="360" w:lineRule="auto"/>
              <w:ind w:right="-123"/>
              <w:jc w:val="center"/>
              <w:rPr>
                <w:rFonts w:eastAsia="Calibri"/>
                <w:sz w:val="28"/>
                <w:szCs w:val="28"/>
                <w:lang w:eastAsia="en-US"/>
              </w:rPr>
            </w:pPr>
            <w:r w:rsidRPr="00520861">
              <w:rPr>
                <w:rFonts w:eastAsia="Calibri"/>
                <w:sz w:val="28"/>
                <w:szCs w:val="28"/>
                <w:lang w:eastAsia="en-US"/>
              </w:rPr>
              <w:t xml:space="preserve">9 </w:t>
            </w:r>
          </w:p>
          <w:p w14:paraId="5F55874F" w14:textId="77777777" w:rsidR="00180D3E" w:rsidRPr="00520861" w:rsidRDefault="00180D3E" w:rsidP="00292D2E">
            <w:pPr>
              <w:widowControl w:val="0"/>
              <w:spacing w:line="360" w:lineRule="auto"/>
              <w:ind w:right="-123"/>
              <w:jc w:val="center"/>
              <w:rPr>
                <w:rFonts w:eastAsia="Calibri"/>
                <w:sz w:val="28"/>
                <w:szCs w:val="28"/>
                <w:lang w:eastAsia="en-US"/>
              </w:rPr>
            </w:pPr>
            <w:r w:rsidRPr="00520861">
              <w:rPr>
                <w:rFonts w:eastAsia="Calibri"/>
                <w:sz w:val="28"/>
                <w:szCs w:val="28"/>
                <w:lang w:eastAsia="en-US"/>
              </w:rPr>
              <w:t>(81,8</w:t>
            </w:r>
            <w:r w:rsidR="00611A5B" w:rsidRPr="00520861">
              <w:rPr>
                <w:rFonts w:eastAsia="Calibri"/>
                <w:sz w:val="28"/>
                <w:szCs w:val="28"/>
                <w:lang w:eastAsia="en-US"/>
              </w:rPr>
              <w:t>%</w:t>
            </w:r>
            <w:r w:rsidRPr="00520861">
              <w:rPr>
                <w:rFonts w:eastAsia="Calibri"/>
                <w:sz w:val="28"/>
                <w:szCs w:val="28"/>
                <w:lang w:eastAsia="en-US"/>
              </w:rPr>
              <w:t>)</w:t>
            </w:r>
          </w:p>
        </w:tc>
        <w:tc>
          <w:tcPr>
            <w:tcW w:w="1465" w:type="dxa"/>
            <w:tcBorders>
              <w:top w:val="single" w:sz="4" w:space="0" w:color="auto"/>
              <w:left w:val="single" w:sz="4" w:space="0" w:color="auto"/>
              <w:bottom w:val="single" w:sz="4" w:space="0" w:color="auto"/>
              <w:right w:val="single" w:sz="4" w:space="0" w:color="auto"/>
            </w:tcBorders>
          </w:tcPr>
          <w:p w14:paraId="6F34D02E" w14:textId="77777777" w:rsidR="00180D3E" w:rsidRPr="00520861" w:rsidRDefault="00180D3E" w:rsidP="00292D2E">
            <w:pPr>
              <w:widowControl w:val="0"/>
              <w:spacing w:line="360" w:lineRule="auto"/>
              <w:ind w:right="-3"/>
              <w:jc w:val="center"/>
              <w:rPr>
                <w:rFonts w:eastAsia="Calibri"/>
                <w:sz w:val="28"/>
                <w:szCs w:val="28"/>
                <w:lang w:eastAsia="en-US"/>
              </w:rPr>
            </w:pPr>
            <w:r w:rsidRPr="00520861">
              <w:rPr>
                <w:rFonts w:eastAsia="Calibri"/>
                <w:sz w:val="28"/>
                <w:szCs w:val="28"/>
                <w:lang w:eastAsia="en-US"/>
              </w:rPr>
              <w:t xml:space="preserve">15 </w:t>
            </w:r>
          </w:p>
          <w:p w14:paraId="58235B36" w14:textId="77777777" w:rsidR="00180D3E" w:rsidRPr="00520861" w:rsidRDefault="00180D3E" w:rsidP="00292D2E">
            <w:pPr>
              <w:widowControl w:val="0"/>
              <w:spacing w:line="360" w:lineRule="auto"/>
              <w:ind w:right="-3"/>
              <w:jc w:val="center"/>
              <w:rPr>
                <w:rFonts w:eastAsia="Calibri"/>
                <w:sz w:val="28"/>
                <w:szCs w:val="28"/>
                <w:lang w:eastAsia="en-US"/>
              </w:rPr>
            </w:pPr>
            <w:r w:rsidRPr="00520861">
              <w:rPr>
                <w:rFonts w:eastAsia="Calibri"/>
                <w:sz w:val="28"/>
                <w:szCs w:val="28"/>
                <w:lang w:eastAsia="en-US"/>
              </w:rPr>
              <w:t>(68,2</w:t>
            </w:r>
            <w:r w:rsidR="00611A5B" w:rsidRPr="00520861">
              <w:rPr>
                <w:rFonts w:eastAsia="Calibri"/>
                <w:sz w:val="28"/>
                <w:szCs w:val="28"/>
                <w:lang w:eastAsia="en-US"/>
              </w:rPr>
              <w:t>%</w:t>
            </w:r>
            <w:r w:rsidRPr="00520861">
              <w:rPr>
                <w:rFonts w:eastAsia="Calibri"/>
                <w:sz w:val="28"/>
                <w:szCs w:val="28"/>
                <w:lang w:eastAsia="en-US"/>
              </w:rPr>
              <w:t>)</w:t>
            </w:r>
          </w:p>
        </w:tc>
      </w:tr>
    </w:tbl>
    <w:p w14:paraId="433A3A1A" w14:textId="77777777" w:rsidR="00180D3E" w:rsidRPr="00520861" w:rsidRDefault="00180D3E" w:rsidP="00292D2E">
      <w:pPr>
        <w:widowControl w:val="0"/>
        <w:spacing w:line="360" w:lineRule="auto"/>
        <w:ind w:right="141" w:firstLine="720"/>
        <w:jc w:val="both"/>
        <w:rPr>
          <w:rFonts w:eastAsia="Calibri"/>
          <w:sz w:val="28"/>
          <w:szCs w:val="28"/>
          <w:lang w:eastAsia="en-US"/>
        </w:rPr>
      </w:pPr>
    </w:p>
    <w:p w14:paraId="2BD3DEA0" w14:textId="77777777" w:rsidR="00180D3E" w:rsidRPr="00520861" w:rsidRDefault="00180D3E" w:rsidP="00292D2E">
      <w:pPr>
        <w:widowControl w:val="0"/>
        <w:spacing w:line="360" w:lineRule="auto"/>
        <w:ind w:right="141" w:firstLine="709"/>
        <w:jc w:val="both"/>
        <w:rPr>
          <w:rFonts w:eastAsia="Calibri"/>
          <w:sz w:val="28"/>
          <w:szCs w:val="28"/>
          <w:lang w:eastAsia="en-US"/>
        </w:rPr>
      </w:pPr>
      <w:r w:rsidRPr="00520861">
        <w:rPr>
          <w:rFonts w:eastAsia="Calibri"/>
          <w:sz w:val="28"/>
          <w:szCs w:val="28"/>
          <w:lang w:eastAsia="en-US"/>
        </w:rPr>
        <w:t xml:space="preserve">Процентна кількість осіб із РТМ на верхніх щелепах також розраховувалася від кількості осіб, у яких були сформовані треті моляри. Між групами та підгрупами вона вірогідно не відрізнялася та склала в ОГ 29,3% (ДІ: 19,5% – 40,9%), а в ГП – 27,6% (ДІ: 15,3% – 43,5%). Але у двох учасниць із підгрупи 4, які відносилися до ВП-VI та ВП-VII, були виявлені </w:t>
      </w:r>
      <w:proofErr w:type="spellStart"/>
      <w:r w:rsidRPr="00520861">
        <w:rPr>
          <w:rFonts w:eastAsia="Calibri"/>
          <w:sz w:val="28"/>
          <w:szCs w:val="28"/>
          <w:lang w:eastAsia="en-US"/>
        </w:rPr>
        <w:t>ретеновані</w:t>
      </w:r>
      <w:proofErr w:type="spellEnd"/>
      <w:r w:rsidRPr="00520861">
        <w:rPr>
          <w:rFonts w:eastAsia="Calibri"/>
          <w:sz w:val="28"/>
          <w:szCs w:val="28"/>
          <w:lang w:eastAsia="en-US"/>
        </w:rPr>
        <w:t xml:space="preserve"> з порушеною віссю прорізування зуби 23 (рис. 7.6).</w:t>
      </w:r>
    </w:p>
    <w:p w14:paraId="7A10582B" w14:textId="77777777" w:rsidR="00180D3E" w:rsidRPr="00520861" w:rsidRDefault="00180D3E" w:rsidP="00292D2E">
      <w:pPr>
        <w:widowControl w:val="0"/>
        <w:spacing w:line="360" w:lineRule="auto"/>
        <w:ind w:right="141" w:firstLine="709"/>
        <w:jc w:val="both"/>
        <w:rPr>
          <w:rFonts w:eastAsia="Calibri"/>
          <w:sz w:val="28"/>
          <w:szCs w:val="28"/>
          <w:lang w:eastAsia="en-US"/>
        </w:rPr>
      </w:pPr>
      <w:r w:rsidRPr="00520861">
        <w:rPr>
          <w:rFonts w:eastAsia="Calibri"/>
          <w:sz w:val="28"/>
          <w:szCs w:val="28"/>
          <w:lang w:eastAsia="en-US"/>
        </w:rPr>
        <w:lastRenderedPageBreak/>
        <w:t xml:space="preserve">Через те, що під час візуального аналізу ОПТГ привертала увагу непропорційно велика товщина кортикального шару нижньої щелепи у багатьох учасників ОГ (рис. 7.7), її було перевірено </w:t>
      </w:r>
      <w:proofErr w:type="spellStart"/>
      <w:r w:rsidRPr="00520861">
        <w:rPr>
          <w:rFonts w:eastAsia="Calibri"/>
          <w:sz w:val="28"/>
          <w:szCs w:val="28"/>
          <w:lang w:eastAsia="en-US"/>
        </w:rPr>
        <w:t>рентгенморфометричним</w:t>
      </w:r>
      <w:proofErr w:type="spellEnd"/>
      <w:r w:rsidRPr="00520861">
        <w:rPr>
          <w:rFonts w:eastAsia="Calibri"/>
          <w:sz w:val="28"/>
          <w:szCs w:val="28"/>
          <w:lang w:eastAsia="en-US"/>
        </w:rPr>
        <w:t xml:space="preserve"> методом.</w:t>
      </w:r>
    </w:p>
    <w:p w14:paraId="601364BA" w14:textId="77777777" w:rsidR="00180D3E" w:rsidRPr="00520861" w:rsidRDefault="00180D3E" w:rsidP="00292D2E">
      <w:pPr>
        <w:widowControl w:val="0"/>
        <w:tabs>
          <w:tab w:val="left" w:pos="748"/>
        </w:tabs>
        <w:spacing w:line="360" w:lineRule="auto"/>
        <w:jc w:val="both"/>
        <w:rPr>
          <w:rFonts w:eastAsia="Calibri"/>
          <w:sz w:val="28"/>
          <w:szCs w:val="28"/>
          <w:lang w:eastAsia="en-US"/>
        </w:rPr>
      </w:pPr>
      <w:r w:rsidRPr="00520861">
        <w:rPr>
          <w:rFonts w:eastAsia="Calibri"/>
          <w:sz w:val="28"/>
          <w:szCs w:val="28"/>
          <w:lang w:eastAsia="en-US"/>
        </w:rPr>
        <w:tab/>
        <w:t xml:space="preserve">Дані табл. 7.6 демонструють, що особи ОГ, ВУ, період яких проходив на тлі середніх чи відносно знижених показників ІМТ (об’єднана підгрупа 1+2), мають вірогідно знижену оптичну щільність </w:t>
      </w:r>
      <w:proofErr w:type="spellStart"/>
      <w:r w:rsidRPr="00520861">
        <w:rPr>
          <w:rFonts w:eastAsia="Calibri"/>
          <w:sz w:val="28"/>
          <w:szCs w:val="28"/>
          <w:lang w:eastAsia="en-US"/>
        </w:rPr>
        <w:t>трабекулярної</w:t>
      </w:r>
      <w:proofErr w:type="spellEnd"/>
      <w:r w:rsidRPr="00520861">
        <w:rPr>
          <w:rFonts w:eastAsia="Calibri"/>
          <w:sz w:val="28"/>
          <w:szCs w:val="28"/>
          <w:lang w:eastAsia="en-US"/>
        </w:rPr>
        <w:t xml:space="preserve"> кісткової тканини (ОЩТ) щелеп. Тобто у поєднанні з описаними вище результатами клінічного обстеження це може пояснювати існування в них переважно запальних процесів у пародонті [319].</w:t>
      </w:r>
    </w:p>
    <w:p w14:paraId="630C1E31" w14:textId="77777777" w:rsidR="00180D3E" w:rsidRPr="00520861" w:rsidRDefault="00180D3E" w:rsidP="00292D2E">
      <w:pPr>
        <w:widowControl w:val="0"/>
        <w:ind w:right="141"/>
        <w:jc w:val="center"/>
        <w:rPr>
          <w:rFonts w:eastAsia="Calibri"/>
          <w:sz w:val="28"/>
          <w:szCs w:val="28"/>
          <w:lang w:eastAsia="en-US"/>
        </w:rPr>
      </w:pPr>
      <w:r w:rsidRPr="00520861">
        <w:rPr>
          <w:rFonts w:eastAsia="Calibri"/>
          <w:noProof/>
          <w:sz w:val="28"/>
          <w:szCs w:val="28"/>
          <w:lang w:val="ru-RU"/>
        </w:rPr>
        <w:drawing>
          <wp:inline distT="0" distB="0" distL="0" distR="0" wp14:anchorId="05FACFA9" wp14:editId="01FD3694">
            <wp:extent cx="6494400" cy="3060000"/>
            <wp:effectExtent l="0" t="0" r="1905" b="7620"/>
            <wp:docPr id="124" name="Рисунок 30" descr="чу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чупис"/>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6494400" cy="3060000"/>
                    </a:xfrm>
                    <a:prstGeom prst="rect">
                      <a:avLst/>
                    </a:prstGeom>
                    <a:noFill/>
                    <a:ln>
                      <a:noFill/>
                    </a:ln>
                  </pic:spPr>
                </pic:pic>
              </a:graphicData>
            </a:graphic>
          </wp:inline>
        </w:drawing>
      </w:r>
    </w:p>
    <w:p w14:paraId="62EF29D8" w14:textId="77777777" w:rsidR="00180D3E" w:rsidRPr="00520861" w:rsidRDefault="00180D3E" w:rsidP="00292D2E">
      <w:pPr>
        <w:widowControl w:val="0"/>
        <w:spacing w:line="360" w:lineRule="auto"/>
        <w:ind w:firstLine="709"/>
        <w:jc w:val="center"/>
        <w:rPr>
          <w:sz w:val="28"/>
          <w:szCs w:val="28"/>
        </w:rPr>
      </w:pPr>
      <w:r w:rsidRPr="00520861">
        <w:rPr>
          <w:sz w:val="28"/>
          <w:szCs w:val="28"/>
        </w:rPr>
        <w:t xml:space="preserve">Рис. 7.6. </w:t>
      </w:r>
      <w:proofErr w:type="spellStart"/>
      <w:r w:rsidRPr="00520861">
        <w:rPr>
          <w:sz w:val="28"/>
          <w:szCs w:val="28"/>
        </w:rPr>
        <w:t>Ортопантомограма</w:t>
      </w:r>
      <w:proofErr w:type="spellEnd"/>
      <w:r w:rsidRPr="00520861">
        <w:rPr>
          <w:sz w:val="28"/>
          <w:szCs w:val="28"/>
        </w:rPr>
        <w:t xml:space="preserve"> пацієнтки Л., 40 років, </w:t>
      </w:r>
      <w:r w:rsidRPr="00520861">
        <w:rPr>
          <w:bCs/>
          <w:iCs/>
          <w:sz w:val="28"/>
          <w:szCs w:val="28"/>
        </w:rPr>
        <w:t xml:space="preserve">амб. карта № 160426, </w:t>
      </w:r>
      <w:r w:rsidRPr="00520861">
        <w:rPr>
          <w:sz w:val="28"/>
          <w:szCs w:val="28"/>
        </w:rPr>
        <w:t>під-група 4</w:t>
      </w:r>
      <w:r w:rsidRPr="00520861">
        <w:rPr>
          <w:bCs/>
          <w:iCs/>
          <w:sz w:val="28"/>
          <w:szCs w:val="28"/>
        </w:rPr>
        <w:t xml:space="preserve">. </w:t>
      </w:r>
      <w:r w:rsidRPr="00520861">
        <w:rPr>
          <w:sz w:val="28"/>
          <w:szCs w:val="28"/>
        </w:rPr>
        <w:t xml:space="preserve">Спостерігаються </w:t>
      </w:r>
      <w:proofErr w:type="spellStart"/>
      <w:r w:rsidRPr="00520861">
        <w:rPr>
          <w:sz w:val="28"/>
          <w:szCs w:val="28"/>
        </w:rPr>
        <w:t>дрібнопетлистий</w:t>
      </w:r>
      <w:proofErr w:type="spellEnd"/>
      <w:r w:rsidRPr="00520861">
        <w:rPr>
          <w:sz w:val="28"/>
          <w:szCs w:val="28"/>
        </w:rPr>
        <w:t xml:space="preserve"> малюнок кісткової тканини нижньої щелепи, множинні ураження зубів. Скупченість зубів нижньої щелепи у фронтальному відділі. Первинна </w:t>
      </w:r>
      <w:proofErr w:type="spellStart"/>
      <w:r w:rsidRPr="00520861">
        <w:rPr>
          <w:sz w:val="28"/>
          <w:szCs w:val="28"/>
        </w:rPr>
        <w:t>адентія</w:t>
      </w:r>
      <w:proofErr w:type="spellEnd"/>
      <w:r w:rsidRPr="00520861">
        <w:rPr>
          <w:sz w:val="28"/>
          <w:szCs w:val="28"/>
        </w:rPr>
        <w:t xml:space="preserve"> 12, 13 зубів, </w:t>
      </w:r>
      <w:proofErr w:type="spellStart"/>
      <w:r w:rsidRPr="00520861">
        <w:rPr>
          <w:sz w:val="28"/>
          <w:szCs w:val="28"/>
        </w:rPr>
        <w:t>напівретенція</w:t>
      </w:r>
      <w:proofErr w:type="spellEnd"/>
      <w:r w:rsidRPr="00520861">
        <w:rPr>
          <w:sz w:val="28"/>
          <w:szCs w:val="28"/>
        </w:rPr>
        <w:t xml:space="preserve"> та </w:t>
      </w:r>
      <w:proofErr w:type="spellStart"/>
      <w:r w:rsidRPr="00520861">
        <w:rPr>
          <w:sz w:val="28"/>
          <w:szCs w:val="28"/>
        </w:rPr>
        <w:t>дистопія</w:t>
      </w:r>
      <w:proofErr w:type="spellEnd"/>
      <w:r w:rsidRPr="00520861">
        <w:rPr>
          <w:sz w:val="28"/>
          <w:szCs w:val="28"/>
        </w:rPr>
        <w:t xml:space="preserve"> зуба 48 </w:t>
      </w:r>
      <w:r w:rsidRPr="00520861">
        <w:rPr>
          <w:sz w:val="28"/>
          <w:szCs w:val="28"/>
        </w:rPr>
        <w:br/>
        <w:t xml:space="preserve">(вертикальне положення); зуб 23 – </w:t>
      </w:r>
      <w:proofErr w:type="spellStart"/>
      <w:r w:rsidRPr="00520861">
        <w:rPr>
          <w:sz w:val="28"/>
          <w:szCs w:val="28"/>
        </w:rPr>
        <w:t>ретенований</w:t>
      </w:r>
      <w:proofErr w:type="spellEnd"/>
      <w:r w:rsidRPr="00520861">
        <w:rPr>
          <w:sz w:val="28"/>
          <w:szCs w:val="28"/>
        </w:rPr>
        <w:t xml:space="preserve">, </w:t>
      </w:r>
      <w:proofErr w:type="spellStart"/>
      <w:r w:rsidRPr="00520861">
        <w:rPr>
          <w:sz w:val="28"/>
          <w:szCs w:val="28"/>
        </w:rPr>
        <w:t>дистопований</w:t>
      </w:r>
      <w:proofErr w:type="spellEnd"/>
      <w:r w:rsidRPr="00520861">
        <w:rPr>
          <w:sz w:val="28"/>
          <w:szCs w:val="28"/>
        </w:rPr>
        <w:t>.</w:t>
      </w:r>
    </w:p>
    <w:p w14:paraId="0C2540D4" w14:textId="77777777" w:rsidR="00180D3E" w:rsidRPr="00520861" w:rsidRDefault="00180D3E" w:rsidP="00292D2E">
      <w:pPr>
        <w:widowControl w:val="0"/>
        <w:tabs>
          <w:tab w:val="left" w:pos="748"/>
        </w:tabs>
        <w:spacing w:line="360" w:lineRule="auto"/>
        <w:jc w:val="both"/>
        <w:rPr>
          <w:rFonts w:eastAsia="Calibri"/>
          <w:sz w:val="28"/>
          <w:szCs w:val="28"/>
          <w:lang w:eastAsia="en-US"/>
        </w:rPr>
      </w:pPr>
    </w:p>
    <w:p w14:paraId="0C34B413" w14:textId="77777777" w:rsidR="00180D3E" w:rsidRPr="00520861" w:rsidRDefault="00180D3E" w:rsidP="00292D2E">
      <w:pPr>
        <w:widowControl w:val="0"/>
        <w:ind w:right="141"/>
        <w:jc w:val="center"/>
        <w:rPr>
          <w:rFonts w:eastAsia="Calibri"/>
          <w:sz w:val="28"/>
          <w:szCs w:val="28"/>
          <w:lang w:eastAsia="en-US"/>
        </w:rPr>
      </w:pPr>
      <w:r w:rsidRPr="00520861">
        <w:rPr>
          <w:rFonts w:eastAsia="Calibri"/>
          <w:noProof/>
          <w:sz w:val="28"/>
          <w:szCs w:val="28"/>
          <w:lang w:val="ru-RU"/>
        </w:rPr>
        <w:lastRenderedPageBreak/>
        <mc:AlternateContent>
          <mc:Choice Requires="wps">
            <w:drawing>
              <wp:anchor distT="0" distB="0" distL="114300" distR="114300" simplePos="0" relativeHeight="251669504" behindDoc="0" locked="0" layoutInCell="1" allowOverlap="1" wp14:anchorId="6A2385BE" wp14:editId="6FCEC9F8">
                <wp:simplePos x="0" y="0"/>
                <wp:positionH relativeFrom="column">
                  <wp:posOffset>4137077</wp:posOffset>
                </wp:positionH>
                <wp:positionV relativeFrom="paragraph">
                  <wp:posOffset>2393657</wp:posOffset>
                </wp:positionV>
                <wp:extent cx="247876" cy="120392"/>
                <wp:effectExtent l="38100" t="57150" r="19050" b="51435"/>
                <wp:wrapNone/>
                <wp:docPr id="12" name="Блок-схема: процесс 12"/>
                <wp:cNvGraphicFramePr/>
                <a:graphic xmlns:a="http://schemas.openxmlformats.org/drawingml/2006/main">
                  <a:graphicData uri="http://schemas.microsoft.com/office/word/2010/wordprocessingShape">
                    <wps:wsp>
                      <wps:cNvSpPr/>
                      <wps:spPr>
                        <a:xfrm rot="20628614">
                          <a:off x="0" y="0"/>
                          <a:ext cx="247876" cy="120392"/>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67E59B" id="Блок-схема: процесс 12" o:spid="_x0000_s1026" type="#_x0000_t109" style="position:absolute;margin-left:325.75pt;margin-top:188.5pt;width:19.5pt;height:9.5pt;rotation:-1061013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" fillcolor="window" strokecolor="#385d8a" strokeweight="2pt"/>
            </w:pict>
          </mc:Fallback>
        </mc:AlternateContent>
      </w:r>
      <w:r w:rsidRPr="00520861">
        <w:rPr>
          <w:rFonts w:eastAsia="Calibri"/>
          <w:noProof/>
          <w:sz w:val="28"/>
          <w:szCs w:val="28"/>
          <w:lang w:val="ru-RU"/>
        </w:rPr>
        <w:drawing>
          <wp:inline distT="0" distB="0" distL="0" distR="0" wp14:anchorId="6B271A2A" wp14:editId="5623ACD3">
            <wp:extent cx="6483600" cy="3060000"/>
            <wp:effectExtent l="0" t="0" r="0" b="7620"/>
            <wp:docPr id="125" name="Рисунок 125" descr="петраш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петрашко"/>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483600" cy="3060000"/>
                    </a:xfrm>
                    <a:prstGeom prst="rect">
                      <a:avLst/>
                    </a:prstGeom>
                    <a:noFill/>
                    <a:ln>
                      <a:noFill/>
                    </a:ln>
                  </pic:spPr>
                </pic:pic>
              </a:graphicData>
            </a:graphic>
          </wp:inline>
        </w:drawing>
      </w:r>
    </w:p>
    <w:p w14:paraId="5CECF313" w14:textId="77777777" w:rsidR="00180D3E" w:rsidRPr="00520861" w:rsidRDefault="00180D3E" w:rsidP="00292D2E">
      <w:pPr>
        <w:widowControl w:val="0"/>
        <w:ind w:right="141"/>
        <w:jc w:val="both"/>
        <w:rPr>
          <w:rFonts w:eastAsia="Calibri"/>
          <w:noProof/>
          <w:sz w:val="28"/>
          <w:szCs w:val="28"/>
        </w:rPr>
      </w:pPr>
    </w:p>
    <w:p w14:paraId="09360642" w14:textId="77777777" w:rsidR="00180D3E" w:rsidRPr="00520861" w:rsidRDefault="00180D3E" w:rsidP="00292D2E">
      <w:pPr>
        <w:widowControl w:val="0"/>
        <w:spacing w:line="360" w:lineRule="auto"/>
        <w:ind w:right="141" w:firstLine="720"/>
        <w:jc w:val="center"/>
        <w:rPr>
          <w:rFonts w:eastAsia="Calibri"/>
          <w:sz w:val="28"/>
          <w:szCs w:val="28"/>
        </w:rPr>
      </w:pPr>
      <w:r w:rsidRPr="00520861">
        <w:rPr>
          <w:rFonts w:eastAsia="Calibri"/>
          <w:sz w:val="28"/>
          <w:szCs w:val="28"/>
        </w:rPr>
        <w:t xml:space="preserve">Рис. 7.7. </w:t>
      </w:r>
      <w:proofErr w:type="spellStart"/>
      <w:r w:rsidRPr="00520861">
        <w:rPr>
          <w:sz w:val="28"/>
          <w:szCs w:val="28"/>
        </w:rPr>
        <w:t>Ортопантомограма</w:t>
      </w:r>
      <w:proofErr w:type="spellEnd"/>
      <w:r w:rsidRPr="00520861">
        <w:rPr>
          <w:sz w:val="28"/>
          <w:szCs w:val="28"/>
        </w:rPr>
        <w:t xml:space="preserve"> пацієнта </w:t>
      </w:r>
      <w:r w:rsidRPr="00520861">
        <w:rPr>
          <w:rFonts w:eastAsia="Calibri"/>
          <w:sz w:val="28"/>
          <w:szCs w:val="28"/>
        </w:rPr>
        <w:t xml:space="preserve">П. у віці 20 років, амб. карта № 173271, підгрупа 4. </w:t>
      </w:r>
      <w:proofErr w:type="spellStart"/>
      <w:r w:rsidRPr="00520861">
        <w:rPr>
          <w:rFonts w:eastAsia="Calibri"/>
          <w:sz w:val="28"/>
          <w:szCs w:val="28"/>
        </w:rPr>
        <w:t>Ретенція</w:t>
      </w:r>
      <w:proofErr w:type="spellEnd"/>
      <w:r w:rsidRPr="00520861">
        <w:rPr>
          <w:rFonts w:eastAsia="Calibri"/>
          <w:sz w:val="28"/>
          <w:szCs w:val="28"/>
        </w:rPr>
        <w:t xml:space="preserve"> зуба 38 (вертикальне положення), </w:t>
      </w:r>
      <w:proofErr w:type="spellStart"/>
      <w:r w:rsidRPr="00520861">
        <w:rPr>
          <w:rFonts w:eastAsia="Calibri"/>
          <w:sz w:val="28"/>
          <w:szCs w:val="28"/>
        </w:rPr>
        <w:t>ретенція</w:t>
      </w:r>
      <w:proofErr w:type="spellEnd"/>
      <w:r w:rsidRPr="00520861">
        <w:rPr>
          <w:rFonts w:eastAsia="Calibri"/>
          <w:sz w:val="28"/>
          <w:szCs w:val="28"/>
        </w:rPr>
        <w:t xml:space="preserve"> зуба 48 (горизонтальне положення). Товста кортикальна пластинка (біла </w:t>
      </w:r>
      <w:proofErr w:type="spellStart"/>
      <w:r w:rsidRPr="00520861">
        <w:rPr>
          <w:rFonts w:eastAsia="Calibri"/>
          <w:sz w:val="28"/>
          <w:szCs w:val="28"/>
        </w:rPr>
        <w:t>полоска</w:t>
      </w:r>
      <w:proofErr w:type="spellEnd"/>
      <w:r w:rsidRPr="00520861">
        <w:rPr>
          <w:rFonts w:eastAsia="Calibri"/>
          <w:sz w:val="28"/>
          <w:szCs w:val="28"/>
        </w:rPr>
        <w:t>) нижньої щелепи.</w:t>
      </w:r>
    </w:p>
    <w:p w14:paraId="789ACA18" w14:textId="77777777" w:rsidR="00180D3E" w:rsidRPr="00520861" w:rsidRDefault="00180D3E" w:rsidP="00292D2E">
      <w:pPr>
        <w:widowControl w:val="0"/>
        <w:tabs>
          <w:tab w:val="left" w:pos="748"/>
        </w:tabs>
        <w:spacing w:line="360" w:lineRule="auto"/>
        <w:jc w:val="both"/>
        <w:rPr>
          <w:rFonts w:eastAsia="Calibri"/>
          <w:sz w:val="28"/>
          <w:szCs w:val="28"/>
          <w:lang w:eastAsia="en-US"/>
        </w:rPr>
      </w:pPr>
      <w:r w:rsidRPr="00520861">
        <w:rPr>
          <w:rFonts w:eastAsia="Calibri"/>
          <w:sz w:val="28"/>
          <w:szCs w:val="28"/>
          <w:lang w:eastAsia="en-US"/>
        </w:rPr>
        <w:tab/>
        <w:t xml:space="preserve">Із табл. 7.6 видно, що оптична щільність кортикального шару (ОЩК) вірогідно менша в осіб із об’єднаної </w:t>
      </w:r>
      <w:r w:rsidRPr="00520861">
        <w:rPr>
          <w:sz w:val="28"/>
          <w:szCs w:val="28"/>
        </w:rPr>
        <w:t>підгрупи 3+4</w:t>
      </w:r>
      <w:r w:rsidRPr="00520861">
        <w:rPr>
          <w:rFonts w:eastAsia="Calibri"/>
          <w:sz w:val="28"/>
          <w:szCs w:val="28"/>
          <w:lang w:eastAsia="en-US"/>
        </w:rPr>
        <w:t xml:space="preserve">, у них же більша і товщина кортикального шару. Тобто в осіб із ВУ ожирінням в анамнезі, відбувається компенсаторне потовщення «пухкого» кортикального шару поряд із невірогідним відносно контролю зниженням щільності </w:t>
      </w:r>
      <w:proofErr w:type="spellStart"/>
      <w:r w:rsidRPr="00520861">
        <w:rPr>
          <w:rFonts w:eastAsia="Calibri"/>
          <w:sz w:val="28"/>
          <w:szCs w:val="28"/>
          <w:lang w:eastAsia="en-US"/>
        </w:rPr>
        <w:t>трабекулярної</w:t>
      </w:r>
      <w:proofErr w:type="spellEnd"/>
      <w:r w:rsidRPr="00520861">
        <w:rPr>
          <w:rFonts w:eastAsia="Calibri"/>
          <w:sz w:val="28"/>
          <w:szCs w:val="28"/>
          <w:lang w:eastAsia="en-US"/>
        </w:rPr>
        <w:t xml:space="preserve"> складової кістки щелепи [319]. </w:t>
      </w:r>
    </w:p>
    <w:p w14:paraId="6547FCCB" w14:textId="77777777" w:rsidR="00180D3E" w:rsidRPr="00520861" w:rsidRDefault="00180D3E" w:rsidP="00292D2E">
      <w:pPr>
        <w:widowControl w:val="0"/>
        <w:spacing w:line="360" w:lineRule="auto"/>
        <w:ind w:firstLine="720"/>
        <w:jc w:val="both"/>
        <w:rPr>
          <w:color w:val="000000"/>
          <w:spacing w:val="-2"/>
          <w:sz w:val="28"/>
          <w:szCs w:val="28"/>
        </w:rPr>
      </w:pPr>
      <w:r w:rsidRPr="00520861">
        <w:rPr>
          <w:rFonts w:eastAsia="Calibri"/>
          <w:spacing w:val="-2"/>
          <w:sz w:val="28"/>
          <w:szCs w:val="28"/>
          <w:lang w:eastAsia="en-US"/>
        </w:rPr>
        <w:t>Наше дослідження</w:t>
      </w:r>
      <w:r w:rsidRPr="00520861">
        <w:rPr>
          <w:color w:val="000000"/>
          <w:spacing w:val="-2"/>
          <w:sz w:val="28"/>
          <w:szCs w:val="28"/>
        </w:rPr>
        <w:t xml:space="preserve"> довело, що під час незапальних деструктивних процесів у тканинах </w:t>
      </w:r>
      <w:proofErr w:type="spellStart"/>
      <w:r w:rsidRPr="00520861">
        <w:rPr>
          <w:color w:val="000000"/>
          <w:spacing w:val="-2"/>
          <w:sz w:val="28"/>
          <w:szCs w:val="28"/>
        </w:rPr>
        <w:t>пародонта</w:t>
      </w:r>
      <w:proofErr w:type="spellEnd"/>
      <w:r w:rsidRPr="00520861">
        <w:rPr>
          <w:color w:val="000000"/>
          <w:spacing w:val="-2"/>
          <w:sz w:val="28"/>
          <w:szCs w:val="28"/>
        </w:rPr>
        <w:t xml:space="preserve">, що відбуваються в онтогенезі у </w:t>
      </w:r>
      <w:proofErr w:type="spellStart"/>
      <w:r w:rsidRPr="00520861">
        <w:rPr>
          <w:color w:val="000000"/>
          <w:spacing w:val="-2"/>
          <w:sz w:val="28"/>
          <w:szCs w:val="28"/>
        </w:rPr>
        <w:t>макросомів</w:t>
      </w:r>
      <w:proofErr w:type="spellEnd"/>
      <w:r w:rsidRPr="00520861">
        <w:rPr>
          <w:color w:val="000000"/>
          <w:spacing w:val="-2"/>
          <w:sz w:val="28"/>
          <w:szCs w:val="28"/>
        </w:rPr>
        <w:t>, які народилися з ознаками ожиріння, спостерігається зменшення щільності та потовщення кортикального шару кісткової тканини.</w:t>
      </w:r>
      <w:r w:rsidRPr="00520861">
        <w:rPr>
          <w:rFonts w:eastAsia="Calibri"/>
          <w:spacing w:val="-2"/>
          <w:sz w:val="28"/>
          <w:szCs w:val="28"/>
          <w:lang w:eastAsia="en-US"/>
        </w:rPr>
        <w:t xml:space="preserve"> </w:t>
      </w:r>
      <w:r w:rsidRPr="00520861">
        <w:rPr>
          <w:color w:val="000000"/>
          <w:spacing w:val="-2"/>
          <w:sz w:val="28"/>
          <w:szCs w:val="28"/>
        </w:rPr>
        <w:t>Ці явища спостерігаються навіть в осіб молодого віку.</w:t>
      </w:r>
    </w:p>
    <w:p w14:paraId="15B9DE2D"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Дані табл. 7.6 свідчать, що кортикальна частина нижньої щелепи щільніша за </w:t>
      </w:r>
      <w:proofErr w:type="spellStart"/>
      <w:r w:rsidRPr="00520861">
        <w:rPr>
          <w:rFonts w:eastAsia="Calibri"/>
          <w:sz w:val="28"/>
          <w:szCs w:val="28"/>
          <w:lang w:eastAsia="en-US"/>
        </w:rPr>
        <w:t>трабекулярну</w:t>
      </w:r>
      <w:proofErr w:type="spellEnd"/>
      <w:r w:rsidRPr="00520861">
        <w:rPr>
          <w:rFonts w:eastAsia="Calibri"/>
          <w:sz w:val="28"/>
          <w:szCs w:val="28"/>
          <w:lang w:eastAsia="en-US"/>
        </w:rPr>
        <w:t xml:space="preserve"> в 2,4 – 6,6 разів. Утім, незважаючи на знижену щільність кортикальної частини щелепи в осіб об’єднаної </w:t>
      </w:r>
      <w:r w:rsidRPr="00520861">
        <w:rPr>
          <w:sz w:val="28"/>
          <w:szCs w:val="28"/>
        </w:rPr>
        <w:t>підгрупи 3+4</w:t>
      </w:r>
      <w:r w:rsidRPr="00520861">
        <w:rPr>
          <w:rFonts w:eastAsia="Calibri"/>
          <w:sz w:val="28"/>
          <w:szCs w:val="28"/>
          <w:lang w:eastAsia="en-US"/>
        </w:rPr>
        <w:t xml:space="preserve">, щільність її </w:t>
      </w:r>
      <w:proofErr w:type="spellStart"/>
      <w:r w:rsidRPr="00520861">
        <w:rPr>
          <w:rFonts w:eastAsia="Calibri"/>
          <w:sz w:val="28"/>
          <w:szCs w:val="28"/>
          <w:lang w:eastAsia="en-US"/>
        </w:rPr>
        <w:t>трабекулярної</w:t>
      </w:r>
      <w:proofErr w:type="spellEnd"/>
      <w:r w:rsidRPr="00520861">
        <w:rPr>
          <w:rFonts w:eastAsia="Calibri"/>
          <w:sz w:val="28"/>
          <w:szCs w:val="28"/>
          <w:lang w:eastAsia="en-US"/>
        </w:rPr>
        <w:t xml:space="preserve"> частки вірогідно не відрізняється від ГП.</w:t>
      </w:r>
    </w:p>
    <w:p w14:paraId="168D2371" w14:textId="77777777" w:rsidR="00180D3E" w:rsidRPr="00520861" w:rsidRDefault="00180D3E" w:rsidP="00292D2E">
      <w:pPr>
        <w:widowControl w:val="0"/>
        <w:spacing w:line="360" w:lineRule="auto"/>
        <w:jc w:val="right"/>
        <w:rPr>
          <w:rFonts w:eastAsia="Calibri"/>
          <w:i/>
          <w:sz w:val="28"/>
          <w:szCs w:val="28"/>
          <w:lang w:eastAsia="en-US"/>
        </w:rPr>
      </w:pPr>
      <w:r w:rsidRPr="00520861">
        <w:rPr>
          <w:rFonts w:eastAsia="Calibri"/>
          <w:i/>
          <w:sz w:val="28"/>
          <w:szCs w:val="28"/>
          <w:lang w:eastAsia="en-US"/>
        </w:rPr>
        <w:t>Таблиця. 7.6</w:t>
      </w:r>
    </w:p>
    <w:tbl>
      <w:tblPr>
        <w:tblpPr w:leftFromText="180" w:rightFromText="180" w:vertAnchor="text" w:horzAnchor="margin" w:tblpY="1354"/>
        <w:tblW w:w="9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134"/>
        <w:gridCol w:w="2268"/>
        <w:gridCol w:w="2268"/>
        <w:gridCol w:w="2409"/>
      </w:tblGrid>
      <w:tr w:rsidR="00180D3E" w:rsidRPr="00520861" w14:paraId="0D2523DF" w14:textId="77777777" w:rsidTr="00292D2E">
        <w:trPr>
          <w:trHeight w:val="390"/>
        </w:trPr>
        <w:tc>
          <w:tcPr>
            <w:tcW w:w="1809" w:type="dxa"/>
            <w:tcBorders>
              <w:top w:val="single" w:sz="4" w:space="0" w:color="auto"/>
              <w:left w:val="single" w:sz="4" w:space="0" w:color="auto"/>
              <w:bottom w:val="single" w:sz="4" w:space="0" w:color="auto"/>
              <w:right w:val="single" w:sz="4" w:space="0" w:color="auto"/>
            </w:tcBorders>
            <w:shd w:val="clear" w:color="auto" w:fill="auto"/>
            <w:hideMark/>
          </w:tcPr>
          <w:p w14:paraId="3F955747" w14:textId="77777777" w:rsidR="00180D3E" w:rsidRPr="00520861" w:rsidRDefault="00180D3E" w:rsidP="00292D2E">
            <w:pPr>
              <w:widowControl w:val="0"/>
              <w:pBdr>
                <w:top w:val="nil"/>
                <w:left w:val="nil"/>
                <w:bottom w:val="nil"/>
                <w:right w:val="nil"/>
                <w:between w:val="nil"/>
              </w:pBdr>
              <w:spacing w:line="360" w:lineRule="auto"/>
              <w:ind w:left="-120" w:right="-133"/>
              <w:jc w:val="center"/>
              <w:rPr>
                <w:color w:val="000000"/>
                <w:spacing w:val="-8"/>
                <w:sz w:val="28"/>
                <w:szCs w:val="28"/>
              </w:rPr>
            </w:pPr>
            <w:r w:rsidRPr="00520861">
              <w:rPr>
                <w:color w:val="000000"/>
                <w:spacing w:val="-8"/>
                <w:sz w:val="28"/>
                <w:szCs w:val="28"/>
              </w:rPr>
              <w:lastRenderedPageBreak/>
              <w:t>Група, підгрупа</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5F422598" w14:textId="77777777" w:rsidR="00180D3E" w:rsidRPr="00520861" w:rsidRDefault="00180D3E" w:rsidP="00292D2E">
            <w:pPr>
              <w:widowControl w:val="0"/>
              <w:pBdr>
                <w:top w:val="nil"/>
                <w:left w:val="nil"/>
                <w:bottom w:val="nil"/>
                <w:right w:val="nil"/>
                <w:between w:val="nil"/>
              </w:pBdr>
              <w:tabs>
                <w:tab w:val="left" w:pos="40"/>
              </w:tabs>
              <w:spacing w:line="360" w:lineRule="auto"/>
              <w:jc w:val="center"/>
              <w:rPr>
                <w:color w:val="000000"/>
                <w:sz w:val="28"/>
                <w:szCs w:val="28"/>
              </w:rPr>
            </w:pPr>
            <w:r w:rsidRPr="00520861">
              <w:rPr>
                <w:color w:val="000000"/>
                <w:sz w:val="28"/>
                <w:szCs w:val="28"/>
              </w:rPr>
              <w:t>ГП</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07A91A27" w14:textId="77777777" w:rsidR="00180D3E" w:rsidRPr="00520861" w:rsidRDefault="00180D3E" w:rsidP="00292D2E">
            <w:pPr>
              <w:widowControl w:val="0"/>
              <w:pBdr>
                <w:top w:val="nil"/>
                <w:left w:val="nil"/>
                <w:bottom w:val="nil"/>
                <w:right w:val="nil"/>
                <w:between w:val="nil"/>
              </w:pBdr>
              <w:tabs>
                <w:tab w:val="left" w:pos="40"/>
              </w:tabs>
              <w:spacing w:line="360" w:lineRule="auto"/>
              <w:jc w:val="center"/>
              <w:rPr>
                <w:color w:val="000000"/>
                <w:sz w:val="28"/>
                <w:szCs w:val="28"/>
              </w:rPr>
            </w:pPr>
            <w:r w:rsidRPr="00520861">
              <w:rPr>
                <w:color w:val="000000"/>
                <w:sz w:val="28"/>
                <w:szCs w:val="28"/>
              </w:rPr>
              <w:t>ОГ</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14:paraId="7D5D0D27" w14:textId="77777777" w:rsidR="00180D3E" w:rsidRPr="00520861" w:rsidRDefault="00180D3E" w:rsidP="00292D2E">
            <w:pPr>
              <w:widowControl w:val="0"/>
              <w:pBdr>
                <w:top w:val="nil"/>
                <w:left w:val="nil"/>
                <w:bottom w:val="nil"/>
                <w:right w:val="nil"/>
                <w:between w:val="nil"/>
              </w:pBdr>
              <w:tabs>
                <w:tab w:val="left" w:pos="748"/>
              </w:tabs>
              <w:spacing w:line="360" w:lineRule="auto"/>
              <w:jc w:val="center"/>
              <w:rPr>
                <w:color w:val="000000"/>
                <w:sz w:val="28"/>
                <w:szCs w:val="28"/>
              </w:rPr>
            </w:pPr>
            <w:r w:rsidRPr="00520861">
              <w:rPr>
                <w:color w:val="000000"/>
                <w:sz w:val="28"/>
                <w:szCs w:val="28"/>
              </w:rPr>
              <w:t>Підгрупа 1+ 2</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75CE79D7" w14:textId="77777777" w:rsidR="00180D3E" w:rsidRPr="00520861" w:rsidRDefault="00180D3E" w:rsidP="00292D2E">
            <w:pPr>
              <w:widowControl w:val="0"/>
              <w:pBdr>
                <w:top w:val="nil"/>
                <w:left w:val="nil"/>
                <w:bottom w:val="nil"/>
                <w:right w:val="nil"/>
                <w:between w:val="nil"/>
              </w:pBdr>
              <w:tabs>
                <w:tab w:val="left" w:pos="40"/>
              </w:tabs>
              <w:spacing w:line="360" w:lineRule="auto"/>
              <w:jc w:val="center"/>
              <w:rPr>
                <w:color w:val="000000"/>
                <w:sz w:val="28"/>
                <w:szCs w:val="28"/>
              </w:rPr>
            </w:pPr>
            <w:r w:rsidRPr="00520861">
              <w:rPr>
                <w:color w:val="000000"/>
                <w:sz w:val="28"/>
                <w:szCs w:val="28"/>
              </w:rPr>
              <w:t>Підгрупа 3+ 4</w:t>
            </w:r>
          </w:p>
        </w:tc>
      </w:tr>
      <w:tr w:rsidR="00180D3E" w:rsidRPr="00520861" w14:paraId="5B851425" w14:textId="77777777" w:rsidTr="00292D2E">
        <w:trPr>
          <w:trHeight w:val="570"/>
        </w:trPr>
        <w:tc>
          <w:tcPr>
            <w:tcW w:w="1809" w:type="dxa"/>
            <w:tcBorders>
              <w:top w:val="single" w:sz="4" w:space="0" w:color="auto"/>
              <w:left w:val="single" w:sz="4" w:space="0" w:color="auto"/>
              <w:bottom w:val="single" w:sz="4" w:space="0" w:color="auto"/>
              <w:right w:val="single" w:sz="4" w:space="0" w:color="auto"/>
            </w:tcBorders>
            <w:shd w:val="clear" w:color="auto" w:fill="auto"/>
          </w:tcPr>
          <w:p w14:paraId="64DDD1BD"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color w:val="000000"/>
                <w:sz w:val="28"/>
                <w:szCs w:val="28"/>
              </w:rPr>
              <w:t xml:space="preserve">Кількість </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CC4348D" w14:textId="77777777" w:rsidR="00180D3E" w:rsidRPr="00520861" w:rsidRDefault="00180D3E" w:rsidP="00292D2E">
            <w:pPr>
              <w:widowControl w:val="0"/>
              <w:pBdr>
                <w:top w:val="nil"/>
                <w:left w:val="nil"/>
                <w:bottom w:val="nil"/>
                <w:right w:val="nil"/>
                <w:between w:val="nil"/>
              </w:pBdr>
              <w:spacing w:line="360" w:lineRule="auto"/>
              <w:ind w:left="-108" w:right="-108"/>
              <w:jc w:val="center"/>
              <w:rPr>
                <w:color w:val="000000"/>
                <w:sz w:val="28"/>
                <w:szCs w:val="28"/>
              </w:rPr>
            </w:pPr>
            <w:r w:rsidRPr="00520861">
              <w:rPr>
                <w:color w:val="000000"/>
                <w:sz w:val="28"/>
                <w:szCs w:val="28"/>
              </w:rPr>
              <w:t>8 (</w:t>
            </w:r>
            <w:r w:rsidR="00865094" w:rsidRPr="00520861">
              <w:rPr>
                <w:rFonts w:eastAsia="Calibri"/>
                <w:color w:val="000000"/>
                <w:sz w:val="28"/>
                <w:szCs w:val="28"/>
              </w:rPr>
              <w:t>5/3</w:t>
            </w:r>
            <w:r w:rsidRPr="00520861">
              <w:rPr>
                <w:rFonts w:eastAsia="Calibri"/>
                <w:color w:val="000000"/>
                <w:sz w:val="28"/>
                <w:szCs w:val="28"/>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E20C67B" w14:textId="77777777" w:rsidR="00180D3E" w:rsidRPr="00520861" w:rsidRDefault="00865094" w:rsidP="00292D2E">
            <w:pPr>
              <w:widowControl w:val="0"/>
              <w:pBdr>
                <w:top w:val="nil"/>
                <w:left w:val="nil"/>
                <w:bottom w:val="nil"/>
                <w:right w:val="nil"/>
                <w:between w:val="nil"/>
              </w:pBdr>
              <w:tabs>
                <w:tab w:val="left" w:pos="40"/>
              </w:tabs>
              <w:spacing w:line="360" w:lineRule="auto"/>
              <w:jc w:val="center"/>
              <w:rPr>
                <w:color w:val="000000"/>
                <w:sz w:val="28"/>
                <w:szCs w:val="28"/>
              </w:rPr>
            </w:pPr>
            <w:r w:rsidRPr="00520861">
              <w:rPr>
                <w:rFonts w:eastAsia="Calibri"/>
                <w:color w:val="000000"/>
                <w:sz w:val="28"/>
                <w:szCs w:val="28"/>
              </w:rPr>
              <w:t>15 (9/6</w:t>
            </w:r>
            <w:r w:rsidR="00180D3E" w:rsidRPr="00520861">
              <w:rPr>
                <w:rFonts w:eastAsia="Calibri"/>
                <w:color w:val="000000"/>
                <w:sz w:val="28"/>
                <w:szCs w:val="28"/>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A6B64E7" w14:textId="77777777" w:rsidR="00180D3E" w:rsidRPr="00520861" w:rsidRDefault="00865094" w:rsidP="00292D2E">
            <w:pPr>
              <w:widowControl w:val="0"/>
              <w:pBdr>
                <w:top w:val="nil"/>
                <w:left w:val="nil"/>
                <w:bottom w:val="nil"/>
                <w:right w:val="nil"/>
                <w:between w:val="nil"/>
              </w:pBdr>
              <w:tabs>
                <w:tab w:val="left" w:pos="40"/>
              </w:tabs>
              <w:spacing w:line="360" w:lineRule="auto"/>
              <w:jc w:val="center"/>
              <w:rPr>
                <w:color w:val="000000"/>
                <w:sz w:val="28"/>
                <w:szCs w:val="28"/>
              </w:rPr>
            </w:pPr>
            <w:r w:rsidRPr="00520861">
              <w:rPr>
                <w:rFonts w:eastAsia="Calibri"/>
                <w:color w:val="000000"/>
                <w:sz w:val="28"/>
                <w:szCs w:val="28"/>
              </w:rPr>
              <w:t>7 (4/3</w:t>
            </w:r>
            <w:r w:rsidR="00180D3E" w:rsidRPr="00520861">
              <w:rPr>
                <w:rFonts w:eastAsia="Calibri"/>
                <w:color w:val="000000"/>
                <w:sz w:val="28"/>
                <w:szCs w:val="28"/>
              </w:rPr>
              <w:t>)</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150AD474" w14:textId="77777777" w:rsidR="00180D3E" w:rsidRPr="00520861" w:rsidRDefault="00865094" w:rsidP="00292D2E">
            <w:pPr>
              <w:widowControl w:val="0"/>
              <w:pBdr>
                <w:top w:val="nil"/>
                <w:left w:val="nil"/>
                <w:bottom w:val="nil"/>
                <w:right w:val="nil"/>
                <w:between w:val="nil"/>
              </w:pBdr>
              <w:tabs>
                <w:tab w:val="left" w:pos="40"/>
              </w:tabs>
              <w:spacing w:line="360" w:lineRule="auto"/>
              <w:jc w:val="center"/>
              <w:rPr>
                <w:color w:val="000000"/>
                <w:sz w:val="28"/>
                <w:szCs w:val="28"/>
              </w:rPr>
            </w:pPr>
            <w:r w:rsidRPr="00520861">
              <w:rPr>
                <w:rFonts w:eastAsia="Calibri"/>
                <w:color w:val="000000"/>
                <w:sz w:val="28"/>
                <w:szCs w:val="28"/>
              </w:rPr>
              <w:t>8 (5/3</w:t>
            </w:r>
            <w:r w:rsidR="00180D3E" w:rsidRPr="00520861">
              <w:rPr>
                <w:rFonts w:eastAsia="Calibri"/>
                <w:color w:val="000000"/>
                <w:sz w:val="28"/>
                <w:szCs w:val="28"/>
              </w:rPr>
              <w:t>)</w:t>
            </w:r>
          </w:p>
        </w:tc>
      </w:tr>
      <w:tr w:rsidR="00180D3E" w:rsidRPr="00520861" w14:paraId="5ECE1D66" w14:textId="77777777" w:rsidTr="00292D2E">
        <w:tc>
          <w:tcPr>
            <w:tcW w:w="1809" w:type="dxa"/>
            <w:tcBorders>
              <w:top w:val="single" w:sz="4" w:space="0" w:color="auto"/>
              <w:left w:val="single" w:sz="4" w:space="0" w:color="auto"/>
              <w:bottom w:val="single" w:sz="4" w:space="0" w:color="auto"/>
              <w:right w:val="single" w:sz="4" w:space="0" w:color="auto"/>
            </w:tcBorders>
            <w:shd w:val="clear" w:color="auto" w:fill="auto"/>
            <w:hideMark/>
          </w:tcPr>
          <w:p w14:paraId="1B62BD83"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rPr>
            </w:pPr>
            <w:r w:rsidRPr="00520861">
              <w:rPr>
                <w:rFonts w:eastAsia="Calibri"/>
                <w:color w:val="000000"/>
                <w:sz w:val="28"/>
                <w:szCs w:val="28"/>
              </w:rPr>
              <w:t xml:space="preserve">ОЩК, </w:t>
            </w:r>
            <w:proofErr w:type="spellStart"/>
            <w:r w:rsidRPr="00520861">
              <w:rPr>
                <w:rFonts w:eastAsia="Calibri"/>
                <w:color w:val="000000"/>
                <w:sz w:val="28"/>
                <w:szCs w:val="28"/>
              </w:rPr>
              <w:t>у.о</w:t>
            </w:r>
            <w:proofErr w:type="spellEnd"/>
            <w:r w:rsidRPr="00520861">
              <w:rPr>
                <w:rFonts w:eastAsia="Calibri"/>
                <w:color w:val="000000"/>
                <w:sz w:val="28"/>
                <w:szCs w:val="28"/>
              </w:rPr>
              <w:t>.</w:t>
            </w:r>
          </w:p>
        </w:tc>
        <w:tc>
          <w:tcPr>
            <w:tcW w:w="1134" w:type="dxa"/>
            <w:tcBorders>
              <w:top w:val="single" w:sz="4" w:space="0" w:color="auto"/>
              <w:left w:val="single" w:sz="4" w:space="0" w:color="auto"/>
              <w:bottom w:val="single" w:sz="4" w:space="0" w:color="auto"/>
              <w:right w:val="single" w:sz="4" w:space="0" w:color="auto"/>
            </w:tcBorders>
          </w:tcPr>
          <w:p w14:paraId="360D1DE9"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2197</w:t>
            </w:r>
          </w:p>
        </w:tc>
        <w:tc>
          <w:tcPr>
            <w:tcW w:w="2268" w:type="dxa"/>
            <w:tcBorders>
              <w:top w:val="single" w:sz="4" w:space="0" w:color="auto"/>
              <w:left w:val="single" w:sz="4" w:space="0" w:color="auto"/>
              <w:bottom w:val="single" w:sz="4" w:space="0" w:color="auto"/>
              <w:right w:val="single" w:sz="4" w:space="0" w:color="auto"/>
            </w:tcBorders>
            <w:hideMark/>
          </w:tcPr>
          <w:p w14:paraId="30414CE3" w14:textId="77777777" w:rsidR="00180D3E" w:rsidRPr="00520861" w:rsidRDefault="00180D3E" w:rsidP="00292D2E">
            <w:pPr>
              <w:widowControl w:val="0"/>
              <w:tabs>
                <w:tab w:val="left" w:pos="40"/>
              </w:tabs>
              <w:spacing w:line="360" w:lineRule="auto"/>
              <w:ind w:right="-197" w:hanging="103"/>
              <w:jc w:val="center"/>
              <w:rPr>
                <w:rFonts w:eastAsia="Calibri"/>
                <w:color w:val="000000"/>
                <w:sz w:val="28"/>
                <w:szCs w:val="28"/>
                <w:lang w:eastAsia="en-US"/>
              </w:rPr>
            </w:pPr>
            <w:r w:rsidRPr="00520861">
              <w:rPr>
                <w:rFonts w:eastAsia="Calibri"/>
                <w:color w:val="000000"/>
                <w:sz w:val="28"/>
                <w:szCs w:val="28"/>
                <w:lang w:eastAsia="en-US"/>
              </w:rPr>
              <w:t xml:space="preserve">1735* </w:t>
            </w:r>
            <w:r w:rsidRPr="00520861">
              <w:rPr>
                <w:sz w:val="28"/>
                <w:szCs w:val="28"/>
              </w:rPr>
              <w:t>(</w:t>
            </w:r>
            <w:r w:rsidRPr="00520861">
              <w:rPr>
                <w:i/>
                <w:sz w:val="28"/>
                <w:szCs w:val="28"/>
              </w:rPr>
              <w:t>p</w:t>
            </w:r>
            <w:r w:rsidRPr="00520861">
              <w:rPr>
                <w:sz w:val="28"/>
                <w:szCs w:val="28"/>
              </w:rPr>
              <w:t>=0,0201)</w:t>
            </w:r>
          </w:p>
        </w:tc>
        <w:tc>
          <w:tcPr>
            <w:tcW w:w="2268" w:type="dxa"/>
            <w:tcBorders>
              <w:top w:val="single" w:sz="4" w:space="0" w:color="auto"/>
              <w:left w:val="single" w:sz="4" w:space="0" w:color="auto"/>
              <w:bottom w:val="single" w:sz="4" w:space="0" w:color="auto"/>
              <w:right w:val="single" w:sz="4" w:space="0" w:color="auto"/>
            </w:tcBorders>
          </w:tcPr>
          <w:p w14:paraId="542F60C1"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1886</w:t>
            </w:r>
          </w:p>
        </w:tc>
        <w:tc>
          <w:tcPr>
            <w:tcW w:w="2409" w:type="dxa"/>
            <w:tcBorders>
              <w:top w:val="single" w:sz="4" w:space="0" w:color="auto"/>
              <w:left w:val="single" w:sz="4" w:space="0" w:color="auto"/>
              <w:bottom w:val="single" w:sz="4" w:space="0" w:color="auto"/>
              <w:right w:val="single" w:sz="4" w:space="0" w:color="auto"/>
            </w:tcBorders>
            <w:hideMark/>
          </w:tcPr>
          <w:p w14:paraId="389FA01C" w14:textId="77777777" w:rsidR="00180D3E" w:rsidRPr="00520861" w:rsidRDefault="00180D3E" w:rsidP="00292D2E">
            <w:pPr>
              <w:widowControl w:val="0"/>
              <w:tabs>
                <w:tab w:val="left" w:pos="40"/>
              </w:tabs>
              <w:spacing w:line="360" w:lineRule="auto"/>
              <w:jc w:val="center"/>
              <w:rPr>
                <w:rFonts w:eastAsia="Calibri"/>
                <w:color w:val="000000"/>
                <w:sz w:val="28"/>
                <w:szCs w:val="28"/>
                <w:lang w:eastAsia="en-US"/>
              </w:rPr>
            </w:pPr>
            <w:r w:rsidRPr="00520861">
              <w:rPr>
                <w:rFonts w:eastAsia="Calibri"/>
                <w:color w:val="000000"/>
                <w:sz w:val="28"/>
                <w:szCs w:val="28"/>
                <w:lang w:eastAsia="en-US"/>
              </w:rPr>
              <w:t xml:space="preserve">1603* </w:t>
            </w:r>
            <w:r w:rsidRPr="00520861">
              <w:rPr>
                <w:sz w:val="28"/>
                <w:szCs w:val="28"/>
              </w:rPr>
              <w:t>(</w:t>
            </w:r>
            <w:r w:rsidRPr="00520861">
              <w:rPr>
                <w:i/>
                <w:sz w:val="28"/>
                <w:szCs w:val="28"/>
              </w:rPr>
              <w:t>p</w:t>
            </w:r>
            <w:r w:rsidRPr="00520861">
              <w:rPr>
                <w:sz w:val="28"/>
                <w:szCs w:val="28"/>
              </w:rPr>
              <w:t>=0,0209)</w:t>
            </w:r>
          </w:p>
        </w:tc>
      </w:tr>
      <w:tr w:rsidR="00180D3E" w:rsidRPr="00520861" w14:paraId="7278666B" w14:textId="77777777" w:rsidTr="00292D2E">
        <w:tc>
          <w:tcPr>
            <w:tcW w:w="1809" w:type="dxa"/>
            <w:tcBorders>
              <w:top w:val="single" w:sz="4" w:space="0" w:color="auto"/>
              <w:left w:val="single" w:sz="4" w:space="0" w:color="auto"/>
              <w:bottom w:val="single" w:sz="4" w:space="0" w:color="auto"/>
              <w:right w:val="single" w:sz="4" w:space="0" w:color="auto"/>
            </w:tcBorders>
            <w:shd w:val="clear" w:color="auto" w:fill="auto"/>
            <w:hideMark/>
          </w:tcPr>
          <w:p w14:paraId="244AB9FB"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rFonts w:eastAsia="Calibri"/>
                <w:color w:val="000000"/>
                <w:sz w:val="28"/>
                <w:szCs w:val="28"/>
              </w:rPr>
              <w:t xml:space="preserve">ОЩТ, </w:t>
            </w:r>
            <w:proofErr w:type="spellStart"/>
            <w:r w:rsidRPr="00520861">
              <w:rPr>
                <w:rFonts w:eastAsia="Calibri"/>
                <w:color w:val="000000"/>
                <w:sz w:val="28"/>
                <w:szCs w:val="28"/>
              </w:rPr>
              <w:t>у.о</w:t>
            </w:r>
            <w:proofErr w:type="spellEnd"/>
            <w:r w:rsidRPr="00520861">
              <w:rPr>
                <w:rFonts w:eastAsia="Calibri"/>
                <w:color w:val="000000"/>
                <w:sz w:val="28"/>
                <w:szCs w:val="28"/>
              </w:rPr>
              <w:t>.</w:t>
            </w:r>
          </w:p>
        </w:tc>
        <w:tc>
          <w:tcPr>
            <w:tcW w:w="1134" w:type="dxa"/>
            <w:tcBorders>
              <w:top w:val="single" w:sz="4" w:space="0" w:color="auto"/>
              <w:left w:val="single" w:sz="4" w:space="0" w:color="auto"/>
              <w:bottom w:val="single" w:sz="4" w:space="0" w:color="auto"/>
              <w:right w:val="single" w:sz="4" w:space="0" w:color="auto"/>
            </w:tcBorders>
          </w:tcPr>
          <w:p w14:paraId="61CDA98C"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844</w:t>
            </w:r>
          </w:p>
        </w:tc>
        <w:tc>
          <w:tcPr>
            <w:tcW w:w="2268" w:type="dxa"/>
            <w:tcBorders>
              <w:top w:val="single" w:sz="4" w:space="0" w:color="auto"/>
              <w:left w:val="single" w:sz="4" w:space="0" w:color="auto"/>
              <w:bottom w:val="single" w:sz="4" w:space="0" w:color="auto"/>
              <w:right w:val="single" w:sz="4" w:space="0" w:color="auto"/>
            </w:tcBorders>
            <w:hideMark/>
          </w:tcPr>
          <w:p w14:paraId="29EE581F" w14:textId="77777777" w:rsidR="00180D3E" w:rsidRPr="00520861" w:rsidRDefault="00180D3E" w:rsidP="00292D2E">
            <w:pPr>
              <w:widowControl w:val="0"/>
              <w:tabs>
                <w:tab w:val="left" w:pos="40"/>
              </w:tabs>
              <w:spacing w:line="360" w:lineRule="auto"/>
              <w:ind w:right="-56" w:hanging="103"/>
              <w:jc w:val="center"/>
              <w:rPr>
                <w:rFonts w:eastAsia="Calibri"/>
                <w:color w:val="000000"/>
                <w:sz w:val="28"/>
                <w:szCs w:val="28"/>
                <w:lang w:eastAsia="en-US"/>
              </w:rPr>
            </w:pPr>
            <w:r w:rsidRPr="00520861">
              <w:rPr>
                <w:rFonts w:eastAsia="Calibri"/>
                <w:color w:val="000000"/>
                <w:sz w:val="28"/>
                <w:szCs w:val="28"/>
                <w:lang w:eastAsia="en-US"/>
              </w:rPr>
              <w:t xml:space="preserve">546* </w:t>
            </w:r>
            <w:r w:rsidRPr="00520861">
              <w:rPr>
                <w:sz w:val="28"/>
                <w:szCs w:val="28"/>
              </w:rPr>
              <w:t>(</w:t>
            </w:r>
            <w:r w:rsidRPr="00520861">
              <w:rPr>
                <w:i/>
                <w:sz w:val="28"/>
                <w:szCs w:val="28"/>
              </w:rPr>
              <w:t>p</w:t>
            </w:r>
            <w:r w:rsidRPr="00520861">
              <w:rPr>
                <w:sz w:val="28"/>
                <w:szCs w:val="28"/>
              </w:rPr>
              <w:t>=0,0026)</w:t>
            </w:r>
          </w:p>
        </w:tc>
        <w:tc>
          <w:tcPr>
            <w:tcW w:w="2268" w:type="dxa"/>
            <w:tcBorders>
              <w:top w:val="single" w:sz="4" w:space="0" w:color="auto"/>
              <w:left w:val="single" w:sz="4" w:space="0" w:color="auto"/>
              <w:bottom w:val="single" w:sz="4" w:space="0" w:color="auto"/>
              <w:right w:val="single" w:sz="4" w:space="0" w:color="auto"/>
            </w:tcBorders>
            <w:hideMark/>
          </w:tcPr>
          <w:p w14:paraId="37B76532" w14:textId="77777777" w:rsidR="00180D3E" w:rsidRPr="00520861" w:rsidRDefault="00180D3E" w:rsidP="00292D2E">
            <w:pPr>
              <w:widowControl w:val="0"/>
              <w:spacing w:line="360" w:lineRule="auto"/>
              <w:ind w:right="-156"/>
              <w:jc w:val="center"/>
              <w:rPr>
                <w:rFonts w:eastAsia="Calibri"/>
                <w:color w:val="000000"/>
                <w:sz w:val="28"/>
                <w:szCs w:val="28"/>
                <w:lang w:eastAsia="en-US"/>
              </w:rPr>
            </w:pPr>
            <w:r w:rsidRPr="00520861">
              <w:rPr>
                <w:rFonts w:eastAsia="Calibri"/>
                <w:color w:val="000000"/>
                <w:sz w:val="28"/>
                <w:szCs w:val="28"/>
                <w:lang w:eastAsia="en-US"/>
              </w:rPr>
              <w:t xml:space="preserve">392* </w:t>
            </w:r>
            <w:r w:rsidRPr="00520861">
              <w:rPr>
                <w:sz w:val="28"/>
                <w:szCs w:val="28"/>
              </w:rPr>
              <w:t>(</w:t>
            </w:r>
            <w:r w:rsidRPr="00520861">
              <w:rPr>
                <w:i/>
                <w:sz w:val="28"/>
                <w:szCs w:val="28"/>
              </w:rPr>
              <w:t>p</w:t>
            </w:r>
            <w:r w:rsidRPr="00520861">
              <w:rPr>
                <w:sz w:val="28"/>
                <w:szCs w:val="28"/>
              </w:rPr>
              <w:t>=0,0055)</w:t>
            </w:r>
          </w:p>
        </w:tc>
        <w:tc>
          <w:tcPr>
            <w:tcW w:w="2409" w:type="dxa"/>
            <w:tcBorders>
              <w:top w:val="single" w:sz="4" w:space="0" w:color="auto"/>
              <w:left w:val="single" w:sz="4" w:space="0" w:color="auto"/>
              <w:bottom w:val="single" w:sz="4" w:space="0" w:color="auto"/>
              <w:right w:val="single" w:sz="4" w:space="0" w:color="auto"/>
            </w:tcBorders>
            <w:hideMark/>
          </w:tcPr>
          <w:p w14:paraId="11B1F107"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 xml:space="preserve">681 </w:t>
            </w:r>
            <w:r w:rsidRPr="00520861">
              <w:rPr>
                <w:sz w:val="28"/>
                <w:szCs w:val="28"/>
              </w:rPr>
              <w:t>†</w:t>
            </w:r>
            <w:r w:rsidRPr="00520861">
              <w:rPr>
                <w:rFonts w:eastAsia="Calibri"/>
                <w:color w:val="000000"/>
                <w:sz w:val="28"/>
                <w:szCs w:val="28"/>
                <w:lang w:eastAsia="en-US"/>
              </w:rPr>
              <w:t xml:space="preserve"> </w:t>
            </w:r>
            <w:r w:rsidRPr="00520861">
              <w:rPr>
                <w:sz w:val="28"/>
                <w:szCs w:val="28"/>
              </w:rPr>
              <w:t>(</w:t>
            </w:r>
            <w:r w:rsidRPr="00520861">
              <w:rPr>
                <w:i/>
                <w:sz w:val="28"/>
                <w:szCs w:val="28"/>
              </w:rPr>
              <w:t xml:space="preserve">p </w:t>
            </w:r>
            <w:r w:rsidRPr="00520861">
              <w:rPr>
                <w:sz w:val="28"/>
                <w:szCs w:val="28"/>
              </w:rPr>
              <w:t>=0,0279)</w:t>
            </w:r>
          </w:p>
        </w:tc>
      </w:tr>
      <w:tr w:rsidR="00180D3E" w:rsidRPr="00520861" w14:paraId="1ADAE977" w14:textId="77777777" w:rsidTr="00292D2E">
        <w:tc>
          <w:tcPr>
            <w:tcW w:w="1809" w:type="dxa"/>
            <w:tcBorders>
              <w:top w:val="single" w:sz="4" w:space="0" w:color="auto"/>
              <w:left w:val="single" w:sz="4" w:space="0" w:color="auto"/>
              <w:bottom w:val="single" w:sz="4" w:space="0" w:color="auto"/>
              <w:right w:val="single" w:sz="4" w:space="0" w:color="auto"/>
            </w:tcBorders>
            <w:shd w:val="clear" w:color="auto" w:fill="auto"/>
            <w:hideMark/>
          </w:tcPr>
          <w:p w14:paraId="0FFDFEA6"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rFonts w:eastAsia="Calibri"/>
                <w:color w:val="000000"/>
                <w:sz w:val="28"/>
                <w:szCs w:val="28"/>
              </w:rPr>
              <w:t>ОЩК / ОЩТ</w:t>
            </w:r>
          </w:p>
        </w:tc>
        <w:tc>
          <w:tcPr>
            <w:tcW w:w="1134" w:type="dxa"/>
            <w:tcBorders>
              <w:top w:val="single" w:sz="4" w:space="0" w:color="auto"/>
              <w:left w:val="single" w:sz="4" w:space="0" w:color="auto"/>
              <w:bottom w:val="single" w:sz="4" w:space="0" w:color="auto"/>
              <w:right w:val="single" w:sz="4" w:space="0" w:color="auto"/>
            </w:tcBorders>
          </w:tcPr>
          <w:p w14:paraId="1E1EEFD0"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2,74</w:t>
            </w:r>
          </w:p>
        </w:tc>
        <w:tc>
          <w:tcPr>
            <w:tcW w:w="2268" w:type="dxa"/>
            <w:tcBorders>
              <w:top w:val="single" w:sz="4" w:space="0" w:color="auto"/>
              <w:left w:val="single" w:sz="4" w:space="0" w:color="auto"/>
              <w:bottom w:val="single" w:sz="4" w:space="0" w:color="auto"/>
              <w:right w:val="single" w:sz="4" w:space="0" w:color="auto"/>
            </w:tcBorders>
          </w:tcPr>
          <w:p w14:paraId="23E2B94F"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4,35</w:t>
            </w:r>
          </w:p>
        </w:tc>
        <w:tc>
          <w:tcPr>
            <w:tcW w:w="2268" w:type="dxa"/>
            <w:tcBorders>
              <w:top w:val="single" w:sz="4" w:space="0" w:color="auto"/>
              <w:left w:val="single" w:sz="4" w:space="0" w:color="auto"/>
              <w:bottom w:val="single" w:sz="4" w:space="0" w:color="auto"/>
              <w:right w:val="single" w:sz="4" w:space="0" w:color="auto"/>
            </w:tcBorders>
          </w:tcPr>
          <w:p w14:paraId="4BEBCEC2" w14:textId="77777777" w:rsidR="00180D3E" w:rsidRPr="00520861" w:rsidRDefault="00180D3E" w:rsidP="00292D2E">
            <w:pPr>
              <w:widowControl w:val="0"/>
              <w:spacing w:line="360" w:lineRule="auto"/>
              <w:ind w:right="-156"/>
              <w:jc w:val="center"/>
              <w:rPr>
                <w:rFonts w:eastAsia="Calibri"/>
                <w:color w:val="000000"/>
                <w:sz w:val="28"/>
                <w:szCs w:val="28"/>
                <w:lang w:eastAsia="en-US"/>
              </w:rPr>
            </w:pPr>
            <w:r w:rsidRPr="00520861">
              <w:rPr>
                <w:rFonts w:eastAsia="Calibri"/>
                <w:color w:val="000000"/>
                <w:sz w:val="28"/>
                <w:szCs w:val="28"/>
                <w:lang w:eastAsia="en-US"/>
              </w:rPr>
              <w:t>6,61</w:t>
            </w:r>
            <w:r w:rsidRPr="00520861">
              <w:rPr>
                <w:sz w:val="28"/>
                <w:szCs w:val="28"/>
              </w:rPr>
              <w:t>* (</w:t>
            </w:r>
            <w:r w:rsidRPr="00520861">
              <w:rPr>
                <w:i/>
                <w:sz w:val="28"/>
                <w:szCs w:val="28"/>
              </w:rPr>
              <w:t>p</w:t>
            </w:r>
            <w:r w:rsidRPr="00520861">
              <w:rPr>
                <w:sz w:val="28"/>
                <w:szCs w:val="28"/>
              </w:rPr>
              <w:t>=0,0209)</w:t>
            </w:r>
          </w:p>
        </w:tc>
        <w:tc>
          <w:tcPr>
            <w:tcW w:w="2409" w:type="dxa"/>
            <w:tcBorders>
              <w:top w:val="single" w:sz="4" w:space="0" w:color="auto"/>
              <w:left w:val="single" w:sz="4" w:space="0" w:color="auto"/>
              <w:bottom w:val="single" w:sz="4" w:space="0" w:color="auto"/>
              <w:right w:val="single" w:sz="4" w:space="0" w:color="auto"/>
            </w:tcBorders>
          </w:tcPr>
          <w:p w14:paraId="3067D81F"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 xml:space="preserve">2,37 </w:t>
            </w:r>
            <w:r w:rsidRPr="00520861">
              <w:rPr>
                <w:sz w:val="28"/>
                <w:szCs w:val="28"/>
              </w:rPr>
              <w:t>†</w:t>
            </w:r>
            <w:r w:rsidRPr="00520861">
              <w:rPr>
                <w:rFonts w:eastAsia="Calibri"/>
                <w:color w:val="000000"/>
                <w:sz w:val="28"/>
                <w:szCs w:val="28"/>
                <w:lang w:eastAsia="en-US"/>
              </w:rPr>
              <w:t xml:space="preserve"> </w:t>
            </w:r>
            <w:r w:rsidRPr="00520861">
              <w:rPr>
                <w:sz w:val="28"/>
                <w:szCs w:val="28"/>
              </w:rPr>
              <w:t>(</w:t>
            </w:r>
            <w:r w:rsidRPr="00520861">
              <w:rPr>
                <w:i/>
                <w:sz w:val="28"/>
                <w:szCs w:val="28"/>
              </w:rPr>
              <w:t>p</w:t>
            </w:r>
            <w:r w:rsidRPr="00520861">
              <w:rPr>
                <w:sz w:val="28"/>
                <w:szCs w:val="28"/>
              </w:rPr>
              <w:t>=0,0012)</w:t>
            </w:r>
          </w:p>
        </w:tc>
      </w:tr>
      <w:tr w:rsidR="00180D3E" w:rsidRPr="00520861" w14:paraId="70554E49" w14:textId="77777777" w:rsidTr="00292D2E">
        <w:tc>
          <w:tcPr>
            <w:tcW w:w="1809" w:type="dxa"/>
            <w:tcBorders>
              <w:top w:val="single" w:sz="4" w:space="0" w:color="auto"/>
              <w:left w:val="single" w:sz="4" w:space="0" w:color="auto"/>
              <w:bottom w:val="single" w:sz="4" w:space="0" w:color="auto"/>
              <w:right w:val="single" w:sz="4" w:space="0" w:color="auto"/>
            </w:tcBorders>
            <w:shd w:val="clear" w:color="auto" w:fill="auto"/>
          </w:tcPr>
          <w:p w14:paraId="5B3B49A7" w14:textId="77777777" w:rsidR="00180D3E" w:rsidRPr="00520861" w:rsidRDefault="00180D3E" w:rsidP="00292D2E">
            <w:pPr>
              <w:widowControl w:val="0"/>
              <w:pBdr>
                <w:top w:val="nil"/>
                <w:left w:val="nil"/>
                <w:bottom w:val="nil"/>
                <w:right w:val="nil"/>
                <w:between w:val="nil"/>
              </w:pBdr>
              <w:spacing w:line="360" w:lineRule="auto"/>
              <w:jc w:val="center"/>
              <w:rPr>
                <w:color w:val="000000"/>
                <w:sz w:val="28"/>
                <w:szCs w:val="28"/>
              </w:rPr>
            </w:pPr>
            <w:r w:rsidRPr="00520861">
              <w:rPr>
                <w:rFonts w:eastAsia="Calibri"/>
                <w:color w:val="000000"/>
                <w:sz w:val="28"/>
                <w:szCs w:val="28"/>
              </w:rPr>
              <w:t>МІ</w:t>
            </w:r>
            <w:r w:rsidRPr="00520861">
              <w:rPr>
                <w:rFonts w:eastAsia="Calibri"/>
                <w:color w:val="000000"/>
                <w:sz w:val="28"/>
                <w:szCs w:val="28"/>
                <w:vertAlign w:val="subscript"/>
              </w:rPr>
              <w:t>КТ</w:t>
            </w:r>
            <w:r w:rsidRPr="00520861">
              <w:rPr>
                <w:color w:val="000000"/>
                <w:sz w:val="28"/>
                <w:szCs w:val="28"/>
              </w:rPr>
              <w:t>, мм</w:t>
            </w:r>
          </w:p>
        </w:tc>
        <w:tc>
          <w:tcPr>
            <w:tcW w:w="1134" w:type="dxa"/>
            <w:tcBorders>
              <w:top w:val="single" w:sz="4" w:space="0" w:color="auto"/>
              <w:left w:val="single" w:sz="4" w:space="0" w:color="auto"/>
              <w:bottom w:val="single" w:sz="4" w:space="0" w:color="auto"/>
              <w:right w:val="single" w:sz="4" w:space="0" w:color="auto"/>
            </w:tcBorders>
          </w:tcPr>
          <w:p w14:paraId="0C857A31"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3,3</w:t>
            </w:r>
          </w:p>
          <w:p w14:paraId="77AD5A34" w14:textId="77777777" w:rsidR="00180D3E" w:rsidRPr="00520861" w:rsidRDefault="00180D3E" w:rsidP="00292D2E">
            <w:pPr>
              <w:widowControl w:val="0"/>
              <w:spacing w:line="360" w:lineRule="auto"/>
              <w:jc w:val="center"/>
              <w:rPr>
                <w:rFonts w:eastAsia="Calibri"/>
                <w:sz w:val="28"/>
                <w:szCs w:val="28"/>
                <w:lang w:eastAsia="en-US"/>
              </w:rPr>
            </w:pPr>
          </w:p>
        </w:tc>
        <w:tc>
          <w:tcPr>
            <w:tcW w:w="2268" w:type="dxa"/>
            <w:tcBorders>
              <w:top w:val="single" w:sz="4" w:space="0" w:color="auto"/>
              <w:left w:val="single" w:sz="4" w:space="0" w:color="auto"/>
              <w:bottom w:val="single" w:sz="4" w:space="0" w:color="auto"/>
              <w:right w:val="single" w:sz="4" w:space="0" w:color="auto"/>
            </w:tcBorders>
          </w:tcPr>
          <w:p w14:paraId="506A63C4"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3,76</w:t>
            </w:r>
          </w:p>
          <w:p w14:paraId="1C823F2E" w14:textId="77777777" w:rsidR="00180D3E" w:rsidRPr="00520861" w:rsidRDefault="00180D3E" w:rsidP="00292D2E">
            <w:pPr>
              <w:widowControl w:val="0"/>
              <w:spacing w:line="360" w:lineRule="auto"/>
              <w:jc w:val="center"/>
              <w:rPr>
                <w:rFonts w:eastAsia="Calibri"/>
                <w:sz w:val="28"/>
                <w:szCs w:val="28"/>
                <w:lang w:eastAsia="en-US"/>
              </w:rPr>
            </w:pPr>
          </w:p>
        </w:tc>
        <w:tc>
          <w:tcPr>
            <w:tcW w:w="2268" w:type="dxa"/>
            <w:tcBorders>
              <w:top w:val="single" w:sz="4" w:space="0" w:color="auto"/>
              <w:left w:val="single" w:sz="4" w:space="0" w:color="auto"/>
              <w:bottom w:val="single" w:sz="4" w:space="0" w:color="auto"/>
              <w:right w:val="single" w:sz="4" w:space="0" w:color="auto"/>
            </w:tcBorders>
          </w:tcPr>
          <w:p w14:paraId="4BBE8D8B"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3,23</w:t>
            </w:r>
          </w:p>
          <w:p w14:paraId="6848F26C" w14:textId="77777777" w:rsidR="00180D3E" w:rsidRPr="00520861" w:rsidRDefault="00180D3E" w:rsidP="00292D2E">
            <w:pPr>
              <w:widowControl w:val="0"/>
              <w:tabs>
                <w:tab w:val="left" w:pos="748"/>
              </w:tabs>
              <w:spacing w:line="360" w:lineRule="auto"/>
              <w:jc w:val="center"/>
              <w:rPr>
                <w:rFonts w:eastAsia="Calibri"/>
                <w:sz w:val="28"/>
                <w:szCs w:val="28"/>
                <w:lang w:eastAsia="en-US"/>
              </w:rPr>
            </w:pPr>
          </w:p>
        </w:tc>
        <w:tc>
          <w:tcPr>
            <w:tcW w:w="2409" w:type="dxa"/>
            <w:tcBorders>
              <w:top w:val="single" w:sz="4" w:space="0" w:color="auto"/>
              <w:left w:val="single" w:sz="4" w:space="0" w:color="auto"/>
              <w:bottom w:val="single" w:sz="4" w:space="0" w:color="auto"/>
              <w:right w:val="single" w:sz="4" w:space="0" w:color="auto"/>
            </w:tcBorders>
            <w:hideMark/>
          </w:tcPr>
          <w:p w14:paraId="51890CC6" w14:textId="77777777" w:rsidR="00180D3E" w:rsidRPr="00520861" w:rsidRDefault="00180D3E" w:rsidP="00292D2E">
            <w:pPr>
              <w:widowControl w:val="0"/>
              <w:tabs>
                <w:tab w:val="left" w:pos="40"/>
              </w:tabs>
              <w:spacing w:line="360" w:lineRule="auto"/>
              <w:jc w:val="center"/>
              <w:rPr>
                <w:rFonts w:eastAsia="Calibri"/>
                <w:color w:val="000000"/>
                <w:sz w:val="28"/>
                <w:szCs w:val="28"/>
                <w:lang w:eastAsia="en-US"/>
              </w:rPr>
            </w:pPr>
            <w:r w:rsidRPr="00520861">
              <w:rPr>
                <w:rFonts w:eastAsia="Calibri"/>
                <w:color w:val="000000"/>
                <w:sz w:val="28"/>
                <w:szCs w:val="28"/>
                <w:lang w:eastAsia="en-US"/>
              </w:rPr>
              <w:t xml:space="preserve">4,23 </w:t>
            </w:r>
            <w:r w:rsidRPr="00520861">
              <w:rPr>
                <w:sz w:val="28"/>
                <w:szCs w:val="28"/>
              </w:rPr>
              <w:t>* (</w:t>
            </w:r>
            <w:r w:rsidRPr="00520861">
              <w:rPr>
                <w:i/>
                <w:sz w:val="28"/>
                <w:szCs w:val="28"/>
              </w:rPr>
              <w:t>p</w:t>
            </w:r>
            <w:r w:rsidRPr="00520861">
              <w:rPr>
                <w:sz w:val="28"/>
                <w:szCs w:val="28"/>
              </w:rPr>
              <w:t>=0,0008)</w:t>
            </w:r>
          </w:p>
          <w:p w14:paraId="11BBE538"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sz w:val="28"/>
                <w:szCs w:val="28"/>
              </w:rPr>
              <w:t>†</w:t>
            </w:r>
            <w:r w:rsidRPr="00520861">
              <w:rPr>
                <w:rFonts w:eastAsia="Calibri"/>
                <w:color w:val="000000"/>
                <w:sz w:val="28"/>
                <w:szCs w:val="28"/>
                <w:lang w:eastAsia="en-US"/>
              </w:rPr>
              <w:t xml:space="preserve"> </w:t>
            </w:r>
            <w:r w:rsidRPr="00520861">
              <w:rPr>
                <w:sz w:val="28"/>
                <w:szCs w:val="28"/>
              </w:rPr>
              <w:t>(</w:t>
            </w:r>
            <w:r w:rsidRPr="00520861">
              <w:rPr>
                <w:i/>
                <w:sz w:val="28"/>
                <w:szCs w:val="28"/>
              </w:rPr>
              <w:t>p</w:t>
            </w:r>
            <w:r w:rsidRPr="00520861">
              <w:rPr>
                <w:sz w:val="28"/>
                <w:szCs w:val="28"/>
              </w:rPr>
              <w:t>=0,0012)</w:t>
            </w:r>
          </w:p>
        </w:tc>
      </w:tr>
      <w:tr w:rsidR="00180D3E" w:rsidRPr="00520861" w14:paraId="3BFA4745" w14:textId="77777777" w:rsidTr="00292D2E">
        <w:tc>
          <w:tcPr>
            <w:tcW w:w="1809" w:type="dxa"/>
            <w:tcBorders>
              <w:top w:val="single" w:sz="4" w:space="0" w:color="auto"/>
              <w:left w:val="single" w:sz="4" w:space="0" w:color="auto"/>
              <w:bottom w:val="single" w:sz="4" w:space="0" w:color="auto"/>
              <w:right w:val="single" w:sz="4" w:space="0" w:color="auto"/>
            </w:tcBorders>
            <w:shd w:val="clear" w:color="auto" w:fill="auto"/>
            <w:hideMark/>
          </w:tcPr>
          <w:p w14:paraId="13A94886" w14:textId="77777777" w:rsidR="00180D3E" w:rsidRPr="00520861" w:rsidRDefault="00180D3E" w:rsidP="00292D2E">
            <w:pPr>
              <w:widowControl w:val="0"/>
              <w:pBdr>
                <w:top w:val="nil"/>
                <w:left w:val="nil"/>
                <w:bottom w:val="nil"/>
                <w:right w:val="nil"/>
                <w:between w:val="nil"/>
              </w:pBdr>
              <w:spacing w:line="360" w:lineRule="auto"/>
              <w:jc w:val="center"/>
              <w:rPr>
                <w:rFonts w:eastAsia="Calibri"/>
                <w:color w:val="000000"/>
                <w:sz w:val="28"/>
                <w:szCs w:val="28"/>
              </w:rPr>
            </w:pPr>
            <w:r w:rsidRPr="00520861">
              <w:rPr>
                <w:rFonts w:eastAsia="Calibri"/>
                <w:color w:val="000000"/>
                <w:sz w:val="28"/>
                <w:szCs w:val="28"/>
              </w:rPr>
              <w:t>L</w:t>
            </w:r>
            <w:r w:rsidRPr="00520861">
              <w:rPr>
                <w:rFonts w:eastAsia="Calibri"/>
                <w:color w:val="000000"/>
                <w:sz w:val="28"/>
                <w:szCs w:val="28"/>
                <w:vertAlign w:val="subscript"/>
              </w:rPr>
              <w:t>КТ</w:t>
            </w:r>
            <w:r w:rsidRPr="00520861">
              <w:rPr>
                <w:rFonts w:eastAsia="Calibri"/>
                <w:color w:val="000000"/>
                <w:sz w:val="28"/>
                <w:szCs w:val="28"/>
              </w:rPr>
              <w:t>, мм</w:t>
            </w:r>
          </w:p>
        </w:tc>
        <w:tc>
          <w:tcPr>
            <w:tcW w:w="1134" w:type="dxa"/>
            <w:tcBorders>
              <w:top w:val="single" w:sz="4" w:space="0" w:color="auto"/>
              <w:left w:val="single" w:sz="4" w:space="0" w:color="auto"/>
              <w:bottom w:val="single" w:sz="4" w:space="0" w:color="auto"/>
              <w:right w:val="single" w:sz="4" w:space="0" w:color="auto"/>
            </w:tcBorders>
          </w:tcPr>
          <w:p w14:paraId="604FF5D9"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13,96</w:t>
            </w:r>
          </w:p>
        </w:tc>
        <w:tc>
          <w:tcPr>
            <w:tcW w:w="2268" w:type="dxa"/>
            <w:tcBorders>
              <w:top w:val="single" w:sz="4" w:space="0" w:color="auto"/>
              <w:left w:val="single" w:sz="4" w:space="0" w:color="auto"/>
              <w:bottom w:val="single" w:sz="4" w:space="0" w:color="auto"/>
              <w:right w:val="single" w:sz="4" w:space="0" w:color="auto"/>
            </w:tcBorders>
          </w:tcPr>
          <w:p w14:paraId="7697765F"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14,33</w:t>
            </w:r>
          </w:p>
        </w:tc>
        <w:tc>
          <w:tcPr>
            <w:tcW w:w="2268" w:type="dxa"/>
            <w:tcBorders>
              <w:top w:val="single" w:sz="4" w:space="0" w:color="auto"/>
              <w:left w:val="single" w:sz="4" w:space="0" w:color="auto"/>
              <w:bottom w:val="single" w:sz="4" w:space="0" w:color="auto"/>
              <w:right w:val="single" w:sz="4" w:space="0" w:color="auto"/>
            </w:tcBorders>
          </w:tcPr>
          <w:p w14:paraId="2BA513F9"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14,43</w:t>
            </w:r>
          </w:p>
        </w:tc>
        <w:tc>
          <w:tcPr>
            <w:tcW w:w="2409" w:type="dxa"/>
            <w:tcBorders>
              <w:top w:val="single" w:sz="4" w:space="0" w:color="auto"/>
              <w:left w:val="single" w:sz="4" w:space="0" w:color="auto"/>
              <w:bottom w:val="single" w:sz="4" w:space="0" w:color="auto"/>
              <w:right w:val="single" w:sz="4" w:space="0" w:color="auto"/>
            </w:tcBorders>
          </w:tcPr>
          <w:p w14:paraId="76FBFBDD"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14,25</w:t>
            </w:r>
          </w:p>
        </w:tc>
      </w:tr>
      <w:tr w:rsidR="00180D3E" w:rsidRPr="00520861" w14:paraId="356CDE99" w14:textId="77777777" w:rsidTr="00292D2E">
        <w:tc>
          <w:tcPr>
            <w:tcW w:w="1809" w:type="dxa"/>
            <w:tcBorders>
              <w:top w:val="single" w:sz="4" w:space="0" w:color="auto"/>
              <w:left w:val="single" w:sz="4" w:space="0" w:color="auto"/>
              <w:bottom w:val="single" w:sz="4" w:space="0" w:color="auto"/>
              <w:right w:val="single" w:sz="4" w:space="0" w:color="auto"/>
            </w:tcBorders>
            <w:shd w:val="clear" w:color="auto" w:fill="auto"/>
          </w:tcPr>
          <w:p w14:paraId="0B8CF0D2" w14:textId="77777777" w:rsidR="00180D3E" w:rsidRPr="00520861" w:rsidRDefault="00180D3E" w:rsidP="00292D2E">
            <w:pPr>
              <w:widowControl w:val="0"/>
              <w:pBdr>
                <w:top w:val="nil"/>
                <w:left w:val="nil"/>
                <w:bottom w:val="nil"/>
                <w:right w:val="nil"/>
                <w:between w:val="nil"/>
              </w:pBdr>
              <w:spacing w:line="360" w:lineRule="auto"/>
              <w:ind w:right="-110"/>
              <w:jc w:val="center"/>
              <w:rPr>
                <w:rFonts w:eastAsia="Calibri"/>
                <w:color w:val="000000"/>
                <w:sz w:val="28"/>
                <w:szCs w:val="28"/>
              </w:rPr>
            </w:pPr>
            <w:r w:rsidRPr="00520861">
              <w:rPr>
                <w:rFonts w:eastAsia="Calibri"/>
                <w:color w:val="000000"/>
                <w:sz w:val="28"/>
                <w:szCs w:val="28"/>
              </w:rPr>
              <w:t>МІ</w:t>
            </w:r>
            <w:r w:rsidRPr="00520861">
              <w:rPr>
                <w:rFonts w:eastAsia="Calibri"/>
                <w:color w:val="000000"/>
                <w:sz w:val="28"/>
                <w:szCs w:val="28"/>
                <w:vertAlign w:val="subscript"/>
              </w:rPr>
              <w:t>КТ</w:t>
            </w:r>
            <w:r w:rsidRPr="00520861">
              <w:rPr>
                <w:rFonts w:eastAsia="Calibri"/>
                <w:color w:val="000000"/>
                <w:sz w:val="28"/>
                <w:szCs w:val="28"/>
              </w:rPr>
              <w:t xml:space="preserve"> /L</w:t>
            </w:r>
            <w:r w:rsidRPr="00520861">
              <w:rPr>
                <w:rFonts w:eastAsia="Calibri"/>
                <w:color w:val="000000"/>
                <w:sz w:val="28"/>
                <w:szCs w:val="28"/>
                <w:vertAlign w:val="subscript"/>
              </w:rPr>
              <w:t>КТ</w:t>
            </w:r>
            <w:r w:rsidRPr="00520861">
              <w:rPr>
                <w:rFonts w:eastAsia="Calibri"/>
                <w:color w:val="000000"/>
                <w:sz w:val="28"/>
                <w:szCs w:val="28"/>
              </w:rPr>
              <w:t>, мм</w:t>
            </w:r>
          </w:p>
        </w:tc>
        <w:tc>
          <w:tcPr>
            <w:tcW w:w="1134" w:type="dxa"/>
            <w:tcBorders>
              <w:top w:val="single" w:sz="4" w:space="0" w:color="auto"/>
              <w:left w:val="single" w:sz="4" w:space="0" w:color="auto"/>
              <w:bottom w:val="single" w:sz="4" w:space="0" w:color="auto"/>
              <w:right w:val="single" w:sz="4" w:space="0" w:color="auto"/>
            </w:tcBorders>
          </w:tcPr>
          <w:p w14:paraId="38FF5818"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0,24</w:t>
            </w:r>
          </w:p>
          <w:p w14:paraId="36E36636" w14:textId="77777777" w:rsidR="00180D3E" w:rsidRPr="00520861" w:rsidRDefault="00180D3E" w:rsidP="00292D2E">
            <w:pPr>
              <w:widowControl w:val="0"/>
              <w:spacing w:line="360" w:lineRule="auto"/>
              <w:jc w:val="center"/>
              <w:rPr>
                <w:rFonts w:eastAsia="Calibri"/>
                <w:sz w:val="28"/>
                <w:szCs w:val="28"/>
                <w:lang w:eastAsia="en-US"/>
              </w:rPr>
            </w:pPr>
          </w:p>
        </w:tc>
        <w:tc>
          <w:tcPr>
            <w:tcW w:w="2268" w:type="dxa"/>
            <w:tcBorders>
              <w:top w:val="single" w:sz="4" w:space="0" w:color="auto"/>
              <w:left w:val="single" w:sz="4" w:space="0" w:color="auto"/>
              <w:bottom w:val="single" w:sz="4" w:space="0" w:color="auto"/>
              <w:right w:val="single" w:sz="4" w:space="0" w:color="auto"/>
            </w:tcBorders>
          </w:tcPr>
          <w:p w14:paraId="4CD5091F"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0,26</w:t>
            </w:r>
          </w:p>
          <w:p w14:paraId="23CBCC7F" w14:textId="77777777" w:rsidR="00180D3E" w:rsidRPr="00520861" w:rsidRDefault="00180D3E" w:rsidP="00292D2E">
            <w:pPr>
              <w:widowControl w:val="0"/>
              <w:spacing w:line="360" w:lineRule="auto"/>
              <w:jc w:val="center"/>
              <w:rPr>
                <w:rFonts w:eastAsia="Calibri"/>
                <w:sz w:val="28"/>
                <w:szCs w:val="28"/>
                <w:lang w:eastAsia="en-US"/>
              </w:rPr>
            </w:pPr>
          </w:p>
        </w:tc>
        <w:tc>
          <w:tcPr>
            <w:tcW w:w="2268" w:type="dxa"/>
            <w:tcBorders>
              <w:top w:val="single" w:sz="4" w:space="0" w:color="auto"/>
              <w:left w:val="single" w:sz="4" w:space="0" w:color="auto"/>
              <w:bottom w:val="single" w:sz="4" w:space="0" w:color="auto"/>
              <w:right w:val="single" w:sz="4" w:space="0" w:color="auto"/>
            </w:tcBorders>
          </w:tcPr>
          <w:p w14:paraId="5C70DCA2" w14:textId="77777777" w:rsidR="00180D3E" w:rsidRPr="00520861" w:rsidRDefault="00180D3E" w:rsidP="00292D2E">
            <w:pPr>
              <w:widowControl w:val="0"/>
              <w:spacing w:line="360" w:lineRule="auto"/>
              <w:jc w:val="center"/>
              <w:rPr>
                <w:rFonts w:eastAsia="Calibri"/>
                <w:color w:val="000000"/>
                <w:sz w:val="28"/>
                <w:szCs w:val="28"/>
                <w:lang w:eastAsia="en-US"/>
              </w:rPr>
            </w:pPr>
            <w:r w:rsidRPr="00520861">
              <w:rPr>
                <w:rFonts w:eastAsia="Calibri"/>
                <w:color w:val="000000"/>
                <w:sz w:val="28"/>
                <w:szCs w:val="28"/>
                <w:lang w:eastAsia="en-US"/>
              </w:rPr>
              <w:t>0,23</w:t>
            </w:r>
          </w:p>
          <w:p w14:paraId="70CD0B0A" w14:textId="77777777" w:rsidR="00180D3E" w:rsidRPr="00520861" w:rsidRDefault="00180D3E" w:rsidP="00292D2E">
            <w:pPr>
              <w:widowControl w:val="0"/>
              <w:tabs>
                <w:tab w:val="left" w:pos="748"/>
              </w:tabs>
              <w:spacing w:line="360" w:lineRule="auto"/>
              <w:jc w:val="center"/>
              <w:rPr>
                <w:rFonts w:eastAsia="Calibri"/>
                <w:sz w:val="28"/>
                <w:szCs w:val="28"/>
                <w:lang w:eastAsia="en-US"/>
              </w:rPr>
            </w:pPr>
          </w:p>
        </w:tc>
        <w:tc>
          <w:tcPr>
            <w:tcW w:w="2409" w:type="dxa"/>
            <w:tcBorders>
              <w:top w:val="single" w:sz="4" w:space="0" w:color="auto"/>
              <w:left w:val="single" w:sz="4" w:space="0" w:color="auto"/>
              <w:bottom w:val="single" w:sz="4" w:space="0" w:color="auto"/>
              <w:right w:val="single" w:sz="4" w:space="0" w:color="auto"/>
            </w:tcBorders>
            <w:hideMark/>
          </w:tcPr>
          <w:p w14:paraId="052D76D2" w14:textId="77777777" w:rsidR="00180D3E" w:rsidRPr="00520861" w:rsidRDefault="00180D3E" w:rsidP="00292D2E">
            <w:pPr>
              <w:widowControl w:val="0"/>
              <w:tabs>
                <w:tab w:val="left" w:pos="40"/>
              </w:tabs>
              <w:spacing w:line="360" w:lineRule="auto"/>
              <w:jc w:val="center"/>
              <w:rPr>
                <w:rFonts w:eastAsia="Calibri"/>
                <w:color w:val="000000"/>
                <w:sz w:val="28"/>
                <w:szCs w:val="28"/>
                <w:lang w:eastAsia="en-US"/>
              </w:rPr>
            </w:pPr>
            <w:r w:rsidRPr="00520861">
              <w:rPr>
                <w:rFonts w:eastAsia="Calibri"/>
                <w:color w:val="000000"/>
                <w:sz w:val="28"/>
                <w:szCs w:val="28"/>
                <w:lang w:eastAsia="en-US"/>
              </w:rPr>
              <w:t xml:space="preserve">0,30 </w:t>
            </w:r>
            <w:r w:rsidRPr="00520861">
              <w:rPr>
                <w:sz w:val="28"/>
                <w:szCs w:val="28"/>
              </w:rPr>
              <w:t>*(</w:t>
            </w:r>
            <w:r w:rsidRPr="00520861">
              <w:rPr>
                <w:i/>
                <w:sz w:val="28"/>
                <w:szCs w:val="28"/>
              </w:rPr>
              <w:t>p</w:t>
            </w:r>
            <w:r w:rsidRPr="00520861">
              <w:rPr>
                <w:sz w:val="28"/>
                <w:szCs w:val="28"/>
              </w:rPr>
              <w:t>=0,0087)</w:t>
            </w:r>
          </w:p>
          <w:p w14:paraId="3C341741" w14:textId="77777777" w:rsidR="00180D3E" w:rsidRPr="00520861" w:rsidRDefault="00180D3E" w:rsidP="00292D2E">
            <w:pPr>
              <w:widowControl w:val="0"/>
              <w:spacing w:line="360" w:lineRule="auto"/>
              <w:jc w:val="center"/>
              <w:rPr>
                <w:sz w:val="28"/>
                <w:szCs w:val="28"/>
              </w:rPr>
            </w:pPr>
            <w:r w:rsidRPr="00520861">
              <w:rPr>
                <w:sz w:val="28"/>
                <w:szCs w:val="28"/>
              </w:rPr>
              <w:t>†</w:t>
            </w:r>
            <w:r w:rsidRPr="00520861">
              <w:rPr>
                <w:rFonts w:eastAsia="Calibri"/>
                <w:color w:val="000000"/>
                <w:sz w:val="28"/>
                <w:szCs w:val="28"/>
                <w:lang w:eastAsia="en-US"/>
              </w:rPr>
              <w:t xml:space="preserve"> </w:t>
            </w:r>
            <w:r w:rsidRPr="00520861">
              <w:rPr>
                <w:sz w:val="28"/>
                <w:szCs w:val="28"/>
              </w:rPr>
              <w:t>(</w:t>
            </w:r>
            <w:r w:rsidRPr="00520861">
              <w:rPr>
                <w:i/>
                <w:sz w:val="28"/>
                <w:szCs w:val="28"/>
              </w:rPr>
              <w:t>p</w:t>
            </w:r>
            <w:r w:rsidRPr="00520861">
              <w:rPr>
                <w:sz w:val="28"/>
                <w:szCs w:val="28"/>
              </w:rPr>
              <w:t>=0,0031)</w:t>
            </w:r>
          </w:p>
        </w:tc>
      </w:tr>
    </w:tbl>
    <w:p w14:paraId="2CA46016" w14:textId="77777777" w:rsidR="00180D3E" w:rsidRPr="00520861" w:rsidRDefault="00180D3E" w:rsidP="00292D2E">
      <w:pPr>
        <w:widowControl w:val="0"/>
        <w:tabs>
          <w:tab w:val="left" w:pos="0"/>
        </w:tabs>
        <w:spacing w:line="360" w:lineRule="auto"/>
        <w:jc w:val="center"/>
        <w:rPr>
          <w:rFonts w:eastAsia="Calibri"/>
          <w:b/>
          <w:sz w:val="28"/>
          <w:szCs w:val="28"/>
          <w:lang w:eastAsia="en-US"/>
        </w:rPr>
      </w:pPr>
      <w:r w:rsidRPr="00520861">
        <w:rPr>
          <w:rFonts w:eastAsia="Calibri"/>
          <w:b/>
          <w:sz w:val="28"/>
          <w:szCs w:val="28"/>
          <w:lang w:eastAsia="en-US"/>
        </w:rPr>
        <w:t xml:space="preserve">Кількість задіяних у дослідженні осіб (чоловічої / жіночої статі) </w:t>
      </w:r>
      <w:r w:rsidRPr="00520861">
        <w:rPr>
          <w:rFonts w:eastAsia="Calibri"/>
          <w:b/>
          <w:sz w:val="28"/>
          <w:szCs w:val="28"/>
          <w:lang w:eastAsia="en-US"/>
        </w:rPr>
        <w:br/>
        <w:t xml:space="preserve">у </w:t>
      </w:r>
      <w:r w:rsidRPr="00520861">
        <w:rPr>
          <w:rFonts w:eastAsia="Calibri"/>
          <w:b/>
          <w:bCs/>
          <w:sz w:val="28"/>
          <w:szCs w:val="28"/>
          <w:lang w:eastAsia="en-US"/>
        </w:rPr>
        <w:t>ВП-VІІ</w:t>
      </w:r>
      <w:r w:rsidRPr="00520861">
        <w:rPr>
          <w:rFonts w:eastAsia="Calibri"/>
          <w:b/>
          <w:sz w:val="28"/>
          <w:szCs w:val="28"/>
          <w:lang w:eastAsia="en-US"/>
        </w:rPr>
        <w:t xml:space="preserve"> –</w:t>
      </w:r>
      <w:r w:rsidRPr="00520861">
        <w:rPr>
          <w:b/>
          <w:bCs/>
          <w:sz w:val="28"/>
          <w:szCs w:val="28"/>
          <w:shd w:val="clear" w:color="auto" w:fill="FFFFFF"/>
        </w:rPr>
        <w:t xml:space="preserve"> ВП-VІІІ</w:t>
      </w:r>
      <w:r w:rsidRPr="00520861">
        <w:rPr>
          <w:rFonts w:eastAsia="Calibri"/>
          <w:b/>
          <w:sz w:val="28"/>
          <w:szCs w:val="28"/>
          <w:lang w:eastAsia="en-US"/>
        </w:rPr>
        <w:t xml:space="preserve"> і значення математичного очікування оптичної щільності кісткової тканини їхньої нижньої щелепи </w:t>
      </w:r>
    </w:p>
    <w:p w14:paraId="3906F0ED" w14:textId="77777777" w:rsidR="00180D3E" w:rsidRPr="00520861" w:rsidRDefault="00180D3E" w:rsidP="00292D2E">
      <w:pPr>
        <w:widowControl w:val="0"/>
        <w:spacing w:line="360" w:lineRule="auto"/>
        <w:ind w:firstLine="720"/>
        <w:contextualSpacing/>
        <w:jc w:val="both"/>
        <w:rPr>
          <w:sz w:val="28"/>
          <w:szCs w:val="28"/>
        </w:rPr>
      </w:pPr>
      <w:r w:rsidRPr="00520861">
        <w:rPr>
          <w:sz w:val="28"/>
          <w:szCs w:val="28"/>
        </w:rPr>
        <w:t xml:space="preserve">Примітки: * – </w:t>
      </w:r>
      <w:r w:rsidRPr="00520861">
        <w:rPr>
          <w:color w:val="000000"/>
          <w:sz w:val="28"/>
          <w:szCs w:val="28"/>
        </w:rPr>
        <w:t xml:space="preserve">вірогідно відрізняється від ГП для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color w:val="000000"/>
          <w:sz w:val="28"/>
          <w:szCs w:val="28"/>
        </w:rPr>
        <w:t>;</w:t>
      </w:r>
    </w:p>
    <w:p w14:paraId="5A559222" w14:textId="77777777" w:rsidR="00180D3E" w:rsidRPr="00520861" w:rsidRDefault="00180D3E" w:rsidP="00292D2E">
      <w:pPr>
        <w:widowControl w:val="0"/>
        <w:spacing w:line="360" w:lineRule="auto"/>
        <w:contextualSpacing/>
        <w:jc w:val="both"/>
        <w:rPr>
          <w:sz w:val="28"/>
          <w:szCs w:val="28"/>
        </w:rPr>
      </w:pPr>
      <w:r w:rsidRPr="00520861">
        <w:rPr>
          <w:sz w:val="28"/>
          <w:szCs w:val="28"/>
        </w:rPr>
        <w:t>† – різниця між підгрупою 1+2</w:t>
      </w:r>
      <w:r w:rsidRPr="00520861">
        <w:rPr>
          <w:b/>
          <w:sz w:val="28"/>
          <w:szCs w:val="28"/>
        </w:rPr>
        <w:t xml:space="preserve"> </w:t>
      </w:r>
      <w:r w:rsidRPr="00520861">
        <w:rPr>
          <w:sz w:val="28"/>
          <w:szCs w:val="28"/>
        </w:rPr>
        <w:t xml:space="preserve">та підгрупою 3+4 статистично вірогідна </w:t>
      </w:r>
      <w:r w:rsidRPr="00520861">
        <w:rPr>
          <w:color w:val="000000"/>
          <w:sz w:val="28"/>
          <w:szCs w:val="28"/>
        </w:rPr>
        <w:t xml:space="preserve">для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00B747A2" w:rsidRPr="00520861">
        <w:rPr>
          <w:rFonts w:eastAsia="Calibri"/>
          <w:sz w:val="28"/>
          <w:szCs w:val="28"/>
          <w:lang w:val="ru-RU" w:eastAsia="en-US"/>
        </w:rPr>
        <w:t xml:space="preserve"> </w:t>
      </w:r>
      <w:r w:rsidRPr="00520861">
        <w:rPr>
          <w:color w:val="000000"/>
          <w:sz w:val="28"/>
          <w:szCs w:val="28"/>
        </w:rPr>
        <w:t>за критерієм Манна – Уітні.</w:t>
      </w:r>
    </w:p>
    <w:p w14:paraId="1FD3FA9F" w14:textId="77777777" w:rsidR="00180D3E" w:rsidRPr="00520861" w:rsidRDefault="00180D3E" w:rsidP="00292D2E">
      <w:pPr>
        <w:widowControl w:val="0"/>
        <w:spacing w:line="360" w:lineRule="auto"/>
        <w:ind w:right="141" w:firstLine="708"/>
        <w:jc w:val="both"/>
        <w:rPr>
          <w:rFonts w:eastAsia="Calibri"/>
          <w:sz w:val="28"/>
          <w:szCs w:val="28"/>
          <w:lang w:eastAsia="en-US"/>
        </w:rPr>
      </w:pPr>
      <w:r w:rsidRPr="00520861">
        <w:rPr>
          <w:rFonts w:eastAsia="Calibri"/>
          <w:sz w:val="28"/>
          <w:szCs w:val="28"/>
          <w:lang w:eastAsia="en-US"/>
        </w:rPr>
        <w:t xml:space="preserve">Відношення </w:t>
      </w:r>
      <w:r w:rsidRPr="00520861">
        <w:rPr>
          <w:rFonts w:eastAsia="Calibri"/>
          <w:color w:val="000000"/>
          <w:sz w:val="28"/>
          <w:szCs w:val="28"/>
        </w:rPr>
        <w:t>ОЩК/ОЩТ для нижньої щелепи</w:t>
      </w:r>
      <w:r w:rsidRPr="00520861">
        <w:rPr>
          <w:rFonts w:eastAsia="Calibri"/>
          <w:sz w:val="28"/>
          <w:szCs w:val="28"/>
          <w:lang w:eastAsia="en-US"/>
        </w:rPr>
        <w:t xml:space="preserve">, наведене в табл. 7.6, надає нам ще одне підтвердження того, що у таких осіб процеси </w:t>
      </w:r>
      <w:proofErr w:type="spellStart"/>
      <w:r w:rsidRPr="00520861">
        <w:rPr>
          <w:rFonts w:eastAsia="Calibri"/>
          <w:sz w:val="28"/>
          <w:szCs w:val="28"/>
          <w:lang w:eastAsia="en-US"/>
        </w:rPr>
        <w:t>ремоделювання</w:t>
      </w:r>
      <w:proofErr w:type="spellEnd"/>
      <w:r w:rsidRPr="00520861">
        <w:rPr>
          <w:rFonts w:eastAsia="Calibri"/>
          <w:sz w:val="28"/>
          <w:szCs w:val="28"/>
          <w:lang w:eastAsia="en-US"/>
        </w:rPr>
        <w:t xml:space="preserve"> кісткової тканини щелеп ідуть, переважно шляхом </w:t>
      </w:r>
      <w:proofErr w:type="spellStart"/>
      <w:r w:rsidRPr="00520861">
        <w:rPr>
          <w:rFonts w:eastAsia="Calibri"/>
          <w:sz w:val="28"/>
          <w:szCs w:val="28"/>
          <w:lang w:eastAsia="en-US"/>
        </w:rPr>
        <w:t>остеосклеротичних</w:t>
      </w:r>
      <w:proofErr w:type="spellEnd"/>
      <w:r w:rsidRPr="00520861">
        <w:rPr>
          <w:rFonts w:eastAsia="Calibri"/>
          <w:sz w:val="28"/>
          <w:szCs w:val="28"/>
          <w:lang w:eastAsia="en-US"/>
        </w:rPr>
        <w:t xml:space="preserve"> змін. Наведені в останніх трьох рядках табл. 7.6 дані про товщину кортикального шару нижньої щелепи (MI</w:t>
      </w:r>
      <w:r w:rsidRPr="00520861">
        <w:rPr>
          <w:rFonts w:eastAsia="Calibri"/>
          <w:sz w:val="28"/>
          <w:szCs w:val="28"/>
          <w:vertAlign w:val="subscript"/>
          <w:lang w:eastAsia="en-US"/>
        </w:rPr>
        <w:t>КТ</w:t>
      </w:r>
      <w:r w:rsidRPr="00520861">
        <w:rPr>
          <w:rFonts w:eastAsia="Calibri"/>
          <w:sz w:val="28"/>
          <w:szCs w:val="28"/>
          <w:lang w:eastAsia="en-US"/>
        </w:rPr>
        <w:t>) і про відстань між серединою ментального отвору та нижньою межею нижньої щелепи (L</w:t>
      </w:r>
      <w:r w:rsidRPr="00520861">
        <w:rPr>
          <w:rFonts w:eastAsia="Calibri"/>
          <w:sz w:val="28"/>
          <w:szCs w:val="28"/>
          <w:vertAlign w:val="subscript"/>
          <w:lang w:eastAsia="en-US"/>
        </w:rPr>
        <w:t>КТ</w:t>
      </w:r>
      <w:r w:rsidRPr="00520861">
        <w:rPr>
          <w:rFonts w:eastAsia="Calibri"/>
          <w:sz w:val="28"/>
          <w:szCs w:val="28"/>
          <w:lang w:eastAsia="en-US"/>
        </w:rPr>
        <w:t>), отримані з томографічних зображень, а також їхнє співвідношення, підтверджують аналогічні дані, отримані шляхом вимірювання ОПТГ.</w:t>
      </w:r>
    </w:p>
    <w:p w14:paraId="22425831" w14:textId="77777777" w:rsidR="00180D3E" w:rsidRPr="00520861" w:rsidRDefault="00180D3E" w:rsidP="00292D2E">
      <w:pPr>
        <w:widowControl w:val="0"/>
        <w:spacing w:line="360" w:lineRule="auto"/>
        <w:ind w:right="141" w:firstLine="708"/>
        <w:jc w:val="both"/>
        <w:rPr>
          <w:rFonts w:eastAsia="Calibri"/>
          <w:sz w:val="28"/>
          <w:szCs w:val="28"/>
          <w:lang w:eastAsia="en-US"/>
        </w:rPr>
      </w:pPr>
      <w:r w:rsidRPr="00520861">
        <w:rPr>
          <w:rFonts w:eastAsia="Calibri"/>
          <w:sz w:val="28"/>
          <w:szCs w:val="28"/>
          <w:lang w:eastAsia="en-US"/>
        </w:rPr>
        <w:t xml:space="preserve">Ці відомості також підтверджують, що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з ВУ ожирінням (підгрупа 3+4), кортикальний шар нижньої щелепи значно товщий порівняно з таким у підгрупі 1+2 [319]. </w:t>
      </w:r>
    </w:p>
    <w:p w14:paraId="663E0CA4" w14:textId="77777777" w:rsidR="00180D3E" w:rsidRPr="00520861" w:rsidRDefault="00180D3E" w:rsidP="00292D2E">
      <w:pPr>
        <w:widowControl w:val="0"/>
        <w:spacing w:line="360" w:lineRule="auto"/>
        <w:ind w:right="141" w:firstLine="708"/>
        <w:jc w:val="both"/>
        <w:rPr>
          <w:rFonts w:eastAsia="Calibri"/>
          <w:sz w:val="28"/>
          <w:szCs w:val="28"/>
          <w:lang w:eastAsia="en-US"/>
        </w:rPr>
      </w:pPr>
      <w:r w:rsidRPr="00520861">
        <w:rPr>
          <w:rFonts w:eastAsia="Calibri"/>
          <w:sz w:val="28"/>
          <w:szCs w:val="28"/>
          <w:lang w:eastAsia="en-US"/>
        </w:rPr>
        <w:t xml:space="preserve">Слід зазначити, що комп’ютерна томографія та рентгенівський метод є </w:t>
      </w:r>
      <w:r w:rsidR="0000090A" w:rsidRPr="00520861">
        <w:rPr>
          <w:rFonts w:eastAsia="Calibri"/>
          <w:sz w:val="28"/>
          <w:szCs w:val="28"/>
          <w:lang w:eastAsia="en-US"/>
        </w:rPr>
        <w:br/>
      </w:r>
      <w:r w:rsidRPr="00520861">
        <w:rPr>
          <w:rFonts w:eastAsia="Calibri"/>
          <w:sz w:val="28"/>
          <w:szCs w:val="28"/>
          <w:lang w:eastAsia="en-US"/>
        </w:rPr>
        <w:t>незалежними.</w:t>
      </w:r>
    </w:p>
    <w:p w14:paraId="7577DC4C" w14:textId="77777777" w:rsidR="00180D3E" w:rsidRPr="00520861" w:rsidRDefault="00180D3E" w:rsidP="00292D2E">
      <w:pPr>
        <w:widowControl w:val="0"/>
        <w:spacing w:line="360" w:lineRule="auto"/>
        <w:jc w:val="both"/>
        <w:rPr>
          <w:rFonts w:eastAsia="Calibri"/>
          <w:sz w:val="28"/>
          <w:szCs w:val="28"/>
          <w:lang w:eastAsia="en-US"/>
        </w:rPr>
      </w:pPr>
    </w:p>
    <w:p w14:paraId="124B3EF5" w14:textId="77777777" w:rsidR="00180D3E" w:rsidRPr="00520861" w:rsidRDefault="00180D3E" w:rsidP="00292D2E">
      <w:pPr>
        <w:widowControl w:val="0"/>
        <w:spacing w:line="360" w:lineRule="auto"/>
        <w:ind w:firstLine="709"/>
        <w:jc w:val="both"/>
        <w:rPr>
          <w:rFonts w:eastAsia="Calibri"/>
          <w:b/>
          <w:sz w:val="28"/>
          <w:szCs w:val="28"/>
          <w:lang w:eastAsia="en-US"/>
        </w:rPr>
      </w:pPr>
      <w:r w:rsidRPr="00520861">
        <w:rPr>
          <w:rFonts w:eastAsia="Calibri"/>
          <w:b/>
          <w:sz w:val="28"/>
          <w:szCs w:val="28"/>
          <w:lang w:eastAsia="en-US"/>
        </w:rPr>
        <w:t xml:space="preserve">7.4. Результати вивчення динаміки змін біохімічних показників ротової </w:t>
      </w:r>
      <w:r w:rsidRPr="00520861">
        <w:rPr>
          <w:rFonts w:eastAsia="Calibri"/>
          <w:b/>
          <w:sz w:val="28"/>
          <w:szCs w:val="28"/>
          <w:lang w:eastAsia="en-US"/>
        </w:rPr>
        <w:br/>
      </w:r>
      <w:r w:rsidRPr="00520861">
        <w:rPr>
          <w:rFonts w:eastAsia="Calibri"/>
          <w:b/>
          <w:sz w:val="28"/>
          <w:szCs w:val="28"/>
          <w:lang w:eastAsia="en-US"/>
        </w:rPr>
        <w:lastRenderedPageBreak/>
        <w:t xml:space="preserve">рідини як маркерів різних варіантів перебігу </w:t>
      </w:r>
      <w:proofErr w:type="spellStart"/>
      <w:r w:rsidRPr="00520861">
        <w:rPr>
          <w:rFonts w:eastAsia="Calibri"/>
          <w:b/>
          <w:sz w:val="28"/>
          <w:szCs w:val="28"/>
          <w:lang w:eastAsia="en-US"/>
        </w:rPr>
        <w:t>хвороб</w:t>
      </w:r>
      <w:proofErr w:type="spellEnd"/>
      <w:r w:rsidRPr="00520861">
        <w:rPr>
          <w:rFonts w:eastAsia="Calibri"/>
          <w:b/>
          <w:sz w:val="28"/>
          <w:szCs w:val="28"/>
          <w:lang w:eastAsia="en-US"/>
        </w:rPr>
        <w:t xml:space="preserve"> тканин </w:t>
      </w:r>
      <w:proofErr w:type="spellStart"/>
      <w:r w:rsidRPr="00520861">
        <w:rPr>
          <w:rFonts w:eastAsia="Calibri"/>
          <w:b/>
          <w:sz w:val="28"/>
          <w:szCs w:val="28"/>
          <w:lang w:eastAsia="en-US"/>
        </w:rPr>
        <w:t>пародонта</w:t>
      </w:r>
      <w:proofErr w:type="spellEnd"/>
      <w:r w:rsidRPr="00520861">
        <w:rPr>
          <w:rFonts w:eastAsia="Calibri"/>
          <w:b/>
          <w:sz w:val="28"/>
          <w:szCs w:val="28"/>
          <w:lang w:eastAsia="en-US"/>
        </w:rPr>
        <w:t xml:space="preserve"> в осіб </w:t>
      </w:r>
      <w:r w:rsidRPr="00520861">
        <w:rPr>
          <w:rFonts w:eastAsia="Calibri"/>
          <w:b/>
          <w:sz w:val="28"/>
          <w:szCs w:val="28"/>
          <w:lang w:eastAsia="en-US"/>
        </w:rPr>
        <w:br/>
        <w:t xml:space="preserve">різного віку, які народилися </w:t>
      </w:r>
      <w:proofErr w:type="spellStart"/>
      <w:r w:rsidRPr="00520861">
        <w:rPr>
          <w:rFonts w:eastAsia="Calibri"/>
          <w:b/>
          <w:sz w:val="28"/>
          <w:szCs w:val="28"/>
          <w:lang w:eastAsia="en-US"/>
        </w:rPr>
        <w:t>макросомами</w:t>
      </w:r>
      <w:proofErr w:type="spellEnd"/>
    </w:p>
    <w:p w14:paraId="6BBAED7B"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p>
    <w:p w14:paraId="7D357586" w14:textId="77777777" w:rsidR="00180D3E" w:rsidRPr="00520861" w:rsidRDefault="00180D3E" w:rsidP="00292D2E">
      <w:pPr>
        <w:widowControl w:val="0"/>
        <w:spacing w:line="360" w:lineRule="auto"/>
        <w:ind w:right="-1" w:firstLine="709"/>
        <w:contextualSpacing/>
        <w:jc w:val="both"/>
        <w:rPr>
          <w:rFonts w:eastAsia="Calibri"/>
          <w:b/>
          <w:sz w:val="28"/>
          <w:szCs w:val="28"/>
          <w:lang w:eastAsia="en-US"/>
        </w:rPr>
      </w:pPr>
      <w:r w:rsidRPr="00520861">
        <w:rPr>
          <w:rFonts w:eastAsia="Calibri"/>
          <w:sz w:val="28"/>
          <w:szCs w:val="28"/>
          <w:lang w:eastAsia="en-US"/>
        </w:rPr>
        <w:t xml:space="preserve">Під час дослідження ми виявили, що у РР осіб підгруп 1 та 2 у молодших ВП спостерігається тенденція до зростання активності </w:t>
      </w:r>
      <w:proofErr w:type="spellStart"/>
      <w:r w:rsidRPr="00520861">
        <w:rPr>
          <w:rFonts w:eastAsia="Calibri"/>
          <w:sz w:val="28"/>
          <w:szCs w:val="28"/>
          <w:lang w:eastAsia="en-US"/>
        </w:rPr>
        <w:t>АлАт</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АсАт</w:t>
      </w:r>
      <w:proofErr w:type="spellEnd"/>
      <w:r w:rsidRPr="00520861">
        <w:rPr>
          <w:rFonts w:eastAsia="Calibri"/>
          <w:sz w:val="28"/>
          <w:szCs w:val="28"/>
          <w:lang w:eastAsia="en-US"/>
        </w:rPr>
        <w:t xml:space="preserve"> (рис. 7.8, рис. 7.9) [33].</w:t>
      </w:r>
      <w:r w:rsidRPr="00520861">
        <w:rPr>
          <w:rFonts w:eastAsia="Calibri"/>
          <w:b/>
          <w:sz w:val="28"/>
          <w:szCs w:val="28"/>
          <w:lang w:eastAsia="en-US"/>
        </w:rPr>
        <w:t xml:space="preserve"> </w:t>
      </w:r>
      <w:r w:rsidRPr="00520861">
        <w:rPr>
          <w:rFonts w:eastAsia="Calibri"/>
          <w:sz w:val="28"/>
          <w:szCs w:val="28"/>
          <w:lang w:eastAsia="en-US"/>
        </w:rPr>
        <w:t xml:space="preserve">Вірогідне збільшення активності трансаміназ в осіб цих підгруп було виявлено для старших вікових періодів (18 – 54 роки) (табл. Б.1.28). Зростання активності </w:t>
      </w:r>
      <w:proofErr w:type="spellStart"/>
      <w:r w:rsidRPr="00520861">
        <w:rPr>
          <w:rFonts w:eastAsia="Calibri"/>
          <w:sz w:val="28"/>
          <w:szCs w:val="28"/>
          <w:lang w:eastAsia="en-US"/>
        </w:rPr>
        <w:t>АсАт</w:t>
      </w:r>
      <w:proofErr w:type="spellEnd"/>
      <w:r w:rsidRPr="00520861">
        <w:rPr>
          <w:rFonts w:eastAsia="Calibri"/>
          <w:sz w:val="28"/>
          <w:szCs w:val="28"/>
          <w:lang w:eastAsia="en-US"/>
        </w:rPr>
        <w:t xml:space="preserve"> у даному випадку є свідченням глибокого ураження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w:t>
      </w:r>
    </w:p>
    <w:p w14:paraId="06EAA0FA"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В осіб підгрупи 3 та підгрупи 4 практично у всіх ВП не спостерігалося вірогідних змін активності трансаміназ (табл. Б.1.28). Проте у молодших ВП та у віці починаючи приблизно від 35 років активність ферментів зростала, більш виражено </w:t>
      </w:r>
      <w:r w:rsidRPr="00520861">
        <w:rPr>
          <w:rFonts w:eastAsia="Calibri"/>
          <w:sz w:val="28"/>
          <w:szCs w:val="28"/>
          <w:lang w:eastAsia="en-US"/>
        </w:rPr>
        <w:br/>
        <w:t xml:space="preserve">в підгрупі 4 (рис. 7.8, рис. 7.9). </w:t>
      </w:r>
    </w:p>
    <w:p w14:paraId="722E3DB5"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Встановлено, що в осіб підгрупи 1 та підгрупи 2, порівняно з ГП, спостерігалося суттєве (р&lt;0,004) зростання рівня ІЛ-1β у РР, якщо розглядати всі ВП разом</w:t>
      </w:r>
      <w:r w:rsidRPr="00520861">
        <w:rPr>
          <w:rFonts w:eastAsia="Calibri"/>
          <w:sz w:val="28"/>
          <w:szCs w:val="28"/>
          <w:lang w:eastAsia="en-US"/>
        </w:rPr>
        <w:br/>
        <w:t xml:space="preserve"> (рис. 7.10) [33]. У дорослому віці (ВП-</w:t>
      </w:r>
      <w:r w:rsidRPr="00520861">
        <w:rPr>
          <w:rFonts w:eastAsia="Calibri"/>
          <w:sz w:val="28"/>
          <w:szCs w:val="28"/>
          <w:lang w:val="en-US" w:eastAsia="en-US"/>
        </w:rPr>
        <w:t>VII</w:t>
      </w:r>
      <w:r w:rsidRPr="00520861">
        <w:rPr>
          <w:rFonts w:eastAsia="Calibri"/>
          <w:sz w:val="28"/>
          <w:szCs w:val="28"/>
          <w:lang w:eastAsia="en-US"/>
        </w:rPr>
        <w:t xml:space="preserve">) в осіб цих підгруп рівень </w:t>
      </w:r>
      <w:proofErr w:type="spellStart"/>
      <w:r w:rsidRPr="00520861">
        <w:rPr>
          <w:rFonts w:eastAsia="Calibri"/>
          <w:sz w:val="28"/>
          <w:szCs w:val="28"/>
          <w:lang w:eastAsia="en-US"/>
        </w:rPr>
        <w:t>прозапального</w:t>
      </w:r>
      <w:proofErr w:type="spellEnd"/>
      <w:r w:rsidRPr="00520861">
        <w:rPr>
          <w:rFonts w:eastAsia="Calibri"/>
          <w:sz w:val="28"/>
          <w:szCs w:val="28"/>
          <w:lang w:eastAsia="en-US"/>
        </w:rPr>
        <w:t xml:space="preserve"> цитокіну ІЛ-1β збільшувався більше ніж у 2 рази, порівняно з ГП (табл. Б.1.29).</w:t>
      </w:r>
    </w:p>
    <w:p w14:paraId="73022D01" w14:textId="77777777" w:rsidR="00180D3E" w:rsidRPr="00520861" w:rsidRDefault="00F55674" w:rsidP="00292D2E">
      <w:pPr>
        <w:widowControl w:val="0"/>
        <w:spacing w:line="360" w:lineRule="auto"/>
        <w:ind w:right="-1" w:firstLine="709"/>
        <w:contextualSpacing/>
        <w:jc w:val="center"/>
        <w:rPr>
          <w:rFonts w:eastAsia="Calibri"/>
          <w:sz w:val="28"/>
          <w:szCs w:val="28"/>
          <w:lang w:eastAsia="en-US"/>
        </w:rPr>
      </w:pPr>
      <w:r w:rsidRPr="00520861">
        <w:rPr>
          <w:noProof/>
          <w:sz w:val="28"/>
          <w:szCs w:val="28"/>
          <w:lang w:val="ru-RU"/>
        </w:rPr>
        <w:drawing>
          <wp:inline distT="0" distB="0" distL="0" distR="0" wp14:anchorId="31AA0653" wp14:editId="62C178AA">
            <wp:extent cx="4464000" cy="2412000"/>
            <wp:effectExtent l="0" t="0" r="0" b="7620"/>
            <wp:docPr id="135"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Рисунок 1"/>
                    <pic:cNvPicPr>
                      <a:picLocks/>
                    </pic:cNvPicPr>
                  </pic:nvPicPr>
                  <pic:blipFill>
                    <a:blip r:embed="rId122"/>
                    <a:stretch>
                      <a:fillRect/>
                    </a:stretch>
                  </pic:blipFill>
                  <pic:spPr>
                    <a:xfrm>
                      <a:off x="0" y="0"/>
                      <a:ext cx="4464000" cy="2412000"/>
                    </a:xfrm>
                    <a:prstGeom prst="rect">
                      <a:avLst/>
                    </a:prstGeom>
                  </pic:spPr>
                </pic:pic>
              </a:graphicData>
            </a:graphic>
          </wp:inline>
        </w:drawing>
      </w:r>
    </w:p>
    <w:p w14:paraId="35858111"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r w:rsidRPr="00520861">
        <w:rPr>
          <w:rFonts w:eastAsia="Calibri"/>
          <w:sz w:val="28"/>
          <w:szCs w:val="28"/>
          <w:lang w:eastAsia="en-US"/>
        </w:rPr>
        <w:t xml:space="preserve">Рис. 7.8. Динаміка медіанних значень показників </w:t>
      </w:r>
      <w:proofErr w:type="spellStart"/>
      <w:r w:rsidRPr="00520861">
        <w:rPr>
          <w:rFonts w:eastAsia="Calibri"/>
          <w:sz w:val="28"/>
          <w:szCs w:val="28"/>
          <w:lang w:eastAsia="en-US"/>
        </w:rPr>
        <w:t>АлАт</w:t>
      </w:r>
      <w:proofErr w:type="spellEnd"/>
      <w:r w:rsidRPr="00520861">
        <w:rPr>
          <w:rFonts w:eastAsia="Calibri"/>
          <w:sz w:val="28"/>
          <w:szCs w:val="28"/>
          <w:lang w:eastAsia="en-US"/>
        </w:rPr>
        <w:t xml:space="preserve"> у ротовій рідині. </w:t>
      </w:r>
    </w:p>
    <w:p w14:paraId="5DB52CD6"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p>
    <w:p w14:paraId="0A85E869" w14:textId="77777777" w:rsidR="00180D3E" w:rsidRPr="00520861" w:rsidRDefault="00F55674" w:rsidP="00292D2E">
      <w:pPr>
        <w:widowControl w:val="0"/>
        <w:spacing w:line="360" w:lineRule="auto"/>
        <w:ind w:right="-1" w:firstLine="709"/>
        <w:contextualSpacing/>
        <w:jc w:val="center"/>
        <w:rPr>
          <w:rFonts w:eastAsia="Calibri"/>
          <w:sz w:val="28"/>
          <w:szCs w:val="28"/>
          <w:lang w:eastAsia="en-US"/>
        </w:rPr>
      </w:pPr>
      <w:r w:rsidRPr="00520861">
        <w:rPr>
          <w:noProof/>
          <w:sz w:val="28"/>
          <w:szCs w:val="28"/>
          <w:lang w:val="ru-RU"/>
        </w:rPr>
        <w:lastRenderedPageBreak/>
        <w:drawing>
          <wp:inline distT="0" distB="0" distL="0" distR="0" wp14:anchorId="333EFBC8" wp14:editId="124E0253">
            <wp:extent cx="4824000" cy="2412000"/>
            <wp:effectExtent l="0" t="0" r="0" b="7620"/>
            <wp:docPr id="13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123"/>
                    <a:stretch>
                      <a:fillRect/>
                    </a:stretch>
                  </pic:blipFill>
                  <pic:spPr>
                    <a:xfrm>
                      <a:off x="0" y="0"/>
                      <a:ext cx="4824000" cy="2412000"/>
                    </a:xfrm>
                    <a:prstGeom prst="rect">
                      <a:avLst/>
                    </a:prstGeom>
                  </pic:spPr>
                </pic:pic>
              </a:graphicData>
            </a:graphic>
          </wp:inline>
        </w:drawing>
      </w:r>
    </w:p>
    <w:p w14:paraId="4E31AF61"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r w:rsidRPr="00520861">
        <w:rPr>
          <w:rFonts w:eastAsia="Calibri"/>
          <w:sz w:val="28"/>
          <w:szCs w:val="28"/>
          <w:lang w:eastAsia="en-US"/>
        </w:rPr>
        <w:t xml:space="preserve">Рис. 7.9. Динаміка медіанних значень показників </w:t>
      </w:r>
      <w:proofErr w:type="spellStart"/>
      <w:r w:rsidRPr="00520861">
        <w:rPr>
          <w:rFonts w:eastAsia="Calibri"/>
          <w:sz w:val="28"/>
          <w:szCs w:val="28"/>
          <w:lang w:eastAsia="en-US"/>
        </w:rPr>
        <w:t>АсАт</w:t>
      </w:r>
      <w:proofErr w:type="spellEnd"/>
      <w:r w:rsidRPr="00520861">
        <w:rPr>
          <w:rFonts w:eastAsia="Calibri"/>
          <w:sz w:val="28"/>
          <w:szCs w:val="28"/>
          <w:lang w:eastAsia="en-US"/>
        </w:rPr>
        <w:t xml:space="preserve"> у ротовій рідині. </w:t>
      </w:r>
    </w:p>
    <w:p w14:paraId="6321EEA8"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p>
    <w:p w14:paraId="27CD9BBE" w14:textId="77777777" w:rsidR="00180D3E" w:rsidRPr="00520861" w:rsidRDefault="00F55674" w:rsidP="00292D2E">
      <w:pPr>
        <w:widowControl w:val="0"/>
        <w:spacing w:line="360" w:lineRule="auto"/>
        <w:ind w:right="-1" w:firstLine="709"/>
        <w:contextualSpacing/>
        <w:jc w:val="center"/>
        <w:rPr>
          <w:rFonts w:eastAsia="Calibri"/>
          <w:sz w:val="28"/>
          <w:szCs w:val="28"/>
          <w:lang w:eastAsia="en-US"/>
        </w:rPr>
      </w:pPr>
      <w:r w:rsidRPr="00520861">
        <w:rPr>
          <w:noProof/>
          <w:sz w:val="28"/>
          <w:szCs w:val="28"/>
          <w:lang w:val="ru-RU"/>
        </w:rPr>
        <w:drawing>
          <wp:inline distT="0" distB="0" distL="0" distR="0" wp14:anchorId="55BBD563" wp14:editId="21F60963">
            <wp:extent cx="4824000" cy="2412000"/>
            <wp:effectExtent l="0" t="0" r="0" b="7620"/>
            <wp:docPr id="13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8"/>
                    <pic:cNvPicPr>
                      <a:picLocks noChangeAspect="1"/>
                    </pic:cNvPicPr>
                  </pic:nvPicPr>
                  <pic:blipFill>
                    <a:blip r:embed="rId124"/>
                    <a:stretch>
                      <a:fillRect/>
                    </a:stretch>
                  </pic:blipFill>
                  <pic:spPr>
                    <a:xfrm>
                      <a:off x="0" y="0"/>
                      <a:ext cx="4824000" cy="2412000"/>
                    </a:xfrm>
                    <a:prstGeom prst="rect">
                      <a:avLst/>
                    </a:prstGeom>
                  </pic:spPr>
                </pic:pic>
              </a:graphicData>
            </a:graphic>
          </wp:inline>
        </w:drawing>
      </w:r>
    </w:p>
    <w:p w14:paraId="15DC9367"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r w:rsidRPr="00520861">
        <w:rPr>
          <w:rFonts w:eastAsia="Calibri"/>
          <w:sz w:val="28"/>
          <w:szCs w:val="28"/>
          <w:lang w:eastAsia="en-US"/>
        </w:rPr>
        <w:t xml:space="preserve">Рис. 7.10. Динаміка медіанних значень показників ІЛ-1β у ротовій рідині. </w:t>
      </w:r>
    </w:p>
    <w:p w14:paraId="4A0FA5EB"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Тенденція до зростання рівня ІЛ-1β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r w:rsidRPr="00520861">
        <w:rPr>
          <w:rFonts w:eastAsia="Calibri"/>
          <w:sz w:val="28"/>
          <w:szCs w:val="28"/>
          <w:lang w:eastAsia="en-US"/>
        </w:rPr>
        <w:br/>
        <w:t xml:space="preserve">молодших ВП (рис. 7.10), у яких не було клінічних проявів захворювання, може розглядатися як </w:t>
      </w:r>
      <w:proofErr w:type="spellStart"/>
      <w:r w:rsidRPr="00520861">
        <w:rPr>
          <w:rFonts w:eastAsia="Calibri"/>
          <w:sz w:val="28"/>
          <w:szCs w:val="28"/>
          <w:lang w:eastAsia="en-US"/>
        </w:rPr>
        <w:t>предиктор</w:t>
      </w:r>
      <w:proofErr w:type="spellEnd"/>
      <w:r w:rsidRPr="00520861">
        <w:rPr>
          <w:rFonts w:eastAsia="Calibri"/>
          <w:sz w:val="28"/>
          <w:szCs w:val="28"/>
          <w:lang w:eastAsia="en-US"/>
        </w:rPr>
        <w:t xml:space="preserve"> високого ризику формування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у дорослому віці.</w:t>
      </w:r>
    </w:p>
    <w:p w14:paraId="555CF77F" w14:textId="77777777" w:rsidR="00180D3E" w:rsidRPr="00520861" w:rsidRDefault="00180D3E" w:rsidP="00292D2E">
      <w:pPr>
        <w:widowControl w:val="0"/>
        <w:spacing w:line="360" w:lineRule="auto"/>
        <w:ind w:right="-1" w:firstLine="709"/>
        <w:contextualSpacing/>
        <w:jc w:val="both"/>
        <w:rPr>
          <w:rFonts w:eastAsia="Calibri"/>
          <w:spacing w:val="-4"/>
          <w:sz w:val="28"/>
          <w:szCs w:val="28"/>
          <w:lang w:eastAsia="en-US"/>
        </w:rPr>
      </w:pPr>
      <w:r w:rsidRPr="00520861">
        <w:rPr>
          <w:rFonts w:eastAsia="Calibri"/>
          <w:spacing w:val="-4"/>
          <w:sz w:val="28"/>
          <w:szCs w:val="28"/>
          <w:lang w:eastAsia="en-US"/>
        </w:rPr>
        <w:t xml:space="preserve">В учасників дослідження підгрупи 3 і підгрупи 4 ми виявили тенденцію до зростання рівня </w:t>
      </w:r>
      <w:proofErr w:type="spellStart"/>
      <w:r w:rsidRPr="00520861">
        <w:rPr>
          <w:rFonts w:eastAsia="Calibri"/>
          <w:spacing w:val="-4"/>
          <w:sz w:val="28"/>
          <w:szCs w:val="28"/>
          <w:lang w:eastAsia="en-US"/>
        </w:rPr>
        <w:t>прозапального</w:t>
      </w:r>
      <w:proofErr w:type="spellEnd"/>
      <w:r w:rsidRPr="00520861">
        <w:rPr>
          <w:rFonts w:eastAsia="Calibri"/>
          <w:spacing w:val="-4"/>
          <w:sz w:val="28"/>
          <w:szCs w:val="28"/>
          <w:lang w:eastAsia="en-US"/>
        </w:rPr>
        <w:t xml:space="preserve"> ІЛ-1β, яка більш виражена в підгрупі 4. При цьому </w:t>
      </w:r>
      <w:proofErr w:type="spellStart"/>
      <w:r w:rsidRPr="00520861">
        <w:rPr>
          <w:rFonts w:eastAsia="Calibri"/>
          <w:spacing w:val="-4"/>
          <w:sz w:val="28"/>
          <w:szCs w:val="28"/>
          <w:lang w:eastAsia="en-US"/>
        </w:rPr>
        <w:t>макси-мальне</w:t>
      </w:r>
      <w:proofErr w:type="spellEnd"/>
      <w:r w:rsidRPr="00520861">
        <w:rPr>
          <w:rFonts w:eastAsia="Calibri"/>
          <w:spacing w:val="-4"/>
          <w:sz w:val="28"/>
          <w:szCs w:val="28"/>
          <w:lang w:eastAsia="en-US"/>
        </w:rPr>
        <w:t xml:space="preserve"> зростання його вмісту спостерігалося у РР осіб віком 30 – 40 років (рис. 7.10). </w:t>
      </w:r>
    </w:p>
    <w:p w14:paraId="6A8F95C8"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Медіанні значення ІЛ-10 за всі ВП разом в РР осіб ОГ були зіставними з такими у ГП, а саме – 2,86 та 2,86 (кг/м</w:t>
      </w:r>
      <w:r w:rsidRPr="00520861">
        <w:rPr>
          <w:rFonts w:eastAsia="Calibri"/>
          <w:sz w:val="28"/>
          <w:szCs w:val="28"/>
          <w:vertAlign w:val="superscript"/>
          <w:lang w:eastAsia="en-US"/>
        </w:rPr>
        <w:t>3</w:t>
      </w:r>
      <w:r w:rsidRPr="00520861">
        <w:rPr>
          <w:rFonts w:eastAsia="Calibri"/>
          <w:sz w:val="28"/>
          <w:szCs w:val="28"/>
          <w:lang w:eastAsia="en-US"/>
        </w:rPr>
        <w:t>) ×10</w:t>
      </w:r>
      <w:r w:rsidRPr="00520861">
        <w:rPr>
          <w:rFonts w:eastAsia="Calibri"/>
          <w:sz w:val="28"/>
          <w:szCs w:val="28"/>
          <w:vertAlign w:val="superscript"/>
          <w:lang w:eastAsia="en-US"/>
        </w:rPr>
        <w:t>9</w:t>
      </w:r>
      <w:r w:rsidRPr="00520861">
        <w:rPr>
          <w:rFonts w:eastAsia="Calibri"/>
          <w:sz w:val="28"/>
          <w:szCs w:val="28"/>
          <w:lang w:eastAsia="en-US"/>
        </w:rPr>
        <w:t xml:space="preserve"> відповідно</w:t>
      </w:r>
      <w:r w:rsidRPr="00520861">
        <w:rPr>
          <w:rFonts w:eastAsia="Calibri"/>
          <w:color w:val="000000"/>
          <w:sz w:val="28"/>
          <w:szCs w:val="28"/>
          <w:lang w:val="ru-RU"/>
        </w:rPr>
        <w:t xml:space="preserve"> </w:t>
      </w:r>
      <w:r w:rsidRPr="00520861">
        <w:rPr>
          <w:rFonts w:eastAsia="Calibri"/>
          <w:color w:val="000000"/>
          <w:sz w:val="28"/>
          <w:szCs w:val="28"/>
        </w:rPr>
        <w:t>(</w:t>
      </w:r>
      <w:r w:rsidRPr="00520861">
        <w:rPr>
          <w:rFonts w:eastAsia="Calibri"/>
          <w:sz w:val="28"/>
          <w:szCs w:val="28"/>
          <w:lang w:eastAsia="en-US"/>
        </w:rPr>
        <w:t xml:space="preserve">табл. Б.1.29). </w:t>
      </w:r>
    </w:p>
    <w:p w14:paraId="217200E9"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Проте при аналізі по підгрупах виявлена тенденція до зниження рівня ІЛ-10 в осіб дорослого віку в </w:t>
      </w:r>
      <w:r w:rsidRPr="00520861">
        <w:rPr>
          <w:rFonts w:eastAsia="Calibri"/>
          <w:spacing w:val="-4"/>
          <w:sz w:val="28"/>
          <w:szCs w:val="28"/>
          <w:lang w:eastAsia="en-US"/>
        </w:rPr>
        <w:t>підгрупі</w:t>
      </w:r>
      <w:r w:rsidRPr="00520861">
        <w:rPr>
          <w:rFonts w:eastAsia="Calibri"/>
          <w:sz w:val="28"/>
          <w:szCs w:val="28"/>
          <w:lang w:eastAsia="en-US"/>
        </w:rPr>
        <w:t xml:space="preserve"> 1 і </w:t>
      </w:r>
      <w:r w:rsidRPr="00520861">
        <w:rPr>
          <w:rFonts w:eastAsia="Calibri"/>
          <w:spacing w:val="-4"/>
          <w:sz w:val="28"/>
          <w:szCs w:val="28"/>
          <w:lang w:eastAsia="en-US"/>
        </w:rPr>
        <w:t>підгрупі</w:t>
      </w:r>
      <w:r w:rsidRPr="00520861">
        <w:rPr>
          <w:rFonts w:eastAsia="Calibri"/>
          <w:sz w:val="28"/>
          <w:szCs w:val="28"/>
          <w:lang w:eastAsia="en-US"/>
        </w:rPr>
        <w:t xml:space="preserve"> 2 проти ГП (рис. 7.11). За всі ВП разом його рівень в осіб підгрупи 2 був вірогідно (р=0,02607) меншим за такий у ГП </w:t>
      </w:r>
      <w:r w:rsidR="0000090A" w:rsidRPr="00520861">
        <w:rPr>
          <w:rFonts w:eastAsia="Calibri"/>
          <w:sz w:val="28"/>
          <w:szCs w:val="28"/>
          <w:lang w:eastAsia="en-US"/>
        </w:rPr>
        <w:br/>
      </w:r>
      <w:r w:rsidRPr="00520861">
        <w:rPr>
          <w:rFonts w:eastAsia="Calibri"/>
          <w:sz w:val="28"/>
          <w:szCs w:val="28"/>
          <w:lang w:eastAsia="en-US"/>
        </w:rPr>
        <w:lastRenderedPageBreak/>
        <w:t xml:space="preserve">(табл. Б.1.29). У РР осіб дорослого віку у </w:t>
      </w:r>
      <w:r w:rsidRPr="00520861">
        <w:rPr>
          <w:rFonts w:eastAsia="Calibri"/>
          <w:spacing w:val="-4"/>
          <w:sz w:val="28"/>
          <w:szCs w:val="28"/>
          <w:lang w:eastAsia="en-US"/>
        </w:rPr>
        <w:t>підгрупі</w:t>
      </w:r>
      <w:r w:rsidRPr="00520861">
        <w:rPr>
          <w:rFonts w:eastAsia="Calibri"/>
          <w:sz w:val="28"/>
          <w:szCs w:val="28"/>
          <w:lang w:eastAsia="en-US"/>
        </w:rPr>
        <w:t xml:space="preserve"> 3 і </w:t>
      </w:r>
      <w:r w:rsidRPr="00520861">
        <w:rPr>
          <w:rFonts w:eastAsia="Calibri"/>
          <w:spacing w:val="-4"/>
          <w:sz w:val="28"/>
          <w:szCs w:val="28"/>
          <w:lang w:eastAsia="en-US"/>
        </w:rPr>
        <w:t>підгрупі</w:t>
      </w:r>
      <w:r w:rsidRPr="00520861">
        <w:rPr>
          <w:rFonts w:eastAsia="Calibri"/>
          <w:sz w:val="28"/>
          <w:szCs w:val="28"/>
          <w:lang w:eastAsia="en-US"/>
        </w:rPr>
        <w:t xml:space="preserve"> 4, навпаки, виявлена тенденція до підвищення рівня ІЛ-10 (табл. Б.1.29).</w:t>
      </w:r>
    </w:p>
    <w:p w14:paraId="2D99A9A9"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У РР в осіб підгрупи 1 і підгрупи 2 всіх ВП, крім першого, спостерігалося суттєве підвищення рівня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(рис. 7.12)</w:t>
      </w:r>
      <w:r w:rsidRPr="00520861">
        <w:rPr>
          <w:rFonts w:eastAsia="Calibri"/>
          <w:b/>
          <w:sz w:val="28"/>
          <w:szCs w:val="28"/>
          <w:lang w:eastAsia="en-US"/>
        </w:rPr>
        <w:t xml:space="preserve"> </w:t>
      </w:r>
      <w:r w:rsidRPr="00520861">
        <w:rPr>
          <w:rFonts w:eastAsia="Calibri"/>
          <w:sz w:val="28"/>
          <w:szCs w:val="28"/>
          <w:lang w:eastAsia="en-US"/>
        </w:rPr>
        <w:t xml:space="preserve">[33]. Вірогідне зростання даного показника зафіксовано у них, починаючи з віку 12 років, у той час, як у молодшому ВП </w:t>
      </w:r>
      <w:r w:rsidRPr="00520861">
        <w:rPr>
          <w:rFonts w:eastAsia="Calibri"/>
          <w:sz w:val="28"/>
          <w:szCs w:val="28"/>
          <w:lang w:eastAsia="en-US"/>
        </w:rPr>
        <w:br/>
        <w:t xml:space="preserve">(7 – 11 років) зафіксована лише тенденція (табл. Б.1.30). </w:t>
      </w:r>
    </w:p>
    <w:p w14:paraId="7B0E8904"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Те, що у РР осіб віком 12 – 17 років рівень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є вірогідно більш високим, порівняно із особами ГП, свідчить про напруженість імунітету та повинно розглядатися як стан «</w:t>
      </w:r>
      <w:proofErr w:type="spellStart"/>
      <w:r w:rsidRPr="00520861">
        <w:rPr>
          <w:rFonts w:eastAsia="Calibri"/>
          <w:sz w:val="28"/>
          <w:szCs w:val="28"/>
          <w:lang w:eastAsia="en-US"/>
        </w:rPr>
        <w:t>передпародонтит</w:t>
      </w:r>
      <w:proofErr w:type="spellEnd"/>
      <w:r w:rsidRPr="00520861">
        <w:rPr>
          <w:rFonts w:eastAsia="Calibri"/>
          <w:sz w:val="28"/>
          <w:szCs w:val="28"/>
          <w:lang w:eastAsia="en-US"/>
        </w:rPr>
        <w:t xml:space="preserve">». </w:t>
      </w:r>
    </w:p>
    <w:p w14:paraId="77AB495F" w14:textId="77777777" w:rsidR="00180D3E" w:rsidRPr="00520861" w:rsidRDefault="006A4031" w:rsidP="00292D2E">
      <w:pPr>
        <w:widowControl w:val="0"/>
        <w:spacing w:line="360" w:lineRule="auto"/>
        <w:ind w:right="-1" w:firstLine="709"/>
        <w:contextualSpacing/>
        <w:jc w:val="center"/>
        <w:rPr>
          <w:rFonts w:eastAsia="Calibri"/>
          <w:sz w:val="28"/>
          <w:szCs w:val="28"/>
          <w:lang w:eastAsia="en-US"/>
        </w:rPr>
      </w:pPr>
      <w:r w:rsidRPr="00520861">
        <w:rPr>
          <w:noProof/>
          <w:sz w:val="28"/>
          <w:szCs w:val="28"/>
          <w:lang w:val="ru-RU"/>
        </w:rPr>
        <w:drawing>
          <wp:inline distT="0" distB="0" distL="0" distR="0" wp14:anchorId="76D2ED4F" wp14:editId="14E6E171">
            <wp:extent cx="4824000" cy="2412000"/>
            <wp:effectExtent l="0" t="0" r="0" b="7620"/>
            <wp:docPr id="13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pic:cNvPicPr>
                      <a:picLocks noChangeAspect="1"/>
                    </pic:cNvPicPr>
                  </pic:nvPicPr>
                  <pic:blipFill>
                    <a:blip r:embed="rId125"/>
                    <a:stretch>
                      <a:fillRect/>
                    </a:stretch>
                  </pic:blipFill>
                  <pic:spPr>
                    <a:xfrm>
                      <a:off x="0" y="0"/>
                      <a:ext cx="4824000" cy="2412000"/>
                    </a:xfrm>
                    <a:prstGeom prst="rect">
                      <a:avLst/>
                    </a:prstGeom>
                  </pic:spPr>
                </pic:pic>
              </a:graphicData>
            </a:graphic>
          </wp:inline>
        </w:drawing>
      </w:r>
    </w:p>
    <w:p w14:paraId="012AC983"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r w:rsidRPr="00520861">
        <w:rPr>
          <w:rFonts w:eastAsia="Calibri"/>
          <w:sz w:val="28"/>
          <w:szCs w:val="28"/>
          <w:lang w:eastAsia="en-US"/>
        </w:rPr>
        <w:t xml:space="preserve">Рис. 7.11. Динаміка медіанних значень показників ІЛ-10 у ротовій рідині. </w:t>
      </w:r>
    </w:p>
    <w:p w14:paraId="61814DC7"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В осіб підгрупи 3 і підгрупи 4, навпаки, спостерігалася тенденція зниження рівня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IgM</w:t>
      </w:r>
      <w:proofErr w:type="spellEnd"/>
      <w:r w:rsidRPr="00520861">
        <w:rPr>
          <w:rFonts w:eastAsia="Calibri"/>
          <w:sz w:val="28"/>
          <w:szCs w:val="28"/>
          <w:lang w:eastAsia="en-US"/>
        </w:rPr>
        <w:t xml:space="preserve"> практично в усіх вікових періодах (рис. 7.12, 7.13).</w:t>
      </w:r>
    </w:p>
    <w:p w14:paraId="3891A50F" w14:textId="77777777" w:rsidR="00180D3E" w:rsidRPr="00520861" w:rsidRDefault="00180D3E" w:rsidP="00292D2E">
      <w:pPr>
        <w:widowControl w:val="0"/>
        <w:spacing w:line="360" w:lineRule="auto"/>
        <w:ind w:right="-1" w:firstLine="709"/>
        <w:contextualSpacing/>
        <w:jc w:val="both"/>
        <w:rPr>
          <w:rFonts w:eastAsia="Calibri"/>
          <w:spacing w:val="-6"/>
          <w:sz w:val="28"/>
          <w:szCs w:val="28"/>
          <w:lang w:eastAsia="en-US"/>
        </w:rPr>
      </w:pPr>
      <w:r w:rsidRPr="00520861">
        <w:rPr>
          <w:rFonts w:eastAsia="Calibri"/>
          <w:spacing w:val="-6"/>
          <w:sz w:val="28"/>
          <w:szCs w:val="28"/>
          <w:lang w:eastAsia="en-US"/>
        </w:rPr>
        <w:t xml:space="preserve">Підвищені рівні </w:t>
      </w:r>
      <w:proofErr w:type="spellStart"/>
      <w:r w:rsidRPr="00520861">
        <w:rPr>
          <w:rFonts w:eastAsia="Calibri"/>
          <w:spacing w:val="-6"/>
          <w:sz w:val="28"/>
          <w:szCs w:val="28"/>
          <w:lang w:eastAsia="en-US"/>
        </w:rPr>
        <w:t>IgG</w:t>
      </w:r>
      <w:proofErr w:type="spellEnd"/>
      <w:r w:rsidRPr="00520861">
        <w:rPr>
          <w:rFonts w:eastAsia="Calibri"/>
          <w:spacing w:val="-6"/>
          <w:sz w:val="28"/>
          <w:szCs w:val="28"/>
          <w:lang w:eastAsia="en-US"/>
        </w:rPr>
        <w:t xml:space="preserve"> в осіб підгрупи 1 і підгрупи 2 фіксувалися навіть у молодому віці (рис. 7.14) [33]. </w:t>
      </w:r>
    </w:p>
    <w:p w14:paraId="4676069E" w14:textId="77777777" w:rsidR="00180D3E" w:rsidRPr="00520861" w:rsidRDefault="00180D3E" w:rsidP="00292D2E">
      <w:pPr>
        <w:widowControl w:val="0"/>
        <w:pBdr>
          <w:top w:val="nil"/>
          <w:left w:val="nil"/>
          <w:bottom w:val="nil"/>
          <w:right w:val="nil"/>
          <w:between w:val="nil"/>
        </w:pBdr>
        <w:spacing w:line="360" w:lineRule="auto"/>
        <w:ind w:right="-1" w:firstLine="709"/>
        <w:contextualSpacing/>
        <w:jc w:val="both"/>
        <w:rPr>
          <w:rFonts w:eastAsia="Calibri"/>
          <w:sz w:val="28"/>
          <w:szCs w:val="28"/>
          <w:lang w:eastAsia="en-US"/>
        </w:rPr>
      </w:pPr>
      <w:r w:rsidRPr="00520861">
        <w:rPr>
          <w:rFonts w:eastAsia="Calibri"/>
          <w:sz w:val="28"/>
          <w:szCs w:val="28"/>
          <w:lang w:eastAsia="en-US"/>
        </w:rPr>
        <w:t>У дітей ОГ, порівняно з ГП, у віці 4 – 6,5 року спостерігалося вірогідно (</w:t>
      </w:r>
      <w:r w:rsidRPr="00520861">
        <w:rPr>
          <w:rFonts w:eastAsia="Calibri"/>
          <w:i/>
          <w:sz w:val="28"/>
          <w:szCs w:val="28"/>
          <w:lang w:eastAsia="en-US"/>
        </w:rPr>
        <w:t>p</w:t>
      </w:r>
      <w:r w:rsidRPr="00520861">
        <w:rPr>
          <w:rFonts w:eastAsia="Calibri"/>
          <w:sz w:val="28"/>
          <w:szCs w:val="28"/>
          <w:lang w:eastAsia="en-US"/>
        </w:rPr>
        <w:t xml:space="preserve">=0,001677) зменшене виділення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в РР [53]. Зокрема, в осіб підгруп 1 і 2 відповідного віку (табл. Б.1.31) рівні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були знижені вірогідно (p&lt;0,005) порівняно з ГП [33]. </w:t>
      </w:r>
    </w:p>
    <w:p w14:paraId="38E8B0E4" w14:textId="77777777" w:rsidR="00180D3E" w:rsidRPr="00520861" w:rsidRDefault="00180D3E" w:rsidP="00292D2E">
      <w:pPr>
        <w:widowControl w:val="0"/>
        <w:pBdr>
          <w:top w:val="nil"/>
          <w:left w:val="nil"/>
          <w:bottom w:val="nil"/>
          <w:right w:val="nil"/>
          <w:between w:val="nil"/>
        </w:pBdr>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У РР осіб цих підгруп із віком спостерігалося деяке зростання концентрації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Проте у більшості з них рівень був нижче фізіологічної норми. В осіб </w:t>
      </w:r>
      <w:r w:rsidRPr="00520861">
        <w:rPr>
          <w:rFonts w:eastAsia="Calibri"/>
          <w:sz w:val="28"/>
          <w:szCs w:val="28"/>
          <w:lang w:eastAsia="en-US"/>
        </w:rPr>
        <w:br/>
        <w:t xml:space="preserve">старшого ВП (45 – 55 років)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був вищим серед усіх вікових періодів в межах підгрупи 1 і в межах підгрупи 2 (рис. 7.15).</w:t>
      </w:r>
    </w:p>
    <w:p w14:paraId="51D6FE55"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lastRenderedPageBreak/>
        <w:t xml:space="preserve">Первинно (вік 4 – 6,5 року)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в осіб підгрупи 3 був вищим, ніж у </w:t>
      </w:r>
      <w:r w:rsidRPr="00520861">
        <w:rPr>
          <w:rFonts w:eastAsia="Calibri"/>
          <w:spacing w:val="-4"/>
          <w:sz w:val="28"/>
          <w:szCs w:val="28"/>
          <w:lang w:eastAsia="en-US"/>
        </w:rPr>
        <w:t>підгрупі</w:t>
      </w:r>
      <w:r w:rsidRPr="00520861">
        <w:rPr>
          <w:rFonts w:eastAsia="Calibri"/>
          <w:sz w:val="28"/>
          <w:szCs w:val="28"/>
          <w:lang w:eastAsia="en-US"/>
        </w:rPr>
        <w:t xml:space="preserve"> 1 і </w:t>
      </w:r>
      <w:r w:rsidRPr="00520861">
        <w:rPr>
          <w:rFonts w:eastAsia="Calibri"/>
          <w:spacing w:val="-4"/>
          <w:sz w:val="28"/>
          <w:szCs w:val="28"/>
          <w:lang w:eastAsia="en-US"/>
        </w:rPr>
        <w:t>підгрупі</w:t>
      </w:r>
      <w:r w:rsidRPr="00520861">
        <w:rPr>
          <w:rFonts w:eastAsia="Calibri"/>
          <w:sz w:val="28"/>
          <w:szCs w:val="28"/>
          <w:lang w:eastAsia="en-US"/>
        </w:rPr>
        <w:t xml:space="preserve"> 2,</w:t>
      </w:r>
      <w:r w:rsidRPr="00520861">
        <w:rPr>
          <w:rFonts w:eastAsia="Calibri"/>
          <w:b/>
          <w:sz w:val="28"/>
          <w:szCs w:val="28"/>
          <w:lang w:eastAsia="en-US"/>
        </w:rPr>
        <w:t xml:space="preserve"> </w:t>
      </w:r>
      <w:r w:rsidRPr="00520861">
        <w:rPr>
          <w:rFonts w:eastAsia="Calibri"/>
          <w:sz w:val="28"/>
          <w:szCs w:val="28"/>
          <w:lang w:eastAsia="en-US"/>
        </w:rPr>
        <w:t xml:space="preserve">проте знаходився у межах фізіологічної норми. Вірогідно (p&lt;0,02) вищим, ніж в ГП,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був в осіб підгрупи 3 у віці 7 – 17 років (табл. Б.1.31), що підтверджує активацію деградації колагену. Після 18 років ситуація знову змінювалася – спостерігалася нормалізація рівня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показники якого були зіставні з такими у ГП (рис. 7.15). У більшості осіб цієї підгрупи, порівняно з іншими підгрупами, у дорослому віці (до 55 років) активної деградації сполучної тканини також не відбувалося.</w:t>
      </w:r>
    </w:p>
    <w:p w14:paraId="3FE7E51C" w14:textId="77777777" w:rsidR="00180D3E" w:rsidRPr="00520861" w:rsidRDefault="00125D58" w:rsidP="00292D2E">
      <w:pPr>
        <w:widowControl w:val="0"/>
        <w:spacing w:line="360" w:lineRule="auto"/>
        <w:ind w:right="-1" w:firstLine="709"/>
        <w:contextualSpacing/>
        <w:jc w:val="center"/>
        <w:rPr>
          <w:rFonts w:eastAsia="Calibri"/>
          <w:sz w:val="28"/>
          <w:szCs w:val="28"/>
          <w:lang w:eastAsia="en-US"/>
        </w:rPr>
      </w:pPr>
      <w:r w:rsidRPr="00520861">
        <w:rPr>
          <w:noProof/>
          <w:sz w:val="28"/>
          <w:szCs w:val="28"/>
          <w:lang w:val="ru-RU"/>
        </w:rPr>
        <w:drawing>
          <wp:inline distT="0" distB="0" distL="0" distR="0" wp14:anchorId="78637BB2" wp14:editId="1B8D5F17">
            <wp:extent cx="4464000" cy="2412000"/>
            <wp:effectExtent l="0" t="0" r="0" b="7620"/>
            <wp:docPr id="139"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Рисунок 1"/>
                    <pic:cNvPicPr>
                      <a:picLocks/>
                    </pic:cNvPicPr>
                  </pic:nvPicPr>
                  <pic:blipFill>
                    <a:blip r:embed="rId126"/>
                    <a:stretch>
                      <a:fillRect/>
                    </a:stretch>
                  </pic:blipFill>
                  <pic:spPr>
                    <a:xfrm>
                      <a:off x="0" y="0"/>
                      <a:ext cx="4464000" cy="2412000"/>
                    </a:xfrm>
                    <a:prstGeom prst="rect">
                      <a:avLst/>
                    </a:prstGeom>
                  </pic:spPr>
                </pic:pic>
              </a:graphicData>
            </a:graphic>
          </wp:inline>
        </w:drawing>
      </w:r>
    </w:p>
    <w:p w14:paraId="3E4D4208" w14:textId="77777777" w:rsidR="00180D3E" w:rsidRPr="00520861" w:rsidRDefault="00180D3E" w:rsidP="00292D2E">
      <w:pPr>
        <w:widowControl w:val="0"/>
        <w:pBdr>
          <w:top w:val="nil"/>
          <w:left w:val="nil"/>
          <w:bottom w:val="nil"/>
          <w:right w:val="nil"/>
          <w:between w:val="nil"/>
        </w:pBdr>
        <w:spacing w:line="360" w:lineRule="auto"/>
        <w:ind w:firstLine="709"/>
        <w:jc w:val="both"/>
        <w:rPr>
          <w:rFonts w:eastAsia="Calibri"/>
          <w:color w:val="000000"/>
          <w:sz w:val="28"/>
          <w:szCs w:val="28"/>
        </w:rPr>
      </w:pPr>
      <w:r w:rsidRPr="00520861">
        <w:rPr>
          <w:rFonts w:eastAsia="Calibri"/>
          <w:sz w:val="28"/>
          <w:szCs w:val="28"/>
          <w:lang w:eastAsia="en-US"/>
        </w:rPr>
        <w:t xml:space="preserve">Рис. 7.12. </w:t>
      </w:r>
      <w:r w:rsidRPr="00520861">
        <w:rPr>
          <w:rFonts w:eastAsia="Calibri"/>
          <w:color w:val="000000"/>
          <w:sz w:val="28"/>
          <w:szCs w:val="28"/>
        </w:rPr>
        <w:t xml:space="preserve">Динаміка медіанних значень показників </w:t>
      </w:r>
      <w:proofErr w:type="spellStart"/>
      <w:r w:rsidRPr="00520861">
        <w:rPr>
          <w:rFonts w:eastAsia="Calibri"/>
          <w:color w:val="000000"/>
          <w:sz w:val="28"/>
          <w:szCs w:val="28"/>
        </w:rPr>
        <w:t>sIgA</w:t>
      </w:r>
      <w:proofErr w:type="spellEnd"/>
      <w:r w:rsidRPr="00520861">
        <w:rPr>
          <w:rFonts w:eastAsia="Calibri"/>
          <w:color w:val="000000"/>
          <w:sz w:val="28"/>
          <w:szCs w:val="28"/>
        </w:rPr>
        <w:t xml:space="preserve"> в ротовій рідині. </w:t>
      </w:r>
    </w:p>
    <w:p w14:paraId="34EB0519" w14:textId="77777777" w:rsidR="00180D3E" w:rsidRPr="00520861" w:rsidRDefault="00125D58" w:rsidP="00292D2E">
      <w:pPr>
        <w:widowControl w:val="0"/>
        <w:spacing w:line="360" w:lineRule="auto"/>
        <w:ind w:right="-1" w:firstLine="709"/>
        <w:contextualSpacing/>
        <w:jc w:val="center"/>
        <w:rPr>
          <w:rFonts w:eastAsia="Calibri"/>
          <w:sz w:val="28"/>
          <w:szCs w:val="28"/>
          <w:lang w:eastAsia="en-US"/>
        </w:rPr>
      </w:pPr>
      <w:r w:rsidRPr="00520861">
        <w:rPr>
          <w:noProof/>
          <w:sz w:val="28"/>
          <w:szCs w:val="28"/>
          <w:lang w:val="ru-RU"/>
        </w:rPr>
        <w:drawing>
          <wp:inline distT="0" distB="0" distL="0" distR="0" wp14:anchorId="1985BFE9" wp14:editId="3B201D38">
            <wp:extent cx="4464000" cy="2412000"/>
            <wp:effectExtent l="0" t="0" r="0" b="7620"/>
            <wp:docPr id="140"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Рисунок 6"/>
                    <pic:cNvPicPr>
                      <a:picLocks/>
                    </pic:cNvPicPr>
                  </pic:nvPicPr>
                  <pic:blipFill>
                    <a:blip r:embed="rId127"/>
                    <a:stretch>
                      <a:fillRect/>
                    </a:stretch>
                  </pic:blipFill>
                  <pic:spPr>
                    <a:xfrm>
                      <a:off x="0" y="0"/>
                      <a:ext cx="4464000" cy="2412000"/>
                    </a:xfrm>
                    <a:prstGeom prst="rect">
                      <a:avLst/>
                    </a:prstGeom>
                  </pic:spPr>
                </pic:pic>
              </a:graphicData>
            </a:graphic>
          </wp:inline>
        </w:drawing>
      </w:r>
    </w:p>
    <w:p w14:paraId="372F61E8"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r w:rsidRPr="00520861">
        <w:rPr>
          <w:rFonts w:eastAsia="Calibri"/>
          <w:sz w:val="28"/>
          <w:szCs w:val="28"/>
          <w:lang w:eastAsia="en-US"/>
        </w:rPr>
        <w:t xml:space="preserve">Рис. 7.13. Динаміка медіанних значень показників </w:t>
      </w:r>
      <w:proofErr w:type="spellStart"/>
      <w:r w:rsidRPr="00520861">
        <w:rPr>
          <w:rFonts w:eastAsia="Calibri"/>
          <w:sz w:val="28"/>
          <w:szCs w:val="28"/>
          <w:lang w:eastAsia="en-US"/>
        </w:rPr>
        <w:t>Ig</w:t>
      </w:r>
      <w:proofErr w:type="spellEnd"/>
      <w:r w:rsidRPr="00520861">
        <w:rPr>
          <w:rFonts w:eastAsia="Calibri"/>
          <w:sz w:val="28"/>
          <w:szCs w:val="28"/>
          <w:lang w:eastAsia="en-US"/>
        </w:rPr>
        <w:t xml:space="preserve"> M у ротовій рідині. </w:t>
      </w:r>
    </w:p>
    <w:p w14:paraId="2FCBC23F"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p>
    <w:p w14:paraId="36E7B0DF" w14:textId="77777777" w:rsidR="00180D3E" w:rsidRPr="00520861" w:rsidRDefault="00125D58" w:rsidP="00292D2E">
      <w:pPr>
        <w:widowControl w:val="0"/>
        <w:spacing w:line="360" w:lineRule="auto"/>
        <w:ind w:right="-1" w:firstLine="709"/>
        <w:contextualSpacing/>
        <w:jc w:val="center"/>
        <w:rPr>
          <w:rFonts w:eastAsia="Calibri"/>
          <w:sz w:val="28"/>
          <w:szCs w:val="28"/>
          <w:lang w:eastAsia="en-US"/>
        </w:rPr>
      </w:pPr>
      <w:r w:rsidRPr="00520861">
        <w:rPr>
          <w:noProof/>
          <w:sz w:val="28"/>
          <w:szCs w:val="28"/>
          <w:lang w:val="ru-RU"/>
        </w:rPr>
        <w:lastRenderedPageBreak/>
        <w:drawing>
          <wp:inline distT="0" distB="0" distL="0" distR="0" wp14:anchorId="5A0DC36F" wp14:editId="5D0F6E36">
            <wp:extent cx="4464000" cy="2412000"/>
            <wp:effectExtent l="0" t="0" r="0" b="7620"/>
            <wp:docPr id="141"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Рисунок 7"/>
                    <pic:cNvPicPr>
                      <a:picLocks/>
                    </pic:cNvPicPr>
                  </pic:nvPicPr>
                  <pic:blipFill>
                    <a:blip r:embed="rId128"/>
                    <a:stretch>
                      <a:fillRect/>
                    </a:stretch>
                  </pic:blipFill>
                  <pic:spPr>
                    <a:xfrm>
                      <a:off x="0" y="0"/>
                      <a:ext cx="4464000" cy="2412000"/>
                    </a:xfrm>
                    <a:prstGeom prst="rect">
                      <a:avLst/>
                    </a:prstGeom>
                  </pic:spPr>
                </pic:pic>
              </a:graphicData>
            </a:graphic>
          </wp:inline>
        </w:drawing>
      </w:r>
    </w:p>
    <w:p w14:paraId="71792783"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r w:rsidRPr="00520861">
        <w:rPr>
          <w:rFonts w:eastAsia="Calibri"/>
          <w:sz w:val="28"/>
          <w:szCs w:val="28"/>
          <w:lang w:eastAsia="en-US"/>
        </w:rPr>
        <w:t xml:space="preserve">Рис. 7.14. Динаміка медіанних значень показників </w:t>
      </w:r>
      <w:proofErr w:type="spellStart"/>
      <w:r w:rsidRPr="00520861">
        <w:rPr>
          <w:rFonts w:eastAsia="Calibri"/>
          <w:sz w:val="28"/>
          <w:szCs w:val="28"/>
          <w:lang w:eastAsia="en-US"/>
        </w:rPr>
        <w:t>IgG</w:t>
      </w:r>
      <w:proofErr w:type="spellEnd"/>
      <w:r w:rsidRPr="00520861">
        <w:rPr>
          <w:rFonts w:eastAsia="Calibri"/>
          <w:sz w:val="28"/>
          <w:szCs w:val="28"/>
          <w:lang w:eastAsia="en-US"/>
        </w:rPr>
        <w:t xml:space="preserve"> у ротовій рідині. </w:t>
      </w:r>
    </w:p>
    <w:p w14:paraId="4FEDB7E3"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p>
    <w:p w14:paraId="6DB45D7F" w14:textId="77777777" w:rsidR="00180D3E" w:rsidRPr="00520861" w:rsidRDefault="00125D58" w:rsidP="00292D2E">
      <w:pPr>
        <w:widowControl w:val="0"/>
        <w:spacing w:line="360" w:lineRule="auto"/>
        <w:ind w:right="-1" w:firstLine="709"/>
        <w:contextualSpacing/>
        <w:jc w:val="center"/>
        <w:rPr>
          <w:rFonts w:eastAsia="Calibri"/>
          <w:sz w:val="28"/>
          <w:szCs w:val="28"/>
          <w:lang w:eastAsia="en-US"/>
        </w:rPr>
      </w:pPr>
      <w:r w:rsidRPr="00520861">
        <w:rPr>
          <w:noProof/>
          <w:sz w:val="28"/>
          <w:szCs w:val="28"/>
          <w:lang w:val="ru-RU"/>
        </w:rPr>
        <w:drawing>
          <wp:inline distT="0" distB="0" distL="0" distR="0" wp14:anchorId="3403F53E" wp14:editId="16E42D62">
            <wp:extent cx="4464000" cy="2376000"/>
            <wp:effectExtent l="0" t="0" r="0" b="5715"/>
            <wp:docPr id="142"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Рисунок 8"/>
                    <pic:cNvPicPr>
                      <a:picLocks/>
                    </pic:cNvPicPr>
                  </pic:nvPicPr>
                  <pic:blipFill>
                    <a:blip r:embed="rId129"/>
                    <a:stretch>
                      <a:fillRect/>
                    </a:stretch>
                  </pic:blipFill>
                  <pic:spPr>
                    <a:xfrm>
                      <a:off x="0" y="0"/>
                      <a:ext cx="4464000" cy="2376000"/>
                    </a:xfrm>
                    <a:prstGeom prst="rect">
                      <a:avLst/>
                    </a:prstGeom>
                  </pic:spPr>
                </pic:pic>
              </a:graphicData>
            </a:graphic>
          </wp:inline>
        </w:drawing>
      </w:r>
    </w:p>
    <w:p w14:paraId="3B73CFC4"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r w:rsidRPr="00520861">
        <w:rPr>
          <w:rFonts w:eastAsia="Calibri"/>
          <w:sz w:val="28"/>
          <w:szCs w:val="28"/>
          <w:lang w:eastAsia="en-US"/>
        </w:rPr>
        <w:t xml:space="preserve">Рис. 7.15. Динаміка медіанних значень показників </w:t>
      </w:r>
      <w:proofErr w:type="spellStart"/>
      <w:r w:rsidRPr="00520861">
        <w:rPr>
          <w:rFonts w:eastAsia="Calibri"/>
          <w:sz w:val="28"/>
          <w:szCs w:val="28"/>
          <w:lang w:eastAsia="en-US"/>
        </w:rPr>
        <w:t>оксипроліну</w:t>
      </w:r>
      <w:proofErr w:type="spellEnd"/>
    </w:p>
    <w:p w14:paraId="64F66B24" w14:textId="77777777" w:rsidR="00180D3E" w:rsidRPr="00520861" w:rsidRDefault="00180D3E" w:rsidP="00292D2E">
      <w:pPr>
        <w:widowControl w:val="0"/>
        <w:spacing w:line="360" w:lineRule="auto"/>
        <w:ind w:right="-1" w:firstLine="709"/>
        <w:contextualSpacing/>
        <w:jc w:val="center"/>
        <w:rPr>
          <w:rFonts w:eastAsia="Calibri"/>
          <w:sz w:val="28"/>
          <w:szCs w:val="28"/>
          <w:lang w:eastAsia="en-US"/>
        </w:rPr>
      </w:pPr>
      <w:r w:rsidRPr="00520861">
        <w:rPr>
          <w:rFonts w:eastAsia="Calibri"/>
          <w:sz w:val="28"/>
          <w:szCs w:val="28"/>
          <w:lang w:eastAsia="en-US"/>
        </w:rPr>
        <w:t xml:space="preserve"> в ротовій рідині. </w:t>
      </w:r>
    </w:p>
    <w:p w14:paraId="5C793538" w14:textId="77777777" w:rsidR="00180D3E" w:rsidRPr="00520861" w:rsidRDefault="00180D3E" w:rsidP="00292D2E">
      <w:pPr>
        <w:widowControl w:val="0"/>
        <w:spacing w:line="360" w:lineRule="auto"/>
        <w:ind w:right="-1" w:firstLine="709"/>
        <w:contextualSpacing/>
        <w:jc w:val="both"/>
        <w:rPr>
          <w:rFonts w:eastAsia="Calibri"/>
          <w:sz w:val="28"/>
          <w:szCs w:val="28"/>
          <w:lang w:eastAsia="en-US"/>
        </w:rPr>
      </w:pPr>
      <w:r w:rsidRPr="00520861">
        <w:rPr>
          <w:rFonts w:eastAsia="Calibri"/>
          <w:sz w:val="28"/>
          <w:szCs w:val="28"/>
          <w:lang w:eastAsia="en-US"/>
        </w:rPr>
        <w:t xml:space="preserve">У віці 4 – 6 років у дітей із підгрупи 4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хоч і залишався на рівні фізіологічної норми, проте був найвищим серед всіх підгруп (табл. 7.9). Із віком, починаючи з 6 років,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постійно зростав, досягаючи високих значень після 18 років і збільшуючись протягом всього періоду оцінювання </w:t>
      </w:r>
      <w:r w:rsidRPr="00520861">
        <w:rPr>
          <w:rFonts w:eastAsia="Calibri"/>
          <w:sz w:val="28"/>
          <w:szCs w:val="28"/>
          <w:lang w:eastAsia="en-US"/>
        </w:rPr>
        <w:br/>
        <w:t xml:space="preserve">(максимальні значення – у пацієнтів 45 – 55 років) (рис. 7.15). </w:t>
      </w:r>
    </w:p>
    <w:p w14:paraId="30FB89D3" w14:textId="77777777" w:rsidR="00180D3E" w:rsidRPr="00520861" w:rsidRDefault="00180D3E"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eastAsia="Calibri"/>
          <w:sz w:val="28"/>
          <w:szCs w:val="28"/>
          <w:lang w:eastAsia="en-US"/>
        </w:rPr>
      </w:pPr>
      <w:r w:rsidRPr="00520861">
        <w:rPr>
          <w:rFonts w:eastAsia="Calibri"/>
          <w:sz w:val="28"/>
          <w:szCs w:val="28"/>
          <w:lang w:eastAsia="en-US"/>
        </w:rPr>
        <w:t xml:space="preserve">Підсумовуючи вищенаведене, слід зазначити, що в осіб, які народилися великими до </w:t>
      </w:r>
      <w:proofErr w:type="spellStart"/>
      <w:r w:rsidRPr="00520861">
        <w:rPr>
          <w:rFonts w:eastAsia="Calibri"/>
          <w:sz w:val="28"/>
          <w:szCs w:val="28"/>
          <w:lang w:eastAsia="en-US"/>
        </w:rPr>
        <w:t>гестаційного</w:t>
      </w:r>
      <w:proofErr w:type="spellEnd"/>
      <w:r w:rsidRPr="00520861">
        <w:rPr>
          <w:rFonts w:eastAsia="Calibri"/>
          <w:sz w:val="28"/>
          <w:szCs w:val="28"/>
          <w:lang w:eastAsia="en-US"/>
        </w:rPr>
        <w:t xml:space="preserve"> віку, крім загальноприйнятих критеріїв оцінювання та прогнозування стану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можуть використовуватися біохімічні показники РР, зміни динаміки яких попереджають про початок захворювання на тому етапі, коли клінічні прояви </w:t>
      </w:r>
      <w:proofErr w:type="spellStart"/>
      <w:r w:rsidRPr="00520861">
        <w:rPr>
          <w:rFonts w:eastAsia="Calibri"/>
          <w:sz w:val="28"/>
          <w:szCs w:val="28"/>
          <w:lang w:eastAsia="en-US"/>
        </w:rPr>
        <w:t>хвороб</w:t>
      </w:r>
      <w:proofErr w:type="spellEnd"/>
      <w:r w:rsidRPr="00520861">
        <w:rPr>
          <w:rFonts w:eastAsia="Calibri"/>
          <w:sz w:val="28"/>
          <w:szCs w:val="28"/>
          <w:lang w:eastAsia="en-US"/>
        </w:rPr>
        <w:t xml:space="preserve">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ще не спостерігаються. </w:t>
      </w:r>
    </w:p>
    <w:p w14:paraId="3CE32D62" w14:textId="77777777" w:rsidR="00180D3E" w:rsidRPr="00520861" w:rsidRDefault="00180D3E" w:rsidP="00292D2E">
      <w:pPr>
        <w:widowControl w:val="0"/>
        <w:spacing w:line="360" w:lineRule="auto"/>
        <w:ind w:firstLine="709"/>
        <w:contextualSpacing/>
        <w:jc w:val="both"/>
        <w:rPr>
          <w:rFonts w:eastAsia="Calibri"/>
          <w:b/>
          <w:sz w:val="28"/>
          <w:szCs w:val="28"/>
          <w:lang w:eastAsia="en-US"/>
        </w:rPr>
      </w:pPr>
    </w:p>
    <w:p w14:paraId="7250D83F" w14:textId="77777777" w:rsidR="00180D3E" w:rsidRPr="00520861" w:rsidRDefault="00180D3E" w:rsidP="00292D2E">
      <w:pPr>
        <w:widowControl w:val="0"/>
        <w:spacing w:line="360" w:lineRule="auto"/>
        <w:ind w:firstLine="709"/>
        <w:contextualSpacing/>
        <w:jc w:val="both"/>
        <w:rPr>
          <w:rFonts w:eastAsia="Calibri"/>
          <w:b/>
          <w:sz w:val="28"/>
          <w:szCs w:val="28"/>
          <w:lang w:eastAsia="en-US"/>
        </w:rPr>
      </w:pPr>
      <w:r w:rsidRPr="00520861">
        <w:rPr>
          <w:rFonts w:eastAsia="Calibri"/>
          <w:b/>
          <w:sz w:val="28"/>
          <w:szCs w:val="28"/>
          <w:lang w:eastAsia="en-US"/>
        </w:rPr>
        <w:t xml:space="preserve">7.5. </w:t>
      </w:r>
      <w:r w:rsidRPr="00520861">
        <w:rPr>
          <w:b/>
          <w:sz w:val="28"/>
          <w:szCs w:val="28"/>
        </w:rPr>
        <w:t xml:space="preserve">Результати виявлення асоціації між поліморфізмом генів </w:t>
      </w:r>
      <w:r w:rsidRPr="00520861">
        <w:rPr>
          <w:b/>
          <w:i/>
          <w:sz w:val="28"/>
          <w:szCs w:val="28"/>
        </w:rPr>
        <w:t xml:space="preserve">CYP19A1 </w:t>
      </w:r>
      <w:r w:rsidRPr="00520861">
        <w:rPr>
          <w:b/>
          <w:sz w:val="28"/>
          <w:szCs w:val="28"/>
        </w:rPr>
        <w:t>[rs2414096</w:t>
      </w:r>
      <w:r w:rsidRPr="00520861">
        <w:rPr>
          <w:b/>
          <w:i/>
          <w:sz w:val="28"/>
          <w:szCs w:val="28"/>
        </w:rPr>
        <w:t xml:space="preserve">, </w:t>
      </w:r>
      <w:r w:rsidRPr="00520861">
        <w:rPr>
          <w:b/>
          <w:sz w:val="28"/>
          <w:szCs w:val="28"/>
        </w:rPr>
        <w:t xml:space="preserve">rs936306], </w:t>
      </w:r>
      <w:r w:rsidRPr="00520861">
        <w:rPr>
          <w:b/>
          <w:i/>
          <w:sz w:val="28"/>
          <w:szCs w:val="28"/>
        </w:rPr>
        <w:t xml:space="preserve">ESR1 </w:t>
      </w:r>
      <w:r w:rsidRPr="00520861">
        <w:rPr>
          <w:b/>
          <w:sz w:val="28"/>
          <w:szCs w:val="28"/>
        </w:rPr>
        <w:t>[rs2234693</w:t>
      </w:r>
      <w:r w:rsidRPr="00520861">
        <w:rPr>
          <w:b/>
          <w:i/>
          <w:sz w:val="28"/>
          <w:szCs w:val="28"/>
        </w:rPr>
        <w:t xml:space="preserve">, </w:t>
      </w:r>
      <w:r w:rsidRPr="00520861">
        <w:rPr>
          <w:b/>
          <w:sz w:val="28"/>
          <w:szCs w:val="28"/>
        </w:rPr>
        <w:t xml:space="preserve">rs9340799], </w:t>
      </w:r>
      <w:r w:rsidRPr="00520861">
        <w:rPr>
          <w:b/>
          <w:i/>
          <w:sz w:val="28"/>
          <w:szCs w:val="28"/>
        </w:rPr>
        <w:t>RANKL</w:t>
      </w:r>
      <w:r w:rsidRPr="00520861">
        <w:rPr>
          <w:b/>
          <w:sz w:val="28"/>
          <w:szCs w:val="28"/>
        </w:rPr>
        <w:t xml:space="preserve"> [rs9594738, rs9594759]</w:t>
      </w:r>
      <w:r w:rsidRPr="00520861">
        <w:rPr>
          <w:b/>
          <w:i/>
          <w:sz w:val="28"/>
          <w:szCs w:val="28"/>
        </w:rPr>
        <w:t xml:space="preserve">, IL6 </w:t>
      </w:r>
      <w:r w:rsidRPr="00520861">
        <w:rPr>
          <w:b/>
          <w:bCs/>
          <w:sz w:val="28"/>
          <w:szCs w:val="28"/>
        </w:rPr>
        <w:t>[</w:t>
      </w:r>
      <w:r w:rsidRPr="00520861">
        <w:rPr>
          <w:b/>
          <w:sz w:val="28"/>
          <w:szCs w:val="28"/>
        </w:rPr>
        <w:t>rs1800796]</w:t>
      </w:r>
      <w:r w:rsidRPr="00520861">
        <w:rPr>
          <w:b/>
          <w:i/>
          <w:sz w:val="28"/>
          <w:szCs w:val="28"/>
        </w:rPr>
        <w:t>, IL1</w:t>
      </w:r>
      <w:r w:rsidRPr="00520861">
        <w:rPr>
          <w:b/>
          <w:i/>
          <w:sz w:val="28"/>
          <w:szCs w:val="28"/>
        </w:rPr>
        <w:sym w:font="Symbol" w:char="F062"/>
      </w:r>
      <w:r w:rsidRPr="00520861">
        <w:rPr>
          <w:b/>
          <w:i/>
          <w:sz w:val="28"/>
          <w:szCs w:val="28"/>
        </w:rPr>
        <w:t xml:space="preserve"> </w:t>
      </w:r>
      <w:r w:rsidRPr="00520861">
        <w:rPr>
          <w:b/>
          <w:sz w:val="28"/>
          <w:szCs w:val="28"/>
        </w:rPr>
        <w:t xml:space="preserve">[rs1143627], </w:t>
      </w:r>
      <w:r w:rsidRPr="00520861">
        <w:rPr>
          <w:b/>
          <w:i/>
          <w:sz w:val="28"/>
          <w:szCs w:val="28"/>
        </w:rPr>
        <w:t xml:space="preserve">IL10 </w:t>
      </w:r>
      <w:r w:rsidRPr="00520861">
        <w:rPr>
          <w:b/>
          <w:sz w:val="28"/>
          <w:szCs w:val="28"/>
        </w:rPr>
        <w:t xml:space="preserve">[rs1800896] і </w:t>
      </w:r>
      <w:r w:rsidRPr="00520861">
        <w:rPr>
          <w:b/>
          <w:i/>
          <w:sz w:val="28"/>
          <w:szCs w:val="28"/>
        </w:rPr>
        <w:t>VDR</w:t>
      </w:r>
      <w:r w:rsidRPr="00520861">
        <w:rPr>
          <w:b/>
          <w:sz w:val="28"/>
          <w:szCs w:val="28"/>
        </w:rPr>
        <w:t xml:space="preserve"> [rs1544410, rs10735810] та ризиком розвитку різних варіантів перебігу </w:t>
      </w:r>
      <w:proofErr w:type="spellStart"/>
      <w:r w:rsidRPr="00520861">
        <w:rPr>
          <w:b/>
          <w:sz w:val="28"/>
          <w:szCs w:val="28"/>
        </w:rPr>
        <w:t>хвороб</w:t>
      </w:r>
      <w:proofErr w:type="spellEnd"/>
      <w:r w:rsidRPr="00520861">
        <w:rPr>
          <w:b/>
          <w:sz w:val="28"/>
          <w:szCs w:val="28"/>
        </w:rPr>
        <w:t xml:space="preserve"> тканин </w:t>
      </w:r>
      <w:proofErr w:type="spellStart"/>
      <w:r w:rsidRPr="00520861">
        <w:rPr>
          <w:b/>
          <w:sz w:val="28"/>
          <w:szCs w:val="28"/>
        </w:rPr>
        <w:t>пародонта</w:t>
      </w:r>
      <w:proofErr w:type="spellEnd"/>
      <w:r w:rsidRPr="00520861">
        <w:rPr>
          <w:b/>
          <w:sz w:val="28"/>
          <w:szCs w:val="28"/>
        </w:rPr>
        <w:t xml:space="preserve"> в осіб, які народилися </w:t>
      </w:r>
      <w:proofErr w:type="spellStart"/>
      <w:r w:rsidRPr="00520861">
        <w:rPr>
          <w:b/>
          <w:sz w:val="28"/>
          <w:szCs w:val="28"/>
        </w:rPr>
        <w:t>макросомами</w:t>
      </w:r>
      <w:proofErr w:type="spellEnd"/>
      <w:r w:rsidRPr="00520861">
        <w:rPr>
          <w:rFonts w:eastAsia="Calibri"/>
          <w:b/>
          <w:sz w:val="28"/>
          <w:szCs w:val="28"/>
          <w:lang w:eastAsia="en-US"/>
        </w:rPr>
        <w:t xml:space="preserve"> </w:t>
      </w:r>
    </w:p>
    <w:p w14:paraId="2284EC50" w14:textId="77777777" w:rsidR="00180D3E" w:rsidRPr="00520861" w:rsidRDefault="00180D3E" w:rsidP="00292D2E">
      <w:pPr>
        <w:widowControl w:val="0"/>
        <w:spacing w:line="360" w:lineRule="auto"/>
        <w:ind w:left="709" w:hanging="1"/>
        <w:contextualSpacing/>
        <w:rPr>
          <w:rFonts w:eastAsia="Calibri"/>
          <w:b/>
          <w:sz w:val="28"/>
          <w:szCs w:val="28"/>
          <w:lang w:eastAsia="en-US"/>
        </w:rPr>
      </w:pPr>
    </w:p>
    <w:p w14:paraId="606A839D"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Були розраховані частоти розподілу генотипів обраних генів (табл. Б.1.32) для різних груп (ЗГЗП, ЗГДП та ГП) учасників дослідження. Перед обробкою даних та аналізом результатів порівнянь</w:t>
      </w:r>
      <w:r w:rsidRPr="00520861">
        <w:rPr>
          <w:rFonts w:eastAsia="Calibri"/>
          <w:bCs/>
          <w:sz w:val="28"/>
          <w:szCs w:val="28"/>
          <w:lang w:eastAsia="en-US"/>
        </w:rPr>
        <w:t xml:space="preserve"> між вказаними групами осіб була </w:t>
      </w:r>
      <w:r w:rsidRPr="00520861">
        <w:rPr>
          <w:rFonts w:eastAsia="Calibri"/>
          <w:sz w:val="28"/>
          <w:szCs w:val="28"/>
          <w:lang w:eastAsia="en-US"/>
        </w:rPr>
        <w:t>перевірена відповідність розподілу генотипів кожного з досліджуваних генів</w:t>
      </w:r>
      <w:r w:rsidRPr="00520861">
        <w:rPr>
          <w:rFonts w:eastAsia="Calibri"/>
          <w:bCs/>
          <w:sz w:val="28"/>
          <w:szCs w:val="28"/>
          <w:lang w:eastAsia="en-US"/>
        </w:rPr>
        <w:t xml:space="preserve"> закону </w:t>
      </w:r>
      <w:proofErr w:type="spellStart"/>
      <w:r w:rsidRPr="00520861">
        <w:rPr>
          <w:rFonts w:eastAsia="Calibri"/>
          <w:bCs/>
          <w:sz w:val="28"/>
          <w:szCs w:val="28"/>
          <w:lang w:eastAsia="en-US"/>
        </w:rPr>
        <w:t>Харді-Вайнберга</w:t>
      </w:r>
      <w:proofErr w:type="spellEnd"/>
      <w:r w:rsidRPr="00520861">
        <w:rPr>
          <w:rFonts w:eastAsia="Calibri"/>
          <w:bCs/>
          <w:sz w:val="28"/>
          <w:szCs w:val="28"/>
          <w:lang w:eastAsia="en-US"/>
        </w:rPr>
        <w:t xml:space="preserve"> </w:t>
      </w:r>
      <w:r w:rsidRPr="00520861">
        <w:rPr>
          <w:rFonts w:eastAsia="Calibri"/>
          <w:sz w:val="28"/>
          <w:szCs w:val="28"/>
          <w:lang w:eastAsia="en-US"/>
        </w:rPr>
        <w:t>для об’єднаної групи учасників</w:t>
      </w:r>
      <w:r w:rsidRPr="00520861">
        <w:rPr>
          <w:rFonts w:eastAsia="Calibri"/>
          <w:bCs/>
          <w:sz w:val="28"/>
          <w:szCs w:val="28"/>
          <w:lang w:eastAsia="en-US"/>
        </w:rPr>
        <w:t xml:space="preserve">. </w:t>
      </w:r>
    </w:p>
    <w:p w14:paraId="714813F8"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Спостерігалися значущі відмінності частот розподілу поліморфних варіантів за генами </w:t>
      </w:r>
      <w:r w:rsidRPr="00520861">
        <w:rPr>
          <w:rFonts w:eastAsia="Calibri"/>
          <w:i/>
          <w:sz w:val="28"/>
          <w:szCs w:val="28"/>
          <w:lang w:eastAsia="en-US"/>
        </w:rPr>
        <w:t>ESR1: -397 T&gt;C [</w:t>
      </w:r>
      <w:proofErr w:type="spellStart"/>
      <w:r w:rsidRPr="00520861">
        <w:rPr>
          <w:rFonts w:eastAsia="Calibri"/>
          <w:i/>
          <w:sz w:val="28"/>
          <w:szCs w:val="28"/>
          <w:lang w:eastAsia="en-US"/>
        </w:rPr>
        <w:t>PvuII</w:t>
      </w:r>
      <w:proofErr w:type="spellEnd"/>
      <w:r w:rsidRPr="00520861">
        <w:rPr>
          <w:rFonts w:eastAsia="Calibri"/>
          <w:i/>
          <w:sz w:val="28"/>
          <w:szCs w:val="28"/>
          <w:lang w:eastAsia="en-US"/>
        </w:rPr>
        <w:t>]</w:t>
      </w:r>
      <w:r w:rsidRPr="00520861">
        <w:rPr>
          <w:rFonts w:eastAsia="Calibri"/>
          <w:sz w:val="28"/>
          <w:szCs w:val="28"/>
          <w:lang w:eastAsia="en-US"/>
        </w:rPr>
        <w:t xml:space="preserve"> і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b/>
          <w:sz w:val="28"/>
          <w:szCs w:val="28"/>
          <w:lang w:eastAsia="en-US"/>
        </w:rPr>
        <w:t xml:space="preserve"> </w:t>
      </w:r>
      <w:r w:rsidRPr="00520861">
        <w:rPr>
          <w:rFonts w:eastAsia="Calibri"/>
          <w:sz w:val="28"/>
          <w:szCs w:val="28"/>
          <w:lang w:eastAsia="en-US"/>
        </w:rPr>
        <w:t xml:space="preserve"> між особами ОГ ПЗП та ГП (табл. 7.7). </w:t>
      </w:r>
    </w:p>
    <w:p w14:paraId="75330D8C"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Виявилося, що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при виникненні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шанс формування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за наявності генотипу СС в гені </w:t>
      </w:r>
      <w:r w:rsidRPr="00520861">
        <w:rPr>
          <w:rFonts w:eastAsia="Calibri"/>
          <w:i/>
          <w:sz w:val="28"/>
          <w:szCs w:val="28"/>
          <w:lang w:eastAsia="en-US"/>
        </w:rPr>
        <w:t xml:space="preserve">ESR1 </w:t>
      </w:r>
      <w:r w:rsidRPr="00520861">
        <w:rPr>
          <w:rFonts w:eastAsia="Calibri"/>
          <w:sz w:val="28"/>
          <w:szCs w:val="28"/>
          <w:lang w:eastAsia="en-US"/>
        </w:rPr>
        <w:t xml:space="preserve">[rs2234693] у 8,8 разів менший, ніж у випадку наявності генотипу TT або TC (рецесивна модель успадкування) [47]. Наявність алеля С є протекцією до роз-витку запального варіанта перебігу патологічного процесу в пародонті. Тобто шанс виникнення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в 2,8 разів менший у разі наявності цього алеля (табл. 7.7).</w:t>
      </w:r>
    </w:p>
    <w:p w14:paraId="429BA8D3" w14:textId="77777777" w:rsidR="00180D3E" w:rsidRPr="00520861" w:rsidRDefault="00180D3E" w:rsidP="00292D2E">
      <w:pPr>
        <w:widowControl w:val="0"/>
        <w:spacing w:line="360" w:lineRule="auto"/>
        <w:jc w:val="right"/>
        <w:rPr>
          <w:rFonts w:eastAsia="Calibri"/>
          <w:i/>
          <w:sz w:val="28"/>
          <w:szCs w:val="28"/>
          <w:lang w:eastAsia="en-US"/>
        </w:rPr>
      </w:pPr>
      <w:r w:rsidRPr="00520861">
        <w:rPr>
          <w:rFonts w:eastAsia="Calibri"/>
          <w:i/>
          <w:sz w:val="28"/>
          <w:szCs w:val="28"/>
          <w:lang w:eastAsia="en-US"/>
        </w:rPr>
        <w:t xml:space="preserve">Таблиця 7.7 </w:t>
      </w:r>
    </w:p>
    <w:p w14:paraId="68A86EF5" w14:textId="77777777" w:rsidR="00180D3E" w:rsidRPr="00520861" w:rsidRDefault="00180D3E" w:rsidP="00292D2E">
      <w:pPr>
        <w:widowControl w:val="0"/>
        <w:spacing w:line="360" w:lineRule="auto"/>
        <w:jc w:val="center"/>
        <w:rPr>
          <w:rFonts w:eastAsia="Calibri"/>
          <w:b/>
          <w:sz w:val="28"/>
          <w:szCs w:val="28"/>
          <w:lang w:eastAsia="en-US"/>
        </w:rPr>
      </w:pPr>
      <w:r w:rsidRPr="00520861">
        <w:rPr>
          <w:rFonts w:eastAsia="Calibri"/>
          <w:b/>
          <w:sz w:val="28"/>
          <w:szCs w:val="28"/>
          <w:lang w:eastAsia="en-US"/>
        </w:rPr>
        <w:t xml:space="preserve">Порівняння частот розподілу поліморфних варіантів за генами </w:t>
      </w:r>
    </w:p>
    <w:p w14:paraId="20B591B6" w14:textId="77777777" w:rsidR="00180D3E" w:rsidRPr="00520861" w:rsidRDefault="00180D3E" w:rsidP="00292D2E">
      <w:pPr>
        <w:widowControl w:val="0"/>
        <w:spacing w:line="360" w:lineRule="auto"/>
        <w:jc w:val="center"/>
        <w:rPr>
          <w:rFonts w:eastAsia="Calibri"/>
          <w:b/>
          <w:sz w:val="28"/>
          <w:szCs w:val="28"/>
          <w:lang w:eastAsia="en-US"/>
        </w:rPr>
      </w:pPr>
      <w:r w:rsidRPr="00520861">
        <w:rPr>
          <w:rFonts w:eastAsia="Calibri"/>
          <w:b/>
          <w:i/>
          <w:sz w:val="28"/>
          <w:szCs w:val="28"/>
          <w:lang w:eastAsia="en-US"/>
        </w:rPr>
        <w:t>ESR1: -397 T&gt;C [</w:t>
      </w:r>
      <w:proofErr w:type="spellStart"/>
      <w:r w:rsidRPr="00520861">
        <w:rPr>
          <w:rFonts w:eastAsia="Calibri"/>
          <w:b/>
          <w:i/>
          <w:sz w:val="28"/>
          <w:szCs w:val="28"/>
          <w:lang w:eastAsia="en-US"/>
        </w:rPr>
        <w:t>PvuII</w:t>
      </w:r>
      <w:proofErr w:type="spellEnd"/>
      <w:r w:rsidRPr="00520861">
        <w:rPr>
          <w:rFonts w:eastAsia="Calibri"/>
          <w:b/>
          <w:i/>
          <w:sz w:val="28"/>
          <w:szCs w:val="28"/>
          <w:lang w:eastAsia="en-US"/>
        </w:rPr>
        <w:t>]</w:t>
      </w:r>
      <w:r w:rsidRPr="00520861">
        <w:rPr>
          <w:rFonts w:eastAsia="Calibri"/>
          <w:b/>
          <w:sz w:val="28"/>
          <w:szCs w:val="28"/>
          <w:lang w:eastAsia="en-US"/>
        </w:rPr>
        <w:t xml:space="preserve"> і </w:t>
      </w:r>
      <w:r w:rsidRPr="00520861">
        <w:rPr>
          <w:rFonts w:eastAsia="Calibri"/>
          <w:b/>
          <w:i/>
          <w:sz w:val="28"/>
          <w:szCs w:val="28"/>
          <w:lang w:eastAsia="en-US"/>
        </w:rPr>
        <w:t>IL-1</w:t>
      </w:r>
      <w:r w:rsidRPr="00520861">
        <w:rPr>
          <w:rFonts w:eastAsia="Calibri"/>
          <w:b/>
          <w:i/>
          <w:sz w:val="28"/>
          <w:szCs w:val="28"/>
          <w:lang w:eastAsia="en-US"/>
        </w:rPr>
        <w:sym w:font="Symbol" w:char="F062"/>
      </w:r>
      <w:r w:rsidRPr="00520861">
        <w:rPr>
          <w:rFonts w:eastAsia="Calibri"/>
          <w:b/>
          <w:sz w:val="28"/>
          <w:szCs w:val="28"/>
          <w:lang w:eastAsia="en-US"/>
        </w:rPr>
        <w:t xml:space="preserve">  в осіб ОГ ПЗП та ГП</w:t>
      </w:r>
    </w:p>
    <w:tbl>
      <w:tblPr>
        <w:tblW w:w="96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1701"/>
        <w:gridCol w:w="1536"/>
        <w:gridCol w:w="1418"/>
        <w:gridCol w:w="1947"/>
        <w:gridCol w:w="911"/>
        <w:gridCol w:w="14"/>
      </w:tblGrid>
      <w:tr w:rsidR="00180D3E" w:rsidRPr="00520861" w14:paraId="51B92456" w14:textId="77777777" w:rsidTr="00292D2E">
        <w:trPr>
          <w:jc w:val="center"/>
        </w:trPr>
        <w:tc>
          <w:tcPr>
            <w:tcW w:w="212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0A3AB6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Ген</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1F2DE9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Генотип</w:t>
            </w:r>
          </w:p>
          <w:p w14:paraId="6D530B5E" w14:textId="77777777" w:rsidR="00180D3E" w:rsidRPr="00520861" w:rsidRDefault="00180D3E" w:rsidP="00292D2E">
            <w:pPr>
              <w:widowControl w:val="0"/>
              <w:spacing w:line="360" w:lineRule="auto"/>
              <w:jc w:val="center"/>
              <w:rPr>
                <w:rFonts w:eastAsia="Calibri"/>
                <w:sz w:val="28"/>
                <w:szCs w:val="28"/>
                <w:lang w:eastAsia="en-US"/>
              </w:rPr>
            </w:pPr>
          </w:p>
        </w:tc>
        <w:tc>
          <w:tcPr>
            <w:tcW w:w="5826" w:type="dxa"/>
            <w:gridSpan w:val="5"/>
            <w:tcBorders>
              <w:top w:val="single" w:sz="4" w:space="0" w:color="auto"/>
              <w:left w:val="single" w:sz="4" w:space="0" w:color="auto"/>
              <w:bottom w:val="single" w:sz="4" w:space="0" w:color="auto"/>
              <w:right w:val="single" w:sz="4" w:space="0" w:color="auto"/>
            </w:tcBorders>
            <w:shd w:val="clear" w:color="auto" w:fill="auto"/>
            <w:hideMark/>
          </w:tcPr>
          <w:p w14:paraId="25E8094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Результати статистичного аналізу</w:t>
            </w:r>
          </w:p>
        </w:tc>
      </w:tr>
      <w:tr w:rsidR="00180D3E" w:rsidRPr="00520861" w14:paraId="2D00F66C" w14:textId="77777777" w:rsidTr="00292D2E">
        <w:trPr>
          <w:gridAfter w:val="1"/>
          <w:wAfter w:w="14" w:type="dxa"/>
          <w:jc w:val="center"/>
        </w:trPr>
        <w:tc>
          <w:tcPr>
            <w:tcW w:w="212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6B3E9E2" w14:textId="77777777" w:rsidR="00180D3E" w:rsidRPr="00520861" w:rsidRDefault="00180D3E" w:rsidP="00292D2E">
            <w:pPr>
              <w:widowControl w:val="0"/>
              <w:spacing w:line="360" w:lineRule="auto"/>
              <w:rPr>
                <w:rFonts w:eastAsia="Calibri"/>
                <w:sz w:val="28"/>
                <w:szCs w:val="28"/>
                <w:lang w:eastAsia="en-US"/>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F20597E" w14:textId="77777777" w:rsidR="00180D3E" w:rsidRPr="00520861" w:rsidRDefault="00180D3E" w:rsidP="00292D2E">
            <w:pPr>
              <w:widowControl w:val="0"/>
              <w:spacing w:line="360" w:lineRule="auto"/>
              <w:rPr>
                <w:rFonts w:eastAsia="Calibri"/>
                <w:sz w:val="28"/>
                <w:szCs w:val="28"/>
                <w:lang w:eastAsia="en-US"/>
              </w:rPr>
            </w:pPr>
          </w:p>
        </w:tc>
        <w:tc>
          <w:tcPr>
            <w:tcW w:w="1536" w:type="dxa"/>
            <w:tcBorders>
              <w:top w:val="single" w:sz="4" w:space="0" w:color="auto"/>
              <w:left w:val="single" w:sz="4" w:space="0" w:color="auto"/>
              <w:bottom w:val="single" w:sz="4" w:space="0" w:color="auto"/>
              <w:right w:val="single" w:sz="4" w:space="0" w:color="auto"/>
            </w:tcBorders>
            <w:shd w:val="clear" w:color="auto" w:fill="auto"/>
            <w:hideMark/>
          </w:tcPr>
          <w:p w14:paraId="1716212D"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sym w:font="Symbol" w:char="F063"/>
            </w:r>
            <w:r w:rsidRPr="00520861">
              <w:rPr>
                <w:rFonts w:eastAsia="Calibri"/>
                <w:sz w:val="28"/>
                <w:szCs w:val="28"/>
                <w:vertAlign w:val="superscript"/>
                <w:lang w:eastAsia="en-US"/>
              </w:rPr>
              <w:t>2</w:t>
            </w:r>
            <w:r w:rsidRPr="00520861">
              <w:rPr>
                <w:rFonts w:eastAsia="Calibri"/>
                <w:sz w:val="28"/>
                <w:szCs w:val="28"/>
                <w:lang w:eastAsia="en-US"/>
              </w:rPr>
              <w:t xml:space="preserve"> (</w:t>
            </w:r>
            <w:proofErr w:type="spellStart"/>
            <w:r w:rsidRPr="00520861">
              <w:rPr>
                <w:rFonts w:eastAsia="Calibri"/>
                <w:sz w:val="28"/>
                <w:szCs w:val="28"/>
                <w:lang w:eastAsia="en-US"/>
              </w:rPr>
              <w:t>Йєтс</w:t>
            </w:r>
            <w:proofErr w:type="spellEnd"/>
            <w:r w:rsidRPr="00520861">
              <w:rPr>
                <w:rFonts w:eastAsia="Calibri"/>
                <w:sz w:val="28"/>
                <w:szCs w:val="28"/>
                <w:lang w:eastAsia="en-US"/>
              </w:rPr>
              <w:t>)</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14:paraId="47036C2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ВШ</w:t>
            </w:r>
          </w:p>
        </w:tc>
        <w:tc>
          <w:tcPr>
            <w:tcW w:w="1947" w:type="dxa"/>
            <w:tcBorders>
              <w:top w:val="single" w:sz="4" w:space="0" w:color="auto"/>
              <w:left w:val="single" w:sz="4" w:space="0" w:color="auto"/>
              <w:bottom w:val="single" w:sz="4" w:space="0" w:color="auto"/>
              <w:right w:val="single" w:sz="4" w:space="0" w:color="auto"/>
            </w:tcBorders>
            <w:shd w:val="clear" w:color="auto" w:fill="auto"/>
            <w:hideMark/>
          </w:tcPr>
          <w:p w14:paraId="6957EAF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95% ДІ</w:t>
            </w:r>
          </w:p>
        </w:tc>
        <w:tc>
          <w:tcPr>
            <w:tcW w:w="911" w:type="dxa"/>
            <w:tcBorders>
              <w:top w:val="single" w:sz="4" w:space="0" w:color="auto"/>
              <w:left w:val="single" w:sz="4" w:space="0" w:color="auto"/>
              <w:bottom w:val="single" w:sz="4" w:space="0" w:color="auto"/>
              <w:right w:val="single" w:sz="4" w:space="0" w:color="auto"/>
            </w:tcBorders>
            <w:shd w:val="clear" w:color="auto" w:fill="auto"/>
            <w:hideMark/>
          </w:tcPr>
          <w:p w14:paraId="6CDE737A" w14:textId="77777777" w:rsidR="00180D3E" w:rsidRPr="00520861" w:rsidRDefault="00180D3E" w:rsidP="00292D2E">
            <w:pPr>
              <w:widowControl w:val="0"/>
              <w:spacing w:line="360" w:lineRule="auto"/>
              <w:jc w:val="center"/>
              <w:rPr>
                <w:rFonts w:eastAsia="Calibri"/>
                <w:i/>
                <w:sz w:val="28"/>
                <w:szCs w:val="28"/>
                <w:lang w:eastAsia="en-US"/>
              </w:rPr>
            </w:pPr>
            <w:r w:rsidRPr="00520861">
              <w:rPr>
                <w:rFonts w:eastAsia="Calibri"/>
                <w:i/>
                <w:sz w:val="28"/>
                <w:szCs w:val="28"/>
                <w:lang w:eastAsia="en-US"/>
              </w:rPr>
              <w:t>P</w:t>
            </w:r>
          </w:p>
        </w:tc>
      </w:tr>
      <w:tr w:rsidR="00180D3E" w:rsidRPr="00520861" w14:paraId="5E4D8428" w14:textId="77777777" w:rsidTr="00292D2E">
        <w:trPr>
          <w:gridAfter w:val="1"/>
          <w:wAfter w:w="14" w:type="dxa"/>
          <w:jc w:val="center"/>
        </w:trPr>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14:paraId="18FA64AE" w14:textId="77777777" w:rsidR="00180D3E" w:rsidRPr="00520861" w:rsidRDefault="00180D3E" w:rsidP="00292D2E">
            <w:pPr>
              <w:widowControl w:val="0"/>
              <w:spacing w:line="360" w:lineRule="auto"/>
              <w:rPr>
                <w:rFonts w:eastAsia="Calibri"/>
                <w:sz w:val="28"/>
                <w:szCs w:val="28"/>
                <w:lang w:eastAsia="en-US"/>
              </w:rPr>
            </w:pPr>
            <w:r w:rsidRPr="00520861">
              <w:rPr>
                <w:rFonts w:eastAsia="Calibri"/>
                <w:sz w:val="28"/>
                <w:szCs w:val="28"/>
                <w:lang w:eastAsia="en-US"/>
              </w:rPr>
              <w:t>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8F519B6" w14:textId="77777777" w:rsidR="00180D3E" w:rsidRPr="00520861" w:rsidRDefault="00180D3E" w:rsidP="00292D2E">
            <w:pPr>
              <w:widowControl w:val="0"/>
              <w:spacing w:line="360" w:lineRule="auto"/>
              <w:rPr>
                <w:rFonts w:eastAsia="Calibri"/>
                <w:sz w:val="28"/>
                <w:szCs w:val="28"/>
                <w:lang w:eastAsia="en-US"/>
              </w:rPr>
            </w:pPr>
            <w:r w:rsidRPr="00520861">
              <w:rPr>
                <w:rFonts w:eastAsia="Calibri"/>
                <w:sz w:val="28"/>
                <w:szCs w:val="28"/>
                <w:lang w:eastAsia="en-US"/>
              </w:rPr>
              <w:t>2</w:t>
            </w:r>
          </w:p>
        </w:tc>
        <w:tc>
          <w:tcPr>
            <w:tcW w:w="1536" w:type="dxa"/>
            <w:tcBorders>
              <w:top w:val="single" w:sz="4" w:space="0" w:color="auto"/>
              <w:left w:val="single" w:sz="4" w:space="0" w:color="auto"/>
              <w:bottom w:val="single" w:sz="4" w:space="0" w:color="auto"/>
              <w:right w:val="single" w:sz="4" w:space="0" w:color="auto"/>
            </w:tcBorders>
            <w:shd w:val="clear" w:color="auto" w:fill="auto"/>
          </w:tcPr>
          <w:p w14:paraId="4DE8454A"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3</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2B7107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4</w:t>
            </w:r>
          </w:p>
        </w:tc>
        <w:tc>
          <w:tcPr>
            <w:tcW w:w="1947" w:type="dxa"/>
            <w:tcBorders>
              <w:top w:val="single" w:sz="4" w:space="0" w:color="auto"/>
              <w:left w:val="single" w:sz="4" w:space="0" w:color="auto"/>
              <w:bottom w:val="single" w:sz="4" w:space="0" w:color="auto"/>
              <w:right w:val="single" w:sz="4" w:space="0" w:color="auto"/>
            </w:tcBorders>
            <w:shd w:val="clear" w:color="auto" w:fill="auto"/>
          </w:tcPr>
          <w:p w14:paraId="24002E6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5</w:t>
            </w:r>
          </w:p>
        </w:tc>
        <w:tc>
          <w:tcPr>
            <w:tcW w:w="911" w:type="dxa"/>
            <w:tcBorders>
              <w:top w:val="single" w:sz="4" w:space="0" w:color="auto"/>
              <w:left w:val="single" w:sz="4" w:space="0" w:color="auto"/>
              <w:bottom w:val="single" w:sz="4" w:space="0" w:color="auto"/>
              <w:right w:val="single" w:sz="4" w:space="0" w:color="auto"/>
            </w:tcBorders>
            <w:shd w:val="clear" w:color="auto" w:fill="auto"/>
          </w:tcPr>
          <w:p w14:paraId="3600F89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6</w:t>
            </w:r>
          </w:p>
        </w:tc>
      </w:tr>
      <w:tr w:rsidR="00180D3E" w:rsidRPr="00520861" w14:paraId="2D0B7A70" w14:textId="77777777" w:rsidTr="00292D2E">
        <w:trPr>
          <w:jc w:val="center"/>
        </w:trPr>
        <w:tc>
          <w:tcPr>
            <w:tcW w:w="2122" w:type="dxa"/>
            <w:vMerge w:val="restart"/>
            <w:tcBorders>
              <w:top w:val="single" w:sz="4" w:space="0" w:color="auto"/>
              <w:left w:val="single" w:sz="4" w:space="0" w:color="auto"/>
              <w:right w:val="single" w:sz="4" w:space="0" w:color="auto"/>
            </w:tcBorders>
            <w:shd w:val="clear" w:color="auto" w:fill="auto"/>
          </w:tcPr>
          <w:p w14:paraId="5ED3E16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i/>
                <w:sz w:val="28"/>
                <w:szCs w:val="28"/>
                <w:lang w:eastAsia="en-US"/>
              </w:rPr>
              <w:t>ESR1: -397 T&gt;C [</w:t>
            </w:r>
            <w:proofErr w:type="spellStart"/>
            <w:r w:rsidRPr="00520861">
              <w:rPr>
                <w:rFonts w:eastAsia="Calibri"/>
                <w:i/>
                <w:sz w:val="28"/>
                <w:szCs w:val="28"/>
                <w:lang w:eastAsia="en-US"/>
              </w:rPr>
              <w:t>PvuII</w:t>
            </w:r>
            <w:proofErr w:type="spellEnd"/>
            <w:r w:rsidRPr="00520861">
              <w:rPr>
                <w:rFonts w:eastAsia="Calibri"/>
                <w:sz w:val="28"/>
                <w:szCs w:val="28"/>
                <w:lang w:eastAsia="en-US"/>
              </w:rPr>
              <w:t>]</w:t>
            </w:r>
          </w:p>
          <w:p w14:paraId="017BE5D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[rs2234693]</w:t>
            </w:r>
          </w:p>
        </w:tc>
        <w:tc>
          <w:tcPr>
            <w:tcW w:w="7527" w:type="dxa"/>
            <w:gridSpan w:val="6"/>
            <w:tcBorders>
              <w:top w:val="single" w:sz="4" w:space="0" w:color="auto"/>
              <w:left w:val="single" w:sz="4" w:space="0" w:color="auto"/>
              <w:bottom w:val="single" w:sz="4" w:space="0" w:color="auto"/>
              <w:right w:val="single" w:sz="4" w:space="0" w:color="auto"/>
            </w:tcBorders>
            <w:shd w:val="clear" w:color="auto" w:fill="auto"/>
          </w:tcPr>
          <w:p w14:paraId="092D61B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Адитивна модель</w:t>
            </w:r>
          </w:p>
        </w:tc>
      </w:tr>
      <w:tr w:rsidR="00180D3E" w:rsidRPr="00520861" w14:paraId="607E6413" w14:textId="77777777" w:rsidTr="00292D2E">
        <w:trPr>
          <w:gridAfter w:val="1"/>
          <w:wAfter w:w="14" w:type="dxa"/>
          <w:jc w:val="center"/>
        </w:trPr>
        <w:tc>
          <w:tcPr>
            <w:tcW w:w="2122" w:type="dxa"/>
            <w:vMerge/>
            <w:tcBorders>
              <w:left w:val="single" w:sz="4" w:space="0" w:color="auto"/>
              <w:right w:val="single" w:sz="4" w:space="0" w:color="auto"/>
            </w:tcBorders>
            <w:shd w:val="clear" w:color="auto" w:fill="auto"/>
            <w:hideMark/>
          </w:tcPr>
          <w:p w14:paraId="2C64D372" w14:textId="77777777" w:rsidR="00180D3E" w:rsidRPr="00520861" w:rsidRDefault="00180D3E" w:rsidP="00292D2E">
            <w:pPr>
              <w:widowControl w:val="0"/>
              <w:spacing w:line="360" w:lineRule="auto"/>
              <w:rPr>
                <w:rFonts w:eastAsia="Calibri"/>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31099D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w:t>
            </w:r>
          </w:p>
          <w:p w14:paraId="1EE9972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TC</w:t>
            </w:r>
          </w:p>
          <w:p w14:paraId="025828B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CC</w:t>
            </w:r>
          </w:p>
        </w:tc>
        <w:tc>
          <w:tcPr>
            <w:tcW w:w="1536" w:type="dxa"/>
            <w:tcBorders>
              <w:top w:val="single" w:sz="4" w:space="0" w:color="auto"/>
              <w:left w:val="single" w:sz="4" w:space="0" w:color="auto"/>
              <w:bottom w:val="single" w:sz="4" w:space="0" w:color="auto"/>
              <w:right w:val="single" w:sz="4" w:space="0" w:color="auto"/>
            </w:tcBorders>
            <w:shd w:val="clear" w:color="auto" w:fill="auto"/>
            <w:hideMark/>
          </w:tcPr>
          <w:p w14:paraId="0B1ED48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5,846</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14:paraId="38CB16C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5,923</w:t>
            </w:r>
          </w:p>
          <w:p w14:paraId="62364C3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1,231</w:t>
            </w:r>
          </w:p>
          <w:p w14:paraId="5817484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0,114</w:t>
            </w:r>
          </w:p>
        </w:tc>
        <w:tc>
          <w:tcPr>
            <w:tcW w:w="1947" w:type="dxa"/>
            <w:tcBorders>
              <w:top w:val="single" w:sz="4" w:space="0" w:color="auto"/>
              <w:left w:val="single" w:sz="4" w:space="0" w:color="auto"/>
              <w:bottom w:val="single" w:sz="4" w:space="0" w:color="auto"/>
              <w:right w:val="single" w:sz="4" w:space="0" w:color="auto"/>
            </w:tcBorders>
            <w:shd w:val="clear" w:color="auto" w:fill="auto"/>
            <w:hideMark/>
          </w:tcPr>
          <w:p w14:paraId="103BB0C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0,691-50,736</w:t>
            </w:r>
          </w:p>
          <w:p w14:paraId="5CF9302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0,358-4,227</w:t>
            </w:r>
          </w:p>
          <w:p w14:paraId="5EB9706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0,019-0,680</w:t>
            </w:r>
          </w:p>
        </w:tc>
        <w:tc>
          <w:tcPr>
            <w:tcW w:w="911" w:type="dxa"/>
            <w:tcBorders>
              <w:top w:val="single" w:sz="4" w:space="0" w:color="auto"/>
              <w:left w:val="single" w:sz="4" w:space="0" w:color="auto"/>
              <w:bottom w:val="single" w:sz="4" w:space="0" w:color="auto"/>
              <w:right w:val="single" w:sz="4" w:space="0" w:color="auto"/>
            </w:tcBorders>
            <w:shd w:val="clear" w:color="auto" w:fill="auto"/>
            <w:hideMark/>
          </w:tcPr>
          <w:p w14:paraId="0B19312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0,054</w:t>
            </w:r>
          </w:p>
        </w:tc>
      </w:tr>
      <w:tr w:rsidR="00180D3E" w:rsidRPr="00520861" w14:paraId="74EB4911" w14:textId="77777777" w:rsidTr="00292D2E">
        <w:trPr>
          <w:jc w:val="center"/>
        </w:trPr>
        <w:tc>
          <w:tcPr>
            <w:tcW w:w="2122" w:type="dxa"/>
            <w:vMerge/>
            <w:tcBorders>
              <w:left w:val="single" w:sz="4" w:space="0" w:color="auto"/>
              <w:right w:val="single" w:sz="4" w:space="0" w:color="auto"/>
            </w:tcBorders>
            <w:shd w:val="clear" w:color="auto" w:fill="auto"/>
          </w:tcPr>
          <w:p w14:paraId="6BD229BB" w14:textId="77777777" w:rsidR="00180D3E" w:rsidRPr="00520861" w:rsidRDefault="00180D3E" w:rsidP="00292D2E">
            <w:pPr>
              <w:widowControl w:val="0"/>
              <w:spacing w:line="360" w:lineRule="auto"/>
              <w:rPr>
                <w:rFonts w:eastAsia="Calibri"/>
                <w:sz w:val="28"/>
                <w:szCs w:val="28"/>
                <w:lang w:eastAsia="en-US"/>
              </w:rPr>
            </w:pPr>
          </w:p>
        </w:tc>
        <w:tc>
          <w:tcPr>
            <w:tcW w:w="7527" w:type="dxa"/>
            <w:gridSpan w:val="6"/>
            <w:tcBorders>
              <w:top w:val="single" w:sz="4" w:space="0" w:color="auto"/>
              <w:left w:val="single" w:sz="4" w:space="0" w:color="auto"/>
              <w:bottom w:val="single" w:sz="4" w:space="0" w:color="auto"/>
              <w:right w:val="single" w:sz="4" w:space="0" w:color="auto"/>
            </w:tcBorders>
            <w:shd w:val="clear" w:color="auto" w:fill="auto"/>
          </w:tcPr>
          <w:p w14:paraId="7897DC4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Рецесивна модель</w:t>
            </w:r>
          </w:p>
        </w:tc>
      </w:tr>
      <w:tr w:rsidR="00180D3E" w:rsidRPr="00520861" w14:paraId="26B93809" w14:textId="77777777" w:rsidTr="00292D2E">
        <w:trPr>
          <w:gridAfter w:val="1"/>
          <w:wAfter w:w="14" w:type="dxa"/>
          <w:jc w:val="center"/>
        </w:trPr>
        <w:tc>
          <w:tcPr>
            <w:tcW w:w="2122" w:type="dxa"/>
            <w:vMerge/>
            <w:tcBorders>
              <w:left w:val="single" w:sz="4" w:space="0" w:color="auto"/>
              <w:right w:val="single" w:sz="4" w:space="0" w:color="auto"/>
            </w:tcBorders>
            <w:shd w:val="clear" w:color="auto" w:fill="auto"/>
          </w:tcPr>
          <w:p w14:paraId="015EFBF4" w14:textId="77777777" w:rsidR="00180D3E" w:rsidRPr="00520861" w:rsidRDefault="00180D3E" w:rsidP="00292D2E">
            <w:pPr>
              <w:widowControl w:val="0"/>
              <w:spacing w:line="360" w:lineRule="auto"/>
              <w:rPr>
                <w:rFonts w:eastAsia="Calibri"/>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3F46CF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TT+TC</w:t>
            </w:r>
          </w:p>
          <w:p w14:paraId="4305622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w:t>
            </w:r>
          </w:p>
        </w:tc>
        <w:tc>
          <w:tcPr>
            <w:tcW w:w="1536" w:type="dxa"/>
            <w:tcBorders>
              <w:top w:val="single" w:sz="4" w:space="0" w:color="auto"/>
              <w:left w:val="single" w:sz="4" w:space="0" w:color="auto"/>
              <w:bottom w:val="single" w:sz="4" w:space="0" w:color="auto"/>
              <w:right w:val="single" w:sz="4" w:space="0" w:color="auto"/>
            </w:tcBorders>
            <w:shd w:val="clear" w:color="auto" w:fill="auto"/>
          </w:tcPr>
          <w:p w14:paraId="409435E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4,950</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0E476C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8,750</w:t>
            </w:r>
          </w:p>
          <w:p w14:paraId="27AC4E1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0,114</w:t>
            </w:r>
          </w:p>
        </w:tc>
        <w:tc>
          <w:tcPr>
            <w:tcW w:w="1947" w:type="dxa"/>
            <w:tcBorders>
              <w:top w:val="single" w:sz="4" w:space="0" w:color="auto"/>
              <w:left w:val="single" w:sz="4" w:space="0" w:color="auto"/>
              <w:bottom w:val="single" w:sz="4" w:space="0" w:color="auto"/>
              <w:right w:val="single" w:sz="4" w:space="0" w:color="auto"/>
            </w:tcBorders>
            <w:shd w:val="clear" w:color="auto" w:fill="auto"/>
          </w:tcPr>
          <w:p w14:paraId="183C6D8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1,470-52,100</w:t>
            </w:r>
          </w:p>
          <w:p w14:paraId="614264C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0,019-0,680</w:t>
            </w:r>
          </w:p>
        </w:tc>
        <w:tc>
          <w:tcPr>
            <w:tcW w:w="911" w:type="dxa"/>
            <w:tcBorders>
              <w:top w:val="single" w:sz="4" w:space="0" w:color="auto"/>
              <w:left w:val="single" w:sz="4" w:space="0" w:color="auto"/>
              <w:bottom w:val="single" w:sz="4" w:space="0" w:color="auto"/>
              <w:right w:val="single" w:sz="4" w:space="0" w:color="auto"/>
            </w:tcBorders>
            <w:shd w:val="clear" w:color="auto" w:fill="auto"/>
          </w:tcPr>
          <w:p w14:paraId="4B2006F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0,026</w:t>
            </w:r>
          </w:p>
        </w:tc>
      </w:tr>
      <w:tr w:rsidR="00180D3E" w:rsidRPr="00520861" w14:paraId="6B85D28B" w14:textId="77777777" w:rsidTr="00292D2E">
        <w:trPr>
          <w:jc w:val="center"/>
        </w:trPr>
        <w:tc>
          <w:tcPr>
            <w:tcW w:w="2122" w:type="dxa"/>
            <w:vMerge/>
            <w:tcBorders>
              <w:left w:val="single" w:sz="4" w:space="0" w:color="auto"/>
              <w:right w:val="single" w:sz="4" w:space="0" w:color="auto"/>
            </w:tcBorders>
            <w:shd w:val="clear" w:color="auto" w:fill="auto"/>
          </w:tcPr>
          <w:p w14:paraId="2AA76B1E" w14:textId="77777777" w:rsidR="00180D3E" w:rsidRPr="00520861" w:rsidRDefault="00180D3E" w:rsidP="00292D2E">
            <w:pPr>
              <w:widowControl w:val="0"/>
              <w:spacing w:line="360" w:lineRule="auto"/>
              <w:rPr>
                <w:rFonts w:eastAsia="Calibri"/>
                <w:sz w:val="28"/>
                <w:szCs w:val="28"/>
                <w:lang w:eastAsia="en-US"/>
              </w:rPr>
            </w:pPr>
          </w:p>
        </w:tc>
        <w:tc>
          <w:tcPr>
            <w:tcW w:w="7527" w:type="dxa"/>
            <w:gridSpan w:val="6"/>
            <w:tcBorders>
              <w:top w:val="single" w:sz="4" w:space="0" w:color="auto"/>
              <w:left w:val="single" w:sz="4" w:space="0" w:color="auto"/>
              <w:bottom w:val="single" w:sz="4" w:space="0" w:color="auto"/>
              <w:right w:val="single" w:sz="4" w:space="0" w:color="auto"/>
            </w:tcBorders>
            <w:shd w:val="clear" w:color="auto" w:fill="auto"/>
          </w:tcPr>
          <w:p w14:paraId="73C51A1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Домінантна модель</w:t>
            </w:r>
          </w:p>
        </w:tc>
      </w:tr>
      <w:tr w:rsidR="00180D3E" w:rsidRPr="00520861" w14:paraId="56B6DDB8" w14:textId="77777777" w:rsidTr="00292D2E">
        <w:trPr>
          <w:gridAfter w:val="1"/>
          <w:wAfter w:w="14" w:type="dxa"/>
          <w:jc w:val="center"/>
        </w:trPr>
        <w:tc>
          <w:tcPr>
            <w:tcW w:w="2122" w:type="dxa"/>
            <w:vMerge/>
            <w:tcBorders>
              <w:left w:val="single" w:sz="4" w:space="0" w:color="auto"/>
              <w:right w:val="single" w:sz="4" w:space="0" w:color="auto"/>
            </w:tcBorders>
            <w:shd w:val="clear" w:color="auto" w:fill="auto"/>
          </w:tcPr>
          <w:p w14:paraId="07EB0CB8" w14:textId="77777777" w:rsidR="00180D3E" w:rsidRPr="00520861" w:rsidRDefault="00180D3E" w:rsidP="00292D2E">
            <w:pPr>
              <w:widowControl w:val="0"/>
              <w:spacing w:line="360" w:lineRule="auto"/>
              <w:rPr>
                <w:rFonts w:eastAsia="Calibri"/>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F53A9D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w:t>
            </w:r>
          </w:p>
          <w:p w14:paraId="27A6688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TC+CC</w:t>
            </w:r>
          </w:p>
        </w:tc>
        <w:tc>
          <w:tcPr>
            <w:tcW w:w="1536" w:type="dxa"/>
            <w:tcBorders>
              <w:top w:val="single" w:sz="4" w:space="0" w:color="auto"/>
              <w:left w:val="single" w:sz="4" w:space="0" w:color="auto"/>
              <w:bottom w:val="single" w:sz="4" w:space="0" w:color="auto"/>
              <w:right w:val="single" w:sz="4" w:space="0" w:color="auto"/>
            </w:tcBorders>
            <w:shd w:val="clear" w:color="auto" w:fill="auto"/>
          </w:tcPr>
          <w:p w14:paraId="3604E65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2,031</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504CB7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5,923</w:t>
            </w:r>
          </w:p>
          <w:p w14:paraId="53FEF28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0,169</w:t>
            </w:r>
          </w:p>
        </w:tc>
        <w:tc>
          <w:tcPr>
            <w:tcW w:w="1947" w:type="dxa"/>
            <w:tcBorders>
              <w:top w:val="single" w:sz="4" w:space="0" w:color="auto"/>
              <w:left w:val="single" w:sz="4" w:space="0" w:color="auto"/>
              <w:bottom w:val="single" w:sz="4" w:space="0" w:color="auto"/>
              <w:right w:val="single" w:sz="4" w:space="0" w:color="auto"/>
            </w:tcBorders>
            <w:shd w:val="clear" w:color="auto" w:fill="auto"/>
          </w:tcPr>
          <w:p w14:paraId="76AB95A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0,691-50,736</w:t>
            </w:r>
          </w:p>
          <w:p w14:paraId="2F98719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0,020-1,446</w:t>
            </w:r>
          </w:p>
        </w:tc>
        <w:tc>
          <w:tcPr>
            <w:tcW w:w="911" w:type="dxa"/>
            <w:tcBorders>
              <w:top w:val="single" w:sz="4" w:space="0" w:color="auto"/>
              <w:left w:val="single" w:sz="4" w:space="0" w:color="auto"/>
              <w:bottom w:val="single" w:sz="4" w:space="0" w:color="auto"/>
              <w:right w:val="single" w:sz="4" w:space="0" w:color="auto"/>
            </w:tcBorders>
            <w:shd w:val="clear" w:color="auto" w:fill="auto"/>
          </w:tcPr>
          <w:p w14:paraId="0649C27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0,154</w:t>
            </w:r>
          </w:p>
        </w:tc>
      </w:tr>
      <w:tr w:rsidR="00180D3E" w:rsidRPr="00520861" w14:paraId="195F71D3" w14:textId="77777777" w:rsidTr="00292D2E">
        <w:trPr>
          <w:jc w:val="center"/>
        </w:trPr>
        <w:tc>
          <w:tcPr>
            <w:tcW w:w="2122" w:type="dxa"/>
            <w:vMerge/>
            <w:tcBorders>
              <w:left w:val="single" w:sz="4" w:space="0" w:color="auto"/>
              <w:right w:val="single" w:sz="4" w:space="0" w:color="auto"/>
            </w:tcBorders>
            <w:shd w:val="clear" w:color="auto" w:fill="auto"/>
          </w:tcPr>
          <w:p w14:paraId="4064D168" w14:textId="77777777" w:rsidR="00180D3E" w:rsidRPr="00520861" w:rsidRDefault="00180D3E" w:rsidP="00292D2E">
            <w:pPr>
              <w:widowControl w:val="0"/>
              <w:spacing w:line="360" w:lineRule="auto"/>
              <w:rPr>
                <w:rFonts w:eastAsia="Calibri"/>
                <w:sz w:val="28"/>
                <w:szCs w:val="28"/>
                <w:lang w:eastAsia="en-US"/>
              </w:rPr>
            </w:pPr>
          </w:p>
        </w:tc>
        <w:tc>
          <w:tcPr>
            <w:tcW w:w="7527" w:type="dxa"/>
            <w:gridSpan w:val="6"/>
            <w:tcBorders>
              <w:top w:val="single" w:sz="4" w:space="0" w:color="auto"/>
              <w:left w:val="single" w:sz="4" w:space="0" w:color="auto"/>
              <w:bottom w:val="single" w:sz="4" w:space="0" w:color="auto"/>
              <w:right w:val="single" w:sz="4" w:space="0" w:color="auto"/>
            </w:tcBorders>
            <w:shd w:val="clear" w:color="auto" w:fill="auto"/>
          </w:tcPr>
          <w:p w14:paraId="76C25C64" w14:textId="77777777" w:rsidR="00180D3E" w:rsidRPr="00520861" w:rsidRDefault="00180D3E" w:rsidP="00292D2E">
            <w:pPr>
              <w:widowControl w:val="0"/>
              <w:spacing w:line="360" w:lineRule="auto"/>
              <w:jc w:val="center"/>
              <w:rPr>
                <w:rFonts w:eastAsia="Calibri"/>
                <w:sz w:val="28"/>
                <w:szCs w:val="28"/>
                <w:lang w:eastAsia="en-US"/>
              </w:rPr>
            </w:pP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w:t>
            </w:r>
          </w:p>
        </w:tc>
      </w:tr>
      <w:tr w:rsidR="00180D3E" w:rsidRPr="00520861" w14:paraId="6BFDABEB" w14:textId="77777777" w:rsidTr="00292D2E">
        <w:trPr>
          <w:gridAfter w:val="1"/>
          <w:wAfter w:w="14" w:type="dxa"/>
          <w:jc w:val="center"/>
        </w:trPr>
        <w:tc>
          <w:tcPr>
            <w:tcW w:w="2122" w:type="dxa"/>
            <w:vMerge/>
            <w:tcBorders>
              <w:left w:val="single" w:sz="4" w:space="0" w:color="auto"/>
              <w:right w:val="single" w:sz="4" w:space="0" w:color="auto"/>
            </w:tcBorders>
            <w:shd w:val="clear" w:color="auto" w:fill="auto"/>
          </w:tcPr>
          <w:p w14:paraId="7D9E6B1D" w14:textId="77777777" w:rsidR="00180D3E" w:rsidRPr="00520861" w:rsidRDefault="00180D3E" w:rsidP="00292D2E">
            <w:pPr>
              <w:widowControl w:val="0"/>
              <w:spacing w:line="360" w:lineRule="auto"/>
              <w:rPr>
                <w:rFonts w:eastAsia="Calibri"/>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18031F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TT+CC</w:t>
            </w:r>
          </w:p>
          <w:p w14:paraId="6E09C97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TC</w:t>
            </w:r>
          </w:p>
        </w:tc>
        <w:tc>
          <w:tcPr>
            <w:tcW w:w="1536" w:type="dxa"/>
            <w:tcBorders>
              <w:top w:val="single" w:sz="4" w:space="0" w:color="auto"/>
              <w:left w:val="single" w:sz="4" w:space="0" w:color="auto"/>
              <w:bottom w:val="single" w:sz="4" w:space="0" w:color="auto"/>
              <w:right w:val="single" w:sz="4" w:space="0" w:color="auto"/>
            </w:tcBorders>
            <w:shd w:val="clear" w:color="auto" w:fill="auto"/>
          </w:tcPr>
          <w:p w14:paraId="0881BF6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0,000</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499AE9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0,813</w:t>
            </w:r>
          </w:p>
          <w:p w14:paraId="46CC73B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1,231</w:t>
            </w:r>
          </w:p>
        </w:tc>
        <w:tc>
          <w:tcPr>
            <w:tcW w:w="1947" w:type="dxa"/>
            <w:tcBorders>
              <w:top w:val="single" w:sz="4" w:space="0" w:color="auto"/>
              <w:left w:val="single" w:sz="4" w:space="0" w:color="auto"/>
              <w:bottom w:val="single" w:sz="4" w:space="0" w:color="auto"/>
              <w:right w:val="single" w:sz="4" w:space="0" w:color="auto"/>
            </w:tcBorders>
            <w:shd w:val="clear" w:color="auto" w:fill="auto"/>
          </w:tcPr>
          <w:p w14:paraId="2C80BDD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0,237-2,791</w:t>
            </w:r>
          </w:p>
          <w:p w14:paraId="620023C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0,358-4,227</w:t>
            </w:r>
          </w:p>
        </w:tc>
        <w:tc>
          <w:tcPr>
            <w:tcW w:w="911" w:type="dxa"/>
            <w:tcBorders>
              <w:top w:val="single" w:sz="4" w:space="0" w:color="auto"/>
              <w:left w:val="single" w:sz="4" w:space="0" w:color="auto"/>
              <w:bottom w:val="single" w:sz="4" w:space="0" w:color="auto"/>
              <w:right w:val="single" w:sz="4" w:space="0" w:color="auto"/>
            </w:tcBorders>
            <w:shd w:val="clear" w:color="auto" w:fill="auto"/>
          </w:tcPr>
          <w:p w14:paraId="3A6912A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0,990</w:t>
            </w:r>
          </w:p>
        </w:tc>
      </w:tr>
      <w:tr w:rsidR="00180D3E" w:rsidRPr="00520861" w14:paraId="0DBC411A" w14:textId="77777777" w:rsidTr="00292D2E">
        <w:trPr>
          <w:jc w:val="center"/>
        </w:trPr>
        <w:tc>
          <w:tcPr>
            <w:tcW w:w="2122" w:type="dxa"/>
            <w:vMerge/>
            <w:tcBorders>
              <w:left w:val="single" w:sz="4" w:space="0" w:color="auto"/>
              <w:right w:val="single" w:sz="4" w:space="0" w:color="auto"/>
            </w:tcBorders>
            <w:shd w:val="clear" w:color="auto" w:fill="auto"/>
          </w:tcPr>
          <w:p w14:paraId="7DB93DFE" w14:textId="77777777" w:rsidR="00180D3E" w:rsidRPr="00520861" w:rsidRDefault="00180D3E" w:rsidP="00292D2E">
            <w:pPr>
              <w:widowControl w:val="0"/>
              <w:spacing w:line="360" w:lineRule="auto"/>
              <w:rPr>
                <w:rFonts w:eastAsia="Calibri"/>
                <w:sz w:val="28"/>
                <w:szCs w:val="28"/>
                <w:lang w:eastAsia="en-US"/>
              </w:rPr>
            </w:pPr>
          </w:p>
        </w:tc>
        <w:tc>
          <w:tcPr>
            <w:tcW w:w="7527" w:type="dxa"/>
            <w:gridSpan w:val="6"/>
            <w:tcBorders>
              <w:top w:val="single" w:sz="4" w:space="0" w:color="auto"/>
              <w:left w:val="single" w:sz="4" w:space="0" w:color="auto"/>
              <w:bottom w:val="single" w:sz="4" w:space="0" w:color="auto"/>
              <w:right w:val="single" w:sz="4" w:space="0" w:color="auto"/>
            </w:tcBorders>
            <w:shd w:val="clear" w:color="auto" w:fill="auto"/>
          </w:tcPr>
          <w:p w14:paraId="468C419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Мультиплікативна модель</w:t>
            </w:r>
          </w:p>
        </w:tc>
      </w:tr>
      <w:tr w:rsidR="00180D3E" w:rsidRPr="00520861" w14:paraId="3DEF1720" w14:textId="77777777" w:rsidTr="00292D2E">
        <w:trPr>
          <w:gridAfter w:val="1"/>
          <w:wAfter w:w="14" w:type="dxa"/>
          <w:jc w:val="center"/>
        </w:trPr>
        <w:tc>
          <w:tcPr>
            <w:tcW w:w="2122" w:type="dxa"/>
            <w:vMerge/>
            <w:tcBorders>
              <w:left w:val="single" w:sz="4" w:space="0" w:color="auto"/>
              <w:bottom w:val="single" w:sz="4" w:space="0" w:color="auto"/>
              <w:right w:val="single" w:sz="4" w:space="0" w:color="auto"/>
            </w:tcBorders>
            <w:shd w:val="clear" w:color="auto" w:fill="auto"/>
          </w:tcPr>
          <w:p w14:paraId="0A1A4BBB" w14:textId="77777777" w:rsidR="00180D3E" w:rsidRPr="00520861" w:rsidRDefault="00180D3E" w:rsidP="00292D2E">
            <w:pPr>
              <w:widowControl w:val="0"/>
              <w:spacing w:line="360" w:lineRule="auto"/>
              <w:rPr>
                <w:rFonts w:eastAsia="Calibri"/>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DD7EAC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w:t>
            </w:r>
          </w:p>
          <w:p w14:paraId="4F567D5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w:t>
            </w:r>
          </w:p>
        </w:tc>
        <w:tc>
          <w:tcPr>
            <w:tcW w:w="1536" w:type="dxa"/>
            <w:tcBorders>
              <w:top w:val="single" w:sz="4" w:space="0" w:color="auto"/>
              <w:left w:val="single" w:sz="4" w:space="0" w:color="auto"/>
              <w:bottom w:val="single" w:sz="4" w:space="0" w:color="auto"/>
              <w:right w:val="single" w:sz="4" w:space="0" w:color="auto"/>
            </w:tcBorders>
            <w:shd w:val="clear" w:color="auto" w:fill="auto"/>
          </w:tcPr>
          <w:p w14:paraId="4413D43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5,602</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7C118B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2,838</w:t>
            </w:r>
          </w:p>
          <w:p w14:paraId="55DF3E4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0,352</w:t>
            </w:r>
          </w:p>
        </w:tc>
        <w:tc>
          <w:tcPr>
            <w:tcW w:w="1947" w:type="dxa"/>
            <w:tcBorders>
              <w:top w:val="single" w:sz="4" w:space="0" w:color="auto"/>
              <w:left w:val="single" w:sz="4" w:space="0" w:color="auto"/>
              <w:bottom w:val="single" w:sz="4" w:space="0" w:color="auto"/>
              <w:right w:val="single" w:sz="4" w:space="0" w:color="auto"/>
            </w:tcBorders>
            <w:shd w:val="clear" w:color="auto" w:fill="auto"/>
          </w:tcPr>
          <w:p w14:paraId="7064793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1,179-6,833</w:t>
            </w:r>
          </w:p>
          <w:p w14:paraId="598BFE6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0,146-0,849</w:t>
            </w:r>
          </w:p>
        </w:tc>
        <w:tc>
          <w:tcPr>
            <w:tcW w:w="911" w:type="dxa"/>
            <w:tcBorders>
              <w:top w:val="single" w:sz="4" w:space="0" w:color="auto"/>
              <w:left w:val="single" w:sz="4" w:space="0" w:color="auto"/>
              <w:bottom w:val="single" w:sz="4" w:space="0" w:color="auto"/>
              <w:right w:val="single" w:sz="4" w:space="0" w:color="auto"/>
            </w:tcBorders>
            <w:shd w:val="clear" w:color="auto" w:fill="auto"/>
          </w:tcPr>
          <w:p w14:paraId="6AAB051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0,018</w:t>
            </w:r>
          </w:p>
        </w:tc>
      </w:tr>
      <w:tr w:rsidR="00180D3E" w:rsidRPr="00520861" w14:paraId="3BA61DA1" w14:textId="77777777" w:rsidTr="00292D2E">
        <w:trPr>
          <w:jc w:val="center"/>
        </w:trPr>
        <w:tc>
          <w:tcPr>
            <w:tcW w:w="2122" w:type="dxa"/>
            <w:vMerge w:val="restart"/>
            <w:tcBorders>
              <w:top w:val="single" w:sz="4" w:space="0" w:color="auto"/>
              <w:left w:val="single" w:sz="4" w:space="0" w:color="auto"/>
              <w:right w:val="single" w:sz="4" w:space="0" w:color="auto"/>
            </w:tcBorders>
            <w:shd w:val="clear" w:color="auto" w:fill="auto"/>
          </w:tcPr>
          <w:p w14:paraId="18570350" w14:textId="77777777" w:rsidR="00180D3E" w:rsidRPr="00520861" w:rsidRDefault="00180D3E" w:rsidP="00292D2E">
            <w:pPr>
              <w:widowControl w:val="0"/>
              <w:spacing w:line="360" w:lineRule="auto"/>
              <w:jc w:val="center"/>
              <w:rPr>
                <w:rFonts w:eastAsia="Calibri"/>
                <w:i/>
                <w:sz w:val="28"/>
                <w:szCs w:val="28"/>
                <w:lang w:eastAsia="en-US"/>
              </w:rPr>
            </w:pP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 −</w:t>
            </w:r>
            <w:r w:rsidRPr="00520861">
              <w:rPr>
                <w:rFonts w:eastAsia="Calibri"/>
                <w:bCs/>
                <w:i/>
                <w:sz w:val="28"/>
                <w:szCs w:val="28"/>
                <w:lang w:eastAsia="en-US"/>
              </w:rPr>
              <w:t>31 T</w:t>
            </w:r>
            <w:r w:rsidRPr="00520861">
              <w:rPr>
                <w:rFonts w:eastAsia="Calibri"/>
                <w:i/>
                <w:sz w:val="28"/>
                <w:szCs w:val="28"/>
                <w:lang w:eastAsia="en-US"/>
              </w:rPr>
              <w:t>&gt;</w:t>
            </w:r>
            <w:r w:rsidRPr="00520861">
              <w:rPr>
                <w:rFonts w:eastAsia="Calibri"/>
                <w:bCs/>
                <w:i/>
                <w:sz w:val="28"/>
                <w:szCs w:val="28"/>
                <w:lang w:eastAsia="en-US"/>
              </w:rPr>
              <w:t>C</w:t>
            </w:r>
          </w:p>
          <w:p w14:paraId="5D26E1F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[rs1143627]</w:t>
            </w:r>
          </w:p>
        </w:tc>
        <w:tc>
          <w:tcPr>
            <w:tcW w:w="7527" w:type="dxa"/>
            <w:gridSpan w:val="6"/>
            <w:tcBorders>
              <w:top w:val="single" w:sz="4" w:space="0" w:color="auto"/>
              <w:left w:val="single" w:sz="4" w:space="0" w:color="auto"/>
              <w:bottom w:val="single" w:sz="4" w:space="0" w:color="auto"/>
              <w:right w:val="single" w:sz="4" w:space="0" w:color="auto"/>
            </w:tcBorders>
            <w:shd w:val="clear" w:color="auto" w:fill="auto"/>
          </w:tcPr>
          <w:p w14:paraId="37B87D2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Адитивна модель</w:t>
            </w:r>
          </w:p>
        </w:tc>
      </w:tr>
      <w:tr w:rsidR="00180D3E" w:rsidRPr="00520861" w14:paraId="68B7C6FA" w14:textId="77777777" w:rsidTr="00292D2E">
        <w:trPr>
          <w:gridAfter w:val="1"/>
          <w:wAfter w:w="14" w:type="dxa"/>
          <w:jc w:val="center"/>
        </w:trPr>
        <w:tc>
          <w:tcPr>
            <w:tcW w:w="2122" w:type="dxa"/>
            <w:vMerge/>
            <w:tcBorders>
              <w:left w:val="single" w:sz="4" w:space="0" w:color="auto"/>
              <w:right w:val="single" w:sz="4" w:space="0" w:color="auto"/>
            </w:tcBorders>
            <w:shd w:val="clear" w:color="auto" w:fill="auto"/>
            <w:hideMark/>
          </w:tcPr>
          <w:p w14:paraId="6ECB88DF" w14:textId="77777777" w:rsidR="00180D3E" w:rsidRPr="00520861" w:rsidRDefault="00180D3E" w:rsidP="00292D2E">
            <w:pPr>
              <w:widowControl w:val="0"/>
              <w:spacing w:line="360" w:lineRule="auto"/>
              <w:rPr>
                <w:rFonts w:eastAsia="Calibri"/>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14EB59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w:t>
            </w:r>
          </w:p>
          <w:p w14:paraId="139A49B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CT</w:t>
            </w:r>
          </w:p>
          <w:p w14:paraId="210B9B3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w:t>
            </w:r>
          </w:p>
        </w:tc>
        <w:tc>
          <w:tcPr>
            <w:tcW w:w="1536" w:type="dxa"/>
            <w:tcBorders>
              <w:top w:val="single" w:sz="4" w:space="0" w:color="auto"/>
              <w:left w:val="single" w:sz="4" w:space="0" w:color="auto"/>
              <w:bottom w:val="single" w:sz="4" w:space="0" w:color="auto"/>
              <w:right w:val="single" w:sz="4" w:space="0" w:color="auto"/>
            </w:tcBorders>
            <w:shd w:val="clear" w:color="auto" w:fill="auto"/>
            <w:hideMark/>
          </w:tcPr>
          <w:p w14:paraId="554F939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8,170</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14:paraId="68DD90D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0,143</w:t>
            </w:r>
          </w:p>
          <w:p w14:paraId="170AA6E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13,000</w:t>
            </w:r>
          </w:p>
          <w:p w14:paraId="0EB0DB9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1,138</w:t>
            </w:r>
          </w:p>
        </w:tc>
        <w:tc>
          <w:tcPr>
            <w:tcW w:w="1947" w:type="dxa"/>
            <w:tcBorders>
              <w:top w:val="single" w:sz="4" w:space="0" w:color="auto"/>
              <w:left w:val="single" w:sz="4" w:space="0" w:color="auto"/>
              <w:bottom w:val="single" w:sz="4" w:space="0" w:color="auto"/>
              <w:right w:val="single" w:sz="4" w:space="0" w:color="auto"/>
            </w:tcBorders>
            <w:shd w:val="clear" w:color="auto" w:fill="auto"/>
            <w:hideMark/>
          </w:tcPr>
          <w:p w14:paraId="31E5A94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0,036-0,560</w:t>
            </w:r>
          </w:p>
          <w:p w14:paraId="529C6FD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1,543-109,511</w:t>
            </w:r>
          </w:p>
          <w:p w14:paraId="567C9EB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0,259-4,997</w:t>
            </w:r>
          </w:p>
        </w:tc>
        <w:tc>
          <w:tcPr>
            <w:tcW w:w="911" w:type="dxa"/>
            <w:tcBorders>
              <w:top w:val="single" w:sz="4" w:space="0" w:color="auto"/>
              <w:left w:val="single" w:sz="4" w:space="0" w:color="auto"/>
              <w:bottom w:val="single" w:sz="4" w:space="0" w:color="auto"/>
              <w:right w:val="single" w:sz="4" w:space="0" w:color="auto"/>
            </w:tcBorders>
            <w:shd w:val="clear" w:color="auto" w:fill="auto"/>
            <w:hideMark/>
          </w:tcPr>
          <w:p w14:paraId="05E2CBF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0,017</w:t>
            </w:r>
          </w:p>
        </w:tc>
      </w:tr>
      <w:tr w:rsidR="00180D3E" w:rsidRPr="00520861" w14:paraId="0324AD4C" w14:textId="77777777" w:rsidTr="00292D2E">
        <w:trPr>
          <w:jc w:val="center"/>
        </w:trPr>
        <w:tc>
          <w:tcPr>
            <w:tcW w:w="2122" w:type="dxa"/>
            <w:vMerge/>
            <w:tcBorders>
              <w:left w:val="single" w:sz="4" w:space="0" w:color="auto"/>
              <w:right w:val="single" w:sz="4" w:space="0" w:color="auto"/>
            </w:tcBorders>
            <w:shd w:val="clear" w:color="auto" w:fill="auto"/>
          </w:tcPr>
          <w:p w14:paraId="6D595583" w14:textId="77777777" w:rsidR="00180D3E" w:rsidRPr="00520861" w:rsidRDefault="00180D3E" w:rsidP="00292D2E">
            <w:pPr>
              <w:widowControl w:val="0"/>
              <w:spacing w:line="360" w:lineRule="auto"/>
              <w:rPr>
                <w:rFonts w:eastAsia="Calibri"/>
                <w:sz w:val="28"/>
                <w:szCs w:val="28"/>
                <w:lang w:eastAsia="en-US"/>
              </w:rPr>
            </w:pPr>
          </w:p>
        </w:tc>
        <w:tc>
          <w:tcPr>
            <w:tcW w:w="7527" w:type="dxa"/>
            <w:gridSpan w:val="6"/>
            <w:tcBorders>
              <w:top w:val="single" w:sz="4" w:space="0" w:color="auto"/>
              <w:left w:val="single" w:sz="4" w:space="0" w:color="auto"/>
              <w:bottom w:val="single" w:sz="4" w:space="0" w:color="auto"/>
              <w:right w:val="single" w:sz="4" w:space="0" w:color="auto"/>
            </w:tcBorders>
            <w:shd w:val="clear" w:color="auto" w:fill="auto"/>
          </w:tcPr>
          <w:p w14:paraId="173263A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Рецесивна модель</w:t>
            </w:r>
          </w:p>
        </w:tc>
      </w:tr>
      <w:tr w:rsidR="00180D3E" w:rsidRPr="00520861" w14:paraId="0769B01C" w14:textId="77777777" w:rsidTr="00292D2E">
        <w:trPr>
          <w:gridAfter w:val="1"/>
          <w:wAfter w:w="14" w:type="dxa"/>
          <w:jc w:val="center"/>
        </w:trPr>
        <w:tc>
          <w:tcPr>
            <w:tcW w:w="2122" w:type="dxa"/>
            <w:vMerge/>
            <w:tcBorders>
              <w:left w:val="single" w:sz="4" w:space="0" w:color="auto"/>
              <w:right w:val="single" w:sz="4" w:space="0" w:color="auto"/>
            </w:tcBorders>
            <w:shd w:val="clear" w:color="auto" w:fill="auto"/>
          </w:tcPr>
          <w:p w14:paraId="3118EA9E" w14:textId="77777777" w:rsidR="00180D3E" w:rsidRPr="00520861" w:rsidRDefault="00180D3E" w:rsidP="00292D2E">
            <w:pPr>
              <w:widowControl w:val="0"/>
              <w:spacing w:line="360" w:lineRule="auto"/>
              <w:rPr>
                <w:rFonts w:eastAsia="Calibri"/>
                <w:sz w:val="28"/>
                <w:szCs w:val="28"/>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3ED771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 +TC</w:t>
            </w:r>
          </w:p>
          <w:p w14:paraId="67FF312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w:t>
            </w:r>
          </w:p>
        </w:tc>
        <w:tc>
          <w:tcPr>
            <w:tcW w:w="1536" w:type="dxa"/>
            <w:tcBorders>
              <w:top w:val="single" w:sz="4" w:space="0" w:color="auto"/>
              <w:left w:val="single" w:sz="4" w:space="0" w:color="auto"/>
              <w:bottom w:val="single" w:sz="4" w:space="0" w:color="auto"/>
              <w:right w:val="single" w:sz="4" w:space="0" w:color="auto"/>
            </w:tcBorders>
            <w:shd w:val="clear" w:color="auto" w:fill="auto"/>
          </w:tcPr>
          <w:p w14:paraId="440CB58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0,040</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69CBD2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0,879</w:t>
            </w:r>
          </w:p>
          <w:p w14:paraId="36117B7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1,138</w:t>
            </w:r>
          </w:p>
        </w:tc>
        <w:tc>
          <w:tcPr>
            <w:tcW w:w="1947" w:type="dxa"/>
            <w:tcBorders>
              <w:top w:val="single" w:sz="4" w:space="0" w:color="auto"/>
              <w:left w:val="single" w:sz="4" w:space="0" w:color="auto"/>
              <w:bottom w:val="single" w:sz="4" w:space="0" w:color="auto"/>
              <w:right w:val="single" w:sz="4" w:space="0" w:color="auto"/>
            </w:tcBorders>
            <w:shd w:val="clear" w:color="auto" w:fill="auto"/>
          </w:tcPr>
          <w:p w14:paraId="57B9D56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0,200-3,859</w:t>
            </w:r>
          </w:p>
          <w:p w14:paraId="0F3C961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0,259-4,997</w:t>
            </w:r>
          </w:p>
        </w:tc>
        <w:tc>
          <w:tcPr>
            <w:tcW w:w="911" w:type="dxa"/>
            <w:tcBorders>
              <w:top w:val="single" w:sz="4" w:space="0" w:color="auto"/>
              <w:left w:val="single" w:sz="4" w:space="0" w:color="auto"/>
              <w:bottom w:val="single" w:sz="4" w:space="0" w:color="auto"/>
              <w:right w:val="single" w:sz="4" w:space="0" w:color="auto"/>
            </w:tcBorders>
            <w:shd w:val="clear" w:color="auto" w:fill="auto"/>
          </w:tcPr>
          <w:p w14:paraId="22573A7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0,842</w:t>
            </w:r>
          </w:p>
        </w:tc>
      </w:tr>
    </w:tbl>
    <w:p w14:paraId="7C95D857" w14:textId="77777777" w:rsidR="00180D3E" w:rsidRPr="00520861" w:rsidRDefault="00180D3E" w:rsidP="00292D2E">
      <w:pPr>
        <w:widowControl w:val="0"/>
        <w:pBdr>
          <w:top w:val="nil"/>
          <w:left w:val="nil"/>
          <w:bottom w:val="nil"/>
          <w:right w:val="nil"/>
          <w:between w:val="nil"/>
        </w:pBdr>
        <w:jc w:val="right"/>
        <w:rPr>
          <w:rFonts w:eastAsia="Calibri"/>
          <w:i/>
          <w:color w:val="000000"/>
          <w:sz w:val="28"/>
          <w:szCs w:val="28"/>
          <w:lang w:val="ru-RU"/>
        </w:rPr>
      </w:pPr>
      <w:r w:rsidRPr="00520861">
        <w:rPr>
          <w:rFonts w:eastAsia="Calibri"/>
          <w:i/>
          <w:color w:val="000000"/>
          <w:sz w:val="28"/>
          <w:szCs w:val="28"/>
        </w:rPr>
        <w:t>Продовження таблиці 7.7</w:t>
      </w:r>
    </w:p>
    <w:tbl>
      <w:tblPr>
        <w:tblW w:w="97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680"/>
        <w:gridCol w:w="21"/>
        <w:gridCol w:w="1559"/>
        <w:gridCol w:w="41"/>
        <w:gridCol w:w="1235"/>
        <w:gridCol w:w="1905"/>
        <w:gridCol w:w="42"/>
        <w:gridCol w:w="1029"/>
      </w:tblGrid>
      <w:tr w:rsidR="00180D3E" w:rsidRPr="00520861" w14:paraId="5DC27C7A" w14:textId="77777777" w:rsidTr="00292D2E">
        <w:trPr>
          <w:jc w:val="center"/>
        </w:trPr>
        <w:tc>
          <w:tcPr>
            <w:tcW w:w="2263" w:type="dxa"/>
            <w:tcBorders>
              <w:left w:val="single" w:sz="4" w:space="0" w:color="auto"/>
              <w:right w:val="single" w:sz="4" w:space="0" w:color="auto"/>
            </w:tcBorders>
            <w:shd w:val="clear" w:color="auto" w:fill="auto"/>
          </w:tcPr>
          <w:p w14:paraId="1B998E53" w14:textId="77777777" w:rsidR="00180D3E" w:rsidRPr="00520861" w:rsidRDefault="00180D3E" w:rsidP="00292D2E">
            <w:pPr>
              <w:widowControl w:val="0"/>
              <w:spacing w:line="360" w:lineRule="auto"/>
              <w:rPr>
                <w:rFonts w:eastAsia="Calibri"/>
                <w:sz w:val="28"/>
                <w:szCs w:val="28"/>
                <w:lang w:eastAsia="en-US"/>
              </w:rPr>
            </w:pPr>
            <w:r w:rsidRPr="00520861">
              <w:rPr>
                <w:rFonts w:eastAsia="Calibri"/>
                <w:sz w:val="28"/>
                <w:szCs w:val="28"/>
                <w:lang w:eastAsia="en-US"/>
              </w:rPr>
              <w:t>1</w:t>
            </w:r>
          </w:p>
        </w:tc>
        <w:tc>
          <w:tcPr>
            <w:tcW w:w="1680" w:type="dxa"/>
            <w:tcBorders>
              <w:top w:val="single" w:sz="4" w:space="0" w:color="auto"/>
              <w:left w:val="single" w:sz="4" w:space="0" w:color="auto"/>
              <w:bottom w:val="single" w:sz="4" w:space="0" w:color="auto"/>
              <w:right w:val="single" w:sz="4" w:space="0" w:color="auto"/>
            </w:tcBorders>
            <w:shd w:val="clear" w:color="auto" w:fill="auto"/>
          </w:tcPr>
          <w:p w14:paraId="6CF5BE6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w:t>
            </w:r>
          </w:p>
        </w:tc>
        <w:tc>
          <w:tcPr>
            <w:tcW w:w="1580" w:type="dxa"/>
            <w:gridSpan w:val="2"/>
            <w:tcBorders>
              <w:top w:val="single" w:sz="4" w:space="0" w:color="auto"/>
              <w:left w:val="single" w:sz="4" w:space="0" w:color="auto"/>
              <w:bottom w:val="single" w:sz="4" w:space="0" w:color="auto"/>
              <w:right w:val="single" w:sz="4" w:space="0" w:color="auto"/>
            </w:tcBorders>
            <w:shd w:val="clear" w:color="auto" w:fill="auto"/>
          </w:tcPr>
          <w:p w14:paraId="2A971EE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14:paraId="0288A27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4</w:t>
            </w:r>
          </w:p>
        </w:tc>
        <w:tc>
          <w:tcPr>
            <w:tcW w:w="1905" w:type="dxa"/>
            <w:tcBorders>
              <w:top w:val="single" w:sz="4" w:space="0" w:color="auto"/>
              <w:left w:val="single" w:sz="4" w:space="0" w:color="auto"/>
              <w:bottom w:val="single" w:sz="4" w:space="0" w:color="auto"/>
              <w:right w:val="single" w:sz="4" w:space="0" w:color="auto"/>
            </w:tcBorders>
            <w:shd w:val="clear" w:color="auto" w:fill="auto"/>
          </w:tcPr>
          <w:p w14:paraId="4ECC707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5</w:t>
            </w:r>
          </w:p>
        </w:tc>
        <w:tc>
          <w:tcPr>
            <w:tcW w:w="1071" w:type="dxa"/>
            <w:gridSpan w:val="2"/>
            <w:tcBorders>
              <w:top w:val="single" w:sz="4" w:space="0" w:color="auto"/>
              <w:left w:val="single" w:sz="4" w:space="0" w:color="auto"/>
              <w:bottom w:val="single" w:sz="4" w:space="0" w:color="auto"/>
              <w:right w:val="single" w:sz="4" w:space="0" w:color="auto"/>
            </w:tcBorders>
            <w:shd w:val="clear" w:color="auto" w:fill="auto"/>
          </w:tcPr>
          <w:p w14:paraId="14034D8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6</w:t>
            </w:r>
          </w:p>
        </w:tc>
      </w:tr>
      <w:tr w:rsidR="00180D3E" w:rsidRPr="00520861" w14:paraId="53147C4C" w14:textId="77777777" w:rsidTr="00292D2E">
        <w:trPr>
          <w:jc w:val="center"/>
        </w:trPr>
        <w:tc>
          <w:tcPr>
            <w:tcW w:w="2263" w:type="dxa"/>
            <w:vMerge w:val="restart"/>
            <w:tcBorders>
              <w:left w:val="single" w:sz="4" w:space="0" w:color="auto"/>
              <w:right w:val="single" w:sz="4" w:space="0" w:color="auto"/>
            </w:tcBorders>
            <w:shd w:val="clear" w:color="auto" w:fill="auto"/>
          </w:tcPr>
          <w:p w14:paraId="092E29E4" w14:textId="77777777" w:rsidR="00180D3E" w:rsidRPr="00520861" w:rsidRDefault="00180D3E" w:rsidP="00292D2E">
            <w:pPr>
              <w:widowControl w:val="0"/>
              <w:spacing w:line="360" w:lineRule="auto"/>
              <w:rPr>
                <w:rFonts w:eastAsia="Calibri"/>
                <w:sz w:val="28"/>
                <w:szCs w:val="28"/>
                <w:lang w:eastAsia="en-US"/>
              </w:rPr>
            </w:pPr>
          </w:p>
        </w:tc>
        <w:tc>
          <w:tcPr>
            <w:tcW w:w="7512" w:type="dxa"/>
            <w:gridSpan w:val="8"/>
            <w:tcBorders>
              <w:top w:val="single" w:sz="4" w:space="0" w:color="auto"/>
              <w:left w:val="single" w:sz="4" w:space="0" w:color="auto"/>
              <w:bottom w:val="single" w:sz="4" w:space="0" w:color="auto"/>
              <w:right w:val="single" w:sz="4" w:space="0" w:color="auto"/>
            </w:tcBorders>
            <w:shd w:val="clear" w:color="auto" w:fill="auto"/>
          </w:tcPr>
          <w:p w14:paraId="4B09D3F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Домінантна модель</w:t>
            </w:r>
          </w:p>
        </w:tc>
      </w:tr>
      <w:tr w:rsidR="00180D3E" w:rsidRPr="00520861" w14:paraId="2108FF32" w14:textId="77777777" w:rsidTr="00292D2E">
        <w:trPr>
          <w:jc w:val="center"/>
        </w:trPr>
        <w:tc>
          <w:tcPr>
            <w:tcW w:w="2263" w:type="dxa"/>
            <w:vMerge/>
            <w:tcBorders>
              <w:left w:val="single" w:sz="4" w:space="0" w:color="auto"/>
              <w:right w:val="single" w:sz="4" w:space="0" w:color="auto"/>
            </w:tcBorders>
            <w:shd w:val="clear" w:color="auto" w:fill="auto"/>
          </w:tcPr>
          <w:p w14:paraId="53F14ED8" w14:textId="77777777" w:rsidR="00180D3E" w:rsidRPr="00520861" w:rsidRDefault="00180D3E" w:rsidP="00292D2E">
            <w:pPr>
              <w:widowControl w:val="0"/>
              <w:spacing w:line="360" w:lineRule="auto"/>
              <w:rPr>
                <w:rFonts w:eastAsia="Calibri"/>
                <w:sz w:val="28"/>
                <w:szCs w:val="28"/>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6B6A892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w:t>
            </w:r>
          </w:p>
          <w:p w14:paraId="711BE74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TC+CC</w:t>
            </w:r>
          </w:p>
        </w:tc>
        <w:tc>
          <w:tcPr>
            <w:tcW w:w="1600" w:type="dxa"/>
            <w:gridSpan w:val="2"/>
            <w:tcBorders>
              <w:top w:val="single" w:sz="4" w:space="0" w:color="auto"/>
              <w:left w:val="single" w:sz="4" w:space="0" w:color="auto"/>
              <w:bottom w:val="single" w:sz="4" w:space="0" w:color="auto"/>
              <w:right w:val="single" w:sz="4" w:space="0" w:color="auto"/>
            </w:tcBorders>
            <w:shd w:val="clear" w:color="auto" w:fill="auto"/>
          </w:tcPr>
          <w:p w14:paraId="5685118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6,994</w:t>
            </w:r>
          </w:p>
        </w:tc>
        <w:tc>
          <w:tcPr>
            <w:tcW w:w="1235" w:type="dxa"/>
            <w:tcBorders>
              <w:top w:val="single" w:sz="4" w:space="0" w:color="auto"/>
              <w:left w:val="single" w:sz="4" w:space="0" w:color="auto"/>
              <w:bottom w:val="single" w:sz="4" w:space="0" w:color="auto"/>
              <w:right w:val="single" w:sz="4" w:space="0" w:color="auto"/>
            </w:tcBorders>
            <w:shd w:val="clear" w:color="auto" w:fill="auto"/>
          </w:tcPr>
          <w:p w14:paraId="49FDFD1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0,143</w:t>
            </w:r>
          </w:p>
          <w:p w14:paraId="2FE3837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7,000</w:t>
            </w:r>
          </w:p>
        </w:tc>
        <w:tc>
          <w:tcPr>
            <w:tcW w:w="1947" w:type="dxa"/>
            <w:gridSpan w:val="2"/>
            <w:tcBorders>
              <w:top w:val="single" w:sz="4" w:space="0" w:color="auto"/>
              <w:left w:val="single" w:sz="4" w:space="0" w:color="auto"/>
              <w:bottom w:val="single" w:sz="4" w:space="0" w:color="auto"/>
              <w:right w:val="single" w:sz="4" w:space="0" w:color="auto"/>
            </w:tcBorders>
            <w:shd w:val="clear" w:color="auto" w:fill="auto"/>
          </w:tcPr>
          <w:p w14:paraId="463869B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0,036-0,560</w:t>
            </w:r>
          </w:p>
          <w:p w14:paraId="7D3B7AD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1,786-27,437</w:t>
            </w:r>
          </w:p>
        </w:tc>
        <w:tc>
          <w:tcPr>
            <w:tcW w:w="1029" w:type="dxa"/>
            <w:tcBorders>
              <w:top w:val="single" w:sz="4" w:space="0" w:color="auto"/>
              <w:left w:val="single" w:sz="4" w:space="0" w:color="auto"/>
              <w:bottom w:val="single" w:sz="4" w:space="0" w:color="auto"/>
              <w:right w:val="single" w:sz="4" w:space="0" w:color="auto"/>
            </w:tcBorders>
            <w:shd w:val="clear" w:color="auto" w:fill="auto"/>
          </w:tcPr>
          <w:p w14:paraId="6DE5B97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0,008</w:t>
            </w:r>
          </w:p>
        </w:tc>
      </w:tr>
      <w:tr w:rsidR="00180D3E" w:rsidRPr="00520861" w14:paraId="588D933E" w14:textId="77777777" w:rsidTr="00292D2E">
        <w:trPr>
          <w:jc w:val="center"/>
        </w:trPr>
        <w:tc>
          <w:tcPr>
            <w:tcW w:w="2263" w:type="dxa"/>
            <w:vMerge/>
            <w:tcBorders>
              <w:left w:val="single" w:sz="4" w:space="0" w:color="auto"/>
              <w:right w:val="single" w:sz="4" w:space="0" w:color="auto"/>
            </w:tcBorders>
            <w:shd w:val="clear" w:color="auto" w:fill="auto"/>
          </w:tcPr>
          <w:p w14:paraId="7132E978" w14:textId="77777777" w:rsidR="00180D3E" w:rsidRPr="00520861" w:rsidRDefault="00180D3E" w:rsidP="00292D2E">
            <w:pPr>
              <w:widowControl w:val="0"/>
              <w:spacing w:line="360" w:lineRule="auto"/>
              <w:rPr>
                <w:rFonts w:eastAsia="Calibri"/>
                <w:sz w:val="28"/>
                <w:szCs w:val="28"/>
                <w:lang w:eastAsia="en-US"/>
              </w:rPr>
            </w:pPr>
          </w:p>
        </w:tc>
        <w:tc>
          <w:tcPr>
            <w:tcW w:w="7512" w:type="dxa"/>
            <w:gridSpan w:val="8"/>
            <w:tcBorders>
              <w:top w:val="single" w:sz="4" w:space="0" w:color="auto"/>
              <w:left w:val="single" w:sz="4" w:space="0" w:color="auto"/>
              <w:bottom w:val="single" w:sz="4" w:space="0" w:color="auto"/>
              <w:right w:val="single" w:sz="4" w:space="0" w:color="auto"/>
            </w:tcBorders>
            <w:shd w:val="clear" w:color="auto" w:fill="auto"/>
          </w:tcPr>
          <w:p w14:paraId="4933854C" w14:textId="77777777" w:rsidR="00180D3E" w:rsidRPr="00520861" w:rsidRDefault="00180D3E" w:rsidP="00292D2E">
            <w:pPr>
              <w:widowControl w:val="0"/>
              <w:spacing w:line="360" w:lineRule="auto"/>
              <w:jc w:val="center"/>
              <w:rPr>
                <w:rFonts w:eastAsia="Calibri"/>
                <w:sz w:val="28"/>
                <w:szCs w:val="28"/>
                <w:lang w:eastAsia="en-US"/>
              </w:rPr>
            </w:pP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w:t>
            </w:r>
          </w:p>
        </w:tc>
      </w:tr>
      <w:tr w:rsidR="00180D3E" w:rsidRPr="00520861" w14:paraId="2654719A" w14:textId="77777777" w:rsidTr="00292D2E">
        <w:trPr>
          <w:jc w:val="center"/>
        </w:trPr>
        <w:tc>
          <w:tcPr>
            <w:tcW w:w="2263" w:type="dxa"/>
            <w:vMerge/>
            <w:tcBorders>
              <w:left w:val="single" w:sz="4" w:space="0" w:color="auto"/>
              <w:right w:val="single" w:sz="4" w:space="0" w:color="auto"/>
            </w:tcBorders>
            <w:shd w:val="clear" w:color="auto" w:fill="auto"/>
          </w:tcPr>
          <w:p w14:paraId="4A569B2C" w14:textId="77777777" w:rsidR="00180D3E" w:rsidRPr="00520861" w:rsidRDefault="00180D3E" w:rsidP="00292D2E">
            <w:pPr>
              <w:widowControl w:val="0"/>
              <w:spacing w:line="360" w:lineRule="auto"/>
              <w:rPr>
                <w:rFonts w:eastAsia="Calibri"/>
                <w:sz w:val="28"/>
                <w:szCs w:val="28"/>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778BC52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 +CC</w:t>
            </w:r>
          </w:p>
          <w:p w14:paraId="4817E8D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TC</w:t>
            </w:r>
          </w:p>
        </w:tc>
        <w:tc>
          <w:tcPr>
            <w:tcW w:w="1600" w:type="dxa"/>
            <w:gridSpan w:val="2"/>
            <w:tcBorders>
              <w:top w:val="single" w:sz="4" w:space="0" w:color="auto"/>
              <w:left w:val="single" w:sz="4" w:space="0" w:color="auto"/>
              <w:bottom w:val="single" w:sz="4" w:space="0" w:color="auto"/>
              <w:right w:val="single" w:sz="4" w:space="0" w:color="auto"/>
            </w:tcBorders>
            <w:shd w:val="clear" w:color="auto" w:fill="auto"/>
          </w:tcPr>
          <w:p w14:paraId="584BB73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6,232</w:t>
            </w:r>
          </w:p>
        </w:tc>
        <w:tc>
          <w:tcPr>
            <w:tcW w:w="1235" w:type="dxa"/>
            <w:tcBorders>
              <w:top w:val="single" w:sz="4" w:space="0" w:color="auto"/>
              <w:left w:val="single" w:sz="4" w:space="0" w:color="auto"/>
              <w:bottom w:val="single" w:sz="4" w:space="0" w:color="auto"/>
              <w:right w:val="single" w:sz="4" w:space="0" w:color="auto"/>
            </w:tcBorders>
            <w:shd w:val="clear" w:color="auto" w:fill="auto"/>
          </w:tcPr>
          <w:p w14:paraId="6BC0037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0,077</w:t>
            </w:r>
          </w:p>
          <w:p w14:paraId="40526B5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13,000</w:t>
            </w:r>
          </w:p>
        </w:tc>
        <w:tc>
          <w:tcPr>
            <w:tcW w:w="1947" w:type="dxa"/>
            <w:gridSpan w:val="2"/>
            <w:tcBorders>
              <w:top w:val="single" w:sz="4" w:space="0" w:color="auto"/>
              <w:left w:val="single" w:sz="4" w:space="0" w:color="auto"/>
              <w:bottom w:val="single" w:sz="4" w:space="0" w:color="auto"/>
              <w:right w:val="single" w:sz="4" w:space="0" w:color="auto"/>
            </w:tcBorders>
            <w:shd w:val="clear" w:color="auto" w:fill="auto"/>
          </w:tcPr>
          <w:p w14:paraId="34ED94F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0,009-0,648</w:t>
            </w:r>
          </w:p>
          <w:p w14:paraId="1979B5A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1,543-109,511</w:t>
            </w:r>
          </w:p>
        </w:tc>
        <w:tc>
          <w:tcPr>
            <w:tcW w:w="1029" w:type="dxa"/>
            <w:tcBorders>
              <w:top w:val="single" w:sz="4" w:space="0" w:color="auto"/>
              <w:left w:val="single" w:sz="4" w:space="0" w:color="auto"/>
              <w:bottom w:val="single" w:sz="4" w:space="0" w:color="auto"/>
              <w:right w:val="single" w:sz="4" w:space="0" w:color="auto"/>
            </w:tcBorders>
            <w:shd w:val="clear" w:color="auto" w:fill="auto"/>
          </w:tcPr>
          <w:p w14:paraId="6D3BB32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0,013</w:t>
            </w:r>
          </w:p>
        </w:tc>
      </w:tr>
      <w:tr w:rsidR="00180D3E" w:rsidRPr="00520861" w14:paraId="707AAB2E" w14:textId="77777777" w:rsidTr="00292D2E">
        <w:trPr>
          <w:jc w:val="center"/>
        </w:trPr>
        <w:tc>
          <w:tcPr>
            <w:tcW w:w="2263" w:type="dxa"/>
            <w:vMerge/>
            <w:tcBorders>
              <w:left w:val="single" w:sz="4" w:space="0" w:color="auto"/>
              <w:right w:val="single" w:sz="4" w:space="0" w:color="auto"/>
            </w:tcBorders>
            <w:shd w:val="clear" w:color="auto" w:fill="auto"/>
          </w:tcPr>
          <w:p w14:paraId="1096EECD" w14:textId="77777777" w:rsidR="00180D3E" w:rsidRPr="00520861" w:rsidRDefault="00180D3E" w:rsidP="00292D2E">
            <w:pPr>
              <w:widowControl w:val="0"/>
              <w:spacing w:line="360" w:lineRule="auto"/>
              <w:rPr>
                <w:rFonts w:eastAsia="Calibri"/>
                <w:sz w:val="28"/>
                <w:szCs w:val="28"/>
                <w:lang w:eastAsia="en-US"/>
              </w:rPr>
            </w:pPr>
          </w:p>
        </w:tc>
        <w:tc>
          <w:tcPr>
            <w:tcW w:w="7512" w:type="dxa"/>
            <w:gridSpan w:val="8"/>
            <w:tcBorders>
              <w:top w:val="single" w:sz="4" w:space="0" w:color="auto"/>
              <w:left w:val="single" w:sz="4" w:space="0" w:color="auto"/>
              <w:bottom w:val="single" w:sz="4" w:space="0" w:color="auto"/>
              <w:right w:val="single" w:sz="4" w:space="0" w:color="auto"/>
            </w:tcBorders>
            <w:shd w:val="clear" w:color="auto" w:fill="auto"/>
          </w:tcPr>
          <w:p w14:paraId="0953D76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Мультиплікативна модель</w:t>
            </w:r>
          </w:p>
        </w:tc>
      </w:tr>
      <w:tr w:rsidR="00180D3E" w:rsidRPr="00520861" w14:paraId="1E799AF1" w14:textId="77777777" w:rsidTr="00292D2E">
        <w:trPr>
          <w:jc w:val="center"/>
        </w:trPr>
        <w:tc>
          <w:tcPr>
            <w:tcW w:w="2263" w:type="dxa"/>
            <w:vMerge/>
            <w:tcBorders>
              <w:left w:val="single" w:sz="4" w:space="0" w:color="auto"/>
              <w:bottom w:val="single" w:sz="4" w:space="0" w:color="auto"/>
              <w:right w:val="single" w:sz="4" w:space="0" w:color="auto"/>
            </w:tcBorders>
            <w:shd w:val="clear" w:color="auto" w:fill="auto"/>
          </w:tcPr>
          <w:p w14:paraId="2D060916" w14:textId="77777777" w:rsidR="00180D3E" w:rsidRPr="00520861" w:rsidRDefault="00180D3E" w:rsidP="00292D2E">
            <w:pPr>
              <w:widowControl w:val="0"/>
              <w:spacing w:line="360" w:lineRule="auto"/>
              <w:rPr>
                <w:rFonts w:eastAsia="Calibri"/>
                <w:sz w:val="28"/>
                <w:szCs w:val="28"/>
                <w:lang w:eastAsia="en-US"/>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14:paraId="5B9750C1" w14:textId="77777777" w:rsidR="00180D3E" w:rsidRPr="00520861" w:rsidRDefault="00180D3E" w:rsidP="00292D2E">
            <w:pPr>
              <w:widowControl w:val="0"/>
              <w:spacing w:before="60" w:after="60" w:line="360" w:lineRule="auto"/>
              <w:jc w:val="center"/>
              <w:rPr>
                <w:rFonts w:eastAsia="Calibri"/>
                <w:sz w:val="28"/>
                <w:szCs w:val="28"/>
                <w:lang w:eastAsia="en-US"/>
              </w:rPr>
            </w:pPr>
            <w:r w:rsidRPr="00520861">
              <w:rPr>
                <w:rFonts w:eastAsia="Calibri"/>
                <w:sz w:val="28"/>
                <w:szCs w:val="28"/>
                <w:lang w:eastAsia="en-US"/>
              </w:rPr>
              <w:t>T</w:t>
            </w:r>
          </w:p>
          <w:p w14:paraId="5701EC0E" w14:textId="77777777" w:rsidR="00180D3E" w:rsidRPr="00520861" w:rsidRDefault="00180D3E" w:rsidP="00292D2E">
            <w:pPr>
              <w:widowControl w:val="0"/>
              <w:spacing w:before="60" w:after="60" w:line="360" w:lineRule="auto"/>
              <w:jc w:val="center"/>
              <w:rPr>
                <w:rFonts w:eastAsia="Calibri"/>
                <w:sz w:val="28"/>
                <w:szCs w:val="28"/>
                <w:lang w:eastAsia="en-US"/>
              </w:rPr>
            </w:pPr>
            <w:r w:rsidRPr="00520861">
              <w:rPr>
                <w:rFonts w:eastAsia="Calibri"/>
                <w:sz w:val="28"/>
                <w:szCs w:val="28"/>
                <w:lang w:eastAsia="en-US"/>
              </w:rPr>
              <w:t>C</w:t>
            </w:r>
          </w:p>
        </w:tc>
        <w:tc>
          <w:tcPr>
            <w:tcW w:w="1600" w:type="dxa"/>
            <w:gridSpan w:val="2"/>
            <w:tcBorders>
              <w:top w:val="single" w:sz="4" w:space="0" w:color="auto"/>
              <w:left w:val="single" w:sz="4" w:space="0" w:color="auto"/>
              <w:bottom w:val="single" w:sz="4" w:space="0" w:color="auto"/>
              <w:right w:val="single" w:sz="4" w:space="0" w:color="auto"/>
            </w:tcBorders>
            <w:shd w:val="clear" w:color="auto" w:fill="auto"/>
          </w:tcPr>
          <w:p w14:paraId="7FC9BD28" w14:textId="77777777" w:rsidR="00180D3E" w:rsidRPr="00520861" w:rsidRDefault="00180D3E" w:rsidP="00292D2E">
            <w:pPr>
              <w:widowControl w:val="0"/>
              <w:spacing w:before="60" w:after="60" w:line="360" w:lineRule="auto"/>
              <w:jc w:val="center"/>
              <w:rPr>
                <w:rFonts w:eastAsia="Calibri"/>
                <w:sz w:val="28"/>
                <w:szCs w:val="28"/>
                <w:lang w:eastAsia="en-US"/>
              </w:rPr>
            </w:pPr>
            <w:r w:rsidRPr="00520861">
              <w:rPr>
                <w:rFonts w:eastAsia="Calibri"/>
                <w:sz w:val="28"/>
                <w:szCs w:val="28"/>
                <w:lang w:eastAsia="en-US"/>
              </w:rPr>
              <w:t>4,702</w:t>
            </w:r>
          </w:p>
        </w:tc>
        <w:tc>
          <w:tcPr>
            <w:tcW w:w="1235" w:type="dxa"/>
            <w:tcBorders>
              <w:top w:val="single" w:sz="4" w:space="0" w:color="auto"/>
              <w:left w:val="single" w:sz="4" w:space="0" w:color="auto"/>
              <w:bottom w:val="single" w:sz="4" w:space="0" w:color="auto"/>
              <w:right w:val="single" w:sz="4" w:space="0" w:color="auto"/>
            </w:tcBorders>
            <w:shd w:val="clear" w:color="auto" w:fill="auto"/>
          </w:tcPr>
          <w:p w14:paraId="796AB332" w14:textId="77777777" w:rsidR="00180D3E" w:rsidRPr="00520861" w:rsidRDefault="00180D3E" w:rsidP="00292D2E">
            <w:pPr>
              <w:widowControl w:val="0"/>
              <w:spacing w:before="60" w:after="60" w:line="360" w:lineRule="auto"/>
              <w:jc w:val="center"/>
              <w:rPr>
                <w:rFonts w:eastAsia="Calibri"/>
                <w:sz w:val="28"/>
                <w:szCs w:val="28"/>
                <w:lang w:eastAsia="en-US"/>
              </w:rPr>
            </w:pPr>
            <w:r w:rsidRPr="00520861">
              <w:rPr>
                <w:rFonts w:eastAsia="Calibri"/>
                <w:sz w:val="28"/>
                <w:szCs w:val="28"/>
                <w:lang w:eastAsia="en-US"/>
              </w:rPr>
              <w:t>0,351</w:t>
            </w:r>
          </w:p>
          <w:p w14:paraId="0D69752F" w14:textId="77777777" w:rsidR="00180D3E" w:rsidRPr="00520861" w:rsidRDefault="00180D3E" w:rsidP="00292D2E">
            <w:pPr>
              <w:widowControl w:val="0"/>
              <w:spacing w:before="60" w:after="60" w:line="360" w:lineRule="auto"/>
              <w:jc w:val="center"/>
              <w:rPr>
                <w:rFonts w:eastAsia="Calibri"/>
                <w:sz w:val="28"/>
                <w:szCs w:val="28"/>
                <w:lang w:eastAsia="en-US"/>
              </w:rPr>
            </w:pPr>
            <w:r w:rsidRPr="00520861">
              <w:rPr>
                <w:rFonts w:eastAsia="Calibri"/>
                <w:sz w:val="28"/>
                <w:szCs w:val="28"/>
                <w:lang w:eastAsia="en-US"/>
              </w:rPr>
              <w:t>2,846</w:t>
            </w:r>
          </w:p>
        </w:tc>
        <w:tc>
          <w:tcPr>
            <w:tcW w:w="1947" w:type="dxa"/>
            <w:gridSpan w:val="2"/>
            <w:tcBorders>
              <w:top w:val="single" w:sz="4" w:space="0" w:color="auto"/>
              <w:left w:val="single" w:sz="4" w:space="0" w:color="auto"/>
              <w:bottom w:val="single" w:sz="4" w:space="0" w:color="auto"/>
              <w:right w:val="single" w:sz="4" w:space="0" w:color="auto"/>
            </w:tcBorders>
            <w:shd w:val="clear" w:color="auto" w:fill="auto"/>
          </w:tcPr>
          <w:p w14:paraId="21C154D5" w14:textId="77777777" w:rsidR="00180D3E" w:rsidRPr="00520861" w:rsidRDefault="00180D3E" w:rsidP="00292D2E">
            <w:pPr>
              <w:widowControl w:val="0"/>
              <w:spacing w:before="60" w:after="60" w:line="360" w:lineRule="auto"/>
              <w:jc w:val="center"/>
              <w:rPr>
                <w:rFonts w:eastAsia="Calibri"/>
                <w:sz w:val="28"/>
                <w:szCs w:val="28"/>
                <w:lang w:eastAsia="en-US"/>
              </w:rPr>
            </w:pPr>
            <w:r w:rsidRPr="00520861">
              <w:rPr>
                <w:rFonts w:eastAsia="Calibri"/>
                <w:sz w:val="28"/>
                <w:szCs w:val="28"/>
                <w:lang w:eastAsia="en-US"/>
              </w:rPr>
              <w:t>0,134-0,924</w:t>
            </w:r>
          </w:p>
          <w:p w14:paraId="10E0312B" w14:textId="77777777" w:rsidR="00180D3E" w:rsidRPr="00520861" w:rsidRDefault="00180D3E" w:rsidP="00292D2E">
            <w:pPr>
              <w:widowControl w:val="0"/>
              <w:spacing w:before="60" w:after="60" w:line="360" w:lineRule="auto"/>
              <w:jc w:val="center"/>
              <w:rPr>
                <w:rFonts w:eastAsia="Calibri"/>
                <w:sz w:val="28"/>
                <w:szCs w:val="28"/>
                <w:lang w:eastAsia="en-US"/>
              </w:rPr>
            </w:pPr>
            <w:r w:rsidRPr="00520861">
              <w:rPr>
                <w:rFonts w:eastAsia="Calibri"/>
                <w:sz w:val="28"/>
                <w:szCs w:val="28"/>
                <w:lang w:eastAsia="en-US"/>
              </w:rPr>
              <w:t>1,083-7,482</w:t>
            </w:r>
          </w:p>
        </w:tc>
        <w:tc>
          <w:tcPr>
            <w:tcW w:w="1029" w:type="dxa"/>
            <w:tcBorders>
              <w:top w:val="single" w:sz="4" w:space="0" w:color="auto"/>
              <w:left w:val="single" w:sz="4" w:space="0" w:color="auto"/>
              <w:bottom w:val="single" w:sz="4" w:space="0" w:color="auto"/>
              <w:right w:val="single" w:sz="4" w:space="0" w:color="auto"/>
            </w:tcBorders>
            <w:shd w:val="clear" w:color="auto" w:fill="auto"/>
          </w:tcPr>
          <w:p w14:paraId="03CB0488" w14:textId="77777777" w:rsidR="00180D3E" w:rsidRPr="00520861" w:rsidRDefault="00180D3E" w:rsidP="00292D2E">
            <w:pPr>
              <w:widowControl w:val="0"/>
              <w:spacing w:before="60" w:after="60" w:line="360" w:lineRule="auto"/>
              <w:jc w:val="center"/>
              <w:rPr>
                <w:rFonts w:eastAsia="Calibri"/>
                <w:sz w:val="28"/>
                <w:szCs w:val="28"/>
                <w:lang w:eastAsia="en-US"/>
              </w:rPr>
            </w:pPr>
            <w:r w:rsidRPr="00520861">
              <w:rPr>
                <w:rFonts w:eastAsia="Calibri"/>
                <w:sz w:val="28"/>
                <w:szCs w:val="28"/>
                <w:lang w:eastAsia="en-US"/>
              </w:rPr>
              <w:t>0,030</w:t>
            </w:r>
          </w:p>
        </w:tc>
      </w:tr>
    </w:tbl>
    <w:p w14:paraId="3A39D89B" w14:textId="77777777" w:rsidR="00180D3E" w:rsidRPr="00520861" w:rsidRDefault="00180D3E" w:rsidP="00292D2E">
      <w:pPr>
        <w:widowControl w:val="0"/>
        <w:spacing w:line="360" w:lineRule="auto"/>
        <w:ind w:firstLine="720"/>
        <w:jc w:val="both"/>
        <w:rPr>
          <w:rFonts w:eastAsia="Calibri"/>
          <w:sz w:val="28"/>
          <w:szCs w:val="28"/>
          <w:lang w:eastAsia="en-US"/>
        </w:rPr>
      </w:pPr>
    </w:p>
    <w:p w14:paraId="58378FF8"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Наявність алеля Т (</w:t>
      </w:r>
      <w:r w:rsidRPr="00520861">
        <w:rPr>
          <w:rFonts w:eastAsia="Calibri"/>
          <w:i/>
          <w:spacing w:val="-4"/>
          <w:sz w:val="28"/>
          <w:szCs w:val="28"/>
          <w:lang w:eastAsia="en-US"/>
        </w:rPr>
        <w:t>ESR1: -397 T&gt;C [</w:t>
      </w:r>
      <w:proofErr w:type="spellStart"/>
      <w:r w:rsidRPr="00520861">
        <w:rPr>
          <w:rFonts w:eastAsia="Calibri"/>
          <w:i/>
          <w:spacing w:val="-4"/>
          <w:sz w:val="28"/>
          <w:szCs w:val="28"/>
          <w:lang w:eastAsia="en-US"/>
        </w:rPr>
        <w:t>PvuII</w:t>
      </w:r>
      <w:proofErr w:type="spellEnd"/>
      <w:r w:rsidRPr="00520861">
        <w:rPr>
          <w:rFonts w:eastAsia="Calibri"/>
          <w:i/>
          <w:spacing w:val="-4"/>
          <w:sz w:val="28"/>
          <w:szCs w:val="28"/>
          <w:lang w:eastAsia="en-US"/>
        </w:rPr>
        <w:t>]</w:t>
      </w:r>
      <w:r w:rsidRPr="00520861">
        <w:rPr>
          <w:rFonts w:eastAsia="Calibri"/>
          <w:sz w:val="28"/>
          <w:szCs w:val="28"/>
          <w:lang w:eastAsia="en-US"/>
        </w:rPr>
        <w:t xml:space="preserve">) є фактором ризику виникнення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в осіб, які народилися </w:t>
      </w:r>
      <w:proofErr w:type="spellStart"/>
      <w:r w:rsidRPr="00520861">
        <w:rPr>
          <w:rFonts w:eastAsia="Calibri"/>
          <w:sz w:val="28"/>
          <w:szCs w:val="28"/>
          <w:lang w:eastAsia="en-US"/>
        </w:rPr>
        <w:t>маросомами</w:t>
      </w:r>
      <w:proofErr w:type="spellEnd"/>
      <w:r w:rsidRPr="00520861">
        <w:rPr>
          <w:rFonts w:eastAsia="Calibri"/>
          <w:sz w:val="28"/>
          <w:szCs w:val="28"/>
          <w:lang w:eastAsia="en-US"/>
        </w:rPr>
        <w:t>.</w:t>
      </w:r>
    </w:p>
    <w:p w14:paraId="669AF8E1"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За наявності генотипу ТТ в гені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 −</w:t>
      </w:r>
      <w:r w:rsidRPr="00520861">
        <w:rPr>
          <w:rFonts w:eastAsia="Calibri"/>
          <w:bCs/>
          <w:i/>
          <w:sz w:val="28"/>
          <w:szCs w:val="28"/>
          <w:lang w:eastAsia="en-US"/>
        </w:rPr>
        <w:t>31</w:t>
      </w:r>
      <w:r w:rsidRPr="00520861">
        <w:rPr>
          <w:rFonts w:eastAsia="Calibri"/>
          <w:bCs/>
          <w:sz w:val="28"/>
          <w:szCs w:val="28"/>
          <w:lang w:eastAsia="en-US"/>
        </w:rPr>
        <w:t xml:space="preserve"> </w:t>
      </w:r>
      <w:r w:rsidRPr="00520861">
        <w:rPr>
          <w:rFonts w:eastAsia="Calibri"/>
          <w:bCs/>
          <w:i/>
          <w:sz w:val="28"/>
          <w:szCs w:val="28"/>
          <w:lang w:eastAsia="en-US"/>
        </w:rPr>
        <w:t>T&gt;C</w:t>
      </w:r>
      <w:r w:rsidRPr="00520861">
        <w:rPr>
          <w:rFonts w:eastAsia="Calibri"/>
          <w:bCs/>
          <w:sz w:val="28"/>
          <w:szCs w:val="28"/>
          <w:lang w:eastAsia="en-US"/>
        </w:rPr>
        <w:t xml:space="preserve"> [</w:t>
      </w:r>
      <w:r w:rsidRPr="00520861">
        <w:rPr>
          <w:rFonts w:eastAsia="Calibri"/>
          <w:sz w:val="28"/>
          <w:szCs w:val="28"/>
          <w:lang w:eastAsia="en-US"/>
        </w:rPr>
        <w:t xml:space="preserve">rs1143627] шанс розвитку запального варіанту перебігу захворювання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менший в 7,0 разів, ніж за наявності генотипу TC або CC (домінантна модель успадкування). </w:t>
      </w:r>
    </w:p>
    <w:p w14:paraId="624ABD22" w14:textId="77777777" w:rsidR="00180D3E" w:rsidRPr="00520861" w:rsidRDefault="00180D3E" w:rsidP="00292D2E">
      <w:pPr>
        <w:widowControl w:val="0"/>
        <w:spacing w:line="360" w:lineRule="auto"/>
        <w:ind w:firstLine="709"/>
        <w:jc w:val="both"/>
        <w:rPr>
          <w:rFonts w:eastAsia="Calibri"/>
          <w:sz w:val="28"/>
          <w:szCs w:val="28"/>
          <w:lang w:eastAsia="en-US"/>
        </w:rPr>
      </w:pPr>
      <w:proofErr w:type="spellStart"/>
      <w:r w:rsidRPr="00520861">
        <w:rPr>
          <w:rFonts w:eastAsia="Calibri"/>
          <w:sz w:val="28"/>
          <w:szCs w:val="28"/>
          <w:lang w:eastAsia="en-US"/>
        </w:rPr>
        <w:t>Протективні</w:t>
      </w:r>
      <w:proofErr w:type="spellEnd"/>
      <w:r w:rsidRPr="00520861">
        <w:rPr>
          <w:rFonts w:eastAsia="Calibri"/>
          <w:sz w:val="28"/>
          <w:szCs w:val="28"/>
          <w:lang w:eastAsia="en-US"/>
        </w:rPr>
        <w:t xml:space="preserve"> властивості має алель Т (мультиплікативна модель успадкування) – шанс того, що </w:t>
      </w:r>
      <w:proofErr w:type="spellStart"/>
      <w:r w:rsidRPr="00520861">
        <w:rPr>
          <w:rFonts w:eastAsia="Calibri"/>
          <w:sz w:val="28"/>
          <w:szCs w:val="28"/>
          <w:lang w:eastAsia="en-US"/>
        </w:rPr>
        <w:t>дистрофічно</w:t>
      </w:r>
      <w:proofErr w:type="spellEnd"/>
      <w:r w:rsidRPr="00520861">
        <w:rPr>
          <w:rFonts w:eastAsia="Calibri"/>
          <w:sz w:val="28"/>
          <w:szCs w:val="28"/>
          <w:lang w:eastAsia="en-US"/>
        </w:rPr>
        <w:t xml:space="preserve">-запальні захворювання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будуть перебігати з превалюванням запального процесу в носіїв цього алеля зменшується практично в 2,8 разів, порівняно з носіями алеля С. Відповідно, за наявності алеля С шанс формування порушень із схильністю до запальних процесів у стільки ж разів збільшується. Також виявилося, що саме наявність гетерозиготного варіанта TC гена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 xml:space="preserve">: </w:t>
      </w:r>
      <w:r w:rsidRPr="00520861">
        <w:rPr>
          <w:rFonts w:eastAsia="Calibri"/>
          <w:bCs/>
          <w:sz w:val="28"/>
          <w:szCs w:val="28"/>
          <w:lang w:eastAsia="en-US"/>
        </w:rPr>
        <w:t>[</w:t>
      </w:r>
      <w:r w:rsidRPr="00520861">
        <w:rPr>
          <w:rFonts w:eastAsia="Calibri"/>
          <w:sz w:val="28"/>
          <w:szCs w:val="28"/>
          <w:lang w:eastAsia="en-US"/>
        </w:rPr>
        <w:t>rs1143627]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є фактором ризику </w:t>
      </w:r>
      <w:r w:rsidRPr="00520861">
        <w:rPr>
          <w:rFonts w:eastAsia="Calibri"/>
          <w:sz w:val="28"/>
          <w:szCs w:val="28"/>
          <w:lang w:eastAsia="en-US"/>
        </w:rPr>
        <w:br/>
        <w:t xml:space="preserve">розвитку захворювання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з превалюванням запального варіанта перебігу  – шанси збільшуються в 13 разів. Значущі відмінності в розподілі поліморфних варіантів для гена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sz w:val="28"/>
          <w:szCs w:val="28"/>
          <w:lang w:eastAsia="en-US"/>
        </w:rPr>
        <w:t xml:space="preserve"> під час порівняння ОГ ПДП та ГП ілюструє таблиця 7.8. </w:t>
      </w:r>
    </w:p>
    <w:p w14:paraId="6846A2AE"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 осіб із ОГ ПДП, як і в осіб ОГ ПЗП, фіксується підвищення частоти </w:t>
      </w:r>
      <w:r w:rsidRPr="00520861">
        <w:rPr>
          <w:rFonts w:eastAsia="Calibri"/>
          <w:sz w:val="28"/>
          <w:szCs w:val="28"/>
          <w:lang w:eastAsia="en-US"/>
        </w:rPr>
        <w:br/>
        <w:t xml:space="preserve">розповсюдження гетерозиготного варіанта гена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 xml:space="preserve"> </w:t>
      </w:r>
      <w:r w:rsidRPr="00520861">
        <w:rPr>
          <w:rFonts w:eastAsia="Calibri"/>
          <w:sz w:val="28"/>
          <w:szCs w:val="28"/>
          <w:lang w:eastAsia="en-US"/>
        </w:rPr>
        <w:t xml:space="preserve">[rs1143627]. </w:t>
      </w:r>
    </w:p>
    <w:p w14:paraId="78DBEB89"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Шанси розвитку захворювання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зі схильністю до дистрофічних процесів при наявності генотипу TC в 10 разів вищі, ніж при наявності гомозиготних варіантів цього гена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Отже, гомозиготний варіант TT гена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 xml:space="preserve"> </w:t>
      </w:r>
      <w:r w:rsidRPr="00520861">
        <w:rPr>
          <w:rFonts w:eastAsia="Calibri"/>
          <w:sz w:val="28"/>
          <w:szCs w:val="28"/>
          <w:lang w:eastAsia="en-US"/>
        </w:rPr>
        <w:t xml:space="preserve">[rs1143627] виявився </w:t>
      </w:r>
      <w:proofErr w:type="spellStart"/>
      <w:r w:rsidRPr="00520861">
        <w:rPr>
          <w:rFonts w:eastAsia="Calibri"/>
          <w:sz w:val="28"/>
          <w:szCs w:val="28"/>
          <w:lang w:eastAsia="en-US"/>
        </w:rPr>
        <w:t>протективним</w:t>
      </w:r>
      <w:proofErr w:type="spellEnd"/>
      <w:r w:rsidRPr="00520861">
        <w:rPr>
          <w:rFonts w:eastAsia="Calibri"/>
          <w:sz w:val="28"/>
          <w:szCs w:val="28"/>
          <w:lang w:eastAsia="en-US"/>
        </w:rPr>
        <w:t xml:space="preserve"> до розвитку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як зі схильністю до запального процесу (ОГ ПЗП), так і зі схильністю до дистрофічного процесу (ОГ ПДП).</w:t>
      </w:r>
    </w:p>
    <w:p w14:paraId="27E7F06A" w14:textId="77777777" w:rsidR="00180D3E" w:rsidRPr="00520861" w:rsidRDefault="00180D3E" w:rsidP="00292D2E">
      <w:pPr>
        <w:widowControl w:val="0"/>
        <w:spacing w:line="360" w:lineRule="auto"/>
        <w:ind w:firstLine="709"/>
        <w:jc w:val="both"/>
        <w:rPr>
          <w:rFonts w:eastAsia="Calibri"/>
          <w:spacing w:val="-2"/>
          <w:sz w:val="28"/>
          <w:szCs w:val="28"/>
          <w:lang w:eastAsia="en-US"/>
        </w:rPr>
      </w:pPr>
      <w:r w:rsidRPr="00520861">
        <w:rPr>
          <w:rFonts w:eastAsia="Calibri"/>
          <w:spacing w:val="-2"/>
          <w:sz w:val="28"/>
          <w:szCs w:val="28"/>
          <w:lang w:eastAsia="en-US"/>
        </w:rPr>
        <w:t xml:space="preserve">Були виявлені значущі відмінності частот розподілу </w:t>
      </w:r>
      <w:r w:rsidRPr="00520861">
        <w:rPr>
          <w:rFonts w:eastAsia="Calibri"/>
          <w:sz w:val="28"/>
          <w:szCs w:val="28"/>
          <w:lang w:eastAsia="en-US"/>
        </w:rPr>
        <w:t xml:space="preserve">поліморфних варіантів за геном </w:t>
      </w:r>
      <w:r w:rsidRPr="00520861">
        <w:rPr>
          <w:rFonts w:eastAsia="Calibri"/>
          <w:i/>
          <w:sz w:val="28"/>
          <w:szCs w:val="28"/>
          <w:lang w:eastAsia="en-US"/>
        </w:rPr>
        <w:t xml:space="preserve">RANKL: </w:t>
      </w:r>
      <w:r w:rsidRPr="00520861">
        <w:rPr>
          <w:rFonts w:eastAsia="Calibri"/>
          <w:sz w:val="28"/>
          <w:szCs w:val="28"/>
          <w:lang w:eastAsia="en-US"/>
        </w:rPr>
        <w:t xml:space="preserve">[rs9594738] і [rs9594759] між особами ОГ ПЗП і ОГ ПДП </w:t>
      </w:r>
      <w:r w:rsidRPr="00520861">
        <w:rPr>
          <w:rFonts w:eastAsia="Calibri"/>
          <w:spacing w:val="-2"/>
          <w:sz w:val="28"/>
          <w:szCs w:val="28"/>
          <w:lang w:eastAsia="en-US"/>
        </w:rPr>
        <w:t xml:space="preserve">(табл. 7.9). </w:t>
      </w:r>
    </w:p>
    <w:p w14:paraId="07FEDFEA" w14:textId="77777777" w:rsidR="00180D3E" w:rsidRPr="00520861" w:rsidRDefault="00180D3E" w:rsidP="00292D2E">
      <w:pPr>
        <w:widowControl w:val="0"/>
        <w:spacing w:after="160" w:line="259" w:lineRule="auto"/>
        <w:jc w:val="right"/>
        <w:rPr>
          <w:rFonts w:eastAsia="Calibri"/>
          <w:i/>
          <w:sz w:val="28"/>
          <w:szCs w:val="28"/>
          <w:lang w:eastAsia="en-US"/>
        </w:rPr>
      </w:pPr>
      <w:r w:rsidRPr="00520861">
        <w:rPr>
          <w:rFonts w:eastAsia="Calibri"/>
          <w:i/>
          <w:sz w:val="28"/>
          <w:szCs w:val="28"/>
          <w:lang w:eastAsia="en-US"/>
        </w:rPr>
        <w:t xml:space="preserve">Таблиця 7.8 </w:t>
      </w:r>
    </w:p>
    <w:p w14:paraId="57E0B979" w14:textId="77777777" w:rsidR="00180D3E" w:rsidRPr="00520861" w:rsidRDefault="00180D3E" w:rsidP="00292D2E">
      <w:pPr>
        <w:widowControl w:val="0"/>
        <w:spacing w:line="360" w:lineRule="auto"/>
        <w:jc w:val="center"/>
        <w:rPr>
          <w:rFonts w:eastAsia="Calibri"/>
          <w:b/>
          <w:i/>
          <w:sz w:val="28"/>
          <w:szCs w:val="28"/>
          <w:lang w:eastAsia="en-US"/>
        </w:rPr>
      </w:pPr>
      <w:r w:rsidRPr="00520861">
        <w:rPr>
          <w:rFonts w:eastAsia="Calibri"/>
          <w:b/>
          <w:sz w:val="28"/>
          <w:szCs w:val="28"/>
          <w:lang w:eastAsia="en-US"/>
        </w:rPr>
        <w:lastRenderedPageBreak/>
        <w:t xml:space="preserve">Порівняння частот розподілу поліморфних варіантів за геном </w:t>
      </w:r>
      <w:r w:rsidRPr="00520861">
        <w:rPr>
          <w:rFonts w:eastAsia="Calibri"/>
          <w:b/>
          <w:i/>
          <w:sz w:val="28"/>
          <w:szCs w:val="28"/>
          <w:lang w:eastAsia="en-US"/>
        </w:rPr>
        <w:t>IL-1</w:t>
      </w:r>
      <w:r w:rsidRPr="00520861">
        <w:rPr>
          <w:rFonts w:eastAsia="Calibri"/>
          <w:b/>
          <w:i/>
          <w:sz w:val="28"/>
          <w:szCs w:val="28"/>
          <w:lang w:eastAsia="en-US"/>
        </w:rPr>
        <w:sym w:font="Symbol" w:char="F062"/>
      </w:r>
      <w:r w:rsidRPr="00520861">
        <w:rPr>
          <w:rFonts w:eastAsia="Calibri"/>
          <w:b/>
          <w:i/>
          <w:sz w:val="28"/>
          <w:szCs w:val="28"/>
          <w:lang w:eastAsia="en-US"/>
        </w:rPr>
        <w:t>: −</w:t>
      </w:r>
      <w:r w:rsidRPr="00520861">
        <w:rPr>
          <w:rFonts w:eastAsia="Calibri"/>
          <w:b/>
          <w:bCs/>
          <w:i/>
          <w:sz w:val="28"/>
          <w:szCs w:val="28"/>
          <w:lang w:eastAsia="en-US"/>
        </w:rPr>
        <w:t>31 T</w:t>
      </w:r>
      <w:r w:rsidRPr="00520861">
        <w:rPr>
          <w:rFonts w:eastAsia="Calibri"/>
          <w:b/>
          <w:i/>
          <w:sz w:val="28"/>
          <w:szCs w:val="28"/>
          <w:lang w:eastAsia="en-US"/>
        </w:rPr>
        <w:t>&gt;</w:t>
      </w:r>
      <w:r w:rsidRPr="00520861">
        <w:rPr>
          <w:rFonts w:eastAsia="Calibri"/>
          <w:b/>
          <w:bCs/>
          <w:i/>
          <w:sz w:val="28"/>
          <w:szCs w:val="28"/>
          <w:lang w:eastAsia="en-US"/>
        </w:rPr>
        <w:t>C</w:t>
      </w:r>
      <w:r w:rsidRPr="00520861">
        <w:rPr>
          <w:rFonts w:eastAsia="Calibri"/>
          <w:b/>
          <w:i/>
          <w:sz w:val="28"/>
          <w:szCs w:val="28"/>
          <w:lang w:eastAsia="en-US"/>
        </w:rPr>
        <w:t> </w:t>
      </w:r>
    </w:p>
    <w:p w14:paraId="633829E7" w14:textId="77777777" w:rsidR="00180D3E" w:rsidRPr="00520861" w:rsidRDefault="00180D3E" w:rsidP="00292D2E">
      <w:pPr>
        <w:widowControl w:val="0"/>
        <w:spacing w:line="360" w:lineRule="auto"/>
        <w:jc w:val="center"/>
        <w:rPr>
          <w:rFonts w:eastAsia="Calibri"/>
          <w:b/>
          <w:sz w:val="28"/>
          <w:szCs w:val="28"/>
          <w:lang w:eastAsia="en-US"/>
        </w:rPr>
      </w:pPr>
      <w:r w:rsidRPr="00520861">
        <w:rPr>
          <w:rFonts w:eastAsia="Calibri"/>
          <w:b/>
          <w:sz w:val="28"/>
          <w:szCs w:val="28"/>
          <w:lang w:eastAsia="en-US"/>
        </w:rPr>
        <w:t>[rs1143627] в осіб ОГ ПДП і ГП</w:t>
      </w:r>
    </w:p>
    <w:tbl>
      <w:tblPr>
        <w:tblW w:w="97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1664"/>
        <w:gridCol w:w="1772"/>
        <w:gridCol w:w="1210"/>
        <w:gridCol w:w="2099"/>
        <w:gridCol w:w="1031"/>
      </w:tblGrid>
      <w:tr w:rsidR="00180D3E" w:rsidRPr="00520861" w14:paraId="7A8BB33D" w14:textId="77777777" w:rsidTr="00292D2E">
        <w:trPr>
          <w:jc w:val="center"/>
        </w:trPr>
        <w:tc>
          <w:tcPr>
            <w:tcW w:w="198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CAC5FA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Ген</w:t>
            </w:r>
          </w:p>
        </w:tc>
        <w:tc>
          <w:tcPr>
            <w:tcW w:w="1664"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BDF6B1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Генотип</w:t>
            </w:r>
          </w:p>
        </w:tc>
        <w:tc>
          <w:tcPr>
            <w:tcW w:w="6112" w:type="dxa"/>
            <w:gridSpan w:val="4"/>
            <w:tcBorders>
              <w:top w:val="single" w:sz="4" w:space="0" w:color="auto"/>
              <w:left w:val="single" w:sz="4" w:space="0" w:color="auto"/>
              <w:bottom w:val="single" w:sz="4" w:space="0" w:color="auto"/>
              <w:right w:val="single" w:sz="4" w:space="0" w:color="auto"/>
            </w:tcBorders>
            <w:shd w:val="clear" w:color="auto" w:fill="auto"/>
            <w:hideMark/>
          </w:tcPr>
          <w:p w14:paraId="451CBD0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Результати статистичного аналізу</w:t>
            </w:r>
          </w:p>
        </w:tc>
      </w:tr>
      <w:tr w:rsidR="00180D3E" w:rsidRPr="00520861" w14:paraId="2719E835" w14:textId="77777777" w:rsidTr="00292D2E">
        <w:trPr>
          <w:jc w:val="center"/>
        </w:trPr>
        <w:tc>
          <w:tcPr>
            <w:tcW w:w="198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C68303B" w14:textId="77777777" w:rsidR="00180D3E" w:rsidRPr="00520861" w:rsidRDefault="00180D3E" w:rsidP="00292D2E">
            <w:pPr>
              <w:widowControl w:val="0"/>
              <w:spacing w:line="360" w:lineRule="auto"/>
              <w:rPr>
                <w:rFonts w:eastAsia="Calibri"/>
                <w:sz w:val="28"/>
                <w:szCs w:val="28"/>
                <w:lang w:eastAsia="en-US"/>
              </w:rPr>
            </w:pPr>
          </w:p>
        </w:tc>
        <w:tc>
          <w:tcPr>
            <w:tcW w:w="166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40F380E" w14:textId="77777777" w:rsidR="00180D3E" w:rsidRPr="00520861" w:rsidRDefault="00180D3E" w:rsidP="00292D2E">
            <w:pPr>
              <w:widowControl w:val="0"/>
              <w:spacing w:line="360" w:lineRule="auto"/>
              <w:rPr>
                <w:rFonts w:eastAsia="Calibri"/>
                <w:sz w:val="28"/>
                <w:szCs w:val="28"/>
                <w:lang w:eastAsia="en-US"/>
              </w:rPr>
            </w:pPr>
          </w:p>
        </w:tc>
        <w:tc>
          <w:tcPr>
            <w:tcW w:w="1772" w:type="dxa"/>
            <w:tcBorders>
              <w:top w:val="single" w:sz="4" w:space="0" w:color="auto"/>
              <w:left w:val="single" w:sz="4" w:space="0" w:color="auto"/>
              <w:bottom w:val="single" w:sz="4" w:space="0" w:color="auto"/>
              <w:right w:val="single" w:sz="4" w:space="0" w:color="auto"/>
            </w:tcBorders>
            <w:shd w:val="clear" w:color="auto" w:fill="auto"/>
            <w:hideMark/>
          </w:tcPr>
          <w:p w14:paraId="76E624C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sym w:font="Symbol" w:char="F063"/>
            </w:r>
            <w:r w:rsidRPr="00520861">
              <w:rPr>
                <w:rFonts w:eastAsia="Calibri"/>
                <w:sz w:val="28"/>
                <w:szCs w:val="28"/>
                <w:vertAlign w:val="superscript"/>
                <w:lang w:eastAsia="en-US"/>
              </w:rPr>
              <w:t>2</w:t>
            </w:r>
            <w:r w:rsidRPr="00520861">
              <w:rPr>
                <w:rFonts w:eastAsia="Calibri"/>
                <w:sz w:val="28"/>
                <w:szCs w:val="28"/>
                <w:lang w:eastAsia="en-US"/>
              </w:rPr>
              <w:t xml:space="preserve"> (</w:t>
            </w:r>
            <w:proofErr w:type="spellStart"/>
            <w:r w:rsidRPr="00520861">
              <w:rPr>
                <w:rFonts w:eastAsia="Calibri"/>
                <w:sz w:val="28"/>
                <w:szCs w:val="28"/>
                <w:lang w:eastAsia="en-US"/>
              </w:rPr>
              <w:t>Йєтс</w:t>
            </w:r>
            <w:proofErr w:type="spellEnd"/>
            <w:r w:rsidRPr="00520861">
              <w:rPr>
                <w:rFonts w:eastAsia="Calibri"/>
                <w:sz w:val="28"/>
                <w:szCs w:val="28"/>
                <w:lang w:eastAsia="en-US"/>
              </w:rPr>
              <w:t>)</w:t>
            </w:r>
          </w:p>
        </w:tc>
        <w:tc>
          <w:tcPr>
            <w:tcW w:w="1210" w:type="dxa"/>
            <w:tcBorders>
              <w:top w:val="single" w:sz="4" w:space="0" w:color="auto"/>
              <w:left w:val="single" w:sz="4" w:space="0" w:color="auto"/>
              <w:bottom w:val="single" w:sz="4" w:space="0" w:color="auto"/>
              <w:right w:val="single" w:sz="4" w:space="0" w:color="auto"/>
            </w:tcBorders>
            <w:shd w:val="clear" w:color="auto" w:fill="auto"/>
            <w:hideMark/>
          </w:tcPr>
          <w:p w14:paraId="761E199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ВШ</w:t>
            </w:r>
          </w:p>
        </w:tc>
        <w:tc>
          <w:tcPr>
            <w:tcW w:w="2099" w:type="dxa"/>
            <w:tcBorders>
              <w:top w:val="single" w:sz="4" w:space="0" w:color="auto"/>
              <w:left w:val="single" w:sz="4" w:space="0" w:color="auto"/>
              <w:bottom w:val="single" w:sz="4" w:space="0" w:color="auto"/>
              <w:right w:val="single" w:sz="4" w:space="0" w:color="auto"/>
            </w:tcBorders>
            <w:shd w:val="clear" w:color="auto" w:fill="auto"/>
            <w:hideMark/>
          </w:tcPr>
          <w:p w14:paraId="7BC8CFA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95% ДІ</w:t>
            </w:r>
          </w:p>
        </w:tc>
        <w:tc>
          <w:tcPr>
            <w:tcW w:w="1031" w:type="dxa"/>
            <w:tcBorders>
              <w:top w:val="single" w:sz="4" w:space="0" w:color="auto"/>
              <w:left w:val="single" w:sz="4" w:space="0" w:color="auto"/>
              <w:bottom w:val="single" w:sz="4" w:space="0" w:color="auto"/>
              <w:right w:val="single" w:sz="4" w:space="0" w:color="auto"/>
            </w:tcBorders>
            <w:shd w:val="clear" w:color="auto" w:fill="auto"/>
            <w:hideMark/>
          </w:tcPr>
          <w:p w14:paraId="61D442F7" w14:textId="77777777" w:rsidR="00180D3E" w:rsidRPr="00520861" w:rsidRDefault="00180D3E" w:rsidP="00292D2E">
            <w:pPr>
              <w:widowControl w:val="0"/>
              <w:spacing w:line="360" w:lineRule="auto"/>
              <w:jc w:val="center"/>
              <w:rPr>
                <w:rFonts w:eastAsia="Calibri"/>
                <w:i/>
                <w:sz w:val="28"/>
                <w:szCs w:val="28"/>
                <w:lang w:eastAsia="en-US"/>
              </w:rPr>
            </w:pPr>
            <w:r w:rsidRPr="00520861">
              <w:rPr>
                <w:rFonts w:eastAsia="Calibri"/>
                <w:i/>
                <w:sz w:val="28"/>
                <w:szCs w:val="28"/>
                <w:lang w:eastAsia="en-US"/>
              </w:rPr>
              <w:t>P</w:t>
            </w:r>
          </w:p>
        </w:tc>
      </w:tr>
      <w:tr w:rsidR="00180D3E" w:rsidRPr="00520861" w14:paraId="1CE3CEF6" w14:textId="77777777" w:rsidTr="00292D2E">
        <w:trPr>
          <w:jc w:val="center"/>
        </w:trPr>
        <w:tc>
          <w:tcPr>
            <w:tcW w:w="1980" w:type="dxa"/>
            <w:vMerge w:val="restart"/>
            <w:tcBorders>
              <w:top w:val="single" w:sz="4" w:space="0" w:color="auto"/>
              <w:left w:val="single" w:sz="4" w:space="0" w:color="auto"/>
              <w:right w:val="single" w:sz="4" w:space="0" w:color="auto"/>
            </w:tcBorders>
            <w:shd w:val="clear" w:color="auto" w:fill="auto"/>
          </w:tcPr>
          <w:p w14:paraId="27EDF101" w14:textId="77777777" w:rsidR="00180D3E" w:rsidRPr="00520861" w:rsidRDefault="00180D3E" w:rsidP="00292D2E">
            <w:pPr>
              <w:widowControl w:val="0"/>
              <w:spacing w:line="360" w:lineRule="auto"/>
              <w:jc w:val="center"/>
              <w:rPr>
                <w:rFonts w:eastAsia="Calibri"/>
                <w:i/>
                <w:sz w:val="28"/>
                <w:szCs w:val="28"/>
                <w:lang w:eastAsia="en-US"/>
              </w:rPr>
            </w:pP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 −</w:t>
            </w:r>
            <w:r w:rsidRPr="00520861">
              <w:rPr>
                <w:rFonts w:eastAsia="Calibri"/>
                <w:bCs/>
                <w:i/>
                <w:sz w:val="28"/>
                <w:szCs w:val="28"/>
                <w:lang w:eastAsia="en-US"/>
              </w:rPr>
              <w:t>31 T</w:t>
            </w:r>
            <w:r w:rsidRPr="00520861">
              <w:rPr>
                <w:rFonts w:eastAsia="Calibri"/>
                <w:i/>
                <w:sz w:val="28"/>
                <w:szCs w:val="28"/>
                <w:lang w:eastAsia="en-US"/>
              </w:rPr>
              <w:t>&gt;</w:t>
            </w:r>
            <w:r w:rsidRPr="00520861">
              <w:rPr>
                <w:rFonts w:eastAsia="Calibri"/>
                <w:bCs/>
                <w:i/>
                <w:sz w:val="28"/>
                <w:szCs w:val="28"/>
                <w:lang w:eastAsia="en-US"/>
              </w:rPr>
              <w:t>C</w:t>
            </w:r>
            <w:r w:rsidRPr="00520861">
              <w:rPr>
                <w:rFonts w:eastAsia="Calibri"/>
                <w:i/>
                <w:sz w:val="28"/>
                <w:szCs w:val="28"/>
                <w:lang w:eastAsia="en-US"/>
              </w:rPr>
              <w:t> </w:t>
            </w:r>
          </w:p>
          <w:p w14:paraId="6E436C3B" w14:textId="77777777" w:rsidR="00180D3E" w:rsidRPr="00520861" w:rsidRDefault="00180D3E" w:rsidP="00292D2E">
            <w:pPr>
              <w:widowControl w:val="0"/>
              <w:spacing w:line="360" w:lineRule="auto"/>
              <w:rPr>
                <w:rFonts w:eastAsia="Calibri"/>
                <w:sz w:val="28"/>
                <w:szCs w:val="28"/>
                <w:lang w:eastAsia="en-US"/>
              </w:rPr>
            </w:pPr>
            <w:r w:rsidRPr="00520861">
              <w:rPr>
                <w:rFonts w:eastAsia="Calibri"/>
                <w:sz w:val="28"/>
                <w:szCs w:val="28"/>
                <w:lang w:eastAsia="en-US"/>
              </w:rPr>
              <w:t>[rs1143627]</w:t>
            </w:r>
          </w:p>
        </w:tc>
        <w:tc>
          <w:tcPr>
            <w:tcW w:w="7776" w:type="dxa"/>
            <w:gridSpan w:val="5"/>
            <w:tcBorders>
              <w:top w:val="single" w:sz="4" w:space="0" w:color="auto"/>
              <w:left w:val="single" w:sz="4" w:space="0" w:color="auto"/>
              <w:bottom w:val="single" w:sz="4" w:space="0" w:color="auto"/>
              <w:right w:val="single" w:sz="4" w:space="0" w:color="auto"/>
            </w:tcBorders>
            <w:shd w:val="clear" w:color="auto" w:fill="auto"/>
          </w:tcPr>
          <w:p w14:paraId="2B9C0E7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Адитивна модель</w:t>
            </w:r>
          </w:p>
        </w:tc>
      </w:tr>
      <w:tr w:rsidR="00180D3E" w:rsidRPr="00520861" w14:paraId="43C85AD6" w14:textId="77777777" w:rsidTr="00292D2E">
        <w:trPr>
          <w:jc w:val="center"/>
        </w:trPr>
        <w:tc>
          <w:tcPr>
            <w:tcW w:w="1980" w:type="dxa"/>
            <w:vMerge/>
            <w:tcBorders>
              <w:left w:val="single" w:sz="4" w:space="0" w:color="auto"/>
              <w:right w:val="single" w:sz="4" w:space="0" w:color="auto"/>
            </w:tcBorders>
            <w:shd w:val="clear" w:color="auto" w:fill="auto"/>
            <w:hideMark/>
          </w:tcPr>
          <w:p w14:paraId="6A878423" w14:textId="77777777" w:rsidR="00180D3E" w:rsidRPr="00520861" w:rsidRDefault="00180D3E" w:rsidP="00292D2E">
            <w:pPr>
              <w:widowControl w:val="0"/>
              <w:spacing w:line="360" w:lineRule="auto"/>
              <w:rPr>
                <w:rFonts w:eastAsia="Calibri"/>
                <w:sz w:val="28"/>
                <w:szCs w:val="28"/>
                <w:lang w:eastAsia="en-US"/>
              </w:rPr>
            </w:pPr>
          </w:p>
        </w:tc>
        <w:tc>
          <w:tcPr>
            <w:tcW w:w="1664" w:type="dxa"/>
            <w:tcBorders>
              <w:top w:val="single" w:sz="4" w:space="0" w:color="auto"/>
              <w:left w:val="single" w:sz="4" w:space="0" w:color="auto"/>
              <w:bottom w:val="single" w:sz="4" w:space="0" w:color="auto"/>
              <w:right w:val="single" w:sz="4" w:space="0" w:color="auto"/>
            </w:tcBorders>
            <w:shd w:val="clear" w:color="auto" w:fill="auto"/>
            <w:hideMark/>
          </w:tcPr>
          <w:p w14:paraId="6BE52B9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TT </w:t>
            </w:r>
          </w:p>
          <w:p w14:paraId="51C57FB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TC</w:t>
            </w:r>
          </w:p>
          <w:p w14:paraId="20C17D1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w:t>
            </w:r>
          </w:p>
        </w:tc>
        <w:tc>
          <w:tcPr>
            <w:tcW w:w="1772" w:type="dxa"/>
            <w:tcBorders>
              <w:top w:val="single" w:sz="4" w:space="0" w:color="auto"/>
              <w:left w:val="single" w:sz="4" w:space="0" w:color="auto"/>
              <w:bottom w:val="single" w:sz="4" w:space="0" w:color="auto"/>
              <w:right w:val="single" w:sz="4" w:space="0" w:color="auto"/>
            </w:tcBorders>
            <w:shd w:val="clear" w:color="auto" w:fill="auto"/>
            <w:hideMark/>
          </w:tcPr>
          <w:p w14:paraId="39E91E5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3,947</w:t>
            </w:r>
          </w:p>
        </w:tc>
        <w:tc>
          <w:tcPr>
            <w:tcW w:w="1210" w:type="dxa"/>
            <w:tcBorders>
              <w:top w:val="single" w:sz="4" w:space="0" w:color="auto"/>
              <w:left w:val="single" w:sz="4" w:space="0" w:color="auto"/>
              <w:bottom w:val="single" w:sz="4" w:space="0" w:color="auto"/>
              <w:right w:val="single" w:sz="4" w:space="0" w:color="auto"/>
            </w:tcBorders>
            <w:shd w:val="clear" w:color="auto" w:fill="auto"/>
            <w:hideMark/>
          </w:tcPr>
          <w:p w14:paraId="3F3CFB6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0,257 </w:t>
            </w:r>
          </w:p>
          <w:p w14:paraId="21850FB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10,000</w:t>
            </w:r>
          </w:p>
          <w:p w14:paraId="08B9621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0,772</w:t>
            </w:r>
          </w:p>
        </w:tc>
        <w:tc>
          <w:tcPr>
            <w:tcW w:w="2099" w:type="dxa"/>
            <w:tcBorders>
              <w:top w:val="single" w:sz="4" w:space="0" w:color="auto"/>
              <w:left w:val="single" w:sz="4" w:space="0" w:color="auto"/>
              <w:bottom w:val="single" w:sz="4" w:space="0" w:color="auto"/>
              <w:right w:val="single" w:sz="4" w:space="0" w:color="auto"/>
            </w:tcBorders>
            <w:shd w:val="clear" w:color="auto" w:fill="auto"/>
            <w:hideMark/>
          </w:tcPr>
          <w:p w14:paraId="4AF3AD3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0,062-1,075 </w:t>
            </w:r>
          </w:p>
          <w:p w14:paraId="01491A0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1,114-89,774</w:t>
            </w:r>
          </w:p>
          <w:p w14:paraId="6C7872D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0,145-4,105</w:t>
            </w:r>
          </w:p>
        </w:tc>
        <w:tc>
          <w:tcPr>
            <w:tcW w:w="1031" w:type="dxa"/>
            <w:tcBorders>
              <w:top w:val="single" w:sz="4" w:space="0" w:color="auto"/>
              <w:left w:val="single" w:sz="4" w:space="0" w:color="auto"/>
              <w:bottom w:val="single" w:sz="4" w:space="0" w:color="auto"/>
              <w:right w:val="single" w:sz="4" w:space="0" w:color="auto"/>
            </w:tcBorders>
            <w:shd w:val="clear" w:color="auto" w:fill="auto"/>
            <w:hideMark/>
          </w:tcPr>
          <w:p w14:paraId="63DA2B9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0,139</w:t>
            </w:r>
          </w:p>
        </w:tc>
      </w:tr>
      <w:tr w:rsidR="00180D3E" w:rsidRPr="00520861" w14:paraId="72809135" w14:textId="77777777" w:rsidTr="00292D2E">
        <w:trPr>
          <w:jc w:val="center"/>
        </w:trPr>
        <w:tc>
          <w:tcPr>
            <w:tcW w:w="1980" w:type="dxa"/>
            <w:vMerge/>
            <w:tcBorders>
              <w:left w:val="single" w:sz="4" w:space="0" w:color="auto"/>
              <w:right w:val="single" w:sz="4" w:space="0" w:color="auto"/>
            </w:tcBorders>
            <w:shd w:val="clear" w:color="auto" w:fill="auto"/>
          </w:tcPr>
          <w:p w14:paraId="7851A90B" w14:textId="77777777" w:rsidR="00180D3E" w:rsidRPr="00520861" w:rsidRDefault="00180D3E" w:rsidP="00292D2E">
            <w:pPr>
              <w:widowControl w:val="0"/>
              <w:spacing w:line="360" w:lineRule="auto"/>
              <w:rPr>
                <w:rFonts w:eastAsia="Calibri"/>
                <w:sz w:val="28"/>
                <w:szCs w:val="28"/>
                <w:lang w:eastAsia="en-US"/>
              </w:rPr>
            </w:pPr>
          </w:p>
        </w:tc>
        <w:tc>
          <w:tcPr>
            <w:tcW w:w="7776" w:type="dxa"/>
            <w:gridSpan w:val="5"/>
            <w:tcBorders>
              <w:top w:val="single" w:sz="4" w:space="0" w:color="auto"/>
              <w:left w:val="single" w:sz="4" w:space="0" w:color="auto"/>
              <w:bottom w:val="single" w:sz="4" w:space="0" w:color="auto"/>
              <w:right w:val="single" w:sz="4" w:space="0" w:color="auto"/>
            </w:tcBorders>
            <w:shd w:val="clear" w:color="auto" w:fill="auto"/>
          </w:tcPr>
          <w:p w14:paraId="6FCEFB0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Рецесивна модель</w:t>
            </w:r>
          </w:p>
        </w:tc>
      </w:tr>
      <w:tr w:rsidR="00180D3E" w:rsidRPr="00520861" w14:paraId="3978907A" w14:textId="77777777" w:rsidTr="00292D2E">
        <w:trPr>
          <w:jc w:val="center"/>
        </w:trPr>
        <w:tc>
          <w:tcPr>
            <w:tcW w:w="1980" w:type="dxa"/>
            <w:vMerge/>
            <w:tcBorders>
              <w:left w:val="single" w:sz="4" w:space="0" w:color="auto"/>
              <w:right w:val="single" w:sz="4" w:space="0" w:color="auto"/>
            </w:tcBorders>
            <w:shd w:val="clear" w:color="auto" w:fill="auto"/>
          </w:tcPr>
          <w:p w14:paraId="494F867B" w14:textId="77777777" w:rsidR="00180D3E" w:rsidRPr="00520861" w:rsidRDefault="00180D3E" w:rsidP="00292D2E">
            <w:pPr>
              <w:widowControl w:val="0"/>
              <w:spacing w:line="360" w:lineRule="auto"/>
              <w:rPr>
                <w:rFonts w:eastAsia="Calibri"/>
                <w:sz w:val="28"/>
                <w:szCs w:val="28"/>
                <w:lang w:eastAsia="en-US"/>
              </w:rPr>
            </w:pPr>
          </w:p>
        </w:tc>
        <w:tc>
          <w:tcPr>
            <w:tcW w:w="1664" w:type="dxa"/>
            <w:tcBorders>
              <w:top w:val="single" w:sz="4" w:space="0" w:color="auto"/>
              <w:left w:val="single" w:sz="4" w:space="0" w:color="auto"/>
              <w:bottom w:val="single" w:sz="4" w:space="0" w:color="auto"/>
              <w:right w:val="single" w:sz="4" w:space="0" w:color="auto"/>
            </w:tcBorders>
            <w:shd w:val="clear" w:color="auto" w:fill="auto"/>
          </w:tcPr>
          <w:p w14:paraId="0AE6E9A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 + TC</w:t>
            </w:r>
          </w:p>
          <w:p w14:paraId="579DDA9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w:t>
            </w: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5DD7E4E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0,017</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E74D95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1,295</w:t>
            </w:r>
          </w:p>
          <w:p w14:paraId="23C2C8A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0,772</w:t>
            </w:r>
          </w:p>
        </w:tc>
        <w:tc>
          <w:tcPr>
            <w:tcW w:w="2099" w:type="dxa"/>
            <w:tcBorders>
              <w:top w:val="single" w:sz="4" w:space="0" w:color="auto"/>
              <w:left w:val="single" w:sz="4" w:space="0" w:color="auto"/>
              <w:bottom w:val="single" w:sz="4" w:space="0" w:color="auto"/>
              <w:right w:val="single" w:sz="4" w:space="0" w:color="auto"/>
            </w:tcBorders>
            <w:shd w:val="clear" w:color="auto" w:fill="auto"/>
          </w:tcPr>
          <w:p w14:paraId="0297A32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0,244-6,889</w:t>
            </w:r>
          </w:p>
          <w:p w14:paraId="0E5AE0C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0,145-4,105</w:t>
            </w:r>
          </w:p>
        </w:tc>
        <w:tc>
          <w:tcPr>
            <w:tcW w:w="1031" w:type="dxa"/>
            <w:tcBorders>
              <w:top w:val="single" w:sz="4" w:space="0" w:color="auto"/>
              <w:left w:val="single" w:sz="4" w:space="0" w:color="auto"/>
              <w:bottom w:val="single" w:sz="4" w:space="0" w:color="auto"/>
              <w:right w:val="single" w:sz="4" w:space="0" w:color="auto"/>
            </w:tcBorders>
            <w:shd w:val="clear" w:color="auto" w:fill="auto"/>
          </w:tcPr>
          <w:p w14:paraId="4F6D91A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0,898</w:t>
            </w:r>
          </w:p>
        </w:tc>
      </w:tr>
      <w:tr w:rsidR="00180D3E" w:rsidRPr="00520861" w14:paraId="24929266" w14:textId="77777777" w:rsidTr="00292D2E">
        <w:trPr>
          <w:jc w:val="center"/>
        </w:trPr>
        <w:tc>
          <w:tcPr>
            <w:tcW w:w="1980" w:type="dxa"/>
            <w:vMerge/>
            <w:tcBorders>
              <w:left w:val="single" w:sz="4" w:space="0" w:color="auto"/>
              <w:right w:val="single" w:sz="4" w:space="0" w:color="auto"/>
            </w:tcBorders>
            <w:shd w:val="clear" w:color="auto" w:fill="auto"/>
          </w:tcPr>
          <w:p w14:paraId="614B5AA1" w14:textId="77777777" w:rsidR="00180D3E" w:rsidRPr="00520861" w:rsidRDefault="00180D3E" w:rsidP="00292D2E">
            <w:pPr>
              <w:widowControl w:val="0"/>
              <w:spacing w:line="360" w:lineRule="auto"/>
              <w:rPr>
                <w:rFonts w:eastAsia="Calibri"/>
                <w:sz w:val="28"/>
                <w:szCs w:val="28"/>
                <w:lang w:eastAsia="en-US"/>
              </w:rPr>
            </w:pPr>
          </w:p>
        </w:tc>
        <w:tc>
          <w:tcPr>
            <w:tcW w:w="7776" w:type="dxa"/>
            <w:gridSpan w:val="5"/>
            <w:tcBorders>
              <w:top w:val="single" w:sz="4" w:space="0" w:color="auto"/>
              <w:left w:val="single" w:sz="4" w:space="0" w:color="auto"/>
              <w:bottom w:val="single" w:sz="4" w:space="0" w:color="auto"/>
              <w:right w:val="single" w:sz="4" w:space="0" w:color="auto"/>
            </w:tcBorders>
            <w:shd w:val="clear" w:color="auto" w:fill="auto"/>
          </w:tcPr>
          <w:p w14:paraId="22E0C92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Домінантна модель</w:t>
            </w:r>
          </w:p>
        </w:tc>
      </w:tr>
      <w:tr w:rsidR="00180D3E" w:rsidRPr="00520861" w14:paraId="2CD9F161" w14:textId="77777777" w:rsidTr="00292D2E">
        <w:trPr>
          <w:jc w:val="center"/>
        </w:trPr>
        <w:tc>
          <w:tcPr>
            <w:tcW w:w="1980" w:type="dxa"/>
            <w:vMerge/>
            <w:tcBorders>
              <w:left w:val="single" w:sz="4" w:space="0" w:color="auto"/>
              <w:right w:val="single" w:sz="4" w:space="0" w:color="auto"/>
            </w:tcBorders>
            <w:shd w:val="clear" w:color="auto" w:fill="auto"/>
          </w:tcPr>
          <w:p w14:paraId="26071EBC" w14:textId="77777777" w:rsidR="00180D3E" w:rsidRPr="00520861" w:rsidRDefault="00180D3E" w:rsidP="00292D2E">
            <w:pPr>
              <w:widowControl w:val="0"/>
              <w:spacing w:line="360" w:lineRule="auto"/>
              <w:rPr>
                <w:rFonts w:eastAsia="Calibri"/>
                <w:sz w:val="28"/>
                <w:szCs w:val="28"/>
                <w:lang w:eastAsia="en-US"/>
              </w:rPr>
            </w:pPr>
          </w:p>
        </w:tc>
        <w:tc>
          <w:tcPr>
            <w:tcW w:w="1664" w:type="dxa"/>
            <w:tcBorders>
              <w:top w:val="single" w:sz="4" w:space="0" w:color="auto"/>
              <w:left w:val="single" w:sz="4" w:space="0" w:color="auto"/>
              <w:bottom w:val="single" w:sz="4" w:space="0" w:color="auto"/>
              <w:right w:val="single" w:sz="4" w:space="0" w:color="auto"/>
            </w:tcBorders>
            <w:shd w:val="clear" w:color="auto" w:fill="auto"/>
          </w:tcPr>
          <w:p w14:paraId="7A32D74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TT </w:t>
            </w:r>
          </w:p>
          <w:p w14:paraId="0B7AB05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TC +CC</w:t>
            </w: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7CCBCDB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2,456</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1A117E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0,257</w:t>
            </w:r>
          </w:p>
          <w:p w14:paraId="0C1F4BD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3,889</w:t>
            </w:r>
          </w:p>
        </w:tc>
        <w:tc>
          <w:tcPr>
            <w:tcW w:w="2099" w:type="dxa"/>
            <w:tcBorders>
              <w:top w:val="single" w:sz="4" w:space="0" w:color="auto"/>
              <w:left w:val="single" w:sz="4" w:space="0" w:color="auto"/>
              <w:bottom w:val="single" w:sz="4" w:space="0" w:color="auto"/>
              <w:right w:val="single" w:sz="4" w:space="0" w:color="auto"/>
            </w:tcBorders>
            <w:shd w:val="clear" w:color="auto" w:fill="auto"/>
          </w:tcPr>
          <w:p w14:paraId="27AD5D2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0,062-1,075</w:t>
            </w:r>
          </w:p>
          <w:p w14:paraId="40DBB08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0,930-16,256</w:t>
            </w:r>
          </w:p>
        </w:tc>
        <w:tc>
          <w:tcPr>
            <w:tcW w:w="1031" w:type="dxa"/>
            <w:tcBorders>
              <w:top w:val="single" w:sz="4" w:space="0" w:color="auto"/>
              <w:left w:val="single" w:sz="4" w:space="0" w:color="auto"/>
              <w:bottom w:val="single" w:sz="4" w:space="0" w:color="auto"/>
              <w:right w:val="single" w:sz="4" w:space="0" w:color="auto"/>
            </w:tcBorders>
            <w:shd w:val="clear" w:color="auto" w:fill="auto"/>
          </w:tcPr>
          <w:p w14:paraId="470F310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0,117</w:t>
            </w:r>
          </w:p>
        </w:tc>
      </w:tr>
      <w:tr w:rsidR="00180D3E" w:rsidRPr="00520861" w14:paraId="2174E90F" w14:textId="77777777" w:rsidTr="00292D2E">
        <w:trPr>
          <w:jc w:val="center"/>
        </w:trPr>
        <w:tc>
          <w:tcPr>
            <w:tcW w:w="1980" w:type="dxa"/>
            <w:vMerge/>
            <w:tcBorders>
              <w:left w:val="single" w:sz="4" w:space="0" w:color="auto"/>
              <w:right w:val="single" w:sz="4" w:space="0" w:color="auto"/>
            </w:tcBorders>
            <w:shd w:val="clear" w:color="auto" w:fill="auto"/>
          </w:tcPr>
          <w:p w14:paraId="400DE36A" w14:textId="77777777" w:rsidR="00180D3E" w:rsidRPr="00520861" w:rsidRDefault="00180D3E" w:rsidP="00292D2E">
            <w:pPr>
              <w:widowControl w:val="0"/>
              <w:spacing w:line="360" w:lineRule="auto"/>
              <w:rPr>
                <w:rFonts w:eastAsia="Calibri"/>
                <w:sz w:val="28"/>
                <w:szCs w:val="28"/>
                <w:lang w:eastAsia="en-US"/>
              </w:rPr>
            </w:pPr>
          </w:p>
        </w:tc>
        <w:tc>
          <w:tcPr>
            <w:tcW w:w="7776" w:type="dxa"/>
            <w:gridSpan w:val="5"/>
            <w:tcBorders>
              <w:top w:val="single" w:sz="4" w:space="0" w:color="auto"/>
              <w:left w:val="single" w:sz="4" w:space="0" w:color="auto"/>
              <w:bottom w:val="single" w:sz="4" w:space="0" w:color="auto"/>
              <w:right w:val="single" w:sz="4" w:space="0" w:color="auto"/>
            </w:tcBorders>
            <w:shd w:val="clear" w:color="auto" w:fill="auto"/>
          </w:tcPr>
          <w:p w14:paraId="6FDA36CA" w14:textId="77777777" w:rsidR="00180D3E" w:rsidRPr="00520861" w:rsidRDefault="00180D3E" w:rsidP="00292D2E">
            <w:pPr>
              <w:widowControl w:val="0"/>
              <w:spacing w:line="360" w:lineRule="auto"/>
              <w:jc w:val="center"/>
              <w:rPr>
                <w:rFonts w:eastAsia="Calibri"/>
                <w:sz w:val="28"/>
                <w:szCs w:val="28"/>
                <w:lang w:eastAsia="en-US"/>
              </w:rPr>
            </w:pP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w:t>
            </w:r>
          </w:p>
        </w:tc>
      </w:tr>
      <w:tr w:rsidR="00180D3E" w:rsidRPr="00520861" w14:paraId="125066D0" w14:textId="77777777" w:rsidTr="00292D2E">
        <w:trPr>
          <w:jc w:val="center"/>
        </w:trPr>
        <w:tc>
          <w:tcPr>
            <w:tcW w:w="1980" w:type="dxa"/>
            <w:vMerge/>
            <w:tcBorders>
              <w:left w:val="single" w:sz="4" w:space="0" w:color="auto"/>
              <w:right w:val="single" w:sz="4" w:space="0" w:color="auto"/>
            </w:tcBorders>
            <w:shd w:val="clear" w:color="auto" w:fill="auto"/>
          </w:tcPr>
          <w:p w14:paraId="1D1D99BA" w14:textId="77777777" w:rsidR="00180D3E" w:rsidRPr="00520861" w:rsidRDefault="00180D3E" w:rsidP="00292D2E">
            <w:pPr>
              <w:widowControl w:val="0"/>
              <w:spacing w:line="360" w:lineRule="auto"/>
              <w:rPr>
                <w:rFonts w:eastAsia="Calibri"/>
                <w:sz w:val="28"/>
                <w:szCs w:val="28"/>
                <w:lang w:eastAsia="en-US"/>
              </w:rPr>
            </w:pPr>
          </w:p>
        </w:tc>
        <w:tc>
          <w:tcPr>
            <w:tcW w:w="1664" w:type="dxa"/>
            <w:tcBorders>
              <w:top w:val="single" w:sz="4" w:space="0" w:color="auto"/>
              <w:left w:val="single" w:sz="4" w:space="0" w:color="auto"/>
              <w:bottom w:val="single" w:sz="4" w:space="0" w:color="auto"/>
              <w:right w:val="single" w:sz="4" w:space="0" w:color="auto"/>
            </w:tcBorders>
            <w:shd w:val="clear" w:color="auto" w:fill="auto"/>
          </w:tcPr>
          <w:p w14:paraId="139F2DA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 +CC</w:t>
            </w:r>
          </w:p>
          <w:p w14:paraId="5CA7BC5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TC</w:t>
            </w: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29F0E01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3,898</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18D1E30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0,100</w:t>
            </w:r>
          </w:p>
          <w:p w14:paraId="46FFED2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10,000</w:t>
            </w:r>
          </w:p>
        </w:tc>
        <w:tc>
          <w:tcPr>
            <w:tcW w:w="2099" w:type="dxa"/>
            <w:tcBorders>
              <w:top w:val="single" w:sz="4" w:space="0" w:color="auto"/>
              <w:left w:val="single" w:sz="4" w:space="0" w:color="auto"/>
              <w:bottom w:val="single" w:sz="4" w:space="0" w:color="auto"/>
              <w:right w:val="single" w:sz="4" w:space="0" w:color="auto"/>
            </w:tcBorders>
            <w:shd w:val="clear" w:color="auto" w:fill="auto"/>
          </w:tcPr>
          <w:p w14:paraId="633A721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0,011-0,898</w:t>
            </w:r>
          </w:p>
          <w:p w14:paraId="5437FD0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1,114-89,774</w:t>
            </w:r>
          </w:p>
        </w:tc>
        <w:tc>
          <w:tcPr>
            <w:tcW w:w="1031" w:type="dxa"/>
            <w:tcBorders>
              <w:top w:val="single" w:sz="4" w:space="0" w:color="auto"/>
              <w:left w:val="single" w:sz="4" w:space="0" w:color="auto"/>
              <w:bottom w:val="single" w:sz="4" w:space="0" w:color="auto"/>
              <w:right w:val="single" w:sz="4" w:space="0" w:color="auto"/>
            </w:tcBorders>
            <w:shd w:val="clear" w:color="auto" w:fill="auto"/>
          </w:tcPr>
          <w:p w14:paraId="02F1D3A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0,048</w:t>
            </w:r>
          </w:p>
        </w:tc>
      </w:tr>
      <w:tr w:rsidR="00180D3E" w:rsidRPr="00520861" w14:paraId="0BA7CC2E" w14:textId="77777777" w:rsidTr="00292D2E">
        <w:trPr>
          <w:jc w:val="center"/>
        </w:trPr>
        <w:tc>
          <w:tcPr>
            <w:tcW w:w="1980" w:type="dxa"/>
            <w:vMerge/>
            <w:tcBorders>
              <w:left w:val="single" w:sz="4" w:space="0" w:color="auto"/>
              <w:right w:val="single" w:sz="4" w:space="0" w:color="auto"/>
            </w:tcBorders>
            <w:shd w:val="clear" w:color="auto" w:fill="auto"/>
          </w:tcPr>
          <w:p w14:paraId="3184EA32" w14:textId="77777777" w:rsidR="00180D3E" w:rsidRPr="00520861" w:rsidRDefault="00180D3E" w:rsidP="00292D2E">
            <w:pPr>
              <w:widowControl w:val="0"/>
              <w:spacing w:line="360" w:lineRule="auto"/>
              <w:rPr>
                <w:rFonts w:eastAsia="Calibri"/>
                <w:sz w:val="28"/>
                <w:szCs w:val="28"/>
                <w:lang w:eastAsia="en-US"/>
              </w:rPr>
            </w:pPr>
          </w:p>
        </w:tc>
        <w:tc>
          <w:tcPr>
            <w:tcW w:w="7776" w:type="dxa"/>
            <w:gridSpan w:val="5"/>
            <w:tcBorders>
              <w:top w:val="single" w:sz="4" w:space="0" w:color="auto"/>
              <w:left w:val="single" w:sz="4" w:space="0" w:color="auto"/>
              <w:bottom w:val="single" w:sz="4" w:space="0" w:color="auto"/>
              <w:right w:val="single" w:sz="4" w:space="0" w:color="auto"/>
            </w:tcBorders>
            <w:shd w:val="clear" w:color="auto" w:fill="auto"/>
          </w:tcPr>
          <w:p w14:paraId="5319463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Мультиплікативна модель</w:t>
            </w:r>
          </w:p>
        </w:tc>
      </w:tr>
      <w:tr w:rsidR="00180D3E" w:rsidRPr="00520861" w14:paraId="0466FCD1" w14:textId="77777777" w:rsidTr="00292D2E">
        <w:trPr>
          <w:jc w:val="center"/>
        </w:trPr>
        <w:tc>
          <w:tcPr>
            <w:tcW w:w="1980" w:type="dxa"/>
            <w:vMerge/>
            <w:tcBorders>
              <w:left w:val="single" w:sz="4" w:space="0" w:color="auto"/>
              <w:bottom w:val="single" w:sz="4" w:space="0" w:color="auto"/>
              <w:right w:val="single" w:sz="4" w:space="0" w:color="auto"/>
            </w:tcBorders>
            <w:shd w:val="clear" w:color="auto" w:fill="auto"/>
          </w:tcPr>
          <w:p w14:paraId="3F50C186" w14:textId="77777777" w:rsidR="00180D3E" w:rsidRPr="00520861" w:rsidRDefault="00180D3E" w:rsidP="00292D2E">
            <w:pPr>
              <w:widowControl w:val="0"/>
              <w:spacing w:line="360" w:lineRule="auto"/>
              <w:rPr>
                <w:rFonts w:eastAsia="Calibri"/>
                <w:sz w:val="28"/>
                <w:szCs w:val="28"/>
                <w:lang w:eastAsia="en-US"/>
              </w:rPr>
            </w:pPr>
          </w:p>
        </w:tc>
        <w:tc>
          <w:tcPr>
            <w:tcW w:w="1664" w:type="dxa"/>
            <w:tcBorders>
              <w:top w:val="single" w:sz="4" w:space="0" w:color="auto"/>
              <w:left w:val="single" w:sz="4" w:space="0" w:color="auto"/>
              <w:bottom w:val="single" w:sz="4" w:space="0" w:color="auto"/>
              <w:right w:val="single" w:sz="4" w:space="0" w:color="auto"/>
            </w:tcBorders>
            <w:shd w:val="clear" w:color="auto" w:fill="auto"/>
          </w:tcPr>
          <w:p w14:paraId="181D101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T </w:t>
            </w:r>
          </w:p>
          <w:p w14:paraId="2DFF171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w:t>
            </w: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2E2604A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1,554</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038C799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0,519</w:t>
            </w:r>
          </w:p>
          <w:p w14:paraId="3F208AC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1,929</w:t>
            </w:r>
          </w:p>
        </w:tc>
        <w:tc>
          <w:tcPr>
            <w:tcW w:w="2099" w:type="dxa"/>
            <w:tcBorders>
              <w:top w:val="single" w:sz="4" w:space="0" w:color="auto"/>
              <w:left w:val="single" w:sz="4" w:space="0" w:color="auto"/>
              <w:bottom w:val="single" w:sz="4" w:space="0" w:color="auto"/>
              <w:right w:val="single" w:sz="4" w:space="0" w:color="auto"/>
            </w:tcBorders>
            <w:shd w:val="clear" w:color="auto" w:fill="auto"/>
          </w:tcPr>
          <w:p w14:paraId="5E793C6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0,183-1,468</w:t>
            </w:r>
          </w:p>
          <w:p w14:paraId="6C1001A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0,681-5,458</w:t>
            </w:r>
          </w:p>
        </w:tc>
        <w:tc>
          <w:tcPr>
            <w:tcW w:w="1031" w:type="dxa"/>
            <w:tcBorders>
              <w:top w:val="single" w:sz="4" w:space="0" w:color="auto"/>
              <w:left w:val="single" w:sz="4" w:space="0" w:color="auto"/>
              <w:bottom w:val="single" w:sz="4" w:space="0" w:color="auto"/>
              <w:right w:val="single" w:sz="4" w:space="0" w:color="auto"/>
            </w:tcBorders>
            <w:shd w:val="clear" w:color="auto" w:fill="auto"/>
          </w:tcPr>
          <w:p w14:paraId="3D1C5EA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0,213</w:t>
            </w:r>
          </w:p>
        </w:tc>
      </w:tr>
    </w:tbl>
    <w:p w14:paraId="7DFD857C" w14:textId="77777777" w:rsidR="00180D3E" w:rsidRPr="00520861" w:rsidRDefault="00180D3E" w:rsidP="00292D2E">
      <w:pPr>
        <w:widowControl w:val="0"/>
        <w:spacing w:line="360" w:lineRule="auto"/>
        <w:jc w:val="right"/>
        <w:rPr>
          <w:rFonts w:eastAsia="Calibri"/>
          <w:i/>
          <w:sz w:val="28"/>
          <w:szCs w:val="28"/>
          <w:lang w:eastAsia="en-US"/>
        </w:rPr>
      </w:pPr>
      <w:r w:rsidRPr="00520861">
        <w:rPr>
          <w:rFonts w:eastAsia="Calibri"/>
          <w:i/>
          <w:sz w:val="28"/>
          <w:szCs w:val="28"/>
          <w:lang w:eastAsia="en-US"/>
        </w:rPr>
        <w:t>Таблиця 7.9</w:t>
      </w:r>
    </w:p>
    <w:p w14:paraId="01F6E2A8" w14:textId="77777777" w:rsidR="00180D3E" w:rsidRPr="00520861" w:rsidRDefault="00180D3E" w:rsidP="00292D2E">
      <w:pPr>
        <w:widowControl w:val="0"/>
        <w:pBdr>
          <w:top w:val="nil"/>
          <w:left w:val="nil"/>
          <w:bottom w:val="nil"/>
          <w:right w:val="nil"/>
          <w:between w:val="nil"/>
        </w:pBdr>
        <w:spacing w:after="40" w:line="360" w:lineRule="auto"/>
        <w:ind w:firstLine="709"/>
        <w:jc w:val="center"/>
        <w:rPr>
          <w:rFonts w:eastAsia="Calibri"/>
          <w:i/>
          <w:color w:val="000000"/>
          <w:sz w:val="28"/>
          <w:szCs w:val="28"/>
        </w:rPr>
      </w:pPr>
      <w:r w:rsidRPr="00520861">
        <w:rPr>
          <w:rFonts w:eastAsia="Calibri"/>
          <w:b/>
          <w:color w:val="000000"/>
          <w:sz w:val="28"/>
          <w:szCs w:val="28"/>
        </w:rPr>
        <w:t>Порівняння частот розподілу поліморфних варіантів за геном</w:t>
      </w:r>
      <w:r w:rsidRPr="00520861">
        <w:rPr>
          <w:rFonts w:eastAsia="Calibri"/>
          <w:i/>
          <w:color w:val="000000"/>
          <w:sz w:val="28"/>
          <w:szCs w:val="28"/>
        </w:rPr>
        <w:t xml:space="preserve"> </w:t>
      </w:r>
    </w:p>
    <w:p w14:paraId="7761FD34" w14:textId="77777777" w:rsidR="00180D3E" w:rsidRPr="00520861" w:rsidRDefault="00180D3E" w:rsidP="00292D2E">
      <w:pPr>
        <w:widowControl w:val="0"/>
        <w:spacing w:line="360" w:lineRule="auto"/>
        <w:jc w:val="center"/>
        <w:rPr>
          <w:rFonts w:eastAsia="Calibri"/>
          <w:b/>
          <w:sz w:val="28"/>
          <w:szCs w:val="28"/>
          <w:lang w:eastAsia="en-US"/>
        </w:rPr>
      </w:pPr>
      <w:r w:rsidRPr="00520861">
        <w:rPr>
          <w:rFonts w:eastAsia="Calibri"/>
          <w:b/>
          <w:i/>
          <w:sz w:val="28"/>
          <w:szCs w:val="28"/>
          <w:lang w:eastAsia="en-US"/>
        </w:rPr>
        <w:t>RANKL: C&gt;T</w:t>
      </w:r>
      <w:r w:rsidRPr="00520861">
        <w:rPr>
          <w:rFonts w:eastAsia="Calibri"/>
          <w:b/>
          <w:sz w:val="28"/>
          <w:szCs w:val="28"/>
          <w:lang w:eastAsia="en-US"/>
        </w:rPr>
        <w:t xml:space="preserve"> [rs9594738] і </w:t>
      </w:r>
      <w:r w:rsidRPr="00520861">
        <w:rPr>
          <w:rFonts w:eastAsia="Calibri"/>
          <w:b/>
          <w:i/>
          <w:sz w:val="28"/>
          <w:szCs w:val="28"/>
          <w:lang w:eastAsia="en-US"/>
        </w:rPr>
        <w:t>RANKL: C&gt;T</w:t>
      </w:r>
      <w:r w:rsidRPr="00520861">
        <w:rPr>
          <w:rFonts w:eastAsia="Calibri"/>
          <w:b/>
          <w:sz w:val="28"/>
          <w:szCs w:val="28"/>
          <w:lang w:eastAsia="en-US"/>
        </w:rPr>
        <w:t xml:space="preserve"> [rs9594759] в осіб ОГ ПЗП та ОГ ПДП</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658"/>
        <w:gridCol w:w="1739"/>
        <w:gridCol w:w="1355"/>
        <w:gridCol w:w="2198"/>
        <w:gridCol w:w="846"/>
      </w:tblGrid>
      <w:tr w:rsidR="00180D3E" w:rsidRPr="00520861" w14:paraId="5FB1D070" w14:textId="77777777" w:rsidTr="00292D2E">
        <w:trPr>
          <w:jc w:val="center"/>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53B9A4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Ген</w:t>
            </w:r>
          </w:p>
        </w:tc>
        <w:tc>
          <w:tcPr>
            <w:tcW w:w="16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A99321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Генотип</w:t>
            </w:r>
          </w:p>
        </w:tc>
        <w:tc>
          <w:tcPr>
            <w:tcW w:w="6136" w:type="dxa"/>
            <w:gridSpan w:val="4"/>
            <w:tcBorders>
              <w:top w:val="single" w:sz="4" w:space="0" w:color="auto"/>
              <w:left w:val="single" w:sz="4" w:space="0" w:color="auto"/>
              <w:bottom w:val="single" w:sz="4" w:space="0" w:color="auto"/>
              <w:right w:val="single" w:sz="4" w:space="0" w:color="auto"/>
            </w:tcBorders>
            <w:shd w:val="clear" w:color="auto" w:fill="auto"/>
            <w:hideMark/>
          </w:tcPr>
          <w:p w14:paraId="42234F9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Результати статистичного аналізу</w:t>
            </w:r>
          </w:p>
        </w:tc>
      </w:tr>
      <w:tr w:rsidR="00180D3E" w:rsidRPr="00520861" w14:paraId="1491FFFE" w14:textId="77777777" w:rsidTr="00292D2E">
        <w:trPr>
          <w:jc w:val="center"/>
        </w:trPr>
        <w:tc>
          <w:tcPr>
            <w:tcW w:w="183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3963E71" w14:textId="77777777" w:rsidR="00180D3E" w:rsidRPr="00520861" w:rsidRDefault="00180D3E" w:rsidP="00292D2E">
            <w:pPr>
              <w:widowControl w:val="0"/>
              <w:spacing w:line="360" w:lineRule="auto"/>
              <w:rPr>
                <w:rFonts w:eastAsia="Calibri"/>
                <w:sz w:val="28"/>
                <w:szCs w:val="28"/>
                <w:lang w:eastAsia="en-US"/>
              </w:rPr>
            </w:pPr>
          </w:p>
        </w:tc>
        <w:tc>
          <w:tcPr>
            <w:tcW w:w="16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5E64226" w14:textId="77777777" w:rsidR="00180D3E" w:rsidRPr="00520861" w:rsidRDefault="00180D3E" w:rsidP="00292D2E">
            <w:pPr>
              <w:widowControl w:val="0"/>
              <w:spacing w:line="360" w:lineRule="auto"/>
              <w:rPr>
                <w:rFonts w:eastAsia="Calibri"/>
                <w:sz w:val="28"/>
                <w:szCs w:val="28"/>
                <w:lang w:eastAsia="en-US"/>
              </w:rPr>
            </w:pPr>
          </w:p>
        </w:tc>
        <w:tc>
          <w:tcPr>
            <w:tcW w:w="1742" w:type="dxa"/>
            <w:tcBorders>
              <w:top w:val="single" w:sz="4" w:space="0" w:color="auto"/>
              <w:left w:val="single" w:sz="4" w:space="0" w:color="auto"/>
              <w:bottom w:val="single" w:sz="4" w:space="0" w:color="auto"/>
              <w:right w:val="single" w:sz="4" w:space="0" w:color="auto"/>
            </w:tcBorders>
            <w:shd w:val="clear" w:color="auto" w:fill="auto"/>
            <w:hideMark/>
          </w:tcPr>
          <w:p w14:paraId="1D84A87D"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sym w:font="Symbol" w:char="F063"/>
            </w:r>
            <w:r w:rsidRPr="00520861">
              <w:rPr>
                <w:rFonts w:eastAsia="Calibri"/>
                <w:sz w:val="28"/>
                <w:szCs w:val="28"/>
                <w:vertAlign w:val="superscript"/>
                <w:lang w:eastAsia="en-US"/>
              </w:rPr>
              <w:t>2</w:t>
            </w:r>
            <w:r w:rsidRPr="00520861">
              <w:rPr>
                <w:rFonts w:eastAsia="Calibri"/>
                <w:sz w:val="28"/>
                <w:szCs w:val="28"/>
                <w:lang w:eastAsia="en-US"/>
              </w:rPr>
              <w:t xml:space="preserve"> (</w:t>
            </w:r>
            <w:proofErr w:type="spellStart"/>
            <w:r w:rsidRPr="00520861">
              <w:rPr>
                <w:rFonts w:eastAsia="Calibri"/>
                <w:sz w:val="28"/>
                <w:szCs w:val="28"/>
                <w:lang w:eastAsia="en-US"/>
              </w:rPr>
              <w:t>Йєтс</w:t>
            </w:r>
            <w:proofErr w:type="spellEnd"/>
            <w:r w:rsidRPr="00520861">
              <w:rPr>
                <w:rFonts w:eastAsia="Calibri"/>
                <w:sz w:val="28"/>
                <w:szCs w:val="28"/>
                <w:lang w:eastAsia="en-US"/>
              </w:rPr>
              <w:t>)</w:t>
            </w:r>
          </w:p>
        </w:tc>
        <w:tc>
          <w:tcPr>
            <w:tcW w:w="1357" w:type="dxa"/>
            <w:tcBorders>
              <w:top w:val="single" w:sz="4" w:space="0" w:color="auto"/>
              <w:left w:val="single" w:sz="4" w:space="0" w:color="auto"/>
              <w:bottom w:val="single" w:sz="4" w:space="0" w:color="auto"/>
              <w:right w:val="single" w:sz="4" w:space="0" w:color="auto"/>
            </w:tcBorders>
            <w:shd w:val="clear" w:color="auto" w:fill="auto"/>
            <w:hideMark/>
          </w:tcPr>
          <w:p w14:paraId="0540807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ВШ</w:t>
            </w:r>
          </w:p>
        </w:tc>
        <w:tc>
          <w:tcPr>
            <w:tcW w:w="2202" w:type="dxa"/>
            <w:tcBorders>
              <w:top w:val="single" w:sz="4" w:space="0" w:color="auto"/>
              <w:left w:val="single" w:sz="4" w:space="0" w:color="auto"/>
              <w:bottom w:val="single" w:sz="4" w:space="0" w:color="auto"/>
              <w:right w:val="single" w:sz="4" w:space="0" w:color="auto"/>
            </w:tcBorders>
            <w:shd w:val="clear" w:color="auto" w:fill="auto"/>
            <w:hideMark/>
          </w:tcPr>
          <w:p w14:paraId="168DA39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95% ДІ</w:t>
            </w:r>
          </w:p>
        </w:tc>
        <w:tc>
          <w:tcPr>
            <w:tcW w:w="835" w:type="dxa"/>
            <w:tcBorders>
              <w:top w:val="single" w:sz="4" w:space="0" w:color="auto"/>
              <w:left w:val="single" w:sz="4" w:space="0" w:color="auto"/>
              <w:bottom w:val="single" w:sz="4" w:space="0" w:color="auto"/>
              <w:right w:val="single" w:sz="4" w:space="0" w:color="auto"/>
            </w:tcBorders>
            <w:shd w:val="clear" w:color="auto" w:fill="auto"/>
            <w:hideMark/>
          </w:tcPr>
          <w:p w14:paraId="52C96E1C" w14:textId="77777777" w:rsidR="00180D3E" w:rsidRPr="00520861" w:rsidRDefault="00180D3E" w:rsidP="00292D2E">
            <w:pPr>
              <w:widowControl w:val="0"/>
              <w:spacing w:line="360" w:lineRule="auto"/>
              <w:jc w:val="center"/>
              <w:rPr>
                <w:rFonts w:eastAsia="Calibri"/>
                <w:i/>
                <w:sz w:val="28"/>
                <w:szCs w:val="28"/>
                <w:lang w:eastAsia="en-US"/>
              </w:rPr>
            </w:pPr>
            <w:r w:rsidRPr="00520861">
              <w:rPr>
                <w:rFonts w:eastAsia="Calibri"/>
                <w:i/>
                <w:sz w:val="28"/>
                <w:szCs w:val="28"/>
                <w:lang w:eastAsia="en-US"/>
              </w:rPr>
              <w:t>P</w:t>
            </w:r>
          </w:p>
        </w:tc>
      </w:tr>
      <w:tr w:rsidR="00180D3E" w:rsidRPr="00520861" w14:paraId="2A62133B" w14:textId="77777777" w:rsidTr="00292D2E">
        <w:trPr>
          <w:jc w:val="center"/>
        </w:trPr>
        <w:tc>
          <w:tcPr>
            <w:tcW w:w="1838" w:type="dxa"/>
            <w:tcBorders>
              <w:top w:val="single" w:sz="4" w:space="0" w:color="auto"/>
              <w:left w:val="single" w:sz="4" w:space="0" w:color="auto"/>
              <w:bottom w:val="single" w:sz="4" w:space="0" w:color="auto"/>
              <w:right w:val="single" w:sz="4" w:space="0" w:color="auto"/>
            </w:tcBorders>
            <w:shd w:val="clear" w:color="auto" w:fill="auto"/>
            <w:vAlign w:val="center"/>
          </w:tcPr>
          <w:p w14:paraId="40166241" w14:textId="77777777" w:rsidR="00180D3E" w:rsidRPr="00520861" w:rsidRDefault="00180D3E" w:rsidP="00292D2E">
            <w:pPr>
              <w:widowControl w:val="0"/>
              <w:spacing w:line="360" w:lineRule="auto"/>
              <w:rPr>
                <w:rFonts w:eastAsia="Calibri"/>
                <w:sz w:val="28"/>
                <w:szCs w:val="28"/>
                <w:lang w:eastAsia="en-US"/>
              </w:rPr>
            </w:pPr>
            <w:r w:rsidRPr="00520861">
              <w:rPr>
                <w:rFonts w:eastAsia="Calibri"/>
                <w:sz w:val="28"/>
                <w:szCs w:val="28"/>
                <w:lang w:eastAsia="en-US"/>
              </w:rPr>
              <w:t>1</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center"/>
          </w:tcPr>
          <w:p w14:paraId="35C42D2F" w14:textId="77777777" w:rsidR="00180D3E" w:rsidRPr="00520861" w:rsidRDefault="00180D3E" w:rsidP="00292D2E">
            <w:pPr>
              <w:widowControl w:val="0"/>
              <w:spacing w:line="360" w:lineRule="auto"/>
              <w:rPr>
                <w:rFonts w:eastAsia="Calibri"/>
                <w:sz w:val="28"/>
                <w:szCs w:val="28"/>
                <w:lang w:eastAsia="en-US"/>
              </w:rPr>
            </w:pPr>
            <w:r w:rsidRPr="00520861">
              <w:rPr>
                <w:rFonts w:eastAsia="Calibri"/>
                <w:sz w:val="28"/>
                <w:szCs w:val="28"/>
                <w:lang w:eastAsia="en-US"/>
              </w:rPr>
              <w:t>2</w:t>
            </w:r>
          </w:p>
        </w:tc>
        <w:tc>
          <w:tcPr>
            <w:tcW w:w="1742" w:type="dxa"/>
            <w:tcBorders>
              <w:top w:val="single" w:sz="4" w:space="0" w:color="auto"/>
              <w:left w:val="single" w:sz="4" w:space="0" w:color="auto"/>
              <w:bottom w:val="single" w:sz="4" w:space="0" w:color="auto"/>
              <w:right w:val="single" w:sz="4" w:space="0" w:color="auto"/>
            </w:tcBorders>
            <w:shd w:val="clear" w:color="auto" w:fill="auto"/>
          </w:tcPr>
          <w:p w14:paraId="4206282F" w14:textId="77777777" w:rsidR="00180D3E" w:rsidRPr="00520861" w:rsidRDefault="00180D3E" w:rsidP="00292D2E">
            <w:pPr>
              <w:widowControl w:val="0"/>
              <w:spacing w:line="360" w:lineRule="auto"/>
              <w:ind w:left="-108" w:right="-108"/>
              <w:jc w:val="center"/>
              <w:rPr>
                <w:rFonts w:eastAsia="Calibri"/>
                <w:sz w:val="28"/>
                <w:szCs w:val="28"/>
                <w:lang w:eastAsia="en-US"/>
              </w:rPr>
            </w:pPr>
            <w:r w:rsidRPr="00520861">
              <w:rPr>
                <w:rFonts w:eastAsia="Calibri"/>
                <w:sz w:val="28"/>
                <w:szCs w:val="28"/>
                <w:lang w:eastAsia="en-US"/>
              </w:rPr>
              <w:t>3</w:t>
            </w:r>
          </w:p>
        </w:tc>
        <w:tc>
          <w:tcPr>
            <w:tcW w:w="1357" w:type="dxa"/>
            <w:tcBorders>
              <w:top w:val="single" w:sz="4" w:space="0" w:color="auto"/>
              <w:left w:val="single" w:sz="4" w:space="0" w:color="auto"/>
              <w:bottom w:val="single" w:sz="4" w:space="0" w:color="auto"/>
              <w:right w:val="single" w:sz="4" w:space="0" w:color="auto"/>
            </w:tcBorders>
            <w:shd w:val="clear" w:color="auto" w:fill="auto"/>
          </w:tcPr>
          <w:p w14:paraId="0140713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4</w:t>
            </w:r>
          </w:p>
        </w:tc>
        <w:tc>
          <w:tcPr>
            <w:tcW w:w="2202" w:type="dxa"/>
            <w:tcBorders>
              <w:top w:val="single" w:sz="4" w:space="0" w:color="auto"/>
              <w:left w:val="single" w:sz="4" w:space="0" w:color="auto"/>
              <w:bottom w:val="single" w:sz="4" w:space="0" w:color="auto"/>
              <w:right w:val="single" w:sz="4" w:space="0" w:color="auto"/>
            </w:tcBorders>
            <w:shd w:val="clear" w:color="auto" w:fill="auto"/>
          </w:tcPr>
          <w:p w14:paraId="2042F74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5</w:t>
            </w:r>
          </w:p>
        </w:tc>
        <w:tc>
          <w:tcPr>
            <w:tcW w:w="835" w:type="dxa"/>
            <w:tcBorders>
              <w:top w:val="single" w:sz="4" w:space="0" w:color="auto"/>
              <w:left w:val="single" w:sz="4" w:space="0" w:color="auto"/>
              <w:bottom w:val="single" w:sz="4" w:space="0" w:color="auto"/>
              <w:right w:val="single" w:sz="4" w:space="0" w:color="auto"/>
            </w:tcBorders>
            <w:shd w:val="clear" w:color="auto" w:fill="auto"/>
          </w:tcPr>
          <w:p w14:paraId="4416665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6</w:t>
            </w:r>
          </w:p>
        </w:tc>
      </w:tr>
      <w:tr w:rsidR="00180D3E" w:rsidRPr="00520861" w14:paraId="0A31DFFA" w14:textId="77777777" w:rsidTr="00292D2E">
        <w:trPr>
          <w:jc w:val="center"/>
        </w:trPr>
        <w:tc>
          <w:tcPr>
            <w:tcW w:w="1838" w:type="dxa"/>
            <w:vMerge w:val="restart"/>
            <w:tcBorders>
              <w:top w:val="single" w:sz="4" w:space="0" w:color="auto"/>
              <w:left w:val="single" w:sz="4" w:space="0" w:color="auto"/>
              <w:right w:val="single" w:sz="4" w:space="0" w:color="auto"/>
            </w:tcBorders>
            <w:shd w:val="clear" w:color="auto" w:fill="auto"/>
          </w:tcPr>
          <w:p w14:paraId="0F888FF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i/>
                <w:sz w:val="28"/>
                <w:szCs w:val="28"/>
                <w:lang w:eastAsia="en-US"/>
              </w:rPr>
              <w:t>RANKL: C&gt;T</w:t>
            </w:r>
            <w:r w:rsidRPr="00520861">
              <w:rPr>
                <w:rFonts w:eastAsia="Calibri"/>
                <w:sz w:val="28"/>
                <w:szCs w:val="28"/>
                <w:lang w:eastAsia="en-US"/>
              </w:rPr>
              <w:t xml:space="preserve"> [rs9594738]</w:t>
            </w:r>
          </w:p>
        </w:tc>
        <w:tc>
          <w:tcPr>
            <w:tcW w:w="7796" w:type="dxa"/>
            <w:gridSpan w:val="5"/>
            <w:tcBorders>
              <w:top w:val="single" w:sz="4" w:space="0" w:color="auto"/>
              <w:left w:val="single" w:sz="4" w:space="0" w:color="auto"/>
              <w:bottom w:val="single" w:sz="4" w:space="0" w:color="auto"/>
              <w:right w:val="single" w:sz="4" w:space="0" w:color="auto"/>
            </w:tcBorders>
            <w:shd w:val="clear" w:color="auto" w:fill="auto"/>
          </w:tcPr>
          <w:p w14:paraId="0507757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Адитивна модель</w:t>
            </w:r>
          </w:p>
        </w:tc>
      </w:tr>
      <w:tr w:rsidR="00180D3E" w:rsidRPr="00520861" w14:paraId="4825F61B" w14:textId="77777777" w:rsidTr="00292D2E">
        <w:trPr>
          <w:jc w:val="center"/>
        </w:trPr>
        <w:tc>
          <w:tcPr>
            <w:tcW w:w="1838" w:type="dxa"/>
            <w:vMerge/>
            <w:tcBorders>
              <w:left w:val="single" w:sz="4" w:space="0" w:color="auto"/>
              <w:right w:val="single" w:sz="4" w:space="0" w:color="auto"/>
            </w:tcBorders>
            <w:shd w:val="clear" w:color="auto" w:fill="auto"/>
            <w:hideMark/>
          </w:tcPr>
          <w:p w14:paraId="366A1E76" w14:textId="77777777" w:rsidR="00180D3E" w:rsidRPr="00520861" w:rsidRDefault="00180D3E" w:rsidP="00292D2E">
            <w:pPr>
              <w:widowControl w:val="0"/>
              <w:spacing w:line="360" w:lineRule="auto"/>
              <w:jc w:val="center"/>
              <w:rPr>
                <w:rFonts w:eastAsia="Calibri"/>
                <w:sz w:val="28"/>
                <w:szCs w:val="28"/>
                <w:lang w:eastAsia="en-US"/>
              </w:rPr>
            </w:pPr>
          </w:p>
        </w:tc>
        <w:tc>
          <w:tcPr>
            <w:tcW w:w="1660" w:type="dxa"/>
            <w:tcBorders>
              <w:top w:val="single" w:sz="4" w:space="0" w:color="auto"/>
              <w:left w:val="single" w:sz="4" w:space="0" w:color="auto"/>
              <w:bottom w:val="single" w:sz="4" w:space="0" w:color="auto"/>
              <w:right w:val="single" w:sz="4" w:space="0" w:color="auto"/>
            </w:tcBorders>
            <w:shd w:val="clear" w:color="auto" w:fill="auto"/>
            <w:hideMark/>
          </w:tcPr>
          <w:p w14:paraId="201F67E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CC </w:t>
            </w:r>
          </w:p>
          <w:p w14:paraId="6FE1533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CT</w:t>
            </w:r>
          </w:p>
          <w:p w14:paraId="324175F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TT</w:t>
            </w:r>
          </w:p>
        </w:tc>
        <w:tc>
          <w:tcPr>
            <w:tcW w:w="1742" w:type="dxa"/>
            <w:tcBorders>
              <w:top w:val="single" w:sz="4" w:space="0" w:color="auto"/>
              <w:left w:val="single" w:sz="4" w:space="0" w:color="auto"/>
              <w:bottom w:val="single" w:sz="4" w:space="0" w:color="auto"/>
              <w:right w:val="single" w:sz="4" w:space="0" w:color="auto"/>
            </w:tcBorders>
            <w:shd w:val="clear" w:color="auto" w:fill="auto"/>
            <w:hideMark/>
          </w:tcPr>
          <w:p w14:paraId="14564AD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3,387</w:t>
            </w:r>
          </w:p>
        </w:tc>
        <w:tc>
          <w:tcPr>
            <w:tcW w:w="1357" w:type="dxa"/>
            <w:tcBorders>
              <w:top w:val="single" w:sz="4" w:space="0" w:color="auto"/>
              <w:left w:val="single" w:sz="4" w:space="0" w:color="auto"/>
              <w:bottom w:val="single" w:sz="4" w:space="0" w:color="auto"/>
              <w:right w:val="single" w:sz="4" w:space="0" w:color="auto"/>
            </w:tcBorders>
            <w:shd w:val="clear" w:color="auto" w:fill="auto"/>
            <w:hideMark/>
          </w:tcPr>
          <w:p w14:paraId="4D81B4A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0,308</w:t>
            </w:r>
          </w:p>
          <w:p w14:paraId="03FB69D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1,900</w:t>
            </w:r>
          </w:p>
          <w:p w14:paraId="5F193A4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1,692</w:t>
            </w:r>
          </w:p>
        </w:tc>
        <w:tc>
          <w:tcPr>
            <w:tcW w:w="2202" w:type="dxa"/>
            <w:tcBorders>
              <w:top w:val="single" w:sz="4" w:space="0" w:color="auto"/>
              <w:left w:val="single" w:sz="4" w:space="0" w:color="auto"/>
              <w:bottom w:val="single" w:sz="4" w:space="0" w:color="auto"/>
              <w:right w:val="single" w:sz="4" w:space="0" w:color="auto"/>
            </w:tcBorders>
            <w:shd w:val="clear" w:color="auto" w:fill="auto"/>
            <w:hideMark/>
          </w:tcPr>
          <w:p w14:paraId="65DD53F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0,105-0,903</w:t>
            </w:r>
          </w:p>
          <w:p w14:paraId="76EBF27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0,687-5,254</w:t>
            </w:r>
          </w:p>
          <w:p w14:paraId="54C1AC1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0,545-5,252</w:t>
            </w:r>
          </w:p>
        </w:tc>
        <w:tc>
          <w:tcPr>
            <w:tcW w:w="835" w:type="dxa"/>
            <w:tcBorders>
              <w:top w:val="single" w:sz="4" w:space="0" w:color="auto"/>
              <w:left w:val="single" w:sz="4" w:space="0" w:color="auto"/>
              <w:bottom w:val="single" w:sz="4" w:space="0" w:color="auto"/>
              <w:right w:val="single" w:sz="4" w:space="0" w:color="auto"/>
            </w:tcBorders>
            <w:shd w:val="clear" w:color="auto" w:fill="auto"/>
            <w:hideMark/>
          </w:tcPr>
          <w:p w14:paraId="24F4387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lastRenderedPageBreak/>
              <w:t>0,184</w:t>
            </w:r>
          </w:p>
        </w:tc>
      </w:tr>
      <w:tr w:rsidR="00180D3E" w:rsidRPr="00520861" w14:paraId="79531C6C" w14:textId="77777777" w:rsidTr="00292D2E">
        <w:trPr>
          <w:jc w:val="center"/>
        </w:trPr>
        <w:tc>
          <w:tcPr>
            <w:tcW w:w="1838" w:type="dxa"/>
            <w:vMerge/>
            <w:tcBorders>
              <w:left w:val="single" w:sz="4" w:space="0" w:color="auto"/>
              <w:right w:val="single" w:sz="4" w:space="0" w:color="auto"/>
            </w:tcBorders>
            <w:shd w:val="clear" w:color="auto" w:fill="auto"/>
          </w:tcPr>
          <w:p w14:paraId="735F4658" w14:textId="77777777" w:rsidR="00180D3E" w:rsidRPr="00520861" w:rsidRDefault="00180D3E" w:rsidP="00292D2E">
            <w:pPr>
              <w:widowControl w:val="0"/>
              <w:spacing w:line="360" w:lineRule="auto"/>
              <w:jc w:val="center"/>
              <w:rPr>
                <w:rFonts w:eastAsia="Calibri"/>
                <w:sz w:val="28"/>
                <w:szCs w:val="28"/>
                <w:lang w:eastAsia="en-US"/>
              </w:rPr>
            </w:pPr>
          </w:p>
        </w:tc>
        <w:tc>
          <w:tcPr>
            <w:tcW w:w="7796" w:type="dxa"/>
            <w:gridSpan w:val="5"/>
            <w:tcBorders>
              <w:top w:val="single" w:sz="4" w:space="0" w:color="auto"/>
              <w:left w:val="single" w:sz="4" w:space="0" w:color="auto"/>
              <w:bottom w:val="single" w:sz="4" w:space="0" w:color="auto"/>
              <w:right w:val="single" w:sz="4" w:space="0" w:color="auto"/>
            </w:tcBorders>
            <w:shd w:val="clear" w:color="auto" w:fill="auto"/>
          </w:tcPr>
          <w:p w14:paraId="291A845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Рецесивна модель</w:t>
            </w:r>
          </w:p>
        </w:tc>
      </w:tr>
      <w:tr w:rsidR="00180D3E" w:rsidRPr="00520861" w14:paraId="6A54F522" w14:textId="77777777" w:rsidTr="00292D2E">
        <w:trPr>
          <w:jc w:val="center"/>
        </w:trPr>
        <w:tc>
          <w:tcPr>
            <w:tcW w:w="1838" w:type="dxa"/>
            <w:vMerge/>
            <w:tcBorders>
              <w:left w:val="single" w:sz="4" w:space="0" w:color="auto"/>
              <w:right w:val="single" w:sz="4" w:space="0" w:color="auto"/>
            </w:tcBorders>
            <w:shd w:val="clear" w:color="auto" w:fill="auto"/>
          </w:tcPr>
          <w:p w14:paraId="047644E3" w14:textId="77777777" w:rsidR="00180D3E" w:rsidRPr="00520861" w:rsidRDefault="00180D3E" w:rsidP="00292D2E">
            <w:pPr>
              <w:widowControl w:val="0"/>
              <w:spacing w:line="360" w:lineRule="auto"/>
              <w:jc w:val="center"/>
              <w:rPr>
                <w:rFonts w:eastAsia="Calibri"/>
                <w:sz w:val="28"/>
                <w:szCs w:val="28"/>
                <w:lang w:eastAsia="en-US"/>
              </w:rPr>
            </w:pPr>
          </w:p>
        </w:tc>
        <w:tc>
          <w:tcPr>
            <w:tcW w:w="1660" w:type="dxa"/>
            <w:tcBorders>
              <w:top w:val="single" w:sz="4" w:space="0" w:color="auto"/>
              <w:left w:val="single" w:sz="4" w:space="0" w:color="auto"/>
              <w:bottom w:val="single" w:sz="4" w:space="0" w:color="auto"/>
              <w:right w:val="single" w:sz="4" w:space="0" w:color="auto"/>
            </w:tcBorders>
            <w:shd w:val="clear" w:color="auto" w:fill="auto"/>
          </w:tcPr>
          <w:p w14:paraId="483D707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 +CT</w:t>
            </w:r>
          </w:p>
          <w:p w14:paraId="780F467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w:t>
            </w:r>
          </w:p>
        </w:tc>
        <w:tc>
          <w:tcPr>
            <w:tcW w:w="1742" w:type="dxa"/>
            <w:tcBorders>
              <w:top w:val="single" w:sz="4" w:space="0" w:color="auto"/>
              <w:left w:val="single" w:sz="4" w:space="0" w:color="auto"/>
              <w:bottom w:val="single" w:sz="4" w:space="0" w:color="auto"/>
              <w:right w:val="single" w:sz="4" w:space="0" w:color="auto"/>
            </w:tcBorders>
            <w:shd w:val="clear" w:color="auto" w:fill="auto"/>
          </w:tcPr>
          <w:p w14:paraId="7D0F0B8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0,404</w:t>
            </w:r>
          </w:p>
        </w:tc>
        <w:tc>
          <w:tcPr>
            <w:tcW w:w="1357" w:type="dxa"/>
            <w:tcBorders>
              <w:top w:val="single" w:sz="4" w:space="0" w:color="auto"/>
              <w:left w:val="single" w:sz="4" w:space="0" w:color="auto"/>
              <w:bottom w:val="single" w:sz="4" w:space="0" w:color="auto"/>
              <w:right w:val="single" w:sz="4" w:space="0" w:color="auto"/>
            </w:tcBorders>
            <w:shd w:val="clear" w:color="auto" w:fill="auto"/>
          </w:tcPr>
          <w:p w14:paraId="453A6B8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0,591</w:t>
            </w:r>
          </w:p>
          <w:p w14:paraId="6D3CBF8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1,692</w:t>
            </w:r>
          </w:p>
        </w:tc>
        <w:tc>
          <w:tcPr>
            <w:tcW w:w="2202" w:type="dxa"/>
            <w:tcBorders>
              <w:top w:val="single" w:sz="4" w:space="0" w:color="auto"/>
              <w:left w:val="single" w:sz="4" w:space="0" w:color="auto"/>
              <w:bottom w:val="single" w:sz="4" w:space="0" w:color="auto"/>
              <w:right w:val="single" w:sz="4" w:space="0" w:color="auto"/>
            </w:tcBorders>
            <w:shd w:val="clear" w:color="auto" w:fill="auto"/>
          </w:tcPr>
          <w:p w14:paraId="4E8CD74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0,190-1,834</w:t>
            </w:r>
          </w:p>
          <w:p w14:paraId="0C2B262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0,545-5,252</w:t>
            </w:r>
          </w:p>
        </w:tc>
        <w:tc>
          <w:tcPr>
            <w:tcW w:w="835" w:type="dxa"/>
            <w:tcBorders>
              <w:top w:val="single" w:sz="4" w:space="0" w:color="auto"/>
              <w:left w:val="single" w:sz="4" w:space="0" w:color="auto"/>
              <w:bottom w:val="single" w:sz="4" w:space="0" w:color="auto"/>
              <w:right w:val="single" w:sz="4" w:space="0" w:color="auto"/>
            </w:tcBorders>
            <w:shd w:val="clear" w:color="auto" w:fill="auto"/>
          </w:tcPr>
          <w:p w14:paraId="6E63162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0,525</w:t>
            </w:r>
          </w:p>
        </w:tc>
      </w:tr>
      <w:tr w:rsidR="00180D3E" w:rsidRPr="00520861" w14:paraId="51D24BD4" w14:textId="77777777" w:rsidTr="00292D2E">
        <w:trPr>
          <w:jc w:val="center"/>
        </w:trPr>
        <w:tc>
          <w:tcPr>
            <w:tcW w:w="1838" w:type="dxa"/>
            <w:vMerge/>
            <w:tcBorders>
              <w:left w:val="single" w:sz="4" w:space="0" w:color="auto"/>
              <w:right w:val="single" w:sz="4" w:space="0" w:color="auto"/>
            </w:tcBorders>
            <w:shd w:val="clear" w:color="auto" w:fill="auto"/>
          </w:tcPr>
          <w:p w14:paraId="584D1103" w14:textId="77777777" w:rsidR="00180D3E" w:rsidRPr="00520861" w:rsidRDefault="00180D3E" w:rsidP="00292D2E">
            <w:pPr>
              <w:widowControl w:val="0"/>
              <w:spacing w:line="360" w:lineRule="auto"/>
              <w:jc w:val="center"/>
              <w:rPr>
                <w:rFonts w:eastAsia="Calibri"/>
                <w:sz w:val="28"/>
                <w:szCs w:val="28"/>
                <w:lang w:eastAsia="en-US"/>
              </w:rPr>
            </w:pPr>
          </w:p>
        </w:tc>
        <w:tc>
          <w:tcPr>
            <w:tcW w:w="7796" w:type="dxa"/>
            <w:gridSpan w:val="5"/>
            <w:tcBorders>
              <w:top w:val="single" w:sz="4" w:space="0" w:color="auto"/>
              <w:left w:val="single" w:sz="4" w:space="0" w:color="auto"/>
              <w:bottom w:val="single" w:sz="4" w:space="0" w:color="auto"/>
              <w:right w:val="single" w:sz="4" w:space="0" w:color="auto"/>
            </w:tcBorders>
            <w:shd w:val="clear" w:color="auto" w:fill="auto"/>
          </w:tcPr>
          <w:p w14:paraId="1F927D0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Домінантна модель</w:t>
            </w:r>
          </w:p>
        </w:tc>
      </w:tr>
      <w:tr w:rsidR="00180D3E" w:rsidRPr="00520861" w14:paraId="4558D309" w14:textId="77777777" w:rsidTr="00292D2E">
        <w:trPr>
          <w:jc w:val="center"/>
        </w:trPr>
        <w:tc>
          <w:tcPr>
            <w:tcW w:w="1838" w:type="dxa"/>
            <w:vMerge/>
            <w:tcBorders>
              <w:left w:val="single" w:sz="4" w:space="0" w:color="auto"/>
              <w:right w:val="single" w:sz="4" w:space="0" w:color="auto"/>
            </w:tcBorders>
            <w:shd w:val="clear" w:color="auto" w:fill="auto"/>
          </w:tcPr>
          <w:p w14:paraId="0BB3F443" w14:textId="77777777" w:rsidR="00180D3E" w:rsidRPr="00520861" w:rsidRDefault="00180D3E" w:rsidP="00292D2E">
            <w:pPr>
              <w:widowControl w:val="0"/>
              <w:spacing w:line="360" w:lineRule="auto"/>
              <w:jc w:val="center"/>
              <w:rPr>
                <w:rFonts w:eastAsia="Calibri"/>
                <w:sz w:val="28"/>
                <w:szCs w:val="28"/>
                <w:lang w:eastAsia="en-US"/>
              </w:rPr>
            </w:pPr>
          </w:p>
        </w:tc>
        <w:tc>
          <w:tcPr>
            <w:tcW w:w="1660" w:type="dxa"/>
            <w:tcBorders>
              <w:top w:val="single" w:sz="4" w:space="0" w:color="auto"/>
              <w:left w:val="single" w:sz="4" w:space="0" w:color="auto"/>
              <w:bottom w:val="single" w:sz="4" w:space="0" w:color="auto"/>
              <w:right w:val="single" w:sz="4" w:space="0" w:color="auto"/>
            </w:tcBorders>
            <w:shd w:val="clear" w:color="auto" w:fill="auto"/>
          </w:tcPr>
          <w:p w14:paraId="11AE659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w:t>
            </w:r>
          </w:p>
          <w:p w14:paraId="6A7B1A2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CT+TT</w:t>
            </w:r>
          </w:p>
        </w:tc>
        <w:tc>
          <w:tcPr>
            <w:tcW w:w="1742" w:type="dxa"/>
            <w:tcBorders>
              <w:top w:val="single" w:sz="4" w:space="0" w:color="auto"/>
              <w:left w:val="single" w:sz="4" w:space="0" w:color="auto"/>
              <w:bottom w:val="single" w:sz="4" w:space="0" w:color="auto"/>
              <w:right w:val="single" w:sz="4" w:space="0" w:color="auto"/>
            </w:tcBorders>
            <w:shd w:val="clear" w:color="auto" w:fill="auto"/>
          </w:tcPr>
          <w:p w14:paraId="0FA6558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3,687</w:t>
            </w:r>
          </w:p>
        </w:tc>
        <w:tc>
          <w:tcPr>
            <w:tcW w:w="1357" w:type="dxa"/>
            <w:tcBorders>
              <w:top w:val="single" w:sz="4" w:space="0" w:color="auto"/>
              <w:left w:val="single" w:sz="4" w:space="0" w:color="auto"/>
              <w:bottom w:val="single" w:sz="4" w:space="0" w:color="auto"/>
              <w:right w:val="single" w:sz="4" w:space="0" w:color="auto"/>
            </w:tcBorders>
            <w:shd w:val="clear" w:color="auto" w:fill="auto"/>
          </w:tcPr>
          <w:p w14:paraId="7B2B16D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0,308</w:t>
            </w:r>
          </w:p>
          <w:p w14:paraId="3F1751C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3,250</w:t>
            </w:r>
          </w:p>
        </w:tc>
        <w:tc>
          <w:tcPr>
            <w:tcW w:w="2202" w:type="dxa"/>
            <w:tcBorders>
              <w:top w:val="single" w:sz="4" w:space="0" w:color="auto"/>
              <w:left w:val="single" w:sz="4" w:space="0" w:color="auto"/>
              <w:bottom w:val="single" w:sz="4" w:space="0" w:color="auto"/>
              <w:right w:val="single" w:sz="4" w:space="0" w:color="auto"/>
            </w:tcBorders>
            <w:shd w:val="clear" w:color="auto" w:fill="auto"/>
          </w:tcPr>
          <w:p w14:paraId="7CA910E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0,105-0,903</w:t>
            </w:r>
          </w:p>
          <w:p w14:paraId="7CF9CD3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1,107-9,541</w:t>
            </w:r>
          </w:p>
        </w:tc>
        <w:tc>
          <w:tcPr>
            <w:tcW w:w="835" w:type="dxa"/>
            <w:tcBorders>
              <w:top w:val="single" w:sz="4" w:space="0" w:color="auto"/>
              <w:left w:val="single" w:sz="4" w:space="0" w:color="auto"/>
              <w:bottom w:val="single" w:sz="4" w:space="0" w:color="auto"/>
              <w:right w:val="single" w:sz="4" w:space="0" w:color="auto"/>
            </w:tcBorders>
            <w:shd w:val="clear" w:color="auto" w:fill="auto"/>
          </w:tcPr>
          <w:p w14:paraId="1643E29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0,055</w:t>
            </w:r>
          </w:p>
        </w:tc>
      </w:tr>
      <w:tr w:rsidR="00180D3E" w:rsidRPr="00520861" w14:paraId="03CDDBDB" w14:textId="77777777" w:rsidTr="00292D2E">
        <w:trPr>
          <w:jc w:val="center"/>
        </w:trPr>
        <w:tc>
          <w:tcPr>
            <w:tcW w:w="1838" w:type="dxa"/>
            <w:vMerge/>
            <w:tcBorders>
              <w:left w:val="single" w:sz="4" w:space="0" w:color="auto"/>
              <w:right w:val="single" w:sz="4" w:space="0" w:color="auto"/>
            </w:tcBorders>
            <w:shd w:val="clear" w:color="auto" w:fill="auto"/>
          </w:tcPr>
          <w:p w14:paraId="7BA4D6BC" w14:textId="77777777" w:rsidR="00180D3E" w:rsidRPr="00520861" w:rsidRDefault="00180D3E" w:rsidP="00292D2E">
            <w:pPr>
              <w:widowControl w:val="0"/>
              <w:spacing w:line="360" w:lineRule="auto"/>
              <w:jc w:val="center"/>
              <w:rPr>
                <w:rFonts w:eastAsia="Calibri"/>
                <w:sz w:val="28"/>
                <w:szCs w:val="28"/>
                <w:lang w:eastAsia="en-US"/>
              </w:rPr>
            </w:pPr>
          </w:p>
        </w:tc>
        <w:tc>
          <w:tcPr>
            <w:tcW w:w="7796" w:type="dxa"/>
            <w:gridSpan w:val="5"/>
            <w:tcBorders>
              <w:top w:val="single" w:sz="4" w:space="0" w:color="auto"/>
              <w:left w:val="single" w:sz="4" w:space="0" w:color="auto"/>
              <w:bottom w:val="single" w:sz="4" w:space="0" w:color="auto"/>
              <w:right w:val="single" w:sz="4" w:space="0" w:color="auto"/>
            </w:tcBorders>
            <w:shd w:val="clear" w:color="auto" w:fill="auto"/>
          </w:tcPr>
          <w:p w14:paraId="7DCEDBA9" w14:textId="77777777" w:rsidR="00180D3E" w:rsidRPr="00520861" w:rsidRDefault="00180D3E" w:rsidP="00292D2E">
            <w:pPr>
              <w:widowControl w:val="0"/>
              <w:spacing w:line="360" w:lineRule="auto"/>
              <w:jc w:val="center"/>
              <w:rPr>
                <w:rFonts w:eastAsia="Calibri"/>
                <w:sz w:val="28"/>
                <w:szCs w:val="28"/>
                <w:lang w:eastAsia="en-US"/>
              </w:rPr>
            </w:pP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w:t>
            </w:r>
          </w:p>
        </w:tc>
      </w:tr>
      <w:tr w:rsidR="00180D3E" w:rsidRPr="00520861" w14:paraId="1EE8C817" w14:textId="77777777" w:rsidTr="00292D2E">
        <w:trPr>
          <w:jc w:val="center"/>
        </w:trPr>
        <w:tc>
          <w:tcPr>
            <w:tcW w:w="1838" w:type="dxa"/>
            <w:vMerge/>
            <w:tcBorders>
              <w:left w:val="single" w:sz="4" w:space="0" w:color="auto"/>
              <w:right w:val="single" w:sz="4" w:space="0" w:color="auto"/>
            </w:tcBorders>
            <w:shd w:val="clear" w:color="auto" w:fill="auto"/>
          </w:tcPr>
          <w:p w14:paraId="0B7824F9" w14:textId="77777777" w:rsidR="00180D3E" w:rsidRPr="00520861" w:rsidRDefault="00180D3E" w:rsidP="00292D2E">
            <w:pPr>
              <w:widowControl w:val="0"/>
              <w:spacing w:line="360" w:lineRule="auto"/>
              <w:jc w:val="center"/>
              <w:rPr>
                <w:rFonts w:eastAsia="Calibri"/>
                <w:sz w:val="28"/>
                <w:szCs w:val="28"/>
                <w:lang w:eastAsia="en-US"/>
              </w:rPr>
            </w:pPr>
          </w:p>
        </w:tc>
        <w:tc>
          <w:tcPr>
            <w:tcW w:w="1660" w:type="dxa"/>
            <w:tcBorders>
              <w:top w:val="single" w:sz="4" w:space="0" w:color="auto"/>
              <w:left w:val="single" w:sz="4" w:space="0" w:color="auto"/>
              <w:bottom w:val="single" w:sz="4" w:space="0" w:color="auto"/>
              <w:right w:val="single" w:sz="4" w:space="0" w:color="auto"/>
            </w:tcBorders>
            <w:shd w:val="clear" w:color="auto" w:fill="auto"/>
          </w:tcPr>
          <w:p w14:paraId="1B2F11B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 +TT</w:t>
            </w:r>
          </w:p>
          <w:p w14:paraId="77C7683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CT</w:t>
            </w:r>
          </w:p>
        </w:tc>
        <w:tc>
          <w:tcPr>
            <w:tcW w:w="1742" w:type="dxa"/>
            <w:tcBorders>
              <w:top w:val="single" w:sz="4" w:space="0" w:color="auto"/>
              <w:left w:val="single" w:sz="4" w:space="0" w:color="auto"/>
              <w:bottom w:val="single" w:sz="4" w:space="0" w:color="auto"/>
              <w:right w:val="single" w:sz="4" w:space="0" w:color="auto"/>
            </w:tcBorders>
            <w:shd w:val="clear" w:color="auto" w:fill="auto"/>
          </w:tcPr>
          <w:p w14:paraId="37F6759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0,980</w:t>
            </w:r>
          </w:p>
        </w:tc>
        <w:tc>
          <w:tcPr>
            <w:tcW w:w="1357" w:type="dxa"/>
            <w:tcBorders>
              <w:top w:val="single" w:sz="4" w:space="0" w:color="auto"/>
              <w:left w:val="single" w:sz="4" w:space="0" w:color="auto"/>
              <w:bottom w:val="single" w:sz="4" w:space="0" w:color="auto"/>
              <w:right w:val="single" w:sz="4" w:space="0" w:color="auto"/>
            </w:tcBorders>
            <w:shd w:val="clear" w:color="auto" w:fill="auto"/>
          </w:tcPr>
          <w:p w14:paraId="050A6A9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0,526</w:t>
            </w:r>
          </w:p>
          <w:p w14:paraId="7BA7EDE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1,900</w:t>
            </w:r>
          </w:p>
        </w:tc>
        <w:tc>
          <w:tcPr>
            <w:tcW w:w="2202" w:type="dxa"/>
            <w:tcBorders>
              <w:top w:val="single" w:sz="4" w:space="0" w:color="auto"/>
              <w:left w:val="single" w:sz="4" w:space="0" w:color="auto"/>
              <w:bottom w:val="single" w:sz="4" w:space="0" w:color="auto"/>
              <w:right w:val="single" w:sz="4" w:space="0" w:color="auto"/>
            </w:tcBorders>
            <w:shd w:val="clear" w:color="auto" w:fill="auto"/>
          </w:tcPr>
          <w:p w14:paraId="745FC3C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0,190-1,455</w:t>
            </w:r>
          </w:p>
          <w:p w14:paraId="18E7E24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0,687-5,254</w:t>
            </w:r>
          </w:p>
        </w:tc>
        <w:tc>
          <w:tcPr>
            <w:tcW w:w="835" w:type="dxa"/>
            <w:tcBorders>
              <w:top w:val="single" w:sz="4" w:space="0" w:color="auto"/>
              <w:left w:val="single" w:sz="4" w:space="0" w:color="auto"/>
              <w:bottom w:val="single" w:sz="4" w:space="0" w:color="auto"/>
              <w:right w:val="single" w:sz="4" w:space="0" w:color="auto"/>
            </w:tcBorders>
            <w:shd w:val="clear" w:color="auto" w:fill="auto"/>
          </w:tcPr>
          <w:p w14:paraId="12DF631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0,322</w:t>
            </w:r>
          </w:p>
        </w:tc>
      </w:tr>
      <w:tr w:rsidR="00180D3E" w:rsidRPr="00520861" w14:paraId="3CA9DE6F" w14:textId="77777777" w:rsidTr="00292D2E">
        <w:trPr>
          <w:jc w:val="center"/>
        </w:trPr>
        <w:tc>
          <w:tcPr>
            <w:tcW w:w="1838" w:type="dxa"/>
            <w:vMerge/>
            <w:tcBorders>
              <w:left w:val="single" w:sz="4" w:space="0" w:color="auto"/>
              <w:right w:val="single" w:sz="4" w:space="0" w:color="auto"/>
            </w:tcBorders>
            <w:shd w:val="clear" w:color="auto" w:fill="auto"/>
          </w:tcPr>
          <w:p w14:paraId="6350DB51" w14:textId="77777777" w:rsidR="00180D3E" w:rsidRPr="00520861" w:rsidRDefault="00180D3E" w:rsidP="00292D2E">
            <w:pPr>
              <w:widowControl w:val="0"/>
              <w:spacing w:line="360" w:lineRule="auto"/>
              <w:jc w:val="center"/>
              <w:rPr>
                <w:rFonts w:eastAsia="Calibri"/>
                <w:sz w:val="28"/>
                <w:szCs w:val="28"/>
                <w:lang w:eastAsia="en-US"/>
              </w:rPr>
            </w:pPr>
          </w:p>
        </w:tc>
        <w:tc>
          <w:tcPr>
            <w:tcW w:w="7796" w:type="dxa"/>
            <w:gridSpan w:val="5"/>
            <w:tcBorders>
              <w:top w:val="single" w:sz="4" w:space="0" w:color="auto"/>
              <w:left w:val="single" w:sz="4" w:space="0" w:color="auto"/>
              <w:bottom w:val="single" w:sz="4" w:space="0" w:color="auto"/>
              <w:right w:val="single" w:sz="4" w:space="0" w:color="auto"/>
            </w:tcBorders>
            <w:shd w:val="clear" w:color="auto" w:fill="auto"/>
          </w:tcPr>
          <w:p w14:paraId="2FFA9EC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Мультиплікативна модель</w:t>
            </w:r>
          </w:p>
        </w:tc>
      </w:tr>
      <w:tr w:rsidR="00180D3E" w:rsidRPr="00520861" w14:paraId="0D8E9ADB" w14:textId="77777777" w:rsidTr="00292D2E">
        <w:trPr>
          <w:jc w:val="center"/>
        </w:trPr>
        <w:tc>
          <w:tcPr>
            <w:tcW w:w="1838" w:type="dxa"/>
            <w:vMerge/>
            <w:tcBorders>
              <w:left w:val="single" w:sz="4" w:space="0" w:color="auto"/>
              <w:bottom w:val="single" w:sz="4" w:space="0" w:color="auto"/>
              <w:right w:val="single" w:sz="4" w:space="0" w:color="auto"/>
            </w:tcBorders>
            <w:shd w:val="clear" w:color="auto" w:fill="auto"/>
          </w:tcPr>
          <w:p w14:paraId="5BC70D42" w14:textId="77777777" w:rsidR="00180D3E" w:rsidRPr="00520861" w:rsidRDefault="00180D3E" w:rsidP="00292D2E">
            <w:pPr>
              <w:widowControl w:val="0"/>
              <w:spacing w:line="360" w:lineRule="auto"/>
              <w:jc w:val="center"/>
              <w:rPr>
                <w:rFonts w:eastAsia="Calibri"/>
                <w:sz w:val="28"/>
                <w:szCs w:val="28"/>
                <w:lang w:eastAsia="en-US"/>
              </w:rPr>
            </w:pPr>
          </w:p>
        </w:tc>
        <w:tc>
          <w:tcPr>
            <w:tcW w:w="1660" w:type="dxa"/>
            <w:tcBorders>
              <w:top w:val="single" w:sz="4" w:space="0" w:color="auto"/>
              <w:left w:val="single" w:sz="4" w:space="0" w:color="auto"/>
              <w:bottom w:val="single" w:sz="4" w:space="0" w:color="auto"/>
              <w:right w:val="single" w:sz="4" w:space="0" w:color="auto"/>
            </w:tcBorders>
            <w:shd w:val="clear" w:color="auto" w:fill="auto"/>
          </w:tcPr>
          <w:p w14:paraId="7E547B0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w:t>
            </w:r>
          </w:p>
          <w:p w14:paraId="09FFFA5C"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w:t>
            </w:r>
          </w:p>
        </w:tc>
        <w:tc>
          <w:tcPr>
            <w:tcW w:w="1742" w:type="dxa"/>
            <w:tcBorders>
              <w:top w:val="single" w:sz="4" w:space="0" w:color="auto"/>
              <w:left w:val="single" w:sz="4" w:space="0" w:color="auto"/>
              <w:bottom w:val="single" w:sz="4" w:space="0" w:color="auto"/>
              <w:right w:val="single" w:sz="4" w:space="0" w:color="auto"/>
            </w:tcBorders>
            <w:shd w:val="clear" w:color="auto" w:fill="auto"/>
          </w:tcPr>
          <w:p w14:paraId="3C344E0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4,078</w:t>
            </w:r>
          </w:p>
        </w:tc>
        <w:tc>
          <w:tcPr>
            <w:tcW w:w="1357" w:type="dxa"/>
            <w:tcBorders>
              <w:top w:val="single" w:sz="4" w:space="0" w:color="auto"/>
              <w:left w:val="single" w:sz="4" w:space="0" w:color="auto"/>
              <w:bottom w:val="single" w:sz="4" w:space="0" w:color="auto"/>
              <w:right w:val="single" w:sz="4" w:space="0" w:color="auto"/>
            </w:tcBorders>
            <w:shd w:val="clear" w:color="auto" w:fill="auto"/>
          </w:tcPr>
          <w:p w14:paraId="3DA120C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0,486</w:t>
            </w:r>
          </w:p>
          <w:p w14:paraId="697356C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2,059</w:t>
            </w:r>
          </w:p>
        </w:tc>
        <w:tc>
          <w:tcPr>
            <w:tcW w:w="2202" w:type="dxa"/>
            <w:tcBorders>
              <w:top w:val="single" w:sz="4" w:space="0" w:color="auto"/>
              <w:left w:val="single" w:sz="4" w:space="0" w:color="auto"/>
              <w:bottom w:val="single" w:sz="4" w:space="0" w:color="auto"/>
              <w:right w:val="single" w:sz="4" w:space="0" w:color="auto"/>
            </w:tcBorders>
            <w:shd w:val="clear" w:color="auto" w:fill="auto"/>
          </w:tcPr>
          <w:p w14:paraId="08D4B3A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0,240-0,983</w:t>
            </w:r>
          </w:p>
          <w:p w14:paraId="62FD2A0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1,017-4,167</w:t>
            </w:r>
          </w:p>
        </w:tc>
        <w:tc>
          <w:tcPr>
            <w:tcW w:w="835" w:type="dxa"/>
            <w:tcBorders>
              <w:top w:val="single" w:sz="4" w:space="0" w:color="auto"/>
              <w:left w:val="single" w:sz="4" w:space="0" w:color="auto"/>
              <w:bottom w:val="single" w:sz="4" w:space="0" w:color="auto"/>
              <w:right w:val="single" w:sz="4" w:space="0" w:color="auto"/>
            </w:tcBorders>
            <w:shd w:val="clear" w:color="auto" w:fill="auto"/>
          </w:tcPr>
          <w:p w14:paraId="2542C50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0,043</w:t>
            </w:r>
          </w:p>
        </w:tc>
      </w:tr>
      <w:tr w:rsidR="00180D3E" w:rsidRPr="00520861" w14:paraId="3A95D547" w14:textId="77777777" w:rsidTr="00292D2E">
        <w:trPr>
          <w:jc w:val="center"/>
        </w:trPr>
        <w:tc>
          <w:tcPr>
            <w:tcW w:w="1838" w:type="dxa"/>
            <w:vMerge w:val="restart"/>
            <w:tcBorders>
              <w:top w:val="single" w:sz="4" w:space="0" w:color="auto"/>
              <w:left w:val="single" w:sz="4" w:space="0" w:color="auto"/>
              <w:right w:val="single" w:sz="4" w:space="0" w:color="auto"/>
            </w:tcBorders>
            <w:shd w:val="clear" w:color="auto" w:fill="auto"/>
          </w:tcPr>
          <w:p w14:paraId="32D7853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i/>
                <w:sz w:val="28"/>
                <w:szCs w:val="28"/>
                <w:lang w:eastAsia="en-US"/>
              </w:rPr>
              <w:t>RANKL: C&gt;T</w:t>
            </w:r>
            <w:r w:rsidRPr="00520861">
              <w:rPr>
                <w:rFonts w:eastAsia="Calibri"/>
                <w:sz w:val="28"/>
                <w:szCs w:val="28"/>
                <w:lang w:eastAsia="en-US"/>
              </w:rPr>
              <w:t xml:space="preserve"> [rs9594759]</w:t>
            </w:r>
          </w:p>
        </w:tc>
        <w:tc>
          <w:tcPr>
            <w:tcW w:w="7796" w:type="dxa"/>
            <w:gridSpan w:val="5"/>
            <w:tcBorders>
              <w:top w:val="single" w:sz="4" w:space="0" w:color="auto"/>
              <w:left w:val="single" w:sz="4" w:space="0" w:color="auto"/>
              <w:bottom w:val="single" w:sz="4" w:space="0" w:color="auto"/>
              <w:right w:val="single" w:sz="4" w:space="0" w:color="auto"/>
            </w:tcBorders>
            <w:shd w:val="clear" w:color="auto" w:fill="auto"/>
          </w:tcPr>
          <w:p w14:paraId="111DAD8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Адитивна модель</w:t>
            </w:r>
          </w:p>
        </w:tc>
      </w:tr>
      <w:tr w:rsidR="00180D3E" w:rsidRPr="00520861" w14:paraId="36A64A04" w14:textId="77777777" w:rsidTr="00292D2E">
        <w:trPr>
          <w:jc w:val="center"/>
        </w:trPr>
        <w:tc>
          <w:tcPr>
            <w:tcW w:w="1838" w:type="dxa"/>
            <w:vMerge/>
            <w:tcBorders>
              <w:left w:val="single" w:sz="4" w:space="0" w:color="auto"/>
              <w:right w:val="single" w:sz="4" w:space="0" w:color="auto"/>
            </w:tcBorders>
            <w:shd w:val="clear" w:color="auto" w:fill="auto"/>
            <w:hideMark/>
          </w:tcPr>
          <w:p w14:paraId="2123CD1A" w14:textId="77777777" w:rsidR="00180D3E" w:rsidRPr="00520861" w:rsidRDefault="00180D3E" w:rsidP="00292D2E">
            <w:pPr>
              <w:widowControl w:val="0"/>
              <w:spacing w:line="360" w:lineRule="auto"/>
              <w:rPr>
                <w:rFonts w:eastAsia="Calibri"/>
                <w:sz w:val="28"/>
                <w:szCs w:val="28"/>
                <w:lang w:eastAsia="en-US"/>
              </w:rPr>
            </w:pPr>
          </w:p>
        </w:tc>
        <w:tc>
          <w:tcPr>
            <w:tcW w:w="1660" w:type="dxa"/>
            <w:tcBorders>
              <w:top w:val="single" w:sz="4" w:space="0" w:color="auto"/>
              <w:left w:val="single" w:sz="4" w:space="0" w:color="auto"/>
              <w:bottom w:val="single" w:sz="4" w:space="0" w:color="auto"/>
              <w:right w:val="single" w:sz="4" w:space="0" w:color="auto"/>
            </w:tcBorders>
            <w:shd w:val="clear" w:color="auto" w:fill="auto"/>
            <w:hideMark/>
          </w:tcPr>
          <w:p w14:paraId="75801CC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 xml:space="preserve">CC </w:t>
            </w:r>
          </w:p>
          <w:p w14:paraId="4EDD29A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CT</w:t>
            </w:r>
          </w:p>
          <w:p w14:paraId="1593D56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w:t>
            </w:r>
          </w:p>
        </w:tc>
        <w:tc>
          <w:tcPr>
            <w:tcW w:w="1742" w:type="dxa"/>
            <w:tcBorders>
              <w:top w:val="single" w:sz="4" w:space="0" w:color="auto"/>
              <w:left w:val="single" w:sz="4" w:space="0" w:color="auto"/>
              <w:bottom w:val="single" w:sz="4" w:space="0" w:color="auto"/>
              <w:right w:val="single" w:sz="4" w:space="0" w:color="auto"/>
            </w:tcBorders>
            <w:shd w:val="clear" w:color="auto" w:fill="auto"/>
            <w:hideMark/>
          </w:tcPr>
          <w:p w14:paraId="636E427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3,690</w:t>
            </w:r>
          </w:p>
        </w:tc>
        <w:tc>
          <w:tcPr>
            <w:tcW w:w="1357" w:type="dxa"/>
            <w:tcBorders>
              <w:top w:val="single" w:sz="4" w:space="0" w:color="auto"/>
              <w:left w:val="single" w:sz="4" w:space="0" w:color="auto"/>
              <w:bottom w:val="single" w:sz="4" w:space="0" w:color="auto"/>
              <w:right w:val="single" w:sz="4" w:space="0" w:color="auto"/>
            </w:tcBorders>
            <w:shd w:val="clear" w:color="auto" w:fill="auto"/>
            <w:hideMark/>
          </w:tcPr>
          <w:p w14:paraId="17F94AC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0,282</w:t>
            </w:r>
          </w:p>
          <w:p w14:paraId="51B6122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1,800</w:t>
            </w:r>
          </w:p>
          <w:p w14:paraId="50E2360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1,820</w:t>
            </w:r>
          </w:p>
        </w:tc>
        <w:tc>
          <w:tcPr>
            <w:tcW w:w="2202" w:type="dxa"/>
            <w:tcBorders>
              <w:top w:val="single" w:sz="4" w:space="0" w:color="auto"/>
              <w:left w:val="single" w:sz="4" w:space="0" w:color="auto"/>
              <w:bottom w:val="single" w:sz="4" w:space="0" w:color="auto"/>
              <w:right w:val="single" w:sz="4" w:space="0" w:color="auto"/>
            </w:tcBorders>
            <w:shd w:val="clear" w:color="auto" w:fill="auto"/>
            <w:hideMark/>
          </w:tcPr>
          <w:p w14:paraId="1140AE86"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0,092-0,863</w:t>
            </w:r>
          </w:p>
          <w:p w14:paraId="797412AF"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0,647-5,005</w:t>
            </w:r>
          </w:p>
          <w:p w14:paraId="74FDB2C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0,589-5,623</w:t>
            </w:r>
          </w:p>
        </w:tc>
        <w:tc>
          <w:tcPr>
            <w:tcW w:w="835" w:type="dxa"/>
            <w:tcBorders>
              <w:top w:val="single" w:sz="4" w:space="0" w:color="auto"/>
              <w:left w:val="single" w:sz="4" w:space="0" w:color="auto"/>
              <w:bottom w:val="single" w:sz="4" w:space="0" w:color="auto"/>
              <w:right w:val="single" w:sz="4" w:space="0" w:color="auto"/>
            </w:tcBorders>
            <w:shd w:val="clear" w:color="auto" w:fill="auto"/>
            <w:hideMark/>
          </w:tcPr>
          <w:p w14:paraId="43BFF85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0,158</w:t>
            </w:r>
          </w:p>
        </w:tc>
      </w:tr>
      <w:tr w:rsidR="00180D3E" w:rsidRPr="00520861" w14:paraId="70F154AC" w14:textId="77777777" w:rsidTr="00292D2E">
        <w:trPr>
          <w:jc w:val="center"/>
        </w:trPr>
        <w:tc>
          <w:tcPr>
            <w:tcW w:w="1838" w:type="dxa"/>
            <w:vMerge/>
            <w:tcBorders>
              <w:left w:val="single" w:sz="4" w:space="0" w:color="auto"/>
              <w:right w:val="single" w:sz="4" w:space="0" w:color="auto"/>
            </w:tcBorders>
            <w:shd w:val="clear" w:color="auto" w:fill="auto"/>
          </w:tcPr>
          <w:p w14:paraId="24724855" w14:textId="77777777" w:rsidR="00180D3E" w:rsidRPr="00520861" w:rsidRDefault="00180D3E" w:rsidP="00292D2E">
            <w:pPr>
              <w:widowControl w:val="0"/>
              <w:spacing w:line="360" w:lineRule="auto"/>
              <w:rPr>
                <w:rFonts w:eastAsia="Calibri"/>
                <w:sz w:val="28"/>
                <w:szCs w:val="28"/>
                <w:lang w:eastAsia="en-US"/>
              </w:rPr>
            </w:pPr>
          </w:p>
        </w:tc>
        <w:tc>
          <w:tcPr>
            <w:tcW w:w="7796" w:type="dxa"/>
            <w:gridSpan w:val="5"/>
            <w:tcBorders>
              <w:top w:val="single" w:sz="4" w:space="0" w:color="auto"/>
              <w:left w:val="single" w:sz="4" w:space="0" w:color="auto"/>
              <w:bottom w:val="single" w:sz="4" w:space="0" w:color="auto"/>
              <w:right w:val="single" w:sz="4" w:space="0" w:color="auto"/>
            </w:tcBorders>
            <w:shd w:val="clear" w:color="auto" w:fill="auto"/>
          </w:tcPr>
          <w:p w14:paraId="4F4DA64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Рецесивна модель</w:t>
            </w:r>
          </w:p>
        </w:tc>
      </w:tr>
      <w:tr w:rsidR="00180D3E" w:rsidRPr="00520861" w14:paraId="2799539D" w14:textId="77777777" w:rsidTr="00292D2E">
        <w:trPr>
          <w:jc w:val="center"/>
        </w:trPr>
        <w:tc>
          <w:tcPr>
            <w:tcW w:w="1838" w:type="dxa"/>
            <w:vMerge/>
            <w:tcBorders>
              <w:left w:val="single" w:sz="4" w:space="0" w:color="auto"/>
              <w:right w:val="single" w:sz="4" w:space="0" w:color="auto"/>
            </w:tcBorders>
            <w:shd w:val="clear" w:color="auto" w:fill="auto"/>
          </w:tcPr>
          <w:p w14:paraId="754A4AFC" w14:textId="77777777" w:rsidR="00180D3E" w:rsidRPr="00520861" w:rsidRDefault="00180D3E" w:rsidP="00292D2E">
            <w:pPr>
              <w:widowControl w:val="0"/>
              <w:spacing w:line="360" w:lineRule="auto"/>
              <w:rPr>
                <w:rFonts w:eastAsia="Calibri"/>
                <w:sz w:val="28"/>
                <w:szCs w:val="28"/>
                <w:lang w:eastAsia="en-US"/>
              </w:rPr>
            </w:pPr>
          </w:p>
        </w:tc>
        <w:tc>
          <w:tcPr>
            <w:tcW w:w="1660" w:type="dxa"/>
            <w:tcBorders>
              <w:top w:val="single" w:sz="4" w:space="0" w:color="auto"/>
              <w:left w:val="single" w:sz="4" w:space="0" w:color="auto"/>
              <w:bottom w:val="single" w:sz="4" w:space="0" w:color="auto"/>
              <w:right w:val="single" w:sz="4" w:space="0" w:color="auto"/>
            </w:tcBorders>
            <w:shd w:val="clear" w:color="auto" w:fill="auto"/>
          </w:tcPr>
          <w:p w14:paraId="3E2B932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 +CT</w:t>
            </w:r>
          </w:p>
          <w:p w14:paraId="28B9A89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TT</w:t>
            </w:r>
          </w:p>
        </w:tc>
        <w:tc>
          <w:tcPr>
            <w:tcW w:w="1742" w:type="dxa"/>
            <w:tcBorders>
              <w:top w:val="single" w:sz="4" w:space="0" w:color="auto"/>
              <w:left w:val="single" w:sz="4" w:space="0" w:color="auto"/>
              <w:bottom w:val="single" w:sz="4" w:space="0" w:color="auto"/>
              <w:right w:val="single" w:sz="4" w:space="0" w:color="auto"/>
            </w:tcBorders>
            <w:shd w:val="clear" w:color="auto" w:fill="auto"/>
          </w:tcPr>
          <w:p w14:paraId="7584BB9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0,594</w:t>
            </w:r>
          </w:p>
        </w:tc>
        <w:tc>
          <w:tcPr>
            <w:tcW w:w="1357" w:type="dxa"/>
            <w:tcBorders>
              <w:top w:val="single" w:sz="4" w:space="0" w:color="auto"/>
              <w:left w:val="single" w:sz="4" w:space="0" w:color="auto"/>
              <w:bottom w:val="single" w:sz="4" w:space="0" w:color="auto"/>
              <w:right w:val="single" w:sz="4" w:space="0" w:color="auto"/>
            </w:tcBorders>
            <w:shd w:val="clear" w:color="auto" w:fill="auto"/>
          </w:tcPr>
          <w:p w14:paraId="001E2FF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0,549</w:t>
            </w:r>
          </w:p>
          <w:p w14:paraId="21228D3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1,820</w:t>
            </w:r>
          </w:p>
        </w:tc>
        <w:tc>
          <w:tcPr>
            <w:tcW w:w="2202" w:type="dxa"/>
            <w:tcBorders>
              <w:top w:val="single" w:sz="4" w:space="0" w:color="auto"/>
              <w:left w:val="single" w:sz="4" w:space="0" w:color="auto"/>
              <w:bottom w:val="single" w:sz="4" w:space="0" w:color="auto"/>
              <w:right w:val="single" w:sz="4" w:space="0" w:color="auto"/>
            </w:tcBorders>
            <w:shd w:val="clear" w:color="auto" w:fill="auto"/>
          </w:tcPr>
          <w:p w14:paraId="45904E3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0,178-1,698</w:t>
            </w:r>
          </w:p>
          <w:p w14:paraId="4C14CCE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0,589-5,623</w:t>
            </w:r>
          </w:p>
        </w:tc>
        <w:tc>
          <w:tcPr>
            <w:tcW w:w="835" w:type="dxa"/>
            <w:tcBorders>
              <w:top w:val="single" w:sz="4" w:space="0" w:color="auto"/>
              <w:left w:val="single" w:sz="4" w:space="0" w:color="auto"/>
              <w:bottom w:val="single" w:sz="4" w:space="0" w:color="auto"/>
              <w:right w:val="single" w:sz="4" w:space="0" w:color="auto"/>
            </w:tcBorders>
            <w:shd w:val="clear" w:color="auto" w:fill="auto"/>
          </w:tcPr>
          <w:p w14:paraId="550478C0"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0,441</w:t>
            </w:r>
          </w:p>
        </w:tc>
      </w:tr>
    </w:tbl>
    <w:p w14:paraId="40297D29" w14:textId="77777777" w:rsidR="00180D3E" w:rsidRPr="00520861" w:rsidRDefault="00180D3E" w:rsidP="00292D2E">
      <w:pPr>
        <w:widowControl w:val="0"/>
        <w:pBdr>
          <w:top w:val="nil"/>
          <w:left w:val="nil"/>
          <w:bottom w:val="nil"/>
          <w:right w:val="nil"/>
          <w:between w:val="nil"/>
        </w:pBdr>
        <w:spacing w:line="360" w:lineRule="auto"/>
        <w:ind w:firstLine="720"/>
        <w:jc w:val="right"/>
        <w:rPr>
          <w:rFonts w:eastAsia="Calibri"/>
          <w:i/>
          <w:color w:val="000000"/>
          <w:sz w:val="28"/>
          <w:szCs w:val="28"/>
        </w:rPr>
      </w:pPr>
      <w:r w:rsidRPr="00520861">
        <w:rPr>
          <w:rFonts w:eastAsia="Calibri"/>
          <w:i/>
          <w:color w:val="000000"/>
          <w:sz w:val="28"/>
          <w:szCs w:val="28"/>
        </w:rPr>
        <w:t>Продовження таблиці 7.9</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644"/>
        <w:gridCol w:w="16"/>
        <w:gridCol w:w="1438"/>
        <w:gridCol w:w="51"/>
        <w:gridCol w:w="1387"/>
        <w:gridCol w:w="2106"/>
        <w:gridCol w:w="96"/>
        <w:gridCol w:w="1058"/>
      </w:tblGrid>
      <w:tr w:rsidR="00180D3E" w:rsidRPr="00520861" w14:paraId="5087BAA6" w14:textId="77777777" w:rsidTr="00292D2E">
        <w:trPr>
          <w:jc w:val="center"/>
        </w:trPr>
        <w:tc>
          <w:tcPr>
            <w:tcW w:w="1838" w:type="dxa"/>
            <w:tcBorders>
              <w:left w:val="single" w:sz="4" w:space="0" w:color="auto"/>
              <w:right w:val="single" w:sz="4" w:space="0" w:color="auto"/>
            </w:tcBorders>
            <w:shd w:val="clear" w:color="auto" w:fill="auto"/>
          </w:tcPr>
          <w:p w14:paraId="12B3608B" w14:textId="77777777" w:rsidR="00180D3E" w:rsidRPr="00520861" w:rsidRDefault="00180D3E" w:rsidP="00292D2E">
            <w:pPr>
              <w:widowControl w:val="0"/>
              <w:spacing w:line="360" w:lineRule="auto"/>
              <w:rPr>
                <w:rFonts w:eastAsia="Calibri"/>
                <w:sz w:val="28"/>
                <w:szCs w:val="28"/>
                <w:lang w:eastAsia="en-US"/>
              </w:rPr>
            </w:pPr>
            <w:r w:rsidRPr="00520861">
              <w:rPr>
                <w:rFonts w:eastAsia="Calibri"/>
                <w:sz w:val="28"/>
                <w:szCs w:val="28"/>
                <w:lang w:eastAsia="en-US"/>
              </w:rPr>
              <w:t>1</w:t>
            </w:r>
          </w:p>
        </w:tc>
        <w:tc>
          <w:tcPr>
            <w:tcW w:w="1644" w:type="dxa"/>
            <w:tcBorders>
              <w:top w:val="single" w:sz="4" w:space="0" w:color="auto"/>
              <w:left w:val="single" w:sz="4" w:space="0" w:color="auto"/>
              <w:bottom w:val="single" w:sz="4" w:space="0" w:color="auto"/>
              <w:right w:val="single" w:sz="4" w:space="0" w:color="auto"/>
            </w:tcBorders>
            <w:shd w:val="clear" w:color="auto" w:fill="auto"/>
          </w:tcPr>
          <w:p w14:paraId="068B756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w:t>
            </w:r>
          </w:p>
        </w:tc>
        <w:tc>
          <w:tcPr>
            <w:tcW w:w="1454" w:type="dxa"/>
            <w:gridSpan w:val="2"/>
            <w:tcBorders>
              <w:top w:val="single" w:sz="4" w:space="0" w:color="auto"/>
              <w:left w:val="single" w:sz="4" w:space="0" w:color="auto"/>
              <w:bottom w:val="single" w:sz="4" w:space="0" w:color="auto"/>
              <w:right w:val="single" w:sz="4" w:space="0" w:color="auto"/>
            </w:tcBorders>
            <w:shd w:val="clear" w:color="auto" w:fill="auto"/>
          </w:tcPr>
          <w:p w14:paraId="2F2315F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w:t>
            </w:r>
          </w:p>
        </w:tc>
        <w:tc>
          <w:tcPr>
            <w:tcW w:w="1438" w:type="dxa"/>
            <w:gridSpan w:val="2"/>
            <w:tcBorders>
              <w:top w:val="single" w:sz="4" w:space="0" w:color="auto"/>
              <w:left w:val="single" w:sz="4" w:space="0" w:color="auto"/>
              <w:bottom w:val="single" w:sz="4" w:space="0" w:color="auto"/>
              <w:right w:val="single" w:sz="4" w:space="0" w:color="auto"/>
            </w:tcBorders>
            <w:shd w:val="clear" w:color="auto" w:fill="auto"/>
          </w:tcPr>
          <w:p w14:paraId="700F0EC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4</w:t>
            </w:r>
          </w:p>
        </w:tc>
        <w:tc>
          <w:tcPr>
            <w:tcW w:w="2106" w:type="dxa"/>
            <w:tcBorders>
              <w:top w:val="single" w:sz="4" w:space="0" w:color="auto"/>
              <w:left w:val="single" w:sz="4" w:space="0" w:color="auto"/>
              <w:bottom w:val="single" w:sz="4" w:space="0" w:color="auto"/>
              <w:right w:val="single" w:sz="4" w:space="0" w:color="auto"/>
            </w:tcBorders>
            <w:shd w:val="clear" w:color="auto" w:fill="auto"/>
          </w:tcPr>
          <w:p w14:paraId="0CB7DFC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5</w:t>
            </w:r>
          </w:p>
        </w:tc>
        <w:tc>
          <w:tcPr>
            <w:tcW w:w="1154" w:type="dxa"/>
            <w:gridSpan w:val="2"/>
            <w:tcBorders>
              <w:top w:val="single" w:sz="4" w:space="0" w:color="auto"/>
              <w:left w:val="single" w:sz="4" w:space="0" w:color="auto"/>
              <w:bottom w:val="single" w:sz="4" w:space="0" w:color="auto"/>
              <w:right w:val="single" w:sz="4" w:space="0" w:color="auto"/>
            </w:tcBorders>
            <w:shd w:val="clear" w:color="auto" w:fill="auto"/>
          </w:tcPr>
          <w:p w14:paraId="050FF71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6</w:t>
            </w:r>
          </w:p>
        </w:tc>
      </w:tr>
      <w:tr w:rsidR="00180D3E" w:rsidRPr="00520861" w14:paraId="0797C535" w14:textId="77777777" w:rsidTr="00292D2E">
        <w:trPr>
          <w:jc w:val="center"/>
        </w:trPr>
        <w:tc>
          <w:tcPr>
            <w:tcW w:w="1838" w:type="dxa"/>
            <w:vMerge w:val="restart"/>
            <w:tcBorders>
              <w:left w:val="single" w:sz="4" w:space="0" w:color="auto"/>
              <w:right w:val="single" w:sz="4" w:space="0" w:color="auto"/>
            </w:tcBorders>
            <w:shd w:val="clear" w:color="auto" w:fill="auto"/>
          </w:tcPr>
          <w:p w14:paraId="0210451B" w14:textId="77777777" w:rsidR="00180D3E" w:rsidRPr="00520861" w:rsidRDefault="00180D3E" w:rsidP="00292D2E">
            <w:pPr>
              <w:widowControl w:val="0"/>
              <w:spacing w:line="360" w:lineRule="auto"/>
              <w:rPr>
                <w:rFonts w:eastAsia="Calibri"/>
                <w:sz w:val="28"/>
                <w:szCs w:val="28"/>
                <w:lang w:eastAsia="en-US"/>
              </w:rPr>
            </w:pPr>
          </w:p>
        </w:tc>
        <w:tc>
          <w:tcPr>
            <w:tcW w:w="7796" w:type="dxa"/>
            <w:gridSpan w:val="8"/>
            <w:tcBorders>
              <w:top w:val="single" w:sz="4" w:space="0" w:color="auto"/>
              <w:left w:val="single" w:sz="4" w:space="0" w:color="auto"/>
              <w:bottom w:val="single" w:sz="4" w:space="0" w:color="auto"/>
              <w:right w:val="single" w:sz="4" w:space="0" w:color="auto"/>
            </w:tcBorders>
            <w:shd w:val="clear" w:color="auto" w:fill="auto"/>
          </w:tcPr>
          <w:p w14:paraId="4537C54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Домінантна модель</w:t>
            </w:r>
          </w:p>
        </w:tc>
      </w:tr>
      <w:tr w:rsidR="00180D3E" w:rsidRPr="00520861" w14:paraId="140919B2" w14:textId="77777777" w:rsidTr="00292D2E">
        <w:trPr>
          <w:jc w:val="center"/>
        </w:trPr>
        <w:tc>
          <w:tcPr>
            <w:tcW w:w="1838" w:type="dxa"/>
            <w:vMerge/>
            <w:tcBorders>
              <w:left w:val="single" w:sz="4" w:space="0" w:color="auto"/>
              <w:right w:val="single" w:sz="4" w:space="0" w:color="auto"/>
            </w:tcBorders>
            <w:shd w:val="clear" w:color="auto" w:fill="auto"/>
          </w:tcPr>
          <w:p w14:paraId="64754444" w14:textId="77777777" w:rsidR="00180D3E" w:rsidRPr="00520861" w:rsidRDefault="00180D3E" w:rsidP="00292D2E">
            <w:pPr>
              <w:widowControl w:val="0"/>
              <w:spacing w:line="360" w:lineRule="auto"/>
              <w:rPr>
                <w:rFonts w:eastAsia="Calibri"/>
                <w:sz w:val="28"/>
                <w:szCs w:val="28"/>
                <w:lang w:eastAsia="en-US"/>
              </w:rPr>
            </w:pPr>
          </w:p>
        </w:tc>
        <w:tc>
          <w:tcPr>
            <w:tcW w:w="1660" w:type="dxa"/>
            <w:gridSpan w:val="2"/>
            <w:tcBorders>
              <w:top w:val="single" w:sz="4" w:space="0" w:color="auto"/>
              <w:left w:val="single" w:sz="4" w:space="0" w:color="auto"/>
              <w:bottom w:val="single" w:sz="4" w:space="0" w:color="auto"/>
              <w:right w:val="single" w:sz="4" w:space="0" w:color="auto"/>
            </w:tcBorders>
            <w:shd w:val="clear" w:color="auto" w:fill="auto"/>
          </w:tcPr>
          <w:p w14:paraId="01C8BF8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w:t>
            </w:r>
          </w:p>
          <w:p w14:paraId="0D680A7D"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CT+TT</w:t>
            </w:r>
          </w:p>
        </w:tc>
        <w:tc>
          <w:tcPr>
            <w:tcW w:w="1489" w:type="dxa"/>
            <w:gridSpan w:val="2"/>
            <w:tcBorders>
              <w:top w:val="single" w:sz="4" w:space="0" w:color="auto"/>
              <w:left w:val="single" w:sz="4" w:space="0" w:color="auto"/>
              <w:bottom w:val="single" w:sz="4" w:space="0" w:color="auto"/>
              <w:right w:val="single" w:sz="4" w:space="0" w:color="auto"/>
            </w:tcBorders>
            <w:shd w:val="clear" w:color="auto" w:fill="auto"/>
          </w:tcPr>
          <w:p w14:paraId="6B672797"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3,986</w:t>
            </w:r>
          </w:p>
        </w:tc>
        <w:tc>
          <w:tcPr>
            <w:tcW w:w="1387" w:type="dxa"/>
            <w:tcBorders>
              <w:top w:val="single" w:sz="4" w:space="0" w:color="auto"/>
              <w:left w:val="single" w:sz="4" w:space="0" w:color="auto"/>
              <w:bottom w:val="single" w:sz="4" w:space="0" w:color="auto"/>
              <w:right w:val="single" w:sz="4" w:space="0" w:color="auto"/>
            </w:tcBorders>
            <w:shd w:val="clear" w:color="auto" w:fill="auto"/>
          </w:tcPr>
          <w:p w14:paraId="6F66B5F4"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0,282</w:t>
            </w:r>
          </w:p>
          <w:p w14:paraId="525F334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3,543</w:t>
            </w:r>
          </w:p>
        </w:tc>
        <w:tc>
          <w:tcPr>
            <w:tcW w:w="2202" w:type="dxa"/>
            <w:gridSpan w:val="2"/>
            <w:tcBorders>
              <w:top w:val="single" w:sz="4" w:space="0" w:color="auto"/>
              <w:left w:val="single" w:sz="4" w:space="0" w:color="auto"/>
              <w:bottom w:val="single" w:sz="4" w:space="0" w:color="auto"/>
              <w:right w:val="single" w:sz="4" w:space="0" w:color="auto"/>
            </w:tcBorders>
            <w:shd w:val="clear" w:color="auto" w:fill="auto"/>
          </w:tcPr>
          <w:p w14:paraId="293ED1F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0,092-0,863</w:t>
            </w:r>
          </w:p>
          <w:p w14:paraId="6A0A63F2"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1,159-10,832</w:t>
            </w:r>
          </w:p>
        </w:tc>
        <w:tc>
          <w:tcPr>
            <w:tcW w:w="1058" w:type="dxa"/>
            <w:tcBorders>
              <w:top w:val="single" w:sz="4" w:space="0" w:color="auto"/>
              <w:left w:val="single" w:sz="4" w:space="0" w:color="auto"/>
              <w:bottom w:val="single" w:sz="4" w:space="0" w:color="auto"/>
              <w:right w:val="single" w:sz="4" w:space="0" w:color="auto"/>
            </w:tcBorders>
            <w:shd w:val="clear" w:color="auto" w:fill="auto"/>
          </w:tcPr>
          <w:p w14:paraId="2BA92BF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0,046</w:t>
            </w:r>
          </w:p>
        </w:tc>
      </w:tr>
      <w:tr w:rsidR="00180D3E" w:rsidRPr="00520861" w14:paraId="641CB3A7" w14:textId="77777777" w:rsidTr="00292D2E">
        <w:trPr>
          <w:jc w:val="center"/>
        </w:trPr>
        <w:tc>
          <w:tcPr>
            <w:tcW w:w="1838" w:type="dxa"/>
            <w:vMerge/>
            <w:tcBorders>
              <w:left w:val="single" w:sz="4" w:space="0" w:color="auto"/>
              <w:right w:val="single" w:sz="4" w:space="0" w:color="auto"/>
            </w:tcBorders>
            <w:shd w:val="clear" w:color="auto" w:fill="auto"/>
          </w:tcPr>
          <w:p w14:paraId="3C2B8F84" w14:textId="77777777" w:rsidR="00180D3E" w:rsidRPr="00520861" w:rsidRDefault="00180D3E" w:rsidP="00292D2E">
            <w:pPr>
              <w:widowControl w:val="0"/>
              <w:spacing w:line="360" w:lineRule="auto"/>
              <w:rPr>
                <w:rFonts w:eastAsia="Calibri"/>
                <w:sz w:val="28"/>
                <w:szCs w:val="28"/>
                <w:lang w:eastAsia="en-US"/>
              </w:rPr>
            </w:pPr>
          </w:p>
        </w:tc>
        <w:tc>
          <w:tcPr>
            <w:tcW w:w="7796" w:type="dxa"/>
            <w:gridSpan w:val="8"/>
            <w:tcBorders>
              <w:top w:val="single" w:sz="4" w:space="0" w:color="auto"/>
              <w:left w:val="single" w:sz="4" w:space="0" w:color="auto"/>
              <w:bottom w:val="single" w:sz="4" w:space="0" w:color="auto"/>
              <w:right w:val="single" w:sz="4" w:space="0" w:color="auto"/>
            </w:tcBorders>
            <w:shd w:val="clear" w:color="auto" w:fill="auto"/>
          </w:tcPr>
          <w:p w14:paraId="6E2D8A3A" w14:textId="77777777" w:rsidR="00180D3E" w:rsidRPr="00520861" w:rsidRDefault="00180D3E" w:rsidP="00292D2E">
            <w:pPr>
              <w:widowControl w:val="0"/>
              <w:spacing w:line="360" w:lineRule="auto"/>
              <w:jc w:val="center"/>
              <w:rPr>
                <w:rFonts w:eastAsia="Calibri"/>
                <w:sz w:val="28"/>
                <w:szCs w:val="28"/>
                <w:lang w:eastAsia="en-US"/>
              </w:rPr>
            </w:pP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w:t>
            </w:r>
          </w:p>
        </w:tc>
      </w:tr>
      <w:tr w:rsidR="00180D3E" w:rsidRPr="00520861" w14:paraId="44DD3896" w14:textId="77777777" w:rsidTr="00292D2E">
        <w:trPr>
          <w:jc w:val="center"/>
        </w:trPr>
        <w:tc>
          <w:tcPr>
            <w:tcW w:w="1838" w:type="dxa"/>
            <w:vMerge/>
            <w:tcBorders>
              <w:left w:val="single" w:sz="4" w:space="0" w:color="auto"/>
              <w:right w:val="single" w:sz="4" w:space="0" w:color="auto"/>
            </w:tcBorders>
            <w:shd w:val="clear" w:color="auto" w:fill="auto"/>
          </w:tcPr>
          <w:p w14:paraId="3C24ECC1" w14:textId="77777777" w:rsidR="00180D3E" w:rsidRPr="00520861" w:rsidRDefault="00180D3E" w:rsidP="00292D2E">
            <w:pPr>
              <w:widowControl w:val="0"/>
              <w:spacing w:line="360" w:lineRule="auto"/>
              <w:rPr>
                <w:rFonts w:eastAsia="Calibri"/>
                <w:sz w:val="28"/>
                <w:szCs w:val="28"/>
                <w:lang w:eastAsia="en-US"/>
              </w:rPr>
            </w:pPr>
          </w:p>
        </w:tc>
        <w:tc>
          <w:tcPr>
            <w:tcW w:w="1660" w:type="dxa"/>
            <w:gridSpan w:val="2"/>
            <w:tcBorders>
              <w:top w:val="single" w:sz="4" w:space="0" w:color="auto"/>
              <w:left w:val="single" w:sz="4" w:space="0" w:color="auto"/>
              <w:bottom w:val="single" w:sz="4" w:space="0" w:color="auto"/>
              <w:right w:val="single" w:sz="4" w:space="0" w:color="auto"/>
            </w:tcBorders>
            <w:shd w:val="clear" w:color="auto" w:fill="auto"/>
          </w:tcPr>
          <w:p w14:paraId="6F9B6ED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CC +TT</w:t>
            </w:r>
          </w:p>
          <w:p w14:paraId="38F8404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CT</w:t>
            </w:r>
          </w:p>
        </w:tc>
        <w:tc>
          <w:tcPr>
            <w:tcW w:w="1489" w:type="dxa"/>
            <w:gridSpan w:val="2"/>
            <w:tcBorders>
              <w:top w:val="single" w:sz="4" w:space="0" w:color="auto"/>
              <w:left w:val="single" w:sz="4" w:space="0" w:color="auto"/>
              <w:bottom w:val="single" w:sz="4" w:space="0" w:color="auto"/>
              <w:right w:val="single" w:sz="4" w:space="0" w:color="auto"/>
            </w:tcBorders>
            <w:shd w:val="clear" w:color="auto" w:fill="auto"/>
          </w:tcPr>
          <w:p w14:paraId="26C73F6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0,768</w:t>
            </w:r>
          </w:p>
        </w:tc>
        <w:tc>
          <w:tcPr>
            <w:tcW w:w="1387" w:type="dxa"/>
            <w:tcBorders>
              <w:top w:val="single" w:sz="4" w:space="0" w:color="auto"/>
              <w:left w:val="single" w:sz="4" w:space="0" w:color="auto"/>
              <w:bottom w:val="single" w:sz="4" w:space="0" w:color="auto"/>
              <w:right w:val="single" w:sz="4" w:space="0" w:color="auto"/>
            </w:tcBorders>
            <w:shd w:val="clear" w:color="auto" w:fill="auto"/>
          </w:tcPr>
          <w:p w14:paraId="44D86188"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0,556</w:t>
            </w:r>
          </w:p>
          <w:p w14:paraId="3C2275B3"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1,800</w:t>
            </w:r>
          </w:p>
        </w:tc>
        <w:tc>
          <w:tcPr>
            <w:tcW w:w="2202" w:type="dxa"/>
            <w:gridSpan w:val="2"/>
            <w:tcBorders>
              <w:top w:val="single" w:sz="4" w:space="0" w:color="auto"/>
              <w:left w:val="single" w:sz="4" w:space="0" w:color="auto"/>
              <w:bottom w:val="single" w:sz="4" w:space="0" w:color="auto"/>
              <w:right w:val="single" w:sz="4" w:space="0" w:color="auto"/>
            </w:tcBorders>
            <w:shd w:val="clear" w:color="auto" w:fill="auto"/>
          </w:tcPr>
          <w:p w14:paraId="110A1EF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0,200-1,545</w:t>
            </w:r>
          </w:p>
          <w:p w14:paraId="4C52690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0,647-5,005</w:t>
            </w:r>
          </w:p>
        </w:tc>
        <w:tc>
          <w:tcPr>
            <w:tcW w:w="1058" w:type="dxa"/>
            <w:tcBorders>
              <w:top w:val="single" w:sz="4" w:space="0" w:color="auto"/>
              <w:left w:val="single" w:sz="4" w:space="0" w:color="auto"/>
              <w:bottom w:val="single" w:sz="4" w:space="0" w:color="auto"/>
              <w:right w:val="single" w:sz="4" w:space="0" w:color="auto"/>
            </w:tcBorders>
            <w:shd w:val="clear" w:color="auto" w:fill="auto"/>
          </w:tcPr>
          <w:p w14:paraId="109525F1"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0,381</w:t>
            </w:r>
          </w:p>
        </w:tc>
      </w:tr>
      <w:tr w:rsidR="00180D3E" w:rsidRPr="00520861" w14:paraId="2A4A8444" w14:textId="77777777" w:rsidTr="00292D2E">
        <w:trPr>
          <w:jc w:val="center"/>
        </w:trPr>
        <w:tc>
          <w:tcPr>
            <w:tcW w:w="1838" w:type="dxa"/>
            <w:vMerge/>
            <w:tcBorders>
              <w:left w:val="single" w:sz="4" w:space="0" w:color="auto"/>
              <w:right w:val="single" w:sz="4" w:space="0" w:color="auto"/>
            </w:tcBorders>
            <w:shd w:val="clear" w:color="auto" w:fill="auto"/>
          </w:tcPr>
          <w:p w14:paraId="75D0A882" w14:textId="77777777" w:rsidR="00180D3E" w:rsidRPr="00520861" w:rsidRDefault="00180D3E" w:rsidP="00292D2E">
            <w:pPr>
              <w:widowControl w:val="0"/>
              <w:spacing w:line="360" w:lineRule="auto"/>
              <w:rPr>
                <w:rFonts w:eastAsia="Calibri"/>
                <w:sz w:val="28"/>
                <w:szCs w:val="28"/>
                <w:lang w:eastAsia="en-US"/>
              </w:rPr>
            </w:pPr>
          </w:p>
        </w:tc>
        <w:tc>
          <w:tcPr>
            <w:tcW w:w="7796" w:type="dxa"/>
            <w:gridSpan w:val="8"/>
            <w:tcBorders>
              <w:top w:val="single" w:sz="4" w:space="0" w:color="auto"/>
              <w:left w:val="single" w:sz="4" w:space="0" w:color="auto"/>
              <w:bottom w:val="single" w:sz="4" w:space="0" w:color="auto"/>
              <w:right w:val="single" w:sz="4" w:space="0" w:color="auto"/>
            </w:tcBorders>
            <w:shd w:val="clear" w:color="auto" w:fill="auto"/>
          </w:tcPr>
          <w:p w14:paraId="60DD7125"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Мультиплікативна модель</w:t>
            </w:r>
          </w:p>
        </w:tc>
      </w:tr>
      <w:tr w:rsidR="00180D3E" w:rsidRPr="00520861" w14:paraId="1E1DE1E7" w14:textId="77777777" w:rsidTr="00292D2E">
        <w:trPr>
          <w:jc w:val="center"/>
        </w:trPr>
        <w:tc>
          <w:tcPr>
            <w:tcW w:w="1838" w:type="dxa"/>
            <w:vMerge/>
            <w:tcBorders>
              <w:left w:val="single" w:sz="4" w:space="0" w:color="auto"/>
              <w:bottom w:val="single" w:sz="4" w:space="0" w:color="auto"/>
              <w:right w:val="single" w:sz="4" w:space="0" w:color="auto"/>
            </w:tcBorders>
            <w:shd w:val="clear" w:color="auto" w:fill="auto"/>
          </w:tcPr>
          <w:p w14:paraId="07C0E6CB" w14:textId="77777777" w:rsidR="00180D3E" w:rsidRPr="00520861" w:rsidRDefault="00180D3E" w:rsidP="00292D2E">
            <w:pPr>
              <w:widowControl w:val="0"/>
              <w:spacing w:line="360" w:lineRule="auto"/>
              <w:rPr>
                <w:rFonts w:eastAsia="Calibri"/>
                <w:sz w:val="28"/>
                <w:szCs w:val="28"/>
                <w:lang w:eastAsia="en-US"/>
              </w:rPr>
            </w:pPr>
          </w:p>
        </w:tc>
        <w:tc>
          <w:tcPr>
            <w:tcW w:w="1660" w:type="dxa"/>
            <w:gridSpan w:val="2"/>
            <w:tcBorders>
              <w:top w:val="single" w:sz="4" w:space="0" w:color="auto"/>
              <w:left w:val="single" w:sz="4" w:space="0" w:color="auto"/>
              <w:bottom w:val="single" w:sz="4" w:space="0" w:color="auto"/>
              <w:right w:val="single" w:sz="4" w:space="0" w:color="auto"/>
            </w:tcBorders>
            <w:shd w:val="clear" w:color="auto" w:fill="auto"/>
          </w:tcPr>
          <w:p w14:paraId="0E62B52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C</w:t>
            </w:r>
          </w:p>
          <w:p w14:paraId="7BCCE7AB"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T</w:t>
            </w:r>
          </w:p>
        </w:tc>
        <w:tc>
          <w:tcPr>
            <w:tcW w:w="1489" w:type="dxa"/>
            <w:gridSpan w:val="2"/>
            <w:tcBorders>
              <w:top w:val="single" w:sz="4" w:space="0" w:color="auto"/>
              <w:left w:val="single" w:sz="4" w:space="0" w:color="auto"/>
              <w:bottom w:val="single" w:sz="4" w:space="0" w:color="auto"/>
              <w:right w:val="single" w:sz="4" w:space="0" w:color="auto"/>
            </w:tcBorders>
            <w:shd w:val="clear" w:color="auto" w:fill="auto"/>
          </w:tcPr>
          <w:p w14:paraId="7EE07C0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4,561</w:t>
            </w:r>
          </w:p>
        </w:tc>
        <w:tc>
          <w:tcPr>
            <w:tcW w:w="1387" w:type="dxa"/>
            <w:tcBorders>
              <w:top w:val="single" w:sz="4" w:space="0" w:color="auto"/>
              <w:left w:val="single" w:sz="4" w:space="0" w:color="auto"/>
              <w:bottom w:val="single" w:sz="4" w:space="0" w:color="auto"/>
              <w:right w:val="single" w:sz="4" w:space="0" w:color="auto"/>
            </w:tcBorders>
            <w:shd w:val="clear" w:color="auto" w:fill="auto"/>
          </w:tcPr>
          <w:p w14:paraId="05035B49"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0,463</w:t>
            </w:r>
          </w:p>
          <w:p w14:paraId="6CD1B64A"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2,161</w:t>
            </w:r>
          </w:p>
        </w:tc>
        <w:tc>
          <w:tcPr>
            <w:tcW w:w="2202" w:type="dxa"/>
            <w:gridSpan w:val="2"/>
            <w:tcBorders>
              <w:top w:val="single" w:sz="4" w:space="0" w:color="auto"/>
              <w:left w:val="single" w:sz="4" w:space="0" w:color="auto"/>
              <w:bottom w:val="single" w:sz="4" w:space="0" w:color="auto"/>
              <w:right w:val="single" w:sz="4" w:space="0" w:color="auto"/>
            </w:tcBorders>
            <w:shd w:val="clear" w:color="auto" w:fill="auto"/>
          </w:tcPr>
          <w:p w14:paraId="444B2C9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0,227-0,943</w:t>
            </w:r>
          </w:p>
          <w:p w14:paraId="12FB8D6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1,060-4,403</w:t>
            </w:r>
          </w:p>
        </w:tc>
        <w:tc>
          <w:tcPr>
            <w:tcW w:w="1058" w:type="dxa"/>
            <w:tcBorders>
              <w:top w:val="single" w:sz="4" w:space="0" w:color="auto"/>
              <w:left w:val="single" w:sz="4" w:space="0" w:color="auto"/>
              <w:bottom w:val="single" w:sz="4" w:space="0" w:color="auto"/>
              <w:right w:val="single" w:sz="4" w:space="0" w:color="auto"/>
            </w:tcBorders>
            <w:shd w:val="clear" w:color="auto" w:fill="auto"/>
          </w:tcPr>
          <w:p w14:paraId="576D7B3E" w14:textId="77777777" w:rsidR="00180D3E" w:rsidRPr="00520861" w:rsidRDefault="00180D3E" w:rsidP="00292D2E">
            <w:pPr>
              <w:widowControl w:val="0"/>
              <w:spacing w:line="360" w:lineRule="auto"/>
              <w:jc w:val="center"/>
              <w:rPr>
                <w:rFonts w:eastAsia="Calibri"/>
                <w:sz w:val="28"/>
                <w:szCs w:val="28"/>
                <w:lang w:eastAsia="en-US"/>
              </w:rPr>
            </w:pPr>
            <w:r w:rsidRPr="00520861">
              <w:rPr>
                <w:rFonts w:eastAsia="Calibri"/>
                <w:sz w:val="28"/>
                <w:szCs w:val="28"/>
                <w:lang w:eastAsia="en-US"/>
              </w:rPr>
              <w:t>0,033</w:t>
            </w:r>
          </w:p>
        </w:tc>
      </w:tr>
    </w:tbl>
    <w:p w14:paraId="7B700F5D" w14:textId="77777777" w:rsidR="00180D3E" w:rsidRPr="00520861" w:rsidRDefault="00180D3E" w:rsidP="00292D2E">
      <w:pPr>
        <w:widowControl w:val="0"/>
        <w:spacing w:after="200" w:line="276" w:lineRule="auto"/>
        <w:jc w:val="center"/>
        <w:rPr>
          <w:rFonts w:eastAsia="Calibri"/>
          <w:sz w:val="28"/>
          <w:szCs w:val="28"/>
          <w:lang w:eastAsia="en-US"/>
        </w:rPr>
      </w:pPr>
    </w:p>
    <w:p w14:paraId="150A68AF" w14:textId="77777777" w:rsidR="00180D3E" w:rsidRPr="00520861" w:rsidRDefault="00180D3E" w:rsidP="00292D2E">
      <w:pPr>
        <w:widowControl w:val="0"/>
        <w:spacing w:line="360" w:lineRule="auto"/>
        <w:ind w:firstLine="720"/>
        <w:jc w:val="both"/>
        <w:rPr>
          <w:rFonts w:eastAsia="Calibri"/>
          <w:spacing w:val="-1"/>
          <w:sz w:val="28"/>
          <w:szCs w:val="28"/>
          <w:lang w:eastAsia="en-US"/>
        </w:rPr>
      </w:pPr>
      <w:r w:rsidRPr="00520861">
        <w:rPr>
          <w:rFonts w:eastAsia="Calibri"/>
          <w:spacing w:val="-1"/>
          <w:sz w:val="28"/>
          <w:szCs w:val="28"/>
          <w:lang w:eastAsia="en-US"/>
        </w:rPr>
        <w:t xml:space="preserve">При наявності гомозиготного варіанта СС гена </w:t>
      </w:r>
      <w:r w:rsidRPr="00520861">
        <w:rPr>
          <w:rFonts w:eastAsia="Calibri"/>
          <w:i/>
          <w:spacing w:val="-1"/>
          <w:sz w:val="28"/>
          <w:szCs w:val="28"/>
          <w:lang w:eastAsia="en-US"/>
        </w:rPr>
        <w:t>RANKL</w:t>
      </w:r>
      <w:r w:rsidRPr="00520861">
        <w:rPr>
          <w:rFonts w:eastAsia="Calibri"/>
          <w:spacing w:val="-1"/>
          <w:sz w:val="28"/>
          <w:szCs w:val="28"/>
          <w:lang w:eastAsia="en-US"/>
        </w:rPr>
        <w:t xml:space="preserve"> [rs9594738] (домінантна модель успадкування) спостерігається тенденція до того, що в пародонті осіб, які народилися </w:t>
      </w:r>
      <w:proofErr w:type="spellStart"/>
      <w:r w:rsidRPr="00520861">
        <w:rPr>
          <w:rFonts w:eastAsia="Calibri"/>
          <w:spacing w:val="-1"/>
          <w:sz w:val="28"/>
          <w:szCs w:val="28"/>
          <w:lang w:eastAsia="en-US"/>
        </w:rPr>
        <w:t>макросомами</w:t>
      </w:r>
      <w:proofErr w:type="spellEnd"/>
      <w:r w:rsidRPr="00520861">
        <w:rPr>
          <w:rFonts w:eastAsia="Calibri"/>
          <w:spacing w:val="-1"/>
          <w:sz w:val="28"/>
          <w:szCs w:val="28"/>
          <w:lang w:eastAsia="en-US"/>
        </w:rPr>
        <w:t xml:space="preserve">, будуть превалювати дистрофічні процеси, а не запальні – шанс зростає майже в 3,3 рази. Збільшення ризику розвитку </w:t>
      </w:r>
      <w:proofErr w:type="spellStart"/>
      <w:r w:rsidRPr="00520861">
        <w:rPr>
          <w:rFonts w:eastAsia="Calibri"/>
          <w:spacing w:val="-1"/>
          <w:sz w:val="28"/>
          <w:szCs w:val="28"/>
          <w:lang w:eastAsia="en-US"/>
        </w:rPr>
        <w:t>хвороб</w:t>
      </w:r>
      <w:proofErr w:type="spellEnd"/>
      <w:r w:rsidRPr="00520861">
        <w:rPr>
          <w:rFonts w:eastAsia="Calibri"/>
          <w:spacing w:val="-1"/>
          <w:sz w:val="28"/>
          <w:szCs w:val="28"/>
          <w:lang w:eastAsia="en-US"/>
        </w:rPr>
        <w:t xml:space="preserve"> </w:t>
      </w:r>
      <w:proofErr w:type="spellStart"/>
      <w:r w:rsidRPr="00520861">
        <w:rPr>
          <w:rFonts w:eastAsia="Calibri"/>
          <w:spacing w:val="-1"/>
          <w:sz w:val="28"/>
          <w:szCs w:val="28"/>
          <w:lang w:eastAsia="en-US"/>
        </w:rPr>
        <w:t>пародонта</w:t>
      </w:r>
      <w:proofErr w:type="spellEnd"/>
      <w:r w:rsidRPr="00520861">
        <w:rPr>
          <w:rFonts w:eastAsia="Calibri"/>
          <w:spacing w:val="-1"/>
          <w:sz w:val="28"/>
          <w:szCs w:val="28"/>
          <w:lang w:eastAsia="en-US"/>
        </w:rPr>
        <w:t xml:space="preserve"> з переважанням дистрофічних процесів фіксується і при наявності алеля С (мультиплікативна модель успадкування). Шанс того, що в пародонті будуть переважати дистрофічні процеси, більший у 2,1 рази у тих, хто є носієм цього алеля, порівняно з особами, які його не мають. Відповідно, за наявності алеля Т збільшується ризик розвитку патологічного процесу в пародонті зі схильністю до запального варіанту перебігу. </w:t>
      </w:r>
    </w:p>
    <w:p w14:paraId="4B5ECBD4" w14:textId="77777777" w:rsidR="00180D3E" w:rsidRPr="00520861" w:rsidRDefault="00180D3E" w:rsidP="00292D2E">
      <w:pPr>
        <w:widowControl w:val="0"/>
        <w:spacing w:line="360" w:lineRule="auto"/>
        <w:ind w:firstLine="720"/>
        <w:jc w:val="both"/>
        <w:rPr>
          <w:rFonts w:eastAsia="Calibri"/>
          <w:spacing w:val="-2"/>
          <w:sz w:val="28"/>
          <w:szCs w:val="28"/>
          <w:lang w:eastAsia="en-US"/>
        </w:rPr>
      </w:pPr>
      <w:r w:rsidRPr="00520861">
        <w:rPr>
          <w:rFonts w:eastAsia="Calibri"/>
          <w:sz w:val="28"/>
          <w:szCs w:val="28"/>
          <w:lang w:eastAsia="en-US"/>
        </w:rPr>
        <w:t xml:space="preserve">При наявності гомозиготного варіанта СС гена </w:t>
      </w:r>
      <w:r w:rsidRPr="00520861">
        <w:rPr>
          <w:rFonts w:eastAsia="Calibri"/>
          <w:i/>
          <w:sz w:val="28"/>
          <w:szCs w:val="28"/>
          <w:lang w:eastAsia="en-US"/>
        </w:rPr>
        <w:t xml:space="preserve">RANKL </w:t>
      </w:r>
      <w:r w:rsidRPr="00520861">
        <w:rPr>
          <w:rFonts w:eastAsia="Calibri"/>
          <w:sz w:val="28"/>
          <w:szCs w:val="28"/>
          <w:lang w:eastAsia="en-US"/>
        </w:rPr>
        <w:t>[rs9594759] (домінантна модел</w:t>
      </w:r>
      <w:r w:rsidR="00C82804" w:rsidRPr="00520861">
        <w:rPr>
          <w:rFonts w:eastAsia="Calibri"/>
          <w:sz w:val="28"/>
          <w:szCs w:val="28"/>
          <w:lang w:eastAsia="en-US"/>
        </w:rPr>
        <w:t xml:space="preserve">ь успадкування) також у 3,5 </w:t>
      </w:r>
      <w:proofErr w:type="spellStart"/>
      <w:r w:rsidR="00C82804" w:rsidRPr="00520861">
        <w:rPr>
          <w:rFonts w:eastAsia="Calibri"/>
          <w:sz w:val="28"/>
          <w:szCs w:val="28"/>
          <w:lang w:eastAsia="en-US"/>
        </w:rPr>
        <w:t>раза</w:t>
      </w:r>
      <w:proofErr w:type="spellEnd"/>
      <w:r w:rsidRPr="00520861">
        <w:rPr>
          <w:rFonts w:eastAsia="Calibri"/>
          <w:sz w:val="28"/>
          <w:szCs w:val="28"/>
          <w:lang w:eastAsia="en-US"/>
        </w:rPr>
        <w:t xml:space="preserve"> збільшуються шанси розвитку переважно дистрофічних процесів у пародонті, порівняно з наявністю мутантного гомозиготного чи гетерозиготного варіантів цього гена.</w:t>
      </w:r>
    </w:p>
    <w:p w14:paraId="0EBE5E15" w14:textId="77777777" w:rsidR="00180D3E" w:rsidRPr="00520861" w:rsidRDefault="00180D3E" w:rsidP="00292D2E">
      <w:pPr>
        <w:widowControl w:val="0"/>
        <w:spacing w:line="360" w:lineRule="auto"/>
        <w:ind w:firstLine="720"/>
        <w:jc w:val="both"/>
        <w:rPr>
          <w:rFonts w:eastAsia="Calibri"/>
          <w:spacing w:val="-2"/>
          <w:sz w:val="28"/>
          <w:szCs w:val="28"/>
          <w:lang w:eastAsia="en-US"/>
        </w:rPr>
      </w:pPr>
      <w:r w:rsidRPr="00520861">
        <w:rPr>
          <w:rFonts w:eastAsia="Calibri"/>
          <w:sz w:val="28"/>
          <w:szCs w:val="28"/>
          <w:lang w:eastAsia="en-US"/>
        </w:rPr>
        <w:t xml:space="preserve">Ризиковим щодо розвитку </w:t>
      </w:r>
      <w:proofErr w:type="spellStart"/>
      <w:r w:rsidRPr="00520861">
        <w:rPr>
          <w:rFonts w:eastAsia="Calibri"/>
          <w:sz w:val="28"/>
          <w:szCs w:val="28"/>
          <w:lang w:eastAsia="en-US"/>
        </w:rPr>
        <w:t>хвороб</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з переважанням дистрофічних процесів є алель С (мультиплікативна модель успадкування). Шанс того, що у пародонті будуть переважати дистрофічні процеси, більший у 2,2 рази у тих, хто є носієм цього алеля. І, навпаки, у носіїв алеля Т збільшується ризик розвитку патологічного процесу в пародонті зі схильністю до запального варіанта перебігу.</w:t>
      </w:r>
    </w:p>
    <w:p w14:paraId="382C0BD8" w14:textId="77777777" w:rsidR="00180D3E" w:rsidRPr="00520861" w:rsidRDefault="00180D3E" w:rsidP="00292D2E">
      <w:pPr>
        <w:widowControl w:val="0"/>
        <w:spacing w:line="360" w:lineRule="auto"/>
        <w:ind w:firstLine="720"/>
        <w:jc w:val="both"/>
        <w:rPr>
          <w:rFonts w:eastAsia="Calibri"/>
          <w:spacing w:val="-4"/>
          <w:sz w:val="28"/>
          <w:szCs w:val="28"/>
          <w:lang w:eastAsia="en-US"/>
        </w:rPr>
      </w:pPr>
      <w:r w:rsidRPr="00520861">
        <w:rPr>
          <w:rFonts w:eastAsia="Calibri"/>
          <w:spacing w:val="-4"/>
          <w:sz w:val="28"/>
          <w:szCs w:val="28"/>
          <w:lang w:eastAsia="en-US"/>
        </w:rPr>
        <w:t xml:space="preserve">Наявність чи відсутність </w:t>
      </w:r>
      <w:proofErr w:type="spellStart"/>
      <w:r w:rsidRPr="00520861">
        <w:rPr>
          <w:rFonts w:eastAsia="Calibri"/>
          <w:spacing w:val="-4"/>
          <w:sz w:val="28"/>
          <w:szCs w:val="28"/>
          <w:lang w:eastAsia="en-US"/>
        </w:rPr>
        <w:t>дистрофічно</w:t>
      </w:r>
      <w:proofErr w:type="spellEnd"/>
      <w:r w:rsidRPr="00520861">
        <w:rPr>
          <w:rFonts w:eastAsia="Calibri"/>
          <w:spacing w:val="-4"/>
          <w:sz w:val="28"/>
          <w:szCs w:val="28"/>
          <w:lang w:eastAsia="en-US"/>
        </w:rPr>
        <w:t xml:space="preserve">-запальних процесів у пародонті в осіб, які народилися </w:t>
      </w:r>
      <w:proofErr w:type="spellStart"/>
      <w:r w:rsidRPr="00520861">
        <w:rPr>
          <w:rFonts w:eastAsia="Calibri"/>
          <w:spacing w:val="-4"/>
          <w:sz w:val="28"/>
          <w:szCs w:val="28"/>
          <w:lang w:eastAsia="en-US"/>
        </w:rPr>
        <w:t>макросомами</w:t>
      </w:r>
      <w:proofErr w:type="spellEnd"/>
      <w:r w:rsidRPr="00520861">
        <w:rPr>
          <w:rFonts w:eastAsia="Calibri"/>
          <w:spacing w:val="-4"/>
          <w:sz w:val="28"/>
          <w:szCs w:val="28"/>
          <w:lang w:eastAsia="en-US"/>
        </w:rPr>
        <w:t>, контролюється генами</w:t>
      </w:r>
      <w:r w:rsidRPr="00520861">
        <w:rPr>
          <w:rFonts w:eastAsia="Calibri"/>
          <w:i/>
          <w:spacing w:val="-4"/>
          <w:sz w:val="28"/>
          <w:szCs w:val="28"/>
          <w:lang w:eastAsia="en-US"/>
        </w:rPr>
        <w:t xml:space="preserve"> ESR1</w:t>
      </w:r>
      <w:r w:rsidRPr="00520861">
        <w:rPr>
          <w:rFonts w:eastAsia="Calibri"/>
          <w:spacing w:val="-4"/>
          <w:sz w:val="28"/>
          <w:szCs w:val="28"/>
          <w:lang w:eastAsia="en-US"/>
        </w:rPr>
        <w:t xml:space="preserve"> [rs2234693] та </w:t>
      </w:r>
      <w:r w:rsidRPr="00520861">
        <w:rPr>
          <w:rFonts w:eastAsia="Calibri"/>
          <w:i/>
          <w:spacing w:val="-4"/>
          <w:sz w:val="28"/>
          <w:szCs w:val="28"/>
          <w:lang w:eastAsia="en-US"/>
        </w:rPr>
        <w:t>IL-1</w:t>
      </w:r>
      <w:r w:rsidRPr="00520861">
        <w:rPr>
          <w:rFonts w:eastAsia="Calibri"/>
          <w:i/>
          <w:spacing w:val="-4"/>
          <w:sz w:val="28"/>
          <w:szCs w:val="28"/>
          <w:lang w:eastAsia="en-US"/>
        </w:rPr>
        <w:sym w:font="Symbol" w:char="F062"/>
      </w:r>
      <w:r w:rsidRPr="00520861">
        <w:rPr>
          <w:rFonts w:eastAsia="Calibri"/>
          <w:spacing w:val="-4"/>
          <w:sz w:val="28"/>
          <w:szCs w:val="28"/>
          <w:lang w:eastAsia="en-US"/>
        </w:rPr>
        <w:t xml:space="preserve"> [rs1143627] [47]. Варіанти гена </w:t>
      </w:r>
      <w:r w:rsidRPr="00520861">
        <w:rPr>
          <w:rFonts w:eastAsia="Calibri"/>
          <w:i/>
          <w:spacing w:val="-4"/>
          <w:sz w:val="28"/>
          <w:szCs w:val="28"/>
          <w:lang w:eastAsia="en-US"/>
        </w:rPr>
        <w:t>RANKL</w:t>
      </w:r>
      <w:r w:rsidRPr="00520861">
        <w:rPr>
          <w:rFonts w:eastAsia="Calibri"/>
          <w:spacing w:val="-4"/>
          <w:sz w:val="28"/>
          <w:szCs w:val="28"/>
          <w:lang w:eastAsia="en-US"/>
        </w:rPr>
        <w:t xml:space="preserve"> [rs9594738] та [rs9594759] є відповідальними за те, зі схильністю до якого варіанту перебігу відбудеться порушення тканин </w:t>
      </w:r>
      <w:proofErr w:type="spellStart"/>
      <w:r w:rsidRPr="00520861">
        <w:rPr>
          <w:rFonts w:eastAsia="Calibri"/>
          <w:spacing w:val="-4"/>
          <w:sz w:val="28"/>
          <w:szCs w:val="28"/>
          <w:lang w:eastAsia="en-US"/>
        </w:rPr>
        <w:t>пародонта</w:t>
      </w:r>
      <w:proofErr w:type="spellEnd"/>
      <w:r w:rsidRPr="00520861">
        <w:rPr>
          <w:rFonts w:eastAsia="Calibri"/>
          <w:spacing w:val="-4"/>
          <w:sz w:val="28"/>
          <w:szCs w:val="28"/>
          <w:lang w:eastAsia="en-US"/>
        </w:rPr>
        <w:t xml:space="preserve"> у таких осіб: із превалюванням запалення (</w:t>
      </w:r>
      <w:proofErr w:type="spellStart"/>
      <w:r w:rsidRPr="00520861">
        <w:rPr>
          <w:rFonts w:eastAsia="Calibri"/>
          <w:spacing w:val="-4"/>
          <w:sz w:val="28"/>
          <w:szCs w:val="28"/>
          <w:lang w:eastAsia="en-US"/>
        </w:rPr>
        <w:t>пародонтит</w:t>
      </w:r>
      <w:proofErr w:type="spellEnd"/>
      <w:r w:rsidRPr="00520861">
        <w:rPr>
          <w:rFonts w:eastAsia="Calibri"/>
          <w:spacing w:val="-4"/>
          <w:sz w:val="28"/>
          <w:szCs w:val="28"/>
          <w:lang w:eastAsia="en-US"/>
        </w:rPr>
        <w:t>) чи дистрофічних змін (пародонтоз).</w:t>
      </w:r>
    </w:p>
    <w:p w14:paraId="0CCF2A80"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sz w:val="28"/>
          <w:szCs w:val="28"/>
        </w:rPr>
        <w:t xml:space="preserve">Із результатів проведеного нами клінічного стоматологічного обстеження випливає, що метаболічні порушення у ВУ періоді, а саме, ВУ ожиріння в осіб, які народилися з </w:t>
      </w:r>
      <w:proofErr w:type="spellStart"/>
      <w:r w:rsidRPr="00520861">
        <w:rPr>
          <w:sz w:val="28"/>
          <w:szCs w:val="28"/>
        </w:rPr>
        <w:t>макросомією</w:t>
      </w:r>
      <w:proofErr w:type="spellEnd"/>
      <w:r w:rsidRPr="00520861">
        <w:rPr>
          <w:sz w:val="28"/>
          <w:szCs w:val="28"/>
        </w:rPr>
        <w:t xml:space="preserve"> (підгрупа 3 та 4), в онтогенезі у переважної кількості осіб </w:t>
      </w:r>
      <w:r w:rsidRPr="00520861">
        <w:rPr>
          <w:sz w:val="28"/>
          <w:szCs w:val="28"/>
        </w:rPr>
        <w:lastRenderedPageBreak/>
        <w:t xml:space="preserve">дорослого віку викликають зміни в ПР, які супроводжуються різного ступеня тяжкості деструкцією тканин </w:t>
      </w:r>
      <w:proofErr w:type="spellStart"/>
      <w:r w:rsidRPr="00520861">
        <w:rPr>
          <w:sz w:val="28"/>
          <w:szCs w:val="28"/>
        </w:rPr>
        <w:t>пародонта</w:t>
      </w:r>
      <w:proofErr w:type="spellEnd"/>
      <w:r w:rsidRPr="00520861">
        <w:rPr>
          <w:sz w:val="28"/>
          <w:szCs w:val="28"/>
        </w:rPr>
        <w:t xml:space="preserve"> з превалюванням незапального компонента та проявляються атрофією альвеолярних відростків, рецесією ясен, супроводжуються появою клиноподібних дефектів. Результати обчислення оптичної щільності кісткової тканини свідчать про вірогідно зменшену щільність кортикального шару кісткової тканини щелеп у таких осіб.</w:t>
      </w:r>
    </w:p>
    <w:p w14:paraId="029E197D"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sz w:val="28"/>
          <w:szCs w:val="28"/>
        </w:rPr>
        <w:t xml:space="preserve">Збалансований ВУ розвиток, а також відносна ВУ недостатність маси тіла в осіб, які народилися </w:t>
      </w:r>
      <w:proofErr w:type="spellStart"/>
      <w:r w:rsidRPr="00520861">
        <w:rPr>
          <w:sz w:val="28"/>
          <w:szCs w:val="28"/>
        </w:rPr>
        <w:t>макросомами</w:t>
      </w:r>
      <w:proofErr w:type="spellEnd"/>
      <w:r w:rsidRPr="00520861">
        <w:rPr>
          <w:sz w:val="28"/>
          <w:szCs w:val="28"/>
        </w:rPr>
        <w:t xml:space="preserve"> (підгрупа 1 та 2), у подальшому житті переважно реалізуються змінами тканин </w:t>
      </w:r>
      <w:proofErr w:type="spellStart"/>
      <w:r w:rsidRPr="00520861">
        <w:rPr>
          <w:sz w:val="28"/>
          <w:szCs w:val="28"/>
        </w:rPr>
        <w:t>пародонта</w:t>
      </w:r>
      <w:proofErr w:type="spellEnd"/>
      <w:r w:rsidRPr="00520861">
        <w:rPr>
          <w:sz w:val="28"/>
          <w:szCs w:val="28"/>
        </w:rPr>
        <w:t xml:space="preserve"> із превалюванням запального компонента різного ступеня вираженості та вірогідно зниженою оптичною щільністю </w:t>
      </w:r>
      <w:r w:rsidRPr="00520861">
        <w:rPr>
          <w:sz w:val="28"/>
          <w:szCs w:val="28"/>
        </w:rPr>
        <w:br/>
      </w:r>
      <w:proofErr w:type="spellStart"/>
      <w:r w:rsidRPr="00520861">
        <w:rPr>
          <w:sz w:val="28"/>
          <w:szCs w:val="28"/>
        </w:rPr>
        <w:t>трабекулярної</w:t>
      </w:r>
      <w:proofErr w:type="spellEnd"/>
      <w:r w:rsidRPr="00520861">
        <w:rPr>
          <w:sz w:val="28"/>
          <w:szCs w:val="28"/>
        </w:rPr>
        <w:t xml:space="preserve"> тканини кісток щелеп.</w:t>
      </w:r>
    </w:p>
    <w:p w14:paraId="0644919A" w14:textId="77777777" w:rsidR="00180D3E" w:rsidRPr="00520861" w:rsidRDefault="00180D3E" w:rsidP="00292D2E">
      <w:pPr>
        <w:widowControl w:val="0"/>
        <w:pBdr>
          <w:top w:val="nil"/>
          <w:left w:val="nil"/>
          <w:bottom w:val="nil"/>
          <w:right w:val="nil"/>
          <w:between w:val="nil"/>
        </w:pBdr>
        <w:spacing w:line="360" w:lineRule="auto"/>
        <w:ind w:firstLine="709"/>
        <w:jc w:val="both"/>
        <w:rPr>
          <w:sz w:val="28"/>
          <w:szCs w:val="28"/>
        </w:rPr>
      </w:pPr>
      <w:r w:rsidRPr="00520861">
        <w:rPr>
          <w:rFonts w:eastAsia="Calibri"/>
          <w:sz w:val="28"/>
          <w:szCs w:val="28"/>
          <w:lang w:eastAsia="en-US"/>
        </w:rPr>
        <w:t xml:space="preserve">Існує зв'язок між </w:t>
      </w:r>
      <w:r w:rsidRPr="00520861">
        <w:rPr>
          <w:sz w:val="28"/>
          <w:szCs w:val="28"/>
        </w:rPr>
        <w:t xml:space="preserve">зміною активності ферментів </w:t>
      </w:r>
      <w:proofErr w:type="spellStart"/>
      <w:r w:rsidRPr="00520861">
        <w:rPr>
          <w:sz w:val="28"/>
          <w:szCs w:val="28"/>
        </w:rPr>
        <w:t>трансамінування</w:t>
      </w:r>
      <w:proofErr w:type="spellEnd"/>
      <w:r w:rsidRPr="00520861">
        <w:rPr>
          <w:sz w:val="28"/>
          <w:szCs w:val="28"/>
        </w:rPr>
        <w:t xml:space="preserve">, показників </w:t>
      </w:r>
      <w:r w:rsidRPr="00520861">
        <w:rPr>
          <w:sz w:val="28"/>
          <w:szCs w:val="28"/>
        </w:rPr>
        <w:br/>
        <w:t>системного гуморального та місцевого імунітету, вмісту маркеру обміну сполучної тканини (</w:t>
      </w:r>
      <w:proofErr w:type="spellStart"/>
      <w:r w:rsidRPr="00520861">
        <w:rPr>
          <w:sz w:val="28"/>
          <w:szCs w:val="28"/>
        </w:rPr>
        <w:t>оксипролін</w:t>
      </w:r>
      <w:proofErr w:type="spellEnd"/>
      <w:r w:rsidRPr="00520861">
        <w:rPr>
          <w:sz w:val="28"/>
          <w:szCs w:val="28"/>
        </w:rPr>
        <w:t xml:space="preserve">), а також порушенням </w:t>
      </w:r>
      <w:proofErr w:type="spellStart"/>
      <w:r w:rsidRPr="00520861">
        <w:rPr>
          <w:sz w:val="28"/>
          <w:szCs w:val="28"/>
        </w:rPr>
        <w:t>цитокінового</w:t>
      </w:r>
      <w:proofErr w:type="spellEnd"/>
      <w:r w:rsidRPr="00520861">
        <w:rPr>
          <w:sz w:val="28"/>
          <w:szCs w:val="28"/>
        </w:rPr>
        <w:t xml:space="preserve"> профілю у РР осіб різного віку, які народилися </w:t>
      </w:r>
      <w:proofErr w:type="spellStart"/>
      <w:r w:rsidRPr="00520861">
        <w:rPr>
          <w:sz w:val="28"/>
          <w:szCs w:val="28"/>
        </w:rPr>
        <w:t>макросомами</w:t>
      </w:r>
      <w:proofErr w:type="spellEnd"/>
      <w:r w:rsidRPr="00520861">
        <w:rPr>
          <w:sz w:val="28"/>
          <w:szCs w:val="28"/>
        </w:rPr>
        <w:t xml:space="preserve"> та особливостями перебігу в них захворювань тканин </w:t>
      </w:r>
      <w:proofErr w:type="spellStart"/>
      <w:r w:rsidRPr="00520861">
        <w:rPr>
          <w:sz w:val="28"/>
          <w:szCs w:val="28"/>
        </w:rPr>
        <w:t>пародонта</w:t>
      </w:r>
      <w:proofErr w:type="spellEnd"/>
      <w:r w:rsidRPr="00520861">
        <w:rPr>
          <w:sz w:val="28"/>
          <w:szCs w:val="28"/>
        </w:rPr>
        <w:t>.</w:t>
      </w:r>
    </w:p>
    <w:p w14:paraId="0F92757A"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Аналіз варіантів генів </w:t>
      </w:r>
      <w:r w:rsidRPr="00520861">
        <w:rPr>
          <w:rFonts w:eastAsia="Calibri"/>
          <w:i/>
          <w:sz w:val="28"/>
          <w:szCs w:val="28"/>
          <w:lang w:eastAsia="en-US"/>
        </w:rPr>
        <w:t>ESR1: -397 T&gt;C (</w:t>
      </w:r>
      <w:proofErr w:type="spellStart"/>
      <w:r w:rsidRPr="00520861">
        <w:rPr>
          <w:rFonts w:eastAsia="Calibri"/>
          <w:i/>
          <w:sz w:val="28"/>
          <w:szCs w:val="28"/>
          <w:lang w:eastAsia="en-US"/>
        </w:rPr>
        <w:t>PvuII</w:t>
      </w:r>
      <w:proofErr w:type="spellEnd"/>
      <w:r w:rsidRPr="00520861">
        <w:rPr>
          <w:rFonts w:eastAsia="Calibri"/>
          <w:i/>
          <w:sz w:val="28"/>
          <w:szCs w:val="28"/>
          <w:lang w:eastAsia="en-US"/>
        </w:rPr>
        <w:t>)</w:t>
      </w:r>
      <w:r w:rsidRPr="00520861">
        <w:rPr>
          <w:rFonts w:eastAsia="Calibri"/>
          <w:sz w:val="28"/>
          <w:szCs w:val="28"/>
          <w:lang w:eastAsia="en-US"/>
        </w:rPr>
        <w:t xml:space="preserve"> [rs2234693],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i/>
          <w:sz w:val="28"/>
          <w:szCs w:val="28"/>
          <w:lang w:eastAsia="en-US"/>
        </w:rPr>
        <w:t xml:space="preserve">:−31 T&gt;C </w:t>
      </w:r>
      <w:r w:rsidRPr="00520861">
        <w:rPr>
          <w:rFonts w:eastAsia="Calibri"/>
          <w:sz w:val="28"/>
          <w:szCs w:val="28"/>
          <w:lang w:eastAsia="en-US"/>
        </w:rPr>
        <w:t xml:space="preserve">[rs1143627] і </w:t>
      </w:r>
      <w:r w:rsidRPr="00520861">
        <w:rPr>
          <w:rFonts w:eastAsia="Calibri"/>
          <w:i/>
          <w:sz w:val="28"/>
          <w:szCs w:val="28"/>
          <w:lang w:eastAsia="en-US"/>
        </w:rPr>
        <w:t>RANKL</w:t>
      </w:r>
      <w:r w:rsidRPr="00520861">
        <w:rPr>
          <w:sz w:val="28"/>
          <w:szCs w:val="28"/>
        </w:rPr>
        <w:t>: C&gt;T</w:t>
      </w:r>
      <w:r w:rsidRPr="00520861">
        <w:rPr>
          <w:rFonts w:eastAsia="Calibri"/>
          <w:i/>
          <w:sz w:val="28"/>
          <w:szCs w:val="28"/>
          <w:lang w:eastAsia="en-US"/>
        </w:rPr>
        <w:t xml:space="preserve"> </w:t>
      </w:r>
      <w:r w:rsidRPr="00520861">
        <w:rPr>
          <w:rFonts w:eastAsia="Calibri"/>
          <w:sz w:val="28"/>
          <w:szCs w:val="28"/>
          <w:lang w:eastAsia="en-US"/>
        </w:rPr>
        <w:t xml:space="preserve">[rs9594738] та [rs9594759] пропонується використовувати при ДНК-діагностиці на </w:t>
      </w:r>
      <w:proofErr w:type="spellStart"/>
      <w:r w:rsidRPr="00520861">
        <w:rPr>
          <w:rFonts w:eastAsia="Calibri"/>
          <w:sz w:val="28"/>
          <w:szCs w:val="28"/>
          <w:lang w:eastAsia="en-US"/>
        </w:rPr>
        <w:t>доклінічному</w:t>
      </w:r>
      <w:proofErr w:type="spellEnd"/>
      <w:r w:rsidRPr="00520861">
        <w:rPr>
          <w:rFonts w:eastAsia="Calibri"/>
          <w:sz w:val="28"/>
          <w:szCs w:val="28"/>
          <w:lang w:eastAsia="en-US"/>
        </w:rPr>
        <w:t xml:space="preserve"> етапі захворювання з метою виокремлення групи ризику з розвитку порушень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та підвищення ефективності персоналізованих заходів профілактики.</w:t>
      </w:r>
    </w:p>
    <w:p w14:paraId="00B17A18" w14:textId="77777777" w:rsidR="00180D3E" w:rsidRPr="00520861" w:rsidRDefault="00180D3E" w:rsidP="00292D2E">
      <w:pPr>
        <w:widowControl w:val="0"/>
        <w:spacing w:line="360" w:lineRule="auto"/>
        <w:ind w:right="-1" w:firstLine="708"/>
        <w:jc w:val="both"/>
        <w:rPr>
          <w:sz w:val="28"/>
          <w:szCs w:val="28"/>
        </w:rPr>
      </w:pPr>
      <w:r w:rsidRPr="00520861">
        <w:rPr>
          <w:sz w:val="28"/>
          <w:szCs w:val="28"/>
        </w:rPr>
        <w:t xml:space="preserve">Ризик виникнення </w:t>
      </w:r>
      <w:proofErr w:type="spellStart"/>
      <w:r w:rsidRPr="00520861">
        <w:rPr>
          <w:sz w:val="28"/>
          <w:szCs w:val="28"/>
        </w:rPr>
        <w:t>дистрофічно</w:t>
      </w:r>
      <w:proofErr w:type="spellEnd"/>
      <w:r w:rsidRPr="00520861">
        <w:rPr>
          <w:sz w:val="28"/>
          <w:szCs w:val="28"/>
        </w:rPr>
        <w:t xml:space="preserve">-запальних захворювань </w:t>
      </w:r>
      <w:proofErr w:type="spellStart"/>
      <w:r w:rsidRPr="00520861">
        <w:rPr>
          <w:sz w:val="28"/>
          <w:szCs w:val="28"/>
        </w:rPr>
        <w:t>пародонта</w:t>
      </w:r>
      <w:proofErr w:type="spellEnd"/>
      <w:r w:rsidRPr="00520861">
        <w:rPr>
          <w:sz w:val="28"/>
          <w:szCs w:val="28"/>
        </w:rPr>
        <w:t xml:space="preserve"> з превалюванням як дистрофічного (пародонтоз, ВШ=10,00), так і запального (</w:t>
      </w:r>
      <w:proofErr w:type="spellStart"/>
      <w:r w:rsidRPr="00520861">
        <w:rPr>
          <w:sz w:val="28"/>
          <w:szCs w:val="28"/>
        </w:rPr>
        <w:t>пародонтит</w:t>
      </w:r>
      <w:proofErr w:type="spellEnd"/>
      <w:r w:rsidRPr="00520861">
        <w:rPr>
          <w:sz w:val="28"/>
          <w:szCs w:val="28"/>
        </w:rPr>
        <w:t xml:space="preserve">, ВШ=13,00) варіантів перебігу в осіб, народжених </w:t>
      </w:r>
      <w:proofErr w:type="spellStart"/>
      <w:r w:rsidRPr="00520861">
        <w:rPr>
          <w:sz w:val="28"/>
          <w:szCs w:val="28"/>
        </w:rPr>
        <w:t>макросомами</w:t>
      </w:r>
      <w:proofErr w:type="spellEnd"/>
      <w:r w:rsidRPr="00520861">
        <w:rPr>
          <w:sz w:val="28"/>
          <w:szCs w:val="28"/>
        </w:rPr>
        <w:t>, асоційований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з гетерозиготним варіантом гена </w:t>
      </w:r>
      <w:r w:rsidRPr="00520861">
        <w:rPr>
          <w:i/>
          <w:sz w:val="28"/>
          <w:szCs w:val="28"/>
        </w:rPr>
        <w:t>IL-1</w:t>
      </w:r>
      <w:r w:rsidRPr="00520861">
        <w:rPr>
          <w:i/>
          <w:sz w:val="28"/>
          <w:szCs w:val="28"/>
        </w:rPr>
        <w:sym w:font="Symbol" w:char="F062"/>
      </w:r>
      <w:r w:rsidRPr="00520861">
        <w:rPr>
          <w:sz w:val="28"/>
          <w:szCs w:val="28"/>
        </w:rPr>
        <w:t xml:space="preserve"> [rs1143627] (</w:t>
      </w:r>
      <w:proofErr w:type="spellStart"/>
      <w:r w:rsidRPr="00520861">
        <w:rPr>
          <w:sz w:val="28"/>
          <w:szCs w:val="28"/>
        </w:rPr>
        <w:t>наддомінантна</w:t>
      </w:r>
      <w:proofErr w:type="spellEnd"/>
      <w:r w:rsidRPr="00520861">
        <w:rPr>
          <w:sz w:val="28"/>
          <w:szCs w:val="28"/>
        </w:rPr>
        <w:t xml:space="preserve"> модель успадкування). Протекторний ефект при захворюваннях тканин </w:t>
      </w:r>
      <w:proofErr w:type="spellStart"/>
      <w:r w:rsidRPr="00520861">
        <w:rPr>
          <w:sz w:val="28"/>
          <w:szCs w:val="28"/>
        </w:rPr>
        <w:t>пародонта</w:t>
      </w:r>
      <w:proofErr w:type="spellEnd"/>
      <w:r w:rsidRPr="00520861">
        <w:rPr>
          <w:sz w:val="28"/>
          <w:szCs w:val="28"/>
        </w:rPr>
        <w:t xml:space="preserve"> з превалюванням запального компонента асоційований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з варіантами гена </w:t>
      </w:r>
      <w:r w:rsidRPr="00520861">
        <w:rPr>
          <w:i/>
          <w:sz w:val="28"/>
          <w:szCs w:val="28"/>
        </w:rPr>
        <w:t>ESR1</w:t>
      </w:r>
      <w:r w:rsidRPr="00520861">
        <w:rPr>
          <w:sz w:val="28"/>
          <w:szCs w:val="28"/>
        </w:rPr>
        <w:t xml:space="preserve"> [rs2234693] – рецесивна (ВШ=0,114) і мультиплікативна (ВШ= 0,352) модель успадкування та </w:t>
      </w:r>
      <w:r w:rsidRPr="00520861">
        <w:rPr>
          <w:i/>
          <w:sz w:val="28"/>
          <w:szCs w:val="28"/>
        </w:rPr>
        <w:t>IL-1</w:t>
      </w:r>
      <w:r w:rsidRPr="00520861">
        <w:rPr>
          <w:i/>
          <w:sz w:val="28"/>
          <w:szCs w:val="28"/>
        </w:rPr>
        <w:sym w:font="Symbol" w:char="F062"/>
      </w:r>
      <w:r w:rsidRPr="00520861">
        <w:rPr>
          <w:sz w:val="28"/>
          <w:szCs w:val="28"/>
        </w:rPr>
        <w:t xml:space="preserve"> [rs1143627] – домінантна (ВШ=0,143), </w:t>
      </w:r>
      <w:proofErr w:type="spellStart"/>
      <w:r w:rsidRPr="00520861">
        <w:rPr>
          <w:sz w:val="28"/>
          <w:szCs w:val="28"/>
        </w:rPr>
        <w:t>наддомінантна</w:t>
      </w:r>
      <w:proofErr w:type="spellEnd"/>
      <w:r w:rsidRPr="00520861">
        <w:rPr>
          <w:sz w:val="28"/>
          <w:szCs w:val="28"/>
        </w:rPr>
        <w:t xml:space="preserve"> (ВШ=0,077) і мультиплікативна (ВШ=0,351) моделі успадкування. Ризик розвитку патологічних </w:t>
      </w:r>
      <w:r w:rsidRPr="00520861">
        <w:rPr>
          <w:sz w:val="28"/>
          <w:szCs w:val="28"/>
        </w:rPr>
        <w:lastRenderedPageBreak/>
        <w:t>процесів у пародонті з превалюванням дистрофічного компонента асоційований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sz w:val="28"/>
          <w:szCs w:val="28"/>
        </w:rPr>
        <w:t xml:space="preserve">) із варіантами гена </w:t>
      </w:r>
      <w:r w:rsidRPr="00520861">
        <w:rPr>
          <w:i/>
          <w:sz w:val="28"/>
          <w:szCs w:val="28"/>
        </w:rPr>
        <w:t xml:space="preserve">RANKL </w:t>
      </w:r>
      <w:r w:rsidRPr="00520861">
        <w:rPr>
          <w:sz w:val="28"/>
          <w:szCs w:val="28"/>
        </w:rPr>
        <w:t xml:space="preserve">[rs9594738] – домінантна (ВШ=3,250) і </w:t>
      </w:r>
      <w:r w:rsidRPr="00520861">
        <w:rPr>
          <w:sz w:val="28"/>
          <w:szCs w:val="28"/>
        </w:rPr>
        <w:br/>
        <w:t xml:space="preserve">мультиплікативна (ВШ=2,059) моделі успадкування, та </w:t>
      </w:r>
      <w:r w:rsidRPr="00520861">
        <w:rPr>
          <w:i/>
          <w:sz w:val="28"/>
          <w:szCs w:val="28"/>
        </w:rPr>
        <w:t>RANKL</w:t>
      </w:r>
      <w:r w:rsidRPr="00520861">
        <w:rPr>
          <w:sz w:val="28"/>
          <w:szCs w:val="28"/>
        </w:rPr>
        <w:t xml:space="preserve"> [rs9594759] – </w:t>
      </w:r>
      <w:r w:rsidRPr="00520861">
        <w:rPr>
          <w:sz w:val="28"/>
          <w:szCs w:val="28"/>
        </w:rPr>
        <w:br/>
        <w:t>домінантна (ВШ=3,543) і мультиплікативна (ВШ=2,161) моделі успадкування.</w:t>
      </w:r>
    </w:p>
    <w:p w14:paraId="33A59877" w14:textId="77777777" w:rsidR="00180D3E" w:rsidRPr="00520861" w:rsidRDefault="00180D3E" w:rsidP="00292D2E">
      <w:pPr>
        <w:widowControl w:val="0"/>
        <w:spacing w:line="360" w:lineRule="auto"/>
        <w:ind w:firstLine="709"/>
        <w:jc w:val="both"/>
        <w:rPr>
          <w:rFonts w:eastAsia="Calibri"/>
          <w:sz w:val="28"/>
          <w:szCs w:val="28"/>
          <w:lang w:eastAsia="en-US"/>
        </w:rPr>
      </w:pPr>
    </w:p>
    <w:p w14:paraId="72D6CFBA" w14:textId="77777777" w:rsidR="00180D3E" w:rsidRPr="00520861" w:rsidRDefault="00180D3E" w:rsidP="00292D2E">
      <w:pPr>
        <w:widowControl w:val="0"/>
        <w:spacing w:line="360" w:lineRule="auto"/>
        <w:contextualSpacing/>
        <w:jc w:val="center"/>
        <w:rPr>
          <w:sz w:val="28"/>
          <w:szCs w:val="28"/>
        </w:rPr>
      </w:pPr>
    </w:p>
    <w:p w14:paraId="35EC1300" w14:textId="77777777" w:rsidR="00180D3E" w:rsidRPr="00520861" w:rsidRDefault="00180D3E" w:rsidP="00292D2E">
      <w:pPr>
        <w:widowControl w:val="0"/>
        <w:spacing w:line="360" w:lineRule="auto"/>
        <w:ind w:firstLine="708"/>
        <w:contextualSpacing/>
        <w:jc w:val="both"/>
        <w:rPr>
          <w:sz w:val="28"/>
          <w:szCs w:val="28"/>
        </w:rPr>
      </w:pPr>
    </w:p>
    <w:p w14:paraId="3CA1A75D" w14:textId="77777777" w:rsidR="00180D3E" w:rsidRPr="00520861" w:rsidRDefault="00180D3E" w:rsidP="00292D2E">
      <w:pPr>
        <w:widowControl w:val="0"/>
        <w:spacing w:line="360" w:lineRule="auto"/>
        <w:ind w:firstLine="708"/>
        <w:contextualSpacing/>
        <w:jc w:val="both"/>
        <w:rPr>
          <w:sz w:val="28"/>
          <w:szCs w:val="28"/>
        </w:rPr>
      </w:pPr>
    </w:p>
    <w:p w14:paraId="209E75C0" w14:textId="77777777" w:rsidR="00180D3E" w:rsidRPr="00520861" w:rsidRDefault="00180D3E" w:rsidP="00292D2E">
      <w:pPr>
        <w:widowControl w:val="0"/>
        <w:spacing w:line="360" w:lineRule="auto"/>
        <w:ind w:firstLine="708"/>
        <w:contextualSpacing/>
        <w:jc w:val="both"/>
        <w:rPr>
          <w:sz w:val="28"/>
          <w:szCs w:val="28"/>
        </w:rPr>
      </w:pPr>
    </w:p>
    <w:p w14:paraId="7A180DDB" w14:textId="77777777" w:rsidR="00180D3E" w:rsidRPr="00520861" w:rsidRDefault="00180D3E" w:rsidP="00292D2E">
      <w:pPr>
        <w:widowControl w:val="0"/>
        <w:spacing w:line="360" w:lineRule="auto"/>
        <w:ind w:firstLine="708"/>
        <w:contextualSpacing/>
        <w:jc w:val="both"/>
        <w:rPr>
          <w:sz w:val="28"/>
          <w:szCs w:val="28"/>
        </w:rPr>
      </w:pPr>
    </w:p>
    <w:p w14:paraId="07D872DD" w14:textId="77777777" w:rsidR="00180D3E" w:rsidRPr="00520861" w:rsidRDefault="00180D3E" w:rsidP="00292D2E">
      <w:pPr>
        <w:widowControl w:val="0"/>
        <w:spacing w:line="360" w:lineRule="auto"/>
        <w:ind w:firstLine="708"/>
        <w:contextualSpacing/>
        <w:jc w:val="both"/>
        <w:rPr>
          <w:sz w:val="28"/>
          <w:szCs w:val="28"/>
        </w:rPr>
      </w:pPr>
    </w:p>
    <w:p w14:paraId="15BB35C5" w14:textId="77777777" w:rsidR="00180D3E" w:rsidRPr="00520861" w:rsidRDefault="00180D3E" w:rsidP="00292D2E">
      <w:pPr>
        <w:widowControl w:val="0"/>
        <w:spacing w:line="360" w:lineRule="auto"/>
        <w:ind w:firstLine="708"/>
        <w:contextualSpacing/>
        <w:jc w:val="both"/>
        <w:rPr>
          <w:sz w:val="28"/>
          <w:szCs w:val="28"/>
        </w:rPr>
      </w:pPr>
    </w:p>
    <w:p w14:paraId="4A0A83DC" w14:textId="77777777" w:rsidR="00180D3E" w:rsidRPr="00520861" w:rsidRDefault="00180D3E" w:rsidP="00292D2E">
      <w:pPr>
        <w:widowControl w:val="0"/>
        <w:spacing w:line="360" w:lineRule="auto"/>
        <w:ind w:firstLine="708"/>
        <w:contextualSpacing/>
        <w:jc w:val="both"/>
        <w:rPr>
          <w:sz w:val="28"/>
          <w:szCs w:val="28"/>
        </w:rPr>
      </w:pPr>
    </w:p>
    <w:p w14:paraId="107158BB" w14:textId="77777777" w:rsidR="00180D3E" w:rsidRPr="00520861" w:rsidRDefault="00180D3E" w:rsidP="00292D2E">
      <w:pPr>
        <w:widowControl w:val="0"/>
        <w:spacing w:line="360" w:lineRule="auto"/>
        <w:ind w:firstLine="708"/>
        <w:contextualSpacing/>
        <w:jc w:val="both"/>
        <w:rPr>
          <w:sz w:val="28"/>
          <w:szCs w:val="28"/>
        </w:rPr>
      </w:pPr>
    </w:p>
    <w:p w14:paraId="6765AE2F" w14:textId="77777777" w:rsidR="00180D3E" w:rsidRPr="00520861" w:rsidRDefault="00180D3E" w:rsidP="00292D2E">
      <w:pPr>
        <w:widowControl w:val="0"/>
        <w:spacing w:line="360" w:lineRule="auto"/>
        <w:ind w:firstLine="708"/>
        <w:contextualSpacing/>
        <w:jc w:val="both"/>
        <w:rPr>
          <w:sz w:val="28"/>
          <w:szCs w:val="28"/>
        </w:rPr>
      </w:pPr>
    </w:p>
    <w:p w14:paraId="42D84061" w14:textId="77777777" w:rsidR="00180D3E" w:rsidRPr="00520861" w:rsidRDefault="00180D3E" w:rsidP="00292D2E">
      <w:pPr>
        <w:widowControl w:val="0"/>
        <w:spacing w:line="360" w:lineRule="auto"/>
        <w:ind w:firstLine="708"/>
        <w:contextualSpacing/>
        <w:jc w:val="both"/>
        <w:rPr>
          <w:sz w:val="28"/>
          <w:szCs w:val="28"/>
        </w:rPr>
      </w:pPr>
    </w:p>
    <w:p w14:paraId="7D2A9403" w14:textId="77777777" w:rsidR="00180D3E" w:rsidRPr="00520861" w:rsidRDefault="00180D3E" w:rsidP="00292D2E">
      <w:pPr>
        <w:widowControl w:val="0"/>
        <w:spacing w:line="360" w:lineRule="auto"/>
        <w:ind w:firstLine="708"/>
        <w:contextualSpacing/>
        <w:jc w:val="both"/>
        <w:rPr>
          <w:sz w:val="28"/>
          <w:szCs w:val="28"/>
        </w:rPr>
      </w:pPr>
    </w:p>
    <w:p w14:paraId="657D41EE" w14:textId="77777777" w:rsidR="00180D3E" w:rsidRPr="00520861" w:rsidRDefault="00180D3E" w:rsidP="00292D2E">
      <w:pPr>
        <w:widowControl w:val="0"/>
        <w:spacing w:line="360" w:lineRule="auto"/>
        <w:ind w:firstLine="708"/>
        <w:contextualSpacing/>
        <w:jc w:val="both"/>
        <w:rPr>
          <w:sz w:val="28"/>
          <w:szCs w:val="28"/>
        </w:rPr>
      </w:pPr>
    </w:p>
    <w:p w14:paraId="115737A2" w14:textId="77777777" w:rsidR="00180D3E" w:rsidRPr="00520861" w:rsidRDefault="00180D3E" w:rsidP="00292D2E">
      <w:pPr>
        <w:widowControl w:val="0"/>
        <w:spacing w:line="360" w:lineRule="auto"/>
        <w:ind w:firstLine="708"/>
        <w:contextualSpacing/>
        <w:jc w:val="both"/>
        <w:rPr>
          <w:sz w:val="28"/>
          <w:szCs w:val="28"/>
        </w:rPr>
      </w:pPr>
    </w:p>
    <w:p w14:paraId="59FDF21B" w14:textId="77777777" w:rsidR="00180D3E" w:rsidRPr="00520861" w:rsidRDefault="00180D3E" w:rsidP="00292D2E">
      <w:pPr>
        <w:widowControl w:val="0"/>
        <w:spacing w:line="360" w:lineRule="auto"/>
        <w:ind w:firstLine="708"/>
        <w:contextualSpacing/>
        <w:jc w:val="both"/>
        <w:rPr>
          <w:sz w:val="28"/>
          <w:szCs w:val="28"/>
        </w:rPr>
      </w:pPr>
    </w:p>
    <w:p w14:paraId="7E3DCEBF" w14:textId="77777777" w:rsidR="00180D3E" w:rsidRPr="00520861" w:rsidRDefault="00034176" w:rsidP="00034176">
      <w:pPr>
        <w:widowControl w:val="0"/>
        <w:spacing w:line="360" w:lineRule="auto"/>
        <w:ind w:firstLine="708"/>
        <w:contextualSpacing/>
        <w:jc w:val="both"/>
        <w:rPr>
          <w:sz w:val="28"/>
          <w:szCs w:val="28"/>
        </w:rPr>
      </w:pPr>
      <w:r w:rsidRPr="00520861">
        <w:rPr>
          <w:sz w:val="28"/>
          <w:szCs w:val="28"/>
        </w:rPr>
        <w:br w:type="page"/>
      </w:r>
    </w:p>
    <w:p w14:paraId="24316688" w14:textId="77777777" w:rsidR="00180D3E" w:rsidRPr="00520861" w:rsidRDefault="00180D3E" w:rsidP="00292D2E">
      <w:pPr>
        <w:widowControl w:val="0"/>
        <w:spacing w:line="360" w:lineRule="auto"/>
        <w:jc w:val="center"/>
        <w:rPr>
          <w:rFonts w:eastAsia="Calibri"/>
          <w:b/>
          <w:sz w:val="28"/>
          <w:szCs w:val="28"/>
          <w:lang w:eastAsia="en-US"/>
        </w:rPr>
      </w:pPr>
      <w:r w:rsidRPr="00520861">
        <w:rPr>
          <w:rFonts w:eastAsia="Calibri"/>
          <w:b/>
          <w:sz w:val="28"/>
          <w:szCs w:val="28"/>
          <w:lang w:eastAsia="en-US"/>
        </w:rPr>
        <w:lastRenderedPageBreak/>
        <w:t>АНАЛІЗ ТА УЗАГАЛЬНЕННЯ ОТРИМАНИХ РЕЗУЛЬТАТІВ</w:t>
      </w:r>
    </w:p>
    <w:p w14:paraId="16372DAD" w14:textId="77777777" w:rsidR="00180D3E" w:rsidRPr="00520861" w:rsidRDefault="00180D3E" w:rsidP="00292D2E">
      <w:pPr>
        <w:widowControl w:val="0"/>
        <w:spacing w:line="360" w:lineRule="auto"/>
        <w:jc w:val="center"/>
        <w:rPr>
          <w:rFonts w:eastAsia="Calibri"/>
          <w:b/>
          <w:sz w:val="28"/>
          <w:szCs w:val="28"/>
          <w:lang w:eastAsia="en-US"/>
        </w:rPr>
      </w:pPr>
    </w:p>
    <w:p w14:paraId="5DDFF726" w14:textId="77777777" w:rsidR="00180D3E" w:rsidRPr="00520861" w:rsidRDefault="00180D3E" w:rsidP="00292D2E">
      <w:pPr>
        <w:widowControl w:val="0"/>
        <w:spacing w:line="360" w:lineRule="auto"/>
        <w:jc w:val="center"/>
        <w:rPr>
          <w:rFonts w:eastAsia="Calibri"/>
          <w:b/>
          <w:sz w:val="28"/>
          <w:szCs w:val="28"/>
          <w:lang w:eastAsia="en-US"/>
        </w:rPr>
      </w:pPr>
    </w:p>
    <w:p w14:paraId="74195A92" w14:textId="77777777" w:rsidR="00180D3E" w:rsidRPr="00520861" w:rsidRDefault="00180D3E" w:rsidP="00292D2E">
      <w:pPr>
        <w:widowControl w:val="0"/>
        <w:spacing w:line="360" w:lineRule="auto"/>
        <w:ind w:firstLine="709"/>
        <w:jc w:val="both"/>
        <w:rPr>
          <w:sz w:val="28"/>
          <w:szCs w:val="28"/>
        </w:rPr>
      </w:pPr>
      <w:r w:rsidRPr="00520861">
        <w:rPr>
          <w:color w:val="000000"/>
          <w:sz w:val="28"/>
          <w:szCs w:val="28"/>
        </w:rPr>
        <w:t xml:space="preserve">Одним із ВУ станів, який супроводжується формуванням значної кількості безпосередніх та </w:t>
      </w:r>
      <w:r w:rsidRPr="00520861">
        <w:rPr>
          <w:sz w:val="28"/>
          <w:szCs w:val="28"/>
        </w:rPr>
        <w:t xml:space="preserve">віддалених наслідків [204, 280, 337, 344, 353, 403, 446, 451, 455, 497, 564], зокрема стоматологічного характеру </w:t>
      </w:r>
      <w:r w:rsidRPr="00520861">
        <w:rPr>
          <w:rFonts w:eastAsia="Calibri"/>
          <w:sz w:val="28"/>
          <w:szCs w:val="28"/>
          <w:lang w:eastAsia="en-US"/>
        </w:rPr>
        <w:t>[203, 354, 370, 570, 573, 579]</w:t>
      </w:r>
      <w:r w:rsidRPr="00520861">
        <w:rPr>
          <w:sz w:val="28"/>
          <w:szCs w:val="28"/>
        </w:rPr>
        <w:t xml:space="preserve">, є </w:t>
      </w:r>
      <w:proofErr w:type="spellStart"/>
      <w:r w:rsidRPr="00520861">
        <w:rPr>
          <w:sz w:val="28"/>
          <w:szCs w:val="28"/>
        </w:rPr>
        <w:t>макросомія</w:t>
      </w:r>
      <w:proofErr w:type="spellEnd"/>
      <w:r w:rsidRPr="00520861">
        <w:rPr>
          <w:sz w:val="28"/>
          <w:szCs w:val="28"/>
        </w:rPr>
        <w:t xml:space="preserve"> плода. Такий стан справ підтверджується і в межах нашого дослідження. </w:t>
      </w:r>
    </w:p>
    <w:p w14:paraId="0BB49737" w14:textId="77777777" w:rsidR="00180D3E" w:rsidRPr="00520861" w:rsidRDefault="00180D3E" w:rsidP="00292D2E">
      <w:pPr>
        <w:widowControl w:val="0"/>
        <w:spacing w:line="360" w:lineRule="auto"/>
        <w:ind w:firstLine="708"/>
        <w:jc w:val="both"/>
        <w:rPr>
          <w:sz w:val="28"/>
          <w:szCs w:val="28"/>
        </w:rPr>
      </w:pPr>
      <w:r w:rsidRPr="00520861">
        <w:rPr>
          <w:sz w:val="28"/>
          <w:szCs w:val="28"/>
        </w:rPr>
        <w:t xml:space="preserve">Ураховуючи вищезазначене, в експериментальному напрямку дослідження на 202 лабораторних тваринах було вивчено ланки патогенезу ВУ формування </w:t>
      </w:r>
      <w:proofErr w:type="spellStart"/>
      <w:r w:rsidRPr="00520861">
        <w:rPr>
          <w:sz w:val="28"/>
          <w:szCs w:val="28"/>
        </w:rPr>
        <w:t>СтП</w:t>
      </w:r>
      <w:proofErr w:type="spellEnd"/>
      <w:r w:rsidRPr="00520861">
        <w:rPr>
          <w:sz w:val="28"/>
          <w:szCs w:val="28"/>
        </w:rPr>
        <w:t xml:space="preserve"> при експериментально змодельованій </w:t>
      </w:r>
      <w:proofErr w:type="spellStart"/>
      <w:r w:rsidRPr="00520861">
        <w:rPr>
          <w:sz w:val="28"/>
          <w:szCs w:val="28"/>
        </w:rPr>
        <w:t>макросомії</w:t>
      </w:r>
      <w:proofErr w:type="spellEnd"/>
      <w:r w:rsidRPr="00520861">
        <w:rPr>
          <w:sz w:val="28"/>
          <w:szCs w:val="28"/>
        </w:rPr>
        <w:t xml:space="preserve"> плода. </w:t>
      </w:r>
      <w:r w:rsidRPr="00520861">
        <w:rPr>
          <w:rFonts w:eastAsia="Calibri"/>
          <w:sz w:val="28"/>
          <w:szCs w:val="28"/>
          <w:lang w:eastAsia="en-US"/>
        </w:rPr>
        <w:t xml:space="preserve">Під час моделювання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в усіх 4 варіантах [68, 84, 353] (висококалорійна дієта молодих вагітних самиць, висококалорійна дієта вагітних самиць «зрілого» віку, висококалорійна дієта та гіпокінезія молодих вагітних самиць, посилене </w:t>
      </w:r>
      <w:proofErr w:type="spellStart"/>
      <w:r w:rsidRPr="00520861">
        <w:rPr>
          <w:rFonts w:eastAsia="Calibri"/>
          <w:sz w:val="28"/>
          <w:szCs w:val="28"/>
          <w:lang w:eastAsia="en-US"/>
        </w:rPr>
        <w:t>плацентарно</w:t>
      </w:r>
      <w:proofErr w:type="spellEnd"/>
      <w:r w:rsidRPr="00520861">
        <w:rPr>
          <w:rFonts w:eastAsia="Calibri"/>
          <w:sz w:val="28"/>
          <w:szCs w:val="28"/>
          <w:lang w:eastAsia="en-US"/>
        </w:rPr>
        <w:t>-плодове кровопостачання на тлі звичайних умов існування молодих вагітних самиць) спостерігали народження щурят із вірогідно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збільшеною масою тіла.</w:t>
      </w:r>
    </w:p>
    <w:p w14:paraId="2A19DC58"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bCs/>
          <w:sz w:val="28"/>
          <w:szCs w:val="28"/>
          <w:lang w:eastAsia="en-US"/>
        </w:rPr>
        <w:t xml:space="preserve">На початку експериментального дослідження МФ порушення аналізувалися з прив’язкою до способу (моделі) моделювання </w:t>
      </w:r>
      <w:proofErr w:type="spellStart"/>
      <w:r w:rsidRPr="00520861">
        <w:rPr>
          <w:rFonts w:eastAsia="Calibri"/>
          <w:bCs/>
          <w:sz w:val="28"/>
          <w:szCs w:val="28"/>
          <w:lang w:eastAsia="en-US"/>
        </w:rPr>
        <w:t>макросомії</w:t>
      </w:r>
      <w:proofErr w:type="spellEnd"/>
      <w:r w:rsidRPr="00520861">
        <w:rPr>
          <w:rFonts w:eastAsia="Calibri"/>
          <w:bCs/>
          <w:sz w:val="28"/>
          <w:szCs w:val="28"/>
          <w:lang w:eastAsia="en-US"/>
        </w:rPr>
        <w:t>. Але під час</w:t>
      </w:r>
      <w:r w:rsidRPr="00520861">
        <w:rPr>
          <w:rFonts w:eastAsia="Calibri"/>
          <w:sz w:val="28"/>
          <w:szCs w:val="28"/>
          <w:lang w:eastAsia="en-US"/>
        </w:rPr>
        <w:t xml:space="preserve"> детального аналізу тканин й органів ПР у щурів,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виявилося, що види та кількість деяких порушень у різних групах, розподілених залежно від моделі формування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перекриваються. </w:t>
      </w:r>
      <w:r w:rsidRPr="00520861">
        <w:rPr>
          <w:rFonts w:eastAsia="Calibri"/>
          <w:bCs/>
          <w:sz w:val="28"/>
          <w:szCs w:val="28"/>
          <w:lang w:eastAsia="en-US"/>
        </w:rPr>
        <w:t xml:space="preserve">Ми дійшли висновку, що тварини, у яких </w:t>
      </w:r>
      <w:proofErr w:type="spellStart"/>
      <w:r w:rsidRPr="00520861">
        <w:rPr>
          <w:rFonts w:eastAsia="Calibri"/>
          <w:bCs/>
          <w:sz w:val="28"/>
          <w:szCs w:val="28"/>
          <w:lang w:eastAsia="en-US"/>
        </w:rPr>
        <w:t>макросомія</w:t>
      </w:r>
      <w:proofErr w:type="spellEnd"/>
      <w:r w:rsidRPr="00520861">
        <w:rPr>
          <w:rFonts w:eastAsia="Calibri"/>
          <w:bCs/>
          <w:sz w:val="28"/>
          <w:szCs w:val="28"/>
          <w:lang w:eastAsia="en-US"/>
        </w:rPr>
        <w:t xml:space="preserve"> спричинена за допомогою конкретних моделей, переважно мають певний соматотип, притаманний відповідному МРП. </w:t>
      </w:r>
      <w:r w:rsidRPr="00520861">
        <w:rPr>
          <w:rFonts w:eastAsia="Calibri"/>
          <w:sz w:val="28"/>
          <w:szCs w:val="28"/>
          <w:lang w:eastAsia="en-US"/>
        </w:rPr>
        <w:t>Тому</w:t>
      </w:r>
      <w:r w:rsidRPr="00520861">
        <w:rPr>
          <w:rFonts w:eastAsia="Calibri"/>
          <w:bCs/>
          <w:sz w:val="28"/>
          <w:szCs w:val="28"/>
          <w:lang w:eastAsia="en-US"/>
        </w:rPr>
        <w:t xml:space="preserve"> було прийнято рішення групувати тварин </w:t>
      </w:r>
      <w:r w:rsidRPr="00520861">
        <w:rPr>
          <w:rFonts w:eastAsia="Calibri"/>
          <w:sz w:val="28"/>
          <w:szCs w:val="28"/>
          <w:lang w:eastAsia="en-US"/>
        </w:rPr>
        <w:t xml:space="preserve">не за способами </w:t>
      </w:r>
      <w:proofErr w:type="spellStart"/>
      <w:r w:rsidRPr="00520861">
        <w:rPr>
          <w:rFonts w:eastAsia="Calibri"/>
          <w:sz w:val="28"/>
          <w:szCs w:val="28"/>
          <w:lang w:val="ru-RU" w:eastAsia="en-US"/>
        </w:rPr>
        <w:t>моделювання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а за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при народженні, що є більш фізичним та однозначно визначеним. Числові межі цього індексу для кожної групи в подальшому були уточнені при аналізуванні результатів.</w:t>
      </w:r>
    </w:p>
    <w:p w14:paraId="3D26DAC2"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sz w:val="28"/>
          <w:szCs w:val="28"/>
        </w:rPr>
        <w:t xml:space="preserve">Під час проведення експериментального дослідження завжди постає питання про вікову екстраполяцію його результатів. </w:t>
      </w:r>
      <w:r w:rsidRPr="00520861">
        <w:rPr>
          <w:rFonts w:eastAsia="Calibri"/>
          <w:sz w:val="28"/>
          <w:szCs w:val="28"/>
          <w:lang w:eastAsia="en-US"/>
        </w:rPr>
        <w:t xml:space="preserve">Безумовно, відмінності в анатомії, фізіології та швидкості дорослішання не дають змоги точно екстраполювати вік експериментальних тварин на людський [474]. </w:t>
      </w:r>
      <w:r w:rsidRPr="00520861">
        <w:rPr>
          <w:sz w:val="28"/>
          <w:szCs w:val="28"/>
        </w:rPr>
        <w:t>С</w:t>
      </w:r>
      <w:r w:rsidRPr="00520861">
        <w:rPr>
          <w:rFonts w:eastAsia="Calibri"/>
          <w:sz w:val="28"/>
          <w:szCs w:val="28"/>
          <w:lang w:eastAsia="en-US"/>
        </w:rPr>
        <w:t>піввідношення людського віку з віком експериментальних тварин має низку особливостей і трактується різними авторами по-</w:t>
      </w:r>
      <w:r w:rsidRPr="00520861">
        <w:rPr>
          <w:rFonts w:eastAsia="Calibri"/>
          <w:sz w:val="28"/>
          <w:szCs w:val="28"/>
          <w:lang w:eastAsia="en-US"/>
        </w:rPr>
        <w:lastRenderedPageBreak/>
        <w:t xml:space="preserve">різному залежно від факторів, які досліджуються [75, 101]. Вік 3-місячних щурів приблизно відповідає людському віку 7,0 – 7,5 року, але, можливо, і старшому, </w:t>
      </w:r>
      <w:r w:rsidRPr="00520861">
        <w:rPr>
          <w:rFonts w:eastAsia="Calibri"/>
          <w:sz w:val="28"/>
          <w:szCs w:val="28"/>
          <w:lang w:eastAsia="en-US"/>
        </w:rPr>
        <w:br/>
        <w:t xml:space="preserve">оскільки 3-місячні щури вже статевозрілі. Згідно із запропонованим авторами [236, 359] та прийнятим нами алгоритмом перерахунку строків життя щурів у роки людського життя можна вважати, що 6-місячний вік щурів приблизно відповідає 15 – 17 рокам людського життя, тобто пубертатному періоду. Вік щурів 12 місяців </w:t>
      </w:r>
      <w:r w:rsidRPr="00520861">
        <w:rPr>
          <w:rFonts w:eastAsia="Calibri"/>
          <w:sz w:val="28"/>
          <w:szCs w:val="28"/>
          <w:lang w:eastAsia="en-US"/>
        </w:rPr>
        <w:br/>
        <w:t>еквівалентний віку дорослої людини, а 18 місяців – початку віку старіння.</w:t>
      </w:r>
    </w:p>
    <w:p w14:paraId="16A3268F" w14:textId="77777777" w:rsidR="00180D3E" w:rsidRPr="00520861" w:rsidRDefault="00180D3E" w:rsidP="00292D2E">
      <w:pPr>
        <w:widowControl w:val="0"/>
        <w:spacing w:line="360" w:lineRule="auto"/>
        <w:ind w:firstLine="567"/>
        <w:contextualSpacing/>
        <w:jc w:val="both"/>
        <w:rPr>
          <w:rFonts w:eastAsia="Calibri"/>
          <w:sz w:val="28"/>
          <w:szCs w:val="28"/>
          <w:shd w:val="clear" w:color="auto" w:fill="FFFFFF"/>
          <w:lang w:eastAsia="en-US"/>
        </w:rPr>
      </w:pPr>
      <w:r w:rsidRPr="00520861">
        <w:rPr>
          <w:rFonts w:eastAsia="Calibri"/>
          <w:bCs/>
          <w:sz w:val="28"/>
          <w:szCs w:val="28"/>
          <w:shd w:val="clear" w:color="auto" w:fill="FFFFFF"/>
          <w:lang w:eastAsia="en-US"/>
        </w:rPr>
        <w:t xml:space="preserve">Оскільки структура різців щурів через їх постійний ріст суттєво відрізняється від структури жувальних зубів [7], у межах проведеного дослідження було проаналізовано лише зачатки молярів. </w:t>
      </w:r>
      <w:r w:rsidRPr="00520861">
        <w:rPr>
          <w:rFonts w:eastAsia="Calibri"/>
          <w:sz w:val="28"/>
          <w:szCs w:val="28"/>
          <w:shd w:val="clear" w:color="auto" w:fill="FFFFFF"/>
          <w:lang w:eastAsia="en-US"/>
        </w:rPr>
        <w:t>Значення медіани товщини емалевого шару зачатків зубів, які знаходяться на стадії гістогенезу, у новонароджених тварин контрольної групи склало 5,36 </w:t>
      </w:r>
      <w:proofErr w:type="spellStart"/>
      <w:r w:rsidRPr="00520861">
        <w:rPr>
          <w:rFonts w:eastAsia="Calibri"/>
          <w:sz w:val="28"/>
          <w:szCs w:val="28"/>
          <w:shd w:val="clear" w:color="auto" w:fill="FFFFFF"/>
          <w:lang w:eastAsia="en-US"/>
        </w:rPr>
        <w:t>мкм</w:t>
      </w:r>
      <w:proofErr w:type="spellEnd"/>
      <w:r w:rsidRPr="00520861">
        <w:rPr>
          <w:rFonts w:eastAsia="Calibri"/>
          <w:sz w:val="28"/>
          <w:szCs w:val="28"/>
          <w:shd w:val="clear" w:color="auto" w:fill="FFFFFF"/>
          <w:lang w:eastAsia="en-US"/>
        </w:rPr>
        <w:t xml:space="preserve">, це є близьким до значень, що були отримані іншими дослідниками [145]. </w:t>
      </w:r>
      <w:r w:rsidRPr="00520861">
        <w:rPr>
          <w:rFonts w:eastAsia="Calibri"/>
          <w:sz w:val="28"/>
          <w:szCs w:val="28"/>
          <w:lang w:eastAsia="en-US"/>
        </w:rPr>
        <w:t>У щурів-</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гармонійним ВУ розвитком (група 1) стан зубних зачатків та оточуючих тканин є близьким до контрольного. Але в них суттєво зменшена кількість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периферійному шарі пульпи зубного сосочка.</w:t>
      </w:r>
    </w:p>
    <w:p w14:paraId="0C0B0CE0" w14:textId="77777777" w:rsidR="00180D3E" w:rsidRPr="00520861" w:rsidRDefault="00180D3E" w:rsidP="00292D2E">
      <w:pPr>
        <w:widowControl w:val="0"/>
        <w:spacing w:line="360" w:lineRule="auto"/>
        <w:ind w:firstLine="567"/>
        <w:contextualSpacing/>
        <w:jc w:val="both"/>
        <w:rPr>
          <w:rFonts w:eastAsia="Calibri"/>
          <w:sz w:val="28"/>
          <w:szCs w:val="28"/>
          <w:lang w:eastAsia="en-US"/>
        </w:rPr>
      </w:pPr>
      <w:r w:rsidRPr="00520861">
        <w:rPr>
          <w:rFonts w:eastAsia="Calibri"/>
          <w:sz w:val="28"/>
          <w:szCs w:val="28"/>
          <w:lang w:eastAsia="en-US"/>
        </w:rPr>
        <w:t>У щурів-</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які народилися з великою довжиною тіла та відносно зниженою масою тіла (група 2), виявлено щільну мережу МЦР СОПР, а також товщий, ніж у контролі, шар емалі, що формується. Проте місцями ця емаль була із ознаками дефектів, що можна назвати частковою гіпоплазією. У цих тварин спостерігаються ознаки незрілості або деструкції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Отже, прискорений ВУ розвиток зачатків зубів у цих тварин супроводжується формуванням зубів неоптимального стану. Це може пояснюватися тим, що за умови </w:t>
      </w:r>
      <w:proofErr w:type="spellStart"/>
      <w:r w:rsidRPr="00520861">
        <w:rPr>
          <w:rFonts w:eastAsia="Calibri"/>
          <w:sz w:val="28"/>
          <w:szCs w:val="28"/>
          <w:lang w:eastAsia="en-US"/>
        </w:rPr>
        <w:t>акселеративних</w:t>
      </w:r>
      <w:proofErr w:type="spellEnd"/>
      <w:r w:rsidRPr="00520861">
        <w:rPr>
          <w:rFonts w:eastAsia="Calibri"/>
          <w:sz w:val="28"/>
          <w:szCs w:val="28"/>
          <w:lang w:eastAsia="en-US"/>
        </w:rPr>
        <w:t xml:space="preserve"> процесів </w:t>
      </w:r>
      <w:r w:rsidRPr="00520861">
        <w:rPr>
          <w:rFonts w:eastAsia="Calibri"/>
          <w:sz w:val="28"/>
          <w:szCs w:val="28"/>
          <w:lang w:eastAsia="en-US"/>
        </w:rPr>
        <w:br/>
        <w:t xml:space="preserve">формуються великого розміру клітини, життєвий термін яких короткий. Тобто прискорений ВУ розвиток і, що головне, відносна ВУ недостатність маси тіла щурів </w:t>
      </w:r>
      <w:r w:rsidRPr="00520861">
        <w:rPr>
          <w:rFonts w:eastAsia="Calibri"/>
          <w:sz w:val="28"/>
          <w:szCs w:val="28"/>
          <w:lang w:eastAsia="en-US"/>
        </w:rPr>
        <w:br/>
        <w:t>цієї групи пришвидшують процеси старіння клітин [290, 296].</w:t>
      </w:r>
    </w:p>
    <w:p w14:paraId="1EF9A772" w14:textId="77777777" w:rsidR="00180D3E" w:rsidRPr="00520861" w:rsidRDefault="00180D3E" w:rsidP="00292D2E">
      <w:pPr>
        <w:widowControl w:val="0"/>
        <w:spacing w:line="360" w:lineRule="auto"/>
        <w:ind w:firstLine="568"/>
        <w:jc w:val="both"/>
        <w:rPr>
          <w:rFonts w:eastAsia="Calibri"/>
          <w:sz w:val="28"/>
          <w:szCs w:val="28"/>
          <w:lang w:eastAsia="en-US"/>
        </w:rPr>
      </w:pPr>
      <w:r w:rsidRPr="00520861">
        <w:rPr>
          <w:rFonts w:eastAsia="Calibri"/>
          <w:sz w:val="28"/>
          <w:szCs w:val="28"/>
          <w:lang w:eastAsia="en-US"/>
        </w:rPr>
        <w:t xml:space="preserve">У новонароджених щурів груп 3 та 4 (які народилися з ознаками ВУ ожиріння) спостерігалися тонші, ніж у контролі, шари емалі та дентину, які формуються, ознаки незрілості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та малорозвинене МЦР СОПР. Варто вказати, що процеси, які призводять до виникнення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перебувають у складному взаємозв’язку не тільки з безліччю зовнішніх факторів, але й зі структурою та ступенем сформованості </w:t>
      </w:r>
      <w:r w:rsidRPr="00520861">
        <w:rPr>
          <w:rFonts w:eastAsia="Calibri"/>
          <w:sz w:val="28"/>
          <w:szCs w:val="28"/>
          <w:lang w:eastAsia="en-US"/>
        </w:rPr>
        <w:br/>
      </w:r>
      <w:r w:rsidRPr="00520861">
        <w:rPr>
          <w:rFonts w:eastAsia="Calibri"/>
          <w:sz w:val="28"/>
          <w:szCs w:val="28"/>
          <w:lang w:eastAsia="en-US"/>
        </w:rPr>
        <w:lastRenderedPageBreak/>
        <w:t xml:space="preserve">тканин ЩЛД [108, 560]. Отже, судинні порушення, які виявлені в слизовій оболонці ясен, можуть стати одними із патогенетичних факторів формування функціональної спровокованості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[126, 514].</w:t>
      </w:r>
    </w:p>
    <w:p w14:paraId="6A99917C" w14:textId="77777777" w:rsidR="00180D3E" w:rsidRPr="00520861" w:rsidRDefault="00180D3E" w:rsidP="00292D2E">
      <w:pPr>
        <w:widowControl w:val="0"/>
        <w:spacing w:line="360" w:lineRule="auto"/>
        <w:ind w:firstLine="568"/>
        <w:jc w:val="both"/>
        <w:rPr>
          <w:rFonts w:eastAsia="Calibri"/>
          <w:sz w:val="28"/>
          <w:szCs w:val="28"/>
          <w:lang w:eastAsia="en-US"/>
        </w:rPr>
      </w:pPr>
      <w:r w:rsidRPr="00520861">
        <w:rPr>
          <w:rFonts w:eastAsia="Calibri"/>
          <w:sz w:val="28"/>
          <w:szCs w:val="28"/>
          <w:lang w:eastAsia="en-US"/>
        </w:rPr>
        <w:t xml:space="preserve">Причини, пов’язані із формуванням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 а саме незбалансоване </w:t>
      </w:r>
      <w:r w:rsidRPr="00520861">
        <w:rPr>
          <w:rFonts w:eastAsia="Calibri"/>
          <w:sz w:val="28"/>
          <w:szCs w:val="28"/>
          <w:lang w:eastAsia="en-US"/>
        </w:rPr>
        <w:br/>
        <w:t>харчування [122] або гіпокінетичні умови утримання вагітних самиць призводять до порушення морфогенезу зачатків зубів [7]. Тому знайдені нами в цьому дослідженні у тварин-</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різних груп ознаки різного ступеня диференціювання зубних зачатків перших молярів та факти порушення морфогенезу зачатків цих зубів можуть допомогти з’ясувати причини виявлених даних щодо порушень термінів прорізування тимчасових зубів у дітей,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Також відомо, що порушення процесів формування </w:t>
      </w:r>
      <w:proofErr w:type="spellStart"/>
      <w:r w:rsidRPr="00520861">
        <w:rPr>
          <w:rFonts w:eastAsia="Calibri"/>
          <w:sz w:val="28"/>
          <w:szCs w:val="28"/>
          <w:lang w:eastAsia="en-US"/>
        </w:rPr>
        <w:t>звапнення</w:t>
      </w:r>
      <w:proofErr w:type="spellEnd"/>
      <w:r w:rsidRPr="00520861">
        <w:rPr>
          <w:rFonts w:eastAsia="Calibri"/>
          <w:sz w:val="28"/>
          <w:szCs w:val="28"/>
          <w:lang w:eastAsia="en-US"/>
        </w:rPr>
        <w:t xml:space="preserve"> твердих тканин зубів є однією з важливих передумов для виникнення високої інтенсивності карієсу зубів [410].</w:t>
      </w:r>
    </w:p>
    <w:p w14:paraId="206F306B" w14:textId="77777777" w:rsidR="00180D3E" w:rsidRPr="00520861" w:rsidRDefault="00180D3E" w:rsidP="00292D2E">
      <w:pPr>
        <w:widowControl w:val="0"/>
        <w:spacing w:line="360" w:lineRule="auto"/>
        <w:ind w:firstLine="567"/>
        <w:contextualSpacing/>
        <w:jc w:val="both"/>
        <w:rPr>
          <w:rFonts w:eastAsia="Calibri"/>
          <w:sz w:val="28"/>
          <w:szCs w:val="28"/>
          <w:lang w:eastAsia="en-US"/>
        </w:rPr>
      </w:pPr>
      <w:r w:rsidRPr="00520861">
        <w:rPr>
          <w:rFonts w:eastAsia="Calibri"/>
          <w:sz w:val="28"/>
          <w:szCs w:val="28"/>
          <w:lang w:eastAsia="en-US"/>
        </w:rPr>
        <w:t xml:space="preserve">У нормі в щурів різці прорізуються на 8 – 10 добу життя [222]. У 12-денних щурів групи 2 спостерігалася затримка прорізування різців. Згідно з даними </w:t>
      </w:r>
      <w:r w:rsidRPr="00520861">
        <w:rPr>
          <w:rFonts w:eastAsia="Calibri"/>
          <w:sz w:val="28"/>
          <w:szCs w:val="28"/>
          <w:lang w:eastAsia="en-US"/>
        </w:rPr>
        <w:br/>
        <w:t xml:space="preserve">Губіної-Вакулик Г. І. [84], у таких тварин через велику кількість </w:t>
      </w:r>
      <w:proofErr w:type="spellStart"/>
      <w:r w:rsidRPr="00520861">
        <w:rPr>
          <w:rFonts w:eastAsia="Calibri"/>
          <w:sz w:val="28"/>
          <w:szCs w:val="28"/>
          <w:lang w:eastAsia="en-US"/>
        </w:rPr>
        <w:t>соматотропоцитів</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аденогіпофізу</w:t>
      </w:r>
      <w:proofErr w:type="spellEnd"/>
      <w:r w:rsidRPr="00520861">
        <w:rPr>
          <w:rFonts w:eastAsia="Calibri"/>
          <w:sz w:val="28"/>
          <w:szCs w:val="28"/>
          <w:lang w:eastAsia="en-US"/>
        </w:rPr>
        <w:t xml:space="preserve"> та підвищену їх активність спостерігається стимуляція ростових процесів і паралельно із ВУ ростом тіла варто очікувати прискорення ґенезу зачатків зубів, а також передчасне прорізування зубів. На користь цього свідчить виявлений нами для тварин цієї групи у віці однієї доби найтовстіший серед усіх інших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шар емалі й дентину. Проте на 12 добу життя у тварин цієї групи спостерігалася затримка прорізування різців. Аналізуючи результати, які виявилися протилежними очікуваним, можна припустити, що пік </w:t>
      </w:r>
      <w:proofErr w:type="spellStart"/>
      <w:r w:rsidRPr="00520861">
        <w:rPr>
          <w:rFonts w:eastAsia="Calibri"/>
          <w:sz w:val="28"/>
          <w:szCs w:val="28"/>
          <w:lang w:eastAsia="en-US"/>
        </w:rPr>
        <w:t>гіперсоматотропінемії</w:t>
      </w:r>
      <w:proofErr w:type="spellEnd"/>
      <w:r w:rsidRPr="00520861">
        <w:rPr>
          <w:rFonts w:eastAsia="Calibri"/>
          <w:sz w:val="28"/>
          <w:szCs w:val="28"/>
          <w:lang w:eastAsia="en-US"/>
        </w:rPr>
        <w:t xml:space="preserve"> припадає на ВУ період розвитку, а на момент прорізування зубів така реакція відсутня. </w:t>
      </w:r>
    </w:p>
    <w:p w14:paraId="64A141B3" w14:textId="77777777" w:rsidR="00180D3E" w:rsidRPr="00520861" w:rsidRDefault="00180D3E" w:rsidP="00292D2E">
      <w:pPr>
        <w:widowControl w:val="0"/>
        <w:spacing w:line="360" w:lineRule="auto"/>
        <w:ind w:firstLine="567"/>
        <w:contextualSpacing/>
        <w:jc w:val="both"/>
        <w:rPr>
          <w:rFonts w:eastAsia="Calibri"/>
          <w:sz w:val="28"/>
          <w:szCs w:val="28"/>
          <w:lang w:eastAsia="en-US"/>
        </w:rPr>
      </w:pPr>
      <w:r w:rsidRPr="00520861">
        <w:rPr>
          <w:rFonts w:eastAsia="Calibri"/>
          <w:sz w:val="28"/>
          <w:szCs w:val="28"/>
          <w:lang w:eastAsia="en-US"/>
        </w:rPr>
        <w:t xml:space="preserve">Відомо, що в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ВУ стимуляцією ростових процесів та відносною недостатністю маси тіла спостерігається </w:t>
      </w:r>
      <w:proofErr w:type="spellStart"/>
      <w:r w:rsidRPr="00520861">
        <w:rPr>
          <w:rFonts w:eastAsia="Calibri"/>
          <w:sz w:val="28"/>
          <w:szCs w:val="28"/>
          <w:lang w:eastAsia="en-US"/>
        </w:rPr>
        <w:t>гіперпродукція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тиреоїдного</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гормона</w:t>
      </w:r>
      <w:proofErr w:type="spellEnd"/>
      <w:r w:rsidRPr="00520861">
        <w:rPr>
          <w:rFonts w:eastAsia="Calibri"/>
          <w:sz w:val="28"/>
          <w:szCs w:val="28"/>
          <w:lang w:eastAsia="en-US"/>
        </w:rPr>
        <w:t xml:space="preserve"> [82]. Також відомо, що </w:t>
      </w:r>
      <w:proofErr w:type="spellStart"/>
      <w:r w:rsidRPr="00520861">
        <w:rPr>
          <w:rFonts w:eastAsia="Calibri"/>
          <w:sz w:val="28"/>
          <w:szCs w:val="28"/>
          <w:lang w:eastAsia="en-US"/>
        </w:rPr>
        <w:t>гіпертиреоїдизм</w:t>
      </w:r>
      <w:proofErr w:type="spellEnd"/>
      <w:r w:rsidRPr="00520861">
        <w:rPr>
          <w:rFonts w:eastAsia="Calibri"/>
          <w:sz w:val="28"/>
          <w:szCs w:val="28"/>
          <w:lang w:eastAsia="en-US"/>
        </w:rPr>
        <w:t xml:space="preserve"> може зсунути темпи росту та терміни прорізування зубів у бік передчасного прорізування [472].</w:t>
      </w:r>
    </w:p>
    <w:p w14:paraId="19625F26" w14:textId="77777777" w:rsidR="00180D3E" w:rsidRPr="00520861" w:rsidRDefault="00180D3E" w:rsidP="00292D2E">
      <w:pPr>
        <w:widowControl w:val="0"/>
        <w:spacing w:line="360" w:lineRule="auto"/>
        <w:ind w:firstLine="567"/>
        <w:contextualSpacing/>
        <w:jc w:val="both"/>
        <w:rPr>
          <w:rFonts w:eastAsia="Calibri"/>
          <w:sz w:val="28"/>
          <w:szCs w:val="28"/>
          <w:lang w:eastAsia="en-US"/>
        </w:rPr>
      </w:pPr>
      <w:r w:rsidRPr="00520861">
        <w:rPr>
          <w:rFonts w:eastAsia="Calibri"/>
          <w:sz w:val="28"/>
          <w:szCs w:val="28"/>
          <w:lang w:eastAsia="en-US"/>
        </w:rPr>
        <w:t xml:space="preserve">Проте існують відомості, що за умови експериментального гіпертиреозу </w:t>
      </w:r>
      <w:r w:rsidRPr="00520861">
        <w:rPr>
          <w:rFonts w:eastAsia="Calibri"/>
          <w:sz w:val="28"/>
          <w:szCs w:val="28"/>
          <w:lang w:eastAsia="en-US"/>
        </w:rPr>
        <w:br/>
        <w:t xml:space="preserve">прискорений розвиток зубів у щурів має місце лише на початковому етапі, далі спостерігається пригнічення розвитку зубів [149]. Досліджуючи вплив нормальних або </w:t>
      </w:r>
      <w:r w:rsidRPr="00520861">
        <w:rPr>
          <w:rFonts w:eastAsia="Calibri"/>
          <w:sz w:val="28"/>
          <w:szCs w:val="28"/>
          <w:lang w:eastAsia="en-US"/>
        </w:rPr>
        <w:lastRenderedPageBreak/>
        <w:t xml:space="preserve">субклінічних значень рівня </w:t>
      </w:r>
      <w:proofErr w:type="spellStart"/>
      <w:r w:rsidRPr="00520861">
        <w:rPr>
          <w:rFonts w:eastAsia="Calibri"/>
          <w:sz w:val="28"/>
          <w:szCs w:val="28"/>
          <w:lang w:eastAsia="en-US"/>
        </w:rPr>
        <w:t>тиреоїдних</w:t>
      </w:r>
      <w:proofErr w:type="spellEnd"/>
      <w:r w:rsidRPr="00520861">
        <w:rPr>
          <w:rFonts w:eastAsia="Calibri"/>
          <w:sz w:val="28"/>
          <w:szCs w:val="28"/>
          <w:lang w:eastAsia="en-US"/>
        </w:rPr>
        <w:t xml:space="preserve"> гормонів на формування ЗЩС у ранньому дитинстві, науковці [554] дійшли висновку, що існує зворотна асоціація між </w:t>
      </w:r>
      <w:proofErr w:type="spellStart"/>
      <w:r w:rsidRPr="00520861">
        <w:rPr>
          <w:rFonts w:eastAsia="Calibri"/>
          <w:sz w:val="28"/>
          <w:szCs w:val="28"/>
          <w:lang w:eastAsia="en-US"/>
        </w:rPr>
        <w:t>кон-центрацією</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тиреотропного</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гормона</w:t>
      </w:r>
      <w:proofErr w:type="spellEnd"/>
      <w:r w:rsidRPr="00520861">
        <w:rPr>
          <w:rFonts w:eastAsia="Calibri"/>
          <w:sz w:val="28"/>
          <w:szCs w:val="28"/>
          <w:lang w:eastAsia="en-US"/>
        </w:rPr>
        <w:t xml:space="preserve"> в пуповинній крові, а також у крові 6-річних дітей із рівнем розвитку ЗЩС. Це може бути поясненням пізнього прорізування зубів у тварин групи 2. Імовірно, на затримку прорізування різців у тварин,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вплинули й інші фактори, адже необхідною умовою фізіологічного розвитку СГС є певний баланс між гормонами </w:t>
      </w:r>
      <w:proofErr w:type="spellStart"/>
      <w:r w:rsidRPr="00520861">
        <w:rPr>
          <w:rFonts w:eastAsia="Calibri"/>
          <w:sz w:val="28"/>
          <w:szCs w:val="28"/>
          <w:lang w:eastAsia="en-US"/>
        </w:rPr>
        <w:t>анаболічної</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катаболічної</w:t>
      </w:r>
      <w:proofErr w:type="spellEnd"/>
      <w:r w:rsidRPr="00520861">
        <w:rPr>
          <w:rFonts w:eastAsia="Calibri"/>
          <w:sz w:val="28"/>
          <w:szCs w:val="28"/>
          <w:lang w:eastAsia="en-US"/>
        </w:rPr>
        <w:t xml:space="preserve"> дії [79].</w:t>
      </w:r>
    </w:p>
    <w:p w14:paraId="6DE8F697"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Відомо, що в щурів до віку 6 тижнів має повністю сформуватися система молярів і різців [167]. У віці 19 діб відбувається прорізування першого моляра, у 21 добу – другого, а в 35 – 40 діб починається прорізування третього моляра [167]. </w:t>
      </w:r>
    </w:p>
    <w:p w14:paraId="1D48EB21" w14:textId="77777777" w:rsidR="00180D3E" w:rsidRPr="00520861" w:rsidRDefault="00180D3E" w:rsidP="00292D2E">
      <w:pPr>
        <w:widowControl w:val="0"/>
        <w:spacing w:line="360" w:lineRule="auto"/>
        <w:ind w:firstLine="426"/>
        <w:contextualSpacing/>
        <w:jc w:val="both"/>
        <w:rPr>
          <w:rFonts w:eastAsia="Calibri"/>
          <w:sz w:val="28"/>
          <w:szCs w:val="28"/>
          <w:lang w:eastAsia="en-US"/>
        </w:rPr>
      </w:pPr>
      <w:r w:rsidRPr="00520861">
        <w:rPr>
          <w:rFonts w:eastAsia="Calibri"/>
          <w:sz w:val="28"/>
          <w:szCs w:val="28"/>
          <w:lang w:eastAsia="en-US"/>
        </w:rPr>
        <w:t>У нашому дослідженні в 40-денних щурів основних груп не виявлено ознак затримки прорізування молярів, проте спостерігається тенденція до зменшення їх висоти у тварин груп 3 та 4.</w:t>
      </w:r>
    </w:p>
    <w:p w14:paraId="1171169A" w14:textId="77777777" w:rsidR="00180D3E" w:rsidRPr="00520861" w:rsidRDefault="00180D3E" w:rsidP="00292D2E">
      <w:pPr>
        <w:widowControl w:val="0"/>
        <w:spacing w:line="360" w:lineRule="auto"/>
        <w:ind w:firstLine="426"/>
        <w:contextualSpacing/>
        <w:jc w:val="both"/>
        <w:rPr>
          <w:rFonts w:eastAsia="Calibri"/>
          <w:sz w:val="28"/>
          <w:szCs w:val="28"/>
          <w:lang w:eastAsia="en-US"/>
        </w:rPr>
      </w:pPr>
      <w:r w:rsidRPr="00520861">
        <w:rPr>
          <w:rFonts w:eastAsia="Calibri"/>
          <w:sz w:val="28"/>
          <w:szCs w:val="28"/>
          <w:lang w:eastAsia="en-US"/>
        </w:rPr>
        <w:t>Дослідники харківської медичної школи дійшли висновку, що в плодів-</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з ознаками ВУ ожиріння спостерігається гіпотиреоз [216]. Впливом ВУ гіпотиреозу [405], можливо, і субклінічного можуть бути пояснені зменшені медіанні значення коронок молярів у тварин. Безумовно, про пряме перенесення отриманих відомостей на людський організм мова не йде, однак певні паралелі між розвитком людського організму й організму тварини все ж таки існують [496].</w:t>
      </w:r>
    </w:p>
    <w:p w14:paraId="3A7CBB9B"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Уже у віці 40 діб у щурів ОГ спостерігалася </w:t>
      </w:r>
      <w:proofErr w:type="spellStart"/>
      <w:r w:rsidRPr="00520861">
        <w:rPr>
          <w:rFonts w:eastAsia="Calibri"/>
          <w:sz w:val="28"/>
          <w:szCs w:val="28"/>
          <w:lang w:eastAsia="en-US"/>
        </w:rPr>
        <w:t>демінералізація</w:t>
      </w:r>
      <w:proofErr w:type="spellEnd"/>
      <w:r w:rsidRPr="00520861">
        <w:rPr>
          <w:rFonts w:eastAsia="Calibri"/>
          <w:sz w:val="28"/>
          <w:szCs w:val="28"/>
          <w:lang w:eastAsia="en-US"/>
        </w:rPr>
        <w:t xml:space="preserve"> емалі жувальної групи зубів, у тварин груп 3 та 4 зафіксовані каріозні порожнини. Оскільки після народження щури перебували в однакових умовах утримання, можна зробити висновок, що саме пренатальний період суттєво впливає на рівень </w:t>
      </w:r>
      <w:proofErr w:type="spellStart"/>
      <w:r w:rsidRPr="00520861">
        <w:rPr>
          <w:rFonts w:eastAsia="Calibri"/>
          <w:sz w:val="28"/>
          <w:szCs w:val="28"/>
          <w:lang w:eastAsia="en-US"/>
        </w:rPr>
        <w:t>карієсрезистентності</w:t>
      </w:r>
      <w:proofErr w:type="spellEnd"/>
      <w:r w:rsidRPr="00520861">
        <w:rPr>
          <w:rFonts w:eastAsia="Calibri"/>
          <w:sz w:val="28"/>
          <w:szCs w:val="28"/>
          <w:lang w:eastAsia="en-US"/>
        </w:rPr>
        <w:t xml:space="preserve"> зубів, що узгоджується з результатами, отриманими іншими науковцями [228].</w:t>
      </w:r>
    </w:p>
    <w:p w14:paraId="5E3602D9" w14:textId="77777777" w:rsidR="00180D3E" w:rsidRPr="00520861" w:rsidRDefault="00180D3E" w:rsidP="00292D2E">
      <w:pPr>
        <w:widowControl w:val="0"/>
        <w:spacing w:line="360" w:lineRule="auto"/>
        <w:ind w:firstLine="568"/>
        <w:contextualSpacing/>
        <w:jc w:val="both"/>
        <w:rPr>
          <w:rFonts w:eastAsia="Calibri"/>
          <w:b/>
          <w:sz w:val="28"/>
          <w:szCs w:val="28"/>
          <w:lang w:eastAsia="en-US"/>
        </w:rPr>
      </w:pPr>
      <w:r w:rsidRPr="00520861">
        <w:rPr>
          <w:rFonts w:eastAsia="Calibri"/>
          <w:spacing w:val="-4"/>
          <w:sz w:val="28"/>
          <w:szCs w:val="28"/>
          <w:lang w:eastAsia="en-US"/>
        </w:rPr>
        <w:t>Доведено, що народження з великою масою тіла призводить до формування неоднозначних змін капілярної мережі СОПР при досягненні твариною віку 90 діб.</w:t>
      </w:r>
      <w:r w:rsidRPr="00520861">
        <w:rPr>
          <w:rFonts w:eastAsia="Calibri"/>
          <w:b/>
          <w:spacing w:val="-4"/>
          <w:sz w:val="28"/>
          <w:szCs w:val="28"/>
          <w:lang w:eastAsia="en-US"/>
        </w:rPr>
        <w:t xml:space="preserve"> </w:t>
      </w:r>
      <w:r w:rsidRPr="00520861">
        <w:rPr>
          <w:rFonts w:eastAsia="Calibri"/>
          <w:spacing w:val="-4"/>
          <w:sz w:val="28"/>
          <w:szCs w:val="28"/>
          <w:lang w:eastAsia="en-US"/>
        </w:rPr>
        <w:t xml:space="preserve">Тварини груп 3 та 4 мають дефіцит </w:t>
      </w:r>
      <w:proofErr w:type="spellStart"/>
      <w:r w:rsidRPr="00520861">
        <w:rPr>
          <w:rFonts w:eastAsia="Calibri"/>
          <w:spacing w:val="-4"/>
          <w:sz w:val="28"/>
          <w:szCs w:val="28"/>
          <w:lang w:eastAsia="en-US"/>
        </w:rPr>
        <w:t>фактора</w:t>
      </w:r>
      <w:proofErr w:type="spellEnd"/>
      <w:r w:rsidRPr="00520861">
        <w:rPr>
          <w:rFonts w:eastAsia="Calibri"/>
          <w:spacing w:val="-4"/>
          <w:sz w:val="28"/>
          <w:szCs w:val="28"/>
          <w:lang w:eastAsia="en-US"/>
        </w:rPr>
        <w:t xml:space="preserve"> фон </w:t>
      </w:r>
      <w:proofErr w:type="spellStart"/>
      <w:r w:rsidRPr="00520861">
        <w:rPr>
          <w:rFonts w:eastAsia="Calibri"/>
          <w:spacing w:val="-4"/>
          <w:sz w:val="28"/>
          <w:szCs w:val="28"/>
          <w:lang w:eastAsia="en-US"/>
        </w:rPr>
        <w:t>Віллебранда</w:t>
      </w:r>
      <w:proofErr w:type="spellEnd"/>
      <w:r w:rsidRPr="00520861">
        <w:rPr>
          <w:rFonts w:eastAsia="Calibri"/>
          <w:spacing w:val="-4"/>
          <w:sz w:val="28"/>
          <w:szCs w:val="28"/>
          <w:lang w:eastAsia="en-US"/>
        </w:rPr>
        <w:t xml:space="preserve"> в ендотелії слизової оболонки ясен та </w:t>
      </w:r>
      <w:proofErr w:type="spellStart"/>
      <w:r w:rsidRPr="00520861">
        <w:rPr>
          <w:rFonts w:eastAsia="Calibri"/>
          <w:spacing w:val="-4"/>
          <w:sz w:val="28"/>
          <w:szCs w:val="28"/>
          <w:lang w:eastAsia="en-US"/>
        </w:rPr>
        <w:t>гіпопластичне</w:t>
      </w:r>
      <w:proofErr w:type="spellEnd"/>
      <w:r w:rsidRPr="00520861">
        <w:rPr>
          <w:rFonts w:eastAsia="Calibri"/>
          <w:spacing w:val="-4"/>
          <w:sz w:val="28"/>
          <w:szCs w:val="28"/>
          <w:lang w:eastAsia="en-US"/>
        </w:rPr>
        <w:t xml:space="preserve"> МЦР. Тварини групи 1 також мають дефіцит </w:t>
      </w:r>
      <w:proofErr w:type="spellStart"/>
      <w:r w:rsidRPr="00520861">
        <w:rPr>
          <w:rFonts w:eastAsia="Calibri"/>
          <w:spacing w:val="-4"/>
          <w:sz w:val="28"/>
          <w:szCs w:val="28"/>
          <w:lang w:eastAsia="en-US"/>
        </w:rPr>
        <w:t>фактора</w:t>
      </w:r>
      <w:proofErr w:type="spellEnd"/>
      <w:r w:rsidRPr="00520861">
        <w:rPr>
          <w:rFonts w:eastAsia="Calibri"/>
          <w:spacing w:val="-4"/>
          <w:sz w:val="28"/>
          <w:szCs w:val="28"/>
          <w:lang w:eastAsia="en-US"/>
        </w:rPr>
        <w:t xml:space="preserve"> фон </w:t>
      </w:r>
      <w:proofErr w:type="spellStart"/>
      <w:r w:rsidRPr="00520861">
        <w:rPr>
          <w:rFonts w:eastAsia="Calibri"/>
          <w:spacing w:val="-4"/>
          <w:sz w:val="28"/>
          <w:szCs w:val="28"/>
          <w:lang w:eastAsia="en-US"/>
        </w:rPr>
        <w:t>Віллебранда</w:t>
      </w:r>
      <w:proofErr w:type="spellEnd"/>
      <w:r w:rsidRPr="00520861">
        <w:rPr>
          <w:rFonts w:eastAsia="Calibri"/>
          <w:spacing w:val="-4"/>
          <w:sz w:val="28"/>
          <w:szCs w:val="28"/>
          <w:lang w:eastAsia="en-US"/>
        </w:rPr>
        <w:t xml:space="preserve"> в ендотелії, у них спостерігається наявність парієтальних тромбів</w:t>
      </w:r>
      <w:r w:rsidRPr="00520861">
        <w:rPr>
          <w:rFonts w:eastAsia="Calibri"/>
          <w:sz w:val="28"/>
          <w:szCs w:val="28"/>
          <w:lang w:eastAsia="en-US"/>
        </w:rPr>
        <w:t xml:space="preserve">. </w:t>
      </w:r>
    </w:p>
    <w:p w14:paraId="59181AFE"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Утім при екстраполяції одержаних відомостей на людський організм не варто </w:t>
      </w:r>
      <w:r w:rsidRPr="00520861">
        <w:rPr>
          <w:rFonts w:eastAsia="Calibri"/>
          <w:sz w:val="28"/>
          <w:szCs w:val="28"/>
          <w:lang w:eastAsia="en-US"/>
        </w:rPr>
        <w:lastRenderedPageBreak/>
        <w:t xml:space="preserve">прогнозувати більшу схильність до кровоточивості ясен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Згідно з відомостями, викладеними в роботі </w:t>
      </w:r>
      <w:proofErr w:type="spellStart"/>
      <w:r w:rsidRPr="00520861">
        <w:rPr>
          <w:rFonts w:eastAsia="Calibri"/>
          <w:sz w:val="28"/>
          <w:szCs w:val="28"/>
          <w:lang w:eastAsia="en-US"/>
        </w:rPr>
        <w:t>Vanduine</w:t>
      </w:r>
      <w:proofErr w:type="spellEnd"/>
      <w:r w:rsidRPr="00520861">
        <w:rPr>
          <w:rFonts w:eastAsia="Calibri"/>
          <w:sz w:val="28"/>
          <w:szCs w:val="28"/>
          <w:lang w:eastAsia="en-US"/>
        </w:rPr>
        <w:t xml:space="preserve"> S. та співавторів [548], погана гігієна РП може бути більш вагомим фактором при виникненні кровоточивості ясен, ніж низькі рівні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фон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Дані, опубліковані </w:t>
      </w:r>
      <w:proofErr w:type="spellStart"/>
      <w:r w:rsidRPr="00520861">
        <w:rPr>
          <w:rFonts w:eastAsia="Calibri"/>
          <w:sz w:val="28"/>
          <w:szCs w:val="28"/>
          <w:lang w:eastAsia="en-US"/>
        </w:rPr>
        <w:t>Weickert</w:t>
      </w:r>
      <w:proofErr w:type="spellEnd"/>
      <w:r w:rsidRPr="00520861">
        <w:rPr>
          <w:rFonts w:eastAsia="Calibri"/>
          <w:sz w:val="28"/>
          <w:szCs w:val="28"/>
          <w:lang w:eastAsia="en-US"/>
        </w:rPr>
        <w:t xml:space="preserve"> I. зі співавторами [562] та </w:t>
      </w:r>
      <w:proofErr w:type="spellStart"/>
      <w:r w:rsidRPr="00520861">
        <w:rPr>
          <w:rFonts w:eastAsia="Calibri"/>
          <w:sz w:val="28"/>
          <w:szCs w:val="28"/>
          <w:lang w:eastAsia="en-US"/>
        </w:rPr>
        <w:t>Epping</w:t>
      </w:r>
      <w:proofErr w:type="spellEnd"/>
      <w:r w:rsidRPr="00520861">
        <w:rPr>
          <w:rFonts w:eastAsia="Calibri"/>
          <w:sz w:val="28"/>
          <w:szCs w:val="28"/>
          <w:lang w:eastAsia="en-US"/>
        </w:rPr>
        <w:t xml:space="preserve"> L. зі співавторами [297], свідчать, що особи, які мали захворювання </w:t>
      </w:r>
      <w:proofErr w:type="spellStart"/>
      <w:r w:rsidRPr="00520861">
        <w:rPr>
          <w:rFonts w:eastAsia="Calibri"/>
          <w:sz w:val="28"/>
          <w:szCs w:val="28"/>
          <w:lang w:eastAsia="en-US"/>
        </w:rPr>
        <w:t>Віллебранда</w:t>
      </w:r>
      <w:proofErr w:type="spellEnd"/>
      <w:r w:rsidRPr="00520861">
        <w:rPr>
          <w:rFonts w:eastAsia="Calibri"/>
          <w:sz w:val="28"/>
          <w:szCs w:val="28"/>
          <w:lang w:eastAsia="en-US"/>
        </w:rPr>
        <w:t xml:space="preserve">, інколи мають зіставні або навіть нижчі показники кровоточивості ясен, ніж особи, які цього захворювання не мають. </w:t>
      </w:r>
    </w:p>
    <w:p w14:paraId="0CD06C27" w14:textId="77777777" w:rsidR="00180D3E" w:rsidRPr="00520861" w:rsidRDefault="00180D3E" w:rsidP="00292D2E">
      <w:pPr>
        <w:widowControl w:val="0"/>
        <w:spacing w:line="360" w:lineRule="auto"/>
        <w:ind w:firstLine="567"/>
        <w:jc w:val="both"/>
        <w:rPr>
          <w:rFonts w:eastAsia="Calibri"/>
          <w:sz w:val="28"/>
          <w:szCs w:val="28"/>
          <w:lang w:eastAsia="en-US"/>
        </w:rPr>
      </w:pPr>
      <w:r w:rsidRPr="00520861">
        <w:rPr>
          <w:rFonts w:eastAsia="Calibri"/>
          <w:sz w:val="28"/>
          <w:szCs w:val="28"/>
          <w:lang w:eastAsia="en-US"/>
        </w:rPr>
        <w:t>Зауважимо, що візуалізація МФ стану МЦР (</w:t>
      </w:r>
      <w:proofErr w:type="spellStart"/>
      <w:r w:rsidRPr="00520861">
        <w:rPr>
          <w:rFonts w:eastAsia="Calibri"/>
          <w:sz w:val="28"/>
          <w:szCs w:val="28"/>
          <w:lang w:eastAsia="en-US"/>
        </w:rPr>
        <w:t>гіпопластичного</w:t>
      </w:r>
      <w:proofErr w:type="spellEnd"/>
      <w:r w:rsidRPr="00520861">
        <w:rPr>
          <w:rFonts w:eastAsia="Calibri"/>
          <w:sz w:val="28"/>
          <w:szCs w:val="28"/>
          <w:lang w:eastAsia="en-US"/>
        </w:rPr>
        <w:t xml:space="preserve"> або добре розвиненого, проте зі схильністю до тромбоутворення) з прив’язкою до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на момент народження особини-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зроблена нами на цьому етапі дослідження, має </w:t>
      </w:r>
      <w:r w:rsidRPr="00520861">
        <w:rPr>
          <w:rFonts w:eastAsia="Calibri"/>
          <w:sz w:val="28"/>
          <w:szCs w:val="28"/>
          <w:lang w:eastAsia="en-US"/>
        </w:rPr>
        <w:br/>
        <w:t xml:space="preserve">самостійну цінність при прогнозуванні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онтогенезі.</w:t>
      </w:r>
    </w:p>
    <w:p w14:paraId="32D1BA88"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всіх щурів основних груп на момент досягнення ними віку статевої зрілості (3 місяці) спостерігали МФ зміни привушних слинних залоз. </w:t>
      </w:r>
      <w:r w:rsidRPr="00520861">
        <w:rPr>
          <w:rFonts w:eastAsia="Calibri"/>
          <w:bCs/>
          <w:sz w:val="28"/>
          <w:szCs w:val="28"/>
        </w:rPr>
        <w:t xml:space="preserve">Розділення за </w:t>
      </w:r>
      <w:proofErr w:type="spellStart"/>
      <w:r w:rsidRPr="00520861">
        <w:rPr>
          <w:rFonts w:eastAsia="Calibri"/>
          <w:bCs/>
          <w:sz w:val="28"/>
          <w:szCs w:val="28"/>
        </w:rPr>
        <w:t>ІМТт</w:t>
      </w:r>
      <w:proofErr w:type="spellEnd"/>
      <w:r w:rsidRPr="00520861">
        <w:rPr>
          <w:rFonts w:eastAsia="Calibri"/>
          <w:bCs/>
          <w:sz w:val="28"/>
          <w:szCs w:val="28"/>
        </w:rPr>
        <w:t xml:space="preserve"> при народженні виявило, що у тварин із групи 1 порушення слинних залоз практично не спостерігаються або вони були наявні меншою мірою.</w:t>
      </w:r>
      <w:r w:rsidRPr="00520861">
        <w:rPr>
          <w:rFonts w:eastAsia="Calibri"/>
          <w:sz w:val="28"/>
          <w:szCs w:val="28"/>
          <w:lang w:eastAsia="en-US"/>
        </w:rPr>
        <w:t xml:space="preserve"> У цій групі, на тлі відсутності гіпертрофії привушної слинної залози, відбувається гіперплазія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МФ стан яких </w:t>
      </w:r>
      <w:r w:rsidRPr="00520861">
        <w:rPr>
          <w:rFonts w:eastAsia="Calibri"/>
          <w:sz w:val="28"/>
          <w:szCs w:val="28"/>
        </w:rPr>
        <w:t xml:space="preserve">не відрізнявся від такого в контрольних тварин. У тварин групи 2 </w:t>
      </w:r>
      <w:r w:rsidRPr="00520861">
        <w:rPr>
          <w:rFonts w:eastAsia="Calibri"/>
          <w:sz w:val="28"/>
          <w:szCs w:val="28"/>
        </w:rPr>
        <w:br/>
        <w:t xml:space="preserve">формуються привушні слинні залози із гіпоплазією </w:t>
      </w:r>
      <w:proofErr w:type="spellStart"/>
      <w:r w:rsidRPr="00520861">
        <w:rPr>
          <w:rFonts w:eastAsia="Calibri"/>
          <w:sz w:val="28"/>
          <w:szCs w:val="28"/>
        </w:rPr>
        <w:t>сероцитів</w:t>
      </w:r>
      <w:proofErr w:type="spellEnd"/>
      <w:r w:rsidRPr="00520861">
        <w:rPr>
          <w:rFonts w:eastAsia="Calibri"/>
          <w:sz w:val="28"/>
          <w:szCs w:val="28"/>
        </w:rPr>
        <w:t xml:space="preserve">, які </w:t>
      </w:r>
      <w:r w:rsidRPr="00520861">
        <w:rPr>
          <w:rFonts w:eastAsia="Calibri"/>
          <w:sz w:val="28"/>
          <w:szCs w:val="28"/>
          <w:lang w:eastAsia="en-US"/>
        </w:rPr>
        <w:t>МФ</w:t>
      </w:r>
      <w:r w:rsidRPr="00520861">
        <w:rPr>
          <w:rFonts w:eastAsia="Calibri"/>
          <w:sz w:val="28"/>
          <w:szCs w:val="28"/>
        </w:rPr>
        <w:t xml:space="preserve"> більш активні, з ознаками </w:t>
      </w:r>
      <w:proofErr w:type="spellStart"/>
      <w:r w:rsidRPr="00520861">
        <w:rPr>
          <w:rFonts w:eastAsia="Calibri"/>
          <w:sz w:val="28"/>
          <w:szCs w:val="28"/>
        </w:rPr>
        <w:t>гіперпродукції</w:t>
      </w:r>
      <w:proofErr w:type="spellEnd"/>
      <w:r w:rsidRPr="00520861">
        <w:rPr>
          <w:rFonts w:eastAsia="Calibri"/>
          <w:sz w:val="28"/>
          <w:szCs w:val="28"/>
        </w:rPr>
        <w:t xml:space="preserve"> білків і </w:t>
      </w:r>
      <w:proofErr w:type="spellStart"/>
      <w:r w:rsidRPr="00520861">
        <w:rPr>
          <w:rFonts w:eastAsia="Calibri"/>
          <w:sz w:val="28"/>
          <w:szCs w:val="28"/>
        </w:rPr>
        <w:t>гіпопродукції</w:t>
      </w:r>
      <w:proofErr w:type="spellEnd"/>
      <w:r w:rsidRPr="00520861">
        <w:rPr>
          <w:rFonts w:eastAsia="Calibri"/>
          <w:sz w:val="28"/>
          <w:szCs w:val="28"/>
        </w:rPr>
        <w:t xml:space="preserve"> </w:t>
      </w:r>
      <w:proofErr w:type="spellStart"/>
      <w:r w:rsidRPr="00520861">
        <w:rPr>
          <w:rFonts w:eastAsia="Calibri"/>
          <w:sz w:val="28"/>
          <w:szCs w:val="28"/>
        </w:rPr>
        <w:t>глікопротеїдів</w:t>
      </w:r>
      <w:proofErr w:type="spellEnd"/>
      <w:r w:rsidRPr="00520861">
        <w:rPr>
          <w:rFonts w:eastAsia="Calibri"/>
          <w:sz w:val="28"/>
          <w:szCs w:val="28"/>
        </w:rPr>
        <w:t xml:space="preserve">. </w:t>
      </w:r>
      <w:r w:rsidRPr="00520861">
        <w:rPr>
          <w:rFonts w:eastAsia="Calibri"/>
          <w:bCs/>
          <w:sz w:val="28"/>
          <w:szCs w:val="28"/>
        </w:rPr>
        <w:t xml:space="preserve">Ми дійшли висновку, що ці тварини мають рідшу консистенцію слини через менший уміст </w:t>
      </w:r>
      <w:proofErr w:type="spellStart"/>
      <w:r w:rsidRPr="00520861">
        <w:rPr>
          <w:rFonts w:eastAsia="Calibri"/>
          <w:bCs/>
          <w:sz w:val="28"/>
          <w:szCs w:val="28"/>
        </w:rPr>
        <w:t>глікопротеїдів</w:t>
      </w:r>
      <w:proofErr w:type="spellEnd"/>
      <w:r w:rsidRPr="00520861">
        <w:rPr>
          <w:rFonts w:eastAsia="Calibri"/>
          <w:bCs/>
          <w:sz w:val="28"/>
          <w:szCs w:val="28"/>
        </w:rPr>
        <w:t xml:space="preserve">. </w:t>
      </w:r>
      <w:r w:rsidRPr="00520861">
        <w:rPr>
          <w:rFonts w:eastAsia="Calibri"/>
          <w:sz w:val="28"/>
          <w:szCs w:val="28"/>
          <w:lang w:eastAsia="en-US"/>
        </w:rPr>
        <w:t xml:space="preserve">У групі 3 гіпертрофована привушна слинна залоза не має ознак гіперплазії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але вони МФ активніші, ніж у групі контролю. Зіставляючи зміни ступеня </w:t>
      </w:r>
      <w:proofErr w:type="spellStart"/>
      <w:r w:rsidRPr="00520861">
        <w:rPr>
          <w:rFonts w:eastAsia="Calibri"/>
          <w:sz w:val="28"/>
          <w:szCs w:val="28"/>
          <w:lang w:eastAsia="en-US"/>
        </w:rPr>
        <w:t>гетерохромності</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і вмісту РНК у цитоплазмі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із умістом </w:t>
      </w:r>
      <w:proofErr w:type="spellStart"/>
      <w:r w:rsidRPr="00520861">
        <w:rPr>
          <w:rFonts w:eastAsia="Calibri"/>
          <w:sz w:val="28"/>
          <w:szCs w:val="28"/>
          <w:lang w:eastAsia="en-US"/>
        </w:rPr>
        <w:t>гліко</w:t>
      </w:r>
      <w:proofErr w:type="spellEnd"/>
      <w:r w:rsidRPr="00520861">
        <w:rPr>
          <w:rFonts w:eastAsia="Calibri"/>
          <w:sz w:val="28"/>
          <w:szCs w:val="28"/>
          <w:lang w:eastAsia="en-US"/>
        </w:rPr>
        <w:t xml:space="preserve">-протеїдів у просвітах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можна припустити, що у тварин групи 3 відбувається збільшення продукції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 xml:space="preserve">, а не білків. Гіпертрофована привушна слинна залоза в 3-місячних щурів групи 4 мала тенденцію до гіпоплазії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порівняно з групою контролю. </w:t>
      </w:r>
      <w:proofErr w:type="spellStart"/>
      <w:r w:rsidRPr="00520861">
        <w:rPr>
          <w:rFonts w:eastAsia="Calibri"/>
          <w:sz w:val="28"/>
          <w:szCs w:val="28"/>
          <w:lang w:eastAsia="en-US"/>
        </w:rPr>
        <w:t>Сероцити</w:t>
      </w:r>
      <w:proofErr w:type="spellEnd"/>
      <w:r w:rsidRPr="00520861">
        <w:rPr>
          <w:rFonts w:eastAsia="Calibri"/>
          <w:sz w:val="28"/>
          <w:szCs w:val="28"/>
          <w:lang w:eastAsia="en-US"/>
        </w:rPr>
        <w:t xml:space="preserve"> МФ активніші, особливо щодо продукції та вмісту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 xml:space="preserve"> у слині протоків і просвітів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залоз. Ступінь </w:t>
      </w:r>
      <w:proofErr w:type="spellStart"/>
      <w:r w:rsidRPr="00520861">
        <w:rPr>
          <w:rFonts w:eastAsia="Calibri"/>
          <w:sz w:val="28"/>
          <w:szCs w:val="28"/>
          <w:lang w:eastAsia="en-US"/>
        </w:rPr>
        <w:t>фуксинофілії</w:t>
      </w:r>
      <w:proofErr w:type="spellEnd"/>
      <w:r w:rsidRPr="00520861">
        <w:rPr>
          <w:rFonts w:eastAsia="Calibri"/>
          <w:sz w:val="28"/>
          <w:szCs w:val="28"/>
          <w:lang w:eastAsia="en-US"/>
        </w:rPr>
        <w:t xml:space="preserve"> слини в просвітах залоз вірогідно вищий, ніж у групі контролю, що свідчить про більшу густину слини через збільшену концентрацією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w:t>
      </w:r>
    </w:p>
    <w:p w14:paraId="32EDCD3F" w14:textId="77777777" w:rsidR="00180D3E" w:rsidRPr="00520861" w:rsidRDefault="00180D3E" w:rsidP="00292D2E">
      <w:pPr>
        <w:widowControl w:val="0"/>
        <w:spacing w:line="360" w:lineRule="auto"/>
        <w:ind w:firstLine="708"/>
        <w:jc w:val="both"/>
        <w:rPr>
          <w:rFonts w:eastAsia="Calibri"/>
          <w:sz w:val="28"/>
          <w:szCs w:val="28"/>
          <w:shd w:val="clear" w:color="auto" w:fill="FFFFFF"/>
          <w:lang w:eastAsia="en-US"/>
        </w:rPr>
      </w:pPr>
      <w:r w:rsidRPr="00520861">
        <w:rPr>
          <w:rFonts w:eastAsia="Calibri"/>
          <w:sz w:val="28"/>
          <w:szCs w:val="28"/>
          <w:lang w:eastAsia="en-US"/>
        </w:rPr>
        <w:lastRenderedPageBreak/>
        <w:t>У 6-місячному віці у щурів основних груп, незалежно від соматотипу при народженні, наявна тенденція до зниження значення відносної маси привушної слинної залози порівняно з групою контролю.</w:t>
      </w:r>
      <w:r w:rsidRPr="00520861">
        <w:rPr>
          <w:rFonts w:eastAsia="Calibri"/>
          <w:sz w:val="28"/>
          <w:szCs w:val="28"/>
          <w:shd w:val="clear" w:color="auto" w:fill="FFFFFF"/>
          <w:lang w:eastAsia="en-US"/>
        </w:rPr>
        <w:t xml:space="preserve"> </w:t>
      </w:r>
      <w:r w:rsidRPr="00520861">
        <w:rPr>
          <w:rFonts w:eastAsia="Calibri"/>
          <w:sz w:val="28"/>
          <w:szCs w:val="28"/>
          <w:lang w:eastAsia="en-US"/>
        </w:rPr>
        <w:t xml:space="preserve">Цікавішими є порівняння цього параметра з наведеними вище даними для 3-місячних тварин. У тварин контрольної групи з віком (від 3 до 6 місяців) відбувається збільшення відносної маси слинних залоз </w:t>
      </w:r>
      <w:r w:rsidRPr="00520861">
        <w:rPr>
          <w:rFonts w:eastAsia="Calibri"/>
          <w:sz w:val="28"/>
          <w:szCs w:val="28"/>
          <w:lang w:eastAsia="en-US"/>
        </w:rPr>
        <w:br/>
        <w:t xml:space="preserve">приблизно у 2,5 </w:t>
      </w:r>
      <w:proofErr w:type="spellStart"/>
      <w:r w:rsidRPr="00520861">
        <w:rPr>
          <w:rFonts w:eastAsia="Calibri"/>
          <w:sz w:val="28"/>
          <w:szCs w:val="28"/>
          <w:lang w:eastAsia="en-US"/>
        </w:rPr>
        <w:t>раза</w:t>
      </w:r>
      <w:proofErr w:type="spellEnd"/>
      <w:r w:rsidRPr="00520861">
        <w:rPr>
          <w:rFonts w:eastAsia="Calibri"/>
          <w:sz w:val="28"/>
          <w:szCs w:val="28"/>
          <w:lang w:eastAsia="en-US"/>
        </w:rPr>
        <w:t xml:space="preserve">. У тварин основних груп також відбувається збільшення цього показника, але меншою мірою – у середньому на 38%. </w:t>
      </w:r>
    </w:p>
    <w:p w14:paraId="67E7BB8E" w14:textId="77777777" w:rsidR="00180D3E" w:rsidRPr="00520861" w:rsidRDefault="00180D3E" w:rsidP="00292D2E">
      <w:pPr>
        <w:widowControl w:val="0"/>
        <w:spacing w:line="360" w:lineRule="auto"/>
        <w:ind w:firstLine="708"/>
        <w:jc w:val="both"/>
        <w:rPr>
          <w:sz w:val="28"/>
          <w:szCs w:val="28"/>
        </w:rPr>
      </w:pPr>
      <w:r w:rsidRPr="00520861">
        <w:rPr>
          <w:rFonts w:eastAsia="Calibri"/>
          <w:sz w:val="28"/>
          <w:szCs w:val="28"/>
          <w:lang w:eastAsia="en-US"/>
        </w:rPr>
        <w:t xml:space="preserve">Порівнюючи дані 6-місячних контрольних тварин із такими даними в три місяці, ми виявили, що медіанна кількість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на фіксованій площі зрізу </w:t>
      </w:r>
      <w:r w:rsidRPr="00520861">
        <w:rPr>
          <w:rFonts w:eastAsia="Calibri"/>
          <w:sz w:val="28"/>
          <w:szCs w:val="28"/>
          <w:lang w:eastAsia="en-US"/>
        </w:rPr>
        <w:br/>
        <w:t xml:space="preserve">зменшилася на 23%, площа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збільшилася на 60%, оптична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зменшилася на 30%, а оптична густина цитоплазми зменшилася на 59%.</w:t>
      </w:r>
      <w:r w:rsidRPr="00520861">
        <w:rPr>
          <w:sz w:val="28"/>
          <w:szCs w:val="28"/>
        </w:rPr>
        <w:t xml:space="preserve"> </w:t>
      </w:r>
      <w:r w:rsidRPr="00520861">
        <w:rPr>
          <w:rFonts w:eastAsia="Calibri"/>
          <w:sz w:val="28"/>
          <w:szCs w:val="28"/>
          <w:lang w:eastAsia="en-US"/>
        </w:rPr>
        <w:t xml:space="preserve">Отже, в онтогенезі від 3 до 6 місяців ядра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стали більшими та </w:t>
      </w:r>
      <w:proofErr w:type="spellStart"/>
      <w:r w:rsidRPr="00520861">
        <w:rPr>
          <w:rFonts w:eastAsia="Calibri"/>
          <w:sz w:val="28"/>
          <w:szCs w:val="28"/>
          <w:lang w:eastAsia="en-US"/>
        </w:rPr>
        <w:t>еухромнішими</w:t>
      </w:r>
      <w:proofErr w:type="spellEnd"/>
      <w:r w:rsidRPr="00520861">
        <w:rPr>
          <w:rFonts w:eastAsia="Calibri"/>
          <w:sz w:val="28"/>
          <w:szCs w:val="28"/>
          <w:lang w:eastAsia="en-US"/>
        </w:rPr>
        <w:t xml:space="preserve">, що свідчить про підвищення їхньої МФ активності. Зменшення вмісту РНК у цитоплазмі можна пояснити накопиченням у ній білків слини. Таке пояснення підтверджується вивченням мікропрепаратів із проведенням PAS-реакції – у багатьох </w:t>
      </w:r>
      <w:proofErr w:type="spellStart"/>
      <w:r w:rsidRPr="00520861">
        <w:rPr>
          <w:rFonts w:eastAsia="Calibri"/>
          <w:sz w:val="28"/>
          <w:szCs w:val="28"/>
          <w:lang w:eastAsia="en-US"/>
        </w:rPr>
        <w:t>гландулоцитах</w:t>
      </w:r>
      <w:proofErr w:type="spellEnd"/>
      <w:r w:rsidRPr="00520861">
        <w:rPr>
          <w:rFonts w:eastAsia="Calibri"/>
          <w:sz w:val="28"/>
          <w:szCs w:val="28"/>
          <w:lang w:eastAsia="en-US"/>
        </w:rPr>
        <w:t xml:space="preserve"> цитоплазма </w:t>
      </w:r>
      <w:proofErr w:type="spellStart"/>
      <w:r w:rsidRPr="00520861">
        <w:rPr>
          <w:rFonts w:eastAsia="Calibri"/>
          <w:sz w:val="28"/>
          <w:szCs w:val="28"/>
          <w:lang w:eastAsia="en-US"/>
        </w:rPr>
        <w:t>фуксинофільна</w:t>
      </w:r>
      <w:proofErr w:type="spellEnd"/>
      <w:r w:rsidRPr="00520861">
        <w:rPr>
          <w:rFonts w:eastAsia="Calibri"/>
          <w:sz w:val="28"/>
          <w:szCs w:val="28"/>
          <w:lang w:eastAsia="en-US"/>
        </w:rPr>
        <w:t>.</w:t>
      </w:r>
    </w:p>
    <w:p w14:paraId="40133657" w14:textId="77777777" w:rsidR="00180D3E" w:rsidRPr="00520861" w:rsidRDefault="00180D3E" w:rsidP="00292D2E">
      <w:pPr>
        <w:widowControl w:val="0"/>
        <w:spacing w:line="360" w:lineRule="auto"/>
        <w:ind w:firstLine="708"/>
        <w:jc w:val="both"/>
        <w:rPr>
          <w:rFonts w:eastAsia="Calibri"/>
          <w:sz w:val="28"/>
          <w:szCs w:val="28"/>
          <w:lang w:eastAsia="en-US"/>
        </w:rPr>
      </w:pPr>
      <w:proofErr w:type="spellStart"/>
      <w:r w:rsidRPr="00520861">
        <w:rPr>
          <w:rFonts w:eastAsia="Calibri"/>
          <w:sz w:val="28"/>
          <w:szCs w:val="28"/>
          <w:lang w:eastAsia="en-US"/>
        </w:rPr>
        <w:t>Морфофункціональний</w:t>
      </w:r>
      <w:proofErr w:type="spellEnd"/>
      <w:r w:rsidRPr="00520861">
        <w:rPr>
          <w:rFonts w:eastAsia="Calibri"/>
          <w:sz w:val="28"/>
          <w:szCs w:val="28"/>
          <w:lang w:eastAsia="en-US"/>
        </w:rPr>
        <w:t xml:space="preserve"> стан привушних слинних залоз у 6-місячних щурів групи 1 на тому ж рівні, що й у контрольних тварин. Порівнюючи стан залоз у </w:t>
      </w:r>
      <w:r w:rsidRPr="00520861">
        <w:rPr>
          <w:rFonts w:eastAsia="Calibri"/>
          <w:sz w:val="28"/>
          <w:szCs w:val="28"/>
          <w:lang w:eastAsia="en-US"/>
        </w:rPr>
        <w:br/>
        <w:t xml:space="preserve">6-місячних тварин цієї групи з таким у 3-місячних тварин аналогічної групи, виявлено, що у тварин відбувається зменшення на 28% кількості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на фіксованій площі зрізу. Площа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суттєво (на 63%) збільшилася. Оптична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при забарвленні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зменшилася на 42%; оптична густина цитоплазми також зменшилася на 63% – до рівня контролю. Отже, у віковій динаміці у цих тварин спостерігали втрату частини паренхіматозних елементів і підвищення МФ активності окремого </w:t>
      </w:r>
      <w:proofErr w:type="spellStart"/>
      <w:r w:rsidRPr="00520861">
        <w:rPr>
          <w:rFonts w:eastAsia="Calibri"/>
          <w:sz w:val="28"/>
          <w:szCs w:val="28"/>
          <w:lang w:eastAsia="en-US"/>
        </w:rPr>
        <w:t>сероцита</w:t>
      </w:r>
      <w:proofErr w:type="spellEnd"/>
      <w:r w:rsidRPr="00520861">
        <w:rPr>
          <w:rFonts w:eastAsia="Calibri"/>
          <w:sz w:val="28"/>
          <w:szCs w:val="28"/>
          <w:lang w:eastAsia="en-US"/>
        </w:rPr>
        <w:t>.</w:t>
      </w:r>
    </w:p>
    <w:p w14:paraId="3C1875D5"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слинних залозах тварин основних груп (крім тварин групи 2) у віці 6 місяців мікроскопічно виявлені результати пошкодження, зокрема </w:t>
      </w:r>
      <w:proofErr w:type="spellStart"/>
      <w:r w:rsidRPr="00520861">
        <w:rPr>
          <w:rFonts w:eastAsia="Calibri"/>
          <w:sz w:val="28"/>
          <w:szCs w:val="28"/>
          <w:lang w:eastAsia="en-US"/>
        </w:rPr>
        <w:t>апоптозу</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w:t>
      </w:r>
      <w:r w:rsidRPr="00520861">
        <w:rPr>
          <w:rFonts w:eastAsia="Calibri"/>
          <w:sz w:val="28"/>
          <w:szCs w:val="28"/>
          <w:lang w:eastAsia="en-US"/>
        </w:rPr>
        <w:br/>
        <w:t xml:space="preserve">«зникнення» паренхіми, склероз строми і </w:t>
      </w:r>
      <w:proofErr w:type="spellStart"/>
      <w:r w:rsidRPr="00520861">
        <w:rPr>
          <w:rFonts w:eastAsia="Calibri"/>
          <w:sz w:val="28"/>
          <w:szCs w:val="28"/>
          <w:lang w:eastAsia="en-US"/>
        </w:rPr>
        <w:t>макрофагально-лімфоцитарний</w:t>
      </w:r>
      <w:proofErr w:type="spellEnd"/>
      <w:r w:rsidRPr="00520861">
        <w:rPr>
          <w:rFonts w:eastAsia="Calibri"/>
          <w:sz w:val="28"/>
          <w:szCs w:val="28"/>
          <w:lang w:eastAsia="en-US"/>
        </w:rPr>
        <w:t xml:space="preserve"> інфільтрат строми. Найбільш виражені ці явища в групах 3 і 4. Водночас активуються компенсаторні механізми: спостерігаються збільшення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і </w:t>
      </w:r>
      <w:proofErr w:type="spellStart"/>
      <w:r w:rsidRPr="00520861">
        <w:rPr>
          <w:rFonts w:eastAsia="Calibri"/>
          <w:sz w:val="28"/>
          <w:szCs w:val="28"/>
          <w:lang w:eastAsia="en-US"/>
        </w:rPr>
        <w:t>еухромність</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r w:rsidRPr="00520861">
        <w:rPr>
          <w:rFonts w:eastAsia="Calibri"/>
          <w:sz w:val="28"/>
          <w:szCs w:val="28"/>
          <w:lang w:eastAsia="en-US"/>
        </w:rPr>
        <w:lastRenderedPageBreak/>
        <w:t xml:space="preserve">тобто підвищення МФ активності окремого </w:t>
      </w:r>
      <w:proofErr w:type="spellStart"/>
      <w:r w:rsidRPr="00520861">
        <w:rPr>
          <w:rFonts w:eastAsia="Calibri"/>
          <w:sz w:val="28"/>
          <w:szCs w:val="28"/>
          <w:lang w:eastAsia="en-US"/>
        </w:rPr>
        <w:t>сероцита</w:t>
      </w:r>
      <w:proofErr w:type="spellEnd"/>
      <w:r w:rsidRPr="00520861">
        <w:rPr>
          <w:rFonts w:eastAsia="Calibri"/>
          <w:sz w:val="28"/>
          <w:szCs w:val="28"/>
          <w:lang w:eastAsia="en-US"/>
        </w:rPr>
        <w:t xml:space="preserve">. Зниження відносної частки паренхіми залоз та поява явищ </w:t>
      </w:r>
      <w:proofErr w:type="spellStart"/>
      <w:r w:rsidRPr="00520861">
        <w:rPr>
          <w:rFonts w:eastAsia="Calibri"/>
          <w:sz w:val="28"/>
          <w:szCs w:val="28"/>
          <w:lang w:eastAsia="en-US"/>
        </w:rPr>
        <w:t>ксеростомії</w:t>
      </w:r>
      <w:proofErr w:type="spellEnd"/>
      <w:r w:rsidRPr="00520861">
        <w:rPr>
          <w:rFonts w:eastAsia="Calibri"/>
          <w:sz w:val="28"/>
          <w:szCs w:val="28"/>
          <w:lang w:eastAsia="en-US"/>
        </w:rPr>
        <w:t xml:space="preserve"> є звичайними процесами при старінні [253], проте в разі молодого віку «зменшення» паренхіматозної тканини в залозі </w:t>
      </w:r>
      <w:r w:rsidRPr="00520861">
        <w:rPr>
          <w:rFonts w:eastAsia="Calibri"/>
          <w:sz w:val="28"/>
          <w:szCs w:val="28"/>
          <w:lang w:eastAsia="en-US"/>
        </w:rPr>
        <w:br/>
        <w:t xml:space="preserve">відбувається у випадках її функціонального перевантаження. </w:t>
      </w:r>
    </w:p>
    <w:p w14:paraId="116D3822"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тварин групи 2 пошкодження та компенсаторні явища відсутні – виявлені «острівці» неактивних, запасних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МФ навантаження функціонуючих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невисоке. Для кількісного оцінювання вираженості паренхіматозного </w:t>
      </w:r>
      <w:r w:rsidRPr="00520861">
        <w:rPr>
          <w:rFonts w:eastAsia="Calibri"/>
          <w:sz w:val="28"/>
          <w:szCs w:val="28"/>
          <w:lang w:eastAsia="en-US"/>
        </w:rPr>
        <w:br/>
        <w:t xml:space="preserve">компонента в слинних залозах був використаний показник «середня кількість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на фіксованій площі зрізу». Порівнюючи стан залоз у тварин цієї групи в шести- і тримісячному віці, можна відзначити зменшення на 9% кількості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що пов’язано зі збільшенням кінцевих відділів </w:t>
      </w:r>
      <w:proofErr w:type="spellStart"/>
      <w:r w:rsidRPr="00520861">
        <w:rPr>
          <w:rFonts w:eastAsia="Calibri"/>
          <w:sz w:val="28"/>
          <w:szCs w:val="28"/>
          <w:lang w:eastAsia="en-US"/>
        </w:rPr>
        <w:t>ацинусів</w:t>
      </w:r>
      <w:proofErr w:type="spellEnd"/>
      <w:r w:rsidRPr="00520861">
        <w:rPr>
          <w:rFonts w:eastAsia="Calibri"/>
          <w:sz w:val="28"/>
          <w:szCs w:val="28"/>
          <w:lang w:eastAsia="en-US"/>
        </w:rPr>
        <w:t xml:space="preserve">; зменшення на 17% площі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на 29% збільшення оптичної густини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та зниження на 78% оптичної густини цитоплазми. Отже, у тварин відбувається збільшення залоз, однак їх МФ активність стимульована менше, ніж у контрольній групі.</w:t>
      </w:r>
    </w:p>
    <w:p w14:paraId="260F3C55"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тварин із груп 3 та 4 розвиваються ознаки </w:t>
      </w:r>
      <w:proofErr w:type="spellStart"/>
      <w:r w:rsidRPr="00520861">
        <w:rPr>
          <w:rFonts w:eastAsia="Calibri"/>
          <w:sz w:val="28"/>
          <w:szCs w:val="28"/>
          <w:lang w:eastAsia="en-US"/>
        </w:rPr>
        <w:t>атрофізації</w:t>
      </w:r>
      <w:proofErr w:type="spellEnd"/>
      <w:r w:rsidRPr="00520861">
        <w:rPr>
          <w:rFonts w:eastAsia="Calibri"/>
          <w:sz w:val="28"/>
          <w:szCs w:val="28"/>
          <w:lang w:eastAsia="en-US"/>
        </w:rPr>
        <w:t xml:space="preserve"> слинної залози з компенсаторною МФ активацією функціонуючих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Аналізуючи зміни </w:t>
      </w:r>
      <w:r w:rsidRPr="00520861">
        <w:rPr>
          <w:rFonts w:eastAsia="Calibri"/>
          <w:sz w:val="28"/>
          <w:szCs w:val="28"/>
          <w:lang w:eastAsia="en-US"/>
        </w:rPr>
        <w:br/>
        <w:t xml:space="preserve">привушних слинних залоз у тварин групи 3 у віковому аспекті, виявили, що кількість </w:t>
      </w:r>
      <w:proofErr w:type="spellStart"/>
      <w:r w:rsidRPr="00520861">
        <w:rPr>
          <w:rFonts w:eastAsia="Calibri"/>
          <w:sz w:val="28"/>
          <w:szCs w:val="28"/>
          <w:lang w:eastAsia="en-US"/>
        </w:rPr>
        <w:t>сероцитів</w:t>
      </w:r>
      <w:proofErr w:type="spellEnd"/>
      <w:r w:rsidRPr="00520861">
        <w:rPr>
          <w:rFonts w:eastAsia="Calibri"/>
          <w:sz w:val="28"/>
          <w:szCs w:val="28"/>
          <w:lang w:eastAsia="en-US"/>
        </w:rPr>
        <w:t xml:space="preserve"> на фіксованій площі зрізу з віком зменшилася на 30%, а площа ядра </w:t>
      </w:r>
      <w:proofErr w:type="spellStart"/>
      <w:r w:rsidRPr="00520861">
        <w:rPr>
          <w:rFonts w:eastAsia="Calibri"/>
          <w:sz w:val="28"/>
          <w:szCs w:val="28"/>
          <w:lang w:eastAsia="en-US"/>
        </w:rPr>
        <w:t>сероцита</w:t>
      </w:r>
      <w:proofErr w:type="spellEnd"/>
      <w:r w:rsidRPr="00520861">
        <w:rPr>
          <w:rFonts w:eastAsia="Calibri"/>
          <w:sz w:val="28"/>
          <w:szCs w:val="28"/>
          <w:lang w:eastAsia="en-US"/>
        </w:rPr>
        <w:t xml:space="preserve"> – збільшилася на 15 %. Оптична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і цитоплазми дещо </w:t>
      </w:r>
      <w:r w:rsidRPr="00520861">
        <w:rPr>
          <w:rFonts w:eastAsia="Calibri"/>
          <w:sz w:val="28"/>
          <w:szCs w:val="28"/>
          <w:lang w:eastAsia="en-US"/>
        </w:rPr>
        <w:br/>
        <w:t xml:space="preserve">знизилися (на 12% і 30% відповідно), що пояснюється накопиченням у цитоплазмі великої кількості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 xml:space="preserve"> і протеїдів (PAS-реакція). </w:t>
      </w:r>
    </w:p>
    <w:p w14:paraId="318A4366"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Процес </w:t>
      </w:r>
      <w:proofErr w:type="spellStart"/>
      <w:r w:rsidRPr="00520861">
        <w:rPr>
          <w:rFonts w:eastAsia="Calibri"/>
          <w:sz w:val="28"/>
          <w:szCs w:val="28"/>
          <w:lang w:eastAsia="en-US"/>
        </w:rPr>
        <w:t>атрофізації</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склеротизації</w:t>
      </w:r>
      <w:proofErr w:type="spellEnd"/>
      <w:r w:rsidRPr="00520861">
        <w:rPr>
          <w:rFonts w:eastAsia="Calibri"/>
          <w:sz w:val="28"/>
          <w:szCs w:val="28"/>
          <w:lang w:eastAsia="en-US"/>
        </w:rPr>
        <w:t xml:space="preserve"> в групі 4 посилюється порівняно з групою 3. Із порівняння МФ стану шестимісячних тварин цієї основної групи із тримісячними встановлено, що кількість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на фіксованій площі зрізу збільшилася на 16%; площа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гландулоцитів</w:t>
      </w:r>
      <w:proofErr w:type="spellEnd"/>
      <w:r w:rsidRPr="00520861">
        <w:rPr>
          <w:rFonts w:eastAsia="Calibri"/>
          <w:sz w:val="28"/>
          <w:szCs w:val="28"/>
          <w:lang w:eastAsia="en-US"/>
        </w:rPr>
        <w:t xml:space="preserve"> – на 25%, а густина </w:t>
      </w:r>
      <w:proofErr w:type="spellStart"/>
      <w:r w:rsidRPr="00520861">
        <w:rPr>
          <w:rFonts w:eastAsia="Calibri"/>
          <w:sz w:val="28"/>
          <w:szCs w:val="28"/>
          <w:lang w:eastAsia="en-US"/>
        </w:rPr>
        <w:t>ядер</w:t>
      </w:r>
      <w:proofErr w:type="spellEnd"/>
      <w:r w:rsidRPr="00520861">
        <w:rPr>
          <w:rFonts w:eastAsia="Calibri"/>
          <w:sz w:val="28"/>
          <w:szCs w:val="28"/>
          <w:lang w:eastAsia="en-US"/>
        </w:rPr>
        <w:t xml:space="preserve"> і цитоплазми при забарвленні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збільшилася на 52% та 18% відповідно.</w:t>
      </w:r>
    </w:p>
    <w:p w14:paraId="20487493" w14:textId="77777777" w:rsidR="00180D3E" w:rsidRPr="00520861" w:rsidRDefault="00180D3E" w:rsidP="00292D2E">
      <w:pPr>
        <w:widowControl w:val="0"/>
        <w:spacing w:line="360" w:lineRule="auto"/>
        <w:ind w:firstLine="708"/>
        <w:jc w:val="both"/>
        <w:rPr>
          <w:rFonts w:eastAsia="Calibri"/>
          <w:bCs/>
          <w:sz w:val="28"/>
          <w:szCs w:val="28"/>
        </w:rPr>
      </w:pPr>
      <w:r w:rsidRPr="00520861">
        <w:rPr>
          <w:rFonts w:eastAsia="Calibri"/>
          <w:sz w:val="28"/>
          <w:szCs w:val="28"/>
          <w:lang w:eastAsia="en-US"/>
        </w:rPr>
        <w:t xml:space="preserve">При постановці </w:t>
      </w:r>
      <w:proofErr w:type="spellStart"/>
      <w:r w:rsidRPr="00520861">
        <w:rPr>
          <w:rFonts w:eastAsia="Calibri"/>
          <w:sz w:val="28"/>
          <w:szCs w:val="28"/>
          <w:lang w:eastAsia="en-US"/>
        </w:rPr>
        <w:t>імуногістохімічної</w:t>
      </w:r>
      <w:proofErr w:type="spellEnd"/>
      <w:r w:rsidRPr="00520861">
        <w:rPr>
          <w:rFonts w:eastAsia="Calibri"/>
          <w:sz w:val="28"/>
          <w:szCs w:val="28"/>
          <w:lang w:eastAsia="en-US"/>
        </w:rPr>
        <w:t xml:space="preserve"> реакції у 6-місячних тварин з використанням антитіл до </w:t>
      </w:r>
      <w:proofErr w:type="spellStart"/>
      <w:r w:rsidRPr="00520861">
        <w:rPr>
          <w:rFonts w:eastAsia="Calibri"/>
          <w:sz w:val="28"/>
          <w:szCs w:val="28"/>
          <w:lang w:eastAsia="en-US"/>
        </w:rPr>
        <w:t>Caspase</w:t>
      </w:r>
      <w:proofErr w:type="spellEnd"/>
      <w:r w:rsidRPr="00520861">
        <w:rPr>
          <w:rFonts w:eastAsia="Calibri"/>
          <w:sz w:val="28"/>
          <w:szCs w:val="28"/>
          <w:lang w:eastAsia="en-US"/>
        </w:rPr>
        <w:t xml:space="preserve"> 3 виявлено, що чим більший ступінь ВУ ожиріння, тим частіше фіксуються мічені </w:t>
      </w:r>
      <w:proofErr w:type="spellStart"/>
      <w:r w:rsidRPr="00520861">
        <w:rPr>
          <w:rFonts w:eastAsia="Calibri"/>
          <w:sz w:val="28"/>
          <w:szCs w:val="28"/>
          <w:lang w:eastAsia="en-US"/>
        </w:rPr>
        <w:t>гландулоцити</w:t>
      </w:r>
      <w:proofErr w:type="spellEnd"/>
      <w:r w:rsidRPr="00520861">
        <w:rPr>
          <w:rFonts w:eastAsia="Calibri"/>
          <w:sz w:val="28"/>
          <w:szCs w:val="28"/>
          <w:lang w:eastAsia="en-US"/>
        </w:rPr>
        <w:t xml:space="preserve">, тобто інтенсивність </w:t>
      </w:r>
      <w:proofErr w:type="spellStart"/>
      <w:r w:rsidRPr="00520861">
        <w:rPr>
          <w:rFonts w:eastAsia="Calibri"/>
          <w:sz w:val="28"/>
          <w:szCs w:val="28"/>
          <w:lang w:eastAsia="en-US"/>
        </w:rPr>
        <w:t>імуногістохімічної</w:t>
      </w:r>
      <w:proofErr w:type="spellEnd"/>
      <w:r w:rsidRPr="00520861">
        <w:rPr>
          <w:rFonts w:eastAsia="Calibri"/>
          <w:sz w:val="28"/>
          <w:szCs w:val="28"/>
          <w:lang w:eastAsia="en-US"/>
        </w:rPr>
        <w:t xml:space="preserve"> реакції на </w:t>
      </w:r>
      <w:proofErr w:type="spellStart"/>
      <w:r w:rsidRPr="00520861">
        <w:rPr>
          <w:rFonts w:eastAsia="Calibri"/>
          <w:sz w:val="28"/>
          <w:szCs w:val="28"/>
          <w:lang w:eastAsia="en-US"/>
        </w:rPr>
        <w:t>Caspase</w:t>
      </w:r>
      <w:proofErr w:type="spellEnd"/>
      <w:r w:rsidRPr="00520861">
        <w:rPr>
          <w:rFonts w:eastAsia="Calibri"/>
          <w:sz w:val="28"/>
          <w:szCs w:val="28"/>
          <w:lang w:eastAsia="en-US"/>
        </w:rPr>
        <w:t xml:space="preserve"> 3 збільшується. Отже, припущення про більш інтенсивний МФ стан </w:t>
      </w:r>
      <w:r w:rsidRPr="00520861">
        <w:rPr>
          <w:rFonts w:eastAsia="Calibri"/>
          <w:sz w:val="28"/>
          <w:szCs w:val="28"/>
          <w:lang w:eastAsia="en-US"/>
        </w:rPr>
        <w:br/>
      </w:r>
      <w:proofErr w:type="spellStart"/>
      <w:r w:rsidRPr="00520861">
        <w:rPr>
          <w:rFonts w:eastAsia="Calibri"/>
          <w:sz w:val="28"/>
          <w:szCs w:val="28"/>
          <w:lang w:eastAsia="en-US"/>
        </w:rPr>
        <w:lastRenderedPageBreak/>
        <w:t>гландулоцитів</w:t>
      </w:r>
      <w:proofErr w:type="spellEnd"/>
      <w:r w:rsidRPr="00520861">
        <w:rPr>
          <w:rFonts w:eastAsia="Calibri"/>
          <w:sz w:val="28"/>
          <w:szCs w:val="28"/>
          <w:lang w:eastAsia="en-US"/>
        </w:rPr>
        <w:t xml:space="preserve">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народжених із ожирінням, має об’єктивне </w:t>
      </w:r>
      <w:r w:rsidRPr="00520861">
        <w:rPr>
          <w:rFonts w:eastAsia="Calibri"/>
          <w:sz w:val="28"/>
          <w:szCs w:val="28"/>
          <w:lang w:eastAsia="en-US"/>
        </w:rPr>
        <w:br/>
        <w:t xml:space="preserve">підтвердження. Відомо, що </w:t>
      </w:r>
      <w:proofErr w:type="spellStart"/>
      <w:r w:rsidRPr="00520861">
        <w:rPr>
          <w:rFonts w:eastAsia="Calibri"/>
          <w:sz w:val="28"/>
          <w:szCs w:val="28"/>
          <w:lang w:eastAsia="en-US"/>
        </w:rPr>
        <w:t>апоптоз</w:t>
      </w:r>
      <w:proofErr w:type="spellEnd"/>
      <w:r w:rsidRPr="00520861">
        <w:rPr>
          <w:rFonts w:eastAsia="Calibri"/>
          <w:sz w:val="28"/>
          <w:szCs w:val="28"/>
          <w:lang w:eastAsia="en-US"/>
        </w:rPr>
        <w:t xml:space="preserve">, який здійснюється за участі таких протеолітичних ферментів, як </w:t>
      </w:r>
      <w:proofErr w:type="spellStart"/>
      <w:r w:rsidRPr="00520861">
        <w:rPr>
          <w:rFonts w:eastAsia="Calibri"/>
          <w:sz w:val="28"/>
          <w:szCs w:val="28"/>
          <w:lang w:eastAsia="en-US"/>
        </w:rPr>
        <w:t>каспази</w:t>
      </w:r>
      <w:proofErr w:type="spellEnd"/>
      <w:r w:rsidRPr="00520861">
        <w:rPr>
          <w:rFonts w:eastAsia="Calibri"/>
          <w:sz w:val="28"/>
          <w:szCs w:val="28"/>
          <w:lang w:eastAsia="en-US"/>
        </w:rPr>
        <w:t xml:space="preserve"> (зокрема </w:t>
      </w:r>
      <w:proofErr w:type="spellStart"/>
      <w:r w:rsidRPr="00520861">
        <w:rPr>
          <w:rFonts w:eastAsia="Calibri"/>
          <w:sz w:val="28"/>
          <w:szCs w:val="28"/>
          <w:lang w:eastAsia="en-US"/>
        </w:rPr>
        <w:t>Caspase</w:t>
      </w:r>
      <w:proofErr w:type="spellEnd"/>
      <w:r w:rsidRPr="00520861">
        <w:rPr>
          <w:rFonts w:eastAsia="Calibri"/>
          <w:sz w:val="28"/>
          <w:szCs w:val="28"/>
          <w:lang w:eastAsia="en-US"/>
        </w:rPr>
        <w:t xml:space="preserve"> 3), є відповідальним за молекулярні механізми, асоційовані з дисфункцією слинної залози при синдромі </w:t>
      </w:r>
      <w:proofErr w:type="spellStart"/>
      <w:r w:rsidRPr="00520861">
        <w:rPr>
          <w:rFonts w:eastAsia="Calibri"/>
          <w:sz w:val="28"/>
          <w:szCs w:val="28"/>
          <w:lang w:eastAsia="en-US"/>
        </w:rPr>
        <w:t>Шегрена</w:t>
      </w:r>
      <w:proofErr w:type="spellEnd"/>
      <w:r w:rsidRPr="00520861">
        <w:rPr>
          <w:rFonts w:eastAsia="Calibri"/>
          <w:sz w:val="28"/>
          <w:szCs w:val="28"/>
          <w:lang w:eastAsia="en-US"/>
        </w:rPr>
        <w:t xml:space="preserve"> [366].</w:t>
      </w:r>
    </w:p>
    <w:p w14:paraId="16AD010C" w14:textId="77777777" w:rsidR="00180D3E" w:rsidRPr="00520861" w:rsidRDefault="00180D3E" w:rsidP="00292D2E">
      <w:pPr>
        <w:widowControl w:val="0"/>
        <w:spacing w:line="360" w:lineRule="auto"/>
        <w:ind w:firstLine="708"/>
        <w:jc w:val="both"/>
        <w:rPr>
          <w:rFonts w:eastAsia="Calibri"/>
          <w:bCs/>
          <w:sz w:val="28"/>
          <w:szCs w:val="28"/>
        </w:rPr>
      </w:pPr>
      <w:r w:rsidRPr="00520861">
        <w:rPr>
          <w:rFonts w:eastAsia="Calibri"/>
          <w:bCs/>
          <w:sz w:val="28"/>
          <w:szCs w:val="28"/>
        </w:rPr>
        <w:t xml:space="preserve">Проте існують відомості, що </w:t>
      </w:r>
      <w:r w:rsidRPr="00520861">
        <w:rPr>
          <w:rFonts w:eastAsia="Calibri"/>
          <w:sz w:val="28"/>
          <w:szCs w:val="28"/>
          <w:lang w:eastAsia="en-US"/>
        </w:rPr>
        <w:t xml:space="preserve">на ранніх стадіях ВУ розвитку </w:t>
      </w:r>
      <w:proofErr w:type="spellStart"/>
      <w:r w:rsidRPr="00520861">
        <w:rPr>
          <w:rFonts w:eastAsia="Calibri"/>
          <w:bCs/>
          <w:sz w:val="28"/>
          <w:szCs w:val="28"/>
        </w:rPr>
        <w:t>апоптотичні</w:t>
      </w:r>
      <w:proofErr w:type="spellEnd"/>
      <w:r w:rsidRPr="00520861">
        <w:rPr>
          <w:rFonts w:eastAsia="Calibri"/>
          <w:bCs/>
          <w:sz w:val="28"/>
          <w:szCs w:val="28"/>
        </w:rPr>
        <w:t xml:space="preserve"> процеси, кодовані </w:t>
      </w:r>
      <w:proofErr w:type="spellStart"/>
      <w:r w:rsidRPr="00520861">
        <w:rPr>
          <w:rFonts w:eastAsia="Calibri"/>
          <w:sz w:val="28"/>
          <w:szCs w:val="28"/>
          <w:lang w:eastAsia="en-US"/>
        </w:rPr>
        <w:t>Caspase</w:t>
      </w:r>
      <w:proofErr w:type="spellEnd"/>
      <w:r w:rsidRPr="00520861">
        <w:rPr>
          <w:rFonts w:eastAsia="Calibri"/>
          <w:sz w:val="28"/>
          <w:szCs w:val="28"/>
          <w:lang w:eastAsia="en-US"/>
        </w:rPr>
        <w:t xml:space="preserve"> 3, беруть участь у формуванні протоків залоз. </w:t>
      </w:r>
      <w:proofErr w:type="spellStart"/>
      <w:r w:rsidRPr="00520861">
        <w:rPr>
          <w:rFonts w:eastAsia="Calibri"/>
          <w:sz w:val="28"/>
          <w:szCs w:val="28"/>
          <w:lang w:eastAsia="en-US"/>
        </w:rPr>
        <w:t>Teshima</w:t>
      </w:r>
      <w:proofErr w:type="spellEnd"/>
      <w:r w:rsidRPr="00520861">
        <w:rPr>
          <w:rFonts w:eastAsia="Calibri"/>
          <w:sz w:val="28"/>
          <w:szCs w:val="28"/>
          <w:lang w:eastAsia="en-US"/>
        </w:rPr>
        <w:t xml:space="preserve"> T. H. і співавтори [537] дійшли висновку, що внаслідок проведеного в експерименті </w:t>
      </w:r>
      <w:proofErr w:type="spellStart"/>
      <w:r w:rsidRPr="00520861">
        <w:rPr>
          <w:rFonts w:eastAsia="Calibri"/>
          <w:sz w:val="28"/>
          <w:szCs w:val="28"/>
          <w:lang w:eastAsia="en-US"/>
        </w:rPr>
        <w:t>інгібування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каспаз</w:t>
      </w:r>
      <w:proofErr w:type="spellEnd"/>
      <w:r w:rsidRPr="00520861">
        <w:rPr>
          <w:rFonts w:eastAsia="Calibri"/>
          <w:sz w:val="28"/>
          <w:szCs w:val="28"/>
          <w:lang w:eastAsia="en-US"/>
        </w:rPr>
        <w:t xml:space="preserve"> у слинних залозах відбувається формування ширших, порівняно з </w:t>
      </w:r>
      <w:r w:rsidRPr="00520861">
        <w:rPr>
          <w:rFonts w:eastAsia="Calibri"/>
          <w:sz w:val="28"/>
          <w:szCs w:val="28"/>
          <w:lang w:eastAsia="en-US"/>
        </w:rPr>
        <w:br/>
        <w:t xml:space="preserve">контрольними тваринами, протоків, а також дефекту просвіту залози. Це може бути одним із пояснень дуже різних </w:t>
      </w:r>
      <w:proofErr w:type="spellStart"/>
      <w:r w:rsidRPr="00520861">
        <w:rPr>
          <w:rFonts w:eastAsia="Calibri"/>
          <w:sz w:val="28"/>
          <w:szCs w:val="28"/>
          <w:lang w:eastAsia="en-US"/>
        </w:rPr>
        <w:t>морфометричних</w:t>
      </w:r>
      <w:proofErr w:type="spellEnd"/>
      <w:r w:rsidRPr="00520861">
        <w:rPr>
          <w:rFonts w:eastAsia="Calibri"/>
          <w:sz w:val="28"/>
          <w:szCs w:val="28"/>
          <w:lang w:eastAsia="en-US"/>
        </w:rPr>
        <w:t xml:space="preserve"> характеристик слинних залоз, які спостерігалися у нашому дослідженні.</w:t>
      </w:r>
      <w:r w:rsidRPr="00520861">
        <w:rPr>
          <w:rFonts w:eastAsia="Calibri"/>
          <w:bCs/>
          <w:sz w:val="28"/>
          <w:szCs w:val="28"/>
        </w:rPr>
        <w:t xml:space="preserve"> </w:t>
      </w:r>
      <w:r w:rsidRPr="00520861">
        <w:rPr>
          <w:rFonts w:eastAsia="Calibri"/>
          <w:sz w:val="28"/>
          <w:szCs w:val="28"/>
          <w:lang w:eastAsia="en-US"/>
        </w:rPr>
        <w:t xml:space="preserve">Дослідження препаратів привушних слинних залоз шестимісячних тварин за допомогою конфокальної мікроскопії доповнило </w:t>
      </w:r>
      <w:r w:rsidRPr="00520861">
        <w:rPr>
          <w:rFonts w:eastAsia="Calibri"/>
          <w:sz w:val="28"/>
          <w:szCs w:val="28"/>
          <w:lang w:eastAsia="en-US"/>
        </w:rPr>
        <w:br/>
        <w:t>дані, отримані за допомогою звичайної світлової мікроскопії.</w:t>
      </w:r>
    </w:p>
    <w:p w14:paraId="060DF471" w14:textId="77777777" w:rsidR="00180D3E" w:rsidRPr="00520861" w:rsidRDefault="00180D3E" w:rsidP="00292D2E">
      <w:pPr>
        <w:widowControl w:val="0"/>
        <w:spacing w:line="360" w:lineRule="auto"/>
        <w:ind w:firstLine="708"/>
        <w:jc w:val="both"/>
        <w:rPr>
          <w:rFonts w:eastAsia="Calibri"/>
          <w:sz w:val="28"/>
          <w:szCs w:val="28"/>
          <w:lang w:eastAsia="en-US"/>
        </w:rPr>
      </w:pPr>
      <w:proofErr w:type="spellStart"/>
      <w:r w:rsidRPr="00520861">
        <w:rPr>
          <w:rFonts w:eastAsia="Calibri"/>
          <w:bCs/>
          <w:sz w:val="28"/>
          <w:szCs w:val="28"/>
        </w:rPr>
        <w:t>Морфофункціональні</w:t>
      </w:r>
      <w:proofErr w:type="spellEnd"/>
      <w:r w:rsidRPr="00520861">
        <w:rPr>
          <w:rFonts w:eastAsia="Calibri"/>
          <w:bCs/>
          <w:sz w:val="28"/>
          <w:szCs w:val="28"/>
        </w:rPr>
        <w:t xml:space="preserve"> зміни привушних слинних залоз пов’язані з особливостями метаболічних процесів в організмі </w:t>
      </w:r>
      <w:r w:rsidRPr="00520861">
        <w:rPr>
          <w:rFonts w:eastAsia="Calibri"/>
          <w:sz w:val="28"/>
          <w:szCs w:val="28"/>
          <w:lang w:eastAsia="en-US"/>
        </w:rPr>
        <w:t>[10]</w:t>
      </w:r>
      <w:r w:rsidRPr="00520861">
        <w:rPr>
          <w:rFonts w:eastAsia="Calibri"/>
          <w:bCs/>
          <w:sz w:val="28"/>
          <w:szCs w:val="28"/>
        </w:rPr>
        <w:t xml:space="preserve">. Руйнування залоз призводить до зниження антимікробного захисту тканин й органів та є однією з умов виникнення цілого спектра захворювань [471]. </w:t>
      </w:r>
      <w:r w:rsidRPr="00520861">
        <w:rPr>
          <w:rFonts w:eastAsia="Calibri"/>
          <w:sz w:val="28"/>
          <w:szCs w:val="28"/>
          <w:lang w:eastAsia="en-US"/>
        </w:rPr>
        <w:t xml:space="preserve">Ризиковий стан слинних залоз у людей,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непрямо підтверджують дані про високу інтенсивність карієсу в дітей і підлітків, чия маса тіла при народженні була вищою за 90-центильний рівень [354, 370, 579]. </w:t>
      </w:r>
      <w:r w:rsidRPr="00520861">
        <w:rPr>
          <w:rFonts w:eastAsia="Calibri"/>
          <w:bCs/>
          <w:sz w:val="28"/>
          <w:szCs w:val="28"/>
        </w:rPr>
        <w:t xml:space="preserve">Екстраполяція даних на людський організм може пояснити різну інтенсивність карієсу в осіб, які народилися з </w:t>
      </w:r>
      <w:proofErr w:type="spellStart"/>
      <w:r w:rsidRPr="00520861">
        <w:rPr>
          <w:rFonts w:eastAsia="Calibri"/>
          <w:bCs/>
          <w:sz w:val="28"/>
          <w:szCs w:val="28"/>
        </w:rPr>
        <w:t>макросомією</w:t>
      </w:r>
      <w:proofErr w:type="spellEnd"/>
      <w:r w:rsidRPr="00520861">
        <w:rPr>
          <w:rFonts w:eastAsia="Calibri"/>
          <w:bCs/>
          <w:sz w:val="28"/>
          <w:szCs w:val="28"/>
        </w:rPr>
        <w:t xml:space="preserve">, з різними значеннями ІМТ при народженні. </w:t>
      </w:r>
      <w:r w:rsidRPr="00520861">
        <w:rPr>
          <w:rFonts w:eastAsia="Calibri"/>
          <w:sz w:val="28"/>
          <w:szCs w:val="28"/>
          <w:lang w:eastAsia="en-US"/>
        </w:rPr>
        <w:t xml:space="preserve">Порушення морфогенезу слинних залоз, що реалізується в руйнуванні механізмів захисту порожнини рота, пояснює схильність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до запальних процесів СОПР [216].</w:t>
      </w:r>
    </w:p>
    <w:p w14:paraId="606746AD"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Згідно з опублікованими відомостями, малі слинні залози виробляють лише невелику частину слини, приблизно 10% від загального об’єму. Проте їх мікроскопічні особливості повторюють великі слинні залози, а 70% загального обсягу білків, які продукуються слинними залозами, виробляються саме малими слинними залозами. Формування та диференціація цих залоз відбуваються, в основному, ВУ [480, 565]. Сформовані </w:t>
      </w:r>
      <w:proofErr w:type="spellStart"/>
      <w:r w:rsidRPr="00520861">
        <w:rPr>
          <w:rFonts w:eastAsia="Calibri"/>
          <w:sz w:val="28"/>
          <w:szCs w:val="28"/>
          <w:lang w:eastAsia="en-US"/>
        </w:rPr>
        <w:t>антенатально</w:t>
      </w:r>
      <w:proofErr w:type="spellEnd"/>
      <w:r w:rsidRPr="00520861">
        <w:rPr>
          <w:rFonts w:eastAsia="Calibri"/>
          <w:sz w:val="28"/>
          <w:szCs w:val="28"/>
          <w:lang w:eastAsia="en-US"/>
        </w:rPr>
        <w:t xml:space="preserve"> епігенетичні зміни метаболізму та МФ стан залоз можуть </w:t>
      </w:r>
      <w:r w:rsidRPr="00520861">
        <w:rPr>
          <w:rFonts w:eastAsia="Calibri"/>
          <w:sz w:val="28"/>
          <w:szCs w:val="28"/>
          <w:lang w:eastAsia="en-US"/>
        </w:rPr>
        <w:lastRenderedPageBreak/>
        <w:t xml:space="preserve">зберігатися протягом життя та впливати на </w:t>
      </w:r>
      <w:proofErr w:type="spellStart"/>
      <w:r w:rsidRPr="00520861">
        <w:rPr>
          <w:rFonts w:eastAsia="Calibri"/>
          <w:sz w:val="28"/>
          <w:szCs w:val="28"/>
          <w:lang w:eastAsia="en-US"/>
        </w:rPr>
        <w:t>карієсогенну</w:t>
      </w:r>
      <w:proofErr w:type="spellEnd"/>
      <w:r w:rsidRPr="00520861">
        <w:rPr>
          <w:rFonts w:eastAsia="Calibri"/>
          <w:sz w:val="28"/>
          <w:szCs w:val="28"/>
          <w:lang w:eastAsia="en-US"/>
        </w:rPr>
        <w:t xml:space="preserve"> ситуацію.</w:t>
      </w:r>
    </w:p>
    <w:p w14:paraId="750F3A74"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Проведене дослідження показало, що </w:t>
      </w:r>
      <w:proofErr w:type="spellStart"/>
      <w:r w:rsidRPr="00520861">
        <w:rPr>
          <w:rFonts w:eastAsia="Calibri"/>
          <w:sz w:val="28"/>
          <w:szCs w:val="28"/>
          <w:lang w:eastAsia="en-US"/>
        </w:rPr>
        <w:t>морфометричні</w:t>
      </w:r>
      <w:proofErr w:type="spellEnd"/>
      <w:r w:rsidRPr="00520861">
        <w:rPr>
          <w:rFonts w:eastAsia="Calibri"/>
          <w:sz w:val="28"/>
          <w:szCs w:val="28"/>
          <w:lang w:eastAsia="en-US"/>
        </w:rPr>
        <w:t xml:space="preserve"> параметри малих слинних залоз в експериментальних тварин,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істотно </w:t>
      </w:r>
      <w:r w:rsidRPr="00520861">
        <w:rPr>
          <w:rFonts w:eastAsia="Calibri"/>
          <w:sz w:val="28"/>
          <w:szCs w:val="28"/>
          <w:lang w:eastAsia="en-US"/>
        </w:rPr>
        <w:br/>
        <w:t>відрізняються від таких параметрів у тварин групи контролю. Ці відмінності найбільш добре виражені у тварин у груп 3 та 4 порівняно з групами інтактних тварин.</w:t>
      </w:r>
    </w:p>
    <w:p w14:paraId="64426BA6" w14:textId="77777777" w:rsidR="00180D3E" w:rsidRPr="00520861" w:rsidRDefault="00180D3E" w:rsidP="00292D2E">
      <w:pPr>
        <w:widowControl w:val="0"/>
        <w:autoSpaceDE w:val="0"/>
        <w:autoSpaceDN w:val="0"/>
        <w:adjustRightInd w:val="0"/>
        <w:spacing w:line="360" w:lineRule="auto"/>
        <w:ind w:firstLine="708"/>
        <w:jc w:val="both"/>
        <w:rPr>
          <w:sz w:val="28"/>
          <w:szCs w:val="28"/>
        </w:rPr>
      </w:pPr>
      <w:proofErr w:type="spellStart"/>
      <w:r w:rsidRPr="00520861">
        <w:rPr>
          <w:sz w:val="28"/>
          <w:szCs w:val="28"/>
        </w:rPr>
        <w:t>Ацинуси</w:t>
      </w:r>
      <w:proofErr w:type="spellEnd"/>
      <w:r w:rsidRPr="00520861">
        <w:rPr>
          <w:sz w:val="28"/>
          <w:szCs w:val="28"/>
        </w:rPr>
        <w:t xml:space="preserve"> </w:t>
      </w:r>
      <w:r w:rsidRPr="00520861">
        <w:rPr>
          <w:rFonts w:eastAsia="Calibri"/>
          <w:sz w:val="28"/>
          <w:szCs w:val="28"/>
          <w:lang w:eastAsia="en-US"/>
        </w:rPr>
        <w:t>слинних залоз</w:t>
      </w:r>
      <w:r w:rsidRPr="00520861">
        <w:rPr>
          <w:sz w:val="28"/>
          <w:szCs w:val="28"/>
        </w:rPr>
        <w:t xml:space="preserve"> мають складну форму й розташовані на різних рівнях у товщі зразка. Тривимірне зображення, що отримується при конфокальному скануванні зразків слинних залоз, дозволяє визначити розміри кожного </w:t>
      </w:r>
      <w:proofErr w:type="spellStart"/>
      <w:r w:rsidRPr="00520861">
        <w:rPr>
          <w:sz w:val="28"/>
          <w:szCs w:val="28"/>
        </w:rPr>
        <w:t>ацинуса</w:t>
      </w:r>
      <w:proofErr w:type="spellEnd"/>
      <w:r w:rsidRPr="00520861">
        <w:rPr>
          <w:sz w:val="28"/>
          <w:szCs w:val="28"/>
        </w:rPr>
        <w:t xml:space="preserve"> в будь-якій його частині й у такий спосіб отримати його точні розміри та вивчити анатомічні особливості. </w:t>
      </w:r>
      <w:r w:rsidRPr="00520861">
        <w:rPr>
          <w:rFonts w:eastAsia="Calibri"/>
          <w:sz w:val="28"/>
          <w:szCs w:val="28"/>
          <w:lang w:eastAsia="en-US"/>
        </w:rPr>
        <w:t>Перевірка за допомогою методів непараметричної статистики виявила вірогідну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різницю між групою 1 і контрольною групою для висоти цитоплазми, а між групою 3 і контрольною групою – для площі поперечного перерізу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площі паренхіматозної тканини в поперечному перерізі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та периметра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Вірогідну (</w:t>
      </w:r>
      <w:r w:rsidR="00B747A2" w:rsidRPr="00520861">
        <w:rPr>
          <w:rFonts w:eastAsia="Calibri"/>
          <w:i/>
          <w:sz w:val="28"/>
          <w:szCs w:val="28"/>
          <w:lang w:eastAsia="en-US"/>
        </w:rPr>
        <w:t>p</w:t>
      </w:r>
      <w:r w:rsidR="00CD7533" w:rsidRPr="00520861">
        <w:rPr>
          <w:rFonts w:eastAsia="Calibri"/>
          <w:sz w:val="28"/>
          <w:szCs w:val="28"/>
          <w:lang w:eastAsia="en-US"/>
        </w:rPr>
        <w:t>&lt;</w:t>
      </w:r>
      <w:r w:rsidR="00B747A2" w:rsidRPr="00520861">
        <w:rPr>
          <w:rFonts w:eastAsia="Calibri"/>
          <w:sz w:val="28"/>
          <w:szCs w:val="28"/>
          <w:lang w:eastAsia="en-US"/>
        </w:rPr>
        <w:t>0,05</w:t>
      </w:r>
      <w:r w:rsidRPr="00520861">
        <w:rPr>
          <w:rFonts w:eastAsia="Calibri"/>
          <w:sz w:val="28"/>
          <w:szCs w:val="28"/>
          <w:lang w:eastAsia="en-US"/>
        </w:rPr>
        <w:t xml:space="preserve">) різницю між групою 4 і контролем було виявлено для площі поперечного перерізу просвіту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та для кількості </w:t>
      </w:r>
      <w:proofErr w:type="spellStart"/>
      <w:r w:rsidRPr="00520861">
        <w:rPr>
          <w:rFonts w:eastAsia="Calibri"/>
          <w:sz w:val="28"/>
          <w:szCs w:val="28"/>
          <w:lang w:eastAsia="en-US"/>
        </w:rPr>
        <w:t>мукоцитів</w:t>
      </w:r>
      <w:proofErr w:type="spellEnd"/>
      <w:r w:rsidRPr="00520861">
        <w:rPr>
          <w:rFonts w:eastAsia="Calibri"/>
          <w:sz w:val="28"/>
          <w:szCs w:val="28"/>
          <w:lang w:eastAsia="en-US"/>
        </w:rPr>
        <w:t xml:space="preserve"> у поперечному перерізі </w:t>
      </w:r>
      <w:proofErr w:type="spellStart"/>
      <w:r w:rsidRPr="00520861">
        <w:rPr>
          <w:rFonts w:eastAsia="Calibri"/>
          <w:sz w:val="28"/>
          <w:szCs w:val="28"/>
          <w:lang w:eastAsia="en-US"/>
        </w:rPr>
        <w:t>ацинуса</w:t>
      </w:r>
      <w:proofErr w:type="spellEnd"/>
      <w:r w:rsidRPr="00520861">
        <w:rPr>
          <w:rFonts w:eastAsia="Calibri"/>
          <w:sz w:val="28"/>
          <w:szCs w:val="28"/>
          <w:lang w:eastAsia="en-US"/>
        </w:rPr>
        <w:t xml:space="preserve">. У тварин групи 2 вірогідну різницю в досліджуваних параметрах виявлено не було, проте вони мали помітно меншу висоту цитоплазми, ніж </w:t>
      </w:r>
      <w:r w:rsidRPr="00520861">
        <w:rPr>
          <w:rFonts w:eastAsia="Calibri"/>
          <w:sz w:val="28"/>
          <w:szCs w:val="28"/>
          <w:lang w:eastAsia="en-US"/>
        </w:rPr>
        <w:br/>
        <w:t>контрольні тварини.</w:t>
      </w:r>
      <w:r w:rsidRPr="00520861">
        <w:rPr>
          <w:rFonts w:eastAsia="Calibri"/>
          <w:bCs/>
          <w:sz w:val="28"/>
          <w:szCs w:val="28"/>
          <w:lang w:eastAsia="en-US"/>
        </w:rPr>
        <w:t xml:space="preserve"> </w:t>
      </w:r>
    </w:p>
    <w:p w14:paraId="6328B4B7"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нормі після виділення слини </w:t>
      </w:r>
      <w:proofErr w:type="spellStart"/>
      <w:r w:rsidRPr="00520861">
        <w:rPr>
          <w:rFonts w:eastAsia="Calibri"/>
          <w:sz w:val="28"/>
          <w:szCs w:val="28"/>
          <w:lang w:eastAsia="en-US"/>
        </w:rPr>
        <w:t>ацинарна</w:t>
      </w:r>
      <w:proofErr w:type="spellEnd"/>
      <w:r w:rsidRPr="00520861">
        <w:rPr>
          <w:rFonts w:eastAsia="Calibri"/>
          <w:sz w:val="28"/>
          <w:szCs w:val="28"/>
          <w:lang w:eastAsia="en-US"/>
        </w:rPr>
        <w:t xml:space="preserve"> клітина стискається [500]. </w:t>
      </w:r>
      <w:r w:rsidRPr="00520861">
        <w:rPr>
          <w:rFonts w:eastAsia="Calibri"/>
          <w:bCs/>
          <w:sz w:val="28"/>
          <w:szCs w:val="28"/>
          <w:lang w:eastAsia="en-US"/>
        </w:rPr>
        <w:t xml:space="preserve">Оскільки тварини всіх груп утримувалися в однакових умовах і всі тварини виводилися з експерименту в ранковий час, виявлена нерівність (шорсткість) зовнішньої межі </w:t>
      </w:r>
      <w:proofErr w:type="spellStart"/>
      <w:r w:rsidRPr="00520861">
        <w:rPr>
          <w:rFonts w:eastAsia="Calibri"/>
          <w:bCs/>
          <w:sz w:val="28"/>
          <w:szCs w:val="28"/>
          <w:lang w:eastAsia="en-US"/>
        </w:rPr>
        <w:t>ацинусів</w:t>
      </w:r>
      <w:proofErr w:type="spellEnd"/>
      <w:r w:rsidRPr="00520861">
        <w:rPr>
          <w:rFonts w:eastAsia="Calibri"/>
          <w:bCs/>
          <w:sz w:val="28"/>
          <w:szCs w:val="28"/>
          <w:lang w:eastAsia="en-US"/>
        </w:rPr>
        <w:t xml:space="preserve"> малих слинних залоз у тварин у групах 3 та 4, швидше за все, не є пов’язаною з фізіологічними причинами, а виникає внаслідок функціонального перевантаження (постійної потреби в збільшеному виділені слини). Отже, </w:t>
      </w:r>
      <w:proofErr w:type="spellStart"/>
      <w:r w:rsidRPr="00520861">
        <w:rPr>
          <w:rFonts w:eastAsia="Calibri"/>
          <w:bCs/>
          <w:sz w:val="28"/>
          <w:szCs w:val="28"/>
          <w:lang w:eastAsia="en-US"/>
        </w:rPr>
        <w:t>ацинус</w:t>
      </w:r>
      <w:proofErr w:type="spellEnd"/>
      <w:r w:rsidRPr="00520861">
        <w:rPr>
          <w:rFonts w:eastAsia="Calibri"/>
          <w:bCs/>
          <w:sz w:val="28"/>
          <w:szCs w:val="28"/>
          <w:lang w:eastAsia="en-US"/>
        </w:rPr>
        <w:t xml:space="preserve"> стискається й межа стає шорсткою. Ще в 1990 році </w:t>
      </w:r>
      <w:proofErr w:type="spellStart"/>
      <w:r w:rsidRPr="00520861">
        <w:rPr>
          <w:rFonts w:eastAsia="Calibri"/>
          <w:bCs/>
          <w:sz w:val="28"/>
          <w:szCs w:val="28"/>
          <w:lang w:eastAsia="en-US"/>
        </w:rPr>
        <w:t>Scott</w:t>
      </w:r>
      <w:proofErr w:type="spellEnd"/>
      <w:r w:rsidRPr="00520861">
        <w:rPr>
          <w:rFonts w:eastAsia="Calibri"/>
          <w:bCs/>
          <w:sz w:val="28"/>
          <w:szCs w:val="28"/>
          <w:lang w:eastAsia="en-US"/>
        </w:rPr>
        <w:t xml:space="preserve"> J. і співавтори довели, що стискання слинних залоз може передувати їх атрофії [499].</w:t>
      </w:r>
    </w:p>
    <w:p w14:paraId="2BA9C286" w14:textId="77777777" w:rsidR="00180D3E" w:rsidRPr="00520861" w:rsidRDefault="00180D3E" w:rsidP="00292D2E">
      <w:pPr>
        <w:widowControl w:val="0"/>
        <w:spacing w:line="360" w:lineRule="auto"/>
        <w:ind w:firstLine="708"/>
        <w:jc w:val="both"/>
        <w:rPr>
          <w:rFonts w:eastAsia="Calibri"/>
          <w:sz w:val="28"/>
          <w:szCs w:val="28"/>
          <w:lang w:eastAsia="en-US"/>
        </w:rPr>
      </w:pPr>
      <w:proofErr w:type="spellStart"/>
      <w:r w:rsidRPr="00520861">
        <w:rPr>
          <w:rFonts w:eastAsia="Calibri"/>
          <w:sz w:val="28"/>
          <w:szCs w:val="28"/>
          <w:lang w:eastAsia="en-US"/>
        </w:rPr>
        <w:t>Кластеризований</w:t>
      </w:r>
      <w:proofErr w:type="spellEnd"/>
      <w:r w:rsidRPr="00520861">
        <w:rPr>
          <w:rFonts w:eastAsia="Calibri"/>
          <w:sz w:val="28"/>
          <w:szCs w:val="28"/>
          <w:lang w:eastAsia="en-US"/>
        </w:rPr>
        <w:t xml:space="preserve"> підхід до оцінювання стану малих слинних залоз підводить до висновку про наявність їх гіпоплазії </w:t>
      </w:r>
      <w:r w:rsidRPr="00520861">
        <w:rPr>
          <w:rFonts w:eastAsia="Calibri"/>
          <w:bCs/>
          <w:sz w:val="28"/>
          <w:szCs w:val="28"/>
          <w:lang w:eastAsia="en-US"/>
        </w:rPr>
        <w:t xml:space="preserve">на рівні тканини </w:t>
      </w:r>
      <w:r w:rsidRPr="00520861">
        <w:rPr>
          <w:rFonts w:eastAsia="Calibri"/>
          <w:sz w:val="28"/>
          <w:szCs w:val="28"/>
          <w:lang w:eastAsia="en-US"/>
        </w:rPr>
        <w:t xml:space="preserve">в щурів,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Отримані результати мають опосередковане підтвердження: у віці 6 місяців кількість зубів, уражених карієсом, у тварин основних груп збільшується, </w:t>
      </w:r>
      <w:r w:rsidRPr="00520861">
        <w:rPr>
          <w:rFonts w:eastAsia="Calibri"/>
          <w:sz w:val="28"/>
          <w:szCs w:val="28"/>
          <w:lang w:eastAsia="en-US"/>
        </w:rPr>
        <w:br/>
      </w:r>
      <w:r w:rsidRPr="00520861">
        <w:rPr>
          <w:rFonts w:eastAsia="Calibri"/>
          <w:sz w:val="28"/>
          <w:szCs w:val="28"/>
          <w:lang w:eastAsia="en-US"/>
        </w:rPr>
        <w:lastRenderedPageBreak/>
        <w:t xml:space="preserve">порівняно з контролем. У тварин груп 3 та 4 це збільшення є максимальним. </w:t>
      </w:r>
    </w:p>
    <w:p w14:paraId="2A9853B1" w14:textId="77777777" w:rsidR="00180D3E" w:rsidRPr="00520861" w:rsidRDefault="00180D3E" w:rsidP="00292D2E">
      <w:pPr>
        <w:widowControl w:val="0"/>
        <w:spacing w:line="360" w:lineRule="auto"/>
        <w:ind w:firstLine="708"/>
        <w:jc w:val="both"/>
        <w:rPr>
          <w:sz w:val="28"/>
          <w:szCs w:val="28"/>
        </w:rPr>
      </w:pPr>
      <w:r w:rsidRPr="00520861">
        <w:rPr>
          <w:rFonts w:eastAsia="Calibri"/>
          <w:sz w:val="28"/>
          <w:szCs w:val="28"/>
          <w:lang w:eastAsia="en-US"/>
        </w:rPr>
        <w:t xml:space="preserve">Про підвищений ризик виникнення карієсу в разі редукції малих слинних залоз сповістили </w:t>
      </w:r>
      <w:proofErr w:type="spellStart"/>
      <w:r w:rsidRPr="00520861">
        <w:rPr>
          <w:rFonts w:eastAsia="Calibri"/>
          <w:sz w:val="28"/>
          <w:szCs w:val="28"/>
          <w:lang w:eastAsia="en-US"/>
        </w:rPr>
        <w:t>Tandon</w:t>
      </w:r>
      <w:proofErr w:type="spellEnd"/>
      <w:r w:rsidRPr="00520861">
        <w:rPr>
          <w:rFonts w:eastAsia="Calibri"/>
          <w:sz w:val="28"/>
          <w:szCs w:val="28"/>
          <w:lang w:eastAsia="en-US"/>
        </w:rPr>
        <w:t xml:space="preserve"> A. та співавтори [535].</w:t>
      </w:r>
      <w:r w:rsidRPr="00520861">
        <w:rPr>
          <w:sz w:val="28"/>
          <w:szCs w:val="28"/>
        </w:rPr>
        <w:t xml:space="preserve"> </w:t>
      </w:r>
      <w:r w:rsidRPr="00520861">
        <w:rPr>
          <w:rFonts w:eastAsia="Calibri"/>
          <w:sz w:val="28"/>
          <w:szCs w:val="28"/>
          <w:lang w:eastAsia="en-US"/>
        </w:rPr>
        <w:t xml:space="preserve">Ураховуючи, що стан таких залоз має вирішальний вплив на гомеостаз ПР [231], одержані відомості пояснюють високу </w:t>
      </w:r>
      <w:proofErr w:type="spellStart"/>
      <w:r w:rsidRPr="00520861">
        <w:rPr>
          <w:rFonts w:eastAsia="Calibri"/>
          <w:sz w:val="28"/>
          <w:szCs w:val="28"/>
          <w:lang w:eastAsia="en-US"/>
        </w:rPr>
        <w:t>ін-тенсивність</w:t>
      </w:r>
      <w:proofErr w:type="spellEnd"/>
      <w:r w:rsidRPr="00520861">
        <w:rPr>
          <w:rFonts w:eastAsia="Calibri"/>
          <w:sz w:val="28"/>
          <w:szCs w:val="28"/>
          <w:lang w:eastAsia="en-US"/>
        </w:rPr>
        <w:t xml:space="preserve"> карієсу в осіб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чий ІМТ при народженні був вищим за регіональні показники.</w:t>
      </w:r>
      <w:r w:rsidRPr="00520861">
        <w:rPr>
          <w:sz w:val="28"/>
          <w:szCs w:val="28"/>
        </w:rPr>
        <w:t xml:space="preserve"> </w:t>
      </w:r>
      <w:r w:rsidRPr="00520861">
        <w:rPr>
          <w:rFonts w:eastAsia="Calibri"/>
          <w:sz w:val="28"/>
          <w:szCs w:val="28"/>
          <w:lang w:eastAsia="en-US"/>
        </w:rPr>
        <w:t xml:space="preserve">Екстраполяція одержаних даних на людський організм можлива через те, що слинні залози як людини, так і щурів мають спільні принципи побудови [211]. Проте існує необхідність ретельного підбору тварин </w:t>
      </w:r>
      <w:r w:rsidRPr="00520861">
        <w:rPr>
          <w:rFonts w:eastAsia="Calibri"/>
          <w:sz w:val="28"/>
          <w:szCs w:val="28"/>
          <w:lang w:eastAsia="en-US"/>
        </w:rPr>
        <w:br/>
        <w:t>основних і контрольних груп, про що концентровано викладено в роботі [231].</w:t>
      </w:r>
    </w:p>
    <w:p w14:paraId="30CF6BF1"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Зазначимо, що в контрольних тварин віком 3 місяці медіанні розміри тіл </w:t>
      </w:r>
      <w:r w:rsidRPr="00520861">
        <w:rPr>
          <w:rFonts w:eastAsia="Calibri"/>
          <w:sz w:val="28"/>
          <w:szCs w:val="28"/>
          <w:lang w:eastAsia="en-US"/>
        </w:rPr>
        <w:br/>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периферійного шару пульпи є зіставними з такими їх розмірами в 6 місяців. Виявилося, що в цих тварин із часом спостерігається різке збільшення вмісту РНК у відростках, яке поєднується зі зменшенням кількості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пульпі. Тобто відбувається вікова </w:t>
      </w:r>
      <w:proofErr w:type="spellStart"/>
      <w:r w:rsidRPr="00520861">
        <w:rPr>
          <w:rFonts w:eastAsia="Calibri"/>
          <w:sz w:val="28"/>
          <w:szCs w:val="28"/>
          <w:lang w:eastAsia="en-US"/>
        </w:rPr>
        <w:t>атрофізація</w:t>
      </w:r>
      <w:proofErr w:type="spellEnd"/>
      <w:r w:rsidRPr="00520861">
        <w:rPr>
          <w:rFonts w:eastAsia="Calibri"/>
          <w:sz w:val="28"/>
          <w:szCs w:val="28"/>
          <w:lang w:eastAsia="en-US"/>
        </w:rPr>
        <w:t xml:space="preserve"> пульпи та компенсаторне підвищення вмісту РНК у цитоплазмі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w:t>
      </w:r>
    </w:p>
    <w:p w14:paraId="206CD0B3"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Стан пульпи, твердих тканин зубів та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3- та 6-місячних щурів ОГ має МФ особливості, які можна трактувати як прояви зменшення стійкості до дії </w:t>
      </w:r>
      <w:proofErr w:type="spellStart"/>
      <w:r w:rsidRPr="00520861">
        <w:rPr>
          <w:rFonts w:eastAsia="Calibri"/>
          <w:sz w:val="28"/>
          <w:szCs w:val="28"/>
          <w:lang w:eastAsia="en-US"/>
        </w:rPr>
        <w:t>уражуючих</w:t>
      </w:r>
      <w:proofErr w:type="spellEnd"/>
      <w:r w:rsidRPr="00520861">
        <w:rPr>
          <w:rFonts w:eastAsia="Calibri"/>
          <w:sz w:val="28"/>
          <w:szCs w:val="28"/>
          <w:lang w:eastAsia="en-US"/>
        </w:rPr>
        <w:t xml:space="preserve"> факторів на тверді тканини зубів та на тканини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тварин групи 1 у віці 6 місяців, порівняно з 3-місячними тваринами, медіанні значення розмірів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практично не змінилися. Аналізуючи дані оптичної густини цитоплазми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при забарвленні за </w:t>
      </w:r>
      <w:proofErr w:type="spellStart"/>
      <w:r w:rsidRPr="00520861">
        <w:rPr>
          <w:rFonts w:eastAsia="Calibri"/>
          <w:sz w:val="28"/>
          <w:szCs w:val="28"/>
          <w:lang w:eastAsia="en-US"/>
        </w:rPr>
        <w:t>Ейнарсоном</w:t>
      </w:r>
      <w:proofErr w:type="spellEnd"/>
      <w:r w:rsidRPr="00520861">
        <w:rPr>
          <w:rFonts w:eastAsia="Calibri"/>
          <w:sz w:val="28"/>
          <w:szCs w:val="28"/>
          <w:lang w:eastAsia="en-US"/>
        </w:rPr>
        <w:t xml:space="preserve">, виявлено, що при дорослішанні у цих тварин спостерігається незначне збільшення РНК. Швидше за все, за цей проміжок часу втрата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була «незначною».</w:t>
      </w:r>
    </w:p>
    <w:p w14:paraId="098F15D5"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У тварин групи 2 у віці 6 місяців спостерігається зменшення розмірів (</w:t>
      </w:r>
      <w:proofErr w:type="spellStart"/>
      <w:r w:rsidRPr="00520861">
        <w:rPr>
          <w:rFonts w:eastAsia="Calibri"/>
          <w:sz w:val="28"/>
          <w:szCs w:val="28"/>
          <w:lang w:eastAsia="en-US"/>
        </w:rPr>
        <w:t>атрофізація</w:t>
      </w:r>
      <w:proofErr w:type="spellEnd"/>
      <w:r w:rsidRPr="00520861">
        <w:rPr>
          <w:rFonts w:eastAsia="Calibri"/>
          <w:sz w:val="28"/>
          <w:szCs w:val="28"/>
          <w:lang w:eastAsia="en-US"/>
        </w:rPr>
        <w:t xml:space="preserve">)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порівняно з віком 3 місяці. У віці 6 місяців компенсаторне збільшення РНК у цитоплазмі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ще більше виражене, ніж у тварин тієї ж групи у віці 3 місяці, що може бути свідченням швидкого старіння клітин.</w:t>
      </w:r>
    </w:p>
    <w:p w14:paraId="514545B3"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Найгірша </w:t>
      </w:r>
      <w:proofErr w:type="spellStart"/>
      <w:r w:rsidRPr="00520861">
        <w:rPr>
          <w:rFonts w:eastAsia="Calibri"/>
          <w:sz w:val="28"/>
          <w:szCs w:val="28"/>
          <w:lang w:eastAsia="en-US"/>
        </w:rPr>
        <w:t>васкуляризація</w:t>
      </w:r>
      <w:proofErr w:type="spellEnd"/>
      <w:r w:rsidRPr="00520861">
        <w:rPr>
          <w:rFonts w:eastAsia="Calibri"/>
          <w:sz w:val="28"/>
          <w:szCs w:val="28"/>
          <w:lang w:eastAsia="en-US"/>
        </w:rPr>
        <w:t xml:space="preserve"> пульпи має місце у тварин груп 3 та 4. У цих тварин у середньому було виявлено як меншу кількість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так і менший розмір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порівняно із щурами груп 1, 2 та групи контролю. Високий рівень </w:t>
      </w:r>
      <w:r w:rsidRPr="00520861">
        <w:rPr>
          <w:rFonts w:eastAsia="Calibri"/>
          <w:sz w:val="28"/>
          <w:szCs w:val="28"/>
          <w:lang w:eastAsia="en-US"/>
        </w:rPr>
        <w:lastRenderedPageBreak/>
        <w:t xml:space="preserve">РНК у тварин груп 3 та 4 у три місяці має компенсаторний характер і свідчить про те, що </w:t>
      </w:r>
      <w:proofErr w:type="spellStart"/>
      <w:r w:rsidRPr="00520861">
        <w:rPr>
          <w:rFonts w:eastAsia="Calibri"/>
          <w:sz w:val="28"/>
          <w:szCs w:val="28"/>
          <w:lang w:eastAsia="en-US"/>
        </w:rPr>
        <w:t>атрофізація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уже відбулася та посилилася за проміжок між трьома та шістьма місяцями.</w:t>
      </w:r>
    </w:p>
    <w:p w14:paraId="698FBC24"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Відомо, що в нормі з віком відбувається зменшення кількості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та кількості </w:t>
      </w:r>
      <w:proofErr w:type="spellStart"/>
      <w:r w:rsidRPr="00520861">
        <w:rPr>
          <w:rFonts w:eastAsia="Calibri"/>
          <w:sz w:val="28"/>
          <w:szCs w:val="28"/>
          <w:lang w:eastAsia="en-US"/>
        </w:rPr>
        <w:t>дентинних</w:t>
      </w:r>
      <w:proofErr w:type="spellEnd"/>
      <w:r w:rsidRPr="00520861">
        <w:rPr>
          <w:rFonts w:eastAsia="Calibri"/>
          <w:sz w:val="28"/>
          <w:szCs w:val="28"/>
          <w:lang w:eastAsia="en-US"/>
        </w:rPr>
        <w:t xml:space="preserve"> канальців. На думку науковців, за проміжок часу між віком людини у 20 та 70 років кількість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зменшується вдвічі [253].</w:t>
      </w:r>
    </w:p>
    <w:p w14:paraId="4A31A24B"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Менша кількість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пульпі тварин груп 3 та 4 порівняно з контролем обумовлена, у першу чергу, особливостями ВУ розвитку потомства, оскільки згідно з постулатами </w:t>
      </w:r>
      <w:proofErr w:type="spellStart"/>
      <w:r w:rsidRPr="00520861">
        <w:rPr>
          <w:rFonts w:eastAsia="Calibri"/>
          <w:sz w:val="28"/>
          <w:szCs w:val="28"/>
          <w:lang w:eastAsia="en-US"/>
        </w:rPr>
        <w:t>епігенетики</w:t>
      </w:r>
      <w:proofErr w:type="spellEnd"/>
      <w:r w:rsidRPr="00520861">
        <w:rPr>
          <w:rFonts w:eastAsia="Calibri"/>
          <w:sz w:val="28"/>
          <w:szCs w:val="28"/>
          <w:lang w:eastAsia="en-US"/>
        </w:rPr>
        <w:t xml:space="preserve"> ВУ змодельована експресія генів зберігає рівень їх експресії протягом життя після народження [427]. Стан гіпокінезії та ожиріння, як відомо, супроводжуються гальмуванням </w:t>
      </w:r>
      <w:proofErr w:type="spellStart"/>
      <w:r w:rsidRPr="00520861">
        <w:rPr>
          <w:rFonts w:eastAsia="Calibri"/>
          <w:sz w:val="28"/>
          <w:szCs w:val="28"/>
          <w:lang w:eastAsia="en-US"/>
        </w:rPr>
        <w:t>мітозів</w:t>
      </w:r>
      <w:proofErr w:type="spellEnd"/>
      <w:r w:rsidRPr="00520861">
        <w:rPr>
          <w:rFonts w:eastAsia="Calibri"/>
          <w:sz w:val="28"/>
          <w:szCs w:val="28"/>
          <w:lang w:eastAsia="en-US"/>
        </w:rPr>
        <w:t xml:space="preserve"> клітин в органах, що розвиваються, а отже, і в тканинах зубів [243].</w:t>
      </w:r>
    </w:p>
    <w:p w14:paraId="6D2C02B1"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Також можна припустити, що </w:t>
      </w:r>
      <w:proofErr w:type="spellStart"/>
      <w:r w:rsidRPr="00520861">
        <w:rPr>
          <w:rFonts w:eastAsia="Calibri"/>
          <w:sz w:val="28"/>
          <w:szCs w:val="28"/>
          <w:lang w:eastAsia="en-US"/>
        </w:rPr>
        <w:t>одонтобласти</w:t>
      </w:r>
      <w:proofErr w:type="spellEnd"/>
      <w:r w:rsidRPr="00520861">
        <w:rPr>
          <w:rFonts w:eastAsia="Calibri"/>
          <w:sz w:val="28"/>
          <w:szCs w:val="28"/>
          <w:lang w:eastAsia="en-US"/>
        </w:rPr>
        <w:t xml:space="preserve"> в пульпі зубів тварин груп 3 та 4 «губляться» через прискорений </w:t>
      </w:r>
      <w:proofErr w:type="spellStart"/>
      <w:r w:rsidRPr="00520861">
        <w:rPr>
          <w:rFonts w:eastAsia="Calibri"/>
          <w:sz w:val="28"/>
          <w:szCs w:val="28"/>
          <w:lang w:eastAsia="en-US"/>
        </w:rPr>
        <w:t>апоптоз</w:t>
      </w:r>
      <w:proofErr w:type="spellEnd"/>
      <w:r w:rsidRPr="00520861">
        <w:rPr>
          <w:rFonts w:eastAsia="Calibri"/>
          <w:sz w:val="28"/>
          <w:szCs w:val="28"/>
          <w:lang w:eastAsia="en-US"/>
        </w:rPr>
        <w:t xml:space="preserve">. Відростки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коротшають. </w:t>
      </w:r>
      <w:r w:rsidRPr="00520861">
        <w:rPr>
          <w:rFonts w:eastAsia="Calibri"/>
          <w:sz w:val="28"/>
          <w:szCs w:val="28"/>
          <w:lang w:eastAsia="en-US"/>
        </w:rPr>
        <w:br/>
        <w:t xml:space="preserve">Більша кількість РНК у відростках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деякий час компенсує зменшену кількість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але поступово живлення периферійних ділянок дентину </w:t>
      </w:r>
      <w:proofErr w:type="spellStart"/>
      <w:r w:rsidRPr="00520861">
        <w:rPr>
          <w:rFonts w:eastAsia="Calibri"/>
          <w:sz w:val="28"/>
          <w:szCs w:val="28"/>
          <w:lang w:eastAsia="en-US"/>
        </w:rPr>
        <w:t>ускладнюється</w:t>
      </w:r>
      <w:proofErr w:type="spellEnd"/>
      <w:r w:rsidRPr="00520861">
        <w:rPr>
          <w:rFonts w:eastAsia="Calibri"/>
          <w:sz w:val="28"/>
          <w:szCs w:val="28"/>
          <w:lang w:eastAsia="en-US"/>
        </w:rPr>
        <w:t xml:space="preserve"> й при дії </w:t>
      </w:r>
      <w:proofErr w:type="spellStart"/>
      <w:r w:rsidRPr="00520861">
        <w:rPr>
          <w:rFonts w:eastAsia="Calibri"/>
          <w:sz w:val="28"/>
          <w:szCs w:val="28"/>
          <w:lang w:eastAsia="en-US"/>
        </w:rPr>
        <w:t>уражуючих</w:t>
      </w:r>
      <w:proofErr w:type="spellEnd"/>
      <w:r w:rsidRPr="00520861">
        <w:rPr>
          <w:rFonts w:eastAsia="Calibri"/>
          <w:sz w:val="28"/>
          <w:szCs w:val="28"/>
          <w:lang w:eastAsia="en-US"/>
        </w:rPr>
        <w:t xml:space="preserve"> факторів тверді тканини зубів руйнуються більш легко. Відомо, що </w:t>
      </w:r>
      <w:proofErr w:type="spellStart"/>
      <w:r w:rsidRPr="00520861">
        <w:rPr>
          <w:rFonts w:eastAsia="Calibri"/>
          <w:sz w:val="28"/>
          <w:szCs w:val="28"/>
          <w:lang w:eastAsia="en-US"/>
        </w:rPr>
        <w:t>атрофізація</w:t>
      </w:r>
      <w:proofErr w:type="spellEnd"/>
      <w:r w:rsidRPr="00520861">
        <w:rPr>
          <w:rFonts w:eastAsia="Calibri"/>
          <w:sz w:val="28"/>
          <w:szCs w:val="28"/>
          <w:lang w:eastAsia="en-US"/>
        </w:rPr>
        <w:t xml:space="preserve"> пульпи зі зниженням кількості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призводить до зменшення </w:t>
      </w:r>
      <w:proofErr w:type="spellStart"/>
      <w:r w:rsidRPr="00520861">
        <w:rPr>
          <w:rFonts w:eastAsia="Calibri"/>
          <w:sz w:val="28"/>
          <w:szCs w:val="28"/>
          <w:lang w:eastAsia="en-US"/>
        </w:rPr>
        <w:t>карієсрезистентності</w:t>
      </w:r>
      <w:proofErr w:type="spellEnd"/>
      <w:r w:rsidRPr="00520861">
        <w:rPr>
          <w:rFonts w:eastAsia="Calibri"/>
          <w:sz w:val="28"/>
          <w:szCs w:val="28"/>
          <w:lang w:eastAsia="en-US"/>
        </w:rPr>
        <w:t xml:space="preserve"> [8].</w:t>
      </w:r>
    </w:p>
    <w:p w14:paraId="4C702C46" w14:textId="77777777" w:rsidR="00180D3E" w:rsidRPr="00520861" w:rsidRDefault="00180D3E" w:rsidP="00292D2E">
      <w:pPr>
        <w:widowControl w:val="0"/>
        <w:spacing w:line="360" w:lineRule="auto"/>
        <w:ind w:firstLine="709"/>
        <w:jc w:val="both"/>
        <w:rPr>
          <w:rFonts w:eastAsia="Calibri"/>
          <w:spacing w:val="-6"/>
          <w:sz w:val="28"/>
          <w:szCs w:val="28"/>
          <w:lang w:eastAsia="en-US"/>
        </w:rPr>
      </w:pPr>
      <w:r w:rsidRPr="00520861">
        <w:rPr>
          <w:rFonts w:eastAsia="Calibri"/>
          <w:sz w:val="28"/>
          <w:szCs w:val="28"/>
          <w:lang w:eastAsia="en-US"/>
        </w:rPr>
        <w:t xml:space="preserve">За проміжок часу між 3 та 6 місяцями суттєвих змін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тварин групи контролю не виявлено. Епітеліальний покрив слизової оболонки в </w:t>
      </w:r>
      <w:r w:rsidRPr="00520861">
        <w:rPr>
          <w:rFonts w:eastAsia="Calibri"/>
          <w:sz w:val="28"/>
          <w:szCs w:val="28"/>
          <w:lang w:eastAsia="en-US"/>
        </w:rPr>
        <w:br/>
        <w:t xml:space="preserve">6-місячних тварин </w:t>
      </w:r>
      <w:r w:rsidRPr="00520861">
        <w:rPr>
          <w:sz w:val="28"/>
          <w:szCs w:val="28"/>
        </w:rPr>
        <w:t xml:space="preserve">груп 3 та 4 </w:t>
      </w:r>
      <w:r w:rsidRPr="00520861">
        <w:rPr>
          <w:rFonts w:eastAsia="Calibri"/>
          <w:sz w:val="28"/>
          <w:szCs w:val="28"/>
          <w:lang w:eastAsia="en-US"/>
        </w:rPr>
        <w:t xml:space="preserve">має більш глибокі та більш вузькі </w:t>
      </w:r>
      <w:proofErr w:type="spellStart"/>
      <w:r w:rsidRPr="00520861">
        <w:rPr>
          <w:rFonts w:eastAsia="Calibri"/>
          <w:sz w:val="28"/>
          <w:szCs w:val="28"/>
          <w:lang w:eastAsia="en-US"/>
        </w:rPr>
        <w:t>акантотичні</w:t>
      </w:r>
      <w:proofErr w:type="spellEnd"/>
      <w:r w:rsidRPr="00520861">
        <w:rPr>
          <w:rFonts w:eastAsia="Calibri"/>
          <w:sz w:val="28"/>
          <w:szCs w:val="28"/>
          <w:lang w:eastAsia="en-US"/>
        </w:rPr>
        <w:t xml:space="preserve"> вирости в порівнянні з контрольними тваринами, що свідчить про активну стимуляцію в них проліферації </w:t>
      </w:r>
      <w:proofErr w:type="spellStart"/>
      <w:r w:rsidRPr="00520861">
        <w:rPr>
          <w:rFonts w:eastAsia="Calibri"/>
          <w:sz w:val="28"/>
          <w:szCs w:val="28"/>
          <w:lang w:eastAsia="en-US"/>
        </w:rPr>
        <w:t>епітеліоцитів</w:t>
      </w:r>
      <w:proofErr w:type="spellEnd"/>
      <w:r w:rsidRPr="00520861">
        <w:rPr>
          <w:rFonts w:eastAsia="Calibri"/>
          <w:sz w:val="28"/>
          <w:szCs w:val="28"/>
          <w:lang w:eastAsia="en-US"/>
        </w:rPr>
        <w:t xml:space="preserve">. Часткова відсутність базального шару доводить наявність інтенсивних </w:t>
      </w:r>
      <w:proofErr w:type="spellStart"/>
      <w:r w:rsidRPr="00520861">
        <w:rPr>
          <w:rFonts w:eastAsia="Calibri"/>
          <w:sz w:val="28"/>
          <w:szCs w:val="28"/>
          <w:lang w:eastAsia="en-US"/>
        </w:rPr>
        <w:t>проліферативних</w:t>
      </w:r>
      <w:proofErr w:type="spellEnd"/>
      <w:r w:rsidRPr="00520861">
        <w:rPr>
          <w:rFonts w:eastAsia="Calibri"/>
          <w:sz w:val="28"/>
          <w:szCs w:val="28"/>
          <w:lang w:eastAsia="en-US"/>
        </w:rPr>
        <w:t xml:space="preserve"> процесів. Численні </w:t>
      </w:r>
      <w:proofErr w:type="spellStart"/>
      <w:r w:rsidRPr="00520861">
        <w:rPr>
          <w:rFonts w:eastAsia="Calibri"/>
          <w:sz w:val="28"/>
          <w:szCs w:val="28"/>
          <w:lang w:eastAsia="en-US"/>
        </w:rPr>
        <w:t>двоядерні</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епітеліоцити</w:t>
      </w:r>
      <w:proofErr w:type="spellEnd"/>
      <w:r w:rsidRPr="00520861">
        <w:rPr>
          <w:rFonts w:eastAsia="Calibri"/>
          <w:sz w:val="28"/>
          <w:szCs w:val="28"/>
          <w:lang w:eastAsia="en-US"/>
        </w:rPr>
        <w:t>, які спостерігаються в шипуватому шарі, також свідчать про стимуляцію проліферації епітеліальних клітин. Тобто</w:t>
      </w:r>
      <w:r w:rsidRPr="00520861">
        <w:rPr>
          <w:sz w:val="28"/>
          <w:szCs w:val="28"/>
        </w:rPr>
        <w:t xml:space="preserve"> </w:t>
      </w:r>
      <w:proofErr w:type="spellStart"/>
      <w:r w:rsidRPr="00520861">
        <w:rPr>
          <w:sz w:val="28"/>
          <w:szCs w:val="28"/>
        </w:rPr>
        <w:t>макросомія</w:t>
      </w:r>
      <w:proofErr w:type="spellEnd"/>
      <w:r w:rsidRPr="00520861">
        <w:rPr>
          <w:sz w:val="28"/>
          <w:szCs w:val="28"/>
        </w:rPr>
        <w:t xml:space="preserve"> плода з ВУ ожирінням є асоційованою з нестабільністю епітелію СОПР в онтогенезі, швидким його відмиранням і, отже, більш активною стимуляцією проліферації. </w:t>
      </w:r>
      <w:r w:rsidRPr="00520861">
        <w:rPr>
          <w:spacing w:val="-6"/>
          <w:sz w:val="28"/>
          <w:szCs w:val="28"/>
        </w:rPr>
        <w:t xml:space="preserve">Схильність до підвищеної </w:t>
      </w:r>
      <w:proofErr w:type="spellStart"/>
      <w:r w:rsidRPr="00520861">
        <w:rPr>
          <w:spacing w:val="-6"/>
          <w:sz w:val="28"/>
          <w:szCs w:val="28"/>
        </w:rPr>
        <w:t>проліферативної</w:t>
      </w:r>
      <w:proofErr w:type="spellEnd"/>
      <w:r w:rsidRPr="00520861">
        <w:rPr>
          <w:spacing w:val="-6"/>
          <w:sz w:val="28"/>
          <w:szCs w:val="28"/>
        </w:rPr>
        <w:t xml:space="preserve"> активності клітин шкірного покриву та жирових клітин у тварин, народжених матерями з діабетом, </w:t>
      </w:r>
      <w:r w:rsidRPr="00520861">
        <w:rPr>
          <w:spacing w:val="-6"/>
          <w:sz w:val="28"/>
          <w:szCs w:val="28"/>
        </w:rPr>
        <w:lastRenderedPageBreak/>
        <w:t xml:space="preserve">виявили в експериментальному моделюванні </w:t>
      </w:r>
      <w:proofErr w:type="spellStart"/>
      <w:r w:rsidRPr="00520861">
        <w:rPr>
          <w:spacing w:val="-6"/>
          <w:sz w:val="28"/>
          <w:szCs w:val="28"/>
        </w:rPr>
        <w:t>макросомії</w:t>
      </w:r>
      <w:proofErr w:type="spellEnd"/>
      <w:r w:rsidRPr="00520861">
        <w:rPr>
          <w:spacing w:val="-6"/>
          <w:sz w:val="28"/>
          <w:szCs w:val="28"/>
        </w:rPr>
        <w:t xml:space="preserve"> плода [252].</w:t>
      </w:r>
    </w:p>
    <w:p w14:paraId="065F498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sz w:val="28"/>
          <w:szCs w:val="28"/>
        </w:rPr>
        <w:t xml:space="preserve">Висока інтенсивність проліферації </w:t>
      </w:r>
      <w:proofErr w:type="spellStart"/>
      <w:r w:rsidRPr="00520861">
        <w:rPr>
          <w:sz w:val="28"/>
          <w:szCs w:val="28"/>
        </w:rPr>
        <w:t>епітеліоцитів</w:t>
      </w:r>
      <w:proofErr w:type="spellEnd"/>
      <w:r w:rsidRPr="00520861">
        <w:rPr>
          <w:sz w:val="28"/>
          <w:szCs w:val="28"/>
        </w:rPr>
        <w:t xml:space="preserve"> у таких тварин у подальшому може викликати схильність до розвитку різних порушень СОПР.</w:t>
      </w:r>
      <w:r w:rsidRPr="00520861">
        <w:rPr>
          <w:rFonts w:eastAsia="Calibri"/>
          <w:sz w:val="28"/>
          <w:szCs w:val="28"/>
          <w:lang w:eastAsia="en-US"/>
        </w:rPr>
        <w:t xml:space="preserve"> </w:t>
      </w:r>
      <w:r w:rsidRPr="00520861">
        <w:rPr>
          <w:sz w:val="28"/>
          <w:szCs w:val="28"/>
        </w:rPr>
        <w:t xml:space="preserve">Наприклад, сприйнятливість до </w:t>
      </w:r>
      <w:proofErr w:type="spellStart"/>
      <w:r w:rsidRPr="00520861">
        <w:rPr>
          <w:sz w:val="28"/>
          <w:szCs w:val="28"/>
        </w:rPr>
        <w:t>гіперпроліферації</w:t>
      </w:r>
      <w:proofErr w:type="spellEnd"/>
      <w:r w:rsidRPr="00520861">
        <w:rPr>
          <w:sz w:val="28"/>
          <w:szCs w:val="28"/>
        </w:rPr>
        <w:t xml:space="preserve"> епітелію СОПР може бути однією з причин підвищеної схильності до розвитку стоматиту в дітей, народжених із </w:t>
      </w:r>
      <w:proofErr w:type="spellStart"/>
      <w:r w:rsidRPr="00520861">
        <w:rPr>
          <w:sz w:val="28"/>
          <w:szCs w:val="28"/>
        </w:rPr>
        <w:t>макросомією</w:t>
      </w:r>
      <w:proofErr w:type="spellEnd"/>
      <w:r w:rsidRPr="00520861">
        <w:rPr>
          <w:sz w:val="28"/>
          <w:szCs w:val="28"/>
        </w:rPr>
        <w:t xml:space="preserve"> [216].</w:t>
      </w:r>
    </w:p>
    <w:p w14:paraId="1094A08E"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Відомо, що </w:t>
      </w:r>
      <w:proofErr w:type="spellStart"/>
      <w:r w:rsidRPr="00520861">
        <w:rPr>
          <w:rFonts w:eastAsia="Calibri"/>
          <w:sz w:val="28"/>
          <w:szCs w:val="28"/>
          <w:lang w:eastAsia="en-US"/>
        </w:rPr>
        <w:t>проліферативні</w:t>
      </w:r>
      <w:proofErr w:type="spellEnd"/>
      <w:r w:rsidRPr="00520861">
        <w:rPr>
          <w:rFonts w:eastAsia="Calibri"/>
          <w:sz w:val="28"/>
          <w:szCs w:val="28"/>
          <w:lang w:eastAsia="en-US"/>
        </w:rPr>
        <w:t xml:space="preserve"> явища є складовими процесу запалення. Згідно з відомостями, викладеними в роботі [161], запалення з переважанням процесів проліферації (</w:t>
      </w:r>
      <w:proofErr w:type="spellStart"/>
      <w:r w:rsidRPr="00520861">
        <w:rPr>
          <w:rFonts w:eastAsia="Calibri"/>
          <w:sz w:val="28"/>
          <w:szCs w:val="28"/>
          <w:lang w:eastAsia="en-US"/>
        </w:rPr>
        <w:t>проліферативне</w:t>
      </w:r>
      <w:proofErr w:type="spellEnd"/>
      <w:r w:rsidRPr="00520861">
        <w:rPr>
          <w:rFonts w:eastAsia="Calibri"/>
          <w:sz w:val="28"/>
          <w:szCs w:val="28"/>
          <w:lang w:eastAsia="en-US"/>
        </w:rPr>
        <w:t xml:space="preserve"> запалення) у більшості випадків має хронічний перебіг та може бути як проміжним, так й </w:t>
      </w:r>
      <w:proofErr w:type="spellStart"/>
      <w:r w:rsidRPr="00520861">
        <w:rPr>
          <w:rFonts w:eastAsia="Calibri"/>
          <w:sz w:val="28"/>
          <w:szCs w:val="28"/>
          <w:lang w:eastAsia="en-US"/>
        </w:rPr>
        <w:t>інтерстиціальним</w:t>
      </w:r>
      <w:proofErr w:type="spellEnd"/>
      <w:r w:rsidRPr="00520861">
        <w:rPr>
          <w:rFonts w:eastAsia="Calibri"/>
          <w:sz w:val="28"/>
          <w:szCs w:val="28"/>
          <w:lang w:eastAsia="en-US"/>
        </w:rPr>
        <w:t xml:space="preserve">. Розростання проміжної тканини викликає ущільнення (склероз), що характерно для пародонтозу [161]. Також для пародонтозу характерне розростання сполучнотканинних клітин у судинах, яке призводить до облітерації їх просвіту [161] і теж укладається в поняття </w:t>
      </w:r>
      <w:proofErr w:type="spellStart"/>
      <w:r w:rsidRPr="00520861">
        <w:rPr>
          <w:rFonts w:eastAsia="Calibri"/>
          <w:sz w:val="28"/>
          <w:szCs w:val="28"/>
          <w:lang w:eastAsia="en-US"/>
        </w:rPr>
        <w:t>проліферативного</w:t>
      </w:r>
      <w:proofErr w:type="spellEnd"/>
      <w:r w:rsidRPr="00520861">
        <w:rPr>
          <w:rFonts w:eastAsia="Calibri"/>
          <w:sz w:val="28"/>
          <w:szCs w:val="28"/>
          <w:lang w:eastAsia="en-US"/>
        </w:rPr>
        <w:t xml:space="preserve"> запалення. Отже, превалювання саме пародонтозу в онтогенезі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та на момент народження мали ознаки ожиріння, є очікуваним. Тим більше, що при </w:t>
      </w:r>
      <w:proofErr w:type="spellStart"/>
      <w:r w:rsidRPr="00520861">
        <w:rPr>
          <w:rFonts w:eastAsia="Calibri"/>
          <w:sz w:val="28"/>
          <w:szCs w:val="28"/>
          <w:lang w:eastAsia="en-US"/>
        </w:rPr>
        <w:t>пародонтиті</w:t>
      </w:r>
      <w:proofErr w:type="spellEnd"/>
      <w:r w:rsidRPr="00520861">
        <w:rPr>
          <w:rFonts w:eastAsia="Calibri"/>
          <w:sz w:val="28"/>
          <w:szCs w:val="28"/>
          <w:lang w:eastAsia="en-US"/>
        </w:rPr>
        <w:t xml:space="preserve">, до якого згідно з одержаними нами відомостями схильні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які не мали ознак ВУ ожиріння, </w:t>
      </w:r>
      <w:proofErr w:type="spellStart"/>
      <w:r w:rsidRPr="00520861">
        <w:rPr>
          <w:rFonts w:eastAsia="Calibri"/>
          <w:sz w:val="28"/>
          <w:szCs w:val="28"/>
          <w:lang w:eastAsia="en-US"/>
        </w:rPr>
        <w:t>проліферативні</w:t>
      </w:r>
      <w:proofErr w:type="spellEnd"/>
      <w:r w:rsidRPr="00520861">
        <w:rPr>
          <w:rFonts w:eastAsia="Calibri"/>
          <w:sz w:val="28"/>
          <w:szCs w:val="28"/>
          <w:lang w:eastAsia="en-US"/>
        </w:rPr>
        <w:t xml:space="preserve"> процеси в сосочковому, шипуватому та базальному шарах епітелію ясен є пригніченими [182].</w:t>
      </w:r>
    </w:p>
    <w:p w14:paraId="30E01944" w14:textId="77777777" w:rsidR="00180D3E" w:rsidRPr="00520861" w:rsidRDefault="00180D3E" w:rsidP="00292D2E">
      <w:pPr>
        <w:widowControl w:val="0"/>
        <w:spacing w:line="360" w:lineRule="auto"/>
        <w:ind w:firstLine="567"/>
        <w:jc w:val="both"/>
        <w:rPr>
          <w:rFonts w:eastAsia="Calibri"/>
          <w:sz w:val="28"/>
          <w:szCs w:val="28"/>
          <w:lang w:eastAsia="en-US"/>
        </w:rPr>
      </w:pPr>
      <w:r w:rsidRPr="00520861">
        <w:rPr>
          <w:sz w:val="28"/>
          <w:szCs w:val="28"/>
        </w:rPr>
        <w:t xml:space="preserve">Тварини групи 1 на фоні наявності в них тонкого епітеліального шару мають симптоми </w:t>
      </w:r>
      <w:proofErr w:type="spellStart"/>
      <w:r w:rsidRPr="00520861">
        <w:rPr>
          <w:sz w:val="28"/>
          <w:szCs w:val="28"/>
        </w:rPr>
        <w:t>акантозу</w:t>
      </w:r>
      <w:proofErr w:type="spellEnd"/>
      <w:r w:rsidRPr="00520861">
        <w:rPr>
          <w:sz w:val="28"/>
          <w:szCs w:val="28"/>
        </w:rPr>
        <w:t xml:space="preserve">, що можна пояснити прискореним старінням </w:t>
      </w:r>
      <w:proofErr w:type="spellStart"/>
      <w:r w:rsidRPr="00520861">
        <w:rPr>
          <w:sz w:val="28"/>
          <w:szCs w:val="28"/>
        </w:rPr>
        <w:t>епітеліоцитів</w:t>
      </w:r>
      <w:proofErr w:type="spellEnd"/>
      <w:r w:rsidRPr="00520861">
        <w:rPr>
          <w:sz w:val="28"/>
          <w:szCs w:val="28"/>
        </w:rPr>
        <w:t>.</w:t>
      </w:r>
    </w:p>
    <w:p w14:paraId="20360997" w14:textId="77777777" w:rsidR="00180D3E" w:rsidRPr="00520861" w:rsidRDefault="00180D3E" w:rsidP="00292D2E">
      <w:pPr>
        <w:widowControl w:val="0"/>
        <w:spacing w:line="360" w:lineRule="auto"/>
        <w:ind w:firstLine="567"/>
        <w:contextualSpacing/>
        <w:jc w:val="both"/>
        <w:rPr>
          <w:rFonts w:eastAsia="Calibri"/>
          <w:sz w:val="28"/>
          <w:szCs w:val="28"/>
          <w:lang w:eastAsia="en-US"/>
        </w:rPr>
      </w:pPr>
      <w:r w:rsidRPr="00520861">
        <w:rPr>
          <w:rFonts w:eastAsia="Calibri"/>
          <w:sz w:val="28"/>
          <w:szCs w:val="28"/>
          <w:lang w:eastAsia="en-US"/>
        </w:rPr>
        <w:t xml:space="preserve">Як зазначалося вище, моделювання людських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щурів стикається з певними складнощами через відмінну від людської мікробну </w:t>
      </w:r>
      <w:r w:rsidRPr="00520861">
        <w:rPr>
          <w:rFonts w:eastAsia="Calibri"/>
          <w:sz w:val="28"/>
          <w:szCs w:val="28"/>
          <w:lang w:eastAsia="en-US"/>
        </w:rPr>
        <w:br/>
        <w:t xml:space="preserve">картину в їхній ПР [94]. Тому класичної картини патології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тварин у проведеному нами експериментальному дослідженні ми не спостерігали, адже не ставили за мету моделювати цю патологію. Проте одержані нами результати дають право стверджувати, що стан тканин підтримуючого апарату зуба був гіршим у щурів груп 1 та 2. У цих тварин у віці 6 місяців спостерігалися порушення структури кругової зв’язки та виникнення кишень. У тварин групи 1 за проміжок часу між віком 3 та 6 місяців спостерігалося суттєве зменшення оптичної густини кісткової тканини (PAS-реакція), що свідчить про початок процесу старіння їхньої кісткової тканини, а саме про зменшення частки органічної речовини. Адже відомо, що з віком має </w:t>
      </w:r>
      <w:r w:rsidRPr="00520861">
        <w:rPr>
          <w:rFonts w:eastAsia="Calibri"/>
          <w:sz w:val="28"/>
          <w:szCs w:val="28"/>
          <w:lang w:eastAsia="en-US"/>
        </w:rPr>
        <w:br/>
      </w:r>
      <w:r w:rsidRPr="00520861">
        <w:rPr>
          <w:rFonts w:eastAsia="Calibri"/>
          <w:sz w:val="28"/>
          <w:szCs w:val="28"/>
          <w:lang w:eastAsia="en-US"/>
        </w:rPr>
        <w:lastRenderedPageBreak/>
        <w:t>збільшуватися мінеральна частка кісткової тканини [253].</w:t>
      </w:r>
    </w:p>
    <w:p w14:paraId="541AAF0F" w14:textId="77777777" w:rsidR="00180D3E" w:rsidRPr="00520861" w:rsidRDefault="00180D3E" w:rsidP="00292D2E">
      <w:pPr>
        <w:widowControl w:val="0"/>
        <w:spacing w:line="360" w:lineRule="auto"/>
        <w:ind w:firstLine="567"/>
        <w:contextualSpacing/>
        <w:jc w:val="both"/>
        <w:rPr>
          <w:rFonts w:eastAsia="Calibri"/>
          <w:sz w:val="28"/>
          <w:szCs w:val="28"/>
          <w:lang w:eastAsia="en-US"/>
        </w:rPr>
      </w:pPr>
      <w:r w:rsidRPr="00520861">
        <w:rPr>
          <w:rFonts w:eastAsia="Calibri"/>
          <w:sz w:val="28"/>
          <w:szCs w:val="28"/>
          <w:lang w:eastAsia="en-US"/>
        </w:rPr>
        <w:t xml:space="preserve">У тварин групи 2, навпаки, з віком від 3 до 6 місяців у середньому відбувається компенсаторне збільшення оптичної густини кісткової тканини. Оскільки для тварин цей вік можна вважати молодим [236], мова йде про збільшення в кістковій тканині вмісту нейтральних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w:t>
      </w:r>
    </w:p>
    <w:p w14:paraId="1EBABE0C"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щурів груп 3 та 4 процеси деструкції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виражені меншою мірою. Для таких щурів характерна атрофія епітеліального шару слизової оболонки, зменшена кількість капілярів у слизовій оболонці, склеротичні процеси в судинах та відсутність кишень. Дистрофічні процеси в пародонті цих тварин можуть пояснюватися метаболічними зсувами ВУ періоду та </w:t>
      </w:r>
      <w:proofErr w:type="spellStart"/>
      <w:r w:rsidRPr="00520861">
        <w:rPr>
          <w:rFonts w:eastAsia="Calibri"/>
          <w:sz w:val="28"/>
          <w:szCs w:val="28"/>
          <w:lang w:eastAsia="en-US"/>
        </w:rPr>
        <w:t>гіподинамічними</w:t>
      </w:r>
      <w:proofErr w:type="spellEnd"/>
      <w:r w:rsidRPr="00520861">
        <w:rPr>
          <w:rFonts w:eastAsia="Calibri"/>
          <w:sz w:val="28"/>
          <w:szCs w:val="28"/>
          <w:lang w:eastAsia="en-US"/>
        </w:rPr>
        <w:t xml:space="preserve"> умовами [16] утримання вагітних самиць. У цих тварин у віці 3 місяці було зафіксовано меншу оптичну густину кісткової тканини (PAS-реакція), що може свідчити про гірші, ніж у </w:t>
      </w:r>
      <w:r w:rsidRPr="00520861">
        <w:rPr>
          <w:rFonts w:eastAsia="Calibri"/>
          <w:sz w:val="28"/>
          <w:szCs w:val="28"/>
          <w:lang w:eastAsia="en-US"/>
        </w:rPr>
        <w:br/>
        <w:t xml:space="preserve">контролі, умови для мінералізації кісткової тканини та пояснювати «тонку» кісткову складову альвеолярного відростка. У тварин групи 4 по досягненню ними віку 6 місяців уміст </w:t>
      </w:r>
      <w:proofErr w:type="spellStart"/>
      <w:r w:rsidRPr="00520861">
        <w:rPr>
          <w:rFonts w:eastAsia="Calibri"/>
          <w:sz w:val="28"/>
          <w:szCs w:val="28"/>
          <w:lang w:eastAsia="en-US"/>
        </w:rPr>
        <w:t>глікопротеїдів</w:t>
      </w:r>
      <w:proofErr w:type="spellEnd"/>
      <w:r w:rsidRPr="00520861">
        <w:rPr>
          <w:rFonts w:eastAsia="Calibri"/>
          <w:sz w:val="28"/>
          <w:szCs w:val="28"/>
          <w:lang w:eastAsia="en-US"/>
        </w:rPr>
        <w:t xml:space="preserve"> у кістковій тканині тільки наближається до показників тримісячних тварин групи контролю.</w:t>
      </w:r>
    </w:p>
    <w:p w14:paraId="7D19A5E7" w14:textId="77777777" w:rsidR="00180D3E" w:rsidRPr="00520861" w:rsidRDefault="00180D3E" w:rsidP="00292D2E">
      <w:pPr>
        <w:widowControl w:val="0"/>
        <w:spacing w:line="360" w:lineRule="auto"/>
        <w:ind w:firstLine="567"/>
        <w:contextualSpacing/>
        <w:jc w:val="both"/>
        <w:rPr>
          <w:rFonts w:eastAsia="Calibri"/>
          <w:sz w:val="28"/>
          <w:szCs w:val="28"/>
          <w:lang w:eastAsia="en-US"/>
        </w:rPr>
      </w:pPr>
      <w:r w:rsidRPr="00520861">
        <w:rPr>
          <w:rFonts w:eastAsia="Calibri"/>
          <w:sz w:val="28"/>
          <w:szCs w:val="28"/>
          <w:lang w:eastAsia="en-US"/>
        </w:rPr>
        <w:t xml:space="preserve">Процеси утворення у великій кількості вторинного цементу на верхівках зубів у щурів пояснюються стиранням коронкової частини зубів і процесами «пасивного прорізування», тобто компенсаторними процесами, які при зношуванні </w:t>
      </w:r>
      <w:proofErr w:type="spellStart"/>
      <w:r w:rsidRPr="00520861">
        <w:rPr>
          <w:rFonts w:eastAsia="Calibri"/>
          <w:sz w:val="28"/>
          <w:szCs w:val="28"/>
          <w:lang w:eastAsia="en-US"/>
        </w:rPr>
        <w:t>оклюзійних</w:t>
      </w:r>
      <w:proofErr w:type="spellEnd"/>
      <w:r w:rsidRPr="00520861">
        <w:rPr>
          <w:rFonts w:eastAsia="Calibri"/>
          <w:sz w:val="28"/>
          <w:szCs w:val="28"/>
          <w:lang w:eastAsia="en-US"/>
        </w:rPr>
        <w:t xml:space="preserve"> поверхонь зубів зберігають висоту коронкової частини зубів [73].</w:t>
      </w:r>
    </w:p>
    <w:p w14:paraId="5BFE7D10"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дорослому віці й при старінні тварини основних груп також мають більш виражені порушення твердих тканин зубів і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ніж тварини групи контролю аналогічного віку. При порівнянні результатів забарвлення </w:t>
      </w:r>
      <w:proofErr w:type="spellStart"/>
      <w:r w:rsidRPr="00520861">
        <w:rPr>
          <w:rFonts w:eastAsia="Calibri"/>
          <w:sz w:val="28"/>
          <w:szCs w:val="28"/>
          <w:lang w:eastAsia="en-US"/>
        </w:rPr>
        <w:t>галоціаніном</w:t>
      </w:r>
      <w:proofErr w:type="spellEnd"/>
      <w:r w:rsidRPr="00520861">
        <w:rPr>
          <w:rFonts w:eastAsia="Calibri"/>
          <w:sz w:val="28"/>
          <w:szCs w:val="28"/>
          <w:lang w:eastAsia="en-US"/>
        </w:rPr>
        <w:t xml:space="preserve">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всіх тварин віком 3 та 6 місяців із тваринами віком </w:t>
      </w:r>
      <w:r w:rsidRPr="00520861">
        <w:rPr>
          <w:rFonts w:eastAsia="Calibri"/>
          <w:sz w:val="28"/>
          <w:szCs w:val="28"/>
          <w:lang w:eastAsia="en-US"/>
        </w:rPr>
        <w:br/>
        <w:t>12 – 18 місяців виявилося, що в останніх існує велика різниця між інтенсивністю забарвлення внутрішніх шарів дентину (</w:t>
      </w:r>
      <w:proofErr w:type="spellStart"/>
      <w:r w:rsidRPr="00520861">
        <w:rPr>
          <w:rFonts w:eastAsia="Calibri"/>
          <w:sz w:val="28"/>
          <w:szCs w:val="28"/>
          <w:lang w:eastAsia="en-US"/>
        </w:rPr>
        <w:t>навколопульпарний</w:t>
      </w:r>
      <w:proofErr w:type="spellEnd"/>
      <w:r w:rsidRPr="00520861">
        <w:rPr>
          <w:rFonts w:eastAsia="Calibri"/>
          <w:sz w:val="28"/>
          <w:szCs w:val="28"/>
          <w:lang w:eastAsia="en-US"/>
        </w:rPr>
        <w:t xml:space="preserve"> дентин) і зовнішніх. Це може пояснюватися </w:t>
      </w:r>
      <w:proofErr w:type="spellStart"/>
      <w:r w:rsidRPr="00520861">
        <w:rPr>
          <w:rFonts w:eastAsia="Calibri"/>
          <w:sz w:val="28"/>
          <w:szCs w:val="28"/>
          <w:lang w:eastAsia="en-US"/>
        </w:rPr>
        <w:t>атрофізацією</w:t>
      </w:r>
      <w:proofErr w:type="spellEnd"/>
      <w:r w:rsidRPr="00520861">
        <w:rPr>
          <w:rFonts w:eastAsia="Calibri"/>
          <w:sz w:val="28"/>
          <w:szCs w:val="28"/>
          <w:lang w:eastAsia="en-US"/>
        </w:rPr>
        <w:t xml:space="preserve">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і компенсаторним </w:t>
      </w:r>
      <w:r w:rsidRPr="00520861">
        <w:rPr>
          <w:rFonts w:eastAsia="Calibri"/>
          <w:sz w:val="28"/>
          <w:szCs w:val="28"/>
          <w:lang w:eastAsia="en-US"/>
        </w:rPr>
        <w:br/>
        <w:t xml:space="preserve">збільшенням функціонального навантаження на ті частини, які лишилися. </w:t>
      </w:r>
    </w:p>
    <w:p w14:paraId="4D10A940"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Питання про довжину відростків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нормі не є вирішеним. Згідно з опублікованими різними дослідниками відомостями ці відростки, </w:t>
      </w:r>
      <w:proofErr w:type="spellStart"/>
      <w:r w:rsidRPr="00520861">
        <w:rPr>
          <w:rFonts w:eastAsia="Calibri"/>
          <w:sz w:val="28"/>
          <w:szCs w:val="28"/>
          <w:lang w:eastAsia="en-US"/>
        </w:rPr>
        <w:t>тягнучись</w:t>
      </w:r>
      <w:proofErr w:type="spellEnd"/>
      <w:r w:rsidRPr="00520861">
        <w:rPr>
          <w:rFonts w:eastAsia="Calibri"/>
          <w:sz w:val="28"/>
          <w:szCs w:val="28"/>
          <w:lang w:eastAsia="en-US"/>
        </w:rPr>
        <w:t xml:space="preserve"> у </w:t>
      </w:r>
      <w:r w:rsidRPr="00520861">
        <w:rPr>
          <w:rFonts w:eastAsia="Calibri"/>
          <w:sz w:val="28"/>
          <w:szCs w:val="28"/>
          <w:lang w:eastAsia="en-US"/>
        </w:rPr>
        <w:br/>
      </w:r>
      <w:proofErr w:type="spellStart"/>
      <w:r w:rsidRPr="00520861">
        <w:rPr>
          <w:rFonts w:eastAsia="Calibri"/>
          <w:sz w:val="28"/>
          <w:szCs w:val="28"/>
          <w:lang w:eastAsia="en-US"/>
        </w:rPr>
        <w:lastRenderedPageBreak/>
        <w:t>дентинних</w:t>
      </w:r>
      <w:proofErr w:type="spellEnd"/>
      <w:r w:rsidRPr="00520861">
        <w:rPr>
          <w:rFonts w:eastAsia="Calibri"/>
          <w:sz w:val="28"/>
          <w:szCs w:val="28"/>
          <w:lang w:eastAsia="en-US"/>
        </w:rPr>
        <w:t xml:space="preserve"> канальцях, можуть займати не менше за третину їх довжини та досягати рівня </w:t>
      </w:r>
      <w:proofErr w:type="spellStart"/>
      <w:r w:rsidRPr="00520861">
        <w:rPr>
          <w:rFonts w:eastAsia="Calibri"/>
          <w:sz w:val="28"/>
          <w:szCs w:val="28"/>
          <w:lang w:eastAsia="en-US"/>
        </w:rPr>
        <w:t>дентинно</w:t>
      </w:r>
      <w:proofErr w:type="spellEnd"/>
      <w:r w:rsidRPr="00520861">
        <w:rPr>
          <w:rFonts w:eastAsia="Calibri"/>
          <w:sz w:val="28"/>
          <w:szCs w:val="28"/>
          <w:lang w:eastAsia="en-US"/>
        </w:rPr>
        <w:t>-емалевого з’єднання [310].</w:t>
      </w:r>
    </w:p>
    <w:p w14:paraId="1339DF4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контрольних тварин віком 18 місяців порівняно з віком 12 місяців спостерігається незначне збільшення вмісту РНК у відростках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поєднанні зі зменшенням кількості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у пульпі. Тобто має місце вікова </w:t>
      </w:r>
      <w:proofErr w:type="spellStart"/>
      <w:r w:rsidRPr="00520861">
        <w:rPr>
          <w:rFonts w:eastAsia="Calibri"/>
          <w:sz w:val="28"/>
          <w:szCs w:val="28"/>
          <w:lang w:eastAsia="en-US"/>
        </w:rPr>
        <w:t>атрофізація</w:t>
      </w:r>
      <w:proofErr w:type="spellEnd"/>
      <w:r w:rsidRPr="00520861">
        <w:rPr>
          <w:rFonts w:eastAsia="Calibri"/>
          <w:sz w:val="28"/>
          <w:szCs w:val="28"/>
          <w:lang w:eastAsia="en-US"/>
        </w:rPr>
        <w:t xml:space="preserve"> пульпи в порівнянні з тваринами групи контролю віком 3 та 6 місяців. За проміжок часу між віком 12 та 18 місяців рівень умісту РНК знизився на 24%, 18%, 35% та 46% у першій, другій, третій та четвертій групах відповідно, це свідчить про зниження компенсаторних можливостей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й </w:t>
      </w:r>
      <w:proofErr w:type="spellStart"/>
      <w:r w:rsidRPr="00520861">
        <w:rPr>
          <w:rFonts w:eastAsia="Calibri"/>
          <w:sz w:val="28"/>
          <w:szCs w:val="28"/>
          <w:lang w:eastAsia="en-US"/>
        </w:rPr>
        <w:t>атрофізацію</w:t>
      </w:r>
      <w:proofErr w:type="spellEnd"/>
      <w:r w:rsidRPr="00520861">
        <w:rPr>
          <w:rFonts w:eastAsia="Calibri"/>
          <w:sz w:val="28"/>
          <w:szCs w:val="28"/>
          <w:lang w:eastAsia="en-US"/>
        </w:rPr>
        <w:t xml:space="preserve"> пульпи. </w:t>
      </w:r>
    </w:p>
    <w:p w14:paraId="2E38921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12-місячних і 18-місячних тварин групи 4 </w:t>
      </w:r>
      <w:proofErr w:type="spellStart"/>
      <w:r w:rsidRPr="00520861">
        <w:rPr>
          <w:rFonts w:eastAsia="Calibri"/>
          <w:sz w:val="28"/>
          <w:szCs w:val="28"/>
          <w:lang w:eastAsia="en-US"/>
        </w:rPr>
        <w:t>атрофізація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значно виражена, розмір тіл </w:t>
      </w:r>
      <w:proofErr w:type="spellStart"/>
      <w:r w:rsidRPr="00520861">
        <w:rPr>
          <w:rFonts w:eastAsia="Calibri"/>
          <w:sz w:val="28"/>
          <w:szCs w:val="28"/>
          <w:lang w:eastAsia="en-US"/>
        </w:rPr>
        <w:t>одонтобластів</w:t>
      </w:r>
      <w:proofErr w:type="spellEnd"/>
      <w:r w:rsidRPr="00520861">
        <w:rPr>
          <w:rFonts w:eastAsia="Calibri"/>
          <w:sz w:val="28"/>
          <w:szCs w:val="28"/>
          <w:lang w:eastAsia="en-US"/>
        </w:rPr>
        <w:t xml:space="preserve"> вірогідно менший за такий у контрольних тварин і навіть менший, ніж у тварин інших основних груп. Через </w:t>
      </w:r>
      <w:proofErr w:type="spellStart"/>
      <w:r w:rsidRPr="00520861">
        <w:rPr>
          <w:rFonts w:eastAsia="Calibri"/>
          <w:sz w:val="28"/>
          <w:szCs w:val="28"/>
          <w:lang w:eastAsia="en-US"/>
        </w:rPr>
        <w:t>апоптоз</w:t>
      </w:r>
      <w:proofErr w:type="spellEnd"/>
      <w:r w:rsidRPr="00520861">
        <w:rPr>
          <w:rFonts w:eastAsia="Calibri"/>
          <w:sz w:val="28"/>
          <w:szCs w:val="28"/>
          <w:lang w:eastAsia="en-US"/>
        </w:rPr>
        <w:t xml:space="preserve"> у пульпі «губляться» </w:t>
      </w:r>
      <w:proofErr w:type="spellStart"/>
      <w:r w:rsidRPr="00520861">
        <w:rPr>
          <w:rFonts w:eastAsia="Calibri"/>
          <w:sz w:val="28"/>
          <w:szCs w:val="28"/>
          <w:lang w:eastAsia="en-US"/>
        </w:rPr>
        <w:t>одонтобласти</w:t>
      </w:r>
      <w:proofErr w:type="spellEnd"/>
      <w:r w:rsidRPr="00520861">
        <w:rPr>
          <w:rFonts w:eastAsia="Calibri"/>
          <w:sz w:val="28"/>
          <w:szCs w:val="28"/>
          <w:lang w:eastAsia="en-US"/>
        </w:rPr>
        <w:t xml:space="preserve">, їх відростки стають тонкими та коротшими, живлення цих ділянок дентину </w:t>
      </w:r>
      <w:proofErr w:type="spellStart"/>
      <w:r w:rsidRPr="00520861">
        <w:rPr>
          <w:rFonts w:eastAsia="Calibri"/>
          <w:sz w:val="28"/>
          <w:szCs w:val="28"/>
          <w:lang w:eastAsia="en-US"/>
        </w:rPr>
        <w:t>ускладнюється</w:t>
      </w:r>
      <w:proofErr w:type="spellEnd"/>
      <w:r w:rsidRPr="00520861">
        <w:rPr>
          <w:rFonts w:eastAsia="Calibri"/>
          <w:sz w:val="28"/>
          <w:szCs w:val="28"/>
          <w:lang w:eastAsia="en-US"/>
        </w:rPr>
        <w:t xml:space="preserve"> й компенсаторні можливості вичерпуються.</w:t>
      </w:r>
    </w:p>
    <w:p w14:paraId="4B4A807C"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Слід сказати, що в щурів груп 3 та 4 у віці 6 місяців фіксувався навіть ускладнений карієс. Порівнюючи результати інтенсивності карієсу в 3, 6, 12 та 18 місяців, доповнені кореляційним аналізом, можна стверджувати, що чим вищий </w:t>
      </w:r>
      <w:proofErr w:type="spellStart"/>
      <w:r w:rsidRPr="00520861">
        <w:rPr>
          <w:rFonts w:eastAsia="Calibri"/>
          <w:sz w:val="28"/>
          <w:szCs w:val="28"/>
          <w:lang w:eastAsia="en-US"/>
        </w:rPr>
        <w:t>ІМТт</w:t>
      </w:r>
      <w:proofErr w:type="spellEnd"/>
      <w:r w:rsidRPr="00520861">
        <w:rPr>
          <w:rFonts w:eastAsia="Calibri"/>
          <w:sz w:val="28"/>
          <w:szCs w:val="28"/>
          <w:lang w:eastAsia="en-US"/>
        </w:rPr>
        <w:t xml:space="preserve"> при народженні має тварина, тим у неї вища схильність до виникнення карієсу.</w:t>
      </w:r>
    </w:p>
    <w:p w14:paraId="042FEAFE"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Проведене нами дослідження показує, що врахування саме ІМТ при </w:t>
      </w:r>
      <w:r w:rsidRPr="00520861">
        <w:rPr>
          <w:rFonts w:eastAsia="Calibri"/>
          <w:sz w:val="28"/>
          <w:szCs w:val="28"/>
          <w:lang w:eastAsia="en-US"/>
        </w:rPr>
        <w:br/>
        <w:t xml:space="preserve">народженні, а не просто маси тіла, є предикативним і може стати одним із пояснень </w:t>
      </w:r>
      <w:r w:rsidRPr="00520861">
        <w:rPr>
          <w:rFonts w:eastAsia="Calibri"/>
          <w:sz w:val="28"/>
          <w:szCs w:val="28"/>
          <w:lang w:eastAsia="en-US"/>
        </w:rPr>
        <w:br/>
        <w:t xml:space="preserve">наявних у наукових публікаціях розбіжностей стосовно інтенсивності карієсу у дітей,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w:t>
      </w:r>
    </w:p>
    <w:p w14:paraId="3D56D2DD"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Незважаючи на те що практично в усіх тварин груп 3 та 4 епітелій слизової оболонки тонкий, атрофічний та прикріплений нижче від емалево-цементної межі (рецесія ясен), порушення </w:t>
      </w:r>
      <w:proofErr w:type="spellStart"/>
      <w:r w:rsidRPr="00520861">
        <w:rPr>
          <w:rFonts w:eastAsia="Calibri"/>
          <w:sz w:val="28"/>
          <w:szCs w:val="28"/>
          <w:lang w:eastAsia="en-US"/>
        </w:rPr>
        <w:t>зубо</w:t>
      </w:r>
      <w:proofErr w:type="spellEnd"/>
      <w:r w:rsidRPr="00520861">
        <w:rPr>
          <w:rFonts w:eastAsia="Calibri"/>
          <w:sz w:val="28"/>
          <w:szCs w:val="28"/>
          <w:lang w:eastAsia="en-US"/>
        </w:rPr>
        <w:t>-ясенного прикріплення (кишень) у тварин цих груп у віці 3, 6, 12 та навіть 18 місяців не спостерігалося. Проте в СОПР таких тварин спостерігаються зменшена кількість капілярів та склеротичні процеси в судинах. Мала кількість капілярів є передумовою для постійного оновлення ендотелію, а це означає його спровокованість. Збільшення частки колагену у власній пластинці слизової оболонки може бути асоційованим із процесами старіння [253].</w:t>
      </w:r>
    </w:p>
    <w:p w14:paraId="46E431CA"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Хоча дегенеративні зміни в </w:t>
      </w:r>
      <w:proofErr w:type="spellStart"/>
      <w:r w:rsidRPr="00520861">
        <w:rPr>
          <w:rFonts w:eastAsia="Calibri"/>
          <w:sz w:val="28"/>
          <w:szCs w:val="28"/>
          <w:lang w:eastAsia="en-US"/>
        </w:rPr>
        <w:t>періодонті</w:t>
      </w:r>
      <w:proofErr w:type="spellEnd"/>
      <w:r w:rsidRPr="00520861">
        <w:rPr>
          <w:rFonts w:eastAsia="Calibri"/>
          <w:sz w:val="28"/>
          <w:szCs w:val="28"/>
          <w:lang w:eastAsia="en-US"/>
        </w:rPr>
        <w:t xml:space="preserve"> є очікуваними в похилому віці, коли зменшуються кількість і діаметр волокон </w:t>
      </w:r>
      <w:proofErr w:type="spellStart"/>
      <w:r w:rsidRPr="00520861">
        <w:rPr>
          <w:rFonts w:eastAsia="Calibri"/>
          <w:sz w:val="28"/>
          <w:szCs w:val="28"/>
          <w:lang w:eastAsia="en-US"/>
        </w:rPr>
        <w:t>періодонту</w:t>
      </w:r>
      <w:proofErr w:type="spellEnd"/>
      <w:r w:rsidRPr="00520861">
        <w:rPr>
          <w:rFonts w:eastAsia="Calibri"/>
          <w:sz w:val="28"/>
          <w:szCs w:val="28"/>
          <w:lang w:eastAsia="en-US"/>
        </w:rPr>
        <w:t xml:space="preserve">, науковці наголошують, що треба розрізняти зміни, асоційовані з віком, та зміни внаслідок захворювання [253]. </w:t>
      </w:r>
    </w:p>
    <w:p w14:paraId="3B56F37E" w14:textId="77777777" w:rsidR="00180D3E" w:rsidRPr="00520861" w:rsidRDefault="00180D3E" w:rsidP="00292D2E">
      <w:pPr>
        <w:widowControl w:val="0"/>
        <w:tabs>
          <w:tab w:val="left" w:pos="1170"/>
        </w:tabs>
        <w:spacing w:line="360" w:lineRule="auto"/>
        <w:ind w:firstLine="708"/>
        <w:jc w:val="both"/>
        <w:rPr>
          <w:rFonts w:eastAsia="Calibri"/>
          <w:sz w:val="28"/>
          <w:szCs w:val="28"/>
          <w:lang w:eastAsia="en-US"/>
        </w:rPr>
      </w:pPr>
      <w:r w:rsidRPr="00520861">
        <w:rPr>
          <w:rFonts w:eastAsia="Calibri"/>
          <w:sz w:val="28"/>
          <w:szCs w:val="28"/>
          <w:lang w:eastAsia="en-US"/>
        </w:rPr>
        <w:t xml:space="preserve">Процеси відкладення вторинного цементу в нижній третині кореня хоч і були наявні в усіх залучених до цього експерименту тварин віком 12 та 18 місяців, проте були більш виражені в групах 3 та 4. Відомо, що патологічна </w:t>
      </w:r>
      <w:proofErr w:type="spellStart"/>
      <w:r w:rsidRPr="00520861">
        <w:rPr>
          <w:rFonts w:eastAsia="Calibri"/>
          <w:sz w:val="28"/>
          <w:szCs w:val="28"/>
          <w:lang w:eastAsia="en-US"/>
        </w:rPr>
        <w:t>стертість</w:t>
      </w:r>
      <w:proofErr w:type="spellEnd"/>
      <w:r w:rsidRPr="00520861">
        <w:rPr>
          <w:rFonts w:eastAsia="Calibri"/>
          <w:sz w:val="28"/>
          <w:szCs w:val="28"/>
          <w:lang w:eastAsia="en-US"/>
        </w:rPr>
        <w:t xml:space="preserve"> є однією із причин формування нефізіологічної оклюзії щелеп [163].</w:t>
      </w:r>
    </w:p>
    <w:p w14:paraId="11C7EBD6" w14:textId="77777777" w:rsidR="00180D3E" w:rsidRPr="00520861" w:rsidRDefault="00180D3E" w:rsidP="00292D2E">
      <w:pPr>
        <w:widowControl w:val="0"/>
        <w:spacing w:line="360" w:lineRule="auto"/>
        <w:ind w:firstLine="708"/>
        <w:jc w:val="both"/>
        <w:rPr>
          <w:rFonts w:eastAsia="Calibri"/>
          <w:spacing w:val="-4"/>
          <w:sz w:val="28"/>
          <w:szCs w:val="28"/>
          <w:lang w:eastAsia="en-US"/>
        </w:rPr>
      </w:pPr>
      <w:r w:rsidRPr="00520861">
        <w:rPr>
          <w:rFonts w:eastAsia="Calibri"/>
          <w:sz w:val="28"/>
          <w:szCs w:val="28"/>
          <w:lang w:eastAsia="en-US"/>
        </w:rPr>
        <w:t xml:space="preserve">Оцінюючи результати визначення оптичної густини кісткової тканини при постановці PAS-реакції, можна припустити, що зниження концентрації органічних речовин з віком може бути обумовлено зниженням концентрації </w:t>
      </w:r>
      <w:proofErr w:type="spellStart"/>
      <w:r w:rsidRPr="00520861">
        <w:rPr>
          <w:rFonts w:eastAsia="Calibri"/>
          <w:sz w:val="28"/>
          <w:szCs w:val="28"/>
          <w:lang w:eastAsia="en-US"/>
        </w:rPr>
        <w:t>тіреотропних</w:t>
      </w:r>
      <w:proofErr w:type="spellEnd"/>
      <w:r w:rsidRPr="00520861">
        <w:rPr>
          <w:rFonts w:eastAsia="Calibri"/>
          <w:sz w:val="28"/>
          <w:szCs w:val="28"/>
          <w:lang w:eastAsia="en-US"/>
        </w:rPr>
        <w:t xml:space="preserve"> гормонів, які активують синтез білка </w:t>
      </w:r>
      <w:proofErr w:type="spellStart"/>
      <w:r w:rsidRPr="00520861">
        <w:rPr>
          <w:rFonts w:eastAsia="Calibri"/>
          <w:sz w:val="28"/>
          <w:szCs w:val="28"/>
          <w:lang w:eastAsia="en-US"/>
        </w:rPr>
        <w:t>вцілому</w:t>
      </w:r>
      <w:proofErr w:type="spellEnd"/>
      <w:r w:rsidRPr="00520861">
        <w:rPr>
          <w:rFonts w:eastAsia="Calibri"/>
          <w:sz w:val="28"/>
          <w:szCs w:val="28"/>
          <w:lang w:eastAsia="en-US"/>
        </w:rPr>
        <w:t xml:space="preserve">. Але в разі підвищеної функції щитоподібної залози, що має місце в новонароджених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відносно зниженою масою тіла та в гармонійно розвинених новонароджених тварин [216], можна припустити, що в умовах нашого експерименту була </w:t>
      </w:r>
      <w:proofErr w:type="spellStart"/>
      <w:r w:rsidRPr="00520861">
        <w:rPr>
          <w:rFonts w:eastAsia="Calibri"/>
          <w:sz w:val="28"/>
          <w:szCs w:val="28"/>
          <w:lang w:eastAsia="en-US"/>
        </w:rPr>
        <w:t>епігенетично</w:t>
      </w:r>
      <w:proofErr w:type="spellEnd"/>
      <w:r w:rsidRPr="00520861">
        <w:rPr>
          <w:rFonts w:eastAsia="Calibri"/>
          <w:sz w:val="28"/>
          <w:szCs w:val="28"/>
          <w:lang w:eastAsia="en-US"/>
        </w:rPr>
        <w:t xml:space="preserve"> сформована підвищена функція щитоподібної залози у тварин груп 1 та 2 навіть у віці 12 і 18 місяців. </w:t>
      </w:r>
      <w:r w:rsidRPr="00520861">
        <w:rPr>
          <w:rFonts w:eastAsia="Calibri"/>
          <w:spacing w:val="-4"/>
          <w:sz w:val="28"/>
          <w:szCs w:val="28"/>
          <w:lang w:eastAsia="en-US"/>
        </w:rPr>
        <w:t xml:space="preserve">У зв’язку із цим синтез білка на достатньому рівні в тканинах може зберігатися довше. </w:t>
      </w:r>
    </w:p>
    <w:p w14:paraId="3DAF3A06"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Стан кісткової тканини альвеолярного відростка 18-місячних тварин групи 1 при постановці PAS-реакції характеризувався появою фокальних ділянок зниження </w:t>
      </w:r>
      <w:proofErr w:type="spellStart"/>
      <w:r w:rsidRPr="00520861">
        <w:rPr>
          <w:rFonts w:eastAsia="Calibri"/>
          <w:sz w:val="28"/>
          <w:szCs w:val="28"/>
          <w:lang w:eastAsia="en-US"/>
        </w:rPr>
        <w:t>фуксинофілії</w:t>
      </w:r>
      <w:proofErr w:type="spellEnd"/>
      <w:r w:rsidRPr="00520861">
        <w:rPr>
          <w:rFonts w:eastAsia="Calibri"/>
          <w:sz w:val="28"/>
          <w:szCs w:val="28"/>
          <w:lang w:eastAsia="en-US"/>
        </w:rPr>
        <w:t xml:space="preserve">. Отже, уміст органіки в кістковій тканині таких тварин при старінні </w:t>
      </w:r>
      <w:proofErr w:type="spellStart"/>
      <w:r w:rsidRPr="00520861">
        <w:rPr>
          <w:rFonts w:eastAsia="Calibri"/>
          <w:sz w:val="28"/>
          <w:szCs w:val="28"/>
          <w:lang w:eastAsia="en-US"/>
        </w:rPr>
        <w:t>фокально</w:t>
      </w:r>
      <w:proofErr w:type="spellEnd"/>
      <w:r w:rsidRPr="00520861">
        <w:rPr>
          <w:rFonts w:eastAsia="Calibri"/>
          <w:sz w:val="28"/>
          <w:szCs w:val="28"/>
          <w:lang w:eastAsia="en-US"/>
        </w:rPr>
        <w:t xml:space="preserve"> знижується. Із літературних джерел відомо, що моделювання остеопорозу на щурах є складним завданням [398], та при плануванні дослідження такої задачі не було. А втім, виявлена в умовах нашого експерименту наявність фокальних ділянок зниження </w:t>
      </w:r>
      <w:proofErr w:type="spellStart"/>
      <w:r w:rsidRPr="00520861">
        <w:rPr>
          <w:rFonts w:eastAsia="Calibri"/>
          <w:sz w:val="28"/>
          <w:szCs w:val="28"/>
          <w:lang w:eastAsia="en-US"/>
        </w:rPr>
        <w:t>фуксинофілії</w:t>
      </w:r>
      <w:proofErr w:type="spellEnd"/>
      <w:r w:rsidRPr="00520861">
        <w:rPr>
          <w:rFonts w:eastAsia="Calibri"/>
          <w:sz w:val="28"/>
          <w:szCs w:val="28"/>
          <w:lang w:eastAsia="en-US"/>
        </w:rPr>
        <w:t>, на нашу думку, є виявом остеопорозу, який був змодельований материнськими умовами та похилим віком експериментальних тварин. Мала насиченість кісткової тканини щелеп при постановці PAS-реакції свідчить про знижену міцність кістки.</w:t>
      </w:r>
    </w:p>
    <w:p w14:paraId="0651C463"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Якщо у віці 3 і 6 місяців у тварин груп 3 та 4 спостерігалися тонкі кісткові </w:t>
      </w:r>
      <w:proofErr w:type="spellStart"/>
      <w:r w:rsidRPr="00520861">
        <w:rPr>
          <w:rFonts w:eastAsia="Calibri"/>
          <w:sz w:val="28"/>
          <w:szCs w:val="28"/>
          <w:lang w:eastAsia="en-US"/>
        </w:rPr>
        <w:t>трабекули</w:t>
      </w:r>
      <w:proofErr w:type="spellEnd"/>
      <w:r w:rsidRPr="00520861">
        <w:rPr>
          <w:rFonts w:eastAsia="Calibri"/>
          <w:sz w:val="28"/>
          <w:szCs w:val="28"/>
          <w:lang w:eastAsia="en-US"/>
        </w:rPr>
        <w:t xml:space="preserve">, то в більш старшому (12 місяців, 18 місяців) віці у тварин цих груп, </w:t>
      </w:r>
      <w:r w:rsidRPr="00520861">
        <w:rPr>
          <w:rFonts w:eastAsia="Calibri"/>
          <w:sz w:val="28"/>
          <w:szCs w:val="28"/>
          <w:lang w:eastAsia="en-US"/>
        </w:rPr>
        <w:br/>
        <w:t xml:space="preserve">навпаки, відзначалося потовщення кісткових </w:t>
      </w:r>
      <w:proofErr w:type="spellStart"/>
      <w:r w:rsidRPr="00520861">
        <w:rPr>
          <w:rFonts w:eastAsia="Calibri"/>
          <w:sz w:val="28"/>
          <w:szCs w:val="28"/>
          <w:lang w:eastAsia="en-US"/>
        </w:rPr>
        <w:t>трабекул</w:t>
      </w:r>
      <w:proofErr w:type="spellEnd"/>
      <w:r w:rsidRPr="00520861">
        <w:rPr>
          <w:rFonts w:eastAsia="Calibri"/>
          <w:sz w:val="28"/>
          <w:szCs w:val="28"/>
          <w:lang w:eastAsia="en-US"/>
        </w:rPr>
        <w:t xml:space="preserve">, а також зниження їх </w:t>
      </w:r>
      <w:proofErr w:type="spellStart"/>
      <w:r w:rsidRPr="00520861">
        <w:rPr>
          <w:rFonts w:eastAsia="Calibri"/>
          <w:sz w:val="28"/>
          <w:szCs w:val="28"/>
          <w:lang w:eastAsia="en-US"/>
        </w:rPr>
        <w:t>васку-ляризації</w:t>
      </w:r>
      <w:proofErr w:type="spellEnd"/>
      <w:r w:rsidRPr="00520861">
        <w:rPr>
          <w:rFonts w:eastAsia="Calibri"/>
          <w:sz w:val="28"/>
          <w:szCs w:val="28"/>
          <w:lang w:eastAsia="en-US"/>
        </w:rPr>
        <w:t xml:space="preserve">. Порівнюючи ці відомості з результатами визначення оптичної щільності </w:t>
      </w:r>
      <w:r w:rsidRPr="00520861">
        <w:rPr>
          <w:rFonts w:eastAsia="Calibri"/>
          <w:sz w:val="28"/>
          <w:szCs w:val="28"/>
          <w:lang w:eastAsia="en-US"/>
        </w:rPr>
        <w:lastRenderedPageBreak/>
        <w:t xml:space="preserve">кісткової тканини, а також беручи до уваги наявність повністю </w:t>
      </w:r>
      <w:proofErr w:type="spellStart"/>
      <w:r w:rsidRPr="00520861">
        <w:rPr>
          <w:rFonts w:eastAsia="Calibri"/>
          <w:sz w:val="28"/>
          <w:szCs w:val="28"/>
          <w:lang w:eastAsia="en-US"/>
        </w:rPr>
        <w:t>облітерованих</w:t>
      </w:r>
      <w:proofErr w:type="spellEnd"/>
      <w:r w:rsidRPr="00520861">
        <w:rPr>
          <w:rFonts w:eastAsia="Calibri"/>
          <w:sz w:val="28"/>
          <w:szCs w:val="28"/>
          <w:lang w:eastAsia="en-US"/>
        </w:rPr>
        <w:t xml:space="preserve"> кореневих каналів, ми дійшли висновку, що у тварин цих груп у старшому віці </w:t>
      </w:r>
      <w:proofErr w:type="spellStart"/>
      <w:r w:rsidRPr="00520861">
        <w:rPr>
          <w:rFonts w:eastAsia="Calibri"/>
          <w:sz w:val="28"/>
          <w:szCs w:val="28"/>
          <w:lang w:eastAsia="en-US"/>
        </w:rPr>
        <w:t>остеосклеротичні</w:t>
      </w:r>
      <w:proofErr w:type="spellEnd"/>
      <w:r w:rsidRPr="00520861">
        <w:rPr>
          <w:rFonts w:eastAsia="Calibri"/>
          <w:sz w:val="28"/>
          <w:szCs w:val="28"/>
          <w:lang w:eastAsia="en-US"/>
        </w:rPr>
        <w:t xml:space="preserve"> процеси більш виражені, ніж у тварин груп 1, 2 та групи контролю. </w:t>
      </w:r>
    </w:p>
    <w:p w14:paraId="09E7B307"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Натомість у тварин груп 1 і 2 на фоні гарного кровопостачання при </w:t>
      </w:r>
      <w:r w:rsidRPr="00520861">
        <w:rPr>
          <w:rFonts w:eastAsia="Calibri"/>
          <w:sz w:val="28"/>
          <w:szCs w:val="28"/>
          <w:lang w:eastAsia="en-US"/>
        </w:rPr>
        <w:br/>
        <w:t xml:space="preserve">постановці PAS-реакції спостерігалося нерівномірне </w:t>
      </w:r>
      <w:proofErr w:type="spellStart"/>
      <w:r w:rsidRPr="00520861">
        <w:rPr>
          <w:rFonts w:eastAsia="Calibri"/>
          <w:sz w:val="28"/>
          <w:szCs w:val="28"/>
          <w:lang w:eastAsia="en-US"/>
        </w:rPr>
        <w:t>профарбовування</w:t>
      </w:r>
      <w:proofErr w:type="spellEnd"/>
      <w:r w:rsidRPr="00520861">
        <w:rPr>
          <w:rFonts w:eastAsia="Calibri"/>
          <w:sz w:val="28"/>
          <w:szCs w:val="28"/>
          <w:lang w:eastAsia="en-US"/>
        </w:rPr>
        <w:t xml:space="preserve"> кісткової тканини альвеолярного відростка щелеп та порушення </w:t>
      </w:r>
      <w:proofErr w:type="spellStart"/>
      <w:r w:rsidRPr="00520861">
        <w:rPr>
          <w:rFonts w:eastAsia="Calibri"/>
          <w:sz w:val="28"/>
          <w:szCs w:val="28"/>
          <w:lang w:eastAsia="en-US"/>
        </w:rPr>
        <w:t>зубо</w:t>
      </w:r>
      <w:proofErr w:type="spellEnd"/>
      <w:r w:rsidRPr="00520861">
        <w:rPr>
          <w:rFonts w:eastAsia="Calibri"/>
          <w:sz w:val="28"/>
          <w:szCs w:val="28"/>
          <w:lang w:eastAsia="en-US"/>
        </w:rPr>
        <w:t xml:space="preserve">-ясенного прикріплення з формуванням кишень. За даними науковців, порушення процесів мікроциркуляції в осіб із метаболічними захворюваннями є маркерами захворювань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[118]. А сам характер порушення процесів мікроциркуляції в пародонті корелює із шляхом можливої деструкції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 превалюванням запального (</w:t>
      </w:r>
      <w:proofErr w:type="spellStart"/>
      <w:r w:rsidRPr="00520861">
        <w:rPr>
          <w:rFonts w:eastAsia="Calibri"/>
          <w:sz w:val="28"/>
          <w:szCs w:val="28"/>
          <w:lang w:eastAsia="en-US"/>
        </w:rPr>
        <w:t>пародонтит</w:t>
      </w:r>
      <w:proofErr w:type="spellEnd"/>
      <w:r w:rsidRPr="00520861">
        <w:rPr>
          <w:rFonts w:eastAsia="Calibri"/>
          <w:sz w:val="28"/>
          <w:szCs w:val="28"/>
          <w:lang w:eastAsia="en-US"/>
        </w:rPr>
        <w:t>) чи дистрофічного процесів (пародонтоз) [185].</w:t>
      </w:r>
    </w:p>
    <w:p w14:paraId="18CBDBB4" w14:textId="77777777" w:rsidR="00180D3E" w:rsidRPr="00520861" w:rsidRDefault="00180D3E" w:rsidP="00292D2E">
      <w:pPr>
        <w:widowControl w:val="0"/>
        <w:spacing w:line="360" w:lineRule="auto"/>
        <w:ind w:firstLine="708"/>
        <w:jc w:val="both"/>
        <w:rPr>
          <w:rFonts w:eastAsia="Calibri"/>
          <w:spacing w:val="-2"/>
          <w:sz w:val="28"/>
          <w:szCs w:val="28"/>
          <w:lang w:eastAsia="en-US"/>
        </w:rPr>
      </w:pPr>
      <w:r w:rsidRPr="00520861">
        <w:rPr>
          <w:rFonts w:eastAsia="Calibri"/>
          <w:sz w:val="28"/>
          <w:szCs w:val="28"/>
          <w:lang w:eastAsia="en-US"/>
        </w:rPr>
        <w:t xml:space="preserve">Серед стоматологічної спільноти зміцнюється думка про те, що не тільки </w:t>
      </w:r>
      <w:proofErr w:type="spellStart"/>
      <w:r w:rsidRPr="00520861">
        <w:rPr>
          <w:rFonts w:eastAsia="Calibri"/>
          <w:sz w:val="28"/>
          <w:szCs w:val="28"/>
          <w:lang w:eastAsia="en-US"/>
        </w:rPr>
        <w:t>біо</w:t>
      </w:r>
      <w:proofErr w:type="spellEnd"/>
      <w:r w:rsidRPr="00520861">
        <w:rPr>
          <w:rFonts w:eastAsia="Calibri"/>
          <w:sz w:val="28"/>
          <w:szCs w:val="28"/>
          <w:lang w:eastAsia="en-US"/>
        </w:rPr>
        <w:t xml:space="preserve">-плівка на поверхні зубів і ясен є причиною розвитку порушень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Науковці підтверджують провідну роль у формуванні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й твердих тканин зубів імунних та метаболічних порушень [157]. </w:t>
      </w:r>
      <w:r w:rsidRPr="00520861">
        <w:rPr>
          <w:rFonts w:eastAsia="Calibri"/>
          <w:spacing w:val="-2"/>
          <w:sz w:val="28"/>
          <w:szCs w:val="28"/>
          <w:lang w:eastAsia="en-US"/>
        </w:rPr>
        <w:t xml:space="preserve">Виявлені в цьому дослідженні МФ порушення в тканинах </w:t>
      </w:r>
      <w:proofErr w:type="spellStart"/>
      <w:r w:rsidRPr="00520861">
        <w:rPr>
          <w:rFonts w:eastAsia="Calibri"/>
          <w:spacing w:val="-2"/>
          <w:sz w:val="28"/>
          <w:szCs w:val="28"/>
          <w:lang w:eastAsia="en-US"/>
        </w:rPr>
        <w:t>пародонта</w:t>
      </w:r>
      <w:proofErr w:type="spellEnd"/>
      <w:r w:rsidRPr="00520861">
        <w:rPr>
          <w:rFonts w:eastAsia="Calibri"/>
          <w:spacing w:val="-2"/>
          <w:sz w:val="28"/>
          <w:szCs w:val="28"/>
          <w:lang w:eastAsia="en-US"/>
        </w:rPr>
        <w:t xml:space="preserve"> доповнюють такі відомості.</w:t>
      </w:r>
    </w:p>
    <w:p w14:paraId="5FB838CB"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Отже, МФ стан органів ПР у дорослому віці суттєво залежить від «внутрішньоутробної пам’яті» [394]. До пояснення особливостей МФ стану органів і тканин ПР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різного соматотипу можна також залучити відомі дані про те, що їх ВУ формування перебувало під впливом </w:t>
      </w:r>
      <w:proofErr w:type="spellStart"/>
      <w:r w:rsidRPr="00520861">
        <w:rPr>
          <w:rFonts w:eastAsia="Calibri"/>
          <w:sz w:val="28"/>
          <w:szCs w:val="28"/>
          <w:lang w:eastAsia="en-US"/>
        </w:rPr>
        <w:t>оверекспресії</w:t>
      </w:r>
      <w:proofErr w:type="spellEnd"/>
      <w:r w:rsidRPr="00520861">
        <w:rPr>
          <w:rFonts w:eastAsia="Calibri"/>
          <w:sz w:val="28"/>
          <w:szCs w:val="28"/>
          <w:lang w:eastAsia="en-US"/>
        </w:rPr>
        <w:t xml:space="preserve"> ще двох гормонів –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та СТГ [304]. Перший з них відповідає за накопичення жирової тканини, а другий – за довжину тіла. Тобто у тварин, які народилися з гармонійними </w:t>
      </w:r>
      <w:proofErr w:type="spellStart"/>
      <w:r w:rsidRPr="00520861">
        <w:rPr>
          <w:rFonts w:eastAsia="Calibri"/>
          <w:sz w:val="28"/>
          <w:szCs w:val="28"/>
          <w:lang w:eastAsia="en-US"/>
        </w:rPr>
        <w:t>соматометричними</w:t>
      </w:r>
      <w:proofErr w:type="spellEnd"/>
      <w:r w:rsidRPr="00520861">
        <w:rPr>
          <w:rFonts w:eastAsia="Calibri"/>
          <w:sz w:val="28"/>
          <w:szCs w:val="28"/>
          <w:lang w:eastAsia="en-US"/>
        </w:rPr>
        <w:t xml:space="preserve"> параметрами (група 1), чи тварин, народжених із відносною недостатністю маси тіла й великою довжиною тіла (група 2), очевидно, ВУ превалював вплив СТГ, у них виявлено схильність до запальних процесів у пародонті. Натомість у тварин, які народилися з ознаками надлишку жирової тканини (групи 3 та 4), ВУ період проходив із переважанням впливу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[216], виявлено схильність до так званого «метаболічного запалення». У таких тварин через швидку атрофію пульпи визначається вища інтенсивність карієсу, а захворювання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перебігають із превалюванням дистрофічного компонента над запальним. </w:t>
      </w:r>
    </w:p>
    <w:p w14:paraId="3967AAA0" w14:textId="77777777" w:rsidR="00180D3E" w:rsidRPr="00520861" w:rsidRDefault="00180D3E" w:rsidP="00292D2E">
      <w:pPr>
        <w:widowControl w:val="0"/>
        <w:spacing w:line="360" w:lineRule="auto"/>
        <w:ind w:firstLine="567"/>
        <w:jc w:val="both"/>
        <w:rPr>
          <w:rFonts w:eastAsia="Calibri"/>
          <w:sz w:val="28"/>
          <w:szCs w:val="28"/>
          <w:lang w:eastAsia="en-US"/>
        </w:rPr>
      </w:pPr>
      <w:r w:rsidRPr="00520861">
        <w:rPr>
          <w:rFonts w:eastAsia="Calibri"/>
          <w:sz w:val="28"/>
          <w:szCs w:val="28"/>
          <w:lang w:eastAsia="en-US"/>
        </w:rPr>
        <w:lastRenderedPageBreak/>
        <w:t xml:space="preserve">Отже, велика маса тіла при народженні є інтегральним показником наявності порушень морфогенезу твердих тканин зубів,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та СГС загалом.</w:t>
      </w:r>
    </w:p>
    <w:p w14:paraId="59097EA9"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Далі на вибірці із 126 новонароджених було проаналізовано причини, які можуть призвести до народження дитини-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(відповідні уточнюючі питання внесені до скринінг-опитувальника для новонароджених (Додаток В.2), але не  ввійшли до основних шкал). Одержані відомості також були підтверджені за допомогою клініко-ретроспективного методу на вибірці із історій розвитку 482 дітей. </w:t>
      </w:r>
    </w:p>
    <w:p w14:paraId="5C4CFE9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Підтвердився відомий факт [219], що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плода може бути спадковою. Проте однозначного висновку щодо впливу МРП батьків на народження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одержано не було. Залежність між батьківським ожирінням та </w:t>
      </w:r>
      <w:r w:rsidRPr="00520861">
        <w:rPr>
          <w:rFonts w:eastAsia="Calibri"/>
          <w:sz w:val="28"/>
          <w:szCs w:val="28"/>
          <w:lang w:eastAsia="en-US"/>
        </w:rPr>
        <w:br/>
        <w:t xml:space="preserve">народженням </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також не підтвердилася. Вірогідних доказів впливу цукрового діабету в матері на народження дитини-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нами не знайдено, ймовірно, через високі стандарти </w:t>
      </w:r>
      <w:proofErr w:type="spellStart"/>
      <w:r w:rsidRPr="00520861">
        <w:rPr>
          <w:rFonts w:eastAsia="Calibri"/>
          <w:sz w:val="28"/>
          <w:szCs w:val="28"/>
          <w:lang w:eastAsia="en-US"/>
        </w:rPr>
        <w:t>перинатальної</w:t>
      </w:r>
      <w:proofErr w:type="spellEnd"/>
      <w:r w:rsidRPr="00520861">
        <w:rPr>
          <w:rFonts w:eastAsia="Calibri"/>
          <w:sz w:val="28"/>
          <w:szCs w:val="28"/>
          <w:lang w:eastAsia="en-US"/>
        </w:rPr>
        <w:t xml:space="preserve"> допомоги.</w:t>
      </w:r>
    </w:p>
    <w:p w14:paraId="10D102D0" w14:textId="77777777" w:rsidR="00180D3E" w:rsidRPr="00520861" w:rsidRDefault="00180D3E" w:rsidP="00292D2E">
      <w:pPr>
        <w:widowControl w:val="0"/>
        <w:spacing w:line="360" w:lineRule="auto"/>
        <w:ind w:firstLine="708"/>
        <w:jc w:val="both"/>
        <w:rPr>
          <w:rFonts w:eastAsia="Calibri"/>
          <w:sz w:val="28"/>
          <w:szCs w:val="28"/>
        </w:rPr>
      </w:pPr>
      <w:r w:rsidRPr="00520861">
        <w:rPr>
          <w:rFonts w:eastAsia="Calibri"/>
          <w:sz w:val="28"/>
          <w:szCs w:val="28"/>
        </w:rPr>
        <w:t xml:space="preserve">Аналіз результатів як опитування, так і клініко-ретроспективного дослідження виявив, що кількість вагітностей і пологів (паритет) упливає на ймовірність </w:t>
      </w:r>
      <w:r w:rsidRPr="00520861">
        <w:rPr>
          <w:rFonts w:eastAsia="Calibri"/>
          <w:sz w:val="28"/>
          <w:szCs w:val="28"/>
        </w:rPr>
        <w:br/>
        <w:t>народження дитини-</w:t>
      </w:r>
      <w:proofErr w:type="spellStart"/>
      <w:r w:rsidRPr="00520861">
        <w:rPr>
          <w:rFonts w:eastAsia="Calibri"/>
          <w:sz w:val="28"/>
          <w:szCs w:val="28"/>
        </w:rPr>
        <w:t>макросома</w:t>
      </w:r>
      <w:proofErr w:type="spellEnd"/>
      <w:r w:rsidRPr="00520861">
        <w:rPr>
          <w:rFonts w:eastAsia="Calibri"/>
          <w:sz w:val="28"/>
          <w:szCs w:val="28"/>
        </w:rPr>
        <w:t xml:space="preserve">. Ці дані збігаються з результатами, одержаними іншими науковцями [437]. </w:t>
      </w:r>
      <w:r w:rsidRPr="00520861">
        <w:rPr>
          <w:rFonts w:eastAsia="Calibri"/>
          <w:sz w:val="28"/>
          <w:szCs w:val="28"/>
          <w:lang w:eastAsia="en-US"/>
        </w:rPr>
        <w:t>Проте вірогідного підтвердження того, що вік батьків упливає на ймовірність народження дитини-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нами не знайдено, що суперечить даним, опублікованим іншими дослідниками</w:t>
      </w:r>
      <w:r w:rsidRPr="00520861">
        <w:rPr>
          <w:rFonts w:eastAsia="Calibri"/>
          <w:sz w:val="28"/>
          <w:szCs w:val="28"/>
        </w:rPr>
        <w:t xml:space="preserve"> [437].</w:t>
      </w:r>
    </w:p>
    <w:p w14:paraId="3D65B25D" w14:textId="77777777" w:rsidR="00180D3E" w:rsidRPr="00520861" w:rsidRDefault="00180D3E" w:rsidP="00292D2E">
      <w:pPr>
        <w:widowControl w:val="0"/>
        <w:spacing w:line="360" w:lineRule="auto"/>
        <w:ind w:firstLine="708"/>
        <w:jc w:val="both"/>
        <w:rPr>
          <w:rFonts w:eastAsia="Calibri"/>
          <w:sz w:val="28"/>
          <w:szCs w:val="28"/>
        </w:rPr>
      </w:pPr>
      <w:r w:rsidRPr="00520861">
        <w:rPr>
          <w:rFonts w:eastAsia="Calibri"/>
          <w:sz w:val="28"/>
          <w:szCs w:val="28"/>
          <w:lang w:eastAsia="en-US"/>
        </w:rPr>
        <w:t xml:space="preserve">Відомості, одержані при клініко-ретроспективному дослідженні, </w:t>
      </w:r>
      <w:r w:rsidRPr="00520861">
        <w:rPr>
          <w:rFonts w:eastAsia="Calibri"/>
          <w:sz w:val="28"/>
          <w:szCs w:val="28"/>
        </w:rPr>
        <w:t xml:space="preserve">свідчать, що в середньому </w:t>
      </w:r>
      <w:proofErr w:type="spellStart"/>
      <w:r w:rsidRPr="00520861">
        <w:rPr>
          <w:rFonts w:eastAsia="Calibri"/>
          <w:sz w:val="28"/>
          <w:szCs w:val="28"/>
        </w:rPr>
        <w:t>нормосоми</w:t>
      </w:r>
      <w:proofErr w:type="spellEnd"/>
      <w:r w:rsidRPr="00520861">
        <w:rPr>
          <w:rFonts w:eastAsia="Calibri"/>
          <w:sz w:val="28"/>
          <w:szCs w:val="28"/>
        </w:rPr>
        <w:t xml:space="preserve"> краще адаптуються, ніж </w:t>
      </w:r>
      <w:proofErr w:type="spellStart"/>
      <w:r w:rsidRPr="00520861">
        <w:rPr>
          <w:rFonts w:eastAsia="Calibri"/>
          <w:sz w:val="28"/>
          <w:szCs w:val="28"/>
        </w:rPr>
        <w:t>макросоми</w:t>
      </w:r>
      <w:proofErr w:type="spellEnd"/>
      <w:r w:rsidRPr="00520861">
        <w:rPr>
          <w:rFonts w:eastAsia="Calibri"/>
          <w:sz w:val="28"/>
          <w:szCs w:val="28"/>
        </w:rPr>
        <w:t xml:space="preserve">, що збігається з даними, опублікованими іншими дослідниками [437], та підтверджує думку про те, що в значній кількості випадків </w:t>
      </w:r>
      <w:proofErr w:type="spellStart"/>
      <w:r w:rsidRPr="00520861">
        <w:rPr>
          <w:rFonts w:eastAsia="Calibri"/>
          <w:sz w:val="28"/>
          <w:szCs w:val="28"/>
        </w:rPr>
        <w:t>макросомія</w:t>
      </w:r>
      <w:proofErr w:type="spellEnd"/>
      <w:r w:rsidRPr="00520861">
        <w:rPr>
          <w:rFonts w:eastAsia="Calibri"/>
          <w:sz w:val="28"/>
          <w:szCs w:val="28"/>
        </w:rPr>
        <w:t xml:space="preserve"> плода формується внаслідок патологічного перебігу вагітності [550].</w:t>
      </w:r>
    </w:p>
    <w:p w14:paraId="01787A99" w14:textId="77777777" w:rsidR="00180D3E" w:rsidRPr="00520861" w:rsidRDefault="00180D3E" w:rsidP="00292D2E">
      <w:pPr>
        <w:widowControl w:val="0"/>
        <w:spacing w:line="360" w:lineRule="auto"/>
        <w:ind w:firstLine="709"/>
        <w:jc w:val="both"/>
        <w:rPr>
          <w:rFonts w:eastAsia="Calibri"/>
          <w:sz w:val="28"/>
          <w:szCs w:val="28"/>
        </w:rPr>
      </w:pPr>
      <w:r w:rsidRPr="00520861">
        <w:rPr>
          <w:rFonts w:eastAsia="Calibri"/>
          <w:sz w:val="28"/>
          <w:szCs w:val="28"/>
        </w:rPr>
        <w:t xml:space="preserve">Аналіз ретроспективних даних з глибиною пошуку 13 років виявив, що в середньому значного збільшення МРП при народженні дітей як з </w:t>
      </w:r>
      <w:proofErr w:type="spellStart"/>
      <w:r w:rsidRPr="00520861">
        <w:rPr>
          <w:rFonts w:eastAsia="Calibri"/>
          <w:sz w:val="28"/>
          <w:szCs w:val="28"/>
        </w:rPr>
        <w:t>макросомією</w:t>
      </w:r>
      <w:proofErr w:type="spellEnd"/>
      <w:r w:rsidRPr="00520861">
        <w:rPr>
          <w:rFonts w:eastAsia="Calibri"/>
          <w:sz w:val="28"/>
          <w:szCs w:val="28"/>
        </w:rPr>
        <w:t xml:space="preserve">, так і з </w:t>
      </w:r>
      <w:proofErr w:type="spellStart"/>
      <w:r w:rsidRPr="00520861">
        <w:rPr>
          <w:rFonts w:eastAsia="Calibri"/>
          <w:sz w:val="28"/>
          <w:szCs w:val="28"/>
        </w:rPr>
        <w:t>нормосомією</w:t>
      </w:r>
      <w:proofErr w:type="spellEnd"/>
      <w:r w:rsidRPr="00520861">
        <w:rPr>
          <w:rFonts w:eastAsia="Calibri"/>
          <w:sz w:val="28"/>
          <w:szCs w:val="28"/>
        </w:rPr>
        <w:t xml:space="preserve"> не відбулося, тобто виражені процеси акселерації за цей короткий проміжок часу не спостерігаються, що суперечить іншим дослідженням [248, 289]. Отже, терміни прорізування й швидкість росту тимчасових зубів, яку було визначено 13 років тому, можна екстраполювати та порівнювати із такою тепер. </w:t>
      </w:r>
    </w:p>
    <w:p w14:paraId="0603E6C6" w14:textId="77777777" w:rsidR="00180D3E" w:rsidRPr="00520861" w:rsidRDefault="00180D3E" w:rsidP="00292D2E">
      <w:pPr>
        <w:widowControl w:val="0"/>
        <w:spacing w:line="360" w:lineRule="auto"/>
        <w:ind w:firstLine="709"/>
        <w:jc w:val="both"/>
        <w:rPr>
          <w:rFonts w:eastAsia="Calibri"/>
          <w:sz w:val="28"/>
          <w:szCs w:val="28"/>
        </w:rPr>
      </w:pPr>
      <w:r w:rsidRPr="00520861">
        <w:rPr>
          <w:rFonts w:eastAsia="Calibri"/>
          <w:sz w:val="28"/>
          <w:szCs w:val="28"/>
        </w:rPr>
        <w:lastRenderedPageBreak/>
        <w:t>По досягненні обстеженими 126 дітьми віку 1 рік вірогідна різниця між ОГ та ГП у масі тіла та довжині тіла зберігається. Тобто, ураховуючи відомості, наведені в публікаціях [342, 490, 533], у дітей ОГ через прискорені темпи розвитку слід очікувати раннє прорізування зубів. Проте в клініці інколи спостерігається зворотне.</w:t>
      </w:r>
    </w:p>
    <w:p w14:paraId="5EB8ED55" w14:textId="77777777" w:rsidR="00180D3E" w:rsidRPr="00520861" w:rsidRDefault="00180D3E" w:rsidP="00292D2E">
      <w:pPr>
        <w:widowControl w:val="0"/>
        <w:spacing w:line="360" w:lineRule="auto"/>
        <w:ind w:firstLine="709"/>
        <w:jc w:val="both"/>
        <w:rPr>
          <w:sz w:val="28"/>
          <w:szCs w:val="28"/>
        </w:rPr>
      </w:pPr>
      <w:r w:rsidRPr="00520861">
        <w:rPr>
          <w:sz w:val="28"/>
          <w:szCs w:val="28"/>
        </w:rPr>
        <w:t xml:space="preserve">Останнім часом у науковій літературі з’явилося багато публікацій, які </w:t>
      </w:r>
      <w:r w:rsidRPr="00520861">
        <w:rPr>
          <w:sz w:val="28"/>
          <w:szCs w:val="28"/>
        </w:rPr>
        <w:br/>
        <w:t xml:space="preserve">підтверджують високу інтенсивність і поширеність карієсу, а також інших стоматологічних розладів в осіб, </w:t>
      </w:r>
      <w:r w:rsidRPr="00520861">
        <w:rPr>
          <w:rFonts w:eastAsia="Calibri"/>
          <w:sz w:val="28"/>
          <w:szCs w:val="28"/>
          <w:lang w:eastAsia="en-US"/>
        </w:rPr>
        <w:t xml:space="preserve">які народилися з </w:t>
      </w:r>
      <w:proofErr w:type="spellStart"/>
      <w:r w:rsidRPr="00520861">
        <w:rPr>
          <w:rFonts w:eastAsia="Calibri"/>
          <w:sz w:val="28"/>
          <w:szCs w:val="28"/>
          <w:lang w:eastAsia="en-US"/>
        </w:rPr>
        <w:t>макросомією</w:t>
      </w:r>
      <w:proofErr w:type="spellEnd"/>
      <w:r w:rsidRPr="00520861">
        <w:rPr>
          <w:sz w:val="28"/>
          <w:szCs w:val="28"/>
        </w:rPr>
        <w:t xml:space="preserve"> [490, 573]. Також відомо, що до певних стоматологічних порушень існує генетична схильність [328, 462]. Але вона може проявлятися як у групі </w:t>
      </w:r>
      <w:proofErr w:type="spellStart"/>
      <w:r w:rsidRPr="00520861">
        <w:rPr>
          <w:sz w:val="28"/>
          <w:szCs w:val="28"/>
        </w:rPr>
        <w:t>макросомів</w:t>
      </w:r>
      <w:proofErr w:type="spellEnd"/>
      <w:r w:rsidRPr="00520861">
        <w:rPr>
          <w:sz w:val="28"/>
          <w:szCs w:val="28"/>
        </w:rPr>
        <w:t xml:space="preserve">, так і в групі </w:t>
      </w:r>
      <w:proofErr w:type="spellStart"/>
      <w:r w:rsidRPr="00520861">
        <w:rPr>
          <w:sz w:val="28"/>
          <w:szCs w:val="28"/>
        </w:rPr>
        <w:t>нормосомів</w:t>
      </w:r>
      <w:proofErr w:type="spellEnd"/>
      <w:r w:rsidRPr="00520861">
        <w:rPr>
          <w:sz w:val="28"/>
          <w:szCs w:val="28"/>
        </w:rPr>
        <w:t xml:space="preserve"> і не спроможна пояснити інші виявлені факти. Зокрема, </w:t>
      </w:r>
      <w:proofErr w:type="spellStart"/>
      <w:r w:rsidRPr="00520861">
        <w:rPr>
          <w:sz w:val="28"/>
          <w:szCs w:val="28"/>
        </w:rPr>
        <w:t>макросоми</w:t>
      </w:r>
      <w:proofErr w:type="spellEnd"/>
      <w:r w:rsidRPr="00520861">
        <w:rPr>
          <w:sz w:val="28"/>
          <w:szCs w:val="28"/>
        </w:rPr>
        <w:t xml:space="preserve"> мають різний стан соматичного здоров’я через різний ІМТ при народженні [216] і згодом формується стоматологічний статус, специфічний для кожної підгрупи.</w:t>
      </w:r>
    </w:p>
    <w:p w14:paraId="7775AC13" w14:textId="77777777" w:rsidR="00180D3E" w:rsidRPr="00520861" w:rsidRDefault="00180D3E" w:rsidP="00292D2E">
      <w:pPr>
        <w:widowControl w:val="0"/>
        <w:spacing w:line="360" w:lineRule="auto"/>
        <w:ind w:firstLine="708"/>
        <w:jc w:val="both"/>
        <w:rPr>
          <w:sz w:val="28"/>
          <w:szCs w:val="28"/>
        </w:rPr>
      </w:pPr>
      <w:r w:rsidRPr="00520861">
        <w:rPr>
          <w:sz w:val="28"/>
          <w:szCs w:val="28"/>
        </w:rPr>
        <w:t xml:space="preserve">Розроблена серія опитувальників для осіб різних вікових категорій – ДГВ, дітей, підлітків та дорослих осіб. Ми сподівалися виявити деякі відмінності в батьків осіб, які народилися з </w:t>
      </w:r>
      <w:proofErr w:type="spellStart"/>
      <w:r w:rsidRPr="00520861">
        <w:rPr>
          <w:sz w:val="28"/>
          <w:szCs w:val="28"/>
        </w:rPr>
        <w:t>макросомією</w:t>
      </w:r>
      <w:proofErr w:type="spellEnd"/>
      <w:r w:rsidRPr="00520861">
        <w:rPr>
          <w:sz w:val="28"/>
          <w:szCs w:val="28"/>
        </w:rPr>
        <w:t xml:space="preserve">, у різних підгруп, а саме: неоптимальне харчування, шкідливі звички, особливості стоматологічного статусу тощо. Проте, узявши до уваги, що певна кількість батьків також народилася </w:t>
      </w:r>
      <w:proofErr w:type="spellStart"/>
      <w:r w:rsidRPr="00520861">
        <w:rPr>
          <w:sz w:val="28"/>
          <w:szCs w:val="28"/>
        </w:rPr>
        <w:t>макросомами</w:t>
      </w:r>
      <w:proofErr w:type="spellEnd"/>
      <w:r w:rsidRPr="00520861">
        <w:rPr>
          <w:sz w:val="28"/>
          <w:szCs w:val="28"/>
        </w:rPr>
        <w:t xml:space="preserve">, ми дійшли висновку, що результати опитування батьків дітей у різних підгруп не показують вірогідної різниці. Після аналізу даних опитування по групах та підгрупах і їх порівняння в різних ВП був зроблений висновок, що вплив СБФ на формування </w:t>
      </w:r>
      <w:proofErr w:type="spellStart"/>
      <w:r w:rsidRPr="00520861">
        <w:rPr>
          <w:sz w:val="28"/>
          <w:szCs w:val="28"/>
        </w:rPr>
        <w:t>СтП</w:t>
      </w:r>
      <w:proofErr w:type="spellEnd"/>
      <w:r w:rsidRPr="00520861">
        <w:rPr>
          <w:sz w:val="28"/>
          <w:szCs w:val="28"/>
        </w:rPr>
        <w:t xml:space="preserve"> в осіб ОГ може відрізнятися від дії цього </w:t>
      </w:r>
      <w:proofErr w:type="spellStart"/>
      <w:r w:rsidRPr="00520861">
        <w:rPr>
          <w:sz w:val="28"/>
          <w:szCs w:val="28"/>
        </w:rPr>
        <w:t>фактора</w:t>
      </w:r>
      <w:proofErr w:type="spellEnd"/>
      <w:r w:rsidRPr="00520861">
        <w:rPr>
          <w:sz w:val="28"/>
          <w:szCs w:val="28"/>
        </w:rPr>
        <w:t xml:space="preserve"> в ГП, але ця різниця пов’язана з тим же явищем, яке ми вивчаємо, – </w:t>
      </w:r>
      <w:proofErr w:type="spellStart"/>
      <w:r w:rsidRPr="00520861">
        <w:rPr>
          <w:sz w:val="28"/>
          <w:szCs w:val="28"/>
        </w:rPr>
        <w:t>макросомією</w:t>
      </w:r>
      <w:proofErr w:type="spellEnd"/>
      <w:r w:rsidRPr="00520861">
        <w:rPr>
          <w:sz w:val="28"/>
          <w:szCs w:val="28"/>
        </w:rPr>
        <w:t xml:space="preserve"> плода, тільки тепер батьківською.</w:t>
      </w:r>
    </w:p>
    <w:p w14:paraId="78575FD1" w14:textId="77777777" w:rsidR="00180D3E" w:rsidRPr="00520861" w:rsidRDefault="00180D3E" w:rsidP="00292D2E">
      <w:pPr>
        <w:widowControl w:val="0"/>
        <w:spacing w:line="360" w:lineRule="auto"/>
        <w:ind w:firstLine="708"/>
        <w:jc w:val="both"/>
        <w:rPr>
          <w:sz w:val="28"/>
          <w:szCs w:val="28"/>
        </w:rPr>
      </w:pPr>
      <w:r w:rsidRPr="00520861">
        <w:rPr>
          <w:sz w:val="28"/>
          <w:szCs w:val="28"/>
        </w:rPr>
        <w:t xml:space="preserve">Тобто, швидше за все, </w:t>
      </w:r>
      <w:proofErr w:type="spellStart"/>
      <w:r w:rsidRPr="00520861">
        <w:rPr>
          <w:sz w:val="28"/>
          <w:szCs w:val="28"/>
        </w:rPr>
        <w:t>СтП</w:t>
      </w:r>
      <w:proofErr w:type="spellEnd"/>
      <w:r w:rsidRPr="00520861">
        <w:rPr>
          <w:sz w:val="28"/>
          <w:szCs w:val="28"/>
        </w:rPr>
        <w:t xml:space="preserve">, які виникають в онтогенезі в </w:t>
      </w:r>
      <w:proofErr w:type="spellStart"/>
      <w:r w:rsidRPr="00520861">
        <w:rPr>
          <w:sz w:val="28"/>
          <w:szCs w:val="28"/>
        </w:rPr>
        <w:t>макросомів</w:t>
      </w:r>
      <w:proofErr w:type="spellEnd"/>
      <w:r w:rsidRPr="00520861">
        <w:rPr>
          <w:sz w:val="28"/>
          <w:szCs w:val="28"/>
        </w:rPr>
        <w:t xml:space="preserve">, більш тісно пов’язані з тими ж метаболічними та імунологічними процесами, які й призводять до </w:t>
      </w:r>
      <w:proofErr w:type="spellStart"/>
      <w:r w:rsidRPr="00520861">
        <w:rPr>
          <w:sz w:val="28"/>
          <w:szCs w:val="28"/>
        </w:rPr>
        <w:t>макросомії</w:t>
      </w:r>
      <w:proofErr w:type="spellEnd"/>
      <w:r w:rsidRPr="00520861">
        <w:rPr>
          <w:sz w:val="28"/>
          <w:szCs w:val="28"/>
        </w:rPr>
        <w:t xml:space="preserve"> плода [289, 337], а не з переліком факторів, згрупованих у серії наших «інструментів» дослідження. </w:t>
      </w:r>
      <w:r w:rsidRPr="00520861">
        <w:rPr>
          <w:rFonts w:eastAsia="Calibri"/>
          <w:sz w:val="28"/>
          <w:szCs w:val="28"/>
          <w:lang w:eastAsia="en-US"/>
        </w:rPr>
        <w:t>Далі наведено найбільш вагомі вірогідні відмінності чи тенденції між особами ОГ та ГП.</w:t>
      </w:r>
    </w:p>
    <w:p w14:paraId="4B03CC23"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 осіб дорослого віку,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та на момент народження мали гармонійний розвиток (підгрупа 1), матері мали високий зріст та велику масу тіла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частіше, ніж матері осіб ГП. Це збігається з відомостями, що </w:t>
      </w:r>
      <w:r w:rsidRPr="00520861">
        <w:rPr>
          <w:rFonts w:eastAsia="Calibri"/>
          <w:sz w:val="28"/>
          <w:szCs w:val="28"/>
          <w:lang w:eastAsia="en-US"/>
        </w:rPr>
        <w:lastRenderedPageBreak/>
        <w:t xml:space="preserve">діти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частіше народжуються в жінок, які мають високий зріст [246].</w:t>
      </w:r>
    </w:p>
    <w:p w14:paraId="6BBB3440"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Кількість ускладнень при вагітності та пологах у матерів дітей підгрупи 1 була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вищою, ніж у ГП, та мала тенденцію до збільшення в опитаних осіб дорослого віку. У дітей і дорослих осіб цієї підгрупи виявлено втричі більшу, ніж у ГП, процентну кількість передчасного прорізування тимчасових зубів. За даними </w:t>
      </w:r>
      <w:proofErr w:type="spellStart"/>
      <w:r w:rsidRPr="00520861">
        <w:rPr>
          <w:rFonts w:eastAsia="Calibri"/>
          <w:sz w:val="28"/>
          <w:szCs w:val="28"/>
          <w:lang w:eastAsia="en-US"/>
        </w:rPr>
        <w:t>Wu</w:t>
      </w:r>
      <w:proofErr w:type="spellEnd"/>
      <w:r w:rsidRPr="00520861">
        <w:rPr>
          <w:rFonts w:eastAsia="Calibri"/>
          <w:sz w:val="28"/>
          <w:szCs w:val="28"/>
          <w:lang w:eastAsia="en-US"/>
        </w:rPr>
        <w:t xml:space="preserve"> H. та співавторів [570], у дітей,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спостерігається передчасне прорізування перших тимчасових зубів.</w:t>
      </w:r>
    </w:p>
    <w:p w14:paraId="07D07DC7"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У дітей цієї підгрупи також виявлено тенденцію до високої інтенсивності карієсу зубів тимчасового прикусу. Особи дорослого віку підгрупи 1 частіше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скаржилися на періодичну чи постійну сухість у роті, періодичну чи постійну кровоточивість ясен та неприємний запах з рота, що є ознаками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[284].</w:t>
      </w:r>
    </w:p>
    <w:p w14:paraId="6475FEF4"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Вірогідних відмінностей у значеннях індексу КПВ у матерів на рівні груп та підгруп різних вікових категорій нами не виявлено, проте КПВ у батька </w:t>
      </w:r>
      <w:proofErr w:type="spellStart"/>
      <w:r w:rsidRPr="00520861">
        <w:rPr>
          <w:rFonts w:eastAsia="Calibri"/>
          <w:sz w:val="28"/>
          <w:szCs w:val="28"/>
          <w:lang w:eastAsia="en-US"/>
        </w:rPr>
        <w:t>новона</w:t>
      </w:r>
      <w:proofErr w:type="spellEnd"/>
      <w:r w:rsidRPr="00520861">
        <w:rPr>
          <w:rFonts w:eastAsia="Calibri"/>
          <w:sz w:val="28"/>
          <w:szCs w:val="28"/>
          <w:lang w:eastAsia="en-US"/>
        </w:rPr>
        <w:t>-</w:t>
      </w:r>
      <w:r w:rsidRPr="00520861">
        <w:rPr>
          <w:rFonts w:eastAsia="Calibri"/>
          <w:sz w:val="28"/>
          <w:szCs w:val="28"/>
          <w:lang w:eastAsia="en-US"/>
        </w:rPr>
        <w:br/>
        <w:t xml:space="preserve">роджених ОГ та новонароджених підгрупи 2 був вірогідно вищим за такий у ГП. </w:t>
      </w:r>
    </w:p>
    <w:p w14:paraId="1DC2B14E"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Корейські науковці довели, що невилікуваний карієс зубів у вагітних вірогідно пов’язаний із ризиком народження дитини з великою до </w:t>
      </w:r>
      <w:proofErr w:type="spellStart"/>
      <w:r w:rsidRPr="00520861">
        <w:rPr>
          <w:rFonts w:eastAsia="Calibri"/>
          <w:sz w:val="28"/>
          <w:szCs w:val="28"/>
          <w:lang w:eastAsia="en-US"/>
        </w:rPr>
        <w:t>гестаційного</w:t>
      </w:r>
      <w:proofErr w:type="spellEnd"/>
      <w:r w:rsidRPr="00520861">
        <w:rPr>
          <w:rFonts w:eastAsia="Calibri"/>
          <w:sz w:val="28"/>
          <w:szCs w:val="28"/>
          <w:lang w:eastAsia="en-US"/>
        </w:rPr>
        <w:t xml:space="preserve"> віку масою тіла [274]. Оскільки пролікований карієс у вагітних не призводив до збільшення маси тіла новонародженої дитини, із досліджень корейських [274] учених та відомостей, які одержали ми, можна зробити висновок, що саме наявність у ПР матері високої концентрації </w:t>
      </w:r>
      <w:proofErr w:type="spellStart"/>
      <w:r w:rsidRPr="00520861">
        <w:rPr>
          <w:rFonts w:eastAsia="Calibri"/>
          <w:sz w:val="28"/>
          <w:szCs w:val="28"/>
          <w:lang w:eastAsia="en-US"/>
        </w:rPr>
        <w:t>карієспатогенної</w:t>
      </w:r>
      <w:proofErr w:type="spellEnd"/>
      <w:r w:rsidRPr="00520861">
        <w:rPr>
          <w:rFonts w:eastAsia="Calibri"/>
          <w:sz w:val="28"/>
          <w:szCs w:val="28"/>
          <w:lang w:eastAsia="en-US"/>
        </w:rPr>
        <w:t xml:space="preserve"> мікрофлори може бути пов’язаною з народженням дитини-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Адже добре відомо, що в разі </w:t>
      </w:r>
      <w:proofErr w:type="spellStart"/>
      <w:r w:rsidRPr="00520861">
        <w:rPr>
          <w:rFonts w:eastAsia="Calibri"/>
          <w:sz w:val="28"/>
          <w:szCs w:val="28"/>
          <w:lang w:eastAsia="en-US"/>
        </w:rPr>
        <w:t>невилікованого</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у вагітної </w:t>
      </w:r>
      <w:proofErr w:type="spellStart"/>
      <w:r w:rsidRPr="00520861">
        <w:rPr>
          <w:rFonts w:eastAsia="Calibri"/>
          <w:sz w:val="28"/>
          <w:szCs w:val="28"/>
          <w:lang w:eastAsia="en-US"/>
        </w:rPr>
        <w:t>пародонтопатогенні</w:t>
      </w:r>
      <w:proofErr w:type="spellEnd"/>
      <w:r w:rsidRPr="00520861">
        <w:rPr>
          <w:rFonts w:eastAsia="Calibri"/>
          <w:sz w:val="28"/>
          <w:szCs w:val="28"/>
          <w:lang w:eastAsia="en-US"/>
        </w:rPr>
        <w:t xml:space="preserve"> бактерії можуть спричинити передчасні пологи та є відповідальними за народження дитини із затримкою ВУ розвитку [360]. </w:t>
      </w:r>
    </w:p>
    <w:p w14:paraId="5118CEE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Можливо, кількісні та якісні зміни мікробної картини ПР вагітної, а саме </w:t>
      </w:r>
      <w:proofErr w:type="spellStart"/>
      <w:r w:rsidRPr="00520861">
        <w:rPr>
          <w:rFonts w:eastAsia="Calibri"/>
          <w:sz w:val="28"/>
          <w:szCs w:val="28"/>
          <w:lang w:eastAsia="en-US"/>
        </w:rPr>
        <w:t>пародонтопатогенів</w:t>
      </w:r>
      <w:proofErr w:type="spellEnd"/>
      <w:r w:rsidRPr="00520861">
        <w:rPr>
          <w:rFonts w:eastAsia="Calibri"/>
          <w:sz w:val="28"/>
          <w:szCs w:val="28"/>
          <w:lang w:eastAsia="en-US"/>
        </w:rPr>
        <w:t xml:space="preserve"> і бактерій, які мають патогенетичний вплив на розвиток карієсу, до яких, як відомо, залучаються діаметрально різні мікробні спільноти [424, 505], що за певних умов мають взаємовиключні відносини [13], призводять до народження дітей із діаметрально протилежними (полярними) значеннями МРП.</w:t>
      </w:r>
    </w:p>
    <w:p w14:paraId="3FC7793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При материнському </w:t>
      </w:r>
      <w:proofErr w:type="spellStart"/>
      <w:r w:rsidRPr="00520861">
        <w:rPr>
          <w:rFonts w:eastAsia="Calibri"/>
          <w:sz w:val="28"/>
          <w:szCs w:val="28"/>
          <w:lang w:eastAsia="en-US"/>
        </w:rPr>
        <w:t>пародонтиті</w:t>
      </w:r>
      <w:proofErr w:type="spellEnd"/>
      <w:r w:rsidRPr="00520861">
        <w:rPr>
          <w:rFonts w:eastAsia="Calibri"/>
          <w:sz w:val="28"/>
          <w:szCs w:val="28"/>
          <w:lang w:eastAsia="en-US"/>
        </w:rPr>
        <w:t xml:space="preserve"> збільшується ризик народження дитини із </w:t>
      </w:r>
      <w:r w:rsidRPr="00520861">
        <w:rPr>
          <w:rFonts w:eastAsia="Calibri"/>
          <w:sz w:val="28"/>
          <w:szCs w:val="28"/>
          <w:lang w:eastAsia="en-US"/>
        </w:rPr>
        <w:br/>
        <w:t xml:space="preserve">синдромом затримки ВУ розвитку [558], а при </w:t>
      </w:r>
      <w:proofErr w:type="spellStart"/>
      <w:r w:rsidRPr="00520861">
        <w:rPr>
          <w:rFonts w:eastAsia="Calibri"/>
          <w:sz w:val="28"/>
          <w:szCs w:val="28"/>
          <w:lang w:eastAsia="en-US"/>
        </w:rPr>
        <w:t>невилікованому</w:t>
      </w:r>
      <w:proofErr w:type="spellEnd"/>
      <w:r w:rsidRPr="00520861">
        <w:rPr>
          <w:rFonts w:eastAsia="Calibri"/>
          <w:sz w:val="28"/>
          <w:szCs w:val="28"/>
          <w:lang w:eastAsia="en-US"/>
        </w:rPr>
        <w:t xml:space="preserve"> карієсі підвищується </w:t>
      </w:r>
      <w:r w:rsidRPr="00520861">
        <w:rPr>
          <w:rFonts w:eastAsia="Calibri"/>
          <w:sz w:val="28"/>
          <w:szCs w:val="28"/>
          <w:lang w:eastAsia="en-US"/>
        </w:rPr>
        <w:lastRenderedPageBreak/>
        <w:t xml:space="preserve">ризик народження </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Проте варто вказати, що в дослідженнях </w:t>
      </w:r>
      <w:proofErr w:type="spellStart"/>
      <w:r w:rsidRPr="00520861">
        <w:rPr>
          <w:rFonts w:eastAsia="Calibri"/>
          <w:sz w:val="28"/>
          <w:szCs w:val="28"/>
          <w:lang w:eastAsia="en-US"/>
        </w:rPr>
        <w:t>Cho</w:t>
      </w:r>
      <w:proofErr w:type="spellEnd"/>
      <w:r w:rsidRPr="00520861">
        <w:rPr>
          <w:rFonts w:eastAsia="Calibri"/>
          <w:sz w:val="28"/>
          <w:szCs w:val="28"/>
          <w:lang w:eastAsia="en-US"/>
        </w:rPr>
        <w:t xml:space="preserve"> G. J. та співавторів [274] не був урахований ІМТ матерів на момент народження, який може бути незалежним фактором ризику народження дитини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w:t>
      </w:r>
    </w:p>
    <w:p w14:paraId="6283383B" w14:textId="77777777" w:rsidR="00180D3E" w:rsidRPr="00520861" w:rsidRDefault="00180D3E" w:rsidP="00292D2E">
      <w:pPr>
        <w:widowControl w:val="0"/>
        <w:spacing w:line="360" w:lineRule="auto"/>
        <w:ind w:firstLine="708"/>
        <w:jc w:val="both"/>
        <w:rPr>
          <w:rFonts w:eastAsia="Calibri"/>
          <w:spacing w:val="-6"/>
          <w:sz w:val="28"/>
          <w:szCs w:val="28"/>
          <w:lang w:eastAsia="en-US"/>
        </w:rPr>
      </w:pPr>
      <w:r w:rsidRPr="00520861">
        <w:rPr>
          <w:rFonts w:eastAsia="Calibri"/>
          <w:sz w:val="28"/>
          <w:szCs w:val="28"/>
          <w:lang w:eastAsia="en-US"/>
        </w:rPr>
        <w:t xml:space="preserve">У батьків обох статей дітей та дорослих осіб підгрупи 2 простежується стійка тенденція до підвищеного артеріального тиску. Те, що підвищені цифри артеріального тиску суттєво пов’язані з набором маси тіла протягом вагітності, є доведеним фактом [303]. </w:t>
      </w:r>
      <w:r w:rsidRPr="00520861">
        <w:rPr>
          <w:rFonts w:eastAsia="Calibri"/>
          <w:spacing w:val="-6"/>
          <w:sz w:val="28"/>
          <w:szCs w:val="28"/>
          <w:lang w:eastAsia="en-US"/>
        </w:rPr>
        <w:t xml:space="preserve">Також відомо, що артеріальна гіпертензія може успадковуватися [508]. </w:t>
      </w:r>
    </w:p>
    <w:p w14:paraId="5F11212C" w14:textId="77777777" w:rsidR="00180D3E" w:rsidRPr="00520861" w:rsidRDefault="00180D3E" w:rsidP="00292D2E">
      <w:pPr>
        <w:widowControl w:val="0"/>
        <w:spacing w:line="360" w:lineRule="auto"/>
        <w:ind w:firstLine="708"/>
        <w:contextualSpacing/>
        <w:jc w:val="both"/>
        <w:rPr>
          <w:rFonts w:eastAsia="Calibri"/>
          <w:spacing w:val="-6"/>
          <w:sz w:val="28"/>
          <w:szCs w:val="28"/>
          <w:lang w:eastAsia="en-US"/>
        </w:rPr>
      </w:pPr>
      <w:r w:rsidRPr="00520861">
        <w:rPr>
          <w:rFonts w:eastAsia="Calibri"/>
          <w:sz w:val="28"/>
          <w:szCs w:val="28"/>
          <w:lang w:eastAsia="en-US"/>
        </w:rPr>
        <w:t xml:space="preserve">У дітей підгрупи 2 частіше від усіх учасників дослідження фіксувалися ендокринні порушення та вірогідно частіше, ніж у ГП, зафіксовано діабет 1-го типу. Відомо, що ожиріння в дитячому віці частіше трапляється в осіб,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ніж в осіб, які народилися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[518]. </w:t>
      </w:r>
      <w:r w:rsidRPr="00520861">
        <w:rPr>
          <w:rFonts w:eastAsia="Calibri"/>
          <w:spacing w:val="-6"/>
          <w:sz w:val="28"/>
          <w:szCs w:val="28"/>
          <w:lang w:eastAsia="en-US"/>
        </w:rPr>
        <w:t xml:space="preserve">Згідно з даними, опублікованими </w:t>
      </w:r>
      <w:proofErr w:type="spellStart"/>
      <w:r w:rsidRPr="00520861">
        <w:rPr>
          <w:rFonts w:eastAsia="Calibri"/>
          <w:spacing w:val="-6"/>
          <w:sz w:val="28"/>
          <w:szCs w:val="28"/>
          <w:lang w:eastAsia="en-US"/>
        </w:rPr>
        <w:t>Hermann</w:t>
      </w:r>
      <w:proofErr w:type="spellEnd"/>
      <w:r w:rsidRPr="00520861">
        <w:rPr>
          <w:rFonts w:eastAsia="Calibri"/>
          <w:spacing w:val="-6"/>
          <w:sz w:val="28"/>
          <w:szCs w:val="28"/>
          <w:lang w:eastAsia="en-US"/>
        </w:rPr>
        <w:t xml:space="preserve"> G. M. та співавторами [353], діти, які народилися з </w:t>
      </w:r>
      <w:proofErr w:type="spellStart"/>
      <w:r w:rsidRPr="00520861">
        <w:rPr>
          <w:rFonts w:eastAsia="Calibri"/>
          <w:spacing w:val="-6"/>
          <w:sz w:val="28"/>
          <w:szCs w:val="28"/>
          <w:lang w:eastAsia="en-US"/>
        </w:rPr>
        <w:t>макросомією</w:t>
      </w:r>
      <w:proofErr w:type="spellEnd"/>
      <w:r w:rsidRPr="00520861">
        <w:rPr>
          <w:rFonts w:eastAsia="Calibri"/>
          <w:spacing w:val="-6"/>
          <w:sz w:val="28"/>
          <w:szCs w:val="28"/>
          <w:lang w:eastAsia="en-US"/>
        </w:rPr>
        <w:t>, у дорослому віці мають підвищений ризик розвитку діабету 2 типу, ожиріння та гіпертонії.</w:t>
      </w:r>
    </w:p>
    <w:p w14:paraId="2F328AD9"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Діти підгрупи 2 є «лідерами» по кількості випадків затримки прорізування, вони також мають найменшу ПКВ передчасного прорізування зубів тимчасового прикусу. Дорослі особи цієї підгрупи також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частіше, ніж особи із ГП, мають затримку термінів прорізування тимчасових чи постійних зубів, що співпадає із відомостями, отриманими нами при проведенні ретроспективного та морфологічного дослідження. Тобто схильність до затримки прорізування чи передчасного прорізування тимчасових зубів в осіб ОГ перебуває в залежності не стільки від факту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 скільки від ІМТ обстежуваних осіб при народженні.</w:t>
      </w:r>
    </w:p>
    <w:p w14:paraId="410575F5"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Затримку прорізування тимчасових зубів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дослідила </w:t>
      </w:r>
      <w:proofErr w:type="spellStart"/>
      <w:r w:rsidRPr="00520861">
        <w:rPr>
          <w:rFonts w:eastAsia="Calibri"/>
          <w:sz w:val="28"/>
          <w:szCs w:val="28"/>
          <w:lang w:eastAsia="en-US"/>
        </w:rPr>
        <w:t>Хурасева</w:t>
      </w:r>
      <w:proofErr w:type="spellEnd"/>
      <w:r w:rsidRPr="00520861">
        <w:rPr>
          <w:rFonts w:eastAsia="Calibri"/>
          <w:sz w:val="28"/>
          <w:szCs w:val="28"/>
          <w:lang w:eastAsia="en-US"/>
        </w:rPr>
        <w:t xml:space="preserve"> А. Б. [203]. Авторка пов’язує це з напруженням адаптаційних процесів у таких дітей. </w:t>
      </w:r>
    </w:p>
    <w:p w14:paraId="098B0AA7"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Для дітей підгрупи 2 існує тенденція до збільшення скарг на кровоточивість ясен, вони частіше за всіх учасників дослідження скаржилися на наявність </w:t>
      </w:r>
      <w:proofErr w:type="spellStart"/>
      <w:r w:rsidRPr="00520861">
        <w:rPr>
          <w:rFonts w:eastAsia="Calibri"/>
          <w:sz w:val="28"/>
          <w:szCs w:val="28"/>
          <w:lang w:eastAsia="en-US"/>
        </w:rPr>
        <w:t>бруксизму</w:t>
      </w:r>
      <w:proofErr w:type="spellEnd"/>
      <w:r w:rsidRPr="00520861">
        <w:rPr>
          <w:rFonts w:eastAsia="Calibri"/>
          <w:sz w:val="28"/>
          <w:szCs w:val="28"/>
          <w:lang w:eastAsia="en-US"/>
        </w:rPr>
        <w:t>. Дорослі особи цієї підгрупи також частіше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ніж особи ГП, мали періодичну або постійну кровоточивість ясен, скаржилися на біль або хрускіт у </w:t>
      </w:r>
      <w:proofErr w:type="spellStart"/>
      <w:r w:rsidRPr="00520861">
        <w:rPr>
          <w:rFonts w:eastAsia="Calibri"/>
          <w:sz w:val="28"/>
          <w:szCs w:val="28"/>
          <w:lang w:eastAsia="en-US"/>
        </w:rPr>
        <w:t>скронево</w:t>
      </w:r>
      <w:proofErr w:type="spellEnd"/>
      <w:r w:rsidRPr="00520861">
        <w:rPr>
          <w:rFonts w:eastAsia="Calibri"/>
          <w:sz w:val="28"/>
          <w:szCs w:val="28"/>
          <w:lang w:eastAsia="en-US"/>
        </w:rPr>
        <w:t xml:space="preserve">-нижньощелепних суглобах. Дані про вирішальну роль спадковості при артриті нижньощелепного суглоба в узагальненому вигляді викладено в публікації </w:t>
      </w:r>
      <w:proofErr w:type="spellStart"/>
      <w:r w:rsidRPr="00520861">
        <w:rPr>
          <w:rFonts w:eastAsia="Calibri"/>
          <w:sz w:val="28"/>
          <w:szCs w:val="28"/>
          <w:lang w:eastAsia="en-US"/>
        </w:rPr>
        <w:t>Sangani</w:t>
      </w:r>
      <w:proofErr w:type="spellEnd"/>
      <w:r w:rsidRPr="00520861">
        <w:rPr>
          <w:rFonts w:eastAsia="Calibri"/>
          <w:sz w:val="28"/>
          <w:szCs w:val="28"/>
          <w:lang w:eastAsia="en-US"/>
        </w:rPr>
        <w:t xml:space="preserve"> D. та </w:t>
      </w:r>
      <w:r w:rsidRPr="00520861">
        <w:rPr>
          <w:rFonts w:eastAsia="Calibri"/>
          <w:sz w:val="28"/>
          <w:szCs w:val="28"/>
          <w:lang w:eastAsia="en-US"/>
        </w:rPr>
        <w:lastRenderedPageBreak/>
        <w:t>співавторів [492].</w:t>
      </w:r>
    </w:p>
    <w:p w14:paraId="3624698F" w14:textId="77777777" w:rsidR="00180D3E" w:rsidRPr="00520861" w:rsidRDefault="00180D3E" w:rsidP="00292D2E">
      <w:pPr>
        <w:widowControl w:val="0"/>
        <w:spacing w:line="360" w:lineRule="auto"/>
        <w:ind w:firstLine="708"/>
        <w:contextualSpacing/>
        <w:jc w:val="both"/>
        <w:rPr>
          <w:rFonts w:eastAsia="Calibri"/>
          <w:spacing w:val="-4"/>
          <w:sz w:val="28"/>
          <w:szCs w:val="28"/>
          <w:lang w:eastAsia="en-US"/>
        </w:rPr>
      </w:pPr>
      <w:r w:rsidRPr="00520861">
        <w:rPr>
          <w:rFonts w:eastAsia="Calibri"/>
          <w:sz w:val="28"/>
          <w:szCs w:val="28"/>
          <w:lang w:eastAsia="en-US"/>
        </w:rPr>
        <w:t>Дорослі особи підгрупи 2 частіше й триваліше хворіли та частіше приймали лікарські препарати. В осіб цієї підгрупи зафіксовано більше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скарг на підвищені цифри артеріального тиску. Внутрішньоутробний розвиток осіб цієї підгрупи реалізувався в народженні дитини хоча й з великою масою тіла, але з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нижчим, ніж у ГП, ІМТ, тобто із гіпотрофією. Відомо, що за умови </w:t>
      </w:r>
      <w:r w:rsidRPr="00520861">
        <w:rPr>
          <w:rFonts w:eastAsia="Calibri"/>
          <w:sz w:val="28"/>
          <w:szCs w:val="28"/>
          <w:lang w:eastAsia="en-US"/>
        </w:rPr>
        <w:br/>
        <w:t xml:space="preserve">недостатнього живлення в дитини ВУ формується так званий «феномен рятування мозку», коли поживні речовини перерозподіляються до головного мозку, а паренхіматозні органи, зокрема нирки, формуються в умовах гіпотрофії. Такий механізм описано для дітей, народжених із затримкою ВУ розвитку [11, 485]. Доведено, що в таких осіб формується недостатня кількість нефронів і, як наслідок, вони схильні до артеріальної гіпертензії. </w:t>
      </w:r>
      <w:r w:rsidRPr="00520861">
        <w:rPr>
          <w:rFonts w:eastAsia="Calibri"/>
          <w:spacing w:val="-4"/>
          <w:sz w:val="28"/>
          <w:szCs w:val="28"/>
          <w:lang w:eastAsia="en-US"/>
        </w:rPr>
        <w:t xml:space="preserve">Можна припустити, що для </w:t>
      </w:r>
      <w:proofErr w:type="spellStart"/>
      <w:r w:rsidRPr="00520861">
        <w:rPr>
          <w:rFonts w:eastAsia="Calibri"/>
          <w:spacing w:val="-4"/>
          <w:sz w:val="28"/>
          <w:szCs w:val="28"/>
          <w:lang w:eastAsia="en-US"/>
        </w:rPr>
        <w:t>макросомів</w:t>
      </w:r>
      <w:proofErr w:type="spellEnd"/>
      <w:r w:rsidRPr="00520861">
        <w:rPr>
          <w:rFonts w:eastAsia="Calibri"/>
          <w:spacing w:val="-4"/>
          <w:sz w:val="28"/>
          <w:szCs w:val="28"/>
          <w:lang w:eastAsia="en-US"/>
        </w:rPr>
        <w:t>, народжених із низькими значеннями ІМТ, реалізуються схожі механізми, чим і пояснюється в подальшому поява великого процента осіб із артеріальною гіпертонією саме в цій підгрупі.</w:t>
      </w:r>
    </w:p>
    <w:p w14:paraId="2DF251F7"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Фактом, що заслуговує на увагу є те, що схильність до гіпертензії в осіб під-групи 2 було виявлено як при опитуванні дітей, так і при опитуванні дорослих осіб. Також, як зазначено вище, було виявлено схильність до підвищеного тиску в батьків дітей із підгрупи 2. Хворі на артеріальну гіпертензію мають схильність до виникнення </w:t>
      </w:r>
      <w:proofErr w:type="spellStart"/>
      <w:r w:rsidRPr="00520861">
        <w:rPr>
          <w:rFonts w:eastAsia="Calibri"/>
          <w:sz w:val="28"/>
          <w:szCs w:val="28"/>
          <w:lang w:eastAsia="en-US"/>
        </w:rPr>
        <w:t>дистрофічно</w:t>
      </w:r>
      <w:proofErr w:type="spellEnd"/>
      <w:r w:rsidRPr="00520861">
        <w:rPr>
          <w:rFonts w:eastAsia="Calibri"/>
          <w:sz w:val="28"/>
          <w:szCs w:val="28"/>
          <w:lang w:eastAsia="en-US"/>
        </w:rPr>
        <w:t xml:space="preserve">-запальних </w:t>
      </w:r>
      <w:proofErr w:type="spellStart"/>
      <w:r w:rsidRPr="00520861">
        <w:rPr>
          <w:rFonts w:eastAsia="Calibri"/>
          <w:sz w:val="28"/>
          <w:szCs w:val="28"/>
          <w:lang w:eastAsia="en-US"/>
        </w:rPr>
        <w:t>хвороб</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[214]. І навпаки, хронічний </w:t>
      </w:r>
      <w:proofErr w:type="spellStart"/>
      <w:r w:rsidRPr="00520861">
        <w:rPr>
          <w:rFonts w:eastAsia="Calibri"/>
          <w:sz w:val="28"/>
          <w:szCs w:val="28"/>
          <w:lang w:eastAsia="en-US"/>
        </w:rPr>
        <w:t>пародонтит</w:t>
      </w:r>
      <w:proofErr w:type="spellEnd"/>
      <w:r w:rsidRPr="00520861">
        <w:rPr>
          <w:rFonts w:eastAsia="Calibri"/>
          <w:sz w:val="28"/>
          <w:szCs w:val="28"/>
          <w:lang w:eastAsia="en-US"/>
        </w:rPr>
        <w:t xml:space="preserve"> може бути в числі факторів формування артеріальної гіпертензії, тобто існування взаємозв’язку між цими процесами є беззаперечним фактом [111]. Безумовно, нам невідомо, який з указаних механізмів спрацьовує в кожному конкретному випадку, але переважну схильність осіб ОГ, які народилися з відносною недостатністю маси тіла, до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було зафіксовано й у наших дослідженнях.</w:t>
      </w:r>
    </w:p>
    <w:p w14:paraId="443F415A"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Батьки обох статей дітей та осіб дорослого віку,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та на момент народження мали велику довжину тіла та ВУ ожиріння (підгрупа 3), мали найбільші антропометричні характеристики серед усіх батьків. Жінки, які мають високий зріст та велику масу тіла, мають вірогідно (</w:t>
      </w:r>
      <w:r w:rsidR="00053219" w:rsidRPr="00520861">
        <w:rPr>
          <w:rFonts w:eastAsia="Calibri"/>
          <w:i/>
          <w:sz w:val="28"/>
          <w:szCs w:val="28"/>
          <w:lang w:eastAsia="en-US"/>
        </w:rPr>
        <w:t>p</w:t>
      </w:r>
      <w:r w:rsidR="00001647"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вищі шанси народити дитину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ніж жінки із середніми МРП [585].</w:t>
      </w:r>
    </w:p>
    <w:p w14:paraId="49BB049E"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Серед матерів дітей підгрупи 3 зафіксований вірогідно більший процент жінок </w:t>
      </w:r>
      <w:r w:rsidRPr="00520861">
        <w:rPr>
          <w:rFonts w:eastAsia="Calibri"/>
          <w:sz w:val="28"/>
          <w:szCs w:val="28"/>
          <w:lang w:eastAsia="en-US"/>
        </w:rPr>
        <w:lastRenderedPageBreak/>
        <w:t xml:space="preserve">віком 30 років і більше. Згідно з відомостями, опублікованими </w:t>
      </w:r>
      <w:proofErr w:type="spellStart"/>
      <w:r w:rsidRPr="00520861">
        <w:rPr>
          <w:rFonts w:eastAsia="Calibri"/>
          <w:sz w:val="28"/>
          <w:szCs w:val="28"/>
          <w:lang w:eastAsia="en-US"/>
        </w:rPr>
        <w:t>Said</w:t>
      </w:r>
      <w:proofErr w:type="spellEnd"/>
      <w:r w:rsidRPr="00520861">
        <w:rPr>
          <w:rFonts w:eastAsia="Calibri"/>
          <w:sz w:val="28"/>
          <w:szCs w:val="28"/>
          <w:lang w:eastAsia="en-US"/>
        </w:rPr>
        <w:t xml:space="preserve"> A. S. та співавторами [489], маса тіла матері 80 кг або більше, вік матері між 30 та 39 роками, наявність діабету, повторні пологи та </w:t>
      </w:r>
      <w:proofErr w:type="spellStart"/>
      <w:r w:rsidRPr="00520861">
        <w:rPr>
          <w:rFonts w:eastAsia="Calibri"/>
          <w:sz w:val="28"/>
          <w:szCs w:val="28"/>
          <w:lang w:eastAsia="en-US"/>
        </w:rPr>
        <w:t>гестаційний</w:t>
      </w:r>
      <w:proofErr w:type="spellEnd"/>
      <w:r w:rsidRPr="00520861">
        <w:rPr>
          <w:rFonts w:eastAsia="Calibri"/>
          <w:sz w:val="28"/>
          <w:szCs w:val="28"/>
          <w:lang w:eastAsia="en-US"/>
        </w:rPr>
        <w:t xml:space="preserve"> вік дитини більший за 40 тижнів пов’язані зі збільшенням вірогідності народження дитини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w:t>
      </w:r>
    </w:p>
    <w:p w14:paraId="26AD02F5"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Діти підгрупи 3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частіше за дітей ГП були народжені не від перших пологів. Згідно з відомостями, викладеними </w:t>
      </w:r>
      <w:proofErr w:type="spellStart"/>
      <w:r w:rsidRPr="00520861">
        <w:rPr>
          <w:rFonts w:eastAsia="Calibri"/>
          <w:sz w:val="28"/>
          <w:szCs w:val="28"/>
          <w:lang w:eastAsia="en-US"/>
        </w:rPr>
        <w:t>Julihn</w:t>
      </w:r>
      <w:proofErr w:type="spellEnd"/>
      <w:r w:rsidRPr="00520861">
        <w:rPr>
          <w:rFonts w:eastAsia="Calibri"/>
          <w:sz w:val="28"/>
          <w:szCs w:val="28"/>
          <w:lang w:eastAsia="en-US"/>
        </w:rPr>
        <w:t xml:space="preserve"> A. та співавторами [371], </w:t>
      </w:r>
      <w:r w:rsidRPr="00520861">
        <w:rPr>
          <w:rFonts w:eastAsia="Calibri"/>
          <w:sz w:val="28"/>
          <w:szCs w:val="28"/>
          <w:shd w:val="clear" w:color="auto" w:fill="FFFFFF"/>
          <w:lang w:eastAsia="en-US"/>
        </w:rPr>
        <w:t xml:space="preserve">діти у віці 3 років, народжені </w:t>
      </w:r>
      <w:r w:rsidRPr="00520861">
        <w:rPr>
          <w:rFonts w:eastAsia="Calibri"/>
          <w:sz w:val="28"/>
          <w:szCs w:val="28"/>
          <w:lang w:eastAsia="en-US"/>
        </w:rPr>
        <w:t>за порядком народження в родині не першими</w:t>
      </w:r>
      <w:r w:rsidRPr="00520861">
        <w:rPr>
          <w:rFonts w:eastAsia="Calibri"/>
          <w:sz w:val="28"/>
          <w:szCs w:val="28"/>
          <w:shd w:val="clear" w:color="auto" w:fill="FFFFFF"/>
          <w:lang w:eastAsia="en-US"/>
        </w:rPr>
        <w:t>, мають вищу інтенсивність карієсу, ніж їх однолітки, які були першою дитиною в родині.</w:t>
      </w:r>
      <w:r w:rsidRPr="00520861">
        <w:rPr>
          <w:rFonts w:eastAsia="Calibri"/>
          <w:sz w:val="28"/>
          <w:szCs w:val="28"/>
          <w:lang w:eastAsia="en-US"/>
        </w:rPr>
        <w:t xml:space="preserve"> Відомо, що в осіб, які за порядком народження в родині не перші, спостерігається вища ПКВ карієсу тимчасових і постійних зубів [260, 301]. Зазначимо, що ПКВ дітей із високими показниками карієсу в підгрупі 3 була вірогідно вищою, ніж у ГП.</w:t>
      </w:r>
    </w:p>
    <w:p w14:paraId="56573783"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У батьків і близьких родичів дорослих осіб цієї підгрупи, на відміну від осіб ГП,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рідше траплялися аномалії кількості, форми або положення окремих зубів. Цей факт є цікавим тому, що поясненням великої кількості порушень прикусу в осіб цієї підгрупи є не тільки спадковість. </w:t>
      </w:r>
      <w:r w:rsidRPr="00520861">
        <w:rPr>
          <w:sz w:val="28"/>
          <w:szCs w:val="28"/>
        </w:rPr>
        <w:t xml:space="preserve">Адже відомо, що аномалії </w:t>
      </w:r>
      <w:proofErr w:type="spellStart"/>
      <w:r w:rsidRPr="00520861">
        <w:rPr>
          <w:sz w:val="28"/>
          <w:szCs w:val="28"/>
        </w:rPr>
        <w:t>краніо</w:t>
      </w:r>
      <w:proofErr w:type="spellEnd"/>
      <w:r w:rsidRPr="00520861">
        <w:rPr>
          <w:sz w:val="28"/>
          <w:szCs w:val="28"/>
        </w:rPr>
        <w:t xml:space="preserve">-фаціального комплексу в більшості випадків є </w:t>
      </w:r>
      <w:proofErr w:type="spellStart"/>
      <w:r w:rsidRPr="00520861">
        <w:rPr>
          <w:sz w:val="28"/>
          <w:szCs w:val="28"/>
        </w:rPr>
        <w:t>спадковообумовленими</w:t>
      </w:r>
      <w:proofErr w:type="spellEnd"/>
      <w:r w:rsidRPr="00520861">
        <w:rPr>
          <w:sz w:val="28"/>
          <w:szCs w:val="28"/>
        </w:rPr>
        <w:t xml:space="preserve"> </w:t>
      </w:r>
      <w:r w:rsidRPr="00520861">
        <w:rPr>
          <w:rFonts w:eastAsia="Calibri"/>
          <w:sz w:val="28"/>
          <w:szCs w:val="28"/>
          <w:lang w:eastAsia="en-US"/>
        </w:rPr>
        <w:t>[430]</w:t>
      </w:r>
      <w:r w:rsidRPr="00520861">
        <w:rPr>
          <w:sz w:val="28"/>
          <w:szCs w:val="28"/>
        </w:rPr>
        <w:t>.</w:t>
      </w:r>
    </w:p>
    <w:p w14:paraId="6AF97381"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Діти підгрупи 3 частіше за інших мають патологію шлунково-кишкового тракту та в них частіше спостерігається утруднене дихання через ніс і шкідливі звички </w:t>
      </w:r>
      <w:proofErr w:type="spellStart"/>
      <w:r w:rsidRPr="00520861">
        <w:rPr>
          <w:rFonts w:eastAsia="Calibri"/>
          <w:sz w:val="28"/>
          <w:szCs w:val="28"/>
          <w:lang w:eastAsia="en-US"/>
        </w:rPr>
        <w:t>ортофаціального</w:t>
      </w:r>
      <w:proofErr w:type="spellEnd"/>
      <w:r w:rsidRPr="00520861">
        <w:rPr>
          <w:rFonts w:eastAsia="Calibri"/>
          <w:sz w:val="28"/>
          <w:szCs w:val="28"/>
          <w:lang w:eastAsia="en-US"/>
        </w:rPr>
        <w:t xml:space="preserve"> характеру. Процентна кількість випадків </w:t>
      </w:r>
      <w:proofErr w:type="spellStart"/>
      <w:r w:rsidRPr="00520861">
        <w:rPr>
          <w:rFonts w:eastAsia="Calibri"/>
          <w:sz w:val="28"/>
          <w:szCs w:val="28"/>
          <w:lang w:eastAsia="en-US"/>
        </w:rPr>
        <w:t>атопічного</w:t>
      </w:r>
      <w:proofErr w:type="spellEnd"/>
      <w:r w:rsidRPr="00520861">
        <w:rPr>
          <w:rFonts w:eastAsia="Calibri"/>
          <w:sz w:val="28"/>
          <w:szCs w:val="28"/>
          <w:lang w:eastAsia="en-US"/>
        </w:rPr>
        <w:t xml:space="preserve"> дерматиту, бронхіальної астми, алергічного риніту або інших алергічних проявів у батька новонародженого підгрупи 3 була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вищою за таку в ГП. Слід зазначити, що кожен батько, який указав наявність алергічних захворювань, сам народився </w:t>
      </w:r>
      <w:r w:rsidRPr="00520861">
        <w:rPr>
          <w:rFonts w:eastAsia="Calibri"/>
          <w:sz w:val="28"/>
          <w:szCs w:val="28"/>
          <w:lang w:eastAsia="en-US"/>
        </w:rPr>
        <w:br/>
      </w:r>
      <w:proofErr w:type="spellStart"/>
      <w:r w:rsidRPr="00520861">
        <w:rPr>
          <w:rFonts w:eastAsia="Calibri"/>
          <w:sz w:val="28"/>
          <w:szCs w:val="28"/>
          <w:lang w:eastAsia="en-US"/>
        </w:rPr>
        <w:t>макросомом</w:t>
      </w:r>
      <w:proofErr w:type="spellEnd"/>
      <w:r w:rsidRPr="00520861">
        <w:rPr>
          <w:rFonts w:eastAsia="Calibri"/>
          <w:sz w:val="28"/>
          <w:szCs w:val="28"/>
          <w:lang w:eastAsia="en-US"/>
        </w:rPr>
        <w:t xml:space="preserve">. Учасники дослідження цієї підгрупи мали найбільшу серед усіх ПКВ скарг на підвищену чутливість зубів до різних подразників. Така скарга є однією з ознак захворювання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з превалюванням дистрофічного компонента (пародонтоз) [169, 208].</w:t>
      </w:r>
    </w:p>
    <w:p w14:paraId="7ED110AC"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батька особи дорослого віку, яка народилася </w:t>
      </w:r>
      <w:proofErr w:type="spellStart"/>
      <w:r w:rsidRPr="00520861">
        <w:rPr>
          <w:rFonts w:eastAsia="Calibri"/>
          <w:sz w:val="28"/>
          <w:szCs w:val="28"/>
          <w:lang w:eastAsia="en-US"/>
        </w:rPr>
        <w:t>макросомом</w:t>
      </w:r>
      <w:proofErr w:type="spellEnd"/>
      <w:r w:rsidRPr="00520861">
        <w:rPr>
          <w:rFonts w:eastAsia="Calibri"/>
          <w:sz w:val="28"/>
          <w:szCs w:val="28"/>
          <w:lang w:eastAsia="en-US"/>
        </w:rPr>
        <w:t xml:space="preserve"> та при народженні мала середню довжину тіла й ВУ ожиріння (підгрупа 4), ПКВ спостереження індексу КПВ вища за 13 балів більша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ніж у ГП. У матері особи дорослого віку або її близьких родичів ПКВ скупченості зубів вірогідно менша, ніж у ГП.</w:t>
      </w:r>
    </w:p>
    <w:p w14:paraId="35799D95"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lastRenderedPageBreak/>
        <w:t xml:space="preserve">Процентна кількість ускладнень при вагітності та пологах у матерів дітей </w:t>
      </w:r>
      <w:r w:rsidRPr="00520861">
        <w:rPr>
          <w:rFonts w:eastAsia="Calibri"/>
          <w:sz w:val="28"/>
          <w:szCs w:val="28"/>
          <w:lang w:eastAsia="en-US"/>
        </w:rPr>
        <w:br/>
        <w:t>підгрупи 4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вища за таку в ГП, а в осіб дорослого віку, віднесених до цієї підгрупи, ПКВ мала тенденцію до збільшення порівняно з такою в ГП. Кількість дітей у цій підгрупі, народжених за допомогою операції кесарева розтину, є найвищою серед учасників дослідження.</w:t>
      </w:r>
    </w:p>
    <w:p w14:paraId="159F23CA"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В учасників цієї підгрупи виявлені тенденції більшої схильності в батька до діабету та в батька й матері – до великих антропометричних параметрів. Дослідниками встановлено [223], що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народжуються у 2 рази частіше в матерів з </w:t>
      </w:r>
      <w:proofErr w:type="spellStart"/>
      <w:r w:rsidRPr="00520861">
        <w:rPr>
          <w:rFonts w:eastAsia="Calibri"/>
          <w:sz w:val="28"/>
          <w:szCs w:val="28"/>
          <w:lang w:eastAsia="en-US"/>
        </w:rPr>
        <w:t>гестаційним</w:t>
      </w:r>
      <w:proofErr w:type="spellEnd"/>
      <w:r w:rsidRPr="00520861">
        <w:rPr>
          <w:rFonts w:eastAsia="Calibri"/>
          <w:sz w:val="28"/>
          <w:szCs w:val="28"/>
          <w:lang w:eastAsia="en-US"/>
        </w:rPr>
        <w:t xml:space="preserve"> діабетом та в 3,5 </w:t>
      </w:r>
      <w:proofErr w:type="spellStart"/>
      <w:r w:rsidRPr="00520861">
        <w:rPr>
          <w:rFonts w:eastAsia="Calibri"/>
          <w:sz w:val="28"/>
          <w:szCs w:val="28"/>
          <w:lang w:eastAsia="en-US"/>
        </w:rPr>
        <w:t>раза</w:t>
      </w:r>
      <w:proofErr w:type="spellEnd"/>
      <w:r w:rsidRPr="00520861">
        <w:rPr>
          <w:rFonts w:eastAsia="Calibri"/>
          <w:sz w:val="28"/>
          <w:szCs w:val="28"/>
          <w:lang w:eastAsia="en-US"/>
        </w:rPr>
        <w:t xml:space="preserve"> частіше, якщо матері протягом вагітності набрали надлишкову масу тіла.</w:t>
      </w:r>
    </w:p>
    <w:p w14:paraId="152CBAE0"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Буде доречним зазначити, що велика кількість матерів усіх підгруп ОГ указувала на те, що під час вагітності в них спостерігалася анемія. Підвищену кількість випадків анемії в першій половині </w:t>
      </w:r>
      <w:proofErr w:type="spellStart"/>
      <w:r w:rsidRPr="00520861">
        <w:rPr>
          <w:rFonts w:eastAsia="Calibri"/>
          <w:sz w:val="28"/>
          <w:szCs w:val="28"/>
          <w:lang w:eastAsia="en-US"/>
        </w:rPr>
        <w:t>гестаційного</w:t>
      </w:r>
      <w:proofErr w:type="spellEnd"/>
      <w:r w:rsidRPr="00520861">
        <w:rPr>
          <w:rFonts w:eastAsia="Calibri"/>
          <w:sz w:val="28"/>
          <w:szCs w:val="28"/>
          <w:lang w:eastAsia="en-US"/>
        </w:rPr>
        <w:t xml:space="preserve"> періоду у вагітних крупним плодом порівняно з вагітними плодом із нормальними антропометричними показниками зафіксували </w:t>
      </w:r>
      <w:proofErr w:type="spellStart"/>
      <w:r w:rsidRPr="00520861">
        <w:rPr>
          <w:rFonts w:eastAsia="Calibri"/>
          <w:sz w:val="28"/>
          <w:szCs w:val="28"/>
          <w:lang w:eastAsia="en-US"/>
        </w:rPr>
        <w:t>Тагунець</w:t>
      </w:r>
      <w:proofErr w:type="spellEnd"/>
      <w:r w:rsidRPr="00520861">
        <w:rPr>
          <w:rFonts w:eastAsia="Calibri"/>
          <w:sz w:val="28"/>
          <w:szCs w:val="28"/>
          <w:lang w:eastAsia="en-US"/>
        </w:rPr>
        <w:t xml:space="preserve"> Н. І. та співавтори [186].</w:t>
      </w:r>
    </w:p>
    <w:p w14:paraId="7009E995"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Діти підгрупи 4 частіше за інших хворіють, у дорослих осіб цієї підгрупи такі відмінності від ГП є вірогідними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У дітей цієї підгрупи частіше за всіх </w:t>
      </w:r>
      <w:r w:rsidRPr="00520861">
        <w:rPr>
          <w:rFonts w:eastAsia="Calibri"/>
          <w:sz w:val="28"/>
          <w:szCs w:val="28"/>
          <w:lang w:eastAsia="en-US"/>
        </w:rPr>
        <w:br/>
        <w:t xml:space="preserve">учасників дослідження спостерігаються порушення, пов’язані із </w:t>
      </w:r>
      <w:proofErr w:type="spellStart"/>
      <w:r w:rsidRPr="00520861">
        <w:rPr>
          <w:rFonts w:eastAsia="Calibri"/>
          <w:sz w:val="28"/>
          <w:szCs w:val="28"/>
          <w:lang w:eastAsia="en-US"/>
        </w:rPr>
        <w:t>дисплазією</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спо</w:t>
      </w:r>
      <w:proofErr w:type="spellEnd"/>
      <w:r w:rsidRPr="00520861">
        <w:rPr>
          <w:rFonts w:eastAsia="Calibri"/>
          <w:sz w:val="28"/>
          <w:szCs w:val="28"/>
          <w:lang w:eastAsia="en-US"/>
        </w:rPr>
        <w:t xml:space="preserve">-лучної тканини. Порушення формування сполучної тканини в експериментальному дослідженні плодів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вивчили </w:t>
      </w:r>
      <w:proofErr w:type="spellStart"/>
      <w:r w:rsidRPr="00520861">
        <w:rPr>
          <w:rFonts w:eastAsia="Calibri"/>
          <w:sz w:val="28"/>
          <w:szCs w:val="28"/>
          <w:lang w:eastAsia="en-US"/>
        </w:rPr>
        <w:t>Ben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Zakar</w:t>
      </w:r>
      <w:proofErr w:type="spellEnd"/>
      <w:r w:rsidRPr="00520861">
        <w:rPr>
          <w:rFonts w:eastAsia="Calibri"/>
          <w:sz w:val="28"/>
          <w:szCs w:val="28"/>
          <w:lang w:eastAsia="en-US"/>
        </w:rPr>
        <w:t> N. A. M. та співавтори [252].</w:t>
      </w:r>
    </w:p>
    <w:p w14:paraId="4752DA89" w14:textId="77777777" w:rsidR="00180D3E" w:rsidRPr="00520861" w:rsidRDefault="00180D3E" w:rsidP="00292D2E">
      <w:pPr>
        <w:widowControl w:val="0"/>
        <w:spacing w:line="360" w:lineRule="auto"/>
        <w:ind w:firstLine="708"/>
        <w:jc w:val="both"/>
        <w:rPr>
          <w:rFonts w:eastAsia="Calibri"/>
          <w:spacing w:val="-6"/>
          <w:sz w:val="28"/>
          <w:szCs w:val="28"/>
          <w:lang w:eastAsia="en-US"/>
        </w:rPr>
      </w:pPr>
      <w:r w:rsidRPr="00520861">
        <w:rPr>
          <w:rFonts w:eastAsia="Calibri"/>
          <w:sz w:val="28"/>
          <w:szCs w:val="28"/>
          <w:lang w:eastAsia="en-US"/>
        </w:rPr>
        <w:t>У дітей підгрупи 4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частіше, ніж у ГП, трапляються алергічні захворювання. Виявлені нами факти знаходять підтвердження й у дослідженнях інших науковців. </w:t>
      </w:r>
      <w:r w:rsidRPr="00520861">
        <w:rPr>
          <w:rFonts w:eastAsia="Calibri"/>
          <w:spacing w:val="-6"/>
          <w:sz w:val="28"/>
          <w:szCs w:val="28"/>
          <w:lang w:eastAsia="en-US"/>
        </w:rPr>
        <w:t xml:space="preserve">Відомо, що алергічні реакції виникають значно частіше, якщо людина до віку 2 роки мала ожиріння [512]. Зв’язок ожиріння та астми описано в роботі [244]. </w:t>
      </w:r>
    </w:p>
    <w:p w14:paraId="509698B4"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Надлишкова материнська маса тіла та ожиріння вагітної є не тільки факторами ризику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 а також відомими факторами ризику астми в дітей в онтогенезі [302]. Існують відомості, що діти,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можуть бути визначені на початку життя як група високого ризику по захворюванню на </w:t>
      </w:r>
      <w:r w:rsidRPr="00520861">
        <w:rPr>
          <w:rFonts w:eastAsia="Calibri"/>
          <w:sz w:val="28"/>
          <w:szCs w:val="28"/>
          <w:lang w:eastAsia="en-US"/>
        </w:rPr>
        <w:br/>
        <w:t xml:space="preserve">астму, навіть якщо в них не спостерігається </w:t>
      </w:r>
      <w:proofErr w:type="spellStart"/>
      <w:r w:rsidRPr="00520861">
        <w:rPr>
          <w:rFonts w:eastAsia="Calibri"/>
          <w:sz w:val="28"/>
          <w:szCs w:val="28"/>
          <w:lang w:eastAsia="en-US"/>
        </w:rPr>
        <w:t>атопічних</w:t>
      </w:r>
      <w:proofErr w:type="spellEnd"/>
      <w:r w:rsidRPr="00520861">
        <w:rPr>
          <w:rFonts w:eastAsia="Calibri"/>
          <w:sz w:val="28"/>
          <w:szCs w:val="28"/>
          <w:lang w:eastAsia="en-US"/>
        </w:rPr>
        <w:t xml:space="preserve"> реакцій [468].</w:t>
      </w:r>
    </w:p>
    <w:p w14:paraId="3C6D108D" w14:textId="77777777" w:rsidR="00180D3E" w:rsidRPr="00520861" w:rsidRDefault="00180D3E" w:rsidP="00292D2E">
      <w:pPr>
        <w:widowControl w:val="0"/>
        <w:spacing w:line="360" w:lineRule="auto"/>
        <w:ind w:firstLine="708"/>
        <w:contextualSpacing/>
        <w:jc w:val="both"/>
        <w:rPr>
          <w:rFonts w:eastAsia="Calibri"/>
          <w:sz w:val="28"/>
          <w:szCs w:val="28"/>
          <w:shd w:val="clear" w:color="auto" w:fill="FFFFFF"/>
          <w:lang w:eastAsia="en-US"/>
        </w:rPr>
      </w:pPr>
      <w:r w:rsidRPr="00520861">
        <w:rPr>
          <w:rFonts w:eastAsia="Calibri"/>
          <w:sz w:val="28"/>
          <w:szCs w:val="28"/>
          <w:lang w:eastAsia="en-US"/>
        </w:rPr>
        <w:t xml:space="preserve">Особи дорослого віку підгрупи 4 </w:t>
      </w:r>
      <w:r w:rsidRPr="00520861">
        <w:rPr>
          <w:rFonts w:eastAsia="Calibri"/>
          <w:sz w:val="28"/>
          <w:szCs w:val="28"/>
          <w:shd w:val="clear" w:color="auto" w:fill="FFFFFF"/>
          <w:lang w:eastAsia="en-US"/>
        </w:rPr>
        <w:t xml:space="preserve">мають також більшу ПКВ алергічних </w:t>
      </w:r>
      <w:r w:rsidRPr="00520861">
        <w:rPr>
          <w:rFonts w:eastAsia="Calibri"/>
          <w:sz w:val="28"/>
          <w:szCs w:val="28"/>
          <w:shd w:val="clear" w:color="auto" w:fill="FFFFFF"/>
          <w:lang w:eastAsia="en-US"/>
        </w:rPr>
        <w:br/>
      </w:r>
      <w:r w:rsidRPr="00520861">
        <w:rPr>
          <w:rFonts w:eastAsia="Calibri"/>
          <w:sz w:val="28"/>
          <w:szCs w:val="28"/>
          <w:shd w:val="clear" w:color="auto" w:fill="FFFFFF"/>
          <w:lang w:eastAsia="en-US"/>
        </w:rPr>
        <w:lastRenderedPageBreak/>
        <w:t xml:space="preserve">захворювань. </w:t>
      </w:r>
      <w:r w:rsidRPr="00520861">
        <w:rPr>
          <w:rFonts w:eastAsia="Calibri"/>
          <w:sz w:val="28"/>
          <w:szCs w:val="28"/>
          <w:lang w:eastAsia="en-US"/>
        </w:rPr>
        <w:t xml:space="preserve">Існують публікації, де вказується, що алергічні реакції змінюють склад та властивості РР та, як наслідок, упливають на стан твердих тканин зубів [109, 568]. Проте наявні також роботи, у яких стверджується протилежне. </w:t>
      </w:r>
    </w:p>
    <w:p w14:paraId="3F20BEEC"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shd w:val="clear" w:color="auto" w:fill="FFFFFF"/>
          <w:lang w:eastAsia="en-US"/>
        </w:rPr>
        <w:t xml:space="preserve">Респонденти дорослого віку підгрупи 4 </w:t>
      </w:r>
      <w:r w:rsidRPr="00520861">
        <w:rPr>
          <w:rFonts w:eastAsia="Calibri"/>
          <w:sz w:val="28"/>
          <w:szCs w:val="28"/>
          <w:lang w:eastAsia="en-US"/>
        </w:rPr>
        <w:t xml:space="preserve">частіше, ніж особи з ГП, були </w:t>
      </w:r>
      <w:r w:rsidRPr="00520861">
        <w:rPr>
          <w:rFonts w:eastAsia="Calibri"/>
          <w:sz w:val="28"/>
          <w:szCs w:val="28"/>
          <w:lang w:eastAsia="en-US"/>
        </w:rPr>
        <w:br/>
        <w:t>народжені не від перших пологів. Процентна кількість скарг на утруднене дихання через ніс у дітей цієї підгрупи та дітей підгрупи 3 була майже у 2 рази вище, ніж у дітей ГП. Ротове дихання в комбінації з високим піднебінням може бути одним із факторів високої інтенсивності карієсу та формування порушень прикусу [245].</w:t>
      </w:r>
    </w:p>
    <w:p w14:paraId="66494B6F" w14:textId="77777777" w:rsidR="00180D3E" w:rsidRPr="00520861" w:rsidRDefault="00180D3E" w:rsidP="00292D2E">
      <w:pPr>
        <w:widowControl w:val="0"/>
        <w:spacing w:line="360" w:lineRule="auto"/>
        <w:ind w:firstLine="708"/>
        <w:jc w:val="both"/>
        <w:rPr>
          <w:sz w:val="28"/>
          <w:szCs w:val="28"/>
        </w:rPr>
      </w:pPr>
      <w:r w:rsidRPr="00520861">
        <w:rPr>
          <w:rFonts w:eastAsia="Calibri"/>
          <w:sz w:val="28"/>
          <w:szCs w:val="28"/>
          <w:lang w:eastAsia="en-US"/>
        </w:rPr>
        <w:t xml:space="preserve">Діти </w:t>
      </w:r>
      <w:r w:rsidRPr="00520861">
        <w:rPr>
          <w:rFonts w:eastAsia="Calibri"/>
          <w:sz w:val="28"/>
          <w:szCs w:val="28"/>
          <w:shd w:val="clear" w:color="auto" w:fill="FFFFFF"/>
          <w:lang w:eastAsia="en-US"/>
        </w:rPr>
        <w:t>підгрупи 4</w:t>
      </w:r>
      <w:r w:rsidRPr="00520861">
        <w:rPr>
          <w:rFonts w:eastAsia="Calibri"/>
          <w:sz w:val="28"/>
          <w:szCs w:val="28"/>
          <w:lang w:eastAsia="en-US"/>
        </w:rPr>
        <w:t xml:space="preserve"> є «лідерами» за кількістю випадків аномалій прикусу. В осіб дорослого віку аномалії прикусу, кількості, форми та положення зубів тимчасового прикусу фіксувалися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частіше, ніж в осіб ГП. </w:t>
      </w:r>
      <w:r w:rsidRPr="00520861">
        <w:rPr>
          <w:sz w:val="28"/>
          <w:szCs w:val="28"/>
        </w:rPr>
        <w:t xml:space="preserve">Одним із факторів, що впливають на виникнення ЗЩА в онтогенезі, є зниження мінеральної щільності кісток у новонароджених </w:t>
      </w:r>
      <w:proofErr w:type="spellStart"/>
      <w:r w:rsidRPr="00520861">
        <w:rPr>
          <w:sz w:val="28"/>
          <w:szCs w:val="28"/>
        </w:rPr>
        <w:t>макросомів</w:t>
      </w:r>
      <w:proofErr w:type="spellEnd"/>
      <w:r w:rsidRPr="00520861">
        <w:rPr>
          <w:sz w:val="28"/>
          <w:szCs w:val="28"/>
        </w:rPr>
        <w:t>, що пов’язано з особливостями їхнього ВУ формування, зокрема із метаболічними та імунними зрушеннями [181, 403, 497].</w:t>
      </w:r>
    </w:p>
    <w:p w14:paraId="24DFCA27" w14:textId="77777777" w:rsidR="00180D3E" w:rsidRPr="00520861" w:rsidRDefault="00180D3E" w:rsidP="00292D2E">
      <w:pPr>
        <w:widowControl w:val="0"/>
        <w:spacing w:line="360" w:lineRule="auto"/>
        <w:ind w:firstLine="708"/>
        <w:jc w:val="both"/>
        <w:rPr>
          <w:rFonts w:eastAsia="Calibri"/>
          <w:sz w:val="28"/>
          <w:szCs w:val="28"/>
          <w:shd w:val="clear" w:color="auto" w:fill="FFFFFF"/>
          <w:lang w:eastAsia="en-US"/>
        </w:rPr>
      </w:pPr>
      <w:r w:rsidRPr="00520861">
        <w:rPr>
          <w:rFonts w:eastAsia="Calibri"/>
          <w:sz w:val="28"/>
          <w:szCs w:val="28"/>
          <w:lang w:eastAsia="en-US"/>
        </w:rPr>
        <w:t xml:space="preserve">В осіб дорослого віку </w:t>
      </w:r>
      <w:r w:rsidRPr="00520861">
        <w:rPr>
          <w:rFonts w:eastAsia="Calibri"/>
          <w:sz w:val="28"/>
          <w:szCs w:val="28"/>
          <w:shd w:val="clear" w:color="auto" w:fill="FFFFFF"/>
          <w:lang w:eastAsia="en-US"/>
        </w:rPr>
        <w:t xml:space="preserve">підгрупи 4 </w:t>
      </w:r>
      <w:r w:rsidRPr="00520861">
        <w:rPr>
          <w:rFonts w:eastAsia="Calibri"/>
          <w:sz w:val="28"/>
          <w:szCs w:val="28"/>
          <w:lang w:eastAsia="en-US"/>
        </w:rPr>
        <w:t xml:space="preserve">зафіксовано тенденцію до </w:t>
      </w:r>
      <w:r w:rsidRPr="00520861">
        <w:rPr>
          <w:rFonts w:eastAsia="Calibri"/>
          <w:sz w:val="28"/>
          <w:szCs w:val="28"/>
          <w:shd w:val="clear" w:color="auto" w:fill="FFFFFF"/>
          <w:lang w:eastAsia="en-US"/>
        </w:rPr>
        <w:t>збільшення кількості скарг на підвищену чутливість зубів.</w:t>
      </w:r>
    </w:p>
    <w:p w14:paraId="385AF211"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Як зазначалося вище, частина батьків учасників дослідження також була </w:t>
      </w:r>
      <w:r w:rsidRPr="00520861">
        <w:rPr>
          <w:rFonts w:eastAsia="Calibri"/>
          <w:sz w:val="28"/>
          <w:szCs w:val="28"/>
          <w:lang w:eastAsia="en-US"/>
        </w:rPr>
        <w:br/>
        <w:t xml:space="preserve">народжена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В основній групі ДГВ 32 особи мали батьків, які також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 ОГ вікової категорії «діти та підлітки» таких осіб було 33. У віковій категорії «особи дорослого віку» спочатку аналізувалося 33 особи. </w:t>
      </w:r>
      <w:r w:rsidRPr="00520861">
        <w:rPr>
          <w:rFonts w:eastAsia="Calibri"/>
          <w:sz w:val="28"/>
          <w:szCs w:val="28"/>
          <w:lang w:eastAsia="en-US"/>
        </w:rPr>
        <w:br/>
        <w:t xml:space="preserve">Первинно в батьків респондентів інформація про МРП при народженні одержувалася з їх слів. Після перевірки 2 випадки не підтвердилися і було проаналізовано 31 випадок, що практично не вплинуло на отримані результати. </w:t>
      </w:r>
    </w:p>
    <w:p w14:paraId="14053CFC" w14:textId="77777777" w:rsidR="00180D3E" w:rsidRPr="00520861" w:rsidRDefault="00180D3E" w:rsidP="00292D2E">
      <w:pPr>
        <w:widowControl w:val="0"/>
        <w:spacing w:line="360" w:lineRule="auto"/>
        <w:ind w:firstLine="709"/>
        <w:jc w:val="both"/>
        <w:rPr>
          <w:rFonts w:eastAsia="Calibri"/>
          <w:sz w:val="28"/>
          <w:szCs w:val="28"/>
          <w:shd w:val="clear" w:color="auto" w:fill="FFFFFF"/>
          <w:lang w:eastAsia="en-US"/>
        </w:rPr>
      </w:pPr>
      <w:r w:rsidRPr="00520861">
        <w:rPr>
          <w:rFonts w:eastAsia="Calibri"/>
          <w:sz w:val="28"/>
          <w:szCs w:val="28"/>
          <w:lang w:eastAsia="en-US"/>
        </w:rPr>
        <w:t xml:space="preserve">Дослідження проведене на великому фактичному матеріалі, виявило, що </w:t>
      </w:r>
      <w:r w:rsidRPr="00520861">
        <w:rPr>
          <w:rFonts w:eastAsia="Calibri"/>
          <w:sz w:val="28"/>
          <w:szCs w:val="28"/>
          <w:lang w:eastAsia="en-US"/>
        </w:rPr>
        <w:br/>
        <w:t xml:space="preserve">оцінку впливу СБФ по шкалах 1 та 2 у ДГВ та шкалах 1 для учасників вікових категорій «діти та підлітки» та «особи дорослого віку» на ризик виникнення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слід оцінювати з урахуванням МРП батьків при народженні. </w:t>
      </w:r>
    </w:p>
    <w:p w14:paraId="28015BFA"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середньому при формуванні стоматологічного здоров’я опитаних осіб як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так і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у більшій мірі, хоч і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домінує материнський фактор. В учасників ОГ всіх вікових категорій разом вплив материнського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w:t>
      </w:r>
      <w:r w:rsidRPr="00520861">
        <w:rPr>
          <w:rFonts w:eastAsia="Calibri"/>
          <w:sz w:val="28"/>
          <w:szCs w:val="28"/>
          <w:lang w:eastAsia="en-US"/>
        </w:rPr>
        <w:lastRenderedPageBreak/>
        <w:t>був оцінений у 28,6</w:t>
      </w:r>
      <w:r w:rsidRPr="00520861">
        <w:rPr>
          <w:rFonts w:eastAsia="Calibri"/>
          <w:sz w:val="28"/>
          <w:szCs w:val="28"/>
          <w:lang w:eastAsia="en-US"/>
        </w:rPr>
        <w:sym w:font="Symbol" w:char="F0B1"/>
      </w:r>
      <w:r w:rsidRPr="00520861">
        <w:rPr>
          <w:rFonts w:eastAsia="Calibri"/>
          <w:sz w:val="28"/>
          <w:szCs w:val="28"/>
          <w:lang w:eastAsia="en-US"/>
        </w:rPr>
        <w:t xml:space="preserve">1,8%, а вплив батькового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 у 25,8</w:t>
      </w:r>
      <w:r w:rsidRPr="00520861">
        <w:rPr>
          <w:rFonts w:eastAsia="Calibri"/>
          <w:sz w:val="28"/>
          <w:szCs w:val="28"/>
          <w:lang w:eastAsia="en-US"/>
        </w:rPr>
        <w:sym w:font="Symbol" w:char="F0B1"/>
      </w:r>
      <w:r w:rsidRPr="00520861">
        <w:rPr>
          <w:rFonts w:eastAsia="Calibri"/>
          <w:sz w:val="28"/>
          <w:szCs w:val="28"/>
          <w:lang w:eastAsia="en-US"/>
        </w:rPr>
        <w:t>1,7%. В учасників ГП – 23,8</w:t>
      </w:r>
      <w:r w:rsidRPr="00520861">
        <w:rPr>
          <w:rFonts w:eastAsia="Calibri"/>
          <w:sz w:val="28"/>
          <w:szCs w:val="28"/>
          <w:lang w:eastAsia="en-US"/>
        </w:rPr>
        <w:sym w:font="Symbol" w:char="F0B1"/>
      </w:r>
      <w:r w:rsidRPr="00520861">
        <w:rPr>
          <w:rFonts w:eastAsia="Calibri"/>
          <w:sz w:val="28"/>
          <w:szCs w:val="28"/>
          <w:lang w:eastAsia="en-US"/>
        </w:rPr>
        <w:t>1,7% і 22,8</w:t>
      </w:r>
      <w:r w:rsidRPr="00520861">
        <w:rPr>
          <w:rFonts w:eastAsia="Calibri"/>
          <w:sz w:val="28"/>
          <w:szCs w:val="28"/>
          <w:lang w:eastAsia="en-US"/>
        </w:rPr>
        <w:sym w:font="Symbol" w:char="F0B1"/>
      </w:r>
      <w:r w:rsidRPr="00520861">
        <w:rPr>
          <w:rFonts w:eastAsia="Calibri"/>
          <w:sz w:val="28"/>
          <w:szCs w:val="28"/>
          <w:lang w:eastAsia="en-US"/>
        </w:rPr>
        <w:t xml:space="preserve">1,7% відповідно. Отже, в обох групах є невірогідне переважання материнського </w:t>
      </w:r>
      <w:proofErr w:type="spellStart"/>
      <w:r w:rsidRPr="00520861">
        <w:rPr>
          <w:rFonts w:eastAsia="Calibri"/>
          <w:sz w:val="28"/>
          <w:szCs w:val="28"/>
          <w:lang w:eastAsia="en-US"/>
        </w:rPr>
        <w:t>фактора</w:t>
      </w:r>
      <w:proofErr w:type="spellEnd"/>
      <w:r w:rsidRPr="00520861">
        <w:rPr>
          <w:rFonts w:eastAsia="Calibri"/>
          <w:sz w:val="28"/>
          <w:szCs w:val="28"/>
          <w:lang w:eastAsia="en-US"/>
        </w:rPr>
        <w:t xml:space="preserve">. Розподіл ступеня впливу між материнським та батьковим факторами для учасників дослідження в усіх вікових категоріях разом становить 52,5% проти 47,5% та 51,1% проти 48,9% для ОГ та ГП відповідно. </w:t>
      </w:r>
    </w:p>
    <w:p w14:paraId="573243C9"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Отже, переважання материнського чи батькового впливу на формування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в осіб-</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не є вирішальним.</w:t>
      </w:r>
    </w:p>
    <w:p w14:paraId="3E5F582D"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Факт, що за шкалою 2 у вікових категоріях «діти та підлітки» та «особи дорослого віку» учасники ОГ набрали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вищу кількість балів порівняно з ГП, може пояснюватися тим, що багато факторів, які призводять до великих МРП новонародженої дитини, донині є невідомими [246] і нам також не вдалося охопити їх обмеженою кількістю запитань.</w:t>
      </w:r>
    </w:p>
    <w:p w14:paraId="6AC68E3C"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sz w:val="28"/>
          <w:szCs w:val="28"/>
        </w:rPr>
        <w:t xml:space="preserve">Узагальнюючи результати опитування, слід указати, </w:t>
      </w:r>
      <w:r w:rsidRPr="00520861">
        <w:rPr>
          <w:rFonts w:eastAsia="Calibri"/>
          <w:sz w:val="28"/>
          <w:szCs w:val="28"/>
          <w:lang w:eastAsia="en-US"/>
        </w:rPr>
        <w:t>що особи ОГ мають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більше скарг на стан стоматологічного здоров’я, ніж особи ГП. Відомо, що фактори харчування, стресу, шкідливих звичок, фізичного навантаження та гігієнічного стану ПР є вагомими чинниками розвитку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[156]. Одержані в нашому дослідженні дані вказують на те, що вплив вищезгаданих факторів на розвиток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осіб усіх вікових категорій як ОГ, так і ГП був зіставним. Особи підгрупи 4 мають більші ризики виникнення стоматологічних порушень порівняно з іншими.</w:t>
      </w:r>
    </w:p>
    <w:p w14:paraId="5E4B9678" w14:textId="77777777" w:rsidR="00180D3E" w:rsidRPr="00520861" w:rsidRDefault="00180D3E" w:rsidP="00292D2E">
      <w:pPr>
        <w:widowControl w:val="0"/>
        <w:spacing w:line="360" w:lineRule="auto"/>
        <w:ind w:firstLine="567"/>
        <w:jc w:val="both"/>
        <w:rPr>
          <w:rFonts w:eastAsia="Calibri"/>
          <w:sz w:val="28"/>
          <w:szCs w:val="28"/>
          <w:lang w:eastAsia="en-US"/>
        </w:rPr>
      </w:pPr>
      <w:r w:rsidRPr="00520861">
        <w:rPr>
          <w:rFonts w:eastAsia="Calibri"/>
          <w:sz w:val="28"/>
          <w:szCs w:val="28"/>
          <w:lang w:eastAsia="en-US"/>
        </w:rPr>
        <w:t xml:space="preserve">У результаті проведеного обстеження 126 дітей віком від декількох годин до декількох місяців вплив </w:t>
      </w:r>
      <w:r w:rsidRPr="00520861">
        <w:rPr>
          <w:rFonts w:eastAsia="Calibri"/>
          <w:sz w:val="28"/>
          <w:szCs w:val="28"/>
        </w:rPr>
        <w:t>ГІУ ЦНС</w:t>
      </w:r>
      <w:r w:rsidRPr="00520861">
        <w:rPr>
          <w:rFonts w:eastAsia="Calibri"/>
          <w:sz w:val="28"/>
          <w:szCs w:val="28"/>
          <w:lang w:eastAsia="en-US"/>
        </w:rPr>
        <w:t xml:space="preserve"> на появу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у </w:t>
      </w:r>
      <w:proofErr w:type="spellStart"/>
      <w:r w:rsidRPr="00520861">
        <w:rPr>
          <w:rFonts w:eastAsia="Calibri"/>
          <w:sz w:val="28"/>
          <w:szCs w:val="28"/>
          <w:lang w:eastAsia="en-US"/>
        </w:rPr>
        <w:t>перинатальному</w:t>
      </w:r>
      <w:proofErr w:type="spellEnd"/>
      <w:r w:rsidRPr="00520861">
        <w:rPr>
          <w:rFonts w:eastAsia="Calibri"/>
          <w:sz w:val="28"/>
          <w:szCs w:val="28"/>
          <w:lang w:eastAsia="en-US"/>
        </w:rPr>
        <w:t xml:space="preserve"> періоді в </w:t>
      </w:r>
      <w:r w:rsidRPr="00520861">
        <w:rPr>
          <w:rFonts w:eastAsia="Calibri"/>
          <w:sz w:val="28"/>
          <w:szCs w:val="28"/>
          <w:lang w:eastAsia="en-US"/>
        </w:rPr>
        <w:br/>
        <w:t xml:space="preserve">новонароджених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доведений не був. Проте було виявлено 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rFonts w:eastAsia="Calibri"/>
          <w:sz w:val="28"/>
          <w:szCs w:val="28"/>
          <w:lang w:eastAsia="en-US"/>
        </w:rPr>
        <w:t xml:space="preserve">) більший процент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у дітей, які народилися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з </w:t>
      </w:r>
      <w:r w:rsidRPr="00520861">
        <w:rPr>
          <w:rFonts w:eastAsia="Calibri"/>
          <w:sz w:val="28"/>
          <w:szCs w:val="28"/>
        </w:rPr>
        <w:t>ГІУ ЦНС</w:t>
      </w:r>
      <w:r w:rsidRPr="00520861">
        <w:rPr>
          <w:rFonts w:eastAsia="Calibri"/>
          <w:sz w:val="28"/>
          <w:szCs w:val="28"/>
          <w:lang w:eastAsia="en-US"/>
        </w:rPr>
        <w:t xml:space="preserve">, порівняно зі здоровими дітьми. Це пов’язано із тим, що в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із </w:t>
      </w:r>
      <w:r w:rsidRPr="00520861">
        <w:rPr>
          <w:rFonts w:eastAsia="Calibri"/>
          <w:sz w:val="28"/>
          <w:szCs w:val="28"/>
        </w:rPr>
        <w:t>ГІУ ЦНС</w:t>
      </w:r>
      <w:r w:rsidRPr="00520861">
        <w:rPr>
          <w:rFonts w:eastAsia="Calibri"/>
          <w:sz w:val="28"/>
          <w:szCs w:val="28"/>
          <w:lang w:eastAsia="en-US"/>
        </w:rPr>
        <w:t xml:space="preserve"> спостерігається значно більше патологічних станів та причин, які мають вплив на ВУ формування цих дітей. У той час, коли в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w:t>
      </w:r>
      <w:r w:rsidRPr="00520861">
        <w:rPr>
          <w:rFonts w:eastAsia="Calibri"/>
          <w:sz w:val="28"/>
          <w:szCs w:val="28"/>
        </w:rPr>
        <w:t>ГІУ ЦНС</w:t>
      </w:r>
      <w:r w:rsidRPr="00520861">
        <w:rPr>
          <w:rFonts w:eastAsia="Calibri"/>
          <w:sz w:val="28"/>
          <w:szCs w:val="28"/>
          <w:lang w:eastAsia="en-US"/>
        </w:rPr>
        <w:t xml:space="preserve"> церебральні порушення, очевидно, пов’язані з впливом гіпоксії в </w:t>
      </w:r>
      <w:proofErr w:type="spellStart"/>
      <w:r w:rsidRPr="00520861">
        <w:rPr>
          <w:rFonts w:eastAsia="Calibri"/>
          <w:sz w:val="28"/>
          <w:szCs w:val="28"/>
          <w:lang w:eastAsia="en-US"/>
        </w:rPr>
        <w:t>інтранатальному</w:t>
      </w:r>
      <w:proofErr w:type="spellEnd"/>
      <w:r w:rsidRPr="00520861">
        <w:rPr>
          <w:rFonts w:eastAsia="Calibri"/>
          <w:sz w:val="28"/>
          <w:szCs w:val="28"/>
          <w:lang w:eastAsia="en-US"/>
        </w:rPr>
        <w:t xml:space="preserve"> періоді [255]. </w:t>
      </w:r>
    </w:p>
    <w:p w14:paraId="14D87168" w14:textId="77777777" w:rsidR="00180D3E" w:rsidRPr="00520861" w:rsidRDefault="00180D3E"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sz w:val="28"/>
          <w:szCs w:val="28"/>
          <w:shd w:val="clear" w:color="auto" w:fill="9CC2E5"/>
        </w:rPr>
      </w:pPr>
      <w:r w:rsidRPr="00520861">
        <w:rPr>
          <w:rFonts w:eastAsia="Calibri"/>
          <w:sz w:val="28"/>
          <w:szCs w:val="28"/>
          <w:shd w:val="clear" w:color="auto" w:fill="FFFFFF"/>
          <w:lang w:eastAsia="en-US"/>
        </w:rPr>
        <w:t xml:space="preserve">По досягненню дітьми віку один рік вірогідні відмінності між осередненими значеннями ІМТ </w:t>
      </w:r>
      <w:proofErr w:type="spellStart"/>
      <w:r w:rsidRPr="00520861">
        <w:rPr>
          <w:rFonts w:eastAsia="Calibri"/>
          <w:sz w:val="28"/>
          <w:szCs w:val="28"/>
          <w:shd w:val="clear" w:color="auto" w:fill="FFFFFF"/>
          <w:lang w:eastAsia="en-US"/>
        </w:rPr>
        <w:t>макросомів</w:t>
      </w:r>
      <w:proofErr w:type="spellEnd"/>
      <w:r w:rsidRPr="00520861">
        <w:rPr>
          <w:rFonts w:eastAsia="Calibri"/>
          <w:sz w:val="28"/>
          <w:szCs w:val="28"/>
          <w:shd w:val="clear" w:color="auto" w:fill="FFFFFF"/>
          <w:lang w:eastAsia="en-US"/>
        </w:rPr>
        <w:t xml:space="preserve"> і </w:t>
      </w:r>
      <w:proofErr w:type="spellStart"/>
      <w:r w:rsidRPr="00520861">
        <w:rPr>
          <w:rFonts w:eastAsia="Calibri"/>
          <w:sz w:val="28"/>
          <w:szCs w:val="28"/>
          <w:shd w:val="clear" w:color="auto" w:fill="FFFFFF"/>
          <w:lang w:eastAsia="en-US"/>
        </w:rPr>
        <w:t>нормосомів</w:t>
      </w:r>
      <w:proofErr w:type="spellEnd"/>
      <w:r w:rsidRPr="00520861">
        <w:rPr>
          <w:rFonts w:eastAsia="Calibri"/>
          <w:sz w:val="28"/>
          <w:szCs w:val="28"/>
          <w:shd w:val="clear" w:color="auto" w:fill="FFFFFF"/>
          <w:lang w:eastAsia="en-US"/>
        </w:rPr>
        <w:t xml:space="preserve"> суттєво зменшуються, а при аналізі по </w:t>
      </w:r>
      <w:r w:rsidRPr="00520861">
        <w:rPr>
          <w:rFonts w:eastAsia="Calibri"/>
          <w:sz w:val="28"/>
          <w:szCs w:val="28"/>
          <w:shd w:val="clear" w:color="auto" w:fill="FFFFFF"/>
          <w:lang w:eastAsia="en-US"/>
        </w:rPr>
        <w:br/>
        <w:t xml:space="preserve">підгрупах у деяких із них взагалі не спостерігаються. Такий стан речей може </w:t>
      </w:r>
      <w:r w:rsidRPr="00520861">
        <w:rPr>
          <w:rFonts w:eastAsia="Calibri"/>
          <w:sz w:val="28"/>
          <w:szCs w:val="28"/>
          <w:shd w:val="clear" w:color="auto" w:fill="FFFFFF"/>
          <w:lang w:eastAsia="en-US"/>
        </w:rPr>
        <w:br/>
      </w:r>
      <w:r w:rsidRPr="00520861">
        <w:rPr>
          <w:rFonts w:eastAsia="Calibri"/>
          <w:sz w:val="28"/>
          <w:szCs w:val="28"/>
          <w:shd w:val="clear" w:color="auto" w:fill="FFFFFF"/>
          <w:lang w:eastAsia="en-US"/>
        </w:rPr>
        <w:lastRenderedPageBreak/>
        <w:t xml:space="preserve">пояснюватися тим фактом, що під час вагітності на плід упливають так звані «материнські» фактори, а після народження швидкість розвитку дитини більшою мірою генетично детермінована. Протягом 18 місяців після народження в дітей із надмірно високими показниками маси тіла при народженні відбувається так званий «зріст униз», а в дітей, які мали недостатню (або, як у нашому випадку, відносно </w:t>
      </w:r>
      <w:r w:rsidRPr="00520861">
        <w:rPr>
          <w:rFonts w:eastAsia="Calibri"/>
          <w:sz w:val="28"/>
          <w:szCs w:val="28"/>
          <w:shd w:val="clear" w:color="auto" w:fill="FFFFFF"/>
          <w:lang w:eastAsia="en-US"/>
        </w:rPr>
        <w:br/>
        <w:t>недостатню) масу тіла при народженні, має місце «зріст уверх» [220].</w:t>
      </w:r>
    </w:p>
    <w:p w14:paraId="4E836744"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При обстеженні 173 дітей віком від однієї доби до двох місяців, які народилися у 2014 – 2017 роках</w:t>
      </w:r>
      <w:r w:rsidRPr="00520861">
        <w:rPr>
          <w:sz w:val="28"/>
          <w:szCs w:val="28"/>
        </w:rPr>
        <w:t>, виявлено, що діти ОГ мали б</w:t>
      </w:r>
      <w:r w:rsidRPr="00520861">
        <w:rPr>
          <w:rFonts w:eastAsia="Calibri"/>
          <w:sz w:val="28"/>
          <w:szCs w:val="28"/>
          <w:lang w:eastAsia="en-US"/>
        </w:rPr>
        <w:t>ільший процент</w:t>
      </w:r>
      <w:r w:rsidRPr="00520861">
        <w:rPr>
          <w:sz w:val="28"/>
          <w:szCs w:val="28"/>
        </w:rPr>
        <w:t xml:space="preserve"> черепно-лицевих </w:t>
      </w:r>
      <w:proofErr w:type="spellStart"/>
      <w:r w:rsidRPr="00520861">
        <w:rPr>
          <w:sz w:val="28"/>
          <w:szCs w:val="28"/>
        </w:rPr>
        <w:t>дизморфій</w:t>
      </w:r>
      <w:proofErr w:type="spellEnd"/>
      <w:r w:rsidRPr="00520861">
        <w:rPr>
          <w:sz w:val="28"/>
          <w:szCs w:val="28"/>
        </w:rPr>
        <w:t xml:space="preserve">, що може пояснюватися ВУ компресією через велику масу тіла. </w:t>
      </w:r>
    </w:p>
    <w:p w14:paraId="221D764B" w14:textId="77777777" w:rsidR="00180D3E" w:rsidRPr="00520861" w:rsidRDefault="00180D3E" w:rsidP="00292D2E">
      <w:pPr>
        <w:widowControl w:val="0"/>
        <w:spacing w:line="360" w:lineRule="auto"/>
        <w:ind w:firstLine="708"/>
        <w:contextualSpacing/>
        <w:jc w:val="both"/>
        <w:rPr>
          <w:sz w:val="28"/>
          <w:szCs w:val="28"/>
        </w:rPr>
      </w:pPr>
      <w:r w:rsidRPr="00520861">
        <w:rPr>
          <w:sz w:val="28"/>
          <w:szCs w:val="28"/>
        </w:rPr>
        <w:t xml:space="preserve">Помірно скошене </w:t>
      </w:r>
      <w:proofErr w:type="spellStart"/>
      <w:r w:rsidRPr="00520861">
        <w:rPr>
          <w:sz w:val="28"/>
          <w:szCs w:val="28"/>
        </w:rPr>
        <w:t>дистально</w:t>
      </w:r>
      <w:proofErr w:type="spellEnd"/>
      <w:r w:rsidRPr="00520861">
        <w:rPr>
          <w:sz w:val="28"/>
          <w:szCs w:val="28"/>
        </w:rPr>
        <w:t xml:space="preserve"> підборіддя, яке спостерігалося у більшості учасників дослідження в грудному віці, є фізіологічним станом та має назву «фізіологічна </w:t>
      </w:r>
      <w:proofErr w:type="spellStart"/>
      <w:r w:rsidRPr="00520861">
        <w:rPr>
          <w:sz w:val="28"/>
          <w:szCs w:val="28"/>
        </w:rPr>
        <w:t>ретрогенія</w:t>
      </w:r>
      <w:proofErr w:type="spellEnd"/>
      <w:r w:rsidRPr="00520861">
        <w:rPr>
          <w:sz w:val="28"/>
          <w:szCs w:val="28"/>
        </w:rPr>
        <w:t xml:space="preserve">». За наявності в дитини різко скошеного </w:t>
      </w:r>
      <w:proofErr w:type="spellStart"/>
      <w:r w:rsidRPr="00520861">
        <w:rPr>
          <w:sz w:val="28"/>
          <w:szCs w:val="28"/>
        </w:rPr>
        <w:t>дистально</w:t>
      </w:r>
      <w:proofErr w:type="spellEnd"/>
      <w:r w:rsidRPr="00520861">
        <w:rPr>
          <w:sz w:val="28"/>
          <w:szCs w:val="28"/>
        </w:rPr>
        <w:t xml:space="preserve"> підборіддя можна думати про нижню </w:t>
      </w:r>
      <w:proofErr w:type="spellStart"/>
      <w:r w:rsidRPr="00520861">
        <w:rPr>
          <w:sz w:val="28"/>
          <w:szCs w:val="28"/>
        </w:rPr>
        <w:t>мікрогнатію</w:t>
      </w:r>
      <w:proofErr w:type="spellEnd"/>
      <w:r w:rsidRPr="00520861">
        <w:rPr>
          <w:sz w:val="28"/>
          <w:szCs w:val="28"/>
        </w:rPr>
        <w:t xml:space="preserve"> або </w:t>
      </w:r>
      <w:proofErr w:type="spellStart"/>
      <w:r w:rsidRPr="00520861">
        <w:rPr>
          <w:sz w:val="28"/>
          <w:szCs w:val="28"/>
        </w:rPr>
        <w:t>ретрогнатію</w:t>
      </w:r>
      <w:proofErr w:type="spellEnd"/>
      <w:r w:rsidRPr="00520861">
        <w:rPr>
          <w:sz w:val="28"/>
          <w:szCs w:val="28"/>
        </w:rPr>
        <w:t xml:space="preserve"> (</w:t>
      </w:r>
      <w:proofErr w:type="spellStart"/>
      <w:r w:rsidRPr="00520861">
        <w:rPr>
          <w:sz w:val="28"/>
          <w:szCs w:val="28"/>
        </w:rPr>
        <w:t>мікрогенія</w:t>
      </w:r>
      <w:proofErr w:type="spellEnd"/>
      <w:r w:rsidRPr="00520861">
        <w:rPr>
          <w:sz w:val="28"/>
          <w:szCs w:val="28"/>
        </w:rPr>
        <w:t xml:space="preserve"> або </w:t>
      </w:r>
      <w:proofErr w:type="spellStart"/>
      <w:r w:rsidRPr="00520861">
        <w:rPr>
          <w:sz w:val="28"/>
          <w:szCs w:val="28"/>
        </w:rPr>
        <w:t>ретрогенія</w:t>
      </w:r>
      <w:proofErr w:type="spellEnd"/>
      <w:r w:rsidRPr="00520861">
        <w:rPr>
          <w:sz w:val="28"/>
          <w:szCs w:val="28"/>
        </w:rPr>
        <w:t xml:space="preserve">) </w:t>
      </w:r>
      <w:r w:rsidRPr="00520861">
        <w:rPr>
          <w:sz w:val="28"/>
          <w:szCs w:val="28"/>
        </w:rPr>
        <w:br/>
        <w:t>нижньої щелепи</w:t>
      </w:r>
      <w:r w:rsidRPr="00520861">
        <w:rPr>
          <w:rFonts w:eastAsia="Calibri"/>
          <w:sz w:val="28"/>
          <w:szCs w:val="28"/>
          <w:lang w:eastAsia="en-US"/>
        </w:rPr>
        <w:t xml:space="preserve">. На момент народження діти ОГ порівняно з ГП не мають більшого ПКВ </w:t>
      </w:r>
      <w:proofErr w:type="spellStart"/>
      <w:r w:rsidRPr="00520861">
        <w:rPr>
          <w:sz w:val="28"/>
          <w:szCs w:val="28"/>
        </w:rPr>
        <w:t>мікрогнатії</w:t>
      </w:r>
      <w:proofErr w:type="spellEnd"/>
      <w:r w:rsidRPr="00520861">
        <w:rPr>
          <w:sz w:val="28"/>
          <w:szCs w:val="28"/>
        </w:rPr>
        <w:t xml:space="preserve"> або </w:t>
      </w:r>
      <w:proofErr w:type="spellStart"/>
      <w:r w:rsidRPr="00520861">
        <w:rPr>
          <w:sz w:val="28"/>
          <w:szCs w:val="28"/>
        </w:rPr>
        <w:t>ретрогнатії</w:t>
      </w:r>
      <w:proofErr w:type="spellEnd"/>
      <w:r w:rsidRPr="00520861">
        <w:rPr>
          <w:sz w:val="28"/>
          <w:szCs w:val="28"/>
        </w:rPr>
        <w:t xml:space="preserve">. </w:t>
      </w:r>
      <w:proofErr w:type="spellStart"/>
      <w:r w:rsidRPr="00520861">
        <w:rPr>
          <w:rFonts w:eastAsia="Calibri"/>
          <w:sz w:val="28"/>
          <w:szCs w:val="28"/>
          <w:lang w:eastAsia="en-US"/>
        </w:rPr>
        <w:t>Мікростомія</w:t>
      </w:r>
      <w:proofErr w:type="spellEnd"/>
      <w:r w:rsidRPr="00520861">
        <w:rPr>
          <w:rFonts w:eastAsia="Calibri"/>
          <w:sz w:val="28"/>
          <w:szCs w:val="28"/>
          <w:lang w:eastAsia="en-US"/>
        </w:rPr>
        <w:t xml:space="preserve">, зафіксована в однієї дитини підгрупи 3, може бути свідченням різних системних захворювань [339]. </w:t>
      </w:r>
    </w:p>
    <w:p w14:paraId="5F4FE5E0" w14:textId="77777777" w:rsidR="00180D3E" w:rsidRPr="00520861" w:rsidRDefault="00180D3E" w:rsidP="00292D2E">
      <w:pPr>
        <w:widowControl w:val="0"/>
        <w:spacing w:line="360" w:lineRule="auto"/>
        <w:ind w:firstLine="709"/>
        <w:jc w:val="both"/>
        <w:rPr>
          <w:rFonts w:eastAsia="Calibri"/>
          <w:spacing w:val="-2"/>
          <w:sz w:val="28"/>
          <w:szCs w:val="28"/>
          <w:lang w:eastAsia="en-US"/>
        </w:rPr>
      </w:pPr>
      <w:r w:rsidRPr="00520861">
        <w:rPr>
          <w:rFonts w:eastAsia="Calibri"/>
          <w:spacing w:val="-2"/>
          <w:sz w:val="28"/>
          <w:szCs w:val="28"/>
          <w:lang w:eastAsia="en-US"/>
        </w:rPr>
        <w:t>Несиметричність вуздечки верхньої губи відносно серединної площини обличчя, яка спостерігалася у двох дітей підгрупи 1, може бути як ізольованою патологією, так і свідчити про наявність генетичної патології або пологової травми ЩЛД.</w:t>
      </w:r>
    </w:p>
    <w:p w14:paraId="173298EC"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sz w:val="28"/>
          <w:szCs w:val="28"/>
        </w:rPr>
        <w:t>Вірогідно (</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sz w:val="28"/>
          <w:szCs w:val="28"/>
        </w:rPr>
        <w:t xml:space="preserve">) більша ПКВ аномалій вуздечки верхньої губи спостерігається в </w:t>
      </w:r>
      <w:proofErr w:type="spellStart"/>
      <w:r w:rsidRPr="00520861">
        <w:rPr>
          <w:sz w:val="28"/>
          <w:szCs w:val="28"/>
        </w:rPr>
        <w:t>макросомів</w:t>
      </w:r>
      <w:proofErr w:type="spellEnd"/>
      <w:r w:rsidRPr="00520861">
        <w:rPr>
          <w:sz w:val="28"/>
          <w:szCs w:val="28"/>
        </w:rPr>
        <w:t xml:space="preserve"> порівняно з </w:t>
      </w:r>
      <w:proofErr w:type="spellStart"/>
      <w:r w:rsidRPr="00520861">
        <w:rPr>
          <w:sz w:val="28"/>
          <w:szCs w:val="28"/>
        </w:rPr>
        <w:t>нормосомами</w:t>
      </w:r>
      <w:proofErr w:type="spellEnd"/>
      <w:r w:rsidRPr="00520861">
        <w:rPr>
          <w:sz w:val="28"/>
          <w:szCs w:val="28"/>
        </w:rPr>
        <w:t>.</w:t>
      </w:r>
      <w:r w:rsidRPr="00520861">
        <w:rPr>
          <w:rFonts w:eastAsia="Calibri"/>
          <w:sz w:val="28"/>
          <w:szCs w:val="28"/>
          <w:lang w:eastAsia="en-US"/>
        </w:rPr>
        <w:t xml:space="preserve"> У лікарській спільноті немає </w:t>
      </w:r>
      <w:r w:rsidRPr="00520861">
        <w:rPr>
          <w:rFonts w:eastAsia="Calibri"/>
          <w:sz w:val="28"/>
          <w:szCs w:val="28"/>
          <w:lang w:eastAsia="en-US"/>
        </w:rPr>
        <w:br/>
        <w:t>одностайної думки щодо необхідності хірургічного втручання при IV виді вуздечок верхньої губи, але натепер є беззаперечним факт, що «щільні», короткі та низько прикріплені вуздечки верхньої губи заважають нормальному перебігу фізіологічного акту смоктання</w:t>
      </w:r>
      <w:r w:rsidRPr="00520861">
        <w:rPr>
          <w:rFonts w:eastAsia="Calibri"/>
          <w:sz w:val="28"/>
          <w:szCs w:val="28"/>
          <w:shd w:val="clear" w:color="auto" w:fill="FFFFFF"/>
          <w:lang w:eastAsia="en-US"/>
        </w:rPr>
        <w:t xml:space="preserve">. У ряді наукових праць [385, 386] доведено, що рання корекція </w:t>
      </w:r>
      <w:r w:rsidRPr="00520861">
        <w:rPr>
          <w:rFonts w:eastAsia="Calibri"/>
          <w:sz w:val="28"/>
          <w:szCs w:val="28"/>
          <w:shd w:val="clear" w:color="auto" w:fill="FFFFFF"/>
          <w:lang w:eastAsia="en-US"/>
        </w:rPr>
        <w:br/>
        <w:t xml:space="preserve">короткої та щільної вуздечки верхньої губи створює передумови для широкого </w:t>
      </w:r>
      <w:r w:rsidRPr="00520861">
        <w:rPr>
          <w:rFonts w:eastAsia="Calibri"/>
          <w:sz w:val="28"/>
          <w:szCs w:val="28"/>
          <w:shd w:val="clear" w:color="auto" w:fill="FFFFFF"/>
          <w:lang w:eastAsia="en-US"/>
        </w:rPr>
        <w:br/>
        <w:t xml:space="preserve">відкривання дитиною рота, що спрощує процес охоплення соска матері під час грудного вигодовування та може значно покращити естетику </w:t>
      </w:r>
      <w:r w:rsidRPr="00520861">
        <w:rPr>
          <w:rFonts w:eastAsia="Calibri"/>
          <w:sz w:val="28"/>
          <w:szCs w:val="28"/>
          <w:lang w:eastAsia="en-US"/>
        </w:rPr>
        <w:t>[351]</w:t>
      </w:r>
      <w:r w:rsidRPr="00520861">
        <w:rPr>
          <w:rFonts w:eastAsia="Calibri"/>
          <w:sz w:val="28"/>
          <w:szCs w:val="28"/>
          <w:shd w:val="clear" w:color="auto" w:fill="FFFFFF"/>
          <w:lang w:eastAsia="en-US"/>
        </w:rPr>
        <w:t xml:space="preserve">. </w:t>
      </w:r>
      <w:r w:rsidRPr="00520861">
        <w:rPr>
          <w:rFonts w:eastAsia="Calibri"/>
          <w:sz w:val="28"/>
          <w:szCs w:val="28"/>
          <w:lang w:eastAsia="en-US"/>
        </w:rPr>
        <w:t xml:space="preserve">Вуздечка верхньої губи також може стати причиною утворення </w:t>
      </w:r>
      <w:proofErr w:type="spellStart"/>
      <w:r w:rsidRPr="00520861">
        <w:rPr>
          <w:rFonts w:eastAsia="Calibri"/>
          <w:sz w:val="28"/>
          <w:szCs w:val="28"/>
          <w:lang w:eastAsia="en-US"/>
        </w:rPr>
        <w:t>діастеми</w:t>
      </w:r>
      <w:proofErr w:type="spellEnd"/>
      <w:r w:rsidRPr="00520861">
        <w:rPr>
          <w:rFonts w:eastAsia="Calibri"/>
          <w:sz w:val="28"/>
          <w:szCs w:val="28"/>
          <w:lang w:eastAsia="en-US"/>
        </w:rPr>
        <w:t xml:space="preserve"> та пізніше карієсу зубів [386].</w:t>
      </w:r>
    </w:p>
    <w:p w14:paraId="0B214159"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дітей ОГ мала місце більша ПКВ виявлення </w:t>
      </w:r>
      <w:proofErr w:type="spellStart"/>
      <w:r w:rsidRPr="00520861">
        <w:rPr>
          <w:rFonts w:eastAsia="Calibri"/>
          <w:sz w:val="28"/>
          <w:szCs w:val="28"/>
          <w:lang w:eastAsia="en-US"/>
        </w:rPr>
        <w:t>анкілоглосії</w:t>
      </w:r>
      <w:proofErr w:type="spellEnd"/>
      <w:r w:rsidRPr="00520861">
        <w:rPr>
          <w:rFonts w:eastAsia="Calibri"/>
          <w:sz w:val="28"/>
          <w:szCs w:val="28"/>
          <w:lang w:eastAsia="en-US"/>
        </w:rPr>
        <w:t xml:space="preserve">, яка стає частою </w:t>
      </w:r>
      <w:r w:rsidRPr="00520861">
        <w:rPr>
          <w:rFonts w:eastAsia="Calibri"/>
          <w:sz w:val="28"/>
          <w:szCs w:val="28"/>
          <w:lang w:eastAsia="en-US"/>
        </w:rPr>
        <w:lastRenderedPageBreak/>
        <w:t xml:space="preserve">причиною відмови від грудного вигодовування та недостатнього набору маси тіла [385, 473]. При первинному обстеженні вірогідно </w:t>
      </w:r>
      <w:r w:rsidRPr="00520861">
        <w:rPr>
          <w:sz w:val="28"/>
          <w:szCs w:val="28"/>
        </w:rPr>
        <w:t>(</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sz w:val="28"/>
          <w:szCs w:val="28"/>
        </w:rPr>
        <w:t xml:space="preserve">) </w:t>
      </w:r>
      <w:r w:rsidRPr="00520861">
        <w:rPr>
          <w:rFonts w:eastAsia="Calibri"/>
          <w:sz w:val="28"/>
          <w:szCs w:val="28"/>
          <w:lang w:eastAsia="en-US"/>
        </w:rPr>
        <w:t xml:space="preserve">більші відмінності від ГП спостерігалися у всіх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ОГ,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із підгруп 1 та 3 та у хлопчиків із під-групи 2. Отже, аномалії м’яких тканин здебільшого пов’язані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плода.</w:t>
      </w:r>
    </w:p>
    <w:p w14:paraId="15D49BDF"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Новонароджені з </w:t>
      </w:r>
      <w:proofErr w:type="spellStart"/>
      <w:r w:rsidRPr="00520861">
        <w:rPr>
          <w:rFonts w:eastAsia="Calibri"/>
          <w:sz w:val="28"/>
          <w:szCs w:val="28"/>
          <w:lang w:eastAsia="en-US"/>
        </w:rPr>
        <w:t>анкілоглосією</w:t>
      </w:r>
      <w:proofErr w:type="spellEnd"/>
      <w:r w:rsidRPr="00520861">
        <w:rPr>
          <w:rFonts w:eastAsia="Calibri"/>
          <w:sz w:val="28"/>
          <w:szCs w:val="28"/>
          <w:lang w:eastAsia="en-US"/>
        </w:rPr>
        <w:t xml:space="preserve"> не обов’язково мають труднощі з грудним вигодовуванням [235], проте своєчасна </w:t>
      </w:r>
      <w:proofErr w:type="spellStart"/>
      <w:r w:rsidRPr="00520861">
        <w:rPr>
          <w:rFonts w:eastAsia="Calibri"/>
          <w:sz w:val="28"/>
          <w:szCs w:val="28"/>
          <w:lang w:eastAsia="en-US"/>
        </w:rPr>
        <w:t>френулопластика</w:t>
      </w:r>
      <w:proofErr w:type="spellEnd"/>
      <w:r w:rsidRPr="00520861">
        <w:rPr>
          <w:rFonts w:eastAsia="Calibri"/>
          <w:sz w:val="28"/>
          <w:szCs w:val="28"/>
          <w:lang w:eastAsia="en-US"/>
        </w:rPr>
        <w:t xml:space="preserve"> збільшує ефективність грудного вигодовування [355] та є профілактикою інфантильного типу ковтання [159]. </w:t>
      </w:r>
    </w:p>
    <w:p w14:paraId="186C77C1" w14:textId="77777777" w:rsidR="00180D3E" w:rsidRPr="00520861" w:rsidRDefault="00180D3E" w:rsidP="00292D2E">
      <w:pPr>
        <w:widowControl w:val="0"/>
        <w:spacing w:line="360" w:lineRule="auto"/>
        <w:ind w:firstLine="709"/>
        <w:contextualSpacing/>
        <w:jc w:val="both"/>
        <w:rPr>
          <w:rFonts w:eastAsia="Calibri"/>
          <w:bCs/>
          <w:iCs/>
          <w:sz w:val="28"/>
          <w:szCs w:val="28"/>
          <w:lang w:eastAsia="en-US"/>
        </w:rPr>
      </w:pPr>
      <w:proofErr w:type="spellStart"/>
      <w:r w:rsidRPr="00520861">
        <w:rPr>
          <w:rFonts w:eastAsia="Calibri"/>
          <w:sz w:val="28"/>
          <w:szCs w:val="28"/>
          <w:lang w:eastAsia="en-US"/>
        </w:rPr>
        <w:t>Натальні</w:t>
      </w:r>
      <w:proofErr w:type="spellEnd"/>
      <w:r w:rsidRPr="00520861">
        <w:rPr>
          <w:rFonts w:eastAsia="Calibri"/>
          <w:sz w:val="28"/>
          <w:szCs w:val="28"/>
          <w:lang w:eastAsia="en-US"/>
        </w:rPr>
        <w:t xml:space="preserve"> зуби, які були виявлені в одного (2%) новонародженого із підгрупи 1, трапляються </w:t>
      </w:r>
      <w:r w:rsidRPr="00520861">
        <w:rPr>
          <w:rFonts w:eastAsia="Calibri"/>
          <w:bCs/>
          <w:iCs/>
          <w:sz w:val="28"/>
          <w:szCs w:val="28"/>
          <w:lang w:eastAsia="en-US"/>
        </w:rPr>
        <w:t xml:space="preserve">досить </w:t>
      </w:r>
      <w:proofErr w:type="spellStart"/>
      <w:r w:rsidRPr="00520861">
        <w:rPr>
          <w:rFonts w:eastAsia="Calibri"/>
          <w:bCs/>
          <w:iCs/>
          <w:sz w:val="28"/>
          <w:szCs w:val="28"/>
          <w:lang w:eastAsia="en-US"/>
        </w:rPr>
        <w:t>рідко</w:t>
      </w:r>
      <w:proofErr w:type="spellEnd"/>
      <w:r w:rsidRPr="00520861">
        <w:rPr>
          <w:rFonts w:eastAsia="Calibri"/>
          <w:bCs/>
          <w:iCs/>
          <w:sz w:val="28"/>
          <w:szCs w:val="28"/>
          <w:lang w:eastAsia="en-US"/>
        </w:rPr>
        <w:t xml:space="preserve"> – в одному випадку на 2000 – 3500 народжень [422]. </w:t>
      </w:r>
    </w:p>
    <w:p w14:paraId="143AF45E"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Кісти зубної пластинки, які були нами виявлені в 4 (3,8%) дітей ОГ, частіше фіксуються групами, проте за даними, опублікованими в працях [443, 513], вони бувають і досить великих розмірів (див., наприклад, рис. 5.12) та, на думку науковців, є в переліку фізіологічних утворень у дітей грудного періоду.</w:t>
      </w:r>
    </w:p>
    <w:p w14:paraId="34BD780A" w14:textId="77777777" w:rsidR="00180D3E" w:rsidRPr="00520861" w:rsidRDefault="00180D3E" w:rsidP="00292D2E">
      <w:pPr>
        <w:widowControl w:val="0"/>
        <w:spacing w:line="360" w:lineRule="auto"/>
        <w:ind w:firstLine="709"/>
        <w:jc w:val="both"/>
        <w:rPr>
          <w:sz w:val="28"/>
          <w:szCs w:val="28"/>
        </w:rPr>
      </w:pPr>
      <w:r w:rsidRPr="00520861">
        <w:rPr>
          <w:sz w:val="28"/>
          <w:szCs w:val="28"/>
        </w:rPr>
        <w:t xml:space="preserve">Загальновідомо, що афти </w:t>
      </w:r>
      <w:proofErr w:type="spellStart"/>
      <w:r w:rsidRPr="00520861">
        <w:rPr>
          <w:sz w:val="28"/>
          <w:szCs w:val="28"/>
        </w:rPr>
        <w:t>Беднара</w:t>
      </w:r>
      <w:proofErr w:type="spellEnd"/>
      <w:r w:rsidRPr="00520861">
        <w:rPr>
          <w:sz w:val="28"/>
          <w:szCs w:val="28"/>
        </w:rPr>
        <w:t>, які були виявлені в однієї дитини підгрупи 3 (</w:t>
      </w:r>
      <w:r w:rsidRPr="00520861">
        <w:rPr>
          <w:rFonts w:eastAsia="Calibri"/>
          <w:sz w:val="28"/>
          <w:szCs w:val="28"/>
          <w:lang w:eastAsia="en-US"/>
        </w:rPr>
        <w:t>5,6%</w:t>
      </w:r>
      <w:r w:rsidRPr="00520861">
        <w:rPr>
          <w:sz w:val="28"/>
          <w:szCs w:val="28"/>
        </w:rPr>
        <w:t xml:space="preserve">), виникають у ДГВ унаслідок механічного впливу [439]. Проте існує </w:t>
      </w:r>
      <w:r w:rsidRPr="00520861">
        <w:rPr>
          <w:sz w:val="28"/>
          <w:szCs w:val="28"/>
        </w:rPr>
        <w:br/>
        <w:t xml:space="preserve">думка, що причиною нестійкості СОПР до впливу </w:t>
      </w:r>
      <w:proofErr w:type="spellStart"/>
      <w:r w:rsidRPr="00520861">
        <w:rPr>
          <w:sz w:val="28"/>
          <w:szCs w:val="28"/>
        </w:rPr>
        <w:t>пошкоджуючих</w:t>
      </w:r>
      <w:proofErr w:type="spellEnd"/>
      <w:r w:rsidRPr="00520861">
        <w:rPr>
          <w:sz w:val="28"/>
          <w:szCs w:val="28"/>
        </w:rPr>
        <w:t xml:space="preserve"> факторів та появи афт </w:t>
      </w:r>
      <w:proofErr w:type="spellStart"/>
      <w:r w:rsidRPr="00520861">
        <w:rPr>
          <w:sz w:val="28"/>
          <w:szCs w:val="28"/>
        </w:rPr>
        <w:t>Беднара</w:t>
      </w:r>
      <w:proofErr w:type="spellEnd"/>
      <w:r w:rsidRPr="00520861">
        <w:rPr>
          <w:sz w:val="28"/>
          <w:szCs w:val="28"/>
        </w:rPr>
        <w:t xml:space="preserve"> може стати порушення імунної системи в таких дітей [442, 543], що </w:t>
      </w:r>
      <w:r w:rsidRPr="00520861">
        <w:rPr>
          <w:spacing w:val="-2"/>
          <w:sz w:val="28"/>
          <w:szCs w:val="28"/>
        </w:rPr>
        <w:t xml:space="preserve">узгоджується з результатами </w:t>
      </w:r>
      <w:proofErr w:type="spellStart"/>
      <w:r w:rsidRPr="00520861">
        <w:rPr>
          <w:spacing w:val="-2"/>
          <w:sz w:val="28"/>
          <w:szCs w:val="28"/>
        </w:rPr>
        <w:t>Яковцової</w:t>
      </w:r>
      <w:proofErr w:type="spellEnd"/>
      <w:r w:rsidRPr="00520861">
        <w:rPr>
          <w:rFonts w:eastAsia="Calibri"/>
          <w:spacing w:val="-2"/>
          <w:sz w:val="28"/>
          <w:szCs w:val="28"/>
          <w:lang w:eastAsia="en-US"/>
        </w:rPr>
        <w:t> А. Ф.</w:t>
      </w:r>
      <w:r w:rsidRPr="00520861">
        <w:rPr>
          <w:spacing w:val="-2"/>
          <w:sz w:val="28"/>
          <w:szCs w:val="28"/>
        </w:rPr>
        <w:t xml:space="preserve"> та співавторів [216], а також із виснов</w:t>
      </w:r>
      <w:r w:rsidRPr="00520861">
        <w:rPr>
          <w:sz w:val="28"/>
          <w:szCs w:val="28"/>
        </w:rPr>
        <w:t>ками, зробленими нами при проведенні експериментальної частини дослідження.</w:t>
      </w:r>
    </w:p>
    <w:p w14:paraId="63B2F2D2"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«Готичне», або високе, піднебіння спостерігалося у 8 немовлят (11,6%) ГП та у 12 дітей (11,5%) ОГ. Відомо, що високе піднебіння ускладнює всмоктувальні рухи при грудному вигодовуванні, що гальмує ріст нижньої щелепи й фіксує її дистальне положення. Така аномалія може стати фактором ризику виникнення патологій у процесі розвитку ротового дихання. Останнє, у свою чергу, може сприяти розвитку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й твердих тканин зубів [93].</w:t>
      </w:r>
    </w:p>
    <w:p w14:paraId="631A3E4D"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Відомо, що короткі вуздечки язика та високе піднебіння є маркерами </w:t>
      </w:r>
      <w:r w:rsidRPr="00520861">
        <w:rPr>
          <w:rFonts w:eastAsia="Calibri"/>
          <w:sz w:val="28"/>
          <w:szCs w:val="28"/>
          <w:lang w:eastAsia="en-US"/>
        </w:rPr>
        <w:br/>
        <w:t xml:space="preserve">недиференційованої </w:t>
      </w:r>
      <w:proofErr w:type="spellStart"/>
      <w:r w:rsidRPr="00520861">
        <w:rPr>
          <w:rFonts w:eastAsia="Calibri"/>
          <w:sz w:val="28"/>
          <w:szCs w:val="28"/>
          <w:lang w:eastAsia="en-US"/>
        </w:rPr>
        <w:t>дисплазії</w:t>
      </w:r>
      <w:proofErr w:type="spellEnd"/>
      <w:r w:rsidRPr="00520861">
        <w:rPr>
          <w:rFonts w:eastAsia="Calibri"/>
          <w:sz w:val="28"/>
          <w:szCs w:val="28"/>
          <w:lang w:eastAsia="en-US"/>
        </w:rPr>
        <w:t xml:space="preserve"> сполучної тканини [173, 187, 190, 209]. </w:t>
      </w:r>
    </w:p>
    <w:p w14:paraId="00D4EBEA"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При проведенні повторних обстежень цих самих дітей у віці 6 місяців та 1 рік також зафіксовано наявність великого процента щільних, низько прикріплених вуздечок верхньої губи в ОГ загалом. Спостереження за стоматологічним станом дітей </w:t>
      </w:r>
      <w:r w:rsidRPr="00520861">
        <w:rPr>
          <w:rFonts w:eastAsia="Calibri"/>
          <w:sz w:val="28"/>
          <w:szCs w:val="28"/>
          <w:lang w:eastAsia="en-US"/>
        </w:rPr>
        <w:lastRenderedPageBreak/>
        <w:t xml:space="preserve">у динаміці, на наш погляд, підтверджує необхідність більш раннього хірургічного втручання з метою попередження розвитку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в онтогенезі.</w:t>
      </w:r>
    </w:p>
    <w:p w14:paraId="036B1E9E" w14:textId="77777777" w:rsidR="00180D3E" w:rsidRPr="00520861" w:rsidRDefault="00180D3E" w:rsidP="00292D2E">
      <w:pPr>
        <w:widowControl w:val="0"/>
        <w:shd w:val="clear" w:color="auto" w:fill="FFFFFF"/>
        <w:spacing w:line="360" w:lineRule="auto"/>
        <w:ind w:firstLine="709"/>
        <w:jc w:val="both"/>
        <w:rPr>
          <w:rFonts w:eastAsia="Calibri"/>
          <w:sz w:val="28"/>
          <w:szCs w:val="28"/>
          <w:lang w:eastAsia="en-US"/>
        </w:rPr>
      </w:pPr>
      <w:r w:rsidRPr="00520861">
        <w:rPr>
          <w:rFonts w:eastAsia="Calibri"/>
          <w:sz w:val="28"/>
          <w:szCs w:val="28"/>
          <w:lang w:eastAsia="en-US"/>
        </w:rPr>
        <w:t xml:space="preserve">Звертала на себе увагу також наявність </w:t>
      </w:r>
      <w:proofErr w:type="spellStart"/>
      <w:r w:rsidRPr="00520861">
        <w:rPr>
          <w:rFonts w:eastAsia="Calibri"/>
          <w:sz w:val="28"/>
          <w:szCs w:val="28"/>
          <w:lang w:eastAsia="en-US"/>
        </w:rPr>
        <w:t>гіпопластично</w:t>
      </w:r>
      <w:proofErr w:type="spellEnd"/>
      <w:r w:rsidRPr="00520861">
        <w:rPr>
          <w:rFonts w:eastAsia="Calibri"/>
          <w:sz w:val="28"/>
          <w:szCs w:val="28"/>
          <w:lang w:eastAsia="en-US"/>
        </w:rPr>
        <w:t xml:space="preserve"> змінених, малих за розмірами коронкових частин фронтальної групи зубів у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У 10 (11,8%) дітей ОГ було зафіксовано поворот зубів фронтальної групи навколо </w:t>
      </w:r>
      <w:r w:rsidRPr="00520861">
        <w:rPr>
          <w:rFonts w:eastAsia="Calibri"/>
          <w:sz w:val="28"/>
          <w:szCs w:val="28"/>
          <w:lang w:eastAsia="en-US"/>
        </w:rPr>
        <w:br/>
        <w:t xml:space="preserve">повздовжньої осі. Цей факт є цікавим тому, що ці діти не мали </w:t>
      </w:r>
      <w:proofErr w:type="spellStart"/>
      <w:r w:rsidRPr="00520861">
        <w:rPr>
          <w:rFonts w:eastAsia="Calibri"/>
          <w:sz w:val="28"/>
          <w:szCs w:val="28"/>
          <w:lang w:eastAsia="en-US"/>
        </w:rPr>
        <w:t>анкілоглосії</w:t>
      </w:r>
      <w:proofErr w:type="spellEnd"/>
      <w:r w:rsidRPr="00520861">
        <w:rPr>
          <w:rFonts w:eastAsia="Calibri"/>
          <w:sz w:val="28"/>
          <w:szCs w:val="28"/>
          <w:lang w:eastAsia="en-US"/>
        </w:rPr>
        <w:t xml:space="preserve">. На нашу думку, таке порушення може бути наслідком дії якихось місцевих факторів і свідчити про недорозвиненість фронтального сегмента щелеп. </w:t>
      </w:r>
    </w:p>
    <w:p w14:paraId="3F824620" w14:textId="77777777" w:rsidR="00180D3E" w:rsidRPr="00520861" w:rsidRDefault="00180D3E" w:rsidP="00292D2E">
      <w:pPr>
        <w:widowControl w:val="0"/>
        <w:shd w:val="clear" w:color="auto" w:fill="FFFFFF"/>
        <w:spacing w:line="360" w:lineRule="auto"/>
        <w:ind w:firstLine="709"/>
        <w:jc w:val="both"/>
        <w:rPr>
          <w:rFonts w:eastAsia="Calibri"/>
          <w:sz w:val="28"/>
          <w:szCs w:val="28"/>
          <w:lang w:eastAsia="en-US"/>
        </w:rPr>
      </w:pPr>
      <w:r w:rsidRPr="00520861">
        <w:rPr>
          <w:rFonts w:eastAsia="Calibri"/>
          <w:sz w:val="28"/>
          <w:szCs w:val="28"/>
          <w:lang w:eastAsia="en-US"/>
        </w:rPr>
        <w:t xml:space="preserve">Розглянемо особливості стану СГС, у тому числі прорізування тимчасових зубів, у дітей перших років життя. Діти із підгрупи-1 мали вищу процентну кількість аномалій м’яких тканин у порівнянні з ГП. У віці один рік показники, що характеризують процес прорізування зубів, у них були близькими до таких у ГП. Хлопчики із підгрупи-2 мали вірогідно </w:t>
      </w:r>
      <w:r w:rsidRPr="00520861">
        <w:rPr>
          <w:sz w:val="28"/>
          <w:szCs w:val="28"/>
        </w:rPr>
        <w:t>(</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sz w:val="28"/>
          <w:szCs w:val="28"/>
        </w:rPr>
        <w:t xml:space="preserve">) </w:t>
      </w:r>
      <w:r w:rsidRPr="00520861">
        <w:rPr>
          <w:rFonts w:eastAsia="Calibri"/>
          <w:sz w:val="28"/>
          <w:szCs w:val="28"/>
          <w:lang w:eastAsia="en-US"/>
        </w:rPr>
        <w:t xml:space="preserve">збільшену процентну кількість аномалій м’яких тканин. Дівчатка цієї підгрупи у віці 1 рік мали вірогідно </w:t>
      </w:r>
      <w:r w:rsidRPr="00520861">
        <w:rPr>
          <w:sz w:val="28"/>
          <w:szCs w:val="28"/>
        </w:rPr>
        <w:t>(</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sz w:val="28"/>
          <w:szCs w:val="28"/>
        </w:rPr>
        <w:t>)</w:t>
      </w:r>
      <w:r w:rsidRPr="00520861">
        <w:rPr>
          <w:rFonts w:eastAsia="Calibri"/>
          <w:sz w:val="28"/>
          <w:szCs w:val="28"/>
          <w:lang w:eastAsia="en-US"/>
        </w:rPr>
        <w:t xml:space="preserve"> більшу ПКВ </w:t>
      </w:r>
      <w:r w:rsidRPr="00520861">
        <w:rPr>
          <w:rFonts w:eastAsia="Calibri"/>
          <w:sz w:val="28"/>
          <w:szCs w:val="28"/>
          <w:lang w:eastAsia="en-US"/>
        </w:rPr>
        <w:br/>
        <w:t xml:space="preserve">затримки прорізування зубів у порівнянні з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тієї ж статі. </w:t>
      </w:r>
    </w:p>
    <w:p w14:paraId="03C91DD7"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Дівчатка підгрупи-3 у порівнянні із ГП мали вірогідно </w:t>
      </w:r>
      <w:r w:rsidRPr="00520861">
        <w:rPr>
          <w:sz w:val="28"/>
          <w:szCs w:val="28"/>
        </w:rPr>
        <w:t>(</w:t>
      </w:r>
      <w:r w:rsidR="00053219" w:rsidRPr="00520861">
        <w:rPr>
          <w:rFonts w:eastAsia="Calibri"/>
          <w:i/>
          <w:sz w:val="28"/>
          <w:szCs w:val="28"/>
          <w:lang w:eastAsia="en-US"/>
        </w:rPr>
        <w:t>p</w:t>
      </w:r>
      <w:r w:rsidR="00CD7533" w:rsidRPr="00520861">
        <w:rPr>
          <w:rFonts w:eastAsia="Calibri"/>
          <w:sz w:val="28"/>
          <w:szCs w:val="28"/>
          <w:lang w:eastAsia="en-US"/>
        </w:rPr>
        <w:t>&lt;</w:t>
      </w:r>
      <w:r w:rsidR="00053219" w:rsidRPr="00520861">
        <w:rPr>
          <w:rFonts w:eastAsia="Calibri"/>
          <w:sz w:val="28"/>
          <w:szCs w:val="28"/>
          <w:lang w:eastAsia="en-US"/>
        </w:rPr>
        <w:t>0,05</w:t>
      </w:r>
      <w:r w:rsidRPr="00520861">
        <w:rPr>
          <w:sz w:val="28"/>
          <w:szCs w:val="28"/>
        </w:rPr>
        <w:t>)</w:t>
      </w:r>
      <w:r w:rsidRPr="00520861">
        <w:rPr>
          <w:rFonts w:eastAsia="Calibri"/>
          <w:sz w:val="28"/>
          <w:szCs w:val="28"/>
          <w:lang w:eastAsia="en-US"/>
        </w:rPr>
        <w:t xml:space="preserve"> більшу процентну кількість </w:t>
      </w:r>
      <w:proofErr w:type="spellStart"/>
      <w:r w:rsidRPr="00520861">
        <w:rPr>
          <w:rFonts w:eastAsia="Calibri"/>
          <w:sz w:val="28"/>
          <w:szCs w:val="28"/>
          <w:lang w:eastAsia="en-US"/>
        </w:rPr>
        <w:t>анкілоглосій</w:t>
      </w:r>
      <w:proofErr w:type="spellEnd"/>
      <w:r w:rsidRPr="00520861">
        <w:rPr>
          <w:rFonts w:eastAsia="Calibri"/>
          <w:sz w:val="28"/>
          <w:szCs w:val="28"/>
          <w:lang w:eastAsia="en-US"/>
        </w:rPr>
        <w:t xml:space="preserve">. Процеси прорізування тимчасових зубів у віці 1 рік у цій групі характеризувалися найбільшим розкидом по строках –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спостерігалася тенденція до передчасного прорізування, а в хлопчиків – до затримки.</w:t>
      </w:r>
    </w:p>
    <w:p w14:paraId="558A7E05"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Дівчатка </w:t>
      </w:r>
      <w:r w:rsidRPr="00520861">
        <w:rPr>
          <w:sz w:val="28"/>
          <w:szCs w:val="28"/>
        </w:rPr>
        <w:t>із підгрупи 4</w:t>
      </w:r>
      <w:r w:rsidRPr="00520861">
        <w:rPr>
          <w:rFonts w:eastAsia="Calibri"/>
          <w:sz w:val="28"/>
          <w:szCs w:val="28"/>
          <w:lang w:eastAsia="en-US"/>
        </w:rPr>
        <w:t xml:space="preserve"> у порівнянні з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тієї ж статі мали більшу процентну кількість </w:t>
      </w:r>
      <w:proofErr w:type="spellStart"/>
      <w:r w:rsidRPr="00520861">
        <w:rPr>
          <w:rFonts w:eastAsia="Calibri"/>
          <w:sz w:val="28"/>
          <w:szCs w:val="28"/>
          <w:lang w:eastAsia="en-US"/>
        </w:rPr>
        <w:t>анкілоглосій</w:t>
      </w:r>
      <w:proofErr w:type="spellEnd"/>
      <w:r w:rsidRPr="00520861">
        <w:rPr>
          <w:rFonts w:eastAsia="Calibri"/>
          <w:sz w:val="28"/>
          <w:szCs w:val="28"/>
          <w:lang w:eastAsia="en-US"/>
        </w:rPr>
        <w:t xml:space="preserve">. У віці одного року в дітей цієї підгрупи було </w:t>
      </w:r>
      <w:r w:rsidRPr="00520861">
        <w:rPr>
          <w:rFonts w:eastAsia="Calibri"/>
          <w:sz w:val="28"/>
          <w:szCs w:val="28"/>
          <w:lang w:eastAsia="en-US"/>
        </w:rPr>
        <w:br/>
        <w:t>зафіксовано найбільшу ПКВ передчасного прорізування зубів.</w:t>
      </w:r>
    </w:p>
    <w:p w14:paraId="3D117982" w14:textId="77777777" w:rsidR="00180D3E" w:rsidRPr="00520861" w:rsidRDefault="00180D3E" w:rsidP="00292D2E">
      <w:pPr>
        <w:widowControl w:val="0"/>
        <w:shd w:val="clear" w:color="auto" w:fill="FFFFFF"/>
        <w:spacing w:line="360" w:lineRule="auto"/>
        <w:ind w:firstLine="709"/>
        <w:jc w:val="both"/>
        <w:rPr>
          <w:sz w:val="28"/>
          <w:szCs w:val="28"/>
          <w:shd w:val="clear" w:color="auto" w:fill="FFFFFF"/>
        </w:rPr>
      </w:pPr>
      <w:r w:rsidRPr="00520861">
        <w:rPr>
          <w:sz w:val="28"/>
          <w:szCs w:val="28"/>
          <w:shd w:val="clear" w:color="auto" w:fill="FFFFFF"/>
        </w:rPr>
        <w:t>Отже,</w:t>
      </w:r>
      <w:r w:rsidRPr="00520861">
        <w:rPr>
          <w:rFonts w:eastAsia="Calibri"/>
          <w:sz w:val="28"/>
          <w:szCs w:val="28"/>
          <w:lang w:eastAsia="en-US"/>
        </w:rPr>
        <w:t xml:space="preserve"> процес прорізування тимчасових зубів більш гармонійно проходить у дітей із підгрупи 1.</w:t>
      </w:r>
      <w:r w:rsidRPr="00520861">
        <w:rPr>
          <w:b/>
          <w:sz w:val="28"/>
          <w:szCs w:val="28"/>
          <w:shd w:val="clear" w:color="auto" w:fill="FFFFFF"/>
        </w:rPr>
        <w:t xml:space="preserve"> </w:t>
      </w:r>
      <w:r w:rsidRPr="00520861">
        <w:rPr>
          <w:sz w:val="28"/>
          <w:szCs w:val="28"/>
          <w:shd w:val="clear" w:color="auto" w:fill="FFFFFF"/>
        </w:rPr>
        <w:t xml:space="preserve">Найбільші </w:t>
      </w:r>
      <w:r w:rsidRPr="00520861">
        <w:rPr>
          <w:rFonts w:eastAsia="Calibri"/>
          <w:sz w:val="28"/>
          <w:szCs w:val="28"/>
          <w:lang w:eastAsia="en-US"/>
        </w:rPr>
        <w:t>розбіжності в термінах прорізування зубів мали діти з підгрупи 2</w:t>
      </w:r>
      <w:r w:rsidRPr="00520861">
        <w:rPr>
          <w:b/>
          <w:sz w:val="28"/>
          <w:szCs w:val="28"/>
          <w:shd w:val="clear" w:color="auto" w:fill="FFFFFF"/>
        </w:rPr>
        <w:t xml:space="preserve"> </w:t>
      </w:r>
      <w:r w:rsidRPr="00520861">
        <w:rPr>
          <w:sz w:val="28"/>
          <w:szCs w:val="28"/>
          <w:shd w:val="clear" w:color="auto" w:fill="FFFFFF"/>
        </w:rPr>
        <w:t>та</w:t>
      </w:r>
      <w:r w:rsidRPr="00520861">
        <w:rPr>
          <w:rFonts w:eastAsia="Calibri"/>
          <w:b/>
          <w:sz w:val="28"/>
          <w:szCs w:val="28"/>
          <w:lang w:eastAsia="en-US"/>
        </w:rPr>
        <w:t xml:space="preserve"> </w:t>
      </w:r>
      <w:r w:rsidRPr="00520861">
        <w:rPr>
          <w:rFonts w:eastAsia="Calibri"/>
          <w:sz w:val="28"/>
          <w:szCs w:val="28"/>
          <w:lang w:eastAsia="en-US"/>
        </w:rPr>
        <w:t>підгрупи 3</w:t>
      </w:r>
      <w:r w:rsidRPr="00520861">
        <w:rPr>
          <w:i/>
          <w:sz w:val="28"/>
          <w:szCs w:val="28"/>
          <w:shd w:val="clear" w:color="auto" w:fill="FFFFFF"/>
        </w:rPr>
        <w:t>.</w:t>
      </w:r>
      <w:r w:rsidRPr="00520861">
        <w:rPr>
          <w:b/>
          <w:sz w:val="28"/>
          <w:szCs w:val="28"/>
          <w:shd w:val="clear" w:color="auto" w:fill="FFFFFF"/>
        </w:rPr>
        <w:t xml:space="preserve"> </w:t>
      </w:r>
      <w:r w:rsidRPr="00520861">
        <w:rPr>
          <w:sz w:val="28"/>
          <w:szCs w:val="28"/>
          <w:shd w:val="clear" w:color="auto" w:fill="FFFFFF"/>
        </w:rPr>
        <w:t>Але при досягненні дітьми віку один рік виявилося, що в осіб із</w:t>
      </w:r>
      <w:r w:rsidRPr="00520861">
        <w:rPr>
          <w:rFonts w:eastAsia="Calibri"/>
          <w:b/>
          <w:sz w:val="28"/>
          <w:szCs w:val="28"/>
          <w:lang w:eastAsia="en-US"/>
        </w:rPr>
        <w:t xml:space="preserve"> </w:t>
      </w:r>
      <w:r w:rsidRPr="00520861">
        <w:rPr>
          <w:rFonts w:eastAsia="Calibri"/>
          <w:sz w:val="28"/>
          <w:szCs w:val="28"/>
          <w:lang w:eastAsia="en-US"/>
        </w:rPr>
        <w:t xml:space="preserve">підгрупи </w:t>
      </w:r>
      <w:r w:rsidRPr="00520861">
        <w:rPr>
          <w:sz w:val="28"/>
          <w:szCs w:val="28"/>
          <w:shd w:val="clear" w:color="auto" w:fill="FFFFFF"/>
        </w:rPr>
        <w:t>2 у середньому зберігаються вповільнені темпи прорізування зубів. Також у дітей із підгрупи 2</w:t>
      </w:r>
      <w:r w:rsidRPr="00520861">
        <w:rPr>
          <w:i/>
          <w:sz w:val="28"/>
          <w:szCs w:val="28"/>
          <w:shd w:val="clear" w:color="auto" w:fill="FFFFFF"/>
        </w:rPr>
        <w:t xml:space="preserve"> </w:t>
      </w:r>
      <w:r w:rsidRPr="00520861">
        <w:rPr>
          <w:sz w:val="28"/>
          <w:szCs w:val="28"/>
          <w:shd w:val="clear" w:color="auto" w:fill="FFFFFF"/>
        </w:rPr>
        <w:t>було виявлено найбільшу процентну кількість порушень послідовності й парності прорізування зубів серед усіх учасників дослідження.</w:t>
      </w:r>
    </w:p>
    <w:p w14:paraId="626F3515" w14:textId="77777777" w:rsidR="00180D3E" w:rsidRPr="00520861" w:rsidRDefault="00180D3E" w:rsidP="00292D2E">
      <w:pPr>
        <w:widowControl w:val="0"/>
        <w:shd w:val="clear" w:color="auto" w:fill="FFFFFF"/>
        <w:spacing w:line="360" w:lineRule="auto"/>
        <w:ind w:firstLine="709"/>
        <w:jc w:val="both"/>
        <w:rPr>
          <w:spacing w:val="-2"/>
          <w:sz w:val="28"/>
          <w:szCs w:val="28"/>
          <w:shd w:val="clear" w:color="auto" w:fill="FFFFFF"/>
        </w:rPr>
      </w:pPr>
      <w:r w:rsidRPr="00520861">
        <w:rPr>
          <w:rFonts w:eastAsia="Calibri"/>
          <w:spacing w:val="-2"/>
          <w:sz w:val="28"/>
          <w:szCs w:val="28"/>
          <w:lang w:eastAsia="en-US"/>
        </w:rPr>
        <w:t xml:space="preserve">При проведенні ретроспективного дослідження нами було виявлено тенденцію до більш пізнього прорізування зубів у дітей ОГ усіх підгруп порівняно із ГП тієї ж </w:t>
      </w:r>
      <w:r w:rsidRPr="00520861">
        <w:rPr>
          <w:rFonts w:eastAsia="Calibri"/>
          <w:spacing w:val="-2"/>
          <w:sz w:val="28"/>
          <w:szCs w:val="28"/>
          <w:lang w:eastAsia="en-US"/>
        </w:rPr>
        <w:lastRenderedPageBreak/>
        <w:t xml:space="preserve">самої статі, що узгоджується з результатами, одержаними </w:t>
      </w:r>
      <w:proofErr w:type="spellStart"/>
      <w:r w:rsidRPr="00520861">
        <w:rPr>
          <w:rFonts w:eastAsia="Calibri"/>
          <w:spacing w:val="-2"/>
          <w:sz w:val="28"/>
          <w:szCs w:val="28"/>
          <w:lang w:eastAsia="en-US"/>
        </w:rPr>
        <w:t>Хурасевою</w:t>
      </w:r>
      <w:proofErr w:type="spellEnd"/>
      <w:r w:rsidRPr="00520861">
        <w:rPr>
          <w:rFonts w:eastAsia="Calibri"/>
          <w:spacing w:val="-2"/>
          <w:sz w:val="28"/>
          <w:szCs w:val="28"/>
          <w:lang w:eastAsia="en-US"/>
        </w:rPr>
        <w:t> А. В. [</w:t>
      </w:r>
      <w:r w:rsidRPr="00520861">
        <w:rPr>
          <w:spacing w:val="-2"/>
          <w:sz w:val="28"/>
          <w:szCs w:val="28"/>
        </w:rPr>
        <w:t>203].</w:t>
      </w:r>
    </w:p>
    <w:p w14:paraId="5F54640F"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Виявилося, що діти із підгрупи 1 підтверджують свою назву – «гармонійно </w:t>
      </w:r>
      <w:r w:rsidRPr="00520861">
        <w:rPr>
          <w:rFonts w:eastAsia="Calibri"/>
          <w:sz w:val="28"/>
          <w:szCs w:val="28"/>
          <w:lang w:eastAsia="en-US"/>
        </w:rPr>
        <w:br/>
        <w:t xml:space="preserve">розвинені». Для них вік, у якому починається прорізування зубів, вік, у якому дитина має 1 зуб, а також середня кількість зубів у віці 1 рік практично не відрізняються від показників ГП. До того ж у них не спостерігається екстремальних значень жодного з показників. У дослідженнях інших авторів цю групу умовно називали </w:t>
      </w:r>
      <w:r w:rsidRPr="00520861">
        <w:rPr>
          <w:rFonts w:eastAsia="Calibri"/>
          <w:sz w:val="28"/>
          <w:szCs w:val="28"/>
          <w:lang w:eastAsia="en-US"/>
        </w:rPr>
        <w:br/>
        <w:t>«істинні акселерати» [181].</w:t>
      </w:r>
    </w:p>
    <w:p w14:paraId="438F6FD6"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Діти із підгрупи 2 мали найнижчу швидкість росту зубів та найменшу кількість зубів у віці один рік із усіх учасників дослідження. Також у цій підгрупі, у порівнянні з іншими, у хлопчиків спостерігається найбільша ПКВ затримки прорізування зубів та найбільша процентна кількість дітей обох статей, які мали 2 і менше зубів у віці 1 рік. Відносна недостатність маси тіла, яку ці діти мали ВУ в той самий період, коли відбувається закладка та формування зубів тимчасового й частково постійного прикусу, могла сприяти вищенаведеним порушенням. Наші результати деякою мірою співпадають із результатами, які опубліковані авторами [</w:t>
      </w:r>
      <w:r w:rsidRPr="00520861">
        <w:rPr>
          <w:sz w:val="28"/>
          <w:szCs w:val="28"/>
        </w:rPr>
        <w:t>490</w:t>
      </w:r>
      <w:r w:rsidRPr="00520861">
        <w:rPr>
          <w:rFonts w:eastAsia="Calibri"/>
          <w:sz w:val="28"/>
          <w:szCs w:val="28"/>
          <w:lang w:eastAsia="en-US"/>
        </w:rPr>
        <w:t xml:space="preserve">], де вказується на існування негативної лінійної залежності між масою тіла при народженні та віком прорізування першого зуба. Наше дослідження також указує, що в дітей цієї підгрупи </w:t>
      </w:r>
      <w:r w:rsidRPr="00520861">
        <w:rPr>
          <w:rFonts w:eastAsia="Calibri"/>
          <w:sz w:val="28"/>
          <w:szCs w:val="28"/>
          <w:lang w:eastAsia="en-US"/>
        </w:rPr>
        <w:br/>
        <w:t xml:space="preserve">низький ІМТ при народженні корелює із затримкою прорізування. </w:t>
      </w:r>
    </w:p>
    <w:p w14:paraId="70C23D28"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Діти із підгрупи 3 демонстрували найбільш девіантні показники. Незважаючи на те, що хлопчики цієї підгрупи мали вірогідно </w:t>
      </w:r>
      <w:r w:rsidRPr="00520861">
        <w:rPr>
          <w:sz w:val="28"/>
          <w:szCs w:val="28"/>
        </w:rPr>
        <w:t>(</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xml:space="preserve">) </w:t>
      </w:r>
      <w:r w:rsidRPr="00520861">
        <w:rPr>
          <w:rFonts w:eastAsia="Calibri"/>
          <w:sz w:val="28"/>
          <w:szCs w:val="28"/>
          <w:lang w:eastAsia="en-US"/>
        </w:rPr>
        <w:t xml:space="preserve">знижену швидкість росту зубів, вони також мали найбільшу серед усіх ПКВ наявність 11 або більше зубів у віці 1 рік.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цієї підгрупи було виявлено найбільшу серед усіх швидкість росту зубів, а також вірогідно </w:t>
      </w:r>
      <w:r w:rsidRPr="00520861">
        <w:rPr>
          <w:sz w:val="28"/>
          <w:szCs w:val="28"/>
        </w:rPr>
        <w:t>(</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xml:space="preserve">) </w:t>
      </w:r>
      <w:r w:rsidRPr="00520861">
        <w:rPr>
          <w:rFonts w:eastAsia="Calibri"/>
          <w:sz w:val="28"/>
          <w:szCs w:val="28"/>
          <w:lang w:eastAsia="en-US"/>
        </w:rPr>
        <w:t xml:space="preserve">більшу, ніж у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та найбільшу серед усіх підгруп ПКВ передчасного прорізування зубів.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підгрупи 3 у віці 1 рік кількість зубів більша, ніж у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відповідного віку, що узгоджується з </w:t>
      </w:r>
      <w:r w:rsidRPr="00520861">
        <w:rPr>
          <w:rFonts w:eastAsia="Calibri"/>
          <w:sz w:val="28"/>
          <w:szCs w:val="28"/>
          <w:lang w:eastAsia="en-US"/>
        </w:rPr>
        <w:br/>
        <w:t>результатами, отриманими авторами [</w:t>
      </w:r>
      <w:r w:rsidRPr="00520861">
        <w:rPr>
          <w:sz w:val="28"/>
          <w:szCs w:val="28"/>
        </w:rPr>
        <w:t>529</w:t>
      </w:r>
      <w:r w:rsidRPr="00520861">
        <w:rPr>
          <w:rFonts w:eastAsia="Calibri"/>
          <w:sz w:val="28"/>
          <w:szCs w:val="28"/>
          <w:lang w:eastAsia="en-US"/>
        </w:rPr>
        <w:t>].</w:t>
      </w:r>
    </w:p>
    <w:p w14:paraId="66B10E42" w14:textId="77777777" w:rsidR="00180D3E" w:rsidRPr="00520861" w:rsidRDefault="00180D3E"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eastAsia="Calibri"/>
          <w:sz w:val="28"/>
          <w:szCs w:val="28"/>
          <w:lang w:eastAsia="en-US"/>
        </w:rPr>
      </w:pPr>
      <w:r w:rsidRPr="00520861">
        <w:rPr>
          <w:rFonts w:eastAsia="Calibri"/>
          <w:sz w:val="28"/>
          <w:szCs w:val="28"/>
          <w:lang w:eastAsia="en-US"/>
        </w:rPr>
        <w:t xml:space="preserve">Незважаючи на зіставні з групою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-хлопчиків осереднені показники, хлопчики підгрупи 4 мали вірогідно </w:t>
      </w:r>
      <w:r w:rsidRPr="00520861">
        <w:rPr>
          <w:sz w:val="28"/>
          <w:szCs w:val="28"/>
        </w:rPr>
        <w:t>(</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xml:space="preserve">) </w:t>
      </w:r>
      <w:r w:rsidRPr="00520861">
        <w:rPr>
          <w:rFonts w:eastAsia="Calibri"/>
          <w:sz w:val="28"/>
          <w:szCs w:val="28"/>
          <w:lang w:eastAsia="en-US"/>
        </w:rPr>
        <w:t xml:space="preserve">більшу, порівняно із усіма учасниками дослідження, ПКВ передчасного прорізування зубів. Дівчатка цієї підгрупи мали найнижчу, у порівнянні з усіма іншими, швидкість росту зубів, найменшу кількість </w:t>
      </w:r>
      <w:r w:rsidRPr="00520861">
        <w:rPr>
          <w:rFonts w:eastAsia="Calibri"/>
          <w:sz w:val="28"/>
          <w:szCs w:val="28"/>
          <w:lang w:eastAsia="en-US"/>
        </w:rPr>
        <w:lastRenderedPageBreak/>
        <w:t xml:space="preserve">зубів у віці один рік та найбільшу ПКВ затримки прорізування зубів. Вочевидь, </w:t>
      </w:r>
      <w:r w:rsidRPr="00520861">
        <w:rPr>
          <w:rFonts w:eastAsia="Calibri"/>
          <w:sz w:val="28"/>
          <w:szCs w:val="28"/>
          <w:lang w:eastAsia="en-US"/>
        </w:rPr>
        <w:br/>
        <w:t xml:space="preserve">наявність ВУ ожиріння на фоні середніх та великих показників довжини тіла </w:t>
      </w:r>
      <w:r w:rsidRPr="00520861">
        <w:rPr>
          <w:rFonts w:eastAsia="Calibri"/>
          <w:sz w:val="28"/>
          <w:szCs w:val="28"/>
          <w:lang w:eastAsia="en-US"/>
        </w:rPr>
        <w:br/>
        <w:t>по-різному впливає на процеси формування зубів в осіб різної статі.</w:t>
      </w:r>
    </w:p>
    <w:p w14:paraId="317CD504"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Існує значна кількість досліджень стосовно впливу надмірної маси тіла чи ожиріння на терміни початку прорізування зубів. Відомо, що в середньому з урахуванням статі, етнічної належності і регіону проживання при ожирінні зуби прорізуються швидше [436]. На позитивній асоціації між надмірною масою тіла і кількістю зубів, що прорізалися, також наголошують [511, 566]. Проте існують й інші відомості – вік дитини під час прорізування першого постійного моляра та різців збільшується зі зменшенням індексу маси тіла [488].</w:t>
      </w:r>
    </w:p>
    <w:p w14:paraId="1D04C88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Відомості при особливості формування та прорізування зубів у разі </w:t>
      </w:r>
      <w:r w:rsidRPr="00520861">
        <w:rPr>
          <w:rFonts w:eastAsia="Calibri"/>
          <w:sz w:val="28"/>
          <w:szCs w:val="28"/>
          <w:lang w:eastAsia="en-US"/>
        </w:rPr>
        <w:br/>
        <w:t xml:space="preserve">народження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є нечисленними та суперечливими. Деякі дослідники дійшли висновку, що чим більша маса тіла при народженні, тим пізніше прорізуються зуби [203]. Водночас існують дослідження, результати яких свідчать про зворотну залежність [375]. Утім варто зазначити, що, на відміну від нашої роботи, ступінь </w:t>
      </w:r>
      <w:r w:rsidRPr="00520861">
        <w:rPr>
          <w:rFonts w:eastAsia="Calibri"/>
          <w:sz w:val="28"/>
          <w:szCs w:val="28"/>
          <w:lang w:eastAsia="en-US"/>
        </w:rPr>
        <w:br/>
        <w:t xml:space="preserve">сформованості та терміни прорізування зубів в особи, народженої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ці науковці розглядали без урахування соматотипу новонародженого. </w:t>
      </w:r>
    </w:p>
    <w:p w14:paraId="5B8DC739"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Причини відмінностей процесу росту зубів у дітей першого року життя,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поки залишаються не повністю вивченими. Проте очевидна участь у цьому гормональної системи, яка в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різними соматотипами має свої особливості, раніше вивчені патологоанатомами Харківського національного медичного університету [</w:t>
      </w:r>
      <w:r w:rsidRPr="00520861">
        <w:rPr>
          <w:bCs/>
          <w:sz w:val="28"/>
          <w:szCs w:val="28"/>
        </w:rPr>
        <w:t>82, 181</w:t>
      </w:r>
      <w:r w:rsidRPr="00520861">
        <w:rPr>
          <w:rFonts w:eastAsia="Calibri"/>
          <w:sz w:val="28"/>
          <w:szCs w:val="28"/>
          <w:lang w:eastAsia="en-US"/>
        </w:rPr>
        <w:t xml:space="preserve">]. Неодноразово згадані в цьому дослідженні різниці в термінах прорізування й швидкості росту тимчасових зубів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різної статі також можуть бути пов’язані зі статевими гормонами, з більш розвиненою м’язовою системою в хлопчиків, ніж у </w:t>
      </w:r>
      <w:proofErr w:type="spellStart"/>
      <w:r w:rsidRPr="00520861">
        <w:rPr>
          <w:rFonts w:eastAsia="Calibri"/>
          <w:sz w:val="28"/>
          <w:szCs w:val="28"/>
          <w:lang w:eastAsia="en-US"/>
        </w:rPr>
        <w:t>дівчаток</w:t>
      </w:r>
      <w:proofErr w:type="spellEnd"/>
      <w:r w:rsidRPr="00520861">
        <w:rPr>
          <w:rFonts w:eastAsia="Calibri"/>
          <w:sz w:val="28"/>
          <w:szCs w:val="28"/>
          <w:lang w:eastAsia="en-US"/>
        </w:rPr>
        <w:t xml:space="preserve">. </w:t>
      </w:r>
    </w:p>
    <w:p w14:paraId="6920A9ED" w14:textId="77777777" w:rsidR="00180D3E" w:rsidRPr="00520861" w:rsidRDefault="00180D3E"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pacing w:val="-2"/>
          <w:sz w:val="28"/>
          <w:szCs w:val="28"/>
          <w:lang w:eastAsia="en-US"/>
        </w:rPr>
      </w:pPr>
      <w:r w:rsidRPr="00520861">
        <w:rPr>
          <w:rFonts w:eastAsia="Calibri"/>
          <w:sz w:val="28"/>
          <w:szCs w:val="28"/>
          <w:lang w:eastAsia="en-US"/>
        </w:rPr>
        <w:t xml:space="preserve">Описані вище дослідження експериментального матеріалу виявили </w:t>
      </w:r>
      <w:proofErr w:type="spellStart"/>
      <w:r w:rsidRPr="00520861">
        <w:rPr>
          <w:rFonts w:eastAsia="Calibri"/>
          <w:sz w:val="28"/>
          <w:szCs w:val="28"/>
          <w:lang w:eastAsia="en-US"/>
        </w:rPr>
        <w:t>гіпопластичні</w:t>
      </w:r>
      <w:proofErr w:type="spellEnd"/>
      <w:r w:rsidRPr="00520861">
        <w:rPr>
          <w:rFonts w:eastAsia="Calibri"/>
          <w:sz w:val="28"/>
          <w:szCs w:val="28"/>
          <w:lang w:eastAsia="en-US"/>
        </w:rPr>
        <w:t xml:space="preserve"> процеси в слинних залозах у тварин,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Відомо, що гіпоплазія – процес </w:t>
      </w:r>
      <w:proofErr w:type="spellStart"/>
      <w:r w:rsidRPr="00520861">
        <w:rPr>
          <w:rFonts w:eastAsia="Calibri"/>
          <w:sz w:val="28"/>
          <w:szCs w:val="28"/>
          <w:lang w:eastAsia="en-US"/>
        </w:rPr>
        <w:t>генералізований</w:t>
      </w:r>
      <w:proofErr w:type="spellEnd"/>
      <w:r w:rsidRPr="00520861">
        <w:rPr>
          <w:rFonts w:eastAsia="Calibri"/>
          <w:sz w:val="28"/>
          <w:szCs w:val="28"/>
          <w:lang w:eastAsia="en-US"/>
        </w:rPr>
        <w:t xml:space="preserve">. Отже, виявлена в цьому дослідженні затримка прорізування тимчасових зубів у дітей дає підстави вважати, що за умови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існує суттєве уповільнення ділення клітин у ВУ періоді. А виявлені випадки </w:t>
      </w:r>
      <w:r w:rsidRPr="00520861">
        <w:rPr>
          <w:rFonts w:eastAsia="Calibri"/>
          <w:sz w:val="28"/>
          <w:szCs w:val="28"/>
          <w:lang w:eastAsia="en-US"/>
        </w:rPr>
        <w:br/>
      </w:r>
      <w:r w:rsidRPr="00520861">
        <w:rPr>
          <w:rFonts w:eastAsia="Calibri"/>
          <w:spacing w:val="-2"/>
          <w:sz w:val="28"/>
          <w:szCs w:val="28"/>
          <w:lang w:eastAsia="en-US"/>
        </w:rPr>
        <w:lastRenderedPageBreak/>
        <w:t>передчасного прорізування можуть бути пояснені дією СТГ та процесами акселерації.</w:t>
      </w:r>
    </w:p>
    <w:p w14:paraId="2523C93C" w14:textId="77777777" w:rsidR="00180D3E" w:rsidRPr="00520861" w:rsidRDefault="00180D3E" w:rsidP="00292D2E">
      <w:pPr>
        <w:widowControl w:val="0"/>
        <w:spacing w:line="360" w:lineRule="auto"/>
        <w:ind w:firstLine="567"/>
        <w:jc w:val="both"/>
        <w:rPr>
          <w:rFonts w:eastAsia="Calibri"/>
          <w:sz w:val="28"/>
          <w:szCs w:val="28"/>
          <w:lang w:eastAsia="en-US"/>
        </w:rPr>
      </w:pPr>
      <w:r w:rsidRPr="00520861">
        <w:rPr>
          <w:rFonts w:eastAsia="Calibri"/>
          <w:sz w:val="28"/>
          <w:szCs w:val="28"/>
          <w:lang w:eastAsia="en-US"/>
        </w:rPr>
        <w:t>Отримані відомості про відхилення від регіональної норми термінів прорізування тимчасових зубів у дітей-</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з урахуванням їх різних МРП при </w:t>
      </w:r>
      <w:r w:rsidRPr="00520861">
        <w:rPr>
          <w:rFonts w:eastAsia="Calibri"/>
          <w:sz w:val="28"/>
          <w:szCs w:val="28"/>
          <w:lang w:eastAsia="en-US"/>
        </w:rPr>
        <w:br/>
        <w:t xml:space="preserve">народженні можуть пояснювати розбіжності в наявних публікаціях [203, 381, 570]. </w:t>
      </w:r>
    </w:p>
    <w:p w14:paraId="68EBB7FE" w14:textId="77777777" w:rsidR="00180D3E" w:rsidRPr="00520861" w:rsidRDefault="00180D3E"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eastAsia="Calibri"/>
          <w:spacing w:val="-4"/>
          <w:sz w:val="28"/>
          <w:szCs w:val="28"/>
          <w:lang w:eastAsia="en-US"/>
        </w:rPr>
      </w:pPr>
      <w:r w:rsidRPr="00520861">
        <w:rPr>
          <w:rFonts w:eastAsia="Calibri"/>
          <w:sz w:val="28"/>
          <w:szCs w:val="28"/>
          <w:lang w:eastAsia="en-US"/>
        </w:rPr>
        <w:t xml:space="preserve">Усі стоматологічні профілактичні процедури та методи лікування засновані на знаннях термінів прорізування, формування та резорбції (тимчасових зубів) кореневої системи зубів. Наші спостереження, а також спостереження, зроблені іншими авторами [178, 354, 370, 573, 579], свідчать про те, що діти, народжені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мають високу інтенсивність карієсу зубів тимчасового прикусу. Беручи до уваги затримку або передчасне прорізування, зафіксовані в нашому дослідженні, та вповільнені темпи росту тимчасових зубів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ми можемо припустити низьку мінералізацію твердої тканини зубів у таких дітей. </w:t>
      </w:r>
      <w:r w:rsidRPr="00520861">
        <w:rPr>
          <w:rFonts w:eastAsia="Calibri"/>
          <w:spacing w:val="-4"/>
          <w:sz w:val="28"/>
          <w:szCs w:val="28"/>
          <w:lang w:eastAsia="en-US"/>
        </w:rPr>
        <w:t xml:space="preserve">Отже, профілактика карієсу в них повинна починатися раніше, ніж зазвичай, а саме з моменту прорізування першого зуба, а можливо, і раніше. Кратність обстежень у дитячого стоматолога слід збільшити. </w:t>
      </w:r>
    </w:p>
    <w:p w14:paraId="35FE8A21" w14:textId="77777777" w:rsidR="00180D3E" w:rsidRPr="00520861" w:rsidRDefault="00180D3E"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rPr>
      </w:pPr>
      <w:r w:rsidRPr="00520861">
        <w:rPr>
          <w:rFonts w:eastAsia="Calibri"/>
          <w:sz w:val="28"/>
          <w:szCs w:val="28"/>
          <w:lang w:eastAsia="en-US"/>
        </w:rPr>
        <w:t xml:space="preserve">Каріозні ураження, включаючи карієс </w:t>
      </w:r>
      <w:proofErr w:type="spellStart"/>
      <w:r w:rsidRPr="00520861">
        <w:rPr>
          <w:rFonts w:eastAsia="Calibri"/>
          <w:sz w:val="28"/>
          <w:szCs w:val="28"/>
          <w:lang w:eastAsia="en-US"/>
        </w:rPr>
        <w:t>апроксимальних</w:t>
      </w:r>
      <w:proofErr w:type="spellEnd"/>
      <w:r w:rsidRPr="00520861">
        <w:rPr>
          <w:rFonts w:eastAsia="Calibri"/>
          <w:sz w:val="28"/>
          <w:szCs w:val="28"/>
          <w:lang w:eastAsia="en-US"/>
        </w:rPr>
        <w:t xml:space="preserve"> поверхонь зубів, а також скупченість зубів, у свою чергу, призводять до укорочення зубного ряду [90, 176] і, як наслідок, утворення прогнатії. Тобто середні строки початку </w:t>
      </w:r>
      <w:proofErr w:type="spellStart"/>
      <w:r w:rsidRPr="00520861">
        <w:rPr>
          <w:rFonts w:eastAsia="Calibri"/>
          <w:sz w:val="28"/>
          <w:szCs w:val="28"/>
          <w:lang w:eastAsia="en-US"/>
        </w:rPr>
        <w:t>ортодонтичних</w:t>
      </w:r>
      <w:proofErr w:type="spellEnd"/>
      <w:r w:rsidRPr="00520861">
        <w:rPr>
          <w:rFonts w:eastAsia="Calibri"/>
          <w:sz w:val="28"/>
          <w:szCs w:val="28"/>
          <w:lang w:eastAsia="en-US"/>
        </w:rPr>
        <w:t xml:space="preserve"> профілактичних процедур, які зазвичай проводяться в дитини у віці від 3 до 4 років, </w:t>
      </w:r>
      <w:r w:rsidRPr="00520861">
        <w:rPr>
          <w:rFonts w:eastAsia="Calibri"/>
          <w:sz w:val="28"/>
          <w:szCs w:val="28"/>
          <w:lang w:eastAsia="en-US"/>
        </w:rPr>
        <w:br/>
        <w:t>повинні починатися в цих дітей раніше.</w:t>
      </w:r>
    </w:p>
    <w:p w14:paraId="0105DB53" w14:textId="77777777" w:rsidR="00180D3E" w:rsidRPr="00520861" w:rsidRDefault="00180D3E" w:rsidP="00292D2E">
      <w:pPr>
        <w:widowControl w:val="0"/>
        <w:spacing w:line="360" w:lineRule="auto"/>
        <w:ind w:firstLine="709"/>
        <w:contextualSpacing/>
        <w:jc w:val="both"/>
        <w:rPr>
          <w:sz w:val="28"/>
          <w:szCs w:val="28"/>
        </w:rPr>
      </w:pPr>
      <w:r w:rsidRPr="00520861">
        <w:rPr>
          <w:sz w:val="28"/>
          <w:szCs w:val="28"/>
        </w:rPr>
        <w:t xml:space="preserve">Вивчення стану СГС у період сформованого тимчасового прикусу та редукції тимчасового прикусу виявило, що серед </w:t>
      </w:r>
      <w:proofErr w:type="spellStart"/>
      <w:r w:rsidRPr="00520861">
        <w:rPr>
          <w:sz w:val="28"/>
          <w:szCs w:val="28"/>
        </w:rPr>
        <w:t>макросомів</w:t>
      </w:r>
      <w:proofErr w:type="spellEnd"/>
      <w:r w:rsidRPr="00520861">
        <w:rPr>
          <w:sz w:val="28"/>
          <w:szCs w:val="28"/>
        </w:rPr>
        <w:t xml:space="preserve"> випуклий профіль мали 59% дітей, а в ГП їх було 18,9%. Такий стан речей може пояснюватися дистальною оклюзією або недорозвиненням нижньої щелепи. </w:t>
      </w:r>
      <w:r w:rsidRPr="00520861">
        <w:rPr>
          <w:bCs/>
          <w:sz w:val="28"/>
          <w:szCs w:val="28"/>
        </w:rPr>
        <w:t>Увігнутий профіль</w:t>
      </w:r>
      <w:r w:rsidRPr="00520861">
        <w:rPr>
          <w:sz w:val="28"/>
          <w:szCs w:val="28"/>
        </w:rPr>
        <w:t xml:space="preserve"> спостерігався в 6 (7,2%) дітей ОГ та у 2,7% дітей ГП. </w:t>
      </w:r>
    </w:p>
    <w:p w14:paraId="58BBAFA1" w14:textId="77777777" w:rsidR="00180D3E" w:rsidRPr="00520861" w:rsidRDefault="00180D3E" w:rsidP="00292D2E">
      <w:pPr>
        <w:widowControl w:val="0"/>
        <w:spacing w:line="360" w:lineRule="auto"/>
        <w:ind w:firstLine="709"/>
        <w:contextualSpacing/>
        <w:jc w:val="both"/>
        <w:rPr>
          <w:sz w:val="28"/>
          <w:szCs w:val="28"/>
        </w:rPr>
      </w:pPr>
      <w:r w:rsidRPr="00520861">
        <w:rPr>
          <w:sz w:val="28"/>
          <w:szCs w:val="28"/>
        </w:rPr>
        <w:t xml:space="preserve">У віці </w:t>
      </w:r>
      <w:r w:rsidRPr="00520861">
        <w:rPr>
          <w:sz w:val="28"/>
          <w:szCs w:val="28"/>
          <w:shd w:val="clear" w:color="auto" w:fill="FFFFFF"/>
        </w:rPr>
        <w:t xml:space="preserve">4,5 – 6,5 року в </w:t>
      </w:r>
      <w:r w:rsidRPr="00520861">
        <w:rPr>
          <w:sz w:val="28"/>
          <w:szCs w:val="28"/>
        </w:rPr>
        <w:t>ОГ</w:t>
      </w:r>
      <w:r w:rsidRPr="00520861">
        <w:rPr>
          <w:sz w:val="28"/>
          <w:szCs w:val="28"/>
          <w:shd w:val="clear" w:color="auto" w:fill="FFFFFF"/>
        </w:rPr>
        <w:t xml:space="preserve"> аномалії вуздечки верхньої губи мали 35,0% (ДІ: 22,7% – 49,1%) дітей проти 7,7% (ДІ: 1,9% – 24,7%) дітей із </w:t>
      </w:r>
      <w:r w:rsidRPr="00520861">
        <w:rPr>
          <w:sz w:val="28"/>
          <w:szCs w:val="28"/>
        </w:rPr>
        <w:t>ГП</w:t>
      </w:r>
      <w:r w:rsidRPr="00520861">
        <w:rPr>
          <w:sz w:val="28"/>
          <w:szCs w:val="28"/>
          <w:shd w:val="clear" w:color="auto" w:fill="FFFFFF"/>
        </w:rPr>
        <w:t xml:space="preserve">. </w:t>
      </w:r>
      <w:proofErr w:type="spellStart"/>
      <w:r w:rsidRPr="00520861">
        <w:rPr>
          <w:sz w:val="28"/>
          <w:szCs w:val="28"/>
          <w:shd w:val="clear" w:color="auto" w:fill="FFFFFF"/>
        </w:rPr>
        <w:t>Анкілоглосія</w:t>
      </w:r>
      <w:proofErr w:type="spellEnd"/>
      <w:r w:rsidRPr="00520861">
        <w:rPr>
          <w:sz w:val="28"/>
          <w:szCs w:val="28"/>
          <w:shd w:val="clear" w:color="auto" w:fill="FFFFFF"/>
        </w:rPr>
        <w:t xml:space="preserve"> спостерігалася у 37,5% (ДІ: 24,9% – 51,7%) дітей </w:t>
      </w:r>
      <w:r w:rsidRPr="00520861">
        <w:rPr>
          <w:sz w:val="28"/>
          <w:szCs w:val="28"/>
        </w:rPr>
        <w:t>ОГ</w:t>
      </w:r>
      <w:r w:rsidRPr="00520861">
        <w:rPr>
          <w:sz w:val="28"/>
          <w:szCs w:val="28"/>
          <w:shd w:val="clear" w:color="auto" w:fill="FFFFFF"/>
        </w:rPr>
        <w:t xml:space="preserve"> і 7,7% (ДІ: 1,9% – 24,7%) дітей ГП.</w:t>
      </w:r>
    </w:p>
    <w:p w14:paraId="334DA156"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 дітей ОГ піднебінне склепіння вище, ніж у дітей ГП. Це твердження є </w:t>
      </w:r>
      <w:r w:rsidRPr="00520861">
        <w:rPr>
          <w:rFonts w:eastAsia="Calibri"/>
          <w:sz w:val="28"/>
          <w:szCs w:val="28"/>
          <w:lang w:eastAsia="en-US"/>
        </w:rPr>
        <w:br/>
        <w:t>вірогідним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для дітей із підгруп 1 </w:t>
      </w:r>
      <w:r w:rsidRPr="00520861">
        <w:rPr>
          <w:sz w:val="28"/>
          <w:szCs w:val="28"/>
        </w:rPr>
        <w:t xml:space="preserve">– </w:t>
      </w:r>
      <w:r w:rsidRPr="00520861">
        <w:rPr>
          <w:rFonts w:eastAsia="Calibri"/>
          <w:sz w:val="28"/>
          <w:szCs w:val="28"/>
          <w:lang w:eastAsia="en-US"/>
        </w:rPr>
        <w:t>3.</w:t>
      </w:r>
    </w:p>
    <w:p w14:paraId="44332A1F" w14:textId="77777777" w:rsidR="00180D3E" w:rsidRPr="00520861" w:rsidRDefault="00180D3E" w:rsidP="00292D2E">
      <w:pPr>
        <w:widowControl w:val="0"/>
        <w:spacing w:line="360" w:lineRule="auto"/>
        <w:ind w:firstLine="709"/>
        <w:contextualSpacing/>
        <w:jc w:val="both"/>
        <w:rPr>
          <w:rFonts w:eastAsia="Calibri"/>
          <w:i/>
          <w:sz w:val="28"/>
          <w:szCs w:val="28"/>
          <w:lang w:eastAsia="en-US"/>
        </w:rPr>
      </w:pPr>
      <w:r w:rsidRPr="00520861">
        <w:rPr>
          <w:rFonts w:eastAsia="Calibri"/>
          <w:sz w:val="28"/>
          <w:szCs w:val="28"/>
          <w:lang w:eastAsia="en-US"/>
        </w:rPr>
        <w:t xml:space="preserve">При дослідженні КДМ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виявилося, що </w:t>
      </w:r>
      <w:r w:rsidRPr="00520861">
        <w:rPr>
          <w:rFonts w:eastAsia="Calibri"/>
          <w:sz w:val="28"/>
          <w:szCs w:val="28"/>
          <w:lang w:eastAsia="en-US"/>
        </w:rPr>
        <w:br/>
      </w:r>
      <w:r w:rsidRPr="00520861">
        <w:rPr>
          <w:rFonts w:eastAsia="Calibri"/>
          <w:sz w:val="28"/>
          <w:szCs w:val="28"/>
          <w:lang w:eastAsia="en-US"/>
        </w:rPr>
        <w:lastRenderedPageBreak/>
        <w:t xml:space="preserve">однойменний </w:t>
      </w:r>
      <w:proofErr w:type="spellStart"/>
      <w:r w:rsidRPr="00520861">
        <w:rPr>
          <w:rFonts w:eastAsia="Calibri"/>
          <w:sz w:val="28"/>
          <w:szCs w:val="28"/>
          <w:lang w:eastAsia="en-US"/>
        </w:rPr>
        <w:t>горбиковий</w:t>
      </w:r>
      <w:proofErr w:type="spellEnd"/>
      <w:r w:rsidRPr="00520861">
        <w:rPr>
          <w:rFonts w:eastAsia="Calibri"/>
          <w:sz w:val="28"/>
          <w:szCs w:val="28"/>
          <w:lang w:eastAsia="en-US"/>
        </w:rPr>
        <w:t xml:space="preserve"> контакт других тимчасових молярів мали 70% (ДІ: 56,1% </w:t>
      </w:r>
      <w:r w:rsidRPr="00520861">
        <w:rPr>
          <w:sz w:val="28"/>
          <w:szCs w:val="28"/>
        </w:rPr>
        <w:t>–</w:t>
      </w:r>
      <w:r w:rsidRPr="00520861">
        <w:rPr>
          <w:rFonts w:eastAsia="Calibri"/>
          <w:sz w:val="28"/>
          <w:szCs w:val="28"/>
          <w:lang w:eastAsia="en-US"/>
        </w:rPr>
        <w:t xml:space="preserve"> 81,4%) дітей ОГ та 23,1% (ДІ: 9,1% – 45,4%) у ГП.</w:t>
      </w:r>
    </w:p>
    <w:p w14:paraId="79E3C4D8"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Змикання ікл, що відповідає 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виявлено в 60,0% (ДІ: 45,8% – 73,0%) дітей ОГ та у 23,1% (ДІ: 9,1% – 45,4%) ГП. Змикання ікл із першим </w:t>
      </w:r>
      <w:r w:rsidRPr="00520861">
        <w:rPr>
          <w:rFonts w:eastAsia="Calibri"/>
          <w:sz w:val="28"/>
          <w:szCs w:val="28"/>
          <w:lang w:eastAsia="en-US"/>
        </w:rPr>
        <w:br/>
        <w:t xml:space="preserve">тимчасовим моляром, що відповідає ІІІ-му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було виявлене у 12,5% (ДІ: 5,7% – 23,7%) ОГ та в 7,7% (ДІ: 1,9% – 24,7%) ГП. </w:t>
      </w:r>
    </w:p>
    <w:p w14:paraId="32038DA7"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оцінюванні змикання різців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-оральному виявлено, що ріжуче-ріжучий контакт мали 28,6%, 25,0% та 14,3% дітей із підгруп 1, 2 та 3 відповідно. Ріжуче-</w:t>
      </w:r>
      <w:proofErr w:type="spellStart"/>
      <w:r w:rsidRPr="00520861">
        <w:rPr>
          <w:rFonts w:eastAsia="Calibri"/>
          <w:sz w:val="28"/>
          <w:szCs w:val="28"/>
          <w:lang w:eastAsia="en-US"/>
        </w:rPr>
        <w:t>горбиковий</w:t>
      </w:r>
      <w:proofErr w:type="spellEnd"/>
      <w:r w:rsidRPr="00520861">
        <w:rPr>
          <w:rFonts w:eastAsia="Calibri"/>
          <w:sz w:val="28"/>
          <w:szCs w:val="28"/>
          <w:lang w:eastAsia="en-US"/>
        </w:rPr>
        <w:t xml:space="preserve"> контакт мали 42,9% дітей із підгрупи 1 та 42,9% дітей із підгрупи 3. Пряма сагітальна щілина була у 21,4%, 37,5%, 28,6% та 81,8% дітей із підгруп 1, 2, 3 та 4 відповідно. Обернена сагітальна щілина фіксувалась у 25% дітей із підгрупи 2 та в 9,1% дітей із підгрупи 4. У ГП ці порушення не були зафіксовані.</w:t>
      </w:r>
    </w:p>
    <w:p w14:paraId="4D5E0AD2"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Клінічні випадки, коли в дітей у період редукції тимчасового прикусу фіксується нейтральне положення нижньої щелепи, а різці знаходяться в ріжуче-</w:t>
      </w:r>
      <w:proofErr w:type="spellStart"/>
      <w:r w:rsidRPr="00520861">
        <w:rPr>
          <w:rFonts w:eastAsia="Calibri"/>
          <w:sz w:val="28"/>
          <w:szCs w:val="28"/>
          <w:lang w:eastAsia="en-US"/>
        </w:rPr>
        <w:t>горбиковому</w:t>
      </w:r>
      <w:proofErr w:type="spellEnd"/>
      <w:r w:rsidRPr="00520861">
        <w:rPr>
          <w:rFonts w:eastAsia="Calibri"/>
          <w:sz w:val="28"/>
          <w:szCs w:val="28"/>
          <w:lang w:eastAsia="en-US"/>
        </w:rPr>
        <w:t xml:space="preserve"> контакті, пояснюється вираженим оральним нахилом як верхніх, так і нижніх різців [3]. Випадки формування одностороннього бічного відкритого прикусу у 25,0% дітей підгрупи 2 можна пояснити горизонтальним типом щелепного росту, </w:t>
      </w:r>
      <w:proofErr w:type="spellStart"/>
      <w:r w:rsidRPr="00520861">
        <w:rPr>
          <w:rFonts w:eastAsia="Calibri"/>
          <w:sz w:val="28"/>
          <w:szCs w:val="28"/>
          <w:lang w:eastAsia="en-US"/>
        </w:rPr>
        <w:t>глосоптозом</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дизморфізмом</w:t>
      </w:r>
      <w:proofErr w:type="spellEnd"/>
      <w:r w:rsidRPr="00520861">
        <w:rPr>
          <w:rFonts w:eastAsia="Calibri"/>
          <w:sz w:val="28"/>
          <w:szCs w:val="28"/>
          <w:lang w:eastAsia="en-US"/>
        </w:rPr>
        <w:t xml:space="preserve"> основи черепа [407].</w:t>
      </w:r>
    </w:p>
    <w:p w14:paraId="2BD1FB3F"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 37,5% (ДІ: 24,9% </w:t>
      </w:r>
      <w:r w:rsidRPr="00520861">
        <w:rPr>
          <w:sz w:val="28"/>
          <w:szCs w:val="28"/>
          <w:shd w:val="clear" w:color="auto" w:fill="FFFFFF"/>
        </w:rPr>
        <w:t>–</w:t>
      </w:r>
      <w:r w:rsidRPr="00520861">
        <w:rPr>
          <w:rFonts w:eastAsia="Calibri"/>
          <w:sz w:val="28"/>
          <w:szCs w:val="28"/>
          <w:lang w:eastAsia="en-US"/>
        </w:rPr>
        <w:t xml:space="preserve"> 51,7%) дітей ОГ рвучий горбик верхніх ікл, розташований на рівні міжзубного сосочка нижнього зубного ряду. Це може бути викликано </w:t>
      </w:r>
      <w:r w:rsidRPr="00520861">
        <w:rPr>
          <w:rFonts w:eastAsia="Calibri"/>
          <w:sz w:val="28"/>
          <w:szCs w:val="28"/>
          <w:lang w:eastAsia="en-US"/>
        </w:rPr>
        <w:br/>
        <w:t xml:space="preserve">деформацією зубних рядів у вертикальній площині з </w:t>
      </w: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-альвеолярним подовженням у фронтальній ділянці та </w:t>
      </w: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-альвеолярним укороченням бічних ділянок та, швидше за все, пов’язане із прокладанням язика між бічними зубами. Виявлено, що 72,5% (ДІ: 58,8% </w:t>
      </w:r>
      <w:r w:rsidRPr="00520861">
        <w:rPr>
          <w:sz w:val="28"/>
          <w:szCs w:val="28"/>
          <w:shd w:val="clear" w:color="auto" w:fill="FFFFFF"/>
        </w:rPr>
        <w:t>–</w:t>
      </w:r>
      <w:r w:rsidRPr="00520861">
        <w:rPr>
          <w:rFonts w:eastAsia="Calibri"/>
          <w:sz w:val="28"/>
          <w:szCs w:val="28"/>
          <w:lang w:eastAsia="en-US"/>
        </w:rPr>
        <w:t xml:space="preserve"> 83,4%) дітей ОГ проти 15,4% (ДІ: 5,0% </w:t>
      </w:r>
      <w:r w:rsidRPr="00520861">
        <w:rPr>
          <w:sz w:val="28"/>
          <w:szCs w:val="28"/>
          <w:shd w:val="clear" w:color="auto" w:fill="FFFFFF"/>
        </w:rPr>
        <w:t>–</w:t>
      </w:r>
      <w:r w:rsidRPr="00520861">
        <w:rPr>
          <w:rFonts w:eastAsia="Calibri"/>
          <w:sz w:val="28"/>
          <w:szCs w:val="28"/>
          <w:lang w:eastAsia="en-US"/>
        </w:rPr>
        <w:t xml:space="preserve"> 36,0%) дітей ГП мали глибокий прикус різних ступенів тяжкості. </w:t>
      </w:r>
    </w:p>
    <w:p w14:paraId="31A07B60"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 xml:space="preserve">-піднебінному та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w:t>
      </w:r>
      <w:r w:rsidRPr="00520861">
        <w:rPr>
          <w:rFonts w:eastAsia="Calibri"/>
          <w:sz w:val="28"/>
          <w:szCs w:val="28"/>
          <w:lang w:eastAsia="en-US"/>
        </w:rPr>
        <w:br/>
        <w:t xml:space="preserve">напрямках виявило, що в ділянці різців зміщення середньої лінії мали 47,5% (ДІ: 33,8% </w:t>
      </w:r>
      <w:r w:rsidRPr="00520861">
        <w:rPr>
          <w:sz w:val="28"/>
          <w:szCs w:val="28"/>
          <w:shd w:val="clear" w:color="auto" w:fill="FFFFFF"/>
        </w:rPr>
        <w:t>–</w:t>
      </w:r>
      <w:r w:rsidRPr="00520861">
        <w:rPr>
          <w:rFonts w:eastAsia="Calibri"/>
          <w:sz w:val="28"/>
          <w:szCs w:val="28"/>
          <w:lang w:eastAsia="en-US"/>
        </w:rPr>
        <w:t xml:space="preserve"> 61,5%) дітей ОГ та 15,4% (ДІ: 5,0% </w:t>
      </w:r>
      <w:r w:rsidRPr="00520861">
        <w:rPr>
          <w:sz w:val="28"/>
          <w:szCs w:val="28"/>
          <w:shd w:val="clear" w:color="auto" w:fill="FFFFFF"/>
        </w:rPr>
        <w:t>–</w:t>
      </w:r>
      <w:r w:rsidRPr="00520861">
        <w:rPr>
          <w:rFonts w:eastAsia="Calibri"/>
          <w:sz w:val="28"/>
          <w:szCs w:val="28"/>
          <w:lang w:eastAsia="en-US"/>
        </w:rPr>
        <w:t xml:space="preserve"> 36,0%) дітей ГП. </w:t>
      </w:r>
    </w:p>
    <w:p w14:paraId="74A9E365" w14:textId="77777777" w:rsidR="00180D3E" w:rsidRPr="00520861" w:rsidRDefault="00180D3E" w:rsidP="00292D2E">
      <w:pPr>
        <w:widowControl w:val="0"/>
        <w:spacing w:line="360" w:lineRule="auto"/>
        <w:ind w:firstLine="709"/>
        <w:contextualSpacing/>
        <w:jc w:val="both"/>
        <w:rPr>
          <w:rFonts w:eastAsia="Calibri"/>
          <w:b/>
          <w:sz w:val="28"/>
          <w:szCs w:val="28"/>
          <w:lang w:eastAsia="en-US"/>
        </w:rPr>
      </w:pPr>
      <w:r w:rsidRPr="00520861">
        <w:rPr>
          <w:rFonts w:eastAsia="Calibri"/>
          <w:sz w:val="28"/>
          <w:szCs w:val="28"/>
          <w:lang w:eastAsia="en-US"/>
        </w:rPr>
        <w:t xml:space="preserve">Подовження зубних рядів нижньої щелепи було в 15,0% дітей ОГ та 7,7% дітей ГП. Подовження зубних рядів верхньої щелепи було в 10,0% дітей ОГ та 7,7% дітей </w:t>
      </w:r>
      <w:r w:rsidRPr="00520861">
        <w:rPr>
          <w:rFonts w:eastAsia="Calibri"/>
          <w:sz w:val="28"/>
          <w:szCs w:val="28"/>
          <w:lang w:eastAsia="en-US"/>
        </w:rPr>
        <w:lastRenderedPageBreak/>
        <w:t xml:space="preserve">ГП. Такі порушення можуть бути пов’язаними із компенсаторною гіпертрофією бічних ділянок альвеолярних відростків у дітей із горизонтальним типом </w:t>
      </w:r>
      <w:r w:rsidRPr="00520861">
        <w:rPr>
          <w:rFonts w:eastAsia="Calibri"/>
          <w:sz w:val="28"/>
          <w:szCs w:val="28"/>
          <w:lang w:eastAsia="en-US"/>
        </w:rPr>
        <w:br/>
        <w:t>щелепного росту.</w:t>
      </w:r>
    </w:p>
    <w:p w14:paraId="34858B82"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Діти ОГ мали </w:t>
      </w: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-альвеолярне подовження фронтальної ділянки нижньої щелепи (37,5%) та верхньої щелепи (22,5%). </w:t>
      </w: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-альвеолярне подовження </w:t>
      </w:r>
      <w:r w:rsidRPr="00520861">
        <w:rPr>
          <w:rFonts w:eastAsia="Calibri"/>
          <w:sz w:val="28"/>
          <w:szCs w:val="28"/>
          <w:lang w:eastAsia="en-US"/>
        </w:rPr>
        <w:br/>
        <w:t xml:space="preserve">фронтальної ділянки верхньої щелепи було зафіксоване в 15,4% дітей ГП. </w:t>
      </w:r>
      <w:proofErr w:type="spellStart"/>
      <w:r w:rsidRPr="00520861">
        <w:rPr>
          <w:rFonts w:eastAsia="Calibri"/>
          <w:sz w:val="28"/>
          <w:szCs w:val="28"/>
          <w:lang w:eastAsia="en-US"/>
        </w:rPr>
        <w:t>Денто</w:t>
      </w:r>
      <w:proofErr w:type="spellEnd"/>
      <w:r w:rsidRPr="00520861">
        <w:rPr>
          <w:rFonts w:eastAsia="Calibri"/>
          <w:sz w:val="28"/>
          <w:szCs w:val="28"/>
          <w:lang w:eastAsia="en-US"/>
        </w:rPr>
        <w:t xml:space="preserve">-альвеолярне вкорочення фронтальної ділянки верхньої щелепи мали 30% дітей ОГ та 7,7% дітей ГП. Такі зміни можуть виникати внаслідок адаптації до варіантів </w:t>
      </w:r>
      <w:proofErr w:type="spellStart"/>
      <w:r w:rsidRPr="00520861">
        <w:rPr>
          <w:rFonts w:eastAsia="Calibri"/>
          <w:sz w:val="28"/>
          <w:szCs w:val="28"/>
          <w:lang w:eastAsia="en-US"/>
        </w:rPr>
        <w:t>аномалійного</w:t>
      </w:r>
      <w:proofErr w:type="spellEnd"/>
      <w:r w:rsidRPr="00520861">
        <w:rPr>
          <w:rFonts w:eastAsia="Calibri"/>
          <w:sz w:val="28"/>
          <w:szCs w:val="28"/>
          <w:lang w:eastAsia="en-US"/>
        </w:rPr>
        <w:t xml:space="preserve"> положення язика в стані спокою або можуть бути пов’язаними із зменшенням розмірів фронтальної ділянки альвеолярного відростка нижньої щелепи. </w:t>
      </w:r>
      <w:r w:rsidRPr="00520861">
        <w:rPr>
          <w:rFonts w:eastAsia="Calibri"/>
          <w:sz w:val="28"/>
          <w:szCs w:val="28"/>
          <w:lang w:eastAsia="en-US"/>
        </w:rPr>
        <w:br/>
        <w:t>Оскільки в осіб ОГ клінічних випадків змін вертикальних розмірів фронтальної ділянки зубних рядів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більше, ніж у ГП, можна припустити, що у формуванні цього порушення беруть участь додаткові фактори, пов’язані із народженням дитини з великою масою тіла.</w:t>
      </w:r>
    </w:p>
    <w:p w14:paraId="0245D0C6"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Оцінюючи одержані результати, треба зазначити, що</w:t>
      </w:r>
      <w:r w:rsidRPr="00520861">
        <w:rPr>
          <w:rFonts w:eastAsia="Calibri"/>
          <w:b/>
          <w:sz w:val="28"/>
          <w:szCs w:val="28"/>
          <w:lang w:eastAsia="en-US"/>
        </w:rPr>
        <w:t xml:space="preserve"> </w:t>
      </w:r>
      <w:r w:rsidRPr="00520861">
        <w:rPr>
          <w:rFonts w:eastAsia="Calibri"/>
          <w:sz w:val="28"/>
          <w:szCs w:val="28"/>
          <w:lang w:eastAsia="en-US"/>
        </w:rPr>
        <w:t xml:space="preserve">лише невелика частина ЗЩА проявляється в період тимчасового прикусу. Для того щоб виникли якісь патологічні зміни, сила впливу має бути значною та довготривалою, що за умови фізіологічного перебігу має перевищувати строки функціонування тимчасового прикусу. Отже, великий у порівнянні з ГП процент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із патологічними видами прикусу та іншими порушеннями, окрім функціональних факторів, пов’язаний з іншими, досі не дослідженими причинами, які потребують подальшого вивчення. </w:t>
      </w:r>
    </w:p>
    <w:p w14:paraId="4B66E78A"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У період змінного прикусу</w:t>
      </w:r>
      <w:r w:rsidRPr="00520861">
        <w:rPr>
          <w:rFonts w:eastAsia="Calibri"/>
          <w:sz w:val="28"/>
          <w:szCs w:val="28"/>
        </w:rPr>
        <w:t xml:space="preserve"> при проведенні </w:t>
      </w:r>
      <w:proofErr w:type="spellStart"/>
      <w:r w:rsidRPr="00520861">
        <w:rPr>
          <w:rFonts w:eastAsia="Calibri"/>
          <w:sz w:val="28"/>
          <w:szCs w:val="28"/>
        </w:rPr>
        <w:t>позаротового</w:t>
      </w:r>
      <w:proofErr w:type="spellEnd"/>
      <w:r w:rsidRPr="00520861">
        <w:rPr>
          <w:rFonts w:eastAsia="Calibri"/>
          <w:sz w:val="28"/>
          <w:szCs w:val="28"/>
        </w:rPr>
        <w:t xml:space="preserve"> обстеження виявилося, що в більшості дітей ОГ (у 89%) обличчя було непропорційним. У 68% дітей ОГ було зафіксовано зменшення нижньої третини обличчя в поєднанні з глибокою підборідною складкою, а збільшення спостерігалось у 18%. У ГП зменшення нижньої третини обличчя було виявлено у 21% дітей, а збільшення – у 7%.</w:t>
      </w:r>
      <w:r w:rsidRPr="00520861">
        <w:rPr>
          <w:rFonts w:eastAsia="Calibri"/>
          <w:sz w:val="28"/>
          <w:szCs w:val="28"/>
          <w:lang w:eastAsia="en-US"/>
        </w:rPr>
        <w:t xml:space="preserve"> </w:t>
      </w:r>
      <w:r w:rsidRPr="00520861">
        <w:rPr>
          <w:rFonts w:eastAsia="Calibri"/>
          <w:sz w:val="28"/>
          <w:szCs w:val="28"/>
        </w:rPr>
        <w:t>Випуклий профіль обличчя спостерігався в 68% дітей ОГ та у 21% дітей ГП. Поясненням цих випадків може бути дистальна оклюзія або недорозвинення нижньої щелепи [120]. Увігнутий профіль спостерігався у 18% дітей ОГ та в 7% дітей ГП [120].</w:t>
      </w:r>
      <w:r w:rsidRPr="00520861">
        <w:rPr>
          <w:rFonts w:eastAsia="Calibri"/>
          <w:sz w:val="28"/>
          <w:szCs w:val="28"/>
          <w:lang w:eastAsia="en-US"/>
        </w:rPr>
        <w:t xml:space="preserve"> </w:t>
      </w:r>
    </w:p>
    <w:p w14:paraId="45CD6809" w14:textId="77777777" w:rsidR="00180D3E" w:rsidRPr="00520861" w:rsidRDefault="00180D3E" w:rsidP="00292D2E">
      <w:pPr>
        <w:widowControl w:val="0"/>
        <w:spacing w:line="360" w:lineRule="auto"/>
        <w:ind w:firstLine="709"/>
        <w:jc w:val="both"/>
        <w:rPr>
          <w:rFonts w:eastAsia="Calibri"/>
          <w:sz w:val="28"/>
          <w:szCs w:val="28"/>
        </w:rPr>
      </w:pPr>
      <w:r w:rsidRPr="00520861">
        <w:rPr>
          <w:rFonts w:eastAsia="Calibri"/>
          <w:sz w:val="28"/>
          <w:szCs w:val="28"/>
        </w:rPr>
        <w:t xml:space="preserve">Аналіз розрахунків індексу </w:t>
      </w:r>
      <w:proofErr w:type="spellStart"/>
      <w:r w:rsidRPr="00520861">
        <w:rPr>
          <w:rFonts w:eastAsia="Calibri"/>
          <w:sz w:val="28"/>
          <w:szCs w:val="28"/>
        </w:rPr>
        <w:t>Ізара</w:t>
      </w:r>
      <w:proofErr w:type="spellEnd"/>
      <w:r w:rsidRPr="00520861">
        <w:rPr>
          <w:rFonts w:eastAsia="Calibri"/>
          <w:sz w:val="28"/>
          <w:szCs w:val="28"/>
        </w:rPr>
        <w:t xml:space="preserve"> показав, що переважна кількість дітей ОГ – </w:t>
      </w:r>
      <w:r w:rsidRPr="00520861">
        <w:rPr>
          <w:rFonts w:eastAsia="Calibri"/>
          <w:sz w:val="28"/>
          <w:szCs w:val="28"/>
        </w:rPr>
        <w:lastRenderedPageBreak/>
        <w:t>53,6% (ДІ: 37,2% – 69,4%) – мала вузьке обличчя. У дітей із підгрупи 2 відмінності від ГП є вірогідними (</w:t>
      </w:r>
      <w:r w:rsidRPr="00520861">
        <w:rPr>
          <w:rFonts w:eastAsia="Calibri"/>
          <w:i/>
          <w:sz w:val="28"/>
          <w:szCs w:val="28"/>
        </w:rPr>
        <w:t>p</w:t>
      </w:r>
      <w:r w:rsidRPr="00520861">
        <w:rPr>
          <w:rFonts w:eastAsia="Calibri"/>
          <w:sz w:val="28"/>
          <w:szCs w:val="28"/>
        </w:rPr>
        <w:t xml:space="preserve"> = 0,017).</w:t>
      </w:r>
    </w:p>
    <w:p w14:paraId="741CF603" w14:textId="77777777" w:rsidR="00180D3E" w:rsidRPr="00520861" w:rsidRDefault="00180D3E" w:rsidP="00292D2E">
      <w:pPr>
        <w:widowControl w:val="0"/>
        <w:spacing w:line="360" w:lineRule="auto"/>
        <w:ind w:firstLine="708"/>
        <w:jc w:val="both"/>
        <w:rPr>
          <w:rFonts w:eastAsia="Calibri"/>
          <w:sz w:val="28"/>
          <w:szCs w:val="28"/>
        </w:rPr>
      </w:pPr>
      <w:r w:rsidRPr="00520861">
        <w:rPr>
          <w:rFonts w:eastAsia="Calibri"/>
          <w:sz w:val="28"/>
          <w:szCs w:val="28"/>
        </w:rPr>
        <w:t xml:space="preserve">Проблеми з вимовою звуків через </w:t>
      </w:r>
      <w:proofErr w:type="spellStart"/>
      <w:r w:rsidRPr="00520861">
        <w:rPr>
          <w:rFonts w:eastAsia="Calibri"/>
          <w:sz w:val="28"/>
          <w:szCs w:val="28"/>
        </w:rPr>
        <w:t>анкілоглосію</w:t>
      </w:r>
      <w:proofErr w:type="spellEnd"/>
      <w:r w:rsidRPr="00520861">
        <w:rPr>
          <w:rFonts w:eastAsia="Calibri"/>
          <w:sz w:val="28"/>
          <w:szCs w:val="28"/>
        </w:rPr>
        <w:t xml:space="preserve"> мали 17,9% (ДІ: 8,3% – 32,7%) дітей ОГ. Аналогічна ситуація спостерігалася й у дітей ОГ молодшого віку. </w:t>
      </w:r>
    </w:p>
    <w:p w14:paraId="1616BBA4" w14:textId="77777777" w:rsidR="00180D3E" w:rsidRPr="00520861" w:rsidRDefault="00180D3E" w:rsidP="00292D2E">
      <w:pPr>
        <w:widowControl w:val="0"/>
        <w:spacing w:line="360" w:lineRule="auto"/>
        <w:ind w:firstLine="709"/>
        <w:jc w:val="both"/>
        <w:rPr>
          <w:rFonts w:eastAsia="Calibri"/>
          <w:sz w:val="28"/>
          <w:szCs w:val="28"/>
          <w:shd w:val="clear" w:color="auto" w:fill="FFFFFF"/>
        </w:rPr>
      </w:pPr>
      <w:r w:rsidRPr="00520861">
        <w:rPr>
          <w:rFonts w:eastAsia="Calibri"/>
          <w:sz w:val="28"/>
          <w:szCs w:val="28"/>
          <w:shd w:val="clear" w:color="auto" w:fill="FFFFFF"/>
        </w:rPr>
        <w:t xml:space="preserve">При проведенні </w:t>
      </w:r>
      <w:proofErr w:type="spellStart"/>
      <w:r w:rsidRPr="00520861">
        <w:rPr>
          <w:rFonts w:eastAsia="Calibri"/>
          <w:sz w:val="28"/>
          <w:szCs w:val="28"/>
          <w:shd w:val="clear" w:color="auto" w:fill="FFFFFF"/>
        </w:rPr>
        <w:t>внутрішньоротового</w:t>
      </w:r>
      <w:proofErr w:type="spellEnd"/>
      <w:r w:rsidRPr="00520861">
        <w:rPr>
          <w:rFonts w:eastAsia="Calibri"/>
          <w:sz w:val="28"/>
          <w:szCs w:val="28"/>
          <w:shd w:val="clear" w:color="auto" w:fill="FFFFFF"/>
        </w:rPr>
        <w:t xml:space="preserve"> обстеження виявилося, що глибина присінку </w:t>
      </w:r>
      <w:r w:rsidRPr="00520861">
        <w:rPr>
          <w:rFonts w:eastAsia="Calibri"/>
          <w:sz w:val="28"/>
          <w:szCs w:val="28"/>
          <w:lang w:eastAsia="en-US"/>
        </w:rPr>
        <w:t>ПР</w:t>
      </w:r>
      <w:r w:rsidRPr="00520861">
        <w:rPr>
          <w:rFonts w:eastAsia="Calibri"/>
          <w:sz w:val="28"/>
          <w:szCs w:val="28"/>
          <w:shd w:val="clear" w:color="auto" w:fill="FFFFFF"/>
        </w:rPr>
        <w:t xml:space="preserve"> у дітей підгрупи 3 у середньому була значно меншою за таку в ГП (</w:t>
      </w:r>
      <w:r w:rsidRPr="00520861">
        <w:rPr>
          <w:rFonts w:eastAsia="Calibri"/>
          <w:i/>
          <w:sz w:val="28"/>
          <w:szCs w:val="28"/>
          <w:shd w:val="clear" w:color="auto" w:fill="FFFFFF"/>
        </w:rPr>
        <w:t>p</w:t>
      </w:r>
      <w:r w:rsidRPr="00520861">
        <w:rPr>
          <w:rFonts w:eastAsia="Calibri"/>
          <w:sz w:val="28"/>
          <w:szCs w:val="28"/>
          <w:shd w:val="clear" w:color="auto" w:fill="FFFFFF"/>
        </w:rPr>
        <w:t xml:space="preserve"> = 0,017). Як і в попередніх ВП, у дітей ОГ у період змінного прикусу виявлено велику ПКВ </w:t>
      </w:r>
      <w:proofErr w:type="spellStart"/>
      <w:r w:rsidRPr="00520861">
        <w:rPr>
          <w:rFonts w:eastAsia="Calibri"/>
          <w:sz w:val="28"/>
          <w:szCs w:val="28"/>
          <w:shd w:val="clear" w:color="auto" w:fill="FFFFFF"/>
        </w:rPr>
        <w:t>аномалійного</w:t>
      </w:r>
      <w:proofErr w:type="spellEnd"/>
      <w:r w:rsidRPr="00520861">
        <w:rPr>
          <w:rFonts w:eastAsia="Calibri"/>
          <w:sz w:val="28"/>
          <w:szCs w:val="28"/>
          <w:shd w:val="clear" w:color="auto" w:fill="FFFFFF"/>
        </w:rPr>
        <w:t xml:space="preserve"> прикріплення вуздечки верхньої губи – 41,4% (ДІ: 26,4% </w:t>
      </w:r>
      <w:r w:rsidRPr="00520861">
        <w:rPr>
          <w:rFonts w:eastAsia="Calibri"/>
          <w:sz w:val="28"/>
          <w:szCs w:val="28"/>
        </w:rPr>
        <w:t>–</w:t>
      </w:r>
      <w:r w:rsidRPr="00520861">
        <w:rPr>
          <w:rFonts w:eastAsia="Calibri"/>
          <w:sz w:val="28"/>
          <w:szCs w:val="28"/>
          <w:shd w:val="clear" w:color="auto" w:fill="FFFFFF"/>
        </w:rPr>
        <w:t xml:space="preserve"> 57,7%) проти 21,4% (ДІ: 8,4% </w:t>
      </w:r>
      <w:r w:rsidRPr="00520861">
        <w:rPr>
          <w:rFonts w:eastAsia="Calibri"/>
          <w:sz w:val="28"/>
          <w:szCs w:val="28"/>
        </w:rPr>
        <w:t>–</w:t>
      </w:r>
      <w:r w:rsidRPr="00520861">
        <w:rPr>
          <w:rFonts w:eastAsia="Calibri"/>
          <w:sz w:val="28"/>
          <w:szCs w:val="28"/>
          <w:shd w:val="clear" w:color="auto" w:fill="FFFFFF"/>
        </w:rPr>
        <w:t xml:space="preserve"> 42,8%) дітей ГП. Справжні </w:t>
      </w:r>
      <w:proofErr w:type="spellStart"/>
      <w:r w:rsidRPr="00520861">
        <w:rPr>
          <w:rFonts w:eastAsia="Calibri"/>
          <w:sz w:val="28"/>
          <w:szCs w:val="28"/>
          <w:shd w:val="clear" w:color="auto" w:fill="FFFFFF"/>
        </w:rPr>
        <w:t>діастеми</w:t>
      </w:r>
      <w:proofErr w:type="spellEnd"/>
      <w:r w:rsidRPr="00520861">
        <w:rPr>
          <w:rFonts w:eastAsia="Calibri"/>
          <w:sz w:val="28"/>
          <w:szCs w:val="28"/>
          <w:shd w:val="clear" w:color="auto" w:fill="FFFFFF"/>
        </w:rPr>
        <w:t xml:space="preserve"> верхнього зубного ряду спостерігалися у 32,1% (ДІ: 18,6% </w:t>
      </w:r>
      <w:r w:rsidRPr="00520861">
        <w:rPr>
          <w:rFonts w:eastAsia="Calibri"/>
          <w:sz w:val="28"/>
          <w:szCs w:val="28"/>
        </w:rPr>
        <w:t>–</w:t>
      </w:r>
      <w:r w:rsidRPr="00520861">
        <w:rPr>
          <w:rFonts w:eastAsia="Calibri"/>
          <w:sz w:val="28"/>
          <w:szCs w:val="28"/>
          <w:shd w:val="clear" w:color="auto" w:fill="FFFFFF"/>
        </w:rPr>
        <w:t xml:space="preserve"> 48,7%) дітей ОГ та в 14,3% (ДІ: 4,7% </w:t>
      </w:r>
      <w:r w:rsidRPr="00520861">
        <w:rPr>
          <w:rFonts w:eastAsia="Calibri"/>
          <w:sz w:val="28"/>
          <w:szCs w:val="28"/>
        </w:rPr>
        <w:t>–</w:t>
      </w:r>
      <w:r w:rsidRPr="00520861">
        <w:rPr>
          <w:rFonts w:eastAsia="Calibri"/>
          <w:sz w:val="28"/>
          <w:szCs w:val="28"/>
          <w:shd w:val="clear" w:color="auto" w:fill="FFFFFF"/>
        </w:rPr>
        <w:t xml:space="preserve"> 33,9%) дітей у ГП. </w:t>
      </w:r>
      <w:proofErr w:type="spellStart"/>
      <w:r w:rsidRPr="00520861">
        <w:rPr>
          <w:rFonts w:eastAsia="Calibri"/>
          <w:sz w:val="28"/>
          <w:szCs w:val="28"/>
          <w:shd w:val="clear" w:color="auto" w:fill="FFFFFF"/>
        </w:rPr>
        <w:t>Анкілоглосію</w:t>
      </w:r>
      <w:proofErr w:type="spellEnd"/>
      <w:r w:rsidRPr="00520861">
        <w:rPr>
          <w:rFonts w:eastAsia="Calibri"/>
          <w:sz w:val="28"/>
          <w:szCs w:val="28"/>
          <w:shd w:val="clear" w:color="auto" w:fill="FFFFFF"/>
        </w:rPr>
        <w:t xml:space="preserve"> виявлено в 39,3% (ДІ: 24,5% </w:t>
      </w:r>
      <w:r w:rsidRPr="00520861">
        <w:rPr>
          <w:rFonts w:eastAsia="Calibri"/>
          <w:sz w:val="28"/>
          <w:szCs w:val="28"/>
        </w:rPr>
        <w:t>–</w:t>
      </w:r>
      <w:r w:rsidRPr="00520861">
        <w:rPr>
          <w:rFonts w:eastAsia="Calibri"/>
          <w:sz w:val="28"/>
          <w:szCs w:val="28"/>
          <w:shd w:val="clear" w:color="auto" w:fill="FFFFFF"/>
        </w:rPr>
        <w:t xml:space="preserve"> 55,9%) дітей ОГ та в 14,3% (ДІ: 4,7% </w:t>
      </w:r>
      <w:r w:rsidRPr="00520861">
        <w:rPr>
          <w:rFonts w:eastAsia="Calibri"/>
          <w:sz w:val="28"/>
          <w:szCs w:val="28"/>
        </w:rPr>
        <w:t>–</w:t>
      </w:r>
      <w:r w:rsidRPr="00520861">
        <w:rPr>
          <w:rFonts w:eastAsia="Calibri"/>
          <w:sz w:val="28"/>
          <w:szCs w:val="28"/>
          <w:shd w:val="clear" w:color="auto" w:fill="FFFFFF"/>
        </w:rPr>
        <w:t xml:space="preserve"> 33,9%) дітей ГП. Слід зазначити, що чотири дитини (66,7% ДІ: 35,9% </w:t>
      </w:r>
      <w:r w:rsidRPr="00520861">
        <w:rPr>
          <w:rFonts w:eastAsia="Calibri"/>
          <w:sz w:val="28"/>
          <w:szCs w:val="28"/>
        </w:rPr>
        <w:t>–</w:t>
      </w:r>
      <w:r w:rsidRPr="00520861">
        <w:rPr>
          <w:rFonts w:eastAsia="Calibri"/>
          <w:sz w:val="28"/>
          <w:szCs w:val="28"/>
          <w:shd w:val="clear" w:color="auto" w:fill="FFFFFF"/>
        </w:rPr>
        <w:t xml:space="preserve"> 88,2%) із шести в підгрупи 4 мали </w:t>
      </w:r>
      <w:proofErr w:type="spellStart"/>
      <w:r w:rsidRPr="00520861">
        <w:rPr>
          <w:rFonts w:eastAsia="Calibri"/>
          <w:sz w:val="28"/>
          <w:szCs w:val="28"/>
          <w:shd w:val="clear" w:color="auto" w:fill="FFFFFF"/>
        </w:rPr>
        <w:t>анкілоглосію</w:t>
      </w:r>
      <w:proofErr w:type="spellEnd"/>
      <w:r w:rsidRPr="00520861">
        <w:rPr>
          <w:rFonts w:eastAsia="Calibri"/>
          <w:sz w:val="28"/>
          <w:szCs w:val="28"/>
          <w:shd w:val="clear" w:color="auto" w:fill="FFFFFF"/>
        </w:rPr>
        <w:t>.</w:t>
      </w:r>
    </w:p>
    <w:p w14:paraId="01294172"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 всіх дітей ОГ осереднені показники, що свідчать про висоту піднебіння, були вищими порівняно із такими в ГП. Це твердження є вірогідним </w:t>
      </w:r>
      <w:r w:rsidRPr="00520861">
        <w:rPr>
          <w:rFonts w:eastAsia="Calibri"/>
          <w:sz w:val="28"/>
          <w:szCs w:val="28"/>
        </w:rPr>
        <w:t>(p=0,036)</w:t>
      </w:r>
      <w:r w:rsidRPr="00520861">
        <w:rPr>
          <w:rFonts w:eastAsia="Calibri"/>
          <w:sz w:val="28"/>
          <w:szCs w:val="28"/>
          <w:lang w:eastAsia="en-US"/>
        </w:rPr>
        <w:t xml:space="preserve"> для дітей підгрупи 3 та згідно із даними, представленими в роботі [415], піднебіння в дітей із цієї підгрупи класифікується як «високе».</w:t>
      </w:r>
    </w:p>
    <w:p w14:paraId="26C0751A"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Діти ОГ у період змінного прикусу мали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вищу процентну кількість ЗЩА порівняно з дітьми ГП (100,0% проти 68,8%). Зокрема, при оцінюванні змикання молярів у сагітальній площині виявилося, що ІІ-й клас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мали 67,9% (ДІ: 51,3% </w:t>
      </w:r>
      <w:r w:rsidRPr="00520861">
        <w:rPr>
          <w:rFonts w:eastAsia="Calibri"/>
          <w:sz w:val="28"/>
          <w:szCs w:val="28"/>
        </w:rPr>
        <w:t>–</w:t>
      </w:r>
      <w:r w:rsidRPr="00520861">
        <w:rPr>
          <w:rFonts w:eastAsia="Calibri"/>
          <w:sz w:val="28"/>
          <w:szCs w:val="28"/>
          <w:lang w:eastAsia="en-US"/>
        </w:rPr>
        <w:t xml:space="preserve"> 81,4%) дітей ОГ проти 21,4% (ДІ: 8,4% </w:t>
      </w:r>
      <w:r w:rsidRPr="00520861">
        <w:rPr>
          <w:rFonts w:eastAsia="Calibri"/>
          <w:sz w:val="28"/>
          <w:szCs w:val="28"/>
        </w:rPr>
        <w:t>–</w:t>
      </w:r>
      <w:r w:rsidRPr="00520861">
        <w:rPr>
          <w:rFonts w:eastAsia="Calibri"/>
          <w:sz w:val="28"/>
          <w:szCs w:val="28"/>
          <w:lang w:eastAsia="en-US"/>
        </w:rPr>
        <w:t xml:space="preserve"> 42,8%) дітей ГП. Змикання ікл, що відповідає 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виявлено в 64,3% (ДІ: 47,6% </w:t>
      </w:r>
      <w:r w:rsidRPr="00520861">
        <w:rPr>
          <w:rFonts w:eastAsia="Calibri"/>
          <w:sz w:val="28"/>
          <w:szCs w:val="28"/>
        </w:rPr>
        <w:t>–</w:t>
      </w:r>
      <w:r w:rsidRPr="00520861">
        <w:rPr>
          <w:rFonts w:eastAsia="Calibri"/>
          <w:sz w:val="28"/>
          <w:szCs w:val="28"/>
          <w:lang w:eastAsia="en-US"/>
        </w:rPr>
        <w:t xml:space="preserve"> 78,5%) дітей ОГ та у 21,4% (ДІ: 8,4% </w:t>
      </w:r>
      <w:r w:rsidRPr="00520861">
        <w:rPr>
          <w:rFonts w:eastAsia="Calibri"/>
          <w:sz w:val="28"/>
          <w:szCs w:val="28"/>
        </w:rPr>
        <w:t>–</w:t>
      </w:r>
      <w:r w:rsidRPr="00520861">
        <w:rPr>
          <w:rFonts w:eastAsia="Calibri"/>
          <w:sz w:val="28"/>
          <w:szCs w:val="28"/>
          <w:lang w:eastAsia="en-US"/>
        </w:rPr>
        <w:t xml:space="preserve"> 42,8%) дітей ГП. Згідно з результатами, </w:t>
      </w:r>
      <w:r w:rsidRPr="00520861">
        <w:rPr>
          <w:rFonts w:eastAsia="Calibri"/>
          <w:sz w:val="28"/>
          <w:szCs w:val="28"/>
          <w:lang w:eastAsia="en-US"/>
        </w:rPr>
        <w:br/>
        <w:t xml:space="preserve">опублікованими українськими науковцями, поширеність дистального прикусу серед дітей і підлітків </w:t>
      </w:r>
      <w:r w:rsidR="00353F20" w:rsidRPr="00520861">
        <w:rPr>
          <w:rFonts w:eastAsia="Calibri"/>
          <w:sz w:val="28"/>
          <w:szCs w:val="28"/>
          <w:lang w:eastAsia="en-US"/>
        </w:rPr>
        <w:t>віком 6 – 17 років складає 19,4</w:t>
      </w:r>
      <w:r w:rsidRPr="00520861">
        <w:rPr>
          <w:rFonts w:eastAsia="Calibri"/>
          <w:sz w:val="28"/>
          <w:szCs w:val="28"/>
          <w:lang w:eastAsia="en-US"/>
        </w:rPr>
        <w:t>% [199].</w:t>
      </w:r>
    </w:p>
    <w:p w14:paraId="40593340"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Клінічні випадки змикання молярів по ІІ-му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а ікл – по І-му можуть пояснюватися патологічним медіальним зсувом ікл нижньої щелепи при </w:t>
      </w:r>
      <w:r w:rsidRPr="00520861">
        <w:rPr>
          <w:rFonts w:eastAsia="Calibri"/>
          <w:sz w:val="28"/>
          <w:szCs w:val="28"/>
          <w:lang w:eastAsia="en-US"/>
        </w:rPr>
        <w:br/>
        <w:t xml:space="preserve">скупченості фронтальних зубів, медіальним зсувом верхніх перших молярів унаслідок тривалої відсутності других тимчасових молярів </w:t>
      </w:r>
      <w:proofErr w:type="spellStart"/>
      <w:r w:rsidRPr="00520861">
        <w:rPr>
          <w:rFonts w:eastAsia="Calibri"/>
          <w:sz w:val="28"/>
          <w:szCs w:val="28"/>
          <w:lang w:eastAsia="en-US"/>
        </w:rPr>
        <w:t>невилікованого</w:t>
      </w:r>
      <w:proofErr w:type="spellEnd"/>
      <w:r w:rsidRPr="00520861">
        <w:rPr>
          <w:rFonts w:eastAsia="Calibri"/>
          <w:sz w:val="28"/>
          <w:szCs w:val="28"/>
          <w:lang w:eastAsia="en-US"/>
        </w:rPr>
        <w:t xml:space="preserve"> карієсу </w:t>
      </w:r>
      <w:r w:rsidRPr="00520861">
        <w:rPr>
          <w:rFonts w:eastAsia="Calibri"/>
          <w:sz w:val="28"/>
          <w:szCs w:val="28"/>
          <w:lang w:eastAsia="en-US"/>
        </w:rPr>
        <w:br/>
      </w:r>
      <w:proofErr w:type="spellStart"/>
      <w:r w:rsidRPr="00520861">
        <w:rPr>
          <w:rFonts w:eastAsia="Calibri"/>
          <w:sz w:val="28"/>
          <w:szCs w:val="28"/>
          <w:lang w:eastAsia="en-US"/>
        </w:rPr>
        <w:t>апроксимальних</w:t>
      </w:r>
      <w:proofErr w:type="spellEnd"/>
      <w:r w:rsidRPr="00520861">
        <w:rPr>
          <w:rFonts w:eastAsia="Calibri"/>
          <w:sz w:val="28"/>
          <w:szCs w:val="28"/>
          <w:lang w:eastAsia="en-US"/>
        </w:rPr>
        <w:t xml:space="preserve"> поверхонь або з інших причин [343, 575].</w:t>
      </w:r>
    </w:p>
    <w:p w14:paraId="390FE432"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lastRenderedPageBreak/>
        <w:t xml:space="preserve">При оцінюванні змикання різців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було виявлено, що пряма сагітальна щілина була в 53,6% (ДI: 37,2% </w:t>
      </w:r>
      <w:r w:rsidRPr="00520861">
        <w:rPr>
          <w:rFonts w:eastAsia="Calibri"/>
          <w:sz w:val="28"/>
          <w:szCs w:val="28"/>
        </w:rPr>
        <w:t>–</w:t>
      </w:r>
      <w:r w:rsidRPr="00520861">
        <w:rPr>
          <w:rFonts w:eastAsia="Calibri"/>
          <w:sz w:val="28"/>
          <w:szCs w:val="28"/>
          <w:lang w:eastAsia="en-US"/>
        </w:rPr>
        <w:t xml:space="preserve"> 69,4%) дітей ОГ та в 14,3% (ДI: 4,7% </w:t>
      </w:r>
      <w:r w:rsidRPr="00520861">
        <w:rPr>
          <w:rFonts w:eastAsia="Calibri"/>
          <w:sz w:val="28"/>
          <w:szCs w:val="28"/>
        </w:rPr>
        <w:t>–</w:t>
      </w:r>
      <w:r w:rsidRPr="00520861">
        <w:rPr>
          <w:rFonts w:eastAsia="Calibri"/>
          <w:sz w:val="28"/>
          <w:szCs w:val="28"/>
          <w:lang w:eastAsia="en-US"/>
        </w:rPr>
        <w:t xml:space="preserve"> 33,9%) дітей ГП. Оральний нахил різців, який спостерігався в </w:t>
      </w:r>
      <w:r w:rsidRPr="00520861">
        <w:rPr>
          <w:rFonts w:eastAsia="Calibri"/>
          <w:sz w:val="28"/>
          <w:szCs w:val="28"/>
          <w:lang w:eastAsia="en-US"/>
        </w:rPr>
        <w:br/>
        <w:t xml:space="preserve">учасників дослідження, міг бути викликаний ротовим диханням, </w:t>
      </w:r>
      <w:proofErr w:type="spellStart"/>
      <w:r w:rsidRPr="00520861">
        <w:rPr>
          <w:rFonts w:eastAsia="Calibri"/>
          <w:sz w:val="28"/>
          <w:szCs w:val="28"/>
          <w:lang w:eastAsia="en-US"/>
        </w:rPr>
        <w:t>гіпертонусом</w:t>
      </w:r>
      <w:proofErr w:type="spellEnd"/>
      <w:r w:rsidRPr="00520861">
        <w:rPr>
          <w:rFonts w:eastAsia="Calibri"/>
          <w:sz w:val="28"/>
          <w:szCs w:val="28"/>
          <w:lang w:eastAsia="en-US"/>
        </w:rPr>
        <w:t xml:space="preserve"> </w:t>
      </w:r>
      <w:r w:rsidRPr="00520861">
        <w:rPr>
          <w:rFonts w:eastAsia="Calibri"/>
          <w:sz w:val="28"/>
          <w:szCs w:val="28"/>
          <w:lang w:eastAsia="en-US"/>
        </w:rPr>
        <w:br/>
        <w:t>верхньої губи та високим піднебінням [245].</w:t>
      </w:r>
    </w:p>
    <w:p w14:paraId="31B22E54"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Отже, у дітей ОГ віком 6,5 – 11 років вузьке обличчя та високе піднебіння трапляється частіше, ніж у ГП. Більш вираженими ці зміни є для підгруп 2 і 3. </w:t>
      </w:r>
    </w:p>
    <w:p w14:paraId="1BA81007"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оцінюванні прикусу по вертикалі в ділянці ікл рвучий горбик ікл верхньої щелепи був розташований вище контактного пункту нижніх зубів у 57,1% (ДI: 40,6% </w:t>
      </w:r>
      <w:r w:rsidRPr="00520861">
        <w:rPr>
          <w:rFonts w:eastAsia="Calibri"/>
          <w:sz w:val="28"/>
          <w:szCs w:val="28"/>
        </w:rPr>
        <w:t>–</w:t>
      </w:r>
      <w:r w:rsidRPr="00520861">
        <w:rPr>
          <w:rFonts w:eastAsia="Calibri"/>
          <w:sz w:val="28"/>
          <w:szCs w:val="28"/>
          <w:lang w:eastAsia="en-US"/>
        </w:rPr>
        <w:t xml:space="preserve"> 72,5%) дітей ОГ та в 35,7% (ДI: 17,7% </w:t>
      </w:r>
      <w:r w:rsidRPr="00520861">
        <w:rPr>
          <w:rFonts w:eastAsia="Calibri"/>
          <w:sz w:val="28"/>
          <w:szCs w:val="28"/>
        </w:rPr>
        <w:t>–</w:t>
      </w:r>
      <w:r w:rsidRPr="00520861">
        <w:rPr>
          <w:rFonts w:eastAsia="Calibri"/>
          <w:sz w:val="28"/>
          <w:szCs w:val="28"/>
          <w:lang w:eastAsia="en-US"/>
        </w:rPr>
        <w:t xml:space="preserve"> 58,1%) дітей ГП. Це може пояснюватися більш пізнім прорізуванням ікл у порівнянні зі стандартними термінами прорізування різців. При оцінюванні прикусу по вертикалі в ділянці різців виявилося, що 21,4% (ДI: 10,7% </w:t>
      </w:r>
      <w:r w:rsidRPr="00520861">
        <w:rPr>
          <w:rFonts w:eastAsia="Calibri"/>
          <w:sz w:val="28"/>
          <w:szCs w:val="28"/>
        </w:rPr>
        <w:t>–</w:t>
      </w:r>
      <w:r w:rsidRPr="00520861">
        <w:rPr>
          <w:rFonts w:eastAsia="Calibri"/>
          <w:sz w:val="28"/>
          <w:szCs w:val="28"/>
          <w:lang w:eastAsia="en-US"/>
        </w:rPr>
        <w:t xml:space="preserve"> 36,9%) дітей ОГ мали відкритий прикус із вертикальною щілиною 1 – 3 мм, в 1 дитини ОГ різці були відсутні. У 46,4% (ДІ: 30,6% </w:t>
      </w:r>
      <w:r w:rsidRPr="00520861">
        <w:rPr>
          <w:rFonts w:eastAsia="Calibri"/>
          <w:sz w:val="28"/>
          <w:szCs w:val="28"/>
        </w:rPr>
        <w:t>–</w:t>
      </w:r>
      <w:r w:rsidRPr="00520861">
        <w:rPr>
          <w:rFonts w:eastAsia="Calibri"/>
          <w:sz w:val="28"/>
          <w:szCs w:val="28"/>
          <w:lang w:eastAsia="en-US"/>
        </w:rPr>
        <w:t xml:space="preserve"> 62,8%) дітей ОГ та у 21,4% (ДІ: 8,4% </w:t>
      </w:r>
      <w:r w:rsidRPr="00520861">
        <w:rPr>
          <w:rFonts w:eastAsia="Calibri"/>
          <w:sz w:val="28"/>
          <w:szCs w:val="28"/>
        </w:rPr>
        <w:t>–</w:t>
      </w:r>
      <w:r w:rsidRPr="00520861">
        <w:rPr>
          <w:rFonts w:eastAsia="Calibri"/>
          <w:sz w:val="28"/>
          <w:szCs w:val="28"/>
          <w:lang w:eastAsia="en-US"/>
        </w:rPr>
        <w:t xml:space="preserve"> 42,8%) дітей ГП було виявлено глибокий прикус різних ступенів тяжкості. Глибокий прикус у подальшому може бути причиною порушення зовнішнього вигляду особи, виникнення карієсу,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проблем із суглобами, порушення функції жування та ковтання. Якщо лікування цього порушення відбувається в період росту організму, то прогноз буде кращим [283].</w:t>
      </w:r>
    </w:p>
    <w:p w14:paraId="197BA946"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Дослідження КДМ у </w:t>
      </w:r>
      <w:proofErr w:type="spellStart"/>
      <w:r w:rsidRPr="00520861">
        <w:rPr>
          <w:rFonts w:eastAsia="Calibri"/>
          <w:sz w:val="28"/>
          <w:szCs w:val="28"/>
          <w:lang w:eastAsia="en-US"/>
        </w:rPr>
        <w:t>букально</w:t>
      </w:r>
      <w:proofErr w:type="spellEnd"/>
      <w:r w:rsidRPr="00520861">
        <w:rPr>
          <w:rFonts w:eastAsia="Calibri"/>
          <w:sz w:val="28"/>
          <w:szCs w:val="28"/>
          <w:lang w:eastAsia="en-US"/>
        </w:rPr>
        <w:t xml:space="preserve">-піднебінному та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w:t>
      </w:r>
      <w:r w:rsidRPr="00520861">
        <w:rPr>
          <w:rFonts w:eastAsia="Calibri"/>
          <w:sz w:val="28"/>
          <w:szCs w:val="28"/>
          <w:lang w:eastAsia="en-US"/>
        </w:rPr>
        <w:br/>
        <w:t xml:space="preserve">напрямку виявило, що в ділянці різців зміщення середньої лінії мали 39,3% (ДI: 24,5% </w:t>
      </w:r>
      <w:r w:rsidRPr="00520861">
        <w:rPr>
          <w:rFonts w:eastAsia="Calibri"/>
          <w:sz w:val="28"/>
          <w:szCs w:val="28"/>
        </w:rPr>
        <w:t>–</w:t>
      </w:r>
      <w:r w:rsidRPr="00520861">
        <w:rPr>
          <w:rFonts w:eastAsia="Calibri"/>
          <w:sz w:val="28"/>
          <w:szCs w:val="28"/>
          <w:lang w:eastAsia="en-US"/>
        </w:rPr>
        <w:t xml:space="preserve"> 55,9%) дітей ОГ та 4,3% (ДI: 4,7% </w:t>
      </w:r>
      <w:r w:rsidRPr="00520861">
        <w:rPr>
          <w:rFonts w:eastAsia="Calibri"/>
          <w:sz w:val="28"/>
          <w:szCs w:val="28"/>
        </w:rPr>
        <w:t>–</w:t>
      </w:r>
      <w:r w:rsidRPr="00520861">
        <w:rPr>
          <w:rFonts w:eastAsia="Calibri"/>
          <w:sz w:val="28"/>
          <w:szCs w:val="28"/>
          <w:lang w:eastAsia="en-US"/>
        </w:rPr>
        <w:t xml:space="preserve"> 33,9%) дітей ГП. </w:t>
      </w:r>
    </w:p>
    <w:p w14:paraId="381995E8" w14:textId="77777777" w:rsidR="00180D3E" w:rsidRPr="00520861" w:rsidRDefault="00180D3E" w:rsidP="00292D2E">
      <w:pPr>
        <w:widowControl w:val="0"/>
        <w:spacing w:line="360" w:lineRule="auto"/>
        <w:ind w:firstLine="709"/>
        <w:contextualSpacing/>
        <w:jc w:val="both"/>
        <w:rPr>
          <w:rFonts w:eastAsia="Calibri"/>
          <w:spacing w:val="-2"/>
          <w:sz w:val="28"/>
          <w:szCs w:val="28"/>
          <w:lang w:eastAsia="en-US"/>
        </w:rPr>
      </w:pPr>
      <w:r w:rsidRPr="00520861">
        <w:rPr>
          <w:rFonts w:eastAsia="Calibri"/>
          <w:sz w:val="28"/>
          <w:szCs w:val="28"/>
          <w:lang w:eastAsia="en-US"/>
        </w:rPr>
        <w:t xml:space="preserve">Аналіз стану зубних рядів нижньої щелепи (фронтальна ділянка)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виявив, що вкорочення зубних рядів зафіксоване в 60,7% (ДI: 44,1% </w:t>
      </w:r>
      <w:r w:rsidRPr="00520861">
        <w:rPr>
          <w:rFonts w:eastAsia="Calibri"/>
          <w:sz w:val="28"/>
          <w:szCs w:val="28"/>
        </w:rPr>
        <w:t>–</w:t>
      </w:r>
      <w:r w:rsidRPr="00520861">
        <w:rPr>
          <w:rFonts w:eastAsia="Calibri"/>
          <w:sz w:val="28"/>
          <w:szCs w:val="28"/>
          <w:lang w:eastAsia="en-US"/>
        </w:rPr>
        <w:t xml:space="preserve"> 75,5%) дітей ОГ та в 7,1% (ДI: 1,8% </w:t>
      </w:r>
      <w:r w:rsidRPr="00520861">
        <w:rPr>
          <w:rFonts w:eastAsia="Calibri"/>
          <w:sz w:val="28"/>
          <w:szCs w:val="28"/>
        </w:rPr>
        <w:t>–</w:t>
      </w:r>
      <w:r w:rsidRPr="00520861">
        <w:rPr>
          <w:rFonts w:eastAsia="Calibri"/>
          <w:sz w:val="28"/>
          <w:szCs w:val="28"/>
          <w:lang w:eastAsia="en-US"/>
        </w:rPr>
        <w:t xml:space="preserve"> 23,2%) дітей ГП. Аналіз стану зубних рядів верхньої щелепи (фронтальна ділянка) по </w:t>
      </w:r>
      <w:proofErr w:type="spellStart"/>
      <w:r w:rsidRPr="00520861">
        <w:rPr>
          <w:rFonts w:eastAsia="Calibri"/>
          <w:sz w:val="28"/>
          <w:szCs w:val="28"/>
          <w:lang w:eastAsia="en-US"/>
        </w:rPr>
        <w:t>сагіталі</w:t>
      </w:r>
      <w:proofErr w:type="spellEnd"/>
      <w:r w:rsidRPr="00520861">
        <w:rPr>
          <w:rFonts w:eastAsia="Calibri"/>
          <w:sz w:val="28"/>
          <w:szCs w:val="28"/>
          <w:lang w:eastAsia="en-US"/>
        </w:rPr>
        <w:t xml:space="preserve"> виявив, що вкорочення зубних рядів зафіксоване у 25,0% (ДI: 13,2% </w:t>
      </w:r>
      <w:r w:rsidRPr="00520861">
        <w:rPr>
          <w:rFonts w:eastAsia="Calibri"/>
          <w:sz w:val="28"/>
          <w:szCs w:val="28"/>
        </w:rPr>
        <w:t>–</w:t>
      </w:r>
      <w:r w:rsidRPr="00520861">
        <w:rPr>
          <w:rFonts w:eastAsia="Calibri"/>
          <w:sz w:val="28"/>
          <w:szCs w:val="28"/>
          <w:lang w:eastAsia="en-US"/>
        </w:rPr>
        <w:t xml:space="preserve"> 41,0%) дітей ОГ. Діти ГП такого порушення не мали. Виявлене нами вірогідне переважання випадків укорочення верхнього й нижнього зубних рядів у сагітальній площині, пов’язане з оральним нахилом фронтальних зубів, може бути </w:t>
      </w:r>
      <w:proofErr w:type="spellStart"/>
      <w:r w:rsidRPr="00520861">
        <w:rPr>
          <w:rFonts w:eastAsia="Calibri"/>
          <w:sz w:val="28"/>
          <w:szCs w:val="28"/>
          <w:lang w:eastAsia="en-US"/>
        </w:rPr>
        <w:t>пояснено</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міофункціональними</w:t>
      </w:r>
      <w:proofErr w:type="spellEnd"/>
      <w:r w:rsidRPr="00520861">
        <w:rPr>
          <w:rFonts w:eastAsia="Calibri"/>
          <w:sz w:val="28"/>
          <w:szCs w:val="28"/>
          <w:lang w:eastAsia="en-US"/>
        </w:rPr>
        <w:t xml:space="preserve"> порушеннями,</w:t>
      </w:r>
      <w:r w:rsidRPr="00520861">
        <w:rPr>
          <w:rFonts w:eastAsia="Calibri"/>
          <w:sz w:val="28"/>
          <w:szCs w:val="28"/>
          <w:lang w:eastAsia="en-US"/>
        </w:rPr>
        <w:br/>
      </w:r>
      <w:r w:rsidRPr="00520861">
        <w:rPr>
          <w:rFonts w:eastAsia="Calibri"/>
          <w:sz w:val="28"/>
          <w:szCs w:val="28"/>
          <w:lang w:eastAsia="en-US"/>
        </w:rPr>
        <w:lastRenderedPageBreak/>
        <w:t xml:space="preserve"> </w:t>
      </w:r>
      <w:proofErr w:type="spellStart"/>
      <w:r w:rsidRPr="00520861">
        <w:rPr>
          <w:rFonts w:eastAsia="Calibri"/>
          <w:sz w:val="28"/>
          <w:szCs w:val="28"/>
          <w:lang w:eastAsia="en-US"/>
        </w:rPr>
        <w:t>анкілоглосією</w:t>
      </w:r>
      <w:proofErr w:type="spellEnd"/>
      <w:r w:rsidRPr="00520861">
        <w:rPr>
          <w:rFonts w:eastAsia="Calibri"/>
          <w:sz w:val="28"/>
          <w:szCs w:val="28"/>
          <w:lang w:eastAsia="en-US"/>
        </w:rPr>
        <w:t xml:space="preserve"> та недорозвиненням альвеолярного відростка нижньої щелепи </w:t>
      </w:r>
      <w:r w:rsidRPr="00520861">
        <w:rPr>
          <w:rFonts w:eastAsia="Calibri"/>
          <w:sz w:val="28"/>
          <w:szCs w:val="28"/>
          <w:lang w:eastAsia="en-US"/>
        </w:rPr>
        <w:br/>
        <w:t xml:space="preserve">у фронтальній ділянці. </w:t>
      </w:r>
      <w:r w:rsidRPr="00520861">
        <w:rPr>
          <w:rFonts w:eastAsia="Calibri"/>
          <w:spacing w:val="-2"/>
          <w:sz w:val="28"/>
          <w:szCs w:val="28"/>
          <w:lang w:eastAsia="en-US"/>
        </w:rPr>
        <w:t xml:space="preserve">Оскільки великий процент укорочення нижнього зубного ряду в </w:t>
      </w:r>
      <w:proofErr w:type="spellStart"/>
      <w:r w:rsidRPr="00520861">
        <w:rPr>
          <w:rFonts w:eastAsia="Calibri"/>
          <w:spacing w:val="-2"/>
          <w:sz w:val="28"/>
          <w:szCs w:val="28"/>
          <w:lang w:eastAsia="en-US"/>
        </w:rPr>
        <w:t>вестибуло</w:t>
      </w:r>
      <w:proofErr w:type="spellEnd"/>
      <w:r w:rsidRPr="00520861">
        <w:rPr>
          <w:rFonts w:eastAsia="Calibri"/>
          <w:spacing w:val="-2"/>
          <w:sz w:val="28"/>
          <w:szCs w:val="28"/>
          <w:lang w:eastAsia="en-US"/>
        </w:rPr>
        <w:t>-оральному напрямку спостерігався також і в дітей ОГ віком 4,5 – 6,5 року, було зроблене припущення, що додатковою причиною недорозвинення фронтальної ділянки нижньої щелепи, крім вищевказаних, може бути травматичне ушкодження нижньої щелепи (наприклад, травмування зон росту нижньої щелепи при ВУ компресії) під час патологічної вагітності та народження дитини-</w:t>
      </w:r>
      <w:proofErr w:type="spellStart"/>
      <w:r w:rsidRPr="00520861">
        <w:rPr>
          <w:rFonts w:eastAsia="Calibri"/>
          <w:spacing w:val="-2"/>
          <w:sz w:val="28"/>
          <w:szCs w:val="28"/>
          <w:lang w:eastAsia="en-US"/>
        </w:rPr>
        <w:t>макросома</w:t>
      </w:r>
      <w:proofErr w:type="spellEnd"/>
      <w:r w:rsidRPr="00520861">
        <w:rPr>
          <w:rFonts w:eastAsia="Calibri"/>
          <w:spacing w:val="-2"/>
          <w:sz w:val="28"/>
          <w:szCs w:val="28"/>
          <w:lang w:eastAsia="en-US"/>
        </w:rPr>
        <w:t>.</w:t>
      </w:r>
    </w:p>
    <w:p w14:paraId="4898B6F4"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Укорочення зубних рядів нижньої щелепи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 xml:space="preserve">-оральному напрямку (бічна ділянка) було виявлено в 17,9% (ДI: 8,3% </w:t>
      </w:r>
      <w:r w:rsidRPr="00520861">
        <w:rPr>
          <w:rFonts w:eastAsia="Calibri"/>
          <w:sz w:val="28"/>
          <w:szCs w:val="28"/>
        </w:rPr>
        <w:t xml:space="preserve">– </w:t>
      </w:r>
      <w:r w:rsidRPr="00520861">
        <w:rPr>
          <w:rFonts w:eastAsia="Calibri"/>
          <w:sz w:val="28"/>
          <w:szCs w:val="28"/>
          <w:lang w:eastAsia="en-US"/>
        </w:rPr>
        <w:t xml:space="preserve">32,7%) дітей ОГ та в 14,3% (ДI: 4,7% </w:t>
      </w:r>
      <w:r w:rsidRPr="00520861">
        <w:rPr>
          <w:rFonts w:eastAsia="Calibri"/>
          <w:sz w:val="28"/>
          <w:szCs w:val="28"/>
        </w:rPr>
        <w:t>–</w:t>
      </w:r>
      <w:r w:rsidRPr="00520861">
        <w:rPr>
          <w:rFonts w:eastAsia="Calibri"/>
          <w:sz w:val="28"/>
          <w:szCs w:val="28"/>
          <w:lang w:eastAsia="en-US"/>
        </w:rPr>
        <w:t xml:space="preserve"> 33,9%) дітей ГП. Укорочення зубних рядів верхньої щелепи у </w:t>
      </w:r>
      <w:proofErr w:type="spellStart"/>
      <w:r w:rsidRPr="00520861">
        <w:rPr>
          <w:rFonts w:eastAsia="Calibri"/>
          <w:sz w:val="28"/>
          <w:szCs w:val="28"/>
          <w:lang w:eastAsia="en-US"/>
        </w:rPr>
        <w:t>вестибуло</w:t>
      </w:r>
      <w:proofErr w:type="spellEnd"/>
      <w:r w:rsidRPr="00520861">
        <w:rPr>
          <w:rFonts w:eastAsia="Calibri"/>
          <w:sz w:val="28"/>
          <w:szCs w:val="28"/>
          <w:lang w:eastAsia="en-US"/>
        </w:rPr>
        <w:t>-</w:t>
      </w:r>
      <w:r w:rsidRPr="00520861">
        <w:rPr>
          <w:rFonts w:eastAsia="Calibri"/>
          <w:sz w:val="28"/>
          <w:szCs w:val="28"/>
          <w:lang w:eastAsia="en-US"/>
        </w:rPr>
        <w:br/>
        <w:t xml:space="preserve">оральному напрямку було виявлено у 21,4% (ДІ: 10,7% </w:t>
      </w:r>
      <w:r w:rsidRPr="00520861">
        <w:rPr>
          <w:rFonts w:eastAsia="Calibri"/>
          <w:sz w:val="28"/>
          <w:szCs w:val="28"/>
        </w:rPr>
        <w:t>–</w:t>
      </w:r>
      <w:r w:rsidRPr="00520861">
        <w:rPr>
          <w:rFonts w:eastAsia="Calibri"/>
          <w:sz w:val="28"/>
          <w:szCs w:val="28"/>
          <w:lang w:eastAsia="en-US"/>
        </w:rPr>
        <w:t xml:space="preserve"> 36,9%) дітей ОГ. Подовження зубних рядів нижньої щелепи було в 7,1% (ДІ: 2,3% </w:t>
      </w:r>
      <w:r w:rsidRPr="00520861">
        <w:rPr>
          <w:rFonts w:eastAsia="Calibri"/>
          <w:sz w:val="28"/>
          <w:szCs w:val="28"/>
        </w:rPr>
        <w:t>–</w:t>
      </w:r>
      <w:r w:rsidRPr="00520861">
        <w:rPr>
          <w:rFonts w:eastAsia="Calibri"/>
          <w:sz w:val="28"/>
          <w:szCs w:val="28"/>
          <w:lang w:eastAsia="en-US"/>
        </w:rPr>
        <w:t xml:space="preserve"> 18,3%) дітей ОГ та 7,1% (ДІ: 1,8% </w:t>
      </w:r>
      <w:r w:rsidRPr="00520861">
        <w:rPr>
          <w:rFonts w:eastAsia="Calibri"/>
          <w:sz w:val="28"/>
          <w:szCs w:val="28"/>
        </w:rPr>
        <w:t>–</w:t>
      </w:r>
      <w:r w:rsidRPr="00520861">
        <w:rPr>
          <w:rFonts w:eastAsia="Calibri"/>
          <w:sz w:val="28"/>
          <w:szCs w:val="28"/>
          <w:lang w:eastAsia="en-US"/>
        </w:rPr>
        <w:t xml:space="preserve"> 23,2%) дітей ГП. Подовження зубних рядів верхньої щелепи в дітей ОГ та ГП виявлено не було. Треба зауважити, що цей параметр у дітей віком 4,5 – 6,5 року в більшості випадків виявився рівним нормативному. Найбільш вірогідною причиною великої ПКВ укорочення зубних рядів у період змінного прикусу, на наш погляд, є висока поширеність </w:t>
      </w:r>
      <w:proofErr w:type="spellStart"/>
      <w:r w:rsidRPr="00520861">
        <w:rPr>
          <w:rFonts w:eastAsia="Calibri"/>
          <w:sz w:val="28"/>
          <w:szCs w:val="28"/>
          <w:lang w:eastAsia="en-US"/>
        </w:rPr>
        <w:t>невилікованого</w:t>
      </w:r>
      <w:proofErr w:type="spellEnd"/>
      <w:r w:rsidRPr="00520861">
        <w:rPr>
          <w:rFonts w:eastAsia="Calibri"/>
          <w:sz w:val="28"/>
          <w:szCs w:val="28"/>
          <w:lang w:eastAsia="en-US"/>
        </w:rPr>
        <w:t xml:space="preserve"> карієсу дітей,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із його типовою локалізацією на </w:t>
      </w:r>
      <w:proofErr w:type="spellStart"/>
      <w:r w:rsidRPr="00520861">
        <w:rPr>
          <w:rFonts w:eastAsia="Calibri"/>
          <w:sz w:val="28"/>
          <w:szCs w:val="28"/>
          <w:lang w:eastAsia="en-US"/>
        </w:rPr>
        <w:t>апроксимальних</w:t>
      </w:r>
      <w:proofErr w:type="spellEnd"/>
      <w:r w:rsidRPr="00520861">
        <w:rPr>
          <w:rFonts w:eastAsia="Calibri"/>
          <w:sz w:val="28"/>
          <w:szCs w:val="28"/>
          <w:lang w:eastAsia="en-US"/>
        </w:rPr>
        <w:t xml:space="preserve"> поверхнях зубів.</w:t>
      </w:r>
    </w:p>
    <w:p w14:paraId="25AF880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При оцінюванні стану зубних рядів по вертикалі виявилося, що порушення мали місце в 92,9% (ДI: 81,7% </w:t>
      </w:r>
      <w:r w:rsidRPr="00520861">
        <w:rPr>
          <w:rFonts w:eastAsia="Calibri"/>
          <w:sz w:val="28"/>
          <w:szCs w:val="28"/>
        </w:rPr>
        <w:t>–</w:t>
      </w:r>
      <w:r w:rsidRPr="00520861">
        <w:rPr>
          <w:rFonts w:eastAsia="Calibri"/>
          <w:sz w:val="28"/>
          <w:szCs w:val="28"/>
          <w:lang w:eastAsia="en-US"/>
        </w:rPr>
        <w:t xml:space="preserve"> 97,7%) дітей ОГ та 14,3% (ДI: 4,7% </w:t>
      </w:r>
      <w:r w:rsidRPr="00520861">
        <w:rPr>
          <w:rFonts w:eastAsia="Calibri"/>
          <w:sz w:val="28"/>
          <w:szCs w:val="28"/>
        </w:rPr>
        <w:t>–</w:t>
      </w:r>
      <w:r w:rsidRPr="00520861">
        <w:rPr>
          <w:rFonts w:eastAsia="Calibri"/>
          <w:sz w:val="28"/>
          <w:szCs w:val="28"/>
          <w:lang w:eastAsia="en-US"/>
        </w:rPr>
        <w:t xml:space="preserve"> 33,9%) дітей ГП. Переважання в періоді як тимчасового, так і змінного прикусу клінічних випадків змін вертикальних розмірів фронтальної ділянки зубних рядів у дітей ОГ порівняно з ГП підтверджує наше припущення про домінантну участь у формуванні цих порушень причин, поєднаних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плода.</w:t>
      </w:r>
    </w:p>
    <w:p w14:paraId="5A026921"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Аналіз стану зубних рядів нижньої щелепи в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напрямку (бічна ділянка) виявив, що симетричне звуження мали 60,7% (ДІ: 44,1% </w:t>
      </w:r>
      <w:r w:rsidRPr="00520861">
        <w:rPr>
          <w:rFonts w:eastAsia="Calibri"/>
          <w:sz w:val="28"/>
          <w:szCs w:val="28"/>
        </w:rPr>
        <w:t>–</w:t>
      </w:r>
      <w:r w:rsidRPr="00520861">
        <w:rPr>
          <w:rFonts w:eastAsia="Calibri"/>
          <w:sz w:val="28"/>
          <w:szCs w:val="28"/>
          <w:lang w:eastAsia="en-US"/>
        </w:rPr>
        <w:t xml:space="preserve"> 75,5%) дітей ОГ та 21,4% (ДІ: 8,4% </w:t>
      </w:r>
      <w:r w:rsidRPr="00520861">
        <w:rPr>
          <w:rFonts w:eastAsia="Calibri"/>
          <w:sz w:val="28"/>
          <w:szCs w:val="28"/>
        </w:rPr>
        <w:t>–</w:t>
      </w:r>
      <w:r w:rsidRPr="00520861">
        <w:rPr>
          <w:rFonts w:eastAsia="Calibri"/>
          <w:sz w:val="28"/>
          <w:szCs w:val="28"/>
          <w:lang w:eastAsia="en-US"/>
        </w:rPr>
        <w:t xml:space="preserve"> 42,8%) дітей ГП. Зубні ряди у бічній ділянці верхньої щелепи по </w:t>
      </w:r>
      <w:proofErr w:type="spellStart"/>
      <w:r w:rsidRPr="00520861">
        <w:rPr>
          <w:rFonts w:eastAsia="Calibri"/>
          <w:sz w:val="28"/>
          <w:szCs w:val="28"/>
          <w:lang w:eastAsia="en-US"/>
        </w:rPr>
        <w:t>трансверзалі</w:t>
      </w:r>
      <w:proofErr w:type="spellEnd"/>
      <w:r w:rsidRPr="00520861">
        <w:rPr>
          <w:rFonts w:eastAsia="Calibri"/>
          <w:sz w:val="28"/>
          <w:szCs w:val="28"/>
          <w:lang w:eastAsia="en-US"/>
        </w:rPr>
        <w:t xml:space="preserve"> були звуженими в 35,7% (ДІ: 21,5% </w:t>
      </w:r>
      <w:r w:rsidRPr="00520861">
        <w:rPr>
          <w:rFonts w:eastAsia="Calibri"/>
          <w:sz w:val="28"/>
          <w:szCs w:val="28"/>
        </w:rPr>
        <w:t>–</w:t>
      </w:r>
      <w:r w:rsidRPr="00520861">
        <w:rPr>
          <w:rFonts w:eastAsia="Calibri"/>
          <w:sz w:val="28"/>
          <w:szCs w:val="28"/>
          <w:lang w:eastAsia="en-US"/>
        </w:rPr>
        <w:t xml:space="preserve"> 52,4%) дітей ОГ. У ГП таке порушення було виявлено у 21,4% (ДІ: 8,4% </w:t>
      </w:r>
      <w:r w:rsidRPr="00520861">
        <w:rPr>
          <w:rFonts w:eastAsia="Calibri"/>
          <w:sz w:val="28"/>
          <w:szCs w:val="28"/>
        </w:rPr>
        <w:t>–</w:t>
      </w:r>
      <w:r w:rsidRPr="00520861">
        <w:rPr>
          <w:rFonts w:eastAsia="Calibri"/>
          <w:sz w:val="28"/>
          <w:szCs w:val="28"/>
          <w:lang w:eastAsia="en-US"/>
        </w:rPr>
        <w:t xml:space="preserve"> 42,8%) дітей.</w:t>
      </w:r>
    </w:p>
    <w:p w14:paraId="2988091B"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Аналіз стану зубних рядів нижньої щелепи в </w:t>
      </w:r>
      <w:proofErr w:type="spellStart"/>
      <w:r w:rsidRPr="00520861">
        <w:rPr>
          <w:rFonts w:eastAsia="Calibri"/>
          <w:sz w:val="28"/>
          <w:szCs w:val="28"/>
          <w:lang w:eastAsia="en-US"/>
        </w:rPr>
        <w:t>букально-лінгвальному</w:t>
      </w:r>
      <w:proofErr w:type="spellEnd"/>
      <w:r w:rsidRPr="00520861">
        <w:rPr>
          <w:rFonts w:eastAsia="Calibri"/>
          <w:sz w:val="28"/>
          <w:szCs w:val="28"/>
          <w:lang w:eastAsia="en-US"/>
        </w:rPr>
        <w:t xml:space="preserve"> напрямку </w:t>
      </w:r>
      <w:r w:rsidRPr="00520861">
        <w:rPr>
          <w:rFonts w:eastAsia="Calibri"/>
          <w:sz w:val="28"/>
          <w:szCs w:val="28"/>
          <w:lang w:eastAsia="en-US"/>
        </w:rPr>
        <w:lastRenderedPageBreak/>
        <w:t xml:space="preserve">(фронтальна ділянка) виявив, що зміщення середньої лінії зубного ряду відносно </w:t>
      </w:r>
      <w:r w:rsidRPr="00520861">
        <w:rPr>
          <w:rFonts w:eastAsia="Calibri"/>
          <w:sz w:val="28"/>
          <w:szCs w:val="28"/>
          <w:lang w:eastAsia="en-US"/>
        </w:rPr>
        <w:br/>
        <w:t xml:space="preserve">вуздечки язика мали 10,7% (ДІ: 4,0% </w:t>
      </w:r>
      <w:r w:rsidRPr="00520861">
        <w:rPr>
          <w:rFonts w:eastAsia="Calibri"/>
          <w:sz w:val="28"/>
          <w:szCs w:val="28"/>
        </w:rPr>
        <w:t>–</w:t>
      </w:r>
      <w:r w:rsidRPr="00520861">
        <w:rPr>
          <w:rFonts w:eastAsia="Calibri"/>
          <w:sz w:val="28"/>
          <w:szCs w:val="28"/>
          <w:lang w:eastAsia="en-US"/>
        </w:rPr>
        <w:t xml:space="preserve"> 23,5%) дітей ОГ та 7,1% (ДІ: 1,8% </w:t>
      </w:r>
      <w:r w:rsidRPr="00520861">
        <w:rPr>
          <w:rFonts w:eastAsia="Calibri"/>
          <w:sz w:val="28"/>
          <w:szCs w:val="28"/>
        </w:rPr>
        <w:t>–</w:t>
      </w:r>
      <w:r w:rsidRPr="00520861">
        <w:rPr>
          <w:rFonts w:eastAsia="Calibri"/>
          <w:sz w:val="28"/>
          <w:szCs w:val="28"/>
          <w:lang w:eastAsia="en-US"/>
        </w:rPr>
        <w:t xml:space="preserve"> 23,2%) дітей ГП. Середня лінія верхнього зубного ряду співпадає із серединним піднебінним швом у всіх учасників ОГ і ГП.</w:t>
      </w:r>
    </w:p>
    <w:p w14:paraId="62D21CC9"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Серед аномалій розміру зубів у дітей ОГ у період змінного прикусу превалювала індивідуальна </w:t>
      </w:r>
      <w:proofErr w:type="spellStart"/>
      <w:r w:rsidRPr="00520861">
        <w:rPr>
          <w:rFonts w:eastAsia="Calibri"/>
          <w:sz w:val="28"/>
          <w:szCs w:val="28"/>
          <w:lang w:eastAsia="en-US"/>
        </w:rPr>
        <w:t>мікродонтія</w:t>
      </w:r>
      <w:proofErr w:type="spellEnd"/>
      <w:r w:rsidRPr="00520861">
        <w:rPr>
          <w:rFonts w:eastAsia="Calibri"/>
          <w:sz w:val="28"/>
          <w:szCs w:val="28"/>
          <w:lang w:eastAsia="en-US"/>
        </w:rPr>
        <w:t xml:space="preserve">, яку мали 10,7% (ДІ: 4,0% </w:t>
      </w:r>
      <w:r w:rsidRPr="00520861">
        <w:rPr>
          <w:rFonts w:eastAsia="Calibri"/>
          <w:sz w:val="28"/>
          <w:szCs w:val="28"/>
        </w:rPr>
        <w:t>–</w:t>
      </w:r>
      <w:r w:rsidRPr="00520861">
        <w:rPr>
          <w:rFonts w:eastAsia="Calibri"/>
          <w:sz w:val="28"/>
          <w:szCs w:val="28"/>
          <w:lang w:eastAsia="en-US"/>
        </w:rPr>
        <w:t xml:space="preserve"> 23,5%) дітей.</w:t>
      </w:r>
    </w:p>
    <w:p w14:paraId="31A72BE7"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Серед ЗЩА траплялися різні рівні патологічних станів: аномалії прикусу, аномалії форми й розміру зубних рядів та аномалії окремих зубів. Ізольовано одні від одних названі аномалії не трапляються, тому вичленення аномалій окремих зубів є недоцільним. Але цікавими виявилися відомості про те, що в 35% дітей ОГ прорізування центральних різців на нижній щелепі відбувалося раніше за прорізування перших постійних молярів, що є ще однією ознакою, яка підтверджує недорозвинення нижньої щелепи. Такі порушення в ГП не спостерігалися.</w:t>
      </w:r>
    </w:p>
    <w:p w14:paraId="754C116F"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Поряд із ВУ сформованими порушеннями [368]</w:t>
      </w:r>
      <w:r w:rsidRPr="00520861">
        <w:rPr>
          <w:rFonts w:eastAsia="Calibri"/>
          <w:sz w:val="28"/>
          <w:szCs w:val="28"/>
        </w:rPr>
        <w:t xml:space="preserve"> </w:t>
      </w:r>
      <w:r w:rsidRPr="00520861">
        <w:rPr>
          <w:rFonts w:eastAsia="Calibri"/>
          <w:sz w:val="28"/>
          <w:szCs w:val="28"/>
          <w:lang w:eastAsia="en-US"/>
        </w:rPr>
        <w:t xml:space="preserve">загальновідома роль </w:t>
      </w:r>
      <w:r w:rsidRPr="00520861">
        <w:rPr>
          <w:rFonts w:eastAsia="Calibri"/>
          <w:sz w:val="28"/>
          <w:szCs w:val="28"/>
          <w:lang w:eastAsia="en-US"/>
        </w:rPr>
        <w:br/>
        <w:t>спадковості у виникненні аномалій прикусу [462].</w:t>
      </w:r>
      <w:r w:rsidRPr="00520861">
        <w:rPr>
          <w:rFonts w:eastAsia="Calibri"/>
          <w:sz w:val="28"/>
          <w:szCs w:val="28"/>
        </w:rPr>
        <w:t xml:space="preserve"> </w:t>
      </w:r>
      <w:r w:rsidRPr="00520861">
        <w:rPr>
          <w:rFonts w:eastAsia="Calibri"/>
          <w:sz w:val="28"/>
          <w:szCs w:val="28"/>
          <w:lang w:eastAsia="en-US"/>
        </w:rPr>
        <w:t xml:space="preserve">Аналізуючи одержані результати, слід зауважити, що в нашому дослідженні вплив генетичної схильності на виникнення ЗЩА в ОГ та ГП був зіставний. Отже, велика кількість аномалій прикусу </w:t>
      </w:r>
      <w:r w:rsidRPr="00520861">
        <w:rPr>
          <w:rFonts w:eastAsia="Calibri"/>
          <w:sz w:val="28"/>
          <w:szCs w:val="28"/>
        </w:rPr>
        <w:t>–</w:t>
      </w:r>
      <w:r w:rsidRPr="00520861">
        <w:rPr>
          <w:rFonts w:eastAsia="Calibri"/>
          <w:sz w:val="28"/>
          <w:szCs w:val="28"/>
          <w:lang w:eastAsia="en-US"/>
        </w:rPr>
        <w:t xml:space="preserve"> </w:t>
      </w:r>
      <w:r w:rsidRPr="00520861">
        <w:rPr>
          <w:rFonts w:eastAsia="Calibri"/>
          <w:sz w:val="28"/>
          <w:szCs w:val="28"/>
        </w:rPr>
        <w:t xml:space="preserve">100% (ДІ: 87,7% – 100%) </w:t>
      </w:r>
      <w:r w:rsidRPr="00520861">
        <w:rPr>
          <w:rFonts w:eastAsia="Calibri"/>
          <w:sz w:val="28"/>
          <w:szCs w:val="28"/>
          <w:lang w:eastAsia="en-US"/>
        </w:rPr>
        <w:t xml:space="preserve">в ОГ проти 57% (ДІ: 35,1% </w:t>
      </w:r>
      <w:r w:rsidRPr="00520861">
        <w:rPr>
          <w:rFonts w:eastAsia="Calibri"/>
          <w:sz w:val="28"/>
          <w:szCs w:val="28"/>
        </w:rPr>
        <w:t>–</w:t>
      </w:r>
      <w:r w:rsidRPr="00520861">
        <w:rPr>
          <w:rFonts w:eastAsia="Calibri"/>
          <w:sz w:val="28"/>
          <w:szCs w:val="28"/>
          <w:lang w:eastAsia="en-US"/>
        </w:rPr>
        <w:t xml:space="preserve"> 77,0%) у ГП – пояснюється якимось іншими факторами, пов’язаними, на наш погляд,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плода. </w:t>
      </w:r>
    </w:p>
    <w:p w14:paraId="0245CB56" w14:textId="77777777" w:rsidR="00180D3E" w:rsidRPr="00520861" w:rsidRDefault="00180D3E" w:rsidP="00292D2E">
      <w:pPr>
        <w:widowControl w:val="0"/>
        <w:shd w:val="clear" w:color="auto" w:fill="FFFFFF"/>
        <w:spacing w:line="360" w:lineRule="auto"/>
        <w:ind w:firstLine="708"/>
        <w:jc w:val="both"/>
        <w:textAlignment w:val="top"/>
        <w:rPr>
          <w:rFonts w:eastAsia="Calibri"/>
          <w:sz w:val="28"/>
          <w:szCs w:val="28"/>
          <w:lang w:eastAsia="en-US"/>
        </w:rPr>
      </w:pPr>
      <w:r w:rsidRPr="00520861">
        <w:rPr>
          <w:rFonts w:eastAsia="Calibri"/>
          <w:sz w:val="28"/>
          <w:szCs w:val="28"/>
          <w:lang w:eastAsia="en-US"/>
        </w:rPr>
        <w:t xml:space="preserve">Ми вважаємо, що на формування високої поширеності порушень СГС у дітей та підлітків ОГ суттєво вплинула знижена мінеральна щільність кісткової тканини, яка спостерігається в новонароджених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[403]. Автори пояснюють цей факт зниженою ВУ рухливістю великих дітей і, як наслідок, зменшенням фізичного навантаження. У роботі </w:t>
      </w:r>
      <w:proofErr w:type="spellStart"/>
      <w:r w:rsidRPr="00520861">
        <w:rPr>
          <w:rFonts w:eastAsia="Calibri"/>
          <w:sz w:val="28"/>
          <w:szCs w:val="28"/>
        </w:rPr>
        <w:t>Schushan-Eisen</w:t>
      </w:r>
      <w:proofErr w:type="spellEnd"/>
      <w:r w:rsidRPr="00520861">
        <w:rPr>
          <w:rFonts w:eastAsia="Calibri"/>
          <w:sz w:val="28"/>
          <w:szCs w:val="28"/>
        </w:rPr>
        <w:t xml:space="preserve"> I. </w:t>
      </w:r>
      <w:r w:rsidRPr="00520861">
        <w:rPr>
          <w:rFonts w:eastAsia="Calibri"/>
          <w:sz w:val="28"/>
          <w:szCs w:val="28"/>
          <w:lang w:eastAsia="en-US"/>
        </w:rPr>
        <w:t>та співавторів [497] доведено вірогідно знижену мінеральну щільність кісткової тканини в новонароджених-</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w:t>
      </w:r>
      <w:r w:rsidRPr="00520861">
        <w:rPr>
          <w:rFonts w:eastAsia="Calibri"/>
          <w:sz w:val="28"/>
          <w:szCs w:val="28"/>
          <w:lang w:eastAsia="en-US"/>
        </w:rPr>
        <w:br/>
        <w:t xml:space="preserve">народжених від недіабетичних матерів. Дослідники підтвердили гіпотезу «зниженої рухливості» при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 та довели, що щільність кісткової тканини знижується з кожними додатковими 100 г маси тіла новонародженої дитини.</w:t>
      </w:r>
    </w:p>
    <w:p w14:paraId="4A96470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Вивчення стану СГС у період постійного прикусу продемонструвало, що в середньому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вузьке обличчя трапляється частіше, ніж у </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w:t>
      </w:r>
      <w:r w:rsidRPr="00520861">
        <w:rPr>
          <w:rFonts w:eastAsia="Calibri"/>
          <w:sz w:val="28"/>
          <w:szCs w:val="28"/>
        </w:rPr>
        <w:t xml:space="preserve">– </w:t>
      </w:r>
      <w:r w:rsidRPr="00520861">
        <w:rPr>
          <w:sz w:val="28"/>
          <w:szCs w:val="28"/>
        </w:rPr>
        <w:lastRenderedPageBreak/>
        <w:t>71,4% (ДІ: 63,9% – 78,1%) проти 43,0% (ДІ: 33,1% – 53,4%) відповідно</w:t>
      </w:r>
      <w:r w:rsidRPr="00520861">
        <w:rPr>
          <w:rFonts w:eastAsia="Calibri"/>
          <w:sz w:val="28"/>
          <w:szCs w:val="28"/>
          <w:lang w:eastAsia="en-US"/>
        </w:rPr>
        <w:t xml:space="preserve">. Більш вираженими ці зміни є в підгрупі 1, підгрупі 3 та підгрупі 4. </w:t>
      </w:r>
    </w:p>
    <w:p w14:paraId="022FDED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sz w:val="28"/>
          <w:szCs w:val="28"/>
        </w:rPr>
        <w:t xml:space="preserve">Навіть в осіб дорослого віку спостерігалися аномалії м’яких тканин. </w:t>
      </w:r>
      <w:r w:rsidRPr="00520861">
        <w:rPr>
          <w:sz w:val="28"/>
          <w:szCs w:val="28"/>
        </w:rPr>
        <w:br/>
      </w:r>
      <w:proofErr w:type="spellStart"/>
      <w:r w:rsidRPr="00520861">
        <w:rPr>
          <w:sz w:val="28"/>
          <w:szCs w:val="28"/>
        </w:rPr>
        <w:t>Анкілоглосію</w:t>
      </w:r>
      <w:proofErr w:type="spellEnd"/>
      <w:r w:rsidRPr="00520861">
        <w:rPr>
          <w:sz w:val="28"/>
          <w:szCs w:val="28"/>
        </w:rPr>
        <w:t xml:space="preserve"> було виявлено у 22,1% (ДІ: 16,2% – 29,2%) осіб ОГ проти 5,1% (ДІ: 2,1% – 10,7%) осіб у ГП. У всіх ВП, крім першого, в осіб ОГ глибина присінку в середньому була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xml:space="preserve">) більшою, ніж в осіб ГП. В осіб підгрупи 1 це виражено в більшому, а в осіб підгрупи 4 у меншому ступені. Тобто глибина присінку, у більшості учасників дослідження, не є пусковим фактором формування захворювань тканин </w:t>
      </w:r>
      <w:proofErr w:type="spellStart"/>
      <w:r w:rsidRPr="00520861">
        <w:rPr>
          <w:sz w:val="28"/>
          <w:szCs w:val="28"/>
        </w:rPr>
        <w:t>пародонта</w:t>
      </w:r>
      <w:proofErr w:type="spellEnd"/>
      <w:r w:rsidRPr="00520861">
        <w:rPr>
          <w:sz w:val="28"/>
          <w:szCs w:val="28"/>
        </w:rPr>
        <w:t>.</w:t>
      </w:r>
      <w:r w:rsidRPr="00520861">
        <w:rPr>
          <w:sz w:val="28"/>
          <w:szCs w:val="28"/>
          <w:lang w:val="ru-RU"/>
        </w:rPr>
        <w:t xml:space="preserve"> </w:t>
      </w:r>
    </w:p>
    <w:p w14:paraId="0185B6C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середньому в ОГ високе піднебіння трапляється частіше, ніж у ГП. В осіб із підгрупи 3 показники висоти піднебінного склепіння/ширини піднебінного склепіння найвищі, а саме: 0,43 (p=0,039), 0,44 (p=0,281), 0,51 (p=0,000), 0,46 (p=0,002) </w:t>
      </w:r>
      <w:proofErr w:type="spellStart"/>
      <w:r w:rsidRPr="00520861">
        <w:rPr>
          <w:rFonts w:eastAsia="Calibri"/>
          <w:sz w:val="28"/>
          <w:szCs w:val="28"/>
          <w:lang w:eastAsia="en-US"/>
        </w:rPr>
        <w:t>у.о</w:t>
      </w:r>
      <w:proofErr w:type="spellEnd"/>
      <w:r w:rsidRPr="00520861">
        <w:rPr>
          <w:rFonts w:eastAsia="Calibri"/>
          <w:sz w:val="28"/>
          <w:szCs w:val="28"/>
          <w:lang w:eastAsia="en-US"/>
        </w:rPr>
        <w:t xml:space="preserve">. для ВП-V, ВП-VІ, ВП-VІІ, ВП-VІІІ відповідно. В осіб підгрупи 4 ці показники найнижчі серед осіб ОГ. В осіб ГП вони склали 0,39, 0,40, 0,38, 0,36 </w:t>
      </w:r>
      <w:proofErr w:type="spellStart"/>
      <w:r w:rsidRPr="00520861">
        <w:rPr>
          <w:rFonts w:eastAsia="Calibri"/>
          <w:sz w:val="28"/>
          <w:szCs w:val="28"/>
          <w:lang w:eastAsia="en-US"/>
        </w:rPr>
        <w:t>у.о</w:t>
      </w:r>
      <w:proofErr w:type="spellEnd"/>
      <w:r w:rsidRPr="00520861">
        <w:rPr>
          <w:rFonts w:eastAsia="Calibri"/>
          <w:sz w:val="28"/>
          <w:szCs w:val="28"/>
          <w:lang w:eastAsia="en-US"/>
        </w:rPr>
        <w:t>. для ВП-V, ВП-VІ, ВП-VІІ, ВП-VІІІ відповідно.</w:t>
      </w:r>
    </w:p>
    <w:p w14:paraId="01C1B8C1" w14:textId="77777777" w:rsidR="00180D3E" w:rsidRPr="00520861" w:rsidRDefault="00180D3E" w:rsidP="00292D2E">
      <w:pPr>
        <w:widowControl w:val="0"/>
        <w:spacing w:line="360" w:lineRule="auto"/>
        <w:ind w:firstLine="708"/>
        <w:jc w:val="both"/>
        <w:rPr>
          <w:rFonts w:eastAsia="Calibri"/>
          <w:sz w:val="28"/>
          <w:szCs w:val="28"/>
        </w:rPr>
      </w:pPr>
      <w:r w:rsidRPr="00520861">
        <w:rPr>
          <w:rFonts w:eastAsia="Calibri"/>
          <w:sz w:val="28"/>
          <w:szCs w:val="28"/>
          <w:lang w:eastAsia="en-US"/>
        </w:rPr>
        <w:t>В осіб-</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виявлений більший процент аномалій прикусу, зокрема аномалій ІІ-го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у поєднанні з глибоким прикусом, а також аномалій </w:t>
      </w:r>
      <w:r w:rsidRPr="00520861">
        <w:rPr>
          <w:rFonts w:eastAsia="Calibri"/>
          <w:sz w:val="28"/>
          <w:szCs w:val="28"/>
          <w:lang w:eastAsia="en-US"/>
        </w:rPr>
        <w:br/>
        <w:t xml:space="preserve">зубних рядів, ніж в осіб ГП відповідного віку. Аномалія ІІ-го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в осіб ОГ спостерігалася у 51,4% (ДІ: 43,5% – 59,3%) випадках проти 27,8% (ДІ: 19,4% – 37,7%) у ГП. Поєднання скелетних форм аномалій ІІ-го класу з вертикальним типом росту потребує якнайшвидшої </w:t>
      </w:r>
      <w:proofErr w:type="spellStart"/>
      <w:r w:rsidRPr="00520861">
        <w:rPr>
          <w:rFonts w:eastAsia="Calibri"/>
          <w:sz w:val="28"/>
          <w:szCs w:val="28"/>
          <w:lang w:eastAsia="en-US"/>
        </w:rPr>
        <w:t>ортодонтичної</w:t>
      </w:r>
      <w:proofErr w:type="spellEnd"/>
      <w:r w:rsidRPr="00520861">
        <w:rPr>
          <w:rFonts w:eastAsia="Calibri"/>
          <w:sz w:val="28"/>
          <w:szCs w:val="28"/>
          <w:lang w:eastAsia="en-US"/>
        </w:rPr>
        <w:t xml:space="preserve"> допомоги [83], бо втрачений час </w:t>
      </w:r>
      <w:r w:rsidRPr="00520861">
        <w:rPr>
          <w:rFonts w:eastAsia="Calibri"/>
          <w:sz w:val="28"/>
          <w:szCs w:val="28"/>
          <w:lang w:eastAsia="en-US"/>
        </w:rPr>
        <w:br/>
        <w:t xml:space="preserve">компенсувати складно, а інколи й неможливо. Глибокий прикус був виявлений у 48,6% (ДІ: 40,7% – 56,5%) осіб ОГ проти 16,5% (ДІ: 10,0% – 25,0%) осіб ГП. Відомо, що </w:t>
      </w:r>
      <w:r w:rsidRPr="00520861">
        <w:rPr>
          <w:rFonts w:eastAsia="Calibri"/>
          <w:sz w:val="28"/>
          <w:szCs w:val="28"/>
        </w:rPr>
        <w:t>при глибокому прикусі тенденція до саморегуляції дистального прикусу відсутня [</w:t>
      </w:r>
      <w:r w:rsidRPr="00520861">
        <w:rPr>
          <w:rFonts w:eastAsia="Calibri"/>
          <w:bCs/>
          <w:sz w:val="28"/>
          <w:szCs w:val="28"/>
          <w:lang w:eastAsia="en-US"/>
        </w:rPr>
        <w:t>12</w:t>
      </w:r>
      <w:r w:rsidRPr="00520861">
        <w:rPr>
          <w:rFonts w:eastAsia="Calibri"/>
          <w:sz w:val="28"/>
          <w:szCs w:val="28"/>
        </w:rPr>
        <w:t xml:space="preserve">]. Це може бути одним із пояснень вірогідно більшого процента аномалій </w:t>
      </w:r>
      <w:r w:rsidRPr="00520861">
        <w:rPr>
          <w:rFonts w:eastAsia="Calibri"/>
          <w:sz w:val="28"/>
          <w:szCs w:val="28"/>
        </w:rPr>
        <w:br/>
        <w:t xml:space="preserve">ІІ-го класу за </w:t>
      </w:r>
      <w:proofErr w:type="spellStart"/>
      <w:r w:rsidRPr="00520861">
        <w:rPr>
          <w:rFonts w:eastAsia="Calibri"/>
          <w:sz w:val="28"/>
          <w:szCs w:val="28"/>
        </w:rPr>
        <w:t>Енглем</w:t>
      </w:r>
      <w:proofErr w:type="spellEnd"/>
      <w:r w:rsidRPr="00520861">
        <w:rPr>
          <w:rFonts w:eastAsia="Calibri"/>
          <w:sz w:val="28"/>
          <w:szCs w:val="28"/>
        </w:rPr>
        <w:t xml:space="preserve"> в осіб дорослого віку, які народилися </w:t>
      </w:r>
      <w:proofErr w:type="spellStart"/>
      <w:r w:rsidRPr="00520861">
        <w:rPr>
          <w:rFonts w:eastAsia="Calibri"/>
          <w:sz w:val="28"/>
          <w:szCs w:val="28"/>
        </w:rPr>
        <w:t>макросомами</w:t>
      </w:r>
      <w:proofErr w:type="spellEnd"/>
      <w:r w:rsidRPr="00520861">
        <w:rPr>
          <w:rFonts w:eastAsia="Calibri"/>
          <w:sz w:val="28"/>
          <w:szCs w:val="28"/>
        </w:rPr>
        <w:t>.</w:t>
      </w:r>
    </w:p>
    <w:p w14:paraId="7FD98105" w14:textId="77777777" w:rsidR="00180D3E" w:rsidRPr="00520861" w:rsidRDefault="00180D3E" w:rsidP="00292D2E">
      <w:pPr>
        <w:widowControl w:val="0"/>
        <w:spacing w:line="360" w:lineRule="auto"/>
        <w:ind w:firstLine="708"/>
        <w:contextualSpacing/>
        <w:jc w:val="both"/>
        <w:rPr>
          <w:sz w:val="28"/>
          <w:szCs w:val="28"/>
        </w:rPr>
      </w:pPr>
      <w:r w:rsidRPr="00520861">
        <w:rPr>
          <w:rFonts w:eastAsia="Calibri"/>
          <w:sz w:val="28"/>
          <w:szCs w:val="28"/>
          <w:lang w:eastAsia="en-US"/>
        </w:rPr>
        <w:t xml:space="preserve">Одним із механізмів формування глибокого прикусу є недорозвинення фронтальної ділянки нижньої щелепи, що також супроводжується скупченим положенням фронтальних зубів [89, </w:t>
      </w:r>
      <w:r w:rsidRPr="00520861">
        <w:rPr>
          <w:sz w:val="28"/>
          <w:szCs w:val="28"/>
        </w:rPr>
        <w:t>522]</w:t>
      </w:r>
      <w:r w:rsidRPr="00520861">
        <w:rPr>
          <w:rFonts w:eastAsia="Calibri"/>
          <w:sz w:val="28"/>
          <w:szCs w:val="28"/>
          <w:lang w:eastAsia="en-US"/>
        </w:rPr>
        <w:t xml:space="preserve">. Зважаючи на те що випадки глибокого прикусу превалювали й у дітей та підлітків ОГ, в осіб,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існує </w:t>
      </w:r>
      <w:r w:rsidRPr="00520861">
        <w:rPr>
          <w:rFonts w:eastAsia="Calibri"/>
          <w:sz w:val="28"/>
          <w:szCs w:val="28"/>
          <w:lang w:eastAsia="en-US"/>
        </w:rPr>
        <w:br/>
      </w:r>
      <w:r w:rsidRPr="00520861">
        <w:rPr>
          <w:rFonts w:eastAsia="Calibri"/>
          <w:sz w:val="28"/>
          <w:szCs w:val="28"/>
          <w:lang w:eastAsia="en-US"/>
        </w:rPr>
        <w:lastRenderedPageBreak/>
        <w:t xml:space="preserve">«схильність» до недорозвинення нижньої щелепи. </w:t>
      </w:r>
    </w:p>
    <w:p w14:paraId="5637A3BF" w14:textId="77777777" w:rsidR="00180D3E" w:rsidRPr="00520861" w:rsidRDefault="00180D3E" w:rsidP="00292D2E">
      <w:pPr>
        <w:widowControl w:val="0"/>
        <w:autoSpaceDE w:val="0"/>
        <w:autoSpaceDN w:val="0"/>
        <w:adjustRightInd w:val="0"/>
        <w:spacing w:line="360" w:lineRule="auto"/>
        <w:ind w:firstLine="708"/>
        <w:jc w:val="both"/>
        <w:rPr>
          <w:rFonts w:eastAsia="Calibri"/>
          <w:sz w:val="28"/>
          <w:szCs w:val="28"/>
          <w:lang w:eastAsia="en-US"/>
        </w:rPr>
      </w:pPr>
      <w:r w:rsidRPr="00520861">
        <w:rPr>
          <w:rFonts w:eastAsia="Calibri"/>
          <w:sz w:val="28"/>
          <w:szCs w:val="28"/>
          <w:lang w:eastAsia="en-US"/>
        </w:rPr>
        <w:t xml:space="preserve">Аналіз змикання різців у </w:t>
      </w:r>
      <w:proofErr w:type="spellStart"/>
      <w:r w:rsidRPr="00520861">
        <w:rPr>
          <w:rFonts w:eastAsia="Calibri"/>
          <w:sz w:val="28"/>
          <w:szCs w:val="28"/>
          <w:lang w:eastAsia="en-US"/>
        </w:rPr>
        <w:t>трансверзальній</w:t>
      </w:r>
      <w:proofErr w:type="spellEnd"/>
      <w:r w:rsidRPr="00520861">
        <w:rPr>
          <w:rFonts w:eastAsia="Calibri"/>
          <w:sz w:val="28"/>
          <w:szCs w:val="28"/>
          <w:lang w:eastAsia="en-US"/>
        </w:rPr>
        <w:t xml:space="preserve"> площині виявив, що зміщення </w:t>
      </w:r>
      <w:r w:rsidRPr="00520861">
        <w:rPr>
          <w:rFonts w:eastAsia="Calibri"/>
          <w:sz w:val="28"/>
          <w:szCs w:val="28"/>
          <w:lang w:eastAsia="en-US"/>
        </w:rPr>
        <w:br/>
        <w:t xml:space="preserve">середньої лінії було в 55,7% (ДІ: 47,8% – 63,4%) осіб ОГ проти 32,9% (ДІ: 23,9% – 43,1%) осіб ГП. Великий процент цього порушення мали діти та підлітки ОГ. </w:t>
      </w:r>
    </w:p>
    <w:p w14:paraId="2F91ADFB" w14:textId="77777777" w:rsidR="00180D3E" w:rsidRPr="00520861" w:rsidRDefault="00180D3E" w:rsidP="00292D2E">
      <w:pPr>
        <w:widowControl w:val="0"/>
        <w:spacing w:line="360" w:lineRule="auto"/>
        <w:ind w:firstLine="708"/>
        <w:contextualSpacing/>
        <w:jc w:val="both"/>
        <w:rPr>
          <w:sz w:val="28"/>
          <w:szCs w:val="28"/>
        </w:rPr>
      </w:pPr>
      <w:r w:rsidRPr="00520861">
        <w:rPr>
          <w:rFonts w:eastAsia="Calibri"/>
          <w:sz w:val="28"/>
          <w:szCs w:val="28"/>
          <w:lang w:eastAsia="en-US"/>
        </w:rPr>
        <w:t xml:space="preserve">Аналіз зубних рядів нижньої щелепи (фронтальна ділянка) у вертикальній площині виявив, що </w:t>
      </w:r>
      <w:proofErr w:type="spellStart"/>
      <w:r w:rsidRPr="00520861">
        <w:rPr>
          <w:rFonts w:eastAsia="Calibri"/>
          <w:sz w:val="28"/>
          <w:szCs w:val="28"/>
          <w:lang w:eastAsia="en-US"/>
        </w:rPr>
        <w:t>денто</w:t>
      </w:r>
      <w:proofErr w:type="spellEnd"/>
      <w:r w:rsidRPr="00520861">
        <w:rPr>
          <w:rFonts w:eastAsia="Calibri"/>
          <w:sz w:val="28"/>
          <w:szCs w:val="28"/>
          <w:lang w:eastAsia="en-US"/>
        </w:rPr>
        <w:t>-альвеолярне подовження чи вкорочення мали 52,1% (ДІ: 44,2% – 60,0%) особи ОГ проти 25,3% (ДІ: 17,3% – 35,0%) осіб у ГП. Аналіз зубних рядів верхньої щелепи (фронтальна ділянка) у вертикальній площині виявив, що 65,0% (ДІ: 57,2% – 72,2%) осіб ОГ проти 26,6% (ДІ: 18,3% – 36,4%) осіб ГП мали зміни вертикальних розмірів. У дітей та підлітків ОГ клінічних випадків змін вертикальних розмірів фронтальної ділянки зубних рядів також вірогідно більше, ніж у дітей ГП. Такі зміни є складовими у формуванні глибокого прикусу [</w:t>
      </w:r>
      <w:r w:rsidRPr="00520861">
        <w:rPr>
          <w:sz w:val="28"/>
          <w:szCs w:val="28"/>
        </w:rPr>
        <w:t>293].</w:t>
      </w:r>
    </w:p>
    <w:p w14:paraId="02CC36A0"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Аналіз зубних рядів нижньої щелепи (бічна ділянка) у </w:t>
      </w:r>
      <w:proofErr w:type="spellStart"/>
      <w:r w:rsidRPr="00520861">
        <w:rPr>
          <w:rFonts w:eastAsia="Calibri"/>
          <w:sz w:val="28"/>
          <w:szCs w:val="28"/>
          <w:lang w:eastAsia="en-US"/>
        </w:rPr>
        <w:t>трансверзальній</w:t>
      </w:r>
      <w:proofErr w:type="spellEnd"/>
      <w:r w:rsidRPr="00520861">
        <w:rPr>
          <w:rFonts w:eastAsia="Calibri"/>
          <w:sz w:val="28"/>
          <w:szCs w:val="28"/>
          <w:lang w:eastAsia="en-US"/>
        </w:rPr>
        <w:t xml:space="preserve"> площині виявив, що звуження мали 60,0% (ДІ: 52,1% – 67,5%) осіб ОГ та 30,4% (ДІ: 21,6% – 40,4%) осіб ГП. Звуження зубних рядів верхньої щелепи (бічна ділянка) у </w:t>
      </w:r>
      <w:proofErr w:type="spellStart"/>
      <w:r w:rsidRPr="00520861">
        <w:rPr>
          <w:rFonts w:eastAsia="Calibri"/>
          <w:sz w:val="28"/>
          <w:szCs w:val="28"/>
          <w:lang w:eastAsia="en-US"/>
        </w:rPr>
        <w:t>трансверзальній</w:t>
      </w:r>
      <w:proofErr w:type="spellEnd"/>
      <w:r w:rsidRPr="00520861">
        <w:rPr>
          <w:rFonts w:eastAsia="Calibri"/>
          <w:sz w:val="28"/>
          <w:szCs w:val="28"/>
          <w:lang w:eastAsia="en-US"/>
        </w:rPr>
        <w:t xml:space="preserve"> площині мали 34,3% (ДІ: 27,1% – 42,0%) осіб ОГ та 11,4% (ДІ: 6,2% – 19,0%) осіб ГП. </w:t>
      </w:r>
    </w:p>
    <w:p w14:paraId="6F5853B1"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Для того щоб обґрунтувати тип </w:t>
      </w:r>
      <w:proofErr w:type="spellStart"/>
      <w:r w:rsidRPr="00520861">
        <w:rPr>
          <w:rFonts w:eastAsia="Calibri"/>
          <w:sz w:val="28"/>
          <w:szCs w:val="28"/>
          <w:lang w:eastAsia="en-US"/>
        </w:rPr>
        <w:t>щелепно</w:t>
      </w:r>
      <w:proofErr w:type="spellEnd"/>
      <w:r w:rsidRPr="00520861">
        <w:rPr>
          <w:rFonts w:eastAsia="Calibri"/>
          <w:sz w:val="28"/>
          <w:szCs w:val="28"/>
          <w:lang w:eastAsia="en-US"/>
        </w:rPr>
        <w:t xml:space="preserve">-лицевого росту, прийнято враховувати кількісні параметри аналізу латеральних </w:t>
      </w:r>
      <w:proofErr w:type="spellStart"/>
      <w:r w:rsidRPr="00520861">
        <w:rPr>
          <w:rFonts w:eastAsia="Calibri"/>
          <w:sz w:val="28"/>
          <w:szCs w:val="28"/>
          <w:lang w:eastAsia="en-US"/>
        </w:rPr>
        <w:t>цефалограм</w:t>
      </w:r>
      <w:proofErr w:type="spellEnd"/>
      <w:r w:rsidRPr="00520861">
        <w:rPr>
          <w:rFonts w:eastAsia="Calibri"/>
          <w:sz w:val="28"/>
          <w:szCs w:val="28"/>
          <w:lang w:eastAsia="en-US"/>
        </w:rPr>
        <w:t xml:space="preserve"> [467]. Але ж, на думку </w:t>
      </w:r>
      <w:r w:rsidRPr="00520861">
        <w:rPr>
          <w:rFonts w:eastAsia="Calibri"/>
          <w:sz w:val="28"/>
          <w:szCs w:val="28"/>
          <w:lang w:eastAsia="en-US"/>
        </w:rPr>
        <w:br/>
        <w:t xml:space="preserve">науковців, при інтегральному оцінюванні типу росту можна орієнтуватися і на якісні ознаки, виявлені як при оцінюванні на латеральних </w:t>
      </w:r>
      <w:proofErr w:type="spellStart"/>
      <w:r w:rsidRPr="00520861">
        <w:rPr>
          <w:rFonts w:eastAsia="Calibri"/>
          <w:sz w:val="28"/>
          <w:szCs w:val="28"/>
          <w:lang w:eastAsia="en-US"/>
        </w:rPr>
        <w:t>телерентгенограмах</w:t>
      </w:r>
      <w:proofErr w:type="spellEnd"/>
      <w:r w:rsidRPr="00520861">
        <w:rPr>
          <w:rFonts w:eastAsia="Calibri"/>
          <w:sz w:val="28"/>
          <w:szCs w:val="28"/>
          <w:lang w:eastAsia="en-US"/>
        </w:rPr>
        <w:t xml:space="preserve"> [192] і при оцінюванні ОПТГ [30, 78], так і при </w:t>
      </w:r>
      <w:proofErr w:type="spellStart"/>
      <w:r w:rsidRPr="00520861">
        <w:rPr>
          <w:rFonts w:eastAsia="Calibri"/>
          <w:sz w:val="28"/>
          <w:szCs w:val="28"/>
          <w:lang w:eastAsia="en-US"/>
        </w:rPr>
        <w:t>позаротовому</w:t>
      </w:r>
      <w:proofErr w:type="spellEnd"/>
      <w:r w:rsidRPr="00520861">
        <w:rPr>
          <w:rFonts w:eastAsia="Calibri"/>
          <w:sz w:val="28"/>
          <w:szCs w:val="28"/>
          <w:lang w:eastAsia="en-US"/>
        </w:rPr>
        <w:t xml:space="preserve"> огляді [147]. </w:t>
      </w:r>
    </w:p>
    <w:p w14:paraId="2A8F96A7"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Тому в нашому дослідженні враховувався комплекс якісних ознак, а саме нахил лобу, вираженість або </w:t>
      </w:r>
      <w:proofErr w:type="spellStart"/>
      <w:r w:rsidRPr="00520861">
        <w:rPr>
          <w:rFonts w:eastAsia="Calibri"/>
          <w:sz w:val="28"/>
          <w:szCs w:val="28"/>
          <w:lang w:eastAsia="en-US"/>
        </w:rPr>
        <w:t>згладженість</w:t>
      </w:r>
      <w:proofErr w:type="spellEnd"/>
      <w:r w:rsidRPr="00520861">
        <w:rPr>
          <w:rFonts w:eastAsia="Calibri"/>
          <w:sz w:val="28"/>
          <w:szCs w:val="28"/>
          <w:lang w:eastAsia="en-US"/>
        </w:rPr>
        <w:t xml:space="preserve"> надбрівних дуг, вираженість виличної </w:t>
      </w:r>
      <w:r w:rsidRPr="00520861">
        <w:rPr>
          <w:rFonts w:eastAsia="Calibri"/>
          <w:sz w:val="28"/>
          <w:szCs w:val="28"/>
          <w:lang w:eastAsia="en-US"/>
        </w:rPr>
        <w:br/>
        <w:t xml:space="preserve">ділянки, значення індексу </w:t>
      </w:r>
      <w:proofErr w:type="spellStart"/>
      <w:r w:rsidRPr="00520861">
        <w:rPr>
          <w:rFonts w:eastAsia="Calibri"/>
          <w:sz w:val="28"/>
          <w:szCs w:val="28"/>
          <w:lang w:eastAsia="en-US"/>
        </w:rPr>
        <w:t>Ізара</w:t>
      </w:r>
      <w:proofErr w:type="spellEnd"/>
      <w:r w:rsidRPr="00520861">
        <w:rPr>
          <w:rFonts w:eastAsia="Calibri"/>
          <w:sz w:val="28"/>
          <w:szCs w:val="28"/>
          <w:lang w:eastAsia="en-US"/>
        </w:rPr>
        <w:t xml:space="preserve">, положення підборіддя в сагітальній площині та </w:t>
      </w:r>
      <w:r w:rsidRPr="00520861">
        <w:rPr>
          <w:rFonts w:eastAsia="Calibri"/>
          <w:sz w:val="28"/>
          <w:szCs w:val="28"/>
          <w:lang w:eastAsia="en-US"/>
        </w:rPr>
        <w:br/>
        <w:t xml:space="preserve">форма </w:t>
      </w:r>
      <w:proofErr w:type="spellStart"/>
      <w:r w:rsidRPr="00520861">
        <w:rPr>
          <w:rFonts w:eastAsia="Calibri"/>
          <w:sz w:val="28"/>
          <w:szCs w:val="28"/>
          <w:lang w:eastAsia="en-US"/>
        </w:rPr>
        <w:t>підборідкового</w:t>
      </w:r>
      <w:proofErr w:type="spellEnd"/>
      <w:r w:rsidRPr="00520861">
        <w:rPr>
          <w:rFonts w:eastAsia="Calibri"/>
          <w:sz w:val="28"/>
          <w:szCs w:val="28"/>
          <w:lang w:eastAsia="en-US"/>
        </w:rPr>
        <w:t xml:space="preserve"> виступу. При </w:t>
      </w:r>
      <w:proofErr w:type="spellStart"/>
      <w:r w:rsidRPr="00520861">
        <w:rPr>
          <w:rFonts w:eastAsia="Calibri"/>
          <w:sz w:val="28"/>
          <w:szCs w:val="28"/>
          <w:lang w:eastAsia="en-US"/>
        </w:rPr>
        <w:t>внутрішньоротовому</w:t>
      </w:r>
      <w:proofErr w:type="spellEnd"/>
      <w:r w:rsidRPr="00520861">
        <w:rPr>
          <w:rFonts w:eastAsia="Calibri"/>
          <w:sz w:val="28"/>
          <w:szCs w:val="28"/>
          <w:lang w:eastAsia="en-US"/>
        </w:rPr>
        <w:t xml:space="preserve"> обстеженні зверталася увага на звуження зубних рядів верхньої й нижньої щелеп, ураховувалися показники, що оцінюють висоту піднебінного склепіння. При оцінюванні ОПТГ звертали увагу на контур нижнього краю нижньої щелепи, величину нижньощелепного кута та напрямок з’єднання голівки нижньої щелепи з </w:t>
      </w:r>
      <w:proofErr w:type="spellStart"/>
      <w:r w:rsidRPr="00520861">
        <w:rPr>
          <w:rFonts w:eastAsia="Calibri"/>
          <w:sz w:val="28"/>
          <w:szCs w:val="28"/>
          <w:lang w:eastAsia="en-US"/>
        </w:rPr>
        <w:t>мищелком</w:t>
      </w:r>
      <w:proofErr w:type="spellEnd"/>
      <w:r w:rsidRPr="00520861">
        <w:rPr>
          <w:rFonts w:eastAsia="Calibri"/>
          <w:sz w:val="28"/>
          <w:szCs w:val="28"/>
          <w:lang w:eastAsia="en-US"/>
        </w:rPr>
        <w:t xml:space="preserve">. У якості узагальнення </w:t>
      </w:r>
      <w:r w:rsidRPr="00520861">
        <w:rPr>
          <w:rFonts w:eastAsia="Calibri"/>
          <w:sz w:val="28"/>
          <w:szCs w:val="28"/>
          <w:lang w:eastAsia="en-US"/>
        </w:rPr>
        <w:br/>
      </w:r>
      <w:r w:rsidRPr="00520861">
        <w:rPr>
          <w:rFonts w:eastAsia="Calibri"/>
          <w:sz w:val="28"/>
          <w:szCs w:val="28"/>
          <w:lang w:eastAsia="en-US"/>
        </w:rPr>
        <w:lastRenderedPageBreak/>
        <w:t xml:space="preserve">одержаних результатів слід указати, що в осіб, які були віднесені до ОГ, сукупність факторів (а саме вірогідно більший процент вузького обличчя, звуження зубних рядів верхньої й нижньої щелеп та вищі значення показників висоти піднебінного склепіння) відповідає вертикальному типу росту лицевого черепа [147, 330, 504]. </w:t>
      </w:r>
    </w:p>
    <w:p w14:paraId="61935E0E"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Хоча в осіб ОГ виявлений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більший процент аномалій прикусу (зокрема, аномалій ІІ-го класу за </w:t>
      </w:r>
      <w:proofErr w:type="spellStart"/>
      <w:r w:rsidRPr="00520861">
        <w:rPr>
          <w:rFonts w:eastAsia="Calibri"/>
          <w:sz w:val="28"/>
          <w:szCs w:val="28"/>
          <w:lang w:eastAsia="en-US"/>
        </w:rPr>
        <w:t>Енглем</w:t>
      </w:r>
      <w:proofErr w:type="spellEnd"/>
      <w:r w:rsidRPr="00520861">
        <w:rPr>
          <w:rFonts w:eastAsia="Calibri"/>
          <w:sz w:val="28"/>
          <w:szCs w:val="28"/>
          <w:lang w:eastAsia="en-US"/>
        </w:rPr>
        <w:t xml:space="preserve"> у поєднанні з глибоким прикусом, а також аномалій зубних рядів), специфічних аномалій, притаманних тільки </w:t>
      </w:r>
      <w:proofErr w:type="spellStart"/>
      <w:r w:rsidRPr="00520861">
        <w:rPr>
          <w:rFonts w:eastAsia="Calibri"/>
          <w:sz w:val="28"/>
          <w:szCs w:val="28"/>
          <w:lang w:eastAsia="en-US"/>
        </w:rPr>
        <w:t>макросомам</w:t>
      </w:r>
      <w:proofErr w:type="spellEnd"/>
      <w:r w:rsidRPr="00520861">
        <w:rPr>
          <w:rFonts w:eastAsia="Calibri"/>
          <w:sz w:val="28"/>
          <w:szCs w:val="28"/>
          <w:lang w:eastAsia="en-US"/>
        </w:rPr>
        <w:t xml:space="preserve">, нами виявлено не було. Однак проаналізувавши великий фактичний матеріал у віковому аспекті, ми дійшли висновку, що між ОГ та ГП спостерігається як кількісна, так і якісна відмінність. Ми вважаємо, що це може бути викликано особливостями метаболізму кісткової тканини щелеп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Завдяки цьому одні й ті самі фактори, що впливають на ЗЩС як осіб-</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так й осіб-</w:t>
      </w:r>
      <w:proofErr w:type="spellStart"/>
      <w:r w:rsidRPr="00520861">
        <w:rPr>
          <w:rFonts w:eastAsia="Calibri"/>
          <w:sz w:val="28"/>
          <w:szCs w:val="28"/>
          <w:lang w:eastAsia="en-US"/>
        </w:rPr>
        <w:t>нормосомів</w:t>
      </w:r>
      <w:proofErr w:type="spellEnd"/>
      <w:r w:rsidRPr="00520861">
        <w:rPr>
          <w:rFonts w:eastAsia="Calibri"/>
          <w:sz w:val="28"/>
          <w:szCs w:val="28"/>
          <w:lang w:eastAsia="en-US"/>
        </w:rPr>
        <w:t xml:space="preserve">, призводять до вірогідного збільшення поширеності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і формування більш тяжких форм ЗЩА саме в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w:t>
      </w:r>
    </w:p>
    <w:p w14:paraId="6D8C33AC" w14:textId="77777777" w:rsidR="00180D3E" w:rsidRPr="00520861" w:rsidRDefault="00180D3E" w:rsidP="00292D2E">
      <w:pPr>
        <w:widowControl w:val="0"/>
        <w:spacing w:line="360" w:lineRule="auto"/>
        <w:ind w:firstLine="709"/>
        <w:jc w:val="both"/>
        <w:rPr>
          <w:rFonts w:eastAsia="Calibri"/>
          <w:spacing w:val="-2"/>
          <w:sz w:val="28"/>
          <w:szCs w:val="28"/>
          <w:lang w:eastAsia="en-US"/>
        </w:rPr>
      </w:pPr>
      <w:r w:rsidRPr="00520861">
        <w:rPr>
          <w:rFonts w:eastAsia="Calibri"/>
          <w:sz w:val="28"/>
          <w:szCs w:val="28"/>
          <w:lang w:eastAsia="en-US"/>
        </w:rPr>
        <w:t xml:space="preserve">Виявилося, що з віком зменшується кількість вірогідних відмінностей між ОГ та ГП, бо кожен із учасників дослідження має певну генетичну схильність, притаманні тільки йому шкідливі звички, особливості статури та цілий комплекс інших факторів, які важко врахувати при оцінюванні динаміки змін у віковому аспекті. Але навіть у віці 45 – 55 років вірогідні відмінності існують. У той же час відмінності між підгрупами ОГ із віком «нівелюються» і якщо для віку 4 – 6 років та 7 – 11 років нами був зроблений висновок, що найменшу кількість ЗЩА мають особи із ВУ гармонійним розвитком, то за результатами обстеження осіб у період постійного прикусу важко виявити різницю між підгрупами. </w:t>
      </w:r>
      <w:r w:rsidRPr="00520861">
        <w:rPr>
          <w:rFonts w:eastAsia="Calibri"/>
          <w:spacing w:val="-2"/>
          <w:sz w:val="28"/>
          <w:szCs w:val="28"/>
          <w:lang w:eastAsia="en-US"/>
        </w:rPr>
        <w:t xml:space="preserve">На нашу думку, це може пояснюватися виснаженням резервних сил організму осіб, які народилися з </w:t>
      </w:r>
      <w:proofErr w:type="spellStart"/>
      <w:r w:rsidRPr="00520861">
        <w:rPr>
          <w:rFonts w:eastAsia="Calibri"/>
          <w:spacing w:val="-2"/>
          <w:sz w:val="28"/>
          <w:szCs w:val="28"/>
          <w:lang w:eastAsia="en-US"/>
        </w:rPr>
        <w:t>макросомією</w:t>
      </w:r>
      <w:proofErr w:type="spellEnd"/>
      <w:r w:rsidRPr="00520861">
        <w:rPr>
          <w:rFonts w:eastAsia="Calibri"/>
          <w:spacing w:val="-2"/>
          <w:sz w:val="28"/>
          <w:szCs w:val="28"/>
          <w:lang w:eastAsia="en-US"/>
        </w:rPr>
        <w:t>.</w:t>
      </w:r>
    </w:p>
    <w:p w14:paraId="36A73F9A"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Окремо розглянемо порушення СТС, виявлені в осіб підгрупи 4. Вони характеризувалися різноманітністю. У таких осіб спостерігався більший процент аномально прикріплених вуздечок верхньої губи та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більший процент </w:t>
      </w:r>
      <w:proofErr w:type="spellStart"/>
      <w:r w:rsidRPr="00520861">
        <w:rPr>
          <w:rFonts w:eastAsia="Calibri"/>
          <w:sz w:val="28"/>
          <w:szCs w:val="28"/>
          <w:lang w:eastAsia="en-US"/>
        </w:rPr>
        <w:t>анкілоглосій</w:t>
      </w:r>
      <w:proofErr w:type="spellEnd"/>
      <w:r w:rsidRPr="00520861">
        <w:rPr>
          <w:rFonts w:eastAsia="Calibri"/>
          <w:sz w:val="28"/>
          <w:szCs w:val="28"/>
          <w:lang w:eastAsia="en-US"/>
        </w:rPr>
        <w:t xml:space="preserve">, ніж в осіб ГП. Також зафіксований більший, ніж в осіб ГП та інших підгруп ОГ, процент </w:t>
      </w:r>
      <w:proofErr w:type="spellStart"/>
      <w:r w:rsidRPr="00520861">
        <w:rPr>
          <w:rFonts w:eastAsia="Calibri"/>
          <w:sz w:val="28"/>
          <w:szCs w:val="28"/>
          <w:lang w:eastAsia="en-US"/>
        </w:rPr>
        <w:t>ретенованих</w:t>
      </w:r>
      <w:proofErr w:type="spellEnd"/>
      <w:r w:rsidRPr="00520861">
        <w:rPr>
          <w:rFonts w:eastAsia="Calibri"/>
          <w:sz w:val="28"/>
          <w:szCs w:val="28"/>
          <w:lang w:eastAsia="en-US"/>
        </w:rPr>
        <w:t xml:space="preserve"> зубів. </w:t>
      </w:r>
      <w:proofErr w:type="spellStart"/>
      <w:r w:rsidRPr="00520861">
        <w:rPr>
          <w:rFonts w:eastAsia="Calibri"/>
          <w:sz w:val="28"/>
          <w:szCs w:val="28"/>
          <w:lang w:eastAsia="en-US"/>
        </w:rPr>
        <w:t>Ретеновані</w:t>
      </w:r>
      <w:proofErr w:type="spellEnd"/>
      <w:r w:rsidRPr="00520861">
        <w:rPr>
          <w:rFonts w:eastAsia="Calibri"/>
          <w:sz w:val="28"/>
          <w:szCs w:val="28"/>
          <w:lang w:eastAsia="en-US"/>
        </w:rPr>
        <w:t xml:space="preserve"> зуби або зуби із порушеною віссю прорізування виявлено у 8 (5,7% ДІ: 3,0% – 10,0%) осіб ОГ, 5 із яких (9,3% ДІ: 4,2% – </w:t>
      </w:r>
      <w:r w:rsidRPr="00520861">
        <w:rPr>
          <w:rFonts w:eastAsia="Calibri"/>
          <w:sz w:val="28"/>
          <w:szCs w:val="28"/>
          <w:lang w:eastAsia="en-US"/>
        </w:rPr>
        <w:lastRenderedPageBreak/>
        <w:t xml:space="preserve">17,9%) віднесені до підгрупи 4; в осіб із ГП таких зубів виявлено не було (0,0% ДІ: 0,0% – 4,6%). Ураховуючи виявлення нами в таких осіб великої кількості зубів, утрачених унаслідок карієсу та його ускладнень, можна стверджувати, що вищезгадані аномалії пов’язані з ВУ гістогенезом. </w:t>
      </w:r>
    </w:p>
    <w:p w14:paraId="493FC2FF" w14:textId="77777777" w:rsidR="00180D3E" w:rsidRPr="00520861" w:rsidRDefault="00180D3E" w:rsidP="00292D2E">
      <w:pPr>
        <w:widowControl w:val="0"/>
        <w:spacing w:line="360" w:lineRule="auto"/>
        <w:ind w:firstLine="708"/>
        <w:jc w:val="both"/>
        <w:rPr>
          <w:rFonts w:eastAsia="Calibri"/>
          <w:spacing w:val="-2"/>
          <w:sz w:val="28"/>
          <w:szCs w:val="28"/>
          <w:lang w:eastAsia="en-US"/>
        </w:rPr>
      </w:pPr>
      <w:r w:rsidRPr="00520861">
        <w:rPr>
          <w:rFonts w:eastAsia="Calibri"/>
          <w:sz w:val="28"/>
          <w:szCs w:val="28"/>
          <w:lang w:eastAsia="en-US"/>
        </w:rPr>
        <w:t>У результаті вивчення біохімічних показників РР як маркерів особливостей структурно-функціонального стану СГС в осіб ОГ виявлено, що в осіб підгруп 1 і 2 у молодших ВП активність ЛФ РР мала тенденцію до зростання порівняно із ГП, а у віці 18 – 45 років зафіксовано її вірогідне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зростання. Отримані дані узгоджувалися з клінічними проявами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в осіб підгруп 1 і 2</w:t>
      </w:r>
      <w:r w:rsidRPr="00520861">
        <w:rPr>
          <w:rFonts w:eastAsia="Calibri"/>
          <w:spacing w:val="-2"/>
          <w:sz w:val="28"/>
          <w:szCs w:val="28"/>
          <w:lang w:eastAsia="en-US"/>
        </w:rPr>
        <w:t xml:space="preserve">. Підвищена </w:t>
      </w:r>
      <w:proofErr w:type="spellStart"/>
      <w:r w:rsidRPr="00520861">
        <w:rPr>
          <w:rFonts w:eastAsia="Calibri"/>
          <w:spacing w:val="-2"/>
          <w:sz w:val="28"/>
          <w:szCs w:val="28"/>
          <w:lang w:eastAsia="en-US"/>
        </w:rPr>
        <w:t>ак-тивність</w:t>
      </w:r>
      <w:proofErr w:type="spellEnd"/>
      <w:r w:rsidRPr="00520861">
        <w:rPr>
          <w:rFonts w:eastAsia="Calibri"/>
          <w:spacing w:val="-2"/>
          <w:sz w:val="28"/>
          <w:szCs w:val="28"/>
          <w:lang w:eastAsia="en-US"/>
        </w:rPr>
        <w:t xml:space="preserve"> ЛФ свідчить про компенсаторну активність остеобластів, націлених на відновлення </w:t>
      </w:r>
      <w:proofErr w:type="spellStart"/>
      <w:r w:rsidRPr="00520861">
        <w:rPr>
          <w:rFonts w:eastAsia="Calibri"/>
          <w:spacing w:val="-2"/>
          <w:sz w:val="28"/>
          <w:szCs w:val="28"/>
          <w:lang w:eastAsia="en-US"/>
        </w:rPr>
        <w:t>резорбованої</w:t>
      </w:r>
      <w:proofErr w:type="spellEnd"/>
      <w:r w:rsidRPr="00520861">
        <w:rPr>
          <w:rFonts w:eastAsia="Calibri"/>
          <w:spacing w:val="-2"/>
          <w:sz w:val="28"/>
          <w:szCs w:val="28"/>
          <w:lang w:eastAsia="en-US"/>
        </w:rPr>
        <w:t xml:space="preserve"> кісткової тканини [213], та про зростання рівня фосфору в РР. </w:t>
      </w:r>
    </w:p>
    <w:p w14:paraId="2E28987D"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Наявні в науковій літературі дані щодо змін активності ЛФ при різних </w:t>
      </w:r>
      <w:proofErr w:type="spellStart"/>
      <w:r w:rsidRPr="00520861">
        <w:rPr>
          <w:rFonts w:eastAsia="Calibri"/>
          <w:sz w:val="28"/>
          <w:szCs w:val="28"/>
          <w:lang w:eastAsia="en-US"/>
        </w:rPr>
        <w:t>СтП</w:t>
      </w:r>
      <w:proofErr w:type="spellEnd"/>
      <w:r w:rsidRPr="00520861">
        <w:rPr>
          <w:rFonts w:eastAsia="Calibri"/>
          <w:sz w:val="28"/>
          <w:szCs w:val="28"/>
          <w:lang w:eastAsia="en-US"/>
        </w:rPr>
        <w:t xml:space="preserve"> є дуже суперечливими. У деяких дослідженнях було виявлено позитивну кореляцію між наявністю карієсу зубів та зростанням активності ферменту [547], проте в інших джерелах цей показник, навпаки, суттєво знижується [503]. У дослідженнях </w:t>
      </w:r>
      <w:proofErr w:type="spellStart"/>
      <w:r w:rsidRPr="00520861">
        <w:rPr>
          <w:rFonts w:eastAsia="Calibri"/>
          <w:sz w:val="28"/>
          <w:szCs w:val="28"/>
          <w:lang w:eastAsia="en-US"/>
        </w:rPr>
        <w:t>Kumar</w:t>
      </w:r>
      <w:proofErr w:type="spellEnd"/>
      <w:r w:rsidRPr="00520861">
        <w:rPr>
          <w:rFonts w:eastAsia="Calibri"/>
          <w:sz w:val="28"/>
          <w:szCs w:val="28"/>
          <w:lang w:eastAsia="en-US"/>
        </w:rPr>
        <w:t xml:space="preserve"> R. і співавторів [393] та </w:t>
      </w:r>
      <w:proofErr w:type="spellStart"/>
      <w:r w:rsidRPr="00520861">
        <w:rPr>
          <w:rFonts w:eastAsia="Calibri"/>
          <w:sz w:val="28"/>
          <w:szCs w:val="28"/>
          <w:lang w:eastAsia="en-US"/>
        </w:rPr>
        <w:t>Patel</w:t>
      </w:r>
      <w:proofErr w:type="spellEnd"/>
      <w:r w:rsidRPr="00520861">
        <w:rPr>
          <w:rFonts w:eastAsia="Calibri"/>
          <w:sz w:val="28"/>
          <w:szCs w:val="28"/>
          <w:lang w:eastAsia="en-US"/>
        </w:rPr>
        <w:t xml:space="preserve"> R. M. і співавторів [461] було показано, що активність ЛФ є маркером розвитку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та її активність зростає </w:t>
      </w:r>
      <w:proofErr w:type="spellStart"/>
      <w:r w:rsidRPr="00520861">
        <w:rPr>
          <w:rFonts w:eastAsia="Calibri"/>
          <w:sz w:val="28"/>
          <w:szCs w:val="28"/>
          <w:lang w:eastAsia="en-US"/>
        </w:rPr>
        <w:t>пропорційно</w:t>
      </w:r>
      <w:proofErr w:type="spellEnd"/>
      <w:r w:rsidRPr="00520861">
        <w:rPr>
          <w:rFonts w:eastAsia="Calibri"/>
          <w:sz w:val="28"/>
          <w:szCs w:val="28"/>
          <w:lang w:eastAsia="en-US"/>
        </w:rPr>
        <w:t xml:space="preserve"> до </w:t>
      </w:r>
      <w:r w:rsidRPr="00520861">
        <w:rPr>
          <w:rFonts w:eastAsia="Calibri"/>
          <w:sz w:val="28"/>
          <w:szCs w:val="28"/>
          <w:lang w:eastAsia="en-US"/>
        </w:rPr>
        <w:br/>
        <w:t>вираженості запального процесу.</w:t>
      </w:r>
    </w:p>
    <w:p w14:paraId="666EC3CE"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Спірним залишається питання кореляції між активністю ЛФ та </w:t>
      </w:r>
      <w:proofErr w:type="spellStart"/>
      <w:r w:rsidRPr="00520861">
        <w:rPr>
          <w:rFonts w:eastAsia="Calibri"/>
          <w:sz w:val="28"/>
          <w:szCs w:val="28"/>
          <w:lang w:eastAsia="en-US"/>
        </w:rPr>
        <w:t>фосфорно</w:t>
      </w:r>
      <w:proofErr w:type="spellEnd"/>
      <w:r w:rsidRPr="00520861">
        <w:rPr>
          <w:rFonts w:eastAsia="Calibri"/>
          <w:sz w:val="28"/>
          <w:szCs w:val="28"/>
          <w:lang w:eastAsia="en-US"/>
        </w:rPr>
        <w:t xml:space="preserve">-кальцієвим обміном, зокрема, умістом цих іонів у РР. Відповідно до результатів, опублікованих </w:t>
      </w:r>
      <w:proofErr w:type="spellStart"/>
      <w:r w:rsidRPr="00520861">
        <w:rPr>
          <w:rFonts w:eastAsia="Calibri"/>
          <w:sz w:val="28"/>
          <w:szCs w:val="28"/>
          <w:lang w:eastAsia="en-US"/>
        </w:rPr>
        <w:t>Jazaeri</w:t>
      </w:r>
      <w:proofErr w:type="spellEnd"/>
      <w:r w:rsidRPr="00520861">
        <w:rPr>
          <w:rFonts w:eastAsia="Calibri"/>
          <w:sz w:val="28"/>
          <w:szCs w:val="28"/>
          <w:lang w:eastAsia="en-US"/>
        </w:rPr>
        <w:t xml:space="preserve"> M. і співавторами [364], взаємозв’язку між концентрацією </w:t>
      </w:r>
      <w:r w:rsidRPr="00520861">
        <w:rPr>
          <w:rFonts w:eastAsia="Calibri"/>
          <w:sz w:val="28"/>
          <w:szCs w:val="28"/>
          <w:lang w:eastAsia="en-US"/>
        </w:rPr>
        <w:br/>
        <w:t xml:space="preserve">кальцію й фосфору в РР не виявлено. У той же час у дослідженнях [100] було показано, що рівень фосфору в РР знаходиться в прямій залежності від активності </w:t>
      </w:r>
      <w:r w:rsidRPr="00520861">
        <w:rPr>
          <w:rFonts w:eastAsia="Calibri"/>
          <w:sz w:val="28"/>
          <w:szCs w:val="28"/>
          <w:lang w:eastAsia="en-US"/>
        </w:rPr>
        <w:br/>
        <w:t>ферменту, оскільки логічним результатом зниження активності ЛФ є пригнічення відщеплення фосфору, що віддзеркалюється на його рівні в РР.</w:t>
      </w:r>
    </w:p>
    <w:p w14:paraId="425AB238" w14:textId="77777777" w:rsidR="00180D3E" w:rsidRPr="00520861" w:rsidRDefault="00180D3E" w:rsidP="00292D2E">
      <w:pPr>
        <w:widowControl w:val="0"/>
        <w:spacing w:line="360" w:lineRule="auto"/>
        <w:ind w:firstLine="708"/>
        <w:jc w:val="both"/>
        <w:rPr>
          <w:rFonts w:eastAsia="Calibri"/>
          <w:spacing w:val="-2"/>
          <w:sz w:val="28"/>
          <w:szCs w:val="28"/>
          <w:lang w:eastAsia="en-US"/>
        </w:rPr>
      </w:pPr>
      <w:r w:rsidRPr="00520861">
        <w:rPr>
          <w:rFonts w:eastAsia="Calibri"/>
          <w:spacing w:val="-2"/>
          <w:sz w:val="28"/>
          <w:szCs w:val="28"/>
          <w:lang w:eastAsia="en-US"/>
        </w:rPr>
        <w:t xml:space="preserve">В осіб підгруп 1 і 2 віком 18 – 44 роки рівень кальцію збільшувався порівняно із ГП та порівняно з більш молодими ВП, що є очікуваним при руйнуванні тканин </w:t>
      </w:r>
      <w:proofErr w:type="spellStart"/>
      <w:r w:rsidRPr="00520861">
        <w:rPr>
          <w:rFonts w:eastAsia="Calibri"/>
          <w:spacing w:val="-2"/>
          <w:sz w:val="28"/>
          <w:szCs w:val="28"/>
          <w:lang w:eastAsia="en-US"/>
        </w:rPr>
        <w:t>пародонта</w:t>
      </w:r>
      <w:proofErr w:type="spellEnd"/>
      <w:r w:rsidRPr="00520861">
        <w:rPr>
          <w:rFonts w:eastAsia="Calibri"/>
          <w:spacing w:val="-2"/>
          <w:sz w:val="28"/>
          <w:szCs w:val="28"/>
          <w:lang w:eastAsia="en-US"/>
        </w:rPr>
        <w:t xml:space="preserve">. </w:t>
      </w:r>
      <w:r w:rsidRPr="00520861">
        <w:rPr>
          <w:rFonts w:eastAsia="Calibri"/>
          <w:spacing w:val="-4"/>
          <w:sz w:val="28"/>
          <w:szCs w:val="28"/>
          <w:lang w:eastAsia="en-US"/>
        </w:rPr>
        <w:t xml:space="preserve">Імовірно, у пацієнтів молодших ВП відсутність вірогідних змін рівня кальцію </w:t>
      </w:r>
      <w:r w:rsidRPr="00520861">
        <w:rPr>
          <w:rFonts w:eastAsia="Calibri"/>
          <w:spacing w:val="-2"/>
          <w:sz w:val="28"/>
          <w:szCs w:val="28"/>
          <w:lang w:eastAsia="en-US"/>
        </w:rPr>
        <w:t>в РР є наслідком високої концентрації СТГ, який, як відомо, найбільш активно впливає на процеси росту та мінералізації кісткової тканини саме в молодому віці.</w:t>
      </w:r>
    </w:p>
    <w:p w14:paraId="2C73D5E7"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lastRenderedPageBreak/>
        <w:t xml:space="preserve">У той же час нами було виявлено, що в осіб підгрупи 1 і підгрупи 2 спостерігалася велика кількість ЗЩА навіть у віці 4 – 6 років. На нашу думку, це також могло бути обумовленим підвищеною концентрацією СТГ у цих осіб, наслідком чого є інтенсивна стимуляція росту кісткової тканини (відомий ефект </w:t>
      </w:r>
      <w:proofErr w:type="spellStart"/>
      <w:r w:rsidRPr="00520861">
        <w:rPr>
          <w:rFonts w:eastAsia="Calibri"/>
          <w:sz w:val="28"/>
          <w:szCs w:val="28"/>
          <w:lang w:eastAsia="en-US"/>
        </w:rPr>
        <w:t>гормона</w:t>
      </w:r>
      <w:proofErr w:type="spellEnd"/>
      <w:r w:rsidRPr="00520861">
        <w:rPr>
          <w:rFonts w:eastAsia="Calibri"/>
          <w:sz w:val="28"/>
          <w:szCs w:val="28"/>
          <w:lang w:eastAsia="en-US"/>
        </w:rPr>
        <w:t xml:space="preserve"> росту), а також зміщенням у більш молодий вік піку щелепного росту. У дослідженнях </w:t>
      </w:r>
      <w:r w:rsidRPr="00520861">
        <w:rPr>
          <w:rFonts w:eastAsia="Calibri"/>
          <w:sz w:val="28"/>
          <w:szCs w:val="28"/>
          <w:lang w:eastAsia="en-US"/>
        </w:rPr>
        <w:br/>
      </w:r>
      <w:proofErr w:type="spellStart"/>
      <w:r w:rsidRPr="00520861">
        <w:rPr>
          <w:rFonts w:eastAsia="Calibri"/>
          <w:sz w:val="28"/>
          <w:szCs w:val="28"/>
          <w:lang w:eastAsia="en-US"/>
        </w:rPr>
        <w:t>Куроєдової</w:t>
      </w:r>
      <w:proofErr w:type="spellEnd"/>
      <w:r w:rsidRPr="00520861">
        <w:rPr>
          <w:rFonts w:eastAsia="Calibri"/>
          <w:sz w:val="28"/>
          <w:szCs w:val="28"/>
          <w:lang w:eastAsia="en-US"/>
        </w:rPr>
        <w:t> В. Д. [125] доведено, що саме в разі прискореного розвитку (акселерації) зростає кількість ЗЩА в дітей дошкільного й молодшого шкільного віку.</w:t>
      </w:r>
    </w:p>
    <w:p w14:paraId="72E1C44C"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Ще однією причиною, завдяки якій спостерігалася велика кількість ЗЩА в осіб підгрупи 1 і підгрупи 2, є той факт, що ВУ розвиток таких осіб відбувався не тільки в умовах підвищення активності СТГ, але й при підвищеній </w:t>
      </w:r>
      <w:proofErr w:type="spellStart"/>
      <w:r w:rsidRPr="00520861">
        <w:rPr>
          <w:rFonts w:eastAsia="Calibri"/>
          <w:sz w:val="28"/>
          <w:szCs w:val="28"/>
          <w:lang w:eastAsia="en-US"/>
        </w:rPr>
        <w:t>тиреоїдній</w:t>
      </w:r>
      <w:proofErr w:type="spellEnd"/>
      <w:r w:rsidRPr="00520861">
        <w:rPr>
          <w:rFonts w:eastAsia="Calibri"/>
          <w:sz w:val="28"/>
          <w:szCs w:val="28"/>
          <w:lang w:eastAsia="en-US"/>
        </w:rPr>
        <w:t xml:space="preserve"> </w:t>
      </w:r>
      <w:r w:rsidRPr="00520861">
        <w:rPr>
          <w:rFonts w:eastAsia="Calibri"/>
          <w:sz w:val="28"/>
          <w:szCs w:val="28"/>
          <w:lang w:eastAsia="en-US"/>
        </w:rPr>
        <w:br/>
        <w:t xml:space="preserve">активності. Такі процеси при формуванні кісткової тканини, як відомо, діють взаємопов’язано й комбінація їх дії призводить до нових ефектів [583]. </w:t>
      </w:r>
    </w:p>
    <w:p w14:paraId="5A349F74"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Збільшення рівнів кальцію, фосфору та ЛФ, які спостерігаються в осіб підгруп 1 та 2, можуть пояснюватися </w:t>
      </w:r>
      <w:proofErr w:type="spellStart"/>
      <w:r w:rsidRPr="00520861">
        <w:rPr>
          <w:rFonts w:eastAsia="Calibri"/>
          <w:sz w:val="28"/>
          <w:szCs w:val="28"/>
          <w:lang w:eastAsia="en-US"/>
        </w:rPr>
        <w:t>гіперпродукцією</w:t>
      </w:r>
      <w:proofErr w:type="spellEnd"/>
      <w:r w:rsidRPr="00520861">
        <w:rPr>
          <w:rFonts w:eastAsia="Calibri"/>
          <w:sz w:val="28"/>
          <w:szCs w:val="28"/>
          <w:lang w:eastAsia="en-US"/>
        </w:rPr>
        <w:t xml:space="preserve"> гормонів щитоподібної залози. В узагальненому вигляді ця проблема розкрита в роботі Городецької І. В. та співавторів [80]. Дослідження, проведені на лабораторних тваринах, виявили, що для </w:t>
      </w:r>
      <w:r w:rsidRPr="00520861">
        <w:rPr>
          <w:rFonts w:eastAsia="Calibri"/>
          <w:sz w:val="28"/>
          <w:szCs w:val="28"/>
          <w:lang w:eastAsia="en-US"/>
        </w:rPr>
        <w:br/>
        <w:t>гіпертиреозу є характерним зменшення оптичної щільності, у першу чергу, альвеолярних відростків нижніх щелеп [532].</w:t>
      </w:r>
    </w:p>
    <w:p w14:paraId="2FD60B1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Високі, порівняно з ГП, рівні кальцію вже у ВП-ІІІ в осіб із підгрупи 1 та під-групи 2 підтверджують наше припущення про існування ВУ впливу на рівень маркерів кісткового моделювання та, як наслідок, призводять до порушення мінералізації кісткової тканини на ранніх етапах у таких осіб. Одержані дані добре узгоджуються з відомостями про високу поширеність ЗЩА та високу інтенсивність карієсу </w:t>
      </w:r>
      <w:r w:rsidRPr="00520861">
        <w:rPr>
          <w:rFonts w:eastAsia="Calibri"/>
          <w:sz w:val="28"/>
          <w:szCs w:val="28"/>
          <w:lang w:eastAsia="en-US"/>
        </w:rPr>
        <w:br/>
        <w:t xml:space="preserve">тимчасових зубів в осіб цих підгруп. </w:t>
      </w:r>
    </w:p>
    <w:p w14:paraId="41755FE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 осіб із підгруп 3 та 4 було виявлено значне зниження активності ЛФ відносно ГП, яке спостерігалося у всіх ВП, навіть у 4 – 6 років, що може бути пов’язаним із низьким рівнем </w:t>
      </w:r>
      <w:proofErr w:type="spellStart"/>
      <w:r w:rsidRPr="00520861">
        <w:rPr>
          <w:rFonts w:eastAsia="Calibri"/>
          <w:sz w:val="28"/>
          <w:szCs w:val="28"/>
          <w:lang w:eastAsia="en-US"/>
        </w:rPr>
        <w:t>pH</w:t>
      </w:r>
      <w:proofErr w:type="spellEnd"/>
      <w:r w:rsidRPr="00520861">
        <w:rPr>
          <w:rFonts w:eastAsia="Calibri"/>
          <w:sz w:val="28"/>
          <w:szCs w:val="28"/>
          <w:lang w:eastAsia="en-US"/>
        </w:rPr>
        <w:t xml:space="preserve"> РР [77]. Слід відмітити, що в підгрупі 4 зазначені зміни були більш вираженими порівняно із підгрупою 3. Рівень фосфору в РР знижувався </w:t>
      </w:r>
      <w:r w:rsidRPr="00520861">
        <w:rPr>
          <w:rFonts w:eastAsia="Calibri"/>
          <w:sz w:val="28"/>
          <w:szCs w:val="28"/>
          <w:lang w:eastAsia="en-US"/>
        </w:rPr>
        <w:br/>
        <w:t xml:space="preserve">взаємопов’язано із активністю ЛФ на відміну від рівня кальцію, який, навпаки, із віком зростав. Вірогідно (p=0,01183 та p=0,00266 відповідно) знижені рівні кальцію в </w:t>
      </w:r>
      <w:r w:rsidRPr="00520861">
        <w:rPr>
          <w:rFonts w:eastAsia="Calibri"/>
          <w:sz w:val="28"/>
          <w:szCs w:val="28"/>
          <w:lang w:eastAsia="en-US"/>
        </w:rPr>
        <w:lastRenderedPageBreak/>
        <w:t xml:space="preserve">під-групах 3 та 4 у ВП-ІІІ, на нашу думку, були наслідком впливу </w:t>
      </w:r>
      <w:proofErr w:type="spellStart"/>
      <w:r w:rsidRPr="00520861">
        <w:rPr>
          <w:rFonts w:eastAsia="Calibri"/>
          <w:sz w:val="28"/>
          <w:szCs w:val="28"/>
          <w:lang w:eastAsia="en-US"/>
        </w:rPr>
        <w:t>гіпотиреоїдного</w:t>
      </w:r>
      <w:proofErr w:type="spellEnd"/>
      <w:r w:rsidRPr="00520861">
        <w:rPr>
          <w:rFonts w:eastAsia="Calibri"/>
          <w:sz w:val="28"/>
          <w:szCs w:val="28"/>
          <w:lang w:eastAsia="en-US"/>
        </w:rPr>
        <w:t xml:space="preserve"> стану за ВУ розвитку [82, 332] та пояснювали високу інтенсивність карієсу в цих осіб. Отримані відомості про високу інтенсивність карієсу тимчасових зубів при низькому рівні кальцію в РР узгоджуються з даними Любченко О. В. та співавторів [135].</w:t>
      </w:r>
    </w:p>
    <w:p w14:paraId="4EED113C"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Згідно з нашими спостереженнями в осіб підгрупи 3 та підгрупи 4 було виявлено високу поширеність аномалій прикусу, більш виражену в осіб із підгрупи 4. Відомо, що при гіпофункції щитоподібної залози спостерігається зниження рівнів </w:t>
      </w:r>
      <w:r w:rsidRPr="00520861">
        <w:rPr>
          <w:rFonts w:eastAsia="Calibri"/>
          <w:sz w:val="28"/>
          <w:szCs w:val="28"/>
          <w:lang w:eastAsia="en-US"/>
        </w:rPr>
        <w:br/>
        <w:t>кальцію, фосфору та активності ЛФ у сироватці крові [21, 184]. Також фіксується зниження рівнів кальцію та фосфору в РР [5], що узгоджується із відомостями, отриманими нами для молодших вікових періодів, а також підтверджує наше припущення про ВУ «слід» у формуванні ЗЩА внаслідок порушення мінералізації кісткової тканини й твердих тканин зубів.</w:t>
      </w:r>
    </w:p>
    <w:p w14:paraId="77BB0F59"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Згідно з дослідженням Ковач І. В. та співавторів [107] у дітей з гіпотиреозом спостерігається зниження щільності кісткової тканини. В осіб старшого віку при </w:t>
      </w:r>
      <w:r w:rsidRPr="00520861">
        <w:rPr>
          <w:rFonts w:eastAsia="Calibri"/>
          <w:sz w:val="28"/>
          <w:szCs w:val="28"/>
          <w:lang w:eastAsia="en-US"/>
        </w:rPr>
        <w:br/>
        <w:t>гіпотиреозі спостерігається зниження рівня прикріплення ясен та атрофія альвеолярних відростків [256], що збігається з відомостями, отриманими нами стосовно стоматологічного статусу осіб із підгрупи 3 та підгрупи 4 у старші вікові періоди.</w:t>
      </w:r>
    </w:p>
    <w:p w14:paraId="5E48C064"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Недостатність місця для прорізування других молярів унаслідок недорозвинення нижньої щелепи за умови гіпотиреозу описана ще в 1987 році [405]. Для осіб із підгрупи 3 та підгрупи 4 спостерігалася подібна ситуація, проте в учасників нашого дослідження не вистачало місця для прорізування третіх молярів.</w:t>
      </w:r>
    </w:p>
    <w:p w14:paraId="2809AE4C"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При дорослішанні в осіб із підгруп 3 та 4, очевидно, відбувалася перебудова гормонального статусу, а подальше </w:t>
      </w:r>
      <w:proofErr w:type="spellStart"/>
      <w:r w:rsidRPr="00520861">
        <w:rPr>
          <w:rFonts w:eastAsia="Calibri"/>
          <w:sz w:val="28"/>
          <w:szCs w:val="28"/>
          <w:lang w:eastAsia="en-US"/>
        </w:rPr>
        <w:t>ремоделювання</w:t>
      </w:r>
      <w:proofErr w:type="spellEnd"/>
      <w:r w:rsidRPr="00520861">
        <w:rPr>
          <w:rFonts w:eastAsia="Calibri"/>
          <w:sz w:val="28"/>
          <w:szCs w:val="28"/>
          <w:lang w:eastAsia="en-US"/>
        </w:rPr>
        <w:t xml:space="preserve"> кісткової тканини перебігало під впливом </w:t>
      </w:r>
      <w:proofErr w:type="spellStart"/>
      <w:r w:rsidRPr="00520861">
        <w:rPr>
          <w:rFonts w:eastAsia="Calibri"/>
          <w:sz w:val="28"/>
          <w:szCs w:val="28"/>
          <w:lang w:eastAsia="en-US"/>
        </w:rPr>
        <w:t>гіперкортизолемії</w:t>
      </w:r>
      <w:proofErr w:type="spellEnd"/>
      <w:r w:rsidRPr="00520861">
        <w:rPr>
          <w:rFonts w:eastAsia="Calibri"/>
          <w:sz w:val="28"/>
          <w:szCs w:val="28"/>
          <w:lang w:eastAsia="en-US"/>
        </w:rPr>
        <w:t xml:space="preserve">. На користь цього свідчить підвищення рівнів кальцію в РР таких осіб у старших вікових періодах. Відповідно, високий рівень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пригнічував активність ЛФ, що було пов’язано з відомим активуючим впливом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на </w:t>
      </w:r>
      <w:proofErr w:type="spellStart"/>
      <w:r w:rsidRPr="00520861">
        <w:rPr>
          <w:rFonts w:eastAsia="Calibri"/>
          <w:sz w:val="28"/>
          <w:szCs w:val="28"/>
          <w:lang w:eastAsia="en-US"/>
        </w:rPr>
        <w:t>демінералізацію</w:t>
      </w:r>
      <w:proofErr w:type="spellEnd"/>
      <w:r w:rsidRPr="00520861">
        <w:rPr>
          <w:rFonts w:eastAsia="Calibri"/>
          <w:sz w:val="28"/>
          <w:szCs w:val="28"/>
          <w:lang w:eastAsia="en-US"/>
        </w:rPr>
        <w:t xml:space="preserve"> кісткової тканини та стимуляцію її деструкції. </w:t>
      </w:r>
    </w:p>
    <w:p w14:paraId="167057A7"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 осіб підгрупи 3 та підгрупи 4 у віці, старшому за 18 років, також спостерігалося зниження активності ЛФ та рівня P у РР, але була збільшена концентрація кальцію. Останнє пов’язано з наростанням проявів метаболічного запалення в цих осіб </w:t>
      </w:r>
      <w:r w:rsidRPr="00520861">
        <w:rPr>
          <w:rFonts w:eastAsia="Calibri"/>
          <w:sz w:val="28"/>
          <w:szCs w:val="28"/>
          <w:lang w:eastAsia="en-US"/>
        </w:rPr>
        <w:lastRenderedPageBreak/>
        <w:t xml:space="preserve">унаслідок підвищеного рівня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який сприяв </w:t>
      </w:r>
      <w:proofErr w:type="spellStart"/>
      <w:r w:rsidRPr="00520861">
        <w:rPr>
          <w:rFonts w:eastAsia="Calibri"/>
          <w:sz w:val="28"/>
          <w:szCs w:val="28"/>
          <w:lang w:eastAsia="en-US"/>
        </w:rPr>
        <w:t>демінералізації</w:t>
      </w:r>
      <w:proofErr w:type="spellEnd"/>
      <w:r w:rsidRPr="00520861">
        <w:rPr>
          <w:rFonts w:eastAsia="Calibri"/>
          <w:sz w:val="28"/>
          <w:szCs w:val="28"/>
          <w:lang w:eastAsia="en-US"/>
        </w:rPr>
        <w:t xml:space="preserve"> кісткової тканини, адже добре відомо, що супутньою патологією за метаболічного синдрому є остеомаляція [567]. Отримані результати узгоджуються з даними про стоматологічний статус цих осіб, які мають вищу інтенсивність карієсу, ніж особи ГП, та </w:t>
      </w:r>
      <w:r w:rsidRPr="00520861">
        <w:rPr>
          <w:rFonts w:eastAsia="Calibri"/>
          <w:sz w:val="28"/>
          <w:szCs w:val="28"/>
          <w:lang w:eastAsia="en-US"/>
        </w:rPr>
        <w:br/>
        <w:t xml:space="preserve">схильність до порушень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з превалюванням дистрофічного компонента над запальним (пародонтоз за класифікацією Данилевського М. Ф. 1994 р.). </w:t>
      </w:r>
    </w:p>
    <w:p w14:paraId="6EDF646D"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Із досліджень, проведених раніше низкою науковців [154, 207, 583], випливає, що за умов гіпертиреозу спостерігається прискорення моделювання та прискорення резорбції кісткової тканини, а за умов гіпотиреозу швидкість процесів як формування, так і </w:t>
      </w:r>
      <w:proofErr w:type="spellStart"/>
      <w:r w:rsidRPr="00520861">
        <w:rPr>
          <w:rFonts w:eastAsia="Calibri"/>
          <w:sz w:val="28"/>
          <w:szCs w:val="28"/>
          <w:lang w:eastAsia="en-US"/>
        </w:rPr>
        <w:t>ремоделювання</w:t>
      </w:r>
      <w:proofErr w:type="spellEnd"/>
      <w:r w:rsidRPr="00520861">
        <w:rPr>
          <w:rFonts w:eastAsia="Calibri"/>
          <w:sz w:val="28"/>
          <w:szCs w:val="28"/>
          <w:lang w:eastAsia="en-US"/>
        </w:rPr>
        <w:t xml:space="preserve"> кісткової тканини вповільнюється. </w:t>
      </w:r>
    </w:p>
    <w:p w14:paraId="0B1CA3BC" w14:textId="77777777" w:rsidR="00180D3E" w:rsidRPr="00520861" w:rsidRDefault="00180D3E" w:rsidP="00292D2E">
      <w:pPr>
        <w:widowControl w:val="0"/>
        <w:spacing w:line="360" w:lineRule="auto"/>
        <w:ind w:firstLine="708"/>
        <w:jc w:val="both"/>
        <w:rPr>
          <w:rFonts w:eastAsia="Calibri"/>
          <w:spacing w:val="-6"/>
          <w:sz w:val="28"/>
          <w:szCs w:val="28"/>
          <w:lang w:eastAsia="en-US"/>
        </w:rPr>
      </w:pPr>
      <w:r w:rsidRPr="00520861">
        <w:rPr>
          <w:rFonts w:eastAsia="Calibri"/>
          <w:sz w:val="28"/>
          <w:szCs w:val="28"/>
          <w:lang w:eastAsia="en-US"/>
        </w:rPr>
        <w:t xml:space="preserve">Отже, порушення метаболізму та </w:t>
      </w:r>
      <w:proofErr w:type="spellStart"/>
      <w:r w:rsidRPr="00520861">
        <w:rPr>
          <w:rFonts w:eastAsia="Calibri"/>
          <w:sz w:val="28"/>
          <w:szCs w:val="28"/>
          <w:lang w:eastAsia="en-US"/>
        </w:rPr>
        <w:t>ремоделювання</w:t>
      </w:r>
      <w:proofErr w:type="spellEnd"/>
      <w:r w:rsidRPr="00520861">
        <w:rPr>
          <w:rFonts w:eastAsia="Calibri"/>
          <w:sz w:val="28"/>
          <w:szCs w:val="28"/>
          <w:lang w:eastAsia="en-US"/>
        </w:rPr>
        <w:t xml:space="preserve"> кісткової тканини в осіб </w:t>
      </w:r>
      <w:r w:rsidRPr="00520861">
        <w:rPr>
          <w:rFonts w:eastAsia="Calibri"/>
          <w:sz w:val="28"/>
          <w:szCs w:val="28"/>
          <w:lang w:eastAsia="en-US"/>
        </w:rPr>
        <w:br/>
        <w:t xml:space="preserve">підгруп 1 і 2 у старших ВП схилялося у бік посилення резорбції кісткової тканини та проявлялося наявністю хронічного </w:t>
      </w:r>
      <w:proofErr w:type="spellStart"/>
      <w:r w:rsidRPr="00520861">
        <w:rPr>
          <w:rFonts w:eastAsia="Calibri"/>
          <w:sz w:val="28"/>
          <w:szCs w:val="28"/>
          <w:lang w:eastAsia="en-US"/>
        </w:rPr>
        <w:t>генералізованого</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в більшості з них, тоді як в осіб із підгруп 3 і 4 нами зафіксоване вповільнення процесів формування кісткової тканини, що проявляється наявністю в них великої кількості ЗЩА навіть у віці 3 – 6 років. </w:t>
      </w:r>
      <w:r w:rsidRPr="00520861">
        <w:rPr>
          <w:rFonts w:eastAsia="Calibri"/>
          <w:spacing w:val="-6"/>
          <w:sz w:val="28"/>
          <w:szCs w:val="28"/>
          <w:lang w:eastAsia="en-US"/>
        </w:rPr>
        <w:t xml:space="preserve">У старших ВП більшість обстежених осіб у підгруп 3 і 4 мали пародонтоз. За даними науковців [28], у віковій групі 36 – 60 років пародонтоз складає тільки близько 3% від загальної кількості осіб із захворюваннями тканин </w:t>
      </w:r>
      <w:proofErr w:type="spellStart"/>
      <w:r w:rsidRPr="00520861">
        <w:rPr>
          <w:rFonts w:eastAsia="Calibri"/>
          <w:spacing w:val="-6"/>
          <w:sz w:val="28"/>
          <w:szCs w:val="28"/>
          <w:lang w:eastAsia="en-US"/>
        </w:rPr>
        <w:t>пародонта</w:t>
      </w:r>
      <w:proofErr w:type="spellEnd"/>
      <w:r w:rsidRPr="00520861">
        <w:rPr>
          <w:rFonts w:eastAsia="Calibri"/>
          <w:spacing w:val="-6"/>
          <w:sz w:val="28"/>
          <w:szCs w:val="28"/>
          <w:lang w:eastAsia="en-US"/>
        </w:rPr>
        <w:t>.</w:t>
      </w:r>
    </w:p>
    <w:p w14:paraId="64C219C5" w14:textId="77777777" w:rsidR="00180D3E" w:rsidRPr="00520861" w:rsidRDefault="00180D3E" w:rsidP="00292D2E">
      <w:pPr>
        <w:widowControl w:val="0"/>
        <w:spacing w:line="360" w:lineRule="auto"/>
        <w:ind w:firstLine="708"/>
        <w:jc w:val="both"/>
        <w:rPr>
          <w:rFonts w:eastAsia="Calibri"/>
          <w:spacing w:val="-4"/>
          <w:sz w:val="28"/>
          <w:szCs w:val="28"/>
          <w:lang w:eastAsia="en-US"/>
        </w:rPr>
      </w:pPr>
      <w:r w:rsidRPr="00520861">
        <w:rPr>
          <w:rFonts w:eastAsia="Calibri"/>
          <w:spacing w:val="-4"/>
          <w:sz w:val="28"/>
          <w:szCs w:val="28"/>
          <w:lang w:eastAsia="en-US"/>
        </w:rPr>
        <w:t>Вірогідне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pacing w:val="-4"/>
          <w:sz w:val="28"/>
          <w:szCs w:val="28"/>
          <w:lang w:eastAsia="en-US"/>
        </w:rPr>
        <w:t xml:space="preserve">) збільшення рівнів кальцію в РР осіб із підгруп 3 і 4 у старших ВП узгоджується зі змінами при формуванні порушень тканин </w:t>
      </w:r>
      <w:proofErr w:type="spellStart"/>
      <w:r w:rsidRPr="00520861">
        <w:rPr>
          <w:rFonts w:eastAsia="Calibri"/>
          <w:spacing w:val="-4"/>
          <w:sz w:val="28"/>
          <w:szCs w:val="28"/>
          <w:lang w:eastAsia="en-US"/>
        </w:rPr>
        <w:t>пародонта</w:t>
      </w:r>
      <w:proofErr w:type="spellEnd"/>
      <w:r w:rsidRPr="00520861">
        <w:rPr>
          <w:rFonts w:eastAsia="Calibri"/>
          <w:spacing w:val="-4"/>
          <w:sz w:val="28"/>
          <w:szCs w:val="28"/>
          <w:lang w:eastAsia="en-US"/>
        </w:rPr>
        <w:t xml:space="preserve"> з превалюванням дистрофічного компонента над запальним (пародонтоз), описаними в роботах Мельничук Г. М. та співавторів, а також Ярової С. П. та співавторів [140, 218]. </w:t>
      </w:r>
    </w:p>
    <w:p w14:paraId="0563766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Відомо, що одним із наслідків гіпотиреозу є розвиток саме дистрофічних процесів, про що в узагальненому вигляді описано в роботі </w:t>
      </w:r>
      <w:proofErr w:type="spellStart"/>
      <w:r w:rsidRPr="00520861">
        <w:rPr>
          <w:rFonts w:eastAsia="Calibri"/>
          <w:sz w:val="28"/>
          <w:szCs w:val="28"/>
          <w:lang w:eastAsia="en-US"/>
        </w:rPr>
        <w:t>Репецької</w:t>
      </w:r>
      <w:proofErr w:type="spellEnd"/>
      <w:r w:rsidRPr="00520861">
        <w:rPr>
          <w:rFonts w:eastAsia="Calibri"/>
          <w:sz w:val="28"/>
          <w:szCs w:val="28"/>
          <w:lang w:eastAsia="en-US"/>
        </w:rPr>
        <w:t> О. М. [162]. У цій же роботі [162] наведено відомості, що при зниженому рівні гормонів щитоподібної залози фіксується недорозвинення щелепних кісток у сагітальному напрямку. Останнє притаманне особам, віднесеним нами до підгрупи 3 та підгрупи 4, у більшій мірі, ніж іншим учасникам нашого дослідження.</w:t>
      </w:r>
    </w:p>
    <w:p w14:paraId="53C327F6" w14:textId="77777777" w:rsidR="00180D3E" w:rsidRPr="00520861" w:rsidRDefault="00180D3E" w:rsidP="00292D2E">
      <w:pPr>
        <w:widowControl w:val="0"/>
        <w:spacing w:line="360" w:lineRule="auto"/>
        <w:ind w:firstLine="708"/>
        <w:jc w:val="both"/>
        <w:rPr>
          <w:rFonts w:eastAsia="Calibri"/>
          <w:spacing w:val="-6"/>
          <w:sz w:val="28"/>
          <w:szCs w:val="28"/>
          <w:lang w:eastAsia="en-US"/>
        </w:rPr>
      </w:pPr>
      <w:r w:rsidRPr="00520861">
        <w:rPr>
          <w:rFonts w:eastAsia="Calibri"/>
          <w:sz w:val="28"/>
          <w:szCs w:val="28"/>
          <w:lang w:eastAsia="en-US"/>
        </w:rPr>
        <w:t xml:space="preserve">Наше припущення про значний вплив ВУ моделювання на стан СГС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підтверджує той факт, що СТГ посилює зростання щелеп саме у </w:t>
      </w:r>
      <w:r w:rsidRPr="00520861">
        <w:rPr>
          <w:rFonts w:eastAsia="Calibri"/>
          <w:sz w:val="28"/>
          <w:szCs w:val="28"/>
          <w:lang w:eastAsia="en-US"/>
        </w:rPr>
        <w:br/>
      </w:r>
      <w:r w:rsidRPr="00520861">
        <w:rPr>
          <w:rFonts w:eastAsia="Calibri"/>
          <w:sz w:val="28"/>
          <w:szCs w:val="28"/>
          <w:lang w:eastAsia="en-US"/>
        </w:rPr>
        <w:lastRenderedPageBreak/>
        <w:t xml:space="preserve">вертикальному напрямку [307]. Адже в осіб із підгруп 1, 2 та 3, чий ВУ розвиток </w:t>
      </w:r>
      <w:r w:rsidRPr="00520861">
        <w:rPr>
          <w:rFonts w:eastAsia="Calibri"/>
          <w:spacing w:val="-6"/>
          <w:sz w:val="28"/>
          <w:szCs w:val="28"/>
          <w:lang w:eastAsia="en-US"/>
        </w:rPr>
        <w:t>контролювався підвищеним рівнем СТГ, у подальшому зафіксовано ознаки вертикального щелепного росту, а в осіб із підгрупи 4 такий стан спостерігався в меншому ступені.</w:t>
      </w:r>
    </w:p>
    <w:p w14:paraId="00E0E595"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Цікавими, на наш погляд, є відомості про викликане низькою активністю </w:t>
      </w:r>
      <w:r w:rsidRPr="00520861">
        <w:rPr>
          <w:rFonts w:eastAsia="Calibri"/>
          <w:sz w:val="28"/>
          <w:szCs w:val="28"/>
          <w:lang w:eastAsia="en-US"/>
        </w:rPr>
        <w:br/>
      </w:r>
      <w:proofErr w:type="spellStart"/>
      <w:r w:rsidRPr="00520861">
        <w:rPr>
          <w:rFonts w:eastAsia="Calibri"/>
          <w:sz w:val="28"/>
          <w:szCs w:val="28"/>
          <w:lang w:eastAsia="en-US"/>
        </w:rPr>
        <w:t>тиреоїдних</w:t>
      </w:r>
      <w:proofErr w:type="spellEnd"/>
      <w:r w:rsidRPr="00520861">
        <w:rPr>
          <w:rFonts w:eastAsia="Calibri"/>
          <w:sz w:val="28"/>
          <w:szCs w:val="28"/>
          <w:lang w:eastAsia="en-US"/>
        </w:rPr>
        <w:t xml:space="preserve"> гормонів зменшення мінеральної щільності саме кортикальної частини щелеп [286]. Це може пояснити викладені нами вище відомості стосовно зниження щільності кортикальної кісткової структури щелеп та компенсаторне її потовщення, виявлене при аналізі ОПТГ і томографічних досліджень саме в осіб із підгруп 3 і 4.</w:t>
      </w:r>
    </w:p>
    <w:p w14:paraId="4ED4371B"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Отримані нами відомості узгоджуються з даними про вплив </w:t>
      </w:r>
      <w:proofErr w:type="spellStart"/>
      <w:r w:rsidRPr="00520861">
        <w:rPr>
          <w:rFonts w:eastAsia="Calibri"/>
          <w:sz w:val="28"/>
          <w:szCs w:val="28"/>
          <w:lang w:eastAsia="en-US"/>
        </w:rPr>
        <w:t>гіпо</w:t>
      </w:r>
      <w:proofErr w:type="spellEnd"/>
      <w:r w:rsidRPr="00520861">
        <w:rPr>
          <w:rFonts w:eastAsia="Calibri"/>
          <w:sz w:val="28"/>
          <w:szCs w:val="28"/>
          <w:lang w:eastAsia="en-US"/>
        </w:rPr>
        <w:t xml:space="preserve">- чи гіпертиреозу на стан кісткової тканини </w:t>
      </w:r>
      <w:proofErr w:type="spellStart"/>
      <w:r w:rsidRPr="00520861">
        <w:rPr>
          <w:rFonts w:eastAsia="Calibri"/>
          <w:sz w:val="28"/>
          <w:szCs w:val="28"/>
          <w:lang w:eastAsia="en-US"/>
        </w:rPr>
        <w:t>краніо</w:t>
      </w:r>
      <w:proofErr w:type="spellEnd"/>
      <w:r w:rsidRPr="00520861">
        <w:rPr>
          <w:rFonts w:eastAsia="Calibri"/>
          <w:sz w:val="28"/>
          <w:szCs w:val="28"/>
          <w:lang w:eastAsia="en-US"/>
        </w:rPr>
        <w:t>-фаціального комплексу та, на нашу думку, повністю вкладаються в поняття «</w:t>
      </w:r>
      <w:proofErr w:type="spellStart"/>
      <w:r w:rsidRPr="00520861">
        <w:rPr>
          <w:rFonts w:eastAsia="Calibri"/>
          <w:sz w:val="28"/>
          <w:szCs w:val="28"/>
          <w:lang w:eastAsia="en-US"/>
        </w:rPr>
        <w:t>позатиреоїдна</w:t>
      </w:r>
      <w:proofErr w:type="spellEnd"/>
      <w:r w:rsidRPr="00520861">
        <w:rPr>
          <w:rFonts w:eastAsia="Calibri"/>
          <w:sz w:val="28"/>
          <w:szCs w:val="28"/>
          <w:lang w:eastAsia="en-US"/>
        </w:rPr>
        <w:t xml:space="preserve"> патологія» [158], яке розкрите в роботі </w:t>
      </w:r>
      <w:proofErr w:type="spellStart"/>
      <w:r w:rsidRPr="00520861">
        <w:rPr>
          <w:rFonts w:eastAsia="Calibri"/>
          <w:sz w:val="28"/>
          <w:szCs w:val="28"/>
          <w:lang w:eastAsia="en-US"/>
        </w:rPr>
        <w:t>Приступюк</w:t>
      </w:r>
      <w:proofErr w:type="spellEnd"/>
      <w:r w:rsidRPr="00520861">
        <w:rPr>
          <w:rFonts w:eastAsia="Calibri"/>
          <w:sz w:val="28"/>
          <w:szCs w:val="28"/>
          <w:lang w:eastAsia="en-US"/>
        </w:rPr>
        <w:t xml:space="preserve"> О. М. та використовується науковцями для пояснення виникнення </w:t>
      </w:r>
      <w:r w:rsidRPr="00520861">
        <w:rPr>
          <w:rFonts w:eastAsia="Calibri"/>
          <w:sz w:val="28"/>
          <w:szCs w:val="28"/>
          <w:lang w:eastAsia="en-US"/>
        </w:rPr>
        <w:br/>
        <w:t xml:space="preserve">клінічних станів, пов’язаних із тривалою </w:t>
      </w:r>
      <w:proofErr w:type="spellStart"/>
      <w:r w:rsidRPr="00520861">
        <w:rPr>
          <w:rFonts w:eastAsia="Calibri"/>
          <w:sz w:val="28"/>
          <w:szCs w:val="28"/>
          <w:lang w:eastAsia="en-US"/>
        </w:rPr>
        <w:t>гіпер</w:t>
      </w:r>
      <w:proofErr w:type="spellEnd"/>
      <w:r w:rsidRPr="00520861">
        <w:rPr>
          <w:rFonts w:eastAsia="Calibri"/>
          <w:sz w:val="28"/>
          <w:szCs w:val="28"/>
          <w:lang w:eastAsia="en-US"/>
        </w:rPr>
        <w:t xml:space="preserve">- чи </w:t>
      </w:r>
      <w:proofErr w:type="spellStart"/>
      <w:r w:rsidRPr="00520861">
        <w:rPr>
          <w:rFonts w:eastAsia="Calibri"/>
          <w:sz w:val="28"/>
          <w:szCs w:val="28"/>
          <w:lang w:eastAsia="en-US"/>
        </w:rPr>
        <w:t>гіпопродукцією</w:t>
      </w:r>
      <w:proofErr w:type="spellEnd"/>
      <w:r w:rsidRPr="00520861">
        <w:rPr>
          <w:rFonts w:eastAsia="Calibri"/>
          <w:sz w:val="28"/>
          <w:szCs w:val="28"/>
          <w:lang w:eastAsia="en-US"/>
        </w:rPr>
        <w:t xml:space="preserve"> гормонів (</w:t>
      </w:r>
      <w:r w:rsidRPr="00520861">
        <w:rPr>
          <w:rFonts w:eastAsia="Calibri"/>
          <w:color w:val="222222"/>
          <w:sz w:val="28"/>
          <w:szCs w:val="28"/>
          <w:lang w:eastAsia="en-US"/>
        </w:rPr>
        <w:t>субклінічні форми захворювань</w:t>
      </w:r>
      <w:r w:rsidRPr="00520861">
        <w:rPr>
          <w:rFonts w:eastAsia="Calibri"/>
          <w:sz w:val="28"/>
          <w:szCs w:val="28"/>
          <w:lang w:eastAsia="en-US"/>
        </w:rPr>
        <w:t>).</w:t>
      </w:r>
    </w:p>
    <w:p w14:paraId="3E52E692"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Отже, в осіб із підгруп 3 і 4 формування ЗЩА, на нашу думку, було обумовлено </w:t>
      </w:r>
      <w:proofErr w:type="spellStart"/>
      <w:r w:rsidRPr="00520861">
        <w:rPr>
          <w:rFonts w:eastAsia="Calibri"/>
          <w:sz w:val="28"/>
          <w:szCs w:val="28"/>
          <w:lang w:eastAsia="en-US"/>
        </w:rPr>
        <w:t>демінералізацією</w:t>
      </w:r>
      <w:proofErr w:type="spellEnd"/>
      <w:r w:rsidRPr="00520861">
        <w:rPr>
          <w:rFonts w:eastAsia="Calibri"/>
          <w:sz w:val="28"/>
          <w:szCs w:val="28"/>
          <w:lang w:eastAsia="en-US"/>
        </w:rPr>
        <w:t xml:space="preserve"> кісткової тканини за впливу </w:t>
      </w:r>
      <w:proofErr w:type="spellStart"/>
      <w:r w:rsidRPr="00520861">
        <w:rPr>
          <w:rFonts w:eastAsia="Calibri"/>
          <w:sz w:val="28"/>
          <w:szCs w:val="28"/>
          <w:lang w:eastAsia="en-US"/>
        </w:rPr>
        <w:t>гіперкортизолемії</w:t>
      </w:r>
      <w:proofErr w:type="spellEnd"/>
      <w:r w:rsidRPr="00520861">
        <w:rPr>
          <w:rFonts w:eastAsia="Calibri"/>
          <w:sz w:val="28"/>
          <w:szCs w:val="28"/>
          <w:lang w:eastAsia="en-US"/>
        </w:rPr>
        <w:t xml:space="preserve"> та ВУ гіпотиреозу, на відміну від осіб із підгруп 1 і 2, де причиною ЗЩА найімовірніше був підвищений рівень ВУ </w:t>
      </w:r>
      <w:proofErr w:type="spellStart"/>
      <w:r w:rsidRPr="00520861">
        <w:rPr>
          <w:rFonts w:eastAsia="Calibri"/>
          <w:sz w:val="28"/>
          <w:szCs w:val="28"/>
          <w:lang w:eastAsia="en-US"/>
        </w:rPr>
        <w:t>тиреоїдної</w:t>
      </w:r>
      <w:proofErr w:type="spellEnd"/>
      <w:r w:rsidRPr="00520861">
        <w:rPr>
          <w:rFonts w:eastAsia="Calibri"/>
          <w:sz w:val="28"/>
          <w:szCs w:val="28"/>
          <w:lang w:eastAsia="en-US"/>
        </w:rPr>
        <w:t xml:space="preserve"> активності та, можливо, високі рівні СТГ. </w:t>
      </w:r>
    </w:p>
    <w:p w14:paraId="0D64333A" w14:textId="77777777" w:rsidR="00180D3E" w:rsidRPr="00520861" w:rsidRDefault="00180D3E" w:rsidP="00292D2E">
      <w:pPr>
        <w:widowControl w:val="0"/>
        <w:spacing w:line="360" w:lineRule="auto"/>
        <w:ind w:firstLine="709"/>
        <w:jc w:val="both"/>
        <w:rPr>
          <w:rFonts w:eastAsia="Calibri"/>
          <w:bCs/>
          <w:sz w:val="28"/>
          <w:szCs w:val="28"/>
          <w:lang w:eastAsia="en-US"/>
        </w:rPr>
      </w:pPr>
      <w:r w:rsidRPr="00520861">
        <w:rPr>
          <w:rFonts w:eastAsia="Calibri"/>
          <w:sz w:val="28"/>
          <w:szCs w:val="28"/>
          <w:lang w:eastAsia="en-US"/>
        </w:rPr>
        <w:t xml:space="preserve">Проведено аналіз впливу поліморфних варіантів генів </w:t>
      </w:r>
      <w:r w:rsidRPr="00520861">
        <w:rPr>
          <w:rFonts w:eastAsia="Calibri"/>
          <w:i/>
          <w:sz w:val="28"/>
          <w:szCs w:val="28"/>
          <w:lang w:eastAsia="en-US"/>
        </w:rPr>
        <w:t>CYP19A1</w:t>
      </w:r>
      <w:r w:rsidRPr="00520861">
        <w:rPr>
          <w:rFonts w:eastAsia="Calibri"/>
          <w:sz w:val="28"/>
          <w:szCs w:val="28"/>
          <w:lang w:eastAsia="en-US"/>
        </w:rPr>
        <w:t xml:space="preserve"> [rs2414096, rs936306], </w:t>
      </w:r>
      <w:r w:rsidRPr="00520861">
        <w:rPr>
          <w:rFonts w:eastAsia="Calibri"/>
          <w:i/>
          <w:sz w:val="28"/>
          <w:szCs w:val="28"/>
          <w:lang w:eastAsia="en-US"/>
        </w:rPr>
        <w:t>ESR1</w:t>
      </w:r>
      <w:r w:rsidRPr="00520861">
        <w:rPr>
          <w:rFonts w:eastAsia="Calibri"/>
          <w:sz w:val="28"/>
          <w:szCs w:val="28"/>
          <w:lang w:eastAsia="en-US"/>
        </w:rPr>
        <w:t xml:space="preserve"> [rs2234693, rs9340799], </w:t>
      </w:r>
      <w:r w:rsidRPr="00520861">
        <w:rPr>
          <w:rFonts w:eastAsia="Calibri"/>
          <w:bCs/>
          <w:i/>
          <w:sz w:val="28"/>
          <w:szCs w:val="28"/>
          <w:lang w:eastAsia="en-US"/>
        </w:rPr>
        <w:t>IL1</w:t>
      </w:r>
      <w:r w:rsidRPr="00520861">
        <w:rPr>
          <w:rFonts w:eastAsia="Calibri"/>
          <w:bCs/>
          <w:i/>
          <w:sz w:val="28"/>
          <w:szCs w:val="28"/>
          <w:lang w:eastAsia="en-US"/>
        </w:rPr>
        <w:sym w:font="Symbol" w:char="F062"/>
      </w:r>
      <w:r w:rsidRPr="00520861">
        <w:rPr>
          <w:rFonts w:eastAsia="Calibri"/>
          <w:bCs/>
          <w:i/>
          <w:sz w:val="28"/>
          <w:szCs w:val="28"/>
          <w:lang w:eastAsia="en-US"/>
        </w:rPr>
        <w:t xml:space="preserve"> </w:t>
      </w:r>
      <w:r w:rsidRPr="00520861">
        <w:rPr>
          <w:rFonts w:eastAsia="Calibri"/>
          <w:bCs/>
          <w:sz w:val="28"/>
          <w:szCs w:val="28"/>
          <w:lang w:eastAsia="en-US"/>
        </w:rPr>
        <w:t>[</w:t>
      </w:r>
      <w:r w:rsidRPr="00520861">
        <w:rPr>
          <w:rFonts w:eastAsia="Calibri"/>
          <w:sz w:val="28"/>
          <w:szCs w:val="28"/>
          <w:shd w:val="clear" w:color="auto" w:fill="FFFFFF"/>
          <w:lang w:eastAsia="en-US"/>
        </w:rPr>
        <w:t>rs1143627</w:t>
      </w:r>
      <w:r w:rsidRPr="00520861">
        <w:rPr>
          <w:rFonts w:eastAsia="Calibri"/>
          <w:bCs/>
          <w:sz w:val="28"/>
          <w:szCs w:val="28"/>
          <w:lang w:eastAsia="en-US"/>
        </w:rPr>
        <w:t xml:space="preserve">], </w:t>
      </w:r>
      <w:r w:rsidRPr="00520861">
        <w:rPr>
          <w:rFonts w:eastAsia="Calibri"/>
          <w:bCs/>
          <w:i/>
          <w:sz w:val="28"/>
          <w:szCs w:val="28"/>
          <w:lang w:eastAsia="en-US"/>
        </w:rPr>
        <w:t xml:space="preserve">IL6 </w:t>
      </w:r>
      <w:r w:rsidRPr="00520861">
        <w:rPr>
          <w:rFonts w:eastAsia="Calibri"/>
          <w:bCs/>
          <w:sz w:val="28"/>
          <w:szCs w:val="28"/>
          <w:lang w:eastAsia="en-US"/>
        </w:rPr>
        <w:t>[</w:t>
      </w:r>
      <w:r w:rsidRPr="00520861">
        <w:rPr>
          <w:rFonts w:eastAsia="Calibri"/>
          <w:sz w:val="28"/>
          <w:szCs w:val="28"/>
          <w:lang w:eastAsia="en-US"/>
        </w:rPr>
        <w:t>rs1800796]</w:t>
      </w:r>
      <w:r w:rsidRPr="00520861">
        <w:rPr>
          <w:rFonts w:eastAsia="Calibri"/>
          <w:bCs/>
          <w:sz w:val="28"/>
          <w:szCs w:val="28"/>
          <w:lang w:eastAsia="en-US"/>
        </w:rPr>
        <w:t xml:space="preserve">, </w:t>
      </w:r>
      <w:r w:rsidRPr="00520861">
        <w:rPr>
          <w:rFonts w:eastAsia="Calibri"/>
          <w:bCs/>
          <w:i/>
          <w:sz w:val="28"/>
          <w:szCs w:val="28"/>
          <w:lang w:eastAsia="en-US"/>
        </w:rPr>
        <w:t>IL10</w:t>
      </w:r>
      <w:r w:rsidRPr="00520861">
        <w:rPr>
          <w:rFonts w:eastAsia="Calibri"/>
          <w:bCs/>
          <w:sz w:val="28"/>
          <w:szCs w:val="28"/>
          <w:lang w:eastAsia="en-US"/>
        </w:rPr>
        <w:t xml:space="preserve"> [rs1800896] і </w:t>
      </w:r>
      <w:r w:rsidRPr="00520861">
        <w:rPr>
          <w:rFonts w:eastAsia="Calibri"/>
          <w:bCs/>
          <w:i/>
          <w:sz w:val="28"/>
          <w:szCs w:val="28"/>
          <w:lang w:eastAsia="en-US"/>
        </w:rPr>
        <w:t>RANKL</w:t>
      </w:r>
      <w:r w:rsidRPr="00520861">
        <w:rPr>
          <w:rFonts w:eastAsia="Calibri"/>
          <w:bCs/>
          <w:sz w:val="28"/>
          <w:szCs w:val="28"/>
          <w:lang w:eastAsia="en-US"/>
        </w:rPr>
        <w:t xml:space="preserve"> </w:t>
      </w:r>
      <w:r w:rsidRPr="00520861">
        <w:rPr>
          <w:rFonts w:eastAsia="Calibri"/>
          <w:sz w:val="28"/>
          <w:szCs w:val="28"/>
          <w:lang w:eastAsia="en-US"/>
        </w:rPr>
        <w:t>[rs9594738,</w:t>
      </w:r>
      <w:r w:rsidRPr="00520861">
        <w:rPr>
          <w:rFonts w:eastAsia="Calibri"/>
          <w:bCs/>
          <w:sz w:val="28"/>
          <w:szCs w:val="28"/>
          <w:lang w:eastAsia="en-US"/>
        </w:rPr>
        <w:t xml:space="preserve"> </w:t>
      </w:r>
      <w:r w:rsidRPr="00520861">
        <w:rPr>
          <w:rFonts w:eastAsia="Calibri"/>
          <w:sz w:val="28"/>
          <w:szCs w:val="28"/>
          <w:lang w:eastAsia="en-US"/>
        </w:rPr>
        <w:t>rs9594759] на передчасне прорізування й</w:t>
      </w:r>
      <w:r w:rsidRPr="00520861">
        <w:rPr>
          <w:rFonts w:eastAsia="Calibri"/>
          <w:bCs/>
          <w:sz w:val="28"/>
          <w:szCs w:val="28"/>
          <w:lang w:eastAsia="en-US"/>
        </w:rPr>
        <w:t xml:space="preserve"> </w:t>
      </w:r>
      <w:r w:rsidRPr="00520861">
        <w:rPr>
          <w:rFonts w:eastAsia="Calibri"/>
          <w:sz w:val="28"/>
          <w:szCs w:val="28"/>
          <w:lang w:eastAsia="en-US"/>
        </w:rPr>
        <w:t xml:space="preserve">на </w:t>
      </w:r>
      <w:r w:rsidRPr="00520861">
        <w:rPr>
          <w:rFonts w:eastAsia="Calibri"/>
          <w:sz w:val="28"/>
          <w:szCs w:val="28"/>
          <w:lang w:eastAsia="en-US"/>
        </w:rPr>
        <w:br/>
        <w:t>затримку прорізування тимчасових зубів в осіб</w:t>
      </w:r>
      <w:r w:rsidRPr="00520861">
        <w:rPr>
          <w:rFonts w:eastAsia="Calibri"/>
          <w:bCs/>
          <w:sz w:val="28"/>
          <w:szCs w:val="28"/>
          <w:lang w:eastAsia="en-US"/>
        </w:rPr>
        <w:t xml:space="preserve">, що народилися </w:t>
      </w:r>
      <w:proofErr w:type="spellStart"/>
      <w:r w:rsidRPr="00520861">
        <w:rPr>
          <w:rFonts w:eastAsia="Calibri"/>
          <w:bCs/>
          <w:sz w:val="28"/>
          <w:szCs w:val="28"/>
          <w:lang w:eastAsia="en-US"/>
        </w:rPr>
        <w:t>макросомами</w:t>
      </w:r>
      <w:proofErr w:type="spellEnd"/>
      <w:r w:rsidRPr="00520861">
        <w:rPr>
          <w:rFonts w:eastAsia="Calibri"/>
          <w:bCs/>
          <w:sz w:val="28"/>
          <w:szCs w:val="28"/>
          <w:lang w:eastAsia="en-US"/>
        </w:rPr>
        <w:t xml:space="preserve">. </w:t>
      </w:r>
    </w:p>
    <w:p w14:paraId="580DF6C9" w14:textId="77777777" w:rsidR="00180D3E" w:rsidRPr="00520861" w:rsidRDefault="00180D3E" w:rsidP="00292D2E">
      <w:pPr>
        <w:widowControl w:val="0"/>
        <w:spacing w:line="360" w:lineRule="auto"/>
        <w:ind w:firstLine="709"/>
        <w:jc w:val="both"/>
        <w:rPr>
          <w:rFonts w:eastAsia="Calibri"/>
          <w:b/>
          <w:sz w:val="28"/>
          <w:szCs w:val="28"/>
          <w:lang w:eastAsia="en-US"/>
        </w:rPr>
      </w:pPr>
      <w:r w:rsidRPr="00520861">
        <w:rPr>
          <w:rFonts w:eastAsia="Calibri"/>
          <w:sz w:val="28"/>
          <w:szCs w:val="28"/>
          <w:lang w:eastAsia="en-US"/>
        </w:rPr>
        <w:t xml:space="preserve">Наявність алеля G за геном </w:t>
      </w:r>
      <w:r w:rsidRPr="00520861">
        <w:rPr>
          <w:rFonts w:eastAsia="Calibri"/>
          <w:i/>
          <w:sz w:val="28"/>
          <w:szCs w:val="28"/>
          <w:lang w:eastAsia="en-US"/>
        </w:rPr>
        <w:t>CYP19A1</w:t>
      </w:r>
      <w:r w:rsidRPr="00520861">
        <w:rPr>
          <w:rFonts w:eastAsia="Calibri"/>
          <w:sz w:val="28"/>
          <w:szCs w:val="28"/>
          <w:lang w:eastAsia="en-US"/>
        </w:rPr>
        <w:t xml:space="preserve"> [rs2414096] і наявність алеля A за геном </w:t>
      </w:r>
      <w:r w:rsidRPr="00520861">
        <w:rPr>
          <w:rFonts w:eastAsia="Calibri"/>
          <w:i/>
          <w:sz w:val="28"/>
          <w:szCs w:val="28"/>
          <w:lang w:eastAsia="en-US"/>
        </w:rPr>
        <w:t xml:space="preserve">ESR1 </w:t>
      </w:r>
      <w:r w:rsidRPr="00520861">
        <w:rPr>
          <w:rFonts w:eastAsia="Calibri"/>
          <w:sz w:val="28"/>
          <w:szCs w:val="28"/>
          <w:lang w:eastAsia="en-US"/>
        </w:rPr>
        <w:t xml:space="preserve">[rs9340799] є факторами ризику розвитку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w:t>
      </w:r>
    </w:p>
    <w:p w14:paraId="2AC15822"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 осіб ОГ з передчасним прорізуванням виявлено тенденцію до зниження </w:t>
      </w:r>
      <w:r w:rsidRPr="00520861">
        <w:rPr>
          <w:rFonts w:eastAsia="Calibri"/>
          <w:sz w:val="28"/>
          <w:szCs w:val="28"/>
          <w:lang w:eastAsia="en-US"/>
        </w:rPr>
        <w:br/>
        <w:t xml:space="preserve">частоти генотипу АА за геном </w:t>
      </w:r>
      <w:r w:rsidRPr="00520861">
        <w:rPr>
          <w:rFonts w:eastAsia="Calibri"/>
          <w:i/>
          <w:sz w:val="28"/>
          <w:szCs w:val="28"/>
          <w:lang w:eastAsia="en-US"/>
        </w:rPr>
        <w:t>CYP19A1</w:t>
      </w:r>
      <w:r w:rsidRPr="00520861">
        <w:rPr>
          <w:rFonts w:eastAsia="Calibri"/>
          <w:sz w:val="28"/>
          <w:szCs w:val="28"/>
          <w:lang w:eastAsia="en-US"/>
        </w:rPr>
        <w:t xml:space="preserve"> (домінантна модель успадкування) та підвищення частоти гетерозиготного варіанта гена </w:t>
      </w:r>
      <w:r w:rsidRPr="00520861">
        <w:rPr>
          <w:rFonts w:eastAsia="Calibri"/>
          <w:i/>
          <w:sz w:val="28"/>
          <w:szCs w:val="28"/>
          <w:lang w:eastAsia="en-US"/>
        </w:rPr>
        <w:t>RANKL</w:t>
      </w:r>
      <w:r w:rsidRPr="00520861">
        <w:rPr>
          <w:rFonts w:eastAsia="Calibri"/>
          <w:sz w:val="28"/>
          <w:szCs w:val="28"/>
          <w:lang w:eastAsia="en-US"/>
        </w:rPr>
        <w:t xml:space="preserve">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Існує значуща відмінність ризику за геном </w:t>
      </w:r>
      <w:r w:rsidRPr="00520861">
        <w:rPr>
          <w:rFonts w:eastAsia="Calibri"/>
          <w:i/>
          <w:sz w:val="28"/>
          <w:szCs w:val="28"/>
          <w:lang w:eastAsia="en-US"/>
        </w:rPr>
        <w:t>IL10</w:t>
      </w:r>
      <w:r w:rsidRPr="00520861">
        <w:rPr>
          <w:rFonts w:eastAsia="Calibri"/>
          <w:sz w:val="28"/>
          <w:szCs w:val="28"/>
          <w:lang w:eastAsia="en-US"/>
        </w:rPr>
        <w:t xml:space="preserve"> </w:t>
      </w:r>
      <w:r w:rsidRPr="00520861">
        <w:rPr>
          <w:rFonts w:eastAsia="Calibri"/>
          <w:bCs/>
          <w:sz w:val="28"/>
          <w:szCs w:val="28"/>
          <w:lang w:eastAsia="en-US"/>
        </w:rPr>
        <w:t>[rs1800896]</w:t>
      </w:r>
      <w:r w:rsidRPr="00520861">
        <w:rPr>
          <w:rFonts w:eastAsia="Calibri"/>
          <w:sz w:val="28"/>
          <w:szCs w:val="28"/>
          <w:lang w:eastAsia="en-US"/>
        </w:rPr>
        <w:t xml:space="preserve">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а саме зниження частоти гетерозиготного варіанта і підвищення частоти мінорного гомозиготного варіанта. </w:t>
      </w:r>
      <w:proofErr w:type="spellStart"/>
      <w:r w:rsidRPr="00520861">
        <w:rPr>
          <w:rFonts w:eastAsia="Calibri"/>
          <w:sz w:val="28"/>
          <w:szCs w:val="28"/>
          <w:lang w:eastAsia="en-US"/>
        </w:rPr>
        <w:t>Однонуклеотидний</w:t>
      </w:r>
      <w:proofErr w:type="spellEnd"/>
      <w:r w:rsidRPr="00520861">
        <w:rPr>
          <w:rFonts w:eastAsia="Calibri"/>
          <w:sz w:val="28"/>
          <w:szCs w:val="28"/>
          <w:lang w:eastAsia="en-US"/>
        </w:rPr>
        <w:t xml:space="preserve"> поліморфізм у </w:t>
      </w:r>
      <w:r w:rsidRPr="00520861">
        <w:rPr>
          <w:rFonts w:eastAsia="Calibri"/>
          <w:sz w:val="28"/>
          <w:szCs w:val="28"/>
          <w:lang w:eastAsia="en-US"/>
        </w:rPr>
        <w:lastRenderedPageBreak/>
        <w:t xml:space="preserve">гені </w:t>
      </w:r>
      <w:r w:rsidRPr="00520861">
        <w:rPr>
          <w:rFonts w:eastAsia="Calibri"/>
          <w:i/>
          <w:sz w:val="28"/>
          <w:szCs w:val="28"/>
          <w:lang w:eastAsia="en-US"/>
        </w:rPr>
        <w:t>IL10</w:t>
      </w:r>
      <w:r w:rsidRPr="00520861">
        <w:rPr>
          <w:rFonts w:eastAsia="Calibri"/>
          <w:sz w:val="28"/>
          <w:szCs w:val="28"/>
          <w:lang w:eastAsia="en-US"/>
        </w:rPr>
        <w:t xml:space="preserve"> </w:t>
      </w:r>
      <w:r w:rsidRPr="00520861">
        <w:rPr>
          <w:rFonts w:eastAsia="Calibri"/>
          <w:bCs/>
          <w:sz w:val="28"/>
          <w:szCs w:val="28"/>
          <w:lang w:eastAsia="en-US"/>
        </w:rPr>
        <w:t>[rs1800896]</w:t>
      </w:r>
      <w:r w:rsidRPr="00520861">
        <w:rPr>
          <w:rFonts w:eastAsia="Calibri"/>
          <w:sz w:val="28"/>
          <w:szCs w:val="28"/>
          <w:lang w:eastAsia="en-US"/>
        </w:rPr>
        <w:t xml:space="preserve"> може бути використаний у якості маркера при </w:t>
      </w:r>
      <w:r w:rsidRPr="00520861">
        <w:rPr>
          <w:rFonts w:eastAsia="Calibri"/>
          <w:sz w:val="28"/>
          <w:szCs w:val="28"/>
          <w:lang w:eastAsia="en-US"/>
        </w:rPr>
        <w:br/>
        <w:t>виявленні схильності до передчасного прорізування тимчасових зубів.</w:t>
      </w:r>
    </w:p>
    <w:p w14:paraId="565EE565"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 осіб ОГ із затримкою прорізування існує значуща відмінність ризику для гена </w:t>
      </w:r>
      <w:r w:rsidRPr="00520861">
        <w:rPr>
          <w:rFonts w:eastAsia="Calibri"/>
          <w:i/>
          <w:sz w:val="28"/>
          <w:szCs w:val="28"/>
          <w:lang w:eastAsia="en-US"/>
        </w:rPr>
        <w:t>RANKL</w:t>
      </w:r>
      <w:r w:rsidRPr="00520861">
        <w:rPr>
          <w:rFonts w:eastAsia="Calibri"/>
          <w:sz w:val="28"/>
          <w:szCs w:val="28"/>
          <w:lang w:eastAsia="en-US"/>
        </w:rPr>
        <w:t xml:space="preserve"> [rs9594759] (мультиплікативна модель успадкування) щодо затримки </w:t>
      </w:r>
      <w:r w:rsidRPr="00520861">
        <w:rPr>
          <w:rFonts w:eastAsia="Calibri"/>
          <w:sz w:val="28"/>
          <w:szCs w:val="28"/>
          <w:lang w:eastAsia="en-US"/>
        </w:rPr>
        <w:br/>
        <w:t xml:space="preserve">терміну прорізування зубів. У цих осіб виявлено найбільшу частоту поширення генотипу ТТ за геном </w:t>
      </w:r>
      <w:r w:rsidRPr="00520861">
        <w:rPr>
          <w:rFonts w:eastAsia="Calibri"/>
          <w:i/>
          <w:sz w:val="28"/>
          <w:szCs w:val="28"/>
          <w:lang w:eastAsia="en-US"/>
        </w:rPr>
        <w:t>RANKL</w:t>
      </w:r>
      <w:r w:rsidRPr="00520861">
        <w:rPr>
          <w:rFonts w:eastAsia="Calibri"/>
          <w:sz w:val="28"/>
          <w:szCs w:val="28"/>
          <w:lang w:eastAsia="en-US"/>
        </w:rPr>
        <w:t xml:space="preserve"> [rs9594759] порівняно з усіма іншими групами та значуща відмінність від осіб ОГ із передчасним прорізуванням зубів, тобто існує асоціація цього генотипу (рецесивна модель успадкування) із затримкою прорізування зубів. </w:t>
      </w:r>
      <w:proofErr w:type="spellStart"/>
      <w:r w:rsidRPr="00520861">
        <w:rPr>
          <w:rFonts w:eastAsia="Calibri"/>
          <w:sz w:val="28"/>
          <w:szCs w:val="28"/>
          <w:lang w:eastAsia="en-US"/>
        </w:rPr>
        <w:t>Однонуклеотидний</w:t>
      </w:r>
      <w:proofErr w:type="spellEnd"/>
      <w:r w:rsidRPr="00520861">
        <w:rPr>
          <w:rFonts w:eastAsia="Calibri"/>
          <w:sz w:val="28"/>
          <w:szCs w:val="28"/>
          <w:lang w:eastAsia="en-US"/>
        </w:rPr>
        <w:t xml:space="preserve"> поліморфізм </w:t>
      </w:r>
      <w:r w:rsidRPr="00520861">
        <w:rPr>
          <w:rFonts w:eastAsia="Calibri"/>
          <w:i/>
          <w:sz w:val="28"/>
          <w:szCs w:val="28"/>
          <w:lang w:eastAsia="en-US"/>
        </w:rPr>
        <w:t>RANKL</w:t>
      </w:r>
      <w:r w:rsidRPr="00520861">
        <w:rPr>
          <w:rFonts w:eastAsia="Calibri"/>
          <w:sz w:val="28"/>
          <w:szCs w:val="28"/>
          <w:lang w:eastAsia="en-US"/>
        </w:rPr>
        <w:t xml:space="preserve">: C&gt;T [rs9594759] може використовуватися як один із маркерів виявлення схильності до затримки прорізування тимчасових зубів у дітей,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w:t>
      </w:r>
    </w:p>
    <w:p w14:paraId="119333C1"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Слід зазначити, що мінорний алель (С) за геном </w:t>
      </w:r>
      <w:r w:rsidRPr="00520861">
        <w:rPr>
          <w:rFonts w:eastAsia="Calibri"/>
          <w:i/>
          <w:sz w:val="28"/>
          <w:szCs w:val="28"/>
          <w:lang w:eastAsia="en-US"/>
        </w:rPr>
        <w:t>RANKL</w:t>
      </w:r>
      <w:r w:rsidRPr="00520861">
        <w:rPr>
          <w:rFonts w:eastAsia="Calibri"/>
          <w:sz w:val="28"/>
          <w:szCs w:val="28"/>
          <w:lang w:eastAsia="en-US"/>
        </w:rPr>
        <w:t xml:space="preserve"> [rs9594759], на думку низки науковців, може бути пов’язаним зі збільшенням мінеральної щільності кісткової тканини [484]. </w:t>
      </w:r>
      <w:r w:rsidRPr="00520861">
        <w:rPr>
          <w:rFonts w:eastAsia="Calibri"/>
          <w:bCs/>
          <w:sz w:val="28"/>
          <w:szCs w:val="28"/>
          <w:lang w:eastAsia="en-US"/>
        </w:rPr>
        <w:t>У той же час є відомості, що г</w:t>
      </w:r>
      <w:r w:rsidR="00C641A2" w:rsidRPr="00520861">
        <w:rPr>
          <w:rFonts w:eastAsia="Calibri"/>
          <w:bCs/>
          <w:sz w:val="28"/>
          <w:szCs w:val="28"/>
          <w:lang w:eastAsia="en-US"/>
        </w:rPr>
        <w:t>омозиготність по мінорному алеля</w:t>
      </w:r>
      <w:r w:rsidRPr="00520861">
        <w:rPr>
          <w:rFonts w:eastAsia="Calibri"/>
          <w:bCs/>
          <w:sz w:val="28"/>
          <w:szCs w:val="28"/>
          <w:lang w:eastAsia="en-US"/>
        </w:rPr>
        <w:t xml:space="preserve"> </w:t>
      </w:r>
      <w:r w:rsidRPr="00520861">
        <w:rPr>
          <w:rFonts w:eastAsia="Calibri"/>
          <w:i/>
          <w:sz w:val="28"/>
          <w:szCs w:val="28"/>
          <w:lang w:eastAsia="en-US"/>
        </w:rPr>
        <w:t xml:space="preserve">RANKL </w:t>
      </w:r>
      <w:r w:rsidRPr="00520861">
        <w:rPr>
          <w:rFonts w:eastAsia="Calibri"/>
          <w:sz w:val="28"/>
          <w:szCs w:val="28"/>
          <w:lang w:eastAsia="en-US"/>
        </w:rPr>
        <w:t xml:space="preserve">[rs9594759] </w:t>
      </w:r>
      <w:r w:rsidRPr="00520861">
        <w:rPr>
          <w:rFonts w:eastAsia="Calibri"/>
          <w:bCs/>
          <w:sz w:val="28"/>
          <w:szCs w:val="28"/>
          <w:lang w:eastAsia="en-US"/>
        </w:rPr>
        <w:t>також може бути пов’язана із низькою щільністю кортикального шару кісткової тканини. Пояснюється це порушеною функцією м’язів та їх нездатністю перерозподіляти значний ступінь напруження на кісткову тканину при навантаженні [</w:t>
      </w:r>
      <w:r w:rsidRPr="00520861">
        <w:rPr>
          <w:rFonts w:eastAsia="Calibri"/>
          <w:sz w:val="28"/>
          <w:szCs w:val="28"/>
          <w:lang w:eastAsia="en-US"/>
        </w:rPr>
        <w:t>549</w:t>
      </w:r>
      <w:r w:rsidRPr="00520861">
        <w:rPr>
          <w:rFonts w:eastAsia="Calibri"/>
          <w:bCs/>
          <w:sz w:val="28"/>
          <w:szCs w:val="28"/>
          <w:lang w:eastAsia="en-US"/>
        </w:rPr>
        <w:t xml:space="preserve">]. </w:t>
      </w:r>
      <w:r w:rsidRPr="00520861">
        <w:rPr>
          <w:rFonts w:eastAsia="Calibri"/>
          <w:sz w:val="28"/>
          <w:szCs w:val="28"/>
          <w:lang w:eastAsia="en-US"/>
        </w:rPr>
        <w:t xml:space="preserve">У нашому дослідженні при аналізі відхилень від середніх регіональних термінів прорізування тимчасових зубів виявилося, що </w:t>
      </w:r>
      <w:r w:rsidRPr="00520861">
        <w:rPr>
          <w:rFonts w:eastAsia="Calibri"/>
          <w:i/>
          <w:sz w:val="28"/>
          <w:szCs w:val="28"/>
          <w:lang w:eastAsia="en-US"/>
        </w:rPr>
        <w:t>RANKL</w:t>
      </w:r>
      <w:r w:rsidRPr="00520861">
        <w:rPr>
          <w:rFonts w:eastAsia="Calibri"/>
          <w:sz w:val="28"/>
          <w:szCs w:val="28"/>
          <w:lang w:eastAsia="en-US"/>
        </w:rPr>
        <w:t xml:space="preserve"> «працює»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у двох напрямках у залежності від генотипу.</w:t>
      </w:r>
    </w:p>
    <w:p w14:paraId="57352158"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дослідженнях на щурах [404] було виявлено, що протизапальний цитокін </w:t>
      </w:r>
      <w:r w:rsidRPr="00520861">
        <w:rPr>
          <w:rFonts w:eastAsia="Calibri"/>
          <w:i/>
          <w:sz w:val="28"/>
          <w:szCs w:val="28"/>
          <w:lang w:eastAsia="en-US"/>
        </w:rPr>
        <w:t xml:space="preserve">IL10 </w:t>
      </w:r>
      <w:r w:rsidRPr="00520861">
        <w:rPr>
          <w:rFonts w:eastAsia="Calibri"/>
          <w:sz w:val="28"/>
          <w:szCs w:val="28"/>
          <w:lang w:eastAsia="en-US"/>
        </w:rPr>
        <w:t xml:space="preserve">упливає на процеси прорізування зубів. Шляхом підвищення експресії </w:t>
      </w:r>
      <w:proofErr w:type="spellStart"/>
      <w:r w:rsidRPr="00520861">
        <w:rPr>
          <w:rFonts w:eastAsia="Calibri"/>
          <w:sz w:val="28"/>
          <w:szCs w:val="28"/>
          <w:lang w:eastAsia="en-US"/>
        </w:rPr>
        <w:t>остеопротегерину</w:t>
      </w:r>
      <w:proofErr w:type="spellEnd"/>
      <w:r w:rsidRPr="00520861">
        <w:rPr>
          <w:rFonts w:eastAsia="Calibri"/>
          <w:sz w:val="28"/>
          <w:szCs w:val="28"/>
          <w:lang w:eastAsia="en-US"/>
        </w:rPr>
        <w:t xml:space="preserve"> він інгібує резорбцію альвеолярного відростка, яка є необхідною умовою процесу прорізування зубів. У той же час </w:t>
      </w:r>
      <w:r w:rsidRPr="00520861">
        <w:rPr>
          <w:rFonts w:eastAsia="Calibri"/>
          <w:i/>
          <w:sz w:val="28"/>
          <w:szCs w:val="28"/>
          <w:lang w:eastAsia="en-US"/>
        </w:rPr>
        <w:t xml:space="preserve">IL10 </w:t>
      </w:r>
      <w:r w:rsidRPr="00520861">
        <w:rPr>
          <w:rFonts w:eastAsia="Calibri"/>
          <w:sz w:val="28"/>
          <w:szCs w:val="28"/>
          <w:lang w:eastAsia="en-US"/>
        </w:rPr>
        <w:t xml:space="preserve">знижує експресію </w:t>
      </w:r>
      <w:r w:rsidRPr="00520861">
        <w:rPr>
          <w:rFonts w:eastAsia="Calibri"/>
          <w:i/>
          <w:sz w:val="28"/>
          <w:szCs w:val="28"/>
          <w:lang w:eastAsia="en-US"/>
        </w:rPr>
        <w:t>RANKL</w:t>
      </w:r>
      <w:r w:rsidRPr="00520861">
        <w:rPr>
          <w:rFonts w:eastAsia="Calibri"/>
          <w:sz w:val="28"/>
          <w:szCs w:val="28"/>
          <w:lang w:eastAsia="en-US"/>
        </w:rPr>
        <w:t xml:space="preserve"> та </w:t>
      </w:r>
      <w:r w:rsidRPr="00520861">
        <w:rPr>
          <w:rFonts w:eastAsia="Calibri"/>
          <w:sz w:val="28"/>
          <w:szCs w:val="28"/>
          <w:lang w:eastAsia="en-US"/>
        </w:rPr>
        <w:br/>
      </w:r>
      <w:proofErr w:type="spellStart"/>
      <w:r w:rsidRPr="00520861">
        <w:rPr>
          <w:rFonts w:eastAsia="Calibri"/>
          <w:sz w:val="28"/>
          <w:szCs w:val="28"/>
          <w:lang w:eastAsia="en-US"/>
        </w:rPr>
        <w:t>колонстимулюючого</w:t>
      </w:r>
      <w:proofErr w:type="spellEnd"/>
      <w:r w:rsidRPr="00520861">
        <w:rPr>
          <w:rFonts w:eastAsia="Calibri"/>
          <w:sz w:val="28"/>
          <w:szCs w:val="28"/>
          <w:lang w:eastAsia="en-US"/>
        </w:rPr>
        <w:t xml:space="preserve"> фактора-1.</w:t>
      </w:r>
    </w:p>
    <w:p w14:paraId="2C4D0995"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Знайшли підтвердження викладені вище відомості, що наявність алеля G за геном </w:t>
      </w:r>
      <w:r w:rsidRPr="00520861">
        <w:rPr>
          <w:rFonts w:eastAsia="Calibri"/>
          <w:i/>
          <w:sz w:val="28"/>
          <w:szCs w:val="28"/>
          <w:lang w:eastAsia="en-US"/>
        </w:rPr>
        <w:t>CYP19A1</w:t>
      </w:r>
      <w:r w:rsidRPr="00520861">
        <w:rPr>
          <w:rFonts w:eastAsia="Calibri"/>
          <w:sz w:val="28"/>
          <w:szCs w:val="28"/>
          <w:lang w:eastAsia="en-US"/>
        </w:rPr>
        <w:t xml:space="preserve"> є фактором ризику розвитку </w:t>
      </w:r>
      <w:proofErr w:type="spellStart"/>
      <w:r w:rsidRPr="00520861">
        <w:rPr>
          <w:rFonts w:eastAsia="Calibri"/>
          <w:sz w:val="28"/>
          <w:szCs w:val="28"/>
          <w:lang w:eastAsia="en-US"/>
        </w:rPr>
        <w:t>макросомії</w:t>
      </w:r>
      <w:proofErr w:type="spellEnd"/>
      <w:r w:rsidRPr="00520861">
        <w:rPr>
          <w:rFonts w:eastAsia="Calibri"/>
          <w:sz w:val="28"/>
          <w:szCs w:val="28"/>
          <w:lang w:eastAsia="en-US"/>
        </w:rPr>
        <w:t xml:space="preserve"> плода, але тепер серед осіб зі збереженим у межах норми станом СГС.</w:t>
      </w:r>
    </w:p>
    <w:p w14:paraId="22756017"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виявлено залежність стану СГС від варіантів генів </w:t>
      </w:r>
      <w:r w:rsidRPr="00520861">
        <w:rPr>
          <w:rFonts w:eastAsia="Calibri"/>
          <w:i/>
          <w:sz w:val="28"/>
          <w:szCs w:val="28"/>
          <w:lang w:eastAsia="en-US"/>
        </w:rPr>
        <w:t>CYP19A1: A&gt;G</w:t>
      </w:r>
      <w:r w:rsidRPr="00520861">
        <w:rPr>
          <w:rFonts w:eastAsia="Calibri"/>
          <w:sz w:val="28"/>
          <w:szCs w:val="28"/>
          <w:lang w:eastAsia="en-US"/>
        </w:rPr>
        <w:t xml:space="preserve"> [rs2414096], </w:t>
      </w:r>
      <w:r w:rsidRPr="00520861">
        <w:rPr>
          <w:rFonts w:eastAsia="Calibri"/>
          <w:i/>
          <w:sz w:val="28"/>
          <w:szCs w:val="28"/>
          <w:lang w:eastAsia="en-US"/>
        </w:rPr>
        <w:t>ESR1: -397 T&gt;C</w:t>
      </w:r>
      <w:r w:rsidRPr="00520861">
        <w:rPr>
          <w:rFonts w:eastAsia="Calibri"/>
          <w:sz w:val="28"/>
          <w:szCs w:val="28"/>
          <w:lang w:eastAsia="en-US"/>
        </w:rPr>
        <w:t xml:space="preserve"> [</w:t>
      </w:r>
      <w:proofErr w:type="spellStart"/>
      <w:r w:rsidRPr="00520861">
        <w:rPr>
          <w:rFonts w:eastAsia="Calibri"/>
          <w:sz w:val="28"/>
          <w:szCs w:val="28"/>
          <w:lang w:eastAsia="en-US"/>
        </w:rPr>
        <w:t>PvuII</w:t>
      </w:r>
      <w:proofErr w:type="spellEnd"/>
      <w:r w:rsidRPr="00520861">
        <w:rPr>
          <w:rFonts w:eastAsia="Calibri"/>
          <w:sz w:val="28"/>
          <w:szCs w:val="28"/>
          <w:lang w:eastAsia="en-US"/>
        </w:rPr>
        <w:t xml:space="preserve">] </w:t>
      </w:r>
      <w:r w:rsidRPr="00520861">
        <w:rPr>
          <w:rFonts w:eastAsia="Calibri"/>
          <w:bCs/>
          <w:sz w:val="28"/>
          <w:szCs w:val="28"/>
          <w:lang w:eastAsia="en-US"/>
        </w:rPr>
        <w:t xml:space="preserve">і </w:t>
      </w:r>
      <w:r w:rsidRPr="00520861">
        <w:rPr>
          <w:rFonts w:eastAsia="Calibri"/>
          <w:i/>
          <w:sz w:val="28"/>
          <w:szCs w:val="28"/>
          <w:lang w:eastAsia="en-US"/>
        </w:rPr>
        <w:t>IL10: -1082 G&gt;A</w:t>
      </w:r>
      <w:r w:rsidRPr="00520861">
        <w:rPr>
          <w:rFonts w:eastAsia="Calibri"/>
          <w:sz w:val="28"/>
          <w:szCs w:val="28"/>
          <w:lang w:eastAsia="en-US"/>
        </w:rPr>
        <w:t xml:space="preserve"> </w:t>
      </w:r>
      <w:r w:rsidRPr="00520861">
        <w:rPr>
          <w:rFonts w:eastAsia="Calibri"/>
          <w:sz w:val="28"/>
          <w:szCs w:val="28"/>
          <w:lang w:eastAsia="en-US"/>
        </w:rPr>
        <w:lastRenderedPageBreak/>
        <w:t xml:space="preserve">[rs1800896]. Помірні порушення прикусу (значення DAI 26 – 30 балів) в обстежених осіб ОГ були асоційовані з варіантами генів </w:t>
      </w:r>
      <w:r w:rsidRPr="00520861">
        <w:rPr>
          <w:rFonts w:eastAsia="Calibri"/>
          <w:i/>
          <w:sz w:val="28"/>
          <w:szCs w:val="28"/>
          <w:lang w:eastAsia="en-US"/>
        </w:rPr>
        <w:t>ESR1</w:t>
      </w:r>
      <w:r w:rsidRPr="00520861">
        <w:rPr>
          <w:rFonts w:eastAsia="Calibri"/>
          <w:sz w:val="28"/>
          <w:szCs w:val="28"/>
          <w:lang w:eastAsia="en-US"/>
        </w:rPr>
        <w:t xml:space="preserve"> [rs2234693]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w:t>
      </w:r>
      <w:r w:rsidRPr="00520861">
        <w:rPr>
          <w:rFonts w:eastAsia="Calibri"/>
          <w:i/>
          <w:sz w:val="28"/>
          <w:szCs w:val="28"/>
          <w:lang w:eastAsia="en-US"/>
        </w:rPr>
        <w:t>CYP19A1</w:t>
      </w:r>
      <w:r w:rsidRPr="00520861">
        <w:rPr>
          <w:rFonts w:eastAsia="Calibri"/>
          <w:sz w:val="28"/>
          <w:szCs w:val="28"/>
          <w:lang w:eastAsia="en-US"/>
        </w:rPr>
        <w:t xml:space="preserve"> [rs2414096] (адитивна, домінантна і мультиплікативна моделі успадкування) та </w:t>
      </w:r>
      <w:r w:rsidRPr="00520861">
        <w:rPr>
          <w:rFonts w:eastAsia="Calibri"/>
          <w:i/>
          <w:sz w:val="28"/>
          <w:szCs w:val="28"/>
          <w:lang w:eastAsia="en-US"/>
        </w:rPr>
        <w:t>IL10</w:t>
      </w:r>
      <w:r w:rsidRPr="00520861">
        <w:rPr>
          <w:rFonts w:eastAsia="Calibri"/>
          <w:sz w:val="28"/>
          <w:szCs w:val="28"/>
          <w:lang w:eastAsia="en-US"/>
        </w:rPr>
        <w:t xml:space="preserve"> [rs1800896]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Поліморфізм гена </w:t>
      </w:r>
      <w:r w:rsidRPr="00520861">
        <w:rPr>
          <w:rFonts w:eastAsia="Calibri"/>
          <w:i/>
          <w:sz w:val="28"/>
          <w:szCs w:val="28"/>
          <w:lang w:eastAsia="en-US"/>
        </w:rPr>
        <w:t>IL10</w:t>
      </w:r>
      <w:r w:rsidRPr="00520861">
        <w:rPr>
          <w:rFonts w:eastAsia="Calibri"/>
          <w:sz w:val="28"/>
          <w:szCs w:val="28"/>
          <w:lang w:eastAsia="en-US"/>
        </w:rPr>
        <w:t xml:space="preserve"> [rs1800896] був значуще пов’язаний як з розвитком помірних, так і значних порушень прикусу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w:t>
      </w:r>
    </w:p>
    <w:p w14:paraId="0BF4065C" w14:textId="77777777" w:rsidR="00180D3E" w:rsidRPr="00520861" w:rsidRDefault="00180D3E" w:rsidP="00292D2E">
      <w:pPr>
        <w:widowControl w:val="0"/>
        <w:shd w:val="clear" w:color="auto" w:fill="FFFFFF"/>
        <w:spacing w:line="360" w:lineRule="auto"/>
        <w:ind w:firstLine="709"/>
        <w:jc w:val="both"/>
        <w:rPr>
          <w:rFonts w:eastAsia="Calibri"/>
          <w:sz w:val="28"/>
          <w:szCs w:val="28"/>
          <w:lang w:eastAsia="en-US"/>
        </w:rPr>
      </w:pPr>
      <w:r w:rsidRPr="00520861">
        <w:rPr>
          <w:rFonts w:eastAsia="Calibri"/>
          <w:sz w:val="28"/>
          <w:szCs w:val="28"/>
          <w:lang w:eastAsia="en-US"/>
        </w:rPr>
        <w:t xml:space="preserve">Протекція від значних порушень прикусу (значення DAI 31 – 35 балів) асоційована із варіантом гена </w:t>
      </w:r>
      <w:r w:rsidRPr="00520861">
        <w:rPr>
          <w:rFonts w:eastAsia="Calibri"/>
          <w:i/>
          <w:sz w:val="28"/>
          <w:szCs w:val="28"/>
          <w:lang w:eastAsia="en-US"/>
        </w:rPr>
        <w:t>IL10</w:t>
      </w:r>
      <w:r w:rsidRPr="00520861">
        <w:rPr>
          <w:rFonts w:eastAsia="Calibri"/>
          <w:sz w:val="28"/>
          <w:szCs w:val="28"/>
          <w:lang w:eastAsia="en-US"/>
        </w:rPr>
        <w:t xml:space="preserve"> [rs1800896]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модель успадкування). </w:t>
      </w:r>
      <w:r w:rsidRPr="00520861">
        <w:rPr>
          <w:rFonts w:eastAsia="Calibri"/>
          <w:spacing w:val="-2"/>
          <w:sz w:val="28"/>
          <w:szCs w:val="28"/>
          <w:lang w:eastAsia="en-US"/>
        </w:rPr>
        <w:t xml:space="preserve">За наявності гетерозиготного генотипу GA ризик розвитку ЗЩА зменшувався у 6,7 </w:t>
      </w:r>
      <w:proofErr w:type="spellStart"/>
      <w:r w:rsidRPr="00520861">
        <w:rPr>
          <w:rFonts w:eastAsia="Calibri"/>
          <w:spacing w:val="-2"/>
          <w:sz w:val="28"/>
          <w:szCs w:val="28"/>
          <w:lang w:eastAsia="en-US"/>
        </w:rPr>
        <w:t>раза</w:t>
      </w:r>
      <w:proofErr w:type="spellEnd"/>
      <w:r w:rsidRPr="00520861">
        <w:rPr>
          <w:rFonts w:eastAsia="Calibri"/>
          <w:sz w:val="28"/>
          <w:szCs w:val="28"/>
          <w:lang w:eastAsia="en-US"/>
        </w:rPr>
        <w:t>.</w:t>
      </w:r>
    </w:p>
    <w:p w14:paraId="2BA4AD26"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Існують відомості, що ген </w:t>
      </w:r>
      <w:r w:rsidRPr="00520861">
        <w:rPr>
          <w:rFonts w:eastAsia="Calibri"/>
          <w:i/>
          <w:sz w:val="28"/>
          <w:szCs w:val="28"/>
          <w:lang w:eastAsia="en-US"/>
        </w:rPr>
        <w:t>ESR1</w:t>
      </w:r>
      <w:r w:rsidRPr="00520861">
        <w:rPr>
          <w:rFonts w:eastAsia="Calibri"/>
          <w:sz w:val="28"/>
          <w:szCs w:val="28"/>
          <w:lang w:eastAsia="en-US"/>
        </w:rPr>
        <w:t xml:space="preserve"> залучений до формування аномалій прикусу в вертикальному й сагітальному напрямку [444], і це є підтвердженням адекватності отриманих нами результатів. Нами виявлено, що частота гетерозиготного варіанта гена </w:t>
      </w:r>
      <w:r w:rsidRPr="00520861">
        <w:rPr>
          <w:rFonts w:eastAsia="Calibri"/>
          <w:i/>
          <w:sz w:val="28"/>
          <w:szCs w:val="28"/>
          <w:lang w:eastAsia="en-US"/>
        </w:rPr>
        <w:t>ESR1: -397 T&gt;C (</w:t>
      </w:r>
      <w:proofErr w:type="spellStart"/>
      <w:r w:rsidRPr="00520861">
        <w:rPr>
          <w:rFonts w:eastAsia="Calibri"/>
          <w:i/>
          <w:sz w:val="28"/>
          <w:szCs w:val="28"/>
          <w:lang w:eastAsia="en-US"/>
        </w:rPr>
        <w:t>PvuII</w:t>
      </w:r>
      <w:proofErr w:type="spellEnd"/>
      <w:r w:rsidRPr="00520861">
        <w:rPr>
          <w:rFonts w:eastAsia="Calibri"/>
          <w:i/>
          <w:sz w:val="28"/>
          <w:szCs w:val="28"/>
          <w:lang w:eastAsia="en-US"/>
        </w:rPr>
        <w:t>)</w:t>
      </w:r>
      <w:r w:rsidRPr="00520861">
        <w:rPr>
          <w:rFonts w:eastAsia="Calibri"/>
          <w:sz w:val="28"/>
          <w:szCs w:val="28"/>
          <w:lang w:eastAsia="en-US"/>
        </w:rPr>
        <w:t xml:space="preserve"> [rs2234693] у групі ГПП у півтора </w:t>
      </w:r>
      <w:proofErr w:type="spellStart"/>
      <w:r w:rsidRPr="00520861">
        <w:rPr>
          <w:rFonts w:eastAsia="Calibri"/>
          <w:sz w:val="28"/>
          <w:szCs w:val="28"/>
          <w:lang w:eastAsia="en-US"/>
        </w:rPr>
        <w:t>раза</w:t>
      </w:r>
      <w:proofErr w:type="spellEnd"/>
      <w:r w:rsidRPr="00520861">
        <w:rPr>
          <w:rFonts w:eastAsia="Calibri"/>
          <w:sz w:val="28"/>
          <w:szCs w:val="28"/>
          <w:lang w:eastAsia="en-US"/>
        </w:rPr>
        <w:t xml:space="preserve"> менша, ніж у групах ГП І та ГП ІІ. І навпаки, в осіб із </w:t>
      </w:r>
      <w:proofErr w:type="spellStart"/>
      <w:r w:rsidRPr="00520861">
        <w:rPr>
          <w:rFonts w:eastAsia="Calibri"/>
          <w:sz w:val="28"/>
          <w:szCs w:val="28"/>
          <w:lang w:eastAsia="en-US"/>
        </w:rPr>
        <w:t>зубощелепними</w:t>
      </w:r>
      <w:proofErr w:type="spellEnd"/>
      <w:r w:rsidRPr="00520861">
        <w:rPr>
          <w:rFonts w:eastAsia="Calibri"/>
          <w:sz w:val="28"/>
          <w:szCs w:val="28"/>
          <w:lang w:eastAsia="en-US"/>
        </w:rPr>
        <w:t xml:space="preserve"> порушеннями спостерігається тенденція до збільшення частоти розповсюдження генотипу ТТ. </w:t>
      </w:r>
    </w:p>
    <w:p w14:paraId="67934758"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Відомо, що гомозиготний варіант СС цього гена пов’язаний з підвищеною мінеральною щільністю кісткової тканини в пізньому пубертатному періоді [.539]. Дані про те, що генотип СС гена </w:t>
      </w:r>
      <w:r w:rsidRPr="00520861">
        <w:rPr>
          <w:rFonts w:eastAsia="Calibri"/>
          <w:i/>
          <w:sz w:val="28"/>
          <w:szCs w:val="28"/>
          <w:lang w:eastAsia="en-US"/>
        </w:rPr>
        <w:t>ESR1 (</w:t>
      </w:r>
      <w:proofErr w:type="spellStart"/>
      <w:r w:rsidRPr="00520861">
        <w:rPr>
          <w:rFonts w:eastAsia="Calibri"/>
          <w:i/>
          <w:sz w:val="28"/>
          <w:szCs w:val="28"/>
          <w:lang w:eastAsia="en-US"/>
        </w:rPr>
        <w:t>PvuII</w:t>
      </w:r>
      <w:proofErr w:type="spellEnd"/>
      <w:r w:rsidRPr="00520861">
        <w:rPr>
          <w:rFonts w:eastAsia="Calibri"/>
          <w:i/>
          <w:sz w:val="28"/>
          <w:szCs w:val="28"/>
          <w:lang w:eastAsia="en-US"/>
        </w:rPr>
        <w:t>)</w:t>
      </w:r>
      <w:r w:rsidRPr="00520861">
        <w:rPr>
          <w:rFonts w:eastAsia="Calibri"/>
          <w:sz w:val="28"/>
          <w:szCs w:val="28"/>
          <w:lang w:eastAsia="en-US"/>
        </w:rPr>
        <w:t xml:space="preserve"> пов’язаний із більшою мінеральною щільністю шийки стегна, викладені в роботі </w:t>
      </w:r>
      <w:proofErr w:type="spellStart"/>
      <w:r w:rsidRPr="00520861">
        <w:rPr>
          <w:rFonts w:eastAsia="Calibri"/>
          <w:sz w:val="28"/>
          <w:szCs w:val="28"/>
          <w:shd w:val="clear" w:color="auto" w:fill="FFFFFF"/>
          <w:lang w:eastAsia="en-US"/>
        </w:rPr>
        <w:t>Sowers</w:t>
      </w:r>
      <w:proofErr w:type="spellEnd"/>
      <w:r w:rsidRPr="00520861">
        <w:rPr>
          <w:rFonts w:eastAsia="Calibri"/>
          <w:sz w:val="28"/>
          <w:szCs w:val="28"/>
          <w:shd w:val="clear" w:color="auto" w:fill="FFFFFF"/>
          <w:lang w:eastAsia="en-US"/>
        </w:rPr>
        <w:t> T. D. та співавторів [</w:t>
      </w:r>
      <w:r w:rsidRPr="00520861">
        <w:rPr>
          <w:rFonts w:eastAsia="Calibri"/>
          <w:sz w:val="28"/>
          <w:szCs w:val="28"/>
          <w:lang w:eastAsia="en-US"/>
        </w:rPr>
        <w:t>517</w:t>
      </w:r>
      <w:r w:rsidRPr="00520861">
        <w:rPr>
          <w:rFonts w:eastAsia="Calibri"/>
          <w:sz w:val="28"/>
          <w:szCs w:val="28"/>
          <w:shd w:val="clear" w:color="auto" w:fill="FFFFFF"/>
          <w:lang w:eastAsia="en-US"/>
        </w:rPr>
        <w:t>].</w:t>
      </w:r>
      <w:r w:rsidRPr="00520861">
        <w:rPr>
          <w:rFonts w:eastAsia="Calibri"/>
          <w:sz w:val="28"/>
          <w:szCs w:val="28"/>
          <w:lang w:eastAsia="en-US"/>
        </w:rPr>
        <w:t xml:space="preserve"> Алель Т гена </w:t>
      </w:r>
      <w:r w:rsidRPr="00520861">
        <w:rPr>
          <w:rFonts w:eastAsia="Calibri"/>
          <w:i/>
          <w:sz w:val="28"/>
          <w:szCs w:val="28"/>
          <w:lang w:eastAsia="en-US"/>
        </w:rPr>
        <w:t>ESR1 (</w:t>
      </w:r>
      <w:proofErr w:type="spellStart"/>
      <w:r w:rsidRPr="00520861">
        <w:rPr>
          <w:rFonts w:eastAsia="Calibri"/>
          <w:i/>
          <w:sz w:val="28"/>
          <w:szCs w:val="28"/>
          <w:lang w:eastAsia="en-US"/>
        </w:rPr>
        <w:t>PvuII</w:t>
      </w:r>
      <w:proofErr w:type="spellEnd"/>
      <w:r w:rsidRPr="00520861">
        <w:rPr>
          <w:rFonts w:eastAsia="Calibri"/>
          <w:i/>
          <w:sz w:val="28"/>
          <w:szCs w:val="28"/>
          <w:lang w:eastAsia="en-US"/>
        </w:rPr>
        <w:t>)</w:t>
      </w:r>
      <w:r w:rsidRPr="00520861">
        <w:rPr>
          <w:rFonts w:eastAsia="Calibri"/>
          <w:sz w:val="28"/>
          <w:szCs w:val="28"/>
          <w:lang w:eastAsia="en-US"/>
        </w:rPr>
        <w:t xml:space="preserve"> [rs2234693] (C&gt;T), навпаки, пов’язаний зі зниженням мінеральної щільності кісткової тканини в жінок у </w:t>
      </w:r>
      <w:proofErr w:type="spellStart"/>
      <w:r w:rsidRPr="00520861">
        <w:rPr>
          <w:rFonts w:eastAsia="Calibri"/>
          <w:sz w:val="28"/>
          <w:szCs w:val="28"/>
          <w:lang w:eastAsia="en-US"/>
        </w:rPr>
        <w:t>післяменопаузальному</w:t>
      </w:r>
      <w:proofErr w:type="spellEnd"/>
      <w:r w:rsidRPr="00520861">
        <w:rPr>
          <w:rFonts w:eastAsia="Calibri"/>
          <w:sz w:val="28"/>
          <w:szCs w:val="28"/>
          <w:lang w:eastAsia="en-US"/>
        </w:rPr>
        <w:t xml:space="preserve"> періоді [428, 594].</w:t>
      </w:r>
    </w:p>
    <w:p w14:paraId="1824F22F" w14:textId="77777777" w:rsidR="00180D3E" w:rsidRPr="00520861" w:rsidRDefault="00180D3E" w:rsidP="00292D2E">
      <w:pPr>
        <w:widowControl w:val="0"/>
        <w:spacing w:line="360" w:lineRule="auto"/>
        <w:ind w:firstLine="709"/>
        <w:jc w:val="both"/>
        <w:rPr>
          <w:rFonts w:eastAsia="Calibri"/>
          <w:spacing w:val="-4"/>
          <w:sz w:val="28"/>
          <w:szCs w:val="28"/>
          <w:lang w:eastAsia="en-US"/>
        </w:rPr>
      </w:pPr>
      <w:r w:rsidRPr="00520861">
        <w:rPr>
          <w:rFonts w:eastAsia="Calibri"/>
          <w:spacing w:val="-4"/>
          <w:sz w:val="28"/>
          <w:szCs w:val="28"/>
          <w:lang w:eastAsia="en-US"/>
        </w:rPr>
        <w:t xml:space="preserve">Виявлено, що гетерозиготний варіант СТ гена </w:t>
      </w:r>
      <w:r w:rsidRPr="00520861">
        <w:rPr>
          <w:rFonts w:eastAsia="Calibri"/>
          <w:i/>
          <w:spacing w:val="-4"/>
          <w:sz w:val="28"/>
          <w:szCs w:val="28"/>
          <w:lang w:eastAsia="en-US"/>
        </w:rPr>
        <w:t>ESR1 (</w:t>
      </w:r>
      <w:proofErr w:type="spellStart"/>
      <w:r w:rsidRPr="00520861">
        <w:rPr>
          <w:rFonts w:eastAsia="Calibri"/>
          <w:i/>
          <w:spacing w:val="-4"/>
          <w:sz w:val="28"/>
          <w:szCs w:val="28"/>
          <w:lang w:eastAsia="en-US"/>
        </w:rPr>
        <w:t>PvuII</w:t>
      </w:r>
      <w:proofErr w:type="spellEnd"/>
      <w:r w:rsidRPr="00520861">
        <w:rPr>
          <w:rFonts w:eastAsia="Calibri"/>
          <w:i/>
          <w:spacing w:val="-4"/>
          <w:sz w:val="28"/>
          <w:szCs w:val="28"/>
          <w:lang w:eastAsia="en-US"/>
        </w:rPr>
        <w:t>)</w:t>
      </w:r>
      <w:r w:rsidRPr="00520861">
        <w:rPr>
          <w:rFonts w:eastAsia="Calibri"/>
          <w:spacing w:val="-4"/>
          <w:sz w:val="28"/>
          <w:szCs w:val="28"/>
          <w:lang w:eastAsia="en-US"/>
        </w:rPr>
        <w:t xml:space="preserve"> пов’язаний з підвищеною щільністю та мінеральним складом кісткової тканини в іранських дітей і підлітків [429]. Про підвищену щільність кісткової тканини в носіїв СТ варіанта цього гена в жінок у </w:t>
      </w:r>
      <w:proofErr w:type="spellStart"/>
      <w:r w:rsidRPr="00520861">
        <w:rPr>
          <w:rFonts w:eastAsia="Calibri"/>
          <w:spacing w:val="-4"/>
          <w:sz w:val="28"/>
          <w:szCs w:val="28"/>
          <w:lang w:eastAsia="en-US"/>
        </w:rPr>
        <w:t>післяменопаузальному</w:t>
      </w:r>
      <w:proofErr w:type="spellEnd"/>
      <w:r w:rsidRPr="00520861">
        <w:rPr>
          <w:rFonts w:eastAsia="Calibri"/>
          <w:spacing w:val="-4"/>
          <w:sz w:val="28"/>
          <w:szCs w:val="28"/>
          <w:lang w:eastAsia="en-US"/>
        </w:rPr>
        <w:t xml:space="preserve"> періоді сповістили </w:t>
      </w:r>
      <w:proofErr w:type="spellStart"/>
      <w:r w:rsidRPr="00520861">
        <w:rPr>
          <w:rFonts w:eastAsia="Calibri"/>
          <w:spacing w:val="-4"/>
          <w:sz w:val="28"/>
          <w:szCs w:val="28"/>
          <w:lang w:eastAsia="en-US"/>
        </w:rPr>
        <w:t>Zhu</w:t>
      </w:r>
      <w:proofErr w:type="spellEnd"/>
      <w:r w:rsidRPr="00520861">
        <w:rPr>
          <w:rFonts w:eastAsia="Calibri"/>
          <w:spacing w:val="-4"/>
          <w:sz w:val="28"/>
          <w:szCs w:val="28"/>
          <w:lang w:eastAsia="en-US"/>
        </w:rPr>
        <w:t xml:space="preserve"> H. та співавтори </w:t>
      </w:r>
      <w:r w:rsidRPr="00520861">
        <w:rPr>
          <w:rFonts w:eastAsia="Calibri"/>
          <w:spacing w:val="-4"/>
          <w:sz w:val="28"/>
          <w:szCs w:val="28"/>
          <w:shd w:val="clear" w:color="auto" w:fill="FFFFFF"/>
          <w:lang w:eastAsia="en-US"/>
        </w:rPr>
        <w:t>[</w:t>
      </w:r>
      <w:r w:rsidRPr="00520861">
        <w:rPr>
          <w:rFonts w:eastAsia="Calibri"/>
          <w:spacing w:val="-4"/>
          <w:sz w:val="28"/>
          <w:szCs w:val="28"/>
          <w:lang w:eastAsia="en-US"/>
        </w:rPr>
        <w:t>593</w:t>
      </w:r>
      <w:r w:rsidRPr="00520861">
        <w:rPr>
          <w:rFonts w:eastAsia="Calibri"/>
          <w:spacing w:val="-4"/>
          <w:sz w:val="28"/>
          <w:szCs w:val="28"/>
          <w:shd w:val="clear" w:color="auto" w:fill="FFFFFF"/>
          <w:lang w:eastAsia="en-US"/>
        </w:rPr>
        <w:t>].</w:t>
      </w:r>
    </w:p>
    <w:p w14:paraId="5C6BA82D"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Жінки японської та </w:t>
      </w:r>
      <w:proofErr w:type="spellStart"/>
      <w:r w:rsidRPr="00520861">
        <w:rPr>
          <w:rFonts w:eastAsia="Calibri"/>
          <w:sz w:val="28"/>
          <w:szCs w:val="28"/>
          <w:lang w:eastAsia="en-US"/>
        </w:rPr>
        <w:t>афроамериканської</w:t>
      </w:r>
      <w:proofErr w:type="spellEnd"/>
      <w:r w:rsidRPr="00520861">
        <w:rPr>
          <w:rFonts w:eastAsia="Calibri"/>
          <w:sz w:val="28"/>
          <w:szCs w:val="28"/>
          <w:lang w:eastAsia="en-US"/>
        </w:rPr>
        <w:t xml:space="preserve"> популяції, які були носіями генотипу CC гена </w:t>
      </w:r>
      <w:r w:rsidRPr="00520861">
        <w:rPr>
          <w:rFonts w:eastAsia="Calibri"/>
          <w:i/>
          <w:sz w:val="28"/>
          <w:szCs w:val="28"/>
          <w:lang w:eastAsia="en-US"/>
        </w:rPr>
        <w:t>ESR1 (</w:t>
      </w:r>
      <w:proofErr w:type="spellStart"/>
      <w:r w:rsidRPr="00520861">
        <w:rPr>
          <w:rFonts w:eastAsia="Calibri"/>
          <w:i/>
          <w:sz w:val="28"/>
          <w:szCs w:val="28"/>
          <w:lang w:eastAsia="en-US"/>
        </w:rPr>
        <w:t>PvuII</w:t>
      </w:r>
      <w:proofErr w:type="spellEnd"/>
      <w:r w:rsidRPr="00520861">
        <w:rPr>
          <w:rFonts w:eastAsia="Calibri"/>
          <w:i/>
          <w:sz w:val="28"/>
          <w:szCs w:val="28"/>
          <w:lang w:eastAsia="en-US"/>
        </w:rPr>
        <w:t>)</w:t>
      </w:r>
      <w:r w:rsidRPr="00520861">
        <w:rPr>
          <w:rFonts w:eastAsia="Calibri"/>
          <w:sz w:val="28"/>
          <w:szCs w:val="28"/>
          <w:lang w:eastAsia="en-US"/>
        </w:rPr>
        <w:t xml:space="preserve">, мали вірогідно вищу щільність кісткової тканини поперекового відділу хребта, ніж їх однолітки з генотипом ТТ [336]. Отже, тенденція до </w:t>
      </w:r>
      <w:r w:rsidRPr="00520861">
        <w:rPr>
          <w:rFonts w:eastAsia="Calibri"/>
          <w:sz w:val="28"/>
          <w:szCs w:val="28"/>
          <w:lang w:eastAsia="en-US"/>
        </w:rPr>
        <w:br/>
        <w:t xml:space="preserve">зменшення частоти розповсюдження генотипу СС в осіб із ГЗП 31–35, виявлена в нашому дослідженні, може впливати на порушення морфогенезу кісткової тканини </w:t>
      </w:r>
      <w:r w:rsidRPr="00520861">
        <w:rPr>
          <w:rFonts w:eastAsia="Calibri"/>
          <w:sz w:val="28"/>
          <w:szCs w:val="28"/>
          <w:lang w:eastAsia="en-US"/>
        </w:rPr>
        <w:lastRenderedPageBreak/>
        <w:t xml:space="preserve">та формування ЗЩА за умови народження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w:t>
      </w:r>
    </w:p>
    <w:p w14:paraId="291F9B8B" w14:textId="77777777" w:rsidR="00180D3E" w:rsidRPr="00520861" w:rsidRDefault="00180D3E" w:rsidP="00292D2E">
      <w:pPr>
        <w:widowControl w:val="0"/>
        <w:spacing w:line="360" w:lineRule="auto"/>
        <w:ind w:firstLine="709"/>
        <w:jc w:val="both"/>
        <w:rPr>
          <w:sz w:val="28"/>
          <w:szCs w:val="28"/>
        </w:rPr>
      </w:pPr>
      <w:r w:rsidRPr="00520861">
        <w:rPr>
          <w:rFonts w:eastAsia="Calibri"/>
          <w:sz w:val="28"/>
          <w:szCs w:val="28"/>
          <w:lang w:eastAsia="en-US"/>
        </w:rPr>
        <w:t xml:space="preserve">Нами виявлено, що поліморфізм гена </w:t>
      </w:r>
      <w:r w:rsidRPr="00520861">
        <w:rPr>
          <w:rFonts w:eastAsia="Calibri"/>
          <w:i/>
          <w:sz w:val="28"/>
          <w:szCs w:val="28"/>
          <w:lang w:eastAsia="en-US"/>
        </w:rPr>
        <w:t>CYP19A1:</w:t>
      </w:r>
      <w:r w:rsidRPr="00520861">
        <w:rPr>
          <w:rFonts w:eastAsia="Calibri"/>
          <w:sz w:val="28"/>
          <w:szCs w:val="28"/>
          <w:lang w:eastAsia="en-US"/>
        </w:rPr>
        <w:t xml:space="preserve"> </w:t>
      </w:r>
      <w:r w:rsidRPr="00520861">
        <w:rPr>
          <w:rFonts w:eastAsia="Calibri"/>
          <w:i/>
          <w:sz w:val="28"/>
          <w:szCs w:val="28"/>
          <w:lang w:eastAsia="en-US"/>
        </w:rPr>
        <w:t xml:space="preserve">(A&gt;G) </w:t>
      </w:r>
      <w:r w:rsidRPr="00520861">
        <w:rPr>
          <w:rFonts w:eastAsia="Calibri"/>
          <w:sz w:val="28"/>
          <w:szCs w:val="28"/>
          <w:lang w:eastAsia="en-US"/>
        </w:rPr>
        <w:t xml:space="preserve">[rs2414096] асоційований з помірними порушеннями прикусу в осіб ОГ. </w:t>
      </w:r>
      <w:r w:rsidRPr="00520861">
        <w:rPr>
          <w:rFonts w:eastAsia="Calibri"/>
          <w:bCs/>
          <w:sz w:val="28"/>
          <w:szCs w:val="28"/>
          <w:lang w:eastAsia="en-US"/>
        </w:rPr>
        <w:t xml:space="preserve">Цікавими є відомості, в узагальненому вигляді викладені в роботі </w:t>
      </w:r>
      <w:r w:rsidRPr="00520861">
        <w:rPr>
          <w:rFonts w:eastAsia="Calibri"/>
          <w:sz w:val="28"/>
          <w:szCs w:val="28"/>
          <w:lang w:eastAsia="en-US"/>
        </w:rPr>
        <w:t>[335],</w:t>
      </w:r>
      <w:r w:rsidRPr="00520861">
        <w:rPr>
          <w:rFonts w:eastAsia="Calibri"/>
          <w:bCs/>
          <w:sz w:val="28"/>
          <w:szCs w:val="28"/>
          <w:lang w:eastAsia="en-US"/>
        </w:rPr>
        <w:t xml:space="preserve"> де показано, що варіанти гена </w:t>
      </w:r>
      <w:r w:rsidRPr="00520861">
        <w:rPr>
          <w:rFonts w:eastAsia="Calibri"/>
          <w:i/>
          <w:sz w:val="28"/>
          <w:szCs w:val="28"/>
          <w:lang w:eastAsia="en-US"/>
        </w:rPr>
        <w:t>CYP19A1</w:t>
      </w:r>
      <w:r w:rsidRPr="00520861">
        <w:rPr>
          <w:rFonts w:eastAsia="Calibri"/>
          <w:bCs/>
          <w:sz w:val="28"/>
          <w:szCs w:val="28"/>
          <w:lang w:eastAsia="en-US"/>
        </w:rPr>
        <w:t xml:space="preserve"> [rs2470144] впливають на ріст нижньої та верхньої щелеп. Також показано</w:t>
      </w:r>
      <w:r w:rsidRPr="00520861">
        <w:rPr>
          <w:sz w:val="28"/>
          <w:szCs w:val="28"/>
        </w:rPr>
        <w:t xml:space="preserve">, що ген </w:t>
      </w:r>
      <w:r w:rsidRPr="00520861">
        <w:rPr>
          <w:rFonts w:eastAsia="Calibri"/>
          <w:i/>
          <w:sz w:val="28"/>
          <w:szCs w:val="28"/>
          <w:lang w:eastAsia="en-US"/>
        </w:rPr>
        <w:t>CYP19A1</w:t>
      </w:r>
      <w:r w:rsidRPr="00520861">
        <w:rPr>
          <w:sz w:val="28"/>
          <w:szCs w:val="28"/>
        </w:rPr>
        <w:t xml:space="preserve"> пов’язаний із темпами зростання як верхньої, так і нижньої щелепи в сагітальній площині. До того ж генотипи [rs2470144], [rs2445761] та </w:t>
      </w:r>
      <w:proofErr w:type="spellStart"/>
      <w:r w:rsidRPr="00520861">
        <w:rPr>
          <w:sz w:val="28"/>
          <w:szCs w:val="28"/>
        </w:rPr>
        <w:t>галотипи</w:t>
      </w:r>
      <w:proofErr w:type="spellEnd"/>
      <w:r w:rsidRPr="00520861">
        <w:rPr>
          <w:sz w:val="28"/>
          <w:szCs w:val="28"/>
        </w:rPr>
        <w:t xml:space="preserve"> вірогідно асоційовані із середньорічними темпами росту щелеп у хлопців пубертатного віку. </w:t>
      </w:r>
      <w:r w:rsidRPr="00520861">
        <w:rPr>
          <w:rFonts w:eastAsia="Calibri"/>
          <w:bCs/>
          <w:sz w:val="28"/>
          <w:szCs w:val="28"/>
          <w:lang w:eastAsia="en-US"/>
        </w:rPr>
        <w:t xml:space="preserve">У дослідженнях стану СГС ми виявили вірогідно більший процент аномалій прикусу, сформованих саме в сагітальній площині в осіб ОГ, порівняно з ГП. </w:t>
      </w:r>
    </w:p>
    <w:p w14:paraId="3C9EEB21"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bCs/>
          <w:sz w:val="28"/>
          <w:szCs w:val="28"/>
          <w:lang w:eastAsia="en-US"/>
        </w:rPr>
        <w:t>Нами було виявлено, що за наявності гетерозиготного варіанта гена</w:t>
      </w:r>
      <w:r w:rsidRPr="00520861">
        <w:rPr>
          <w:rFonts w:eastAsia="Calibri"/>
          <w:sz w:val="28"/>
          <w:szCs w:val="28"/>
          <w:lang w:eastAsia="en-US"/>
        </w:rPr>
        <w:t xml:space="preserve"> </w:t>
      </w:r>
      <w:r w:rsidRPr="00520861">
        <w:rPr>
          <w:rFonts w:eastAsia="Calibri"/>
          <w:i/>
          <w:sz w:val="28"/>
          <w:szCs w:val="28"/>
          <w:lang w:eastAsia="en-US"/>
        </w:rPr>
        <w:t>IL10</w:t>
      </w:r>
      <w:r w:rsidRPr="00520861">
        <w:rPr>
          <w:rFonts w:eastAsia="Calibri"/>
          <w:sz w:val="28"/>
          <w:szCs w:val="28"/>
          <w:lang w:eastAsia="en-US"/>
        </w:rPr>
        <w:t xml:space="preserve"> [rs1800896] в </w:t>
      </w:r>
      <w:r w:rsidRPr="00520861">
        <w:rPr>
          <w:rFonts w:eastAsia="Calibri"/>
          <w:bCs/>
          <w:sz w:val="28"/>
          <w:szCs w:val="28"/>
          <w:lang w:eastAsia="en-US"/>
        </w:rPr>
        <w:t xml:space="preserve">осіб ОГ ризик формування ЗЩА значуще зменшувався. Так, ризик </w:t>
      </w:r>
      <w:r w:rsidRPr="00520861">
        <w:rPr>
          <w:rFonts w:eastAsia="Calibri"/>
          <w:bCs/>
          <w:sz w:val="28"/>
          <w:szCs w:val="28"/>
          <w:lang w:eastAsia="en-US"/>
        </w:rPr>
        <w:br/>
        <w:t xml:space="preserve">розвитку помірних </w:t>
      </w:r>
      <w:proofErr w:type="spellStart"/>
      <w:r w:rsidRPr="00520861">
        <w:rPr>
          <w:rFonts w:eastAsia="Calibri"/>
          <w:bCs/>
          <w:sz w:val="28"/>
          <w:szCs w:val="28"/>
          <w:lang w:eastAsia="en-US"/>
        </w:rPr>
        <w:t>зубощелепних</w:t>
      </w:r>
      <w:proofErr w:type="spellEnd"/>
      <w:r w:rsidRPr="00520861">
        <w:rPr>
          <w:rFonts w:eastAsia="Calibri"/>
          <w:bCs/>
          <w:sz w:val="28"/>
          <w:szCs w:val="28"/>
          <w:lang w:eastAsia="en-US"/>
        </w:rPr>
        <w:t xml:space="preserve"> порушень зменшувався в 4,6 </w:t>
      </w:r>
      <w:proofErr w:type="spellStart"/>
      <w:r w:rsidRPr="00520861">
        <w:rPr>
          <w:rFonts w:eastAsia="Calibri"/>
          <w:bCs/>
          <w:sz w:val="28"/>
          <w:szCs w:val="28"/>
          <w:lang w:eastAsia="en-US"/>
        </w:rPr>
        <w:t>раза</w:t>
      </w:r>
      <w:proofErr w:type="spellEnd"/>
      <w:r w:rsidRPr="00520861">
        <w:rPr>
          <w:rFonts w:eastAsia="Calibri"/>
          <w:sz w:val="28"/>
          <w:szCs w:val="28"/>
          <w:lang w:eastAsia="en-US"/>
        </w:rPr>
        <w:t xml:space="preserve">, а значних порушень – у 6,7 </w:t>
      </w:r>
      <w:proofErr w:type="spellStart"/>
      <w:r w:rsidRPr="00520861">
        <w:rPr>
          <w:rFonts w:eastAsia="Calibri"/>
          <w:sz w:val="28"/>
          <w:szCs w:val="28"/>
          <w:lang w:eastAsia="en-US"/>
        </w:rPr>
        <w:t>раза</w:t>
      </w:r>
      <w:proofErr w:type="spellEnd"/>
      <w:r w:rsidRPr="00520861">
        <w:rPr>
          <w:rFonts w:eastAsia="Calibri"/>
          <w:sz w:val="28"/>
          <w:szCs w:val="28"/>
          <w:lang w:eastAsia="en-US"/>
        </w:rPr>
        <w:t xml:space="preserve">. </w:t>
      </w:r>
      <w:r w:rsidRPr="00520861">
        <w:rPr>
          <w:rFonts w:eastAsia="Calibri"/>
          <w:bCs/>
          <w:sz w:val="28"/>
          <w:szCs w:val="28"/>
          <w:lang w:eastAsia="en-US"/>
        </w:rPr>
        <w:t>Із збільшенням рівня тяжкості ЗЩА спостерігалося невірогідне підвищення частоти поширення мутантного гомозиготного варіанта цього гена.</w:t>
      </w:r>
    </w:p>
    <w:p w14:paraId="37AF1D57"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bCs/>
          <w:sz w:val="28"/>
          <w:szCs w:val="28"/>
          <w:lang w:eastAsia="en-US"/>
        </w:rPr>
        <w:t>У роботі [434]</w:t>
      </w:r>
      <w:r w:rsidRPr="00520861">
        <w:rPr>
          <w:rFonts w:eastAsia="Calibri"/>
          <w:sz w:val="28"/>
          <w:szCs w:val="28"/>
          <w:lang w:eastAsia="en-US"/>
        </w:rPr>
        <w:t xml:space="preserve"> наголошується, що вплив алеля G у гені </w:t>
      </w:r>
      <w:r w:rsidRPr="00520861">
        <w:rPr>
          <w:rFonts w:eastAsia="Calibri"/>
          <w:i/>
          <w:sz w:val="28"/>
          <w:szCs w:val="28"/>
          <w:lang w:eastAsia="en-US"/>
        </w:rPr>
        <w:t>IL10: -1082 A/G</w:t>
      </w:r>
      <w:r w:rsidRPr="00520861">
        <w:rPr>
          <w:rFonts w:eastAsia="Calibri"/>
          <w:sz w:val="28"/>
          <w:szCs w:val="28"/>
          <w:lang w:eastAsia="en-US"/>
        </w:rPr>
        <w:t xml:space="preserve"> на </w:t>
      </w:r>
      <w:r w:rsidRPr="00520861">
        <w:rPr>
          <w:rFonts w:eastAsia="Calibri"/>
          <w:sz w:val="28"/>
          <w:szCs w:val="28"/>
          <w:lang w:eastAsia="en-US"/>
        </w:rPr>
        <w:br/>
        <w:t xml:space="preserve">розвиток хронічного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позитивний або сприйнятливий, що відповідає </w:t>
      </w:r>
      <w:r w:rsidRPr="00520861">
        <w:rPr>
          <w:rFonts w:eastAsia="Calibri"/>
          <w:sz w:val="28"/>
          <w:szCs w:val="28"/>
          <w:lang w:eastAsia="en-US"/>
        </w:rPr>
        <w:br/>
        <w:t xml:space="preserve">даним, отриманим нами при аналізі стану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w:t>
      </w:r>
    </w:p>
    <w:p w14:paraId="54056FF7"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результаті аналізу вищевикладених відомостей установлено, що особливості МФ, біохімічної та МГ складової метаболізму кісткової тканини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пов’язані з порушеними термінами прорізування тимчасових зубів та формуванням у них ЗЩА. Одержані відомості можуть бути використані із метою передбачення </w:t>
      </w:r>
      <w:r w:rsidRPr="00520861">
        <w:rPr>
          <w:rFonts w:eastAsia="Calibri"/>
          <w:sz w:val="28"/>
          <w:szCs w:val="28"/>
          <w:lang w:eastAsia="en-US"/>
        </w:rPr>
        <w:br/>
        <w:t xml:space="preserve">термінів прорізування зубів в осіб,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та допоможуть скоректувати час початку профілактичних процедур у кожної конкретної дитини.</w:t>
      </w:r>
    </w:p>
    <w:p w14:paraId="6FA53D01"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Оцінюючи результати </w:t>
      </w:r>
      <w:proofErr w:type="spellStart"/>
      <w:r w:rsidRPr="00520861">
        <w:rPr>
          <w:rFonts w:eastAsia="Calibri"/>
          <w:sz w:val="28"/>
          <w:szCs w:val="28"/>
          <w:lang w:eastAsia="en-US"/>
        </w:rPr>
        <w:t>карієсогенної</w:t>
      </w:r>
      <w:proofErr w:type="spellEnd"/>
      <w:r w:rsidRPr="00520861">
        <w:rPr>
          <w:rFonts w:eastAsia="Calibri"/>
          <w:sz w:val="28"/>
          <w:szCs w:val="28"/>
          <w:lang w:eastAsia="en-US"/>
        </w:rPr>
        <w:t xml:space="preserve"> ситуації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слід згадати, що низка дослідників стверджує, що існує зв’язок між народженням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й високою інтенсивністю карієсу в дітей [354, 438]. Інші науковці доводять, що між збільшенням маси та довжини тіла новонародженої дитини й розвитком у неї карієсу у віці 5 років зв’язок існує, проте він слабкий [379]. У дослідженнях </w:t>
      </w:r>
      <w:proofErr w:type="spellStart"/>
      <w:r w:rsidRPr="00520861">
        <w:rPr>
          <w:rFonts w:eastAsia="Calibri"/>
          <w:sz w:val="28"/>
          <w:szCs w:val="28"/>
          <w:lang w:eastAsia="en-US"/>
        </w:rPr>
        <w:t>Julihn</w:t>
      </w:r>
      <w:proofErr w:type="spellEnd"/>
      <w:r w:rsidRPr="00520861">
        <w:rPr>
          <w:rFonts w:eastAsia="Calibri"/>
          <w:sz w:val="28"/>
          <w:szCs w:val="28"/>
          <w:lang w:eastAsia="en-US"/>
        </w:rPr>
        <w:t xml:space="preserve"> A. та співавторів [369] існування такого зв’язку підтверджується навіть у </w:t>
      </w:r>
      <w:r w:rsidRPr="00520861">
        <w:rPr>
          <w:rFonts w:eastAsia="Calibri"/>
          <w:sz w:val="28"/>
          <w:szCs w:val="28"/>
          <w:lang w:eastAsia="en-US"/>
        </w:rPr>
        <w:lastRenderedPageBreak/>
        <w:t xml:space="preserve">підлітковому віці. Проте науковці припускають, що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мають значну кількість інших захворювань чи схильні до них. Тому висока інтенсивність карієсу в </w:t>
      </w:r>
      <w:r w:rsidRPr="00520861">
        <w:rPr>
          <w:rFonts w:eastAsia="Calibri"/>
          <w:sz w:val="28"/>
          <w:szCs w:val="28"/>
          <w:lang w:eastAsia="en-US"/>
        </w:rPr>
        <w:br/>
        <w:t xml:space="preserve">підлітковому віці може бути пов’язаною зі станом їх соматичного здоров’я. Деякі </w:t>
      </w:r>
      <w:r w:rsidRPr="00520861">
        <w:rPr>
          <w:rFonts w:eastAsia="Calibri"/>
          <w:sz w:val="28"/>
          <w:szCs w:val="28"/>
          <w:lang w:eastAsia="en-US"/>
        </w:rPr>
        <w:br/>
        <w:t>дослідження взагалі заперечують існування такого зв’язку [112, 516].</w:t>
      </w:r>
    </w:p>
    <w:p w14:paraId="31224D3E"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Спробу оцінити ступінь ураженості карієсом дітей та підлітків 1977 – 1992 років народження ОГ та порівняти його зі ступенем ураженості карієсом дітей, які народилися із МРП, що відповідають нормі, зроблено, використовуючи клініко-ретроспективний метод дослідження. Основну групу склали записи з медичної документації дітей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плода. Ретроспективно було проаналізовано 681 історію розвитку дитини-</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У 184 історіях були виявлені записи про лікування карієсу та його ускладнень.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більшу процентну кількість дітей, які мали записи про лікування карієсу тимчасових зубів, було виявлено серед ОГ у порівнянні із ГП. Це цілком погоджується із даними про високу поширеність карієсу тимчасових зубів у дітей, які були народжені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опублікованими українськими науковцями [178], але в цьому дослідженні не враховувалася залежність показників карієсу від соматотипу дитини при народженні.</w:t>
      </w:r>
    </w:p>
    <w:p w14:paraId="0BFA235C"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Незважаючи на те, що діти віком до 3-х років із карієсом тимчасових зубів були враховані при підрахунку кількості дітей із РДК, ми проаналізували цю категорію дітей також й окремо, як було запропоновано в роботі [361].</w:t>
      </w:r>
    </w:p>
    <w:p w14:paraId="162B401D"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Діти підгрупи 1 мали вірогідно більшу ПКВ карієсу тимчасових зубів та вірогідно більшу процентну кількість випадків РДК порівняно із дітьми ГП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Діти підгрупи 4 мали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більшу ПКВ карієсу тимчасових зубів. Виявлено, що 7 із 13 зафіксованих випадків періоститів щелеп припадали на дітей із підгрупи 4. Це може пояснюватися незрілістю імунної та ендокринної систем таких дітей [216]. Діти підгрупи 3 мали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більшу ПКВ ускладненого карієсу постійних зубів. У дітей із підгрупи 2 карієсу постійних зубів виявлено не було, що може пояснюватися як особливостями закладки та мінералізації в них тимчасових та постійних зубів, так і відносною нечисленністю цієї підгрупи.</w:t>
      </w:r>
    </w:p>
    <w:p w14:paraId="14475B26"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Раніше [216] було доведено існування залежності захворюваності в перші 10 років життя, зокрема стоматитом, від антропометричних даних при народженні. </w:t>
      </w:r>
      <w:r w:rsidRPr="00520861">
        <w:rPr>
          <w:rFonts w:eastAsia="Calibri"/>
          <w:sz w:val="28"/>
          <w:szCs w:val="28"/>
          <w:lang w:eastAsia="en-US"/>
        </w:rPr>
        <w:lastRenderedPageBreak/>
        <w:t xml:space="preserve">Отримані нами відомості підтверджують цей факт. У структурі захворюваності за 14 років життя в дітей ОГ виявлено вірогідно більшу ПКВ гострого </w:t>
      </w:r>
      <w:proofErr w:type="spellStart"/>
      <w:r w:rsidRPr="00520861">
        <w:rPr>
          <w:rFonts w:eastAsia="Calibri"/>
          <w:sz w:val="28"/>
          <w:szCs w:val="28"/>
          <w:lang w:eastAsia="en-US"/>
        </w:rPr>
        <w:t>герпетичного</w:t>
      </w:r>
      <w:proofErr w:type="spellEnd"/>
      <w:r w:rsidRPr="00520861">
        <w:rPr>
          <w:rFonts w:eastAsia="Calibri"/>
          <w:sz w:val="28"/>
          <w:szCs w:val="28"/>
          <w:lang w:eastAsia="en-US"/>
        </w:rPr>
        <w:t xml:space="preserve"> стоматиту в порівнянні із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Надійних відмінностей по підгрупах ми не виявили через невеликий статистичний об’єм вибірок.</w:t>
      </w:r>
    </w:p>
    <w:p w14:paraId="108086A4" w14:textId="77777777" w:rsidR="00180D3E" w:rsidRPr="00520861" w:rsidRDefault="00180D3E" w:rsidP="00292D2E">
      <w:pPr>
        <w:widowControl w:val="0"/>
        <w:spacing w:line="360" w:lineRule="auto"/>
        <w:ind w:firstLine="708"/>
        <w:contextualSpacing/>
        <w:jc w:val="both"/>
        <w:rPr>
          <w:rFonts w:eastAsia="Calibri"/>
          <w:spacing w:val="-4"/>
          <w:sz w:val="28"/>
          <w:szCs w:val="28"/>
          <w:lang w:eastAsia="en-US"/>
        </w:rPr>
      </w:pPr>
      <w:r w:rsidRPr="00520861">
        <w:rPr>
          <w:rFonts w:eastAsia="Calibri"/>
          <w:sz w:val="28"/>
          <w:szCs w:val="28"/>
          <w:lang w:eastAsia="en-US"/>
        </w:rPr>
        <w:t xml:space="preserve">Безумовно, результати проведеного дослідження не можуть повною мірою висвітлити стан проблеми тому, що частина відомостей про лікування карієсу та його ускладнень в історіях розвитку дітей відсутня. Тим не менш, виявлені факти свідчать про необхідність орієнтування дитячих стоматологів на високий рівень ураженості карієсом дітей, які народилися із </w:t>
      </w:r>
      <w:proofErr w:type="spellStart"/>
      <w:r w:rsidRPr="00520861">
        <w:rPr>
          <w:rFonts w:eastAsia="Calibri"/>
          <w:sz w:val="28"/>
          <w:szCs w:val="28"/>
          <w:lang w:eastAsia="en-US"/>
        </w:rPr>
        <w:t>макросомією</w:t>
      </w:r>
      <w:proofErr w:type="spellEnd"/>
      <w:r w:rsidRPr="00520861">
        <w:rPr>
          <w:rFonts w:eastAsia="Calibri"/>
          <w:spacing w:val="-4"/>
          <w:sz w:val="28"/>
          <w:szCs w:val="28"/>
          <w:lang w:eastAsia="en-US"/>
        </w:rPr>
        <w:t>, та на необхідність першочергового впровадження профілактичної та лікувальної допомоги в цій групі дітей.</w:t>
      </w:r>
    </w:p>
    <w:p w14:paraId="2DBA0025" w14:textId="77777777" w:rsidR="00180D3E" w:rsidRPr="00520861" w:rsidRDefault="00180D3E" w:rsidP="00292D2E">
      <w:pPr>
        <w:widowControl w:val="0"/>
        <w:spacing w:line="360" w:lineRule="auto"/>
        <w:ind w:firstLine="709"/>
        <w:contextualSpacing/>
        <w:jc w:val="both"/>
        <w:rPr>
          <w:rFonts w:eastAsia="Calibri"/>
          <w:b/>
          <w:sz w:val="28"/>
          <w:szCs w:val="28"/>
          <w:lang w:eastAsia="en-US"/>
        </w:rPr>
      </w:pPr>
      <w:r w:rsidRPr="00520861">
        <w:rPr>
          <w:rFonts w:eastAsia="Calibri"/>
          <w:sz w:val="28"/>
          <w:szCs w:val="28"/>
          <w:lang w:eastAsia="en-US"/>
        </w:rPr>
        <w:t xml:space="preserve">Обговорюючи результати клінічного стоматологічного обстеження та, </w:t>
      </w:r>
      <w:r w:rsidRPr="00520861">
        <w:rPr>
          <w:rFonts w:eastAsia="Calibri"/>
          <w:sz w:val="28"/>
          <w:szCs w:val="28"/>
          <w:lang w:eastAsia="en-US"/>
        </w:rPr>
        <w:br/>
        <w:t xml:space="preserve">зокрема, визначення інтенсивності карієсу в дослідженій вибірці 40 практично здорових дітей ОГ та 13 практично здорових дітей ГП віком від 4,5 до 6,5 року, слід зазначити, що в період тимчасового прикусу в дітей ОГ фіксується високий показник </w:t>
      </w:r>
      <w:proofErr w:type="spellStart"/>
      <w:r w:rsidRPr="00520861">
        <w:rPr>
          <w:rFonts w:eastAsia="Calibri"/>
          <w:sz w:val="28"/>
          <w:szCs w:val="28"/>
          <w:lang w:eastAsia="en-US"/>
        </w:rPr>
        <w:t>ін-тенсивності</w:t>
      </w:r>
      <w:proofErr w:type="spellEnd"/>
      <w:r w:rsidRPr="00520861">
        <w:rPr>
          <w:rFonts w:eastAsia="Calibri"/>
          <w:sz w:val="28"/>
          <w:szCs w:val="28"/>
          <w:lang w:eastAsia="en-US"/>
        </w:rPr>
        <w:t xml:space="preserve"> карієсу тимчасових зубів. Вірогідно вищі значення цього показника від таких у ГП були зафіксовані в дітей підгрупи 1 (p=0,0268), підгрупи 2 (p=0,0139) і підгрупи 4 (p=0,0460), а найнижчі – у дітей підгрупи 3. Як у період тимчасового прикусу, так і змінного прикусу в дітей підгрупи 4 показники інтенсивності карієсу були вірогідно </w:t>
      </w:r>
      <w:r w:rsidRPr="00520861">
        <w:rPr>
          <w:rFonts w:eastAsia="Calibri"/>
          <w:sz w:val="28"/>
          <w:szCs w:val="28"/>
        </w:rPr>
        <w:t>(p=0,04347)</w:t>
      </w:r>
      <w:r w:rsidRPr="00520861">
        <w:rPr>
          <w:rFonts w:eastAsia="Calibri"/>
          <w:sz w:val="28"/>
          <w:szCs w:val="28"/>
          <w:lang w:eastAsia="en-US"/>
        </w:rPr>
        <w:t xml:space="preserve"> вищими, ніж такі показники в ГП. У дітей із підгруп 1 і 3 через каріозний процес перших постійних молярів у середньому спостерігалися вищі порівняно з ГП показники інтенсивності карієсу, проте відмінності невірогідні. </w:t>
      </w:r>
    </w:p>
    <w:p w14:paraId="53A4589E" w14:textId="77777777" w:rsidR="00180D3E" w:rsidRPr="00520861" w:rsidRDefault="00180D3E" w:rsidP="00292D2E">
      <w:pPr>
        <w:widowControl w:val="0"/>
        <w:spacing w:line="360" w:lineRule="auto"/>
        <w:ind w:firstLine="709"/>
        <w:contextualSpacing/>
        <w:jc w:val="both"/>
        <w:rPr>
          <w:rFonts w:eastAsia="Calibri"/>
          <w:b/>
          <w:sz w:val="28"/>
          <w:szCs w:val="28"/>
          <w:lang w:eastAsia="en-US"/>
        </w:rPr>
      </w:pPr>
      <w:r w:rsidRPr="00520861">
        <w:rPr>
          <w:sz w:val="28"/>
          <w:szCs w:val="28"/>
        </w:rPr>
        <w:t xml:space="preserve">Стан гігієни </w:t>
      </w:r>
      <w:r w:rsidRPr="00520861">
        <w:rPr>
          <w:rFonts w:eastAsia="Calibri"/>
          <w:sz w:val="28"/>
          <w:szCs w:val="28"/>
          <w:lang w:eastAsia="en-US"/>
        </w:rPr>
        <w:t>ПР</w:t>
      </w:r>
      <w:r w:rsidRPr="00520861">
        <w:rPr>
          <w:sz w:val="28"/>
          <w:szCs w:val="28"/>
        </w:rPr>
        <w:t xml:space="preserve">, що був класифікований як «незадовільний», мали більшість учасників у ГП, а також </w:t>
      </w:r>
      <w:r w:rsidRPr="00520861">
        <w:rPr>
          <w:rFonts w:eastAsia="Calibri"/>
          <w:sz w:val="28"/>
          <w:szCs w:val="28"/>
          <w:lang w:eastAsia="en-US"/>
        </w:rPr>
        <w:t>підгруп 1</w:t>
      </w:r>
      <w:r w:rsidRPr="00520861">
        <w:rPr>
          <w:sz w:val="28"/>
          <w:szCs w:val="28"/>
        </w:rPr>
        <w:t xml:space="preserve"> і</w:t>
      </w:r>
      <w:r w:rsidRPr="00520861">
        <w:rPr>
          <w:rFonts w:eastAsia="Calibri"/>
          <w:sz w:val="28"/>
          <w:szCs w:val="28"/>
          <w:lang w:eastAsia="en-US"/>
        </w:rPr>
        <w:t xml:space="preserve"> 2</w:t>
      </w:r>
      <w:r w:rsidRPr="00520861">
        <w:rPr>
          <w:sz w:val="28"/>
          <w:szCs w:val="28"/>
        </w:rPr>
        <w:t xml:space="preserve"> ОГ у ВП-V – ВП-VIII. Зафіксований нами дещо кращий гігієнічний стан </w:t>
      </w:r>
      <w:r w:rsidRPr="00520861">
        <w:rPr>
          <w:rFonts w:eastAsia="Calibri"/>
          <w:sz w:val="28"/>
          <w:szCs w:val="28"/>
          <w:lang w:eastAsia="en-US"/>
        </w:rPr>
        <w:t>ПР</w:t>
      </w:r>
      <w:r w:rsidRPr="00520861">
        <w:rPr>
          <w:sz w:val="28"/>
          <w:szCs w:val="28"/>
        </w:rPr>
        <w:t xml:space="preserve"> в осіб </w:t>
      </w:r>
      <w:r w:rsidRPr="00520861">
        <w:rPr>
          <w:rFonts w:eastAsia="Calibri"/>
          <w:sz w:val="28"/>
          <w:szCs w:val="28"/>
          <w:lang w:eastAsia="en-US"/>
        </w:rPr>
        <w:t>підгруп 3</w:t>
      </w:r>
      <w:r w:rsidRPr="00520861">
        <w:rPr>
          <w:sz w:val="28"/>
          <w:szCs w:val="28"/>
        </w:rPr>
        <w:t xml:space="preserve"> і</w:t>
      </w:r>
      <w:r w:rsidRPr="00520861">
        <w:rPr>
          <w:rFonts w:eastAsia="Calibri"/>
          <w:sz w:val="28"/>
          <w:szCs w:val="28"/>
          <w:lang w:eastAsia="en-US"/>
        </w:rPr>
        <w:t xml:space="preserve"> 4</w:t>
      </w:r>
      <w:r w:rsidRPr="00520861">
        <w:rPr>
          <w:sz w:val="28"/>
          <w:szCs w:val="28"/>
        </w:rPr>
        <w:t xml:space="preserve"> можна пояснити їхньою високою вмотивованістю, оскільки в них і в період тимчасового прикусу також спостерігався високий рівень інтенсивності каріозного процесу. Ці дані разом із середніми значеннями індексів OHI-S (</w:t>
      </w:r>
      <w:proofErr w:type="spellStart"/>
      <w:r w:rsidRPr="00520861">
        <w:rPr>
          <w:sz w:val="28"/>
          <w:szCs w:val="28"/>
        </w:rPr>
        <w:t>Green</w:t>
      </w:r>
      <w:proofErr w:type="spellEnd"/>
      <w:r w:rsidRPr="00520861">
        <w:rPr>
          <w:rFonts w:eastAsia="Calibri"/>
          <w:sz w:val="28"/>
          <w:szCs w:val="28"/>
          <w:lang w:eastAsia="en-US"/>
        </w:rPr>
        <w:t> </w:t>
      </w:r>
      <w:r w:rsidRPr="00520861">
        <w:rPr>
          <w:sz w:val="28"/>
          <w:szCs w:val="28"/>
        </w:rPr>
        <w:t>– </w:t>
      </w:r>
      <w:proofErr w:type="spellStart"/>
      <w:r w:rsidRPr="00520861">
        <w:rPr>
          <w:sz w:val="28"/>
          <w:szCs w:val="28"/>
        </w:rPr>
        <w:t>Vermillion</w:t>
      </w:r>
      <w:proofErr w:type="spellEnd"/>
      <w:r w:rsidRPr="00520861">
        <w:rPr>
          <w:sz w:val="28"/>
          <w:szCs w:val="28"/>
        </w:rPr>
        <w:t xml:space="preserve">) по групах та підгрупах свідчать про те, що в осіб ОГ на ступінь ураженості карієсом упливає не тільки гігієнічний стан </w:t>
      </w:r>
      <w:r w:rsidRPr="00520861">
        <w:rPr>
          <w:rFonts w:eastAsia="Calibri"/>
          <w:sz w:val="28"/>
          <w:szCs w:val="28"/>
          <w:lang w:eastAsia="en-US"/>
        </w:rPr>
        <w:t>ПР</w:t>
      </w:r>
      <w:r w:rsidRPr="00520861">
        <w:rPr>
          <w:sz w:val="28"/>
          <w:szCs w:val="28"/>
        </w:rPr>
        <w:t xml:space="preserve">. </w:t>
      </w:r>
    </w:p>
    <w:p w14:paraId="62E882AF"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Серед осіб ОГ у період постійного прикусу найвищі значення показників карієсу були зафіксовані в підгруп 3 і 4. В осіб підгрупи 1 значення показників, що </w:t>
      </w:r>
      <w:r w:rsidRPr="00520861">
        <w:rPr>
          <w:rFonts w:eastAsia="Calibri"/>
          <w:sz w:val="28"/>
          <w:szCs w:val="28"/>
          <w:lang w:eastAsia="en-US"/>
        </w:rPr>
        <w:br/>
      </w:r>
      <w:r w:rsidRPr="00520861">
        <w:rPr>
          <w:rFonts w:eastAsia="Calibri"/>
          <w:sz w:val="28"/>
          <w:szCs w:val="28"/>
          <w:lang w:eastAsia="en-US"/>
        </w:rPr>
        <w:lastRenderedPageBreak/>
        <w:t xml:space="preserve">характеризують інтенсивність каріозного процесу, були зіставними з контрольними. </w:t>
      </w:r>
    </w:p>
    <w:p w14:paraId="0CEA52E3" w14:textId="77777777" w:rsidR="00180D3E" w:rsidRPr="00520861" w:rsidRDefault="00180D3E" w:rsidP="00292D2E">
      <w:pPr>
        <w:widowControl w:val="0"/>
        <w:spacing w:line="360" w:lineRule="auto"/>
        <w:ind w:firstLine="708"/>
        <w:jc w:val="both"/>
        <w:rPr>
          <w:sz w:val="28"/>
          <w:szCs w:val="28"/>
        </w:rPr>
      </w:pPr>
      <w:r w:rsidRPr="00520861">
        <w:rPr>
          <w:sz w:val="28"/>
          <w:szCs w:val="28"/>
        </w:rPr>
        <w:t xml:space="preserve">Особи, які народилися з </w:t>
      </w:r>
      <w:proofErr w:type="spellStart"/>
      <w:r w:rsidRPr="00520861">
        <w:rPr>
          <w:sz w:val="28"/>
          <w:szCs w:val="28"/>
        </w:rPr>
        <w:t>макросомією</w:t>
      </w:r>
      <w:proofErr w:type="spellEnd"/>
      <w:r w:rsidRPr="00520861">
        <w:rPr>
          <w:sz w:val="28"/>
          <w:szCs w:val="28"/>
        </w:rPr>
        <w:t xml:space="preserve">, мають порушену функцію слиновиділення порівняно з особами, які народилися </w:t>
      </w:r>
      <w:proofErr w:type="spellStart"/>
      <w:r w:rsidRPr="00520861">
        <w:rPr>
          <w:sz w:val="28"/>
          <w:szCs w:val="28"/>
        </w:rPr>
        <w:t>нормосомами</w:t>
      </w:r>
      <w:proofErr w:type="spellEnd"/>
      <w:r w:rsidRPr="00520861">
        <w:rPr>
          <w:sz w:val="28"/>
          <w:szCs w:val="28"/>
        </w:rPr>
        <w:t xml:space="preserve">. Діти ОГ у період тимчасового прикусу мали зменшену в середньому на 2 – 4 одиниці кількість слинних залоз на площі </w:t>
      </w:r>
      <w:r w:rsidRPr="00520861">
        <w:rPr>
          <w:bCs/>
          <w:sz w:val="28"/>
          <w:szCs w:val="28"/>
        </w:rPr>
        <w:t>3,5 м</w:t>
      </w:r>
      <w:r w:rsidRPr="00520861">
        <w:rPr>
          <w:bCs/>
          <w:sz w:val="28"/>
          <w:szCs w:val="28"/>
          <w:vertAlign w:val="superscript"/>
        </w:rPr>
        <w:t>2</w:t>
      </w:r>
      <w:r w:rsidRPr="00520861">
        <w:rPr>
          <w:sz w:val="28"/>
          <w:szCs w:val="28"/>
        </w:rPr>
        <w:t>× 10</w:t>
      </w:r>
      <w:r w:rsidRPr="00520861">
        <w:rPr>
          <w:sz w:val="28"/>
          <w:szCs w:val="28"/>
          <w:vertAlign w:val="superscript"/>
        </w:rPr>
        <w:t>-4</w:t>
      </w:r>
      <w:r w:rsidRPr="00520861">
        <w:rPr>
          <w:sz w:val="28"/>
          <w:szCs w:val="28"/>
        </w:rPr>
        <w:t xml:space="preserve">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порівняно із ГП. Секреція малих слинних залоз у дітей ОГ також була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xml:space="preserve">), в середньому на 22%, зменшена в порівнянні з ГП. Діти ОГ у період змінного прикусу мали зменшену в середньому на </w:t>
      </w:r>
      <w:r w:rsidRPr="00520861">
        <w:rPr>
          <w:sz w:val="28"/>
          <w:szCs w:val="28"/>
        </w:rPr>
        <w:br/>
        <w:t xml:space="preserve">1 – 2 одиниці кількість малих слинних залоз на площі </w:t>
      </w:r>
      <w:r w:rsidRPr="00520861">
        <w:rPr>
          <w:bCs/>
          <w:sz w:val="28"/>
          <w:szCs w:val="28"/>
        </w:rPr>
        <w:t>3,5 м</w:t>
      </w:r>
      <w:r w:rsidRPr="00520861">
        <w:rPr>
          <w:bCs/>
          <w:sz w:val="28"/>
          <w:szCs w:val="28"/>
          <w:vertAlign w:val="superscript"/>
        </w:rPr>
        <w:t>2</w:t>
      </w:r>
      <w:r w:rsidRPr="00520861">
        <w:rPr>
          <w:sz w:val="28"/>
          <w:szCs w:val="28"/>
        </w:rPr>
        <w:t>× 10</w:t>
      </w:r>
      <w:r w:rsidRPr="00520861">
        <w:rPr>
          <w:sz w:val="28"/>
          <w:szCs w:val="28"/>
          <w:vertAlign w:val="superscript"/>
        </w:rPr>
        <w:t>-4</w:t>
      </w:r>
      <w:r w:rsidRPr="00520861">
        <w:rPr>
          <w:sz w:val="28"/>
          <w:szCs w:val="28"/>
        </w:rPr>
        <w:t xml:space="preserve">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порівняно з дітьми ГП. Секреція малих слинних залоз у дітей ОГ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xml:space="preserve">) знижена в середньому на 19,8% порівняно з ГП. Особи дорослого віку ОГ мали зменшену в середньому на 1 – 2 одиниці кількість малих слинних залоз на площі </w:t>
      </w:r>
      <w:r w:rsidRPr="00520861">
        <w:rPr>
          <w:bCs/>
          <w:sz w:val="28"/>
          <w:szCs w:val="28"/>
        </w:rPr>
        <w:t>3,5 м</w:t>
      </w:r>
      <w:r w:rsidRPr="00520861">
        <w:rPr>
          <w:bCs/>
          <w:sz w:val="28"/>
          <w:szCs w:val="28"/>
          <w:vertAlign w:val="superscript"/>
        </w:rPr>
        <w:t>2 </w:t>
      </w:r>
      <w:r w:rsidRPr="00520861">
        <w:rPr>
          <w:sz w:val="28"/>
          <w:szCs w:val="28"/>
        </w:rPr>
        <w:t>× 10</w:t>
      </w:r>
      <w:r w:rsidRPr="00520861">
        <w:rPr>
          <w:sz w:val="28"/>
          <w:szCs w:val="28"/>
          <w:vertAlign w:val="superscript"/>
        </w:rPr>
        <w:t>-4</w:t>
      </w:r>
      <w:r w:rsidRPr="00520861">
        <w:rPr>
          <w:sz w:val="28"/>
          <w:szCs w:val="28"/>
        </w:rPr>
        <w:t xml:space="preserve">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Секреція малих слинних залоз в осіб ОГ була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sz w:val="28"/>
          <w:szCs w:val="28"/>
        </w:rPr>
        <w:t>) зменшена в середньому на 11,4% у порівнянні із ГП.</w:t>
      </w:r>
    </w:p>
    <w:p w14:paraId="147A83BE"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Значне зменшення кількості малих слинних залоз на одиницю площі, поєднане з вірогідно зменшеною активністю слиновиділення, призвело до порушення рівноваги між процесами де- та </w:t>
      </w:r>
      <w:proofErr w:type="spellStart"/>
      <w:r w:rsidRPr="00520861">
        <w:rPr>
          <w:rFonts w:eastAsia="Calibri"/>
          <w:sz w:val="28"/>
          <w:szCs w:val="28"/>
          <w:lang w:eastAsia="en-US"/>
        </w:rPr>
        <w:t>ремінералізації</w:t>
      </w:r>
      <w:proofErr w:type="spellEnd"/>
      <w:r w:rsidRPr="00520861">
        <w:rPr>
          <w:rFonts w:eastAsia="Calibri"/>
          <w:sz w:val="28"/>
          <w:szCs w:val="28"/>
          <w:lang w:eastAsia="en-US"/>
        </w:rPr>
        <w:t xml:space="preserve"> в бік </w:t>
      </w:r>
      <w:proofErr w:type="spellStart"/>
      <w:r w:rsidRPr="00520861">
        <w:rPr>
          <w:rFonts w:eastAsia="Calibri"/>
          <w:sz w:val="28"/>
          <w:szCs w:val="28"/>
          <w:lang w:eastAsia="en-US"/>
        </w:rPr>
        <w:t>демінералізації</w:t>
      </w:r>
      <w:proofErr w:type="spellEnd"/>
      <w:r w:rsidRPr="00520861">
        <w:rPr>
          <w:rFonts w:eastAsia="Calibri"/>
          <w:sz w:val="28"/>
          <w:szCs w:val="28"/>
          <w:lang w:eastAsia="en-US"/>
        </w:rPr>
        <w:t xml:space="preserve"> та сприяло виникненню каріозних порожнин. </w:t>
      </w:r>
      <w:r w:rsidRPr="00520861">
        <w:rPr>
          <w:sz w:val="28"/>
          <w:szCs w:val="28"/>
        </w:rPr>
        <w:t xml:space="preserve">Ці результати підтверджуються виявленими нами </w:t>
      </w:r>
      <w:r w:rsidRPr="00520861">
        <w:rPr>
          <w:rFonts w:eastAsia="Calibri"/>
          <w:sz w:val="28"/>
          <w:szCs w:val="28"/>
          <w:lang w:eastAsia="en-US"/>
        </w:rPr>
        <w:t>МФ</w:t>
      </w:r>
      <w:r w:rsidRPr="00520861">
        <w:rPr>
          <w:sz w:val="28"/>
          <w:szCs w:val="28"/>
        </w:rPr>
        <w:t xml:space="preserve"> змінами малих слинних залоз у тварин, які народилися </w:t>
      </w:r>
      <w:proofErr w:type="spellStart"/>
      <w:r w:rsidRPr="00520861">
        <w:rPr>
          <w:sz w:val="28"/>
          <w:szCs w:val="28"/>
        </w:rPr>
        <w:t>макросомами</w:t>
      </w:r>
      <w:proofErr w:type="spellEnd"/>
      <w:r w:rsidRPr="00520861">
        <w:rPr>
          <w:sz w:val="28"/>
          <w:szCs w:val="28"/>
        </w:rPr>
        <w:t>. Такі зміни є чи не головними факторами, що пояснюють високу інтенсивність і поширеність карієсу, а також схильність до травматичних, вірусних і бактеріальних уражень СОПР серед дітей, чиї параметри при народженні були вищі від норми [216].</w:t>
      </w:r>
    </w:p>
    <w:p w14:paraId="3B1CC91F"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sz w:val="28"/>
          <w:szCs w:val="28"/>
        </w:rPr>
        <w:t xml:space="preserve">Цікавим є факт, що як у дітей ОГ у період тимчасового та змінного прикусу, так і в дорослих учасників цього дослідження каріозні порожнини здебільшого локалізуються на </w:t>
      </w:r>
      <w:proofErr w:type="spellStart"/>
      <w:r w:rsidRPr="00520861">
        <w:rPr>
          <w:sz w:val="28"/>
          <w:szCs w:val="28"/>
        </w:rPr>
        <w:t>апроксимальних</w:t>
      </w:r>
      <w:proofErr w:type="spellEnd"/>
      <w:r w:rsidRPr="00520861">
        <w:rPr>
          <w:sz w:val="28"/>
          <w:szCs w:val="28"/>
        </w:rPr>
        <w:t>, щічних та вестибулярних поверхнях зубів. Анатомо-</w:t>
      </w:r>
      <w:proofErr w:type="spellStart"/>
      <w:r w:rsidRPr="00520861">
        <w:rPr>
          <w:sz w:val="28"/>
          <w:szCs w:val="28"/>
        </w:rPr>
        <w:t>топографічно</w:t>
      </w:r>
      <w:proofErr w:type="spellEnd"/>
      <w:r w:rsidRPr="00520861">
        <w:rPr>
          <w:sz w:val="28"/>
          <w:szCs w:val="28"/>
        </w:rPr>
        <w:t xml:space="preserve"> малі слинні залози знаходяться в щільному контакті із </w:t>
      </w:r>
      <w:r w:rsidRPr="00520861">
        <w:rPr>
          <w:sz w:val="28"/>
          <w:szCs w:val="28"/>
        </w:rPr>
        <w:br/>
        <w:t xml:space="preserve">вестибулярними та щічними поверхнями зубів і в безпосередній близькості до їх </w:t>
      </w:r>
      <w:proofErr w:type="spellStart"/>
      <w:r w:rsidRPr="00520861">
        <w:rPr>
          <w:sz w:val="28"/>
          <w:szCs w:val="28"/>
        </w:rPr>
        <w:t>апроксимальних</w:t>
      </w:r>
      <w:proofErr w:type="spellEnd"/>
      <w:r w:rsidRPr="00520861">
        <w:rPr>
          <w:sz w:val="28"/>
          <w:szCs w:val="28"/>
        </w:rPr>
        <w:t xml:space="preserve"> поверхонь. Отже, існує природна обумовленість у дії саме малих слинних залоз на ці поверхні. Незважаючи на те що ці залози продукують лише 10% слини, </w:t>
      </w:r>
      <w:proofErr w:type="spellStart"/>
      <w:r w:rsidRPr="00520861">
        <w:rPr>
          <w:sz w:val="28"/>
          <w:szCs w:val="28"/>
        </w:rPr>
        <w:t>їхучасть</w:t>
      </w:r>
      <w:proofErr w:type="spellEnd"/>
      <w:r w:rsidRPr="00520861">
        <w:rPr>
          <w:sz w:val="28"/>
          <w:szCs w:val="28"/>
        </w:rPr>
        <w:t xml:space="preserve"> у </w:t>
      </w:r>
      <w:proofErr w:type="spellStart"/>
      <w:r w:rsidRPr="00520861">
        <w:rPr>
          <w:sz w:val="28"/>
          <w:szCs w:val="28"/>
        </w:rPr>
        <w:t>протикаріозному</w:t>
      </w:r>
      <w:proofErr w:type="spellEnd"/>
      <w:r w:rsidRPr="00520861">
        <w:rPr>
          <w:sz w:val="28"/>
          <w:szCs w:val="28"/>
        </w:rPr>
        <w:t xml:space="preserve"> захисті є значною [572]. Аналізуючи </w:t>
      </w:r>
      <w:r w:rsidRPr="00520861">
        <w:rPr>
          <w:sz w:val="28"/>
          <w:szCs w:val="28"/>
        </w:rPr>
        <w:br/>
        <w:t xml:space="preserve">вищевикладену інформацію, можна стверджувати, що вади в роботі малих слинних </w:t>
      </w:r>
      <w:r w:rsidRPr="00520861">
        <w:rPr>
          <w:sz w:val="28"/>
          <w:szCs w:val="28"/>
        </w:rPr>
        <w:lastRenderedPageBreak/>
        <w:t>залоз є одним із пояснень такої локалізації каріозних порожнин.</w:t>
      </w:r>
    </w:p>
    <w:p w14:paraId="5A5C6D79"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Швидкість секреції нестимульованої РР також значно менша в осіб із підгрупи 3</w:t>
      </w:r>
      <w:r w:rsidRPr="00520861">
        <w:rPr>
          <w:bCs/>
          <w:sz w:val="28"/>
          <w:szCs w:val="28"/>
        </w:rPr>
        <w:t xml:space="preserve"> та </w:t>
      </w:r>
      <w:r w:rsidRPr="00520861">
        <w:rPr>
          <w:rFonts w:eastAsia="Calibri"/>
          <w:sz w:val="28"/>
          <w:szCs w:val="28"/>
          <w:lang w:eastAsia="en-US"/>
        </w:rPr>
        <w:t xml:space="preserve">підгрупи 4. Таке зниження швидкості слиновиділення в поєднанні із, як виявилося, негативними змінами в складі РР веде до розвитку каріозного процесу [347]. В експериментальних тварин, які народилися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також виявлені порушення стану великих слинних залоз порівняно із тваринами-</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w:t>
      </w:r>
    </w:p>
    <w:p w14:paraId="26E0922D" w14:textId="77777777" w:rsidR="00180D3E" w:rsidRPr="00520861" w:rsidRDefault="00180D3E" w:rsidP="00292D2E">
      <w:pPr>
        <w:widowControl w:val="0"/>
        <w:spacing w:line="360" w:lineRule="auto"/>
        <w:ind w:firstLine="708"/>
        <w:jc w:val="both"/>
        <w:rPr>
          <w:sz w:val="28"/>
          <w:szCs w:val="28"/>
        </w:rPr>
      </w:pPr>
      <w:r w:rsidRPr="00520861">
        <w:rPr>
          <w:sz w:val="28"/>
          <w:szCs w:val="28"/>
        </w:rPr>
        <w:t xml:space="preserve">Деяке зміщення кислотно-лужної рівноваги РР у кислий бік в осіб віком 12 – 17 років, швидше за все, пов’язане із пубертатними змінами. У більш пізньому віці зміщення в бік ацидозу переважно притаманне учасникам </w:t>
      </w:r>
      <w:r w:rsidRPr="00520861">
        <w:rPr>
          <w:rFonts w:eastAsia="Calibri"/>
          <w:sz w:val="28"/>
          <w:szCs w:val="28"/>
          <w:lang w:eastAsia="en-US"/>
        </w:rPr>
        <w:t>підгруп 3</w:t>
      </w:r>
      <w:r w:rsidRPr="00520861">
        <w:rPr>
          <w:sz w:val="28"/>
          <w:szCs w:val="28"/>
        </w:rPr>
        <w:t xml:space="preserve"> і</w:t>
      </w:r>
      <w:r w:rsidRPr="00520861">
        <w:rPr>
          <w:rFonts w:eastAsia="Calibri"/>
          <w:sz w:val="28"/>
          <w:szCs w:val="28"/>
          <w:lang w:eastAsia="en-US"/>
        </w:rPr>
        <w:t xml:space="preserve"> 4</w:t>
      </w:r>
      <w:r w:rsidRPr="00520861">
        <w:rPr>
          <w:sz w:val="28"/>
          <w:szCs w:val="28"/>
        </w:rPr>
        <w:t xml:space="preserve">. Незважаючи на високу інтенсивність карієсу в осіб цих підгруп, значення </w:t>
      </w:r>
      <w:proofErr w:type="spellStart"/>
      <w:r w:rsidRPr="00520861">
        <w:rPr>
          <w:sz w:val="28"/>
          <w:szCs w:val="28"/>
        </w:rPr>
        <w:t>ph</w:t>
      </w:r>
      <w:proofErr w:type="spellEnd"/>
      <w:r w:rsidRPr="00520861">
        <w:rPr>
          <w:sz w:val="28"/>
          <w:szCs w:val="28"/>
        </w:rPr>
        <w:t xml:space="preserve"> у багатьох учасників дослідження є </w:t>
      </w:r>
      <w:proofErr w:type="spellStart"/>
      <w:r w:rsidRPr="00520861">
        <w:rPr>
          <w:sz w:val="28"/>
          <w:szCs w:val="28"/>
        </w:rPr>
        <w:t>невірогідно</w:t>
      </w:r>
      <w:proofErr w:type="spellEnd"/>
      <w:r w:rsidRPr="00520861">
        <w:rPr>
          <w:sz w:val="28"/>
          <w:szCs w:val="28"/>
        </w:rPr>
        <w:t xml:space="preserve"> нижчим, ніж в осіб ГП, а в деяких осіб навіть наближається до нейтрального. Розвиток каріозного процесу в таких осіб може бути пов’язаним із низькою мінеральною щільністю твердих тканин зубів. </w:t>
      </w:r>
    </w:p>
    <w:p w14:paraId="10548C50"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Обговорюючи високі індекси карієсу обстежених осіб ОГ, розглянемо біохімічні показники РР у віковому аспекті. Високі значення вмісту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спостерігалися в осіб із підгруп 3 і 4 усіх ВП. Найбільш виражене підвищення спостерігалося в осіб підгрупи 4. Ми це пов’язуємо із тим, що ВУ розвиток цих осіб проходив за умов </w:t>
      </w:r>
      <w:proofErr w:type="spellStart"/>
      <w:r w:rsidRPr="00520861">
        <w:rPr>
          <w:rFonts w:eastAsia="Calibri"/>
          <w:sz w:val="28"/>
          <w:szCs w:val="28"/>
          <w:lang w:eastAsia="en-US"/>
        </w:rPr>
        <w:t>гіперкортизолемії</w:t>
      </w:r>
      <w:proofErr w:type="spellEnd"/>
      <w:r w:rsidRPr="00520861">
        <w:rPr>
          <w:rFonts w:eastAsia="Calibri"/>
          <w:sz w:val="28"/>
          <w:szCs w:val="28"/>
          <w:lang w:eastAsia="en-US"/>
        </w:rPr>
        <w:t xml:space="preserve">. Відомо, що </w:t>
      </w:r>
      <w:proofErr w:type="spellStart"/>
      <w:r w:rsidRPr="00520861">
        <w:rPr>
          <w:rFonts w:eastAsia="Calibri"/>
          <w:sz w:val="28"/>
          <w:szCs w:val="28"/>
          <w:lang w:eastAsia="en-US"/>
        </w:rPr>
        <w:t>кортизол</w:t>
      </w:r>
      <w:proofErr w:type="spellEnd"/>
      <w:r w:rsidRPr="00520861">
        <w:rPr>
          <w:rFonts w:eastAsia="Calibri"/>
          <w:sz w:val="28"/>
          <w:szCs w:val="28"/>
          <w:lang w:eastAsia="en-US"/>
        </w:rPr>
        <w:t xml:space="preserve"> є стимулятором збільшення маси жирової тканини, що прямо корелює зі збільшенням продукції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адипоцитами</w:t>
      </w:r>
      <w:proofErr w:type="spellEnd"/>
      <w:r w:rsidRPr="00520861">
        <w:rPr>
          <w:rFonts w:eastAsia="Calibri"/>
          <w:sz w:val="28"/>
          <w:szCs w:val="28"/>
          <w:lang w:eastAsia="en-US"/>
        </w:rPr>
        <w:t xml:space="preserve">. </w:t>
      </w:r>
      <w:r w:rsidRPr="00520861">
        <w:rPr>
          <w:rFonts w:eastAsia="Calibri"/>
          <w:spacing w:val="-1"/>
          <w:sz w:val="28"/>
          <w:szCs w:val="28"/>
          <w:lang w:eastAsia="en-US"/>
        </w:rPr>
        <w:t xml:space="preserve">Одержані нами результати корелюють із дослідженнями, проведеними </w:t>
      </w:r>
      <w:proofErr w:type="spellStart"/>
      <w:r w:rsidRPr="00520861">
        <w:rPr>
          <w:rFonts w:eastAsia="Calibri"/>
          <w:spacing w:val="-1"/>
          <w:sz w:val="28"/>
          <w:szCs w:val="28"/>
          <w:lang w:eastAsia="en-US"/>
        </w:rPr>
        <w:t>Lepercq</w:t>
      </w:r>
      <w:proofErr w:type="spellEnd"/>
      <w:r w:rsidRPr="00520861">
        <w:rPr>
          <w:rFonts w:eastAsia="Calibri"/>
          <w:spacing w:val="-1"/>
          <w:sz w:val="28"/>
          <w:szCs w:val="28"/>
          <w:lang w:eastAsia="en-US"/>
        </w:rPr>
        <w:t xml:space="preserve"> J. та співавторами [399] ще в 1999 році, де науковці стверджують, що рівні </w:t>
      </w:r>
      <w:proofErr w:type="spellStart"/>
      <w:r w:rsidRPr="00520861">
        <w:rPr>
          <w:rFonts w:eastAsia="Calibri"/>
          <w:spacing w:val="-1"/>
          <w:sz w:val="28"/>
          <w:szCs w:val="28"/>
          <w:lang w:eastAsia="en-US"/>
        </w:rPr>
        <w:t>лептину</w:t>
      </w:r>
      <w:proofErr w:type="spellEnd"/>
      <w:r w:rsidRPr="00520861">
        <w:rPr>
          <w:rFonts w:eastAsia="Calibri"/>
          <w:spacing w:val="-1"/>
          <w:sz w:val="28"/>
          <w:szCs w:val="28"/>
          <w:lang w:eastAsia="en-US"/>
        </w:rPr>
        <w:t xml:space="preserve"> в </w:t>
      </w:r>
      <w:r w:rsidRPr="00520861">
        <w:rPr>
          <w:rFonts w:eastAsia="Calibri"/>
          <w:spacing w:val="-1"/>
          <w:sz w:val="28"/>
          <w:szCs w:val="28"/>
          <w:lang w:eastAsia="en-US"/>
        </w:rPr>
        <w:br/>
        <w:t xml:space="preserve">новонароджених із асиметричною </w:t>
      </w:r>
      <w:proofErr w:type="spellStart"/>
      <w:r w:rsidRPr="00520861">
        <w:rPr>
          <w:rFonts w:eastAsia="Calibri"/>
          <w:spacing w:val="-1"/>
          <w:sz w:val="28"/>
          <w:szCs w:val="28"/>
          <w:lang w:eastAsia="en-US"/>
        </w:rPr>
        <w:t>макросомією</w:t>
      </w:r>
      <w:proofErr w:type="spellEnd"/>
      <w:r w:rsidRPr="00520861">
        <w:rPr>
          <w:rFonts w:eastAsia="Calibri"/>
          <w:spacing w:val="-1"/>
          <w:sz w:val="28"/>
          <w:szCs w:val="28"/>
          <w:lang w:eastAsia="en-US"/>
        </w:rPr>
        <w:t xml:space="preserve"> були більшими за такі не тільки в </w:t>
      </w:r>
      <w:proofErr w:type="spellStart"/>
      <w:r w:rsidRPr="00520861">
        <w:rPr>
          <w:rFonts w:eastAsia="Calibri"/>
          <w:spacing w:val="-1"/>
          <w:sz w:val="28"/>
          <w:szCs w:val="28"/>
          <w:lang w:eastAsia="en-US"/>
        </w:rPr>
        <w:t>нормосомів</w:t>
      </w:r>
      <w:proofErr w:type="spellEnd"/>
      <w:r w:rsidRPr="00520861">
        <w:rPr>
          <w:rFonts w:eastAsia="Calibri"/>
          <w:spacing w:val="-1"/>
          <w:sz w:val="28"/>
          <w:szCs w:val="28"/>
          <w:lang w:eastAsia="en-US"/>
        </w:rPr>
        <w:t xml:space="preserve"> відповідного віку, а й у </w:t>
      </w:r>
      <w:proofErr w:type="spellStart"/>
      <w:r w:rsidRPr="00520861">
        <w:rPr>
          <w:rFonts w:eastAsia="Calibri"/>
          <w:spacing w:val="-1"/>
          <w:sz w:val="28"/>
          <w:szCs w:val="28"/>
          <w:lang w:eastAsia="en-US"/>
        </w:rPr>
        <w:t>макросомів</w:t>
      </w:r>
      <w:proofErr w:type="spellEnd"/>
      <w:r w:rsidRPr="00520861">
        <w:rPr>
          <w:rFonts w:eastAsia="Calibri"/>
          <w:spacing w:val="-1"/>
          <w:sz w:val="28"/>
          <w:szCs w:val="28"/>
          <w:lang w:eastAsia="en-US"/>
        </w:rPr>
        <w:t xml:space="preserve"> із симетричною формою </w:t>
      </w:r>
      <w:proofErr w:type="spellStart"/>
      <w:r w:rsidRPr="00520861">
        <w:rPr>
          <w:rFonts w:eastAsia="Calibri"/>
          <w:spacing w:val="-1"/>
          <w:sz w:val="28"/>
          <w:szCs w:val="28"/>
          <w:lang w:eastAsia="en-US"/>
        </w:rPr>
        <w:t>макросомії</w:t>
      </w:r>
      <w:proofErr w:type="spellEnd"/>
      <w:r w:rsidRPr="00520861">
        <w:rPr>
          <w:rFonts w:eastAsia="Calibri"/>
          <w:spacing w:val="-1"/>
          <w:sz w:val="28"/>
          <w:szCs w:val="28"/>
          <w:lang w:eastAsia="en-US"/>
        </w:rPr>
        <w:t>.</w:t>
      </w:r>
      <w:r w:rsidRPr="00520861">
        <w:rPr>
          <w:rFonts w:eastAsia="Calibri"/>
          <w:sz w:val="28"/>
          <w:szCs w:val="28"/>
          <w:lang w:eastAsia="en-US"/>
        </w:rPr>
        <w:t xml:space="preserve"> </w:t>
      </w:r>
    </w:p>
    <w:p w14:paraId="169782E0"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 осіб із підгрупи 3 також мала місце </w:t>
      </w:r>
      <w:proofErr w:type="spellStart"/>
      <w:r w:rsidRPr="00520861">
        <w:rPr>
          <w:rFonts w:eastAsia="Calibri"/>
          <w:sz w:val="28"/>
          <w:szCs w:val="28"/>
          <w:lang w:eastAsia="en-US"/>
        </w:rPr>
        <w:t>гіперкортизолемія</w:t>
      </w:r>
      <w:proofErr w:type="spellEnd"/>
      <w:r w:rsidRPr="00520861">
        <w:rPr>
          <w:rFonts w:eastAsia="Calibri"/>
          <w:sz w:val="28"/>
          <w:szCs w:val="28"/>
          <w:lang w:eastAsia="en-US"/>
        </w:rPr>
        <w:t xml:space="preserve">, проте, зважаючи на їх МРП на момент народження, у них був також підвищений рівень СТГ, що надавало додаткового впливу на диференціювання </w:t>
      </w:r>
      <w:proofErr w:type="spellStart"/>
      <w:r w:rsidRPr="00520861">
        <w:rPr>
          <w:rFonts w:eastAsia="Calibri"/>
          <w:sz w:val="28"/>
          <w:szCs w:val="28"/>
          <w:lang w:eastAsia="en-US"/>
        </w:rPr>
        <w:t>преадипоцитів</w:t>
      </w:r>
      <w:proofErr w:type="spellEnd"/>
      <w:r w:rsidRPr="00520861">
        <w:rPr>
          <w:rFonts w:eastAsia="Calibri"/>
          <w:sz w:val="28"/>
          <w:szCs w:val="28"/>
          <w:lang w:eastAsia="en-US"/>
        </w:rPr>
        <w:t xml:space="preserve"> та робило внесок у збільшення маси жирової тканини. Це корелює зі збільшенням продукції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w:t>
      </w:r>
    </w:p>
    <w:p w14:paraId="4D848C7D"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Слід зазначити, що в осіб підгрупи 3 і підгрупи 4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вищі, ніж у ГП, концентрації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спостерігалися у всіх ВП. Такі зміни, ймовірно, були обумовлені формуванням стану </w:t>
      </w:r>
      <w:proofErr w:type="spellStart"/>
      <w:r w:rsidRPr="00520861">
        <w:rPr>
          <w:rFonts w:eastAsia="Calibri"/>
          <w:sz w:val="28"/>
          <w:szCs w:val="28"/>
          <w:lang w:eastAsia="en-US"/>
        </w:rPr>
        <w:t>лептинорезистентності</w:t>
      </w:r>
      <w:proofErr w:type="spellEnd"/>
      <w:r w:rsidRPr="00520861">
        <w:rPr>
          <w:rFonts w:eastAsia="Calibri"/>
          <w:sz w:val="28"/>
          <w:szCs w:val="28"/>
          <w:lang w:eastAsia="en-US"/>
        </w:rPr>
        <w:t xml:space="preserve">. За таких умов відбуваються </w:t>
      </w:r>
      <w:r w:rsidRPr="00520861">
        <w:rPr>
          <w:rFonts w:eastAsia="Calibri"/>
          <w:sz w:val="28"/>
          <w:szCs w:val="28"/>
          <w:lang w:eastAsia="en-US"/>
        </w:rPr>
        <w:br/>
      </w:r>
      <w:r w:rsidRPr="00520861">
        <w:rPr>
          <w:rFonts w:eastAsia="Calibri"/>
          <w:sz w:val="28"/>
          <w:szCs w:val="28"/>
          <w:lang w:eastAsia="en-US"/>
        </w:rPr>
        <w:lastRenderedPageBreak/>
        <w:t xml:space="preserve">порушення фізіологічних функцій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наслідком чого є формування </w:t>
      </w:r>
      <w:proofErr w:type="spellStart"/>
      <w:r w:rsidRPr="00520861">
        <w:rPr>
          <w:rFonts w:eastAsia="Calibri"/>
          <w:sz w:val="28"/>
          <w:szCs w:val="28"/>
          <w:lang w:eastAsia="en-US"/>
        </w:rPr>
        <w:t>інсулінорезистентності</w:t>
      </w:r>
      <w:proofErr w:type="spellEnd"/>
      <w:r w:rsidRPr="00520861">
        <w:rPr>
          <w:rFonts w:eastAsia="Calibri"/>
          <w:sz w:val="28"/>
          <w:szCs w:val="28"/>
          <w:lang w:eastAsia="en-US"/>
        </w:rPr>
        <w:t xml:space="preserve">, у тому числі за рахунок збільшення продукції </w:t>
      </w:r>
      <w:proofErr w:type="spellStart"/>
      <w:r w:rsidRPr="00520861">
        <w:rPr>
          <w:rFonts w:eastAsia="Calibri"/>
          <w:sz w:val="28"/>
          <w:szCs w:val="28"/>
          <w:lang w:eastAsia="en-US"/>
        </w:rPr>
        <w:t>прозапальних</w:t>
      </w:r>
      <w:proofErr w:type="spellEnd"/>
      <w:r w:rsidRPr="00520861">
        <w:rPr>
          <w:rFonts w:eastAsia="Calibri"/>
          <w:sz w:val="28"/>
          <w:szCs w:val="28"/>
          <w:lang w:eastAsia="en-US"/>
        </w:rPr>
        <w:t xml:space="preserve"> цитокінів [581]. Водночас в осіб, що були віднесені до підгрупи 1, хоча медіанні значення рівнів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за всі ВП разом були вірогідно вищими за такі в ГП, з віком не спостерігалося зростання його концентрації. У підгрупі 2 цей показник навіть був зниженим. Це, очевидно, було обумовлено високим умістом СТГ за відносного дефіциту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унаслідок чого формування жирової тканини дещо пригнічувалося. </w:t>
      </w:r>
    </w:p>
    <w:p w14:paraId="710E6B54"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Розглянемо ситуацію із визначеним у РР умістом одного з </w:t>
      </w:r>
      <w:proofErr w:type="spellStart"/>
      <w:r w:rsidRPr="00520861">
        <w:rPr>
          <w:rFonts w:eastAsia="Calibri"/>
          <w:sz w:val="28"/>
          <w:szCs w:val="28"/>
          <w:lang w:eastAsia="en-US"/>
        </w:rPr>
        <w:t>адипокінів</w:t>
      </w:r>
      <w:proofErr w:type="spellEnd"/>
      <w:r w:rsidRPr="00520861">
        <w:rPr>
          <w:rFonts w:eastAsia="Calibri"/>
          <w:sz w:val="28"/>
          <w:szCs w:val="28"/>
          <w:lang w:eastAsia="en-US"/>
        </w:rPr>
        <w:t xml:space="preserve">, що продукуються жировою тканиною, –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Останній має низку позитивних метаболічних ефектів – пригнічує диференціювання </w:t>
      </w:r>
      <w:proofErr w:type="spellStart"/>
      <w:r w:rsidRPr="00520861">
        <w:rPr>
          <w:rFonts w:eastAsia="Calibri"/>
          <w:sz w:val="28"/>
          <w:szCs w:val="28"/>
          <w:lang w:eastAsia="en-US"/>
        </w:rPr>
        <w:t>преадипоцитів</w:t>
      </w:r>
      <w:proofErr w:type="spellEnd"/>
      <w:r w:rsidRPr="00520861">
        <w:rPr>
          <w:rFonts w:eastAsia="Calibri"/>
          <w:sz w:val="28"/>
          <w:szCs w:val="28"/>
          <w:lang w:eastAsia="en-US"/>
        </w:rPr>
        <w:t xml:space="preserve">, знижує інтенсивність </w:t>
      </w:r>
      <w:proofErr w:type="spellStart"/>
      <w:r w:rsidRPr="00520861">
        <w:rPr>
          <w:rFonts w:eastAsia="Calibri"/>
          <w:sz w:val="28"/>
          <w:szCs w:val="28"/>
          <w:lang w:eastAsia="en-US"/>
        </w:rPr>
        <w:t>глюконеогенезу</w:t>
      </w:r>
      <w:proofErr w:type="spellEnd"/>
      <w:r w:rsidRPr="00520861">
        <w:rPr>
          <w:rFonts w:eastAsia="Calibri"/>
          <w:sz w:val="28"/>
          <w:szCs w:val="28"/>
          <w:lang w:eastAsia="en-US"/>
        </w:rPr>
        <w:t xml:space="preserve">, збільшує чутливість клітин до дії інсуліну та, у цілому, знижує </w:t>
      </w:r>
      <w:proofErr w:type="spellStart"/>
      <w:r w:rsidRPr="00520861">
        <w:rPr>
          <w:rFonts w:eastAsia="Calibri"/>
          <w:sz w:val="28"/>
          <w:szCs w:val="28"/>
          <w:lang w:eastAsia="en-US"/>
        </w:rPr>
        <w:t>кардіометаболічний</w:t>
      </w:r>
      <w:proofErr w:type="spellEnd"/>
      <w:r w:rsidRPr="00520861">
        <w:rPr>
          <w:rFonts w:eastAsia="Calibri"/>
          <w:sz w:val="28"/>
          <w:szCs w:val="28"/>
          <w:lang w:eastAsia="en-US"/>
        </w:rPr>
        <w:t xml:space="preserve"> ризик [221]. </w:t>
      </w:r>
    </w:p>
    <w:p w14:paraId="51386023"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Стійке зниження рівня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в РР осіб підгруп 3 і 4 порівняно з ГП за одночасно високих концентрацій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свідчило про формування дисбалансу </w:t>
      </w:r>
      <w:proofErr w:type="spellStart"/>
      <w:r w:rsidRPr="00520861">
        <w:rPr>
          <w:rFonts w:eastAsia="Calibri"/>
          <w:sz w:val="28"/>
          <w:szCs w:val="28"/>
          <w:lang w:eastAsia="en-US"/>
        </w:rPr>
        <w:t>адипокінів</w:t>
      </w:r>
      <w:proofErr w:type="spellEnd"/>
      <w:r w:rsidRPr="00520861">
        <w:rPr>
          <w:rFonts w:eastAsia="Calibri"/>
          <w:sz w:val="28"/>
          <w:szCs w:val="28"/>
          <w:lang w:eastAsia="en-US"/>
        </w:rPr>
        <w:t xml:space="preserve">, характерного для метаболічного запалення [408, 491]. При цьому більш низькі рівні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спостерігалися в осіб підгрупи 4. Очевидно, що це було обумовлено </w:t>
      </w:r>
      <w:proofErr w:type="spellStart"/>
      <w:r w:rsidRPr="00520861">
        <w:rPr>
          <w:rFonts w:eastAsia="Calibri"/>
          <w:sz w:val="28"/>
          <w:szCs w:val="28"/>
          <w:lang w:eastAsia="en-US"/>
        </w:rPr>
        <w:t>гіперкортизолемією</w:t>
      </w:r>
      <w:proofErr w:type="spellEnd"/>
      <w:r w:rsidRPr="00520861">
        <w:rPr>
          <w:rFonts w:eastAsia="Calibri"/>
          <w:sz w:val="28"/>
          <w:szCs w:val="28"/>
          <w:lang w:eastAsia="en-US"/>
        </w:rPr>
        <w:t xml:space="preserve">, яка первинно була характерною саме для цієї підгрупи – як відомо, </w:t>
      </w:r>
      <w:proofErr w:type="spellStart"/>
      <w:r w:rsidRPr="00520861">
        <w:rPr>
          <w:rFonts w:eastAsia="Calibri"/>
          <w:sz w:val="28"/>
          <w:szCs w:val="28"/>
          <w:lang w:eastAsia="en-US"/>
        </w:rPr>
        <w:t>кортизол</w:t>
      </w:r>
      <w:proofErr w:type="spellEnd"/>
      <w:r w:rsidRPr="00520861">
        <w:rPr>
          <w:rFonts w:eastAsia="Calibri"/>
          <w:sz w:val="28"/>
          <w:szCs w:val="28"/>
          <w:lang w:eastAsia="en-US"/>
        </w:rPr>
        <w:t xml:space="preserve"> пригнічує продукцію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адипоцитами</w:t>
      </w:r>
      <w:proofErr w:type="spellEnd"/>
      <w:r w:rsidRPr="00520861">
        <w:rPr>
          <w:rFonts w:eastAsia="Calibri"/>
          <w:sz w:val="28"/>
          <w:szCs w:val="28"/>
          <w:lang w:eastAsia="en-US"/>
        </w:rPr>
        <w:t xml:space="preserve"> [96]. У під-групах 1 і 2 рівень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суттєво не відрізнявся від ГП, проте в підгрупі 2 його концентрація була найбільшою. Ми це пов’язуємо із відносним надлишком СТГ, який є стимулятором синтезу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[26]. </w:t>
      </w:r>
    </w:p>
    <w:p w14:paraId="7ACD0AD5"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Відомо, що досить тривалий час </w:t>
      </w:r>
      <w:proofErr w:type="spellStart"/>
      <w:r w:rsidRPr="00520861">
        <w:rPr>
          <w:rFonts w:eastAsia="Calibri"/>
          <w:sz w:val="28"/>
          <w:szCs w:val="28"/>
          <w:lang w:eastAsia="en-US"/>
        </w:rPr>
        <w:t>інсулінорезистентність</w:t>
      </w:r>
      <w:proofErr w:type="spellEnd"/>
      <w:r w:rsidRPr="00520861">
        <w:rPr>
          <w:rFonts w:eastAsia="Calibri"/>
          <w:sz w:val="28"/>
          <w:szCs w:val="28"/>
          <w:lang w:eastAsia="en-US"/>
        </w:rPr>
        <w:t xml:space="preserve"> може перебігати </w:t>
      </w:r>
      <w:r w:rsidRPr="00520861">
        <w:rPr>
          <w:rFonts w:eastAsia="Calibri"/>
          <w:sz w:val="28"/>
          <w:szCs w:val="28"/>
          <w:lang w:eastAsia="en-US"/>
        </w:rPr>
        <w:br/>
      </w:r>
      <w:proofErr w:type="spellStart"/>
      <w:r w:rsidRPr="00520861">
        <w:rPr>
          <w:rFonts w:eastAsia="Calibri"/>
          <w:sz w:val="28"/>
          <w:szCs w:val="28"/>
          <w:lang w:eastAsia="en-US"/>
        </w:rPr>
        <w:t>безсимптомно</w:t>
      </w:r>
      <w:proofErr w:type="spellEnd"/>
      <w:r w:rsidRPr="00520861">
        <w:rPr>
          <w:rFonts w:eastAsia="Calibri"/>
          <w:sz w:val="28"/>
          <w:szCs w:val="28"/>
          <w:lang w:eastAsia="en-US"/>
        </w:rPr>
        <w:t xml:space="preserve">. Тому в сучасній клінічній практиці часто застосовують показник – співвідношення </w:t>
      </w:r>
      <w:proofErr w:type="spellStart"/>
      <w:r w:rsidRPr="00520861">
        <w:rPr>
          <w:rFonts w:eastAsia="Calibri"/>
          <w:sz w:val="28"/>
          <w:szCs w:val="28"/>
          <w:lang w:eastAsia="en-US"/>
        </w:rPr>
        <w:t>лептин</w:t>
      </w:r>
      <w:proofErr w:type="spellEnd"/>
      <w:r w:rsidRPr="00520861">
        <w:rPr>
          <w:rFonts w:eastAsia="Calibri"/>
          <w:sz w:val="28"/>
          <w:szCs w:val="28"/>
          <w:lang w:eastAsia="en-US"/>
        </w:rPr>
        <w:t>/</w:t>
      </w:r>
      <w:proofErr w:type="spellStart"/>
      <w:r w:rsidRPr="00520861">
        <w:rPr>
          <w:rFonts w:eastAsia="Calibri"/>
          <w:sz w:val="28"/>
          <w:szCs w:val="28"/>
          <w:lang w:eastAsia="en-US"/>
        </w:rPr>
        <w:t>адипонектин</w:t>
      </w:r>
      <w:proofErr w:type="spellEnd"/>
      <w:r w:rsidRPr="00520861">
        <w:rPr>
          <w:rFonts w:eastAsia="Calibri"/>
          <w:sz w:val="28"/>
          <w:szCs w:val="28"/>
          <w:lang w:eastAsia="en-US"/>
        </w:rPr>
        <w:t xml:space="preserve">, який на сьогоднішній день розглядається як прогностичний критерій глибини порушень метаболічних процесів та </w:t>
      </w:r>
      <w:proofErr w:type="spellStart"/>
      <w:r w:rsidRPr="00520861">
        <w:rPr>
          <w:rFonts w:eastAsia="Calibri"/>
          <w:sz w:val="28"/>
          <w:szCs w:val="28"/>
          <w:lang w:eastAsia="en-US"/>
        </w:rPr>
        <w:t>кардіометаболічного</w:t>
      </w:r>
      <w:proofErr w:type="spellEnd"/>
      <w:r w:rsidRPr="00520861">
        <w:rPr>
          <w:rFonts w:eastAsia="Calibri"/>
          <w:sz w:val="28"/>
          <w:szCs w:val="28"/>
          <w:lang w:eastAsia="en-US"/>
        </w:rPr>
        <w:t xml:space="preserve"> ризику [306]. Зокрема, зростання цього показника прямо пропорційне збільшенню ризику </w:t>
      </w:r>
      <w:proofErr w:type="spellStart"/>
      <w:r w:rsidRPr="00520861">
        <w:rPr>
          <w:rFonts w:eastAsia="Calibri"/>
          <w:sz w:val="28"/>
          <w:szCs w:val="28"/>
          <w:lang w:eastAsia="en-US"/>
        </w:rPr>
        <w:t>кардіоваскулярних</w:t>
      </w:r>
      <w:proofErr w:type="spellEnd"/>
      <w:r w:rsidRPr="00520861">
        <w:rPr>
          <w:rFonts w:eastAsia="Calibri"/>
          <w:sz w:val="28"/>
          <w:szCs w:val="28"/>
          <w:lang w:eastAsia="en-US"/>
        </w:rPr>
        <w:t xml:space="preserve"> ускладнень та інтенсивності метаболічного запалення [123]. Останнє, як відомо, суттєво впливає на обмінні процеси в кістковій тканині – активує її деградацію та порушує процеси </w:t>
      </w:r>
      <w:proofErr w:type="spellStart"/>
      <w:r w:rsidRPr="00520861">
        <w:rPr>
          <w:rFonts w:eastAsia="Calibri"/>
          <w:sz w:val="28"/>
          <w:szCs w:val="28"/>
          <w:lang w:eastAsia="en-US"/>
        </w:rPr>
        <w:t>остеогенезу</w:t>
      </w:r>
      <w:proofErr w:type="spellEnd"/>
      <w:r w:rsidRPr="00520861">
        <w:rPr>
          <w:rFonts w:eastAsia="Calibri"/>
          <w:sz w:val="28"/>
          <w:szCs w:val="28"/>
          <w:lang w:eastAsia="en-US"/>
        </w:rPr>
        <w:t>.</w:t>
      </w:r>
    </w:p>
    <w:p w14:paraId="272591B4"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Було виявлено, що в осіб підгруп 3 і 4 спостерігалися значно підвищені в </w:t>
      </w:r>
      <w:r w:rsidRPr="00520861">
        <w:rPr>
          <w:rFonts w:eastAsia="Calibri"/>
          <w:sz w:val="28"/>
          <w:szCs w:val="28"/>
          <w:lang w:eastAsia="en-US"/>
        </w:rPr>
        <w:br/>
      </w:r>
      <w:r w:rsidRPr="00520861">
        <w:rPr>
          <w:rFonts w:eastAsia="Calibri"/>
          <w:sz w:val="28"/>
          <w:szCs w:val="28"/>
          <w:lang w:eastAsia="en-US"/>
        </w:rPr>
        <w:lastRenderedPageBreak/>
        <w:t xml:space="preserve">порівнянні з ГП значення співвідношення </w:t>
      </w:r>
      <w:proofErr w:type="spellStart"/>
      <w:r w:rsidRPr="00520861">
        <w:rPr>
          <w:rFonts w:eastAsia="Calibri"/>
          <w:sz w:val="28"/>
          <w:szCs w:val="28"/>
          <w:lang w:eastAsia="en-US"/>
        </w:rPr>
        <w:t>Le</w:t>
      </w:r>
      <w:proofErr w:type="spellEnd"/>
      <w:r w:rsidRPr="00520861">
        <w:rPr>
          <w:rFonts w:eastAsia="Calibri"/>
          <w:sz w:val="28"/>
          <w:szCs w:val="28"/>
          <w:lang w:eastAsia="en-US"/>
        </w:rPr>
        <w:t>/</w:t>
      </w:r>
      <w:proofErr w:type="spellStart"/>
      <w:r w:rsidRPr="00520861">
        <w:rPr>
          <w:rFonts w:eastAsia="Calibri"/>
          <w:sz w:val="28"/>
          <w:szCs w:val="28"/>
          <w:lang w:eastAsia="en-US"/>
        </w:rPr>
        <w:t>Ad</w:t>
      </w:r>
      <w:proofErr w:type="spellEnd"/>
      <w:r w:rsidRPr="00520861">
        <w:rPr>
          <w:rFonts w:eastAsia="Calibri"/>
          <w:sz w:val="28"/>
          <w:szCs w:val="28"/>
          <w:lang w:eastAsia="en-US"/>
        </w:rPr>
        <w:t xml:space="preserve">. Найбільші показники виявлені в осіб підгрупи 4, що узгоджувалося з даними їхнього стоматологічного обстеження – у них було зафіксовано високу інтенсивність карієсу. У підгрупах 1 і 2 значення </w:t>
      </w:r>
      <w:proofErr w:type="spellStart"/>
      <w:r w:rsidRPr="00520861">
        <w:rPr>
          <w:rFonts w:eastAsia="Calibri"/>
          <w:sz w:val="28"/>
          <w:szCs w:val="28"/>
          <w:lang w:eastAsia="en-US"/>
        </w:rPr>
        <w:t>Le</w:t>
      </w:r>
      <w:proofErr w:type="spellEnd"/>
      <w:r w:rsidRPr="00520861">
        <w:rPr>
          <w:rFonts w:eastAsia="Calibri"/>
          <w:sz w:val="28"/>
          <w:szCs w:val="28"/>
          <w:lang w:eastAsia="en-US"/>
        </w:rPr>
        <w:t>/</w:t>
      </w:r>
      <w:proofErr w:type="spellStart"/>
      <w:r w:rsidRPr="00520861">
        <w:rPr>
          <w:rFonts w:eastAsia="Calibri"/>
          <w:sz w:val="28"/>
          <w:szCs w:val="28"/>
          <w:lang w:eastAsia="en-US"/>
        </w:rPr>
        <w:t>Ad</w:t>
      </w:r>
      <w:proofErr w:type="spellEnd"/>
      <w:r w:rsidRPr="00520861">
        <w:rPr>
          <w:rFonts w:eastAsia="Calibri"/>
          <w:sz w:val="28"/>
          <w:szCs w:val="28"/>
          <w:lang w:eastAsia="en-US"/>
        </w:rPr>
        <w:t xml:space="preserve"> у більшості випадків було зіставним із ГП, що може розглядатися як більш сприятливий прогноз щодо стану кісткової тканини, зокрема твердих тканин зубів. </w:t>
      </w:r>
    </w:p>
    <w:p w14:paraId="675377D6"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Наше припущення щодо формування метаболічного запалення в осіб підгруп 3 і 4 підтверджувалося також динамікою вмісту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який в осіб цих підгруп у більшості ВП був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вищим від значень у ГП та збільшувався із віком. Особливо виражене зростання цього показника спостерігалося в осіб із </w:t>
      </w:r>
      <w:r w:rsidRPr="00520861">
        <w:rPr>
          <w:rFonts w:eastAsia="Calibri"/>
          <w:sz w:val="28"/>
          <w:szCs w:val="28"/>
          <w:lang w:eastAsia="en-US"/>
        </w:rPr>
        <w:br/>
        <w:t xml:space="preserve">підгрупи 4, які первинно мали </w:t>
      </w:r>
      <w:proofErr w:type="spellStart"/>
      <w:r w:rsidRPr="00520861">
        <w:rPr>
          <w:rFonts w:eastAsia="Calibri"/>
          <w:sz w:val="28"/>
          <w:szCs w:val="28"/>
          <w:lang w:eastAsia="en-US"/>
        </w:rPr>
        <w:t>гіперкортизолемію</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Кортизол</w:t>
      </w:r>
      <w:proofErr w:type="spellEnd"/>
      <w:r w:rsidRPr="00520861">
        <w:rPr>
          <w:rFonts w:eastAsia="Calibri"/>
          <w:sz w:val="28"/>
          <w:szCs w:val="28"/>
          <w:lang w:eastAsia="en-US"/>
        </w:rPr>
        <w:t xml:space="preserve"> зданий упливати на цілу низку метаболічних ланок, у тому числі регулювати метаболічну та ендокринну активність жирової тканини, що узгоджувалося з отриманими нами даними щодо </w:t>
      </w:r>
      <w:r w:rsidRPr="00520861">
        <w:rPr>
          <w:rFonts w:eastAsia="Calibri"/>
          <w:sz w:val="28"/>
          <w:szCs w:val="28"/>
          <w:lang w:eastAsia="en-US"/>
        </w:rPr>
        <w:br/>
        <w:t xml:space="preserve">збільшення рівня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й зниження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У ряді досліджень було виявлено зворотну кореляцію між рівнем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що є характерним для формування загального </w:t>
      </w:r>
      <w:proofErr w:type="spellStart"/>
      <w:r w:rsidRPr="00520861">
        <w:rPr>
          <w:rFonts w:eastAsia="Calibri"/>
          <w:sz w:val="28"/>
          <w:szCs w:val="28"/>
          <w:lang w:eastAsia="en-US"/>
        </w:rPr>
        <w:t>прозапального</w:t>
      </w:r>
      <w:proofErr w:type="spellEnd"/>
      <w:r w:rsidRPr="00520861">
        <w:rPr>
          <w:rFonts w:eastAsia="Calibri"/>
          <w:sz w:val="28"/>
          <w:szCs w:val="28"/>
          <w:lang w:eastAsia="en-US"/>
        </w:rPr>
        <w:t xml:space="preserve"> стану [</w:t>
      </w:r>
      <w:r w:rsidRPr="00520861">
        <w:rPr>
          <w:rFonts w:eastAsia="Calibri"/>
          <w:iCs/>
          <w:sz w:val="28"/>
          <w:szCs w:val="28"/>
          <w:lang w:eastAsia="en-US"/>
        </w:rPr>
        <w:t>195</w:t>
      </w:r>
      <w:r w:rsidRPr="00520861">
        <w:rPr>
          <w:rFonts w:eastAsia="Calibri"/>
          <w:sz w:val="28"/>
          <w:szCs w:val="28"/>
          <w:lang w:eastAsia="en-US"/>
        </w:rPr>
        <w:t xml:space="preserve">]. Це також узгоджується з нашим припущенням щодо метаболічного запалення в осіб підгруп 3 і 4. Крім того, тривала </w:t>
      </w:r>
      <w:proofErr w:type="spellStart"/>
      <w:r w:rsidRPr="00520861">
        <w:rPr>
          <w:rFonts w:eastAsia="Calibri"/>
          <w:sz w:val="28"/>
          <w:szCs w:val="28"/>
          <w:lang w:eastAsia="en-US"/>
        </w:rPr>
        <w:t>гіперкортизолемія</w:t>
      </w:r>
      <w:proofErr w:type="spellEnd"/>
      <w:r w:rsidRPr="00520861">
        <w:rPr>
          <w:rFonts w:eastAsia="Calibri"/>
          <w:sz w:val="28"/>
          <w:szCs w:val="28"/>
          <w:lang w:eastAsia="en-US"/>
        </w:rPr>
        <w:t xml:space="preserve"> негативно впливає на стан кісткової тканини [340], </w:t>
      </w:r>
      <w:r w:rsidRPr="00520861">
        <w:rPr>
          <w:rFonts w:eastAsia="Calibri"/>
          <w:sz w:val="28"/>
          <w:szCs w:val="28"/>
          <w:lang w:eastAsia="en-US"/>
        </w:rPr>
        <w:br/>
        <w:t>сприяючи її деструкції.</w:t>
      </w:r>
    </w:p>
    <w:p w14:paraId="08293798"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Той факт, що в учасників дослідження підгрупи 2 не спостерігалося вірогідних змін рівня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в РР відносно контрольних значень, пов’язаний із первинним зсувом співвідношення СТГ/</w:t>
      </w:r>
      <w:proofErr w:type="spellStart"/>
      <w:r w:rsidRPr="00520861">
        <w:rPr>
          <w:rFonts w:eastAsia="Calibri"/>
          <w:sz w:val="28"/>
          <w:szCs w:val="28"/>
          <w:lang w:eastAsia="en-US"/>
        </w:rPr>
        <w:t>кортизол</w:t>
      </w:r>
      <w:proofErr w:type="spellEnd"/>
      <w:r w:rsidRPr="00520861">
        <w:rPr>
          <w:rFonts w:eastAsia="Calibri"/>
          <w:sz w:val="28"/>
          <w:szCs w:val="28"/>
          <w:lang w:eastAsia="en-US"/>
        </w:rPr>
        <w:t xml:space="preserve"> у бік СТГ, а також асоційований зі стимуляцією (за дії СТГ) синтезу альдостерону, який має із </w:t>
      </w:r>
      <w:proofErr w:type="spellStart"/>
      <w:r w:rsidRPr="00520861">
        <w:rPr>
          <w:rFonts w:eastAsia="Calibri"/>
          <w:sz w:val="28"/>
          <w:szCs w:val="28"/>
          <w:lang w:eastAsia="en-US"/>
        </w:rPr>
        <w:t>кортизолом</w:t>
      </w:r>
      <w:proofErr w:type="spellEnd"/>
      <w:r w:rsidRPr="00520861">
        <w:rPr>
          <w:rFonts w:eastAsia="Calibri"/>
          <w:sz w:val="28"/>
          <w:szCs w:val="28"/>
          <w:lang w:eastAsia="en-US"/>
        </w:rPr>
        <w:t xml:space="preserve"> спільні </w:t>
      </w:r>
      <w:proofErr w:type="spellStart"/>
      <w:r w:rsidRPr="00520861">
        <w:rPr>
          <w:rFonts w:eastAsia="Calibri"/>
          <w:sz w:val="28"/>
          <w:szCs w:val="28"/>
          <w:lang w:eastAsia="en-US"/>
        </w:rPr>
        <w:t>біосинтетичні</w:t>
      </w:r>
      <w:proofErr w:type="spellEnd"/>
      <w:r w:rsidRPr="00520861">
        <w:rPr>
          <w:rFonts w:eastAsia="Calibri"/>
          <w:sz w:val="28"/>
          <w:szCs w:val="28"/>
          <w:lang w:eastAsia="en-US"/>
        </w:rPr>
        <w:t xml:space="preserve"> шляхи [519]. </w:t>
      </w:r>
    </w:p>
    <w:p w14:paraId="30467672"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Хоча медіанне значення рівня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в учасників підгрупи 1 без поділу на ВП було вірогідно (p=0,01169) вищим за контрольне, в окремих ВП вірогідної різниці від контролю все ж не спостерігалося. На відміну від ситуації з підгрупою 2 це може пояснюватися тим, що ВУ розвиток таких осіб відбувався за умов більш гармонійного співвідношення СТГ та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w:t>
      </w:r>
    </w:p>
    <w:p w14:paraId="1A3ABE0C"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Відомо, що розвиток метаболічного запалення супроводжується </w:t>
      </w:r>
      <w:proofErr w:type="spellStart"/>
      <w:r w:rsidRPr="00520861">
        <w:rPr>
          <w:rFonts w:eastAsia="Calibri"/>
          <w:sz w:val="28"/>
          <w:szCs w:val="28"/>
          <w:lang w:eastAsia="en-US"/>
        </w:rPr>
        <w:t>гіперпродукцією</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прозапальних</w:t>
      </w:r>
      <w:proofErr w:type="spellEnd"/>
      <w:r w:rsidRPr="00520861">
        <w:rPr>
          <w:rFonts w:eastAsia="Calibri"/>
          <w:sz w:val="28"/>
          <w:szCs w:val="28"/>
          <w:lang w:eastAsia="en-US"/>
        </w:rPr>
        <w:t xml:space="preserve"> цитокінів, серед яких </w:t>
      </w:r>
      <w:proofErr w:type="spellStart"/>
      <w:r w:rsidRPr="00520861">
        <w:rPr>
          <w:rFonts w:eastAsia="Calibri"/>
          <w:sz w:val="28"/>
          <w:szCs w:val="28"/>
          <w:lang w:eastAsia="en-US"/>
        </w:rPr>
        <w:t>інтерлейкіни</w:t>
      </w:r>
      <w:proofErr w:type="spellEnd"/>
      <w:r w:rsidRPr="00520861">
        <w:rPr>
          <w:rFonts w:eastAsia="Calibri"/>
          <w:sz w:val="28"/>
          <w:szCs w:val="28"/>
          <w:lang w:eastAsia="en-US"/>
        </w:rPr>
        <w:t>, фактор некрозу пухлини-</w:t>
      </w:r>
      <w:r w:rsidRPr="00520861">
        <w:rPr>
          <w:rFonts w:eastAsia="Calibri"/>
          <w:sz w:val="28"/>
          <w:szCs w:val="28"/>
          <w:lang w:eastAsia="en-US"/>
        </w:rPr>
        <w:lastRenderedPageBreak/>
        <w:t xml:space="preserve">альфа тощо [287]. Було виявлено зміну продукції ІЛ-6, рівень якого зростав в осіб підгрупи 3 і підгрупи 4. Ця зміна в більшості ВП поглиблювалася з віком унаслідок прогресування в таких осіб метаболічного запалення, що узгоджувалося з даними МГ дослідження, у якому було виявлено вплив ІЛ-6 на формування карієсу постійних зубів. У науковій літературі ІЛ-6 розглядається як фактор поглиблення та обтяження </w:t>
      </w:r>
      <w:proofErr w:type="spellStart"/>
      <w:r w:rsidRPr="00520861">
        <w:rPr>
          <w:rFonts w:eastAsia="Calibri"/>
          <w:sz w:val="28"/>
          <w:szCs w:val="28"/>
          <w:lang w:eastAsia="en-US"/>
        </w:rPr>
        <w:t>гіперкортизолемії</w:t>
      </w:r>
      <w:proofErr w:type="spellEnd"/>
      <w:r w:rsidRPr="00520861">
        <w:rPr>
          <w:rFonts w:eastAsia="Calibri"/>
          <w:sz w:val="28"/>
          <w:szCs w:val="28"/>
          <w:lang w:eastAsia="en-US"/>
        </w:rPr>
        <w:t xml:space="preserve"> (яка, за нашими спостереженнями, збільшувалася з віком) за рахунок стимуляції </w:t>
      </w:r>
      <w:proofErr w:type="spellStart"/>
      <w:r w:rsidRPr="00520861">
        <w:rPr>
          <w:rFonts w:eastAsia="Calibri"/>
          <w:sz w:val="28"/>
          <w:szCs w:val="28"/>
          <w:lang w:eastAsia="en-US"/>
        </w:rPr>
        <w:t>гіпоталамо</w:t>
      </w:r>
      <w:proofErr w:type="spellEnd"/>
      <w:r w:rsidRPr="00520861">
        <w:rPr>
          <w:rFonts w:eastAsia="Calibri"/>
          <w:sz w:val="28"/>
          <w:szCs w:val="28"/>
          <w:lang w:eastAsia="en-US"/>
        </w:rPr>
        <w:t>-</w:t>
      </w:r>
      <w:proofErr w:type="spellStart"/>
      <w:r w:rsidRPr="00520861">
        <w:rPr>
          <w:rFonts w:eastAsia="Calibri"/>
          <w:sz w:val="28"/>
          <w:szCs w:val="28"/>
          <w:lang w:eastAsia="en-US"/>
        </w:rPr>
        <w:t>гіпофізарно</w:t>
      </w:r>
      <w:proofErr w:type="spellEnd"/>
      <w:r w:rsidRPr="00520861">
        <w:rPr>
          <w:rFonts w:eastAsia="Calibri"/>
          <w:sz w:val="28"/>
          <w:szCs w:val="28"/>
          <w:lang w:eastAsia="en-US"/>
        </w:rPr>
        <w:t xml:space="preserve">-надниркової </w:t>
      </w:r>
      <w:proofErr w:type="spellStart"/>
      <w:r w:rsidRPr="00520861">
        <w:rPr>
          <w:rFonts w:eastAsia="Calibri"/>
          <w:sz w:val="28"/>
          <w:szCs w:val="28"/>
          <w:lang w:eastAsia="en-US"/>
        </w:rPr>
        <w:t>вісі</w:t>
      </w:r>
      <w:proofErr w:type="spellEnd"/>
      <w:r w:rsidRPr="00520861">
        <w:rPr>
          <w:rFonts w:eastAsia="Calibri"/>
          <w:sz w:val="28"/>
          <w:szCs w:val="28"/>
          <w:lang w:eastAsia="en-US"/>
        </w:rPr>
        <w:t xml:space="preserve">. Крім того, доведена роль ІЛ-6 у формуванні ризику карієсу тимчасових зубів [128, 406]. </w:t>
      </w:r>
    </w:p>
    <w:p w14:paraId="5A998289" w14:textId="77777777" w:rsidR="00180D3E" w:rsidRPr="00520861" w:rsidRDefault="00180D3E" w:rsidP="00292D2E">
      <w:pPr>
        <w:widowControl w:val="0"/>
        <w:spacing w:line="360" w:lineRule="auto"/>
        <w:ind w:firstLine="708"/>
        <w:jc w:val="both"/>
        <w:rPr>
          <w:rFonts w:eastAsia="Calibri"/>
          <w:spacing w:val="-4"/>
          <w:sz w:val="28"/>
          <w:szCs w:val="28"/>
          <w:lang w:eastAsia="en-US"/>
        </w:rPr>
      </w:pPr>
      <w:r w:rsidRPr="00520861">
        <w:rPr>
          <w:rFonts w:eastAsia="Calibri"/>
          <w:sz w:val="28"/>
          <w:szCs w:val="28"/>
          <w:lang w:eastAsia="en-US"/>
        </w:rPr>
        <w:t>Вищеописані результати досліджень свідчать, що в підгрупах 3 і 4 інтенсивність каріозного процесу є вищою, ніж в осіб підгруп 1 і 2</w:t>
      </w:r>
      <w:r w:rsidRPr="00520861">
        <w:rPr>
          <w:rFonts w:eastAsia="Calibri"/>
          <w:i/>
          <w:sz w:val="28"/>
          <w:szCs w:val="28"/>
          <w:lang w:eastAsia="en-US"/>
        </w:rPr>
        <w:t xml:space="preserve">. </w:t>
      </w:r>
      <w:r w:rsidRPr="00520861">
        <w:rPr>
          <w:rFonts w:eastAsia="Calibri"/>
          <w:sz w:val="28"/>
          <w:szCs w:val="28"/>
          <w:lang w:eastAsia="en-US"/>
        </w:rPr>
        <w:t xml:space="preserve">В осіб підгрупи 1 не було виявлено суттєвих змін рівня ІЛ-6, проте в осіб підгрупи 2 мала місце тенденція до зростання цього показника, очевидно, обумовлена надлишком СТГ, який стимулював синтез білків, включаючи сімейство </w:t>
      </w:r>
      <w:proofErr w:type="spellStart"/>
      <w:r w:rsidRPr="00520861">
        <w:rPr>
          <w:rFonts w:eastAsia="Calibri"/>
          <w:sz w:val="28"/>
          <w:szCs w:val="28"/>
          <w:lang w:eastAsia="en-US"/>
        </w:rPr>
        <w:t>інтерлейкінів</w:t>
      </w:r>
      <w:proofErr w:type="spellEnd"/>
      <w:r w:rsidRPr="00520861">
        <w:rPr>
          <w:rFonts w:eastAsia="Calibri"/>
          <w:sz w:val="28"/>
          <w:szCs w:val="28"/>
          <w:lang w:eastAsia="en-US"/>
        </w:rPr>
        <w:t xml:space="preserve">. </w:t>
      </w:r>
      <w:r w:rsidRPr="00520861">
        <w:rPr>
          <w:rFonts w:eastAsia="Calibri"/>
          <w:spacing w:val="-4"/>
          <w:sz w:val="28"/>
          <w:szCs w:val="28"/>
          <w:lang w:eastAsia="en-US"/>
        </w:rPr>
        <w:t xml:space="preserve">Найбільш збільшені, проте не вірогідно відносно ГП показники ІЛ-6 особи із підгрупи 2 мали у віці 18 – 45 років. </w:t>
      </w:r>
    </w:p>
    <w:p w14:paraId="4E31BA1B"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Суттєво зменшена активність α-амілази в РР дітей ОГ у ВП-ІІІ пояснюється високою інтенсивністю карієсу тимчасових зубів. Вірогідне (p&lt;0,00001) зниження активності α-амілази РР в осіб підгрупи 4 та, у більшості випадків, в осіб підгрупи 3 в усіх ВП пов’язане із продуктами життєдіяльності патогенних мікроорганізмів, що знижують </w:t>
      </w:r>
      <w:proofErr w:type="spellStart"/>
      <w:r w:rsidRPr="00520861">
        <w:rPr>
          <w:rFonts w:eastAsia="Calibri"/>
          <w:sz w:val="28"/>
          <w:szCs w:val="28"/>
          <w:lang w:eastAsia="en-US"/>
        </w:rPr>
        <w:t>рН</w:t>
      </w:r>
      <w:proofErr w:type="spellEnd"/>
      <w:r w:rsidRPr="00520861">
        <w:rPr>
          <w:rFonts w:eastAsia="Calibri"/>
          <w:sz w:val="28"/>
          <w:szCs w:val="28"/>
          <w:lang w:eastAsia="en-US"/>
        </w:rPr>
        <w:t xml:space="preserve"> РР. Унаслідок цього активність ферменту теж знижується, що є характерним при високій інтенсивності каріозного процесу, виявленій у таких осіб. В осіб із підгруп 1 і 2 віком 7 років і старших зазначених змін не спостерігалося.</w:t>
      </w:r>
    </w:p>
    <w:p w14:paraId="64BD6CB5"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Наступним етапом наших досліджень було вивчення </w:t>
      </w:r>
      <w:proofErr w:type="spellStart"/>
      <w:r w:rsidRPr="00520861">
        <w:rPr>
          <w:rFonts w:eastAsia="Calibri"/>
          <w:sz w:val="28"/>
          <w:szCs w:val="28"/>
          <w:lang w:eastAsia="en-US"/>
        </w:rPr>
        <w:t>антиоксидантно-прооксидантної</w:t>
      </w:r>
      <w:proofErr w:type="spellEnd"/>
      <w:r w:rsidRPr="00520861">
        <w:rPr>
          <w:rFonts w:eastAsia="Calibri"/>
          <w:sz w:val="28"/>
          <w:szCs w:val="28"/>
          <w:lang w:eastAsia="en-US"/>
        </w:rPr>
        <w:t xml:space="preserve"> рівноваги. Відомо, що в ранньому дитячому віці активність ПОЛ є досить інтенсивною внаслідок недосконалості ферментних систем антиоксидантного захисту [72]. Зафіксовані нами високі значення ТБК-АП у дітей ОГ віком 4 – 6 років (навіть у тих, чий ВУ розвиток оцінювався нами як гармонійний) можуть пояснювати високу інтенсивність карієсу тимчасових зубів [</w:t>
      </w:r>
      <w:r w:rsidRPr="00520861">
        <w:rPr>
          <w:rFonts w:eastAsia="Calibri"/>
          <w:iCs/>
          <w:sz w:val="28"/>
          <w:szCs w:val="28"/>
          <w:lang w:eastAsia="en-US"/>
        </w:rPr>
        <w:t>193</w:t>
      </w:r>
      <w:r w:rsidRPr="00520861">
        <w:rPr>
          <w:rFonts w:eastAsia="Calibri"/>
          <w:sz w:val="28"/>
          <w:szCs w:val="28"/>
          <w:lang w:eastAsia="en-US"/>
        </w:rPr>
        <w:t xml:space="preserve">], для якого характерним є зсув співвідношення антиоксидантних та </w:t>
      </w:r>
      <w:proofErr w:type="spellStart"/>
      <w:r w:rsidRPr="00520861">
        <w:rPr>
          <w:rFonts w:eastAsia="Calibri"/>
          <w:sz w:val="28"/>
          <w:szCs w:val="28"/>
          <w:lang w:eastAsia="en-US"/>
        </w:rPr>
        <w:t>прооксидантних</w:t>
      </w:r>
      <w:proofErr w:type="spellEnd"/>
      <w:r w:rsidRPr="00520861">
        <w:rPr>
          <w:rFonts w:eastAsia="Calibri"/>
          <w:sz w:val="28"/>
          <w:szCs w:val="28"/>
          <w:lang w:eastAsia="en-US"/>
        </w:rPr>
        <w:t xml:space="preserve"> факторів. У нормі з віком баланс антиоксидантних факторів вирівнюється й ПОЛ пригнічується. </w:t>
      </w:r>
    </w:p>
    <w:p w14:paraId="52003FDB"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Переважання </w:t>
      </w:r>
      <w:proofErr w:type="spellStart"/>
      <w:r w:rsidRPr="00520861">
        <w:rPr>
          <w:rFonts w:eastAsia="Calibri"/>
          <w:sz w:val="28"/>
          <w:szCs w:val="28"/>
          <w:lang w:eastAsia="en-US"/>
        </w:rPr>
        <w:t>прооксидантних</w:t>
      </w:r>
      <w:proofErr w:type="spellEnd"/>
      <w:r w:rsidRPr="00520861">
        <w:rPr>
          <w:rFonts w:eastAsia="Calibri"/>
          <w:sz w:val="28"/>
          <w:szCs w:val="28"/>
          <w:lang w:eastAsia="en-US"/>
        </w:rPr>
        <w:t xml:space="preserve"> факторів відіграє суттєву роль у патогенезі </w:t>
      </w:r>
      <w:r w:rsidRPr="00520861">
        <w:rPr>
          <w:rFonts w:eastAsia="Calibri"/>
          <w:sz w:val="28"/>
          <w:szCs w:val="28"/>
          <w:lang w:eastAsia="en-US"/>
        </w:rPr>
        <w:br/>
      </w:r>
      <w:r w:rsidRPr="00520861">
        <w:rPr>
          <w:rFonts w:eastAsia="Calibri"/>
          <w:sz w:val="28"/>
          <w:szCs w:val="28"/>
          <w:lang w:eastAsia="en-US"/>
        </w:rPr>
        <w:lastRenderedPageBreak/>
        <w:t xml:space="preserve">метаболічних порушень і поглиблює загальний </w:t>
      </w:r>
      <w:proofErr w:type="spellStart"/>
      <w:r w:rsidRPr="00520861">
        <w:rPr>
          <w:rFonts w:eastAsia="Calibri"/>
          <w:sz w:val="28"/>
          <w:szCs w:val="28"/>
          <w:lang w:eastAsia="en-US"/>
        </w:rPr>
        <w:t>прозапальний</w:t>
      </w:r>
      <w:proofErr w:type="spellEnd"/>
      <w:r w:rsidRPr="00520861">
        <w:rPr>
          <w:rFonts w:eastAsia="Calibri"/>
          <w:sz w:val="28"/>
          <w:szCs w:val="28"/>
          <w:lang w:eastAsia="en-US"/>
        </w:rPr>
        <w:t xml:space="preserve"> стан. Нами було виявлено підвищення рівня ТБК-АП в усіх ВП, більш суттєве в підгрупах 2 – 4. Поєднуючи ці відомості з вірогідним (p&lt;0,001) зниженням рівня каталази та СОД, у </w:t>
      </w:r>
      <w:r w:rsidRPr="00520861">
        <w:rPr>
          <w:rFonts w:eastAsia="Calibri"/>
          <w:sz w:val="28"/>
          <w:szCs w:val="28"/>
          <w:lang w:eastAsia="en-US"/>
        </w:rPr>
        <w:br/>
        <w:t xml:space="preserve">більшості ВП в осіб із підгруп 3 і 4 можна припускати місцеве послаблення антиоксидантного захисту ПР та виникнення умов до підвищення інтенсивності карієсу. </w:t>
      </w:r>
    </w:p>
    <w:p w14:paraId="6E9EA82C"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У підгрупах 2 і 3 інтенсифікація ПОЛ і більш виражене збільшення вмісту ТБК-АП спостерігалося у віці до 18 років. Тут мали місце високі рівні СТГ і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які є гуморальними активаторами ПОЛ. Також спостерігалося зниження ферментних антиоксидантів, особливо виражене в осіб із підгруп 3 і 4, мала місце тенденція до зменшення показників із віком. Цей ефект може бути пов’язаним із </w:t>
      </w:r>
      <w:proofErr w:type="spellStart"/>
      <w:r w:rsidRPr="00520861">
        <w:rPr>
          <w:rFonts w:eastAsia="Calibri"/>
          <w:sz w:val="28"/>
          <w:szCs w:val="28"/>
          <w:lang w:eastAsia="en-US"/>
        </w:rPr>
        <w:t>гіперпродукцією</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прозапального</w:t>
      </w:r>
      <w:proofErr w:type="spellEnd"/>
      <w:r w:rsidRPr="00520861">
        <w:rPr>
          <w:rFonts w:eastAsia="Calibri"/>
          <w:sz w:val="28"/>
          <w:szCs w:val="28"/>
          <w:lang w:eastAsia="en-US"/>
        </w:rPr>
        <w:t xml:space="preserve"> ІЛ-6, відомим результатом якої є активація ПОЛ. У більшості осіб із підгрупи 2, особливо в молодому віці, виражених змін активності СОД і каталази не спостерігалося, що, імовірно, було обумовлено інтенсифікацією біосинтезу білка під впливом високих концентрацій СТГ. У старших ВП, де спостерігається виснаженість компенсаторних механізмів антиоксидантного захисту [152], найменші медіанні значення ТБК-АП серед осіб ОГ зафіксовані в осіб із підгрупи 1.</w:t>
      </w:r>
    </w:p>
    <w:p w14:paraId="57A6843D"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Отже, прогноз стану твердих тканин зубів для осіб підгруп 1 і 2 є більш </w:t>
      </w:r>
      <w:r w:rsidRPr="00520861">
        <w:rPr>
          <w:rFonts w:eastAsia="Calibri"/>
          <w:sz w:val="28"/>
          <w:szCs w:val="28"/>
          <w:lang w:eastAsia="en-US"/>
        </w:rPr>
        <w:br/>
        <w:t xml:space="preserve">сприятливим, ніж для осіб із підгруп 3 та 4. Проведені дослідження можуть бути використані для оцінювання патологічних змін у ПР та встановлення біохімічних критеріїв ранньої та диференційної діагностики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p>
    <w:p w14:paraId="2A2BF380" w14:textId="77777777" w:rsidR="00180D3E" w:rsidRPr="00520861" w:rsidRDefault="00180D3E" w:rsidP="00292D2E">
      <w:pPr>
        <w:widowControl w:val="0"/>
        <w:spacing w:line="360" w:lineRule="auto"/>
        <w:ind w:firstLine="709"/>
        <w:jc w:val="both"/>
        <w:rPr>
          <w:rFonts w:eastAsia="Calibri"/>
          <w:spacing w:val="-6"/>
          <w:sz w:val="28"/>
          <w:szCs w:val="28"/>
          <w:lang w:eastAsia="en-US"/>
        </w:rPr>
      </w:pPr>
      <w:r w:rsidRPr="00520861">
        <w:rPr>
          <w:rFonts w:eastAsia="Calibri"/>
          <w:sz w:val="28"/>
          <w:szCs w:val="28"/>
          <w:lang w:eastAsia="en-US"/>
        </w:rPr>
        <w:t xml:space="preserve">Аналізуючи результати МГ дослідження, зазначимо, що </w:t>
      </w:r>
      <w:proofErr w:type="spellStart"/>
      <w:r w:rsidRPr="00520861">
        <w:rPr>
          <w:rFonts w:eastAsia="Calibri"/>
          <w:sz w:val="28"/>
          <w:szCs w:val="28"/>
          <w:lang w:eastAsia="en-US"/>
        </w:rPr>
        <w:t>оверекспресія</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ароматази</w:t>
      </w:r>
      <w:proofErr w:type="spellEnd"/>
      <w:r w:rsidRPr="00520861">
        <w:rPr>
          <w:rFonts w:eastAsia="Calibri"/>
          <w:sz w:val="28"/>
          <w:szCs w:val="28"/>
          <w:lang w:eastAsia="en-US"/>
        </w:rPr>
        <w:t xml:space="preserve"> зрушує андроген-</w:t>
      </w:r>
      <w:proofErr w:type="spellStart"/>
      <w:r w:rsidRPr="00520861">
        <w:rPr>
          <w:rFonts w:eastAsia="Calibri"/>
          <w:sz w:val="28"/>
          <w:szCs w:val="28"/>
          <w:lang w:eastAsia="en-US"/>
        </w:rPr>
        <w:t>естрогеновий</w:t>
      </w:r>
      <w:proofErr w:type="spellEnd"/>
      <w:r w:rsidRPr="00520861">
        <w:rPr>
          <w:rFonts w:eastAsia="Calibri"/>
          <w:sz w:val="28"/>
          <w:szCs w:val="28"/>
          <w:lang w:eastAsia="en-US"/>
        </w:rPr>
        <w:t xml:space="preserve"> баланс у бік переважання останніх, що корелює з </w:t>
      </w:r>
      <w:proofErr w:type="spellStart"/>
      <w:r w:rsidRPr="00520861">
        <w:rPr>
          <w:rFonts w:eastAsia="Calibri"/>
          <w:sz w:val="28"/>
          <w:szCs w:val="28"/>
          <w:lang w:eastAsia="en-US"/>
        </w:rPr>
        <w:t>прозапально-антизапальним</w:t>
      </w:r>
      <w:proofErr w:type="spellEnd"/>
      <w:r w:rsidRPr="00520861">
        <w:rPr>
          <w:rFonts w:eastAsia="Calibri"/>
          <w:sz w:val="28"/>
          <w:szCs w:val="28"/>
          <w:lang w:eastAsia="en-US"/>
        </w:rPr>
        <w:t xml:space="preserve"> статусом і шляхами відкладення жиру. </w:t>
      </w:r>
      <w:proofErr w:type="spellStart"/>
      <w:r w:rsidRPr="00520861">
        <w:rPr>
          <w:rFonts w:eastAsia="Calibri"/>
          <w:spacing w:val="-6"/>
          <w:sz w:val="28"/>
          <w:szCs w:val="28"/>
          <w:lang w:eastAsia="en-US"/>
        </w:rPr>
        <w:t>Естрогени</w:t>
      </w:r>
      <w:proofErr w:type="spellEnd"/>
      <w:r w:rsidRPr="00520861">
        <w:rPr>
          <w:rFonts w:eastAsia="Calibri"/>
          <w:spacing w:val="-6"/>
          <w:sz w:val="28"/>
          <w:szCs w:val="28"/>
          <w:lang w:eastAsia="en-US"/>
        </w:rPr>
        <w:t xml:space="preserve"> самі по собі мають протизапальну дію, але, якщо їх багато, виникає хронічне запалення. Значна кількість жирових накопичень, вільні </w:t>
      </w:r>
      <w:proofErr w:type="spellStart"/>
      <w:r w:rsidRPr="00520861">
        <w:rPr>
          <w:rFonts w:eastAsia="Calibri"/>
          <w:spacing w:val="-6"/>
          <w:sz w:val="28"/>
          <w:szCs w:val="28"/>
          <w:lang w:eastAsia="en-US"/>
        </w:rPr>
        <w:t>неестерифіковані</w:t>
      </w:r>
      <w:proofErr w:type="spellEnd"/>
      <w:r w:rsidRPr="00520861">
        <w:rPr>
          <w:rFonts w:eastAsia="Calibri"/>
          <w:spacing w:val="-6"/>
          <w:sz w:val="28"/>
          <w:szCs w:val="28"/>
          <w:lang w:eastAsia="en-US"/>
        </w:rPr>
        <w:t xml:space="preserve"> кислоти мають цитотоксичну, </w:t>
      </w:r>
      <w:proofErr w:type="spellStart"/>
      <w:r w:rsidRPr="00520861">
        <w:rPr>
          <w:rFonts w:eastAsia="Calibri"/>
          <w:spacing w:val="-6"/>
          <w:sz w:val="28"/>
          <w:szCs w:val="28"/>
          <w:lang w:eastAsia="en-US"/>
        </w:rPr>
        <w:t>прозапальну</w:t>
      </w:r>
      <w:proofErr w:type="spellEnd"/>
      <w:r w:rsidRPr="00520861">
        <w:rPr>
          <w:rFonts w:eastAsia="Calibri"/>
          <w:spacing w:val="-6"/>
          <w:sz w:val="28"/>
          <w:szCs w:val="28"/>
          <w:lang w:eastAsia="en-US"/>
        </w:rPr>
        <w:t xml:space="preserve"> дію, унаслідок чого розвивається метаболічне запалення [476]. </w:t>
      </w:r>
    </w:p>
    <w:p w14:paraId="73293915" w14:textId="77777777" w:rsidR="00180D3E" w:rsidRPr="00520861" w:rsidRDefault="00180D3E" w:rsidP="00292D2E">
      <w:pPr>
        <w:widowControl w:val="0"/>
        <w:spacing w:line="360" w:lineRule="auto"/>
        <w:ind w:firstLine="709"/>
        <w:jc w:val="both"/>
        <w:rPr>
          <w:rFonts w:eastAsia="Calibri"/>
          <w:sz w:val="28"/>
          <w:szCs w:val="28"/>
          <w:lang w:eastAsia="en-US"/>
        </w:rPr>
      </w:pPr>
      <w:proofErr w:type="spellStart"/>
      <w:r w:rsidRPr="00520861">
        <w:rPr>
          <w:rFonts w:eastAsia="Calibri"/>
          <w:sz w:val="28"/>
          <w:szCs w:val="28"/>
          <w:lang w:eastAsia="en-US"/>
        </w:rPr>
        <w:t>Однонуклеотидний</w:t>
      </w:r>
      <w:proofErr w:type="spellEnd"/>
      <w:r w:rsidRPr="00520861">
        <w:rPr>
          <w:rFonts w:eastAsia="Calibri"/>
          <w:sz w:val="28"/>
          <w:szCs w:val="28"/>
          <w:lang w:eastAsia="en-US"/>
        </w:rPr>
        <w:t xml:space="preserve"> поліморфізм у гені </w:t>
      </w:r>
      <w:proofErr w:type="spellStart"/>
      <w:r w:rsidRPr="00520861">
        <w:rPr>
          <w:rFonts w:eastAsia="Calibri"/>
          <w:sz w:val="28"/>
          <w:szCs w:val="28"/>
          <w:lang w:eastAsia="en-US"/>
        </w:rPr>
        <w:t>ароматази</w:t>
      </w:r>
      <w:proofErr w:type="spellEnd"/>
      <w:r w:rsidRPr="00520861">
        <w:rPr>
          <w:rFonts w:eastAsia="Calibri"/>
          <w:sz w:val="28"/>
          <w:szCs w:val="28"/>
          <w:lang w:eastAsia="en-US"/>
        </w:rPr>
        <w:t xml:space="preserve"> (</w:t>
      </w:r>
      <w:r w:rsidRPr="00520861">
        <w:rPr>
          <w:rFonts w:eastAsia="Calibri"/>
          <w:i/>
          <w:sz w:val="28"/>
          <w:szCs w:val="28"/>
          <w:lang w:eastAsia="en-US"/>
        </w:rPr>
        <w:t>CYP19A1: A&gt;G</w:t>
      </w:r>
      <w:r w:rsidRPr="00520861">
        <w:rPr>
          <w:rFonts w:eastAsia="Calibri"/>
          <w:sz w:val="28"/>
          <w:szCs w:val="28"/>
          <w:lang w:eastAsia="en-US"/>
        </w:rPr>
        <w:t xml:space="preserve"> [rs2414096]) може використовуватися як один із маркерів виявлення схильності до розвитку РДК в осіб, чиї МРП при народженні були вищими за норму.</w:t>
      </w:r>
    </w:p>
    <w:p w14:paraId="0F7FD4B1"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Обговорюючи результати вивчення генетичної детермінанти у виникненні </w:t>
      </w:r>
      <w:r w:rsidRPr="00520861">
        <w:rPr>
          <w:rFonts w:eastAsia="Calibri"/>
          <w:sz w:val="28"/>
          <w:szCs w:val="28"/>
          <w:lang w:eastAsia="en-US"/>
        </w:rPr>
        <w:br/>
      </w:r>
      <w:r w:rsidRPr="00520861">
        <w:rPr>
          <w:rFonts w:eastAsia="Calibri"/>
          <w:sz w:val="28"/>
          <w:szCs w:val="28"/>
          <w:lang w:eastAsia="en-US"/>
        </w:rPr>
        <w:lastRenderedPageBreak/>
        <w:t xml:space="preserve">різної інтенсивності карієсу зубів постійного прикусу, слід указати, що наші </w:t>
      </w:r>
      <w:r w:rsidRPr="00520861">
        <w:rPr>
          <w:rFonts w:eastAsia="Calibri"/>
          <w:sz w:val="28"/>
          <w:szCs w:val="28"/>
          <w:lang w:eastAsia="en-US"/>
        </w:rPr>
        <w:br/>
        <w:t xml:space="preserve">дослідження виявили, що поліморфізм гена </w:t>
      </w:r>
      <w:r w:rsidRPr="00520861">
        <w:rPr>
          <w:rFonts w:eastAsia="Calibri"/>
          <w:i/>
          <w:sz w:val="28"/>
          <w:szCs w:val="28"/>
          <w:lang w:eastAsia="en-US"/>
        </w:rPr>
        <w:t>RANKL: C&gt;T</w:t>
      </w:r>
      <w:r w:rsidRPr="00520861">
        <w:rPr>
          <w:rFonts w:eastAsia="Calibri"/>
          <w:sz w:val="28"/>
          <w:szCs w:val="28"/>
          <w:lang w:eastAsia="en-US"/>
        </w:rPr>
        <w:t xml:space="preserve"> [rs9594738] є </w:t>
      </w:r>
      <w:proofErr w:type="spellStart"/>
      <w:r w:rsidRPr="00520861">
        <w:rPr>
          <w:rFonts w:eastAsia="Calibri"/>
          <w:sz w:val="28"/>
          <w:szCs w:val="28"/>
          <w:lang w:eastAsia="en-US"/>
        </w:rPr>
        <w:t>протективним</w:t>
      </w:r>
      <w:proofErr w:type="spellEnd"/>
      <w:r w:rsidRPr="00520861">
        <w:rPr>
          <w:rFonts w:eastAsia="Calibri"/>
          <w:sz w:val="28"/>
          <w:szCs w:val="28"/>
          <w:lang w:eastAsia="en-US"/>
        </w:rPr>
        <w:t xml:space="preserve"> фактором для розвитку середньої (рецесивна і мультиплікативна моделі успадкування) та високої (адитивна, рецесивна і мультиплікативна моделі успадкування) інтенсивності карієсу в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За нещодавно опублікованими відомостями [466], наявність в осіб хоча б одного алеля Т у гені </w:t>
      </w:r>
      <w:r w:rsidRPr="00520861">
        <w:rPr>
          <w:rFonts w:eastAsia="Calibri"/>
          <w:i/>
          <w:sz w:val="28"/>
          <w:szCs w:val="28"/>
          <w:lang w:eastAsia="en-US"/>
        </w:rPr>
        <w:t>RANKL</w:t>
      </w:r>
      <w:r w:rsidRPr="00520861">
        <w:rPr>
          <w:rFonts w:eastAsia="Calibri"/>
          <w:sz w:val="28"/>
          <w:szCs w:val="28"/>
          <w:lang w:eastAsia="en-US"/>
        </w:rPr>
        <w:t xml:space="preserve"> [rs9594738] пов’язана зі зниженням ризику виникнення такого ускладнення карієсу, як </w:t>
      </w:r>
      <w:proofErr w:type="spellStart"/>
      <w:r w:rsidRPr="00520861">
        <w:rPr>
          <w:rFonts w:eastAsia="Calibri"/>
          <w:sz w:val="28"/>
          <w:szCs w:val="28"/>
          <w:lang w:eastAsia="en-US"/>
        </w:rPr>
        <w:t>персистуючий</w:t>
      </w:r>
      <w:proofErr w:type="spellEnd"/>
      <w:r w:rsidRPr="00520861">
        <w:rPr>
          <w:rFonts w:eastAsia="Calibri"/>
          <w:sz w:val="28"/>
          <w:szCs w:val="28"/>
          <w:lang w:eastAsia="en-US"/>
        </w:rPr>
        <w:t xml:space="preserve"> апікальний </w:t>
      </w:r>
      <w:proofErr w:type="spellStart"/>
      <w:r w:rsidRPr="00520861">
        <w:rPr>
          <w:rFonts w:eastAsia="Calibri"/>
          <w:sz w:val="28"/>
          <w:szCs w:val="28"/>
          <w:lang w:eastAsia="en-US"/>
        </w:rPr>
        <w:t>періодонтит</w:t>
      </w:r>
      <w:proofErr w:type="spellEnd"/>
      <w:r w:rsidRPr="00520861">
        <w:rPr>
          <w:rFonts w:eastAsia="Calibri"/>
          <w:sz w:val="28"/>
          <w:szCs w:val="28"/>
          <w:lang w:eastAsia="en-US"/>
        </w:rPr>
        <w:t xml:space="preserve">. Поліморфізм [rs9594738] у гені </w:t>
      </w:r>
      <w:r w:rsidRPr="00520861">
        <w:rPr>
          <w:rFonts w:eastAsia="Calibri"/>
          <w:i/>
          <w:sz w:val="28"/>
          <w:szCs w:val="28"/>
          <w:lang w:eastAsia="en-US"/>
        </w:rPr>
        <w:t>RANKL</w:t>
      </w:r>
      <w:r w:rsidRPr="00520861">
        <w:rPr>
          <w:rFonts w:eastAsia="Calibri"/>
          <w:sz w:val="28"/>
          <w:szCs w:val="28"/>
          <w:lang w:eastAsia="en-US"/>
        </w:rPr>
        <w:t xml:space="preserve"> є асоційованим із затримкою формування та прорізування постійних зубів [238], а також зі зниженням вірогідності переламів кісток при </w:t>
      </w:r>
      <w:proofErr w:type="spellStart"/>
      <w:r w:rsidRPr="00520861">
        <w:rPr>
          <w:rFonts w:eastAsia="Calibri"/>
          <w:sz w:val="28"/>
          <w:szCs w:val="28"/>
          <w:lang w:eastAsia="en-US"/>
        </w:rPr>
        <w:t>остеопоротичних</w:t>
      </w:r>
      <w:proofErr w:type="spellEnd"/>
      <w:r w:rsidRPr="00520861">
        <w:rPr>
          <w:rFonts w:eastAsia="Calibri"/>
          <w:sz w:val="28"/>
          <w:szCs w:val="28"/>
          <w:lang w:eastAsia="en-US"/>
        </w:rPr>
        <w:t xml:space="preserve"> процесах [463].</w:t>
      </w:r>
    </w:p>
    <w:p w14:paraId="360F39BB"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Поліморфізм гена </w:t>
      </w:r>
      <w:r w:rsidRPr="00520861">
        <w:rPr>
          <w:rFonts w:eastAsia="Calibri"/>
          <w:i/>
          <w:sz w:val="28"/>
          <w:szCs w:val="28"/>
          <w:lang w:eastAsia="en-US"/>
        </w:rPr>
        <w:t>VDR: 283 A&gt;G (</w:t>
      </w:r>
      <w:proofErr w:type="spellStart"/>
      <w:r w:rsidRPr="00520861">
        <w:rPr>
          <w:rFonts w:eastAsia="Calibri"/>
          <w:i/>
          <w:sz w:val="28"/>
          <w:szCs w:val="28"/>
          <w:lang w:eastAsia="en-US"/>
        </w:rPr>
        <w:t>BsmI</w:t>
      </w:r>
      <w:proofErr w:type="spellEnd"/>
      <w:r w:rsidRPr="00520861">
        <w:rPr>
          <w:rFonts w:eastAsia="Calibri"/>
          <w:i/>
          <w:sz w:val="28"/>
          <w:szCs w:val="28"/>
          <w:lang w:eastAsia="en-US"/>
        </w:rPr>
        <w:t>)</w:t>
      </w:r>
      <w:r w:rsidRPr="00520861">
        <w:rPr>
          <w:rFonts w:eastAsia="Calibri"/>
          <w:sz w:val="28"/>
          <w:szCs w:val="28"/>
          <w:lang w:eastAsia="en-US"/>
        </w:rPr>
        <w:t xml:space="preserve"> [rs1544410] асоційований зі зростанням ризику розвитку середньої (адитивна і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моделі успадкування) та високої (адитивна, домінантна і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моделі успадкування) інтенсивності карієсу постійних зубів. Тобто серед осіб із ОГ ВІК, як і серед осіб із ОГ СІК підвищеною була частота розповсюдження гетерозиготного генотипу АG за геном </w:t>
      </w:r>
      <w:r w:rsidRPr="00520861">
        <w:rPr>
          <w:rFonts w:eastAsia="Calibri"/>
          <w:i/>
          <w:sz w:val="28"/>
          <w:szCs w:val="28"/>
          <w:lang w:eastAsia="en-US"/>
        </w:rPr>
        <w:t>VDR: 283 A&gt;G (</w:t>
      </w:r>
      <w:proofErr w:type="spellStart"/>
      <w:r w:rsidRPr="00520861">
        <w:rPr>
          <w:rFonts w:eastAsia="Calibri"/>
          <w:i/>
          <w:sz w:val="28"/>
          <w:szCs w:val="28"/>
          <w:lang w:eastAsia="en-US"/>
        </w:rPr>
        <w:t>BsmI</w:t>
      </w:r>
      <w:proofErr w:type="spellEnd"/>
      <w:r w:rsidRPr="00520861">
        <w:rPr>
          <w:rFonts w:eastAsia="Calibri"/>
          <w:i/>
          <w:sz w:val="28"/>
          <w:szCs w:val="28"/>
          <w:lang w:eastAsia="en-US"/>
        </w:rPr>
        <w:t>)</w:t>
      </w:r>
      <w:r w:rsidRPr="00520861">
        <w:rPr>
          <w:rFonts w:eastAsia="Calibri"/>
          <w:sz w:val="28"/>
          <w:szCs w:val="28"/>
          <w:lang w:eastAsia="en-US"/>
        </w:rPr>
        <w:t xml:space="preserve">[rs1544410] у той час, як серед осіб з ГП значуще підвищеною була частота розповсюдження генотипів АА. Згідно з раніше опублікованими даними існує залежність між гетерозиготним варіантом генотипу </w:t>
      </w:r>
      <w:r w:rsidRPr="00520861">
        <w:rPr>
          <w:rFonts w:eastAsia="Calibri"/>
          <w:sz w:val="28"/>
          <w:szCs w:val="28"/>
          <w:shd w:val="clear" w:color="auto" w:fill="FFFFFF"/>
          <w:lang w:eastAsia="en-US"/>
        </w:rPr>
        <w:t>rs1544410</w:t>
      </w:r>
      <w:r w:rsidRPr="00520861">
        <w:rPr>
          <w:rFonts w:eastAsia="Calibri"/>
          <w:sz w:val="28"/>
          <w:szCs w:val="28"/>
          <w:lang w:eastAsia="en-US"/>
        </w:rPr>
        <w:t xml:space="preserve"> та схильністю до карієсу постійних [502] та тимчасових зубів [384]. </w:t>
      </w:r>
    </w:p>
    <w:p w14:paraId="012693F4"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Аналіз моделей засвідчив, що значущими були адитивна, домінантна і </w:t>
      </w:r>
      <w:proofErr w:type="spellStart"/>
      <w:r w:rsidRPr="00520861">
        <w:rPr>
          <w:rFonts w:eastAsia="Calibri"/>
          <w:sz w:val="28"/>
          <w:szCs w:val="28"/>
          <w:lang w:eastAsia="en-US"/>
        </w:rPr>
        <w:t>наддомінантна</w:t>
      </w:r>
      <w:proofErr w:type="spellEnd"/>
      <w:r w:rsidRPr="00520861">
        <w:rPr>
          <w:rFonts w:eastAsia="Calibri"/>
          <w:sz w:val="28"/>
          <w:szCs w:val="28"/>
          <w:lang w:eastAsia="en-US"/>
        </w:rPr>
        <w:t xml:space="preserve"> моделі успадкування, серед яких найвищу цінність мала адитивна модель. Отже, наявність алеля А за геном </w:t>
      </w:r>
      <w:r w:rsidRPr="00520861">
        <w:rPr>
          <w:rFonts w:eastAsia="Calibri"/>
          <w:i/>
          <w:sz w:val="28"/>
          <w:szCs w:val="28"/>
          <w:lang w:eastAsia="en-US"/>
        </w:rPr>
        <w:t>VDR: 283 A&gt;G (</w:t>
      </w:r>
      <w:proofErr w:type="spellStart"/>
      <w:r w:rsidRPr="00520861">
        <w:rPr>
          <w:rFonts w:eastAsia="Calibri"/>
          <w:i/>
          <w:sz w:val="28"/>
          <w:szCs w:val="28"/>
          <w:lang w:eastAsia="en-US"/>
        </w:rPr>
        <w:t>BsmI</w:t>
      </w:r>
      <w:proofErr w:type="spellEnd"/>
      <w:r w:rsidRPr="00520861">
        <w:rPr>
          <w:rFonts w:eastAsia="Calibri"/>
          <w:i/>
          <w:sz w:val="28"/>
          <w:szCs w:val="28"/>
          <w:lang w:eastAsia="en-US"/>
        </w:rPr>
        <w:t xml:space="preserve">) </w:t>
      </w:r>
      <w:r w:rsidRPr="00520861">
        <w:rPr>
          <w:rFonts w:eastAsia="Calibri"/>
          <w:sz w:val="28"/>
          <w:szCs w:val="28"/>
          <w:lang w:eastAsia="en-US"/>
        </w:rPr>
        <w:t xml:space="preserve">є </w:t>
      </w:r>
      <w:proofErr w:type="spellStart"/>
      <w:r w:rsidRPr="00520861">
        <w:rPr>
          <w:rFonts w:eastAsia="Calibri"/>
          <w:sz w:val="28"/>
          <w:szCs w:val="28"/>
          <w:lang w:eastAsia="en-US"/>
        </w:rPr>
        <w:t>протективним</w:t>
      </w:r>
      <w:proofErr w:type="spellEnd"/>
      <w:r w:rsidRPr="00520861">
        <w:rPr>
          <w:rFonts w:eastAsia="Calibri"/>
          <w:sz w:val="28"/>
          <w:szCs w:val="28"/>
          <w:lang w:eastAsia="en-US"/>
        </w:rPr>
        <w:t xml:space="preserve"> фактором при розвитку як середньої, так і високої інтенсивності карієсу постійних зубів. </w:t>
      </w:r>
    </w:p>
    <w:p w14:paraId="4006A306"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bCs/>
          <w:sz w:val="28"/>
          <w:szCs w:val="28"/>
          <w:lang w:eastAsia="en-US"/>
        </w:rPr>
        <w:t>Також нами виявлено, що серед</w:t>
      </w:r>
      <w:r w:rsidRPr="00520861">
        <w:rPr>
          <w:rFonts w:eastAsia="Calibri"/>
          <w:sz w:val="28"/>
          <w:szCs w:val="28"/>
          <w:lang w:eastAsia="en-US"/>
        </w:rPr>
        <w:t xml:space="preserve"> осіб із ОГ ВІК, на відміну від осіб із ОГ СІК, значуще підвищеною була частота розповсюдження генотипу GG за геном </w:t>
      </w:r>
      <w:r w:rsidRPr="00520861">
        <w:rPr>
          <w:rFonts w:eastAsia="Calibri"/>
          <w:i/>
          <w:sz w:val="28"/>
          <w:szCs w:val="28"/>
          <w:lang w:eastAsia="en-US"/>
        </w:rPr>
        <w:t xml:space="preserve">IL6: -174 G&gt;C </w:t>
      </w:r>
      <w:r w:rsidRPr="00520861">
        <w:rPr>
          <w:rFonts w:eastAsia="Calibri"/>
          <w:sz w:val="28"/>
          <w:szCs w:val="28"/>
          <w:lang w:eastAsia="en-US"/>
        </w:rPr>
        <w:t xml:space="preserve">[rs1800795]. Значущими є рецесивна і мультиплікативна моделі успадкування. Тобто виявлено </w:t>
      </w:r>
      <w:proofErr w:type="spellStart"/>
      <w:r w:rsidRPr="00520861">
        <w:rPr>
          <w:rFonts w:eastAsia="Calibri"/>
          <w:sz w:val="28"/>
          <w:szCs w:val="28"/>
          <w:lang w:eastAsia="en-US"/>
        </w:rPr>
        <w:t>модулюючий</w:t>
      </w:r>
      <w:proofErr w:type="spellEnd"/>
      <w:r w:rsidRPr="00520861">
        <w:rPr>
          <w:rFonts w:eastAsia="Calibri"/>
          <w:sz w:val="28"/>
          <w:szCs w:val="28"/>
          <w:lang w:eastAsia="en-US"/>
        </w:rPr>
        <w:t xml:space="preserve"> вплив поліморфізму цього гена на інтенсивність карієсу постійних зубів у </w:t>
      </w:r>
      <w:proofErr w:type="spellStart"/>
      <w:r w:rsidRPr="00520861">
        <w:rPr>
          <w:rFonts w:eastAsia="Calibri"/>
          <w:sz w:val="28"/>
          <w:szCs w:val="28"/>
          <w:lang w:eastAsia="en-US"/>
        </w:rPr>
        <w:t>макросомів</w:t>
      </w:r>
      <w:proofErr w:type="spellEnd"/>
      <w:r w:rsidRPr="00520861">
        <w:rPr>
          <w:rFonts w:eastAsia="Calibri"/>
          <w:sz w:val="28"/>
          <w:szCs w:val="28"/>
          <w:lang w:eastAsia="en-US"/>
        </w:rPr>
        <w:t xml:space="preserve">. При наявності генотипу GG та алеля G у них зростає вірогідність розвитку високої інтенсивності карієсу постійних зубів. </w:t>
      </w:r>
    </w:p>
    <w:p w14:paraId="59A8FD8A"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У науковій літературі переважна частина публікацій присвячена дослідженню </w:t>
      </w:r>
      <w:r w:rsidRPr="00520861">
        <w:rPr>
          <w:rFonts w:eastAsia="Calibri"/>
          <w:sz w:val="28"/>
          <w:szCs w:val="28"/>
          <w:lang w:eastAsia="en-US"/>
        </w:rPr>
        <w:lastRenderedPageBreak/>
        <w:t>впливу поліморфізму rs1800795</w:t>
      </w:r>
      <w:r w:rsidRPr="00520861">
        <w:rPr>
          <w:rFonts w:eastAsia="Calibri"/>
          <w:i/>
          <w:sz w:val="28"/>
          <w:szCs w:val="28"/>
          <w:lang w:eastAsia="en-US"/>
        </w:rPr>
        <w:t xml:space="preserve"> </w:t>
      </w:r>
      <w:r w:rsidRPr="00520861">
        <w:rPr>
          <w:rFonts w:eastAsia="Calibri"/>
          <w:sz w:val="28"/>
          <w:szCs w:val="28"/>
          <w:lang w:eastAsia="en-US"/>
        </w:rPr>
        <w:t xml:space="preserve">на розвиток захворювань тканин </w:t>
      </w:r>
      <w:proofErr w:type="spellStart"/>
      <w:r w:rsidRPr="00520861">
        <w:rPr>
          <w:rFonts w:eastAsia="Calibri"/>
          <w:sz w:val="28"/>
          <w:szCs w:val="28"/>
          <w:lang w:eastAsia="en-US"/>
        </w:rPr>
        <w:t>пародонта</w:t>
      </w:r>
      <w:proofErr w:type="spellEnd"/>
      <w:r w:rsidRPr="00520861">
        <w:rPr>
          <w:rFonts w:eastAsia="Calibri"/>
          <w:i/>
          <w:sz w:val="28"/>
          <w:szCs w:val="28"/>
          <w:lang w:eastAsia="en-US"/>
        </w:rPr>
        <w:t>.</w:t>
      </w:r>
      <w:r w:rsidRPr="00520861">
        <w:rPr>
          <w:rFonts w:eastAsia="Calibri"/>
          <w:sz w:val="28"/>
          <w:szCs w:val="28"/>
          <w:lang w:eastAsia="en-US"/>
        </w:rPr>
        <w:t xml:space="preserve"> Роботи, які стосуються впливу цього поліморфізму на формування каріозних уражень, </w:t>
      </w:r>
      <w:r w:rsidRPr="00520861">
        <w:rPr>
          <w:rFonts w:eastAsia="Calibri"/>
          <w:sz w:val="28"/>
          <w:szCs w:val="28"/>
          <w:lang w:eastAsia="en-US"/>
        </w:rPr>
        <w:br/>
        <w:t xml:space="preserve">авторці невідомі. Існують поодинокі відомості про кореляцію рівня IL6 із карієсом та його ускладненнями [326, 334]. Також доведено, що </w:t>
      </w:r>
      <w:proofErr w:type="spellStart"/>
      <w:r w:rsidRPr="00520861">
        <w:rPr>
          <w:rFonts w:eastAsia="Calibri"/>
          <w:sz w:val="28"/>
          <w:szCs w:val="28"/>
          <w:lang w:eastAsia="en-US"/>
        </w:rPr>
        <w:t>інтраназальне</w:t>
      </w:r>
      <w:proofErr w:type="spellEnd"/>
      <w:r w:rsidRPr="00520861">
        <w:rPr>
          <w:rFonts w:eastAsia="Calibri"/>
          <w:sz w:val="28"/>
          <w:szCs w:val="28"/>
          <w:lang w:eastAsia="en-US"/>
        </w:rPr>
        <w:t xml:space="preserve"> введення IL6</w:t>
      </w:r>
      <w:r w:rsidRPr="00520861">
        <w:rPr>
          <w:rFonts w:eastAsia="Calibri"/>
          <w:i/>
          <w:sz w:val="28"/>
          <w:szCs w:val="28"/>
          <w:lang w:eastAsia="en-US"/>
        </w:rPr>
        <w:t xml:space="preserve"> </w:t>
      </w:r>
      <w:r w:rsidRPr="00520861">
        <w:rPr>
          <w:rFonts w:eastAsia="Calibri"/>
          <w:sz w:val="28"/>
          <w:szCs w:val="28"/>
          <w:lang w:eastAsia="en-US"/>
        </w:rPr>
        <w:t xml:space="preserve">підвищує </w:t>
      </w:r>
      <w:proofErr w:type="spellStart"/>
      <w:r w:rsidRPr="00520861">
        <w:rPr>
          <w:rFonts w:eastAsia="Calibri"/>
          <w:sz w:val="28"/>
          <w:szCs w:val="28"/>
          <w:lang w:eastAsia="en-US"/>
        </w:rPr>
        <w:t>протикаріозний</w:t>
      </w:r>
      <w:proofErr w:type="spellEnd"/>
      <w:r w:rsidRPr="00520861">
        <w:rPr>
          <w:rFonts w:eastAsia="Calibri"/>
          <w:sz w:val="28"/>
          <w:szCs w:val="28"/>
          <w:lang w:eastAsia="en-US"/>
        </w:rPr>
        <w:t xml:space="preserve"> ефект ДНК вакцини [525].</w:t>
      </w:r>
    </w:p>
    <w:p w14:paraId="43136CB3"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Отримані нами дані свідчать, що в популяції Харківської області та прилеглих областей частота алеля А за геном </w:t>
      </w:r>
      <w:r w:rsidRPr="00520861">
        <w:rPr>
          <w:rFonts w:eastAsia="Calibri"/>
          <w:i/>
          <w:sz w:val="28"/>
          <w:szCs w:val="28"/>
          <w:lang w:eastAsia="en-US"/>
        </w:rPr>
        <w:t>BMP7</w:t>
      </w:r>
      <w:r w:rsidRPr="00520861">
        <w:rPr>
          <w:rFonts w:eastAsia="Calibri"/>
          <w:sz w:val="28"/>
          <w:szCs w:val="28"/>
          <w:lang w:eastAsia="en-US"/>
        </w:rPr>
        <w:t xml:space="preserve"> [rs72626594], який за дослідженням </w:t>
      </w:r>
      <w:proofErr w:type="spellStart"/>
      <w:r w:rsidRPr="00520861">
        <w:rPr>
          <w:rFonts w:eastAsia="Calibri"/>
          <w:sz w:val="28"/>
          <w:szCs w:val="28"/>
          <w:lang w:eastAsia="en-US"/>
        </w:rPr>
        <w:t>Morrison</w:t>
      </w:r>
      <w:proofErr w:type="spellEnd"/>
      <w:r w:rsidRPr="00520861">
        <w:rPr>
          <w:rFonts w:eastAsia="Calibri"/>
          <w:sz w:val="28"/>
          <w:szCs w:val="28"/>
          <w:lang w:eastAsia="en-US"/>
        </w:rPr>
        <w:t> J. та співавторів [432] можна пов’язувати з генетичним ризиком виникнення карієсу, є низькою. На основі негативних результатів дослідження 170 осіб вона може бути оцінена як &lt;1/170. У жодному випадку цей алель не був виявлений в осіб з карієсом постійних зубів. Для більш повного вивчення цього питання необхідно збільшення фактичного матеріалу.</w:t>
      </w:r>
    </w:p>
    <w:p w14:paraId="5B3DF980"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Отже, в осіб, чиї параметри при народженні були вищими за норму, виявлено залежність інтенсивності карієсу постійних зубів від варіантів генів </w:t>
      </w:r>
      <w:r w:rsidRPr="00520861">
        <w:rPr>
          <w:rFonts w:eastAsia="Calibri"/>
          <w:i/>
          <w:sz w:val="28"/>
          <w:szCs w:val="28"/>
          <w:lang w:eastAsia="en-US"/>
        </w:rPr>
        <w:t xml:space="preserve">RANKL: C&gt;T </w:t>
      </w:r>
      <w:r w:rsidRPr="00520861">
        <w:rPr>
          <w:rFonts w:eastAsia="Calibri"/>
          <w:sz w:val="28"/>
          <w:szCs w:val="28"/>
          <w:lang w:eastAsia="en-US"/>
        </w:rPr>
        <w:t xml:space="preserve">[rs9594738], </w:t>
      </w:r>
      <w:r w:rsidRPr="00520861">
        <w:rPr>
          <w:rFonts w:eastAsia="Calibri"/>
          <w:i/>
          <w:sz w:val="28"/>
          <w:szCs w:val="28"/>
          <w:lang w:eastAsia="en-US"/>
        </w:rPr>
        <w:t>VDR: 283A&gt;G (</w:t>
      </w:r>
      <w:proofErr w:type="spellStart"/>
      <w:r w:rsidRPr="00520861">
        <w:rPr>
          <w:rFonts w:eastAsia="Calibri"/>
          <w:i/>
          <w:sz w:val="28"/>
          <w:szCs w:val="28"/>
          <w:lang w:eastAsia="en-US"/>
        </w:rPr>
        <w:t>BsmI</w:t>
      </w:r>
      <w:proofErr w:type="spellEnd"/>
      <w:r w:rsidRPr="00520861">
        <w:rPr>
          <w:rFonts w:eastAsia="Calibri"/>
          <w:i/>
          <w:sz w:val="28"/>
          <w:szCs w:val="28"/>
          <w:lang w:eastAsia="en-US"/>
        </w:rPr>
        <w:t xml:space="preserve">) </w:t>
      </w:r>
      <w:r w:rsidRPr="00520861">
        <w:rPr>
          <w:rFonts w:eastAsia="Calibri"/>
          <w:sz w:val="28"/>
          <w:szCs w:val="28"/>
          <w:lang w:eastAsia="en-US"/>
        </w:rPr>
        <w:t xml:space="preserve">[rs1544410] </w:t>
      </w:r>
      <w:r w:rsidRPr="00520861">
        <w:rPr>
          <w:rFonts w:eastAsia="Calibri"/>
          <w:bCs/>
          <w:sz w:val="28"/>
          <w:szCs w:val="28"/>
          <w:lang w:eastAsia="en-US"/>
        </w:rPr>
        <w:t xml:space="preserve">і </w:t>
      </w:r>
      <w:r w:rsidRPr="00520861">
        <w:rPr>
          <w:rFonts w:eastAsia="Calibri"/>
          <w:i/>
          <w:sz w:val="28"/>
          <w:szCs w:val="28"/>
          <w:lang w:eastAsia="en-US"/>
        </w:rPr>
        <w:t>IL6: -174 G&gt;C</w:t>
      </w:r>
      <w:r w:rsidRPr="00520861">
        <w:rPr>
          <w:rFonts w:eastAsia="Calibri"/>
          <w:sz w:val="28"/>
          <w:szCs w:val="28"/>
          <w:lang w:eastAsia="en-US"/>
        </w:rPr>
        <w:t xml:space="preserve"> [rs1800795]. </w:t>
      </w:r>
    </w:p>
    <w:p w14:paraId="7399819B"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Вивчення стану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у вибірці обстежених осіб виявило наступні закономірності. Якщо в період тимчасового прикусу ПКВ катарального гінгівіту в об’єднаній підгрупі 1+2 (антропометричні показники дітей на момент народження свідчили про відсутність надмірної маси тіла) була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вищою за таку в об’єднаній підгрупі 3+4 (діти на момент народження мали ознаки надмірної маси тіла) та суттєво, проте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вищою за таку в ГП, то в період змінного прикусу ця відмінність ставала вірогідною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w:t>
      </w:r>
    </w:p>
    <w:p w14:paraId="630E1CE7"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Відомо, що в понад половини дітей у віці 3</w:t>
      </w:r>
      <w:r w:rsidRPr="00520861">
        <w:rPr>
          <w:rFonts w:eastAsia="Calibri"/>
          <w:sz w:val="28"/>
          <w:szCs w:val="28"/>
          <w:lang w:val="ru-RU" w:eastAsia="en-US"/>
        </w:rPr>
        <w:t xml:space="preserve"> </w:t>
      </w:r>
      <w:r w:rsidRPr="00520861">
        <w:rPr>
          <w:rFonts w:eastAsia="Calibri"/>
          <w:sz w:val="28"/>
          <w:szCs w:val="28"/>
          <w:lang w:eastAsia="en-US"/>
        </w:rPr>
        <w:t>–</w:t>
      </w:r>
      <w:r w:rsidRPr="00520861">
        <w:rPr>
          <w:rFonts w:eastAsia="Calibri"/>
          <w:sz w:val="28"/>
          <w:szCs w:val="28"/>
          <w:lang w:val="ru-RU" w:eastAsia="en-US"/>
        </w:rPr>
        <w:t xml:space="preserve"> </w:t>
      </w:r>
      <w:r w:rsidRPr="00520861">
        <w:rPr>
          <w:rFonts w:eastAsia="Calibri"/>
          <w:sz w:val="28"/>
          <w:szCs w:val="28"/>
          <w:lang w:eastAsia="en-US"/>
        </w:rPr>
        <w:t xml:space="preserve">5 років уже діагностовано </w:t>
      </w:r>
      <w:r w:rsidRPr="00520861">
        <w:rPr>
          <w:rFonts w:eastAsia="Calibri"/>
          <w:sz w:val="28"/>
          <w:szCs w:val="28"/>
          <w:lang w:eastAsia="en-US"/>
        </w:rPr>
        <w:br/>
        <w:t>катаральний гінгівіт [1]. Згідно з дослідженнями вітчизняних науковців ендокринні порушення є відомими факторами ризику виникнення гінгівіту у дітей [115, 175].</w:t>
      </w:r>
    </w:p>
    <w:p w14:paraId="2F77C507"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За відомостями, викладеними в роботі </w:t>
      </w:r>
      <w:proofErr w:type="spellStart"/>
      <w:r w:rsidRPr="00520861">
        <w:rPr>
          <w:rFonts w:eastAsia="Calibri"/>
          <w:sz w:val="28"/>
          <w:szCs w:val="28"/>
          <w:lang w:eastAsia="en-US"/>
        </w:rPr>
        <w:t>Водолацького</w:t>
      </w:r>
      <w:proofErr w:type="spellEnd"/>
      <w:r w:rsidRPr="00520861">
        <w:rPr>
          <w:rFonts w:eastAsia="Calibri"/>
          <w:sz w:val="28"/>
          <w:szCs w:val="28"/>
          <w:lang w:eastAsia="en-US"/>
        </w:rPr>
        <w:t xml:space="preserve"> М. П. та співавторів [23], факторами ризику появи катарального гінгівіту в дітей є не тільки незадовільний стан гігієни ПР, каріозні порожнини та знижена швидкість слиновиділення, але й наявність мілкого присінку, низько прикріплених вуздечок язика та губ і аномалій прикусу. Проте всі вищеперераховані фактори мають упливати в однаковій мірі на </w:t>
      </w:r>
      <w:r w:rsidRPr="00520861">
        <w:rPr>
          <w:rFonts w:eastAsia="Calibri"/>
          <w:sz w:val="28"/>
          <w:szCs w:val="28"/>
          <w:lang w:eastAsia="en-US"/>
        </w:rPr>
        <w:br/>
      </w:r>
      <w:r w:rsidRPr="00520861">
        <w:rPr>
          <w:rFonts w:eastAsia="Calibri"/>
          <w:sz w:val="28"/>
          <w:szCs w:val="28"/>
          <w:lang w:eastAsia="en-US"/>
        </w:rPr>
        <w:lastRenderedPageBreak/>
        <w:t xml:space="preserve">учасників дослідження,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нормосомами</w:t>
      </w:r>
      <w:proofErr w:type="spellEnd"/>
      <w:r w:rsidRPr="00520861">
        <w:rPr>
          <w:rFonts w:eastAsia="Calibri"/>
          <w:sz w:val="28"/>
          <w:szCs w:val="28"/>
          <w:lang w:eastAsia="en-US"/>
        </w:rPr>
        <w:t xml:space="preserve">. </w:t>
      </w:r>
    </w:p>
    <w:p w14:paraId="20CE61BB" w14:textId="77777777" w:rsidR="00180D3E" w:rsidRPr="00520861" w:rsidRDefault="00180D3E" w:rsidP="00292D2E">
      <w:pPr>
        <w:widowControl w:val="0"/>
        <w:spacing w:line="360" w:lineRule="auto"/>
        <w:ind w:firstLine="720"/>
        <w:jc w:val="both"/>
        <w:rPr>
          <w:sz w:val="28"/>
          <w:szCs w:val="28"/>
        </w:rPr>
      </w:pPr>
      <w:r w:rsidRPr="00520861">
        <w:rPr>
          <w:sz w:val="28"/>
          <w:szCs w:val="28"/>
        </w:rPr>
        <w:t xml:space="preserve">Високі значення індексів, що характеризують стан тканин </w:t>
      </w:r>
      <w:proofErr w:type="spellStart"/>
      <w:r w:rsidRPr="00520861">
        <w:rPr>
          <w:sz w:val="28"/>
          <w:szCs w:val="28"/>
        </w:rPr>
        <w:t>пародонта</w:t>
      </w:r>
      <w:proofErr w:type="spellEnd"/>
      <w:r w:rsidRPr="00520861">
        <w:rPr>
          <w:sz w:val="28"/>
          <w:szCs w:val="28"/>
        </w:rPr>
        <w:t xml:space="preserve"> в усіх підлітків у віковому періоді 12–17 років, швидше за все, пов’язані з пубертатними змінами й свідчать про необхідність упровадження профілактичних заходів.</w:t>
      </w:r>
    </w:p>
    <w:p w14:paraId="288801A6"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Стан гігієни ПР в осіб ОГ та ГП у ВП-V, ВП-VI і ВП-VIII вірогідно не відрізняється. Проте на рівні підгруп спостерігалася чітка тенденція до «кращого» </w:t>
      </w:r>
      <w:r w:rsidRPr="00520861">
        <w:rPr>
          <w:rFonts w:eastAsia="Calibri"/>
          <w:sz w:val="28"/>
          <w:szCs w:val="28"/>
          <w:lang w:eastAsia="en-US"/>
        </w:rPr>
        <w:br/>
        <w:t xml:space="preserve">гігієнічного стану ПР в учасників підгрупи 3 та підгрупи 4. </w:t>
      </w:r>
    </w:p>
    <w:p w14:paraId="04B4186C"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Дослідження, присвячені стану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дітей та підлітків,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у доступній літературі авторці не зустрічалися, проте відомості про високий процент підлітків ОГ, які мали гінгівіт, погоджуються з даними, отриманими </w:t>
      </w:r>
      <w:r w:rsidRPr="00520861">
        <w:rPr>
          <w:sz w:val="28"/>
          <w:szCs w:val="28"/>
        </w:rPr>
        <w:t xml:space="preserve">в дослідженні </w:t>
      </w:r>
      <w:r w:rsidRPr="00520861">
        <w:rPr>
          <w:rFonts w:eastAsia="Calibri"/>
          <w:sz w:val="28"/>
          <w:szCs w:val="28"/>
        </w:rPr>
        <w:t>Костура В. Л</w:t>
      </w:r>
      <w:r w:rsidRPr="00520861">
        <w:rPr>
          <w:rFonts w:eastAsia="Calibri"/>
          <w:sz w:val="28"/>
          <w:szCs w:val="28"/>
          <w:lang w:eastAsia="en-US"/>
        </w:rPr>
        <w:t>. [114], де автор виявив в</w:t>
      </w:r>
      <w:r w:rsidRPr="00520861">
        <w:rPr>
          <w:sz w:val="28"/>
          <w:szCs w:val="28"/>
        </w:rPr>
        <w:t>исокі значення індексу РМА в дітей із ожирінням порівняно із дітьми з нормальною масою тіла</w:t>
      </w:r>
      <w:r w:rsidRPr="00520861">
        <w:rPr>
          <w:rFonts w:eastAsia="Calibri"/>
          <w:sz w:val="28"/>
          <w:szCs w:val="28"/>
          <w:lang w:eastAsia="en-US"/>
        </w:rPr>
        <w:t>. Отримані нами відомості</w:t>
      </w:r>
      <w:r w:rsidRPr="00520861">
        <w:rPr>
          <w:rFonts w:eastAsia="Calibri"/>
          <w:sz w:val="28"/>
          <w:szCs w:val="28"/>
        </w:rPr>
        <w:t xml:space="preserve"> про високу поширеність </w:t>
      </w:r>
      <w:proofErr w:type="spellStart"/>
      <w:r w:rsidRPr="00520861">
        <w:rPr>
          <w:rFonts w:eastAsia="Calibri"/>
          <w:sz w:val="28"/>
          <w:szCs w:val="28"/>
        </w:rPr>
        <w:t>хвороб</w:t>
      </w:r>
      <w:proofErr w:type="spellEnd"/>
      <w:r w:rsidRPr="00520861">
        <w:rPr>
          <w:rFonts w:eastAsia="Calibri"/>
          <w:sz w:val="28"/>
          <w:szCs w:val="28"/>
        </w:rPr>
        <w:t xml:space="preserve"> </w:t>
      </w:r>
      <w:proofErr w:type="spellStart"/>
      <w:r w:rsidRPr="00520861">
        <w:rPr>
          <w:rFonts w:eastAsia="Calibri"/>
          <w:sz w:val="28"/>
          <w:szCs w:val="28"/>
        </w:rPr>
        <w:t>пародонта</w:t>
      </w:r>
      <w:proofErr w:type="spellEnd"/>
      <w:r w:rsidRPr="00520861">
        <w:rPr>
          <w:rFonts w:eastAsia="Calibri"/>
          <w:sz w:val="28"/>
          <w:szCs w:val="28"/>
        </w:rPr>
        <w:t xml:space="preserve"> у віковому </w:t>
      </w:r>
      <w:r w:rsidRPr="00520861">
        <w:rPr>
          <w:rFonts w:eastAsia="Calibri"/>
          <w:sz w:val="28"/>
          <w:szCs w:val="28"/>
        </w:rPr>
        <w:br/>
        <w:t>періоді 18 – 24 років збігаються з даними вітчизняних науковців</w:t>
      </w:r>
      <w:r w:rsidRPr="00520861">
        <w:rPr>
          <w:rFonts w:eastAsia="Calibri"/>
          <w:sz w:val="28"/>
          <w:szCs w:val="28"/>
          <w:lang w:eastAsia="en-US"/>
        </w:rPr>
        <w:t xml:space="preserve"> [210].</w:t>
      </w:r>
    </w:p>
    <w:p w14:paraId="0C1995EB"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rFonts w:eastAsia="Calibri"/>
          <w:sz w:val="28"/>
          <w:szCs w:val="28"/>
          <w:lang w:eastAsia="en-US"/>
        </w:rPr>
        <w:t xml:space="preserve">Описуючи результати дослідження ОПТГ, слід зауважити, що щільний малюнок </w:t>
      </w:r>
      <w:proofErr w:type="spellStart"/>
      <w:r w:rsidRPr="00520861">
        <w:rPr>
          <w:rFonts w:eastAsia="Calibri"/>
          <w:sz w:val="28"/>
          <w:szCs w:val="28"/>
          <w:lang w:eastAsia="en-US"/>
        </w:rPr>
        <w:t>трабекулярної</w:t>
      </w:r>
      <w:proofErr w:type="spellEnd"/>
      <w:r w:rsidRPr="00520861">
        <w:rPr>
          <w:rFonts w:eastAsia="Calibri"/>
          <w:sz w:val="28"/>
          <w:szCs w:val="28"/>
          <w:lang w:eastAsia="en-US"/>
        </w:rPr>
        <w:t xml:space="preserve"> складової кістки відповідає високій мінеральній щільності кісткової тканини, у той час як розрідженість малюнка свідчить про низьку мінеральну щільність [327]. Відомо також, що за наявності тонкого фенотипу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частіше за все має місце горизонтальна резорбція кісткової тканини та рецесія ясен [452], а товстий фенотип, як правило, є асоційованим із вертикальною резорбцією та формуванням кишень [501]. </w:t>
      </w:r>
      <w:r w:rsidRPr="00520861">
        <w:rPr>
          <w:rFonts w:eastAsia="Calibri"/>
          <w:sz w:val="28"/>
          <w:szCs w:val="28"/>
        </w:rPr>
        <w:t xml:space="preserve">Результати візуального сортування знімків повністю </w:t>
      </w:r>
      <w:r w:rsidRPr="00520861">
        <w:rPr>
          <w:rFonts w:eastAsia="Calibri"/>
          <w:sz w:val="28"/>
          <w:szCs w:val="28"/>
        </w:rPr>
        <w:br/>
        <w:t xml:space="preserve">підтвердили дані, одержані при клінічному дослідженні, та виявили, що в осіб </w:t>
      </w:r>
      <w:r w:rsidRPr="00520861">
        <w:rPr>
          <w:rFonts w:eastAsia="Calibri"/>
          <w:sz w:val="28"/>
          <w:szCs w:val="28"/>
          <w:lang w:eastAsia="en-US"/>
        </w:rPr>
        <w:t>під-груп 1</w:t>
      </w:r>
      <w:r w:rsidRPr="00520861">
        <w:rPr>
          <w:rFonts w:eastAsia="Calibri"/>
          <w:sz w:val="28"/>
          <w:szCs w:val="28"/>
        </w:rPr>
        <w:t xml:space="preserve"> і </w:t>
      </w:r>
      <w:r w:rsidRPr="00520861">
        <w:rPr>
          <w:rFonts w:eastAsia="Calibri"/>
          <w:sz w:val="28"/>
          <w:szCs w:val="28"/>
          <w:lang w:eastAsia="en-US"/>
        </w:rPr>
        <w:t>2</w:t>
      </w:r>
      <w:r w:rsidRPr="00520861">
        <w:rPr>
          <w:rFonts w:eastAsia="Calibri"/>
          <w:sz w:val="28"/>
          <w:szCs w:val="28"/>
        </w:rPr>
        <w:t xml:space="preserve"> є рентгенологічні ознаки деструкції тканин </w:t>
      </w:r>
      <w:proofErr w:type="spellStart"/>
      <w:r w:rsidRPr="00520861">
        <w:rPr>
          <w:rFonts w:eastAsia="Calibri"/>
          <w:sz w:val="28"/>
          <w:szCs w:val="28"/>
        </w:rPr>
        <w:t>пародонта</w:t>
      </w:r>
      <w:proofErr w:type="spellEnd"/>
      <w:r w:rsidRPr="00520861">
        <w:rPr>
          <w:rFonts w:eastAsia="Calibri"/>
          <w:sz w:val="28"/>
          <w:szCs w:val="28"/>
        </w:rPr>
        <w:t xml:space="preserve"> з превалюванням запального компонента, а в осіб </w:t>
      </w:r>
      <w:r w:rsidRPr="00520861">
        <w:rPr>
          <w:rFonts w:eastAsia="Calibri"/>
          <w:sz w:val="28"/>
          <w:szCs w:val="28"/>
          <w:lang w:eastAsia="en-US"/>
        </w:rPr>
        <w:t>підгруп 3</w:t>
      </w:r>
      <w:r w:rsidRPr="00520861">
        <w:rPr>
          <w:rFonts w:eastAsia="Calibri"/>
          <w:sz w:val="28"/>
          <w:szCs w:val="28"/>
        </w:rPr>
        <w:t xml:space="preserve"> та</w:t>
      </w:r>
      <w:r w:rsidRPr="00520861">
        <w:rPr>
          <w:rFonts w:eastAsia="Calibri"/>
          <w:sz w:val="28"/>
          <w:szCs w:val="28"/>
          <w:lang w:eastAsia="en-US"/>
        </w:rPr>
        <w:t xml:space="preserve"> 4</w:t>
      </w:r>
      <w:r w:rsidRPr="00520861">
        <w:rPr>
          <w:rFonts w:eastAsia="Calibri"/>
          <w:sz w:val="28"/>
          <w:szCs w:val="28"/>
        </w:rPr>
        <w:t xml:space="preserve"> превалюють ознаки, які свідчать про переважання незапальних деструктивних процесів у кістковій тканині щелеп.</w:t>
      </w:r>
    </w:p>
    <w:p w14:paraId="4C991211"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Первинна </w:t>
      </w:r>
      <w:proofErr w:type="spellStart"/>
      <w:r w:rsidRPr="00520861">
        <w:rPr>
          <w:rFonts w:eastAsia="Calibri"/>
          <w:sz w:val="28"/>
          <w:szCs w:val="28"/>
          <w:lang w:eastAsia="en-US"/>
        </w:rPr>
        <w:t>адентія</w:t>
      </w:r>
      <w:proofErr w:type="spellEnd"/>
      <w:r w:rsidRPr="00520861">
        <w:rPr>
          <w:rFonts w:eastAsia="Calibri"/>
          <w:sz w:val="28"/>
          <w:szCs w:val="28"/>
          <w:lang w:eastAsia="en-US"/>
        </w:rPr>
        <w:t xml:space="preserve"> щонайменше одного з третіх молярів на верхній або нижній щелепі спостерігалася в осіб у ВП-IV – ВП-VII, а саме у 15,0% (ДІ: 8,9% – 23,3%) осіб ОГ і в 23,1% (ДІ: 13,0% – 36,5%) осіб ГП. </w:t>
      </w:r>
      <w:r w:rsidRPr="00520861">
        <w:rPr>
          <w:rFonts w:eastAsia="Calibri"/>
          <w:sz w:val="28"/>
          <w:szCs w:val="28"/>
        </w:rPr>
        <w:t xml:space="preserve">У роботах інших науковців </w:t>
      </w:r>
      <w:r w:rsidRPr="00520861">
        <w:rPr>
          <w:rFonts w:eastAsia="Calibri"/>
          <w:sz w:val="28"/>
          <w:szCs w:val="28"/>
        </w:rPr>
        <w:br/>
        <w:t xml:space="preserve">указується, що </w:t>
      </w:r>
      <w:proofErr w:type="spellStart"/>
      <w:r w:rsidRPr="00520861">
        <w:rPr>
          <w:rFonts w:eastAsia="Calibri"/>
          <w:sz w:val="28"/>
          <w:szCs w:val="28"/>
        </w:rPr>
        <w:t>адентію</w:t>
      </w:r>
      <w:proofErr w:type="spellEnd"/>
      <w:r w:rsidRPr="00520861">
        <w:rPr>
          <w:rFonts w:eastAsia="Calibri"/>
          <w:sz w:val="28"/>
          <w:szCs w:val="28"/>
        </w:rPr>
        <w:t xml:space="preserve"> третіх молярів мають 8% осіб </w:t>
      </w:r>
      <w:r w:rsidRPr="00520861">
        <w:rPr>
          <w:rFonts w:eastAsia="Calibri"/>
          <w:sz w:val="28"/>
          <w:szCs w:val="28"/>
          <w:lang w:eastAsia="en-US"/>
        </w:rPr>
        <w:t>[183].</w:t>
      </w:r>
    </w:p>
    <w:p w14:paraId="2756EAC6"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rPr>
        <w:t xml:space="preserve">На досліджених ОПТГ осіб ВП-IV привертало увагу </w:t>
      </w:r>
      <w:proofErr w:type="spellStart"/>
      <w:r w:rsidRPr="00520861">
        <w:rPr>
          <w:rFonts w:eastAsia="Calibri"/>
          <w:sz w:val="28"/>
          <w:szCs w:val="28"/>
        </w:rPr>
        <w:t>аномалійне</w:t>
      </w:r>
      <w:proofErr w:type="spellEnd"/>
      <w:r w:rsidRPr="00520861">
        <w:rPr>
          <w:rFonts w:eastAsia="Calibri"/>
          <w:sz w:val="28"/>
          <w:szCs w:val="28"/>
        </w:rPr>
        <w:t xml:space="preserve"> розташування </w:t>
      </w:r>
      <w:r w:rsidRPr="00520861">
        <w:rPr>
          <w:rFonts w:eastAsia="Calibri"/>
          <w:sz w:val="28"/>
          <w:szCs w:val="28"/>
        </w:rPr>
        <w:lastRenderedPageBreak/>
        <w:t xml:space="preserve">зачатків третіх молярів, РТМ були зафіксовані нами в осіб ОГ навіть у ВП-VIII. Та оскільки для всіх осіб віком 44 – 55 років важко зібрати анамнез (стосовно третіх молярів), а в 11 – 17 років формування вказаних зубів ще не закінчилося </w:t>
      </w:r>
      <w:r w:rsidRPr="00520861">
        <w:rPr>
          <w:rFonts w:eastAsia="Calibri"/>
          <w:sz w:val="28"/>
          <w:szCs w:val="28"/>
          <w:lang w:eastAsia="en-US"/>
        </w:rPr>
        <w:t xml:space="preserve">[183], </w:t>
      </w:r>
      <w:r w:rsidRPr="00520861">
        <w:rPr>
          <w:rFonts w:eastAsia="Calibri"/>
          <w:sz w:val="28"/>
          <w:szCs w:val="28"/>
        </w:rPr>
        <w:t>кількість осіб, які мають РТМ на нижній і верхній щелепах, обчислювали для ВП-VII.</w:t>
      </w:r>
      <w:r w:rsidRPr="00520861">
        <w:rPr>
          <w:rFonts w:eastAsia="Calibri"/>
          <w:sz w:val="28"/>
          <w:szCs w:val="28"/>
          <w:lang w:eastAsia="en-US"/>
        </w:rPr>
        <w:t xml:space="preserve"> Відомо, що формування тканин щелеп закінчується до 25 років. Проте із урахуванням відомостей, одержаних іншими науковцями, про те, що у віці 20 – 21 рік 80% осіб мають сформовані корені третіх молярів [183] і що середній вік обстежених у ВП-VI був 22 роки, ми дослідили й цей віковий період. </w:t>
      </w:r>
    </w:p>
    <w:p w14:paraId="4C79642D"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sz w:val="28"/>
          <w:szCs w:val="28"/>
        </w:rPr>
        <w:t xml:space="preserve">Зафіксована нами більша процентна кількість осіб ОГ, які мали </w:t>
      </w:r>
      <w:r w:rsidRPr="00520861">
        <w:rPr>
          <w:rFonts w:eastAsia="Calibri"/>
          <w:sz w:val="28"/>
          <w:szCs w:val="28"/>
          <w:lang w:eastAsia="en-US"/>
        </w:rPr>
        <w:t>РТМ</w:t>
      </w:r>
      <w:r w:rsidRPr="00520861">
        <w:rPr>
          <w:sz w:val="28"/>
          <w:szCs w:val="28"/>
        </w:rPr>
        <w:t xml:space="preserve"> із порушеною віссю прорізування, є ознакою нестачі місця в зубному ряду [14] та </w:t>
      </w:r>
      <w:r w:rsidRPr="00520861">
        <w:rPr>
          <w:sz w:val="28"/>
          <w:szCs w:val="28"/>
        </w:rPr>
        <w:br/>
        <w:t xml:space="preserve">підтвердженням зробленого нами раніше припущення про недорозвинення нижньої щелепи в осіб ОГ. </w:t>
      </w:r>
      <w:proofErr w:type="spellStart"/>
      <w:r w:rsidRPr="00520861">
        <w:rPr>
          <w:rFonts w:eastAsia="Calibri"/>
          <w:sz w:val="28"/>
          <w:szCs w:val="28"/>
          <w:lang w:eastAsia="en-US"/>
        </w:rPr>
        <w:t>Ретеновані</w:t>
      </w:r>
      <w:proofErr w:type="spellEnd"/>
      <w:r w:rsidRPr="00520861">
        <w:rPr>
          <w:rFonts w:eastAsia="Calibri"/>
          <w:sz w:val="28"/>
          <w:szCs w:val="28"/>
          <w:lang w:eastAsia="en-US"/>
        </w:rPr>
        <w:t>, з порушеною віссю прорізування ікла, виявлені у двох осіб ОГ, також можуть бути свідченням недостатності місця в зубному ряду.</w:t>
      </w:r>
    </w:p>
    <w:p w14:paraId="6804FFAA" w14:textId="77777777" w:rsidR="00180D3E" w:rsidRPr="00520861" w:rsidRDefault="00180D3E" w:rsidP="00292D2E">
      <w:pPr>
        <w:widowControl w:val="0"/>
        <w:spacing w:line="360" w:lineRule="auto"/>
        <w:ind w:firstLine="709"/>
        <w:jc w:val="both"/>
        <w:rPr>
          <w:sz w:val="28"/>
          <w:szCs w:val="28"/>
        </w:rPr>
      </w:pPr>
      <w:r w:rsidRPr="00520861">
        <w:rPr>
          <w:sz w:val="28"/>
          <w:szCs w:val="28"/>
        </w:rPr>
        <w:t xml:space="preserve">Відомості з бібліографії про процентну кількість </w:t>
      </w:r>
      <w:proofErr w:type="spellStart"/>
      <w:r w:rsidRPr="00520861">
        <w:rPr>
          <w:sz w:val="28"/>
          <w:szCs w:val="28"/>
        </w:rPr>
        <w:t>ретенції</w:t>
      </w:r>
      <w:proofErr w:type="spellEnd"/>
      <w:r w:rsidRPr="00520861">
        <w:rPr>
          <w:sz w:val="28"/>
          <w:szCs w:val="28"/>
        </w:rPr>
        <w:t xml:space="preserve"> третіх молярів дуже різняться. Російські вчені виявили РТМ у 25% обстежених у той час, коли європейські науковці вказують, що РТМ мають до 75% осіб [183, 493].</w:t>
      </w:r>
      <w:r w:rsidRPr="00520861">
        <w:rPr>
          <w:rFonts w:eastAsia="Calibri"/>
          <w:sz w:val="28"/>
          <w:szCs w:val="28"/>
          <w:lang w:eastAsia="en-US"/>
        </w:rPr>
        <w:t xml:space="preserve"> </w:t>
      </w:r>
    </w:p>
    <w:p w14:paraId="22D11D7D"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Також на всіх ОПТГ нами був обчислений PМІ, який для осіб підгруп 3 і 4 був навіть вищим, ніж для осіб підгруп 1 і 2 у ВП-I. Таке значення індексу не могло свідчити про превалювання резорбційних процесів над процесами моделювання </w:t>
      </w:r>
      <w:r w:rsidRPr="00520861">
        <w:rPr>
          <w:rFonts w:eastAsia="Calibri"/>
          <w:sz w:val="28"/>
          <w:szCs w:val="28"/>
          <w:lang w:eastAsia="en-US"/>
        </w:rPr>
        <w:br/>
        <w:t xml:space="preserve">кісткової тканини та із врахуванням даних, одержаних при клінічному дослідженні, і результатів обчислення МІ указує на компенсаторне потовщення кортикального шару нижньої щелепи, яке є більш вираженим в осіб підгрупи 3 і підгрупи 4. </w:t>
      </w:r>
    </w:p>
    <w:p w14:paraId="4B64FA22"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У віковому аспекті також спостерігається цікава ситуація – збільшення значення РМІ в підгрупах 1, 2 і ГП відбувається за рахунок зменшення відстані між краєм нижньої щелепи та ментальним отвором, а в осіб підгрупи 3 і підгрупи 4 – за рахунок потовщення кортикального шару. Отже, результати нашого дослідження свідчать, що РМІ є інформативним індексом, але його застосування потребує додаткових умов (наприклад, точного визначення та врахування значень індексу МІ).</w:t>
      </w:r>
    </w:p>
    <w:p w14:paraId="7BDCCD41" w14:textId="77777777" w:rsidR="00180D3E" w:rsidRPr="00520861" w:rsidRDefault="00180D3E" w:rsidP="00292D2E">
      <w:pPr>
        <w:widowControl w:val="0"/>
        <w:tabs>
          <w:tab w:val="left" w:pos="-5812"/>
        </w:tabs>
        <w:spacing w:line="360" w:lineRule="auto"/>
        <w:ind w:firstLine="709"/>
        <w:jc w:val="both"/>
        <w:rPr>
          <w:rFonts w:eastAsia="Calibri"/>
          <w:sz w:val="28"/>
          <w:szCs w:val="28"/>
          <w:lang w:eastAsia="en-US"/>
        </w:rPr>
      </w:pPr>
      <w:r w:rsidRPr="00520861">
        <w:rPr>
          <w:rFonts w:eastAsia="Calibri"/>
          <w:sz w:val="28"/>
          <w:szCs w:val="28"/>
          <w:lang w:eastAsia="en-US"/>
        </w:rPr>
        <w:t xml:space="preserve">Виявилося, що особи ОГ, ВУ період яких перебігав на тлі середніх чи знижених показників ІМТ, мають вірогідно (p=0,00548) знижену ОЩТ щелеп. Зазначене в </w:t>
      </w:r>
      <w:r w:rsidRPr="00520861">
        <w:rPr>
          <w:rFonts w:eastAsia="Calibri"/>
          <w:sz w:val="28"/>
          <w:szCs w:val="28"/>
          <w:lang w:eastAsia="en-US"/>
        </w:rPr>
        <w:br/>
      </w:r>
      <w:r w:rsidRPr="00520861">
        <w:rPr>
          <w:rFonts w:eastAsia="Calibri"/>
          <w:sz w:val="28"/>
          <w:szCs w:val="28"/>
          <w:lang w:eastAsia="en-US"/>
        </w:rPr>
        <w:lastRenderedPageBreak/>
        <w:t xml:space="preserve">поєднанні з описаними вище результатами клінічного обстеження може бути поясненням превалювання запальних процесів у пародонті. А в осіб із об’єднаної під-групи 3+4 вірогідно </w:t>
      </w:r>
      <w:r w:rsidRPr="00520861">
        <w:rPr>
          <w:sz w:val="28"/>
          <w:szCs w:val="28"/>
          <w:lang w:eastAsia="en-US"/>
        </w:rPr>
        <w:t>(</w:t>
      </w:r>
      <w:r w:rsidRPr="00520861">
        <w:rPr>
          <w:i/>
          <w:sz w:val="28"/>
          <w:szCs w:val="28"/>
          <w:lang w:eastAsia="en-US"/>
        </w:rPr>
        <w:t>p</w:t>
      </w:r>
      <w:r w:rsidRPr="00520861">
        <w:rPr>
          <w:sz w:val="28"/>
          <w:szCs w:val="28"/>
          <w:lang w:eastAsia="en-US"/>
        </w:rPr>
        <w:t>=0,02086)</w:t>
      </w:r>
      <w:r w:rsidRPr="00520861">
        <w:rPr>
          <w:rFonts w:eastAsia="Calibri"/>
          <w:sz w:val="28"/>
          <w:szCs w:val="28"/>
          <w:lang w:eastAsia="en-US"/>
        </w:rPr>
        <w:t xml:space="preserve"> менша ОЩК і вірогідно (p=0,00076) більша товщина кортикального шару, ніж у ГП. Тобто в осіб із ВУ ожирінням в анамнезі відбувається компенсаторне потовщення «пухкого» кортикального шару поряд із невіро-гідним відносно ГП зниженням щільності </w:t>
      </w:r>
      <w:proofErr w:type="spellStart"/>
      <w:r w:rsidRPr="00520861">
        <w:rPr>
          <w:rFonts w:eastAsia="Calibri"/>
          <w:sz w:val="28"/>
          <w:szCs w:val="28"/>
          <w:lang w:eastAsia="en-US"/>
        </w:rPr>
        <w:t>трабекулярної</w:t>
      </w:r>
      <w:proofErr w:type="spellEnd"/>
      <w:r w:rsidRPr="00520861">
        <w:rPr>
          <w:rFonts w:eastAsia="Calibri"/>
          <w:sz w:val="28"/>
          <w:szCs w:val="28"/>
          <w:lang w:eastAsia="en-US"/>
        </w:rPr>
        <w:t xml:space="preserve"> складової кістки щелепи. </w:t>
      </w:r>
    </w:p>
    <w:p w14:paraId="60BB2DD3" w14:textId="77777777" w:rsidR="00180D3E" w:rsidRPr="00520861" w:rsidRDefault="00180D3E" w:rsidP="00292D2E">
      <w:pPr>
        <w:widowControl w:val="0"/>
        <w:spacing w:line="360" w:lineRule="auto"/>
        <w:ind w:firstLine="720"/>
        <w:jc w:val="both"/>
        <w:rPr>
          <w:sz w:val="28"/>
          <w:szCs w:val="28"/>
        </w:rPr>
      </w:pPr>
      <w:r w:rsidRPr="00520861">
        <w:rPr>
          <w:rFonts w:eastAsia="Calibri"/>
          <w:sz w:val="28"/>
          <w:szCs w:val="28"/>
          <w:lang w:eastAsia="en-US"/>
        </w:rPr>
        <w:t>Існують відомості, що оптична щільність компактної пластинки нижньої щелепи при запальних захворюваннях нижньої щелепи є практично незмінною величиною [501]. Наше дослідження</w:t>
      </w:r>
      <w:r w:rsidRPr="00520861">
        <w:rPr>
          <w:sz w:val="28"/>
          <w:szCs w:val="28"/>
        </w:rPr>
        <w:t xml:space="preserve"> довело, що при деструктивних процесах у тканинах </w:t>
      </w:r>
      <w:proofErr w:type="spellStart"/>
      <w:r w:rsidRPr="00520861">
        <w:rPr>
          <w:sz w:val="28"/>
          <w:szCs w:val="28"/>
        </w:rPr>
        <w:t>пародонта</w:t>
      </w:r>
      <w:proofErr w:type="spellEnd"/>
      <w:r w:rsidRPr="00520861">
        <w:rPr>
          <w:sz w:val="28"/>
          <w:szCs w:val="28"/>
        </w:rPr>
        <w:t xml:space="preserve">, які відбуваються в онтогенезі в </w:t>
      </w:r>
      <w:proofErr w:type="spellStart"/>
      <w:r w:rsidRPr="00520861">
        <w:rPr>
          <w:sz w:val="28"/>
          <w:szCs w:val="28"/>
        </w:rPr>
        <w:t>макросомів</w:t>
      </w:r>
      <w:proofErr w:type="spellEnd"/>
      <w:r w:rsidRPr="00520861">
        <w:rPr>
          <w:sz w:val="28"/>
          <w:szCs w:val="28"/>
        </w:rPr>
        <w:t>, які народилися з ознаками ВУ ожиріння, спостерігається зменшення щільності та потовщення кортикального шару кісткової тканини.</w:t>
      </w:r>
      <w:r w:rsidRPr="00520861">
        <w:rPr>
          <w:rFonts w:eastAsia="Calibri"/>
          <w:sz w:val="28"/>
          <w:szCs w:val="28"/>
          <w:lang w:eastAsia="en-US"/>
        </w:rPr>
        <w:t xml:space="preserve"> </w:t>
      </w:r>
      <w:r w:rsidRPr="00520861">
        <w:rPr>
          <w:sz w:val="28"/>
          <w:szCs w:val="28"/>
        </w:rPr>
        <w:t xml:space="preserve">Ці явища спостерігаються навіть в осіб молодого віку. Отримані відомості можуть бути поясненням схильності до деструкції кісткової тканини щелеп з переважанням незапального компонента в таких осіб. </w:t>
      </w:r>
    </w:p>
    <w:p w14:paraId="07D9D132" w14:textId="77777777" w:rsidR="00180D3E" w:rsidRPr="00520861" w:rsidRDefault="00180D3E" w:rsidP="00292D2E">
      <w:pPr>
        <w:widowControl w:val="0"/>
        <w:spacing w:line="360" w:lineRule="auto"/>
        <w:ind w:firstLine="720"/>
        <w:jc w:val="both"/>
        <w:rPr>
          <w:rFonts w:eastAsia="Calibri"/>
          <w:sz w:val="28"/>
          <w:szCs w:val="28"/>
          <w:lang w:eastAsia="en-US"/>
        </w:rPr>
      </w:pPr>
      <w:r w:rsidRPr="00520861">
        <w:rPr>
          <w:sz w:val="28"/>
          <w:szCs w:val="28"/>
        </w:rPr>
        <w:t xml:space="preserve">Беручи до уваги, що кортикальна складова в нижніх щелепах становить більше за 50% об’єму, її вірогідно змінена щільність, безумовно, пов’язана із великим процентом ЗЩА. Знижена оптична щільність кісткової тканини щелеп на непочаткових стадіях незапальної деструкції (пародонтоз) була описана в роботі [97]. </w:t>
      </w:r>
    </w:p>
    <w:p w14:paraId="4A3B20F6"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Результати обчисленого відношення ОЩК/ОЩТ надають нам ще одне </w:t>
      </w:r>
      <w:r w:rsidRPr="00520861">
        <w:rPr>
          <w:rFonts w:eastAsia="Calibri"/>
          <w:sz w:val="28"/>
          <w:szCs w:val="28"/>
          <w:lang w:eastAsia="en-US"/>
        </w:rPr>
        <w:br/>
        <w:t xml:space="preserve">підтвердження того, що в осіб із об’єднаної підгрупи 3+4 процеси </w:t>
      </w:r>
      <w:proofErr w:type="spellStart"/>
      <w:r w:rsidRPr="00520861">
        <w:rPr>
          <w:rFonts w:eastAsia="Calibri"/>
          <w:sz w:val="28"/>
          <w:szCs w:val="28"/>
          <w:lang w:eastAsia="en-US"/>
        </w:rPr>
        <w:t>ремоделювання</w:t>
      </w:r>
      <w:proofErr w:type="spellEnd"/>
      <w:r w:rsidRPr="00520861">
        <w:rPr>
          <w:rFonts w:eastAsia="Calibri"/>
          <w:sz w:val="28"/>
          <w:szCs w:val="28"/>
          <w:lang w:eastAsia="en-US"/>
        </w:rPr>
        <w:t xml:space="preserve"> кісткової тканини щелеп ідуть переважно шляхом </w:t>
      </w:r>
      <w:proofErr w:type="spellStart"/>
      <w:r w:rsidRPr="00520861">
        <w:rPr>
          <w:rFonts w:eastAsia="Calibri"/>
          <w:sz w:val="28"/>
          <w:szCs w:val="28"/>
          <w:lang w:eastAsia="en-US"/>
        </w:rPr>
        <w:t>остеосклеротичних</w:t>
      </w:r>
      <w:proofErr w:type="spellEnd"/>
      <w:r w:rsidRPr="00520861">
        <w:rPr>
          <w:rFonts w:eastAsia="Calibri"/>
          <w:sz w:val="28"/>
          <w:szCs w:val="28"/>
          <w:lang w:eastAsia="en-US"/>
        </w:rPr>
        <w:t xml:space="preserve"> змін. </w:t>
      </w:r>
    </w:p>
    <w:p w14:paraId="596C673D"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Обговорюючи варіанти перебігу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обстежених осіб ОГ, розглянемо біохімічні показники РР. Виявлено, що в осіб підгруп 1 і 2 у молодших ВП спостерігається тенденція до зростання активності трансаміназ, а в старших ВП зміни стають вірогідними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Ми пов’язуємо це із прогресуванням </w:t>
      </w:r>
      <w:proofErr w:type="spellStart"/>
      <w:r w:rsidRPr="00520861">
        <w:rPr>
          <w:rFonts w:eastAsia="Calibri"/>
          <w:sz w:val="28"/>
          <w:szCs w:val="28"/>
          <w:lang w:eastAsia="en-US"/>
        </w:rPr>
        <w:t>деструктивно</w:t>
      </w:r>
      <w:proofErr w:type="spellEnd"/>
      <w:r w:rsidRPr="00520861">
        <w:rPr>
          <w:rFonts w:eastAsia="Calibri"/>
          <w:sz w:val="28"/>
          <w:szCs w:val="28"/>
          <w:lang w:eastAsia="en-US"/>
        </w:rPr>
        <w:t xml:space="preserve">-запальних процесів при </w:t>
      </w:r>
      <w:proofErr w:type="spellStart"/>
      <w:r w:rsidRPr="00520861">
        <w:rPr>
          <w:rFonts w:eastAsia="Calibri"/>
          <w:sz w:val="28"/>
          <w:szCs w:val="28"/>
          <w:lang w:eastAsia="en-US"/>
        </w:rPr>
        <w:t>пародонтиті</w:t>
      </w:r>
      <w:proofErr w:type="spellEnd"/>
      <w:r w:rsidRPr="00520861">
        <w:rPr>
          <w:rFonts w:eastAsia="Calibri"/>
          <w:sz w:val="28"/>
          <w:szCs w:val="28"/>
          <w:lang w:eastAsia="en-US"/>
        </w:rPr>
        <w:t xml:space="preserve"> [20]. У ПР цих осіб формувалися сприятливі умови для розмноження патогенної мікрофлори. Відповідно, запальний процес супроводжувався руйнуванням клітинних мембран, тому внутрішньоклітинні ферменти, до яких належать трансамінази, потрапляли в РР. Зростання активності </w:t>
      </w:r>
      <w:proofErr w:type="spellStart"/>
      <w:r w:rsidRPr="00520861">
        <w:rPr>
          <w:rFonts w:eastAsia="Calibri"/>
          <w:sz w:val="28"/>
          <w:szCs w:val="28"/>
          <w:lang w:eastAsia="en-US"/>
        </w:rPr>
        <w:t>АсАт</w:t>
      </w:r>
      <w:proofErr w:type="spellEnd"/>
      <w:r w:rsidRPr="00520861">
        <w:rPr>
          <w:rFonts w:eastAsia="Calibri"/>
          <w:sz w:val="28"/>
          <w:szCs w:val="28"/>
          <w:lang w:eastAsia="en-US"/>
        </w:rPr>
        <w:t xml:space="preserve"> у цьому випадку є свідченням глибокого ураження тканин паро-</w:t>
      </w:r>
      <w:proofErr w:type="spellStart"/>
      <w:r w:rsidRPr="00520861">
        <w:rPr>
          <w:rFonts w:eastAsia="Calibri"/>
          <w:sz w:val="28"/>
          <w:szCs w:val="28"/>
          <w:lang w:eastAsia="en-US"/>
        </w:rPr>
        <w:t>донта</w:t>
      </w:r>
      <w:proofErr w:type="spellEnd"/>
      <w:r w:rsidRPr="00520861">
        <w:rPr>
          <w:rFonts w:eastAsia="Calibri"/>
          <w:sz w:val="28"/>
          <w:szCs w:val="28"/>
          <w:lang w:eastAsia="en-US"/>
        </w:rPr>
        <w:t xml:space="preserve"> [341], </w:t>
      </w:r>
      <w:r w:rsidRPr="00520861">
        <w:rPr>
          <w:rFonts w:eastAsia="Calibri"/>
          <w:sz w:val="28"/>
          <w:szCs w:val="28"/>
          <w:lang w:eastAsia="en-US"/>
        </w:rPr>
        <w:lastRenderedPageBreak/>
        <w:t xml:space="preserve">оскільки, як відомо, </w:t>
      </w:r>
      <w:proofErr w:type="spellStart"/>
      <w:r w:rsidRPr="00520861">
        <w:rPr>
          <w:rFonts w:eastAsia="Calibri"/>
          <w:sz w:val="28"/>
          <w:szCs w:val="28"/>
          <w:lang w:eastAsia="en-US"/>
        </w:rPr>
        <w:t>АсАт</w:t>
      </w:r>
      <w:proofErr w:type="spellEnd"/>
      <w:r w:rsidRPr="00520861">
        <w:rPr>
          <w:rFonts w:eastAsia="Calibri"/>
          <w:sz w:val="28"/>
          <w:szCs w:val="28"/>
          <w:lang w:eastAsia="en-US"/>
        </w:rPr>
        <w:t xml:space="preserve"> – </w:t>
      </w:r>
      <w:proofErr w:type="spellStart"/>
      <w:r w:rsidRPr="00520861">
        <w:rPr>
          <w:rFonts w:eastAsia="Calibri"/>
          <w:sz w:val="28"/>
          <w:szCs w:val="28"/>
          <w:lang w:eastAsia="en-US"/>
        </w:rPr>
        <w:t>внутрішньомітохондріальний</w:t>
      </w:r>
      <w:proofErr w:type="spellEnd"/>
      <w:r w:rsidRPr="00520861">
        <w:rPr>
          <w:rFonts w:eastAsia="Calibri"/>
          <w:sz w:val="28"/>
          <w:szCs w:val="28"/>
          <w:lang w:eastAsia="en-US"/>
        </w:rPr>
        <w:t xml:space="preserve"> фермент і він буде визначатися виключно у випадку тотального руйнування клітини зі всіма органелами. За даними [447], підвищення активності </w:t>
      </w:r>
      <w:proofErr w:type="spellStart"/>
      <w:r w:rsidRPr="00520861">
        <w:rPr>
          <w:rFonts w:eastAsia="Calibri"/>
          <w:sz w:val="28"/>
          <w:szCs w:val="28"/>
          <w:lang w:eastAsia="en-US"/>
        </w:rPr>
        <w:t>АлАт</w:t>
      </w:r>
      <w:proofErr w:type="spellEnd"/>
      <w:r w:rsidRPr="00520861">
        <w:rPr>
          <w:rFonts w:eastAsia="Calibri"/>
          <w:sz w:val="28"/>
          <w:szCs w:val="28"/>
          <w:lang w:eastAsia="en-US"/>
        </w:rPr>
        <w:t xml:space="preserve"> при великій кількості </w:t>
      </w:r>
      <w:r w:rsidRPr="00520861">
        <w:rPr>
          <w:rFonts w:eastAsia="Calibri"/>
          <w:iCs/>
          <w:sz w:val="28"/>
          <w:szCs w:val="28"/>
          <w:shd w:val="clear" w:color="auto" w:fill="FFFFFF"/>
          <w:lang w:eastAsia="en-US"/>
        </w:rPr>
        <w:t>P. </w:t>
      </w:r>
      <w:proofErr w:type="spellStart"/>
      <w:r w:rsidRPr="00520861">
        <w:rPr>
          <w:rFonts w:eastAsia="Calibri"/>
          <w:iCs/>
          <w:sz w:val="28"/>
          <w:szCs w:val="28"/>
          <w:shd w:val="clear" w:color="auto" w:fill="FFFFFF"/>
          <w:lang w:eastAsia="en-US"/>
        </w:rPr>
        <w:t>gingivalis</w:t>
      </w:r>
      <w:proofErr w:type="spellEnd"/>
      <w:r w:rsidRPr="00520861">
        <w:rPr>
          <w:rFonts w:eastAsia="Calibri"/>
          <w:sz w:val="28"/>
          <w:szCs w:val="28"/>
          <w:lang w:eastAsia="en-US"/>
        </w:rPr>
        <w:t xml:space="preserve"> також уважається </w:t>
      </w:r>
      <w:proofErr w:type="spellStart"/>
      <w:r w:rsidRPr="00520861">
        <w:rPr>
          <w:rFonts w:eastAsia="Calibri"/>
          <w:sz w:val="28"/>
          <w:szCs w:val="28"/>
          <w:lang w:eastAsia="en-US"/>
        </w:rPr>
        <w:t>біомаркером</w:t>
      </w:r>
      <w:proofErr w:type="spellEnd"/>
      <w:r w:rsidRPr="00520861">
        <w:rPr>
          <w:rFonts w:eastAsia="Calibri"/>
          <w:sz w:val="28"/>
          <w:szCs w:val="28"/>
          <w:lang w:eastAsia="en-US"/>
        </w:rPr>
        <w:t xml:space="preserve"> і </w:t>
      </w:r>
      <w:proofErr w:type="spellStart"/>
      <w:r w:rsidRPr="00520861">
        <w:rPr>
          <w:rFonts w:eastAsia="Calibri"/>
          <w:sz w:val="28"/>
          <w:szCs w:val="28"/>
          <w:lang w:eastAsia="en-US"/>
        </w:rPr>
        <w:t>предиктором</w:t>
      </w:r>
      <w:proofErr w:type="spellEnd"/>
      <w:r w:rsidRPr="00520861">
        <w:rPr>
          <w:rFonts w:eastAsia="Calibri"/>
          <w:sz w:val="28"/>
          <w:szCs w:val="28"/>
          <w:lang w:eastAsia="en-US"/>
        </w:rPr>
        <w:t xml:space="preserve"> розвитку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w:t>
      </w:r>
    </w:p>
    <w:p w14:paraId="2EC18240" w14:textId="77777777" w:rsidR="00180D3E" w:rsidRPr="00520861" w:rsidRDefault="00180D3E" w:rsidP="00292D2E">
      <w:pPr>
        <w:widowControl w:val="0"/>
        <w:spacing w:line="360" w:lineRule="auto"/>
        <w:ind w:firstLine="709"/>
        <w:contextualSpacing/>
        <w:jc w:val="both"/>
        <w:rPr>
          <w:rFonts w:eastAsia="Calibri"/>
          <w:spacing w:val="-4"/>
          <w:sz w:val="28"/>
          <w:szCs w:val="28"/>
          <w:lang w:eastAsia="en-US"/>
        </w:rPr>
      </w:pPr>
      <w:r w:rsidRPr="00520861">
        <w:rPr>
          <w:rFonts w:eastAsia="Calibri"/>
          <w:spacing w:val="-4"/>
          <w:sz w:val="28"/>
          <w:szCs w:val="28"/>
          <w:lang w:eastAsia="en-US"/>
        </w:rPr>
        <w:t xml:space="preserve">Тенденція до зростання активності трансаміназ у підгрупи 4 може бути обумовленою високим рівнем </w:t>
      </w:r>
      <w:proofErr w:type="spellStart"/>
      <w:r w:rsidRPr="00520861">
        <w:rPr>
          <w:rFonts w:eastAsia="Calibri"/>
          <w:spacing w:val="-4"/>
          <w:sz w:val="28"/>
          <w:szCs w:val="28"/>
          <w:lang w:eastAsia="en-US"/>
        </w:rPr>
        <w:t>кортизолу</w:t>
      </w:r>
      <w:proofErr w:type="spellEnd"/>
      <w:r w:rsidRPr="00520861">
        <w:rPr>
          <w:rFonts w:eastAsia="Calibri"/>
          <w:spacing w:val="-4"/>
          <w:sz w:val="28"/>
          <w:szCs w:val="28"/>
          <w:lang w:eastAsia="en-US"/>
        </w:rPr>
        <w:t xml:space="preserve">, який має суттєві </w:t>
      </w:r>
      <w:proofErr w:type="spellStart"/>
      <w:r w:rsidRPr="00520861">
        <w:rPr>
          <w:rFonts w:eastAsia="Calibri"/>
          <w:spacing w:val="-4"/>
          <w:sz w:val="28"/>
          <w:szCs w:val="28"/>
          <w:lang w:eastAsia="en-US"/>
        </w:rPr>
        <w:t>імуносупресорні</w:t>
      </w:r>
      <w:proofErr w:type="spellEnd"/>
      <w:r w:rsidRPr="00520861">
        <w:rPr>
          <w:rFonts w:eastAsia="Calibri"/>
          <w:spacing w:val="-4"/>
          <w:sz w:val="28"/>
          <w:szCs w:val="28"/>
          <w:lang w:eastAsia="en-US"/>
        </w:rPr>
        <w:t xml:space="preserve"> властивості [281]. </w:t>
      </w:r>
    </w:p>
    <w:p w14:paraId="50AEAB17" w14:textId="77777777" w:rsidR="00180D3E" w:rsidRPr="00520861" w:rsidRDefault="00180D3E" w:rsidP="00292D2E">
      <w:pPr>
        <w:widowControl w:val="0"/>
        <w:spacing w:line="360" w:lineRule="auto"/>
        <w:ind w:firstLine="709"/>
        <w:contextualSpacing/>
        <w:jc w:val="both"/>
        <w:rPr>
          <w:rFonts w:eastAsia="Calibri"/>
          <w:spacing w:val="-4"/>
          <w:sz w:val="28"/>
          <w:szCs w:val="28"/>
          <w:lang w:eastAsia="en-US"/>
        </w:rPr>
      </w:pPr>
      <w:r w:rsidRPr="00520861">
        <w:rPr>
          <w:rFonts w:eastAsia="Calibri"/>
          <w:sz w:val="28"/>
          <w:szCs w:val="28"/>
          <w:lang w:eastAsia="en-US"/>
        </w:rPr>
        <w:t xml:space="preserve">Отже, найбільш імовірно, зростання активності ферментів цитолізу в осіб підгруп 1 і 2 мало значною мірою бактеріальне походження (захворювання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w:t>
      </w:r>
      <w:r w:rsidRPr="00520861">
        <w:rPr>
          <w:rFonts w:eastAsia="Calibri"/>
          <w:spacing w:val="-4"/>
          <w:sz w:val="28"/>
          <w:szCs w:val="28"/>
          <w:lang w:eastAsia="en-US"/>
        </w:rPr>
        <w:t>а в осіб підгруп 3 і 4 деякою мірою бактеріальне походження (висока інтенсивність карієсу) та значною мірою було обумовлено віковими особливостями обміну в сполучній тканині, коли деструктивні процеси переважають над синтетичними.</w:t>
      </w:r>
    </w:p>
    <w:p w14:paraId="57E66307"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Нами було виявлено, що в осіб підгруп 1 і 2 порівняно з ГП спостерігається вірогідне (р=0,003602 та р=0,000488 відповідно) зростання рівня ІЛ-1β у РР в усіх ВП. Як відомо, </w:t>
      </w:r>
      <w:proofErr w:type="spellStart"/>
      <w:r w:rsidRPr="00520861">
        <w:rPr>
          <w:rFonts w:eastAsia="Calibri"/>
          <w:sz w:val="28"/>
          <w:szCs w:val="28"/>
          <w:lang w:eastAsia="en-US"/>
        </w:rPr>
        <w:t>пародонтопатогенні</w:t>
      </w:r>
      <w:proofErr w:type="spellEnd"/>
      <w:r w:rsidRPr="00520861">
        <w:rPr>
          <w:rFonts w:eastAsia="Calibri"/>
          <w:sz w:val="28"/>
          <w:szCs w:val="28"/>
          <w:lang w:eastAsia="en-US"/>
        </w:rPr>
        <w:t xml:space="preserve"> мікроорганізми активують моноцити та макрофаги, наслідком чого є збільшення продукції </w:t>
      </w:r>
      <w:proofErr w:type="spellStart"/>
      <w:r w:rsidRPr="00520861">
        <w:rPr>
          <w:rFonts w:eastAsia="Calibri"/>
          <w:sz w:val="28"/>
          <w:szCs w:val="28"/>
          <w:lang w:eastAsia="en-US"/>
        </w:rPr>
        <w:t>прозапальних</w:t>
      </w:r>
      <w:proofErr w:type="spellEnd"/>
      <w:r w:rsidRPr="00520861">
        <w:rPr>
          <w:rFonts w:eastAsia="Calibri"/>
          <w:sz w:val="28"/>
          <w:szCs w:val="28"/>
          <w:lang w:eastAsia="en-US"/>
        </w:rPr>
        <w:t xml:space="preserve"> цитокінів (у першу чергу – ІЛ-1β) [102] та зниження протизапальних, зокрема ІЛ-10, який стримує прогресування </w:t>
      </w:r>
      <w:proofErr w:type="spellStart"/>
      <w:r w:rsidRPr="00520861">
        <w:rPr>
          <w:rFonts w:eastAsia="Calibri"/>
          <w:sz w:val="28"/>
          <w:szCs w:val="28"/>
          <w:lang w:eastAsia="en-US"/>
        </w:rPr>
        <w:t>деструктивно</w:t>
      </w:r>
      <w:proofErr w:type="spellEnd"/>
      <w:r w:rsidRPr="00520861">
        <w:rPr>
          <w:rFonts w:eastAsia="Calibri"/>
          <w:sz w:val="28"/>
          <w:szCs w:val="28"/>
          <w:lang w:eastAsia="en-US"/>
        </w:rPr>
        <w:t xml:space="preserve">-запальних процесів та пригнічує </w:t>
      </w:r>
      <w:proofErr w:type="spellStart"/>
      <w:r w:rsidRPr="00520861">
        <w:rPr>
          <w:rFonts w:eastAsia="Calibri"/>
          <w:sz w:val="28"/>
          <w:szCs w:val="28"/>
          <w:lang w:eastAsia="en-US"/>
        </w:rPr>
        <w:t>резорбтивні</w:t>
      </w:r>
      <w:proofErr w:type="spellEnd"/>
      <w:r w:rsidRPr="00520861">
        <w:rPr>
          <w:rFonts w:eastAsia="Calibri"/>
          <w:sz w:val="28"/>
          <w:szCs w:val="28"/>
          <w:lang w:eastAsia="en-US"/>
        </w:rPr>
        <w:t xml:space="preserve"> процеси в </w:t>
      </w:r>
      <w:r w:rsidRPr="00520861">
        <w:rPr>
          <w:rFonts w:eastAsia="Calibri"/>
          <w:sz w:val="28"/>
          <w:szCs w:val="28"/>
          <w:lang w:eastAsia="en-US"/>
        </w:rPr>
        <w:br/>
        <w:t xml:space="preserve">кістковій тканині. Дисбаланс та зсув співвідношення </w:t>
      </w:r>
      <w:proofErr w:type="spellStart"/>
      <w:r w:rsidRPr="00520861">
        <w:rPr>
          <w:rFonts w:eastAsia="Calibri"/>
          <w:sz w:val="28"/>
          <w:szCs w:val="28"/>
          <w:lang w:eastAsia="en-US"/>
        </w:rPr>
        <w:t>прозапальних</w:t>
      </w:r>
      <w:proofErr w:type="spellEnd"/>
      <w:r w:rsidRPr="00520861">
        <w:rPr>
          <w:rFonts w:eastAsia="Calibri"/>
          <w:sz w:val="28"/>
          <w:szCs w:val="28"/>
          <w:lang w:eastAsia="en-US"/>
        </w:rPr>
        <w:t xml:space="preserve"> та протизапальних цитокінів сприяє подальшому прогресуванню патологічного процесу [160]. </w:t>
      </w:r>
    </w:p>
    <w:p w14:paraId="3C71DCEF"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Тенденція до зростання рівня ІЛ-1β в осіб ОГ у молодших ВП, коли клінічні прояви захворювання ще не спостерігалися, може розглядатись як </w:t>
      </w:r>
      <w:proofErr w:type="spellStart"/>
      <w:r w:rsidRPr="00520861">
        <w:rPr>
          <w:rFonts w:eastAsia="Calibri"/>
          <w:sz w:val="28"/>
          <w:szCs w:val="28"/>
          <w:lang w:eastAsia="en-US"/>
        </w:rPr>
        <w:t>предиктор</w:t>
      </w:r>
      <w:proofErr w:type="spellEnd"/>
      <w:r w:rsidRPr="00520861">
        <w:rPr>
          <w:rFonts w:eastAsia="Calibri"/>
          <w:sz w:val="28"/>
          <w:szCs w:val="28"/>
          <w:lang w:eastAsia="en-US"/>
        </w:rPr>
        <w:t xml:space="preserve"> формування високого ризику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в дорослому віці. Відомо, що ІЛ-1β здатний активувати продукцію </w:t>
      </w:r>
      <w:proofErr w:type="spellStart"/>
      <w:r w:rsidRPr="00520861">
        <w:rPr>
          <w:rFonts w:eastAsia="Calibri"/>
          <w:sz w:val="28"/>
          <w:szCs w:val="28"/>
          <w:lang w:eastAsia="en-US"/>
        </w:rPr>
        <w:t>матриксних</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металопротеїназ</w:t>
      </w:r>
      <w:proofErr w:type="spellEnd"/>
      <w:r w:rsidRPr="00520861">
        <w:rPr>
          <w:rFonts w:eastAsia="Calibri"/>
          <w:sz w:val="28"/>
          <w:szCs w:val="28"/>
          <w:lang w:eastAsia="en-US"/>
        </w:rPr>
        <w:t xml:space="preserve">, зокрема </w:t>
      </w:r>
      <w:proofErr w:type="spellStart"/>
      <w:r w:rsidRPr="00520861">
        <w:rPr>
          <w:rFonts w:eastAsia="Calibri"/>
          <w:sz w:val="28"/>
          <w:szCs w:val="28"/>
          <w:lang w:eastAsia="en-US"/>
        </w:rPr>
        <w:t>матриксної</w:t>
      </w:r>
      <w:proofErr w:type="spellEnd"/>
      <w:r w:rsidRPr="00520861">
        <w:rPr>
          <w:rFonts w:eastAsia="Calibri"/>
          <w:sz w:val="28"/>
          <w:szCs w:val="28"/>
          <w:lang w:eastAsia="en-US"/>
        </w:rPr>
        <w:t xml:space="preserve"> метало-протеїнази-8, завдяки чому відбувається стимуляція деградації </w:t>
      </w:r>
      <w:proofErr w:type="spellStart"/>
      <w:r w:rsidRPr="00520861">
        <w:rPr>
          <w:rFonts w:eastAsia="Calibri"/>
          <w:sz w:val="28"/>
          <w:szCs w:val="28"/>
          <w:lang w:eastAsia="en-US"/>
        </w:rPr>
        <w:t>колагенів</w:t>
      </w:r>
      <w:proofErr w:type="spellEnd"/>
      <w:r w:rsidRPr="00520861">
        <w:rPr>
          <w:rFonts w:eastAsia="Calibri"/>
          <w:sz w:val="28"/>
          <w:szCs w:val="28"/>
          <w:lang w:eastAsia="en-US"/>
        </w:rPr>
        <w:t xml:space="preserve"> І та ІІІ типу, які є переважаючими в тканинах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Відповідно, патологічний вплив ІЛ-1β може бути опосередкованим і через збільшення продукції </w:t>
      </w:r>
      <w:proofErr w:type="spellStart"/>
      <w:r w:rsidRPr="00520861">
        <w:rPr>
          <w:rFonts w:eastAsia="Calibri"/>
          <w:sz w:val="28"/>
          <w:szCs w:val="28"/>
          <w:lang w:eastAsia="en-US"/>
        </w:rPr>
        <w:t>матриксної</w:t>
      </w:r>
      <w:proofErr w:type="spellEnd"/>
      <w:r w:rsidRPr="00520861">
        <w:rPr>
          <w:rFonts w:eastAsia="Calibri"/>
          <w:sz w:val="28"/>
          <w:szCs w:val="28"/>
          <w:lang w:eastAsia="en-US"/>
        </w:rPr>
        <w:t xml:space="preserve"> метало-протеїнази-8 [478]. Отримані нами дані щодо динаміки ІЛ-1β узгоджувалися з даними щодо </w:t>
      </w:r>
      <w:r w:rsidRPr="00520861">
        <w:rPr>
          <w:rFonts w:eastAsia="Calibri"/>
          <w:sz w:val="28"/>
          <w:szCs w:val="28"/>
          <w:lang w:eastAsia="en-US"/>
        </w:rPr>
        <w:br/>
        <w:t xml:space="preserve">активності амінотрансфераз та клінічною картиною захворювання на хронічний </w:t>
      </w:r>
      <w:r w:rsidRPr="00520861">
        <w:rPr>
          <w:rFonts w:eastAsia="Calibri"/>
          <w:sz w:val="28"/>
          <w:szCs w:val="28"/>
          <w:lang w:eastAsia="en-US"/>
        </w:rPr>
        <w:br/>
      </w:r>
      <w:proofErr w:type="spellStart"/>
      <w:r w:rsidRPr="00520861">
        <w:rPr>
          <w:rFonts w:eastAsia="Calibri"/>
          <w:sz w:val="28"/>
          <w:szCs w:val="28"/>
          <w:lang w:eastAsia="en-US"/>
        </w:rPr>
        <w:t>генералізований</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пародонтит</w:t>
      </w:r>
      <w:proofErr w:type="spellEnd"/>
      <w:r w:rsidRPr="00520861">
        <w:rPr>
          <w:rFonts w:eastAsia="Calibri"/>
          <w:sz w:val="28"/>
          <w:szCs w:val="28"/>
          <w:lang w:eastAsia="en-US"/>
        </w:rPr>
        <w:t xml:space="preserve"> [217]. </w:t>
      </w:r>
    </w:p>
    <w:p w14:paraId="77358B0C"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Стійка тенденція до зниження рівня ІЛ-10, яка спостерігалася в осіб підгрупи 1 </w:t>
      </w:r>
      <w:r w:rsidRPr="00520861">
        <w:rPr>
          <w:rFonts w:eastAsia="Calibri"/>
          <w:sz w:val="28"/>
          <w:szCs w:val="28"/>
          <w:lang w:eastAsia="en-US"/>
        </w:rPr>
        <w:lastRenderedPageBreak/>
        <w:t xml:space="preserve">і підгрупи 2, може інтерпретуватися як маркер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зниження якого корелює із клінічними проявами захворювання. У дослідженні </w:t>
      </w:r>
      <w:proofErr w:type="spellStart"/>
      <w:r w:rsidRPr="00520861">
        <w:rPr>
          <w:rFonts w:eastAsia="Calibri"/>
          <w:sz w:val="28"/>
          <w:szCs w:val="28"/>
          <w:shd w:val="clear" w:color="auto" w:fill="FFFFFF"/>
          <w:lang w:eastAsia="en-US"/>
        </w:rPr>
        <w:t>Zhang</w:t>
      </w:r>
      <w:proofErr w:type="spellEnd"/>
      <w:r w:rsidRPr="00520861">
        <w:rPr>
          <w:rFonts w:eastAsia="Calibri"/>
          <w:sz w:val="28"/>
          <w:szCs w:val="28"/>
          <w:shd w:val="clear" w:color="auto" w:fill="FFFFFF"/>
          <w:lang w:eastAsia="en-US"/>
        </w:rPr>
        <w:t> Q.</w:t>
      </w:r>
      <w:r w:rsidRPr="00520861">
        <w:rPr>
          <w:rFonts w:eastAsia="Calibri"/>
          <w:sz w:val="28"/>
          <w:szCs w:val="28"/>
          <w:lang w:eastAsia="en-US"/>
        </w:rPr>
        <w:t xml:space="preserve"> та співавторів [588] було продемонстровано, що ІЛ-10 є потужним </w:t>
      </w:r>
      <w:proofErr w:type="spellStart"/>
      <w:r w:rsidRPr="00520861">
        <w:rPr>
          <w:rFonts w:eastAsia="Calibri"/>
          <w:sz w:val="28"/>
          <w:szCs w:val="28"/>
          <w:lang w:eastAsia="en-US"/>
        </w:rPr>
        <w:t>супресором</w:t>
      </w:r>
      <w:proofErr w:type="spellEnd"/>
      <w:r w:rsidRPr="00520861">
        <w:rPr>
          <w:rFonts w:eastAsia="Calibri"/>
          <w:sz w:val="28"/>
          <w:szCs w:val="28"/>
          <w:lang w:eastAsia="en-US"/>
        </w:rPr>
        <w:t xml:space="preserve"> остеопорозу альвеолярної кістки. </w:t>
      </w:r>
      <w:proofErr w:type="spellStart"/>
      <w:r w:rsidRPr="00520861">
        <w:rPr>
          <w:rFonts w:eastAsia="Calibri"/>
          <w:sz w:val="28"/>
          <w:szCs w:val="28"/>
          <w:lang w:eastAsia="en-US"/>
        </w:rPr>
        <w:t>Невірогідно</w:t>
      </w:r>
      <w:proofErr w:type="spellEnd"/>
      <w:r w:rsidRPr="00520861">
        <w:rPr>
          <w:rFonts w:eastAsia="Calibri"/>
          <w:sz w:val="28"/>
          <w:szCs w:val="28"/>
          <w:lang w:eastAsia="en-US"/>
        </w:rPr>
        <w:t xml:space="preserve"> збільшені рівні ІЛ-10 в осіб підгрупи 3 порівняно з ГП, очевидно, були пов’язані з більш високою інтенсивністю синтезу білка (через первинно більш високі рівні СТГ і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у тому числі й цитокінів.</w:t>
      </w:r>
    </w:p>
    <w:p w14:paraId="5C243D79"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В учасників дослідження підгруп 3 і 4 нами були виявлені дещо збільшені відносно ГП рівні </w:t>
      </w:r>
      <w:proofErr w:type="spellStart"/>
      <w:r w:rsidRPr="00520861">
        <w:rPr>
          <w:rFonts w:eastAsia="Calibri"/>
          <w:sz w:val="28"/>
          <w:szCs w:val="28"/>
          <w:lang w:eastAsia="en-US"/>
        </w:rPr>
        <w:t>прозапального</w:t>
      </w:r>
      <w:proofErr w:type="spellEnd"/>
      <w:r w:rsidRPr="00520861">
        <w:rPr>
          <w:rFonts w:eastAsia="Calibri"/>
          <w:sz w:val="28"/>
          <w:szCs w:val="28"/>
          <w:lang w:eastAsia="en-US"/>
        </w:rPr>
        <w:t xml:space="preserve"> ІЛ-1β, найбільші – у підгрупі 4, де ВУ розвиток проходив на тлі підвищених концентрацій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[216], який, як відомо, є потужним стимулятором синтезу цього цитокіну. При цьому максимальне зростання вмісту ІЛ-1β спостерігалося в осіб старших ВП, у них найбільш імовірно спостерігалося наростання метаболічного запалення, що опосередковувалося високим умістом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Загалом тенденція до більшого рівня ІЛ-1β в осіб підгруп 3 і 4 узгоджувалася з клінічною симптоматикою – наявністю карієсу, для патогенезу якого характерно </w:t>
      </w:r>
      <w:r w:rsidRPr="00520861">
        <w:rPr>
          <w:rFonts w:eastAsia="Calibri"/>
          <w:sz w:val="28"/>
          <w:szCs w:val="28"/>
          <w:lang w:eastAsia="en-US"/>
        </w:rPr>
        <w:br/>
        <w:t xml:space="preserve">збільшення вмісту </w:t>
      </w:r>
      <w:proofErr w:type="spellStart"/>
      <w:r w:rsidRPr="00520861">
        <w:rPr>
          <w:rFonts w:eastAsia="Calibri"/>
          <w:sz w:val="28"/>
          <w:szCs w:val="28"/>
          <w:lang w:eastAsia="en-US"/>
        </w:rPr>
        <w:t>прозапальних</w:t>
      </w:r>
      <w:proofErr w:type="spellEnd"/>
      <w:r w:rsidRPr="00520861">
        <w:rPr>
          <w:rFonts w:eastAsia="Calibri"/>
          <w:sz w:val="28"/>
          <w:szCs w:val="28"/>
          <w:lang w:eastAsia="en-US"/>
        </w:rPr>
        <w:t xml:space="preserve"> цитокінів як адаптивної реакції організму на наявність патогенних мікроорганізмів [277].</w:t>
      </w:r>
    </w:p>
    <w:p w14:paraId="75573D5F"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Зважаючи на те що захворювання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можуть супроводжуватися змінами імунологічного статусу, наступним етапом досліджень було вивчення динаміки вмісту </w:t>
      </w:r>
      <w:proofErr w:type="spellStart"/>
      <w:r w:rsidRPr="00520861">
        <w:rPr>
          <w:rFonts w:eastAsia="Calibri"/>
          <w:sz w:val="28"/>
          <w:szCs w:val="28"/>
          <w:lang w:eastAsia="en-US"/>
        </w:rPr>
        <w:t>імуноглобулінів</w:t>
      </w:r>
      <w:proofErr w:type="spellEnd"/>
      <w:r w:rsidRPr="00520861">
        <w:rPr>
          <w:rFonts w:eastAsia="Calibri"/>
          <w:sz w:val="28"/>
          <w:szCs w:val="28"/>
          <w:lang w:eastAsia="en-US"/>
        </w:rPr>
        <w:t xml:space="preserve">. Відомо, що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 гуморальний специфічний фактор місцевого імунітету [392]. В осіб підгрупи 1 і підгрупи 2, починаючи з ВП-V, нами було виявлено суттєве підвищення рівня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Ураховуючи те, що в осіб у цих підгруп спостерігалася схильність до розвитку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зростання в них рівня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як компенсаторного механізму реагування місцевого імунітету на наявність патогенних мікроорганізмів є закономірним [174].</w:t>
      </w:r>
    </w:p>
    <w:p w14:paraId="2EDA4D5D" w14:textId="77777777" w:rsidR="00180D3E" w:rsidRPr="00520861" w:rsidRDefault="00180D3E" w:rsidP="00292D2E">
      <w:pPr>
        <w:widowControl w:val="0"/>
        <w:spacing w:line="360" w:lineRule="auto"/>
        <w:ind w:firstLine="708"/>
        <w:contextualSpacing/>
        <w:jc w:val="both"/>
        <w:rPr>
          <w:rFonts w:eastAsia="Calibri"/>
          <w:sz w:val="28"/>
          <w:szCs w:val="28"/>
          <w:lang w:eastAsia="en-US"/>
        </w:rPr>
      </w:pPr>
      <w:r w:rsidRPr="00520861">
        <w:rPr>
          <w:rFonts w:eastAsia="Calibri"/>
          <w:sz w:val="28"/>
          <w:szCs w:val="28"/>
          <w:lang w:eastAsia="en-US"/>
        </w:rPr>
        <w:t xml:space="preserve">Запалення супроводжується продукцією </w:t>
      </w:r>
      <w:proofErr w:type="spellStart"/>
      <w:r w:rsidRPr="00520861">
        <w:rPr>
          <w:rFonts w:eastAsia="Calibri"/>
          <w:sz w:val="28"/>
          <w:szCs w:val="28"/>
          <w:lang w:eastAsia="en-US"/>
        </w:rPr>
        <w:t>прозапальних</w:t>
      </w:r>
      <w:proofErr w:type="spellEnd"/>
      <w:r w:rsidRPr="00520861">
        <w:rPr>
          <w:rFonts w:eastAsia="Calibri"/>
          <w:sz w:val="28"/>
          <w:szCs w:val="28"/>
          <w:lang w:eastAsia="en-US"/>
        </w:rPr>
        <w:t xml:space="preserve"> цитокінів, що узгоджується із описаними нами вище даними щодо рівня ІЛ-1β, останній, у свою чергу, активує клітини адаптивного імунітету, наслідком чого є зростання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та інших класів </w:t>
      </w:r>
      <w:proofErr w:type="spellStart"/>
      <w:r w:rsidRPr="00520861">
        <w:rPr>
          <w:rFonts w:eastAsia="Calibri"/>
          <w:sz w:val="28"/>
          <w:szCs w:val="28"/>
          <w:lang w:eastAsia="en-US"/>
        </w:rPr>
        <w:t>імуноглобулінів</w:t>
      </w:r>
      <w:proofErr w:type="spellEnd"/>
      <w:r w:rsidRPr="00520861">
        <w:rPr>
          <w:rFonts w:eastAsia="Calibri"/>
          <w:sz w:val="28"/>
          <w:szCs w:val="28"/>
          <w:lang w:eastAsia="en-US"/>
        </w:rPr>
        <w:t xml:space="preserve">, зокрема </w:t>
      </w:r>
      <w:proofErr w:type="spellStart"/>
      <w:r w:rsidRPr="00520861">
        <w:rPr>
          <w:rFonts w:eastAsia="Calibri"/>
          <w:sz w:val="28"/>
          <w:szCs w:val="28"/>
          <w:lang w:eastAsia="en-US"/>
        </w:rPr>
        <w:t>IgM</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IgG</w:t>
      </w:r>
      <w:proofErr w:type="spellEnd"/>
      <w:r w:rsidRPr="00520861">
        <w:rPr>
          <w:rFonts w:eastAsia="Calibri"/>
          <w:sz w:val="28"/>
          <w:szCs w:val="28"/>
          <w:lang w:eastAsia="en-US"/>
        </w:rPr>
        <w:t xml:space="preserve">. </w:t>
      </w:r>
    </w:p>
    <w:p w14:paraId="07D6B956" w14:textId="77777777" w:rsidR="00180D3E" w:rsidRPr="00520861" w:rsidRDefault="00180D3E" w:rsidP="00292D2E">
      <w:pPr>
        <w:widowControl w:val="0"/>
        <w:spacing w:line="360" w:lineRule="auto"/>
        <w:ind w:firstLine="708"/>
        <w:contextualSpacing/>
        <w:jc w:val="both"/>
        <w:rPr>
          <w:rFonts w:eastAsia="Calibri"/>
          <w:spacing w:val="-4"/>
          <w:sz w:val="28"/>
          <w:szCs w:val="28"/>
          <w:lang w:eastAsia="en-US"/>
        </w:rPr>
      </w:pPr>
      <w:r w:rsidRPr="00520861">
        <w:rPr>
          <w:rFonts w:eastAsia="Calibri"/>
          <w:sz w:val="28"/>
          <w:szCs w:val="28"/>
          <w:lang w:eastAsia="en-US"/>
        </w:rPr>
        <w:t xml:space="preserve">Як відомо,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проявляє </w:t>
      </w:r>
      <w:proofErr w:type="spellStart"/>
      <w:r w:rsidRPr="00520861">
        <w:rPr>
          <w:rFonts w:eastAsia="Calibri"/>
          <w:sz w:val="28"/>
          <w:szCs w:val="28"/>
          <w:lang w:eastAsia="en-US"/>
        </w:rPr>
        <w:t>антиадгезивні</w:t>
      </w:r>
      <w:proofErr w:type="spellEnd"/>
      <w:r w:rsidRPr="00520861">
        <w:rPr>
          <w:rFonts w:eastAsia="Calibri"/>
          <w:sz w:val="28"/>
          <w:szCs w:val="28"/>
          <w:lang w:eastAsia="en-US"/>
        </w:rPr>
        <w:t xml:space="preserve"> властивості, попереджаючи прикріплення патогенних бактерій до епітелію [105]. Поступове прогресування запального </w:t>
      </w:r>
      <w:r w:rsidRPr="00520861">
        <w:rPr>
          <w:rFonts w:eastAsia="Calibri"/>
          <w:sz w:val="28"/>
          <w:szCs w:val="28"/>
          <w:lang w:eastAsia="en-US"/>
        </w:rPr>
        <w:lastRenderedPageBreak/>
        <w:t xml:space="preserve">процесу </w:t>
      </w:r>
      <w:proofErr w:type="spellStart"/>
      <w:r w:rsidRPr="00520861">
        <w:rPr>
          <w:rFonts w:eastAsia="Calibri"/>
          <w:sz w:val="28"/>
          <w:szCs w:val="28"/>
          <w:lang w:eastAsia="en-US"/>
        </w:rPr>
        <w:t>внеможливлює</w:t>
      </w:r>
      <w:proofErr w:type="spellEnd"/>
      <w:r w:rsidRPr="00520861">
        <w:rPr>
          <w:rFonts w:eastAsia="Calibri"/>
          <w:sz w:val="28"/>
          <w:szCs w:val="28"/>
          <w:lang w:eastAsia="en-US"/>
        </w:rPr>
        <w:t xml:space="preserve"> підтримку місцевого імунітету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що призводить до </w:t>
      </w:r>
      <w:proofErr w:type="spellStart"/>
      <w:r w:rsidRPr="00520861">
        <w:rPr>
          <w:rFonts w:eastAsia="Calibri"/>
          <w:sz w:val="28"/>
          <w:szCs w:val="28"/>
          <w:lang w:eastAsia="en-US"/>
        </w:rPr>
        <w:t>хронізації</w:t>
      </w:r>
      <w:proofErr w:type="spellEnd"/>
      <w:r w:rsidRPr="00520861">
        <w:rPr>
          <w:rFonts w:eastAsia="Calibri"/>
          <w:sz w:val="28"/>
          <w:szCs w:val="28"/>
          <w:lang w:eastAsia="en-US"/>
        </w:rPr>
        <w:t xml:space="preserve"> процесу. Те, що в осіб підгруп 1 і 2 віком 12 – 17 років рівень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є вірогідно (р=0,007372 та </w:t>
      </w:r>
      <w:r w:rsidRPr="00520861">
        <w:rPr>
          <w:rFonts w:eastAsia="Calibri"/>
          <w:i/>
          <w:sz w:val="28"/>
          <w:szCs w:val="28"/>
          <w:lang w:eastAsia="en-US"/>
        </w:rPr>
        <w:t>р</w:t>
      </w:r>
      <w:r w:rsidRPr="00520861">
        <w:rPr>
          <w:rFonts w:eastAsia="Calibri"/>
          <w:sz w:val="28"/>
          <w:szCs w:val="28"/>
          <w:lang w:eastAsia="en-US"/>
        </w:rPr>
        <w:t>=0,007269 відповідно) вищий, ніж у ГП, свідчить про напруженість імунітету та повинно розглядатися як «</w:t>
      </w:r>
      <w:proofErr w:type="spellStart"/>
      <w:r w:rsidRPr="00520861">
        <w:rPr>
          <w:rFonts w:eastAsia="Calibri"/>
          <w:sz w:val="28"/>
          <w:szCs w:val="28"/>
          <w:lang w:eastAsia="en-US"/>
        </w:rPr>
        <w:t>передпародонтит</w:t>
      </w:r>
      <w:proofErr w:type="spellEnd"/>
      <w:r w:rsidRPr="00520861">
        <w:rPr>
          <w:rFonts w:eastAsia="Calibri"/>
          <w:sz w:val="28"/>
          <w:szCs w:val="28"/>
          <w:lang w:eastAsia="en-US"/>
        </w:rPr>
        <w:t xml:space="preserve">», оскільки в наступних ВП спостерігається стан серйозного порушення локального імунітету. </w:t>
      </w:r>
      <w:r w:rsidRPr="00520861">
        <w:rPr>
          <w:rFonts w:eastAsia="Calibri"/>
          <w:spacing w:val="-4"/>
          <w:sz w:val="28"/>
          <w:szCs w:val="28"/>
          <w:lang w:eastAsia="en-US"/>
        </w:rPr>
        <w:t xml:space="preserve">Про останнє свідчить дещо знижений порівняно з ГП рівень </w:t>
      </w:r>
      <w:proofErr w:type="spellStart"/>
      <w:r w:rsidRPr="00520861">
        <w:rPr>
          <w:rFonts w:eastAsia="Calibri"/>
          <w:spacing w:val="-4"/>
          <w:sz w:val="28"/>
          <w:szCs w:val="28"/>
          <w:lang w:eastAsia="en-US"/>
        </w:rPr>
        <w:t>sIgA</w:t>
      </w:r>
      <w:proofErr w:type="spellEnd"/>
      <w:r w:rsidRPr="00520861">
        <w:rPr>
          <w:rFonts w:eastAsia="Calibri"/>
          <w:spacing w:val="-4"/>
          <w:sz w:val="28"/>
          <w:szCs w:val="28"/>
          <w:lang w:eastAsia="en-US"/>
        </w:rPr>
        <w:t xml:space="preserve"> в осіб наступного ВП-VI. </w:t>
      </w:r>
    </w:p>
    <w:p w14:paraId="5390D5D5"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Тенденція зниження рівня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IgM</w:t>
      </w:r>
      <w:proofErr w:type="spellEnd"/>
      <w:r w:rsidRPr="00520861">
        <w:rPr>
          <w:rFonts w:eastAsia="Calibri"/>
          <w:sz w:val="28"/>
          <w:szCs w:val="28"/>
          <w:lang w:eastAsia="en-US"/>
        </w:rPr>
        <w:t xml:space="preserve">, яка простежувалася практично в усіх ВП в осіб підгрупи 3 і підгрупи 4, є ознакою зниження локального імунітету. Чим більше зниження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тим вища ймовірність множинного карієсу в пацієнта [206]. Відповідно до даних наукової літератури, нестача в змішаній слині </w:t>
      </w:r>
      <w:proofErr w:type="spellStart"/>
      <w:r w:rsidRPr="00520861">
        <w:rPr>
          <w:rFonts w:eastAsia="Calibri"/>
          <w:sz w:val="28"/>
          <w:szCs w:val="28"/>
          <w:lang w:eastAsia="en-US"/>
        </w:rPr>
        <w:t>імуноглобулінів</w:t>
      </w:r>
      <w:proofErr w:type="spellEnd"/>
      <w:r w:rsidRPr="00520861">
        <w:rPr>
          <w:rFonts w:eastAsia="Calibri"/>
          <w:sz w:val="28"/>
          <w:szCs w:val="28"/>
          <w:lang w:eastAsia="en-US"/>
        </w:rPr>
        <w:t xml:space="preserve"> А, М і G може суттєво зменшити місцеві захисні сили організму та провокувати розвиток каріозного процесу [241, 358, 477].</w:t>
      </w:r>
    </w:p>
    <w:p w14:paraId="7668320E" w14:textId="77777777" w:rsidR="00180D3E" w:rsidRPr="00520861" w:rsidRDefault="00180D3E" w:rsidP="00292D2E">
      <w:pPr>
        <w:widowControl w:val="0"/>
        <w:spacing w:line="360" w:lineRule="auto"/>
        <w:ind w:firstLine="709"/>
        <w:contextualSpacing/>
        <w:jc w:val="both"/>
        <w:rPr>
          <w:b/>
          <w:bCs/>
          <w:sz w:val="28"/>
          <w:szCs w:val="28"/>
        </w:rPr>
      </w:pPr>
      <w:r w:rsidRPr="00520861">
        <w:rPr>
          <w:rFonts w:eastAsia="Calibri"/>
          <w:sz w:val="28"/>
          <w:szCs w:val="28"/>
          <w:lang w:eastAsia="en-US"/>
        </w:rPr>
        <w:t xml:space="preserve">Існують відомості, що при зниженні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в РР має підвищуватися рівень </w:t>
      </w:r>
      <w:proofErr w:type="spellStart"/>
      <w:r w:rsidRPr="00520861">
        <w:rPr>
          <w:rFonts w:eastAsia="Calibri"/>
          <w:sz w:val="28"/>
          <w:szCs w:val="28"/>
          <w:lang w:eastAsia="en-US"/>
        </w:rPr>
        <w:t>IgM</w:t>
      </w:r>
      <w:proofErr w:type="spellEnd"/>
      <w:r w:rsidRPr="00520861">
        <w:rPr>
          <w:rFonts w:eastAsia="Calibri"/>
          <w:sz w:val="28"/>
          <w:szCs w:val="28"/>
          <w:lang w:eastAsia="en-US"/>
        </w:rPr>
        <w:t>, що пояснюється механізмом вибіркового транспорту цього імуноглобуліну через епітеліальний бар’єр [212].</w:t>
      </w:r>
      <w:r w:rsidRPr="00520861">
        <w:rPr>
          <w:b/>
          <w:bCs/>
          <w:sz w:val="28"/>
          <w:szCs w:val="28"/>
        </w:rPr>
        <w:t xml:space="preserve"> </w:t>
      </w:r>
      <w:r w:rsidRPr="00520861">
        <w:rPr>
          <w:bCs/>
          <w:sz w:val="28"/>
          <w:szCs w:val="28"/>
        </w:rPr>
        <w:t>Зафіксоване</w:t>
      </w:r>
      <w:r w:rsidRPr="00520861">
        <w:rPr>
          <w:rFonts w:eastAsia="Calibri"/>
          <w:sz w:val="28"/>
          <w:szCs w:val="28"/>
          <w:lang w:eastAsia="en-US"/>
        </w:rPr>
        <w:t xml:space="preserve"> в нашому дослідженні зниження рівнів обох цих цитокінів в учасників дослідження із підгруп 3 і 4, окрім імунологічних механізмів, можна пояснити також спільними шляхами синтезу із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(у складі білкового </w:t>
      </w:r>
      <w:proofErr w:type="spellStart"/>
      <w:r w:rsidRPr="00520861">
        <w:rPr>
          <w:rFonts w:eastAsia="Calibri"/>
          <w:sz w:val="28"/>
          <w:szCs w:val="28"/>
          <w:lang w:eastAsia="en-US"/>
        </w:rPr>
        <w:t>димеру</w:t>
      </w:r>
      <w:proofErr w:type="spellEnd"/>
      <w:r w:rsidRPr="00520861">
        <w:rPr>
          <w:rFonts w:eastAsia="Calibri"/>
          <w:sz w:val="28"/>
          <w:szCs w:val="28"/>
          <w:lang w:eastAsia="en-US"/>
        </w:rPr>
        <w:t xml:space="preserve"> наявний j-ланцюг, аналогічний такому ж у структурі </w:t>
      </w:r>
      <w:proofErr w:type="spellStart"/>
      <w:r w:rsidRPr="00520861">
        <w:rPr>
          <w:rFonts w:eastAsia="Calibri"/>
          <w:sz w:val="28"/>
          <w:szCs w:val="28"/>
          <w:lang w:eastAsia="en-US"/>
        </w:rPr>
        <w:t>IgM</w:t>
      </w:r>
      <w:proofErr w:type="spellEnd"/>
      <w:r w:rsidRPr="00520861">
        <w:rPr>
          <w:rFonts w:eastAsia="Calibri"/>
          <w:sz w:val="28"/>
          <w:szCs w:val="28"/>
          <w:lang w:eastAsia="en-US"/>
        </w:rPr>
        <w:t xml:space="preserve">) [367]. </w:t>
      </w:r>
    </w:p>
    <w:p w14:paraId="16552F96" w14:textId="77777777" w:rsidR="00180D3E" w:rsidRPr="00520861" w:rsidRDefault="00180D3E" w:rsidP="00292D2E">
      <w:pPr>
        <w:widowControl w:val="0"/>
        <w:spacing w:line="360" w:lineRule="auto"/>
        <w:ind w:firstLine="709"/>
        <w:contextualSpacing/>
        <w:jc w:val="both"/>
        <w:rPr>
          <w:rFonts w:eastAsia="Calibri"/>
          <w:sz w:val="28"/>
          <w:szCs w:val="28"/>
          <w:shd w:val="clear" w:color="auto" w:fill="FFFFFF"/>
          <w:lang w:eastAsia="en-US"/>
        </w:rPr>
      </w:pPr>
      <w:r w:rsidRPr="00520861">
        <w:rPr>
          <w:rFonts w:eastAsia="Calibri"/>
          <w:sz w:val="28"/>
          <w:szCs w:val="28"/>
          <w:lang w:eastAsia="en-US"/>
        </w:rPr>
        <w:t xml:space="preserve">Підвищені рівні </w:t>
      </w:r>
      <w:proofErr w:type="spellStart"/>
      <w:r w:rsidRPr="00520861">
        <w:rPr>
          <w:rFonts w:eastAsia="Calibri"/>
          <w:sz w:val="28"/>
          <w:szCs w:val="28"/>
          <w:lang w:eastAsia="en-US"/>
        </w:rPr>
        <w:t>IgG</w:t>
      </w:r>
      <w:proofErr w:type="spellEnd"/>
      <w:r w:rsidRPr="00520861">
        <w:rPr>
          <w:rFonts w:eastAsia="Calibri"/>
          <w:sz w:val="28"/>
          <w:szCs w:val="28"/>
          <w:lang w:eastAsia="en-US"/>
        </w:rPr>
        <w:t xml:space="preserve"> в осіб підгруп 1 і 2 фіксуються навіть у молодому віці. Вірогідні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z w:val="28"/>
          <w:szCs w:val="28"/>
          <w:lang w:eastAsia="en-US"/>
        </w:rPr>
        <w:t xml:space="preserve">) зміни, виявлені в осіб дорослого віку практично в усіх у ВП, пояснюються формуванням у них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w:t>
      </w:r>
      <w:r w:rsidRPr="00520861">
        <w:rPr>
          <w:bCs/>
          <w:sz w:val="28"/>
          <w:szCs w:val="28"/>
        </w:rPr>
        <w:t>481</w:t>
      </w:r>
      <w:r w:rsidRPr="00520861">
        <w:rPr>
          <w:rFonts w:eastAsia="Calibri"/>
          <w:sz w:val="28"/>
          <w:szCs w:val="28"/>
          <w:lang w:eastAsia="en-US"/>
        </w:rPr>
        <w:t xml:space="preserve">]. Тенденція до підвищення </w:t>
      </w:r>
      <w:proofErr w:type="spellStart"/>
      <w:r w:rsidRPr="00520861">
        <w:rPr>
          <w:rFonts w:eastAsia="Calibri"/>
          <w:sz w:val="28"/>
          <w:szCs w:val="28"/>
          <w:lang w:eastAsia="en-US"/>
        </w:rPr>
        <w:t>IgG</w:t>
      </w:r>
      <w:proofErr w:type="spellEnd"/>
      <w:r w:rsidRPr="00520861">
        <w:rPr>
          <w:rFonts w:eastAsia="Calibri"/>
          <w:sz w:val="28"/>
          <w:szCs w:val="28"/>
          <w:lang w:eastAsia="en-US"/>
        </w:rPr>
        <w:t xml:space="preserve"> в осіб підгруп 3 і 4 у старших ВП, швидше за все, пов’язана з формуванням у них </w:t>
      </w:r>
      <w:r w:rsidRPr="00520861">
        <w:rPr>
          <w:rFonts w:eastAsia="Calibri"/>
          <w:sz w:val="28"/>
          <w:szCs w:val="28"/>
          <w:lang w:eastAsia="en-US"/>
        </w:rPr>
        <w:br/>
        <w:t>метаболічного синдрому.</w:t>
      </w:r>
    </w:p>
    <w:p w14:paraId="5D0F4191"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Беручи до уваги, що формування сполучної тканини також регулюється </w:t>
      </w:r>
      <w:r w:rsidRPr="00520861">
        <w:rPr>
          <w:rFonts w:eastAsia="Calibri"/>
          <w:sz w:val="28"/>
          <w:szCs w:val="28"/>
          <w:lang w:eastAsia="en-US"/>
        </w:rPr>
        <w:br/>
        <w:t xml:space="preserve">гормональним балансом [239, 262], відповідно, рівень одного із основних метаболітів колагену –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мав суттєві відмінності в осіб у залежності від ВУ конституції тіла. У віці 4 – 6 років в осіб підгрупи 1 і підгрупи 2 зафіксовано вірогідно (p=0,001793 та p=0,004484 відповідно) знижені рівні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порівняно з ГП. Це може пояснюватися тим, що такі особи первинно мали більш високий рівень СТГ.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який в осіб із підгрупи 2 у ВП-ІII був вірогідно нижчим за норму, </w:t>
      </w:r>
      <w:r w:rsidRPr="00520861">
        <w:rPr>
          <w:rFonts w:eastAsia="Calibri"/>
          <w:sz w:val="28"/>
          <w:szCs w:val="28"/>
          <w:lang w:eastAsia="en-US"/>
        </w:rPr>
        <w:lastRenderedPageBreak/>
        <w:t xml:space="preserve">можна також пояснити відносно «низьким» ІМТ при народженні. Через це формування сполучнотканинних структур у них дещо пригнічене. </w:t>
      </w:r>
    </w:p>
    <w:p w14:paraId="2D533ABC"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Із віком збільшується продукція СТГ, яка фізіологічно залишається високою весь період активного росту (до 18 – 25 років). Це погоджується з отриманими нами даними щодо зростання в цей період концентрації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в осіб підгрупи 1 і підгрупи 2. Проте в більшості осіб його рівень був нижчий від фізіологічної норми, що, очевидно, пов’язано із активацією синтезу колагену внаслідок розвитку </w:t>
      </w:r>
      <w:r w:rsidRPr="00520861">
        <w:rPr>
          <w:rFonts w:eastAsia="Calibri"/>
          <w:sz w:val="28"/>
          <w:szCs w:val="28"/>
          <w:lang w:eastAsia="en-US"/>
        </w:rPr>
        <w:br/>
      </w:r>
      <w:proofErr w:type="spellStart"/>
      <w:r w:rsidRPr="00520861">
        <w:rPr>
          <w:rFonts w:eastAsia="Calibri"/>
          <w:sz w:val="28"/>
          <w:szCs w:val="28"/>
          <w:lang w:eastAsia="en-US"/>
        </w:rPr>
        <w:t>деструктивно</w:t>
      </w:r>
      <w:proofErr w:type="spellEnd"/>
      <w:r w:rsidRPr="00520861">
        <w:rPr>
          <w:rFonts w:eastAsia="Calibri"/>
          <w:sz w:val="28"/>
          <w:szCs w:val="28"/>
          <w:lang w:eastAsia="en-US"/>
        </w:rPr>
        <w:t xml:space="preserve">-запальних змін і клінічно відповідає стану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Тобто в осіб цих підгруп синтез колагену є адаптивним механізмом у відповідь на запалення й за рахунок високої концентрації СТГ синтетичні процеси переважають над </w:t>
      </w:r>
      <w:proofErr w:type="spellStart"/>
      <w:r w:rsidRPr="00520861">
        <w:rPr>
          <w:rFonts w:eastAsia="Calibri"/>
          <w:sz w:val="28"/>
          <w:szCs w:val="28"/>
          <w:lang w:eastAsia="en-US"/>
        </w:rPr>
        <w:t>катаболічними</w:t>
      </w:r>
      <w:proofErr w:type="spellEnd"/>
      <w:r w:rsidRPr="00520861">
        <w:rPr>
          <w:rFonts w:eastAsia="Calibri"/>
          <w:sz w:val="28"/>
          <w:szCs w:val="28"/>
          <w:lang w:eastAsia="en-US"/>
        </w:rPr>
        <w:t xml:space="preserve">. Підвищена концентрація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у віці після 25 років пояснюється зниженням рівня СТГ і свідчить про активацію деструкції сполучної тканини на тлі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й загалом відповідає клініко-біохімічним характеристикам хворих на </w:t>
      </w:r>
      <w:proofErr w:type="spellStart"/>
      <w:r w:rsidRPr="00520861">
        <w:rPr>
          <w:rFonts w:eastAsia="Calibri"/>
          <w:sz w:val="28"/>
          <w:szCs w:val="28"/>
          <w:lang w:eastAsia="en-US"/>
        </w:rPr>
        <w:t>пародонтит</w:t>
      </w:r>
      <w:proofErr w:type="spellEnd"/>
      <w:r w:rsidRPr="00520861">
        <w:rPr>
          <w:rFonts w:eastAsia="Calibri"/>
          <w:sz w:val="28"/>
          <w:szCs w:val="28"/>
          <w:lang w:eastAsia="en-US"/>
        </w:rPr>
        <w:t xml:space="preserve"> [266]. В осіб ВП-VIII (45 – 55 років)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є найбільш високим серед усіх ВП у межах підгрупи 1 і підгрупи 2, що, очевидно, пов’язано із фізіологічним пригніченням синтезу колагену і інтенсифікацією його деградації та є характерним для цієї вікової категорії.</w:t>
      </w:r>
    </w:p>
    <w:p w14:paraId="6D00F6B7"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В осіб підгрупи 3 ВУ розвиток проходив за умов високих концентрацій СТГ та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це обумовлювало перебудову пластичного та енергетичного видів обміну. У віці 4 – 6 років в осіб підгрупи 3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був вище, ніж в осіб </w:t>
      </w:r>
      <w:r w:rsidRPr="00520861">
        <w:rPr>
          <w:rFonts w:eastAsia="Calibri"/>
          <w:sz w:val="28"/>
          <w:szCs w:val="28"/>
          <w:lang w:eastAsia="en-US"/>
        </w:rPr>
        <w:br/>
        <w:t xml:space="preserve">підгруп 1 і 2, що, імовірно, було пов’язано зі стимулюючим впливом СТГ на формування сполучно-тканинних структур. Останнє включає також і процеси деградації колагену, унаслідок чого вивільнялася певна кількість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У той же час із віком ситуація змінювалася через надлишок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та надмірну кількість жирової тканини.</w:t>
      </w:r>
    </w:p>
    <w:p w14:paraId="5905C211" w14:textId="77777777" w:rsidR="00180D3E" w:rsidRPr="00520861" w:rsidRDefault="00180D3E" w:rsidP="00292D2E">
      <w:pPr>
        <w:widowControl w:val="0"/>
        <w:spacing w:line="360" w:lineRule="auto"/>
        <w:ind w:firstLine="709"/>
        <w:contextualSpacing/>
        <w:jc w:val="both"/>
        <w:rPr>
          <w:rFonts w:eastAsia="Calibri"/>
          <w:kern w:val="28"/>
          <w:sz w:val="28"/>
          <w:szCs w:val="28"/>
          <w:lang w:eastAsia="en-US"/>
        </w:rPr>
      </w:pPr>
      <w:proofErr w:type="spellStart"/>
      <w:r w:rsidRPr="00520861">
        <w:rPr>
          <w:rFonts w:eastAsia="Calibri"/>
          <w:kern w:val="28"/>
          <w:sz w:val="28"/>
          <w:szCs w:val="28"/>
          <w:lang w:eastAsia="en-US"/>
        </w:rPr>
        <w:t>Кортизол</w:t>
      </w:r>
      <w:proofErr w:type="spellEnd"/>
      <w:r w:rsidRPr="00520861">
        <w:rPr>
          <w:rFonts w:eastAsia="Calibri"/>
          <w:kern w:val="28"/>
          <w:sz w:val="28"/>
          <w:szCs w:val="28"/>
          <w:lang w:eastAsia="en-US"/>
        </w:rPr>
        <w:t xml:space="preserve">, як відомо, стимулює розпад сполучної тканини за рахунок активації ферментів деградації колагену й одночасно пригнічує його синтез [308]. Це </w:t>
      </w:r>
      <w:r w:rsidRPr="00520861">
        <w:rPr>
          <w:rFonts w:eastAsia="Calibri"/>
          <w:kern w:val="28"/>
          <w:sz w:val="28"/>
          <w:szCs w:val="28"/>
          <w:lang w:eastAsia="en-US"/>
        </w:rPr>
        <w:br/>
        <w:t xml:space="preserve">узгоджувалось із отриманими даними щодо вірогідного зростання рівня </w:t>
      </w:r>
      <w:proofErr w:type="spellStart"/>
      <w:r w:rsidRPr="00520861">
        <w:rPr>
          <w:rFonts w:eastAsia="Calibri"/>
          <w:kern w:val="28"/>
          <w:sz w:val="28"/>
          <w:szCs w:val="28"/>
          <w:lang w:eastAsia="en-US"/>
        </w:rPr>
        <w:t>оксипроліну</w:t>
      </w:r>
      <w:proofErr w:type="spellEnd"/>
      <w:r w:rsidRPr="00520861">
        <w:rPr>
          <w:rFonts w:eastAsia="Calibri"/>
          <w:kern w:val="28"/>
          <w:sz w:val="28"/>
          <w:szCs w:val="28"/>
          <w:lang w:eastAsia="en-US"/>
        </w:rPr>
        <w:t xml:space="preserve"> в осіб підгрупи 3 у віці 7 – 11 (p=0,006170) та 12 – 17 років (p=0,018534), яке </w:t>
      </w:r>
      <w:r w:rsidRPr="00520861">
        <w:rPr>
          <w:rFonts w:eastAsia="Calibri"/>
          <w:kern w:val="28"/>
          <w:sz w:val="28"/>
          <w:szCs w:val="28"/>
          <w:lang w:eastAsia="en-US"/>
        </w:rPr>
        <w:br/>
        <w:t xml:space="preserve">підтверджувало активацію деградації колагену. Після 18 років ситуація знову </w:t>
      </w:r>
      <w:r w:rsidRPr="00520861">
        <w:rPr>
          <w:rFonts w:eastAsia="Calibri"/>
          <w:kern w:val="28"/>
          <w:sz w:val="28"/>
          <w:szCs w:val="28"/>
          <w:lang w:eastAsia="en-US"/>
        </w:rPr>
        <w:br/>
      </w:r>
      <w:r w:rsidRPr="00520861">
        <w:rPr>
          <w:rFonts w:eastAsia="Calibri"/>
          <w:kern w:val="28"/>
          <w:sz w:val="28"/>
          <w:szCs w:val="28"/>
          <w:lang w:eastAsia="en-US"/>
        </w:rPr>
        <w:lastRenderedPageBreak/>
        <w:t xml:space="preserve">змінювалася внаслідок зменшення концентрації </w:t>
      </w:r>
      <w:proofErr w:type="spellStart"/>
      <w:r w:rsidRPr="00520861">
        <w:rPr>
          <w:rFonts w:eastAsia="Calibri"/>
          <w:kern w:val="28"/>
          <w:sz w:val="28"/>
          <w:szCs w:val="28"/>
          <w:lang w:eastAsia="en-US"/>
        </w:rPr>
        <w:t>кортизолу</w:t>
      </w:r>
      <w:proofErr w:type="spellEnd"/>
      <w:r w:rsidRPr="00520861">
        <w:rPr>
          <w:rFonts w:eastAsia="Calibri"/>
          <w:kern w:val="28"/>
          <w:sz w:val="28"/>
          <w:szCs w:val="28"/>
          <w:lang w:eastAsia="en-US"/>
        </w:rPr>
        <w:t xml:space="preserve">, але все ще досить високу концентрацію СТГ (яка зберігається до 25 років), що відповідно відновлювало баланс синтезу й розпаду в сполучній тканині. Проявом цього була нормалізація рівня </w:t>
      </w:r>
      <w:proofErr w:type="spellStart"/>
      <w:r w:rsidRPr="00520861">
        <w:rPr>
          <w:rFonts w:eastAsia="Calibri"/>
          <w:kern w:val="28"/>
          <w:sz w:val="28"/>
          <w:szCs w:val="28"/>
          <w:lang w:eastAsia="en-US"/>
        </w:rPr>
        <w:t>оксипроліну</w:t>
      </w:r>
      <w:proofErr w:type="spellEnd"/>
      <w:r w:rsidRPr="00520861">
        <w:rPr>
          <w:rFonts w:eastAsia="Calibri"/>
          <w:kern w:val="28"/>
          <w:sz w:val="28"/>
          <w:szCs w:val="28"/>
          <w:lang w:eastAsia="en-US"/>
        </w:rPr>
        <w:t>, який не  відрізнявся від показників ГП. У більшості осіб цієї підгрупи у порівнянні з іншими підгрупами активної деградації сполучної тканини в дорослому віці також не відбувалося.</w:t>
      </w:r>
    </w:p>
    <w:p w14:paraId="4CF2DC1E" w14:textId="77777777" w:rsidR="00180D3E" w:rsidRPr="00520861" w:rsidRDefault="00180D3E" w:rsidP="00292D2E">
      <w:pPr>
        <w:widowControl w:val="0"/>
        <w:spacing w:line="360" w:lineRule="auto"/>
        <w:ind w:firstLine="708"/>
        <w:jc w:val="both"/>
        <w:rPr>
          <w:rFonts w:eastAsia="Calibri"/>
          <w:sz w:val="28"/>
          <w:szCs w:val="28"/>
          <w:lang w:eastAsia="en-US"/>
        </w:rPr>
      </w:pPr>
      <w:r w:rsidRPr="00520861">
        <w:rPr>
          <w:rFonts w:eastAsia="Calibri"/>
          <w:sz w:val="28"/>
          <w:szCs w:val="28"/>
          <w:lang w:eastAsia="en-US"/>
        </w:rPr>
        <w:t xml:space="preserve">У підгрупі 4 ВУ розвиток проходив за високих концентрацій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і відносно невисокої концентрації СТГ. Наслідком зазначених особливостей гормонального фону було зростання маси жирової тканини через надлишок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у віці 4 – 6 років у таких дітей хоч і залишався на рівні фізіологічної норми, проте був найвищим серед усіх підгруп. Підвищений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також може бути пов’язаним із високою інтенсивністю карієсу, яка спостерігалася у цих дітей. Починаючи з 6 років, рівень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постійно зростав, досягаючи високих значень після 18 років і збільшуючись протягом усього періоду оцінювання (максимальні значення – в осіб 45 – 55 років). Зазначена закономірність, очевидно, пов’язана із інтенсивною деструкцією сполучної тканини протягом періоду активного росту через нестачу СТГ та надлишок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xml:space="preserve">, який сприяє руйнуванню сполучнотканинних структур. Беручи до уваги, що після 25 років оновлення сполучної тканини, навіть за фізіологічних умов, суттєво знижується, а в осіб цієї підгрупи  мало місце первинно неправильне її формування, цілком закономірно, що в старших ВП (25 – 55 років) спостерігалися найбільші концентрації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як віддзеркалення дегенеративних процесів у сполучній тканині [341].</w:t>
      </w:r>
    </w:p>
    <w:p w14:paraId="1BF351DA" w14:textId="77777777" w:rsidR="00180D3E" w:rsidRPr="00520861" w:rsidRDefault="00180D3E" w:rsidP="00292D2E">
      <w:pPr>
        <w:widowControl w:val="0"/>
        <w:spacing w:line="360" w:lineRule="auto"/>
        <w:ind w:firstLine="709"/>
        <w:jc w:val="both"/>
        <w:rPr>
          <w:rFonts w:eastAsia="Calibri"/>
          <w:spacing w:val="-2"/>
          <w:sz w:val="28"/>
          <w:szCs w:val="28"/>
          <w:lang w:eastAsia="en-US"/>
        </w:rPr>
      </w:pPr>
      <w:r w:rsidRPr="00520861">
        <w:rPr>
          <w:rFonts w:eastAsia="Calibri"/>
          <w:spacing w:val="-2"/>
          <w:sz w:val="28"/>
          <w:szCs w:val="28"/>
          <w:lang w:eastAsia="en-US"/>
        </w:rPr>
        <w:t xml:space="preserve">У результаті проведеного МГ дослідження встановлено, що генотип СС та алель С у гені </w:t>
      </w:r>
      <w:r w:rsidRPr="00520861">
        <w:rPr>
          <w:rFonts w:eastAsia="Calibri"/>
          <w:i/>
          <w:spacing w:val="-2"/>
          <w:sz w:val="28"/>
          <w:szCs w:val="28"/>
          <w:lang w:eastAsia="en-US"/>
        </w:rPr>
        <w:t>ESR1: -397 T&gt;C (</w:t>
      </w:r>
      <w:proofErr w:type="spellStart"/>
      <w:r w:rsidRPr="00520861">
        <w:rPr>
          <w:rFonts w:eastAsia="Calibri"/>
          <w:i/>
          <w:spacing w:val="-2"/>
          <w:sz w:val="28"/>
          <w:szCs w:val="28"/>
          <w:lang w:eastAsia="en-US"/>
        </w:rPr>
        <w:t>PvuII</w:t>
      </w:r>
      <w:proofErr w:type="spellEnd"/>
      <w:r w:rsidRPr="00520861">
        <w:rPr>
          <w:rFonts w:eastAsia="Calibri"/>
          <w:i/>
          <w:spacing w:val="-2"/>
          <w:sz w:val="28"/>
          <w:szCs w:val="28"/>
          <w:lang w:eastAsia="en-US"/>
        </w:rPr>
        <w:t>)</w:t>
      </w:r>
      <w:r w:rsidRPr="00520861">
        <w:rPr>
          <w:rFonts w:eastAsia="Calibri"/>
          <w:spacing w:val="-2"/>
          <w:sz w:val="28"/>
          <w:szCs w:val="28"/>
          <w:lang w:eastAsia="en-US"/>
        </w:rPr>
        <w:t xml:space="preserve"> [rs2234693] виявлялися вірогідно (</w:t>
      </w:r>
      <w:r w:rsidR="0022364D" w:rsidRPr="00520861">
        <w:rPr>
          <w:rFonts w:eastAsia="Calibri"/>
          <w:i/>
          <w:sz w:val="28"/>
          <w:szCs w:val="28"/>
          <w:lang w:eastAsia="en-US"/>
        </w:rPr>
        <w:t>p</w:t>
      </w:r>
      <w:r w:rsidR="00CD7533" w:rsidRPr="00520861">
        <w:rPr>
          <w:rFonts w:eastAsia="Calibri"/>
          <w:sz w:val="28"/>
          <w:szCs w:val="28"/>
          <w:lang w:eastAsia="en-US"/>
        </w:rPr>
        <w:t>&lt;</w:t>
      </w:r>
      <w:r w:rsidR="0022364D" w:rsidRPr="00520861">
        <w:rPr>
          <w:rFonts w:eastAsia="Calibri"/>
          <w:sz w:val="28"/>
          <w:szCs w:val="28"/>
          <w:lang w:eastAsia="en-US"/>
        </w:rPr>
        <w:t>0,05</w:t>
      </w:r>
      <w:r w:rsidRPr="00520861">
        <w:rPr>
          <w:rFonts w:eastAsia="Calibri"/>
          <w:spacing w:val="-2"/>
          <w:sz w:val="28"/>
          <w:szCs w:val="28"/>
          <w:lang w:eastAsia="en-US"/>
        </w:rPr>
        <w:t>) рідше в осіб ОГ ПЗП, ніж в осіб ГП.</w:t>
      </w:r>
      <w:r w:rsidRPr="00520861">
        <w:rPr>
          <w:rFonts w:eastAsia="Calibri"/>
          <w:b/>
          <w:spacing w:val="-2"/>
          <w:sz w:val="28"/>
          <w:szCs w:val="28"/>
          <w:lang w:eastAsia="en-US"/>
        </w:rPr>
        <w:t xml:space="preserve"> </w:t>
      </w:r>
      <w:r w:rsidRPr="00520861">
        <w:rPr>
          <w:rFonts w:eastAsia="Calibri"/>
          <w:spacing w:val="-2"/>
          <w:sz w:val="28"/>
          <w:szCs w:val="28"/>
          <w:lang w:eastAsia="en-US"/>
        </w:rPr>
        <w:t xml:space="preserve">Алель С є </w:t>
      </w:r>
      <w:proofErr w:type="spellStart"/>
      <w:r w:rsidRPr="00520861">
        <w:rPr>
          <w:rFonts w:eastAsia="Calibri"/>
          <w:spacing w:val="-2"/>
          <w:sz w:val="28"/>
          <w:szCs w:val="28"/>
          <w:lang w:eastAsia="en-US"/>
        </w:rPr>
        <w:t>протективним</w:t>
      </w:r>
      <w:proofErr w:type="spellEnd"/>
      <w:r w:rsidRPr="00520861">
        <w:rPr>
          <w:rFonts w:eastAsia="Calibri"/>
          <w:spacing w:val="-2"/>
          <w:sz w:val="28"/>
          <w:szCs w:val="28"/>
          <w:lang w:eastAsia="en-US"/>
        </w:rPr>
        <w:t xml:space="preserve">, а алель Т – ризиковим фактором розвитку захворювань </w:t>
      </w:r>
      <w:proofErr w:type="spellStart"/>
      <w:r w:rsidRPr="00520861">
        <w:rPr>
          <w:rFonts w:eastAsia="Calibri"/>
          <w:spacing w:val="-2"/>
          <w:sz w:val="28"/>
          <w:szCs w:val="28"/>
          <w:lang w:eastAsia="en-US"/>
        </w:rPr>
        <w:t>пародонта</w:t>
      </w:r>
      <w:proofErr w:type="spellEnd"/>
      <w:r w:rsidRPr="00520861">
        <w:rPr>
          <w:rFonts w:eastAsia="Calibri"/>
          <w:spacing w:val="-2"/>
          <w:sz w:val="28"/>
          <w:szCs w:val="28"/>
          <w:lang w:eastAsia="en-US"/>
        </w:rPr>
        <w:t xml:space="preserve"> з превалюванням запального компонента. </w:t>
      </w:r>
    </w:p>
    <w:p w14:paraId="6097E1B3"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Аналіз наукових публікацій стосовно впливу розподілу </w:t>
      </w:r>
      <w:proofErr w:type="spellStart"/>
      <w:r w:rsidRPr="00520861">
        <w:rPr>
          <w:rFonts w:eastAsia="Calibri"/>
          <w:sz w:val="28"/>
          <w:szCs w:val="28"/>
          <w:lang w:eastAsia="en-US"/>
        </w:rPr>
        <w:t>алельних</w:t>
      </w:r>
      <w:proofErr w:type="spellEnd"/>
      <w:r w:rsidRPr="00520861">
        <w:rPr>
          <w:rFonts w:eastAsia="Calibri"/>
          <w:sz w:val="28"/>
          <w:szCs w:val="28"/>
          <w:lang w:eastAsia="en-US"/>
        </w:rPr>
        <w:t xml:space="preserve"> варіантів гена ESR1</w:t>
      </w:r>
      <w:r w:rsidRPr="00520861">
        <w:rPr>
          <w:rFonts w:eastAsia="Calibri"/>
          <w:i/>
          <w:sz w:val="28"/>
          <w:szCs w:val="28"/>
          <w:lang w:eastAsia="en-US"/>
        </w:rPr>
        <w:t xml:space="preserve"> </w:t>
      </w:r>
      <w:r w:rsidRPr="00520861">
        <w:rPr>
          <w:rFonts w:eastAsia="Calibri"/>
          <w:sz w:val="28"/>
          <w:szCs w:val="28"/>
          <w:lang w:eastAsia="en-US"/>
        </w:rPr>
        <w:t xml:space="preserve">за поліморфізмом </w:t>
      </w:r>
      <w:proofErr w:type="spellStart"/>
      <w:r w:rsidRPr="00520861">
        <w:rPr>
          <w:rFonts w:eastAsia="Calibri"/>
          <w:i/>
          <w:sz w:val="28"/>
          <w:szCs w:val="28"/>
          <w:lang w:eastAsia="en-US"/>
        </w:rPr>
        <w:t>PvuІ</w:t>
      </w:r>
      <w:proofErr w:type="spellEnd"/>
      <w:r w:rsidRPr="00520861">
        <w:rPr>
          <w:rFonts w:eastAsia="Calibri"/>
          <w:sz w:val="28"/>
          <w:szCs w:val="28"/>
          <w:lang w:eastAsia="en-US"/>
        </w:rPr>
        <w:t xml:space="preserve"> на мінеральну щільність кісткової тканини виявив, що такий зв’язок існує. </w:t>
      </w:r>
      <w:proofErr w:type="spellStart"/>
      <w:r w:rsidRPr="00520861">
        <w:rPr>
          <w:rFonts w:eastAsia="Calibri"/>
          <w:sz w:val="28"/>
          <w:szCs w:val="28"/>
          <w:lang w:eastAsia="en-US"/>
        </w:rPr>
        <w:t>Tobias</w:t>
      </w:r>
      <w:proofErr w:type="spellEnd"/>
      <w:r w:rsidRPr="00520861">
        <w:rPr>
          <w:rFonts w:eastAsia="Calibri"/>
          <w:sz w:val="28"/>
          <w:szCs w:val="28"/>
          <w:lang w:eastAsia="en-US"/>
        </w:rPr>
        <w:t xml:space="preserve"> J. H. та співавтори в роботі [539] довели, що гомозиготний варіант СС цього гена пов’язаний з підвищеною мінеральною щільністю </w:t>
      </w:r>
      <w:r w:rsidRPr="00520861">
        <w:rPr>
          <w:rFonts w:eastAsia="Calibri"/>
          <w:sz w:val="28"/>
          <w:szCs w:val="28"/>
          <w:lang w:eastAsia="en-US"/>
        </w:rPr>
        <w:br/>
      </w:r>
      <w:r w:rsidRPr="00520861">
        <w:rPr>
          <w:rFonts w:eastAsia="Calibri"/>
          <w:sz w:val="28"/>
          <w:szCs w:val="28"/>
          <w:lang w:eastAsia="en-US"/>
        </w:rPr>
        <w:lastRenderedPageBreak/>
        <w:t xml:space="preserve">кісткової тканини в пізньому </w:t>
      </w:r>
      <w:proofErr w:type="spellStart"/>
      <w:r w:rsidRPr="00520861">
        <w:rPr>
          <w:rFonts w:eastAsia="Calibri"/>
          <w:sz w:val="28"/>
          <w:szCs w:val="28"/>
          <w:lang w:eastAsia="en-US"/>
        </w:rPr>
        <w:t>пубертаті</w:t>
      </w:r>
      <w:proofErr w:type="spellEnd"/>
      <w:r w:rsidRPr="00520861">
        <w:rPr>
          <w:rFonts w:eastAsia="Calibri"/>
          <w:sz w:val="28"/>
          <w:szCs w:val="28"/>
          <w:lang w:eastAsia="en-US"/>
        </w:rPr>
        <w:t xml:space="preserve">. Однак ряд інших дослідників не підтвердив вірогідність таких результатів [592]. Цікавим є дослідження </w:t>
      </w:r>
      <w:proofErr w:type="spellStart"/>
      <w:r w:rsidRPr="00520861">
        <w:rPr>
          <w:rFonts w:eastAsia="Calibri"/>
          <w:sz w:val="28"/>
          <w:szCs w:val="28"/>
          <w:lang w:eastAsia="en-US"/>
        </w:rPr>
        <w:t>Xing</w:t>
      </w:r>
      <w:proofErr w:type="spellEnd"/>
      <w:r w:rsidRPr="00520861">
        <w:rPr>
          <w:rFonts w:eastAsia="Calibri"/>
          <w:sz w:val="28"/>
          <w:szCs w:val="28"/>
          <w:lang w:eastAsia="en-US"/>
        </w:rPr>
        <w:t xml:space="preserve"> L. та співавторів [571], у якому доведено, що дівчата-підлітки китайської популяції, що є носіями </w:t>
      </w:r>
      <w:r w:rsidRPr="00520861">
        <w:rPr>
          <w:rFonts w:eastAsia="Calibri"/>
          <w:sz w:val="28"/>
          <w:szCs w:val="28"/>
          <w:lang w:eastAsia="en-US"/>
        </w:rPr>
        <w:br/>
        <w:t xml:space="preserve">мінорного генотипу СС за поліморфізмом </w:t>
      </w:r>
      <w:r w:rsidRPr="00520861">
        <w:rPr>
          <w:rFonts w:eastAsia="Calibri"/>
          <w:i/>
          <w:sz w:val="28"/>
          <w:szCs w:val="28"/>
          <w:lang w:eastAsia="en-US"/>
        </w:rPr>
        <w:t xml:space="preserve">ESRα </w:t>
      </w:r>
      <w:proofErr w:type="spellStart"/>
      <w:r w:rsidRPr="00520861">
        <w:rPr>
          <w:rFonts w:eastAsia="Calibri"/>
          <w:i/>
          <w:sz w:val="28"/>
          <w:szCs w:val="28"/>
          <w:lang w:eastAsia="en-US"/>
        </w:rPr>
        <w:t>PvuІ</w:t>
      </w:r>
      <w:proofErr w:type="spellEnd"/>
      <w:r w:rsidRPr="00520861">
        <w:rPr>
          <w:rFonts w:eastAsia="Calibri"/>
          <w:sz w:val="28"/>
          <w:szCs w:val="28"/>
          <w:lang w:eastAsia="en-US"/>
        </w:rPr>
        <w:t xml:space="preserve">, мали вищі значення мінеральної щільності кісткової тканини як усього тіла, так і стегнового </w:t>
      </w:r>
      <w:proofErr w:type="spellStart"/>
      <w:r w:rsidRPr="00520861">
        <w:rPr>
          <w:rFonts w:eastAsia="Calibri"/>
          <w:sz w:val="28"/>
          <w:szCs w:val="28"/>
          <w:lang w:eastAsia="en-US"/>
        </w:rPr>
        <w:t>інтертрохантера</w:t>
      </w:r>
      <w:proofErr w:type="spellEnd"/>
      <w:r w:rsidRPr="00520861">
        <w:rPr>
          <w:rFonts w:eastAsia="Calibri"/>
          <w:sz w:val="28"/>
          <w:szCs w:val="28"/>
          <w:lang w:eastAsia="en-US"/>
        </w:rPr>
        <w:t xml:space="preserve"> порівняно з дівчатами з гетерозиготним та мажорним варіантом.</w:t>
      </w:r>
    </w:p>
    <w:p w14:paraId="3DBA7123" w14:textId="77777777" w:rsidR="00180D3E" w:rsidRPr="00520861" w:rsidRDefault="00180D3E" w:rsidP="00292D2E">
      <w:pPr>
        <w:widowControl w:val="0"/>
        <w:spacing w:line="360" w:lineRule="auto"/>
        <w:ind w:firstLine="709"/>
        <w:jc w:val="both"/>
        <w:rPr>
          <w:rFonts w:eastAsia="Calibri"/>
          <w:sz w:val="28"/>
          <w:szCs w:val="28"/>
          <w:shd w:val="clear" w:color="auto" w:fill="FFFFFF"/>
          <w:lang w:eastAsia="en-US"/>
        </w:rPr>
      </w:pPr>
      <w:r w:rsidRPr="00520861">
        <w:rPr>
          <w:rFonts w:eastAsia="Calibri"/>
          <w:sz w:val="28"/>
          <w:szCs w:val="28"/>
          <w:lang w:eastAsia="en-US"/>
        </w:rPr>
        <w:t xml:space="preserve">На думку </w:t>
      </w:r>
      <w:proofErr w:type="spellStart"/>
      <w:r w:rsidRPr="00520861">
        <w:rPr>
          <w:rFonts w:eastAsia="Calibri"/>
          <w:sz w:val="28"/>
          <w:szCs w:val="28"/>
          <w:lang w:eastAsia="en-US"/>
        </w:rPr>
        <w:t>Zhang</w:t>
      </w:r>
      <w:proofErr w:type="spellEnd"/>
      <w:r w:rsidRPr="00520861">
        <w:rPr>
          <w:rFonts w:eastAsia="Calibri"/>
          <w:sz w:val="28"/>
          <w:szCs w:val="28"/>
          <w:lang w:eastAsia="en-US"/>
        </w:rPr>
        <w:t xml:space="preserve"> L. та співавторів [586], асоціація </w:t>
      </w:r>
      <w:r w:rsidRPr="00520861">
        <w:rPr>
          <w:rFonts w:eastAsia="Calibri"/>
          <w:i/>
          <w:sz w:val="28"/>
          <w:szCs w:val="28"/>
          <w:lang w:eastAsia="en-US"/>
        </w:rPr>
        <w:t xml:space="preserve">ESR1 </w:t>
      </w:r>
      <w:r w:rsidRPr="00520861">
        <w:rPr>
          <w:rFonts w:eastAsia="Calibri"/>
          <w:sz w:val="28"/>
          <w:szCs w:val="28"/>
          <w:lang w:eastAsia="en-US"/>
        </w:rPr>
        <w:t xml:space="preserve">з хронічним </w:t>
      </w:r>
      <w:proofErr w:type="spellStart"/>
      <w:r w:rsidRPr="00520861">
        <w:rPr>
          <w:rFonts w:eastAsia="Calibri"/>
          <w:sz w:val="28"/>
          <w:szCs w:val="28"/>
          <w:lang w:eastAsia="en-US"/>
        </w:rPr>
        <w:t>пародонтитом</w:t>
      </w:r>
      <w:proofErr w:type="spellEnd"/>
      <w:r w:rsidRPr="00520861">
        <w:rPr>
          <w:rFonts w:eastAsia="Calibri"/>
          <w:sz w:val="28"/>
          <w:szCs w:val="28"/>
          <w:lang w:eastAsia="en-US"/>
        </w:rPr>
        <w:t xml:space="preserve"> існує тільки для </w:t>
      </w:r>
      <w:proofErr w:type="spellStart"/>
      <w:r w:rsidRPr="00520861">
        <w:rPr>
          <w:rFonts w:eastAsia="Calibri"/>
          <w:i/>
          <w:sz w:val="28"/>
          <w:szCs w:val="28"/>
          <w:lang w:eastAsia="en-US"/>
        </w:rPr>
        <w:t>XbaI</w:t>
      </w:r>
      <w:proofErr w:type="spellEnd"/>
      <w:r w:rsidRPr="00520861">
        <w:rPr>
          <w:rFonts w:eastAsia="Calibri"/>
          <w:sz w:val="28"/>
          <w:szCs w:val="28"/>
          <w:lang w:eastAsia="en-US"/>
        </w:rPr>
        <w:t>. Проте</w:t>
      </w:r>
      <w:r w:rsidRPr="00520861">
        <w:rPr>
          <w:rFonts w:eastAsia="Calibri"/>
          <w:sz w:val="28"/>
          <w:szCs w:val="28"/>
          <w:shd w:val="clear" w:color="auto" w:fill="FFFFFF"/>
          <w:lang w:eastAsia="en-US"/>
        </w:rPr>
        <w:t xml:space="preserve"> генетичний поліморфізм</w:t>
      </w:r>
      <w:r w:rsidRPr="00520861">
        <w:rPr>
          <w:rFonts w:eastAsia="Calibri"/>
          <w:sz w:val="28"/>
          <w:szCs w:val="28"/>
          <w:lang w:eastAsia="en-US"/>
        </w:rPr>
        <w:t xml:space="preserve"> </w:t>
      </w:r>
      <w:r w:rsidRPr="00520861">
        <w:rPr>
          <w:rFonts w:eastAsia="Calibri"/>
          <w:i/>
          <w:sz w:val="28"/>
          <w:szCs w:val="28"/>
          <w:shd w:val="clear" w:color="auto" w:fill="FFFFFF"/>
          <w:lang w:eastAsia="en-US"/>
        </w:rPr>
        <w:t>ESR1: -397 T&gt;C (</w:t>
      </w:r>
      <w:proofErr w:type="spellStart"/>
      <w:r w:rsidRPr="00520861">
        <w:rPr>
          <w:rFonts w:eastAsia="Calibri"/>
          <w:i/>
          <w:sz w:val="28"/>
          <w:szCs w:val="28"/>
          <w:shd w:val="clear" w:color="auto" w:fill="FFFFFF"/>
          <w:lang w:eastAsia="en-US"/>
        </w:rPr>
        <w:t>PvuII</w:t>
      </w:r>
      <w:proofErr w:type="spellEnd"/>
      <w:r w:rsidRPr="00520861">
        <w:rPr>
          <w:rFonts w:eastAsia="Calibri"/>
          <w:i/>
          <w:sz w:val="28"/>
          <w:szCs w:val="28"/>
          <w:shd w:val="clear" w:color="auto" w:fill="FFFFFF"/>
          <w:lang w:eastAsia="en-US"/>
        </w:rPr>
        <w:t xml:space="preserve">) </w:t>
      </w:r>
      <w:r w:rsidRPr="00520861">
        <w:rPr>
          <w:rFonts w:eastAsia="Calibri"/>
          <w:sz w:val="28"/>
          <w:szCs w:val="28"/>
          <w:shd w:val="clear" w:color="auto" w:fill="FFFFFF"/>
          <w:lang w:eastAsia="en-US"/>
        </w:rPr>
        <w:t xml:space="preserve">[rs2234693] є одним із 7 </w:t>
      </w:r>
      <w:proofErr w:type="spellStart"/>
      <w:r w:rsidRPr="00520861">
        <w:rPr>
          <w:rFonts w:eastAsia="Calibri"/>
          <w:sz w:val="28"/>
          <w:szCs w:val="28"/>
          <w:shd w:val="clear" w:color="auto" w:fill="FFFFFF"/>
          <w:lang w:eastAsia="en-US"/>
        </w:rPr>
        <w:t>поліморфізмів</w:t>
      </w:r>
      <w:proofErr w:type="spellEnd"/>
      <w:r w:rsidRPr="00520861">
        <w:rPr>
          <w:rFonts w:eastAsia="Calibri"/>
          <w:sz w:val="28"/>
          <w:szCs w:val="28"/>
          <w:shd w:val="clear" w:color="auto" w:fill="FFFFFF"/>
          <w:lang w:eastAsia="en-US"/>
        </w:rPr>
        <w:t xml:space="preserve">, які за дослідженнями </w:t>
      </w:r>
      <w:proofErr w:type="spellStart"/>
      <w:r w:rsidRPr="00520861">
        <w:rPr>
          <w:rFonts w:eastAsia="Calibri"/>
          <w:sz w:val="28"/>
          <w:szCs w:val="28"/>
          <w:shd w:val="clear" w:color="auto" w:fill="FFFFFF"/>
          <w:lang w:eastAsia="en-US"/>
        </w:rPr>
        <w:t>He</w:t>
      </w:r>
      <w:proofErr w:type="spellEnd"/>
      <w:r w:rsidRPr="00520861">
        <w:rPr>
          <w:rFonts w:eastAsia="Calibri"/>
          <w:sz w:val="28"/>
          <w:szCs w:val="28"/>
          <w:shd w:val="clear" w:color="auto" w:fill="FFFFFF"/>
          <w:lang w:eastAsia="en-US"/>
        </w:rPr>
        <w:t xml:space="preserve"> L. та співавторів </w:t>
      </w:r>
      <w:r w:rsidRPr="00520861">
        <w:rPr>
          <w:rFonts w:eastAsia="Calibri"/>
          <w:sz w:val="28"/>
          <w:szCs w:val="28"/>
          <w:lang w:eastAsia="en-US"/>
        </w:rPr>
        <w:t>[349]</w:t>
      </w:r>
      <w:r w:rsidRPr="00520861">
        <w:rPr>
          <w:rFonts w:eastAsia="Calibri"/>
          <w:sz w:val="28"/>
          <w:szCs w:val="28"/>
          <w:shd w:val="clear" w:color="auto" w:fill="FFFFFF"/>
          <w:lang w:eastAsia="en-US"/>
        </w:rPr>
        <w:t xml:space="preserve"> асоційовані як з діабетом, так і з хронічним </w:t>
      </w:r>
      <w:proofErr w:type="spellStart"/>
      <w:r w:rsidRPr="00520861">
        <w:rPr>
          <w:rFonts w:eastAsia="Calibri"/>
          <w:sz w:val="28"/>
          <w:szCs w:val="28"/>
          <w:shd w:val="clear" w:color="auto" w:fill="FFFFFF"/>
          <w:lang w:eastAsia="en-US"/>
        </w:rPr>
        <w:t>пародонтитом</w:t>
      </w:r>
      <w:proofErr w:type="spellEnd"/>
      <w:r w:rsidRPr="00520861">
        <w:rPr>
          <w:rFonts w:eastAsia="Calibri"/>
          <w:sz w:val="28"/>
          <w:szCs w:val="28"/>
          <w:shd w:val="clear" w:color="auto" w:fill="FFFFFF"/>
          <w:lang w:eastAsia="en-US"/>
        </w:rPr>
        <w:t>.</w:t>
      </w:r>
    </w:p>
    <w:p w14:paraId="34930EC7"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Відомо, що в клінічній практиці випадків </w:t>
      </w:r>
      <w:proofErr w:type="spellStart"/>
      <w:r w:rsidRPr="00520861">
        <w:rPr>
          <w:rFonts w:eastAsia="Calibri"/>
          <w:sz w:val="28"/>
          <w:szCs w:val="28"/>
          <w:lang w:eastAsia="en-US"/>
        </w:rPr>
        <w:t>дистрофічно</w:t>
      </w:r>
      <w:proofErr w:type="spellEnd"/>
      <w:r w:rsidRPr="00520861">
        <w:rPr>
          <w:rFonts w:eastAsia="Calibri"/>
          <w:sz w:val="28"/>
          <w:szCs w:val="28"/>
          <w:lang w:eastAsia="en-US"/>
        </w:rPr>
        <w:t xml:space="preserve">-запальних захворювань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з окремо представленим тільки запальним чи тільки дистрофічним компонентом у чистому вигляді не трапляється. Навпаки, при будь-якій патології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обидва варіанти присутні з превалюванням одного з них. Це, на нашу </w:t>
      </w:r>
      <w:r w:rsidRPr="00520861">
        <w:rPr>
          <w:rFonts w:eastAsia="Calibri"/>
          <w:sz w:val="28"/>
          <w:szCs w:val="28"/>
          <w:lang w:eastAsia="en-US"/>
        </w:rPr>
        <w:br/>
        <w:t xml:space="preserve">думку, пояснює той факт, що в осіб із переважанням дистрофічного компонента над запальним (пародонтоз) також були виявлені відмінності в гені </w:t>
      </w:r>
      <w:r w:rsidRPr="00520861">
        <w:rPr>
          <w:rFonts w:eastAsia="Calibri"/>
          <w:i/>
          <w:sz w:val="28"/>
          <w:szCs w:val="28"/>
          <w:shd w:val="clear" w:color="auto" w:fill="FFFFFF"/>
          <w:lang w:eastAsia="en-US"/>
        </w:rPr>
        <w:t>IL-1</w:t>
      </w:r>
      <w:r w:rsidRPr="00520861">
        <w:rPr>
          <w:rFonts w:eastAsia="Calibri"/>
          <w:i/>
          <w:sz w:val="28"/>
          <w:szCs w:val="28"/>
          <w:lang w:eastAsia="en-US"/>
        </w:rPr>
        <w:sym w:font="Symbol" w:char="F062"/>
      </w:r>
      <w:r w:rsidRPr="00520861">
        <w:rPr>
          <w:rFonts w:eastAsia="Calibri"/>
          <w:i/>
          <w:sz w:val="28"/>
          <w:szCs w:val="28"/>
          <w:lang w:eastAsia="en-US"/>
        </w:rPr>
        <w:t>:</w:t>
      </w:r>
      <w:r w:rsidRPr="00520861">
        <w:rPr>
          <w:rFonts w:eastAsia="Calibri"/>
          <w:i/>
          <w:sz w:val="28"/>
          <w:szCs w:val="28"/>
          <w:shd w:val="clear" w:color="auto" w:fill="FFFFFF"/>
          <w:lang w:eastAsia="en-US"/>
        </w:rPr>
        <w:t xml:space="preserve"> -31 C/T</w:t>
      </w:r>
      <w:r w:rsidRPr="00520861">
        <w:rPr>
          <w:rFonts w:eastAsia="Calibri"/>
          <w:sz w:val="28"/>
          <w:szCs w:val="28"/>
          <w:shd w:val="clear" w:color="auto" w:fill="FFFFFF"/>
          <w:lang w:eastAsia="en-US"/>
        </w:rPr>
        <w:t xml:space="preserve"> [rs1143627]</w:t>
      </w:r>
      <w:r w:rsidRPr="00520861">
        <w:rPr>
          <w:rFonts w:eastAsia="Calibri"/>
          <w:sz w:val="28"/>
          <w:szCs w:val="28"/>
          <w:lang w:eastAsia="en-US"/>
        </w:rPr>
        <w:t>, який відповідає за розвиток запалення. Проте більш значимі відмінності все ж таки мали місце в осіб зі схильністю саме до запальних процесів у пародонті (вірогідні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rFonts w:eastAsia="Calibri"/>
          <w:sz w:val="28"/>
          <w:szCs w:val="28"/>
          <w:lang w:eastAsia="en-US"/>
        </w:rPr>
        <w:t xml:space="preserve">) зміни за чотирма моделями успадкування – адитивній, домінантній, </w:t>
      </w:r>
      <w:proofErr w:type="spellStart"/>
      <w:r w:rsidRPr="00520861">
        <w:rPr>
          <w:rFonts w:eastAsia="Calibri"/>
          <w:sz w:val="28"/>
          <w:szCs w:val="28"/>
          <w:lang w:eastAsia="en-US"/>
        </w:rPr>
        <w:t>наддомінантній</w:t>
      </w:r>
      <w:proofErr w:type="spellEnd"/>
      <w:r w:rsidRPr="00520861">
        <w:rPr>
          <w:rFonts w:eastAsia="Calibri"/>
          <w:sz w:val="28"/>
          <w:szCs w:val="28"/>
          <w:lang w:eastAsia="en-US"/>
        </w:rPr>
        <w:t xml:space="preserve"> і мультиплікативній). До того ж частотний розподіл варіантів цього гена для осіб із ОГ ПЗП більш суттєво відрізняється від групи порівняння, ніж в осіб із ОГ ПДП: менший процент </w:t>
      </w:r>
      <w:proofErr w:type="spellStart"/>
      <w:r w:rsidRPr="00520861">
        <w:rPr>
          <w:rFonts w:eastAsia="Calibri"/>
          <w:sz w:val="28"/>
          <w:szCs w:val="28"/>
          <w:lang w:eastAsia="en-US"/>
        </w:rPr>
        <w:t>протективного</w:t>
      </w:r>
      <w:proofErr w:type="spellEnd"/>
      <w:r w:rsidRPr="00520861">
        <w:rPr>
          <w:rFonts w:eastAsia="Calibri"/>
          <w:sz w:val="28"/>
          <w:szCs w:val="28"/>
          <w:lang w:eastAsia="en-US"/>
        </w:rPr>
        <w:t xml:space="preserve"> гомозиготного варіанта ТТ (26% в осіб зі схильністю до запальних процесів у пародонті проти 39% зі схильністю до дистрофічних при нормі 71%) та більший процент ризикового гетерозиготного </w:t>
      </w:r>
      <w:r w:rsidRPr="00520861">
        <w:rPr>
          <w:rFonts w:eastAsia="Calibri"/>
          <w:sz w:val="28"/>
          <w:szCs w:val="28"/>
          <w:lang w:eastAsia="en-US"/>
        </w:rPr>
        <w:br/>
        <w:t>варіанта ТС (50% проти 44% відповідно при нормі 7%).</w:t>
      </w:r>
    </w:p>
    <w:p w14:paraId="08AAB194"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sz w:val="28"/>
          <w:szCs w:val="28"/>
        </w:rPr>
        <w:t xml:space="preserve">У ряді робіт [357] не було виявлено зв’язку між поліморфізмом </w:t>
      </w:r>
      <w:r w:rsidRPr="00520861">
        <w:rPr>
          <w:i/>
          <w:sz w:val="28"/>
          <w:szCs w:val="28"/>
        </w:rPr>
        <w:t>IL-1β</w:t>
      </w:r>
      <w:r w:rsidRPr="00520861">
        <w:rPr>
          <w:sz w:val="28"/>
          <w:szCs w:val="28"/>
        </w:rPr>
        <w:t xml:space="preserve"> [rs1143627] та хронічним </w:t>
      </w:r>
      <w:proofErr w:type="spellStart"/>
      <w:r w:rsidRPr="00520861">
        <w:rPr>
          <w:sz w:val="28"/>
          <w:szCs w:val="28"/>
        </w:rPr>
        <w:t>пародонтитом</w:t>
      </w:r>
      <w:proofErr w:type="spellEnd"/>
      <w:r w:rsidRPr="00520861">
        <w:rPr>
          <w:sz w:val="28"/>
          <w:szCs w:val="28"/>
        </w:rPr>
        <w:t xml:space="preserve">. </w:t>
      </w:r>
      <w:r w:rsidRPr="00520861">
        <w:rPr>
          <w:rFonts w:eastAsia="Calibri"/>
          <w:sz w:val="28"/>
          <w:szCs w:val="28"/>
          <w:lang w:eastAsia="en-US"/>
        </w:rPr>
        <w:t xml:space="preserve">Роль генів </w:t>
      </w:r>
      <w:r w:rsidRPr="00520861">
        <w:rPr>
          <w:rFonts w:eastAsia="Calibri"/>
          <w:i/>
          <w:sz w:val="28"/>
          <w:szCs w:val="28"/>
          <w:lang w:eastAsia="en-US"/>
        </w:rPr>
        <w:t>IL-1</w:t>
      </w:r>
      <w:r w:rsidRPr="00520861">
        <w:rPr>
          <w:rFonts w:eastAsia="Calibri"/>
          <w:i/>
          <w:sz w:val="28"/>
          <w:szCs w:val="28"/>
          <w:lang w:eastAsia="en-US"/>
        </w:rPr>
        <w:sym w:font="Symbol" w:char="F061"/>
      </w:r>
      <w:r w:rsidRPr="00520861">
        <w:rPr>
          <w:rFonts w:eastAsia="Calibri"/>
          <w:sz w:val="28"/>
          <w:szCs w:val="28"/>
          <w:lang w:eastAsia="en-US"/>
        </w:rPr>
        <w:t xml:space="preserve"> та </w:t>
      </w:r>
      <w:r w:rsidRPr="00520861">
        <w:rPr>
          <w:rFonts w:eastAsia="Calibri"/>
          <w:i/>
          <w:sz w:val="28"/>
          <w:szCs w:val="28"/>
          <w:lang w:eastAsia="en-US"/>
        </w:rPr>
        <w:t>IL-1</w:t>
      </w:r>
      <w:r w:rsidRPr="00520861">
        <w:rPr>
          <w:i/>
          <w:sz w:val="28"/>
          <w:szCs w:val="28"/>
        </w:rPr>
        <w:t>β</w:t>
      </w:r>
      <w:r w:rsidRPr="00520861">
        <w:rPr>
          <w:rFonts w:eastAsia="Calibri"/>
          <w:sz w:val="28"/>
          <w:szCs w:val="28"/>
          <w:lang w:eastAsia="en-US"/>
        </w:rPr>
        <w:t xml:space="preserve"> у формуванні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дослідили </w:t>
      </w:r>
      <w:proofErr w:type="spellStart"/>
      <w:r w:rsidRPr="00520861">
        <w:rPr>
          <w:rFonts w:eastAsia="Calibri"/>
          <w:sz w:val="28"/>
          <w:szCs w:val="28"/>
          <w:lang w:eastAsia="en-US"/>
        </w:rPr>
        <w:t>Brodzikowska</w:t>
      </w:r>
      <w:proofErr w:type="spellEnd"/>
      <w:r w:rsidRPr="00520861">
        <w:rPr>
          <w:rFonts w:eastAsia="Calibri"/>
          <w:sz w:val="28"/>
          <w:szCs w:val="28"/>
          <w:lang w:eastAsia="en-US"/>
        </w:rPr>
        <w:t xml:space="preserve"> A. та співавтори </w:t>
      </w:r>
      <w:r w:rsidRPr="00520861">
        <w:rPr>
          <w:rFonts w:eastAsia="Calibri"/>
          <w:sz w:val="28"/>
          <w:szCs w:val="28"/>
          <w:shd w:val="clear" w:color="auto" w:fill="FFFFFF"/>
          <w:lang w:eastAsia="en-US"/>
        </w:rPr>
        <w:t>[</w:t>
      </w:r>
      <w:r w:rsidRPr="00520861">
        <w:rPr>
          <w:rFonts w:eastAsia="Calibri"/>
          <w:sz w:val="28"/>
          <w:szCs w:val="28"/>
          <w:lang w:eastAsia="en-US"/>
        </w:rPr>
        <w:t>264</w:t>
      </w:r>
      <w:r w:rsidRPr="00520861">
        <w:rPr>
          <w:rFonts w:eastAsia="Calibri"/>
          <w:sz w:val="28"/>
          <w:szCs w:val="28"/>
          <w:shd w:val="clear" w:color="auto" w:fill="FFFFFF"/>
          <w:lang w:eastAsia="en-US"/>
        </w:rPr>
        <w:t>]</w:t>
      </w:r>
      <w:r w:rsidRPr="00520861">
        <w:rPr>
          <w:rFonts w:eastAsia="Calibri"/>
          <w:sz w:val="28"/>
          <w:szCs w:val="28"/>
          <w:lang w:eastAsia="en-US"/>
        </w:rPr>
        <w:t xml:space="preserve">. Одним із висновків авторів цієї роботи є те, що географічні та етнічні фактори суттєво впливають на перелік генів-кандидатів. </w:t>
      </w:r>
      <w:r w:rsidRPr="00520861">
        <w:rPr>
          <w:rFonts w:eastAsia="Calibri"/>
          <w:sz w:val="28"/>
          <w:szCs w:val="28"/>
          <w:shd w:val="clear" w:color="auto" w:fill="FFFFFF"/>
          <w:lang w:eastAsia="en-US"/>
        </w:rPr>
        <w:t xml:space="preserve">На асоціацію генетичного поліморфізму </w:t>
      </w:r>
      <w:r w:rsidRPr="00520861">
        <w:rPr>
          <w:rFonts w:eastAsia="Calibri"/>
          <w:sz w:val="28"/>
          <w:szCs w:val="28"/>
          <w:shd w:val="clear" w:color="auto" w:fill="FFFFFF"/>
          <w:lang w:eastAsia="en-US"/>
        </w:rPr>
        <w:br/>
      </w:r>
      <w:r w:rsidRPr="00520861">
        <w:rPr>
          <w:rFonts w:eastAsia="Calibri"/>
          <w:i/>
          <w:sz w:val="28"/>
          <w:szCs w:val="28"/>
          <w:lang w:eastAsia="en-US"/>
        </w:rPr>
        <w:lastRenderedPageBreak/>
        <w:t>IL-1</w:t>
      </w:r>
      <w:r w:rsidRPr="00520861">
        <w:rPr>
          <w:i/>
          <w:sz w:val="28"/>
          <w:szCs w:val="28"/>
        </w:rPr>
        <w:t>β:</w:t>
      </w:r>
      <w:r w:rsidRPr="00520861">
        <w:rPr>
          <w:rFonts w:eastAsia="Calibri"/>
          <w:i/>
          <w:sz w:val="28"/>
          <w:szCs w:val="28"/>
          <w:lang w:eastAsia="en-US"/>
        </w:rPr>
        <w:t xml:space="preserve"> </w:t>
      </w:r>
      <w:r w:rsidRPr="00520861">
        <w:rPr>
          <w:rFonts w:eastAsia="Calibri"/>
          <w:i/>
          <w:sz w:val="28"/>
          <w:szCs w:val="28"/>
          <w:shd w:val="clear" w:color="auto" w:fill="FFFFFF"/>
          <w:lang w:eastAsia="en-US"/>
        </w:rPr>
        <w:t>-31C/T</w:t>
      </w:r>
      <w:r w:rsidRPr="00520861">
        <w:rPr>
          <w:rFonts w:eastAsia="Calibri"/>
          <w:sz w:val="28"/>
          <w:szCs w:val="28"/>
          <w:shd w:val="clear" w:color="auto" w:fill="FFFFFF"/>
          <w:lang w:eastAsia="en-US"/>
        </w:rPr>
        <w:t xml:space="preserve"> [rs1143627] з розвитком </w:t>
      </w:r>
      <w:proofErr w:type="spellStart"/>
      <w:r w:rsidRPr="00520861">
        <w:rPr>
          <w:rFonts w:eastAsia="Calibri"/>
          <w:sz w:val="28"/>
          <w:szCs w:val="28"/>
          <w:shd w:val="clear" w:color="auto" w:fill="FFFFFF"/>
          <w:lang w:eastAsia="en-US"/>
        </w:rPr>
        <w:t>пародонтиту</w:t>
      </w:r>
      <w:proofErr w:type="spellEnd"/>
      <w:r w:rsidRPr="00520861">
        <w:rPr>
          <w:rFonts w:eastAsia="Calibri"/>
          <w:sz w:val="28"/>
          <w:szCs w:val="28"/>
          <w:shd w:val="clear" w:color="auto" w:fill="FFFFFF"/>
          <w:lang w:eastAsia="en-US"/>
        </w:rPr>
        <w:t xml:space="preserve"> в індійській популяції вказали </w:t>
      </w:r>
      <w:proofErr w:type="spellStart"/>
      <w:r w:rsidRPr="00520861">
        <w:rPr>
          <w:rFonts w:eastAsia="Calibri"/>
          <w:sz w:val="28"/>
          <w:szCs w:val="28"/>
          <w:shd w:val="clear" w:color="auto" w:fill="FFFFFF"/>
          <w:lang w:eastAsia="en-US"/>
        </w:rPr>
        <w:t>Majumder</w:t>
      </w:r>
      <w:proofErr w:type="spellEnd"/>
      <w:r w:rsidRPr="00520861">
        <w:rPr>
          <w:rFonts w:eastAsia="Calibri"/>
          <w:sz w:val="28"/>
          <w:szCs w:val="28"/>
          <w:shd w:val="clear" w:color="auto" w:fill="FFFFFF"/>
          <w:lang w:eastAsia="en-US"/>
        </w:rPr>
        <w:t xml:space="preserve"> P. та співавтори [412]. Дослідниками доведені </w:t>
      </w:r>
      <w:proofErr w:type="spellStart"/>
      <w:r w:rsidRPr="00520861">
        <w:rPr>
          <w:rFonts w:eastAsia="Calibri"/>
          <w:sz w:val="28"/>
          <w:szCs w:val="28"/>
          <w:shd w:val="clear" w:color="auto" w:fill="FFFFFF"/>
          <w:lang w:eastAsia="en-US"/>
        </w:rPr>
        <w:t>протективні</w:t>
      </w:r>
      <w:proofErr w:type="spellEnd"/>
      <w:r w:rsidRPr="00520861">
        <w:rPr>
          <w:rFonts w:eastAsia="Calibri"/>
          <w:sz w:val="28"/>
          <w:szCs w:val="28"/>
          <w:shd w:val="clear" w:color="auto" w:fill="FFFFFF"/>
          <w:lang w:eastAsia="en-US"/>
        </w:rPr>
        <w:t xml:space="preserve"> властивості алеля Т стосовно сприйнятливості до хронічного </w:t>
      </w:r>
      <w:proofErr w:type="spellStart"/>
      <w:r w:rsidRPr="00520861">
        <w:rPr>
          <w:rFonts w:eastAsia="Calibri"/>
          <w:sz w:val="28"/>
          <w:szCs w:val="28"/>
          <w:shd w:val="clear" w:color="auto" w:fill="FFFFFF"/>
          <w:lang w:eastAsia="en-US"/>
        </w:rPr>
        <w:t>пародонтиту</w:t>
      </w:r>
      <w:proofErr w:type="spellEnd"/>
      <w:r w:rsidRPr="00520861">
        <w:rPr>
          <w:rFonts w:eastAsia="Calibri"/>
          <w:sz w:val="28"/>
          <w:szCs w:val="28"/>
          <w:shd w:val="clear" w:color="auto" w:fill="FFFFFF"/>
          <w:lang w:eastAsia="en-US"/>
        </w:rPr>
        <w:t>, що погоджується з результатами нашого дослідження.</w:t>
      </w:r>
    </w:p>
    <w:p w14:paraId="176B209B" w14:textId="77777777" w:rsidR="00180D3E" w:rsidRPr="00520861" w:rsidRDefault="00180D3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 xml:space="preserve">Ми виявили, що </w:t>
      </w:r>
      <w:proofErr w:type="spellStart"/>
      <w:r w:rsidRPr="00520861">
        <w:rPr>
          <w:rFonts w:eastAsia="Calibri"/>
          <w:sz w:val="28"/>
          <w:szCs w:val="28"/>
          <w:lang w:eastAsia="en-US"/>
        </w:rPr>
        <w:t>макросоми</w:t>
      </w:r>
      <w:proofErr w:type="spellEnd"/>
      <w:r w:rsidRPr="00520861">
        <w:rPr>
          <w:rFonts w:eastAsia="Calibri"/>
          <w:sz w:val="28"/>
          <w:szCs w:val="28"/>
          <w:lang w:eastAsia="en-US"/>
        </w:rPr>
        <w:t xml:space="preserve"> – носії гомозиготного варіанта СС генів </w:t>
      </w:r>
      <w:r w:rsidRPr="00520861">
        <w:rPr>
          <w:rFonts w:eastAsia="Calibri"/>
          <w:i/>
          <w:sz w:val="28"/>
          <w:szCs w:val="28"/>
          <w:lang w:eastAsia="en-US"/>
        </w:rPr>
        <w:t>RANKL</w:t>
      </w:r>
      <w:r w:rsidRPr="00520861">
        <w:rPr>
          <w:rFonts w:eastAsia="Calibri"/>
          <w:sz w:val="28"/>
          <w:szCs w:val="28"/>
          <w:lang w:eastAsia="en-US"/>
        </w:rPr>
        <w:t xml:space="preserve"> [rs9594738] та [rs9594759] мають понад у 3 рази вищий ризик того, що швидкість формування порушень у їх пародонті буде більш повільною та будуть превалювати дистрофічні, а не запальні процеси в порівнянні з носіями інших варіантів.</w:t>
      </w:r>
    </w:p>
    <w:p w14:paraId="03CEA9BD"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shd w:val="clear" w:color="auto" w:fill="FFFFFF"/>
          <w:lang w:eastAsia="en-US"/>
        </w:rPr>
        <w:t>У дослідженнях</w:t>
      </w:r>
      <w:r w:rsidRPr="00520861">
        <w:rPr>
          <w:rFonts w:eastAsia="Calibri"/>
          <w:sz w:val="28"/>
          <w:szCs w:val="28"/>
          <w:lang w:eastAsia="en-US"/>
        </w:rPr>
        <w:t xml:space="preserve"> </w:t>
      </w:r>
      <w:proofErr w:type="spellStart"/>
      <w:r w:rsidRPr="00520861">
        <w:rPr>
          <w:rFonts w:eastAsia="Calibri"/>
          <w:sz w:val="28"/>
          <w:szCs w:val="28"/>
          <w:shd w:val="clear" w:color="auto" w:fill="FFFFFF"/>
          <w:lang w:eastAsia="en-US"/>
        </w:rPr>
        <w:t>Styrkarsdottir</w:t>
      </w:r>
      <w:proofErr w:type="spellEnd"/>
      <w:r w:rsidRPr="00520861">
        <w:rPr>
          <w:rFonts w:eastAsia="Calibri"/>
          <w:sz w:val="28"/>
          <w:szCs w:val="28"/>
          <w:shd w:val="clear" w:color="auto" w:fill="FFFFFF"/>
          <w:lang w:eastAsia="en-US"/>
        </w:rPr>
        <w:t> U. та співавторів</w:t>
      </w:r>
      <w:r w:rsidRPr="00520861">
        <w:rPr>
          <w:rFonts w:eastAsia="Calibri"/>
          <w:sz w:val="28"/>
          <w:szCs w:val="28"/>
          <w:lang w:eastAsia="en-US"/>
        </w:rPr>
        <w:t xml:space="preserve"> [524] </w:t>
      </w:r>
      <w:r w:rsidRPr="00520861">
        <w:rPr>
          <w:rFonts w:eastAsia="Calibri"/>
          <w:sz w:val="28"/>
          <w:szCs w:val="28"/>
          <w:shd w:val="clear" w:color="auto" w:fill="FFFFFF"/>
          <w:lang w:eastAsia="en-US"/>
        </w:rPr>
        <w:t xml:space="preserve">розкрито асоціацію </w:t>
      </w:r>
      <w:r w:rsidRPr="00520861">
        <w:rPr>
          <w:rFonts w:eastAsia="Calibri"/>
          <w:i/>
          <w:sz w:val="28"/>
          <w:szCs w:val="28"/>
          <w:lang w:eastAsia="en-US"/>
        </w:rPr>
        <w:t>RANKL</w:t>
      </w:r>
      <w:r w:rsidRPr="00520861">
        <w:rPr>
          <w:rFonts w:eastAsia="Calibri"/>
          <w:i/>
          <w:sz w:val="28"/>
          <w:szCs w:val="28"/>
          <w:shd w:val="clear" w:color="auto" w:fill="FFFFFF"/>
          <w:lang w:eastAsia="en-US"/>
        </w:rPr>
        <w:t xml:space="preserve"> </w:t>
      </w:r>
      <w:r w:rsidRPr="00520861">
        <w:rPr>
          <w:rFonts w:eastAsia="Calibri"/>
          <w:sz w:val="28"/>
          <w:szCs w:val="28"/>
          <w:shd w:val="clear" w:color="auto" w:fill="FFFFFF"/>
          <w:lang w:eastAsia="en-US"/>
        </w:rPr>
        <w:t>[rs9594738] з мінеральною щільністю кісткової тканини.</w:t>
      </w:r>
      <w:r w:rsidRPr="00520861">
        <w:rPr>
          <w:rFonts w:eastAsia="Calibri"/>
          <w:sz w:val="28"/>
          <w:szCs w:val="28"/>
          <w:lang w:eastAsia="en-US"/>
        </w:rPr>
        <w:t xml:space="preserve"> Зв’язок варіантів генів сигнального шляху </w:t>
      </w:r>
      <w:r w:rsidRPr="00520861">
        <w:rPr>
          <w:rFonts w:eastAsia="Calibri"/>
          <w:i/>
          <w:sz w:val="28"/>
          <w:szCs w:val="28"/>
          <w:lang w:eastAsia="en-US"/>
        </w:rPr>
        <w:t xml:space="preserve">RANKL / RANK / </w:t>
      </w:r>
      <w:r w:rsidRPr="00520861">
        <w:rPr>
          <w:rFonts w:eastAsia="Calibri"/>
          <w:i/>
          <w:sz w:val="28"/>
          <w:szCs w:val="28"/>
          <w:shd w:val="clear" w:color="auto" w:fill="FFFFFF"/>
          <w:lang w:eastAsia="en-US"/>
        </w:rPr>
        <w:t>OPG</w:t>
      </w:r>
      <w:r w:rsidRPr="00520861">
        <w:rPr>
          <w:rFonts w:eastAsia="Calibri"/>
          <w:sz w:val="28"/>
          <w:szCs w:val="28"/>
          <w:lang w:eastAsia="en-US"/>
        </w:rPr>
        <w:t xml:space="preserve"> із щільністю кісткової тканини та </w:t>
      </w:r>
      <w:r w:rsidRPr="00520861">
        <w:rPr>
          <w:rFonts w:eastAsia="Calibri"/>
          <w:sz w:val="28"/>
          <w:szCs w:val="28"/>
          <w:lang w:eastAsia="en-US"/>
        </w:rPr>
        <w:br/>
        <w:t xml:space="preserve">схильністю до переламів проаналізовано в роботі [595]. На асоціацію між ризиком травматичних переламів та збільшеною кількістю несприятливих </w:t>
      </w:r>
      <w:proofErr w:type="spellStart"/>
      <w:r w:rsidRPr="00520861">
        <w:rPr>
          <w:rFonts w:eastAsia="Calibri"/>
          <w:sz w:val="28"/>
          <w:szCs w:val="28"/>
          <w:lang w:eastAsia="en-US"/>
        </w:rPr>
        <w:t>алелей</w:t>
      </w:r>
      <w:proofErr w:type="spellEnd"/>
      <w:r w:rsidRPr="00520861">
        <w:rPr>
          <w:sz w:val="28"/>
          <w:szCs w:val="28"/>
        </w:rPr>
        <w:t xml:space="preserve"> у гені </w:t>
      </w:r>
      <w:r w:rsidRPr="00520861">
        <w:rPr>
          <w:i/>
          <w:sz w:val="28"/>
          <w:szCs w:val="28"/>
        </w:rPr>
        <w:t>RANKL</w:t>
      </w:r>
      <w:r w:rsidRPr="00520861">
        <w:rPr>
          <w:sz w:val="28"/>
          <w:szCs w:val="28"/>
        </w:rPr>
        <w:t xml:space="preserve"> [rs9594738]</w:t>
      </w:r>
      <w:r w:rsidRPr="00520861">
        <w:rPr>
          <w:rFonts w:eastAsia="Calibri"/>
          <w:sz w:val="28"/>
          <w:szCs w:val="28"/>
          <w:lang w:eastAsia="en-US"/>
        </w:rPr>
        <w:t xml:space="preserve">, яка не залежить від мінеральної щільності кісткової тканини, указують </w:t>
      </w:r>
      <w:proofErr w:type="spellStart"/>
      <w:r w:rsidRPr="00520861">
        <w:rPr>
          <w:rFonts w:eastAsia="Calibri"/>
          <w:sz w:val="28"/>
          <w:szCs w:val="28"/>
          <w:lang w:eastAsia="en-US"/>
        </w:rPr>
        <w:t>Garcia-Giralt</w:t>
      </w:r>
      <w:proofErr w:type="spellEnd"/>
      <w:r w:rsidRPr="00520861">
        <w:rPr>
          <w:rFonts w:eastAsia="Calibri"/>
          <w:sz w:val="28"/>
          <w:szCs w:val="28"/>
          <w:lang w:eastAsia="en-US"/>
        </w:rPr>
        <w:t xml:space="preserve"> N. та співавтори [311]. Дослідження вітчизняних науковців також доводять, що для поліморфізму [rs9594738] у носіїв алеля Т збільшується ризик </w:t>
      </w:r>
      <w:proofErr w:type="spellStart"/>
      <w:r w:rsidRPr="00520861">
        <w:rPr>
          <w:rFonts w:eastAsia="Calibri"/>
          <w:sz w:val="28"/>
          <w:szCs w:val="28"/>
          <w:lang w:eastAsia="en-US"/>
        </w:rPr>
        <w:t>остеопоротичних</w:t>
      </w:r>
      <w:proofErr w:type="spellEnd"/>
      <w:r w:rsidRPr="00520861">
        <w:rPr>
          <w:rFonts w:eastAsia="Calibri"/>
          <w:sz w:val="28"/>
          <w:szCs w:val="28"/>
          <w:lang w:eastAsia="en-US"/>
        </w:rPr>
        <w:t xml:space="preserve"> процесів у той час, як алель С та генотип СС мають </w:t>
      </w:r>
      <w:proofErr w:type="spellStart"/>
      <w:r w:rsidRPr="00520861">
        <w:rPr>
          <w:rFonts w:eastAsia="Calibri"/>
          <w:sz w:val="28"/>
          <w:szCs w:val="28"/>
          <w:lang w:eastAsia="en-US"/>
        </w:rPr>
        <w:t>протективний</w:t>
      </w:r>
      <w:proofErr w:type="spellEnd"/>
      <w:r w:rsidRPr="00520861">
        <w:rPr>
          <w:rFonts w:eastAsia="Calibri"/>
          <w:sz w:val="28"/>
          <w:szCs w:val="28"/>
          <w:lang w:eastAsia="en-US"/>
        </w:rPr>
        <w:t xml:space="preserve"> ефект [136]. </w:t>
      </w:r>
      <w:proofErr w:type="spellStart"/>
      <w:r w:rsidRPr="00520861">
        <w:rPr>
          <w:rFonts w:eastAsia="Calibri"/>
          <w:sz w:val="28"/>
          <w:szCs w:val="28"/>
          <w:lang w:eastAsia="en-US"/>
        </w:rPr>
        <w:t>Протективність</w:t>
      </w:r>
      <w:proofErr w:type="spellEnd"/>
      <w:r w:rsidRPr="00520861">
        <w:rPr>
          <w:rFonts w:eastAsia="Calibri"/>
          <w:sz w:val="28"/>
          <w:szCs w:val="28"/>
          <w:lang w:eastAsia="en-US"/>
        </w:rPr>
        <w:t xml:space="preserve"> цього алеля до розвитку </w:t>
      </w:r>
      <w:proofErr w:type="spellStart"/>
      <w:r w:rsidRPr="00520861">
        <w:rPr>
          <w:rFonts w:eastAsia="Calibri"/>
          <w:sz w:val="28"/>
          <w:szCs w:val="28"/>
          <w:lang w:eastAsia="en-US"/>
        </w:rPr>
        <w:t>пародонтиту</w:t>
      </w:r>
      <w:proofErr w:type="spellEnd"/>
      <w:r w:rsidRPr="00520861">
        <w:rPr>
          <w:rFonts w:eastAsia="Calibri"/>
          <w:sz w:val="28"/>
          <w:szCs w:val="28"/>
          <w:lang w:eastAsia="en-US"/>
        </w:rPr>
        <w:t xml:space="preserve">, а отже, і до </w:t>
      </w:r>
      <w:r w:rsidRPr="00520861">
        <w:rPr>
          <w:rFonts w:eastAsia="Calibri"/>
          <w:sz w:val="28"/>
          <w:szCs w:val="28"/>
          <w:lang w:eastAsia="en-US"/>
        </w:rPr>
        <w:br/>
        <w:t>резорбції альвеолярних відростків щелеп виявлено й у нашому дослідженні.</w:t>
      </w:r>
    </w:p>
    <w:p w14:paraId="2A525974" w14:textId="77777777" w:rsidR="00180D3E" w:rsidRPr="00520861" w:rsidRDefault="00180D3E" w:rsidP="00292D2E">
      <w:pPr>
        <w:widowControl w:val="0"/>
        <w:spacing w:line="360" w:lineRule="auto"/>
        <w:ind w:firstLine="709"/>
        <w:contextualSpacing/>
        <w:jc w:val="both"/>
        <w:rPr>
          <w:rFonts w:eastAsia="Calibri"/>
          <w:sz w:val="28"/>
          <w:szCs w:val="28"/>
          <w:lang w:eastAsia="en-US"/>
        </w:rPr>
      </w:pPr>
      <w:r w:rsidRPr="00520861">
        <w:rPr>
          <w:rFonts w:eastAsia="Calibri"/>
          <w:sz w:val="28"/>
          <w:szCs w:val="28"/>
          <w:lang w:eastAsia="en-US"/>
        </w:rPr>
        <w:t xml:space="preserve">При </w:t>
      </w:r>
      <w:proofErr w:type="spellStart"/>
      <w:r w:rsidRPr="00520861">
        <w:rPr>
          <w:rFonts w:eastAsia="Calibri"/>
          <w:sz w:val="28"/>
          <w:szCs w:val="28"/>
          <w:lang w:eastAsia="en-US"/>
        </w:rPr>
        <w:t>ортодонтичному</w:t>
      </w:r>
      <w:proofErr w:type="spellEnd"/>
      <w:r w:rsidRPr="00520861">
        <w:rPr>
          <w:rFonts w:eastAsia="Calibri"/>
          <w:sz w:val="28"/>
          <w:szCs w:val="28"/>
          <w:lang w:eastAsia="en-US"/>
        </w:rPr>
        <w:t xml:space="preserve"> навантаженні в носіїв генотипу TT [rs9594738] спостерігалася більш висока експресія </w:t>
      </w:r>
      <w:r w:rsidRPr="00520861">
        <w:rPr>
          <w:rFonts w:eastAsia="Calibri"/>
          <w:i/>
          <w:sz w:val="28"/>
          <w:szCs w:val="28"/>
          <w:lang w:eastAsia="en-US"/>
        </w:rPr>
        <w:t>RANKL</w:t>
      </w:r>
      <w:r w:rsidRPr="00520861">
        <w:rPr>
          <w:rFonts w:eastAsia="Calibri"/>
          <w:sz w:val="28"/>
          <w:szCs w:val="28"/>
          <w:lang w:eastAsia="en-US"/>
        </w:rPr>
        <w:t xml:space="preserve"> у фібробластах </w:t>
      </w:r>
      <w:proofErr w:type="spellStart"/>
      <w:r w:rsidRPr="00520861">
        <w:rPr>
          <w:rFonts w:eastAsia="Calibri"/>
          <w:sz w:val="28"/>
          <w:szCs w:val="28"/>
          <w:lang w:eastAsia="en-US"/>
        </w:rPr>
        <w:t>періодонтальної</w:t>
      </w:r>
      <w:proofErr w:type="spellEnd"/>
      <w:r w:rsidRPr="00520861">
        <w:rPr>
          <w:rFonts w:eastAsia="Calibri"/>
          <w:sz w:val="28"/>
          <w:szCs w:val="28"/>
          <w:lang w:eastAsia="en-US"/>
        </w:rPr>
        <w:t xml:space="preserve"> зв’язки [391]. Про асоціацію мінорного алеля C [rs9594759] з підвищеною мінеральною щільністю на п’ятковій кістці в європейських чоловіків сповістили в роботі [484]. </w:t>
      </w:r>
    </w:p>
    <w:p w14:paraId="343E8DE9" w14:textId="77777777" w:rsidR="00180D3E" w:rsidRPr="00520861" w:rsidRDefault="00180D3E"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eastAsia="Calibri"/>
          <w:sz w:val="28"/>
          <w:szCs w:val="28"/>
          <w:lang w:eastAsia="en-US"/>
        </w:rPr>
      </w:pPr>
      <w:r w:rsidRPr="00520861">
        <w:rPr>
          <w:rFonts w:eastAsia="Calibri"/>
          <w:sz w:val="28"/>
          <w:szCs w:val="28"/>
          <w:lang w:eastAsia="en-US"/>
        </w:rPr>
        <w:t xml:space="preserve">Відомості про </w:t>
      </w:r>
      <w:proofErr w:type="spellStart"/>
      <w:r w:rsidRPr="00520861">
        <w:rPr>
          <w:rFonts w:eastAsia="Calibri"/>
          <w:sz w:val="28"/>
          <w:szCs w:val="28"/>
          <w:lang w:eastAsia="en-US"/>
        </w:rPr>
        <w:t>соматометричні</w:t>
      </w:r>
      <w:proofErr w:type="spellEnd"/>
      <w:r w:rsidRPr="00520861">
        <w:rPr>
          <w:rFonts w:eastAsia="Calibri"/>
          <w:sz w:val="28"/>
          <w:szCs w:val="28"/>
          <w:lang w:eastAsia="en-US"/>
        </w:rPr>
        <w:t xml:space="preserve"> показники особи на момент народження, а саме про ІМТ та довжину тіла, дозволять передбачити можливі варіанти перебігу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та суттєво спростити діагностичний процес. Вищевикладені дані можуть бути використані з метою своєчасного призначення профілактичної допомоги індивідуально для кожної особи.</w:t>
      </w:r>
    </w:p>
    <w:p w14:paraId="5ED6E428" w14:textId="77777777" w:rsidR="00180D3E" w:rsidRPr="00520861" w:rsidRDefault="00180D3E" w:rsidP="00292D2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 w:val="28"/>
          <w:szCs w:val="28"/>
          <w:lang w:eastAsia="en-US"/>
        </w:rPr>
      </w:pPr>
    </w:p>
    <w:p w14:paraId="74FBBB6E" w14:textId="77777777" w:rsidR="00180D3E" w:rsidRPr="00520861" w:rsidRDefault="007B52C8" w:rsidP="007B52C8">
      <w:pPr>
        <w:widowControl w:val="0"/>
        <w:spacing w:line="360" w:lineRule="auto"/>
        <w:ind w:firstLine="708"/>
        <w:contextualSpacing/>
        <w:jc w:val="both"/>
        <w:rPr>
          <w:sz w:val="28"/>
          <w:szCs w:val="28"/>
        </w:rPr>
      </w:pPr>
      <w:r w:rsidRPr="00520861">
        <w:rPr>
          <w:sz w:val="28"/>
          <w:szCs w:val="28"/>
        </w:rPr>
        <w:br w:type="page"/>
      </w:r>
    </w:p>
    <w:p w14:paraId="78525030" w14:textId="77777777" w:rsidR="00292D2E" w:rsidRPr="00520861" w:rsidRDefault="00292D2E" w:rsidP="00292D2E">
      <w:pPr>
        <w:widowControl w:val="0"/>
        <w:spacing w:line="360" w:lineRule="auto"/>
        <w:jc w:val="center"/>
        <w:rPr>
          <w:b/>
          <w:sz w:val="28"/>
          <w:szCs w:val="28"/>
        </w:rPr>
      </w:pPr>
      <w:r w:rsidRPr="00520861">
        <w:rPr>
          <w:b/>
          <w:sz w:val="28"/>
          <w:szCs w:val="28"/>
        </w:rPr>
        <w:lastRenderedPageBreak/>
        <w:t>ВИСНОВКИ</w:t>
      </w:r>
    </w:p>
    <w:p w14:paraId="08DB2A91" w14:textId="77777777" w:rsidR="00292D2E" w:rsidRPr="00520861" w:rsidRDefault="00292D2E" w:rsidP="00292D2E">
      <w:pPr>
        <w:widowControl w:val="0"/>
        <w:spacing w:line="360" w:lineRule="auto"/>
        <w:rPr>
          <w:b/>
          <w:sz w:val="28"/>
          <w:szCs w:val="28"/>
        </w:rPr>
      </w:pPr>
    </w:p>
    <w:p w14:paraId="5AFCAA28" w14:textId="77777777" w:rsidR="00292D2E" w:rsidRPr="00520861" w:rsidRDefault="00292D2E" w:rsidP="00292D2E">
      <w:pPr>
        <w:widowControl w:val="0"/>
        <w:spacing w:line="360" w:lineRule="auto"/>
        <w:rPr>
          <w:b/>
          <w:sz w:val="28"/>
          <w:szCs w:val="28"/>
        </w:rPr>
      </w:pPr>
    </w:p>
    <w:p w14:paraId="2A18A430" w14:textId="77777777" w:rsidR="00292D2E" w:rsidRPr="00520861" w:rsidRDefault="00292D2E" w:rsidP="00292D2E">
      <w:pPr>
        <w:widowControl w:val="0"/>
        <w:spacing w:line="360" w:lineRule="auto"/>
        <w:ind w:firstLine="720"/>
        <w:jc w:val="both"/>
        <w:rPr>
          <w:iCs/>
          <w:sz w:val="28"/>
          <w:szCs w:val="28"/>
          <w:lang w:eastAsia="x-none"/>
        </w:rPr>
      </w:pPr>
      <w:r w:rsidRPr="00520861">
        <w:rPr>
          <w:sz w:val="28"/>
          <w:szCs w:val="28"/>
        </w:rPr>
        <w:t xml:space="preserve">1. На сьогоднішній день </w:t>
      </w:r>
      <w:proofErr w:type="spellStart"/>
      <w:r w:rsidRPr="00520861">
        <w:rPr>
          <w:sz w:val="28"/>
          <w:szCs w:val="28"/>
        </w:rPr>
        <w:t>макросомія</w:t>
      </w:r>
      <w:proofErr w:type="spellEnd"/>
      <w:r w:rsidRPr="00520861">
        <w:rPr>
          <w:sz w:val="28"/>
          <w:szCs w:val="28"/>
        </w:rPr>
        <w:t xml:space="preserve"> плода є поширеним внутрішньоутробним станом. Незважаючи на велику кількість досліджень, присвячених вивченню віддалених наслідків народження дитини з </w:t>
      </w:r>
      <w:proofErr w:type="spellStart"/>
      <w:r w:rsidRPr="00520861">
        <w:rPr>
          <w:sz w:val="28"/>
          <w:szCs w:val="28"/>
        </w:rPr>
        <w:t>макросомією</w:t>
      </w:r>
      <w:proofErr w:type="spellEnd"/>
      <w:r w:rsidRPr="00520861">
        <w:rPr>
          <w:sz w:val="28"/>
          <w:szCs w:val="28"/>
        </w:rPr>
        <w:t xml:space="preserve">, проблема діагностики та наукового передбачення стоматологічних порушень в онтогенезі у таких осіб є </w:t>
      </w:r>
      <w:r w:rsidRPr="00520861">
        <w:rPr>
          <w:sz w:val="28"/>
          <w:szCs w:val="28"/>
        </w:rPr>
        <w:br/>
        <w:t xml:space="preserve">недостатньо вивченою. У дисертаційному дослідженні наведено вирішення </w:t>
      </w:r>
      <w:r w:rsidRPr="00520861">
        <w:rPr>
          <w:sz w:val="28"/>
          <w:szCs w:val="28"/>
        </w:rPr>
        <w:br/>
        <w:t xml:space="preserve">актуальної проблеми сучасної стоматології – </w:t>
      </w:r>
      <w:r w:rsidR="00FF4A89" w:rsidRPr="00520861">
        <w:rPr>
          <w:iCs/>
          <w:sz w:val="28"/>
          <w:szCs w:val="28"/>
          <w:lang w:eastAsia="x-none"/>
        </w:rPr>
        <w:t xml:space="preserve">розроблено та </w:t>
      </w:r>
      <w:proofErr w:type="spellStart"/>
      <w:r w:rsidR="00FF4A89" w:rsidRPr="00520861">
        <w:rPr>
          <w:iCs/>
          <w:sz w:val="28"/>
          <w:szCs w:val="28"/>
          <w:lang w:eastAsia="x-none"/>
        </w:rPr>
        <w:t>обґрунтувано</w:t>
      </w:r>
      <w:proofErr w:type="spellEnd"/>
      <w:r w:rsidR="00FF4A89" w:rsidRPr="00520861">
        <w:rPr>
          <w:iCs/>
          <w:sz w:val="28"/>
          <w:szCs w:val="28"/>
          <w:lang w:eastAsia="x-none"/>
        </w:rPr>
        <w:t xml:space="preserve"> стратегію</w:t>
      </w:r>
      <w:r w:rsidRPr="00520861">
        <w:rPr>
          <w:rFonts w:eastAsia="Calibri"/>
          <w:sz w:val="28"/>
          <w:szCs w:val="28"/>
          <w:lang w:eastAsia="en-US"/>
        </w:rPr>
        <w:t xml:space="preserve"> діагностики та прогнозування стоматологічних порушень в осіб різних вікових категорій,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популяції Харківської області та прилеглих </w:t>
      </w:r>
      <w:r w:rsidR="0000090A" w:rsidRPr="00520861">
        <w:rPr>
          <w:rFonts w:eastAsia="Calibri"/>
          <w:sz w:val="28"/>
          <w:szCs w:val="28"/>
          <w:lang w:eastAsia="en-US"/>
        </w:rPr>
        <w:br/>
      </w:r>
      <w:r w:rsidRPr="00520861">
        <w:rPr>
          <w:rFonts w:eastAsia="Calibri"/>
          <w:sz w:val="28"/>
          <w:szCs w:val="28"/>
          <w:lang w:eastAsia="en-US"/>
        </w:rPr>
        <w:t>(Донецької, Луганської) областей, на підставі всебічного розгляду стоматологічного статусу, вивчення ланок патогенезу стоматологічних порушень і виявлення їхніх прогностичних маркерів.</w:t>
      </w:r>
    </w:p>
    <w:p w14:paraId="0E5F8F3F"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2. Розроблено та впроваджено спосіб експериментального моделювання </w:t>
      </w:r>
      <w:proofErr w:type="spellStart"/>
      <w:r w:rsidRPr="00520861">
        <w:rPr>
          <w:sz w:val="28"/>
          <w:szCs w:val="28"/>
        </w:rPr>
        <w:t>макросомії</w:t>
      </w:r>
      <w:proofErr w:type="spellEnd"/>
      <w:r w:rsidRPr="00520861">
        <w:rPr>
          <w:sz w:val="28"/>
          <w:szCs w:val="28"/>
        </w:rPr>
        <w:t xml:space="preserve"> плода, який дає змогу отримати внутрішньоутробну </w:t>
      </w:r>
      <w:proofErr w:type="spellStart"/>
      <w:r w:rsidRPr="00520861">
        <w:rPr>
          <w:sz w:val="28"/>
          <w:szCs w:val="28"/>
        </w:rPr>
        <w:t>макросомію</w:t>
      </w:r>
      <w:proofErr w:type="spellEnd"/>
      <w:r w:rsidRPr="00520861">
        <w:rPr>
          <w:sz w:val="28"/>
          <w:szCs w:val="28"/>
        </w:rPr>
        <w:t xml:space="preserve"> в 30% щурів-нащадків, що значно перевищує продуктивність інших наявних методів.</w:t>
      </w:r>
    </w:p>
    <w:p w14:paraId="03071425"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3. </w:t>
      </w:r>
      <w:proofErr w:type="spellStart"/>
      <w:r w:rsidRPr="00520861">
        <w:rPr>
          <w:sz w:val="28"/>
          <w:szCs w:val="28"/>
        </w:rPr>
        <w:t>Гістоморфологічне</w:t>
      </w:r>
      <w:proofErr w:type="spellEnd"/>
      <w:r w:rsidRPr="00520861">
        <w:rPr>
          <w:sz w:val="28"/>
          <w:szCs w:val="28"/>
        </w:rPr>
        <w:t xml:space="preserve"> дослідження зачатків зубів і прилеглих тканин у новонароджених щурів-</w:t>
      </w:r>
      <w:proofErr w:type="spellStart"/>
      <w:r w:rsidRPr="00520861">
        <w:rPr>
          <w:sz w:val="28"/>
          <w:szCs w:val="28"/>
        </w:rPr>
        <w:t>макросомів</w:t>
      </w:r>
      <w:proofErr w:type="spellEnd"/>
      <w:r w:rsidRPr="00520861">
        <w:rPr>
          <w:sz w:val="28"/>
          <w:szCs w:val="28"/>
        </w:rPr>
        <w:t xml:space="preserve"> показало порушення їхнього морфогенезу. Вікова динаміка </w:t>
      </w:r>
      <w:proofErr w:type="spellStart"/>
      <w:r w:rsidRPr="00520861">
        <w:rPr>
          <w:sz w:val="28"/>
          <w:szCs w:val="28"/>
        </w:rPr>
        <w:t>морфофункціонального</w:t>
      </w:r>
      <w:proofErr w:type="spellEnd"/>
      <w:r w:rsidRPr="00520861">
        <w:rPr>
          <w:sz w:val="28"/>
          <w:szCs w:val="28"/>
        </w:rPr>
        <w:t xml:space="preserve"> стану тканин зубів, </w:t>
      </w:r>
      <w:proofErr w:type="spellStart"/>
      <w:r w:rsidRPr="00520861">
        <w:rPr>
          <w:sz w:val="28"/>
          <w:szCs w:val="28"/>
        </w:rPr>
        <w:t>пародонта</w:t>
      </w:r>
      <w:proofErr w:type="spellEnd"/>
      <w:r w:rsidRPr="00520861">
        <w:rPr>
          <w:sz w:val="28"/>
          <w:szCs w:val="28"/>
        </w:rPr>
        <w:t xml:space="preserve"> привушних і малих слинних залоз у таких тварини має особливості, які асоційовані з індексом маси тіла тварини при народженні. У пародонті тварин, народжених </w:t>
      </w:r>
      <w:proofErr w:type="spellStart"/>
      <w:r w:rsidRPr="00520861">
        <w:rPr>
          <w:sz w:val="28"/>
          <w:szCs w:val="28"/>
        </w:rPr>
        <w:t>макросомами</w:t>
      </w:r>
      <w:proofErr w:type="spellEnd"/>
      <w:r w:rsidRPr="00520861">
        <w:rPr>
          <w:sz w:val="28"/>
          <w:szCs w:val="28"/>
        </w:rPr>
        <w:t xml:space="preserve"> з гармонійним внутрішньоутробним розвитком, а також з відносною недостатністю маси тіла в поєднанні з надмірною довжиною тіла, у віддалені терміни онтогенезу (12 та 18 місяців) спостерігається морфологічна картина запального процесу, явища фокального </w:t>
      </w:r>
      <w:r w:rsidR="0000090A" w:rsidRPr="00520861">
        <w:rPr>
          <w:sz w:val="28"/>
          <w:szCs w:val="28"/>
        </w:rPr>
        <w:br/>
      </w:r>
      <w:r w:rsidRPr="00520861">
        <w:rPr>
          <w:sz w:val="28"/>
          <w:szCs w:val="28"/>
        </w:rPr>
        <w:t xml:space="preserve">остеопорозу. Народжені </w:t>
      </w:r>
      <w:proofErr w:type="spellStart"/>
      <w:r w:rsidRPr="00520861">
        <w:rPr>
          <w:sz w:val="28"/>
          <w:szCs w:val="28"/>
        </w:rPr>
        <w:t>макросомами</w:t>
      </w:r>
      <w:proofErr w:type="spellEnd"/>
      <w:r w:rsidRPr="00520861">
        <w:rPr>
          <w:sz w:val="28"/>
          <w:szCs w:val="28"/>
        </w:rPr>
        <w:t xml:space="preserve"> з ожирінням у віці 12</w:t>
      </w:r>
      <w:r w:rsidR="000558C2" w:rsidRPr="00520861">
        <w:rPr>
          <w:sz w:val="28"/>
          <w:szCs w:val="28"/>
        </w:rPr>
        <w:t xml:space="preserve"> – </w:t>
      </w:r>
      <w:r w:rsidRPr="00520861">
        <w:rPr>
          <w:sz w:val="28"/>
          <w:szCs w:val="28"/>
        </w:rPr>
        <w:t xml:space="preserve">18 місяців мають зростаючі ознаки </w:t>
      </w:r>
      <w:proofErr w:type="spellStart"/>
      <w:r w:rsidRPr="00520861">
        <w:rPr>
          <w:sz w:val="28"/>
          <w:szCs w:val="28"/>
        </w:rPr>
        <w:t>атрофізації</w:t>
      </w:r>
      <w:proofErr w:type="spellEnd"/>
      <w:r w:rsidRPr="00520861">
        <w:rPr>
          <w:sz w:val="28"/>
          <w:szCs w:val="28"/>
        </w:rPr>
        <w:t xml:space="preserve"> пульпи, зменшення кількості та площі тіл </w:t>
      </w:r>
      <w:proofErr w:type="spellStart"/>
      <w:r w:rsidRPr="00520861">
        <w:rPr>
          <w:sz w:val="28"/>
          <w:szCs w:val="28"/>
        </w:rPr>
        <w:t>одонтобластів</w:t>
      </w:r>
      <w:proofErr w:type="spellEnd"/>
      <w:r w:rsidRPr="00520861">
        <w:rPr>
          <w:sz w:val="28"/>
          <w:szCs w:val="28"/>
        </w:rPr>
        <w:t xml:space="preserve"> на 38</w:t>
      </w:r>
      <w:r w:rsidR="000558C2" w:rsidRPr="00520861">
        <w:rPr>
          <w:sz w:val="28"/>
          <w:szCs w:val="28"/>
        </w:rPr>
        <w:t xml:space="preserve"> – </w:t>
      </w:r>
      <w:r w:rsidRPr="00520861">
        <w:rPr>
          <w:sz w:val="28"/>
          <w:szCs w:val="28"/>
        </w:rPr>
        <w:t>42% порівняно з контрольними тваринами. Отже, чим більший індекс маси тіла у тварини при народженні, тим вища в неї схильність до карієсу.</w:t>
      </w:r>
    </w:p>
    <w:p w14:paraId="419C8205"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4. Особи, які народилися </w:t>
      </w:r>
      <w:proofErr w:type="spellStart"/>
      <w:r w:rsidRPr="00520861">
        <w:rPr>
          <w:sz w:val="28"/>
          <w:szCs w:val="28"/>
        </w:rPr>
        <w:t>макросомами</w:t>
      </w:r>
      <w:proofErr w:type="spellEnd"/>
      <w:r w:rsidRPr="00520861">
        <w:rPr>
          <w:sz w:val="28"/>
          <w:szCs w:val="28"/>
        </w:rPr>
        <w:t xml:space="preserve">, мають вірогідно вищий на одну </w:t>
      </w:r>
      <w:r w:rsidR="0000090A" w:rsidRPr="00520861">
        <w:rPr>
          <w:sz w:val="28"/>
          <w:szCs w:val="28"/>
        </w:rPr>
        <w:br/>
      </w:r>
      <w:r w:rsidRPr="00520861">
        <w:rPr>
          <w:sz w:val="28"/>
          <w:szCs w:val="28"/>
        </w:rPr>
        <w:lastRenderedPageBreak/>
        <w:t>градацію шкали скринінг-опитувальника ризик розвитку стоматологічних захворювань. У загальному вимірі «мінімальний ризик» і «ризик» виникнення стоматологічної патології рідше (</w:t>
      </w:r>
      <w:r w:rsidR="000558C2" w:rsidRPr="00520861">
        <w:rPr>
          <w:i/>
          <w:sz w:val="28"/>
          <w:szCs w:val="28"/>
        </w:rPr>
        <w:t>p</w:t>
      </w:r>
      <w:r w:rsidR="00CD7533" w:rsidRPr="00520861">
        <w:rPr>
          <w:sz w:val="28"/>
          <w:szCs w:val="28"/>
        </w:rPr>
        <w:t>&lt;</w:t>
      </w:r>
      <w:r w:rsidR="000558C2" w:rsidRPr="00520861">
        <w:rPr>
          <w:sz w:val="28"/>
          <w:szCs w:val="28"/>
        </w:rPr>
        <w:t>0,05</w:t>
      </w:r>
      <w:r w:rsidRPr="00520861">
        <w:rPr>
          <w:sz w:val="28"/>
          <w:szCs w:val="28"/>
        </w:rPr>
        <w:t xml:space="preserve">) визначається в основній групі, ніж у групі порівняння, – в 1,5% та 34,7% проти 11,3% та 52,4% відповідно, а «суттєвий ризик» і «високий </w:t>
      </w:r>
      <w:r w:rsidR="0000090A" w:rsidRPr="00520861">
        <w:rPr>
          <w:sz w:val="28"/>
          <w:szCs w:val="28"/>
        </w:rPr>
        <w:br/>
      </w:r>
      <w:r w:rsidRPr="00520861">
        <w:rPr>
          <w:sz w:val="28"/>
          <w:szCs w:val="28"/>
        </w:rPr>
        <w:t>ризик» в основній групі, навпаки, визначається частіше (</w:t>
      </w:r>
      <w:r w:rsidR="000558C2" w:rsidRPr="00520861">
        <w:rPr>
          <w:i/>
          <w:sz w:val="28"/>
          <w:szCs w:val="28"/>
        </w:rPr>
        <w:t>p</w:t>
      </w:r>
      <w:r w:rsidR="00CD7533" w:rsidRPr="00520861">
        <w:rPr>
          <w:sz w:val="28"/>
          <w:szCs w:val="28"/>
        </w:rPr>
        <w:t>&lt;</w:t>
      </w:r>
      <w:r w:rsidR="000558C2" w:rsidRPr="00520861">
        <w:rPr>
          <w:sz w:val="28"/>
          <w:szCs w:val="28"/>
        </w:rPr>
        <w:t>0,05</w:t>
      </w:r>
      <w:r w:rsidRPr="00520861">
        <w:rPr>
          <w:sz w:val="28"/>
          <w:szCs w:val="28"/>
        </w:rPr>
        <w:t xml:space="preserve">), ніж у групі порівняння – у 50,5% та 13,3% проти 33,3% та 3,0% відповідно. </w:t>
      </w:r>
    </w:p>
    <w:p w14:paraId="2C34C499"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Особи, які народилися </w:t>
      </w:r>
      <w:proofErr w:type="spellStart"/>
      <w:r w:rsidRPr="00520861">
        <w:rPr>
          <w:sz w:val="28"/>
          <w:szCs w:val="28"/>
        </w:rPr>
        <w:t>макросомами</w:t>
      </w:r>
      <w:proofErr w:type="spellEnd"/>
      <w:r w:rsidRPr="00520861">
        <w:rPr>
          <w:sz w:val="28"/>
          <w:szCs w:val="28"/>
        </w:rPr>
        <w:t xml:space="preserve">, у подальшому житті в середньому мають удвічі більше скарг на стан стоматологічного здоров’я, ніж особи, які народилися </w:t>
      </w:r>
      <w:proofErr w:type="spellStart"/>
      <w:r w:rsidRPr="00520861">
        <w:rPr>
          <w:sz w:val="28"/>
          <w:szCs w:val="28"/>
        </w:rPr>
        <w:t>нормосомами</w:t>
      </w:r>
      <w:proofErr w:type="spellEnd"/>
      <w:r w:rsidRPr="00520861">
        <w:rPr>
          <w:sz w:val="28"/>
          <w:szCs w:val="28"/>
        </w:rPr>
        <w:t>. Доведено відсутність (</w:t>
      </w:r>
      <w:r w:rsidR="000558C2" w:rsidRPr="00520861">
        <w:rPr>
          <w:i/>
          <w:sz w:val="28"/>
          <w:szCs w:val="28"/>
        </w:rPr>
        <w:t>p</w:t>
      </w:r>
      <w:r w:rsidR="00CD7533" w:rsidRPr="00520861">
        <w:rPr>
          <w:sz w:val="28"/>
          <w:szCs w:val="28"/>
        </w:rPr>
        <w:t>&lt;</w:t>
      </w:r>
      <w:r w:rsidR="000558C2" w:rsidRPr="00520861">
        <w:rPr>
          <w:sz w:val="28"/>
          <w:szCs w:val="28"/>
        </w:rPr>
        <w:t>0,05</w:t>
      </w:r>
      <w:r w:rsidRPr="00520861">
        <w:rPr>
          <w:sz w:val="28"/>
          <w:szCs w:val="28"/>
        </w:rPr>
        <w:t xml:space="preserve">) відмінностей впливу особливостей стану здоров’я й життєдіяльності респондентів і їхніх батьків на розвиток стоматологічних порушень в індивідуумів з різним індексом маси тіла при народженні. </w:t>
      </w:r>
    </w:p>
    <w:p w14:paraId="7F66F6B2" w14:textId="77777777" w:rsidR="00292D2E" w:rsidRPr="00520861" w:rsidRDefault="00292D2E" w:rsidP="00292D2E">
      <w:pPr>
        <w:widowControl w:val="0"/>
        <w:spacing w:line="360" w:lineRule="auto"/>
        <w:ind w:firstLine="708"/>
        <w:jc w:val="both"/>
        <w:rPr>
          <w:sz w:val="28"/>
          <w:szCs w:val="28"/>
        </w:rPr>
      </w:pPr>
      <w:r w:rsidRPr="00520861">
        <w:rPr>
          <w:sz w:val="28"/>
          <w:szCs w:val="28"/>
        </w:rPr>
        <w:t>5. У клініко-ретроспективному дослідженні доведено, що в дітей грудного віку меншою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ніж у групі порівняння, була швидкість росту тимчасових зубів в основній групі загалом; у дівчат з гармонійним внутрішньоутробним розвитком </w:t>
      </w:r>
      <w:r w:rsidR="0000090A" w:rsidRPr="00520861">
        <w:rPr>
          <w:sz w:val="28"/>
          <w:szCs w:val="28"/>
        </w:rPr>
        <w:br/>
      </w:r>
      <w:r w:rsidRPr="00520861">
        <w:rPr>
          <w:sz w:val="28"/>
          <w:szCs w:val="28"/>
        </w:rPr>
        <w:t>(підгрупа 1); в осіб, які при народженні мали велику довжину тіла й відносну недостатність маси тіла (підгрупа 2); у хлопчиків, які при народженні мали велику масу та велику довжину тіла (підгрупа 3); у дівчат, які народилися з внутрішньоутробним ожирінням і середньою довжиною тіла (підгрупа 4). Більша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w:t>
      </w:r>
      <w:r w:rsidRPr="00520861">
        <w:rPr>
          <w:sz w:val="28"/>
          <w:szCs w:val="28"/>
        </w:rPr>
        <w:br/>
        <w:t xml:space="preserve">процентна кількість випадків затримки прорізування зубів, ніж у дітей групи порівняння, спостерігалася: у дітей основної групи (9,1% проти 2,4% серед дівчат і 6,0% проти 1,5% серед хлопчиків); у хлопчиків підгруп 1 та 2; у дівчат підгрупи 4. </w:t>
      </w:r>
      <w:r w:rsidRPr="00520861">
        <w:rPr>
          <w:sz w:val="28"/>
          <w:szCs w:val="28"/>
        </w:rPr>
        <w:br/>
        <w:t>Більшу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ніж у групі порівняння, кількість випадків передчасного прорізування зубів зафіксовано в дівчат підгрупи 3 та хлопчиків підгрупи 4.</w:t>
      </w:r>
    </w:p>
    <w:p w14:paraId="2C13180E" w14:textId="77777777" w:rsidR="00292D2E" w:rsidRPr="00520861" w:rsidRDefault="00292D2E" w:rsidP="00292D2E">
      <w:pPr>
        <w:widowControl w:val="0"/>
        <w:spacing w:line="360" w:lineRule="auto"/>
        <w:ind w:firstLine="708"/>
        <w:jc w:val="both"/>
        <w:rPr>
          <w:sz w:val="28"/>
          <w:szCs w:val="28"/>
        </w:rPr>
      </w:pPr>
      <w:r w:rsidRPr="00520861">
        <w:rPr>
          <w:sz w:val="28"/>
          <w:szCs w:val="28"/>
        </w:rPr>
        <w:t>6. Виявлено вищі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ніж у групі порівняння, процентні кількості дітей з показниками: карієсу тимчасових зубів в основній групі – в 1,6 </w:t>
      </w:r>
      <w:proofErr w:type="spellStart"/>
      <w:r w:rsidRPr="00520861">
        <w:rPr>
          <w:sz w:val="28"/>
          <w:szCs w:val="28"/>
        </w:rPr>
        <w:t>раза</w:t>
      </w:r>
      <w:proofErr w:type="spellEnd"/>
      <w:r w:rsidRPr="00520861">
        <w:rPr>
          <w:sz w:val="28"/>
          <w:szCs w:val="28"/>
        </w:rPr>
        <w:t xml:space="preserve">, у підгрупі 1 – в 1,6 </w:t>
      </w:r>
      <w:proofErr w:type="spellStart"/>
      <w:r w:rsidRPr="00520861">
        <w:rPr>
          <w:sz w:val="28"/>
          <w:szCs w:val="28"/>
        </w:rPr>
        <w:t>раза</w:t>
      </w:r>
      <w:proofErr w:type="spellEnd"/>
      <w:r w:rsidRPr="00520861">
        <w:rPr>
          <w:sz w:val="28"/>
          <w:szCs w:val="28"/>
        </w:rPr>
        <w:t xml:space="preserve">, у підгрупі 4 – в 1,6 </w:t>
      </w:r>
      <w:proofErr w:type="spellStart"/>
      <w:r w:rsidRPr="00520861">
        <w:rPr>
          <w:sz w:val="28"/>
          <w:szCs w:val="28"/>
        </w:rPr>
        <w:t>раза</w:t>
      </w:r>
      <w:proofErr w:type="spellEnd"/>
      <w:r w:rsidRPr="00520861">
        <w:rPr>
          <w:sz w:val="28"/>
          <w:szCs w:val="28"/>
        </w:rPr>
        <w:t xml:space="preserve">; з раннім дитячим карієсом в основній групі – в 1,8 </w:t>
      </w:r>
      <w:proofErr w:type="spellStart"/>
      <w:r w:rsidRPr="00520861">
        <w:rPr>
          <w:sz w:val="28"/>
          <w:szCs w:val="28"/>
        </w:rPr>
        <w:t>раза</w:t>
      </w:r>
      <w:proofErr w:type="spellEnd"/>
      <w:r w:rsidRPr="00520861">
        <w:rPr>
          <w:sz w:val="28"/>
          <w:szCs w:val="28"/>
        </w:rPr>
        <w:t xml:space="preserve">, у підгрупі 1 – у 2,2 </w:t>
      </w:r>
      <w:proofErr w:type="spellStart"/>
      <w:r w:rsidRPr="00520861">
        <w:rPr>
          <w:sz w:val="28"/>
          <w:szCs w:val="28"/>
        </w:rPr>
        <w:t>раза</w:t>
      </w:r>
      <w:proofErr w:type="spellEnd"/>
      <w:r w:rsidRPr="00520861">
        <w:rPr>
          <w:sz w:val="28"/>
          <w:szCs w:val="28"/>
        </w:rPr>
        <w:t xml:space="preserve">, у підгрупи 4 – в 1,9 </w:t>
      </w:r>
      <w:proofErr w:type="spellStart"/>
      <w:r w:rsidRPr="00520861">
        <w:rPr>
          <w:sz w:val="28"/>
          <w:szCs w:val="28"/>
        </w:rPr>
        <w:t>раза</w:t>
      </w:r>
      <w:proofErr w:type="spellEnd"/>
      <w:r w:rsidRPr="00520861">
        <w:rPr>
          <w:sz w:val="28"/>
          <w:szCs w:val="28"/>
        </w:rPr>
        <w:t xml:space="preserve">; ускладненого карієсу тимчасових зубів в основній групі – в 1,6 </w:t>
      </w:r>
      <w:proofErr w:type="spellStart"/>
      <w:r w:rsidRPr="00520861">
        <w:rPr>
          <w:sz w:val="28"/>
          <w:szCs w:val="28"/>
        </w:rPr>
        <w:t>раза</w:t>
      </w:r>
      <w:proofErr w:type="spellEnd"/>
      <w:r w:rsidRPr="00520861">
        <w:rPr>
          <w:sz w:val="28"/>
          <w:szCs w:val="28"/>
        </w:rPr>
        <w:t xml:space="preserve">, у підгрупі 4 – в 1,7 </w:t>
      </w:r>
      <w:proofErr w:type="spellStart"/>
      <w:r w:rsidRPr="00520861">
        <w:rPr>
          <w:sz w:val="28"/>
          <w:szCs w:val="28"/>
        </w:rPr>
        <w:t>раза</w:t>
      </w:r>
      <w:proofErr w:type="spellEnd"/>
      <w:r w:rsidRPr="00520861">
        <w:rPr>
          <w:sz w:val="28"/>
          <w:szCs w:val="28"/>
        </w:rPr>
        <w:t xml:space="preserve">; тяжкого раннього дитячого карієсу в підгрупі 4 – у 2,5 </w:t>
      </w:r>
      <w:proofErr w:type="spellStart"/>
      <w:r w:rsidRPr="00520861">
        <w:rPr>
          <w:sz w:val="28"/>
          <w:szCs w:val="28"/>
        </w:rPr>
        <w:t>раза</w:t>
      </w:r>
      <w:proofErr w:type="spellEnd"/>
      <w:r w:rsidRPr="00520861">
        <w:rPr>
          <w:sz w:val="28"/>
          <w:szCs w:val="28"/>
        </w:rPr>
        <w:t xml:space="preserve">; ускладненого карієсу постійних зубів у підгрупі 3 – у 5,6 </w:t>
      </w:r>
      <w:proofErr w:type="spellStart"/>
      <w:r w:rsidRPr="00520861">
        <w:rPr>
          <w:sz w:val="28"/>
          <w:szCs w:val="28"/>
        </w:rPr>
        <w:t>раза</w:t>
      </w:r>
      <w:proofErr w:type="spellEnd"/>
      <w:r w:rsidRPr="00520861">
        <w:rPr>
          <w:sz w:val="28"/>
          <w:szCs w:val="28"/>
        </w:rPr>
        <w:t xml:space="preserve">. Отже, найгірша клінічна ситуація здебільшого фіксувалася в </w:t>
      </w:r>
      <w:r w:rsidRPr="00520861">
        <w:rPr>
          <w:sz w:val="28"/>
          <w:szCs w:val="28"/>
        </w:rPr>
        <w:lastRenderedPageBreak/>
        <w:t>осіб основної групи, які народилися з внутрішньоутробним ожирінням.</w:t>
      </w:r>
    </w:p>
    <w:p w14:paraId="738EA1A2"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7. Патологію </w:t>
      </w:r>
      <w:proofErr w:type="spellStart"/>
      <w:r w:rsidRPr="00520861">
        <w:rPr>
          <w:sz w:val="28"/>
          <w:szCs w:val="28"/>
        </w:rPr>
        <w:t>краніо</w:t>
      </w:r>
      <w:proofErr w:type="spellEnd"/>
      <w:r w:rsidRPr="00520861">
        <w:rPr>
          <w:sz w:val="28"/>
          <w:szCs w:val="28"/>
        </w:rPr>
        <w:t>-фаціального комплексу частіше (</w:t>
      </w:r>
      <w:r w:rsidR="000558C2" w:rsidRPr="00520861">
        <w:rPr>
          <w:i/>
          <w:sz w:val="28"/>
          <w:szCs w:val="28"/>
        </w:rPr>
        <w:t>p</w:t>
      </w:r>
      <w:r w:rsidR="00CD7533" w:rsidRPr="00520861">
        <w:rPr>
          <w:sz w:val="28"/>
          <w:szCs w:val="28"/>
        </w:rPr>
        <w:t>&lt;</w:t>
      </w:r>
      <w:r w:rsidR="000558C2" w:rsidRPr="00520861">
        <w:rPr>
          <w:sz w:val="28"/>
          <w:szCs w:val="28"/>
        </w:rPr>
        <w:t>0,05</w:t>
      </w:r>
      <w:r w:rsidRPr="00520861">
        <w:rPr>
          <w:sz w:val="28"/>
          <w:szCs w:val="28"/>
        </w:rPr>
        <w:t xml:space="preserve">) виявлено в осіб які народилися </w:t>
      </w:r>
      <w:proofErr w:type="spellStart"/>
      <w:r w:rsidRPr="00520861">
        <w:rPr>
          <w:sz w:val="28"/>
          <w:szCs w:val="28"/>
        </w:rPr>
        <w:t>макросомами</w:t>
      </w:r>
      <w:proofErr w:type="spellEnd"/>
      <w:r w:rsidRPr="00520861">
        <w:rPr>
          <w:sz w:val="28"/>
          <w:szCs w:val="28"/>
        </w:rPr>
        <w:t xml:space="preserve">, ніж у групі порівняння: серед дітей грудного віку в 53,8% основної групи та 24,6% у групі порівняння; у період тимчасового прикусу – у </w:t>
      </w:r>
      <w:r w:rsidRPr="00520861">
        <w:rPr>
          <w:spacing w:val="-2"/>
          <w:sz w:val="28"/>
          <w:szCs w:val="28"/>
        </w:rPr>
        <w:t>100,0% та 38,5%; у період змінного прикусу – у 100,0% та 68,8% відповідно. Найгір</w:t>
      </w:r>
      <w:r w:rsidR="00AE4EFC" w:rsidRPr="00520861">
        <w:rPr>
          <w:sz w:val="28"/>
          <w:szCs w:val="28"/>
        </w:rPr>
        <w:t>ша клінічна ситуація спостерігалася</w:t>
      </w:r>
      <w:r w:rsidRPr="00520861">
        <w:rPr>
          <w:sz w:val="28"/>
          <w:szCs w:val="28"/>
        </w:rPr>
        <w:t xml:space="preserve"> в осіб, які народилися з </w:t>
      </w:r>
      <w:proofErr w:type="spellStart"/>
      <w:r w:rsidRPr="00520861">
        <w:rPr>
          <w:sz w:val="28"/>
          <w:szCs w:val="28"/>
        </w:rPr>
        <w:t>макросомією</w:t>
      </w:r>
      <w:proofErr w:type="spellEnd"/>
      <w:r w:rsidRPr="00520861">
        <w:rPr>
          <w:sz w:val="28"/>
          <w:szCs w:val="28"/>
        </w:rPr>
        <w:t xml:space="preserve"> з ожирінням. В осіб, які народилися </w:t>
      </w:r>
      <w:proofErr w:type="spellStart"/>
      <w:r w:rsidRPr="00520861">
        <w:rPr>
          <w:sz w:val="28"/>
          <w:szCs w:val="28"/>
        </w:rPr>
        <w:t>макросомами</w:t>
      </w:r>
      <w:proofErr w:type="spellEnd"/>
      <w:r w:rsidRPr="00520861">
        <w:rPr>
          <w:sz w:val="28"/>
          <w:szCs w:val="28"/>
        </w:rPr>
        <w:t xml:space="preserve">, виявлено ознаки вертикального типу щелепного росту, у більшості обстежених порушений ріст щелеп у сагітальному напрямку. Аномалії м’яких тканин ротової порожнини асоційовані з </w:t>
      </w:r>
      <w:proofErr w:type="spellStart"/>
      <w:r w:rsidRPr="00520861">
        <w:rPr>
          <w:sz w:val="28"/>
          <w:szCs w:val="28"/>
        </w:rPr>
        <w:t>макросомією</w:t>
      </w:r>
      <w:proofErr w:type="spellEnd"/>
      <w:r w:rsidRPr="00520861">
        <w:rPr>
          <w:sz w:val="28"/>
          <w:szCs w:val="28"/>
        </w:rPr>
        <w:t xml:space="preserve"> плода.</w:t>
      </w:r>
    </w:p>
    <w:p w14:paraId="41DBA7CE" w14:textId="77777777" w:rsidR="00292D2E" w:rsidRPr="00520861" w:rsidRDefault="00292D2E" w:rsidP="00292D2E">
      <w:pPr>
        <w:widowControl w:val="0"/>
        <w:spacing w:line="360" w:lineRule="auto"/>
        <w:ind w:firstLine="708"/>
        <w:jc w:val="both"/>
        <w:rPr>
          <w:sz w:val="28"/>
          <w:szCs w:val="28"/>
        </w:rPr>
      </w:pPr>
      <w:r w:rsidRPr="00520861">
        <w:rPr>
          <w:sz w:val="28"/>
          <w:szCs w:val="28"/>
        </w:rPr>
        <w:t>8. Залежно від віку середні показники інтенсивності карієсу вищі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ніж в осіб групи порівняння, у період тимчасового прикусу (4,5 – 6,5 року) – для основної групи загалом (</w:t>
      </w:r>
      <w:proofErr w:type="spellStart"/>
      <w:r w:rsidRPr="00520861">
        <w:rPr>
          <w:sz w:val="28"/>
          <w:szCs w:val="28"/>
        </w:rPr>
        <w:t>кп</w:t>
      </w:r>
      <w:proofErr w:type="spellEnd"/>
      <w:r w:rsidRPr="00520861">
        <w:rPr>
          <w:sz w:val="28"/>
          <w:szCs w:val="28"/>
        </w:rPr>
        <w:t>=5,88 балів проти 3,08 для групи порівняння), причому найнижче значення має місце в підгрупі 3; у період змінного прикусу – для підгрупи 4 (</w:t>
      </w:r>
      <w:proofErr w:type="spellStart"/>
      <w:r w:rsidRPr="00520861">
        <w:rPr>
          <w:sz w:val="28"/>
          <w:szCs w:val="28"/>
        </w:rPr>
        <w:t>КПВ+кп</w:t>
      </w:r>
      <w:proofErr w:type="spellEnd"/>
      <w:r w:rsidRPr="00520861">
        <w:rPr>
          <w:sz w:val="28"/>
          <w:szCs w:val="28"/>
        </w:rPr>
        <w:t xml:space="preserve">=6,8 проти 2,7); у віці 25 – 44 роки – для основної групи загалом (КПВ=14,86 проти 9,92) та підгрупи 3 зокрема (КПВ=15,33); у віці 45 – 55 років – для основної групи загалом (КПВ=19,16 проти 15,25) і підгруп 3 та 4 зокрема (20,6 та 19,23 </w:t>
      </w:r>
      <w:proofErr w:type="spellStart"/>
      <w:r w:rsidRPr="00520861">
        <w:rPr>
          <w:sz w:val="28"/>
          <w:szCs w:val="28"/>
        </w:rPr>
        <w:t>бала</w:t>
      </w:r>
      <w:proofErr w:type="spellEnd"/>
      <w:r w:rsidRPr="00520861">
        <w:rPr>
          <w:sz w:val="28"/>
          <w:szCs w:val="28"/>
        </w:rPr>
        <w:t xml:space="preserve"> відповідно). Тобто найвища інтенсивність карієсу переважно фіксувалася в осіб основної групи, які народилися з внутрішньоутробним ожирінням. Секреція малих слинних залоз в осіб, які народилися </w:t>
      </w:r>
      <w:proofErr w:type="spellStart"/>
      <w:r w:rsidRPr="00520861">
        <w:rPr>
          <w:sz w:val="28"/>
          <w:szCs w:val="28"/>
        </w:rPr>
        <w:t>макросом</w:t>
      </w:r>
      <w:r w:rsidR="00353F20" w:rsidRPr="00520861">
        <w:rPr>
          <w:sz w:val="28"/>
          <w:szCs w:val="28"/>
        </w:rPr>
        <w:t>ами</w:t>
      </w:r>
      <w:proofErr w:type="spellEnd"/>
      <w:r w:rsidR="00353F20" w:rsidRPr="00520861">
        <w:rPr>
          <w:sz w:val="28"/>
          <w:szCs w:val="28"/>
        </w:rPr>
        <w:t>, у середньому менша на 11,4% – 22,0</w:t>
      </w:r>
      <w:r w:rsidRPr="00520861">
        <w:rPr>
          <w:sz w:val="28"/>
          <w:szCs w:val="28"/>
        </w:rPr>
        <w:t>%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ніж у групі порівняння. Кількість малих слинних залоз на площі </w:t>
      </w:r>
      <w:r w:rsidR="0000090A" w:rsidRPr="00520861">
        <w:rPr>
          <w:sz w:val="28"/>
          <w:szCs w:val="28"/>
        </w:rPr>
        <w:br/>
        <w:t>3,5 </w:t>
      </w:r>
      <w:r w:rsidRPr="00520861">
        <w:rPr>
          <w:sz w:val="28"/>
          <w:szCs w:val="28"/>
        </w:rPr>
        <w:t>см2 у них також менша  на 1 – 4 одиниці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w:t>
      </w:r>
    </w:p>
    <w:p w14:paraId="22C16FAA"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9. В осіб підгруп 3 та 4 в дорослому віці переважно виявлялася деструкція тканин </w:t>
      </w:r>
      <w:proofErr w:type="spellStart"/>
      <w:r w:rsidRPr="00520861">
        <w:rPr>
          <w:sz w:val="28"/>
          <w:szCs w:val="28"/>
        </w:rPr>
        <w:t>пародонта</w:t>
      </w:r>
      <w:proofErr w:type="spellEnd"/>
      <w:r w:rsidRPr="00520861">
        <w:rPr>
          <w:sz w:val="28"/>
          <w:szCs w:val="28"/>
        </w:rPr>
        <w:t xml:space="preserve"> з превалюванням дистрофічного компонента, яка проявлялася атрофією альвеолярних відростків, рецесією ясен і клиноподібними дефектами. У таких осіб зафіксовано меншу в 1,37 </w:t>
      </w:r>
      <w:proofErr w:type="spellStart"/>
      <w:r w:rsidRPr="00520861">
        <w:rPr>
          <w:sz w:val="28"/>
          <w:szCs w:val="28"/>
        </w:rPr>
        <w:t>раза</w:t>
      </w:r>
      <w:proofErr w:type="spellEnd"/>
      <w:r w:rsidRPr="00520861">
        <w:rPr>
          <w:sz w:val="28"/>
          <w:szCs w:val="28"/>
        </w:rPr>
        <w:t xml:space="preserve">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оптичну щільність кортикального шару кісткової тканини щелеп, ніж в осіб групи порівняння. В осіб підгруп 1 та 2 переважно виникали зміни тканин </w:t>
      </w:r>
      <w:proofErr w:type="spellStart"/>
      <w:r w:rsidRPr="00520861">
        <w:rPr>
          <w:sz w:val="28"/>
          <w:szCs w:val="28"/>
        </w:rPr>
        <w:t>пародонта</w:t>
      </w:r>
      <w:proofErr w:type="spellEnd"/>
      <w:r w:rsidRPr="00520861">
        <w:rPr>
          <w:sz w:val="28"/>
          <w:szCs w:val="28"/>
        </w:rPr>
        <w:t xml:space="preserve"> з превалюванням запального компонента й менша у 2,15 </w:t>
      </w:r>
      <w:proofErr w:type="spellStart"/>
      <w:r w:rsidRPr="00520861">
        <w:rPr>
          <w:sz w:val="28"/>
          <w:szCs w:val="28"/>
        </w:rPr>
        <w:t>раза</w:t>
      </w:r>
      <w:proofErr w:type="spellEnd"/>
      <w:r w:rsidRPr="00520861">
        <w:rPr>
          <w:sz w:val="28"/>
          <w:szCs w:val="28"/>
        </w:rPr>
        <w:t xml:space="preserve">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оптична щільність </w:t>
      </w:r>
      <w:proofErr w:type="spellStart"/>
      <w:r w:rsidRPr="00520861">
        <w:rPr>
          <w:sz w:val="28"/>
          <w:szCs w:val="28"/>
        </w:rPr>
        <w:t>трабекулярної</w:t>
      </w:r>
      <w:proofErr w:type="spellEnd"/>
      <w:r w:rsidRPr="00520861">
        <w:rPr>
          <w:sz w:val="28"/>
          <w:szCs w:val="28"/>
        </w:rPr>
        <w:t xml:space="preserve"> тканини кісток щелеп.</w:t>
      </w:r>
    </w:p>
    <w:p w14:paraId="71E5A0D3"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10. У ротовій рідині спостерігаються біохімічні зміни, що свідчать про вікові зміни мінералізації кісткової тканини: в осіб підгруп 1 та 2 зростає активність лужної </w:t>
      </w:r>
      <w:r w:rsidRPr="00520861">
        <w:rPr>
          <w:sz w:val="28"/>
          <w:szCs w:val="28"/>
        </w:rPr>
        <w:lastRenderedPageBreak/>
        <w:t xml:space="preserve">фосфатази (вірогідно для підгрупи 2 з </w:t>
      </w:r>
      <w:r w:rsidRPr="00520861">
        <w:rPr>
          <w:i/>
          <w:sz w:val="28"/>
          <w:szCs w:val="28"/>
        </w:rPr>
        <w:t>p</w:t>
      </w:r>
      <w:r w:rsidRPr="00520861">
        <w:rPr>
          <w:sz w:val="28"/>
          <w:szCs w:val="28"/>
        </w:rPr>
        <w:t xml:space="preserve">=0,006314), рівнів фосфору на 16-24% і кальцію – на 14-24%. В осіб підгруп 3 та 4 у віці 4 – 11 років відбувається зниження </w:t>
      </w:r>
      <w:r w:rsidR="0000090A" w:rsidRPr="00520861">
        <w:rPr>
          <w:sz w:val="28"/>
          <w:szCs w:val="28"/>
        </w:rPr>
        <w:br/>
      </w:r>
      <w:r w:rsidRPr="00520861">
        <w:rPr>
          <w:sz w:val="28"/>
          <w:szCs w:val="28"/>
        </w:rPr>
        <w:t xml:space="preserve">(в 1,15 та 1,10 </w:t>
      </w:r>
      <w:proofErr w:type="spellStart"/>
      <w:r w:rsidRPr="00520861">
        <w:rPr>
          <w:sz w:val="28"/>
          <w:szCs w:val="28"/>
        </w:rPr>
        <w:t>раза</w:t>
      </w:r>
      <w:proofErr w:type="spellEnd"/>
      <w:r w:rsidRPr="00520861">
        <w:rPr>
          <w:sz w:val="28"/>
          <w:szCs w:val="28"/>
        </w:rPr>
        <w:t xml:space="preserve"> відповідно,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активності лужної фосфатази, рівнів фосфору (в 1,12 та 1,15 </w:t>
      </w:r>
      <w:proofErr w:type="spellStart"/>
      <w:r w:rsidRPr="00520861">
        <w:rPr>
          <w:sz w:val="28"/>
          <w:szCs w:val="28"/>
        </w:rPr>
        <w:t>раза</w:t>
      </w:r>
      <w:proofErr w:type="spellEnd"/>
      <w:r w:rsidRPr="00520861">
        <w:rPr>
          <w:sz w:val="28"/>
          <w:szCs w:val="28"/>
        </w:rPr>
        <w:t xml:space="preserve"> відповідно,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та кальцію (в 1,51 та 1,60 </w:t>
      </w:r>
      <w:proofErr w:type="spellStart"/>
      <w:r w:rsidRPr="00520861">
        <w:rPr>
          <w:sz w:val="28"/>
          <w:szCs w:val="28"/>
        </w:rPr>
        <w:t>раза</w:t>
      </w:r>
      <w:proofErr w:type="spellEnd"/>
      <w:r w:rsidRPr="00520861">
        <w:rPr>
          <w:sz w:val="28"/>
          <w:szCs w:val="28"/>
        </w:rPr>
        <w:t xml:space="preserve"> відповідно, </w:t>
      </w:r>
      <w:r w:rsidR="000558C2" w:rsidRPr="00520861">
        <w:rPr>
          <w:i/>
          <w:sz w:val="28"/>
          <w:szCs w:val="28"/>
        </w:rPr>
        <w:t>p</w:t>
      </w:r>
      <w:r w:rsidR="00CD7533" w:rsidRPr="00520861">
        <w:rPr>
          <w:sz w:val="28"/>
          <w:szCs w:val="28"/>
        </w:rPr>
        <w:t>&lt;</w:t>
      </w:r>
      <w:r w:rsidR="000558C2" w:rsidRPr="00520861">
        <w:rPr>
          <w:sz w:val="28"/>
          <w:szCs w:val="28"/>
        </w:rPr>
        <w:t>0,05</w:t>
      </w:r>
      <w:r w:rsidRPr="00520861">
        <w:rPr>
          <w:sz w:val="28"/>
          <w:szCs w:val="28"/>
        </w:rPr>
        <w:t xml:space="preserve">), що пояснює формування </w:t>
      </w:r>
      <w:proofErr w:type="spellStart"/>
      <w:r w:rsidRPr="00520861">
        <w:rPr>
          <w:sz w:val="28"/>
          <w:szCs w:val="28"/>
        </w:rPr>
        <w:t>зубощелепних</w:t>
      </w:r>
      <w:proofErr w:type="spellEnd"/>
      <w:r w:rsidRPr="00520861">
        <w:rPr>
          <w:sz w:val="28"/>
          <w:szCs w:val="28"/>
        </w:rPr>
        <w:t xml:space="preserve"> аномалій. </w:t>
      </w:r>
    </w:p>
    <w:p w14:paraId="1157B737"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11. Прогноз стану твердих тканин зубів щодо каріозного ураження корелює з показниками ожиріння й запального стану: для осіб підгруп 1 і 2 він є більш </w:t>
      </w:r>
      <w:r w:rsidRPr="00520861">
        <w:rPr>
          <w:sz w:val="28"/>
          <w:szCs w:val="28"/>
        </w:rPr>
        <w:br/>
        <w:t xml:space="preserve">сприятливим, ніж для осіб підгруп 3 та 4, у яких у всі вікові періоди в ротовій рідині виявлено підвищення вмісту </w:t>
      </w:r>
      <w:proofErr w:type="spellStart"/>
      <w:r w:rsidRPr="00520861">
        <w:rPr>
          <w:sz w:val="28"/>
          <w:szCs w:val="28"/>
        </w:rPr>
        <w:t>лептину</w:t>
      </w:r>
      <w:proofErr w:type="spellEnd"/>
      <w:r w:rsidRPr="00520861">
        <w:rPr>
          <w:sz w:val="28"/>
          <w:szCs w:val="28"/>
        </w:rPr>
        <w:t xml:space="preserve"> в 6,7 та 7,8 </w:t>
      </w:r>
      <w:proofErr w:type="spellStart"/>
      <w:r w:rsidRPr="00520861">
        <w:rPr>
          <w:sz w:val="28"/>
          <w:szCs w:val="28"/>
        </w:rPr>
        <w:t>раза</w:t>
      </w:r>
      <w:proofErr w:type="spellEnd"/>
      <w:r w:rsidRPr="00520861">
        <w:rPr>
          <w:sz w:val="28"/>
          <w:szCs w:val="28"/>
        </w:rPr>
        <w:t xml:space="preserve"> відповідно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w:t>
      </w:r>
      <w:proofErr w:type="spellStart"/>
      <w:r w:rsidRPr="00520861">
        <w:rPr>
          <w:sz w:val="28"/>
          <w:szCs w:val="28"/>
        </w:rPr>
        <w:t>кортизолу</w:t>
      </w:r>
      <w:proofErr w:type="spellEnd"/>
      <w:r w:rsidRPr="00520861">
        <w:rPr>
          <w:sz w:val="28"/>
          <w:szCs w:val="28"/>
        </w:rPr>
        <w:t xml:space="preserve"> – в 1,34 та 1,55 </w:t>
      </w:r>
      <w:proofErr w:type="spellStart"/>
      <w:r w:rsidRPr="00520861">
        <w:rPr>
          <w:sz w:val="28"/>
          <w:szCs w:val="28"/>
        </w:rPr>
        <w:t>раза</w:t>
      </w:r>
      <w:proofErr w:type="spellEnd"/>
      <w:r w:rsidRPr="00520861">
        <w:rPr>
          <w:sz w:val="28"/>
          <w:szCs w:val="28"/>
        </w:rPr>
        <w:t xml:space="preserve"> відповідно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та ІЛ-</w:t>
      </w:r>
      <w:r w:rsidR="00E567E5" w:rsidRPr="00520861">
        <w:rPr>
          <w:sz w:val="28"/>
          <w:szCs w:val="28"/>
        </w:rPr>
        <w:t>6 – у 18 – 44 роки вірогідно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Активність α-амілази в цих </w:t>
      </w:r>
      <w:r w:rsidR="00126645" w:rsidRPr="00520861">
        <w:rPr>
          <w:sz w:val="28"/>
          <w:szCs w:val="28"/>
        </w:rPr>
        <w:t>під</w:t>
      </w:r>
      <w:r w:rsidRPr="00520861">
        <w:rPr>
          <w:sz w:val="28"/>
          <w:szCs w:val="28"/>
        </w:rPr>
        <w:t xml:space="preserve">групах була зниженою в 1,07 та 1,13 </w:t>
      </w:r>
      <w:proofErr w:type="spellStart"/>
      <w:r w:rsidRPr="00520861">
        <w:rPr>
          <w:sz w:val="28"/>
          <w:szCs w:val="28"/>
        </w:rPr>
        <w:t>раза</w:t>
      </w:r>
      <w:proofErr w:type="spellEnd"/>
      <w:r w:rsidRPr="00520861">
        <w:rPr>
          <w:sz w:val="28"/>
          <w:szCs w:val="28"/>
        </w:rPr>
        <w:t xml:space="preserve"> відповідно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що притаманно карієсу. В осіб з підгруп 1 і 2 рівень </w:t>
      </w:r>
      <w:proofErr w:type="spellStart"/>
      <w:r w:rsidRPr="00520861">
        <w:rPr>
          <w:sz w:val="28"/>
          <w:szCs w:val="28"/>
        </w:rPr>
        <w:t>кортизолу</w:t>
      </w:r>
      <w:proofErr w:type="spellEnd"/>
      <w:r w:rsidRPr="00520861">
        <w:rPr>
          <w:sz w:val="28"/>
          <w:szCs w:val="28"/>
        </w:rPr>
        <w:t xml:space="preserve"> з віком </w:t>
      </w:r>
      <w:r w:rsidR="00B630F3" w:rsidRPr="00520861">
        <w:rPr>
          <w:sz w:val="28"/>
          <w:szCs w:val="28"/>
        </w:rPr>
        <w:br/>
      </w:r>
      <w:r w:rsidRPr="00520861">
        <w:rPr>
          <w:sz w:val="28"/>
          <w:szCs w:val="28"/>
        </w:rPr>
        <w:t xml:space="preserve">збільшувався слабше – в 1,54 </w:t>
      </w:r>
      <w:proofErr w:type="spellStart"/>
      <w:r w:rsidRPr="00520861">
        <w:rPr>
          <w:sz w:val="28"/>
          <w:szCs w:val="28"/>
        </w:rPr>
        <w:t>раза</w:t>
      </w:r>
      <w:proofErr w:type="spellEnd"/>
      <w:r w:rsidRPr="00520861">
        <w:rPr>
          <w:sz w:val="28"/>
          <w:szCs w:val="28"/>
        </w:rPr>
        <w:t xml:space="preserve">, фіксувалося зниження </w:t>
      </w:r>
      <w:proofErr w:type="spellStart"/>
      <w:r w:rsidRPr="00520861">
        <w:rPr>
          <w:sz w:val="28"/>
          <w:szCs w:val="28"/>
        </w:rPr>
        <w:t>адипонектину</w:t>
      </w:r>
      <w:proofErr w:type="spellEnd"/>
      <w:r w:rsidRPr="00520861">
        <w:rPr>
          <w:sz w:val="28"/>
          <w:szCs w:val="28"/>
        </w:rPr>
        <w:t xml:space="preserve"> (</w:t>
      </w:r>
      <w:r w:rsidRPr="00520861">
        <w:rPr>
          <w:i/>
          <w:sz w:val="28"/>
          <w:szCs w:val="28"/>
        </w:rPr>
        <w:t>p</w:t>
      </w:r>
      <w:r w:rsidRPr="00520861">
        <w:rPr>
          <w:sz w:val="28"/>
          <w:szCs w:val="28"/>
        </w:rPr>
        <w:t xml:space="preserve">=0,01070 та </w:t>
      </w:r>
      <w:r w:rsidRPr="00520861">
        <w:rPr>
          <w:i/>
          <w:sz w:val="28"/>
          <w:szCs w:val="28"/>
        </w:rPr>
        <w:t>p</w:t>
      </w:r>
      <w:r w:rsidRPr="00520861">
        <w:rPr>
          <w:sz w:val="28"/>
          <w:szCs w:val="28"/>
        </w:rPr>
        <w:t xml:space="preserve">=0,00316 відповідно). В осіб підгрупи 2 вміст </w:t>
      </w:r>
      <w:proofErr w:type="spellStart"/>
      <w:r w:rsidRPr="00520861">
        <w:rPr>
          <w:sz w:val="28"/>
          <w:szCs w:val="28"/>
        </w:rPr>
        <w:t>лептину</w:t>
      </w:r>
      <w:proofErr w:type="spellEnd"/>
      <w:r w:rsidRPr="00520861">
        <w:rPr>
          <w:sz w:val="28"/>
          <w:szCs w:val="28"/>
        </w:rPr>
        <w:t xml:space="preserve"> був найменшим, а рівень </w:t>
      </w:r>
      <w:proofErr w:type="spellStart"/>
      <w:r w:rsidRPr="00520861">
        <w:rPr>
          <w:sz w:val="28"/>
          <w:szCs w:val="28"/>
        </w:rPr>
        <w:t>адипонектину</w:t>
      </w:r>
      <w:proofErr w:type="spellEnd"/>
      <w:r w:rsidRPr="00520861">
        <w:rPr>
          <w:sz w:val="28"/>
          <w:szCs w:val="28"/>
        </w:rPr>
        <w:t xml:space="preserve"> – вищим, ніж у групі порівняння (</w:t>
      </w:r>
      <w:r w:rsidRPr="00520861">
        <w:rPr>
          <w:i/>
          <w:sz w:val="28"/>
          <w:szCs w:val="28"/>
        </w:rPr>
        <w:t>p</w:t>
      </w:r>
      <w:r w:rsidRPr="00520861">
        <w:rPr>
          <w:sz w:val="28"/>
          <w:szCs w:val="28"/>
        </w:rPr>
        <w:t xml:space="preserve">=0,00426). Високе значення співвідношення </w:t>
      </w:r>
      <w:proofErr w:type="spellStart"/>
      <w:r w:rsidRPr="00520861">
        <w:rPr>
          <w:sz w:val="28"/>
          <w:szCs w:val="28"/>
        </w:rPr>
        <w:t>лептин</w:t>
      </w:r>
      <w:proofErr w:type="spellEnd"/>
      <w:r w:rsidRPr="00520861">
        <w:rPr>
          <w:sz w:val="28"/>
          <w:szCs w:val="28"/>
        </w:rPr>
        <w:t xml:space="preserve"> / </w:t>
      </w:r>
      <w:proofErr w:type="spellStart"/>
      <w:r w:rsidRPr="00520861">
        <w:rPr>
          <w:sz w:val="28"/>
          <w:szCs w:val="28"/>
        </w:rPr>
        <w:t>адипонектин</w:t>
      </w:r>
      <w:proofErr w:type="spellEnd"/>
      <w:r w:rsidRPr="00520861">
        <w:rPr>
          <w:sz w:val="28"/>
          <w:szCs w:val="28"/>
        </w:rPr>
        <w:t xml:space="preserve"> в осіб підгруп 3 й 4 (7,55 та 10,12 відповідно) свідчило про формування метаболічного запалення, що сприяло деструкції кісткової тканини й узгоджувалося з даними щодо їхньої схильності до високої інтенсивності </w:t>
      </w:r>
      <w:r w:rsidR="00B630F3" w:rsidRPr="00520861">
        <w:rPr>
          <w:sz w:val="28"/>
          <w:szCs w:val="28"/>
        </w:rPr>
        <w:br/>
      </w:r>
      <w:r w:rsidRPr="00520861">
        <w:rPr>
          <w:sz w:val="28"/>
          <w:szCs w:val="28"/>
        </w:rPr>
        <w:t xml:space="preserve">карієсу. </w:t>
      </w:r>
    </w:p>
    <w:p w14:paraId="6D1C767F" w14:textId="77777777" w:rsidR="00292D2E" w:rsidRPr="00520861" w:rsidRDefault="00292D2E" w:rsidP="00292D2E">
      <w:pPr>
        <w:widowControl w:val="0"/>
        <w:spacing w:line="360" w:lineRule="auto"/>
        <w:ind w:firstLine="708"/>
        <w:jc w:val="both"/>
        <w:rPr>
          <w:sz w:val="28"/>
          <w:szCs w:val="28"/>
        </w:rPr>
      </w:pPr>
      <w:r w:rsidRPr="00520861">
        <w:rPr>
          <w:sz w:val="28"/>
          <w:szCs w:val="28"/>
        </w:rPr>
        <w:t>В осіб підгруп 2, 3 та 4 виявлено інтенсифікацію процесів ПОЛ, яка проявлялася підвищеним (</w:t>
      </w:r>
      <w:r w:rsidRPr="00520861">
        <w:rPr>
          <w:i/>
          <w:sz w:val="28"/>
          <w:szCs w:val="28"/>
        </w:rPr>
        <w:t>p</w:t>
      </w:r>
      <w:r w:rsidRPr="00520861">
        <w:rPr>
          <w:sz w:val="28"/>
          <w:szCs w:val="28"/>
        </w:rPr>
        <w:t xml:space="preserve">&lt;0,002) порівняно з контролем (в 1,38 – 1,90 </w:t>
      </w:r>
      <w:proofErr w:type="spellStart"/>
      <w:r w:rsidRPr="00520861">
        <w:rPr>
          <w:sz w:val="28"/>
          <w:szCs w:val="28"/>
        </w:rPr>
        <w:t>раза</w:t>
      </w:r>
      <w:proofErr w:type="spellEnd"/>
      <w:r w:rsidRPr="00520861">
        <w:rPr>
          <w:sz w:val="28"/>
          <w:szCs w:val="28"/>
        </w:rPr>
        <w:t xml:space="preserve"> відповідно) </w:t>
      </w:r>
      <w:r w:rsidR="0000090A" w:rsidRPr="00520861">
        <w:rPr>
          <w:sz w:val="28"/>
          <w:szCs w:val="28"/>
        </w:rPr>
        <w:br/>
      </w:r>
      <w:r w:rsidRPr="00520861">
        <w:rPr>
          <w:sz w:val="28"/>
          <w:szCs w:val="28"/>
        </w:rPr>
        <w:t xml:space="preserve">рівнем ТБК-АП та зниженою активністю антиоксидантних ферментів СОД (в 1,39 – 1,86 </w:t>
      </w:r>
      <w:proofErr w:type="spellStart"/>
      <w:r w:rsidRPr="00520861">
        <w:rPr>
          <w:sz w:val="28"/>
          <w:szCs w:val="28"/>
        </w:rPr>
        <w:t>раза</w:t>
      </w:r>
      <w:proofErr w:type="spellEnd"/>
      <w:r w:rsidRPr="00520861">
        <w:rPr>
          <w:sz w:val="28"/>
          <w:szCs w:val="28"/>
        </w:rPr>
        <w:t xml:space="preserve"> відповідно) і каталази (в 1,26 – 1,52 </w:t>
      </w:r>
      <w:proofErr w:type="spellStart"/>
      <w:r w:rsidRPr="00520861">
        <w:rPr>
          <w:sz w:val="28"/>
          <w:szCs w:val="28"/>
        </w:rPr>
        <w:t>раза</w:t>
      </w:r>
      <w:proofErr w:type="spellEnd"/>
      <w:r w:rsidRPr="00520861">
        <w:rPr>
          <w:sz w:val="28"/>
          <w:szCs w:val="28"/>
        </w:rPr>
        <w:t xml:space="preserve"> відповідно). </w:t>
      </w:r>
    </w:p>
    <w:p w14:paraId="77FAC4D8"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12. В осіб підгруп 1 та 2, починаючи з 18 років, спостерігаються зміни, що </w:t>
      </w:r>
      <w:r w:rsidR="0000090A" w:rsidRPr="00520861">
        <w:rPr>
          <w:sz w:val="28"/>
          <w:szCs w:val="28"/>
        </w:rPr>
        <w:br/>
      </w:r>
      <w:r w:rsidRPr="00520861">
        <w:rPr>
          <w:sz w:val="28"/>
          <w:szCs w:val="28"/>
        </w:rPr>
        <w:t xml:space="preserve">свідчать про деструкцію тканин </w:t>
      </w:r>
      <w:proofErr w:type="spellStart"/>
      <w:r w:rsidRPr="00520861">
        <w:rPr>
          <w:sz w:val="28"/>
          <w:szCs w:val="28"/>
        </w:rPr>
        <w:t>пародонта</w:t>
      </w:r>
      <w:proofErr w:type="spellEnd"/>
      <w:r w:rsidRPr="00520861">
        <w:rPr>
          <w:sz w:val="28"/>
          <w:szCs w:val="28"/>
        </w:rPr>
        <w:t>: зростання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активності </w:t>
      </w:r>
      <w:proofErr w:type="spellStart"/>
      <w:r w:rsidRPr="00520861">
        <w:rPr>
          <w:sz w:val="28"/>
          <w:szCs w:val="28"/>
        </w:rPr>
        <w:t>АлАт</w:t>
      </w:r>
      <w:proofErr w:type="spellEnd"/>
      <w:r w:rsidRPr="00520861">
        <w:rPr>
          <w:sz w:val="28"/>
          <w:szCs w:val="28"/>
        </w:rPr>
        <w:t xml:space="preserve"> та </w:t>
      </w:r>
      <w:proofErr w:type="spellStart"/>
      <w:r w:rsidRPr="00520861">
        <w:rPr>
          <w:sz w:val="28"/>
          <w:szCs w:val="28"/>
        </w:rPr>
        <w:t>АсАт</w:t>
      </w:r>
      <w:proofErr w:type="spellEnd"/>
      <w:r w:rsidRPr="00520861">
        <w:rPr>
          <w:sz w:val="28"/>
          <w:szCs w:val="28"/>
        </w:rPr>
        <w:t xml:space="preserve">, порушення </w:t>
      </w:r>
      <w:proofErr w:type="spellStart"/>
      <w:r w:rsidRPr="00520861">
        <w:rPr>
          <w:sz w:val="28"/>
          <w:szCs w:val="28"/>
        </w:rPr>
        <w:t>цитокінового</w:t>
      </w:r>
      <w:proofErr w:type="spellEnd"/>
      <w:r w:rsidRPr="00520861">
        <w:rPr>
          <w:sz w:val="28"/>
          <w:szCs w:val="28"/>
        </w:rPr>
        <w:t xml:space="preserve"> профілю ротової порожнини (рівень ІЛ-1β зростає вдвічі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Розвиток імунологічних порушень підтверджується підвищенням рівнів </w:t>
      </w:r>
      <w:proofErr w:type="spellStart"/>
      <w:r w:rsidRPr="00520861">
        <w:rPr>
          <w:sz w:val="28"/>
          <w:szCs w:val="28"/>
        </w:rPr>
        <w:t>sIgA</w:t>
      </w:r>
      <w:proofErr w:type="spellEnd"/>
      <w:r w:rsidRPr="00520861">
        <w:rPr>
          <w:sz w:val="28"/>
          <w:szCs w:val="28"/>
        </w:rPr>
        <w:t xml:space="preserve"> та </w:t>
      </w:r>
      <w:proofErr w:type="spellStart"/>
      <w:r w:rsidRPr="00520861">
        <w:rPr>
          <w:sz w:val="28"/>
          <w:szCs w:val="28"/>
        </w:rPr>
        <w:t>IgG</w:t>
      </w:r>
      <w:proofErr w:type="spellEnd"/>
      <w:r w:rsidRPr="00520861">
        <w:rPr>
          <w:sz w:val="28"/>
          <w:szCs w:val="28"/>
        </w:rPr>
        <w:t xml:space="preserve">: (в 1,47 та 1,36 </w:t>
      </w:r>
      <w:proofErr w:type="spellStart"/>
      <w:r w:rsidRPr="00520861">
        <w:rPr>
          <w:sz w:val="28"/>
          <w:szCs w:val="28"/>
        </w:rPr>
        <w:t>раза</w:t>
      </w:r>
      <w:proofErr w:type="spellEnd"/>
      <w:r w:rsidRPr="00520861">
        <w:rPr>
          <w:sz w:val="28"/>
          <w:szCs w:val="28"/>
        </w:rPr>
        <w:t xml:space="preserve">,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для підгрупи 1 і в 1,36 та 1,76 </w:t>
      </w:r>
      <w:proofErr w:type="spellStart"/>
      <w:r w:rsidRPr="00520861">
        <w:rPr>
          <w:sz w:val="28"/>
          <w:szCs w:val="28"/>
        </w:rPr>
        <w:t>раза</w:t>
      </w:r>
      <w:proofErr w:type="spellEnd"/>
      <w:r w:rsidRPr="00520861">
        <w:rPr>
          <w:sz w:val="28"/>
          <w:szCs w:val="28"/>
        </w:rPr>
        <w:t>, (</w:t>
      </w:r>
      <w:r w:rsidR="006B5154" w:rsidRPr="00520861">
        <w:rPr>
          <w:rFonts w:eastAsia="Calibri"/>
          <w:i/>
          <w:sz w:val="28"/>
          <w:szCs w:val="28"/>
          <w:lang w:eastAsia="en-US"/>
        </w:rPr>
        <w:t>p</w:t>
      </w:r>
      <w:r w:rsidR="00CD7533" w:rsidRPr="00520861">
        <w:rPr>
          <w:rFonts w:eastAsia="Calibri"/>
          <w:sz w:val="28"/>
          <w:szCs w:val="28"/>
          <w:lang w:eastAsia="en-US"/>
        </w:rPr>
        <w:t>&lt;</w:t>
      </w:r>
      <w:r w:rsidR="006B5154" w:rsidRPr="00520861">
        <w:rPr>
          <w:rFonts w:eastAsia="Calibri"/>
          <w:sz w:val="28"/>
          <w:szCs w:val="28"/>
          <w:lang w:eastAsia="en-US"/>
        </w:rPr>
        <w:t>0,05</w:t>
      </w:r>
      <w:r w:rsidRPr="00520861">
        <w:rPr>
          <w:sz w:val="28"/>
          <w:szCs w:val="28"/>
        </w:rPr>
        <w:t xml:space="preserve">) відповідно для підгрупи 2. У таких осіб у молодших вікових періодах </w:t>
      </w:r>
      <w:r w:rsidR="00C078B3" w:rsidRPr="00520861">
        <w:rPr>
          <w:sz w:val="28"/>
          <w:szCs w:val="28"/>
        </w:rPr>
        <w:br/>
      </w:r>
      <w:r w:rsidRPr="00520861">
        <w:rPr>
          <w:sz w:val="28"/>
          <w:szCs w:val="28"/>
        </w:rPr>
        <w:lastRenderedPageBreak/>
        <w:t xml:space="preserve">знижений рівень </w:t>
      </w:r>
      <w:proofErr w:type="spellStart"/>
      <w:r w:rsidRPr="00520861">
        <w:rPr>
          <w:sz w:val="28"/>
          <w:szCs w:val="28"/>
        </w:rPr>
        <w:t>оксипроліну</w:t>
      </w:r>
      <w:proofErr w:type="spellEnd"/>
      <w:r w:rsidRPr="00520861">
        <w:rPr>
          <w:sz w:val="28"/>
          <w:szCs w:val="28"/>
        </w:rPr>
        <w:t xml:space="preserve"> свідчив про пригнічене формування сполучнотканинних структур. Після 18 років виявлено активацію синтезу колагену як адаптацію до запалення, а після 25 років – інтенсифікацію деградації колагену. В осіб підгруп 3 й 4 з віком концентрація </w:t>
      </w:r>
      <w:proofErr w:type="spellStart"/>
      <w:r w:rsidRPr="00520861">
        <w:rPr>
          <w:sz w:val="28"/>
          <w:szCs w:val="28"/>
        </w:rPr>
        <w:t>оксипроліну</w:t>
      </w:r>
      <w:proofErr w:type="spellEnd"/>
      <w:r w:rsidRPr="00520861">
        <w:rPr>
          <w:sz w:val="28"/>
          <w:szCs w:val="28"/>
        </w:rPr>
        <w:t xml:space="preserve"> збільшувалася (</w:t>
      </w:r>
      <w:r w:rsidRPr="00520861">
        <w:rPr>
          <w:i/>
          <w:sz w:val="28"/>
          <w:szCs w:val="28"/>
        </w:rPr>
        <w:t>p</w:t>
      </w:r>
      <w:r w:rsidRPr="00520861">
        <w:rPr>
          <w:sz w:val="28"/>
          <w:szCs w:val="28"/>
        </w:rPr>
        <w:t xml:space="preserve">=0,0021), особливо в підгрупі 4 (на 47%). У старших вікових періодах підвищувався рівень кальцію (в 1,5 та 1,8 </w:t>
      </w:r>
      <w:proofErr w:type="spellStart"/>
      <w:r w:rsidRPr="00520861">
        <w:rPr>
          <w:sz w:val="28"/>
          <w:szCs w:val="28"/>
        </w:rPr>
        <w:t>раза</w:t>
      </w:r>
      <w:proofErr w:type="spellEnd"/>
      <w:r w:rsidRPr="00520861">
        <w:rPr>
          <w:sz w:val="28"/>
          <w:szCs w:val="28"/>
        </w:rPr>
        <w:t xml:space="preserve"> для підгруп 3 й 4 відповідно, </w:t>
      </w:r>
      <w:r w:rsidR="000558C2" w:rsidRPr="00520861">
        <w:rPr>
          <w:i/>
          <w:sz w:val="28"/>
          <w:szCs w:val="28"/>
        </w:rPr>
        <w:t>p</w:t>
      </w:r>
      <w:r w:rsidR="00CD7533" w:rsidRPr="00520861">
        <w:rPr>
          <w:sz w:val="28"/>
          <w:szCs w:val="28"/>
        </w:rPr>
        <w:t>&lt;</w:t>
      </w:r>
      <w:r w:rsidR="000558C2" w:rsidRPr="00520861">
        <w:rPr>
          <w:sz w:val="28"/>
          <w:szCs w:val="28"/>
        </w:rPr>
        <w:t>0,05</w:t>
      </w:r>
      <w:r w:rsidRPr="00520861">
        <w:rPr>
          <w:sz w:val="28"/>
          <w:szCs w:val="28"/>
        </w:rPr>
        <w:t xml:space="preserve">), що узгоджувалося з формуванням у більшості таких осіб </w:t>
      </w:r>
      <w:proofErr w:type="spellStart"/>
      <w:r w:rsidRPr="00520861">
        <w:rPr>
          <w:sz w:val="28"/>
          <w:szCs w:val="28"/>
        </w:rPr>
        <w:t>дистрофічно</w:t>
      </w:r>
      <w:proofErr w:type="spellEnd"/>
      <w:r w:rsidRPr="00520861">
        <w:rPr>
          <w:sz w:val="28"/>
          <w:szCs w:val="28"/>
        </w:rPr>
        <w:t xml:space="preserve">-запальних порушень тканин </w:t>
      </w:r>
      <w:proofErr w:type="spellStart"/>
      <w:r w:rsidRPr="00520861">
        <w:rPr>
          <w:sz w:val="28"/>
          <w:szCs w:val="28"/>
        </w:rPr>
        <w:t>пародонта</w:t>
      </w:r>
      <w:proofErr w:type="spellEnd"/>
      <w:r w:rsidRPr="00520861">
        <w:rPr>
          <w:sz w:val="28"/>
          <w:szCs w:val="28"/>
        </w:rPr>
        <w:t xml:space="preserve"> з превалюванням дистрофічного компонента (пародонтоз).</w:t>
      </w:r>
    </w:p>
    <w:p w14:paraId="6A5E8315" w14:textId="77777777" w:rsidR="00292D2E" w:rsidRPr="00520861" w:rsidRDefault="00C641A2" w:rsidP="00292D2E">
      <w:pPr>
        <w:widowControl w:val="0"/>
        <w:spacing w:line="360" w:lineRule="auto"/>
        <w:ind w:firstLine="708"/>
        <w:jc w:val="both"/>
        <w:rPr>
          <w:sz w:val="28"/>
          <w:szCs w:val="28"/>
        </w:rPr>
      </w:pPr>
      <w:r w:rsidRPr="00520861">
        <w:rPr>
          <w:sz w:val="28"/>
          <w:szCs w:val="28"/>
        </w:rPr>
        <w:t>13. Наявність алеля</w:t>
      </w:r>
      <w:r w:rsidR="00292D2E" w:rsidRPr="00520861">
        <w:rPr>
          <w:sz w:val="28"/>
          <w:szCs w:val="28"/>
        </w:rPr>
        <w:t xml:space="preserve"> G за геном </w:t>
      </w:r>
      <w:r w:rsidR="00292D2E" w:rsidRPr="00520861">
        <w:rPr>
          <w:i/>
          <w:sz w:val="28"/>
          <w:szCs w:val="28"/>
        </w:rPr>
        <w:t>CYP19A1: A&gt;G</w:t>
      </w:r>
      <w:r w:rsidR="00292D2E" w:rsidRPr="00520861">
        <w:rPr>
          <w:sz w:val="28"/>
          <w:szCs w:val="28"/>
        </w:rPr>
        <w:t xml:space="preserve"> [rs2414096] </w:t>
      </w:r>
      <w:r w:rsidR="00292D2E" w:rsidRPr="00520861">
        <w:rPr>
          <w:sz w:val="28"/>
          <w:szCs w:val="28"/>
        </w:rPr>
        <w:br/>
        <w:t>(</w:t>
      </w:r>
      <w:r w:rsidR="00292D2E" w:rsidRPr="00520861">
        <w:rPr>
          <w:sz w:val="28"/>
          <w:szCs w:val="28"/>
        </w:rPr>
        <w:sym w:font="Symbol" w:char="F063"/>
      </w:r>
      <w:r w:rsidR="00292D2E" w:rsidRPr="00520861">
        <w:rPr>
          <w:sz w:val="28"/>
          <w:szCs w:val="28"/>
          <w:vertAlign w:val="superscript"/>
        </w:rPr>
        <w:t>2</w:t>
      </w:r>
      <w:r w:rsidR="00292D2E" w:rsidRPr="00520861">
        <w:rPr>
          <w:sz w:val="28"/>
          <w:szCs w:val="28"/>
        </w:rPr>
        <w:t xml:space="preserve">=8,303, </w:t>
      </w:r>
      <w:r w:rsidR="00292D2E" w:rsidRPr="00520861">
        <w:rPr>
          <w:i/>
          <w:sz w:val="28"/>
          <w:szCs w:val="28"/>
        </w:rPr>
        <w:t>p</w:t>
      </w:r>
      <w:r w:rsidR="00292D2E" w:rsidRPr="00520861">
        <w:rPr>
          <w:sz w:val="28"/>
          <w:szCs w:val="28"/>
        </w:rPr>
        <w:t>=0,004, ВШ=2,826, ДІ: 1,</w:t>
      </w:r>
      <w:r w:rsidRPr="00520861">
        <w:rPr>
          <w:sz w:val="28"/>
          <w:szCs w:val="28"/>
        </w:rPr>
        <w:t>368–5,840) і наявність алеля</w:t>
      </w:r>
      <w:r w:rsidR="00292D2E" w:rsidRPr="00520861">
        <w:rPr>
          <w:sz w:val="28"/>
          <w:szCs w:val="28"/>
        </w:rPr>
        <w:t xml:space="preserve"> А за геном </w:t>
      </w:r>
      <w:r w:rsidR="00C078B3" w:rsidRPr="00520861">
        <w:rPr>
          <w:sz w:val="28"/>
          <w:szCs w:val="28"/>
        </w:rPr>
        <w:br/>
      </w:r>
      <w:r w:rsidR="00292D2E" w:rsidRPr="00520861">
        <w:rPr>
          <w:i/>
          <w:sz w:val="28"/>
          <w:szCs w:val="28"/>
        </w:rPr>
        <w:t>ESR1: -351 G&gt;A (</w:t>
      </w:r>
      <w:proofErr w:type="spellStart"/>
      <w:r w:rsidR="00292D2E" w:rsidRPr="00520861">
        <w:rPr>
          <w:i/>
          <w:sz w:val="28"/>
          <w:szCs w:val="28"/>
        </w:rPr>
        <w:t>XbaI</w:t>
      </w:r>
      <w:proofErr w:type="spellEnd"/>
      <w:r w:rsidR="00292D2E" w:rsidRPr="00520861">
        <w:rPr>
          <w:i/>
          <w:sz w:val="28"/>
          <w:szCs w:val="28"/>
        </w:rPr>
        <w:t>)</w:t>
      </w:r>
      <w:r w:rsidR="00292D2E" w:rsidRPr="00520861">
        <w:rPr>
          <w:sz w:val="28"/>
          <w:szCs w:val="28"/>
        </w:rPr>
        <w:t xml:space="preserve"> [rs9340799] (</w:t>
      </w:r>
      <w:r w:rsidR="00292D2E" w:rsidRPr="00520861">
        <w:rPr>
          <w:sz w:val="28"/>
          <w:szCs w:val="28"/>
        </w:rPr>
        <w:sym w:font="Symbol" w:char="F063"/>
      </w:r>
      <w:r w:rsidR="00292D2E" w:rsidRPr="00520861">
        <w:rPr>
          <w:sz w:val="28"/>
          <w:szCs w:val="28"/>
          <w:vertAlign w:val="superscript"/>
        </w:rPr>
        <w:t>2</w:t>
      </w:r>
      <w:r w:rsidR="00292D2E" w:rsidRPr="00520861">
        <w:rPr>
          <w:sz w:val="28"/>
          <w:szCs w:val="28"/>
        </w:rPr>
        <w:t xml:space="preserve">=4,592, </w:t>
      </w:r>
      <w:r w:rsidR="00292D2E" w:rsidRPr="00520861">
        <w:rPr>
          <w:i/>
          <w:sz w:val="28"/>
          <w:szCs w:val="28"/>
        </w:rPr>
        <w:t>p</w:t>
      </w:r>
      <w:r w:rsidR="00292D2E" w:rsidRPr="00520861">
        <w:rPr>
          <w:sz w:val="28"/>
          <w:szCs w:val="28"/>
        </w:rPr>
        <w:t xml:space="preserve">=0,032, ВШ=2,107, ДІ: 1,056–4,202) є факторами ризику розвитку </w:t>
      </w:r>
      <w:proofErr w:type="spellStart"/>
      <w:r w:rsidR="00292D2E" w:rsidRPr="00520861">
        <w:rPr>
          <w:sz w:val="28"/>
          <w:szCs w:val="28"/>
        </w:rPr>
        <w:t>макросомії</w:t>
      </w:r>
      <w:proofErr w:type="spellEnd"/>
      <w:r w:rsidR="00292D2E" w:rsidRPr="00520861">
        <w:rPr>
          <w:sz w:val="28"/>
          <w:szCs w:val="28"/>
        </w:rPr>
        <w:t xml:space="preserve"> плода. </w:t>
      </w:r>
    </w:p>
    <w:p w14:paraId="46D7BD21"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14. Підвищений ризик затримки прорізування тимчасових зубів в осіб, які народилися </w:t>
      </w:r>
      <w:proofErr w:type="spellStart"/>
      <w:r w:rsidRPr="00520861">
        <w:rPr>
          <w:sz w:val="28"/>
          <w:szCs w:val="28"/>
        </w:rPr>
        <w:t>макросомами</w:t>
      </w:r>
      <w:proofErr w:type="spellEnd"/>
      <w:r w:rsidRPr="00520861">
        <w:rPr>
          <w:sz w:val="28"/>
          <w:szCs w:val="28"/>
        </w:rPr>
        <w:t xml:space="preserve">, асоційований з алелем Т гена </w:t>
      </w:r>
      <w:r w:rsidRPr="00520861">
        <w:rPr>
          <w:i/>
          <w:sz w:val="28"/>
          <w:szCs w:val="28"/>
        </w:rPr>
        <w:t>RANKL: C&gt;T</w:t>
      </w:r>
      <w:r w:rsidRPr="00520861">
        <w:rPr>
          <w:sz w:val="28"/>
          <w:szCs w:val="28"/>
        </w:rPr>
        <w:t xml:space="preserve"> [rs9594759] (</w:t>
      </w:r>
      <w:r w:rsidRPr="00520861">
        <w:rPr>
          <w:sz w:val="28"/>
          <w:szCs w:val="28"/>
        </w:rPr>
        <w:sym w:font="Symbol" w:char="F063"/>
      </w:r>
      <w:r w:rsidRPr="00520861">
        <w:rPr>
          <w:sz w:val="28"/>
          <w:szCs w:val="28"/>
          <w:vertAlign w:val="superscript"/>
        </w:rPr>
        <w:t>2</w:t>
      </w:r>
      <w:r w:rsidRPr="00520861">
        <w:rPr>
          <w:sz w:val="28"/>
          <w:szCs w:val="28"/>
        </w:rPr>
        <w:t xml:space="preserve">=6,440, </w:t>
      </w:r>
      <w:r w:rsidRPr="00520861">
        <w:rPr>
          <w:i/>
          <w:sz w:val="28"/>
          <w:szCs w:val="28"/>
        </w:rPr>
        <w:t>p</w:t>
      </w:r>
      <w:r w:rsidRPr="00520861">
        <w:rPr>
          <w:sz w:val="28"/>
          <w:szCs w:val="28"/>
        </w:rPr>
        <w:t xml:space="preserve">=0,011, ВШ=2,290, ДІ: 1,196–4,386) і з варіантами GG+AA гена </w:t>
      </w:r>
      <w:r w:rsidR="00340FC5" w:rsidRPr="00520861">
        <w:rPr>
          <w:sz w:val="28"/>
          <w:szCs w:val="28"/>
        </w:rPr>
        <w:br/>
      </w:r>
      <w:r w:rsidRPr="00520861">
        <w:rPr>
          <w:i/>
          <w:sz w:val="28"/>
          <w:szCs w:val="28"/>
        </w:rPr>
        <w:t>IL10: -1082 G&gt;A</w:t>
      </w:r>
      <w:r w:rsidRPr="00520861">
        <w:rPr>
          <w:sz w:val="28"/>
          <w:szCs w:val="28"/>
        </w:rPr>
        <w:t xml:space="preserve"> [rs1800896] (</w:t>
      </w:r>
      <w:r w:rsidRPr="00520861">
        <w:rPr>
          <w:sz w:val="28"/>
          <w:szCs w:val="28"/>
        </w:rPr>
        <w:sym w:font="Symbol" w:char="F063"/>
      </w:r>
      <w:r w:rsidRPr="00520861">
        <w:rPr>
          <w:sz w:val="28"/>
          <w:szCs w:val="28"/>
          <w:vertAlign w:val="superscript"/>
        </w:rPr>
        <w:t>2</w:t>
      </w:r>
      <w:r w:rsidRPr="00520861">
        <w:rPr>
          <w:sz w:val="28"/>
          <w:szCs w:val="28"/>
        </w:rPr>
        <w:t xml:space="preserve">=5,476, </w:t>
      </w:r>
      <w:r w:rsidRPr="00520861">
        <w:rPr>
          <w:i/>
          <w:sz w:val="28"/>
          <w:szCs w:val="28"/>
        </w:rPr>
        <w:t>p</w:t>
      </w:r>
      <w:r w:rsidRPr="00520861">
        <w:rPr>
          <w:sz w:val="28"/>
          <w:szCs w:val="28"/>
        </w:rPr>
        <w:t>=0,019, ВШ=5,833, ДІ: 1,519–22,406).</w:t>
      </w:r>
    </w:p>
    <w:p w14:paraId="5D7F8888" w14:textId="77777777" w:rsidR="00292D2E" w:rsidRPr="00520861" w:rsidRDefault="00292D2E" w:rsidP="00292D2E">
      <w:pPr>
        <w:widowControl w:val="0"/>
        <w:spacing w:line="360" w:lineRule="auto"/>
        <w:ind w:firstLine="709"/>
        <w:jc w:val="both"/>
        <w:rPr>
          <w:sz w:val="28"/>
          <w:szCs w:val="28"/>
        </w:rPr>
      </w:pPr>
      <w:r w:rsidRPr="00520861">
        <w:rPr>
          <w:sz w:val="28"/>
          <w:szCs w:val="28"/>
        </w:rPr>
        <w:t xml:space="preserve">15. Помірні порушення прикусу (DAI=26 – 30 балів) в осіб, які народилися </w:t>
      </w:r>
      <w:proofErr w:type="spellStart"/>
      <w:r w:rsidRPr="00520861">
        <w:rPr>
          <w:sz w:val="28"/>
          <w:szCs w:val="28"/>
        </w:rPr>
        <w:t>макросомами</w:t>
      </w:r>
      <w:proofErr w:type="spellEnd"/>
      <w:r w:rsidRPr="00520861">
        <w:rPr>
          <w:sz w:val="28"/>
          <w:szCs w:val="28"/>
        </w:rPr>
        <w:t xml:space="preserve">, асоційовані з поліморфізмом генів </w:t>
      </w:r>
      <w:r w:rsidRPr="00520861">
        <w:rPr>
          <w:i/>
          <w:sz w:val="28"/>
          <w:szCs w:val="28"/>
        </w:rPr>
        <w:t>ESR1: -397 T&gt;C (</w:t>
      </w:r>
      <w:proofErr w:type="spellStart"/>
      <w:r w:rsidRPr="00520861">
        <w:rPr>
          <w:i/>
          <w:sz w:val="28"/>
          <w:szCs w:val="28"/>
        </w:rPr>
        <w:t>PvuII</w:t>
      </w:r>
      <w:proofErr w:type="spellEnd"/>
      <w:r w:rsidRPr="00520861">
        <w:rPr>
          <w:i/>
          <w:sz w:val="28"/>
          <w:szCs w:val="28"/>
        </w:rPr>
        <w:t>)</w:t>
      </w:r>
      <w:r w:rsidRPr="00520861">
        <w:rPr>
          <w:sz w:val="28"/>
          <w:szCs w:val="28"/>
        </w:rPr>
        <w:t xml:space="preserve"> [rs2234693], </w:t>
      </w:r>
      <w:r w:rsidRPr="00520861">
        <w:rPr>
          <w:i/>
          <w:sz w:val="28"/>
          <w:szCs w:val="28"/>
        </w:rPr>
        <w:t>CYP19A1: A&gt;G</w:t>
      </w:r>
      <w:r w:rsidRPr="00520861">
        <w:rPr>
          <w:sz w:val="28"/>
          <w:szCs w:val="28"/>
        </w:rPr>
        <w:t xml:space="preserve"> [rs2414096] та </w:t>
      </w:r>
      <w:r w:rsidRPr="00520861">
        <w:rPr>
          <w:i/>
          <w:sz w:val="28"/>
          <w:szCs w:val="28"/>
        </w:rPr>
        <w:t>IL 10: -1082 G&gt;A</w:t>
      </w:r>
      <w:r w:rsidRPr="00520861">
        <w:rPr>
          <w:sz w:val="28"/>
          <w:szCs w:val="28"/>
        </w:rPr>
        <w:t xml:space="preserve"> [rs1800896]. Протекторний ефект мали гетерозиготні варіанти генотипів за генами </w:t>
      </w:r>
      <w:r w:rsidRPr="00520861">
        <w:rPr>
          <w:i/>
          <w:sz w:val="28"/>
          <w:szCs w:val="28"/>
        </w:rPr>
        <w:t>ESR1</w:t>
      </w:r>
      <w:r w:rsidRPr="00520861">
        <w:rPr>
          <w:sz w:val="28"/>
          <w:szCs w:val="28"/>
        </w:rPr>
        <w:t xml:space="preserve"> [rs2234693] (</w:t>
      </w:r>
      <w:r w:rsidRPr="00520861">
        <w:rPr>
          <w:sz w:val="28"/>
          <w:szCs w:val="28"/>
        </w:rPr>
        <w:sym w:font="Symbol" w:char="F063"/>
      </w:r>
      <w:r w:rsidRPr="00520861">
        <w:rPr>
          <w:sz w:val="28"/>
          <w:szCs w:val="28"/>
          <w:vertAlign w:val="superscript"/>
        </w:rPr>
        <w:t>2</w:t>
      </w:r>
      <w:r w:rsidRPr="00520861">
        <w:rPr>
          <w:sz w:val="28"/>
          <w:szCs w:val="28"/>
        </w:rPr>
        <w:t xml:space="preserve">=6,895, </w:t>
      </w:r>
      <w:r w:rsidRPr="00520861">
        <w:rPr>
          <w:i/>
          <w:sz w:val="28"/>
          <w:szCs w:val="28"/>
        </w:rPr>
        <w:t>p</w:t>
      </w:r>
      <w:r w:rsidRPr="00520861">
        <w:rPr>
          <w:sz w:val="28"/>
          <w:szCs w:val="28"/>
        </w:rPr>
        <w:t xml:space="preserve">=0,009, ВШ=0,375, ДІ: 0,178–0,786) та </w:t>
      </w:r>
      <w:r w:rsidRPr="00520861">
        <w:rPr>
          <w:i/>
          <w:sz w:val="28"/>
          <w:szCs w:val="28"/>
        </w:rPr>
        <w:t>IL10</w:t>
      </w:r>
      <w:r w:rsidRPr="00520861">
        <w:rPr>
          <w:sz w:val="28"/>
          <w:szCs w:val="28"/>
        </w:rPr>
        <w:t xml:space="preserve"> [rs1800896] (</w:t>
      </w:r>
      <w:r w:rsidRPr="00520861">
        <w:rPr>
          <w:sz w:val="28"/>
          <w:szCs w:val="28"/>
        </w:rPr>
        <w:sym w:font="Symbol" w:char="F063"/>
      </w:r>
      <w:r w:rsidRPr="00520861">
        <w:rPr>
          <w:sz w:val="28"/>
          <w:szCs w:val="28"/>
          <w:vertAlign w:val="superscript"/>
        </w:rPr>
        <w:t>2</w:t>
      </w:r>
      <w:r w:rsidRPr="00520861">
        <w:rPr>
          <w:sz w:val="28"/>
          <w:szCs w:val="28"/>
        </w:rPr>
        <w:t xml:space="preserve">=4,846, </w:t>
      </w:r>
      <w:r w:rsidRPr="00520861">
        <w:rPr>
          <w:i/>
          <w:sz w:val="28"/>
          <w:szCs w:val="28"/>
        </w:rPr>
        <w:t>p</w:t>
      </w:r>
      <w:r w:rsidRPr="00520861">
        <w:rPr>
          <w:sz w:val="28"/>
          <w:szCs w:val="28"/>
        </w:rPr>
        <w:t xml:space="preserve">=0,028, ВШ=0,218, ДІ: 0,061–0,781), а також генотип AA й алель A гена </w:t>
      </w:r>
      <w:r w:rsidRPr="00520861">
        <w:rPr>
          <w:i/>
          <w:sz w:val="28"/>
          <w:szCs w:val="28"/>
        </w:rPr>
        <w:t>CYP19A1</w:t>
      </w:r>
      <w:r w:rsidRPr="00520861">
        <w:rPr>
          <w:sz w:val="28"/>
          <w:szCs w:val="28"/>
        </w:rPr>
        <w:t xml:space="preserve"> [rs2414096] (</w:t>
      </w:r>
      <w:r w:rsidRPr="00520861">
        <w:rPr>
          <w:sz w:val="28"/>
          <w:szCs w:val="28"/>
        </w:rPr>
        <w:sym w:font="Symbol" w:char="F063"/>
      </w:r>
      <w:r w:rsidRPr="00520861">
        <w:rPr>
          <w:sz w:val="28"/>
          <w:szCs w:val="28"/>
          <w:vertAlign w:val="superscript"/>
        </w:rPr>
        <w:t>2</w:t>
      </w:r>
      <w:r w:rsidRPr="00520861">
        <w:rPr>
          <w:sz w:val="28"/>
          <w:szCs w:val="28"/>
        </w:rPr>
        <w:t xml:space="preserve">=12,933, </w:t>
      </w:r>
      <w:r w:rsidRPr="00520861">
        <w:rPr>
          <w:i/>
          <w:sz w:val="28"/>
          <w:szCs w:val="28"/>
        </w:rPr>
        <w:t>p</w:t>
      </w:r>
      <w:r w:rsidRPr="00520861">
        <w:rPr>
          <w:sz w:val="28"/>
          <w:szCs w:val="28"/>
        </w:rPr>
        <w:t xml:space="preserve">&lt;0,0005, ВШ=0,126, ДІ: 0,040–0,394 і </w:t>
      </w:r>
      <w:r w:rsidRPr="00520861">
        <w:rPr>
          <w:sz w:val="28"/>
          <w:szCs w:val="28"/>
        </w:rPr>
        <w:sym w:font="Symbol" w:char="F063"/>
      </w:r>
      <w:r w:rsidRPr="00520861">
        <w:rPr>
          <w:sz w:val="28"/>
          <w:szCs w:val="28"/>
          <w:vertAlign w:val="superscript"/>
        </w:rPr>
        <w:t>2</w:t>
      </w:r>
      <w:r w:rsidRPr="00520861">
        <w:rPr>
          <w:sz w:val="28"/>
          <w:szCs w:val="28"/>
        </w:rPr>
        <w:t xml:space="preserve">=13,953, </w:t>
      </w:r>
      <w:r w:rsidRPr="00520861">
        <w:rPr>
          <w:i/>
          <w:sz w:val="28"/>
          <w:szCs w:val="28"/>
        </w:rPr>
        <w:t>p</w:t>
      </w:r>
      <w:r w:rsidRPr="00520861">
        <w:rPr>
          <w:sz w:val="28"/>
          <w:szCs w:val="28"/>
        </w:rPr>
        <w:t xml:space="preserve">&lt;0,0005, ВШ=0,192, ДІ: 0,075–0,487 відповідно). Поліморфізм за геном </w:t>
      </w:r>
      <w:r w:rsidRPr="00520861">
        <w:rPr>
          <w:i/>
          <w:sz w:val="28"/>
          <w:szCs w:val="28"/>
        </w:rPr>
        <w:t>IL10</w:t>
      </w:r>
      <w:r w:rsidRPr="00520861">
        <w:rPr>
          <w:sz w:val="28"/>
          <w:szCs w:val="28"/>
        </w:rPr>
        <w:t xml:space="preserve"> [rs1800896] пов'язаний з </w:t>
      </w:r>
      <w:r w:rsidR="0000090A" w:rsidRPr="00520861">
        <w:rPr>
          <w:sz w:val="28"/>
          <w:szCs w:val="28"/>
        </w:rPr>
        <w:br/>
      </w:r>
      <w:r w:rsidRPr="00520861">
        <w:rPr>
          <w:sz w:val="28"/>
          <w:szCs w:val="28"/>
        </w:rPr>
        <w:t xml:space="preserve">розвитком як помірних, так і значних порушень прикусу (DAI=31 – 35 балів). </w:t>
      </w:r>
      <w:r w:rsidR="00B35F9B" w:rsidRPr="00520861">
        <w:rPr>
          <w:sz w:val="28"/>
          <w:szCs w:val="28"/>
        </w:rPr>
        <w:br/>
      </w:r>
      <w:r w:rsidRPr="00520861">
        <w:rPr>
          <w:sz w:val="28"/>
          <w:szCs w:val="28"/>
        </w:rPr>
        <w:t xml:space="preserve">Протекція від значних порушень прикусу асоційована з GA генотипом гена </w:t>
      </w:r>
      <w:r w:rsidRPr="00520861">
        <w:rPr>
          <w:i/>
          <w:sz w:val="28"/>
          <w:szCs w:val="28"/>
        </w:rPr>
        <w:t xml:space="preserve">IL10 </w:t>
      </w:r>
      <w:r w:rsidRPr="00520861">
        <w:rPr>
          <w:sz w:val="28"/>
          <w:szCs w:val="28"/>
        </w:rPr>
        <w:t>[rs1800896] (</w:t>
      </w:r>
      <w:r w:rsidRPr="00520861">
        <w:rPr>
          <w:sz w:val="28"/>
          <w:szCs w:val="28"/>
        </w:rPr>
        <w:sym w:font="Symbol" w:char="F063"/>
      </w:r>
      <w:r w:rsidRPr="00520861">
        <w:rPr>
          <w:sz w:val="28"/>
          <w:szCs w:val="28"/>
          <w:vertAlign w:val="superscript"/>
        </w:rPr>
        <w:t>2</w:t>
      </w:r>
      <w:r w:rsidRPr="00520861">
        <w:rPr>
          <w:sz w:val="28"/>
          <w:szCs w:val="28"/>
        </w:rPr>
        <w:t xml:space="preserve">=4,165, </w:t>
      </w:r>
      <w:r w:rsidRPr="00520861">
        <w:rPr>
          <w:i/>
          <w:sz w:val="28"/>
          <w:szCs w:val="28"/>
        </w:rPr>
        <w:t>p</w:t>
      </w:r>
      <w:r w:rsidRPr="00520861">
        <w:rPr>
          <w:sz w:val="28"/>
          <w:szCs w:val="28"/>
        </w:rPr>
        <w:t>&lt;0,041, ВШ=0,150, ДІ: 0,030–0,747), тобто за його</w:t>
      </w:r>
      <w:r w:rsidR="0000090A" w:rsidRPr="00520861">
        <w:rPr>
          <w:sz w:val="28"/>
          <w:szCs w:val="28"/>
        </w:rPr>
        <w:t xml:space="preserve"> </w:t>
      </w:r>
      <w:r w:rsidRPr="00520861">
        <w:rPr>
          <w:sz w:val="28"/>
          <w:szCs w:val="28"/>
        </w:rPr>
        <w:t xml:space="preserve">наявності ризик розвитку порушень зменшувався в 6,7 </w:t>
      </w:r>
      <w:proofErr w:type="spellStart"/>
      <w:r w:rsidRPr="00520861">
        <w:rPr>
          <w:sz w:val="28"/>
          <w:szCs w:val="28"/>
        </w:rPr>
        <w:t>раза</w:t>
      </w:r>
      <w:proofErr w:type="spellEnd"/>
      <w:r w:rsidRPr="00520861">
        <w:rPr>
          <w:sz w:val="28"/>
          <w:szCs w:val="28"/>
        </w:rPr>
        <w:t>.</w:t>
      </w:r>
    </w:p>
    <w:p w14:paraId="00A5B8AE"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16. Поліморфізм за геном </w:t>
      </w:r>
      <w:r w:rsidRPr="00520861">
        <w:rPr>
          <w:i/>
          <w:sz w:val="28"/>
          <w:szCs w:val="28"/>
        </w:rPr>
        <w:t>CYP19A1: A&gt;G</w:t>
      </w:r>
      <w:r w:rsidRPr="00520861">
        <w:rPr>
          <w:sz w:val="28"/>
          <w:szCs w:val="28"/>
        </w:rPr>
        <w:t xml:space="preserve"> [rs2414096] може </w:t>
      </w:r>
      <w:r w:rsidRPr="00520861">
        <w:rPr>
          <w:sz w:val="28"/>
          <w:szCs w:val="28"/>
        </w:rPr>
        <w:br/>
      </w:r>
      <w:r w:rsidRPr="00520861">
        <w:rPr>
          <w:sz w:val="28"/>
          <w:szCs w:val="28"/>
        </w:rPr>
        <w:lastRenderedPageBreak/>
        <w:t xml:space="preserve">використовуватися як маркер схильності до розвитку раннього дитячого карієсу в осіб, які народилися </w:t>
      </w:r>
      <w:proofErr w:type="spellStart"/>
      <w:r w:rsidRPr="00520861">
        <w:rPr>
          <w:sz w:val="28"/>
          <w:szCs w:val="28"/>
        </w:rPr>
        <w:t>макросомами</w:t>
      </w:r>
      <w:proofErr w:type="spellEnd"/>
      <w:r w:rsidRPr="00520861">
        <w:rPr>
          <w:sz w:val="28"/>
          <w:szCs w:val="28"/>
        </w:rPr>
        <w:t>. Він пов’язаний із GG варіантом генотипу (</w:t>
      </w:r>
      <w:r w:rsidRPr="00520861">
        <w:rPr>
          <w:sz w:val="28"/>
          <w:szCs w:val="28"/>
        </w:rPr>
        <w:sym w:font="Symbol" w:char="F063"/>
      </w:r>
      <w:r w:rsidRPr="00520861">
        <w:rPr>
          <w:sz w:val="28"/>
          <w:szCs w:val="28"/>
          <w:vertAlign w:val="superscript"/>
        </w:rPr>
        <w:t>2</w:t>
      </w:r>
      <w:r w:rsidRPr="00520861">
        <w:rPr>
          <w:sz w:val="28"/>
          <w:szCs w:val="28"/>
        </w:rPr>
        <w:t xml:space="preserve">=5,063, </w:t>
      </w:r>
      <w:r w:rsidRPr="00520861">
        <w:rPr>
          <w:i/>
          <w:sz w:val="28"/>
          <w:szCs w:val="28"/>
        </w:rPr>
        <w:t>p</w:t>
      </w:r>
      <w:r w:rsidRPr="00520861">
        <w:rPr>
          <w:sz w:val="28"/>
          <w:szCs w:val="28"/>
        </w:rPr>
        <w:t>=0,024, ВШ=2,577, ДІ: 1,192–5,568).</w:t>
      </w:r>
    </w:p>
    <w:p w14:paraId="70AA9492"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17. В осіб, які народилися </w:t>
      </w:r>
      <w:proofErr w:type="spellStart"/>
      <w:r w:rsidRPr="00520861">
        <w:rPr>
          <w:sz w:val="28"/>
          <w:szCs w:val="28"/>
        </w:rPr>
        <w:t>макросомами</w:t>
      </w:r>
      <w:proofErr w:type="spellEnd"/>
      <w:r w:rsidRPr="00520861">
        <w:rPr>
          <w:sz w:val="28"/>
          <w:szCs w:val="28"/>
        </w:rPr>
        <w:t xml:space="preserve">, поліморфізм за геном </w:t>
      </w:r>
      <w:r w:rsidRPr="00520861">
        <w:rPr>
          <w:i/>
          <w:sz w:val="28"/>
          <w:szCs w:val="28"/>
        </w:rPr>
        <w:t>VDR: 283 A&gt;G</w:t>
      </w:r>
      <w:r w:rsidRPr="00520861">
        <w:rPr>
          <w:sz w:val="28"/>
          <w:szCs w:val="28"/>
        </w:rPr>
        <w:t xml:space="preserve"> </w:t>
      </w:r>
      <w:r w:rsidRPr="00520861">
        <w:rPr>
          <w:i/>
          <w:sz w:val="28"/>
          <w:szCs w:val="28"/>
        </w:rPr>
        <w:t>(</w:t>
      </w:r>
      <w:proofErr w:type="spellStart"/>
      <w:r w:rsidRPr="00520861">
        <w:rPr>
          <w:i/>
          <w:sz w:val="28"/>
          <w:szCs w:val="28"/>
        </w:rPr>
        <w:t>BsmI</w:t>
      </w:r>
      <w:proofErr w:type="spellEnd"/>
      <w:r w:rsidRPr="00520861">
        <w:rPr>
          <w:i/>
          <w:sz w:val="28"/>
          <w:szCs w:val="28"/>
        </w:rPr>
        <w:t>)</w:t>
      </w:r>
      <w:r w:rsidRPr="00520861">
        <w:rPr>
          <w:sz w:val="28"/>
          <w:szCs w:val="28"/>
        </w:rPr>
        <w:t xml:space="preserve"> [rs1544410] –</w:t>
      </w:r>
      <w:r w:rsidRPr="00520861">
        <w:rPr>
          <w:strike/>
          <w:sz w:val="28"/>
          <w:szCs w:val="28"/>
        </w:rPr>
        <w:t xml:space="preserve"> </w:t>
      </w:r>
      <w:r w:rsidRPr="00520861">
        <w:rPr>
          <w:sz w:val="28"/>
          <w:szCs w:val="28"/>
        </w:rPr>
        <w:t>генотип AG (</w:t>
      </w:r>
      <w:r w:rsidRPr="00520861">
        <w:rPr>
          <w:sz w:val="28"/>
          <w:szCs w:val="28"/>
        </w:rPr>
        <w:sym w:font="Symbol" w:char="F063"/>
      </w:r>
      <w:r w:rsidRPr="00520861">
        <w:rPr>
          <w:sz w:val="28"/>
          <w:szCs w:val="28"/>
          <w:vertAlign w:val="superscript"/>
        </w:rPr>
        <w:t>2</w:t>
      </w:r>
      <w:r w:rsidRPr="00520861">
        <w:rPr>
          <w:sz w:val="28"/>
          <w:szCs w:val="28"/>
        </w:rPr>
        <w:t xml:space="preserve">=4,622, </w:t>
      </w:r>
      <w:r w:rsidRPr="00520861">
        <w:rPr>
          <w:i/>
          <w:sz w:val="28"/>
          <w:szCs w:val="28"/>
        </w:rPr>
        <w:t>p</w:t>
      </w:r>
      <w:r w:rsidRPr="00520861">
        <w:rPr>
          <w:sz w:val="28"/>
          <w:szCs w:val="28"/>
        </w:rPr>
        <w:t xml:space="preserve">=0,032, ВШ=10,421, ДІ: 1,218–89,130) – асоційований із зростанням ризику розвитку середньої інтенсивності карієсу постійних зубів, а поліморфізм за геном </w:t>
      </w:r>
      <w:r w:rsidRPr="00520861">
        <w:rPr>
          <w:i/>
          <w:sz w:val="28"/>
          <w:szCs w:val="28"/>
        </w:rPr>
        <w:t>RANKL: C&gt;T</w:t>
      </w:r>
      <w:r w:rsidRPr="00520861">
        <w:rPr>
          <w:sz w:val="28"/>
          <w:szCs w:val="28"/>
        </w:rPr>
        <w:t xml:space="preserve"> [rs9594738] – генотип TT (</w:t>
      </w:r>
      <w:r w:rsidRPr="00520861">
        <w:rPr>
          <w:sz w:val="28"/>
          <w:szCs w:val="28"/>
        </w:rPr>
        <w:sym w:font="Symbol" w:char="F063"/>
      </w:r>
      <w:r w:rsidRPr="00520861">
        <w:rPr>
          <w:sz w:val="28"/>
          <w:szCs w:val="28"/>
          <w:vertAlign w:val="superscript"/>
        </w:rPr>
        <w:t>2</w:t>
      </w:r>
      <w:r w:rsidRPr="00520861">
        <w:rPr>
          <w:sz w:val="28"/>
          <w:szCs w:val="28"/>
        </w:rPr>
        <w:t xml:space="preserve">=5,084, </w:t>
      </w:r>
      <w:r w:rsidRPr="00520861">
        <w:rPr>
          <w:i/>
          <w:sz w:val="28"/>
          <w:szCs w:val="28"/>
        </w:rPr>
        <w:t>p</w:t>
      </w:r>
      <w:r w:rsidR="00C41FC6" w:rsidRPr="00520861">
        <w:rPr>
          <w:sz w:val="28"/>
          <w:szCs w:val="28"/>
        </w:rPr>
        <w:t>=0,024</w:t>
      </w:r>
      <w:r w:rsidRPr="00520861">
        <w:rPr>
          <w:sz w:val="28"/>
          <w:szCs w:val="28"/>
        </w:rPr>
        <w:t>, ВШ=0,205, ДІ: 0,058–0,718) й алель T (</w:t>
      </w:r>
      <w:r w:rsidRPr="00520861">
        <w:rPr>
          <w:sz w:val="28"/>
          <w:szCs w:val="28"/>
        </w:rPr>
        <w:sym w:font="Symbol" w:char="F063"/>
      </w:r>
      <w:r w:rsidRPr="00520861">
        <w:rPr>
          <w:sz w:val="28"/>
          <w:szCs w:val="28"/>
          <w:vertAlign w:val="superscript"/>
        </w:rPr>
        <w:t>2</w:t>
      </w:r>
      <w:r w:rsidRPr="00520861">
        <w:rPr>
          <w:sz w:val="28"/>
          <w:szCs w:val="28"/>
        </w:rPr>
        <w:t xml:space="preserve">=7,263, </w:t>
      </w:r>
      <w:r w:rsidRPr="00520861">
        <w:rPr>
          <w:i/>
          <w:sz w:val="28"/>
          <w:szCs w:val="28"/>
        </w:rPr>
        <w:t>p</w:t>
      </w:r>
      <w:r w:rsidRPr="00520861">
        <w:rPr>
          <w:sz w:val="28"/>
          <w:szCs w:val="28"/>
        </w:rPr>
        <w:t xml:space="preserve">=0,007, ВШ=0,321, ДІ: 0,139–0,743) – є </w:t>
      </w:r>
      <w:proofErr w:type="spellStart"/>
      <w:r w:rsidRPr="00520861">
        <w:rPr>
          <w:sz w:val="28"/>
          <w:szCs w:val="28"/>
        </w:rPr>
        <w:t>протективними</w:t>
      </w:r>
      <w:proofErr w:type="spellEnd"/>
      <w:r w:rsidRPr="00520861">
        <w:rPr>
          <w:sz w:val="28"/>
          <w:szCs w:val="28"/>
        </w:rPr>
        <w:t xml:space="preserve"> факторами до розвитку середньої інтенсивності карієсу. Поліморфізм за геном </w:t>
      </w:r>
      <w:r w:rsidRPr="00520861">
        <w:rPr>
          <w:i/>
          <w:sz w:val="28"/>
          <w:szCs w:val="28"/>
        </w:rPr>
        <w:t>VDR</w:t>
      </w:r>
      <w:r w:rsidRPr="00520861">
        <w:rPr>
          <w:sz w:val="28"/>
          <w:szCs w:val="28"/>
        </w:rPr>
        <w:t xml:space="preserve"> [rs1544410] – генотипи AG+GG (</w:t>
      </w:r>
      <w:r w:rsidRPr="00520861">
        <w:rPr>
          <w:sz w:val="28"/>
          <w:szCs w:val="28"/>
        </w:rPr>
        <w:sym w:font="Symbol" w:char="F063"/>
      </w:r>
      <w:r w:rsidRPr="00520861">
        <w:rPr>
          <w:sz w:val="28"/>
          <w:szCs w:val="28"/>
          <w:vertAlign w:val="superscript"/>
        </w:rPr>
        <w:t>2</w:t>
      </w:r>
      <w:r w:rsidRPr="00520861">
        <w:rPr>
          <w:sz w:val="28"/>
          <w:szCs w:val="28"/>
        </w:rPr>
        <w:t xml:space="preserve">=7,997, </w:t>
      </w:r>
      <w:r w:rsidRPr="00520861">
        <w:rPr>
          <w:i/>
          <w:sz w:val="28"/>
          <w:szCs w:val="28"/>
        </w:rPr>
        <w:t>p</w:t>
      </w:r>
      <w:r w:rsidRPr="00520861">
        <w:rPr>
          <w:sz w:val="28"/>
          <w:szCs w:val="28"/>
        </w:rPr>
        <w:t>=0,005, ВШ=8,944, ДІ: 2,007–39,859) і генотип AG (</w:t>
      </w:r>
      <w:r w:rsidRPr="00520861">
        <w:rPr>
          <w:sz w:val="28"/>
          <w:szCs w:val="28"/>
        </w:rPr>
        <w:sym w:font="Symbol" w:char="F063"/>
      </w:r>
      <w:r w:rsidRPr="00520861">
        <w:rPr>
          <w:sz w:val="28"/>
          <w:szCs w:val="28"/>
          <w:vertAlign w:val="superscript"/>
        </w:rPr>
        <w:t>2</w:t>
      </w:r>
      <w:r w:rsidRPr="00520861">
        <w:rPr>
          <w:sz w:val="28"/>
          <w:szCs w:val="28"/>
        </w:rPr>
        <w:t xml:space="preserve">=7,920, </w:t>
      </w:r>
      <w:r w:rsidRPr="00520861">
        <w:rPr>
          <w:i/>
          <w:sz w:val="28"/>
          <w:szCs w:val="28"/>
        </w:rPr>
        <w:t>p</w:t>
      </w:r>
      <w:r w:rsidRPr="00520861">
        <w:rPr>
          <w:sz w:val="28"/>
          <w:szCs w:val="28"/>
        </w:rPr>
        <w:t xml:space="preserve">=0,005, ВШ=14,667, ДІ: 1,812–118,687) – асоційований з ризиком розвитку високої інтенсивності карієсу постійних зубів. Поліморфізм за геном </w:t>
      </w:r>
      <w:r w:rsidRPr="00520861">
        <w:rPr>
          <w:i/>
          <w:sz w:val="28"/>
          <w:szCs w:val="28"/>
        </w:rPr>
        <w:t>RANKL</w:t>
      </w:r>
      <w:r w:rsidRPr="00520861">
        <w:rPr>
          <w:sz w:val="28"/>
          <w:szCs w:val="28"/>
        </w:rPr>
        <w:t xml:space="preserve"> [rs9594738] – генотип TT (</w:t>
      </w:r>
      <w:r w:rsidRPr="00520861">
        <w:rPr>
          <w:sz w:val="28"/>
          <w:szCs w:val="28"/>
        </w:rPr>
        <w:sym w:font="Symbol" w:char="F063"/>
      </w:r>
      <w:r w:rsidRPr="00520861">
        <w:rPr>
          <w:sz w:val="28"/>
          <w:szCs w:val="28"/>
          <w:vertAlign w:val="superscript"/>
        </w:rPr>
        <w:t>2</w:t>
      </w:r>
      <w:r w:rsidRPr="00520861">
        <w:rPr>
          <w:sz w:val="28"/>
          <w:szCs w:val="28"/>
        </w:rPr>
        <w:t xml:space="preserve">=6,476, </w:t>
      </w:r>
      <w:r w:rsidRPr="00520861">
        <w:rPr>
          <w:i/>
          <w:sz w:val="28"/>
          <w:szCs w:val="28"/>
        </w:rPr>
        <w:t>p</w:t>
      </w:r>
      <w:r w:rsidRPr="00520861">
        <w:rPr>
          <w:sz w:val="28"/>
          <w:szCs w:val="28"/>
        </w:rPr>
        <w:t>=0,011, ВШ=0,210, ДІ: 0,068–0,644) й алель T (</w:t>
      </w:r>
      <w:r w:rsidRPr="00520861">
        <w:rPr>
          <w:sz w:val="28"/>
          <w:szCs w:val="28"/>
        </w:rPr>
        <w:sym w:font="Symbol" w:char="F063"/>
      </w:r>
      <w:r w:rsidRPr="00520861">
        <w:rPr>
          <w:sz w:val="28"/>
          <w:szCs w:val="28"/>
          <w:vertAlign w:val="superscript"/>
        </w:rPr>
        <w:t>2</w:t>
      </w:r>
      <w:r w:rsidRPr="00520861">
        <w:rPr>
          <w:sz w:val="28"/>
          <w:szCs w:val="28"/>
        </w:rPr>
        <w:t xml:space="preserve">=6,342, </w:t>
      </w:r>
      <w:r w:rsidRPr="00520861">
        <w:rPr>
          <w:i/>
          <w:sz w:val="28"/>
          <w:szCs w:val="28"/>
        </w:rPr>
        <w:t>p</w:t>
      </w:r>
      <w:r w:rsidRPr="00520861">
        <w:rPr>
          <w:sz w:val="28"/>
          <w:szCs w:val="28"/>
        </w:rPr>
        <w:t xml:space="preserve">=0,012, ВШ=0,376, ДІ: 0,174–0,815) – є протекторними для розвитку високої інтенсивності карієсу. Виявлено протекторний вплив поліморфізму за геном </w:t>
      </w:r>
      <w:r w:rsidRPr="00520861">
        <w:rPr>
          <w:i/>
          <w:sz w:val="28"/>
          <w:szCs w:val="28"/>
        </w:rPr>
        <w:t>IL6: -174 G&gt;C</w:t>
      </w:r>
      <w:r w:rsidRPr="00520861">
        <w:rPr>
          <w:sz w:val="28"/>
          <w:szCs w:val="28"/>
        </w:rPr>
        <w:t xml:space="preserve"> [rs1800795] – генотипи GG+GC (</w:t>
      </w:r>
      <w:r w:rsidRPr="00520861">
        <w:rPr>
          <w:sz w:val="28"/>
          <w:szCs w:val="28"/>
        </w:rPr>
        <w:sym w:font="Symbol" w:char="F063"/>
      </w:r>
      <w:r w:rsidRPr="00520861">
        <w:rPr>
          <w:sz w:val="28"/>
          <w:szCs w:val="28"/>
          <w:vertAlign w:val="superscript"/>
        </w:rPr>
        <w:t>2</w:t>
      </w:r>
      <w:r w:rsidRPr="00520861">
        <w:rPr>
          <w:sz w:val="28"/>
          <w:szCs w:val="28"/>
        </w:rPr>
        <w:t xml:space="preserve">=5,055, </w:t>
      </w:r>
      <w:r w:rsidRPr="00520861">
        <w:rPr>
          <w:i/>
          <w:sz w:val="28"/>
          <w:szCs w:val="28"/>
        </w:rPr>
        <w:t>p</w:t>
      </w:r>
      <w:r w:rsidRPr="00520861">
        <w:rPr>
          <w:sz w:val="28"/>
          <w:szCs w:val="28"/>
        </w:rPr>
        <w:t>=0,025, ВШ=0,227, ДІ: 0,069–0,752) й алель G (</w:t>
      </w:r>
      <w:r w:rsidRPr="00520861">
        <w:rPr>
          <w:sz w:val="28"/>
          <w:szCs w:val="28"/>
        </w:rPr>
        <w:sym w:font="Symbol" w:char="F063"/>
      </w:r>
      <w:r w:rsidRPr="00520861">
        <w:rPr>
          <w:sz w:val="28"/>
          <w:szCs w:val="28"/>
          <w:vertAlign w:val="superscript"/>
        </w:rPr>
        <w:t>2</w:t>
      </w:r>
      <w:r w:rsidRPr="00520861">
        <w:rPr>
          <w:sz w:val="28"/>
          <w:szCs w:val="28"/>
        </w:rPr>
        <w:t xml:space="preserve">=3,959, </w:t>
      </w:r>
      <w:r w:rsidRPr="00520861">
        <w:rPr>
          <w:i/>
          <w:sz w:val="28"/>
          <w:szCs w:val="28"/>
        </w:rPr>
        <w:t>p</w:t>
      </w:r>
      <w:r w:rsidRPr="00520861">
        <w:rPr>
          <w:sz w:val="28"/>
          <w:szCs w:val="28"/>
        </w:rPr>
        <w:t xml:space="preserve">=0,047, ВШ=0,518, ДІ: 0,270–0,994) – спрямований на зниження ризику розвитку високої </w:t>
      </w:r>
      <w:r w:rsidR="0000090A" w:rsidRPr="00520861">
        <w:rPr>
          <w:sz w:val="28"/>
          <w:szCs w:val="28"/>
        </w:rPr>
        <w:br/>
      </w:r>
      <w:r w:rsidRPr="00520861">
        <w:rPr>
          <w:sz w:val="28"/>
          <w:szCs w:val="28"/>
        </w:rPr>
        <w:t xml:space="preserve">інтенсивності карієсу постійних зубів. </w:t>
      </w:r>
    </w:p>
    <w:p w14:paraId="5B128911"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18. Ризик виникнення </w:t>
      </w:r>
      <w:proofErr w:type="spellStart"/>
      <w:r w:rsidRPr="00520861">
        <w:rPr>
          <w:sz w:val="28"/>
          <w:szCs w:val="28"/>
        </w:rPr>
        <w:t>дистрофічно</w:t>
      </w:r>
      <w:proofErr w:type="spellEnd"/>
      <w:r w:rsidRPr="00520861">
        <w:rPr>
          <w:sz w:val="28"/>
          <w:szCs w:val="28"/>
        </w:rPr>
        <w:t xml:space="preserve">-запальних захворювань </w:t>
      </w:r>
      <w:proofErr w:type="spellStart"/>
      <w:r w:rsidRPr="00520861">
        <w:rPr>
          <w:sz w:val="28"/>
          <w:szCs w:val="28"/>
        </w:rPr>
        <w:t>пародонта</w:t>
      </w:r>
      <w:proofErr w:type="spellEnd"/>
      <w:r w:rsidRPr="00520861">
        <w:rPr>
          <w:sz w:val="28"/>
          <w:szCs w:val="28"/>
        </w:rPr>
        <w:t xml:space="preserve"> з превалюванням як дистрофічного (пародонтоз;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3,898</w:t>
      </w:r>
      <w:r w:rsidRPr="00520861">
        <w:rPr>
          <w:sz w:val="28"/>
          <w:szCs w:val="28"/>
        </w:rPr>
        <w:t xml:space="preserve">, </w:t>
      </w:r>
      <w:r w:rsidRPr="00520861">
        <w:rPr>
          <w:i/>
          <w:sz w:val="28"/>
          <w:szCs w:val="28"/>
        </w:rPr>
        <w:t>p</w:t>
      </w:r>
      <w:r w:rsidRPr="00520861">
        <w:rPr>
          <w:sz w:val="28"/>
          <w:szCs w:val="28"/>
        </w:rPr>
        <w:t xml:space="preserve">=0,048, ВШ=10,00, ДІ: </w:t>
      </w:r>
      <w:r w:rsidRPr="00520861">
        <w:rPr>
          <w:sz w:val="28"/>
          <w:szCs w:val="28"/>
          <w:lang w:eastAsia="en-US"/>
        </w:rPr>
        <w:t>1,114–89,774</w:t>
      </w:r>
      <w:r w:rsidRPr="00520861">
        <w:rPr>
          <w:sz w:val="28"/>
          <w:szCs w:val="28"/>
        </w:rPr>
        <w:t>), так і запального (</w:t>
      </w:r>
      <w:proofErr w:type="spellStart"/>
      <w:r w:rsidRPr="00520861">
        <w:rPr>
          <w:sz w:val="28"/>
          <w:szCs w:val="28"/>
        </w:rPr>
        <w:t>пародонтит</w:t>
      </w:r>
      <w:proofErr w:type="spellEnd"/>
      <w:r w:rsidRPr="00520861">
        <w:rPr>
          <w:sz w:val="28"/>
          <w:szCs w:val="28"/>
        </w:rPr>
        <w:t xml:space="preserve">;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6,232</w:t>
      </w:r>
      <w:r w:rsidRPr="00520861">
        <w:rPr>
          <w:sz w:val="28"/>
          <w:szCs w:val="28"/>
        </w:rPr>
        <w:t xml:space="preserve">, </w:t>
      </w:r>
      <w:r w:rsidRPr="00520861">
        <w:rPr>
          <w:i/>
          <w:sz w:val="28"/>
          <w:szCs w:val="28"/>
        </w:rPr>
        <w:t>p</w:t>
      </w:r>
      <w:r w:rsidRPr="00520861">
        <w:rPr>
          <w:sz w:val="28"/>
          <w:szCs w:val="28"/>
        </w:rPr>
        <w:t xml:space="preserve">=0,013, ВШ=13,00, ДІ: </w:t>
      </w:r>
      <w:r w:rsidRPr="00520861">
        <w:rPr>
          <w:sz w:val="28"/>
          <w:szCs w:val="28"/>
          <w:lang w:eastAsia="en-US"/>
        </w:rPr>
        <w:t>1,543–109,511</w:t>
      </w:r>
      <w:r w:rsidRPr="00520861">
        <w:rPr>
          <w:sz w:val="28"/>
          <w:szCs w:val="28"/>
        </w:rPr>
        <w:t xml:space="preserve">) варіантів перебігу в осіб, які народилися </w:t>
      </w:r>
      <w:proofErr w:type="spellStart"/>
      <w:r w:rsidRPr="00520861">
        <w:rPr>
          <w:sz w:val="28"/>
          <w:szCs w:val="28"/>
        </w:rPr>
        <w:t>макросомами</w:t>
      </w:r>
      <w:proofErr w:type="spellEnd"/>
      <w:r w:rsidRPr="00520861">
        <w:rPr>
          <w:sz w:val="28"/>
          <w:szCs w:val="28"/>
        </w:rPr>
        <w:t xml:space="preserve">, асоційований з TC варіантом гена </w:t>
      </w:r>
      <w:r w:rsidRPr="00520861">
        <w:rPr>
          <w:i/>
          <w:sz w:val="28"/>
          <w:szCs w:val="28"/>
        </w:rPr>
        <w:t>IL-1</w:t>
      </w:r>
      <w:r w:rsidRPr="00520861">
        <w:rPr>
          <w:i/>
          <w:sz w:val="28"/>
          <w:szCs w:val="28"/>
        </w:rPr>
        <w:sym w:font="Symbol" w:char="F062"/>
      </w:r>
      <w:r w:rsidRPr="00520861">
        <w:rPr>
          <w:i/>
          <w:sz w:val="28"/>
          <w:szCs w:val="28"/>
        </w:rPr>
        <w:t xml:space="preserve"> −31 T&gt;C</w:t>
      </w:r>
      <w:r w:rsidRPr="00520861">
        <w:rPr>
          <w:sz w:val="28"/>
          <w:szCs w:val="28"/>
        </w:rPr>
        <w:t xml:space="preserve"> [rs1143627]. Протекторний ефект при захворюваннях тканин </w:t>
      </w:r>
      <w:proofErr w:type="spellStart"/>
      <w:r w:rsidRPr="00520861">
        <w:rPr>
          <w:sz w:val="28"/>
          <w:szCs w:val="28"/>
        </w:rPr>
        <w:t>пародонта</w:t>
      </w:r>
      <w:proofErr w:type="spellEnd"/>
      <w:r w:rsidRPr="00520861">
        <w:rPr>
          <w:sz w:val="28"/>
          <w:szCs w:val="28"/>
        </w:rPr>
        <w:t xml:space="preserve"> з превалюванням запального компонента асоційований з генотипом СС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4,950</w:t>
      </w:r>
      <w:r w:rsidRPr="00520861">
        <w:rPr>
          <w:sz w:val="28"/>
          <w:szCs w:val="28"/>
        </w:rPr>
        <w:t xml:space="preserve">, </w:t>
      </w:r>
      <w:r w:rsidRPr="00520861">
        <w:rPr>
          <w:i/>
          <w:sz w:val="28"/>
          <w:szCs w:val="28"/>
        </w:rPr>
        <w:t>p</w:t>
      </w:r>
      <w:r w:rsidRPr="00520861">
        <w:rPr>
          <w:sz w:val="28"/>
          <w:szCs w:val="28"/>
        </w:rPr>
        <w:t xml:space="preserve">=0,026, ВШ=0,114, ДІ: </w:t>
      </w:r>
      <w:r w:rsidRPr="00520861">
        <w:rPr>
          <w:sz w:val="28"/>
          <w:szCs w:val="28"/>
          <w:lang w:eastAsia="en-US"/>
        </w:rPr>
        <w:t>0,019–0,680</w:t>
      </w:r>
      <w:r w:rsidRPr="00520861">
        <w:rPr>
          <w:sz w:val="28"/>
          <w:szCs w:val="28"/>
        </w:rPr>
        <w:t>) і алелем С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5,602</w:t>
      </w:r>
      <w:r w:rsidRPr="00520861">
        <w:rPr>
          <w:sz w:val="28"/>
          <w:szCs w:val="28"/>
        </w:rPr>
        <w:t xml:space="preserve">, </w:t>
      </w:r>
      <w:r w:rsidRPr="00520861">
        <w:rPr>
          <w:i/>
          <w:sz w:val="28"/>
          <w:szCs w:val="28"/>
        </w:rPr>
        <w:t>p</w:t>
      </w:r>
      <w:r w:rsidRPr="00520861">
        <w:rPr>
          <w:sz w:val="28"/>
          <w:szCs w:val="28"/>
        </w:rPr>
        <w:t>=0,018, ВШ= 0,352, ДІ: 0</w:t>
      </w:r>
      <w:r w:rsidRPr="00520861">
        <w:rPr>
          <w:sz w:val="28"/>
          <w:szCs w:val="28"/>
          <w:lang w:eastAsia="en-US"/>
        </w:rPr>
        <w:t>,146–0,849</w:t>
      </w:r>
      <w:r w:rsidRPr="00520861">
        <w:rPr>
          <w:sz w:val="28"/>
          <w:szCs w:val="28"/>
        </w:rPr>
        <w:t xml:space="preserve">) гена </w:t>
      </w:r>
      <w:r w:rsidRPr="00520861">
        <w:rPr>
          <w:i/>
          <w:sz w:val="28"/>
          <w:szCs w:val="28"/>
        </w:rPr>
        <w:t>ESR1: -397 T&gt;C (</w:t>
      </w:r>
      <w:proofErr w:type="spellStart"/>
      <w:r w:rsidRPr="00520861">
        <w:rPr>
          <w:i/>
          <w:sz w:val="28"/>
          <w:szCs w:val="28"/>
        </w:rPr>
        <w:t>PvuII</w:t>
      </w:r>
      <w:proofErr w:type="spellEnd"/>
      <w:r w:rsidRPr="00520861">
        <w:rPr>
          <w:i/>
          <w:sz w:val="28"/>
          <w:szCs w:val="28"/>
        </w:rPr>
        <w:t>)</w:t>
      </w:r>
      <w:r w:rsidRPr="00520861">
        <w:rPr>
          <w:sz w:val="28"/>
          <w:szCs w:val="28"/>
        </w:rPr>
        <w:t xml:space="preserve"> [rs2234693], а також генотипами TT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6,994</w:t>
      </w:r>
      <w:r w:rsidRPr="00520861">
        <w:rPr>
          <w:sz w:val="28"/>
          <w:szCs w:val="28"/>
        </w:rPr>
        <w:t xml:space="preserve">, </w:t>
      </w:r>
      <w:r w:rsidRPr="00520861">
        <w:rPr>
          <w:i/>
          <w:sz w:val="28"/>
          <w:szCs w:val="28"/>
        </w:rPr>
        <w:t>p</w:t>
      </w:r>
      <w:r w:rsidRPr="00520861">
        <w:rPr>
          <w:sz w:val="28"/>
          <w:szCs w:val="28"/>
        </w:rPr>
        <w:t xml:space="preserve">=0,008, ВШ=0,143, ДІ: </w:t>
      </w:r>
      <w:r w:rsidRPr="00520861">
        <w:rPr>
          <w:sz w:val="28"/>
          <w:szCs w:val="28"/>
          <w:lang w:eastAsia="en-US"/>
        </w:rPr>
        <w:t>0,036–0,560</w:t>
      </w:r>
      <w:r w:rsidRPr="00520861">
        <w:rPr>
          <w:sz w:val="28"/>
          <w:szCs w:val="28"/>
        </w:rPr>
        <w:t>), TT+CC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6,232</w:t>
      </w:r>
      <w:r w:rsidRPr="00520861">
        <w:rPr>
          <w:sz w:val="28"/>
          <w:szCs w:val="28"/>
        </w:rPr>
        <w:t xml:space="preserve">, </w:t>
      </w:r>
      <w:r w:rsidRPr="00520861">
        <w:rPr>
          <w:i/>
          <w:sz w:val="28"/>
          <w:szCs w:val="28"/>
        </w:rPr>
        <w:t>p</w:t>
      </w:r>
      <w:r w:rsidRPr="00520861">
        <w:rPr>
          <w:sz w:val="28"/>
          <w:szCs w:val="28"/>
        </w:rPr>
        <w:t xml:space="preserve">=0,013, ВШ=0,077, ДІ: </w:t>
      </w:r>
      <w:r w:rsidRPr="00520861">
        <w:rPr>
          <w:sz w:val="28"/>
          <w:szCs w:val="28"/>
          <w:lang w:eastAsia="en-US"/>
        </w:rPr>
        <w:t>0,009–0,648</w:t>
      </w:r>
      <w:r w:rsidRPr="00520861">
        <w:rPr>
          <w:sz w:val="28"/>
          <w:szCs w:val="28"/>
        </w:rPr>
        <w:t>) і алелем T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4,702</w:t>
      </w:r>
      <w:r w:rsidRPr="00520861">
        <w:rPr>
          <w:sz w:val="28"/>
          <w:szCs w:val="28"/>
        </w:rPr>
        <w:t xml:space="preserve">, </w:t>
      </w:r>
      <w:r w:rsidRPr="00520861">
        <w:rPr>
          <w:i/>
          <w:sz w:val="28"/>
          <w:szCs w:val="28"/>
        </w:rPr>
        <w:t>p</w:t>
      </w:r>
      <w:r w:rsidRPr="00520861">
        <w:rPr>
          <w:sz w:val="28"/>
          <w:szCs w:val="28"/>
        </w:rPr>
        <w:t xml:space="preserve">=0,030, ВШ=0,351, ДІ: </w:t>
      </w:r>
      <w:r w:rsidRPr="00520861">
        <w:rPr>
          <w:sz w:val="28"/>
          <w:szCs w:val="28"/>
          <w:lang w:eastAsia="en-US"/>
        </w:rPr>
        <w:lastRenderedPageBreak/>
        <w:t>0,134–0,924</w:t>
      </w:r>
      <w:r w:rsidRPr="00520861">
        <w:rPr>
          <w:sz w:val="28"/>
          <w:szCs w:val="28"/>
        </w:rPr>
        <w:t xml:space="preserve">) гена </w:t>
      </w:r>
      <w:r w:rsidRPr="00520861">
        <w:rPr>
          <w:i/>
          <w:sz w:val="28"/>
          <w:szCs w:val="28"/>
        </w:rPr>
        <w:t>IL-1</w:t>
      </w:r>
      <w:r w:rsidRPr="00520861">
        <w:rPr>
          <w:i/>
          <w:sz w:val="28"/>
          <w:szCs w:val="28"/>
        </w:rPr>
        <w:sym w:font="Symbol" w:char="F062"/>
      </w:r>
      <w:r w:rsidRPr="00520861">
        <w:rPr>
          <w:sz w:val="28"/>
          <w:szCs w:val="28"/>
        </w:rPr>
        <w:t xml:space="preserve"> [rs1143627]. Ризик розвитку патологічних процесів у </w:t>
      </w:r>
      <w:r w:rsidR="0000090A" w:rsidRPr="00520861">
        <w:rPr>
          <w:sz w:val="28"/>
          <w:szCs w:val="28"/>
        </w:rPr>
        <w:br/>
      </w:r>
      <w:r w:rsidRPr="00520861">
        <w:rPr>
          <w:sz w:val="28"/>
          <w:szCs w:val="28"/>
        </w:rPr>
        <w:t>пародонті з превалюванням дистрофічного компонента асоційований з алелем T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4,078</w:t>
      </w:r>
      <w:r w:rsidRPr="00520861">
        <w:rPr>
          <w:sz w:val="28"/>
          <w:szCs w:val="28"/>
        </w:rPr>
        <w:t xml:space="preserve">, </w:t>
      </w:r>
      <w:r w:rsidRPr="00520861">
        <w:rPr>
          <w:i/>
          <w:sz w:val="28"/>
          <w:szCs w:val="28"/>
        </w:rPr>
        <w:t>p</w:t>
      </w:r>
      <w:r w:rsidRPr="00520861">
        <w:rPr>
          <w:sz w:val="28"/>
          <w:szCs w:val="28"/>
        </w:rPr>
        <w:t xml:space="preserve">=0,043, ВШ=2,059, ДІ: </w:t>
      </w:r>
      <w:r w:rsidRPr="00520861">
        <w:rPr>
          <w:sz w:val="28"/>
          <w:szCs w:val="28"/>
          <w:lang w:eastAsia="en-US"/>
        </w:rPr>
        <w:t>1,017–4,167</w:t>
      </w:r>
      <w:r w:rsidRPr="00520861">
        <w:rPr>
          <w:sz w:val="28"/>
          <w:szCs w:val="28"/>
        </w:rPr>
        <w:t xml:space="preserve">) гена </w:t>
      </w:r>
      <w:r w:rsidRPr="00520861">
        <w:rPr>
          <w:i/>
          <w:sz w:val="28"/>
          <w:szCs w:val="28"/>
        </w:rPr>
        <w:t xml:space="preserve">RANKL: C&gt;T </w:t>
      </w:r>
      <w:r w:rsidRPr="00520861">
        <w:rPr>
          <w:sz w:val="28"/>
          <w:szCs w:val="28"/>
        </w:rPr>
        <w:t xml:space="preserve">[rs9594738] і </w:t>
      </w:r>
      <w:r w:rsidR="0000090A" w:rsidRPr="00520861">
        <w:rPr>
          <w:sz w:val="28"/>
          <w:szCs w:val="28"/>
        </w:rPr>
        <w:br/>
      </w:r>
      <w:r w:rsidRPr="00520861">
        <w:rPr>
          <w:sz w:val="28"/>
          <w:szCs w:val="28"/>
        </w:rPr>
        <w:t xml:space="preserve">варіантами гена </w:t>
      </w:r>
      <w:r w:rsidRPr="00520861">
        <w:rPr>
          <w:i/>
          <w:sz w:val="28"/>
          <w:szCs w:val="28"/>
        </w:rPr>
        <w:t>RANKL: C&gt;T</w:t>
      </w:r>
      <w:r w:rsidRPr="00520861">
        <w:rPr>
          <w:sz w:val="28"/>
          <w:szCs w:val="28"/>
        </w:rPr>
        <w:t xml:space="preserve"> [rs9594759] – генотипами </w:t>
      </w:r>
      <w:r w:rsidRPr="00520861">
        <w:rPr>
          <w:sz w:val="28"/>
          <w:szCs w:val="28"/>
          <w:lang w:eastAsia="en-US"/>
        </w:rPr>
        <w:t>CT+TT</w:t>
      </w:r>
      <w:r w:rsidRPr="00520861">
        <w:rPr>
          <w:sz w:val="28"/>
          <w:szCs w:val="28"/>
        </w:rPr>
        <w:t xml:space="preserve">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3,986</w:t>
      </w:r>
      <w:r w:rsidRPr="00520861">
        <w:rPr>
          <w:sz w:val="28"/>
          <w:szCs w:val="28"/>
        </w:rPr>
        <w:t xml:space="preserve">, </w:t>
      </w:r>
      <w:r w:rsidRPr="00520861">
        <w:rPr>
          <w:i/>
          <w:sz w:val="28"/>
          <w:szCs w:val="28"/>
        </w:rPr>
        <w:t>p</w:t>
      </w:r>
      <w:r w:rsidRPr="00520861">
        <w:rPr>
          <w:sz w:val="28"/>
          <w:szCs w:val="28"/>
        </w:rPr>
        <w:t xml:space="preserve">=0,046, ВШ=3,543, ДІ: </w:t>
      </w:r>
      <w:r w:rsidRPr="00520861">
        <w:rPr>
          <w:sz w:val="28"/>
          <w:szCs w:val="28"/>
          <w:lang w:eastAsia="en-US"/>
        </w:rPr>
        <w:t>1,159–10,832</w:t>
      </w:r>
      <w:r w:rsidRPr="00520861">
        <w:rPr>
          <w:sz w:val="28"/>
          <w:szCs w:val="28"/>
        </w:rPr>
        <w:t>) й алелем T (</w:t>
      </w:r>
      <w:r w:rsidRPr="00520861">
        <w:rPr>
          <w:sz w:val="28"/>
          <w:szCs w:val="28"/>
        </w:rPr>
        <w:sym w:font="Symbol" w:char="F063"/>
      </w:r>
      <w:r w:rsidRPr="00520861">
        <w:rPr>
          <w:sz w:val="28"/>
          <w:szCs w:val="28"/>
          <w:vertAlign w:val="superscript"/>
        </w:rPr>
        <w:t>2</w:t>
      </w:r>
      <w:r w:rsidRPr="00520861">
        <w:rPr>
          <w:sz w:val="28"/>
          <w:szCs w:val="28"/>
        </w:rPr>
        <w:t>=</w:t>
      </w:r>
      <w:r w:rsidRPr="00520861">
        <w:rPr>
          <w:sz w:val="28"/>
          <w:szCs w:val="28"/>
          <w:lang w:eastAsia="en-US"/>
        </w:rPr>
        <w:t>4,561</w:t>
      </w:r>
      <w:r w:rsidRPr="00520861">
        <w:rPr>
          <w:sz w:val="28"/>
          <w:szCs w:val="28"/>
        </w:rPr>
        <w:t xml:space="preserve">, </w:t>
      </w:r>
      <w:r w:rsidRPr="00520861">
        <w:rPr>
          <w:i/>
          <w:sz w:val="28"/>
          <w:szCs w:val="28"/>
        </w:rPr>
        <w:t>p</w:t>
      </w:r>
      <w:r w:rsidRPr="00520861">
        <w:rPr>
          <w:sz w:val="28"/>
          <w:szCs w:val="28"/>
        </w:rPr>
        <w:t xml:space="preserve">=0,033, ВШ=2,161, </w:t>
      </w:r>
      <w:r w:rsidR="0000090A" w:rsidRPr="00520861">
        <w:rPr>
          <w:sz w:val="28"/>
          <w:szCs w:val="28"/>
        </w:rPr>
        <w:br/>
      </w:r>
      <w:r w:rsidRPr="00520861">
        <w:rPr>
          <w:sz w:val="28"/>
          <w:szCs w:val="28"/>
        </w:rPr>
        <w:t xml:space="preserve">ДІ: </w:t>
      </w:r>
      <w:r w:rsidRPr="00520861">
        <w:rPr>
          <w:sz w:val="28"/>
          <w:szCs w:val="28"/>
          <w:lang w:eastAsia="en-US"/>
        </w:rPr>
        <w:t>1,060–4,403</w:t>
      </w:r>
      <w:r w:rsidRPr="00520861">
        <w:rPr>
          <w:sz w:val="28"/>
          <w:szCs w:val="28"/>
        </w:rPr>
        <w:t>).</w:t>
      </w:r>
    </w:p>
    <w:p w14:paraId="7121496F" w14:textId="77777777" w:rsidR="00292D2E" w:rsidRPr="00520861" w:rsidRDefault="00292D2E" w:rsidP="00292D2E">
      <w:pPr>
        <w:widowControl w:val="0"/>
        <w:spacing w:line="360" w:lineRule="auto"/>
        <w:ind w:firstLine="708"/>
        <w:jc w:val="both"/>
        <w:rPr>
          <w:sz w:val="28"/>
          <w:szCs w:val="28"/>
        </w:rPr>
      </w:pPr>
      <w:r w:rsidRPr="00520861">
        <w:rPr>
          <w:sz w:val="28"/>
          <w:szCs w:val="28"/>
        </w:rPr>
        <w:t xml:space="preserve">19. З використанням методів доказової медицини на основі поглибленого </w:t>
      </w:r>
      <w:r w:rsidRPr="00520861">
        <w:rPr>
          <w:sz w:val="28"/>
          <w:szCs w:val="28"/>
        </w:rPr>
        <w:br/>
        <w:t xml:space="preserve">вивчення клінічного та </w:t>
      </w:r>
      <w:proofErr w:type="spellStart"/>
      <w:r w:rsidRPr="00520861">
        <w:rPr>
          <w:sz w:val="28"/>
          <w:szCs w:val="28"/>
        </w:rPr>
        <w:t>морфофункціонального</w:t>
      </w:r>
      <w:proofErr w:type="spellEnd"/>
      <w:r w:rsidRPr="00520861">
        <w:rPr>
          <w:sz w:val="28"/>
          <w:szCs w:val="28"/>
        </w:rPr>
        <w:t xml:space="preserve"> стану тканин й органів </w:t>
      </w:r>
      <w:r w:rsidR="0000090A" w:rsidRPr="00520861">
        <w:rPr>
          <w:sz w:val="28"/>
          <w:szCs w:val="28"/>
        </w:rPr>
        <w:br/>
      </w:r>
      <w:proofErr w:type="spellStart"/>
      <w:r w:rsidRPr="00520861">
        <w:rPr>
          <w:sz w:val="28"/>
          <w:szCs w:val="28"/>
        </w:rPr>
        <w:t>щелепно</w:t>
      </w:r>
      <w:proofErr w:type="spellEnd"/>
      <w:r w:rsidRPr="00520861">
        <w:rPr>
          <w:sz w:val="28"/>
          <w:szCs w:val="28"/>
        </w:rPr>
        <w:t xml:space="preserve">-лицевої ділянки обґрунтовано концепцію переважної залежності формування стоматологічних порушень в осіб, які народилися </w:t>
      </w:r>
      <w:proofErr w:type="spellStart"/>
      <w:r w:rsidRPr="00520861">
        <w:rPr>
          <w:sz w:val="28"/>
          <w:szCs w:val="28"/>
        </w:rPr>
        <w:t>макросомами</w:t>
      </w:r>
      <w:proofErr w:type="spellEnd"/>
      <w:r w:rsidRPr="00520861">
        <w:rPr>
          <w:sz w:val="28"/>
          <w:szCs w:val="28"/>
        </w:rPr>
        <w:t xml:space="preserve">, від їхніх </w:t>
      </w:r>
      <w:r w:rsidR="0000090A" w:rsidRPr="00520861">
        <w:rPr>
          <w:sz w:val="28"/>
          <w:szCs w:val="28"/>
        </w:rPr>
        <w:br/>
      </w:r>
      <w:r w:rsidRPr="00520861">
        <w:rPr>
          <w:sz w:val="28"/>
          <w:szCs w:val="28"/>
        </w:rPr>
        <w:t xml:space="preserve">антропометричних показників при народженні. </w:t>
      </w:r>
      <w:r w:rsidRPr="00520861">
        <w:rPr>
          <w:sz w:val="28"/>
          <w:szCs w:val="28"/>
        </w:rPr>
        <w:br w:type="page"/>
      </w:r>
    </w:p>
    <w:p w14:paraId="250B159F" w14:textId="77777777" w:rsidR="00292D2E" w:rsidRPr="00520861" w:rsidRDefault="00292D2E" w:rsidP="00292D2E">
      <w:pPr>
        <w:widowControl w:val="0"/>
        <w:spacing w:line="360" w:lineRule="auto"/>
        <w:ind w:firstLine="709"/>
        <w:jc w:val="center"/>
        <w:rPr>
          <w:b/>
          <w:sz w:val="28"/>
          <w:szCs w:val="28"/>
        </w:rPr>
      </w:pPr>
      <w:r w:rsidRPr="00520861">
        <w:rPr>
          <w:b/>
          <w:sz w:val="28"/>
          <w:szCs w:val="28"/>
        </w:rPr>
        <w:lastRenderedPageBreak/>
        <w:t>ПРАКТИЧНІ РЕКОМЕНДАЦІЇ</w:t>
      </w:r>
    </w:p>
    <w:p w14:paraId="354936A0" w14:textId="77777777" w:rsidR="00292D2E" w:rsidRPr="00520861" w:rsidRDefault="00292D2E" w:rsidP="00292D2E">
      <w:pPr>
        <w:widowControl w:val="0"/>
        <w:spacing w:line="360" w:lineRule="auto"/>
        <w:ind w:firstLine="709"/>
        <w:jc w:val="center"/>
        <w:rPr>
          <w:rFonts w:eastAsia="Calibri"/>
          <w:sz w:val="28"/>
          <w:szCs w:val="28"/>
          <w:lang w:eastAsia="en-US"/>
        </w:rPr>
      </w:pPr>
    </w:p>
    <w:p w14:paraId="54C16500" w14:textId="77777777" w:rsidR="00292D2E" w:rsidRPr="00520861" w:rsidRDefault="00292D2E" w:rsidP="00292D2E">
      <w:pPr>
        <w:widowControl w:val="0"/>
        <w:ind w:firstLine="709"/>
        <w:jc w:val="center"/>
        <w:rPr>
          <w:rFonts w:eastAsia="Calibri"/>
          <w:sz w:val="28"/>
          <w:szCs w:val="28"/>
          <w:lang w:eastAsia="en-US"/>
        </w:rPr>
      </w:pPr>
    </w:p>
    <w:p w14:paraId="1A4C98C7"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1.</w:t>
      </w:r>
      <w:r w:rsidRPr="00520861">
        <w:rPr>
          <w:rFonts w:eastAsia="Calibri"/>
          <w:sz w:val="28"/>
          <w:szCs w:val="28"/>
          <w:lang w:eastAsia="en-US"/>
        </w:rPr>
        <w:tab/>
        <w:t>У жіночих консультаціях або в центрах планування сім'ї в межах первинної профілактики для підтримання здоров’я вагітних і новонароджених, під час ДНК-діагностики ризику формуванн</w:t>
      </w:r>
      <w:r w:rsidR="007C7074" w:rsidRPr="00520861">
        <w:rPr>
          <w:rFonts w:eastAsia="Calibri"/>
          <w:sz w:val="28"/>
          <w:szCs w:val="28"/>
          <w:lang w:eastAsia="en-US"/>
        </w:rPr>
        <w:t xml:space="preserve">я </w:t>
      </w:r>
      <w:proofErr w:type="spellStart"/>
      <w:r w:rsidR="007C7074" w:rsidRPr="00520861">
        <w:rPr>
          <w:rFonts w:eastAsia="Calibri"/>
          <w:sz w:val="28"/>
          <w:szCs w:val="28"/>
          <w:lang w:eastAsia="en-US"/>
        </w:rPr>
        <w:t>макросомії</w:t>
      </w:r>
      <w:proofErr w:type="spellEnd"/>
      <w:r w:rsidR="007C7074" w:rsidRPr="00520861">
        <w:rPr>
          <w:rFonts w:eastAsia="Calibri"/>
          <w:sz w:val="28"/>
          <w:szCs w:val="28"/>
          <w:lang w:eastAsia="en-US"/>
        </w:rPr>
        <w:t xml:space="preserve"> плода, рекомендовано</w:t>
      </w:r>
      <w:r w:rsidRPr="00520861">
        <w:rPr>
          <w:rFonts w:eastAsia="Calibri"/>
          <w:sz w:val="28"/>
          <w:szCs w:val="28"/>
          <w:lang w:eastAsia="en-US"/>
        </w:rPr>
        <w:t xml:space="preserve"> проведення аналізу варіантів генів </w:t>
      </w:r>
      <w:r w:rsidRPr="00520861">
        <w:rPr>
          <w:rFonts w:eastAsia="Calibri"/>
          <w:i/>
          <w:sz w:val="28"/>
          <w:szCs w:val="28"/>
          <w:lang w:eastAsia="en-US"/>
        </w:rPr>
        <w:t>CYP19A1</w:t>
      </w:r>
      <w:r w:rsidR="00D7642E" w:rsidRPr="00520861">
        <w:rPr>
          <w:rFonts w:eastAsia="Calibri"/>
          <w: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rs2414096</w:t>
      </w:r>
      <w:r w:rsidR="005B3BBF" w:rsidRPr="00520861">
        <w:rPr>
          <w:rFonts w:eastAsia="Calibri"/>
          <w:sz w:val="28"/>
          <w:szCs w:val="28"/>
          <w:lang w:eastAsia="en-US"/>
        </w:rPr>
        <w:t>]</w:t>
      </w:r>
      <w:r w:rsidRPr="00520861">
        <w:rPr>
          <w:rFonts w:eastAsia="Calibri"/>
          <w:sz w:val="28"/>
          <w:szCs w:val="28"/>
          <w:lang w:eastAsia="en-US"/>
        </w:rPr>
        <w:t xml:space="preserve"> та </w:t>
      </w:r>
      <w:r w:rsidRPr="00520861">
        <w:rPr>
          <w:rFonts w:eastAsia="Calibri"/>
          <w:i/>
          <w:sz w:val="28"/>
          <w:szCs w:val="28"/>
          <w:lang w:eastAsia="en-US"/>
        </w:rPr>
        <w:t>ESR1</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rs9340799</w:t>
      </w:r>
      <w:r w:rsidR="005B3BBF" w:rsidRPr="00520861">
        <w:rPr>
          <w:rFonts w:eastAsia="Calibri"/>
          <w:sz w:val="28"/>
          <w:szCs w:val="28"/>
          <w:lang w:eastAsia="en-US"/>
        </w:rPr>
        <w:t>]</w:t>
      </w:r>
      <w:r w:rsidRPr="00520861">
        <w:rPr>
          <w:rFonts w:eastAsia="Calibri"/>
          <w:sz w:val="28"/>
          <w:szCs w:val="28"/>
          <w:lang w:eastAsia="en-US"/>
        </w:rPr>
        <w:t xml:space="preserve">. </w:t>
      </w:r>
    </w:p>
    <w:p w14:paraId="078DD3BA"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2.</w:t>
      </w:r>
      <w:r w:rsidRPr="00520861">
        <w:rPr>
          <w:rFonts w:eastAsia="Calibri"/>
          <w:sz w:val="28"/>
          <w:szCs w:val="28"/>
          <w:lang w:eastAsia="en-US"/>
        </w:rPr>
        <w:tab/>
        <w:t xml:space="preserve">У межах вторинної профілактики з перших днів життя дитини рекомендовано ввести до обов’язкового переліку консультацій лікарів огляд новонародженого </w:t>
      </w:r>
      <w:proofErr w:type="spellStart"/>
      <w:r w:rsidRPr="00520861">
        <w:rPr>
          <w:rFonts w:eastAsia="Calibri"/>
          <w:sz w:val="28"/>
          <w:szCs w:val="28"/>
          <w:lang w:eastAsia="en-US"/>
        </w:rPr>
        <w:t>макросома</w:t>
      </w:r>
      <w:proofErr w:type="spellEnd"/>
      <w:r w:rsidRPr="00520861">
        <w:rPr>
          <w:rFonts w:eastAsia="Calibri"/>
          <w:sz w:val="28"/>
          <w:szCs w:val="28"/>
          <w:lang w:eastAsia="en-US"/>
        </w:rPr>
        <w:t xml:space="preserve"> лікарем-стоматологом дитячим, лікарем-хірургом-стоматологом та лікарем-ортодонтом.</w:t>
      </w:r>
    </w:p>
    <w:p w14:paraId="67003A58"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3.</w:t>
      </w:r>
      <w:r w:rsidRPr="00520861">
        <w:rPr>
          <w:rFonts w:eastAsia="Calibri"/>
          <w:sz w:val="28"/>
          <w:szCs w:val="28"/>
          <w:lang w:eastAsia="en-US"/>
        </w:rPr>
        <w:tab/>
      </w:r>
      <w:proofErr w:type="spellStart"/>
      <w:r w:rsidRPr="00520861">
        <w:rPr>
          <w:rFonts w:eastAsia="Calibri"/>
          <w:sz w:val="28"/>
          <w:szCs w:val="28"/>
          <w:lang w:eastAsia="en-US"/>
        </w:rPr>
        <w:t>Лікрям</w:t>
      </w:r>
      <w:proofErr w:type="spellEnd"/>
      <w:r w:rsidRPr="00520861">
        <w:rPr>
          <w:rFonts w:eastAsia="Calibri"/>
          <w:sz w:val="28"/>
          <w:szCs w:val="28"/>
          <w:lang w:eastAsia="en-US"/>
        </w:rPr>
        <w:t xml:space="preserve">-стоматологам під час огляду новонародженого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рекомендовано з’ясувати соматотип дитини та звернути увагу батьків на можливі варіанти формування стоматологічних порушень у дитини з конкретним соматотипом і необхідність своєчасної профілактики.</w:t>
      </w:r>
    </w:p>
    <w:p w14:paraId="0ECB2F84"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4.</w:t>
      </w:r>
      <w:r w:rsidRPr="00520861">
        <w:rPr>
          <w:rFonts w:eastAsia="Calibri"/>
          <w:sz w:val="28"/>
          <w:szCs w:val="28"/>
          <w:lang w:eastAsia="en-US"/>
        </w:rPr>
        <w:tab/>
        <w:t xml:space="preserve">Сімейний лікар, лікар-педіатр або лікар-стоматолог дитячий за умови </w:t>
      </w:r>
      <w:r w:rsidR="00B22E6A" w:rsidRPr="00520861">
        <w:rPr>
          <w:rFonts w:eastAsia="Calibri"/>
          <w:sz w:val="28"/>
          <w:szCs w:val="28"/>
          <w:lang w:eastAsia="en-US"/>
        </w:rPr>
        <w:br/>
      </w:r>
      <w:r w:rsidRPr="00520861">
        <w:rPr>
          <w:rFonts w:eastAsia="Calibri"/>
          <w:sz w:val="28"/>
          <w:szCs w:val="28"/>
          <w:lang w:eastAsia="en-US"/>
        </w:rPr>
        <w:t xml:space="preserve">виявлення в дітей,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порушення термінів прорізування тимчасових зубів, має рекомендувати аналіз варіантів генів </w:t>
      </w:r>
      <w:r w:rsidRPr="00520861">
        <w:rPr>
          <w:rFonts w:eastAsia="Calibri"/>
          <w:i/>
          <w:sz w:val="28"/>
          <w:szCs w:val="28"/>
          <w:lang w:eastAsia="en-US"/>
        </w:rPr>
        <w:t>CYP19A1</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rs2414096</w:t>
      </w:r>
      <w:r w:rsidR="005B3BBF" w:rsidRPr="00520861">
        <w:rPr>
          <w:rFonts w:eastAsia="Calibri"/>
          <w:sz w:val="28"/>
          <w:szCs w:val="28"/>
          <w:lang w:eastAsia="en-US"/>
        </w:rPr>
        <w:t>]</w:t>
      </w:r>
      <w:r w:rsidRPr="00520861">
        <w:rPr>
          <w:rFonts w:eastAsia="Calibri"/>
          <w:sz w:val="28"/>
          <w:szCs w:val="28"/>
          <w:lang w:eastAsia="en-US"/>
        </w:rPr>
        <w:t xml:space="preserve">, </w:t>
      </w:r>
      <w:r w:rsidRPr="00520861">
        <w:rPr>
          <w:rFonts w:eastAsia="Calibri"/>
          <w:i/>
          <w:sz w:val="28"/>
          <w:szCs w:val="28"/>
          <w:lang w:eastAsia="en-US"/>
        </w:rPr>
        <w:t>RANKL</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rs9594759</w:t>
      </w:r>
      <w:r w:rsidR="005B3BBF" w:rsidRPr="00520861">
        <w:rPr>
          <w:rFonts w:eastAsia="Calibri"/>
          <w:sz w:val="28"/>
          <w:szCs w:val="28"/>
          <w:lang w:eastAsia="en-US"/>
        </w:rPr>
        <w:t>]</w:t>
      </w:r>
      <w:r w:rsidRPr="00520861">
        <w:rPr>
          <w:rFonts w:eastAsia="Calibri"/>
          <w:sz w:val="28"/>
          <w:szCs w:val="28"/>
          <w:lang w:eastAsia="en-US"/>
        </w:rPr>
        <w:t xml:space="preserve"> та </w:t>
      </w:r>
      <w:r w:rsidRPr="00520861">
        <w:rPr>
          <w:rFonts w:eastAsia="Calibri"/>
          <w:i/>
          <w:sz w:val="28"/>
          <w:szCs w:val="28"/>
          <w:lang w:eastAsia="en-US"/>
        </w:rPr>
        <w:t>IL-10</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rs1800896</w:t>
      </w:r>
      <w:r w:rsidR="005B3BBF" w:rsidRPr="00520861">
        <w:rPr>
          <w:rFonts w:eastAsia="Calibri"/>
          <w:sz w:val="28"/>
          <w:szCs w:val="28"/>
          <w:lang w:eastAsia="en-US"/>
        </w:rPr>
        <w:t>]</w:t>
      </w:r>
      <w:r w:rsidRPr="00520861">
        <w:rPr>
          <w:rFonts w:eastAsia="Calibri"/>
          <w:sz w:val="28"/>
          <w:szCs w:val="28"/>
          <w:lang w:eastAsia="en-US"/>
        </w:rPr>
        <w:t xml:space="preserve"> для персоналізованої ДНК-діагностики причин виявлених порушень, а аналіз варіантів генів </w:t>
      </w:r>
      <w:r w:rsidRPr="00520861">
        <w:rPr>
          <w:rFonts w:eastAsia="Calibri"/>
          <w:i/>
          <w:sz w:val="28"/>
          <w:szCs w:val="28"/>
          <w:lang w:eastAsia="en-US"/>
        </w:rPr>
        <w:t>ESR1</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rs2234693</w:t>
      </w:r>
      <w:r w:rsidR="005B3BBF" w:rsidRPr="00520861">
        <w:rPr>
          <w:rFonts w:eastAsia="Calibri"/>
          <w:sz w:val="28"/>
          <w:szCs w:val="28"/>
          <w:lang w:eastAsia="en-US"/>
        </w:rPr>
        <w:t>]</w:t>
      </w:r>
      <w:r w:rsidRPr="00520861">
        <w:rPr>
          <w:rFonts w:eastAsia="Calibri"/>
          <w:sz w:val="28"/>
          <w:szCs w:val="28"/>
          <w:lang w:eastAsia="en-US"/>
        </w:rPr>
        <w:t xml:space="preserve">, </w:t>
      </w:r>
      <w:r w:rsidRPr="00520861">
        <w:rPr>
          <w:rFonts w:eastAsia="Calibri"/>
          <w:i/>
          <w:sz w:val="28"/>
          <w:szCs w:val="28"/>
          <w:lang w:eastAsia="en-US"/>
        </w:rPr>
        <w:t>CYP19A1</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rs2414096</w:t>
      </w:r>
      <w:r w:rsidR="005B3BBF" w:rsidRPr="00520861">
        <w:rPr>
          <w:rFonts w:eastAsia="Calibri"/>
          <w:sz w:val="28"/>
          <w:szCs w:val="28"/>
          <w:lang w:eastAsia="en-US"/>
        </w:rPr>
        <w:t>]</w:t>
      </w:r>
      <w:r w:rsidRPr="00520861">
        <w:rPr>
          <w:rFonts w:eastAsia="Calibri"/>
          <w:sz w:val="28"/>
          <w:szCs w:val="28"/>
          <w:lang w:eastAsia="en-US"/>
        </w:rPr>
        <w:t xml:space="preserve"> та </w:t>
      </w:r>
      <w:r w:rsidRPr="00520861">
        <w:rPr>
          <w:rFonts w:eastAsia="Calibri"/>
          <w:i/>
          <w:sz w:val="28"/>
          <w:szCs w:val="28"/>
          <w:lang w:eastAsia="en-US"/>
        </w:rPr>
        <w:t xml:space="preserve">IL10 </w:t>
      </w:r>
      <w:r w:rsidR="005B3BBF" w:rsidRPr="00520861">
        <w:rPr>
          <w:rFonts w:eastAsia="Calibri"/>
          <w:sz w:val="28"/>
          <w:szCs w:val="28"/>
          <w:lang w:eastAsia="en-US"/>
        </w:rPr>
        <w:t>[</w:t>
      </w:r>
      <w:r w:rsidRPr="00520861">
        <w:rPr>
          <w:rFonts w:eastAsia="Calibri"/>
          <w:sz w:val="28"/>
          <w:szCs w:val="28"/>
          <w:lang w:eastAsia="en-US"/>
        </w:rPr>
        <w:t>rs1800896</w:t>
      </w:r>
      <w:r w:rsidR="005B3BBF" w:rsidRPr="00520861">
        <w:rPr>
          <w:rFonts w:eastAsia="Calibri"/>
          <w:sz w:val="28"/>
          <w:szCs w:val="28"/>
          <w:lang w:eastAsia="en-US"/>
        </w:rPr>
        <w:t>]</w:t>
      </w:r>
      <w:r w:rsidRPr="00520861">
        <w:rPr>
          <w:rFonts w:eastAsia="Calibri"/>
          <w:sz w:val="28"/>
          <w:szCs w:val="28"/>
          <w:lang w:eastAsia="en-US"/>
        </w:rPr>
        <w:t xml:space="preserve"> пропонується використовувати під час ДНК-</w:t>
      </w:r>
      <w:proofErr w:type="spellStart"/>
      <w:r w:rsidRPr="00520861">
        <w:rPr>
          <w:rFonts w:eastAsia="Calibri"/>
          <w:sz w:val="28"/>
          <w:szCs w:val="28"/>
          <w:lang w:eastAsia="en-US"/>
        </w:rPr>
        <w:t>предикції</w:t>
      </w:r>
      <w:proofErr w:type="spellEnd"/>
      <w:r w:rsidRPr="00520861">
        <w:rPr>
          <w:rFonts w:eastAsia="Calibri"/>
          <w:sz w:val="28"/>
          <w:szCs w:val="28"/>
          <w:lang w:eastAsia="en-US"/>
        </w:rPr>
        <w:t xml:space="preserve"> розвитку порушень </w:t>
      </w:r>
      <w:proofErr w:type="spellStart"/>
      <w:r w:rsidRPr="00520861">
        <w:rPr>
          <w:rFonts w:eastAsia="Calibri"/>
          <w:sz w:val="28"/>
          <w:szCs w:val="28"/>
          <w:lang w:eastAsia="en-US"/>
        </w:rPr>
        <w:t>стоматогнатичної</w:t>
      </w:r>
      <w:proofErr w:type="spellEnd"/>
      <w:r w:rsidRPr="00520861">
        <w:rPr>
          <w:rFonts w:eastAsia="Calibri"/>
          <w:sz w:val="28"/>
          <w:szCs w:val="28"/>
          <w:lang w:eastAsia="en-US"/>
        </w:rPr>
        <w:t xml:space="preserve"> системи. </w:t>
      </w:r>
    </w:p>
    <w:p w14:paraId="23EAA3DC"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5.</w:t>
      </w:r>
      <w:r w:rsidRPr="00520861">
        <w:rPr>
          <w:rFonts w:eastAsia="Calibri"/>
          <w:sz w:val="28"/>
          <w:szCs w:val="28"/>
          <w:lang w:eastAsia="en-US"/>
        </w:rPr>
        <w:tab/>
        <w:t xml:space="preserve">У віці 1 року під час планового огляду дитини, яка народилися </w:t>
      </w:r>
      <w:proofErr w:type="spellStart"/>
      <w:r w:rsidRPr="00520861">
        <w:rPr>
          <w:rFonts w:eastAsia="Calibri"/>
          <w:sz w:val="28"/>
          <w:szCs w:val="28"/>
          <w:lang w:eastAsia="en-US"/>
        </w:rPr>
        <w:t>макросомом</w:t>
      </w:r>
      <w:proofErr w:type="spellEnd"/>
      <w:r w:rsidRPr="00520861">
        <w:rPr>
          <w:rFonts w:eastAsia="Calibri"/>
          <w:sz w:val="28"/>
          <w:szCs w:val="28"/>
          <w:lang w:eastAsia="en-US"/>
        </w:rPr>
        <w:t xml:space="preserve">, комісії спеціалістів слід рекомендувати батькам провести дитині молекулярно-генетичний аналіз, а саме аналіз варіантів гена </w:t>
      </w:r>
      <w:r w:rsidRPr="00520861">
        <w:rPr>
          <w:rFonts w:eastAsia="Calibri"/>
          <w:i/>
          <w:sz w:val="28"/>
          <w:szCs w:val="28"/>
          <w:lang w:eastAsia="en-US"/>
        </w:rPr>
        <w:t>CYP19A1</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rs2414096</w:t>
      </w:r>
      <w:r w:rsidR="005B3BBF" w:rsidRPr="00520861">
        <w:rPr>
          <w:rFonts w:eastAsia="Calibri"/>
          <w:sz w:val="28"/>
          <w:szCs w:val="28"/>
          <w:lang w:eastAsia="en-US"/>
        </w:rPr>
        <w:t>]</w:t>
      </w:r>
      <w:r w:rsidRPr="00520861">
        <w:rPr>
          <w:rFonts w:eastAsia="Calibri"/>
          <w:sz w:val="28"/>
          <w:szCs w:val="28"/>
          <w:lang w:eastAsia="en-US"/>
        </w:rPr>
        <w:t xml:space="preserve"> з метою виявлення на </w:t>
      </w:r>
      <w:proofErr w:type="spellStart"/>
      <w:r w:rsidRPr="00520861">
        <w:rPr>
          <w:rFonts w:eastAsia="Calibri"/>
          <w:sz w:val="28"/>
          <w:szCs w:val="28"/>
          <w:lang w:eastAsia="en-US"/>
        </w:rPr>
        <w:t>доклінічному</w:t>
      </w:r>
      <w:proofErr w:type="spellEnd"/>
      <w:r w:rsidRPr="00520861">
        <w:rPr>
          <w:rFonts w:eastAsia="Calibri"/>
          <w:sz w:val="28"/>
          <w:szCs w:val="28"/>
          <w:lang w:eastAsia="en-US"/>
        </w:rPr>
        <w:t xml:space="preserve"> етапі захворювання схильності до розвитку раннього дитячого карієсу та запобігання ускладнень його перебігу.</w:t>
      </w:r>
    </w:p>
    <w:p w14:paraId="7B9CFEA4"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6.</w:t>
      </w:r>
      <w:r w:rsidRPr="00520861">
        <w:rPr>
          <w:rFonts w:eastAsia="Calibri"/>
          <w:sz w:val="28"/>
          <w:szCs w:val="28"/>
          <w:lang w:eastAsia="en-US"/>
        </w:rPr>
        <w:tab/>
        <w:t xml:space="preserve">З віку від 4 років, коли психологічні особливості дитини дають змогу отримати </w:t>
      </w:r>
      <w:proofErr w:type="spellStart"/>
      <w:r w:rsidRPr="00520861">
        <w:rPr>
          <w:rFonts w:eastAsia="Calibri"/>
          <w:sz w:val="28"/>
          <w:szCs w:val="28"/>
          <w:lang w:eastAsia="en-US"/>
        </w:rPr>
        <w:t>зворотню</w:t>
      </w:r>
      <w:proofErr w:type="spellEnd"/>
      <w:r w:rsidRPr="00520861">
        <w:rPr>
          <w:rFonts w:eastAsia="Calibri"/>
          <w:sz w:val="28"/>
          <w:szCs w:val="28"/>
          <w:lang w:eastAsia="en-US"/>
        </w:rPr>
        <w:t xml:space="preserve"> відповідь, з метою виокремлення групи ризику з розвитку порушень </w:t>
      </w:r>
      <w:proofErr w:type="spellStart"/>
      <w:r w:rsidRPr="00520861">
        <w:rPr>
          <w:rFonts w:eastAsia="Calibri"/>
          <w:sz w:val="28"/>
          <w:szCs w:val="28"/>
          <w:lang w:eastAsia="en-US"/>
        </w:rPr>
        <w:t>стоматогнатичної</w:t>
      </w:r>
      <w:proofErr w:type="spellEnd"/>
      <w:r w:rsidRPr="00520861">
        <w:rPr>
          <w:rFonts w:eastAsia="Calibri"/>
          <w:sz w:val="28"/>
          <w:szCs w:val="28"/>
          <w:lang w:eastAsia="en-US"/>
        </w:rPr>
        <w:t xml:space="preserve"> системи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w:t>
      </w:r>
      <w:r w:rsidRPr="00520861">
        <w:rPr>
          <w:rFonts w:eastAsia="Calibri"/>
          <w:sz w:val="28"/>
          <w:szCs w:val="28"/>
          <w:lang w:eastAsia="en-US"/>
        </w:rPr>
        <w:br/>
      </w:r>
      <w:r w:rsidRPr="00520861">
        <w:rPr>
          <w:rFonts w:eastAsia="Calibri"/>
          <w:sz w:val="28"/>
          <w:szCs w:val="28"/>
          <w:lang w:eastAsia="en-US"/>
        </w:rPr>
        <w:lastRenderedPageBreak/>
        <w:t>рекомендується проводити моніторинг кальцію, фосфору та лужної фосфатази в ротовій рідині.</w:t>
      </w:r>
    </w:p>
    <w:p w14:paraId="50E1E3F8"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7.</w:t>
      </w:r>
      <w:r w:rsidRPr="00520861">
        <w:rPr>
          <w:rFonts w:eastAsia="Calibri"/>
          <w:sz w:val="28"/>
          <w:szCs w:val="28"/>
          <w:lang w:eastAsia="en-US"/>
        </w:rPr>
        <w:tab/>
        <w:t xml:space="preserve">На стадії </w:t>
      </w:r>
      <w:proofErr w:type="spellStart"/>
      <w:r w:rsidRPr="00520861">
        <w:rPr>
          <w:rFonts w:eastAsia="Calibri"/>
          <w:sz w:val="28"/>
          <w:szCs w:val="28"/>
          <w:lang w:eastAsia="en-US"/>
        </w:rPr>
        <w:t>передхвороби</w:t>
      </w:r>
      <w:proofErr w:type="spellEnd"/>
      <w:r w:rsidRPr="00520861">
        <w:rPr>
          <w:rFonts w:eastAsia="Calibri"/>
          <w:sz w:val="28"/>
          <w:szCs w:val="28"/>
          <w:lang w:eastAsia="en-US"/>
        </w:rPr>
        <w:t xml:space="preserve"> особам, чиї параметри при народженні були вищими за норму, під час ДНК-діагностики рекомендується використовувати аналіз варіантів генів </w:t>
      </w:r>
      <w:r w:rsidRPr="00520861">
        <w:rPr>
          <w:rFonts w:eastAsia="Calibri"/>
          <w:i/>
          <w:sz w:val="28"/>
          <w:szCs w:val="28"/>
          <w:lang w:eastAsia="en-US"/>
        </w:rPr>
        <w:t>VDR</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rs1544410</w:t>
      </w:r>
      <w:r w:rsidR="005B3BBF" w:rsidRPr="00520861">
        <w:rPr>
          <w:rFonts w:eastAsia="Calibri"/>
          <w:sz w:val="28"/>
          <w:szCs w:val="28"/>
          <w:lang w:eastAsia="en-US"/>
        </w:rPr>
        <w:t>]</w:t>
      </w:r>
      <w:r w:rsidRPr="00520861">
        <w:rPr>
          <w:rFonts w:eastAsia="Calibri"/>
          <w:sz w:val="28"/>
          <w:szCs w:val="28"/>
          <w:lang w:eastAsia="en-US"/>
        </w:rPr>
        <w:t xml:space="preserve">, </w:t>
      </w:r>
      <w:r w:rsidRPr="00520861">
        <w:rPr>
          <w:rFonts w:eastAsia="Calibri"/>
          <w:i/>
          <w:sz w:val="28"/>
          <w:szCs w:val="28"/>
          <w:lang w:eastAsia="en-US"/>
        </w:rPr>
        <w:t>RANKL</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rs9594738</w:t>
      </w:r>
      <w:r w:rsidR="005B3BBF" w:rsidRPr="00520861">
        <w:rPr>
          <w:rFonts w:eastAsia="Calibri"/>
          <w:sz w:val="28"/>
          <w:szCs w:val="28"/>
          <w:lang w:eastAsia="en-US"/>
        </w:rPr>
        <w:t>]</w:t>
      </w:r>
      <w:r w:rsidRPr="00520861">
        <w:rPr>
          <w:rFonts w:eastAsia="Calibri"/>
          <w:sz w:val="28"/>
          <w:szCs w:val="28"/>
          <w:lang w:eastAsia="en-US"/>
        </w:rPr>
        <w:t xml:space="preserve"> та </w:t>
      </w:r>
      <w:r w:rsidRPr="00520861">
        <w:rPr>
          <w:rFonts w:eastAsia="Calibri"/>
          <w:i/>
          <w:sz w:val="28"/>
          <w:szCs w:val="28"/>
          <w:lang w:eastAsia="en-US"/>
        </w:rPr>
        <w:t>IL6</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rs1800795</w:t>
      </w:r>
      <w:r w:rsidR="005B3BBF" w:rsidRPr="00520861">
        <w:rPr>
          <w:rFonts w:eastAsia="Calibri"/>
          <w:sz w:val="28"/>
          <w:szCs w:val="28"/>
          <w:lang w:eastAsia="en-US"/>
        </w:rPr>
        <w:t>]</w:t>
      </w:r>
      <w:r w:rsidRPr="00520861">
        <w:rPr>
          <w:rFonts w:eastAsia="Calibri"/>
          <w:sz w:val="28"/>
          <w:szCs w:val="28"/>
          <w:lang w:eastAsia="en-US"/>
        </w:rPr>
        <w:t xml:space="preserve"> з метою виокремлення осіб, схильних до розвитку карієсу постійних зубів високої інтенсивності. </w:t>
      </w:r>
    </w:p>
    <w:p w14:paraId="04F38DD2"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8.</w:t>
      </w:r>
      <w:r w:rsidRPr="00520861">
        <w:rPr>
          <w:rFonts w:eastAsia="Calibri"/>
          <w:sz w:val="28"/>
          <w:szCs w:val="28"/>
          <w:lang w:eastAsia="en-US"/>
        </w:rPr>
        <w:tab/>
        <w:t xml:space="preserve">З метою виокремлення групи ризику з розвитку карієсу високої </w:t>
      </w:r>
      <w:r w:rsidRPr="00520861">
        <w:rPr>
          <w:rFonts w:eastAsia="Calibri"/>
          <w:sz w:val="28"/>
          <w:szCs w:val="28"/>
          <w:lang w:eastAsia="en-US"/>
        </w:rPr>
        <w:br/>
        <w:t xml:space="preserve">інтенсивності в різних вікових категоріях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і можливого оцінювання якості проведеного лікування, рекомендується проводити моніторинг показників </w:t>
      </w:r>
      <w:proofErr w:type="spellStart"/>
      <w:r w:rsidRPr="00520861">
        <w:rPr>
          <w:rFonts w:eastAsia="Calibri"/>
          <w:sz w:val="28"/>
          <w:szCs w:val="28"/>
          <w:lang w:eastAsia="en-US"/>
        </w:rPr>
        <w:t>лептину</w:t>
      </w:r>
      <w:proofErr w:type="spellEnd"/>
      <w:r w:rsidRPr="00520861">
        <w:rPr>
          <w:rFonts w:eastAsia="Calibri"/>
          <w:sz w:val="28"/>
          <w:szCs w:val="28"/>
          <w:lang w:eastAsia="en-US"/>
        </w:rPr>
        <w:t xml:space="preserve"> й </w:t>
      </w:r>
      <w:proofErr w:type="spellStart"/>
      <w:r w:rsidRPr="00520861">
        <w:rPr>
          <w:rFonts w:eastAsia="Calibri"/>
          <w:sz w:val="28"/>
          <w:szCs w:val="28"/>
          <w:lang w:eastAsia="en-US"/>
        </w:rPr>
        <w:t>адипонектину</w:t>
      </w:r>
      <w:proofErr w:type="spellEnd"/>
      <w:r w:rsidRPr="00520861">
        <w:rPr>
          <w:rFonts w:eastAsia="Calibri"/>
          <w:sz w:val="28"/>
          <w:szCs w:val="28"/>
          <w:lang w:eastAsia="en-US"/>
        </w:rPr>
        <w:t xml:space="preserve">, показників </w:t>
      </w:r>
      <w:proofErr w:type="spellStart"/>
      <w:r w:rsidRPr="00520861">
        <w:rPr>
          <w:rFonts w:eastAsia="Calibri"/>
          <w:sz w:val="28"/>
          <w:szCs w:val="28"/>
          <w:lang w:eastAsia="en-US"/>
        </w:rPr>
        <w:t>антиоксидантно-прооксидантного</w:t>
      </w:r>
      <w:proofErr w:type="spellEnd"/>
      <w:r w:rsidRPr="00520861">
        <w:rPr>
          <w:rFonts w:eastAsia="Calibri"/>
          <w:sz w:val="28"/>
          <w:szCs w:val="28"/>
          <w:lang w:eastAsia="en-US"/>
        </w:rPr>
        <w:t xml:space="preserve"> статусу (</w:t>
      </w:r>
      <w:proofErr w:type="spellStart"/>
      <w:r w:rsidRPr="00520861">
        <w:rPr>
          <w:rFonts w:eastAsia="Calibri"/>
          <w:sz w:val="28"/>
          <w:szCs w:val="28"/>
          <w:lang w:eastAsia="en-US"/>
        </w:rPr>
        <w:t>супероксиддисмутази</w:t>
      </w:r>
      <w:proofErr w:type="spellEnd"/>
      <w:r w:rsidRPr="00520861">
        <w:rPr>
          <w:rFonts w:eastAsia="Calibri"/>
          <w:sz w:val="28"/>
          <w:szCs w:val="28"/>
          <w:lang w:eastAsia="en-US"/>
        </w:rPr>
        <w:t xml:space="preserve">, каталази, ТБК-активних продуктів), умісту </w:t>
      </w:r>
      <w:proofErr w:type="spellStart"/>
      <w:r w:rsidRPr="00520861">
        <w:rPr>
          <w:rFonts w:eastAsia="Calibri"/>
          <w:sz w:val="28"/>
          <w:szCs w:val="28"/>
          <w:lang w:eastAsia="en-US"/>
        </w:rPr>
        <w:t>кортизолу</w:t>
      </w:r>
      <w:proofErr w:type="spellEnd"/>
      <w:r w:rsidRPr="00520861">
        <w:rPr>
          <w:rFonts w:eastAsia="Calibri"/>
          <w:sz w:val="28"/>
          <w:szCs w:val="28"/>
          <w:lang w:eastAsia="en-US"/>
        </w:rPr>
        <w:t>, інтерлейкіну-6 та α-амілази  в ротовій рідині.</w:t>
      </w:r>
    </w:p>
    <w:p w14:paraId="0E9453E9"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9.</w:t>
      </w:r>
      <w:r w:rsidRPr="00520861">
        <w:rPr>
          <w:rFonts w:eastAsia="Calibri"/>
          <w:sz w:val="28"/>
          <w:szCs w:val="28"/>
          <w:lang w:eastAsia="en-US"/>
        </w:rPr>
        <w:tab/>
        <w:t xml:space="preserve">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під час ДНК-</w:t>
      </w:r>
      <w:proofErr w:type="spellStart"/>
      <w:r w:rsidRPr="00520861">
        <w:rPr>
          <w:rFonts w:eastAsia="Calibri"/>
          <w:sz w:val="28"/>
          <w:szCs w:val="28"/>
          <w:lang w:eastAsia="en-US"/>
        </w:rPr>
        <w:t>предикції</w:t>
      </w:r>
      <w:proofErr w:type="spellEnd"/>
      <w:r w:rsidRPr="00520861">
        <w:rPr>
          <w:rFonts w:eastAsia="Calibri"/>
          <w:sz w:val="28"/>
          <w:szCs w:val="28"/>
          <w:lang w:eastAsia="en-US"/>
        </w:rPr>
        <w:t xml:space="preserve"> варіанта перебігу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на </w:t>
      </w:r>
      <w:proofErr w:type="spellStart"/>
      <w:r w:rsidRPr="00520861">
        <w:rPr>
          <w:rFonts w:eastAsia="Calibri"/>
          <w:sz w:val="28"/>
          <w:szCs w:val="28"/>
          <w:lang w:eastAsia="en-US"/>
        </w:rPr>
        <w:t>доклінічному</w:t>
      </w:r>
      <w:proofErr w:type="spellEnd"/>
      <w:r w:rsidRPr="00520861">
        <w:rPr>
          <w:rFonts w:eastAsia="Calibri"/>
          <w:sz w:val="28"/>
          <w:szCs w:val="28"/>
          <w:lang w:eastAsia="en-US"/>
        </w:rPr>
        <w:t xml:space="preserve"> етапі захворювання </w:t>
      </w:r>
      <w:r w:rsidRPr="00520861">
        <w:rPr>
          <w:rFonts w:eastAsia="Calibri"/>
          <w:sz w:val="28"/>
          <w:szCs w:val="28"/>
          <w:lang w:eastAsia="en-US"/>
        </w:rPr>
        <w:br/>
        <w:t xml:space="preserve">рекомендується використовувати аналіз варіантів генів </w:t>
      </w:r>
      <w:r w:rsidRPr="00520861">
        <w:rPr>
          <w:rFonts w:eastAsia="Calibri"/>
          <w:i/>
          <w:sz w:val="28"/>
          <w:szCs w:val="28"/>
          <w:lang w:eastAsia="en-US"/>
        </w:rPr>
        <w:t>ESR1</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rs2234693</w:t>
      </w:r>
      <w:r w:rsidR="005B3BBF" w:rsidRPr="00520861">
        <w:rPr>
          <w:rFonts w:eastAsia="Calibri"/>
          <w:sz w:val="28"/>
          <w:szCs w:val="28"/>
          <w:lang w:eastAsia="en-US"/>
        </w:rPr>
        <w:t>]</w:t>
      </w:r>
      <w:r w:rsidRPr="00520861">
        <w:rPr>
          <w:rFonts w:eastAsia="Calibri"/>
          <w:sz w:val="28"/>
          <w:szCs w:val="28"/>
          <w:lang w:eastAsia="en-US"/>
        </w:rPr>
        <w:t xml:space="preserve">, </w:t>
      </w:r>
      <w:r w:rsidRPr="00520861">
        <w:rPr>
          <w:rFonts w:eastAsia="Calibri"/>
          <w:i/>
          <w:sz w:val="28"/>
          <w:szCs w:val="28"/>
          <w:lang w:eastAsia="en-US"/>
        </w:rPr>
        <w:t>IL-1</w:t>
      </w:r>
      <w:r w:rsidRPr="00520861">
        <w:rPr>
          <w:rFonts w:eastAsia="Calibri"/>
          <w:i/>
          <w:sz w:val="28"/>
          <w:szCs w:val="28"/>
          <w:lang w:eastAsia="en-US"/>
        </w:rPr>
        <w:sym w:font="Symbol" w:char="F062"/>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rs1143627</w:t>
      </w:r>
      <w:r w:rsidR="005B3BBF" w:rsidRPr="00520861">
        <w:rPr>
          <w:rFonts w:eastAsia="Calibri"/>
          <w:sz w:val="28"/>
          <w:szCs w:val="28"/>
          <w:lang w:eastAsia="en-US"/>
        </w:rPr>
        <w:t>]</w:t>
      </w:r>
      <w:r w:rsidRPr="00520861">
        <w:rPr>
          <w:rFonts w:eastAsia="Calibri"/>
          <w:sz w:val="28"/>
          <w:szCs w:val="28"/>
          <w:lang w:eastAsia="en-US"/>
        </w:rPr>
        <w:t xml:space="preserve"> та </w:t>
      </w:r>
      <w:r w:rsidRPr="00520861">
        <w:rPr>
          <w:rFonts w:eastAsia="Calibri"/>
          <w:i/>
          <w:sz w:val="28"/>
          <w:szCs w:val="28"/>
          <w:lang w:eastAsia="en-US"/>
        </w:rPr>
        <w:t>RANKL</w:t>
      </w:r>
      <w:r w:rsidRPr="00520861">
        <w:rPr>
          <w:rFonts w:eastAsia="Calibri"/>
          <w:sz w:val="28"/>
          <w:szCs w:val="28"/>
          <w:lang w:eastAsia="en-US"/>
        </w:rPr>
        <w:t xml:space="preserve"> </w:t>
      </w:r>
      <w:r w:rsidR="005B3BBF" w:rsidRPr="00520861">
        <w:rPr>
          <w:rFonts w:eastAsia="Calibri"/>
          <w:sz w:val="28"/>
          <w:szCs w:val="28"/>
          <w:lang w:eastAsia="en-US"/>
        </w:rPr>
        <w:t>[</w:t>
      </w:r>
      <w:r w:rsidRPr="00520861">
        <w:rPr>
          <w:rFonts w:eastAsia="Calibri"/>
          <w:sz w:val="28"/>
          <w:szCs w:val="28"/>
          <w:lang w:eastAsia="en-US"/>
        </w:rPr>
        <w:t>rs9594738, rs9594759</w:t>
      </w:r>
      <w:r w:rsidR="005B3BBF" w:rsidRPr="00520861">
        <w:rPr>
          <w:rFonts w:eastAsia="Calibri"/>
          <w:sz w:val="28"/>
          <w:szCs w:val="28"/>
          <w:lang w:eastAsia="en-US"/>
        </w:rPr>
        <w:t>]</w:t>
      </w:r>
      <w:r w:rsidRPr="00520861">
        <w:rPr>
          <w:rFonts w:eastAsia="Calibri"/>
          <w:sz w:val="28"/>
          <w:szCs w:val="28"/>
          <w:lang w:eastAsia="en-US"/>
        </w:rPr>
        <w:t>.</w:t>
      </w:r>
    </w:p>
    <w:p w14:paraId="6B63C1F9" w14:textId="77777777" w:rsidR="00292D2E" w:rsidRPr="00520861" w:rsidRDefault="00292D2E" w:rsidP="00292D2E">
      <w:pPr>
        <w:widowControl w:val="0"/>
        <w:spacing w:line="360" w:lineRule="auto"/>
        <w:ind w:firstLine="709"/>
        <w:jc w:val="both"/>
        <w:rPr>
          <w:rFonts w:eastAsia="Calibri"/>
          <w:sz w:val="28"/>
          <w:szCs w:val="28"/>
          <w:lang w:eastAsia="en-US"/>
        </w:rPr>
      </w:pPr>
      <w:r w:rsidRPr="00520861">
        <w:rPr>
          <w:rFonts w:eastAsia="Calibri"/>
          <w:sz w:val="28"/>
          <w:szCs w:val="28"/>
          <w:lang w:eastAsia="en-US"/>
        </w:rPr>
        <w:t>10.</w:t>
      </w:r>
      <w:r w:rsidRPr="00520861">
        <w:rPr>
          <w:rFonts w:eastAsia="Calibri"/>
          <w:sz w:val="28"/>
          <w:szCs w:val="28"/>
          <w:lang w:eastAsia="en-US"/>
        </w:rPr>
        <w:tab/>
        <w:t xml:space="preserve">З метою виокремлення групи ризику з розвитку порушень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на стадії </w:t>
      </w:r>
      <w:proofErr w:type="spellStart"/>
      <w:r w:rsidRPr="00520861">
        <w:rPr>
          <w:rFonts w:eastAsia="Calibri"/>
          <w:sz w:val="28"/>
          <w:szCs w:val="28"/>
          <w:lang w:eastAsia="en-US"/>
        </w:rPr>
        <w:t>передхвороби</w:t>
      </w:r>
      <w:proofErr w:type="spellEnd"/>
      <w:r w:rsidRPr="00520861">
        <w:rPr>
          <w:rFonts w:eastAsia="Calibri"/>
          <w:sz w:val="28"/>
          <w:szCs w:val="28"/>
          <w:lang w:eastAsia="en-US"/>
        </w:rPr>
        <w:t xml:space="preserve"> в різних вікових категоріях в осіб, які народилися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рекомендується проводити моніторинг </w:t>
      </w:r>
      <w:proofErr w:type="spellStart"/>
      <w:r w:rsidRPr="00520861">
        <w:rPr>
          <w:rFonts w:eastAsia="Calibri"/>
          <w:sz w:val="28"/>
          <w:szCs w:val="28"/>
          <w:lang w:eastAsia="en-US"/>
        </w:rPr>
        <w:t>АлАт</w:t>
      </w:r>
      <w:proofErr w:type="spellEnd"/>
      <w:r w:rsidRPr="00520861">
        <w:rPr>
          <w:rFonts w:eastAsia="Calibri"/>
          <w:sz w:val="28"/>
          <w:szCs w:val="28"/>
          <w:lang w:eastAsia="en-US"/>
        </w:rPr>
        <w:t xml:space="preserve"> та </w:t>
      </w:r>
      <w:proofErr w:type="spellStart"/>
      <w:r w:rsidRPr="00520861">
        <w:rPr>
          <w:rFonts w:eastAsia="Calibri"/>
          <w:sz w:val="28"/>
          <w:szCs w:val="28"/>
          <w:lang w:eastAsia="en-US"/>
        </w:rPr>
        <w:t>АсАт</w:t>
      </w:r>
      <w:proofErr w:type="spellEnd"/>
      <w:r w:rsidRPr="00520861">
        <w:rPr>
          <w:rFonts w:eastAsia="Calibri"/>
          <w:sz w:val="28"/>
          <w:szCs w:val="28"/>
          <w:lang w:eastAsia="en-US"/>
        </w:rPr>
        <w:t xml:space="preserve"> ІЛ-1β, ІЛ-10, </w:t>
      </w:r>
      <w:proofErr w:type="spellStart"/>
      <w:r w:rsidRPr="00520861">
        <w:rPr>
          <w:rFonts w:eastAsia="Calibri"/>
          <w:sz w:val="28"/>
          <w:szCs w:val="28"/>
          <w:lang w:eastAsia="en-US"/>
        </w:rPr>
        <w:t>sIgA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IgG</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IgМ</w:t>
      </w:r>
      <w:proofErr w:type="spellEnd"/>
      <w:r w:rsidRPr="00520861">
        <w:rPr>
          <w:rFonts w:eastAsia="Calibri"/>
          <w:sz w:val="28"/>
          <w:szCs w:val="28"/>
          <w:lang w:eastAsia="en-US"/>
        </w:rPr>
        <w:t xml:space="preserve"> й </w:t>
      </w:r>
      <w:proofErr w:type="spellStart"/>
      <w:r w:rsidRPr="00520861">
        <w:rPr>
          <w:rFonts w:eastAsia="Calibri"/>
          <w:sz w:val="28"/>
          <w:szCs w:val="28"/>
          <w:lang w:eastAsia="en-US"/>
        </w:rPr>
        <w:t>оксипроліну</w:t>
      </w:r>
      <w:proofErr w:type="spellEnd"/>
      <w:r w:rsidRPr="00520861">
        <w:rPr>
          <w:rFonts w:eastAsia="Calibri"/>
          <w:sz w:val="28"/>
          <w:szCs w:val="28"/>
          <w:lang w:eastAsia="en-US"/>
        </w:rPr>
        <w:t xml:space="preserve"> в ротовій рідині.</w:t>
      </w:r>
    </w:p>
    <w:p w14:paraId="6D154D5D" w14:textId="77777777" w:rsidR="00292D2E" w:rsidRPr="00520861" w:rsidRDefault="00292D2E" w:rsidP="00292D2E">
      <w:pPr>
        <w:widowControl w:val="0"/>
        <w:spacing w:line="360" w:lineRule="auto"/>
        <w:ind w:firstLine="708"/>
        <w:contextualSpacing/>
        <w:jc w:val="both"/>
        <w:rPr>
          <w:sz w:val="28"/>
          <w:szCs w:val="28"/>
        </w:rPr>
      </w:pPr>
    </w:p>
    <w:p w14:paraId="6545D5CE" w14:textId="77777777" w:rsidR="00292D2E" w:rsidRPr="00520861" w:rsidRDefault="00292D2E" w:rsidP="00292D2E">
      <w:pPr>
        <w:widowControl w:val="0"/>
        <w:spacing w:line="360" w:lineRule="auto"/>
        <w:ind w:firstLine="708"/>
        <w:contextualSpacing/>
        <w:jc w:val="both"/>
        <w:rPr>
          <w:sz w:val="28"/>
          <w:szCs w:val="28"/>
        </w:rPr>
      </w:pPr>
    </w:p>
    <w:p w14:paraId="432824C4" w14:textId="77777777" w:rsidR="00292D2E" w:rsidRPr="00520861" w:rsidRDefault="00292D2E" w:rsidP="00292D2E">
      <w:pPr>
        <w:widowControl w:val="0"/>
        <w:spacing w:line="360" w:lineRule="auto"/>
        <w:ind w:firstLine="708"/>
        <w:contextualSpacing/>
        <w:jc w:val="both"/>
        <w:rPr>
          <w:sz w:val="28"/>
          <w:szCs w:val="28"/>
        </w:rPr>
      </w:pPr>
    </w:p>
    <w:p w14:paraId="76174060" w14:textId="77777777" w:rsidR="00292D2E" w:rsidRPr="00520861" w:rsidRDefault="00292D2E" w:rsidP="00292D2E">
      <w:pPr>
        <w:widowControl w:val="0"/>
        <w:spacing w:line="360" w:lineRule="auto"/>
        <w:ind w:firstLine="708"/>
        <w:contextualSpacing/>
        <w:jc w:val="both"/>
        <w:rPr>
          <w:sz w:val="28"/>
          <w:szCs w:val="28"/>
        </w:rPr>
      </w:pPr>
    </w:p>
    <w:p w14:paraId="750DA685" w14:textId="77777777" w:rsidR="00292D2E" w:rsidRPr="00520861" w:rsidRDefault="00292D2E" w:rsidP="00292D2E">
      <w:pPr>
        <w:widowControl w:val="0"/>
        <w:spacing w:line="360" w:lineRule="auto"/>
        <w:ind w:firstLine="708"/>
        <w:contextualSpacing/>
        <w:jc w:val="both"/>
        <w:rPr>
          <w:sz w:val="28"/>
          <w:szCs w:val="28"/>
        </w:rPr>
      </w:pPr>
    </w:p>
    <w:p w14:paraId="27BA4211" w14:textId="77777777" w:rsidR="00292D2E" w:rsidRPr="00520861" w:rsidRDefault="00292D2E" w:rsidP="00292D2E">
      <w:pPr>
        <w:widowControl w:val="0"/>
        <w:spacing w:line="360" w:lineRule="auto"/>
        <w:ind w:firstLine="708"/>
        <w:contextualSpacing/>
        <w:jc w:val="both"/>
        <w:rPr>
          <w:sz w:val="28"/>
          <w:szCs w:val="28"/>
        </w:rPr>
      </w:pPr>
    </w:p>
    <w:p w14:paraId="2F85427F" w14:textId="77777777" w:rsidR="00292D2E" w:rsidRPr="00520861" w:rsidRDefault="00292D2E" w:rsidP="00292D2E">
      <w:pPr>
        <w:widowControl w:val="0"/>
        <w:spacing w:line="360" w:lineRule="auto"/>
        <w:ind w:firstLine="708"/>
        <w:contextualSpacing/>
        <w:jc w:val="both"/>
        <w:rPr>
          <w:sz w:val="28"/>
          <w:szCs w:val="28"/>
        </w:rPr>
      </w:pPr>
    </w:p>
    <w:p w14:paraId="2654BE15" w14:textId="77777777" w:rsidR="00292D2E" w:rsidRPr="00520861" w:rsidRDefault="00292D2E" w:rsidP="00292D2E">
      <w:pPr>
        <w:widowControl w:val="0"/>
        <w:spacing w:line="360" w:lineRule="auto"/>
        <w:ind w:firstLine="708"/>
        <w:contextualSpacing/>
        <w:jc w:val="both"/>
        <w:rPr>
          <w:sz w:val="28"/>
          <w:szCs w:val="28"/>
        </w:rPr>
      </w:pPr>
    </w:p>
    <w:p w14:paraId="1C0CEB18" w14:textId="77777777" w:rsidR="00292D2E" w:rsidRPr="00520861" w:rsidRDefault="00292D2E" w:rsidP="00292D2E">
      <w:pPr>
        <w:widowControl w:val="0"/>
        <w:spacing w:line="360" w:lineRule="auto"/>
        <w:ind w:firstLine="708"/>
        <w:contextualSpacing/>
        <w:jc w:val="both"/>
        <w:rPr>
          <w:sz w:val="28"/>
          <w:szCs w:val="28"/>
        </w:rPr>
      </w:pPr>
    </w:p>
    <w:p w14:paraId="36A3CBCA" w14:textId="77777777" w:rsidR="00292D2E" w:rsidRPr="00520861" w:rsidRDefault="00FA6A69" w:rsidP="00FA6A69">
      <w:pPr>
        <w:widowControl w:val="0"/>
        <w:spacing w:line="360" w:lineRule="auto"/>
        <w:ind w:firstLine="708"/>
        <w:contextualSpacing/>
        <w:jc w:val="both"/>
        <w:rPr>
          <w:sz w:val="28"/>
          <w:szCs w:val="28"/>
        </w:rPr>
      </w:pPr>
      <w:r w:rsidRPr="00520861">
        <w:rPr>
          <w:sz w:val="28"/>
          <w:szCs w:val="28"/>
        </w:rPr>
        <w:br w:type="page"/>
      </w:r>
    </w:p>
    <w:p w14:paraId="44CDD694" w14:textId="77777777" w:rsidR="00292D2E" w:rsidRPr="00520861" w:rsidRDefault="00292D2E" w:rsidP="00E87C97">
      <w:pPr>
        <w:widowControl w:val="0"/>
        <w:spacing w:line="360" w:lineRule="auto"/>
        <w:jc w:val="center"/>
        <w:rPr>
          <w:rFonts w:eastAsiaTheme="minorHAnsi"/>
          <w:b/>
          <w:sz w:val="28"/>
          <w:szCs w:val="28"/>
          <w:lang w:eastAsia="en-US"/>
        </w:rPr>
      </w:pPr>
      <w:r w:rsidRPr="00520861">
        <w:rPr>
          <w:rFonts w:eastAsiaTheme="minorHAnsi"/>
          <w:b/>
          <w:sz w:val="28"/>
          <w:szCs w:val="28"/>
          <w:lang w:eastAsia="en-US"/>
        </w:rPr>
        <w:lastRenderedPageBreak/>
        <w:t>СПИСОК ВИКОРИСТАНИХ ДЖЕРЕЛ</w:t>
      </w:r>
    </w:p>
    <w:p w14:paraId="27ADCF92" w14:textId="77777777" w:rsidR="00292D2E" w:rsidRPr="00520861" w:rsidRDefault="00292D2E" w:rsidP="00E87C97">
      <w:pPr>
        <w:widowControl w:val="0"/>
        <w:spacing w:line="360" w:lineRule="auto"/>
        <w:jc w:val="center"/>
        <w:rPr>
          <w:rFonts w:eastAsiaTheme="minorHAnsi"/>
          <w:b/>
          <w:sz w:val="28"/>
          <w:szCs w:val="28"/>
          <w:lang w:eastAsia="en-US"/>
        </w:rPr>
      </w:pPr>
    </w:p>
    <w:p w14:paraId="5200EBC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Авдєєв ОВ, </w:t>
      </w:r>
      <w:proofErr w:type="spellStart"/>
      <w:r w:rsidRPr="00520861">
        <w:rPr>
          <w:rFonts w:eastAsiaTheme="minorHAnsi"/>
          <w:sz w:val="28"/>
          <w:szCs w:val="28"/>
          <w:lang w:eastAsia="en-US"/>
        </w:rPr>
        <w:t>Змарко</w:t>
      </w:r>
      <w:proofErr w:type="spellEnd"/>
      <w:r w:rsidRPr="00520861">
        <w:rPr>
          <w:rFonts w:eastAsiaTheme="minorHAnsi"/>
          <w:sz w:val="28"/>
          <w:szCs w:val="28"/>
          <w:lang w:eastAsia="en-US"/>
        </w:rPr>
        <w:t xml:space="preserve"> ЮК, Бойків АБ, </w:t>
      </w:r>
      <w:proofErr w:type="spellStart"/>
      <w:r w:rsidRPr="00520861">
        <w:rPr>
          <w:rFonts w:eastAsiaTheme="minorHAnsi"/>
          <w:sz w:val="28"/>
          <w:szCs w:val="28"/>
          <w:lang w:eastAsia="en-US"/>
        </w:rPr>
        <w:t>Древніцька</w:t>
      </w:r>
      <w:proofErr w:type="spellEnd"/>
      <w:r w:rsidRPr="00520861">
        <w:rPr>
          <w:rFonts w:eastAsiaTheme="minorHAnsi"/>
          <w:sz w:val="28"/>
          <w:szCs w:val="28"/>
          <w:lang w:eastAsia="en-US"/>
        </w:rPr>
        <w:t xml:space="preserve"> РО. Динаміка показників ротової рідини та клінічного стану тканин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у дітей із гінгівітом під впливом лікувально-профілактичних заходів. Вісник наукових досліджень. 2017;(1): 102–105. </w:t>
      </w:r>
      <w:r w:rsidRPr="00520861">
        <w:rPr>
          <w:rFonts w:eastAsiaTheme="minorHAnsi"/>
          <w:sz w:val="28"/>
          <w:szCs w:val="28"/>
          <w:lang w:val="ru-RU" w:eastAsia="en-US"/>
        </w:rPr>
        <w:t>Доступно на:</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10.11603/2415-8798.2017.1.7517.</w:t>
      </w:r>
    </w:p>
    <w:p w14:paraId="0862260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Александров ЕИ, Агафонова ГЮ, Александров ИН, Корж ВИ, </w:t>
      </w:r>
      <w:proofErr w:type="spellStart"/>
      <w:r w:rsidRPr="00520861">
        <w:rPr>
          <w:rFonts w:eastAsiaTheme="minorHAnsi"/>
          <w:sz w:val="28"/>
          <w:szCs w:val="28"/>
          <w:lang w:eastAsia="en-US"/>
        </w:rPr>
        <w:t>Ушич</w:t>
      </w:r>
      <w:proofErr w:type="spellEnd"/>
      <w:r w:rsidRPr="00520861">
        <w:rPr>
          <w:rFonts w:eastAsiaTheme="minorHAnsi"/>
          <w:sz w:val="28"/>
          <w:szCs w:val="28"/>
          <w:lang w:eastAsia="en-US"/>
        </w:rPr>
        <w:t xml:space="preserve"> ОА. </w:t>
      </w:r>
      <w:proofErr w:type="spellStart"/>
      <w:r w:rsidRPr="00520861">
        <w:rPr>
          <w:rFonts w:eastAsiaTheme="minorHAnsi"/>
          <w:sz w:val="28"/>
          <w:szCs w:val="28"/>
          <w:lang w:eastAsia="en-US"/>
        </w:rPr>
        <w:t>Кариес</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хронический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генерализованный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пародонтит</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дефицит</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эстрогенов</w:t>
      </w:r>
      <w:proofErr w:type="spellEnd"/>
      <w:r w:rsidRPr="00520861">
        <w:rPr>
          <w:rFonts w:eastAsiaTheme="minorHAnsi"/>
          <w:sz w:val="28"/>
          <w:szCs w:val="28"/>
          <w:lang w:eastAsia="en-US"/>
        </w:rPr>
        <w:t xml:space="preserve"> и </w:t>
      </w:r>
      <w:r w:rsidR="00B22E6A" w:rsidRPr="00520861">
        <w:rPr>
          <w:rFonts w:eastAsiaTheme="minorHAnsi"/>
          <w:sz w:val="28"/>
          <w:szCs w:val="28"/>
          <w:lang w:eastAsia="en-US"/>
        </w:rPr>
        <w:br/>
      </w:r>
      <w:proofErr w:type="spellStart"/>
      <w:r w:rsidRPr="00520861">
        <w:rPr>
          <w:rFonts w:eastAsiaTheme="minorHAnsi"/>
          <w:sz w:val="28"/>
          <w:szCs w:val="28"/>
          <w:lang w:eastAsia="en-US"/>
        </w:rPr>
        <w:t>электролитов</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женщин</w:t>
      </w:r>
      <w:proofErr w:type="spellEnd"/>
      <w:r w:rsidRPr="00520861">
        <w:rPr>
          <w:rFonts w:eastAsiaTheme="minorHAnsi"/>
          <w:sz w:val="28"/>
          <w:szCs w:val="28"/>
          <w:lang w:val="ru-RU" w:eastAsia="en-US"/>
        </w:rPr>
        <w:t xml:space="preserve">. </w:t>
      </w:r>
      <w:r w:rsidRPr="00520861">
        <w:rPr>
          <w:rFonts w:eastAsiaTheme="minorHAnsi"/>
          <w:i/>
          <w:sz w:val="28"/>
          <w:szCs w:val="28"/>
          <w:lang w:eastAsia="en-US"/>
        </w:rPr>
        <w:t>Медико-соціальні проблеми сім'ї</w:t>
      </w:r>
      <w:r w:rsidRPr="00520861">
        <w:rPr>
          <w:rFonts w:eastAsiaTheme="minorHAnsi"/>
          <w:sz w:val="28"/>
          <w:szCs w:val="28"/>
          <w:lang w:eastAsia="en-US"/>
        </w:rPr>
        <w:t>. 2013</w:t>
      </w:r>
      <w:r w:rsidRPr="00520861">
        <w:rPr>
          <w:rFonts w:eastAsiaTheme="minorHAnsi"/>
          <w:sz w:val="28"/>
          <w:szCs w:val="28"/>
          <w:lang w:val="ru-RU" w:eastAsia="en-US"/>
        </w:rPr>
        <w:t>;</w:t>
      </w:r>
      <w:r w:rsidRPr="00520861">
        <w:rPr>
          <w:rFonts w:eastAsiaTheme="minorHAnsi"/>
          <w:sz w:val="28"/>
          <w:szCs w:val="28"/>
          <w:lang w:eastAsia="en-US"/>
        </w:rPr>
        <w:t>18</w:t>
      </w:r>
      <w:r w:rsidRPr="00520861">
        <w:rPr>
          <w:rFonts w:eastAsiaTheme="minorHAnsi"/>
          <w:sz w:val="28"/>
          <w:szCs w:val="28"/>
          <w:lang w:val="ru-RU" w:eastAsia="en-US"/>
        </w:rPr>
        <w:t>(</w:t>
      </w:r>
      <w:r w:rsidRPr="00520861">
        <w:rPr>
          <w:rFonts w:eastAsiaTheme="minorHAnsi"/>
          <w:sz w:val="28"/>
          <w:szCs w:val="28"/>
          <w:lang w:eastAsia="en-US"/>
        </w:rPr>
        <w:t>3</w:t>
      </w:r>
      <w:r w:rsidRPr="00520861">
        <w:rPr>
          <w:rFonts w:eastAsiaTheme="minorHAnsi"/>
          <w:sz w:val="28"/>
          <w:szCs w:val="28"/>
          <w:lang w:val="ru-RU" w:eastAsia="en-US"/>
        </w:rPr>
        <w:t>):</w:t>
      </w:r>
      <w:r w:rsidRPr="00520861">
        <w:rPr>
          <w:rFonts w:eastAsiaTheme="minorHAnsi"/>
          <w:sz w:val="28"/>
          <w:szCs w:val="28"/>
          <w:lang w:eastAsia="en-US"/>
        </w:rPr>
        <w:t xml:space="preserve"> 81–85. </w:t>
      </w:r>
      <w:r w:rsidR="00B22E6A" w:rsidRPr="00520861">
        <w:rPr>
          <w:rFonts w:eastAsiaTheme="minorHAnsi"/>
          <w:sz w:val="28"/>
          <w:szCs w:val="28"/>
          <w:lang w:eastAsia="en-US"/>
        </w:rPr>
        <w:br/>
      </w:r>
      <w:r w:rsidRPr="00520861">
        <w:rPr>
          <w:rFonts w:eastAsiaTheme="minorHAnsi"/>
          <w:sz w:val="28"/>
          <w:szCs w:val="28"/>
          <w:lang w:val="ru-RU" w:eastAsia="en-US"/>
        </w:rPr>
        <w:t>Доступно на:</w:t>
      </w:r>
      <w:r w:rsidRPr="00520861">
        <w:rPr>
          <w:rFonts w:eastAsiaTheme="minorHAnsi"/>
          <w:sz w:val="28"/>
          <w:szCs w:val="28"/>
          <w:lang w:eastAsia="en-US"/>
        </w:rPr>
        <w:t xml:space="preserve"> http://nbuv.gov.ua/UJRN/Msps_2013_18_3_17</w:t>
      </w:r>
      <w:r w:rsidRPr="00520861">
        <w:rPr>
          <w:rFonts w:eastAsiaTheme="minorHAnsi"/>
          <w:sz w:val="28"/>
          <w:szCs w:val="28"/>
          <w:lang w:val="ru-RU" w:eastAsia="en-US"/>
        </w:rPr>
        <w:t>.</w:t>
      </w:r>
    </w:p>
    <w:p w14:paraId="3859DA9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Амиг</w:t>
      </w:r>
      <w:proofErr w:type="spellEnd"/>
      <w:r w:rsidRPr="00520861">
        <w:rPr>
          <w:rFonts w:eastAsiaTheme="minorHAnsi"/>
          <w:sz w:val="28"/>
          <w:szCs w:val="28"/>
          <w:lang w:eastAsia="en-US"/>
        </w:rPr>
        <w:t xml:space="preserve"> Ж-П. </w:t>
      </w:r>
      <w:proofErr w:type="spellStart"/>
      <w:r w:rsidRPr="00520861">
        <w:rPr>
          <w:rFonts w:eastAsiaTheme="minorHAnsi"/>
          <w:i/>
          <w:sz w:val="28"/>
          <w:szCs w:val="28"/>
          <w:lang w:eastAsia="en-US"/>
        </w:rPr>
        <w:t>Зубочелюстная</w:t>
      </w:r>
      <w:proofErr w:type="spellEnd"/>
      <w:r w:rsidRPr="00520861">
        <w:rPr>
          <w:rFonts w:eastAsiaTheme="minorHAnsi"/>
          <w:i/>
          <w:sz w:val="28"/>
          <w:szCs w:val="28"/>
          <w:lang w:eastAsia="en-US"/>
        </w:rPr>
        <w:t xml:space="preserve"> система. </w:t>
      </w:r>
      <w:proofErr w:type="spellStart"/>
      <w:r w:rsidRPr="00520861">
        <w:rPr>
          <w:rFonts w:eastAsiaTheme="minorHAnsi"/>
          <w:i/>
          <w:sz w:val="28"/>
          <w:szCs w:val="28"/>
          <w:lang w:eastAsia="en-US"/>
        </w:rPr>
        <w:t>Стоматологическая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концепция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Остеопатическая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концепция</w:t>
      </w:r>
      <w:proofErr w:type="spellEnd"/>
      <w:r w:rsidRPr="00520861">
        <w:rPr>
          <w:rFonts w:eastAsiaTheme="minorHAnsi"/>
          <w:sz w:val="28"/>
          <w:szCs w:val="28"/>
          <w:lang w:eastAsia="en-US"/>
        </w:rPr>
        <w:t>. С-</w:t>
      </w:r>
      <w:proofErr w:type="spellStart"/>
      <w:r w:rsidRPr="00520861">
        <w:rPr>
          <w:rFonts w:eastAsiaTheme="minorHAnsi"/>
          <w:sz w:val="28"/>
          <w:szCs w:val="28"/>
          <w:lang w:eastAsia="en-US"/>
        </w:rPr>
        <w:t>Петерб</w:t>
      </w:r>
      <w:proofErr w:type="spellEnd"/>
      <w:r w:rsidRPr="00520861">
        <w:rPr>
          <w:rFonts w:eastAsiaTheme="minorHAnsi"/>
          <w:sz w:val="28"/>
          <w:szCs w:val="28"/>
          <w:lang w:eastAsia="en-US"/>
        </w:rPr>
        <w:t xml:space="preserve">, РФ: </w:t>
      </w:r>
      <w:proofErr w:type="spellStart"/>
      <w:r w:rsidRPr="00520861">
        <w:rPr>
          <w:rFonts w:eastAsiaTheme="minorHAnsi"/>
          <w:sz w:val="28"/>
          <w:szCs w:val="28"/>
          <w:lang w:eastAsia="en-US"/>
        </w:rPr>
        <w:t>Невский</w:t>
      </w:r>
      <w:proofErr w:type="spellEnd"/>
      <w:r w:rsidRPr="00520861">
        <w:rPr>
          <w:rFonts w:eastAsiaTheme="minorHAnsi"/>
          <w:sz w:val="28"/>
          <w:szCs w:val="28"/>
          <w:lang w:eastAsia="en-US"/>
        </w:rPr>
        <w:t xml:space="preserve"> ракурс; 2013. 240 </w:t>
      </w:r>
      <w:r w:rsidRPr="00520861">
        <w:rPr>
          <w:rFonts w:eastAsiaTheme="minorHAnsi"/>
          <w:sz w:val="28"/>
          <w:szCs w:val="28"/>
          <w:lang w:val="en-US" w:eastAsia="en-US"/>
        </w:rPr>
        <w:t>c</w:t>
      </w:r>
      <w:r w:rsidRPr="00520861">
        <w:rPr>
          <w:rFonts w:eastAsiaTheme="minorHAnsi"/>
          <w:sz w:val="28"/>
          <w:szCs w:val="28"/>
          <w:lang w:eastAsia="en-US"/>
        </w:rPr>
        <w:t xml:space="preserve">. </w:t>
      </w:r>
    </w:p>
    <w:p w14:paraId="6A23E35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Антоненко МЮ. </w:t>
      </w:r>
      <w:r w:rsidRPr="00520861">
        <w:rPr>
          <w:rFonts w:eastAsiaTheme="minorHAnsi"/>
          <w:i/>
          <w:sz w:val="28"/>
          <w:szCs w:val="28"/>
          <w:lang w:eastAsia="en-US"/>
        </w:rPr>
        <w:t xml:space="preserve">Наукове обґрунтування сучасної стратегії профілактики захворювань </w:t>
      </w:r>
      <w:proofErr w:type="spellStart"/>
      <w:r w:rsidRPr="00520861">
        <w:rPr>
          <w:rFonts w:eastAsiaTheme="minorHAnsi"/>
          <w:i/>
          <w:sz w:val="28"/>
          <w:szCs w:val="28"/>
          <w:lang w:eastAsia="en-US"/>
        </w:rPr>
        <w:t>пародонта</w:t>
      </w:r>
      <w:proofErr w:type="spellEnd"/>
      <w:r w:rsidRPr="00520861">
        <w:rPr>
          <w:rFonts w:eastAsiaTheme="minorHAnsi"/>
          <w:i/>
          <w:sz w:val="28"/>
          <w:szCs w:val="28"/>
          <w:lang w:eastAsia="en-US"/>
        </w:rPr>
        <w:t xml:space="preserve"> в Україні</w:t>
      </w:r>
      <w:r w:rsidRPr="00520861">
        <w:rPr>
          <w:rFonts w:eastAsiaTheme="minorHAnsi"/>
          <w:sz w:val="28"/>
          <w:szCs w:val="28"/>
          <w:lang w:eastAsia="en-US"/>
        </w:rPr>
        <w:t xml:space="preserve"> [автореферат дисертації]. Полтава: ДВНЗ України "</w:t>
      </w:r>
      <w:proofErr w:type="spellStart"/>
      <w:r w:rsidRPr="00520861">
        <w:rPr>
          <w:rFonts w:eastAsiaTheme="minorHAnsi"/>
          <w:sz w:val="28"/>
          <w:szCs w:val="28"/>
          <w:lang w:eastAsia="en-US"/>
        </w:rPr>
        <w:t>Укр</w:t>
      </w:r>
      <w:proofErr w:type="spellEnd"/>
      <w:r w:rsidRPr="00520861">
        <w:rPr>
          <w:rFonts w:eastAsiaTheme="minorHAnsi"/>
          <w:sz w:val="28"/>
          <w:szCs w:val="28"/>
          <w:lang w:eastAsia="en-US"/>
        </w:rPr>
        <w:t xml:space="preserve">. мед. </w:t>
      </w:r>
      <w:proofErr w:type="spellStart"/>
      <w:r w:rsidRPr="00520861">
        <w:rPr>
          <w:rFonts w:eastAsiaTheme="minorHAnsi"/>
          <w:sz w:val="28"/>
          <w:szCs w:val="28"/>
          <w:lang w:eastAsia="en-US"/>
        </w:rPr>
        <w:t>стоматол</w:t>
      </w:r>
      <w:proofErr w:type="spellEnd"/>
      <w:r w:rsidRPr="00520861">
        <w:rPr>
          <w:rFonts w:eastAsiaTheme="minorHAnsi"/>
          <w:sz w:val="28"/>
          <w:szCs w:val="28"/>
          <w:lang w:eastAsia="en-US"/>
        </w:rPr>
        <w:t xml:space="preserve">. акад."; 2012. 40 с. </w:t>
      </w:r>
    </w:p>
    <w:p w14:paraId="7DD47C0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Асиятилов</w:t>
      </w:r>
      <w:proofErr w:type="spellEnd"/>
      <w:r w:rsidRPr="00520861">
        <w:rPr>
          <w:rFonts w:eastAsiaTheme="minorHAnsi"/>
          <w:sz w:val="28"/>
          <w:szCs w:val="28"/>
          <w:lang w:eastAsia="en-US"/>
        </w:rPr>
        <w:t xml:space="preserve"> АХ, </w:t>
      </w:r>
      <w:proofErr w:type="spellStart"/>
      <w:r w:rsidRPr="00520861">
        <w:rPr>
          <w:rFonts w:eastAsiaTheme="minorHAnsi"/>
          <w:sz w:val="28"/>
          <w:szCs w:val="28"/>
          <w:lang w:eastAsia="en-US"/>
        </w:rPr>
        <w:t>Асиятилов</w:t>
      </w:r>
      <w:proofErr w:type="spellEnd"/>
      <w:r w:rsidRPr="00520861">
        <w:rPr>
          <w:rFonts w:eastAsiaTheme="minorHAnsi"/>
          <w:sz w:val="28"/>
          <w:szCs w:val="28"/>
          <w:lang w:eastAsia="en-US"/>
        </w:rPr>
        <w:t xml:space="preserve"> ГА, </w:t>
      </w:r>
      <w:proofErr w:type="spellStart"/>
      <w:r w:rsidRPr="00520861">
        <w:rPr>
          <w:rFonts w:eastAsiaTheme="minorHAnsi"/>
          <w:sz w:val="28"/>
          <w:szCs w:val="28"/>
          <w:lang w:eastAsia="en-US"/>
        </w:rPr>
        <w:t>Ордашев</w:t>
      </w:r>
      <w:proofErr w:type="spellEnd"/>
      <w:r w:rsidRPr="00520861">
        <w:rPr>
          <w:rFonts w:eastAsiaTheme="minorHAnsi"/>
          <w:sz w:val="28"/>
          <w:szCs w:val="28"/>
          <w:lang w:eastAsia="en-US"/>
        </w:rPr>
        <w:t xml:space="preserve"> ХА. </w:t>
      </w:r>
      <w:proofErr w:type="spellStart"/>
      <w:r w:rsidRPr="00520861">
        <w:rPr>
          <w:rFonts w:eastAsiaTheme="minorHAnsi"/>
          <w:sz w:val="28"/>
          <w:szCs w:val="28"/>
          <w:lang w:eastAsia="en-US"/>
        </w:rPr>
        <w:t>Состояние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слюновыделительной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системы</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больных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сиаладенозом</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патологии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щитовидной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железы</w:t>
      </w:r>
      <w:proofErr w:type="spellEnd"/>
      <w:r w:rsidRPr="00520861">
        <w:rPr>
          <w:rFonts w:eastAsiaTheme="minorHAnsi"/>
          <w:sz w:val="28"/>
          <w:szCs w:val="28"/>
          <w:lang w:eastAsia="en-US"/>
        </w:rPr>
        <w:t xml:space="preserve">. </w:t>
      </w:r>
      <w:r w:rsidR="00B22E6A" w:rsidRPr="00520861">
        <w:rPr>
          <w:rFonts w:eastAsiaTheme="minorHAnsi"/>
          <w:sz w:val="28"/>
          <w:szCs w:val="28"/>
          <w:lang w:eastAsia="en-US"/>
        </w:rPr>
        <w:br/>
      </w:r>
      <w:proofErr w:type="spellStart"/>
      <w:r w:rsidRPr="00520861">
        <w:rPr>
          <w:rFonts w:eastAsiaTheme="minorHAnsi"/>
          <w:i/>
          <w:sz w:val="28"/>
          <w:szCs w:val="28"/>
          <w:lang w:eastAsia="en-US"/>
        </w:rPr>
        <w:t>Вестн</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дагестанской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гос</w:t>
      </w:r>
      <w:proofErr w:type="spellEnd"/>
      <w:r w:rsidRPr="00520861">
        <w:rPr>
          <w:rFonts w:eastAsiaTheme="minorHAnsi"/>
          <w:i/>
          <w:sz w:val="28"/>
          <w:szCs w:val="28"/>
          <w:lang w:eastAsia="en-US"/>
        </w:rPr>
        <w:t xml:space="preserve"> мед акад</w:t>
      </w:r>
      <w:r w:rsidRPr="00520861">
        <w:rPr>
          <w:rFonts w:eastAsiaTheme="minorHAnsi"/>
          <w:sz w:val="28"/>
          <w:szCs w:val="28"/>
          <w:lang w:eastAsia="en-US"/>
        </w:rPr>
        <w:t>. 2012;(1): 28–30.</w:t>
      </w:r>
    </w:p>
    <w:p w14:paraId="5BA818E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Баранова МС. </w:t>
      </w:r>
      <w:r w:rsidRPr="00520861">
        <w:rPr>
          <w:rFonts w:eastAsiaTheme="minorHAnsi"/>
          <w:i/>
          <w:sz w:val="28"/>
          <w:szCs w:val="28"/>
          <w:lang w:eastAsia="en-US"/>
        </w:rPr>
        <w:t>Вплив гіпокінезії вагітної самиці на стан зубів дорослого потомства</w:t>
      </w:r>
      <w:r w:rsidRPr="00520861">
        <w:rPr>
          <w:rFonts w:eastAsiaTheme="minorHAnsi"/>
          <w:sz w:val="28"/>
          <w:szCs w:val="28"/>
          <w:lang w:eastAsia="en-US"/>
        </w:rPr>
        <w:t xml:space="preserve"> [дисертація]. Харків: ДВНЗ України "Харківський </w:t>
      </w:r>
      <w:proofErr w:type="spellStart"/>
      <w:r w:rsidRPr="00520861">
        <w:rPr>
          <w:rFonts w:eastAsiaTheme="minorHAnsi"/>
          <w:sz w:val="28"/>
          <w:szCs w:val="28"/>
          <w:lang w:eastAsia="en-US"/>
        </w:rPr>
        <w:t>нац</w:t>
      </w:r>
      <w:proofErr w:type="spellEnd"/>
      <w:r w:rsidRPr="00520861">
        <w:rPr>
          <w:rFonts w:eastAsiaTheme="minorHAnsi"/>
          <w:sz w:val="28"/>
          <w:szCs w:val="28"/>
          <w:lang w:eastAsia="en-US"/>
        </w:rPr>
        <w:t>. мед. ун-т"; 2019. 132 с.</w:t>
      </w:r>
    </w:p>
    <w:p w14:paraId="5AD10F0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Баранова МС</w:t>
      </w:r>
      <w:r w:rsidRPr="00520861">
        <w:rPr>
          <w:rFonts w:eastAsiaTheme="minorHAnsi"/>
          <w:sz w:val="28"/>
          <w:szCs w:val="28"/>
          <w:lang w:val="ru-RU" w:eastAsia="en-US"/>
        </w:rPr>
        <w:t>,</w:t>
      </w:r>
      <w:r w:rsidRPr="00520861">
        <w:rPr>
          <w:rFonts w:eastAsiaTheme="minorHAnsi"/>
          <w:sz w:val="28"/>
          <w:szCs w:val="28"/>
          <w:lang w:eastAsia="en-US"/>
        </w:rPr>
        <w:t xml:space="preserve"> Горбач ТВ, Губина-Вакулик ГИ. </w:t>
      </w:r>
      <w:proofErr w:type="spellStart"/>
      <w:r w:rsidRPr="00520861">
        <w:rPr>
          <w:rFonts w:eastAsiaTheme="minorHAnsi"/>
          <w:sz w:val="28"/>
          <w:szCs w:val="28"/>
          <w:lang w:eastAsia="en-US"/>
        </w:rPr>
        <w:t>Метаболические</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морфологические</w:t>
      </w:r>
      <w:proofErr w:type="spellEnd"/>
      <w:r w:rsidRPr="00520861">
        <w:rPr>
          <w:rFonts w:eastAsiaTheme="minorHAnsi"/>
          <w:sz w:val="28"/>
          <w:szCs w:val="28"/>
          <w:lang w:eastAsia="en-US"/>
        </w:rPr>
        <w:t xml:space="preserve"> признаки </w:t>
      </w:r>
      <w:proofErr w:type="spellStart"/>
      <w:r w:rsidRPr="00520861">
        <w:rPr>
          <w:rFonts w:eastAsiaTheme="minorHAnsi"/>
          <w:sz w:val="28"/>
          <w:szCs w:val="28"/>
          <w:lang w:eastAsia="en-US"/>
        </w:rPr>
        <w:t>уменьшения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кариес-резистентности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потомков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гипокинетичных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матерей</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Експериментальна і клінічна медицина</w:t>
      </w:r>
      <w:r w:rsidRPr="00520861">
        <w:rPr>
          <w:rFonts w:eastAsiaTheme="minorHAnsi"/>
          <w:sz w:val="28"/>
          <w:szCs w:val="28"/>
          <w:lang w:eastAsia="en-US"/>
        </w:rPr>
        <w:t>. 2016</w:t>
      </w:r>
      <w:r w:rsidRPr="00520861">
        <w:rPr>
          <w:rFonts w:eastAsiaTheme="minorHAnsi"/>
          <w:sz w:val="28"/>
          <w:szCs w:val="28"/>
          <w:lang w:val="ru-RU" w:eastAsia="en-US"/>
        </w:rPr>
        <w:t>;(</w:t>
      </w:r>
      <w:r w:rsidRPr="00520861">
        <w:rPr>
          <w:rFonts w:eastAsiaTheme="minorHAnsi"/>
          <w:sz w:val="28"/>
          <w:szCs w:val="28"/>
          <w:lang w:eastAsia="en-US"/>
        </w:rPr>
        <w:t>2</w:t>
      </w:r>
      <w:r w:rsidRPr="00520861">
        <w:rPr>
          <w:rFonts w:eastAsiaTheme="minorHAnsi"/>
          <w:sz w:val="28"/>
          <w:szCs w:val="28"/>
          <w:lang w:val="ru-RU" w:eastAsia="en-US"/>
        </w:rPr>
        <w:t>):</w:t>
      </w:r>
      <w:r w:rsidRPr="00520861">
        <w:rPr>
          <w:rFonts w:eastAsiaTheme="minorHAnsi"/>
          <w:sz w:val="28"/>
          <w:szCs w:val="28"/>
          <w:lang w:eastAsia="en-US"/>
        </w:rPr>
        <w:t xml:space="preserve"> 26–30. </w:t>
      </w:r>
      <w:r w:rsidRPr="00520861">
        <w:rPr>
          <w:rFonts w:eastAsiaTheme="minorHAnsi"/>
          <w:sz w:val="28"/>
          <w:szCs w:val="28"/>
          <w:lang w:val="ru-RU" w:eastAsia="en-US"/>
        </w:rPr>
        <w:t xml:space="preserve">Доступно на: </w:t>
      </w:r>
      <w:r w:rsidRPr="00520861">
        <w:rPr>
          <w:rFonts w:eastAsiaTheme="minorHAnsi"/>
          <w:sz w:val="28"/>
          <w:szCs w:val="28"/>
          <w:lang w:eastAsia="en-US"/>
        </w:rPr>
        <w:t>http://nbuv.gov.ua/UJRN/eikm_2016_2_6.</w:t>
      </w:r>
    </w:p>
    <w:p w14:paraId="213AF5C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Баранова МС</w:t>
      </w:r>
      <w:r w:rsidRPr="00520861">
        <w:rPr>
          <w:rFonts w:eastAsiaTheme="minorHAnsi"/>
          <w:sz w:val="28"/>
          <w:szCs w:val="28"/>
          <w:lang w:val="ru-RU" w:eastAsia="en-US"/>
        </w:rPr>
        <w:t>,</w:t>
      </w:r>
      <w:r w:rsidRPr="00520861">
        <w:rPr>
          <w:rFonts w:eastAsiaTheme="minorHAnsi"/>
          <w:sz w:val="28"/>
          <w:szCs w:val="28"/>
          <w:lang w:eastAsia="en-US"/>
        </w:rPr>
        <w:t xml:space="preserve"> Губина-Вакулик ГИ. </w:t>
      </w:r>
      <w:proofErr w:type="spellStart"/>
      <w:r w:rsidRPr="00520861">
        <w:rPr>
          <w:rFonts w:eastAsiaTheme="minorHAnsi"/>
          <w:sz w:val="28"/>
          <w:szCs w:val="28"/>
          <w:lang w:eastAsia="en-US"/>
        </w:rPr>
        <w:t>Влияние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материнской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гипокинезии</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вынашивании</w:t>
      </w:r>
      <w:proofErr w:type="spellEnd"/>
      <w:r w:rsidRPr="00520861">
        <w:rPr>
          <w:rFonts w:eastAsiaTheme="minorHAnsi"/>
          <w:sz w:val="28"/>
          <w:szCs w:val="28"/>
          <w:lang w:eastAsia="en-US"/>
        </w:rPr>
        <w:t xml:space="preserve"> потомства на </w:t>
      </w:r>
      <w:proofErr w:type="spellStart"/>
      <w:r w:rsidRPr="00520861">
        <w:rPr>
          <w:rFonts w:eastAsiaTheme="minorHAnsi"/>
          <w:sz w:val="28"/>
          <w:szCs w:val="28"/>
          <w:lang w:eastAsia="en-US"/>
        </w:rPr>
        <w:t>морфофункциональное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состояние</w:t>
      </w:r>
      <w:proofErr w:type="spellEnd"/>
      <w:r w:rsidRPr="00520861">
        <w:rPr>
          <w:rFonts w:eastAsiaTheme="minorHAnsi"/>
          <w:sz w:val="28"/>
          <w:szCs w:val="28"/>
          <w:lang w:eastAsia="en-US"/>
        </w:rPr>
        <w:t xml:space="preserve"> тканей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взрослых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молодых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потомков</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2015</w:t>
      </w:r>
      <w:r w:rsidRPr="00520861">
        <w:rPr>
          <w:rFonts w:eastAsiaTheme="minorHAnsi"/>
          <w:sz w:val="28"/>
          <w:szCs w:val="28"/>
          <w:lang w:val="ru-RU" w:eastAsia="en-US"/>
        </w:rPr>
        <w:t>;</w:t>
      </w:r>
      <w:r w:rsidRPr="00520861">
        <w:rPr>
          <w:rFonts w:eastAsiaTheme="minorHAnsi"/>
          <w:sz w:val="28"/>
          <w:szCs w:val="28"/>
          <w:lang w:eastAsia="en-US"/>
        </w:rPr>
        <w:t>4(2</w:t>
      </w:r>
      <w:r w:rsidRPr="00520861">
        <w:rPr>
          <w:rFonts w:eastAsiaTheme="minorHAnsi"/>
          <w:sz w:val="28"/>
          <w:szCs w:val="28"/>
          <w:lang w:val="ru-RU" w:eastAsia="en-US"/>
        </w:rPr>
        <w:t>/125</w:t>
      </w:r>
      <w:r w:rsidRPr="00520861">
        <w:rPr>
          <w:rFonts w:eastAsiaTheme="minorHAnsi"/>
          <w:sz w:val="28"/>
          <w:szCs w:val="28"/>
          <w:lang w:eastAsia="en-US"/>
        </w:rPr>
        <w:t>)</w:t>
      </w:r>
      <w:r w:rsidRPr="00520861">
        <w:rPr>
          <w:rFonts w:eastAsiaTheme="minorHAnsi"/>
          <w:sz w:val="28"/>
          <w:szCs w:val="28"/>
          <w:lang w:val="ru-RU" w:eastAsia="en-US"/>
        </w:rPr>
        <w:t xml:space="preserve">: </w:t>
      </w:r>
      <w:r w:rsidRPr="00520861">
        <w:rPr>
          <w:rFonts w:eastAsiaTheme="minorHAnsi"/>
          <w:sz w:val="28"/>
          <w:szCs w:val="28"/>
          <w:lang w:eastAsia="en-US"/>
        </w:rPr>
        <w:t xml:space="preserve">339–343. </w:t>
      </w:r>
      <w:r w:rsidR="00B22E6A" w:rsidRPr="00520861">
        <w:rPr>
          <w:rFonts w:eastAsiaTheme="minorHAnsi"/>
          <w:sz w:val="28"/>
          <w:szCs w:val="28"/>
          <w:lang w:eastAsia="en-US"/>
        </w:rPr>
        <w:br/>
      </w:r>
      <w:r w:rsidRPr="00520861">
        <w:rPr>
          <w:rFonts w:eastAsiaTheme="minorHAnsi"/>
          <w:sz w:val="28"/>
          <w:szCs w:val="28"/>
          <w:lang w:val="ru-RU" w:eastAsia="en-US"/>
        </w:rPr>
        <w:t xml:space="preserve">Доступно на: </w:t>
      </w:r>
      <w:r w:rsidRPr="00520861">
        <w:rPr>
          <w:rFonts w:eastAsiaTheme="minorHAnsi"/>
          <w:sz w:val="28"/>
          <w:szCs w:val="28"/>
          <w:lang w:eastAsia="en-US"/>
        </w:rPr>
        <w:t>http://nbuv.gov.ua/UJRN/Vpbm_2015_4(2)__70.</w:t>
      </w:r>
    </w:p>
    <w:p w14:paraId="6DF2E85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Барило ОС, Агафонов КВ, Фурман РЛ. Рівень мінералізації щелеп у хворих з дисбалансом </w:t>
      </w:r>
      <w:proofErr w:type="spellStart"/>
      <w:r w:rsidRPr="00520861">
        <w:rPr>
          <w:rFonts w:eastAsiaTheme="minorHAnsi"/>
          <w:sz w:val="28"/>
          <w:szCs w:val="28"/>
          <w:lang w:eastAsia="en-US"/>
        </w:rPr>
        <w:t>естрогенів</w:t>
      </w:r>
      <w:proofErr w:type="spellEnd"/>
      <w:r w:rsidRPr="00520861">
        <w:rPr>
          <w:rFonts w:eastAsiaTheme="minorHAnsi"/>
          <w:sz w:val="28"/>
          <w:szCs w:val="28"/>
          <w:lang w:eastAsia="en-US"/>
        </w:rPr>
        <w:t xml:space="preserve"> за даними комп’ютерної томографії. </w:t>
      </w:r>
      <w:r w:rsidRPr="00520861">
        <w:rPr>
          <w:rFonts w:eastAsiaTheme="minorHAnsi"/>
          <w:i/>
          <w:sz w:val="28"/>
          <w:szCs w:val="28"/>
          <w:lang w:eastAsia="en-US"/>
        </w:rPr>
        <w:t>Сучасна стоматологія</w:t>
      </w:r>
      <w:r w:rsidRPr="00520861">
        <w:rPr>
          <w:rFonts w:eastAsiaTheme="minorHAnsi"/>
          <w:sz w:val="28"/>
          <w:szCs w:val="28"/>
          <w:lang w:eastAsia="en-US"/>
        </w:rPr>
        <w:t xml:space="preserve">. </w:t>
      </w:r>
      <w:r w:rsidRPr="00520861">
        <w:rPr>
          <w:rFonts w:eastAsiaTheme="minorHAnsi"/>
          <w:sz w:val="28"/>
          <w:szCs w:val="28"/>
          <w:lang w:eastAsia="en-US"/>
        </w:rPr>
        <w:lastRenderedPageBreak/>
        <w:t xml:space="preserve">2019;98(4): 24 – 28. </w:t>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10.33295/1992-576X-2019-4-24.</w:t>
      </w:r>
    </w:p>
    <w:p w14:paraId="1AC956A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Барчук</w:t>
      </w:r>
      <w:proofErr w:type="spellEnd"/>
      <w:r w:rsidRPr="00520861">
        <w:rPr>
          <w:rFonts w:eastAsiaTheme="minorHAnsi"/>
          <w:sz w:val="28"/>
          <w:szCs w:val="28"/>
          <w:lang w:eastAsia="en-US"/>
        </w:rPr>
        <w:t xml:space="preserve"> РР, </w:t>
      </w:r>
      <w:proofErr w:type="spellStart"/>
      <w:r w:rsidRPr="00520861">
        <w:rPr>
          <w:rFonts w:eastAsiaTheme="minorHAnsi"/>
          <w:sz w:val="28"/>
          <w:szCs w:val="28"/>
          <w:lang w:eastAsia="en-US"/>
        </w:rPr>
        <w:t>Попадинець</w:t>
      </w:r>
      <w:proofErr w:type="spellEnd"/>
      <w:r w:rsidRPr="00520861">
        <w:rPr>
          <w:rFonts w:eastAsiaTheme="minorHAnsi"/>
          <w:sz w:val="28"/>
          <w:szCs w:val="28"/>
          <w:lang w:eastAsia="en-US"/>
        </w:rPr>
        <w:t xml:space="preserve"> ОГ, Пастух МБ, Грищук МІ, Дубина НМ. </w:t>
      </w:r>
      <w:proofErr w:type="spellStart"/>
      <w:r w:rsidRPr="00520861">
        <w:rPr>
          <w:rFonts w:eastAsiaTheme="minorHAnsi"/>
          <w:sz w:val="28"/>
          <w:szCs w:val="28"/>
          <w:lang w:eastAsia="en-US"/>
        </w:rPr>
        <w:t>Морфофункціональні</w:t>
      </w:r>
      <w:proofErr w:type="spellEnd"/>
      <w:r w:rsidRPr="00520861">
        <w:rPr>
          <w:rFonts w:eastAsiaTheme="minorHAnsi"/>
          <w:sz w:val="28"/>
          <w:szCs w:val="28"/>
          <w:lang w:eastAsia="en-US"/>
        </w:rPr>
        <w:t xml:space="preserve"> особливості великих слинних залоз в умовах норми та патології</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2016</w:t>
      </w:r>
      <w:r w:rsidRPr="00520861">
        <w:rPr>
          <w:rFonts w:eastAsiaTheme="minorHAnsi"/>
          <w:sz w:val="28"/>
          <w:szCs w:val="28"/>
          <w:lang w:val="ru-RU" w:eastAsia="en-US"/>
        </w:rPr>
        <w:t>;</w:t>
      </w:r>
      <w:r w:rsidRPr="00520861">
        <w:rPr>
          <w:rFonts w:eastAsiaTheme="minorHAnsi"/>
          <w:sz w:val="28"/>
          <w:szCs w:val="28"/>
          <w:lang w:eastAsia="en-US"/>
        </w:rPr>
        <w:t>2(1</w:t>
      </w:r>
      <w:r w:rsidRPr="00520861">
        <w:rPr>
          <w:rFonts w:eastAsiaTheme="minorHAnsi"/>
          <w:sz w:val="28"/>
          <w:szCs w:val="28"/>
          <w:lang w:val="ru-RU" w:eastAsia="en-US"/>
        </w:rPr>
        <w:t>/128</w:t>
      </w:r>
      <w:r w:rsidRPr="00520861">
        <w:rPr>
          <w:rFonts w:eastAsiaTheme="minorHAnsi"/>
          <w:sz w:val="28"/>
          <w:szCs w:val="28"/>
          <w:lang w:eastAsia="en-US"/>
        </w:rPr>
        <w:t>)</w:t>
      </w:r>
      <w:r w:rsidRPr="00520861">
        <w:rPr>
          <w:rFonts w:eastAsiaTheme="minorHAnsi"/>
          <w:sz w:val="28"/>
          <w:szCs w:val="28"/>
          <w:lang w:val="ru-RU" w:eastAsia="en-US"/>
        </w:rPr>
        <w:t>:</w:t>
      </w:r>
      <w:r w:rsidRPr="00520861">
        <w:rPr>
          <w:rFonts w:eastAsiaTheme="minorHAnsi"/>
          <w:sz w:val="28"/>
          <w:szCs w:val="28"/>
          <w:lang w:eastAsia="en-US"/>
        </w:rPr>
        <w:t xml:space="preserve"> 318–322. </w:t>
      </w:r>
      <w:r w:rsidRPr="00520861">
        <w:rPr>
          <w:rFonts w:eastAsiaTheme="minorHAnsi"/>
          <w:sz w:val="28"/>
          <w:szCs w:val="28"/>
          <w:lang w:val="ru-RU" w:eastAsia="en-US"/>
        </w:rPr>
        <w:t>Доступно на:</w:t>
      </w:r>
      <w:r w:rsidRPr="00520861">
        <w:rPr>
          <w:rFonts w:eastAsiaTheme="minorHAnsi"/>
          <w:sz w:val="28"/>
          <w:szCs w:val="28"/>
          <w:lang w:eastAsia="en-US"/>
        </w:rPr>
        <w:t xml:space="preserve"> http://nbuv.gov.ua/UJRN/Vpbm_2016_2(1)__75.</w:t>
      </w:r>
    </w:p>
    <w:p w14:paraId="390D61B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Белоусова</w:t>
      </w:r>
      <w:proofErr w:type="spellEnd"/>
      <w:r w:rsidRPr="00520861">
        <w:rPr>
          <w:rFonts w:eastAsiaTheme="minorHAnsi"/>
          <w:sz w:val="28"/>
          <w:szCs w:val="28"/>
          <w:lang w:eastAsia="en-US"/>
        </w:rPr>
        <w:t xml:space="preserve"> ТВ, </w:t>
      </w:r>
      <w:proofErr w:type="spellStart"/>
      <w:r w:rsidRPr="00520861">
        <w:rPr>
          <w:rFonts w:eastAsiaTheme="minorHAnsi"/>
          <w:sz w:val="28"/>
          <w:szCs w:val="28"/>
          <w:lang w:eastAsia="en-US"/>
        </w:rPr>
        <w:t>Андрюшина</w:t>
      </w:r>
      <w:proofErr w:type="spellEnd"/>
      <w:r w:rsidRPr="00520861">
        <w:rPr>
          <w:rFonts w:eastAsiaTheme="minorHAnsi"/>
          <w:sz w:val="28"/>
          <w:szCs w:val="28"/>
          <w:lang w:eastAsia="en-US"/>
        </w:rPr>
        <w:t xml:space="preserve"> ИВ. Задержка </w:t>
      </w:r>
      <w:proofErr w:type="spellStart"/>
      <w:r w:rsidRPr="00520861">
        <w:rPr>
          <w:rFonts w:eastAsiaTheme="minorHAnsi"/>
          <w:sz w:val="28"/>
          <w:szCs w:val="28"/>
          <w:lang w:eastAsia="en-US"/>
        </w:rPr>
        <w:t>внутриутробного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развития</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ее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влияние</w:t>
      </w:r>
      <w:proofErr w:type="spellEnd"/>
      <w:r w:rsidRPr="00520861">
        <w:rPr>
          <w:rFonts w:eastAsiaTheme="minorHAnsi"/>
          <w:sz w:val="28"/>
          <w:szCs w:val="28"/>
          <w:lang w:eastAsia="en-US"/>
        </w:rPr>
        <w:t xml:space="preserve"> на </w:t>
      </w:r>
      <w:proofErr w:type="spellStart"/>
      <w:r w:rsidRPr="00520861">
        <w:rPr>
          <w:rFonts w:eastAsiaTheme="minorHAnsi"/>
          <w:sz w:val="28"/>
          <w:szCs w:val="28"/>
          <w:lang w:eastAsia="en-US"/>
        </w:rPr>
        <w:t>состояние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здоровья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Современные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подходы</w:t>
      </w:r>
      <w:proofErr w:type="spellEnd"/>
      <w:r w:rsidRPr="00520861">
        <w:rPr>
          <w:rFonts w:eastAsiaTheme="minorHAnsi"/>
          <w:sz w:val="28"/>
          <w:szCs w:val="28"/>
          <w:lang w:eastAsia="en-US"/>
        </w:rPr>
        <w:t xml:space="preserve"> к </w:t>
      </w:r>
      <w:proofErr w:type="spellStart"/>
      <w:r w:rsidRPr="00520861">
        <w:rPr>
          <w:rFonts w:eastAsiaTheme="minorHAnsi"/>
          <w:sz w:val="28"/>
          <w:szCs w:val="28"/>
          <w:lang w:eastAsia="en-US"/>
        </w:rPr>
        <w:t>вскармливанию</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детей</w:t>
      </w:r>
      <w:proofErr w:type="spellEnd"/>
      <w:r w:rsidRPr="00520861">
        <w:rPr>
          <w:rFonts w:eastAsiaTheme="minorHAnsi"/>
          <w:sz w:val="28"/>
          <w:szCs w:val="28"/>
          <w:lang w:eastAsia="en-US"/>
        </w:rPr>
        <w:t>.</w:t>
      </w:r>
      <w:r w:rsidRPr="00520861">
        <w:rPr>
          <w:rFonts w:eastAsiaTheme="minorHAnsi"/>
          <w:sz w:val="28"/>
          <w:szCs w:val="28"/>
          <w:lang w:val="ru-RU" w:eastAsia="en-US"/>
        </w:rPr>
        <w:t xml:space="preserve"> </w:t>
      </w:r>
      <w:proofErr w:type="spellStart"/>
      <w:r w:rsidRPr="00520861">
        <w:rPr>
          <w:rFonts w:eastAsiaTheme="minorHAnsi"/>
          <w:i/>
          <w:sz w:val="28"/>
          <w:szCs w:val="28"/>
          <w:lang w:eastAsia="en-US"/>
        </w:rPr>
        <w:t>Лечащий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врач</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2018</w:t>
      </w:r>
      <w:r w:rsidRPr="00520861">
        <w:rPr>
          <w:rFonts w:eastAsiaTheme="minorHAnsi"/>
          <w:sz w:val="28"/>
          <w:szCs w:val="28"/>
          <w:lang w:val="ru-RU" w:eastAsia="en-US"/>
        </w:rPr>
        <w:t>;(</w:t>
      </w:r>
      <w:r w:rsidRPr="00520861">
        <w:rPr>
          <w:rFonts w:eastAsiaTheme="minorHAnsi"/>
          <w:sz w:val="28"/>
          <w:szCs w:val="28"/>
          <w:lang w:eastAsia="en-US"/>
        </w:rPr>
        <w:t>9</w:t>
      </w:r>
      <w:r w:rsidRPr="00520861">
        <w:rPr>
          <w:rFonts w:eastAsiaTheme="minorHAnsi"/>
          <w:sz w:val="28"/>
          <w:szCs w:val="28"/>
          <w:lang w:val="ru-RU" w:eastAsia="en-US"/>
        </w:rPr>
        <w:t xml:space="preserve">): </w:t>
      </w:r>
      <w:r w:rsidRPr="00520861">
        <w:rPr>
          <w:rFonts w:eastAsiaTheme="minorHAnsi"/>
          <w:sz w:val="28"/>
          <w:szCs w:val="28"/>
          <w:lang w:eastAsia="en-US"/>
        </w:rPr>
        <w:t>50–59</w:t>
      </w:r>
      <w:r w:rsidRPr="00520861">
        <w:rPr>
          <w:rFonts w:eastAsiaTheme="minorHAnsi"/>
          <w:sz w:val="28"/>
          <w:szCs w:val="28"/>
          <w:lang w:val="ru-RU" w:eastAsia="en-US"/>
        </w:rPr>
        <w:t>.</w:t>
      </w:r>
      <w:r w:rsidRPr="00520861">
        <w:rPr>
          <w:rFonts w:eastAsiaTheme="minorHAnsi"/>
          <w:sz w:val="28"/>
          <w:szCs w:val="28"/>
          <w:lang w:eastAsia="en-US"/>
        </w:rPr>
        <w:t xml:space="preserve"> </w:t>
      </w:r>
    </w:p>
    <w:p w14:paraId="516978C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Бойцанюк</w:t>
      </w:r>
      <w:proofErr w:type="spellEnd"/>
      <w:r w:rsidRPr="00520861">
        <w:rPr>
          <w:rFonts w:eastAsiaTheme="minorHAnsi"/>
          <w:sz w:val="28"/>
          <w:szCs w:val="28"/>
          <w:lang w:eastAsia="en-US"/>
        </w:rPr>
        <w:t xml:space="preserve"> СІ, </w:t>
      </w:r>
      <w:proofErr w:type="spellStart"/>
      <w:r w:rsidRPr="00520861">
        <w:rPr>
          <w:rFonts w:eastAsiaTheme="minorHAnsi"/>
          <w:sz w:val="28"/>
          <w:szCs w:val="28"/>
          <w:lang w:eastAsia="en-US"/>
        </w:rPr>
        <w:t>Фалінський</w:t>
      </w:r>
      <w:proofErr w:type="spellEnd"/>
      <w:r w:rsidRPr="00520861">
        <w:rPr>
          <w:rFonts w:eastAsiaTheme="minorHAnsi"/>
          <w:sz w:val="28"/>
          <w:szCs w:val="28"/>
          <w:lang w:eastAsia="en-US"/>
        </w:rPr>
        <w:t xml:space="preserve"> ММ, Островський ПЮ. Поширеність </w:t>
      </w:r>
      <w:proofErr w:type="spellStart"/>
      <w:r w:rsidRPr="00520861">
        <w:rPr>
          <w:rFonts w:eastAsiaTheme="minorHAnsi"/>
          <w:sz w:val="28"/>
          <w:szCs w:val="28"/>
          <w:lang w:eastAsia="en-US"/>
        </w:rPr>
        <w:t>зубощелепних</w:t>
      </w:r>
      <w:proofErr w:type="spellEnd"/>
      <w:r w:rsidRPr="00520861">
        <w:rPr>
          <w:rFonts w:eastAsiaTheme="minorHAnsi"/>
          <w:sz w:val="28"/>
          <w:szCs w:val="28"/>
          <w:lang w:eastAsia="en-US"/>
        </w:rPr>
        <w:t xml:space="preserve"> аномалій серед дітей шкільного віку міста Тернополя</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Молодий вчений</w:t>
      </w:r>
      <w:r w:rsidRPr="00520861">
        <w:rPr>
          <w:rFonts w:eastAsiaTheme="minorHAnsi"/>
          <w:sz w:val="28"/>
          <w:szCs w:val="28"/>
          <w:lang w:eastAsia="en-US"/>
        </w:rPr>
        <w:t>. 2017</w:t>
      </w:r>
      <w:r w:rsidRPr="00520861">
        <w:rPr>
          <w:rFonts w:eastAsiaTheme="minorHAnsi"/>
          <w:sz w:val="28"/>
          <w:szCs w:val="28"/>
          <w:lang w:val="en-US" w:eastAsia="en-US"/>
        </w:rPr>
        <w:t>;(</w:t>
      </w:r>
      <w:r w:rsidRPr="00520861">
        <w:rPr>
          <w:rFonts w:eastAsiaTheme="minorHAnsi"/>
          <w:sz w:val="28"/>
          <w:szCs w:val="28"/>
          <w:lang w:eastAsia="en-US"/>
        </w:rPr>
        <w:t>5</w:t>
      </w:r>
      <w:r w:rsidRPr="00520861">
        <w:rPr>
          <w:rFonts w:eastAsiaTheme="minorHAnsi"/>
          <w:sz w:val="28"/>
          <w:szCs w:val="28"/>
          <w:lang w:val="en-US" w:eastAsia="en-US"/>
        </w:rPr>
        <w:t>):</w:t>
      </w:r>
      <w:r w:rsidRPr="00520861">
        <w:rPr>
          <w:rFonts w:eastAsiaTheme="minorHAnsi"/>
          <w:sz w:val="28"/>
          <w:szCs w:val="28"/>
          <w:lang w:eastAsia="en-US"/>
        </w:rPr>
        <w:t xml:space="preserve"> 57–60.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at</w:t>
      </w:r>
      <w:r w:rsidRPr="00520861">
        <w:rPr>
          <w:rFonts w:eastAsiaTheme="minorHAnsi"/>
          <w:sz w:val="28"/>
          <w:szCs w:val="28"/>
          <w:lang w:eastAsia="en-US"/>
        </w:rPr>
        <w:t>: http://nbuv.gov.ua/UJRN/molv_2017_5_16.</w:t>
      </w:r>
    </w:p>
    <w:p w14:paraId="564C1E7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Бондаренко ИС, </w:t>
      </w:r>
      <w:proofErr w:type="spellStart"/>
      <w:r w:rsidRPr="00520861">
        <w:rPr>
          <w:rFonts w:eastAsiaTheme="minorHAnsi"/>
          <w:sz w:val="28"/>
          <w:szCs w:val="28"/>
          <w:lang w:eastAsia="en-US"/>
        </w:rPr>
        <w:t>Маланьин</w:t>
      </w:r>
      <w:proofErr w:type="spellEnd"/>
      <w:r w:rsidRPr="00520861">
        <w:rPr>
          <w:rFonts w:eastAsiaTheme="minorHAnsi"/>
          <w:sz w:val="28"/>
          <w:szCs w:val="28"/>
          <w:lang w:eastAsia="en-US"/>
        </w:rPr>
        <w:t xml:space="preserve"> ИВ. </w:t>
      </w:r>
      <w:proofErr w:type="spellStart"/>
      <w:r w:rsidRPr="00520861">
        <w:rPr>
          <w:rFonts w:eastAsiaTheme="minorHAnsi"/>
          <w:sz w:val="28"/>
          <w:szCs w:val="28"/>
          <w:lang w:eastAsia="en-US"/>
        </w:rPr>
        <w:t>Свойство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пародонтопатогенной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микрофлоры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влиять</w:t>
      </w:r>
      <w:proofErr w:type="spellEnd"/>
      <w:r w:rsidRPr="00520861">
        <w:rPr>
          <w:rFonts w:eastAsiaTheme="minorHAnsi"/>
          <w:sz w:val="28"/>
          <w:szCs w:val="28"/>
          <w:lang w:eastAsia="en-US"/>
        </w:rPr>
        <w:t xml:space="preserve"> на </w:t>
      </w:r>
      <w:proofErr w:type="spellStart"/>
      <w:r w:rsidRPr="00520861">
        <w:rPr>
          <w:rFonts w:eastAsiaTheme="minorHAnsi"/>
          <w:sz w:val="28"/>
          <w:szCs w:val="28"/>
          <w:lang w:eastAsia="en-US"/>
        </w:rPr>
        <w:t>снижение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интенсивности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развития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кариозных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процессов</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Успехи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современного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естествознания</w:t>
      </w:r>
      <w:proofErr w:type="spellEnd"/>
      <w:r w:rsidRPr="00520861">
        <w:rPr>
          <w:rFonts w:eastAsiaTheme="minorHAnsi"/>
          <w:sz w:val="28"/>
          <w:szCs w:val="28"/>
          <w:lang w:eastAsia="en-US"/>
        </w:rPr>
        <w:t>. 2007</w:t>
      </w:r>
      <w:r w:rsidRPr="00520861">
        <w:rPr>
          <w:rFonts w:eastAsiaTheme="minorHAnsi"/>
          <w:sz w:val="28"/>
          <w:szCs w:val="28"/>
          <w:lang w:val="ru-RU" w:eastAsia="en-US"/>
        </w:rPr>
        <w:t>;(</w:t>
      </w:r>
      <w:r w:rsidRPr="00520861">
        <w:rPr>
          <w:rFonts w:eastAsiaTheme="minorHAnsi"/>
          <w:sz w:val="28"/>
          <w:szCs w:val="28"/>
          <w:lang w:eastAsia="en-US"/>
        </w:rPr>
        <w:t>12</w:t>
      </w:r>
      <w:r w:rsidRPr="00520861">
        <w:rPr>
          <w:rFonts w:eastAsiaTheme="minorHAnsi"/>
          <w:sz w:val="28"/>
          <w:szCs w:val="28"/>
          <w:lang w:val="ru-RU" w:eastAsia="en-US"/>
        </w:rPr>
        <w:t>/</w:t>
      </w:r>
      <w:r w:rsidRPr="00520861">
        <w:rPr>
          <w:rFonts w:eastAsiaTheme="minorHAnsi"/>
          <w:sz w:val="28"/>
          <w:szCs w:val="28"/>
          <w:lang w:eastAsia="en-US"/>
        </w:rPr>
        <w:t>1)</w:t>
      </w:r>
      <w:r w:rsidRPr="00520861">
        <w:rPr>
          <w:rFonts w:eastAsiaTheme="minorHAnsi"/>
          <w:sz w:val="28"/>
          <w:szCs w:val="28"/>
          <w:lang w:val="ru-RU" w:eastAsia="en-US"/>
        </w:rPr>
        <w:t>:</w:t>
      </w:r>
      <w:r w:rsidRPr="00520861">
        <w:rPr>
          <w:rFonts w:eastAsiaTheme="minorHAnsi"/>
          <w:sz w:val="28"/>
          <w:szCs w:val="28"/>
          <w:lang w:eastAsia="en-US"/>
        </w:rPr>
        <w:t xml:space="preserve"> 154–156</w:t>
      </w:r>
      <w:r w:rsidRPr="00520861">
        <w:rPr>
          <w:rFonts w:eastAsiaTheme="minorHAnsi"/>
          <w:sz w:val="28"/>
          <w:szCs w:val="28"/>
          <w:lang w:val="ru-RU" w:eastAsia="en-US"/>
        </w:rPr>
        <w:t>.</w:t>
      </w:r>
    </w:p>
    <w:p w14:paraId="4139E52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sz w:val="28"/>
          <w:szCs w:val="28"/>
        </w:rPr>
        <w:t xml:space="preserve">Бондаренко НН, </w:t>
      </w:r>
      <w:proofErr w:type="spellStart"/>
      <w:r w:rsidRPr="00520861">
        <w:rPr>
          <w:sz w:val="28"/>
          <w:szCs w:val="28"/>
        </w:rPr>
        <w:t>Балахонцева</w:t>
      </w:r>
      <w:proofErr w:type="spellEnd"/>
      <w:r w:rsidRPr="00520861">
        <w:rPr>
          <w:sz w:val="28"/>
          <w:szCs w:val="28"/>
        </w:rPr>
        <w:t xml:space="preserve"> ЕВ. </w:t>
      </w:r>
      <w:proofErr w:type="spellStart"/>
      <w:r w:rsidRPr="00520861">
        <w:rPr>
          <w:sz w:val="28"/>
          <w:szCs w:val="28"/>
        </w:rPr>
        <w:t>Измерение</w:t>
      </w:r>
      <w:proofErr w:type="spellEnd"/>
      <w:r w:rsidRPr="00520861">
        <w:rPr>
          <w:sz w:val="28"/>
          <w:szCs w:val="28"/>
        </w:rPr>
        <w:t xml:space="preserve"> </w:t>
      </w:r>
      <w:proofErr w:type="spellStart"/>
      <w:r w:rsidRPr="00520861">
        <w:rPr>
          <w:sz w:val="28"/>
          <w:szCs w:val="28"/>
        </w:rPr>
        <w:t>оптической</w:t>
      </w:r>
      <w:proofErr w:type="spellEnd"/>
      <w:r w:rsidRPr="00520861">
        <w:rPr>
          <w:sz w:val="28"/>
          <w:szCs w:val="28"/>
        </w:rPr>
        <w:t xml:space="preserve"> </w:t>
      </w:r>
      <w:proofErr w:type="spellStart"/>
      <w:r w:rsidRPr="00520861">
        <w:rPr>
          <w:sz w:val="28"/>
          <w:szCs w:val="28"/>
        </w:rPr>
        <w:t>плотности</w:t>
      </w:r>
      <w:proofErr w:type="spellEnd"/>
      <w:r w:rsidRPr="00520861">
        <w:rPr>
          <w:sz w:val="28"/>
          <w:szCs w:val="28"/>
        </w:rPr>
        <w:t xml:space="preserve"> </w:t>
      </w:r>
      <w:proofErr w:type="spellStart"/>
      <w:r w:rsidRPr="00520861">
        <w:rPr>
          <w:sz w:val="28"/>
          <w:szCs w:val="28"/>
        </w:rPr>
        <w:t>костной</w:t>
      </w:r>
      <w:proofErr w:type="spellEnd"/>
      <w:r w:rsidRPr="00520861">
        <w:rPr>
          <w:sz w:val="28"/>
          <w:szCs w:val="28"/>
        </w:rPr>
        <w:t xml:space="preserve"> </w:t>
      </w:r>
      <w:proofErr w:type="spellStart"/>
      <w:r w:rsidRPr="00520861">
        <w:rPr>
          <w:sz w:val="28"/>
          <w:szCs w:val="28"/>
        </w:rPr>
        <w:t>ткани</w:t>
      </w:r>
      <w:proofErr w:type="spellEnd"/>
      <w:r w:rsidRPr="00520861">
        <w:rPr>
          <w:sz w:val="28"/>
          <w:szCs w:val="28"/>
        </w:rPr>
        <w:t xml:space="preserve"> альвеолярного </w:t>
      </w:r>
      <w:proofErr w:type="spellStart"/>
      <w:r w:rsidRPr="00520861">
        <w:rPr>
          <w:sz w:val="28"/>
          <w:szCs w:val="28"/>
        </w:rPr>
        <w:t>отростка</w:t>
      </w:r>
      <w:proofErr w:type="spellEnd"/>
      <w:r w:rsidRPr="00520861">
        <w:rPr>
          <w:sz w:val="28"/>
          <w:szCs w:val="28"/>
        </w:rPr>
        <w:t xml:space="preserve"> </w:t>
      </w:r>
      <w:proofErr w:type="spellStart"/>
      <w:r w:rsidRPr="00520861">
        <w:rPr>
          <w:sz w:val="28"/>
          <w:szCs w:val="28"/>
        </w:rPr>
        <w:t>челюстей</w:t>
      </w:r>
      <w:proofErr w:type="spellEnd"/>
      <w:r w:rsidRPr="00520861">
        <w:rPr>
          <w:sz w:val="28"/>
          <w:szCs w:val="28"/>
        </w:rPr>
        <w:t xml:space="preserve"> при </w:t>
      </w:r>
      <w:proofErr w:type="spellStart"/>
      <w:r w:rsidRPr="00520861">
        <w:rPr>
          <w:sz w:val="28"/>
          <w:szCs w:val="28"/>
        </w:rPr>
        <w:t>заболеваниях</w:t>
      </w:r>
      <w:proofErr w:type="spellEnd"/>
      <w:r w:rsidRPr="00520861">
        <w:rPr>
          <w:sz w:val="28"/>
          <w:szCs w:val="28"/>
        </w:rPr>
        <w:t xml:space="preserve"> </w:t>
      </w:r>
      <w:proofErr w:type="spellStart"/>
      <w:r w:rsidRPr="00520861">
        <w:rPr>
          <w:sz w:val="28"/>
          <w:szCs w:val="28"/>
        </w:rPr>
        <w:t>пародонта</w:t>
      </w:r>
      <w:proofErr w:type="spellEnd"/>
      <w:r w:rsidRPr="00520861">
        <w:rPr>
          <w:sz w:val="28"/>
          <w:szCs w:val="28"/>
        </w:rPr>
        <w:t xml:space="preserve"> с </w:t>
      </w:r>
      <w:proofErr w:type="spellStart"/>
      <w:r w:rsidRPr="00520861">
        <w:rPr>
          <w:sz w:val="28"/>
          <w:szCs w:val="28"/>
        </w:rPr>
        <w:t>помощью</w:t>
      </w:r>
      <w:proofErr w:type="spellEnd"/>
      <w:r w:rsidRPr="00520861">
        <w:rPr>
          <w:sz w:val="28"/>
          <w:szCs w:val="28"/>
        </w:rPr>
        <w:t xml:space="preserve"> </w:t>
      </w:r>
      <w:proofErr w:type="spellStart"/>
      <w:r w:rsidRPr="00520861">
        <w:rPr>
          <w:sz w:val="28"/>
          <w:szCs w:val="28"/>
        </w:rPr>
        <w:t>трёхмерной</w:t>
      </w:r>
      <w:proofErr w:type="spellEnd"/>
      <w:r w:rsidRPr="00520861">
        <w:rPr>
          <w:sz w:val="28"/>
          <w:szCs w:val="28"/>
        </w:rPr>
        <w:t xml:space="preserve"> </w:t>
      </w:r>
      <w:proofErr w:type="spellStart"/>
      <w:r w:rsidRPr="00520861">
        <w:rPr>
          <w:sz w:val="28"/>
          <w:szCs w:val="28"/>
        </w:rPr>
        <w:t>компьютерной</w:t>
      </w:r>
      <w:proofErr w:type="spellEnd"/>
      <w:r w:rsidRPr="00520861">
        <w:rPr>
          <w:sz w:val="28"/>
          <w:szCs w:val="28"/>
        </w:rPr>
        <w:t xml:space="preserve"> </w:t>
      </w:r>
      <w:proofErr w:type="spellStart"/>
      <w:r w:rsidRPr="00520861">
        <w:rPr>
          <w:sz w:val="28"/>
          <w:szCs w:val="28"/>
        </w:rPr>
        <w:t>томографии</w:t>
      </w:r>
      <w:proofErr w:type="spellEnd"/>
      <w:r w:rsidRPr="00520861">
        <w:rPr>
          <w:sz w:val="28"/>
          <w:szCs w:val="28"/>
        </w:rPr>
        <w:t xml:space="preserve">. </w:t>
      </w:r>
      <w:proofErr w:type="spellStart"/>
      <w:r w:rsidRPr="00520861">
        <w:rPr>
          <w:i/>
          <w:sz w:val="28"/>
          <w:szCs w:val="28"/>
        </w:rPr>
        <w:t>Казанский</w:t>
      </w:r>
      <w:proofErr w:type="spellEnd"/>
      <w:r w:rsidRPr="00520861">
        <w:rPr>
          <w:i/>
          <w:sz w:val="28"/>
          <w:szCs w:val="28"/>
        </w:rPr>
        <w:t xml:space="preserve"> </w:t>
      </w:r>
      <w:proofErr w:type="spellStart"/>
      <w:r w:rsidRPr="00520861">
        <w:rPr>
          <w:i/>
          <w:sz w:val="28"/>
          <w:szCs w:val="28"/>
        </w:rPr>
        <w:t>медицинский</w:t>
      </w:r>
      <w:proofErr w:type="spellEnd"/>
      <w:r w:rsidRPr="00520861">
        <w:rPr>
          <w:i/>
          <w:sz w:val="28"/>
          <w:szCs w:val="28"/>
        </w:rPr>
        <w:t xml:space="preserve"> журнал</w:t>
      </w:r>
      <w:r w:rsidRPr="00520861">
        <w:rPr>
          <w:sz w:val="28"/>
          <w:szCs w:val="28"/>
          <w:lang w:val="ru-RU"/>
        </w:rPr>
        <w:t>.</w:t>
      </w:r>
      <w:r w:rsidRPr="00520861">
        <w:rPr>
          <w:sz w:val="28"/>
          <w:szCs w:val="28"/>
        </w:rPr>
        <w:t xml:space="preserve"> 2012</w:t>
      </w:r>
      <w:r w:rsidRPr="00520861">
        <w:rPr>
          <w:sz w:val="28"/>
          <w:szCs w:val="28"/>
          <w:lang w:val="ru-RU"/>
        </w:rPr>
        <w:t>;</w:t>
      </w:r>
      <w:r w:rsidRPr="00520861">
        <w:rPr>
          <w:sz w:val="28"/>
          <w:szCs w:val="28"/>
        </w:rPr>
        <w:t>93(4)</w:t>
      </w:r>
      <w:r w:rsidRPr="00520861">
        <w:rPr>
          <w:sz w:val="28"/>
          <w:szCs w:val="28"/>
          <w:lang w:val="ru-RU"/>
        </w:rPr>
        <w:t>:</w:t>
      </w:r>
      <w:r w:rsidRPr="00520861">
        <w:rPr>
          <w:sz w:val="28"/>
          <w:szCs w:val="28"/>
        </w:rPr>
        <w:t xml:space="preserve"> 660–662.</w:t>
      </w:r>
    </w:p>
    <w:p w14:paraId="65197AF6" w14:textId="77777777" w:rsidR="00292D2E" w:rsidRPr="00520861" w:rsidRDefault="00292D2E" w:rsidP="008F1D77">
      <w:pPr>
        <w:widowControl w:val="0"/>
        <w:numPr>
          <w:ilvl w:val="0"/>
          <w:numId w:val="8"/>
        </w:numPr>
        <w:shd w:val="clear" w:color="auto" w:fill="FFFFFF"/>
        <w:spacing w:line="360" w:lineRule="auto"/>
        <w:ind w:left="0" w:firstLine="0"/>
        <w:contextualSpacing/>
        <w:jc w:val="both"/>
        <w:outlineLvl w:val="0"/>
        <w:rPr>
          <w:bCs/>
          <w:kern w:val="36"/>
          <w:sz w:val="28"/>
          <w:szCs w:val="28"/>
          <w:lang w:val="ru-RU"/>
        </w:rPr>
      </w:pPr>
      <w:r w:rsidRPr="00520861">
        <w:rPr>
          <w:bCs/>
          <w:kern w:val="36"/>
          <w:sz w:val="28"/>
          <w:szCs w:val="28"/>
          <w:lang w:val="ru-RU"/>
        </w:rPr>
        <w:t xml:space="preserve">Борисенко АВ, Коленко ЮГ, </w:t>
      </w:r>
      <w:proofErr w:type="spellStart"/>
      <w:r w:rsidRPr="00520861">
        <w:rPr>
          <w:bCs/>
          <w:kern w:val="36"/>
          <w:sz w:val="28"/>
          <w:szCs w:val="28"/>
          <w:lang w:val="ru-RU"/>
        </w:rPr>
        <w:t>Тімохіна</w:t>
      </w:r>
      <w:proofErr w:type="spellEnd"/>
      <w:r w:rsidRPr="00520861">
        <w:rPr>
          <w:bCs/>
          <w:kern w:val="36"/>
          <w:sz w:val="28"/>
          <w:szCs w:val="28"/>
          <w:lang w:val="ru-RU"/>
        </w:rPr>
        <w:t xml:space="preserve"> ТО. </w:t>
      </w:r>
      <w:proofErr w:type="spellStart"/>
      <w:r w:rsidRPr="00520861">
        <w:rPr>
          <w:bCs/>
          <w:kern w:val="36"/>
          <w:sz w:val="28"/>
          <w:szCs w:val="28"/>
          <w:lang w:val="ru-RU"/>
        </w:rPr>
        <w:t>Порушення</w:t>
      </w:r>
      <w:proofErr w:type="spellEnd"/>
      <w:r w:rsidRPr="00520861">
        <w:rPr>
          <w:bCs/>
          <w:kern w:val="36"/>
          <w:sz w:val="28"/>
          <w:szCs w:val="28"/>
          <w:lang w:val="ru-RU"/>
        </w:rPr>
        <w:t xml:space="preserve"> </w:t>
      </w:r>
      <w:proofErr w:type="spellStart"/>
      <w:r w:rsidRPr="00520861">
        <w:rPr>
          <w:bCs/>
          <w:kern w:val="36"/>
          <w:sz w:val="28"/>
          <w:szCs w:val="28"/>
          <w:lang w:val="ru-RU"/>
        </w:rPr>
        <w:t>місцевого</w:t>
      </w:r>
      <w:proofErr w:type="spellEnd"/>
      <w:r w:rsidRPr="00520861">
        <w:rPr>
          <w:bCs/>
          <w:kern w:val="36"/>
          <w:sz w:val="28"/>
          <w:szCs w:val="28"/>
          <w:lang w:val="ru-RU"/>
        </w:rPr>
        <w:t xml:space="preserve"> </w:t>
      </w:r>
      <w:proofErr w:type="spellStart"/>
      <w:r w:rsidRPr="00520861">
        <w:rPr>
          <w:bCs/>
          <w:kern w:val="36"/>
          <w:sz w:val="28"/>
          <w:szCs w:val="28"/>
          <w:lang w:val="ru-RU"/>
        </w:rPr>
        <w:t>імунітету</w:t>
      </w:r>
      <w:proofErr w:type="spellEnd"/>
      <w:r w:rsidRPr="00520861">
        <w:rPr>
          <w:bCs/>
          <w:kern w:val="36"/>
          <w:sz w:val="28"/>
          <w:szCs w:val="28"/>
          <w:lang w:val="ru-RU"/>
        </w:rPr>
        <w:t xml:space="preserve"> та </w:t>
      </w:r>
      <w:proofErr w:type="spellStart"/>
      <w:r w:rsidRPr="00520861">
        <w:rPr>
          <w:bCs/>
          <w:kern w:val="36"/>
          <w:sz w:val="28"/>
          <w:szCs w:val="28"/>
          <w:lang w:val="ru-RU"/>
        </w:rPr>
        <w:t>цитокінового</w:t>
      </w:r>
      <w:proofErr w:type="spellEnd"/>
      <w:r w:rsidRPr="00520861">
        <w:rPr>
          <w:bCs/>
          <w:kern w:val="36"/>
          <w:sz w:val="28"/>
          <w:szCs w:val="28"/>
          <w:lang w:val="ru-RU"/>
        </w:rPr>
        <w:t xml:space="preserve"> статусу у </w:t>
      </w:r>
      <w:proofErr w:type="spellStart"/>
      <w:r w:rsidRPr="00520861">
        <w:rPr>
          <w:bCs/>
          <w:kern w:val="36"/>
          <w:sz w:val="28"/>
          <w:szCs w:val="28"/>
          <w:lang w:val="ru-RU"/>
        </w:rPr>
        <w:t>хворих</w:t>
      </w:r>
      <w:proofErr w:type="spellEnd"/>
      <w:r w:rsidRPr="00520861">
        <w:rPr>
          <w:bCs/>
          <w:kern w:val="36"/>
          <w:sz w:val="28"/>
          <w:szCs w:val="28"/>
          <w:lang w:val="ru-RU"/>
        </w:rPr>
        <w:t xml:space="preserve"> на </w:t>
      </w:r>
      <w:proofErr w:type="spellStart"/>
      <w:r w:rsidRPr="00520861">
        <w:rPr>
          <w:bCs/>
          <w:kern w:val="36"/>
          <w:sz w:val="28"/>
          <w:szCs w:val="28"/>
          <w:lang w:val="ru-RU"/>
        </w:rPr>
        <w:t>генералізований</w:t>
      </w:r>
      <w:proofErr w:type="spellEnd"/>
      <w:r w:rsidRPr="00520861">
        <w:rPr>
          <w:bCs/>
          <w:kern w:val="36"/>
          <w:sz w:val="28"/>
          <w:szCs w:val="28"/>
          <w:lang w:val="ru-RU"/>
        </w:rPr>
        <w:t xml:space="preserve"> пародонтит. </w:t>
      </w:r>
      <w:proofErr w:type="spellStart"/>
      <w:r w:rsidRPr="00520861">
        <w:rPr>
          <w:bCs/>
          <w:i/>
          <w:kern w:val="36"/>
          <w:sz w:val="28"/>
          <w:szCs w:val="28"/>
          <w:lang w:val="ru-RU"/>
        </w:rPr>
        <w:t>Сучасна</w:t>
      </w:r>
      <w:proofErr w:type="spellEnd"/>
      <w:r w:rsidRPr="00520861">
        <w:rPr>
          <w:bCs/>
          <w:i/>
          <w:kern w:val="36"/>
          <w:sz w:val="28"/>
          <w:szCs w:val="28"/>
          <w:lang w:val="ru-RU"/>
        </w:rPr>
        <w:t xml:space="preserve"> </w:t>
      </w:r>
      <w:proofErr w:type="spellStart"/>
      <w:r w:rsidRPr="00520861">
        <w:rPr>
          <w:bCs/>
          <w:i/>
          <w:kern w:val="36"/>
          <w:sz w:val="28"/>
          <w:szCs w:val="28"/>
          <w:lang w:val="ru-RU"/>
        </w:rPr>
        <w:t>стоматологія</w:t>
      </w:r>
      <w:proofErr w:type="spellEnd"/>
      <w:r w:rsidRPr="00520861">
        <w:rPr>
          <w:bCs/>
          <w:kern w:val="36"/>
          <w:sz w:val="28"/>
          <w:szCs w:val="28"/>
          <w:lang w:val="ru-RU"/>
        </w:rPr>
        <w:t xml:space="preserve">. 2019;(1): 34–37. </w:t>
      </w:r>
      <w:r w:rsidRPr="00520861">
        <w:rPr>
          <w:sz w:val="28"/>
          <w:szCs w:val="28"/>
          <w:lang w:val="ru-RU" w:eastAsia="x-none" w:bidi="lo-LA"/>
        </w:rPr>
        <w:t>Доступно на:</w:t>
      </w:r>
      <w:r w:rsidRPr="00520861">
        <w:rPr>
          <w:sz w:val="28"/>
          <w:szCs w:val="28"/>
          <w:lang w:eastAsia="x-none" w:bidi="lo-LA"/>
        </w:rPr>
        <w:t xml:space="preserve"> </w:t>
      </w:r>
      <w:r w:rsidRPr="00520861">
        <w:rPr>
          <w:bCs/>
          <w:kern w:val="36"/>
          <w:sz w:val="28"/>
          <w:szCs w:val="28"/>
          <w:lang w:val="en-US"/>
        </w:rPr>
        <w:t>http</w:t>
      </w:r>
      <w:r w:rsidRPr="00520861">
        <w:rPr>
          <w:bCs/>
          <w:kern w:val="36"/>
          <w:sz w:val="28"/>
          <w:szCs w:val="28"/>
          <w:lang w:val="ru-RU"/>
        </w:rPr>
        <w:t>://</w:t>
      </w:r>
      <w:proofErr w:type="spellStart"/>
      <w:r w:rsidRPr="00520861">
        <w:rPr>
          <w:bCs/>
          <w:kern w:val="36"/>
          <w:sz w:val="28"/>
          <w:szCs w:val="28"/>
          <w:lang w:val="en-US"/>
        </w:rPr>
        <w:t>nbuv</w:t>
      </w:r>
      <w:proofErr w:type="spellEnd"/>
      <w:r w:rsidRPr="00520861">
        <w:rPr>
          <w:bCs/>
          <w:kern w:val="36"/>
          <w:sz w:val="28"/>
          <w:szCs w:val="28"/>
          <w:lang w:val="ru-RU"/>
        </w:rPr>
        <w:t>.</w:t>
      </w:r>
      <w:r w:rsidRPr="00520861">
        <w:rPr>
          <w:bCs/>
          <w:kern w:val="36"/>
          <w:sz w:val="28"/>
          <w:szCs w:val="28"/>
          <w:lang w:val="en-US"/>
        </w:rPr>
        <w:t>gov</w:t>
      </w:r>
      <w:r w:rsidRPr="00520861">
        <w:rPr>
          <w:bCs/>
          <w:kern w:val="36"/>
          <w:sz w:val="28"/>
          <w:szCs w:val="28"/>
          <w:lang w:val="ru-RU"/>
        </w:rPr>
        <w:t>.</w:t>
      </w:r>
      <w:proofErr w:type="spellStart"/>
      <w:r w:rsidRPr="00520861">
        <w:rPr>
          <w:bCs/>
          <w:kern w:val="36"/>
          <w:sz w:val="28"/>
          <w:szCs w:val="28"/>
          <w:lang w:val="en-US"/>
        </w:rPr>
        <w:t>ua</w:t>
      </w:r>
      <w:proofErr w:type="spellEnd"/>
      <w:r w:rsidRPr="00520861">
        <w:rPr>
          <w:bCs/>
          <w:kern w:val="36"/>
          <w:sz w:val="28"/>
          <w:szCs w:val="28"/>
          <w:lang w:val="ru-RU"/>
        </w:rPr>
        <w:t>/</w:t>
      </w:r>
      <w:r w:rsidRPr="00520861">
        <w:rPr>
          <w:bCs/>
          <w:kern w:val="36"/>
          <w:sz w:val="28"/>
          <w:szCs w:val="28"/>
          <w:lang w:val="en-US"/>
        </w:rPr>
        <w:t>UJRN</w:t>
      </w:r>
      <w:r w:rsidRPr="00520861">
        <w:rPr>
          <w:bCs/>
          <w:kern w:val="36"/>
          <w:sz w:val="28"/>
          <w:szCs w:val="28"/>
          <w:lang w:val="ru-RU"/>
        </w:rPr>
        <w:t>/</w:t>
      </w:r>
      <w:r w:rsidRPr="00520861">
        <w:rPr>
          <w:bCs/>
          <w:kern w:val="36"/>
          <w:sz w:val="28"/>
          <w:szCs w:val="28"/>
          <w:lang w:val="en-US"/>
        </w:rPr>
        <w:t>ss</w:t>
      </w:r>
      <w:r w:rsidRPr="00520861">
        <w:rPr>
          <w:bCs/>
          <w:kern w:val="36"/>
          <w:sz w:val="28"/>
          <w:szCs w:val="28"/>
          <w:lang w:val="ru-RU"/>
        </w:rPr>
        <w:t>_2019_1_9.</w:t>
      </w:r>
    </w:p>
    <w:p w14:paraId="1D8F0F2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Боровский</w:t>
      </w:r>
      <w:proofErr w:type="spellEnd"/>
      <w:r w:rsidRPr="00520861">
        <w:rPr>
          <w:rFonts w:eastAsiaTheme="minorHAnsi"/>
          <w:sz w:val="28"/>
          <w:szCs w:val="28"/>
          <w:lang w:eastAsia="en-US"/>
        </w:rPr>
        <w:t xml:space="preserve"> ЕВ. </w:t>
      </w:r>
      <w:proofErr w:type="spellStart"/>
      <w:r w:rsidRPr="00520861">
        <w:rPr>
          <w:rFonts w:eastAsiaTheme="minorHAnsi"/>
          <w:i/>
          <w:sz w:val="28"/>
          <w:szCs w:val="28"/>
          <w:lang w:eastAsia="en-US"/>
        </w:rPr>
        <w:t>Терапевтическая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стоматология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Учебник</w:t>
      </w:r>
      <w:proofErr w:type="spellEnd"/>
      <w:r w:rsidRPr="00520861">
        <w:rPr>
          <w:rFonts w:eastAsiaTheme="minorHAnsi"/>
          <w:i/>
          <w:sz w:val="28"/>
          <w:szCs w:val="28"/>
          <w:lang w:eastAsia="en-US"/>
        </w:rPr>
        <w:t xml:space="preserve"> для </w:t>
      </w:r>
      <w:proofErr w:type="spellStart"/>
      <w:r w:rsidRPr="00520861">
        <w:rPr>
          <w:rFonts w:eastAsiaTheme="minorHAnsi"/>
          <w:i/>
          <w:sz w:val="28"/>
          <w:szCs w:val="28"/>
          <w:lang w:eastAsia="en-US"/>
        </w:rPr>
        <w:t>студентов</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медицинских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вузов</w:t>
      </w:r>
      <w:proofErr w:type="spellEnd"/>
      <w:r w:rsidRPr="00520861">
        <w:rPr>
          <w:rFonts w:eastAsiaTheme="minorHAnsi"/>
          <w:sz w:val="28"/>
          <w:szCs w:val="28"/>
          <w:lang w:eastAsia="en-US"/>
        </w:rPr>
        <w:t xml:space="preserve">. Москва: </w:t>
      </w:r>
      <w:proofErr w:type="spellStart"/>
      <w:r w:rsidRPr="00520861">
        <w:rPr>
          <w:rFonts w:eastAsiaTheme="minorHAnsi"/>
          <w:sz w:val="28"/>
          <w:szCs w:val="28"/>
          <w:lang w:eastAsia="en-US"/>
        </w:rPr>
        <w:t>Медицинское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информационное</w:t>
      </w:r>
      <w:proofErr w:type="spellEnd"/>
      <w:r w:rsidRPr="00520861">
        <w:rPr>
          <w:rFonts w:eastAsiaTheme="minorHAnsi"/>
          <w:sz w:val="28"/>
          <w:szCs w:val="28"/>
          <w:lang w:eastAsia="en-US"/>
        </w:rPr>
        <w:t xml:space="preserve"> агентство; 2011. 840 с. </w:t>
      </w:r>
    </w:p>
    <w:p w14:paraId="14441DB6" w14:textId="77777777" w:rsidR="00292D2E" w:rsidRPr="00520861" w:rsidRDefault="00292D2E" w:rsidP="008F1D77">
      <w:pPr>
        <w:widowControl w:val="0"/>
        <w:numPr>
          <w:ilvl w:val="0"/>
          <w:numId w:val="8"/>
        </w:numPr>
        <w:shd w:val="clear" w:color="auto" w:fill="FFFFFF"/>
        <w:spacing w:line="360" w:lineRule="auto"/>
        <w:ind w:left="0" w:firstLine="0"/>
        <w:contextualSpacing/>
        <w:jc w:val="both"/>
        <w:outlineLvl w:val="0"/>
        <w:rPr>
          <w:iCs/>
          <w:sz w:val="28"/>
          <w:szCs w:val="28"/>
          <w:lang w:eastAsia="x-none" w:bidi="lo-LA"/>
        </w:rPr>
      </w:pPr>
      <w:proofErr w:type="spellStart"/>
      <w:r w:rsidRPr="00520861">
        <w:rPr>
          <w:iCs/>
          <w:sz w:val="28"/>
          <w:szCs w:val="28"/>
          <w:lang w:eastAsia="x-none" w:bidi="lo-LA"/>
        </w:rPr>
        <w:t>Бродецька</w:t>
      </w:r>
      <w:proofErr w:type="spellEnd"/>
      <w:r w:rsidRPr="00520861">
        <w:rPr>
          <w:iCs/>
          <w:sz w:val="28"/>
          <w:szCs w:val="28"/>
          <w:lang w:eastAsia="x-none" w:bidi="lo-LA"/>
        </w:rPr>
        <w:t xml:space="preserve"> ЛО. </w:t>
      </w:r>
      <w:proofErr w:type="spellStart"/>
      <w:r w:rsidRPr="00520861">
        <w:rPr>
          <w:i/>
          <w:iCs/>
          <w:sz w:val="28"/>
          <w:szCs w:val="28"/>
          <w:lang w:eastAsia="x-none" w:bidi="lo-LA"/>
        </w:rPr>
        <w:t>Мультидисциплінарний</w:t>
      </w:r>
      <w:proofErr w:type="spellEnd"/>
      <w:r w:rsidRPr="00520861">
        <w:rPr>
          <w:i/>
          <w:iCs/>
          <w:sz w:val="28"/>
          <w:szCs w:val="28"/>
          <w:lang w:eastAsia="x-none" w:bidi="lo-LA"/>
        </w:rPr>
        <w:t xml:space="preserve"> підхід до лікування пацієнтів з </w:t>
      </w:r>
      <w:proofErr w:type="spellStart"/>
      <w:r w:rsidRPr="00520861">
        <w:rPr>
          <w:i/>
          <w:iCs/>
          <w:sz w:val="28"/>
          <w:szCs w:val="28"/>
          <w:lang w:eastAsia="x-none" w:bidi="lo-LA"/>
        </w:rPr>
        <w:t>ретенованими</w:t>
      </w:r>
      <w:proofErr w:type="spellEnd"/>
      <w:r w:rsidRPr="00520861">
        <w:rPr>
          <w:i/>
          <w:iCs/>
          <w:sz w:val="28"/>
          <w:szCs w:val="28"/>
          <w:lang w:eastAsia="x-none" w:bidi="lo-LA"/>
        </w:rPr>
        <w:t xml:space="preserve"> зубами</w:t>
      </w:r>
      <w:r w:rsidRPr="00520861">
        <w:rPr>
          <w:rFonts w:eastAsiaTheme="minorHAnsi"/>
          <w:sz w:val="28"/>
          <w:szCs w:val="28"/>
          <w:lang w:eastAsia="en-US"/>
        </w:rPr>
        <w:t xml:space="preserve"> </w:t>
      </w:r>
      <w:r w:rsidRPr="00520861">
        <w:rPr>
          <w:iCs/>
          <w:sz w:val="28"/>
          <w:szCs w:val="28"/>
          <w:lang w:eastAsia="x-none" w:bidi="lo-LA"/>
        </w:rPr>
        <w:t xml:space="preserve">[дисертація]. Київ: </w:t>
      </w:r>
      <w:proofErr w:type="spellStart"/>
      <w:r w:rsidRPr="00520861">
        <w:rPr>
          <w:iCs/>
          <w:sz w:val="28"/>
          <w:szCs w:val="28"/>
          <w:lang w:eastAsia="x-none" w:bidi="lo-LA"/>
        </w:rPr>
        <w:t>Нац</w:t>
      </w:r>
      <w:proofErr w:type="spellEnd"/>
      <w:r w:rsidRPr="00520861">
        <w:rPr>
          <w:iCs/>
          <w:sz w:val="28"/>
          <w:szCs w:val="28"/>
          <w:lang w:eastAsia="x-none" w:bidi="lo-LA"/>
        </w:rPr>
        <w:t>. мед. ун-т імені О.О. Богомольця МОЗ України; 2020. 241 с.</w:t>
      </w:r>
    </w:p>
    <w:p w14:paraId="143495D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Бухалова НА. </w:t>
      </w:r>
      <w:proofErr w:type="spellStart"/>
      <w:r w:rsidRPr="00520861">
        <w:rPr>
          <w:rFonts w:eastAsiaTheme="minorHAnsi"/>
          <w:sz w:val="28"/>
          <w:szCs w:val="28"/>
          <w:lang w:eastAsia="en-US"/>
        </w:rPr>
        <w:t>Особенности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матримониального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поведения</w:t>
      </w:r>
      <w:proofErr w:type="spellEnd"/>
      <w:r w:rsidRPr="00520861">
        <w:rPr>
          <w:rFonts w:eastAsiaTheme="minorHAnsi"/>
          <w:sz w:val="28"/>
          <w:szCs w:val="28"/>
          <w:lang w:eastAsia="en-US"/>
        </w:rPr>
        <w:t xml:space="preserve"> людей в </w:t>
      </w:r>
      <w:proofErr w:type="spellStart"/>
      <w:r w:rsidRPr="00520861">
        <w:rPr>
          <w:rFonts w:eastAsiaTheme="minorHAnsi"/>
          <w:sz w:val="28"/>
          <w:szCs w:val="28"/>
          <w:lang w:eastAsia="en-US"/>
        </w:rPr>
        <w:t>позднем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возрасте</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Вестник</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Нижегородского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университета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им</w:t>
      </w:r>
      <w:proofErr w:type="spellEnd"/>
      <w:r w:rsidRPr="00520861">
        <w:rPr>
          <w:rFonts w:eastAsiaTheme="minorHAnsi"/>
          <w:i/>
          <w:sz w:val="28"/>
          <w:szCs w:val="28"/>
          <w:lang w:eastAsia="en-US"/>
        </w:rPr>
        <w:t xml:space="preserve">. Н. И. Лобачевского. Сер. </w:t>
      </w:r>
      <w:proofErr w:type="spellStart"/>
      <w:r w:rsidRPr="00520861">
        <w:rPr>
          <w:rFonts w:eastAsiaTheme="minorHAnsi"/>
          <w:i/>
          <w:sz w:val="28"/>
          <w:szCs w:val="28"/>
          <w:lang w:eastAsia="en-US"/>
        </w:rPr>
        <w:t>Социальные</w:t>
      </w:r>
      <w:proofErr w:type="spellEnd"/>
      <w:r w:rsidRPr="00520861">
        <w:rPr>
          <w:rFonts w:eastAsiaTheme="minorHAnsi"/>
          <w:i/>
          <w:sz w:val="28"/>
          <w:szCs w:val="28"/>
          <w:lang w:eastAsia="en-US"/>
        </w:rPr>
        <w:t xml:space="preserve"> науки</w:t>
      </w:r>
      <w:r w:rsidRPr="00520861">
        <w:rPr>
          <w:rFonts w:eastAsiaTheme="minorHAnsi"/>
          <w:sz w:val="28"/>
          <w:szCs w:val="28"/>
          <w:lang w:eastAsia="en-US"/>
        </w:rPr>
        <w:t>. 2011;(2): 19–24.</w:t>
      </w:r>
    </w:p>
    <w:p w14:paraId="406591A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lastRenderedPageBreak/>
        <w:t xml:space="preserve">Вавилова ТП, Пашкова ГС, </w:t>
      </w:r>
      <w:proofErr w:type="spellStart"/>
      <w:r w:rsidRPr="00520861">
        <w:rPr>
          <w:rFonts w:eastAsiaTheme="minorHAnsi"/>
          <w:sz w:val="28"/>
          <w:szCs w:val="28"/>
          <w:lang w:eastAsia="en-US"/>
        </w:rPr>
        <w:t>Гринин</w:t>
      </w:r>
      <w:proofErr w:type="spellEnd"/>
      <w:r w:rsidRPr="00520861">
        <w:rPr>
          <w:rFonts w:eastAsiaTheme="minorHAnsi"/>
          <w:sz w:val="28"/>
          <w:szCs w:val="28"/>
          <w:lang w:eastAsia="en-US"/>
        </w:rPr>
        <w:t xml:space="preserve"> ВМ. </w:t>
      </w:r>
      <w:proofErr w:type="spellStart"/>
      <w:r w:rsidRPr="00520861">
        <w:rPr>
          <w:rFonts w:eastAsiaTheme="minorHAnsi"/>
          <w:sz w:val="28"/>
          <w:szCs w:val="28"/>
          <w:lang w:eastAsia="en-US"/>
        </w:rPr>
        <w:t>Исследование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растворимого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остеокластактивирующего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фактора</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остеопротегерина</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смешанной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слюне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пациентов</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пародонтитом</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Российский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стматологический</w:t>
      </w:r>
      <w:proofErr w:type="spellEnd"/>
      <w:r w:rsidRPr="00520861">
        <w:rPr>
          <w:rFonts w:eastAsiaTheme="minorHAnsi"/>
          <w:i/>
          <w:sz w:val="28"/>
          <w:szCs w:val="28"/>
          <w:lang w:eastAsia="en-US"/>
        </w:rPr>
        <w:t xml:space="preserve"> журнал</w:t>
      </w:r>
      <w:r w:rsidRPr="00520861">
        <w:rPr>
          <w:rFonts w:eastAsiaTheme="minorHAnsi"/>
          <w:sz w:val="28"/>
          <w:szCs w:val="28"/>
          <w:lang w:eastAsia="en-US"/>
        </w:rPr>
        <w:t>. 2010;(2): 11–14.</w:t>
      </w:r>
    </w:p>
    <w:p w14:paraId="13919C1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Веремєєнко</w:t>
      </w:r>
      <w:proofErr w:type="spellEnd"/>
      <w:r w:rsidRPr="00520861">
        <w:rPr>
          <w:rFonts w:eastAsiaTheme="minorHAnsi"/>
          <w:sz w:val="28"/>
          <w:szCs w:val="28"/>
          <w:lang w:eastAsia="en-US"/>
        </w:rPr>
        <w:t xml:space="preserve"> КМ, </w:t>
      </w:r>
      <w:proofErr w:type="spellStart"/>
      <w:r w:rsidRPr="00520861">
        <w:rPr>
          <w:rFonts w:eastAsiaTheme="minorHAnsi"/>
          <w:sz w:val="28"/>
          <w:szCs w:val="28"/>
          <w:lang w:eastAsia="en-US"/>
        </w:rPr>
        <w:t>Кизим</w:t>
      </w:r>
      <w:proofErr w:type="spellEnd"/>
      <w:r w:rsidRPr="00520861">
        <w:rPr>
          <w:rFonts w:eastAsiaTheme="minorHAnsi"/>
          <w:sz w:val="28"/>
          <w:szCs w:val="28"/>
          <w:lang w:eastAsia="en-US"/>
        </w:rPr>
        <w:t xml:space="preserve"> ОЙ. Біохімія ротового секрету та його дослідження в клініці. </w:t>
      </w:r>
      <w:r w:rsidRPr="00520861">
        <w:rPr>
          <w:rFonts w:eastAsiaTheme="minorHAnsi"/>
          <w:i/>
          <w:sz w:val="28"/>
          <w:szCs w:val="28"/>
          <w:lang w:eastAsia="en-US"/>
        </w:rPr>
        <w:t>Лабораторна діагностика</w:t>
      </w:r>
      <w:r w:rsidRPr="00520861">
        <w:rPr>
          <w:rFonts w:eastAsiaTheme="minorHAnsi"/>
          <w:sz w:val="28"/>
          <w:szCs w:val="28"/>
          <w:lang w:eastAsia="en-US"/>
        </w:rPr>
        <w:t>. 2005;32(2): 9–14.</w:t>
      </w:r>
    </w:p>
    <w:p w14:paraId="541F0CA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Витебская</w:t>
      </w:r>
      <w:proofErr w:type="spellEnd"/>
      <w:r w:rsidRPr="00520861">
        <w:rPr>
          <w:rFonts w:eastAsiaTheme="minorHAnsi"/>
          <w:sz w:val="28"/>
          <w:szCs w:val="28"/>
          <w:lang w:eastAsia="en-US"/>
        </w:rPr>
        <w:t xml:space="preserve"> АВ, </w:t>
      </w:r>
      <w:proofErr w:type="spellStart"/>
      <w:r w:rsidRPr="00520861">
        <w:rPr>
          <w:rFonts w:eastAsiaTheme="minorHAnsi"/>
          <w:sz w:val="28"/>
          <w:szCs w:val="28"/>
          <w:lang w:eastAsia="en-US"/>
        </w:rPr>
        <w:t>Кулиева</w:t>
      </w:r>
      <w:proofErr w:type="spellEnd"/>
      <w:r w:rsidRPr="00520861">
        <w:rPr>
          <w:rFonts w:eastAsiaTheme="minorHAnsi"/>
          <w:sz w:val="28"/>
          <w:szCs w:val="28"/>
          <w:lang w:eastAsia="en-US"/>
        </w:rPr>
        <w:t xml:space="preserve"> БП, </w:t>
      </w:r>
      <w:proofErr w:type="spellStart"/>
      <w:r w:rsidRPr="00520861">
        <w:rPr>
          <w:rFonts w:eastAsiaTheme="minorHAnsi"/>
          <w:sz w:val="28"/>
          <w:szCs w:val="28"/>
          <w:lang w:eastAsia="en-US"/>
        </w:rPr>
        <w:t>Гиндис</w:t>
      </w:r>
      <w:proofErr w:type="spellEnd"/>
      <w:r w:rsidRPr="00520861">
        <w:rPr>
          <w:rFonts w:eastAsiaTheme="minorHAnsi"/>
          <w:sz w:val="28"/>
          <w:szCs w:val="28"/>
          <w:lang w:eastAsia="en-US"/>
        </w:rPr>
        <w:t xml:space="preserve"> АА, </w:t>
      </w:r>
      <w:proofErr w:type="spellStart"/>
      <w:r w:rsidRPr="00520861">
        <w:rPr>
          <w:rFonts w:eastAsiaTheme="minorHAnsi"/>
          <w:sz w:val="28"/>
          <w:szCs w:val="28"/>
          <w:lang w:eastAsia="en-US"/>
        </w:rPr>
        <w:t>Тугаринова</w:t>
      </w:r>
      <w:proofErr w:type="spellEnd"/>
      <w:r w:rsidRPr="00520861">
        <w:rPr>
          <w:rFonts w:eastAsiaTheme="minorHAnsi"/>
          <w:sz w:val="28"/>
          <w:szCs w:val="28"/>
          <w:lang w:eastAsia="en-US"/>
        </w:rPr>
        <w:t xml:space="preserve"> ГВ. В </w:t>
      </w:r>
      <w:proofErr w:type="spellStart"/>
      <w:r w:rsidRPr="00520861">
        <w:rPr>
          <w:rFonts w:eastAsiaTheme="minorHAnsi"/>
          <w:sz w:val="28"/>
          <w:szCs w:val="28"/>
          <w:lang w:eastAsia="en-US"/>
        </w:rPr>
        <w:t>поисках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гипофосфатазии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скрининг</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пациентов</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низким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уровнем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щелочной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фосфатазы</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Медицинский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совет</w:t>
      </w:r>
      <w:proofErr w:type="spellEnd"/>
      <w:r w:rsidRPr="00520861">
        <w:rPr>
          <w:rFonts w:eastAsiaTheme="minorHAnsi"/>
          <w:sz w:val="28"/>
          <w:szCs w:val="28"/>
          <w:lang w:eastAsia="en-US"/>
        </w:rPr>
        <w:t>. 2017;(19):</w:t>
      </w:r>
      <w:r w:rsidRPr="00520861">
        <w:rPr>
          <w:rFonts w:eastAsiaTheme="minorHAnsi"/>
          <w:sz w:val="28"/>
          <w:szCs w:val="28"/>
          <w:lang w:val="ru-RU" w:eastAsia="en-US"/>
        </w:rPr>
        <w:t xml:space="preserve"> </w:t>
      </w:r>
      <w:r w:rsidRPr="00520861">
        <w:rPr>
          <w:rFonts w:eastAsiaTheme="minorHAnsi"/>
          <w:sz w:val="28"/>
          <w:szCs w:val="28"/>
          <w:lang w:eastAsia="en-US"/>
        </w:rPr>
        <w:t>182–</w:t>
      </w:r>
      <w:r w:rsidRPr="00520861">
        <w:rPr>
          <w:rFonts w:eastAsiaTheme="minorHAnsi"/>
          <w:sz w:val="28"/>
          <w:szCs w:val="28"/>
          <w:lang w:val="ru-RU" w:eastAsia="en-US"/>
        </w:rPr>
        <w:t>18</w:t>
      </w:r>
      <w:r w:rsidRPr="00520861">
        <w:rPr>
          <w:rFonts w:eastAsiaTheme="minorHAnsi"/>
          <w:sz w:val="28"/>
          <w:szCs w:val="28"/>
          <w:lang w:eastAsia="en-US"/>
        </w:rPr>
        <w:t xml:space="preserve">7. </w:t>
      </w:r>
      <w:r w:rsidRPr="00520861">
        <w:rPr>
          <w:rFonts w:eastAsiaTheme="minorHAnsi"/>
          <w:sz w:val="28"/>
          <w:szCs w:val="28"/>
          <w:lang w:val="ru-RU" w:eastAsia="en-US"/>
        </w:rPr>
        <w:t>Доступно на:</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10.21518/2079-701X-2017-19-182-187.</w:t>
      </w:r>
    </w:p>
    <w:p w14:paraId="46364AA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Власюк ВВ. </w:t>
      </w:r>
      <w:proofErr w:type="spellStart"/>
      <w:r w:rsidRPr="00520861">
        <w:rPr>
          <w:rFonts w:eastAsiaTheme="minorHAnsi"/>
          <w:i/>
          <w:sz w:val="28"/>
          <w:szCs w:val="28"/>
          <w:lang w:eastAsia="en-US"/>
        </w:rPr>
        <w:t>Патология</w:t>
      </w:r>
      <w:proofErr w:type="spellEnd"/>
      <w:r w:rsidRPr="00520861">
        <w:rPr>
          <w:rFonts w:eastAsiaTheme="minorHAnsi"/>
          <w:i/>
          <w:sz w:val="28"/>
          <w:szCs w:val="28"/>
          <w:lang w:eastAsia="en-US"/>
        </w:rPr>
        <w:t xml:space="preserve"> головного </w:t>
      </w:r>
      <w:proofErr w:type="spellStart"/>
      <w:r w:rsidRPr="00520861">
        <w:rPr>
          <w:rFonts w:eastAsiaTheme="minorHAnsi"/>
          <w:i/>
          <w:sz w:val="28"/>
          <w:szCs w:val="28"/>
          <w:lang w:eastAsia="en-US"/>
        </w:rPr>
        <w:t>мозга</w:t>
      </w:r>
      <w:proofErr w:type="spellEnd"/>
      <w:r w:rsidRPr="00520861">
        <w:rPr>
          <w:rFonts w:eastAsiaTheme="minorHAnsi"/>
          <w:i/>
          <w:sz w:val="28"/>
          <w:szCs w:val="28"/>
          <w:lang w:eastAsia="en-US"/>
        </w:rPr>
        <w:t xml:space="preserve"> у </w:t>
      </w:r>
      <w:proofErr w:type="spellStart"/>
      <w:r w:rsidRPr="00520861">
        <w:rPr>
          <w:rFonts w:eastAsiaTheme="minorHAnsi"/>
          <w:i/>
          <w:sz w:val="28"/>
          <w:szCs w:val="28"/>
          <w:lang w:eastAsia="en-US"/>
        </w:rPr>
        <w:t>новорожденных</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детей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раннего</w:t>
      </w:r>
      <w:proofErr w:type="spellEnd"/>
      <w:r w:rsidRPr="00520861">
        <w:rPr>
          <w:rFonts w:eastAsiaTheme="minorHAnsi"/>
          <w:i/>
          <w:sz w:val="28"/>
          <w:szCs w:val="28"/>
          <w:lang w:eastAsia="en-US"/>
        </w:rPr>
        <w:t xml:space="preserve"> </w:t>
      </w:r>
      <w:r w:rsidR="00B22E6A" w:rsidRPr="00520861">
        <w:rPr>
          <w:rFonts w:eastAsiaTheme="minorHAnsi"/>
          <w:i/>
          <w:sz w:val="28"/>
          <w:szCs w:val="28"/>
          <w:lang w:eastAsia="en-US"/>
        </w:rPr>
        <w:br/>
      </w:r>
      <w:proofErr w:type="spellStart"/>
      <w:r w:rsidRPr="00520861">
        <w:rPr>
          <w:rFonts w:eastAsiaTheme="minorHAnsi"/>
          <w:i/>
          <w:sz w:val="28"/>
          <w:szCs w:val="28"/>
          <w:lang w:eastAsia="en-US"/>
        </w:rPr>
        <w:t>возраста</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Москва: </w:t>
      </w:r>
      <w:proofErr w:type="spellStart"/>
      <w:r w:rsidRPr="00520861">
        <w:rPr>
          <w:rFonts w:eastAsiaTheme="minorHAnsi"/>
          <w:sz w:val="28"/>
          <w:szCs w:val="28"/>
          <w:lang w:eastAsia="en-US"/>
        </w:rPr>
        <w:t>Логосфера</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2014. 288 с.</w:t>
      </w:r>
    </w:p>
    <w:p w14:paraId="2BD9A6A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Водолацкий</w:t>
      </w:r>
      <w:proofErr w:type="spellEnd"/>
      <w:r w:rsidRPr="00520861">
        <w:rPr>
          <w:rFonts w:eastAsiaTheme="minorHAnsi"/>
          <w:sz w:val="28"/>
          <w:szCs w:val="28"/>
          <w:lang w:eastAsia="en-US"/>
        </w:rPr>
        <w:t xml:space="preserve"> МП, Павлов АА, Некрасова АА. Характер и патогенез </w:t>
      </w:r>
      <w:proofErr w:type="spellStart"/>
      <w:r w:rsidRPr="00520861">
        <w:rPr>
          <w:rFonts w:eastAsiaTheme="minorHAnsi"/>
          <w:sz w:val="28"/>
          <w:szCs w:val="28"/>
          <w:lang w:eastAsia="en-US"/>
        </w:rPr>
        <w:t>развития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воспалительного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процесса</w:t>
      </w:r>
      <w:proofErr w:type="spellEnd"/>
      <w:r w:rsidRPr="00520861">
        <w:rPr>
          <w:rFonts w:eastAsiaTheme="minorHAnsi"/>
          <w:sz w:val="28"/>
          <w:szCs w:val="28"/>
          <w:lang w:eastAsia="en-US"/>
        </w:rPr>
        <w:t xml:space="preserve"> в тканях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детей</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Медицинский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вестник</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северного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кавказа</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2011</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18–20</w:t>
      </w:r>
      <w:r w:rsidRPr="00520861">
        <w:rPr>
          <w:rFonts w:eastAsiaTheme="minorHAnsi"/>
          <w:sz w:val="28"/>
          <w:szCs w:val="28"/>
          <w:lang w:val="ru-RU" w:eastAsia="en-US"/>
        </w:rPr>
        <w:t>.</w:t>
      </w:r>
    </w:p>
    <w:p w14:paraId="57DC30C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Вольф ГФ</w:t>
      </w:r>
      <w:r w:rsidRPr="00520861">
        <w:rPr>
          <w:rFonts w:eastAsiaTheme="minorHAnsi"/>
          <w:sz w:val="28"/>
          <w:szCs w:val="28"/>
          <w:lang w:val="ru-RU" w:eastAsia="en-US"/>
        </w:rPr>
        <w:t xml:space="preserve">, </w:t>
      </w:r>
      <w:proofErr w:type="spellStart"/>
      <w:r w:rsidRPr="00520861">
        <w:rPr>
          <w:rFonts w:eastAsiaTheme="minorHAnsi"/>
          <w:sz w:val="28"/>
          <w:szCs w:val="28"/>
          <w:lang w:eastAsia="en-US"/>
        </w:rPr>
        <w:t>Ратейцхак</w:t>
      </w:r>
      <w:proofErr w:type="spellEnd"/>
      <w:r w:rsidRPr="00520861">
        <w:rPr>
          <w:rFonts w:eastAsiaTheme="minorHAnsi"/>
          <w:sz w:val="28"/>
          <w:szCs w:val="28"/>
          <w:lang w:eastAsia="en-US"/>
        </w:rPr>
        <w:t xml:space="preserve"> ЭМ, </w:t>
      </w:r>
      <w:proofErr w:type="spellStart"/>
      <w:r w:rsidRPr="00520861">
        <w:rPr>
          <w:rFonts w:eastAsiaTheme="minorHAnsi"/>
          <w:sz w:val="28"/>
          <w:szCs w:val="28"/>
          <w:lang w:eastAsia="en-US"/>
        </w:rPr>
        <w:t>Ратейцхак</w:t>
      </w:r>
      <w:proofErr w:type="spellEnd"/>
      <w:r w:rsidRPr="00520861">
        <w:rPr>
          <w:rFonts w:eastAsiaTheme="minorHAnsi"/>
          <w:sz w:val="28"/>
          <w:szCs w:val="28"/>
          <w:lang w:eastAsia="en-US"/>
        </w:rPr>
        <w:t xml:space="preserve"> К. </w:t>
      </w:r>
      <w:proofErr w:type="spellStart"/>
      <w:r w:rsidRPr="00520861">
        <w:rPr>
          <w:rFonts w:eastAsiaTheme="minorHAnsi"/>
          <w:i/>
          <w:sz w:val="28"/>
          <w:szCs w:val="28"/>
          <w:lang w:eastAsia="en-US"/>
        </w:rPr>
        <w:t>Парадонтология</w:t>
      </w:r>
      <w:proofErr w:type="spellEnd"/>
      <w:r w:rsidRPr="00520861">
        <w:rPr>
          <w:rFonts w:eastAsiaTheme="minorHAnsi"/>
          <w:sz w:val="28"/>
          <w:szCs w:val="28"/>
          <w:lang w:eastAsia="en-US"/>
        </w:rPr>
        <w:t xml:space="preserve">. Москва: </w:t>
      </w:r>
      <w:proofErr w:type="spellStart"/>
      <w:r w:rsidRPr="00520861">
        <w:rPr>
          <w:rFonts w:eastAsiaTheme="minorHAnsi"/>
          <w:sz w:val="28"/>
          <w:szCs w:val="28"/>
          <w:lang w:eastAsia="en-US"/>
        </w:rPr>
        <w:t>МЕДпресс-информ</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2014. </w:t>
      </w:r>
      <w:r w:rsidRPr="00520861">
        <w:rPr>
          <w:rFonts w:eastAsiaTheme="minorHAnsi"/>
          <w:sz w:val="28"/>
          <w:szCs w:val="28"/>
          <w:lang w:val="ru-RU" w:eastAsia="en-US"/>
        </w:rPr>
        <w:t xml:space="preserve">548 </w:t>
      </w:r>
      <w:r w:rsidRPr="00520861">
        <w:rPr>
          <w:rFonts w:eastAsiaTheme="minorHAnsi"/>
          <w:sz w:val="28"/>
          <w:szCs w:val="28"/>
          <w:lang w:eastAsia="en-US"/>
        </w:rPr>
        <w:t>с.</w:t>
      </w:r>
      <w:r w:rsidRPr="00520861">
        <w:rPr>
          <w:rFonts w:eastAsiaTheme="minorHAnsi"/>
          <w:sz w:val="28"/>
          <w:szCs w:val="28"/>
          <w:lang w:val="ru-RU" w:eastAsia="en-US"/>
        </w:rPr>
        <w:t xml:space="preserve"> </w:t>
      </w:r>
    </w:p>
    <w:p w14:paraId="3548651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proofErr w:type="spellStart"/>
      <w:r w:rsidRPr="00520861">
        <w:rPr>
          <w:rFonts w:eastAsiaTheme="minorHAnsi"/>
          <w:sz w:val="28"/>
          <w:szCs w:val="28"/>
          <w:lang w:eastAsia="en-US"/>
        </w:rPr>
        <w:t>Воробьев</w:t>
      </w:r>
      <w:proofErr w:type="spellEnd"/>
      <w:r w:rsidRPr="00520861">
        <w:rPr>
          <w:rFonts w:eastAsiaTheme="minorHAnsi"/>
          <w:sz w:val="28"/>
          <w:szCs w:val="28"/>
          <w:lang w:eastAsia="en-US"/>
        </w:rPr>
        <w:t xml:space="preserve"> КП. Формат </w:t>
      </w:r>
      <w:proofErr w:type="spellStart"/>
      <w:r w:rsidRPr="00520861">
        <w:rPr>
          <w:rFonts w:eastAsiaTheme="minorHAnsi"/>
          <w:sz w:val="28"/>
          <w:szCs w:val="28"/>
          <w:lang w:eastAsia="en-US"/>
        </w:rPr>
        <w:t>современной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журнальной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публикации</w:t>
      </w:r>
      <w:proofErr w:type="spellEnd"/>
      <w:r w:rsidRPr="00520861">
        <w:rPr>
          <w:rFonts w:eastAsiaTheme="minorHAnsi"/>
          <w:sz w:val="28"/>
          <w:szCs w:val="28"/>
          <w:lang w:eastAsia="en-US"/>
        </w:rPr>
        <w:t xml:space="preserve"> по результатам </w:t>
      </w:r>
      <w:proofErr w:type="spellStart"/>
      <w:r w:rsidRPr="00520861">
        <w:rPr>
          <w:rFonts w:eastAsiaTheme="minorHAnsi"/>
          <w:sz w:val="28"/>
          <w:szCs w:val="28"/>
          <w:lang w:eastAsia="en-US"/>
        </w:rPr>
        <w:t>клинического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исследования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Часть</w:t>
      </w:r>
      <w:proofErr w:type="spellEnd"/>
      <w:r w:rsidRPr="00520861">
        <w:rPr>
          <w:rFonts w:eastAsiaTheme="minorHAnsi"/>
          <w:sz w:val="28"/>
          <w:szCs w:val="28"/>
          <w:lang w:eastAsia="en-US"/>
        </w:rPr>
        <w:t xml:space="preserve"> 3. Дизайн </w:t>
      </w:r>
      <w:proofErr w:type="spellStart"/>
      <w:r w:rsidRPr="00520861">
        <w:rPr>
          <w:rFonts w:eastAsiaTheme="minorHAnsi"/>
          <w:sz w:val="28"/>
          <w:szCs w:val="28"/>
          <w:lang w:eastAsia="en-US"/>
        </w:rPr>
        <w:t>клинического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исследования</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Український медичний часопис</w:t>
      </w:r>
      <w:r w:rsidRPr="00520861">
        <w:rPr>
          <w:rFonts w:eastAsiaTheme="minorHAnsi"/>
          <w:sz w:val="28"/>
          <w:szCs w:val="28"/>
          <w:lang w:eastAsia="en-US"/>
        </w:rPr>
        <w:t>. 2008</w:t>
      </w:r>
      <w:r w:rsidRPr="00520861">
        <w:rPr>
          <w:rFonts w:eastAsiaTheme="minorHAnsi"/>
          <w:sz w:val="28"/>
          <w:szCs w:val="28"/>
          <w:lang w:val="ru-RU" w:eastAsia="en-US"/>
        </w:rPr>
        <w:t>;(</w:t>
      </w:r>
      <w:r w:rsidRPr="00520861">
        <w:rPr>
          <w:rFonts w:eastAsiaTheme="minorHAnsi"/>
          <w:sz w:val="28"/>
          <w:szCs w:val="28"/>
          <w:lang w:eastAsia="en-US"/>
        </w:rPr>
        <w:t>2</w:t>
      </w:r>
      <w:r w:rsidRPr="00520861">
        <w:rPr>
          <w:rFonts w:eastAsiaTheme="minorHAnsi"/>
          <w:sz w:val="28"/>
          <w:szCs w:val="28"/>
          <w:lang w:val="ru-RU" w:eastAsia="en-US"/>
        </w:rPr>
        <w:t xml:space="preserve">): </w:t>
      </w:r>
      <w:r w:rsidRPr="00520861">
        <w:rPr>
          <w:rFonts w:eastAsiaTheme="minorHAnsi"/>
          <w:sz w:val="28"/>
          <w:szCs w:val="28"/>
          <w:lang w:eastAsia="en-US"/>
        </w:rPr>
        <w:t>150–160.</w:t>
      </w:r>
      <w:r w:rsidRPr="00520861">
        <w:rPr>
          <w:rFonts w:eastAsiaTheme="minorHAnsi"/>
          <w:sz w:val="28"/>
          <w:szCs w:val="28"/>
          <w:lang w:val="ru-RU" w:eastAsia="en-US"/>
        </w:rPr>
        <w:t xml:space="preserve"> Доступно на:</w:t>
      </w:r>
      <w:r w:rsidRPr="00520861">
        <w:rPr>
          <w:rFonts w:eastAsiaTheme="minorHAnsi"/>
          <w:sz w:val="28"/>
          <w:szCs w:val="28"/>
          <w:lang w:eastAsia="en-US"/>
        </w:rPr>
        <w:t xml:space="preserve"> http://www.umj.com.ua/archive/64/pdf/28_rus.pdf</w:t>
      </w:r>
      <w:r w:rsidRPr="00520861">
        <w:rPr>
          <w:rFonts w:eastAsiaTheme="minorHAnsi"/>
          <w:sz w:val="28"/>
          <w:szCs w:val="28"/>
          <w:lang w:val="ru-RU" w:eastAsia="en-US"/>
        </w:rPr>
        <w:t>.</w:t>
      </w:r>
    </w:p>
    <w:p w14:paraId="355BD81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Воротникова</w:t>
      </w:r>
      <w:proofErr w:type="spellEnd"/>
      <w:r w:rsidRPr="00520861">
        <w:rPr>
          <w:rFonts w:eastAsiaTheme="minorHAnsi"/>
          <w:sz w:val="28"/>
          <w:szCs w:val="28"/>
          <w:lang w:eastAsia="en-US"/>
        </w:rPr>
        <w:t xml:space="preserve"> СЮ, </w:t>
      </w:r>
      <w:proofErr w:type="spellStart"/>
      <w:r w:rsidRPr="00520861">
        <w:rPr>
          <w:rFonts w:eastAsiaTheme="minorHAnsi"/>
          <w:sz w:val="28"/>
          <w:szCs w:val="28"/>
          <w:lang w:eastAsia="en-US"/>
        </w:rPr>
        <w:t>Пигарова</w:t>
      </w:r>
      <w:proofErr w:type="spellEnd"/>
      <w:r w:rsidRPr="00520861">
        <w:rPr>
          <w:rFonts w:eastAsiaTheme="minorHAnsi"/>
          <w:sz w:val="28"/>
          <w:szCs w:val="28"/>
          <w:lang w:eastAsia="en-US"/>
        </w:rPr>
        <w:t xml:space="preserve"> ЕА, </w:t>
      </w:r>
      <w:proofErr w:type="spellStart"/>
      <w:r w:rsidRPr="00520861">
        <w:rPr>
          <w:rFonts w:eastAsiaTheme="minorHAnsi"/>
          <w:sz w:val="28"/>
          <w:szCs w:val="28"/>
          <w:lang w:eastAsia="en-US"/>
        </w:rPr>
        <w:t>Дзеранова</w:t>
      </w:r>
      <w:proofErr w:type="spellEnd"/>
      <w:r w:rsidRPr="00520861">
        <w:rPr>
          <w:rFonts w:eastAsiaTheme="minorHAnsi"/>
          <w:sz w:val="28"/>
          <w:szCs w:val="28"/>
          <w:lang w:eastAsia="en-US"/>
        </w:rPr>
        <w:t xml:space="preserve"> ЛК. </w:t>
      </w:r>
      <w:proofErr w:type="spellStart"/>
      <w:r w:rsidRPr="00520861">
        <w:rPr>
          <w:rFonts w:eastAsiaTheme="minorHAnsi"/>
          <w:sz w:val="28"/>
          <w:szCs w:val="28"/>
          <w:lang w:eastAsia="en-US"/>
        </w:rPr>
        <w:t>Метаболические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эффекты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гормона</w:t>
      </w:r>
      <w:proofErr w:type="spellEnd"/>
      <w:r w:rsidRPr="00520861">
        <w:rPr>
          <w:rFonts w:eastAsiaTheme="minorHAnsi"/>
          <w:sz w:val="28"/>
          <w:szCs w:val="28"/>
          <w:lang w:eastAsia="en-US"/>
        </w:rPr>
        <w:t xml:space="preserve"> роста. </w:t>
      </w:r>
      <w:proofErr w:type="spellStart"/>
      <w:r w:rsidRPr="00520861">
        <w:rPr>
          <w:rFonts w:eastAsiaTheme="minorHAnsi"/>
          <w:i/>
          <w:sz w:val="28"/>
          <w:szCs w:val="28"/>
          <w:lang w:eastAsia="en-US"/>
        </w:rPr>
        <w:t>Ожирение</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метаболизм</w:t>
      </w:r>
      <w:proofErr w:type="spellEnd"/>
      <w:r w:rsidRPr="00520861">
        <w:rPr>
          <w:rFonts w:eastAsiaTheme="minorHAnsi"/>
          <w:sz w:val="28"/>
          <w:szCs w:val="28"/>
          <w:lang w:eastAsia="en-US"/>
        </w:rPr>
        <w:t>. 2011;4: 55–59.</w:t>
      </w:r>
    </w:p>
    <w:p w14:paraId="1F7C9F1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Всемирная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оргaнизация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здравоохранения</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Стоматологическое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обследование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Основные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методы</w:t>
      </w:r>
      <w:proofErr w:type="spellEnd"/>
      <w:r w:rsidRPr="00520861">
        <w:rPr>
          <w:rFonts w:eastAsiaTheme="minorHAnsi"/>
          <w:sz w:val="28"/>
          <w:szCs w:val="28"/>
          <w:lang w:eastAsia="en-US"/>
        </w:rPr>
        <w:t xml:space="preserve">. 5-е </w:t>
      </w:r>
      <w:proofErr w:type="spellStart"/>
      <w:r w:rsidRPr="00520861">
        <w:rPr>
          <w:rFonts w:eastAsiaTheme="minorHAnsi"/>
          <w:sz w:val="28"/>
          <w:szCs w:val="28"/>
          <w:lang w:eastAsia="en-US"/>
        </w:rPr>
        <w:t>изд</w:t>
      </w:r>
      <w:proofErr w:type="spellEnd"/>
      <w:r w:rsidRPr="00520861">
        <w:rPr>
          <w:rFonts w:eastAsiaTheme="minorHAnsi"/>
          <w:sz w:val="28"/>
          <w:szCs w:val="28"/>
          <w:lang w:eastAsia="en-US"/>
        </w:rPr>
        <w:t xml:space="preserve">. Москва: ГБОУ ВПО МГМСУ </w:t>
      </w:r>
      <w:proofErr w:type="spellStart"/>
      <w:r w:rsidRPr="00520861">
        <w:rPr>
          <w:rFonts w:eastAsiaTheme="minorHAnsi"/>
          <w:sz w:val="28"/>
          <w:szCs w:val="28"/>
          <w:lang w:eastAsia="en-US"/>
        </w:rPr>
        <w:t>им</w:t>
      </w:r>
      <w:proofErr w:type="spellEnd"/>
      <w:r w:rsidRPr="00520861">
        <w:rPr>
          <w:rFonts w:eastAsiaTheme="minorHAnsi"/>
          <w:sz w:val="28"/>
          <w:szCs w:val="28"/>
          <w:lang w:eastAsia="en-US"/>
        </w:rPr>
        <w:t xml:space="preserve">. А.И. </w:t>
      </w:r>
      <w:proofErr w:type="spellStart"/>
      <w:r w:rsidRPr="00520861">
        <w:rPr>
          <w:rFonts w:eastAsiaTheme="minorHAnsi"/>
          <w:sz w:val="28"/>
          <w:szCs w:val="28"/>
          <w:lang w:eastAsia="en-US"/>
        </w:rPr>
        <w:t>Евдокимова</w:t>
      </w:r>
      <w:proofErr w:type="spellEnd"/>
      <w:r w:rsidRPr="00520861">
        <w:rPr>
          <w:rFonts w:eastAsiaTheme="minorHAnsi"/>
          <w:sz w:val="28"/>
          <w:szCs w:val="28"/>
          <w:lang w:eastAsia="en-US"/>
        </w:rPr>
        <w:t xml:space="preserve">; 2013. 136 с. </w:t>
      </w:r>
    </w:p>
    <w:p w14:paraId="0AEF7DC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Гаджиева</w:t>
      </w:r>
      <w:proofErr w:type="spellEnd"/>
      <w:r w:rsidRPr="00520861">
        <w:rPr>
          <w:rFonts w:eastAsiaTheme="minorHAnsi"/>
          <w:sz w:val="28"/>
          <w:szCs w:val="28"/>
          <w:lang w:eastAsia="en-US"/>
        </w:rPr>
        <w:t xml:space="preserve"> ДН. </w:t>
      </w:r>
      <w:proofErr w:type="spellStart"/>
      <w:r w:rsidRPr="00520861">
        <w:rPr>
          <w:rFonts w:eastAsiaTheme="minorHAnsi"/>
          <w:i/>
          <w:sz w:val="28"/>
          <w:szCs w:val="28"/>
          <w:lang w:eastAsia="en-US"/>
        </w:rPr>
        <w:t>Заболевания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пародонта</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остеопатии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гендерные</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возрастные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особенности</w:t>
      </w:r>
      <w:proofErr w:type="spellEnd"/>
      <w:r w:rsidRPr="00520861">
        <w:rPr>
          <w:rFonts w:eastAsiaTheme="minorHAnsi"/>
          <w:sz w:val="28"/>
          <w:szCs w:val="28"/>
          <w:lang w:eastAsia="en-US"/>
        </w:rPr>
        <w:t xml:space="preserve"> </w:t>
      </w:r>
      <w:r w:rsidRPr="00520861">
        <w:rPr>
          <w:rFonts w:eastAsiaTheme="minorHAnsi"/>
          <w:iCs/>
          <w:sz w:val="28"/>
          <w:szCs w:val="28"/>
          <w:lang w:eastAsia="en-US"/>
        </w:rPr>
        <w:t>[</w:t>
      </w:r>
      <w:proofErr w:type="spellStart"/>
      <w:r w:rsidRPr="00520861">
        <w:rPr>
          <w:rFonts w:eastAsiaTheme="minorHAnsi"/>
          <w:iCs/>
          <w:sz w:val="28"/>
          <w:szCs w:val="28"/>
          <w:lang w:eastAsia="en-US"/>
        </w:rPr>
        <w:t>дисертация</w:t>
      </w:r>
      <w:proofErr w:type="spellEnd"/>
      <w:r w:rsidRPr="00520861">
        <w:rPr>
          <w:rFonts w:eastAsiaTheme="minorHAnsi"/>
          <w:iCs/>
          <w:sz w:val="28"/>
          <w:szCs w:val="28"/>
          <w:lang w:eastAsia="en-US"/>
        </w:rPr>
        <w:t xml:space="preserve">]. </w:t>
      </w:r>
      <w:r w:rsidRPr="00520861">
        <w:rPr>
          <w:rFonts w:eastAsiaTheme="minorHAnsi"/>
          <w:sz w:val="28"/>
          <w:szCs w:val="28"/>
          <w:lang w:eastAsia="en-US"/>
        </w:rPr>
        <w:t>Краснодар: "</w:t>
      </w:r>
      <w:proofErr w:type="spellStart"/>
      <w:r w:rsidRPr="00520861">
        <w:rPr>
          <w:rFonts w:eastAsiaTheme="minorHAnsi"/>
          <w:sz w:val="28"/>
          <w:szCs w:val="28"/>
          <w:lang w:eastAsia="en-US"/>
        </w:rPr>
        <w:t>Кубанский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государственный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медицинский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университет</w:t>
      </w:r>
      <w:proofErr w:type="spellEnd"/>
      <w:r w:rsidRPr="00520861">
        <w:rPr>
          <w:rFonts w:eastAsiaTheme="minorHAnsi"/>
          <w:sz w:val="28"/>
          <w:szCs w:val="28"/>
          <w:lang w:eastAsia="en-US"/>
        </w:rPr>
        <w:t>"</w:t>
      </w:r>
      <w:r w:rsidRPr="00520861">
        <w:rPr>
          <w:rFonts w:eastAsiaTheme="minorHAnsi"/>
          <w:sz w:val="28"/>
          <w:szCs w:val="28"/>
          <w:lang w:val="ru-RU" w:eastAsia="en-US"/>
        </w:rPr>
        <w:t>;</w:t>
      </w:r>
      <w:r w:rsidRPr="00520861">
        <w:rPr>
          <w:rFonts w:eastAsiaTheme="minorHAnsi"/>
          <w:sz w:val="28"/>
          <w:szCs w:val="28"/>
          <w:lang w:eastAsia="en-US"/>
        </w:rPr>
        <w:t xml:space="preserve"> 2015. 148 с.</w:t>
      </w:r>
    </w:p>
    <w:p w14:paraId="20B85DD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Галактионова</w:t>
      </w:r>
      <w:proofErr w:type="spellEnd"/>
      <w:r w:rsidRPr="00520861">
        <w:rPr>
          <w:rFonts w:eastAsiaTheme="minorHAnsi"/>
          <w:sz w:val="28"/>
          <w:szCs w:val="28"/>
          <w:lang w:eastAsia="en-US"/>
        </w:rPr>
        <w:t xml:space="preserve"> МЮ, </w:t>
      </w:r>
      <w:proofErr w:type="spellStart"/>
      <w:r w:rsidRPr="00520861">
        <w:rPr>
          <w:rFonts w:eastAsiaTheme="minorHAnsi"/>
          <w:sz w:val="28"/>
          <w:szCs w:val="28"/>
          <w:lang w:eastAsia="en-US"/>
        </w:rPr>
        <w:t>Изместьева</w:t>
      </w:r>
      <w:proofErr w:type="spellEnd"/>
      <w:r w:rsidRPr="00520861">
        <w:rPr>
          <w:rFonts w:eastAsiaTheme="minorHAnsi"/>
          <w:sz w:val="28"/>
          <w:szCs w:val="28"/>
          <w:lang w:eastAsia="en-US"/>
        </w:rPr>
        <w:t xml:space="preserve"> ОВ. </w:t>
      </w:r>
      <w:proofErr w:type="spellStart"/>
      <w:r w:rsidRPr="00520861">
        <w:rPr>
          <w:rFonts w:eastAsiaTheme="minorHAnsi"/>
          <w:sz w:val="28"/>
          <w:szCs w:val="28"/>
          <w:lang w:eastAsia="en-US"/>
        </w:rPr>
        <w:t>Сроки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прорезывания</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eastAsia="en-US"/>
        </w:rPr>
        <w:t>временных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и характер</w:t>
      </w:r>
      <w:r w:rsidRPr="00520861">
        <w:rPr>
          <w:rFonts w:eastAsiaTheme="minorHAnsi"/>
          <w:sz w:val="28"/>
          <w:szCs w:val="28"/>
          <w:lang w:val="ru-RU" w:eastAsia="en-US"/>
        </w:rPr>
        <w:t xml:space="preserve"> </w:t>
      </w:r>
      <w:proofErr w:type="spellStart"/>
      <w:r w:rsidRPr="00520861">
        <w:rPr>
          <w:rFonts w:eastAsiaTheme="minorHAnsi"/>
          <w:sz w:val="28"/>
          <w:szCs w:val="28"/>
          <w:lang w:eastAsia="en-US"/>
        </w:rPr>
        <w:t>вскармливания</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eastAsia="en-US"/>
        </w:rPr>
        <w:t>детей</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eastAsia="en-US"/>
        </w:rPr>
        <w:t>первого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года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жизни</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Мать и дитя в </w:t>
      </w:r>
      <w:proofErr w:type="spellStart"/>
      <w:r w:rsidRPr="00520861">
        <w:rPr>
          <w:rFonts w:eastAsiaTheme="minorHAnsi"/>
          <w:i/>
          <w:sz w:val="28"/>
          <w:szCs w:val="28"/>
          <w:lang w:eastAsia="en-US"/>
        </w:rPr>
        <w:t>Кузбассе</w:t>
      </w:r>
      <w:proofErr w:type="spellEnd"/>
      <w:r w:rsidRPr="00520861">
        <w:rPr>
          <w:rFonts w:eastAsiaTheme="minorHAnsi"/>
          <w:sz w:val="28"/>
          <w:szCs w:val="28"/>
          <w:lang w:val="ru-RU" w:eastAsia="en-US"/>
        </w:rPr>
        <w:t xml:space="preserve">. </w:t>
      </w:r>
      <w:r w:rsidRPr="00520861">
        <w:rPr>
          <w:rFonts w:eastAsiaTheme="minorHAnsi"/>
          <w:sz w:val="28"/>
          <w:szCs w:val="28"/>
          <w:lang w:eastAsia="en-US"/>
        </w:rPr>
        <w:t>2012; 1(48): 52–55.</w:t>
      </w:r>
    </w:p>
    <w:p w14:paraId="5BF5875A" w14:textId="77777777" w:rsidR="00292D2E" w:rsidRPr="00520861" w:rsidRDefault="00292D2E" w:rsidP="008F1D77">
      <w:pPr>
        <w:widowControl w:val="0"/>
        <w:numPr>
          <w:ilvl w:val="0"/>
          <w:numId w:val="8"/>
        </w:numPr>
        <w:spacing w:line="360" w:lineRule="auto"/>
        <w:ind w:left="0" w:firstLine="0"/>
        <w:contextualSpacing/>
        <w:jc w:val="both"/>
        <w:rPr>
          <w:sz w:val="28"/>
          <w:szCs w:val="28"/>
        </w:rPr>
      </w:pPr>
      <w:r w:rsidRPr="00520861">
        <w:rPr>
          <w:sz w:val="28"/>
          <w:szCs w:val="28"/>
        </w:rPr>
        <w:lastRenderedPageBreak/>
        <w:t xml:space="preserve">Галич ЛВ, </w:t>
      </w:r>
      <w:proofErr w:type="spellStart"/>
      <w:r w:rsidRPr="00520861">
        <w:rPr>
          <w:sz w:val="28"/>
          <w:szCs w:val="28"/>
        </w:rPr>
        <w:t>Куроєдова</w:t>
      </w:r>
      <w:proofErr w:type="spellEnd"/>
      <w:r w:rsidRPr="00520861">
        <w:rPr>
          <w:sz w:val="28"/>
          <w:szCs w:val="28"/>
        </w:rPr>
        <w:t xml:space="preserve"> ВД, Галич ЛБ. Особливості типу росту нижньої щелепи у пацієнтів північного та центрального регіонів України з аномаліями ІІ класу за </w:t>
      </w:r>
      <w:r w:rsidR="00B22E6A" w:rsidRPr="00520861">
        <w:rPr>
          <w:sz w:val="28"/>
          <w:szCs w:val="28"/>
        </w:rPr>
        <w:br/>
      </w:r>
      <w:proofErr w:type="spellStart"/>
      <w:r w:rsidRPr="00520861">
        <w:rPr>
          <w:sz w:val="28"/>
          <w:szCs w:val="28"/>
        </w:rPr>
        <w:t>Енглем</w:t>
      </w:r>
      <w:proofErr w:type="spellEnd"/>
      <w:r w:rsidRPr="00520861">
        <w:rPr>
          <w:sz w:val="28"/>
          <w:szCs w:val="28"/>
        </w:rPr>
        <w:t xml:space="preserve">. </w:t>
      </w:r>
      <w:r w:rsidRPr="00520861">
        <w:rPr>
          <w:i/>
          <w:sz w:val="28"/>
          <w:szCs w:val="28"/>
        </w:rPr>
        <w:t>Актуальні проблеми сучасної медицини: Вісник української медичної стоматологічної академії</w:t>
      </w:r>
      <w:r w:rsidRPr="00520861">
        <w:rPr>
          <w:sz w:val="28"/>
          <w:szCs w:val="28"/>
        </w:rPr>
        <w:t>. 2014;14(1): 6–9.</w:t>
      </w:r>
    </w:p>
    <w:p w14:paraId="75567E0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w:t>
      </w:r>
      <w:proofErr w:type="spellStart"/>
      <w:r w:rsidRPr="00520861">
        <w:rPr>
          <w:rFonts w:eastAsiaTheme="minorHAnsi"/>
          <w:sz w:val="28"/>
          <w:szCs w:val="28"/>
          <w:lang w:eastAsia="en-US"/>
        </w:rPr>
        <w:t>Адипокіновий</w:t>
      </w:r>
      <w:proofErr w:type="spellEnd"/>
      <w:r w:rsidRPr="00520861">
        <w:rPr>
          <w:rFonts w:eastAsiaTheme="minorHAnsi"/>
          <w:sz w:val="28"/>
          <w:szCs w:val="28"/>
          <w:lang w:eastAsia="en-US"/>
        </w:rPr>
        <w:t xml:space="preserve"> профіль у підлітків народжених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як маркер розвитку карієсу постійних зубів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Сучасні питання молекулярно-біохімічних досліджень та лабораторного скринінгу у клінічній та експериментальній медицині-2020: </w:t>
      </w:r>
      <w:proofErr w:type="spellStart"/>
      <w:r w:rsidRPr="00520861">
        <w:rPr>
          <w:rFonts w:eastAsiaTheme="minorHAnsi"/>
          <w:i/>
          <w:sz w:val="28"/>
          <w:szCs w:val="28"/>
          <w:lang w:eastAsia="en-US"/>
        </w:rPr>
        <w:t>зб</w:t>
      </w:r>
      <w:proofErr w:type="spellEnd"/>
      <w:r w:rsidRPr="00520861">
        <w:rPr>
          <w:rFonts w:eastAsiaTheme="minorHAnsi"/>
          <w:i/>
          <w:sz w:val="28"/>
          <w:szCs w:val="28"/>
          <w:lang w:eastAsia="en-US"/>
        </w:rPr>
        <w:t>. тез всеукраїнської наук.-</w:t>
      </w:r>
      <w:proofErr w:type="spellStart"/>
      <w:r w:rsidRPr="00520861">
        <w:rPr>
          <w:rFonts w:eastAsiaTheme="minorHAnsi"/>
          <w:i/>
          <w:sz w:val="28"/>
          <w:szCs w:val="28"/>
          <w:lang w:eastAsia="en-US"/>
        </w:rPr>
        <w:t>практ</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конф</w:t>
      </w:r>
      <w:proofErr w:type="spellEnd"/>
      <w:r w:rsidRPr="00520861">
        <w:rPr>
          <w:rFonts w:eastAsiaTheme="minorHAnsi"/>
          <w:i/>
          <w:sz w:val="28"/>
          <w:szCs w:val="28"/>
          <w:lang w:eastAsia="en-US"/>
        </w:rPr>
        <w:t>. з міжнародною участю 4 – 6 березня 2020 р</w:t>
      </w:r>
      <w:r w:rsidRPr="00520861">
        <w:rPr>
          <w:rFonts w:eastAsiaTheme="minorHAnsi"/>
          <w:sz w:val="28"/>
          <w:szCs w:val="28"/>
          <w:lang w:eastAsia="en-US"/>
        </w:rPr>
        <w:t xml:space="preserve">., </w:t>
      </w:r>
      <w:r w:rsidRPr="00520861">
        <w:rPr>
          <w:rFonts w:eastAsiaTheme="minorHAnsi"/>
          <w:i/>
          <w:sz w:val="28"/>
          <w:szCs w:val="28"/>
          <w:lang w:eastAsia="en-US"/>
        </w:rPr>
        <w:t>Запоріжжя.</w:t>
      </w:r>
      <w:r w:rsidRPr="00520861">
        <w:rPr>
          <w:rFonts w:eastAsiaTheme="minorHAnsi"/>
          <w:sz w:val="28"/>
          <w:szCs w:val="28"/>
          <w:lang w:eastAsia="en-US"/>
        </w:rPr>
        <w:t xml:space="preserve"> Запоріжжя: Запорізький державний мед. ун-т; 2020. с. 26.</w:t>
      </w:r>
    </w:p>
    <w:p w14:paraId="122CE54D" w14:textId="77777777" w:rsidR="00292D2E" w:rsidRPr="00520861" w:rsidRDefault="00292D2E" w:rsidP="008F1D77">
      <w:pPr>
        <w:widowControl w:val="0"/>
        <w:numPr>
          <w:ilvl w:val="0"/>
          <w:numId w:val="8"/>
        </w:numPr>
        <w:spacing w:line="360" w:lineRule="auto"/>
        <w:ind w:left="0" w:firstLine="0"/>
        <w:contextualSpacing/>
        <w:jc w:val="both"/>
        <w:rPr>
          <w:sz w:val="28"/>
          <w:szCs w:val="28"/>
          <w:lang w:eastAsia="en-US"/>
        </w:rPr>
      </w:pPr>
      <w:r w:rsidRPr="00520861">
        <w:rPr>
          <w:rFonts w:eastAsiaTheme="minorHAnsi"/>
          <w:sz w:val="28"/>
          <w:szCs w:val="28"/>
          <w:lang w:eastAsia="en-US"/>
        </w:rPr>
        <w:t xml:space="preserve">Гармаш ОВ. Аналіз показників стоматологічного статусу новонароджених та дітей грудного віку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які народились із </w:t>
      </w:r>
      <w:proofErr w:type="spellStart"/>
      <w:r w:rsidRPr="00520861">
        <w:rPr>
          <w:rFonts w:eastAsiaTheme="minorHAnsi"/>
          <w:sz w:val="28"/>
          <w:szCs w:val="28"/>
          <w:lang w:eastAsia="en-US"/>
        </w:rPr>
        <w:t>перинатальним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гіпоксично</w:t>
      </w:r>
      <w:proofErr w:type="spellEnd"/>
      <w:r w:rsidRPr="00520861">
        <w:rPr>
          <w:rFonts w:eastAsiaTheme="minorHAnsi"/>
          <w:sz w:val="28"/>
          <w:szCs w:val="28"/>
          <w:lang w:eastAsia="en-US"/>
        </w:rPr>
        <w:t>-ішемічним ураженням центральної нервової системи</w:t>
      </w:r>
      <w:r w:rsidRPr="00520861">
        <w:rPr>
          <w:rFonts w:eastAsiaTheme="minorHAnsi"/>
          <w:bCs/>
          <w:iCs/>
          <w:sz w:val="28"/>
          <w:szCs w:val="28"/>
          <w:lang w:eastAsia="en-US"/>
        </w:rPr>
        <w:t xml:space="preserve">. </w:t>
      </w:r>
      <w:r w:rsidRPr="00520861">
        <w:rPr>
          <w:rFonts w:eastAsiaTheme="minorHAnsi"/>
          <w:sz w:val="28"/>
          <w:szCs w:val="28"/>
          <w:lang w:eastAsia="en-US"/>
        </w:rPr>
        <w:t xml:space="preserve">Матеріали третього національного українського стоматологічного конгресу 22 – 23 жовтня 2015 р., Київ. </w:t>
      </w:r>
      <w:r w:rsidRPr="00520861">
        <w:rPr>
          <w:rFonts w:eastAsiaTheme="minorHAnsi"/>
          <w:i/>
          <w:sz w:val="28"/>
          <w:szCs w:val="28"/>
          <w:lang w:eastAsia="en-US"/>
        </w:rPr>
        <w:t>Новини стоматології</w:t>
      </w:r>
      <w:r w:rsidRPr="00520861">
        <w:rPr>
          <w:rFonts w:eastAsiaTheme="minorHAnsi"/>
          <w:sz w:val="28"/>
          <w:szCs w:val="28"/>
          <w:lang w:eastAsia="en-US"/>
        </w:rPr>
        <w:t>. 2015;(4): 160–162.</w:t>
      </w:r>
    </w:p>
    <w:p w14:paraId="5F65750A" w14:textId="77777777" w:rsidR="00292D2E" w:rsidRPr="00520861" w:rsidRDefault="00292D2E" w:rsidP="008F1D77">
      <w:pPr>
        <w:widowControl w:val="0"/>
        <w:numPr>
          <w:ilvl w:val="0"/>
          <w:numId w:val="8"/>
        </w:numPr>
        <w:spacing w:line="360" w:lineRule="auto"/>
        <w:ind w:left="0" w:firstLine="0"/>
        <w:contextualSpacing/>
        <w:jc w:val="both"/>
        <w:rPr>
          <w:sz w:val="28"/>
          <w:szCs w:val="28"/>
          <w:lang w:eastAsia="en-US"/>
        </w:rPr>
      </w:pPr>
      <w:r w:rsidRPr="00520861">
        <w:rPr>
          <w:sz w:val="28"/>
          <w:szCs w:val="28"/>
          <w:lang w:eastAsia="en-US"/>
        </w:rPr>
        <w:t xml:space="preserve">Гармаш ОВ. Біохімічні показники ротової рідини в якості маркерів різних варіантів перебігу </w:t>
      </w:r>
      <w:proofErr w:type="spellStart"/>
      <w:r w:rsidRPr="00520861">
        <w:rPr>
          <w:sz w:val="28"/>
          <w:szCs w:val="28"/>
          <w:lang w:eastAsia="en-US"/>
        </w:rPr>
        <w:t>хвороб</w:t>
      </w:r>
      <w:proofErr w:type="spellEnd"/>
      <w:r w:rsidRPr="00520861">
        <w:rPr>
          <w:sz w:val="28"/>
          <w:szCs w:val="28"/>
          <w:lang w:eastAsia="en-US"/>
        </w:rPr>
        <w:t xml:space="preserve"> тканин </w:t>
      </w:r>
      <w:proofErr w:type="spellStart"/>
      <w:r w:rsidRPr="00520861">
        <w:rPr>
          <w:sz w:val="28"/>
          <w:szCs w:val="28"/>
          <w:lang w:eastAsia="en-US"/>
        </w:rPr>
        <w:t>пародонта</w:t>
      </w:r>
      <w:proofErr w:type="spellEnd"/>
      <w:r w:rsidRPr="00520861">
        <w:rPr>
          <w:sz w:val="28"/>
          <w:szCs w:val="28"/>
          <w:lang w:eastAsia="en-US"/>
        </w:rPr>
        <w:t xml:space="preserve"> в осіб, які народилися із </w:t>
      </w:r>
      <w:proofErr w:type="spellStart"/>
      <w:r w:rsidRPr="00520861">
        <w:rPr>
          <w:sz w:val="28"/>
          <w:szCs w:val="28"/>
          <w:lang w:eastAsia="en-US"/>
        </w:rPr>
        <w:t>макросомією</w:t>
      </w:r>
      <w:proofErr w:type="spellEnd"/>
      <w:r w:rsidRPr="00520861">
        <w:rPr>
          <w:sz w:val="28"/>
          <w:szCs w:val="28"/>
          <w:lang w:eastAsia="en-US"/>
        </w:rPr>
        <w:t xml:space="preserve">. </w:t>
      </w:r>
      <w:r w:rsidRPr="00520861">
        <w:rPr>
          <w:i/>
          <w:sz w:val="28"/>
          <w:szCs w:val="28"/>
          <w:lang w:eastAsia="en-US"/>
        </w:rPr>
        <w:t>Вісник проблем біології і медицини</w:t>
      </w:r>
      <w:r w:rsidRPr="00520861">
        <w:rPr>
          <w:sz w:val="28"/>
          <w:szCs w:val="28"/>
          <w:lang w:eastAsia="en-US"/>
        </w:rPr>
        <w:t>. 2020</w:t>
      </w:r>
      <w:r w:rsidRPr="00520861">
        <w:rPr>
          <w:sz w:val="28"/>
          <w:szCs w:val="28"/>
          <w:lang w:val="en-US" w:eastAsia="en-US"/>
        </w:rPr>
        <w:t>;</w:t>
      </w:r>
      <w:r w:rsidRPr="00520861">
        <w:rPr>
          <w:sz w:val="28"/>
          <w:szCs w:val="28"/>
          <w:lang w:eastAsia="en-US"/>
        </w:rPr>
        <w:t>(2)</w:t>
      </w:r>
      <w:r w:rsidRPr="00520861">
        <w:rPr>
          <w:sz w:val="28"/>
          <w:szCs w:val="28"/>
          <w:lang w:val="en-US" w:eastAsia="en-US"/>
        </w:rPr>
        <w:t xml:space="preserve">: </w:t>
      </w:r>
      <w:r w:rsidRPr="00520861">
        <w:rPr>
          <w:sz w:val="28"/>
          <w:szCs w:val="28"/>
          <w:lang w:eastAsia="en-US"/>
        </w:rPr>
        <w:t xml:space="preserve">340–349. </w:t>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w:t>
      </w:r>
      <w:r w:rsidRPr="00520861">
        <w:rPr>
          <w:sz w:val="28"/>
          <w:szCs w:val="28"/>
          <w:lang w:eastAsia="en-US"/>
        </w:rPr>
        <w:t>10.29254/2077-4214-2020-2-156-340-349</w:t>
      </w:r>
      <w:r w:rsidRPr="00520861">
        <w:rPr>
          <w:sz w:val="28"/>
          <w:szCs w:val="28"/>
          <w:lang w:val="en-US" w:eastAsia="en-US"/>
        </w:rPr>
        <w:t>.</w:t>
      </w:r>
    </w:p>
    <w:p w14:paraId="5247F81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Біохімічні показники ротової рідини як маркери особливостей структурно-функціонального стану </w:t>
      </w:r>
      <w:proofErr w:type="spellStart"/>
      <w:r w:rsidRPr="00520861">
        <w:rPr>
          <w:rFonts w:eastAsiaTheme="minorHAnsi"/>
          <w:sz w:val="28"/>
          <w:szCs w:val="28"/>
          <w:lang w:eastAsia="en-US"/>
        </w:rPr>
        <w:t>стоматогнатичної</w:t>
      </w:r>
      <w:proofErr w:type="spellEnd"/>
      <w:r w:rsidRPr="00520861">
        <w:rPr>
          <w:rFonts w:eastAsiaTheme="minorHAnsi"/>
          <w:sz w:val="28"/>
          <w:szCs w:val="28"/>
          <w:lang w:eastAsia="en-US"/>
        </w:rPr>
        <w:t xml:space="preserve"> системи в осіб, які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w:t>
      </w:r>
      <w:r w:rsidRPr="00520861">
        <w:rPr>
          <w:rFonts w:eastAsiaTheme="minorHAnsi"/>
          <w:i/>
          <w:sz w:val="28"/>
          <w:szCs w:val="28"/>
          <w:lang w:eastAsia="en-US"/>
        </w:rPr>
        <w:t>Український стоматологічний альманах</w:t>
      </w:r>
      <w:r w:rsidRPr="00520861">
        <w:rPr>
          <w:rFonts w:eastAsiaTheme="minorHAnsi"/>
          <w:sz w:val="28"/>
          <w:szCs w:val="28"/>
          <w:lang w:eastAsia="en-US"/>
        </w:rPr>
        <w:t>. 2020</w:t>
      </w:r>
      <w:r w:rsidRPr="00520861">
        <w:rPr>
          <w:rFonts w:eastAsiaTheme="minorHAnsi"/>
          <w:sz w:val="28"/>
          <w:szCs w:val="28"/>
          <w:lang w:val="ru-RU" w:eastAsia="en-US"/>
        </w:rPr>
        <w:t>;(</w:t>
      </w:r>
      <w:r w:rsidRPr="00520861">
        <w:rPr>
          <w:rFonts w:eastAsiaTheme="minorHAnsi"/>
          <w:sz w:val="28"/>
          <w:szCs w:val="28"/>
          <w:lang w:eastAsia="en-US"/>
        </w:rPr>
        <w:t>2)</w:t>
      </w:r>
      <w:r w:rsidRPr="00520861">
        <w:rPr>
          <w:rFonts w:eastAsiaTheme="minorHAnsi"/>
          <w:sz w:val="28"/>
          <w:szCs w:val="28"/>
          <w:lang w:val="ru-RU" w:eastAsia="en-US"/>
        </w:rPr>
        <w:t xml:space="preserve">: </w:t>
      </w:r>
      <w:r w:rsidRPr="00520861">
        <w:rPr>
          <w:rFonts w:eastAsiaTheme="minorHAnsi"/>
          <w:sz w:val="28"/>
          <w:szCs w:val="28"/>
          <w:lang w:eastAsia="en-US"/>
        </w:rPr>
        <w:t>6–17.</w:t>
      </w:r>
    </w:p>
    <w:p w14:paraId="2E04928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pacing w:val="-4"/>
          <w:sz w:val="28"/>
          <w:szCs w:val="28"/>
          <w:lang w:eastAsia="en-US"/>
        </w:rPr>
      </w:pPr>
      <w:r w:rsidRPr="00520861">
        <w:rPr>
          <w:rFonts w:eastAsiaTheme="minorHAnsi"/>
          <w:sz w:val="28"/>
          <w:szCs w:val="28"/>
          <w:lang w:eastAsia="en-US"/>
        </w:rPr>
        <w:t xml:space="preserve">Гармаш ОВ. Визначення рівня </w:t>
      </w:r>
      <w:proofErr w:type="spellStart"/>
      <w:r w:rsidRPr="00520861">
        <w:rPr>
          <w:rFonts w:eastAsiaTheme="minorHAnsi"/>
          <w:sz w:val="28"/>
          <w:szCs w:val="28"/>
          <w:lang w:eastAsia="en-US"/>
        </w:rPr>
        <w:t>лептину</w:t>
      </w:r>
      <w:proofErr w:type="spellEnd"/>
      <w:r w:rsidRPr="00520861">
        <w:rPr>
          <w:rFonts w:eastAsiaTheme="minorHAnsi"/>
          <w:sz w:val="28"/>
          <w:szCs w:val="28"/>
          <w:lang w:eastAsia="en-US"/>
        </w:rPr>
        <w:t xml:space="preserve"> та </w:t>
      </w:r>
      <w:proofErr w:type="spellStart"/>
      <w:r w:rsidRPr="00520861">
        <w:rPr>
          <w:rFonts w:eastAsiaTheme="minorHAnsi"/>
          <w:sz w:val="28"/>
          <w:szCs w:val="28"/>
          <w:lang w:eastAsia="en-US"/>
        </w:rPr>
        <w:t>адипонектину</w:t>
      </w:r>
      <w:proofErr w:type="spellEnd"/>
      <w:r w:rsidRPr="00520861">
        <w:rPr>
          <w:rFonts w:eastAsiaTheme="minorHAnsi"/>
          <w:sz w:val="28"/>
          <w:szCs w:val="28"/>
          <w:lang w:eastAsia="en-US"/>
        </w:rPr>
        <w:t xml:space="preserve"> в ротовій рідині дітей та підлітків, які народились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In</w:t>
      </w:r>
      <w:r w:rsidRPr="00520861">
        <w:rPr>
          <w:rFonts w:eastAsiaTheme="minorHAnsi"/>
          <w:sz w:val="28"/>
          <w:szCs w:val="28"/>
          <w:lang w:val="ru-RU" w:eastAsia="en-US"/>
        </w:rPr>
        <w:t xml:space="preserve">: </w:t>
      </w:r>
      <w:proofErr w:type="spellStart"/>
      <w:r w:rsidRPr="00520861">
        <w:rPr>
          <w:rFonts w:eastAsiaTheme="minorHAnsi"/>
          <w:sz w:val="28"/>
          <w:szCs w:val="28"/>
          <w:lang w:eastAsia="en-US"/>
        </w:rPr>
        <w:t>Котвіцька</w:t>
      </w:r>
      <w:proofErr w:type="spellEnd"/>
      <w:r w:rsidRPr="00520861">
        <w:rPr>
          <w:rFonts w:eastAsiaTheme="minorHAnsi"/>
          <w:sz w:val="28"/>
          <w:szCs w:val="28"/>
          <w:lang w:eastAsia="en-US"/>
        </w:rPr>
        <w:t xml:space="preserve"> АА, Загайко АЛ, </w:t>
      </w:r>
      <w:r w:rsidR="00B22E6A" w:rsidRPr="00520861">
        <w:rPr>
          <w:rFonts w:eastAsiaTheme="minorHAnsi"/>
          <w:sz w:val="28"/>
          <w:szCs w:val="28"/>
          <w:lang w:eastAsia="en-US"/>
        </w:rPr>
        <w:br/>
      </w:r>
      <w:r w:rsidRPr="00520861">
        <w:rPr>
          <w:rFonts w:eastAsiaTheme="minorHAnsi"/>
          <w:sz w:val="28"/>
          <w:szCs w:val="28"/>
          <w:lang w:eastAsia="en-US"/>
        </w:rPr>
        <w:t>Кононенко НМ, Кравченко ВМ (</w:t>
      </w:r>
      <w:r w:rsidRPr="00520861">
        <w:rPr>
          <w:rFonts w:eastAsiaTheme="minorHAnsi"/>
          <w:sz w:val="28"/>
          <w:szCs w:val="28"/>
          <w:lang w:val="en-US" w:eastAsia="en-US"/>
        </w:rPr>
        <w:t>eds</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val="en-US" w:eastAsia="en-US"/>
        </w:rPr>
        <w:t>I</w:t>
      </w:r>
      <w:r w:rsidRPr="00520861">
        <w:rPr>
          <w:rFonts w:eastAsiaTheme="minorHAnsi"/>
          <w:i/>
          <w:sz w:val="28"/>
          <w:szCs w:val="28"/>
          <w:lang w:eastAsia="en-US"/>
        </w:rPr>
        <w:t xml:space="preserve"> Науково-практична інтернет-конференція з міжнародною участю "Механізми розвитку патологічних процесів і </w:t>
      </w:r>
      <w:proofErr w:type="spellStart"/>
      <w:r w:rsidRPr="00520861">
        <w:rPr>
          <w:rFonts w:eastAsiaTheme="minorHAnsi"/>
          <w:i/>
          <w:sz w:val="28"/>
          <w:szCs w:val="28"/>
          <w:lang w:eastAsia="en-US"/>
        </w:rPr>
        <w:t>хвороб</w:t>
      </w:r>
      <w:proofErr w:type="spellEnd"/>
      <w:r w:rsidRPr="00520861">
        <w:rPr>
          <w:rFonts w:eastAsiaTheme="minorHAnsi"/>
          <w:i/>
          <w:sz w:val="28"/>
          <w:szCs w:val="28"/>
          <w:lang w:eastAsia="en-US"/>
        </w:rPr>
        <w:t xml:space="preserve"> та їхня </w:t>
      </w:r>
      <w:r w:rsidRPr="00520861">
        <w:rPr>
          <w:rFonts w:eastAsiaTheme="minorHAnsi"/>
          <w:i/>
          <w:spacing w:val="-4"/>
          <w:sz w:val="28"/>
          <w:szCs w:val="28"/>
          <w:lang w:eastAsia="en-US"/>
        </w:rPr>
        <w:t>фармакологічна корекція" 18 жовтня 2018 р</w:t>
      </w:r>
      <w:r w:rsidRPr="00520861">
        <w:rPr>
          <w:rFonts w:eastAsiaTheme="minorHAnsi"/>
          <w:spacing w:val="-4"/>
          <w:sz w:val="28"/>
          <w:szCs w:val="28"/>
          <w:lang w:eastAsia="en-US"/>
        </w:rPr>
        <w:t xml:space="preserve">., </w:t>
      </w:r>
      <w:r w:rsidRPr="00520861">
        <w:rPr>
          <w:rFonts w:eastAsiaTheme="minorHAnsi"/>
          <w:i/>
          <w:spacing w:val="-4"/>
          <w:sz w:val="28"/>
          <w:szCs w:val="28"/>
          <w:lang w:eastAsia="en-US"/>
        </w:rPr>
        <w:t xml:space="preserve">Харків. </w:t>
      </w:r>
      <w:r w:rsidRPr="00520861">
        <w:rPr>
          <w:rFonts w:eastAsiaTheme="minorHAnsi"/>
          <w:spacing w:val="-4"/>
          <w:sz w:val="28"/>
          <w:szCs w:val="28"/>
          <w:lang w:eastAsia="en-US"/>
        </w:rPr>
        <w:t xml:space="preserve">Харків: Вид-во </w:t>
      </w:r>
      <w:proofErr w:type="spellStart"/>
      <w:r w:rsidRPr="00520861">
        <w:rPr>
          <w:rFonts w:eastAsiaTheme="minorHAnsi"/>
          <w:spacing w:val="-4"/>
          <w:sz w:val="28"/>
          <w:szCs w:val="28"/>
          <w:lang w:eastAsia="en-US"/>
        </w:rPr>
        <w:t>НФаУ</w:t>
      </w:r>
      <w:proofErr w:type="spellEnd"/>
      <w:r w:rsidRPr="00520861">
        <w:rPr>
          <w:rFonts w:eastAsiaTheme="minorHAnsi"/>
          <w:spacing w:val="-4"/>
          <w:sz w:val="28"/>
          <w:szCs w:val="28"/>
          <w:lang w:eastAsia="en-US"/>
        </w:rPr>
        <w:t>; 2018. с. 70.</w:t>
      </w:r>
    </w:p>
    <w:p w14:paraId="0076CDB2"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r w:rsidRPr="00520861">
        <w:rPr>
          <w:rFonts w:eastAsia="Calibri"/>
          <w:sz w:val="28"/>
          <w:szCs w:val="28"/>
          <w:lang w:val="ru-RU" w:eastAsia="en-US"/>
        </w:rPr>
        <w:t xml:space="preserve">Гармаш ОВ. </w:t>
      </w:r>
      <w:proofErr w:type="spellStart"/>
      <w:r w:rsidRPr="00520861">
        <w:rPr>
          <w:rFonts w:eastAsia="Calibri"/>
          <w:sz w:val="28"/>
          <w:szCs w:val="28"/>
          <w:lang w:val="ru-RU" w:eastAsia="en-US"/>
        </w:rPr>
        <w:t>Виявлення</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впливу</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материнсього</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чи</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батькового</w:t>
      </w:r>
      <w:proofErr w:type="spellEnd"/>
      <w:r w:rsidRPr="00520861">
        <w:rPr>
          <w:rFonts w:eastAsia="Calibri"/>
          <w:sz w:val="28"/>
          <w:szCs w:val="28"/>
          <w:lang w:val="ru-RU" w:eastAsia="en-US"/>
        </w:rPr>
        <w:t xml:space="preserve"> фактора на </w:t>
      </w:r>
      <w:proofErr w:type="spellStart"/>
      <w:r w:rsidRPr="00520861">
        <w:rPr>
          <w:rFonts w:eastAsia="Calibri"/>
          <w:sz w:val="28"/>
          <w:szCs w:val="28"/>
          <w:lang w:val="ru-RU" w:eastAsia="en-US"/>
        </w:rPr>
        <w:t>виникнення</w:t>
      </w:r>
      <w:proofErr w:type="spellEnd"/>
      <w:r w:rsidRPr="00520861">
        <w:rPr>
          <w:rFonts w:eastAsia="Calibri"/>
          <w:sz w:val="28"/>
          <w:szCs w:val="28"/>
          <w:lang w:val="ru-RU" w:eastAsia="en-US"/>
        </w:rPr>
        <w:t xml:space="preserve"> хвороб тканин пародонта та </w:t>
      </w:r>
      <w:proofErr w:type="spellStart"/>
      <w:r w:rsidRPr="00520861">
        <w:rPr>
          <w:rFonts w:eastAsia="Calibri"/>
          <w:sz w:val="28"/>
          <w:szCs w:val="28"/>
          <w:lang w:val="ru-RU" w:eastAsia="en-US"/>
        </w:rPr>
        <w:t>твердих</w:t>
      </w:r>
      <w:proofErr w:type="spellEnd"/>
      <w:r w:rsidRPr="00520861">
        <w:rPr>
          <w:rFonts w:eastAsia="Calibri"/>
          <w:sz w:val="28"/>
          <w:szCs w:val="28"/>
          <w:lang w:val="ru-RU" w:eastAsia="en-US"/>
        </w:rPr>
        <w:t xml:space="preserve"> тканин </w:t>
      </w:r>
      <w:proofErr w:type="spellStart"/>
      <w:r w:rsidRPr="00520861">
        <w:rPr>
          <w:rFonts w:eastAsia="Calibri"/>
          <w:sz w:val="28"/>
          <w:szCs w:val="28"/>
          <w:lang w:val="ru-RU" w:eastAsia="en-US"/>
        </w:rPr>
        <w:t>зубів</w:t>
      </w:r>
      <w:proofErr w:type="spellEnd"/>
      <w:r w:rsidRPr="00520861">
        <w:rPr>
          <w:rFonts w:eastAsia="Calibri"/>
          <w:sz w:val="28"/>
          <w:szCs w:val="28"/>
          <w:lang w:val="ru-RU" w:eastAsia="en-US"/>
        </w:rPr>
        <w:t xml:space="preserve"> у </w:t>
      </w:r>
      <w:proofErr w:type="spellStart"/>
      <w:r w:rsidRPr="00520861">
        <w:rPr>
          <w:rFonts w:eastAsia="Calibri"/>
          <w:sz w:val="28"/>
          <w:szCs w:val="28"/>
          <w:lang w:val="ru-RU" w:eastAsia="en-US"/>
        </w:rPr>
        <w:t>дітей</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які</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народилися</w:t>
      </w:r>
      <w:proofErr w:type="spellEnd"/>
      <w:r w:rsidRPr="00520861">
        <w:rPr>
          <w:rFonts w:eastAsia="Calibri"/>
          <w:sz w:val="28"/>
          <w:szCs w:val="28"/>
          <w:lang w:val="ru-RU" w:eastAsia="en-US"/>
        </w:rPr>
        <w:t xml:space="preserve"> з </w:t>
      </w:r>
      <w:proofErr w:type="spellStart"/>
      <w:r w:rsidRPr="00520861">
        <w:rPr>
          <w:rFonts w:eastAsia="Calibri"/>
          <w:sz w:val="28"/>
          <w:szCs w:val="28"/>
          <w:lang w:val="ru-RU" w:eastAsia="en-US"/>
        </w:rPr>
        <w:t>діагнозом</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макросомія</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клінічна</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апробація</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опитувальника</w:t>
      </w:r>
      <w:proofErr w:type="spellEnd"/>
      <w:r w:rsidRPr="00520861">
        <w:rPr>
          <w:rFonts w:eastAsia="Calibri"/>
          <w:sz w:val="28"/>
          <w:szCs w:val="28"/>
          <w:lang w:val="ru-RU" w:eastAsia="en-US"/>
        </w:rPr>
        <w:t xml:space="preserve">). </w:t>
      </w:r>
      <w:r w:rsidRPr="00520861">
        <w:rPr>
          <w:rFonts w:eastAsia="Calibri"/>
          <w:sz w:val="28"/>
          <w:szCs w:val="28"/>
          <w:lang w:val="en-US" w:eastAsia="en-US"/>
        </w:rPr>
        <w:t>In</w:t>
      </w:r>
      <w:r w:rsidRPr="00520861">
        <w:rPr>
          <w:rFonts w:eastAsia="Calibri"/>
          <w:sz w:val="28"/>
          <w:szCs w:val="28"/>
          <w:lang w:val="ru-RU" w:eastAsia="en-US"/>
        </w:rPr>
        <w:t>: Карпенко КІ. (</w:t>
      </w:r>
      <w:r w:rsidRPr="00520861">
        <w:rPr>
          <w:rFonts w:eastAsia="Calibri"/>
          <w:sz w:val="28"/>
          <w:szCs w:val="28"/>
          <w:lang w:val="en-US" w:eastAsia="en-US"/>
        </w:rPr>
        <w:t>ed</w:t>
      </w:r>
      <w:r w:rsidRPr="00520861">
        <w:rPr>
          <w:rFonts w:eastAsia="Calibri"/>
          <w:sz w:val="28"/>
          <w:szCs w:val="28"/>
          <w:lang w:val="ru-RU" w:eastAsia="en-US"/>
        </w:rPr>
        <w:t>.)</w:t>
      </w:r>
      <w:r w:rsidRPr="00520861">
        <w:rPr>
          <w:rFonts w:eastAsia="Calibri"/>
          <w:b/>
          <w:sz w:val="28"/>
          <w:szCs w:val="28"/>
          <w:lang w:val="ru-RU" w:eastAsia="en-US"/>
        </w:rPr>
        <w:t xml:space="preserve"> </w:t>
      </w:r>
      <w:r w:rsidR="00B22E6A" w:rsidRPr="00520861">
        <w:rPr>
          <w:rFonts w:eastAsia="Calibri"/>
          <w:b/>
          <w:sz w:val="28"/>
          <w:szCs w:val="28"/>
          <w:lang w:val="ru-RU" w:eastAsia="en-US"/>
        </w:rPr>
        <w:br/>
      </w:r>
      <w:proofErr w:type="spellStart"/>
      <w:r w:rsidRPr="00520861">
        <w:rPr>
          <w:rFonts w:eastAsiaTheme="minorHAnsi"/>
          <w:i/>
          <w:sz w:val="28"/>
          <w:szCs w:val="28"/>
          <w:lang w:val="ru-RU" w:eastAsia="en-US"/>
        </w:rPr>
        <w:lastRenderedPageBreak/>
        <w:t>Матеріали</w:t>
      </w:r>
      <w:proofErr w:type="spellEnd"/>
      <w:r w:rsidRPr="00520861">
        <w:rPr>
          <w:rFonts w:eastAsiaTheme="minorHAnsi"/>
          <w:i/>
          <w:sz w:val="28"/>
          <w:szCs w:val="28"/>
          <w:lang w:val="ru-RU" w:eastAsia="en-US"/>
        </w:rPr>
        <w:t xml:space="preserve"> VІ </w:t>
      </w:r>
      <w:proofErr w:type="spellStart"/>
      <w:r w:rsidRPr="00520861">
        <w:rPr>
          <w:rFonts w:eastAsiaTheme="minorHAnsi"/>
          <w:i/>
          <w:sz w:val="28"/>
          <w:szCs w:val="28"/>
          <w:lang w:val="ru-RU" w:eastAsia="en-US"/>
        </w:rPr>
        <w:t>Міжнародної</w:t>
      </w:r>
      <w:proofErr w:type="spellEnd"/>
      <w:r w:rsidRPr="00520861">
        <w:rPr>
          <w:rFonts w:eastAsiaTheme="minorHAnsi"/>
          <w:i/>
          <w:sz w:val="28"/>
          <w:szCs w:val="28"/>
          <w:lang w:val="ru-RU" w:eastAsia="en-US"/>
        </w:rPr>
        <w:t xml:space="preserve"> наук.-</w:t>
      </w:r>
      <w:proofErr w:type="spellStart"/>
      <w:r w:rsidRPr="00520861">
        <w:rPr>
          <w:rFonts w:eastAsiaTheme="minorHAnsi"/>
          <w:i/>
          <w:sz w:val="28"/>
          <w:szCs w:val="28"/>
          <w:lang w:val="ru-RU" w:eastAsia="en-US"/>
        </w:rPr>
        <w:t>практ</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конф</w:t>
      </w:r>
      <w:proofErr w:type="spellEnd"/>
      <w:r w:rsidRPr="00520861">
        <w:rPr>
          <w:rFonts w:eastAsiaTheme="minorHAnsi"/>
          <w:i/>
          <w:sz w:val="28"/>
          <w:szCs w:val="28"/>
          <w:lang w:val="ru-RU" w:eastAsia="en-US"/>
        </w:rPr>
        <w:t xml:space="preserve">. </w:t>
      </w:r>
      <w:r w:rsidRPr="00520861">
        <w:rPr>
          <w:rFonts w:eastAsiaTheme="minorHAnsi"/>
          <w:i/>
          <w:sz w:val="28"/>
          <w:szCs w:val="28"/>
          <w:lang w:eastAsia="en-US"/>
        </w:rPr>
        <w:t>«</w:t>
      </w:r>
      <w:r w:rsidRPr="00520861">
        <w:rPr>
          <w:rFonts w:eastAsiaTheme="minorHAnsi"/>
          <w:i/>
          <w:sz w:val="28"/>
          <w:szCs w:val="28"/>
          <w:lang w:val="ru-RU" w:eastAsia="en-US"/>
        </w:rPr>
        <w:t xml:space="preserve">Гендер. </w:t>
      </w:r>
      <w:proofErr w:type="spellStart"/>
      <w:r w:rsidRPr="00520861">
        <w:rPr>
          <w:rFonts w:eastAsiaTheme="minorHAnsi"/>
          <w:i/>
          <w:sz w:val="28"/>
          <w:szCs w:val="28"/>
          <w:lang w:val="ru-RU" w:eastAsia="en-US"/>
        </w:rPr>
        <w:t>Екологія</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Здоров’я</w:t>
      </w:r>
      <w:proofErr w:type="spellEnd"/>
      <w:r w:rsidRPr="00520861">
        <w:rPr>
          <w:rFonts w:eastAsiaTheme="minorHAnsi"/>
          <w:i/>
          <w:sz w:val="28"/>
          <w:szCs w:val="28"/>
          <w:lang w:eastAsia="en-US"/>
        </w:rPr>
        <w:t>»</w:t>
      </w:r>
      <w:r w:rsidRPr="00520861">
        <w:rPr>
          <w:rFonts w:eastAsiaTheme="minorHAnsi"/>
          <w:i/>
          <w:sz w:val="28"/>
          <w:szCs w:val="28"/>
          <w:lang w:val="ru-RU" w:eastAsia="en-US"/>
        </w:rPr>
        <w:t xml:space="preserve"> 18–19 </w:t>
      </w:r>
      <w:proofErr w:type="spellStart"/>
      <w:r w:rsidRPr="00520861">
        <w:rPr>
          <w:rFonts w:eastAsiaTheme="minorHAnsi"/>
          <w:i/>
          <w:sz w:val="28"/>
          <w:szCs w:val="28"/>
          <w:lang w:val="ru-RU" w:eastAsia="en-US"/>
        </w:rPr>
        <w:t>квітня</w:t>
      </w:r>
      <w:proofErr w:type="spellEnd"/>
      <w:r w:rsidRPr="00520861">
        <w:rPr>
          <w:rFonts w:eastAsiaTheme="minorHAnsi"/>
          <w:i/>
          <w:sz w:val="28"/>
          <w:szCs w:val="28"/>
          <w:lang w:val="ru-RU" w:eastAsia="en-US"/>
        </w:rPr>
        <w:t xml:space="preserve"> 2019 р</w:t>
      </w:r>
      <w:r w:rsidRPr="00520861">
        <w:rPr>
          <w:rFonts w:eastAsiaTheme="minorHAnsi"/>
          <w:sz w:val="28"/>
          <w:szCs w:val="28"/>
          <w:lang w:val="ru-RU" w:eastAsia="en-US"/>
        </w:rPr>
        <w:t>.</w:t>
      </w:r>
      <w:r w:rsidRPr="00520861">
        <w:rPr>
          <w:rFonts w:eastAsiaTheme="minorHAnsi"/>
          <w:sz w:val="28"/>
          <w:szCs w:val="28"/>
          <w:lang w:eastAsia="en-US"/>
        </w:rPr>
        <w:t>,</w:t>
      </w:r>
      <w:r w:rsidRPr="00520861">
        <w:rPr>
          <w:rFonts w:eastAsiaTheme="minorHAnsi"/>
          <w:sz w:val="28"/>
          <w:szCs w:val="28"/>
          <w:lang w:val="ru-RU" w:eastAsia="en-US"/>
        </w:rPr>
        <w:t xml:space="preserve"> </w:t>
      </w:r>
      <w:proofErr w:type="spellStart"/>
      <w:r w:rsidRPr="00520861">
        <w:rPr>
          <w:rFonts w:eastAsiaTheme="minorHAnsi"/>
          <w:i/>
          <w:sz w:val="28"/>
          <w:szCs w:val="28"/>
          <w:lang w:val="ru-RU" w:eastAsia="en-US"/>
        </w:rPr>
        <w:t>Харків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val="ru-RU" w:eastAsia="en-US"/>
        </w:rPr>
        <w:t>Харків</w:t>
      </w:r>
      <w:proofErr w:type="spellEnd"/>
      <w:r w:rsidRPr="00520861">
        <w:rPr>
          <w:rFonts w:eastAsiaTheme="minorHAnsi"/>
          <w:sz w:val="28"/>
          <w:szCs w:val="28"/>
          <w:lang w:val="ru-RU" w:eastAsia="en-US"/>
        </w:rPr>
        <w:t>: Харк</w:t>
      </w:r>
      <w:proofErr w:type="spellStart"/>
      <w:r w:rsidRPr="00520861">
        <w:rPr>
          <w:rFonts w:eastAsiaTheme="minorHAnsi"/>
          <w:sz w:val="28"/>
          <w:szCs w:val="28"/>
          <w:lang w:eastAsia="en-US"/>
        </w:rPr>
        <w:t>івський</w:t>
      </w:r>
      <w:proofErr w:type="spellEnd"/>
      <w:r w:rsidRPr="00520861">
        <w:rPr>
          <w:rFonts w:eastAsiaTheme="minorHAnsi"/>
          <w:sz w:val="28"/>
          <w:szCs w:val="28"/>
          <w:lang w:val="ru-RU" w:eastAsia="en-US"/>
        </w:rPr>
        <w:t xml:space="preserve"> нац. мед. ун-т; 2019. </w:t>
      </w:r>
      <w:r w:rsidRPr="00520861">
        <w:rPr>
          <w:rFonts w:eastAsiaTheme="minorHAnsi"/>
          <w:sz w:val="28"/>
          <w:szCs w:val="28"/>
          <w:lang w:eastAsia="en-US"/>
        </w:rPr>
        <w:t>с</w:t>
      </w:r>
      <w:r w:rsidRPr="00520861">
        <w:rPr>
          <w:rFonts w:eastAsiaTheme="minorHAnsi"/>
          <w:sz w:val="28"/>
          <w:szCs w:val="28"/>
          <w:lang w:val="ru-RU" w:eastAsia="en-US"/>
        </w:rPr>
        <w:t>. 58–59.</w:t>
      </w:r>
    </w:p>
    <w:p w14:paraId="68BDC80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bCs/>
          <w:iCs/>
          <w:sz w:val="28"/>
          <w:szCs w:val="28"/>
          <w:lang w:eastAsia="en-US"/>
        </w:rPr>
      </w:pPr>
      <w:r w:rsidRPr="00520861">
        <w:rPr>
          <w:rFonts w:eastAsia="Calibri"/>
          <w:sz w:val="28"/>
          <w:szCs w:val="28"/>
          <w:lang w:eastAsia="en-US"/>
        </w:rPr>
        <w:t>Гармаш ОВ.</w:t>
      </w:r>
      <w:r w:rsidRPr="00520861">
        <w:rPr>
          <w:rFonts w:eastAsiaTheme="minorHAnsi"/>
          <w:bCs/>
          <w:iCs/>
          <w:sz w:val="28"/>
          <w:szCs w:val="28"/>
          <w:lang w:eastAsia="en-US"/>
        </w:rPr>
        <w:t xml:space="preserve"> Виявлення факторів </w:t>
      </w:r>
      <w:r w:rsidRPr="00520861">
        <w:rPr>
          <w:rFonts w:eastAsia="Calibri"/>
          <w:sz w:val="28"/>
          <w:szCs w:val="28"/>
          <w:lang w:eastAsia="en-US"/>
        </w:rPr>
        <w:t xml:space="preserve">ризику захворювань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й </w:t>
      </w:r>
      <w:r w:rsidR="00B22E6A" w:rsidRPr="00520861">
        <w:rPr>
          <w:rFonts w:eastAsia="Calibri"/>
          <w:sz w:val="28"/>
          <w:szCs w:val="28"/>
          <w:lang w:eastAsia="en-US"/>
        </w:rPr>
        <w:br/>
      </w:r>
      <w:r w:rsidRPr="00520861">
        <w:rPr>
          <w:rFonts w:eastAsia="Calibri"/>
          <w:sz w:val="28"/>
          <w:szCs w:val="28"/>
          <w:lang w:eastAsia="en-US"/>
        </w:rPr>
        <w:t xml:space="preserve">твердих тканин зубів у пацієнтів, народжених 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(клінічна апробація опитувальника)</w:t>
      </w:r>
      <w:r w:rsidRPr="00520861">
        <w:rPr>
          <w:rFonts w:eastAsiaTheme="minorHAnsi"/>
          <w:bCs/>
          <w:iCs/>
          <w:sz w:val="28"/>
          <w:szCs w:val="28"/>
          <w:lang w:eastAsia="en-US"/>
        </w:rPr>
        <w:t xml:space="preserve">. </w:t>
      </w:r>
      <w:r w:rsidRPr="00520861">
        <w:rPr>
          <w:rFonts w:eastAsia="Calibri"/>
          <w:i/>
          <w:sz w:val="28"/>
          <w:szCs w:val="28"/>
          <w:lang w:eastAsia="en-US"/>
        </w:rPr>
        <w:t>Вісник проблем біології і медицини</w:t>
      </w:r>
      <w:r w:rsidRPr="00520861">
        <w:rPr>
          <w:rFonts w:eastAsia="Calibri"/>
          <w:sz w:val="28"/>
          <w:szCs w:val="28"/>
          <w:lang w:eastAsia="en-US"/>
        </w:rPr>
        <w:t xml:space="preserve">. </w:t>
      </w:r>
      <w:r w:rsidRPr="00520861">
        <w:rPr>
          <w:rFonts w:eastAsiaTheme="minorHAnsi"/>
          <w:bCs/>
          <w:iCs/>
          <w:sz w:val="28"/>
          <w:szCs w:val="28"/>
          <w:lang w:eastAsia="en-US"/>
        </w:rPr>
        <w:t>2015;</w:t>
      </w:r>
      <w:r w:rsidRPr="00520861">
        <w:rPr>
          <w:rFonts w:eastAsiaTheme="minorHAnsi"/>
          <w:bCs/>
          <w:iCs/>
          <w:sz w:val="28"/>
          <w:szCs w:val="28"/>
          <w:lang w:val="en-US" w:eastAsia="en-US"/>
        </w:rPr>
        <w:t>4</w:t>
      </w:r>
      <w:r w:rsidRPr="00520861">
        <w:rPr>
          <w:rFonts w:eastAsiaTheme="minorHAnsi"/>
          <w:bCs/>
          <w:iCs/>
          <w:sz w:val="28"/>
          <w:szCs w:val="28"/>
          <w:lang w:eastAsia="en-US"/>
        </w:rPr>
        <w:t>(</w:t>
      </w:r>
      <w:r w:rsidRPr="00520861">
        <w:rPr>
          <w:rFonts w:eastAsiaTheme="minorHAnsi"/>
          <w:bCs/>
          <w:iCs/>
          <w:sz w:val="28"/>
          <w:szCs w:val="28"/>
          <w:lang w:val="en-US" w:eastAsia="en-US"/>
        </w:rPr>
        <w:t>2/125</w:t>
      </w:r>
      <w:r w:rsidRPr="00520861">
        <w:rPr>
          <w:rFonts w:eastAsiaTheme="minorHAnsi"/>
          <w:bCs/>
          <w:iCs/>
          <w:sz w:val="28"/>
          <w:szCs w:val="28"/>
          <w:lang w:eastAsia="en-US"/>
        </w:rPr>
        <w:t>): 348–352.</w:t>
      </w:r>
    </w:p>
    <w:p w14:paraId="53B0A93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bCs/>
          <w:iCs/>
          <w:sz w:val="28"/>
          <w:szCs w:val="28"/>
          <w:lang w:eastAsia="en-US"/>
        </w:rPr>
      </w:pPr>
      <w:r w:rsidRPr="00520861">
        <w:rPr>
          <w:rFonts w:eastAsiaTheme="minorHAnsi"/>
          <w:sz w:val="28"/>
          <w:szCs w:val="28"/>
          <w:lang w:eastAsia="en-US"/>
        </w:rPr>
        <w:t xml:space="preserve">Гармаш ОВ. Деякі особливості морфогенезу зубів щурів у віці 12 та 40 діб при експериментально змодельованій </w:t>
      </w:r>
      <w:proofErr w:type="spellStart"/>
      <w:r w:rsidRPr="00520861">
        <w:rPr>
          <w:rFonts w:eastAsiaTheme="minorHAnsi"/>
          <w:sz w:val="28"/>
          <w:szCs w:val="28"/>
          <w:lang w:eastAsia="en-US"/>
        </w:rPr>
        <w:t>макросомії</w:t>
      </w:r>
      <w:proofErr w:type="spellEnd"/>
      <w:r w:rsidRPr="00520861">
        <w:rPr>
          <w:rFonts w:eastAsiaTheme="minorHAnsi"/>
          <w:sz w:val="28"/>
          <w:szCs w:val="28"/>
          <w:lang w:eastAsia="en-US"/>
        </w:rPr>
        <w:t xml:space="preserve"> плоду. </w:t>
      </w:r>
      <w:r w:rsidRPr="00520861">
        <w:rPr>
          <w:rFonts w:eastAsiaTheme="minorHAnsi"/>
          <w:i/>
          <w:sz w:val="28"/>
          <w:szCs w:val="28"/>
          <w:lang w:eastAsia="en-US"/>
        </w:rPr>
        <w:t>Український журнал медицини, біології та спорту</w:t>
      </w:r>
      <w:r w:rsidRPr="00520861">
        <w:rPr>
          <w:rFonts w:eastAsiaTheme="minorHAnsi"/>
          <w:sz w:val="28"/>
          <w:szCs w:val="28"/>
          <w:lang w:eastAsia="en-US"/>
        </w:rPr>
        <w:t xml:space="preserve">. 2020;5(2): 50–57. </w:t>
      </w:r>
      <w:r w:rsidRPr="00520861">
        <w:rPr>
          <w:rFonts w:eastAsiaTheme="minorHAnsi"/>
          <w:sz w:val="28"/>
          <w:szCs w:val="28"/>
          <w:lang w:val="ru-RU" w:eastAsia="en-US"/>
        </w:rPr>
        <w:t xml:space="preserve">Доступно на: </w:t>
      </w:r>
      <w:r w:rsidRPr="00520861">
        <w:rPr>
          <w:rFonts w:eastAsiaTheme="minorHAnsi"/>
          <w:sz w:val="28"/>
          <w:szCs w:val="28"/>
          <w:lang w:eastAsia="en-US"/>
        </w:rPr>
        <w:t>DOI: 10.26693/jmbs05.02.050.</w:t>
      </w:r>
    </w:p>
    <w:p w14:paraId="3B595A8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bCs/>
          <w:iCs/>
          <w:sz w:val="28"/>
          <w:szCs w:val="28"/>
          <w:lang w:eastAsia="en-US"/>
        </w:rPr>
      </w:pPr>
      <w:r w:rsidRPr="00520861">
        <w:rPr>
          <w:rFonts w:eastAsiaTheme="minorHAnsi"/>
          <w:sz w:val="28"/>
          <w:szCs w:val="28"/>
          <w:lang w:eastAsia="en-US"/>
        </w:rPr>
        <w:t xml:space="preserve">Гармаш ОВ. Динаміка біохімічних показників ротової рідини як маркер ризику розвитку каріозних уражень у осіб різного віку, які народились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Art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Medicine</w:t>
      </w:r>
      <w:proofErr w:type="spellEnd"/>
      <w:r w:rsidRPr="00520861">
        <w:rPr>
          <w:rFonts w:eastAsiaTheme="minorHAnsi"/>
          <w:sz w:val="28"/>
          <w:szCs w:val="28"/>
          <w:lang w:eastAsia="en-US"/>
        </w:rPr>
        <w:t xml:space="preserve">. 2020;13(1): 60–69. </w:t>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10.21802/artm.2020.1.13.60.</w:t>
      </w:r>
    </w:p>
    <w:p w14:paraId="6DF2F74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Дослідження генетичних </w:t>
      </w:r>
      <w:proofErr w:type="spellStart"/>
      <w:r w:rsidRPr="00520861">
        <w:rPr>
          <w:rFonts w:eastAsiaTheme="minorHAnsi"/>
          <w:sz w:val="28"/>
          <w:szCs w:val="28"/>
          <w:lang w:eastAsia="en-US"/>
        </w:rPr>
        <w:t>поліморфізмів</w:t>
      </w:r>
      <w:proofErr w:type="spellEnd"/>
      <w:r w:rsidRPr="00520861">
        <w:rPr>
          <w:rFonts w:eastAsiaTheme="minorHAnsi"/>
          <w:sz w:val="28"/>
          <w:szCs w:val="28"/>
          <w:lang w:eastAsia="en-US"/>
        </w:rPr>
        <w:t xml:space="preserve"> RANKL [rs9594738], VDR [</w:t>
      </w:r>
      <w:proofErr w:type="spellStart"/>
      <w:r w:rsidRPr="00520861">
        <w:rPr>
          <w:rFonts w:eastAsiaTheme="minorHAnsi"/>
          <w:sz w:val="28"/>
          <w:szCs w:val="28"/>
          <w:lang w:eastAsia="en-US"/>
        </w:rPr>
        <w:t>rs</w:t>
      </w:r>
      <w:proofErr w:type="spellEnd"/>
      <w:r w:rsidRPr="00520861">
        <w:rPr>
          <w:rFonts w:eastAsiaTheme="minorHAnsi"/>
          <w:sz w:val="28"/>
          <w:szCs w:val="28"/>
          <w:lang w:eastAsia="en-US"/>
        </w:rPr>
        <w:t xml:space="preserve"> 1544410] та IL6 [rs1800795] як можливих маркерів ризику розвитку карієсу постійних зубів у осіб, які народились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w:t>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xml:space="preserve">. 2020; (1): 354–360. </w:t>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10.29254/2077-4214-2020-1-155-354-360.</w:t>
      </w:r>
    </w:p>
    <w:p w14:paraId="1D058A3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Залежність активності фактору Фон </w:t>
      </w:r>
      <w:proofErr w:type="spellStart"/>
      <w:r w:rsidRPr="00520861">
        <w:rPr>
          <w:rFonts w:eastAsiaTheme="minorHAnsi"/>
          <w:sz w:val="28"/>
          <w:szCs w:val="28"/>
          <w:lang w:eastAsia="en-US"/>
        </w:rPr>
        <w:t>Віллебранда</w:t>
      </w:r>
      <w:proofErr w:type="spellEnd"/>
      <w:r w:rsidRPr="00520861">
        <w:rPr>
          <w:rFonts w:eastAsiaTheme="minorHAnsi"/>
          <w:sz w:val="28"/>
          <w:szCs w:val="28"/>
          <w:lang w:eastAsia="en-US"/>
        </w:rPr>
        <w:t xml:space="preserve"> в слизовій оболонці ротової порожнини у 3-місячних щурів, які народили</w:t>
      </w:r>
      <w:proofErr w:type="spellStart"/>
      <w:r w:rsidRPr="00520861">
        <w:rPr>
          <w:rFonts w:eastAsiaTheme="minorHAnsi"/>
          <w:sz w:val="28"/>
          <w:szCs w:val="28"/>
          <w:lang w:val="ru-RU" w:eastAsia="en-US"/>
        </w:rPr>
        <w:t>сь</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макросомами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від</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їх</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масо</w:t>
      </w:r>
      <w:proofErr w:type="spellEnd"/>
      <w:r w:rsidRPr="00520861">
        <w:rPr>
          <w:rFonts w:eastAsiaTheme="minorHAnsi"/>
          <w:sz w:val="28"/>
          <w:szCs w:val="28"/>
          <w:lang w:val="ru-RU" w:eastAsia="en-US"/>
        </w:rPr>
        <w:t xml:space="preserve">-ростового </w:t>
      </w:r>
      <w:proofErr w:type="spellStart"/>
      <w:r w:rsidRPr="00520861">
        <w:rPr>
          <w:rFonts w:eastAsiaTheme="minorHAnsi"/>
          <w:sz w:val="28"/>
          <w:szCs w:val="28"/>
          <w:lang w:val="ru-RU" w:eastAsia="en-US"/>
        </w:rPr>
        <w:t>показника</w:t>
      </w:r>
      <w:proofErr w:type="spellEnd"/>
      <w:r w:rsidRPr="00520861">
        <w:rPr>
          <w:rFonts w:eastAsiaTheme="minorHAnsi"/>
          <w:sz w:val="28"/>
          <w:szCs w:val="28"/>
          <w:lang w:val="ru-RU" w:eastAsia="en-US"/>
        </w:rPr>
        <w:t xml:space="preserve"> при </w:t>
      </w:r>
      <w:proofErr w:type="spellStart"/>
      <w:r w:rsidRPr="00520861">
        <w:rPr>
          <w:rFonts w:eastAsiaTheme="minorHAnsi"/>
          <w:sz w:val="28"/>
          <w:szCs w:val="28"/>
          <w:lang w:val="ru-RU" w:eastAsia="en-US"/>
        </w:rPr>
        <w:t>народженні</w:t>
      </w:r>
      <w:proofErr w:type="spellEnd"/>
      <w:r w:rsidRPr="00520861">
        <w:rPr>
          <w:rFonts w:eastAsiaTheme="minorHAnsi"/>
          <w:sz w:val="28"/>
          <w:szCs w:val="28"/>
          <w:lang w:val="ru-RU" w:eastAsia="en-US"/>
        </w:rPr>
        <w:t xml:space="preserve">. </w:t>
      </w:r>
      <w:r w:rsidRPr="00520861">
        <w:rPr>
          <w:rFonts w:eastAsiaTheme="minorHAnsi"/>
          <w:sz w:val="28"/>
          <w:szCs w:val="28"/>
          <w:lang w:val="en-US" w:eastAsia="en-US"/>
        </w:rPr>
        <w:t>In</w:t>
      </w:r>
      <w:r w:rsidRPr="00520861">
        <w:rPr>
          <w:rFonts w:eastAsiaTheme="minorHAnsi"/>
          <w:sz w:val="28"/>
          <w:szCs w:val="28"/>
          <w:lang w:val="ru-RU" w:eastAsia="en-US"/>
        </w:rPr>
        <w:t xml:space="preserve">: </w:t>
      </w:r>
      <w:proofErr w:type="spellStart"/>
      <w:r w:rsidRPr="00520861">
        <w:rPr>
          <w:rFonts w:eastAsiaTheme="minorHAnsi"/>
          <w:sz w:val="28"/>
          <w:szCs w:val="28"/>
          <w:lang w:eastAsia="en-US"/>
        </w:rPr>
        <w:t>Ждан</w:t>
      </w:r>
      <w:proofErr w:type="spellEnd"/>
      <w:r w:rsidRPr="00520861">
        <w:rPr>
          <w:rFonts w:eastAsiaTheme="minorHAnsi"/>
          <w:sz w:val="28"/>
          <w:szCs w:val="28"/>
          <w:lang w:eastAsia="en-US"/>
        </w:rPr>
        <w:t xml:space="preserve"> ВМ. (</w:t>
      </w:r>
      <w:r w:rsidRPr="00520861">
        <w:rPr>
          <w:rFonts w:eastAsiaTheme="minorHAnsi"/>
          <w:sz w:val="28"/>
          <w:szCs w:val="28"/>
          <w:lang w:val="en-US" w:eastAsia="en-US"/>
        </w:rPr>
        <w:t>ed</w:t>
      </w:r>
      <w:r w:rsidRPr="00520861">
        <w:rPr>
          <w:rFonts w:eastAsiaTheme="minorHAnsi"/>
          <w:sz w:val="28"/>
          <w:szCs w:val="28"/>
          <w:lang w:eastAsia="en-US"/>
        </w:rPr>
        <w:t xml:space="preserve">.) </w:t>
      </w:r>
      <w:r w:rsidRPr="00520861">
        <w:rPr>
          <w:rFonts w:eastAsiaTheme="minorHAnsi"/>
          <w:i/>
          <w:sz w:val="28"/>
          <w:szCs w:val="28"/>
          <w:lang w:eastAsia="en-US"/>
        </w:rPr>
        <w:t>Матеріали ІІ наук.-</w:t>
      </w:r>
      <w:proofErr w:type="spellStart"/>
      <w:r w:rsidRPr="00520861">
        <w:rPr>
          <w:rFonts w:eastAsiaTheme="minorHAnsi"/>
          <w:i/>
          <w:sz w:val="28"/>
          <w:szCs w:val="28"/>
          <w:lang w:eastAsia="en-US"/>
        </w:rPr>
        <w:t>практ</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конф</w:t>
      </w:r>
      <w:proofErr w:type="spellEnd"/>
      <w:r w:rsidRPr="00520861">
        <w:rPr>
          <w:rFonts w:eastAsiaTheme="minorHAnsi"/>
          <w:i/>
          <w:sz w:val="28"/>
          <w:szCs w:val="28"/>
          <w:lang w:eastAsia="en-US"/>
        </w:rPr>
        <w:t xml:space="preserve">. з міжнародною участю “Сучасні аспекти </w:t>
      </w:r>
      <w:proofErr w:type="spellStart"/>
      <w:r w:rsidRPr="00520861">
        <w:rPr>
          <w:rFonts w:eastAsiaTheme="minorHAnsi"/>
          <w:i/>
          <w:sz w:val="28"/>
          <w:szCs w:val="28"/>
          <w:lang w:eastAsia="en-US"/>
        </w:rPr>
        <w:t>вільнорадикальної</w:t>
      </w:r>
      <w:proofErr w:type="spellEnd"/>
      <w:r w:rsidRPr="00520861">
        <w:rPr>
          <w:rFonts w:eastAsiaTheme="minorHAnsi"/>
          <w:i/>
          <w:sz w:val="28"/>
          <w:szCs w:val="28"/>
          <w:lang w:eastAsia="en-US"/>
        </w:rPr>
        <w:t xml:space="preserve"> патології в експериментальній та клінічній медицині» 7 – 8 травня 2020 р., Полтава</w:t>
      </w:r>
      <w:r w:rsidRPr="00520861">
        <w:rPr>
          <w:rFonts w:eastAsiaTheme="minorHAnsi"/>
          <w:sz w:val="28"/>
          <w:szCs w:val="28"/>
          <w:lang w:eastAsia="en-US"/>
        </w:rPr>
        <w:t>. Полтава: Українська медична стоматологічна академія; 2020. с. 7–10.</w:t>
      </w:r>
    </w:p>
    <w:p w14:paraId="7894C3A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bCs/>
          <w:iCs/>
          <w:sz w:val="28"/>
          <w:szCs w:val="28"/>
          <w:lang w:eastAsia="en-US"/>
        </w:rPr>
      </w:pPr>
      <w:r w:rsidRPr="00520861">
        <w:rPr>
          <w:rFonts w:eastAsia="Calibri"/>
          <w:sz w:val="28"/>
          <w:szCs w:val="28"/>
          <w:lang w:eastAsia="en-US"/>
        </w:rPr>
        <w:t xml:space="preserve">Гармаш ОВ. Залежність </w:t>
      </w:r>
      <w:proofErr w:type="spellStart"/>
      <w:r w:rsidRPr="00520861">
        <w:rPr>
          <w:rFonts w:eastAsia="Calibri"/>
          <w:sz w:val="28"/>
          <w:szCs w:val="28"/>
          <w:lang w:eastAsia="en-US"/>
        </w:rPr>
        <w:t>морфофункціонального</w:t>
      </w:r>
      <w:proofErr w:type="spellEnd"/>
      <w:r w:rsidRPr="00520861">
        <w:rPr>
          <w:rFonts w:eastAsia="Calibri"/>
          <w:sz w:val="28"/>
          <w:szCs w:val="28"/>
          <w:lang w:eastAsia="en-US"/>
        </w:rPr>
        <w:t xml:space="preserve"> стану привушних слинних залоз тримісячних щурів, народжених </w:t>
      </w:r>
      <w:proofErr w:type="spellStart"/>
      <w:r w:rsidRPr="00520861">
        <w:rPr>
          <w:rFonts w:eastAsia="Calibri"/>
          <w:sz w:val="28"/>
          <w:szCs w:val="28"/>
          <w:lang w:eastAsia="en-US"/>
        </w:rPr>
        <w:t>макросомами</w:t>
      </w:r>
      <w:proofErr w:type="spellEnd"/>
      <w:r w:rsidRPr="00520861">
        <w:rPr>
          <w:rFonts w:eastAsia="Calibri"/>
          <w:sz w:val="28"/>
          <w:szCs w:val="28"/>
          <w:lang w:eastAsia="en-US"/>
        </w:rPr>
        <w:t xml:space="preserve"> від їх індексу маси тіла при народженні.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Котвіцька</w:t>
      </w:r>
      <w:proofErr w:type="spellEnd"/>
      <w:r w:rsidRPr="00520861">
        <w:rPr>
          <w:rFonts w:eastAsia="Calibri"/>
          <w:sz w:val="28"/>
          <w:szCs w:val="28"/>
          <w:lang w:eastAsia="en-US"/>
        </w:rPr>
        <w:t xml:space="preserve"> АА. (</w:t>
      </w:r>
      <w:proofErr w:type="spellStart"/>
      <w:r w:rsidRPr="00520861">
        <w:rPr>
          <w:rFonts w:eastAsia="Calibri"/>
          <w:sz w:val="28"/>
          <w:szCs w:val="28"/>
          <w:lang w:eastAsia="en-US"/>
        </w:rPr>
        <w:t>ed</w:t>
      </w:r>
      <w:proofErr w:type="spellEnd"/>
      <w:r w:rsidRPr="00520861">
        <w:rPr>
          <w:rFonts w:eastAsia="Calibri"/>
          <w:sz w:val="28"/>
          <w:szCs w:val="28"/>
          <w:lang w:eastAsia="en-US"/>
        </w:rPr>
        <w:t>.)</w:t>
      </w:r>
      <w:r w:rsidRPr="00520861">
        <w:rPr>
          <w:rFonts w:eastAsia="Calibri"/>
          <w:b/>
          <w:sz w:val="28"/>
          <w:szCs w:val="28"/>
          <w:lang w:eastAsia="en-US"/>
        </w:rPr>
        <w:t xml:space="preserve"> </w:t>
      </w:r>
      <w:r w:rsidRPr="00520861">
        <w:rPr>
          <w:rFonts w:eastAsiaTheme="minorHAnsi"/>
          <w:i/>
          <w:sz w:val="28"/>
          <w:szCs w:val="28"/>
          <w:lang w:eastAsia="en-US"/>
        </w:rPr>
        <w:t>Матеріали ІІ наук.-</w:t>
      </w:r>
      <w:proofErr w:type="spellStart"/>
      <w:r w:rsidRPr="00520861">
        <w:rPr>
          <w:rFonts w:eastAsiaTheme="minorHAnsi"/>
          <w:i/>
          <w:sz w:val="28"/>
          <w:szCs w:val="28"/>
          <w:lang w:eastAsia="en-US"/>
        </w:rPr>
        <w:t>практ</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internet-конф</w:t>
      </w:r>
      <w:proofErr w:type="spellEnd"/>
      <w:r w:rsidRPr="00520861">
        <w:rPr>
          <w:rFonts w:eastAsiaTheme="minorHAnsi"/>
          <w:i/>
          <w:sz w:val="28"/>
          <w:szCs w:val="28"/>
          <w:lang w:eastAsia="en-US"/>
        </w:rPr>
        <w:t xml:space="preserve">. з </w:t>
      </w:r>
      <w:r w:rsidR="00B22E6A" w:rsidRPr="00520861">
        <w:rPr>
          <w:rFonts w:eastAsiaTheme="minorHAnsi"/>
          <w:i/>
          <w:sz w:val="28"/>
          <w:szCs w:val="28"/>
          <w:lang w:eastAsia="en-US"/>
        </w:rPr>
        <w:br/>
      </w:r>
      <w:r w:rsidRPr="00520861">
        <w:rPr>
          <w:rFonts w:eastAsiaTheme="minorHAnsi"/>
          <w:i/>
          <w:sz w:val="28"/>
          <w:szCs w:val="28"/>
          <w:lang w:eastAsia="en-US"/>
        </w:rPr>
        <w:t>міжнародною участю “Механізми розвитку патологічних процесів та їхня фармакологічна корекція” 21 листопада 2019 р</w:t>
      </w:r>
      <w:r w:rsidRPr="00520861">
        <w:rPr>
          <w:rFonts w:eastAsiaTheme="minorHAnsi"/>
          <w:sz w:val="28"/>
          <w:szCs w:val="28"/>
          <w:lang w:eastAsia="en-US"/>
        </w:rPr>
        <w:t xml:space="preserve">., </w:t>
      </w:r>
      <w:r w:rsidRPr="00520861">
        <w:rPr>
          <w:rFonts w:eastAsiaTheme="minorHAnsi"/>
          <w:i/>
          <w:sz w:val="28"/>
          <w:szCs w:val="28"/>
          <w:lang w:eastAsia="en-US"/>
        </w:rPr>
        <w:t xml:space="preserve"> Харків. </w:t>
      </w:r>
      <w:r w:rsidRPr="00520861">
        <w:rPr>
          <w:rFonts w:eastAsiaTheme="minorHAnsi"/>
          <w:sz w:val="28"/>
          <w:szCs w:val="28"/>
          <w:lang w:eastAsia="en-US"/>
        </w:rPr>
        <w:t xml:space="preserve">Харків: Вид-во </w:t>
      </w:r>
      <w:proofErr w:type="spellStart"/>
      <w:r w:rsidRPr="00520861">
        <w:rPr>
          <w:rFonts w:eastAsiaTheme="minorHAnsi"/>
          <w:sz w:val="28"/>
          <w:szCs w:val="28"/>
          <w:lang w:eastAsia="en-US"/>
        </w:rPr>
        <w:t>НФаУ</w:t>
      </w:r>
      <w:proofErr w:type="spellEnd"/>
      <w:r w:rsidRPr="00520861">
        <w:rPr>
          <w:rFonts w:eastAsiaTheme="minorHAnsi"/>
          <w:sz w:val="28"/>
          <w:szCs w:val="28"/>
          <w:lang w:eastAsia="en-US"/>
        </w:rPr>
        <w:t>; 2019. с. 107–109.</w:t>
      </w:r>
    </w:p>
    <w:p w14:paraId="7E2410F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Залежність ризику виникнення стоматологічних порушень у дітей та підлітків, народжених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від індексу маси тіла при народженні. </w:t>
      </w:r>
      <w:r w:rsidR="00B22E6A" w:rsidRPr="00520861">
        <w:rPr>
          <w:rFonts w:eastAsiaTheme="minorHAnsi"/>
          <w:sz w:val="28"/>
          <w:szCs w:val="28"/>
          <w:lang w:eastAsia="en-US"/>
        </w:rPr>
        <w:br/>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2019;2(1/150): 298</w:t>
      </w:r>
      <w:r w:rsidRPr="00520861">
        <w:rPr>
          <w:rFonts w:eastAsia="Calibri"/>
          <w:sz w:val="28"/>
          <w:szCs w:val="28"/>
          <w:lang w:eastAsia="en-US"/>
        </w:rPr>
        <w:t>–</w:t>
      </w:r>
      <w:r w:rsidRPr="00520861">
        <w:rPr>
          <w:rFonts w:eastAsiaTheme="minorHAnsi"/>
          <w:sz w:val="28"/>
          <w:szCs w:val="28"/>
          <w:lang w:eastAsia="en-US"/>
        </w:rPr>
        <w:t xml:space="preserve">304. </w:t>
      </w:r>
      <w:r w:rsidRPr="00520861">
        <w:rPr>
          <w:rFonts w:eastAsiaTheme="minorHAnsi"/>
          <w:sz w:val="28"/>
          <w:szCs w:val="28"/>
          <w:lang w:val="ru-RU" w:eastAsia="en-US"/>
        </w:rPr>
        <w:t>Доступно на:</w:t>
      </w:r>
      <w:r w:rsidRPr="00520861">
        <w:rPr>
          <w:rFonts w:eastAsiaTheme="minorHAnsi"/>
          <w:sz w:val="28"/>
          <w:szCs w:val="28"/>
          <w:lang w:val="en-US" w:eastAsia="en-US"/>
        </w:rPr>
        <w:t xml:space="preserve"> </w:t>
      </w:r>
      <w:r w:rsidRPr="00520861">
        <w:rPr>
          <w:rFonts w:eastAsiaTheme="minorHAnsi"/>
          <w:sz w:val="28"/>
          <w:szCs w:val="28"/>
          <w:lang w:val="ru-RU" w:eastAsia="en-US"/>
        </w:rPr>
        <w:t>DOI</w:t>
      </w:r>
      <w:r w:rsidRPr="00520861">
        <w:rPr>
          <w:rFonts w:eastAsiaTheme="minorHAnsi"/>
          <w:sz w:val="28"/>
          <w:szCs w:val="28"/>
          <w:lang w:eastAsia="en-US"/>
        </w:rPr>
        <w:t xml:space="preserve">: </w:t>
      </w:r>
      <w:r w:rsidRPr="00520861">
        <w:rPr>
          <w:rFonts w:eastAsiaTheme="minorHAnsi"/>
          <w:sz w:val="28"/>
          <w:szCs w:val="28"/>
          <w:lang w:eastAsia="en-US"/>
        </w:rPr>
        <w:lastRenderedPageBreak/>
        <w:t>10.29254/2077-4214-2019-2-1-150-298-304.</w:t>
      </w:r>
    </w:p>
    <w:p w14:paraId="48AD13BA"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Гармаш ОВ. Залежність ризику виникнення стоматологічних порушень у осіб дорослого віку, народжених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від індексу маси тіла при народженні. </w:t>
      </w:r>
      <w:r w:rsidRPr="00520861">
        <w:rPr>
          <w:rFonts w:eastAsia="Calibri"/>
          <w:i/>
          <w:sz w:val="28"/>
          <w:szCs w:val="28"/>
          <w:lang w:eastAsia="en-US"/>
        </w:rPr>
        <w:t>Вісник проблем біології і медицини</w:t>
      </w:r>
      <w:r w:rsidRPr="00520861">
        <w:rPr>
          <w:rFonts w:eastAsia="Calibri"/>
          <w:sz w:val="28"/>
          <w:szCs w:val="28"/>
          <w:lang w:eastAsia="en-US"/>
        </w:rPr>
        <w:t xml:space="preserve">. 2019;4(1/153): 300–311. </w:t>
      </w:r>
      <w:r w:rsidRPr="00520861">
        <w:rPr>
          <w:rFonts w:eastAsiaTheme="minorHAnsi"/>
          <w:sz w:val="28"/>
          <w:szCs w:val="28"/>
          <w:lang w:val="ru-RU" w:eastAsia="en-US"/>
        </w:rPr>
        <w:t>Доступно на:</w:t>
      </w:r>
      <w:r w:rsidRPr="00520861">
        <w:rPr>
          <w:rFonts w:eastAsiaTheme="minorHAnsi"/>
          <w:sz w:val="28"/>
          <w:szCs w:val="28"/>
          <w:lang w:eastAsia="en-US"/>
        </w:rPr>
        <w:t xml:space="preserve"> </w:t>
      </w:r>
      <w:r w:rsidRPr="00520861">
        <w:rPr>
          <w:rFonts w:eastAsiaTheme="minorHAnsi"/>
          <w:sz w:val="28"/>
          <w:szCs w:val="28"/>
          <w:lang w:val="ru-RU" w:eastAsia="en-US"/>
        </w:rPr>
        <w:t>DOI</w:t>
      </w:r>
      <w:r w:rsidRPr="00520861">
        <w:rPr>
          <w:rFonts w:eastAsiaTheme="minorHAnsi"/>
          <w:sz w:val="28"/>
          <w:szCs w:val="28"/>
          <w:lang w:eastAsia="en-US"/>
        </w:rPr>
        <w:t xml:space="preserve">: </w:t>
      </w:r>
      <w:r w:rsidRPr="00520861">
        <w:rPr>
          <w:rFonts w:eastAsia="Calibri"/>
          <w:sz w:val="28"/>
          <w:szCs w:val="28"/>
          <w:lang w:eastAsia="en-US"/>
        </w:rPr>
        <w:t>10.29254/2077-4214-2019-4-1-153-300-311.</w:t>
      </w:r>
    </w:p>
    <w:p w14:paraId="32DAA19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Морфологічні зміни в зачатках зубів та в тканинах, що їх оточують, у новонароджених щурів із експериментально змодельованою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w:t>
      </w:r>
      <w:r w:rsidR="00B22E6A" w:rsidRPr="00520861">
        <w:rPr>
          <w:rFonts w:eastAsiaTheme="minorHAnsi"/>
          <w:sz w:val="28"/>
          <w:szCs w:val="28"/>
          <w:lang w:eastAsia="en-US"/>
        </w:rPr>
        <w:br/>
      </w:r>
      <w:r w:rsidRPr="00520861">
        <w:rPr>
          <w:rFonts w:eastAsiaTheme="minorHAnsi"/>
          <w:i/>
          <w:sz w:val="28"/>
          <w:szCs w:val="28"/>
          <w:lang w:eastAsia="en-US"/>
        </w:rPr>
        <w:t>Український журнал медицини, біології та спорту</w:t>
      </w:r>
      <w:r w:rsidRPr="00520861">
        <w:rPr>
          <w:rFonts w:eastAsiaTheme="minorHAnsi"/>
          <w:sz w:val="28"/>
          <w:szCs w:val="28"/>
          <w:lang w:eastAsia="en-US"/>
        </w:rPr>
        <w:t xml:space="preserve">. 2020;5(1): 37–44. </w:t>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10.26693/jmbs05.01.037.</w:t>
      </w:r>
    </w:p>
    <w:p w14:paraId="0876ABC0"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r w:rsidRPr="00520861">
        <w:rPr>
          <w:rFonts w:eastAsiaTheme="minorHAnsi"/>
          <w:sz w:val="28"/>
          <w:szCs w:val="28"/>
          <w:lang w:eastAsia="en-US"/>
        </w:rPr>
        <w:t xml:space="preserve">Гармаш ОВ. </w:t>
      </w:r>
      <w:proofErr w:type="spellStart"/>
      <w:r w:rsidRPr="00520861">
        <w:rPr>
          <w:rFonts w:eastAsiaTheme="minorHAnsi"/>
          <w:sz w:val="28"/>
          <w:szCs w:val="28"/>
          <w:lang w:eastAsia="en-US"/>
        </w:rPr>
        <w:t>Обгрунтування</w:t>
      </w:r>
      <w:proofErr w:type="spellEnd"/>
      <w:r w:rsidRPr="00520861">
        <w:rPr>
          <w:rFonts w:eastAsiaTheme="minorHAnsi"/>
          <w:sz w:val="28"/>
          <w:szCs w:val="28"/>
          <w:lang w:eastAsia="en-US"/>
        </w:rPr>
        <w:t xml:space="preserve"> доцільності дослідження </w:t>
      </w:r>
      <w:proofErr w:type="spellStart"/>
      <w:r w:rsidRPr="00520861">
        <w:rPr>
          <w:rFonts w:eastAsiaTheme="minorHAnsi"/>
          <w:sz w:val="28"/>
          <w:szCs w:val="28"/>
          <w:lang w:eastAsia="en-US"/>
        </w:rPr>
        <w:t>однонуклеотидного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поліморфізма</w:t>
      </w:r>
      <w:proofErr w:type="spellEnd"/>
      <w:r w:rsidRPr="00520861">
        <w:rPr>
          <w:rFonts w:eastAsiaTheme="minorHAnsi"/>
          <w:sz w:val="28"/>
          <w:szCs w:val="28"/>
          <w:lang w:eastAsia="en-US"/>
        </w:rPr>
        <w:t xml:space="preserve"> в гені </w:t>
      </w:r>
      <w:proofErr w:type="spellStart"/>
      <w:r w:rsidRPr="00520861">
        <w:rPr>
          <w:rFonts w:eastAsiaTheme="minorHAnsi"/>
          <w:sz w:val="28"/>
          <w:szCs w:val="28"/>
          <w:lang w:eastAsia="en-US"/>
        </w:rPr>
        <w:t>ароматази</w:t>
      </w:r>
      <w:proofErr w:type="spellEnd"/>
      <w:r w:rsidRPr="00520861">
        <w:rPr>
          <w:rFonts w:eastAsiaTheme="minorHAnsi"/>
          <w:sz w:val="28"/>
          <w:szCs w:val="28"/>
          <w:lang w:eastAsia="en-US"/>
        </w:rPr>
        <w:t xml:space="preserve"> як можливого маркеру ризику розвитку раннього дитячого карієсу у осіб, які народились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w:t>
      </w:r>
      <w:r w:rsidRPr="00520861">
        <w:rPr>
          <w:rFonts w:eastAsiaTheme="minorHAnsi"/>
          <w:i/>
          <w:sz w:val="28"/>
          <w:szCs w:val="28"/>
          <w:lang w:eastAsia="en-US"/>
        </w:rPr>
        <w:t>: Всеукраїнська наук.-</w:t>
      </w:r>
      <w:proofErr w:type="spellStart"/>
      <w:r w:rsidRPr="00520861">
        <w:rPr>
          <w:rFonts w:eastAsiaTheme="minorHAnsi"/>
          <w:i/>
          <w:sz w:val="28"/>
          <w:szCs w:val="28"/>
          <w:lang w:eastAsia="en-US"/>
        </w:rPr>
        <w:t>практ</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конф</w:t>
      </w:r>
      <w:proofErr w:type="spellEnd"/>
      <w:r w:rsidRPr="00520861">
        <w:rPr>
          <w:rFonts w:eastAsiaTheme="minorHAnsi"/>
          <w:i/>
          <w:sz w:val="28"/>
          <w:szCs w:val="28"/>
          <w:lang w:eastAsia="en-US"/>
        </w:rPr>
        <w:t>. з міжнародною участю «Сучасні питання молекулярно-біохімічних досліджень та лабораторного скринінгу у клінічній та експериментальній медицині-2019» 11 – 12 квітня 2019 р</w:t>
      </w:r>
      <w:r w:rsidRPr="00520861">
        <w:rPr>
          <w:rFonts w:eastAsiaTheme="minorHAnsi"/>
          <w:sz w:val="28"/>
          <w:szCs w:val="28"/>
          <w:lang w:eastAsia="en-US"/>
        </w:rPr>
        <w:t xml:space="preserve">., </w:t>
      </w:r>
      <w:r w:rsidRPr="00520861">
        <w:rPr>
          <w:rFonts w:eastAsiaTheme="minorHAnsi"/>
          <w:i/>
          <w:sz w:val="28"/>
          <w:szCs w:val="28"/>
          <w:lang w:eastAsia="en-US"/>
        </w:rPr>
        <w:t xml:space="preserve">Запоріжжя. </w:t>
      </w:r>
      <w:r w:rsidRPr="00520861">
        <w:rPr>
          <w:rFonts w:eastAsiaTheme="minorHAnsi"/>
          <w:sz w:val="28"/>
          <w:szCs w:val="28"/>
          <w:lang w:eastAsia="en-US"/>
        </w:rPr>
        <w:t>Запоріжжя: Запорізький державний мед. ун-т; 2019. с. 15–16.</w:t>
      </w:r>
    </w:p>
    <w:p w14:paraId="4BA7A29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bCs/>
          <w:iCs/>
          <w:sz w:val="28"/>
          <w:szCs w:val="28"/>
          <w:lang w:eastAsia="en-US"/>
        </w:rPr>
      </w:pPr>
      <w:r w:rsidRPr="00520861">
        <w:rPr>
          <w:sz w:val="28"/>
          <w:szCs w:val="28"/>
          <w:lang w:eastAsia="en-US"/>
        </w:rPr>
        <w:t xml:space="preserve">Гармаш ОВ. </w:t>
      </w:r>
      <w:proofErr w:type="spellStart"/>
      <w:r w:rsidRPr="00520861">
        <w:rPr>
          <w:sz w:val="28"/>
          <w:szCs w:val="28"/>
          <w:lang w:eastAsia="en-US"/>
        </w:rPr>
        <w:t>Однонуклеотидні</w:t>
      </w:r>
      <w:proofErr w:type="spellEnd"/>
      <w:r w:rsidRPr="00520861">
        <w:rPr>
          <w:sz w:val="28"/>
          <w:szCs w:val="28"/>
          <w:lang w:eastAsia="en-US"/>
        </w:rPr>
        <w:t xml:space="preserve"> </w:t>
      </w:r>
      <w:proofErr w:type="spellStart"/>
      <w:r w:rsidRPr="00520861">
        <w:rPr>
          <w:sz w:val="28"/>
          <w:szCs w:val="28"/>
          <w:lang w:eastAsia="en-US"/>
        </w:rPr>
        <w:t>поліморфізми</w:t>
      </w:r>
      <w:proofErr w:type="spellEnd"/>
      <w:r w:rsidRPr="00520861">
        <w:rPr>
          <w:sz w:val="28"/>
          <w:szCs w:val="28"/>
          <w:lang w:eastAsia="en-US"/>
        </w:rPr>
        <w:t xml:space="preserve"> генів ESR1 [RS 2234693], IL-1</w:t>
      </w:r>
      <w:r w:rsidRPr="00520861">
        <w:rPr>
          <w:rFonts w:eastAsiaTheme="minorHAnsi"/>
          <w:sz w:val="28"/>
          <w:szCs w:val="28"/>
          <w:lang w:eastAsia="en-US"/>
        </w:rPr>
        <w:sym w:font="Symbol" w:char="F062"/>
      </w:r>
      <w:r w:rsidRPr="00520861">
        <w:rPr>
          <w:sz w:val="28"/>
          <w:szCs w:val="28"/>
          <w:lang w:eastAsia="en-US"/>
        </w:rPr>
        <w:t xml:space="preserve"> [rs1143627], RANKL [rs9594738] і [rs9594759] як можливі маркери ризику розвитку різних варіантів перебігу </w:t>
      </w:r>
      <w:proofErr w:type="spellStart"/>
      <w:r w:rsidRPr="00520861">
        <w:rPr>
          <w:sz w:val="28"/>
          <w:szCs w:val="28"/>
          <w:lang w:eastAsia="en-US"/>
        </w:rPr>
        <w:t>хвороб</w:t>
      </w:r>
      <w:proofErr w:type="spellEnd"/>
      <w:r w:rsidRPr="00520861">
        <w:rPr>
          <w:sz w:val="28"/>
          <w:szCs w:val="28"/>
          <w:lang w:eastAsia="en-US"/>
        </w:rPr>
        <w:t xml:space="preserve"> </w:t>
      </w:r>
      <w:proofErr w:type="spellStart"/>
      <w:r w:rsidRPr="00520861">
        <w:rPr>
          <w:sz w:val="28"/>
          <w:szCs w:val="28"/>
          <w:lang w:eastAsia="en-US"/>
        </w:rPr>
        <w:t>пародонта</w:t>
      </w:r>
      <w:proofErr w:type="spellEnd"/>
      <w:r w:rsidRPr="00520861">
        <w:rPr>
          <w:sz w:val="28"/>
          <w:szCs w:val="28"/>
          <w:lang w:eastAsia="en-US"/>
        </w:rPr>
        <w:t xml:space="preserve"> в осіб, які народилися великими до </w:t>
      </w:r>
      <w:proofErr w:type="spellStart"/>
      <w:r w:rsidRPr="00520861">
        <w:rPr>
          <w:sz w:val="28"/>
          <w:szCs w:val="28"/>
          <w:lang w:eastAsia="en-US"/>
        </w:rPr>
        <w:t>гестаційного</w:t>
      </w:r>
      <w:proofErr w:type="spellEnd"/>
      <w:r w:rsidRPr="00520861">
        <w:rPr>
          <w:sz w:val="28"/>
          <w:szCs w:val="28"/>
          <w:lang w:eastAsia="en-US"/>
        </w:rPr>
        <w:t xml:space="preserve"> віку. </w:t>
      </w:r>
      <w:r w:rsidRPr="00520861">
        <w:rPr>
          <w:i/>
          <w:sz w:val="28"/>
          <w:szCs w:val="28"/>
          <w:lang w:eastAsia="en-US"/>
        </w:rPr>
        <w:t>Український стоматологічний альманах</w:t>
      </w:r>
      <w:r w:rsidRPr="00520861">
        <w:rPr>
          <w:sz w:val="28"/>
          <w:szCs w:val="28"/>
          <w:lang w:eastAsia="en-US"/>
        </w:rPr>
        <w:t>. 2020;(1): 5–18.</w:t>
      </w:r>
    </w:p>
    <w:p w14:paraId="791468E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Особливості стоматологічного статусу дітей, які народилися 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у період тимчасового прикусу. </w:t>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2018</w:t>
      </w:r>
      <w:r w:rsidRPr="00520861">
        <w:rPr>
          <w:rFonts w:eastAsiaTheme="minorHAnsi"/>
          <w:sz w:val="28"/>
          <w:szCs w:val="28"/>
          <w:lang w:val="en-US" w:eastAsia="en-US"/>
        </w:rPr>
        <w:t>;4</w:t>
      </w:r>
      <w:r w:rsidRPr="00520861">
        <w:rPr>
          <w:rFonts w:eastAsiaTheme="minorHAnsi"/>
          <w:sz w:val="28"/>
          <w:szCs w:val="28"/>
          <w:lang w:eastAsia="en-US"/>
        </w:rPr>
        <w:t>(</w:t>
      </w:r>
      <w:r w:rsidRPr="00520861">
        <w:rPr>
          <w:rFonts w:eastAsiaTheme="minorHAnsi"/>
          <w:sz w:val="28"/>
          <w:szCs w:val="28"/>
          <w:lang w:val="en-US" w:eastAsia="en-US"/>
        </w:rPr>
        <w:t>1/146</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 xml:space="preserve">246–253. </w:t>
      </w:r>
      <w:r w:rsidRPr="00520861">
        <w:rPr>
          <w:rFonts w:eastAsiaTheme="minorHAnsi"/>
          <w:sz w:val="28"/>
          <w:szCs w:val="28"/>
          <w:lang w:val="ru-RU" w:eastAsia="en-US"/>
        </w:rPr>
        <w:t>Доступно на:</w:t>
      </w:r>
      <w:r w:rsidRPr="00520861">
        <w:rPr>
          <w:rFonts w:eastAsiaTheme="minorHAnsi"/>
          <w:sz w:val="28"/>
          <w:szCs w:val="28"/>
          <w:lang w:val="en-US" w:eastAsia="en-US"/>
        </w:rPr>
        <w:t xml:space="preserve"> </w:t>
      </w:r>
      <w:r w:rsidRPr="00520861">
        <w:rPr>
          <w:rFonts w:eastAsiaTheme="minorHAnsi"/>
          <w:sz w:val="28"/>
          <w:szCs w:val="28"/>
          <w:lang w:eastAsia="en-US"/>
        </w:rPr>
        <w:t>DOI: 10.29254/2077-4214-2018-4-1-146-246-253.</w:t>
      </w:r>
    </w:p>
    <w:p w14:paraId="1F08F95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Особливості стоматологічного статусу та, зокрема, прорізування тимчасових зубів у дітей грудного віку, які народилися великими до </w:t>
      </w:r>
      <w:proofErr w:type="spellStart"/>
      <w:r w:rsidRPr="00520861">
        <w:rPr>
          <w:rFonts w:eastAsiaTheme="minorHAnsi"/>
          <w:sz w:val="28"/>
          <w:szCs w:val="28"/>
          <w:lang w:eastAsia="en-US"/>
        </w:rPr>
        <w:t>гестаційного</w:t>
      </w:r>
      <w:proofErr w:type="spellEnd"/>
      <w:r w:rsidRPr="00520861">
        <w:rPr>
          <w:rFonts w:eastAsiaTheme="minorHAnsi"/>
          <w:sz w:val="28"/>
          <w:szCs w:val="28"/>
          <w:lang w:eastAsia="en-US"/>
        </w:rPr>
        <w:t xml:space="preserve"> віку.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Хвисюк</w:t>
      </w:r>
      <w:proofErr w:type="spellEnd"/>
      <w:r w:rsidRPr="00520861">
        <w:rPr>
          <w:rFonts w:eastAsiaTheme="minorHAnsi"/>
          <w:sz w:val="28"/>
          <w:szCs w:val="28"/>
          <w:lang w:eastAsia="en-US"/>
        </w:rPr>
        <w:t xml:space="preserve"> ОМ, </w:t>
      </w:r>
      <w:proofErr w:type="spellStart"/>
      <w:r w:rsidRPr="00520861">
        <w:rPr>
          <w:rFonts w:eastAsiaTheme="minorHAnsi"/>
          <w:sz w:val="28"/>
          <w:szCs w:val="28"/>
          <w:lang w:eastAsia="en-US"/>
        </w:rPr>
        <w:t>Хвисюк</w:t>
      </w:r>
      <w:proofErr w:type="spellEnd"/>
      <w:r w:rsidRPr="00520861">
        <w:rPr>
          <w:rFonts w:eastAsiaTheme="minorHAnsi"/>
          <w:sz w:val="28"/>
          <w:szCs w:val="28"/>
          <w:lang w:eastAsia="en-US"/>
        </w:rPr>
        <w:t xml:space="preserve"> МІ, Марченко ВГ, </w:t>
      </w:r>
      <w:proofErr w:type="spellStart"/>
      <w:r w:rsidRPr="00520861">
        <w:rPr>
          <w:rFonts w:eastAsiaTheme="minorHAnsi"/>
          <w:sz w:val="28"/>
          <w:szCs w:val="28"/>
          <w:lang w:eastAsia="en-US"/>
        </w:rPr>
        <w:t>Каафарані</w:t>
      </w:r>
      <w:proofErr w:type="spellEnd"/>
      <w:r w:rsidRPr="00520861">
        <w:rPr>
          <w:rFonts w:eastAsiaTheme="minorHAnsi"/>
          <w:sz w:val="28"/>
          <w:szCs w:val="28"/>
          <w:lang w:eastAsia="en-US"/>
        </w:rPr>
        <w:t xml:space="preserve"> АМ, </w:t>
      </w:r>
      <w:proofErr w:type="spellStart"/>
      <w:r w:rsidRPr="00520861">
        <w:rPr>
          <w:rFonts w:eastAsiaTheme="minorHAnsi"/>
          <w:sz w:val="28"/>
          <w:szCs w:val="28"/>
          <w:lang w:eastAsia="en-US"/>
        </w:rPr>
        <w:t>Діасамідзе</w:t>
      </w:r>
      <w:proofErr w:type="spellEnd"/>
      <w:r w:rsidRPr="00520861">
        <w:rPr>
          <w:rFonts w:eastAsiaTheme="minorHAnsi"/>
          <w:sz w:val="28"/>
          <w:szCs w:val="28"/>
          <w:lang w:eastAsia="en-US"/>
        </w:rPr>
        <w:t xml:space="preserve"> ЕД, </w:t>
      </w:r>
      <w:r w:rsidR="00B22E6A" w:rsidRPr="00520861">
        <w:rPr>
          <w:rFonts w:eastAsiaTheme="minorHAnsi"/>
          <w:sz w:val="28"/>
          <w:szCs w:val="28"/>
          <w:lang w:eastAsia="en-US"/>
        </w:rPr>
        <w:br/>
      </w:r>
      <w:proofErr w:type="spellStart"/>
      <w:r w:rsidRPr="00520861">
        <w:rPr>
          <w:rFonts w:eastAsiaTheme="minorHAnsi"/>
          <w:sz w:val="28"/>
          <w:szCs w:val="28"/>
          <w:lang w:eastAsia="en-US"/>
        </w:rPr>
        <w:t>Гризодуб</w:t>
      </w:r>
      <w:proofErr w:type="spellEnd"/>
      <w:r w:rsidRPr="00520861">
        <w:rPr>
          <w:rFonts w:eastAsiaTheme="minorHAnsi"/>
          <w:sz w:val="28"/>
          <w:szCs w:val="28"/>
          <w:lang w:eastAsia="en-US"/>
        </w:rPr>
        <w:t xml:space="preserve"> ВІ,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w:t>
      </w:r>
      <w:proofErr w:type="spellStart"/>
      <w:r w:rsidRPr="00520861">
        <w:rPr>
          <w:rFonts w:eastAsiaTheme="minorHAnsi"/>
          <w:sz w:val="28"/>
          <w:szCs w:val="28"/>
          <w:lang w:eastAsia="en-US"/>
        </w:rPr>
        <w:t>eds</w:t>
      </w:r>
      <w:proofErr w:type="spellEnd"/>
      <w:r w:rsidRPr="00520861">
        <w:rPr>
          <w:rFonts w:eastAsiaTheme="minorHAnsi"/>
          <w:sz w:val="28"/>
          <w:szCs w:val="28"/>
          <w:lang w:eastAsia="en-US"/>
        </w:rPr>
        <w:t xml:space="preserve">.) </w:t>
      </w:r>
      <w:r w:rsidRPr="00520861">
        <w:rPr>
          <w:rFonts w:eastAsiaTheme="minorHAnsi"/>
          <w:i/>
          <w:sz w:val="28"/>
          <w:szCs w:val="28"/>
          <w:lang w:eastAsia="en-US"/>
        </w:rPr>
        <w:t>Матеріали НПК з міжнародною участю «Стоматологічна наука і практика на Слобожанщині: історія, надбання і перспективи розвитку» 5 – 6 жовтня 2017 р., Харків</w:t>
      </w:r>
      <w:r w:rsidRPr="00520861">
        <w:rPr>
          <w:rFonts w:eastAsiaTheme="minorHAnsi"/>
          <w:sz w:val="28"/>
          <w:szCs w:val="28"/>
          <w:lang w:eastAsia="en-US"/>
        </w:rPr>
        <w:t>. Харків: Фенікс; 2017. с. 36–37.</w:t>
      </w:r>
    </w:p>
    <w:p w14:paraId="3651C0C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Calibri"/>
          <w:sz w:val="28"/>
          <w:szCs w:val="28"/>
          <w:lang w:eastAsia="en-US"/>
        </w:rPr>
        <w:t xml:space="preserve">Гармаш ОВ. Оцінювання міри ризику виникнення стоматологічних порушень </w:t>
      </w:r>
      <w:r w:rsidRPr="00520861">
        <w:rPr>
          <w:rFonts w:eastAsia="Calibri"/>
          <w:sz w:val="28"/>
          <w:szCs w:val="28"/>
          <w:lang w:eastAsia="en-US"/>
        </w:rPr>
        <w:lastRenderedPageBreak/>
        <w:t xml:space="preserve">у дітей та підлітків, які народилися з діагнозом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(клінічна апробація опитувальника). </w:t>
      </w:r>
      <w:r w:rsidRPr="00520861">
        <w:rPr>
          <w:rFonts w:eastAsia="Calibri"/>
          <w:sz w:val="28"/>
          <w:szCs w:val="28"/>
          <w:lang w:val="en-US" w:eastAsia="en-US"/>
        </w:rPr>
        <w:t>In</w:t>
      </w:r>
      <w:r w:rsidRPr="00520861">
        <w:rPr>
          <w:rFonts w:eastAsia="Calibri"/>
          <w:sz w:val="28"/>
          <w:szCs w:val="28"/>
          <w:lang w:eastAsia="en-US"/>
        </w:rPr>
        <w:t xml:space="preserve">: </w:t>
      </w:r>
      <w:proofErr w:type="spellStart"/>
      <w:r w:rsidRPr="00520861">
        <w:rPr>
          <w:rFonts w:eastAsia="Calibri"/>
          <w:sz w:val="28"/>
          <w:szCs w:val="28"/>
          <w:lang w:eastAsia="en-US"/>
        </w:rPr>
        <w:t>Огнєв</w:t>
      </w:r>
      <w:proofErr w:type="spellEnd"/>
      <w:r w:rsidRPr="00520861">
        <w:rPr>
          <w:rFonts w:eastAsia="Calibri"/>
          <w:sz w:val="28"/>
          <w:szCs w:val="28"/>
          <w:lang w:eastAsia="en-US"/>
        </w:rPr>
        <w:t xml:space="preserve"> ВА. (</w:t>
      </w:r>
      <w:r w:rsidRPr="00520861">
        <w:rPr>
          <w:rFonts w:eastAsia="Calibri"/>
          <w:sz w:val="28"/>
          <w:szCs w:val="28"/>
          <w:lang w:val="en-US" w:eastAsia="en-US"/>
        </w:rPr>
        <w:t>ed</w:t>
      </w:r>
      <w:r w:rsidRPr="00520861">
        <w:rPr>
          <w:rFonts w:eastAsia="Calibri"/>
          <w:sz w:val="28"/>
          <w:szCs w:val="28"/>
          <w:lang w:eastAsia="en-US"/>
        </w:rPr>
        <w:t>.)</w:t>
      </w:r>
      <w:r w:rsidRPr="00520861">
        <w:rPr>
          <w:rFonts w:eastAsia="Calibri"/>
          <w:b/>
          <w:sz w:val="28"/>
          <w:szCs w:val="28"/>
          <w:lang w:eastAsia="en-US"/>
        </w:rPr>
        <w:t xml:space="preserve"> </w:t>
      </w:r>
      <w:r w:rsidRPr="00520861">
        <w:rPr>
          <w:rFonts w:eastAsiaTheme="minorHAnsi"/>
          <w:i/>
          <w:sz w:val="28"/>
          <w:szCs w:val="28"/>
          <w:lang w:eastAsia="en-US"/>
        </w:rPr>
        <w:t>Матеріали наук.-</w:t>
      </w:r>
      <w:proofErr w:type="spellStart"/>
      <w:r w:rsidRPr="00520861">
        <w:rPr>
          <w:rFonts w:eastAsiaTheme="minorHAnsi"/>
          <w:i/>
          <w:sz w:val="28"/>
          <w:szCs w:val="28"/>
          <w:lang w:eastAsia="en-US"/>
        </w:rPr>
        <w:t>практ</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конф</w:t>
      </w:r>
      <w:proofErr w:type="spellEnd"/>
      <w:r w:rsidRPr="00520861">
        <w:rPr>
          <w:rFonts w:eastAsiaTheme="minorHAnsi"/>
          <w:i/>
          <w:sz w:val="28"/>
          <w:szCs w:val="28"/>
          <w:lang w:eastAsia="en-US"/>
        </w:rPr>
        <w:t xml:space="preserve">. «Надбання сучасної епідеміології та </w:t>
      </w:r>
      <w:proofErr w:type="spellStart"/>
      <w:r w:rsidRPr="00520861">
        <w:rPr>
          <w:rFonts w:eastAsiaTheme="minorHAnsi"/>
          <w:i/>
          <w:sz w:val="28"/>
          <w:szCs w:val="28"/>
          <w:lang w:eastAsia="en-US"/>
        </w:rPr>
        <w:t>біостатистики</w:t>
      </w:r>
      <w:proofErr w:type="spellEnd"/>
      <w:r w:rsidRPr="00520861">
        <w:rPr>
          <w:rFonts w:eastAsiaTheme="minorHAnsi"/>
          <w:i/>
          <w:sz w:val="28"/>
          <w:szCs w:val="28"/>
          <w:lang w:eastAsia="en-US"/>
        </w:rPr>
        <w:t xml:space="preserve"> як запорука покращання громадського здоров’я в Україні» 18 квітня 2019 р., Харків</w:t>
      </w:r>
      <w:r w:rsidRPr="00520861">
        <w:rPr>
          <w:rFonts w:eastAsiaTheme="minorHAnsi"/>
          <w:sz w:val="28"/>
          <w:szCs w:val="28"/>
          <w:lang w:eastAsia="en-US"/>
        </w:rPr>
        <w:t xml:space="preserve">. </w:t>
      </w:r>
      <w:proofErr w:type="spellStart"/>
      <w:r w:rsidRPr="00520861">
        <w:rPr>
          <w:rFonts w:eastAsiaTheme="minorHAnsi"/>
          <w:sz w:val="28"/>
          <w:szCs w:val="28"/>
          <w:lang w:val="ru-RU" w:eastAsia="en-US"/>
        </w:rPr>
        <w:t>Харків</w:t>
      </w:r>
      <w:proofErr w:type="spellEnd"/>
      <w:r w:rsidRPr="00520861">
        <w:rPr>
          <w:rFonts w:eastAsiaTheme="minorHAnsi"/>
          <w:sz w:val="28"/>
          <w:szCs w:val="28"/>
          <w:lang w:val="ru-RU" w:eastAsia="en-US"/>
        </w:rPr>
        <w:t xml:space="preserve">: Харк. нац. мед. ун-т; 2019. </w:t>
      </w:r>
      <w:r w:rsidRPr="00520861">
        <w:rPr>
          <w:rFonts w:eastAsiaTheme="minorHAnsi"/>
          <w:sz w:val="28"/>
          <w:szCs w:val="28"/>
          <w:lang w:eastAsia="en-US"/>
        </w:rPr>
        <w:t>с</w:t>
      </w:r>
      <w:r w:rsidRPr="00520861">
        <w:rPr>
          <w:rFonts w:eastAsiaTheme="minorHAnsi"/>
          <w:sz w:val="28"/>
          <w:szCs w:val="28"/>
          <w:lang w:val="ru-RU" w:eastAsia="en-US"/>
        </w:rPr>
        <w:t>. 77</w:t>
      </w:r>
      <w:r w:rsidRPr="00520861">
        <w:rPr>
          <w:rFonts w:eastAsia="Calibri"/>
          <w:sz w:val="28"/>
          <w:szCs w:val="28"/>
          <w:lang w:val="ru-RU" w:eastAsia="en-US"/>
        </w:rPr>
        <w:t>–</w:t>
      </w:r>
      <w:r w:rsidRPr="00520861">
        <w:rPr>
          <w:rFonts w:eastAsiaTheme="minorHAnsi"/>
          <w:sz w:val="28"/>
          <w:szCs w:val="28"/>
          <w:lang w:val="ru-RU" w:eastAsia="en-US"/>
        </w:rPr>
        <w:t>78.</w:t>
      </w:r>
    </w:p>
    <w:p w14:paraId="795DE4D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Показники карієсу зубів у дітей харківської популяції, які народилися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Ретроспективно-статистичне дослідження. </w:t>
      </w:r>
      <w:r w:rsidRPr="00520861">
        <w:rPr>
          <w:rFonts w:eastAsiaTheme="minorHAnsi"/>
          <w:i/>
          <w:sz w:val="28"/>
          <w:szCs w:val="28"/>
          <w:lang w:eastAsia="en-US"/>
        </w:rPr>
        <w:t>Вісник проблем</w:t>
      </w:r>
      <w:r w:rsidR="00B22E6A" w:rsidRPr="00520861">
        <w:rPr>
          <w:rFonts w:eastAsiaTheme="minorHAnsi"/>
          <w:i/>
          <w:sz w:val="28"/>
          <w:szCs w:val="28"/>
          <w:lang w:eastAsia="en-US"/>
        </w:rPr>
        <w:br/>
      </w:r>
      <w:r w:rsidRPr="00520861">
        <w:rPr>
          <w:rFonts w:eastAsiaTheme="minorHAnsi"/>
          <w:i/>
          <w:sz w:val="28"/>
          <w:szCs w:val="28"/>
          <w:lang w:eastAsia="en-US"/>
        </w:rPr>
        <w:t xml:space="preserve"> біології і медицини</w:t>
      </w:r>
      <w:r w:rsidRPr="00520861">
        <w:rPr>
          <w:rFonts w:eastAsiaTheme="minorHAnsi"/>
          <w:sz w:val="28"/>
          <w:szCs w:val="28"/>
          <w:lang w:eastAsia="en-US"/>
        </w:rPr>
        <w:t>. 2019</w:t>
      </w:r>
      <w:r w:rsidRPr="00520861">
        <w:rPr>
          <w:rFonts w:eastAsiaTheme="minorHAnsi"/>
          <w:sz w:val="28"/>
          <w:szCs w:val="28"/>
          <w:lang w:val="ru-RU" w:eastAsia="en-US"/>
        </w:rPr>
        <w:t>;</w:t>
      </w:r>
      <w:r w:rsidRPr="00520861">
        <w:rPr>
          <w:rFonts w:eastAsiaTheme="minorHAnsi"/>
          <w:sz w:val="28"/>
          <w:szCs w:val="28"/>
          <w:lang w:eastAsia="en-US"/>
        </w:rPr>
        <w:t>1(2</w:t>
      </w:r>
      <w:r w:rsidRPr="00520861">
        <w:rPr>
          <w:rFonts w:eastAsiaTheme="minorHAnsi"/>
          <w:sz w:val="28"/>
          <w:szCs w:val="28"/>
          <w:lang w:val="ru-RU" w:eastAsia="en-US"/>
        </w:rPr>
        <w:t>/149</w:t>
      </w:r>
      <w:r w:rsidRPr="00520861">
        <w:rPr>
          <w:rFonts w:eastAsiaTheme="minorHAnsi"/>
          <w:sz w:val="28"/>
          <w:szCs w:val="28"/>
          <w:lang w:eastAsia="en-US"/>
        </w:rPr>
        <w:t>)</w:t>
      </w:r>
      <w:r w:rsidRPr="00520861">
        <w:rPr>
          <w:rFonts w:eastAsiaTheme="minorHAnsi"/>
          <w:sz w:val="28"/>
          <w:szCs w:val="28"/>
          <w:lang w:val="ru-RU" w:eastAsia="en-US"/>
        </w:rPr>
        <w:t xml:space="preserve">: </w:t>
      </w:r>
      <w:r w:rsidRPr="00520861">
        <w:rPr>
          <w:rFonts w:eastAsiaTheme="minorHAnsi"/>
          <w:sz w:val="28"/>
          <w:szCs w:val="28"/>
          <w:lang w:eastAsia="en-US"/>
        </w:rPr>
        <w:t xml:space="preserve">341–345. </w:t>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10.29254/2077-4214-2019-1-2-149-341-345.</w:t>
      </w:r>
    </w:p>
    <w:p w14:paraId="2220F5A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ru-RU" w:eastAsia="en-US"/>
        </w:rPr>
        <w:t xml:space="preserve">Гармаш ОВ. Прогнозирование риска формирования нарушений зубочелюстной системы у новорожденных и детей грудного возраста с </w:t>
      </w:r>
      <w:proofErr w:type="spellStart"/>
      <w:r w:rsidRPr="00520861">
        <w:rPr>
          <w:rFonts w:eastAsiaTheme="minorHAnsi"/>
          <w:sz w:val="28"/>
          <w:szCs w:val="28"/>
          <w:lang w:val="ru-RU" w:eastAsia="en-US"/>
        </w:rPr>
        <w:t>макросомией</w:t>
      </w:r>
      <w:proofErr w:type="spellEnd"/>
      <w:r w:rsidRPr="00520861">
        <w:rPr>
          <w:rFonts w:eastAsiaTheme="minorHAnsi"/>
          <w:sz w:val="28"/>
          <w:szCs w:val="28"/>
          <w:lang w:val="ru-RU" w:eastAsia="en-US"/>
        </w:rPr>
        <w:t xml:space="preserve"> (клиническая апробация опросника). </w:t>
      </w:r>
      <w:r w:rsidRPr="00520861">
        <w:rPr>
          <w:rFonts w:eastAsiaTheme="minorHAnsi"/>
          <w:i/>
          <w:sz w:val="28"/>
          <w:szCs w:val="28"/>
          <w:lang w:val="ru-RU" w:eastAsia="en-US"/>
        </w:rPr>
        <w:t>Медицинский журнал северного Казахстана</w:t>
      </w:r>
      <w:r w:rsidRPr="00520861">
        <w:rPr>
          <w:rFonts w:eastAsiaTheme="minorHAnsi"/>
          <w:sz w:val="28"/>
          <w:szCs w:val="28"/>
          <w:lang w:val="ru-RU" w:eastAsia="en-US"/>
        </w:rPr>
        <w:t>. 2016;</w:t>
      </w:r>
      <w:r w:rsidRPr="00520861">
        <w:rPr>
          <w:rFonts w:eastAsia="Calibri"/>
          <w:sz w:val="28"/>
          <w:szCs w:val="28"/>
          <w:lang w:val="ru-RU" w:eastAsia="en-US"/>
        </w:rPr>
        <w:t>(3): 52–56.</w:t>
      </w:r>
    </w:p>
    <w:p w14:paraId="657DEB8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Рівень </w:t>
      </w:r>
      <w:proofErr w:type="spellStart"/>
      <w:r w:rsidRPr="00520861">
        <w:rPr>
          <w:rFonts w:eastAsiaTheme="minorHAnsi"/>
          <w:sz w:val="28"/>
          <w:szCs w:val="28"/>
          <w:lang w:eastAsia="en-US"/>
        </w:rPr>
        <w:t>гідроксипроліну</w:t>
      </w:r>
      <w:proofErr w:type="spellEnd"/>
      <w:r w:rsidRPr="00520861">
        <w:rPr>
          <w:rFonts w:eastAsiaTheme="minorHAnsi"/>
          <w:sz w:val="28"/>
          <w:szCs w:val="28"/>
          <w:lang w:eastAsia="en-US"/>
        </w:rPr>
        <w:t xml:space="preserve"> в ротовій рідині дітей дошкільного віку, які народились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In</w:t>
      </w:r>
      <w:r w:rsidRPr="00520861">
        <w:rPr>
          <w:rFonts w:eastAsiaTheme="minorHAnsi"/>
          <w:sz w:val="28"/>
          <w:szCs w:val="28"/>
          <w:lang w:eastAsia="en-US"/>
        </w:rPr>
        <w:t>: Рябоконь ЄМ (</w:t>
      </w:r>
      <w:r w:rsidRPr="00520861">
        <w:rPr>
          <w:rFonts w:eastAsiaTheme="minorHAnsi"/>
          <w:sz w:val="28"/>
          <w:szCs w:val="28"/>
          <w:lang w:val="en-US" w:eastAsia="en-US"/>
        </w:rPr>
        <w:t>ed</w:t>
      </w:r>
      <w:r w:rsidRPr="00520861">
        <w:rPr>
          <w:rFonts w:eastAsiaTheme="minorHAnsi"/>
          <w:sz w:val="28"/>
          <w:szCs w:val="28"/>
          <w:lang w:eastAsia="en-US"/>
        </w:rPr>
        <w:t xml:space="preserve">.) </w:t>
      </w:r>
      <w:r w:rsidRPr="00520861">
        <w:rPr>
          <w:rFonts w:eastAsiaTheme="minorHAnsi"/>
          <w:i/>
          <w:sz w:val="28"/>
          <w:szCs w:val="28"/>
          <w:lang w:eastAsia="en-US"/>
        </w:rPr>
        <w:t xml:space="preserve">Питання експериментальної та клінічної стоматології: </w:t>
      </w:r>
      <w:proofErr w:type="spellStart"/>
      <w:r w:rsidRPr="00520861">
        <w:rPr>
          <w:rFonts w:eastAsiaTheme="minorHAnsi"/>
          <w:i/>
          <w:sz w:val="28"/>
          <w:szCs w:val="28"/>
          <w:lang w:eastAsia="en-US"/>
        </w:rPr>
        <w:t>зб</w:t>
      </w:r>
      <w:proofErr w:type="spellEnd"/>
      <w:r w:rsidRPr="00520861">
        <w:rPr>
          <w:rFonts w:eastAsiaTheme="minorHAnsi"/>
          <w:i/>
          <w:sz w:val="28"/>
          <w:szCs w:val="28"/>
          <w:lang w:eastAsia="en-US"/>
        </w:rPr>
        <w:t>. наук. праць</w:t>
      </w:r>
      <w:r w:rsidRPr="00520861">
        <w:rPr>
          <w:rFonts w:eastAsiaTheme="minorHAnsi"/>
          <w:sz w:val="28"/>
          <w:szCs w:val="28"/>
          <w:lang w:eastAsia="en-US"/>
        </w:rPr>
        <w:t xml:space="preserve">. </w:t>
      </w:r>
      <w:r w:rsidRPr="00520861">
        <w:rPr>
          <w:rFonts w:eastAsiaTheme="minorHAnsi"/>
          <w:i/>
          <w:sz w:val="28"/>
          <w:szCs w:val="28"/>
          <w:lang w:eastAsia="en-US"/>
        </w:rPr>
        <w:t>– Вип.13</w:t>
      </w:r>
      <w:r w:rsidRPr="00520861">
        <w:rPr>
          <w:rFonts w:eastAsiaTheme="minorHAnsi"/>
          <w:sz w:val="28"/>
          <w:szCs w:val="28"/>
          <w:lang w:eastAsia="en-US"/>
        </w:rPr>
        <w:t xml:space="preserve">. Харків: ФОП </w:t>
      </w:r>
      <w:proofErr w:type="spellStart"/>
      <w:r w:rsidRPr="00520861">
        <w:rPr>
          <w:rFonts w:eastAsiaTheme="minorHAnsi"/>
          <w:sz w:val="28"/>
          <w:szCs w:val="28"/>
          <w:lang w:eastAsia="en-US"/>
        </w:rPr>
        <w:t>Бровін</w:t>
      </w:r>
      <w:proofErr w:type="spellEnd"/>
      <w:r w:rsidRPr="00520861">
        <w:rPr>
          <w:rFonts w:eastAsiaTheme="minorHAnsi"/>
          <w:sz w:val="28"/>
          <w:szCs w:val="28"/>
          <w:lang w:eastAsia="en-US"/>
        </w:rPr>
        <w:t xml:space="preserve"> О.В.; 2018. с. 42–44.</w:t>
      </w:r>
    </w:p>
    <w:p w14:paraId="2AC07EC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Стан </w:t>
      </w:r>
      <w:proofErr w:type="spellStart"/>
      <w:r w:rsidRPr="00520861">
        <w:rPr>
          <w:rFonts w:eastAsiaTheme="minorHAnsi"/>
          <w:sz w:val="28"/>
          <w:szCs w:val="28"/>
          <w:lang w:eastAsia="en-US"/>
        </w:rPr>
        <w:t>стоматогнатичної</w:t>
      </w:r>
      <w:proofErr w:type="spellEnd"/>
      <w:r w:rsidRPr="00520861">
        <w:rPr>
          <w:rFonts w:eastAsiaTheme="minorHAnsi"/>
          <w:sz w:val="28"/>
          <w:szCs w:val="28"/>
          <w:lang w:eastAsia="en-US"/>
        </w:rPr>
        <w:t xml:space="preserve"> системи осіб популяції харківської області та прилеглих областей, які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w:t>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xml:space="preserve"> 2019; 3(152): 347–359. </w:t>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10.29254/2077-4214-2019-3-152-347-359.</w:t>
      </w:r>
    </w:p>
    <w:p w14:paraId="35CCFDC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w:t>
      </w:r>
      <w:proofErr w:type="spellStart"/>
      <w:r w:rsidRPr="00520861">
        <w:rPr>
          <w:rFonts w:eastAsiaTheme="minorHAnsi"/>
          <w:sz w:val="28"/>
          <w:szCs w:val="28"/>
          <w:lang w:eastAsia="en-US"/>
        </w:rPr>
        <w:t>Баглик</w:t>
      </w:r>
      <w:proofErr w:type="spellEnd"/>
      <w:r w:rsidRPr="00520861">
        <w:rPr>
          <w:rFonts w:eastAsiaTheme="minorHAnsi"/>
          <w:sz w:val="28"/>
          <w:szCs w:val="28"/>
          <w:lang w:eastAsia="en-US"/>
        </w:rPr>
        <w:t xml:space="preserve"> ТВ, </w:t>
      </w:r>
      <w:proofErr w:type="spellStart"/>
      <w:r w:rsidRPr="00520861">
        <w:rPr>
          <w:rFonts w:eastAsiaTheme="minorHAnsi"/>
          <w:sz w:val="28"/>
          <w:szCs w:val="28"/>
          <w:lang w:eastAsia="en-US"/>
        </w:rPr>
        <w:t>Стеблянко</w:t>
      </w:r>
      <w:proofErr w:type="spellEnd"/>
      <w:r w:rsidRPr="00520861">
        <w:rPr>
          <w:rFonts w:eastAsiaTheme="minorHAnsi"/>
          <w:sz w:val="28"/>
          <w:szCs w:val="28"/>
          <w:lang w:eastAsia="en-US"/>
        </w:rPr>
        <w:t xml:space="preserve"> ЛВ, Соловей ВА. Залежність частоти </w:t>
      </w:r>
      <w:proofErr w:type="spellStart"/>
      <w:r w:rsidRPr="00520861">
        <w:rPr>
          <w:rFonts w:eastAsiaTheme="minorHAnsi"/>
          <w:sz w:val="28"/>
          <w:szCs w:val="28"/>
          <w:lang w:eastAsia="en-US"/>
        </w:rPr>
        <w:t>захворюванності</w:t>
      </w:r>
      <w:proofErr w:type="spellEnd"/>
      <w:r w:rsidRPr="00520861">
        <w:rPr>
          <w:rFonts w:eastAsiaTheme="minorHAnsi"/>
          <w:sz w:val="28"/>
          <w:szCs w:val="28"/>
          <w:lang w:eastAsia="en-US"/>
        </w:rPr>
        <w:t xml:space="preserve"> на хронічний катаральний гінгівіт у дітей, </w:t>
      </w:r>
      <w:proofErr w:type="spellStart"/>
      <w:r w:rsidRPr="00520861">
        <w:rPr>
          <w:rFonts w:eastAsiaTheme="minorHAnsi"/>
          <w:sz w:val="28"/>
          <w:szCs w:val="28"/>
          <w:lang w:val="ru-RU" w:eastAsia="en-US"/>
        </w:rPr>
        <w:t>які</w:t>
      </w:r>
      <w:proofErr w:type="spellEnd"/>
      <w:r w:rsidRPr="00520861">
        <w:rPr>
          <w:rFonts w:eastAsiaTheme="minorHAnsi"/>
          <w:sz w:val="28"/>
          <w:szCs w:val="28"/>
          <w:lang w:val="ru-RU" w:eastAsia="en-US"/>
        </w:rPr>
        <w:t xml:space="preserve"> народились </w:t>
      </w:r>
      <w:proofErr w:type="spellStart"/>
      <w:r w:rsidRPr="00520861">
        <w:rPr>
          <w:rFonts w:eastAsiaTheme="minorHAnsi"/>
          <w:sz w:val="28"/>
          <w:szCs w:val="28"/>
          <w:lang w:val="ru-RU" w:eastAsia="en-US"/>
        </w:rPr>
        <w:t>макросомами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від</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їх</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антропометричних</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показників</w:t>
      </w:r>
      <w:proofErr w:type="spellEnd"/>
      <w:r w:rsidRPr="00520861">
        <w:rPr>
          <w:rFonts w:eastAsiaTheme="minorHAnsi"/>
          <w:sz w:val="28"/>
          <w:szCs w:val="28"/>
          <w:lang w:val="ru-RU" w:eastAsia="en-US"/>
        </w:rPr>
        <w:t xml:space="preserve"> при </w:t>
      </w:r>
      <w:proofErr w:type="spellStart"/>
      <w:r w:rsidRPr="00520861">
        <w:rPr>
          <w:rFonts w:eastAsiaTheme="minorHAnsi"/>
          <w:sz w:val="28"/>
          <w:szCs w:val="28"/>
          <w:lang w:val="ru-RU" w:eastAsia="en-US"/>
        </w:rPr>
        <w:t>народженні</w:t>
      </w:r>
      <w:proofErr w:type="spellEnd"/>
      <w:r w:rsidRPr="00520861">
        <w:rPr>
          <w:rFonts w:eastAsiaTheme="minorHAnsi"/>
          <w:sz w:val="28"/>
          <w:szCs w:val="28"/>
          <w:lang w:val="ru-RU" w:eastAsia="en-US"/>
        </w:rPr>
        <w:t xml:space="preserve">. </w:t>
      </w:r>
      <w:r w:rsidRPr="00520861">
        <w:rPr>
          <w:rFonts w:eastAsiaTheme="minorHAnsi"/>
          <w:sz w:val="28"/>
          <w:szCs w:val="28"/>
          <w:lang w:val="en-US" w:eastAsia="en-US"/>
        </w:rPr>
        <w:t>In</w:t>
      </w:r>
      <w:r w:rsidRPr="00520861">
        <w:rPr>
          <w:rFonts w:eastAsiaTheme="minorHAnsi"/>
          <w:sz w:val="28"/>
          <w:szCs w:val="28"/>
          <w:lang w:val="ru-RU" w:eastAsia="en-US"/>
        </w:rPr>
        <w:t xml:space="preserve">: </w:t>
      </w:r>
      <w:proofErr w:type="spellStart"/>
      <w:r w:rsidRPr="00520861">
        <w:rPr>
          <w:rFonts w:eastAsiaTheme="minorHAnsi"/>
          <w:i/>
          <w:sz w:val="28"/>
          <w:szCs w:val="28"/>
          <w:lang w:val="ru-RU" w:eastAsia="en-US"/>
        </w:rPr>
        <w:t>Теоретичні</w:t>
      </w:r>
      <w:proofErr w:type="spellEnd"/>
      <w:r w:rsidRPr="00520861">
        <w:rPr>
          <w:rFonts w:eastAsiaTheme="minorHAnsi"/>
          <w:i/>
          <w:sz w:val="28"/>
          <w:szCs w:val="28"/>
          <w:lang w:val="ru-RU" w:eastAsia="en-US"/>
        </w:rPr>
        <w:t xml:space="preserve"> та </w:t>
      </w:r>
      <w:proofErr w:type="spellStart"/>
      <w:r w:rsidRPr="00520861">
        <w:rPr>
          <w:rFonts w:eastAsiaTheme="minorHAnsi"/>
          <w:i/>
          <w:sz w:val="28"/>
          <w:szCs w:val="28"/>
          <w:lang w:val="ru-RU" w:eastAsia="en-US"/>
        </w:rPr>
        <w:t>практичні</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аспекти</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розвитку</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сучасної</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медицини</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збірник</w:t>
      </w:r>
      <w:proofErr w:type="spellEnd"/>
      <w:r w:rsidRPr="00520861">
        <w:rPr>
          <w:rFonts w:eastAsiaTheme="minorHAnsi"/>
          <w:i/>
          <w:sz w:val="28"/>
          <w:szCs w:val="28"/>
          <w:lang w:val="ru-RU" w:eastAsia="en-US"/>
        </w:rPr>
        <w:t xml:space="preserve"> тез </w:t>
      </w:r>
      <w:proofErr w:type="spellStart"/>
      <w:r w:rsidRPr="00520861">
        <w:rPr>
          <w:rFonts w:eastAsiaTheme="minorHAnsi"/>
          <w:i/>
          <w:sz w:val="28"/>
          <w:szCs w:val="28"/>
          <w:lang w:val="ru-RU" w:eastAsia="en-US"/>
        </w:rPr>
        <w:t>наукових</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робіт</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учасників</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міжнародної</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науково-практичної</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конференції</w:t>
      </w:r>
      <w:proofErr w:type="spellEnd"/>
      <w:r w:rsidRPr="00520861">
        <w:rPr>
          <w:rFonts w:eastAsiaTheme="minorHAnsi"/>
          <w:i/>
          <w:sz w:val="28"/>
          <w:szCs w:val="28"/>
          <w:lang w:val="ru-RU" w:eastAsia="en-US"/>
        </w:rPr>
        <w:t xml:space="preserve"> 26–27 червня 2020 р.</w:t>
      </w:r>
      <w:r w:rsidRPr="00520861">
        <w:rPr>
          <w:rFonts w:eastAsiaTheme="minorHAnsi"/>
          <w:i/>
          <w:sz w:val="28"/>
          <w:szCs w:val="28"/>
          <w:lang w:eastAsia="en-US"/>
        </w:rPr>
        <w:t>,</w:t>
      </w:r>
      <w:r w:rsidRPr="00520861">
        <w:rPr>
          <w:rFonts w:eastAsiaTheme="minorHAnsi"/>
          <w:sz w:val="28"/>
          <w:szCs w:val="28"/>
          <w:lang w:val="ru-RU" w:eastAsia="en-US"/>
        </w:rPr>
        <w:t xml:space="preserve"> </w:t>
      </w:r>
      <w:proofErr w:type="spellStart"/>
      <w:r w:rsidRPr="00520861">
        <w:rPr>
          <w:rFonts w:eastAsiaTheme="minorHAnsi"/>
          <w:i/>
          <w:sz w:val="28"/>
          <w:szCs w:val="28"/>
          <w:lang w:val="ru-RU" w:eastAsia="en-US"/>
        </w:rPr>
        <w:t>Львів</w:t>
      </w:r>
      <w:proofErr w:type="spellEnd"/>
      <w:r w:rsidRPr="00520861">
        <w:rPr>
          <w:rFonts w:eastAsiaTheme="minorHAnsi"/>
          <w:i/>
          <w:sz w:val="28"/>
          <w:szCs w:val="28"/>
          <w:lang w:eastAsia="en-US"/>
        </w:rPr>
        <w:t>.</w:t>
      </w:r>
      <w:r w:rsidRPr="00520861">
        <w:rPr>
          <w:rFonts w:eastAsiaTheme="minorHAnsi"/>
          <w:i/>
          <w:sz w:val="28"/>
          <w:szCs w:val="28"/>
          <w:lang w:val="ru-RU" w:eastAsia="en-US"/>
        </w:rPr>
        <w:t xml:space="preserve"> </w:t>
      </w:r>
      <w:proofErr w:type="spellStart"/>
      <w:r w:rsidRPr="00520861">
        <w:rPr>
          <w:rFonts w:eastAsiaTheme="minorHAnsi"/>
          <w:sz w:val="28"/>
          <w:szCs w:val="28"/>
          <w:lang w:val="ru-RU" w:eastAsia="en-US"/>
        </w:rPr>
        <w:t>Львів</w:t>
      </w:r>
      <w:proofErr w:type="spellEnd"/>
      <w:r w:rsidRPr="00520861">
        <w:rPr>
          <w:rFonts w:eastAsiaTheme="minorHAnsi"/>
          <w:sz w:val="28"/>
          <w:szCs w:val="28"/>
          <w:lang w:val="ru-RU" w:eastAsia="en-US"/>
        </w:rPr>
        <w:t>: ГО «</w:t>
      </w:r>
      <w:proofErr w:type="spellStart"/>
      <w:r w:rsidRPr="00520861">
        <w:rPr>
          <w:rFonts w:eastAsiaTheme="minorHAnsi"/>
          <w:sz w:val="28"/>
          <w:szCs w:val="28"/>
          <w:lang w:val="ru-RU" w:eastAsia="en-US"/>
        </w:rPr>
        <w:t>Львівська</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медична</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спільнота</w:t>
      </w:r>
      <w:proofErr w:type="spellEnd"/>
      <w:r w:rsidRPr="00520861">
        <w:rPr>
          <w:rFonts w:eastAsiaTheme="minorHAnsi"/>
          <w:sz w:val="28"/>
          <w:szCs w:val="28"/>
          <w:lang w:val="ru-RU" w:eastAsia="en-US"/>
        </w:rPr>
        <w:t xml:space="preserve">»; 2020. </w:t>
      </w:r>
      <w:r w:rsidRPr="00520861">
        <w:rPr>
          <w:rFonts w:eastAsiaTheme="minorHAnsi"/>
          <w:sz w:val="28"/>
          <w:szCs w:val="28"/>
          <w:lang w:eastAsia="en-US"/>
        </w:rPr>
        <w:t>с</w:t>
      </w:r>
      <w:r w:rsidRPr="00520861">
        <w:rPr>
          <w:rFonts w:eastAsiaTheme="minorHAnsi"/>
          <w:sz w:val="28"/>
          <w:szCs w:val="28"/>
          <w:lang w:val="ru-RU" w:eastAsia="en-US"/>
        </w:rPr>
        <w:t>. 6–7.</w:t>
      </w:r>
    </w:p>
    <w:p w14:paraId="143162F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w:t>
      </w:r>
      <w:proofErr w:type="spellStart"/>
      <w:r w:rsidRPr="00520861">
        <w:rPr>
          <w:rFonts w:eastAsiaTheme="minorHAnsi"/>
          <w:sz w:val="28"/>
          <w:szCs w:val="28"/>
          <w:lang w:eastAsia="en-US"/>
        </w:rPr>
        <w:t>Білозоров</w:t>
      </w:r>
      <w:proofErr w:type="spellEnd"/>
      <w:r w:rsidRPr="00520861">
        <w:rPr>
          <w:rFonts w:eastAsiaTheme="minorHAnsi"/>
          <w:sz w:val="28"/>
          <w:szCs w:val="28"/>
          <w:lang w:eastAsia="en-US"/>
        </w:rPr>
        <w:t xml:space="preserve"> ОП. Дослідження </w:t>
      </w:r>
      <w:proofErr w:type="spellStart"/>
      <w:r w:rsidRPr="00520861">
        <w:rPr>
          <w:rFonts w:eastAsiaTheme="minorHAnsi"/>
          <w:sz w:val="28"/>
          <w:szCs w:val="28"/>
          <w:lang w:eastAsia="en-US"/>
        </w:rPr>
        <w:t>можливоі</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асоціаціі</w:t>
      </w:r>
      <w:proofErr w:type="spellEnd"/>
      <w:r w:rsidRPr="00520861">
        <w:rPr>
          <w:rFonts w:eastAsiaTheme="minorHAnsi"/>
          <w:sz w:val="28"/>
          <w:szCs w:val="28"/>
          <w:lang w:eastAsia="en-US"/>
        </w:rPr>
        <w:t xml:space="preserve">̈ між поліморфізмом </w:t>
      </w:r>
      <w:r w:rsidRPr="00520861">
        <w:rPr>
          <w:rFonts w:eastAsiaTheme="minorHAnsi"/>
          <w:sz w:val="28"/>
          <w:szCs w:val="28"/>
          <w:lang w:val="en-US" w:eastAsia="en-US"/>
        </w:rPr>
        <w:t>BMP</w:t>
      </w:r>
      <w:r w:rsidRPr="00520861">
        <w:rPr>
          <w:rFonts w:eastAsiaTheme="minorHAnsi"/>
          <w:sz w:val="28"/>
          <w:szCs w:val="28"/>
          <w:lang w:eastAsia="en-US"/>
        </w:rPr>
        <w:t>-7 [</w:t>
      </w:r>
      <w:proofErr w:type="spellStart"/>
      <w:r w:rsidRPr="00520861">
        <w:rPr>
          <w:rFonts w:eastAsiaTheme="minorHAnsi"/>
          <w:sz w:val="28"/>
          <w:szCs w:val="28"/>
          <w:lang w:val="en-US" w:eastAsia="en-US"/>
        </w:rPr>
        <w:t>rs</w:t>
      </w:r>
      <w:proofErr w:type="spellEnd"/>
      <w:r w:rsidRPr="00520861">
        <w:rPr>
          <w:rFonts w:eastAsiaTheme="minorHAnsi"/>
          <w:sz w:val="28"/>
          <w:szCs w:val="28"/>
          <w:lang w:eastAsia="en-US"/>
        </w:rPr>
        <w:t xml:space="preserve">72626594] та карієсом </w:t>
      </w:r>
      <w:proofErr w:type="spellStart"/>
      <w:r w:rsidRPr="00520861">
        <w:rPr>
          <w:rFonts w:eastAsiaTheme="minorHAnsi"/>
          <w:sz w:val="28"/>
          <w:szCs w:val="28"/>
          <w:lang w:eastAsia="en-US"/>
        </w:rPr>
        <w:t>постійних</w:t>
      </w:r>
      <w:proofErr w:type="spellEnd"/>
      <w:r w:rsidRPr="00520861">
        <w:rPr>
          <w:rFonts w:eastAsiaTheme="minorHAnsi"/>
          <w:sz w:val="28"/>
          <w:szCs w:val="28"/>
          <w:lang w:eastAsia="en-US"/>
        </w:rPr>
        <w:t xml:space="preserve"> зубів в </w:t>
      </w:r>
      <w:proofErr w:type="spellStart"/>
      <w:r w:rsidRPr="00520861">
        <w:rPr>
          <w:rFonts w:eastAsiaTheme="minorHAnsi"/>
          <w:sz w:val="28"/>
          <w:szCs w:val="28"/>
          <w:lang w:eastAsia="en-US"/>
        </w:rPr>
        <w:t>популяціі</w:t>
      </w:r>
      <w:proofErr w:type="spellEnd"/>
      <w:r w:rsidRPr="00520861">
        <w:rPr>
          <w:rFonts w:eastAsiaTheme="minorHAnsi"/>
          <w:sz w:val="28"/>
          <w:szCs w:val="28"/>
          <w:lang w:eastAsia="en-US"/>
        </w:rPr>
        <w:t xml:space="preserve">̈ осіб, народжених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Харківськоі</w:t>
      </w:r>
      <w:proofErr w:type="spellEnd"/>
      <w:r w:rsidRPr="00520861">
        <w:rPr>
          <w:rFonts w:eastAsiaTheme="minorHAnsi"/>
          <w:sz w:val="28"/>
          <w:szCs w:val="28"/>
          <w:lang w:eastAsia="en-US"/>
        </w:rPr>
        <w:t xml:space="preserve">̈ області та прилеглих </w:t>
      </w:r>
      <w:proofErr w:type="spellStart"/>
      <w:r w:rsidRPr="00520861">
        <w:rPr>
          <w:rFonts w:eastAsiaTheme="minorHAnsi"/>
          <w:sz w:val="28"/>
          <w:szCs w:val="28"/>
          <w:lang w:eastAsia="en-US"/>
        </w:rPr>
        <w:t>областеи</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In</w:t>
      </w:r>
      <w:r w:rsidRPr="00520861">
        <w:rPr>
          <w:rFonts w:eastAsiaTheme="minorHAnsi"/>
          <w:sz w:val="28"/>
          <w:szCs w:val="28"/>
          <w:lang w:eastAsia="en-US"/>
        </w:rPr>
        <w:t>: Рябоконь ЄМ. (</w:t>
      </w:r>
      <w:r w:rsidRPr="00520861">
        <w:rPr>
          <w:rFonts w:eastAsiaTheme="minorHAnsi"/>
          <w:sz w:val="28"/>
          <w:szCs w:val="28"/>
          <w:lang w:val="en-US" w:eastAsia="en-US"/>
        </w:rPr>
        <w:t>ed</w:t>
      </w:r>
      <w:r w:rsidRPr="00520861">
        <w:rPr>
          <w:rFonts w:eastAsiaTheme="minorHAnsi"/>
          <w:sz w:val="28"/>
          <w:szCs w:val="28"/>
          <w:lang w:eastAsia="en-US"/>
        </w:rPr>
        <w:t xml:space="preserve">.) </w:t>
      </w:r>
      <w:r w:rsidRPr="00520861">
        <w:rPr>
          <w:rFonts w:eastAsiaTheme="minorHAnsi"/>
          <w:i/>
          <w:sz w:val="28"/>
          <w:szCs w:val="28"/>
          <w:lang w:eastAsia="en-US"/>
        </w:rPr>
        <w:t xml:space="preserve">Питання експериментальної та клінічної стоматології: </w:t>
      </w:r>
      <w:proofErr w:type="spellStart"/>
      <w:r w:rsidRPr="00520861">
        <w:rPr>
          <w:rFonts w:eastAsiaTheme="minorHAnsi"/>
          <w:i/>
          <w:sz w:val="28"/>
          <w:szCs w:val="28"/>
          <w:lang w:eastAsia="en-US"/>
        </w:rPr>
        <w:t>зб</w:t>
      </w:r>
      <w:proofErr w:type="spellEnd"/>
      <w:r w:rsidRPr="00520861">
        <w:rPr>
          <w:rFonts w:eastAsiaTheme="minorHAnsi"/>
          <w:i/>
          <w:sz w:val="28"/>
          <w:szCs w:val="28"/>
          <w:lang w:eastAsia="en-US"/>
        </w:rPr>
        <w:t>. наук. праць</w:t>
      </w:r>
      <w:r w:rsidRPr="00520861">
        <w:rPr>
          <w:rFonts w:eastAsiaTheme="minorHAnsi"/>
          <w:sz w:val="28"/>
          <w:szCs w:val="28"/>
          <w:lang w:eastAsia="en-US"/>
        </w:rPr>
        <w:t xml:space="preserve">. </w:t>
      </w:r>
      <w:r w:rsidRPr="00520861">
        <w:rPr>
          <w:rFonts w:eastAsiaTheme="minorHAnsi"/>
          <w:i/>
          <w:sz w:val="28"/>
          <w:szCs w:val="28"/>
          <w:lang w:eastAsia="en-US"/>
        </w:rPr>
        <w:t>– Вип.14</w:t>
      </w:r>
      <w:r w:rsidRPr="00520861">
        <w:rPr>
          <w:rFonts w:eastAsiaTheme="minorHAnsi"/>
          <w:sz w:val="28"/>
          <w:szCs w:val="28"/>
          <w:lang w:eastAsia="en-US"/>
        </w:rPr>
        <w:t xml:space="preserve">. Харків: ФОП </w:t>
      </w:r>
      <w:proofErr w:type="spellStart"/>
      <w:r w:rsidRPr="00520861">
        <w:rPr>
          <w:rFonts w:eastAsiaTheme="minorHAnsi"/>
          <w:sz w:val="28"/>
          <w:szCs w:val="28"/>
          <w:lang w:eastAsia="en-US"/>
        </w:rPr>
        <w:t>Бровін</w:t>
      </w:r>
      <w:proofErr w:type="spellEnd"/>
      <w:r w:rsidRPr="00520861">
        <w:rPr>
          <w:rFonts w:eastAsiaTheme="minorHAnsi"/>
          <w:sz w:val="28"/>
          <w:szCs w:val="28"/>
          <w:lang w:eastAsia="en-US"/>
        </w:rPr>
        <w:t xml:space="preserve"> О.В.; 2019. с. 31–35.</w:t>
      </w:r>
    </w:p>
    <w:p w14:paraId="45AE47C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lastRenderedPageBreak/>
        <w:t>Гармаш ОВ, Губіна-</w:t>
      </w:r>
      <w:proofErr w:type="spellStart"/>
      <w:r w:rsidRPr="00520861">
        <w:rPr>
          <w:rFonts w:eastAsiaTheme="minorHAnsi"/>
          <w:sz w:val="28"/>
          <w:szCs w:val="28"/>
          <w:lang w:eastAsia="en-US"/>
        </w:rPr>
        <w:t>Вакулік</w:t>
      </w:r>
      <w:proofErr w:type="spellEnd"/>
      <w:r w:rsidRPr="00520861">
        <w:rPr>
          <w:rFonts w:eastAsiaTheme="minorHAnsi"/>
          <w:sz w:val="28"/>
          <w:szCs w:val="28"/>
          <w:lang w:eastAsia="en-US"/>
        </w:rPr>
        <w:t xml:space="preserve"> ГІ. Морфологічні зміни в слизовій оболонці щурів при модельованій </w:t>
      </w:r>
      <w:proofErr w:type="spellStart"/>
      <w:r w:rsidRPr="00520861">
        <w:rPr>
          <w:rFonts w:eastAsiaTheme="minorHAnsi"/>
          <w:sz w:val="28"/>
          <w:szCs w:val="28"/>
          <w:lang w:eastAsia="en-US"/>
        </w:rPr>
        <w:t>макросомії</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r w:rsidRPr="00520861">
        <w:rPr>
          <w:rFonts w:eastAsiaTheme="minorHAnsi"/>
          <w:i/>
          <w:sz w:val="28"/>
          <w:szCs w:val="28"/>
          <w:lang w:eastAsia="en-US"/>
        </w:rPr>
        <w:t>Збірник тез наукових робіт учасників міжнародної науково-практичної конференції «Світова медицина: сучасні тенденції та фактори розвитку» 27 – 28 січня 2017 р., Львів</w:t>
      </w:r>
      <w:r w:rsidRPr="00520861">
        <w:rPr>
          <w:rFonts w:eastAsiaTheme="minorHAnsi"/>
          <w:sz w:val="28"/>
          <w:szCs w:val="28"/>
          <w:lang w:eastAsia="en-US"/>
        </w:rPr>
        <w:t>. Львів: ГО «Львівська медична спільнота»; 2017. с. 79–83.</w:t>
      </w:r>
    </w:p>
    <w:p w14:paraId="4A04003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Гармаш ОВ, Губіна-</w:t>
      </w:r>
      <w:proofErr w:type="spellStart"/>
      <w:r w:rsidRPr="00520861">
        <w:rPr>
          <w:rFonts w:eastAsiaTheme="minorHAnsi"/>
          <w:sz w:val="28"/>
          <w:szCs w:val="28"/>
          <w:lang w:eastAsia="en-US"/>
        </w:rPr>
        <w:t>Вакулік</w:t>
      </w:r>
      <w:proofErr w:type="spellEnd"/>
      <w:r w:rsidRPr="00520861">
        <w:rPr>
          <w:rFonts w:eastAsiaTheme="minorHAnsi"/>
          <w:sz w:val="28"/>
          <w:szCs w:val="28"/>
          <w:lang w:eastAsia="en-US"/>
        </w:rPr>
        <w:t xml:space="preserve"> ГІ. </w:t>
      </w:r>
      <w:proofErr w:type="spellStart"/>
      <w:r w:rsidRPr="00520861">
        <w:rPr>
          <w:rFonts w:eastAsiaTheme="minorHAnsi"/>
          <w:sz w:val="28"/>
          <w:szCs w:val="28"/>
          <w:lang w:eastAsia="en-US"/>
        </w:rPr>
        <w:t>Морфофункціональний</w:t>
      </w:r>
      <w:proofErr w:type="spellEnd"/>
      <w:r w:rsidRPr="00520861">
        <w:rPr>
          <w:rFonts w:eastAsiaTheme="minorHAnsi"/>
          <w:sz w:val="28"/>
          <w:szCs w:val="28"/>
          <w:lang w:eastAsia="en-US"/>
        </w:rPr>
        <w:t xml:space="preserve"> стан привушних слинних залоз тримісячних щурів при експериментально модельованій внутрішньоутробній </w:t>
      </w:r>
      <w:proofErr w:type="spellStart"/>
      <w:r w:rsidRPr="00520861">
        <w:rPr>
          <w:rFonts w:eastAsiaTheme="minorHAnsi"/>
          <w:sz w:val="28"/>
          <w:szCs w:val="28"/>
          <w:lang w:eastAsia="en-US"/>
        </w:rPr>
        <w:t>макросомії</w:t>
      </w:r>
      <w:proofErr w:type="spellEnd"/>
      <w:r w:rsidRPr="00520861">
        <w:rPr>
          <w:rFonts w:eastAsiaTheme="minorHAnsi"/>
          <w:sz w:val="28"/>
          <w:szCs w:val="28"/>
          <w:lang w:eastAsia="en-US"/>
        </w:rPr>
        <w:t xml:space="preserve">. </w:t>
      </w:r>
      <w:r w:rsidRPr="00520861">
        <w:rPr>
          <w:rFonts w:eastAsiaTheme="minorHAnsi"/>
          <w:i/>
          <w:sz w:val="28"/>
          <w:szCs w:val="28"/>
          <w:lang w:eastAsia="en-US"/>
        </w:rPr>
        <w:t>Патологія</w:t>
      </w:r>
      <w:r w:rsidRPr="00520861">
        <w:rPr>
          <w:rFonts w:eastAsiaTheme="minorHAnsi"/>
          <w:sz w:val="28"/>
          <w:szCs w:val="28"/>
          <w:lang w:eastAsia="en-US"/>
        </w:rPr>
        <w:t>. 2018;15(1): 81–87.</w:t>
      </w:r>
    </w:p>
    <w:p w14:paraId="1689524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Гармаш ОВ, Губіна-</w:t>
      </w:r>
      <w:proofErr w:type="spellStart"/>
      <w:r w:rsidRPr="00520861">
        <w:rPr>
          <w:rFonts w:eastAsiaTheme="minorHAnsi"/>
          <w:sz w:val="28"/>
          <w:szCs w:val="28"/>
          <w:lang w:eastAsia="en-US"/>
        </w:rPr>
        <w:t>Вакулік</w:t>
      </w:r>
      <w:proofErr w:type="spellEnd"/>
      <w:r w:rsidRPr="00520861">
        <w:rPr>
          <w:rFonts w:eastAsiaTheme="minorHAnsi"/>
          <w:sz w:val="28"/>
          <w:szCs w:val="28"/>
          <w:lang w:eastAsia="en-US"/>
        </w:rPr>
        <w:t xml:space="preserve"> ГІ. Стан пульпи, твердих тканин зубів та тканин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у дванадцяти- та </w:t>
      </w:r>
      <w:proofErr w:type="spellStart"/>
      <w:r w:rsidRPr="00520861">
        <w:rPr>
          <w:rFonts w:eastAsiaTheme="minorHAnsi"/>
          <w:sz w:val="28"/>
          <w:szCs w:val="28"/>
          <w:lang w:eastAsia="en-US"/>
        </w:rPr>
        <w:t>вісімнадцятимісячних</w:t>
      </w:r>
      <w:proofErr w:type="spellEnd"/>
      <w:r w:rsidRPr="00520861">
        <w:rPr>
          <w:rFonts w:eastAsiaTheme="minorHAnsi"/>
          <w:sz w:val="28"/>
          <w:szCs w:val="28"/>
          <w:lang w:eastAsia="en-US"/>
        </w:rPr>
        <w:t xml:space="preserve"> щурів, які народились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w:t>
      </w:r>
      <w:r w:rsidRPr="00520861">
        <w:rPr>
          <w:rFonts w:eastAsiaTheme="minorHAnsi"/>
          <w:i/>
          <w:sz w:val="28"/>
          <w:szCs w:val="28"/>
          <w:lang w:eastAsia="en-US"/>
        </w:rPr>
        <w:t>Український журнал медицини, біології та спорту</w:t>
      </w:r>
      <w:r w:rsidRPr="00520861">
        <w:rPr>
          <w:rFonts w:eastAsiaTheme="minorHAnsi"/>
          <w:sz w:val="28"/>
          <w:szCs w:val="28"/>
          <w:lang w:eastAsia="en-US"/>
        </w:rPr>
        <w:t>. 2020;5(3): 107–121.</w:t>
      </w:r>
    </w:p>
    <w:p w14:paraId="2D25C01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ru-RU" w:eastAsia="en-US"/>
        </w:rPr>
        <w:t xml:space="preserve">Гармаш ОВ, </w:t>
      </w:r>
      <w:proofErr w:type="spellStart"/>
      <w:r w:rsidRPr="00520861">
        <w:rPr>
          <w:rFonts w:eastAsiaTheme="minorHAnsi"/>
          <w:sz w:val="28"/>
          <w:szCs w:val="28"/>
          <w:lang w:val="ru-RU" w:eastAsia="en-US"/>
        </w:rPr>
        <w:t>Губіна</w:t>
      </w:r>
      <w:proofErr w:type="spellEnd"/>
      <w:r w:rsidRPr="00520861">
        <w:rPr>
          <w:rFonts w:eastAsiaTheme="minorHAnsi"/>
          <w:sz w:val="28"/>
          <w:szCs w:val="28"/>
          <w:lang w:val="ru-RU" w:eastAsia="en-US"/>
        </w:rPr>
        <w:t>-Вакул</w:t>
      </w:r>
      <w:r w:rsidRPr="00520861">
        <w:rPr>
          <w:rFonts w:eastAsiaTheme="minorHAnsi"/>
          <w:sz w:val="28"/>
          <w:szCs w:val="28"/>
          <w:lang w:eastAsia="en-US"/>
        </w:rPr>
        <w:t>і</w:t>
      </w:r>
      <w:r w:rsidRPr="00520861">
        <w:rPr>
          <w:rFonts w:eastAsiaTheme="minorHAnsi"/>
          <w:sz w:val="28"/>
          <w:szCs w:val="28"/>
          <w:lang w:val="ru-RU" w:eastAsia="en-US"/>
        </w:rPr>
        <w:t xml:space="preserve">к ГІ. Стан </w:t>
      </w:r>
      <w:proofErr w:type="spellStart"/>
      <w:r w:rsidRPr="00520861">
        <w:rPr>
          <w:rFonts w:eastAsiaTheme="minorHAnsi"/>
          <w:sz w:val="28"/>
          <w:szCs w:val="28"/>
          <w:lang w:val="ru-RU" w:eastAsia="en-US"/>
        </w:rPr>
        <w:t>пульпи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твердих</w:t>
      </w:r>
      <w:proofErr w:type="spellEnd"/>
      <w:r w:rsidRPr="00520861">
        <w:rPr>
          <w:rFonts w:eastAsiaTheme="minorHAnsi"/>
          <w:sz w:val="28"/>
          <w:szCs w:val="28"/>
          <w:lang w:val="ru-RU" w:eastAsia="en-US"/>
        </w:rPr>
        <w:t xml:space="preserve"> тканин </w:t>
      </w:r>
      <w:proofErr w:type="spellStart"/>
      <w:r w:rsidRPr="00520861">
        <w:rPr>
          <w:rFonts w:eastAsiaTheme="minorHAnsi"/>
          <w:sz w:val="28"/>
          <w:szCs w:val="28"/>
          <w:lang w:val="ru-RU" w:eastAsia="en-US"/>
        </w:rPr>
        <w:t>зубів</w:t>
      </w:r>
      <w:proofErr w:type="spellEnd"/>
      <w:r w:rsidRPr="00520861">
        <w:rPr>
          <w:rFonts w:eastAsiaTheme="minorHAnsi"/>
          <w:sz w:val="28"/>
          <w:szCs w:val="28"/>
          <w:lang w:val="ru-RU" w:eastAsia="en-US"/>
        </w:rPr>
        <w:t xml:space="preserve"> та тканин пародонта у </w:t>
      </w:r>
      <w:proofErr w:type="spellStart"/>
      <w:r w:rsidRPr="00520861">
        <w:rPr>
          <w:rFonts w:eastAsiaTheme="minorHAnsi"/>
          <w:sz w:val="28"/>
          <w:szCs w:val="28"/>
          <w:lang w:val="ru-RU" w:eastAsia="en-US"/>
        </w:rPr>
        <w:t>трьох</w:t>
      </w:r>
      <w:proofErr w:type="spellEnd"/>
      <w:r w:rsidRPr="00520861">
        <w:rPr>
          <w:rFonts w:eastAsiaTheme="minorHAnsi"/>
          <w:sz w:val="28"/>
          <w:szCs w:val="28"/>
          <w:lang w:val="ru-RU" w:eastAsia="en-US"/>
        </w:rPr>
        <w:t xml:space="preserve">- та </w:t>
      </w:r>
      <w:proofErr w:type="spellStart"/>
      <w:r w:rsidRPr="00520861">
        <w:rPr>
          <w:rFonts w:eastAsiaTheme="minorHAnsi"/>
          <w:sz w:val="28"/>
          <w:szCs w:val="28"/>
          <w:lang w:val="ru-RU" w:eastAsia="en-US"/>
        </w:rPr>
        <w:t>шестимісячних</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щурів</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які</w:t>
      </w:r>
      <w:proofErr w:type="spellEnd"/>
      <w:r w:rsidRPr="00520861">
        <w:rPr>
          <w:rFonts w:eastAsiaTheme="minorHAnsi"/>
          <w:sz w:val="28"/>
          <w:szCs w:val="28"/>
          <w:lang w:val="ru-RU" w:eastAsia="en-US"/>
        </w:rPr>
        <w:t xml:space="preserve"> народились </w:t>
      </w:r>
      <w:proofErr w:type="spellStart"/>
      <w:r w:rsidRPr="00520861">
        <w:rPr>
          <w:rFonts w:eastAsiaTheme="minorHAnsi"/>
          <w:sz w:val="28"/>
          <w:szCs w:val="28"/>
          <w:lang w:val="ru-RU" w:eastAsia="en-US"/>
        </w:rPr>
        <w:t>із</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макросомією</w:t>
      </w:r>
      <w:proofErr w:type="spellEnd"/>
      <w:r w:rsidRPr="00520861">
        <w:rPr>
          <w:rFonts w:eastAsiaTheme="minorHAnsi"/>
          <w:sz w:val="28"/>
          <w:szCs w:val="28"/>
          <w:lang w:val="ru-RU" w:eastAsia="en-US"/>
        </w:rPr>
        <w:t xml:space="preserve">. </w:t>
      </w:r>
      <w:proofErr w:type="spellStart"/>
      <w:r w:rsidRPr="00520861">
        <w:rPr>
          <w:rFonts w:eastAsiaTheme="minorHAnsi"/>
          <w:i/>
          <w:sz w:val="28"/>
          <w:szCs w:val="28"/>
          <w:lang w:val="ru-RU" w:eastAsia="en-US"/>
        </w:rPr>
        <w:t>Вісник</w:t>
      </w:r>
      <w:proofErr w:type="spellEnd"/>
      <w:r w:rsidRPr="00520861">
        <w:rPr>
          <w:rFonts w:eastAsiaTheme="minorHAnsi"/>
          <w:i/>
          <w:sz w:val="28"/>
          <w:szCs w:val="28"/>
          <w:lang w:val="ru-RU" w:eastAsia="en-US"/>
        </w:rPr>
        <w:t xml:space="preserve"> проблем </w:t>
      </w:r>
      <w:proofErr w:type="spellStart"/>
      <w:r w:rsidRPr="00520861">
        <w:rPr>
          <w:rFonts w:eastAsiaTheme="minorHAnsi"/>
          <w:i/>
          <w:sz w:val="28"/>
          <w:szCs w:val="28"/>
          <w:lang w:val="ru-RU" w:eastAsia="en-US"/>
        </w:rPr>
        <w:t>біології</w:t>
      </w:r>
      <w:proofErr w:type="spellEnd"/>
      <w:r w:rsidRPr="00520861">
        <w:rPr>
          <w:rFonts w:eastAsiaTheme="minorHAnsi"/>
          <w:i/>
          <w:sz w:val="28"/>
          <w:szCs w:val="28"/>
          <w:lang w:val="ru-RU" w:eastAsia="en-US"/>
        </w:rPr>
        <w:t xml:space="preserve"> та </w:t>
      </w:r>
      <w:proofErr w:type="spellStart"/>
      <w:r w:rsidRPr="00520861">
        <w:rPr>
          <w:rFonts w:eastAsiaTheme="minorHAnsi"/>
          <w:i/>
          <w:sz w:val="28"/>
          <w:szCs w:val="28"/>
          <w:lang w:val="ru-RU" w:eastAsia="en-US"/>
        </w:rPr>
        <w:t>медицини</w:t>
      </w:r>
      <w:proofErr w:type="spellEnd"/>
      <w:r w:rsidRPr="00520861">
        <w:rPr>
          <w:rFonts w:eastAsiaTheme="minorHAnsi"/>
          <w:sz w:val="28"/>
          <w:szCs w:val="28"/>
          <w:lang w:val="ru-RU" w:eastAsia="en-US"/>
        </w:rPr>
        <w:t>. 2019;4(2/154): 365–372.</w:t>
      </w:r>
    </w:p>
    <w:p w14:paraId="1C46ED7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Гармаш ОВ, Губіна-</w:t>
      </w:r>
      <w:proofErr w:type="spellStart"/>
      <w:r w:rsidRPr="00520861">
        <w:rPr>
          <w:rFonts w:eastAsiaTheme="minorHAnsi"/>
          <w:sz w:val="28"/>
          <w:szCs w:val="28"/>
          <w:lang w:eastAsia="en-US"/>
        </w:rPr>
        <w:t>Вакулік</w:t>
      </w:r>
      <w:proofErr w:type="spellEnd"/>
      <w:r w:rsidRPr="00520861">
        <w:rPr>
          <w:rFonts w:eastAsiaTheme="minorHAnsi"/>
          <w:sz w:val="28"/>
          <w:szCs w:val="28"/>
          <w:lang w:eastAsia="en-US"/>
        </w:rPr>
        <w:t xml:space="preserve"> ГІ, </w:t>
      </w:r>
      <w:proofErr w:type="spellStart"/>
      <w:r w:rsidRPr="00520861">
        <w:rPr>
          <w:rFonts w:eastAsiaTheme="minorHAnsi"/>
          <w:sz w:val="28"/>
          <w:szCs w:val="28"/>
          <w:lang w:eastAsia="en-US"/>
        </w:rPr>
        <w:t>Вондрачек</w:t>
      </w:r>
      <w:proofErr w:type="spellEnd"/>
      <w:r w:rsidRPr="00520861">
        <w:rPr>
          <w:rFonts w:eastAsiaTheme="minorHAnsi"/>
          <w:sz w:val="28"/>
          <w:szCs w:val="28"/>
          <w:lang w:eastAsia="en-US"/>
        </w:rPr>
        <w:t xml:space="preserve"> Д. Використання конфокальної лазерної </w:t>
      </w:r>
      <w:proofErr w:type="spellStart"/>
      <w:r w:rsidRPr="00520861">
        <w:rPr>
          <w:rFonts w:eastAsiaTheme="minorHAnsi"/>
          <w:sz w:val="28"/>
          <w:szCs w:val="28"/>
          <w:lang w:eastAsia="en-US"/>
        </w:rPr>
        <w:t>скануючої</w:t>
      </w:r>
      <w:proofErr w:type="spellEnd"/>
      <w:r w:rsidRPr="00520861">
        <w:rPr>
          <w:rFonts w:eastAsiaTheme="minorHAnsi"/>
          <w:sz w:val="28"/>
          <w:szCs w:val="28"/>
          <w:lang w:eastAsia="en-US"/>
        </w:rPr>
        <w:t xml:space="preserve"> мікроскопії для вивчення </w:t>
      </w:r>
      <w:proofErr w:type="spellStart"/>
      <w:r w:rsidRPr="00520861">
        <w:rPr>
          <w:rFonts w:eastAsiaTheme="minorHAnsi"/>
          <w:sz w:val="28"/>
          <w:szCs w:val="28"/>
          <w:lang w:eastAsia="en-US"/>
        </w:rPr>
        <w:t>морфофункціонального</w:t>
      </w:r>
      <w:proofErr w:type="spellEnd"/>
      <w:r w:rsidRPr="00520861">
        <w:rPr>
          <w:rFonts w:eastAsiaTheme="minorHAnsi"/>
          <w:sz w:val="28"/>
          <w:szCs w:val="28"/>
          <w:lang w:eastAsia="en-US"/>
        </w:rPr>
        <w:t xml:space="preserve"> стану епітелію ротової порожнини у експериментальних тварин, які народились із </w:t>
      </w:r>
      <w:proofErr w:type="spellStart"/>
      <w:r w:rsidRPr="00520861">
        <w:rPr>
          <w:rFonts w:eastAsiaTheme="minorHAnsi"/>
          <w:sz w:val="28"/>
          <w:szCs w:val="28"/>
          <w:lang w:eastAsia="en-US"/>
        </w:rPr>
        <w:t>макросомією</w:t>
      </w:r>
      <w:proofErr w:type="spellEnd"/>
      <w:r w:rsidRPr="00520861">
        <w:rPr>
          <w:rFonts w:eastAsiaTheme="minorHAnsi"/>
          <w:sz w:val="28"/>
          <w:szCs w:val="28"/>
          <w:lang w:eastAsia="en-US"/>
        </w:rPr>
        <w:t xml:space="preserve"> з ожирінням. </w:t>
      </w:r>
      <w:r w:rsidRPr="00520861">
        <w:rPr>
          <w:rFonts w:eastAsiaTheme="minorHAnsi"/>
          <w:sz w:val="28"/>
          <w:szCs w:val="28"/>
          <w:lang w:val="en-US" w:eastAsia="en-US"/>
        </w:rPr>
        <w:t>In</w:t>
      </w:r>
      <w:r w:rsidRPr="00520861">
        <w:rPr>
          <w:rFonts w:eastAsiaTheme="minorHAnsi"/>
          <w:sz w:val="28"/>
          <w:szCs w:val="28"/>
          <w:lang w:eastAsia="en-US"/>
        </w:rPr>
        <w:t>: Гичко СГ, Михайлюк ІО. (</w:t>
      </w:r>
      <w:r w:rsidRPr="00520861">
        <w:rPr>
          <w:rFonts w:eastAsiaTheme="minorHAnsi"/>
          <w:sz w:val="28"/>
          <w:szCs w:val="28"/>
          <w:lang w:val="en-US" w:eastAsia="en-US"/>
        </w:rPr>
        <w:t>eds</w:t>
      </w:r>
      <w:r w:rsidRPr="00520861">
        <w:rPr>
          <w:rFonts w:eastAsiaTheme="minorHAnsi"/>
          <w:sz w:val="28"/>
          <w:szCs w:val="28"/>
          <w:lang w:eastAsia="en-US"/>
        </w:rPr>
        <w:t xml:space="preserve">.) </w:t>
      </w:r>
      <w:r w:rsidRPr="00520861">
        <w:rPr>
          <w:rFonts w:eastAsiaTheme="minorHAnsi"/>
          <w:i/>
          <w:sz w:val="28"/>
          <w:szCs w:val="28"/>
          <w:lang w:eastAsia="en-US"/>
        </w:rPr>
        <w:t>Матеріали Х конгресу патологів України «Перспективи розвитку сучасної патології» 27 – 28 вересня 2018 р</w:t>
      </w:r>
      <w:r w:rsidRPr="00520861">
        <w:rPr>
          <w:rFonts w:eastAsiaTheme="minorHAnsi"/>
          <w:sz w:val="28"/>
          <w:szCs w:val="28"/>
          <w:lang w:eastAsia="en-US"/>
        </w:rPr>
        <w:t xml:space="preserve">., </w:t>
      </w:r>
      <w:r w:rsidRPr="00520861">
        <w:rPr>
          <w:rFonts w:eastAsiaTheme="minorHAnsi"/>
          <w:i/>
          <w:sz w:val="28"/>
          <w:szCs w:val="28"/>
          <w:lang w:eastAsia="en-US"/>
        </w:rPr>
        <w:t xml:space="preserve">Івано-Франківськ, Яремче, </w:t>
      </w:r>
      <w:r w:rsidRPr="00520861">
        <w:rPr>
          <w:rFonts w:eastAsiaTheme="minorHAnsi"/>
          <w:sz w:val="28"/>
          <w:szCs w:val="28"/>
          <w:lang w:eastAsia="en-US"/>
        </w:rPr>
        <w:t>Івано-Франківськ: Симфонія форте; 2018. с. 43–44.</w:t>
      </w:r>
    </w:p>
    <w:p w14:paraId="681120D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Гармаш ОВ, Губіна-</w:t>
      </w:r>
      <w:proofErr w:type="spellStart"/>
      <w:r w:rsidRPr="00520861">
        <w:rPr>
          <w:rFonts w:eastAsiaTheme="minorHAnsi"/>
          <w:sz w:val="28"/>
          <w:szCs w:val="28"/>
          <w:lang w:eastAsia="en-US"/>
        </w:rPr>
        <w:t>Вакулік</w:t>
      </w:r>
      <w:proofErr w:type="spellEnd"/>
      <w:r w:rsidRPr="00520861">
        <w:rPr>
          <w:rFonts w:eastAsiaTheme="minorHAnsi"/>
          <w:sz w:val="28"/>
          <w:szCs w:val="28"/>
          <w:lang w:eastAsia="en-US"/>
        </w:rPr>
        <w:t xml:space="preserve"> ГІ, </w:t>
      </w:r>
      <w:proofErr w:type="spellStart"/>
      <w:r w:rsidRPr="00520861">
        <w:rPr>
          <w:rFonts w:eastAsiaTheme="minorHAnsi"/>
          <w:sz w:val="28"/>
          <w:szCs w:val="28"/>
          <w:lang w:eastAsia="en-US"/>
        </w:rPr>
        <w:t>Вондрачек</w:t>
      </w:r>
      <w:proofErr w:type="spellEnd"/>
      <w:r w:rsidRPr="00520861">
        <w:rPr>
          <w:rFonts w:eastAsiaTheme="minorHAnsi"/>
          <w:sz w:val="28"/>
          <w:szCs w:val="28"/>
          <w:lang w:eastAsia="en-US"/>
        </w:rPr>
        <w:t xml:space="preserve"> Д. Особливості </w:t>
      </w:r>
      <w:proofErr w:type="spellStart"/>
      <w:r w:rsidRPr="00520861">
        <w:rPr>
          <w:rFonts w:eastAsiaTheme="minorHAnsi"/>
          <w:sz w:val="28"/>
          <w:szCs w:val="28"/>
          <w:lang w:eastAsia="en-US"/>
        </w:rPr>
        <w:t>морфофункціонального</w:t>
      </w:r>
      <w:proofErr w:type="spellEnd"/>
      <w:r w:rsidRPr="00520861">
        <w:rPr>
          <w:rFonts w:eastAsiaTheme="minorHAnsi"/>
          <w:sz w:val="28"/>
          <w:szCs w:val="28"/>
          <w:lang w:eastAsia="en-US"/>
        </w:rPr>
        <w:t xml:space="preserve"> стану привушних слинних залоз шестимісячних щурів при експериментально модельованій внутрішньоутробній </w:t>
      </w:r>
      <w:proofErr w:type="spellStart"/>
      <w:r w:rsidRPr="00520861">
        <w:rPr>
          <w:rFonts w:eastAsiaTheme="minorHAnsi"/>
          <w:sz w:val="28"/>
          <w:szCs w:val="28"/>
          <w:lang w:eastAsia="en-US"/>
        </w:rPr>
        <w:t>макросомії</w:t>
      </w:r>
      <w:proofErr w:type="spellEnd"/>
      <w:r w:rsidRPr="00520861">
        <w:rPr>
          <w:rFonts w:eastAsiaTheme="minorHAnsi"/>
          <w:sz w:val="28"/>
          <w:szCs w:val="28"/>
          <w:lang w:eastAsia="en-US"/>
        </w:rPr>
        <w:t xml:space="preserve">. </w:t>
      </w:r>
      <w:r w:rsidRPr="00520861">
        <w:rPr>
          <w:rFonts w:eastAsiaTheme="minorHAnsi"/>
          <w:i/>
          <w:sz w:val="28"/>
          <w:szCs w:val="28"/>
          <w:lang w:eastAsia="en-US"/>
        </w:rPr>
        <w:t>Патологія</w:t>
      </w:r>
      <w:r w:rsidRPr="00520861">
        <w:rPr>
          <w:rFonts w:eastAsiaTheme="minorHAnsi"/>
          <w:sz w:val="28"/>
          <w:szCs w:val="28"/>
          <w:lang w:eastAsia="en-US"/>
        </w:rPr>
        <w:t xml:space="preserve">. 2019;16(1): 106–115. </w:t>
      </w:r>
      <w:r w:rsidR="00B22E6A" w:rsidRPr="00520861">
        <w:rPr>
          <w:rFonts w:eastAsiaTheme="minorHAnsi"/>
          <w:sz w:val="28"/>
          <w:szCs w:val="28"/>
          <w:lang w:eastAsia="en-US"/>
        </w:rPr>
        <w:br/>
      </w:r>
      <w:r w:rsidRPr="00520861">
        <w:rPr>
          <w:rFonts w:eastAsiaTheme="minorHAnsi"/>
          <w:sz w:val="28"/>
          <w:szCs w:val="28"/>
          <w:lang w:val="ru-RU" w:eastAsia="en-US"/>
        </w:rPr>
        <w:t>Доступно на:</w:t>
      </w:r>
      <w:r w:rsidRPr="00520861">
        <w:rPr>
          <w:rFonts w:eastAsiaTheme="minorHAnsi"/>
          <w:sz w:val="28"/>
          <w:szCs w:val="28"/>
          <w:lang w:val="en-US" w:eastAsia="en-US"/>
        </w:rPr>
        <w:t xml:space="preserve"> </w:t>
      </w:r>
      <w:r w:rsidRPr="00520861">
        <w:rPr>
          <w:rFonts w:eastAsiaTheme="minorHAnsi"/>
          <w:sz w:val="28"/>
          <w:szCs w:val="28"/>
          <w:lang w:eastAsia="en-US"/>
        </w:rPr>
        <w:t>DOI: 10.14739/2310-1237.2019.1.166469.</w:t>
      </w:r>
    </w:p>
    <w:p w14:paraId="742672F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Гармаш ОВ, Губина-Вакулик ГИ, Рябоконь ЕН. </w:t>
      </w:r>
      <w:proofErr w:type="spellStart"/>
      <w:r w:rsidRPr="00520861">
        <w:rPr>
          <w:rFonts w:eastAsiaTheme="minorHAnsi"/>
          <w:sz w:val="28"/>
          <w:szCs w:val="28"/>
          <w:lang w:eastAsia="en-US"/>
        </w:rPr>
        <w:t>Иммуногистохимическая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реакция</w:t>
      </w:r>
      <w:proofErr w:type="spellEnd"/>
      <w:r w:rsidRPr="00520861">
        <w:rPr>
          <w:rFonts w:eastAsiaTheme="minorHAnsi"/>
          <w:sz w:val="28"/>
          <w:szCs w:val="28"/>
          <w:lang w:eastAsia="en-US"/>
        </w:rPr>
        <w:t xml:space="preserve"> на VIII фактор в </w:t>
      </w:r>
      <w:proofErr w:type="spellStart"/>
      <w:r w:rsidRPr="00520861">
        <w:rPr>
          <w:rFonts w:eastAsiaTheme="minorHAnsi"/>
          <w:sz w:val="28"/>
          <w:szCs w:val="28"/>
          <w:lang w:eastAsia="en-US"/>
        </w:rPr>
        <w:t>слизистой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оболочке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полости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рта</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эксперименте</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моделированной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макросомией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Лызиков</w:t>
      </w:r>
      <w:proofErr w:type="spellEnd"/>
      <w:r w:rsidRPr="00520861">
        <w:rPr>
          <w:rFonts w:eastAsiaTheme="minorHAnsi"/>
          <w:sz w:val="28"/>
          <w:szCs w:val="28"/>
          <w:lang w:eastAsia="en-US"/>
        </w:rPr>
        <w:t xml:space="preserve"> АН, </w:t>
      </w:r>
      <w:proofErr w:type="spellStart"/>
      <w:r w:rsidRPr="00520861">
        <w:rPr>
          <w:rFonts w:eastAsiaTheme="minorHAnsi"/>
          <w:sz w:val="28"/>
          <w:szCs w:val="28"/>
          <w:lang w:eastAsia="en-US"/>
        </w:rPr>
        <w:t>Воропаев</w:t>
      </w:r>
      <w:proofErr w:type="spellEnd"/>
      <w:r w:rsidRPr="00520861">
        <w:rPr>
          <w:rFonts w:eastAsiaTheme="minorHAnsi"/>
          <w:sz w:val="28"/>
          <w:szCs w:val="28"/>
          <w:lang w:eastAsia="en-US"/>
        </w:rPr>
        <w:t xml:space="preserve"> ЕВ, Калинин АЛ, </w:t>
      </w:r>
      <w:proofErr w:type="spellStart"/>
      <w:r w:rsidRPr="00520861">
        <w:rPr>
          <w:rFonts w:eastAsiaTheme="minorHAnsi"/>
          <w:sz w:val="28"/>
          <w:szCs w:val="28"/>
          <w:lang w:eastAsia="en-US"/>
        </w:rPr>
        <w:t>Латышева</w:t>
      </w:r>
      <w:proofErr w:type="spellEnd"/>
      <w:r w:rsidRPr="00520861">
        <w:rPr>
          <w:rFonts w:eastAsiaTheme="minorHAnsi"/>
          <w:sz w:val="28"/>
          <w:szCs w:val="28"/>
          <w:lang w:eastAsia="en-US"/>
        </w:rPr>
        <w:t xml:space="preserve"> ВЯ, </w:t>
      </w:r>
      <w:proofErr w:type="spellStart"/>
      <w:r w:rsidRPr="00520861">
        <w:rPr>
          <w:rFonts w:eastAsiaTheme="minorHAnsi"/>
          <w:sz w:val="28"/>
          <w:szCs w:val="28"/>
          <w:lang w:eastAsia="en-US"/>
        </w:rPr>
        <w:t>Шаршакова</w:t>
      </w:r>
      <w:proofErr w:type="spellEnd"/>
      <w:r w:rsidRPr="00520861">
        <w:rPr>
          <w:rFonts w:eastAsiaTheme="minorHAnsi"/>
          <w:sz w:val="28"/>
          <w:szCs w:val="28"/>
          <w:lang w:eastAsia="en-US"/>
        </w:rPr>
        <w:t xml:space="preserve"> ТМ, </w:t>
      </w:r>
      <w:proofErr w:type="spellStart"/>
      <w:r w:rsidRPr="00520861">
        <w:rPr>
          <w:rFonts w:eastAsiaTheme="minorHAnsi"/>
          <w:sz w:val="28"/>
          <w:szCs w:val="28"/>
          <w:lang w:eastAsia="en-US"/>
        </w:rPr>
        <w:t>Бортновский</w:t>
      </w:r>
      <w:proofErr w:type="spellEnd"/>
      <w:r w:rsidRPr="00520861">
        <w:rPr>
          <w:rFonts w:eastAsiaTheme="minorHAnsi"/>
          <w:sz w:val="28"/>
          <w:szCs w:val="28"/>
          <w:lang w:eastAsia="en-US"/>
        </w:rPr>
        <w:t xml:space="preserve"> ВН,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w:t>
      </w:r>
      <w:proofErr w:type="spellStart"/>
      <w:r w:rsidRPr="00520861">
        <w:rPr>
          <w:rFonts w:eastAsiaTheme="minorHAnsi"/>
          <w:sz w:val="28"/>
          <w:szCs w:val="28"/>
          <w:lang w:eastAsia="en-US"/>
        </w:rPr>
        <w:t>eds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Сб. науч. статей </w:t>
      </w:r>
      <w:proofErr w:type="spellStart"/>
      <w:r w:rsidRPr="00520861">
        <w:rPr>
          <w:rFonts w:eastAsiaTheme="minorHAnsi"/>
          <w:i/>
          <w:sz w:val="28"/>
          <w:szCs w:val="28"/>
          <w:lang w:eastAsia="en-US"/>
        </w:rPr>
        <w:t>Республиканской</w:t>
      </w:r>
      <w:proofErr w:type="spellEnd"/>
      <w:r w:rsidRPr="00520861">
        <w:rPr>
          <w:rFonts w:eastAsiaTheme="minorHAnsi"/>
          <w:i/>
          <w:sz w:val="28"/>
          <w:szCs w:val="28"/>
          <w:lang w:eastAsia="en-US"/>
        </w:rPr>
        <w:t xml:space="preserve"> науч.-</w:t>
      </w:r>
      <w:proofErr w:type="spellStart"/>
      <w:r w:rsidRPr="00520861">
        <w:rPr>
          <w:rFonts w:eastAsiaTheme="minorHAnsi"/>
          <w:i/>
          <w:sz w:val="28"/>
          <w:szCs w:val="28"/>
          <w:lang w:eastAsia="en-US"/>
        </w:rPr>
        <w:t>практ</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конф</w:t>
      </w:r>
      <w:proofErr w:type="spellEnd"/>
      <w:r w:rsidRPr="00520861">
        <w:rPr>
          <w:rFonts w:eastAsiaTheme="minorHAnsi"/>
          <w:i/>
          <w:sz w:val="28"/>
          <w:szCs w:val="28"/>
          <w:lang w:eastAsia="en-US"/>
        </w:rPr>
        <w:t xml:space="preserve">. и 26-й </w:t>
      </w:r>
      <w:proofErr w:type="spellStart"/>
      <w:r w:rsidRPr="00520861">
        <w:rPr>
          <w:rFonts w:eastAsiaTheme="minorHAnsi"/>
          <w:i/>
          <w:sz w:val="28"/>
          <w:szCs w:val="28"/>
          <w:lang w:eastAsia="en-US"/>
        </w:rPr>
        <w:t>итоговой</w:t>
      </w:r>
      <w:proofErr w:type="spellEnd"/>
      <w:r w:rsidRPr="00520861">
        <w:rPr>
          <w:rFonts w:eastAsiaTheme="minorHAnsi"/>
          <w:i/>
          <w:sz w:val="28"/>
          <w:szCs w:val="28"/>
          <w:lang w:eastAsia="en-US"/>
        </w:rPr>
        <w:t xml:space="preserve"> науч. </w:t>
      </w:r>
      <w:proofErr w:type="spellStart"/>
      <w:r w:rsidRPr="00520861">
        <w:rPr>
          <w:rFonts w:eastAsiaTheme="minorHAnsi"/>
          <w:i/>
          <w:sz w:val="28"/>
          <w:szCs w:val="28"/>
          <w:lang w:eastAsia="en-US"/>
        </w:rPr>
        <w:t>сессии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Гомельского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гос</w:t>
      </w:r>
      <w:proofErr w:type="spellEnd"/>
      <w:r w:rsidRPr="00520861">
        <w:rPr>
          <w:rFonts w:eastAsiaTheme="minorHAnsi"/>
          <w:i/>
          <w:sz w:val="28"/>
          <w:szCs w:val="28"/>
          <w:lang w:eastAsia="en-US"/>
        </w:rPr>
        <w:t xml:space="preserve">. мед. </w:t>
      </w:r>
      <w:proofErr w:type="spellStart"/>
      <w:r w:rsidRPr="00520861">
        <w:rPr>
          <w:rFonts w:eastAsiaTheme="minorHAnsi"/>
          <w:i/>
          <w:sz w:val="28"/>
          <w:szCs w:val="28"/>
          <w:lang w:eastAsia="en-US"/>
        </w:rPr>
        <w:t>ун</w:t>
      </w:r>
      <w:proofErr w:type="spellEnd"/>
      <w:r w:rsidRPr="00520861">
        <w:rPr>
          <w:rFonts w:eastAsiaTheme="minorHAnsi"/>
          <w:i/>
          <w:sz w:val="28"/>
          <w:szCs w:val="28"/>
          <w:lang w:eastAsia="en-US"/>
        </w:rPr>
        <w:t xml:space="preserve">-та” 3–4 </w:t>
      </w:r>
      <w:proofErr w:type="spellStart"/>
      <w:r w:rsidRPr="00520861">
        <w:rPr>
          <w:rFonts w:eastAsiaTheme="minorHAnsi"/>
          <w:i/>
          <w:sz w:val="28"/>
          <w:szCs w:val="28"/>
          <w:lang w:eastAsia="en-US"/>
        </w:rPr>
        <w:t>ноября</w:t>
      </w:r>
      <w:proofErr w:type="spellEnd"/>
      <w:r w:rsidRPr="00520861">
        <w:rPr>
          <w:rFonts w:eastAsiaTheme="minorHAnsi"/>
          <w:i/>
          <w:sz w:val="28"/>
          <w:szCs w:val="28"/>
          <w:lang w:eastAsia="en-US"/>
        </w:rPr>
        <w:t xml:space="preserve"> 2016 г., Гомель</w:t>
      </w:r>
      <w:r w:rsidRPr="00520861">
        <w:rPr>
          <w:rFonts w:eastAsiaTheme="minorHAnsi"/>
          <w:sz w:val="28"/>
          <w:szCs w:val="28"/>
          <w:lang w:eastAsia="en-US"/>
        </w:rPr>
        <w:t xml:space="preserve">. Гомель: </w:t>
      </w:r>
      <w:proofErr w:type="spellStart"/>
      <w:r w:rsidRPr="00520861">
        <w:rPr>
          <w:rFonts w:eastAsiaTheme="minorHAnsi"/>
          <w:sz w:val="28"/>
          <w:szCs w:val="28"/>
          <w:lang w:eastAsia="en-US"/>
        </w:rPr>
        <w:t>Гомельский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гос</w:t>
      </w:r>
      <w:proofErr w:type="spellEnd"/>
      <w:r w:rsidRPr="00520861">
        <w:rPr>
          <w:rFonts w:eastAsiaTheme="minorHAnsi"/>
          <w:sz w:val="28"/>
          <w:szCs w:val="28"/>
          <w:lang w:eastAsia="en-US"/>
        </w:rPr>
        <w:t>. мед. ун-т; 2017. c. 181–184.</w:t>
      </w:r>
    </w:p>
    <w:p w14:paraId="0215157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r w:rsidRPr="00520861">
        <w:rPr>
          <w:rFonts w:eastAsiaTheme="minorHAnsi"/>
          <w:sz w:val="28"/>
          <w:szCs w:val="28"/>
          <w:lang w:eastAsia="en-US"/>
        </w:rPr>
        <w:lastRenderedPageBreak/>
        <w:t xml:space="preserve">Гармаш ОВ, Рябоконь ЄМ. Доцільність дослідження </w:t>
      </w:r>
      <w:proofErr w:type="spellStart"/>
      <w:r w:rsidRPr="00520861">
        <w:rPr>
          <w:rFonts w:eastAsiaTheme="minorHAnsi"/>
          <w:sz w:val="28"/>
          <w:szCs w:val="28"/>
          <w:lang w:eastAsia="en-US"/>
        </w:rPr>
        <w:t>однонуклеотидних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поліморфізмів</w:t>
      </w:r>
      <w:proofErr w:type="spellEnd"/>
      <w:r w:rsidRPr="00520861">
        <w:rPr>
          <w:rFonts w:eastAsiaTheme="minorHAnsi"/>
          <w:sz w:val="28"/>
          <w:szCs w:val="28"/>
          <w:lang w:eastAsia="en-US"/>
        </w:rPr>
        <w:t xml:space="preserve"> генів ESR1 [rs2234693], CYP19A1 [rs2414096] та IL10 [rs1800896] як можливих маркерів ризику розвитку </w:t>
      </w:r>
      <w:proofErr w:type="spellStart"/>
      <w:r w:rsidRPr="00520861">
        <w:rPr>
          <w:rFonts w:eastAsiaTheme="minorHAnsi"/>
          <w:sz w:val="28"/>
          <w:szCs w:val="28"/>
          <w:lang w:eastAsia="en-US"/>
        </w:rPr>
        <w:t>зубощелепних</w:t>
      </w:r>
      <w:proofErr w:type="spellEnd"/>
      <w:r w:rsidRPr="00520861">
        <w:rPr>
          <w:rFonts w:eastAsiaTheme="minorHAnsi"/>
          <w:sz w:val="28"/>
          <w:szCs w:val="28"/>
          <w:lang w:eastAsia="en-US"/>
        </w:rPr>
        <w:t xml:space="preserve"> порушень в осіб, які народилися </w:t>
      </w:r>
      <w:proofErr w:type="spellStart"/>
      <w:r w:rsidRPr="00520861">
        <w:rPr>
          <w:rFonts w:eastAsiaTheme="minorHAnsi"/>
          <w:sz w:val="28"/>
          <w:szCs w:val="28"/>
          <w:lang w:eastAsia="en-US"/>
        </w:rPr>
        <w:t>макросомами</w:t>
      </w:r>
      <w:proofErr w:type="spellEnd"/>
      <w:r w:rsidRPr="00520861">
        <w:rPr>
          <w:rFonts w:eastAsiaTheme="minorHAnsi"/>
          <w:sz w:val="28"/>
          <w:szCs w:val="28"/>
          <w:lang w:eastAsia="en-US"/>
        </w:rPr>
        <w:t xml:space="preserve">. </w:t>
      </w:r>
      <w:r w:rsidRPr="00520861">
        <w:rPr>
          <w:rFonts w:eastAsiaTheme="minorHAnsi"/>
          <w:i/>
          <w:sz w:val="28"/>
          <w:szCs w:val="28"/>
          <w:lang w:eastAsia="en-US"/>
        </w:rPr>
        <w:t>Патологія</w:t>
      </w:r>
      <w:r w:rsidRPr="00520861">
        <w:rPr>
          <w:rFonts w:eastAsiaTheme="minorHAnsi"/>
          <w:sz w:val="28"/>
          <w:szCs w:val="28"/>
          <w:lang w:eastAsia="en-US"/>
        </w:rPr>
        <w:t xml:space="preserve">. 2020;17(1): 37–45. </w:t>
      </w:r>
      <w:r w:rsidRPr="00520861">
        <w:rPr>
          <w:rFonts w:eastAsiaTheme="minorHAnsi"/>
          <w:sz w:val="28"/>
          <w:szCs w:val="28"/>
          <w:lang w:val="ru-RU" w:eastAsia="en-US"/>
        </w:rPr>
        <w:t>Доступно на:</w:t>
      </w:r>
      <w:r w:rsidRPr="00520861">
        <w:rPr>
          <w:rFonts w:eastAsiaTheme="minorHAnsi"/>
          <w:sz w:val="28"/>
          <w:szCs w:val="28"/>
          <w:lang w:val="en-US" w:eastAsia="en-US"/>
        </w:rPr>
        <w:t xml:space="preserve"> </w:t>
      </w:r>
      <w:r w:rsidRPr="00520861">
        <w:rPr>
          <w:rFonts w:eastAsiaTheme="minorHAnsi"/>
          <w:sz w:val="28"/>
          <w:szCs w:val="28"/>
          <w:lang w:eastAsia="en-US"/>
        </w:rPr>
        <w:t>DOI: 10.14739/2310-1237.2020.1.203722.</w:t>
      </w:r>
    </w:p>
    <w:p w14:paraId="7DE4746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r w:rsidRPr="00520861">
        <w:rPr>
          <w:rFonts w:eastAsiaTheme="minorHAnsi"/>
          <w:sz w:val="28"/>
          <w:szCs w:val="28"/>
          <w:lang w:val="ru-RU" w:eastAsia="en-US"/>
        </w:rPr>
        <w:t>Гармаш ОВ, Рябоконь ЄМ</w:t>
      </w:r>
      <w:r w:rsidRPr="00520861">
        <w:rPr>
          <w:rFonts w:eastAsiaTheme="minorHAnsi"/>
          <w:sz w:val="28"/>
          <w:szCs w:val="28"/>
          <w:lang w:eastAsia="en-US"/>
        </w:rPr>
        <w:t>, винахідники;</w:t>
      </w:r>
      <w:r w:rsidRPr="00520861">
        <w:rPr>
          <w:rFonts w:eastAsiaTheme="minorHAnsi"/>
          <w:sz w:val="28"/>
          <w:szCs w:val="28"/>
          <w:lang w:val="ru-RU" w:eastAsia="en-US"/>
        </w:rPr>
        <w:t xml:space="preserve"> </w:t>
      </w:r>
      <w:proofErr w:type="spellStart"/>
      <w:r w:rsidRPr="00520861">
        <w:rPr>
          <w:rFonts w:eastAsia="Calibri"/>
          <w:sz w:val="28"/>
          <w:szCs w:val="28"/>
          <w:lang w:val="ru-RU" w:eastAsia="en-US"/>
        </w:rPr>
        <w:t>Харківський</w:t>
      </w:r>
      <w:proofErr w:type="spellEnd"/>
      <w:r w:rsidRPr="00520861">
        <w:rPr>
          <w:rFonts w:eastAsia="Calibri"/>
          <w:sz w:val="28"/>
          <w:szCs w:val="28"/>
          <w:lang w:val="ru-RU" w:eastAsia="en-US"/>
        </w:rPr>
        <w:t xml:space="preserve"> </w:t>
      </w:r>
      <w:proofErr w:type="spellStart"/>
      <w:r w:rsidRPr="00520861">
        <w:rPr>
          <w:rFonts w:eastAsia="Calibri"/>
          <w:sz w:val="28"/>
          <w:szCs w:val="28"/>
          <w:lang w:val="ru-RU" w:eastAsia="en-US"/>
        </w:rPr>
        <w:t>національний</w:t>
      </w:r>
      <w:proofErr w:type="spellEnd"/>
      <w:r w:rsidRPr="00520861">
        <w:rPr>
          <w:rFonts w:eastAsia="Calibri"/>
          <w:sz w:val="28"/>
          <w:szCs w:val="28"/>
          <w:lang w:val="ru-RU" w:eastAsia="en-US"/>
        </w:rPr>
        <w:t xml:space="preserve"> мед. ун-т, </w:t>
      </w:r>
      <w:proofErr w:type="spellStart"/>
      <w:r w:rsidRPr="00520861">
        <w:rPr>
          <w:rFonts w:eastAsia="Calibri"/>
          <w:sz w:val="28"/>
          <w:szCs w:val="28"/>
          <w:lang w:val="ru-RU" w:eastAsia="en-US"/>
        </w:rPr>
        <w:t>патентовласник</w:t>
      </w:r>
      <w:proofErr w:type="spellEnd"/>
      <w:r w:rsidRPr="00520861">
        <w:rPr>
          <w:rFonts w:eastAsia="Calibri"/>
          <w:sz w:val="28"/>
          <w:szCs w:val="28"/>
          <w:lang w:val="ru-RU" w:eastAsia="en-US"/>
        </w:rPr>
        <w:t xml:space="preserve">. </w:t>
      </w:r>
      <w:r w:rsidRPr="00520861">
        <w:rPr>
          <w:rFonts w:eastAsiaTheme="minorHAnsi"/>
          <w:sz w:val="28"/>
          <w:szCs w:val="28"/>
          <w:lang w:val="ru-RU" w:eastAsia="en-US"/>
        </w:rPr>
        <w:t xml:space="preserve">Карта </w:t>
      </w:r>
      <w:proofErr w:type="spellStart"/>
      <w:r w:rsidRPr="00520861">
        <w:rPr>
          <w:rFonts w:eastAsiaTheme="minorHAnsi"/>
          <w:sz w:val="28"/>
          <w:szCs w:val="28"/>
          <w:lang w:val="ru-RU" w:eastAsia="en-US"/>
        </w:rPr>
        <w:t>реєстрації</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стоматологічного</w:t>
      </w:r>
      <w:proofErr w:type="spellEnd"/>
      <w:r w:rsidRPr="00520861">
        <w:rPr>
          <w:rFonts w:eastAsiaTheme="minorHAnsi"/>
          <w:sz w:val="28"/>
          <w:szCs w:val="28"/>
          <w:lang w:val="ru-RU" w:eastAsia="en-US"/>
        </w:rPr>
        <w:t xml:space="preserve"> статусу </w:t>
      </w:r>
      <w:proofErr w:type="spellStart"/>
      <w:r w:rsidRPr="00520861">
        <w:rPr>
          <w:rFonts w:eastAsiaTheme="minorHAnsi"/>
          <w:sz w:val="28"/>
          <w:szCs w:val="28"/>
          <w:lang w:val="ru-RU" w:eastAsia="en-US"/>
        </w:rPr>
        <w:t>новонародженого</w:t>
      </w:r>
      <w:proofErr w:type="spellEnd"/>
      <w:r w:rsidRPr="00520861">
        <w:rPr>
          <w:rFonts w:eastAsiaTheme="minorHAnsi"/>
          <w:sz w:val="28"/>
          <w:szCs w:val="28"/>
          <w:lang w:val="ru-RU" w:eastAsia="en-US"/>
        </w:rPr>
        <w:t xml:space="preserve"> та </w:t>
      </w:r>
      <w:proofErr w:type="spellStart"/>
      <w:r w:rsidRPr="00520861">
        <w:rPr>
          <w:rFonts w:eastAsiaTheme="minorHAnsi"/>
          <w:sz w:val="28"/>
          <w:szCs w:val="28"/>
          <w:lang w:val="ru-RU" w:eastAsia="en-US"/>
        </w:rPr>
        <w:t>дитини</w:t>
      </w:r>
      <w:proofErr w:type="spellEnd"/>
      <w:r w:rsidRPr="00520861">
        <w:rPr>
          <w:rFonts w:eastAsiaTheme="minorHAnsi"/>
          <w:sz w:val="28"/>
          <w:szCs w:val="28"/>
          <w:lang w:val="ru-RU" w:eastAsia="en-US"/>
        </w:rPr>
        <w:t xml:space="preserve"> грудного </w:t>
      </w:r>
      <w:proofErr w:type="spellStart"/>
      <w:r w:rsidRPr="00520861">
        <w:rPr>
          <w:rFonts w:eastAsiaTheme="minorHAnsi"/>
          <w:sz w:val="28"/>
          <w:szCs w:val="28"/>
          <w:lang w:val="ru-RU" w:eastAsia="en-US"/>
        </w:rPr>
        <w:t>віку</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додаток</w:t>
      </w:r>
      <w:proofErr w:type="spellEnd"/>
      <w:r w:rsidRPr="00520861">
        <w:rPr>
          <w:rFonts w:eastAsiaTheme="minorHAnsi"/>
          <w:sz w:val="28"/>
          <w:szCs w:val="28"/>
          <w:lang w:val="ru-RU" w:eastAsia="en-US"/>
        </w:rPr>
        <w:t xml:space="preserve"> до </w:t>
      </w:r>
      <w:proofErr w:type="spellStart"/>
      <w:r w:rsidRPr="00520861">
        <w:rPr>
          <w:rFonts w:eastAsiaTheme="minorHAnsi"/>
          <w:sz w:val="28"/>
          <w:szCs w:val="28"/>
          <w:lang w:val="ru-RU" w:eastAsia="en-US"/>
        </w:rPr>
        <w:t>карти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розвитку</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новонародженого</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історії</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розвитку</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дитини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або</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медичної</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карти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стаціонарного</w:t>
      </w:r>
      <w:proofErr w:type="spellEnd"/>
      <w:r w:rsidRPr="00520861">
        <w:rPr>
          <w:rFonts w:eastAsiaTheme="minorHAnsi"/>
          <w:sz w:val="28"/>
          <w:szCs w:val="28"/>
          <w:lang w:val="ru-RU" w:eastAsia="en-US"/>
        </w:rPr>
        <w:t xml:space="preserve"> хворого). </w:t>
      </w:r>
      <w:proofErr w:type="spellStart"/>
      <w:r w:rsidRPr="00520861">
        <w:rPr>
          <w:rFonts w:eastAsiaTheme="minorHAnsi"/>
          <w:sz w:val="28"/>
          <w:szCs w:val="28"/>
          <w:lang w:val="ru-RU" w:eastAsia="en-US"/>
        </w:rPr>
        <w:t>Cвідоцтво</w:t>
      </w:r>
      <w:proofErr w:type="spellEnd"/>
      <w:r w:rsidRPr="00520861">
        <w:rPr>
          <w:rFonts w:eastAsiaTheme="minorHAnsi"/>
          <w:sz w:val="28"/>
          <w:szCs w:val="28"/>
          <w:lang w:val="ru-RU" w:eastAsia="en-US"/>
        </w:rPr>
        <w:t xml:space="preserve"> про </w:t>
      </w:r>
      <w:proofErr w:type="spellStart"/>
      <w:r w:rsidRPr="00520861">
        <w:rPr>
          <w:rFonts w:eastAsiaTheme="minorHAnsi"/>
          <w:sz w:val="28"/>
          <w:szCs w:val="28"/>
          <w:lang w:val="ru-RU" w:eastAsia="en-US"/>
        </w:rPr>
        <w:t>реєстрацію</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авторського</w:t>
      </w:r>
      <w:proofErr w:type="spellEnd"/>
      <w:r w:rsidRPr="00520861">
        <w:rPr>
          <w:rFonts w:eastAsiaTheme="minorHAnsi"/>
          <w:sz w:val="28"/>
          <w:szCs w:val="28"/>
          <w:lang w:val="ru-RU" w:eastAsia="en-US"/>
        </w:rPr>
        <w:t xml:space="preserve"> права на </w:t>
      </w:r>
      <w:proofErr w:type="spellStart"/>
      <w:r w:rsidRPr="00520861">
        <w:rPr>
          <w:rFonts w:eastAsiaTheme="minorHAnsi"/>
          <w:sz w:val="28"/>
          <w:szCs w:val="28"/>
          <w:lang w:val="ru-RU" w:eastAsia="en-US"/>
        </w:rPr>
        <w:t>твір</w:t>
      </w:r>
      <w:proofErr w:type="spellEnd"/>
      <w:r w:rsidRPr="00520861">
        <w:rPr>
          <w:rFonts w:eastAsiaTheme="minorHAnsi"/>
          <w:sz w:val="28"/>
          <w:szCs w:val="28"/>
          <w:lang w:val="ru-RU" w:eastAsia="en-US"/>
        </w:rPr>
        <w:t xml:space="preserve"> № 64148</w:t>
      </w:r>
      <w:r w:rsidRPr="00520861">
        <w:rPr>
          <w:rFonts w:eastAsiaTheme="minorHAnsi"/>
          <w:sz w:val="28"/>
          <w:szCs w:val="28"/>
          <w:lang w:eastAsia="en-US"/>
        </w:rPr>
        <w:t>.</w:t>
      </w:r>
      <w:r w:rsidRPr="00520861">
        <w:rPr>
          <w:rFonts w:eastAsiaTheme="minorHAnsi"/>
          <w:sz w:val="28"/>
          <w:szCs w:val="28"/>
          <w:lang w:val="ru-RU" w:eastAsia="en-US"/>
        </w:rPr>
        <w:t xml:space="preserve"> 2016</w:t>
      </w:r>
      <w:r w:rsidRPr="00520861">
        <w:rPr>
          <w:rFonts w:eastAsiaTheme="minorHAnsi"/>
          <w:sz w:val="28"/>
          <w:szCs w:val="28"/>
          <w:lang w:eastAsia="en-US"/>
        </w:rPr>
        <w:t xml:space="preserve"> </w:t>
      </w:r>
      <w:proofErr w:type="spellStart"/>
      <w:r w:rsidRPr="00520861">
        <w:rPr>
          <w:rFonts w:eastAsiaTheme="minorHAnsi"/>
          <w:sz w:val="28"/>
          <w:szCs w:val="28"/>
          <w:lang w:eastAsia="en-US"/>
        </w:rPr>
        <w:t>лют</w:t>
      </w:r>
      <w:proofErr w:type="spellEnd"/>
      <w:r w:rsidRPr="00520861">
        <w:rPr>
          <w:rFonts w:eastAsiaTheme="minorHAnsi"/>
          <w:sz w:val="28"/>
          <w:szCs w:val="28"/>
          <w:lang w:eastAsia="en-US"/>
        </w:rPr>
        <w:t xml:space="preserve">. </w:t>
      </w:r>
      <w:r w:rsidRPr="00520861">
        <w:rPr>
          <w:rFonts w:eastAsiaTheme="minorHAnsi"/>
          <w:sz w:val="28"/>
          <w:szCs w:val="28"/>
          <w:lang w:val="ru-RU" w:eastAsia="en-US"/>
        </w:rPr>
        <w:t>16.</w:t>
      </w:r>
    </w:p>
    <w:p w14:paraId="40518F6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r w:rsidRPr="00520861">
        <w:rPr>
          <w:rFonts w:eastAsiaTheme="minorHAnsi"/>
          <w:sz w:val="28"/>
          <w:szCs w:val="28"/>
          <w:lang w:val="ru-RU" w:eastAsia="en-US"/>
        </w:rPr>
        <w:t xml:space="preserve">Гармаш ОВ, Рябоконь ЄМ, </w:t>
      </w:r>
      <w:proofErr w:type="spellStart"/>
      <w:r w:rsidRPr="00520861">
        <w:rPr>
          <w:rFonts w:eastAsiaTheme="minorHAnsi"/>
          <w:sz w:val="28"/>
          <w:szCs w:val="28"/>
          <w:lang w:val="ru-RU" w:eastAsia="en-US"/>
        </w:rPr>
        <w:t>Баглик</w:t>
      </w:r>
      <w:proofErr w:type="spellEnd"/>
      <w:r w:rsidRPr="00520861">
        <w:rPr>
          <w:rFonts w:eastAsiaTheme="minorHAnsi"/>
          <w:sz w:val="28"/>
          <w:szCs w:val="28"/>
          <w:lang w:val="ru-RU" w:eastAsia="en-US"/>
        </w:rPr>
        <w:t xml:space="preserve"> ТВ, </w:t>
      </w:r>
      <w:proofErr w:type="spellStart"/>
      <w:r w:rsidRPr="00520861">
        <w:rPr>
          <w:rFonts w:eastAsiaTheme="minorHAnsi"/>
          <w:sz w:val="28"/>
          <w:szCs w:val="28"/>
          <w:lang w:val="ru-RU" w:eastAsia="en-US"/>
        </w:rPr>
        <w:t>винахідники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Харківський</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національний</w:t>
      </w:r>
      <w:proofErr w:type="spellEnd"/>
      <w:r w:rsidRPr="00520861">
        <w:rPr>
          <w:rFonts w:eastAsiaTheme="minorHAnsi"/>
          <w:sz w:val="28"/>
          <w:szCs w:val="28"/>
          <w:lang w:val="ru-RU" w:eastAsia="en-US"/>
        </w:rPr>
        <w:t xml:space="preserve"> мед. ун-т, </w:t>
      </w:r>
      <w:proofErr w:type="spellStart"/>
      <w:r w:rsidRPr="00520861">
        <w:rPr>
          <w:rFonts w:eastAsiaTheme="minorHAnsi"/>
          <w:sz w:val="28"/>
          <w:szCs w:val="28"/>
          <w:lang w:val="ru-RU" w:eastAsia="en-US"/>
        </w:rPr>
        <w:t>патентовласник</w:t>
      </w:r>
      <w:proofErr w:type="spellEnd"/>
      <w:r w:rsidRPr="00520861">
        <w:rPr>
          <w:rFonts w:eastAsiaTheme="minorHAnsi"/>
          <w:sz w:val="28"/>
          <w:szCs w:val="28"/>
          <w:lang w:val="ru-RU" w:eastAsia="en-US"/>
        </w:rPr>
        <w:t xml:space="preserve">. Карта </w:t>
      </w:r>
      <w:proofErr w:type="spellStart"/>
      <w:r w:rsidRPr="00520861">
        <w:rPr>
          <w:rFonts w:eastAsiaTheme="minorHAnsi"/>
          <w:sz w:val="28"/>
          <w:szCs w:val="28"/>
          <w:lang w:val="ru-RU" w:eastAsia="en-US"/>
        </w:rPr>
        <w:t>реєстрації</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стоматологічного</w:t>
      </w:r>
      <w:proofErr w:type="spellEnd"/>
      <w:r w:rsidRPr="00520861">
        <w:rPr>
          <w:rFonts w:eastAsiaTheme="minorHAnsi"/>
          <w:sz w:val="28"/>
          <w:szCs w:val="28"/>
          <w:lang w:val="ru-RU" w:eastAsia="en-US"/>
        </w:rPr>
        <w:t xml:space="preserve"> статусу </w:t>
      </w:r>
      <w:proofErr w:type="spellStart"/>
      <w:r w:rsidRPr="00520861">
        <w:rPr>
          <w:rFonts w:eastAsiaTheme="minorHAnsi"/>
          <w:sz w:val="28"/>
          <w:szCs w:val="28"/>
          <w:lang w:val="ru-RU" w:eastAsia="en-US"/>
        </w:rPr>
        <w:t>дитини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або</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підлітка</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додаток</w:t>
      </w:r>
      <w:proofErr w:type="spellEnd"/>
      <w:r w:rsidRPr="00520861">
        <w:rPr>
          <w:rFonts w:eastAsiaTheme="minorHAnsi"/>
          <w:sz w:val="28"/>
          <w:szCs w:val="28"/>
          <w:lang w:val="ru-RU" w:eastAsia="en-US"/>
        </w:rPr>
        <w:t xml:space="preserve"> до </w:t>
      </w:r>
      <w:proofErr w:type="spellStart"/>
      <w:r w:rsidRPr="00520861">
        <w:rPr>
          <w:rFonts w:eastAsiaTheme="minorHAnsi"/>
          <w:sz w:val="28"/>
          <w:szCs w:val="28"/>
          <w:lang w:val="ru-RU" w:eastAsia="en-US"/>
        </w:rPr>
        <w:t>історії</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розвитку</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дитини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або</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медичної</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карти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стаціонарного</w:t>
      </w:r>
      <w:proofErr w:type="spellEnd"/>
      <w:r w:rsidRPr="00520861">
        <w:rPr>
          <w:rFonts w:eastAsiaTheme="minorHAnsi"/>
          <w:sz w:val="28"/>
          <w:szCs w:val="28"/>
          <w:lang w:val="ru-RU" w:eastAsia="en-US"/>
        </w:rPr>
        <w:t xml:space="preserve"> хворого). </w:t>
      </w:r>
      <w:proofErr w:type="spellStart"/>
      <w:r w:rsidRPr="00520861">
        <w:rPr>
          <w:rFonts w:eastAsiaTheme="minorHAnsi"/>
          <w:sz w:val="28"/>
          <w:szCs w:val="28"/>
          <w:lang w:val="ru-RU" w:eastAsia="en-US"/>
        </w:rPr>
        <w:t>Cвідоцтво</w:t>
      </w:r>
      <w:proofErr w:type="spellEnd"/>
      <w:r w:rsidRPr="00520861">
        <w:rPr>
          <w:rFonts w:eastAsiaTheme="minorHAnsi"/>
          <w:sz w:val="28"/>
          <w:szCs w:val="28"/>
          <w:lang w:val="ru-RU" w:eastAsia="en-US"/>
        </w:rPr>
        <w:t xml:space="preserve"> про </w:t>
      </w:r>
      <w:proofErr w:type="spellStart"/>
      <w:r w:rsidRPr="00520861">
        <w:rPr>
          <w:rFonts w:eastAsiaTheme="minorHAnsi"/>
          <w:sz w:val="28"/>
          <w:szCs w:val="28"/>
          <w:lang w:val="ru-RU" w:eastAsia="en-US"/>
        </w:rPr>
        <w:t>реєстрацію</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авторського</w:t>
      </w:r>
      <w:proofErr w:type="spellEnd"/>
      <w:r w:rsidRPr="00520861">
        <w:rPr>
          <w:rFonts w:eastAsiaTheme="minorHAnsi"/>
          <w:sz w:val="28"/>
          <w:szCs w:val="28"/>
          <w:lang w:val="ru-RU" w:eastAsia="en-US"/>
        </w:rPr>
        <w:t xml:space="preserve"> права на </w:t>
      </w:r>
      <w:proofErr w:type="spellStart"/>
      <w:r w:rsidRPr="00520861">
        <w:rPr>
          <w:rFonts w:eastAsiaTheme="minorHAnsi"/>
          <w:sz w:val="28"/>
          <w:szCs w:val="28"/>
          <w:lang w:val="ru-RU" w:eastAsia="en-US"/>
        </w:rPr>
        <w:t>твір</w:t>
      </w:r>
      <w:proofErr w:type="spellEnd"/>
      <w:r w:rsidRPr="00520861">
        <w:rPr>
          <w:rFonts w:eastAsiaTheme="minorHAnsi"/>
          <w:sz w:val="28"/>
          <w:szCs w:val="28"/>
          <w:lang w:val="ru-RU" w:eastAsia="en-US"/>
        </w:rPr>
        <w:t xml:space="preserve"> № 73141. 2017 лип. 25.</w:t>
      </w:r>
    </w:p>
    <w:p w14:paraId="13F704A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r w:rsidRPr="00520861">
        <w:rPr>
          <w:rFonts w:eastAsiaTheme="minorHAnsi"/>
          <w:sz w:val="28"/>
          <w:szCs w:val="28"/>
          <w:lang w:val="ru-RU" w:eastAsia="en-US"/>
        </w:rPr>
        <w:t xml:space="preserve">Гармаш ОВ, Рябоконь ЄМ, </w:t>
      </w:r>
      <w:proofErr w:type="spellStart"/>
      <w:r w:rsidRPr="00520861">
        <w:rPr>
          <w:rFonts w:eastAsiaTheme="minorHAnsi"/>
          <w:sz w:val="28"/>
          <w:szCs w:val="28"/>
          <w:lang w:val="ru-RU" w:eastAsia="en-US"/>
        </w:rPr>
        <w:t>Будрейко</w:t>
      </w:r>
      <w:proofErr w:type="spellEnd"/>
      <w:r w:rsidRPr="00520861">
        <w:rPr>
          <w:rFonts w:eastAsiaTheme="minorHAnsi"/>
          <w:sz w:val="28"/>
          <w:szCs w:val="28"/>
          <w:lang w:val="ru-RU" w:eastAsia="en-US"/>
        </w:rPr>
        <w:t xml:space="preserve"> ОВ. </w:t>
      </w:r>
      <w:r w:rsidRPr="00520861">
        <w:rPr>
          <w:rFonts w:eastAsiaTheme="minorHAnsi"/>
          <w:sz w:val="28"/>
          <w:szCs w:val="28"/>
          <w:lang w:eastAsia="en-US"/>
        </w:rPr>
        <w:t xml:space="preserve">Особливості стоматологічного статусу дітей та підлітків, які народилися великими до терміну </w:t>
      </w:r>
      <w:proofErr w:type="spellStart"/>
      <w:r w:rsidRPr="00520861">
        <w:rPr>
          <w:rFonts w:eastAsiaTheme="minorHAnsi"/>
          <w:sz w:val="28"/>
          <w:szCs w:val="28"/>
          <w:lang w:eastAsia="en-US"/>
        </w:rPr>
        <w:t>гестації</w:t>
      </w:r>
      <w:proofErr w:type="spellEnd"/>
      <w:r w:rsidRPr="00520861">
        <w:rPr>
          <w:rFonts w:eastAsiaTheme="minorHAnsi"/>
          <w:sz w:val="28"/>
          <w:szCs w:val="28"/>
          <w:lang w:eastAsia="en-US"/>
        </w:rPr>
        <w:t xml:space="preserve"> та мають ендокринну патологію. </w:t>
      </w:r>
      <w:r w:rsidRPr="00520861">
        <w:rPr>
          <w:rFonts w:eastAsiaTheme="minorHAnsi"/>
          <w:sz w:val="28"/>
          <w:szCs w:val="28"/>
          <w:lang w:val="en-US" w:eastAsia="en-US"/>
        </w:rPr>
        <w:t>In</w:t>
      </w:r>
      <w:r w:rsidRPr="00520861">
        <w:rPr>
          <w:rFonts w:eastAsiaTheme="minorHAnsi"/>
          <w:sz w:val="28"/>
          <w:szCs w:val="28"/>
          <w:lang w:eastAsia="en-US"/>
        </w:rPr>
        <w:t xml:space="preserve">: </w:t>
      </w:r>
      <w:proofErr w:type="spellStart"/>
      <w:r w:rsidRPr="00520861">
        <w:rPr>
          <w:rFonts w:eastAsiaTheme="minorHAnsi"/>
          <w:sz w:val="28"/>
          <w:szCs w:val="28"/>
          <w:lang w:eastAsia="en-US"/>
        </w:rPr>
        <w:t>Караченцев</w:t>
      </w:r>
      <w:proofErr w:type="spellEnd"/>
      <w:r w:rsidRPr="00520861">
        <w:rPr>
          <w:rFonts w:eastAsiaTheme="minorHAnsi"/>
          <w:sz w:val="28"/>
          <w:szCs w:val="28"/>
          <w:lang w:eastAsia="en-US"/>
        </w:rPr>
        <w:t xml:space="preserve"> ЮІ, Козаков ОВ, </w:t>
      </w:r>
      <w:proofErr w:type="spellStart"/>
      <w:r w:rsidRPr="00520861">
        <w:rPr>
          <w:rFonts w:eastAsiaTheme="minorHAnsi"/>
          <w:sz w:val="28"/>
          <w:szCs w:val="28"/>
          <w:lang w:eastAsia="en-US"/>
        </w:rPr>
        <w:t>Кравчун</w:t>
      </w:r>
      <w:proofErr w:type="spellEnd"/>
      <w:r w:rsidRPr="00520861">
        <w:rPr>
          <w:rFonts w:eastAsiaTheme="minorHAnsi"/>
          <w:sz w:val="28"/>
          <w:szCs w:val="28"/>
          <w:lang w:eastAsia="en-US"/>
        </w:rPr>
        <w:t xml:space="preserve"> НО, Ільїна ІМ, </w:t>
      </w:r>
      <w:r w:rsidR="00B22E6A" w:rsidRPr="00520861">
        <w:rPr>
          <w:rFonts w:eastAsiaTheme="minorHAnsi"/>
          <w:sz w:val="28"/>
          <w:szCs w:val="28"/>
          <w:lang w:eastAsia="en-US"/>
        </w:rPr>
        <w:br/>
      </w:r>
      <w:proofErr w:type="spellStart"/>
      <w:r w:rsidRPr="00520861">
        <w:rPr>
          <w:rFonts w:eastAsiaTheme="minorHAnsi"/>
          <w:sz w:val="28"/>
          <w:szCs w:val="28"/>
          <w:lang w:eastAsia="en-US"/>
        </w:rPr>
        <w:t>Корнєєв</w:t>
      </w:r>
      <w:proofErr w:type="spellEnd"/>
      <w:r w:rsidRPr="00520861">
        <w:rPr>
          <w:rFonts w:eastAsiaTheme="minorHAnsi"/>
          <w:sz w:val="28"/>
          <w:szCs w:val="28"/>
          <w:lang w:eastAsia="en-US"/>
        </w:rPr>
        <w:t xml:space="preserve"> ММ, </w:t>
      </w:r>
      <w:proofErr w:type="spellStart"/>
      <w:r w:rsidRPr="00520861">
        <w:rPr>
          <w:rFonts w:eastAsiaTheme="minorHAnsi"/>
          <w:sz w:val="28"/>
          <w:szCs w:val="28"/>
          <w:lang w:eastAsia="en-US"/>
        </w:rPr>
        <w:t>Будрейко</w:t>
      </w:r>
      <w:proofErr w:type="spellEnd"/>
      <w:r w:rsidRPr="00520861">
        <w:rPr>
          <w:rFonts w:eastAsiaTheme="minorHAnsi"/>
          <w:sz w:val="28"/>
          <w:szCs w:val="28"/>
          <w:lang w:eastAsia="en-US"/>
        </w:rPr>
        <w:t xml:space="preserve"> ОА. (</w:t>
      </w:r>
      <w:r w:rsidRPr="00520861">
        <w:rPr>
          <w:rFonts w:eastAsiaTheme="minorHAnsi"/>
          <w:sz w:val="28"/>
          <w:szCs w:val="28"/>
          <w:lang w:val="en-US" w:eastAsia="en-US"/>
        </w:rPr>
        <w:t>eds</w:t>
      </w:r>
      <w:r w:rsidRPr="00520861">
        <w:rPr>
          <w:rFonts w:eastAsiaTheme="minorHAnsi"/>
          <w:sz w:val="28"/>
          <w:szCs w:val="28"/>
          <w:lang w:eastAsia="en-US"/>
        </w:rPr>
        <w:t xml:space="preserve">.) </w:t>
      </w:r>
      <w:r w:rsidRPr="00520861">
        <w:rPr>
          <w:rFonts w:eastAsiaTheme="minorHAnsi"/>
          <w:i/>
          <w:sz w:val="28"/>
          <w:szCs w:val="28"/>
          <w:lang w:eastAsia="en-US"/>
        </w:rPr>
        <w:t>Матеріали Науково-практичної конференції «Ендокринна патологія в віковому аспекті» 26–27 листопада 2015 р., Харків</w:t>
      </w:r>
      <w:r w:rsidRPr="00520861">
        <w:rPr>
          <w:rFonts w:eastAsiaTheme="minorHAnsi"/>
          <w:sz w:val="28"/>
          <w:szCs w:val="28"/>
          <w:lang w:eastAsia="en-US"/>
        </w:rPr>
        <w:t>. Харків: ТОВ «Пульс»; 2015. с. 22–23.</w:t>
      </w:r>
    </w:p>
    <w:p w14:paraId="067AA19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Гармаш ОВ, Рябоконь ЄМ, Губіна-</w:t>
      </w:r>
      <w:proofErr w:type="spellStart"/>
      <w:r w:rsidRPr="00520861">
        <w:rPr>
          <w:rFonts w:eastAsiaTheme="minorHAnsi"/>
          <w:sz w:val="28"/>
          <w:szCs w:val="28"/>
          <w:lang w:eastAsia="en-US"/>
        </w:rPr>
        <w:t>Вакулік</w:t>
      </w:r>
      <w:proofErr w:type="spellEnd"/>
      <w:r w:rsidRPr="00520861">
        <w:rPr>
          <w:rFonts w:eastAsiaTheme="minorHAnsi"/>
          <w:sz w:val="28"/>
          <w:szCs w:val="28"/>
          <w:lang w:eastAsia="en-US"/>
        </w:rPr>
        <w:t xml:space="preserve"> ГІ, винахідники; Харківський </w:t>
      </w:r>
      <w:r w:rsidR="00B22E6A" w:rsidRPr="00520861">
        <w:rPr>
          <w:rFonts w:eastAsiaTheme="minorHAnsi"/>
          <w:sz w:val="28"/>
          <w:szCs w:val="28"/>
          <w:lang w:eastAsia="en-US"/>
        </w:rPr>
        <w:br/>
      </w:r>
      <w:r w:rsidRPr="00520861">
        <w:rPr>
          <w:rFonts w:eastAsiaTheme="minorHAnsi"/>
          <w:sz w:val="28"/>
          <w:szCs w:val="28"/>
          <w:lang w:eastAsia="en-US"/>
        </w:rPr>
        <w:t xml:space="preserve">національний мед. ун-т, патентовласник. Спосіб моделювання </w:t>
      </w:r>
      <w:proofErr w:type="spellStart"/>
      <w:r w:rsidRPr="00520861">
        <w:rPr>
          <w:rFonts w:eastAsiaTheme="minorHAnsi"/>
          <w:sz w:val="28"/>
          <w:szCs w:val="28"/>
          <w:lang w:eastAsia="en-US"/>
        </w:rPr>
        <w:t>макросомії</w:t>
      </w:r>
      <w:proofErr w:type="spellEnd"/>
      <w:r w:rsidRPr="00520861">
        <w:rPr>
          <w:rFonts w:eastAsiaTheme="minorHAnsi"/>
          <w:sz w:val="28"/>
          <w:szCs w:val="28"/>
          <w:lang w:eastAsia="en-US"/>
        </w:rPr>
        <w:t xml:space="preserve"> плоду в експерименті. Патент України №123084 U, МПК G 09 N 23/28 (2006.01) / (UA). 2018 </w:t>
      </w:r>
      <w:proofErr w:type="spellStart"/>
      <w:r w:rsidRPr="00520861">
        <w:rPr>
          <w:rFonts w:eastAsiaTheme="minorHAnsi"/>
          <w:sz w:val="28"/>
          <w:szCs w:val="28"/>
          <w:lang w:eastAsia="en-US"/>
        </w:rPr>
        <w:t>лют</w:t>
      </w:r>
      <w:proofErr w:type="spellEnd"/>
      <w:r w:rsidRPr="00520861">
        <w:rPr>
          <w:rFonts w:eastAsiaTheme="minorHAnsi"/>
          <w:sz w:val="28"/>
          <w:szCs w:val="28"/>
          <w:lang w:eastAsia="en-US"/>
        </w:rPr>
        <w:t>. 12.</w:t>
      </w:r>
    </w:p>
    <w:p w14:paraId="2996ABD3"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val="ru-RU" w:eastAsia="en-US"/>
        </w:rPr>
      </w:pPr>
      <w:r w:rsidRPr="00520861">
        <w:rPr>
          <w:rFonts w:eastAsia="Calibri"/>
          <w:sz w:val="28"/>
          <w:szCs w:val="28"/>
          <w:lang w:eastAsia="en-US"/>
        </w:rPr>
        <w:t xml:space="preserve">Гармаш ОВ, Рябоконь ЄМ, </w:t>
      </w:r>
      <w:proofErr w:type="spellStart"/>
      <w:r w:rsidRPr="00520861">
        <w:rPr>
          <w:rFonts w:eastAsia="Calibri"/>
          <w:sz w:val="28"/>
          <w:szCs w:val="28"/>
          <w:lang w:eastAsia="en-US"/>
        </w:rPr>
        <w:t>Коробчанський</w:t>
      </w:r>
      <w:proofErr w:type="spellEnd"/>
      <w:r w:rsidRPr="00520861">
        <w:rPr>
          <w:rFonts w:eastAsia="Calibri"/>
          <w:sz w:val="28"/>
          <w:szCs w:val="28"/>
          <w:lang w:eastAsia="en-US"/>
        </w:rPr>
        <w:t xml:space="preserve"> ВО, винахідники; Харківський національний мед. ун-т, патентовласник. Прогнозування ризику порушень </w:t>
      </w:r>
      <w:proofErr w:type="spellStart"/>
      <w:r w:rsidRPr="00520861">
        <w:rPr>
          <w:rFonts w:eastAsia="Calibri"/>
          <w:sz w:val="28"/>
          <w:szCs w:val="28"/>
          <w:lang w:eastAsia="en-US"/>
        </w:rPr>
        <w:t>зубо</w:t>
      </w:r>
      <w:proofErr w:type="spellEnd"/>
      <w:r w:rsidRPr="00520861">
        <w:rPr>
          <w:rFonts w:eastAsia="Calibri"/>
          <w:sz w:val="28"/>
          <w:szCs w:val="28"/>
          <w:lang w:eastAsia="en-US"/>
        </w:rPr>
        <w:t xml:space="preserve">-щелепної системи в новонароджених та дітей грудного віку із </w:t>
      </w:r>
      <w:proofErr w:type="spellStart"/>
      <w:r w:rsidRPr="00520861">
        <w:rPr>
          <w:rFonts w:eastAsia="Calibri"/>
          <w:sz w:val="28"/>
          <w:szCs w:val="28"/>
          <w:lang w:eastAsia="en-US"/>
        </w:rPr>
        <w:t>макросомією</w:t>
      </w:r>
      <w:proofErr w:type="spellEnd"/>
      <w:r w:rsidRPr="00520861">
        <w:rPr>
          <w:rFonts w:eastAsia="Calibri"/>
          <w:sz w:val="28"/>
          <w:szCs w:val="28"/>
          <w:lang w:eastAsia="en-US"/>
        </w:rPr>
        <w:t xml:space="preserve"> (додаток до карти розвитку новонародженого, історії розвитку дитини або медичної карти стаціонарного хворого). Свідоцтво про реєстрацію авторського права на твір № 64101. 2016 </w:t>
      </w:r>
      <w:proofErr w:type="spellStart"/>
      <w:r w:rsidRPr="00520861">
        <w:rPr>
          <w:rFonts w:eastAsia="Calibri"/>
          <w:sz w:val="28"/>
          <w:szCs w:val="28"/>
          <w:lang w:eastAsia="en-US"/>
        </w:rPr>
        <w:t>лют</w:t>
      </w:r>
      <w:proofErr w:type="spellEnd"/>
      <w:r w:rsidRPr="00520861">
        <w:rPr>
          <w:rFonts w:eastAsia="Calibri"/>
          <w:sz w:val="28"/>
          <w:szCs w:val="28"/>
          <w:lang w:eastAsia="en-US"/>
        </w:rPr>
        <w:t>. 15.</w:t>
      </w:r>
    </w:p>
    <w:p w14:paraId="144A8271"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val="en-US" w:eastAsia="en-US"/>
        </w:rPr>
      </w:pPr>
      <w:r w:rsidRPr="00520861">
        <w:rPr>
          <w:rFonts w:eastAsia="Calibri"/>
          <w:sz w:val="28"/>
          <w:szCs w:val="28"/>
          <w:lang w:eastAsia="en-US"/>
        </w:rPr>
        <w:lastRenderedPageBreak/>
        <w:t xml:space="preserve">Гармаш ОВ, Рябоконь ЄМ, </w:t>
      </w:r>
      <w:proofErr w:type="spellStart"/>
      <w:r w:rsidRPr="00520861">
        <w:rPr>
          <w:rFonts w:eastAsia="Calibri"/>
          <w:sz w:val="28"/>
          <w:szCs w:val="28"/>
          <w:lang w:eastAsia="en-US"/>
        </w:rPr>
        <w:t>Коробчанський</w:t>
      </w:r>
      <w:proofErr w:type="spellEnd"/>
      <w:r w:rsidRPr="00520861">
        <w:rPr>
          <w:rFonts w:eastAsia="Calibri"/>
          <w:sz w:val="28"/>
          <w:szCs w:val="28"/>
          <w:lang w:eastAsia="en-US"/>
        </w:rPr>
        <w:t xml:space="preserve"> ВО, винахідники; Харківський </w:t>
      </w:r>
      <w:r w:rsidR="00B22E6A" w:rsidRPr="00520861">
        <w:rPr>
          <w:rFonts w:eastAsia="Calibri"/>
          <w:sz w:val="28"/>
          <w:szCs w:val="28"/>
          <w:lang w:eastAsia="en-US"/>
        </w:rPr>
        <w:br/>
      </w:r>
      <w:r w:rsidRPr="00520861">
        <w:rPr>
          <w:rFonts w:eastAsia="Calibri"/>
          <w:sz w:val="28"/>
          <w:szCs w:val="28"/>
          <w:lang w:eastAsia="en-US"/>
        </w:rPr>
        <w:t xml:space="preserve">національний мед. ун-т, патентовласник. Спосіб оцінювання ризику розвитку патології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й твердих тканин зубів у дітей та підлітків, які народилися з діагнозом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(Додаток до історії розвитку дитини або медичної карти </w:t>
      </w:r>
      <w:r w:rsidR="00B22E6A" w:rsidRPr="00520861">
        <w:rPr>
          <w:rFonts w:eastAsia="Calibri"/>
          <w:sz w:val="28"/>
          <w:szCs w:val="28"/>
          <w:lang w:eastAsia="en-US"/>
        </w:rPr>
        <w:br/>
      </w:r>
      <w:r w:rsidRPr="00520861">
        <w:rPr>
          <w:rFonts w:eastAsia="Calibri"/>
          <w:sz w:val="28"/>
          <w:szCs w:val="28"/>
          <w:lang w:eastAsia="en-US"/>
        </w:rPr>
        <w:t>стаціонарного хворого). Свідоцтво про реєстрацію авторського права на твір № 73169. 2017 лип. 26.</w:t>
      </w:r>
    </w:p>
    <w:p w14:paraId="097AD2CA"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val="en-US" w:eastAsia="en-US"/>
        </w:rPr>
      </w:pPr>
      <w:r w:rsidRPr="00520861">
        <w:rPr>
          <w:rFonts w:eastAsia="Calibri"/>
          <w:sz w:val="28"/>
          <w:szCs w:val="28"/>
          <w:lang w:eastAsia="en-US"/>
        </w:rPr>
        <w:t xml:space="preserve">Гармаш ОВ, Рябоконь ЄМ, </w:t>
      </w:r>
      <w:proofErr w:type="spellStart"/>
      <w:r w:rsidRPr="00520861">
        <w:rPr>
          <w:rFonts w:eastAsia="Calibri"/>
          <w:sz w:val="28"/>
          <w:szCs w:val="28"/>
          <w:lang w:eastAsia="en-US"/>
        </w:rPr>
        <w:t>Коробчанський</w:t>
      </w:r>
      <w:proofErr w:type="spellEnd"/>
      <w:r w:rsidRPr="00520861">
        <w:rPr>
          <w:rFonts w:eastAsia="Calibri"/>
          <w:sz w:val="28"/>
          <w:szCs w:val="28"/>
          <w:lang w:eastAsia="en-US"/>
        </w:rPr>
        <w:t xml:space="preserve"> ВО, винахідники; Харківський </w:t>
      </w:r>
      <w:r w:rsidR="00B22E6A" w:rsidRPr="00520861">
        <w:rPr>
          <w:rFonts w:eastAsia="Calibri"/>
          <w:sz w:val="28"/>
          <w:szCs w:val="28"/>
          <w:lang w:eastAsia="en-US"/>
        </w:rPr>
        <w:br/>
      </w:r>
      <w:r w:rsidRPr="00520861">
        <w:rPr>
          <w:rFonts w:eastAsia="Calibri"/>
          <w:sz w:val="28"/>
          <w:szCs w:val="28"/>
          <w:lang w:eastAsia="en-US"/>
        </w:rPr>
        <w:t xml:space="preserve">національний мед. ун-т, патентовласник. Спосіб оцінювання ризику розвитку патології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й твердих тканин зубів у пацієнтів, які народилися з діагнозом </w:t>
      </w:r>
      <w:proofErr w:type="spellStart"/>
      <w:r w:rsidRPr="00520861">
        <w:rPr>
          <w:rFonts w:eastAsia="Calibri"/>
          <w:sz w:val="28"/>
          <w:szCs w:val="28"/>
          <w:lang w:eastAsia="en-US"/>
        </w:rPr>
        <w:t>макросомія</w:t>
      </w:r>
      <w:proofErr w:type="spellEnd"/>
      <w:r w:rsidRPr="00520861">
        <w:rPr>
          <w:rFonts w:eastAsia="Calibri"/>
          <w:sz w:val="28"/>
          <w:szCs w:val="28"/>
          <w:lang w:eastAsia="en-US"/>
        </w:rPr>
        <w:t xml:space="preserve"> (Додаток до історії хвороби). Свідоцтво про реєстрацію авторського права на твір № 60029. 2015 черв. 05.</w:t>
      </w:r>
      <w:r w:rsidRPr="00520861">
        <w:rPr>
          <w:rFonts w:eastAsiaTheme="minorHAnsi"/>
          <w:sz w:val="28"/>
          <w:szCs w:val="28"/>
          <w:lang w:val="en-US" w:eastAsia="en-US"/>
        </w:rPr>
        <w:t xml:space="preserve"> </w:t>
      </w:r>
    </w:p>
    <w:p w14:paraId="47F5498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proofErr w:type="spellStart"/>
      <w:r w:rsidRPr="00520861">
        <w:rPr>
          <w:rFonts w:eastAsia="Calibri"/>
          <w:sz w:val="28"/>
          <w:szCs w:val="28"/>
          <w:lang w:eastAsia="en-US"/>
        </w:rPr>
        <w:t>Гевкалюк</w:t>
      </w:r>
      <w:proofErr w:type="spellEnd"/>
      <w:r w:rsidRPr="00520861">
        <w:rPr>
          <w:rFonts w:eastAsia="Calibri"/>
          <w:sz w:val="28"/>
          <w:szCs w:val="28"/>
          <w:lang w:eastAsia="en-US"/>
        </w:rPr>
        <w:t xml:space="preserve"> НО. </w:t>
      </w:r>
      <w:proofErr w:type="spellStart"/>
      <w:r w:rsidRPr="00520861">
        <w:rPr>
          <w:rFonts w:eastAsia="Calibri"/>
          <w:sz w:val="28"/>
          <w:szCs w:val="28"/>
          <w:lang w:eastAsia="en-US"/>
        </w:rPr>
        <w:t>Антиоксидантно-прооксидантні</w:t>
      </w:r>
      <w:proofErr w:type="spellEnd"/>
      <w:r w:rsidRPr="00520861">
        <w:rPr>
          <w:rFonts w:eastAsia="Calibri"/>
          <w:sz w:val="28"/>
          <w:szCs w:val="28"/>
          <w:lang w:eastAsia="en-US"/>
        </w:rPr>
        <w:t xml:space="preserve"> відношення у крові хворих на ГРВІ дітей із проявами захворювання в порожнині рота</w:t>
      </w:r>
      <w:r w:rsidRPr="00520861">
        <w:rPr>
          <w:rFonts w:eastAsia="Calibri"/>
          <w:sz w:val="28"/>
          <w:szCs w:val="28"/>
          <w:lang w:val="ru-RU" w:eastAsia="en-US"/>
        </w:rPr>
        <w:t>.</w:t>
      </w:r>
      <w:r w:rsidRPr="00520861">
        <w:rPr>
          <w:rFonts w:eastAsia="Calibri"/>
          <w:sz w:val="28"/>
          <w:szCs w:val="28"/>
          <w:lang w:eastAsia="en-US"/>
        </w:rPr>
        <w:t xml:space="preserve"> </w:t>
      </w:r>
      <w:r w:rsidRPr="00520861">
        <w:rPr>
          <w:rFonts w:eastAsia="Calibri"/>
          <w:i/>
          <w:sz w:val="28"/>
          <w:szCs w:val="28"/>
          <w:lang w:eastAsia="en-US"/>
        </w:rPr>
        <w:t>Медична та клінічна хімія</w:t>
      </w:r>
      <w:r w:rsidRPr="00520861">
        <w:rPr>
          <w:rFonts w:eastAsia="Calibri"/>
          <w:sz w:val="28"/>
          <w:szCs w:val="28"/>
          <w:lang w:eastAsia="en-US"/>
        </w:rPr>
        <w:t>. 2015;17(4): 91–95. Доступно на</w:t>
      </w:r>
      <w:r w:rsidRPr="00520861">
        <w:rPr>
          <w:sz w:val="28"/>
          <w:szCs w:val="28"/>
        </w:rPr>
        <w:t xml:space="preserve">: </w:t>
      </w:r>
      <w:r w:rsidRPr="00520861">
        <w:rPr>
          <w:rFonts w:eastAsia="Calibri"/>
          <w:sz w:val="28"/>
          <w:szCs w:val="28"/>
          <w:lang w:val="en-US" w:eastAsia="en-US"/>
        </w:rPr>
        <w:t>DOI</w:t>
      </w:r>
      <w:r w:rsidRPr="00520861">
        <w:rPr>
          <w:rFonts w:eastAsia="Calibri"/>
          <w:sz w:val="28"/>
          <w:szCs w:val="28"/>
          <w:lang w:val="ru-RU" w:eastAsia="en-US"/>
        </w:rPr>
        <w:t xml:space="preserve">: </w:t>
      </w:r>
      <w:r w:rsidRPr="00520861">
        <w:rPr>
          <w:rFonts w:eastAsia="Calibri"/>
          <w:sz w:val="28"/>
          <w:szCs w:val="28"/>
          <w:lang w:eastAsia="en-US"/>
        </w:rPr>
        <w:t>10.11603/mcch.2410-681X.2015.v17.i4.5730</w:t>
      </w:r>
      <w:r w:rsidRPr="00520861">
        <w:rPr>
          <w:rFonts w:eastAsia="Calibri"/>
          <w:sz w:val="28"/>
          <w:szCs w:val="28"/>
          <w:lang w:val="ru-RU" w:eastAsia="en-US"/>
        </w:rPr>
        <w:t>.</w:t>
      </w:r>
    </w:p>
    <w:p w14:paraId="2812981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Гемонов</w:t>
      </w:r>
      <w:proofErr w:type="spellEnd"/>
      <w:r w:rsidRPr="00520861">
        <w:rPr>
          <w:rFonts w:eastAsiaTheme="minorHAnsi"/>
          <w:sz w:val="28"/>
          <w:szCs w:val="28"/>
          <w:lang w:eastAsia="en-US"/>
        </w:rPr>
        <w:t xml:space="preserve"> ВВ, Лаврова ЭН, </w:t>
      </w:r>
      <w:proofErr w:type="spellStart"/>
      <w:r w:rsidRPr="00520861">
        <w:rPr>
          <w:rFonts w:eastAsiaTheme="minorHAnsi"/>
          <w:sz w:val="28"/>
          <w:szCs w:val="28"/>
          <w:lang w:eastAsia="en-US"/>
        </w:rPr>
        <w:t>Фалин</w:t>
      </w:r>
      <w:proofErr w:type="spellEnd"/>
      <w:r w:rsidRPr="00520861">
        <w:rPr>
          <w:rFonts w:eastAsiaTheme="minorHAnsi"/>
          <w:sz w:val="28"/>
          <w:szCs w:val="28"/>
          <w:lang w:eastAsia="en-US"/>
        </w:rPr>
        <w:t xml:space="preserve"> ЛИ. </w:t>
      </w:r>
      <w:proofErr w:type="spellStart"/>
      <w:r w:rsidRPr="00520861">
        <w:rPr>
          <w:rFonts w:eastAsiaTheme="minorHAnsi"/>
          <w:i/>
          <w:sz w:val="28"/>
          <w:szCs w:val="28"/>
          <w:lang w:eastAsia="en-US"/>
        </w:rPr>
        <w:t>Гистология</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эмбриология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органов</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полости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рта</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зубов</w:t>
      </w:r>
      <w:proofErr w:type="spellEnd"/>
      <w:r w:rsidRPr="00520861">
        <w:rPr>
          <w:rFonts w:eastAsiaTheme="minorHAnsi"/>
          <w:sz w:val="28"/>
          <w:szCs w:val="28"/>
          <w:lang w:eastAsia="en-US"/>
        </w:rPr>
        <w:t xml:space="preserve">. </w:t>
      </w:r>
      <w:r w:rsidRPr="00520861">
        <w:rPr>
          <w:rFonts w:eastAsiaTheme="minorHAnsi"/>
          <w:sz w:val="28"/>
          <w:szCs w:val="28"/>
          <w:lang w:val="ru-RU" w:eastAsia="en-US"/>
        </w:rPr>
        <w:t>Москва: ГЭОТАР-Медиа</w:t>
      </w:r>
      <w:r w:rsidRPr="00520861">
        <w:rPr>
          <w:rFonts w:eastAsiaTheme="minorHAnsi"/>
          <w:sz w:val="28"/>
          <w:szCs w:val="28"/>
          <w:lang w:eastAsia="en-US"/>
        </w:rPr>
        <w:t>; 2016. 312 с.</w:t>
      </w:r>
    </w:p>
    <w:p w14:paraId="6C6147E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ru-RU" w:eastAsia="en-US"/>
        </w:rPr>
        <w:t xml:space="preserve">Герасимов АН. </w:t>
      </w:r>
      <w:r w:rsidRPr="00520861">
        <w:rPr>
          <w:rFonts w:eastAsiaTheme="minorHAnsi"/>
          <w:i/>
          <w:sz w:val="28"/>
          <w:szCs w:val="28"/>
          <w:lang w:val="ru-RU" w:eastAsia="en-US"/>
        </w:rPr>
        <w:t>Медицинская статистика</w:t>
      </w:r>
      <w:r w:rsidRPr="00520861">
        <w:rPr>
          <w:rFonts w:eastAsiaTheme="minorHAnsi"/>
          <w:sz w:val="28"/>
          <w:szCs w:val="28"/>
          <w:lang w:val="ru-RU" w:eastAsia="en-US"/>
        </w:rPr>
        <w:t>. Москва: Медицинское информационное агентство; 2007.</w:t>
      </w:r>
      <w:r w:rsidRPr="00520861">
        <w:rPr>
          <w:rFonts w:eastAsiaTheme="minorHAnsi"/>
          <w:sz w:val="28"/>
          <w:szCs w:val="28"/>
          <w:lang w:eastAsia="en-US"/>
        </w:rPr>
        <w:t xml:space="preserve"> 475 с.</w:t>
      </w:r>
    </w:p>
    <w:p w14:paraId="6B0F4BF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Глаголева</w:t>
      </w:r>
      <w:proofErr w:type="spellEnd"/>
      <w:r w:rsidRPr="00520861">
        <w:rPr>
          <w:rFonts w:eastAsiaTheme="minorHAnsi"/>
          <w:sz w:val="28"/>
          <w:szCs w:val="28"/>
          <w:lang w:eastAsia="en-US"/>
        </w:rPr>
        <w:t xml:space="preserve"> ЛЭ, </w:t>
      </w:r>
      <w:proofErr w:type="spellStart"/>
      <w:r w:rsidRPr="00520861">
        <w:rPr>
          <w:rFonts w:eastAsiaTheme="minorHAnsi"/>
          <w:sz w:val="28"/>
          <w:szCs w:val="28"/>
          <w:lang w:eastAsia="en-US"/>
        </w:rPr>
        <w:t>Родионова</w:t>
      </w:r>
      <w:proofErr w:type="spellEnd"/>
      <w:r w:rsidRPr="00520861">
        <w:rPr>
          <w:rFonts w:eastAsiaTheme="minorHAnsi"/>
          <w:sz w:val="28"/>
          <w:szCs w:val="28"/>
          <w:lang w:eastAsia="en-US"/>
        </w:rPr>
        <w:t xml:space="preserve"> НС, </w:t>
      </w:r>
      <w:proofErr w:type="spellStart"/>
      <w:r w:rsidRPr="00520861">
        <w:rPr>
          <w:rFonts w:eastAsiaTheme="minorHAnsi"/>
          <w:sz w:val="28"/>
          <w:szCs w:val="28"/>
          <w:lang w:eastAsia="en-US"/>
        </w:rPr>
        <w:t>Корнеева</w:t>
      </w:r>
      <w:proofErr w:type="spellEnd"/>
      <w:r w:rsidRPr="00520861">
        <w:rPr>
          <w:rFonts w:eastAsiaTheme="minorHAnsi"/>
          <w:sz w:val="28"/>
          <w:szCs w:val="28"/>
          <w:lang w:eastAsia="en-US"/>
        </w:rPr>
        <w:t xml:space="preserve"> ОС, </w:t>
      </w:r>
      <w:proofErr w:type="spellStart"/>
      <w:r w:rsidRPr="00520861">
        <w:rPr>
          <w:rFonts w:eastAsiaTheme="minorHAnsi"/>
          <w:sz w:val="28"/>
          <w:szCs w:val="28"/>
          <w:lang w:eastAsia="en-US"/>
        </w:rPr>
        <w:t>Шуваева</w:t>
      </w:r>
      <w:proofErr w:type="spellEnd"/>
      <w:r w:rsidRPr="00520861">
        <w:rPr>
          <w:rFonts w:eastAsiaTheme="minorHAnsi"/>
          <w:sz w:val="28"/>
          <w:szCs w:val="28"/>
          <w:lang w:eastAsia="en-US"/>
        </w:rPr>
        <w:t xml:space="preserve"> ГП. </w:t>
      </w:r>
      <w:proofErr w:type="spellStart"/>
      <w:r w:rsidRPr="00520861">
        <w:rPr>
          <w:rFonts w:eastAsiaTheme="minorHAnsi"/>
          <w:sz w:val="28"/>
          <w:szCs w:val="28"/>
          <w:lang w:eastAsia="en-US"/>
        </w:rPr>
        <w:t>Исследование</w:t>
      </w:r>
      <w:proofErr w:type="spellEnd"/>
      <w:r w:rsidRPr="00520861">
        <w:rPr>
          <w:rFonts w:eastAsiaTheme="minorHAnsi"/>
          <w:sz w:val="28"/>
          <w:szCs w:val="28"/>
          <w:lang w:eastAsia="en-US"/>
        </w:rPr>
        <w:t xml:space="preserve"> </w:t>
      </w:r>
      <w:r w:rsidR="00B22E6A" w:rsidRPr="00520861">
        <w:rPr>
          <w:rFonts w:eastAsiaTheme="minorHAnsi"/>
          <w:sz w:val="28"/>
          <w:szCs w:val="28"/>
          <w:lang w:eastAsia="en-US"/>
        </w:rPr>
        <w:br/>
      </w:r>
      <w:proofErr w:type="spellStart"/>
      <w:r w:rsidR="00B22E6A" w:rsidRPr="00520861">
        <w:rPr>
          <w:rFonts w:eastAsiaTheme="minorHAnsi"/>
          <w:sz w:val="28"/>
          <w:szCs w:val="28"/>
          <w:lang w:eastAsia="en-US"/>
        </w:rPr>
        <w:t>энт</w:t>
      </w:r>
      <w:proofErr w:type="spellEnd"/>
      <w:r w:rsidR="00B22E6A" w:rsidRPr="00520861">
        <w:rPr>
          <w:rFonts w:eastAsiaTheme="minorHAnsi"/>
          <w:sz w:val="28"/>
          <w:szCs w:val="28"/>
          <w:lang w:val="ru-RU" w:eastAsia="en-US"/>
        </w:rPr>
        <w:t>е</w:t>
      </w:r>
      <w:proofErr w:type="spellStart"/>
      <w:r w:rsidRPr="00520861">
        <w:rPr>
          <w:rFonts w:eastAsiaTheme="minorHAnsi"/>
          <w:sz w:val="28"/>
          <w:szCs w:val="28"/>
          <w:lang w:eastAsia="en-US"/>
        </w:rPr>
        <w:t>росорбирующих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свойств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пищевых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биосистем</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условиях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vivo</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Вестник</w:t>
      </w:r>
      <w:proofErr w:type="spellEnd"/>
      <w:r w:rsidRPr="00520861">
        <w:rPr>
          <w:rFonts w:eastAsiaTheme="minorHAnsi"/>
          <w:i/>
          <w:sz w:val="28"/>
          <w:szCs w:val="28"/>
          <w:lang w:eastAsia="en-US"/>
        </w:rPr>
        <w:t xml:space="preserve"> ГУИТ</w:t>
      </w:r>
      <w:r w:rsidRPr="00520861">
        <w:rPr>
          <w:rFonts w:eastAsiaTheme="minorHAnsi"/>
          <w:sz w:val="28"/>
          <w:szCs w:val="28"/>
          <w:lang w:eastAsia="en-US"/>
        </w:rPr>
        <w:t>. 2012</w:t>
      </w:r>
      <w:r w:rsidRPr="00520861">
        <w:rPr>
          <w:rFonts w:eastAsiaTheme="minorHAnsi"/>
          <w:sz w:val="28"/>
          <w:szCs w:val="28"/>
          <w:lang w:val="ru-RU" w:eastAsia="en-US"/>
        </w:rPr>
        <w:t>;(</w:t>
      </w:r>
      <w:r w:rsidRPr="00520861">
        <w:rPr>
          <w:rFonts w:eastAsiaTheme="minorHAnsi"/>
          <w:sz w:val="28"/>
          <w:szCs w:val="28"/>
          <w:lang w:eastAsia="en-US"/>
        </w:rPr>
        <w:t>3</w:t>
      </w:r>
      <w:r w:rsidRPr="00520861">
        <w:rPr>
          <w:rFonts w:eastAsiaTheme="minorHAnsi"/>
          <w:sz w:val="28"/>
          <w:szCs w:val="28"/>
          <w:lang w:val="ru-RU" w:eastAsia="en-US"/>
        </w:rPr>
        <w:t>):</w:t>
      </w:r>
      <w:r w:rsidRPr="00520861">
        <w:rPr>
          <w:rFonts w:eastAsiaTheme="minorHAnsi"/>
          <w:sz w:val="28"/>
          <w:szCs w:val="28"/>
          <w:lang w:eastAsia="en-US"/>
        </w:rPr>
        <w:t xml:space="preserve"> 163–164.</w:t>
      </w:r>
    </w:p>
    <w:p w14:paraId="44E1483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Глазунов ОА, </w:t>
      </w:r>
      <w:proofErr w:type="spellStart"/>
      <w:r w:rsidRPr="00520861">
        <w:rPr>
          <w:rFonts w:eastAsiaTheme="minorHAnsi"/>
          <w:sz w:val="28"/>
          <w:szCs w:val="28"/>
          <w:lang w:eastAsia="en-US"/>
        </w:rPr>
        <w:t>Меладзе</w:t>
      </w:r>
      <w:proofErr w:type="spellEnd"/>
      <w:r w:rsidRPr="00520861">
        <w:rPr>
          <w:rFonts w:eastAsiaTheme="minorHAnsi"/>
          <w:sz w:val="28"/>
          <w:szCs w:val="28"/>
          <w:lang w:eastAsia="en-US"/>
        </w:rPr>
        <w:t xml:space="preserve"> ІН, Глазунова СО. Особливості перебігу </w:t>
      </w:r>
      <w:proofErr w:type="spellStart"/>
      <w:r w:rsidRPr="00520861">
        <w:rPr>
          <w:rFonts w:eastAsiaTheme="minorHAnsi"/>
          <w:sz w:val="28"/>
          <w:szCs w:val="28"/>
          <w:lang w:eastAsia="en-US"/>
        </w:rPr>
        <w:t>генералізованого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пародонтиту</w:t>
      </w:r>
      <w:proofErr w:type="spellEnd"/>
      <w:r w:rsidRPr="00520861">
        <w:rPr>
          <w:rFonts w:eastAsiaTheme="minorHAnsi"/>
          <w:sz w:val="28"/>
          <w:szCs w:val="28"/>
          <w:lang w:eastAsia="en-US"/>
        </w:rPr>
        <w:t xml:space="preserve"> у осіб з ожирінням, ускладненим метаболічним синдромом. </w:t>
      </w:r>
      <w:r w:rsidRPr="00520861">
        <w:rPr>
          <w:rFonts w:eastAsiaTheme="minorHAnsi"/>
          <w:i/>
          <w:sz w:val="28"/>
          <w:szCs w:val="28"/>
          <w:lang w:eastAsia="en-US"/>
        </w:rPr>
        <w:t>Інновації в стоматології</w:t>
      </w:r>
      <w:r w:rsidRPr="00520861">
        <w:rPr>
          <w:rFonts w:eastAsiaTheme="minorHAnsi"/>
          <w:sz w:val="28"/>
          <w:szCs w:val="28"/>
          <w:lang w:eastAsia="en-US"/>
        </w:rPr>
        <w:t xml:space="preserve">. 2016;(4): 40–44. </w:t>
      </w:r>
    </w:p>
    <w:p w14:paraId="119C8D4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Годованець ОІ, Гончаренко ВА. Особливості мінералізації емалі зубів у дітей, хворих на дифузний нетоксичний зоб. </w:t>
      </w:r>
      <w:r w:rsidRPr="00520861">
        <w:rPr>
          <w:rFonts w:eastAsiaTheme="minorHAnsi"/>
          <w:i/>
          <w:sz w:val="28"/>
          <w:szCs w:val="28"/>
          <w:lang w:eastAsia="en-US"/>
        </w:rPr>
        <w:t>Профілактична та дитяча стоматологія</w:t>
      </w:r>
      <w:r w:rsidRPr="00520861">
        <w:rPr>
          <w:rFonts w:eastAsiaTheme="minorHAnsi"/>
          <w:sz w:val="28"/>
          <w:szCs w:val="28"/>
          <w:lang w:eastAsia="en-US"/>
        </w:rPr>
        <w:t>. 2015;13(2): 14–17.</w:t>
      </w:r>
    </w:p>
    <w:p w14:paraId="3DE5673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sz w:val="28"/>
          <w:szCs w:val="28"/>
        </w:rPr>
        <w:t xml:space="preserve">Головко НВ, </w:t>
      </w:r>
      <w:proofErr w:type="spellStart"/>
      <w:r w:rsidRPr="00520861">
        <w:rPr>
          <w:sz w:val="28"/>
          <w:szCs w:val="28"/>
        </w:rPr>
        <w:t>Хейдарі</w:t>
      </w:r>
      <w:proofErr w:type="spellEnd"/>
      <w:r w:rsidRPr="00520861">
        <w:rPr>
          <w:sz w:val="28"/>
          <w:szCs w:val="28"/>
        </w:rPr>
        <w:t xml:space="preserve"> МХ. Типи росту щелеп у пацієнтів з глибоким прикусом та </w:t>
      </w:r>
      <w:proofErr w:type="spellStart"/>
      <w:r w:rsidRPr="00520861">
        <w:rPr>
          <w:sz w:val="28"/>
          <w:szCs w:val="28"/>
        </w:rPr>
        <w:t>ретрузією</w:t>
      </w:r>
      <w:proofErr w:type="spellEnd"/>
      <w:r w:rsidRPr="00520861">
        <w:rPr>
          <w:sz w:val="28"/>
          <w:szCs w:val="28"/>
        </w:rPr>
        <w:t xml:space="preserve"> передніх зубів у різні вікові періоди. </w:t>
      </w:r>
      <w:r w:rsidRPr="00520861">
        <w:rPr>
          <w:i/>
          <w:sz w:val="28"/>
          <w:szCs w:val="28"/>
        </w:rPr>
        <w:t>Актуальні проблеми сучасної медицини: Вісник української медичної стоматологічної академії</w:t>
      </w:r>
      <w:r w:rsidRPr="00520861">
        <w:rPr>
          <w:sz w:val="28"/>
          <w:szCs w:val="28"/>
        </w:rPr>
        <w:t>. 2013;13(2): 28–30.</w:t>
      </w:r>
    </w:p>
    <w:p w14:paraId="24B665B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lastRenderedPageBreak/>
        <w:t xml:space="preserve">Гончарова ЕИ. </w:t>
      </w:r>
      <w:proofErr w:type="spellStart"/>
      <w:r w:rsidRPr="00520861">
        <w:rPr>
          <w:rFonts w:eastAsiaTheme="minorHAnsi"/>
          <w:sz w:val="28"/>
          <w:szCs w:val="28"/>
          <w:lang w:eastAsia="en-US"/>
        </w:rPr>
        <w:t>Рост</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развитие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гормональная</w:t>
      </w:r>
      <w:proofErr w:type="spellEnd"/>
      <w:r w:rsidRPr="00520861">
        <w:rPr>
          <w:rFonts w:eastAsiaTheme="minorHAnsi"/>
          <w:sz w:val="28"/>
          <w:szCs w:val="28"/>
          <w:lang w:eastAsia="en-US"/>
        </w:rPr>
        <w:t xml:space="preserve"> регуляція</w:t>
      </w:r>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Российский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стоматологический</w:t>
      </w:r>
      <w:proofErr w:type="spellEnd"/>
      <w:r w:rsidRPr="00520861">
        <w:rPr>
          <w:rFonts w:eastAsiaTheme="minorHAnsi"/>
          <w:i/>
          <w:sz w:val="28"/>
          <w:szCs w:val="28"/>
          <w:lang w:eastAsia="en-US"/>
        </w:rPr>
        <w:t xml:space="preserve"> журнал</w:t>
      </w:r>
      <w:r w:rsidRPr="00520861">
        <w:rPr>
          <w:rFonts w:eastAsiaTheme="minorHAnsi"/>
          <w:sz w:val="28"/>
          <w:szCs w:val="28"/>
          <w:lang w:val="ru-RU" w:eastAsia="en-US"/>
        </w:rPr>
        <w:t xml:space="preserve">. </w:t>
      </w:r>
      <w:r w:rsidRPr="00520861">
        <w:rPr>
          <w:rFonts w:eastAsiaTheme="minorHAnsi"/>
          <w:sz w:val="28"/>
          <w:szCs w:val="28"/>
          <w:lang w:eastAsia="en-US"/>
        </w:rPr>
        <w:t>2013</w:t>
      </w:r>
      <w:r w:rsidRPr="00520861">
        <w:rPr>
          <w:rFonts w:eastAsiaTheme="minorHAnsi"/>
          <w:sz w:val="28"/>
          <w:szCs w:val="28"/>
          <w:lang w:val="ru-RU" w:eastAsia="en-US"/>
        </w:rPr>
        <w:t>;(</w:t>
      </w:r>
      <w:r w:rsidRPr="00520861">
        <w:rPr>
          <w:rFonts w:eastAsiaTheme="minorHAnsi"/>
          <w:sz w:val="28"/>
          <w:szCs w:val="28"/>
          <w:lang w:eastAsia="en-US"/>
        </w:rPr>
        <w:t>1</w:t>
      </w:r>
      <w:r w:rsidRPr="00520861">
        <w:rPr>
          <w:rFonts w:eastAsiaTheme="minorHAnsi"/>
          <w:sz w:val="28"/>
          <w:szCs w:val="28"/>
          <w:lang w:val="ru-RU" w:eastAsia="en-US"/>
        </w:rPr>
        <w:t>):</w:t>
      </w:r>
      <w:r w:rsidRPr="00520861">
        <w:rPr>
          <w:rFonts w:eastAsiaTheme="minorHAnsi"/>
          <w:sz w:val="28"/>
          <w:szCs w:val="28"/>
          <w:lang w:eastAsia="en-US"/>
        </w:rPr>
        <w:t xml:space="preserve"> 53–56.</w:t>
      </w:r>
    </w:p>
    <w:p w14:paraId="04687C5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ru-RU" w:eastAsia="en-US"/>
        </w:rPr>
        <w:t xml:space="preserve">Городецкая ИВ, Масюк НЮ. Влияние йодсодержащих тиреоидных гормонов на ткани челюстно-лицевой области. </w:t>
      </w:r>
      <w:r w:rsidRPr="00520861">
        <w:rPr>
          <w:rFonts w:eastAsiaTheme="minorHAnsi"/>
          <w:i/>
          <w:sz w:val="28"/>
          <w:szCs w:val="28"/>
          <w:lang w:val="ru-RU" w:eastAsia="en-US"/>
        </w:rPr>
        <w:t>Вестник ВГМУ</w:t>
      </w:r>
      <w:r w:rsidRPr="00520861">
        <w:rPr>
          <w:rFonts w:eastAsiaTheme="minorHAnsi"/>
          <w:sz w:val="28"/>
          <w:szCs w:val="28"/>
          <w:lang w:val="ru-RU" w:eastAsia="en-US"/>
        </w:rPr>
        <w:t xml:space="preserve">. </w:t>
      </w:r>
      <w:r w:rsidRPr="00520861">
        <w:rPr>
          <w:rFonts w:eastAsiaTheme="minorHAnsi"/>
          <w:sz w:val="28"/>
          <w:szCs w:val="28"/>
          <w:lang w:eastAsia="en-US"/>
        </w:rPr>
        <w:t>2018;17(2):</w:t>
      </w:r>
      <w:r w:rsidRPr="00520861">
        <w:rPr>
          <w:rFonts w:eastAsiaTheme="minorHAnsi"/>
          <w:sz w:val="28"/>
          <w:szCs w:val="28"/>
          <w:lang w:val="ru-RU" w:eastAsia="en-US"/>
        </w:rPr>
        <w:t xml:space="preserve"> </w:t>
      </w:r>
      <w:r w:rsidRPr="00520861">
        <w:rPr>
          <w:rFonts w:eastAsiaTheme="minorHAnsi"/>
          <w:sz w:val="28"/>
          <w:szCs w:val="28"/>
          <w:lang w:eastAsia="en-US"/>
        </w:rPr>
        <w:t>20–</w:t>
      </w:r>
      <w:r w:rsidRPr="00520861">
        <w:rPr>
          <w:rFonts w:eastAsiaTheme="minorHAnsi"/>
          <w:sz w:val="28"/>
          <w:szCs w:val="28"/>
          <w:lang w:val="ru-RU" w:eastAsia="en-US"/>
        </w:rPr>
        <w:t>2</w:t>
      </w:r>
      <w:r w:rsidRPr="00520861">
        <w:rPr>
          <w:rFonts w:eastAsiaTheme="minorHAnsi"/>
          <w:sz w:val="28"/>
          <w:szCs w:val="28"/>
          <w:lang w:eastAsia="en-US"/>
        </w:rPr>
        <w:t xml:space="preserve">9. Доступно на: </w:t>
      </w:r>
      <w:r w:rsidRPr="00520861">
        <w:rPr>
          <w:rFonts w:eastAsiaTheme="minorHAnsi"/>
          <w:sz w:val="28"/>
          <w:szCs w:val="28"/>
          <w:lang w:val="en-US" w:eastAsia="en-US"/>
        </w:rPr>
        <w:t>https</w:t>
      </w:r>
      <w:r w:rsidRPr="00520861">
        <w:rPr>
          <w:rFonts w:eastAsiaTheme="minorHAnsi"/>
          <w:sz w:val="28"/>
          <w:szCs w:val="28"/>
          <w:lang w:val="ru-RU" w:eastAsia="en-US"/>
        </w:rPr>
        <w:t>://</w:t>
      </w:r>
      <w:proofErr w:type="spellStart"/>
      <w:r w:rsidRPr="00520861">
        <w:rPr>
          <w:rFonts w:eastAsiaTheme="minorHAnsi"/>
          <w:sz w:val="28"/>
          <w:szCs w:val="28"/>
          <w:lang w:val="en-US" w:eastAsia="en-US"/>
        </w:rPr>
        <w:t>cyberleninka</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ru</w:t>
      </w:r>
      <w:proofErr w:type="spellEnd"/>
      <w:r w:rsidRPr="00520861">
        <w:rPr>
          <w:rFonts w:eastAsiaTheme="minorHAnsi"/>
          <w:sz w:val="28"/>
          <w:szCs w:val="28"/>
          <w:lang w:val="ru-RU" w:eastAsia="en-US"/>
        </w:rPr>
        <w:t>/</w:t>
      </w:r>
      <w:r w:rsidRPr="00520861">
        <w:rPr>
          <w:rFonts w:eastAsiaTheme="minorHAnsi"/>
          <w:sz w:val="28"/>
          <w:szCs w:val="28"/>
          <w:lang w:val="en-US" w:eastAsia="en-US"/>
        </w:rPr>
        <w:t>article</w:t>
      </w:r>
      <w:r w:rsidRPr="00520861">
        <w:rPr>
          <w:rFonts w:eastAsiaTheme="minorHAnsi"/>
          <w:sz w:val="28"/>
          <w:szCs w:val="28"/>
          <w:lang w:val="ru-RU" w:eastAsia="en-US"/>
        </w:rPr>
        <w:t>/</w:t>
      </w:r>
      <w:r w:rsidRPr="00520861">
        <w:rPr>
          <w:rFonts w:eastAsiaTheme="minorHAnsi"/>
          <w:sz w:val="28"/>
          <w:szCs w:val="28"/>
          <w:lang w:val="en-US" w:eastAsia="en-US"/>
        </w:rPr>
        <w:t>n</w:t>
      </w:r>
      <w:r w:rsidRPr="00520861">
        <w:rPr>
          <w:rFonts w:eastAsiaTheme="minorHAnsi"/>
          <w:sz w:val="28"/>
          <w:szCs w:val="28"/>
          <w:lang w:val="ru-RU" w:eastAsia="en-US"/>
        </w:rPr>
        <w:t>/</w:t>
      </w:r>
      <w:proofErr w:type="spellStart"/>
      <w:r w:rsidRPr="00520861">
        <w:rPr>
          <w:rFonts w:eastAsiaTheme="minorHAnsi"/>
          <w:sz w:val="28"/>
          <w:szCs w:val="28"/>
          <w:lang w:val="en-US" w:eastAsia="en-US"/>
        </w:rPr>
        <w:t>vliyanie</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yodsoderzhaschih</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tireoidnyh</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gormonov</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na</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tkani</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chelyustno</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litsevoy</w:t>
      </w:r>
      <w:proofErr w:type="spellEnd"/>
      <w:r w:rsidRPr="00520861">
        <w:rPr>
          <w:rFonts w:eastAsiaTheme="minorHAnsi"/>
          <w:sz w:val="28"/>
          <w:szCs w:val="28"/>
          <w:lang w:val="ru-RU" w:eastAsia="en-US"/>
        </w:rPr>
        <w:t>-</w:t>
      </w:r>
      <w:proofErr w:type="spellStart"/>
      <w:r w:rsidRPr="00520861">
        <w:rPr>
          <w:rFonts w:eastAsiaTheme="minorHAnsi"/>
          <w:sz w:val="28"/>
          <w:szCs w:val="28"/>
          <w:lang w:val="en-US" w:eastAsia="en-US"/>
        </w:rPr>
        <w:t>oblasti</w:t>
      </w:r>
      <w:proofErr w:type="spellEnd"/>
      <w:r w:rsidRPr="00520861">
        <w:rPr>
          <w:rFonts w:eastAsiaTheme="minorHAnsi"/>
          <w:sz w:val="28"/>
          <w:szCs w:val="28"/>
          <w:lang w:val="ru-RU" w:eastAsia="en-US"/>
        </w:rPr>
        <w:t>.</w:t>
      </w:r>
    </w:p>
    <w:p w14:paraId="3777CAA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Горячковский</w:t>
      </w:r>
      <w:proofErr w:type="spellEnd"/>
      <w:r w:rsidRPr="00520861">
        <w:rPr>
          <w:rFonts w:eastAsiaTheme="minorHAnsi"/>
          <w:sz w:val="28"/>
          <w:szCs w:val="28"/>
          <w:lang w:eastAsia="en-US"/>
        </w:rPr>
        <w:t xml:space="preserve"> АМ. </w:t>
      </w:r>
      <w:proofErr w:type="spellStart"/>
      <w:r w:rsidRPr="00520861">
        <w:rPr>
          <w:rFonts w:eastAsiaTheme="minorHAnsi"/>
          <w:i/>
          <w:sz w:val="28"/>
          <w:szCs w:val="28"/>
          <w:lang w:eastAsia="en-US"/>
        </w:rPr>
        <w:t>Клиническая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биохимия</w:t>
      </w:r>
      <w:proofErr w:type="spellEnd"/>
      <w:r w:rsidRPr="00520861">
        <w:rPr>
          <w:rFonts w:eastAsiaTheme="minorHAnsi"/>
          <w:i/>
          <w:sz w:val="28"/>
          <w:szCs w:val="28"/>
          <w:lang w:eastAsia="en-US"/>
        </w:rPr>
        <w:t xml:space="preserve"> в </w:t>
      </w:r>
      <w:proofErr w:type="spellStart"/>
      <w:r w:rsidRPr="00520861">
        <w:rPr>
          <w:rFonts w:eastAsiaTheme="minorHAnsi"/>
          <w:i/>
          <w:sz w:val="28"/>
          <w:szCs w:val="28"/>
          <w:lang w:eastAsia="en-US"/>
        </w:rPr>
        <w:t>лабораторной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диагностике</w:t>
      </w:r>
      <w:proofErr w:type="spellEnd"/>
      <w:r w:rsidRPr="00520861">
        <w:rPr>
          <w:rFonts w:eastAsiaTheme="minorHAnsi"/>
          <w:sz w:val="28"/>
          <w:szCs w:val="28"/>
          <w:lang w:eastAsia="en-US"/>
        </w:rPr>
        <w:t xml:space="preserve">. 3-е </w:t>
      </w:r>
      <w:proofErr w:type="spellStart"/>
      <w:r w:rsidRPr="00520861">
        <w:rPr>
          <w:rFonts w:eastAsiaTheme="minorHAnsi"/>
          <w:sz w:val="28"/>
          <w:szCs w:val="28"/>
          <w:lang w:eastAsia="en-US"/>
        </w:rPr>
        <w:t>изд</w:t>
      </w:r>
      <w:proofErr w:type="spellEnd"/>
      <w:r w:rsidRPr="00520861">
        <w:rPr>
          <w:rFonts w:eastAsiaTheme="minorHAnsi"/>
          <w:sz w:val="28"/>
          <w:szCs w:val="28"/>
          <w:lang w:eastAsia="en-US"/>
        </w:rPr>
        <w:t xml:space="preserve">. Одесса: </w:t>
      </w:r>
      <w:proofErr w:type="spellStart"/>
      <w:r w:rsidRPr="00520861">
        <w:rPr>
          <w:rFonts w:eastAsiaTheme="minorHAnsi"/>
          <w:sz w:val="28"/>
          <w:szCs w:val="28"/>
          <w:lang w:eastAsia="en-US"/>
        </w:rPr>
        <w:t>Экология</w:t>
      </w:r>
      <w:proofErr w:type="spellEnd"/>
      <w:r w:rsidRPr="00520861">
        <w:rPr>
          <w:rFonts w:eastAsiaTheme="minorHAnsi"/>
          <w:sz w:val="28"/>
          <w:szCs w:val="28"/>
          <w:lang w:eastAsia="en-US"/>
        </w:rPr>
        <w:t>; 2005. 607с.</w:t>
      </w:r>
    </w:p>
    <w:p w14:paraId="09A77FA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Грищенко ВИ, </w:t>
      </w:r>
      <w:proofErr w:type="spellStart"/>
      <w:r w:rsidRPr="00520861">
        <w:rPr>
          <w:rFonts w:eastAsiaTheme="minorHAnsi"/>
          <w:sz w:val="28"/>
          <w:szCs w:val="28"/>
          <w:lang w:eastAsia="en-US"/>
        </w:rPr>
        <w:t>Яковцова</w:t>
      </w:r>
      <w:proofErr w:type="spellEnd"/>
      <w:r w:rsidRPr="00520861">
        <w:rPr>
          <w:rFonts w:eastAsiaTheme="minorHAnsi"/>
          <w:sz w:val="28"/>
          <w:szCs w:val="28"/>
          <w:lang w:eastAsia="en-US"/>
        </w:rPr>
        <w:t xml:space="preserve"> АФ. </w:t>
      </w:r>
      <w:proofErr w:type="spellStart"/>
      <w:r w:rsidRPr="00520861">
        <w:rPr>
          <w:rFonts w:eastAsiaTheme="minorHAnsi"/>
          <w:i/>
          <w:sz w:val="28"/>
          <w:szCs w:val="28"/>
          <w:lang w:eastAsia="en-US"/>
        </w:rPr>
        <w:t>Крупный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плод</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клинико-морфологическое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исследование</w:t>
      </w:r>
      <w:proofErr w:type="spellEnd"/>
      <w:r w:rsidRPr="00520861">
        <w:rPr>
          <w:rFonts w:eastAsiaTheme="minorHAnsi"/>
          <w:i/>
          <w:sz w:val="28"/>
          <w:szCs w:val="28"/>
          <w:lang w:eastAsia="en-US"/>
        </w:rPr>
        <w:t>)</w:t>
      </w:r>
      <w:r w:rsidRPr="00520861">
        <w:rPr>
          <w:rFonts w:eastAsiaTheme="minorHAnsi"/>
          <w:sz w:val="28"/>
          <w:szCs w:val="28"/>
          <w:lang w:eastAsia="en-US"/>
        </w:rPr>
        <w:t>. Київ: Здоров’я; 1992. 183 с.</w:t>
      </w:r>
    </w:p>
    <w:p w14:paraId="79DA037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Губанова</w:t>
      </w:r>
      <w:proofErr w:type="spellEnd"/>
      <w:r w:rsidRPr="00520861">
        <w:rPr>
          <w:rFonts w:eastAsiaTheme="minorHAnsi"/>
          <w:sz w:val="28"/>
          <w:szCs w:val="28"/>
          <w:lang w:eastAsia="en-US"/>
        </w:rPr>
        <w:t xml:space="preserve"> ОИ. </w:t>
      </w:r>
      <w:proofErr w:type="spellStart"/>
      <w:r w:rsidRPr="00520861">
        <w:rPr>
          <w:rFonts w:eastAsiaTheme="minorHAnsi"/>
          <w:sz w:val="28"/>
          <w:szCs w:val="28"/>
          <w:lang w:eastAsia="en-US"/>
        </w:rPr>
        <w:t>Особенности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лечения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растущих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пациентов</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аномалиями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прикуса</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II</w:t>
      </w:r>
      <w:r w:rsidRPr="00520861">
        <w:rPr>
          <w:rFonts w:eastAsiaTheme="minorHAnsi"/>
          <w:sz w:val="28"/>
          <w:szCs w:val="28"/>
          <w:lang w:eastAsia="en-US"/>
        </w:rPr>
        <w:t xml:space="preserve"> </w:t>
      </w:r>
      <w:proofErr w:type="spellStart"/>
      <w:r w:rsidRPr="00520861">
        <w:rPr>
          <w:rFonts w:eastAsiaTheme="minorHAnsi"/>
          <w:sz w:val="28"/>
          <w:szCs w:val="28"/>
          <w:lang w:eastAsia="en-US"/>
        </w:rPr>
        <w:t>класса</w:t>
      </w:r>
      <w:proofErr w:type="spellEnd"/>
      <w:r w:rsidRPr="00520861">
        <w:rPr>
          <w:rFonts w:eastAsiaTheme="minorHAnsi"/>
          <w:sz w:val="28"/>
          <w:szCs w:val="28"/>
          <w:lang w:eastAsia="en-US"/>
        </w:rPr>
        <w:t xml:space="preserve"> 2 </w:t>
      </w:r>
      <w:proofErr w:type="spellStart"/>
      <w:r w:rsidRPr="00520861">
        <w:rPr>
          <w:rFonts w:eastAsiaTheme="minorHAnsi"/>
          <w:sz w:val="28"/>
          <w:szCs w:val="28"/>
          <w:lang w:eastAsia="en-US"/>
        </w:rPr>
        <w:t>подкласса</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вертикальном</w:t>
      </w:r>
      <w:proofErr w:type="spellEnd"/>
      <w:r w:rsidRPr="00520861">
        <w:rPr>
          <w:rFonts w:eastAsiaTheme="minorHAnsi"/>
          <w:sz w:val="28"/>
          <w:szCs w:val="28"/>
          <w:lang w:eastAsia="en-US"/>
        </w:rPr>
        <w:t xml:space="preserve"> типе роста </w:t>
      </w:r>
      <w:proofErr w:type="spellStart"/>
      <w:r w:rsidRPr="00520861">
        <w:rPr>
          <w:rFonts w:eastAsiaTheme="minorHAnsi"/>
          <w:sz w:val="28"/>
          <w:szCs w:val="28"/>
          <w:lang w:eastAsia="en-US"/>
        </w:rPr>
        <w:t>челюстей</w:t>
      </w:r>
      <w:proofErr w:type="spellEnd"/>
      <w:r w:rsidRPr="00520861">
        <w:rPr>
          <w:rFonts w:eastAsiaTheme="minorHAnsi"/>
          <w:sz w:val="28"/>
          <w:szCs w:val="28"/>
          <w:lang w:eastAsia="en-US"/>
        </w:rPr>
        <w:t xml:space="preserve">. </w:t>
      </w:r>
      <w:r w:rsidRPr="00520861">
        <w:rPr>
          <w:rFonts w:eastAsiaTheme="minorHAnsi"/>
          <w:i/>
          <w:sz w:val="28"/>
          <w:szCs w:val="28"/>
          <w:lang w:eastAsia="en-US"/>
        </w:rPr>
        <w:t>Вісник проблем біології і медицини</w:t>
      </w:r>
      <w:r w:rsidRPr="00520861">
        <w:rPr>
          <w:rFonts w:eastAsiaTheme="minorHAnsi"/>
          <w:sz w:val="28"/>
          <w:szCs w:val="28"/>
          <w:lang w:val="ru-RU" w:eastAsia="en-US"/>
        </w:rPr>
        <w:t>.</w:t>
      </w:r>
      <w:r w:rsidRPr="00520861">
        <w:rPr>
          <w:rFonts w:eastAsiaTheme="minorHAnsi"/>
          <w:sz w:val="28"/>
          <w:szCs w:val="28"/>
          <w:lang w:eastAsia="en-US"/>
        </w:rPr>
        <w:t xml:space="preserve"> 2014;2(1/107): 127–131.</w:t>
      </w:r>
    </w:p>
    <w:p w14:paraId="3BC3AA1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Губіна-</w:t>
      </w:r>
      <w:proofErr w:type="spellStart"/>
      <w:r w:rsidRPr="00520861">
        <w:rPr>
          <w:rFonts w:eastAsiaTheme="minorHAnsi"/>
          <w:sz w:val="28"/>
          <w:szCs w:val="28"/>
          <w:lang w:eastAsia="en-US"/>
        </w:rPr>
        <w:t>Вакулік</w:t>
      </w:r>
      <w:proofErr w:type="spellEnd"/>
      <w:r w:rsidRPr="00520861">
        <w:rPr>
          <w:rFonts w:eastAsiaTheme="minorHAnsi"/>
          <w:sz w:val="28"/>
          <w:szCs w:val="28"/>
          <w:lang w:eastAsia="en-US"/>
        </w:rPr>
        <w:t xml:space="preserve"> ГІ. </w:t>
      </w:r>
      <w:r w:rsidRPr="00520861">
        <w:rPr>
          <w:rFonts w:eastAsiaTheme="minorHAnsi"/>
          <w:i/>
          <w:sz w:val="28"/>
          <w:szCs w:val="28"/>
          <w:lang w:eastAsia="en-US"/>
        </w:rPr>
        <w:t xml:space="preserve">Патологічна анатомія ендокринних залоз плоду при адаптації вагітної до дії окремих </w:t>
      </w:r>
      <w:proofErr w:type="spellStart"/>
      <w:r w:rsidRPr="00520861">
        <w:rPr>
          <w:rFonts w:eastAsiaTheme="minorHAnsi"/>
          <w:i/>
          <w:sz w:val="28"/>
          <w:szCs w:val="28"/>
          <w:lang w:eastAsia="en-US"/>
        </w:rPr>
        <w:t>середовищних</w:t>
      </w:r>
      <w:proofErr w:type="spellEnd"/>
      <w:r w:rsidRPr="00520861">
        <w:rPr>
          <w:rFonts w:eastAsiaTheme="minorHAnsi"/>
          <w:i/>
          <w:sz w:val="28"/>
          <w:szCs w:val="28"/>
          <w:lang w:eastAsia="en-US"/>
        </w:rPr>
        <w:t xml:space="preserve"> факторів</w:t>
      </w:r>
      <w:r w:rsidRPr="00520861">
        <w:rPr>
          <w:rFonts w:eastAsiaTheme="minorHAnsi"/>
          <w:sz w:val="28"/>
          <w:szCs w:val="28"/>
          <w:lang w:eastAsia="en-US"/>
        </w:rPr>
        <w:t xml:space="preserve">. </w:t>
      </w:r>
      <w:proofErr w:type="spellStart"/>
      <w:r w:rsidRPr="00520861">
        <w:rPr>
          <w:rFonts w:eastAsiaTheme="minorHAnsi"/>
          <w:sz w:val="28"/>
          <w:szCs w:val="28"/>
          <w:lang w:eastAsia="en-US"/>
        </w:rPr>
        <w:t>Дис</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докт</w:t>
      </w:r>
      <w:proofErr w:type="spellEnd"/>
      <w:r w:rsidRPr="00520861">
        <w:rPr>
          <w:rFonts w:eastAsiaTheme="minorHAnsi"/>
          <w:sz w:val="28"/>
          <w:szCs w:val="28"/>
          <w:lang w:eastAsia="en-US"/>
        </w:rPr>
        <w:t xml:space="preserve">. мед. наук. Харків: ДВНЗ України "Харківський </w:t>
      </w:r>
      <w:proofErr w:type="spellStart"/>
      <w:r w:rsidRPr="00520861">
        <w:rPr>
          <w:rFonts w:eastAsiaTheme="minorHAnsi"/>
          <w:sz w:val="28"/>
          <w:szCs w:val="28"/>
          <w:lang w:eastAsia="en-US"/>
        </w:rPr>
        <w:t>нац</w:t>
      </w:r>
      <w:proofErr w:type="spellEnd"/>
      <w:r w:rsidRPr="00520861">
        <w:rPr>
          <w:rFonts w:eastAsiaTheme="minorHAnsi"/>
          <w:sz w:val="28"/>
          <w:szCs w:val="28"/>
          <w:lang w:eastAsia="en-US"/>
        </w:rPr>
        <w:t>. мед. ун-т"; 1994. – 256 с.</w:t>
      </w:r>
    </w:p>
    <w:p w14:paraId="5C62429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Данилевский</w:t>
      </w:r>
      <w:proofErr w:type="spellEnd"/>
      <w:r w:rsidRPr="00520861">
        <w:rPr>
          <w:rFonts w:eastAsiaTheme="minorHAnsi"/>
          <w:sz w:val="28"/>
          <w:szCs w:val="28"/>
          <w:lang w:eastAsia="en-US"/>
        </w:rPr>
        <w:t xml:space="preserve"> МФ, Борисенко АВ. Сучасні класифікації захворювань пародонту. </w:t>
      </w:r>
      <w:proofErr w:type="spellStart"/>
      <w:r w:rsidRPr="00520861">
        <w:rPr>
          <w:rFonts w:eastAsiaTheme="minorHAnsi"/>
          <w:i/>
          <w:sz w:val="28"/>
          <w:szCs w:val="28"/>
          <w:lang w:eastAsia="en-US"/>
        </w:rPr>
        <w:t>Імплантологія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пародонтологія</w:t>
      </w:r>
      <w:proofErr w:type="spellEnd"/>
      <w:r w:rsidRPr="00520861">
        <w:rPr>
          <w:rFonts w:eastAsiaTheme="minorHAnsi"/>
          <w:i/>
          <w:sz w:val="28"/>
          <w:szCs w:val="28"/>
          <w:lang w:eastAsia="en-US"/>
        </w:rPr>
        <w:t>, остеологія</w:t>
      </w:r>
      <w:r w:rsidRPr="00520861">
        <w:rPr>
          <w:rFonts w:eastAsiaTheme="minorHAnsi"/>
          <w:sz w:val="28"/>
          <w:szCs w:val="28"/>
          <w:lang w:eastAsia="en-US"/>
        </w:rPr>
        <w:t>. 2006; 4: 59 – 62.</w:t>
      </w:r>
    </w:p>
    <w:p w14:paraId="40A1D18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proofErr w:type="spellStart"/>
      <w:r w:rsidRPr="00520861">
        <w:rPr>
          <w:rFonts w:eastAsiaTheme="minorHAnsi"/>
          <w:sz w:val="28"/>
          <w:szCs w:val="28"/>
          <w:lang w:eastAsia="en-US"/>
        </w:rPr>
        <w:t>Данилевский</w:t>
      </w:r>
      <w:proofErr w:type="spellEnd"/>
      <w:r w:rsidRPr="00520861">
        <w:rPr>
          <w:rFonts w:eastAsiaTheme="minorHAnsi"/>
          <w:sz w:val="28"/>
          <w:szCs w:val="28"/>
          <w:lang w:eastAsia="en-US"/>
        </w:rPr>
        <w:t xml:space="preserve"> НФ</w:t>
      </w:r>
      <w:r w:rsidRPr="00520861">
        <w:rPr>
          <w:rFonts w:eastAsiaTheme="minorHAnsi"/>
          <w:sz w:val="28"/>
          <w:szCs w:val="28"/>
          <w:lang w:val="ru-RU" w:eastAsia="en-US"/>
        </w:rPr>
        <w:t>,</w:t>
      </w:r>
      <w:r w:rsidRPr="00520861">
        <w:rPr>
          <w:rFonts w:eastAsiaTheme="minorHAnsi"/>
          <w:sz w:val="28"/>
          <w:szCs w:val="28"/>
          <w:lang w:eastAsia="en-US"/>
        </w:rPr>
        <w:t xml:space="preserve"> Борисенко АВ. </w:t>
      </w:r>
      <w:proofErr w:type="spellStart"/>
      <w:r w:rsidRPr="00520861">
        <w:rPr>
          <w:rFonts w:eastAsiaTheme="minorHAnsi"/>
          <w:i/>
          <w:sz w:val="28"/>
          <w:szCs w:val="28"/>
          <w:lang w:eastAsia="en-US"/>
        </w:rPr>
        <w:t>Заболевания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пародонта</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Київ: </w:t>
      </w:r>
      <w:proofErr w:type="spellStart"/>
      <w:r w:rsidRPr="00520861">
        <w:rPr>
          <w:rFonts w:eastAsiaTheme="minorHAnsi"/>
          <w:sz w:val="28"/>
          <w:szCs w:val="28"/>
          <w:lang w:eastAsia="en-US"/>
        </w:rPr>
        <w:t>Здоров</w:t>
      </w:r>
      <w:proofErr w:type="spellEnd"/>
      <w:r w:rsidRPr="00520861">
        <w:rPr>
          <w:rFonts w:eastAsiaTheme="minorHAnsi"/>
          <w:sz w:val="28"/>
          <w:szCs w:val="28"/>
          <w:lang w:val="ru-RU" w:eastAsia="en-US"/>
        </w:rPr>
        <w:t>’</w:t>
      </w:r>
      <w:r w:rsidRPr="00520861">
        <w:rPr>
          <w:rFonts w:eastAsiaTheme="minorHAnsi"/>
          <w:sz w:val="28"/>
          <w:szCs w:val="28"/>
          <w:lang w:eastAsia="en-US"/>
        </w:rPr>
        <w:t>я</w:t>
      </w:r>
      <w:r w:rsidRPr="00520861">
        <w:rPr>
          <w:rFonts w:eastAsiaTheme="minorHAnsi"/>
          <w:sz w:val="28"/>
          <w:szCs w:val="28"/>
          <w:lang w:val="ru-RU" w:eastAsia="en-US"/>
        </w:rPr>
        <w:t>;</w:t>
      </w:r>
      <w:r w:rsidRPr="00520861">
        <w:rPr>
          <w:rFonts w:eastAsiaTheme="minorHAnsi"/>
          <w:sz w:val="28"/>
          <w:szCs w:val="28"/>
          <w:lang w:eastAsia="en-US"/>
        </w:rPr>
        <w:t xml:space="preserve"> 2000. 464 с.</w:t>
      </w:r>
    </w:p>
    <w:p w14:paraId="1AF0221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r w:rsidRPr="00520861">
        <w:rPr>
          <w:rFonts w:eastAsiaTheme="minorHAnsi"/>
          <w:sz w:val="28"/>
          <w:szCs w:val="28"/>
          <w:lang w:val="ru-RU" w:eastAsia="en-US"/>
        </w:rPr>
        <w:t xml:space="preserve">Деньга ОВ, </w:t>
      </w:r>
      <w:proofErr w:type="spellStart"/>
      <w:r w:rsidRPr="00520861">
        <w:rPr>
          <w:rFonts w:eastAsiaTheme="minorHAnsi"/>
          <w:sz w:val="28"/>
          <w:szCs w:val="28"/>
          <w:lang w:val="ru-RU" w:eastAsia="en-US"/>
        </w:rPr>
        <w:t>Дрогомирецька</w:t>
      </w:r>
      <w:proofErr w:type="spellEnd"/>
      <w:r w:rsidRPr="00520861">
        <w:rPr>
          <w:rFonts w:eastAsiaTheme="minorHAnsi"/>
          <w:sz w:val="28"/>
          <w:szCs w:val="28"/>
          <w:lang w:val="ru-RU" w:eastAsia="en-US"/>
        </w:rPr>
        <w:t xml:space="preserve"> МС, Колесник ТВ. Эффективность использования молекулярно-генетической предрасположенности к воспалению в тканях пародонта у лиц молодого возраста. </w:t>
      </w:r>
      <w:proofErr w:type="spellStart"/>
      <w:r w:rsidRPr="00520861">
        <w:rPr>
          <w:rFonts w:eastAsiaTheme="minorHAnsi"/>
          <w:i/>
          <w:sz w:val="28"/>
          <w:szCs w:val="28"/>
          <w:lang w:val="ru-RU" w:eastAsia="en-US"/>
        </w:rPr>
        <w:t>Зб</w:t>
      </w:r>
      <w:proofErr w:type="spellEnd"/>
      <w:r w:rsidRPr="00520861">
        <w:rPr>
          <w:rFonts w:eastAsiaTheme="minorHAnsi"/>
          <w:i/>
          <w:sz w:val="28"/>
          <w:szCs w:val="28"/>
          <w:lang w:val="ru-RU" w:eastAsia="en-US"/>
        </w:rPr>
        <w:t xml:space="preserve">. наук. </w:t>
      </w:r>
      <w:proofErr w:type="spellStart"/>
      <w:r w:rsidRPr="00520861">
        <w:rPr>
          <w:rFonts w:eastAsiaTheme="minorHAnsi"/>
          <w:i/>
          <w:sz w:val="28"/>
          <w:szCs w:val="28"/>
          <w:lang w:val="ru-RU" w:eastAsia="en-US"/>
        </w:rPr>
        <w:t>пр</w:t>
      </w:r>
      <w:r w:rsidRPr="00520861">
        <w:rPr>
          <w:rFonts w:eastAsiaTheme="minorHAnsi"/>
          <w:i/>
          <w:sz w:val="28"/>
          <w:szCs w:val="28"/>
          <w:lang w:eastAsia="en-US"/>
        </w:rPr>
        <w:t>аць</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співробітників</w:t>
      </w:r>
      <w:proofErr w:type="spellEnd"/>
      <w:r w:rsidRPr="00520861">
        <w:rPr>
          <w:rFonts w:eastAsiaTheme="minorHAnsi"/>
          <w:i/>
          <w:sz w:val="28"/>
          <w:szCs w:val="28"/>
          <w:lang w:val="ru-RU" w:eastAsia="en-US"/>
        </w:rPr>
        <w:t xml:space="preserve"> НМАПО </w:t>
      </w:r>
      <w:proofErr w:type="spellStart"/>
      <w:r w:rsidRPr="00520861">
        <w:rPr>
          <w:rFonts w:eastAsiaTheme="minorHAnsi"/>
          <w:i/>
          <w:sz w:val="28"/>
          <w:szCs w:val="28"/>
          <w:lang w:val="ru-RU" w:eastAsia="en-US"/>
        </w:rPr>
        <w:t>ім</w:t>
      </w:r>
      <w:proofErr w:type="spellEnd"/>
      <w:r w:rsidRPr="00520861">
        <w:rPr>
          <w:rFonts w:eastAsiaTheme="minorHAnsi"/>
          <w:i/>
          <w:sz w:val="28"/>
          <w:szCs w:val="28"/>
          <w:lang w:val="ru-RU" w:eastAsia="en-US"/>
        </w:rPr>
        <w:t xml:space="preserve">. П. Л. </w:t>
      </w:r>
      <w:proofErr w:type="spellStart"/>
      <w:r w:rsidRPr="00520861">
        <w:rPr>
          <w:rFonts w:eastAsiaTheme="minorHAnsi"/>
          <w:i/>
          <w:sz w:val="28"/>
          <w:szCs w:val="28"/>
          <w:lang w:val="ru-RU" w:eastAsia="en-US"/>
        </w:rPr>
        <w:t>Шупика</w:t>
      </w:r>
      <w:proofErr w:type="spellEnd"/>
      <w:r w:rsidRPr="00520861">
        <w:rPr>
          <w:rFonts w:eastAsiaTheme="minorHAnsi"/>
          <w:sz w:val="28"/>
          <w:szCs w:val="28"/>
          <w:lang w:val="ru-RU" w:eastAsia="en-US"/>
        </w:rPr>
        <w:t>. 2015;24 (4): 12–21. Доступно на: http://nbuv.gov.ua/UJRN/Znpsnmapo_2015_24(4)__4.</w:t>
      </w:r>
    </w:p>
    <w:p w14:paraId="0959152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Деньга</w:t>
      </w:r>
      <w:proofErr w:type="spellEnd"/>
      <w:r w:rsidRPr="00520861">
        <w:rPr>
          <w:rFonts w:eastAsiaTheme="minorHAnsi"/>
          <w:sz w:val="28"/>
          <w:szCs w:val="28"/>
          <w:lang w:eastAsia="en-US"/>
        </w:rPr>
        <w:t xml:space="preserve"> ОВ,</w:t>
      </w:r>
      <w:r w:rsidRPr="00520861">
        <w:rPr>
          <w:rFonts w:eastAsiaTheme="minorHAnsi"/>
          <w:sz w:val="28"/>
          <w:szCs w:val="28"/>
          <w:lang w:val="ru-RU" w:eastAsia="en-US"/>
        </w:rPr>
        <w:t xml:space="preserve"> </w:t>
      </w:r>
      <w:proofErr w:type="spellStart"/>
      <w:r w:rsidRPr="00520861">
        <w:rPr>
          <w:rFonts w:eastAsiaTheme="minorHAnsi"/>
          <w:sz w:val="28"/>
          <w:szCs w:val="28"/>
          <w:lang w:eastAsia="en-US"/>
        </w:rPr>
        <w:t>Ефремова</w:t>
      </w:r>
      <w:proofErr w:type="spellEnd"/>
      <w:r w:rsidRPr="00520861">
        <w:rPr>
          <w:rFonts w:eastAsiaTheme="minorHAnsi"/>
          <w:sz w:val="28"/>
          <w:szCs w:val="28"/>
          <w:lang w:eastAsia="en-US"/>
        </w:rPr>
        <w:t xml:space="preserve"> ОВ, </w:t>
      </w:r>
      <w:proofErr w:type="spellStart"/>
      <w:r w:rsidRPr="00520861">
        <w:rPr>
          <w:rFonts w:eastAsiaTheme="minorHAnsi"/>
          <w:sz w:val="28"/>
          <w:szCs w:val="28"/>
          <w:lang w:eastAsia="en-US"/>
        </w:rPr>
        <w:t>Вербицкая</w:t>
      </w:r>
      <w:proofErr w:type="spellEnd"/>
      <w:r w:rsidRPr="00520861">
        <w:rPr>
          <w:rFonts w:eastAsiaTheme="minorHAnsi"/>
          <w:sz w:val="28"/>
          <w:szCs w:val="28"/>
          <w:lang w:eastAsia="en-US"/>
        </w:rPr>
        <w:t xml:space="preserve"> ТГ. Молекулярно-</w:t>
      </w:r>
      <w:proofErr w:type="spellStart"/>
      <w:r w:rsidRPr="00520861">
        <w:rPr>
          <w:rFonts w:eastAsiaTheme="minorHAnsi"/>
          <w:sz w:val="28"/>
          <w:szCs w:val="28"/>
          <w:lang w:eastAsia="en-US"/>
        </w:rPr>
        <w:t>генетическая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оценка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предрасположенности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работников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химической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промышленности</w:t>
      </w:r>
      <w:proofErr w:type="spellEnd"/>
      <w:r w:rsidRPr="00520861">
        <w:rPr>
          <w:rFonts w:eastAsiaTheme="minorHAnsi"/>
          <w:sz w:val="28"/>
          <w:szCs w:val="28"/>
          <w:lang w:eastAsia="en-US"/>
        </w:rPr>
        <w:t xml:space="preserve"> к </w:t>
      </w:r>
      <w:proofErr w:type="spellStart"/>
      <w:r w:rsidRPr="00520861">
        <w:rPr>
          <w:rFonts w:eastAsiaTheme="minorHAnsi"/>
          <w:sz w:val="28"/>
          <w:szCs w:val="28"/>
          <w:lang w:eastAsia="en-US"/>
        </w:rPr>
        <w:t>стоматологическим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заболеваниям</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Інновації в стоматології</w:t>
      </w:r>
      <w:r w:rsidRPr="00520861">
        <w:rPr>
          <w:rFonts w:eastAsiaTheme="minorHAnsi"/>
          <w:sz w:val="28"/>
          <w:szCs w:val="28"/>
          <w:lang w:eastAsia="en-US"/>
        </w:rPr>
        <w:t>, 2014;(4): 56–61.</w:t>
      </w:r>
    </w:p>
    <w:p w14:paraId="398DBE4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Дмитренко МІ. </w:t>
      </w:r>
      <w:r w:rsidRPr="00520861">
        <w:rPr>
          <w:rFonts w:eastAsiaTheme="minorHAnsi"/>
          <w:i/>
          <w:sz w:val="28"/>
          <w:szCs w:val="28"/>
          <w:lang w:eastAsia="en-US"/>
        </w:rPr>
        <w:t xml:space="preserve">Обґрунтування принципів діагностики і лікування пацієнтів із </w:t>
      </w:r>
      <w:proofErr w:type="spellStart"/>
      <w:r w:rsidRPr="00520861">
        <w:rPr>
          <w:rFonts w:eastAsiaTheme="minorHAnsi"/>
          <w:i/>
          <w:sz w:val="28"/>
          <w:szCs w:val="28"/>
          <w:lang w:eastAsia="en-US"/>
        </w:rPr>
        <w:t>зубощелепними</w:t>
      </w:r>
      <w:proofErr w:type="spellEnd"/>
      <w:r w:rsidRPr="00520861">
        <w:rPr>
          <w:rFonts w:eastAsiaTheme="minorHAnsi"/>
          <w:i/>
          <w:sz w:val="28"/>
          <w:szCs w:val="28"/>
          <w:lang w:eastAsia="en-US"/>
        </w:rPr>
        <w:t xml:space="preserve"> аномаліями, ускладненими скупченістю зубів</w:t>
      </w:r>
      <w:r w:rsidRPr="00520861">
        <w:rPr>
          <w:rFonts w:eastAsiaTheme="minorHAnsi"/>
          <w:sz w:val="28"/>
          <w:szCs w:val="28"/>
          <w:lang w:eastAsia="en-US"/>
        </w:rPr>
        <w:t xml:space="preserve"> </w:t>
      </w:r>
      <w:r w:rsidRPr="00520861">
        <w:rPr>
          <w:rFonts w:eastAsiaTheme="minorHAnsi"/>
          <w:iCs/>
          <w:sz w:val="28"/>
          <w:szCs w:val="28"/>
          <w:lang w:eastAsia="en-US"/>
        </w:rPr>
        <w:t xml:space="preserve">[автореферат дисертації]. </w:t>
      </w:r>
      <w:r w:rsidRPr="00520861">
        <w:rPr>
          <w:rFonts w:eastAsiaTheme="minorHAnsi"/>
          <w:sz w:val="28"/>
          <w:szCs w:val="28"/>
          <w:lang w:eastAsia="en-US"/>
        </w:rPr>
        <w:t xml:space="preserve">Полтава: </w:t>
      </w:r>
      <w:proofErr w:type="spellStart"/>
      <w:r w:rsidRPr="00520861">
        <w:rPr>
          <w:rFonts w:eastAsiaTheme="minorHAnsi"/>
          <w:sz w:val="28"/>
          <w:szCs w:val="28"/>
          <w:lang w:eastAsia="en-US"/>
        </w:rPr>
        <w:t>Вищ</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держ</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навч</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закл</w:t>
      </w:r>
      <w:proofErr w:type="spellEnd"/>
      <w:r w:rsidRPr="00520861">
        <w:rPr>
          <w:rFonts w:eastAsiaTheme="minorHAnsi"/>
          <w:sz w:val="28"/>
          <w:szCs w:val="28"/>
          <w:lang w:eastAsia="en-US"/>
        </w:rPr>
        <w:t>. України "</w:t>
      </w:r>
      <w:proofErr w:type="spellStart"/>
      <w:r w:rsidRPr="00520861">
        <w:rPr>
          <w:rFonts w:eastAsiaTheme="minorHAnsi"/>
          <w:sz w:val="28"/>
          <w:szCs w:val="28"/>
          <w:lang w:eastAsia="en-US"/>
        </w:rPr>
        <w:t>Укр</w:t>
      </w:r>
      <w:proofErr w:type="spellEnd"/>
      <w:r w:rsidRPr="00520861">
        <w:rPr>
          <w:rFonts w:eastAsiaTheme="minorHAnsi"/>
          <w:sz w:val="28"/>
          <w:szCs w:val="28"/>
          <w:lang w:eastAsia="en-US"/>
        </w:rPr>
        <w:t xml:space="preserve">. мед. </w:t>
      </w:r>
      <w:proofErr w:type="spellStart"/>
      <w:r w:rsidRPr="00520861">
        <w:rPr>
          <w:rFonts w:eastAsiaTheme="minorHAnsi"/>
          <w:sz w:val="28"/>
          <w:szCs w:val="28"/>
          <w:lang w:eastAsia="en-US"/>
        </w:rPr>
        <w:t>стоматол</w:t>
      </w:r>
      <w:proofErr w:type="spellEnd"/>
      <w:r w:rsidRPr="00520861">
        <w:rPr>
          <w:rFonts w:eastAsiaTheme="minorHAnsi"/>
          <w:sz w:val="28"/>
          <w:szCs w:val="28"/>
          <w:lang w:eastAsia="en-US"/>
        </w:rPr>
        <w:t>. акад."; 2015. 36 с.</w:t>
      </w:r>
    </w:p>
    <w:p w14:paraId="0DCA8C3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lastRenderedPageBreak/>
        <w:t xml:space="preserve">Дмитренко МІ. Особливості комплексної діагностики пацієнтів із </w:t>
      </w:r>
      <w:proofErr w:type="spellStart"/>
      <w:r w:rsidRPr="00520861">
        <w:rPr>
          <w:rFonts w:eastAsiaTheme="minorHAnsi"/>
          <w:sz w:val="28"/>
          <w:szCs w:val="28"/>
          <w:lang w:eastAsia="en-US"/>
        </w:rPr>
        <w:t>зубощелепними</w:t>
      </w:r>
      <w:proofErr w:type="spellEnd"/>
      <w:r w:rsidRPr="00520861">
        <w:rPr>
          <w:rFonts w:eastAsiaTheme="minorHAnsi"/>
          <w:sz w:val="28"/>
          <w:szCs w:val="28"/>
          <w:lang w:eastAsia="en-US"/>
        </w:rPr>
        <w:t xml:space="preserve"> аномаліями, ускладненими скупченістю зубів. </w:t>
      </w:r>
      <w:r w:rsidRPr="00520861">
        <w:rPr>
          <w:rFonts w:eastAsiaTheme="minorHAnsi"/>
          <w:i/>
          <w:sz w:val="28"/>
          <w:szCs w:val="28"/>
          <w:lang w:eastAsia="en-US"/>
        </w:rPr>
        <w:t xml:space="preserve">Вісник проблем біології і </w:t>
      </w:r>
      <w:r w:rsidR="003868A2" w:rsidRPr="00520861">
        <w:rPr>
          <w:rFonts w:eastAsiaTheme="minorHAnsi"/>
          <w:i/>
          <w:sz w:val="28"/>
          <w:szCs w:val="28"/>
          <w:lang w:eastAsia="en-US"/>
        </w:rPr>
        <w:br/>
      </w:r>
      <w:r w:rsidRPr="00520861">
        <w:rPr>
          <w:rFonts w:eastAsiaTheme="minorHAnsi"/>
          <w:i/>
          <w:sz w:val="28"/>
          <w:szCs w:val="28"/>
          <w:lang w:eastAsia="en-US"/>
        </w:rPr>
        <w:t>медицини</w:t>
      </w:r>
      <w:r w:rsidRPr="00520861">
        <w:rPr>
          <w:rFonts w:eastAsiaTheme="minorHAnsi"/>
          <w:sz w:val="28"/>
          <w:szCs w:val="28"/>
          <w:lang w:eastAsia="en-US"/>
        </w:rPr>
        <w:t>. 2016;1(2</w:t>
      </w:r>
      <w:r w:rsidRPr="00520861">
        <w:rPr>
          <w:rFonts w:eastAsiaTheme="minorHAnsi"/>
          <w:sz w:val="28"/>
          <w:szCs w:val="28"/>
          <w:lang w:val="ru-RU" w:eastAsia="en-US"/>
        </w:rPr>
        <w:t>/127</w:t>
      </w:r>
      <w:r w:rsidRPr="00520861">
        <w:rPr>
          <w:rFonts w:eastAsiaTheme="minorHAnsi"/>
          <w:sz w:val="28"/>
          <w:szCs w:val="28"/>
          <w:lang w:eastAsia="en-US"/>
        </w:rPr>
        <w:t xml:space="preserve">): 232–235. </w:t>
      </w:r>
      <w:r w:rsidRPr="00520861">
        <w:rPr>
          <w:rFonts w:eastAsiaTheme="minorHAnsi"/>
          <w:sz w:val="28"/>
          <w:szCs w:val="28"/>
          <w:lang w:val="ru-RU" w:eastAsia="en-US"/>
        </w:rPr>
        <w:t xml:space="preserve">Доступно на: </w:t>
      </w:r>
      <w:r w:rsidRPr="00520861">
        <w:rPr>
          <w:rFonts w:eastAsiaTheme="minorHAnsi"/>
          <w:sz w:val="28"/>
          <w:szCs w:val="28"/>
          <w:lang w:eastAsia="en-US"/>
        </w:rPr>
        <w:t>http://nbuv.gov.ua/UJRN/Vpbm_2016_1(2)__50.</w:t>
      </w:r>
    </w:p>
    <w:p w14:paraId="2E7186E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Дрогомирецька</w:t>
      </w:r>
      <w:proofErr w:type="spellEnd"/>
      <w:r w:rsidRPr="00520861">
        <w:rPr>
          <w:rFonts w:eastAsiaTheme="minorHAnsi"/>
          <w:sz w:val="28"/>
          <w:szCs w:val="28"/>
          <w:lang w:eastAsia="en-US"/>
        </w:rPr>
        <w:t xml:space="preserve"> МС, </w:t>
      </w:r>
      <w:proofErr w:type="spellStart"/>
      <w:r w:rsidRPr="00520861">
        <w:rPr>
          <w:rFonts w:eastAsiaTheme="minorHAnsi"/>
          <w:sz w:val="28"/>
          <w:szCs w:val="28"/>
          <w:lang w:eastAsia="en-US"/>
        </w:rPr>
        <w:t>Ахмад</w:t>
      </w:r>
      <w:proofErr w:type="spellEnd"/>
      <w:r w:rsidRPr="00520861">
        <w:rPr>
          <w:rFonts w:eastAsiaTheme="minorHAnsi"/>
          <w:sz w:val="28"/>
          <w:szCs w:val="28"/>
          <w:lang w:eastAsia="en-US"/>
        </w:rPr>
        <w:t xml:space="preserve"> СХС. Морфологічні та </w:t>
      </w:r>
      <w:proofErr w:type="spellStart"/>
      <w:r w:rsidRPr="00520861">
        <w:rPr>
          <w:rFonts w:eastAsiaTheme="minorHAnsi"/>
          <w:sz w:val="28"/>
          <w:szCs w:val="28"/>
          <w:lang w:eastAsia="en-US"/>
        </w:rPr>
        <w:t>морфометричні</w:t>
      </w:r>
      <w:proofErr w:type="spellEnd"/>
      <w:r w:rsidRPr="00520861">
        <w:rPr>
          <w:rFonts w:eastAsiaTheme="minorHAnsi"/>
          <w:sz w:val="28"/>
          <w:szCs w:val="28"/>
          <w:lang w:eastAsia="en-US"/>
        </w:rPr>
        <w:t xml:space="preserve"> дослідження тканин </w:t>
      </w:r>
      <w:proofErr w:type="spellStart"/>
      <w:r w:rsidRPr="00520861">
        <w:rPr>
          <w:rFonts w:eastAsiaTheme="minorHAnsi"/>
          <w:sz w:val="28"/>
          <w:szCs w:val="28"/>
          <w:lang w:eastAsia="en-US"/>
        </w:rPr>
        <w:t>зубо</w:t>
      </w:r>
      <w:proofErr w:type="spellEnd"/>
      <w:r w:rsidRPr="00520861">
        <w:rPr>
          <w:rFonts w:eastAsiaTheme="minorHAnsi"/>
          <w:sz w:val="28"/>
          <w:szCs w:val="28"/>
          <w:lang w:eastAsia="en-US"/>
        </w:rPr>
        <w:t xml:space="preserve">-щелепного апарату у дітей з порушеним перебігом антенатального періоду. </w:t>
      </w:r>
      <w:r w:rsidRPr="00520861">
        <w:rPr>
          <w:rFonts w:eastAsiaTheme="minorHAnsi"/>
          <w:i/>
          <w:sz w:val="28"/>
          <w:szCs w:val="28"/>
          <w:lang w:eastAsia="en-US"/>
        </w:rPr>
        <w:t>Медичні перспективи</w:t>
      </w:r>
      <w:r w:rsidRPr="00520861">
        <w:rPr>
          <w:rFonts w:eastAsiaTheme="minorHAnsi"/>
          <w:sz w:val="28"/>
          <w:szCs w:val="28"/>
          <w:lang w:eastAsia="en-US"/>
        </w:rPr>
        <w:t xml:space="preserve">. 2016; 21(1): 96–103. </w:t>
      </w:r>
      <w:r w:rsidRPr="00520861">
        <w:rPr>
          <w:rFonts w:eastAsiaTheme="minorHAnsi"/>
          <w:sz w:val="28"/>
          <w:szCs w:val="28"/>
          <w:lang w:val="ru-RU" w:eastAsia="en-US"/>
        </w:rPr>
        <w:t>Доступно на:</w:t>
      </w:r>
      <w:r w:rsidRPr="00520861">
        <w:rPr>
          <w:rFonts w:eastAsiaTheme="minorHAnsi"/>
          <w:sz w:val="28"/>
          <w:szCs w:val="28"/>
          <w:lang w:eastAsia="en-US"/>
        </w:rPr>
        <w:t xml:space="preserve"> </w:t>
      </w:r>
      <w:r w:rsidRPr="00520861">
        <w:rPr>
          <w:rFonts w:eastAsiaTheme="minorHAnsi"/>
          <w:sz w:val="28"/>
          <w:szCs w:val="28"/>
          <w:lang w:val="en-US" w:eastAsia="en-US"/>
        </w:rPr>
        <w:t>http</w:t>
      </w:r>
      <w:r w:rsidRPr="00520861">
        <w:rPr>
          <w:rFonts w:eastAsiaTheme="minorHAnsi"/>
          <w:sz w:val="28"/>
          <w:szCs w:val="28"/>
          <w:lang w:eastAsia="en-US"/>
        </w:rPr>
        <w:t>://</w:t>
      </w:r>
      <w:proofErr w:type="spellStart"/>
      <w:r w:rsidRPr="00520861">
        <w:rPr>
          <w:rFonts w:eastAsiaTheme="minorHAnsi"/>
          <w:sz w:val="28"/>
          <w:szCs w:val="28"/>
          <w:lang w:val="en-US" w:eastAsia="en-US"/>
        </w:rPr>
        <w:t>nbuv</w:t>
      </w:r>
      <w:proofErr w:type="spellEnd"/>
      <w:r w:rsidRPr="00520861">
        <w:rPr>
          <w:rFonts w:eastAsiaTheme="minorHAnsi"/>
          <w:sz w:val="28"/>
          <w:szCs w:val="28"/>
          <w:lang w:eastAsia="en-US"/>
        </w:rPr>
        <w:t>.</w:t>
      </w:r>
      <w:r w:rsidRPr="00520861">
        <w:rPr>
          <w:rFonts w:eastAsiaTheme="minorHAnsi"/>
          <w:sz w:val="28"/>
          <w:szCs w:val="28"/>
          <w:lang w:val="en-US" w:eastAsia="en-US"/>
        </w:rPr>
        <w:t>gov</w:t>
      </w:r>
      <w:r w:rsidRPr="00520861">
        <w:rPr>
          <w:rFonts w:eastAsiaTheme="minorHAnsi"/>
          <w:sz w:val="28"/>
          <w:szCs w:val="28"/>
          <w:lang w:eastAsia="en-US"/>
        </w:rPr>
        <w:t>.</w:t>
      </w:r>
      <w:proofErr w:type="spellStart"/>
      <w:r w:rsidRPr="00520861">
        <w:rPr>
          <w:rFonts w:eastAsiaTheme="minorHAnsi"/>
          <w:sz w:val="28"/>
          <w:szCs w:val="28"/>
          <w:lang w:val="en-US" w:eastAsia="en-US"/>
        </w:rPr>
        <w:t>ua</w:t>
      </w:r>
      <w:proofErr w:type="spellEnd"/>
      <w:r w:rsidRPr="00520861">
        <w:rPr>
          <w:rFonts w:eastAsiaTheme="minorHAnsi"/>
          <w:sz w:val="28"/>
          <w:szCs w:val="28"/>
          <w:lang w:eastAsia="en-US"/>
        </w:rPr>
        <w:t>/</w:t>
      </w:r>
      <w:r w:rsidRPr="00520861">
        <w:rPr>
          <w:rFonts w:eastAsiaTheme="minorHAnsi"/>
          <w:sz w:val="28"/>
          <w:szCs w:val="28"/>
          <w:lang w:val="en-US" w:eastAsia="en-US"/>
        </w:rPr>
        <w:t>UJRN</w:t>
      </w:r>
      <w:r w:rsidRPr="00520861">
        <w:rPr>
          <w:rFonts w:eastAsiaTheme="minorHAnsi"/>
          <w:sz w:val="28"/>
          <w:szCs w:val="28"/>
          <w:lang w:eastAsia="en-US"/>
        </w:rPr>
        <w:t>/</w:t>
      </w:r>
      <w:proofErr w:type="spellStart"/>
      <w:r w:rsidRPr="00520861">
        <w:rPr>
          <w:rFonts w:eastAsiaTheme="minorHAnsi"/>
          <w:sz w:val="28"/>
          <w:szCs w:val="28"/>
          <w:lang w:val="en-US" w:eastAsia="en-US"/>
        </w:rPr>
        <w:t>Mp</w:t>
      </w:r>
      <w:proofErr w:type="spellEnd"/>
      <w:r w:rsidRPr="00520861">
        <w:rPr>
          <w:rFonts w:eastAsiaTheme="minorHAnsi"/>
          <w:sz w:val="28"/>
          <w:szCs w:val="28"/>
          <w:lang w:eastAsia="en-US"/>
        </w:rPr>
        <w:t xml:space="preserve">_2016_21_1_17. </w:t>
      </w:r>
    </w:p>
    <w:p w14:paraId="54500D00" w14:textId="77777777" w:rsidR="00292D2E" w:rsidRPr="00520861" w:rsidRDefault="00292D2E" w:rsidP="008F1D77">
      <w:pPr>
        <w:widowControl w:val="0"/>
        <w:numPr>
          <w:ilvl w:val="0"/>
          <w:numId w:val="8"/>
        </w:numPr>
        <w:shd w:val="clear" w:color="auto" w:fill="FFFFFF"/>
        <w:spacing w:line="360" w:lineRule="auto"/>
        <w:ind w:left="0" w:firstLine="0"/>
        <w:contextualSpacing/>
        <w:jc w:val="both"/>
        <w:outlineLvl w:val="0"/>
        <w:rPr>
          <w:sz w:val="28"/>
          <w:szCs w:val="28"/>
        </w:rPr>
      </w:pPr>
      <w:r w:rsidRPr="00520861">
        <w:rPr>
          <w:sz w:val="28"/>
          <w:szCs w:val="28"/>
        </w:rPr>
        <w:t xml:space="preserve">Дуда KM. Зміни </w:t>
      </w:r>
      <w:proofErr w:type="spellStart"/>
      <w:r w:rsidRPr="00520861">
        <w:rPr>
          <w:sz w:val="28"/>
          <w:szCs w:val="28"/>
        </w:rPr>
        <w:t>цитокінового</w:t>
      </w:r>
      <w:proofErr w:type="spellEnd"/>
      <w:r w:rsidRPr="00520861">
        <w:rPr>
          <w:sz w:val="28"/>
          <w:szCs w:val="28"/>
        </w:rPr>
        <w:t xml:space="preserve"> профілю у сироватці крові щурів за умов </w:t>
      </w:r>
      <w:proofErr w:type="spellStart"/>
      <w:r w:rsidRPr="00520861">
        <w:rPr>
          <w:sz w:val="28"/>
          <w:szCs w:val="28"/>
        </w:rPr>
        <w:t>пародонтиту</w:t>
      </w:r>
      <w:proofErr w:type="spellEnd"/>
      <w:r w:rsidRPr="00520861">
        <w:rPr>
          <w:sz w:val="28"/>
          <w:szCs w:val="28"/>
        </w:rPr>
        <w:t xml:space="preserve">. </w:t>
      </w:r>
      <w:r w:rsidRPr="00520861">
        <w:rPr>
          <w:i/>
          <w:sz w:val="28"/>
          <w:szCs w:val="28"/>
        </w:rPr>
        <w:t>Клінічна стоматологія</w:t>
      </w:r>
      <w:r w:rsidRPr="00520861">
        <w:rPr>
          <w:sz w:val="28"/>
          <w:szCs w:val="28"/>
        </w:rPr>
        <w:t xml:space="preserve">. 2020;(4): 74–78. </w:t>
      </w:r>
      <w:r w:rsidRPr="00520861">
        <w:rPr>
          <w:sz w:val="28"/>
          <w:szCs w:val="28"/>
          <w:lang w:val="ru-RU" w:eastAsia="x-none" w:bidi="lo-LA"/>
        </w:rPr>
        <w:t>Доступно на:</w:t>
      </w:r>
      <w:r w:rsidRPr="00520861">
        <w:rPr>
          <w:sz w:val="28"/>
          <w:szCs w:val="28"/>
          <w:lang w:eastAsia="x-none" w:bidi="lo-LA"/>
        </w:rPr>
        <w:t xml:space="preserve"> DOI: </w:t>
      </w:r>
      <w:r w:rsidRPr="00520861">
        <w:rPr>
          <w:sz w:val="28"/>
          <w:szCs w:val="28"/>
        </w:rPr>
        <w:t>10.11603/2311-9624.2019.4.10884.</w:t>
      </w:r>
    </w:p>
    <w:p w14:paraId="1E0F99B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Ерохин</w:t>
      </w:r>
      <w:proofErr w:type="spellEnd"/>
      <w:r w:rsidRPr="00520861">
        <w:rPr>
          <w:rFonts w:eastAsiaTheme="minorHAnsi"/>
          <w:sz w:val="28"/>
          <w:szCs w:val="28"/>
          <w:lang w:eastAsia="en-US"/>
        </w:rPr>
        <w:t xml:space="preserve"> АИ, Кузин АВ. </w:t>
      </w:r>
      <w:proofErr w:type="spellStart"/>
      <w:r w:rsidRPr="00520861">
        <w:rPr>
          <w:rFonts w:eastAsiaTheme="minorHAnsi"/>
          <w:sz w:val="28"/>
          <w:szCs w:val="28"/>
          <w:lang w:eastAsia="en-US"/>
        </w:rPr>
        <w:t>Биотипы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Dental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Tribune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Russian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Edition</w:t>
      </w:r>
      <w:proofErr w:type="spellEnd"/>
      <w:r w:rsidRPr="00520861">
        <w:rPr>
          <w:rFonts w:eastAsiaTheme="minorHAnsi"/>
          <w:i/>
          <w:sz w:val="28"/>
          <w:szCs w:val="28"/>
          <w:lang w:eastAsia="en-US"/>
        </w:rPr>
        <w:t>)</w:t>
      </w:r>
      <w:r w:rsidRPr="00520861">
        <w:rPr>
          <w:rFonts w:eastAsiaTheme="minorHAnsi"/>
          <w:sz w:val="28"/>
          <w:szCs w:val="28"/>
          <w:lang w:eastAsia="en-US"/>
        </w:rPr>
        <w:t>. 2010</w:t>
      </w:r>
      <w:r w:rsidRPr="00520861">
        <w:rPr>
          <w:rFonts w:eastAsiaTheme="minorHAnsi"/>
          <w:sz w:val="28"/>
          <w:szCs w:val="28"/>
          <w:lang w:val="en-US" w:eastAsia="en-US"/>
        </w:rPr>
        <w:t>;</w:t>
      </w:r>
      <w:r w:rsidRPr="00520861">
        <w:rPr>
          <w:rFonts w:eastAsiaTheme="minorHAnsi"/>
          <w:sz w:val="28"/>
          <w:szCs w:val="28"/>
          <w:lang w:eastAsia="en-US"/>
        </w:rPr>
        <w:t xml:space="preserve"> 9(2)</w:t>
      </w:r>
      <w:r w:rsidRPr="00520861">
        <w:rPr>
          <w:rFonts w:eastAsiaTheme="minorHAnsi"/>
          <w:sz w:val="28"/>
          <w:szCs w:val="28"/>
          <w:lang w:val="en-US" w:eastAsia="en-US"/>
        </w:rPr>
        <w:t>:</w:t>
      </w:r>
      <w:r w:rsidRPr="00520861">
        <w:rPr>
          <w:rFonts w:eastAsiaTheme="minorHAnsi"/>
          <w:sz w:val="28"/>
          <w:szCs w:val="28"/>
          <w:lang w:eastAsia="en-US"/>
        </w:rPr>
        <w:t xml:space="preserve"> 4–5.</w:t>
      </w:r>
    </w:p>
    <w:p w14:paraId="578987E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Жулев</w:t>
      </w:r>
      <w:proofErr w:type="spellEnd"/>
      <w:r w:rsidRPr="00520861">
        <w:rPr>
          <w:rFonts w:eastAsiaTheme="minorHAnsi"/>
          <w:sz w:val="28"/>
          <w:szCs w:val="28"/>
          <w:lang w:eastAsia="en-US"/>
        </w:rPr>
        <w:t xml:space="preserve"> ЕН, </w:t>
      </w:r>
      <w:proofErr w:type="spellStart"/>
      <w:r w:rsidRPr="00520861">
        <w:rPr>
          <w:rFonts w:eastAsiaTheme="minorHAnsi"/>
          <w:sz w:val="28"/>
          <w:szCs w:val="28"/>
          <w:lang w:eastAsia="en-US"/>
        </w:rPr>
        <w:t>Кочубейник</w:t>
      </w:r>
      <w:proofErr w:type="spellEnd"/>
      <w:r w:rsidRPr="00520861">
        <w:rPr>
          <w:rFonts w:eastAsiaTheme="minorHAnsi"/>
          <w:sz w:val="28"/>
          <w:szCs w:val="28"/>
          <w:lang w:eastAsia="en-US"/>
        </w:rPr>
        <w:t xml:space="preserve"> АВ, Лапшин РД. </w:t>
      </w:r>
      <w:proofErr w:type="spellStart"/>
      <w:r w:rsidRPr="00520861">
        <w:rPr>
          <w:rFonts w:eastAsiaTheme="minorHAnsi"/>
          <w:sz w:val="28"/>
          <w:szCs w:val="28"/>
          <w:lang w:eastAsia="en-US"/>
        </w:rPr>
        <w:t>Экспериментальное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моделирование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воспалительных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заболеваний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пародонта</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Фундаментальные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исследования</w:t>
      </w:r>
      <w:proofErr w:type="spellEnd"/>
      <w:r w:rsidRPr="00520861">
        <w:rPr>
          <w:rFonts w:eastAsiaTheme="minorHAnsi"/>
          <w:sz w:val="28"/>
          <w:szCs w:val="28"/>
          <w:lang w:eastAsia="en-US"/>
        </w:rPr>
        <w:t>. 2015</w:t>
      </w:r>
      <w:r w:rsidRPr="00520861">
        <w:rPr>
          <w:rFonts w:eastAsiaTheme="minorHAnsi"/>
          <w:sz w:val="28"/>
          <w:szCs w:val="28"/>
          <w:lang w:val="ru-RU" w:eastAsia="en-US"/>
        </w:rPr>
        <w:t>;</w:t>
      </w:r>
      <w:r w:rsidRPr="00520861">
        <w:rPr>
          <w:rFonts w:eastAsiaTheme="minorHAnsi"/>
          <w:sz w:val="28"/>
          <w:szCs w:val="28"/>
          <w:lang w:eastAsia="en-US"/>
        </w:rPr>
        <w:t>1</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744–747</w:t>
      </w:r>
      <w:r w:rsidRPr="00520861">
        <w:rPr>
          <w:rFonts w:eastAsiaTheme="minorHAnsi"/>
          <w:sz w:val="28"/>
          <w:szCs w:val="28"/>
          <w:lang w:val="ru-RU" w:eastAsia="en-US"/>
        </w:rPr>
        <w:t>.</w:t>
      </w:r>
    </w:p>
    <w:p w14:paraId="522EA09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Заболотний ТД</w:t>
      </w:r>
      <w:r w:rsidRPr="00520861">
        <w:rPr>
          <w:rFonts w:eastAsiaTheme="minorHAnsi"/>
          <w:sz w:val="28"/>
          <w:szCs w:val="28"/>
          <w:lang w:val="ru-RU" w:eastAsia="en-US"/>
        </w:rPr>
        <w:t>,</w:t>
      </w:r>
      <w:r w:rsidRPr="00520861">
        <w:rPr>
          <w:rFonts w:eastAsiaTheme="minorHAnsi"/>
          <w:sz w:val="28"/>
          <w:szCs w:val="28"/>
          <w:lang w:eastAsia="en-US"/>
        </w:rPr>
        <w:t xml:space="preserve"> Борисенко АВ, </w:t>
      </w:r>
      <w:proofErr w:type="spellStart"/>
      <w:r w:rsidRPr="00520861">
        <w:rPr>
          <w:rFonts w:eastAsiaTheme="minorHAnsi"/>
          <w:sz w:val="28"/>
          <w:szCs w:val="28"/>
          <w:lang w:eastAsia="en-US"/>
        </w:rPr>
        <w:t>Пупін</w:t>
      </w:r>
      <w:proofErr w:type="spellEnd"/>
      <w:r w:rsidRPr="00520861">
        <w:rPr>
          <w:rFonts w:eastAsiaTheme="minorHAnsi"/>
          <w:sz w:val="28"/>
          <w:szCs w:val="28"/>
          <w:lang w:eastAsia="en-US"/>
        </w:rPr>
        <w:t xml:space="preserve"> ТІ. </w:t>
      </w:r>
      <w:r w:rsidRPr="00520861">
        <w:rPr>
          <w:rFonts w:eastAsiaTheme="minorHAnsi"/>
          <w:i/>
          <w:sz w:val="28"/>
          <w:szCs w:val="28"/>
          <w:lang w:eastAsia="en-US"/>
        </w:rPr>
        <w:t xml:space="preserve">Запальні захворювання </w:t>
      </w:r>
      <w:proofErr w:type="spellStart"/>
      <w:r w:rsidRPr="00520861">
        <w:rPr>
          <w:rFonts w:eastAsiaTheme="minorHAnsi"/>
          <w:i/>
          <w:sz w:val="28"/>
          <w:szCs w:val="28"/>
          <w:lang w:eastAsia="en-US"/>
        </w:rPr>
        <w:t>пародонта</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Львів: </w:t>
      </w:r>
      <w:proofErr w:type="spellStart"/>
      <w:r w:rsidRPr="00520861">
        <w:rPr>
          <w:rFonts w:eastAsiaTheme="minorHAnsi"/>
          <w:sz w:val="28"/>
          <w:szCs w:val="28"/>
          <w:lang w:eastAsia="en-US"/>
        </w:rPr>
        <w:t>ГалДент</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2013. 233 c</w:t>
      </w:r>
      <w:r w:rsidRPr="00520861">
        <w:rPr>
          <w:rFonts w:eastAsiaTheme="minorHAnsi"/>
          <w:sz w:val="28"/>
          <w:szCs w:val="28"/>
          <w:lang w:val="ru-RU" w:eastAsia="en-US"/>
        </w:rPr>
        <w:t>.</w:t>
      </w:r>
    </w:p>
    <w:p w14:paraId="61D4E47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Загайко АЛ, </w:t>
      </w:r>
      <w:proofErr w:type="spellStart"/>
      <w:r w:rsidRPr="00520861">
        <w:rPr>
          <w:rFonts w:eastAsiaTheme="minorHAnsi"/>
          <w:sz w:val="28"/>
          <w:szCs w:val="28"/>
          <w:lang w:eastAsia="en-US"/>
        </w:rPr>
        <w:t>Шкапо</w:t>
      </w:r>
      <w:proofErr w:type="spellEnd"/>
      <w:r w:rsidRPr="00520861">
        <w:rPr>
          <w:rFonts w:eastAsiaTheme="minorHAnsi"/>
          <w:sz w:val="28"/>
          <w:szCs w:val="28"/>
          <w:lang w:eastAsia="en-US"/>
        </w:rPr>
        <w:t xml:space="preserve"> АІ, </w:t>
      </w:r>
      <w:proofErr w:type="spellStart"/>
      <w:r w:rsidRPr="00520861">
        <w:rPr>
          <w:rFonts w:eastAsiaTheme="minorHAnsi"/>
          <w:sz w:val="28"/>
          <w:szCs w:val="28"/>
          <w:lang w:eastAsia="en-US"/>
        </w:rPr>
        <w:t>Брюханова</w:t>
      </w:r>
      <w:proofErr w:type="spellEnd"/>
      <w:r w:rsidRPr="00520861">
        <w:rPr>
          <w:rFonts w:eastAsiaTheme="minorHAnsi"/>
          <w:sz w:val="28"/>
          <w:szCs w:val="28"/>
          <w:lang w:eastAsia="en-US"/>
        </w:rPr>
        <w:t xml:space="preserve"> ТО. Дослідження механізмів лікувального впливу </w:t>
      </w:r>
      <w:proofErr w:type="spellStart"/>
      <w:r w:rsidRPr="00520861">
        <w:rPr>
          <w:rFonts w:eastAsiaTheme="minorHAnsi"/>
          <w:sz w:val="28"/>
          <w:szCs w:val="28"/>
          <w:lang w:eastAsia="en-US"/>
        </w:rPr>
        <w:t>гідроксилимонної</w:t>
      </w:r>
      <w:proofErr w:type="spellEnd"/>
      <w:r w:rsidRPr="00520861">
        <w:rPr>
          <w:rFonts w:eastAsiaTheme="minorHAnsi"/>
          <w:sz w:val="28"/>
          <w:szCs w:val="28"/>
          <w:lang w:eastAsia="en-US"/>
        </w:rPr>
        <w:t xml:space="preserve"> кислоти за експериментальної </w:t>
      </w:r>
      <w:proofErr w:type="spellStart"/>
      <w:r w:rsidRPr="00520861">
        <w:rPr>
          <w:rFonts w:eastAsiaTheme="minorHAnsi"/>
          <w:sz w:val="28"/>
          <w:szCs w:val="28"/>
          <w:lang w:eastAsia="en-US"/>
        </w:rPr>
        <w:t>інсулінорезистентностіу</w:t>
      </w:r>
      <w:proofErr w:type="spellEnd"/>
      <w:r w:rsidRPr="00520861">
        <w:rPr>
          <w:rFonts w:eastAsiaTheme="minorHAnsi"/>
          <w:sz w:val="28"/>
          <w:szCs w:val="28"/>
          <w:lang w:eastAsia="en-US"/>
        </w:rPr>
        <w:t xml:space="preserve"> щурів. </w:t>
      </w:r>
      <w:r w:rsidRPr="00520861">
        <w:rPr>
          <w:rFonts w:eastAsiaTheme="minorHAnsi"/>
          <w:i/>
          <w:sz w:val="28"/>
          <w:szCs w:val="28"/>
          <w:lang w:eastAsia="en-US"/>
        </w:rPr>
        <w:t xml:space="preserve">Український </w:t>
      </w:r>
      <w:proofErr w:type="spellStart"/>
      <w:r w:rsidRPr="00520861">
        <w:rPr>
          <w:rFonts w:eastAsiaTheme="minorHAnsi"/>
          <w:i/>
          <w:sz w:val="28"/>
          <w:szCs w:val="28"/>
          <w:lang w:eastAsia="en-US"/>
        </w:rPr>
        <w:t>біофармацевтичний</w:t>
      </w:r>
      <w:proofErr w:type="spellEnd"/>
      <w:r w:rsidRPr="00520861">
        <w:rPr>
          <w:rFonts w:eastAsiaTheme="minorHAnsi"/>
          <w:i/>
          <w:sz w:val="28"/>
          <w:szCs w:val="28"/>
          <w:lang w:eastAsia="en-US"/>
        </w:rPr>
        <w:t xml:space="preserve"> журнал</w:t>
      </w:r>
      <w:r w:rsidRPr="00520861">
        <w:rPr>
          <w:rFonts w:eastAsiaTheme="minorHAnsi"/>
          <w:sz w:val="28"/>
          <w:szCs w:val="28"/>
          <w:lang w:val="ru-RU" w:eastAsia="en-US"/>
        </w:rPr>
        <w:t>.</w:t>
      </w:r>
      <w:r w:rsidRPr="00520861">
        <w:rPr>
          <w:rFonts w:eastAsiaTheme="minorHAnsi"/>
          <w:sz w:val="28"/>
          <w:szCs w:val="28"/>
          <w:lang w:eastAsia="en-US"/>
        </w:rPr>
        <w:t xml:space="preserve"> 2016</w:t>
      </w:r>
      <w:r w:rsidRPr="00520861">
        <w:rPr>
          <w:rFonts w:eastAsiaTheme="minorHAnsi"/>
          <w:sz w:val="28"/>
          <w:szCs w:val="28"/>
          <w:lang w:val="ru-RU" w:eastAsia="en-US"/>
        </w:rPr>
        <w:t>;</w:t>
      </w:r>
      <w:r w:rsidRPr="00520861">
        <w:rPr>
          <w:rFonts w:eastAsiaTheme="minorHAnsi"/>
          <w:sz w:val="28"/>
          <w:szCs w:val="28"/>
          <w:lang w:eastAsia="en-US"/>
        </w:rPr>
        <w:t>44</w:t>
      </w:r>
      <w:r w:rsidRPr="00520861">
        <w:rPr>
          <w:rFonts w:eastAsiaTheme="minorHAnsi"/>
          <w:sz w:val="28"/>
          <w:szCs w:val="28"/>
          <w:lang w:val="ru-RU" w:eastAsia="en-US"/>
        </w:rPr>
        <w:t>(</w:t>
      </w:r>
      <w:r w:rsidRPr="00520861">
        <w:rPr>
          <w:rFonts w:eastAsiaTheme="minorHAnsi"/>
          <w:sz w:val="28"/>
          <w:szCs w:val="28"/>
          <w:lang w:eastAsia="en-US"/>
        </w:rPr>
        <w:t>3)</w:t>
      </w:r>
      <w:r w:rsidRPr="00520861">
        <w:rPr>
          <w:rFonts w:eastAsiaTheme="minorHAnsi"/>
          <w:sz w:val="28"/>
          <w:szCs w:val="28"/>
          <w:lang w:val="ru-RU" w:eastAsia="en-US"/>
        </w:rPr>
        <w:t xml:space="preserve">: </w:t>
      </w:r>
      <w:r w:rsidRPr="00520861">
        <w:rPr>
          <w:rFonts w:eastAsiaTheme="minorHAnsi"/>
          <w:sz w:val="28"/>
          <w:szCs w:val="28"/>
          <w:lang w:eastAsia="en-US"/>
        </w:rPr>
        <w:t>75–79</w:t>
      </w:r>
      <w:r w:rsidRPr="00520861">
        <w:rPr>
          <w:rFonts w:eastAsiaTheme="minorHAnsi"/>
          <w:sz w:val="28"/>
          <w:szCs w:val="28"/>
          <w:lang w:val="ru-RU" w:eastAsia="en-US"/>
        </w:rPr>
        <w:t>.</w:t>
      </w:r>
    </w:p>
    <w:p w14:paraId="3F4D172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sz w:val="28"/>
          <w:szCs w:val="28"/>
        </w:rPr>
        <w:t>Замахаева</w:t>
      </w:r>
      <w:proofErr w:type="spellEnd"/>
      <w:r w:rsidRPr="00520861">
        <w:rPr>
          <w:sz w:val="28"/>
          <w:szCs w:val="28"/>
        </w:rPr>
        <w:t xml:space="preserve"> ЕВ</w:t>
      </w:r>
      <w:r w:rsidRPr="00520861">
        <w:rPr>
          <w:sz w:val="28"/>
          <w:szCs w:val="28"/>
          <w:lang w:val="ru-RU"/>
        </w:rPr>
        <w:t xml:space="preserve">. </w:t>
      </w:r>
      <w:proofErr w:type="spellStart"/>
      <w:r w:rsidRPr="00520861">
        <w:rPr>
          <w:i/>
          <w:sz w:val="28"/>
          <w:szCs w:val="28"/>
        </w:rPr>
        <w:t>Фотоденситометрическое</w:t>
      </w:r>
      <w:proofErr w:type="spellEnd"/>
      <w:r w:rsidRPr="00520861">
        <w:rPr>
          <w:i/>
          <w:sz w:val="28"/>
          <w:szCs w:val="28"/>
        </w:rPr>
        <w:t xml:space="preserve"> </w:t>
      </w:r>
      <w:proofErr w:type="spellStart"/>
      <w:r w:rsidRPr="00520861">
        <w:rPr>
          <w:i/>
          <w:sz w:val="28"/>
          <w:szCs w:val="28"/>
        </w:rPr>
        <w:t>определение</w:t>
      </w:r>
      <w:proofErr w:type="spellEnd"/>
      <w:r w:rsidRPr="00520861">
        <w:rPr>
          <w:i/>
          <w:sz w:val="28"/>
          <w:szCs w:val="28"/>
        </w:rPr>
        <w:t xml:space="preserve"> </w:t>
      </w:r>
      <w:proofErr w:type="spellStart"/>
      <w:r w:rsidRPr="00520861">
        <w:rPr>
          <w:i/>
          <w:sz w:val="28"/>
          <w:szCs w:val="28"/>
        </w:rPr>
        <w:t>плотности</w:t>
      </w:r>
      <w:proofErr w:type="spellEnd"/>
      <w:r w:rsidRPr="00520861">
        <w:rPr>
          <w:i/>
          <w:sz w:val="28"/>
          <w:szCs w:val="28"/>
        </w:rPr>
        <w:t xml:space="preserve"> </w:t>
      </w:r>
      <w:proofErr w:type="spellStart"/>
      <w:r w:rsidRPr="00520861">
        <w:rPr>
          <w:i/>
          <w:sz w:val="28"/>
          <w:szCs w:val="28"/>
        </w:rPr>
        <w:t>костной</w:t>
      </w:r>
      <w:proofErr w:type="spellEnd"/>
      <w:r w:rsidRPr="00520861">
        <w:rPr>
          <w:i/>
          <w:sz w:val="28"/>
          <w:szCs w:val="28"/>
        </w:rPr>
        <w:t xml:space="preserve"> </w:t>
      </w:r>
      <w:proofErr w:type="spellStart"/>
      <w:r w:rsidRPr="00520861">
        <w:rPr>
          <w:i/>
          <w:sz w:val="28"/>
          <w:szCs w:val="28"/>
        </w:rPr>
        <w:t>ткани</w:t>
      </w:r>
      <w:proofErr w:type="spellEnd"/>
      <w:r w:rsidRPr="00520861">
        <w:rPr>
          <w:i/>
          <w:sz w:val="28"/>
          <w:szCs w:val="28"/>
        </w:rPr>
        <w:t xml:space="preserve"> в </w:t>
      </w:r>
      <w:proofErr w:type="spellStart"/>
      <w:r w:rsidRPr="00520861">
        <w:rPr>
          <w:i/>
          <w:sz w:val="28"/>
          <w:szCs w:val="28"/>
        </w:rPr>
        <w:t>пародонтологии</w:t>
      </w:r>
      <w:proofErr w:type="spellEnd"/>
      <w:r w:rsidRPr="00520861">
        <w:rPr>
          <w:sz w:val="28"/>
          <w:szCs w:val="28"/>
        </w:rPr>
        <w:t xml:space="preserve">. </w:t>
      </w:r>
      <w:proofErr w:type="spellStart"/>
      <w:r w:rsidRPr="00520861">
        <w:rPr>
          <w:rFonts w:eastAsiaTheme="minorHAnsi"/>
          <w:sz w:val="28"/>
          <w:szCs w:val="28"/>
          <w:lang w:eastAsia="en-US"/>
        </w:rPr>
        <w:t>Дис</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канд</w:t>
      </w:r>
      <w:proofErr w:type="spellEnd"/>
      <w:r w:rsidRPr="00520861">
        <w:rPr>
          <w:rFonts w:eastAsiaTheme="minorHAnsi"/>
          <w:sz w:val="28"/>
          <w:szCs w:val="28"/>
          <w:lang w:eastAsia="en-US"/>
        </w:rPr>
        <w:t>. мед. наук. Москва: ФГОУ «</w:t>
      </w:r>
      <w:proofErr w:type="spellStart"/>
      <w:r w:rsidRPr="00520861">
        <w:rPr>
          <w:rFonts w:eastAsiaTheme="minorHAnsi"/>
          <w:sz w:val="28"/>
          <w:szCs w:val="28"/>
          <w:lang w:eastAsia="en-US"/>
        </w:rPr>
        <w:t>Институт</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повышения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квалификации</w:t>
      </w:r>
      <w:proofErr w:type="spellEnd"/>
      <w:r w:rsidRPr="00520861">
        <w:rPr>
          <w:rFonts w:eastAsiaTheme="minorHAnsi"/>
          <w:sz w:val="28"/>
          <w:szCs w:val="28"/>
          <w:lang w:eastAsia="en-US"/>
        </w:rPr>
        <w:t xml:space="preserve"> Федерального медико-</w:t>
      </w:r>
      <w:proofErr w:type="spellStart"/>
      <w:r w:rsidRPr="00520861">
        <w:rPr>
          <w:rFonts w:eastAsiaTheme="minorHAnsi"/>
          <w:sz w:val="28"/>
          <w:szCs w:val="28"/>
          <w:lang w:eastAsia="en-US"/>
        </w:rPr>
        <w:t>биологического</w:t>
      </w:r>
      <w:proofErr w:type="spellEnd"/>
      <w:r w:rsidRPr="00520861">
        <w:rPr>
          <w:rFonts w:eastAsiaTheme="minorHAnsi"/>
          <w:sz w:val="28"/>
          <w:szCs w:val="28"/>
          <w:lang w:eastAsia="en-US"/>
        </w:rPr>
        <w:t xml:space="preserve"> агентства» </w:t>
      </w:r>
      <w:proofErr w:type="spellStart"/>
      <w:r w:rsidRPr="00520861">
        <w:rPr>
          <w:rFonts w:eastAsiaTheme="minorHAnsi"/>
          <w:sz w:val="28"/>
          <w:szCs w:val="28"/>
          <w:lang w:eastAsia="en-US"/>
        </w:rPr>
        <w:t>России</w:t>
      </w:r>
      <w:proofErr w:type="spellEnd"/>
      <w:r w:rsidRPr="00520861">
        <w:rPr>
          <w:rFonts w:eastAsiaTheme="minorHAnsi"/>
          <w:sz w:val="28"/>
          <w:szCs w:val="28"/>
          <w:lang w:eastAsia="en-US"/>
        </w:rPr>
        <w:t>;</w:t>
      </w:r>
      <w:r w:rsidRPr="00520861">
        <w:rPr>
          <w:sz w:val="28"/>
          <w:szCs w:val="28"/>
        </w:rPr>
        <w:t xml:space="preserve"> 2007. 133</w:t>
      </w:r>
      <w:r w:rsidRPr="00520861">
        <w:rPr>
          <w:sz w:val="28"/>
          <w:szCs w:val="28"/>
          <w:lang w:val="ru-RU"/>
        </w:rPr>
        <w:t xml:space="preserve"> с</w:t>
      </w:r>
      <w:r w:rsidRPr="00520861">
        <w:rPr>
          <w:sz w:val="28"/>
          <w:szCs w:val="28"/>
        </w:rPr>
        <w:t>.</w:t>
      </w:r>
    </w:p>
    <w:p w14:paraId="0B7ED57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З</w:t>
      </w:r>
      <w:r w:rsidRPr="00520861">
        <w:rPr>
          <w:rFonts w:eastAsiaTheme="minorHAnsi"/>
          <w:sz w:val="28"/>
          <w:szCs w:val="28"/>
          <w:lang w:eastAsia="en-US" w:bidi="en-US"/>
        </w:rPr>
        <w:t>вягін</w:t>
      </w:r>
      <w:proofErr w:type="spellEnd"/>
      <w:r w:rsidRPr="00520861">
        <w:rPr>
          <w:rFonts w:eastAsiaTheme="minorHAnsi"/>
          <w:sz w:val="28"/>
          <w:szCs w:val="28"/>
          <w:lang w:eastAsia="en-US" w:bidi="en-US"/>
        </w:rPr>
        <w:t xml:space="preserve"> СМ, </w:t>
      </w:r>
      <w:proofErr w:type="spellStart"/>
      <w:r w:rsidRPr="00520861">
        <w:rPr>
          <w:rFonts w:eastAsiaTheme="minorHAnsi"/>
          <w:sz w:val="28"/>
          <w:szCs w:val="28"/>
          <w:lang w:eastAsia="en-US" w:bidi="en-US"/>
        </w:rPr>
        <w:t>Лахтін</w:t>
      </w:r>
      <w:proofErr w:type="spellEnd"/>
      <w:r w:rsidRPr="00520861">
        <w:rPr>
          <w:rFonts w:eastAsiaTheme="minorHAnsi"/>
          <w:sz w:val="28"/>
          <w:szCs w:val="28"/>
          <w:lang w:eastAsia="en-US" w:bidi="en-US"/>
        </w:rPr>
        <w:t xml:space="preserve"> ЮВ. Резистентність емалі при </w:t>
      </w:r>
      <w:proofErr w:type="spellStart"/>
      <w:r w:rsidRPr="00520861">
        <w:rPr>
          <w:rFonts w:eastAsiaTheme="minorHAnsi"/>
          <w:sz w:val="28"/>
          <w:szCs w:val="28"/>
          <w:lang w:eastAsia="en-US" w:bidi="en-US"/>
        </w:rPr>
        <w:t>супраоклюзійних</w:t>
      </w:r>
      <w:proofErr w:type="spellEnd"/>
      <w:r w:rsidRPr="00520861">
        <w:rPr>
          <w:rFonts w:eastAsiaTheme="minorHAnsi"/>
          <w:sz w:val="28"/>
          <w:szCs w:val="28"/>
          <w:lang w:eastAsia="en-US" w:bidi="en-US"/>
        </w:rPr>
        <w:t xml:space="preserve"> контактах окремих зубів у щурів різного віку. </w:t>
      </w:r>
      <w:r w:rsidRPr="00520861">
        <w:rPr>
          <w:rFonts w:eastAsiaTheme="minorHAnsi"/>
          <w:i/>
          <w:iCs/>
          <w:sz w:val="28"/>
          <w:szCs w:val="28"/>
          <w:lang w:val="ru-RU" w:eastAsia="en-US" w:bidi="en-US"/>
        </w:rPr>
        <w:t>EUMJ</w:t>
      </w:r>
      <w:r w:rsidRPr="00520861">
        <w:rPr>
          <w:rFonts w:eastAsiaTheme="minorHAnsi"/>
          <w:sz w:val="28"/>
          <w:szCs w:val="28"/>
          <w:lang w:eastAsia="en-US" w:bidi="en-US"/>
        </w:rPr>
        <w:t xml:space="preserve">. 2020;8(1):108–114. </w:t>
      </w:r>
      <w:r w:rsidRPr="00520861">
        <w:rPr>
          <w:rFonts w:eastAsiaTheme="minorHAnsi"/>
          <w:sz w:val="28"/>
          <w:szCs w:val="28"/>
          <w:lang w:eastAsia="en-US"/>
        </w:rPr>
        <w:t xml:space="preserve">Доступно на: </w:t>
      </w:r>
      <w:r w:rsidRPr="00520861">
        <w:rPr>
          <w:rFonts w:eastAsiaTheme="minorHAnsi"/>
          <w:sz w:val="28"/>
          <w:szCs w:val="28"/>
          <w:lang w:val="ru-RU" w:eastAsia="en-US" w:bidi="en-US"/>
        </w:rPr>
        <w:t>DOI</w:t>
      </w:r>
      <w:r w:rsidRPr="00520861">
        <w:rPr>
          <w:rFonts w:eastAsiaTheme="minorHAnsi"/>
          <w:sz w:val="28"/>
          <w:szCs w:val="28"/>
          <w:lang w:eastAsia="en-US" w:bidi="en-US"/>
        </w:rPr>
        <w:t xml:space="preserve">: </w:t>
      </w:r>
      <w:proofErr w:type="spellStart"/>
      <w:r w:rsidRPr="00520861">
        <w:rPr>
          <w:rFonts w:eastAsiaTheme="minorHAnsi"/>
          <w:sz w:val="28"/>
          <w:szCs w:val="28"/>
          <w:lang w:val="ru-RU" w:eastAsia="en-US" w:bidi="en-US"/>
        </w:rPr>
        <w:t>https</w:t>
      </w:r>
      <w:proofErr w:type="spellEnd"/>
      <w:r w:rsidRPr="00520861">
        <w:rPr>
          <w:rFonts w:eastAsiaTheme="minorHAnsi"/>
          <w:sz w:val="28"/>
          <w:szCs w:val="28"/>
          <w:lang w:eastAsia="en-US" w:bidi="en-US"/>
        </w:rPr>
        <w:t>://</w:t>
      </w:r>
      <w:proofErr w:type="spellStart"/>
      <w:r w:rsidRPr="00520861">
        <w:rPr>
          <w:rFonts w:eastAsiaTheme="minorHAnsi"/>
          <w:sz w:val="28"/>
          <w:szCs w:val="28"/>
          <w:lang w:val="ru-RU" w:eastAsia="en-US" w:bidi="en-US"/>
        </w:rPr>
        <w:t>doi</w:t>
      </w:r>
      <w:proofErr w:type="spellEnd"/>
      <w:r w:rsidRPr="00520861">
        <w:rPr>
          <w:rFonts w:eastAsiaTheme="minorHAnsi"/>
          <w:sz w:val="28"/>
          <w:szCs w:val="28"/>
          <w:lang w:eastAsia="en-US" w:bidi="en-US"/>
        </w:rPr>
        <w:t>.</w:t>
      </w:r>
      <w:proofErr w:type="spellStart"/>
      <w:r w:rsidRPr="00520861">
        <w:rPr>
          <w:rFonts w:eastAsiaTheme="minorHAnsi"/>
          <w:sz w:val="28"/>
          <w:szCs w:val="28"/>
          <w:lang w:val="ru-RU" w:eastAsia="en-US" w:bidi="en-US"/>
        </w:rPr>
        <w:t>org</w:t>
      </w:r>
      <w:proofErr w:type="spellEnd"/>
      <w:r w:rsidRPr="00520861">
        <w:rPr>
          <w:rFonts w:eastAsiaTheme="minorHAnsi"/>
          <w:sz w:val="28"/>
          <w:szCs w:val="28"/>
          <w:lang w:eastAsia="en-US" w:bidi="en-US"/>
        </w:rPr>
        <w:t>/10.21272/</w:t>
      </w:r>
      <w:proofErr w:type="spellStart"/>
      <w:r w:rsidRPr="00520861">
        <w:rPr>
          <w:rFonts w:eastAsiaTheme="minorHAnsi"/>
          <w:sz w:val="28"/>
          <w:szCs w:val="28"/>
          <w:lang w:val="ru-RU" w:eastAsia="en-US" w:bidi="en-US"/>
        </w:rPr>
        <w:t>eumj</w:t>
      </w:r>
      <w:proofErr w:type="spellEnd"/>
      <w:r w:rsidRPr="00520861">
        <w:rPr>
          <w:rFonts w:eastAsiaTheme="minorHAnsi"/>
          <w:sz w:val="28"/>
          <w:szCs w:val="28"/>
          <w:lang w:eastAsia="en-US" w:bidi="en-US"/>
        </w:rPr>
        <w:t>.2020;8(1):108-114.</w:t>
      </w:r>
    </w:p>
    <w:p w14:paraId="1BCF1D7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Иванов</w:t>
      </w:r>
      <w:proofErr w:type="spellEnd"/>
      <w:r w:rsidRPr="00520861">
        <w:rPr>
          <w:rFonts w:eastAsiaTheme="minorHAnsi"/>
          <w:sz w:val="28"/>
          <w:szCs w:val="28"/>
          <w:lang w:eastAsia="en-US"/>
        </w:rPr>
        <w:t xml:space="preserve"> ВС. </w:t>
      </w:r>
      <w:proofErr w:type="spellStart"/>
      <w:r w:rsidRPr="00520861">
        <w:rPr>
          <w:rFonts w:eastAsiaTheme="minorHAnsi"/>
          <w:i/>
          <w:sz w:val="28"/>
          <w:szCs w:val="28"/>
          <w:lang w:eastAsia="en-US"/>
        </w:rPr>
        <w:t>Заболевания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пародонта</w:t>
      </w:r>
      <w:proofErr w:type="spellEnd"/>
      <w:r w:rsidRPr="00520861">
        <w:rPr>
          <w:rFonts w:eastAsiaTheme="minorHAnsi"/>
          <w:sz w:val="28"/>
          <w:szCs w:val="28"/>
          <w:lang w:eastAsia="en-US"/>
        </w:rPr>
        <w:t>. Москва: Медицина</w:t>
      </w:r>
      <w:r w:rsidRPr="00520861">
        <w:rPr>
          <w:rFonts w:eastAsiaTheme="minorHAnsi"/>
          <w:sz w:val="28"/>
          <w:szCs w:val="28"/>
          <w:lang w:val="ru-RU" w:eastAsia="en-US"/>
        </w:rPr>
        <w:t>;</w:t>
      </w:r>
      <w:r w:rsidRPr="00520861">
        <w:rPr>
          <w:rFonts w:eastAsiaTheme="minorHAnsi"/>
          <w:sz w:val="28"/>
          <w:szCs w:val="28"/>
          <w:lang w:eastAsia="en-US"/>
        </w:rPr>
        <w:t xml:space="preserve"> 1998. 296 с.</w:t>
      </w:r>
    </w:p>
    <w:p w14:paraId="73A9B6F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Иванова</w:t>
      </w:r>
      <w:proofErr w:type="spellEnd"/>
      <w:r w:rsidRPr="00520861">
        <w:rPr>
          <w:rFonts w:eastAsiaTheme="minorHAnsi"/>
          <w:sz w:val="28"/>
          <w:szCs w:val="28"/>
          <w:lang w:eastAsia="en-US"/>
        </w:rPr>
        <w:t xml:space="preserve"> ЕН, Петрова АМ. </w:t>
      </w:r>
      <w:proofErr w:type="spellStart"/>
      <w:r w:rsidRPr="00520861">
        <w:rPr>
          <w:rFonts w:eastAsiaTheme="minorHAnsi"/>
          <w:sz w:val="28"/>
          <w:szCs w:val="28"/>
          <w:lang w:eastAsia="en-US"/>
        </w:rPr>
        <w:t>Показатели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углеводного</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минерального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обменов</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lastRenderedPageBreak/>
        <w:t>нестимулированной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смешанной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слюне</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детей</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низкой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интенсивностью</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кариеса</w:t>
      </w:r>
      <w:proofErr w:type="spellEnd"/>
      <w:r w:rsidRPr="00520861">
        <w:rPr>
          <w:rFonts w:eastAsiaTheme="minorHAnsi"/>
          <w:sz w:val="28"/>
          <w:szCs w:val="28"/>
          <w:lang w:eastAsia="en-US"/>
        </w:rPr>
        <w:t xml:space="preserve"> </w:t>
      </w:r>
      <w:r w:rsidR="003868A2" w:rsidRPr="00520861">
        <w:rPr>
          <w:rFonts w:eastAsiaTheme="minorHAnsi"/>
          <w:sz w:val="28"/>
          <w:szCs w:val="28"/>
          <w:lang w:eastAsia="en-US"/>
        </w:rPr>
        <w:br/>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Дальневосточный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медицинский</w:t>
      </w:r>
      <w:proofErr w:type="spellEnd"/>
      <w:r w:rsidRPr="00520861">
        <w:rPr>
          <w:rFonts w:eastAsiaTheme="minorHAnsi"/>
          <w:i/>
          <w:sz w:val="28"/>
          <w:szCs w:val="28"/>
          <w:lang w:eastAsia="en-US"/>
        </w:rPr>
        <w:t xml:space="preserve"> журнал</w:t>
      </w:r>
      <w:r w:rsidRPr="00520861">
        <w:rPr>
          <w:rFonts w:eastAsiaTheme="minorHAnsi"/>
          <w:sz w:val="28"/>
          <w:szCs w:val="28"/>
          <w:lang w:eastAsia="en-US"/>
        </w:rPr>
        <w:t>. 2006</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58–60.</w:t>
      </w:r>
    </w:p>
    <w:p w14:paraId="50DD1B0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Иванова</w:t>
      </w:r>
      <w:proofErr w:type="spellEnd"/>
      <w:r w:rsidRPr="00520861">
        <w:rPr>
          <w:rFonts w:eastAsiaTheme="minorHAnsi"/>
          <w:sz w:val="28"/>
          <w:szCs w:val="28"/>
          <w:lang w:eastAsia="en-US"/>
        </w:rPr>
        <w:t xml:space="preserve"> ЛП</w:t>
      </w:r>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Шепельская</w:t>
      </w:r>
      <w:proofErr w:type="spellEnd"/>
      <w:r w:rsidRPr="00520861">
        <w:rPr>
          <w:rFonts w:eastAsiaTheme="minorHAnsi"/>
          <w:sz w:val="28"/>
          <w:szCs w:val="28"/>
          <w:lang w:eastAsia="en-US"/>
        </w:rPr>
        <w:t xml:space="preserve"> НР. К </w:t>
      </w:r>
      <w:proofErr w:type="spellStart"/>
      <w:r w:rsidRPr="00520861">
        <w:rPr>
          <w:rFonts w:eastAsiaTheme="minorHAnsi"/>
          <w:sz w:val="28"/>
          <w:szCs w:val="28"/>
          <w:lang w:eastAsia="en-US"/>
        </w:rPr>
        <w:t>вопросу</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экстраполяции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возрастных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периодов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развития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репродуктивной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системы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экспериментальных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животных</w:t>
      </w:r>
      <w:proofErr w:type="spellEnd"/>
      <w:r w:rsidRPr="00520861">
        <w:rPr>
          <w:rFonts w:eastAsiaTheme="minorHAnsi"/>
          <w:sz w:val="28"/>
          <w:szCs w:val="28"/>
          <w:lang w:eastAsia="en-US"/>
        </w:rPr>
        <w:t xml:space="preserve"> на </w:t>
      </w:r>
      <w:proofErr w:type="spellStart"/>
      <w:r w:rsidRPr="00520861">
        <w:rPr>
          <w:rFonts w:eastAsiaTheme="minorHAnsi"/>
          <w:sz w:val="28"/>
          <w:szCs w:val="28"/>
          <w:lang w:eastAsia="en-US"/>
        </w:rPr>
        <w:t>человека</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r w:rsidR="003868A2" w:rsidRPr="00520861">
        <w:rPr>
          <w:rFonts w:eastAsiaTheme="minorHAnsi"/>
          <w:sz w:val="28"/>
          <w:szCs w:val="28"/>
          <w:lang w:eastAsia="en-US"/>
        </w:rPr>
        <w:br/>
      </w:r>
      <w:proofErr w:type="spellStart"/>
      <w:r w:rsidRPr="00520861">
        <w:rPr>
          <w:rFonts w:eastAsiaTheme="minorHAnsi"/>
          <w:i/>
          <w:sz w:val="28"/>
          <w:szCs w:val="28"/>
          <w:lang w:eastAsia="en-US"/>
        </w:rPr>
        <w:t>Международный</w:t>
      </w:r>
      <w:proofErr w:type="spellEnd"/>
      <w:r w:rsidRPr="00520861">
        <w:rPr>
          <w:rFonts w:eastAsiaTheme="minorHAnsi"/>
          <w:i/>
          <w:sz w:val="28"/>
          <w:szCs w:val="28"/>
          <w:lang w:eastAsia="en-US"/>
        </w:rPr>
        <w:t xml:space="preserve"> журнал </w:t>
      </w:r>
      <w:proofErr w:type="spellStart"/>
      <w:r w:rsidRPr="00520861">
        <w:rPr>
          <w:rFonts w:eastAsiaTheme="minorHAnsi"/>
          <w:i/>
          <w:sz w:val="28"/>
          <w:szCs w:val="28"/>
          <w:lang w:eastAsia="en-US"/>
        </w:rPr>
        <w:t>прикладных</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фундаментальных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исследований</w:t>
      </w:r>
      <w:proofErr w:type="spellEnd"/>
      <w:r w:rsidRPr="00520861">
        <w:rPr>
          <w:rFonts w:eastAsiaTheme="minorHAnsi"/>
          <w:sz w:val="28"/>
          <w:szCs w:val="28"/>
          <w:lang w:eastAsia="en-US"/>
        </w:rPr>
        <w:t>. 2012</w:t>
      </w:r>
      <w:r w:rsidRPr="00520861">
        <w:rPr>
          <w:rFonts w:eastAsiaTheme="minorHAnsi"/>
          <w:sz w:val="28"/>
          <w:szCs w:val="28"/>
          <w:lang w:val="ru-RU" w:eastAsia="en-US"/>
        </w:rPr>
        <w:t>;(</w:t>
      </w:r>
      <w:r w:rsidRPr="00520861">
        <w:rPr>
          <w:rFonts w:eastAsiaTheme="minorHAnsi"/>
          <w:sz w:val="28"/>
          <w:szCs w:val="28"/>
          <w:lang w:eastAsia="en-US"/>
        </w:rPr>
        <w:t>7</w:t>
      </w:r>
      <w:r w:rsidRPr="00520861">
        <w:rPr>
          <w:rFonts w:eastAsiaTheme="minorHAnsi"/>
          <w:sz w:val="28"/>
          <w:szCs w:val="28"/>
          <w:lang w:val="ru-RU" w:eastAsia="en-US"/>
        </w:rPr>
        <w:t>):</w:t>
      </w:r>
      <w:r w:rsidRPr="00520861">
        <w:rPr>
          <w:rFonts w:eastAsiaTheme="minorHAnsi"/>
          <w:sz w:val="28"/>
          <w:szCs w:val="28"/>
          <w:lang w:eastAsia="en-US"/>
        </w:rPr>
        <w:t xml:space="preserve"> 169–170. </w:t>
      </w:r>
    </w:p>
    <w:p w14:paraId="4D632B7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Ильина</w:t>
      </w:r>
      <w:proofErr w:type="spellEnd"/>
      <w:r w:rsidRPr="00520861">
        <w:rPr>
          <w:rFonts w:eastAsiaTheme="minorHAnsi"/>
          <w:sz w:val="28"/>
          <w:szCs w:val="28"/>
          <w:lang w:eastAsia="en-US"/>
        </w:rPr>
        <w:t xml:space="preserve"> АЕ, </w:t>
      </w:r>
      <w:proofErr w:type="spellStart"/>
      <w:r w:rsidRPr="00520861">
        <w:rPr>
          <w:rFonts w:eastAsiaTheme="minorHAnsi"/>
          <w:sz w:val="28"/>
          <w:szCs w:val="28"/>
          <w:lang w:eastAsia="en-US"/>
        </w:rPr>
        <w:t>Станислав</w:t>
      </w:r>
      <w:proofErr w:type="spellEnd"/>
      <w:r w:rsidRPr="00520861">
        <w:rPr>
          <w:rFonts w:eastAsiaTheme="minorHAnsi"/>
          <w:sz w:val="28"/>
          <w:szCs w:val="28"/>
          <w:lang w:eastAsia="en-US"/>
        </w:rPr>
        <w:t xml:space="preserve"> МЛ, Денисов ЛН, </w:t>
      </w:r>
      <w:proofErr w:type="spellStart"/>
      <w:r w:rsidRPr="00520861">
        <w:rPr>
          <w:rFonts w:eastAsiaTheme="minorHAnsi"/>
          <w:sz w:val="28"/>
          <w:szCs w:val="28"/>
          <w:lang w:eastAsia="en-US"/>
        </w:rPr>
        <w:t>Насонов</w:t>
      </w:r>
      <w:proofErr w:type="spellEnd"/>
      <w:r w:rsidRPr="00520861">
        <w:rPr>
          <w:rFonts w:eastAsiaTheme="minorHAnsi"/>
          <w:sz w:val="28"/>
          <w:szCs w:val="28"/>
          <w:lang w:eastAsia="en-US"/>
        </w:rPr>
        <w:t xml:space="preserve"> ЕЛ. </w:t>
      </w:r>
      <w:proofErr w:type="spellStart"/>
      <w:r w:rsidRPr="00520861">
        <w:rPr>
          <w:rFonts w:eastAsiaTheme="minorHAnsi"/>
          <w:sz w:val="28"/>
          <w:szCs w:val="28"/>
          <w:lang w:eastAsia="en-US"/>
        </w:rPr>
        <w:t>Интерлейкин</w:t>
      </w:r>
      <w:proofErr w:type="spellEnd"/>
      <w:r w:rsidRPr="00520861">
        <w:rPr>
          <w:rFonts w:eastAsiaTheme="minorHAnsi"/>
          <w:sz w:val="28"/>
          <w:szCs w:val="28"/>
          <w:lang w:eastAsia="en-US"/>
        </w:rPr>
        <w:t xml:space="preserve"> 1 </w:t>
      </w:r>
      <w:proofErr w:type="spellStart"/>
      <w:r w:rsidRPr="00520861">
        <w:rPr>
          <w:rFonts w:eastAsiaTheme="minorHAnsi"/>
          <w:sz w:val="28"/>
          <w:szCs w:val="28"/>
          <w:lang w:eastAsia="en-US"/>
        </w:rPr>
        <w:t>как</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медиатор</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воспаления</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терапевтическая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мишень</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Научно-практическая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ревматология</w:t>
      </w:r>
      <w:proofErr w:type="spellEnd"/>
      <w:r w:rsidRPr="00520861">
        <w:rPr>
          <w:rFonts w:eastAsiaTheme="minorHAnsi"/>
          <w:sz w:val="28"/>
          <w:szCs w:val="28"/>
          <w:lang w:eastAsia="en-US"/>
        </w:rPr>
        <w:t>. 2011</w:t>
      </w:r>
      <w:r w:rsidRPr="00520861">
        <w:rPr>
          <w:rFonts w:eastAsiaTheme="minorHAnsi"/>
          <w:sz w:val="28"/>
          <w:szCs w:val="28"/>
          <w:lang w:val="ru-RU" w:eastAsia="en-US"/>
        </w:rPr>
        <w:t>;(</w:t>
      </w:r>
      <w:r w:rsidRPr="00520861">
        <w:rPr>
          <w:rFonts w:eastAsiaTheme="minorHAnsi"/>
          <w:sz w:val="28"/>
          <w:szCs w:val="28"/>
          <w:lang w:eastAsia="en-US"/>
        </w:rPr>
        <w:t>5</w:t>
      </w:r>
      <w:r w:rsidRPr="00520861">
        <w:rPr>
          <w:rFonts w:eastAsiaTheme="minorHAnsi"/>
          <w:sz w:val="28"/>
          <w:szCs w:val="28"/>
          <w:lang w:val="ru-RU" w:eastAsia="en-US"/>
        </w:rPr>
        <w:t>):</w:t>
      </w:r>
      <w:r w:rsidRPr="00520861">
        <w:rPr>
          <w:rFonts w:eastAsiaTheme="minorHAnsi"/>
          <w:sz w:val="28"/>
          <w:szCs w:val="28"/>
          <w:lang w:eastAsia="en-US"/>
        </w:rPr>
        <w:t xml:space="preserve"> 62–71.</w:t>
      </w:r>
    </w:p>
    <w:p w14:paraId="7087767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Калвелис</w:t>
      </w:r>
      <w:proofErr w:type="spellEnd"/>
      <w:r w:rsidRPr="00520861">
        <w:rPr>
          <w:rFonts w:eastAsiaTheme="minorHAnsi"/>
          <w:sz w:val="28"/>
          <w:szCs w:val="28"/>
          <w:lang w:eastAsia="en-US"/>
        </w:rPr>
        <w:t xml:space="preserve"> ДА. </w:t>
      </w:r>
      <w:proofErr w:type="spellStart"/>
      <w:r w:rsidRPr="00520861">
        <w:rPr>
          <w:rFonts w:eastAsiaTheme="minorHAnsi"/>
          <w:i/>
          <w:sz w:val="28"/>
          <w:szCs w:val="28"/>
          <w:lang w:eastAsia="en-US"/>
        </w:rPr>
        <w:t>Ортодонтия</w:t>
      </w:r>
      <w:proofErr w:type="spellEnd"/>
      <w:r w:rsidRPr="00520861">
        <w:rPr>
          <w:rFonts w:eastAsiaTheme="minorHAnsi"/>
          <w:i/>
          <w:sz w:val="28"/>
          <w:szCs w:val="28"/>
          <w:lang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Зубо</w:t>
      </w:r>
      <w:proofErr w:type="spellEnd"/>
      <w:r w:rsidRPr="00520861">
        <w:rPr>
          <w:rFonts w:eastAsiaTheme="minorHAnsi"/>
          <w:i/>
          <w:sz w:val="28"/>
          <w:szCs w:val="28"/>
          <w:lang w:val="ru-RU" w:eastAsia="en-US"/>
        </w:rPr>
        <w:t>-</w:t>
      </w:r>
      <w:proofErr w:type="spellStart"/>
      <w:r w:rsidRPr="00520861">
        <w:rPr>
          <w:rFonts w:eastAsiaTheme="minorHAnsi"/>
          <w:i/>
          <w:sz w:val="28"/>
          <w:szCs w:val="28"/>
          <w:lang w:eastAsia="en-US"/>
        </w:rPr>
        <w:t>челюстные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аномалии</w:t>
      </w:r>
      <w:proofErr w:type="spellEnd"/>
      <w:r w:rsidRPr="00520861">
        <w:rPr>
          <w:rFonts w:eastAsiaTheme="minorHAnsi"/>
          <w:i/>
          <w:sz w:val="28"/>
          <w:szCs w:val="28"/>
          <w:lang w:eastAsia="en-US"/>
        </w:rPr>
        <w:t xml:space="preserve"> в </w:t>
      </w:r>
      <w:proofErr w:type="spellStart"/>
      <w:r w:rsidRPr="00520861">
        <w:rPr>
          <w:rFonts w:eastAsiaTheme="minorHAnsi"/>
          <w:i/>
          <w:sz w:val="28"/>
          <w:szCs w:val="28"/>
          <w:lang w:eastAsia="en-US"/>
        </w:rPr>
        <w:t>клинике</w:t>
      </w:r>
      <w:proofErr w:type="spellEnd"/>
      <w:r w:rsidRPr="00520861">
        <w:rPr>
          <w:rFonts w:eastAsiaTheme="minorHAnsi"/>
          <w:i/>
          <w:sz w:val="28"/>
          <w:szCs w:val="28"/>
          <w:lang w:eastAsia="en-US"/>
        </w:rPr>
        <w:t xml:space="preserve"> и </w:t>
      </w:r>
      <w:r w:rsidR="003868A2" w:rsidRPr="00520861">
        <w:rPr>
          <w:rFonts w:eastAsiaTheme="minorHAnsi"/>
          <w:i/>
          <w:sz w:val="28"/>
          <w:szCs w:val="28"/>
          <w:lang w:eastAsia="en-US"/>
        </w:rPr>
        <w:br/>
      </w:r>
      <w:proofErr w:type="spellStart"/>
      <w:r w:rsidRPr="00520861">
        <w:rPr>
          <w:rFonts w:eastAsiaTheme="minorHAnsi"/>
          <w:i/>
          <w:sz w:val="28"/>
          <w:szCs w:val="28"/>
          <w:lang w:eastAsia="en-US"/>
        </w:rPr>
        <w:t>эксперименте</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Элиста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Эсен</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1994. 238 с.</w:t>
      </w:r>
    </w:p>
    <w:p w14:paraId="17D8348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Кан ВВ, Лазаренко АВ, </w:t>
      </w:r>
      <w:proofErr w:type="spellStart"/>
      <w:r w:rsidRPr="00520861">
        <w:rPr>
          <w:rFonts w:eastAsiaTheme="minorHAnsi"/>
          <w:sz w:val="28"/>
          <w:szCs w:val="28"/>
          <w:lang w:eastAsia="en-US"/>
        </w:rPr>
        <w:t>Капитонов</w:t>
      </w:r>
      <w:proofErr w:type="spellEnd"/>
      <w:r w:rsidRPr="00520861">
        <w:rPr>
          <w:rFonts w:eastAsiaTheme="minorHAnsi"/>
          <w:sz w:val="28"/>
          <w:szCs w:val="28"/>
          <w:lang w:eastAsia="en-US"/>
        </w:rPr>
        <w:t xml:space="preserve"> ВФ</w:t>
      </w:r>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Методы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оценки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качества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жизни</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пациентов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стоматологического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профиля</w:t>
      </w:r>
      <w:proofErr w:type="spellEnd"/>
      <w:r w:rsidRPr="00520861">
        <w:rPr>
          <w:rFonts w:eastAsiaTheme="minorHAnsi"/>
          <w:sz w:val="28"/>
          <w:szCs w:val="28"/>
          <w:lang w:val="ru-RU" w:eastAsia="en-US"/>
        </w:rPr>
        <w:t xml:space="preserve">. </w:t>
      </w:r>
      <w:proofErr w:type="spellStart"/>
      <w:r w:rsidRPr="00520861">
        <w:rPr>
          <w:rFonts w:eastAsiaTheme="minorHAnsi"/>
          <w:i/>
          <w:sz w:val="28"/>
          <w:szCs w:val="28"/>
          <w:lang w:eastAsia="en-US"/>
        </w:rPr>
        <w:t>Russian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education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psychology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en-US" w:eastAsia="en-US"/>
        </w:rPr>
        <w:t>[</w:t>
      </w:r>
      <w:r w:rsidRPr="00520861">
        <w:rPr>
          <w:rFonts w:eastAsiaTheme="minorHAnsi"/>
          <w:sz w:val="28"/>
          <w:szCs w:val="28"/>
          <w:lang w:val="ru-RU" w:eastAsia="en-US"/>
        </w:rPr>
        <w:t>Интернет</w:t>
      </w:r>
      <w:r w:rsidRPr="00520861">
        <w:rPr>
          <w:rFonts w:eastAsiaTheme="minorHAnsi"/>
          <w:sz w:val="28"/>
          <w:szCs w:val="28"/>
          <w:lang w:val="en-US" w:eastAsia="en-US"/>
        </w:rPr>
        <w:t xml:space="preserve">] </w:t>
      </w:r>
      <w:r w:rsidRPr="00520861">
        <w:rPr>
          <w:rFonts w:eastAsiaTheme="minorHAnsi"/>
          <w:sz w:val="28"/>
          <w:szCs w:val="28"/>
          <w:lang w:eastAsia="en-US"/>
        </w:rPr>
        <w:t>2012.</w:t>
      </w:r>
      <w:r w:rsidRPr="00520861">
        <w:rPr>
          <w:rFonts w:eastAsiaTheme="minorHAnsi"/>
          <w:sz w:val="28"/>
          <w:szCs w:val="28"/>
          <w:lang w:val="en-US" w:eastAsia="en-US"/>
        </w:rPr>
        <w:t xml:space="preserve"> [</w:t>
      </w:r>
      <w:r w:rsidRPr="00520861">
        <w:rPr>
          <w:rFonts w:eastAsiaTheme="minorHAnsi"/>
          <w:sz w:val="28"/>
          <w:szCs w:val="28"/>
          <w:lang w:val="ru-RU" w:eastAsia="en-US"/>
        </w:rPr>
        <w:t>цитировано</w:t>
      </w:r>
      <w:r w:rsidRPr="00520861">
        <w:rPr>
          <w:rFonts w:eastAsiaTheme="minorHAnsi"/>
          <w:sz w:val="28"/>
          <w:szCs w:val="28"/>
          <w:lang w:val="en-US" w:eastAsia="en-US"/>
        </w:rPr>
        <w:t xml:space="preserve"> 2020 </w:t>
      </w:r>
      <w:proofErr w:type="spellStart"/>
      <w:r w:rsidRPr="00520861">
        <w:rPr>
          <w:rFonts w:eastAsiaTheme="minorHAnsi"/>
          <w:sz w:val="28"/>
          <w:szCs w:val="28"/>
          <w:lang w:val="ru-RU" w:eastAsia="en-US"/>
        </w:rPr>
        <w:t>Авг</w:t>
      </w:r>
      <w:proofErr w:type="spellEnd"/>
      <w:r w:rsidRPr="00520861">
        <w:rPr>
          <w:rFonts w:eastAsiaTheme="minorHAnsi"/>
          <w:sz w:val="28"/>
          <w:szCs w:val="28"/>
          <w:lang w:val="en-US" w:eastAsia="en-US"/>
        </w:rPr>
        <w:t>. 05];</w:t>
      </w:r>
      <w:r w:rsidRPr="00520861">
        <w:rPr>
          <w:rFonts w:eastAsiaTheme="minorHAnsi"/>
          <w:sz w:val="28"/>
          <w:szCs w:val="28"/>
          <w:lang w:eastAsia="en-US"/>
        </w:rPr>
        <w:t>1</w:t>
      </w:r>
      <w:r w:rsidRPr="00520861">
        <w:rPr>
          <w:rFonts w:eastAsiaTheme="minorHAnsi"/>
          <w:sz w:val="28"/>
          <w:szCs w:val="28"/>
          <w:lang w:val="en-US" w:eastAsia="en-US"/>
        </w:rPr>
        <w:t>8</w:t>
      </w:r>
      <w:r w:rsidRPr="00520861">
        <w:rPr>
          <w:rFonts w:eastAsiaTheme="minorHAnsi"/>
          <w:sz w:val="28"/>
          <w:szCs w:val="28"/>
          <w:lang w:eastAsia="en-US"/>
        </w:rPr>
        <w:t>(1</w:t>
      </w:r>
      <w:r w:rsidRPr="00520861">
        <w:rPr>
          <w:rFonts w:eastAsiaTheme="minorHAnsi"/>
          <w:sz w:val="28"/>
          <w:szCs w:val="28"/>
          <w:lang w:val="en-US" w:eastAsia="en-US"/>
        </w:rPr>
        <w:t>0</w:t>
      </w:r>
      <w:r w:rsidRPr="00520861">
        <w:rPr>
          <w:rFonts w:eastAsiaTheme="minorHAnsi"/>
          <w:sz w:val="28"/>
          <w:szCs w:val="28"/>
          <w:lang w:eastAsia="en-US"/>
        </w:rPr>
        <w:t>)</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en-US" w:eastAsia="en-US"/>
        </w:rPr>
        <w:t xml:space="preserve">60–81. </w:t>
      </w:r>
      <w:r w:rsidRPr="00520861">
        <w:rPr>
          <w:rFonts w:eastAsiaTheme="minorHAnsi"/>
          <w:sz w:val="28"/>
          <w:szCs w:val="28"/>
          <w:lang w:val="ru-RU" w:eastAsia="en-US"/>
        </w:rPr>
        <w:t>Доступно</w:t>
      </w:r>
      <w:r w:rsidRPr="00520861">
        <w:rPr>
          <w:rFonts w:eastAsiaTheme="minorHAnsi"/>
          <w:sz w:val="28"/>
          <w:szCs w:val="28"/>
          <w:lang w:val="en-US" w:eastAsia="en-US"/>
        </w:rPr>
        <w:t xml:space="preserve"> </w:t>
      </w:r>
      <w:r w:rsidRPr="00520861">
        <w:rPr>
          <w:rFonts w:eastAsiaTheme="minorHAnsi"/>
          <w:sz w:val="28"/>
          <w:szCs w:val="28"/>
          <w:lang w:val="ru-RU" w:eastAsia="en-US"/>
        </w:rPr>
        <w:t>на</w:t>
      </w:r>
      <w:r w:rsidRPr="00520861">
        <w:rPr>
          <w:rFonts w:eastAsiaTheme="minorHAnsi"/>
          <w:sz w:val="28"/>
          <w:szCs w:val="28"/>
          <w:lang w:val="en-US" w:eastAsia="en-US"/>
        </w:rPr>
        <w:t>: https://cyberleninka.ru/article/n/metody-otsenki-kachestva-zhizni-u-patsientov-stomatologicheskogo-profilya.</w:t>
      </w:r>
    </w:p>
    <w:p w14:paraId="5C63162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Карпук</w:t>
      </w:r>
      <w:proofErr w:type="spellEnd"/>
      <w:r w:rsidRPr="00520861">
        <w:rPr>
          <w:rFonts w:eastAsiaTheme="minorHAnsi"/>
          <w:sz w:val="28"/>
          <w:szCs w:val="28"/>
          <w:lang w:eastAsia="en-US"/>
        </w:rPr>
        <w:t xml:space="preserve"> ИЮ. Роль </w:t>
      </w:r>
      <w:proofErr w:type="spellStart"/>
      <w:r w:rsidRPr="00520861">
        <w:rPr>
          <w:rFonts w:eastAsiaTheme="minorHAnsi"/>
          <w:sz w:val="28"/>
          <w:szCs w:val="28"/>
          <w:lang w:eastAsia="en-US"/>
        </w:rPr>
        <w:t>белков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слюны</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мукозальном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имунитете</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Иммунология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аллергология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инфектология</w:t>
      </w:r>
      <w:proofErr w:type="spellEnd"/>
      <w:r w:rsidRPr="00520861">
        <w:rPr>
          <w:rFonts w:eastAsiaTheme="minorHAnsi"/>
          <w:sz w:val="28"/>
          <w:szCs w:val="28"/>
          <w:lang w:eastAsia="en-US"/>
        </w:rPr>
        <w:t>. 2014;4:</w:t>
      </w:r>
      <w:r w:rsidRPr="00520861">
        <w:rPr>
          <w:rFonts w:eastAsiaTheme="minorHAnsi"/>
          <w:sz w:val="28"/>
          <w:szCs w:val="28"/>
          <w:lang w:val="ru-RU" w:eastAsia="en-US"/>
        </w:rPr>
        <w:t xml:space="preserve"> </w:t>
      </w:r>
      <w:r w:rsidRPr="00520861">
        <w:rPr>
          <w:rFonts w:eastAsiaTheme="minorHAnsi"/>
          <w:sz w:val="28"/>
          <w:szCs w:val="28"/>
          <w:lang w:eastAsia="en-US"/>
        </w:rPr>
        <w:t>79–93</w:t>
      </w:r>
      <w:r w:rsidRPr="00520861">
        <w:rPr>
          <w:rFonts w:eastAsiaTheme="minorHAnsi"/>
          <w:sz w:val="28"/>
          <w:szCs w:val="28"/>
          <w:lang w:val="ru-RU" w:eastAsia="en-US"/>
        </w:rPr>
        <w:t>.</w:t>
      </w:r>
    </w:p>
    <w:p w14:paraId="60558F1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Клітинська</w:t>
      </w:r>
      <w:proofErr w:type="spellEnd"/>
      <w:r w:rsidRPr="00520861">
        <w:rPr>
          <w:rFonts w:eastAsiaTheme="minorHAnsi"/>
          <w:sz w:val="28"/>
          <w:szCs w:val="28"/>
          <w:lang w:eastAsia="en-US"/>
        </w:rPr>
        <w:t xml:space="preserve"> ОВ, Васько АА. Ранжування уражень карієсом зубів у дітей при ретроспективному аналізі первинної медичної документації. </w:t>
      </w:r>
      <w:r w:rsidRPr="00520861">
        <w:rPr>
          <w:rFonts w:eastAsiaTheme="minorHAnsi"/>
          <w:i/>
          <w:sz w:val="28"/>
          <w:szCs w:val="28"/>
          <w:lang w:eastAsia="en-US"/>
        </w:rPr>
        <w:t>Україна. Здоров’я нації</w:t>
      </w:r>
      <w:r w:rsidRPr="00520861">
        <w:rPr>
          <w:rFonts w:eastAsiaTheme="minorHAnsi"/>
          <w:sz w:val="28"/>
          <w:szCs w:val="28"/>
          <w:lang w:eastAsia="en-US"/>
        </w:rPr>
        <w:t xml:space="preserve">. 2016;(3): 45–49. </w:t>
      </w:r>
      <w:r w:rsidRPr="00520861">
        <w:rPr>
          <w:rFonts w:eastAsiaTheme="minorHAnsi"/>
          <w:sz w:val="28"/>
          <w:szCs w:val="28"/>
          <w:lang w:val="ru-RU" w:eastAsia="en-US"/>
        </w:rPr>
        <w:t>Доступно на:</w:t>
      </w:r>
      <w:r w:rsidRPr="00520861">
        <w:rPr>
          <w:rFonts w:eastAsiaTheme="minorHAnsi"/>
          <w:sz w:val="28"/>
          <w:szCs w:val="28"/>
          <w:lang w:eastAsia="en-US"/>
        </w:rPr>
        <w:t xml:space="preserve"> </w:t>
      </w:r>
      <w:r w:rsidRPr="00520861">
        <w:rPr>
          <w:rFonts w:eastAsiaTheme="minorHAnsi"/>
          <w:sz w:val="28"/>
          <w:szCs w:val="28"/>
          <w:lang w:val="en-US" w:eastAsia="en-US"/>
        </w:rPr>
        <w:t>http</w:t>
      </w:r>
      <w:r w:rsidRPr="00520861">
        <w:rPr>
          <w:rFonts w:eastAsiaTheme="minorHAnsi"/>
          <w:sz w:val="28"/>
          <w:szCs w:val="28"/>
          <w:lang w:eastAsia="en-US"/>
        </w:rPr>
        <w:t>://</w:t>
      </w:r>
      <w:proofErr w:type="spellStart"/>
      <w:r w:rsidRPr="00520861">
        <w:rPr>
          <w:rFonts w:eastAsiaTheme="minorHAnsi"/>
          <w:sz w:val="28"/>
          <w:szCs w:val="28"/>
          <w:lang w:val="en-US" w:eastAsia="en-US"/>
        </w:rPr>
        <w:t>nbuv</w:t>
      </w:r>
      <w:proofErr w:type="spellEnd"/>
      <w:r w:rsidRPr="00520861">
        <w:rPr>
          <w:rFonts w:eastAsiaTheme="minorHAnsi"/>
          <w:sz w:val="28"/>
          <w:szCs w:val="28"/>
          <w:lang w:eastAsia="en-US"/>
        </w:rPr>
        <w:t>.</w:t>
      </w:r>
      <w:r w:rsidRPr="00520861">
        <w:rPr>
          <w:rFonts w:eastAsiaTheme="minorHAnsi"/>
          <w:sz w:val="28"/>
          <w:szCs w:val="28"/>
          <w:lang w:val="en-US" w:eastAsia="en-US"/>
        </w:rPr>
        <w:t>gov</w:t>
      </w:r>
      <w:r w:rsidRPr="00520861">
        <w:rPr>
          <w:rFonts w:eastAsiaTheme="minorHAnsi"/>
          <w:sz w:val="28"/>
          <w:szCs w:val="28"/>
          <w:lang w:eastAsia="en-US"/>
        </w:rPr>
        <w:t>.</w:t>
      </w:r>
      <w:proofErr w:type="spellStart"/>
      <w:r w:rsidRPr="00520861">
        <w:rPr>
          <w:rFonts w:eastAsiaTheme="minorHAnsi"/>
          <w:sz w:val="28"/>
          <w:szCs w:val="28"/>
          <w:lang w:val="en-US" w:eastAsia="en-US"/>
        </w:rPr>
        <w:t>ua</w:t>
      </w:r>
      <w:proofErr w:type="spellEnd"/>
      <w:r w:rsidRPr="00520861">
        <w:rPr>
          <w:rFonts w:eastAsiaTheme="minorHAnsi"/>
          <w:sz w:val="28"/>
          <w:szCs w:val="28"/>
          <w:lang w:eastAsia="en-US"/>
        </w:rPr>
        <w:t>/</w:t>
      </w:r>
      <w:r w:rsidRPr="00520861">
        <w:rPr>
          <w:rFonts w:eastAsiaTheme="minorHAnsi"/>
          <w:sz w:val="28"/>
          <w:szCs w:val="28"/>
          <w:lang w:val="en-US" w:eastAsia="en-US"/>
        </w:rPr>
        <w:t>UJRN</w:t>
      </w:r>
      <w:r w:rsidRPr="00520861">
        <w:rPr>
          <w:rFonts w:eastAsiaTheme="minorHAnsi"/>
          <w:sz w:val="28"/>
          <w:szCs w:val="28"/>
          <w:lang w:eastAsia="en-US"/>
        </w:rPr>
        <w:t>/</w:t>
      </w:r>
      <w:proofErr w:type="spellStart"/>
      <w:r w:rsidRPr="00520861">
        <w:rPr>
          <w:rFonts w:eastAsiaTheme="minorHAnsi"/>
          <w:sz w:val="28"/>
          <w:szCs w:val="28"/>
          <w:lang w:val="en-US" w:eastAsia="en-US"/>
        </w:rPr>
        <w:t>Uzn</w:t>
      </w:r>
      <w:proofErr w:type="spellEnd"/>
      <w:r w:rsidRPr="00520861">
        <w:rPr>
          <w:rFonts w:eastAsiaTheme="minorHAnsi"/>
          <w:sz w:val="28"/>
          <w:szCs w:val="28"/>
          <w:lang w:eastAsia="en-US"/>
        </w:rPr>
        <w:t>_2016_3_10.</w:t>
      </w:r>
    </w:p>
    <w:p w14:paraId="4D60272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Ковач ІВ, Воляк ЛМ. Динаміка показників </w:t>
      </w:r>
      <w:proofErr w:type="spellStart"/>
      <w:r w:rsidRPr="00520861">
        <w:rPr>
          <w:rFonts w:eastAsiaTheme="minorHAnsi"/>
          <w:sz w:val="28"/>
          <w:szCs w:val="28"/>
          <w:lang w:eastAsia="en-US"/>
        </w:rPr>
        <w:t>структурнофункціонального</w:t>
      </w:r>
      <w:proofErr w:type="spellEnd"/>
      <w:r w:rsidRPr="00520861">
        <w:rPr>
          <w:rFonts w:eastAsiaTheme="minorHAnsi"/>
          <w:sz w:val="28"/>
          <w:szCs w:val="28"/>
          <w:lang w:eastAsia="en-US"/>
        </w:rPr>
        <w:t xml:space="preserve"> стану кісткової тканини у дітей з некаріозним ураженням твердих тканин зубів на тлі </w:t>
      </w:r>
      <w:r w:rsidR="003868A2" w:rsidRPr="00520861">
        <w:rPr>
          <w:rFonts w:eastAsiaTheme="minorHAnsi"/>
          <w:sz w:val="28"/>
          <w:szCs w:val="28"/>
          <w:lang w:eastAsia="en-US"/>
        </w:rPr>
        <w:br/>
      </w:r>
      <w:r w:rsidRPr="00520861">
        <w:rPr>
          <w:rFonts w:eastAsiaTheme="minorHAnsi"/>
          <w:sz w:val="28"/>
          <w:szCs w:val="28"/>
          <w:lang w:eastAsia="en-US"/>
        </w:rPr>
        <w:t xml:space="preserve">ендемічного зобу. </w:t>
      </w:r>
      <w:r w:rsidRPr="00520861">
        <w:rPr>
          <w:rFonts w:eastAsiaTheme="minorHAnsi"/>
          <w:i/>
          <w:sz w:val="28"/>
          <w:szCs w:val="28"/>
          <w:lang w:eastAsia="en-US"/>
        </w:rPr>
        <w:t>Медичні перспективи</w:t>
      </w:r>
      <w:r w:rsidRPr="00520861">
        <w:rPr>
          <w:rFonts w:eastAsiaTheme="minorHAnsi"/>
          <w:sz w:val="28"/>
          <w:szCs w:val="28"/>
          <w:lang w:eastAsia="en-US"/>
        </w:rPr>
        <w:t>. 2012;17(4): 79–83.</w:t>
      </w:r>
    </w:p>
    <w:p w14:paraId="7CCBA27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Ковач ІВ, Дичко ЄН, </w:t>
      </w:r>
      <w:proofErr w:type="spellStart"/>
      <w:r w:rsidRPr="00520861">
        <w:rPr>
          <w:rFonts w:eastAsiaTheme="minorHAnsi"/>
          <w:sz w:val="28"/>
          <w:szCs w:val="28"/>
          <w:lang w:eastAsia="en-US"/>
        </w:rPr>
        <w:t>Біндюгін</w:t>
      </w:r>
      <w:proofErr w:type="spellEnd"/>
      <w:r w:rsidRPr="00520861">
        <w:rPr>
          <w:rFonts w:eastAsiaTheme="minorHAnsi"/>
          <w:sz w:val="28"/>
          <w:szCs w:val="28"/>
          <w:lang w:eastAsia="en-US"/>
        </w:rPr>
        <w:t xml:space="preserve"> ОЮ, </w:t>
      </w:r>
      <w:proofErr w:type="spellStart"/>
      <w:r w:rsidRPr="00520861">
        <w:rPr>
          <w:rFonts w:eastAsiaTheme="minorHAnsi"/>
          <w:sz w:val="28"/>
          <w:szCs w:val="28"/>
          <w:lang w:eastAsia="en-US"/>
        </w:rPr>
        <w:t>Бунятян</w:t>
      </w:r>
      <w:proofErr w:type="spellEnd"/>
      <w:r w:rsidRPr="00520861">
        <w:rPr>
          <w:rFonts w:eastAsiaTheme="minorHAnsi"/>
          <w:sz w:val="28"/>
          <w:szCs w:val="28"/>
          <w:lang w:eastAsia="en-US"/>
        </w:rPr>
        <w:t xml:space="preserve"> ХА. Потенційні фактори ризику при системній гіпоплазії та карієсі зубів на етапі </w:t>
      </w:r>
      <w:proofErr w:type="spellStart"/>
      <w:r w:rsidRPr="00520861">
        <w:rPr>
          <w:rFonts w:eastAsiaTheme="minorHAnsi"/>
          <w:sz w:val="28"/>
          <w:szCs w:val="28"/>
          <w:lang w:eastAsia="en-US"/>
        </w:rPr>
        <w:t>одонтогенезу</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Медичні перспективи</w:t>
      </w:r>
      <w:r w:rsidRPr="00520861">
        <w:rPr>
          <w:rFonts w:eastAsiaTheme="minorHAnsi"/>
          <w:sz w:val="28"/>
          <w:szCs w:val="28"/>
          <w:lang w:eastAsia="en-US"/>
        </w:rPr>
        <w:t xml:space="preserve">. 2013;18(1): 33–37. </w:t>
      </w:r>
      <w:r w:rsidRPr="00520861">
        <w:rPr>
          <w:rFonts w:eastAsiaTheme="minorHAnsi"/>
          <w:sz w:val="28"/>
          <w:szCs w:val="28"/>
          <w:lang w:val="ru-RU" w:eastAsia="en-US"/>
        </w:rPr>
        <w:t xml:space="preserve">Доступно на: </w:t>
      </w:r>
      <w:r w:rsidRPr="00520861">
        <w:rPr>
          <w:rFonts w:eastAsiaTheme="minorHAnsi"/>
          <w:sz w:val="28"/>
          <w:szCs w:val="28"/>
          <w:lang w:eastAsia="en-US"/>
        </w:rPr>
        <w:t>http://nbuv.gov.ua/UJRN/Mp_2013_18_1_9.</w:t>
      </w:r>
    </w:p>
    <w:p w14:paraId="2B23B2A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Козлова НС. </w:t>
      </w:r>
      <w:proofErr w:type="spellStart"/>
      <w:r w:rsidRPr="00520861">
        <w:rPr>
          <w:rFonts w:eastAsiaTheme="minorHAnsi"/>
          <w:i/>
          <w:sz w:val="28"/>
          <w:szCs w:val="28"/>
          <w:lang w:eastAsia="en-US"/>
        </w:rPr>
        <w:t>Влияние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атопического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дерматита</w:t>
      </w:r>
      <w:proofErr w:type="spellEnd"/>
      <w:r w:rsidRPr="00520861">
        <w:rPr>
          <w:rFonts w:eastAsiaTheme="minorHAnsi"/>
          <w:i/>
          <w:sz w:val="28"/>
          <w:szCs w:val="28"/>
          <w:lang w:eastAsia="en-US"/>
        </w:rPr>
        <w:t xml:space="preserve"> на </w:t>
      </w:r>
      <w:proofErr w:type="spellStart"/>
      <w:r w:rsidRPr="00520861">
        <w:rPr>
          <w:rFonts w:eastAsiaTheme="minorHAnsi"/>
          <w:i/>
          <w:sz w:val="28"/>
          <w:szCs w:val="28"/>
          <w:lang w:eastAsia="en-US"/>
        </w:rPr>
        <w:t>клиническое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состояние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твердых</w:t>
      </w:r>
      <w:proofErr w:type="spellEnd"/>
      <w:r w:rsidRPr="00520861">
        <w:rPr>
          <w:rFonts w:eastAsiaTheme="minorHAnsi"/>
          <w:i/>
          <w:sz w:val="28"/>
          <w:szCs w:val="28"/>
          <w:lang w:eastAsia="en-US"/>
        </w:rPr>
        <w:t xml:space="preserve"> тканей </w:t>
      </w:r>
      <w:proofErr w:type="spellStart"/>
      <w:r w:rsidRPr="00520861">
        <w:rPr>
          <w:rFonts w:eastAsiaTheme="minorHAnsi"/>
          <w:i/>
          <w:sz w:val="28"/>
          <w:szCs w:val="28"/>
          <w:lang w:eastAsia="en-US"/>
        </w:rPr>
        <w:t>постоянных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зубов</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адаптационно-компенсаторные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свойства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ротовой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жидкости</w:t>
      </w:r>
      <w:proofErr w:type="spellEnd"/>
      <w:r w:rsidRPr="00520861">
        <w:rPr>
          <w:rFonts w:eastAsiaTheme="minorHAnsi"/>
          <w:sz w:val="28"/>
          <w:szCs w:val="28"/>
          <w:lang w:eastAsia="en-US"/>
        </w:rPr>
        <w:t xml:space="preserve"> </w:t>
      </w:r>
      <w:r w:rsidRPr="00520861">
        <w:rPr>
          <w:rFonts w:eastAsiaTheme="minorHAnsi"/>
          <w:iCs/>
          <w:sz w:val="28"/>
          <w:szCs w:val="28"/>
          <w:lang w:eastAsia="en-US"/>
        </w:rPr>
        <w:t>[</w:t>
      </w:r>
      <w:proofErr w:type="spellStart"/>
      <w:r w:rsidRPr="00520861">
        <w:rPr>
          <w:rFonts w:eastAsiaTheme="minorHAnsi"/>
          <w:iCs/>
          <w:sz w:val="28"/>
          <w:szCs w:val="28"/>
          <w:lang w:eastAsia="en-US"/>
        </w:rPr>
        <w:t>дисертация</w:t>
      </w:r>
      <w:proofErr w:type="spellEnd"/>
      <w:r w:rsidRPr="00520861">
        <w:rPr>
          <w:rFonts w:eastAsiaTheme="minorHAnsi"/>
          <w:iCs/>
          <w:sz w:val="28"/>
          <w:szCs w:val="28"/>
          <w:lang w:eastAsia="en-US"/>
        </w:rPr>
        <w:t>]</w:t>
      </w:r>
      <w:r w:rsidRPr="00520861">
        <w:rPr>
          <w:rFonts w:eastAsiaTheme="minorHAnsi"/>
          <w:sz w:val="28"/>
          <w:szCs w:val="28"/>
          <w:lang w:eastAsia="en-US"/>
        </w:rPr>
        <w:t>. Волгоград: ГОУВПО "</w:t>
      </w:r>
      <w:proofErr w:type="spellStart"/>
      <w:r w:rsidRPr="00520861">
        <w:rPr>
          <w:rFonts w:eastAsiaTheme="minorHAnsi"/>
          <w:sz w:val="28"/>
          <w:szCs w:val="28"/>
          <w:lang w:eastAsia="en-US"/>
        </w:rPr>
        <w:t>Волгоградский</w:t>
      </w:r>
      <w:proofErr w:type="spellEnd"/>
      <w:r w:rsidRPr="00520861">
        <w:rPr>
          <w:rFonts w:eastAsiaTheme="minorHAnsi"/>
          <w:sz w:val="28"/>
          <w:szCs w:val="28"/>
          <w:lang w:eastAsia="en-US"/>
        </w:rPr>
        <w:t xml:space="preserve"> </w:t>
      </w:r>
      <w:r w:rsidR="003868A2" w:rsidRPr="00520861">
        <w:rPr>
          <w:rFonts w:eastAsiaTheme="minorHAnsi"/>
          <w:sz w:val="28"/>
          <w:szCs w:val="28"/>
          <w:lang w:eastAsia="en-US"/>
        </w:rPr>
        <w:br/>
      </w:r>
      <w:proofErr w:type="spellStart"/>
      <w:r w:rsidRPr="00520861">
        <w:rPr>
          <w:rFonts w:eastAsiaTheme="minorHAnsi"/>
          <w:sz w:val="28"/>
          <w:szCs w:val="28"/>
          <w:lang w:eastAsia="en-US"/>
        </w:rPr>
        <w:lastRenderedPageBreak/>
        <w:t>государственный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медицинский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университет</w:t>
      </w:r>
      <w:proofErr w:type="spellEnd"/>
      <w:r w:rsidRPr="00520861">
        <w:rPr>
          <w:rFonts w:eastAsiaTheme="minorHAnsi"/>
          <w:sz w:val="28"/>
          <w:szCs w:val="28"/>
          <w:lang w:eastAsia="en-US"/>
        </w:rPr>
        <w:t>"; 2006. 13</w:t>
      </w:r>
      <w:r w:rsidRPr="00520861">
        <w:rPr>
          <w:rFonts w:eastAsiaTheme="minorHAnsi"/>
          <w:sz w:val="28"/>
          <w:szCs w:val="28"/>
          <w:lang w:val="ru-RU" w:eastAsia="en-US"/>
        </w:rPr>
        <w:t>0</w:t>
      </w:r>
      <w:r w:rsidRPr="00520861">
        <w:rPr>
          <w:rFonts w:eastAsiaTheme="minorHAnsi"/>
          <w:sz w:val="28"/>
          <w:szCs w:val="28"/>
          <w:lang w:eastAsia="en-US"/>
        </w:rPr>
        <w:t xml:space="preserve"> с.</w:t>
      </w:r>
    </w:p>
    <w:p w14:paraId="13887B6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Коржевский</w:t>
      </w:r>
      <w:proofErr w:type="spellEnd"/>
      <w:r w:rsidRPr="00520861">
        <w:rPr>
          <w:rFonts w:eastAsiaTheme="minorHAnsi"/>
          <w:sz w:val="28"/>
          <w:szCs w:val="28"/>
          <w:lang w:eastAsia="en-US"/>
        </w:rPr>
        <w:t xml:space="preserve"> ДЭ, </w:t>
      </w:r>
      <w:proofErr w:type="spellStart"/>
      <w:r w:rsidRPr="00520861">
        <w:rPr>
          <w:rFonts w:eastAsiaTheme="minorHAnsi"/>
          <w:sz w:val="28"/>
          <w:szCs w:val="28"/>
          <w:lang w:eastAsia="en-US"/>
        </w:rPr>
        <w:t>Гиляров</w:t>
      </w:r>
      <w:proofErr w:type="spellEnd"/>
      <w:r w:rsidRPr="00520861">
        <w:rPr>
          <w:rFonts w:eastAsiaTheme="minorHAnsi"/>
          <w:sz w:val="28"/>
          <w:szCs w:val="28"/>
          <w:lang w:eastAsia="en-US"/>
        </w:rPr>
        <w:t xml:space="preserve"> АВ. </w:t>
      </w:r>
      <w:proofErr w:type="spellStart"/>
      <w:r w:rsidRPr="00520861">
        <w:rPr>
          <w:rFonts w:eastAsiaTheme="minorHAnsi"/>
          <w:i/>
          <w:sz w:val="28"/>
          <w:szCs w:val="28"/>
          <w:lang w:eastAsia="en-US"/>
        </w:rPr>
        <w:t>Основы</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гистологической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техники</w:t>
      </w:r>
      <w:proofErr w:type="spellEnd"/>
      <w:r w:rsidRPr="00520861">
        <w:rPr>
          <w:rFonts w:eastAsiaTheme="minorHAnsi"/>
          <w:sz w:val="28"/>
          <w:szCs w:val="28"/>
          <w:lang w:eastAsia="en-US"/>
        </w:rPr>
        <w:t>. С-</w:t>
      </w:r>
      <w:proofErr w:type="spellStart"/>
      <w:r w:rsidRPr="00520861">
        <w:rPr>
          <w:rFonts w:eastAsiaTheme="minorHAnsi"/>
          <w:sz w:val="28"/>
          <w:szCs w:val="28"/>
          <w:lang w:eastAsia="en-US"/>
        </w:rPr>
        <w:t>Петерб</w:t>
      </w:r>
      <w:proofErr w:type="spellEnd"/>
      <w:r w:rsidRPr="00520861">
        <w:rPr>
          <w:rFonts w:eastAsiaTheme="minorHAnsi"/>
          <w:sz w:val="28"/>
          <w:szCs w:val="28"/>
          <w:lang w:eastAsia="en-US"/>
        </w:rPr>
        <w:t xml:space="preserve">, РФ: </w:t>
      </w:r>
      <w:proofErr w:type="spellStart"/>
      <w:r w:rsidRPr="00520861">
        <w:rPr>
          <w:rFonts w:eastAsiaTheme="minorHAnsi"/>
          <w:sz w:val="28"/>
          <w:szCs w:val="28"/>
          <w:lang w:eastAsia="en-US"/>
        </w:rPr>
        <w:t>СпецЛит</w:t>
      </w:r>
      <w:proofErr w:type="spellEnd"/>
      <w:r w:rsidRPr="00520861">
        <w:rPr>
          <w:rFonts w:eastAsiaTheme="minorHAnsi"/>
          <w:sz w:val="28"/>
          <w:szCs w:val="28"/>
          <w:lang w:eastAsia="en-US"/>
        </w:rPr>
        <w:t>; 2010. 96 с.</w:t>
      </w:r>
    </w:p>
    <w:p w14:paraId="75F382C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Корнеева</w:t>
      </w:r>
      <w:proofErr w:type="spellEnd"/>
      <w:r w:rsidRPr="00520861">
        <w:rPr>
          <w:rFonts w:eastAsiaTheme="minorHAnsi"/>
          <w:sz w:val="28"/>
          <w:szCs w:val="28"/>
          <w:lang w:eastAsia="en-US"/>
        </w:rPr>
        <w:t xml:space="preserve"> ЕС, </w:t>
      </w:r>
      <w:proofErr w:type="spellStart"/>
      <w:r w:rsidRPr="00520861">
        <w:rPr>
          <w:rFonts w:eastAsiaTheme="minorHAnsi"/>
          <w:sz w:val="28"/>
          <w:szCs w:val="28"/>
          <w:lang w:eastAsia="en-US"/>
        </w:rPr>
        <w:t>Филькова</w:t>
      </w:r>
      <w:proofErr w:type="spellEnd"/>
      <w:r w:rsidRPr="00520861">
        <w:rPr>
          <w:rFonts w:eastAsiaTheme="minorHAnsi"/>
          <w:sz w:val="28"/>
          <w:szCs w:val="28"/>
          <w:lang w:eastAsia="en-US"/>
        </w:rPr>
        <w:t xml:space="preserve"> НП, </w:t>
      </w:r>
      <w:proofErr w:type="spellStart"/>
      <w:r w:rsidRPr="00520861">
        <w:rPr>
          <w:rFonts w:eastAsiaTheme="minorHAnsi"/>
          <w:sz w:val="28"/>
          <w:szCs w:val="28"/>
          <w:lang w:eastAsia="en-US"/>
        </w:rPr>
        <w:t>Мкртумян</w:t>
      </w:r>
      <w:proofErr w:type="spellEnd"/>
      <w:r w:rsidRPr="00520861">
        <w:rPr>
          <w:rFonts w:eastAsiaTheme="minorHAnsi"/>
          <w:sz w:val="28"/>
          <w:szCs w:val="28"/>
          <w:lang w:eastAsia="en-US"/>
        </w:rPr>
        <w:t xml:space="preserve"> АМ, </w:t>
      </w:r>
      <w:proofErr w:type="spellStart"/>
      <w:r w:rsidRPr="00520861">
        <w:rPr>
          <w:rFonts w:eastAsiaTheme="minorHAnsi"/>
          <w:sz w:val="28"/>
          <w:szCs w:val="28"/>
          <w:lang w:eastAsia="en-US"/>
        </w:rPr>
        <w:t>Атрушкевич</w:t>
      </w:r>
      <w:proofErr w:type="spellEnd"/>
      <w:r w:rsidRPr="00520861">
        <w:rPr>
          <w:rFonts w:eastAsiaTheme="minorHAnsi"/>
          <w:sz w:val="28"/>
          <w:szCs w:val="28"/>
          <w:lang w:eastAsia="en-US"/>
        </w:rPr>
        <w:t xml:space="preserve"> ВГ. </w:t>
      </w:r>
      <w:proofErr w:type="spellStart"/>
      <w:r w:rsidRPr="00520861">
        <w:rPr>
          <w:rFonts w:eastAsiaTheme="minorHAnsi"/>
          <w:sz w:val="28"/>
          <w:szCs w:val="28"/>
          <w:lang w:eastAsia="en-US"/>
        </w:rPr>
        <w:t>Пародонтальный</w:t>
      </w:r>
      <w:proofErr w:type="spellEnd"/>
      <w:r w:rsidRPr="00520861">
        <w:rPr>
          <w:rFonts w:eastAsiaTheme="minorHAnsi"/>
          <w:sz w:val="28"/>
          <w:szCs w:val="28"/>
          <w:lang w:eastAsia="en-US"/>
        </w:rPr>
        <w:t xml:space="preserve"> синдром при </w:t>
      </w:r>
      <w:proofErr w:type="spellStart"/>
      <w:r w:rsidRPr="00520861">
        <w:rPr>
          <w:rFonts w:eastAsiaTheme="minorHAnsi"/>
          <w:sz w:val="28"/>
          <w:szCs w:val="28"/>
          <w:lang w:eastAsia="en-US"/>
        </w:rPr>
        <w:t>сахарном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диабете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что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первично</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Лечение</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профилактика</w:t>
      </w:r>
      <w:proofErr w:type="spellEnd"/>
      <w:r w:rsidRPr="00520861">
        <w:rPr>
          <w:rFonts w:eastAsiaTheme="minorHAnsi"/>
          <w:sz w:val="28"/>
          <w:szCs w:val="28"/>
          <w:lang w:eastAsia="en-US"/>
        </w:rPr>
        <w:t>. 2013;2:</w:t>
      </w:r>
      <w:r w:rsidRPr="00520861">
        <w:rPr>
          <w:rFonts w:eastAsiaTheme="minorHAnsi"/>
          <w:sz w:val="28"/>
          <w:szCs w:val="28"/>
          <w:lang w:val="ru-RU" w:eastAsia="en-US"/>
        </w:rPr>
        <w:t xml:space="preserve"> </w:t>
      </w:r>
      <w:r w:rsidRPr="00520861">
        <w:rPr>
          <w:rFonts w:eastAsiaTheme="minorHAnsi"/>
          <w:sz w:val="28"/>
          <w:szCs w:val="28"/>
          <w:lang w:eastAsia="en-US"/>
        </w:rPr>
        <w:t>164–169.</w:t>
      </w:r>
    </w:p>
    <w:p w14:paraId="19EDBE8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Короленкова</w:t>
      </w:r>
      <w:proofErr w:type="spellEnd"/>
      <w:r w:rsidRPr="00520861">
        <w:rPr>
          <w:rFonts w:eastAsiaTheme="minorHAnsi"/>
          <w:sz w:val="28"/>
          <w:szCs w:val="28"/>
          <w:lang w:eastAsia="en-US"/>
        </w:rPr>
        <w:t xml:space="preserve"> МВ, </w:t>
      </w:r>
      <w:proofErr w:type="spellStart"/>
      <w:r w:rsidRPr="00520861">
        <w:rPr>
          <w:rFonts w:eastAsiaTheme="minorHAnsi"/>
          <w:sz w:val="28"/>
          <w:szCs w:val="28"/>
          <w:lang w:eastAsia="en-US"/>
        </w:rPr>
        <w:t>Хачатрян</w:t>
      </w:r>
      <w:proofErr w:type="spellEnd"/>
      <w:r w:rsidRPr="00520861">
        <w:rPr>
          <w:rFonts w:eastAsiaTheme="minorHAnsi"/>
          <w:sz w:val="28"/>
          <w:szCs w:val="28"/>
          <w:lang w:eastAsia="en-US"/>
        </w:rPr>
        <w:t xml:space="preserve"> АГ, Арутюнян ЛК, </w:t>
      </w:r>
      <w:proofErr w:type="spellStart"/>
      <w:r w:rsidRPr="00520861">
        <w:rPr>
          <w:rFonts w:eastAsiaTheme="minorHAnsi"/>
          <w:sz w:val="28"/>
          <w:szCs w:val="28"/>
          <w:lang w:eastAsia="en-US"/>
        </w:rPr>
        <w:t>Гаджикулиева</w:t>
      </w:r>
      <w:proofErr w:type="spellEnd"/>
      <w:r w:rsidRPr="00520861">
        <w:rPr>
          <w:rFonts w:eastAsiaTheme="minorHAnsi"/>
          <w:sz w:val="28"/>
          <w:szCs w:val="28"/>
          <w:lang w:eastAsia="en-US"/>
        </w:rPr>
        <w:t xml:space="preserve"> КА. </w:t>
      </w:r>
      <w:r w:rsidR="003868A2" w:rsidRPr="00520861">
        <w:rPr>
          <w:rFonts w:eastAsiaTheme="minorHAnsi"/>
          <w:sz w:val="28"/>
          <w:szCs w:val="28"/>
          <w:lang w:eastAsia="en-US"/>
        </w:rPr>
        <w:br/>
      </w:r>
      <w:proofErr w:type="spellStart"/>
      <w:r w:rsidRPr="00520861">
        <w:rPr>
          <w:rFonts w:eastAsiaTheme="minorHAnsi"/>
          <w:sz w:val="28"/>
          <w:szCs w:val="28"/>
          <w:lang w:eastAsia="en-US"/>
        </w:rPr>
        <w:t>Перинатальные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факторы</w:t>
      </w:r>
      <w:proofErr w:type="spellEnd"/>
      <w:r w:rsidRPr="00520861">
        <w:rPr>
          <w:rFonts w:eastAsiaTheme="minorHAnsi"/>
          <w:sz w:val="28"/>
          <w:szCs w:val="28"/>
          <w:lang w:eastAsia="en-US"/>
        </w:rPr>
        <w:t xml:space="preserve"> риска </w:t>
      </w:r>
      <w:proofErr w:type="spellStart"/>
      <w:r w:rsidRPr="00520861">
        <w:rPr>
          <w:rFonts w:eastAsiaTheme="minorHAnsi"/>
          <w:sz w:val="28"/>
          <w:szCs w:val="28"/>
          <w:lang w:eastAsia="en-US"/>
        </w:rPr>
        <w:t>кариеса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временных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Стоматология</w:t>
      </w:r>
      <w:proofErr w:type="spellEnd"/>
      <w:r w:rsidRPr="00520861">
        <w:rPr>
          <w:rFonts w:eastAsiaTheme="minorHAnsi"/>
          <w:sz w:val="28"/>
          <w:szCs w:val="28"/>
          <w:lang w:eastAsia="en-US"/>
        </w:rPr>
        <w:t xml:space="preserve">. 2020;99(4): 47–51. </w:t>
      </w:r>
      <w:r w:rsidRPr="00520861">
        <w:rPr>
          <w:rFonts w:eastAsiaTheme="minorHAnsi"/>
          <w:sz w:val="28"/>
          <w:szCs w:val="28"/>
          <w:lang w:val="ru-RU" w:eastAsia="en-US"/>
        </w:rPr>
        <w:t xml:space="preserve">Доступно на: </w:t>
      </w:r>
      <w:r w:rsidRPr="00520861">
        <w:rPr>
          <w:rFonts w:eastAsiaTheme="minorHAnsi"/>
          <w:sz w:val="28"/>
          <w:szCs w:val="28"/>
          <w:lang w:eastAsia="en-US"/>
        </w:rPr>
        <w:t>DOI: 10.17116/stomat20209904147.</w:t>
      </w:r>
    </w:p>
    <w:p w14:paraId="50B3029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Королюк</w:t>
      </w:r>
      <w:proofErr w:type="spellEnd"/>
      <w:r w:rsidRPr="00520861">
        <w:rPr>
          <w:rFonts w:eastAsiaTheme="minorHAnsi"/>
          <w:sz w:val="28"/>
          <w:szCs w:val="28"/>
          <w:lang w:eastAsia="en-US"/>
        </w:rPr>
        <w:t xml:space="preserve"> МА, </w:t>
      </w:r>
      <w:proofErr w:type="spellStart"/>
      <w:r w:rsidRPr="00520861">
        <w:rPr>
          <w:rFonts w:eastAsiaTheme="minorHAnsi"/>
          <w:sz w:val="28"/>
          <w:szCs w:val="28"/>
          <w:lang w:eastAsia="en-US"/>
        </w:rPr>
        <w:t>Иванова</w:t>
      </w:r>
      <w:proofErr w:type="spellEnd"/>
      <w:r w:rsidRPr="00520861">
        <w:rPr>
          <w:rFonts w:eastAsiaTheme="minorHAnsi"/>
          <w:sz w:val="28"/>
          <w:szCs w:val="28"/>
          <w:lang w:eastAsia="en-US"/>
        </w:rPr>
        <w:t xml:space="preserve"> ЛИ, Майорова ИГ, </w:t>
      </w:r>
      <w:proofErr w:type="spellStart"/>
      <w:r w:rsidRPr="00520861">
        <w:rPr>
          <w:rFonts w:eastAsiaTheme="minorHAnsi"/>
          <w:sz w:val="28"/>
          <w:szCs w:val="28"/>
          <w:lang w:eastAsia="en-US"/>
        </w:rPr>
        <w:t>Токарев</w:t>
      </w:r>
      <w:proofErr w:type="spellEnd"/>
      <w:r w:rsidRPr="00520861">
        <w:rPr>
          <w:rFonts w:eastAsiaTheme="minorHAnsi"/>
          <w:sz w:val="28"/>
          <w:szCs w:val="28"/>
          <w:lang w:eastAsia="en-US"/>
        </w:rPr>
        <w:t xml:space="preserve"> ВЕ. Метод </w:t>
      </w:r>
      <w:proofErr w:type="spellStart"/>
      <w:r w:rsidRPr="00520861">
        <w:rPr>
          <w:rFonts w:eastAsiaTheme="minorHAnsi"/>
          <w:sz w:val="28"/>
          <w:szCs w:val="28"/>
          <w:lang w:eastAsia="en-US"/>
        </w:rPr>
        <w:t>определения</w:t>
      </w:r>
      <w:proofErr w:type="spellEnd"/>
      <w:r w:rsidRPr="00520861">
        <w:rPr>
          <w:rFonts w:eastAsiaTheme="minorHAnsi"/>
          <w:sz w:val="28"/>
          <w:szCs w:val="28"/>
          <w:lang w:eastAsia="en-US"/>
        </w:rPr>
        <w:t xml:space="preserve"> </w:t>
      </w:r>
      <w:r w:rsidR="003868A2" w:rsidRPr="00520861">
        <w:rPr>
          <w:rFonts w:eastAsiaTheme="minorHAnsi"/>
          <w:sz w:val="28"/>
          <w:szCs w:val="28"/>
          <w:lang w:eastAsia="en-US"/>
        </w:rPr>
        <w:br/>
      </w:r>
      <w:proofErr w:type="spellStart"/>
      <w:r w:rsidRPr="00520861">
        <w:rPr>
          <w:rFonts w:eastAsiaTheme="minorHAnsi"/>
          <w:sz w:val="28"/>
          <w:szCs w:val="28"/>
          <w:lang w:eastAsia="en-US"/>
        </w:rPr>
        <w:t>активности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каталазы</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Лаб</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дело</w:t>
      </w:r>
      <w:proofErr w:type="spellEnd"/>
      <w:r w:rsidRPr="00520861">
        <w:rPr>
          <w:rFonts w:eastAsiaTheme="minorHAnsi"/>
          <w:sz w:val="28"/>
          <w:szCs w:val="28"/>
          <w:lang w:eastAsia="en-US"/>
        </w:rPr>
        <w:t>. 1988;(1): 16–19.</w:t>
      </w:r>
    </w:p>
    <w:p w14:paraId="7E77CBA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Костура ВЛ</w:t>
      </w:r>
      <w:r w:rsidRPr="00520861">
        <w:rPr>
          <w:rFonts w:eastAsiaTheme="minorHAnsi"/>
          <w:sz w:val="28"/>
          <w:szCs w:val="28"/>
          <w:lang w:val="ru-RU" w:eastAsia="en-US"/>
        </w:rPr>
        <w:t>.</w:t>
      </w:r>
      <w:r w:rsidRPr="00520861">
        <w:rPr>
          <w:rFonts w:eastAsiaTheme="minorHAnsi"/>
          <w:sz w:val="28"/>
          <w:szCs w:val="28"/>
          <w:lang w:eastAsia="en-US"/>
        </w:rPr>
        <w:t xml:space="preserve"> Індексна оцінка стану тканин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у дітей з надмірною масою тіла</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2018</w:t>
      </w:r>
      <w:r w:rsidRPr="00520861">
        <w:rPr>
          <w:rFonts w:eastAsiaTheme="minorHAnsi"/>
          <w:sz w:val="28"/>
          <w:szCs w:val="28"/>
          <w:lang w:val="ru-RU" w:eastAsia="en-US"/>
        </w:rPr>
        <w:t>;1</w:t>
      </w:r>
      <w:r w:rsidRPr="00520861">
        <w:rPr>
          <w:rFonts w:eastAsiaTheme="minorHAnsi"/>
          <w:sz w:val="28"/>
          <w:szCs w:val="28"/>
          <w:lang w:eastAsia="en-US"/>
        </w:rPr>
        <w:t>(</w:t>
      </w:r>
      <w:r w:rsidRPr="00520861">
        <w:rPr>
          <w:rFonts w:eastAsiaTheme="minorHAnsi"/>
          <w:sz w:val="28"/>
          <w:szCs w:val="28"/>
          <w:lang w:val="ru-RU" w:eastAsia="en-US"/>
        </w:rPr>
        <w:t>1/</w:t>
      </w:r>
      <w:r w:rsidRPr="00520861">
        <w:rPr>
          <w:rFonts w:eastAsiaTheme="minorHAnsi"/>
          <w:sz w:val="28"/>
          <w:szCs w:val="28"/>
          <w:lang w:eastAsia="en-US"/>
        </w:rPr>
        <w:t>142)</w:t>
      </w:r>
      <w:r w:rsidRPr="00520861">
        <w:rPr>
          <w:rFonts w:eastAsiaTheme="minorHAnsi"/>
          <w:sz w:val="28"/>
          <w:szCs w:val="28"/>
          <w:lang w:val="ru-RU" w:eastAsia="en-US"/>
        </w:rPr>
        <w:t>:</w:t>
      </w:r>
      <w:r w:rsidRPr="00520861">
        <w:rPr>
          <w:rFonts w:eastAsiaTheme="minorHAnsi"/>
          <w:sz w:val="28"/>
          <w:szCs w:val="28"/>
          <w:lang w:eastAsia="en-US"/>
        </w:rPr>
        <w:t xml:space="preserve"> 360–363.</w:t>
      </w:r>
    </w:p>
    <w:p w14:paraId="54CD7DB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Котельбан</w:t>
      </w:r>
      <w:proofErr w:type="spellEnd"/>
      <w:r w:rsidRPr="00520861">
        <w:rPr>
          <w:rFonts w:eastAsiaTheme="minorHAnsi"/>
          <w:sz w:val="28"/>
          <w:szCs w:val="28"/>
          <w:lang w:eastAsia="en-US"/>
        </w:rPr>
        <w:t xml:space="preserve"> АВ. Оцінка ефективності лікування хронічного катарального гінгівіту в дітей за умов цукрового діабету. </w:t>
      </w:r>
      <w:proofErr w:type="spellStart"/>
      <w:r w:rsidRPr="00520861">
        <w:rPr>
          <w:rFonts w:eastAsiaTheme="minorHAnsi"/>
          <w:i/>
          <w:sz w:val="28"/>
          <w:szCs w:val="28"/>
          <w:lang w:eastAsia="en-US"/>
        </w:rPr>
        <w:t>Клiнiчна</w:t>
      </w:r>
      <w:proofErr w:type="spellEnd"/>
      <w:r w:rsidRPr="00520861">
        <w:rPr>
          <w:rFonts w:eastAsiaTheme="minorHAnsi"/>
          <w:i/>
          <w:sz w:val="28"/>
          <w:szCs w:val="28"/>
          <w:lang w:eastAsia="en-US"/>
        </w:rPr>
        <w:t xml:space="preserve"> стоматологія</w:t>
      </w:r>
      <w:r w:rsidRPr="00520861">
        <w:rPr>
          <w:rFonts w:eastAsiaTheme="minorHAnsi"/>
          <w:sz w:val="28"/>
          <w:szCs w:val="28"/>
          <w:lang w:eastAsia="en-US"/>
        </w:rPr>
        <w:t>. 2017;(1): 39–44.</w:t>
      </w:r>
      <w:r w:rsidRPr="00520861">
        <w:rPr>
          <w:rFonts w:eastAsiaTheme="minorHAnsi"/>
          <w:sz w:val="28"/>
          <w:szCs w:val="28"/>
        </w:rPr>
        <w:t xml:space="preserve"> </w:t>
      </w:r>
      <w:r w:rsidR="003868A2" w:rsidRPr="00520861">
        <w:rPr>
          <w:rFonts w:eastAsiaTheme="minorHAnsi"/>
          <w:sz w:val="28"/>
          <w:szCs w:val="28"/>
        </w:rPr>
        <w:br/>
      </w:r>
      <w:r w:rsidRPr="00520861">
        <w:rPr>
          <w:rFonts w:eastAsiaTheme="minorHAnsi"/>
          <w:sz w:val="28"/>
          <w:szCs w:val="28"/>
          <w:lang w:val="ru-RU" w:eastAsia="en-US"/>
        </w:rPr>
        <w:t>Доступно на:</w:t>
      </w:r>
      <w:r w:rsidRPr="00520861">
        <w:rPr>
          <w:rFonts w:eastAsiaTheme="minorHAnsi"/>
          <w:sz w:val="28"/>
          <w:szCs w:val="28"/>
          <w:lang w:val="en-US" w:eastAsia="en-US"/>
        </w:rPr>
        <w:t xml:space="preserve"> DOI</w:t>
      </w:r>
      <w:r w:rsidRPr="00520861">
        <w:rPr>
          <w:rFonts w:eastAsiaTheme="minorHAnsi"/>
          <w:sz w:val="28"/>
          <w:szCs w:val="28"/>
          <w:lang w:eastAsia="en-US"/>
        </w:rPr>
        <w:t>: 10.11603/2311-9624.2017.1.7535.</w:t>
      </w:r>
    </w:p>
    <w:p w14:paraId="6A5DD06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Крайнов</w:t>
      </w:r>
      <w:proofErr w:type="spellEnd"/>
      <w:r w:rsidRPr="00520861">
        <w:rPr>
          <w:rFonts w:eastAsiaTheme="minorHAnsi"/>
          <w:sz w:val="28"/>
          <w:szCs w:val="28"/>
          <w:lang w:eastAsia="en-US"/>
        </w:rPr>
        <w:t xml:space="preserve"> СВ, Михальченко ВФ, Яковлев АТ, Попова АН, </w:t>
      </w:r>
      <w:proofErr w:type="spellStart"/>
      <w:r w:rsidRPr="00520861">
        <w:rPr>
          <w:rFonts w:eastAsiaTheme="minorHAnsi"/>
          <w:sz w:val="28"/>
          <w:szCs w:val="28"/>
          <w:lang w:eastAsia="en-US"/>
        </w:rPr>
        <w:t>Алеханова</w:t>
      </w:r>
      <w:proofErr w:type="spellEnd"/>
      <w:r w:rsidRPr="00520861">
        <w:rPr>
          <w:rFonts w:eastAsiaTheme="minorHAnsi"/>
          <w:sz w:val="28"/>
          <w:szCs w:val="28"/>
          <w:lang w:eastAsia="en-US"/>
        </w:rPr>
        <w:t xml:space="preserve"> ИФ. </w:t>
      </w:r>
      <w:r w:rsidR="003868A2" w:rsidRPr="00520861">
        <w:rPr>
          <w:rFonts w:eastAsiaTheme="minorHAnsi"/>
          <w:sz w:val="28"/>
          <w:szCs w:val="28"/>
          <w:lang w:eastAsia="en-US"/>
        </w:rPr>
        <w:br/>
      </w:r>
      <w:r w:rsidRPr="00520861">
        <w:rPr>
          <w:rFonts w:eastAsiaTheme="minorHAnsi"/>
          <w:sz w:val="28"/>
          <w:szCs w:val="28"/>
          <w:lang w:eastAsia="en-US"/>
        </w:rPr>
        <w:t>«</w:t>
      </w:r>
      <w:proofErr w:type="spellStart"/>
      <w:r w:rsidRPr="00520861">
        <w:rPr>
          <w:rFonts w:eastAsiaTheme="minorHAnsi"/>
          <w:sz w:val="28"/>
          <w:szCs w:val="28"/>
          <w:lang w:eastAsia="en-US"/>
        </w:rPr>
        <w:t>Глубина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пародонтального</w:t>
      </w:r>
      <w:proofErr w:type="spellEnd"/>
      <w:r w:rsidRPr="00520861">
        <w:rPr>
          <w:rFonts w:eastAsiaTheme="minorHAnsi"/>
          <w:sz w:val="28"/>
          <w:szCs w:val="28"/>
          <w:lang w:eastAsia="en-US"/>
        </w:rPr>
        <w:t xml:space="preserve"> кармана» </w:t>
      </w:r>
      <w:proofErr w:type="spellStart"/>
      <w:r w:rsidRPr="00520861">
        <w:rPr>
          <w:rFonts w:eastAsiaTheme="minorHAnsi"/>
          <w:sz w:val="28"/>
          <w:szCs w:val="28"/>
          <w:lang w:eastAsia="en-US"/>
        </w:rPr>
        <w:t>или</w:t>
      </w:r>
      <w:proofErr w:type="spellEnd"/>
      <w:r w:rsidRPr="00520861">
        <w:rPr>
          <w:rFonts w:eastAsiaTheme="minorHAnsi"/>
          <w:sz w:val="28"/>
          <w:szCs w:val="28"/>
          <w:lang w:eastAsia="en-US"/>
        </w:rPr>
        <w:t xml:space="preserve"> «величина </w:t>
      </w:r>
      <w:proofErr w:type="spellStart"/>
      <w:r w:rsidRPr="00520861">
        <w:rPr>
          <w:rFonts w:eastAsiaTheme="minorHAnsi"/>
          <w:sz w:val="28"/>
          <w:szCs w:val="28"/>
          <w:lang w:eastAsia="en-US"/>
        </w:rPr>
        <w:t>потери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прикрепления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какой</w:t>
      </w:r>
      <w:proofErr w:type="spellEnd"/>
      <w:r w:rsidRPr="00520861">
        <w:rPr>
          <w:rFonts w:eastAsiaTheme="minorHAnsi"/>
          <w:sz w:val="28"/>
          <w:szCs w:val="28"/>
          <w:lang w:eastAsia="en-US"/>
        </w:rPr>
        <w:t xml:space="preserve"> параметр </w:t>
      </w:r>
      <w:proofErr w:type="spellStart"/>
      <w:r w:rsidRPr="00520861">
        <w:rPr>
          <w:rFonts w:eastAsiaTheme="minorHAnsi"/>
          <w:sz w:val="28"/>
          <w:szCs w:val="28"/>
          <w:lang w:eastAsia="en-US"/>
        </w:rPr>
        <w:t>выбрать</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геронтостоматологии</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Проблемы</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стоматологии</w:t>
      </w:r>
      <w:proofErr w:type="spellEnd"/>
      <w:r w:rsidRPr="00520861">
        <w:rPr>
          <w:rFonts w:eastAsiaTheme="minorHAnsi"/>
          <w:sz w:val="28"/>
          <w:szCs w:val="28"/>
          <w:lang w:eastAsia="en-US"/>
        </w:rPr>
        <w:t xml:space="preserve">. </w:t>
      </w:r>
      <w:r w:rsidR="003868A2" w:rsidRPr="00520861">
        <w:rPr>
          <w:rFonts w:eastAsiaTheme="minorHAnsi"/>
          <w:sz w:val="28"/>
          <w:szCs w:val="28"/>
          <w:lang w:eastAsia="en-US"/>
        </w:rPr>
        <w:br/>
      </w:r>
      <w:r w:rsidRPr="00520861">
        <w:rPr>
          <w:rFonts w:eastAsiaTheme="minorHAnsi"/>
          <w:sz w:val="28"/>
          <w:szCs w:val="28"/>
          <w:lang w:eastAsia="en-US"/>
        </w:rPr>
        <w:t>2017</w:t>
      </w:r>
      <w:r w:rsidRPr="00520861">
        <w:rPr>
          <w:rFonts w:eastAsiaTheme="minorHAnsi"/>
          <w:sz w:val="28"/>
          <w:szCs w:val="28"/>
          <w:lang w:val="ru-RU" w:eastAsia="en-US"/>
        </w:rPr>
        <w:t>;</w:t>
      </w:r>
      <w:r w:rsidRPr="00520861">
        <w:rPr>
          <w:rFonts w:eastAsiaTheme="minorHAnsi"/>
          <w:sz w:val="28"/>
          <w:szCs w:val="28"/>
          <w:lang w:eastAsia="en-US"/>
        </w:rPr>
        <w:t>13</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9–14.</w:t>
      </w:r>
    </w:p>
    <w:p w14:paraId="2C107B8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Крель</w:t>
      </w:r>
      <w:proofErr w:type="spellEnd"/>
      <w:r w:rsidRPr="00520861">
        <w:rPr>
          <w:rFonts w:eastAsiaTheme="minorHAnsi"/>
          <w:sz w:val="28"/>
          <w:szCs w:val="28"/>
          <w:lang w:eastAsia="en-US"/>
        </w:rPr>
        <w:t xml:space="preserve"> АА, </w:t>
      </w:r>
      <w:proofErr w:type="spellStart"/>
      <w:r w:rsidRPr="00520861">
        <w:rPr>
          <w:rFonts w:eastAsiaTheme="minorHAnsi"/>
          <w:sz w:val="28"/>
          <w:szCs w:val="28"/>
          <w:lang w:eastAsia="en-US"/>
        </w:rPr>
        <w:t>Фурцева</w:t>
      </w:r>
      <w:proofErr w:type="spellEnd"/>
      <w:r w:rsidRPr="00520861">
        <w:rPr>
          <w:rFonts w:eastAsiaTheme="minorHAnsi"/>
          <w:sz w:val="28"/>
          <w:szCs w:val="28"/>
          <w:lang w:eastAsia="en-US"/>
        </w:rPr>
        <w:t xml:space="preserve"> ЛН. </w:t>
      </w:r>
      <w:proofErr w:type="spellStart"/>
      <w:r w:rsidRPr="00520861">
        <w:rPr>
          <w:rFonts w:eastAsiaTheme="minorHAnsi"/>
          <w:sz w:val="28"/>
          <w:szCs w:val="28"/>
          <w:lang w:eastAsia="en-US"/>
        </w:rPr>
        <w:t>Методы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определения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оксипролина</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биологических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жидкостях</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применение</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клинической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практике</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Вопросы</w:t>
      </w:r>
      <w:proofErr w:type="spellEnd"/>
      <w:r w:rsidRPr="00520861">
        <w:rPr>
          <w:rFonts w:eastAsiaTheme="minorHAnsi"/>
          <w:i/>
          <w:sz w:val="28"/>
          <w:szCs w:val="28"/>
          <w:lang w:eastAsia="en-US"/>
        </w:rPr>
        <w:t xml:space="preserve"> мед </w:t>
      </w:r>
      <w:proofErr w:type="spellStart"/>
      <w:r w:rsidRPr="00520861">
        <w:rPr>
          <w:rFonts w:eastAsiaTheme="minorHAnsi"/>
          <w:i/>
          <w:sz w:val="28"/>
          <w:szCs w:val="28"/>
          <w:lang w:eastAsia="en-US"/>
        </w:rPr>
        <w:t>химии</w:t>
      </w:r>
      <w:proofErr w:type="spellEnd"/>
      <w:r w:rsidRPr="00520861">
        <w:rPr>
          <w:rFonts w:eastAsiaTheme="minorHAnsi"/>
          <w:sz w:val="28"/>
          <w:szCs w:val="28"/>
          <w:lang w:eastAsia="en-US"/>
        </w:rPr>
        <w:t>. 1968;14(6): 635–640.</w:t>
      </w:r>
    </w:p>
    <w:p w14:paraId="0F5F8C7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Кречина</w:t>
      </w:r>
      <w:proofErr w:type="spellEnd"/>
      <w:r w:rsidRPr="00520861">
        <w:rPr>
          <w:rFonts w:eastAsiaTheme="minorHAnsi"/>
          <w:sz w:val="28"/>
          <w:szCs w:val="28"/>
          <w:lang w:eastAsia="en-US"/>
        </w:rPr>
        <w:t xml:space="preserve"> ЕК, Зорина ОА, </w:t>
      </w:r>
      <w:proofErr w:type="spellStart"/>
      <w:r w:rsidRPr="00520861">
        <w:rPr>
          <w:rFonts w:eastAsiaTheme="minorHAnsi"/>
          <w:sz w:val="28"/>
          <w:szCs w:val="28"/>
          <w:lang w:eastAsia="en-US"/>
        </w:rPr>
        <w:t>Мустафина</w:t>
      </w:r>
      <w:proofErr w:type="spellEnd"/>
      <w:r w:rsidRPr="00520861">
        <w:rPr>
          <w:rFonts w:eastAsiaTheme="minorHAnsi"/>
          <w:sz w:val="28"/>
          <w:szCs w:val="28"/>
          <w:lang w:eastAsia="en-US"/>
        </w:rPr>
        <w:t xml:space="preserve"> ФК, Молчанов АМ. </w:t>
      </w:r>
      <w:proofErr w:type="spellStart"/>
      <w:r w:rsidRPr="00520861">
        <w:rPr>
          <w:rFonts w:eastAsiaTheme="minorHAnsi"/>
          <w:sz w:val="28"/>
          <w:szCs w:val="28"/>
          <w:lang w:eastAsia="en-US"/>
        </w:rPr>
        <w:t>Состояние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микроциркуляции</w:t>
      </w:r>
      <w:proofErr w:type="spellEnd"/>
      <w:r w:rsidRPr="00520861">
        <w:rPr>
          <w:rFonts w:eastAsiaTheme="minorHAnsi"/>
          <w:sz w:val="28"/>
          <w:szCs w:val="28"/>
          <w:lang w:eastAsia="en-US"/>
        </w:rPr>
        <w:t xml:space="preserve"> в тканях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по </w:t>
      </w:r>
      <w:proofErr w:type="spellStart"/>
      <w:r w:rsidRPr="00520861">
        <w:rPr>
          <w:rFonts w:eastAsiaTheme="minorHAnsi"/>
          <w:sz w:val="28"/>
          <w:szCs w:val="28"/>
          <w:lang w:eastAsia="en-US"/>
        </w:rPr>
        <w:t>данным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компьютерной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капилляроскопии</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пациентов</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хроническим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генерализованным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пародонтитом</w:t>
      </w:r>
      <w:proofErr w:type="spellEnd"/>
      <w:r w:rsidRPr="00520861">
        <w:rPr>
          <w:rFonts w:eastAsiaTheme="minorHAnsi"/>
          <w:sz w:val="28"/>
          <w:szCs w:val="28"/>
          <w:lang w:eastAsia="en-US"/>
        </w:rPr>
        <w:t xml:space="preserve"> на фоне </w:t>
      </w:r>
      <w:proofErr w:type="spellStart"/>
      <w:r w:rsidRPr="00520861">
        <w:rPr>
          <w:rFonts w:eastAsiaTheme="minorHAnsi"/>
          <w:sz w:val="28"/>
          <w:szCs w:val="28"/>
          <w:lang w:eastAsia="en-US"/>
        </w:rPr>
        <w:t>метаболических</w:t>
      </w:r>
      <w:proofErr w:type="spellEnd"/>
      <w:r w:rsidRPr="00520861">
        <w:rPr>
          <w:rFonts w:eastAsiaTheme="minorHAnsi"/>
          <w:sz w:val="28"/>
          <w:szCs w:val="28"/>
          <w:lang w:eastAsia="en-US"/>
        </w:rPr>
        <w:t xml:space="preserve"> нарушений. </w:t>
      </w:r>
      <w:proofErr w:type="spellStart"/>
      <w:r w:rsidRPr="00520861">
        <w:rPr>
          <w:rFonts w:eastAsiaTheme="minorHAnsi"/>
          <w:i/>
          <w:sz w:val="28"/>
          <w:szCs w:val="28"/>
          <w:lang w:eastAsia="en-US"/>
        </w:rPr>
        <w:t>Стоматология</w:t>
      </w:r>
      <w:proofErr w:type="spellEnd"/>
      <w:r w:rsidRPr="00520861">
        <w:rPr>
          <w:rFonts w:eastAsiaTheme="minorHAnsi"/>
          <w:sz w:val="28"/>
          <w:szCs w:val="28"/>
          <w:lang w:eastAsia="en-US"/>
        </w:rPr>
        <w:t xml:space="preserve">. 2015;94(4): 20–23. </w:t>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10.17116/stomat201594420-23.</w:t>
      </w:r>
    </w:p>
    <w:p w14:paraId="5F9B667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Криштоп</w:t>
      </w:r>
      <w:proofErr w:type="spellEnd"/>
      <w:r w:rsidRPr="00520861">
        <w:rPr>
          <w:rFonts w:eastAsiaTheme="minorHAnsi"/>
          <w:sz w:val="28"/>
          <w:szCs w:val="28"/>
          <w:lang w:eastAsia="en-US"/>
        </w:rPr>
        <w:t xml:space="preserve"> ВВ, </w:t>
      </w:r>
      <w:proofErr w:type="spellStart"/>
      <w:r w:rsidRPr="00520861">
        <w:rPr>
          <w:rFonts w:eastAsiaTheme="minorHAnsi"/>
          <w:sz w:val="28"/>
          <w:szCs w:val="28"/>
          <w:lang w:eastAsia="en-US"/>
        </w:rPr>
        <w:t>Курчанинова</w:t>
      </w:r>
      <w:proofErr w:type="spellEnd"/>
      <w:r w:rsidRPr="00520861">
        <w:rPr>
          <w:rFonts w:eastAsiaTheme="minorHAnsi"/>
          <w:sz w:val="28"/>
          <w:szCs w:val="28"/>
          <w:lang w:eastAsia="en-US"/>
        </w:rPr>
        <w:t xml:space="preserve"> МГ. </w:t>
      </w:r>
      <w:proofErr w:type="spellStart"/>
      <w:r w:rsidRPr="00520861">
        <w:rPr>
          <w:rFonts w:eastAsiaTheme="minorHAnsi"/>
          <w:sz w:val="28"/>
          <w:szCs w:val="28"/>
          <w:lang w:eastAsia="en-US"/>
        </w:rPr>
        <w:t>Биохимические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показатели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окислительного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стресса</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ротовой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жидкости</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студентов</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разным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стоматологическим</w:t>
      </w:r>
      <w:proofErr w:type="spellEnd"/>
      <w:r w:rsidRPr="00520861">
        <w:rPr>
          <w:rFonts w:eastAsiaTheme="minorHAnsi"/>
          <w:sz w:val="28"/>
          <w:szCs w:val="28"/>
          <w:lang w:eastAsia="en-US"/>
        </w:rPr>
        <w:t xml:space="preserve"> статусом и </w:t>
      </w:r>
      <w:r w:rsidR="003868A2" w:rsidRPr="00520861">
        <w:rPr>
          <w:rFonts w:eastAsiaTheme="minorHAnsi"/>
          <w:sz w:val="28"/>
          <w:szCs w:val="28"/>
          <w:lang w:eastAsia="en-US"/>
        </w:rPr>
        <w:br/>
      </w:r>
      <w:proofErr w:type="spellStart"/>
      <w:r w:rsidRPr="00520861">
        <w:rPr>
          <w:rFonts w:eastAsiaTheme="minorHAnsi"/>
          <w:sz w:val="28"/>
          <w:szCs w:val="28"/>
          <w:lang w:eastAsia="en-US"/>
        </w:rPr>
        <w:lastRenderedPageBreak/>
        <w:t>качеством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жизни</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Международный</w:t>
      </w:r>
      <w:proofErr w:type="spellEnd"/>
      <w:r w:rsidRPr="00520861">
        <w:rPr>
          <w:rFonts w:eastAsiaTheme="minorHAnsi"/>
          <w:i/>
          <w:sz w:val="28"/>
          <w:szCs w:val="28"/>
          <w:lang w:eastAsia="en-US"/>
        </w:rPr>
        <w:t xml:space="preserve"> журнал </w:t>
      </w:r>
      <w:proofErr w:type="spellStart"/>
      <w:r w:rsidRPr="00520861">
        <w:rPr>
          <w:rFonts w:eastAsiaTheme="minorHAnsi"/>
          <w:i/>
          <w:sz w:val="28"/>
          <w:szCs w:val="28"/>
          <w:lang w:eastAsia="en-US"/>
        </w:rPr>
        <w:t>прикладных</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фундаментальных</w:t>
      </w:r>
      <w:proofErr w:type="spellEnd"/>
      <w:r w:rsidRPr="00520861">
        <w:rPr>
          <w:rFonts w:eastAsiaTheme="minorHAnsi"/>
          <w:i/>
          <w:sz w:val="28"/>
          <w:szCs w:val="28"/>
          <w:lang w:eastAsia="en-US"/>
        </w:rPr>
        <w:t xml:space="preserve"> </w:t>
      </w:r>
      <w:r w:rsidR="003868A2" w:rsidRPr="00520861">
        <w:rPr>
          <w:rFonts w:eastAsiaTheme="minorHAnsi"/>
          <w:i/>
          <w:sz w:val="28"/>
          <w:szCs w:val="28"/>
          <w:lang w:eastAsia="en-US"/>
        </w:rPr>
        <w:br/>
      </w:r>
      <w:proofErr w:type="spellStart"/>
      <w:r w:rsidRPr="00520861">
        <w:rPr>
          <w:rFonts w:eastAsiaTheme="minorHAnsi"/>
          <w:i/>
          <w:sz w:val="28"/>
          <w:szCs w:val="28"/>
          <w:lang w:eastAsia="en-US"/>
        </w:rPr>
        <w:t>исследований</w:t>
      </w:r>
      <w:proofErr w:type="spellEnd"/>
      <w:r w:rsidRPr="00520861">
        <w:rPr>
          <w:rFonts w:eastAsiaTheme="minorHAnsi"/>
          <w:sz w:val="28"/>
          <w:szCs w:val="28"/>
          <w:lang w:eastAsia="en-US"/>
        </w:rPr>
        <w:t>. 2014; (10</w:t>
      </w:r>
      <w:r w:rsidRPr="00520861">
        <w:rPr>
          <w:rFonts w:eastAsiaTheme="minorHAnsi"/>
          <w:sz w:val="28"/>
          <w:szCs w:val="28"/>
          <w:lang w:val="ru-RU" w:eastAsia="en-US"/>
        </w:rPr>
        <w:t>/</w:t>
      </w:r>
      <w:r w:rsidRPr="00520861">
        <w:rPr>
          <w:rFonts w:eastAsiaTheme="minorHAnsi"/>
          <w:sz w:val="28"/>
          <w:szCs w:val="28"/>
          <w:lang w:eastAsia="en-US"/>
        </w:rPr>
        <w:t>2)</w:t>
      </w:r>
      <w:r w:rsidRPr="00520861">
        <w:rPr>
          <w:rFonts w:eastAsiaTheme="minorHAnsi"/>
          <w:sz w:val="28"/>
          <w:szCs w:val="28"/>
          <w:lang w:val="ru-RU" w:eastAsia="en-US"/>
        </w:rPr>
        <w:t xml:space="preserve">: </w:t>
      </w:r>
      <w:r w:rsidRPr="00520861">
        <w:rPr>
          <w:rFonts w:eastAsiaTheme="minorHAnsi"/>
          <w:sz w:val="28"/>
          <w:szCs w:val="28"/>
          <w:lang w:eastAsia="en-US"/>
        </w:rPr>
        <w:t>81–85</w:t>
      </w:r>
      <w:r w:rsidRPr="00520861">
        <w:rPr>
          <w:rFonts w:eastAsiaTheme="minorHAnsi"/>
          <w:sz w:val="28"/>
          <w:szCs w:val="28"/>
          <w:lang w:val="ru-RU" w:eastAsia="en-US"/>
        </w:rPr>
        <w:t>.</w:t>
      </w:r>
    </w:p>
    <w:p w14:paraId="67B71C3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Кузняк</w:t>
      </w:r>
      <w:proofErr w:type="spellEnd"/>
      <w:r w:rsidRPr="00520861">
        <w:rPr>
          <w:rFonts w:eastAsiaTheme="minorHAnsi"/>
          <w:sz w:val="28"/>
          <w:szCs w:val="28"/>
          <w:lang w:eastAsia="en-US"/>
        </w:rPr>
        <w:t xml:space="preserve"> НБ, </w:t>
      </w:r>
      <w:proofErr w:type="spellStart"/>
      <w:r w:rsidRPr="00520861">
        <w:rPr>
          <w:rFonts w:eastAsiaTheme="minorHAnsi"/>
          <w:sz w:val="28"/>
          <w:szCs w:val="28"/>
          <w:lang w:eastAsia="en-US"/>
        </w:rPr>
        <w:t>Навольський</w:t>
      </w:r>
      <w:proofErr w:type="spellEnd"/>
      <w:r w:rsidRPr="00520861">
        <w:rPr>
          <w:rFonts w:eastAsiaTheme="minorHAnsi"/>
          <w:sz w:val="28"/>
          <w:szCs w:val="28"/>
          <w:lang w:eastAsia="en-US"/>
        </w:rPr>
        <w:t xml:space="preserve"> НМ, Калинчук АІ, Годованець ОІ. Співвідношення </w:t>
      </w:r>
      <w:proofErr w:type="spellStart"/>
      <w:r w:rsidRPr="00520861">
        <w:rPr>
          <w:rFonts w:eastAsiaTheme="minorHAnsi"/>
          <w:sz w:val="28"/>
          <w:szCs w:val="28"/>
          <w:lang w:eastAsia="en-US"/>
        </w:rPr>
        <w:t>ортодонтичного</w:t>
      </w:r>
      <w:proofErr w:type="spellEnd"/>
      <w:r w:rsidRPr="00520861">
        <w:rPr>
          <w:rFonts w:eastAsiaTheme="minorHAnsi"/>
          <w:sz w:val="28"/>
          <w:szCs w:val="28"/>
          <w:lang w:eastAsia="en-US"/>
        </w:rPr>
        <w:t xml:space="preserve"> статусу до форм обличчя у дітей. </w:t>
      </w:r>
      <w:r w:rsidRPr="00520861">
        <w:rPr>
          <w:rFonts w:eastAsiaTheme="minorHAnsi"/>
          <w:i/>
          <w:sz w:val="28"/>
          <w:szCs w:val="28"/>
          <w:lang w:eastAsia="en-US"/>
        </w:rPr>
        <w:t>Буковинський медичний вісник</w:t>
      </w:r>
      <w:r w:rsidRPr="00520861">
        <w:rPr>
          <w:rFonts w:eastAsiaTheme="minorHAnsi"/>
          <w:sz w:val="28"/>
          <w:szCs w:val="28"/>
          <w:lang w:eastAsia="en-US"/>
        </w:rPr>
        <w:t>. 2013;67(3/2): 38–40.</w:t>
      </w:r>
    </w:p>
    <w:p w14:paraId="76C2C8F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r w:rsidRPr="00520861">
        <w:rPr>
          <w:rFonts w:eastAsia="Calibri"/>
          <w:sz w:val="28"/>
          <w:szCs w:val="28"/>
          <w:lang w:eastAsia="en-US"/>
        </w:rPr>
        <w:t>Кузьміна ВА. Особливості профілактики захворювань твердих тканин зубів у дітей в антенатальний період їх розвитку (клініко</w:t>
      </w:r>
      <w:r w:rsidRPr="00520861">
        <w:rPr>
          <w:rFonts w:eastAsia="Calibri"/>
          <w:sz w:val="28"/>
          <w:szCs w:val="28"/>
          <w:lang w:val="ru-RU" w:eastAsia="en-US"/>
        </w:rPr>
        <w:t>-</w:t>
      </w:r>
      <w:r w:rsidRPr="00520861">
        <w:rPr>
          <w:rFonts w:eastAsia="Calibri"/>
          <w:sz w:val="28"/>
          <w:szCs w:val="28"/>
          <w:lang w:eastAsia="en-US"/>
        </w:rPr>
        <w:t xml:space="preserve">експериментальне дослідження) </w:t>
      </w:r>
      <w:r w:rsidRPr="00520861">
        <w:rPr>
          <w:rFonts w:eastAsia="Calibri"/>
          <w:iCs/>
          <w:sz w:val="28"/>
          <w:szCs w:val="28"/>
          <w:lang w:eastAsia="en-US"/>
        </w:rPr>
        <w:t>[дисертація]</w:t>
      </w:r>
      <w:r w:rsidRPr="00520861">
        <w:rPr>
          <w:rFonts w:eastAsia="Calibri"/>
          <w:sz w:val="28"/>
          <w:szCs w:val="28"/>
          <w:lang w:eastAsia="en-US"/>
        </w:rPr>
        <w:t>.</w:t>
      </w:r>
      <w:r w:rsidRPr="00520861">
        <w:rPr>
          <w:rFonts w:eastAsia="Calibri"/>
          <w:sz w:val="28"/>
          <w:szCs w:val="28"/>
          <w:lang w:val="ru-RU" w:eastAsia="en-US"/>
        </w:rPr>
        <w:t xml:space="preserve"> </w:t>
      </w:r>
      <w:r w:rsidRPr="00520861">
        <w:rPr>
          <w:rFonts w:eastAsia="Calibri"/>
          <w:sz w:val="28"/>
          <w:szCs w:val="28"/>
          <w:lang w:eastAsia="en-US"/>
        </w:rPr>
        <w:t>Київ</w:t>
      </w:r>
      <w:r w:rsidRPr="00520861">
        <w:rPr>
          <w:rFonts w:eastAsia="Calibri"/>
          <w:sz w:val="28"/>
          <w:szCs w:val="28"/>
          <w:lang w:val="ru-RU" w:eastAsia="en-US"/>
        </w:rPr>
        <w:t>:</w:t>
      </w:r>
      <w:r w:rsidRPr="00520861">
        <w:rPr>
          <w:rFonts w:eastAsia="Calibri"/>
          <w:sz w:val="28"/>
          <w:szCs w:val="28"/>
          <w:lang w:eastAsia="en-US"/>
        </w:rPr>
        <w:t xml:space="preserve"> ПВНЗ України «Київський медичний університет»</w:t>
      </w:r>
      <w:r w:rsidRPr="00520861">
        <w:rPr>
          <w:rFonts w:eastAsia="Calibri"/>
          <w:sz w:val="28"/>
          <w:szCs w:val="28"/>
          <w:lang w:val="ru-RU" w:eastAsia="en-US"/>
        </w:rPr>
        <w:t xml:space="preserve">; </w:t>
      </w:r>
      <w:r w:rsidRPr="00520861">
        <w:rPr>
          <w:rFonts w:eastAsia="Calibri"/>
          <w:sz w:val="28"/>
          <w:szCs w:val="28"/>
          <w:lang w:eastAsia="en-US"/>
        </w:rPr>
        <w:t>2018. 195 с.</w:t>
      </w:r>
    </w:p>
    <w:p w14:paraId="29A49B2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Кузьміна ВА, </w:t>
      </w:r>
      <w:proofErr w:type="spellStart"/>
      <w:r w:rsidRPr="00520861">
        <w:rPr>
          <w:rFonts w:eastAsiaTheme="minorHAnsi"/>
          <w:sz w:val="28"/>
          <w:szCs w:val="28"/>
          <w:lang w:eastAsia="en-US"/>
        </w:rPr>
        <w:t>Якубова</w:t>
      </w:r>
      <w:proofErr w:type="spellEnd"/>
      <w:r w:rsidRPr="00520861">
        <w:rPr>
          <w:rFonts w:eastAsiaTheme="minorHAnsi"/>
          <w:sz w:val="28"/>
          <w:szCs w:val="28"/>
          <w:lang w:eastAsia="en-US"/>
        </w:rPr>
        <w:t xml:space="preserve"> ІІ. Експериментальне вивчення впливу </w:t>
      </w:r>
      <w:proofErr w:type="spellStart"/>
      <w:r w:rsidRPr="00520861">
        <w:rPr>
          <w:rFonts w:eastAsiaTheme="minorHAnsi"/>
          <w:sz w:val="28"/>
          <w:szCs w:val="28"/>
          <w:lang w:eastAsia="en-US"/>
        </w:rPr>
        <w:t>гіперхолестеринової</w:t>
      </w:r>
      <w:proofErr w:type="spellEnd"/>
      <w:r w:rsidRPr="00520861">
        <w:rPr>
          <w:rFonts w:eastAsiaTheme="minorHAnsi"/>
          <w:sz w:val="28"/>
          <w:szCs w:val="28"/>
          <w:lang w:eastAsia="en-US"/>
        </w:rPr>
        <w:t xml:space="preserve"> дієти на зачатки зубів нижньої щелепи в ембріонів </w:t>
      </w:r>
      <w:proofErr w:type="spellStart"/>
      <w:r w:rsidRPr="00520861">
        <w:rPr>
          <w:rFonts w:eastAsiaTheme="minorHAnsi"/>
          <w:sz w:val="28"/>
          <w:szCs w:val="28"/>
          <w:lang w:eastAsia="en-US"/>
        </w:rPr>
        <w:t>мишей</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Сучасна </w:t>
      </w:r>
      <w:r w:rsidR="003868A2" w:rsidRPr="00520861">
        <w:rPr>
          <w:rFonts w:eastAsiaTheme="minorHAnsi"/>
          <w:i/>
          <w:sz w:val="28"/>
          <w:szCs w:val="28"/>
          <w:lang w:eastAsia="en-US"/>
        </w:rPr>
        <w:br/>
      </w:r>
      <w:r w:rsidRPr="00520861">
        <w:rPr>
          <w:rFonts w:eastAsiaTheme="minorHAnsi"/>
          <w:i/>
          <w:sz w:val="28"/>
          <w:szCs w:val="28"/>
          <w:lang w:eastAsia="en-US"/>
        </w:rPr>
        <w:t>стоматологія</w:t>
      </w:r>
      <w:r w:rsidRPr="00520861">
        <w:rPr>
          <w:rFonts w:eastAsiaTheme="minorHAnsi"/>
          <w:sz w:val="28"/>
          <w:szCs w:val="28"/>
          <w:lang w:eastAsia="en-US"/>
        </w:rPr>
        <w:t xml:space="preserve">. 2018;(3): 95–99. </w:t>
      </w:r>
      <w:r w:rsidRPr="00520861">
        <w:rPr>
          <w:rFonts w:eastAsiaTheme="minorHAnsi"/>
          <w:sz w:val="28"/>
          <w:szCs w:val="28"/>
          <w:lang w:val="ru-RU" w:eastAsia="en-US"/>
        </w:rPr>
        <w:t xml:space="preserve">Доступно на: </w:t>
      </w:r>
      <w:r w:rsidRPr="00520861">
        <w:rPr>
          <w:rFonts w:eastAsiaTheme="minorHAnsi"/>
          <w:sz w:val="28"/>
          <w:szCs w:val="28"/>
          <w:lang w:eastAsia="en-US"/>
        </w:rPr>
        <w:t>http://nbuv.gov.ua/UJRN/ss_2018_3_20.</w:t>
      </w:r>
    </w:p>
    <w:p w14:paraId="2AE0DE8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Кузьмина ЛП, </w:t>
      </w:r>
      <w:proofErr w:type="spellStart"/>
      <w:r w:rsidRPr="00520861">
        <w:rPr>
          <w:rFonts w:eastAsiaTheme="minorHAnsi"/>
          <w:sz w:val="28"/>
          <w:szCs w:val="28"/>
          <w:lang w:eastAsia="en-US"/>
        </w:rPr>
        <w:t>Хотулева</w:t>
      </w:r>
      <w:proofErr w:type="spellEnd"/>
      <w:r w:rsidRPr="00520861">
        <w:rPr>
          <w:rFonts w:eastAsiaTheme="minorHAnsi"/>
          <w:sz w:val="28"/>
          <w:szCs w:val="28"/>
          <w:lang w:eastAsia="en-US"/>
        </w:rPr>
        <w:t xml:space="preserve"> АГ. </w:t>
      </w:r>
      <w:proofErr w:type="spellStart"/>
      <w:r w:rsidRPr="00520861">
        <w:rPr>
          <w:rFonts w:eastAsiaTheme="minorHAnsi"/>
          <w:sz w:val="28"/>
          <w:szCs w:val="28"/>
          <w:lang w:eastAsia="en-US"/>
        </w:rPr>
        <w:t>Адипокины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как</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маркеры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метаболических</w:t>
      </w:r>
      <w:proofErr w:type="spellEnd"/>
      <w:r w:rsidRPr="00520861">
        <w:rPr>
          <w:rFonts w:eastAsiaTheme="minorHAnsi"/>
          <w:sz w:val="28"/>
          <w:szCs w:val="28"/>
          <w:lang w:eastAsia="en-US"/>
        </w:rPr>
        <w:t xml:space="preserve"> нарушений при </w:t>
      </w:r>
      <w:proofErr w:type="spellStart"/>
      <w:r w:rsidRPr="00520861">
        <w:rPr>
          <w:rFonts w:eastAsiaTheme="minorHAnsi"/>
          <w:sz w:val="28"/>
          <w:szCs w:val="28"/>
          <w:lang w:eastAsia="en-US"/>
        </w:rPr>
        <w:t>профессиональной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бронхиальной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астме</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Международный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научно-исследовательский</w:t>
      </w:r>
      <w:proofErr w:type="spellEnd"/>
      <w:r w:rsidRPr="00520861">
        <w:rPr>
          <w:rFonts w:eastAsiaTheme="minorHAnsi"/>
          <w:i/>
          <w:sz w:val="28"/>
          <w:szCs w:val="28"/>
          <w:lang w:eastAsia="en-US"/>
        </w:rPr>
        <w:t xml:space="preserve"> журнал</w:t>
      </w:r>
      <w:r w:rsidRPr="00520861">
        <w:rPr>
          <w:rFonts w:eastAsiaTheme="minorHAnsi"/>
          <w:sz w:val="28"/>
          <w:szCs w:val="28"/>
          <w:lang w:eastAsia="en-US"/>
        </w:rPr>
        <w:t>. 2016</w:t>
      </w:r>
      <w:r w:rsidRPr="00520861">
        <w:rPr>
          <w:rFonts w:eastAsiaTheme="minorHAnsi"/>
          <w:sz w:val="28"/>
          <w:szCs w:val="28"/>
          <w:lang w:val="ru-RU" w:eastAsia="en-US"/>
        </w:rPr>
        <w:t>;</w:t>
      </w:r>
      <w:r w:rsidRPr="00520861">
        <w:rPr>
          <w:rFonts w:eastAsiaTheme="minorHAnsi"/>
          <w:sz w:val="28"/>
          <w:szCs w:val="28"/>
          <w:lang w:eastAsia="en-US"/>
        </w:rPr>
        <w:t>54(12</w:t>
      </w:r>
      <w:r w:rsidRPr="00520861">
        <w:rPr>
          <w:rFonts w:eastAsiaTheme="minorHAnsi"/>
          <w:sz w:val="28"/>
          <w:szCs w:val="28"/>
          <w:lang w:val="ru-RU" w:eastAsia="en-US"/>
        </w:rPr>
        <w:t>/5</w:t>
      </w:r>
      <w:r w:rsidRPr="00520861">
        <w:rPr>
          <w:rFonts w:eastAsiaTheme="minorHAnsi"/>
          <w:sz w:val="28"/>
          <w:szCs w:val="28"/>
          <w:lang w:eastAsia="en-US"/>
        </w:rPr>
        <w:t>)</w:t>
      </w:r>
      <w:r w:rsidRPr="00520861">
        <w:rPr>
          <w:rFonts w:eastAsiaTheme="minorHAnsi"/>
          <w:sz w:val="28"/>
          <w:szCs w:val="28"/>
          <w:lang w:val="ru-RU" w:eastAsia="en-US"/>
        </w:rPr>
        <w:t>:</w:t>
      </w:r>
      <w:r w:rsidRPr="00520861">
        <w:rPr>
          <w:rFonts w:eastAsiaTheme="minorHAnsi"/>
          <w:sz w:val="28"/>
          <w:szCs w:val="28"/>
          <w:lang w:eastAsia="en-US"/>
        </w:rPr>
        <w:t xml:space="preserve"> 100</w:t>
      </w:r>
      <w:r w:rsidRPr="00520861">
        <w:rPr>
          <w:rFonts w:eastAsiaTheme="minorHAnsi"/>
          <w:sz w:val="28"/>
          <w:szCs w:val="28"/>
          <w:lang w:val="ru-RU" w:eastAsia="en-US"/>
        </w:rPr>
        <w:t>–</w:t>
      </w:r>
      <w:r w:rsidRPr="00520861">
        <w:rPr>
          <w:rFonts w:eastAsiaTheme="minorHAnsi"/>
          <w:sz w:val="28"/>
          <w:szCs w:val="28"/>
          <w:lang w:eastAsia="en-US"/>
        </w:rPr>
        <w:t xml:space="preserve">102. </w:t>
      </w:r>
      <w:r w:rsidRPr="00520861">
        <w:rPr>
          <w:rFonts w:eastAsiaTheme="minorHAnsi"/>
          <w:sz w:val="28"/>
          <w:szCs w:val="28"/>
          <w:lang w:val="ru-RU" w:eastAsia="en-US"/>
        </w:rPr>
        <w:t>Доступно на:</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10.18454/IRJ.2016.54.143</w:t>
      </w:r>
      <w:r w:rsidRPr="00520861">
        <w:rPr>
          <w:rFonts w:eastAsiaTheme="minorHAnsi"/>
          <w:sz w:val="28"/>
          <w:szCs w:val="28"/>
          <w:lang w:val="ru-RU" w:eastAsia="en-US"/>
        </w:rPr>
        <w:t>.</w:t>
      </w:r>
    </w:p>
    <w:p w14:paraId="0FC636E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Кузьмина ЭМ. </w:t>
      </w:r>
      <w:proofErr w:type="spellStart"/>
      <w:r w:rsidRPr="00520861">
        <w:rPr>
          <w:rFonts w:eastAsiaTheme="minorHAnsi"/>
          <w:i/>
          <w:sz w:val="28"/>
          <w:szCs w:val="28"/>
          <w:lang w:eastAsia="en-US"/>
        </w:rPr>
        <w:t>Профилактика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стоматологических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заболеваний</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Москва: </w:t>
      </w:r>
      <w:r w:rsidR="003868A2" w:rsidRPr="00520861">
        <w:rPr>
          <w:rFonts w:eastAsiaTheme="minorHAnsi"/>
          <w:sz w:val="28"/>
          <w:szCs w:val="28"/>
          <w:lang w:eastAsia="en-US"/>
        </w:rPr>
        <w:br/>
      </w:r>
      <w:r w:rsidRPr="00520861">
        <w:rPr>
          <w:rFonts w:eastAsiaTheme="minorHAnsi"/>
          <w:sz w:val="28"/>
          <w:szCs w:val="28"/>
          <w:lang w:eastAsia="en-US"/>
        </w:rPr>
        <w:t>Тонга-</w:t>
      </w:r>
      <w:proofErr w:type="spellStart"/>
      <w:r w:rsidRPr="00520861">
        <w:rPr>
          <w:rFonts w:eastAsiaTheme="minorHAnsi"/>
          <w:sz w:val="28"/>
          <w:szCs w:val="28"/>
          <w:lang w:eastAsia="en-US"/>
        </w:rPr>
        <w:t>принт</w:t>
      </w:r>
      <w:proofErr w:type="spellEnd"/>
      <w:r w:rsidRPr="00520861">
        <w:rPr>
          <w:rFonts w:eastAsiaTheme="minorHAnsi"/>
          <w:sz w:val="28"/>
          <w:szCs w:val="28"/>
          <w:lang w:eastAsia="en-US"/>
        </w:rPr>
        <w:t>; 2001. 216 с.</w:t>
      </w:r>
    </w:p>
    <w:p w14:paraId="42348BB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Куроєдова</w:t>
      </w:r>
      <w:proofErr w:type="spellEnd"/>
      <w:r w:rsidRPr="00520861">
        <w:rPr>
          <w:rFonts w:eastAsiaTheme="minorHAnsi"/>
          <w:sz w:val="28"/>
          <w:szCs w:val="28"/>
          <w:lang w:eastAsia="en-US"/>
        </w:rPr>
        <w:t xml:space="preserve"> ВД. </w:t>
      </w:r>
      <w:r w:rsidRPr="00520861">
        <w:rPr>
          <w:rFonts w:eastAsiaTheme="minorHAnsi"/>
          <w:i/>
          <w:sz w:val="28"/>
          <w:szCs w:val="28"/>
          <w:lang w:eastAsia="en-US"/>
        </w:rPr>
        <w:t>Комплексна оцінка хвороби «</w:t>
      </w:r>
      <w:proofErr w:type="spellStart"/>
      <w:r w:rsidRPr="00520861">
        <w:rPr>
          <w:rFonts w:eastAsiaTheme="minorHAnsi"/>
          <w:i/>
          <w:sz w:val="28"/>
          <w:szCs w:val="28"/>
          <w:lang w:eastAsia="en-US"/>
        </w:rPr>
        <w:t>зубощелепна</w:t>
      </w:r>
      <w:proofErr w:type="spellEnd"/>
      <w:r w:rsidRPr="00520861">
        <w:rPr>
          <w:rFonts w:eastAsiaTheme="minorHAnsi"/>
          <w:i/>
          <w:sz w:val="28"/>
          <w:szCs w:val="28"/>
          <w:lang w:eastAsia="en-US"/>
        </w:rPr>
        <w:t xml:space="preserve"> аномалія» та прогноз лікування </w:t>
      </w:r>
      <w:proofErr w:type="spellStart"/>
      <w:r w:rsidRPr="00520861">
        <w:rPr>
          <w:rFonts w:eastAsiaTheme="minorHAnsi"/>
          <w:i/>
          <w:sz w:val="28"/>
          <w:szCs w:val="28"/>
          <w:lang w:eastAsia="en-US"/>
        </w:rPr>
        <w:t>ортодонтичних</w:t>
      </w:r>
      <w:proofErr w:type="spellEnd"/>
      <w:r w:rsidRPr="00520861">
        <w:rPr>
          <w:rFonts w:eastAsiaTheme="minorHAnsi"/>
          <w:i/>
          <w:sz w:val="28"/>
          <w:szCs w:val="28"/>
          <w:lang w:eastAsia="en-US"/>
        </w:rPr>
        <w:t xml:space="preserve"> пацієнтів</w:t>
      </w:r>
      <w:r w:rsidRPr="00520861">
        <w:rPr>
          <w:rFonts w:eastAsiaTheme="minorHAnsi"/>
          <w:sz w:val="28"/>
          <w:szCs w:val="28"/>
          <w:lang w:eastAsia="en-US"/>
        </w:rPr>
        <w:t xml:space="preserve"> </w:t>
      </w:r>
      <w:r w:rsidRPr="00520861">
        <w:rPr>
          <w:rFonts w:eastAsiaTheme="minorHAnsi"/>
          <w:iCs/>
          <w:sz w:val="28"/>
          <w:szCs w:val="28"/>
          <w:lang w:eastAsia="en-US"/>
        </w:rPr>
        <w:t>[автореферат дисертації]</w:t>
      </w:r>
      <w:r w:rsidRPr="00520861">
        <w:rPr>
          <w:rFonts w:eastAsiaTheme="minorHAnsi"/>
          <w:sz w:val="28"/>
          <w:szCs w:val="28"/>
          <w:lang w:eastAsia="en-US"/>
        </w:rPr>
        <w:t xml:space="preserve">. Полтава: </w:t>
      </w:r>
      <w:proofErr w:type="spellStart"/>
      <w:r w:rsidRPr="00520861">
        <w:rPr>
          <w:rFonts w:eastAsiaTheme="minorHAnsi"/>
          <w:sz w:val="28"/>
          <w:szCs w:val="28"/>
          <w:lang w:eastAsia="en-US"/>
        </w:rPr>
        <w:t>Вищ</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держ</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навч</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закл</w:t>
      </w:r>
      <w:proofErr w:type="spellEnd"/>
      <w:r w:rsidRPr="00520861">
        <w:rPr>
          <w:rFonts w:eastAsiaTheme="minorHAnsi"/>
          <w:sz w:val="28"/>
          <w:szCs w:val="28"/>
          <w:lang w:eastAsia="en-US"/>
        </w:rPr>
        <w:t>. України "</w:t>
      </w:r>
      <w:proofErr w:type="spellStart"/>
      <w:r w:rsidRPr="00520861">
        <w:rPr>
          <w:rFonts w:eastAsiaTheme="minorHAnsi"/>
          <w:sz w:val="28"/>
          <w:szCs w:val="28"/>
          <w:lang w:eastAsia="en-US"/>
        </w:rPr>
        <w:t>Укр</w:t>
      </w:r>
      <w:proofErr w:type="spellEnd"/>
      <w:r w:rsidRPr="00520861">
        <w:rPr>
          <w:rFonts w:eastAsiaTheme="minorHAnsi"/>
          <w:sz w:val="28"/>
          <w:szCs w:val="28"/>
          <w:lang w:eastAsia="en-US"/>
        </w:rPr>
        <w:t xml:space="preserve">. мед. </w:t>
      </w:r>
      <w:proofErr w:type="spellStart"/>
      <w:r w:rsidRPr="00520861">
        <w:rPr>
          <w:rFonts w:eastAsiaTheme="minorHAnsi"/>
          <w:sz w:val="28"/>
          <w:szCs w:val="28"/>
          <w:lang w:eastAsia="en-US"/>
        </w:rPr>
        <w:t>стоматол</w:t>
      </w:r>
      <w:proofErr w:type="spellEnd"/>
      <w:r w:rsidRPr="00520861">
        <w:rPr>
          <w:rFonts w:eastAsiaTheme="minorHAnsi"/>
          <w:sz w:val="28"/>
          <w:szCs w:val="28"/>
          <w:lang w:eastAsia="en-US"/>
        </w:rPr>
        <w:t xml:space="preserve">. акад."; </w:t>
      </w:r>
      <w:r w:rsidRPr="00520861">
        <w:rPr>
          <w:rFonts w:eastAsiaTheme="minorHAnsi"/>
          <w:sz w:val="28"/>
          <w:szCs w:val="28"/>
          <w:lang w:val="ru-RU" w:eastAsia="en-US"/>
        </w:rPr>
        <w:t>1999</w:t>
      </w:r>
      <w:r w:rsidRPr="00520861">
        <w:rPr>
          <w:rFonts w:eastAsiaTheme="minorHAnsi"/>
          <w:sz w:val="28"/>
          <w:szCs w:val="28"/>
          <w:lang w:eastAsia="en-US"/>
        </w:rPr>
        <w:t>. 3</w:t>
      </w:r>
      <w:r w:rsidRPr="00520861">
        <w:rPr>
          <w:rFonts w:eastAsiaTheme="minorHAnsi"/>
          <w:sz w:val="28"/>
          <w:szCs w:val="28"/>
          <w:lang w:val="ru-RU" w:eastAsia="en-US"/>
        </w:rPr>
        <w:t>2</w:t>
      </w:r>
      <w:r w:rsidRPr="00520861">
        <w:rPr>
          <w:rFonts w:eastAsiaTheme="minorHAnsi"/>
          <w:sz w:val="28"/>
          <w:szCs w:val="28"/>
          <w:lang w:eastAsia="en-US"/>
        </w:rPr>
        <w:t xml:space="preserve"> с.</w:t>
      </w:r>
    </w:p>
    <w:p w14:paraId="74E1B35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ru-RU" w:eastAsia="en-US"/>
        </w:rPr>
        <w:t xml:space="preserve">Кухаренко ЮВ, Попова ЕС. "Роль микроциркуляторных нарушений в </w:t>
      </w:r>
      <w:proofErr w:type="spellStart"/>
      <w:r w:rsidRPr="00520861">
        <w:rPr>
          <w:rFonts w:eastAsiaTheme="minorHAnsi"/>
          <w:sz w:val="28"/>
          <w:szCs w:val="28"/>
          <w:lang w:val="ru-RU" w:eastAsia="en-US"/>
        </w:rPr>
        <w:t>этиопатогенезе</w:t>
      </w:r>
      <w:proofErr w:type="spellEnd"/>
      <w:r w:rsidRPr="00520861">
        <w:rPr>
          <w:rFonts w:eastAsiaTheme="minorHAnsi"/>
          <w:sz w:val="28"/>
          <w:szCs w:val="28"/>
          <w:lang w:val="ru-RU" w:eastAsia="en-US"/>
        </w:rPr>
        <w:t xml:space="preserve"> заболеваний пародонта у пациентов с патологией прикуса (краткий литературный обзор). </w:t>
      </w:r>
      <w:r w:rsidRPr="00520861">
        <w:rPr>
          <w:rFonts w:eastAsiaTheme="minorHAnsi"/>
          <w:i/>
          <w:sz w:val="28"/>
          <w:szCs w:val="28"/>
          <w:lang w:val="ru-RU" w:eastAsia="en-US"/>
        </w:rPr>
        <w:t>Вестник новых медицинских технологий</w:t>
      </w:r>
      <w:r w:rsidRPr="00520861">
        <w:rPr>
          <w:rFonts w:eastAsiaTheme="minorHAnsi"/>
          <w:sz w:val="28"/>
          <w:szCs w:val="28"/>
          <w:lang w:val="ru-RU" w:eastAsia="en-US"/>
        </w:rPr>
        <w:t xml:space="preserve">. 2013;20(4): 176–180. </w:t>
      </w:r>
      <w:r w:rsidR="003868A2" w:rsidRPr="00520861">
        <w:rPr>
          <w:rFonts w:eastAsiaTheme="minorHAnsi"/>
          <w:sz w:val="28"/>
          <w:szCs w:val="28"/>
          <w:lang w:val="ru-RU" w:eastAsia="en-US"/>
        </w:rPr>
        <w:br/>
      </w:r>
      <w:r w:rsidRPr="00520861">
        <w:rPr>
          <w:rFonts w:eastAsiaTheme="minorHAnsi"/>
          <w:sz w:val="28"/>
          <w:szCs w:val="28"/>
          <w:lang w:val="ru-RU" w:eastAsia="en-US"/>
        </w:rPr>
        <w:t>Доступно на:</w:t>
      </w:r>
      <w:r w:rsidRPr="00520861">
        <w:rPr>
          <w:rFonts w:eastAsiaTheme="minorHAnsi"/>
          <w:sz w:val="28"/>
          <w:szCs w:val="28"/>
          <w:lang w:eastAsia="en-US"/>
        </w:rPr>
        <w:t xml:space="preserve"> DOI: 10.12737/2756</w:t>
      </w:r>
      <w:r w:rsidRPr="00520861">
        <w:rPr>
          <w:rFonts w:eastAsiaTheme="minorHAnsi"/>
          <w:sz w:val="28"/>
          <w:szCs w:val="28"/>
          <w:lang w:val="ru-RU" w:eastAsia="en-US"/>
        </w:rPr>
        <w:t>.</w:t>
      </w:r>
    </w:p>
    <w:p w14:paraId="11AAF19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Куцевляк</w:t>
      </w:r>
      <w:proofErr w:type="spellEnd"/>
      <w:r w:rsidRPr="00520861">
        <w:rPr>
          <w:rFonts w:eastAsiaTheme="minorHAnsi"/>
          <w:sz w:val="28"/>
          <w:szCs w:val="28"/>
          <w:lang w:eastAsia="en-US"/>
        </w:rPr>
        <w:t xml:space="preserve"> ВФ, </w:t>
      </w:r>
      <w:proofErr w:type="spellStart"/>
      <w:r w:rsidRPr="00520861">
        <w:rPr>
          <w:rFonts w:eastAsiaTheme="minorHAnsi"/>
          <w:sz w:val="28"/>
          <w:szCs w:val="28"/>
          <w:lang w:eastAsia="en-US"/>
        </w:rPr>
        <w:t>Лахтін</w:t>
      </w:r>
      <w:proofErr w:type="spellEnd"/>
      <w:r w:rsidRPr="00520861">
        <w:rPr>
          <w:rFonts w:eastAsiaTheme="minorHAnsi"/>
          <w:sz w:val="28"/>
          <w:szCs w:val="28"/>
          <w:lang w:eastAsia="en-US"/>
        </w:rPr>
        <w:t xml:space="preserve"> ЮВ. Інтенсивність карієсу зубів серед населення, що проживає в умовах підвищеного вмісту солей важких металів. </w:t>
      </w:r>
      <w:r w:rsidRPr="00520861">
        <w:rPr>
          <w:rFonts w:eastAsiaTheme="minorHAnsi"/>
          <w:i/>
          <w:sz w:val="28"/>
          <w:szCs w:val="28"/>
          <w:lang w:eastAsia="en-US"/>
        </w:rPr>
        <w:t>Новини стоматології</w:t>
      </w:r>
      <w:r w:rsidRPr="00520861">
        <w:rPr>
          <w:rFonts w:eastAsiaTheme="minorHAnsi"/>
          <w:sz w:val="28"/>
          <w:szCs w:val="28"/>
          <w:lang w:eastAsia="en-US"/>
        </w:rPr>
        <w:t xml:space="preserve">. 2011;(3): 58–60. </w:t>
      </w:r>
      <w:r w:rsidRPr="00520861">
        <w:rPr>
          <w:rFonts w:eastAsiaTheme="minorHAnsi"/>
          <w:sz w:val="28"/>
          <w:szCs w:val="28"/>
          <w:lang w:val="ru-RU" w:eastAsia="en-US"/>
        </w:rPr>
        <w:t>Доступно на:</w:t>
      </w:r>
      <w:r w:rsidRPr="00520861">
        <w:rPr>
          <w:rFonts w:eastAsiaTheme="minorHAnsi"/>
          <w:sz w:val="28"/>
          <w:szCs w:val="28"/>
          <w:lang w:eastAsia="en-US"/>
        </w:rPr>
        <w:t xml:space="preserve"> http://nbuv.gov.ua/UJRN/Ns_2011_3_13.</w:t>
      </w:r>
    </w:p>
    <w:p w14:paraId="660322F7"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r w:rsidRPr="00520861">
        <w:rPr>
          <w:rFonts w:eastAsia="Calibri"/>
          <w:sz w:val="28"/>
          <w:szCs w:val="28"/>
          <w:lang w:eastAsia="en-US"/>
        </w:rPr>
        <w:t xml:space="preserve">Лагода ЛС. </w:t>
      </w:r>
      <w:r w:rsidRPr="00520861">
        <w:rPr>
          <w:rFonts w:eastAsia="Calibri"/>
          <w:i/>
          <w:sz w:val="28"/>
          <w:szCs w:val="28"/>
          <w:lang w:eastAsia="en-US"/>
        </w:rPr>
        <w:t>Обґрунтування профілактики карієсу зубів у дітей, які проживають в екологічно несприятливих умовах</w:t>
      </w:r>
      <w:r w:rsidRPr="00520861">
        <w:rPr>
          <w:rFonts w:eastAsia="Calibri"/>
          <w:sz w:val="28"/>
          <w:szCs w:val="28"/>
          <w:lang w:eastAsia="en-US"/>
        </w:rPr>
        <w:t xml:space="preserve"> </w:t>
      </w:r>
      <w:r w:rsidRPr="00520861">
        <w:rPr>
          <w:rFonts w:eastAsia="Calibri"/>
          <w:iCs/>
          <w:sz w:val="28"/>
          <w:szCs w:val="28"/>
          <w:lang w:eastAsia="en-US"/>
        </w:rPr>
        <w:t xml:space="preserve">[автореферат дисертації]. </w:t>
      </w:r>
      <w:r w:rsidRPr="00520861">
        <w:rPr>
          <w:rFonts w:eastAsia="Calibri"/>
          <w:sz w:val="28"/>
          <w:szCs w:val="28"/>
          <w:lang w:eastAsia="en-US"/>
        </w:rPr>
        <w:t xml:space="preserve">Львів: Львів. </w:t>
      </w:r>
      <w:proofErr w:type="spellStart"/>
      <w:r w:rsidRPr="00520861">
        <w:rPr>
          <w:rFonts w:eastAsia="Calibri"/>
          <w:sz w:val="28"/>
          <w:szCs w:val="28"/>
          <w:lang w:eastAsia="en-US"/>
        </w:rPr>
        <w:t>нац</w:t>
      </w:r>
      <w:proofErr w:type="spellEnd"/>
      <w:r w:rsidRPr="00520861">
        <w:rPr>
          <w:rFonts w:eastAsia="Calibri"/>
          <w:sz w:val="28"/>
          <w:szCs w:val="28"/>
          <w:lang w:eastAsia="en-US"/>
        </w:rPr>
        <w:t xml:space="preserve">. мед. ун-т ім. Данила Галицького; 2019. 200 </w:t>
      </w:r>
      <w:r w:rsidRPr="00520861">
        <w:rPr>
          <w:rFonts w:eastAsia="Calibri"/>
          <w:sz w:val="28"/>
          <w:szCs w:val="28"/>
          <w:lang w:val="en-US" w:eastAsia="en-US"/>
        </w:rPr>
        <w:t>c</w:t>
      </w:r>
      <w:r w:rsidRPr="00520861">
        <w:rPr>
          <w:rFonts w:eastAsia="Calibri"/>
          <w:sz w:val="28"/>
          <w:szCs w:val="28"/>
          <w:lang w:eastAsia="en-US"/>
        </w:rPr>
        <w:t>.</w:t>
      </w:r>
    </w:p>
    <w:p w14:paraId="21615A4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lastRenderedPageBreak/>
        <w:t>Лагода ЛС, Мусій-</w:t>
      </w:r>
      <w:proofErr w:type="spellStart"/>
      <w:r w:rsidRPr="00520861">
        <w:rPr>
          <w:rFonts w:eastAsiaTheme="minorHAnsi"/>
          <w:sz w:val="28"/>
          <w:szCs w:val="28"/>
          <w:lang w:eastAsia="en-US"/>
        </w:rPr>
        <w:t>Семенців</w:t>
      </w:r>
      <w:proofErr w:type="spellEnd"/>
      <w:r w:rsidRPr="00520861">
        <w:rPr>
          <w:rFonts w:eastAsiaTheme="minorHAnsi"/>
          <w:sz w:val="28"/>
          <w:szCs w:val="28"/>
          <w:lang w:eastAsia="en-US"/>
        </w:rPr>
        <w:t xml:space="preserve"> ХГ. Ураження зубів карієсом у дітей, які проживають на територіях із різним екологічним забрудненням</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Клінічна стоматологія</w:t>
      </w:r>
      <w:r w:rsidRPr="00520861">
        <w:rPr>
          <w:rFonts w:eastAsiaTheme="minorHAnsi"/>
          <w:sz w:val="28"/>
          <w:szCs w:val="28"/>
          <w:lang w:eastAsia="en-US"/>
        </w:rPr>
        <w:t>. 2017</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66–72. </w:t>
      </w:r>
      <w:r w:rsidRPr="00520861">
        <w:rPr>
          <w:rFonts w:eastAsiaTheme="minorHAnsi"/>
          <w:sz w:val="28"/>
          <w:szCs w:val="28"/>
          <w:lang w:val="ru-RU" w:eastAsia="en-US"/>
        </w:rPr>
        <w:t>Доступно на:</w:t>
      </w:r>
      <w:r w:rsidRPr="00520861">
        <w:rPr>
          <w:rFonts w:eastAsiaTheme="minorHAnsi"/>
          <w:sz w:val="28"/>
          <w:szCs w:val="28"/>
          <w:lang w:eastAsia="en-US"/>
        </w:rPr>
        <w:t xml:space="preserve"> http://nbuv.gov.ua/UJRN/klct_2017_4_11.</w:t>
      </w:r>
    </w:p>
    <w:p w14:paraId="2ED091D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Лапач</w:t>
      </w:r>
      <w:proofErr w:type="spellEnd"/>
      <w:r w:rsidRPr="00520861">
        <w:rPr>
          <w:rFonts w:eastAsiaTheme="minorHAnsi"/>
          <w:sz w:val="28"/>
          <w:szCs w:val="28"/>
          <w:lang w:eastAsia="en-US"/>
        </w:rPr>
        <w:t xml:space="preserve"> СН, Чубенко АВ, Бабич ПН. </w:t>
      </w:r>
      <w:proofErr w:type="spellStart"/>
      <w:r w:rsidRPr="00520861">
        <w:rPr>
          <w:rFonts w:eastAsiaTheme="minorHAnsi"/>
          <w:i/>
          <w:sz w:val="28"/>
          <w:szCs w:val="28"/>
          <w:lang w:eastAsia="en-US"/>
        </w:rPr>
        <w:t>Статистические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методы</w:t>
      </w:r>
      <w:proofErr w:type="spellEnd"/>
      <w:r w:rsidRPr="00520861">
        <w:rPr>
          <w:rFonts w:eastAsiaTheme="minorHAnsi"/>
          <w:i/>
          <w:sz w:val="28"/>
          <w:szCs w:val="28"/>
          <w:lang w:eastAsia="en-US"/>
        </w:rPr>
        <w:t xml:space="preserve"> в медико-</w:t>
      </w:r>
      <w:proofErr w:type="spellStart"/>
      <w:r w:rsidRPr="00520861">
        <w:rPr>
          <w:rFonts w:eastAsiaTheme="minorHAnsi"/>
          <w:i/>
          <w:sz w:val="28"/>
          <w:szCs w:val="28"/>
          <w:lang w:eastAsia="en-US"/>
        </w:rPr>
        <w:t>биологических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исследованиях</w:t>
      </w:r>
      <w:proofErr w:type="spellEnd"/>
      <w:r w:rsidRPr="00520861">
        <w:rPr>
          <w:rFonts w:eastAsiaTheme="minorHAnsi"/>
          <w:i/>
          <w:sz w:val="28"/>
          <w:szCs w:val="28"/>
          <w:lang w:eastAsia="en-US"/>
        </w:rPr>
        <w:t xml:space="preserve"> с </w:t>
      </w:r>
      <w:proofErr w:type="spellStart"/>
      <w:r w:rsidRPr="00520861">
        <w:rPr>
          <w:rFonts w:eastAsiaTheme="minorHAnsi"/>
          <w:i/>
          <w:sz w:val="28"/>
          <w:szCs w:val="28"/>
          <w:lang w:eastAsia="en-US"/>
        </w:rPr>
        <w:t>использованием</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Excel</w:t>
      </w:r>
      <w:r w:rsidRPr="00520861">
        <w:rPr>
          <w:rFonts w:eastAsiaTheme="minorHAnsi"/>
          <w:sz w:val="28"/>
          <w:szCs w:val="28"/>
          <w:lang w:val="ru-RU" w:eastAsia="en-US"/>
        </w:rPr>
        <w:t>. Киев: Морион, 2001. 408 с.</w:t>
      </w:r>
    </w:p>
    <w:p w14:paraId="12777BE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Лебідь ОІ, Дуда КМ. Особливості клінічних проявів ураження тканин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у підлітків на тлі аліментарно-конституціонального ожиріння. </w:t>
      </w:r>
      <w:proofErr w:type="spellStart"/>
      <w:r w:rsidRPr="00520861">
        <w:rPr>
          <w:rFonts w:eastAsiaTheme="minorHAnsi"/>
          <w:i/>
          <w:sz w:val="28"/>
          <w:szCs w:val="28"/>
          <w:lang w:val="ru-RU" w:eastAsia="en-US"/>
        </w:rPr>
        <w:t>Клінічна</w:t>
      </w:r>
      <w:proofErr w:type="spellEnd"/>
      <w:r w:rsidR="003868A2" w:rsidRPr="00520861">
        <w:rPr>
          <w:rFonts w:eastAsiaTheme="minorHAnsi"/>
          <w:i/>
          <w:sz w:val="28"/>
          <w:szCs w:val="28"/>
          <w:lang w:val="ru-RU" w:eastAsia="en-US"/>
        </w:rPr>
        <w:br/>
      </w:r>
      <w:proofErr w:type="spellStart"/>
      <w:r w:rsidRPr="00520861">
        <w:rPr>
          <w:rFonts w:eastAsiaTheme="minorHAnsi"/>
          <w:i/>
          <w:sz w:val="28"/>
          <w:szCs w:val="28"/>
          <w:lang w:val="ru-RU" w:eastAsia="en-US"/>
        </w:rPr>
        <w:t>стоматологія</w:t>
      </w:r>
      <w:proofErr w:type="spellEnd"/>
      <w:r w:rsidRPr="00520861">
        <w:rPr>
          <w:rFonts w:eastAsiaTheme="minorHAnsi"/>
          <w:sz w:val="28"/>
          <w:szCs w:val="28"/>
          <w:lang w:eastAsia="en-US"/>
        </w:rPr>
        <w:t>. 2017;</w:t>
      </w:r>
      <w:r w:rsidRPr="00520861">
        <w:rPr>
          <w:rFonts w:eastAsiaTheme="minorHAnsi"/>
          <w:sz w:val="28"/>
          <w:szCs w:val="28"/>
          <w:lang w:val="ru-RU" w:eastAsia="en-US"/>
        </w:rPr>
        <w:t>(</w:t>
      </w:r>
      <w:r w:rsidRPr="00520861">
        <w:rPr>
          <w:rFonts w:eastAsiaTheme="minorHAnsi"/>
          <w:sz w:val="28"/>
          <w:szCs w:val="28"/>
          <w:lang w:eastAsia="en-US"/>
        </w:rPr>
        <w:t>3</w:t>
      </w:r>
      <w:r w:rsidRPr="00520861">
        <w:rPr>
          <w:rFonts w:eastAsiaTheme="minorHAnsi"/>
          <w:sz w:val="28"/>
          <w:szCs w:val="28"/>
          <w:lang w:val="ru-RU" w:eastAsia="en-US"/>
        </w:rPr>
        <w:t>):</w:t>
      </w:r>
      <w:r w:rsidRPr="00520861">
        <w:rPr>
          <w:rFonts w:eastAsiaTheme="minorHAnsi"/>
          <w:sz w:val="28"/>
          <w:szCs w:val="28"/>
          <w:lang w:eastAsia="en-US"/>
        </w:rPr>
        <w:t xml:space="preserve"> 57–62.</w:t>
      </w:r>
    </w:p>
    <w:p w14:paraId="0CD86F5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Леус</w:t>
      </w:r>
      <w:proofErr w:type="spellEnd"/>
      <w:r w:rsidRPr="00520861">
        <w:rPr>
          <w:rFonts w:eastAsiaTheme="minorHAnsi"/>
          <w:sz w:val="28"/>
          <w:szCs w:val="28"/>
          <w:lang w:eastAsia="en-US"/>
        </w:rPr>
        <w:t xml:space="preserve"> ПА. </w:t>
      </w:r>
      <w:proofErr w:type="spellStart"/>
      <w:r w:rsidRPr="00520861">
        <w:rPr>
          <w:rFonts w:eastAsiaTheme="minorHAnsi"/>
          <w:i/>
          <w:sz w:val="28"/>
          <w:szCs w:val="28"/>
          <w:lang w:eastAsia="en-US"/>
        </w:rPr>
        <w:t>Диагностическое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значение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гомеостаза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слюны</w:t>
      </w:r>
      <w:proofErr w:type="spellEnd"/>
      <w:r w:rsidRPr="00520861">
        <w:rPr>
          <w:rFonts w:eastAsiaTheme="minorHAnsi"/>
          <w:i/>
          <w:sz w:val="28"/>
          <w:szCs w:val="28"/>
          <w:lang w:eastAsia="en-US"/>
        </w:rPr>
        <w:t xml:space="preserve"> в </w:t>
      </w:r>
      <w:proofErr w:type="spellStart"/>
      <w:r w:rsidRPr="00520861">
        <w:rPr>
          <w:rFonts w:eastAsiaTheme="minorHAnsi"/>
          <w:i/>
          <w:sz w:val="28"/>
          <w:szCs w:val="28"/>
          <w:lang w:eastAsia="en-US"/>
        </w:rPr>
        <w:t>клинике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терапевтической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стоматологии</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eastAsia="en-US"/>
        </w:rPr>
        <w:t>Минск</w:t>
      </w:r>
      <w:proofErr w:type="spellEnd"/>
      <w:r w:rsidRPr="00520861">
        <w:rPr>
          <w:rFonts w:eastAsiaTheme="minorHAnsi"/>
          <w:sz w:val="28"/>
          <w:szCs w:val="28"/>
          <w:lang w:eastAsia="en-US"/>
        </w:rPr>
        <w:t>: БГМУ</w:t>
      </w:r>
      <w:r w:rsidRPr="00520861">
        <w:rPr>
          <w:rFonts w:eastAsiaTheme="minorHAnsi"/>
          <w:sz w:val="28"/>
          <w:szCs w:val="28"/>
          <w:lang w:val="ru-RU" w:eastAsia="en-US"/>
        </w:rPr>
        <w:t>;</w:t>
      </w:r>
      <w:r w:rsidRPr="00520861">
        <w:rPr>
          <w:rFonts w:eastAsiaTheme="minorHAnsi"/>
          <w:sz w:val="28"/>
          <w:szCs w:val="28"/>
          <w:lang w:eastAsia="en-US"/>
        </w:rPr>
        <w:t xml:space="preserve"> 2011. 67 с.</w:t>
      </w:r>
    </w:p>
    <w:p w14:paraId="6633EEB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Лісовий ВМ, </w:t>
      </w:r>
      <w:proofErr w:type="spellStart"/>
      <w:r w:rsidRPr="00520861">
        <w:rPr>
          <w:rFonts w:eastAsiaTheme="minorHAnsi"/>
          <w:sz w:val="28"/>
          <w:szCs w:val="28"/>
          <w:lang w:eastAsia="en-US"/>
        </w:rPr>
        <w:t>Коробчанський</w:t>
      </w:r>
      <w:proofErr w:type="spellEnd"/>
      <w:r w:rsidRPr="00520861">
        <w:rPr>
          <w:rFonts w:eastAsiaTheme="minorHAnsi"/>
          <w:sz w:val="28"/>
          <w:szCs w:val="28"/>
          <w:lang w:eastAsia="en-US"/>
        </w:rPr>
        <w:t xml:space="preserve"> ВО, Воронцов МП, </w:t>
      </w:r>
      <w:proofErr w:type="spellStart"/>
      <w:r w:rsidRPr="00520861">
        <w:rPr>
          <w:rFonts w:eastAsiaTheme="minorHAnsi"/>
          <w:sz w:val="28"/>
          <w:szCs w:val="28"/>
          <w:lang w:eastAsia="en-US"/>
        </w:rPr>
        <w:t>Капустник</w:t>
      </w:r>
      <w:proofErr w:type="spellEnd"/>
      <w:r w:rsidRPr="00520861">
        <w:rPr>
          <w:rFonts w:eastAsiaTheme="minorHAnsi"/>
          <w:sz w:val="28"/>
          <w:szCs w:val="28"/>
          <w:lang w:eastAsia="en-US"/>
        </w:rPr>
        <w:t xml:space="preserve"> ВА, </w:t>
      </w:r>
      <w:proofErr w:type="spellStart"/>
      <w:r w:rsidRPr="00520861">
        <w:rPr>
          <w:rFonts w:eastAsiaTheme="minorHAnsi"/>
          <w:sz w:val="28"/>
          <w:szCs w:val="28"/>
          <w:lang w:eastAsia="en-US"/>
        </w:rPr>
        <w:t>Вітріщак</w:t>
      </w:r>
      <w:proofErr w:type="spellEnd"/>
      <w:r w:rsidRPr="00520861">
        <w:rPr>
          <w:rFonts w:eastAsiaTheme="minorHAnsi"/>
          <w:sz w:val="28"/>
          <w:szCs w:val="28"/>
          <w:lang w:eastAsia="en-US"/>
        </w:rPr>
        <w:t xml:space="preserve"> СВ. </w:t>
      </w:r>
      <w:r w:rsidRPr="00520861">
        <w:rPr>
          <w:rFonts w:eastAsiaTheme="minorHAnsi"/>
          <w:i/>
          <w:sz w:val="28"/>
          <w:szCs w:val="28"/>
          <w:lang w:eastAsia="en-US"/>
        </w:rPr>
        <w:t>Медицина граничних станів: 30-річний досвід психогігієнічних досліджень</w:t>
      </w:r>
      <w:r w:rsidRPr="00520861">
        <w:rPr>
          <w:rFonts w:eastAsiaTheme="minorHAnsi"/>
          <w:sz w:val="28"/>
          <w:szCs w:val="28"/>
          <w:lang w:eastAsia="en-US"/>
        </w:rPr>
        <w:t>. Одеса: Прес-кур’єр</w:t>
      </w:r>
      <w:r w:rsidRPr="00520861">
        <w:rPr>
          <w:rFonts w:eastAsiaTheme="minorHAnsi"/>
          <w:sz w:val="28"/>
          <w:szCs w:val="28"/>
          <w:lang w:val="ru-RU" w:eastAsia="en-US"/>
        </w:rPr>
        <w:t>;</w:t>
      </w:r>
      <w:r w:rsidRPr="00520861">
        <w:rPr>
          <w:rFonts w:eastAsiaTheme="minorHAnsi"/>
          <w:sz w:val="28"/>
          <w:szCs w:val="28"/>
          <w:lang w:eastAsia="en-US"/>
        </w:rPr>
        <w:t xml:space="preserve"> 2016. 518 с.</w:t>
      </w:r>
    </w:p>
    <w:p w14:paraId="715AA0D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Лубяная</w:t>
      </w:r>
      <w:proofErr w:type="spellEnd"/>
      <w:r w:rsidRPr="00520861">
        <w:rPr>
          <w:rFonts w:eastAsiaTheme="minorHAnsi"/>
          <w:sz w:val="28"/>
          <w:szCs w:val="28"/>
          <w:lang w:eastAsia="en-US"/>
        </w:rPr>
        <w:t xml:space="preserve"> СС, </w:t>
      </w:r>
      <w:proofErr w:type="spellStart"/>
      <w:r w:rsidRPr="00520861">
        <w:rPr>
          <w:rFonts w:eastAsiaTheme="minorHAnsi"/>
          <w:sz w:val="28"/>
          <w:szCs w:val="28"/>
          <w:lang w:eastAsia="en-US"/>
        </w:rPr>
        <w:t>Манищенков</w:t>
      </w:r>
      <w:proofErr w:type="spellEnd"/>
      <w:r w:rsidRPr="00520861">
        <w:rPr>
          <w:rFonts w:eastAsiaTheme="minorHAnsi"/>
          <w:sz w:val="28"/>
          <w:szCs w:val="28"/>
          <w:lang w:eastAsia="en-US"/>
        </w:rPr>
        <w:t xml:space="preserve"> СН. </w:t>
      </w:r>
      <w:proofErr w:type="spellStart"/>
      <w:r w:rsidRPr="00520861">
        <w:rPr>
          <w:rFonts w:eastAsiaTheme="minorHAnsi"/>
          <w:sz w:val="28"/>
          <w:szCs w:val="28"/>
          <w:lang w:eastAsia="en-US"/>
        </w:rPr>
        <w:t>Акушерские</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перинатальные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аспекты</w:t>
      </w:r>
      <w:proofErr w:type="spellEnd"/>
      <w:r w:rsidRPr="00520861">
        <w:rPr>
          <w:rFonts w:eastAsiaTheme="minorHAnsi"/>
          <w:sz w:val="28"/>
          <w:szCs w:val="28"/>
          <w:lang w:eastAsia="en-US"/>
        </w:rPr>
        <w:t xml:space="preserve"> крупного плода. </w:t>
      </w:r>
      <w:r w:rsidRPr="00520861">
        <w:rPr>
          <w:rFonts w:eastAsiaTheme="minorHAnsi"/>
          <w:i/>
          <w:sz w:val="28"/>
          <w:szCs w:val="28"/>
          <w:lang w:eastAsia="en-US"/>
        </w:rPr>
        <w:t xml:space="preserve">Український журнал екстремальної медицини імені </w:t>
      </w:r>
      <w:proofErr w:type="spellStart"/>
      <w:r w:rsidRPr="00520861">
        <w:rPr>
          <w:rFonts w:eastAsiaTheme="minorHAnsi"/>
          <w:i/>
          <w:sz w:val="28"/>
          <w:szCs w:val="28"/>
          <w:lang w:eastAsia="en-US"/>
        </w:rPr>
        <w:t>Г.О.Можаєва</w:t>
      </w:r>
      <w:proofErr w:type="spellEnd"/>
      <w:r w:rsidRPr="00520861">
        <w:rPr>
          <w:rFonts w:eastAsiaTheme="minorHAnsi"/>
          <w:sz w:val="28"/>
          <w:szCs w:val="28"/>
          <w:lang w:eastAsia="en-US"/>
        </w:rPr>
        <w:t>, 2011;12(4): 139–143.</w:t>
      </w:r>
    </w:p>
    <w:p w14:paraId="3CD99D0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Любченко ОВ, Северин ЛВ. Біохімічні показники ротової рідини дітей раннього віку з захворюваннями дихальної системи (ЗДС). </w:t>
      </w:r>
      <w:proofErr w:type="spellStart"/>
      <w:r w:rsidRPr="00520861">
        <w:rPr>
          <w:rFonts w:eastAsiaTheme="minorHAnsi"/>
          <w:i/>
          <w:sz w:val="28"/>
          <w:szCs w:val="28"/>
          <w:lang w:eastAsia="en-US"/>
        </w:rPr>
        <w:t>ScienceRise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Medical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Science</w:t>
      </w:r>
      <w:proofErr w:type="spellEnd"/>
      <w:r w:rsidRPr="00520861">
        <w:rPr>
          <w:rFonts w:eastAsiaTheme="minorHAnsi"/>
          <w:sz w:val="28"/>
          <w:szCs w:val="28"/>
          <w:lang w:eastAsia="en-US"/>
        </w:rPr>
        <w:t xml:space="preserve">. 2019;29(2): 41–44. </w:t>
      </w:r>
      <w:r w:rsidRPr="00520861">
        <w:rPr>
          <w:rFonts w:eastAsiaTheme="minorHAnsi"/>
          <w:sz w:val="28"/>
          <w:szCs w:val="28"/>
          <w:lang w:val="ru-RU" w:eastAsia="en-US"/>
        </w:rPr>
        <w:t>Доступно на:</w:t>
      </w:r>
      <w:r w:rsidRPr="00520861">
        <w:rPr>
          <w:rFonts w:eastAsiaTheme="minorHAnsi"/>
          <w:sz w:val="28"/>
          <w:szCs w:val="28"/>
          <w:lang w:val="en-US" w:eastAsia="en-US"/>
        </w:rPr>
        <w:t xml:space="preserve"> DOI</w:t>
      </w:r>
      <w:r w:rsidRPr="00520861">
        <w:rPr>
          <w:rFonts w:eastAsiaTheme="minorHAnsi"/>
          <w:sz w:val="28"/>
          <w:szCs w:val="28"/>
          <w:lang w:eastAsia="en-US"/>
        </w:rPr>
        <w:t>: 10.15587/2519-4798.2019.161854.</w:t>
      </w:r>
    </w:p>
    <w:p w14:paraId="036989C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Майлян</w:t>
      </w:r>
      <w:proofErr w:type="spellEnd"/>
      <w:r w:rsidRPr="00520861">
        <w:rPr>
          <w:rFonts w:eastAsiaTheme="minorHAnsi"/>
          <w:sz w:val="28"/>
          <w:szCs w:val="28"/>
          <w:lang w:eastAsia="en-US"/>
        </w:rPr>
        <w:t xml:space="preserve"> ЭА. </w:t>
      </w:r>
      <w:proofErr w:type="spellStart"/>
      <w:r w:rsidRPr="00520861">
        <w:rPr>
          <w:rFonts w:eastAsiaTheme="minorHAnsi"/>
          <w:sz w:val="28"/>
          <w:szCs w:val="28"/>
          <w:lang w:eastAsia="en-US"/>
        </w:rPr>
        <w:t>Ассоциации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полиморфизма</w:t>
      </w:r>
      <w:proofErr w:type="spellEnd"/>
      <w:r w:rsidRPr="00520861">
        <w:rPr>
          <w:rFonts w:eastAsiaTheme="minorHAnsi"/>
          <w:sz w:val="28"/>
          <w:szCs w:val="28"/>
          <w:lang w:eastAsia="en-US"/>
        </w:rPr>
        <w:t xml:space="preserve"> rs9594738 (</w:t>
      </w:r>
      <w:r w:rsidRPr="00520861">
        <w:rPr>
          <w:rFonts w:eastAsiaTheme="minorHAnsi"/>
          <w:sz w:val="28"/>
          <w:szCs w:val="28"/>
          <w:lang w:val="en-US" w:eastAsia="en-US"/>
        </w:rPr>
        <w:t>C</w:t>
      </w:r>
      <w:r w:rsidRPr="00520861">
        <w:rPr>
          <w:rFonts w:eastAsiaTheme="minorHAnsi"/>
          <w:sz w:val="28"/>
          <w:szCs w:val="28"/>
          <w:lang w:eastAsia="en-US"/>
        </w:rPr>
        <w:t>&gt;</w:t>
      </w:r>
      <w:r w:rsidRPr="00520861">
        <w:rPr>
          <w:rFonts w:eastAsiaTheme="minorHAnsi"/>
          <w:sz w:val="28"/>
          <w:szCs w:val="28"/>
          <w:lang w:val="en-US" w:eastAsia="en-US"/>
        </w:rPr>
        <w:t>T</w:t>
      </w:r>
      <w:r w:rsidRPr="00520861">
        <w:rPr>
          <w:rFonts w:eastAsiaTheme="minorHAnsi"/>
          <w:sz w:val="28"/>
          <w:szCs w:val="28"/>
          <w:lang w:eastAsia="en-US"/>
        </w:rPr>
        <w:t xml:space="preserve">) гена TNFSF11 с </w:t>
      </w:r>
      <w:r w:rsidR="003868A2" w:rsidRPr="00520861">
        <w:rPr>
          <w:rFonts w:eastAsiaTheme="minorHAnsi"/>
          <w:sz w:val="28"/>
          <w:szCs w:val="28"/>
          <w:lang w:eastAsia="en-US"/>
        </w:rPr>
        <w:br/>
      </w:r>
      <w:r w:rsidRPr="00520861">
        <w:rPr>
          <w:rFonts w:eastAsiaTheme="minorHAnsi"/>
          <w:sz w:val="28"/>
          <w:szCs w:val="28"/>
          <w:lang w:eastAsia="en-US"/>
        </w:rPr>
        <w:t xml:space="preserve">остеопорозом в </w:t>
      </w:r>
      <w:proofErr w:type="spellStart"/>
      <w:r w:rsidRPr="00520861">
        <w:rPr>
          <w:rFonts w:eastAsiaTheme="minorHAnsi"/>
          <w:sz w:val="28"/>
          <w:szCs w:val="28"/>
          <w:lang w:eastAsia="en-US"/>
        </w:rPr>
        <w:t>зависимости</w:t>
      </w:r>
      <w:proofErr w:type="spellEnd"/>
      <w:r w:rsidRPr="00520861">
        <w:rPr>
          <w:rFonts w:eastAsiaTheme="minorHAnsi"/>
          <w:sz w:val="28"/>
          <w:szCs w:val="28"/>
          <w:lang w:eastAsia="en-US"/>
        </w:rPr>
        <w:t xml:space="preserve"> от </w:t>
      </w:r>
      <w:proofErr w:type="spellStart"/>
      <w:r w:rsidRPr="00520861">
        <w:rPr>
          <w:rFonts w:eastAsiaTheme="minorHAnsi"/>
          <w:sz w:val="28"/>
          <w:szCs w:val="28"/>
          <w:lang w:eastAsia="en-US"/>
        </w:rPr>
        <w:t>длительности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постменопаузы</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Ульяновский</w:t>
      </w:r>
      <w:proofErr w:type="spellEnd"/>
      <w:r w:rsidRPr="00520861">
        <w:rPr>
          <w:rFonts w:eastAsiaTheme="minorHAnsi"/>
          <w:i/>
          <w:sz w:val="28"/>
          <w:szCs w:val="28"/>
          <w:lang w:eastAsia="en-US"/>
        </w:rPr>
        <w:t xml:space="preserve"> медико-</w:t>
      </w:r>
      <w:proofErr w:type="spellStart"/>
      <w:r w:rsidRPr="00520861">
        <w:rPr>
          <w:rFonts w:eastAsiaTheme="minorHAnsi"/>
          <w:i/>
          <w:sz w:val="28"/>
          <w:szCs w:val="28"/>
          <w:lang w:eastAsia="en-US"/>
        </w:rPr>
        <w:t>биологический</w:t>
      </w:r>
      <w:proofErr w:type="spellEnd"/>
      <w:r w:rsidRPr="00520861">
        <w:rPr>
          <w:rFonts w:eastAsiaTheme="minorHAnsi"/>
          <w:i/>
          <w:sz w:val="28"/>
          <w:szCs w:val="28"/>
          <w:lang w:eastAsia="en-US"/>
        </w:rPr>
        <w:t xml:space="preserve"> журнал</w:t>
      </w:r>
      <w:r w:rsidRPr="00520861">
        <w:rPr>
          <w:rFonts w:eastAsiaTheme="minorHAnsi"/>
          <w:sz w:val="28"/>
          <w:szCs w:val="28"/>
          <w:lang w:eastAsia="en-US"/>
        </w:rPr>
        <w:t xml:space="preserve">. 2017;(3): 53–60. </w:t>
      </w:r>
      <w:r w:rsidRPr="00520861">
        <w:rPr>
          <w:bCs/>
          <w:sz w:val="28"/>
          <w:szCs w:val="28"/>
          <w:lang w:val="ru-RU"/>
        </w:rPr>
        <w:t xml:space="preserve">Доступно на: </w:t>
      </w:r>
      <w:r w:rsidRPr="00520861">
        <w:rPr>
          <w:bCs/>
          <w:sz w:val="28"/>
          <w:szCs w:val="28"/>
          <w:lang w:val="en-GB"/>
        </w:rPr>
        <w:t>DOI</w:t>
      </w:r>
      <w:r w:rsidRPr="00520861">
        <w:rPr>
          <w:bCs/>
          <w:sz w:val="28"/>
          <w:szCs w:val="28"/>
        </w:rPr>
        <w:t xml:space="preserve">: </w:t>
      </w:r>
      <w:r w:rsidRPr="00520861">
        <w:rPr>
          <w:rFonts w:eastAsiaTheme="minorHAnsi"/>
          <w:sz w:val="28"/>
          <w:szCs w:val="28"/>
          <w:lang w:eastAsia="en-US"/>
        </w:rPr>
        <w:t>10.23648/UMBJ.2017.27.7076.</w:t>
      </w:r>
    </w:p>
    <w:p w14:paraId="02D783A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Марковський</w:t>
      </w:r>
      <w:proofErr w:type="spellEnd"/>
      <w:r w:rsidRPr="00520861">
        <w:rPr>
          <w:rFonts w:eastAsiaTheme="minorHAnsi"/>
          <w:sz w:val="28"/>
          <w:szCs w:val="28"/>
          <w:lang w:eastAsia="en-US"/>
        </w:rPr>
        <w:t xml:space="preserve"> ВД, Сорокіна ІВ, </w:t>
      </w:r>
      <w:proofErr w:type="spellStart"/>
      <w:r w:rsidRPr="00520861">
        <w:rPr>
          <w:rFonts w:eastAsiaTheme="minorHAnsi"/>
          <w:sz w:val="28"/>
          <w:szCs w:val="28"/>
          <w:lang w:eastAsia="en-US"/>
        </w:rPr>
        <w:t>Калужина</w:t>
      </w:r>
      <w:proofErr w:type="spellEnd"/>
      <w:r w:rsidRPr="00520861">
        <w:rPr>
          <w:rFonts w:eastAsiaTheme="minorHAnsi"/>
          <w:sz w:val="28"/>
          <w:szCs w:val="28"/>
          <w:lang w:eastAsia="en-US"/>
        </w:rPr>
        <w:t xml:space="preserve"> ОВ. Морфологічні особливості легеневої артерії у плодів і новонароджен</w:t>
      </w:r>
      <w:r w:rsidR="003868A2" w:rsidRPr="00520861">
        <w:rPr>
          <w:rFonts w:eastAsiaTheme="minorHAnsi"/>
          <w:sz w:val="28"/>
          <w:szCs w:val="28"/>
          <w:lang w:eastAsia="en-US"/>
        </w:rPr>
        <w:t xml:space="preserve">их від матерів з </w:t>
      </w:r>
      <w:proofErr w:type="spellStart"/>
      <w:r w:rsidR="003868A2" w:rsidRPr="00520861">
        <w:rPr>
          <w:rFonts w:eastAsiaTheme="minorHAnsi"/>
          <w:sz w:val="28"/>
          <w:szCs w:val="28"/>
          <w:lang w:eastAsia="en-US"/>
        </w:rPr>
        <w:t>прееклампсією</w:t>
      </w:r>
      <w:proofErr w:type="spellEnd"/>
      <w:r w:rsidR="003868A2" w:rsidRPr="00520861">
        <w:rPr>
          <w:rFonts w:eastAsiaTheme="minorHAnsi"/>
          <w:sz w:val="28"/>
          <w:szCs w:val="28"/>
          <w:lang w:eastAsia="en-US"/>
        </w:rPr>
        <w:t xml:space="preserve">. </w:t>
      </w:r>
      <w:r w:rsidR="003868A2" w:rsidRPr="00520861">
        <w:rPr>
          <w:rFonts w:eastAsiaTheme="minorHAnsi"/>
          <w:sz w:val="28"/>
          <w:szCs w:val="28"/>
          <w:lang w:eastAsia="en-US"/>
        </w:rPr>
        <w:br/>
      </w:r>
      <w:r w:rsidRPr="00520861">
        <w:rPr>
          <w:rFonts w:eastAsiaTheme="minorHAnsi"/>
          <w:i/>
          <w:sz w:val="28"/>
          <w:szCs w:val="28"/>
          <w:lang w:eastAsia="en-US"/>
        </w:rPr>
        <w:t>Експериментальна і клінічна медицина</w:t>
      </w:r>
      <w:r w:rsidRPr="00520861">
        <w:rPr>
          <w:rFonts w:eastAsiaTheme="minorHAnsi"/>
          <w:sz w:val="28"/>
          <w:szCs w:val="28"/>
          <w:lang w:eastAsia="en-US"/>
        </w:rPr>
        <w:t>. 2014</w:t>
      </w:r>
      <w:r w:rsidRPr="00520861">
        <w:rPr>
          <w:rFonts w:eastAsiaTheme="minorHAnsi"/>
          <w:sz w:val="28"/>
          <w:szCs w:val="28"/>
          <w:lang w:val="ru-RU" w:eastAsia="en-US"/>
        </w:rPr>
        <w:t>;</w:t>
      </w:r>
      <w:r w:rsidRPr="00520861">
        <w:rPr>
          <w:rFonts w:eastAsiaTheme="minorHAnsi"/>
          <w:sz w:val="28"/>
          <w:szCs w:val="28"/>
          <w:lang w:eastAsia="en-US"/>
        </w:rPr>
        <w:t>3 (64): 86–90.</w:t>
      </w:r>
    </w:p>
    <w:p w14:paraId="20E1F71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Марковська</w:t>
      </w:r>
      <w:proofErr w:type="spellEnd"/>
      <w:r w:rsidRPr="00520861">
        <w:rPr>
          <w:rFonts w:eastAsiaTheme="minorHAnsi"/>
          <w:sz w:val="28"/>
          <w:szCs w:val="28"/>
          <w:lang w:eastAsia="en-US"/>
        </w:rPr>
        <w:t xml:space="preserve"> ІВ, Соколова ІІ, </w:t>
      </w:r>
      <w:proofErr w:type="spellStart"/>
      <w:r w:rsidRPr="00520861">
        <w:rPr>
          <w:rFonts w:eastAsiaTheme="minorHAnsi"/>
          <w:sz w:val="28"/>
          <w:szCs w:val="28"/>
          <w:lang w:eastAsia="en-US"/>
        </w:rPr>
        <w:t>Марковська</w:t>
      </w:r>
      <w:proofErr w:type="spellEnd"/>
      <w:r w:rsidRPr="00520861">
        <w:rPr>
          <w:rFonts w:eastAsiaTheme="minorHAnsi"/>
          <w:sz w:val="28"/>
          <w:szCs w:val="28"/>
          <w:lang w:eastAsia="en-US"/>
        </w:rPr>
        <w:t xml:space="preserve"> ОВ. Вміст загального білка та активність деяких ферментів у ротовій рідині щурів за умов впливу електромагнітного випромінювання. </w:t>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2019;1(1</w:t>
      </w:r>
      <w:r w:rsidRPr="00520861">
        <w:rPr>
          <w:rFonts w:eastAsiaTheme="minorHAnsi"/>
          <w:sz w:val="28"/>
          <w:szCs w:val="28"/>
          <w:lang w:val="ru-RU" w:eastAsia="en-US"/>
        </w:rPr>
        <w:t>/148</w:t>
      </w:r>
      <w:r w:rsidRPr="00520861">
        <w:rPr>
          <w:rFonts w:eastAsiaTheme="minorHAnsi"/>
          <w:sz w:val="28"/>
          <w:szCs w:val="28"/>
          <w:lang w:eastAsia="en-US"/>
        </w:rPr>
        <w:t xml:space="preserve">): 340–343. </w:t>
      </w:r>
      <w:r w:rsidRPr="00520861">
        <w:rPr>
          <w:rFonts w:eastAsiaTheme="minorHAnsi"/>
          <w:sz w:val="28"/>
          <w:szCs w:val="28"/>
          <w:lang w:val="ru-RU" w:eastAsia="en-US"/>
        </w:rPr>
        <w:t>Доступно на:</w:t>
      </w:r>
      <w:r w:rsidRPr="00520861">
        <w:rPr>
          <w:rFonts w:eastAsiaTheme="minorHAnsi"/>
          <w:sz w:val="28"/>
          <w:szCs w:val="28"/>
          <w:lang w:val="en-US" w:eastAsia="en-US"/>
        </w:rPr>
        <w:t xml:space="preserve"> </w:t>
      </w:r>
      <w:r w:rsidRPr="00520861">
        <w:rPr>
          <w:rFonts w:eastAsiaTheme="minorHAnsi"/>
          <w:sz w:val="28"/>
          <w:szCs w:val="28"/>
          <w:lang w:eastAsia="en-US"/>
        </w:rPr>
        <w:t>http://nbuv.gov.ua/UJRN/Vpbm_2019_1%281%29_79.</w:t>
      </w:r>
    </w:p>
    <w:p w14:paraId="17D0A59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lastRenderedPageBreak/>
        <w:t>Мельников ВМ</w:t>
      </w:r>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Ямпольский</w:t>
      </w:r>
      <w:proofErr w:type="spellEnd"/>
      <w:r w:rsidRPr="00520861">
        <w:rPr>
          <w:rFonts w:eastAsiaTheme="minorHAnsi"/>
          <w:sz w:val="28"/>
          <w:szCs w:val="28"/>
          <w:lang w:eastAsia="en-US"/>
        </w:rPr>
        <w:t xml:space="preserve"> ЛТ. </w:t>
      </w:r>
      <w:proofErr w:type="spellStart"/>
      <w:r w:rsidRPr="00520861">
        <w:rPr>
          <w:rFonts w:eastAsiaTheme="minorHAnsi"/>
          <w:i/>
          <w:sz w:val="28"/>
          <w:szCs w:val="28"/>
          <w:lang w:eastAsia="en-US"/>
        </w:rPr>
        <w:t>Введение</w:t>
      </w:r>
      <w:proofErr w:type="spellEnd"/>
      <w:r w:rsidRPr="00520861">
        <w:rPr>
          <w:rFonts w:eastAsiaTheme="minorHAnsi"/>
          <w:i/>
          <w:sz w:val="28"/>
          <w:szCs w:val="28"/>
          <w:lang w:eastAsia="en-US"/>
        </w:rPr>
        <w:t xml:space="preserve"> в </w:t>
      </w:r>
      <w:proofErr w:type="spellStart"/>
      <w:r w:rsidRPr="00520861">
        <w:rPr>
          <w:rFonts w:eastAsiaTheme="minorHAnsi"/>
          <w:i/>
          <w:sz w:val="28"/>
          <w:szCs w:val="28"/>
          <w:lang w:eastAsia="en-US"/>
        </w:rPr>
        <w:t>экспериментальную</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психологию</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личности</w:t>
      </w:r>
      <w:proofErr w:type="spellEnd"/>
      <w:r w:rsidRPr="00520861">
        <w:rPr>
          <w:rFonts w:eastAsiaTheme="minorHAnsi"/>
          <w:sz w:val="28"/>
          <w:szCs w:val="28"/>
          <w:lang w:val="ru-RU" w:eastAsia="en-US"/>
        </w:rPr>
        <w:t xml:space="preserve">. </w:t>
      </w:r>
      <w:r w:rsidRPr="00520861">
        <w:rPr>
          <w:rFonts w:eastAsiaTheme="minorHAnsi"/>
          <w:sz w:val="28"/>
          <w:szCs w:val="28"/>
          <w:lang w:eastAsia="en-US"/>
        </w:rPr>
        <w:t>М</w:t>
      </w:r>
      <w:proofErr w:type="spellStart"/>
      <w:r w:rsidRPr="00520861">
        <w:rPr>
          <w:rFonts w:eastAsiaTheme="minorHAnsi"/>
          <w:sz w:val="28"/>
          <w:szCs w:val="28"/>
          <w:lang w:val="ru-RU" w:eastAsia="en-US"/>
        </w:rPr>
        <w:t>осква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Просвещение</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1985. 319 с.</w:t>
      </w:r>
    </w:p>
    <w:p w14:paraId="3A6C7A5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Мельничук ГМ, </w:t>
      </w:r>
      <w:proofErr w:type="spellStart"/>
      <w:r w:rsidRPr="00520861">
        <w:rPr>
          <w:rFonts w:eastAsiaTheme="minorHAnsi"/>
          <w:sz w:val="28"/>
          <w:szCs w:val="28"/>
          <w:lang w:eastAsia="en-US"/>
        </w:rPr>
        <w:t>Політун</w:t>
      </w:r>
      <w:proofErr w:type="spellEnd"/>
      <w:r w:rsidRPr="00520861">
        <w:rPr>
          <w:rFonts w:eastAsiaTheme="minorHAnsi"/>
          <w:sz w:val="28"/>
          <w:szCs w:val="28"/>
          <w:lang w:eastAsia="en-US"/>
        </w:rPr>
        <w:t xml:space="preserve"> АМ, Ковальчук ЛЄ, </w:t>
      </w:r>
      <w:proofErr w:type="spellStart"/>
      <w:r w:rsidRPr="00520861">
        <w:rPr>
          <w:rFonts w:eastAsiaTheme="minorHAnsi"/>
          <w:sz w:val="28"/>
          <w:szCs w:val="28"/>
          <w:lang w:eastAsia="en-US"/>
        </w:rPr>
        <w:t>Ерстенюк</w:t>
      </w:r>
      <w:proofErr w:type="spellEnd"/>
      <w:r w:rsidRPr="00520861">
        <w:rPr>
          <w:rFonts w:eastAsiaTheme="minorHAnsi"/>
          <w:sz w:val="28"/>
          <w:szCs w:val="28"/>
          <w:lang w:eastAsia="en-US"/>
        </w:rPr>
        <w:t xml:space="preserve"> ГМ. Алгоритм виникнення й розвитку </w:t>
      </w:r>
      <w:proofErr w:type="spellStart"/>
      <w:r w:rsidRPr="00520861">
        <w:rPr>
          <w:rFonts w:eastAsiaTheme="minorHAnsi"/>
          <w:sz w:val="28"/>
          <w:szCs w:val="28"/>
          <w:lang w:eastAsia="en-US"/>
        </w:rPr>
        <w:t>генералізованого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пародонтиту</w:t>
      </w:r>
      <w:proofErr w:type="spellEnd"/>
      <w:r w:rsidRPr="00520861">
        <w:rPr>
          <w:rFonts w:eastAsiaTheme="minorHAnsi"/>
          <w:sz w:val="28"/>
          <w:szCs w:val="28"/>
          <w:lang w:eastAsia="en-US"/>
        </w:rPr>
        <w:t xml:space="preserve"> та пародонтозу схема комплексного лікування </w:t>
      </w:r>
      <w:proofErr w:type="spellStart"/>
      <w:r w:rsidRPr="00520861">
        <w:rPr>
          <w:rFonts w:eastAsiaTheme="minorHAnsi"/>
          <w:sz w:val="28"/>
          <w:szCs w:val="28"/>
          <w:lang w:eastAsia="en-US"/>
        </w:rPr>
        <w:t>генералізованого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пародонтиту</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Современная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стоматология</w:t>
      </w:r>
      <w:proofErr w:type="spellEnd"/>
      <w:r w:rsidRPr="00520861">
        <w:rPr>
          <w:rFonts w:eastAsiaTheme="minorHAnsi"/>
          <w:sz w:val="28"/>
          <w:szCs w:val="28"/>
          <w:lang w:eastAsia="en-US"/>
        </w:rPr>
        <w:t>. 2013;</w:t>
      </w:r>
      <w:r w:rsidRPr="00520861">
        <w:rPr>
          <w:rFonts w:eastAsiaTheme="minorHAnsi"/>
          <w:sz w:val="28"/>
          <w:szCs w:val="28"/>
          <w:lang w:val="ru-RU" w:eastAsia="en-US"/>
        </w:rPr>
        <w:t>(</w:t>
      </w:r>
      <w:r w:rsidRPr="00520861">
        <w:rPr>
          <w:rFonts w:eastAsiaTheme="minorHAnsi"/>
          <w:sz w:val="28"/>
          <w:szCs w:val="28"/>
          <w:lang w:eastAsia="en-US"/>
        </w:rPr>
        <w:t>1</w:t>
      </w:r>
      <w:r w:rsidRPr="00520861">
        <w:rPr>
          <w:rFonts w:eastAsiaTheme="minorHAnsi"/>
          <w:sz w:val="28"/>
          <w:szCs w:val="28"/>
          <w:lang w:val="ru-RU" w:eastAsia="en-US"/>
        </w:rPr>
        <w:t>)</w:t>
      </w:r>
      <w:r w:rsidRPr="00520861">
        <w:rPr>
          <w:rFonts w:eastAsiaTheme="minorHAnsi"/>
          <w:sz w:val="28"/>
          <w:szCs w:val="28"/>
          <w:lang w:eastAsia="en-US"/>
        </w:rPr>
        <w:t>:</w:t>
      </w:r>
      <w:r w:rsidRPr="00520861">
        <w:rPr>
          <w:rFonts w:eastAsiaTheme="minorHAnsi"/>
          <w:sz w:val="28"/>
          <w:szCs w:val="28"/>
          <w:lang w:val="ru-RU" w:eastAsia="en-US"/>
        </w:rPr>
        <w:t xml:space="preserve"> </w:t>
      </w:r>
      <w:r w:rsidRPr="00520861">
        <w:rPr>
          <w:rFonts w:eastAsiaTheme="minorHAnsi"/>
          <w:sz w:val="28"/>
          <w:szCs w:val="28"/>
          <w:lang w:eastAsia="en-US"/>
        </w:rPr>
        <w:t xml:space="preserve">35–40. </w:t>
      </w:r>
      <w:r w:rsidRPr="00520861">
        <w:rPr>
          <w:rFonts w:eastAsiaTheme="minorHAnsi"/>
          <w:sz w:val="28"/>
          <w:szCs w:val="28"/>
          <w:lang w:val="ru-RU" w:eastAsia="en-US"/>
        </w:rPr>
        <w:t>Доступно на:</w:t>
      </w:r>
      <w:r w:rsidRPr="00520861">
        <w:rPr>
          <w:rFonts w:eastAsiaTheme="minorHAnsi"/>
          <w:sz w:val="28"/>
          <w:szCs w:val="28"/>
          <w:lang w:eastAsia="en-US"/>
        </w:rPr>
        <w:t xml:space="preserve"> http://nbuv.gov.ua/UJRN/ss_2013_1_10.</w:t>
      </w:r>
    </w:p>
    <w:p w14:paraId="6E9E9DE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Меньщикова</w:t>
      </w:r>
      <w:proofErr w:type="spellEnd"/>
      <w:r w:rsidRPr="00520861">
        <w:rPr>
          <w:rFonts w:eastAsiaTheme="minorHAnsi"/>
          <w:sz w:val="28"/>
          <w:szCs w:val="28"/>
          <w:lang w:eastAsia="en-US"/>
        </w:rPr>
        <w:t xml:space="preserve"> ЕБ, </w:t>
      </w:r>
      <w:proofErr w:type="spellStart"/>
      <w:r w:rsidRPr="00520861">
        <w:rPr>
          <w:rFonts w:eastAsiaTheme="minorHAnsi"/>
          <w:sz w:val="28"/>
          <w:szCs w:val="28"/>
          <w:lang w:eastAsia="en-US"/>
        </w:rPr>
        <w:t>Ланкин</w:t>
      </w:r>
      <w:proofErr w:type="spellEnd"/>
      <w:r w:rsidRPr="00520861">
        <w:rPr>
          <w:rFonts w:eastAsiaTheme="minorHAnsi"/>
          <w:sz w:val="28"/>
          <w:szCs w:val="28"/>
          <w:lang w:eastAsia="en-US"/>
        </w:rPr>
        <w:t xml:space="preserve"> ВЗ, </w:t>
      </w:r>
      <w:proofErr w:type="spellStart"/>
      <w:r w:rsidRPr="00520861">
        <w:rPr>
          <w:rFonts w:eastAsiaTheme="minorHAnsi"/>
          <w:sz w:val="28"/>
          <w:szCs w:val="28"/>
          <w:lang w:eastAsia="en-US"/>
        </w:rPr>
        <w:t>Зенков</w:t>
      </w:r>
      <w:proofErr w:type="spellEnd"/>
      <w:r w:rsidRPr="00520861">
        <w:rPr>
          <w:rFonts w:eastAsiaTheme="minorHAnsi"/>
          <w:sz w:val="28"/>
          <w:szCs w:val="28"/>
          <w:lang w:eastAsia="en-US"/>
        </w:rPr>
        <w:t xml:space="preserve"> НК, </w:t>
      </w:r>
      <w:proofErr w:type="spellStart"/>
      <w:r w:rsidRPr="00520861">
        <w:rPr>
          <w:rFonts w:eastAsiaTheme="minorHAnsi"/>
          <w:sz w:val="28"/>
          <w:szCs w:val="28"/>
          <w:lang w:eastAsia="en-US"/>
        </w:rPr>
        <w:t>Бондарь</w:t>
      </w:r>
      <w:proofErr w:type="spellEnd"/>
      <w:r w:rsidRPr="00520861">
        <w:rPr>
          <w:rFonts w:eastAsiaTheme="minorHAnsi"/>
          <w:sz w:val="28"/>
          <w:szCs w:val="28"/>
          <w:lang w:eastAsia="en-US"/>
        </w:rPr>
        <w:t xml:space="preserve"> ИА, </w:t>
      </w:r>
      <w:proofErr w:type="spellStart"/>
      <w:r w:rsidRPr="00520861">
        <w:rPr>
          <w:rFonts w:eastAsiaTheme="minorHAnsi"/>
          <w:sz w:val="28"/>
          <w:szCs w:val="28"/>
          <w:lang w:eastAsia="en-US"/>
        </w:rPr>
        <w:t>Круговых</w:t>
      </w:r>
      <w:proofErr w:type="spellEnd"/>
      <w:r w:rsidRPr="00520861">
        <w:rPr>
          <w:rFonts w:eastAsiaTheme="minorHAnsi"/>
          <w:sz w:val="28"/>
          <w:szCs w:val="28"/>
          <w:lang w:eastAsia="en-US"/>
        </w:rPr>
        <w:t xml:space="preserve"> НФ, </w:t>
      </w:r>
      <w:r w:rsidR="00A33F1D" w:rsidRPr="00520861">
        <w:rPr>
          <w:rFonts w:eastAsiaTheme="minorHAnsi"/>
          <w:sz w:val="28"/>
          <w:szCs w:val="28"/>
          <w:lang w:eastAsia="en-US"/>
        </w:rPr>
        <w:br/>
      </w:r>
      <w:proofErr w:type="spellStart"/>
      <w:r w:rsidRPr="00520861">
        <w:rPr>
          <w:rFonts w:eastAsiaTheme="minorHAnsi"/>
          <w:sz w:val="28"/>
          <w:szCs w:val="28"/>
          <w:lang w:eastAsia="en-US"/>
        </w:rPr>
        <w:t>Труфакин</w:t>
      </w:r>
      <w:proofErr w:type="spellEnd"/>
      <w:r w:rsidRPr="00520861">
        <w:rPr>
          <w:rFonts w:eastAsiaTheme="minorHAnsi"/>
          <w:sz w:val="28"/>
          <w:szCs w:val="28"/>
          <w:lang w:eastAsia="en-US"/>
        </w:rPr>
        <w:t xml:space="preserve"> ВА. </w:t>
      </w:r>
      <w:proofErr w:type="spellStart"/>
      <w:r w:rsidRPr="00520861">
        <w:rPr>
          <w:rFonts w:eastAsiaTheme="minorHAnsi"/>
          <w:i/>
          <w:sz w:val="28"/>
          <w:szCs w:val="28"/>
          <w:lang w:eastAsia="en-US"/>
        </w:rPr>
        <w:t>Окислительный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стресс</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Прооксиданты</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антиоксиданты</w:t>
      </w:r>
      <w:proofErr w:type="spellEnd"/>
      <w:r w:rsidRPr="00520861">
        <w:rPr>
          <w:rFonts w:eastAsiaTheme="minorHAnsi"/>
          <w:sz w:val="28"/>
          <w:szCs w:val="28"/>
          <w:lang w:eastAsia="en-US"/>
        </w:rPr>
        <w:t xml:space="preserve">. Москва: </w:t>
      </w:r>
      <w:proofErr w:type="spellStart"/>
      <w:r w:rsidRPr="00520861">
        <w:rPr>
          <w:rFonts w:eastAsiaTheme="minorHAnsi"/>
          <w:sz w:val="28"/>
          <w:szCs w:val="28"/>
          <w:lang w:eastAsia="en-US"/>
        </w:rPr>
        <w:t>Фирма</w:t>
      </w:r>
      <w:proofErr w:type="spellEnd"/>
      <w:r w:rsidRPr="00520861">
        <w:rPr>
          <w:rFonts w:eastAsiaTheme="minorHAnsi"/>
          <w:sz w:val="28"/>
          <w:szCs w:val="28"/>
          <w:lang w:eastAsia="en-US"/>
        </w:rPr>
        <w:t xml:space="preserve"> "Слово"; 2006. 556 с.</w:t>
      </w:r>
    </w:p>
    <w:p w14:paraId="561C33C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proofErr w:type="spellStart"/>
      <w:r w:rsidRPr="00520861">
        <w:rPr>
          <w:rFonts w:eastAsiaTheme="minorHAnsi"/>
          <w:sz w:val="28"/>
          <w:szCs w:val="28"/>
          <w:lang w:eastAsia="en-US"/>
        </w:rPr>
        <w:t>Меркулов</w:t>
      </w:r>
      <w:proofErr w:type="spellEnd"/>
      <w:r w:rsidRPr="00520861">
        <w:rPr>
          <w:rFonts w:eastAsiaTheme="minorHAnsi"/>
          <w:sz w:val="28"/>
          <w:szCs w:val="28"/>
          <w:lang w:eastAsia="en-US"/>
        </w:rPr>
        <w:t xml:space="preserve"> ГА. </w:t>
      </w:r>
      <w:r w:rsidRPr="00520861">
        <w:rPr>
          <w:rFonts w:eastAsiaTheme="minorHAnsi"/>
          <w:i/>
          <w:sz w:val="28"/>
          <w:szCs w:val="28"/>
          <w:lang w:eastAsia="en-US"/>
        </w:rPr>
        <w:t xml:space="preserve">Курс </w:t>
      </w:r>
      <w:proofErr w:type="spellStart"/>
      <w:r w:rsidRPr="00520861">
        <w:rPr>
          <w:rFonts w:eastAsiaTheme="minorHAnsi"/>
          <w:i/>
          <w:sz w:val="28"/>
          <w:szCs w:val="28"/>
          <w:lang w:eastAsia="en-US"/>
        </w:rPr>
        <w:t>патогистологической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техники</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М</w:t>
      </w:r>
      <w:proofErr w:type="spellStart"/>
      <w:r w:rsidRPr="00520861">
        <w:rPr>
          <w:rFonts w:eastAsiaTheme="minorHAnsi"/>
          <w:sz w:val="28"/>
          <w:szCs w:val="28"/>
          <w:lang w:val="ru-RU" w:eastAsia="en-US"/>
        </w:rPr>
        <w:t>осква</w:t>
      </w:r>
      <w:proofErr w:type="spellEnd"/>
      <w:r w:rsidRPr="00520861">
        <w:rPr>
          <w:rFonts w:eastAsiaTheme="minorHAnsi"/>
          <w:sz w:val="28"/>
          <w:szCs w:val="28"/>
          <w:lang w:eastAsia="en-US"/>
        </w:rPr>
        <w:t>: Медицина</w:t>
      </w:r>
      <w:r w:rsidRPr="00520861">
        <w:rPr>
          <w:rFonts w:eastAsiaTheme="minorHAnsi"/>
          <w:sz w:val="28"/>
          <w:szCs w:val="28"/>
          <w:lang w:val="ru-RU" w:eastAsia="en-US"/>
        </w:rPr>
        <w:t>;</w:t>
      </w:r>
      <w:r w:rsidRPr="00520861">
        <w:rPr>
          <w:rFonts w:eastAsiaTheme="minorHAnsi"/>
          <w:sz w:val="28"/>
          <w:szCs w:val="28"/>
          <w:lang w:eastAsia="en-US"/>
        </w:rPr>
        <w:t xml:space="preserve"> 1969. 425 с.</w:t>
      </w:r>
    </w:p>
    <w:p w14:paraId="12FC48F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Миллер</w:t>
      </w:r>
      <w:proofErr w:type="spellEnd"/>
      <w:r w:rsidRPr="00520861">
        <w:rPr>
          <w:rFonts w:eastAsiaTheme="minorHAnsi"/>
          <w:sz w:val="28"/>
          <w:szCs w:val="28"/>
          <w:lang w:eastAsia="en-US"/>
        </w:rPr>
        <w:t xml:space="preserve"> ОВ. </w:t>
      </w:r>
      <w:r w:rsidRPr="00520861">
        <w:rPr>
          <w:rFonts w:eastAsiaTheme="minorHAnsi"/>
          <w:i/>
          <w:sz w:val="28"/>
          <w:szCs w:val="28"/>
          <w:lang w:eastAsia="en-US"/>
        </w:rPr>
        <w:t xml:space="preserve">Характеристика </w:t>
      </w:r>
      <w:proofErr w:type="spellStart"/>
      <w:r w:rsidRPr="00520861">
        <w:rPr>
          <w:rFonts w:eastAsiaTheme="minorHAnsi"/>
          <w:i/>
          <w:sz w:val="28"/>
          <w:szCs w:val="28"/>
          <w:lang w:eastAsia="en-US"/>
        </w:rPr>
        <w:t>сроков</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прорезывания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временныхзубов</w:t>
      </w:r>
      <w:proofErr w:type="spellEnd"/>
      <w:r w:rsidRPr="00520861">
        <w:rPr>
          <w:rFonts w:eastAsiaTheme="minorHAnsi"/>
          <w:i/>
          <w:sz w:val="28"/>
          <w:szCs w:val="28"/>
          <w:lang w:eastAsia="en-US"/>
        </w:rPr>
        <w:t xml:space="preserve"> у </w:t>
      </w:r>
      <w:proofErr w:type="spellStart"/>
      <w:r w:rsidRPr="00520861">
        <w:rPr>
          <w:rFonts w:eastAsiaTheme="minorHAnsi"/>
          <w:i/>
          <w:sz w:val="28"/>
          <w:szCs w:val="28"/>
          <w:lang w:eastAsia="en-US"/>
        </w:rPr>
        <w:t>детей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раннего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возраста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проживающих</w:t>
      </w:r>
      <w:proofErr w:type="spellEnd"/>
      <w:r w:rsidRPr="00520861">
        <w:rPr>
          <w:rFonts w:eastAsiaTheme="minorHAnsi"/>
          <w:i/>
          <w:sz w:val="28"/>
          <w:szCs w:val="28"/>
          <w:lang w:eastAsia="en-US"/>
        </w:rPr>
        <w:t xml:space="preserve"> в </w:t>
      </w:r>
      <w:proofErr w:type="spellStart"/>
      <w:r w:rsidRPr="00520861">
        <w:rPr>
          <w:rFonts w:eastAsiaTheme="minorHAnsi"/>
          <w:i/>
          <w:sz w:val="28"/>
          <w:szCs w:val="28"/>
          <w:lang w:eastAsia="en-US"/>
        </w:rPr>
        <w:t>крупном</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промышленном</w:t>
      </w:r>
      <w:proofErr w:type="spellEnd"/>
      <w:r w:rsidRPr="00520861">
        <w:rPr>
          <w:rFonts w:eastAsiaTheme="minorHAnsi"/>
          <w:i/>
          <w:sz w:val="28"/>
          <w:szCs w:val="28"/>
          <w:lang w:eastAsia="en-US"/>
        </w:rPr>
        <w:t xml:space="preserve"> центре (на </w:t>
      </w:r>
      <w:proofErr w:type="spellStart"/>
      <w:r w:rsidRPr="00520861">
        <w:rPr>
          <w:rFonts w:eastAsiaTheme="minorHAnsi"/>
          <w:i/>
          <w:sz w:val="28"/>
          <w:szCs w:val="28"/>
          <w:lang w:eastAsia="en-US"/>
        </w:rPr>
        <w:t>примере</w:t>
      </w:r>
      <w:proofErr w:type="spellEnd"/>
      <w:r w:rsidRPr="00520861">
        <w:rPr>
          <w:rFonts w:eastAsiaTheme="minorHAnsi"/>
          <w:i/>
          <w:sz w:val="28"/>
          <w:szCs w:val="28"/>
          <w:lang w:eastAsia="en-US"/>
        </w:rPr>
        <w:t xml:space="preserve"> г. </w:t>
      </w:r>
      <w:proofErr w:type="spellStart"/>
      <w:r w:rsidRPr="00520861">
        <w:rPr>
          <w:rFonts w:eastAsiaTheme="minorHAnsi"/>
          <w:i/>
          <w:sz w:val="28"/>
          <w:szCs w:val="28"/>
          <w:lang w:eastAsia="en-US"/>
        </w:rPr>
        <w:t>Красноярска</w:t>
      </w:r>
      <w:proofErr w:type="spellEnd"/>
      <w:r w:rsidRPr="00520861">
        <w:rPr>
          <w:rFonts w:eastAsiaTheme="minorHAnsi"/>
          <w:i/>
          <w:sz w:val="28"/>
          <w:szCs w:val="28"/>
          <w:lang w:eastAsia="en-US"/>
        </w:rPr>
        <w:t>)</w:t>
      </w:r>
      <w:r w:rsidRPr="00520861">
        <w:rPr>
          <w:rFonts w:eastAsiaTheme="minorHAnsi"/>
          <w:sz w:val="28"/>
          <w:szCs w:val="28"/>
          <w:lang w:eastAsia="en-US"/>
        </w:rPr>
        <w:t xml:space="preserve"> </w:t>
      </w:r>
      <w:r w:rsidRPr="00520861">
        <w:rPr>
          <w:rFonts w:eastAsiaTheme="minorHAnsi"/>
          <w:iCs/>
          <w:sz w:val="28"/>
          <w:szCs w:val="28"/>
          <w:lang w:eastAsia="en-US"/>
        </w:rPr>
        <w:t>[</w:t>
      </w:r>
      <w:proofErr w:type="spellStart"/>
      <w:r w:rsidRPr="00520861">
        <w:rPr>
          <w:rFonts w:eastAsiaTheme="minorHAnsi"/>
          <w:iCs/>
          <w:sz w:val="28"/>
          <w:szCs w:val="28"/>
          <w:lang w:eastAsia="en-US"/>
        </w:rPr>
        <w:t>дисертация</w:t>
      </w:r>
      <w:proofErr w:type="spellEnd"/>
      <w:r w:rsidRPr="00520861">
        <w:rPr>
          <w:rFonts w:eastAsiaTheme="minorHAnsi"/>
          <w:iCs/>
          <w:sz w:val="28"/>
          <w:szCs w:val="28"/>
          <w:lang w:eastAsia="en-US"/>
        </w:rPr>
        <w:t xml:space="preserve">]. </w:t>
      </w:r>
      <w:proofErr w:type="spellStart"/>
      <w:r w:rsidRPr="00520861">
        <w:rPr>
          <w:rFonts w:eastAsiaTheme="minorHAnsi"/>
          <w:sz w:val="28"/>
          <w:szCs w:val="28"/>
          <w:lang w:eastAsia="en-US"/>
        </w:rPr>
        <w:t>Красноярск</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Красноярский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гос</w:t>
      </w:r>
      <w:proofErr w:type="spellEnd"/>
      <w:r w:rsidRPr="00520861">
        <w:rPr>
          <w:rFonts w:eastAsiaTheme="minorHAnsi"/>
          <w:sz w:val="28"/>
          <w:szCs w:val="28"/>
          <w:lang w:eastAsia="en-US"/>
        </w:rPr>
        <w:t xml:space="preserve">. мед. ун-т </w:t>
      </w:r>
      <w:proofErr w:type="spellStart"/>
      <w:r w:rsidRPr="00520861">
        <w:rPr>
          <w:rFonts w:eastAsiaTheme="minorHAnsi"/>
          <w:sz w:val="28"/>
          <w:szCs w:val="28"/>
          <w:lang w:eastAsia="en-US"/>
        </w:rPr>
        <w:t>имени</w:t>
      </w:r>
      <w:proofErr w:type="spellEnd"/>
      <w:r w:rsidRPr="00520861">
        <w:rPr>
          <w:rFonts w:eastAsiaTheme="minorHAnsi"/>
          <w:sz w:val="28"/>
          <w:szCs w:val="28"/>
          <w:lang w:eastAsia="en-US"/>
        </w:rPr>
        <w:t xml:space="preserve"> проф. В.Ф. </w:t>
      </w:r>
      <w:proofErr w:type="spellStart"/>
      <w:r w:rsidRPr="00520861">
        <w:rPr>
          <w:rFonts w:eastAsiaTheme="minorHAnsi"/>
          <w:sz w:val="28"/>
          <w:szCs w:val="28"/>
          <w:lang w:eastAsia="en-US"/>
        </w:rPr>
        <w:t>Войно-Ясенецкого</w:t>
      </w:r>
      <w:proofErr w:type="spellEnd"/>
      <w:r w:rsidRPr="00520861">
        <w:rPr>
          <w:rFonts w:eastAsiaTheme="minorHAnsi"/>
          <w:sz w:val="28"/>
          <w:szCs w:val="28"/>
          <w:lang w:eastAsia="en-US"/>
        </w:rPr>
        <w:t>; 2012. 112 с.</w:t>
      </w:r>
    </w:p>
    <w:p w14:paraId="7388117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Михальченко ДВ, Михальченко АВ, </w:t>
      </w:r>
      <w:proofErr w:type="spellStart"/>
      <w:r w:rsidRPr="00520861">
        <w:rPr>
          <w:rFonts w:eastAsiaTheme="minorHAnsi"/>
          <w:sz w:val="28"/>
          <w:szCs w:val="28"/>
          <w:lang w:eastAsia="en-US"/>
        </w:rPr>
        <w:t>Корнеева</w:t>
      </w:r>
      <w:proofErr w:type="spellEnd"/>
      <w:r w:rsidRPr="00520861">
        <w:rPr>
          <w:rFonts w:eastAsiaTheme="minorHAnsi"/>
          <w:sz w:val="28"/>
          <w:szCs w:val="28"/>
          <w:lang w:eastAsia="en-US"/>
        </w:rPr>
        <w:t xml:space="preserve"> НМ. </w:t>
      </w:r>
      <w:proofErr w:type="spellStart"/>
      <w:r w:rsidRPr="00520861">
        <w:rPr>
          <w:rFonts w:eastAsiaTheme="minorHAnsi"/>
          <w:sz w:val="28"/>
          <w:szCs w:val="28"/>
          <w:lang w:eastAsia="en-US"/>
        </w:rPr>
        <w:t>Критерии</w:t>
      </w:r>
      <w:proofErr w:type="spellEnd"/>
      <w:r w:rsidRPr="00520861">
        <w:rPr>
          <w:rFonts w:eastAsiaTheme="minorHAnsi"/>
          <w:sz w:val="28"/>
          <w:szCs w:val="28"/>
          <w:lang w:eastAsia="en-US"/>
        </w:rPr>
        <w:t xml:space="preserve"> для </w:t>
      </w:r>
      <w:proofErr w:type="spellStart"/>
      <w:r w:rsidRPr="00520861">
        <w:rPr>
          <w:rFonts w:eastAsiaTheme="minorHAnsi"/>
          <w:sz w:val="28"/>
          <w:szCs w:val="28"/>
          <w:lang w:eastAsia="en-US"/>
        </w:rPr>
        <w:t>разработки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комплексной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программы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профилактики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заболеваний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твердых</w:t>
      </w:r>
      <w:proofErr w:type="spellEnd"/>
      <w:r w:rsidRPr="00520861">
        <w:rPr>
          <w:rFonts w:eastAsiaTheme="minorHAnsi"/>
          <w:sz w:val="28"/>
          <w:szCs w:val="28"/>
          <w:lang w:eastAsia="en-US"/>
        </w:rPr>
        <w:t xml:space="preserve"> тканей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студентов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вузов</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Современные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проблемы</w:t>
      </w:r>
      <w:proofErr w:type="spellEnd"/>
      <w:r w:rsidRPr="00520861">
        <w:rPr>
          <w:rFonts w:eastAsiaTheme="minorHAnsi"/>
          <w:i/>
          <w:sz w:val="28"/>
          <w:szCs w:val="28"/>
          <w:lang w:eastAsia="en-US"/>
        </w:rPr>
        <w:t xml:space="preserve"> науки и </w:t>
      </w:r>
      <w:proofErr w:type="spellStart"/>
      <w:r w:rsidRPr="00520861">
        <w:rPr>
          <w:rFonts w:eastAsiaTheme="minorHAnsi"/>
          <w:i/>
          <w:sz w:val="28"/>
          <w:szCs w:val="28"/>
          <w:lang w:eastAsia="en-US"/>
        </w:rPr>
        <w:t>образования</w:t>
      </w:r>
      <w:proofErr w:type="spellEnd"/>
      <w:r w:rsidRPr="00520861">
        <w:rPr>
          <w:rFonts w:eastAsiaTheme="minorHAnsi"/>
          <w:sz w:val="28"/>
          <w:szCs w:val="28"/>
          <w:lang w:eastAsia="en-US"/>
        </w:rPr>
        <w:t xml:space="preserve">. 2014;(3). </w:t>
      </w:r>
      <w:r w:rsidRPr="00520861">
        <w:rPr>
          <w:rFonts w:eastAsiaTheme="minorHAnsi"/>
          <w:sz w:val="28"/>
          <w:szCs w:val="28"/>
          <w:lang w:val="ru-RU" w:eastAsia="en-US"/>
        </w:rPr>
        <w:t xml:space="preserve">Доступно на: </w:t>
      </w:r>
      <w:r w:rsidRPr="00520861">
        <w:rPr>
          <w:rFonts w:eastAsiaTheme="minorHAnsi"/>
          <w:sz w:val="28"/>
          <w:szCs w:val="28"/>
          <w:lang w:eastAsia="en-US"/>
        </w:rPr>
        <w:t>http://www.science-education.ru/ru/article/view?id=13773</w:t>
      </w:r>
      <w:r w:rsidRPr="00520861">
        <w:rPr>
          <w:rFonts w:eastAsiaTheme="minorHAnsi"/>
          <w:sz w:val="28"/>
          <w:szCs w:val="28"/>
          <w:lang w:val="ru-RU" w:eastAsia="en-US"/>
        </w:rPr>
        <w:t>.</w:t>
      </w:r>
    </w:p>
    <w:p w14:paraId="46138F2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Морозов СА. Морфологічна характеристика зачатків зубів новонародженого щура при експериментальній затримці внутрішньоутробного розвитку. </w:t>
      </w:r>
      <w:r w:rsidR="00A33F1D" w:rsidRPr="00520861">
        <w:rPr>
          <w:rFonts w:eastAsiaTheme="minorHAnsi"/>
          <w:sz w:val="28"/>
          <w:szCs w:val="28"/>
          <w:lang w:eastAsia="en-US"/>
        </w:rPr>
        <w:br/>
      </w:r>
      <w:r w:rsidRPr="00520861">
        <w:rPr>
          <w:rFonts w:eastAsiaTheme="minorHAnsi"/>
          <w:i/>
          <w:sz w:val="28"/>
          <w:szCs w:val="28"/>
          <w:lang w:eastAsia="en-US"/>
        </w:rPr>
        <w:t>Експериментальна і клінічна медицина</w:t>
      </w:r>
      <w:r w:rsidRPr="00520861">
        <w:rPr>
          <w:rFonts w:eastAsiaTheme="minorHAnsi"/>
          <w:sz w:val="28"/>
          <w:szCs w:val="28"/>
          <w:lang w:eastAsia="en-US"/>
        </w:rPr>
        <w:t xml:space="preserve">.  2013;(1): 91–96.  </w:t>
      </w:r>
    </w:p>
    <w:p w14:paraId="77677B3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Мочалова</w:t>
      </w:r>
      <w:proofErr w:type="spellEnd"/>
      <w:r w:rsidRPr="00520861">
        <w:rPr>
          <w:rFonts w:eastAsiaTheme="minorHAnsi"/>
          <w:sz w:val="28"/>
          <w:szCs w:val="28"/>
          <w:lang w:eastAsia="en-US"/>
        </w:rPr>
        <w:t xml:space="preserve"> МН, Пономарева ЮН, </w:t>
      </w:r>
      <w:proofErr w:type="spellStart"/>
      <w:r w:rsidRPr="00520861">
        <w:rPr>
          <w:rFonts w:eastAsiaTheme="minorHAnsi"/>
          <w:sz w:val="28"/>
          <w:szCs w:val="28"/>
          <w:lang w:eastAsia="en-US"/>
        </w:rPr>
        <w:t>Мудров</w:t>
      </w:r>
      <w:proofErr w:type="spellEnd"/>
      <w:r w:rsidRPr="00520861">
        <w:rPr>
          <w:rFonts w:eastAsiaTheme="minorHAnsi"/>
          <w:sz w:val="28"/>
          <w:szCs w:val="28"/>
          <w:lang w:eastAsia="en-US"/>
        </w:rPr>
        <w:t xml:space="preserve"> АА, </w:t>
      </w:r>
      <w:proofErr w:type="spellStart"/>
      <w:r w:rsidRPr="00520861">
        <w:rPr>
          <w:rFonts w:eastAsiaTheme="minorHAnsi"/>
          <w:sz w:val="28"/>
          <w:szCs w:val="28"/>
          <w:lang w:eastAsia="en-US"/>
        </w:rPr>
        <w:t>Мудров</w:t>
      </w:r>
      <w:proofErr w:type="spellEnd"/>
      <w:r w:rsidRPr="00520861">
        <w:rPr>
          <w:rFonts w:eastAsiaTheme="minorHAnsi"/>
          <w:sz w:val="28"/>
          <w:szCs w:val="28"/>
          <w:lang w:eastAsia="en-US"/>
        </w:rPr>
        <w:t xml:space="preserve"> ВА. </w:t>
      </w:r>
      <w:proofErr w:type="spellStart"/>
      <w:r w:rsidRPr="00520861">
        <w:rPr>
          <w:rFonts w:eastAsiaTheme="minorHAnsi"/>
          <w:sz w:val="28"/>
          <w:szCs w:val="28"/>
          <w:lang w:eastAsia="en-US"/>
        </w:rPr>
        <w:t>Исходы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беременности</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родов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крупным</w:t>
      </w:r>
      <w:proofErr w:type="spellEnd"/>
      <w:r w:rsidRPr="00520861">
        <w:rPr>
          <w:rFonts w:eastAsiaTheme="minorHAnsi"/>
          <w:sz w:val="28"/>
          <w:szCs w:val="28"/>
          <w:lang w:eastAsia="en-US"/>
        </w:rPr>
        <w:t xml:space="preserve"> плодом. </w:t>
      </w:r>
      <w:r w:rsidRPr="00520861">
        <w:rPr>
          <w:rFonts w:eastAsiaTheme="minorHAnsi"/>
          <w:i/>
          <w:sz w:val="28"/>
          <w:szCs w:val="28"/>
          <w:lang w:eastAsia="en-US"/>
        </w:rPr>
        <w:t xml:space="preserve">Журнал акушерства и </w:t>
      </w:r>
      <w:proofErr w:type="spellStart"/>
      <w:r w:rsidRPr="00520861">
        <w:rPr>
          <w:rFonts w:eastAsiaTheme="minorHAnsi"/>
          <w:i/>
          <w:sz w:val="28"/>
          <w:szCs w:val="28"/>
          <w:lang w:eastAsia="en-US"/>
        </w:rPr>
        <w:t>женских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болезней</w:t>
      </w:r>
      <w:proofErr w:type="spellEnd"/>
      <w:r w:rsidRPr="00520861">
        <w:rPr>
          <w:rFonts w:eastAsiaTheme="minorHAnsi"/>
          <w:sz w:val="28"/>
          <w:szCs w:val="28"/>
          <w:lang w:eastAsia="en-US"/>
        </w:rPr>
        <w:t>. 2016</w:t>
      </w:r>
      <w:r w:rsidRPr="00520861">
        <w:rPr>
          <w:rFonts w:eastAsiaTheme="minorHAnsi"/>
          <w:sz w:val="28"/>
          <w:szCs w:val="28"/>
          <w:lang w:val="ru-RU" w:eastAsia="en-US"/>
        </w:rPr>
        <w:t>;65(6):</w:t>
      </w:r>
      <w:r w:rsidRPr="00520861">
        <w:rPr>
          <w:rFonts w:eastAsiaTheme="minorHAnsi"/>
          <w:sz w:val="28"/>
          <w:szCs w:val="28"/>
          <w:lang w:eastAsia="en-US"/>
        </w:rPr>
        <w:t xml:space="preserve"> 36–44.</w:t>
      </w:r>
    </w:p>
    <w:p w14:paraId="57EE179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Мью</w:t>
      </w:r>
      <w:proofErr w:type="spellEnd"/>
      <w:r w:rsidRPr="00520861">
        <w:rPr>
          <w:rFonts w:eastAsiaTheme="minorHAnsi"/>
          <w:sz w:val="28"/>
          <w:szCs w:val="28"/>
          <w:lang w:eastAsia="en-US"/>
        </w:rPr>
        <w:t xml:space="preserve"> Д. </w:t>
      </w:r>
      <w:proofErr w:type="spellStart"/>
      <w:r w:rsidRPr="00520861">
        <w:rPr>
          <w:rFonts w:eastAsiaTheme="minorHAnsi"/>
          <w:i/>
          <w:sz w:val="28"/>
          <w:szCs w:val="28"/>
          <w:lang w:eastAsia="en-US"/>
        </w:rPr>
        <w:t>Мальокклюзия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зубов</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ортотропический</w:t>
      </w:r>
      <w:proofErr w:type="spellEnd"/>
      <w:r w:rsidRPr="00520861">
        <w:rPr>
          <w:rFonts w:eastAsiaTheme="minorHAnsi"/>
          <w:i/>
          <w:sz w:val="28"/>
          <w:szCs w:val="28"/>
          <w:lang w:eastAsia="en-US"/>
        </w:rPr>
        <w:t xml:space="preserve"> поход</w:t>
      </w:r>
      <w:r w:rsidRPr="00520861">
        <w:rPr>
          <w:rFonts w:eastAsiaTheme="minorHAnsi"/>
          <w:sz w:val="28"/>
          <w:szCs w:val="28"/>
          <w:lang w:eastAsia="en-US"/>
        </w:rPr>
        <w:t>. Москва: ТАРКОММ</w:t>
      </w:r>
      <w:r w:rsidRPr="00520861">
        <w:rPr>
          <w:rFonts w:eastAsiaTheme="minorHAnsi"/>
          <w:sz w:val="28"/>
          <w:szCs w:val="28"/>
          <w:lang w:val="ru-RU" w:eastAsia="en-US"/>
        </w:rPr>
        <w:t>;</w:t>
      </w:r>
      <w:r w:rsidRPr="00520861">
        <w:rPr>
          <w:rFonts w:eastAsiaTheme="minorHAnsi"/>
          <w:sz w:val="28"/>
          <w:szCs w:val="28"/>
          <w:lang w:eastAsia="en-US"/>
        </w:rPr>
        <w:t xml:space="preserve"> 2018. 247 с.</w:t>
      </w:r>
    </w:p>
    <w:p w14:paraId="640AC67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Непокупна-Слободянюк ТС. Ефективність консервативного лікування хронічного </w:t>
      </w:r>
      <w:proofErr w:type="spellStart"/>
      <w:r w:rsidRPr="00520861">
        <w:rPr>
          <w:rFonts w:eastAsiaTheme="minorHAnsi"/>
          <w:sz w:val="28"/>
          <w:szCs w:val="28"/>
          <w:lang w:eastAsia="en-US"/>
        </w:rPr>
        <w:t>генералізованого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пародонтиту</w:t>
      </w:r>
      <w:proofErr w:type="spellEnd"/>
      <w:r w:rsidRPr="00520861">
        <w:rPr>
          <w:rFonts w:eastAsiaTheme="minorHAnsi"/>
          <w:sz w:val="28"/>
          <w:szCs w:val="28"/>
          <w:lang w:eastAsia="en-US"/>
        </w:rPr>
        <w:t xml:space="preserve"> із застосуванням довготривалого курсу </w:t>
      </w:r>
      <w:proofErr w:type="spellStart"/>
      <w:r w:rsidRPr="00520861">
        <w:rPr>
          <w:rFonts w:eastAsiaTheme="minorHAnsi"/>
          <w:sz w:val="28"/>
          <w:szCs w:val="28"/>
          <w:lang w:eastAsia="en-US"/>
        </w:rPr>
        <w:t>азитроміцину</w:t>
      </w:r>
      <w:proofErr w:type="spellEnd"/>
      <w:r w:rsidRPr="00520861">
        <w:rPr>
          <w:rFonts w:eastAsiaTheme="minorHAnsi"/>
          <w:sz w:val="28"/>
          <w:szCs w:val="28"/>
          <w:lang w:eastAsia="en-US"/>
        </w:rPr>
        <w:t xml:space="preserve">. </w:t>
      </w:r>
      <w:r w:rsidRPr="00520861">
        <w:rPr>
          <w:rFonts w:eastAsiaTheme="minorHAnsi"/>
          <w:i/>
          <w:sz w:val="28"/>
          <w:szCs w:val="28"/>
          <w:lang w:eastAsia="en-US"/>
        </w:rPr>
        <w:t>Світ медицини та біології</w:t>
      </w:r>
      <w:r w:rsidRPr="00520861">
        <w:rPr>
          <w:rFonts w:eastAsiaTheme="minorHAnsi"/>
          <w:sz w:val="28"/>
          <w:szCs w:val="28"/>
          <w:lang w:eastAsia="en-US"/>
        </w:rPr>
        <w:t>. 2014;43(1): 66–70.</w:t>
      </w:r>
    </w:p>
    <w:p w14:paraId="0C6C338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Новик</w:t>
      </w:r>
      <w:proofErr w:type="spellEnd"/>
      <w:r w:rsidRPr="00520861">
        <w:rPr>
          <w:rFonts w:eastAsiaTheme="minorHAnsi"/>
          <w:sz w:val="28"/>
          <w:szCs w:val="28"/>
          <w:lang w:eastAsia="en-US"/>
        </w:rPr>
        <w:t xml:space="preserve"> ИО, </w:t>
      </w:r>
      <w:proofErr w:type="spellStart"/>
      <w:r w:rsidRPr="00520861">
        <w:rPr>
          <w:rFonts w:eastAsiaTheme="minorHAnsi"/>
          <w:sz w:val="28"/>
          <w:szCs w:val="28"/>
          <w:lang w:eastAsia="en-US"/>
        </w:rPr>
        <w:t>Керимов</w:t>
      </w:r>
      <w:proofErr w:type="spellEnd"/>
      <w:r w:rsidRPr="00520861">
        <w:rPr>
          <w:rFonts w:eastAsiaTheme="minorHAnsi"/>
          <w:sz w:val="28"/>
          <w:szCs w:val="28"/>
          <w:lang w:eastAsia="en-US"/>
        </w:rPr>
        <w:t xml:space="preserve"> ЭЭ. </w:t>
      </w:r>
      <w:proofErr w:type="spellStart"/>
      <w:r w:rsidRPr="00520861">
        <w:rPr>
          <w:rFonts w:eastAsiaTheme="minorHAnsi"/>
          <w:sz w:val="28"/>
          <w:szCs w:val="28"/>
          <w:lang w:eastAsia="en-US"/>
        </w:rPr>
        <w:t>Влияние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гипертиреоза</w:t>
      </w:r>
      <w:proofErr w:type="spellEnd"/>
      <w:r w:rsidRPr="00520861">
        <w:rPr>
          <w:rFonts w:eastAsiaTheme="minorHAnsi"/>
          <w:sz w:val="28"/>
          <w:szCs w:val="28"/>
          <w:lang w:eastAsia="en-US"/>
        </w:rPr>
        <w:t xml:space="preserve"> на </w:t>
      </w:r>
      <w:proofErr w:type="spellStart"/>
      <w:r w:rsidRPr="00520861">
        <w:rPr>
          <w:rFonts w:eastAsiaTheme="minorHAnsi"/>
          <w:sz w:val="28"/>
          <w:szCs w:val="28"/>
          <w:lang w:eastAsia="en-US"/>
        </w:rPr>
        <w:t>рост</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развитие</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минеральный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обмен</w:t>
      </w:r>
      <w:proofErr w:type="spellEnd"/>
      <w:r w:rsidRPr="00520861">
        <w:rPr>
          <w:rFonts w:eastAsiaTheme="minorHAnsi"/>
          <w:sz w:val="28"/>
          <w:szCs w:val="28"/>
          <w:lang w:eastAsia="en-US"/>
        </w:rPr>
        <w:t xml:space="preserve"> в зубах</w:t>
      </w:r>
      <w:r w:rsidRPr="00520861">
        <w:rPr>
          <w:rFonts w:eastAsiaTheme="minorHAnsi"/>
          <w:sz w:val="28"/>
          <w:szCs w:val="28"/>
          <w:lang w:val="ru-RU" w:eastAsia="en-US"/>
        </w:rPr>
        <w:t xml:space="preserve">. </w:t>
      </w:r>
      <w:proofErr w:type="spellStart"/>
      <w:r w:rsidRPr="00520861">
        <w:rPr>
          <w:rFonts w:eastAsiaTheme="minorHAnsi"/>
          <w:i/>
          <w:sz w:val="28"/>
          <w:szCs w:val="28"/>
          <w:lang w:eastAsia="en-US"/>
        </w:rPr>
        <w:t>Юбилейный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сборник</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ученых</w:t>
      </w:r>
      <w:proofErr w:type="spellEnd"/>
      <w:r w:rsidRPr="00520861">
        <w:rPr>
          <w:rFonts w:eastAsiaTheme="minorHAnsi"/>
          <w:i/>
          <w:sz w:val="28"/>
          <w:szCs w:val="28"/>
          <w:lang w:eastAsia="en-US"/>
        </w:rPr>
        <w:t xml:space="preserve"> записок Азербайджан. </w:t>
      </w:r>
      <w:proofErr w:type="spellStart"/>
      <w:r w:rsidRPr="00520861">
        <w:rPr>
          <w:rFonts w:eastAsiaTheme="minorHAnsi"/>
          <w:i/>
          <w:sz w:val="28"/>
          <w:szCs w:val="28"/>
          <w:lang w:eastAsia="en-US"/>
        </w:rPr>
        <w:t>гос</w:t>
      </w:r>
      <w:proofErr w:type="spellEnd"/>
      <w:r w:rsidRPr="00520861">
        <w:rPr>
          <w:rFonts w:eastAsiaTheme="minorHAnsi"/>
          <w:i/>
          <w:sz w:val="28"/>
          <w:szCs w:val="28"/>
          <w:lang w:eastAsia="en-US"/>
        </w:rPr>
        <w:t xml:space="preserve">. мед. </w:t>
      </w:r>
      <w:proofErr w:type="spellStart"/>
      <w:r w:rsidRPr="00520861">
        <w:rPr>
          <w:rFonts w:eastAsiaTheme="minorHAnsi"/>
          <w:i/>
          <w:sz w:val="28"/>
          <w:szCs w:val="28"/>
          <w:lang w:eastAsia="en-US"/>
        </w:rPr>
        <w:t>ин</w:t>
      </w:r>
      <w:proofErr w:type="spellEnd"/>
      <w:r w:rsidRPr="00520861">
        <w:rPr>
          <w:rFonts w:eastAsiaTheme="minorHAnsi"/>
          <w:i/>
          <w:sz w:val="28"/>
          <w:szCs w:val="28"/>
          <w:lang w:eastAsia="en-US"/>
        </w:rPr>
        <w:t>-та.</w:t>
      </w:r>
      <w:r w:rsidRPr="00520861">
        <w:rPr>
          <w:rFonts w:eastAsiaTheme="minorHAnsi"/>
          <w:sz w:val="28"/>
          <w:szCs w:val="28"/>
          <w:lang w:eastAsia="en-US"/>
        </w:rPr>
        <w:t xml:space="preserve"> 1967</w:t>
      </w:r>
      <w:r w:rsidRPr="00520861">
        <w:rPr>
          <w:rFonts w:eastAsiaTheme="minorHAnsi"/>
          <w:sz w:val="28"/>
          <w:szCs w:val="28"/>
          <w:lang w:val="ru-RU" w:eastAsia="en-US"/>
        </w:rPr>
        <w:t>;</w:t>
      </w:r>
      <w:r w:rsidRPr="00520861">
        <w:rPr>
          <w:rFonts w:eastAsiaTheme="minorHAnsi"/>
          <w:sz w:val="28"/>
          <w:szCs w:val="28"/>
          <w:lang w:eastAsia="en-US"/>
        </w:rPr>
        <w:t>26–27</w:t>
      </w:r>
      <w:r w:rsidRPr="00520861">
        <w:rPr>
          <w:rFonts w:eastAsiaTheme="minorHAnsi"/>
          <w:sz w:val="28"/>
          <w:szCs w:val="28"/>
          <w:lang w:val="ru-RU" w:eastAsia="en-US"/>
        </w:rPr>
        <w:t>:</w:t>
      </w:r>
      <w:r w:rsidRPr="00520861">
        <w:rPr>
          <w:rFonts w:eastAsiaTheme="minorHAnsi"/>
          <w:sz w:val="28"/>
          <w:szCs w:val="28"/>
          <w:lang w:eastAsia="en-US"/>
        </w:rPr>
        <w:t xml:space="preserve"> 383–389.</w:t>
      </w:r>
    </w:p>
    <w:p w14:paraId="2E00636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Образцов</w:t>
      </w:r>
      <w:proofErr w:type="spellEnd"/>
      <w:r w:rsidRPr="00520861">
        <w:rPr>
          <w:rFonts w:eastAsiaTheme="minorHAnsi"/>
          <w:sz w:val="28"/>
          <w:szCs w:val="28"/>
          <w:lang w:eastAsia="en-US"/>
        </w:rPr>
        <w:t xml:space="preserve"> ЮЛ, </w:t>
      </w:r>
      <w:proofErr w:type="spellStart"/>
      <w:r w:rsidRPr="00520861">
        <w:rPr>
          <w:rFonts w:eastAsiaTheme="minorHAnsi"/>
          <w:sz w:val="28"/>
          <w:szCs w:val="28"/>
          <w:lang w:eastAsia="en-US"/>
        </w:rPr>
        <w:t>Ларионов</w:t>
      </w:r>
      <w:proofErr w:type="spellEnd"/>
      <w:r w:rsidRPr="00520861">
        <w:rPr>
          <w:rFonts w:eastAsiaTheme="minorHAnsi"/>
          <w:sz w:val="28"/>
          <w:szCs w:val="28"/>
          <w:lang w:eastAsia="en-US"/>
        </w:rPr>
        <w:t xml:space="preserve"> СН. </w:t>
      </w:r>
      <w:proofErr w:type="spellStart"/>
      <w:r w:rsidRPr="00520861">
        <w:rPr>
          <w:rFonts w:eastAsiaTheme="minorHAnsi"/>
          <w:i/>
          <w:sz w:val="28"/>
          <w:szCs w:val="28"/>
          <w:lang w:eastAsia="en-US"/>
        </w:rPr>
        <w:t>Пропедевтическая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ортодонтия</w:t>
      </w:r>
      <w:proofErr w:type="spellEnd"/>
      <w:r w:rsidRPr="00520861">
        <w:rPr>
          <w:rFonts w:eastAsiaTheme="minorHAnsi"/>
          <w:sz w:val="28"/>
          <w:szCs w:val="28"/>
          <w:lang w:eastAsia="en-US"/>
        </w:rPr>
        <w:t>. С-</w:t>
      </w:r>
      <w:proofErr w:type="spellStart"/>
      <w:r w:rsidRPr="00520861">
        <w:rPr>
          <w:rFonts w:eastAsiaTheme="minorHAnsi"/>
          <w:sz w:val="28"/>
          <w:szCs w:val="28"/>
          <w:lang w:eastAsia="en-US"/>
        </w:rPr>
        <w:t>Петерб</w:t>
      </w:r>
      <w:proofErr w:type="spellEnd"/>
      <w:r w:rsidRPr="00520861">
        <w:rPr>
          <w:rFonts w:eastAsiaTheme="minorHAnsi"/>
          <w:sz w:val="28"/>
          <w:szCs w:val="28"/>
          <w:lang w:eastAsia="en-US"/>
        </w:rPr>
        <w:t xml:space="preserve">, РФ : </w:t>
      </w:r>
      <w:proofErr w:type="spellStart"/>
      <w:r w:rsidRPr="00520861">
        <w:rPr>
          <w:rFonts w:eastAsiaTheme="minorHAnsi"/>
          <w:sz w:val="28"/>
          <w:szCs w:val="28"/>
          <w:lang w:eastAsia="en-US"/>
        </w:rPr>
        <w:t>СпецЛит</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2007. 160 с.</w:t>
      </w:r>
    </w:p>
    <w:p w14:paraId="5FF35A1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Парахонский</w:t>
      </w:r>
      <w:proofErr w:type="spellEnd"/>
      <w:r w:rsidRPr="00520861">
        <w:rPr>
          <w:rFonts w:eastAsiaTheme="minorHAnsi"/>
          <w:sz w:val="28"/>
          <w:szCs w:val="28"/>
          <w:lang w:eastAsia="en-US"/>
        </w:rPr>
        <w:t xml:space="preserve"> АП, Перова НЮ. Роль </w:t>
      </w:r>
      <w:proofErr w:type="spellStart"/>
      <w:r w:rsidRPr="00520861">
        <w:rPr>
          <w:rFonts w:eastAsiaTheme="minorHAnsi"/>
          <w:sz w:val="28"/>
          <w:szCs w:val="28"/>
          <w:lang w:eastAsia="en-US"/>
        </w:rPr>
        <w:t>цитокинов</w:t>
      </w:r>
      <w:proofErr w:type="spellEnd"/>
      <w:r w:rsidRPr="00520861">
        <w:rPr>
          <w:rFonts w:eastAsiaTheme="minorHAnsi"/>
          <w:sz w:val="28"/>
          <w:szCs w:val="28"/>
          <w:lang w:eastAsia="en-US"/>
        </w:rPr>
        <w:t xml:space="preserve"> в патогенезе </w:t>
      </w:r>
      <w:proofErr w:type="spellStart"/>
      <w:r w:rsidRPr="00520861">
        <w:rPr>
          <w:rFonts w:eastAsiaTheme="minorHAnsi"/>
          <w:sz w:val="28"/>
          <w:szCs w:val="28"/>
          <w:lang w:eastAsia="en-US"/>
        </w:rPr>
        <w:t>пародонтита</w:t>
      </w:r>
      <w:proofErr w:type="spellEnd"/>
      <w:r w:rsidRPr="00520861">
        <w:rPr>
          <w:rFonts w:eastAsiaTheme="minorHAnsi"/>
          <w:sz w:val="28"/>
          <w:szCs w:val="28"/>
          <w:lang w:eastAsia="en-US"/>
        </w:rPr>
        <w:t xml:space="preserve">. </w:t>
      </w:r>
      <w:r w:rsidR="00A33F1D" w:rsidRPr="00520861">
        <w:rPr>
          <w:rFonts w:eastAsiaTheme="minorHAnsi"/>
          <w:sz w:val="28"/>
          <w:szCs w:val="28"/>
          <w:lang w:eastAsia="en-US"/>
        </w:rPr>
        <w:br/>
      </w:r>
      <w:proofErr w:type="spellStart"/>
      <w:r w:rsidRPr="00520861">
        <w:rPr>
          <w:rFonts w:eastAsiaTheme="minorHAnsi"/>
          <w:i/>
          <w:sz w:val="28"/>
          <w:szCs w:val="28"/>
          <w:lang w:eastAsia="en-US"/>
        </w:rPr>
        <w:t>Естественно-гуманитарные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исследования</w:t>
      </w:r>
      <w:proofErr w:type="spellEnd"/>
      <w:r w:rsidRPr="00520861">
        <w:rPr>
          <w:rFonts w:eastAsiaTheme="minorHAnsi"/>
          <w:sz w:val="28"/>
          <w:szCs w:val="28"/>
          <w:lang w:eastAsia="en-US"/>
        </w:rPr>
        <w:t>. 2015;</w:t>
      </w:r>
      <w:r w:rsidRPr="00520861">
        <w:rPr>
          <w:rFonts w:eastAsiaTheme="minorHAnsi"/>
          <w:sz w:val="28"/>
          <w:szCs w:val="28"/>
          <w:lang w:val="ru-RU" w:eastAsia="en-US"/>
        </w:rPr>
        <w:t>(</w:t>
      </w:r>
      <w:r w:rsidRPr="00520861">
        <w:rPr>
          <w:rFonts w:eastAsiaTheme="minorHAnsi"/>
          <w:sz w:val="28"/>
          <w:szCs w:val="28"/>
          <w:lang w:eastAsia="en-US"/>
        </w:rPr>
        <w:t>7</w:t>
      </w:r>
      <w:r w:rsidRPr="00520861">
        <w:rPr>
          <w:rFonts w:eastAsiaTheme="minorHAnsi"/>
          <w:sz w:val="28"/>
          <w:szCs w:val="28"/>
          <w:lang w:val="ru-RU" w:eastAsia="en-US"/>
        </w:rPr>
        <w:t>)</w:t>
      </w:r>
      <w:r w:rsidRPr="00520861">
        <w:rPr>
          <w:rFonts w:eastAsiaTheme="minorHAnsi"/>
          <w:sz w:val="28"/>
          <w:szCs w:val="28"/>
          <w:lang w:eastAsia="en-US"/>
        </w:rPr>
        <w:t>:75–81.</w:t>
      </w:r>
    </w:p>
    <w:p w14:paraId="15D2EF42"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proofErr w:type="spellStart"/>
      <w:r w:rsidRPr="00520861">
        <w:rPr>
          <w:rFonts w:eastAsia="Calibri"/>
          <w:sz w:val="28"/>
          <w:szCs w:val="28"/>
          <w:lang w:eastAsia="en-US"/>
        </w:rPr>
        <w:t>Петрушанко</w:t>
      </w:r>
      <w:proofErr w:type="spellEnd"/>
      <w:r w:rsidRPr="00520861">
        <w:rPr>
          <w:rFonts w:eastAsia="Calibri"/>
          <w:sz w:val="28"/>
          <w:szCs w:val="28"/>
          <w:lang w:eastAsia="en-US"/>
        </w:rPr>
        <w:t xml:space="preserve"> АМ, </w:t>
      </w:r>
      <w:proofErr w:type="spellStart"/>
      <w:r w:rsidRPr="00520861">
        <w:rPr>
          <w:rFonts w:eastAsia="Calibri"/>
          <w:sz w:val="28"/>
          <w:szCs w:val="28"/>
          <w:lang w:eastAsia="en-US"/>
        </w:rPr>
        <w:t>Германчук</w:t>
      </w:r>
      <w:proofErr w:type="spellEnd"/>
      <w:r w:rsidRPr="00520861">
        <w:rPr>
          <w:rFonts w:eastAsia="Calibri"/>
          <w:sz w:val="28"/>
          <w:szCs w:val="28"/>
          <w:lang w:eastAsia="en-US"/>
        </w:rPr>
        <w:t xml:space="preserve"> СМ. Зміни властивостей ротової рідини під дією розроблених методів лікування запалення тканин </w:t>
      </w:r>
      <w:proofErr w:type="spellStart"/>
      <w:r w:rsidRPr="00520861">
        <w:rPr>
          <w:rFonts w:eastAsia="Calibri"/>
          <w:sz w:val="28"/>
          <w:szCs w:val="28"/>
          <w:lang w:eastAsia="en-US"/>
        </w:rPr>
        <w:t>пародонта</w:t>
      </w:r>
      <w:proofErr w:type="spellEnd"/>
      <w:r w:rsidRPr="00520861">
        <w:rPr>
          <w:rFonts w:eastAsia="Calibri"/>
          <w:sz w:val="28"/>
          <w:szCs w:val="28"/>
          <w:lang w:eastAsia="en-US"/>
        </w:rPr>
        <w:t xml:space="preserve"> в пацієнтів із незнімними конструкціями зубних протезів у порожнині рота в динаміці. </w:t>
      </w:r>
      <w:r w:rsidRPr="00520861">
        <w:rPr>
          <w:rFonts w:eastAsia="Calibri"/>
          <w:i/>
          <w:sz w:val="28"/>
          <w:szCs w:val="28"/>
          <w:lang w:eastAsia="en-US"/>
        </w:rPr>
        <w:t xml:space="preserve">Український </w:t>
      </w:r>
      <w:r w:rsidR="00A33F1D" w:rsidRPr="00520861">
        <w:rPr>
          <w:rFonts w:eastAsia="Calibri"/>
          <w:i/>
          <w:sz w:val="28"/>
          <w:szCs w:val="28"/>
          <w:lang w:eastAsia="en-US"/>
        </w:rPr>
        <w:br/>
      </w:r>
      <w:r w:rsidRPr="00520861">
        <w:rPr>
          <w:rFonts w:eastAsia="Calibri"/>
          <w:i/>
          <w:sz w:val="28"/>
          <w:szCs w:val="28"/>
          <w:lang w:eastAsia="en-US"/>
        </w:rPr>
        <w:t>стоматологічний альманах.</w:t>
      </w:r>
      <w:r w:rsidRPr="00520861">
        <w:rPr>
          <w:rFonts w:eastAsia="Calibri"/>
          <w:sz w:val="28"/>
          <w:szCs w:val="28"/>
          <w:lang w:eastAsia="en-US"/>
        </w:rPr>
        <w:t xml:space="preserve"> 2015; (4): 54–60.</w:t>
      </w:r>
    </w:p>
    <w:p w14:paraId="5831697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Петрушанко</w:t>
      </w:r>
      <w:proofErr w:type="spellEnd"/>
      <w:r w:rsidRPr="00520861">
        <w:rPr>
          <w:rFonts w:eastAsiaTheme="minorHAnsi"/>
          <w:sz w:val="28"/>
          <w:szCs w:val="28"/>
          <w:lang w:eastAsia="en-US"/>
        </w:rPr>
        <w:t xml:space="preserve"> ТА, Череда ВВ, Лобань ГА. </w:t>
      </w:r>
      <w:proofErr w:type="spellStart"/>
      <w:r w:rsidRPr="00520861">
        <w:rPr>
          <w:rFonts w:eastAsiaTheme="minorHAnsi"/>
          <w:sz w:val="28"/>
          <w:szCs w:val="28"/>
          <w:lang w:eastAsia="en-US"/>
        </w:rPr>
        <w:t>Динамика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бактериальной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обсемен</w:t>
      </w:r>
      <w:r w:rsidRPr="00520861">
        <w:rPr>
          <w:rFonts w:eastAsiaTheme="minorHAnsi"/>
          <w:sz w:val="28"/>
          <w:szCs w:val="28"/>
          <w:lang w:val="ru-RU" w:eastAsia="en-US"/>
        </w:rPr>
        <w:t>ен</w:t>
      </w:r>
      <w:r w:rsidRPr="00520861">
        <w:rPr>
          <w:rFonts w:eastAsiaTheme="minorHAnsi"/>
          <w:sz w:val="28"/>
          <w:szCs w:val="28"/>
          <w:lang w:eastAsia="en-US"/>
        </w:rPr>
        <w:t>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десневой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борозды</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лечении</w:t>
      </w:r>
      <w:proofErr w:type="spellEnd"/>
      <w:r w:rsidRPr="00520861">
        <w:rPr>
          <w:rFonts w:eastAsiaTheme="minorHAnsi"/>
          <w:sz w:val="28"/>
          <w:szCs w:val="28"/>
          <w:lang w:eastAsia="en-US"/>
        </w:rPr>
        <w:t xml:space="preserve"> катарального </w:t>
      </w:r>
      <w:proofErr w:type="spellStart"/>
      <w:r w:rsidRPr="00520861">
        <w:rPr>
          <w:rFonts w:eastAsiaTheme="minorHAnsi"/>
          <w:sz w:val="28"/>
          <w:szCs w:val="28"/>
          <w:lang w:eastAsia="en-US"/>
        </w:rPr>
        <w:t>гингивита</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лиц</w:t>
      </w:r>
      <w:proofErr w:type="spellEnd"/>
      <w:r w:rsidRPr="00520861">
        <w:rPr>
          <w:rFonts w:eastAsiaTheme="minorHAnsi"/>
          <w:sz w:val="28"/>
          <w:szCs w:val="28"/>
          <w:lang w:eastAsia="en-US"/>
        </w:rPr>
        <w:t xml:space="preserve"> молодого </w:t>
      </w:r>
      <w:proofErr w:type="spellStart"/>
      <w:r w:rsidRPr="00520861">
        <w:rPr>
          <w:rFonts w:eastAsiaTheme="minorHAnsi"/>
          <w:sz w:val="28"/>
          <w:szCs w:val="28"/>
          <w:lang w:eastAsia="en-US"/>
        </w:rPr>
        <w:t>возраста</w:t>
      </w:r>
      <w:proofErr w:type="spellEnd"/>
      <w:r w:rsidRPr="00520861">
        <w:rPr>
          <w:rFonts w:eastAsiaTheme="minorHAnsi"/>
          <w:sz w:val="28"/>
          <w:szCs w:val="28"/>
          <w:lang w:eastAsia="en-US"/>
        </w:rPr>
        <w:t xml:space="preserve">. </w:t>
      </w:r>
      <w:r w:rsidRPr="00520861">
        <w:rPr>
          <w:rFonts w:eastAsiaTheme="minorHAnsi"/>
          <w:i/>
          <w:sz w:val="28"/>
          <w:szCs w:val="28"/>
          <w:lang w:eastAsia="en-US"/>
        </w:rPr>
        <w:t>Молодий вчений</w:t>
      </w:r>
      <w:r w:rsidRPr="00520861">
        <w:rPr>
          <w:rFonts w:eastAsiaTheme="minorHAnsi"/>
          <w:sz w:val="28"/>
          <w:szCs w:val="28"/>
          <w:lang w:eastAsia="en-US"/>
        </w:rPr>
        <w:t>. 2014;4(1), 169–171.</w:t>
      </w:r>
    </w:p>
    <w:p w14:paraId="7AA8577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Пиксин</w:t>
      </w:r>
      <w:proofErr w:type="spellEnd"/>
      <w:r w:rsidRPr="00520861">
        <w:rPr>
          <w:rFonts w:eastAsiaTheme="minorHAnsi"/>
          <w:sz w:val="28"/>
          <w:szCs w:val="28"/>
          <w:lang w:eastAsia="en-US"/>
        </w:rPr>
        <w:t xml:space="preserve"> ИН, </w:t>
      </w:r>
      <w:proofErr w:type="spellStart"/>
      <w:r w:rsidRPr="00520861">
        <w:rPr>
          <w:rFonts w:eastAsiaTheme="minorHAnsi"/>
          <w:sz w:val="28"/>
          <w:szCs w:val="28"/>
          <w:lang w:eastAsia="en-US"/>
        </w:rPr>
        <w:t>Давыдкин</w:t>
      </w:r>
      <w:proofErr w:type="spellEnd"/>
      <w:r w:rsidRPr="00520861">
        <w:rPr>
          <w:rFonts w:eastAsiaTheme="minorHAnsi"/>
          <w:sz w:val="28"/>
          <w:szCs w:val="28"/>
          <w:lang w:eastAsia="en-US"/>
        </w:rPr>
        <w:t xml:space="preserve"> ВИ, </w:t>
      </w:r>
      <w:proofErr w:type="spellStart"/>
      <w:r w:rsidRPr="00520861">
        <w:rPr>
          <w:rFonts w:eastAsiaTheme="minorHAnsi"/>
          <w:sz w:val="28"/>
          <w:szCs w:val="28"/>
          <w:lang w:eastAsia="en-US"/>
        </w:rPr>
        <w:t>Московченко</w:t>
      </w:r>
      <w:proofErr w:type="spellEnd"/>
      <w:r w:rsidRPr="00520861">
        <w:rPr>
          <w:rFonts w:eastAsiaTheme="minorHAnsi"/>
          <w:sz w:val="28"/>
          <w:szCs w:val="28"/>
          <w:lang w:eastAsia="en-US"/>
        </w:rPr>
        <w:t xml:space="preserve"> АС, </w:t>
      </w:r>
      <w:proofErr w:type="spellStart"/>
      <w:r w:rsidRPr="00520861">
        <w:rPr>
          <w:rFonts w:eastAsiaTheme="minorHAnsi"/>
          <w:sz w:val="28"/>
          <w:szCs w:val="28"/>
          <w:lang w:eastAsia="en-US"/>
        </w:rPr>
        <w:t>Вилков</w:t>
      </w:r>
      <w:proofErr w:type="spellEnd"/>
      <w:r w:rsidRPr="00520861">
        <w:rPr>
          <w:rFonts w:eastAsiaTheme="minorHAnsi"/>
          <w:sz w:val="28"/>
          <w:szCs w:val="28"/>
          <w:lang w:eastAsia="en-US"/>
        </w:rPr>
        <w:t xml:space="preserve"> АВ, </w:t>
      </w:r>
      <w:proofErr w:type="spellStart"/>
      <w:r w:rsidRPr="00520861">
        <w:rPr>
          <w:rFonts w:eastAsiaTheme="minorHAnsi"/>
          <w:sz w:val="28"/>
          <w:szCs w:val="28"/>
          <w:lang w:eastAsia="en-US"/>
        </w:rPr>
        <w:t>Кечайкин</w:t>
      </w:r>
      <w:proofErr w:type="spellEnd"/>
      <w:r w:rsidRPr="00520861">
        <w:rPr>
          <w:rFonts w:eastAsiaTheme="minorHAnsi"/>
          <w:sz w:val="28"/>
          <w:szCs w:val="28"/>
          <w:lang w:eastAsia="en-US"/>
        </w:rPr>
        <w:t xml:space="preserve"> АН. </w:t>
      </w:r>
      <w:proofErr w:type="spellStart"/>
      <w:r w:rsidRPr="00520861">
        <w:rPr>
          <w:rFonts w:eastAsiaTheme="minorHAnsi"/>
          <w:sz w:val="28"/>
          <w:szCs w:val="28"/>
          <w:lang w:eastAsia="en-US"/>
        </w:rPr>
        <w:t>Состояние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костного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метаболизма</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заболеваниях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щитовидной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железы</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Медицинский</w:t>
      </w:r>
      <w:proofErr w:type="spellEnd"/>
      <w:r w:rsidRPr="00520861">
        <w:rPr>
          <w:rFonts w:eastAsiaTheme="minorHAnsi"/>
          <w:i/>
          <w:sz w:val="28"/>
          <w:szCs w:val="28"/>
          <w:lang w:eastAsia="en-US"/>
        </w:rPr>
        <w:t xml:space="preserve"> альманах</w:t>
      </w:r>
      <w:r w:rsidRPr="00520861">
        <w:rPr>
          <w:rFonts w:eastAsiaTheme="minorHAnsi"/>
          <w:sz w:val="28"/>
          <w:szCs w:val="28"/>
          <w:lang w:eastAsia="en-US"/>
        </w:rPr>
        <w:t>. 2016;44(4):</w:t>
      </w:r>
      <w:r w:rsidRPr="00520861">
        <w:rPr>
          <w:rFonts w:eastAsiaTheme="minorHAnsi"/>
          <w:sz w:val="28"/>
          <w:szCs w:val="28"/>
          <w:lang w:val="ru-RU" w:eastAsia="en-US"/>
        </w:rPr>
        <w:t xml:space="preserve"> </w:t>
      </w:r>
      <w:r w:rsidRPr="00520861">
        <w:rPr>
          <w:rFonts w:eastAsiaTheme="minorHAnsi"/>
          <w:sz w:val="28"/>
          <w:szCs w:val="28"/>
          <w:lang w:eastAsia="en-US"/>
        </w:rPr>
        <w:t>154–</w:t>
      </w:r>
      <w:r w:rsidRPr="00520861">
        <w:rPr>
          <w:rFonts w:eastAsiaTheme="minorHAnsi"/>
          <w:sz w:val="28"/>
          <w:szCs w:val="28"/>
          <w:lang w:val="ru-RU" w:eastAsia="en-US"/>
        </w:rPr>
        <w:t>15</w:t>
      </w:r>
      <w:r w:rsidRPr="00520861">
        <w:rPr>
          <w:rFonts w:eastAsiaTheme="minorHAnsi"/>
          <w:sz w:val="28"/>
          <w:szCs w:val="28"/>
          <w:lang w:eastAsia="en-US"/>
        </w:rPr>
        <w:t>7.</w:t>
      </w:r>
    </w:p>
    <w:p w14:paraId="2731656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Пилипюк</w:t>
      </w:r>
      <w:proofErr w:type="spellEnd"/>
      <w:r w:rsidRPr="00520861">
        <w:rPr>
          <w:rFonts w:eastAsiaTheme="minorHAnsi"/>
          <w:sz w:val="28"/>
          <w:szCs w:val="28"/>
          <w:lang w:eastAsia="en-US"/>
        </w:rPr>
        <w:t xml:space="preserve"> ОЮ. </w:t>
      </w:r>
      <w:proofErr w:type="spellStart"/>
      <w:r w:rsidRPr="00520861">
        <w:rPr>
          <w:rFonts w:eastAsiaTheme="minorHAnsi"/>
          <w:i/>
          <w:sz w:val="28"/>
          <w:szCs w:val="28"/>
          <w:lang w:eastAsia="en-US"/>
        </w:rPr>
        <w:t>Обгрунтування</w:t>
      </w:r>
      <w:proofErr w:type="spellEnd"/>
      <w:r w:rsidRPr="00520861">
        <w:rPr>
          <w:rFonts w:eastAsiaTheme="minorHAnsi"/>
          <w:i/>
          <w:sz w:val="28"/>
          <w:szCs w:val="28"/>
          <w:lang w:eastAsia="en-US"/>
        </w:rPr>
        <w:t xml:space="preserve"> комплексної профілактики і лікування карієсу зубів у дітей з ювенільним </w:t>
      </w:r>
      <w:proofErr w:type="spellStart"/>
      <w:r w:rsidRPr="00520861">
        <w:rPr>
          <w:rFonts w:eastAsiaTheme="minorHAnsi"/>
          <w:i/>
          <w:sz w:val="28"/>
          <w:szCs w:val="28"/>
          <w:lang w:eastAsia="en-US"/>
        </w:rPr>
        <w:t>ревматоїдним</w:t>
      </w:r>
      <w:proofErr w:type="spellEnd"/>
      <w:r w:rsidRPr="00520861">
        <w:rPr>
          <w:rFonts w:eastAsiaTheme="minorHAnsi"/>
          <w:i/>
          <w:sz w:val="28"/>
          <w:szCs w:val="28"/>
          <w:lang w:eastAsia="en-US"/>
        </w:rPr>
        <w:t xml:space="preserve"> артритом</w:t>
      </w:r>
      <w:r w:rsidRPr="00520861">
        <w:rPr>
          <w:rFonts w:eastAsiaTheme="minorHAnsi"/>
          <w:sz w:val="28"/>
          <w:szCs w:val="28"/>
          <w:lang w:eastAsia="en-US"/>
        </w:rPr>
        <w:t xml:space="preserve"> </w:t>
      </w:r>
      <w:r w:rsidRPr="00520861">
        <w:rPr>
          <w:rFonts w:eastAsiaTheme="minorHAnsi"/>
          <w:iCs/>
          <w:sz w:val="28"/>
          <w:szCs w:val="28"/>
          <w:lang w:eastAsia="en-US"/>
        </w:rPr>
        <w:t>[автореферат дисертації]</w:t>
      </w:r>
      <w:r w:rsidRPr="00520861">
        <w:rPr>
          <w:rFonts w:eastAsiaTheme="minorHAnsi"/>
          <w:sz w:val="28"/>
          <w:szCs w:val="28"/>
          <w:lang w:eastAsia="en-US"/>
        </w:rPr>
        <w:t xml:space="preserve">. </w:t>
      </w:r>
      <w:r w:rsidR="00A33F1D" w:rsidRPr="00520861">
        <w:rPr>
          <w:rFonts w:eastAsiaTheme="minorHAnsi"/>
          <w:sz w:val="28"/>
          <w:szCs w:val="28"/>
          <w:lang w:eastAsia="en-US"/>
        </w:rPr>
        <w:br/>
      </w:r>
      <w:r w:rsidRPr="00520861">
        <w:rPr>
          <w:rFonts w:eastAsiaTheme="minorHAnsi"/>
          <w:sz w:val="28"/>
          <w:szCs w:val="28"/>
          <w:lang w:eastAsia="en-US"/>
        </w:rPr>
        <w:t xml:space="preserve">Ужгород: </w:t>
      </w:r>
      <w:proofErr w:type="spellStart"/>
      <w:r w:rsidRPr="00520861">
        <w:rPr>
          <w:rFonts w:eastAsiaTheme="minorHAnsi"/>
          <w:sz w:val="28"/>
          <w:szCs w:val="28"/>
          <w:lang w:eastAsia="en-US"/>
        </w:rPr>
        <w:t>Держ</w:t>
      </w:r>
      <w:proofErr w:type="spellEnd"/>
      <w:r w:rsidRPr="00520861">
        <w:rPr>
          <w:rFonts w:eastAsiaTheme="minorHAnsi"/>
          <w:sz w:val="28"/>
          <w:szCs w:val="28"/>
          <w:lang w:eastAsia="en-US"/>
        </w:rPr>
        <w:t xml:space="preserve">. ВНЗ «Ужгородський </w:t>
      </w:r>
      <w:proofErr w:type="spellStart"/>
      <w:r w:rsidRPr="00520861">
        <w:rPr>
          <w:rFonts w:eastAsiaTheme="minorHAnsi"/>
          <w:sz w:val="28"/>
          <w:szCs w:val="28"/>
          <w:lang w:eastAsia="en-US"/>
        </w:rPr>
        <w:t>нац</w:t>
      </w:r>
      <w:proofErr w:type="spellEnd"/>
      <w:r w:rsidRPr="00520861">
        <w:rPr>
          <w:rFonts w:eastAsiaTheme="minorHAnsi"/>
          <w:sz w:val="28"/>
          <w:szCs w:val="28"/>
          <w:lang w:eastAsia="en-US"/>
        </w:rPr>
        <w:t>. ун-т»; 2019. 21 с.</w:t>
      </w:r>
    </w:p>
    <w:p w14:paraId="2D0ADD3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Політун</w:t>
      </w:r>
      <w:proofErr w:type="spellEnd"/>
      <w:r w:rsidRPr="00520861">
        <w:rPr>
          <w:rFonts w:eastAsiaTheme="minorHAnsi"/>
          <w:sz w:val="28"/>
          <w:szCs w:val="28"/>
          <w:lang w:eastAsia="en-US"/>
        </w:rPr>
        <w:t xml:space="preserve"> АМ, Марченко НС. Загальна оцінка стану твердих тканин зубів та чинників ризику розвитку карієсу зубів у осіб молодого віку. </w:t>
      </w:r>
      <w:proofErr w:type="spellStart"/>
      <w:r w:rsidRPr="00520861">
        <w:rPr>
          <w:rFonts w:eastAsiaTheme="minorHAnsi"/>
          <w:i/>
          <w:sz w:val="28"/>
          <w:szCs w:val="28"/>
          <w:lang w:eastAsia="en-US"/>
        </w:rPr>
        <w:t>ScienceRise</w:t>
      </w:r>
      <w:proofErr w:type="spellEnd"/>
      <w:r w:rsidRPr="00520861">
        <w:rPr>
          <w:rFonts w:eastAsiaTheme="minorHAnsi"/>
          <w:sz w:val="28"/>
          <w:szCs w:val="28"/>
          <w:lang w:eastAsia="en-US"/>
        </w:rPr>
        <w:t xml:space="preserve">. 2016; 21 (4/3): 16–22. </w:t>
      </w:r>
      <w:r w:rsidRPr="00520861">
        <w:rPr>
          <w:rFonts w:eastAsiaTheme="minorHAnsi"/>
          <w:sz w:val="28"/>
          <w:szCs w:val="28"/>
          <w:lang w:val="ru-RU" w:eastAsia="en-US"/>
        </w:rPr>
        <w:t>Доступно на:</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10.15587/2313-8416.2016.67657</w:t>
      </w:r>
      <w:r w:rsidRPr="00520861">
        <w:rPr>
          <w:rFonts w:eastAsiaTheme="minorHAnsi"/>
          <w:sz w:val="28"/>
          <w:szCs w:val="28"/>
          <w:lang w:val="en-US" w:eastAsia="en-US"/>
        </w:rPr>
        <w:t>.</w:t>
      </w:r>
    </w:p>
    <w:p w14:paraId="14D5F39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Попович ИЮ, </w:t>
      </w:r>
      <w:proofErr w:type="spellStart"/>
      <w:r w:rsidRPr="00520861">
        <w:rPr>
          <w:rFonts w:eastAsiaTheme="minorHAnsi"/>
          <w:sz w:val="28"/>
          <w:szCs w:val="28"/>
          <w:lang w:eastAsia="en-US"/>
        </w:rPr>
        <w:t>Расин</w:t>
      </w:r>
      <w:proofErr w:type="spellEnd"/>
      <w:r w:rsidRPr="00520861">
        <w:rPr>
          <w:rFonts w:eastAsiaTheme="minorHAnsi"/>
          <w:sz w:val="28"/>
          <w:szCs w:val="28"/>
          <w:lang w:eastAsia="en-US"/>
        </w:rPr>
        <w:t xml:space="preserve"> МС, </w:t>
      </w:r>
      <w:proofErr w:type="spellStart"/>
      <w:r w:rsidRPr="00520861">
        <w:rPr>
          <w:rFonts w:eastAsiaTheme="minorHAnsi"/>
          <w:sz w:val="28"/>
          <w:szCs w:val="28"/>
          <w:lang w:eastAsia="en-US"/>
        </w:rPr>
        <w:t>Петрушанко</w:t>
      </w:r>
      <w:proofErr w:type="spellEnd"/>
      <w:r w:rsidRPr="00520861">
        <w:rPr>
          <w:rFonts w:eastAsiaTheme="minorHAnsi"/>
          <w:sz w:val="28"/>
          <w:szCs w:val="28"/>
          <w:lang w:eastAsia="en-US"/>
        </w:rPr>
        <w:t xml:space="preserve"> ТА. </w:t>
      </w:r>
      <w:proofErr w:type="spellStart"/>
      <w:r w:rsidRPr="00520861">
        <w:rPr>
          <w:rFonts w:eastAsiaTheme="minorHAnsi"/>
          <w:sz w:val="28"/>
          <w:szCs w:val="28"/>
          <w:lang w:eastAsia="en-US"/>
        </w:rPr>
        <w:t>Системное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воспаление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низкой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интенсивности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как</w:t>
      </w:r>
      <w:proofErr w:type="spellEnd"/>
      <w:r w:rsidRPr="00520861">
        <w:rPr>
          <w:rFonts w:eastAsiaTheme="minorHAnsi"/>
          <w:sz w:val="28"/>
          <w:szCs w:val="28"/>
          <w:lang w:eastAsia="en-US"/>
        </w:rPr>
        <w:t xml:space="preserve"> причина и </w:t>
      </w:r>
      <w:proofErr w:type="spellStart"/>
      <w:r w:rsidRPr="00520861">
        <w:rPr>
          <w:rFonts w:eastAsiaTheme="minorHAnsi"/>
          <w:sz w:val="28"/>
          <w:szCs w:val="28"/>
          <w:lang w:eastAsia="en-US"/>
        </w:rPr>
        <w:t>следствие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воспалительно-дистрофических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болезней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пародонта</w:t>
      </w:r>
      <w:proofErr w:type="spellEnd"/>
      <w:r w:rsidRPr="00520861">
        <w:rPr>
          <w:rFonts w:eastAsiaTheme="minorHAnsi"/>
          <w:sz w:val="28"/>
          <w:szCs w:val="28"/>
          <w:lang w:val="ru-RU" w:eastAsia="en-US"/>
        </w:rPr>
        <w:t xml:space="preserve">. </w:t>
      </w:r>
      <w:r w:rsidRPr="00520861">
        <w:rPr>
          <w:rFonts w:eastAsiaTheme="minorHAnsi"/>
          <w:i/>
          <w:sz w:val="28"/>
          <w:szCs w:val="28"/>
          <w:lang w:eastAsia="en-US"/>
        </w:rPr>
        <w:t>Вісник проблем біології і медицини</w:t>
      </w:r>
      <w:r w:rsidRPr="00520861">
        <w:rPr>
          <w:rFonts w:eastAsiaTheme="minorHAnsi"/>
          <w:sz w:val="28"/>
          <w:szCs w:val="28"/>
          <w:lang w:eastAsia="en-US"/>
        </w:rPr>
        <w:t>. 2017</w:t>
      </w:r>
      <w:r w:rsidRPr="00520861">
        <w:rPr>
          <w:rFonts w:eastAsiaTheme="minorHAnsi"/>
          <w:sz w:val="28"/>
          <w:szCs w:val="28"/>
          <w:lang w:val="ru-RU" w:eastAsia="en-US"/>
        </w:rPr>
        <w:t>;</w:t>
      </w:r>
      <w:r w:rsidRPr="00520861">
        <w:rPr>
          <w:rFonts w:eastAsiaTheme="minorHAnsi"/>
          <w:sz w:val="28"/>
          <w:szCs w:val="28"/>
          <w:lang w:eastAsia="en-US"/>
        </w:rPr>
        <w:t>4(1</w:t>
      </w:r>
      <w:r w:rsidRPr="00520861">
        <w:rPr>
          <w:rFonts w:eastAsiaTheme="minorHAnsi"/>
          <w:sz w:val="28"/>
          <w:szCs w:val="28"/>
          <w:lang w:val="ru-RU" w:eastAsia="en-US"/>
        </w:rPr>
        <w:t>/139</w:t>
      </w:r>
      <w:r w:rsidRPr="00520861">
        <w:rPr>
          <w:rFonts w:eastAsiaTheme="minorHAnsi"/>
          <w:sz w:val="28"/>
          <w:szCs w:val="28"/>
          <w:lang w:eastAsia="en-US"/>
        </w:rPr>
        <w:t>)</w:t>
      </w:r>
      <w:r w:rsidRPr="00520861">
        <w:rPr>
          <w:rFonts w:eastAsiaTheme="minorHAnsi"/>
          <w:sz w:val="28"/>
          <w:szCs w:val="28"/>
          <w:lang w:val="ru-RU" w:eastAsia="en-US"/>
        </w:rPr>
        <w:t xml:space="preserve">: </w:t>
      </w:r>
      <w:r w:rsidRPr="00520861">
        <w:rPr>
          <w:rFonts w:eastAsiaTheme="minorHAnsi"/>
          <w:sz w:val="28"/>
          <w:szCs w:val="28"/>
          <w:lang w:eastAsia="en-US"/>
        </w:rPr>
        <w:t xml:space="preserve">65–69. </w:t>
      </w:r>
      <w:r w:rsidRPr="00520861">
        <w:rPr>
          <w:rFonts w:eastAsiaTheme="minorHAnsi"/>
          <w:sz w:val="28"/>
          <w:szCs w:val="28"/>
          <w:lang w:val="ru-RU" w:eastAsia="en-US"/>
        </w:rPr>
        <w:t xml:space="preserve">Доступно на: </w:t>
      </w:r>
      <w:r w:rsidRPr="00520861">
        <w:rPr>
          <w:rFonts w:eastAsiaTheme="minorHAnsi"/>
          <w:sz w:val="28"/>
          <w:szCs w:val="28"/>
          <w:lang w:eastAsia="en-US"/>
        </w:rPr>
        <w:t>http://nbuv.gov.ua/UJRN/Vpbm_2017_4(1)__14.</w:t>
      </w:r>
    </w:p>
    <w:p w14:paraId="6EEF4C9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Приступюк</w:t>
      </w:r>
      <w:proofErr w:type="spellEnd"/>
      <w:r w:rsidRPr="00520861">
        <w:rPr>
          <w:rFonts w:eastAsiaTheme="minorHAnsi"/>
          <w:sz w:val="28"/>
          <w:szCs w:val="28"/>
          <w:lang w:eastAsia="en-US"/>
        </w:rPr>
        <w:t xml:space="preserve"> ОМ. Гіпотиреоз: ушкодження органів та систем. </w:t>
      </w:r>
      <w:proofErr w:type="spellStart"/>
      <w:r w:rsidRPr="00520861">
        <w:rPr>
          <w:rFonts w:eastAsiaTheme="minorHAnsi"/>
          <w:i/>
          <w:sz w:val="28"/>
          <w:szCs w:val="28"/>
          <w:lang w:eastAsia="en-US"/>
        </w:rPr>
        <w:t>Международный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эндокринологический</w:t>
      </w:r>
      <w:proofErr w:type="spellEnd"/>
      <w:r w:rsidRPr="00520861">
        <w:rPr>
          <w:rFonts w:eastAsiaTheme="minorHAnsi"/>
          <w:i/>
          <w:sz w:val="28"/>
          <w:szCs w:val="28"/>
          <w:lang w:eastAsia="en-US"/>
        </w:rPr>
        <w:t xml:space="preserve"> журнал</w:t>
      </w:r>
      <w:r w:rsidRPr="00520861">
        <w:rPr>
          <w:rFonts w:eastAsiaTheme="minorHAnsi"/>
          <w:sz w:val="28"/>
          <w:szCs w:val="28"/>
          <w:lang w:eastAsia="en-US"/>
        </w:rPr>
        <w:t>. 2011;36(4):</w:t>
      </w:r>
      <w:r w:rsidRPr="00520861">
        <w:rPr>
          <w:rFonts w:eastAsiaTheme="minorHAnsi"/>
          <w:sz w:val="28"/>
          <w:szCs w:val="28"/>
          <w:lang w:val="ru-RU" w:eastAsia="en-US"/>
        </w:rPr>
        <w:t xml:space="preserve"> </w:t>
      </w:r>
      <w:r w:rsidRPr="00520861">
        <w:rPr>
          <w:rFonts w:eastAsiaTheme="minorHAnsi"/>
          <w:sz w:val="28"/>
          <w:szCs w:val="28"/>
          <w:lang w:eastAsia="en-US"/>
        </w:rPr>
        <w:t>104–</w:t>
      </w:r>
      <w:r w:rsidRPr="00520861">
        <w:rPr>
          <w:rFonts w:eastAsiaTheme="minorHAnsi"/>
          <w:sz w:val="28"/>
          <w:szCs w:val="28"/>
          <w:lang w:val="ru-RU" w:eastAsia="en-US"/>
        </w:rPr>
        <w:t>10</w:t>
      </w:r>
      <w:r w:rsidRPr="00520861">
        <w:rPr>
          <w:rFonts w:eastAsiaTheme="minorHAnsi"/>
          <w:sz w:val="28"/>
          <w:szCs w:val="28"/>
          <w:lang w:eastAsia="en-US"/>
        </w:rPr>
        <w:t>9.</w:t>
      </w:r>
    </w:p>
    <w:p w14:paraId="6D5AEB9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Пузикова</w:t>
      </w:r>
      <w:proofErr w:type="spellEnd"/>
      <w:r w:rsidRPr="00520861">
        <w:rPr>
          <w:rFonts w:eastAsiaTheme="minorHAnsi"/>
          <w:sz w:val="28"/>
          <w:szCs w:val="28"/>
          <w:lang w:eastAsia="en-US"/>
        </w:rPr>
        <w:t xml:space="preserve"> ОЮ, </w:t>
      </w:r>
      <w:proofErr w:type="spellStart"/>
      <w:r w:rsidRPr="00520861">
        <w:rPr>
          <w:rFonts w:eastAsiaTheme="minorHAnsi"/>
          <w:sz w:val="28"/>
          <w:szCs w:val="28"/>
          <w:lang w:eastAsia="en-US"/>
        </w:rPr>
        <w:t>Минеева</w:t>
      </w:r>
      <w:proofErr w:type="spellEnd"/>
      <w:r w:rsidRPr="00520861">
        <w:rPr>
          <w:rFonts w:eastAsiaTheme="minorHAnsi"/>
          <w:sz w:val="28"/>
          <w:szCs w:val="28"/>
          <w:lang w:eastAsia="en-US"/>
        </w:rPr>
        <w:t xml:space="preserve"> ОА. </w:t>
      </w:r>
      <w:proofErr w:type="spellStart"/>
      <w:r w:rsidRPr="00520861">
        <w:rPr>
          <w:rFonts w:eastAsiaTheme="minorHAnsi"/>
          <w:sz w:val="28"/>
          <w:szCs w:val="28"/>
          <w:lang w:eastAsia="en-US"/>
        </w:rPr>
        <w:t>Прикладное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значение</w:t>
      </w:r>
      <w:proofErr w:type="spellEnd"/>
      <w:r w:rsidRPr="00520861">
        <w:rPr>
          <w:rFonts w:eastAsiaTheme="minorHAnsi"/>
          <w:sz w:val="28"/>
          <w:szCs w:val="28"/>
          <w:lang w:eastAsia="en-US"/>
        </w:rPr>
        <w:t xml:space="preserve"> основ </w:t>
      </w:r>
      <w:proofErr w:type="spellStart"/>
      <w:r w:rsidRPr="00520861">
        <w:rPr>
          <w:rFonts w:eastAsiaTheme="minorHAnsi"/>
          <w:sz w:val="28"/>
          <w:szCs w:val="28"/>
          <w:lang w:eastAsia="en-US"/>
        </w:rPr>
        <w:t>логопедии</w:t>
      </w:r>
      <w:proofErr w:type="spellEnd"/>
      <w:r w:rsidRPr="00520861">
        <w:rPr>
          <w:rFonts w:eastAsiaTheme="minorHAnsi"/>
          <w:sz w:val="28"/>
          <w:szCs w:val="28"/>
          <w:lang w:eastAsia="en-US"/>
        </w:rPr>
        <w:t xml:space="preserve"> в </w:t>
      </w:r>
      <w:r w:rsidR="00A33F1D" w:rsidRPr="00520861">
        <w:rPr>
          <w:rFonts w:eastAsiaTheme="minorHAnsi"/>
          <w:sz w:val="28"/>
          <w:szCs w:val="28"/>
          <w:lang w:eastAsia="en-US"/>
        </w:rPr>
        <w:br/>
      </w:r>
      <w:proofErr w:type="spellStart"/>
      <w:r w:rsidRPr="00520861">
        <w:rPr>
          <w:rFonts w:eastAsiaTheme="minorHAnsi"/>
          <w:sz w:val="28"/>
          <w:szCs w:val="28"/>
          <w:lang w:eastAsia="en-US"/>
        </w:rPr>
        <w:lastRenderedPageBreak/>
        <w:t>практической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деятельности</w:t>
      </w:r>
      <w:proofErr w:type="spellEnd"/>
      <w:r w:rsidRPr="00520861">
        <w:rPr>
          <w:rFonts w:eastAsiaTheme="minorHAnsi"/>
          <w:sz w:val="28"/>
          <w:szCs w:val="28"/>
          <w:lang w:eastAsia="en-US"/>
        </w:rPr>
        <w:t xml:space="preserve"> стоматолога. </w:t>
      </w:r>
      <w:r w:rsidRPr="00520861">
        <w:rPr>
          <w:rFonts w:eastAsiaTheme="minorHAnsi"/>
          <w:sz w:val="28"/>
          <w:szCs w:val="28"/>
          <w:lang w:val="en-US" w:eastAsia="en-US"/>
        </w:rPr>
        <w:t>In</w:t>
      </w:r>
      <w:r w:rsidRPr="00520861">
        <w:rPr>
          <w:rFonts w:eastAsiaTheme="minorHAnsi"/>
          <w:sz w:val="28"/>
          <w:szCs w:val="28"/>
          <w:lang w:val="ru-RU" w:eastAsia="en-US"/>
        </w:rPr>
        <w:t xml:space="preserve">: </w:t>
      </w:r>
      <w:proofErr w:type="spellStart"/>
      <w:r w:rsidRPr="00520861">
        <w:rPr>
          <w:rFonts w:eastAsiaTheme="minorHAnsi"/>
          <w:sz w:val="28"/>
          <w:szCs w:val="28"/>
          <w:lang w:eastAsia="en-US"/>
        </w:rPr>
        <w:t>Железнова</w:t>
      </w:r>
      <w:proofErr w:type="spellEnd"/>
      <w:r w:rsidRPr="00520861">
        <w:rPr>
          <w:rFonts w:eastAsiaTheme="minorHAnsi"/>
          <w:sz w:val="28"/>
          <w:szCs w:val="28"/>
          <w:lang w:eastAsia="en-US"/>
        </w:rPr>
        <w:t xml:space="preserve"> Л.М. </w:t>
      </w:r>
      <w:r w:rsidRPr="00520861">
        <w:rPr>
          <w:rFonts w:eastAsiaTheme="minorHAnsi"/>
          <w:sz w:val="28"/>
          <w:szCs w:val="28"/>
          <w:lang w:val="ru-RU" w:eastAsia="en-US"/>
        </w:rPr>
        <w:t>(</w:t>
      </w:r>
      <w:proofErr w:type="spellStart"/>
      <w:r w:rsidRPr="00520861">
        <w:rPr>
          <w:rFonts w:eastAsiaTheme="minorHAnsi"/>
          <w:sz w:val="28"/>
          <w:szCs w:val="28"/>
          <w:lang w:val="ru-RU" w:eastAsia="en-US"/>
        </w:rPr>
        <w:t>ред</w:t>
      </w:r>
      <w:proofErr w:type="spellEnd"/>
      <w:r w:rsidRPr="00520861">
        <w:rPr>
          <w:rFonts w:eastAsiaTheme="minorHAnsi"/>
          <w:sz w:val="28"/>
          <w:szCs w:val="28"/>
          <w:lang w:val="ru-RU" w:eastAsia="en-US"/>
        </w:rPr>
        <w:t xml:space="preserve">). </w:t>
      </w:r>
      <w:proofErr w:type="spellStart"/>
      <w:r w:rsidRPr="00520861">
        <w:rPr>
          <w:rFonts w:eastAsiaTheme="minorHAnsi"/>
          <w:i/>
          <w:sz w:val="28"/>
          <w:szCs w:val="28"/>
          <w:lang w:eastAsia="en-US"/>
        </w:rPr>
        <w:t>Сборник</w:t>
      </w:r>
      <w:proofErr w:type="spellEnd"/>
      <w:r w:rsidRPr="00520861">
        <w:rPr>
          <w:rFonts w:eastAsiaTheme="minorHAnsi"/>
          <w:i/>
          <w:sz w:val="28"/>
          <w:szCs w:val="28"/>
          <w:lang w:eastAsia="en-US"/>
        </w:rPr>
        <w:t xml:space="preserve"> </w:t>
      </w:r>
      <w:r w:rsidR="00A33F1D" w:rsidRPr="00520861">
        <w:rPr>
          <w:rFonts w:eastAsiaTheme="minorHAnsi"/>
          <w:i/>
          <w:sz w:val="28"/>
          <w:szCs w:val="28"/>
          <w:lang w:eastAsia="en-US"/>
        </w:rPr>
        <w:br/>
      </w:r>
      <w:proofErr w:type="spellStart"/>
      <w:r w:rsidRPr="00520861">
        <w:rPr>
          <w:rFonts w:eastAsiaTheme="minorHAnsi"/>
          <w:i/>
          <w:sz w:val="28"/>
          <w:szCs w:val="28"/>
          <w:lang w:eastAsia="en-US"/>
        </w:rPr>
        <w:t>всероссийской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научно-практической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конференции</w:t>
      </w:r>
      <w:proofErr w:type="spellEnd"/>
      <w:r w:rsidRPr="00520861">
        <w:rPr>
          <w:rFonts w:eastAsiaTheme="minorHAnsi"/>
          <w:i/>
          <w:sz w:val="28"/>
          <w:szCs w:val="28"/>
          <w:lang w:eastAsia="en-US"/>
        </w:rPr>
        <w:t xml:space="preserve"> с </w:t>
      </w:r>
      <w:proofErr w:type="spellStart"/>
      <w:r w:rsidRPr="00520861">
        <w:rPr>
          <w:rFonts w:eastAsiaTheme="minorHAnsi"/>
          <w:i/>
          <w:sz w:val="28"/>
          <w:szCs w:val="28"/>
          <w:lang w:eastAsia="en-US"/>
        </w:rPr>
        <w:t>международным</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участием</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Комплексный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подход</w:t>
      </w:r>
      <w:proofErr w:type="spellEnd"/>
      <w:r w:rsidRPr="00520861">
        <w:rPr>
          <w:rFonts w:eastAsiaTheme="minorHAnsi"/>
          <w:i/>
          <w:sz w:val="28"/>
          <w:szCs w:val="28"/>
          <w:lang w:eastAsia="en-US"/>
        </w:rPr>
        <w:t xml:space="preserve"> к </w:t>
      </w:r>
      <w:proofErr w:type="spellStart"/>
      <w:r w:rsidRPr="00520861">
        <w:rPr>
          <w:rFonts w:eastAsiaTheme="minorHAnsi"/>
          <w:i/>
          <w:sz w:val="28"/>
          <w:szCs w:val="28"/>
          <w:lang w:eastAsia="en-US"/>
        </w:rPr>
        <w:t>лечению</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патологии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зубо-челюстной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системы</w:t>
      </w:r>
      <w:proofErr w:type="spellEnd"/>
      <w:r w:rsidRPr="00520861">
        <w:rPr>
          <w:rFonts w:eastAsiaTheme="minorHAnsi"/>
          <w:i/>
          <w:sz w:val="28"/>
          <w:szCs w:val="28"/>
          <w:lang w:eastAsia="en-US"/>
        </w:rPr>
        <w:t xml:space="preserve">» 17-18 </w:t>
      </w:r>
      <w:proofErr w:type="spellStart"/>
      <w:r w:rsidRPr="00520861">
        <w:rPr>
          <w:rFonts w:eastAsiaTheme="minorHAnsi"/>
          <w:i/>
          <w:sz w:val="28"/>
          <w:szCs w:val="28"/>
          <w:lang w:eastAsia="en-US"/>
        </w:rPr>
        <w:t>мая</w:t>
      </w:r>
      <w:proofErr w:type="spellEnd"/>
      <w:r w:rsidRPr="00520861">
        <w:rPr>
          <w:rFonts w:eastAsiaTheme="minorHAnsi"/>
          <w:i/>
          <w:sz w:val="28"/>
          <w:szCs w:val="28"/>
          <w:lang w:eastAsia="en-US"/>
        </w:rPr>
        <w:t xml:space="preserve"> 2018 г</w:t>
      </w:r>
      <w:r w:rsidRPr="00520861">
        <w:rPr>
          <w:rFonts w:eastAsiaTheme="minorHAnsi"/>
          <w:sz w:val="28"/>
          <w:szCs w:val="28"/>
          <w:lang w:eastAsia="en-US"/>
        </w:rPr>
        <w:t xml:space="preserve">. </w:t>
      </w:r>
      <w:proofErr w:type="spellStart"/>
      <w:r w:rsidRPr="00520861">
        <w:rPr>
          <w:rFonts w:eastAsiaTheme="minorHAnsi"/>
          <w:sz w:val="28"/>
          <w:szCs w:val="28"/>
          <w:lang w:eastAsia="en-US"/>
        </w:rPr>
        <w:t>Киров</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Кировский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государственный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медицинский</w:t>
      </w:r>
      <w:proofErr w:type="spellEnd"/>
      <w:r w:rsidRPr="00520861">
        <w:rPr>
          <w:rFonts w:eastAsiaTheme="minorHAnsi"/>
          <w:sz w:val="28"/>
          <w:szCs w:val="28"/>
          <w:lang w:eastAsia="en-US"/>
        </w:rPr>
        <w:t xml:space="preserve"> університет</w:t>
      </w:r>
      <w:r w:rsidRPr="00520861">
        <w:rPr>
          <w:rFonts w:eastAsiaTheme="minorHAnsi"/>
          <w:sz w:val="28"/>
          <w:szCs w:val="28"/>
          <w:lang w:val="ru-RU" w:eastAsia="en-US"/>
        </w:rPr>
        <w:t>;</w:t>
      </w:r>
      <w:r w:rsidRPr="00520861">
        <w:rPr>
          <w:rFonts w:eastAsiaTheme="minorHAnsi"/>
          <w:sz w:val="28"/>
          <w:szCs w:val="28"/>
          <w:lang w:eastAsia="en-US"/>
        </w:rPr>
        <w:t xml:space="preserve"> 2018. </w:t>
      </w:r>
      <w:r w:rsidR="00A33F1D" w:rsidRPr="00520861">
        <w:rPr>
          <w:rFonts w:eastAsiaTheme="minorHAnsi"/>
          <w:sz w:val="28"/>
          <w:szCs w:val="28"/>
          <w:lang w:eastAsia="en-US"/>
        </w:rPr>
        <w:br/>
      </w:r>
      <w:r w:rsidRPr="00520861">
        <w:rPr>
          <w:rFonts w:eastAsiaTheme="minorHAnsi"/>
          <w:sz w:val="28"/>
          <w:szCs w:val="28"/>
          <w:lang w:eastAsia="en-US"/>
        </w:rPr>
        <w:t>С. 87–90</w:t>
      </w:r>
      <w:r w:rsidRPr="00520861">
        <w:rPr>
          <w:rFonts w:eastAsiaTheme="minorHAnsi"/>
          <w:sz w:val="28"/>
          <w:szCs w:val="28"/>
          <w:lang w:val="ru-RU" w:eastAsia="en-US"/>
        </w:rPr>
        <w:t>.</w:t>
      </w:r>
    </w:p>
    <w:p w14:paraId="540BECE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Радчук ВБ, </w:t>
      </w:r>
      <w:proofErr w:type="spellStart"/>
      <w:r w:rsidRPr="00520861">
        <w:rPr>
          <w:rFonts w:eastAsiaTheme="minorHAnsi"/>
          <w:sz w:val="28"/>
          <w:szCs w:val="28"/>
          <w:lang w:eastAsia="en-US"/>
        </w:rPr>
        <w:t>Гасюк</w:t>
      </w:r>
      <w:proofErr w:type="spellEnd"/>
      <w:r w:rsidRPr="00520861">
        <w:rPr>
          <w:rFonts w:eastAsiaTheme="minorHAnsi"/>
          <w:sz w:val="28"/>
          <w:szCs w:val="28"/>
          <w:lang w:eastAsia="en-US"/>
        </w:rPr>
        <w:t xml:space="preserve"> НВ, </w:t>
      </w:r>
      <w:proofErr w:type="spellStart"/>
      <w:r w:rsidRPr="00520861">
        <w:rPr>
          <w:rFonts w:eastAsiaTheme="minorHAnsi"/>
          <w:sz w:val="28"/>
          <w:szCs w:val="28"/>
          <w:lang w:eastAsia="en-US"/>
        </w:rPr>
        <w:t>Клітинська</w:t>
      </w:r>
      <w:proofErr w:type="spellEnd"/>
      <w:r w:rsidRPr="00520861">
        <w:rPr>
          <w:rFonts w:eastAsiaTheme="minorHAnsi"/>
          <w:sz w:val="28"/>
          <w:szCs w:val="28"/>
          <w:lang w:eastAsia="en-US"/>
        </w:rPr>
        <w:t xml:space="preserve"> ОВ, Бородач ВО, </w:t>
      </w:r>
      <w:proofErr w:type="spellStart"/>
      <w:r w:rsidRPr="00520861">
        <w:rPr>
          <w:rFonts w:eastAsiaTheme="minorHAnsi"/>
          <w:sz w:val="28"/>
          <w:szCs w:val="28"/>
          <w:lang w:eastAsia="en-US"/>
        </w:rPr>
        <w:t>Майструк</w:t>
      </w:r>
      <w:proofErr w:type="spellEnd"/>
      <w:r w:rsidRPr="00520861">
        <w:rPr>
          <w:rFonts w:eastAsiaTheme="minorHAnsi"/>
          <w:sz w:val="28"/>
          <w:szCs w:val="28"/>
          <w:lang w:eastAsia="en-US"/>
        </w:rPr>
        <w:t xml:space="preserve"> ПО. Аналіз рівня </w:t>
      </w:r>
      <w:proofErr w:type="spellStart"/>
      <w:r w:rsidRPr="00520861">
        <w:rPr>
          <w:rFonts w:eastAsiaTheme="minorHAnsi"/>
          <w:sz w:val="28"/>
          <w:szCs w:val="28"/>
          <w:lang w:eastAsia="en-US"/>
        </w:rPr>
        <w:t>прозапальних</w:t>
      </w:r>
      <w:proofErr w:type="spellEnd"/>
      <w:r w:rsidRPr="00520861">
        <w:rPr>
          <w:rFonts w:eastAsiaTheme="minorHAnsi"/>
          <w:sz w:val="28"/>
          <w:szCs w:val="28"/>
          <w:lang w:eastAsia="en-US"/>
        </w:rPr>
        <w:t xml:space="preserve"> цитокінів в ротовій та ясенній рідині залежно від виду </w:t>
      </w:r>
      <w:proofErr w:type="spellStart"/>
      <w:r w:rsidRPr="00520861">
        <w:rPr>
          <w:rFonts w:eastAsiaTheme="minorHAnsi"/>
          <w:sz w:val="28"/>
          <w:szCs w:val="28"/>
          <w:lang w:eastAsia="en-US"/>
        </w:rPr>
        <w:t>одонтопрепарування</w:t>
      </w:r>
      <w:proofErr w:type="spellEnd"/>
      <w:r w:rsidRPr="00520861">
        <w:rPr>
          <w:rFonts w:eastAsiaTheme="minorHAnsi"/>
          <w:sz w:val="28"/>
          <w:szCs w:val="28"/>
          <w:lang w:eastAsia="en-US"/>
        </w:rPr>
        <w:t xml:space="preserve"> під металокерамічні конструкції. </w:t>
      </w:r>
      <w:r w:rsidRPr="00520861">
        <w:rPr>
          <w:rFonts w:eastAsiaTheme="minorHAnsi"/>
          <w:i/>
          <w:sz w:val="28"/>
          <w:szCs w:val="28"/>
          <w:lang w:eastAsia="en-US"/>
        </w:rPr>
        <w:t>Україна. Здоров’я нації</w:t>
      </w:r>
      <w:r w:rsidRPr="00520861">
        <w:rPr>
          <w:rFonts w:eastAsiaTheme="minorHAnsi"/>
          <w:sz w:val="28"/>
          <w:szCs w:val="28"/>
          <w:lang w:eastAsia="en-US"/>
        </w:rPr>
        <w:t>. 2018;52(4): 98–103.</w:t>
      </w:r>
    </w:p>
    <w:p w14:paraId="688CEC1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Регеда</w:t>
      </w:r>
      <w:proofErr w:type="spellEnd"/>
      <w:r w:rsidRPr="00520861">
        <w:rPr>
          <w:rFonts w:eastAsiaTheme="minorHAnsi"/>
          <w:sz w:val="28"/>
          <w:szCs w:val="28"/>
          <w:lang w:eastAsia="en-US"/>
        </w:rPr>
        <w:t xml:space="preserve"> МС, Бойчук ТС, Бондаренко ЮІ, </w:t>
      </w:r>
      <w:proofErr w:type="spellStart"/>
      <w:r w:rsidRPr="00520861">
        <w:rPr>
          <w:rFonts w:eastAsiaTheme="minorHAnsi"/>
          <w:sz w:val="28"/>
          <w:szCs w:val="28"/>
          <w:lang w:eastAsia="en-US"/>
        </w:rPr>
        <w:t>Регеда</w:t>
      </w:r>
      <w:proofErr w:type="spellEnd"/>
      <w:r w:rsidRPr="00520861">
        <w:rPr>
          <w:rFonts w:eastAsiaTheme="minorHAnsi"/>
          <w:sz w:val="28"/>
          <w:szCs w:val="28"/>
          <w:lang w:eastAsia="en-US"/>
        </w:rPr>
        <w:t xml:space="preserve"> ММ. </w:t>
      </w:r>
      <w:r w:rsidRPr="00520861">
        <w:rPr>
          <w:rFonts w:eastAsiaTheme="minorHAnsi"/>
          <w:i/>
          <w:sz w:val="28"/>
          <w:szCs w:val="28"/>
          <w:lang w:eastAsia="en-US"/>
        </w:rPr>
        <w:t xml:space="preserve">Запалення – типовий </w:t>
      </w:r>
      <w:r w:rsidR="00A33F1D" w:rsidRPr="00520861">
        <w:rPr>
          <w:rFonts w:eastAsiaTheme="minorHAnsi"/>
          <w:i/>
          <w:sz w:val="28"/>
          <w:szCs w:val="28"/>
          <w:lang w:eastAsia="en-US"/>
        </w:rPr>
        <w:br/>
      </w:r>
      <w:r w:rsidRPr="00520861">
        <w:rPr>
          <w:rFonts w:eastAsiaTheme="minorHAnsi"/>
          <w:i/>
          <w:sz w:val="28"/>
          <w:szCs w:val="28"/>
          <w:lang w:eastAsia="en-US"/>
        </w:rPr>
        <w:t>патологічний процес</w:t>
      </w:r>
      <w:r w:rsidRPr="00520861">
        <w:rPr>
          <w:rFonts w:eastAsiaTheme="minorHAnsi"/>
          <w:sz w:val="28"/>
          <w:szCs w:val="28"/>
          <w:lang w:eastAsia="en-US"/>
        </w:rPr>
        <w:t xml:space="preserve">. </w:t>
      </w:r>
      <w:r w:rsidRPr="00520861">
        <w:rPr>
          <w:rFonts w:eastAsiaTheme="minorHAnsi"/>
          <w:sz w:val="28"/>
          <w:szCs w:val="28"/>
          <w:lang w:val="ru-RU" w:eastAsia="en-US"/>
        </w:rPr>
        <w:t>2-</w:t>
      </w:r>
      <w:r w:rsidRPr="00520861">
        <w:rPr>
          <w:rFonts w:eastAsiaTheme="minorHAnsi"/>
          <w:sz w:val="28"/>
          <w:szCs w:val="28"/>
          <w:lang w:eastAsia="en-US"/>
        </w:rPr>
        <w:t>е вид.  Львів</w:t>
      </w:r>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Сполом</w:t>
      </w:r>
      <w:proofErr w:type="spellEnd"/>
      <w:r w:rsidRPr="00520861">
        <w:rPr>
          <w:rFonts w:eastAsiaTheme="minorHAnsi"/>
          <w:sz w:val="28"/>
          <w:szCs w:val="28"/>
          <w:lang w:val="ru-RU" w:eastAsia="en-US"/>
        </w:rPr>
        <w:t xml:space="preserve">; </w:t>
      </w:r>
      <w:r w:rsidRPr="00520861">
        <w:rPr>
          <w:rFonts w:eastAsiaTheme="minorHAnsi"/>
          <w:sz w:val="28"/>
          <w:szCs w:val="28"/>
          <w:lang w:eastAsia="en-US"/>
        </w:rPr>
        <w:t>2013. 14</w:t>
      </w:r>
      <w:r w:rsidRPr="00520861">
        <w:rPr>
          <w:rFonts w:eastAsiaTheme="minorHAnsi"/>
          <w:sz w:val="28"/>
          <w:szCs w:val="28"/>
          <w:lang w:val="ru-RU" w:eastAsia="en-US"/>
        </w:rPr>
        <w:t>9</w:t>
      </w:r>
      <w:r w:rsidRPr="00520861">
        <w:rPr>
          <w:rFonts w:eastAsiaTheme="minorHAnsi"/>
          <w:sz w:val="28"/>
          <w:szCs w:val="28"/>
          <w:lang w:eastAsia="en-US"/>
        </w:rPr>
        <w:t xml:space="preserve"> с.</w:t>
      </w:r>
    </w:p>
    <w:p w14:paraId="0149AD0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Репецька</w:t>
      </w:r>
      <w:proofErr w:type="spellEnd"/>
      <w:r w:rsidRPr="00520861">
        <w:rPr>
          <w:rFonts w:eastAsiaTheme="minorHAnsi"/>
          <w:sz w:val="28"/>
          <w:szCs w:val="28"/>
          <w:lang w:eastAsia="en-US"/>
        </w:rPr>
        <w:t xml:space="preserve"> ОМ. Функціональні зміни в організмі при гіпотиреозі. </w:t>
      </w:r>
      <w:r w:rsidRPr="00520861">
        <w:rPr>
          <w:rFonts w:eastAsiaTheme="minorHAnsi"/>
          <w:i/>
          <w:sz w:val="28"/>
          <w:szCs w:val="28"/>
          <w:lang w:eastAsia="en-US"/>
        </w:rPr>
        <w:t>Український журнал медицини, біології та спорту</w:t>
      </w:r>
      <w:r w:rsidRPr="00520861">
        <w:rPr>
          <w:rFonts w:eastAsiaTheme="minorHAnsi"/>
          <w:sz w:val="28"/>
          <w:szCs w:val="28"/>
          <w:lang w:eastAsia="en-US"/>
        </w:rPr>
        <w:t xml:space="preserve">. 2019;4(1): 35–40. </w:t>
      </w:r>
      <w:r w:rsidRPr="00520861">
        <w:rPr>
          <w:rFonts w:eastAsiaTheme="minorHAnsi"/>
          <w:sz w:val="28"/>
          <w:szCs w:val="28"/>
          <w:lang w:val="ru-RU" w:eastAsia="en-US"/>
        </w:rPr>
        <w:t>Доступно на:</w:t>
      </w:r>
      <w:r w:rsidRPr="00520861">
        <w:rPr>
          <w:rFonts w:eastAsiaTheme="minorHAnsi"/>
          <w:sz w:val="28"/>
          <w:szCs w:val="28"/>
          <w:lang w:val="en-US" w:eastAsia="en-US"/>
        </w:rPr>
        <w:t xml:space="preserve"> DOI</w:t>
      </w:r>
      <w:r w:rsidRPr="00520861">
        <w:rPr>
          <w:rFonts w:eastAsiaTheme="minorHAnsi"/>
          <w:sz w:val="28"/>
          <w:szCs w:val="28"/>
          <w:lang w:eastAsia="en-US"/>
        </w:rPr>
        <w:t>: 10.26693/jmbs04.01.035.</w:t>
      </w:r>
    </w:p>
    <w:p w14:paraId="027EF53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Романенко РГ. </w:t>
      </w:r>
      <w:proofErr w:type="spellStart"/>
      <w:r w:rsidRPr="00520861">
        <w:rPr>
          <w:rFonts w:eastAsiaTheme="minorHAnsi"/>
          <w:i/>
          <w:sz w:val="28"/>
          <w:szCs w:val="28"/>
          <w:lang w:eastAsia="en-US"/>
        </w:rPr>
        <w:t>Стресс-индуцированные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нарушения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метаболизма</w:t>
      </w:r>
      <w:proofErr w:type="spellEnd"/>
      <w:r w:rsidRPr="00520861">
        <w:rPr>
          <w:rFonts w:eastAsiaTheme="minorHAnsi"/>
          <w:i/>
          <w:sz w:val="28"/>
          <w:szCs w:val="28"/>
          <w:lang w:val="ru-RU" w:eastAsia="en-US"/>
        </w:rPr>
        <w:t xml:space="preserve"> </w:t>
      </w:r>
      <w:r w:rsidRPr="00520861">
        <w:rPr>
          <w:rFonts w:eastAsiaTheme="minorHAnsi"/>
          <w:i/>
          <w:sz w:val="28"/>
          <w:szCs w:val="28"/>
          <w:lang w:eastAsia="en-US"/>
        </w:rPr>
        <w:t xml:space="preserve">тканей </w:t>
      </w:r>
      <w:proofErr w:type="spellStart"/>
      <w:r w:rsidRPr="00520861">
        <w:rPr>
          <w:rFonts w:eastAsiaTheme="minorHAnsi"/>
          <w:i/>
          <w:sz w:val="28"/>
          <w:szCs w:val="28"/>
          <w:lang w:eastAsia="en-US"/>
        </w:rPr>
        <w:t>пародонта</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способы</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коррекции</w:t>
      </w:r>
      <w:proofErr w:type="spellEnd"/>
      <w:r w:rsidRPr="00520861">
        <w:rPr>
          <w:rFonts w:eastAsiaTheme="minorHAnsi"/>
          <w:sz w:val="28"/>
          <w:szCs w:val="28"/>
          <w:lang w:eastAsia="en-US"/>
        </w:rPr>
        <w:t xml:space="preserve"> </w:t>
      </w:r>
      <w:r w:rsidRPr="00520861">
        <w:rPr>
          <w:rFonts w:eastAsiaTheme="minorHAnsi"/>
          <w:sz w:val="28"/>
          <w:szCs w:val="28"/>
          <w:lang w:val="ru-RU" w:eastAsia="en-US"/>
        </w:rPr>
        <w:t>[</w:t>
      </w:r>
      <w:proofErr w:type="spellStart"/>
      <w:r w:rsidRPr="00520861">
        <w:rPr>
          <w:rFonts w:eastAsiaTheme="minorHAnsi"/>
          <w:sz w:val="28"/>
          <w:szCs w:val="28"/>
          <w:lang w:val="ru-RU" w:eastAsia="en-US"/>
        </w:rPr>
        <w:t>дисертация</w:t>
      </w:r>
      <w:proofErr w:type="spellEnd"/>
      <w:r w:rsidRPr="00520861">
        <w:rPr>
          <w:rFonts w:eastAsiaTheme="minorHAnsi"/>
          <w:sz w:val="28"/>
          <w:szCs w:val="28"/>
          <w:lang w:val="ru-RU" w:eastAsia="en-US"/>
        </w:rPr>
        <w:t>]</w:t>
      </w:r>
      <w:r w:rsidRPr="00520861">
        <w:rPr>
          <w:rFonts w:eastAsiaTheme="minorHAnsi"/>
          <w:sz w:val="28"/>
          <w:szCs w:val="28"/>
          <w:lang w:eastAsia="en-US"/>
        </w:rPr>
        <w:t>. Ставрополь: ФГБОУВО «</w:t>
      </w:r>
      <w:proofErr w:type="spellStart"/>
      <w:r w:rsidRPr="00520861">
        <w:rPr>
          <w:rFonts w:eastAsiaTheme="minorHAnsi"/>
          <w:sz w:val="28"/>
          <w:szCs w:val="28"/>
          <w:lang w:eastAsia="en-US"/>
        </w:rPr>
        <w:t>Ставропольский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гос</w:t>
      </w:r>
      <w:proofErr w:type="spellEnd"/>
      <w:r w:rsidRPr="00520861">
        <w:rPr>
          <w:rFonts w:eastAsiaTheme="minorHAnsi"/>
          <w:sz w:val="28"/>
          <w:szCs w:val="28"/>
          <w:lang w:eastAsia="en-US"/>
        </w:rPr>
        <w:t xml:space="preserve">. мед. ун-т»; 2019. 121 с. </w:t>
      </w:r>
    </w:p>
    <w:p w14:paraId="5B92813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Calibri"/>
          <w:sz w:val="28"/>
          <w:szCs w:val="28"/>
          <w:lang w:eastAsia="en-US"/>
        </w:rPr>
        <w:t>Россоха</w:t>
      </w:r>
      <w:proofErr w:type="spellEnd"/>
      <w:r w:rsidRPr="00520861">
        <w:rPr>
          <w:rFonts w:eastAsia="Calibri"/>
          <w:sz w:val="28"/>
          <w:szCs w:val="28"/>
          <w:lang w:eastAsia="en-US"/>
        </w:rPr>
        <w:t xml:space="preserve"> ЗІ, </w:t>
      </w:r>
      <w:proofErr w:type="spellStart"/>
      <w:r w:rsidRPr="00520861">
        <w:rPr>
          <w:rFonts w:eastAsia="Calibri"/>
          <w:sz w:val="28"/>
          <w:szCs w:val="28"/>
          <w:lang w:eastAsia="en-US"/>
        </w:rPr>
        <w:t>Кир’яченко</w:t>
      </w:r>
      <w:proofErr w:type="spellEnd"/>
      <w:r w:rsidRPr="00520861">
        <w:rPr>
          <w:rFonts w:eastAsia="Calibri"/>
          <w:sz w:val="28"/>
          <w:szCs w:val="28"/>
          <w:lang w:eastAsia="en-US"/>
        </w:rPr>
        <w:t xml:space="preserve"> СП, </w:t>
      </w:r>
      <w:proofErr w:type="spellStart"/>
      <w:r w:rsidRPr="00520861">
        <w:rPr>
          <w:rFonts w:eastAsia="Calibri"/>
          <w:sz w:val="28"/>
          <w:szCs w:val="28"/>
          <w:lang w:eastAsia="en-US"/>
        </w:rPr>
        <w:t>Горовенко</w:t>
      </w:r>
      <w:proofErr w:type="spellEnd"/>
      <w:r w:rsidRPr="00520861">
        <w:rPr>
          <w:rFonts w:eastAsia="Calibri"/>
          <w:sz w:val="28"/>
          <w:szCs w:val="28"/>
          <w:lang w:eastAsia="en-US"/>
        </w:rPr>
        <w:t xml:space="preserve"> НГ. Порівняльна оцінка моделей </w:t>
      </w:r>
      <w:r w:rsidR="0053191D" w:rsidRPr="00520861">
        <w:rPr>
          <w:rFonts w:eastAsia="Calibri"/>
          <w:sz w:val="28"/>
          <w:szCs w:val="28"/>
          <w:lang w:eastAsia="en-US"/>
        </w:rPr>
        <w:br/>
      </w:r>
      <w:r w:rsidRPr="00520861">
        <w:rPr>
          <w:rFonts w:eastAsia="Calibri"/>
          <w:sz w:val="28"/>
          <w:szCs w:val="28"/>
          <w:lang w:eastAsia="en-US"/>
        </w:rPr>
        <w:t xml:space="preserve">генетичного ризику репродуктивних розладів, зумовлених поліморфізмом генів MTHFR, MTRR, MTR1. </w:t>
      </w:r>
      <w:r w:rsidRPr="00520861">
        <w:rPr>
          <w:rFonts w:eastAsia="Calibri"/>
          <w:i/>
          <w:sz w:val="28"/>
          <w:szCs w:val="28"/>
          <w:lang w:eastAsia="en-US"/>
        </w:rPr>
        <w:t>Медичні перспективи</w:t>
      </w:r>
      <w:r w:rsidRPr="00520861">
        <w:rPr>
          <w:rFonts w:eastAsia="Calibri"/>
          <w:sz w:val="28"/>
          <w:szCs w:val="28"/>
          <w:lang w:eastAsia="en-US"/>
        </w:rPr>
        <w:t xml:space="preserve">.  2018;23(2): 85–91. </w:t>
      </w:r>
      <w:r w:rsidRPr="00520861">
        <w:rPr>
          <w:rFonts w:eastAsiaTheme="minorHAnsi"/>
          <w:sz w:val="28"/>
          <w:szCs w:val="28"/>
          <w:lang w:val="ru-RU" w:eastAsia="en-US"/>
        </w:rPr>
        <w:t xml:space="preserve">Доступно на: </w:t>
      </w:r>
      <w:r w:rsidRPr="00520861">
        <w:rPr>
          <w:rFonts w:eastAsia="Calibri"/>
          <w:sz w:val="28"/>
          <w:szCs w:val="28"/>
          <w:lang w:eastAsia="en-US"/>
        </w:rPr>
        <w:t>http://nbuv.gov.ua/UJRN/Mp_2018_23_2_14.</w:t>
      </w:r>
    </w:p>
    <w:p w14:paraId="1E73395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Рябенко</w:t>
      </w:r>
      <w:proofErr w:type="spellEnd"/>
      <w:r w:rsidRPr="00520861">
        <w:rPr>
          <w:rFonts w:eastAsiaTheme="minorHAnsi"/>
          <w:sz w:val="28"/>
          <w:szCs w:val="28"/>
          <w:lang w:eastAsia="en-US"/>
        </w:rPr>
        <w:t xml:space="preserve"> ТВ. Сучасні аспекти репаративної регенерації кісткової тканини та аналіз показників кісткового метаболізму. </w:t>
      </w:r>
      <w:r w:rsidRPr="00520861">
        <w:rPr>
          <w:rFonts w:eastAsiaTheme="minorHAnsi"/>
          <w:i/>
          <w:sz w:val="28"/>
          <w:szCs w:val="28"/>
          <w:lang w:eastAsia="en-US"/>
        </w:rPr>
        <w:t xml:space="preserve">Український журнал медицини, біології </w:t>
      </w:r>
      <w:r w:rsidR="0053191D" w:rsidRPr="00520861">
        <w:rPr>
          <w:rFonts w:eastAsiaTheme="minorHAnsi"/>
          <w:i/>
          <w:sz w:val="28"/>
          <w:szCs w:val="28"/>
          <w:lang w:eastAsia="en-US"/>
        </w:rPr>
        <w:br/>
      </w:r>
      <w:r w:rsidRPr="00520861">
        <w:rPr>
          <w:rFonts w:eastAsiaTheme="minorHAnsi"/>
          <w:i/>
          <w:sz w:val="28"/>
          <w:szCs w:val="28"/>
          <w:lang w:eastAsia="en-US"/>
        </w:rPr>
        <w:t>та спорту</w:t>
      </w:r>
      <w:r w:rsidRPr="00520861">
        <w:rPr>
          <w:rFonts w:eastAsiaTheme="minorHAnsi"/>
          <w:sz w:val="28"/>
          <w:szCs w:val="28"/>
          <w:lang w:eastAsia="en-US"/>
        </w:rPr>
        <w:t xml:space="preserve">. 2020;5(3): 89–97. </w:t>
      </w:r>
      <w:r w:rsidRPr="00520861">
        <w:rPr>
          <w:rFonts w:eastAsiaTheme="minorHAnsi"/>
          <w:sz w:val="28"/>
          <w:szCs w:val="28"/>
          <w:lang w:val="ru-RU" w:eastAsia="en-US"/>
        </w:rPr>
        <w:t xml:space="preserve">Доступно на: </w:t>
      </w:r>
      <w:r w:rsidRPr="00520861">
        <w:rPr>
          <w:rFonts w:eastAsiaTheme="minorHAnsi"/>
          <w:sz w:val="28"/>
          <w:szCs w:val="28"/>
          <w:lang w:eastAsia="en-US"/>
        </w:rPr>
        <w:t>DOI: 10.26693/jmbs05.03.089.</w:t>
      </w:r>
    </w:p>
    <w:p w14:paraId="456A6AA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Рябоконь ЕН, </w:t>
      </w:r>
      <w:proofErr w:type="spellStart"/>
      <w:r w:rsidRPr="00520861">
        <w:rPr>
          <w:rFonts w:eastAsiaTheme="minorHAnsi"/>
          <w:sz w:val="28"/>
          <w:szCs w:val="28"/>
          <w:lang w:eastAsia="en-US"/>
        </w:rPr>
        <w:t>Крючко</w:t>
      </w:r>
      <w:proofErr w:type="spellEnd"/>
      <w:r w:rsidRPr="00520861">
        <w:rPr>
          <w:rFonts w:eastAsiaTheme="minorHAnsi"/>
          <w:sz w:val="28"/>
          <w:szCs w:val="28"/>
          <w:lang w:eastAsia="en-US"/>
        </w:rPr>
        <w:t xml:space="preserve"> АИ, Абрамова ЛП. </w:t>
      </w:r>
      <w:proofErr w:type="spellStart"/>
      <w:r w:rsidRPr="00520861">
        <w:rPr>
          <w:rFonts w:eastAsiaTheme="minorHAnsi"/>
          <w:sz w:val="28"/>
          <w:szCs w:val="28"/>
          <w:lang w:eastAsia="en-US"/>
        </w:rPr>
        <w:t>Состояние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местного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иммунитета</w:t>
      </w:r>
      <w:proofErr w:type="spellEnd"/>
      <w:r w:rsidRPr="00520861">
        <w:rPr>
          <w:rFonts w:eastAsiaTheme="minorHAnsi"/>
          <w:sz w:val="28"/>
          <w:szCs w:val="28"/>
          <w:lang w:eastAsia="en-US"/>
        </w:rPr>
        <w:t xml:space="preserve"> </w:t>
      </w:r>
      <w:r w:rsidR="0053191D" w:rsidRPr="00520861">
        <w:rPr>
          <w:rFonts w:eastAsiaTheme="minorHAnsi"/>
          <w:sz w:val="28"/>
          <w:szCs w:val="28"/>
          <w:lang w:eastAsia="en-US"/>
        </w:rPr>
        <w:br/>
      </w:r>
      <w:proofErr w:type="spellStart"/>
      <w:r w:rsidRPr="00520861">
        <w:rPr>
          <w:rFonts w:eastAsiaTheme="minorHAnsi"/>
          <w:sz w:val="28"/>
          <w:szCs w:val="28"/>
          <w:lang w:eastAsia="en-US"/>
        </w:rPr>
        <w:t>полости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рта</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вегетативной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дисфункции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организма</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заболеваниях</w:t>
      </w:r>
      <w:proofErr w:type="spellEnd"/>
      <w:r w:rsidRPr="00520861">
        <w:rPr>
          <w:rFonts w:eastAsiaTheme="minorHAnsi"/>
          <w:sz w:val="28"/>
          <w:szCs w:val="28"/>
          <w:lang w:eastAsia="en-US"/>
        </w:rPr>
        <w:t xml:space="preserve"> тканей </w:t>
      </w:r>
      <w:proofErr w:type="spellStart"/>
      <w:r w:rsidRPr="00520861">
        <w:rPr>
          <w:rFonts w:eastAsiaTheme="minorHAnsi"/>
          <w:sz w:val="28"/>
          <w:szCs w:val="28"/>
          <w:lang w:eastAsia="en-US"/>
        </w:rPr>
        <w:t>пародонта</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Український стоматологічний альманах</w:t>
      </w:r>
      <w:r w:rsidRPr="00520861">
        <w:rPr>
          <w:rFonts w:eastAsiaTheme="minorHAnsi"/>
          <w:sz w:val="28"/>
          <w:szCs w:val="28"/>
          <w:lang w:val="ru-RU" w:eastAsia="en-US"/>
        </w:rPr>
        <w:t xml:space="preserve">. 2013;(6): </w:t>
      </w:r>
      <w:r w:rsidRPr="00520861">
        <w:rPr>
          <w:rFonts w:eastAsiaTheme="minorHAnsi"/>
          <w:sz w:val="28"/>
          <w:szCs w:val="28"/>
          <w:lang w:eastAsia="en-US"/>
        </w:rPr>
        <w:t>36–37.</w:t>
      </w:r>
    </w:p>
    <w:p w14:paraId="1E89A80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ru-RU" w:eastAsia="en-US"/>
        </w:rPr>
        <w:t xml:space="preserve">Савельева АЮ. </w:t>
      </w:r>
      <w:r w:rsidRPr="00520861">
        <w:rPr>
          <w:rFonts w:eastAsiaTheme="minorHAnsi"/>
          <w:i/>
          <w:sz w:val="28"/>
          <w:szCs w:val="28"/>
          <w:lang w:val="ru-RU" w:eastAsia="en-US"/>
        </w:rPr>
        <w:t xml:space="preserve">Практикум по анатомии декоративных и экзотических </w:t>
      </w:r>
      <w:r w:rsidR="0053191D" w:rsidRPr="00520861">
        <w:rPr>
          <w:rFonts w:eastAsiaTheme="minorHAnsi"/>
          <w:i/>
          <w:sz w:val="28"/>
          <w:szCs w:val="28"/>
          <w:lang w:val="ru-RU" w:eastAsia="en-US"/>
        </w:rPr>
        <w:br/>
      </w:r>
      <w:r w:rsidRPr="00520861">
        <w:rPr>
          <w:rFonts w:eastAsiaTheme="minorHAnsi"/>
          <w:i/>
          <w:sz w:val="28"/>
          <w:szCs w:val="28"/>
          <w:lang w:val="ru-RU" w:eastAsia="en-US"/>
        </w:rPr>
        <w:t>животных</w:t>
      </w:r>
      <w:r w:rsidRPr="00520861">
        <w:rPr>
          <w:rFonts w:eastAsiaTheme="minorHAnsi"/>
          <w:sz w:val="28"/>
          <w:szCs w:val="28"/>
          <w:lang w:val="ru-RU" w:eastAsia="en-US"/>
        </w:rPr>
        <w:t>. [Электронный ресурс]. Красноярск: ФГБОУ ВО «Красноярский государственный аграрный университет»; 2018. 284 с.</w:t>
      </w:r>
    </w:p>
    <w:p w14:paraId="21FF48C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Сальников</w:t>
      </w:r>
      <w:proofErr w:type="spellEnd"/>
      <w:r w:rsidRPr="00520861">
        <w:rPr>
          <w:rFonts w:eastAsiaTheme="minorHAnsi"/>
          <w:sz w:val="28"/>
          <w:szCs w:val="28"/>
          <w:lang w:eastAsia="en-US"/>
        </w:rPr>
        <w:t xml:space="preserve"> ВІ. Особливості пренатального гістогенезу зубів щурів. Павлов</w:t>
      </w:r>
      <w:r w:rsidRPr="00520861">
        <w:rPr>
          <w:rFonts w:eastAsiaTheme="minorHAnsi"/>
          <w:sz w:val="28"/>
          <w:szCs w:val="28"/>
          <w:lang w:val="en-US" w:eastAsia="en-US"/>
        </w:rPr>
        <w:t> </w:t>
      </w:r>
      <w:r w:rsidRPr="00520861">
        <w:rPr>
          <w:rFonts w:eastAsiaTheme="minorHAnsi"/>
          <w:sz w:val="28"/>
          <w:szCs w:val="28"/>
          <w:lang w:eastAsia="en-US"/>
        </w:rPr>
        <w:t xml:space="preserve">СВ, </w:t>
      </w:r>
      <w:r w:rsidRPr="00520861">
        <w:rPr>
          <w:rFonts w:eastAsiaTheme="minorHAnsi"/>
          <w:sz w:val="28"/>
          <w:szCs w:val="28"/>
          <w:lang w:eastAsia="en-US"/>
        </w:rPr>
        <w:lastRenderedPageBreak/>
        <w:t xml:space="preserve">редактор. Матеріали VІ </w:t>
      </w:r>
      <w:proofErr w:type="spellStart"/>
      <w:r w:rsidRPr="00520861">
        <w:rPr>
          <w:rFonts w:eastAsiaTheme="minorHAnsi"/>
          <w:sz w:val="28"/>
          <w:szCs w:val="28"/>
          <w:lang w:eastAsia="en-US"/>
        </w:rPr>
        <w:t>Всеукр</w:t>
      </w:r>
      <w:proofErr w:type="spellEnd"/>
      <w:r w:rsidRPr="00520861">
        <w:rPr>
          <w:rFonts w:eastAsiaTheme="minorHAnsi"/>
          <w:sz w:val="28"/>
          <w:szCs w:val="28"/>
          <w:lang w:eastAsia="en-US"/>
        </w:rPr>
        <w:t>. наук.-</w:t>
      </w:r>
      <w:proofErr w:type="spellStart"/>
      <w:r w:rsidRPr="00520861">
        <w:rPr>
          <w:rFonts w:eastAsiaTheme="minorHAnsi"/>
          <w:sz w:val="28"/>
          <w:szCs w:val="28"/>
          <w:lang w:eastAsia="en-US"/>
        </w:rPr>
        <w:t>практ</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конф</w:t>
      </w:r>
      <w:proofErr w:type="spellEnd"/>
      <w:r w:rsidRPr="00520861">
        <w:rPr>
          <w:rFonts w:eastAsiaTheme="minorHAnsi"/>
          <w:sz w:val="28"/>
          <w:szCs w:val="28"/>
          <w:lang w:eastAsia="en-US"/>
        </w:rPr>
        <w:t>. Сучасні аспекти медицини і фармації; 2015 трав 14–15; Запоріжжя. Запоріжжя: ТОВ «Видавничий дім КЕРАМІСТ»; 2015, с 35.</w:t>
      </w:r>
    </w:p>
    <w:p w14:paraId="5998551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Самарина</w:t>
      </w:r>
      <w:proofErr w:type="spellEnd"/>
      <w:r w:rsidRPr="00520861">
        <w:rPr>
          <w:rFonts w:eastAsiaTheme="minorHAnsi"/>
          <w:sz w:val="28"/>
          <w:szCs w:val="28"/>
          <w:lang w:eastAsia="en-US"/>
        </w:rPr>
        <w:t xml:space="preserve"> ЯП. </w:t>
      </w:r>
      <w:proofErr w:type="spellStart"/>
      <w:r w:rsidRPr="00520861">
        <w:rPr>
          <w:rFonts w:eastAsiaTheme="minorHAnsi"/>
          <w:sz w:val="28"/>
          <w:szCs w:val="28"/>
          <w:lang w:eastAsia="en-US"/>
        </w:rPr>
        <w:t>Повышенная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чувствительность</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зубов</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Научное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обозрение</w:t>
      </w:r>
      <w:proofErr w:type="spellEnd"/>
      <w:r w:rsidRPr="00520861">
        <w:rPr>
          <w:rFonts w:eastAsiaTheme="minorHAnsi"/>
          <w:sz w:val="28"/>
          <w:szCs w:val="28"/>
          <w:lang w:eastAsia="en-US"/>
        </w:rPr>
        <w:t xml:space="preserve">. </w:t>
      </w:r>
      <w:r w:rsidR="0053191D" w:rsidRPr="00520861">
        <w:rPr>
          <w:rFonts w:eastAsiaTheme="minorHAnsi"/>
          <w:sz w:val="28"/>
          <w:szCs w:val="28"/>
          <w:lang w:eastAsia="en-US"/>
        </w:rPr>
        <w:br/>
      </w:r>
      <w:proofErr w:type="spellStart"/>
      <w:r w:rsidRPr="00520861">
        <w:rPr>
          <w:rFonts w:eastAsiaTheme="minorHAnsi"/>
          <w:i/>
          <w:sz w:val="28"/>
          <w:szCs w:val="28"/>
          <w:lang w:eastAsia="en-US"/>
        </w:rPr>
        <w:t>Медицинские</w:t>
      </w:r>
      <w:proofErr w:type="spellEnd"/>
      <w:r w:rsidRPr="00520861">
        <w:rPr>
          <w:rFonts w:eastAsiaTheme="minorHAnsi"/>
          <w:i/>
          <w:sz w:val="28"/>
          <w:szCs w:val="28"/>
          <w:lang w:eastAsia="en-US"/>
        </w:rPr>
        <w:t xml:space="preserve"> науки</w:t>
      </w:r>
      <w:r w:rsidRPr="00520861">
        <w:rPr>
          <w:rFonts w:eastAsiaTheme="minorHAnsi"/>
          <w:sz w:val="28"/>
          <w:szCs w:val="28"/>
          <w:lang w:eastAsia="en-US"/>
        </w:rPr>
        <w:t>. 2017</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88–91</w:t>
      </w:r>
      <w:r w:rsidRPr="00520861">
        <w:rPr>
          <w:rFonts w:eastAsiaTheme="minorHAnsi"/>
          <w:sz w:val="28"/>
          <w:szCs w:val="28"/>
          <w:lang w:val="ru-RU" w:eastAsia="en-US"/>
        </w:rPr>
        <w:t>.</w:t>
      </w:r>
      <w:r w:rsidRPr="00520861">
        <w:rPr>
          <w:rFonts w:eastAsiaTheme="minorHAnsi"/>
          <w:sz w:val="28"/>
          <w:szCs w:val="28"/>
          <w:lang w:eastAsia="en-US"/>
        </w:rPr>
        <w:t xml:space="preserve"> Доступно на: </w:t>
      </w:r>
      <w:hyperlink r:id="rId130" w:history="1">
        <w:r w:rsidRPr="00520861">
          <w:rPr>
            <w:rFonts w:eastAsiaTheme="minorHAnsi"/>
            <w:sz w:val="28"/>
            <w:szCs w:val="28"/>
            <w:lang w:eastAsia="en-US"/>
          </w:rPr>
          <w:t>https://science-medicine.ru/ru/article/view?id=1019</w:t>
        </w:r>
      </w:hyperlink>
      <w:r w:rsidRPr="00520861">
        <w:rPr>
          <w:rFonts w:eastAsiaTheme="minorHAnsi"/>
          <w:sz w:val="28"/>
          <w:szCs w:val="28"/>
          <w:lang w:eastAsia="en-US"/>
        </w:rPr>
        <w:t>.</w:t>
      </w:r>
    </w:p>
    <w:p w14:paraId="4404EF74" w14:textId="77777777" w:rsidR="00292D2E" w:rsidRPr="00520861" w:rsidRDefault="00292D2E" w:rsidP="008F1D77">
      <w:pPr>
        <w:widowControl w:val="0"/>
        <w:numPr>
          <w:ilvl w:val="0"/>
          <w:numId w:val="8"/>
        </w:numPr>
        <w:shd w:val="clear" w:color="auto" w:fill="FFFFFF"/>
        <w:spacing w:line="360" w:lineRule="auto"/>
        <w:ind w:left="0" w:firstLine="0"/>
        <w:contextualSpacing/>
        <w:jc w:val="both"/>
        <w:outlineLvl w:val="0"/>
        <w:rPr>
          <w:bCs/>
          <w:kern w:val="36"/>
          <w:sz w:val="28"/>
          <w:szCs w:val="28"/>
        </w:rPr>
      </w:pPr>
      <w:r w:rsidRPr="00520861">
        <w:rPr>
          <w:bCs/>
          <w:kern w:val="36"/>
          <w:sz w:val="28"/>
          <w:szCs w:val="28"/>
        </w:rPr>
        <w:t xml:space="preserve">Самойленко АВ, </w:t>
      </w:r>
      <w:proofErr w:type="spellStart"/>
      <w:r w:rsidRPr="00520861">
        <w:rPr>
          <w:bCs/>
          <w:kern w:val="36"/>
          <w:sz w:val="28"/>
          <w:szCs w:val="28"/>
        </w:rPr>
        <w:t>Дрок</w:t>
      </w:r>
      <w:proofErr w:type="spellEnd"/>
      <w:r w:rsidRPr="00520861">
        <w:rPr>
          <w:bCs/>
          <w:kern w:val="36"/>
          <w:sz w:val="28"/>
          <w:szCs w:val="28"/>
        </w:rPr>
        <w:t xml:space="preserve"> ВО. Морфологічні особливості сполучної тканини в </w:t>
      </w:r>
      <w:r w:rsidR="0053191D" w:rsidRPr="00520861">
        <w:rPr>
          <w:bCs/>
          <w:kern w:val="36"/>
          <w:sz w:val="28"/>
          <w:szCs w:val="28"/>
        </w:rPr>
        <w:br/>
      </w:r>
      <w:r w:rsidRPr="00520861">
        <w:rPr>
          <w:bCs/>
          <w:kern w:val="36"/>
          <w:sz w:val="28"/>
          <w:szCs w:val="28"/>
        </w:rPr>
        <w:t xml:space="preserve">експериментальній моделі </w:t>
      </w:r>
      <w:proofErr w:type="spellStart"/>
      <w:r w:rsidRPr="00520861">
        <w:rPr>
          <w:bCs/>
          <w:kern w:val="36"/>
          <w:sz w:val="28"/>
          <w:szCs w:val="28"/>
        </w:rPr>
        <w:t>пародонтита</w:t>
      </w:r>
      <w:proofErr w:type="spellEnd"/>
      <w:r w:rsidRPr="00520861">
        <w:rPr>
          <w:bCs/>
          <w:kern w:val="36"/>
          <w:sz w:val="28"/>
          <w:szCs w:val="28"/>
        </w:rPr>
        <w:t xml:space="preserve"> та </w:t>
      </w:r>
      <w:proofErr w:type="spellStart"/>
      <w:r w:rsidRPr="00520861">
        <w:rPr>
          <w:bCs/>
          <w:kern w:val="36"/>
          <w:sz w:val="28"/>
          <w:szCs w:val="28"/>
        </w:rPr>
        <w:t>ортодонтичного</w:t>
      </w:r>
      <w:proofErr w:type="spellEnd"/>
      <w:r w:rsidRPr="00520861">
        <w:rPr>
          <w:bCs/>
          <w:kern w:val="36"/>
          <w:sz w:val="28"/>
          <w:szCs w:val="28"/>
        </w:rPr>
        <w:t xml:space="preserve"> лікування щурів. </w:t>
      </w:r>
      <w:r w:rsidRPr="00520861">
        <w:rPr>
          <w:bCs/>
          <w:i/>
          <w:kern w:val="36"/>
          <w:sz w:val="28"/>
          <w:szCs w:val="28"/>
        </w:rPr>
        <w:t>Сучасна стоматологія</w:t>
      </w:r>
      <w:r w:rsidRPr="00520861">
        <w:rPr>
          <w:bCs/>
          <w:kern w:val="36"/>
          <w:sz w:val="28"/>
          <w:szCs w:val="28"/>
        </w:rPr>
        <w:t xml:space="preserve">. 2019;(4): 68–71. </w:t>
      </w:r>
      <w:r w:rsidRPr="00520861">
        <w:rPr>
          <w:sz w:val="28"/>
          <w:szCs w:val="28"/>
          <w:lang w:eastAsia="x-none" w:bidi="lo-LA"/>
        </w:rPr>
        <w:t xml:space="preserve">Доступно на: </w:t>
      </w:r>
      <w:r w:rsidRPr="00520861">
        <w:rPr>
          <w:bCs/>
          <w:kern w:val="36"/>
          <w:sz w:val="28"/>
          <w:szCs w:val="28"/>
          <w:lang w:val="en-US"/>
        </w:rPr>
        <w:t>http</w:t>
      </w:r>
      <w:r w:rsidRPr="00520861">
        <w:rPr>
          <w:bCs/>
          <w:kern w:val="36"/>
          <w:sz w:val="28"/>
          <w:szCs w:val="28"/>
        </w:rPr>
        <w:t>://</w:t>
      </w:r>
      <w:proofErr w:type="spellStart"/>
      <w:r w:rsidRPr="00520861">
        <w:rPr>
          <w:bCs/>
          <w:kern w:val="36"/>
          <w:sz w:val="28"/>
          <w:szCs w:val="28"/>
          <w:lang w:val="en-US"/>
        </w:rPr>
        <w:t>nbuv</w:t>
      </w:r>
      <w:proofErr w:type="spellEnd"/>
      <w:r w:rsidRPr="00520861">
        <w:rPr>
          <w:bCs/>
          <w:kern w:val="36"/>
          <w:sz w:val="28"/>
          <w:szCs w:val="28"/>
        </w:rPr>
        <w:t>.</w:t>
      </w:r>
      <w:r w:rsidRPr="00520861">
        <w:rPr>
          <w:bCs/>
          <w:kern w:val="36"/>
          <w:sz w:val="28"/>
          <w:szCs w:val="28"/>
          <w:lang w:val="en-US"/>
        </w:rPr>
        <w:t>gov</w:t>
      </w:r>
      <w:r w:rsidRPr="00520861">
        <w:rPr>
          <w:bCs/>
          <w:kern w:val="36"/>
          <w:sz w:val="28"/>
          <w:szCs w:val="28"/>
        </w:rPr>
        <w:t>.</w:t>
      </w:r>
      <w:proofErr w:type="spellStart"/>
      <w:r w:rsidRPr="00520861">
        <w:rPr>
          <w:bCs/>
          <w:kern w:val="36"/>
          <w:sz w:val="28"/>
          <w:szCs w:val="28"/>
          <w:lang w:val="en-US"/>
        </w:rPr>
        <w:t>ua</w:t>
      </w:r>
      <w:proofErr w:type="spellEnd"/>
      <w:r w:rsidRPr="00520861">
        <w:rPr>
          <w:bCs/>
          <w:kern w:val="36"/>
          <w:sz w:val="28"/>
          <w:szCs w:val="28"/>
        </w:rPr>
        <w:t>/</w:t>
      </w:r>
      <w:r w:rsidRPr="00520861">
        <w:rPr>
          <w:bCs/>
          <w:kern w:val="36"/>
          <w:sz w:val="28"/>
          <w:szCs w:val="28"/>
          <w:lang w:val="en-US"/>
        </w:rPr>
        <w:t>UJRN</w:t>
      </w:r>
      <w:r w:rsidRPr="00520861">
        <w:rPr>
          <w:bCs/>
          <w:kern w:val="36"/>
          <w:sz w:val="28"/>
          <w:szCs w:val="28"/>
        </w:rPr>
        <w:t>/</w:t>
      </w:r>
      <w:r w:rsidRPr="00520861">
        <w:rPr>
          <w:bCs/>
          <w:kern w:val="36"/>
          <w:sz w:val="28"/>
          <w:szCs w:val="28"/>
          <w:lang w:val="en-US"/>
        </w:rPr>
        <w:t>ss</w:t>
      </w:r>
      <w:r w:rsidRPr="00520861">
        <w:rPr>
          <w:bCs/>
          <w:kern w:val="36"/>
          <w:sz w:val="28"/>
          <w:szCs w:val="28"/>
        </w:rPr>
        <w:t>_2019_4_16.</w:t>
      </w:r>
    </w:p>
    <w:p w14:paraId="0C63136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Саркисов</w:t>
      </w:r>
      <w:proofErr w:type="spellEnd"/>
      <w:r w:rsidRPr="00520861">
        <w:rPr>
          <w:rFonts w:eastAsiaTheme="minorHAnsi"/>
          <w:sz w:val="28"/>
          <w:szCs w:val="28"/>
          <w:lang w:eastAsia="en-US"/>
        </w:rPr>
        <w:t xml:space="preserve"> ДС, </w:t>
      </w:r>
      <w:proofErr w:type="spellStart"/>
      <w:r w:rsidRPr="00520861">
        <w:rPr>
          <w:rFonts w:eastAsiaTheme="minorHAnsi"/>
          <w:sz w:val="28"/>
          <w:szCs w:val="28"/>
          <w:lang w:eastAsia="en-US"/>
        </w:rPr>
        <w:t>Перов</w:t>
      </w:r>
      <w:proofErr w:type="spellEnd"/>
      <w:r w:rsidRPr="00520861">
        <w:rPr>
          <w:rFonts w:eastAsiaTheme="minorHAnsi"/>
          <w:sz w:val="28"/>
          <w:szCs w:val="28"/>
          <w:lang w:eastAsia="en-US"/>
        </w:rPr>
        <w:t xml:space="preserve"> ЮЛ. </w:t>
      </w:r>
      <w:proofErr w:type="spellStart"/>
      <w:r w:rsidRPr="00520861">
        <w:rPr>
          <w:rFonts w:eastAsiaTheme="minorHAnsi"/>
          <w:i/>
          <w:sz w:val="28"/>
          <w:szCs w:val="28"/>
          <w:lang w:eastAsia="en-US"/>
        </w:rPr>
        <w:t>Микроскопическая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техника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руководство</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М</w:t>
      </w:r>
      <w:proofErr w:type="spellStart"/>
      <w:r w:rsidRPr="00520861">
        <w:rPr>
          <w:rFonts w:eastAsiaTheme="minorHAnsi"/>
          <w:sz w:val="28"/>
          <w:szCs w:val="28"/>
          <w:lang w:val="ru-RU" w:eastAsia="en-US"/>
        </w:rPr>
        <w:t>осква</w:t>
      </w:r>
      <w:proofErr w:type="spellEnd"/>
      <w:r w:rsidRPr="00520861">
        <w:rPr>
          <w:rFonts w:eastAsiaTheme="minorHAnsi"/>
          <w:sz w:val="28"/>
          <w:szCs w:val="28"/>
          <w:lang w:eastAsia="en-US"/>
        </w:rPr>
        <w:t>:</w:t>
      </w:r>
      <w:r w:rsidRPr="00520861">
        <w:rPr>
          <w:rFonts w:eastAsiaTheme="minorHAnsi"/>
          <w:sz w:val="28"/>
          <w:szCs w:val="28"/>
          <w:lang w:val="ru-RU" w:eastAsia="en-US"/>
        </w:rPr>
        <w:t xml:space="preserve"> </w:t>
      </w:r>
      <w:r w:rsidRPr="00520861">
        <w:rPr>
          <w:rFonts w:eastAsiaTheme="minorHAnsi"/>
          <w:sz w:val="28"/>
          <w:szCs w:val="28"/>
          <w:lang w:eastAsia="en-US"/>
        </w:rPr>
        <w:t>Медицина</w:t>
      </w:r>
      <w:r w:rsidRPr="00520861">
        <w:rPr>
          <w:rFonts w:eastAsiaTheme="minorHAnsi"/>
          <w:sz w:val="28"/>
          <w:szCs w:val="28"/>
          <w:lang w:val="ru-RU" w:eastAsia="en-US"/>
        </w:rPr>
        <w:t>;</w:t>
      </w:r>
      <w:r w:rsidRPr="00520861">
        <w:rPr>
          <w:rFonts w:eastAsiaTheme="minorHAnsi"/>
          <w:sz w:val="28"/>
          <w:szCs w:val="28"/>
          <w:lang w:eastAsia="en-US"/>
        </w:rPr>
        <w:t xml:space="preserve"> 1996. 544 с.</w:t>
      </w:r>
    </w:p>
    <w:p w14:paraId="4FEC1D3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Саркисян</w:t>
      </w:r>
      <w:proofErr w:type="spellEnd"/>
      <w:r w:rsidRPr="00520861">
        <w:rPr>
          <w:rFonts w:eastAsiaTheme="minorHAnsi"/>
          <w:sz w:val="28"/>
          <w:szCs w:val="28"/>
          <w:lang w:eastAsia="en-US"/>
        </w:rPr>
        <w:t xml:space="preserve"> ЕГ. Форма и </w:t>
      </w:r>
      <w:proofErr w:type="spellStart"/>
      <w:r w:rsidRPr="00520861">
        <w:rPr>
          <w:rFonts w:eastAsiaTheme="minorHAnsi"/>
          <w:sz w:val="28"/>
          <w:szCs w:val="28"/>
          <w:lang w:eastAsia="en-US"/>
        </w:rPr>
        <w:t>микроскопическое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строение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коренных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кролика и </w:t>
      </w:r>
      <w:proofErr w:type="spellStart"/>
      <w:r w:rsidRPr="00520861">
        <w:rPr>
          <w:rFonts w:eastAsiaTheme="minorHAnsi"/>
          <w:sz w:val="28"/>
          <w:szCs w:val="28"/>
          <w:lang w:eastAsia="en-US"/>
        </w:rPr>
        <w:t>крысы</w:t>
      </w:r>
      <w:proofErr w:type="spellEnd"/>
      <w:r w:rsidRPr="00520861">
        <w:rPr>
          <w:rFonts w:eastAsiaTheme="minorHAnsi"/>
          <w:sz w:val="28"/>
          <w:szCs w:val="28"/>
          <w:lang w:eastAsia="en-US"/>
        </w:rPr>
        <w:t xml:space="preserve">. </w:t>
      </w:r>
      <w:r w:rsidRPr="00520861">
        <w:rPr>
          <w:rFonts w:eastAsiaTheme="minorHAnsi"/>
          <w:i/>
          <w:sz w:val="28"/>
          <w:szCs w:val="28"/>
          <w:lang w:eastAsia="en-US"/>
        </w:rPr>
        <w:t>ВІСНИК ВДНЗУ «Українська медична стоматологічна академія»</w:t>
      </w:r>
      <w:r w:rsidRPr="00520861">
        <w:rPr>
          <w:rFonts w:eastAsiaTheme="minorHAnsi"/>
          <w:sz w:val="28"/>
          <w:szCs w:val="28"/>
          <w:lang w:eastAsia="en-US"/>
        </w:rPr>
        <w:t xml:space="preserve">. 2015; 2(50): 198–202. </w:t>
      </w:r>
    </w:p>
    <w:p w14:paraId="302A068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Семенов СВ, </w:t>
      </w:r>
      <w:proofErr w:type="spellStart"/>
      <w:r w:rsidRPr="00520861">
        <w:rPr>
          <w:rFonts w:eastAsiaTheme="minorHAnsi"/>
          <w:sz w:val="28"/>
          <w:szCs w:val="28"/>
          <w:lang w:eastAsia="en-US"/>
        </w:rPr>
        <w:t>Кашкина</w:t>
      </w:r>
      <w:proofErr w:type="spellEnd"/>
      <w:r w:rsidRPr="00520861">
        <w:rPr>
          <w:rFonts w:eastAsiaTheme="minorHAnsi"/>
          <w:sz w:val="28"/>
          <w:szCs w:val="28"/>
          <w:lang w:eastAsia="en-US"/>
        </w:rPr>
        <w:t xml:space="preserve"> ЕИ. </w:t>
      </w:r>
      <w:proofErr w:type="spellStart"/>
      <w:r w:rsidRPr="00520861">
        <w:rPr>
          <w:rFonts w:eastAsiaTheme="minorHAnsi"/>
          <w:sz w:val="28"/>
          <w:szCs w:val="28"/>
          <w:lang w:eastAsia="en-US"/>
        </w:rPr>
        <w:t>Формирование</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особенности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течения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гастроэзофагеальной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рефлюксной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болезни</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военнослужащих</w:t>
      </w:r>
      <w:proofErr w:type="spellEnd"/>
      <w:r w:rsidRPr="00520861">
        <w:rPr>
          <w:rFonts w:eastAsiaTheme="minorHAnsi"/>
          <w:sz w:val="28"/>
          <w:szCs w:val="28"/>
          <w:lang w:eastAsia="en-US"/>
        </w:rPr>
        <w:t xml:space="preserve"> по </w:t>
      </w:r>
      <w:proofErr w:type="spellStart"/>
      <w:r w:rsidRPr="00520861">
        <w:rPr>
          <w:rFonts w:eastAsiaTheme="minorHAnsi"/>
          <w:sz w:val="28"/>
          <w:szCs w:val="28"/>
          <w:lang w:eastAsia="en-US"/>
        </w:rPr>
        <w:t>призыву</w:t>
      </w:r>
      <w:proofErr w:type="spellEnd"/>
      <w:r w:rsidRPr="00520861">
        <w:rPr>
          <w:rFonts w:eastAsiaTheme="minorHAnsi"/>
          <w:sz w:val="28"/>
          <w:szCs w:val="28"/>
          <w:lang w:eastAsia="en-US"/>
        </w:rPr>
        <w:t xml:space="preserve"> на фоне </w:t>
      </w:r>
      <w:proofErr w:type="spellStart"/>
      <w:r w:rsidRPr="00520861">
        <w:rPr>
          <w:rFonts w:eastAsiaTheme="minorHAnsi"/>
          <w:sz w:val="28"/>
          <w:szCs w:val="28"/>
          <w:lang w:eastAsia="en-US"/>
        </w:rPr>
        <w:t>синдрома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недифференцированной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дисплазии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соединительной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ткани</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Саратовский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научно-медицинский</w:t>
      </w:r>
      <w:proofErr w:type="spellEnd"/>
      <w:r w:rsidRPr="00520861">
        <w:rPr>
          <w:rFonts w:eastAsiaTheme="minorHAnsi"/>
          <w:i/>
          <w:sz w:val="28"/>
          <w:szCs w:val="28"/>
          <w:lang w:eastAsia="en-US"/>
        </w:rPr>
        <w:t xml:space="preserve"> журнал</w:t>
      </w:r>
      <w:r w:rsidRPr="00520861">
        <w:rPr>
          <w:rFonts w:eastAsiaTheme="minorHAnsi"/>
          <w:sz w:val="28"/>
          <w:szCs w:val="28"/>
          <w:lang w:eastAsia="en-US"/>
        </w:rPr>
        <w:t>. 2008</w:t>
      </w:r>
      <w:r w:rsidRPr="00520861">
        <w:rPr>
          <w:rFonts w:eastAsiaTheme="minorHAnsi"/>
          <w:sz w:val="28"/>
          <w:szCs w:val="28"/>
          <w:lang w:val="ru-RU" w:eastAsia="en-US"/>
        </w:rPr>
        <w:t>;</w:t>
      </w:r>
      <w:r w:rsidRPr="00520861">
        <w:rPr>
          <w:rFonts w:eastAsiaTheme="minorHAnsi"/>
          <w:sz w:val="28"/>
          <w:szCs w:val="28"/>
          <w:lang w:eastAsia="en-US"/>
        </w:rPr>
        <w:t>4 (4)</w:t>
      </w:r>
      <w:r w:rsidRPr="00520861">
        <w:rPr>
          <w:rFonts w:eastAsiaTheme="minorHAnsi"/>
          <w:sz w:val="28"/>
          <w:szCs w:val="28"/>
          <w:lang w:val="ru-RU" w:eastAsia="en-US"/>
        </w:rPr>
        <w:t>:</w:t>
      </w:r>
      <w:r w:rsidRPr="00520861">
        <w:rPr>
          <w:rFonts w:eastAsiaTheme="minorHAnsi"/>
          <w:sz w:val="28"/>
          <w:szCs w:val="28"/>
          <w:lang w:eastAsia="en-US"/>
        </w:rPr>
        <w:t xml:space="preserve"> 46–49. </w:t>
      </w:r>
    </w:p>
    <w:p w14:paraId="57481A7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Семенюк ГД. </w:t>
      </w:r>
      <w:r w:rsidRPr="00520861">
        <w:rPr>
          <w:rFonts w:eastAsiaTheme="minorHAnsi"/>
          <w:i/>
          <w:sz w:val="28"/>
          <w:szCs w:val="28"/>
          <w:lang w:eastAsia="en-US"/>
        </w:rPr>
        <w:t xml:space="preserve">Клініко-лабораторне </w:t>
      </w:r>
      <w:proofErr w:type="spellStart"/>
      <w:r w:rsidRPr="00520861">
        <w:rPr>
          <w:rFonts w:eastAsiaTheme="minorHAnsi"/>
          <w:i/>
          <w:sz w:val="28"/>
          <w:szCs w:val="28"/>
          <w:lang w:eastAsia="en-US"/>
        </w:rPr>
        <w:t>обгрунтування</w:t>
      </w:r>
      <w:proofErr w:type="spellEnd"/>
      <w:r w:rsidRPr="00520861">
        <w:rPr>
          <w:rFonts w:eastAsiaTheme="minorHAnsi"/>
          <w:i/>
          <w:sz w:val="28"/>
          <w:szCs w:val="28"/>
          <w:lang w:eastAsia="en-US"/>
        </w:rPr>
        <w:t xml:space="preserve"> застосування </w:t>
      </w:r>
      <w:proofErr w:type="spellStart"/>
      <w:r w:rsidRPr="00520861">
        <w:rPr>
          <w:rFonts w:eastAsiaTheme="minorHAnsi"/>
          <w:i/>
          <w:sz w:val="28"/>
          <w:szCs w:val="28"/>
          <w:lang w:eastAsia="en-US"/>
        </w:rPr>
        <w:t>синбіотиків</w:t>
      </w:r>
      <w:proofErr w:type="spellEnd"/>
      <w:r w:rsidRPr="00520861">
        <w:rPr>
          <w:rFonts w:eastAsiaTheme="minorHAnsi"/>
          <w:i/>
          <w:sz w:val="28"/>
          <w:szCs w:val="28"/>
          <w:lang w:eastAsia="en-US"/>
        </w:rPr>
        <w:t xml:space="preserve"> у комплексному лікуванні хворих на </w:t>
      </w:r>
      <w:proofErr w:type="spellStart"/>
      <w:r w:rsidRPr="00520861">
        <w:rPr>
          <w:rFonts w:eastAsiaTheme="minorHAnsi"/>
          <w:i/>
          <w:sz w:val="28"/>
          <w:szCs w:val="28"/>
          <w:lang w:eastAsia="en-US"/>
        </w:rPr>
        <w:t>генералізований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пародонтит</w:t>
      </w:r>
      <w:proofErr w:type="spellEnd"/>
      <w:r w:rsidRPr="00520861">
        <w:rPr>
          <w:rFonts w:eastAsiaTheme="minorHAnsi"/>
          <w:sz w:val="28"/>
          <w:szCs w:val="28"/>
          <w:lang w:val="ru-RU" w:eastAsia="en-US"/>
        </w:rPr>
        <w:t xml:space="preserve"> [</w:t>
      </w:r>
      <w:r w:rsidRPr="00520861">
        <w:rPr>
          <w:rFonts w:eastAsiaTheme="minorHAnsi"/>
          <w:sz w:val="28"/>
          <w:szCs w:val="28"/>
          <w:lang w:eastAsia="en-US"/>
        </w:rPr>
        <w:t>дисертація</w:t>
      </w:r>
      <w:r w:rsidRPr="00520861">
        <w:rPr>
          <w:rFonts w:eastAsiaTheme="minorHAnsi"/>
          <w:sz w:val="28"/>
          <w:szCs w:val="28"/>
          <w:lang w:val="ru-RU" w:eastAsia="en-US"/>
        </w:rPr>
        <w:t>].</w:t>
      </w:r>
      <w:r w:rsidRPr="00520861">
        <w:rPr>
          <w:rFonts w:eastAsiaTheme="minorHAnsi"/>
          <w:sz w:val="28"/>
          <w:szCs w:val="28"/>
          <w:lang w:eastAsia="en-US"/>
        </w:rPr>
        <w:t xml:space="preserve"> Івано-Франківськ</w:t>
      </w:r>
      <w:r w:rsidRPr="00520861">
        <w:rPr>
          <w:rFonts w:eastAsiaTheme="minorHAnsi"/>
          <w:sz w:val="28"/>
          <w:szCs w:val="28"/>
          <w:lang w:val="ru-RU" w:eastAsia="en-US"/>
        </w:rPr>
        <w:t xml:space="preserve">: ДВНЗ </w:t>
      </w:r>
      <w:proofErr w:type="spellStart"/>
      <w:r w:rsidRPr="00520861">
        <w:rPr>
          <w:rFonts w:eastAsiaTheme="minorHAnsi"/>
          <w:sz w:val="28"/>
          <w:szCs w:val="28"/>
          <w:lang w:val="ru-RU" w:eastAsia="en-US"/>
        </w:rPr>
        <w:t>Івано-Франків</w:t>
      </w:r>
      <w:proofErr w:type="spellEnd"/>
      <w:r w:rsidRPr="00520861">
        <w:rPr>
          <w:rFonts w:eastAsiaTheme="minorHAnsi"/>
          <w:sz w:val="28"/>
          <w:szCs w:val="28"/>
          <w:lang w:val="ru-RU" w:eastAsia="en-US"/>
        </w:rPr>
        <w:t xml:space="preserve">. нац. мед. ун-т; </w:t>
      </w:r>
      <w:r w:rsidRPr="00520861">
        <w:rPr>
          <w:rFonts w:eastAsiaTheme="minorHAnsi"/>
          <w:sz w:val="28"/>
          <w:szCs w:val="28"/>
          <w:lang w:eastAsia="en-US"/>
        </w:rPr>
        <w:t>2016</w:t>
      </w:r>
      <w:r w:rsidRPr="00520861">
        <w:rPr>
          <w:rFonts w:eastAsiaTheme="minorHAnsi"/>
          <w:sz w:val="28"/>
          <w:szCs w:val="28"/>
          <w:lang w:val="ru-RU" w:eastAsia="en-US"/>
        </w:rPr>
        <w:t>.</w:t>
      </w:r>
      <w:r w:rsidRPr="00520861">
        <w:rPr>
          <w:rFonts w:eastAsiaTheme="minorHAnsi"/>
          <w:sz w:val="28"/>
          <w:szCs w:val="28"/>
          <w:lang w:eastAsia="en-US"/>
        </w:rPr>
        <w:t xml:space="preserve"> 224 с .</w:t>
      </w:r>
    </w:p>
    <w:p w14:paraId="042C296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r w:rsidRPr="00520861">
        <w:rPr>
          <w:rFonts w:eastAsiaTheme="minorHAnsi"/>
          <w:sz w:val="28"/>
          <w:szCs w:val="28"/>
          <w:lang w:eastAsia="en-US"/>
        </w:rPr>
        <w:t xml:space="preserve">Скиба АВ. </w:t>
      </w:r>
      <w:proofErr w:type="spellStart"/>
      <w:r w:rsidRPr="00520861">
        <w:rPr>
          <w:rFonts w:eastAsiaTheme="minorHAnsi"/>
          <w:i/>
          <w:sz w:val="28"/>
          <w:szCs w:val="28"/>
          <w:lang w:eastAsia="en-US"/>
        </w:rPr>
        <w:t>Патогенетические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аспекты</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профилактики</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лечения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стоматологических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заболеваний</w:t>
      </w:r>
      <w:proofErr w:type="spellEnd"/>
      <w:r w:rsidRPr="00520861">
        <w:rPr>
          <w:rFonts w:eastAsiaTheme="minorHAnsi"/>
          <w:i/>
          <w:sz w:val="28"/>
          <w:szCs w:val="28"/>
          <w:lang w:eastAsia="en-US"/>
        </w:rPr>
        <w:t xml:space="preserve"> при </w:t>
      </w:r>
      <w:proofErr w:type="spellStart"/>
      <w:r w:rsidRPr="00520861">
        <w:rPr>
          <w:rFonts w:eastAsiaTheme="minorHAnsi"/>
          <w:i/>
          <w:sz w:val="28"/>
          <w:szCs w:val="28"/>
          <w:lang w:eastAsia="en-US"/>
        </w:rPr>
        <w:t>сахарном</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диабете</w:t>
      </w:r>
      <w:proofErr w:type="spellEnd"/>
      <w:r w:rsidRPr="00520861">
        <w:rPr>
          <w:rFonts w:eastAsiaTheme="minorHAnsi"/>
          <w:sz w:val="28"/>
          <w:szCs w:val="28"/>
          <w:lang w:eastAsia="en-US"/>
        </w:rPr>
        <w:t xml:space="preserve"> </w:t>
      </w:r>
      <w:r w:rsidRPr="00520861">
        <w:rPr>
          <w:rFonts w:eastAsiaTheme="minorHAnsi"/>
          <w:sz w:val="28"/>
          <w:szCs w:val="28"/>
          <w:lang w:val="ru-RU" w:eastAsia="en-US"/>
        </w:rPr>
        <w:t>[</w:t>
      </w:r>
      <w:proofErr w:type="spellStart"/>
      <w:r w:rsidRPr="00520861">
        <w:rPr>
          <w:rFonts w:eastAsiaTheme="minorHAnsi"/>
          <w:sz w:val="28"/>
          <w:szCs w:val="28"/>
          <w:lang w:eastAsia="en-US"/>
        </w:rPr>
        <w:t>дисертация</w:t>
      </w:r>
      <w:proofErr w:type="spellEnd"/>
      <w:r w:rsidRPr="00520861">
        <w:rPr>
          <w:rFonts w:eastAsiaTheme="minorHAnsi"/>
          <w:sz w:val="28"/>
          <w:szCs w:val="28"/>
          <w:lang w:val="ru-RU" w:eastAsia="en-US"/>
        </w:rPr>
        <w:t>]</w:t>
      </w:r>
      <w:r w:rsidRPr="00520861">
        <w:rPr>
          <w:rFonts w:eastAsiaTheme="minorHAnsi"/>
          <w:sz w:val="28"/>
          <w:szCs w:val="28"/>
          <w:lang w:eastAsia="en-US"/>
        </w:rPr>
        <w:t>. Одесса</w:t>
      </w:r>
      <w:r w:rsidRPr="00520861">
        <w:rPr>
          <w:rFonts w:eastAsiaTheme="minorHAnsi"/>
          <w:sz w:val="28"/>
          <w:szCs w:val="28"/>
          <w:lang w:val="ru-RU" w:eastAsia="en-US"/>
        </w:rPr>
        <w:t xml:space="preserve">: Гос. </w:t>
      </w:r>
      <w:proofErr w:type="spellStart"/>
      <w:r w:rsidRPr="00520861">
        <w:rPr>
          <w:rFonts w:eastAsiaTheme="minorHAnsi"/>
          <w:sz w:val="28"/>
          <w:szCs w:val="28"/>
          <w:lang w:val="ru-RU" w:eastAsia="en-US"/>
        </w:rPr>
        <w:t>учр</w:t>
      </w:r>
      <w:proofErr w:type="spellEnd"/>
      <w:r w:rsidRPr="00520861">
        <w:rPr>
          <w:rFonts w:eastAsiaTheme="minorHAnsi"/>
          <w:sz w:val="28"/>
          <w:szCs w:val="28"/>
          <w:lang w:val="ru-RU" w:eastAsia="en-US"/>
        </w:rPr>
        <w:t xml:space="preserve">. </w:t>
      </w:r>
      <w:r w:rsidR="0053191D" w:rsidRPr="00520861">
        <w:rPr>
          <w:rFonts w:eastAsiaTheme="minorHAnsi"/>
          <w:sz w:val="28"/>
          <w:szCs w:val="28"/>
          <w:lang w:val="ru-RU" w:eastAsia="en-US"/>
        </w:rPr>
        <w:br/>
      </w:r>
      <w:r w:rsidRPr="00520861">
        <w:rPr>
          <w:rFonts w:eastAsiaTheme="minorHAnsi"/>
          <w:sz w:val="28"/>
          <w:szCs w:val="28"/>
          <w:lang w:val="ru-RU" w:eastAsia="en-US"/>
        </w:rPr>
        <w:t>«Институт стоматологии НАМНУ»;</w:t>
      </w:r>
      <w:r w:rsidRPr="00520861">
        <w:rPr>
          <w:rFonts w:eastAsiaTheme="minorHAnsi"/>
          <w:sz w:val="28"/>
          <w:szCs w:val="28"/>
          <w:lang w:eastAsia="en-US"/>
        </w:rPr>
        <w:t xml:space="preserve"> 2016. </w:t>
      </w:r>
      <w:r w:rsidRPr="00520861">
        <w:rPr>
          <w:rFonts w:eastAsiaTheme="minorHAnsi"/>
          <w:sz w:val="28"/>
          <w:szCs w:val="28"/>
          <w:lang w:val="ru-RU" w:eastAsia="en-US"/>
        </w:rPr>
        <w:t>286 с.</w:t>
      </w:r>
    </w:p>
    <w:p w14:paraId="2D3C92D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Смаглюк ЛВ, Дмитренко МІ. Дистальна оклюзія і скупченість зубів: стратегія лікування. </w:t>
      </w:r>
      <w:r w:rsidRPr="00520861">
        <w:rPr>
          <w:rFonts w:eastAsiaTheme="minorHAnsi"/>
          <w:i/>
          <w:sz w:val="28"/>
          <w:szCs w:val="28"/>
          <w:lang w:eastAsia="en-US"/>
        </w:rPr>
        <w:t>Український стоматологічний альманах</w:t>
      </w:r>
      <w:r w:rsidRPr="00520861">
        <w:rPr>
          <w:rFonts w:eastAsiaTheme="minorHAnsi"/>
          <w:sz w:val="28"/>
          <w:szCs w:val="28"/>
          <w:lang w:eastAsia="en-US"/>
        </w:rPr>
        <w:t xml:space="preserve">. 2020;(2): 103–108. Доступно на: </w:t>
      </w:r>
      <w:r w:rsidRPr="00520861">
        <w:rPr>
          <w:rFonts w:eastAsiaTheme="minorHAnsi"/>
          <w:sz w:val="28"/>
          <w:szCs w:val="28"/>
          <w:lang w:val="en-US" w:eastAsia="en-US"/>
        </w:rPr>
        <w:t>DOI</w:t>
      </w:r>
      <w:r w:rsidRPr="00520861">
        <w:rPr>
          <w:rFonts w:eastAsiaTheme="minorHAnsi"/>
          <w:sz w:val="28"/>
          <w:szCs w:val="28"/>
          <w:lang w:eastAsia="en-US"/>
        </w:rPr>
        <w:t>: 10.31718/2409-0255.2.2020.16.</w:t>
      </w:r>
    </w:p>
    <w:p w14:paraId="07DAB7E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Смоляр НІ, </w:t>
      </w:r>
      <w:proofErr w:type="spellStart"/>
      <w:r w:rsidRPr="00520861">
        <w:rPr>
          <w:rFonts w:eastAsiaTheme="minorHAnsi"/>
          <w:sz w:val="28"/>
          <w:szCs w:val="28"/>
          <w:lang w:eastAsia="en-US"/>
        </w:rPr>
        <w:t>Гринишин</w:t>
      </w:r>
      <w:proofErr w:type="spellEnd"/>
      <w:r w:rsidRPr="00520861">
        <w:rPr>
          <w:rFonts w:eastAsiaTheme="minorHAnsi"/>
          <w:sz w:val="28"/>
          <w:szCs w:val="28"/>
          <w:lang w:eastAsia="en-US"/>
        </w:rPr>
        <w:t xml:space="preserve"> ОБ. Оцінка ефективності лікування карієсу молочних зубів у дітей (ретроспективний аналіз). </w:t>
      </w:r>
      <w:proofErr w:type="spellStart"/>
      <w:r w:rsidRPr="00520861">
        <w:rPr>
          <w:rFonts w:eastAsiaTheme="minorHAnsi"/>
          <w:i/>
          <w:sz w:val="28"/>
          <w:szCs w:val="28"/>
          <w:lang w:val="ru-RU" w:eastAsia="en-US"/>
        </w:rPr>
        <w:t>Український</w:t>
      </w:r>
      <w:proofErr w:type="spellEnd"/>
      <w:r w:rsidRPr="00520861">
        <w:rPr>
          <w:rFonts w:eastAsiaTheme="minorHAnsi"/>
          <w:i/>
          <w:sz w:val="28"/>
          <w:szCs w:val="28"/>
          <w:lang w:val="ru-RU" w:eastAsia="en-US"/>
        </w:rPr>
        <w:t xml:space="preserve"> </w:t>
      </w:r>
      <w:proofErr w:type="spellStart"/>
      <w:r w:rsidRPr="00520861">
        <w:rPr>
          <w:rFonts w:eastAsiaTheme="minorHAnsi"/>
          <w:i/>
          <w:sz w:val="28"/>
          <w:szCs w:val="28"/>
          <w:lang w:val="ru-RU" w:eastAsia="en-US"/>
        </w:rPr>
        <w:t>стоматологічний</w:t>
      </w:r>
      <w:proofErr w:type="spellEnd"/>
      <w:r w:rsidRPr="00520861">
        <w:rPr>
          <w:rFonts w:eastAsiaTheme="minorHAnsi"/>
          <w:i/>
          <w:sz w:val="28"/>
          <w:szCs w:val="28"/>
          <w:lang w:val="ru-RU" w:eastAsia="en-US"/>
        </w:rPr>
        <w:t xml:space="preserve"> альманах</w:t>
      </w:r>
      <w:r w:rsidRPr="00520861">
        <w:rPr>
          <w:rFonts w:eastAsiaTheme="minorHAnsi"/>
          <w:sz w:val="28"/>
          <w:szCs w:val="28"/>
          <w:lang w:val="ru-RU" w:eastAsia="en-US"/>
        </w:rPr>
        <w:t xml:space="preserve">. 2013;(4): 71–75. </w:t>
      </w:r>
      <w:r w:rsidRPr="00520861">
        <w:rPr>
          <w:rFonts w:eastAsiaTheme="minorHAnsi"/>
          <w:sz w:val="28"/>
          <w:szCs w:val="28"/>
          <w:lang w:eastAsia="en-US"/>
        </w:rPr>
        <w:t>Доступно на:</w:t>
      </w:r>
      <w:r w:rsidRPr="00520861">
        <w:rPr>
          <w:rFonts w:eastAsiaTheme="minorHAnsi"/>
          <w:sz w:val="28"/>
          <w:szCs w:val="28"/>
          <w:lang w:val="ru-RU" w:eastAsia="en-US"/>
        </w:rPr>
        <w:t xml:space="preserve"> http://nbuv.gov.ua/UJRN/Usa_2013_4_21.</w:t>
      </w:r>
    </w:p>
    <w:p w14:paraId="6CCCB77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lastRenderedPageBreak/>
        <w:t xml:space="preserve">Смоляр НІ, </w:t>
      </w:r>
      <w:proofErr w:type="spellStart"/>
      <w:r w:rsidRPr="00520861">
        <w:rPr>
          <w:rFonts w:eastAsiaTheme="minorHAnsi"/>
          <w:sz w:val="28"/>
          <w:szCs w:val="28"/>
          <w:lang w:eastAsia="en-US"/>
        </w:rPr>
        <w:t>Дубецька-Грабоус</w:t>
      </w:r>
      <w:proofErr w:type="spellEnd"/>
      <w:r w:rsidRPr="00520861">
        <w:rPr>
          <w:rFonts w:eastAsiaTheme="minorHAnsi"/>
          <w:sz w:val="28"/>
          <w:szCs w:val="28"/>
          <w:lang w:eastAsia="en-US"/>
        </w:rPr>
        <w:t xml:space="preserve"> ІС. Чинники ризику виникнення карієсу молочних зубів у період закладки та мінералізації. </w:t>
      </w:r>
      <w:r w:rsidRPr="00520861">
        <w:rPr>
          <w:rFonts w:eastAsiaTheme="minorHAnsi"/>
          <w:i/>
          <w:sz w:val="28"/>
          <w:szCs w:val="28"/>
          <w:lang w:eastAsia="en-US"/>
        </w:rPr>
        <w:t>Профілактична та дитяча стоматологія</w:t>
      </w:r>
      <w:r w:rsidRPr="00520861">
        <w:rPr>
          <w:rFonts w:eastAsiaTheme="minorHAnsi"/>
          <w:sz w:val="28"/>
          <w:szCs w:val="28"/>
          <w:lang w:eastAsia="en-US"/>
        </w:rPr>
        <w:t>. 2009</w:t>
      </w:r>
      <w:r w:rsidRPr="00520861">
        <w:rPr>
          <w:rFonts w:eastAsiaTheme="minorHAnsi"/>
          <w:sz w:val="28"/>
          <w:szCs w:val="28"/>
          <w:lang w:val="ru-RU" w:eastAsia="en-US"/>
        </w:rPr>
        <w:t>;(</w:t>
      </w:r>
      <w:r w:rsidRPr="00520861">
        <w:rPr>
          <w:rFonts w:eastAsiaTheme="minorHAnsi"/>
          <w:sz w:val="28"/>
          <w:szCs w:val="28"/>
          <w:lang w:eastAsia="en-US"/>
        </w:rPr>
        <w:t>1</w:t>
      </w:r>
      <w:r w:rsidRPr="00520861">
        <w:rPr>
          <w:rFonts w:eastAsiaTheme="minorHAnsi"/>
          <w:sz w:val="28"/>
          <w:szCs w:val="28"/>
          <w:lang w:val="ru-RU" w:eastAsia="en-US"/>
        </w:rPr>
        <w:t xml:space="preserve">): </w:t>
      </w:r>
      <w:r w:rsidRPr="00520861">
        <w:rPr>
          <w:rFonts w:eastAsiaTheme="minorHAnsi"/>
          <w:sz w:val="28"/>
          <w:szCs w:val="28"/>
          <w:lang w:eastAsia="en-US"/>
        </w:rPr>
        <w:t xml:space="preserve">12–17. Доступно на: </w:t>
      </w:r>
      <w:r w:rsidRPr="00520861">
        <w:rPr>
          <w:rFonts w:eastAsiaTheme="minorHAnsi"/>
          <w:sz w:val="28"/>
          <w:szCs w:val="28"/>
          <w:lang w:val="en-US" w:eastAsia="en-US"/>
        </w:rPr>
        <w:t>http</w:t>
      </w:r>
      <w:r w:rsidRPr="00520861">
        <w:rPr>
          <w:rFonts w:eastAsiaTheme="minorHAnsi"/>
          <w:sz w:val="28"/>
          <w:szCs w:val="28"/>
          <w:lang w:eastAsia="en-US"/>
        </w:rPr>
        <w:t>://</w:t>
      </w:r>
      <w:proofErr w:type="spellStart"/>
      <w:r w:rsidRPr="00520861">
        <w:rPr>
          <w:rFonts w:eastAsiaTheme="minorHAnsi"/>
          <w:sz w:val="28"/>
          <w:szCs w:val="28"/>
          <w:lang w:val="en-US" w:eastAsia="en-US"/>
        </w:rPr>
        <w:t>nbuv</w:t>
      </w:r>
      <w:proofErr w:type="spellEnd"/>
      <w:r w:rsidRPr="00520861">
        <w:rPr>
          <w:rFonts w:eastAsiaTheme="minorHAnsi"/>
          <w:sz w:val="28"/>
          <w:szCs w:val="28"/>
          <w:lang w:eastAsia="en-US"/>
        </w:rPr>
        <w:t>.</w:t>
      </w:r>
      <w:r w:rsidRPr="00520861">
        <w:rPr>
          <w:rFonts w:eastAsiaTheme="minorHAnsi"/>
          <w:sz w:val="28"/>
          <w:szCs w:val="28"/>
          <w:lang w:val="en-US" w:eastAsia="en-US"/>
        </w:rPr>
        <w:t>gov</w:t>
      </w:r>
      <w:r w:rsidRPr="00520861">
        <w:rPr>
          <w:rFonts w:eastAsiaTheme="minorHAnsi"/>
          <w:sz w:val="28"/>
          <w:szCs w:val="28"/>
          <w:lang w:eastAsia="en-US"/>
        </w:rPr>
        <w:t>.</w:t>
      </w:r>
      <w:proofErr w:type="spellStart"/>
      <w:r w:rsidRPr="00520861">
        <w:rPr>
          <w:rFonts w:eastAsiaTheme="minorHAnsi"/>
          <w:sz w:val="28"/>
          <w:szCs w:val="28"/>
          <w:lang w:val="en-US" w:eastAsia="en-US"/>
        </w:rPr>
        <w:t>ua</w:t>
      </w:r>
      <w:proofErr w:type="spellEnd"/>
      <w:r w:rsidRPr="00520861">
        <w:rPr>
          <w:rFonts w:eastAsiaTheme="minorHAnsi"/>
          <w:sz w:val="28"/>
          <w:szCs w:val="28"/>
          <w:lang w:eastAsia="en-US"/>
        </w:rPr>
        <w:t>/</w:t>
      </w:r>
      <w:r w:rsidRPr="00520861">
        <w:rPr>
          <w:rFonts w:eastAsiaTheme="minorHAnsi"/>
          <w:sz w:val="28"/>
          <w:szCs w:val="28"/>
          <w:lang w:val="en-US" w:eastAsia="en-US"/>
        </w:rPr>
        <w:t>UJRN</w:t>
      </w:r>
      <w:r w:rsidRPr="00520861">
        <w:rPr>
          <w:rFonts w:eastAsiaTheme="minorHAnsi"/>
          <w:sz w:val="28"/>
          <w:szCs w:val="28"/>
          <w:lang w:eastAsia="en-US"/>
        </w:rPr>
        <w:t>/</w:t>
      </w:r>
      <w:proofErr w:type="spellStart"/>
      <w:r w:rsidRPr="00520861">
        <w:rPr>
          <w:rFonts w:eastAsiaTheme="minorHAnsi"/>
          <w:sz w:val="28"/>
          <w:szCs w:val="28"/>
          <w:lang w:val="en-US" w:eastAsia="en-US"/>
        </w:rPr>
        <w:t>ptdc</w:t>
      </w:r>
      <w:proofErr w:type="spellEnd"/>
      <w:r w:rsidRPr="00520861">
        <w:rPr>
          <w:rFonts w:eastAsiaTheme="minorHAnsi"/>
          <w:sz w:val="28"/>
          <w:szCs w:val="28"/>
          <w:lang w:eastAsia="en-US"/>
        </w:rPr>
        <w:t>_2009_1_6</w:t>
      </w:r>
      <w:r w:rsidRPr="00520861">
        <w:rPr>
          <w:rFonts w:eastAsiaTheme="minorHAnsi"/>
          <w:sz w:val="28"/>
          <w:szCs w:val="28"/>
          <w:lang w:val="ru-RU" w:eastAsia="en-US"/>
        </w:rPr>
        <w:t>.</w:t>
      </w:r>
      <w:r w:rsidRPr="00520861">
        <w:rPr>
          <w:rFonts w:eastAsiaTheme="minorHAnsi"/>
          <w:sz w:val="28"/>
          <w:szCs w:val="28"/>
          <w:lang w:eastAsia="en-US"/>
        </w:rPr>
        <w:t xml:space="preserve"> </w:t>
      </w:r>
    </w:p>
    <w:p w14:paraId="04A6EE5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Смоляр НІ, Чухрай НЛ. Оцінка визначення ступеню активності карієсу зубів у дітей шкільного віку, як одного із показників санації. </w:t>
      </w:r>
      <w:r w:rsidRPr="00520861">
        <w:rPr>
          <w:rFonts w:eastAsiaTheme="minorHAnsi"/>
          <w:i/>
          <w:sz w:val="28"/>
          <w:szCs w:val="28"/>
          <w:lang w:eastAsia="en-US"/>
        </w:rPr>
        <w:t>Вісник стоматології</w:t>
      </w:r>
      <w:r w:rsidRPr="00520861">
        <w:rPr>
          <w:rFonts w:eastAsiaTheme="minorHAnsi"/>
          <w:sz w:val="28"/>
          <w:szCs w:val="28"/>
          <w:lang w:eastAsia="en-US"/>
        </w:rPr>
        <w:t>. 2012;(4): 97–100. Доступно на: http://nbuv.gov.ua/UJRN/VSL_2012_4_29.</w:t>
      </w:r>
    </w:p>
    <w:p w14:paraId="1312CD7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Сов’як</w:t>
      </w:r>
      <w:proofErr w:type="spellEnd"/>
      <w:r w:rsidRPr="00520861">
        <w:rPr>
          <w:rFonts w:eastAsiaTheme="minorHAnsi"/>
          <w:sz w:val="28"/>
          <w:szCs w:val="28"/>
          <w:lang w:eastAsia="en-US"/>
        </w:rPr>
        <w:t xml:space="preserve"> ОО. Особливості перебігу множинного карієсу постійних зубів у школярів</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Новини стоматології</w:t>
      </w:r>
      <w:r w:rsidRPr="00520861">
        <w:rPr>
          <w:rFonts w:eastAsiaTheme="minorHAnsi"/>
          <w:sz w:val="28"/>
          <w:szCs w:val="28"/>
          <w:lang w:eastAsia="en-US"/>
        </w:rPr>
        <w:t>. 2014;(1): 80–83. Доступно на: http://nbuv.gov.ua/UJRN/Ns_2014_1_19.</w:t>
      </w:r>
    </w:p>
    <w:p w14:paraId="535FF3E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Сорокина</w:t>
      </w:r>
      <w:proofErr w:type="spellEnd"/>
      <w:r w:rsidRPr="00520861">
        <w:rPr>
          <w:rFonts w:eastAsiaTheme="minorHAnsi"/>
          <w:sz w:val="28"/>
          <w:szCs w:val="28"/>
          <w:lang w:eastAsia="en-US"/>
        </w:rPr>
        <w:t xml:space="preserve"> АВ. </w:t>
      </w:r>
      <w:proofErr w:type="spellStart"/>
      <w:r w:rsidRPr="00520861">
        <w:rPr>
          <w:rFonts w:eastAsiaTheme="minorHAnsi"/>
          <w:sz w:val="28"/>
          <w:szCs w:val="28"/>
          <w:lang w:eastAsia="en-US"/>
        </w:rPr>
        <w:t>Крупный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плод</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мифы</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реальность</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Российский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вестник</w:t>
      </w:r>
      <w:proofErr w:type="spellEnd"/>
      <w:r w:rsidRPr="00520861">
        <w:rPr>
          <w:rFonts w:eastAsiaTheme="minorHAnsi"/>
          <w:i/>
          <w:sz w:val="28"/>
          <w:szCs w:val="28"/>
          <w:lang w:eastAsia="en-US"/>
        </w:rPr>
        <w:t xml:space="preserve"> </w:t>
      </w:r>
      <w:r w:rsidR="00E87C97" w:rsidRPr="00520861">
        <w:rPr>
          <w:rFonts w:eastAsiaTheme="minorHAnsi"/>
          <w:i/>
          <w:sz w:val="28"/>
          <w:szCs w:val="28"/>
          <w:lang w:eastAsia="en-US"/>
        </w:rPr>
        <w:br/>
      </w:r>
      <w:r w:rsidRPr="00520861">
        <w:rPr>
          <w:rFonts w:eastAsiaTheme="minorHAnsi"/>
          <w:i/>
          <w:sz w:val="28"/>
          <w:szCs w:val="28"/>
          <w:lang w:eastAsia="en-US"/>
        </w:rPr>
        <w:t>акушера-</w:t>
      </w:r>
      <w:proofErr w:type="spellStart"/>
      <w:r w:rsidRPr="00520861">
        <w:rPr>
          <w:rFonts w:eastAsiaTheme="minorHAnsi"/>
          <w:i/>
          <w:sz w:val="28"/>
          <w:szCs w:val="28"/>
          <w:lang w:eastAsia="en-US"/>
        </w:rPr>
        <w:t>гинеколога</w:t>
      </w:r>
      <w:proofErr w:type="spellEnd"/>
      <w:r w:rsidRPr="00520861">
        <w:rPr>
          <w:rFonts w:eastAsiaTheme="minorHAnsi"/>
          <w:sz w:val="28"/>
          <w:szCs w:val="28"/>
          <w:lang w:eastAsia="en-US"/>
        </w:rPr>
        <w:t>. 2013;13(4):  86–88.</w:t>
      </w:r>
    </w:p>
    <w:p w14:paraId="231C402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Сперанская</w:t>
      </w:r>
      <w:proofErr w:type="spellEnd"/>
      <w:r w:rsidRPr="00520861">
        <w:rPr>
          <w:rFonts w:eastAsiaTheme="minorHAnsi"/>
          <w:sz w:val="28"/>
          <w:szCs w:val="28"/>
          <w:lang w:eastAsia="en-US"/>
        </w:rPr>
        <w:t xml:space="preserve"> ЕМ, </w:t>
      </w:r>
      <w:proofErr w:type="spellStart"/>
      <w:r w:rsidRPr="00520861">
        <w:rPr>
          <w:rFonts w:eastAsiaTheme="minorHAnsi"/>
          <w:sz w:val="28"/>
          <w:szCs w:val="28"/>
          <w:lang w:eastAsia="en-US"/>
        </w:rPr>
        <w:t>Мухамеджанова</w:t>
      </w:r>
      <w:proofErr w:type="spellEnd"/>
      <w:r w:rsidRPr="00520861">
        <w:rPr>
          <w:rFonts w:eastAsiaTheme="minorHAnsi"/>
          <w:sz w:val="28"/>
          <w:szCs w:val="28"/>
          <w:lang w:eastAsia="en-US"/>
        </w:rPr>
        <w:t xml:space="preserve"> ЛР, </w:t>
      </w:r>
      <w:proofErr w:type="spellStart"/>
      <w:r w:rsidRPr="00520861">
        <w:rPr>
          <w:rFonts w:eastAsiaTheme="minorHAnsi"/>
          <w:sz w:val="28"/>
          <w:szCs w:val="28"/>
          <w:lang w:eastAsia="en-US"/>
        </w:rPr>
        <w:t>Голубцова</w:t>
      </w:r>
      <w:proofErr w:type="spellEnd"/>
      <w:r w:rsidRPr="00520861">
        <w:rPr>
          <w:rFonts w:eastAsiaTheme="minorHAnsi"/>
          <w:sz w:val="28"/>
          <w:szCs w:val="28"/>
          <w:lang w:eastAsia="en-US"/>
        </w:rPr>
        <w:t xml:space="preserve"> НН, Кузнецова РГ. </w:t>
      </w:r>
      <w:proofErr w:type="spellStart"/>
      <w:r w:rsidRPr="00520861">
        <w:rPr>
          <w:rFonts w:eastAsiaTheme="minorHAnsi"/>
          <w:sz w:val="28"/>
          <w:szCs w:val="28"/>
          <w:lang w:eastAsia="en-US"/>
        </w:rPr>
        <w:t>Пролиферативная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активность</w:t>
      </w:r>
      <w:proofErr w:type="spellEnd"/>
      <w:r w:rsidRPr="00520861">
        <w:rPr>
          <w:rFonts w:eastAsiaTheme="minorHAnsi"/>
          <w:sz w:val="28"/>
          <w:szCs w:val="28"/>
          <w:lang w:eastAsia="en-US"/>
        </w:rPr>
        <w:t xml:space="preserve"> тканей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воспалительно-деструктивных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поражениях</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Практическая</w:t>
      </w:r>
      <w:proofErr w:type="spellEnd"/>
      <w:r w:rsidRPr="00520861">
        <w:rPr>
          <w:rFonts w:eastAsiaTheme="minorHAnsi"/>
          <w:i/>
          <w:sz w:val="28"/>
          <w:szCs w:val="28"/>
          <w:lang w:eastAsia="en-US"/>
        </w:rPr>
        <w:t xml:space="preserve"> медицина</w:t>
      </w:r>
      <w:r w:rsidRPr="00520861">
        <w:rPr>
          <w:rFonts w:eastAsiaTheme="minorHAnsi"/>
          <w:sz w:val="28"/>
          <w:szCs w:val="28"/>
          <w:lang w:eastAsia="en-US"/>
        </w:rPr>
        <w:t>. 2016</w:t>
      </w:r>
      <w:r w:rsidRPr="00520861">
        <w:rPr>
          <w:rFonts w:eastAsiaTheme="minorHAnsi"/>
          <w:sz w:val="28"/>
          <w:szCs w:val="28"/>
          <w:lang w:val="ru-RU" w:eastAsia="en-US"/>
        </w:rPr>
        <w:t>;96(</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106–110</w:t>
      </w:r>
      <w:r w:rsidRPr="00520861">
        <w:rPr>
          <w:rFonts w:eastAsiaTheme="minorHAnsi"/>
          <w:sz w:val="28"/>
          <w:szCs w:val="28"/>
          <w:lang w:val="ru-RU" w:eastAsia="en-US"/>
        </w:rPr>
        <w:t>.</w:t>
      </w:r>
    </w:p>
    <w:p w14:paraId="0DD504B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Стадницкая</w:t>
      </w:r>
      <w:proofErr w:type="spellEnd"/>
      <w:r w:rsidRPr="00520861">
        <w:rPr>
          <w:rFonts w:eastAsiaTheme="minorHAnsi"/>
          <w:sz w:val="28"/>
          <w:szCs w:val="28"/>
          <w:lang w:eastAsia="en-US"/>
        </w:rPr>
        <w:t xml:space="preserve"> НП. </w:t>
      </w:r>
      <w:proofErr w:type="spellStart"/>
      <w:r w:rsidRPr="00520861">
        <w:rPr>
          <w:rFonts w:eastAsiaTheme="minorHAnsi"/>
          <w:i/>
          <w:sz w:val="28"/>
          <w:szCs w:val="28"/>
          <w:lang w:eastAsia="en-US"/>
        </w:rPr>
        <w:t>Особенности</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аномалии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развития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третьих</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моляров</w:t>
      </w:r>
      <w:proofErr w:type="spellEnd"/>
      <w:r w:rsidRPr="00520861">
        <w:rPr>
          <w:rFonts w:eastAsiaTheme="minorHAnsi"/>
          <w:i/>
          <w:sz w:val="28"/>
          <w:szCs w:val="28"/>
          <w:lang w:eastAsia="en-US"/>
        </w:rPr>
        <w:t xml:space="preserve"> </w:t>
      </w:r>
      <w:r w:rsidR="00E87C97" w:rsidRPr="00520861">
        <w:rPr>
          <w:rFonts w:eastAsiaTheme="minorHAnsi"/>
          <w:i/>
          <w:sz w:val="28"/>
          <w:szCs w:val="28"/>
          <w:lang w:eastAsia="en-US"/>
        </w:rPr>
        <w:br/>
      </w:r>
      <w:r w:rsidRPr="00520861">
        <w:rPr>
          <w:rFonts w:eastAsiaTheme="minorHAnsi"/>
          <w:i/>
          <w:sz w:val="28"/>
          <w:szCs w:val="28"/>
          <w:lang w:eastAsia="en-US"/>
        </w:rPr>
        <w:t>(</w:t>
      </w:r>
      <w:proofErr w:type="spellStart"/>
      <w:r w:rsidRPr="00520861">
        <w:rPr>
          <w:rFonts w:eastAsiaTheme="minorHAnsi"/>
          <w:i/>
          <w:sz w:val="28"/>
          <w:szCs w:val="28"/>
          <w:lang w:eastAsia="en-US"/>
        </w:rPr>
        <w:t>диагностика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клиника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лечение</w:t>
      </w:r>
      <w:proofErr w:type="spellEnd"/>
      <w:r w:rsidRPr="00520861">
        <w:rPr>
          <w:rFonts w:eastAsiaTheme="minorHAnsi"/>
          <w:i/>
          <w:sz w:val="28"/>
          <w:szCs w:val="28"/>
          <w:lang w:eastAsia="en-US"/>
        </w:rPr>
        <w:t>)</w:t>
      </w:r>
      <w:r w:rsidRPr="00520861">
        <w:rPr>
          <w:rFonts w:eastAsiaTheme="minorHAnsi"/>
          <w:sz w:val="28"/>
          <w:szCs w:val="28"/>
          <w:lang w:eastAsia="en-US"/>
        </w:rPr>
        <w:t xml:space="preserve"> </w:t>
      </w:r>
      <w:r w:rsidRPr="00520861">
        <w:rPr>
          <w:rFonts w:eastAsiaTheme="minorHAnsi"/>
          <w:sz w:val="28"/>
          <w:szCs w:val="28"/>
          <w:lang w:val="ru-RU" w:eastAsia="en-US"/>
        </w:rPr>
        <w:t>[</w:t>
      </w:r>
      <w:proofErr w:type="spellStart"/>
      <w:r w:rsidRPr="00520861">
        <w:rPr>
          <w:rFonts w:eastAsiaTheme="minorHAnsi"/>
          <w:sz w:val="28"/>
          <w:szCs w:val="28"/>
          <w:lang w:eastAsia="en-US"/>
        </w:rPr>
        <w:t>дисертация</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Москва: ФГУ «ЦНИИ стоматологи и </w:t>
      </w:r>
      <w:proofErr w:type="spellStart"/>
      <w:r w:rsidRPr="00520861">
        <w:rPr>
          <w:rFonts w:eastAsiaTheme="minorHAnsi"/>
          <w:sz w:val="28"/>
          <w:szCs w:val="28"/>
          <w:lang w:eastAsia="en-US"/>
        </w:rPr>
        <w:t>челюстно-лицевой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хирургии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Росмедтехнологий</w:t>
      </w:r>
      <w:proofErr w:type="spellEnd"/>
      <w:r w:rsidRPr="00520861">
        <w:rPr>
          <w:rFonts w:eastAsiaTheme="minorHAnsi"/>
          <w:sz w:val="28"/>
          <w:szCs w:val="28"/>
          <w:lang w:eastAsia="en-US"/>
        </w:rPr>
        <w:t>»; 2009. 197 с.</w:t>
      </w:r>
    </w:p>
    <w:p w14:paraId="402281F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Струков</w:t>
      </w:r>
      <w:proofErr w:type="spellEnd"/>
      <w:r w:rsidRPr="00520861">
        <w:rPr>
          <w:rFonts w:eastAsiaTheme="minorHAnsi"/>
          <w:sz w:val="28"/>
          <w:szCs w:val="28"/>
          <w:lang w:eastAsia="en-US"/>
        </w:rPr>
        <w:t xml:space="preserve"> ВИ, </w:t>
      </w:r>
      <w:proofErr w:type="spellStart"/>
      <w:r w:rsidRPr="00520861">
        <w:rPr>
          <w:rFonts w:eastAsiaTheme="minorHAnsi"/>
          <w:sz w:val="28"/>
          <w:szCs w:val="28"/>
          <w:lang w:eastAsia="en-US"/>
        </w:rPr>
        <w:t>Макимова</w:t>
      </w:r>
      <w:proofErr w:type="spellEnd"/>
      <w:r w:rsidRPr="00520861">
        <w:rPr>
          <w:rFonts w:eastAsiaTheme="minorHAnsi"/>
          <w:sz w:val="28"/>
          <w:szCs w:val="28"/>
          <w:lang w:eastAsia="en-US"/>
        </w:rPr>
        <w:t xml:space="preserve"> МН, Радченко ЛГ, </w:t>
      </w:r>
      <w:proofErr w:type="spellStart"/>
      <w:r w:rsidRPr="00520861">
        <w:rPr>
          <w:rFonts w:eastAsiaTheme="minorHAnsi"/>
          <w:sz w:val="28"/>
          <w:szCs w:val="28"/>
          <w:lang w:eastAsia="en-US"/>
        </w:rPr>
        <w:t>Купцова</w:t>
      </w:r>
      <w:proofErr w:type="spellEnd"/>
      <w:r w:rsidRPr="00520861">
        <w:rPr>
          <w:rFonts w:eastAsiaTheme="minorHAnsi"/>
          <w:sz w:val="28"/>
          <w:szCs w:val="28"/>
          <w:lang w:eastAsia="en-US"/>
        </w:rPr>
        <w:t xml:space="preserve"> ТА. </w:t>
      </w:r>
      <w:proofErr w:type="spellStart"/>
      <w:r w:rsidRPr="00520861">
        <w:rPr>
          <w:rFonts w:eastAsiaTheme="minorHAnsi"/>
          <w:sz w:val="28"/>
          <w:szCs w:val="28"/>
          <w:lang w:eastAsia="en-US"/>
        </w:rPr>
        <w:t>Рахит</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детей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первого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года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жизни</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транзиторной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недостаточностью</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щитовидной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железы</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Изв</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вузов</w:t>
      </w:r>
      <w:proofErr w:type="spellEnd"/>
      <w:r w:rsidRPr="00520861">
        <w:rPr>
          <w:rFonts w:eastAsiaTheme="minorHAnsi"/>
          <w:i/>
          <w:sz w:val="28"/>
          <w:szCs w:val="28"/>
          <w:lang w:eastAsia="en-US"/>
        </w:rPr>
        <w:t xml:space="preserve">. </w:t>
      </w:r>
      <w:r w:rsidR="00E87C97" w:rsidRPr="00520861">
        <w:rPr>
          <w:rFonts w:eastAsiaTheme="minorHAnsi"/>
          <w:i/>
          <w:sz w:val="28"/>
          <w:szCs w:val="28"/>
          <w:lang w:eastAsia="en-US"/>
        </w:rPr>
        <w:br/>
      </w:r>
      <w:proofErr w:type="spellStart"/>
      <w:r w:rsidRPr="00520861">
        <w:rPr>
          <w:rFonts w:eastAsiaTheme="minorHAnsi"/>
          <w:i/>
          <w:sz w:val="28"/>
          <w:szCs w:val="28"/>
          <w:lang w:eastAsia="en-US"/>
        </w:rPr>
        <w:t>Поволжский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регион</w:t>
      </w:r>
      <w:proofErr w:type="spellEnd"/>
      <w:r w:rsidRPr="00520861">
        <w:rPr>
          <w:rFonts w:eastAsiaTheme="minorHAnsi"/>
          <w:i/>
          <w:sz w:val="28"/>
          <w:szCs w:val="28"/>
          <w:lang w:eastAsia="en-US"/>
        </w:rPr>
        <w:t>. Мед науки</w:t>
      </w:r>
      <w:r w:rsidRPr="00520861">
        <w:rPr>
          <w:rFonts w:eastAsiaTheme="minorHAnsi"/>
          <w:sz w:val="28"/>
          <w:szCs w:val="28"/>
          <w:lang w:eastAsia="en-US"/>
        </w:rPr>
        <w:t>. 2013;(3):</w:t>
      </w:r>
      <w:r w:rsidRPr="00520861">
        <w:rPr>
          <w:rFonts w:eastAsiaTheme="minorHAnsi"/>
          <w:sz w:val="28"/>
          <w:szCs w:val="28"/>
          <w:lang w:val="ru-RU" w:eastAsia="en-US"/>
        </w:rPr>
        <w:t xml:space="preserve"> </w:t>
      </w:r>
      <w:r w:rsidRPr="00520861">
        <w:rPr>
          <w:rFonts w:eastAsiaTheme="minorHAnsi"/>
          <w:sz w:val="28"/>
          <w:szCs w:val="28"/>
          <w:lang w:eastAsia="en-US"/>
        </w:rPr>
        <w:t>62–72.</w:t>
      </w:r>
    </w:p>
    <w:p w14:paraId="06E10EB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Сычева</w:t>
      </w:r>
      <w:proofErr w:type="spellEnd"/>
      <w:r w:rsidRPr="00520861">
        <w:rPr>
          <w:rFonts w:eastAsiaTheme="minorHAnsi"/>
          <w:sz w:val="28"/>
          <w:szCs w:val="28"/>
          <w:lang w:eastAsia="en-US"/>
        </w:rPr>
        <w:t xml:space="preserve"> ЮА, </w:t>
      </w:r>
      <w:proofErr w:type="spellStart"/>
      <w:r w:rsidRPr="00520861">
        <w:rPr>
          <w:rFonts w:eastAsiaTheme="minorHAnsi"/>
          <w:sz w:val="28"/>
          <w:szCs w:val="28"/>
          <w:lang w:eastAsia="en-US"/>
        </w:rPr>
        <w:t>Горбачева</w:t>
      </w:r>
      <w:proofErr w:type="spellEnd"/>
      <w:r w:rsidRPr="00520861">
        <w:rPr>
          <w:rFonts w:eastAsiaTheme="minorHAnsi"/>
          <w:sz w:val="28"/>
          <w:szCs w:val="28"/>
          <w:lang w:eastAsia="en-US"/>
        </w:rPr>
        <w:t xml:space="preserve"> ИА, </w:t>
      </w:r>
      <w:proofErr w:type="spellStart"/>
      <w:r w:rsidRPr="00520861">
        <w:rPr>
          <w:rFonts w:eastAsiaTheme="minorHAnsi"/>
          <w:sz w:val="28"/>
          <w:szCs w:val="28"/>
          <w:lang w:eastAsia="en-US"/>
        </w:rPr>
        <w:t>Орехова</w:t>
      </w:r>
      <w:proofErr w:type="spellEnd"/>
      <w:r w:rsidRPr="00520861">
        <w:rPr>
          <w:rFonts w:eastAsiaTheme="minorHAnsi"/>
          <w:sz w:val="28"/>
          <w:szCs w:val="28"/>
          <w:lang w:eastAsia="en-US"/>
        </w:rPr>
        <w:t xml:space="preserve"> ЛЮ, </w:t>
      </w:r>
      <w:proofErr w:type="spellStart"/>
      <w:r w:rsidRPr="00520861">
        <w:rPr>
          <w:rFonts w:eastAsiaTheme="minorHAnsi"/>
          <w:sz w:val="28"/>
          <w:szCs w:val="28"/>
          <w:lang w:eastAsia="en-US"/>
        </w:rPr>
        <w:t>Шабак-Спасский</w:t>
      </w:r>
      <w:proofErr w:type="spellEnd"/>
      <w:r w:rsidRPr="00520861">
        <w:rPr>
          <w:rFonts w:eastAsiaTheme="minorHAnsi"/>
          <w:sz w:val="28"/>
          <w:szCs w:val="28"/>
          <w:lang w:eastAsia="en-US"/>
        </w:rPr>
        <w:t xml:space="preserve"> ПС, </w:t>
      </w:r>
      <w:r w:rsidR="00E87C97" w:rsidRPr="00520861">
        <w:rPr>
          <w:rFonts w:eastAsiaTheme="minorHAnsi"/>
          <w:sz w:val="28"/>
          <w:szCs w:val="28"/>
          <w:lang w:eastAsia="en-US"/>
        </w:rPr>
        <w:br/>
      </w:r>
      <w:r w:rsidRPr="00520861">
        <w:rPr>
          <w:rFonts w:eastAsiaTheme="minorHAnsi"/>
          <w:sz w:val="28"/>
          <w:szCs w:val="28"/>
          <w:lang w:eastAsia="en-US"/>
        </w:rPr>
        <w:t>Владимирова</w:t>
      </w:r>
      <w:r w:rsidRPr="00520861">
        <w:rPr>
          <w:rFonts w:eastAsiaTheme="minorHAnsi"/>
          <w:sz w:val="28"/>
          <w:szCs w:val="28"/>
          <w:lang w:val="en-US" w:eastAsia="en-US"/>
        </w:rPr>
        <w:t> </w:t>
      </w:r>
      <w:r w:rsidRPr="00520861">
        <w:rPr>
          <w:rFonts w:eastAsiaTheme="minorHAnsi"/>
          <w:sz w:val="28"/>
          <w:szCs w:val="28"/>
          <w:lang w:eastAsia="en-US"/>
        </w:rPr>
        <w:t xml:space="preserve">ЛГ. Роль </w:t>
      </w:r>
      <w:proofErr w:type="spellStart"/>
      <w:r w:rsidRPr="00520861">
        <w:rPr>
          <w:rFonts w:eastAsiaTheme="minorHAnsi"/>
          <w:sz w:val="28"/>
          <w:szCs w:val="28"/>
          <w:lang w:eastAsia="en-US"/>
        </w:rPr>
        <w:t>нарушения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региональной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микроциркуляции</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метаболических</w:t>
      </w:r>
      <w:proofErr w:type="spellEnd"/>
      <w:r w:rsidRPr="00520861">
        <w:rPr>
          <w:rFonts w:eastAsiaTheme="minorHAnsi"/>
          <w:sz w:val="28"/>
          <w:szCs w:val="28"/>
          <w:lang w:eastAsia="en-US"/>
        </w:rPr>
        <w:t xml:space="preserve"> нарушений в патогенезе </w:t>
      </w:r>
      <w:proofErr w:type="spellStart"/>
      <w:r w:rsidRPr="00520861">
        <w:rPr>
          <w:rFonts w:eastAsiaTheme="minorHAnsi"/>
          <w:sz w:val="28"/>
          <w:szCs w:val="28"/>
          <w:lang w:eastAsia="en-US"/>
        </w:rPr>
        <w:t>гипертонической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болезни</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воспалительных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заболеваний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Ученые</w:t>
      </w:r>
      <w:proofErr w:type="spellEnd"/>
      <w:r w:rsidRPr="00520861">
        <w:rPr>
          <w:rFonts w:eastAsiaTheme="minorHAnsi"/>
          <w:i/>
          <w:sz w:val="28"/>
          <w:szCs w:val="28"/>
          <w:lang w:eastAsia="en-US"/>
        </w:rPr>
        <w:t xml:space="preserve"> записки </w:t>
      </w:r>
      <w:proofErr w:type="spellStart"/>
      <w:r w:rsidRPr="00520861">
        <w:rPr>
          <w:rFonts w:eastAsiaTheme="minorHAnsi"/>
          <w:i/>
          <w:sz w:val="28"/>
          <w:szCs w:val="28"/>
          <w:lang w:eastAsia="en-US"/>
        </w:rPr>
        <w:t>СПбГМУ</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им</w:t>
      </w:r>
      <w:proofErr w:type="spellEnd"/>
      <w:r w:rsidRPr="00520861">
        <w:rPr>
          <w:rFonts w:eastAsiaTheme="minorHAnsi"/>
          <w:i/>
          <w:sz w:val="28"/>
          <w:szCs w:val="28"/>
          <w:lang w:eastAsia="en-US"/>
        </w:rPr>
        <w:t>. И.П. Павлова</w:t>
      </w:r>
      <w:r w:rsidRPr="00520861">
        <w:rPr>
          <w:rFonts w:eastAsiaTheme="minorHAnsi"/>
          <w:sz w:val="28"/>
          <w:szCs w:val="28"/>
          <w:lang w:eastAsia="en-US"/>
        </w:rPr>
        <w:t>, 2013</w:t>
      </w:r>
      <w:r w:rsidRPr="00520861">
        <w:rPr>
          <w:rFonts w:eastAsiaTheme="minorHAnsi"/>
          <w:sz w:val="28"/>
          <w:szCs w:val="28"/>
          <w:lang w:val="ru-RU" w:eastAsia="en-US"/>
        </w:rPr>
        <w:t>;</w:t>
      </w:r>
      <w:r w:rsidRPr="00520861">
        <w:rPr>
          <w:rFonts w:eastAsiaTheme="minorHAnsi"/>
          <w:sz w:val="28"/>
          <w:szCs w:val="28"/>
          <w:lang w:eastAsia="en-US"/>
        </w:rPr>
        <w:t>20(3)</w:t>
      </w:r>
      <w:r w:rsidRPr="00520861">
        <w:rPr>
          <w:rFonts w:eastAsiaTheme="minorHAnsi"/>
          <w:sz w:val="28"/>
          <w:szCs w:val="28"/>
          <w:lang w:val="ru-RU" w:eastAsia="en-US"/>
        </w:rPr>
        <w:t>:</w:t>
      </w:r>
      <w:r w:rsidRPr="00520861">
        <w:rPr>
          <w:rFonts w:eastAsiaTheme="minorHAnsi"/>
          <w:sz w:val="28"/>
          <w:szCs w:val="28"/>
          <w:lang w:eastAsia="en-US"/>
        </w:rPr>
        <w:t xml:space="preserve"> 34–37.</w:t>
      </w:r>
    </w:p>
    <w:p w14:paraId="02FE537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Тагунец</w:t>
      </w:r>
      <w:proofErr w:type="spellEnd"/>
      <w:r w:rsidRPr="00520861">
        <w:rPr>
          <w:rFonts w:eastAsiaTheme="minorHAnsi"/>
          <w:sz w:val="28"/>
          <w:szCs w:val="28"/>
          <w:lang w:eastAsia="en-US"/>
        </w:rPr>
        <w:t xml:space="preserve"> НИ, </w:t>
      </w:r>
      <w:proofErr w:type="spellStart"/>
      <w:r w:rsidRPr="00520861">
        <w:rPr>
          <w:rFonts w:eastAsiaTheme="minorHAnsi"/>
          <w:sz w:val="28"/>
          <w:szCs w:val="28"/>
          <w:lang w:eastAsia="en-US"/>
        </w:rPr>
        <w:t>Мирсабурова</w:t>
      </w:r>
      <w:proofErr w:type="spellEnd"/>
      <w:r w:rsidRPr="00520861">
        <w:rPr>
          <w:rFonts w:eastAsiaTheme="minorHAnsi"/>
          <w:sz w:val="28"/>
          <w:szCs w:val="28"/>
          <w:lang w:eastAsia="en-US"/>
        </w:rPr>
        <w:t xml:space="preserve"> РТ. </w:t>
      </w:r>
      <w:proofErr w:type="spellStart"/>
      <w:r w:rsidRPr="00520861">
        <w:rPr>
          <w:rFonts w:eastAsiaTheme="minorHAnsi"/>
          <w:sz w:val="28"/>
          <w:szCs w:val="28"/>
          <w:lang w:eastAsia="en-US"/>
        </w:rPr>
        <w:t>Акушерские</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перинатальные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исходы</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макросомии</w:t>
      </w:r>
      <w:proofErr w:type="spellEnd"/>
      <w:r w:rsidRPr="00520861">
        <w:rPr>
          <w:rFonts w:eastAsiaTheme="minorHAnsi"/>
          <w:sz w:val="28"/>
          <w:szCs w:val="28"/>
          <w:lang w:eastAsia="en-US"/>
        </w:rPr>
        <w:t xml:space="preserve"> плода </w:t>
      </w:r>
      <w:proofErr w:type="spellStart"/>
      <w:r w:rsidRPr="00520861">
        <w:rPr>
          <w:rFonts w:eastAsiaTheme="minorHAnsi"/>
          <w:sz w:val="28"/>
          <w:szCs w:val="28"/>
          <w:lang w:eastAsia="en-US"/>
        </w:rPr>
        <w:t>недиабетического</w:t>
      </w:r>
      <w:proofErr w:type="spellEnd"/>
      <w:r w:rsidRPr="00520861">
        <w:rPr>
          <w:rFonts w:eastAsiaTheme="minorHAnsi"/>
          <w:sz w:val="28"/>
          <w:szCs w:val="28"/>
          <w:lang w:eastAsia="en-US"/>
        </w:rPr>
        <w:t xml:space="preserve"> ґенеза</w:t>
      </w:r>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Научно-медицинский</w:t>
      </w:r>
      <w:proofErr w:type="spellEnd"/>
      <w:r w:rsidRPr="00520861">
        <w:rPr>
          <w:rFonts w:eastAsiaTheme="minorHAnsi"/>
          <w:i/>
          <w:sz w:val="28"/>
          <w:szCs w:val="28"/>
          <w:lang w:eastAsia="en-US"/>
        </w:rPr>
        <w:t xml:space="preserve"> журнал «</w:t>
      </w:r>
      <w:proofErr w:type="spellStart"/>
      <w:r w:rsidRPr="00520861">
        <w:rPr>
          <w:rFonts w:eastAsiaTheme="minorHAnsi"/>
          <w:i/>
          <w:sz w:val="28"/>
          <w:szCs w:val="28"/>
          <w:lang w:eastAsia="en-US"/>
        </w:rPr>
        <w:t>Вестник</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Авиценны</w:t>
      </w:r>
      <w:proofErr w:type="spellEnd"/>
      <w:r w:rsidRPr="00520861">
        <w:rPr>
          <w:rFonts w:eastAsiaTheme="minorHAnsi"/>
          <w:i/>
          <w:sz w:val="28"/>
          <w:szCs w:val="28"/>
          <w:lang w:eastAsia="en-US"/>
        </w:rPr>
        <w:t>»</w:t>
      </w:r>
      <w:r w:rsidRPr="00520861">
        <w:rPr>
          <w:rFonts w:eastAsiaTheme="minorHAnsi"/>
          <w:i/>
          <w:sz w:val="28"/>
          <w:szCs w:val="28"/>
          <w:lang w:val="ru-RU" w:eastAsia="en-US"/>
        </w:rPr>
        <w:t xml:space="preserve"> </w:t>
      </w:r>
      <w:proofErr w:type="spellStart"/>
      <w:r w:rsidRPr="00520861">
        <w:rPr>
          <w:rFonts w:eastAsiaTheme="minorHAnsi"/>
          <w:i/>
          <w:sz w:val="28"/>
          <w:szCs w:val="28"/>
          <w:lang w:eastAsia="en-US"/>
        </w:rPr>
        <w:t>Таджикского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государственного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медицинского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университета</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имени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Абуали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ибни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Сино</w:t>
      </w:r>
      <w:proofErr w:type="spellEnd"/>
      <w:r w:rsidRPr="00520861">
        <w:rPr>
          <w:rFonts w:eastAsiaTheme="minorHAnsi"/>
          <w:sz w:val="28"/>
          <w:szCs w:val="28"/>
          <w:lang w:val="ru-RU" w:eastAsia="en-US"/>
        </w:rPr>
        <w:t>.</w:t>
      </w:r>
      <w:r w:rsidRPr="00520861">
        <w:rPr>
          <w:rFonts w:eastAsiaTheme="minorHAnsi"/>
          <w:sz w:val="28"/>
          <w:szCs w:val="28"/>
          <w:lang w:eastAsia="en-US"/>
        </w:rPr>
        <w:t xml:space="preserve"> 2012</w:t>
      </w:r>
      <w:r w:rsidRPr="00520861">
        <w:rPr>
          <w:rFonts w:eastAsiaTheme="minorHAnsi"/>
          <w:sz w:val="28"/>
          <w:szCs w:val="28"/>
          <w:lang w:val="ru-RU" w:eastAsia="en-US"/>
        </w:rPr>
        <w:t>;</w:t>
      </w:r>
      <w:r w:rsidRPr="00520861">
        <w:rPr>
          <w:rFonts w:eastAsiaTheme="minorHAnsi"/>
          <w:sz w:val="28"/>
          <w:szCs w:val="28"/>
          <w:lang w:eastAsia="en-US"/>
        </w:rPr>
        <w:t>3</w:t>
      </w:r>
      <w:r w:rsidRPr="00520861">
        <w:rPr>
          <w:rFonts w:eastAsiaTheme="minorHAnsi"/>
          <w:sz w:val="28"/>
          <w:szCs w:val="28"/>
          <w:lang w:val="ru-RU" w:eastAsia="en-US"/>
        </w:rPr>
        <w:t>:</w:t>
      </w:r>
      <w:r w:rsidRPr="00520861">
        <w:rPr>
          <w:rFonts w:eastAsiaTheme="minorHAnsi"/>
          <w:sz w:val="28"/>
          <w:szCs w:val="28"/>
          <w:lang w:eastAsia="en-US"/>
        </w:rPr>
        <w:t xml:space="preserve"> 84–88</w:t>
      </w:r>
      <w:r w:rsidRPr="00520861">
        <w:rPr>
          <w:rFonts w:eastAsiaTheme="minorHAnsi"/>
          <w:sz w:val="28"/>
          <w:szCs w:val="28"/>
          <w:lang w:val="ru-RU" w:eastAsia="en-US"/>
        </w:rPr>
        <w:t>.</w:t>
      </w:r>
    </w:p>
    <w:p w14:paraId="71D556B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Тарасова ЛГ, </w:t>
      </w:r>
      <w:proofErr w:type="spellStart"/>
      <w:r w:rsidRPr="00520861">
        <w:rPr>
          <w:rFonts w:eastAsiaTheme="minorHAnsi"/>
          <w:sz w:val="28"/>
          <w:szCs w:val="28"/>
          <w:lang w:eastAsia="en-US"/>
        </w:rPr>
        <w:t>Стрельцова</w:t>
      </w:r>
      <w:proofErr w:type="spellEnd"/>
      <w:r w:rsidRPr="00520861">
        <w:rPr>
          <w:rFonts w:eastAsiaTheme="minorHAnsi"/>
          <w:sz w:val="28"/>
          <w:szCs w:val="28"/>
          <w:lang w:eastAsia="en-US"/>
        </w:rPr>
        <w:t xml:space="preserve"> ЕН, Черкасов</w:t>
      </w:r>
      <w:r w:rsidRPr="00520861">
        <w:rPr>
          <w:rFonts w:eastAsiaTheme="minorHAnsi"/>
          <w:sz w:val="28"/>
          <w:szCs w:val="28"/>
          <w:lang w:val="ru-RU" w:eastAsia="en-US"/>
        </w:rPr>
        <w:t xml:space="preserve"> </w:t>
      </w:r>
      <w:r w:rsidRPr="00520861">
        <w:rPr>
          <w:rFonts w:eastAsiaTheme="minorHAnsi"/>
          <w:sz w:val="28"/>
          <w:szCs w:val="28"/>
          <w:lang w:eastAsia="en-US"/>
        </w:rPr>
        <w:t xml:space="preserve">НС, Тарасов АН, </w:t>
      </w:r>
      <w:proofErr w:type="spellStart"/>
      <w:r w:rsidRPr="00520861">
        <w:rPr>
          <w:rFonts w:eastAsiaTheme="minorHAnsi"/>
          <w:sz w:val="28"/>
          <w:szCs w:val="28"/>
          <w:lang w:eastAsia="en-US"/>
        </w:rPr>
        <w:t>Ситкалиева</w:t>
      </w:r>
      <w:proofErr w:type="spellEnd"/>
      <w:r w:rsidRPr="00520861">
        <w:rPr>
          <w:rFonts w:eastAsiaTheme="minorHAnsi"/>
          <w:sz w:val="28"/>
          <w:szCs w:val="28"/>
          <w:lang w:eastAsia="en-US"/>
        </w:rPr>
        <w:t xml:space="preserve"> ФС. </w:t>
      </w:r>
      <w:r w:rsidR="00E87C97" w:rsidRPr="00520861">
        <w:rPr>
          <w:rFonts w:eastAsiaTheme="minorHAnsi"/>
          <w:sz w:val="28"/>
          <w:szCs w:val="28"/>
          <w:lang w:eastAsia="en-US"/>
        </w:rPr>
        <w:br/>
      </w:r>
      <w:r w:rsidRPr="00520861">
        <w:rPr>
          <w:rFonts w:eastAsiaTheme="minorHAnsi"/>
          <w:sz w:val="28"/>
          <w:szCs w:val="28"/>
          <w:lang w:eastAsia="en-US"/>
        </w:rPr>
        <w:t xml:space="preserve">Признаки </w:t>
      </w:r>
      <w:proofErr w:type="spellStart"/>
      <w:r w:rsidRPr="00520861">
        <w:rPr>
          <w:rFonts w:eastAsiaTheme="minorHAnsi"/>
          <w:sz w:val="28"/>
          <w:szCs w:val="28"/>
          <w:lang w:eastAsia="en-US"/>
        </w:rPr>
        <w:t>недифференцированной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дисплазии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соединительной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ткани</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детей</w:t>
      </w:r>
      <w:proofErr w:type="spellEnd"/>
      <w:r w:rsidRPr="00520861">
        <w:rPr>
          <w:rFonts w:eastAsiaTheme="minorHAnsi"/>
          <w:sz w:val="28"/>
          <w:szCs w:val="28"/>
          <w:lang w:eastAsia="en-US"/>
        </w:rPr>
        <w:t xml:space="preserve">. </w:t>
      </w:r>
      <w:r w:rsidR="00E87C97" w:rsidRPr="00520861">
        <w:rPr>
          <w:rFonts w:eastAsiaTheme="minorHAnsi"/>
          <w:sz w:val="28"/>
          <w:szCs w:val="28"/>
          <w:lang w:eastAsia="en-US"/>
        </w:rPr>
        <w:br/>
      </w:r>
      <w:proofErr w:type="spellStart"/>
      <w:r w:rsidRPr="00520861">
        <w:rPr>
          <w:rFonts w:eastAsiaTheme="minorHAnsi"/>
          <w:i/>
          <w:sz w:val="28"/>
          <w:szCs w:val="28"/>
          <w:lang w:eastAsia="en-US"/>
        </w:rPr>
        <w:lastRenderedPageBreak/>
        <w:t>Астраханский</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медицинский</w:t>
      </w:r>
      <w:proofErr w:type="spellEnd"/>
      <w:r w:rsidRPr="00520861">
        <w:rPr>
          <w:rFonts w:eastAsiaTheme="minorHAnsi"/>
          <w:i/>
          <w:sz w:val="28"/>
          <w:szCs w:val="28"/>
          <w:lang w:eastAsia="en-US"/>
        </w:rPr>
        <w:t xml:space="preserve"> журнал</w:t>
      </w:r>
      <w:r w:rsidRPr="00520861">
        <w:rPr>
          <w:rFonts w:eastAsiaTheme="minorHAnsi"/>
          <w:sz w:val="28"/>
          <w:szCs w:val="28"/>
          <w:lang w:val="ru-RU" w:eastAsia="en-US"/>
        </w:rPr>
        <w:t>.</w:t>
      </w:r>
      <w:r w:rsidRPr="00520861">
        <w:rPr>
          <w:rFonts w:eastAsiaTheme="minorHAnsi"/>
          <w:sz w:val="28"/>
          <w:szCs w:val="28"/>
          <w:lang w:eastAsia="en-US"/>
        </w:rPr>
        <w:t xml:space="preserve"> 2011</w:t>
      </w:r>
      <w:r w:rsidRPr="00520861">
        <w:rPr>
          <w:rFonts w:eastAsiaTheme="minorHAnsi"/>
          <w:sz w:val="28"/>
          <w:szCs w:val="28"/>
          <w:lang w:val="ru-RU" w:eastAsia="en-US"/>
        </w:rPr>
        <w:t>;</w:t>
      </w:r>
      <w:r w:rsidRPr="00520861">
        <w:rPr>
          <w:rFonts w:eastAsiaTheme="minorHAnsi"/>
          <w:sz w:val="28"/>
          <w:szCs w:val="28"/>
          <w:lang w:eastAsia="en-US"/>
        </w:rPr>
        <w:t>6 (1)</w:t>
      </w:r>
      <w:r w:rsidRPr="00520861">
        <w:rPr>
          <w:rFonts w:eastAsiaTheme="minorHAnsi"/>
          <w:sz w:val="28"/>
          <w:szCs w:val="28"/>
          <w:lang w:val="ru-RU" w:eastAsia="en-US"/>
        </w:rPr>
        <w:t>:</w:t>
      </w:r>
      <w:r w:rsidRPr="00520861">
        <w:rPr>
          <w:rFonts w:eastAsiaTheme="minorHAnsi"/>
          <w:sz w:val="28"/>
          <w:szCs w:val="28"/>
          <w:lang w:eastAsia="en-US"/>
        </w:rPr>
        <w:t xml:space="preserve"> 1</w:t>
      </w:r>
      <w:r w:rsidRPr="00520861">
        <w:rPr>
          <w:rFonts w:eastAsiaTheme="minorHAnsi"/>
          <w:sz w:val="28"/>
          <w:szCs w:val="28"/>
          <w:lang w:val="ru-RU" w:eastAsia="en-US"/>
        </w:rPr>
        <w:t>19</w:t>
      </w:r>
      <w:r w:rsidRPr="00520861">
        <w:rPr>
          <w:rFonts w:eastAsiaTheme="minorHAnsi"/>
          <w:sz w:val="28"/>
          <w:szCs w:val="28"/>
          <w:lang w:eastAsia="en-US"/>
        </w:rPr>
        <w:t>–12</w:t>
      </w:r>
      <w:r w:rsidRPr="00520861">
        <w:rPr>
          <w:rFonts w:eastAsiaTheme="minorHAnsi"/>
          <w:sz w:val="28"/>
          <w:szCs w:val="28"/>
          <w:lang w:val="ru-RU" w:eastAsia="en-US"/>
        </w:rPr>
        <w:t>3</w:t>
      </w:r>
      <w:r w:rsidRPr="00520861">
        <w:rPr>
          <w:rFonts w:eastAsiaTheme="minorHAnsi"/>
          <w:sz w:val="28"/>
          <w:szCs w:val="28"/>
          <w:lang w:eastAsia="en-US"/>
        </w:rPr>
        <w:t xml:space="preserve">. </w:t>
      </w:r>
    </w:p>
    <w:p w14:paraId="206CC42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Ташке</w:t>
      </w:r>
      <w:proofErr w:type="spellEnd"/>
      <w:r w:rsidRPr="00520861">
        <w:rPr>
          <w:rFonts w:eastAsiaTheme="minorHAnsi"/>
          <w:sz w:val="28"/>
          <w:szCs w:val="28"/>
          <w:lang w:eastAsia="en-US"/>
        </w:rPr>
        <w:t xml:space="preserve"> К. </w:t>
      </w:r>
      <w:proofErr w:type="spellStart"/>
      <w:r w:rsidRPr="00520861">
        <w:rPr>
          <w:rFonts w:eastAsiaTheme="minorHAnsi"/>
          <w:sz w:val="28"/>
          <w:szCs w:val="28"/>
          <w:lang w:eastAsia="en-US"/>
        </w:rPr>
        <w:t>Введение</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количественную</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цитогистологическую</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морфологию</w:t>
      </w:r>
      <w:proofErr w:type="spellEnd"/>
      <w:r w:rsidRPr="00520861">
        <w:rPr>
          <w:rFonts w:eastAsiaTheme="minorHAnsi"/>
          <w:sz w:val="28"/>
          <w:szCs w:val="28"/>
          <w:lang w:eastAsia="en-US"/>
        </w:rPr>
        <w:t xml:space="preserve"> </w:t>
      </w:r>
      <w:r w:rsidRPr="00520861">
        <w:rPr>
          <w:rFonts w:eastAsiaTheme="minorHAnsi"/>
          <w:sz w:val="28"/>
          <w:szCs w:val="28"/>
          <w:lang w:val="ru-RU" w:eastAsia="en-US"/>
        </w:rPr>
        <w:t>Нальчик: </w:t>
      </w:r>
      <w:r w:rsidRPr="00520861">
        <w:rPr>
          <w:rFonts w:eastAsiaTheme="minorHAnsi"/>
          <w:bCs/>
          <w:sz w:val="28"/>
          <w:szCs w:val="28"/>
          <w:lang w:val="ru-RU" w:eastAsia="en-US"/>
        </w:rPr>
        <w:t>ИЦ</w:t>
      </w:r>
      <w:r w:rsidRPr="00520861">
        <w:rPr>
          <w:rFonts w:eastAsiaTheme="minorHAnsi"/>
          <w:sz w:val="28"/>
          <w:szCs w:val="28"/>
          <w:lang w:val="ru-RU" w:eastAsia="en-US"/>
        </w:rPr>
        <w:t> «</w:t>
      </w:r>
      <w:r w:rsidRPr="00520861">
        <w:rPr>
          <w:rFonts w:eastAsiaTheme="minorHAnsi"/>
          <w:bCs/>
          <w:sz w:val="28"/>
          <w:szCs w:val="28"/>
          <w:lang w:val="ru-RU" w:eastAsia="en-US"/>
        </w:rPr>
        <w:t>Эль</w:t>
      </w:r>
      <w:r w:rsidRPr="00520861">
        <w:rPr>
          <w:rFonts w:eastAsiaTheme="minorHAnsi"/>
          <w:sz w:val="28"/>
          <w:szCs w:val="28"/>
          <w:lang w:val="ru-RU" w:eastAsia="en-US"/>
        </w:rPr>
        <w:t>-</w:t>
      </w:r>
      <w:r w:rsidRPr="00520861">
        <w:rPr>
          <w:rFonts w:eastAsiaTheme="minorHAnsi"/>
          <w:bCs/>
          <w:sz w:val="28"/>
          <w:szCs w:val="28"/>
          <w:lang w:val="ru-RU" w:eastAsia="en-US"/>
        </w:rPr>
        <w:t>Фа</w:t>
      </w:r>
      <w:r w:rsidRPr="00520861">
        <w:rPr>
          <w:rFonts w:eastAsiaTheme="minorHAnsi"/>
          <w:sz w:val="28"/>
          <w:szCs w:val="28"/>
          <w:lang w:val="ru-RU" w:eastAsia="en-US"/>
        </w:rPr>
        <w:t>»</w:t>
      </w:r>
      <w:r w:rsidRPr="00520861">
        <w:rPr>
          <w:rFonts w:eastAsiaTheme="minorHAnsi"/>
          <w:sz w:val="28"/>
          <w:szCs w:val="28"/>
          <w:lang w:val="en-US" w:eastAsia="en-US"/>
        </w:rPr>
        <w:t>;</w:t>
      </w:r>
      <w:r w:rsidRPr="00520861">
        <w:rPr>
          <w:rFonts w:eastAsiaTheme="minorHAnsi"/>
          <w:sz w:val="28"/>
          <w:szCs w:val="28"/>
          <w:lang w:eastAsia="en-US"/>
        </w:rPr>
        <w:t xml:space="preserve"> 2015. 191 с </w:t>
      </w:r>
    </w:p>
    <w:p w14:paraId="07AE384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Теблоева</w:t>
      </w:r>
      <w:proofErr w:type="spellEnd"/>
      <w:r w:rsidRPr="00520861">
        <w:rPr>
          <w:rFonts w:eastAsiaTheme="minorHAnsi"/>
          <w:sz w:val="28"/>
          <w:szCs w:val="28"/>
          <w:lang w:eastAsia="en-US"/>
        </w:rPr>
        <w:t xml:space="preserve"> ЛМ, Гуревич КГ. </w:t>
      </w:r>
      <w:proofErr w:type="spellStart"/>
      <w:r w:rsidRPr="00520861">
        <w:rPr>
          <w:rFonts w:eastAsiaTheme="minorHAnsi"/>
          <w:sz w:val="28"/>
          <w:szCs w:val="28"/>
          <w:lang w:eastAsia="en-US"/>
        </w:rPr>
        <w:t>Остеоиммунология</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пародонтит</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Патологическая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физиология</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экспериментальная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терапия</w:t>
      </w:r>
      <w:proofErr w:type="spellEnd"/>
      <w:r w:rsidRPr="00520861">
        <w:rPr>
          <w:rFonts w:eastAsiaTheme="minorHAnsi"/>
          <w:sz w:val="28"/>
          <w:szCs w:val="28"/>
          <w:lang w:eastAsia="en-US"/>
        </w:rPr>
        <w:t>. 2014;</w:t>
      </w:r>
      <w:r w:rsidRPr="00520861">
        <w:rPr>
          <w:rFonts w:eastAsiaTheme="minorHAnsi"/>
          <w:sz w:val="28"/>
          <w:szCs w:val="28"/>
          <w:lang w:val="ru-RU" w:eastAsia="en-US"/>
        </w:rPr>
        <w:t>58(</w:t>
      </w:r>
      <w:r w:rsidRPr="00520861">
        <w:rPr>
          <w:rFonts w:eastAsiaTheme="minorHAnsi"/>
          <w:sz w:val="28"/>
          <w:szCs w:val="28"/>
          <w:lang w:eastAsia="en-US"/>
        </w:rPr>
        <w:t>3</w:t>
      </w:r>
      <w:r w:rsidRPr="00520861">
        <w:rPr>
          <w:rFonts w:eastAsiaTheme="minorHAnsi"/>
          <w:sz w:val="28"/>
          <w:szCs w:val="28"/>
          <w:lang w:val="ru-RU" w:eastAsia="en-US"/>
        </w:rPr>
        <w:t>)</w:t>
      </w:r>
      <w:r w:rsidRPr="00520861">
        <w:rPr>
          <w:rFonts w:eastAsiaTheme="minorHAnsi"/>
          <w:sz w:val="28"/>
          <w:szCs w:val="28"/>
          <w:lang w:eastAsia="en-US"/>
        </w:rPr>
        <w:t>:</w:t>
      </w:r>
      <w:r w:rsidRPr="00520861">
        <w:rPr>
          <w:rFonts w:eastAsiaTheme="minorHAnsi"/>
          <w:sz w:val="28"/>
          <w:szCs w:val="28"/>
          <w:lang w:val="ru-RU" w:eastAsia="en-US"/>
        </w:rPr>
        <w:t xml:space="preserve"> </w:t>
      </w:r>
      <w:r w:rsidRPr="00520861">
        <w:rPr>
          <w:rFonts w:eastAsiaTheme="minorHAnsi"/>
          <w:sz w:val="28"/>
          <w:szCs w:val="28"/>
          <w:lang w:eastAsia="en-US"/>
        </w:rPr>
        <w:t>67–72. Доступно на: DOI: 10.25557/0031-2991.2014.03.67–72.</w:t>
      </w:r>
    </w:p>
    <w:p w14:paraId="41B1DE6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r w:rsidRPr="00520861">
        <w:rPr>
          <w:rFonts w:eastAsiaTheme="minorHAnsi"/>
          <w:sz w:val="28"/>
          <w:szCs w:val="28"/>
          <w:lang w:eastAsia="en-US"/>
        </w:rPr>
        <w:t xml:space="preserve">Тихомирова НЮ, </w:t>
      </w:r>
      <w:proofErr w:type="spellStart"/>
      <w:r w:rsidRPr="00520861">
        <w:rPr>
          <w:rFonts w:eastAsiaTheme="minorHAnsi"/>
          <w:sz w:val="28"/>
          <w:szCs w:val="28"/>
          <w:lang w:eastAsia="en-US"/>
        </w:rPr>
        <w:t>Елисеева</w:t>
      </w:r>
      <w:proofErr w:type="spellEnd"/>
      <w:r w:rsidRPr="00520861">
        <w:rPr>
          <w:rFonts w:eastAsiaTheme="minorHAnsi"/>
          <w:sz w:val="28"/>
          <w:szCs w:val="28"/>
          <w:lang w:eastAsia="en-US"/>
        </w:rPr>
        <w:t xml:space="preserve"> ЛН, </w:t>
      </w:r>
      <w:proofErr w:type="spellStart"/>
      <w:r w:rsidRPr="00520861">
        <w:rPr>
          <w:rFonts w:eastAsiaTheme="minorHAnsi"/>
          <w:sz w:val="28"/>
          <w:szCs w:val="28"/>
          <w:lang w:eastAsia="en-US"/>
        </w:rPr>
        <w:t>Малхасян</w:t>
      </w:r>
      <w:proofErr w:type="spellEnd"/>
      <w:r w:rsidRPr="00520861">
        <w:rPr>
          <w:rFonts w:eastAsiaTheme="minorHAnsi"/>
          <w:sz w:val="28"/>
          <w:szCs w:val="28"/>
          <w:lang w:eastAsia="en-US"/>
        </w:rPr>
        <w:t xml:space="preserve"> ИГ, Басте ЗА. </w:t>
      </w:r>
      <w:proofErr w:type="spellStart"/>
      <w:r w:rsidRPr="00520861">
        <w:rPr>
          <w:rFonts w:eastAsiaTheme="minorHAnsi"/>
          <w:sz w:val="28"/>
          <w:szCs w:val="28"/>
          <w:lang w:eastAsia="en-US"/>
        </w:rPr>
        <w:t>Особенности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суставного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синдрома</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лиц</w:t>
      </w:r>
      <w:proofErr w:type="spellEnd"/>
      <w:r w:rsidRPr="00520861">
        <w:rPr>
          <w:rFonts w:eastAsiaTheme="minorHAnsi"/>
          <w:sz w:val="28"/>
          <w:szCs w:val="28"/>
          <w:lang w:eastAsia="en-US"/>
        </w:rPr>
        <w:t xml:space="preserve"> молодого </w:t>
      </w:r>
      <w:proofErr w:type="spellStart"/>
      <w:r w:rsidRPr="00520861">
        <w:rPr>
          <w:rFonts w:eastAsiaTheme="minorHAnsi"/>
          <w:sz w:val="28"/>
          <w:szCs w:val="28"/>
          <w:lang w:eastAsia="en-US"/>
        </w:rPr>
        <w:t>возраста</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недифференцированной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дисплазией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соединительной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ткани</w:t>
      </w:r>
      <w:proofErr w:type="spellEnd"/>
      <w:r w:rsidRPr="00520861">
        <w:rPr>
          <w:rFonts w:eastAsiaTheme="minorHAnsi"/>
          <w:sz w:val="28"/>
          <w:szCs w:val="28"/>
          <w:lang w:val="ru-RU" w:eastAsia="en-US"/>
        </w:rPr>
        <w:t xml:space="preserve">. </w:t>
      </w:r>
      <w:proofErr w:type="spellStart"/>
      <w:r w:rsidRPr="00520861">
        <w:rPr>
          <w:rFonts w:eastAsiaTheme="minorHAnsi"/>
          <w:i/>
          <w:sz w:val="28"/>
          <w:szCs w:val="28"/>
          <w:lang w:eastAsia="en-US"/>
        </w:rPr>
        <w:t>Современные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проблемы</w:t>
      </w:r>
      <w:proofErr w:type="spellEnd"/>
      <w:r w:rsidRPr="00520861">
        <w:rPr>
          <w:rFonts w:eastAsiaTheme="minorHAnsi"/>
          <w:i/>
          <w:sz w:val="28"/>
          <w:szCs w:val="28"/>
          <w:lang w:eastAsia="en-US"/>
        </w:rPr>
        <w:t xml:space="preserve"> науки и </w:t>
      </w:r>
      <w:proofErr w:type="spellStart"/>
      <w:r w:rsidRPr="00520861">
        <w:rPr>
          <w:rFonts w:eastAsiaTheme="minorHAnsi"/>
          <w:i/>
          <w:sz w:val="28"/>
          <w:szCs w:val="28"/>
          <w:lang w:eastAsia="en-US"/>
        </w:rPr>
        <w:t>образования</w:t>
      </w:r>
      <w:proofErr w:type="spellEnd"/>
      <w:r w:rsidRPr="00520861">
        <w:rPr>
          <w:rFonts w:eastAsiaTheme="minorHAnsi"/>
          <w:sz w:val="28"/>
          <w:szCs w:val="28"/>
          <w:lang w:eastAsia="en-US"/>
        </w:rPr>
        <w:t>. 2015;(3): 6. Доступно на: http://www.science-education.ru/ru/article/view?id=17322.</w:t>
      </w:r>
    </w:p>
    <w:p w14:paraId="5FADCA6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r w:rsidRPr="00520861">
        <w:rPr>
          <w:rFonts w:eastAsiaTheme="minorHAnsi"/>
          <w:sz w:val="28"/>
          <w:szCs w:val="28"/>
          <w:lang w:val="ru-RU" w:eastAsia="en-US"/>
        </w:rPr>
        <w:t xml:space="preserve">Ткаченко ПІ, Старченко ІІ, Дмитренко МІ, </w:t>
      </w:r>
      <w:proofErr w:type="spellStart"/>
      <w:r w:rsidRPr="00520861">
        <w:rPr>
          <w:rFonts w:eastAsiaTheme="minorHAnsi"/>
          <w:sz w:val="28"/>
          <w:szCs w:val="28"/>
          <w:lang w:val="ru-RU" w:eastAsia="en-US"/>
        </w:rPr>
        <w:t>Чоловський</w:t>
      </w:r>
      <w:proofErr w:type="spellEnd"/>
      <w:r w:rsidRPr="00520861">
        <w:rPr>
          <w:rFonts w:eastAsiaTheme="minorHAnsi"/>
          <w:sz w:val="28"/>
          <w:szCs w:val="28"/>
          <w:lang w:val="ru-RU" w:eastAsia="en-US"/>
        </w:rPr>
        <w:t xml:space="preserve"> МО</w:t>
      </w:r>
      <w:r w:rsidRPr="00520861">
        <w:rPr>
          <w:rFonts w:eastAsiaTheme="minorHAnsi"/>
          <w:sz w:val="28"/>
          <w:szCs w:val="28"/>
          <w:lang w:eastAsia="en-US"/>
        </w:rPr>
        <w:t xml:space="preserve">. </w:t>
      </w:r>
      <w:hyperlink r:id="rId131" w:history="1">
        <w:r w:rsidRPr="00520861">
          <w:rPr>
            <w:rFonts w:eastAsiaTheme="minorHAnsi"/>
            <w:sz w:val="28"/>
            <w:szCs w:val="28"/>
            <w:lang w:val="ru-RU" w:eastAsia="en-US"/>
          </w:rPr>
          <w:t>Морфологічні особливості слизової оболонки над ретенованими зубами залежно від умов їх розташування</w:t>
        </w:r>
      </w:hyperlink>
      <w:r w:rsidRPr="00520861">
        <w:rPr>
          <w:rFonts w:eastAsiaTheme="minorHAnsi"/>
          <w:sz w:val="28"/>
          <w:szCs w:val="28"/>
          <w:lang w:val="ru-RU" w:eastAsia="en-US"/>
        </w:rPr>
        <w:t xml:space="preserve">. </w:t>
      </w:r>
      <w:proofErr w:type="spellStart"/>
      <w:r w:rsidRPr="00520861">
        <w:rPr>
          <w:rFonts w:eastAsiaTheme="minorHAnsi"/>
          <w:i/>
          <w:sz w:val="28"/>
          <w:szCs w:val="28"/>
          <w:lang w:val="ru-RU" w:eastAsia="en-US"/>
        </w:rPr>
        <w:t>Український</w:t>
      </w:r>
      <w:proofErr w:type="spellEnd"/>
      <w:r w:rsidRPr="00520861">
        <w:rPr>
          <w:rFonts w:eastAsiaTheme="minorHAnsi"/>
          <w:i/>
          <w:sz w:val="28"/>
          <w:szCs w:val="28"/>
          <w:lang w:val="pl-PL" w:eastAsia="en-US"/>
        </w:rPr>
        <w:t xml:space="preserve"> </w:t>
      </w:r>
      <w:proofErr w:type="spellStart"/>
      <w:r w:rsidRPr="00520861">
        <w:rPr>
          <w:rFonts w:eastAsiaTheme="minorHAnsi"/>
          <w:i/>
          <w:sz w:val="28"/>
          <w:szCs w:val="28"/>
          <w:lang w:val="ru-RU" w:eastAsia="en-US"/>
        </w:rPr>
        <w:t>стоматологічний</w:t>
      </w:r>
      <w:proofErr w:type="spellEnd"/>
      <w:r w:rsidRPr="00520861">
        <w:rPr>
          <w:rFonts w:eastAsiaTheme="minorHAnsi"/>
          <w:i/>
          <w:sz w:val="28"/>
          <w:szCs w:val="28"/>
          <w:lang w:val="pl-PL" w:eastAsia="en-US"/>
        </w:rPr>
        <w:t xml:space="preserve"> </w:t>
      </w:r>
      <w:r w:rsidRPr="00520861">
        <w:rPr>
          <w:rFonts w:eastAsiaTheme="minorHAnsi"/>
          <w:i/>
          <w:sz w:val="28"/>
          <w:szCs w:val="28"/>
          <w:lang w:val="ru-RU" w:eastAsia="en-US"/>
        </w:rPr>
        <w:t>альманах</w:t>
      </w:r>
      <w:r w:rsidRPr="00520861">
        <w:rPr>
          <w:rFonts w:eastAsiaTheme="minorHAnsi"/>
          <w:sz w:val="28"/>
          <w:szCs w:val="28"/>
          <w:lang w:val="pl-PL" w:eastAsia="en-US"/>
        </w:rPr>
        <w:t>. 20</w:t>
      </w:r>
      <w:r w:rsidRPr="00520861">
        <w:rPr>
          <w:rFonts w:eastAsiaTheme="minorHAnsi"/>
          <w:sz w:val="28"/>
          <w:szCs w:val="28"/>
          <w:lang w:val="ru-RU" w:eastAsia="en-US"/>
        </w:rPr>
        <w:t>20;1</w:t>
      </w:r>
      <w:r w:rsidRPr="00520861">
        <w:rPr>
          <w:rFonts w:eastAsiaTheme="minorHAnsi"/>
          <w:sz w:val="28"/>
          <w:szCs w:val="28"/>
          <w:lang w:val="pl-PL" w:eastAsia="en-US"/>
        </w:rPr>
        <w:t>:</w:t>
      </w:r>
      <w:r w:rsidRPr="00520861">
        <w:rPr>
          <w:rFonts w:eastAsiaTheme="minorHAnsi"/>
          <w:sz w:val="28"/>
          <w:szCs w:val="28"/>
          <w:lang w:val="ru-RU" w:eastAsia="en-US"/>
        </w:rPr>
        <w:t xml:space="preserve"> 31</w:t>
      </w:r>
      <w:r w:rsidRPr="00520861">
        <w:rPr>
          <w:rFonts w:eastAsiaTheme="minorHAnsi"/>
          <w:sz w:val="28"/>
          <w:szCs w:val="28"/>
          <w:lang w:eastAsia="en-US"/>
        </w:rPr>
        <w:t>–</w:t>
      </w:r>
      <w:r w:rsidRPr="00520861">
        <w:rPr>
          <w:rFonts w:eastAsiaTheme="minorHAnsi"/>
          <w:sz w:val="28"/>
          <w:szCs w:val="28"/>
          <w:lang w:val="ru-RU" w:eastAsia="en-US"/>
        </w:rPr>
        <w:t>36.</w:t>
      </w:r>
      <w:r w:rsidRPr="00520861">
        <w:rPr>
          <w:rFonts w:eastAsiaTheme="minorHAnsi"/>
          <w:sz w:val="28"/>
          <w:szCs w:val="28"/>
          <w:lang w:eastAsia="en-US"/>
        </w:rPr>
        <w:t xml:space="preserve"> Доступно на:</w:t>
      </w:r>
      <w:r w:rsidRPr="00520861">
        <w:rPr>
          <w:rFonts w:eastAsiaTheme="minorHAnsi"/>
          <w:color w:val="C7254E"/>
          <w:sz w:val="28"/>
          <w:szCs w:val="28"/>
          <w:shd w:val="clear" w:color="auto" w:fill="F9F2F4"/>
          <w:lang w:val="ru-RU" w:eastAsia="en-US"/>
        </w:rPr>
        <w:t xml:space="preserve"> </w:t>
      </w:r>
      <w:r w:rsidRPr="00520861">
        <w:rPr>
          <w:rFonts w:eastAsiaTheme="minorHAnsi"/>
          <w:sz w:val="28"/>
          <w:szCs w:val="28"/>
          <w:lang w:val="ru-RU" w:eastAsia="en-US"/>
        </w:rPr>
        <w:t>http://elib.umsa.edu.ua/jspui/handle/umsa/12419.</w:t>
      </w:r>
    </w:p>
    <w:p w14:paraId="293A484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sz w:val="28"/>
          <w:szCs w:val="28"/>
          <w:lang w:val="ru-RU"/>
        </w:rPr>
        <w:t xml:space="preserve">Ткаченко ЮВ, Якименко ЕС. Интегральный анализ качественных и количественных параметров на латеральных ТРГ для определения типа челюстного роста. </w:t>
      </w:r>
      <w:r w:rsidRPr="00520861">
        <w:rPr>
          <w:sz w:val="28"/>
          <w:szCs w:val="28"/>
          <w:lang w:val="en-US"/>
        </w:rPr>
        <w:t>In</w:t>
      </w:r>
      <w:r w:rsidRPr="00520861">
        <w:rPr>
          <w:sz w:val="28"/>
          <w:szCs w:val="28"/>
          <w:lang w:val="ru-RU"/>
        </w:rPr>
        <w:t xml:space="preserve">: </w:t>
      </w:r>
      <w:r w:rsidRPr="00520861">
        <w:rPr>
          <w:sz w:val="28"/>
          <w:szCs w:val="28"/>
        </w:rPr>
        <w:t>Лісовий ВМ. (</w:t>
      </w:r>
      <w:r w:rsidRPr="00520861">
        <w:rPr>
          <w:sz w:val="28"/>
          <w:szCs w:val="28"/>
          <w:lang w:val="en-US"/>
        </w:rPr>
        <w:t>ed</w:t>
      </w:r>
      <w:r w:rsidRPr="00520861">
        <w:rPr>
          <w:sz w:val="28"/>
          <w:szCs w:val="28"/>
          <w:lang w:val="ru-RU"/>
        </w:rPr>
        <w:t>.</w:t>
      </w:r>
      <w:r w:rsidRPr="00520861">
        <w:rPr>
          <w:sz w:val="28"/>
          <w:szCs w:val="28"/>
        </w:rPr>
        <w:t xml:space="preserve">) </w:t>
      </w:r>
      <w:proofErr w:type="spellStart"/>
      <w:r w:rsidRPr="00520861">
        <w:rPr>
          <w:i/>
          <w:sz w:val="28"/>
          <w:szCs w:val="28"/>
        </w:rPr>
        <w:t>Зб</w:t>
      </w:r>
      <w:proofErr w:type="spellEnd"/>
      <w:r w:rsidRPr="00520861">
        <w:rPr>
          <w:i/>
          <w:sz w:val="28"/>
          <w:szCs w:val="28"/>
        </w:rPr>
        <w:t>. наук. праць наук.-</w:t>
      </w:r>
      <w:proofErr w:type="spellStart"/>
      <w:r w:rsidRPr="00520861">
        <w:rPr>
          <w:i/>
          <w:sz w:val="28"/>
          <w:szCs w:val="28"/>
        </w:rPr>
        <w:t>практ</w:t>
      </w:r>
      <w:proofErr w:type="spellEnd"/>
      <w:r w:rsidRPr="00520861">
        <w:rPr>
          <w:i/>
          <w:sz w:val="28"/>
          <w:szCs w:val="28"/>
        </w:rPr>
        <w:t xml:space="preserve">. </w:t>
      </w:r>
      <w:proofErr w:type="spellStart"/>
      <w:r w:rsidRPr="00520861">
        <w:rPr>
          <w:i/>
          <w:sz w:val="28"/>
          <w:szCs w:val="28"/>
        </w:rPr>
        <w:t>стомат</w:t>
      </w:r>
      <w:proofErr w:type="spellEnd"/>
      <w:r w:rsidRPr="00520861">
        <w:rPr>
          <w:i/>
          <w:sz w:val="28"/>
          <w:szCs w:val="28"/>
        </w:rPr>
        <w:t xml:space="preserve">. </w:t>
      </w:r>
      <w:proofErr w:type="spellStart"/>
      <w:r w:rsidRPr="00520861">
        <w:rPr>
          <w:i/>
          <w:sz w:val="28"/>
          <w:szCs w:val="28"/>
        </w:rPr>
        <w:t>конф</w:t>
      </w:r>
      <w:proofErr w:type="spellEnd"/>
      <w:r w:rsidRPr="00520861">
        <w:rPr>
          <w:i/>
          <w:sz w:val="28"/>
          <w:szCs w:val="28"/>
        </w:rPr>
        <w:t>. у рамках</w:t>
      </w:r>
      <w:r w:rsidRPr="00520861">
        <w:rPr>
          <w:i/>
          <w:sz w:val="28"/>
          <w:szCs w:val="28"/>
          <w:lang w:val="ru-RU"/>
        </w:rPr>
        <w:t xml:space="preserve"> </w:t>
      </w:r>
      <w:r w:rsidRPr="00520861">
        <w:rPr>
          <w:i/>
          <w:sz w:val="28"/>
          <w:szCs w:val="28"/>
        </w:rPr>
        <w:t>конкурсу «Сяйво посмішки», 20 листопада 2015 р., Харків</w:t>
      </w:r>
      <w:r w:rsidRPr="00520861">
        <w:rPr>
          <w:sz w:val="28"/>
          <w:szCs w:val="28"/>
        </w:rPr>
        <w:t xml:space="preserve">. Харків; Харківський </w:t>
      </w:r>
      <w:proofErr w:type="spellStart"/>
      <w:r w:rsidRPr="00520861">
        <w:rPr>
          <w:sz w:val="28"/>
          <w:szCs w:val="28"/>
        </w:rPr>
        <w:t>нац</w:t>
      </w:r>
      <w:proofErr w:type="spellEnd"/>
      <w:r w:rsidRPr="00520861">
        <w:rPr>
          <w:sz w:val="28"/>
          <w:szCs w:val="28"/>
        </w:rPr>
        <w:t>. мед. ун-т: 2015. с. 102–107.</w:t>
      </w:r>
    </w:p>
    <w:p w14:paraId="3BF39F7D" w14:textId="77777777" w:rsidR="00292D2E" w:rsidRPr="00520861" w:rsidRDefault="00292D2E" w:rsidP="008F1D77">
      <w:pPr>
        <w:widowControl w:val="0"/>
        <w:numPr>
          <w:ilvl w:val="0"/>
          <w:numId w:val="8"/>
        </w:numPr>
        <w:shd w:val="clear" w:color="auto" w:fill="FFFFFF"/>
        <w:spacing w:line="360" w:lineRule="auto"/>
        <w:ind w:left="0" w:firstLine="0"/>
        <w:contextualSpacing/>
        <w:jc w:val="both"/>
        <w:outlineLvl w:val="0"/>
        <w:rPr>
          <w:bCs/>
          <w:kern w:val="36"/>
          <w:sz w:val="28"/>
          <w:szCs w:val="28"/>
        </w:rPr>
      </w:pPr>
      <w:r w:rsidRPr="00520861">
        <w:rPr>
          <w:sz w:val="28"/>
          <w:szCs w:val="28"/>
        </w:rPr>
        <w:t xml:space="preserve">Трубка ІО. </w:t>
      </w:r>
      <w:r w:rsidRPr="00520861">
        <w:rPr>
          <w:i/>
          <w:sz w:val="28"/>
          <w:szCs w:val="28"/>
        </w:rPr>
        <w:t>Клініко-експериментальне обґрунтування первинної профілактики карієсу зубів і хронічного катарального гінгівіту у дітей шкільного віку</w:t>
      </w:r>
      <w:r w:rsidRPr="00520861">
        <w:rPr>
          <w:sz w:val="28"/>
          <w:szCs w:val="28"/>
        </w:rPr>
        <w:t xml:space="preserve"> [дисертація]</w:t>
      </w:r>
      <w:r w:rsidRPr="00520861">
        <w:rPr>
          <w:rFonts w:eastAsiaTheme="minorHAnsi"/>
          <w:sz w:val="28"/>
          <w:szCs w:val="28"/>
          <w:lang w:eastAsia="en-US"/>
        </w:rPr>
        <w:t xml:space="preserve">. Київ: </w:t>
      </w:r>
      <w:proofErr w:type="spellStart"/>
      <w:r w:rsidRPr="00520861">
        <w:rPr>
          <w:rFonts w:eastAsiaTheme="minorHAnsi"/>
          <w:sz w:val="28"/>
          <w:szCs w:val="28"/>
          <w:lang w:eastAsia="en-US"/>
        </w:rPr>
        <w:t>Нац</w:t>
      </w:r>
      <w:proofErr w:type="spellEnd"/>
      <w:r w:rsidRPr="00520861">
        <w:rPr>
          <w:rFonts w:eastAsiaTheme="minorHAnsi"/>
          <w:sz w:val="28"/>
          <w:szCs w:val="28"/>
          <w:lang w:eastAsia="en-US"/>
        </w:rPr>
        <w:t xml:space="preserve">. мед. акад. післядипломної освіти  імені П. Л. Шупика МОЗ України; 2018. 379 с. </w:t>
      </w:r>
    </w:p>
    <w:p w14:paraId="0C3A542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Трубка ІО, </w:t>
      </w:r>
      <w:proofErr w:type="spellStart"/>
      <w:r w:rsidRPr="00520861">
        <w:rPr>
          <w:rFonts w:eastAsiaTheme="minorHAnsi"/>
          <w:sz w:val="28"/>
          <w:szCs w:val="28"/>
          <w:lang w:eastAsia="en-US"/>
        </w:rPr>
        <w:t>Савичук</w:t>
      </w:r>
      <w:proofErr w:type="spellEnd"/>
      <w:r w:rsidRPr="00520861">
        <w:rPr>
          <w:rFonts w:eastAsiaTheme="minorHAnsi"/>
          <w:sz w:val="28"/>
          <w:szCs w:val="28"/>
          <w:lang w:eastAsia="en-US"/>
        </w:rPr>
        <w:t xml:space="preserve"> НО. Спосіб відтворення карієсу на експериментальній моделі. </w:t>
      </w:r>
      <w:r w:rsidRPr="00520861">
        <w:rPr>
          <w:rFonts w:eastAsiaTheme="minorHAnsi"/>
          <w:i/>
          <w:sz w:val="28"/>
          <w:szCs w:val="28"/>
          <w:lang w:eastAsia="en-US"/>
        </w:rPr>
        <w:t>Збірник наукових праць співробітників НМАПО ім. П. Л. Шупика</w:t>
      </w:r>
      <w:r w:rsidRPr="00520861">
        <w:rPr>
          <w:rFonts w:eastAsiaTheme="minorHAnsi"/>
          <w:sz w:val="28"/>
          <w:szCs w:val="28"/>
          <w:lang w:eastAsia="en-US"/>
        </w:rPr>
        <w:t>. 2015;24(4): 63–69. Доступно на: http://nbuv.gov.ua/UJRN/Znpsnmapo_2015_24%284%29__10.</w:t>
      </w:r>
    </w:p>
    <w:p w14:paraId="34BA4809"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r w:rsidRPr="00520861">
        <w:rPr>
          <w:rFonts w:eastAsia="Calibri"/>
          <w:iCs/>
          <w:sz w:val="28"/>
          <w:szCs w:val="28"/>
          <w:lang w:eastAsia="en-US"/>
        </w:rPr>
        <w:t xml:space="preserve">Тяжка ОВ, Загородня ЯМ. Стан </w:t>
      </w:r>
      <w:proofErr w:type="spellStart"/>
      <w:r w:rsidRPr="00520861">
        <w:rPr>
          <w:rFonts w:eastAsia="Calibri"/>
          <w:iCs/>
          <w:sz w:val="28"/>
          <w:szCs w:val="28"/>
          <w:lang w:eastAsia="en-US"/>
        </w:rPr>
        <w:t>перекисного</w:t>
      </w:r>
      <w:proofErr w:type="spellEnd"/>
      <w:r w:rsidRPr="00520861">
        <w:rPr>
          <w:rFonts w:eastAsia="Calibri"/>
          <w:iCs/>
          <w:sz w:val="28"/>
          <w:szCs w:val="28"/>
          <w:lang w:eastAsia="en-US"/>
        </w:rPr>
        <w:t xml:space="preserve"> окислення ліпідів та антиоксидантної системи у дітей різного віку</w:t>
      </w:r>
      <w:r w:rsidRPr="00520861">
        <w:rPr>
          <w:rFonts w:eastAsia="Calibri"/>
          <w:iCs/>
          <w:sz w:val="28"/>
          <w:szCs w:val="28"/>
          <w:lang w:val="ru-RU" w:eastAsia="en-US"/>
        </w:rPr>
        <w:t>.</w:t>
      </w:r>
      <w:r w:rsidRPr="00520861">
        <w:rPr>
          <w:rFonts w:eastAsia="Calibri"/>
          <w:iCs/>
          <w:sz w:val="28"/>
          <w:szCs w:val="28"/>
          <w:lang w:eastAsia="en-US"/>
        </w:rPr>
        <w:t xml:space="preserve"> </w:t>
      </w:r>
      <w:proofErr w:type="spellStart"/>
      <w:r w:rsidRPr="00520861">
        <w:rPr>
          <w:rFonts w:eastAsia="Calibri"/>
          <w:i/>
          <w:iCs/>
          <w:sz w:val="28"/>
          <w:szCs w:val="28"/>
          <w:lang w:eastAsia="en-US"/>
        </w:rPr>
        <w:t>Перинатология</w:t>
      </w:r>
      <w:proofErr w:type="spellEnd"/>
      <w:r w:rsidRPr="00520861">
        <w:rPr>
          <w:rFonts w:eastAsia="Calibri"/>
          <w:i/>
          <w:iCs/>
          <w:sz w:val="28"/>
          <w:szCs w:val="28"/>
          <w:lang w:eastAsia="en-US"/>
        </w:rPr>
        <w:t xml:space="preserve"> и </w:t>
      </w:r>
      <w:proofErr w:type="spellStart"/>
      <w:r w:rsidRPr="00520861">
        <w:rPr>
          <w:rFonts w:eastAsia="Calibri"/>
          <w:i/>
          <w:iCs/>
          <w:sz w:val="28"/>
          <w:szCs w:val="28"/>
          <w:lang w:eastAsia="en-US"/>
        </w:rPr>
        <w:t>педиатрия</w:t>
      </w:r>
      <w:proofErr w:type="spellEnd"/>
      <w:r w:rsidRPr="00520861">
        <w:rPr>
          <w:rFonts w:eastAsia="Calibri"/>
          <w:iCs/>
          <w:sz w:val="28"/>
          <w:szCs w:val="28"/>
          <w:lang w:eastAsia="en-US"/>
        </w:rPr>
        <w:t>. 2016</w:t>
      </w:r>
      <w:r w:rsidRPr="00520861">
        <w:rPr>
          <w:rFonts w:eastAsia="Calibri"/>
          <w:iCs/>
          <w:sz w:val="28"/>
          <w:szCs w:val="28"/>
          <w:lang w:val="ru-RU" w:eastAsia="en-US"/>
        </w:rPr>
        <w:t>;(</w:t>
      </w:r>
      <w:r w:rsidRPr="00520861">
        <w:rPr>
          <w:rFonts w:eastAsia="Calibri"/>
          <w:iCs/>
          <w:sz w:val="28"/>
          <w:szCs w:val="28"/>
          <w:lang w:eastAsia="en-US"/>
        </w:rPr>
        <w:t>2</w:t>
      </w:r>
      <w:r w:rsidRPr="00520861">
        <w:rPr>
          <w:rFonts w:eastAsia="Calibri"/>
          <w:iCs/>
          <w:sz w:val="28"/>
          <w:szCs w:val="28"/>
          <w:lang w:val="ru-RU" w:eastAsia="en-US"/>
        </w:rPr>
        <w:t>):</w:t>
      </w:r>
      <w:r w:rsidRPr="00520861">
        <w:rPr>
          <w:rFonts w:eastAsia="Calibri"/>
          <w:iCs/>
          <w:sz w:val="28"/>
          <w:szCs w:val="28"/>
          <w:lang w:eastAsia="en-US"/>
        </w:rPr>
        <w:t xml:space="preserve"> 101–105. </w:t>
      </w:r>
      <w:r w:rsidRPr="00520861">
        <w:rPr>
          <w:rFonts w:eastAsiaTheme="minorHAnsi"/>
          <w:sz w:val="28"/>
          <w:szCs w:val="28"/>
          <w:lang w:eastAsia="en-US"/>
        </w:rPr>
        <w:t xml:space="preserve">Доступно на: </w:t>
      </w:r>
      <w:r w:rsidRPr="00520861">
        <w:rPr>
          <w:rFonts w:eastAsia="Calibri"/>
          <w:iCs/>
          <w:sz w:val="28"/>
          <w:szCs w:val="28"/>
          <w:lang w:val="en-US" w:eastAsia="en-US"/>
        </w:rPr>
        <w:t>http</w:t>
      </w:r>
      <w:r w:rsidRPr="00520861">
        <w:rPr>
          <w:rFonts w:eastAsia="Calibri"/>
          <w:iCs/>
          <w:sz w:val="28"/>
          <w:szCs w:val="28"/>
          <w:lang w:eastAsia="en-US"/>
        </w:rPr>
        <w:t>://</w:t>
      </w:r>
      <w:proofErr w:type="spellStart"/>
      <w:r w:rsidRPr="00520861">
        <w:rPr>
          <w:rFonts w:eastAsia="Calibri"/>
          <w:iCs/>
          <w:sz w:val="28"/>
          <w:szCs w:val="28"/>
          <w:lang w:val="en-US" w:eastAsia="en-US"/>
        </w:rPr>
        <w:t>nbuv</w:t>
      </w:r>
      <w:proofErr w:type="spellEnd"/>
      <w:r w:rsidRPr="00520861">
        <w:rPr>
          <w:rFonts w:eastAsia="Calibri"/>
          <w:iCs/>
          <w:sz w:val="28"/>
          <w:szCs w:val="28"/>
          <w:lang w:eastAsia="en-US"/>
        </w:rPr>
        <w:t>.</w:t>
      </w:r>
      <w:r w:rsidRPr="00520861">
        <w:rPr>
          <w:rFonts w:eastAsia="Calibri"/>
          <w:iCs/>
          <w:sz w:val="28"/>
          <w:szCs w:val="28"/>
          <w:lang w:val="en-US" w:eastAsia="en-US"/>
        </w:rPr>
        <w:t>gov</w:t>
      </w:r>
      <w:r w:rsidRPr="00520861">
        <w:rPr>
          <w:rFonts w:eastAsia="Calibri"/>
          <w:iCs/>
          <w:sz w:val="28"/>
          <w:szCs w:val="28"/>
          <w:lang w:eastAsia="en-US"/>
        </w:rPr>
        <w:t>.</w:t>
      </w:r>
      <w:proofErr w:type="spellStart"/>
      <w:r w:rsidRPr="00520861">
        <w:rPr>
          <w:rFonts w:eastAsia="Calibri"/>
          <w:iCs/>
          <w:sz w:val="28"/>
          <w:szCs w:val="28"/>
          <w:lang w:val="en-US" w:eastAsia="en-US"/>
        </w:rPr>
        <w:t>ua</w:t>
      </w:r>
      <w:proofErr w:type="spellEnd"/>
      <w:r w:rsidRPr="00520861">
        <w:rPr>
          <w:rFonts w:eastAsia="Calibri"/>
          <w:iCs/>
          <w:sz w:val="28"/>
          <w:szCs w:val="28"/>
          <w:lang w:eastAsia="en-US"/>
        </w:rPr>
        <w:t>/</w:t>
      </w:r>
      <w:r w:rsidRPr="00520861">
        <w:rPr>
          <w:rFonts w:eastAsia="Calibri"/>
          <w:iCs/>
          <w:sz w:val="28"/>
          <w:szCs w:val="28"/>
          <w:lang w:val="en-US" w:eastAsia="en-US"/>
        </w:rPr>
        <w:t>UJRN</w:t>
      </w:r>
      <w:r w:rsidRPr="00520861">
        <w:rPr>
          <w:rFonts w:eastAsia="Calibri"/>
          <w:iCs/>
          <w:sz w:val="28"/>
          <w:szCs w:val="28"/>
          <w:lang w:eastAsia="en-US"/>
        </w:rPr>
        <w:t>/</w:t>
      </w:r>
      <w:proofErr w:type="spellStart"/>
      <w:r w:rsidRPr="00520861">
        <w:rPr>
          <w:rFonts w:eastAsia="Calibri"/>
          <w:iCs/>
          <w:sz w:val="28"/>
          <w:szCs w:val="28"/>
          <w:lang w:val="en-US" w:eastAsia="en-US"/>
        </w:rPr>
        <w:t>perynatology</w:t>
      </w:r>
      <w:proofErr w:type="spellEnd"/>
      <w:r w:rsidRPr="00520861">
        <w:rPr>
          <w:rFonts w:eastAsia="Calibri"/>
          <w:iCs/>
          <w:sz w:val="28"/>
          <w:szCs w:val="28"/>
          <w:lang w:eastAsia="en-US"/>
        </w:rPr>
        <w:t>_2016_2_24.</w:t>
      </w:r>
    </w:p>
    <w:p w14:paraId="696A572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Удод ОА, Вороніна ГС, </w:t>
      </w:r>
      <w:proofErr w:type="spellStart"/>
      <w:r w:rsidRPr="00520861">
        <w:rPr>
          <w:rFonts w:eastAsiaTheme="minorHAnsi"/>
          <w:sz w:val="28"/>
          <w:szCs w:val="28"/>
          <w:lang w:eastAsia="en-US"/>
        </w:rPr>
        <w:t>Рубайло</w:t>
      </w:r>
      <w:proofErr w:type="spellEnd"/>
      <w:r w:rsidRPr="00520861">
        <w:rPr>
          <w:rFonts w:eastAsiaTheme="minorHAnsi"/>
          <w:sz w:val="28"/>
          <w:szCs w:val="28"/>
          <w:lang w:eastAsia="en-US"/>
        </w:rPr>
        <w:t xml:space="preserve"> ВВ. Ретроспективний аналіз деяких </w:t>
      </w:r>
      <w:r w:rsidR="00905637" w:rsidRPr="00520861">
        <w:rPr>
          <w:rFonts w:eastAsiaTheme="minorHAnsi"/>
          <w:sz w:val="28"/>
          <w:szCs w:val="28"/>
          <w:lang w:eastAsia="en-US"/>
        </w:rPr>
        <w:br/>
      </w:r>
      <w:r w:rsidRPr="00520861">
        <w:rPr>
          <w:rFonts w:eastAsiaTheme="minorHAnsi"/>
          <w:sz w:val="28"/>
          <w:szCs w:val="28"/>
          <w:lang w:eastAsia="en-US"/>
        </w:rPr>
        <w:lastRenderedPageBreak/>
        <w:t>показників стоматологічної допомоги населенню індустріального міста</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 xml:space="preserve">Вісник </w:t>
      </w:r>
      <w:r w:rsidR="00905637" w:rsidRPr="00520861">
        <w:rPr>
          <w:rFonts w:eastAsiaTheme="minorHAnsi"/>
          <w:i/>
          <w:sz w:val="28"/>
          <w:szCs w:val="28"/>
          <w:lang w:eastAsia="en-US"/>
        </w:rPr>
        <w:br/>
      </w:r>
      <w:r w:rsidRPr="00520861">
        <w:rPr>
          <w:rFonts w:eastAsiaTheme="minorHAnsi"/>
          <w:i/>
          <w:sz w:val="28"/>
          <w:szCs w:val="28"/>
          <w:lang w:eastAsia="en-US"/>
        </w:rPr>
        <w:t>проблем біології і медицини</w:t>
      </w:r>
      <w:r w:rsidRPr="00520861">
        <w:rPr>
          <w:rFonts w:eastAsiaTheme="minorHAnsi"/>
          <w:sz w:val="28"/>
          <w:szCs w:val="28"/>
          <w:lang w:eastAsia="en-US"/>
        </w:rPr>
        <w:t>. 2018</w:t>
      </w:r>
      <w:r w:rsidRPr="00520861">
        <w:rPr>
          <w:rFonts w:eastAsiaTheme="minorHAnsi"/>
          <w:sz w:val="28"/>
          <w:szCs w:val="28"/>
          <w:lang w:val="ru-RU" w:eastAsia="en-US"/>
        </w:rPr>
        <w:t>;</w:t>
      </w:r>
      <w:r w:rsidRPr="00520861">
        <w:rPr>
          <w:rFonts w:eastAsiaTheme="minorHAnsi"/>
          <w:sz w:val="28"/>
          <w:szCs w:val="28"/>
          <w:lang w:eastAsia="en-US"/>
        </w:rPr>
        <w:t>4(1</w:t>
      </w:r>
      <w:r w:rsidRPr="00520861">
        <w:rPr>
          <w:rFonts w:eastAsiaTheme="minorHAnsi"/>
          <w:sz w:val="28"/>
          <w:szCs w:val="28"/>
          <w:lang w:val="ru-RU" w:eastAsia="en-US"/>
        </w:rPr>
        <w:t>/146</w:t>
      </w:r>
      <w:r w:rsidRPr="00520861">
        <w:rPr>
          <w:rFonts w:eastAsiaTheme="minorHAnsi"/>
          <w:sz w:val="28"/>
          <w:szCs w:val="28"/>
          <w:lang w:eastAsia="en-US"/>
        </w:rPr>
        <w:t>)</w:t>
      </w:r>
      <w:r w:rsidRPr="00520861">
        <w:rPr>
          <w:rFonts w:eastAsiaTheme="minorHAnsi"/>
          <w:sz w:val="28"/>
          <w:szCs w:val="28"/>
          <w:lang w:val="ru-RU" w:eastAsia="en-US"/>
        </w:rPr>
        <w:t>:</w:t>
      </w:r>
      <w:r w:rsidRPr="00520861">
        <w:rPr>
          <w:rFonts w:eastAsiaTheme="minorHAnsi"/>
          <w:sz w:val="28"/>
          <w:szCs w:val="28"/>
          <w:lang w:eastAsia="en-US"/>
        </w:rPr>
        <w:t xml:space="preserve"> 318–321. Доступно на:</w:t>
      </w:r>
      <w:r w:rsidRPr="00520861">
        <w:rPr>
          <w:rFonts w:eastAsiaTheme="minorHAnsi"/>
          <w:sz w:val="28"/>
          <w:szCs w:val="28"/>
          <w:lang w:val="ru-RU" w:eastAsia="en-US"/>
        </w:rPr>
        <w:t xml:space="preserve"> </w:t>
      </w:r>
      <w:r w:rsidRPr="00520861">
        <w:rPr>
          <w:rFonts w:eastAsiaTheme="minorHAnsi"/>
          <w:sz w:val="28"/>
          <w:szCs w:val="28"/>
          <w:lang w:eastAsia="en-US"/>
        </w:rPr>
        <w:t>http://nbuv.gov.ua/UJRN/Vpbm_2018_4(1)__87.</w:t>
      </w:r>
    </w:p>
    <w:p w14:paraId="2F9DB9B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Фера</w:t>
      </w:r>
      <w:proofErr w:type="spellEnd"/>
      <w:r w:rsidRPr="00520861">
        <w:rPr>
          <w:rFonts w:eastAsiaTheme="minorHAnsi"/>
          <w:sz w:val="28"/>
          <w:szCs w:val="28"/>
          <w:lang w:eastAsia="en-US"/>
        </w:rPr>
        <w:t xml:space="preserve"> МО, </w:t>
      </w:r>
      <w:proofErr w:type="spellStart"/>
      <w:r w:rsidRPr="00520861">
        <w:rPr>
          <w:rFonts w:eastAsiaTheme="minorHAnsi"/>
          <w:sz w:val="28"/>
          <w:szCs w:val="28"/>
          <w:lang w:eastAsia="en-US"/>
        </w:rPr>
        <w:t>Фера</w:t>
      </w:r>
      <w:proofErr w:type="spellEnd"/>
      <w:r w:rsidRPr="00520861">
        <w:rPr>
          <w:rFonts w:eastAsiaTheme="minorHAnsi"/>
          <w:sz w:val="28"/>
          <w:szCs w:val="28"/>
          <w:lang w:eastAsia="en-US"/>
        </w:rPr>
        <w:t xml:space="preserve"> ОВ, Костенко СБ, </w:t>
      </w:r>
      <w:proofErr w:type="spellStart"/>
      <w:r w:rsidRPr="00520861">
        <w:rPr>
          <w:rFonts w:eastAsiaTheme="minorHAnsi"/>
          <w:sz w:val="28"/>
          <w:szCs w:val="28"/>
          <w:lang w:eastAsia="en-US"/>
        </w:rPr>
        <w:t>Криванич</w:t>
      </w:r>
      <w:proofErr w:type="spellEnd"/>
      <w:r w:rsidRPr="00520861">
        <w:rPr>
          <w:rFonts w:eastAsiaTheme="minorHAnsi"/>
          <w:sz w:val="28"/>
          <w:szCs w:val="28"/>
          <w:lang w:eastAsia="en-US"/>
        </w:rPr>
        <w:t xml:space="preserve"> ВМ, Дячук КГ, </w:t>
      </w:r>
      <w:proofErr w:type="spellStart"/>
      <w:r w:rsidRPr="00520861">
        <w:rPr>
          <w:rFonts w:eastAsiaTheme="minorHAnsi"/>
          <w:sz w:val="28"/>
          <w:szCs w:val="28"/>
          <w:lang w:eastAsia="en-US"/>
        </w:rPr>
        <w:t>Мелкумян</w:t>
      </w:r>
      <w:proofErr w:type="spellEnd"/>
      <w:r w:rsidRPr="00520861">
        <w:rPr>
          <w:rFonts w:eastAsiaTheme="minorHAnsi"/>
          <w:sz w:val="28"/>
          <w:szCs w:val="28"/>
          <w:lang w:eastAsia="en-US"/>
        </w:rPr>
        <w:t xml:space="preserve"> ТС, та ін. Особливості виникнення </w:t>
      </w:r>
      <w:proofErr w:type="spellStart"/>
      <w:r w:rsidRPr="00520861">
        <w:rPr>
          <w:rFonts w:eastAsiaTheme="minorHAnsi"/>
          <w:sz w:val="28"/>
          <w:szCs w:val="28"/>
          <w:lang w:eastAsia="en-US"/>
        </w:rPr>
        <w:t>пародонтиту</w:t>
      </w:r>
      <w:proofErr w:type="spellEnd"/>
      <w:r w:rsidRPr="00520861">
        <w:rPr>
          <w:rFonts w:eastAsiaTheme="minorHAnsi"/>
          <w:sz w:val="28"/>
          <w:szCs w:val="28"/>
          <w:lang w:eastAsia="en-US"/>
        </w:rPr>
        <w:t xml:space="preserve"> у мешканців міста Ужгород віком від 18 до 24 років залежно від факторів ризику. </w:t>
      </w:r>
      <w:r w:rsidRPr="00520861">
        <w:rPr>
          <w:rFonts w:eastAsiaTheme="minorHAnsi"/>
          <w:i/>
          <w:sz w:val="28"/>
          <w:szCs w:val="28"/>
          <w:lang w:eastAsia="en-US"/>
        </w:rPr>
        <w:t>Науковий вісник Ужгородського університету. Серія: Медицина</w:t>
      </w:r>
      <w:r w:rsidRPr="00520861">
        <w:rPr>
          <w:rFonts w:eastAsiaTheme="minorHAnsi"/>
          <w:sz w:val="28"/>
          <w:szCs w:val="28"/>
          <w:lang w:eastAsia="en-US"/>
        </w:rPr>
        <w:t xml:space="preserve">. 2017;2: 119–123. Доступно на: </w:t>
      </w:r>
      <w:r w:rsidRPr="00520861">
        <w:rPr>
          <w:rFonts w:eastAsiaTheme="minorHAnsi"/>
          <w:sz w:val="28"/>
          <w:szCs w:val="28"/>
          <w:lang w:val="en-US" w:eastAsia="en-US"/>
        </w:rPr>
        <w:t>http</w:t>
      </w:r>
      <w:r w:rsidRPr="00520861">
        <w:rPr>
          <w:rFonts w:eastAsiaTheme="minorHAnsi"/>
          <w:sz w:val="28"/>
          <w:szCs w:val="28"/>
          <w:lang w:eastAsia="en-US"/>
        </w:rPr>
        <w:t>://</w:t>
      </w:r>
      <w:proofErr w:type="spellStart"/>
      <w:r w:rsidRPr="00520861">
        <w:rPr>
          <w:rFonts w:eastAsiaTheme="minorHAnsi"/>
          <w:sz w:val="28"/>
          <w:szCs w:val="28"/>
          <w:lang w:val="en-US" w:eastAsia="en-US"/>
        </w:rPr>
        <w:t>nbuv</w:t>
      </w:r>
      <w:proofErr w:type="spellEnd"/>
      <w:r w:rsidRPr="00520861">
        <w:rPr>
          <w:rFonts w:eastAsiaTheme="minorHAnsi"/>
          <w:sz w:val="28"/>
          <w:szCs w:val="28"/>
          <w:lang w:eastAsia="en-US"/>
        </w:rPr>
        <w:t>.</w:t>
      </w:r>
      <w:r w:rsidRPr="00520861">
        <w:rPr>
          <w:rFonts w:eastAsiaTheme="minorHAnsi"/>
          <w:sz w:val="28"/>
          <w:szCs w:val="28"/>
          <w:lang w:val="en-US" w:eastAsia="en-US"/>
        </w:rPr>
        <w:t>gov</w:t>
      </w:r>
      <w:r w:rsidRPr="00520861">
        <w:rPr>
          <w:rFonts w:eastAsiaTheme="minorHAnsi"/>
          <w:sz w:val="28"/>
          <w:szCs w:val="28"/>
          <w:lang w:eastAsia="en-US"/>
        </w:rPr>
        <w:t>.</w:t>
      </w:r>
      <w:proofErr w:type="spellStart"/>
      <w:r w:rsidRPr="00520861">
        <w:rPr>
          <w:rFonts w:eastAsiaTheme="minorHAnsi"/>
          <w:sz w:val="28"/>
          <w:szCs w:val="28"/>
          <w:lang w:val="en-US" w:eastAsia="en-US"/>
        </w:rPr>
        <w:t>ua</w:t>
      </w:r>
      <w:proofErr w:type="spellEnd"/>
      <w:r w:rsidRPr="00520861">
        <w:rPr>
          <w:rFonts w:eastAsiaTheme="minorHAnsi"/>
          <w:sz w:val="28"/>
          <w:szCs w:val="28"/>
          <w:lang w:eastAsia="en-US"/>
        </w:rPr>
        <w:t>/</w:t>
      </w:r>
      <w:r w:rsidRPr="00520861">
        <w:rPr>
          <w:rFonts w:eastAsiaTheme="minorHAnsi"/>
          <w:sz w:val="28"/>
          <w:szCs w:val="28"/>
          <w:lang w:val="en-US" w:eastAsia="en-US"/>
        </w:rPr>
        <w:t>UJRN</w:t>
      </w:r>
      <w:r w:rsidRPr="00520861">
        <w:rPr>
          <w:rFonts w:eastAsiaTheme="minorHAnsi"/>
          <w:sz w:val="28"/>
          <w:szCs w:val="28"/>
          <w:lang w:eastAsia="en-US"/>
        </w:rPr>
        <w:t>/</w:t>
      </w:r>
      <w:r w:rsidRPr="00520861">
        <w:rPr>
          <w:rFonts w:eastAsiaTheme="minorHAnsi"/>
          <w:sz w:val="28"/>
          <w:szCs w:val="28"/>
          <w:lang w:val="en-US" w:eastAsia="en-US"/>
        </w:rPr>
        <w:t>UNUMED</w:t>
      </w:r>
      <w:r w:rsidRPr="00520861">
        <w:rPr>
          <w:rFonts w:eastAsiaTheme="minorHAnsi"/>
          <w:sz w:val="28"/>
          <w:szCs w:val="28"/>
          <w:lang w:eastAsia="en-US"/>
        </w:rPr>
        <w:t>_2017_2_26.</w:t>
      </w:r>
    </w:p>
    <w:p w14:paraId="50E9D5A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ru-RU" w:eastAsia="en-US"/>
        </w:rPr>
        <w:t>Фёрстер</w:t>
      </w:r>
      <w:proofErr w:type="spellEnd"/>
      <w:r w:rsidRPr="00520861">
        <w:rPr>
          <w:rFonts w:eastAsiaTheme="minorHAnsi"/>
          <w:sz w:val="28"/>
          <w:szCs w:val="28"/>
          <w:lang w:val="ru-RU" w:eastAsia="en-US"/>
        </w:rPr>
        <w:t xml:space="preserve"> Э, </w:t>
      </w:r>
      <w:proofErr w:type="spellStart"/>
      <w:r w:rsidRPr="00520861">
        <w:rPr>
          <w:rFonts w:eastAsiaTheme="minorHAnsi"/>
          <w:sz w:val="28"/>
          <w:szCs w:val="28"/>
          <w:lang w:val="ru-RU" w:eastAsia="en-US"/>
        </w:rPr>
        <w:t>Рёнц</w:t>
      </w:r>
      <w:proofErr w:type="spellEnd"/>
      <w:r w:rsidRPr="00520861">
        <w:rPr>
          <w:rFonts w:eastAsiaTheme="minorHAnsi"/>
          <w:sz w:val="28"/>
          <w:szCs w:val="28"/>
          <w:lang w:val="ru-RU" w:eastAsia="en-US"/>
        </w:rPr>
        <w:t xml:space="preserve"> Б. </w:t>
      </w:r>
      <w:r w:rsidRPr="00520861">
        <w:rPr>
          <w:rFonts w:eastAsiaTheme="minorHAnsi"/>
          <w:i/>
          <w:sz w:val="28"/>
          <w:szCs w:val="28"/>
          <w:lang w:val="ru-RU" w:eastAsia="en-US"/>
        </w:rPr>
        <w:t xml:space="preserve">Методы корреляционного и регрессионного анализа. </w:t>
      </w:r>
      <w:r w:rsidR="00905637" w:rsidRPr="00520861">
        <w:rPr>
          <w:rFonts w:eastAsiaTheme="minorHAnsi"/>
          <w:i/>
          <w:sz w:val="28"/>
          <w:szCs w:val="28"/>
          <w:lang w:val="ru-RU" w:eastAsia="en-US"/>
        </w:rPr>
        <w:br/>
      </w:r>
      <w:r w:rsidRPr="00520861">
        <w:rPr>
          <w:rFonts w:eastAsiaTheme="minorHAnsi"/>
          <w:i/>
          <w:sz w:val="28"/>
          <w:szCs w:val="28"/>
          <w:lang w:val="ru-RU" w:eastAsia="en-US"/>
        </w:rPr>
        <w:t>Руководство для экономистов</w:t>
      </w:r>
      <w:r w:rsidRPr="00520861">
        <w:rPr>
          <w:rFonts w:eastAsiaTheme="minorHAnsi"/>
          <w:sz w:val="28"/>
          <w:szCs w:val="28"/>
          <w:lang w:val="ru-RU" w:eastAsia="en-US"/>
        </w:rPr>
        <w:t xml:space="preserve">. </w:t>
      </w:r>
      <w:r w:rsidRPr="00520861">
        <w:rPr>
          <w:rFonts w:eastAsiaTheme="minorHAnsi"/>
          <w:sz w:val="28"/>
          <w:szCs w:val="28"/>
          <w:lang w:eastAsia="en-US"/>
        </w:rPr>
        <w:t xml:space="preserve">Москва: </w:t>
      </w:r>
      <w:r w:rsidRPr="00520861">
        <w:rPr>
          <w:rFonts w:eastAsiaTheme="minorHAnsi"/>
          <w:sz w:val="28"/>
          <w:szCs w:val="28"/>
          <w:lang w:val="ru-RU" w:eastAsia="en-US"/>
        </w:rPr>
        <w:t xml:space="preserve">Финансы и статистика; </w:t>
      </w:r>
      <w:r w:rsidRPr="00520861">
        <w:rPr>
          <w:rFonts w:eastAsiaTheme="minorHAnsi"/>
          <w:sz w:val="28"/>
          <w:szCs w:val="28"/>
          <w:lang w:eastAsia="en-US"/>
        </w:rPr>
        <w:t>1983</w:t>
      </w:r>
      <w:r w:rsidRPr="00520861">
        <w:rPr>
          <w:rFonts w:eastAsiaTheme="minorHAnsi"/>
          <w:sz w:val="28"/>
          <w:szCs w:val="28"/>
          <w:lang w:val="ru-RU" w:eastAsia="en-US"/>
        </w:rPr>
        <w:t xml:space="preserve">.  – </w:t>
      </w:r>
      <w:r w:rsidRPr="00520861">
        <w:rPr>
          <w:rFonts w:eastAsiaTheme="minorHAnsi"/>
          <w:sz w:val="28"/>
          <w:szCs w:val="28"/>
          <w:lang w:eastAsia="en-US"/>
        </w:rPr>
        <w:t>304.</w:t>
      </w:r>
    </w:p>
    <w:p w14:paraId="35B6486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Фліс</w:t>
      </w:r>
      <w:proofErr w:type="spellEnd"/>
      <w:r w:rsidRPr="00520861">
        <w:rPr>
          <w:rFonts w:eastAsiaTheme="minorHAnsi"/>
          <w:sz w:val="28"/>
          <w:szCs w:val="28"/>
          <w:lang w:eastAsia="en-US"/>
        </w:rPr>
        <w:t xml:space="preserve"> ПС, Шпак ДЮ. Поширеність </w:t>
      </w:r>
      <w:proofErr w:type="spellStart"/>
      <w:r w:rsidRPr="00520861">
        <w:rPr>
          <w:rFonts w:eastAsiaTheme="minorHAnsi"/>
          <w:sz w:val="28"/>
          <w:szCs w:val="28"/>
          <w:lang w:eastAsia="en-US"/>
        </w:rPr>
        <w:t>мезіального</w:t>
      </w:r>
      <w:proofErr w:type="spellEnd"/>
      <w:r w:rsidRPr="00520861">
        <w:rPr>
          <w:rFonts w:eastAsiaTheme="minorHAnsi"/>
          <w:sz w:val="28"/>
          <w:szCs w:val="28"/>
          <w:lang w:eastAsia="en-US"/>
        </w:rPr>
        <w:t xml:space="preserve"> прикусу серед дітей і підлітків різного віку за даними масового обстеження. </w:t>
      </w:r>
      <w:proofErr w:type="spellStart"/>
      <w:r w:rsidRPr="00520861">
        <w:rPr>
          <w:rFonts w:eastAsiaTheme="minorHAnsi"/>
          <w:sz w:val="28"/>
          <w:szCs w:val="28"/>
          <w:lang w:eastAsia="en-US"/>
        </w:rPr>
        <w:t>Современная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стоматология</w:t>
      </w:r>
      <w:proofErr w:type="spellEnd"/>
      <w:r w:rsidRPr="00520861">
        <w:rPr>
          <w:rFonts w:eastAsiaTheme="minorHAnsi"/>
          <w:sz w:val="28"/>
          <w:szCs w:val="28"/>
          <w:lang w:eastAsia="en-US"/>
        </w:rPr>
        <w:t>. 2014;(2): 106–111.</w:t>
      </w:r>
      <w:r w:rsidRPr="00520861">
        <w:rPr>
          <w:rFonts w:eastAsiaTheme="minorHAnsi"/>
          <w:sz w:val="28"/>
          <w:szCs w:val="28"/>
          <w:lang w:val="ru-RU" w:eastAsia="en-US"/>
        </w:rPr>
        <w:t xml:space="preserve"> </w:t>
      </w:r>
      <w:r w:rsidRPr="00520861">
        <w:rPr>
          <w:rFonts w:eastAsiaTheme="minorHAnsi"/>
          <w:sz w:val="28"/>
          <w:szCs w:val="28"/>
          <w:lang w:eastAsia="en-US"/>
        </w:rPr>
        <w:t xml:space="preserve">Доступно на: </w:t>
      </w:r>
      <w:r w:rsidRPr="00520861">
        <w:rPr>
          <w:rFonts w:eastAsiaTheme="minorHAnsi"/>
          <w:sz w:val="28"/>
          <w:szCs w:val="28"/>
          <w:lang w:val="en-US" w:eastAsia="en-US"/>
        </w:rPr>
        <w:t>http</w:t>
      </w:r>
      <w:r w:rsidRPr="00520861">
        <w:rPr>
          <w:rFonts w:eastAsiaTheme="minorHAnsi"/>
          <w:sz w:val="28"/>
          <w:szCs w:val="28"/>
          <w:lang w:val="ru-RU" w:eastAsia="en-US"/>
        </w:rPr>
        <w:t>://</w:t>
      </w:r>
      <w:proofErr w:type="spellStart"/>
      <w:r w:rsidRPr="00520861">
        <w:rPr>
          <w:rFonts w:eastAsiaTheme="minorHAnsi"/>
          <w:sz w:val="28"/>
          <w:szCs w:val="28"/>
          <w:lang w:val="en-US" w:eastAsia="en-US"/>
        </w:rPr>
        <w:t>nbuv</w:t>
      </w:r>
      <w:proofErr w:type="spellEnd"/>
      <w:r w:rsidRPr="00520861">
        <w:rPr>
          <w:rFonts w:eastAsiaTheme="minorHAnsi"/>
          <w:sz w:val="28"/>
          <w:szCs w:val="28"/>
          <w:lang w:val="ru-RU" w:eastAsia="en-US"/>
        </w:rPr>
        <w:t>.</w:t>
      </w:r>
      <w:r w:rsidRPr="00520861">
        <w:rPr>
          <w:rFonts w:eastAsiaTheme="minorHAnsi"/>
          <w:sz w:val="28"/>
          <w:szCs w:val="28"/>
          <w:lang w:val="en-US" w:eastAsia="en-US"/>
        </w:rPr>
        <w:t>gov</w:t>
      </w:r>
      <w:r w:rsidRPr="00520861">
        <w:rPr>
          <w:rFonts w:eastAsiaTheme="minorHAnsi"/>
          <w:sz w:val="28"/>
          <w:szCs w:val="28"/>
          <w:lang w:val="ru-RU" w:eastAsia="en-US"/>
        </w:rPr>
        <w:t>.</w:t>
      </w:r>
      <w:proofErr w:type="spellStart"/>
      <w:r w:rsidRPr="00520861">
        <w:rPr>
          <w:rFonts w:eastAsiaTheme="minorHAnsi"/>
          <w:sz w:val="28"/>
          <w:szCs w:val="28"/>
          <w:lang w:val="en-US" w:eastAsia="en-US"/>
        </w:rPr>
        <w:t>ua</w:t>
      </w:r>
      <w:proofErr w:type="spellEnd"/>
      <w:r w:rsidRPr="00520861">
        <w:rPr>
          <w:rFonts w:eastAsiaTheme="minorHAnsi"/>
          <w:sz w:val="28"/>
          <w:szCs w:val="28"/>
          <w:lang w:val="ru-RU" w:eastAsia="en-US"/>
        </w:rPr>
        <w:t>/</w:t>
      </w:r>
      <w:r w:rsidRPr="00520861">
        <w:rPr>
          <w:rFonts w:eastAsiaTheme="minorHAnsi"/>
          <w:sz w:val="28"/>
          <w:szCs w:val="28"/>
          <w:lang w:val="en-US" w:eastAsia="en-US"/>
        </w:rPr>
        <w:t>UJRN</w:t>
      </w:r>
      <w:r w:rsidRPr="00520861">
        <w:rPr>
          <w:rFonts w:eastAsiaTheme="minorHAnsi"/>
          <w:sz w:val="28"/>
          <w:szCs w:val="28"/>
          <w:lang w:val="ru-RU" w:eastAsia="en-US"/>
        </w:rPr>
        <w:t>/</w:t>
      </w:r>
      <w:r w:rsidRPr="00520861">
        <w:rPr>
          <w:rFonts w:eastAsiaTheme="minorHAnsi"/>
          <w:sz w:val="28"/>
          <w:szCs w:val="28"/>
          <w:lang w:val="en-US" w:eastAsia="en-US"/>
        </w:rPr>
        <w:t>ss</w:t>
      </w:r>
      <w:r w:rsidRPr="00520861">
        <w:rPr>
          <w:rFonts w:eastAsiaTheme="minorHAnsi"/>
          <w:sz w:val="28"/>
          <w:szCs w:val="28"/>
          <w:lang w:val="ru-RU" w:eastAsia="en-US"/>
        </w:rPr>
        <w:t>_2014_2_22.</w:t>
      </w:r>
    </w:p>
    <w:p w14:paraId="2D045E0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Хоменко ЛО, Біденко НВ. Ранній карієс тимчасових зубів: перспективи вирішення проблеми. </w:t>
      </w:r>
      <w:r w:rsidRPr="00520861">
        <w:rPr>
          <w:rFonts w:eastAsiaTheme="minorHAnsi"/>
          <w:i/>
          <w:sz w:val="28"/>
          <w:szCs w:val="28"/>
          <w:lang w:eastAsia="en-US"/>
        </w:rPr>
        <w:t>Клінічна стоматологія</w:t>
      </w:r>
      <w:r w:rsidRPr="00520861">
        <w:rPr>
          <w:rFonts w:eastAsiaTheme="minorHAnsi"/>
          <w:sz w:val="28"/>
          <w:szCs w:val="28"/>
          <w:lang w:eastAsia="en-US"/>
        </w:rPr>
        <w:t xml:space="preserve"> [Інтернет]. 12, Березень </w:t>
      </w:r>
      <w:r w:rsidRPr="00520861">
        <w:rPr>
          <w:rFonts w:eastAsiaTheme="minorHAnsi"/>
          <w:sz w:val="28"/>
          <w:szCs w:val="28"/>
          <w:lang w:val="ru-RU" w:eastAsia="en-US"/>
        </w:rPr>
        <w:t>[</w:t>
      </w:r>
      <w:proofErr w:type="spellStart"/>
      <w:r w:rsidRPr="00520861">
        <w:rPr>
          <w:rFonts w:eastAsiaTheme="minorHAnsi"/>
          <w:sz w:val="28"/>
          <w:szCs w:val="28"/>
          <w:lang w:val="ru-RU" w:eastAsia="en-US"/>
        </w:rPr>
        <w:t>цитовано</w:t>
      </w:r>
      <w:proofErr w:type="spellEnd"/>
      <w:r w:rsidRPr="00520861">
        <w:rPr>
          <w:rFonts w:eastAsiaTheme="minorHAnsi"/>
          <w:sz w:val="28"/>
          <w:szCs w:val="28"/>
          <w:lang w:val="ru-RU" w:eastAsia="en-US"/>
        </w:rPr>
        <w:t xml:space="preserve"> 2020 </w:t>
      </w:r>
      <w:r w:rsidRPr="00520861">
        <w:rPr>
          <w:rFonts w:eastAsiaTheme="minorHAnsi"/>
          <w:sz w:val="28"/>
          <w:szCs w:val="28"/>
          <w:lang w:eastAsia="en-US"/>
        </w:rPr>
        <w:t>Лип</w:t>
      </w:r>
      <w:r w:rsidRPr="00520861">
        <w:rPr>
          <w:rFonts w:eastAsiaTheme="minorHAnsi"/>
          <w:sz w:val="28"/>
          <w:szCs w:val="28"/>
          <w:lang w:val="ru-RU" w:eastAsia="en-US"/>
        </w:rPr>
        <w:t xml:space="preserve">. 22] </w:t>
      </w:r>
      <w:r w:rsidRPr="00520861">
        <w:rPr>
          <w:rFonts w:eastAsiaTheme="minorHAnsi"/>
          <w:sz w:val="28"/>
          <w:szCs w:val="28"/>
          <w:lang w:eastAsia="en-US"/>
        </w:rPr>
        <w:t>2014;0(1_2). Доступно на: https://ojs.tdmu.edu.ua/index.php/kl-stomat/article/view/2475</w:t>
      </w:r>
      <w:r w:rsidRPr="00520861">
        <w:rPr>
          <w:rFonts w:eastAsiaTheme="minorHAnsi"/>
          <w:sz w:val="28"/>
          <w:szCs w:val="28"/>
          <w:lang w:val="ru-RU" w:eastAsia="en-US"/>
        </w:rPr>
        <w:t>.</w:t>
      </w:r>
    </w:p>
    <w:p w14:paraId="1B9703E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Хоменко ЛО, Остапко ОІ, Біденко НВ. Сучасний погляд на класифікацію захворювань пародонту у дітей. </w:t>
      </w:r>
      <w:r w:rsidRPr="00520861">
        <w:rPr>
          <w:rFonts w:eastAsiaTheme="minorHAnsi"/>
          <w:i/>
          <w:sz w:val="28"/>
          <w:szCs w:val="28"/>
          <w:lang w:eastAsia="en-US"/>
        </w:rPr>
        <w:t>Профілактична та дитяча стоматологія</w:t>
      </w:r>
      <w:r w:rsidRPr="00520861">
        <w:rPr>
          <w:rFonts w:eastAsiaTheme="minorHAnsi"/>
          <w:sz w:val="28"/>
          <w:szCs w:val="28"/>
          <w:lang w:eastAsia="en-US"/>
        </w:rPr>
        <w:t xml:space="preserve">. 2009;(1): 6–11. Доступно на: </w:t>
      </w:r>
      <w:r w:rsidRPr="00520861">
        <w:rPr>
          <w:rFonts w:eastAsiaTheme="minorHAnsi"/>
          <w:sz w:val="28"/>
          <w:szCs w:val="28"/>
          <w:lang w:val="en-US" w:eastAsia="en-US"/>
        </w:rPr>
        <w:t>http</w:t>
      </w:r>
      <w:r w:rsidRPr="00520861">
        <w:rPr>
          <w:rFonts w:eastAsiaTheme="minorHAnsi"/>
          <w:sz w:val="28"/>
          <w:szCs w:val="28"/>
          <w:lang w:eastAsia="en-US"/>
        </w:rPr>
        <w:t>://</w:t>
      </w:r>
      <w:proofErr w:type="spellStart"/>
      <w:r w:rsidRPr="00520861">
        <w:rPr>
          <w:rFonts w:eastAsiaTheme="minorHAnsi"/>
          <w:sz w:val="28"/>
          <w:szCs w:val="28"/>
          <w:lang w:val="en-US" w:eastAsia="en-US"/>
        </w:rPr>
        <w:t>nbuv</w:t>
      </w:r>
      <w:proofErr w:type="spellEnd"/>
      <w:r w:rsidRPr="00520861">
        <w:rPr>
          <w:rFonts w:eastAsiaTheme="minorHAnsi"/>
          <w:sz w:val="28"/>
          <w:szCs w:val="28"/>
          <w:lang w:eastAsia="en-US"/>
        </w:rPr>
        <w:t>.</w:t>
      </w:r>
      <w:r w:rsidRPr="00520861">
        <w:rPr>
          <w:rFonts w:eastAsiaTheme="minorHAnsi"/>
          <w:sz w:val="28"/>
          <w:szCs w:val="28"/>
          <w:lang w:val="en-US" w:eastAsia="en-US"/>
        </w:rPr>
        <w:t>gov</w:t>
      </w:r>
      <w:r w:rsidRPr="00520861">
        <w:rPr>
          <w:rFonts w:eastAsiaTheme="minorHAnsi"/>
          <w:sz w:val="28"/>
          <w:szCs w:val="28"/>
          <w:lang w:eastAsia="en-US"/>
        </w:rPr>
        <w:t>.</w:t>
      </w:r>
      <w:proofErr w:type="spellStart"/>
      <w:r w:rsidRPr="00520861">
        <w:rPr>
          <w:rFonts w:eastAsiaTheme="minorHAnsi"/>
          <w:sz w:val="28"/>
          <w:szCs w:val="28"/>
          <w:lang w:val="en-US" w:eastAsia="en-US"/>
        </w:rPr>
        <w:t>ua</w:t>
      </w:r>
      <w:proofErr w:type="spellEnd"/>
      <w:r w:rsidRPr="00520861">
        <w:rPr>
          <w:rFonts w:eastAsiaTheme="minorHAnsi"/>
          <w:sz w:val="28"/>
          <w:szCs w:val="28"/>
          <w:lang w:eastAsia="en-US"/>
        </w:rPr>
        <w:t>/</w:t>
      </w:r>
      <w:r w:rsidRPr="00520861">
        <w:rPr>
          <w:rFonts w:eastAsiaTheme="minorHAnsi"/>
          <w:sz w:val="28"/>
          <w:szCs w:val="28"/>
          <w:lang w:val="en-US" w:eastAsia="en-US"/>
        </w:rPr>
        <w:t>UJRN</w:t>
      </w:r>
      <w:r w:rsidRPr="00520861">
        <w:rPr>
          <w:rFonts w:eastAsiaTheme="minorHAnsi"/>
          <w:sz w:val="28"/>
          <w:szCs w:val="28"/>
          <w:lang w:eastAsia="en-US"/>
        </w:rPr>
        <w:t>/</w:t>
      </w:r>
      <w:proofErr w:type="spellStart"/>
      <w:r w:rsidRPr="00520861">
        <w:rPr>
          <w:rFonts w:eastAsiaTheme="minorHAnsi"/>
          <w:sz w:val="28"/>
          <w:szCs w:val="28"/>
          <w:lang w:val="en-US" w:eastAsia="en-US"/>
        </w:rPr>
        <w:t>ptdc</w:t>
      </w:r>
      <w:proofErr w:type="spellEnd"/>
      <w:r w:rsidRPr="00520861">
        <w:rPr>
          <w:rFonts w:eastAsiaTheme="minorHAnsi"/>
          <w:sz w:val="28"/>
          <w:szCs w:val="28"/>
          <w:lang w:eastAsia="en-US"/>
        </w:rPr>
        <w:t>_2009_1_5</w:t>
      </w:r>
      <w:r w:rsidRPr="00520861">
        <w:rPr>
          <w:rFonts w:eastAsiaTheme="minorHAnsi"/>
          <w:sz w:val="28"/>
          <w:szCs w:val="28"/>
          <w:lang w:val="ru-RU" w:eastAsia="en-US"/>
        </w:rPr>
        <w:t>.</w:t>
      </w:r>
    </w:p>
    <w:p w14:paraId="0B7CE5C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Хорошилкина</w:t>
      </w:r>
      <w:proofErr w:type="spellEnd"/>
      <w:r w:rsidRPr="00520861">
        <w:rPr>
          <w:rFonts w:eastAsiaTheme="minorHAnsi"/>
          <w:sz w:val="28"/>
          <w:szCs w:val="28"/>
          <w:lang w:eastAsia="en-US"/>
        </w:rPr>
        <w:t xml:space="preserve"> ФЯ. </w:t>
      </w:r>
      <w:proofErr w:type="spellStart"/>
      <w:r w:rsidRPr="00520861">
        <w:rPr>
          <w:rFonts w:eastAsiaTheme="minorHAnsi"/>
          <w:i/>
          <w:sz w:val="28"/>
          <w:szCs w:val="28"/>
          <w:lang w:eastAsia="en-US"/>
        </w:rPr>
        <w:t>Ортодонтия</w:t>
      </w:r>
      <w:proofErr w:type="spellEnd"/>
      <w:r w:rsidRPr="00520861">
        <w:rPr>
          <w:rFonts w:eastAsiaTheme="minorHAnsi"/>
          <w:sz w:val="28"/>
          <w:szCs w:val="28"/>
          <w:lang w:eastAsia="en-US"/>
        </w:rPr>
        <w:t>. Москва: ООО «</w:t>
      </w:r>
      <w:proofErr w:type="spellStart"/>
      <w:r w:rsidRPr="00520861">
        <w:rPr>
          <w:rFonts w:eastAsiaTheme="minorHAnsi"/>
          <w:sz w:val="28"/>
          <w:szCs w:val="28"/>
          <w:lang w:eastAsia="en-US"/>
        </w:rPr>
        <w:t>Медицинское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информационное</w:t>
      </w:r>
      <w:proofErr w:type="spellEnd"/>
      <w:r w:rsidRPr="00520861">
        <w:rPr>
          <w:rFonts w:eastAsiaTheme="minorHAnsi"/>
          <w:sz w:val="28"/>
          <w:szCs w:val="28"/>
          <w:lang w:eastAsia="en-US"/>
        </w:rPr>
        <w:t xml:space="preserve"> агентство»</w:t>
      </w:r>
      <w:r w:rsidRPr="00520861">
        <w:rPr>
          <w:rFonts w:eastAsiaTheme="minorHAnsi"/>
          <w:sz w:val="28"/>
          <w:szCs w:val="28"/>
          <w:lang w:val="ru-RU" w:eastAsia="en-US"/>
        </w:rPr>
        <w:t>;</w:t>
      </w:r>
      <w:r w:rsidRPr="00520861">
        <w:rPr>
          <w:rFonts w:eastAsiaTheme="minorHAnsi"/>
          <w:sz w:val="28"/>
          <w:szCs w:val="28"/>
          <w:lang w:eastAsia="en-US"/>
        </w:rPr>
        <w:t xml:space="preserve"> 2006. </w:t>
      </w:r>
      <w:r w:rsidRPr="00520861">
        <w:rPr>
          <w:rFonts w:eastAsiaTheme="minorHAnsi"/>
          <w:sz w:val="28"/>
          <w:szCs w:val="28"/>
          <w:lang w:val="ru-RU" w:eastAsia="en-US"/>
        </w:rPr>
        <w:t xml:space="preserve">– </w:t>
      </w:r>
      <w:r w:rsidRPr="00520861">
        <w:rPr>
          <w:rFonts w:eastAsiaTheme="minorHAnsi"/>
          <w:sz w:val="28"/>
          <w:szCs w:val="28"/>
          <w:lang w:eastAsia="en-US"/>
        </w:rPr>
        <w:t>544</w:t>
      </w:r>
      <w:r w:rsidRPr="00520861">
        <w:rPr>
          <w:rFonts w:eastAsiaTheme="minorHAnsi"/>
          <w:sz w:val="28"/>
          <w:szCs w:val="28"/>
          <w:lang w:val="ru-RU" w:eastAsia="en-US"/>
        </w:rPr>
        <w:t xml:space="preserve"> </w:t>
      </w:r>
      <w:r w:rsidRPr="00520861">
        <w:rPr>
          <w:rFonts w:eastAsiaTheme="minorHAnsi"/>
          <w:sz w:val="28"/>
          <w:szCs w:val="28"/>
          <w:lang w:eastAsia="en-US"/>
        </w:rPr>
        <w:t>с.</w:t>
      </w:r>
    </w:p>
    <w:p w14:paraId="51887DC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ru-RU" w:eastAsia="en-US"/>
        </w:rPr>
      </w:pPr>
      <w:proofErr w:type="spellStart"/>
      <w:r w:rsidRPr="00520861">
        <w:rPr>
          <w:rFonts w:eastAsiaTheme="minorHAnsi"/>
          <w:sz w:val="28"/>
          <w:szCs w:val="28"/>
          <w:lang w:eastAsia="en-US"/>
        </w:rPr>
        <w:t>Хурасева</w:t>
      </w:r>
      <w:proofErr w:type="spellEnd"/>
      <w:r w:rsidRPr="00520861">
        <w:rPr>
          <w:rFonts w:eastAsiaTheme="minorHAnsi"/>
          <w:sz w:val="28"/>
          <w:szCs w:val="28"/>
          <w:lang w:eastAsia="en-US"/>
        </w:rPr>
        <w:t xml:space="preserve"> АБ. </w:t>
      </w:r>
      <w:proofErr w:type="spellStart"/>
      <w:r w:rsidRPr="00520861">
        <w:rPr>
          <w:rFonts w:eastAsiaTheme="minorHAnsi"/>
          <w:sz w:val="28"/>
          <w:szCs w:val="28"/>
          <w:lang w:eastAsia="en-US"/>
        </w:rPr>
        <w:t>Адаптация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новорожденных</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развитие</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первый</w:t>
      </w:r>
      <w:proofErr w:type="spellEnd"/>
      <w:r w:rsidRPr="00520861">
        <w:rPr>
          <w:rFonts w:eastAsiaTheme="minorHAnsi"/>
          <w:sz w:val="28"/>
          <w:szCs w:val="28"/>
          <w:lang w:eastAsia="en-US"/>
        </w:rPr>
        <w:t xml:space="preserve"> год </w:t>
      </w:r>
      <w:proofErr w:type="spellStart"/>
      <w:r w:rsidRPr="00520861">
        <w:rPr>
          <w:rFonts w:eastAsiaTheme="minorHAnsi"/>
          <w:sz w:val="28"/>
          <w:szCs w:val="28"/>
          <w:lang w:eastAsia="en-US"/>
        </w:rPr>
        <w:t>жизни</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зависимости</w:t>
      </w:r>
      <w:proofErr w:type="spellEnd"/>
      <w:r w:rsidRPr="00520861">
        <w:rPr>
          <w:rFonts w:eastAsiaTheme="minorHAnsi"/>
          <w:sz w:val="28"/>
          <w:szCs w:val="28"/>
          <w:lang w:eastAsia="en-US"/>
        </w:rPr>
        <w:t xml:space="preserve"> от </w:t>
      </w:r>
      <w:proofErr w:type="spellStart"/>
      <w:r w:rsidRPr="00520861">
        <w:rPr>
          <w:rFonts w:eastAsiaTheme="minorHAnsi"/>
          <w:sz w:val="28"/>
          <w:szCs w:val="28"/>
          <w:lang w:eastAsia="en-US"/>
        </w:rPr>
        <w:t>массы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тела</w:t>
      </w:r>
      <w:proofErr w:type="spellEnd"/>
      <w:r w:rsidRPr="00520861">
        <w:rPr>
          <w:rFonts w:eastAsiaTheme="minorHAnsi"/>
          <w:sz w:val="28"/>
          <w:szCs w:val="28"/>
          <w:lang w:eastAsia="en-US"/>
        </w:rPr>
        <w:t xml:space="preserve"> при </w:t>
      </w:r>
      <w:proofErr w:type="spellStart"/>
      <w:r w:rsidRPr="00520861">
        <w:rPr>
          <w:rFonts w:eastAsiaTheme="minorHAnsi"/>
          <w:sz w:val="28"/>
          <w:szCs w:val="28"/>
          <w:lang w:eastAsia="en-US"/>
        </w:rPr>
        <w:t>рождении</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Научные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ведомости</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Белгородского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государственного</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университета</w:t>
      </w:r>
      <w:proofErr w:type="spellEnd"/>
      <w:r w:rsidRPr="00520861">
        <w:rPr>
          <w:rFonts w:eastAsiaTheme="minorHAnsi"/>
          <w:i/>
          <w:sz w:val="28"/>
          <w:szCs w:val="28"/>
          <w:lang w:eastAsia="en-US"/>
        </w:rPr>
        <w:t xml:space="preserve">. Медицина. </w:t>
      </w:r>
      <w:proofErr w:type="spellStart"/>
      <w:r w:rsidRPr="00520861">
        <w:rPr>
          <w:rFonts w:eastAsiaTheme="minorHAnsi"/>
          <w:i/>
          <w:sz w:val="28"/>
          <w:szCs w:val="28"/>
          <w:lang w:eastAsia="en-US"/>
        </w:rPr>
        <w:t>Фармация</w:t>
      </w:r>
      <w:proofErr w:type="spellEnd"/>
      <w:r w:rsidRPr="00520861">
        <w:rPr>
          <w:rFonts w:eastAsiaTheme="minorHAnsi"/>
          <w:i/>
          <w:sz w:val="28"/>
          <w:szCs w:val="28"/>
          <w:lang w:val="ru-RU" w:eastAsia="en-US"/>
        </w:rPr>
        <w:t>.</w:t>
      </w:r>
      <w:r w:rsidRPr="00520861">
        <w:rPr>
          <w:rFonts w:eastAsiaTheme="minorHAnsi"/>
          <w:sz w:val="28"/>
          <w:szCs w:val="28"/>
          <w:lang w:eastAsia="en-US"/>
        </w:rPr>
        <w:t xml:space="preserve"> 2014; 4/175(25): 102–105.</w:t>
      </w:r>
    </w:p>
    <w:p w14:paraId="7C4E1DB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Хурасева</w:t>
      </w:r>
      <w:proofErr w:type="spellEnd"/>
      <w:r w:rsidRPr="00520861">
        <w:rPr>
          <w:rFonts w:eastAsiaTheme="minorHAnsi"/>
          <w:sz w:val="28"/>
          <w:szCs w:val="28"/>
          <w:lang w:eastAsia="en-US"/>
        </w:rPr>
        <w:t xml:space="preserve"> АБ. </w:t>
      </w:r>
      <w:proofErr w:type="spellStart"/>
      <w:r w:rsidRPr="00520861">
        <w:rPr>
          <w:rFonts w:eastAsiaTheme="minorHAnsi"/>
          <w:sz w:val="28"/>
          <w:szCs w:val="28"/>
          <w:lang w:eastAsia="en-US"/>
        </w:rPr>
        <w:t>Репродуктивное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здоровье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женщин</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родившихся</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полярными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значениями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массы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тела</w:t>
      </w:r>
      <w:proofErr w:type="spellEnd"/>
      <w:r w:rsidRPr="00520861">
        <w:rPr>
          <w:rFonts w:eastAsiaTheme="minorHAnsi"/>
          <w:sz w:val="28"/>
          <w:szCs w:val="28"/>
          <w:lang w:val="ru-RU" w:eastAsia="en-US"/>
        </w:rPr>
        <w:t xml:space="preserve">. </w:t>
      </w:r>
      <w:r w:rsidRPr="00520861">
        <w:rPr>
          <w:rFonts w:eastAsiaTheme="minorHAnsi"/>
          <w:i/>
          <w:sz w:val="28"/>
          <w:szCs w:val="28"/>
          <w:lang w:eastAsia="en-US"/>
        </w:rPr>
        <w:t>Міжнародний ендокринологічний журнал</w:t>
      </w:r>
      <w:r w:rsidRPr="00520861">
        <w:rPr>
          <w:rFonts w:eastAsiaTheme="minorHAnsi"/>
          <w:sz w:val="28"/>
          <w:szCs w:val="28"/>
          <w:lang w:eastAsia="en-US"/>
        </w:rPr>
        <w:t>. 2010</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sz w:val="28"/>
          <w:szCs w:val="28"/>
          <w:lang w:val="ru-RU" w:eastAsia="en-US"/>
        </w:rPr>
        <w:t>(</w:t>
      </w:r>
      <w:r w:rsidRPr="00520861">
        <w:rPr>
          <w:rFonts w:eastAsiaTheme="minorHAnsi"/>
          <w:sz w:val="28"/>
          <w:szCs w:val="28"/>
          <w:lang w:eastAsia="en-US"/>
        </w:rPr>
        <w:t>8</w:t>
      </w:r>
      <w:r w:rsidRPr="00520861">
        <w:rPr>
          <w:rFonts w:eastAsiaTheme="minorHAnsi"/>
          <w:sz w:val="28"/>
          <w:szCs w:val="28"/>
          <w:lang w:val="ru-RU" w:eastAsia="en-US"/>
        </w:rPr>
        <w:t>):</w:t>
      </w:r>
      <w:r w:rsidRPr="00520861">
        <w:rPr>
          <w:rFonts w:eastAsiaTheme="minorHAnsi"/>
          <w:sz w:val="28"/>
          <w:szCs w:val="28"/>
          <w:lang w:eastAsia="en-US"/>
        </w:rPr>
        <w:t xml:space="preserve"> 106–115.</w:t>
      </w:r>
    </w:p>
    <w:p w14:paraId="5BD81C2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Чепрасова</w:t>
      </w:r>
      <w:proofErr w:type="spellEnd"/>
      <w:r w:rsidRPr="00520861">
        <w:rPr>
          <w:rFonts w:eastAsiaTheme="minorHAnsi"/>
          <w:sz w:val="28"/>
          <w:szCs w:val="28"/>
          <w:lang w:eastAsia="en-US"/>
        </w:rPr>
        <w:t xml:space="preserve"> АА, </w:t>
      </w:r>
      <w:proofErr w:type="spellStart"/>
      <w:r w:rsidRPr="00520861">
        <w:rPr>
          <w:rFonts w:eastAsiaTheme="minorHAnsi"/>
          <w:sz w:val="28"/>
          <w:szCs w:val="28"/>
          <w:lang w:eastAsia="en-US"/>
        </w:rPr>
        <w:t>Пашков</w:t>
      </w:r>
      <w:proofErr w:type="spellEnd"/>
      <w:r w:rsidRPr="00520861">
        <w:rPr>
          <w:rFonts w:eastAsiaTheme="minorHAnsi"/>
          <w:sz w:val="28"/>
          <w:szCs w:val="28"/>
          <w:lang w:eastAsia="en-US"/>
        </w:rPr>
        <w:t xml:space="preserve"> АН, </w:t>
      </w:r>
      <w:proofErr w:type="spellStart"/>
      <w:r w:rsidRPr="00520861">
        <w:rPr>
          <w:rFonts w:eastAsiaTheme="minorHAnsi"/>
          <w:sz w:val="28"/>
          <w:szCs w:val="28"/>
          <w:lang w:eastAsia="en-US"/>
        </w:rPr>
        <w:t>Карташова</w:t>
      </w:r>
      <w:proofErr w:type="spellEnd"/>
      <w:r w:rsidRPr="00520861">
        <w:rPr>
          <w:rFonts w:eastAsiaTheme="minorHAnsi"/>
          <w:sz w:val="28"/>
          <w:szCs w:val="28"/>
          <w:lang w:eastAsia="en-US"/>
        </w:rPr>
        <w:t xml:space="preserve"> НМ, </w:t>
      </w:r>
      <w:proofErr w:type="spellStart"/>
      <w:r w:rsidRPr="00520861">
        <w:rPr>
          <w:rFonts w:eastAsiaTheme="minorHAnsi"/>
          <w:sz w:val="28"/>
          <w:szCs w:val="28"/>
          <w:lang w:eastAsia="en-US"/>
        </w:rPr>
        <w:t>Патрицкая</w:t>
      </w:r>
      <w:proofErr w:type="spellEnd"/>
      <w:r w:rsidRPr="00520861">
        <w:rPr>
          <w:rFonts w:eastAsiaTheme="minorHAnsi"/>
          <w:sz w:val="28"/>
          <w:szCs w:val="28"/>
          <w:lang w:eastAsia="en-US"/>
        </w:rPr>
        <w:t xml:space="preserve"> ВЮ, Парфенова НВ.</w:t>
      </w:r>
      <w:r w:rsidRPr="00520861">
        <w:rPr>
          <w:rFonts w:eastAsiaTheme="minorHAnsi"/>
          <w:sz w:val="28"/>
          <w:szCs w:val="28"/>
          <w:lang w:val="ru-RU" w:eastAsia="en-US"/>
        </w:rPr>
        <w:t xml:space="preserve"> </w:t>
      </w:r>
      <w:proofErr w:type="spellStart"/>
      <w:r w:rsidRPr="00520861">
        <w:rPr>
          <w:rFonts w:eastAsiaTheme="minorHAnsi"/>
          <w:sz w:val="28"/>
          <w:szCs w:val="28"/>
          <w:lang w:eastAsia="en-US"/>
        </w:rPr>
        <w:t>Активность</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щелочной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фосфатазы</w:t>
      </w:r>
      <w:proofErr w:type="spellEnd"/>
      <w:r w:rsidRPr="00520861">
        <w:rPr>
          <w:rFonts w:eastAsiaTheme="minorHAnsi"/>
          <w:sz w:val="28"/>
          <w:szCs w:val="28"/>
          <w:lang w:eastAsia="en-US"/>
        </w:rPr>
        <w:t xml:space="preserve"> в секретах </w:t>
      </w:r>
      <w:proofErr w:type="spellStart"/>
      <w:r w:rsidRPr="00520861">
        <w:rPr>
          <w:rFonts w:eastAsiaTheme="minorHAnsi"/>
          <w:sz w:val="28"/>
          <w:szCs w:val="28"/>
          <w:lang w:eastAsia="en-US"/>
        </w:rPr>
        <w:t>больших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слюнных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желез</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человека</w:t>
      </w:r>
      <w:proofErr w:type="spellEnd"/>
      <w:r w:rsidRPr="00520861">
        <w:rPr>
          <w:rFonts w:eastAsiaTheme="minorHAnsi"/>
          <w:sz w:val="28"/>
          <w:szCs w:val="28"/>
          <w:lang w:eastAsia="en-US"/>
        </w:rPr>
        <w:t xml:space="preserve"> в </w:t>
      </w:r>
      <w:r w:rsidR="00905637" w:rsidRPr="00520861">
        <w:rPr>
          <w:rFonts w:eastAsiaTheme="minorHAnsi"/>
          <w:sz w:val="28"/>
          <w:szCs w:val="28"/>
          <w:lang w:eastAsia="en-US"/>
        </w:rPr>
        <w:br/>
      </w:r>
      <w:proofErr w:type="spellStart"/>
      <w:r w:rsidRPr="00520861">
        <w:rPr>
          <w:rFonts w:eastAsiaTheme="minorHAnsi"/>
          <w:sz w:val="28"/>
          <w:szCs w:val="28"/>
          <w:lang w:eastAsia="en-US"/>
        </w:rPr>
        <w:lastRenderedPageBreak/>
        <w:t>постнатальном</w:t>
      </w:r>
      <w:proofErr w:type="spellEnd"/>
      <w:r w:rsidRPr="00520861">
        <w:rPr>
          <w:rFonts w:eastAsiaTheme="minorHAnsi"/>
          <w:sz w:val="28"/>
          <w:szCs w:val="28"/>
          <w:lang w:eastAsia="en-US"/>
        </w:rPr>
        <w:t xml:space="preserve"> онтогенезе. </w:t>
      </w:r>
      <w:r w:rsidRPr="00520861">
        <w:rPr>
          <w:rFonts w:eastAsiaTheme="minorHAnsi"/>
          <w:i/>
          <w:sz w:val="28"/>
          <w:szCs w:val="28"/>
          <w:lang w:val="ru-RU" w:eastAsia="en-US"/>
        </w:rPr>
        <w:t xml:space="preserve">Международный научно-исследовательский журнал. </w:t>
      </w:r>
      <w:proofErr w:type="spellStart"/>
      <w:r w:rsidRPr="00520861">
        <w:rPr>
          <w:rFonts w:eastAsiaTheme="minorHAnsi"/>
          <w:i/>
          <w:sz w:val="28"/>
          <w:szCs w:val="28"/>
          <w:lang w:eastAsia="en-US"/>
        </w:rPr>
        <w:t>Биологические</w:t>
      </w:r>
      <w:proofErr w:type="spellEnd"/>
      <w:r w:rsidRPr="00520861">
        <w:rPr>
          <w:rFonts w:eastAsiaTheme="minorHAnsi"/>
          <w:i/>
          <w:sz w:val="28"/>
          <w:szCs w:val="28"/>
          <w:lang w:eastAsia="en-US"/>
        </w:rPr>
        <w:t xml:space="preserve"> науки</w:t>
      </w:r>
      <w:r w:rsidRPr="00520861">
        <w:rPr>
          <w:rFonts w:eastAsiaTheme="minorHAnsi"/>
          <w:sz w:val="28"/>
          <w:szCs w:val="28"/>
          <w:lang w:eastAsia="en-US"/>
        </w:rPr>
        <w:t xml:space="preserve">. 2016;45(3): 33–35. </w:t>
      </w:r>
    </w:p>
    <w:p w14:paraId="0CBCD01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Череда ВВ, </w:t>
      </w:r>
      <w:proofErr w:type="spellStart"/>
      <w:r w:rsidRPr="00520861">
        <w:rPr>
          <w:rFonts w:eastAsiaTheme="minorHAnsi"/>
          <w:sz w:val="28"/>
          <w:szCs w:val="28"/>
          <w:lang w:eastAsia="en-US"/>
        </w:rPr>
        <w:t>Петрушанко</w:t>
      </w:r>
      <w:proofErr w:type="spellEnd"/>
      <w:r w:rsidRPr="00520861">
        <w:rPr>
          <w:rFonts w:eastAsiaTheme="minorHAnsi"/>
          <w:sz w:val="28"/>
          <w:szCs w:val="28"/>
          <w:lang w:eastAsia="en-US"/>
        </w:rPr>
        <w:t xml:space="preserve"> ТО, Лобань ГА, Мамонтова ТВ. Мікробна колонізація порожнини рота і рівень секреторного </w:t>
      </w:r>
      <w:proofErr w:type="spellStart"/>
      <w:r w:rsidRPr="00520861">
        <w:rPr>
          <w:rFonts w:eastAsiaTheme="minorHAnsi"/>
          <w:sz w:val="28"/>
          <w:szCs w:val="28"/>
          <w:lang w:eastAsia="en-US"/>
        </w:rPr>
        <w:t>імуноглобулінуа</w:t>
      </w:r>
      <w:proofErr w:type="spellEnd"/>
      <w:r w:rsidRPr="00520861">
        <w:rPr>
          <w:rFonts w:eastAsiaTheme="minorHAnsi"/>
          <w:sz w:val="28"/>
          <w:szCs w:val="28"/>
          <w:lang w:eastAsia="en-US"/>
        </w:rPr>
        <w:t xml:space="preserve"> в осіб із різною інтенсивністю карієсу. </w:t>
      </w:r>
      <w:r w:rsidRPr="00520861">
        <w:rPr>
          <w:rFonts w:eastAsiaTheme="minorHAnsi"/>
          <w:i/>
          <w:sz w:val="28"/>
          <w:szCs w:val="28"/>
          <w:lang w:eastAsia="en-US"/>
        </w:rPr>
        <w:t>Український стоматологічний альманах</w:t>
      </w:r>
      <w:r w:rsidRPr="00520861">
        <w:rPr>
          <w:rFonts w:eastAsiaTheme="minorHAnsi"/>
          <w:sz w:val="28"/>
          <w:szCs w:val="28"/>
          <w:lang w:eastAsia="en-US"/>
        </w:rPr>
        <w:t>. 2012</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19–21. Доступно на: http://nbuv.gov.ua/UJRN/Usa_2012_4_6.</w:t>
      </w:r>
    </w:p>
    <w:p w14:paraId="42871C7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Черных</w:t>
      </w:r>
      <w:proofErr w:type="spellEnd"/>
      <w:r w:rsidRPr="00520861">
        <w:rPr>
          <w:rFonts w:eastAsiaTheme="minorHAnsi"/>
          <w:sz w:val="28"/>
          <w:szCs w:val="28"/>
          <w:lang w:eastAsia="en-US"/>
        </w:rPr>
        <w:t xml:space="preserve"> ТМ, </w:t>
      </w:r>
      <w:proofErr w:type="spellStart"/>
      <w:r w:rsidRPr="00520861">
        <w:rPr>
          <w:rFonts w:eastAsiaTheme="minorHAnsi"/>
          <w:sz w:val="28"/>
          <w:szCs w:val="28"/>
          <w:lang w:eastAsia="en-US"/>
        </w:rPr>
        <w:t>Волынкина</w:t>
      </w:r>
      <w:proofErr w:type="spellEnd"/>
      <w:r w:rsidRPr="00520861">
        <w:rPr>
          <w:rFonts w:eastAsiaTheme="minorHAnsi"/>
          <w:sz w:val="28"/>
          <w:szCs w:val="28"/>
          <w:lang w:eastAsia="en-US"/>
        </w:rPr>
        <w:t xml:space="preserve"> АП, Горшков ИП, Захарченко АВ. </w:t>
      </w:r>
      <w:proofErr w:type="spellStart"/>
      <w:r w:rsidRPr="00520861">
        <w:rPr>
          <w:rFonts w:eastAsiaTheme="minorHAnsi"/>
          <w:sz w:val="28"/>
          <w:szCs w:val="28"/>
          <w:lang w:eastAsia="en-US"/>
        </w:rPr>
        <w:t>Нарушение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метаболизма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костной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ткани</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пациентов</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нарушениями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функции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щитовидной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железы</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Остеопороз и </w:t>
      </w:r>
      <w:proofErr w:type="spellStart"/>
      <w:r w:rsidRPr="00520861">
        <w:rPr>
          <w:rFonts w:eastAsiaTheme="minorHAnsi"/>
          <w:i/>
          <w:sz w:val="28"/>
          <w:szCs w:val="28"/>
          <w:lang w:eastAsia="en-US"/>
        </w:rPr>
        <w:t>остеопатии</w:t>
      </w:r>
      <w:proofErr w:type="spellEnd"/>
      <w:r w:rsidRPr="00520861">
        <w:rPr>
          <w:rFonts w:eastAsiaTheme="minorHAnsi"/>
          <w:sz w:val="28"/>
          <w:szCs w:val="28"/>
          <w:lang w:eastAsia="en-US"/>
        </w:rPr>
        <w:t>. 2016;(2):</w:t>
      </w:r>
      <w:r w:rsidRPr="00520861">
        <w:rPr>
          <w:rFonts w:eastAsiaTheme="minorHAnsi"/>
          <w:sz w:val="28"/>
          <w:szCs w:val="28"/>
          <w:lang w:val="ru-RU" w:eastAsia="en-US"/>
        </w:rPr>
        <w:t xml:space="preserve"> </w:t>
      </w:r>
      <w:r w:rsidRPr="00520861">
        <w:rPr>
          <w:rFonts w:eastAsiaTheme="minorHAnsi"/>
          <w:sz w:val="28"/>
          <w:szCs w:val="28"/>
          <w:lang w:eastAsia="en-US"/>
        </w:rPr>
        <w:t>59–60.</w:t>
      </w:r>
    </w:p>
    <w:p w14:paraId="545B66C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Чуйкин</w:t>
      </w:r>
      <w:proofErr w:type="spellEnd"/>
      <w:r w:rsidRPr="00520861">
        <w:rPr>
          <w:rFonts w:eastAsiaTheme="minorHAnsi"/>
          <w:sz w:val="28"/>
          <w:szCs w:val="28"/>
          <w:lang w:eastAsia="en-US"/>
        </w:rPr>
        <w:t xml:space="preserve"> СВ, </w:t>
      </w:r>
      <w:proofErr w:type="spellStart"/>
      <w:r w:rsidRPr="00520861">
        <w:rPr>
          <w:rFonts w:eastAsiaTheme="minorHAnsi"/>
          <w:sz w:val="28"/>
          <w:szCs w:val="28"/>
          <w:lang w:eastAsia="en-US"/>
        </w:rPr>
        <w:t>Макушева</w:t>
      </w:r>
      <w:proofErr w:type="spellEnd"/>
      <w:r w:rsidRPr="00520861">
        <w:rPr>
          <w:rFonts w:eastAsiaTheme="minorHAnsi"/>
          <w:sz w:val="28"/>
          <w:szCs w:val="28"/>
          <w:lang w:eastAsia="en-US"/>
        </w:rPr>
        <w:t xml:space="preserve"> НВ, </w:t>
      </w:r>
      <w:proofErr w:type="spellStart"/>
      <w:r w:rsidRPr="00520861">
        <w:rPr>
          <w:rFonts w:eastAsiaTheme="minorHAnsi"/>
          <w:sz w:val="28"/>
          <w:szCs w:val="28"/>
          <w:lang w:eastAsia="en-US"/>
        </w:rPr>
        <w:t>Акатьева</w:t>
      </w:r>
      <w:proofErr w:type="spellEnd"/>
      <w:r w:rsidRPr="00520861">
        <w:rPr>
          <w:rFonts w:eastAsiaTheme="minorHAnsi"/>
          <w:sz w:val="28"/>
          <w:szCs w:val="28"/>
          <w:lang w:eastAsia="en-US"/>
        </w:rPr>
        <w:t xml:space="preserve"> ГГ, </w:t>
      </w:r>
      <w:proofErr w:type="spellStart"/>
      <w:r w:rsidRPr="00520861">
        <w:rPr>
          <w:rFonts w:eastAsiaTheme="minorHAnsi"/>
          <w:sz w:val="28"/>
          <w:szCs w:val="28"/>
          <w:lang w:eastAsia="en-US"/>
        </w:rPr>
        <w:t>Бузаев</w:t>
      </w:r>
      <w:proofErr w:type="spellEnd"/>
      <w:r w:rsidRPr="00520861">
        <w:rPr>
          <w:rFonts w:eastAsiaTheme="minorHAnsi"/>
          <w:sz w:val="28"/>
          <w:szCs w:val="28"/>
          <w:lang w:eastAsia="en-US"/>
        </w:rPr>
        <w:t xml:space="preserve"> ИВ, </w:t>
      </w:r>
      <w:proofErr w:type="spellStart"/>
      <w:r w:rsidRPr="00520861">
        <w:rPr>
          <w:rFonts w:eastAsiaTheme="minorHAnsi"/>
          <w:sz w:val="28"/>
          <w:szCs w:val="28"/>
          <w:lang w:eastAsia="en-US"/>
        </w:rPr>
        <w:t>Афлаханова</w:t>
      </w:r>
      <w:proofErr w:type="spellEnd"/>
      <w:r w:rsidRPr="00520861">
        <w:rPr>
          <w:rFonts w:eastAsiaTheme="minorHAnsi"/>
          <w:sz w:val="28"/>
          <w:szCs w:val="28"/>
          <w:lang w:eastAsia="en-US"/>
        </w:rPr>
        <w:t xml:space="preserve"> ГР, </w:t>
      </w:r>
      <w:r w:rsidR="00905637" w:rsidRPr="00520861">
        <w:rPr>
          <w:rFonts w:eastAsiaTheme="minorHAnsi"/>
          <w:sz w:val="28"/>
          <w:szCs w:val="28"/>
          <w:lang w:eastAsia="en-US"/>
        </w:rPr>
        <w:br/>
      </w:r>
      <w:proofErr w:type="spellStart"/>
      <w:r w:rsidRPr="00520861">
        <w:rPr>
          <w:rFonts w:eastAsiaTheme="minorHAnsi"/>
          <w:sz w:val="28"/>
          <w:szCs w:val="28"/>
          <w:lang w:eastAsia="en-US"/>
        </w:rPr>
        <w:t>Егорова</w:t>
      </w:r>
      <w:proofErr w:type="spellEnd"/>
      <w:r w:rsidRPr="00520861">
        <w:rPr>
          <w:rFonts w:eastAsiaTheme="minorHAnsi"/>
          <w:sz w:val="28"/>
          <w:szCs w:val="28"/>
          <w:lang w:val="en-US" w:eastAsia="en-US"/>
        </w:rPr>
        <w:t> </w:t>
      </w:r>
      <w:r w:rsidRPr="00520861">
        <w:rPr>
          <w:rFonts w:eastAsiaTheme="minorHAnsi"/>
          <w:sz w:val="28"/>
          <w:szCs w:val="28"/>
          <w:lang w:eastAsia="en-US"/>
        </w:rPr>
        <w:t xml:space="preserve">ЕГ. </w:t>
      </w:r>
      <w:proofErr w:type="spellStart"/>
      <w:r w:rsidRPr="00520861">
        <w:rPr>
          <w:rFonts w:eastAsiaTheme="minorHAnsi"/>
          <w:sz w:val="28"/>
          <w:szCs w:val="28"/>
          <w:lang w:eastAsia="en-US"/>
        </w:rPr>
        <w:t>Чувствительность</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дентина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пациентов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со</w:t>
      </w:r>
      <w:proofErr w:type="spellEnd"/>
      <w:r w:rsidRPr="00520861">
        <w:rPr>
          <w:rFonts w:eastAsiaTheme="minorHAnsi"/>
          <w:sz w:val="28"/>
          <w:szCs w:val="28"/>
          <w:lang w:eastAsia="en-US"/>
        </w:rPr>
        <w:t xml:space="preserve"> стенозами </w:t>
      </w:r>
      <w:proofErr w:type="spellStart"/>
      <w:r w:rsidRPr="00520861">
        <w:rPr>
          <w:rFonts w:eastAsiaTheme="minorHAnsi"/>
          <w:sz w:val="28"/>
          <w:szCs w:val="28"/>
          <w:lang w:eastAsia="en-US"/>
        </w:rPr>
        <w:t>сонных</w:t>
      </w:r>
      <w:proofErr w:type="spellEnd"/>
      <w:r w:rsidRPr="00520861">
        <w:rPr>
          <w:rFonts w:eastAsiaTheme="minorHAnsi"/>
          <w:sz w:val="28"/>
          <w:szCs w:val="28"/>
          <w:lang w:eastAsia="en-US"/>
        </w:rPr>
        <w:t xml:space="preserve"> артерій</w:t>
      </w:r>
      <w:r w:rsidRPr="00520861">
        <w:rPr>
          <w:rFonts w:eastAsiaTheme="minorHAnsi"/>
          <w:sz w:val="28"/>
          <w:szCs w:val="28"/>
          <w:lang w:val="ru-RU"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Проблемы</w:t>
      </w:r>
      <w:proofErr w:type="spellEnd"/>
      <w:r w:rsidRPr="00520861">
        <w:rPr>
          <w:rFonts w:eastAsiaTheme="minorHAnsi"/>
          <w:i/>
          <w:sz w:val="28"/>
          <w:szCs w:val="28"/>
          <w:lang w:eastAsia="en-US"/>
        </w:rPr>
        <w:t xml:space="preserve"> стоматологи</w:t>
      </w:r>
      <w:r w:rsidRPr="00520861">
        <w:rPr>
          <w:rFonts w:eastAsiaTheme="minorHAnsi"/>
          <w:i/>
          <w:sz w:val="28"/>
          <w:szCs w:val="28"/>
          <w:lang w:val="ru-RU" w:eastAsia="en-US"/>
        </w:rPr>
        <w:t>и</w:t>
      </w:r>
      <w:r w:rsidRPr="00520861">
        <w:rPr>
          <w:rFonts w:eastAsiaTheme="minorHAnsi"/>
          <w:sz w:val="28"/>
          <w:szCs w:val="28"/>
          <w:lang w:val="ru-RU" w:eastAsia="en-US"/>
        </w:rPr>
        <w:t>.</w:t>
      </w:r>
      <w:r w:rsidRPr="00520861">
        <w:rPr>
          <w:rFonts w:eastAsiaTheme="minorHAnsi"/>
          <w:sz w:val="28"/>
          <w:szCs w:val="28"/>
          <w:lang w:eastAsia="en-US"/>
        </w:rPr>
        <w:t xml:space="preserve"> 2018;14(1): 47–51. Доступно на: </w:t>
      </w:r>
      <w:r w:rsidRPr="00520861">
        <w:rPr>
          <w:rFonts w:eastAsiaTheme="minorHAnsi"/>
          <w:sz w:val="28"/>
          <w:szCs w:val="28"/>
          <w:lang w:val="en-US" w:eastAsia="en-US"/>
        </w:rPr>
        <w:t>DOI</w:t>
      </w:r>
      <w:r w:rsidRPr="00520861">
        <w:rPr>
          <w:rFonts w:eastAsiaTheme="minorHAnsi"/>
          <w:sz w:val="28"/>
          <w:szCs w:val="28"/>
          <w:lang w:eastAsia="en-US"/>
        </w:rPr>
        <w:t>: 10.24411/2077-7566-2018-10009.</w:t>
      </w:r>
    </w:p>
    <w:p w14:paraId="5182DBE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Чурилина</w:t>
      </w:r>
      <w:proofErr w:type="spellEnd"/>
      <w:r w:rsidRPr="00520861">
        <w:rPr>
          <w:rFonts w:eastAsiaTheme="minorHAnsi"/>
          <w:sz w:val="28"/>
          <w:szCs w:val="28"/>
          <w:lang w:eastAsia="en-US"/>
        </w:rPr>
        <w:t xml:space="preserve"> АВ, </w:t>
      </w:r>
      <w:proofErr w:type="spellStart"/>
      <w:r w:rsidRPr="00520861">
        <w:rPr>
          <w:rFonts w:eastAsiaTheme="minorHAnsi"/>
          <w:sz w:val="28"/>
          <w:szCs w:val="28"/>
          <w:lang w:eastAsia="en-US"/>
        </w:rPr>
        <w:t>Москалюк</w:t>
      </w:r>
      <w:proofErr w:type="spellEnd"/>
      <w:r w:rsidRPr="00520861">
        <w:rPr>
          <w:rFonts w:eastAsiaTheme="minorHAnsi"/>
          <w:sz w:val="28"/>
          <w:szCs w:val="28"/>
          <w:lang w:eastAsia="en-US"/>
        </w:rPr>
        <w:t xml:space="preserve"> ОН, </w:t>
      </w:r>
      <w:proofErr w:type="spellStart"/>
      <w:r w:rsidRPr="00520861">
        <w:rPr>
          <w:rFonts w:eastAsiaTheme="minorHAnsi"/>
          <w:sz w:val="28"/>
          <w:szCs w:val="28"/>
          <w:lang w:eastAsia="en-US"/>
        </w:rPr>
        <w:t>Чалая</w:t>
      </w:r>
      <w:proofErr w:type="spellEnd"/>
      <w:r w:rsidRPr="00520861">
        <w:rPr>
          <w:rFonts w:eastAsiaTheme="minorHAnsi"/>
          <w:sz w:val="28"/>
          <w:szCs w:val="28"/>
          <w:lang w:eastAsia="en-US"/>
        </w:rPr>
        <w:t xml:space="preserve"> ЛФ, </w:t>
      </w:r>
      <w:proofErr w:type="spellStart"/>
      <w:r w:rsidRPr="00520861">
        <w:rPr>
          <w:rFonts w:eastAsiaTheme="minorHAnsi"/>
          <w:sz w:val="28"/>
          <w:szCs w:val="28"/>
          <w:lang w:eastAsia="en-US"/>
        </w:rPr>
        <w:t>Кукузова</w:t>
      </w:r>
      <w:proofErr w:type="spellEnd"/>
      <w:r w:rsidRPr="00520861">
        <w:rPr>
          <w:rFonts w:eastAsiaTheme="minorHAnsi"/>
          <w:sz w:val="28"/>
          <w:szCs w:val="28"/>
          <w:lang w:eastAsia="en-US"/>
        </w:rPr>
        <w:t xml:space="preserve"> ГВ, Лялька ЛВ, </w:t>
      </w:r>
      <w:proofErr w:type="spellStart"/>
      <w:r w:rsidRPr="00520861">
        <w:rPr>
          <w:rFonts w:eastAsiaTheme="minorHAnsi"/>
          <w:sz w:val="28"/>
          <w:szCs w:val="28"/>
          <w:lang w:eastAsia="en-US"/>
        </w:rPr>
        <w:t>Качмар</w:t>
      </w:r>
      <w:proofErr w:type="spellEnd"/>
      <w:r w:rsidRPr="00520861">
        <w:rPr>
          <w:rFonts w:eastAsiaTheme="minorHAnsi"/>
          <w:sz w:val="28"/>
          <w:szCs w:val="28"/>
          <w:lang w:val="en-US" w:eastAsia="en-US"/>
        </w:rPr>
        <w:t> </w:t>
      </w:r>
      <w:r w:rsidRPr="00520861">
        <w:rPr>
          <w:rFonts w:eastAsiaTheme="minorHAnsi"/>
          <w:sz w:val="28"/>
          <w:szCs w:val="28"/>
          <w:lang w:eastAsia="en-US"/>
        </w:rPr>
        <w:t xml:space="preserve">ИН. </w:t>
      </w:r>
      <w:proofErr w:type="spellStart"/>
      <w:r w:rsidRPr="00520861">
        <w:rPr>
          <w:rFonts w:eastAsiaTheme="minorHAnsi"/>
          <w:sz w:val="28"/>
          <w:szCs w:val="28"/>
          <w:lang w:eastAsia="en-US"/>
        </w:rPr>
        <w:t>Клинические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синдромы</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дисплазии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соединительной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ткани</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детей</w:t>
      </w:r>
      <w:proofErr w:type="spellEnd"/>
      <w:r w:rsidRPr="00520861">
        <w:rPr>
          <w:rFonts w:eastAsiaTheme="minorHAnsi"/>
          <w:sz w:val="28"/>
          <w:szCs w:val="28"/>
          <w:lang w:eastAsia="en-US"/>
        </w:rPr>
        <w:t xml:space="preserve"> с </w:t>
      </w:r>
      <w:proofErr w:type="spellStart"/>
      <w:r w:rsidRPr="00520861">
        <w:rPr>
          <w:rFonts w:eastAsiaTheme="minorHAnsi"/>
          <w:sz w:val="28"/>
          <w:szCs w:val="28"/>
          <w:lang w:eastAsia="en-US"/>
        </w:rPr>
        <w:t>пролапсом</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митрального</w:t>
      </w:r>
      <w:proofErr w:type="spellEnd"/>
      <w:r w:rsidRPr="00520861">
        <w:rPr>
          <w:rFonts w:eastAsiaTheme="minorHAnsi"/>
          <w:sz w:val="28"/>
          <w:szCs w:val="28"/>
          <w:lang w:eastAsia="en-US"/>
        </w:rPr>
        <w:t xml:space="preserve"> клапана. </w:t>
      </w:r>
      <w:r w:rsidRPr="00520861">
        <w:rPr>
          <w:rFonts w:eastAsiaTheme="minorHAnsi"/>
          <w:i/>
          <w:sz w:val="28"/>
          <w:szCs w:val="28"/>
          <w:lang w:eastAsia="en-US"/>
        </w:rPr>
        <w:t>Питання експериментальної та клінічної медицини</w:t>
      </w:r>
      <w:r w:rsidRPr="00520861">
        <w:rPr>
          <w:rFonts w:eastAsiaTheme="minorHAnsi"/>
          <w:sz w:val="28"/>
          <w:szCs w:val="28"/>
          <w:lang w:val="ru-RU" w:eastAsia="en-US"/>
        </w:rPr>
        <w:t>.</w:t>
      </w:r>
      <w:r w:rsidRPr="00520861">
        <w:rPr>
          <w:rFonts w:eastAsiaTheme="minorHAnsi"/>
          <w:sz w:val="28"/>
          <w:szCs w:val="28"/>
          <w:lang w:eastAsia="en-US"/>
        </w:rPr>
        <w:t xml:space="preserve"> 2012</w:t>
      </w:r>
      <w:r w:rsidRPr="00520861">
        <w:rPr>
          <w:rFonts w:eastAsiaTheme="minorHAnsi"/>
          <w:sz w:val="28"/>
          <w:szCs w:val="28"/>
          <w:lang w:val="ru-RU" w:eastAsia="en-US"/>
        </w:rPr>
        <w:t>;</w:t>
      </w:r>
      <w:r w:rsidRPr="00520861">
        <w:rPr>
          <w:rFonts w:eastAsiaTheme="minorHAnsi"/>
          <w:sz w:val="28"/>
          <w:szCs w:val="28"/>
          <w:lang w:eastAsia="en-US"/>
        </w:rPr>
        <w:t>3(16)</w:t>
      </w:r>
      <w:r w:rsidRPr="00520861">
        <w:rPr>
          <w:rFonts w:eastAsiaTheme="minorHAnsi"/>
          <w:sz w:val="28"/>
          <w:szCs w:val="28"/>
          <w:lang w:val="ru-RU" w:eastAsia="en-US"/>
        </w:rPr>
        <w:t>:</w:t>
      </w:r>
      <w:r w:rsidRPr="00520861">
        <w:rPr>
          <w:rFonts w:eastAsiaTheme="minorHAnsi"/>
          <w:sz w:val="28"/>
          <w:szCs w:val="28"/>
          <w:lang w:eastAsia="en-US"/>
        </w:rPr>
        <w:t xml:space="preserve"> 316–</w:t>
      </w:r>
      <w:r w:rsidRPr="00520861">
        <w:rPr>
          <w:rFonts w:eastAsiaTheme="minorHAnsi"/>
          <w:sz w:val="28"/>
          <w:szCs w:val="28"/>
          <w:lang w:val="ru-RU" w:eastAsia="en-US"/>
        </w:rPr>
        <w:t>3</w:t>
      </w:r>
      <w:r w:rsidRPr="00520861">
        <w:rPr>
          <w:rFonts w:eastAsiaTheme="minorHAnsi"/>
          <w:sz w:val="28"/>
          <w:szCs w:val="28"/>
          <w:lang w:eastAsia="en-US"/>
        </w:rPr>
        <w:t xml:space="preserve">19. </w:t>
      </w:r>
    </w:p>
    <w:p w14:paraId="243BE1B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Шварцнау</w:t>
      </w:r>
      <w:proofErr w:type="spellEnd"/>
      <w:r w:rsidRPr="00520861">
        <w:rPr>
          <w:rFonts w:eastAsiaTheme="minorHAnsi"/>
          <w:sz w:val="28"/>
          <w:szCs w:val="28"/>
          <w:lang w:eastAsia="en-US"/>
        </w:rPr>
        <w:t xml:space="preserve"> ЕГ, Ковач ИВ. </w:t>
      </w:r>
      <w:proofErr w:type="spellStart"/>
      <w:r w:rsidRPr="00520861">
        <w:rPr>
          <w:rFonts w:eastAsiaTheme="minorHAnsi"/>
          <w:sz w:val="28"/>
          <w:szCs w:val="28"/>
          <w:lang w:eastAsia="en-US"/>
        </w:rPr>
        <w:t>Состояние</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твердых</w:t>
      </w:r>
      <w:proofErr w:type="spellEnd"/>
      <w:r w:rsidRPr="00520861">
        <w:rPr>
          <w:rFonts w:eastAsiaTheme="minorHAnsi"/>
          <w:sz w:val="28"/>
          <w:szCs w:val="28"/>
          <w:lang w:eastAsia="en-US"/>
        </w:rPr>
        <w:t xml:space="preserve"> тканей </w:t>
      </w:r>
      <w:proofErr w:type="spellStart"/>
      <w:r w:rsidRPr="00520861">
        <w:rPr>
          <w:rFonts w:eastAsiaTheme="minorHAnsi"/>
          <w:sz w:val="28"/>
          <w:szCs w:val="28"/>
          <w:lang w:eastAsia="en-US"/>
        </w:rPr>
        <w:t>зубов</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у </w:t>
      </w:r>
      <w:proofErr w:type="spellStart"/>
      <w:r w:rsidRPr="00520861">
        <w:rPr>
          <w:rFonts w:eastAsiaTheme="minorHAnsi"/>
          <w:sz w:val="28"/>
          <w:szCs w:val="28"/>
          <w:lang w:eastAsia="en-US"/>
        </w:rPr>
        <w:t>студентов</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медицинских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учебных</w:t>
      </w:r>
      <w:proofErr w:type="spellEnd"/>
      <w:r w:rsidRPr="00520861">
        <w:rPr>
          <w:rFonts w:eastAsiaTheme="minorHAnsi"/>
          <w:sz w:val="28"/>
          <w:szCs w:val="28"/>
          <w:lang w:eastAsia="en-US"/>
        </w:rPr>
        <w:t xml:space="preserve"> заведений. </w:t>
      </w:r>
      <w:proofErr w:type="spellStart"/>
      <w:r w:rsidRPr="00520861">
        <w:rPr>
          <w:rFonts w:eastAsiaTheme="minorHAnsi"/>
          <w:i/>
          <w:sz w:val="28"/>
          <w:szCs w:val="28"/>
          <w:lang w:eastAsia="en-US"/>
        </w:rPr>
        <w:t>Современная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стоматология</w:t>
      </w:r>
      <w:proofErr w:type="spellEnd"/>
      <w:r w:rsidRPr="00520861">
        <w:rPr>
          <w:rFonts w:eastAsiaTheme="minorHAnsi"/>
          <w:sz w:val="28"/>
          <w:szCs w:val="28"/>
          <w:lang w:eastAsia="en-US"/>
        </w:rPr>
        <w:t>. 2015</w:t>
      </w:r>
      <w:r w:rsidRPr="00520861">
        <w:rPr>
          <w:rFonts w:eastAsiaTheme="minorHAnsi"/>
          <w:sz w:val="28"/>
          <w:szCs w:val="28"/>
          <w:lang w:val="ru-RU" w:eastAsia="en-US"/>
        </w:rPr>
        <w:t>;(</w:t>
      </w:r>
      <w:r w:rsidRPr="00520861">
        <w:rPr>
          <w:rFonts w:eastAsiaTheme="minorHAnsi"/>
          <w:sz w:val="28"/>
          <w:szCs w:val="28"/>
          <w:lang w:eastAsia="en-US"/>
        </w:rPr>
        <w:t>3</w:t>
      </w:r>
      <w:r w:rsidRPr="00520861">
        <w:rPr>
          <w:rFonts w:eastAsiaTheme="minorHAnsi"/>
          <w:sz w:val="28"/>
          <w:szCs w:val="28"/>
          <w:lang w:val="ru-RU" w:eastAsia="en-US"/>
        </w:rPr>
        <w:t xml:space="preserve">): </w:t>
      </w:r>
      <w:r w:rsidRPr="00520861">
        <w:rPr>
          <w:rFonts w:eastAsiaTheme="minorHAnsi"/>
          <w:sz w:val="28"/>
          <w:szCs w:val="28"/>
          <w:lang w:eastAsia="en-US"/>
        </w:rPr>
        <w:t>9–13. Доступно на: http://nbuv.gov.ua/UJRN/ss_2015_3_4</w:t>
      </w:r>
      <w:r w:rsidRPr="00520861">
        <w:rPr>
          <w:rFonts w:eastAsiaTheme="minorHAnsi"/>
          <w:sz w:val="28"/>
          <w:szCs w:val="28"/>
          <w:lang w:val="ru-RU" w:eastAsia="en-US"/>
        </w:rPr>
        <w:t>.</w:t>
      </w:r>
    </w:p>
    <w:p w14:paraId="284E584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Шевченко КВ, </w:t>
      </w:r>
      <w:proofErr w:type="spellStart"/>
      <w:r w:rsidRPr="00520861">
        <w:rPr>
          <w:rFonts w:eastAsiaTheme="minorHAnsi"/>
          <w:sz w:val="28"/>
          <w:szCs w:val="28"/>
          <w:lang w:eastAsia="en-US"/>
        </w:rPr>
        <w:t>Єрошенко</w:t>
      </w:r>
      <w:proofErr w:type="spellEnd"/>
      <w:r w:rsidRPr="00520861">
        <w:rPr>
          <w:rFonts w:eastAsiaTheme="minorHAnsi"/>
          <w:sz w:val="28"/>
          <w:szCs w:val="28"/>
          <w:lang w:eastAsia="en-US"/>
        </w:rPr>
        <w:t xml:space="preserve"> ГА, Проніна ОМ, Крамаренко ДР, </w:t>
      </w:r>
      <w:proofErr w:type="spellStart"/>
      <w:r w:rsidRPr="00520861">
        <w:rPr>
          <w:rFonts w:eastAsiaTheme="minorHAnsi"/>
          <w:sz w:val="28"/>
          <w:szCs w:val="28"/>
          <w:lang w:eastAsia="en-US"/>
        </w:rPr>
        <w:t>Кудинов</w:t>
      </w:r>
      <w:proofErr w:type="spellEnd"/>
      <w:r w:rsidRPr="00520861">
        <w:rPr>
          <w:rFonts w:eastAsiaTheme="minorHAnsi"/>
          <w:sz w:val="28"/>
          <w:szCs w:val="28"/>
          <w:lang w:eastAsia="en-US"/>
        </w:rPr>
        <w:t xml:space="preserve"> МВ. Сучасні уявлення про структурно-функціональну організацію слинних залоз. </w:t>
      </w:r>
      <w:r w:rsidRPr="00520861">
        <w:rPr>
          <w:rFonts w:eastAsiaTheme="minorHAnsi"/>
          <w:i/>
          <w:sz w:val="28"/>
          <w:szCs w:val="28"/>
          <w:lang w:eastAsia="en-US"/>
        </w:rPr>
        <w:t>Вісник проблем біології</w:t>
      </w:r>
      <w:r w:rsidRPr="00520861">
        <w:rPr>
          <w:rFonts w:eastAsiaTheme="minorHAnsi"/>
          <w:sz w:val="28"/>
          <w:szCs w:val="28"/>
          <w:lang w:val="ru-RU" w:eastAsia="en-US"/>
        </w:rPr>
        <w:t xml:space="preserve">. </w:t>
      </w:r>
      <w:r w:rsidRPr="00520861">
        <w:rPr>
          <w:rFonts w:eastAsiaTheme="minorHAnsi"/>
          <w:sz w:val="28"/>
          <w:szCs w:val="28"/>
          <w:lang w:eastAsia="en-US"/>
        </w:rPr>
        <w:t>2018</w:t>
      </w:r>
      <w:r w:rsidRPr="00520861">
        <w:rPr>
          <w:rFonts w:eastAsiaTheme="minorHAnsi"/>
          <w:sz w:val="28"/>
          <w:szCs w:val="28"/>
          <w:lang w:val="ru-RU" w:eastAsia="en-US"/>
        </w:rPr>
        <w:t>;</w:t>
      </w:r>
      <w:r w:rsidRPr="00520861">
        <w:rPr>
          <w:rFonts w:eastAsiaTheme="minorHAnsi"/>
          <w:sz w:val="28"/>
          <w:szCs w:val="28"/>
          <w:lang w:eastAsia="en-US"/>
        </w:rPr>
        <w:t>(3)</w:t>
      </w:r>
      <w:r w:rsidRPr="00520861">
        <w:rPr>
          <w:rFonts w:eastAsiaTheme="minorHAnsi"/>
          <w:sz w:val="28"/>
          <w:szCs w:val="28"/>
          <w:lang w:val="ru-RU" w:eastAsia="en-US"/>
        </w:rPr>
        <w:t>:</w:t>
      </w:r>
      <w:r w:rsidRPr="00520861">
        <w:rPr>
          <w:rFonts w:eastAsiaTheme="minorHAnsi"/>
          <w:sz w:val="28"/>
          <w:szCs w:val="28"/>
          <w:lang w:eastAsia="en-US"/>
        </w:rPr>
        <w:t xml:space="preserve"> 50–58. Доступно на: DOI</w:t>
      </w:r>
      <w:r w:rsidRPr="00520861">
        <w:rPr>
          <w:rFonts w:eastAsiaTheme="minorHAnsi"/>
          <w:sz w:val="28"/>
          <w:szCs w:val="28"/>
          <w:lang w:val="ru-RU" w:eastAsia="en-US"/>
        </w:rPr>
        <w:t>:</w:t>
      </w:r>
      <w:r w:rsidRPr="00520861">
        <w:rPr>
          <w:rFonts w:eastAsiaTheme="minorHAnsi"/>
          <w:sz w:val="28"/>
          <w:szCs w:val="28"/>
          <w:lang w:eastAsia="en-US"/>
        </w:rPr>
        <w:t xml:space="preserve"> 10.29254/2077-4214-2018-3-145-50-58</w:t>
      </w:r>
      <w:r w:rsidRPr="00520861">
        <w:rPr>
          <w:rFonts w:eastAsiaTheme="minorHAnsi"/>
          <w:sz w:val="28"/>
          <w:szCs w:val="28"/>
          <w:lang w:val="ru-RU" w:eastAsia="en-US"/>
        </w:rPr>
        <w:t>.</w:t>
      </w:r>
    </w:p>
    <w:p w14:paraId="609CB9B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Широбоков ВП. </w:t>
      </w:r>
      <w:proofErr w:type="spellStart"/>
      <w:r w:rsidRPr="00520861">
        <w:rPr>
          <w:rFonts w:eastAsiaTheme="minorHAnsi"/>
          <w:i/>
          <w:sz w:val="28"/>
          <w:szCs w:val="28"/>
          <w:lang w:eastAsia="en-US"/>
        </w:rPr>
        <w:t>Медицинская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микробиология</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вирусология</w:t>
      </w:r>
      <w:proofErr w:type="spellEnd"/>
      <w:r w:rsidRPr="00520861">
        <w:rPr>
          <w:rFonts w:eastAsiaTheme="minorHAnsi"/>
          <w:i/>
          <w:sz w:val="28"/>
          <w:szCs w:val="28"/>
          <w:lang w:eastAsia="en-US"/>
        </w:rPr>
        <w:t xml:space="preserve"> и </w:t>
      </w:r>
      <w:proofErr w:type="spellStart"/>
      <w:r w:rsidRPr="00520861">
        <w:rPr>
          <w:rFonts w:eastAsiaTheme="minorHAnsi"/>
          <w:i/>
          <w:sz w:val="28"/>
          <w:szCs w:val="28"/>
          <w:lang w:eastAsia="en-US"/>
        </w:rPr>
        <w:t>иммунология</w:t>
      </w:r>
      <w:proofErr w:type="spellEnd"/>
      <w:r w:rsidRPr="00520861">
        <w:rPr>
          <w:rFonts w:eastAsiaTheme="minorHAnsi"/>
          <w:sz w:val="28"/>
          <w:szCs w:val="28"/>
          <w:lang w:eastAsia="en-US"/>
        </w:rPr>
        <w:t xml:space="preserve">. </w:t>
      </w:r>
      <w:r w:rsidR="00905637" w:rsidRPr="00520861">
        <w:rPr>
          <w:rFonts w:eastAsiaTheme="minorHAnsi"/>
          <w:sz w:val="28"/>
          <w:szCs w:val="28"/>
          <w:lang w:eastAsia="en-US"/>
        </w:rPr>
        <w:br/>
      </w:r>
      <w:r w:rsidRPr="00520861">
        <w:rPr>
          <w:rFonts w:eastAsiaTheme="minorHAnsi"/>
          <w:sz w:val="28"/>
          <w:szCs w:val="28"/>
          <w:lang w:eastAsia="en-US"/>
        </w:rPr>
        <w:t xml:space="preserve">Вінниця: Нова Книга; 2015. 858 с. </w:t>
      </w:r>
    </w:p>
    <w:p w14:paraId="778D5DD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Щерба ВВ, </w:t>
      </w:r>
      <w:proofErr w:type="spellStart"/>
      <w:r w:rsidRPr="00520861">
        <w:rPr>
          <w:rFonts w:eastAsiaTheme="minorHAnsi"/>
          <w:sz w:val="28"/>
          <w:szCs w:val="28"/>
          <w:lang w:eastAsia="en-US"/>
        </w:rPr>
        <w:t>Криницька</w:t>
      </w:r>
      <w:proofErr w:type="spellEnd"/>
      <w:r w:rsidRPr="00520861">
        <w:rPr>
          <w:rFonts w:eastAsiaTheme="minorHAnsi"/>
          <w:sz w:val="28"/>
          <w:szCs w:val="28"/>
          <w:lang w:eastAsia="en-US"/>
        </w:rPr>
        <w:t xml:space="preserve"> ІЯ, </w:t>
      </w:r>
      <w:proofErr w:type="spellStart"/>
      <w:r w:rsidRPr="00520861">
        <w:rPr>
          <w:rFonts w:eastAsiaTheme="minorHAnsi"/>
          <w:sz w:val="28"/>
          <w:szCs w:val="28"/>
          <w:lang w:eastAsia="en-US"/>
        </w:rPr>
        <w:t>Мачоган</w:t>
      </w:r>
      <w:proofErr w:type="spellEnd"/>
      <w:r w:rsidRPr="00520861">
        <w:rPr>
          <w:rFonts w:eastAsiaTheme="minorHAnsi"/>
          <w:sz w:val="28"/>
          <w:szCs w:val="28"/>
          <w:lang w:eastAsia="en-US"/>
        </w:rPr>
        <w:t xml:space="preserve"> ВР, Корда ММ. Показники кісткового </w:t>
      </w:r>
      <w:r w:rsidR="00905637" w:rsidRPr="00520861">
        <w:rPr>
          <w:rFonts w:eastAsiaTheme="minorHAnsi"/>
          <w:sz w:val="28"/>
          <w:szCs w:val="28"/>
          <w:lang w:eastAsia="en-US"/>
        </w:rPr>
        <w:br/>
      </w:r>
      <w:r w:rsidRPr="00520861">
        <w:rPr>
          <w:rFonts w:eastAsiaTheme="minorHAnsi"/>
          <w:sz w:val="28"/>
          <w:szCs w:val="28"/>
          <w:lang w:eastAsia="en-US"/>
        </w:rPr>
        <w:t xml:space="preserve">метаболізму у щурів з </w:t>
      </w:r>
      <w:proofErr w:type="spellStart"/>
      <w:r w:rsidRPr="00520861">
        <w:rPr>
          <w:rFonts w:eastAsiaTheme="minorHAnsi"/>
          <w:sz w:val="28"/>
          <w:szCs w:val="28"/>
          <w:lang w:eastAsia="en-US"/>
        </w:rPr>
        <w:t>пародонтитом</w:t>
      </w:r>
      <w:proofErr w:type="spellEnd"/>
      <w:r w:rsidRPr="00520861">
        <w:rPr>
          <w:rFonts w:eastAsiaTheme="minorHAnsi"/>
          <w:sz w:val="28"/>
          <w:szCs w:val="28"/>
          <w:lang w:eastAsia="en-US"/>
        </w:rPr>
        <w:t xml:space="preserve"> на фоні </w:t>
      </w:r>
      <w:proofErr w:type="spellStart"/>
      <w:r w:rsidRPr="00520861">
        <w:rPr>
          <w:rFonts w:eastAsiaTheme="minorHAnsi"/>
          <w:sz w:val="28"/>
          <w:szCs w:val="28"/>
          <w:lang w:eastAsia="en-US"/>
        </w:rPr>
        <w:t>гіпер</w:t>
      </w:r>
      <w:proofErr w:type="spellEnd"/>
      <w:r w:rsidRPr="00520861">
        <w:rPr>
          <w:rFonts w:eastAsiaTheme="minorHAnsi"/>
          <w:sz w:val="28"/>
          <w:szCs w:val="28"/>
          <w:lang w:eastAsia="en-US"/>
        </w:rPr>
        <w:t>- та гіпотиреозу</w:t>
      </w:r>
      <w:r w:rsidRPr="00520861">
        <w:rPr>
          <w:rFonts w:eastAsiaTheme="minorHAnsi"/>
          <w:sz w:val="28"/>
          <w:szCs w:val="28"/>
          <w:lang w:val="ru-RU" w:eastAsia="en-US"/>
        </w:rPr>
        <w:t>.</w:t>
      </w:r>
      <w:r w:rsidRPr="00520861">
        <w:rPr>
          <w:rFonts w:eastAsiaTheme="minorHAnsi"/>
          <w:sz w:val="28"/>
          <w:szCs w:val="28"/>
          <w:lang w:eastAsia="en-US"/>
        </w:rPr>
        <w:t xml:space="preserve"> </w:t>
      </w:r>
      <w:r w:rsidRPr="00520861">
        <w:rPr>
          <w:rFonts w:eastAsiaTheme="minorHAnsi"/>
          <w:i/>
          <w:sz w:val="28"/>
          <w:szCs w:val="28"/>
          <w:lang w:eastAsia="en-US"/>
        </w:rPr>
        <w:t>Здобутки клінічної i експериментальної медицини</w:t>
      </w:r>
      <w:r w:rsidRPr="00520861">
        <w:rPr>
          <w:rFonts w:eastAsiaTheme="minorHAnsi"/>
          <w:sz w:val="28"/>
          <w:szCs w:val="28"/>
          <w:lang w:eastAsia="en-US"/>
        </w:rPr>
        <w:t>. 2017</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 xml:space="preserve">): </w:t>
      </w:r>
      <w:r w:rsidRPr="00520861">
        <w:rPr>
          <w:rFonts w:eastAsiaTheme="minorHAnsi"/>
          <w:sz w:val="28"/>
          <w:szCs w:val="28"/>
          <w:lang w:eastAsia="en-US"/>
        </w:rPr>
        <w:t>31–38. Доступно на: http://nbuv.gov.ua/UJRN/Zkem_2017_4_7.</w:t>
      </w:r>
    </w:p>
    <w:p w14:paraId="05571D4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lastRenderedPageBreak/>
        <w:t xml:space="preserve">Щербатих ЛЮ. Хронічний </w:t>
      </w:r>
      <w:proofErr w:type="spellStart"/>
      <w:r w:rsidRPr="00520861">
        <w:rPr>
          <w:rFonts w:eastAsiaTheme="minorHAnsi"/>
          <w:sz w:val="28"/>
          <w:szCs w:val="28"/>
          <w:lang w:eastAsia="en-US"/>
        </w:rPr>
        <w:t>генералізований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пародонтит</w:t>
      </w:r>
      <w:proofErr w:type="spellEnd"/>
      <w:r w:rsidRPr="00520861">
        <w:rPr>
          <w:rFonts w:eastAsiaTheme="minorHAnsi"/>
          <w:sz w:val="28"/>
          <w:szCs w:val="28"/>
          <w:lang w:eastAsia="en-US"/>
        </w:rPr>
        <w:t xml:space="preserve"> на тлі гіпертонічної хвороби. </w:t>
      </w:r>
      <w:r w:rsidRPr="00520861">
        <w:rPr>
          <w:rFonts w:eastAsiaTheme="minorHAnsi"/>
          <w:i/>
          <w:sz w:val="28"/>
          <w:szCs w:val="28"/>
          <w:lang w:eastAsia="en-US"/>
        </w:rPr>
        <w:t xml:space="preserve">Актуальні проблеми сучасної медицини: Вісник української медичної </w:t>
      </w:r>
      <w:r w:rsidR="00905637" w:rsidRPr="00520861">
        <w:rPr>
          <w:rFonts w:eastAsiaTheme="minorHAnsi"/>
          <w:i/>
          <w:sz w:val="28"/>
          <w:szCs w:val="28"/>
          <w:lang w:eastAsia="en-US"/>
        </w:rPr>
        <w:br/>
      </w:r>
      <w:r w:rsidRPr="00520861">
        <w:rPr>
          <w:rFonts w:eastAsiaTheme="minorHAnsi"/>
          <w:i/>
          <w:sz w:val="28"/>
          <w:szCs w:val="28"/>
          <w:lang w:eastAsia="en-US"/>
        </w:rPr>
        <w:t>стоматологічної академії</w:t>
      </w:r>
      <w:r w:rsidRPr="00520861">
        <w:rPr>
          <w:rFonts w:eastAsiaTheme="minorHAnsi"/>
          <w:sz w:val="28"/>
          <w:szCs w:val="28"/>
          <w:lang w:eastAsia="en-US"/>
        </w:rPr>
        <w:t>. 2012;12(1-2): 263–266.</w:t>
      </w:r>
    </w:p>
    <w:p w14:paraId="7A0B5B4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Яковлева ВИ. </w:t>
      </w:r>
      <w:proofErr w:type="spellStart"/>
      <w:r w:rsidRPr="00520861">
        <w:rPr>
          <w:rFonts w:eastAsiaTheme="minorHAnsi"/>
          <w:sz w:val="28"/>
          <w:szCs w:val="28"/>
          <w:lang w:eastAsia="en-US"/>
        </w:rPr>
        <w:t>Способ</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количественного</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определения</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секрета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мелких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слюнных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желез</w:t>
      </w:r>
      <w:proofErr w:type="spellEnd"/>
      <w:r w:rsidRPr="00520861">
        <w:rPr>
          <w:rFonts w:eastAsiaTheme="minorHAnsi"/>
          <w:i/>
          <w:sz w:val="28"/>
          <w:szCs w:val="28"/>
          <w:lang w:val="ru-RU" w:eastAsia="en-US"/>
        </w:rPr>
        <w:t>.</w:t>
      </w:r>
      <w:r w:rsidRPr="00520861">
        <w:rPr>
          <w:rFonts w:eastAsiaTheme="minorHAnsi"/>
          <w:i/>
          <w:sz w:val="28"/>
          <w:szCs w:val="28"/>
          <w:lang w:eastAsia="en-US"/>
        </w:rPr>
        <w:t xml:space="preserve"> </w:t>
      </w:r>
      <w:proofErr w:type="spellStart"/>
      <w:r w:rsidRPr="00520861">
        <w:rPr>
          <w:rFonts w:eastAsiaTheme="minorHAnsi"/>
          <w:i/>
          <w:sz w:val="28"/>
          <w:szCs w:val="28"/>
          <w:lang w:eastAsia="en-US"/>
        </w:rPr>
        <w:t>Здравоохранение</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Белоруссии</w:t>
      </w:r>
      <w:proofErr w:type="spellEnd"/>
      <w:r w:rsidRPr="00520861">
        <w:rPr>
          <w:rFonts w:eastAsiaTheme="minorHAnsi"/>
          <w:sz w:val="28"/>
          <w:szCs w:val="28"/>
          <w:lang w:val="ru-RU" w:eastAsia="en-US"/>
        </w:rPr>
        <w:t xml:space="preserve">. </w:t>
      </w:r>
      <w:r w:rsidRPr="00520861">
        <w:rPr>
          <w:rFonts w:eastAsiaTheme="minorHAnsi"/>
          <w:sz w:val="28"/>
          <w:szCs w:val="28"/>
          <w:lang w:eastAsia="en-US"/>
        </w:rPr>
        <w:t>1980</w:t>
      </w:r>
      <w:r w:rsidRPr="00520861">
        <w:rPr>
          <w:rFonts w:eastAsiaTheme="minorHAnsi"/>
          <w:sz w:val="28"/>
          <w:szCs w:val="28"/>
          <w:lang w:val="ru-RU" w:eastAsia="en-US"/>
        </w:rPr>
        <w:t>;(</w:t>
      </w:r>
      <w:r w:rsidRPr="00520861">
        <w:rPr>
          <w:rFonts w:eastAsiaTheme="minorHAnsi"/>
          <w:sz w:val="28"/>
          <w:szCs w:val="28"/>
          <w:lang w:eastAsia="en-US"/>
        </w:rPr>
        <w:t>12</w:t>
      </w:r>
      <w:r w:rsidRPr="00520861">
        <w:rPr>
          <w:rFonts w:eastAsiaTheme="minorHAnsi"/>
          <w:sz w:val="28"/>
          <w:szCs w:val="28"/>
          <w:lang w:val="ru-RU" w:eastAsia="en-US"/>
        </w:rPr>
        <w:t>):</w:t>
      </w:r>
      <w:r w:rsidRPr="00520861">
        <w:rPr>
          <w:rFonts w:eastAsiaTheme="minorHAnsi"/>
          <w:sz w:val="28"/>
          <w:szCs w:val="28"/>
          <w:lang w:eastAsia="en-US"/>
        </w:rPr>
        <w:t xml:space="preserve"> 57.</w:t>
      </w:r>
    </w:p>
    <w:p w14:paraId="20BA746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Яковцова</w:t>
      </w:r>
      <w:proofErr w:type="spellEnd"/>
      <w:r w:rsidRPr="00520861">
        <w:rPr>
          <w:rFonts w:eastAsiaTheme="minorHAnsi"/>
          <w:sz w:val="28"/>
          <w:szCs w:val="28"/>
          <w:lang w:eastAsia="en-US"/>
        </w:rPr>
        <w:t xml:space="preserve"> АФ, </w:t>
      </w:r>
      <w:proofErr w:type="spellStart"/>
      <w:r w:rsidRPr="00520861">
        <w:rPr>
          <w:rFonts w:eastAsiaTheme="minorHAnsi"/>
          <w:sz w:val="28"/>
          <w:szCs w:val="28"/>
          <w:lang w:eastAsia="en-US"/>
        </w:rPr>
        <w:t>Сорокина</w:t>
      </w:r>
      <w:proofErr w:type="spellEnd"/>
      <w:r w:rsidRPr="00520861">
        <w:rPr>
          <w:rFonts w:eastAsiaTheme="minorHAnsi"/>
          <w:sz w:val="28"/>
          <w:szCs w:val="28"/>
          <w:lang w:eastAsia="en-US"/>
        </w:rPr>
        <w:t xml:space="preserve"> ИВ, </w:t>
      </w:r>
      <w:proofErr w:type="spellStart"/>
      <w:r w:rsidRPr="00520861">
        <w:rPr>
          <w:rFonts w:eastAsiaTheme="minorHAnsi"/>
          <w:sz w:val="28"/>
          <w:szCs w:val="28"/>
          <w:lang w:eastAsia="en-US"/>
        </w:rPr>
        <w:t>Алещенко</w:t>
      </w:r>
      <w:proofErr w:type="spellEnd"/>
      <w:r w:rsidRPr="00520861">
        <w:rPr>
          <w:rFonts w:eastAsiaTheme="minorHAnsi"/>
          <w:sz w:val="28"/>
          <w:szCs w:val="28"/>
          <w:lang w:eastAsia="en-US"/>
        </w:rPr>
        <w:t xml:space="preserve"> </w:t>
      </w:r>
      <w:r w:rsidRPr="00520861">
        <w:rPr>
          <w:rFonts w:eastAsiaTheme="minorHAnsi"/>
          <w:sz w:val="28"/>
          <w:szCs w:val="28"/>
          <w:lang w:val="ru-RU" w:eastAsia="en-US"/>
        </w:rPr>
        <w:t>ИЕ</w:t>
      </w:r>
      <w:r w:rsidRPr="00520861">
        <w:rPr>
          <w:rFonts w:eastAsiaTheme="minorHAnsi"/>
          <w:sz w:val="28"/>
          <w:szCs w:val="28"/>
          <w:lang w:eastAsia="en-US"/>
        </w:rPr>
        <w:t xml:space="preserve">. </w:t>
      </w:r>
      <w:r w:rsidRPr="00520861">
        <w:rPr>
          <w:rFonts w:eastAsiaTheme="minorHAnsi"/>
          <w:i/>
          <w:sz w:val="28"/>
          <w:szCs w:val="28"/>
          <w:lang w:val="ru-RU" w:eastAsia="en-US"/>
        </w:rPr>
        <w:t>Иммунная </w:t>
      </w:r>
      <w:r w:rsidRPr="00520861">
        <w:rPr>
          <w:rFonts w:eastAsiaTheme="minorHAnsi"/>
          <w:bCs/>
          <w:i/>
          <w:sz w:val="28"/>
          <w:szCs w:val="28"/>
          <w:lang w:val="ru-RU" w:eastAsia="en-US"/>
        </w:rPr>
        <w:t>система плода</w:t>
      </w:r>
      <w:r w:rsidRPr="00520861">
        <w:rPr>
          <w:rFonts w:eastAsiaTheme="minorHAnsi"/>
          <w:i/>
          <w:sz w:val="28"/>
          <w:szCs w:val="28"/>
          <w:lang w:val="ru-RU" w:eastAsia="en-US"/>
        </w:rPr>
        <w:t xml:space="preserve"> человека при </w:t>
      </w:r>
      <w:proofErr w:type="spellStart"/>
      <w:r w:rsidRPr="00520861">
        <w:rPr>
          <w:rFonts w:eastAsiaTheme="minorHAnsi"/>
          <w:i/>
          <w:sz w:val="28"/>
          <w:szCs w:val="28"/>
          <w:lang w:val="ru-RU" w:eastAsia="en-US"/>
        </w:rPr>
        <w:t>крупноплодии</w:t>
      </w:r>
      <w:proofErr w:type="spellEnd"/>
      <w:r w:rsidRPr="00520861">
        <w:rPr>
          <w:rFonts w:eastAsiaTheme="minorHAnsi"/>
          <w:i/>
          <w:sz w:val="28"/>
          <w:szCs w:val="28"/>
          <w:lang w:val="ru-RU" w:eastAsia="en-US"/>
        </w:rPr>
        <w:t xml:space="preserve"> и ЗВРП.</w:t>
      </w:r>
      <w:r w:rsidRPr="00520861">
        <w:rPr>
          <w:rFonts w:eastAsiaTheme="minorHAnsi"/>
          <w:i/>
          <w:sz w:val="28"/>
          <w:szCs w:val="28"/>
          <w:lang w:eastAsia="en-US"/>
        </w:rPr>
        <w:t xml:space="preserve"> </w:t>
      </w:r>
      <w:proofErr w:type="spellStart"/>
      <w:r w:rsidRPr="00520861">
        <w:rPr>
          <w:rFonts w:eastAsiaTheme="minorHAnsi"/>
          <w:sz w:val="28"/>
          <w:szCs w:val="28"/>
          <w:lang w:eastAsia="en-US"/>
        </w:rPr>
        <w:t>Харков</w:t>
      </w:r>
      <w:proofErr w:type="spellEnd"/>
      <w:r w:rsidRPr="00520861">
        <w:rPr>
          <w:rFonts w:eastAsiaTheme="minorHAnsi"/>
          <w:sz w:val="28"/>
          <w:szCs w:val="28"/>
          <w:lang w:eastAsia="en-US"/>
        </w:rPr>
        <w:t>: Антиква; 2004. 218 с.</w:t>
      </w:r>
    </w:p>
    <w:p w14:paraId="2C0FC48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Ярова СП, </w:t>
      </w:r>
      <w:proofErr w:type="spellStart"/>
      <w:r w:rsidRPr="00520861">
        <w:rPr>
          <w:rFonts w:eastAsiaTheme="minorHAnsi"/>
          <w:sz w:val="28"/>
          <w:szCs w:val="28"/>
          <w:lang w:eastAsia="en-US"/>
        </w:rPr>
        <w:t>Желдакова</w:t>
      </w:r>
      <w:proofErr w:type="spellEnd"/>
      <w:r w:rsidRPr="00520861">
        <w:rPr>
          <w:rFonts w:eastAsiaTheme="minorHAnsi"/>
          <w:sz w:val="28"/>
          <w:szCs w:val="28"/>
          <w:lang w:eastAsia="en-US"/>
        </w:rPr>
        <w:t xml:space="preserve"> АД. Роль порушень </w:t>
      </w:r>
      <w:proofErr w:type="spellStart"/>
      <w:r w:rsidRPr="00520861">
        <w:rPr>
          <w:rFonts w:eastAsiaTheme="minorHAnsi"/>
          <w:sz w:val="28"/>
          <w:szCs w:val="28"/>
          <w:lang w:eastAsia="en-US"/>
        </w:rPr>
        <w:t>цитокінової</w:t>
      </w:r>
      <w:proofErr w:type="spellEnd"/>
      <w:r w:rsidRPr="00520861">
        <w:rPr>
          <w:rFonts w:eastAsiaTheme="minorHAnsi"/>
          <w:sz w:val="28"/>
          <w:szCs w:val="28"/>
          <w:lang w:eastAsia="en-US"/>
        </w:rPr>
        <w:t xml:space="preserve"> регуляції в розвитку </w:t>
      </w:r>
      <w:proofErr w:type="spellStart"/>
      <w:r w:rsidRPr="00520861">
        <w:rPr>
          <w:rFonts w:eastAsiaTheme="minorHAnsi"/>
          <w:sz w:val="28"/>
          <w:szCs w:val="28"/>
          <w:lang w:eastAsia="en-US"/>
        </w:rPr>
        <w:t>ендотеліальної</w:t>
      </w:r>
      <w:proofErr w:type="spellEnd"/>
      <w:r w:rsidRPr="00520861">
        <w:rPr>
          <w:rFonts w:eastAsiaTheme="minorHAnsi"/>
          <w:sz w:val="28"/>
          <w:szCs w:val="28"/>
          <w:lang w:eastAsia="en-US"/>
        </w:rPr>
        <w:t xml:space="preserve"> дисфункції при </w:t>
      </w:r>
      <w:proofErr w:type="spellStart"/>
      <w:r w:rsidRPr="00520861">
        <w:rPr>
          <w:rFonts w:eastAsiaTheme="minorHAnsi"/>
          <w:sz w:val="28"/>
          <w:szCs w:val="28"/>
          <w:lang w:eastAsia="en-US"/>
        </w:rPr>
        <w:t>генералізованому</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пародонтиті</w:t>
      </w:r>
      <w:proofErr w:type="spellEnd"/>
      <w:r w:rsidRPr="00520861">
        <w:rPr>
          <w:rFonts w:eastAsiaTheme="minorHAnsi"/>
          <w:sz w:val="28"/>
          <w:szCs w:val="28"/>
          <w:lang w:eastAsia="en-US"/>
        </w:rPr>
        <w:t xml:space="preserve">. </w:t>
      </w:r>
      <w:r w:rsidRPr="00520861">
        <w:rPr>
          <w:rFonts w:eastAsiaTheme="minorHAnsi"/>
          <w:i/>
          <w:sz w:val="28"/>
          <w:szCs w:val="28"/>
          <w:lang w:eastAsia="en-US"/>
        </w:rPr>
        <w:t>Український стоматологічний альманах</w:t>
      </w:r>
      <w:r w:rsidRPr="00520861">
        <w:rPr>
          <w:rFonts w:eastAsiaTheme="minorHAnsi"/>
          <w:sz w:val="28"/>
          <w:szCs w:val="28"/>
          <w:lang w:eastAsia="en-US"/>
        </w:rPr>
        <w:t>. 2013</w:t>
      </w:r>
      <w:r w:rsidRPr="00520861">
        <w:rPr>
          <w:rFonts w:eastAsiaTheme="minorHAnsi"/>
          <w:sz w:val="28"/>
          <w:szCs w:val="28"/>
          <w:lang w:val="ru-RU" w:eastAsia="en-US"/>
        </w:rPr>
        <w:t>;(</w:t>
      </w:r>
      <w:r w:rsidRPr="00520861">
        <w:rPr>
          <w:rFonts w:eastAsiaTheme="minorHAnsi"/>
          <w:sz w:val="28"/>
          <w:szCs w:val="28"/>
          <w:lang w:eastAsia="en-US"/>
        </w:rPr>
        <w:t>4</w:t>
      </w:r>
      <w:r w:rsidRPr="00520861">
        <w:rPr>
          <w:rFonts w:eastAsiaTheme="minorHAnsi"/>
          <w:sz w:val="28"/>
          <w:szCs w:val="28"/>
          <w:lang w:val="ru-RU" w:eastAsia="en-US"/>
        </w:rPr>
        <w:t>):</w:t>
      </w:r>
      <w:r w:rsidRPr="00520861">
        <w:rPr>
          <w:rFonts w:eastAsiaTheme="minorHAnsi"/>
          <w:sz w:val="28"/>
          <w:szCs w:val="28"/>
          <w:lang w:eastAsia="en-US"/>
        </w:rPr>
        <w:t xml:space="preserve"> 29–32. Доступно на: http://nbuv.gov.ua/UJRN/Usa_2013_4_9.</w:t>
      </w:r>
    </w:p>
    <w:p w14:paraId="73F2F1E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 xml:space="preserve">Ярова СП, </w:t>
      </w:r>
      <w:proofErr w:type="spellStart"/>
      <w:r w:rsidRPr="00520861">
        <w:rPr>
          <w:rFonts w:eastAsiaTheme="minorHAnsi"/>
          <w:sz w:val="28"/>
          <w:szCs w:val="28"/>
          <w:lang w:eastAsia="en-US"/>
        </w:rPr>
        <w:t>Саноян</w:t>
      </w:r>
      <w:proofErr w:type="spellEnd"/>
      <w:r w:rsidRPr="00520861">
        <w:rPr>
          <w:rFonts w:eastAsiaTheme="minorHAnsi"/>
          <w:sz w:val="28"/>
          <w:szCs w:val="28"/>
          <w:lang w:eastAsia="en-US"/>
        </w:rPr>
        <w:t xml:space="preserve"> ВВ. Роль </w:t>
      </w:r>
      <w:proofErr w:type="spellStart"/>
      <w:r w:rsidRPr="00520861">
        <w:rPr>
          <w:rFonts w:eastAsiaTheme="minorHAnsi"/>
          <w:sz w:val="28"/>
          <w:szCs w:val="28"/>
          <w:lang w:eastAsia="en-US"/>
        </w:rPr>
        <w:t>слюны</w:t>
      </w:r>
      <w:proofErr w:type="spellEnd"/>
      <w:r w:rsidRPr="00520861">
        <w:rPr>
          <w:rFonts w:eastAsiaTheme="minorHAnsi"/>
          <w:sz w:val="28"/>
          <w:szCs w:val="28"/>
          <w:lang w:eastAsia="en-US"/>
        </w:rPr>
        <w:t xml:space="preserve"> в </w:t>
      </w:r>
      <w:proofErr w:type="spellStart"/>
      <w:r w:rsidRPr="00520861">
        <w:rPr>
          <w:rFonts w:eastAsiaTheme="minorHAnsi"/>
          <w:sz w:val="28"/>
          <w:szCs w:val="28"/>
          <w:lang w:eastAsia="en-US"/>
        </w:rPr>
        <w:t>развитии</w:t>
      </w:r>
      <w:proofErr w:type="spellEnd"/>
      <w:r w:rsidRPr="00520861">
        <w:rPr>
          <w:rFonts w:eastAsiaTheme="minorHAnsi"/>
          <w:sz w:val="28"/>
          <w:szCs w:val="28"/>
          <w:lang w:eastAsia="en-US"/>
        </w:rPr>
        <w:t xml:space="preserve"> и </w:t>
      </w:r>
      <w:proofErr w:type="spellStart"/>
      <w:r w:rsidRPr="00520861">
        <w:rPr>
          <w:rFonts w:eastAsiaTheme="minorHAnsi"/>
          <w:sz w:val="28"/>
          <w:szCs w:val="28"/>
          <w:lang w:eastAsia="en-US"/>
        </w:rPr>
        <w:t>течении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воспалительных</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заболеваний</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пародонта</w:t>
      </w:r>
      <w:proofErr w:type="spellEnd"/>
      <w:r w:rsidRPr="00520861">
        <w:rPr>
          <w:rFonts w:eastAsiaTheme="minorHAnsi"/>
          <w:sz w:val="28"/>
          <w:szCs w:val="28"/>
          <w:lang w:eastAsia="en-US"/>
        </w:rPr>
        <w:t xml:space="preserve">. </w:t>
      </w:r>
      <w:r w:rsidRPr="00520861">
        <w:rPr>
          <w:rFonts w:eastAsiaTheme="minorHAnsi"/>
          <w:i/>
          <w:sz w:val="28"/>
          <w:szCs w:val="28"/>
          <w:lang w:eastAsia="en-US"/>
        </w:rPr>
        <w:t>Актуальні проблеми сучасної медицини: Вісник української медичної стоматологічної академії</w:t>
      </w:r>
      <w:r w:rsidRPr="00520861">
        <w:rPr>
          <w:rFonts w:eastAsiaTheme="minorHAnsi"/>
          <w:sz w:val="28"/>
          <w:szCs w:val="28"/>
          <w:lang w:eastAsia="en-US"/>
        </w:rPr>
        <w:t>.  2007;7(3): 212–217.</w:t>
      </w:r>
    </w:p>
    <w:p w14:paraId="4A368DE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Abramowicz</w:t>
      </w:r>
      <w:proofErr w:type="spellEnd"/>
      <w:r w:rsidRPr="00520861">
        <w:rPr>
          <w:rFonts w:eastAsiaTheme="minorHAnsi"/>
          <w:sz w:val="28"/>
          <w:szCs w:val="28"/>
          <w:lang w:eastAsia="en-US"/>
        </w:rPr>
        <w:t xml:space="preserve"> JS, </w:t>
      </w:r>
      <w:proofErr w:type="spellStart"/>
      <w:r w:rsidRPr="00520861">
        <w:rPr>
          <w:rFonts w:eastAsiaTheme="minorHAnsi"/>
          <w:sz w:val="28"/>
          <w:szCs w:val="28"/>
          <w:lang w:eastAsia="en-US"/>
        </w:rPr>
        <w:t>Ahn</w:t>
      </w:r>
      <w:proofErr w:type="spellEnd"/>
      <w:r w:rsidRPr="00520861">
        <w:rPr>
          <w:rFonts w:eastAsiaTheme="minorHAnsi"/>
          <w:sz w:val="28"/>
          <w:szCs w:val="28"/>
          <w:lang w:eastAsia="en-US"/>
        </w:rPr>
        <w:t xml:space="preserve"> JT. </w:t>
      </w:r>
      <w:proofErr w:type="spellStart"/>
      <w:r w:rsidRPr="00520861">
        <w:rPr>
          <w:rFonts w:eastAsiaTheme="minorHAnsi"/>
          <w:i/>
          <w:sz w:val="28"/>
          <w:szCs w:val="28"/>
          <w:lang w:eastAsia="en-US"/>
        </w:rPr>
        <w:t>Fetal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macrosomia</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Literature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current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through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Jan</w:t>
      </w:r>
      <w:proofErr w:type="spellEnd"/>
      <w:r w:rsidRPr="00520861">
        <w:rPr>
          <w:rFonts w:eastAsiaTheme="minorHAnsi"/>
          <w:sz w:val="28"/>
          <w:szCs w:val="28"/>
          <w:lang w:eastAsia="en-US"/>
        </w:rPr>
        <w:t xml:space="preserve"> 2018.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https://www.uptodate.com/contents/fetal-macrosomia [</w:t>
      </w:r>
      <w:proofErr w:type="spellStart"/>
      <w:r w:rsidRPr="00520861">
        <w:rPr>
          <w:rFonts w:eastAsiaTheme="minorHAnsi"/>
          <w:sz w:val="28"/>
          <w:szCs w:val="28"/>
          <w:lang w:eastAsia="en-US"/>
        </w:rPr>
        <w:t>Accessed</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Jan</w:t>
      </w:r>
      <w:proofErr w:type="spellEnd"/>
      <w:r w:rsidRPr="00520861">
        <w:rPr>
          <w:rFonts w:eastAsiaTheme="minorHAnsi"/>
          <w:sz w:val="28"/>
          <w:szCs w:val="28"/>
          <w:lang w:eastAsia="en-US"/>
        </w:rPr>
        <w:t xml:space="preserve"> 16, 2018].</w:t>
      </w:r>
      <w:r w:rsidRPr="00520861">
        <w:rPr>
          <w:rFonts w:eastAsiaTheme="minorHAnsi"/>
          <w:sz w:val="28"/>
          <w:szCs w:val="28"/>
          <w:lang w:val="en-US" w:eastAsia="en-US"/>
        </w:rPr>
        <w:t xml:space="preserve"> </w:t>
      </w:r>
      <w:r w:rsidRPr="00520861">
        <w:rPr>
          <w:rFonts w:eastAsiaTheme="minorHAnsi"/>
          <w:sz w:val="28"/>
          <w:szCs w:val="28"/>
          <w:lang w:eastAsia="en-US"/>
        </w:rPr>
        <w:t xml:space="preserve">– </w:t>
      </w:r>
      <w:r w:rsidRPr="00520861">
        <w:rPr>
          <w:rFonts w:eastAsiaTheme="minorHAnsi"/>
          <w:sz w:val="28"/>
          <w:szCs w:val="28"/>
          <w:lang w:val="en-US" w:eastAsia="en-US"/>
        </w:rPr>
        <w:t>P</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22-30.</w:t>
      </w:r>
    </w:p>
    <w:p w14:paraId="29EF655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Aceto</w:t>
      </w:r>
      <w:proofErr w:type="spellEnd"/>
      <w:r w:rsidRPr="00520861">
        <w:rPr>
          <w:rFonts w:eastAsiaTheme="minorHAnsi"/>
          <w:sz w:val="28"/>
          <w:szCs w:val="28"/>
          <w:lang w:eastAsia="en-US"/>
        </w:rPr>
        <w:t xml:space="preserve"> TJ, </w:t>
      </w:r>
      <w:proofErr w:type="spellStart"/>
      <w:r w:rsidRPr="00520861">
        <w:rPr>
          <w:rFonts w:eastAsiaTheme="minorHAnsi"/>
          <w:sz w:val="28"/>
          <w:szCs w:val="28"/>
          <w:lang w:eastAsia="en-US"/>
        </w:rPr>
        <w:t>Dempsher</w:t>
      </w:r>
      <w:proofErr w:type="spellEnd"/>
      <w:r w:rsidRPr="00520861">
        <w:rPr>
          <w:rFonts w:eastAsiaTheme="minorHAnsi"/>
          <w:sz w:val="28"/>
          <w:szCs w:val="28"/>
          <w:lang w:eastAsia="en-US"/>
        </w:rPr>
        <w:t xml:space="preserve"> DP, </w:t>
      </w:r>
      <w:proofErr w:type="spellStart"/>
      <w:r w:rsidRPr="00520861">
        <w:rPr>
          <w:rFonts w:eastAsiaTheme="minorHAnsi"/>
          <w:sz w:val="28"/>
          <w:szCs w:val="28"/>
          <w:lang w:eastAsia="en-US"/>
        </w:rPr>
        <w:t>Garibaldi</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Becker</w:t>
      </w:r>
      <w:proofErr w:type="spellEnd"/>
      <w:r w:rsidRPr="00520861">
        <w:rPr>
          <w:rFonts w:eastAsiaTheme="minorHAnsi"/>
          <w:sz w:val="28"/>
          <w:szCs w:val="28"/>
          <w:lang w:eastAsia="en-US"/>
        </w:rPr>
        <w:t xml:space="preserve"> KL. </w:t>
      </w:r>
      <w:proofErr w:type="spellStart"/>
      <w:r w:rsidRPr="00520861">
        <w:rPr>
          <w:rFonts w:eastAsiaTheme="minorHAnsi"/>
          <w:sz w:val="28"/>
          <w:szCs w:val="28"/>
          <w:lang w:eastAsia="en-US"/>
        </w:rPr>
        <w:t>Endocrine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dysfunction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Becker</w:t>
      </w:r>
      <w:proofErr w:type="spellEnd"/>
      <w:r w:rsidRPr="00520861">
        <w:rPr>
          <w:rFonts w:eastAsiaTheme="minorHAnsi"/>
          <w:sz w:val="28"/>
          <w:szCs w:val="28"/>
          <w:lang w:eastAsia="en-US"/>
        </w:rPr>
        <w:t xml:space="preserve"> KL, </w:t>
      </w:r>
      <w:proofErr w:type="spellStart"/>
      <w:r w:rsidRPr="00520861">
        <w:rPr>
          <w:rFonts w:eastAsiaTheme="minorHAnsi"/>
          <w:sz w:val="28"/>
          <w:szCs w:val="28"/>
          <w:lang w:eastAsia="en-US"/>
        </w:rPr>
        <w:t>Bilezikian</w:t>
      </w:r>
      <w:proofErr w:type="spellEnd"/>
      <w:r w:rsidRPr="00520861">
        <w:rPr>
          <w:rFonts w:eastAsiaTheme="minorHAnsi"/>
          <w:sz w:val="28"/>
          <w:szCs w:val="28"/>
          <w:lang w:eastAsia="en-US"/>
        </w:rPr>
        <w:t xml:space="preserve"> JP</w:t>
      </w:r>
      <w:r w:rsidRPr="00520861">
        <w:rPr>
          <w:rFonts w:eastAsiaTheme="minorHAnsi"/>
          <w:sz w:val="28"/>
          <w:szCs w:val="28"/>
          <w:lang w:val="en-US" w:eastAsia="en-US"/>
        </w:rPr>
        <w:t xml:space="preserve">, </w:t>
      </w:r>
      <w:proofErr w:type="spellStart"/>
      <w:r w:rsidRPr="00520861">
        <w:rPr>
          <w:rFonts w:eastAsiaTheme="minorHAnsi"/>
          <w:sz w:val="28"/>
          <w:szCs w:val="28"/>
          <w:lang w:val="en-US" w:eastAsia="en-US"/>
        </w:rPr>
        <w:t>Bremner</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 xml:space="preserve">WJ, Hung W, Kahn CR, </w:t>
      </w:r>
      <w:proofErr w:type="spellStart"/>
      <w:r w:rsidRPr="00520861">
        <w:rPr>
          <w:rFonts w:eastAsiaTheme="minorHAnsi"/>
          <w:sz w:val="28"/>
          <w:szCs w:val="28"/>
          <w:lang w:val="en-US" w:eastAsia="en-US"/>
        </w:rPr>
        <w:t>Loriaux</w:t>
      </w:r>
      <w:proofErr w:type="spellEnd"/>
      <w:r w:rsidRPr="00520861">
        <w:rPr>
          <w:rFonts w:eastAsiaTheme="minorHAnsi"/>
          <w:sz w:val="28"/>
          <w:szCs w:val="28"/>
          <w:lang w:val="en-US" w:eastAsia="en-US"/>
        </w:rPr>
        <w:t xml:space="preserve"> DL, </w:t>
      </w:r>
      <w:proofErr w:type="spellStart"/>
      <w:r w:rsidRPr="00520861">
        <w:rPr>
          <w:rFonts w:eastAsiaTheme="minorHAnsi"/>
          <w:sz w:val="28"/>
          <w:szCs w:val="28"/>
          <w:lang w:eastAsia="en-US"/>
        </w:rPr>
        <w:t>et</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w:t>
      </w:r>
      <w:r w:rsidRPr="00520861">
        <w:rPr>
          <w:rFonts w:eastAsiaTheme="minorHAnsi"/>
          <w:sz w:val="28"/>
          <w:szCs w:val="28"/>
          <w:lang w:val="en-US" w:eastAsia="en-US"/>
        </w:rPr>
        <w:t>auth</w:t>
      </w:r>
      <w:r w:rsidRPr="00520861">
        <w:rPr>
          <w:rFonts w:eastAsiaTheme="minorHAnsi"/>
          <w:sz w:val="28"/>
          <w:szCs w:val="28"/>
          <w:lang w:eastAsia="en-US"/>
        </w:rPr>
        <w:t>/</w:t>
      </w:r>
      <w:r w:rsidRPr="00520861">
        <w:rPr>
          <w:rFonts w:eastAsiaTheme="minorHAnsi"/>
          <w:sz w:val="28"/>
          <w:szCs w:val="28"/>
          <w:lang w:val="en-US" w:eastAsia="en-US"/>
        </w:rPr>
        <w:t>eds</w:t>
      </w:r>
      <w:r w:rsidRPr="00520861">
        <w:rPr>
          <w:rFonts w:eastAsiaTheme="minorHAnsi"/>
          <w:sz w:val="28"/>
          <w:szCs w:val="28"/>
          <w:lang w:eastAsia="en-US"/>
        </w:rPr>
        <w:t xml:space="preserve">). </w:t>
      </w:r>
      <w:proofErr w:type="spellStart"/>
      <w:r w:rsidRPr="00520861">
        <w:rPr>
          <w:rFonts w:eastAsiaTheme="minorHAnsi"/>
          <w:i/>
          <w:sz w:val="28"/>
          <w:szCs w:val="28"/>
          <w:lang w:eastAsia="en-US"/>
        </w:rPr>
        <w:t>Principles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Practice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Endocrinology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Metabolism</w:t>
      </w:r>
      <w:proofErr w:type="spellEnd"/>
      <w:r w:rsidRPr="00520861">
        <w:rPr>
          <w:rFonts w:eastAsiaTheme="minorHAnsi"/>
          <w:sz w:val="28"/>
          <w:szCs w:val="28"/>
          <w:lang w:eastAsia="en-US"/>
        </w:rPr>
        <w:t xml:space="preserve">. 3rd </w:t>
      </w:r>
      <w:proofErr w:type="spellStart"/>
      <w:r w:rsidRPr="00520861">
        <w:rPr>
          <w:rFonts w:eastAsiaTheme="minorHAnsi"/>
          <w:sz w:val="28"/>
          <w:szCs w:val="28"/>
          <w:lang w:eastAsia="en-US"/>
        </w:rPr>
        <w: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Philadelphia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Lippincot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Williams</w:t>
      </w:r>
      <w:proofErr w:type="spellEnd"/>
      <w:r w:rsidRPr="00520861">
        <w:rPr>
          <w:rFonts w:eastAsiaTheme="minorHAnsi"/>
          <w:sz w:val="28"/>
          <w:szCs w:val="28"/>
          <w:lang w:eastAsia="en-US"/>
        </w:rPr>
        <w:t xml:space="preserve"> &amp; Wilkins;2001. </w:t>
      </w:r>
      <w:r w:rsidRPr="00520861">
        <w:rPr>
          <w:rFonts w:eastAsiaTheme="minorHAnsi"/>
          <w:sz w:val="28"/>
          <w:szCs w:val="28"/>
          <w:lang w:val="en-US" w:eastAsia="en-US"/>
        </w:rPr>
        <w:t xml:space="preserve">P. </w:t>
      </w:r>
      <w:r w:rsidRPr="00520861">
        <w:rPr>
          <w:rFonts w:eastAsiaTheme="minorHAnsi"/>
          <w:sz w:val="28"/>
          <w:szCs w:val="28"/>
          <w:lang w:eastAsia="en-US"/>
        </w:rPr>
        <w:t>1784–1808</w:t>
      </w:r>
      <w:r w:rsidRPr="00520861">
        <w:rPr>
          <w:rFonts w:eastAsiaTheme="minorHAnsi"/>
          <w:sz w:val="28"/>
          <w:szCs w:val="28"/>
          <w:lang w:val="en-US" w:eastAsia="en-US"/>
        </w:rPr>
        <w:t>.</w:t>
      </w:r>
    </w:p>
    <w:p w14:paraId="600F5C7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Calibri"/>
          <w:sz w:val="28"/>
          <w:szCs w:val="28"/>
          <w:lang w:val="en-US" w:eastAsia="en-US"/>
        </w:rPr>
        <w:t>Achari</w:t>
      </w:r>
      <w:proofErr w:type="spellEnd"/>
      <w:r w:rsidRPr="00520861">
        <w:rPr>
          <w:rFonts w:eastAsia="Calibri"/>
          <w:sz w:val="28"/>
          <w:szCs w:val="28"/>
          <w:lang w:val="en-US" w:eastAsia="en-US"/>
        </w:rPr>
        <w:t xml:space="preserve"> AE, Jain SK. Adiponectin, a therapeutic target for obesity, diabetes, and endothelial dysfunction. </w:t>
      </w:r>
      <w:r w:rsidRPr="00520861">
        <w:rPr>
          <w:rFonts w:eastAsia="Calibri"/>
          <w:i/>
          <w:sz w:val="28"/>
          <w:szCs w:val="28"/>
          <w:lang w:val="en-US" w:eastAsia="en-US"/>
        </w:rPr>
        <w:t>Int J Mol Sci</w:t>
      </w:r>
      <w:r w:rsidRPr="00520861">
        <w:rPr>
          <w:rFonts w:eastAsia="Calibri"/>
          <w:sz w:val="28"/>
          <w:szCs w:val="28"/>
          <w:lang w:val="en-US" w:eastAsia="en-US"/>
        </w:rPr>
        <w:t xml:space="preserve">. 2017;18(6): 1321. </w:t>
      </w:r>
      <w:proofErr w:type="spellStart"/>
      <w:r w:rsidRPr="00520861">
        <w:rPr>
          <w:sz w:val="28"/>
          <w:szCs w:val="28"/>
        </w:rPr>
        <w:t>Available</w:t>
      </w:r>
      <w:proofErr w:type="spellEnd"/>
      <w:r w:rsidRPr="00520861">
        <w:rPr>
          <w:sz w:val="28"/>
          <w:szCs w:val="28"/>
        </w:rPr>
        <w:t xml:space="preserve"> </w:t>
      </w:r>
      <w:r w:rsidRPr="00520861">
        <w:rPr>
          <w:sz w:val="28"/>
          <w:szCs w:val="28"/>
          <w:lang w:val="en-US"/>
        </w:rPr>
        <w:t>from</w:t>
      </w:r>
      <w:r w:rsidRPr="00520861">
        <w:rPr>
          <w:sz w:val="28"/>
          <w:szCs w:val="28"/>
        </w:rPr>
        <w:t xml:space="preserve">: </w:t>
      </w:r>
      <w:r w:rsidRPr="00520861">
        <w:rPr>
          <w:rFonts w:eastAsia="Calibri"/>
          <w:sz w:val="28"/>
          <w:szCs w:val="28"/>
          <w:lang w:val="en-US" w:eastAsia="en-US"/>
        </w:rPr>
        <w:t>DOI: 10.3390/ijms18061321.</w:t>
      </w:r>
    </w:p>
    <w:p w14:paraId="485B6BB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Addison</w:t>
      </w:r>
      <w:proofErr w:type="spellEnd"/>
      <w:r w:rsidRPr="00520861">
        <w:rPr>
          <w:rFonts w:eastAsiaTheme="minorHAnsi"/>
          <w:sz w:val="28"/>
          <w:szCs w:val="28"/>
          <w:lang w:eastAsia="en-US"/>
        </w:rPr>
        <w:t xml:space="preserve"> WHF, </w:t>
      </w:r>
      <w:proofErr w:type="spellStart"/>
      <w:r w:rsidRPr="00520861">
        <w:rPr>
          <w:rFonts w:eastAsiaTheme="minorHAnsi"/>
          <w:sz w:val="28"/>
          <w:szCs w:val="28"/>
          <w:lang w:eastAsia="en-US"/>
        </w:rPr>
        <w:t>Appleton</w:t>
      </w:r>
      <w:proofErr w:type="spellEnd"/>
      <w:r w:rsidRPr="00520861">
        <w:rPr>
          <w:rFonts w:eastAsiaTheme="minorHAnsi"/>
          <w:sz w:val="28"/>
          <w:szCs w:val="28"/>
          <w:lang w:eastAsia="en-US"/>
        </w:rPr>
        <w:t xml:space="preserve"> JL.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structure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incisor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teeth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albino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Morph</w:t>
      </w:r>
      <w:proofErr w:type="spellEnd"/>
      <w:r w:rsidRPr="00520861">
        <w:rPr>
          <w:rFonts w:eastAsiaTheme="minorHAnsi"/>
          <w:sz w:val="28"/>
          <w:szCs w:val="28"/>
          <w:lang w:eastAsia="en-US"/>
        </w:rPr>
        <w:t xml:space="preserve">. 1915; 26: 43–96.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10.1002/jmor.1050260103</w:t>
      </w:r>
      <w:r w:rsidRPr="00520861">
        <w:rPr>
          <w:rFonts w:eastAsiaTheme="minorHAnsi"/>
          <w:sz w:val="28"/>
          <w:szCs w:val="28"/>
          <w:lang w:val="en-US" w:eastAsia="en-US"/>
        </w:rPr>
        <w:t>.</w:t>
      </w:r>
    </w:p>
    <w:p w14:paraId="763F480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Agudelo-Espitia</w:t>
      </w:r>
      <w:proofErr w:type="spellEnd"/>
      <w:r w:rsidRPr="00520861">
        <w:rPr>
          <w:rFonts w:eastAsiaTheme="minorHAnsi"/>
          <w:sz w:val="28"/>
          <w:szCs w:val="28"/>
          <w:lang w:eastAsia="en-US"/>
        </w:rPr>
        <w:t xml:space="preserve"> V</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Parra-Sosa</w:t>
      </w:r>
      <w:proofErr w:type="spellEnd"/>
      <w:r w:rsidRPr="00520861">
        <w:rPr>
          <w:rFonts w:eastAsiaTheme="minorHAnsi"/>
          <w:sz w:val="28"/>
          <w:szCs w:val="28"/>
          <w:lang w:eastAsia="en-US"/>
        </w:rPr>
        <w:t xml:space="preserve"> BE</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Restrepo-Mesa</w:t>
      </w:r>
      <w:proofErr w:type="spellEnd"/>
      <w:r w:rsidRPr="00520861">
        <w:rPr>
          <w:rFonts w:eastAsiaTheme="minorHAnsi"/>
          <w:sz w:val="28"/>
          <w:szCs w:val="28"/>
          <w:lang w:eastAsia="en-US"/>
        </w:rPr>
        <w:t xml:space="preserve"> SL</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Saúde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Pública</w:t>
      </w:r>
      <w:proofErr w:type="spellEnd"/>
      <w:r w:rsidRPr="00520861">
        <w:rPr>
          <w:rFonts w:eastAsiaTheme="minorHAnsi"/>
          <w:i/>
          <w:sz w:val="28"/>
          <w:szCs w:val="28"/>
          <w:lang w:val="en-US" w:eastAsia="en-US"/>
        </w:rPr>
        <w:t xml:space="preserve"> </w:t>
      </w:r>
      <w:r w:rsidRPr="00520861">
        <w:rPr>
          <w:rFonts w:eastAsiaTheme="minorHAnsi"/>
          <w:sz w:val="28"/>
          <w:szCs w:val="28"/>
          <w:lang w:val="en-US" w:eastAsia="en-US"/>
        </w:rPr>
        <w:t>[Internet].</w:t>
      </w:r>
      <w:r w:rsidRPr="00520861">
        <w:rPr>
          <w:rFonts w:eastAsiaTheme="minorHAnsi"/>
          <w:sz w:val="28"/>
          <w:szCs w:val="28"/>
          <w:lang w:eastAsia="en-US"/>
        </w:rPr>
        <w:t xml:space="preserve"> 2019</w:t>
      </w:r>
      <w:r w:rsidRPr="00520861">
        <w:rPr>
          <w:rFonts w:eastAsiaTheme="minorHAnsi"/>
          <w:sz w:val="28"/>
          <w:szCs w:val="28"/>
          <w:lang w:val="en-US" w:eastAsia="en-US"/>
        </w:rPr>
        <w:t xml:space="preserve"> Now [cited 2020 June 21]; </w:t>
      </w:r>
      <w:r w:rsidRPr="00520861">
        <w:rPr>
          <w:rFonts w:eastAsiaTheme="minorHAnsi"/>
          <w:sz w:val="28"/>
          <w:szCs w:val="28"/>
          <w:lang w:eastAsia="en-US"/>
        </w:rPr>
        <w:t>53</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en-US" w:eastAsia="en-US"/>
        </w:rPr>
        <w:t>100.</w:t>
      </w:r>
      <w:r w:rsidRPr="00520861">
        <w:rPr>
          <w:rFonts w:eastAsiaTheme="minorHAnsi"/>
          <w:sz w:val="28"/>
          <w:szCs w:val="28"/>
          <w:lang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10.11606/s1518-8787.2019053001269</w:t>
      </w:r>
      <w:r w:rsidRPr="00520861">
        <w:rPr>
          <w:rFonts w:eastAsiaTheme="minorHAnsi"/>
          <w:sz w:val="28"/>
          <w:szCs w:val="28"/>
          <w:lang w:val="en-US" w:eastAsia="en-US"/>
        </w:rPr>
        <w:t>.</w:t>
      </w:r>
      <w:r w:rsidRPr="00520861">
        <w:rPr>
          <w:rFonts w:eastAsiaTheme="minorHAnsi"/>
          <w:sz w:val="28"/>
          <w:szCs w:val="28"/>
          <w:lang w:eastAsia="en-US"/>
        </w:rPr>
        <w:t xml:space="preserve"> </w:t>
      </w:r>
    </w:p>
    <w:p w14:paraId="74BC2A5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Ahmed</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severity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tonsillitis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among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Iraqi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Fac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Bagdad</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xml:space="preserve">. 2016 </w:t>
      </w:r>
      <w:r w:rsidRPr="00520861">
        <w:rPr>
          <w:rFonts w:eastAsiaTheme="minorHAnsi"/>
          <w:sz w:val="28"/>
          <w:szCs w:val="28"/>
          <w:lang w:val="en-US" w:eastAsia="en-US"/>
        </w:rPr>
        <w:t>[cited 2020 Jul 19]</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 xml:space="preserve">58(2).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http://iqjmc.uobaghdad.edu.iq/index.php/19JFacMedBaghdad36/article/view/229</w:t>
      </w:r>
      <w:r w:rsidRPr="00520861">
        <w:rPr>
          <w:rFonts w:eastAsiaTheme="minorHAnsi"/>
          <w:sz w:val="28"/>
          <w:szCs w:val="28"/>
          <w:lang w:val="en-US" w:eastAsia="en-US"/>
        </w:rPr>
        <w:t>.</w:t>
      </w:r>
    </w:p>
    <w:p w14:paraId="71B1ED3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Akcakus</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Kurtoglu</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Koklu</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Kula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Koklu</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leptin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newborn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Neonatology</w:t>
      </w:r>
      <w:proofErr w:type="spellEnd"/>
      <w:r w:rsidRPr="00520861">
        <w:rPr>
          <w:rFonts w:eastAsiaTheme="minorHAnsi"/>
          <w:sz w:val="28"/>
          <w:szCs w:val="28"/>
          <w:lang w:eastAsia="en-US"/>
        </w:rPr>
        <w:t>. 2007;91(2):</w:t>
      </w:r>
      <w:r w:rsidRPr="00520861">
        <w:rPr>
          <w:rFonts w:eastAsiaTheme="minorHAnsi"/>
          <w:sz w:val="28"/>
          <w:szCs w:val="28"/>
          <w:lang w:val="en-US" w:eastAsia="en-US"/>
        </w:rPr>
        <w:t xml:space="preserve"> </w:t>
      </w:r>
      <w:r w:rsidRPr="00520861">
        <w:rPr>
          <w:rFonts w:eastAsiaTheme="minorHAnsi"/>
          <w:sz w:val="28"/>
          <w:szCs w:val="28"/>
          <w:lang w:eastAsia="en-US"/>
        </w:rPr>
        <w:t>101–</w:t>
      </w:r>
      <w:r w:rsidRPr="00520861">
        <w:rPr>
          <w:rFonts w:eastAsiaTheme="minorHAnsi"/>
          <w:sz w:val="28"/>
          <w:szCs w:val="28"/>
          <w:lang w:val="en-US" w:eastAsia="en-US"/>
        </w:rPr>
        <w:t>10</w:t>
      </w:r>
      <w:r w:rsidRPr="00520861">
        <w:rPr>
          <w:rFonts w:eastAsiaTheme="minorHAnsi"/>
          <w:sz w:val="28"/>
          <w:szCs w:val="28"/>
          <w:lang w:eastAsia="en-US"/>
        </w:rPr>
        <w:t xml:space="preserve">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10.1159/000097126</w:t>
      </w:r>
      <w:r w:rsidRPr="00520861">
        <w:rPr>
          <w:rFonts w:eastAsiaTheme="minorHAnsi"/>
          <w:sz w:val="28"/>
          <w:szCs w:val="28"/>
          <w:lang w:val="en-US" w:eastAsia="en-US"/>
        </w:rPr>
        <w:t>.</w:t>
      </w:r>
    </w:p>
    <w:p w14:paraId="51E5BF6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Al-Ghutaime</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Riba</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Al-Kahtani</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Al-Duhaimi</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Common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adolescents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Dent</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2014</w:t>
      </w:r>
      <w:r w:rsidRPr="00520861">
        <w:rPr>
          <w:rFonts w:eastAsiaTheme="minorHAnsi"/>
          <w:color w:val="000000"/>
          <w:sz w:val="28"/>
          <w:szCs w:val="28"/>
          <w:shd w:val="clear" w:color="auto" w:fill="FFFFFF"/>
          <w:lang w:val="en-US" w:eastAsia="en-US"/>
        </w:rPr>
        <w:t xml:space="preserve"> Jun</w:t>
      </w:r>
      <w:r w:rsidRPr="00520861">
        <w:rPr>
          <w:rFonts w:eastAsiaTheme="minorHAnsi"/>
          <w:sz w:val="28"/>
          <w:szCs w:val="28"/>
          <w:lang w:val="en-US" w:eastAsia="en-US"/>
        </w:rPr>
        <w:t xml:space="preserve"> [cited 2020 Feb 11]</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 xml:space="preserve">850674.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10.1155/2014/850674.</w:t>
      </w:r>
    </w:p>
    <w:p w14:paraId="75EBBDD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Alm</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Wendt</w:t>
      </w:r>
      <w:proofErr w:type="spellEnd"/>
      <w:r w:rsidRPr="00520861">
        <w:rPr>
          <w:rFonts w:eastAsiaTheme="minorHAnsi"/>
          <w:sz w:val="28"/>
          <w:szCs w:val="28"/>
          <w:lang w:eastAsia="en-US"/>
        </w:rPr>
        <w:t xml:space="preserve"> LK, </w:t>
      </w:r>
      <w:proofErr w:type="spellStart"/>
      <w:r w:rsidRPr="00520861">
        <w:rPr>
          <w:rFonts w:eastAsiaTheme="minorHAnsi"/>
          <w:sz w:val="28"/>
          <w:szCs w:val="28"/>
          <w:lang w:eastAsia="en-US"/>
        </w:rPr>
        <w:t>Koch</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Birkhed</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Nilsson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adolescence</w:t>
      </w:r>
      <w:proofErr w:type="spellEnd"/>
      <w:r w:rsidRPr="00520861">
        <w:rPr>
          <w:rFonts w:eastAsiaTheme="minorHAnsi"/>
          <w:sz w:val="28"/>
          <w:szCs w:val="28"/>
          <w:lang w:eastAsia="en-US"/>
        </w:rPr>
        <w:t xml:space="preserve"> –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Community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Epidemiol</w:t>
      </w:r>
      <w:proofErr w:type="spellEnd"/>
      <w:r w:rsidRPr="00520861">
        <w:rPr>
          <w:rFonts w:eastAsiaTheme="minorHAnsi"/>
          <w:sz w:val="28"/>
          <w:szCs w:val="28"/>
          <w:lang w:eastAsia="en-US"/>
        </w:rPr>
        <w:t>. 2012</w:t>
      </w:r>
      <w:r w:rsidRPr="00520861">
        <w:rPr>
          <w:rFonts w:eastAsiaTheme="minorHAnsi"/>
          <w:sz w:val="28"/>
          <w:szCs w:val="28"/>
          <w:lang w:val="en-US" w:eastAsia="en-US"/>
        </w:rPr>
        <w:t>;</w:t>
      </w:r>
      <w:r w:rsidRPr="00520861">
        <w:rPr>
          <w:rFonts w:eastAsiaTheme="minorHAnsi"/>
          <w:sz w:val="28"/>
          <w:szCs w:val="28"/>
          <w:lang w:eastAsia="en-US"/>
        </w:rPr>
        <w:t>40(2), 125–</w:t>
      </w:r>
      <w:r w:rsidRPr="00520861">
        <w:rPr>
          <w:rFonts w:eastAsiaTheme="minorHAnsi"/>
          <w:sz w:val="28"/>
          <w:szCs w:val="28"/>
          <w:lang w:val="en-US" w:eastAsia="en-US"/>
        </w:rPr>
        <w:t>1</w:t>
      </w:r>
      <w:r w:rsidRPr="00520861">
        <w:rPr>
          <w:rFonts w:eastAsiaTheme="minorHAnsi"/>
          <w:sz w:val="28"/>
          <w:szCs w:val="28"/>
          <w:lang w:eastAsia="en-US"/>
        </w:rPr>
        <w:t xml:space="preserve">33.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10.1111/j.1600-0528.2011.00647.x</w:t>
      </w:r>
      <w:r w:rsidRPr="00520861">
        <w:rPr>
          <w:rFonts w:eastAsiaTheme="minorHAnsi"/>
          <w:sz w:val="28"/>
          <w:szCs w:val="28"/>
          <w:lang w:val="en-US" w:eastAsia="en-US"/>
        </w:rPr>
        <w:t>.</w:t>
      </w:r>
    </w:p>
    <w:p w14:paraId="6FDE8D2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Almuallem</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Busuttil-Naudi</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Molar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incisor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hypomineralisation</w:t>
      </w:r>
      <w:proofErr w:type="spellEnd"/>
      <w:r w:rsidRPr="00520861">
        <w:rPr>
          <w:rFonts w:eastAsiaTheme="minorHAnsi"/>
          <w:sz w:val="28"/>
          <w:szCs w:val="28"/>
          <w:lang w:eastAsia="en-US"/>
        </w:rPr>
        <w:t xml:space="preserve"> (MIH) –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overview</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J</w:t>
      </w:r>
      <w:r w:rsidRPr="00520861">
        <w:rPr>
          <w:rFonts w:eastAsiaTheme="minorHAnsi"/>
          <w:sz w:val="28"/>
          <w:szCs w:val="28"/>
          <w:lang w:val="en-US" w:eastAsia="en-US"/>
        </w:rPr>
        <w:t>.</w:t>
      </w:r>
      <w:r w:rsidRPr="00520861">
        <w:rPr>
          <w:rFonts w:eastAsiaTheme="minorHAnsi"/>
          <w:sz w:val="28"/>
          <w:szCs w:val="28"/>
          <w:lang w:eastAsia="en-US"/>
        </w:rPr>
        <w:t xml:space="preserve"> 2018</w:t>
      </w:r>
      <w:r w:rsidRPr="00520861">
        <w:rPr>
          <w:rFonts w:eastAsiaTheme="minorHAnsi"/>
          <w:sz w:val="28"/>
          <w:szCs w:val="28"/>
          <w:lang w:val="en-US" w:eastAsia="en-US"/>
        </w:rPr>
        <w:t>;</w:t>
      </w:r>
      <w:r w:rsidRPr="00520861">
        <w:rPr>
          <w:rFonts w:eastAsiaTheme="minorHAnsi"/>
          <w:sz w:val="28"/>
          <w:szCs w:val="28"/>
          <w:lang w:eastAsia="en-US"/>
        </w:rPr>
        <w:t>225</w:t>
      </w:r>
      <w:r w:rsidRPr="00520861">
        <w:rPr>
          <w:rFonts w:eastAsiaTheme="minorHAnsi"/>
          <w:sz w:val="28"/>
          <w:szCs w:val="28"/>
          <w:lang w:val="en-US" w:eastAsia="en-US"/>
        </w:rPr>
        <w:t>:</w:t>
      </w:r>
      <w:r w:rsidRPr="00520861">
        <w:rPr>
          <w:rFonts w:eastAsiaTheme="minorHAnsi"/>
          <w:sz w:val="28"/>
          <w:szCs w:val="28"/>
          <w:lang w:eastAsia="en-US"/>
        </w:rPr>
        <w:t xml:space="preserve"> 601–609.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https://doi.org/10.1038/sj.bdj.2018.814</w:t>
      </w:r>
      <w:r w:rsidRPr="00520861">
        <w:rPr>
          <w:rFonts w:eastAsiaTheme="minorHAnsi"/>
          <w:sz w:val="28"/>
          <w:szCs w:val="28"/>
          <w:lang w:val="en-US" w:eastAsia="en-US"/>
        </w:rPr>
        <w:t>.</w:t>
      </w:r>
    </w:p>
    <w:p w14:paraId="47DA569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Al-Rassam</w:t>
      </w:r>
      <w:proofErr w:type="spellEnd"/>
      <w:r w:rsidRPr="00520861">
        <w:rPr>
          <w:rFonts w:eastAsiaTheme="minorHAnsi"/>
          <w:sz w:val="28"/>
          <w:szCs w:val="28"/>
          <w:lang w:eastAsia="en-US"/>
        </w:rPr>
        <w:t xml:space="preserve"> ZT, </w:t>
      </w:r>
      <w:proofErr w:type="spellStart"/>
      <w:r w:rsidRPr="00520861">
        <w:rPr>
          <w:rFonts w:eastAsiaTheme="minorHAnsi"/>
          <w:sz w:val="28"/>
          <w:szCs w:val="28"/>
          <w:lang w:eastAsia="en-US"/>
        </w:rPr>
        <w:t>Taha</w:t>
      </w:r>
      <w:proofErr w:type="spellEnd"/>
      <w:r w:rsidRPr="00520861">
        <w:rPr>
          <w:rFonts w:eastAsiaTheme="minorHAnsi"/>
          <w:sz w:val="28"/>
          <w:szCs w:val="28"/>
          <w:lang w:eastAsia="en-US"/>
        </w:rPr>
        <w:t xml:space="preserve"> MYM. </w:t>
      </w:r>
      <w:proofErr w:type="spellStart"/>
      <w:r w:rsidRPr="00520861">
        <w:rPr>
          <w:rFonts w:eastAsiaTheme="minorHAnsi"/>
          <w:sz w:val="28"/>
          <w:szCs w:val="28"/>
          <w:lang w:eastAsia="en-US"/>
        </w:rPr>
        <w:t>Serum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cytokines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profiles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some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parameters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Mosul</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Iraq</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Basic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Appl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2014;16</w:t>
      </w:r>
      <w:r w:rsidRPr="00520861">
        <w:rPr>
          <w:rFonts w:eastAsiaTheme="minorHAnsi"/>
          <w:sz w:val="28"/>
          <w:szCs w:val="28"/>
          <w:lang w:val="en-US" w:eastAsia="en-US"/>
        </w:rPr>
        <w:t>(</w:t>
      </w:r>
      <w:r w:rsidRPr="00520861">
        <w:rPr>
          <w:rFonts w:eastAsiaTheme="minorHAnsi"/>
          <w:sz w:val="28"/>
          <w:szCs w:val="28"/>
          <w:lang w:eastAsia="en-US"/>
        </w:rPr>
        <w:t>1</w:t>
      </w:r>
      <w:r w:rsidRPr="00520861">
        <w:rPr>
          <w:rFonts w:eastAsiaTheme="minorHAnsi"/>
          <w:sz w:val="28"/>
          <w:szCs w:val="28"/>
          <w:lang w:val="en-US" w:eastAsia="en-US"/>
        </w:rPr>
        <w:t>)</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339–</w:t>
      </w:r>
      <w:r w:rsidRPr="00520861">
        <w:rPr>
          <w:rFonts w:eastAsiaTheme="minorHAnsi"/>
          <w:sz w:val="28"/>
          <w:szCs w:val="28"/>
          <w:lang w:val="en-US" w:eastAsia="en-US"/>
        </w:rPr>
        <w:t>3</w:t>
      </w:r>
      <w:r w:rsidRPr="00520861">
        <w:rPr>
          <w:rFonts w:eastAsiaTheme="minorHAnsi"/>
          <w:sz w:val="28"/>
          <w:szCs w:val="28"/>
          <w:lang w:eastAsia="en-US"/>
        </w:rPr>
        <w:t>50.</w:t>
      </w:r>
    </w:p>
    <w:p w14:paraId="1E3943C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AlSeaidan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AlWotayan</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Christophi</w:t>
      </w:r>
      <w:proofErr w:type="spellEnd"/>
      <w:r w:rsidRPr="00520861">
        <w:rPr>
          <w:rFonts w:eastAsiaTheme="minorHAnsi"/>
          <w:sz w:val="28"/>
          <w:szCs w:val="28"/>
          <w:lang w:eastAsia="en-US"/>
        </w:rPr>
        <w:t xml:space="preserve"> CA, </w:t>
      </w:r>
      <w:proofErr w:type="spellStart"/>
      <w:r w:rsidRPr="00520861">
        <w:rPr>
          <w:rFonts w:eastAsiaTheme="minorHAnsi"/>
          <w:sz w:val="28"/>
          <w:szCs w:val="28"/>
          <w:lang w:eastAsia="en-US"/>
        </w:rPr>
        <w:t>AlMakhseed</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AbuAwad</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Nassan</w:t>
      </w:r>
      <w:proofErr w:type="spellEnd"/>
      <w:r w:rsidRPr="00520861">
        <w:rPr>
          <w:rFonts w:eastAsiaTheme="minorHAnsi"/>
          <w:sz w:val="28"/>
          <w:szCs w:val="28"/>
          <w:lang w:val="en-US" w:eastAsia="en-US"/>
        </w:rPr>
        <w:t> </w:t>
      </w:r>
      <w:r w:rsidRPr="00520861">
        <w:rPr>
          <w:rFonts w:eastAsiaTheme="minorHAnsi"/>
          <w:sz w:val="28"/>
          <w:szCs w:val="28"/>
          <w:lang w:eastAsia="en-US"/>
        </w:rPr>
        <w:t xml:space="preserve">F,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prospective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cohort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environmental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Kuwait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TRACER </w:t>
      </w:r>
      <w:r w:rsidRPr="00520861">
        <w:rPr>
          <w:rFonts w:eastAsiaTheme="minorHAnsi"/>
          <w:sz w:val="28"/>
          <w:szCs w:val="28"/>
          <w:lang w:val="en-US" w:eastAsia="en-US"/>
        </w:rPr>
        <w:t>s</w:t>
      </w:r>
      <w:proofErr w:type="spellStart"/>
      <w:r w:rsidRPr="00520861">
        <w:rPr>
          <w:rFonts w:eastAsiaTheme="minorHAnsi"/>
          <w:sz w:val="28"/>
          <w:szCs w:val="28"/>
          <w:lang w:eastAsia="en-US"/>
        </w:rPr>
        <w:t>tudy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Paediatr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Perinat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Epidemiol</w:t>
      </w:r>
      <w:proofErr w:type="spellEnd"/>
      <w:r w:rsidRPr="00520861">
        <w:rPr>
          <w:rFonts w:eastAsiaTheme="minorHAnsi"/>
          <w:sz w:val="28"/>
          <w:szCs w:val="28"/>
          <w:lang w:eastAsia="en-US"/>
        </w:rPr>
        <w:t>. 2016;30(4):</w:t>
      </w:r>
      <w:r w:rsidRPr="00520861">
        <w:rPr>
          <w:rFonts w:eastAsiaTheme="minorHAnsi"/>
          <w:sz w:val="28"/>
          <w:szCs w:val="28"/>
          <w:lang w:val="en-US" w:eastAsia="en-US"/>
        </w:rPr>
        <w:t xml:space="preserve"> </w:t>
      </w:r>
      <w:r w:rsidRPr="00520861">
        <w:rPr>
          <w:rFonts w:eastAsiaTheme="minorHAnsi"/>
          <w:sz w:val="28"/>
          <w:szCs w:val="28"/>
          <w:lang w:eastAsia="en-US"/>
        </w:rPr>
        <w:t xml:space="preserve">408–417.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 xml:space="preserve">10.1111/ppe.12296. </w:t>
      </w:r>
    </w:p>
    <w:p w14:paraId="15E9664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Amano</w:t>
      </w:r>
      <w:proofErr w:type="spellEnd"/>
      <w:r w:rsidRPr="00520861">
        <w:rPr>
          <w:rFonts w:eastAsiaTheme="minorHAnsi"/>
          <w:sz w:val="28"/>
          <w:szCs w:val="28"/>
          <w:lang w:eastAsia="en-US"/>
        </w:rPr>
        <w:t xml:space="preserve"> O, </w:t>
      </w:r>
      <w:proofErr w:type="spellStart"/>
      <w:r w:rsidRPr="00520861">
        <w:rPr>
          <w:rFonts w:eastAsiaTheme="minorHAnsi"/>
          <w:sz w:val="28"/>
          <w:szCs w:val="28"/>
          <w:lang w:eastAsia="en-US"/>
        </w:rPr>
        <w:t>Mizobe</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Bando</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Sakiyama</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Anatomy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histology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rodent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major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w:t>
      </w:r>
      <w:proofErr w:type="spellStart"/>
      <w:r w:rsidRPr="00520861">
        <w:rPr>
          <w:rFonts w:eastAsiaTheme="minorHAnsi"/>
          <w:sz w:val="28"/>
          <w:szCs w:val="28"/>
          <w:lang w:eastAsia="en-US"/>
        </w:rPr>
        <w:t>overview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Japan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society-sponsored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workshop</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Acta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Histochem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Cytochem</w:t>
      </w:r>
      <w:proofErr w:type="spellEnd"/>
      <w:r w:rsidRPr="00520861">
        <w:rPr>
          <w:rFonts w:eastAsiaTheme="minorHAnsi"/>
          <w:sz w:val="28"/>
          <w:szCs w:val="28"/>
          <w:lang w:eastAsia="en-US"/>
        </w:rPr>
        <w:t>. 2012;45(5):</w:t>
      </w:r>
      <w:r w:rsidRPr="00520861">
        <w:rPr>
          <w:rFonts w:eastAsiaTheme="minorHAnsi"/>
          <w:sz w:val="28"/>
          <w:szCs w:val="28"/>
          <w:lang w:val="en-US" w:eastAsia="en-US"/>
        </w:rPr>
        <w:t xml:space="preserve"> </w:t>
      </w:r>
      <w:r w:rsidRPr="00520861">
        <w:rPr>
          <w:rFonts w:eastAsiaTheme="minorHAnsi"/>
          <w:sz w:val="28"/>
          <w:szCs w:val="28"/>
          <w:lang w:eastAsia="en-US"/>
        </w:rPr>
        <w:t xml:space="preserve">241–250.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10.1267/ahc.12013</w:t>
      </w:r>
      <w:r w:rsidRPr="00520861">
        <w:rPr>
          <w:rFonts w:eastAsiaTheme="minorHAnsi"/>
          <w:sz w:val="28"/>
          <w:szCs w:val="28"/>
          <w:lang w:val="en-US" w:eastAsia="en-US"/>
        </w:rPr>
        <w:t>.</w:t>
      </w:r>
    </w:p>
    <w:p w14:paraId="3606AFB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Amarasekara</w:t>
      </w:r>
      <w:proofErr w:type="spellEnd"/>
      <w:r w:rsidRPr="00520861">
        <w:rPr>
          <w:rFonts w:eastAsiaTheme="minorHAnsi"/>
          <w:sz w:val="28"/>
          <w:szCs w:val="28"/>
          <w:lang w:eastAsia="en-US"/>
        </w:rPr>
        <w:t xml:space="preserve"> DS, </w:t>
      </w:r>
      <w:proofErr w:type="spellStart"/>
      <w:r w:rsidRPr="00520861">
        <w:rPr>
          <w:rFonts w:eastAsiaTheme="minorHAnsi"/>
          <w:sz w:val="28"/>
          <w:szCs w:val="28"/>
          <w:lang w:eastAsia="en-US"/>
        </w:rPr>
        <w:t>Yun</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Kim</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Lee</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Kim</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Rho</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Regulation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osteoclast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differentiation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cytokine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networks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Immune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Netw</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xml:space="preserve"> 2018</w:t>
      </w:r>
      <w:r w:rsidRPr="00520861">
        <w:rPr>
          <w:rFonts w:eastAsiaTheme="minorHAnsi"/>
          <w:sz w:val="28"/>
          <w:szCs w:val="28"/>
          <w:lang w:val="en-US" w:eastAsia="en-US"/>
        </w:rPr>
        <w:t xml:space="preserve"> Feb [cited 2020 Feb 12]</w:t>
      </w:r>
      <w:r w:rsidRPr="00520861">
        <w:rPr>
          <w:rFonts w:eastAsiaTheme="minorHAnsi"/>
          <w:sz w:val="28"/>
          <w:szCs w:val="28"/>
          <w:lang w:eastAsia="en-US"/>
        </w:rPr>
        <w:t>;18(1):</w:t>
      </w:r>
      <w:r w:rsidRPr="00520861">
        <w:rPr>
          <w:rFonts w:eastAsiaTheme="minorHAnsi"/>
          <w:sz w:val="28"/>
          <w:szCs w:val="28"/>
          <w:lang w:val="en-US" w:eastAsia="en-US"/>
        </w:rPr>
        <w:t xml:space="preserve"> </w:t>
      </w:r>
      <w:r w:rsidRPr="00520861">
        <w:rPr>
          <w:rFonts w:eastAsiaTheme="minorHAnsi"/>
          <w:sz w:val="28"/>
          <w:szCs w:val="28"/>
          <w:lang w:eastAsia="en-US"/>
        </w:rPr>
        <w:t xml:space="preserve">e8.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10.4110/in.2018.18.e8</w:t>
      </w:r>
      <w:r w:rsidRPr="00520861">
        <w:rPr>
          <w:rFonts w:eastAsiaTheme="minorHAnsi"/>
          <w:sz w:val="28"/>
          <w:szCs w:val="28"/>
          <w:lang w:val="en-US" w:eastAsia="en-US"/>
        </w:rPr>
        <w:t>.</w:t>
      </w:r>
    </w:p>
    <w:p w14:paraId="398F5F6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American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Academy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Pediatric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Dentistry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Definition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(ECC).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2005;27(7 </w:t>
      </w:r>
      <w:proofErr w:type="spellStart"/>
      <w:r w:rsidRPr="00520861">
        <w:rPr>
          <w:rFonts w:eastAsiaTheme="minorHAnsi"/>
          <w:sz w:val="28"/>
          <w:szCs w:val="28"/>
          <w:lang w:eastAsia="en-US"/>
        </w:rPr>
        <w:t>Reference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Manual</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13.</w:t>
      </w:r>
    </w:p>
    <w:p w14:paraId="4C4C22E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American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Academy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Pediatric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Dentistry</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R</w:t>
      </w:r>
      <w:proofErr w:type="spellStart"/>
      <w:r w:rsidRPr="00520861">
        <w:rPr>
          <w:rFonts w:eastAsiaTheme="minorHAnsi"/>
          <w:sz w:val="28"/>
          <w:szCs w:val="28"/>
          <w:lang w:eastAsia="en-US"/>
        </w:rPr>
        <w:t>eference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manual</w:t>
      </w:r>
      <w:proofErr w:type="spellEnd"/>
      <w:r w:rsidRPr="00520861">
        <w:rPr>
          <w:rFonts w:eastAsiaTheme="minorHAnsi"/>
          <w:sz w:val="28"/>
          <w:szCs w:val="28"/>
          <w:lang w:eastAsia="en-US"/>
        </w:rPr>
        <w:t xml:space="preserve"> 2009–2010.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xml:space="preserve">. 2009;31(6 </w:t>
      </w:r>
      <w:proofErr w:type="spellStart"/>
      <w:r w:rsidRPr="00520861">
        <w:rPr>
          <w:rFonts w:eastAsiaTheme="minorHAnsi"/>
          <w:sz w:val="28"/>
          <w:szCs w:val="28"/>
          <w:lang w:eastAsia="en-US"/>
        </w:rPr>
        <w:t>Reference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Manual</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1–302.</w:t>
      </w:r>
    </w:p>
    <w:p w14:paraId="1FE2BC2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Amir</w:t>
      </w:r>
      <w:proofErr w:type="spellEnd"/>
      <w:r w:rsidRPr="00520861">
        <w:rPr>
          <w:rFonts w:eastAsiaTheme="minorHAnsi"/>
          <w:sz w:val="28"/>
          <w:szCs w:val="28"/>
          <w:lang w:eastAsia="en-US"/>
        </w:rPr>
        <w:t xml:space="preserve"> LH</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James</w:t>
      </w:r>
      <w:proofErr w:type="spellEnd"/>
      <w:r w:rsidRPr="00520861">
        <w:rPr>
          <w:rFonts w:eastAsiaTheme="minorHAnsi"/>
          <w:sz w:val="28"/>
          <w:szCs w:val="28"/>
          <w:lang w:eastAsia="en-US"/>
        </w:rPr>
        <w:t xml:space="preserve"> JP</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Donath</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Reliability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hazelbaker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assessment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lingual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frenulum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function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Breastfeed</w:t>
      </w:r>
      <w:proofErr w:type="spellEnd"/>
      <w:r w:rsidRPr="00520861">
        <w:rPr>
          <w:rFonts w:eastAsiaTheme="minorHAnsi"/>
          <w:i/>
          <w:sz w:val="28"/>
          <w:szCs w:val="28"/>
          <w:lang w:eastAsia="en-US"/>
        </w:rPr>
        <w:t xml:space="preserve"> J</w:t>
      </w:r>
      <w:r w:rsidRPr="00520861">
        <w:rPr>
          <w:rFonts w:eastAsiaTheme="minorHAnsi"/>
          <w:sz w:val="28"/>
          <w:szCs w:val="28"/>
          <w:lang w:val="en-US" w:eastAsia="en-US"/>
        </w:rPr>
        <w:t>.</w:t>
      </w:r>
      <w:r w:rsidRPr="00520861">
        <w:rPr>
          <w:rFonts w:eastAsiaTheme="minorHAnsi"/>
          <w:sz w:val="28"/>
          <w:szCs w:val="28"/>
          <w:lang w:eastAsia="en-US"/>
        </w:rPr>
        <w:t xml:space="preserve"> 2006</w:t>
      </w:r>
      <w:r w:rsidRPr="00520861">
        <w:rPr>
          <w:rFonts w:eastAsiaTheme="minorHAnsi"/>
          <w:sz w:val="28"/>
          <w:szCs w:val="28"/>
          <w:lang w:val="en-US" w:eastAsia="en-US"/>
        </w:rPr>
        <w:t>;</w:t>
      </w:r>
      <w:r w:rsidRPr="00520861">
        <w:rPr>
          <w:rFonts w:eastAsiaTheme="minorHAnsi"/>
          <w:sz w:val="28"/>
          <w:szCs w:val="28"/>
          <w:lang w:eastAsia="en-US"/>
        </w:rPr>
        <w:t>1(1)</w:t>
      </w:r>
      <w:r w:rsidRPr="00520861">
        <w:rPr>
          <w:rFonts w:eastAsiaTheme="minorHAnsi"/>
          <w:sz w:val="28"/>
          <w:szCs w:val="28"/>
          <w:lang w:val="en-US" w:eastAsia="en-US"/>
        </w:rPr>
        <w:t>:</w:t>
      </w:r>
      <w:r w:rsidRPr="00520861">
        <w:rPr>
          <w:rFonts w:eastAsiaTheme="minorHAnsi"/>
          <w:sz w:val="28"/>
          <w:szCs w:val="28"/>
          <w:lang w:eastAsia="en-US"/>
        </w:rPr>
        <w:t xml:space="preserve"> 3–8.</w:t>
      </w:r>
    </w:p>
    <w:p w14:paraId="5858D04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Andreollo</w:t>
      </w:r>
      <w:proofErr w:type="spellEnd"/>
      <w:r w:rsidRPr="00520861">
        <w:rPr>
          <w:rFonts w:eastAsiaTheme="minorHAnsi"/>
          <w:sz w:val="28"/>
          <w:szCs w:val="28"/>
          <w:lang w:eastAsia="en-US"/>
        </w:rPr>
        <w:t xml:space="preserve"> NA, </w:t>
      </w:r>
      <w:proofErr w:type="spellStart"/>
      <w:r w:rsidRPr="00520861">
        <w:rPr>
          <w:rFonts w:eastAsiaTheme="minorHAnsi"/>
          <w:sz w:val="28"/>
          <w:szCs w:val="28"/>
          <w:lang w:eastAsia="en-US"/>
        </w:rPr>
        <w:t>Santos</w:t>
      </w:r>
      <w:proofErr w:type="spellEnd"/>
      <w:r w:rsidRPr="00520861">
        <w:rPr>
          <w:rFonts w:eastAsiaTheme="minorHAnsi"/>
          <w:sz w:val="28"/>
          <w:szCs w:val="28"/>
          <w:lang w:eastAsia="en-US"/>
        </w:rPr>
        <w:t xml:space="preserve"> EF, </w:t>
      </w:r>
      <w:proofErr w:type="spellStart"/>
      <w:r w:rsidRPr="00520861">
        <w:rPr>
          <w:rFonts w:eastAsiaTheme="minorHAnsi"/>
          <w:sz w:val="28"/>
          <w:szCs w:val="28"/>
          <w:lang w:eastAsia="en-US"/>
        </w:rPr>
        <w:t>Araújo</w:t>
      </w:r>
      <w:proofErr w:type="spellEnd"/>
      <w:r w:rsidRPr="00520861">
        <w:rPr>
          <w:rFonts w:eastAsiaTheme="minorHAnsi"/>
          <w:sz w:val="28"/>
          <w:szCs w:val="28"/>
          <w:lang w:eastAsia="en-US"/>
        </w:rPr>
        <w:t xml:space="preserve"> MR, </w:t>
      </w:r>
      <w:proofErr w:type="spellStart"/>
      <w:r w:rsidRPr="00520861">
        <w:rPr>
          <w:rFonts w:eastAsiaTheme="minorHAnsi"/>
          <w:sz w:val="28"/>
          <w:szCs w:val="28"/>
          <w:lang w:eastAsia="en-US"/>
        </w:rPr>
        <w:t>Lopes</w:t>
      </w:r>
      <w:proofErr w:type="spellEnd"/>
      <w:r w:rsidRPr="00520861">
        <w:rPr>
          <w:rFonts w:eastAsiaTheme="minorHAnsi"/>
          <w:sz w:val="28"/>
          <w:szCs w:val="28"/>
          <w:lang w:eastAsia="en-US"/>
        </w:rPr>
        <w:t xml:space="preserve"> LR. </w:t>
      </w:r>
      <w:proofErr w:type="spellStart"/>
      <w:r w:rsidRPr="00520861">
        <w:rPr>
          <w:rFonts w:eastAsiaTheme="minorHAnsi"/>
          <w:sz w:val="28"/>
          <w:szCs w:val="28"/>
          <w:lang w:eastAsia="en-US"/>
        </w:rPr>
        <w:t>Rat’s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versus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what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Arq</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Bras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Cir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Dig</w:t>
      </w:r>
      <w:proofErr w:type="spellEnd"/>
      <w:r w:rsidRPr="00520861">
        <w:rPr>
          <w:rFonts w:eastAsiaTheme="minorHAnsi"/>
          <w:sz w:val="28"/>
          <w:szCs w:val="28"/>
          <w:lang w:eastAsia="en-US"/>
        </w:rPr>
        <w:t>. 2012</w:t>
      </w:r>
      <w:r w:rsidRPr="00520861">
        <w:rPr>
          <w:rFonts w:eastAsiaTheme="minorHAnsi"/>
          <w:sz w:val="28"/>
          <w:szCs w:val="28"/>
          <w:lang w:val="en-US" w:eastAsia="en-US"/>
        </w:rPr>
        <w:t>;</w:t>
      </w:r>
      <w:r w:rsidRPr="00520861">
        <w:rPr>
          <w:rFonts w:eastAsiaTheme="minorHAnsi"/>
          <w:sz w:val="28"/>
          <w:szCs w:val="28"/>
          <w:lang w:eastAsia="en-US"/>
        </w:rPr>
        <w:t xml:space="preserve"> 25</w:t>
      </w:r>
      <w:r w:rsidRPr="00520861">
        <w:rPr>
          <w:rFonts w:eastAsiaTheme="minorHAnsi"/>
          <w:sz w:val="28"/>
          <w:szCs w:val="28"/>
          <w:lang w:val="en-US" w:eastAsia="en-US"/>
        </w:rPr>
        <w:t>(</w:t>
      </w:r>
      <w:r w:rsidRPr="00520861">
        <w:rPr>
          <w:rFonts w:eastAsiaTheme="minorHAnsi"/>
          <w:sz w:val="28"/>
          <w:szCs w:val="28"/>
          <w:lang w:eastAsia="en-US"/>
        </w:rPr>
        <w:t>1</w:t>
      </w:r>
      <w:r w:rsidRPr="00520861">
        <w:rPr>
          <w:rFonts w:eastAsiaTheme="minorHAnsi"/>
          <w:sz w:val="28"/>
          <w:szCs w:val="28"/>
          <w:lang w:val="en-US" w:eastAsia="en-US"/>
        </w:rPr>
        <w:t>):</w:t>
      </w:r>
      <w:r w:rsidRPr="00520861">
        <w:rPr>
          <w:rFonts w:eastAsiaTheme="minorHAnsi"/>
          <w:sz w:val="28"/>
          <w:szCs w:val="28"/>
          <w:lang w:eastAsia="en-US"/>
        </w:rPr>
        <w:t xml:space="preserve"> 49–51. </w:t>
      </w:r>
    </w:p>
    <w:p w14:paraId="623BF34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Arid</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Oliveira</w:t>
      </w:r>
      <w:proofErr w:type="spellEnd"/>
      <w:r w:rsidRPr="00520861">
        <w:rPr>
          <w:rFonts w:eastAsiaTheme="minorHAnsi"/>
          <w:sz w:val="28"/>
          <w:szCs w:val="28"/>
          <w:lang w:eastAsia="en-US"/>
        </w:rPr>
        <w:t xml:space="preserve"> DB, </w:t>
      </w:r>
      <w:proofErr w:type="spellStart"/>
      <w:r w:rsidRPr="00520861">
        <w:rPr>
          <w:rFonts w:eastAsiaTheme="minorHAnsi"/>
          <w:sz w:val="28"/>
          <w:szCs w:val="28"/>
          <w:lang w:eastAsia="en-US"/>
        </w:rPr>
        <w:t>Evangelista</w:t>
      </w:r>
      <w:proofErr w:type="spellEnd"/>
      <w:r w:rsidRPr="00520861">
        <w:rPr>
          <w:rFonts w:eastAsiaTheme="minorHAnsi"/>
          <w:sz w:val="28"/>
          <w:szCs w:val="28"/>
          <w:lang w:eastAsia="en-US"/>
        </w:rPr>
        <w:t xml:space="preserve"> SS, </w:t>
      </w:r>
      <w:proofErr w:type="spellStart"/>
      <w:r w:rsidRPr="00520861">
        <w:rPr>
          <w:rFonts w:eastAsiaTheme="minorHAnsi"/>
          <w:sz w:val="28"/>
          <w:szCs w:val="28"/>
          <w:lang w:eastAsia="en-US"/>
        </w:rPr>
        <w:t>Vasconcelos</w:t>
      </w:r>
      <w:proofErr w:type="spellEnd"/>
      <w:r w:rsidRPr="00520861">
        <w:rPr>
          <w:rFonts w:eastAsiaTheme="minorHAnsi"/>
          <w:sz w:val="28"/>
          <w:szCs w:val="28"/>
          <w:lang w:eastAsia="en-US"/>
        </w:rPr>
        <w:t xml:space="preserve"> KRF</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Dutra</w:t>
      </w:r>
      <w:proofErr w:type="spellEnd"/>
      <w:r w:rsidRPr="00520861">
        <w:rPr>
          <w:rFonts w:eastAsiaTheme="minorHAnsi"/>
          <w:sz w:val="28"/>
          <w:szCs w:val="28"/>
          <w:lang w:eastAsia="en-US"/>
        </w:rPr>
        <w:t xml:space="preserve"> ALT</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Oliveira</w:t>
      </w:r>
      <w:proofErr w:type="spellEnd"/>
      <w:r w:rsidRPr="00520861">
        <w:rPr>
          <w:rFonts w:eastAsiaTheme="minorHAnsi"/>
          <w:sz w:val="28"/>
          <w:szCs w:val="28"/>
          <w:lang w:eastAsia="en-US"/>
        </w:rPr>
        <w:t xml:space="preserve"> SS</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alpha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hormone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enamel</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Paediatr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xml:space="preserve">. 2019;29: 29–35.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10.1111/ipd.12434.</w:t>
      </w:r>
    </w:p>
    <w:p w14:paraId="30F12524"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r w:rsidRPr="00520861">
        <w:rPr>
          <w:rFonts w:eastAsia="Calibri"/>
          <w:sz w:val="28"/>
          <w:szCs w:val="28"/>
          <w:lang w:val="en-GB" w:eastAsia="en-US"/>
        </w:rPr>
        <w:t>Arid</w:t>
      </w:r>
      <w:r w:rsidRPr="00520861">
        <w:rPr>
          <w:rFonts w:eastAsia="Calibri"/>
          <w:sz w:val="28"/>
          <w:szCs w:val="28"/>
          <w:lang w:eastAsia="en-US"/>
        </w:rPr>
        <w:t xml:space="preserve"> </w:t>
      </w:r>
      <w:r w:rsidRPr="00520861">
        <w:rPr>
          <w:rFonts w:eastAsia="Calibri"/>
          <w:sz w:val="28"/>
          <w:szCs w:val="28"/>
          <w:lang w:val="en-GB" w:eastAsia="en-US"/>
        </w:rPr>
        <w:t>J</w:t>
      </w:r>
      <w:r w:rsidRPr="00520861">
        <w:rPr>
          <w:rFonts w:eastAsia="Calibri"/>
          <w:sz w:val="28"/>
          <w:szCs w:val="28"/>
          <w:lang w:eastAsia="en-US"/>
        </w:rPr>
        <w:t xml:space="preserve">, </w:t>
      </w:r>
      <w:r w:rsidRPr="00520861">
        <w:rPr>
          <w:rFonts w:eastAsia="Calibri"/>
          <w:sz w:val="28"/>
          <w:szCs w:val="28"/>
          <w:lang w:val="en-GB" w:eastAsia="en-US"/>
        </w:rPr>
        <w:t>Xavier</w:t>
      </w:r>
      <w:r w:rsidRPr="00520861">
        <w:rPr>
          <w:rFonts w:eastAsia="Calibri"/>
          <w:sz w:val="28"/>
          <w:szCs w:val="28"/>
          <w:lang w:eastAsia="en-US"/>
        </w:rPr>
        <w:t xml:space="preserve"> </w:t>
      </w:r>
      <w:r w:rsidRPr="00520861">
        <w:rPr>
          <w:rFonts w:eastAsia="Calibri"/>
          <w:sz w:val="28"/>
          <w:szCs w:val="28"/>
          <w:lang w:val="en-GB" w:eastAsia="en-US"/>
        </w:rPr>
        <w:t>TA</w:t>
      </w:r>
      <w:r w:rsidRPr="00520861">
        <w:rPr>
          <w:rFonts w:eastAsia="Calibri"/>
          <w:sz w:val="28"/>
          <w:szCs w:val="28"/>
          <w:lang w:eastAsia="en-US"/>
        </w:rPr>
        <w:t xml:space="preserve">, </w:t>
      </w:r>
      <w:r w:rsidRPr="00520861">
        <w:rPr>
          <w:rFonts w:eastAsia="Calibri"/>
          <w:sz w:val="28"/>
          <w:szCs w:val="28"/>
          <w:lang w:val="en-GB" w:eastAsia="en-US"/>
        </w:rPr>
        <w:t>da</w:t>
      </w:r>
      <w:r w:rsidRPr="00520861">
        <w:rPr>
          <w:rFonts w:eastAsia="Calibri"/>
          <w:sz w:val="28"/>
          <w:szCs w:val="28"/>
          <w:lang w:eastAsia="en-US"/>
        </w:rPr>
        <w:t xml:space="preserve"> </w:t>
      </w:r>
      <w:r w:rsidRPr="00520861">
        <w:rPr>
          <w:rFonts w:eastAsia="Calibri"/>
          <w:sz w:val="28"/>
          <w:szCs w:val="28"/>
          <w:lang w:val="en-GB" w:eastAsia="en-US"/>
        </w:rPr>
        <w:t>Silva</w:t>
      </w:r>
      <w:r w:rsidRPr="00520861">
        <w:rPr>
          <w:rFonts w:eastAsia="Calibri"/>
          <w:sz w:val="28"/>
          <w:szCs w:val="28"/>
          <w:lang w:eastAsia="en-US"/>
        </w:rPr>
        <w:t xml:space="preserve"> </w:t>
      </w:r>
      <w:r w:rsidRPr="00520861">
        <w:rPr>
          <w:rFonts w:eastAsia="Calibri"/>
          <w:sz w:val="28"/>
          <w:szCs w:val="28"/>
          <w:lang w:val="en-GB" w:eastAsia="en-US"/>
        </w:rPr>
        <w:t>RAB</w:t>
      </w:r>
      <w:r w:rsidRPr="00520861">
        <w:rPr>
          <w:rFonts w:eastAsia="Calibri"/>
          <w:sz w:val="28"/>
          <w:szCs w:val="28"/>
          <w:lang w:eastAsia="en-US"/>
        </w:rPr>
        <w:t xml:space="preserve">, </w:t>
      </w:r>
      <w:r w:rsidRPr="00520861">
        <w:rPr>
          <w:rFonts w:eastAsia="Calibri"/>
          <w:sz w:val="28"/>
          <w:szCs w:val="28"/>
          <w:lang w:val="en-GB" w:eastAsia="en-US"/>
        </w:rPr>
        <w:t>De</w:t>
      </w:r>
      <w:r w:rsidRPr="00520861">
        <w:rPr>
          <w:rFonts w:eastAsia="Calibri"/>
          <w:sz w:val="28"/>
          <w:szCs w:val="28"/>
          <w:lang w:eastAsia="en-US"/>
        </w:rPr>
        <w:t xml:space="preserve"> </w:t>
      </w:r>
      <w:r w:rsidRPr="00520861">
        <w:rPr>
          <w:rFonts w:eastAsia="Calibri"/>
          <w:sz w:val="28"/>
          <w:szCs w:val="28"/>
          <w:lang w:val="en-GB" w:eastAsia="en-US"/>
        </w:rPr>
        <w:t>Rossi</w:t>
      </w:r>
      <w:r w:rsidRPr="00520861">
        <w:rPr>
          <w:rFonts w:eastAsia="Calibri"/>
          <w:sz w:val="28"/>
          <w:szCs w:val="28"/>
          <w:lang w:eastAsia="en-US"/>
        </w:rPr>
        <w:t xml:space="preserve"> </w:t>
      </w:r>
      <w:r w:rsidRPr="00520861">
        <w:rPr>
          <w:rFonts w:eastAsia="Calibri"/>
          <w:sz w:val="28"/>
          <w:szCs w:val="28"/>
          <w:lang w:val="en-GB" w:eastAsia="en-US"/>
        </w:rPr>
        <w:t>A</w:t>
      </w:r>
      <w:r w:rsidRPr="00520861">
        <w:rPr>
          <w:rFonts w:eastAsia="Calibri"/>
          <w:sz w:val="28"/>
          <w:szCs w:val="28"/>
          <w:lang w:eastAsia="en-US"/>
        </w:rPr>
        <w:t xml:space="preserve">, </w:t>
      </w:r>
      <w:r w:rsidRPr="00520861">
        <w:rPr>
          <w:rFonts w:eastAsia="Calibri"/>
          <w:sz w:val="28"/>
          <w:szCs w:val="28"/>
          <w:lang w:val="en-GB" w:eastAsia="en-US"/>
        </w:rPr>
        <w:t>da</w:t>
      </w:r>
      <w:r w:rsidRPr="00520861">
        <w:rPr>
          <w:rFonts w:eastAsia="Calibri"/>
          <w:sz w:val="28"/>
          <w:szCs w:val="28"/>
          <w:lang w:eastAsia="en-US"/>
        </w:rPr>
        <w:t xml:space="preserve"> </w:t>
      </w:r>
      <w:r w:rsidRPr="00520861">
        <w:rPr>
          <w:rFonts w:eastAsia="Calibri"/>
          <w:sz w:val="28"/>
          <w:szCs w:val="28"/>
          <w:lang w:val="en-GB" w:eastAsia="en-US"/>
        </w:rPr>
        <w:t>Silva</w:t>
      </w:r>
      <w:r w:rsidRPr="00520861">
        <w:rPr>
          <w:rFonts w:eastAsia="Calibri"/>
          <w:sz w:val="28"/>
          <w:szCs w:val="28"/>
          <w:lang w:eastAsia="en-US"/>
        </w:rPr>
        <w:t xml:space="preserve"> </w:t>
      </w:r>
      <w:r w:rsidRPr="00520861">
        <w:rPr>
          <w:rFonts w:eastAsia="Calibri"/>
          <w:sz w:val="28"/>
          <w:szCs w:val="28"/>
          <w:lang w:val="en-GB" w:eastAsia="en-US"/>
        </w:rPr>
        <w:t>LAB</w:t>
      </w:r>
      <w:r w:rsidRPr="00520861">
        <w:rPr>
          <w:rFonts w:eastAsia="Calibri"/>
          <w:sz w:val="28"/>
          <w:szCs w:val="28"/>
          <w:lang w:eastAsia="en-US"/>
        </w:rPr>
        <w:t xml:space="preserve">, </w:t>
      </w:r>
      <w:r w:rsidRPr="00520861">
        <w:rPr>
          <w:rFonts w:eastAsia="Calibri"/>
          <w:sz w:val="28"/>
          <w:szCs w:val="28"/>
          <w:lang w:val="en-GB" w:eastAsia="en-US"/>
        </w:rPr>
        <w:t>de</w:t>
      </w:r>
      <w:r w:rsidRPr="00520861">
        <w:rPr>
          <w:rFonts w:eastAsia="Calibri"/>
          <w:sz w:val="28"/>
          <w:szCs w:val="28"/>
          <w:lang w:eastAsia="en-US"/>
        </w:rPr>
        <w:t xml:space="preserve"> </w:t>
      </w:r>
      <w:r w:rsidRPr="00520861">
        <w:rPr>
          <w:rFonts w:eastAsia="Calibri"/>
          <w:sz w:val="28"/>
          <w:szCs w:val="28"/>
          <w:lang w:val="en-GB" w:eastAsia="en-US"/>
        </w:rPr>
        <w:t>Queiroz</w:t>
      </w:r>
      <w:r w:rsidRPr="00520861">
        <w:rPr>
          <w:rFonts w:eastAsia="Calibri"/>
          <w:sz w:val="28"/>
          <w:szCs w:val="28"/>
          <w:lang w:eastAsia="en-US"/>
        </w:rPr>
        <w:t xml:space="preserve"> </w:t>
      </w:r>
      <w:r w:rsidRPr="00520861">
        <w:rPr>
          <w:rFonts w:eastAsia="Calibri"/>
          <w:sz w:val="28"/>
          <w:szCs w:val="28"/>
          <w:lang w:val="en-GB" w:eastAsia="en-US"/>
        </w:rPr>
        <w:t>AM</w:t>
      </w:r>
      <w:r w:rsidRPr="00520861">
        <w:rPr>
          <w:rFonts w:eastAsia="Calibri"/>
          <w:sz w:val="28"/>
          <w:szCs w:val="28"/>
          <w:lang w:eastAsia="en-US"/>
        </w:rPr>
        <w:t xml:space="preserve">, </w:t>
      </w:r>
      <w:r w:rsidRPr="00520861">
        <w:rPr>
          <w:rFonts w:eastAsia="Calibri"/>
          <w:sz w:val="28"/>
          <w:szCs w:val="28"/>
          <w:lang w:val="en-GB" w:eastAsia="en-US"/>
        </w:rPr>
        <w:t>et</w:t>
      </w:r>
      <w:r w:rsidRPr="00520861">
        <w:rPr>
          <w:rFonts w:eastAsia="Calibri"/>
          <w:sz w:val="28"/>
          <w:szCs w:val="28"/>
          <w:lang w:eastAsia="en-US"/>
        </w:rPr>
        <w:t xml:space="preserve"> </w:t>
      </w:r>
      <w:r w:rsidRPr="00520861">
        <w:rPr>
          <w:rFonts w:eastAsia="Calibri"/>
          <w:sz w:val="28"/>
          <w:szCs w:val="28"/>
          <w:lang w:val="en-GB" w:eastAsia="en-US"/>
        </w:rPr>
        <w:t>al</w:t>
      </w:r>
      <w:r w:rsidRPr="00520861">
        <w:rPr>
          <w:rFonts w:eastAsia="Calibri"/>
          <w:sz w:val="28"/>
          <w:szCs w:val="28"/>
          <w:lang w:eastAsia="en-US"/>
        </w:rPr>
        <w:t xml:space="preserve">. </w:t>
      </w:r>
      <w:r w:rsidRPr="00520861">
        <w:rPr>
          <w:rFonts w:eastAsia="Calibri"/>
          <w:sz w:val="28"/>
          <w:szCs w:val="28"/>
          <w:lang w:val="en-GB" w:eastAsia="en-US"/>
        </w:rPr>
        <w:t xml:space="preserve">RANKL is associated with persistent primary teeth and delayed permanent tooth </w:t>
      </w:r>
      <w:r w:rsidR="00905637" w:rsidRPr="00520861">
        <w:rPr>
          <w:rFonts w:eastAsia="Calibri"/>
          <w:sz w:val="28"/>
          <w:szCs w:val="28"/>
          <w:lang w:val="en-GB" w:eastAsia="en-US"/>
        </w:rPr>
        <w:br/>
      </w:r>
      <w:r w:rsidRPr="00520861">
        <w:rPr>
          <w:rFonts w:eastAsia="Calibri"/>
          <w:sz w:val="28"/>
          <w:szCs w:val="28"/>
          <w:lang w:val="en-GB" w:eastAsia="en-US"/>
        </w:rPr>
        <w:t>emergence.</w:t>
      </w:r>
      <w:r w:rsidRPr="00520861">
        <w:rPr>
          <w:rFonts w:eastAsia="Calibri"/>
          <w:sz w:val="28"/>
          <w:szCs w:val="28"/>
          <w:lang w:eastAsia="en-US"/>
        </w:rPr>
        <w:t xml:space="preserve"> </w:t>
      </w:r>
      <w:r w:rsidRPr="00520861">
        <w:rPr>
          <w:rFonts w:eastAsia="Calibri"/>
          <w:i/>
          <w:sz w:val="28"/>
          <w:szCs w:val="28"/>
          <w:lang w:val="en-GB" w:eastAsia="en-US"/>
        </w:rPr>
        <w:t>Int</w:t>
      </w:r>
      <w:r w:rsidRPr="00520861">
        <w:rPr>
          <w:rFonts w:eastAsia="Calibri"/>
          <w:i/>
          <w:sz w:val="28"/>
          <w:szCs w:val="28"/>
          <w:lang w:eastAsia="en-US"/>
        </w:rPr>
        <w:t xml:space="preserve"> </w:t>
      </w:r>
      <w:r w:rsidRPr="00520861">
        <w:rPr>
          <w:rFonts w:eastAsia="Calibri"/>
          <w:i/>
          <w:sz w:val="28"/>
          <w:szCs w:val="28"/>
          <w:lang w:val="en-GB" w:eastAsia="en-US"/>
        </w:rPr>
        <w:t>J</w:t>
      </w:r>
      <w:r w:rsidRPr="00520861">
        <w:rPr>
          <w:rFonts w:eastAsia="Calibri"/>
          <w:i/>
          <w:sz w:val="28"/>
          <w:szCs w:val="28"/>
          <w:lang w:eastAsia="en-US"/>
        </w:rPr>
        <w:t xml:space="preserve"> </w:t>
      </w:r>
      <w:proofErr w:type="spellStart"/>
      <w:r w:rsidRPr="00520861">
        <w:rPr>
          <w:rFonts w:eastAsia="Calibri"/>
          <w:i/>
          <w:sz w:val="28"/>
          <w:szCs w:val="28"/>
          <w:lang w:val="en-GB" w:eastAsia="en-US"/>
        </w:rPr>
        <w:t>Paediatr</w:t>
      </w:r>
      <w:proofErr w:type="spellEnd"/>
      <w:r w:rsidRPr="00520861">
        <w:rPr>
          <w:rFonts w:eastAsia="Calibri"/>
          <w:i/>
          <w:sz w:val="28"/>
          <w:szCs w:val="28"/>
          <w:lang w:eastAsia="en-US"/>
        </w:rPr>
        <w:t xml:space="preserve"> </w:t>
      </w:r>
      <w:r w:rsidRPr="00520861">
        <w:rPr>
          <w:rFonts w:eastAsia="Calibri"/>
          <w:i/>
          <w:sz w:val="28"/>
          <w:szCs w:val="28"/>
          <w:lang w:val="en-GB" w:eastAsia="en-US"/>
        </w:rPr>
        <w:t>Dent</w:t>
      </w:r>
      <w:r w:rsidRPr="00520861">
        <w:rPr>
          <w:rFonts w:eastAsia="Calibri"/>
          <w:sz w:val="28"/>
          <w:szCs w:val="28"/>
          <w:lang w:eastAsia="en-US"/>
        </w:rPr>
        <w:t>. 2019;29(3):</w:t>
      </w:r>
      <w:r w:rsidRPr="00520861">
        <w:rPr>
          <w:rFonts w:eastAsia="Calibri"/>
          <w:sz w:val="28"/>
          <w:szCs w:val="28"/>
          <w:lang w:val="en-US" w:eastAsia="en-US"/>
        </w:rPr>
        <w:t xml:space="preserve"> </w:t>
      </w:r>
      <w:r w:rsidRPr="00520861">
        <w:rPr>
          <w:rFonts w:eastAsia="Calibri"/>
          <w:sz w:val="28"/>
          <w:szCs w:val="28"/>
          <w:lang w:eastAsia="en-US"/>
        </w:rPr>
        <w:t xml:space="preserve">294–300.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eastAsia="en-US"/>
        </w:rPr>
        <w:t>10.1111/</w:t>
      </w:r>
      <w:proofErr w:type="spellStart"/>
      <w:r w:rsidRPr="00520861">
        <w:rPr>
          <w:rFonts w:eastAsia="Calibri"/>
          <w:sz w:val="28"/>
          <w:szCs w:val="28"/>
          <w:lang w:val="en-GB" w:eastAsia="en-US"/>
        </w:rPr>
        <w:t>ipd</w:t>
      </w:r>
      <w:proofErr w:type="spellEnd"/>
      <w:r w:rsidRPr="00520861">
        <w:rPr>
          <w:rFonts w:eastAsia="Calibri"/>
          <w:sz w:val="28"/>
          <w:szCs w:val="28"/>
          <w:lang w:eastAsia="en-US"/>
        </w:rPr>
        <w:t>.12467</w:t>
      </w:r>
      <w:r w:rsidRPr="00520861">
        <w:rPr>
          <w:rFonts w:eastAsia="Calibri"/>
          <w:sz w:val="28"/>
          <w:szCs w:val="28"/>
          <w:lang w:val="en-US" w:eastAsia="en-US"/>
        </w:rPr>
        <w:t>.</w:t>
      </w:r>
    </w:p>
    <w:p w14:paraId="2E2AA5F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r w:rsidRPr="00520861">
        <w:rPr>
          <w:rFonts w:eastAsiaTheme="minorHAnsi"/>
          <w:sz w:val="28"/>
          <w:szCs w:val="28"/>
          <w:lang w:val="en-US" w:eastAsia="en-US"/>
        </w:rPr>
        <w:t xml:space="preserve">Asboe-Hansen G. Hormonal effects on connective tissue. </w:t>
      </w:r>
      <w:proofErr w:type="spellStart"/>
      <w:r w:rsidRPr="00520861">
        <w:rPr>
          <w:rFonts w:eastAsiaTheme="minorHAnsi"/>
          <w:i/>
          <w:sz w:val="28"/>
          <w:szCs w:val="28"/>
          <w:lang w:val="en-US" w:eastAsia="en-US"/>
        </w:rPr>
        <w:t>Physiol</w:t>
      </w:r>
      <w:proofErr w:type="spellEnd"/>
      <w:r w:rsidRPr="00520861">
        <w:rPr>
          <w:rFonts w:eastAsiaTheme="minorHAnsi"/>
          <w:i/>
          <w:sz w:val="28"/>
          <w:szCs w:val="28"/>
          <w:lang w:val="en-US" w:eastAsia="en-US"/>
        </w:rPr>
        <w:t xml:space="preserve"> Rev</w:t>
      </w:r>
      <w:r w:rsidRPr="00520861">
        <w:rPr>
          <w:rFonts w:eastAsiaTheme="minorHAnsi"/>
          <w:sz w:val="28"/>
          <w:szCs w:val="28"/>
          <w:lang w:val="en-US" w:eastAsia="en-US"/>
        </w:rPr>
        <w:t xml:space="preserve">. 1958; 38(3): 446–462.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val="en-US" w:eastAsia="en-US"/>
        </w:rPr>
        <w:t>10.1152/physrev.1958.38.3.446.</w:t>
      </w:r>
    </w:p>
    <w:p w14:paraId="352D4D3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Atanasovska-Stojanovska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Trajkov</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Popovska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Spiroski</w:t>
      </w:r>
      <w:proofErr w:type="spellEnd"/>
      <w:r w:rsidRPr="00520861">
        <w:rPr>
          <w:rFonts w:eastAsiaTheme="minorHAnsi"/>
          <w:sz w:val="28"/>
          <w:szCs w:val="28"/>
          <w:lang w:eastAsia="en-US"/>
        </w:rPr>
        <w:t xml:space="preserve"> M. IL10 -1082, IL10 -819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IL10 -592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Macedonian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population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Hum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Immunol</w:t>
      </w:r>
      <w:proofErr w:type="spellEnd"/>
      <w:r w:rsidRPr="00520861">
        <w:rPr>
          <w:rFonts w:eastAsiaTheme="minorHAnsi"/>
          <w:sz w:val="28"/>
          <w:szCs w:val="28"/>
          <w:lang w:eastAsia="en-US"/>
        </w:rPr>
        <w:t>. 2012;73(7):</w:t>
      </w:r>
      <w:r w:rsidRPr="00520861">
        <w:rPr>
          <w:rFonts w:eastAsiaTheme="minorHAnsi"/>
          <w:sz w:val="28"/>
          <w:szCs w:val="28"/>
          <w:lang w:val="en-US" w:eastAsia="en-US"/>
        </w:rPr>
        <w:t xml:space="preserve"> </w:t>
      </w:r>
      <w:r w:rsidRPr="00520861">
        <w:rPr>
          <w:rFonts w:eastAsiaTheme="minorHAnsi"/>
          <w:sz w:val="28"/>
          <w:szCs w:val="28"/>
          <w:lang w:eastAsia="en-US"/>
        </w:rPr>
        <w:t>753</w:t>
      </w:r>
      <w:r w:rsidRPr="00520861">
        <w:rPr>
          <w:rFonts w:eastAsiaTheme="minorHAnsi"/>
          <w:sz w:val="28"/>
          <w:szCs w:val="28"/>
          <w:lang w:val="en-US" w:eastAsia="en-US"/>
        </w:rPr>
        <w:t xml:space="preserve"> </w:t>
      </w:r>
      <w:r w:rsidRPr="00520861">
        <w:rPr>
          <w:rFonts w:eastAsiaTheme="minorHAnsi"/>
          <w:sz w:val="28"/>
          <w:szCs w:val="28"/>
          <w:lang w:eastAsia="en-US"/>
        </w:rPr>
        <w:t>–</w:t>
      </w:r>
      <w:r w:rsidRPr="00520861">
        <w:rPr>
          <w:rFonts w:eastAsiaTheme="minorHAnsi"/>
          <w:sz w:val="28"/>
          <w:szCs w:val="28"/>
          <w:lang w:val="en-US" w:eastAsia="en-US"/>
        </w:rPr>
        <w:t xml:space="preserve"> 75</w:t>
      </w:r>
      <w:r w:rsidRPr="00520861">
        <w:rPr>
          <w:rFonts w:eastAsiaTheme="minorHAnsi"/>
          <w:sz w:val="28"/>
          <w:szCs w:val="28"/>
          <w:lang w:eastAsia="en-US"/>
        </w:rPr>
        <w:t xml:space="preserve">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10.1016/j.humimm.2012.04.009.</w:t>
      </w:r>
    </w:p>
    <w:p w14:paraId="25F927E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Bagherian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Jafarzadeh</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Rezaeian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Ahmadi</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Rezaity</w:t>
      </w:r>
      <w:proofErr w:type="spellEnd"/>
      <w:r w:rsidRPr="00520861">
        <w:rPr>
          <w:rFonts w:eastAsiaTheme="minorHAnsi"/>
          <w:sz w:val="28"/>
          <w:szCs w:val="28"/>
          <w:lang w:eastAsia="en-US"/>
        </w:rPr>
        <w:t xml:space="preserve"> MT. </w:t>
      </w:r>
      <w:proofErr w:type="spellStart"/>
      <w:r w:rsidRPr="00520861">
        <w:rPr>
          <w:rFonts w:eastAsiaTheme="minorHAnsi"/>
          <w:sz w:val="28"/>
          <w:szCs w:val="28"/>
          <w:lang w:eastAsia="en-US"/>
        </w:rPr>
        <w:t>Comparison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immunoglobulin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concentration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caries-free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Iran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Immunol</w:t>
      </w:r>
      <w:proofErr w:type="spellEnd"/>
      <w:r w:rsidRPr="00520861">
        <w:rPr>
          <w:rFonts w:eastAsiaTheme="minorHAnsi"/>
          <w:sz w:val="28"/>
          <w:szCs w:val="28"/>
          <w:lang w:eastAsia="en-US"/>
        </w:rPr>
        <w:t>. 2008</w:t>
      </w:r>
      <w:r w:rsidRPr="00520861">
        <w:rPr>
          <w:rFonts w:eastAsiaTheme="minorHAnsi"/>
          <w:sz w:val="28"/>
          <w:szCs w:val="28"/>
          <w:lang w:val="en-US" w:eastAsia="en-US"/>
        </w:rPr>
        <w:t>;</w:t>
      </w:r>
      <w:r w:rsidRPr="00520861">
        <w:rPr>
          <w:rFonts w:eastAsiaTheme="minorHAnsi"/>
          <w:sz w:val="28"/>
          <w:szCs w:val="28"/>
          <w:lang w:eastAsia="en-US"/>
        </w:rPr>
        <w:t>5</w:t>
      </w:r>
      <w:r w:rsidRPr="00520861">
        <w:rPr>
          <w:rFonts w:eastAsiaTheme="minorHAnsi"/>
          <w:sz w:val="28"/>
          <w:szCs w:val="28"/>
          <w:lang w:val="en-US" w:eastAsia="en-US"/>
        </w:rPr>
        <w:t>(</w:t>
      </w:r>
      <w:r w:rsidRPr="00520861">
        <w:rPr>
          <w:rFonts w:eastAsiaTheme="minorHAnsi"/>
          <w:sz w:val="28"/>
          <w:szCs w:val="28"/>
          <w:lang w:eastAsia="en-US"/>
        </w:rPr>
        <w:t>4</w:t>
      </w:r>
      <w:r w:rsidRPr="00520861">
        <w:rPr>
          <w:rFonts w:eastAsiaTheme="minorHAnsi"/>
          <w:sz w:val="28"/>
          <w:szCs w:val="28"/>
          <w:lang w:val="en-US" w:eastAsia="en-US"/>
        </w:rPr>
        <w:t>):</w:t>
      </w:r>
      <w:r w:rsidRPr="00520861">
        <w:rPr>
          <w:rFonts w:eastAsiaTheme="minorHAnsi"/>
          <w:sz w:val="28"/>
          <w:szCs w:val="28"/>
          <w:lang w:eastAsia="en-US"/>
        </w:rPr>
        <w:t xml:space="preserve"> 217–221. </w:t>
      </w:r>
    </w:p>
    <w:p w14:paraId="627D983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Bajoria</w:t>
      </w:r>
      <w:proofErr w:type="spellEnd"/>
      <w:r w:rsidRPr="00520861">
        <w:rPr>
          <w:rFonts w:eastAsiaTheme="minorHAnsi"/>
          <w:sz w:val="28"/>
          <w:szCs w:val="28"/>
          <w:lang w:eastAsia="en-US"/>
        </w:rPr>
        <w:t xml:space="preserve"> AA, </w:t>
      </w:r>
      <w:proofErr w:type="spellStart"/>
      <w:r w:rsidRPr="00520861">
        <w:rPr>
          <w:rFonts w:eastAsiaTheme="minorHAnsi"/>
          <w:sz w:val="28"/>
          <w:szCs w:val="28"/>
          <w:lang w:eastAsia="en-US"/>
        </w:rPr>
        <w:t>Ml</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Kamath</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Babshet</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Patil</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Sukhija</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Evaluation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radiomorphometric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indices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panoramic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radiograph</w:t>
      </w:r>
      <w:proofErr w:type="spellEnd"/>
      <w:r w:rsidRPr="00520861">
        <w:rPr>
          <w:rFonts w:eastAsiaTheme="minorHAnsi"/>
          <w:sz w:val="28"/>
          <w:szCs w:val="28"/>
          <w:lang w:eastAsia="en-US"/>
        </w:rPr>
        <w:t xml:space="preserve"> – A </w:t>
      </w:r>
      <w:proofErr w:type="spellStart"/>
      <w:r w:rsidRPr="00520861">
        <w:rPr>
          <w:rFonts w:eastAsiaTheme="minorHAnsi"/>
          <w:sz w:val="28"/>
          <w:szCs w:val="28"/>
          <w:lang w:eastAsia="en-US"/>
        </w:rPr>
        <w:t>screening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tool</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Open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J</w:t>
      </w:r>
      <w:r w:rsidRPr="00520861">
        <w:rPr>
          <w:rFonts w:eastAsiaTheme="minorHAnsi"/>
          <w:sz w:val="28"/>
          <w:szCs w:val="28"/>
          <w:lang w:eastAsia="en-US"/>
        </w:rPr>
        <w:t xml:space="preserve">. 2015;9: 303–310.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10.2174/1874210601509010303.</w:t>
      </w:r>
    </w:p>
    <w:p w14:paraId="0745967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Baranova</w:t>
      </w:r>
      <w:proofErr w:type="spellEnd"/>
      <w:r w:rsidRPr="00520861">
        <w:rPr>
          <w:rFonts w:eastAsiaTheme="minorHAnsi"/>
          <w:sz w:val="28"/>
          <w:szCs w:val="28"/>
          <w:lang w:eastAsia="en-US"/>
        </w:rPr>
        <w:t xml:space="preserve"> MS, </w:t>
      </w:r>
      <w:proofErr w:type="spellStart"/>
      <w:r w:rsidRPr="00520861">
        <w:rPr>
          <w:rFonts w:eastAsiaTheme="minorHAnsi"/>
          <w:sz w:val="28"/>
          <w:szCs w:val="28"/>
          <w:lang w:eastAsia="en-US"/>
        </w:rPr>
        <w:t>Gubina-Vakyulyk</w:t>
      </w:r>
      <w:proofErr w:type="spellEnd"/>
      <w:r w:rsidRPr="00520861">
        <w:rPr>
          <w:rFonts w:eastAsiaTheme="minorHAnsi"/>
          <w:sz w:val="28"/>
          <w:szCs w:val="28"/>
          <w:lang w:eastAsia="en-US"/>
        </w:rPr>
        <w:t xml:space="preserve"> GI, </w:t>
      </w:r>
      <w:proofErr w:type="spellStart"/>
      <w:r w:rsidRPr="00520861">
        <w:rPr>
          <w:rFonts w:eastAsiaTheme="minorHAnsi"/>
          <w:sz w:val="28"/>
          <w:szCs w:val="28"/>
          <w:lang w:eastAsia="en-US"/>
        </w:rPr>
        <w:t>Gorbach</w:t>
      </w:r>
      <w:proofErr w:type="spellEnd"/>
      <w:r w:rsidRPr="00520861">
        <w:rPr>
          <w:rFonts w:eastAsiaTheme="minorHAnsi"/>
          <w:sz w:val="28"/>
          <w:szCs w:val="28"/>
          <w:lang w:eastAsia="en-US"/>
        </w:rPr>
        <w:t xml:space="preserve"> TV, </w:t>
      </w:r>
      <w:proofErr w:type="spellStart"/>
      <w:r w:rsidRPr="00520861">
        <w:rPr>
          <w:rFonts w:eastAsiaTheme="minorHAnsi"/>
          <w:sz w:val="28"/>
          <w:szCs w:val="28"/>
          <w:lang w:eastAsia="en-US"/>
        </w:rPr>
        <w:t>Tkachenko</w:t>
      </w:r>
      <w:proofErr w:type="spellEnd"/>
      <w:r w:rsidRPr="00520861">
        <w:rPr>
          <w:rFonts w:eastAsiaTheme="minorHAnsi"/>
          <w:sz w:val="28"/>
          <w:szCs w:val="28"/>
          <w:lang w:eastAsia="en-US"/>
        </w:rPr>
        <w:t xml:space="preserve"> AS. </w:t>
      </w:r>
      <w:proofErr w:type="spellStart"/>
      <w:r w:rsidRPr="00520861">
        <w:rPr>
          <w:rFonts w:eastAsiaTheme="minorHAnsi"/>
          <w:sz w:val="28"/>
          <w:szCs w:val="28"/>
          <w:lang w:eastAsia="en-US"/>
        </w:rPr>
        <w:t>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histological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features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tissue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adult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offspring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hypokinesia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Comp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Pathol</w:t>
      </w:r>
      <w:proofErr w:type="spellEnd"/>
      <w:r w:rsidRPr="00520861">
        <w:rPr>
          <w:rFonts w:eastAsiaTheme="minorHAnsi"/>
          <w:sz w:val="28"/>
          <w:szCs w:val="28"/>
          <w:lang w:eastAsia="en-US"/>
        </w:rPr>
        <w:t>. 2017;26:</w:t>
      </w:r>
      <w:r w:rsidRPr="00520861">
        <w:rPr>
          <w:rFonts w:eastAsiaTheme="minorHAnsi"/>
          <w:sz w:val="28"/>
          <w:szCs w:val="28"/>
          <w:lang w:val="en-US" w:eastAsia="en-US"/>
        </w:rPr>
        <w:t xml:space="preserve"> </w:t>
      </w:r>
      <w:r w:rsidRPr="00520861">
        <w:rPr>
          <w:rFonts w:eastAsiaTheme="minorHAnsi"/>
          <w:sz w:val="28"/>
          <w:szCs w:val="28"/>
          <w:lang w:eastAsia="en-US"/>
        </w:rPr>
        <w:t>1329–</w:t>
      </w:r>
      <w:r w:rsidRPr="00520861">
        <w:rPr>
          <w:rFonts w:eastAsiaTheme="minorHAnsi"/>
          <w:sz w:val="28"/>
          <w:szCs w:val="28"/>
          <w:lang w:val="en-US" w:eastAsia="en-US"/>
        </w:rPr>
        <w:t>13</w:t>
      </w:r>
      <w:r w:rsidRPr="00520861">
        <w:rPr>
          <w:rFonts w:eastAsiaTheme="minorHAnsi"/>
          <w:sz w:val="28"/>
          <w:szCs w:val="28"/>
          <w:lang w:eastAsia="en-US"/>
        </w:rPr>
        <w:t>34.</w:t>
      </w:r>
    </w:p>
    <w:p w14:paraId="13AAA30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Baruwa</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Sarmah</w:t>
      </w:r>
      <w:proofErr w:type="spellEnd"/>
      <w:r w:rsidRPr="00520861">
        <w:rPr>
          <w:rFonts w:eastAsiaTheme="minorHAnsi"/>
          <w:sz w:val="28"/>
          <w:szCs w:val="28"/>
          <w:lang w:eastAsia="en-US"/>
        </w:rPr>
        <w:t xml:space="preserve"> KR.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asthma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Lung</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India</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2013</w:t>
      </w:r>
      <w:r w:rsidRPr="00520861">
        <w:rPr>
          <w:rFonts w:eastAsiaTheme="minorHAnsi"/>
          <w:sz w:val="28"/>
          <w:szCs w:val="28"/>
          <w:lang w:val="en-US" w:eastAsia="en-US"/>
        </w:rPr>
        <w:t>;</w:t>
      </w:r>
      <w:r w:rsidRPr="00520861">
        <w:rPr>
          <w:rFonts w:eastAsiaTheme="minorHAnsi"/>
          <w:sz w:val="28"/>
          <w:szCs w:val="28"/>
          <w:lang w:eastAsia="en-US"/>
        </w:rPr>
        <w:t>30(1)</w:t>
      </w:r>
      <w:r w:rsidRPr="00520861">
        <w:rPr>
          <w:rFonts w:eastAsiaTheme="minorHAnsi"/>
          <w:sz w:val="28"/>
          <w:szCs w:val="28"/>
          <w:lang w:val="en-US" w:eastAsia="en-US"/>
        </w:rPr>
        <w:t>:</w:t>
      </w:r>
      <w:r w:rsidRPr="00520861">
        <w:rPr>
          <w:rFonts w:eastAsiaTheme="minorHAnsi"/>
          <w:sz w:val="28"/>
          <w:szCs w:val="28"/>
          <w:lang w:eastAsia="en-US"/>
        </w:rPr>
        <w:t xml:space="preserve"> 38–46.</w:t>
      </w:r>
    </w:p>
    <w:p w14:paraId="143C51A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Basheer</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Hegde</w:t>
      </w:r>
      <w:proofErr w:type="spellEnd"/>
      <w:r w:rsidRPr="00520861">
        <w:rPr>
          <w:rFonts w:eastAsiaTheme="minorHAnsi"/>
          <w:sz w:val="28"/>
          <w:szCs w:val="28"/>
          <w:lang w:eastAsia="en-US"/>
        </w:rPr>
        <w:t xml:space="preserve"> KS, </w:t>
      </w:r>
      <w:proofErr w:type="spellStart"/>
      <w:r w:rsidRPr="00520861">
        <w:rPr>
          <w:rFonts w:eastAsiaTheme="minorHAnsi"/>
          <w:sz w:val="28"/>
          <w:szCs w:val="28"/>
          <w:lang w:eastAsia="en-US"/>
        </w:rPr>
        <w:t>Bhat</w:t>
      </w:r>
      <w:proofErr w:type="spellEnd"/>
      <w:r w:rsidRPr="00520861">
        <w:rPr>
          <w:rFonts w:eastAsiaTheme="minorHAnsi"/>
          <w:sz w:val="28"/>
          <w:szCs w:val="28"/>
          <w:lang w:eastAsia="en-US"/>
        </w:rPr>
        <w:t xml:space="preserve"> SS, </w:t>
      </w:r>
      <w:proofErr w:type="spellStart"/>
      <w:r w:rsidRPr="00520861">
        <w:rPr>
          <w:rFonts w:eastAsiaTheme="minorHAnsi"/>
          <w:sz w:val="28"/>
          <w:szCs w:val="28"/>
          <w:lang w:eastAsia="en-US"/>
        </w:rPr>
        <w:t>Umar</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Baroudi</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mouth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breathing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dentofacial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cephalometric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sz w:val="28"/>
          <w:szCs w:val="28"/>
          <w:lang w:eastAsia="en-US"/>
        </w:rPr>
        <w:t>. 2014;6(6):</w:t>
      </w:r>
      <w:r w:rsidRPr="00520861">
        <w:rPr>
          <w:rFonts w:eastAsiaTheme="minorHAnsi"/>
          <w:sz w:val="28"/>
          <w:szCs w:val="28"/>
          <w:lang w:val="en-US" w:eastAsia="en-US"/>
        </w:rPr>
        <w:t xml:space="preserve"> </w:t>
      </w:r>
      <w:r w:rsidRPr="00520861">
        <w:rPr>
          <w:rFonts w:eastAsiaTheme="minorHAnsi"/>
          <w:sz w:val="28"/>
          <w:szCs w:val="28"/>
          <w:lang w:eastAsia="en-US"/>
        </w:rPr>
        <w:t>50–55.</w:t>
      </w:r>
    </w:p>
    <w:p w14:paraId="691549E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Baur</w:t>
      </w:r>
      <w:proofErr w:type="spellEnd"/>
      <w:r w:rsidRPr="00520861">
        <w:rPr>
          <w:rFonts w:eastAsiaTheme="minorHAnsi"/>
          <w:sz w:val="28"/>
          <w:szCs w:val="28"/>
          <w:lang w:eastAsia="en-US"/>
        </w:rPr>
        <w:t xml:space="preserve"> AR. </w:t>
      </w:r>
      <w:proofErr w:type="spellStart"/>
      <w:r w:rsidRPr="00520861">
        <w:rPr>
          <w:rFonts w:eastAsiaTheme="minorHAnsi"/>
          <w:sz w:val="28"/>
          <w:szCs w:val="28"/>
          <w:lang w:eastAsia="en-US"/>
        </w:rPr>
        <w:t>Macrosomiа</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Medscape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Updated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Feb</w:t>
      </w:r>
      <w:proofErr w:type="spellEnd"/>
      <w:r w:rsidRPr="00520861">
        <w:rPr>
          <w:rFonts w:eastAsiaTheme="minorHAnsi"/>
          <w:sz w:val="28"/>
          <w:szCs w:val="28"/>
          <w:lang w:eastAsia="en-US"/>
        </w:rPr>
        <w:t xml:space="preserve"> 03, 2017. – Р. 23–30.</w:t>
      </w:r>
    </w:p>
    <w:p w14:paraId="70C14C1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Becker</w:t>
      </w:r>
      <w:proofErr w:type="spellEnd"/>
      <w:r w:rsidRPr="00520861">
        <w:rPr>
          <w:rFonts w:eastAsiaTheme="minorHAnsi"/>
          <w:sz w:val="28"/>
          <w:szCs w:val="28"/>
          <w:lang w:eastAsia="en-US"/>
        </w:rPr>
        <w:t xml:space="preserve"> W , </w:t>
      </w:r>
      <w:proofErr w:type="spellStart"/>
      <w:r w:rsidRPr="00520861">
        <w:rPr>
          <w:rFonts w:eastAsiaTheme="minorHAnsi"/>
          <w:sz w:val="28"/>
          <w:szCs w:val="28"/>
          <w:lang w:eastAsia="en-US"/>
        </w:rPr>
        <w:t>Rapp</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Schenk</w:t>
      </w:r>
      <w:proofErr w:type="spellEnd"/>
      <w:r w:rsidRPr="00520861">
        <w:rPr>
          <w:rFonts w:eastAsiaTheme="minorHAnsi"/>
          <w:sz w:val="28"/>
          <w:szCs w:val="28"/>
          <w:lang w:eastAsia="en-US"/>
        </w:rPr>
        <w:t xml:space="preserve"> HG, </w:t>
      </w:r>
      <w:proofErr w:type="spellStart"/>
      <w:r w:rsidRPr="00520861">
        <w:rPr>
          <w:rFonts w:eastAsiaTheme="minorHAnsi"/>
          <w:sz w:val="28"/>
          <w:szCs w:val="28"/>
          <w:lang w:eastAsia="en-US"/>
        </w:rPr>
        <w:t>Storiko</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Methods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quantitative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determination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plasma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proteins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immunoprecipitation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Z </w:t>
      </w:r>
      <w:proofErr w:type="spellStart"/>
      <w:r w:rsidRPr="00520861">
        <w:rPr>
          <w:rFonts w:eastAsiaTheme="minorHAnsi"/>
          <w:i/>
          <w:sz w:val="28"/>
          <w:szCs w:val="28"/>
          <w:lang w:eastAsia="en-US"/>
        </w:rPr>
        <w:t>Klin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Chem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Klin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Biochem</w:t>
      </w:r>
      <w:proofErr w:type="spellEnd"/>
      <w:r w:rsidRPr="00520861">
        <w:rPr>
          <w:rFonts w:eastAsiaTheme="minorHAnsi"/>
          <w:sz w:val="28"/>
          <w:szCs w:val="28"/>
          <w:lang w:eastAsia="en-US"/>
        </w:rPr>
        <w:t>. 1968;6: 113–122.</w:t>
      </w:r>
    </w:p>
    <w:p w14:paraId="4291873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Begić</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Halilović</w:t>
      </w:r>
      <w:proofErr w:type="spellEnd"/>
      <w:r w:rsidRPr="00520861">
        <w:rPr>
          <w:rFonts w:eastAsiaTheme="minorHAnsi"/>
          <w:sz w:val="28"/>
          <w:szCs w:val="28"/>
          <w:lang w:eastAsia="en-US"/>
        </w:rPr>
        <w:t xml:space="preserve"> JH.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acceleration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length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hypotrophic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hypertrophic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newborns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Tuzla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canton</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1976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2007. </w:t>
      </w:r>
      <w:proofErr w:type="spellStart"/>
      <w:r w:rsidRPr="00520861">
        <w:rPr>
          <w:rFonts w:eastAsiaTheme="minorHAnsi"/>
          <w:i/>
          <w:sz w:val="28"/>
          <w:szCs w:val="28"/>
          <w:lang w:eastAsia="en-US"/>
        </w:rPr>
        <w:t>Coll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Antropol</w:t>
      </w:r>
      <w:proofErr w:type="spellEnd"/>
      <w:r w:rsidRPr="00520861">
        <w:rPr>
          <w:rFonts w:eastAsiaTheme="minorHAnsi"/>
          <w:sz w:val="28"/>
          <w:szCs w:val="28"/>
          <w:lang w:eastAsia="en-US"/>
        </w:rPr>
        <w:t>. 2015;39(2): 353–362.</w:t>
      </w:r>
    </w:p>
    <w:p w14:paraId="63FC457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Bekda</w:t>
      </w:r>
      <w:proofErr w:type="spellEnd"/>
      <w:r w:rsidRPr="00520861">
        <w:rPr>
          <w:rFonts w:eastAsiaTheme="minorHAnsi"/>
          <w:sz w:val="28"/>
          <w:szCs w:val="28"/>
          <w:lang w:val="en-US" w:eastAsia="en-US"/>
        </w:rPr>
        <w:t>s</w:t>
      </w:r>
      <w:r w:rsidRPr="00520861">
        <w:rPr>
          <w:rFonts w:eastAsiaTheme="minorHAnsi"/>
          <w:sz w:val="28"/>
          <w:szCs w:val="28"/>
          <w:lang w:eastAsia="en-US"/>
        </w:rPr>
        <w:t xml:space="preserve"> M, </w:t>
      </w:r>
      <w:proofErr w:type="spellStart"/>
      <w:r w:rsidRPr="00520861">
        <w:rPr>
          <w:rFonts w:eastAsiaTheme="minorHAnsi"/>
          <w:sz w:val="28"/>
          <w:szCs w:val="28"/>
          <w:lang w:eastAsia="en-US"/>
        </w:rPr>
        <w:t>Demircioğlu</w:t>
      </w:r>
      <w:proofErr w:type="spellEnd"/>
      <w:r w:rsidRPr="00520861">
        <w:rPr>
          <w:rFonts w:eastAsiaTheme="minorHAnsi"/>
          <w:sz w:val="28"/>
          <w:szCs w:val="28"/>
          <w:lang w:eastAsia="en-US"/>
        </w:rPr>
        <w:t xml:space="preserve"> F, G</w:t>
      </w:r>
      <w:r w:rsidRPr="00520861">
        <w:rPr>
          <w:rFonts w:eastAsiaTheme="minorHAnsi"/>
          <w:sz w:val="28"/>
          <w:szCs w:val="28"/>
          <w:lang w:val="en-US" w:eastAsia="en-US"/>
        </w:rPr>
        <w:t>o</w:t>
      </w:r>
      <w:proofErr w:type="spellStart"/>
      <w:r w:rsidRPr="00520861">
        <w:rPr>
          <w:rFonts w:eastAsiaTheme="minorHAnsi"/>
          <w:sz w:val="28"/>
          <w:szCs w:val="28"/>
          <w:lang w:eastAsia="en-US"/>
        </w:rPr>
        <w:t>ks</w:t>
      </w:r>
      <w:proofErr w:type="spellEnd"/>
      <w:r w:rsidRPr="00520861">
        <w:rPr>
          <w:rFonts w:eastAsiaTheme="minorHAnsi"/>
          <w:sz w:val="28"/>
          <w:szCs w:val="28"/>
          <w:lang w:val="en-US" w:eastAsia="en-US"/>
        </w:rPr>
        <w:t>u</w:t>
      </w:r>
      <w:r w:rsidRPr="00520861">
        <w:rPr>
          <w:rFonts w:eastAsiaTheme="minorHAnsi"/>
          <w:sz w:val="28"/>
          <w:szCs w:val="28"/>
          <w:lang w:eastAsia="en-US"/>
        </w:rPr>
        <w:t>g</w:t>
      </w:r>
      <w:r w:rsidRPr="00520861">
        <w:rPr>
          <w:rFonts w:eastAsiaTheme="minorHAnsi"/>
          <w:sz w:val="28"/>
          <w:szCs w:val="28"/>
          <w:lang w:val="en-US" w:eastAsia="en-US"/>
        </w:rPr>
        <w:t>u</w:t>
      </w:r>
      <w:r w:rsidRPr="00520861">
        <w:rPr>
          <w:rFonts w:eastAsiaTheme="minorHAnsi"/>
          <w:sz w:val="28"/>
          <w:szCs w:val="28"/>
          <w:lang w:eastAsia="en-US"/>
        </w:rPr>
        <w:t xml:space="preserve">r SB, </w:t>
      </w:r>
      <w:proofErr w:type="spellStart"/>
      <w:r w:rsidRPr="00520861">
        <w:rPr>
          <w:rFonts w:eastAsiaTheme="minorHAnsi"/>
          <w:sz w:val="28"/>
          <w:szCs w:val="28"/>
          <w:lang w:eastAsia="en-US"/>
        </w:rPr>
        <w:t>Ekici</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Kısmet</w:t>
      </w:r>
      <w:proofErr w:type="spellEnd"/>
      <w:r w:rsidRPr="00520861">
        <w:rPr>
          <w:rFonts w:eastAsiaTheme="minorHAnsi"/>
          <w:sz w:val="28"/>
          <w:szCs w:val="28"/>
          <w:lang w:eastAsia="en-US"/>
        </w:rPr>
        <w:t xml:space="preserve"> E. A </w:t>
      </w:r>
      <w:proofErr w:type="spellStart"/>
      <w:r w:rsidRPr="00520861">
        <w:rPr>
          <w:rFonts w:eastAsiaTheme="minorHAnsi"/>
          <w:sz w:val="28"/>
          <w:szCs w:val="28"/>
          <w:lang w:eastAsia="en-US"/>
        </w:rPr>
        <w:t>cross-sectional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non-diabetic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Sri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Lanka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Child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2013;42(2): 76–80</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en-US" w:eastAsia="en-US"/>
        </w:rPr>
        <w:t>Available from: DOI: 10.4038/</w:t>
      </w:r>
      <w:proofErr w:type="gramStart"/>
      <w:r w:rsidRPr="00520861">
        <w:rPr>
          <w:rFonts w:eastAsiaTheme="minorHAnsi"/>
          <w:sz w:val="28"/>
          <w:szCs w:val="28"/>
          <w:lang w:val="en-US" w:eastAsia="en-US"/>
        </w:rPr>
        <w:t>sljch.v</w:t>
      </w:r>
      <w:proofErr w:type="gramEnd"/>
      <w:r w:rsidRPr="00520861">
        <w:rPr>
          <w:rFonts w:eastAsiaTheme="minorHAnsi"/>
          <w:sz w:val="28"/>
          <w:szCs w:val="28"/>
          <w:lang w:val="en-US" w:eastAsia="en-US"/>
        </w:rPr>
        <w:t>42i2.5627.</w:t>
      </w:r>
    </w:p>
    <w:p w14:paraId="600261F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Bencaiova</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Breymann</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Mild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anemia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Swiss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collective</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Pregnancy</w:t>
      </w:r>
      <w:proofErr w:type="spellEnd"/>
      <w:r w:rsidRPr="00520861">
        <w:rPr>
          <w:rFonts w:eastAsiaTheme="minorHAnsi"/>
          <w:sz w:val="28"/>
          <w:szCs w:val="28"/>
          <w:lang w:eastAsia="en-US"/>
        </w:rPr>
        <w:t>. 2014;2014:</w:t>
      </w:r>
      <w:r w:rsidRPr="00520861">
        <w:rPr>
          <w:rFonts w:eastAsiaTheme="minorHAnsi"/>
          <w:sz w:val="28"/>
          <w:szCs w:val="28"/>
          <w:lang w:val="en-US" w:eastAsia="en-US"/>
        </w:rPr>
        <w:t xml:space="preserve"> </w:t>
      </w:r>
      <w:r w:rsidRPr="00520861">
        <w:rPr>
          <w:rFonts w:eastAsiaTheme="minorHAnsi"/>
          <w:sz w:val="28"/>
          <w:szCs w:val="28"/>
          <w:lang w:eastAsia="en-US"/>
        </w:rPr>
        <w:t xml:space="preserve">307535.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10.1155/2014/307535</w:t>
      </w:r>
      <w:r w:rsidRPr="00520861">
        <w:rPr>
          <w:rFonts w:eastAsiaTheme="minorHAnsi"/>
          <w:sz w:val="28"/>
          <w:szCs w:val="28"/>
          <w:lang w:val="en-US" w:eastAsia="en-US"/>
        </w:rPr>
        <w:t>.</w:t>
      </w:r>
    </w:p>
    <w:p w14:paraId="56760CB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Beniuk</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Shcherba</w:t>
      </w:r>
      <w:proofErr w:type="spellEnd"/>
      <w:r w:rsidRPr="00520861">
        <w:rPr>
          <w:rFonts w:eastAsiaTheme="minorHAnsi"/>
          <w:sz w:val="28"/>
          <w:szCs w:val="28"/>
          <w:lang w:eastAsia="en-US"/>
        </w:rPr>
        <w:t xml:space="preserve"> Е, </w:t>
      </w:r>
      <w:proofErr w:type="spellStart"/>
      <w:r w:rsidRPr="00520861">
        <w:rPr>
          <w:rFonts w:eastAsiaTheme="minorHAnsi"/>
          <w:sz w:val="28"/>
          <w:szCs w:val="28"/>
          <w:lang w:eastAsia="en-US"/>
        </w:rPr>
        <w:t>Lastovetskaya</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Manzhara</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modern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problem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Medical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sciences</w:t>
      </w:r>
      <w:proofErr w:type="spellEnd"/>
      <w:r w:rsidRPr="00520861">
        <w:rPr>
          <w:rFonts w:eastAsiaTheme="minorHAnsi"/>
          <w:sz w:val="28"/>
          <w:szCs w:val="28"/>
          <w:lang w:eastAsia="en-US"/>
        </w:rPr>
        <w:t>. 2018;26(1):</w:t>
      </w:r>
      <w:r w:rsidRPr="00520861">
        <w:rPr>
          <w:rFonts w:eastAsiaTheme="minorHAnsi"/>
          <w:sz w:val="28"/>
          <w:szCs w:val="28"/>
          <w:lang w:val="en-US" w:eastAsia="en-US"/>
        </w:rPr>
        <w:t xml:space="preserve"> </w:t>
      </w:r>
      <w:r w:rsidRPr="00520861">
        <w:rPr>
          <w:rFonts w:eastAsiaTheme="minorHAnsi"/>
          <w:sz w:val="28"/>
          <w:szCs w:val="28"/>
          <w:lang w:eastAsia="en-US"/>
        </w:rPr>
        <w:t>64–70.</w:t>
      </w:r>
    </w:p>
    <w:p w14:paraId="09D382B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Ben</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Zakar</w:t>
      </w:r>
      <w:proofErr w:type="spellEnd"/>
      <w:r w:rsidRPr="00520861">
        <w:rPr>
          <w:rFonts w:eastAsiaTheme="minorHAnsi"/>
          <w:sz w:val="28"/>
          <w:szCs w:val="28"/>
          <w:lang w:eastAsia="en-US"/>
        </w:rPr>
        <w:t xml:space="preserve"> NAM, </w:t>
      </w:r>
      <w:r w:rsidRPr="00520861">
        <w:rPr>
          <w:rFonts w:eastAsiaTheme="minorHAnsi"/>
          <w:sz w:val="28"/>
          <w:szCs w:val="28"/>
          <w:lang w:val="en-US" w:eastAsia="en-US"/>
        </w:rPr>
        <w:t xml:space="preserve">Ali </w:t>
      </w:r>
      <w:proofErr w:type="spellStart"/>
      <w:r w:rsidRPr="00520861">
        <w:rPr>
          <w:rFonts w:eastAsiaTheme="minorHAnsi"/>
          <w:sz w:val="28"/>
          <w:szCs w:val="28"/>
          <w:lang w:eastAsia="en-US"/>
        </w:rPr>
        <w:t>Abdulhadi</w:t>
      </w:r>
      <w:proofErr w:type="spellEnd"/>
      <w:r w:rsidRPr="00520861">
        <w:rPr>
          <w:rFonts w:eastAsiaTheme="minorHAnsi"/>
          <w:sz w:val="28"/>
          <w:szCs w:val="28"/>
          <w:lang w:eastAsia="en-US"/>
        </w:rPr>
        <w:t xml:space="preserve"> S</w:t>
      </w:r>
      <w:r w:rsidRPr="00520861">
        <w:rPr>
          <w:rFonts w:eastAsiaTheme="minorHAnsi"/>
          <w:sz w:val="28"/>
          <w:szCs w:val="28"/>
          <w:lang w:val="en-US" w:eastAsia="en-US"/>
        </w:rPr>
        <w:t>S</w:t>
      </w:r>
      <w:r w:rsidRPr="00520861">
        <w:rPr>
          <w:rFonts w:eastAsiaTheme="minorHAnsi"/>
          <w:sz w:val="28"/>
          <w:szCs w:val="28"/>
          <w:lang w:eastAsia="en-US"/>
        </w:rPr>
        <w:t xml:space="preserve">, </w:t>
      </w:r>
      <w:proofErr w:type="spellStart"/>
      <w:r w:rsidRPr="00520861">
        <w:rPr>
          <w:rFonts w:eastAsiaTheme="minorHAnsi"/>
          <w:sz w:val="28"/>
          <w:szCs w:val="28"/>
          <w:lang w:eastAsia="en-US"/>
        </w:rPr>
        <w:t>Ayuob</w:t>
      </w:r>
      <w:proofErr w:type="spellEnd"/>
      <w:r w:rsidRPr="00520861">
        <w:rPr>
          <w:rFonts w:eastAsiaTheme="minorHAnsi"/>
          <w:sz w:val="28"/>
          <w:szCs w:val="28"/>
          <w:lang w:eastAsia="en-US"/>
        </w:rPr>
        <w:t xml:space="preserve"> NN, </w:t>
      </w:r>
      <w:proofErr w:type="spellStart"/>
      <w:r w:rsidRPr="00520861">
        <w:rPr>
          <w:rFonts w:eastAsiaTheme="minorHAnsi"/>
          <w:sz w:val="28"/>
          <w:szCs w:val="28"/>
          <w:lang w:eastAsia="en-US"/>
        </w:rPr>
        <w:t>Al</w:t>
      </w:r>
      <w:proofErr w:type="spellEnd"/>
      <w:r w:rsidRPr="00520861">
        <w:rPr>
          <w:rFonts w:eastAsiaTheme="minorHAnsi"/>
          <w:sz w:val="28"/>
          <w:szCs w:val="28"/>
          <w:lang w:val="en-US" w:eastAsia="en-US"/>
        </w:rPr>
        <w:t>-</w:t>
      </w:r>
      <w:proofErr w:type="spellStart"/>
      <w:r w:rsidRPr="00520861">
        <w:rPr>
          <w:rFonts w:eastAsiaTheme="minorHAnsi"/>
          <w:sz w:val="28"/>
          <w:szCs w:val="28"/>
          <w:lang w:eastAsia="en-US"/>
        </w:rPr>
        <w:t>Qudsi</w:t>
      </w:r>
      <w:proofErr w:type="spellEnd"/>
      <w:r w:rsidRPr="00520861">
        <w:rPr>
          <w:rFonts w:eastAsiaTheme="minorHAnsi"/>
          <w:sz w:val="28"/>
          <w:szCs w:val="28"/>
          <w:lang w:eastAsia="en-US"/>
        </w:rPr>
        <w:t xml:space="preserve"> F</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Alk</w:t>
      </w:r>
      <w:r w:rsidRPr="00520861">
        <w:rPr>
          <w:rFonts w:eastAsiaTheme="minorHAnsi"/>
          <w:sz w:val="28"/>
          <w:szCs w:val="28"/>
          <w:lang w:eastAsia="en-US"/>
        </w:rPr>
        <w:t>arim</w:t>
      </w:r>
      <w:proofErr w:type="spellEnd"/>
      <w:r w:rsidRPr="00520861">
        <w:rPr>
          <w:rFonts w:eastAsiaTheme="minorHAnsi"/>
          <w:sz w:val="28"/>
          <w:szCs w:val="28"/>
          <w:lang w:eastAsia="en-US"/>
        </w:rPr>
        <w:t xml:space="preserve"> S</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skin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brown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fetuses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histological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histochemical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Cytologia</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2015</w:t>
      </w:r>
      <w:r w:rsidRPr="00520861">
        <w:rPr>
          <w:rFonts w:eastAsiaTheme="minorHAnsi"/>
          <w:sz w:val="28"/>
          <w:szCs w:val="28"/>
          <w:lang w:val="en-US" w:eastAsia="en-US"/>
        </w:rPr>
        <w:t>;</w:t>
      </w:r>
      <w:r w:rsidRPr="00520861">
        <w:rPr>
          <w:rFonts w:eastAsiaTheme="minorHAnsi"/>
          <w:sz w:val="28"/>
          <w:szCs w:val="28"/>
          <w:lang w:eastAsia="en-US"/>
        </w:rPr>
        <w:t>80(1): 101–110</w:t>
      </w:r>
      <w:r w:rsidRPr="00520861">
        <w:rPr>
          <w:rFonts w:eastAsiaTheme="minorHAnsi"/>
          <w:sz w:val="28"/>
          <w:szCs w:val="28"/>
          <w:lang w:val="en-US" w:eastAsia="en-US"/>
        </w:rPr>
        <w:t>.</w:t>
      </w:r>
    </w:p>
    <w:p w14:paraId="124B122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Berkovitz</w:t>
      </w:r>
      <w:proofErr w:type="spellEnd"/>
      <w:r w:rsidRPr="00520861">
        <w:rPr>
          <w:rFonts w:eastAsiaTheme="minorHAnsi"/>
          <w:sz w:val="28"/>
          <w:szCs w:val="28"/>
          <w:lang w:eastAsia="en-US"/>
        </w:rPr>
        <w:t xml:space="preserve"> BKB, </w:t>
      </w:r>
      <w:proofErr w:type="spellStart"/>
      <w:r w:rsidRPr="00520861">
        <w:rPr>
          <w:rFonts w:eastAsiaTheme="minorHAnsi"/>
          <w:sz w:val="28"/>
          <w:szCs w:val="28"/>
          <w:lang w:eastAsia="en-US"/>
        </w:rPr>
        <w:t>Holland</w:t>
      </w:r>
      <w:proofErr w:type="spellEnd"/>
      <w:r w:rsidRPr="00520861">
        <w:rPr>
          <w:rFonts w:eastAsiaTheme="minorHAnsi"/>
          <w:sz w:val="28"/>
          <w:szCs w:val="28"/>
          <w:lang w:eastAsia="en-US"/>
        </w:rPr>
        <w:t xml:space="preserve"> GR, </w:t>
      </w:r>
      <w:proofErr w:type="spellStart"/>
      <w:r w:rsidRPr="00520861">
        <w:rPr>
          <w:rFonts w:eastAsiaTheme="minorHAnsi"/>
          <w:sz w:val="28"/>
          <w:szCs w:val="28"/>
          <w:lang w:eastAsia="en-US"/>
        </w:rPr>
        <w:t>Moxham</w:t>
      </w:r>
      <w:proofErr w:type="spellEnd"/>
      <w:r w:rsidRPr="00520861">
        <w:rPr>
          <w:rFonts w:eastAsiaTheme="minorHAnsi"/>
          <w:sz w:val="28"/>
          <w:szCs w:val="28"/>
          <w:lang w:eastAsia="en-US"/>
        </w:rPr>
        <w:t xml:space="preserve"> BJ.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A</w:t>
      </w:r>
      <w:proofErr w:type="spellStart"/>
      <w:r w:rsidRPr="00520861">
        <w:rPr>
          <w:rFonts w:eastAsiaTheme="minorHAnsi"/>
          <w:i/>
          <w:sz w:val="28"/>
          <w:szCs w:val="28"/>
          <w:lang w:eastAsia="en-US"/>
        </w:rPr>
        <w:t>natomy</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H</w:t>
      </w:r>
      <w:proofErr w:type="spellStart"/>
      <w:r w:rsidRPr="00520861">
        <w:rPr>
          <w:rFonts w:eastAsiaTheme="minorHAnsi"/>
          <w:i/>
          <w:sz w:val="28"/>
          <w:szCs w:val="28"/>
          <w:lang w:eastAsia="en-US"/>
        </w:rPr>
        <w:t>istology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r w:rsidR="00905637" w:rsidRPr="00520861">
        <w:rPr>
          <w:rFonts w:eastAsiaTheme="minorHAnsi"/>
          <w:i/>
          <w:sz w:val="28"/>
          <w:szCs w:val="28"/>
          <w:lang w:eastAsia="en-US"/>
        </w:rPr>
        <w:br/>
      </w:r>
      <w:r w:rsidRPr="00520861">
        <w:rPr>
          <w:rFonts w:eastAsiaTheme="minorHAnsi"/>
          <w:i/>
          <w:sz w:val="28"/>
          <w:szCs w:val="28"/>
          <w:lang w:val="en-US" w:eastAsia="en-US"/>
        </w:rPr>
        <w:t>E</w:t>
      </w:r>
      <w:proofErr w:type="spellStart"/>
      <w:r w:rsidRPr="00520861">
        <w:rPr>
          <w:rFonts w:eastAsiaTheme="minorHAnsi"/>
          <w:i/>
          <w:sz w:val="28"/>
          <w:szCs w:val="28"/>
          <w:lang w:eastAsia="en-US"/>
        </w:rPr>
        <w:t>mbryology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5</w:t>
      </w:r>
      <w:r w:rsidRPr="00520861">
        <w:rPr>
          <w:rFonts w:eastAsiaTheme="minorHAnsi"/>
          <w:sz w:val="28"/>
          <w:szCs w:val="28"/>
          <w:lang w:val="en-US" w:eastAsia="en-US"/>
        </w:rPr>
        <w:t>-</w:t>
      </w:r>
      <w:proofErr w:type="spellStart"/>
      <w:r w:rsidRPr="00520861">
        <w:rPr>
          <w:rFonts w:eastAsiaTheme="minorHAnsi"/>
          <w:sz w:val="28"/>
          <w:szCs w:val="28"/>
          <w:lang w:eastAsia="en-US"/>
        </w:rPr>
        <w:t>th</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e</w:t>
      </w:r>
      <w:r w:rsidRPr="00520861">
        <w:rPr>
          <w:rFonts w:eastAsiaTheme="minorHAnsi"/>
          <w:sz w:val="28"/>
          <w:szCs w:val="28"/>
          <w:lang w:eastAsia="en-US"/>
        </w:rPr>
        <w:t>d</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Edinburgh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London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York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Oxford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Toronto</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Elsevier</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w:t>
      </w:r>
      <w:r w:rsidRPr="00520861">
        <w:rPr>
          <w:rFonts w:eastAsiaTheme="minorHAnsi"/>
          <w:sz w:val="28"/>
          <w:szCs w:val="28"/>
          <w:lang w:val="en-US" w:eastAsia="en-US"/>
        </w:rPr>
        <w:t>8.</w:t>
      </w:r>
      <w:r w:rsidRPr="00520861">
        <w:rPr>
          <w:rFonts w:eastAsiaTheme="minorHAnsi"/>
          <w:sz w:val="28"/>
          <w:szCs w:val="28"/>
          <w:lang w:eastAsia="en-US"/>
        </w:rPr>
        <w:t xml:space="preserve"> </w:t>
      </w:r>
      <w:r w:rsidR="00905637" w:rsidRPr="00520861">
        <w:rPr>
          <w:rFonts w:eastAsiaTheme="minorHAnsi"/>
          <w:sz w:val="28"/>
          <w:szCs w:val="28"/>
          <w:lang w:eastAsia="en-US"/>
        </w:rPr>
        <w:br/>
      </w:r>
      <w:r w:rsidRPr="00520861">
        <w:rPr>
          <w:rFonts w:eastAsiaTheme="minorHAnsi"/>
          <w:sz w:val="28"/>
          <w:szCs w:val="28"/>
          <w:lang w:eastAsia="en-US"/>
        </w:rPr>
        <w:t xml:space="preserve">472 </w:t>
      </w:r>
      <w:r w:rsidRPr="00520861">
        <w:rPr>
          <w:rFonts w:eastAsiaTheme="minorHAnsi"/>
          <w:sz w:val="28"/>
          <w:szCs w:val="28"/>
          <w:lang w:val="en-US" w:eastAsia="en-US"/>
        </w:rPr>
        <w:t>p</w:t>
      </w:r>
      <w:r w:rsidRPr="00520861">
        <w:rPr>
          <w:rFonts w:eastAsiaTheme="minorHAnsi"/>
          <w:sz w:val="28"/>
          <w:szCs w:val="28"/>
          <w:lang w:eastAsia="en-US"/>
        </w:rPr>
        <w:t>.</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val="en-US" w:eastAsia="en-US"/>
        </w:rPr>
        <w:t>10.1111/joa.12891.</w:t>
      </w:r>
    </w:p>
    <w:p w14:paraId="65035FC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Berta</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Bettega</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Jouk</w:t>
      </w:r>
      <w:proofErr w:type="spellEnd"/>
      <w:r w:rsidRPr="00520861">
        <w:rPr>
          <w:rFonts w:eastAsiaTheme="minorHAnsi"/>
          <w:sz w:val="28"/>
          <w:szCs w:val="28"/>
          <w:lang w:eastAsia="en-US"/>
        </w:rPr>
        <w:t xml:space="preserve"> PS, </w:t>
      </w:r>
      <w:proofErr w:type="spellStart"/>
      <w:r w:rsidRPr="00520861">
        <w:rPr>
          <w:rFonts w:eastAsiaTheme="minorHAnsi"/>
          <w:sz w:val="28"/>
          <w:szCs w:val="28"/>
          <w:lang w:eastAsia="en-US"/>
        </w:rPr>
        <w:t>Billy</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Nugues</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Morand</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Complete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agenesis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major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Otorhinolaryngol</w:t>
      </w:r>
      <w:proofErr w:type="spellEnd"/>
      <w:r w:rsidRPr="00520861">
        <w:rPr>
          <w:rFonts w:eastAsiaTheme="minorHAnsi"/>
          <w:sz w:val="28"/>
          <w:szCs w:val="28"/>
          <w:lang w:eastAsia="en-US"/>
        </w:rPr>
        <w:t>. 2013;77(10):</w:t>
      </w:r>
      <w:r w:rsidRPr="00520861">
        <w:rPr>
          <w:rFonts w:eastAsiaTheme="minorHAnsi"/>
          <w:sz w:val="28"/>
          <w:szCs w:val="28"/>
          <w:lang w:val="en-US" w:eastAsia="en-US"/>
        </w:rPr>
        <w:t xml:space="preserve"> </w:t>
      </w:r>
      <w:r w:rsidRPr="00520861">
        <w:rPr>
          <w:rFonts w:eastAsiaTheme="minorHAnsi"/>
          <w:sz w:val="28"/>
          <w:szCs w:val="28"/>
          <w:lang w:eastAsia="en-US"/>
        </w:rPr>
        <w:t xml:space="preserve">1782–1785.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10.1016/j.ijporl.2013.07.025</w:t>
      </w:r>
      <w:r w:rsidRPr="00520861">
        <w:rPr>
          <w:rFonts w:eastAsiaTheme="minorHAnsi"/>
          <w:sz w:val="28"/>
          <w:szCs w:val="28"/>
          <w:lang w:val="en-US" w:eastAsia="en-US"/>
        </w:rPr>
        <w:t>.</w:t>
      </w:r>
    </w:p>
    <w:p w14:paraId="4D7EC67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Beta</w:t>
      </w:r>
      <w:proofErr w:type="spellEnd"/>
      <w:r w:rsidRPr="00520861">
        <w:rPr>
          <w:rFonts w:eastAsiaTheme="minorHAnsi"/>
          <w:sz w:val="28"/>
          <w:szCs w:val="28"/>
          <w:lang w:eastAsia="en-US"/>
        </w:rPr>
        <w:t xml:space="preserve"> 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Khan</w:t>
      </w:r>
      <w:proofErr w:type="spellEnd"/>
      <w:r w:rsidRPr="00520861">
        <w:rPr>
          <w:rFonts w:eastAsiaTheme="minorHAnsi"/>
          <w:sz w:val="28"/>
          <w:szCs w:val="28"/>
          <w:lang w:eastAsia="en-US"/>
        </w:rPr>
        <w:t xml:space="preserve"> N</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Fiolna</w:t>
      </w:r>
      <w:proofErr w:type="spellEnd"/>
      <w:r w:rsidRPr="00520861">
        <w:rPr>
          <w:rFonts w:eastAsiaTheme="minorHAnsi"/>
          <w:sz w:val="28"/>
          <w:szCs w:val="28"/>
          <w:lang w:eastAsia="en-US"/>
        </w:rPr>
        <w:t xml:space="preserve"> M</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Khalil</w:t>
      </w:r>
      <w:proofErr w:type="spellEnd"/>
      <w:r w:rsidRPr="00520861">
        <w:rPr>
          <w:rFonts w:eastAsiaTheme="minorHAnsi"/>
          <w:sz w:val="28"/>
          <w:szCs w:val="28"/>
          <w:lang w:eastAsia="en-US"/>
        </w:rPr>
        <w:t xml:space="preserve"> A</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Ramadan</w:t>
      </w:r>
      <w:proofErr w:type="spellEnd"/>
      <w:r w:rsidRPr="00520861">
        <w:rPr>
          <w:rFonts w:eastAsiaTheme="minorHAnsi"/>
          <w:sz w:val="28"/>
          <w:szCs w:val="28"/>
          <w:lang w:eastAsia="en-US"/>
        </w:rPr>
        <w:t xml:space="preserve">  G</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Akolekar</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complications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cohort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Ultrasound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Obstetrics</w:t>
      </w:r>
      <w:proofErr w:type="spellEnd"/>
      <w:r w:rsidRPr="00520861">
        <w:rPr>
          <w:rFonts w:eastAsiaTheme="minorHAnsi"/>
          <w:i/>
          <w:sz w:val="28"/>
          <w:szCs w:val="28"/>
          <w:lang w:eastAsia="en-US"/>
        </w:rPr>
        <w:t xml:space="preserve"> &amp; </w:t>
      </w:r>
      <w:proofErr w:type="spellStart"/>
      <w:r w:rsidRPr="00520861">
        <w:rPr>
          <w:rFonts w:eastAsiaTheme="minorHAnsi"/>
          <w:i/>
          <w:sz w:val="28"/>
          <w:szCs w:val="28"/>
          <w:lang w:eastAsia="en-US"/>
        </w:rPr>
        <w:t>Gynecology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2019</w:t>
      </w:r>
      <w:r w:rsidRPr="00520861">
        <w:rPr>
          <w:rFonts w:eastAsiaTheme="minorHAnsi"/>
          <w:sz w:val="28"/>
          <w:szCs w:val="28"/>
          <w:lang w:val="en-US" w:eastAsia="en-US"/>
        </w:rPr>
        <w:t>;</w:t>
      </w:r>
      <w:r w:rsidRPr="00520861">
        <w:rPr>
          <w:rFonts w:eastAsiaTheme="minorHAnsi"/>
          <w:sz w:val="28"/>
          <w:szCs w:val="28"/>
          <w:lang w:eastAsia="en-US"/>
        </w:rPr>
        <w:t>54</w:t>
      </w:r>
      <w:r w:rsidRPr="00520861">
        <w:rPr>
          <w:rFonts w:eastAsiaTheme="minorHAnsi"/>
          <w:sz w:val="28"/>
          <w:szCs w:val="28"/>
          <w:lang w:val="en-US" w:eastAsia="en-US"/>
        </w:rPr>
        <w:t>(</w:t>
      </w:r>
      <w:r w:rsidRPr="00520861">
        <w:rPr>
          <w:rFonts w:eastAsiaTheme="minorHAnsi"/>
          <w:sz w:val="28"/>
          <w:szCs w:val="28"/>
          <w:lang w:eastAsia="en-US"/>
        </w:rPr>
        <w:t>3</w:t>
      </w:r>
      <w:r w:rsidRPr="00520861">
        <w:rPr>
          <w:rFonts w:eastAsiaTheme="minorHAnsi"/>
          <w:sz w:val="28"/>
          <w:szCs w:val="28"/>
          <w:lang w:val="en-US" w:eastAsia="en-US"/>
        </w:rPr>
        <w:t xml:space="preserve">): </w:t>
      </w:r>
      <w:r w:rsidRPr="00520861">
        <w:rPr>
          <w:rFonts w:eastAsiaTheme="minorHAnsi"/>
          <w:sz w:val="28"/>
          <w:szCs w:val="28"/>
          <w:lang w:eastAsia="en-US"/>
        </w:rPr>
        <w:t>319–325</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10.1002/uog.20278</w:t>
      </w:r>
      <w:r w:rsidRPr="00520861">
        <w:rPr>
          <w:rFonts w:eastAsiaTheme="minorHAnsi"/>
          <w:sz w:val="28"/>
          <w:szCs w:val="28"/>
          <w:lang w:val="en-US" w:eastAsia="en-US"/>
        </w:rPr>
        <w:t>.</w:t>
      </w:r>
    </w:p>
    <w:p w14:paraId="139177C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Bhankhar</w:t>
      </w:r>
      <w:proofErr w:type="spellEnd"/>
      <w:r w:rsidRPr="00520861">
        <w:rPr>
          <w:rFonts w:eastAsiaTheme="minorHAnsi"/>
          <w:sz w:val="28"/>
          <w:szCs w:val="28"/>
          <w:lang w:eastAsia="en-US"/>
        </w:rPr>
        <w:t xml:space="preserve"> RR, </w:t>
      </w:r>
      <w:proofErr w:type="spellStart"/>
      <w:r w:rsidRPr="00520861">
        <w:rPr>
          <w:rFonts w:eastAsiaTheme="minorHAnsi"/>
          <w:sz w:val="28"/>
          <w:szCs w:val="28"/>
          <w:lang w:eastAsia="en-US"/>
        </w:rPr>
        <w:t>Hungund</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Kambalyal</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Singh</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Jain</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Effect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nonsurgical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therapy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thyroid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stimulating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hormone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hypothyroid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Indian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xml:space="preserve">. 2017;28(1):16–21.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10.4103/ijdr.IJDR_174_16</w:t>
      </w:r>
      <w:r w:rsidRPr="00520861">
        <w:rPr>
          <w:rFonts w:eastAsiaTheme="minorHAnsi"/>
          <w:sz w:val="28"/>
          <w:szCs w:val="28"/>
          <w:lang w:val="en-US" w:eastAsia="en-US"/>
        </w:rPr>
        <w:t>.</w:t>
      </w:r>
    </w:p>
    <w:p w14:paraId="4EAD33B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Biradar</w:t>
      </w:r>
      <w:proofErr w:type="spellEnd"/>
      <w:r w:rsidRPr="00520861">
        <w:rPr>
          <w:rFonts w:eastAsiaTheme="minorHAnsi"/>
          <w:sz w:val="28"/>
          <w:szCs w:val="28"/>
          <w:lang w:eastAsia="en-US"/>
        </w:rPr>
        <w:t xml:space="preserve"> SV.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disorders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 A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Asian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Pharmaceutical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Technology</w:t>
      </w:r>
      <w:proofErr w:type="spellEnd"/>
      <w:r w:rsidRPr="00520861">
        <w:rPr>
          <w:rFonts w:eastAsiaTheme="minorHAnsi"/>
          <w:i/>
          <w:sz w:val="28"/>
          <w:szCs w:val="28"/>
          <w:lang w:eastAsia="en-US"/>
        </w:rPr>
        <w:t xml:space="preserve"> &amp; </w:t>
      </w:r>
      <w:proofErr w:type="spellStart"/>
      <w:r w:rsidRPr="00520861">
        <w:rPr>
          <w:rFonts w:eastAsiaTheme="minorHAnsi"/>
          <w:i/>
          <w:sz w:val="28"/>
          <w:szCs w:val="28"/>
          <w:lang w:eastAsia="en-US"/>
        </w:rPr>
        <w:t>Innovation</w:t>
      </w:r>
      <w:proofErr w:type="spellEnd"/>
      <w:r w:rsidRPr="00520861">
        <w:rPr>
          <w:rFonts w:eastAsiaTheme="minorHAnsi"/>
          <w:sz w:val="28"/>
          <w:szCs w:val="28"/>
          <w:lang w:eastAsia="en-US"/>
        </w:rPr>
        <w:t xml:space="preserve">. 2018; 27(6): 36–52. </w:t>
      </w:r>
    </w:p>
    <w:p w14:paraId="65A590D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sz w:val="28"/>
          <w:szCs w:val="28"/>
          <w:lang w:val="en-US"/>
        </w:rPr>
        <w:t>Bockmann</w:t>
      </w:r>
      <w:proofErr w:type="spellEnd"/>
      <w:r w:rsidRPr="00520861">
        <w:rPr>
          <w:sz w:val="28"/>
          <w:szCs w:val="28"/>
          <w:lang w:val="en-US"/>
        </w:rPr>
        <w:t xml:space="preserve"> MR, Hughes TE, Townsend GC. Genetic modeling of primary tooth emergence: a study of Australian twins. </w:t>
      </w:r>
      <w:r w:rsidRPr="00520861">
        <w:rPr>
          <w:i/>
          <w:sz w:val="28"/>
          <w:szCs w:val="28"/>
          <w:lang w:val="en-US"/>
        </w:rPr>
        <w:t>Twin Res Hum Genet</w:t>
      </w:r>
      <w:r w:rsidRPr="00520861">
        <w:rPr>
          <w:sz w:val="28"/>
          <w:szCs w:val="28"/>
          <w:lang w:val="en-US"/>
        </w:rPr>
        <w:t xml:space="preserve">. 2010;13(6): 573–581.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r w:rsidRPr="00520861">
        <w:rPr>
          <w:sz w:val="28"/>
          <w:szCs w:val="28"/>
          <w:lang w:val="en-US"/>
        </w:rPr>
        <w:t>DOI: 10.1375/twin.13.6.573.</w:t>
      </w:r>
    </w:p>
    <w:p w14:paraId="1BB2DCD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 xml:space="preserve">Borges T, </w:t>
      </w:r>
      <w:proofErr w:type="spellStart"/>
      <w:r w:rsidRPr="00520861">
        <w:rPr>
          <w:rFonts w:eastAsiaTheme="minorHAnsi"/>
          <w:sz w:val="28"/>
          <w:szCs w:val="28"/>
          <w:lang w:val="en-US" w:eastAsia="en-US"/>
        </w:rPr>
        <w:t>Schwanke</w:t>
      </w:r>
      <w:proofErr w:type="spellEnd"/>
      <w:r w:rsidRPr="00520861">
        <w:rPr>
          <w:rFonts w:eastAsiaTheme="minorHAnsi"/>
          <w:sz w:val="28"/>
          <w:szCs w:val="28"/>
          <w:lang w:val="en-US" w:eastAsia="en-US"/>
        </w:rPr>
        <w:t xml:space="preserve"> N, Reuter C, </w:t>
      </w:r>
      <w:proofErr w:type="spellStart"/>
      <w:r w:rsidRPr="00520861">
        <w:rPr>
          <w:rFonts w:eastAsiaTheme="minorHAnsi"/>
          <w:sz w:val="28"/>
          <w:szCs w:val="28"/>
          <w:lang w:val="en-US" w:eastAsia="en-US"/>
        </w:rPr>
        <w:t>Kraether</w:t>
      </w:r>
      <w:proofErr w:type="spellEnd"/>
      <w:r w:rsidRPr="00520861">
        <w:rPr>
          <w:rFonts w:eastAsiaTheme="minorHAnsi"/>
          <w:sz w:val="28"/>
          <w:szCs w:val="28"/>
          <w:lang w:val="en-US" w:eastAsia="en-US"/>
        </w:rPr>
        <w:t xml:space="preserve"> Neto L, Burgos M. Factors associated with caries: A survey of students from southern Brazil. </w:t>
      </w:r>
      <w:proofErr w:type="spellStart"/>
      <w:r w:rsidRPr="00520861">
        <w:rPr>
          <w:rFonts w:eastAsiaTheme="minorHAnsi"/>
          <w:i/>
          <w:sz w:val="28"/>
          <w:szCs w:val="28"/>
          <w:lang w:eastAsia="en-US"/>
        </w:rPr>
        <w:t>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Paul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Pediatr</w:t>
      </w:r>
      <w:proofErr w:type="spellEnd"/>
      <w:r w:rsidRPr="00520861">
        <w:rPr>
          <w:rFonts w:eastAsiaTheme="minorHAnsi"/>
          <w:sz w:val="28"/>
          <w:szCs w:val="28"/>
          <w:lang w:eastAsia="en-US"/>
        </w:rPr>
        <w:t xml:space="preserve">. 2016;34(4): 489–494.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10.1016/j.rppede.2016.02.013</w:t>
      </w:r>
      <w:r w:rsidRPr="00520861">
        <w:rPr>
          <w:rFonts w:eastAsiaTheme="minorHAnsi"/>
          <w:sz w:val="28"/>
          <w:szCs w:val="28"/>
          <w:lang w:val="en-US" w:eastAsia="en-US"/>
        </w:rPr>
        <w:t>.</w:t>
      </w:r>
    </w:p>
    <w:p w14:paraId="37CE7E7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Borowska-Strugińska</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Żądzińska</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Bruzda-Zwiech</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Filipińska</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Lubowiecka-Gontarek</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Szydłowska-Walendowska</w:t>
      </w:r>
      <w:proofErr w:type="spellEnd"/>
      <w:r w:rsidRPr="00520861">
        <w:rPr>
          <w:rFonts w:eastAsiaTheme="minorHAnsi"/>
          <w:sz w:val="28"/>
          <w:szCs w:val="28"/>
          <w:lang w:eastAsia="en-US"/>
        </w:rPr>
        <w:t xml:space="preserve"> B, </w:t>
      </w:r>
      <w:r w:rsidRPr="00520861">
        <w:rPr>
          <w:rFonts w:eastAsiaTheme="minorHAnsi"/>
          <w:sz w:val="28"/>
          <w:szCs w:val="28"/>
          <w:lang w:val="en-US" w:eastAsia="en-US"/>
        </w:rPr>
        <w:t>et</w:t>
      </w:r>
      <w:r w:rsidRPr="00520861">
        <w:rPr>
          <w:rFonts w:eastAsiaTheme="minorHAnsi"/>
          <w:sz w:val="28"/>
          <w:szCs w:val="28"/>
          <w:lang w:eastAsia="en-US"/>
        </w:rPr>
        <w:t xml:space="preserve"> </w:t>
      </w:r>
      <w:r w:rsidRPr="00520861">
        <w:rPr>
          <w:rFonts w:eastAsiaTheme="minorHAnsi"/>
          <w:sz w:val="28"/>
          <w:szCs w:val="28"/>
          <w:lang w:val="en-US" w:eastAsia="en-US"/>
        </w:rPr>
        <w:t>al</w:t>
      </w:r>
      <w:r w:rsidRPr="00520861">
        <w:rPr>
          <w:rFonts w:eastAsiaTheme="minorHAnsi"/>
          <w:sz w:val="28"/>
          <w:szCs w:val="28"/>
          <w:lang w:eastAsia="en-US"/>
        </w:rPr>
        <w:t xml:space="preserve">. </w:t>
      </w:r>
      <w:proofErr w:type="spellStart"/>
      <w:r w:rsidRPr="00520861">
        <w:rPr>
          <w:rFonts w:eastAsiaTheme="minorHAnsi"/>
          <w:sz w:val="28"/>
          <w:szCs w:val="28"/>
          <w:lang w:eastAsia="en-US"/>
        </w:rPr>
        <w:t>Prenatal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familial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first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permanent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molars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schoolchildren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living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urban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area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Łódz</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Poland</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i/>
          <w:sz w:val="28"/>
          <w:szCs w:val="28"/>
          <w:lang w:eastAsia="en-US"/>
        </w:rPr>
        <w:t xml:space="preserve">HOMO -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Comparative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Human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Biology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2016</w:t>
      </w:r>
      <w:r w:rsidRPr="00520861">
        <w:rPr>
          <w:rFonts w:eastAsiaTheme="minorHAnsi"/>
          <w:sz w:val="28"/>
          <w:szCs w:val="28"/>
          <w:lang w:val="en-US" w:eastAsia="en-US"/>
        </w:rPr>
        <w:t>;</w:t>
      </w:r>
      <w:r w:rsidRPr="00520861">
        <w:rPr>
          <w:rFonts w:eastAsiaTheme="minorHAnsi"/>
          <w:sz w:val="28"/>
          <w:szCs w:val="28"/>
          <w:lang w:eastAsia="en-US"/>
        </w:rPr>
        <w:t>67</w:t>
      </w:r>
      <w:r w:rsidRPr="00520861">
        <w:rPr>
          <w:rFonts w:eastAsiaTheme="minorHAnsi"/>
          <w:sz w:val="28"/>
          <w:szCs w:val="28"/>
          <w:lang w:val="en-US" w:eastAsia="en-US"/>
        </w:rPr>
        <w:t xml:space="preserve">: </w:t>
      </w:r>
      <w:r w:rsidRPr="00520861">
        <w:rPr>
          <w:rFonts w:eastAsiaTheme="minorHAnsi"/>
          <w:sz w:val="28"/>
          <w:szCs w:val="28"/>
          <w:lang w:eastAsia="en-US"/>
        </w:rPr>
        <w:t xml:space="preserve">226–234.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10.1016/j.jchb.2015.12.002</w:t>
      </w:r>
      <w:r w:rsidRPr="00520861">
        <w:rPr>
          <w:rFonts w:eastAsiaTheme="minorHAnsi"/>
          <w:sz w:val="28"/>
          <w:szCs w:val="28"/>
          <w:lang w:val="en-US" w:eastAsia="en-US"/>
        </w:rPr>
        <w:t>.</w:t>
      </w:r>
    </w:p>
    <w:p w14:paraId="07D77A9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Bowen</w:t>
      </w:r>
      <w:proofErr w:type="spellEnd"/>
      <w:r w:rsidRPr="00520861">
        <w:rPr>
          <w:rFonts w:eastAsiaTheme="minorHAnsi"/>
          <w:sz w:val="28"/>
          <w:szCs w:val="28"/>
          <w:lang w:eastAsia="en-US"/>
        </w:rPr>
        <w:t xml:space="preserve"> WH. </w:t>
      </w:r>
      <w:proofErr w:type="spellStart"/>
      <w:r w:rsidRPr="00520861">
        <w:rPr>
          <w:rFonts w:eastAsiaTheme="minorHAnsi"/>
          <w:sz w:val="28"/>
          <w:szCs w:val="28"/>
          <w:lang w:eastAsia="en-US"/>
        </w:rPr>
        <w:t>Rodent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model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research</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Odontology</w:t>
      </w:r>
      <w:proofErr w:type="spellEnd"/>
      <w:r w:rsidRPr="00520861">
        <w:rPr>
          <w:rFonts w:eastAsiaTheme="minorHAnsi"/>
          <w:sz w:val="28"/>
          <w:szCs w:val="28"/>
          <w:lang w:eastAsia="en-US"/>
        </w:rPr>
        <w:t xml:space="preserve">. 2013;101(1): 9–14.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10.1007/s10266-012-0091-0.</w:t>
      </w:r>
    </w:p>
    <w:p w14:paraId="708601D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proofErr w:type="spellStart"/>
      <w:r w:rsidRPr="00520861">
        <w:rPr>
          <w:rFonts w:eastAsiaTheme="minorHAnsi"/>
          <w:sz w:val="28"/>
          <w:szCs w:val="28"/>
          <w:lang w:val="en-US" w:eastAsia="en-US"/>
        </w:rPr>
        <w:t>Boyan</w:t>
      </w:r>
      <w:proofErr w:type="spellEnd"/>
      <w:r w:rsidRPr="00520861">
        <w:rPr>
          <w:rFonts w:eastAsiaTheme="minorHAnsi"/>
          <w:sz w:val="28"/>
          <w:szCs w:val="28"/>
          <w:lang w:val="en-US" w:eastAsia="en-US"/>
        </w:rPr>
        <w:t xml:space="preserve"> BD, Hart DA, </w:t>
      </w:r>
      <w:proofErr w:type="spellStart"/>
      <w:r w:rsidRPr="00520861">
        <w:rPr>
          <w:rFonts w:eastAsiaTheme="minorHAnsi"/>
          <w:sz w:val="28"/>
          <w:szCs w:val="28"/>
          <w:lang w:val="en-US" w:eastAsia="en-US"/>
        </w:rPr>
        <w:t>Enoka</w:t>
      </w:r>
      <w:proofErr w:type="spellEnd"/>
      <w:r w:rsidRPr="00520861">
        <w:rPr>
          <w:rFonts w:eastAsiaTheme="minorHAnsi"/>
          <w:sz w:val="28"/>
          <w:szCs w:val="28"/>
          <w:lang w:val="en-US" w:eastAsia="en-US"/>
        </w:rPr>
        <w:t xml:space="preserve"> RM, </w:t>
      </w:r>
      <w:proofErr w:type="spellStart"/>
      <w:r w:rsidRPr="00520861">
        <w:rPr>
          <w:rFonts w:eastAsiaTheme="minorHAnsi"/>
          <w:sz w:val="28"/>
          <w:szCs w:val="28"/>
          <w:lang w:val="en-US" w:eastAsia="en-US"/>
        </w:rPr>
        <w:t>Nicolella</w:t>
      </w:r>
      <w:proofErr w:type="spellEnd"/>
      <w:r w:rsidRPr="00520861">
        <w:rPr>
          <w:rFonts w:eastAsiaTheme="minorHAnsi"/>
          <w:sz w:val="28"/>
          <w:szCs w:val="28"/>
          <w:lang w:val="en-US" w:eastAsia="en-US"/>
        </w:rPr>
        <w:t xml:space="preserve"> DP, Resnick E, Berkley KJ, et al. </w:t>
      </w:r>
      <w:r w:rsidR="00A603DA" w:rsidRPr="00520861">
        <w:rPr>
          <w:rFonts w:eastAsiaTheme="minorHAnsi"/>
          <w:sz w:val="28"/>
          <w:szCs w:val="28"/>
          <w:lang w:val="en-US" w:eastAsia="en-US"/>
        </w:rPr>
        <w:br/>
      </w:r>
      <w:r w:rsidRPr="00520861">
        <w:rPr>
          <w:rFonts w:eastAsiaTheme="minorHAnsi"/>
          <w:sz w:val="28"/>
          <w:szCs w:val="28"/>
          <w:lang w:val="en-US" w:eastAsia="en-US"/>
        </w:rPr>
        <w:t xml:space="preserve">Hormonal modulation of connective tissue homeostasis and sex differences in risk for osteoarthritis of the knee. </w:t>
      </w:r>
      <w:r w:rsidRPr="00520861">
        <w:rPr>
          <w:rFonts w:eastAsiaTheme="minorHAnsi"/>
          <w:i/>
          <w:sz w:val="28"/>
          <w:szCs w:val="28"/>
          <w:lang w:val="en-US" w:eastAsia="en-US"/>
        </w:rPr>
        <w:t>Biol Sex Differ</w:t>
      </w:r>
      <w:r w:rsidRPr="00520861">
        <w:rPr>
          <w:rFonts w:eastAsiaTheme="minorHAnsi"/>
          <w:sz w:val="28"/>
          <w:szCs w:val="28"/>
          <w:lang w:val="en-US" w:eastAsia="en-US"/>
        </w:rPr>
        <w:t xml:space="preserve"> [Internet]. 2013</w:t>
      </w:r>
      <w:r w:rsidRPr="00520861">
        <w:rPr>
          <w:rFonts w:eastAsiaTheme="minorHAnsi"/>
          <w:color w:val="000000"/>
          <w:sz w:val="28"/>
          <w:szCs w:val="28"/>
          <w:shd w:val="clear" w:color="auto" w:fill="FFFFFF"/>
          <w:lang w:val="en-US" w:eastAsia="en-US"/>
        </w:rPr>
        <w:t xml:space="preserve"> </w:t>
      </w:r>
      <w:r w:rsidRPr="00520861">
        <w:rPr>
          <w:rFonts w:eastAsiaTheme="minorHAnsi"/>
          <w:sz w:val="28"/>
          <w:szCs w:val="28"/>
          <w:lang w:val="en-US" w:eastAsia="en-US"/>
        </w:rPr>
        <w:t xml:space="preserve">Feb [cited 2020 May 14];4: 3.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val="en-US" w:eastAsia="en-US"/>
        </w:rPr>
        <w:t>10.1186/2042-6410-4-3.</w:t>
      </w:r>
    </w:p>
    <w:p w14:paraId="6002586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Bratthall</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Introducing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Significant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together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proposal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new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goal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12-year-olds</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J</w:t>
      </w:r>
      <w:r w:rsidRPr="00520861">
        <w:rPr>
          <w:rFonts w:eastAsiaTheme="minorHAnsi"/>
          <w:sz w:val="28"/>
          <w:szCs w:val="28"/>
          <w:lang w:val="en-US" w:eastAsia="en-US"/>
        </w:rPr>
        <w:t>.</w:t>
      </w:r>
      <w:r w:rsidRPr="00520861">
        <w:rPr>
          <w:rFonts w:eastAsiaTheme="minorHAnsi"/>
          <w:sz w:val="28"/>
          <w:szCs w:val="28"/>
          <w:lang w:eastAsia="en-US"/>
        </w:rPr>
        <w:t xml:space="preserve"> 2000; 50</w:t>
      </w:r>
      <w:r w:rsidRPr="00520861">
        <w:rPr>
          <w:rFonts w:eastAsiaTheme="minorHAnsi"/>
          <w:sz w:val="28"/>
          <w:szCs w:val="28"/>
          <w:lang w:val="en-US" w:eastAsia="en-US"/>
        </w:rPr>
        <w:t>(6)</w:t>
      </w:r>
      <w:r w:rsidRPr="00520861">
        <w:rPr>
          <w:rFonts w:eastAsiaTheme="minorHAnsi"/>
          <w:sz w:val="28"/>
          <w:szCs w:val="28"/>
          <w:lang w:eastAsia="en-US"/>
        </w:rPr>
        <w:t>: 378–384.</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val="en-US" w:eastAsia="en-US"/>
        </w:rPr>
        <w:t>10.1111/j.1875-595x.2000.tb00572.x.</w:t>
      </w:r>
    </w:p>
    <w:p w14:paraId="5506F8A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Brodzikowska</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w:t>
      </w:r>
      <w:r w:rsidRPr="00520861">
        <w:rPr>
          <w:rFonts w:eastAsiaTheme="minorHAnsi"/>
          <w:sz w:val="28"/>
          <w:szCs w:val="28"/>
          <w:lang w:eastAsia="en-US"/>
        </w:rPr>
        <w:t xml:space="preserve">, </w:t>
      </w:r>
      <w:r w:rsidRPr="00520861">
        <w:rPr>
          <w:rFonts w:eastAsiaTheme="minorHAnsi"/>
          <w:sz w:val="28"/>
          <w:szCs w:val="28"/>
          <w:lang w:val="en-US" w:eastAsia="en-US"/>
        </w:rPr>
        <w:t>G</w:t>
      </w:r>
      <w:r w:rsidRPr="00520861">
        <w:rPr>
          <w:rFonts w:eastAsiaTheme="minorHAnsi"/>
          <w:sz w:val="28"/>
          <w:szCs w:val="28"/>
          <w:lang w:eastAsia="en-US"/>
        </w:rPr>
        <w:t>ó</w:t>
      </w:r>
      <w:proofErr w:type="spellStart"/>
      <w:r w:rsidRPr="00520861">
        <w:rPr>
          <w:rFonts w:eastAsiaTheme="minorHAnsi"/>
          <w:sz w:val="28"/>
          <w:szCs w:val="28"/>
          <w:lang w:val="en-US" w:eastAsia="en-US"/>
        </w:rPr>
        <w:t>rska</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R</w:t>
      </w:r>
      <w:r w:rsidRPr="00520861">
        <w:rPr>
          <w:rFonts w:eastAsiaTheme="minorHAnsi"/>
          <w:sz w:val="28"/>
          <w:szCs w:val="28"/>
          <w:lang w:eastAsia="en-US"/>
        </w:rPr>
        <w:t xml:space="preserve">, </w:t>
      </w:r>
      <w:r w:rsidRPr="00520861">
        <w:rPr>
          <w:rFonts w:eastAsiaTheme="minorHAnsi"/>
          <w:sz w:val="28"/>
          <w:szCs w:val="28"/>
          <w:lang w:val="en-US" w:eastAsia="en-US"/>
        </w:rPr>
        <w:t>Kowalski</w:t>
      </w:r>
      <w:r w:rsidRPr="00520861">
        <w:rPr>
          <w:rFonts w:eastAsiaTheme="minorHAnsi"/>
          <w:sz w:val="28"/>
          <w:szCs w:val="28"/>
          <w:lang w:eastAsia="en-US"/>
        </w:rPr>
        <w:t xml:space="preserve"> </w:t>
      </w:r>
      <w:r w:rsidRPr="00520861">
        <w:rPr>
          <w:rFonts w:eastAsiaTheme="minorHAnsi"/>
          <w:sz w:val="28"/>
          <w:szCs w:val="28"/>
          <w:lang w:val="en-US" w:eastAsia="en-US"/>
        </w:rPr>
        <w:t>J</w:t>
      </w:r>
      <w:r w:rsidRPr="00520861">
        <w:rPr>
          <w:rFonts w:eastAsiaTheme="minorHAnsi"/>
          <w:sz w:val="28"/>
          <w:szCs w:val="28"/>
          <w:lang w:eastAsia="en-US"/>
        </w:rPr>
        <w:t xml:space="preserve">. </w:t>
      </w:r>
      <w:r w:rsidRPr="00520861">
        <w:rPr>
          <w:rFonts w:eastAsiaTheme="minorHAnsi"/>
          <w:sz w:val="28"/>
          <w:szCs w:val="28"/>
          <w:lang w:val="en-US" w:eastAsia="en-US"/>
        </w:rPr>
        <w:t>Interleukin</w:t>
      </w:r>
      <w:r w:rsidRPr="00520861">
        <w:rPr>
          <w:rFonts w:eastAsiaTheme="minorHAnsi"/>
          <w:sz w:val="28"/>
          <w:szCs w:val="28"/>
          <w:lang w:eastAsia="en-US"/>
        </w:rPr>
        <w:t xml:space="preserve">-1 </w:t>
      </w:r>
      <w:r w:rsidRPr="00520861">
        <w:rPr>
          <w:rFonts w:eastAsiaTheme="minorHAnsi"/>
          <w:sz w:val="28"/>
          <w:szCs w:val="28"/>
          <w:lang w:val="en-US" w:eastAsia="en-US"/>
        </w:rPr>
        <w:t>genotype</w:t>
      </w:r>
      <w:r w:rsidRPr="00520861">
        <w:rPr>
          <w:rFonts w:eastAsiaTheme="minorHAnsi"/>
          <w:sz w:val="28"/>
          <w:szCs w:val="28"/>
          <w:lang w:eastAsia="en-US"/>
        </w:rPr>
        <w:t xml:space="preserve"> </w:t>
      </w:r>
      <w:r w:rsidRPr="00520861">
        <w:rPr>
          <w:rFonts w:eastAsiaTheme="minorHAnsi"/>
          <w:sz w:val="28"/>
          <w:szCs w:val="28"/>
          <w:lang w:val="en-US" w:eastAsia="en-US"/>
        </w:rPr>
        <w:t>in</w:t>
      </w:r>
      <w:r w:rsidRPr="00520861">
        <w:rPr>
          <w:rFonts w:eastAsiaTheme="minorHAnsi"/>
          <w:sz w:val="28"/>
          <w:szCs w:val="28"/>
          <w:lang w:eastAsia="en-US"/>
        </w:rPr>
        <w:t xml:space="preserve"> </w:t>
      </w:r>
      <w:r w:rsidRPr="00520861">
        <w:rPr>
          <w:rFonts w:eastAsiaTheme="minorHAnsi"/>
          <w:sz w:val="28"/>
          <w:szCs w:val="28"/>
          <w:lang w:val="en-US" w:eastAsia="en-US"/>
        </w:rPr>
        <w:t>periodontitis</w:t>
      </w:r>
      <w:r w:rsidRPr="00520861">
        <w:rPr>
          <w:rFonts w:eastAsiaTheme="minorHAnsi"/>
          <w:sz w:val="28"/>
          <w:szCs w:val="28"/>
          <w:lang w:eastAsia="en-US"/>
        </w:rPr>
        <w:t xml:space="preserve">. </w:t>
      </w:r>
      <w:r w:rsidRPr="00520861">
        <w:rPr>
          <w:rFonts w:eastAsiaTheme="minorHAnsi"/>
          <w:i/>
          <w:sz w:val="28"/>
          <w:szCs w:val="28"/>
          <w:lang w:val="en-US" w:eastAsia="en-US"/>
        </w:rPr>
        <w:t xml:space="preserve">Arch Immunol </w:t>
      </w:r>
      <w:proofErr w:type="spellStart"/>
      <w:r w:rsidRPr="00520861">
        <w:rPr>
          <w:rFonts w:eastAsiaTheme="minorHAnsi"/>
          <w:i/>
          <w:sz w:val="28"/>
          <w:szCs w:val="28"/>
          <w:lang w:val="en-US" w:eastAsia="en-US"/>
        </w:rPr>
        <w:t>Ther</w:t>
      </w:r>
      <w:proofErr w:type="spellEnd"/>
      <w:r w:rsidRPr="00520861">
        <w:rPr>
          <w:rFonts w:eastAsiaTheme="minorHAnsi"/>
          <w:i/>
          <w:sz w:val="28"/>
          <w:szCs w:val="28"/>
          <w:lang w:val="en-US" w:eastAsia="en-US"/>
        </w:rPr>
        <w:t xml:space="preserve"> Exp (</w:t>
      </w:r>
      <w:proofErr w:type="spellStart"/>
      <w:r w:rsidRPr="00520861">
        <w:rPr>
          <w:rFonts w:eastAsiaTheme="minorHAnsi"/>
          <w:i/>
          <w:sz w:val="28"/>
          <w:szCs w:val="28"/>
          <w:lang w:val="en-US" w:eastAsia="en-US"/>
        </w:rPr>
        <w:t>Warsz</w:t>
      </w:r>
      <w:proofErr w:type="spellEnd"/>
      <w:r w:rsidRPr="00520861">
        <w:rPr>
          <w:rFonts w:eastAsiaTheme="minorHAnsi"/>
          <w:i/>
          <w:sz w:val="28"/>
          <w:szCs w:val="28"/>
          <w:lang w:val="en-US" w:eastAsia="en-US"/>
        </w:rPr>
        <w:t>)</w:t>
      </w:r>
      <w:r w:rsidRPr="00520861">
        <w:rPr>
          <w:rFonts w:eastAsiaTheme="minorHAnsi"/>
          <w:sz w:val="28"/>
          <w:szCs w:val="28"/>
          <w:lang w:val="en-US" w:eastAsia="en-US"/>
        </w:rPr>
        <w:t xml:space="preserve">. 2019;67(6): 367–373.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val="en-US" w:eastAsia="en-US"/>
        </w:rPr>
        <w:t>10.1007/s00005-019-00555-4.</w:t>
      </w:r>
    </w:p>
    <w:p w14:paraId="077F161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Brook</w:t>
      </w:r>
      <w:proofErr w:type="spellEnd"/>
      <w:r w:rsidRPr="00520861">
        <w:rPr>
          <w:rFonts w:eastAsiaTheme="minorHAnsi"/>
          <w:sz w:val="28"/>
          <w:szCs w:val="28"/>
          <w:lang w:eastAsia="en-US"/>
        </w:rPr>
        <w:t xml:space="preserve"> AH, </w:t>
      </w:r>
      <w:proofErr w:type="spellStart"/>
      <w:r w:rsidRPr="00520861">
        <w:rPr>
          <w:rFonts w:eastAsiaTheme="minorHAnsi"/>
          <w:sz w:val="28"/>
          <w:szCs w:val="28"/>
          <w:lang w:eastAsia="en-US"/>
        </w:rPr>
        <w:t>O'Donnell</w:t>
      </w:r>
      <w:proofErr w:type="spellEnd"/>
      <w:r w:rsidRPr="00520861">
        <w:rPr>
          <w:rFonts w:eastAsiaTheme="minorHAnsi"/>
          <w:sz w:val="28"/>
          <w:szCs w:val="28"/>
          <w:lang w:eastAsia="en-US"/>
        </w:rPr>
        <w:t xml:space="preserve"> MB, </w:t>
      </w:r>
      <w:proofErr w:type="spellStart"/>
      <w:r w:rsidRPr="00520861">
        <w:rPr>
          <w:rFonts w:eastAsiaTheme="minorHAnsi"/>
          <w:sz w:val="28"/>
          <w:szCs w:val="28"/>
          <w:lang w:eastAsia="en-US"/>
        </w:rPr>
        <w:t>Hone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Hart</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Hughes</w:t>
      </w:r>
      <w:proofErr w:type="spellEnd"/>
      <w:r w:rsidRPr="00520861">
        <w:rPr>
          <w:rFonts w:eastAsiaTheme="minorHAnsi"/>
          <w:sz w:val="28"/>
          <w:szCs w:val="28"/>
          <w:lang w:eastAsia="en-US"/>
        </w:rPr>
        <w:t xml:space="preserve"> TE, </w:t>
      </w:r>
      <w:proofErr w:type="spellStart"/>
      <w:r w:rsidRPr="00520861">
        <w:rPr>
          <w:rFonts w:eastAsiaTheme="minorHAnsi"/>
          <w:sz w:val="28"/>
          <w:szCs w:val="28"/>
          <w:lang w:eastAsia="en-US"/>
        </w:rPr>
        <w:t>Smith</w:t>
      </w:r>
      <w:proofErr w:type="spellEnd"/>
      <w:r w:rsidRPr="00520861">
        <w:rPr>
          <w:rFonts w:eastAsiaTheme="minorHAnsi"/>
          <w:sz w:val="28"/>
          <w:szCs w:val="28"/>
          <w:lang w:eastAsia="en-US"/>
        </w:rPr>
        <w:t xml:space="preserve"> RN,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craniofacial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complex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adaptive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processes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influenced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diversity</w:t>
      </w:r>
      <w:proofErr w:type="spellEnd"/>
      <w:r w:rsidRPr="00520861">
        <w:rPr>
          <w:rFonts w:eastAsiaTheme="minorHAnsi"/>
          <w:sz w:val="28"/>
          <w:szCs w:val="28"/>
          <w:lang w:eastAsia="en-US"/>
        </w:rPr>
        <w:t xml:space="preserve">. </w:t>
      </w:r>
      <w:r w:rsidR="00A603DA" w:rsidRPr="00520861">
        <w:rPr>
          <w:rFonts w:eastAsiaTheme="minorHAnsi"/>
          <w:sz w:val="28"/>
          <w:szCs w:val="28"/>
          <w:lang w:eastAsia="en-US"/>
        </w:rPr>
        <w:br/>
      </w:r>
      <w:proofErr w:type="spellStart"/>
      <w:r w:rsidRPr="00520861">
        <w:rPr>
          <w:rFonts w:eastAsiaTheme="minorHAnsi"/>
          <w:i/>
          <w:sz w:val="28"/>
          <w:szCs w:val="28"/>
          <w:lang w:eastAsia="en-US"/>
        </w:rPr>
        <w:t>Aust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J</w:t>
      </w:r>
      <w:r w:rsidRPr="00520861">
        <w:rPr>
          <w:rFonts w:eastAsiaTheme="minorHAnsi"/>
          <w:sz w:val="28"/>
          <w:szCs w:val="28"/>
          <w:lang w:eastAsia="en-US"/>
        </w:rPr>
        <w:t xml:space="preserve">. 2014;59 </w:t>
      </w:r>
      <w:proofErr w:type="spellStart"/>
      <w:r w:rsidRPr="00520861">
        <w:rPr>
          <w:rFonts w:eastAsiaTheme="minorHAnsi"/>
          <w:sz w:val="28"/>
          <w:szCs w:val="28"/>
          <w:lang w:eastAsia="en-US"/>
        </w:rPr>
        <w:t>Suppl</w:t>
      </w:r>
      <w:proofErr w:type="spellEnd"/>
      <w:r w:rsidRPr="00520861">
        <w:rPr>
          <w:rFonts w:eastAsiaTheme="minorHAnsi"/>
          <w:sz w:val="28"/>
          <w:szCs w:val="28"/>
          <w:lang w:eastAsia="en-US"/>
        </w:rPr>
        <w:t xml:space="preserve"> 1:</w:t>
      </w:r>
      <w:r w:rsidRPr="00520861">
        <w:rPr>
          <w:rFonts w:eastAsiaTheme="minorHAnsi"/>
          <w:sz w:val="28"/>
          <w:szCs w:val="28"/>
          <w:lang w:val="en-US" w:eastAsia="en-US"/>
        </w:rPr>
        <w:t xml:space="preserve"> </w:t>
      </w:r>
      <w:r w:rsidRPr="00520861">
        <w:rPr>
          <w:rFonts w:eastAsiaTheme="minorHAnsi"/>
          <w:sz w:val="28"/>
          <w:szCs w:val="28"/>
          <w:lang w:eastAsia="en-US"/>
        </w:rPr>
        <w:t xml:space="preserve">13–22.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10.1111/adj.12158</w:t>
      </w:r>
      <w:r w:rsidRPr="00520861">
        <w:rPr>
          <w:rFonts w:eastAsiaTheme="minorHAnsi"/>
          <w:sz w:val="28"/>
          <w:szCs w:val="28"/>
          <w:lang w:val="en-US" w:eastAsia="en-US"/>
        </w:rPr>
        <w:t>.</w:t>
      </w:r>
    </w:p>
    <w:p w14:paraId="317E180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Buduneli</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Kinane</w:t>
      </w:r>
      <w:proofErr w:type="spellEnd"/>
      <w:r w:rsidRPr="00520861">
        <w:rPr>
          <w:rFonts w:eastAsiaTheme="minorHAnsi"/>
          <w:sz w:val="28"/>
          <w:szCs w:val="28"/>
          <w:lang w:eastAsia="en-US"/>
        </w:rPr>
        <w:t xml:space="preserve"> DF. </w:t>
      </w:r>
      <w:proofErr w:type="spellStart"/>
      <w:r w:rsidRPr="00520861">
        <w:rPr>
          <w:rFonts w:eastAsiaTheme="minorHAnsi"/>
          <w:sz w:val="28"/>
          <w:szCs w:val="28"/>
          <w:lang w:eastAsia="en-US"/>
        </w:rPr>
        <w:t>Host-derived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diagnostic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markers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soft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tissue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destruction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degradation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w:t>
      </w:r>
      <w:proofErr w:type="spellEnd"/>
      <w:r w:rsidRPr="00520861">
        <w:rPr>
          <w:rFonts w:eastAsiaTheme="minorHAnsi"/>
          <w:sz w:val="28"/>
          <w:szCs w:val="28"/>
          <w:lang w:eastAsia="en-US"/>
        </w:rPr>
        <w:t>. 2011;38(11):</w:t>
      </w:r>
      <w:r w:rsidRPr="00520861">
        <w:rPr>
          <w:rFonts w:eastAsiaTheme="minorHAnsi"/>
          <w:sz w:val="28"/>
          <w:szCs w:val="28"/>
          <w:lang w:val="en-US" w:eastAsia="en-US"/>
        </w:rPr>
        <w:t xml:space="preserve"> </w:t>
      </w:r>
      <w:r w:rsidRPr="00520861">
        <w:rPr>
          <w:rFonts w:eastAsiaTheme="minorHAnsi"/>
          <w:sz w:val="28"/>
          <w:szCs w:val="28"/>
          <w:lang w:eastAsia="en-US"/>
        </w:rPr>
        <w:t xml:space="preserve">85–105.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10.1111/j.1600-051X.2010.</w:t>
      </w:r>
      <w:proofErr w:type="gramStart"/>
      <w:r w:rsidRPr="00520861">
        <w:rPr>
          <w:rFonts w:eastAsiaTheme="minorHAnsi"/>
          <w:sz w:val="28"/>
          <w:szCs w:val="28"/>
          <w:lang w:eastAsia="en-US"/>
        </w:rPr>
        <w:t>01670.x</w:t>
      </w:r>
      <w:r w:rsidRPr="00520861">
        <w:rPr>
          <w:rFonts w:eastAsiaTheme="minorHAnsi"/>
          <w:sz w:val="28"/>
          <w:szCs w:val="28"/>
          <w:lang w:val="en-US" w:eastAsia="en-US"/>
        </w:rPr>
        <w:t>.</w:t>
      </w:r>
      <w:proofErr w:type="gramEnd"/>
    </w:p>
    <w:p w14:paraId="4D6D024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Capek</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Brůza</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Janácek</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Karen</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Kubínová</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Vagnerová</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Volume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reconstruction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large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tissue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specimens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serial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physical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sections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using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confocal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correction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cutting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deformations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elastic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registration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Microsc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Tech</w:t>
      </w:r>
      <w:proofErr w:type="spellEnd"/>
      <w:r w:rsidRPr="00520861">
        <w:rPr>
          <w:rFonts w:eastAsiaTheme="minorHAnsi"/>
          <w:sz w:val="28"/>
          <w:szCs w:val="28"/>
          <w:lang w:eastAsia="en-US"/>
        </w:rPr>
        <w:t>. 2009;72(2):</w:t>
      </w:r>
      <w:r w:rsidRPr="00520861">
        <w:rPr>
          <w:rFonts w:eastAsiaTheme="minorHAnsi"/>
          <w:sz w:val="28"/>
          <w:szCs w:val="28"/>
          <w:lang w:val="en-US" w:eastAsia="en-US"/>
        </w:rPr>
        <w:t xml:space="preserve"> </w:t>
      </w:r>
      <w:r w:rsidRPr="00520861">
        <w:rPr>
          <w:rFonts w:eastAsiaTheme="minorHAnsi"/>
          <w:sz w:val="28"/>
          <w:szCs w:val="28"/>
          <w:lang w:eastAsia="en-US"/>
        </w:rPr>
        <w:t>110–</w:t>
      </w:r>
      <w:r w:rsidRPr="00520861">
        <w:rPr>
          <w:rFonts w:eastAsiaTheme="minorHAnsi"/>
          <w:sz w:val="28"/>
          <w:szCs w:val="28"/>
          <w:lang w:val="en-US" w:eastAsia="en-US"/>
        </w:rPr>
        <w:t>11</w:t>
      </w:r>
      <w:r w:rsidRPr="00520861">
        <w:rPr>
          <w:rFonts w:eastAsiaTheme="minorHAnsi"/>
          <w:sz w:val="28"/>
          <w:szCs w:val="28"/>
          <w:lang w:eastAsia="en-US"/>
        </w:rPr>
        <w:t>9.</w:t>
      </w:r>
    </w:p>
    <w:p w14:paraId="69FC9AE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Castilho</w:t>
      </w:r>
      <w:proofErr w:type="spellEnd"/>
      <w:r w:rsidRPr="00520861">
        <w:rPr>
          <w:rFonts w:eastAsiaTheme="minorHAnsi"/>
          <w:sz w:val="28"/>
          <w:szCs w:val="28"/>
          <w:lang w:eastAsia="en-US"/>
        </w:rPr>
        <w:t xml:space="preserve"> AR, </w:t>
      </w:r>
      <w:proofErr w:type="spellStart"/>
      <w:r w:rsidRPr="00520861">
        <w:rPr>
          <w:rFonts w:eastAsiaTheme="minorHAnsi"/>
          <w:sz w:val="28"/>
          <w:szCs w:val="28"/>
          <w:lang w:eastAsia="en-US"/>
        </w:rPr>
        <w:t>Mialhe</w:t>
      </w:r>
      <w:proofErr w:type="spellEnd"/>
      <w:r w:rsidRPr="00520861">
        <w:rPr>
          <w:rFonts w:eastAsiaTheme="minorHAnsi"/>
          <w:sz w:val="28"/>
          <w:szCs w:val="28"/>
          <w:lang w:eastAsia="en-US"/>
        </w:rPr>
        <w:t xml:space="preserve"> FL, </w:t>
      </w:r>
      <w:proofErr w:type="spellStart"/>
      <w:r w:rsidRPr="00520861">
        <w:rPr>
          <w:rFonts w:eastAsiaTheme="minorHAnsi"/>
          <w:sz w:val="28"/>
          <w:szCs w:val="28"/>
          <w:lang w:eastAsia="en-US"/>
        </w:rPr>
        <w:t>Barbosa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Tde</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Puppin-Rontani</w:t>
      </w:r>
      <w:proofErr w:type="spellEnd"/>
      <w:r w:rsidRPr="00520861">
        <w:rPr>
          <w:rFonts w:eastAsiaTheme="minorHAnsi"/>
          <w:sz w:val="28"/>
          <w:szCs w:val="28"/>
          <w:lang w:eastAsia="en-US"/>
        </w:rPr>
        <w:t xml:space="preserve"> RM</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family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environment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Rio</w:t>
      </w:r>
      <w:proofErr w:type="spellEnd"/>
      <w:r w:rsidRPr="00520861">
        <w:rPr>
          <w:rFonts w:eastAsiaTheme="minorHAnsi"/>
          <w:i/>
          <w:sz w:val="28"/>
          <w:szCs w:val="28"/>
          <w:lang w:eastAsia="en-US"/>
        </w:rPr>
        <w:t xml:space="preserve"> J)</w:t>
      </w:r>
      <w:r w:rsidRPr="00520861">
        <w:rPr>
          <w:rFonts w:eastAsiaTheme="minorHAnsi"/>
          <w:sz w:val="28"/>
          <w:szCs w:val="28"/>
          <w:lang w:eastAsia="en-US"/>
        </w:rPr>
        <w:t>. 2013;89(2):</w:t>
      </w:r>
      <w:r w:rsidRPr="00520861">
        <w:rPr>
          <w:rFonts w:eastAsiaTheme="minorHAnsi"/>
          <w:sz w:val="28"/>
          <w:szCs w:val="28"/>
          <w:lang w:val="en-US" w:eastAsia="en-US"/>
        </w:rPr>
        <w:t xml:space="preserve"> </w:t>
      </w:r>
      <w:r w:rsidRPr="00520861">
        <w:rPr>
          <w:rFonts w:eastAsiaTheme="minorHAnsi"/>
          <w:sz w:val="28"/>
          <w:szCs w:val="28"/>
          <w:lang w:eastAsia="en-US"/>
        </w:rPr>
        <w:t>116–</w:t>
      </w:r>
      <w:r w:rsidRPr="00520861">
        <w:rPr>
          <w:rFonts w:eastAsiaTheme="minorHAnsi"/>
          <w:sz w:val="28"/>
          <w:szCs w:val="28"/>
          <w:lang w:val="en-US" w:eastAsia="en-US"/>
        </w:rPr>
        <w:t>1</w:t>
      </w:r>
      <w:r w:rsidRPr="00520861">
        <w:rPr>
          <w:rFonts w:eastAsiaTheme="minorHAnsi"/>
          <w:sz w:val="28"/>
          <w:szCs w:val="28"/>
          <w:lang w:eastAsia="en-US"/>
        </w:rPr>
        <w:t>23.</w:t>
      </w:r>
    </w:p>
    <w:p w14:paraId="1ACEA21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Catalano</w:t>
      </w:r>
      <w:proofErr w:type="spellEnd"/>
      <w:r w:rsidRPr="00520861">
        <w:rPr>
          <w:rFonts w:eastAsiaTheme="minorHAnsi"/>
          <w:sz w:val="28"/>
          <w:szCs w:val="28"/>
          <w:lang w:eastAsia="en-US"/>
        </w:rPr>
        <w:t xml:space="preserve"> PM, </w:t>
      </w:r>
      <w:proofErr w:type="spellStart"/>
      <w:r w:rsidRPr="00520861">
        <w:rPr>
          <w:rFonts w:eastAsiaTheme="minorHAnsi"/>
          <w:sz w:val="28"/>
          <w:szCs w:val="28"/>
          <w:lang w:eastAsia="en-US"/>
        </w:rPr>
        <w:t>Hauguel-De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Mouzon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revisit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Pedersen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hypothesis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epidemic</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Gynecol</w:t>
      </w:r>
      <w:proofErr w:type="spellEnd"/>
      <w:r w:rsidRPr="00520861">
        <w:rPr>
          <w:rFonts w:eastAsiaTheme="minorHAnsi"/>
          <w:sz w:val="28"/>
          <w:szCs w:val="28"/>
          <w:lang w:eastAsia="en-US"/>
        </w:rPr>
        <w:t>. 2011;204(6):</w:t>
      </w:r>
      <w:r w:rsidRPr="00520861">
        <w:rPr>
          <w:rFonts w:eastAsiaTheme="minorHAnsi"/>
          <w:sz w:val="28"/>
          <w:szCs w:val="28"/>
          <w:lang w:val="en-US" w:eastAsia="en-US"/>
        </w:rPr>
        <w:t xml:space="preserve"> </w:t>
      </w:r>
      <w:r w:rsidRPr="00520861">
        <w:rPr>
          <w:rFonts w:eastAsiaTheme="minorHAnsi"/>
          <w:sz w:val="28"/>
          <w:szCs w:val="28"/>
          <w:lang w:eastAsia="en-US"/>
        </w:rPr>
        <w:t xml:space="preserve">479–487.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10.1016/j.ajog.2010.11.039</w:t>
      </w:r>
      <w:r w:rsidRPr="00520861">
        <w:rPr>
          <w:rFonts w:eastAsiaTheme="minorHAnsi"/>
          <w:sz w:val="28"/>
          <w:szCs w:val="28"/>
          <w:lang w:val="en-US" w:eastAsia="en-US"/>
        </w:rPr>
        <w:t>.</w:t>
      </w:r>
    </w:p>
    <w:p w14:paraId="042C81C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r w:rsidRPr="00520861">
        <w:rPr>
          <w:rFonts w:eastAsiaTheme="minorHAnsi"/>
          <w:sz w:val="28"/>
          <w:szCs w:val="28"/>
          <w:lang w:val="en-US" w:eastAsia="en-US"/>
        </w:rPr>
        <w:t xml:space="preserve">Cavallari T, Arima LY, </w:t>
      </w:r>
      <w:proofErr w:type="spellStart"/>
      <w:r w:rsidRPr="00520861">
        <w:rPr>
          <w:rFonts w:eastAsiaTheme="minorHAnsi"/>
          <w:sz w:val="28"/>
          <w:szCs w:val="28"/>
          <w:lang w:val="en-US" w:eastAsia="en-US"/>
        </w:rPr>
        <w:t>Ferrasa</w:t>
      </w:r>
      <w:proofErr w:type="spellEnd"/>
      <w:r w:rsidRPr="00520861">
        <w:rPr>
          <w:rFonts w:eastAsiaTheme="minorHAnsi"/>
          <w:sz w:val="28"/>
          <w:szCs w:val="28"/>
          <w:lang w:val="en-US" w:eastAsia="en-US"/>
        </w:rPr>
        <w:t xml:space="preserve"> A, </w:t>
      </w:r>
      <w:proofErr w:type="spellStart"/>
      <w:r w:rsidRPr="00520861">
        <w:rPr>
          <w:rFonts w:eastAsiaTheme="minorHAnsi"/>
          <w:sz w:val="28"/>
          <w:szCs w:val="28"/>
          <w:lang w:val="en-US" w:eastAsia="en-US"/>
        </w:rPr>
        <w:t>Moysés</w:t>
      </w:r>
      <w:proofErr w:type="spellEnd"/>
      <w:r w:rsidRPr="00520861">
        <w:rPr>
          <w:rFonts w:eastAsiaTheme="minorHAnsi"/>
          <w:sz w:val="28"/>
          <w:szCs w:val="28"/>
          <w:lang w:val="en-US" w:eastAsia="en-US"/>
        </w:rPr>
        <w:t xml:space="preserve"> SJ, </w:t>
      </w:r>
      <w:proofErr w:type="spellStart"/>
      <w:r w:rsidRPr="00520861">
        <w:rPr>
          <w:rFonts w:eastAsiaTheme="minorHAnsi"/>
          <w:sz w:val="28"/>
          <w:szCs w:val="28"/>
          <w:lang w:val="en-US" w:eastAsia="en-US"/>
        </w:rPr>
        <w:t>Tetu</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val="en-US" w:eastAsia="en-US"/>
        </w:rPr>
        <w:t>Moysés</w:t>
      </w:r>
      <w:proofErr w:type="spellEnd"/>
      <w:r w:rsidRPr="00520861">
        <w:rPr>
          <w:rFonts w:eastAsiaTheme="minorHAnsi"/>
          <w:sz w:val="28"/>
          <w:szCs w:val="28"/>
          <w:lang w:val="en-US" w:eastAsia="en-US"/>
        </w:rPr>
        <w:t xml:space="preserve"> S, </w:t>
      </w:r>
      <w:proofErr w:type="spellStart"/>
      <w:r w:rsidRPr="00520861">
        <w:rPr>
          <w:rFonts w:eastAsiaTheme="minorHAnsi"/>
          <w:sz w:val="28"/>
          <w:szCs w:val="28"/>
          <w:lang w:val="en-US" w:eastAsia="en-US"/>
        </w:rPr>
        <w:t>Hirochi</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val="en-US" w:eastAsia="en-US"/>
        </w:rPr>
        <w:t>Herai</w:t>
      </w:r>
      <w:proofErr w:type="spellEnd"/>
      <w:r w:rsidRPr="00520861">
        <w:rPr>
          <w:rFonts w:eastAsiaTheme="minorHAnsi"/>
          <w:sz w:val="28"/>
          <w:szCs w:val="28"/>
          <w:lang w:val="en-US" w:eastAsia="en-US"/>
        </w:rPr>
        <w:t xml:space="preserve"> R, et al. Dental caries: Genetic and protein interactions. </w:t>
      </w:r>
      <w:r w:rsidRPr="00520861">
        <w:rPr>
          <w:rFonts w:eastAsiaTheme="minorHAnsi"/>
          <w:i/>
          <w:sz w:val="28"/>
          <w:szCs w:val="28"/>
          <w:lang w:val="en-US" w:eastAsia="en-US"/>
        </w:rPr>
        <w:t>Arch Oral Biol</w:t>
      </w:r>
      <w:r w:rsidRPr="00520861">
        <w:rPr>
          <w:rFonts w:eastAsiaTheme="minorHAnsi"/>
          <w:sz w:val="28"/>
          <w:szCs w:val="28"/>
          <w:lang w:val="en-US" w:eastAsia="en-US"/>
        </w:rPr>
        <w:t xml:space="preserve"> [Internet]. 2019</w:t>
      </w:r>
      <w:r w:rsidRPr="00520861">
        <w:rPr>
          <w:rFonts w:eastAsiaTheme="minorHAnsi"/>
          <w:sz w:val="28"/>
          <w:szCs w:val="28"/>
          <w:lang w:eastAsia="en-US"/>
        </w:rPr>
        <w:t xml:space="preserve"> </w:t>
      </w:r>
      <w:r w:rsidRPr="00520861">
        <w:rPr>
          <w:rFonts w:eastAsiaTheme="minorHAnsi"/>
          <w:sz w:val="28"/>
          <w:szCs w:val="28"/>
          <w:lang w:val="en-US" w:eastAsia="en-US"/>
        </w:rPr>
        <w:t>Aug [cited 2020 Jun</w:t>
      </w:r>
      <w:r w:rsidRPr="00520861">
        <w:rPr>
          <w:rFonts w:eastAsiaTheme="minorHAnsi"/>
          <w:sz w:val="28"/>
          <w:szCs w:val="28"/>
          <w:lang w:eastAsia="en-US"/>
        </w:rPr>
        <w:t xml:space="preserve"> 12</w:t>
      </w:r>
      <w:r w:rsidRPr="00520861">
        <w:rPr>
          <w:rFonts w:eastAsiaTheme="minorHAnsi"/>
          <w:sz w:val="28"/>
          <w:szCs w:val="28"/>
          <w:lang w:val="en-US" w:eastAsia="en-US"/>
        </w:rPr>
        <w:t xml:space="preserve">];108: 104522. Available from: DOI: 10.1016/j.archoralbio.2019.104522. </w:t>
      </w:r>
    </w:p>
    <w:p w14:paraId="3A7C799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Chadi</w:t>
      </w:r>
      <w:proofErr w:type="spellEnd"/>
      <w:r w:rsidRPr="00520861">
        <w:rPr>
          <w:rFonts w:eastAsiaTheme="minorHAnsi"/>
          <w:sz w:val="28"/>
          <w:szCs w:val="28"/>
          <w:lang w:eastAsia="en-US"/>
        </w:rPr>
        <w:t xml:space="preserve"> MJ, </w:t>
      </w:r>
      <w:proofErr w:type="spellStart"/>
      <w:r w:rsidRPr="00520861">
        <w:rPr>
          <w:rFonts w:eastAsiaTheme="minorHAnsi"/>
          <w:sz w:val="28"/>
          <w:szCs w:val="28"/>
          <w:lang w:eastAsia="en-US"/>
        </w:rPr>
        <w:t>Saint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Georges</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Albert</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Mainville</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Nguyen</w:t>
      </w:r>
      <w:proofErr w:type="spellEnd"/>
      <w:r w:rsidRPr="00520861">
        <w:rPr>
          <w:rFonts w:eastAsiaTheme="minorHAnsi"/>
          <w:sz w:val="28"/>
          <w:szCs w:val="28"/>
          <w:lang w:eastAsia="en-US"/>
        </w:rPr>
        <w:t xml:space="preserve"> JM, </w:t>
      </w:r>
      <w:proofErr w:type="spellStart"/>
      <w:r w:rsidRPr="00520861">
        <w:rPr>
          <w:rFonts w:eastAsiaTheme="minorHAnsi"/>
          <w:sz w:val="28"/>
          <w:szCs w:val="28"/>
          <w:lang w:eastAsia="en-US"/>
        </w:rPr>
        <w:t>Kauzman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Major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aplasia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hypoplasia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Down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syndrome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literature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report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case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Case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eastAsia="en-US"/>
        </w:rPr>
        <w:t>. 2017;5(6):</w:t>
      </w:r>
      <w:r w:rsidRPr="00520861">
        <w:rPr>
          <w:rFonts w:eastAsiaTheme="minorHAnsi"/>
          <w:sz w:val="28"/>
          <w:szCs w:val="28"/>
          <w:lang w:val="en-US" w:eastAsia="en-US"/>
        </w:rPr>
        <w:t xml:space="preserve"> </w:t>
      </w:r>
      <w:r w:rsidRPr="00520861">
        <w:rPr>
          <w:rFonts w:eastAsiaTheme="minorHAnsi"/>
          <w:sz w:val="28"/>
          <w:szCs w:val="28"/>
          <w:lang w:eastAsia="en-US"/>
        </w:rPr>
        <w:t xml:space="preserve">939–944.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DOI:10.1002/ccr3.975</w:t>
      </w:r>
      <w:r w:rsidRPr="00520861">
        <w:rPr>
          <w:rFonts w:eastAsiaTheme="minorHAnsi"/>
          <w:sz w:val="28"/>
          <w:szCs w:val="28"/>
          <w:lang w:val="en-US" w:eastAsia="en-US"/>
        </w:rPr>
        <w:t>.</w:t>
      </w:r>
    </w:p>
    <w:p w14:paraId="5450F00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Peng</w:t>
      </w:r>
      <w:proofErr w:type="spellEnd"/>
      <w:r w:rsidRPr="00520861">
        <w:rPr>
          <w:rFonts w:eastAsiaTheme="minorHAnsi"/>
          <w:sz w:val="28"/>
          <w:szCs w:val="28"/>
          <w:lang w:eastAsia="en-US"/>
        </w:rPr>
        <w:t xml:space="preserve"> YJ,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CC, </w:t>
      </w:r>
      <w:proofErr w:type="spellStart"/>
      <w:r w:rsidRPr="00520861">
        <w:rPr>
          <w:rFonts w:eastAsiaTheme="minorHAnsi"/>
          <w:sz w:val="28"/>
          <w:szCs w:val="28"/>
          <w:lang w:eastAsia="en-US"/>
        </w:rPr>
        <w:t>Su</w:t>
      </w:r>
      <w:proofErr w:type="spellEnd"/>
      <w:r w:rsidRPr="00520861">
        <w:rPr>
          <w:rFonts w:eastAsiaTheme="minorHAnsi"/>
          <w:sz w:val="28"/>
          <w:szCs w:val="28"/>
          <w:lang w:eastAsia="en-US"/>
        </w:rPr>
        <w:t xml:space="preserve"> SL, </w:t>
      </w:r>
      <w:proofErr w:type="spellStart"/>
      <w:r w:rsidRPr="00520861">
        <w:rPr>
          <w:rFonts w:eastAsiaTheme="minorHAnsi"/>
          <w:sz w:val="28"/>
          <w:szCs w:val="28"/>
          <w:lang w:eastAsia="en-US"/>
        </w:rPr>
        <w:t>Salter</w:t>
      </w:r>
      <w:proofErr w:type="spellEnd"/>
      <w:r w:rsidRPr="00520861">
        <w:rPr>
          <w:rFonts w:eastAsiaTheme="minorHAnsi"/>
          <w:sz w:val="28"/>
          <w:szCs w:val="28"/>
          <w:lang w:eastAsia="en-US"/>
        </w:rPr>
        <w:t xml:space="preserve"> DM, </w:t>
      </w:r>
      <w:proofErr w:type="spellStart"/>
      <w:r w:rsidRPr="00520861">
        <w:rPr>
          <w:rFonts w:eastAsiaTheme="minorHAnsi"/>
          <w:sz w:val="28"/>
          <w:szCs w:val="28"/>
          <w:lang w:eastAsia="en-US"/>
        </w:rPr>
        <w:t>Lee</w:t>
      </w:r>
      <w:proofErr w:type="spellEnd"/>
      <w:r w:rsidRPr="00520861">
        <w:rPr>
          <w:rFonts w:eastAsiaTheme="minorHAnsi"/>
          <w:sz w:val="28"/>
          <w:szCs w:val="28"/>
          <w:lang w:eastAsia="en-US"/>
        </w:rPr>
        <w:t xml:space="preserve"> HS. </w:t>
      </w:r>
      <w:proofErr w:type="spellStart"/>
      <w:r w:rsidRPr="00520861">
        <w:rPr>
          <w:rFonts w:eastAsiaTheme="minorHAnsi"/>
          <w:sz w:val="28"/>
          <w:szCs w:val="28"/>
          <w:lang w:eastAsia="en-US"/>
        </w:rPr>
        <w:t>Dexamethasone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down-regulates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osteocalcin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cells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through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leptin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pathway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xml:space="preserve">. 2018;15(5): 507–516.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10.7150/ijms.21881.</w:t>
      </w:r>
    </w:p>
    <w:p w14:paraId="4014ADB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Cheng</w:t>
      </w:r>
      <w:proofErr w:type="spellEnd"/>
      <w:r w:rsidRPr="00520861">
        <w:rPr>
          <w:rFonts w:eastAsiaTheme="minorHAnsi"/>
          <w:sz w:val="28"/>
          <w:szCs w:val="28"/>
          <w:lang w:eastAsia="en-US"/>
        </w:rPr>
        <w:t xml:space="preserve"> Y-C, </w:t>
      </w:r>
      <w:proofErr w:type="spellStart"/>
      <w:r w:rsidRPr="00520861">
        <w:rPr>
          <w:rFonts w:eastAsiaTheme="minorHAnsi"/>
          <w:sz w:val="28"/>
          <w:szCs w:val="28"/>
          <w:lang w:eastAsia="en-US"/>
        </w:rPr>
        <w:t>Huang</w:t>
      </w:r>
      <w:proofErr w:type="spellEnd"/>
      <w:r w:rsidRPr="00520861">
        <w:rPr>
          <w:rFonts w:eastAsiaTheme="minorHAnsi"/>
          <w:sz w:val="28"/>
          <w:szCs w:val="28"/>
          <w:lang w:eastAsia="en-US"/>
        </w:rPr>
        <w:t xml:space="preserve"> H-K, </w:t>
      </w:r>
      <w:proofErr w:type="spellStart"/>
      <w:r w:rsidRPr="00520861">
        <w:rPr>
          <w:rFonts w:eastAsiaTheme="minorHAnsi"/>
          <w:sz w:val="28"/>
          <w:szCs w:val="28"/>
          <w:lang w:eastAsia="en-US"/>
        </w:rPr>
        <w:t>Wu</w:t>
      </w:r>
      <w:proofErr w:type="spellEnd"/>
      <w:r w:rsidRPr="00520861">
        <w:rPr>
          <w:rFonts w:eastAsiaTheme="minorHAnsi"/>
          <w:sz w:val="28"/>
          <w:szCs w:val="28"/>
          <w:lang w:eastAsia="en-US"/>
        </w:rPr>
        <w:t xml:space="preserve"> C-H, </w:t>
      </w: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C-C, </w:t>
      </w:r>
      <w:proofErr w:type="spellStart"/>
      <w:r w:rsidRPr="00520861">
        <w:rPr>
          <w:rFonts w:eastAsiaTheme="minorHAnsi"/>
          <w:sz w:val="28"/>
          <w:szCs w:val="28"/>
          <w:lang w:eastAsia="en-US"/>
        </w:rPr>
        <w:t>Yeh</w:t>
      </w:r>
      <w:proofErr w:type="spellEnd"/>
      <w:r w:rsidRPr="00520861">
        <w:rPr>
          <w:rFonts w:eastAsiaTheme="minorHAnsi"/>
          <w:sz w:val="28"/>
          <w:szCs w:val="28"/>
          <w:lang w:eastAsia="en-US"/>
        </w:rPr>
        <w:t xml:space="preserve"> J-I. </w:t>
      </w:r>
      <w:proofErr w:type="spellStart"/>
      <w:r w:rsidRPr="00520861">
        <w:rPr>
          <w:rFonts w:eastAsiaTheme="minorHAnsi"/>
          <w:sz w:val="28"/>
          <w:szCs w:val="28"/>
          <w:lang w:eastAsia="en-US"/>
        </w:rPr>
        <w:t>Correlation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hygiene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habits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other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indicators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among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elementary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school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Xiulin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Hualien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County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Taiwan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Tzu</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Chi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Medical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sz w:val="28"/>
          <w:szCs w:val="28"/>
          <w:lang w:eastAsia="en-US"/>
        </w:rPr>
        <w:t>. 2014;26(4): 175–</w:t>
      </w:r>
      <w:r w:rsidRPr="00520861">
        <w:rPr>
          <w:rFonts w:eastAsiaTheme="minorHAnsi"/>
          <w:sz w:val="28"/>
          <w:szCs w:val="28"/>
          <w:lang w:val="en-US" w:eastAsia="en-US"/>
        </w:rPr>
        <w:t>1</w:t>
      </w:r>
      <w:r w:rsidRPr="00520861">
        <w:rPr>
          <w:rFonts w:eastAsiaTheme="minorHAnsi"/>
          <w:sz w:val="28"/>
          <w:szCs w:val="28"/>
          <w:lang w:eastAsia="en-US"/>
        </w:rPr>
        <w:t>81.</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10.1016/j.tcmj.2014.08.003</w:t>
      </w:r>
      <w:r w:rsidRPr="00520861">
        <w:rPr>
          <w:rFonts w:eastAsiaTheme="minorHAnsi"/>
          <w:sz w:val="28"/>
          <w:szCs w:val="28"/>
          <w:lang w:val="en-US" w:eastAsia="en-US"/>
        </w:rPr>
        <w:t>.</w:t>
      </w:r>
    </w:p>
    <w:p w14:paraId="7458D3F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Cho</w:t>
      </w:r>
      <w:proofErr w:type="spellEnd"/>
      <w:r w:rsidRPr="00520861">
        <w:rPr>
          <w:rFonts w:eastAsiaTheme="minorHAnsi"/>
          <w:sz w:val="28"/>
          <w:szCs w:val="28"/>
          <w:lang w:eastAsia="en-US"/>
        </w:rPr>
        <w:t xml:space="preserve"> GJ, </w:t>
      </w:r>
      <w:proofErr w:type="spellStart"/>
      <w:r w:rsidRPr="00520861">
        <w:rPr>
          <w:rFonts w:eastAsiaTheme="minorHAnsi"/>
          <w:sz w:val="28"/>
          <w:szCs w:val="28"/>
          <w:lang w:eastAsia="en-US"/>
        </w:rPr>
        <w:t>Kim</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 xml:space="preserve">S, </w:t>
      </w:r>
      <w:proofErr w:type="spellStart"/>
      <w:r w:rsidRPr="00520861">
        <w:rPr>
          <w:rFonts w:eastAsiaTheme="minorHAnsi"/>
          <w:sz w:val="28"/>
          <w:szCs w:val="28"/>
          <w:lang w:eastAsia="en-US"/>
        </w:rPr>
        <w:t>Lee</w:t>
      </w:r>
      <w:proofErr w:type="spellEnd"/>
      <w:r w:rsidRPr="00520861">
        <w:rPr>
          <w:rFonts w:eastAsiaTheme="minorHAnsi"/>
          <w:sz w:val="28"/>
          <w:szCs w:val="28"/>
          <w:lang w:eastAsia="en-US"/>
        </w:rPr>
        <w:t xml:space="preserve"> HC, </w:t>
      </w:r>
      <w:proofErr w:type="spellStart"/>
      <w:r w:rsidRPr="00520861">
        <w:rPr>
          <w:rFonts w:eastAsiaTheme="minorHAnsi"/>
          <w:sz w:val="28"/>
          <w:szCs w:val="28"/>
          <w:lang w:eastAsia="en-US"/>
        </w:rPr>
        <w:t>Kim</w:t>
      </w:r>
      <w:proofErr w:type="spellEnd"/>
      <w:r w:rsidRPr="00520861">
        <w:rPr>
          <w:rFonts w:eastAsiaTheme="minorHAnsi"/>
          <w:sz w:val="28"/>
          <w:szCs w:val="28"/>
          <w:lang w:eastAsia="en-US"/>
        </w:rPr>
        <w:t xml:space="preserve"> HY, </w:t>
      </w:r>
      <w:proofErr w:type="spellStart"/>
      <w:r w:rsidRPr="00520861">
        <w:rPr>
          <w:rFonts w:eastAsiaTheme="minorHAnsi"/>
          <w:sz w:val="28"/>
          <w:szCs w:val="28"/>
          <w:lang w:eastAsia="en-US"/>
        </w:rPr>
        <w:t>Lee</w:t>
      </w:r>
      <w:proofErr w:type="spellEnd"/>
      <w:r w:rsidRPr="00520861">
        <w:rPr>
          <w:rFonts w:eastAsiaTheme="minorHAnsi"/>
          <w:sz w:val="28"/>
          <w:szCs w:val="28"/>
          <w:lang w:eastAsia="en-US"/>
        </w:rPr>
        <w:t xml:space="preserve"> K-M, </w:t>
      </w:r>
      <w:proofErr w:type="spellStart"/>
      <w:r w:rsidRPr="00520861">
        <w:rPr>
          <w:rFonts w:eastAsiaTheme="minorHAnsi"/>
          <w:sz w:val="28"/>
          <w:szCs w:val="28"/>
          <w:lang w:eastAsia="en-US"/>
        </w:rPr>
        <w:t>Han</w:t>
      </w:r>
      <w:proofErr w:type="spellEnd"/>
      <w:r w:rsidRPr="00520861">
        <w:rPr>
          <w:rFonts w:eastAsiaTheme="minorHAnsi"/>
          <w:sz w:val="28"/>
          <w:szCs w:val="28"/>
          <w:lang w:eastAsia="en-US"/>
        </w:rPr>
        <w:t xml:space="preserve"> SW,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adverse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xml:space="preserve"> 2020</w:t>
      </w:r>
      <w:r w:rsidRPr="00520861">
        <w:rPr>
          <w:rFonts w:eastAsiaTheme="minorHAnsi"/>
          <w:sz w:val="28"/>
          <w:szCs w:val="28"/>
          <w:shd w:val="clear" w:color="auto" w:fill="FFFFFF"/>
          <w:lang w:val="en-US" w:eastAsia="en-US"/>
        </w:rPr>
        <w:t xml:space="preserve"> </w:t>
      </w:r>
      <w:r w:rsidRPr="00520861">
        <w:rPr>
          <w:rFonts w:eastAsiaTheme="minorHAnsi"/>
          <w:sz w:val="28"/>
          <w:szCs w:val="28"/>
          <w:lang w:val="en-US" w:eastAsia="en-US"/>
        </w:rPr>
        <w:t>Mar [cited 2020 Jun 20];</w:t>
      </w:r>
      <w:r w:rsidRPr="00520861">
        <w:rPr>
          <w:rFonts w:eastAsiaTheme="minorHAnsi"/>
          <w:sz w:val="28"/>
          <w:szCs w:val="28"/>
          <w:lang w:eastAsia="en-US"/>
        </w:rPr>
        <w:t>10</w:t>
      </w:r>
      <w:r w:rsidRPr="00520861">
        <w:rPr>
          <w:rFonts w:eastAsiaTheme="minorHAnsi"/>
          <w:sz w:val="28"/>
          <w:szCs w:val="28"/>
          <w:lang w:val="en-US" w:eastAsia="en-US"/>
        </w:rPr>
        <w:t>:</w:t>
      </w:r>
      <w:r w:rsidRPr="00520861">
        <w:rPr>
          <w:rFonts w:eastAsiaTheme="minorHAnsi"/>
          <w:sz w:val="28"/>
          <w:szCs w:val="28"/>
          <w:lang w:eastAsia="en-US"/>
        </w:rPr>
        <w:t xml:space="preserve"> 5309.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10.1038/s41598-020-62306-2</w:t>
      </w:r>
      <w:r w:rsidRPr="00520861">
        <w:rPr>
          <w:rFonts w:eastAsiaTheme="minorHAnsi"/>
          <w:sz w:val="28"/>
          <w:szCs w:val="28"/>
          <w:lang w:val="en-US" w:eastAsia="en-US"/>
        </w:rPr>
        <w:t>.</w:t>
      </w:r>
    </w:p>
    <w:p w14:paraId="0EC7A09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Choi</w:t>
      </w:r>
      <w:proofErr w:type="spellEnd"/>
      <w:r w:rsidRPr="00520861">
        <w:rPr>
          <w:rFonts w:eastAsiaTheme="minorHAnsi"/>
          <w:sz w:val="28"/>
          <w:szCs w:val="28"/>
          <w:lang w:eastAsia="en-US"/>
        </w:rPr>
        <w:t xml:space="preserve"> HM, </w:t>
      </w:r>
      <w:proofErr w:type="spellStart"/>
      <w:r w:rsidRPr="00520861">
        <w:rPr>
          <w:rFonts w:eastAsiaTheme="minorHAnsi"/>
          <w:sz w:val="28"/>
          <w:szCs w:val="28"/>
          <w:lang w:eastAsia="en-US"/>
        </w:rPr>
        <w:t>Doss</w:t>
      </w:r>
      <w:proofErr w:type="spellEnd"/>
      <w:r w:rsidRPr="00520861">
        <w:rPr>
          <w:rFonts w:eastAsiaTheme="minorHAnsi"/>
          <w:sz w:val="28"/>
          <w:szCs w:val="28"/>
          <w:lang w:eastAsia="en-US"/>
        </w:rPr>
        <w:t xml:space="preserve"> HM, </w:t>
      </w:r>
      <w:proofErr w:type="spellStart"/>
      <w:r w:rsidRPr="00520861">
        <w:rPr>
          <w:rFonts w:eastAsiaTheme="minorHAnsi"/>
          <w:sz w:val="28"/>
          <w:szCs w:val="28"/>
          <w:lang w:eastAsia="en-US"/>
        </w:rPr>
        <w:t>Kim</w:t>
      </w:r>
      <w:proofErr w:type="spellEnd"/>
      <w:r w:rsidRPr="00520861">
        <w:rPr>
          <w:rFonts w:eastAsiaTheme="minorHAnsi"/>
          <w:sz w:val="28"/>
          <w:szCs w:val="28"/>
          <w:lang w:eastAsia="en-US"/>
        </w:rPr>
        <w:t xml:space="preserve"> KS. </w:t>
      </w:r>
      <w:proofErr w:type="spellStart"/>
      <w:r w:rsidRPr="00520861">
        <w:rPr>
          <w:rFonts w:eastAsiaTheme="minorHAnsi"/>
          <w:sz w:val="28"/>
          <w:szCs w:val="28"/>
          <w:lang w:eastAsia="en-US"/>
        </w:rPr>
        <w:t>Multifaceted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Physiological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Roles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Adiponectin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Inflammation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Mol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2020</w:t>
      </w:r>
      <w:r w:rsidRPr="00520861">
        <w:rPr>
          <w:rFonts w:eastAsiaTheme="minorHAnsi"/>
          <w:sz w:val="28"/>
          <w:szCs w:val="28"/>
          <w:lang w:val="en-US" w:eastAsia="en-US"/>
        </w:rPr>
        <w:t xml:space="preserve"> Feb [cited 2020 Jun 9]</w:t>
      </w:r>
      <w:r w:rsidRPr="00520861">
        <w:rPr>
          <w:rFonts w:eastAsiaTheme="minorHAnsi"/>
          <w:sz w:val="28"/>
          <w:szCs w:val="28"/>
          <w:lang w:eastAsia="en-US"/>
        </w:rPr>
        <w:t xml:space="preserve">;21(4): 1219.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10.3390/ijms21041219.</w:t>
      </w:r>
    </w:p>
    <w:p w14:paraId="1B67904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 xml:space="preserve"> </w:t>
      </w:r>
      <w:proofErr w:type="spellStart"/>
      <w:r w:rsidRPr="00520861">
        <w:rPr>
          <w:rFonts w:eastAsiaTheme="minorHAnsi"/>
          <w:sz w:val="28"/>
          <w:szCs w:val="28"/>
          <w:lang w:eastAsia="en-US"/>
        </w:rPr>
        <w:t>Clarke</w:t>
      </w:r>
      <w:proofErr w:type="spellEnd"/>
      <w:r w:rsidRPr="00520861">
        <w:rPr>
          <w:rFonts w:eastAsiaTheme="minorHAnsi"/>
          <w:sz w:val="28"/>
          <w:szCs w:val="28"/>
          <w:lang w:eastAsia="en-US"/>
        </w:rPr>
        <w:t xml:space="preserve"> GM, </w:t>
      </w:r>
      <w:proofErr w:type="spellStart"/>
      <w:r w:rsidRPr="00520861">
        <w:rPr>
          <w:rFonts w:eastAsiaTheme="minorHAnsi"/>
          <w:sz w:val="28"/>
          <w:szCs w:val="28"/>
          <w:lang w:eastAsia="en-US"/>
        </w:rPr>
        <w:t>Anderson</w:t>
      </w:r>
      <w:proofErr w:type="spellEnd"/>
      <w:r w:rsidRPr="00520861">
        <w:rPr>
          <w:rFonts w:eastAsiaTheme="minorHAnsi"/>
          <w:sz w:val="28"/>
          <w:szCs w:val="28"/>
          <w:lang w:eastAsia="en-US"/>
        </w:rPr>
        <w:t xml:space="preserve"> CA, </w:t>
      </w:r>
      <w:proofErr w:type="spellStart"/>
      <w:r w:rsidRPr="00520861">
        <w:rPr>
          <w:rFonts w:eastAsiaTheme="minorHAnsi"/>
          <w:sz w:val="28"/>
          <w:szCs w:val="28"/>
          <w:lang w:eastAsia="en-US"/>
        </w:rPr>
        <w:t>Pettersson</w:t>
      </w:r>
      <w:proofErr w:type="spellEnd"/>
      <w:r w:rsidRPr="00520861">
        <w:rPr>
          <w:rFonts w:eastAsiaTheme="minorHAnsi"/>
          <w:sz w:val="28"/>
          <w:szCs w:val="28"/>
          <w:lang w:eastAsia="en-US"/>
        </w:rPr>
        <w:t xml:space="preserve"> FH, </w:t>
      </w:r>
      <w:proofErr w:type="spellStart"/>
      <w:r w:rsidRPr="00520861">
        <w:rPr>
          <w:rFonts w:eastAsiaTheme="minorHAnsi"/>
          <w:sz w:val="28"/>
          <w:szCs w:val="28"/>
          <w:lang w:eastAsia="en-US"/>
        </w:rPr>
        <w:t>Cardon</w:t>
      </w:r>
      <w:proofErr w:type="spellEnd"/>
      <w:r w:rsidRPr="00520861">
        <w:rPr>
          <w:rFonts w:eastAsiaTheme="minorHAnsi"/>
          <w:sz w:val="28"/>
          <w:szCs w:val="28"/>
          <w:lang w:eastAsia="en-US"/>
        </w:rPr>
        <w:t xml:space="preserve"> LR, </w:t>
      </w:r>
      <w:proofErr w:type="spellStart"/>
      <w:r w:rsidRPr="00520861">
        <w:rPr>
          <w:rFonts w:eastAsiaTheme="minorHAnsi"/>
          <w:sz w:val="28"/>
          <w:szCs w:val="28"/>
          <w:lang w:eastAsia="en-US"/>
        </w:rPr>
        <w:t>Morris</w:t>
      </w:r>
      <w:proofErr w:type="spellEnd"/>
      <w:r w:rsidRPr="00520861">
        <w:rPr>
          <w:rFonts w:eastAsiaTheme="minorHAnsi"/>
          <w:sz w:val="28"/>
          <w:szCs w:val="28"/>
          <w:lang w:eastAsia="en-US"/>
        </w:rPr>
        <w:t xml:space="preserve"> AP, </w:t>
      </w:r>
      <w:proofErr w:type="spellStart"/>
      <w:r w:rsidRPr="00520861">
        <w:rPr>
          <w:rFonts w:eastAsiaTheme="minorHAnsi"/>
          <w:sz w:val="28"/>
          <w:szCs w:val="28"/>
          <w:lang w:eastAsia="en-US"/>
        </w:rPr>
        <w:t>Zondervan</w:t>
      </w:r>
      <w:proofErr w:type="spellEnd"/>
      <w:r w:rsidRPr="00520861">
        <w:rPr>
          <w:rFonts w:eastAsiaTheme="minorHAnsi"/>
          <w:sz w:val="28"/>
          <w:szCs w:val="28"/>
          <w:lang w:eastAsia="en-US"/>
        </w:rPr>
        <w:t xml:space="preserve"> KT. </w:t>
      </w:r>
      <w:proofErr w:type="spellStart"/>
      <w:r w:rsidRPr="00520861">
        <w:rPr>
          <w:rFonts w:eastAsiaTheme="minorHAnsi"/>
          <w:sz w:val="28"/>
          <w:szCs w:val="28"/>
          <w:lang w:eastAsia="en-US"/>
        </w:rPr>
        <w:t>Basic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statistical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analysis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case-control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studies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Nat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Protoc</w:t>
      </w:r>
      <w:proofErr w:type="spellEnd"/>
      <w:r w:rsidRPr="00520861">
        <w:rPr>
          <w:rFonts w:eastAsiaTheme="minorHAnsi"/>
          <w:sz w:val="28"/>
          <w:szCs w:val="28"/>
          <w:lang w:eastAsia="en-US"/>
        </w:rPr>
        <w:t xml:space="preserve">. 2011; 6(2): 121–133.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10.1038/nprot.2010.182.</w:t>
      </w:r>
    </w:p>
    <w:p w14:paraId="6F15BC3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Cogulu</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Onay</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Ozdemir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Ya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Aslan</w:t>
      </w:r>
      <w:proofErr w:type="spellEnd"/>
      <w:r w:rsidRPr="00520861">
        <w:rPr>
          <w:rFonts w:eastAsiaTheme="minorHAnsi"/>
          <w:sz w:val="28"/>
          <w:szCs w:val="28"/>
          <w:lang w:eastAsia="en-US"/>
        </w:rPr>
        <w:t xml:space="preserve"> GI, </w:t>
      </w:r>
      <w:proofErr w:type="spellStart"/>
      <w:r w:rsidRPr="00520861">
        <w:rPr>
          <w:rFonts w:eastAsiaTheme="minorHAnsi"/>
          <w:sz w:val="28"/>
          <w:szCs w:val="28"/>
          <w:lang w:eastAsia="en-US"/>
        </w:rPr>
        <w:t>Ozkinay</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Kutukculer</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Eronat</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Associations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interleukin</w:t>
      </w:r>
      <w:proofErr w:type="spellEnd"/>
      <w:r w:rsidRPr="00520861">
        <w:rPr>
          <w:rFonts w:eastAsiaTheme="minorHAnsi"/>
          <w:sz w:val="28"/>
          <w:szCs w:val="28"/>
          <w:lang w:eastAsia="en-US"/>
        </w:rPr>
        <w:t xml:space="preserve"> (IL)-1β, IL-1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antagonist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IL-10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2015</w:t>
      </w:r>
      <w:r w:rsidRPr="00520861">
        <w:rPr>
          <w:rFonts w:eastAsiaTheme="minorHAnsi"/>
          <w:sz w:val="28"/>
          <w:szCs w:val="28"/>
          <w:lang w:val="en-US" w:eastAsia="en-US"/>
        </w:rPr>
        <w:t>;</w:t>
      </w:r>
      <w:r w:rsidRPr="00520861">
        <w:rPr>
          <w:rFonts w:eastAsiaTheme="minorHAnsi"/>
          <w:sz w:val="28"/>
          <w:szCs w:val="28"/>
          <w:lang w:eastAsia="en-US"/>
        </w:rPr>
        <w:t>57</w:t>
      </w:r>
      <w:r w:rsidRPr="00520861">
        <w:rPr>
          <w:rFonts w:eastAsiaTheme="minorHAnsi"/>
          <w:sz w:val="28"/>
          <w:szCs w:val="28"/>
          <w:lang w:val="en-US" w:eastAsia="en-US"/>
        </w:rPr>
        <w:t>:</w:t>
      </w:r>
      <w:r w:rsidRPr="00520861">
        <w:rPr>
          <w:rFonts w:eastAsiaTheme="minorHAnsi"/>
          <w:sz w:val="28"/>
          <w:szCs w:val="28"/>
          <w:lang w:eastAsia="en-US"/>
        </w:rPr>
        <w:t xml:space="preserve"> 31–36.</w:t>
      </w:r>
    </w:p>
    <w:p w14:paraId="2FE2896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Cons</w:t>
      </w:r>
      <w:proofErr w:type="spellEnd"/>
      <w:r w:rsidRPr="00520861">
        <w:rPr>
          <w:rFonts w:eastAsiaTheme="minorHAnsi"/>
          <w:sz w:val="28"/>
          <w:szCs w:val="28"/>
          <w:lang w:eastAsia="en-US"/>
        </w:rPr>
        <w:t xml:space="preserve"> NC, </w:t>
      </w:r>
      <w:proofErr w:type="spellStart"/>
      <w:r w:rsidRPr="00520861">
        <w:rPr>
          <w:rFonts w:eastAsiaTheme="minorHAnsi"/>
          <w:sz w:val="28"/>
          <w:szCs w:val="28"/>
          <w:lang w:eastAsia="en-US"/>
        </w:rPr>
        <w:t>Jenny</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Kohout</w:t>
      </w:r>
      <w:proofErr w:type="spellEnd"/>
      <w:r w:rsidRPr="00520861">
        <w:rPr>
          <w:rFonts w:eastAsiaTheme="minorHAnsi"/>
          <w:sz w:val="28"/>
          <w:szCs w:val="28"/>
          <w:lang w:eastAsia="en-US"/>
        </w:rPr>
        <w:t xml:space="preserve"> FJ, </w:t>
      </w:r>
      <w:proofErr w:type="spellStart"/>
      <w:r w:rsidRPr="00520861">
        <w:rPr>
          <w:rFonts w:eastAsiaTheme="minorHAnsi"/>
          <w:sz w:val="28"/>
          <w:szCs w:val="28"/>
          <w:lang w:eastAsia="en-US"/>
        </w:rPr>
        <w:t>Songpaisan</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Jotikastira</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Utility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aesthetic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industrialized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countries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Public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1989;49(3):</w:t>
      </w:r>
      <w:r w:rsidRPr="00520861">
        <w:rPr>
          <w:rFonts w:eastAsiaTheme="minorHAnsi"/>
          <w:sz w:val="28"/>
          <w:szCs w:val="28"/>
          <w:lang w:val="en-US" w:eastAsia="en-US"/>
        </w:rPr>
        <w:t xml:space="preserve"> </w:t>
      </w:r>
      <w:r w:rsidRPr="00520861">
        <w:rPr>
          <w:rFonts w:eastAsiaTheme="minorHAnsi"/>
          <w:sz w:val="28"/>
          <w:szCs w:val="28"/>
          <w:lang w:eastAsia="en-US"/>
        </w:rPr>
        <w:t xml:space="preserve">163–166.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10.1111/j.1752-7325.1989.tb02054.x</w:t>
      </w:r>
      <w:r w:rsidRPr="00520861">
        <w:rPr>
          <w:rFonts w:eastAsiaTheme="minorHAnsi"/>
          <w:sz w:val="28"/>
          <w:szCs w:val="28"/>
          <w:lang w:val="en-US" w:eastAsia="en-US"/>
        </w:rPr>
        <w:t>.</w:t>
      </w:r>
    </w:p>
    <w:p w14:paraId="20BF401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Cottrell</w:t>
      </w:r>
      <w:proofErr w:type="spellEnd"/>
      <w:r w:rsidRPr="00520861">
        <w:rPr>
          <w:rFonts w:eastAsiaTheme="minorHAnsi"/>
          <w:sz w:val="28"/>
          <w:szCs w:val="28"/>
          <w:lang w:eastAsia="en-US"/>
        </w:rPr>
        <w:t xml:space="preserve"> EC, </w:t>
      </w:r>
      <w:proofErr w:type="spellStart"/>
      <w:r w:rsidRPr="00520861">
        <w:rPr>
          <w:rFonts w:eastAsiaTheme="minorHAnsi"/>
          <w:sz w:val="28"/>
          <w:szCs w:val="28"/>
          <w:lang w:eastAsia="en-US"/>
        </w:rPr>
        <w:t>Ozanne</w:t>
      </w:r>
      <w:proofErr w:type="spellEnd"/>
      <w:r w:rsidRPr="00520861">
        <w:rPr>
          <w:rFonts w:eastAsiaTheme="minorHAnsi"/>
          <w:sz w:val="28"/>
          <w:szCs w:val="28"/>
          <w:lang w:eastAsia="en-US"/>
        </w:rPr>
        <w:t xml:space="preserve"> SE.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life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Physiol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Behav</w:t>
      </w:r>
      <w:proofErr w:type="spellEnd"/>
      <w:r w:rsidRPr="00520861">
        <w:rPr>
          <w:rFonts w:eastAsiaTheme="minorHAnsi"/>
          <w:sz w:val="28"/>
          <w:szCs w:val="28"/>
          <w:lang w:eastAsia="en-US"/>
        </w:rPr>
        <w:t>. 2008;94: 17–28.</w:t>
      </w:r>
    </w:p>
    <w:p w14:paraId="640B7BB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Courteau</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Samman</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Ali</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Riley</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Wintermark</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haemodynamic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instability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represent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subcutaneous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necrosis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asphyxiated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newborns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hypothermia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Acta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Paediatr</w:t>
      </w:r>
      <w:proofErr w:type="spellEnd"/>
      <w:r w:rsidRPr="00520861">
        <w:rPr>
          <w:rFonts w:eastAsiaTheme="minorHAnsi"/>
          <w:sz w:val="28"/>
          <w:szCs w:val="28"/>
          <w:lang w:eastAsia="en-US"/>
        </w:rPr>
        <w:t>. 2016;105(9):</w:t>
      </w:r>
      <w:r w:rsidRPr="00520861">
        <w:rPr>
          <w:rFonts w:eastAsiaTheme="minorHAnsi"/>
          <w:sz w:val="28"/>
          <w:szCs w:val="28"/>
          <w:lang w:val="en-US" w:eastAsia="en-US"/>
        </w:rPr>
        <w:t xml:space="preserve"> </w:t>
      </w:r>
      <w:r w:rsidRPr="00520861">
        <w:rPr>
          <w:rFonts w:eastAsiaTheme="minorHAnsi"/>
          <w:sz w:val="28"/>
          <w:szCs w:val="28"/>
          <w:lang w:eastAsia="en-US"/>
        </w:rPr>
        <w:t xml:space="preserve">e396–e405.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10.1111/apa.13463</w:t>
      </w:r>
      <w:r w:rsidRPr="00520861">
        <w:rPr>
          <w:rFonts w:eastAsiaTheme="minorHAnsi"/>
          <w:sz w:val="28"/>
          <w:szCs w:val="28"/>
          <w:lang w:val="en-US" w:eastAsia="en-US"/>
        </w:rPr>
        <w:t>.</w:t>
      </w:r>
    </w:p>
    <w:p w14:paraId="2796EE6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Coutinho</w:t>
      </w:r>
      <w:proofErr w:type="spellEnd"/>
      <w:r w:rsidRPr="00520861">
        <w:rPr>
          <w:rFonts w:eastAsiaTheme="minorHAnsi"/>
          <w:sz w:val="28"/>
          <w:szCs w:val="28"/>
          <w:lang w:eastAsia="en-US"/>
        </w:rPr>
        <w:t xml:space="preserve"> AE</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Chapman</w:t>
      </w:r>
      <w:proofErr w:type="spellEnd"/>
      <w:r w:rsidRPr="00520861">
        <w:rPr>
          <w:rFonts w:eastAsiaTheme="minorHAnsi"/>
          <w:sz w:val="28"/>
          <w:szCs w:val="28"/>
          <w:lang w:eastAsia="en-US"/>
        </w:rPr>
        <w:t xml:space="preserve"> KE.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anti-inflammatory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immunosuppressive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glucocorticoids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mechanistic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insights</w:t>
      </w:r>
      <w:proofErr w:type="spellEnd"/>
      <w:r w:rsidRPr="00520861">
        <w:rPr>
          <w:rFonts w:eastAsiaTheme="minorHAnsi"/>
          <w:sz w:val="28"/>
          <w:szCs w:val="28"/>
          <w:lang w:val="en-US" w:eastAsia="en-US"/>
        </w:rPr>
        <w:t xml:space="preserve">. </w:t>
      </w:r>
      <w:proofErr w:type="spellStart"/>
      <w:r w:rsidRPr="00520861">
        <w:rPr>
          <w:rFonts w:eastAsiaTheme="minorHAnsi"/>
          <w:i/>
          <w:sz w:val="28"/>
          <w:szCs w:val="28"/>
          <w:lang w:eastAsia="en-US"/>
        </w:rPr>
        <w:t>Mol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Cell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Endocrinol</w:t>
      </w:r>
      <w:proofErr w:type="spellEnd"/>
      <w:r w:rsidRPr="00520861">
        <w:rPr>
          <w:rFonts w:eastAsiaTheme="minorHAnsi"/>
          <w:sz w:val="28"/>
          <w:szCs w:val="28"/>
          <w:lang w:eastAsia="en-US"/>
        </w:rPr>
        <w:t xml:space="preserve">. 2011;335(1): 2–13.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10.1016/j.mce.2010.04.005</w:t>
      </w:r>
      <w:r w:rsidRPr="00520861">
        <w:rPr>
          <w:rFonts w:eastAsiaTheme="minorHAnsi"/>
          <w:sz w:val="28"/>
          <w:szCs w:val="28"/>
          <w:lang w:val="en-US" w:eastAsia="en-US"/>
        </w:rPr>
        <w:t>.</w:t>
      </w:r>
    </w:p>
    <w:p w14:paraId="6443EE9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Cunha-Cruz</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Scott</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Rothen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Mancl</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Lawhorn</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Brossel</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characteristics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evidence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practices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Assoc</w:t>
      </w:r>
      <w:proofErr w:type="spellEnd"/>
      <w:r w:rsidRPr="00520861">
        <w:rPr>
          <w:rFonts w:eastAsiaTheme="minorHAnsi"/>
          <w:sz w:val="28"/>
          <w:szCs w:val="28"/>
          <w:lang w:eastAsia="en-US"/>
        </w:rPr>
        <w:t>. 2013;144: e31-40.</w:t>
      </w:r>
    </w:p>
    <w:p w14:paraId="1D24A0D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Daokar</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Agrawal</w:t>
      </w:r>
      <w:proofErr w:type="spellEnd"/>
      <w:r w:rsidRPr="00520861">
        <w:rPr>
          <w:rFonts w:eastAsiaTheme="minorHAnsi"/>
          <w:sz w:val="28"/>
          <w:szCs w:val="28"/>
          <w:lang w:eastAsia="en-US"/>
        </w:rPr>
        <w:t xml:space="preserve"> G</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Deep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etiology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diagnosis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management</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Orthod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Endod</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2016</w:t>
      </w:r>
      <w:r w:rsidRPr="00520861">
        <w:rPr>
          <w:rFonts w:eastAsiaTheme="minorHAnsi"/>
          <w:sz w:val="28"/>
          <w:szCs w:val="28"/>
          <w:shd w:val="clear" w:color="auto" w:fill="FFFFFF"/>
          <w:lang w:val="en-US" w:eastAsia="en-US"/>
        </w:rPr>
        <w:t xml:space="preserve"> </w:t>
      </w:r>
      <w:r w:rsidRPr="00520861">
        <w:rPr>
          <w:rFonts w:eastAsiaTheme="minorHAnsi"/>
          <w:sz w:val="28"/>
          <w:szCs w:val="28"/>
          <w:lang w:val="en-US" w:eastAsia="en-US"/>
        </w:rPr>
        <w:t>Oct [cited 2020 Feb 2]</w:t>
      </w:r>
      <w:r w:rsidRPr="00520861">
        <w:rPr>
          <w:rFonts w:eastAsiaTheme="minorHAnsi"/>
          <w:sz w:val="28"/>
          <w:szCs w:val="28"/>
          <w:lang w:eastAsia="en-US"/>
        </w:rPr>
        <w:t>; 2:</w:t>
      </w:r>
      <w:r w:rsidRPr="00520861">
        <w:rPr>
          <w:rFonts w:eastAsiaTheme="minorHAnsi"/>
          <w:sz w:val="28"/>
          <w:szCs w:val="28"/>
          <w:lang w:val="en-US" w:eastAsia="en-US"/>
        </w:rPr>
        <w:t xml:space="preserve"> </w:t>
      </w:r>
      <w:r w:rsidRPr="00520861">
        <w:rPr>
          <w:rFonts w:eastAsiaTheme="minorHAnsi"/>
          <w:sz w:val="28"/>
          <w:szCs w:val="28"/>
          <w:lang w:eastAsia="en-US"/>
        </w:rPr>
        <w:t>4</w:t>
      </w:r>
      <w:r w:rsidRPr="00520861">
        <w:rPr>
          <w:rFonts w:eastAsiaTheme="minorHAnsi"/>
          <w:sz w:val="28"/>
          <w:szCs w:val="28"/>
          <w:lang w:val="en-US" w:eastAsia="en-US"/>
        </w:rPr>
        <w:t>.</w:t>
      </w:r>
    </w:p>
    <w:p w14:paraId="213A783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Geest</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Laleman</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Teughels</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Dekeyser</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Quirynen</w:t>
      </w:r>
      <w:proofErr w:type="spellEnd"/>
      <w:r w:rsidRPr="00520861">
        <w:rPr>
          <w:rFonts w:eastAsiaTheme="minorHAnsi"/>
          <w:sz w:val="28"/>
          <w:szCs w:val="28"/>
          <w:lang w:eastAsia="en-US"/>
        </w:rPr>
        <w:t xml:space="preserve"> M</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source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halitosis</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w:t>
      </w:r>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evidence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approaches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dentists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hygienists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Periodontology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2000</w:t>
      </w:r>
      <w:r w:rsidRPr="00520861">
        <w:rPr>
          <w:rFonts w:eastAsiaTheme="minorHAnsi"/>
          <w:sz w:val="28"/>
          <w:szCs w:val="28"/>
          <w:lang w:val="en-US" w:eastAsia="en-US"/>
        </w:rPr>
        <w:t>;</w:t>
      </w:r>
      <w:r w:rsidRPr="00520861">
        <w:rPr>
          <w:rFonts w:eastAsiaTheme="minorHAnsi"/>
          <w:sz w:val="28"/>
          <w:szCs w:val="28"/>
          <w:lang w:eastAsia="en-US"/>
        </w:rPr>
        <w:t>71</w:t>
      </w:r>
      <w:r w:rsidRPr="00520861">
        <w:rPr>
          <w:rFonts w:eastAsiaTheme="minorHAnsi"/>
          <w:sz w:val="28"/>
          <w:szCs w:val="28"/>
          <w:lang w:val="en-US" w:eastAsia="en-US"/>
        </w:rPr>
        <w:t>:</w:t>
      </w:r>
      <w:r w:rsidRPr="00520861">
        <w:rPr>
          <w:rFonts w:eastAsiaTheme="minorHAnsi"/>
          <w:sz w:val="28"/>
          <w:szCs w:val="28"/>
          <w:lang w:eastAsia="en-US"/>
        </w:rPr>
        <w:t xml:space="preserve"> 213–227.</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 10.1111/prd.12111.</w:t>
      </w:r>
    </w:p>
    <w:p w14:paraId="5B22032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Derraik</w:t>
      </w:r>
      <w:proofErr w:type="spellEnd"/>
      <w:r w:rsidRPr="00520861">
        <w:rPr>
          <w:rFonts w:eastAsiaTheme="minorHAnsi"/>
          <w:sz w:val="28"/>
          <w:szCs w:val="28"/>
          <w:lang w:eastAsia="en-US"/>
        </w:rPr>
        <w:t xml:space="preserve"> JGB, </w:t>
      </w:r>
      <w:proofErr w:type="spellStart"/>
      <w:r w:rsidRPr="00520861">
        <w:rPr>
          <w:rFonts w:eastAsiaTheme="minorHAnsi"/>
          <w:sz w:val="28"/>
          <w:szCs w:val="28"/>
          <w:lang w:eastAsia="en-US"/>
        </w:rPr>
        <w:t>Maessen</w:t>
      </w:r>
      <w:proofErr w:type="spellEnd"/>
      <w:r w:rsidRPr="00520861">
        <w:rPr>
          <w:rFonts w:eastAsiaTheme="minorHAnsi"/>
          <w:sz w:val="28"/>
          <w:szCs w:val="28"/>
          <w:lang w:eastAsia="en-US"/>
        </w:rPr>
        <w:t xml:space="preserve"> SE, </w:t>
      </w:r>
      <w:proofErr w:type="spellStart"/>
      <w:r w:rsidRPr="00520861">
        <w:rPr>
          <w:rFonts w:eastAsiaTheme="minorHAnsi"/>
          <w:sz w:val="28"/>
          <w:szCs w:val="28"/>
          <w:lang w:eastAsia="en-US"/>
        </w:rPr>
        <w:t>Gibbins</w:t>
      </w:r>
      <w:proofErr w:type="spellEnd"/>
      <w:r w:rsidRPr="00520861">
        <w:rPr>
          <w:rFonts w:eastAsiaTheme="minorHAnsi"/>
          <w:sz w:val="28"/>
          <w:szCs w:val="28"/>
          <w:lang w:eastAsia="en-US"/>
        </w:rPr>
        <w:t xml:space="preserve"> JD, </w:t>
      </w:r>
      <w:proofErr w:type="spellStart"/>
      <w:r w:rsidRPr="00520861">
        <w:rPr>
          <w:rFonts w:eastAsiaTheme="minorHAnsi"/>
          <w:sz w:val="28"/>
          <w:szCs w:val="28"/>
          <w:lang w:eastAsia="en-US"/>
        </w:rPr>
        <w:t>Cutfield</w:t>
      </w:r>
      <w:proofErr w:type="spellEnd"/>
      <w:r w:rsidRPr="00520861">
        <w:rPr>
          <w:rFonts w:eastAsiaTheme="minorHAnsi"/>
          <w:sz w:val="28"/>
          <w:szCs w:val="28"/>
          <w:lang w:eastAsia="en-US"/>
        </w:rPr>
        <w:t xml:space="preserve"> WS, </w:t>
      </w:r>
      <w:proofErr w:type="spellStart"/>
      <w:r w:rsidRPr="00520861">
        <w:rPr>
          <w:rFonts w:eastAsiaTheme="minorHAnsi"/>
          <w:sz w:val="28"/>
          <w:szCs w:val="28"/>
          <w:lang w:eastAsia="en-US"/>
        </w:rPr>
        <w:t>Lundgren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Ahlsson</w:t>
      </w:r>
      <w:proofErr w:type="spellEnd"/>
      <w:r w:rsidRPr="00520861">
        <w:rPr>
          <w:rFonts w:eastAsiaTheme="minorHAnsi"/>
          <w:sz w:val="28"/>
          <w:szCs w:val="28"/>
          <w:lang w:eastAsia="en-US"/>
        </w:rPr>
        <w:t xml:space="preserve"> F. </w:t>
      </w:r>
      <w:r w:rsidR="004347D5" w:rsidRPr="00520861">
        <w:rPr>
          <w:rFonts w:eastAsiaTheme="minorHAnsi"/>
          <w:sz w:val="28"/>
          <w:szCs w:val="28"/>
          <w:lang w:eastAsia="en-US"/>
        </w:rPr>
        <w:br/>
      </w:r>
      <w:proofErr w:type="spellStart"/>
      <w:r w:rsidRPr="00520861">
        <w:rPr>
          <w:rFonts w:eastAsiaTheme="minorHAnsi"/>
          <w:sz w:val="28"/>
          <w:szCs w:val="28"/>
          <w:lang w:eastAsia="en-US"/>
        </w:rPr>
        <w:t>Large-for-gestational-age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phenotypes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adulthood</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195,936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2020</w:t>
      </w:r>
      <w:r w:rsidRPr="00520861">
        <w:rPr>
          <w:rFonts w:eastAsiaTheme="minorHAnsi"/>
          <w:sz w:val="28"/>
          <w:szCs w:val="28"/>
          <w:lang w:val="en-US" w:eastAsia="en-US"/>
        </w:rPr>
        <w:t xml:space="preserve"> Feb [cited 2020 Feb 1]</w:t>
      </w:r>
      <w:r w:rsidRPr="00520861">
        <w:rPr>
          <w:rFonts w:eastAsiaTheme="minorHAnsi"/>
          <w:sz w:val="28"/>
          <w:szCs w:val="28"/>
          <w:lang w:eastAsia="en-US"/>
        </w:rPr>
        <w:t xml:space="preserve">;10(1): 2157.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10.1038/s41598-020-58827-5.</w:t>
      </w:r>
    </w:p>
    <w:p w14:paraId="42E106E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Dhanwal</w:t>
      </w:r>
      <w:proofErr w:type="spellEnd"/>
      <w:r w:rsidRPr="00520861">
        <w:rPr>
          <w:rFonts w:eastAsiaTheme="minorHAnsi"/>
          <w:sz w:val="28"/>
          <w:szCs w:val="28"/>
          <w:lang w:eastAsia="en-US"/>
        </w:rPr>
        <w:t xml:space="preserve"> DK. </w:t>
      </w:r>
      <w:proofErr w:type="spellStart"/>
      <w:r w:rsidRPr="00520861">
        <w:rPr>
          <w:rFonts w:eastAsiaTheme="minorHAnsi"/>
          <w:sz w:val="28"/>
          <w:szCs w:val="28"/>
          <w:lang w:eastAsia="en-US"/>
        </w:rPr>
        <w:t>Thyroid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disorders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metabolism</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Indian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Endocrinol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Metab</w:t>
      </w:r>
      <w:proofErr w:type="spellEnd"/>
      <w:r w:rsidRPr="00520861">
        <w:rPr>
          <w:rFonts w:eastAsiaTheme="minorHAnsi"/>
          <w:sz w:val="28"/>
          <w:szCs w:val="28"/>
          <w:lang w:eastAsia="en-US"/>
        </w:rPr>
        <w:t>. 2011;15(</w:t>
      </w:r>
      <w:proofErr w:type="spellStart"/>
      <w:r w:rsidRPr="00520861">
        <w:rPr>
          <w:rFonts w:eastAsiaTheme="minorHAnsi"/>
          <w:sz w:val="28"/>
          <w:szCs w:val="28"/>
          <w:lang w:eastAsia="en-US"/>
        </w:rPr>
        <w:t>Suppl</w:t>
      </w:r>
      <w:proofErr w:type="spellEnd"/>
      <w:r w:rsidRPr="00520861">
        <w:rPr>
          <w:rFonts w:eastAsiaTheme="minorHAnsi"/>
          <w:sz w:val="28"/>
          <w:szCs w:val="28"/>
          <w:lang w:eastAsia="en-US"/>
        </w:rPr>
        <w:t xml:space="preserve"> 2):</w:t>
      </w:r>
      <w:r w:rsidRPr="00520861">
        <w:rPr>
          <w:rFonts w:eastAsiaTheme="minorHAnsi"/>
          <w:sz w:val="28"/>
          <w:szCs w:val="28"/>
          <w:lang w:val="en-US" w:eastAsia="en-US"/>
        </w:rPr>
        <w:t xml:space="preserve"> </w:t>
      </w:r>
      <w:r w:rsidRPr="00520861">
        <w:rPr>
          <w:rFonts w:eastAsiaTheme="minorHAnsi"/>
          <w:sz w:val="28"/>
          <w:szCs w:val="28"/>
          <w:lang w:eastAsia="en-US"/>
        </w:rPr>
        <w:t>S107–</w:t>
      </w:r>
      <w:r w:rsidRPr="00520861">
        <w:rPr>
          <w:rFonts w:eastAsiaTheme="minorHAnsi"/>
          <w:sz w:val="28"/>
          <w:szCs w:val="28"/>
          <w:lang w:val="en-US" w:eastAsia="en-US"/>
        </w:rPr>
        <w:t>S1</w:t>
      </w:r>
      <w:r w:rsidRPr="00520861">
        <w:rPr>
          <w:rFonts w:eastAsiaTheme="minorHAnsi"/>
          <w:sz w:val="28"/>
          <w:szCs w:val="28"/>
          <w:lang w:eastAsia="en-US"/>
        </w:rPr>
        <w:t xml:space="preserve">12.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10.4103/2230-8210.83339</w:t>
      </w:r>
      <w:r w:rsidRPr="00520861">
        <w:rPr>
          <w:rFonts w:eastAsiaTheme="minorHAnsi"/>
          <w:sz w:val="28"/>
          <w:szCs w:val="28"/>
          <w:lang w:val="en-US" w:eastAsia="en-US"/>
        </w:rPr>
        <w:t>.</w:t>
      </w:r>
    </w:p>
    <w:p w14:paraId="4DD39EA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Dixon</w:t>
      </w:r>
      <w:proofErr w:type="spellEnd"/>
      <w:r w:rsidRPr="00520861">
        <w:rPr>
          <w:rFonts w:eastAsiaTheme="minorHAnsi"/>
          <w:sz w:val="28"/>
          <w:szCs w:val="28"/>
          <w:lang w:eastAsia="en-US"/>
        </w:rPr>
        <w:t xml:space="preserve"> AE.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changing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asthma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21st </w:t>
      </w:r>
      <w:proofErr w:type="spellStart"/>
      <w:r w:rsidRPr="00520861">
        <w:rPr>
          <w:rFonts w:eastAsiaTheme="minorHAnsi"/>
          <w:sz w:val="28"/>
          <w:szCs w:val="28"/>
          <w:lang w:eastAsia="en-US"/>
        </w:rPr>
        <w:t>century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Respir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Crit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Care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2012</w:t>
      </w:r>
      <w:r w:rsidRPr="00520861">
        <w:rPr>
          <w:rFonts w:eastAsiaTheme="minorHAnsi"/>
          <w:sz w:val="28"/>
          <w:szCs w:val="28"/>
          <w:lang w:val="en-US" w:eastAsia="en-US"/>
        </w:rPr>
        <w:t>;</w:t>
      </w:r>
      <w:r w:rsidRPr="00520861">
        <w:rPr>
          <w:rFonts w:eastAsiaTheme="minorHAnsi"/>
          <w:sz w:val="28"/>
          <w:szCs w:val="28"/>
          <w:lang w:eastAsia="en-US"/>
        </w:rPr>
        <w:t>186(5)</w:t>
      </w:r>
      <w:r w:rsidRPr="00520861">
        <w:rPr>
          <w:rFonts w:eastAsiaTheme="minorHAnsi"/>
          <w:sz w:val="28"/>
          <w:szCs w:val="28"/>
          <w:lang w:val="en-US" w:eastAsia="en-US"/>
        </w:rPr>
        <w:t xml:space="preserve">: </w:t>
      </w:r>
      <w:r w:rsidRPr="00520861">
        <w:rPr>
          <w:rFonts w:eastAsiaTheme="minorHAnsi"/>
          <w:sz w:val="28"/>
          <w:szCs w:val="28"/>
          <w:lang w:eastAsia="en-US"/>
        </w:rPr>
        <w:t xml:space="preserve">395–396.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10.1164/rccm.201206-1092ED</w:t>
      </w:r>
      <w:r w:rsidRPr="00520861">
        <w:rPr>
          <w:rFonts w:eastAsiaTheme="minorHAnsi"/>
          <w:sz w:val="28"/>
          <w:szCs w:val="28"/>
          <w:lang w:val="en-US" w:eastAsia="en-US"/>
        </w:rPr>
        <w:t>.</w:t>
      </w:r>
    </w:p>
    <w:p w14:paraId="4A7AE78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Dmytrenko</w:t>
      </w:r>
      <w:proofErr w:type="spellEnd"/>
      <w:r w:rsidRPr="00520861">
        <w:rPr>
          <w:rFonts w:eastAsiaTheme="minorHAnsi"/>
          <w:sz w:val="28"/>
          <w:szCs w:val="28"/>
          <w:lang w:eastAsia="en-US"/>
        </w:rPr>
        <w:t xml:space="preserve"> MI, </w:t>
      </w:r>
      <w:proofErr w:type="spellStart"/>
      <w:r w:rsidRPr="00520861">
        <w:rPr>
          <w:rFonts w:eastAsiaTheme="minorHAnsi"/>
          <w:sz w:val="28"/>
          <w:szCs w:val="28"/>
          <w:lang w:eastAsia="en-US"/>
        </w:rPr>
        <w:t>Gurzhiy</w:t>
      </w:r>
      <w:proofErr w:type="spellEnd"/>
      <w:r w:rsidRPr="00520861">
        <w:rPr>
          <w:rFonts w:eastAsiaTheme="minorHAnsi"/>
          <w:sz w:val="28"/>
          <w:szCs w:val="28"/>
          <w:lang w:eastAsia="en-US"/>
        </w:rPr>
        <w:t xml:space="preserve"> OV.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algorithms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impaction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maxillary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central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incisors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caused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supernumerary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teeth</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Wiad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Lek</w:t>
      </w:r>
      <w:proofErr w:type="spellEnd"/>
      <w:r w:rsidRPr="00520861">
        <w:rPr>
          <w:rFonts w:eastAsiaTheme="minorHAnsi"/>
          <w:sz w:val="28"/>
          <w:szCs w:val="28"/>
          <w:lang w:eastAsia="en-US"/>
        </w:rPr>
        <w:t>. 2018;71(4):</w:t>
      </w:r>
      <w:r w:rsidRPr="00520861">
        <w:rPr>
          <w:rFonts w:eastAsiaTheme="minorHAnsi"/>
          <w:sz w:val="28"/>
          <w:szCs w:val="28"/>
          <w:lang w:val="en-US" w:eastAsia="en-US"/>
        </w:rPr>
        <w:t xml:space="preserve"> </w:t>
      </w:r>
      <w:r w:rsidRPr="00520861">
        <w:rPr>
          <w:rFonts w:eastAsiaTheme="minorHAnsi"/>
          <w:sz w:val="28"/>
          <w:szCs w:val="28"/>
          <w:lang w:eastAsia="en-US"/>
        </w:rPr>
        <w:t>922</w:t>
      </w:r>
      <w:r w:rsidRPr="00520861">
        <w:rPr>
          <w:rFonts w:eastAsiaTheme="minorHAnsi"/>
          <w:sz w:val="28"/>
          <w:szCs w:val="28"/>
          <w:lang w:val="en-US" w:eastAsia="en-US"/>
        </w:rPr>
        <w:t xml:space="preserve"> </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932.</w:t>
      </w:r>
    </w:p>
    <w:p w14:paraId="681104F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Donma</w:t>
      </w:r>
      <w:proofErr w:type="spellEnd"/>
      <w:r w:rsidRPr="00520861">
        <w:rPr>
          <w:rFonts w:eastAsiaTheme="minorHAnsi"/>
          <w:sz w:val="28"/>
          <w:szCs w:val="28"/>
          <w:lang w:eastAsia="en-US"/>
        </w:rPr>
        <w:t xml:space="preserve"> MM.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iceberg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charm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underlying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sz w:val="28"/>
          <w:szCs w:val="28"/>
          <w:lang w:eastAsia="en-US"/>
        </w:rPr>
        <w:t>. 2011 Feb;53(1):</w:t>
      </w:r>
      <w:r w:rsidRPr="00520861">
        <w:rPr>
          <w:rFonts w:eastAsiaTheme="minorHAnsi"/>
          <w:sz w:val="28"/>
          <w:szCs w:val="28"/>
          <w:lang w:val="en-US" w:eastAsia="en-US"/>
        </w:rPr>
        <w:t xml:space="preserve"> </w:t>
      </w:r>
      <w:r w:rsidRPr="00520861">
        <w:rPr>
          <w:rFonts w:eastAsiaTheme="minorHAnsi"/>
          <w:sz w:val="28"/>
          <w:szCs w:val="28"/>
          <w:lang w:eastAsia="en-US"/>
        </w:rPr>
        <w:t xml:space="preserve">78–84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10.1111/j.1442-200X.2010.03198.x.</w:t>
      </w:r>
    </w:p>
    <w:p w14:paraId="6FF8C9F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Duque-Guimarães</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Ozannecorresponding</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nutrition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intervene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Biogerontology</w:t>
      </w:r>
      <w:proofErr w:type="spellEnd"/>
      <w:r w:rsidRPr="00520861">
        <w:rPr>
          <w:rFonts w:eastAsiaTheme="minorHAnsi"/>
          <w:sz w:val="28"/>
          <w:szCs w:val="28"/>
          <w:lang w:eastAsia="en-US"/>
        </w:rPr>
        <w:t xml:space="preserve">. 2017;18(6): 893–900.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10.1007/s10522-017-9691-y</w:t>
      </w:r>
      <w:r w:rsidRPr="00520861">
        <w:rPr>
          <w:rFonts w:eastAsiaTheme="minorHAnsi"/>
          <w:sz w:val="28"/>
          <w:szCs w:val="28"/>
          <w:lang w:val="en-US" w:eastAsia="en-US"/>
        </w:rPr>
        <w:t>.</w:t>
      </w:r>
    </w:p>
    <w:p w14:paraId="36696FE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Dursun</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Ceylaner</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Novel</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Homozygous</w:t>
      </w:r>
      <w:proofErr w:type="spellEnd"/>
      <w:r w:rsidRPr="00520861">
        <w:rPr>
          <w:rFonts w:eastAsiaTheme="minorHAnsi"/>
          <w:sz w:val="28"/>
          <w:szCs w:val="28"/>
          <w:lang w:eastAsia="en-US"/>
        </w:rPr>
        <w:t xml:space="preserve"> CYP19A1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mutation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aromatase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deficiency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mimicking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congenital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adrenal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hyperplasia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without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obvious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virilisation</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Endocrinol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2019;11(2):</w:t>
      </w:r>
      <w:r w:rsidRPr="00520861">
        <w:rPr>
          <w:rFonts w:eastAsiaTheme="minorHAnsi"/>
          <w:sz w:val="28"/>
          <w:szCs w:val="28"/>
          <w:lang w:val="en-US" w:eastAsia="en-US"/>
        </w:rPr>
        <w:t xml:space="preserve"> </w:t>
      </w:r>
      <w:r w:rsidRPr="00520861">
        <w:rPr>
          <w:rFonts w:eastAsiaTheme="minorHAnsi"/>
          <w:sz w:val="28"/>
          <w:szCs w:val="28"/>
          <w:lang w:eastAsia="en-US"/>
        </w:rPr>
        <w:t>196–201.</w:t>
      </w:r>
    </w:p>
    <w:p w14:paraId="05F618E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Ejiri</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Tanaka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Watanabe</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Anwar</w:t>
      </w:r>
      <w:proofErr w:type="spellEnd"/>
      <w:r w:rsidRPr="00520861">
        <w:rPr>
          <w:rFonts w:eastAsiaTheme="minorHAnsi"/>
          <w:sz w:val="28"/>
          <w:szCs w:val="28"/>
          <w:lang w:eastAsia="en-US"/>
        </w:rPr>
        <w:t xml:space="preserve"> RB, </w:t>
      </w:r>
      <w:proofErr w:type="spellStart"/>
      <w:r w:rsidRPr="00520861">
        <w:rPr>
          <w:rFonts w:eastAsiaTheme="minorHAnsi"/>
          <w:sz w:val="28"/>
          <w:szCs w:val="28"/>
          <w:lang w:eastAsia="en-US"/>
        </w:rPr>
        <w:t>Yamashita</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Yamada</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deficiency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Metabolism</w:t>
      </w:r>
      <w:proofErr w:type="spellEnd"/>
      <w:r w:rsidRPr="00520861">
        <w:rPr>
          <w:rFonts w:eastAsiaTheme="minorHAnsi"/>
          <w:sz w:val="28"/>
          <w:szCs w:val="28"/>
          <w:lang w:eastAsia="en-US"/>
        </w:rPr>
        <w:t>. 2008;26(5):</w:t>
      </w:r>
      <w:r w:rsidRPr="00520861">
        <w:rPr>
          <w:rFonts w:eastAsiaTheme="minorHAnsi"/>
          <w:sz w:val="28"/>
          <w:szCs w:val="28"/>
          <w:lang w:val="en-US" w:eastAsia="en-US"/>
        </w:rPr>
        <w:t xml:space="preserve"> </w:t>
      </w:r>
      <w:r w:rsidRPr="00520861">
        <w:rPr>
          <w:rFonts w:eastAsiaTheme="minorHAnsi"/>
          <w:sz w:val="28"/>
          <w:szCs w:val="28"/>
          <w:lang w:eastAsia="en-US"/>
        </w:rPr>
        <w:t>409–</w:t>
      </w:r>
      <w:r w:rsidRPr="00520861">
        <w:rPr>
          <w:rFonts w:eastAsiaTheme="minorHAnsi"/>
          <w:sz w:val="28"/>
          <w:szCs w:val="28"/>
          <w:lang w:val="en-US" w:eastAsia="en-US"/>
        </w:rPr>
        <w:t>4</w:t>
      </w:r>
      <w:r w:rsidRPr="00520861">
        <w:rPr>
          <w:rFonts w:eastAsiaTheme="minorHAnsi"/>
          <w:sz w:val="28"/>
          <w:szCs w:val="28"/>
          <w:lang w:eastAsia="en-US"/>
        </w:rPr>
        <w:t xml:space="preserve">15.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10.1007/s00774-008-0870-4.</w:t>
      </w:r>
    </w:p>
    <w:p w14:paraId="4D25392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El-Dawlatly</w:t>
      </w:r>
      <w:proofErr w:type="spellEnd"/>
      <w:r w:rsidRPr="00520861">
        <w:rPr>
          <w:rFonts w:eastAsiaTheme="minorHAnsi"/>
          <w:sz w:val="28"/>
          <w:szCs w:val="28"/>
          <w:lang w:eastAsia="en-US"/>
        </w:rPr>
        <w:t xml:space="preserve"> MM, </w:t>
      </w:r>
      <w:proofErr w:type="spellStart"/>
      <w:r w:rsidRPr="00520861">
        <w:rPr>
          <w:rFonts w:eastAsiaTheme="minorHAnsi"/>
          <w:sz w:val="28"/>
          <w:szCs w:val="28"/>
          <w:lang w:eastAsia="en-US"/>
        </w:rPr>
        <w:t>Fayed</w:t>
      </w:r>
      <w:proofErr w:type="spellEnd"/>
      <w:r w:rsidRPr="00520861">
        <w:rPr>
          <w:rFonts w:eastAsiaTheme="minorHAnsi"/>
          <w:sz w:val="28"/>
          <w:szCs w:val="28"/>
          <w:lang w:eastAsia="en-US"/>
        </w:rPr>
        <w:t xml:space="preserve"> MM, </w:t>
      </w:r>
      <w:proofErr w:type="spellStart"/>
      <w:r w:rsidRPr="00520861">
        <w:rPr>
          <w:rFonts w:eastAsiaTheme="minorHAnsi"/>
          <w:sz w:val="28"/>
          <w:szCs w:val="28"/>
          <w:lang w:eastAsia="en-US"/>
        </w:rPr>
        <w:t>Mostafa</w:t>
      </w:r>
      <w:proofErr w:type="spellEnd"/>
      <w:r w:rsidRPr="00520861">
        <w:rPr>
          <w:rFonts w:eastAsiaTheme="minorHAnsi"/>
          <w:sz w:val="28"/>
          <w:szCs w:val="28"/>
          <w:lang w:eastAsia="en-US"/>
        </w:rPr>
        <w:t xml:space="preserve"> YA. </w:t>
      </w:r>
      <w:proofErr w:type="spellStart"/>
      <w:r w:rsidRPr="00520861">
        <w:rPr>
          <w:rFonts w:eastAsiaTheme="minorHAnsi"/>
          <w:sz w:val="28"/>
          <w:szCs w:val="28"/>
          <w:lang w:eastAsia="en-US"/>
        </w:rPr>
        <w:t>Deep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overbite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malocclusion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analysis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underlying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components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Orthod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Dentofacial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Orthop</w:t>
      </w:r>
      <w:proofErr w:type="spellEnd"/>
      <w:r w:rsidRPr="00520861">
        <w:rPr>
          <w:rFonts w:eastAsiaTheme="minorHAnsi"/>
          <w:sz w:val="28"/>
          <w:szCs w:val="28"/>
          <w:lang w:eastAsia="en-US"/>
        </w:rPr>
        <w:t>. 2012;142(4):</w:t>
      </w:r>
      <w:r w:rsidRPr="00520861">
        <w:rPr>
          <w:rFonts w:eastAsiaTheme="minorHAnsi"/>
          <w:sz w:val="28"/>
          <w:szCs w:val="28"/>
          <w:lang w:val="en-US" w:eastAsia="en-US"/>
        </w:rPr>
        <w:t xml:space="preserve"> </w:t>
      </w:r>
      <w:r w:rsidRPr="00520861">
        <w:rPr>
          <w:rFonts w:eastAsiaTheme="minorHAnsi"/>
          <w:sz w:val="28"/>
          <w:szCs w:val="28"/>
          <w:lang w:eastAsia="en-US"/>
        </w:rPr>
        <w:t>473–</w:t>
      </w:r>
      <w:r w:rsidRPr="00520861">
        <w:rPr>
          <w:rFonts w:eastAsiaTheme="minorHAnsi"/>
          <w:sz w:val="28"/>
          <w:szCs w:val="28"/>
          <w:lang w:val="en-US" w:eastAsia="en-US"/>
        </w:rPr>
        <w:t>4</w:t>
      </w:r>
      <w:r w:rsidRPr="00520861">
        <w:rPr>
          <w:rFonts w:eastAsiaTheme="minorHAnsi"/>
          <w:sz w:val="28"/>
          <w:szCs w:val="28"/>
          <w:lang w:eastAsia="en-US"/>
        </w:rPr>
        <w:t>80.</w:t>
      </w:r>
    </w:p>
    <w:p w14:paraId="280F00C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E</w:t>
      </w:r>
      <w:r w:rsidRPr="00520861">
        <w:rPr>
          <w:rFonts w:eastAsiaTheme="minorHAnsi"/>
          <w:sz w:val="28"/>
          <w:szCs w:val="28"/>
          <w:lang w:val="en-US" w:eastAsia="en-US"/>
        </w:rPr>
        <w:t xml:space="preserve">l </w:t>
      </w:r>
      <w:proofErr w:type="spellStart"/>
      <w:r w:rsidRPr="00520861">
        <w:rPr>
          <w:rFonts w:eastAsiaTheme="minorHAnsi"/>
          <w:sz w:val="28"/>
          <w:szCs w:val="28"/>
          <w:lang w:eastAsia="en-US"/>
        </w:rPr>
        <w:t>Meneza</w:t>
      </w:r>
      <w:proofErr w:type="spellEnd"/>
      <w:r w:rsidRPr="00520861">
        <w:rPr>
          <w:rFonts w:eastAsiaTheme="minorHAnsi"/>
          <w:sz w:val="28"/>
          <w:szCs w:val="28"/>
          <w:lang w:eastAsia="en-US"/>
        </w:rPr>
        <w:t xml:space="preserve"> S</w:t>
      </w:r>
      <w:r w:rsidRPr="00520861">
        <w:rPr>
          <w:rFonts w:eastAsiaTheme="minorHAnsi"/>
          <w:sz w:val="28"/>
          <w:szCs w:val="28"/>
          <w:lang w:val="en-US" w:eastAsia="en-US"/>
        </w:rPr>
        <w:t>A</w:t>
      </w:r>
      <w:r w:rsidRPr="00520861">
        <w:rPr>
          <w:rFonts w:eastAsiaTheme="minorHAnsi"/>
          <w:sz w:val="28"/>
          <w:szCs w:val="28"/>
          <w:lang w:eastAsia="en-US"/>
        </w:rPr>
        <w:t xml:space="preserve">, </w:t>
      </w:r>
      <w:proofErr w:type="spellStart"/>
      <w:r w:rsidRPr="00520861">
        <w:rPr>
          <w:rFonts w:eastAsiaTheme="minorHAnsi"/>
          <w:sz w:val="28"/>
          <w:szCs w:val="28"/>
          <w:lang w:eastAsia="en-US"/>
        </w:rPr>
        <w:t>At</w:t>
      </w:r>
      <w:r w:rsidRPr="00520861">
        <w:rPr>
          <w:rFonts w:eastAsiaTheme="minorHAnsi"/>
          <w:sz w:val="28"/>
          <w:szCs w:val="28"/>
          <w:lang w:val="en-US" w:eastAsia="en-US"/>
        </w:rPr>
        <w:t>eya</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w:t>
      </w:r>
      <w:r w:rsidRPr="00520861">
        <w:rPr>
          <w:rFonts w:eastAsiaTheme="minorHAnsi"/>
          <w:sz w:val="28"/>
          <w:szCs w:val="28"/>
          <w:lang w:eastAsia="en-US"/>
        </w:rPr>
        <w:t xml:space="preserve">A, </w:t>
      </w:r>
      <w:proofErr w:type="spellStart"/>
      <w:r w:rsidRPr="00520861">
        <w:rPr>
          <w:rFonts w:eastAsiaTheme="minorHAnsi"/>
          <w:sz w:val="28"/>
          <w:szCs w:val="28"/>
          <w:lang w:eastAsia="en-US"/>
        </w:rPr>
        <w:t>Khashab</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S</w:t>
      </w:r>
      <w:r w:rsidRPr="00520861">
        <w:rPr>
          <w:rFonts w:eastAsiaTheme="minorHAnsi"/>
          <w:sz w:val="28"/>
          <w:szCs w:val="28"/>
          <w:lang w:eastAsia="en-US"/>
        </w:rPr>
        <w:t>S, E</w:t>
      </w:r>
      <w:r w:rsidRPr="00520861">
        <w:rPr>
          <w:rFonts w:eastAsiaTheme="minorHAnsi"/>
          <w:sz w:val="28"/>
          <w:szCs w:val="28"/>
          <w:lang w:val="en-US" w:eastAsia="en-US"/>
        </w:rPr>
        <w:t>l-</w:t>
      </w:r>
      <w:proofErr w:type="spellStart"/>
      <w:r w:rsidRPr="00520861">
        <w:rPr>
          <w:rFonts w:eastAsiaTheme="minorHAnsi"/>
          <w:sz w:val="28"/>
          <w:szCs w:val="28"/>
          <w:lang w:eastAsia="en-US"/>
        </w:rPr>
        <w:t>ramly</w:t>
      </w:r>
      <w:proofErr w:type="spellEnd"/>
      <w:r w:rsidRPr="00520861">
        <w:rPr>
          <w:rFonts w:eastAsiaTheme="minorHAnsi"/>
          <w:sz w:val="28"/>
          <w:szCs w:val="28"/>
          <w:lang w:eastAsia="en-US"/>
        </w:rPr>
        <w:t xml:space="preserve"> O</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among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preterm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smale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large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val="en-US" w:eastAsia="en-US"/>
        </w:rPr>
        <w:t>. In:</w:t>
      </w:r>
      <w:r w:rsidRPr="00520861">
        <w:rPr>
          <w:rFonts w:eastAsiaTheme="minorHAnsi"/>
          <w:sz w:val="28"/>
          <w:szCs w:val="28"/>
          <w:lang w:eastAsia="en-US"/>
        </w:rPr>
        <w:t xml:space="preserve"> </w:t>
      </w:r>
      <w:r w:rsidRPr="00520861">
        <w:rPr>
          <w:rFonts w:eastAsiaTheme="minorHAnsi"/>
          <w:i/>
          <w:sz w:val="28"/>
          <w:szCs w:val="28"/>
          <w:lang w:eastAsia="en-US"/>
        </w:rPr>
        <w:t xml:space="preserve">24th </w:t>
      </w:r>
      <w:proofErr w:type="spellStart"/>
      <w:r w:rsidRPr="00520861">
        <w:rPr>
          <w:rFonts w:eastAsiaTheme="minorHAnsi"/>
          <w:i/>
          <w:sz w:val="28"/>
          <w:szCs w:val="28"/>
          <w:lang w:eastAsia="en-US"/>
        </w:rPr>
        <w:t>International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Congress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Pediatrics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Cancun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Mexico</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August</w:t>
      </w:r>
      <w:proofErr w:type="spellEnd"/>
      <w:r w:rsidRPr="00520861">
        <w:rPr>
          <w:rFonts w:eastAsiaTheme="minorHAnsi"/>
          <w:i/>
          <w:sz w:val="28"/>
          <w:szCs w:val="28"/>
          <w:lang w:eastAsia="en-US"/>
        </w:rPr>
        <w:t xml:space="preserve"> 15–20</w:t>
      </w:r>
      <w:r w:rsidRPr="00520861">
        <w:rPr>
          <w:rFonts w:eastAsiaTheme="minorHAnsi"/>
          <w:i/>
          <w:sz w:val="28"/>
          <w:szCs w:val="28"/>
          <w:lang w:val="en-US" w:eastAsia="en-US"/>
        </w:rPr>
        <w:t>,</w:t>
      </w:r>
      <w:r w:rsidRPr="00520861">
        <w:rPr>
          <w:rFonts w:eastAsiaTheme="minorHAnsi"/>
          <w:i/>
          <w:sz w:val="28"/>
          <w:szCs w:val="28"/>
          <w:lang w:eastAsia="en-US"/>
        </w:rPr>
        <w:t xml:space="preserve"> 2004</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Abstract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paper</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Mexico</w:t>
      </w:r>
      <w:proofErr w:type="spellEnd"/>
      <w:r w:rsidRPr="00520861">
        <w:rPr>
          <w:rFonts w:eastAsiaTheme="minorHAnsi"/>
          <w:sz w:val="28"/>
          <w:szCs w:val="28"/>
          <w:lang w:val="en-US" w:eastAsia="en-US"/>
        </w:rPr>
        <w:t>:;2004.</w:t>
      </w:r>
    </w:p>
    <w:p w14:paraId="629D000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Enomoto</w:t>
      </w:r>
      <w:proofErr w:type="spellEnd"/>
      <w:r w:rsidRPr="00520861">
        <w:rPr>
          <w:rFonts w:eastAsiaTheme="minorHAnsi"/>
          <w:sz w:val="28"/>
          <w:szCs w:val="28"/>
          <w:lang w:eastAsia="en-US"/>
        </w:rPr>
        <w:t xml:space="preserve"> K</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Aoki</w:t>
      </w:r>
      <w:proofErr w:type="spellEnd"/>
      <w:r w:rsidRPr="00520861">
        <w:rPr>
          <w:rFonts w:eastAsiaTheme="minorHAnsi"/>
          <w:sz w:val="28"/>
          <w:szCs w:val="28"/>
          <w:lang w:eastAsia="en-US"/>
        </w:rPr>
        <w:t xml:space="preserve"> S</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Toma</w:t>
      </w:r>
      <w:proofErr w:type="spellEnd"/>
      <w:r w:rsidRPr="00520861">
        <w:rPr>
          <w:rFonts w:eastAsiaTheme="minorHAnsi"/>
          <w:sz w:val="28"/>
          <w:szCs w:val="28"/>
          <w:lang w:eastAsia="en-US"/>
        </w:rPr>
        <w:t xml:space="preserve"> R</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Fujiwara</w:t>
      </w:r>
      <w:proofErr w:type="spellEnd"/>
      <w:r w:rsidRPr="00520861">
        <w:rPr>
          <w:rFonts w:eastAsiaTheme="minorHAnsi"/>
          <w:sz w:val="28"/>
          <w:szCs w:val="28"/>
          <w:lang w:eastAsia="en-US"/>
        </w:rPr>
        <w:t xml:space="preserve"> K</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Sakamaki</w:t>
      </w:r>
      <w:proofErr w:type="spellEnd"/>
      <w:r w:rsidRPr="00520861">
        <w:rPr>
          <w:rFonts w:eastAsiaTheme="minorHAnsi"/>
          <w:sz w:val="28"/>
          <w:szCs w:val="28"/>
          <w:lang w:eastAsia="en-US"/>
        </w:rPr>
        <w:t xml:space="preserve"> K</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Hirahara</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Japanese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One</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xml:space="preserve"> 2016</w:t>
      </w:r>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Jun</w:t>
      </w:r>
      <w:proofErr w:type="spellEnd"/>
      <w:r w:rsidRPr="00520861">
        <w:rPr>
          <w:rFonts w:eastAsiaTheme="minorHAnsi"/>
          <w:sz w:val="28"/>
          <w:szCs w:val="28"/>
          <w:lang w:val="ru-RU" w:eastAsia="en-US"/>
        </w:rPr>
        <w:t xml:space="preserve"> [</w:t>
      </w:r>
      <w:proofErr w:type="spellStart"/>
      <w:r w:rsidRPr="00520861">
        <w:rPr>
          <w:rFonts w:eastAsiaTheme="minorHAnsi"/>
          <w:sz w:val="28"/>
          <w:szCs w:val="28"/>
          <w:lang w:val="ru-RU" w:eastAsia="en-US"/>
        </w:rPr>
        <w:t>cited</w:t>
      </w:r>
      <w:proofErr w:type="spellEnd"/>
      <w:r w:rsidRPr="00520861">
        <w:rPr>
          <w:rFonts w:eastAsiaTheme="minorHAnsi"/>
          <w:sz w:val="28"/>
          <w:szCs w:val="28"/>
          <w:lang w:val="ru-RU" w:eastAsia="en-US"/>
        </w:rPr>
        <w:t xml:space="preserve"> 2020 </w:t>
      </w:r>
      <w:proofErr w:type="spellStart"/>
      <w:r w:rsidRPr="00520861">
        <w:rPr>
          <w:rFonts w:eastAsiaTheme="minorHAnsi"/>
          <w:sz w:val="28"/>
          <w:szCs w:val="28"/>
          <w:lang w:val="ru-RU" w:eastAsia="en-US"/>
        </w:rPr>
        <w:t>Feb</w:t>
      </w:r>
      <w:proofErr w:type="spellEnd"/>
      <w:r w:rsidRPr="00520861">
        <w:rPr>
          <w:rFonts w:eastAsiaTheme="minorHAnsi"/>
          <w:sz w:val="28"/>
          <w:szCs w:val="28"/>
          <w:lang w:val="ru-RU" w:eastAsia="en-US"/>
        </w:rPr>
        <w:t xml:space="preserve"> 12]</w:t>
      </w:r>
      <w:r w:rsidRPr="00520861">
        <w:rPr>
          <w:rFonts w:eastAsiaTheme="minorHAnsi"/>
          <w:sz w:val="28"/>
          <w:szCs w:val="28"/>
          <w:lang w:val="en-US" w:eastAsia="en-US"/>
        </w:rPr>
        <w:t>;</w:t>
      </w:r>
      <w:r w:rsidRPr="00520861">
        <w:rPr>
          <w:rFonts w:eastAsiaTheme="minorHAnsi"/>
          <w:sz w:val="28"/>
          <w:szCs w:val="28"/>
          <w:lang w:eastAsia="en-US"/>
        </w:rPr>
        <w:t>11(6)</w:t>
      </w:r>
      <w:r w:rsidRPr="00520861">
        <w:rPr>
          <w:rFonts w:eastAsiaTheme="minorHAnsi"/>
          <w:sz w:val="28"/>
          <w:szCs w:val="28"/>
          <w:lang w:val="en-US" w:eastAsia="en-US"/>
        </w:rPr>
        <w:t>:</w:t>
      </w:r>
      <w:r w:rsidRPr="00520861">
        <w:rPr>
          <w:rFonts w:eastAsiaTheme="minorHAnsi"/>
          <w:sz w:val="28"/>
          <w:szCs w:val="28"/>
          <w:lang w:eastAsia="en-US"/>
        </w:rPr>
        <w:t xml:space="preserve"> e0157081. </w:t>
      </w:r>
    </w:p>
    <w:p w14:paraId="3C16AF1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Entringer</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Punder</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Buss</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Wadhwa</w:t>
      </w:r>
      <w:proofErr w:type="spellEnd"/>
      <w:r w:rsidRPr="00520861">
        <w:rPr>
          <w:rFonts w:eastAsiaTheme="minorHAnsi"/>
          <w:sz w:val="28"/>
          <w:szCs w:val="28"/>
          <w:lang w:eastAsia="en-US"/>
        </w:rPr>
        <w:t xml:space="preserve"> PD.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telomere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hypothesis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update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Philos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Trans</w:t>
      </w:r>
      <w:proofErr w:type="spellEnd"/>
      <w:r w:rsidRPr="00520861">
        <w:rPr>
          <w:rFonts w:eastAsiaTheme="minorHAnsi"/>
          <w:i/>
          <w:sz w:val="28"/>
          <w:szCs w:val="28"/>
          <w:lang w:eastAsia="en-US"/>
        </w:rPr>
        <w:t xml:space="preserve"> R </w:t>
      </w:r>
      <w:proofErr w:type="spellStart"/>
      <w:r w:rsidRPr="00520861">
        <w:rPr>
          <w:rFonts w:eastAsiaTheme="minorHAnsi"/>
          <w:i/>
          <w:sz w:val="28"/>
          <w:szCs w:val="28"/>
          <w:lang w:eastAsia="en-US"/>
        </w:rPr>
        <w:t>Soc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Lond</w:t>
      </w:r>
      <w:proofErr w:type="spellEnd"/>
      <w:r w:rsidRPr="00520861">
        <w:rPr>
          <w:rFonts w:eastAsiaTheme="minorHAnsi"/>
          <w:i/>
          <w:sz w:val="28"/>
          <w:szCs w:val="28"/>
          <w:lang w:eastAsia="en-US"/>
        </w:rPr>
        <w:t xml:space="preserve"> B </w:t>
      </w:r>
      <w:proofErr w:type="spellStart"/>
      <w:r w:rsidRPr="00520861">
        <w:rPr>
          <w:rFonts w:eastAsiaTheme="minorHAnsi"/>
          <w:i/>
          <w:sz w:val="28"/>
          <w:szCs w:val="28"/>
          <w:lang w:eastAsia="en-US"/>
        </w:rPr>
        <w:t>Biol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2018</w:t>
      </w:r>
      <w:r w:rsidRPr="00520861">
        <w:rPr>
          <w:rFonts w:eastAsiaTheme="minorHAnsi"/>
          <w:sz w:val="28"/>
          <w:szCs w:val="28"/>
          <w:lang w:val="en-US" w:eastAsia="en-US"/>
        </w:rPr>
        <w:t xml:space="preserve"> Mar [cited 2020 Jun 7]</w:t>
      </w:r>
      <w:r w:rsidRPr="00520861">
        <w:rPr>
          <w:rFonts w:eastAsiaTheme="minorHAnsi"/>
          <w:sz w:val="28"/>
          <w:szCs w:val="28"/>
          <w:lang w:eastAsia="en-US"/>
        </w:rPr>
        <w:t>;373(1741):</w:t>
      </w:r>
      <w:r w:rsidRPr="00520861">
        <w:rPr>
          <w:rFonts w:eastAsiaTheme="minorHAnsi"/>
          <w:sz w:val="28"/>
          <w:szCs w:val="28"/>
          <w:lang w:val="en-US" w:eastAsia="en-US"/>
        </w:rPr>
        <w:t xml:space="preserve"> </w:t>
      </w:r>
      <w:r w:rsidRPr="00520861">
        <w:rPr>
          <w:rFonts w:eastAsiaTheme="minorHAnsi"/>
          <w:sz w:val="28"/>
          <w:szCs w:val="28"/>
          <w:lang w:eastAsia="en-US"/>
        </w:rPr>
        <w:t xml:space="preserve">20170151.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10.1098/rstb.2017.0151</w:t>
      </w:r>
      <w:r w:rsidRPr="00520861">
        <w:rPr>
          <w:rFonts w:eastAsiaTheme="minorHAnsi"/>
          <w:sz w:val="28"/>
          <w:szCs w:val="28"/>
          <w:lang w:val="en-US" w:eastAsia="en-US"/>
        </w:rPr>
        <w:t>.</w:t>
      </w:r>
    </w:p>
    <w:p w14:paraId="4D47AEB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Epping</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Miesbach</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Nickles</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Eickholz</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gingival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bleeding</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symptom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type</w:t>
      </w:r>
      <w:proofErr w:type="spellEnd"/>
      <w:r w:rsidRPr="00520861">
        <w:rPr>
          <w:rFonts w:eastAsiaTheme="minorHAnsi"/>
          <w:sz w:val="28"/>
          <w:szCs w:val="28"/>
          <w:lang w:eastAsia="en-US"/>
        </w:rPr>
        <w:t xml:space="preserve"> 2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3 </w:t>
      </w:r>
      <w:proofErr w:type="spellStart"/>
      <w:r w:rsidRPr="00520861">
        <w:rPr>
          <w:rFonts w:eastAsiaTheme="minorHAnsi"/>
          <w:sz w:val="28"/>
          <w:szCs w:val="28"/>
          <w:lang w:eastAsia="en-US"/>
        </w:rPr>
        <w:t>von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Willebrand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One</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2018</w:t>
      </w:r>
      <w:r w:rsidRPr="00520861">
        <w:rPr>
          <w:rFonts w:eastAsiaTheme="minorHAnsi"/>
          <w:sz w:val="28"/>
          <w:szCs w:val="28"/>
          <w:lang w:val="en-US" w:eastAsia="en-US"/>
        </w:rPr>
        <w:t xml:space="preserve"> Jan [cited 2020 Jun 6]</w:t>
      </w:r>
      <w:r w:rsidRPr="00520861">
        <w:rPr>
          <w:rFonts w:eastAsiaTheme="minorHAnsi"/>
          <w:sz w:val="28"/>
          <w:szCs w:val="28"/>
          <w:lang w:eastAsia="en-US"/>
        </w:rPr>
        <w:t>;13:</w:t>
      </w:r>
      <w:r w:rsidRPr="00520861">
        <w:rPr>
          <w:rFonts w:eastAsiaTheme="minorHAnsi"/>
          <w:sz w:val="28"/>
          <w:szCs w:val="28"/>
          <w:lang w:val="en-US" w:eastAsia="en-US"/>
        </w:rPr>
        <w:t xml:space="preserve"> </w:t>
      </w:r>
      <w:r w:rsidRPr="00520861">
        <w:rPr>
          <w:rFonts w:eastAsiaTheme="minorHAnsi"/>
          <w:sz w:val="28"/>
          <w:szCs w:val="28"/>
          <w:lang w:eastAsia="en-US"/>
        </w:rPr>
        <w:t xml:space="preserve">e0191291.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10.1371/journal.pone.0191291</w:t>
      </w:r>
      <w:r w:rsidRPr="00520861">
        <w:rPr>
          <w:rFonts w:eastAsiaTheme="minorHAnsi"/>
          <w:sz w:val="28"/>
          <w:szCs w:val="28"/>
          <w:lang w:val="en-US" w:eastAsia="en-US"/>
        </w:rPr>
        <w:t>.</w:t>
      </w:r>
      <w:r w:rsidRPr="00520861">
        <w:rPr>
          <w:rFonts w:eastAsiaTheme="minorHAnsi"/>
          <w:sz w:val="28"/>
          <w:szCs w:val="28"/>
          <w:lang w:eastAsia="en-US"/>
        </w:rPr>
        <w:t xml:space="preserve"> </w:t>
      </w:r>
    </w:p>
    <w:p w14:paraId="5206868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Eriksson</w:t>
      </w:r>
      <w:proofErr w:type="spellEnd"/>
      <w:r w:rsidRPr="00520861">
        <w:rPr>
          <w:rFonts w:eastAsiaTheme="minorHAnsi"/>
          <w:sz w:val="28"/>
          <w:szCs w:val="28"/>
          <w:lang w:eastAsia="en-US"/>
        </w:rPr>
        <w:t xml:space="preserve"> AL, </w:t>
      </w:r>
      <w:proofErr w:type="spellStart"/>
      <w:r w:rsidRPr="00520861">
        <w:rPr>
          <w:rFonts w:eastAsiaTheme="minorHAnsi"/>
          <w:sz w:val="28"/>
          <w:szCs w:val="28"/>
          <w:lang w:eastAsia="en-US"/>
        </w:rPr>
        <w:t>Perry</w:t>
      </w:r>
      <w:proofErr w:type="spellEnd"/>
      <w:r w:rsidRPr="00520861">
        <w:rPr>
          <w:rFonts w:eastAsiaTheme="minorHAnsi"/>
          <w:sz w:val="28"/>
          <w:szCs w:val="28"/>
          <w:lang w:eastAsia="en-US"/>
        </w:rPr>
        <w:t xml:space="preserve"> JRB, </w:t>
      </w:r>
      <w:proofErr w:type="spellStart"/>
      <w:r w:rsidRPr="00520861">
        <w:rPr>
          <w:rFonts w:eastAsiaTheme="minorHAnsi"/>
          <w:sz w:val="28"/>
          <w:szCs w:val="28"/>
          <w:lang w:eastAsia="en-US"/>
        </w:rPr>
        <w:t>Coviello</w:t>
      </w:r>
      <w:proofErr w:type="spellEnd"/>
      <w:r w:rsidRPr="00520861">
        <w:rPr>
          <w:rFonts w:eastAsiaTheme="minorHAnsi"/>
          <w:sz w:val="28"/>
          <w:szCs w:val="28"/>
          <w:lang w:eastAsia="en-US"/>
        </w:rPr>
        <w:t xml:space="preserve"> AD,</w:t>
      </w:r>
      <w:r w:rsidRPr="00520861">
        <w:rPr>
          <w:rFonts w:eastAsiaTheme="minorHAnsi"/>
          <w:sz w:val="28"/>
          <w:szCs w:val="28"/>
          <w:lang w:val="en-US" w:eastAsia="en-US"/>
        </w:rPr>
        <w:t xml:space="preserve"> Delgado GE, </w:t>
      </w:r>
      <w:proofErr w:type="spellStart"/>
      <w:r w:rsidRPr="00520861">
        <w:rPr>
          <w:rFonts w:eastAsiaTheme="minorHAnsi"/>
          <w:sz w:val="28"/>
          <w:szCs w:val="28"/>
          <w:lang w:val="en-US" w:eastAsia="en-US"/>
        </w:rPr>
        <w:t>Ferrucci</w:t>
      </w:r>
      <w:proofErr w:type="spellEnd"/>
      <w:r w:rsidRPr="00520861">
        <w:rPr>
          <w:rFonts w:eastAsiaTheme="minorHAnsi"/>
          <w:sz w:val="28"/>
          <w:szCs w:val="28"/>
          <w:lang w:val="en-US" w:eastAsia="en-US"/>
        </w:rPr>
        <w:t xml:space="preserve"> L, Hoffman AR,</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determinants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circulating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evidence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causal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estradiol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men</w:t>
      </w:r>
      <w:proofErr w:type="spellEnd"/>
      <w:r w:rsidRPr="00520861">
        <w:rPr>
          <w:rFonts w:eastAsiaTheme="minorHAnsi"/>
          <w:sz w:val="28"/>
          <w:szCs w:val="28"/>
          <w:lang w:val="en-US" w:eastAsia="en-US"/>
        </w:rPr>
        <w:t xml:space="preserve"> [published correction appears in J Clin Endocrinol </w:t>
      </w:r>
      <w:proofErr w:type="spellStart"/>
      <w:r w:rsidRPr="00520861">
        <w:rPr>
          <w:rFonts w:eastAsiaTheme="minorHAnsi"/>
          <w:sz w:val="28"/>
          <w:szCs w:val="28"/>
          <w:lang w:val="en-US" w:eastAsia="en-US"/>
        </w:rPr>
        <w:t>Metab</w:t>
      </w:r>
      <w:proofErr w:type="spellEnd"/>
      <w:r w:rsidRPr="00520861">
        <w:rPr>
          <w:rFonts w:eastAsiaTheme="minorHAnsi"/>
          <w:sz w:val="28"/>
          <w:szCs w:val="28"/>
          <w:lang w:val="en-US" w:eastAsia="en-US"/>
        </w:rPr>
        <w:t>. 2019;104(7): 2580].</w:t>
      </w:r>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Endocrinol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Metab</w:t>
      </w:r>
      <w:proofErr w:type="spellEnd"/>
      <w:r w:rsidRPr="00520861">
        <w:rPr>
          <w:rFonts w:eastAsiaTheme="minorHAnsi"/>
          <w:sz w:val="28"/>
          <w:szCs w:val="28"/>
          <w:lang w:eastAsia="en-US"/>
        </w:rPr>
        <w:t>, 2018;103(3):</w:t>
      </w:r>
      <w:r w:rsidRPr="00520861">
        <w:rPr>
          <w:rFonts w:eastAsiaTheme="minorHAnsi"/>
          <w:sz w:val="28"/>
          <w:szCs w:val="28"/>
          <w:lang w:val="en-US" w:eastAsia="en-US"/>
        </w:rPr>
        <w:t xml:space="preserve"> </w:t>
      </w:r>
      <w:r w:rsidRPr="00520861">
        <w:rPr>
          <w:rFonts w:eastAsiaTheme="minorHAnsi"/>
          <w:sz w:val="28"/>
          <w:szCs w:val="28"/>
          <w:lang w:eastAsia="en-US"/>
        </w:rPr>
        <w:t>991–1004.</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val="en-US" w:eastAsia="en-US"/>
        </w:rPr>
        <w:t>10.1210/jc.2017-02060.</w:t>
      </w:r>
    </w:p>
    <w:p w14:paraId="5F6315D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Eržen</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Janáček</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Kubínová</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Characterization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capillary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network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skeletal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muscles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3D </w:t>
      </w:r>
      <w:proofErr w:type="spellStart"/>
      <w:r w:rsidRPr="00520861">
        <w:rPr>
          <w:rFonts w:eastAsiaTheme="minorHAnsi"/>
          <w:sz w:val="28"/>
          <w:szCs w:val="28"/>
          <w:lang w:eastAsia="en-US"/>
        </w:rPr>
        <w:t>data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Physiol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2011; 60:</w:t>
      </w:r>
      <w:r w:rsidRPr="00520861">
        <w:rPr>
          <w:rFonts w:eastAsiaTheme="minorHAnsi"/>
          <w:sz w:val="28"/>
          <w:szCs w:val="28"/>
          <w:lang w:val="en-US" w:eastAsia="en-US"/>
        </w:rPr>
        <w:t xml:space="preserve"> </w:t>
      </w:r>
      <w:r w:rsidRPr="00520861">
        <w:rPr>
          <w:rFonts w:eastAsiaTheme="minorHAnsi"/>
          <w:sz w:val="28"/>
          <w:szCs w:val="28"/>
          <w:lang w:eastAsia="en-US"/>
        </w:rPr>
        <w:t>1–13.</w:t>
      </w:r>
    </w:p>
    <w:p w14:paraId="774AF46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Feng</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Liu</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Luo</w:t>
      </w:r>
      <w:proofErr w:type="spellEnd"/>
      <w:r w:rsidRPr="00520861">
        <w:rPr>
          <w:rFonts w:eastAsiaTheme="minorHAnsi"/>
          <w:sz w:val="28"/>
          <w:szCs w:val="28"/>
          <w:lang w:eastAsia="en-US"/>
        </w:rPr>
        <w:t xml:space="preserve"> T,</w:t>
      </w:r>
      <w:r w:rsidRPr="00520861">
        <w:rPr>
          <w:rFonts w:eastAsiaTheme="minorHAnsi"/>
          <w:sz w:val="28"/>
          <w:szCs w:val="28"/>
          <w:lang w:val="en-US" w:eastAsia="en-US"/>
        </w:rPr>
        <w:t xml:space="preserve"> Liu D, Du J, Sun</w:t>
      </w:r>
      <w:r w:rsidRPr="00520861">
        <w:rPr>
          <w:rFonts w:eastAsiaTheme="minorHAnsi"/>
          <w:sz w:val="28"/>
          <w:szCs w:val="28"/>
          <w:lang w:eastAsia="en-US"/>
        </w:rPr>
        <w:t xml:space="preserve"> </w:t>
      </w:r>
      <w:r w:rsidRPr="00520861">
        <w:rPr>
          <w:rFonts w:eastAsiaTheme="minorHAnsi"/>
          <w:sz w:val="28"/>
          <w:szCs w:val="28"/>
          <w:lang w:val="en-US" w:eastAsia="en-US"/>
        </w:rPr>
        <w:t xml:space="preserve">J,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Combination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IL-6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sIL-6R </w:t>
      </w:r>
      <w:proofErr w:type="spellStart"/>
      <w:r w:rsidRPr="00520861">
        <w:rPr>
          <w:rFonts w:eastAsiaTheme="minorHAnsi"/>
          <w:sz w:val="28"/>
          <w:szCs w:val="28"/>
          <w:lang w:eastAsia="en-US"/>
        </w:rPr>
        <w:t>differentially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regulate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varying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RANKL-</w:t>
      </w:r>
      <w:proofErr w:type="spellStart"/>
      <w:r w:rsidRPr="00520861">
        <w:rPr>
          <w:rFonts w:eastAsiaTheme="minorHAnsi"/>
          <w:sz w:val="28"/>
          <w:szCs w:val="28"/>
          <w:lang w:eastAsia="en-US"/>
        </w:rPr>
        <w:t>induced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osteoclastogenesis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through</w:t>
      </w:r>
      <w:proofErr w:type="spellEnd"/>
      <w:r w:rsidRPr="00520861">
        <w:rPr>
          <w:rFonts w:eastAsiaTheme="minorHAnsi"/>
          <w:sz w:val="28"/>
          <w:szCs w:val="28"/>
          <w:lang w:eastAsia="en-US"/>
        </w:rPr>
        <w:t xml:space="preserve"> NF-</w:t>
      </w:r>
      <w:proofErr w:type="spellStart"/>
      <w:r w:rsidRPr="00520861">
        <w:rPr>
          <w:rFonts w:eastAsiaTheme="minorHAnsi"/>
          <w:sz w:val="28"/>
          <w:szCs w:val="28"/>
          <w:lang w:eastAsia="en-US"/>
        </w:rPr>
        <w:t>κB</w:t>
      </w:r>
      <w:proofErr w:type="spellEnd"/>
      <w:r w:rsidRPr="00520861">
        <w:rPr>
          <w:rFonts w:eastAsiaTheme="minorHAnsi"/>
          <w:sz w:val="28"/>
          <w:szCs w:val="28"/>
          <w:lang w:eastAsia="en-US"/>
        </w:rPr>
        <w:t xml:space="preserve">, ERK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JNK </w:t>
      </w:r>
      <w:proofErr w:type="spellStart"/>
      <w:r w:rsidRPr="00520861">
        <w:rPr>
          <w:rFonts w:eastAsiaTheme="minorHAnsi"/>
          <w:sz w:val="28"/>
          <w:szCs w:val="28"/>
          <w:lang w:eastAsia="en-US"/>
        </w:rPr>
        <w:t>signaling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pathways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2017</w:t>
      </w:r>
      <w:r w:rsidRPr="00520861">
        <w:rPr>
          <w:rFonts w:eastAsiaTheme="minorHAnsi"/>
          <w:sz w:val="28"/>
          <w:szCs w:val="28"/>
          <w:lang w:val="en-US" w:eastAsia="en-US"/>
        </w:rPr>
        <w:t xml:space="preserve"> Jan [cited 2020 Mar 11]</w:t>
      </w:r>
      <w:r w:rsidRPr="00520861">
        <w:rPr>
          <w:rFonts w:eastAsiaTheme="minorHAnsi"/>
          <w:sz w:val="28"/>
          <w:szCs w:val="28"/>
          <w:lang w:eastAsia="en-US"/>
        </w:rPr>
        <w:t>; 7:</w:t>
      </w:r>
      <w:r w:rsidRPr="00520861">
        <w:rPr>
          <w:rFonts w:eastAsiaTheme="minorHAnsi"/>
          <w:sz w:val="28"/>
          <w:szCs w:val="28"/>
          <w:lang w:val="en-US" w:eastAsia="en-US"/>
        </w:rPr>
        <w:t xml:space="preserve"> </w:t>
      </w:r>
      <w:r w:rsidRPr="00520861">
        <w:rPr>
          <w:rFonts w:eastAsiaTheme="minorHAnsi"/>
          <w:sz w:val="28"/>
          <w:szCs w:val="28"/>
          <w:lang w:eastAsia="en-US"/>
        </w:rPr>
        <w:t>41411.</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val="en-US" w:eastAsia="en-US"/>
        </w:rPr>
        <w:t>10.1038/srep41411.</w:t>
      </w:r>
    </w:p>
    <w:p w14:paraId="118E54C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Folayan</w:t>
      </w:r>
      <w:proofErr w:type="spellEnd"/>
      <w:r w:rsidRPr="00520861">
        <w:rPr>
          <w:rFonts w:eastAsiaTheme="minorHAnsi"/>
          <w:sz w:val="28"/>
          <w:szCs w:val="28"/>
          <w:lang w:eastAsia="en-US"/>
        </w:rPr>
        <w:t xml:space="preserve"> MO, </w:t>
      </w:r>
      <w:proofErr w:type="spellStart"/>
      <w:r w:rsidRPr="00520861">
        <w:rPr>
          <w:rFonts w:eastAsiaTheme="minorHAnsi"/>
          <w:sz w:val="28"/>
          <w:szCs w:val="28"/>
          <w:lang w:eastAsia="en-US"/>
        </w:rPr>
        <w:t>Kolawole</w:t>
      </w:r>
      <w:proofErr w:type="spellEnd"/>
      <w:r w:rsidRPr="00520861">
        <w:rPr>
          <w:rFonts w:eastAsiaTheme="minorHAnsi"/>
          <w:sz w:val="28"/>
          <w:szCs w:val="28"/>
          <w:lang w:eastAsia="en-US"/>
        </w:rPr>
        <w:t xml:space="preserve"> KA, </w:t>
      </w:r>
      <w:proofErr w:type="spellStart"/>
      <w:r w:rsidRPr="00520861">
        <w:rPr>
          <w:rFonts w:eastAsiaTheme="minorHAnsi"/>
          <w:sz w:val="28"/>
          <w:szCs w:val="28"/>
          <w:lang w:eastAsia="en-US"/>
        </w:rPr>
        <w:t>Oziegbe</w:t>
      </w:r>
      <w:proofErr w:type="spellEnd"/>
      <w:r w:rsidRPr="00520861">
        <w:rPr>
          <w:rFonts w:eastAsiaTheme="minorHAnsi"/>
          <w:sz w:val="28"/>
          <w:szCs w:val="28"/>
          <w:lang w:eastAsia="en-US"/>
        </w:rPr>
        <w:t xml:space="preserve"> EO, </w:t>
      </w:r>
      <w:proofErr w:type="spellStart"/>
      <w:r w:rsidRPr="00520861">
        <w:rPr>
          <w:rFonts w:eastAsiaTheme="minorHAnsi"/>
          <w:sz w:val="28"/>
          <w:szCs w:val="28"/>
          <w:lang w:eastAsia="en-US"/>
        </w:rPr>
        <w:t>Oyedele</w:t>
      </w:r>
      <w:proofErr w:type="spellEnd"/>
      <w:r w:rsidRPr="00520861">
        <w:rPr>
          <w:rFonts w:eastAsiaTheme="minorHAnsi"/>
          <w:sz w:val="28"/>
          <w:szCs w:val="28"/>
          <w:lang w:eastAsia="en-US"/>
        </w:rPr>
        <w:t xml:space="preserve"> TA, </w:t>
      </w:r>
      <w:proofErr w:type="spellStart"/>
      <w:r w:rsidRPr="00520861">
        <w:rPr>
          <w:rFonts w:eastAsiaTheme="minorHAnsi"/>
          <w:sz w:val="28"/>
          <w:szCs w:val="28"/>
          <w:lang w:eastAsia="en-US"/>
        </w:rPr>
        <w:t>Agbaje</w:t>
      </w:r>
      <w:proofErr w:type="spellEnd"/>
      <w:r w:rsidRPr="00520861">
        <w:rPr>
          <w:rFonts w:eastAsiaTheme="minorHAnsi"/>
          <w:sz w:val="28"/>
          <w:szCs w:val="28"/>
          <w:lang w:eastAsia="en-US"/>
        </w:rPr>
        <w:t xml:space="preserve"> HO, </w:t>
      </w:r>
      <w:proofErr w:type="spellStart"/>
      <w:r w:rsidRPr="00520861">
        <w:rPr>
          <w:rFonts w:eastAsiaTheme="minorHAnsi"/>
          <w:sz w:val="28"/>
          <w:szCs w:val="28"/>
          <w:lang w:eastAsia="en-US"/>
        </w:rPr>
        <w:t>Onjejaka</w:t>
      </w:r>
      <w:proofErr w:type="spellEnd"/>
      <w:r w:rsidRPr="00520861">
        <w:rPr>
          <w:rFonts w:eastAsiaTheme="minorHAnsi"/>
          <w:sz w:val="28"/>
          <w:szCs w:val="28"/>
          <w:lang w:eastAsia="en-US"/>
        </w:rPr>
        <w:t xml:space="preserve"> NK,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family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structure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mixed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suburban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Nigeria</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Indian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Soc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Pedod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2017;35(2):</w:t>
      </w:r>
      <w:r w:rsidRPr="00520861">
        <w:rPr>
          <w:rFonts w:eastAsiaTheme="minorHAnsi"/>
          <w:sz w:val="28"/>
          <w:szCs w:val="28"/>
          <w:lang w:val="en-US" w:eastAsia="en-US"/>
        </w:rPr>
        <w:t xml:space="preserve"> </w:t>
      </w:r>
      <w:r w:rsidRPr="00520861">
        <w:rPr>
          <w:rFonts w:eastAsiaTheme="minorHAnsi"/>
          <w:sz w:val="28"/>
          <w:szCs w:val="28"/>
          <w:lang w:eastAsia="en-US"/>
        </w:rPr>
        <w:t xml:space="preserve">134–142.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10.4103/0970-4388.206034.</w:t>
      </w:r>
    </w:p>
    <w:p w14:paraId="1C5735D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Forno</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Young</w:t>
      </w:r>
      <w:proofErr w:type="spellEnd"/>
      <w:r w:rsidRPr="00520861">
        <w:rPr>
          <w:rFonts w:eastAsiaTheme="minorHAnsi"/>
          <w:sz w:val="28"/>
          <w:szCs w:val="28"/>
          <w:lang w:eastAsia="en-US"/>
        </w:rPr>
        <w:t xml:space="preserve"> OM, </w:t>
      </w:r>
      <w:proofErr w:type="spellStart"/>
      <w:r w:rsidRPr="00520861">
        <w:rPr>
          <w:rFonts w:eastAsiaTheme="minorHAnsi"/>
          <w:sz w:val="28"/>
          <w:szCs w:val="28"/>
          <w:lang w:eastAsia="en-US"/>
        </w:rPr>
        <w:t>Kumar</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Simham</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Celedón</w:t>
      </w:r>
      <w:proofErr w:type="spellEnd"/>
      <w:r w:rsidRPr="00520861">
        <w:rPr>
          <w:rFonts w:eastAsiaTheme="minorHAnsi"/>
          <w:sz w:val="28"/>
          <w:szCs w:val="28"/>
          <w:lang w:eastAsia="en-US"/>
        </w:rPr>
        <w:t xml:space="preserve"> JC.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gain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asthma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Pediatrics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2014;134:</w:t>
      </w:r>
      <w:r w:rsidRPr="00520861">
        <w:rPr>
          <w:rFonts w:eastAsiaTheme="minorHAnsi"/>
          <w:sz w:val="28"/>
          <w:szCs w:val="28"/>
          <w:lang w:val="en-US" w:eastAsia="en-US"/>
        </w:rPr>
        <w:t xml:space="preserve"> </w:t>
      </w:r>
      <w:r w:rsidRPr="00520861">
        <w:rPr>
          <w:rFonts w:eastAsiaTheme="minorHAnsi"/>
          <w:sz w:val="28"/>
          <w:szCs w:val="28"/>
          <w:lang w:eastAsia="en-US"/>
        </w:rPr>
        <w:t>e535–</w:t>
      </w:r>
      <w:r w:rsidRPr="00520861">
        <w:rPr>
          <w:rFonts w:eastAsiaTheme="minorHAnsi"/>
          <w:sz w:val="28"/>
          <w:szCs w:val="28"/>
          <w:lang w:val="en-US" w:eastAsia="en-US"/>
        </w:rPr>
        <w:t>5</w:t>
      </w:r>
      <w:r w:rsidRPr="00520861">
        <w:rPr>
          <w:rFonts w:eastAsiaTheme="minorHAnsi"/>
          <w:sz w:val="28"/>
          <w:szCs w:val="28"/>
          <w:lang w:eastAsia="en-US"/>
        </w:rPr>
        <w:t>46.</w:t>
      </w:r>
    </w:p>
    <w:p w14:paraId="58B8D03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Fortner</w:t>
      </w:r>
      <w:proofErr w:type="spellEnd"/>
      <w:r w:rsidRPr="00520861">
        <w:rPr>
          <w:rFonts w:eastAsiaTheme="minorHAnsi"/>
          <w:sz w:val="28"/>
          <w:szCs w:val="28"/>
          <w:lang w:eastAsia="en-US"/>
        </w:rPr>
        <w:t xml:space="preserve"> RT, </w:t>
      </w:r>
      <w:proofErr w:type="spellStart"/>
      <w:r w:rsidRPr="00520861">
        <w:rPr>
          <w:rFonts w:eastAsiaTheme="minorHAnsi"/>
          <w:sz w:val="28"/>
          <w:szCs w:val="28"/>
          <w:lang w:eastAsia="en-US"/>
        </w:rPr>
        <w:t>Pekow</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Solomon</w:t>
      </w:r>
      <w:proofErr w:type="spellEnd"/>
      <w:r w:rsidRPr="00520861">
        <w:rPr>
          <w:rFonts w:eastAsiaTheme="minorHAnsi"/>
          <w:sz w:val="28"/>
          <w:szCs w:val="28"/>
          <w:lang w:eastAsia="en-US"/>
        </w:rPr>
        <w:t xml:space="preserve"> CG, </w:t>
      </w:r>
      <w:proofErr w:type="spellStart"/>
      <w:r w:rsidRPr="00520861">
        <w:rPr>
          <w:rFonts w:eastAsiaTheme="minorHAnsi"/>
          <w:sz w:val="28"/>
          <w:szCs w:val="28"/>
          <w:lang w:eastAsia="en-US"/>
        </w:rPr>
        <w:t>Markenson</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Chasan-Taber</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Prepregnancy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gain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hypertensive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among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Latina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Gynecol</w:t>
      </w:r>
      <w:proofErr w:type="spellEnd"/>
      <w:r w:rsidRPr="00520861">
        <w:rPr>
          <w:rFonts w:eastAsiaTheme="minorHAnsi"/>
          <w:sz w:val="28"/>
          <w:szCs w:val="28"/>
          <w:lang w:eastAsia="en-US"/>
        </w:rPr>
        <w:t>. 2009;200(2):</w:t>
      </w:r>
      <w:r w:rsidRPr="00520861">
        <w:rPr>
          <w:rFonts w:eastAsiaTheme="minorHAnsi"/>
          <w:sz w:val="28"/>
          <w:szCs w:val="28"/>
          <w:lang w:val="en-US" w:eastAsia="en-US"/>
        </w:rPr>
        <w:t xml:space="preserve"> </w:t>
      </w:r>
      <w:r w:rsidRPr="00520861">
        <w:rPr>
          <w:rFonts w:eastAsiaTheme="minorHAnsi"/>
          <w:sz w:val="28"/>
          <w:szCs w:val="28"/>
          <w:lang w:eastAsia="en-US"/>
        </w:rPr>
        <w:t xml:space="preserve">167.e1–7.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lastRenderedPageBreak/>
        <w:t>10.1016/j.ajog.2008.08.021</w:t>
      </w:r>
      <w:r w:rsidRPr="00520861">
        <w:rPr>
          <w:rFonts w:eastAsiaTheme="minorHAnsi"/>
          <w:sz w:val="28"/>
          <w:szCs w:val="28"/>
          <w:lang w:val="en-US" w:eastAsia="en-US"/>
        </w:rPr>
        <w:t>.</w:t>
      </w:r>
    </w:p>
    <w:p w14:paraId="4517E14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Fowden</w:t>
      </w:r>
      <w:proofErr w:type="spellEnd"/>
      <w:r w:rsidRPr="00520861">
        <w:rPr>
          <w:rFonts w:eastAsiaTheme="minorHAnsi"/>
          <w:sz w:val="28"/>
          <w:szCs w:val="28"/>
          <w:lang w:eastAsia="en-US"/>
        </w:rPr>
        <w:t xml:space="preserve"> AL, </w:t>
      </w:r>
      <w:proofErr w:type="spellStart"/>
      <w:r w:rsidRPr="00520861">
        <w:rPr>
          <w:rFonts w:eastAsiaTheme="minorHAnsi"/>
          <w:sz w:val="28"/>
          <w:szCs w:val="28"/>
          <w:lang w:eastAsia="en-US"/>
        </w:rPr>
        <w:t>Szemere</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Hughes</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Gilmour</w:t>
      </w:r>
      <w:proofErr w:type="spellEnd"/>
      <w:r w:rsidRPr="00520861">
        <w:rPr>
          <w:rFonts w:eastAsiaTheme="minorHAnsi"/>
          <w:sz w:val="28"/>
          <w:szCs w:val="28"/>
          <w:lang w:eastAsia="en-US"/>
        </w:rPr>
        <w:t xml:space="preserve"> RS, </w:t>
      </w:r>
      <w:proofErr w:type="spellStart"/>
      <w:r w:rsidRPr="00520861">
        <w:rPr>
          <w:rFonts w:eastAsiaTheme="minorHAnsi"/>
          <w:sz w:val="28"/>
          <w:szCs w:val="28"/>
          <w:lang w:eastAsia="en-US"/>
        </w:rPr>
        <w:t>Forhead</w:t>
      </w:r>
      <w:proofErr w:type="spellEnd"/>
      <w:r w:rsidRPr="00520861">
        <w:rPr>
          <w:rFonts w:eastAsiaTheme="minorHAnsi"/>
          <w:sz w:val="28"/>
          <w:szCs w:val="28"/>
          <w:lang w:eastAsia="en-US"/>
        </w:rPr>
        <w:t xml:space="preserve"> AJ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cortisol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sheep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Endocrinol</w:t>
      </w:r>
      <w:proofErr w:type="spellEnd"/>
      <w:r w:rsidRPr="00520861">
        <w:rPr>
          <w:rFonts w:eastAsiaTheme="minorHAnsi"/>
          <w:sz w:val="28"/>
          <w:szCs w:val="28"/>
          <w:lang w:eastAsia="en-US"/>
        </w:rPr>
        <w:t>. 1996</w:t>
      </w:r>
      <w:r w:rsidRPr="00520861">
        <w:rPr>
          <w:rFonts w:eastAsiaTheme="minorHAnsi"/>
          <w:sz w:val="28"/>
          <w:szCs w:val="28"/>
          <w:lang w:val="en-US" w:eastAsia="en-US"/>
        </w:rPr>
        <w:t>;</w:t>
      </w:r>
      <w:r w:rsidRPr="00520861">
        <w:rPr>
          <w:rFonts w:eastAsiaTheme="minorHAnsi"/>
          <w:sz w:val="28"/>
          <w:szCs w:val="28"/>
          <w:lang w:eastAsia="en-US"/>
        </w:rPr>
        <w:t xml:space="preserve">151: 97–105.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10.1677/joe.0.1510097</w:t>
      </w:r>
      <w:r w:rsidRPr="00520861">
        <w:rPr>
          <w:rFonts w:eastAsiaTheme="minorHAnsi"/>
          <w:sz w:val="28"/>
          <w:szCs w:val="28"/>
          <w:lang w:val="en-US" w:eastAsia="en-US"/>
        </w:rPr>
        <w:t>.</w:t>
      </w:r>
    </w:p>
    <w:p w14:paraId="40298BA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França</w:t>
      </w:r>
      <w:proofErr w:type="spellEnd"/>
      <w:r w:rsidRPr="00520861">
        <w:rPr>
          <w:rFonts w:eastAsiaTheme="minorHAnsi"/>
          <w:sz w:val="28"/>
          <w:szCs w:val="28"/>
          <w:lang w:val="en-US" w:eastAsia="en-US"/>
        </w:rPr>
        <w:t xml:space="preserve"> C, Riggers R, </w:t>
      </w:r>
      <w:proofErr w:type="spellStart"/>
      <w:r w:rsidRPr="00520861">
        <w:rPr>
          <w:rFonts w:eastAsiaTheme="minorHAnsi"/>
          <w:sz w:val="28"/>
          <w:szCs w:val="28"/>
          <w:lang w:val="en-US" w:eastAsia="en-US"/>
        </w:rPr>
        <w:t>Muschler</w:t>
      </w:r>
      <w:proofErr w:type="spellEnd"/>
      <w:r w:rsidRPr="00520861">
        <w:rPr>
          <w:rFonts w:eastAsiaTheme="minorHAnsi"/>
          <w:sz w:val="28"/>
          <w:szCs w:val="28"/>
          <w:lang w:val="en-US" w:eastAsia="en-US"/>
        </w:rPr>
        <w:t xml:space="preserve"> J, </w:t>
      </w:r>
      <w:proofErr w:type="spellStart"/>
      <w:r w:rsidRPr="00520861">
        <w:rPr>
          <w:rFonts w:eastAsiaTheme="minorHAnsi"/>
          <w:sz w:val="28"/>
          <w:szCs w:val="28"/>
          <w:lang w:val="en-US" w:eastAsia="en-US"/>
        </w:rPr>
        <w:t>Widbiller</w:t>
      </w:r>
      <w:proofErr w:type="spellEnd"/>
      <w:r w:rsidRPr="00520861">
        <w:rPr>
          <w:rFonts w:eastAsiaTheme="minorHAnsi"/>
          <w:sz w:val="28"/>
          <w:szCs w:val="28"/>
          <w:lang w:val="en-US" w:eastAsia="en-US"/>
        </w:rPr>
        <w:t xml:space="preserve"> M, </w:t>
      </w:r>
      <w:proofErr w:type="spellStart"/>
      <w:r w:rsidRPr="00520861">
        <w:rPr>
          <w:rFonts w:eastAsiaTheme="minorHAnsi"/>
          <w:sz w:val="28"/>
          <w:szCs w:val="28"/>
          <w:lang w:val="en-US" w:eastAsia="en-US"/>
        </w:rPr>
        <w:t>Lococo</w:t>
      </w:r>
      <w:proofErr w:type="spellEnd"/>
      <w:r w:rsidRPr="00520861">
        <w:rPr>
          <w:rFonts w:eastAsiaTheme="minorHAnsi"/>
          <w:sz w:val="28"/>
          <w:szCs w:val="28"/>
          <w:lang w:val="en-US" w:eastAsia="en-US"/>
        </w:rPr>
        <w:t xml:space="preserve"> P, Diogenes A, et al. 3D-Imaging of whole neuronal and vascular networks of the human dental pulp via CLARITY and light sheet microscopy. </w:t>
      </w:r>
      <w:r w:rsidRPr="00520861">
        <w:rPr>
          <w:rFonts w:eastAsiaTheme="minorHAnsi"/>
          <w:i/>
          <w:sz w:val="28"/>
          <w:szCs w:val="28"/>
          <w:lang w:val="en-US" w:eastAsia="en-US"/>
        </w:rPr>
        <w:t>Scientific Reports</w:t>
      </w:r>
      <w:r w:rsidRPr="00520861">
        <w:rPr>
          <w:rFonts w:eastAsiaTheme="minorHAnsi"/>
          <w:sz w:val="28"/>
          <w:szCs w:val="28"/>
          <w:lang w:val="en-US" w:eastAsia="en-US"/>
        </w:rPr>
        <w:t xml:space="preserve"> [Internet]. 2019 Jul [cited 2020 Jun 5];9: </w:t>
      </w:r>
      <w:r w:rsidRPr="00520861">
        <w:rPr>
          <w:rFonts w:eastAsiaTheme="minorHAnsi"/>
          <w:sz w:val="28"/>
          <w:szCs w:val="28"/>
          <w:lang w:eastAsia="en-US"/>
        </w:rPr>
        <w:t>10860</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 10.1038/s41598-019-47221-5.</w:t>
      </w:r>
    </w:p>
    <w:p w14:paraId="14E0388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Frühbeck</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Catalán</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Rodríguez</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Gómez-Ambrosi</w:t>
      </w:r>
      <w:proofErr w:type="spellEnd"/>
      <w:r w:rsidRPr="00520861">
        <w:rPr>
          <w:rFonts w:eastAsiaTheme="minorHAnsi"/>
          <w:sz w:val="28"/>
          <w:szCs w:val="28"/>
          <w:lang w:eastAsia="en-US"/>
        </w:rPr>
        <w:t xml:space="preserve"> 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Adiponectin-leptin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ratio</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promising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estimate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adipose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tissue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dysfunction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cardiometabolic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Adipocyte</w:t>
      </w:r>
      <w:proofErr w:type="spellEnd"/>
      <w:r w:rsidRPr="00520861">
        <w:rPr>
          <w:rFonts w:eastAsiaTheme="minorHAnsi"/>
          <w:sz w:val="28"/>
          <w:szCs w:val="28"/>
          <w:lang w:eastAsia="en-US"/>
        </w:rPr>
        <w:t>. 2018;7(1): 57–62.</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Theme="minorHAnsi"/>
          <w:sz w:val="28"/>
          <w:szCs w:val="28"/>
          <w:lang w:val="en-US" w:eastAsia="en-US"/>
        </w:rPr>
        <w:t>10.1080/21623945.2017.1402151.</w:t>
      </w:r>
    </w:p>
    <w:p w14:paraId="78E4595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Funatsu</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M</w:t>
      </w:r>
      <w:r w:rsidRPr="00520861">
        <w:rPr>
          <w:rFonts w:eastAsiaTheme="minorHAnsi"/>
          <w:sz w:val="28"/>
          <w:szCs w:val="28"/>
          <w:lang w:eastAsia="en-US"/>
        </w:rPr>
        <w:t xml:space="preserve">, </w:t>
      </w:r>
      <w:r w:rsidRPr="00520861">
        <w:rPr>
          <w:rFonts w:eastAsiaTheme="minorHAnsi"/>
          <w:sz w:val="28"/>
          <w:szCs w:val="28"/>
          <w:lang w:val="en-US" w:eastAsia="en-US"/>
        </w:rPr>
        <w:t>Sato</w:t>
      </w:r>
      <w:r w:rsidRPr="00520861">
        <w:rPr>
          <w:rFonts w:eastAsiaTheme="minorHAnsi"/>
          <w:sz w:val="28"/>
          <w:szCs w:val="28"/>
          <w:lang w:eastAsia="en-US"/>
        </w:rPr>
        <w:t xml:space="preserve"> </w:t>
      </w:r>
      <w:r w:rsidRPr="00520861">
        <w:rPr>
          <w:rFonts w:eastAsiaTheme="minorHAnsi"/>
          <w:sz w:val="28"/>
          <w:szCs w:val="28"/>
          <w:lang w:val="en-US" w:eastAsia="en-US"/>
        </w:rPr>
        <w:t>K</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Mitani</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H</w:t>
      </w:r>
      <w:r w:rsidRPr="00520861">
        <w:rPr>
          <w:rFonts w:eastAsiaTheme="minorHAnsi"/>
          <w:sz w:val="28"/>
          <w:szCs w:val="28"/>
          <w:lang w:eastAsia="en-US"/>
        </w:rPr>
        <w:t xml:space="preserve">. </w:t>
      </w:r>
      <w:r w:rsidRPr="00520861">
        <w:rPr>
          <w:rFonts w:eastAsiaTheme="minorHAnsi"/>
          <w:sz w:val="28"/>
          <w:szCs w:val="28"/>
          <w:lang w:val="en-US" w:eastAsia="en-US"/>
        </w:rPr>
        <w:t>Effects</w:t>
      </w:r>
      <w:r w:rsidRPr="00520861">
        <w:rPr>
          <w:rFonts w:eastAsiaTheme="minorHAnsi"/>
          <w:sz w:val="28"/>
          <w:szCs w:val="28"/>
          <w:lang w:eastAsia="en-US"/>
        </w:rPr>
        <w:t xml:space="preserve"> </w:t>
      </w:r>
      <w:r w:rsidRPr="00520861">
        <w:rPr>
          <w:rFonts w:eastAsiaTheme="minorHAnsi"/>
          <w:sz w:val="28"/>
          <w:szCs w:val="28"/>
          <w:lang w:val="en-US" w:eastAsia="en-US"/>
        </w:rPr>
        <w:t>of</w:t>
      </w:r>
      <w:r w:rsidRPr="00520861">
        <w:rPr>
          <w:rFonts w:eastAsiaTheme="minorHAnsi"/>
          <w:sz w:val="28"/>
          <w:szCs w:val="28"/>
          <w:lang w:eastAsia="en-US"/>
        </w:rPr>
        <w:t xml:space="preserve"> </w:t>
      </w:r>
      <w:r w:rsidRPr="00520861">
        <w:rPr>
          <w:rFonts w:eastAsiaTheme="minorHAnsi"/>
          <w:sz w:val="28"/>
          <w:szCs w:val="28"/>
          <w:lang w:val="en-US" w:eastAsia="en-US"/>
        </w:rPr>
        <w:t>growth</w:t>
      </w:r>
      <w:r w:rsidRPr="00520861">
        <w:rPr>
          <w:rFonts w:eastAsiaTheme="minorHAnsi"/>
          <w:sz w:val="28"/>
          <w:szCs w:val="28"/>
          <w:lang w:eastAsia="en-US"/>
        </w:rPr>
        <w:t xml:space="preserve"> </w:t>
      </w:r>
      <w:r w:rsidRPr="00520861">
        <w:rPr>
          <w:rFonts w:eastAsiaTheme="minorHAnsi"/>
          <w:sz w:val="28"/>
          <w:szCs w:val="28"/>
          <w:lang w:val="en-US" w:eastAsia="en-US"/>
        </w:rPr>
        <w:t>hormone</w:t>
      </w:r>
      <w:r w:rsidRPr="00520861">
        <w:rPr>
          <w:rFonts w:eastAsiaTheme="minorHAnsi"/>
          <w:sz w:val="28"/>
          <w:szCs w:val="28"/>
          <w:lang w:eastAsia="en-US"/>
        </w:rPr>
        <w:t xml:space="preserve"> </w:t>
      </w:r>
      <w:r w:rsidRPr="00520861">
        <w:rPr>
          <w:rFonts w:eastAsiaTheme="minorHAnsi"/>
          <w:sz w:val="28"/>
          <w:szCs w:val="28"/>
          <w:lang w:val="en-US" w:eastAsia="en-US"/>
        </w:rPr>
        <w:t>on</w:t>
      </w:r>
      <w:r w:rsidRPr="00520861">
        <w:rPr>
          <w:rFonts w:eastAsiaTheme="minorHAnsi"/>
          <w:sz w:val="28"/>
          <w:szCs w:val="28"/>
          <w:lang w:eastAsia="en-US"/>
        </w:rPr>
        <w:t xml:space="preserve"> </w:t>
      </w:r>
      <w:r w:rsidRPr="00520861">
        <w:rPr>
          <w:rFonts w:eastAsiaTheme="minorHAnsi"/>
          <w:sz w:val="28"/>
          <w:szCs w:val="28"/>
          <w:lang w:val="en-US" w:eastAsia="en-US"/>
        </w:rPr>
        <w:t>craniofacial</w:t>
      </w:r>
      <w:r w:rsidRPr="00520861">
        <w:rPr>
          <w:rFonts w:eastAsiaTheme="minorHAnsi"/>
          <w:sz w:val="28"/>
          <w:szCs w:val="28"/>
          <w:lang w:eastAsia="en-US"/>
        </w:rPr>
        <w:t xml:space="preserve"> </w:t>
      </w:r>
      <w:r w:rsidRPr="00520861">
        <w:rPr>
          <w:rFonts w:eastAsiaTheme="minorHAnsi"/>
          <w:sz w:val="28"/>
          <w:szCs w:val="28"/>
          <w:lang w:val="en-US" w:eastAsia="en-US"/>
        </w:rPr>
        <w:t>growth</w:t>
      </w:r>
      <w:r w:rsidRPr="00520861">
        <w:rPr>
          <w:rFonts w:eastAsiaTheme="minorHAnsi"/>
          <w:sz w:val="28"/>
          <w:szCs w:val="28"/>
          <w:lang w:eastAsia="en-US"/>
        </w:rPr>
        <w:t xml:space="preserve">. </w:t>
      </w:r>
      <w:r w:rsidRPr="00520861">
        <w:rPr>
          <w:rFonts w:eastAsiaTheme="minorHAnsi"/>
          <w:i/>
          <w:sz w:val="28"/>
          <w:szCs w:val="28"/>
          <w:lang w:val="en-US" w:eastAsia="en-US"/>
        </w:rPr>
        <w:t>Angle</w:t>
      </w:r>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Orthod</w:t>
      </w:r>
      <w:proofErr w:type="spellEnd"/>
      <w:r w:rsidRPr="00520861">
        <w:rPr>
          <w:rFonts w:eastAsiaTheme="minorHAnsi"/>
          <w:sz w:val="28"/>
          <w:szCs w:val="28"/>
          <w:lang w:eastAsia="en-US"/>
        </w:rPr>
        <w:t>. 2006;76(6):</w:t>
      </w:r>
      <w:r w:rsidRPr="00520861">
        <w:rPr>
          <w:rFonts w:eastAsiaTheme="minorHAnsi"/>
          <w:sz w:val="28"/>
          <w:szCs w:val="28"/>
          <w:lang w:val="en-US" w:eastAsia="en-US"/>
        </w:rPr>
        <w:t xml:space="preserve"> </w:t>
      </w:r>
      <w:r w:rsidRPr="00520861">
        <w:rPr>
          <w:rFonts w:eastAsiaTheme="minorHAnsi"/>
          <w:sz w:val="28"/>
          <w:szCs w:val="28"/>
          <w:lang w:eastAsia="en-US"/>
        </w:rPr>
        <w:t>970–</w:t>
      </w:r>
      <w:r w:rsidRPr="00520861">
        <w:rPr>
          <w:rFonts w:eastAsiaTheme="minorHAnsi"/>
          <w:sz w:val="28"/>
          <w:szCs w:val="28"/>
          <w:lang w:val="en-US" w:eastAsia="en-US"/>
        </w:rPr>
        <w:t>97</w:t>
      </w:r>
      <w:r w:rsidRPr="00520861">
        <w:rPr>
          <w:rFonts w:eastAsiaTheme="minorHAnsi"/>
          <w:sz w:val="28"/>
          <w:szCs w:val="28"/>
          <w:lang w:eastAsia="en-US"/>
        </w:rPr>
        <w:t xml:space="preserve">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10.2319/011905-17.</w:t>
      </w:r>
    </w:p>
    <w:p w14:paraId="6B45674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Fuqua</w:t>
      </w:r>
      <w:proofErr w:type="spellEnd"/>
      <w:r w:rsidRPr="00520861">
        <w:rPr>
          <w:rFonts w:eastAsiaTheme="minorHAnsi"/>
          <w:sz w:val="28"/>
          <w:szCs w:val="28"/>
          <w:lang w:eastAsia="en-US"/>
        </w:rPr>
        <w:t xml:space="preserve"> JS, </w:t>
      </w:r>
      <w:proofErr w:type="spellStart"/>
      <w:r w:rsidRPr="00520861">
        <w:rPr>
          <w:rFonts w:eastAsiaTheme="minorHAnsi"/>
          <w:sz w:val="28"/>
          <w:szCs w:val="28"/>
          <w:lang w:eastAsia="en-US"/>
        </w:rPr>
        <w:t>Rogol</w:t>
      </w:r>
      <w:proofErr w:type="spellEnd"/>
      <w:r w:rsidRPr="00520861">
        <w:rPr>
          <w:rFonts w:eastAsiaTheme="minorHAnsi"/>
          <w:sz w:val="28"/>
          <w:szCs w:val="28"/>
          <w:lang w:eastAsia="en-US"/>
        </w:rPr>
        <w:t xml:space="preserve"> AD. </w:t>
      </w:r>
      <w:proofErr w:type="spellStart"/>
      <w:r w:rsidRPr="00520861">
        <w:rPr>
          <w:rFonts w:eastAsiaTheme="minorHAnsi"/>
          <w:sz w:val="28"/>
          <w:szCs w:val="28"/>
          <w:lang w:eastAsia="en-US"/>
        </w:rPr>
        <w:t>Neuroendocrine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alterations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exercising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implications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energy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homeostasis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Metabolism</w:t>
      </w:r>
      <w:proofErr w:type="spellEnd"/>
      <w:r w:rsidRPr="00520861">
        <w:rPr>
          <w:rFonts w:eastAsiaTheme="minorHAnsi"/>
          <w:sz w:val="28"/>
          <w:szCs w:val="28"/>
          <w:lang w:eastAsia="en-US"/>
        </w:rPr>
        <w:t>. 2013</w:t>
      </w:r>
      <w:r w:rsidRPr="00520861">
        <w:rPr>
          <w:rFonts w:eastAsiaTheme="minorHAnsi"/>
          <w:sz w:val="28"/>
          <w:szCs w:val="28"/>
          <w:lang w:val="en-US" w:eastAsia="en-US"/>
        </w:rPr>
        <w:t>;</w:t>
      </w:r>
      <w:r w:rsidRPr="00520861">
        <w:rPr>
          <w:rFonts w:eastAsiaTheme="minorHAnsi"/>
          <w:sz w:val="28"/>
          <w:szCs w:val="28"/>
          <w:lang w:eastAsia="en-US"/>
        </w:rPr>
        <w:t>62(7): 911–</w:t>
      </w:r>
      <w:r w:rsidRPr="00520861">
        <w:rPr>
          <w:rFonts w:eastAsiaTheme="minorHAnsi"/>
          <w:sz w:val="28"/>
          <w:szCs w:val="28"/>
          <w:lang w:val="en-US" w:eastAsia="en-US"/>
        </w:rPr>
        <w:t>9</w:t>
      </w:r>
      <w:r w:rsidRPr="00520861">
        <w:rPr>
          <w:rFonts w:eastAsiaTheme="minorHAnsi"/>
          <w:sz w:val="28"/>
          <w:szCs w:val="28"/>
          <w:lang w:eastAsia="en-US"/>
        </w:rPr>
        <w:t xml:space="preserve">21.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10.1016/j.metabol.2013.01.016.</w:t>
      </w:r>
    </w:p>
    <w:p w14:paraId="6098F46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Gallinari</w:t>
      </w:r>
      <w:proofErr w:type="spellEnd"/>
      <w:r w:rsidRPr="00520861">
        <w:rPr>
          <w:rFonts w:eastAsiaTheme="minorHAnsi"/>
          <w:sz w:val="28"/>
          <w:szCs w:val="28"/>
          <w:lang w:eastAsia="en-US"/>
        </w:rPr>
        <w:t xml:space="preserve"> MO, </w:t>
      </w:r>
      <w:proofErr w:type="spellStart"/>
      <w:r w:rsidRPr="00520861">
        <w:rPr>
          <w:rFonts w:eastAsiaTheme="minorHAnsi"/>
          <w:sz w:val="28"/>
          <w:szCs w:val="28"/>
          <w:lang w:eastAsia="en-US"/>
        </w:rPr>
        <w:t>Cintra</w:t>
      </w:r>
      <w:proofErr w:type="spellEnd"/>
      <w:r w:rsidRPr="00520861">
        <w:rPr>
          <w:rFonts w:eastAsiaTheme="minorHAnsi"/>
          <w:sz w:val="28"/>
          <w:szCs w:val="28"/>
          <w:lang w:eastAsia="en-US"/>
        </w:rPr>
        <w:t xml:space="preserve"> LTÂ, </w:t>
      </w:r>
      <w:proofErr w:type="spellStart"/>
      <w:r w:rsidRPr="00520861">
        <w:rPr>
          <w:rFonts w:eastAsiaTheme="minorHAnsi"/>
          <w:sz w:val="28"/>
          <w:szCs w:val="28"/>
          <w:lang w:eastAsia="en-US"/>
        </w:rPr>
        <w:t>Benetti</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Rahal</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Ervolino</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Briso</w:t>
      </w:r>
      <w:proofErr w:type="spellEnd"/>
      <w:r w:rsidRPr="00520861">
        <w:rPr>
          <w:rFonts w:eastAsiaTheme="minorHAnsi"/>
          <w:sz w:val="28"/>
          <w:szCs w:val="28"/>
          <w:lang w:eastAsia="en-US"/>
        </w:rPr>
        <w:t xml:space="preserve"> ALF. </w:t>
      </w:r>
      <w:proofErr w:type="spellStart"/>
      <w:r w:rsidRPr="00520861">
        <w:rPr>
          <w:rFonts w:eastAsiaTheme="minorHAnsi"/>
          <w:sz w:val="28"/>
          <w:szCs w:val="28"/>
          <w:lang w:eastAsia="en-US"/>
        </w:rPr>
        <w:t>Pulp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response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submitted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bleaching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different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anti-inflammatory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drugs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One</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2019</w:t>
      </w:r>
      <w:r w:rsidRPr="00520861">
        <w:rPr>
          <w:rFonts w:eastAsiaTheme="minorHAnsi"/>
          <w:sz w:val="28"/>
          <w:szCs w:val="28"/>
          <w:lang w:val="en-US" w:eastAsia="en-US"/>
        </w:rPr>
        <w:t xml:space="preserve"> Jan [cited 2020 Mar 3]</w:t>
      </w:r>
      <w:r w:rsidRPr="00520861">
        <w:rPr>
          <w:rFonts w:eastAsiaTheme="minorHAnsi"/>
          <w:sz w:val="28"/>
          <w:szCs w:val="28"/>
          <w:lang w:eastAsia="en-US"/>
        </w:rPr>
        <w:t xml:space="preserve">;14(1): e0210338.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DOI:10.1371/journal.pone.0210338.</w:t>
      </w:r>
    </w:p>
    <w:p w14:paraId="66E5D26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Garcés-Ortíz</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Ledesma-Montes</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Reyes-Gasga</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Scanning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electron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fibrillar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structures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tubules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Endod</w:t>
      </w:r>
      <w:proofErr w:type="spellEnd"/>
      <w:r w:rsidRPr="00520861">
        <w:rPr>
          <w:rFonts w:eastAsiaTheme="minorHAnsi"/>
          <w:sz w:val="28"/>
          <w:szCs w:val="28"/>
          <w:lang w:eastAsia="en-US"/>
        </w:rPr>
        <w:t xml:space="preserve">. 2015;41(9): 1510–1514.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10.1016/j.joen.2015.02.026. </w:t>
      </w:r>
    </w:p>
    <w:p w14:paraId="19C5032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Garcia</w:t>
      </w:r>
      <w:r w:rsidRPr="00520861">
        <w:rPr>
          <w:rFonts w:eastAsiaTheme="minorHAnsi"/>
          <w:sz w:val="28"/>
          <w:szCs w:val="28"/>
          <w:lang w:eastAsia="en-US"/>
        </w:rPr>
        <w:t>-</w:t>
      </w:r>
      <w:r w:rsidRPr="00520861">
        <w:rPr>
          <w:rFonts w:eastAsiaTheme="minorHAnsi"/>
          <w:sz w:val="28"/>
          <w:szCs w:val="28"/>
          <w:lang w:val="en-US" w:eastAsia="en-US"/>
        </w:rPr>
        <w:t>Giralt</w:t>
      </w:r>
      <w:r w:rsidRPr="00520861">
        <w:rPr>
          <w:rFonts w:eastAsiaTheme="minorHAnsi"/>
          <w:sz w:val="28"/>
          <w:szCs w:val="28"/>
          <w:lang w:eastAsia="en-US"/>
        </w:rPr>
        <w:t xml:space="preserve"> </w:t>
      </w:r>
      <w:r w:rsidRPr="00520861">
        <w:rPr>
          <w:rFonts w:eastAsiaTheme="minorHAnsi"/>
          <w:sz w:val="28"/>
          <w:szCs w:val="28"/>
          <w:lang w:val="en-US" w:eastAsia="en-US"/>
        </w:rPr>
        <w:t>N</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Yoskovitz</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G</w:t>
      </w:r>
      <w:r w:rsidRPr="00520861">
        <w:rPr>
          <w:rFonts w:eastAsiaTheme="minorHAnsi"/>
          <w:sz w:val="28"/>
          <w:szCs w:val="28"/>
          <w:lang w:eastAsia="en-US"/>
        </w:rPr>
        <w:t xml:space="preserve">, </w:t>
      </w:r>
      <w:r w:rsidRPr="00520861">
        <w:rPr>
          <w:rFonts w:eastAsiaTheme="minorHAnsi"/>
          <w:sz w:val="28"/>
          <w:szCs w:val="28"/>
          <w:lang w:val="en-US" w:eastAsia="en-US"/>
        </w:rPr>
        <w:t>Rodriguez</w:t>
      </w:r>
      <w:r w:rsidRPr="00520861">
        <w:rPr>
          <w:rFonts w:eastAsiaTheme="minorHAnsi"/>
          <w:sz w:val="28"/>
          <w:szCs w:val="28"/>
          <w:lang w:eastAsia="en-US"/>
        </w:rPr>
        <w:t>-</w:t>
      </w:r>
      <w:r w:rsidRPr="00520861">
        <w:rPr>
          <w:rFonts w:eastAsiaTheme="minorHAnsi"/>
          <w:sz w:val="28"/>
          <w:szCs w:val="28"/>
          <w:lang w:val="en-US" w:eastAsia="en-US"/>
        </w:rPr>
        <w:t>Sanz</w:t>
      </w:r>
      <w:r w:rsidRPr="00520861">
        <w:rPr>
          <w:rFonts w:eastAsiaTheme="minorHAnsi"/>
          <w:sz w:val="28"/>
          <w:szCs w:val="28"/>
          <w:lang w:eastAsia="en-US"/>
        </w:rPr>
        <w:t xml:space="preserve"> </w:t>
      </w:r>
      <w:r w:rsidRPr="00520861">
        <w:rPr>
          <w:rFonts w:eastAsiaTheme="minorHAnsi"/>
          <w:sz w:val="28"/>
          <w:szCs w:val="28"/>
          <w:lang w:val="en-US" w:eastAsia="en-US"/>
        </w:rPr>
        <w:t>M</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Urreizti</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R</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Sarrion</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P</w:t>
      </w:r>
      <w:r w:rsidRPr="00520861">
        <w:rPr>
          <w:rFonts w:eastAsiaTheme="minorHAnsi"/>
          <w:sz w:val="28"/>
          <w:szCs w:val="28"/>
          <w:lang w:eastAsia="en-US"/>
        </w:rPr>
        <w:t xml:space="preserve">, </w:t>
      </w:r>
      <w:r w:rsidRPr="00520861">
        <w:rPr>
          <w:rFonts w:eastAsiaTheme="minorHAnsi"/>
          <w:sz w:val="28"/>
          <w:szCs w:val="28"/>
          <w:lang w:val="en-US" w:eastAsia="en-US"/>
        </w:rPr>
        <w:t>G</w:t>
      </w:r>
      <w:r w:rsidRPr="00520861">
        <w:rPr>
          <w:rFonts w:eastAsiaTheme="minorHAnsi"/>
          <w:sz w:val="28"/>
          <w:szCs w:val="28"/>
          <w:lang w:eastAsia="en-US"/>
        </w:rPr>
        <w:t>ü</w:t>
      </w:r>
      <w:proofErr w:type="spellStart"/>
      <w:r w:rsidRPr="00520861">
        <w:rPr>
          <w:rFonts w:eastAsiaTheme="minorHAnsi"/>
          <w:sz w:val="28"/>
          <w:szCs w:val="28"/>
          <w:lang w:val="en-US" w:eastAsia="en-US"/>
        </w:rPr>
        <w:t>erri</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R</w:t>
      </w:r>
      <w:r w:rsidRPr="00520861">
        <w:rPr>
          <w:rFonts w:eastAsiaTheme="minorHAnsi"/>
          <w:sz w:val="28"/>
          <w:szCs w:val="28"/>
          <w:lang w:eastAsia="en-US"/>
        </w:rPr>
        <w:t xml:space="preserve">, </w:t>
      </w:r>
      <w:r w:rsidRPr="00520861">
        <w:rPr>
          <w:rFonts w:eastAsiaTheme="minorHAnsi"/>
          <w:sz w:val="28"/>
          <w:szCs w:val="28"/>
          <w:lang w:val="en-US" w:eastAsia="en-US"/>
        </w:rPr>
        <w:t>et</w:t>
      </w:r>
      <w:r w:rsidRPr="00520861">
        <w:rPr>
          <w:rFonts w:eastAsiaTheme="minorHAnsi"/>
          <w:sz w:val="28"/>
          <w:szCs w:val="28"/>
          <w:lang w:eastAsia="en-US"/>
        </w:rPr>
        <w:t xml:space="preserve"> </w:t>
      </w:r>
      <w:r w:rsidRPr="00520861">
        <w:rPr>
          <w:rFonts w:eastAsiaTheme="minorHAnsi"/>
          <w:sz w:val="28"/>
          <w:szCs w:val="28"/>
          <w:lang w:val="en-US" w:eastAsia="en-US"/>
        </w:rPr>
        <w:t>al</w:t>
      </w:r>
      <w:r w:rsidRPr="00520861">
        <w:rPr>
          <w:rFonts w:eastAsiaTheme="minorHAnsi"/>
          <w:sz w:val="28"/>
          <w:szCs w:val="28"/>
          <w:lang w:eastAsia="en-US"/>
        </w:rPr>
        <w:t xml:space="preserve">. </w:t>
      </w:r>
      <w:r w:rsidRPr="00520861">
        <w:rPr>
          <w:rFonts w:eastAsiaTheme="minorHAnsi"/>
          <w:sz w:val="28"/>
          <w:szCs w:val="28"/>
          <w:lang w:val="en-US" w:eastAsia="en-US"/>
        </w:rPr>
        <w:t xml:space="preserve">SNPS in the 3'utr of rank determine site-specific low trauma fractures independently of BMD. </w:t>
      </w:r>
      <w:r w:rsidRPr="00520861">
        <w:rPr>
          <w:rFonts w:eastAsiaTheme="minorHAnsi"/>
          <w:i/>
          <w:sz w:val="28"/>
          <w:szCs w:val="28"/>
          <w:lang w:val="en-US" w:eastAsia="en-US"/>
        </w:rPr>
        <w:t xml:space="preserve">Rev </w:t>
      </w:r>
      <w:proofErr w:type="spellStart"/>
      <w:r w:rsidRPr="00520861">
        <w:rPr>
          <w:rFonts w:eastAsiaTheme="minorHAnsi"/>
          <w:i/>
          <w:sz w:val="28"/>
          <w:szCs w:val="28"/>
          <w:lang w:val="en-US" w:eastAsia="en-US"/>
        </w:rPr>
        <w:t>Osteoporos</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val="en-US" w:eastAsia="en-US"/>
        </w:rPr>
        <w:t>Metab</w:t>
      </w:r>
      <w:proofErr w:type="spellEnd"/>
      <w:r w:rsidRPr="00520861">
        <w:rPr>
          <w:rFonts w:eastAsiaTheme="minorHAnsi"/>
          <w:i/>
          <w:sz w:val="28"/>
          <w:szCs w:val="28"/>
          <w:lang w:val="en-US" w:eastAsia="en-US"/>
        </w:rPr>
        <w:t xml:space="preserve"> Miner</w:t>
      </w:r>
      <w:r w:rsidRPr="00520861">
        <w:rPr>
          <w:rFonts w:eastAsiaTheme="minorHAnsi"/>
          <w:sz w:val="28"/>
          <w:szCs w:val="28"/>
          <w:lang w:val="en-US" w:eastAsia="en-US"/>
        </w:rPr>
        <w:t xml:space="preserve">. 2013;5(2): 85–92.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val="en-US" w:eastAsia="en-US"/>
        </w:rPr>
        <w:t>10.4321/S1889-836X2013000200005.</w:t>
      </w:r>
    </w:p>
    <w:p w14:paraId="3617755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Garmash</w:t>
      </w:r>
      <w:proofErr w:type="spellEnd"/>
      <w:r w:rsidRPr="00520861">
        <w:rPr>
          <w:rFonts w:eastAsiaTheme="minorHAnsi"/>
          <w:sz w:val="28"/>
          <w:szCs w:val="28"/>
          <w:lang w:val="en-US" w:eastAsia="en-US"/>
        </w:rPr>
        <w:t xml:space="preserve"> O. An eruption pattern of deciduous teeth in children born with fetal macrosomia during the first year of life. </w:t>
      </w:r>
      <w:r w:rsidRPr="00520861">
        <w:rPr>
          <w:rFonts w:eastAsiaTheme="minorHAnsi"/>
          <w:i/>
          <w:sz w:val="28"/>
          <w:szCs w:val="28"/>
          <w:lang w:val="en-US" w:eastAsia="en-US"/>
        </w:rPr>
        <w:t>Georgian Medical News</w:t>
      </w:r>
      <w:r w:rsidRPr="00520861">
        <w:rPr>
          <w:rFonts w:eastAsiaTheme="minorHAnsi"/>
          <w:sz w:val="28"/>
          <w:szCs w:val="28"/>
          <w:lang w:val="en-US" w:eastAsia="en-US"/>
        </w:rPr>
        <w:t>. 2017;263(2): 14–23.</w:t>
      </w:r>
    </w:p>
    <w:p w14:paraId="3CFD79F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lastRenderedPageBreak/>
        <w:t>Garmash</w:t>
      </w:r>
      <w:proofErr w:type="spellEnd"/>
      <w:r w:rsidRPr="00520861">
        <w:rPr>
          <w:rFonts w:eastAsiaTheme="minorHAnsi"/>
          <w:sz w:val="28"/>
          <w:szCs w:val="28"/>
          <w:lang w:val="en-US" w:eastAsia="en-US"/>
        </w:rPr>
        <w:t xml:space="preserve"> O. Caries intensity and prevalence among 2.5 – </w:t>
      </w:r>
      <w:proofErr w:type="gramStart"/>
      <w:r w:rsidRPr="00520861">
        <w:rPr>
          <w:rFonts w:eastAsiaTheme="minorHAnsi"/>
          <w:sz w:val="28"/>
          <w:szCs w:val="28"/>
          <w:lang w:val="en-US" w:eastAsia="en-US"/>
        </w:rPr>
        <w:t>5 year old</w:t>
      </w:r>
      <w:proofErr w:type="gramEnd"/>
      <w:r w:rsidRPr="00520861">
        <w:rPr>
          <w:rFonts w:eastAsiaTheme="minorHAnsi"/>
          <w:sz w:val="28"/>
          <w:szCs w:val="28"/>
          <w:lang w:val="en-US" w:eastAsia="en-US"/>
        </w:rPr>
        <w:t xml:space="preserve"> children born with macrosomia, living in the northeast of Ukraine. In: </w:t>
      </w:r>
      <w:r w:rsidRPr="00520861">
        <w:rPr>
          <w:rFonts w:eastAsiaTheme="minorHAnsi"/>
          <w:i/>
          <w:sz w:val="28"/>
          <w:szCs w:val="28"/>
          <w:lang w:val="en-US" w:eastAsia="en-US"/>
        </w:rPr>
        <w:t>11th International scientific conference "Environment and the condition of the oral cavity". Lublin, 2018, 20 – 21 April</w:t>
      </w:r>
      <w:r w:rsidRPr="00520861">
        <w:rPr>
          <w:rFonts w:eastAsiaTheme="minorHAnsi"/>
          <w:sz w:val="28"/>
          <w:szCs w:val="28"/>
          <w:lang w:val="en-US" w:eastAsia="en-US"/>
        </w:rPr>
        <w:t>. Lublin: Medical University of Lublin; 2018. p. 43.</w:t>
      </w:r>
    </w:p>
    <w:p w14:paraId="633C35F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Garmash</w:t>
      </w:r>
      <w:proofErr w:type="spellEnd"/>
      <w:r w:rsidRPr="00520861">
        <w:rPr>
          <w:rFonts w:eastAsiaTheme="minorHAnsi"/>
          <w:sz w:val="28"/>
          <w:szCs w:val="28"/>
          <w:lang w:val="en-US" w:eastAsia="en-US"/>
        </w:rPr>
        <w:t xml:space="preserve"> O. Dentoalveolar abnormalities in children born with macrosomia during the period of mixed dental occlusion.</w:t>
      </w:r>
      <w:r w:rsidRPr="00520861">
        <w:rPr>
          <w:rFonts w:eastAsiaTheme="minorHAnsi"/>
          <w:sz w:val="28"/>
          <w:szCs w:val="28"/>
          <w:lang w:eastAsia="en-US"/>
        </w:rPr>
        <w:t xml:space="preserve"> </w:t>
      </w:r>
      <w:r w:rsidRPr="00520861">
        <w:rPr>
          <w:rFonts w:eastAsiaTheme="minorHAnsi"/>
          <w:sz w:val="28"/>
          <w:szCs w:val="28"/>
          <w:lang w:val="en-US" w:eastAsia="en-US"/>
        </w:rPr>
        <w:t>In</w:t>
      </w:r>
      <w:r w:rsidRPr="00520861">
        <w:rPr>
          <w:rFonts w:eastAsiaTheme="minorHAnsi"/>
          <w:sz w:val="28"/>
          <w:szCs w:val="28"/>
          <w:lang w:eastAsia="en-US"/>
        </w:rPr>
        <w:t xml:space="preserve">: Бойчук ТМ, </w:t>
      </w:r>
      <w:proofErr w:type="spellStart"/>
      <w:r w:rsidRPr="00520861">
        <w:rPr>
          <w:rFonts w:eastAsiaTheme="minorHAnsi"/>
          <w:sz w:val="28"/>
          <w:szCs w:val="28"/>
          <w:lang w:eastAsia="en-US"/>
        </w:rPr>
        <w:t>Геруш</w:t>
      </w:r>
      <w:proofErr w:type="spellEnd"/>
      <w:r w:rsidRPr="00520861">
        <w:rPr>
          <w:rFonts w:eastAsiaTheme="minorHAnsi"/>
          <w:sz w:val="28"/>
          <w:szCs w:val="28"/>
          <w:lang w:eastAsia="en-US"/>
        </w:rPr>
        <w:t xml:space="preserve"> ІВ, Іващук ОІ, Батіг ВМ. (</w:t>
      </w:r>
      <w:r w:rsidRPr="00520861">
        <w:rPr>
          <w:rFonts w:eastAsiaTheme="minorHAnsi"/>
          <w:sz w:val="28"/>
          <w:szCs w:val="28"/>
          <w:lang w:val="en-US" w:eastAsia="en-US"/>
        </w:rPr>
        <w:t>eds</w:t>
      </w:r>
      <w:r w:rsidRPr="00520861">
        <w:rPr>
          <w:rFonts w:eastAsiaTheme="minorHAnsi"/>
          <w:sz w:val="28"/>
          <w:szCs w:val="28"/>
          <w:lang w:eastAsia="en-US"/>
        </w:rPr>
        <w:t xml:space="preserve">.) </w:t>
      </w:r>
      <w:r w:rsidRPr="00520861">
        <w:rPr>
          <w:rFonts w:eastAsiaTheme="minorHAnsi"/>
          <w:i/>
          <w:sz w:val="28"/>
          <w:szCs w:val="28"/>
          <w:lang w:eastAsia="en-US"/>
        </w:rPr>
        <w:t>Науково-практична конференція з міжнародною участю "</w:t>
      </w:r>
      <w:proofErr w:type="spellStart"/>
      <w:r w:rsidRPr="00520861">
        <w:rPr>
          <w:rFonts w:eastAsiaTheme="minorHAnsi"/>
          <w:i/>
          <w:sz w:val="28"/>
          <w:szCs w:val="28"/>
          <w:lang w:eastAsia="en-US"/>
        </w:rPr>
        <w:t>Взаємоінтеграція</w:t>
      </w:r>
      <w:proofErr w:type="spellEnd"/>
      <w:r w:rsidRPr="00520861">
        <w:rPr>
          <w:rFonts w:eastAsiaTheme="minorHAnsi"/>
          <w:i/>
          <w:sz w:val="28"/>
          <w:szCs w:val="28"/>
          <w:lang w:eastAsia="en-US"/>
        </w:rPr>
        <w:t xml:space="preserve"> теорії та практики в сучасній стоматології" 16–17 травня 2019 р</w:t>
      </w:r>
      <w:r w:rsidRPr="00520861">
        <w:rPr>
          <w:rFonts w:eastAsiaTheme="minorHAnsi"/>
          <w:sz w:val="28"/>
          <w:szCs w:val="28"/>
          <w:lang w:eastAsia="en-US"/>
        </w:rPr>
        <w:t xml:space="preserve">., </w:t>
      </w:r>
      <w:r w:rsidRPr="00520861">
        <w:rPr>
          <w:rFonts w:eastAsiaTheme="minorHAnsi"/>
          <w:i/>
          <w:sz w:val="28"/>
          <w:szCs w:val="28"/>
          <w:lang w:eastAsia="en-US"/>
        </w:rPr>
        <w:t xml:space="preserve">Чернівці. </w:t>
      </w:r>
      <w:r w:rsidR="004347D5" w:rsidRPr="00520861">
        <w:rPr>
          <w:rFonts w:eastAsiaTheme="minorHAnsi"/>
          <w:i/>
          <w:sz w:val="28"/>
          <w:szCs w:val="28"/>
          <w:lang w:eastAsia="en-US"/>
        </w:rPr>
        <w:br/>
      </w:r>
      <w:r w:rsidRPr="00520861">
        <w:rPr>
          <w:rFonts w:eastAsiaTheme="minorHAnsi"/>
          <w:sz w:val="28"/>
          <w:szCs w:val="28"/>
          <w:lang w:eastAsia="en-US"/>
        </w:rPr>
        <w:t>Чернівці: Буковинський державний медичний ун-т; 2019. с. 3–5.</w:t>
      </w:r>
    </w:p>
    <w:p w14:paraId="17EF4B0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Garmash</w:t>
      </w:r>
      <w:proofErr w:type="spellEnd"/>
      <w:r w:rsidRPr="00520861">
        <w:rPr>
          <w:rFonts w:eastAsiaTheme="minorHAnsi"/>
          <w:sz w:val="28"/>
          <w:szCs w:val="28"/>
          <w:lang w:eastAsia="en-US"/>
        </w:rPr>
        <w:t xml:space="preserve"> O. </w:t>
      </w:r>
      <w:proofErr w:type="spellStart"/>
      <w:r w:rsidRPr="00520861">
        <w:rPr>
          <w:rFonts w:eastAsiaTheme="minorHAnsi"/>
          <w:sz w:val="28"/>
          <w:szCs w:val="28"/>
          <w:lang w:eastAsia="en-US"/>
        </w:rPr>
        <w:t>Dependence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intensity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individuals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kharkiv</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ajacent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areas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population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r w:rsidRPr="00520861">
        <w:rPr>
          <w:rFonts w:eastAsiaTheme="minorHAnsi"/>
          <w:i/>
          <w:sz w:val="28"/>
          <w:szCs w:val="28"/>
          <w:lang w:eastAsia="en-US"/>
        </w:rPr>
        <w:t>Світ медицини та біології</w:t>
      </w:r>
      <w:r w:rsidRPr="00520861">
        <w:rPr>
          <w:rFonts w:eastAsiaTheme="minorHAnsi"/>
          <w:sz w:val="28"/>
          <w:szCs w:val="28"/>
          <w:lang w:eastAsia="en-US"/>
        </w:rPr>
        <w:t xml:space="preserve">. 2019; 69(3): 43–48.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10.26724/2079-8334-2019-3-69-43-48.</w:t>
      </w:r>
    </w:p>
    <w:p w14:paraId="521D2C0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Garmash</w:t>
      </w:r>
      <w:proofErr w:type="spellEnd"/>
      <w:r w:rsidRPr="00520861">
        <w:rPr>
          <w:rFonts w:eastAsiaTheme="minorHAnsi"/>
          <w:sz w:val="28"/>
          <w:szCs w:val="28"/>
          <w:lang w:val="en-US" w:eastAsia="en-US"/>
        </w:rPr>
        <w:t xml:space="preserve"> O. Dependence of deciduous tooth eruption terms and tooth growth rate on the weight-height index at birth in </w:t>
      </w:r>
      <w:proofErr w:type="spellStart"/>
      <w:r w:rsidRPr="00520861">
        <w:rPr>
          <w:rFonts w:eastAsiaTheme="minorHAnsi"/>
          <w:sz w:val="28"/>
          <w:szCs w:val="28"/>
          <w:lang w:val="en-US" w:eastAsia="en-US"/>
        </w:rPr>
        <w:t>macrosomic</w:t>
      </w:r>
      <w:proofErr w:type="spellEnd"/>
      <w:r w:rsidRPr="00520861">
        <w:rPr>
          <w:rFonts w:eastAsiaTheme="minorHAnsi"/>
          <w:sz w:val="28"/>
          <w:szCs w:val="28"/>
          <w:lang w:val="en-US" w:eastAsia="en-US"/>
        </w:rPr>
        <w:t xml:space="preserve"> children over the first year of life. </w:t>
      </w:r>
      <w:r w:rsidRPr="00520861">
        <w:rPr>
          <w:rFonts w:eastAsiaTheme="minorHAnsi"/>
          <w:i/>
          <w:sz w:val="28"/>
          <w:szCs w:val="28"/>
          <w:lang w:val="en-US" w:eastAsia="en-US"/>
        </w:rPr>
        <w:t>Acta Medica (Hradec Kralove)</w:t>
      </w:r>
      <w:r w:rsidRPr="00520861">
        <w:rPr>
          <w:rFonts w:eastAsiaTheme="minorHAnsi"/>
          <w:sz w:val="28"/>
          <w:szCs w:val="28"/>
          <w:lang w:val="en-US" w:eastAsia="en-US"/>
        </w:rPr>
        <w:t>. 2019;62(2): 62–68. Available from: DOI: 10.14712/18059694.2019.48.</w:t>
      </w:r>
    </w:p>
    <w:p w14:paraId="442EA0A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Calibri"/>
          <w:sz w:val="28"/>
          <w:szCs w:val="28"/>
          <w:lang w:val="en-US" w:eastAsia="en-US"/>
        </w:rPr>
        <w:t>Garmash</w:t>
      </w:r>
      <w:proofErr w:type="spellEnd"/>
      <w:r w:rsidRPr="00520861">
        <w:rPr>
          <w:rFonts w:eastAsia="Calibri"/>
          <w:sz w:val="28"/>
          <w:szCs w:val="28"/>
          <w:lang w:val="en-US" w:eastAsia="en-US"/>
        </w:rPr>
        <w:t xml:space="preserve"> O. Prediction of oral disorders risk in newborns and infants born </w:t>
      </w:r>
      <w:proofErr w:type="spellStart"/>
      <w:r w:rsidRPr="00520861">
        <w:rPr>
          <w:rFonts w:eastAsia="Calibri"/>
          <w:sz w:val="28"/>
          <w:szCs w:val="28"/>
          <w:lang w:val="en-US" w:eastAsia="en-US"/>
        </w:rPr>
        <w:t>macrosomic</w:t>
      </w:r>
      <w:proofErr w:type="spellEnd"/>
      <w:r w:rsidRPr="00520861">
        <w:rPr>
          <w:rFonts w:eastAsia="Calibri"/>
          <w:sz w:val="28"/>
          <w:szCs w:val="28"/>
          <w:lang w:val="en-US" w:eastAsia="en-US"/>
        </w:rPr>
        <w:t xml:space="preserve"> using their height-weight index at birth dentistry. </w:t>
      </w:r>
      <w:r w:rsidRPr="00520861">
        <w:rPr>
          <w:rFonts w:eastAsia="Calibri"/>
          <w:i/>
          <w:sz w:val="28"/>
          <w:szCs w:val="28"/>
          <w:lang w:val="en-US" w:eastAsia="en-US"/>
        </w:rPr>
        <w:t xml:space="preserve">Inter </w:t>
      </w:r>
      <w:proofErr w:type="spellStart"/>
      <w:r w:rsidRPr="00520861">
        <w:rPr>
          <w:rFonts w:eastAsia="Calibri"/>
          <w:i/>
          <w:sz w:val="28"/>
          <w:szCs w:val="28"/>
          <w:lang w:val="en-US" w:eastAsia="en-US"/>
        </w:rPr>
        <w:t>Collegas</w:t>
      </w:r>
      <w:proofErr w:type="spellEnd"/>
      <w:r w:rsidRPr="00520861">
        <w:rPr>
          <w:rFonts w:eastAsia="Calibri"/>
          <w:sz w:val="28"/>
          <w:szCs w:val="28"/>
          <w:lang w:val="en-US" w:eastAsia="en-US"/>
        </w:rPr>
        <w:t xml:space="preserve">. 2019;6(3): 179–190. Available from: </w:t>
      </w:r>
      <w:r w:rsidRPr="00520861">
        <w:rPr>
          <w:rFonts w:eastAsiaTheme="minorHAnsi"/>
          <w:sz w:val="28"/>
          <w:szCs w:val="28"/>
          <w:lang w:val="en-US" w:eastAsia="en-US"/>
        </w:rPr>
        <w:t xml:space="preserve">DOI: </w:t>
      </w:r>
      <w:r w:rsidRPr="00520861">
        <w:rPr>
          <w:rFonts w:eastAsia="Calibri"/>
          <w:sz w:val="28"/>
          <w:szCs w:val="28"/>
          <w:lang w:val="en-US" w:eastAsia="en-US"/>
        </w:rPr>
        <w:t>10.35339/ic.6.3.179–190.</w:t>
      </w:r>
    </w:p>
    <w:p w14:paraId="4BD6ACB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Garmash</w:t>
      </w:r>
      <w:proofErr w:type="spellEnd"/>
      <w:r w:rsidRPr="00520861">
        <w:rPr>
          <w:rFonts w:eastAsiaTheme="minorHAnsi"/>
          <w:sz w:val="28"/>
          <w:szCs w:val="28"/>
          <w:lang w:val="en-US" w:eastAsia="en-US"/>
        </w:rPr>
        <w:t xml:space="preserve"> OV. Dentists view on fetal macrosomia. </w:t>
      </w:r>
      <w:proofErr w:type="spellStart"/>
      <w:r w:rsidRPr="00520861">
        <w:rPr>
          <w:rFonts w:eastAsiaTheme="minorHAnsi"/>
          <w:i/>
          <w:sz w:val="28"/>
          <w:szCs w:val="28"/>
          <w:lang w:val="en-US" w:eastAsia="en-US"/>
        </w:rPr>
        <w:t>Світ</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val="en-US" w:eastAsia="en-US"/>
        </w:rPr>
        <w:t>медицини</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val="en-US" w:eastAsia="en-US"/>
        </w:rPr>
        <w:t>та</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val="en-US" w:eastAsia="en-US"/>
        </w:rPr>
        <w:t>біології</w:t>
      </w:r>
      <w:proofErr w:type="spellEnd"/>
      <w:r w:rsidRPr="00520861">
        <w:rPr>
          <w:rFonts w:eastAsiaTheme="minorHAnsi"/>
          <w:sz w:val="28"/>
          <w:szCs w:val="28"/>
          <w:lang w:val="en-US" w:eastAsia="en-US"/>
        </w:rPr>
        <w:t>. 2018;66(4): 40–46.</w:t>
      </w:r>
    </w:p>
    <w:p w14:paraId="05ABE3B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sz w:val="28"/>
          <w:szCs w:val="28"/>
          <w:lang w:eastAsia="en-US"/>
        </w:rPr>
        <w:t>Garmash</w:t>
      </w:r>
      <w:proofErr w:type="spellEnd"/>
      <w:r w:rsidRPr="00520861">
        <w:rPr>
          <w:sz w:val="28"/>
          <w:szCs w:val="28"/>
          <w:lang w:eastAsia="en-US"/>
        </w:rPr>
        <w:t xml:space="preserve"> OV. </w:t>
      </w:r>
      <w:proofErr w:type="spellStart"/>
      <w:r w:rsidRPr="00520861">
        <w:rPr>
          <w:sz w:val="28"/>
          <w:szCs w:val="28"/>
          <w:lang w:eastAsia="en-US"/>
        </w:rPr>
        <w:t>Dependence</w:t>
      </w:r>
      <w:proofErr w:type="spellEnd"/>
      <w:r w:rsidRPr="00520861">
        <w:rPr>
          <w:sz w:val="28"/>
          <w:szCs w:val="28"/>
          <w:lang w:eastAsia="en-US"/>
        </w:rPr>
        <w:t xml:space="preserve"> </w:t>
      </w:r>
      <w:proofErr w:type="spellStart"/>
      <w:r w:rsidRPr="00520861">
        <w:rPr>
          <w:sz w:val="28"/>
          <w:szCs w:val="28"/>
          <w:lang w:eastAsia="en-US"/>
        </w:rPr>
        <w:t>of</w:t>
      </w:r>
      <w:proofErr w:type="spellEnd"/>
      <w:r w:rsidRPr="00520861">
        <w:rPr>
          <w:sz w:val="28"/>
          <w:szCs w:val="28"/>
          <w:lang w:eastAsia="en-US"/>
        </w:rPr>
        <w:t xml:space="preserve"> </w:t>
      </w:r>
      <w:proofErr w:type="spellStart"/>
      <w:r w:rsidRPr="00520861">
        <w:rPr>
          <w:sz w:val="28"/>
          <w:szCs w:val="28"/>
          <w:lang w:eastAsia="en-US"/>
        </w:rPr>
        <w:t>the</w:t>
      </w:r>
      <w:proofErr w:type="spellEnd"/>
      <w:r w:rsidRPr="00520861">
        <w:rPr>
          <w:sz w:val="28"/>
          <w:szCs w:val="28"/>
          <w:lang w:eastAsia="en-US"/>
        </w:rPr>
        <w:t xml:space="preserve"> </w:t>
      </w:r>
      <w:proofErr w:type="spellStart"/>
      <w:r w:rsidRPr="00520861">
        <w:rPr>
          <w:sz w:val="28"/>
          <w:szCs w:val="28"/>
          <w:lang w:eastAsia="en-US"/>
        </w:rPr>
        <w:t>periodontal</w:t>
      </w:r>
      <w:proofErr w:type="spellEnd"/>
      <w:r w:rsidRPr="00520861">
        <w:rPr>
          <w:sz w:val="28"/>
          <w:szCs w:val="28"/>
          <w:lang w:eastAsia="en-US"/>
        </w:rPr>
        <w:t xml:space="preserve"> </w:t>
      </w:r>
      <w:proofErr w:type="spellStart"/>
      <w:r w:rsidRPr="00520861">
        <w:rPr>
          <w:sz w:val="28"/>
          <w:szCs w:val="28"/>
          <w:lang w:eastAsia="en-US"/>
        </w:rPr>
        <w:t>state</w:t>
      </w:r>
      <w:proofErr w:type="spellEnd"/>
      <w:r w:rsidRPr="00520861">
        <w:rPr>
          <w:sz w:val="28"/>
          <w:szCs w:val="28"/>
          <w:lang w:eastAsia="en-US"/>
        </w:rPr>
        <w:t xml:space="preserve"> </w:t>
      </w:r>
      <w:proofErr w:type="spellStart"/>
      <w:r w:rsidRPr="00520861">
        <w:rPr>
          <w:sz w:val="28"/>
          <w:szCs w:val="28"/>
          <w:lang w:eastAsia="en-US"/>
        </w:rPr>
        <w:t>of</w:t>
      </w:r>
      <w:proofErr w:type="spellEnd"/>
      <w:r w:rsidRPr="00520861">
        <w:rPr>
          <w:sz w:val="28"/>
          <w:szCs w:val="28"/>
          <w:lang w:eastAsia="en-US"/>
        </w:rPr>
        <w:t xml:space="preserve"> </w:t>
      </w:r>
      <w:proofErr w:type="spellStart"/>
      <w:r w:rsidRPr="00520861">
        <w:rPr>
          <w:sz w:val="28"/>
          <w:szCs w:val="28"/>
          <w:lang w:eastAsia="en-US"/>
        </w:rPr>
        <w:t>individuals</w:t>
      </w:r>
      <w:proofErr w:type="spellEnd"/>
      <w:r w:rsidRPr="00520861">
        <w:rPr>
          <w:sz w:val="28"/>
          <w:szCs w:val="28"/>
          <w:lang w:eastAsia="en-US"/>
        </w:rPr>
        <w:t xml:space="preserve"> </w:t>
      </w:r>
      <w:proofErr w:type="spellStart"/>
      <w:r w:rsidRPr="00520861">
        <w:rPr>
          <w:sz w:val="28"/>
          <w:szCs w:val="28"/>
          <w:lang w:eastAsia="en-US"/>
        </w:rPr>
        <w:t>who</w:t>
      </w:r>
      <w:proofErr w:type="spellEnd"/>
      <w:r w:rsidRPr="00520861">
        <w:rPr>
          <w:sz w:val="28"/>
          <w:szCs w:val="28"/>
          <w:lang w:eastAsia="en-US"/>
        </w:rPr>
        <w:t xml:space="preserve"> </w:t>
      </w:r>
      <w:proofErr w:type="spellStart"/>
      <w:r w:rsidRPr="00520861">
        <w:rPr>
          <w:sz w:val="28"/>
          <w:szCs w:val="28"/>
          <w:lang w:eastAsia="en-US"/>
        </w:rPr>
        <w:t>were</w:t>
      </w:r>
      <w:proofErr w:type="spellEnd"/>
      <w:r w:rsidRPr="00520861">
        <w:rPr>
          <w:sz w:val="28"/>
          <w:szCs w:val="28"/>
          <w:lang w:eastAsia="en-US"/>
        </w:rPr>
        <w:t xml:space="preserve"> </w:t>
      </w:r>
      <w:proofErr w:type="spellStart"/>
      <w:r w:rsidRPr="00520861">
        <w:rPr>
          <w:sz w:val="28"/>
          <w:szCs w:val="28"/>
          <w:lang w:eastAsia="en-US"/>
        </w:rPr>
        <w:t>born</w:t>
      </w:r>
      <w:proofErr w:type="spellEnd"/>
      <w:r w:rsidRPr="00520861">
        <w:rPr>
          <w:sz w:val="28"/>
          <w:szCs w:val="28"/>
          <w:lang w:eastAsia="en-US"/>
        </w:rPr>
        <w:t xml:space="preserve"> </w:t>
      </w:r>
      <w:proofErr w:type="spellStart"/>
      <w:r w:rsidRPr="00520861">
        <w:rPr>
          <w:sz w:val="28"/>
          <w:szCs w:val="28"/>
          <w:lang w:eastAsia="en-US"/>
        </w:rPr>
        <w:t>macrosomic</w:t>
      </w:r>
      <w:proofErr w:type="spellEnd"/>
      <w:r w:rsidRPr="00520861">
        <w:rPr>
          <w:sz w:val="28"/>
          <w:szCs w:val="28"/>
          <w:lang w:eastAsia="en-US"/>
        </w:rPr>
        <w:t xml:space="preserve"> </w:t>
      </w:r>
      <w:proofErr w:type="spellStart"/>
      <w:r w:rsidRPr="00520861">
        <w:rPr>
          <w:sz w:val="28"/>
          <w:szCs w:val="28"/>
          <w:lang w:eastAsia="en-US"/>
        </w:rPr>
        <w:t>on</w:t>
      </w:r>
      <w:proofErr w:type="spellEnd"/>
      <w:r w:rsidRPr="00520861">
        <w:rPr>
          <w:sz w:val="28"/>
          <w:szCs w:val="28"/>
          <w:lang w:eastAsia="en-US"/>
        </w:rPr>
        <w:t xml:space="preserve"> </w:t>
      </w:r>
      <w:proofErr w:type="spellStart"/>
      <w:r w:rsidRPr="00520861">
        <w:rPr>
          <w:sz w:val="28"/>
          <w:szCs w:val="28"/>
          <w:lang w:eastAsia="en-US"/>
        </w:rPr>
        <w:t>their</w:t>
      </w:r>
      <w:proofErr w:type="spellEnd"/>
      <w:r w:rsidRPr="00520861">
        <w:rPr>
          <w:sz w:val="28"/>
          <w:szCs w:val="28"/>
          <w:lang w:eastAsia="en-US"/>
        </w:rPr>
        <w:t xml:space="preserve"> </w:t>
      </w:r>
      <w:proofErr w:type="spellStart"/>
      <w:r w:rsidRPr="00520861">
        <w:rPr>
          <w:sz w:val="28"/>
          <w:szCs w:val="28"/>
          <w:lang w:eastAsia="en-US"/>
        </w:rPr>
        <w:t>height-weight</w:t>
      </w:r>
      <w:proofErr w:type="spellEnd"/>
      <w:r w:rsidRPr="00520861">
        <w:rPr>
          <w:sz w:val="28"/>
          <w:szCs w:val="28"/>
          <w:lang w:eastAsia="en-US"/>
        </w:rPr>
        <w:t xml:space="preserve"> </w:t>
      </w:r>
      <w:proofErr w:type="spellStart"/>
      <w:r w:rsidRPr="00520861">
        <w:rPr>
          <w:sz w:val="28"/>
          <w:szCs w:val="28"/>
          <w:lang w:eastAsia="en-US"/>
        </w:rPr>
        <w:t>index</w:t>
      </w:r>
      <w:proofErr w:type="spellEnd"/>
      <w:r w:rsidRPr="00520861">
        <w:rPr>
          <w:sz w:val="28"/>
          <w:szCs w:val="28"/>
          <w:lang w:eastAsia="en-US"/>
        </w:rPr>
        <w:t xml:space="preserve"> </w:t>
      </w:r>
      <w:proofErr w:type="spellStart"/>
      <w:r w:rsidRPr="00520861">
        <w:rPr>
          <w:sz w:val="28"/>
          <w:szCs w:val="28"/>
          <w:lang w:eastAsia="en-US"/>
        </w:rPr>
        <w:t>at</w:t>
      </w:r>
      <w:proofErr w:type="spellEnd"/>
      <w:r w:rsidRPr="00520861">
        <w:rPr>
          <w:sz w:val="28"/>
          <w:szCs w:val="28"/>
          <w:lang w:eastAsia="en-US"/>
        </w:rPr>
        <w:t xml:space="preserve"> </w:t>
      </w:r>
      <w:proofErr w:type="spellStart"/>
      <w:r w:rsidRPr="00520861">
        <w:rPr>
          <w:sz w:val="28"/>
          <w:szCs w:val="28"/>
          <w:lang w:eastAsia="en-US"/>
        </w:rPr>
        <w:t>birth</w:t>
      </w:r>
      <w:proofErr w:type="spellEnd"/>
      <w:r w:rsidRPr="00520861">
        <w:rPr>
          <w:sz w:val="28"/>
          <w:szCs w:val="28"/>
          <w:lang w:val="en-US" w:eastAsia="en-US"/>
        </w:rPr>
        <w:t>.</w:t>
      </w:r>
      <w:r w:rsidRPr="00520861">
        <w:rPr>
          <w:sz w:val="28"/>
          <w:szCs w:val="28"/>
          <w:lang w:eastAsia="en-US"/>
        </w:rPr>
        <w:t xml:space="preserve"> </w:t>
      </w:r>
      <w:proofErr w:type="spellStart"/>
      <w:r w:rsidRPr="00520861">
        <w:rPr>
          <w:i/>
          <w:sz w:val="28"/>
          <w:szCs w:val="28"/>
          <w:lang w:eastAsia="en-US"/>
        </w:rPr>
        <w:t>Bukovinian</w:t>
      </w:r>
      <w:proofErr w:type="spellEnd"/>
      <w:r w:rsidRPr="00520861">
        <w:rPr>
          <w:i/>
          <w:sz w:val="28"/>
          <w:szCs w:val="28"/>
          <w:lang w:eastAsia="en-US"/>
        </w:rPr>
        <w:t xml:space="preserve"> </w:t>
      </w:r>
      <w:proofErr w:type="spellStart"/>
      <w:r w:rsidRPr="00520861">
        <w:rPr>
          <w:i/>
          <w:sz w:val="28"/>
          <w:szCs w:val="28"/>
          <w:lang w:eastAsia="en-US"/>
        </w:rPr>
        <w:t>Medical</w:t>
      </w:r>
      <w:proofErr w:type="spellEnd"/>
      <w:r w:rsidRPr="00520861">
        <w:rPr>
          <w:i/>
          <w:sz w:val="28"/>
          <w:szCs w:val="28"/>
          <w:lang w:eastAsia="en-US"/>
        </w:rPr>
        <w:t xml:space="preserve"> </w:t>
      </w:r>
      <w:proofErr w:type="spellStart"/>
      <w:r w:rsidRPr="00520861">
        <w:rPr>
          <w:i/>
          <w:sz w:val="28"/>
          <w:szCs w:val="28"/>
          <w:lang w:eastAsia="en-US"/>
        </w:rPr>
        <w:t>Herald</w:t>
      </w:r>
      <w:proofErr w:type="spellEnd"/>
      <w:r w:rsidRPr="00520861">
        <w:rPr>
          <w:sz w:val="28"/>
          <w:szCs w:val="28"/>
          <w:lang w:eastAsia="en-US"/>
        </w:rPr>
        <w:t xml:space="preserve">. 2020;24(1): 54–66.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DOI: </w:t>
      </w:r>
      <w:r w:rsidRPr="00520861">
        <w:rPr>
          <w:sz w:val="28"/>
          <w:szCs w:val="28"/>
          <w:lang w:eastAsia="en-US"/>
        </w:rPr>
        <w:t>10.24061/2413-0737.XXIV.1.93.2020.8.</w:t>
      </w:r>
    </w:p>
    <w:p w14:paraId="2E4B75B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Garmash</w:t>
      </w:r>
      <w:proofErr w:type="spellEnd"/>
      <w:r w:rsidRPr="00520861">
        <w:rPr>
          <w:rFonts w:eastAsiaTheme="minorHAnsi"/>
          <w:sz w:val="28"/>
          <w:szCs w:val="28"/>
          <w:lang w:eastAsia="en-US"/>
        </w:rPr>
        <w:t xml:space="preserve"> OV.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abnormalities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established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mixed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Wiad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Lek</w:t>
      </w:r>
      <w:proofErr w:type="spellEnd"/>
      <w:r w:rsidRPr="00520861">
        <w:rPr>
          <w:rFonts w:eastAsiaTheme="minorHAnsi"/>
          <w:sz w:val="28"/>
          <w:szCs w:val="28"/>
          <w:lang w:eastAsia="en-US"/>
        </w:rPr>
        <w:t xml:space="preserve">. 2019;72(5 </w:t>
      </w:r>
      <w:proofErr w:type="spellStart"/>
      <w:r w:rsidRPr="00520861">
        <w:rPr>
          <w:rFonts w:eastAsiaTheme="minorHAnsi"/>
          <w:sz w:val="28"/>
          <w:szCs w:val="28"/>
          <w:lang w:eastAsia="en-US"/>
        </w:rPr>
        <w:t>cz</w:t>
      </w:r>
      <w:proofErr w:type="spellEnd"/>
      <w:r w:rsidRPr="00520861">
        <w:rPr>
          <w:rFonts w:eastAsiaTheme="minorHAnsi"/>
          <w:sz w:val="28"/>
          <w:szCs w:val="28"/>
          <w:lang w:eastAsia="en-US"/>
        </w:rPr>
        <w:t xml:space="preserve"> 1):</w:t>
      </w:r>
      <w:r w:rsidRPr="00520861">
        <w:rPr>
          <w:rFonts w:eastAsiaTheme="minorHAnsi"/>
          <w:sz w:val="28"/>
          <w:szCs w:val="28"/>
          <w:lang w:val="en-US" w:eastAsia="en-US"/>
        </w:rPr>
        <w:t xml:space="preserve"> </w:t>
      </w:r>
      <w:r w:rsidRPr="00520861">
        <w:rPr>
          <w:rFonts w:eastAsiaTheme="minorHAnsi"/>
          <w:sz w:val="28"/>
          <w:szCs w:val="28"/>
          <w:lang w:eastAsia="en-US"/>
        </w:rPr>
        <w:t>823–</w:t>
      </w:r>
      <w:r w:rsidRPr="00520861">
        <w:rPr>
          <w:rFonts w:eastAsiaTheme="minorHAnsi"/>
          <w:sz w:val="28"/>
          <w:szCs w:val="28"/>
          <w:lang w:val="en-US" w:eastAsia="en-US"/>
        </w:rPr>
        <w:t>8</w:t>
      </w:r>
      <w:r w:rsidRPr="00520861">
        <w:rPr>
          <w:rFonts w:eastAsiaTheme="minorHAnsi"/>
          <w:sz w:val="28"/>
          <w:szCs w:val="28"/>
          <w:lang w:eastAsia="en-US"/>
        </w:rPr>
        <w:t>31.</w:t>
      </w:r>
    </w:p>
    <w:p w14:paraId="1FEEC01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Garmash</w:t>
      </w:r>
      <w:proofErr w:type="spellEnd"/>
      <w:r w:rsidRPr="00520861">
        <w:rPr>
          <w:rFonts w:eastAsiaTheme="minorHAnsi"/>
          <w:sz w:val="28"/>
          <w:szCs w:val="28"/>
          <w:lang w:val="en-US" w:eastAsia="en-US"/>
        </w:rPr>
        <w:t xml:space="preserve"> OV. Single-nucleotide polymorphism RANKL: C&gt; T [rs9594759] as a</w:t>
      </w:r>
      <w:r w:rsidR="004347D5" w:rsidRPr="00520861">
        <w:rPr>
          <w:rFonts w:eastAsiaTheme="minorHAnsi"/>
          <w:sz w:val="28"/>
          <w:szCs w:val="28"/>
          <w:lang w:val="en-US" w:eastAsia="en-US"/>
        </w:rPr>
        <w:br/>
      </w:r>
      <w:r w:rsidRPr="00520861">
        <w:rPr>
          <w:rFonts w:eastAsiaTheme="minorHAnsi"/>
          <w:sz w:val="28"/>
          <w:szCs w:val="28"/>
          <w:lang w:val="en-US" w:eastAsia="en-US"/>
        </w:rPr>
        <w:t xml:space="preserve"> possible marker for a delay in deciduous teeth eruption in individuals born </w:t>
      </w:r>
      <w:proofErr w:type="spellStart"/>
      <w:r w:rsidRPr="00520861">
        <w:rPr>
          <w:rFonts w:eastAsiaTheme="minorHAnsi"/>
          <w:sz w:val="28"/>
          <w:szCs w:val="28"/>
          <w:lang w:val="en-US" w:eastAsia="en-US"/>
        </w:rPr>
        <w:t>macrosomic</w:t>
      </w:r>
      <w:proofErr w:type="spellEnd"/>
      <w:r w:rsidRPr="00520861">
        <w:rPr>
          <w:rFonts w:eastAsiaTheme="minorHAnsi"/>
          <w:sz w:val="28"/>
          <w:szCs w:val="28"/>
          <w:lang w:val="en-US" w:eastAsia="en-US"/>
        </w:rPr>
        <w:t xml:space="preserve">. In: </w:t>
      </w:r>
      <w:r w:rsidRPr="00520861">
        <w:rPr>
          <w:rFonts w:eastAsiaTheme="minorHAnsi"/>
          <w:i/>
          <w:sz w:val="28"/>
          <w:szCs w:val="28"/>
          <w:lang w:val="en-US" w:eastAsia="en-US"/>
        </w:rPr>
        <w:t xml:space="preserve">12th International Scientific Conference “Environment and the condition of the oral </w:t>
      </w:r>
      <w:r w:rsidRPr="00520861">
        <w:rPr>
          <w:rFonts w:eastAsiaTheme="minorHAnsi"/>
          <w:i/>
          <w:sz w:val="28"/>
          <w:szCs w:val="28"/>
          <w:lang w:val="en-US" w:eastAsia="en-US"/>
        </w:rPr>
        <w:lastRenderedPageBreak/>
        <w:t>cavity” 2019, May 31 – June 01</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i/>
          <w:sz w:val="28"/>
          <w:szCs w:val="28"/>
          <w:lang w:val="en-US" w:eastAsia="en-US"/>
        </w:rPr>
        <w:t>Lublin</w:t>
      </w:r>
      <w:r w:rsidRPr="00520861">
        <w:rPr>
          <w:rFonts w:eastAsiaTheme="minorHAnsi"/>
          <w:i/>
          <w:sz w:val="28"/>
          <w:szCs w:val="28"/>
          <w:lang w:eastAsia="en-US"/>
        </w:rPr>
        <w:t>.</w:t>
      </w:r>
      <w:r w:rsidRPr="00520861">
        <w:rPr>
          <w:rFonts w:eastAsiaTheme="minorHAnsi"/>
          <w:i/>
          <w:sz w:val="28"/>
          <w:szCs w:val="28"/>
          <w:lang w:val="en-US" w:eastAsia="en-US"/>
        </w:rPr>
        <w:t xml:space="preserve"> </w:t>
      </w:r>
      <w:r w:rsidRPr="00520861">
        <w:rPr>
          <w:rFonts w:eastAsiaTheme="minorHAnsi"/>
          <w:sz w:val="28"/>
          <w:szCs w:val="28"/>
          <w:lang w:val="en-US" w:eastAsia="en-US"/>
        </w:rPr>
        <w:t xml:space="preserve">Lublin: Medical University of Lublin; 2019. </w:t>
      </w:r>
      <w:r w:rsidRPr="00520861">
        <w:rPr>
          <w:rFonts w:eastAsiaTheme="minorHAnsi"/>
          <w:sz w:val="28"/>
          <w:szCs w:val="28"/>
          <w:lang w:val="ru-RU" w:eastAsia="en-US"/>
        </w:rPr>
        <w:t>р</w:t>
      </w:r>
      <w:r w:rsidRPr="00520861">
        <w:rPr>
          <w:rFonts w:eastAsiaTheme="minorHAnsi"/>
          <w:sz w:val="28"/>
          <w:szCs w:val="28"/>
          <w:lang w:val="en-US" w:eastAsia="en-US"/>
        </w:rPr>
        <w:t>. 17.</w:t>
      </w:r>
    </w:p>
    <w:p w14:paraId="254C4CC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Garmash</w:t>
      </w:r>
      <w:proofErr w:type="spellEnd"/>
      <w:r w:rsidRPr="00520861">
        <w:rPr>
          <w:rFonts w:eastAsiaTheme="minorHAnsi"/>
          <w:sz w:val="28"/>
          <w:szCs w:val="28"/>
          <w:lang w:val="en-US" w:eastAsia="en-US"/>
        </w:rPr>
        <w:t xml:space="preserve"> O, </w:t>
      </w:r>
      <w:proofErr w:type="spellStart"/>
      <w:r w:rsidRPr="00520861">
        <w:rPr>
          <w:rFonts w:eastAsiaTheme="minorHAnsi"/>
          <w:sz w:val="28"/>
          <w:szCs w:val="28"/>
          <w:lang w:val="en-US" w:eastAsia="en-US"/>
        </w:rPr>
        <w:t>Gubina-Vakulik</w:t>
      </w:r>
      <w:proofErr w:type="spellEnd"/>
      <w:r w:rsidRPr="00520861">
        <w:rPr>
          <w:rFonts w:eastAsiaTheme="minorHAnsi"/>
          <w:sz w:val="28"/>
          <w:szCs w:val="28"/>
          <w:lang w:val="en-US" w:eastAsia="en-US"/>
        </w:rPr>
        <w:t xml:space="preserve"> G, </w:t>
      </w:r>
      <w:proofErr w:type="spellStart"/>
      <w:r w:rsidRPr="00520861">
        <w:rPr>
          <w:rFonts w:eastAsiaTheme="minorHAnsi"/>
          <w:sz w:val="28"/>
          <w:szCs w:val="28"/>
          <w:lang w:val="en-US" w:eastAsia="en-US"/>
        </w:rPr>
        <w:t>Vondrášek</w:t>
      </w:r>
      <w:proofErr w:type="spellEnd"/>
      <w:r w:rsidRPr="00520861">
        <w:rPr>
          <w:rFonts w:eastAsiaTheme="minorHAnsi"/>
          <w:sz w:val="28"/>
          <w:szCs w:val="28"/>
          <w:lang w:val="en-US" w:eastAsia="en-US"/>
        </w:rPr>
        <w:t xml:space="preserve"> D. Histological features of oral cavity mucous membrane epithelium in six-month-old experimental animals born with macrosomia. </w:t>
      </w:r>
      <w:r w:rsidRPr="00520861">
        <w:rPr>
          <w:rFonts w:eastAsiaTheme="minorHAnsi"/>
          <w:i/>
          <w:sz w:val="28"/>
          <w:szCs w:val="28"/>
          <w:lang w:val="en-US" w:eastAsia="en-US"/>
        </w:rPr>
        <w:t>Acta medica</w:t>
      </w:r>
      <w:r w:rsidRPr="00520861">
        <w:rPr>
          <w:rFonts w:eastAsiaTheme="minorHAnsi"/>
          <w:sz w:val="28"/>
          <w:szCs w:val="28"/>
          <w:lang w:val="en-US" w:eastAsia="en-US"/>
        </w:rPr>
        <w:t>. 2019;61(4): 137–143.</w:t>
      </w:r>
    </w:p>
    <w:p w14:paraId="7B2A7C5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proofErr w:type="spellStart"/>
      <w:r w:rsidRPr="00520861">
        <w:rPr>
          <w:rFonts w:eastAsiaTheme="minorHAnsi"/>
          <w:sz w:val="28"/>
          <w:szCs w:val="28"/>
          <w:lang w:val="en-US" w:eastAsia="en-US"/>
        </w:rPr>
        <w:t>Garmash</w:t>
      </w:r>
      <w:proofErr w:type="spellEnd"/>
      <w:r w:rsidRPr="00520861">
        <w:rPr>
          <w:rFonts w:eastAsiaTheme="minorHAnsi"/>
          <w:sz w:val="28"/>
          <w:szCs w:val="28"/>
          <w:lang w:val="en-US" w:eastAsia="en-US"/>
        </w:rPr>
        <w:t xml:space="preserve"> O, </w:t>
      </w:r>
      <w:proofErr w:type="spellStart"/>
      <w:r w:rsidRPr="00520861">
        <w:rPr>
          <w:rFonts w:eastAsiaTheme="minorHAnsi"/>
          <w:sz w:val="28"/>
          <w:szCs w:val="28"/>
          <w:lang w:val="en-US" w:eastAsia="en-US"/>
        </w:rPr>
        <w:t>Gubina-Vakulik</w:t>
      </w:r>
      <w:proofErr w:type="spellEnd"/>
      <w:r w:rsidRPr="00520861">
        <w:rPr>
          <w:rFonts w:eastAsiaTheme="minorHAnsi"/>
          <w:sz w:val="28"/>
          <w:szCs w:val="28"/>
          <w:lang w:val="en-US" w:eastAsia="en-US"/>
        </w:rPr>
        <w:t xml:space="preserve"> G, </w:t>
      </w:r>
      <w:proofErr w:type="spellStart"/>
      <w:r w:rsidRPr="00520861">
        <w:rPr>
          <w:rFonts w:eastAsiaTheme="minorHAnsi"/>
          <w:sz w:val="28"/>
          <w:szCs w:val="28"/>
          <w:lang w:val="en-US" w:eastAsia="en-US"/>
        </w:rPr>
        <w:t>Vondrášek</w:t>
      </w:r>
      <w:proofErr w:type="spellEnd"/>
      <w:r w:rsidRPr="00520861">
        <w:rPr>
          <w:rFonts w:eastAsiaTheme="minorHAnsi"/>
          <w:sz w:val="28"/>
          <w:szCs w:val="28"/>
          <w:lang w:val="en-US" w:eastAsia="en-US"/>
        </w:rPr>
        <w:t xml:space="preserve"> D. </w:t>
      </w:r>
      <w:proofErr w:type="gramStart"/>
      <w:r w:rsidRPr="00520861">
        <w:rPr>
          <w:rFonts w:eastAsiaTheme="minorHAnsi"/>
          <w:sz w:val="28"/>
          <w:szCs w:val="28"/>
          <w:lang w:val="en-US" w:eastAsia="en-US"/>
        </w:rPr>
        <w:t>Three dimensional</w:t>
      </w:r>
      <w:proofErr w:type="gramEnd"/>
      <w:r w:rsidRPr="00520861">
        <w:rPr>
          <w:rFonts w:eastAsiaTheme="minorHAnsi"/>
          <w:sz w:val="28"/>
          <w:szCs w:val="28"/>
          <w:lang w:val="en-US" w:eastAsia="en-US"/>
        </w:rPr>
        <w:t xml:space="preserve"> image analysis of minor salivary glands in 180-day rats born with macrosomia. </w:t>
      </w:r>
      <w:r w:rsidRPr="00520861">
        <w:rPr>
          <w:rFonts w:eastAsiaTheme="minorHAnsi"/>
          <w:i/>
          <w:sz w:val="28"/>
          <w:szCs w:val="28"/>
          <w:lang w:val="en-US" w:eastAsia="en-US"/>
        </w:rPr>
        <w:t>Med J (</w:t>
      </w:r>
      <w:proofErr w:type="spellStart"/>
      <w:r w:rsidRPr="00520861">
        <w:rPr>
          <w:rFonts w:eastAsiaTheme="minorHAnsi"/>
          <w:i/>
          <w:sz w:val="28"/>
          <w:szCs w:val="28"/>
          <w:lang w:val="en-US" w:eastAsia="en-US"/>
        </w:rPr>
        <w:t>Krag</w:t>
      </w:r>
      <w:proofErr w:type="spellEnd"/>
      <w:r w:rsidRPr="00520861">
        <w:rPr>
          <w:rFonts w:eastAsiaTheme="minorHAnsi"/>
          <w:i/>
          <w:sz w:val="28"/>
          <w:szCs w:val="28"/>
          <w:lang w:val="en-US" w:eastAsia="en-US"/>
        </w:rPr>
        <w:t>)</w:t>
      </w:r>
      <w:r w:rsidRPr="00520861">
        <w:rPr>
          <w:rFonts w:eastAsiaTheme="minorHAnsi"/>
          <w:sz w:val="28"/>
          <w:szCs w:val="28"/>
          <w:lang w:val="en-US" w:eastAsia="en-US"/>
        </w:rPr>
        <w:t>. 2018; 52(1): 7–14. Available from: DOI: 10.5937/mckg52-16885.</w:t>
      </w:r>
    </w:p>
    <w:p w14:paraId="27F197E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Garmash</w:t>
      </w:r>
      <w:proofErr w:type="spellEnd"/>
      <w:r w:rsidRPr="00520861">
        <w:rPr>
          <w:rFonts w:eastAsiaTheme="minorHAnsi"/>
          <w:sz w:val="28"/>
          <w:szCs w:val="28"/>
          <w:lang w:eastAsia="en-US"/>
        </w:rPr>
        <w:t xml:space="preserve"> OV, </w:t>
      </w:r>
      <w:proofErr w:type="spellStart"/>
      <w:r w:rsidRPr="00520861">
        <w:rPr>
          <w:rFonts w:eastAsiaTheme="minorHAnsi"/>
          <w:sz w:val="28"/>
          <w:szCs w:val="28"/>
          <w:lang w:eastAsia="en-US"/>
        </w:rPr>
        <w:t>Rossokha</w:t>
      </w:r>
      <w:proofErr w:type="spellEnd"/>
      <w:r w:rsidRPr="00520861">
        <w:rPr>
          <w:rFonts w:eastAsiaTheme="minorHAnsi"/>
          <w:sz w:val="28"/>
          <w:szCs w:val="28"/>
          <w:lang w:eastAsia="en-US"/>
        </w:rPr>
        <w:t xml:space="preserve"> ZI, </w:t>
      </w:r>
      <w:proofErr w:type="spellStart"/>
      <w:r w:rsidRPr="00520861">
        <w:rPr>
          <w:rFonts w:eastAsiaTheme="minorHAnsi"/>
          <w:sz w:val="28"/>
          <w:szCs w:val="28"/>
          <w:lang w:eastAsia="en-US"/>
        </w:rPr>
        <w:t>Gorovenko</w:t>
      </w:r>
      <w:proofErr w:type="spellEnd"/>
      <w:r w:rsidRPr="00520861">
        <w:rPr>
          <w:rFonts w:eastAsiaTheme="minorHAnsi"/>
          <w:sz w:val="28"/>
          <w:szCs w:val="28"/>
          <w:lang w:eastAsia="en-US"/>
        </w:rPr>
        <w:t xml:space="preserve"> NG.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RANKL [rs9594759]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IL10 [rs1800896]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deciduous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terms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ukrainians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macrosomic</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Wiadomosci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lekarskie</w:t>
      </w:r>
      <w:proofErr w:type="spellEnd"/>
      <w:r w:rsidRPr="00520861">
        <w:rPr>
          <w:rFonts w:eastAsiaTheme="minorHAnsi"/>
          <w:sz w:val="28"/>
          <w:szCs w:val="28"/>
          <w:lang w:eastAsia="en-US"/>
        </w:rPr>
        <w:t>. 2020;73(2): 342– 351.</w:t>
      </w:r>
    </w:p>
    <w:p w14:paraId="7A5C976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proofErr w:type="spellStart"/>
      <w:r w:rsidRPr="00520861">
        <w:rPr>
          <w:rFonts w:eastAsiaTheme="minorHAnsi"/>
          <w:sz w:val="28"/>
          <w:szCs w:val="28"/>
          <w:lang w:val="en-US" w:eastAsia="en-US"/>
        </w:rPr>
        <w:t>Garmash</w:t>
      </w:r>
      <w:proofErr w:type="spellEnd"/>
      <w:r w:rsidRPr="00520861">
        <w:rPr>
          <w:rFonts w:eastAsiaTheme="minorHAnsi"/>
          <w:sz w:val="28"/>
          <w:szCs w:val="28"/>
          <w:lang w:val="en-US" w:eastAsia="en-US"/>
        </w:rPr>
        <w:t xml:space="preserve"> OV, </w:t>
      </w:r>
      <w:proofErr w:type="spellStart"/>
      <w:r w:rsidRPr="00520861">
        <w:rPr>
          <w:rFonts w:eastAsiaTheme="minorHAnsi"/>
          <w:sz w:val="28"/>
          <w:szCs w:val="28"/>
          <w:lang w:val="en-US" w:eastAsia="en-US"/>
        </w:rPr>
        <w:t>Ryabokon</w:t>
      </w:r>
      <w:proofErr w:type="spellEnd"/>
      <w:r w:rsidRPr="00520861">
        <w:rPr>
          <w:rFonts w:eastAsiaTheme="minorHAnsi"/>
          <w:sz w:val="28"/>
          <w:szCs w:val="28"/>
          <w:lang w:val="en-US" w:eastAsia="en-US"/>
        </w:rPr>
        <w:t xml:space="preserve"> EN. The effect of fetal macrosomia on the neonate and </w:t>
      </w:r>
      <w:r w:rsidR="004347D5" w:rsidRPr="00520861">
        <w:rPr>
          <w:rFonts w:eastAsiaTheme="minorHAnsi"/>
          <w:sz w:val="28"/>
          <w:szCs w:val="28"/>
          <w:lang w:val="en-US" w:eastAsia="en-US"/>
        </w:rPr>
        <w:br/>
      </w:r>
      <w:r w:rsidRPr="00520861">
        <w:rPr>
          <w:rFonts w:eastAsiaTheme="minorHAnsi"/>
          <w:sz w:val="28"/>
          <w:szCs w:val="28"/>
          <w:lang w:val="en-US" w:eastAsia="en-US"/>
        </w:rPr>
        <w:t xml:space="preserve">infant dental health. </w:t>
      </w:r>
      <w:r w:rsidRPr="00520861">
        <w:rPr>
          <w:rFonts w:eastAsiaTheme="minorHAnsi"/>
          <w:i/>
          <w:sz w:val="28"/>
          <w:szCs w:val="28"/>
          <w:lang w:val="en-US" w:eastAsia="en-US"/>
        </w:rPr>
        <w:t>International Journal of Clinical Dentistry</w:t>
      </w:r>
      <w:r w:rsidRPr="00520861">
        <w:rPr>
          <w:rFonts w:eastAsiaTheme="minorHAnsi"/>
          <w:sz w:val="28"/>
          <w:szCs w:val="28"/>
          <w:lang w:val="en-US" w:eastAsia="en-US"/>
        </w:rPr>
        <w:t>. 2017;10(3): 199–210.</w:t>
      </w:r>
    </w:p>
    <w:p w14:paraId="4D2A7176"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val="en-GB" w:eastAsia="en-US"/>
        </w:rPr>
      </w:pPr>
      <w:r w:rsidRPr="00520861">
        <w:rPr>
          <w:rFonts w:eastAsia="Calibri"/>
          <w:sz w:val="28"/>
          <w:szCs w:val="28"/>
          <w:lang w:val="en-GB" w:eastAsia="en-US"/>
        </w:rPr>
        <w:t>Garrido</w:t>
      </w:r>
      <w:r w:rsidRPr="00520861">
        <w:rPr>
          <w:rFonts w:eastAsia="Calibri"/>
          <w:sz w:val="28"/>
          <w:szCs w:val="28"/>
          <w:lang w:eastAsia="en-US"/>
        </w:rPr>
        <w:t xml:space="preserve"> </w:t>
      </w:r>
      <w:r w:rsidRPr="00520861">
        <w:rPr>
          <w:rFonts w:eastAsia="Calibri"/>
          <w:sz w:val="28"/>
          <w:szCs w:val="28"/>
          <w:lang w:val="en-GB" w:eastAsia="en-US"/>
        </w:rPr>
        <w:t>M</w:t>
      </w:r>
      <w:r w:rsidRPr="00520861">
        <w:rPr>
          <w:rFonts w:eastAsia="Calibri"/>
          <w:sz w:val="28"/>
          <w:szCs w:val="28"/>
          <w:lang w:eastAsia="en-US"/>
        </w:rPr>
        <w:t xml:space="preserve">, </w:t>
      </w:r>
      <w:proofErr w:type="spellStart"/>
      <w:r w:rsidRPr="00520861">
        <w:rPr>
          <w:rFonts w:eastAsia="Calibri"/>
          <w:sz w:val="28"/>
          <w:szCs w:val="28"/>
          <w:lang w:val="en-GB" w:eastAsia="en-US"/>
        </w:rPr>
        <w:t>Dezerega</w:t>
      </w:r>
      <w:proofErr w:type="spellEnd"/>
      <w:r w:rsidRPr="00520861">
        <w:rPr>
          <w:rFonts w:eastAsia="Calibri"/>
          <w:sz w:val="28"/>
          <w:szCs w:val="28"/>
          <w:lang w:eastAsia="en-US"/>
        </w:rPr>
        <w:t xml:space="preserve"> </w:t>
      </w:r>
      <w:r w:rsidRPr="00520861">
        <w:rPr>
          <w:rFonts w:eastAsia="Calibri"/>
          <w:sz w:val="28"/>
          <w:szCs w:val="28"/>
          <w:lang w:val="en-GB" w:eastAsia="en-US"/>
        </w:rPr>
        <w:t>A</w:t>
      </w:r>
      <w:r w:rsidRPr="00520861">
        <w:rPr>
          <w:rFonts w:eastAsia="Calibri"/>
          <w:sz w:val="28"/>
          <w:szCs w:val="28"/>
          <w:lang w:eastAsia="en-US"/>
        </w:rPr>
        <w:t xml:space="preserve">, </w:t>
      </w:r>
      <w:proofErr w:type="spellStart"/>
      <w:r w:rsidRPr="00520861">
        <w:rPr>
          <w:rFonts w:eastAsia="Calibri"/>
          <w:sz w:val="28"/>
          <w:szCs w:val="28"/>
          <w:lang w:val="en-GB" w:eastAsia="en-US"/>
        </w:rPr>
        <w:t>Bordagaray</w:t>
      </w:r>
      <w:proofErr w:type="spellEnd"/>
      <w:r w:rsidRPr="00520861">
        <w:rPr>
          <w:rFonts w:eastAsia="Calibri"/>
          <w:sz w:val="28"/>
          <w:szCs w:val="28"/>
          <w:lang w:eastAsia="en-US"/>
        </w:rPr>
        <w:t xml:space="preserve"> </w:t>
      </w:r>
      <w:r w:rsidRPr="00520861">
        <w:rPr>
          <w:rFonts w:eastAsia="Calibri"/>
          <w:sz w:val="28"/>
          <w:szCs w:val="28"/>
          <w:lang w:val="en-GB" w:eastAsia="en-US"/>
        </w:rPr>
        <w:t>MJ</w:t>
      </w:r>
      <w:r w:rsidRPr="00520861">
        <w:rPr>
          <w:rFonts w:eastAsia="Calibri"/>
          <w:sz w:val="28"/>
          <w:szCs w:val="28"/>
          <w:lang w:eastAsia="en-US"/>
        </w:rPr>
        <w:t xml:space="preserve">, </w:t>
      </w:r>
      <w:r w:rsidRPr="00520861">
        <w:rPr>
          <w:rFonts w:eastAsia="Calibri"/>
          <w:sz w:val="28"/>
          <w:szCs w:val="28"/>
          <w:lang w:val="en-GB" w:eastAsia="en-US"/>
        </w:rPr>
        <w:t>Reyes</w:t>
      </w:r>
      <w:r w:rsidRPr="00520861">
        <w:rPr>
          <w:rFonts w:eastAsia="Calibri"/>
          <w:sz w:val="28"/>
          <w:szCs w:val="28"/>
          <w:lang w:eastAsia="en-US"/>
        </w:rPr>
        <w:t xml:space="preserve"> </w:t>
      </w:r>
      <w:r w:rsidRPr="00520861">
        <w:rPr>
          <w:rFonts w:eastAsia="Calibri"/>
          <w:sz w:val="28"/>
          <w:szCs w:val="28"/>
          <w:lang w:val="en-GB" w:eastAsia="en-US"/>
        </w:rPr>
        <w:t>M</w:t>
      </w:r>
      <w:r w:rsidRPr="00520861">
        <w:rPr>
          <w:rFonts w:eastAsia="Calibri"/>
          <w:sz w:val="28"/>
          <w:szCs w:val="28"/>
          <w:lang w:eastAsia="en-US"/>
        </w:rPr>
        <w:t xml:space="preserve">, </w:t>
      </w:r>
      <w:r w:rsidRPr="00520861">
        <w:rPr>
          <w:rFonts w:eastAsia="Calibri"/>
          <w:sz w:val="28"/>
          <w:szCs w:val="28"/>
          <w:lang w:val="en-GB" w:eastAsia="en-US"/>
        </w:rPr>
        <w:t>Vernal</w:t>
      </w:r>
      <w:r w:rsidRPr="00520861">
        <w:rPr>
          <w:rFonts w:eastAsia="Calibri"/>
          <w:sz w:val="28"/>
          <w:szCs w:val="28"/>
          <w:lang w:eastAsia="en-US"/>
        </w:rPr>
        <w:t xml:space="preserve"> </w:t>
      </w:r>
      <w:r w:rsidRPr="00520861">
        <w:rPr>
          <w:rFonts w:eastAsia="Calibri"/>
          <w:sz w:val="28"/>
          <w:szCs w:val="28"/>
          <w:lang w:val="en-GB" w:eastAsia="en-US"/>
        </w:rPr>
        <w:t>R</w:t>
      </w:r>
      <w:r w:rsidRPr="00520861">
        <w:rPr>
          <w:rFonts w:eastAsia="Calibri"/>
          <w:sz w:val="28"/>
          <w:szCs w:val="28"/>
          <w:lang w:eastAsia="en-US"/>
        </w:rPr>
        <w:t xml:space="preserve">, </w:t>
      </w:r>
      <w:proofErr w:type="spellStart"/>
      <w:r w:rsidRPr="00520861">
        <w:rPr>
          <w:rFonts w:eastAsia="Calibri"/>
          <w:sz w:val="28"/>
          <w:szCs w:val="28"/>
          <w:lang w:val="en-GB" w:eastAsia="en-US"/>
        </w:rPr>
        <w:t>Melgar</w:t>
      </w:r>
      <w:proofErr w:type="spellEnd"/>
      <w:r w:rsidRPr="00520861">
        <w:rPr>
          <w:rFonts w:eastAsia="Calibri"/>
          <w:sz w:val="28"/>
          <w:szCs w:val="28"/>
          <w:lang w:eastAsia="en-US"/>
        </w:rPr>
        <w:t>-</w:t>
      </w:r>
      <w:proofErr w:type="spellStart"/>
      <w:r w:rsidRPr="00520861">
        <w:rPr>
          <w:rFonts w:eastAsia="Calibri"/>
          <w:sz w:val="28"/>
          <w:szCs w:val="28"/>
          <w:lang w:val="en-GB" w:eastAsia="en-US"/>
        </w:rPr>
        <w:t>Rodr</w:t>
      </w:r>
      <w:proofErr w:type="spellEnd"/>
      <w:r w:rsidRPr="00520861">
        <w:rPr>
          <w:rFonts w:eastAsia="Calibri"/>
          <w:sz w:val="28"/>
          <w:szCs w:val="28"/>
          <w:lang w:eastAsia="en-US"/>
        </w:rPr>
        <w:t>í</w:t>
      </w:r>
      <w:proofErr w:type="spellStart"/>
      <w:r w:rsidRPr="00520861">
        <w:rPr>
          <w:rFonts w:eastAsia="Calibri"/>
          <w:sz w:val="28"/>
          <w:szCs w:val="28"/>
          <w:lang w:val="en-GB" w:eastAsia="en-US"/>
        </w:rPr>
        <w:t>guez</w:t>
      </w:r>
      <w:proofErr w:type="spellEnd"/>
      <w:r w:rsidRPr="00520861">
        <w:rPr>
          <w:rFonts w:eastAsia="Calibri"/>
          <w:sz w:val="28"/>
          <w:szCs w:val="28"/>
          <w:lang w:eastAsia="en-US"/>
        </w:rPr>
        <w:t xml:space="preserve"> </w:t>
      </w:r>
      <w:r w:rsidRPr="00520861">
        <w:rPr>
          <w:rFonts w:eastAsia="Calibri"/>
          <w:sz w:val="28"/>
          <w:szCs w:val="28"/>
          <w:lang w:val="en-GB" w:eastAsia="en-US"/>
        </w:rPr>
        <w:t>S</w:t>
      </w:r>
      <w:r w:rsidRPr="00520861">
        <w:rPr>
          <w:rFonts w:eastAsia="Calibri"/>
          <w:sz w:val="28"/>
          <w:szCs w:val="28"/>
          <w:lang w:eastAsia="en-US"/>
        </w:rPr>
        <w:t xml:space="preserve">, </w:t>
      </w:r>
      <w:r w:rsidRPr="00520861">
        <w:rPr>
          <w:rFonts w:eastAsia="Calibri"/>
          <w:sz w:val="28"/>
          <w:szCs w:val="28"/>
          <w:lang w:val="en-GB" w:eastAsia="en-US"/>
        </w:rPr>
        <w:t>et</w:t>
      </w:r>
      <w:r w:rsidRPr="00520861">
        <w:rPr>
          <w:rFonts w:eastAsia="Calibri"/>
          <w:sz w:val="28"/>
          <w:szCs w:val="28"/>
          <w:lang w:eastAsia="en-US"/>
        </w:rPr>
        <w:t xml:space="preserve"> </w:t>
      </w:r>
      <w:r w:rsidRPr="00520861">
        <w:rPr>
          <w:rFonts w:eastAsia="Calibri"/>
          <w:sz w:val="28"/>
          <w:szCs w:val="28"/>
          <w:lang w:val="en-GB" w:eastAsia="en-US"/>
        </w:rPr>
        <w:t>al</w:t>
      </w:r>
      <w:r w:rsidRPr="00520861">
        <w:rPr>
          <w:rFonts w:eastAsia="Calibri"/>
          <w:sz w:val="28"/>
          <w:szCs w:val="28"/>
          <w:lang w:eastAsia="en-US"/>
        </w:rPr>
        <w:t xml:space="preserve">. </w:t>
      </w:r>
      <w:r w:rsidRPr="00520861">
        <w:rPr>
          <w:rFonts w:eastAsia="Calibri"/>
          <w:sz w:val="28"/>
          <w:szCs w:val="28"/>
          <w:lang w:val="en-GB" w:eastAsia="en-US"/>
        </w:rPr>
        <w:t xml:space="preserve">C-reactive protein expression is up-regulated in apical lesions of endodontic origin in association with Interleukin-6. </w:t>
      </w:r>
      <w:r w:rsidRPr="00520861">
        <w:rPr>
          <w:rFonts w:eastAsia="Calibri"/>
          <w:i/>
          <w:sz w:val="28"/>
          <w:szCs w:val="28"/>
          <w:lang w:val="en-GB" w:eastAsia="en-US"/>
        </w:rPr>
        <w:t xml:space="preserve">J </w:t>
      </w:r>
      <w:proofErr w:type="spellStart"/>
      <w:r w:rsidRPr="00520861">
        <w:rPr>
          <w:rFonts w:eastAsia="Calibri"/>
          <w:i/>
          <w:sz w:val="28"/>
          <w:szCs w:val="28"/>
          <w:lang w:val="en-GB" w:eastAsia="en-US"/>
        </w:rPr>
        <w:t>Endod</w:t>
      </w:r>
      <w:proofErr w:type="spellEnd"/>
      <w:r w:rsidRPr="00520861">
        <w:rPr>
          <w:rFonts w:eastAsia="Calibri"/>
          <w:sz w:val="28"/>
          <w:szCs w:val="28"/>
          <w:lang w:eastAsia="en-US"/>
        </w:rPr>
        <w:t>.</w:t>
      </w:r>
      <w:r w:rsidRPr="00520861">
        <w:rPr>
          <w:rFonts w:eastAsia="Calibri"/>
          <w:sz w:val="28"/>
          <w:szCs w:val="28"/>
          <w:lang w:val="en-GB" w:eastAsia="en-US"/>
        </w:rPr>
        <w:t xml:space="preserve"> 2015;41: 464–469.</w:t>
      </w:r>
    </w:p>
    <w:p w14:paraId="704FAAA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Geraets</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Jonasson</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Hakeberg</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Predicting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fractures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using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trabecular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patterns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panoramic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radiographs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Investig</w:t>
      </w:r>
      <w:proofErr w:type="spellEnd"/>
      <w:r w:rsidRPr="00520861">
        <w:rPr>
          <w:rFonts w:eastAsiaTheme="minorHAnsi"/>
          <w:sz w:val="28"/>
          <w:szCs w:val="28"/>
          <w:lang w:eastAsia="en-US"/>
        </w:rPr>
        <w:t>. 2018; 22(1)</w:t>
      </w:r>
      <w:r w:rsidRPr="00520861">
        <w:rPr>
          <w:rFonts w:eastAsiaTheme="minorHAnsi"/>
          <w:sz w:val="28"/>
          <w:szCs w:val="28"/>
          <w:lang w:val="en-US" w:eastAsia="en-US"/>
        </w:rPr>
        <w:t>:</w:t>
      </w:r>
      <w:r w:rsidRPr="00520861">
        <w:rPr>
          <w:rFonts w:eastAsiaTheme="minorHAnsi"/>
          <w:sz w:val="28"/>
          <w:szCs w:val="28"/>
          <w:lang w:eastAsia="en-US"/>
        </w:rPr>
        <w:t xml:space="preserve"> 377–384.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10.1007/s00784-017-2122-2.</w:t>
      </w:r>
    </w:p>
    <w:p w14:paraId="3B53EE3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Germec-Cakan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Ulkur</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Taner</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basis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skeletal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characteristics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orthodontics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Eur</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2012</w:t>
      </w:r>
      <w:r w:rsidRPr="00520861">
        <w:rPr>
          <w:rFonts w:eastAsiaTheme="minorHAnsi"/>
          <w:sz w:val="28"/>
          <w:szCs w:val="28"/>
          <w:lang w:val="en-US" w:eastAsia="en-US"/>
        </w:rPr>
        <w:t>;</w:t>
      </w:r>
      <w:r w:rsidRPr="00520861">
        <w:rPr>
          <w:rFonts w:eastAsiaTheme="minorHAnsi"/>
          <w:sz w:val="28"/>
          <w:szCs w:val="28"/>
          <w:lang w:eastAsia="en-US"/>
        </w:rPr>
        <w:t>6(3)</w:t>
      </w:r>
      <w:r w:rsidRPr="00520861">
        <w:rPr>
          <w:rFonts w:eastAsiaTheme="minorHAnsi"/>
          <w:sz w:val="28"/>
          <w:szCs w:val="28"/>
          <w:lang w:val="en-US" w:eastAsia="en-US"/>
        </w:rPr>
        <w:t>:</w:t>
      </w:r>
      <w:r w:rsidRPr="00520861">
        <w:rPr>
          <w:rFonts w:eastAsiaTheme="minorHAnsi"/>
          <w:sz w:val="28"/>
          <w:szCs w:val="28"/>
          <w:lang w:eastAsia="en-US"/>
        </w:rPr>
        <w:t xml:space="preserve"> 340–345.</w:t>
      </w:r>
    </w:p>
    <w:p w14:paraId="1DE68A8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proofErr w:type="spellStart"/>
      <w:r w:rsidRPr="00520861">
        <w:rPr>
          <w:rFonts w:eastAsiaTheme="minorHAnsi"/>
          <w:sz w:val="28"/>
          <w:szCs w:val="28"/>
          <w:lang w:eastAsia="en-US"/>
        </w:rPr>
        <w:t>Giapros</w:t>
      </w:r>
      <w:proofErr w:type="spellEnd"/>
      <w:r w:rsidRPr="00520861">
        <w:rPr>
          <w:rFonts w:eastAsiaTheme="minorHAnsi"/>
          <w:sz w:val="28"/>
          <w:szCs w:val="28"/>
          <w:lang w:eastAsia="en-US"/>
        </w:rPr>
        <w:t xml:space="preserve"> V</w:t>
      </w:r>
      <w:r w:rsidRPr="00520861">
        <w:rPr>
          <w:rFonts w:eastAsiaTheme="minorHAnsi"/>
          <w:sz w:val="28"/>
          <w:szCs w:val="28"/>
          <w:lang w:val="en-US" w:eastAsia="en-US"/>
        </w:rPr>
        <w:t>I</w:t>
      </w:r>
      <w:r w:rsidRPr="00520861">
        <w:rPr>
          <w:rFonts w:eastAsiaTheme="minorHAnsi"/>
          <w:sz w:val="28"/>
          <w:szCs w:val="28"/>
          <w:lang w:eastAsia="en-US"/>
        </w:rPr>
        <w:t xml:space="preserve">, </w:t>
      </w:r>
      <w:proofErr w:type="spellStart"/>
      <w:r w:rsidRPr="00520861">
        <w:rPr>
          <w:rFonts w:eastAsiaTheme="minorHAnsi"/>
          <w:sz w:val="28"/>
          <w:szCs w:val="28"/>
          <w:lang w:eastAsia="en-US"/>
        </w:rPr>
        <w:t>Challa</w:t>
      </w:r>
      <w:proofErr w:type="spellEnd"/>
      <w:r w:rsidRPr="00520861">
        <w:rPr>
          <w:rFonts w:eastAsiaTheme="minorHAnsi"/>
          <w:sz w:val="28"/>
          <w:szCs w:val="28"/>
          <w:lang w:eastAsia="en-US"/>
        </w:rPr>
        <w:t xml:space="preserve"> A</w:t>
      </w:r>
      <w:r w:rsidRPr="00520861">
        <w:rPr>
          <w:rFonts w:eastAsiaTheme="minorHAnsi"/>
          <w:sz w:val="28"/>
          <w:szCs w:val="28"/>
          <w:lang w:val="en-US" w:eastAsia="en-US"/>
        </w:rPr>
        <w:t>S</w:t>
      </w:r>
      <w:r w:rsidRPr="00520861">
        <w:rPr>
          <w:rFonts w:eastAsiaTheme="minorHAnsi"/>
          <w:sz w:val="28"/>
          <w:szCs w:val="28"/>
          <w:lang w:eastAsia="en-US"/>
        </w:rPr>
        <w:t xml:space="preserve">, </w:t>
      </w:r>
      <w:proofErr w:type="spellStart"/>
      <w:r w:rsidRPr="00520861">
        <w:rPr>
          <w:rFonts w:eastAsiaTheme="minorHAnsi"/>
          <w:bCs/>
          <w:sz w:val="28"/>
          <w:szCs w:val="28"/>
          <w:lang w:val="en-US" w:eastAsia="en-US"/>
        </w:rPr>
        <w:t>Cholevas</w:t>
      </w:r>
      <w:proofErr w:type="spellEnd"/>
      <w:r w:rsidRPr="00520861">
        <w:rPr>
          <w:rFonts w:eastAsiaTheme="minorHAnsi"/>
          <w:bCs/>
          <w:sz w:val="28"/>
          <w:szCs w:val="28"/>
          <w:lang w:val="en-US" w:eastAsia="en-US"/>
        </w:rPr>
        <w:t xml:space="preserve"> VI,</w:t>
      </w:r>
      <w:r w:rsidRPr="00520861">
        <w:rPr>
          <w:rFonts w:eastAsiaTheme="minorHAnsi"/>
          <w:sz w:val="28"/>
          <w:szCs w:val="28"/>
          <w:lang w:eastAsia="en-US"/>
        </w:rPr>
        <w:t xml:space="preserve"> </w:t>
      </w:r>
      <w:proofErr w:type="spellStart"/>
      <w:r w:rsidRPr="00520861">
        <w:rPr>
          <w:rFonts w:eastAsiaTheme="minorHAnsi"/>
          <w:sz w:val="28"/>
          <w:szCs w:val="28"/>
          <w:lang w:eastAsia="en-US"/>
        </w:rPr>
        <w:t>Evagelidou</w:t>
      </w:r>
      <w:proofErr w:type="spellEnd"/>
      <w:r w:rsidRPr="00520861">
        <w:rPr>
          <w:rFonts w:eastAsiaTheme="minorHAnsi"/>
          <w:sz w:val="28"/>
          <w:szCs w:val="28"/>
          <w:lang w:eastAsia="en-US"/>
        </w:rPr>
        <w:t xml:space="preserve"> E</w:t>
      </w:r>
      <w:r w:rsidRPr="00520861">
        <w:rPr>
          <w:rFonts w:eastAsiaTheme="minorHAnsi"/>
          <w:sz w:val="28"/>
          <w:szCs w:val="28"/>
          <w:lang w:val="en-US" w:eastAsia="en-US"/>
        </w:rPr>
        <w:t>N</w:t>
      </w:r>
      <w:r w:rsidRPr="00520861">
        <w:rPr>
          <w:rFonts w:eastAsiaTheme="minorHAnsi"/>
          <w:sz w:val="28"/>
          <w:szCs w:val="28"/>
          <w:lang w:eastAsia="en-US"/>
        </w:rPr>
        <w:t xml:space="preserve">, </w:t>
      </w:r>
      <w:proofErr w:type="spellStart"/>
      <w:r w:rsidRPr="00520861">
        <w:rPr>
          <w:rFonts w:eastAsiaTheme="minorHAnsi"/>
          <w:bCs/>
          <w:sz w:val="28"/>
          <w:szCs w:val="28"/>
          <w:lang w:val="en-US" w:eastAsia="en-US"/>
        </w:rPr>
        <w:t>Bairaktari</w:t>
      </w:r>
      <w:proofErr w:type="spellEnd"/>
      <w:r w:rsidRPr="00520861">
        <w:rPr>
          <w:rFonts w:eastAsiaTheme="minorHAnsi"/>
          <w:bCs/>
          <w:sz w:val="28"/>
          <w:szCs w:val="28"/>
          <w:lang w:val="en-US" w:eastAsia="en-US"/>
        </w:rPr>
        <w:t xml:space="preserve"> ET</w:t>
      </w:r>
      <w:r w:rsidRPr="00520861">
        <w:rPr>
          <w:rFonts w:eastAsiaTheme="minorHAnsi"/>
          <w:sz w:val="28"/>
          <w:szCs w:val="28"/>
          <w:lang w:eastAsia="en-US"/>
        </w:rPr>
        <w:t xml:space="preserve">, </w:t>
      </w:r>
      <w:proofErr w:type="spellStart"/>
      <w:r w:rsidRPr="00520861">
        <w:rPr>
          <w:rFonts w:eastAsiaTheme="minorHAnsi"/>
          <w:sz w:val="28"/>
          <w:szCs w:val="28"/>
          <w:lang w:eastAsia="en-US"/>
        </w:rPr>
        <w:t>Andronikou</w:t>
      </w:r>
      <w:proofErr w:type="spellEnd"/>
      <w:r w:rsidRPr="00520861">
        <w:rPr>
          <w:rFonts w:eastAsiaTheme="minorHAnsi"/>
          <w:sz w:val="28"/>
          <w:szCs w:val="28"/>
          <w:lang w:val="en-US" w:eastAsia="en-US"/>
        </w:rPr>
        <w:t> </w:t>
      </w:r>
      <w:r w:rsidRPr="00520861">
        <w:rPr>
          <w:rFonts w:eastAsiaTheme="minorHAnsi"/>
          <w:sz w:val="28"/>
          <w:szCs w:val="28"/>
          <w:lang w:eastAsia="en-US"/>
        </w:rPr>
        <w:t>S</w:t>
      </w:r>
      <w:r w:rsidRPr="00520861">
        <w:rPr>
          <w:rFonts w:eastAsiaTheme="minorHAnsi"/>
          <w:sz w:val="28"/>
          <w:szCs w:val="28"/>
          <w:lang w:val="en-US" w:eastAsia="en-US"/>
        </w:rPr>
        <w:t>K.</w:t>
      </w:r>
      <w:r w:rsidRPr="00520861">
        <w:rPr>
          <w:rFonts w:eastAsiaTheme="minorHAnsi"/>
          <w:sz w:val="28"/>
          <w:szCs w:val="28"/>
          <w:lang w:eastAsia="en-US"/>
        </w:rPr>
        <w:t xml:space="preserve"> </w:t>
      </w:r>
      <w:r w:rsidRPr="00520861">
        <w:rPr>
          <w:rFonts w:eastAsiaTheme="minorHAnsi"/>
          <w:bCs/>
          <w:sz w:val="28"/>
          <w:szCs w:val="28"/>
          <w:lang w:val="en-US" w:eastAsia="en-US"/>
        </w:rPr>
        <w:t>Vitamin D, parathormone, and insulin resistance in children born large for gestational age</w:t>
      </w:r>
      <w:r w:rsidRPr="00520861">
        <w:rPr>
          <w:rFonts w:eastAsiaTheme="minorHAnsi"/>
          <w:sz w:val="28"/>
          <w:szCs w:val="28"/>
          <w:lang w:eastAsia="en-US"/>
        </w:rPr>
        <w:t xml:space="preserve">. </w:t>
      </w:r>
      <w:r w:rsidRPr="00520861">
        <w:rPr>
          <w:rFonts w:eastAsiaTheme="minorHAnsi"/>
          <w:i/>
          <w:sz w:val="28"/>
          <w:szCs w:val="28"/>
          <w:lang w:val="en-US" w:eastAsia="en-US"/>
        </w:rPr>
        <w:t xml:space="preserve">J </w:t>
      </w:r>
      <w:proofErr w:type="spellStart"/>
      <w:r w:rsidRPr="00520861">
        <w:rPr>
          <w:rFonts w:eastAsiaTheme="minorHAnsi"/>
          <w:i/>
          <w:sz w:val="28"/>
          <w:szCs w:val="28"/>
          <w:lang w:val="en-US" w:eastAsia="en-US"/>
        </w:rPr>
        <w:t>Pediatr</w:t>
      </w:r>
      <w:proofErr w:type="spellEnd"/>
      <w:r w:rsidRPr="00520861">
        <w:rPr>
          <w:rFonts w:eastAsiaTheme="minorHAnsi"/>
          <w:i/>
          <w:sz w:val="28"/>
          <w:szCs w:val="28"/>
          <w:lang w:val="en-US" w:eastAsia="en-US"/>
        </w:rPr>
        <w:t xml:space="preserve"> Endocrinol </w:t>
      </w:r>
      <w:proofErr w:type="spellStart"/>
      <w:r w:rsidRPr="00520861">
        <w:rPr>
          <w:rFonts w:eastAsiaTheme="minorHAnsi"/>
          <w:i/>
          <w:sz w:val="28"/>
          <w:szCs w:val="28"/>
          <w:lang w:val="en-US" w:eastAsia="en-US"/>
        </w:rPr>
        <w:t>Metab</w:t>
      </w:r>
      <w:proofErr w:type="spellEnd"/>
      <w:r w:rsidRPr="00520861">
        <w:rPr>
          <w:rFonts w:eastAsiaTheme="minorHAnsi"/>
          <w:sz w:val="28"/>
          <w:szCs w:val="28"/>
          <w:lang w:eastAsia="en-US"/>
        </w:rPr>
        <w:t>. 2014;27(11-12):</w:t>
      </w:r>
      <w:r w:rsidRPr="00520861">
        <w:rPr>
          <w:rFonts w:eastAsiaTheme="minorHAnsi"/>
          <w:sz w:val="28"/>
          <w:szCs w:val="28"/>
          <w:lang w:val="en-US" w:eastAsia="en-US"/>
        </w:rPr>
        <w:t xml:space="preserve"> </w:t>
      </w:r>
      <w:r w:rsidRPr="00520861">
        <w:rPr>
          <w:rFonts w:eastAsiaTheme="minorHAnsi"/>
          <w:sz w:val="28"/>
          <w:szCs w:val="28"/>
          <w:lang w:eastAsia="en-US"/>
        </w:rPr>
        <w:t>1145–</w:t>
      </w:r>
      <w:r w:rsidRPr="00520861">
        <w:rPr>
          <w:rFonts w:eastAsiaTheme="minorHAnsi"/>
          <w:sz w:val="28"/>
          <w:szCs w:val="28"/>
          <w:lang w:val="en-US" w:eastAsia="en-US"/>
        </w:rPr>
        <w:t>50</w:t>
      </w:r>
      <w:r w:rsidRPr="00520861">
        <w:rPr>
          <w:rFonts w:eastAsiaTheme="minorHAnsi"/>
          <w:sz w:val="28"/>
          <w:szCs w:val="28"/>
          <w:lang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sz w:val="28"/>
          <w:szCs w:val="28"/>
          <w:shd w:val="clear" w:color="auto" w:fill="FFFFFF"/>
          <w:lang w:val="en-US"/>
        </w:rPr>
        <w:t xml:space="preserve"> 10.1515/jpem-2013-0327.</w:t>
      </w:r>
    </w:p>
    <w:p w14:paraId="305D08A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bCs/>
          <w:sz w:val="28"/>
          <w:szCs w:val="28"/>
          <w:lang w:val="en-US" w:eastAsia="en-US"/>
        </w:rPr>
      </w:pPr>
      <w:proofErr w:type="spellStart"/>
      <w:r w:rsidRPr="00520861">
        <w:rPr>
          <w:rFonts w:eastAsiaTheme="minorHAnsi"/>
          <w:sz w:val="28"/>
          <w:szCs w:val="28"/>
          <w:lang w:eastAsia="en-US"/>
        </w:rPr>
        <w:t>Gislana</w:t>
      </w:r>
      <w:proofErr w:type="spellEnd"/>
      <w:r w:rsidRPr="00520861">
        <w:rPr>
          <w:rFonts w:eastAsiaTheme="minorHAnsi"/>
          <w:sz w:val="28"/>
          <w:szCs w:val="28"/>
          <w:lang w:eastAsia="en-US"/>
        </w:rPr>
        <w:t xml:space="preserve"> BM, </w:t>
      </w:r>
      <w:proofErr w:type="spellStart"/>
      <w:r w:rsidRPr="00520861">
        <w:rPr>
          <w:rFonts w:eastAsiaTheme="minorHAnsi"/>
          <w:sz w:val="28"/>
          <w:szCs w:val="28"/>
          <w:lang w:eastAsia="en-US"/>
        </w:rPr>
        <w:t>Khera</w:t>
      </w:r>
      <w:proofErr w:type="spellEnd"/>
      <w:r w:rsidRPr="00520861">
        <w:rPr>
          <w:rFonts w:eastAsiaTheme="minorHAnsi"/>
          <w:sz w:val="28"/>
          <w:szCs w:val="28"/>
          <w:lang w:eastAsia="en-US"/>
        </w:rPr>
        <w:t xml:space="preserve"> AK, </w:t>
      </w:r>
      <w:proofErr w:type="spellStart"/>
      <w:r w:rsidRPr="00520861">
        <w:rPr>
          <w:rFonts w:eastAsiaTheme="minorHAnsi"/>
          <w:sz w:val="28"/>
          <w:szCs w:val="28"/>
          <w:lang w:eastAsia="en-US"/>
        </w:rPr>
        <w:t>Singh</w:t>
      </w:r>
      <w:proofErr w:type="spellEnd"/>
      <w:r w:rsidRPr="00520861">
        <w:rPr>
          <w:rFonts w:eastAsiaTheme="minorHAnsi"/>
          <w:sz w:val="28"/>
          <w:szCs w:val="28"/>
          <w:lang w:eastAsia="en-US"/>
        </w:rPr>
        <w:t xml:space="preserve"> GK, </w:t>
      </w:r>
      <w:proofErr w:type="spellStart"/>
      <w:r w:rsidRPr="00520861">
        <w:rPr>
          <w:rFonts w:eastAsiaTheme="minorHAnsi"/>
          <w:sz w:val="28"/>
          <w:szCs w:val="28"/>
          <w:lang w:eastAsia="en-US"/>
        </w:rPr>
        <w:t>Sharma</w:t>
      </w:r>
      <w:proofErr w:type="spellEnd"/>
      <w:r w:rsidRPr="00520861">
        <w:rPr>
          <w:rFonts w:eastAsiaTheme="minorHAnsi"/>
          <w:sz w:val="28"/>
          <w:szCs w:val="28"/>
          <w:lang w:eastAsia="en-US"/>
        </w:rPr>
        <w:t xml:space="preserve"> VP, </w:t>
      </w:r>
      <w:proofErr w:type="spellStart"/>
      <w:r w:rsidRPr="00520861">
        <w:rPr>
          <w:rFonts w:eastAsiaTheme="minorHAnsi"/>
          <w:sz w:val="28"/>
          <w:szCs w:val="28"/>
          <w:lang w:eastAsia="en-US"/>
        </w:rPr>
        <w:t>Singh</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arch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dimensions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vertical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morphology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class</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subjects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Orthod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Soc</w:t>
      </w:r>
      <w:proofErr w:type="spellEnd"/>
      <w:r w:rsidRPr="00520861">
        <w:rPr>
          <w:rFonts w:eastAsiaTheme="minorHAnsi"/>
          <w:sz w:val="28"/>
          <w:szCs w:val="28"/>
          <w:lang w:eastAsia="en-US"/>
        </w:rPr>
        <w:t>. 2012;46(4):</w:t>
      </w:r>
      <w:r w:rsidRPr="00520861">
        <w:rPr>
          <w:rFonts w:eastAsiaTheme="minorHAnsi"/>
          <w:sz w:val="28"/>
          <w:szCs w:val="28"/>
          <w:lang w:val="en-US" w:eastAsia="en-US"/>
        </w:rPr>
        <w:t xml:space="preserve"> </w:t>
      </w:r>
      <w:r w:rsidRPr="00520861">
        <w:rPr>
          <w:rFonts w:eastAsiaTheme="minorHAnsi"/>
          <w:sz w:val="28"/>
          <w:szCs w:val="28"/>
          <w:lang w:eastAsia="en-US"/>
        </w:rPr>
        <w:t>316–</w:t>
      </w:r>
      <w:r w:rsidRPr="00520861">
        <w:rPr>
          <w:rFonts w:eastAsiaTheme="minorHAnsi"/>
          <w:sz w:val="28"/>
          <w:szCs w:val="28"/>
          <w:lang w:val="en-US" w:eastAsia="en-US"/>
        </w:rPr>
        <w:t>3</w:t>
      </w:r>
      <w:r w:rsidRPr="00520861">
        <w:rPr>
          <w:rFonts w:eastAsiaTheme="minorHAnsi"/>
          <w:sz w:val="28"/>
          <w:szCs w:val="28"/>
          <w:lang w:eastAsia="en-US"/>
        </w:rPr>
        <w:t>24.</w:t>
      </w:r>
    </w:p>
    <w:p w14:paraId="7C21BD9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Glodean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Miclea</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Popa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literature</w:t>
      </w:r>
      <w:proofErr w:type="spellEnd"/>
      <w:r w:rsidRPr="00520861">
        <w:rPr>
          <w:rFonts w:eastAsiaTheme="minorHAnsi"/>
          <w:sz w:val="28"/>
          <w:szCs w:val="28"/>
          <w:lang w:eastAsia="en-US"/>
        </w:rPr>
        <w:t xml:space="preserve">. </w:t>
      </w:r>
      <w:r w:rsidRPr="00520861">
        <w:rPr>
          <w:rFonts w:eastAsiaTheme="minorHAnsi"/>
          <w:i/>
          <w:sz w:val="28"/>
          <w:szCs w:val="28"/>
          <w:lang w:eastAsia="en-US"/>
        </w:rPr>
        <w:t>RJDNMD</w:t>
      </w:r>
      <w:r w:rsidRPr="00520861">
        <w:rPr>
          <w:rFonts w:eastAsiaTheme="minorHAnsi"/>
          <w:sz w:val="28"/>
          <w:szCs w:val="28"/>
          <w:lang w:eastAsia="en-US"/>
        </w:rPr>
        <w:t xml:space="preserve">. 2018;25(2): 187–195.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10.2478/rjdnmd-2018-0022.</w:t>
      </w:r>
    </w:p>
    <w:p w14:paraId="357247C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Glodean</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 xml:space="preserve">DM, </w:t>
      </w:r>
      <w:proofErr w:type="spellStart"/>
      <w:r w:rsidRPr="00520861">
        <w:rPr>
          <w:rFonts w:eastAsiaTheme="minorHAnsi"/>
          <w:sz w:val="28"/>
          <w:szCs w:val="28"/>
          <w:lang w:eastAsia="en-US"/>
        </w:rPr>
        <w:t>Miclea</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Zaharie</w:t>
      </w:r>
      <w:proofErr w:type="spellEnd"/>
      <w:r w:rsidRPr="00520861">
        <w:rPr>
          <w:rFonts w:eastAsiaTheme="minorHAnsi"/>
          <w:sz w:val="28"/>
          <w:szCs w:val="28"/>
          <w:lang w:eastAsia="en-US"/>
        </w:rPr>
        <w:t xml:space="preserve"> G,</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Mihăilă</w:t>
      </w:r>
      <w:proofErr w:type="spellEnd"/>
      <w:r w:rsidRPr="00520861">
        <w:rPr>
          <w:rFonts w:eastAsiaTheme="minorHAnsi"/>
          <w:sz w:val="28"/>
          <w:szCs w:val="28"/>
          <w:lang w:eastAsia="en-US"/>
        </w:rPr>
        <w:t xml:space="preserve"> JM, </w:t>
      </w:r>
      <w:proofErr w:type="spellStart"/>
      <w:r w:rsidRPr="00520861">
        <w:rPr>
          <w:rFonts w:eastAsiaTheme="minorHAnsi"/>
          <w:sz w:val="28"/>
          <w:szCs w:val="28"/>
          <w:lang w:eastAsia="en-US"/>
        </w:rPr>
        <w:t>Popa</w:t>
      </w:r>
      <w:proofErr w:type="spellEnd"/>
      <w:r w:rsidRPr="00520861">
        <w:rPr>
          <w:rFonts w:eastAsiaTheme="minorHAnsi"/>
          <w:sz w:val="28"/>
          <w:szCs w:val="28"/>
          <w:lang w:eastAsia="en-US"/>
        </w:rPr>
        <w:t xml:space="preserve"> AR</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Observational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case-</w:t>
      </w:r>
      <w:r w:rsidRPr="00520861">
        <w:rPr>
          <w:rFonts w:eastAsiaTheme="minorHAnsi"/>
          <w:sz w:val="28"/>
          <w:szCs w:val="28"/>
          <w:lang w:eastAsia="en-US"/>
        </w:rPr>
        <w:lastRenderedPageBreak/>
        <w:t>control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fetal-maternalassociated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pathology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bCs/>
          <w:i/>
          <w:kern w:val="36"/>
          <w:sz w:val="28"/>
          <w:szCs w:val="28"/>
        </w:rPr>
        <w:t>RJDNMD</w:t>
      </w:r>
      <w:r w:rsidRPr="00520861">
        <w:rPr>
          <w:rFonts w:eastAsiaTheme="minorHAnsi"/>
          <w:sz w:val="28"/>
          <w:szCs w:val="28"/>
          <w:lang w:val="en-US" w:eastAsia="en-US"/>
        </w:rPr>
        <w:t>.</w:t>
      </w:r>
      <w:r w:rsidRPr="00520861">
        <w:rPr>
          <w:rFonts w:eastAsiaTheme="minorHAnsi"/>
          <w:sz w:val="28"/>
          <w:szCs w:val="28"/>
          <w:lang w:eastAsia="en-US"/>
        </w:rPr>
        <w:t xml:space="preserve"> 2019</w:t>
      </w:r>
      <w:r w:rsidRPr="00520861">
        <w:rPr>
          <w:rFonts w:eastAsiaTheme="minorHAnsi"/>
          <w:sz w:val="28"/>
          <w:szCs w:val="28"/>
          <w:lang w:val="en-US" w:eastAsia="en-US"/>
        </w:rPr>
        <w:t>;</w:t>
      </w:r>
      <w:r w:rsidRPr="00520861">
        <w:rPr>
          <w:rFonts w:eastAsiaTheme="minorHAnsi"/>
          <w:sz w:val="28"/>
          <w:szCs w:val="28"/>
          <w:lang w:eastAsia="en-US"/>
        </w:rPr>
        <w:t>26</w:t>
      </w:r>
      <w:r w:rsidRPr="00520861">
        <w:rPr>
          <w:rFonts w:eastAsiaTheme="minorHAnsi"/>
          <w:sz w:val="28"/>
          <w:szCs w:val="28"/>
          <w:lang w:val="en-US" w:eastAsia="en-US"/>
        </w:rPr>
        <w:t>(</w:t>
      </w:r>
      <w:r w:rsidRPr="00520861">
        <w:rPr>
          <w:rFonts w:eastAsiaTheme="minorHAnsi"/>
          <w:sz w:val="28"/>
          <w:szCs w:val="28"/>
          <w:lang w:eastAsia="en-US"/>
        </w:rPr>
        <w:t>1</w:t>
      </w:r>
      <w:r w:rsidRPr="00520861">
        <w:rPr>
          <w:rFonts w:eastAsiaTheme="minorHAnsi"/>
          <w:sz w:val="28"/>
          <w:szCs w:val="28"/>
          <w:lang w:val="en-US" w:eastAsia="en-US"/>
        </w:rPr>
        <w:t>):</w:t>
      </w:r>
      <w:r w:rsidRPr="00520861">
        <w:rPr>
          <w:rFonts w:eastAsiaTheme="minorHAnsi"/>
          <w:sz w:val="28"/>
          <w:szCs w:val="28"/>
          <w:lang w:eastAsia="en-US"/>
        </w:rPr>
        <w:t xml:space="preserve"> 11–19.</w:t>
      </w:r>
    </w:p>
    <w:p w14:paraId="7C3890E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Godfrey</w:t>
      </w:r>
      <w:proofErr w:type="spellEnd"/>
      <w:r w:rsidRPr="00520861">
        <w:rPr>
          <w:rFonts w:eastAsiaTheme="minorHAnsi"/>
          <w:sz w:val="28"/>
          <w:szCs w:val="28"/>
          <w:lang w:eastAsia="en-US"/>
        </w:rPr>
        <w:t xml:space="preserve"> KM, </w:t>
      </w:r>
      <w:proofErr w:type="spellStart"/>
      <w:r w:rsidRPr="00520861">
        <w:rPr>
          <w:rFonts w:eastAsiaTheme="minorHAnsi"/>
          <w:sz w:val="28"/>
          <w:szCs w:val="28"/>
          <w:lang w:eastAsia="en-US"/>
        </w:rPr>
        <w:t>Inskip</w:t>
      </w:r>
      <w:proofErr w:type="spellEnd"/>
      <w:r w:rsidRPr="00520861">
        <w:rPr>
          <w:rFonts w:eastAsiaTheme="minorHAnsi"/>
          <w:sz w:val="28"/>
          <w:szCs w:val="28"/>
          <w:lang w:eastAsia="en-US"/>
        </w:rPr>
        <w:t xml:space="preserve"> HM, </w:t>
      </w:r>
      <w:proofErr w:type="spellStart"/>
      <w:r w:rsidRPr="00520861">
        <w:rPr>
          <w:rFonts w:eastAsiaTheme="minorHAnsi"/>
          <w:sz w:val="28"/>
          <w:szCs w:val="28"/>
          <w:lang w:eastAsia="en-US"/>
        </w:rPr>
        <w:t>Hanson</w:t>
      </w:r>
      <w:proofErr w:type="spellEnd"/>
      <w:r w:rsidRPr="00520861">
        <w:rPr>
          <w:rFonts w:eastAsiaTheme="minorHAnsi"/>
          <w:sz w:val="28"/>
          <w:szCs w:val="28"/>
          <w:lang w:eastAsia="en-US"/>
        </w:rPr>
        <w:t xml:space="preserve"> MA.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long-term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metabolism</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Semin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Reprod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2011 May;29(3):</w:t>
      </w:r>
      <w:r w:rsidRPr="00520861">
        <w:rPr>
          <w:rFonts w:eastAsiaTheme="minorHAnsi"/>
          <w:sz w:val="28"/>
          <w:szCs w:val="28"/>
          <w:lang w:val="en-US" w:eastAsia="en-US"/>
        </w:rPr>
        <w:t xml:space="preserve"> </w:t>
      </w:r>
      <w:r w:rsidRPr="00520861">
        <w:rPr>
          <w:rFonts w:eastAsiaTheme="minorHAnsi"/>
          <w:sz w:val="28"/>
          <w:szCs w:val="28"/>
          <w:lang w:eastAsia="en-US"/>
        </w:rPr>
        <w:t>257–</w:t>
      </w:r>
      <w:r w:rsidRPr="00520861">
        <w:rPr>
          <w:rFonts w:eastAsiaTheme="minorHAnsi"/>
          <w:sz w:val="28"/>
          <w:szCs w:val="28"/>
          <w:lang w:val="en-US" w:eastAsia="en-US"/>
        </w:rPr>
        <w:t>2</w:t>
      </w:r>
      <w:r w:rsidRPr="00520861">
        <w:rPr>
          <w:rFonts w:eastAsiaTheme="minorHAnsi"/>
          <w:sz w:val="28"/>
          <w:szCs w:val="28"/>
          <w:lang w:eastAsia="en-US"/>
        </w:rPr>
        <w:t>65</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10.1055/s-0031-1275518</w:t>
      </w:r>
    </w:p>
    <w:p w14:paraId="211BF88A"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val="en-US" w:eastAsia="en-US"/>
        </w:rPr>
      </w:pPr>
      <w:proofErr w:type="spellStart"/>
      <w:r w:rsidRPr="00520861">
        <w:rPr>
          <w:rFonts w:eastAsia="Calibri"/>
          <w:sz w:val="28"/>
          <w:szCs w:val="28"/>
          <w:lang w:val="en-GB" w:eastAsia="en-US"/>
        </w:rPr>
        <w:t>Gornowicz</w:t>
      </w:r>
      <w:proofErr w:type="spellEnd"/>
      <w:r w:rsidRPr="00520861">
        <w:rPr>
          <w:rFonts w:eastAsia="Calibri"/>
          <w:sz w:val="28"/>
          <w:szCs w:val="28"/>
          <w:lang w:val="en-GB" w:eastAsia="en-US"/>
        </w:rPr>
        <w:t xml:space="preserve"> A, </w:t>
      </w:r>
      <w:proofErr w:type="spellStart"/>
      <w:r w:rsidRPr="00520861">
        <w:rPr>
          <w:rFonts w:eastAsia="Calibri"/>
          <w:sz w:val="28"/>
          <w:szCs w:val="28"/>
          <w:lang w:val="en-GB" w:eastAsia="en-US"/>
        </w:rPr>
        <w:t>Bielawska</w:t>
      </w:r>
      <w:proofErr w:type="spellEnd"/>
      <w:r w:rsidRPr="00520861">
        <w:rPr>
          <w:rFonts w:eastAsia="Calibri"/>
          <w:sz w:val="28"/>
          <w:szCs w:val="28"/>
          <w:lang w:val="en-GB" w:eastAsia="en-US"/>
        </w:rPr>
        <w:t xml:space="preserve"> A, </w:t>
      </w:r>
      <w:proofErr w:type="spellStart"/>
      <w:r w:rsidRPr="00520861">
        <w:rPr>
          <w:rFonts w:eastAsia="Calibri"/>
          <w:sz w:val="28"/>
          <w:szCs w:val="28"/>
          <w:lang w:val="en-GB" w:eastAsia="en-US"/>
        </w:rPr>
        <w:t>Bielawski</w:t>
      </w:r>
      <w:proofErr w:type="spellEnd"/>
      <w:r w:rsidRPr="00520861">
        <w:rPr>
          <w:rFonts w:eastAsia="Calibri"/>
          <w:sz w:val="28"/>
          <w:szCs w:val="28"/>
          <w:lang w:val="en-GB" w:eastAsia="en-US"/>
        </w:rPr>
        <w:t xml:space="preserve"> K, Grabowska SZ, </w:t>
      </w:r>
      <w:proofErr w:type="spellStart"/>
      <w:r w:rsidRPr="00520861">
        <w:rPr>
          <w:rFonts w:eastAsia="Calibri"/>
          <w:sz w:val="28"/>
          <w:szCs w:val="28"/>
          <w:lang w:val="en-GB" w:eastAsia="en-US"/>
        </w:rPr>
        <w:t>Wójcicka</w:t>
      </w:r>
      <w:proofErr w:type="spellEnd"/>
      <w:r w:rsidRPr="00520861">
        <w:rPr>
          <w:rFonts w:eastAsia="Calibri"/>
          <w:sz w:val="28"/>
          <w:szCs w:val="28"/>
          <w:lang w:val="en-GB" w:eastAsia="en-US"/>
        </w:rPr>
        <w:t xml:space="preserve"> A, </w:t>
      </w:r>
      <w:proofErr w:type="spellStart"/>
      <w:r w:rsidRPr="00520861">
        <w:rPr>
          <w:rFonts w:eastAsia="Calibri"/>
          <w:sz w:val="28"/>
          <w:szCs w:val="28"/>
          <w:lang w:val="en-GB" w:eastAsia="en-US"/>
        </w:rPr>
        <w:t>Zalewska</w:t>
      </w:r>
      <w:proofErr w:type="spellEnd"/>
      <w:r w:rsidRPr="00520861">
        <w:rPr>
          <w:rFonts w:eastAsia="Calibri"/>
          <w:sz w:val="28"/>
          <w:szCs w:val="28"/>
          <w:lang w:val="en-GB" w:eastAsia="en-US"/>
        </w:rPr>
        <w:t xml:space="preserve"> M, et al. </w:t>
      </w:r>
      <w:r w:rsidRPr="00520861">
        <w:rPr>
          <w:rFonts w:eastAsia="Calibri"/>
          <w:bCs/>
          <w:sz w:val="28"/>
          <w:szCs w:val="28"/>
          <w:lang w:val="en-GB" w:eastAsia="en-US"/>
        </w:rPr>
        <w:t xml:space="preserve">Pro-inflammatory cytokines in saliva of adolescents with dental caries disease. </w:t>
      </w:r>
      <w:r w:rsidRPr="00520861">
        <w:rPr>
          <w:rFonts w:eastAsia="Calibri"/>
          <w:i/>
          <w:sz w:val="28"/>
          <w:szCs w:val="28"/>
          <w:lang w:val="en-GB" w:eastAsia="en-US"/>
        </w:rPr>
        <w:t>Ann</w:t>
      </w:r>
      <w:r w:rsidRPr="00520861">
        <w:rPr>
          <w:rFonts w:eastAsia="Calibri"/>
          <w:i/>
          <w:sz w:val="28"/>
          <w:szCs w:val="28"/>
          <w:lang w:val="en-US" w:eastAsia="en-US"/>
        </w:rPr>
        <w:t xml:space="preserve"> </w:t>
      </w:r>
      <w:r w:rsidRPr="00520861">
        <w:rPr>
          <w:rFonts w:eastAsia="Calibri"/>
          <w:i/>
          <w:sz w:val="28"/>
          <w:szCs w:val="28"/>
          <w:lang w:val="en-GB" w:eastAsia="en-US"/>
        </w:rPr>
        <w:t>Agric</w:t>
      </w:r>
      <w:r w:rsidRPr="00520861">
        <w:rPr>
          <w:rFonts w:eastAsia="Calibri"/>
          <w:i/>
          <w:sz w:val="28"/>
          <w:szCs w:val="28"/>
          <w:lang w:val="en-US" w:eastAsia="en-US"/>
        </w:rPr>
        <w:t xml:space="preserve"> </w:t>
      </w:r>
      <w:r w:rsidRPr="00520861">
        <w:rPr>
          <w:rFonts w:eastAsia="Calibri"/>
          <w:i/>
          <w:sz w:val="28"/>
          <w:szCs w:val="28"/>
          <w:lang w:val="en-GB" w:eastAsia="en-US"/>
        </w:rPr>
        <w:t>Environ</w:t>
      </w:r>
      <w:r w:rsidRPr="00520861">
        <w:rPr>
          <w:rFonts w:eastAsia="Calibri"/>
          <w:i/>
          <w:sz w:val="28"/>
          <w:szCs w:val="28"/>
          <w:lang w:val="en-US" w:eastAsia="en-US"/>
        </w:rPr>
        <w:t xml:space="preserve"> </w:t>
      </w:r>
      <w:r w:rsidRPr="00520861">
        <w:rPr>
          <w:rFonts w:eastAsia="Calibri"/>
          <w:i/>
          <w:sz w:val="28"/>
          <w:szCs w:val="28"/>
          <w:lang w:val="en-GB" w:eastAsia="en-US"/>
        </w:rPr>
        <w:t>Med</w:t>
      </w:r>
      <w:r w:rsidRPr="00520861">
        <w:rPr>
          <w:rFonts w:eastAsia="Calibri"/>
          <w:sz w:val="28"/>
          <w:szCs w:val="28"/>
          <w:lang w:val="en-US" w:eastAsia="en-US"/>
        </w:rPr>
        <w:t xml:space="preserve">. 2012;19(4): 711–716. </w:t>
      </w:r>
    </w:p>
    <w:p w14:paraId="491A7B1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 xml:space="preserve"> Graber L, </w:t>
      </w:r>
      <w:proofErr w:type="spellStart"/>
      <w:r w:rsidRPr="00520861">
        <w:rPr>
          <w:rFonts w:eastAsiaTheme="minorHAnsi"/>
          <w:sz w:val="28"/>
          <w:szCs w:val="28"/>
          <w:lang w:val="en-US" w:eastAsia="en-US"/>
        </w:rPr>
        <w:t>Vanarsdall</w:t>
      </w:r>
      <w:proofErr w:type="spellEnd"/>
      <w:r w:rsidRPr="00520861">
        <w:rPr>
          <w:rFonts w:eastAsiaTheme="minorHAnsi"/>
          <w:sz w:val="28"/>
          <w:szCs w:val="28"/>
          <w:lang w:val="en-US" w:eastAsia="en-US"/>
        </w:rPr>
        <w:t xml:space="preserve"> R, </w:t>
      </w:r>
      <w:proofErr w:type="spellStart"/>
      <w:r w:rsidRPr="00520861">
        <w:rPr>
          <w:rFonts w:eastAsiaTheme="minorHAnsi"/>
          <w:sz w:val="28"/>
          <w:szCs w:val="28"/>
          <w:lang w:val="en-US" w:eastAsia="en-US"/>
        </w:rPr>
        <w:t>Vig</w:t>
      </w:r>
      <w:proofErr w:type="spellEnd"/>
      <w:r w:rsidRPr="00520861">
        <w:rPr>
          <w:rFonts w:eastAsiaTheme="minorHAnsi"/>
          <w:sz w:val="28"/>
          <w:szCs w:val="28"/>
          <w:lang w:val="en-US" w:eastAsia="en-US"/>
        </w:rPr>
        <w:t xml:space="preserve"> K, Huang G. </w:t>
      </w:r>
      <w:r w:rsidRPr="00520861">
        <w:rPr>
          <w:rFonts w:eastAsiaTheme="minorHAnsi"/>
          <w:i/>
          <w:sz w:val="28"/>
          <w:szCs w:val="28"/>
          <w:lang w:val="en-US" w:eastAsia="en-US"/>
        </w:rPr>
        <w:t>Orthodontics</w:t>
      </w:r>
      <w:r w:rsidRPr="00520861">
        <w:rPr>
          <w:rFonts w:eastAsiaTheme="minorHAnsi"/>
          <w:i/>
          <w:sz w:val="28"/>
          <w:szCs w:val="28"/>
          <w:lang w:eastAsia="en-US"/>
        </w:rPr>
        <w:t xml:space="preserve">: </w:t>
      </w:r>
      <w:r w:rsidRPr="00520861">
        <w:rPr>
          <w:rFonts w:eastAsiaTheme="minorHAnsi"/>
          <w:i/>
          <w:sz w:val="28"/>
          <w:szCs w:val="28"/>
          <w:lang w:val="en-US" w:eastAsia="en-US"/>
        </w:rPr>
        <w:t>Current</w:t>
      </w:r>
      <w:r w:rsidRPr="00520861">
        <w:rPr>
          <w:rFonts w:eastAsiaTheme="minorHAnsi"/>
          <w:i/>
          <w:sz w:val="28"/>
          <w:szCs w:val="28"/>
          <w:lang w:eastAsia="en-US"/>
        </w:rPr>
        <w:t xml:space="preserve"> </w:t>
      </w:r>
      <w:r w:rsidRPr="00520861">
        <w:rPr>
          <w:rFonts w:eastAsiaTheme="minorHAnsi"/>
          <w:i/>
          <w:sz w:val="28"/>
          <w:szCs w:val="28"/>
          <w:lang w:val="en-US" w:eastAsia="en-US"/>
        </w:rPr>
        <w:t>Principles</w:t>
      </w:r>
      <w:r w:rsidRPr="00520861">
        <w:rPr>
          <w:rFonts w:eastAsiaTheme="minorHAnsi"/>
          <w:i/>
          <w:sz w:val="28"/>
          <w:szCs w:val="28"/>
          <w:lang w:eastAsia="en-US"/>
        </w:rPr>
        <w:t xml:space="preserve"> </w:t>
      </w:r>
      <w:r w:rsidRPr="00520861">
        <w:rPr>
          <w:rFonts w:eastAsiaTheme="minorHAnsi"/>
          <w:i/>
          <w:sz w:val="28"/>
          <w:szCs w:val="28"/>
          <w:lang w:val="en-US" w:eastAsia="en-US"/>
        </w:rPr>
        <w:t>and</w:t>
      </w:r>
      <w:r w:rsidRPr="00520861">
        <w:rPr>
          <w:rFonts w:eastAsiaTheme="minorHAnsi"/>
          <w:i/>
          <w:sz w:val="28"/>
          <w:szCs w:val="28"/>
          <w:lang w:eastAsia="en-US"/>
        </w:rPr>
        <w:t xml:space="preserve"> </w:t>
      </w:r>
      <w:r w:rsidRPr="00520861">
        <w:rPr>
          <w:rFonts w:eastAsiaTheme="minorHAnsi"/>
          <w:i/>
          <w:sz w:val="28"/>
          <w:szCs w:val="28"/>
          <w:lang w:val="en-US" w:eastAsia="en-US"/>
        </w:rPr>
        <w:t>Techniques</w:t>
      </w:r>
      <w:r w:rsidRPr="00520861">
        <w:rPr>
          <w:rFonts w:eastAsiaTheme="minorHAnsi"/>
          <w:sz w:val="28"/>
          <w:szCs w:val="28"/>
          <w:lang w:val="en-US" w:eastAsia="en-US"/>
        </w:rPr>
        <w:t xml:space="preserve"> </w:t>
      </w:r>
      <w:r w:rsidRPr="00520861">
        <w:rPr>
          <w:rFonts w:eastAsiaTheme="minorHAnsi"/>
          <w:sz w:val="28"/>
          <w:szCs w:val="28"/>
          <w:lang w:eastAsia="en-US"/>
        </w:rPr>
        <w:t xml:space="preserve">– </w:t>
      </w:r>
      <w:r w:rsidRPr="00520861">
        <w:rPr>
          <w:rFonts w:eastAsiaTheme="minorHAnsi"/>
          <w:sz w:val="28"/>
          <w:szCs w:val="28"/>
          <w:lang w:val="en-US" w:eastAsia="en-US"/>
        </w:rPr>
        <w:t>E</w:t>
      </w:r>
      <w:r w:rsidRPr="00520861">
        <w:rPr>
          <w:rFonts w:eastAsiaTheme="minorHAnsi"/>
          <w:sz w:val="28"/>
          <w:szCs w:val="28"/>
          <w:lang w:eastAsia="en-US"/>
        </w:rPr>
        <w:t>-</w:t>
      </w:r>
      <w:r w:rsidRPr="00520861">
        <w:rPr>
          <w:rFonts w:eastAsiaTheme="minorHAnsi"/>
          <w:sz w:val="28"/>
          <w:szCs w:val="28"/>
          <w:lang w:val="en-US" w:eastAsia="en-US"/>
        </w:rPr>
        <w:t>Book</w:t>
      </w:r>
      <w:r w:rsidRPr="00520861">
        <w:rPr>
          <w:rFonts w:eastAsiaTheme="minorHAnsi"/>
          <w:sz w:val="28"/>
          <w:szCs w:val="28"/>
          <w:lang w:eastAsia="en-US"/>
        </w:rPr>
        <w:t>. 6-</w:t>
      </w:r>
      <w:proofErr w:type="spellStart"/>
      <w:r w:rsidRPr="00520861">
        <w:rPr>
          <w:rFonts w:eastAsiaTheme="minorHAnsi"/>
          <w:sz w:val="28"/>
          <w:szCs w:val="28"/>
          <w:lang w:val="en-US" w:eastAsia="en-US"/>
        </w:rPr>
        <w:t>th</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ed</w:t>
      </w:r>
      <w:r w:rsidRPr="00520861">
        <w:rPr>
          <w:rFonts w:eastAsiaTheme="minorHAnsi"/>
          <w:sz w:val="28"/>
          <w:szCs w:val="28"/>
          <w:lang w:eastAsia="en-US"/>
        </w:rPr>
        <w:t xml:space="preserve">. </w:t>
      </w:r>
      <w:proofErr w:type="spellStart"/>
      <w:r w:rsidRPr="00520861">
        <w:rPr>
          <w:rFonts w:eastAsiaTheme="minorHAnsi"/>
          <w:sz w:val="28"/>
          <w:szCs w:val="28"/>
          <w:lang w:eastAsia="en-US"/>
        </w:rPr>
        <w:t>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Louis</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Mosby;</w:t>
      </w:r>
      <w:r w:rsidRPr="00520861">
        <w:rPr>
          <w:rFonts w:eastAsiaTheme="minorHAnsi"/>
          <w:sz w:val="28"/>
          <w:szCs w:val="28"/>
          <w:lang w:eastAsia="en-US"/>
        </w:rPr>
        <w:t xml:space="preserve"> 2016. </w:t>
      </w:r>
      <w:r w:rsidRPr="00520861">
        <w:rPr>
          <w:rFonts w:eastAsiaTheme="minorHAnsi"/>
          <w:sz w:val="28"/>
          <w:szCs w:val="28"/>
          <w:lang w:val="en-US" w:eastAsia="en-US"/>
        </w:rPr>
        <w:t xml:space="preserve">– </w:t>
      </w:r>
      <w:r w:rsidRPr="00520861">
        <w:rPr>
          <w:rFonts w:eastAsiaTheme="minorHAnsi"/>
          <w:sz w:val="28"/>
          <w:szCs w:val="28"/>
          <w:lang w:eastAsia="en-US"/>
        </w:rPr>
        <w:t xml:space="preserve">928 </w:t>
      </w:r>
      <w:r w:rsidRPr="00520861">
        <w:rPr>
          <w:rFonts w:eastAsiaTheme="minorHAnsi"/>
          <w:sz w:val="28"/>
          <w:szCs w:val="28"/>
          <w:lang w:val="en-US" w:eastAsia="en-US"/>
        </w:rPr>
        <w:t>p</w:t>
      </w:r>
      <w:r w:rsidRPr="00520861">
        <w:rPr>
          <w:rFonts w:eastAsiaTheme="minorHAnsi"/>
          <w:sz w:val="28"/>
          <w:szCs w:val="28"/>
          <w:lang w:eastAsia="en-US"/>
        </w:rPr>
        <w:t>.</w:t>
      </w:r>
    </w:p>
    <w:p w14:paraId="17F1A4C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Greendale</w:t>
      </w:r>
      <w:proofErr w:type="spellEnd"/>
      <w:r w:rsidRPr="00520861">
        <w:rPr>
          <w:rFonts w:eastAsiaTheme="minorHAnsi"/>
          <w:sz w:val="28"/>
          <w:szCs w:val="28"/>
          <w:lang w:eastAsia="en-US"/>
        </w:rPr>
        <w:t xml:space="preserve"> GA, </w:t>
      </w:r>
      <w:proofErr w:type="spellStart"/>
      <w:r w:rsidRPr="00520861">
        <w:rPr>
          <w:rFonts w:eastAsiaTheme="minorHAnsi"/>
          <w:sz w:val="28"/>
          <w:szCs w:val="28"/>
          <w:lang w:eastAsia="en-US"/>
        </w:rPr>
        <w:t>Chu</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Ferrell</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Randolph</w:t>
      </w:r>
      <w:proofErr w:type="spellEnd"/>
      <w:r w:rsidRPr="00520861">
        <w:rPr>
          <w:rFonts w:eastAsiaTheme="minorHAnsi"/>
          <w:sz w:val="28"/>
          <w:szCs w:val="28"/>
          <w:lang w:eastAsia="en-US"/>
        </w:rPr>
        <w:t xml:space="preserve"> JF </w:t>
      </w:r>
      <w:proofErr w:type="spellStart"/>
      <w:r w:rsidRPr="00520861">
        <w:rPr>
          <w:rFonts w:eastAsiaTheme="minorHAnsi"/>
          <w:sz w:val="28"/>
          <w:szCs w:val="28"/>
          <w:lang w:eastAsia="en-US"/>
        </w:rPr>
        <w:t>Jr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Johnston</w:t>
      </w:r>
      <w:proofErr w:type="spellEnd"/>
      <w:r w:rsidRPr="00520861">
        <w:rPr>
          <w:rFonts w:eastAsiaTheme="minorHAnsi"/>
          <w:sz w:val="28"/>
          <w:szCs w:val="28"/>
          <w:lang w:eastAsia="en-US"/>
        </w:rPr>
        <w:t xml:space="preserve"> JM, </w:t>
      </w:r>
      <w:proofErr w:type="spellStart"/>
      <w:r w:rsidRPr="00520861">
        <w:rPr>
          <w:rFonts w:eastAsiaTheme="minorHAnsi"/>
          <w:sz w:val="28"/>
          <w:szCs w:val="28"/>
          <w:lang w:eastAsia="en-US"/>
        </w:rPr>
        <w:t>Sowers</w:t>
      </w:r>
      <w:proofErr w:type="spellEnd"/>
      <w:r w:rsidRPr="00520861">
        <w:rPr>
          <w:rFonts w:eastAsiaTheme="minorHAnsi"/>
          <w:sz w:val="28"/>
          <w:szCs w:val="28"/>
          <w:lang w:eastAsia="en-US"/>
        </w:rPr>
        <w:t xml:space="preserve"> MR. </w:t>
      </w:r>
      <w:r w:rsidR="004347D5" w:rsidRPr="00520861">
        <w:rPr>
          <w:rFonts w:eastAsiaTheme="minorHAnsi"/>
          <w:sz w:val="28"/>
          <w:szCs w:val="28"/>
          <w:lang w:eastAsia="en-US"/>
        </w:rPr>
        <w:br/>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xml:space="preserve">. 2006;119(9 </w:t>
      </w:r>
      <w:proofErr w:type="spellStart"/>
      <w:r w:rsidRPr="00520861">
        <w:rPr>
          <w:rFonts w:eastAsiaTheme="minorHAnsi"/>
          <w:sz w:val="28"/>
          <w:szCs w:val="28"/>
          <w:lang w:eastAsia="en-US"/>
        </w:rPr>
        <w:t>Suppl</w:t>
      </w:r>
      <w:proofErr w:type="spellEnd"/>
      <w:r w:rsidRPr="00520861">
        <w:rPr>
          <w:rFonts w:eastAsiaTheme="minorHAnsi"/>
          <w:sz w:val="28"/>
          <w:szCs w:val="28"/>
          <w:lang w:eastAsia="en-US"/>
        </w:rPr>
        <w:t xml:space="preserve"> 1):</w:t>
      </w:r>
      <w:r w:rsidRPr="00520861">
        <w:rPr>
          <w:rFonts w:eastAsiaTheme="minorHAnsi"/>
          <w:sz w:val="28"/>
          <w:szCs w:val="28"/>
          <w:lang w:val="en-US" w:eastAsia="en-US"/>
        </w:rPr>
        <w:t xml:space="preserve"> </w:t>
      </w:r>
      <w:r w:rsidRPr="00520861">
        <w:rPr>
          <w:rFonts w:eastAsiaTheme="minorHAnsi"/>
          <w:sz w:val="28"/>
          <w:szCs w:val="28"/>
          <w:lang w:eastAsia="en-US"/>
        </w:rPr>
        <w:t xml:space="preserve">S79–S86.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10.1016/j.amjmed.2006.07.011.</w:t>
      </w:r>
    </w:p>
    <w:p w14:paraId="2C4A7A2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Gu</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X, </w:t>
      </w:r>
      <w:proofErr w:type="spellStart"/>
      <w:r w:rsidRPr="00520861">
        <w:rPr>
          <w:rFonts w:eastAsiaTheme="minorHAnsi"/>
          <w:sz w:val="28"/>
          <w:szCs w:val="28"/>
          <w:lang w:eastAsia="en-US"/>
        </w:rPr>
        <w:t>Fang</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X, </w:t>
      </w: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J</w:t>
      </w:r>
      <w:r w:rsidRPr="00520861">
        <w:rPr>
          <w:rFonts w:eastAsiaTheme="minorHAnsi"/>
          <w:sz w:val="28"/>
          <w:szCs w:val="28"/>
          <w:lang w:val="en-US" w:eastAsia="en-US"/>
        </w:rPr>
        <w:t>,</w:t>
      </w:r>
      <w:r w:rsidRPr="00520861">
        <w:rPr>
          <w:sz w:val="28"/>
          <w:szCs w:val="28"/>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long-term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consequences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prospective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Jiangsu</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Province</w:t>
      </w:r>
      <w:proofErr w:type="spellEnd"/>
      <w:r w:rsidRPr="00520861">
        <w:rPr>
          <w:rFonts w:eastAsiaTheme="minorHAnsi"/>
          <w:sz w:val="28"/>
          <w:szCs w:val="28"/>
          <w:lang w:eastAsia="en-US"/>
        </w:rPr>
        <w:t xml:space="preserve">, </w:t>
      </w:r>
      <w:r w:rsidR="004347D5" w:rsidRPr="00520861">
        <w:rPr>
          <w:rFonts w:eastAsiaTheme="minorHAnsi"/>
          <w:sz w:val="28"/>
          <w:szCs w:val="28"/>
          <w:lang w:eastAsia="en-US"/>
        </w:rPr>
        <w:br/>
      </w:r>
      <w:proofErr w:type="spellStart"/>
      <w:r w:rsidRPr="00520861">
        <w:rPr>
          <w:rFonts w:eastAsiaTheme="minorHAnsi"/>
          <w:sz w:val="28"/>
          <w:szCs w:val="28"/>
          <w:lang w:eastAsia="en-US"/>
        </w:rPr>
        <w:t>China</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Biomed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2012;26(4):</w:t>
      </w:r>
      <w:r w:rsidRPr="00520861">
        <w:rPr>
          <w:rFonts w:eastAsiaTheme="minorHAnsi"/>
          <w:sz w:val="28"/>
          <w:szCs w:val="28"/>
          <w:lang w:val="en-US" w:eastAsia="en-US"/>
        </w:rPr>
        <w:t xml:space="preserve"> </w:t>
      </w:r>
      <w:r w:rsidRPr="00520861">
        <w:rPr>
          <w:rFonts w:eastAsiaTheme="minorHAnsi"/>
          <w:sz w:val="28"/>
          <w:szCs w:val="28"/>
          <w:lang w:eastAsia="en-US"/>
        </w:rPr>
        <w:t xml:space="preserve">235–240.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10.7555/JBR.26.20120037</w:t>
      </w:r>
      <w:r w:rsidRPr="00520861">
        <w:rPr>
          <w:rFonts w:eastAsiaTheme="minorHAnsi"/>
          <w:sz w:val="28"/>
          <w:szCs w:val="28"/>
          <w:lang w:val="en-US" w:eastAsia="en-US"/>
        </w:rPr>
        <w:t>.</w:t>
      </w:r>
    </w:p>
    <w:p w14:paraId="403DBFB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Guermouche</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Soulimane-Mokhtari</w:t>
      </w:r>
      <w:proofErr w:type="spellEnd"/>
      <w:r w:rsidRPr="00520861">
        <w:rPr>
          <w:rFonts w:eastAsiaTheme="minorHAnsi"/>
          <w:sz w:val="28"/>
          <w:szCs w:val="28"/>
          <w:lang w:eastAsia="en-US"/>
        </w:rPr>
        <w:t xml:space="preserve"> NA, </w:t>
      </w:r>
      <w:proofErr w:type="spellStart"/>
      <w:r w:rsidRPr="00520861">
        <w:rPr>
          <w:rFonts w:eastAsiaTheme="minorHAnsi"/>
          <w:sz w:val="28"/>
          <w:szCs w:val="28"/>
          <w:lang w:eastAsia="en-US"/>
        </w:rPr>
        <w:t>Bouanane</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Merzouk</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Merzouk</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Narce</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Effect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d</w:t>
      </w:r>
      <w:proofErr w:type="spellStart"/>
      <w:r w:rsidRPr="00520861">
        <w:rPr>
          <w:rFonts w:eastAsiaTheme="minorHAnsi"/>
          <w:sz w:val="28"/>
          <w:szCs w:val="28"/>
          <w:lang w:eastAsia="en-US"/>
        </w:rPr>
        <w:t>ietary</w:t>
      </w:r>
      <w:proofErr w:type="spellEnd"/>
      <w:r w:rsidRPr="00520861">
        <w:rPr>
          <w:rFonts w:eastAsiaTheme="minorHAnsi"/>
          <w:sz w:val="28"/>
          <w:szCs w:val="28"/>
          <w:lang w:eastAsia="en-US"/>
        </w:rPr>
        <w:t xml:space="preserve"> n − 3 </w:t>
      </w:r>
      <w:r w:rsidRPr="00520861">
        <w:rPr>
          <w:rFonts w:eastAsiaTheme="minorHAnsi"/>
          <w:sz w:val="28"/>
          <w:szCs w:val="28"/>
          <w:lang w:val="en-US" w:eastAsia="en-US"/>
        </w:rPr>
        <w:t>p</w:t>
      </w:r>
      <w:proofErr w:type="spellStart"/>
      <w:r w:rsidRPr="00520861">
        <w:rPr>
          <w:rFonts w:eastAsiaTheme="minorHAnsi"/>
          <w:sz w:val="28"/>
          <w:szCs w:val="28"/>
          <w:lang w:eastAsia="en-US"/>
        </w:rPr>
        <w:t>olyunsaturated</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w:t>
      </w:r>
      <w:proofErr w:type="spellStart"/>
      <w:r w:rsidRPr="00520861">
        <w:rPr>
          <w:rFonts w:eastAsiaTheme="minorHAnsi"/>
          <w:sz w:val="28"/>
          <w:szCs w:val="28"/>
          <w:lang w:eastAsia="en-US"/>
        </w:rPr>
        <w:t>atty</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w:t>
      </w:r>
      <w:proofErr w:type="spellStart"/>
      <w:r w:rsidRPr="00520861">
        <w:rPr>
          <w:rFonts w:eastAsiaTheme="minorHAnsi"/>
          <w:sz w:val="28"/>
          <w:szCs w:val="28"/>
          <w:lang w:eastAsia="en-US"/>
        </w:rPr>
        <w:t>cids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oxidant</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antioxidant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offspring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rats</w:t>
      </w:r>
      <w:proofErr w:type="spellEnd"/>
      <w:r w:rsidRPr="00520861">
        <w:rPr>
          <w:rFonts w:eastAsiaTheme="minorHAnsi"/>
          <w:sz w:val="28"/>
          <w:szCs w:val="28"/>
          <w:lang w:val="en-US" w:eastAsia="en-US"/>
        </w:rPr>
        <w:t xml:space="preserve">. </w:t>
      </w:r>
      <w:proofErr w:type="spellStart"/>
      <w:r w:rsidRPr="00520861">
        <w:rPr>
          <w:rFonts w:eastAsiaTheme="minorHAnsi"/>
          <w:i/>
          <w:sz w:val="28"/>
          <w:szCs w:val="28"/>
          <w:lang w:eastAsia="en-US"/>
        </w:rPr>
        <w:t>Biomed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2014</w:t>
      </w:r>
      <w:r w:rsidRPr="00520861">
        <w:rPr>
          <w:rFonts w:eastAsiaTheme="minorHAnsi"/>
          <w:sz w:val="28"/>
          <w:szCs w:val="28"/>
          <w:lang w:val="en-US" w:eastAsia="en-US"/>
        </w:rPr>
        <w:t xml:space="preserve"> Jun [cited 2020 Jun 1]</w:t>
      </w:r>
      <w:r w:rsidRPr="00520861">
        <w:rPr>
          <w:rFonts w:eastAsiaTheme="minorHAnsi"/>
          <w:sz w:val="28"/>
          <w:szCs w:val="28"/>
          <w:lang w:eastAsia="en-US"/>
        </w:rPr>
        <w:t xml:space="preserve">;2014: 368107.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10.1155/2014/368107</w:t>
      </w:r>
      <w:r w:rsidRPr="00520861">
        <w:rPr>
          <w:rFonts w:eastAsiaTheme="minorHAnsi"/>
          <w:sz w:val="28"/>
          <w:szCs w:val="28"/>
          <w:lang w:val="en-US" w:eastAsia="en-US"/>
        </w:rPr>
        <w:t>.</w:t>
      </w:r>
    </w:p>
    <w:p w14:paraId="1BF02E7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Gulses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Microstomia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rare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but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serious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manifestation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inherited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disorders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Ikehara</w:t>
      </w:r>
      <w:proofErr w:type="spellEnd"/>
      <w:r w:rsidRPr="00520861">
        <w:rPr>
          <w:rFonts w:eastAsiaTheme="minorHAnsi"/>
          <w:sz w:val="28"/>
          <w:szCs w:val="28"/>
          <w:lang w:eastAsia="en-US"/>
        </w:rPr>
        <w:t xml:space="preserve"> K </w:t>
      </w:r>
      <w:r w:rsidRPr="00520861">
        <w:rPr>
          <w:rFonts w:eastAsiaTheme="minorHAnsi"/>
          <w:sz w:val="28"/>
          <w:szCs w:val="28"/>
          <w:lang w:val="en-US" w:eastAsia="en-US"/>
        </w:rPr>
        <w:t>(</w:t>
      </w:r>
      <w:proofErr w:type="spellStart"/>
      <w:r w:rsidRPr="00520861">
        <w:rPr>
          <w:rFonts w:eastAsiaTheme="minorHAnsi"/>
          <w:sz w:val="28"/>
          <w:szCs w:val="28"/>
          <w:lang w:eastAsia="en-US"/>
        </w:rPr>
        <w:t>ed</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Advances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the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study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genetic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disorders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Rijeka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InTech</w:t>
      </w:r>
      <w:proofErr w:type="spellEnd"/>
      <w:r w:rsidRPr="00520861">
        <w:rPr>
          <w:rFonts w:eastAsiaTheme="minorHAnsi"/>
          <w:sz w:val="28"/>
          <w:szCs w:val="28"/>
          <w:lang w:eastAsia="en-US"/>
        </w:rPr>
        <w:t>; 2011</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en-US" w:eastAsia="en-US"/>
        </w:rPr>
        <w:t xml:space="preserve">P. </w:t>
      </w:r>
      <w:r w:rsidRPr="00520861">
        <w:rPr>
          <w:rFonts w:eastAsiaTheme="minorHAnsi"/>
          <w:sz w:val="28"/>
          <w:szCs w:val="28"/>
          <w:lang w:eastAsia="en-US"/>
        </w:rPr>
        <w:t>449–</w:t>
      </w:r>
      <w:r w:rsidRPr="00520861">
        <w:rPr>
          <w:rFonts w:eastAsiaTheme="minorHAnsi"/>
          <w:sz w:val="28"/>
          <w:szCs w:val="28"/>
          <w:lang w:val="en-US" w:eastAsia="en-US"/>
        </w:rPr>
        <w:t>4</w:t>
      </w:r>
      <w:r w:rsidRPr="00520861">
        <w:rPr>
          <w:rFonts w:eastAsiaTheme="minorHAnsi"/>
          <w:sz w:val="28"/>
          <w:szCs w:val="28"/>
          <w:lang w:eastAsia="en-US"/>
        </w:rPr>
        <w:t>72.</w:t>
      </w:r>
    </w:p>
    <w:p w14:paraId="6832548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Calibri"/>
          <w:sz w:val="28"/>
          <w:szCs w:val="28"/>
          <w:lang w:eastAsia="en-US"/>
        </w:rPr>
        <w:t>Guo</w:t>
      </w:r>
      <w:proofErr w:type="spellEnd"/>
      <w:r w:rsidRPr="00520861">
        <w:rPr>
          <w:rFonts w:eastAsia="Calibri"/>
          <w:sz w:val="28"/>
          <w:szCs w:val="28"/>
          <w:lang w:eastAsia="en-US"/>
        </w:rPr>
        <w:t xml:space="preserve"> W, </w:t>
      </w:r>
      <w:proofErr w:type="spellStart"/>
      <w:r w:rsidRPr="00520861">
        <w:rPr>
          <w:rFonts w:eastAsia="Calibri"/>
          <w:sz w:val="28"/>
          <w:szCs w:val="28"/>
          <w:lang w:eastAsia="en-US"/>
        </w:rPr>
        <w:t>Li</w:t>
      </w:r>
      <w:proofErr w:type="spellEnd"/>
      <w:r w:rsidRPr="00520861">
        <w:rPr>
          <w:rFonts w:eastAsia="Calibri"/>
          <w:sz w:val="28"/>
          <w:szCs w:val="28"/>
          <w:lang w:val="da-DK" w:eastAsia="en-US"/>
        </w:rPr>
        <w:t xml:space="preserve"> </w:t>
      </w:r>
      <w:r w:rsidRPr="00520861">
        <w:rPr>
          <w:rFonts w:eastAsia="Calibri"/>
          <w:sz w:val="28"/>
          <w:szCs w:val="28"/>
          <w:lang w:eastAsia="en-US"/>
        </w:rPr>
        <w:t xml:space="preserve">F, </w:t>
      </w:r>
      <w:proofErr w:type="spellStart"/>
      <w:r w:rsidRPr="00520861">
        <w:rPr>
          <w:rFonts w:eastAsia="Calibri"/>
          <w:sz w:val="28"/>
          <w:szCs w:val="28"/>
          <w:lang w:eastAsia="en-US"/>
        </w:rPr>
        <w:t>Zhu</w:t>
      </w:r>
      <w:proofErr w:type="spellEnd"/>
      <w:r w:rsidRPr="00520861">
        <w:rPr>
          <w:rFonts w:eastAsia="Calibri"/>
          <w:sz w:val="28"/>
          <w:szCs w:val="28"/>
          <w:lang w:eastAsia="en-US"/>
        </w:rPr>
        <w:t xml:space="preserve"> C, </w:t>
      </w:r>
      <w:proofErr w:type="spellStart"/>
      <w:r w:rsidRPr="00520861">
        <w:rPr>
          <w:rFonts w:eastAsia="Calibri"/>
          <w:sz w:val="28"/>
          <w:szCs w:val="28"/>
          <w:lang w:eastAsia="en-US"/>
        </w:rPr>
        <w:t>Wang</w:t>
      </w:r>
      <w:proofErr w:type="spellEnd"/>
      <w:r w:rsidRPr="00520861">
        <w:rPr>
          <w:rFonts w:eastAsia="Calibri"/>
          <w:sz w:val="28"/>
          <w:szCs w:val="28"/>
          <w:lang w:eastAsia="en-US"/>
        </w:rPr>
        <w:t xml:space="preserve"> B, </w:t>
      </w:r>
      <w:proofErr w:type="spellStart"/>
      <w:r w:rsidRPr="00520861">
        <w:rPr>
          <w:rFonts w:eastAsia="Calibri"/>
          <w:sz w:val="28"/>
          <w:szCs w:val="28"/>
          <w:lang w:eastAsia="en-US"/>
        </w:rPr>
        <w:t>Wang</w:t>
      </w:r>
      <w:proofErr w:type="spellEnd"/>
      <w:r w:rsidRPr="00520861">
        <w:rPr>
          <w:rFonts w:eastAsia="Calibri"/>
          <w:sz w:val="28"/>
          <w:szCs w:val="28"/>
          <w:lang w:eastAsia="en-US"/>
        </w:rPr>
        <w:t xml:space="preserve"> K, </w:t>
      </w:r>
      <w:proofErr w:type="spellStart"/>
      <w:r w:rsidRPr="00520861">
        <w:rPr>
          <w:rFonts w:eastAsia="Calibri"/>
          <w:sz w:val="28"/>
          <w:szCs w:val="28"/>
          <w:lang w:eastAsia="en-US"/>
        </w:rPr>
        <w:t>Dai</w:t>
      </w:r>
      <w:proofErr w:type="spellEnd"/>
      <w:r w:rsidRPr="00520861">
        <w:rPr>
          <w:rFonts w:eastAsia="Calibri"/>
          <w:sz w:val="28"/>
          <w:szCs w:val="28"/>
          <w:lang w:eastAsia="en-US"/>
        </w:rPr>
        <w:t xml:space="preserve"> C, </w:t>
      </w:r>
      <w:r w:rsidRPr="00520861">
        <w:rPr>
          <w:rFonts w:eastAsia="Calibri"/>
          <w:sz w:val="28"/>
          <w:szCs w:val="28"/>
          <w:lang w:val="da-DK" w:eastAsia="en-US"/>
        </w:rPr>
        <w:t>et al</w:t>
      </w:r>
      <w:r w:rsidRPr="00520861">
        <w:rPr>
          <w:rFonts w:eastAsia="Calibri"/>
          <w:sz w:val="28"/>
          <w:szCs w:val="28"/>
          <w:lang w:eastAsia="en-US"/>
        </w:rPr>
        <w:t xml:space="preserve">. </w:t>
      </w:r>
      <w:proofErr w:type="spellStart"/>
      <w:r w:rsidRPr="00520861">
        <w:rPr>
          <w:rFonts w:eastAsia="Calibri"/>
          <w:sz w:val="28"/>
          <w:szCs w:val="28"/>
          <w:lang w:eastAsia="en-US"/>
        </w:rPr>
        <w:t>Effect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hypercortisolism</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mineral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density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metabolism</w:t>
      </w:r>
      <w:proofErr w:type="spellEnd"/>
      <w:r w:rsidRPr="00520861">
        <w:rPr>
          <w:rFonts w:eastAsia="Calibri"/>
          <w:sz w:val="28"/>
          <w:szCs w:val="28"/>
          <w:lang w:eastAsia="en-US"/>
        </w:rPr>
        <w:t xml:space="preserve">: A </w:t>
      </w:r>
      <w:proofErr w:type="spellStart"/>
      <w:r w:rsidRPr="00520861">
        <w:rPr>
          <w:rFonts w:eastAsia="Calibri"/>
          <w:sz w:val="28"/>
          <w:szCs w:val="28"/>
          <w:lang w:eastAsia="en-US"/>
        </w:rPr>
        <w:t>potential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protective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effect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adrenocorticotropic</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hormone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patients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Cushing’s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disease</w:t>
      </w:r>
      <w:proofErr w:type="spellEnd"/>
      <w:r w:rsidRPr="00520861">
        <w:rPr>
          <w:rFonts w:eastAsia="Calibri"/>
          <w:sz w:val="28"/>
          <w:szCs w:val="28"/>
          <w:lang w:val="en-US" w:eastAsia="en-US"/>
        </w:rPr>
        <w:t xml:space="preserve">. </w:t>
      </w:r>
      <w:r w:rsidRPr="00520861">
        <w:rPr>
          <w:rFonts w:eastAsia="Calibri"/>
          <w:i/>
          <w:sz w:val="28"/>
          <w:szCs w:val="28"/>
          <w:lang w:eastAsia="en-US"/>
        </w:rPr>
        <w:t xml:space="preserve">J </w:t>
      </w:r>
      <w:proofErr w:type="spellStart"/>
      <w:r w:rsidRPr="00520861">
        <w:rPr>
          <w:rFonts w:eastAsia="Calibri"/>
          <w:i/>
          <w:sz w:val="28"/>
          <w:szCs w:val="28"/>
          <w:lang w:eastAsia="en-US"/>
        </w:rPr>
        <w:t>Int</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Med</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Res</w:t>
      </w:r>
      <w:proofErr w:type="spellEnd"/>
      <w:r w:rsidRPr="00520861">
        <w:rPr>
          <w:rFonts w:eastAsia="Calibri"/>
          <w:i/>
          <w:sz w:val="28"/>
          <w:szCs w:val="28"/>
          <w:lang w:eastAsia="en-US"/>
        </w:rPr>
        <w:t xml:space="preserve">. </w:t>
      </w:r>
      <w:r w:rsidRPr="00520861">
        <w:rPr>
          <w:rFonts w:eastAsia="Calibri"/>
          <w:sz w:val="28"/>
          <w:szCs w:val="28"/>
          <w:lang w:eastAsia="en-US"/>
        </w:rPr>
        <w:t>2018;46(1):</w:t>
      </w:r>
      <w:r w:rsidRPr="00520861">
        <w:rPr>
          <w:rFonts w:eastAsia="Calibri"/>
          <w:sz w:val="28"/>
          <w:szCs w:val="28"/>
          <w:lang w:val="en-US" w:eastAsia="en-US"/>
        </w:rPr>
        <w:t xml:space="preserve"> </w:t>
      </w:r>
      <w:r w:rsidRPr="00520861">
        <w:rPr>
          <w:rFonts w:eastAsia="Calibri"/>
          <w:sz w:val="28"/>
          <w:szCs w:val="28"/>
          <w:lang w:eastAsia="en-US"/>
        </w:rPr>
        <w:t>492</w:t>
      </w:r>
      <w:r w:rsidRPr="00520861">
        <w:rPr>
          <w:rFonts w:eastAsia="Calibri"/>
          <w:sz w:val="28"/>
          <w:szCs w:val="28"/>
          <w:lang w:val="en-US" w:eastAsia="en-US"/>
        </w:rPr>
        <w:t>–</w:t>
      </w:r>
      <w:r w:rsidRPr="00520861">
        <w:rPr>
          <w:rFonts w:eastAsia="Calibri"/>
          <w:sz w:val="28"/>
          <w:szCs w:val="28"/>
          <w:lang w:eastAsia="en-US"/>
        </w:rPr>
        <w:t>503</w:t>
      </w:r>
      <w:r w:rsidRPr="00520861">
        <w:rPr>
          <w:rFonts w:eastAsia="Calibri"/>
          <w:i/>
          <w:sz w:val="28"/>
          <w:szCs w:val="28"/>
          <w:lang w:eastAsia="en-US"/>
        </w:rPr>
        <w:t>.</w:t>
      </w:r>
      <w:r w:rsidRPr="00520861">
        <w:rPr>
          <w:rFonts w:eastAsia="Calibri"/>
          <w: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Calibri"/>
          <w:sz w:val="28"/>
          <w:szCs w:val="28"/>
          <w:lang w:eastAsia="en-US"/>
        </w:rPr>
        <w:t xml:space="preserve"> 10.1177/0300060517725660</w:t>
      </w:r>
      <w:r w:rsidRPr="00520861">
        <w:rPr>
          <w:rFonts w:eastAsia="Calibri"/>
          <w:sz w:val="28"/>
          <w:szCs w:val="28"/>
          <w:lang w:val="en-US" w:eastAsia="en-US"/>
        </w:rPr>
        <w:t>.</w:t>
      </w:r>
    </w:p>
    <w:p w14:paraId="6DE2AB9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Gupta</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Gingival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crevicular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fluid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diagnostic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indicator</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Host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derived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enzymes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tissue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breakdown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products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Life</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2012</w:t>
      </w:r>
      <w:r w:rsidRPr="00520861">
        <w:rPr>
          <w:rFonts w:eastAsiaTheme="minorHAnsi"/>
          <w:sz w:val="28"/>
          <w:szCs w:val="28"/>
          <w:lang w:val="en-US" w:eastAsia="en-US"/>
        </w:rPr>
        <w:t>;</w:t>
      </w:r>
      <w:r w:rsidRPr="00520861">
        <w:rPr>
          <w:rFonts w:eastAsiaTheme="minorHAnsi"/>
          <w:sz w:val="28"/>
          <w:szCs w:val="28"/>
          <w:lang w:eastAsia="en-US"/>
        </w:rPr>
        <w:t>5</w:t>
      </w:r>
      <w:r w:rsidRPr="00520861">
        <w:rPr>
          <w:rFonts w:eastAsiaTheme="minorHAnsi"/>
          <w:sz w:val="28"/>
          <w:szCs w:val="28"/>
          <w:lang w:val="en-US" w:eastAsia="en-US"/>
        </w:rPr>
        <w:t>(</w:t>
      </w:r>
      <w:r w:rsidRPr="00520861">
        <w:rPr>
          <w:rFonts w:eastAsiaTheme="minorHAnsi"/>
          <w:sz w:val="28"/>
          <w:szCs w:val="28"/>
          <w:lang w:eastAsia="en-US"/>
        </w:rPr>
        <w:t>4</w:t>
      </w:r>
      <w:r w:rsidRPr="00520861">
        <w:rPr>
          <w:rFonts w:eastAsiaTheme="minorHAnsi"/>
          <w:sz w:val="28"/>
          <w:szCs w:val="28"/>
          <w:lang w:val="en-US" w:eastAsia="en-US"/>
        </w:rPr>
        <w:t xml:space="preserve">): </w:t>
      </w:r>
      <w:r w:rsidRPr="00520861">
        <w:rPr>
          <w:rFonts w:eastAsiaTheme="minorHAnsi"/>
          <w:sz w:val="28"/>
          <w:szCs w:val="28"/>
          <w:lang w:eastAsia="en-US"/>
        </w:rPr>
        <w:t>390–397.</w:t>
      </w:r>
    </w:p>
    <w:p w14:paraId="2BDCCDA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Haddad</w:t>
      </w:r>
      <w:proofErr w:type="spellEnd"/>
      <w:r w:rsidRPr="00520861">
        <w:rPr>
          <w:rFonts w:eastAsiaTheme="minorHAnsi"/>
          <w:sz w:val="28"/>
          <w:szCs w:val="28"/>
          <w:lang w:eastAsia="en-US"/>
        </w:rPr>
        <w:t xml:space="preserve"> AE</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Correa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MS.The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number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primary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teeth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cross-sectional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2005;29(4):</w:t>
      </w:r>
      <w:r w:rsidRPr="00520861">
        <w:rPr>
          <w:rFonts w:eastAsiaTheme="minorHAnsi"/>
          <w:sz w:val="28"/>
          <w:szCs w:val="28"/>
          <w:lang w:val="en-US" w:eastAsia="en-US"/>
        </w:rPr>
        <w:t xml:space="preserve"> </w:t>
      </w:r>
      <w:r w:rsidRPr="00520861">
        <w:rPr>
          <w:rFonts w:eastAsiaTheme="minorHAnsi"/>
          <w:sz w:val="28"/>
          <w:szCs w:val="28"/>
          <w:lang w:eastAsia="en-US"/>
        </w:rPr>
        <w:t>357–</w:t>
      </w:r>
      <w:r w:rsidRPr="00520861">
        <w:rPr>
          <w:rFonts w:eastAsiaTheme="minorHAnsi"/>
          <w:sz w:val="28"/>
          <w:szCs w:val="28"/>
          <w:lang w:val="en-US" w:eastAsia="en-US"/>
        </w:rPr>
        <w:t>3</w:t>
      </w:r>
      <w:r w:rsidRPr="00520861">
        <w:rPr>
          <w:rFonts w:eastAsiaTheme="minorHAnsi"/>
          <w:sz w:val="28"/>
          <w:szCs w:val="28"/>
          <w:lang w:eastAsia="en-US"/>
        </w:rPr>
        <w:t>62.</w:t>
      </w:r>
    </w:p>
    <w:p w14:paraId="50CAD37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Hafiz</w:t>
      </w:r>
      <w:proofErr w:type="spellEnd"/>
      <w:r w:rsidRPr="00520861">
        <w:rPr>
          <w:rFonts w:eastAsiaTheme="minorHAnsi"/>
          <w:sz w:val="28"/>
          <w:szCs w:val="28"/>
          <w:lang w:eastAsia="en-US"/>
        </w:rPr>
        <w:t xml:space="preserve"> ZZ. </w:t>
      </w:r>
      <w:proofErr w:type="spellStart"/>
      <w:r w:rsidRPr="00520861">
        <w:rPr>
          <w:rFonts w:eastAsiaTheme="minorHAnsi"/>
          <w:sz w:val="28"/>
          <w:szCs w:val="28"/>
          <w:lang w:eastAsia="en-US"/>
        </w:rPr>
        <w:t>Ectopic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maxillary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first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permanent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molar</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w:t>
      </w:r>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report</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Disord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Ther</w:t>
      </w:r>
      <w:proofErr w:type="spellEnd"/>
      <w:r w:rsidRPr="00520861">
        <w:rPr>
          <w:rFonts w:eastAsiaTheme="minorHAnsi"/>
          <w:sz w:val="28"/>
          <w:szCs w:val="28"/>
          <w:lang w:eastAsia="en-US"/>
        </w:rPr>
        <w:t>. 2018;9(2):</w:t>
      </w:r>
      <w:r w:rsidRPr="00520861">
        <w:rPr>
          <w:rFonts w:eastAsiaTheme="minorHAnsi"/>
          <w:sz w:val="28"/>
          <w:szCs w:val="28"/>
          <w:lang w:val="en-US" w:eastAsia="en-US"/>
        </w:rPr>
        <w:t xml:space="preserve"> </w:t>
      </w:r>
      <w:r w:rsidRPr="00520861">
        <w:rPr>
          <w:rFonts w:eastAsiaTheme="minorHAnsi"/>
          <w:sz w:val="28"/>
          <w:szCs w:val="28"/>
          <w:lang w:eastAsia="en-US"/>
        </w:rPr>
        <w:t xml:space="preserve">154–158.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10.15406/jdhodt.2018.09.00349</w:t>
      </w:r>
      <w:r w:rsidRPr="00520861">
        <w:rPr>
          <w:rFonts w:eastAsiaTheme="minorHAnsi"/>
          <w:sz w:val="28"/>
          <w:szCs w:val="28"/>
          <w:lang w:val="en-US" w:eastAsia="en-US"/>
        </w:rPr>
        <w:t>.</w:t>
      </w:r>
    </w:p>
    <w:p w14:paraId="10204F5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Harder</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Plagemann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Harder</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neuroblastoma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meta-analysis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Epidemiol</w:t>
      </w:r>
      <w:proofErr w:type="spellEnd"/>
      <w:r w:rsidRPr="00520861">
        <w:rPr>
          <w:rFonts w:eastAsiaTheme="minorHAnsi"/>
          <w:sz w:val="28"/>
          <w:szCs w:val="28"/>
          <w:lang w:eastAsia="en-US"/>
        </w:rPr>
        <w:t>. 2010;39(3):</w:t>
      </w:r>
      <w:r w:rsidRPr="00520861">
        <w:rPr>
          <w:rFonts w:eastAsiaTheme="minorHAnsi"/>
          <w:sz w:val="28"/>
          <w:szCs w:val="28"/>
          <w:lang w:val="en-US" w:eastAsia="en-US"/>
        </w:rPr>
        <w:t xml:space="preserve"> </w:t>
      </w:r>
      <w:r w:rsidRPr="00520861">
        <w:rPr>
          <w:rFonts w:eastAsiaTheme="minorHAnsi"/>
          <w:sz w:val="28"/>
          <w:szCs w:val="28"/>
          <w:lang w:eastAsia="en-US"/>
        </w:rPr>
        <w:t xml:space="preserve">746–756.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10.1093/</w:t>
      </w:r>
      <w:proofErr w:type="spellStart"/>
      <w:r w:rsidRPr="00520861">
        <w:rPr>
          <w:rFonts w:eastAsiaTheme="minorHAnsi"/>
          <w:sz w:val="28"/>
          <w:szCs w:val="28"/>
          <w:lang w:eastAsia="en-US"/>
        </w:rPr>
        <w:t>ije</w:t>
      </w:r>
      <w:proofErr w:type="spellEnd"/>
      <w:r w:rsidRPr="00520861">
        <w:rPr>
          <w:rFonts w:eastAsiaTheme="minorHAnsi"/>
          <w:sz w:val="28"/>
          <w:szCs w:val="28"/>
          <w:lang w:eastAsia="en-US"/>
        </w:rPr>
        <w:t>/dyq040</w:t>
      </w:r>
      <w:r w:rsidRPr="00520861">
        <w:rPr>
          <w:rFonts w:eastAsiaTheme="minorHAnsi"/>
          <w:sz w:val="28"/>
          <w:szCs w:val="28"/>
          <w:lang w:val="en-US" w:eastAsia="en-US"/>
        </w:rPr>
        <w:t>.</w:t>
      </w:r>
    </w:p>
    <w:p w14:paraId="429133F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Hardy-Weinberg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Equilibrium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Calculator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2 </w:t>
      </w:r>
      <w:proofErr w:type="spellStart"/>
      <w:r w:rsidRPr="00520861">
        <w:rPr>
          <w:rFonts w:eastAsiaTheme="minorHAnsi"/>
          <w:sz w:val="28"/>
          <w:szCs w:val="28"/>
          <w:lang w:eastAsia="en-US"/>
        </w:rPr>
        <w:t>Alleles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Calculator</w:t>
      </w:r>
      <w:proofErr w:type="spellEnd"/>
      <w:r w:rsidRPr="00520861">
        <w:rPr>
          <w:rFonts w:eastAsiaTheme="minorHAnsi"/>
          <w:sz w:val="28"/>
          <w:szCs w:val="28"/>
          <w:lang w:val="en-US" w:eastAsia="en-US"/>
        </w:rPr>
        <w:t xml:space="preserve"> [Internet].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https://health.icalculator.info/hardy-weinberg-equilibrium-for-two-lleles-calculator.html.</w:t>
      </w:r>
    </w:p>
    <w:p w14:paraId="5782953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Harvey</w:t>
      </w:r>
      <w:proofErr w:type="spellEnd"/>
      <w:r w:rsidRPr="00520861">
        <w:rPr>
          <w:rFonts w:eastAsiaTheme="minorHAnsi"/>
          <w:sz w:val="28"/>
          <w:szCs w:val="28"/>
          <w:lang w:eastAsia="en-US"/>
        </w:rPr>
        <w:t xml:space="preserve"> NC, </w:t>
      </w:r>
      <w:proofErr w:type="spellStart"/>
      <w:r w:rsidRPr="00520861">
        <w:rPr>
          <w:rFonts w:eastAsiaTheme="minorHAnsi"/>
          <w:sz w:val="28"/>
          <w:szCs w:val="28"/>
          <w:lang w:eastAsia="en-US"/>
        </w:rPr>
        <w:t>Mahon</w:t>
      </w:r>
      <w:proofErr w:type="spellEnd"/>
      <w:r w:rsidRPr="00520861">
        <w:rPr>
          <w:rFonts w:eastAsiaTheme="minorHAnsi"/>
          <w:sz w:val="28"/>
          <w:szCs w:val="28"/>
          <w:lang w:eastAsia="en-US"/>
        </w:rPr>
        <w:t xml:space="preserve"> PA, </w:t>
      </w:r>
      <w:proofErr w:type="spellStart"/>
      <w:r w:rsidRPr="00520861">
        <w:rPr>
          <w:rFonts w:eastAsiaTheme="minorHAnsi"/>
          <w:sz w:val="28"/>
          <w:szCs w:val="28"/>
          <w:lang w:eastAsia="en-US"/>
        </w:rPr>
        <w:t>Robinson</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Nisbet</w:t>
      </w:r>
      <w:proofErr w:type="spellEnd"/>
      <w:r w:rsidRPr="00520861">
        <w:rPr>
          <w:rFonts w:eastAsiaTheme="minorHAnsi"/>
          <w:sz w:val="28"/>
          <w:szCs w:val="28"/>
          <w:lang w:eastAsia="en-US"/>
        </w:rPr>
        <w:t xml:space="preserve"> CE, </w:t>
      </w:r>
      <w:proofErr w:type="spellStart"/>
      <w:r w:rsidRPr="00520861">
        <w:rPr>
          <w:rFonts w:eastAsiaTheme="minorHAnsi"/>
          <w:sz w:val="28"/>
          <w:szCs w:val="28"/>
          <w:lang w:eastAsia="en-US"/>
        </w:rPr>
        <w:t>Javaid</w:t>
      </w:r>
      <w:proofErr w:type="spellEnd"/>
      <w:r w:rsidRPr="00520861">
        <w:rPr>
          <w:rFonts w:eastAsiaTheme="minorHAnsi"/>
          <w:sz w:val="28"/>
          <w:szCs w:val="28"/>
          <w:lang w:eastAsia="en-US"/>
        </w:rPr>
        <w:t xml:space="preserve"> MK, </w:t>
      </w:r>
      <w:proofErr w:type="spellStart"/>
      <w:r w:rsidRPr="00520861">
        <w:rPr>
          <w:rFonts w:eastAsiaTheme="minorHAnsi"/>
          <w:sz w:val="28"/>
          <w:szCs w:val="28"/>
          <w:lang w:eastAsia="en-US"/>
        </w:rPr>
        <w:t>Crozier</w:t>
      </w:r>
      <w:proofErr w:type="spellEnd"/>
      <w:r w:rsidRPr="00520861">
        <w:rPr>
          <w:rFonts w:eastAsiaTheme="minorHAnsi"/>
          <w:sz w:val="28"/>
          <w:szCs w:val="28"/>
          <w:lang w:eastAsia="en-US"/>
        </w:rPr>
        <w:t xml:space="preserve"> SR,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Different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indices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predict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size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volumetric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4 </w:t>
      </w:r>
      <w:proofErr w:type="spellStart"/>
      <w:r w:rsidRPr="00520861">
        <w:rPr>
          <w:rFonts w:eastAsiaTheme="minorHAnsi"/>
          <w:sz w:val="28"/>
          <w:szCs w:val="28"/>
          <w:lang w:eastAsia="en-US"/>
        </w:rPr>
        <w:t>years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2010;25(4):</w:t>
      </w:r>
      <w:r w:rsidRPr="00520861">
        <w:rPr>
          <w:rFonts w:eastAsiaTheme="minorHAnsi"/>
          <w:sz w:val="28"/>
          <w:szCs w:val="28"/>
          <w:lang w:val="en-US" w:eastAsia="en-US"/>
        </w:rPr>
        <w:t xml:space="preserve"> </w:t>
      </w:r>
      <w:r w:rsidRPr="00520861">
        <w:rPr>
          <w:rFonts w:eastAsiaTheme="minorHAnsi"/>
          <w:sz w:val="28"/>
          <w:szCs w:val="28"/>
          <w:lang w:eastAsia="en-US"/>
        </w:rPr>
        <w:t>920–</w:t>
      </w:r>
      <w:r w:rsidRPr="00520861">
        <w:rPr>
          <w:rFonts w:eastAsiaTheme="minorHAnsi"/>
          <w:sz w:val="28"/>
          <w:szCs w:val="28"/>
          <w:lang w:val="en-US" w:eastAsia="en-US"/>
        </w:rPr>
        <w:t>92</w:t>
      </w:r>
      <w:r w:rsidRPr="00520861">
        <w:rPr>
          <w:rFonts w:eastAsiaTheme="minorHAnsi"/>
          <w:sz w:val="28"/>
          <w:szCs w:val="28"/>
          <w:lang w:eastAsia="en-US"/>
        </w:rPr>
        <w:t xml:space="preserve">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10.1359/jbmr.091022.</w:t>
      </w:r>
    </w:p>
    <w:p w14:paraId="47A44C8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sz w:val="28"/>
          <w:szCs w:val="28"/>
          <w:lang w:val="en-US"/>
        </w:rPr>
        <w:t>Haydar</w:t>
      </w:r>
      <w:proofErr w:type="spellEnd"/>
      <w:r w:rsidRPr="00520861">
        <w:rPr>
          <w:rFonts w:eastAsia="Calibri"/>
          <w:sz w:val="28"/>
          <w:szCs w:val="28"/>
          <w:lang w:eastAsia="en-US"/>
        </w:rPr>
        <w:t xml:space="preserve"> </w:t>
      </w:r>
      <w:r w:rsidRPr="00520861">
        <w:rPr>
          <w:sz w:val="28"/>
          <w:szCs w:val="28"/>
          <w:lang w:val="en-US"/>
        </w:rPr>
        <w:t>M</w:t>
      </w:r>
      <w:r w:rsidRPr="00520861">
        <w:rPr>
          <w:sz w:val="28"/>
          <w:szCs w:val="28"/>
        </w:rPr>
        <w:t xml:space="preserve">. </w:t>
      </w:r>
      <w:r w:rsidRPr="00520861">
        <w:rPr>
          <w:sz w:val="28"/>
          <w:szCs w:val="28"/>
          <w:lang w:val="en-US"/>
        </w:rPr>
        <w:t>A</w:t>
      </w:r>
      <w:r w:rsidRPr="00520861">
        <w:rPr>
          <w:sz w:val="28"/>
          <w:szCs w:val="28"/>
        </w:rPr>
        <w:t xml:space="preserve"> </w:t>
      </w:r>
      <w:r w:rsidRPr="00520861">
        <w:rPr>
          <w:sz w:val="28"/>
          <w:szCs w:val="28"/>
          <w:lang w:val="en-US"/>
        </w:rPr>
        <w:t>review</w:t>
      </w:r>
      <w:r w:rsidRPr="00520861">
        <w:rPr>
          <w:sz w:val="28"/>
          <w:szCs w:val="28"/>
        </w:rPr>
        <w:t xml:space="preserve"> </w:t>
      </w:r>
      <w:r w:rsidRPr="00520861">
        <w:rPr>
          <w:sz w:val="28"/>
          <w:szCs w:val="28"/>
          <w:lang w:val="en-US"/>
        </w:rPr>
        <w:t>on</w:t>
      </w:r>
      <w:r w:rsidRPr="00520861">
        <w:rPr>
          <w:sz w:val="28"/>
          <w:szCs w:val="28"/>
        </w:rPr>
        <w:t xml:space="preserve"> </w:t>
      </w:r>
      <w:r w:rsidRPr="00520861">
        <w:rPr>
          <w:sz w:val="28"/>
          <w:szCs w:val="28"/>
          <w:lang w:val="en-US"/>
        </w:rPr>
        <w:t>saliva</w:t>
      </w:r>
      <w:r w:rsidRPr="00520861">
        <w:rPr>
          <w:sz w:val="28"/>
          <w:szCs w:val="28"/>
        </w:rPr>
        <w:t xml:space="preserve"> </w:t>
      </w:r>
      <w:r w:rsidRPr="00520861">
        <w:rPr>
          <w:sz w:val="28"/>
          <w:szCs w:val="28"/>
          <w:lang w:val="en-US"/>
        </w:rPr>
        <w:t>implication</w:t>
      </w:r>
      <w:r w:rsidRPr="00520861">
        <w:rPr>
          <w:sz w:val="28"/>
          <w:szCs w:val="28"/>
        </w:rPr>
        <w:t xml:space="preserve"> </w:t>
      </w:r>
      <w:r w:rsidRPr="00520861">
        <w:rPr>
          <w:sz w:val="28"/>
          <w:szCs w:val="28"/>
          <w:lang w:val="en-US"/>
        </w:rPr>
        <w:t>in</w:t>
      </w:r>
      <w:r w:rsidRPr="00520861">
        <w:rPr>
          <w:sz w:val="28"/>
          <w:szCs w:val="28"/>
        </w:rPr>
        <w:t xml:space="preserve"> </w:t>
      </w:r>
      <w:r w:rsidRPr="00520861">
        <w:rPr>
          <w:sz w:val="28"/>
          <w:szCs w:val="28"/>
          <w:lang w:val="en-US"/>
        </w:rPr>
        <w:t>caries</w:t>
      </w:r>
      <w:r w:rsidRPr="00520861">
        <w:rPr>
          <w:sz w:val="28"/>
          <w:szCs w:val="28"/>
        </w:rPr>
        <w:t xml:space="preserve"> </w:t>
      </w:r>
      <w:r w:rsidRPr="00520861">
        <w:rPr>
          <w:sz w:val="28"/>
          <w:szCs w:val="28"/>
          <w:lang w:val="en-US"/>
        </w:rPr>
        <w:t>development</w:t>
      </w:r>
      <w:r w:rsidRPr="00520861">
        <w:rPr>
          <w:sz w:val="28"/>
          <w:szCs w:val="28"/>
        </w:rPr>
        <w:t xml:space="preserve"> </w:t>
      </w:r>
      <w:r w:rsidRPr="00520861">
        <w:rPr>
          <w:sz w:val="28"/>
          <w:szCs w:val="28"/>
          <w:lang w:val="en-US"/>
        </w:rPr>
        <w:t>and</w:t>
      </w:r>
      <w:r w:rsidRPr="00520861">
        <w:rPr>
          <w:sz w:val="28"/>
          <w:szCs w:val="28"/>
        </w:rPr>
        <w:t xml:space="preserve"> </w:t>
      </w:r>
      <w:r w:rsidRPr="00520861">
        <w:rPr>
          <w:sz w:val="28"/>
          <w:szCs w:val="28"/>
          <w:lang w:val="en-US"/>
        </w:rPr>
        <w:t>consequences</w:t>
      </w:r>
      <w:r w:rsidRPr="00520861">
        <w:rPr>
          <w:sz w:val="28"/>
          <w:szCs w:val="28"/>
        </w:rPr>
        <w:t xml:space="preserve"> </w:t>
      </w:r>
      <w:r w:rsidRPr="00520861">
        <w:rPr>
          <w:sz w:val="28"/>
          <w:szCs w:val="28"/>
          <w:lang w:val="en-US"/>
        </w:rPr>
        <w:t>on</w:t>
      </w:r>
      <w:r w:rsidRPr="00520861">
        <w:rPr>
          <w:sz w:val="28"/>
          <w:szCs w:val="28"/>
        </w:rPr>
        <w:t xml:space="preserve"> </w:t>
      </w:r>
      <w:r w:rsidRPr="00520861">
        <w:rPr>
          <w:sz w:val="28"/>
          <w:szCs w:val="28"/>
          <w:lang w:val="en-US"/>
        </w:rPr>
        <w:t>primary</w:t>
      </w:r>
      <w:r w:rsidRPr="00520861">
        <w:rPr>
          <w:sz w:val="28"/>
          <w:szCs w:val="28"/>
        </w:rPr>
        <w:t xml:space="preserve"> </w:t>
      </w:r>
      <w:r w:rsidRPr="00520861">
        <w:rPr>
          <w:sz w:val="28"/>
          <w:szCs w:val="28"/>
          <w:lang w:val="en-US"/>
        </w:rPr>
        <w:t>canines</w:t>
      </w:r>
      <w:r w:rsidRPr="00520861">
        <w:rPr>
          <w:sz w:val="28"/>
          <w:szCs w:val="28"/>
        </w:rPr>
        <w:t xml:space="preserve"> </w:t>
      </w:r>
      <w:r w:rsidRPr="00520861">
        <w:rPr>
          <w:sz w:val="28"/>
          <w:szCs w:val="28"/>
          <w:lang w:val="en-US"/>
        </w:rPr>
        <w:t>and</w:t>
      </w:r>
      <w:r w:rsidRPr="00520861">
        <w:rPr>
          <w:sz w:val="28"/>
          <w:szCs w:val="28"/>
        </w:rPr>
        <w:t xml:space="preserve"> </w:t>
      </w:r>
      <w:r w:rsidRPr="00520861">
        <w:rPr>
          <w:sz w:val="28"/>
          <w:szCs w:val="28"/>
          <w:lang w:val="en-US"/>
        </w:rPr>
        <w:t>molars</w:t>
      </w:r>
      <w:r w:rsidRPr="00520861">
        <w:rPr>
          <w:sz w:val="28"/>
          <w:szCs w:val="28"/>
        </w:rPr>
        <w:t xml:space="preserve">. </w:t>
      </w:r>
      <w:r w:rsidRPr="00520861">
        <w:rPr>
          <w:i/>
          <w:sz w:val="28"/>
          <w:szCs w:val="28"/>
          <w:lang w:val="en-US"/>
        </w:rPr>
        <w:t>International Dental &amp; Medical Journal of Advanced Research</w:t>
      </w:r>
      <w:r w:rsidRPr="00520861">
        <w:rPr>
          <w:sz w:val="28"/>
          <w:szCs w:val="28"/>
          <w:lang w:val="en-US"/>
        </w:rPr>
        <w:t>. 2017;3: 1–6.</w:t>
      </w:r>
    </w:p>
    <w:p w14:paraId="0519C60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Hayden</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Bowler</w:t>
      </w:r>
      <w:proofErr w:type="spellEnd"/>
      <w:r w:rsidRPr="00520861">
        <w:rPr>
          <w:rFonts w:eastAsiaTheme="minorHAnsi"/>
          <w:sz w:val="28"/>
          <w:szCs w:val="28"/>
          <w:lang w:eastAsia="en-US"/>
        </w:rPr>
        <w:t xml:space="preserve"> JO, </w:t>
      </w:r>
      <w:proofErr w:type="spellStart"/>
      <w:r w:rsidRPr="00520861">
        <w:rPr>
          <w:rFonts w:eastAsiaTheme="minorHAnsi"/>
          <w:sz w:val="28"/>
          <w:szCs w:val="28"/>
          <w:lang w:eastAsia="en-US"/>
        </w:rPr>
        <w:t>Chambers</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Freeman</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Humphris</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Richards</w:t>
      </w:r>
      <w:proofErr w:type="spellEnd"/>
      <w:r w:rsidRPr="00520861">
        <w:rPr>
          <w:rFonts w:eastAsiaTheme="minorHAnsi"/>
          <w:sz w:val="28"/>
          <w:szCs w:val="28"/>
          <w:lang w:eastAsia="en-US"/>
        </w:rPr>
        <w:t xml:space="preserve"> D, </w:t>
      </w:r>
      <w:r w:rsidRPr="00520861">
        <w:rPr>
          <w:rFonts w:eastAsiaTheme="minorHAnsi"/>
          <w:sz w:val="28"/>
          <w:szCs w:val="28"/>
          <w:lang w:val="en-US" w:eastAsia="en-US"/>
        </w:rPr>
        <w:t>et al.</w:t>
      </w:r>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meta-analysis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Community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Epidemiol</w:t>
      </w:r>
      <w:proofErr w:type="spellEnd"/>
      <w:r w:rsidRPr="00520861">
        <w:rPr>
          <w:rFonts w:eastAsiaTheme="minorHAnsi"/>
          <w:sz w:val="28"/>
          <w:szCs w:val="28"/>
          <w:lang w:eastAsia="en-US"/>
        </w:rPr>
        <w:t>. 2013;41(4):</w:t>
      </w:r>
      <w:r w:rsidRPr="00520861">
        <w:rPr>
          <w:rFonts w:eastAsiaTheme="minorHAnsi"/>
          <w:sz w:val="28"/>
          <w:szCs w:val="28"/>
          <w:lang w:val="en-US" w:eastAsia="en-US"/>
        </w:rPr>
        <w:t xml:space="preserve"> </w:t>
      </w:r>
      <w:r w:rsidRPr="00520861">
        <w:rPr>
          <w:rFonts w:eastAsiaTheme="minorHAnsi"/>
          <w:sz w:val="28"/>
          <w:szCs w:val="28"/>
          <w:lang w:eastAsia="en-US"/>
        </w:rPr>
        <w:t xml:space="preserve">289–308.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10.1111/cdoe.12014.</w:t>
      </w:r>
    </w:p>
    <w:p w14:paraId="48CF616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He</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Cao</w:t>
      </w:r>
      <w:proofErr w:type="spellEnd"/>
      <w:r w:rsidRPr="00520861">
        <w:rPr>
          <w:rFonts w:eastAsiaTheme="minorHAnsi"/>
          <w:sz w:val="28"/>
          <w:szCs w:val="28"/>
          <w:lang w:eastAsia="en-US"/>
        </w:rPr>
        <w:t xml:space="preserve"> X, </w:t>
      </w:r>
      <w:proofErr w:type="spellStart"/>
      <w:r w:rsidRPr="00520861">
        <w:rPr>
          <w:rFonts w:eastAsiaTheme="minorHAnsi"/>
          <w:sz w:val="28"/>
          <w:szCs w:val="28"/>
          <w:lang w:eastAsia="en-US"/>
        </w:rPr>
        <w:t>Meng</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Li</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Sha</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type</w:t>
      </w:r>
      <w:proofErr w:type="spellEnd"/>
      <w:r w:rsidRPr="00520861">
        <w:rPr>
          <w:rFonts w:eastAsiaTheme="minorHAnsi"/>
          <w:sz w:val="28"/>
          <w:szCs w:val="28"/>
          <w:lang w:eastAsia="en-US"/>
        </w:rPr>
        <w:t xml:space="preserve"> 2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mellitus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Abstracts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European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Federation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Periodontology</w:t>
      </w:r>
      <w:proofErr w:type="spellEnd"/>
      <w:r w:rsidRPr="00520861">
        <w:rPr>
          <w:rFonts w:eastAsiaTheme="minorHAnsi"/>
          <w:sz w:val="28"/>
          <w:szCs w:val="28"/>
          <w:lang w:eastAsia="en-US"/>
        </w:rPr>
        <w:t>. 2012;14</w:t>
      </w:r>
      <w:r w:rsidRPr="00520861">
        <w:rPr>
          <w:rFonts w:eastAsiaTheme="minorHAnsi"/>
          <w:sz w:val="28"/>
          <w:szCs w:val="28"/>
          <w:lang w:val="en-US" w:eastAsia="en-US"/>
        </w:rPr>
        <w:t>:142</w:t>
      </w:r>
      <w:r w:rsidRPr="00520861">
        <w:rPr>
          <w:rFonts w:eastAsiaTheme="minorHAnsi"/>
          <w:sz w:val="28"/>
          <w:szCs w:val="28"/>
          <w:lang w:eastAsia="en-US"/>
        </w:rPr>
        <w:t xml:space="preserve">.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10.1111/j.1600-051x-2012.</w:t>
      </w:r>
      <w:proofErr w:type="gramStart"/>
      <w:r w:rsidRPr="00520861">
        <w:rPr>
          <w:rFonts w:eastAsiaTheme="minorHAnsi"/>
          <w:sz w:val="28"/>
          <w:szCs w:val="28"/>
          <w:lang w:eastAsia="en-US"/>
        </w:rPr>
        <w:t>01891.x</w:t>
      </w:r>
      <w:r w:rsidRPr="00520861">
        <w:rPr>
          <w:rFonts w:eastAsiaTheme="minorHAnsi"/>
          <w:sz w:val="28"/>
          <w:szCs w:val="28"/>
          <w:lang w:val="en-US" w:eastAsia="en-US"/>
        </w:rPr>
        <w:t>.</w:t>
      </w:r>
      <w:proofErr w:type="gramEnd"/>
    </w:p>
    <w:p w14:paraId="56D851E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Hehir</w:t>
      </w:r>
      <w:proofErr w:type="spellEnd"/>
      <w:r w:rsidRPr="00520861">
        <w:rPr>
          <w:rFonts w:eastAsiaTheme="minorHAnsi"/>
          <w:sz w:val="28"/>
          <w:szCs w:val="28"/>
          <w:lang w:eastAsia="en-US"/>
        </w:rPr>
        <w:t xml:space="preserve"> MP, </w:t>
      </w:r>
      <w:proofErr w:type="spellStart"/>
      <w:r w:rsidRPr="00520861">
        <w:rPr>
          <w:rFonts w:eastAsiaTheme="minorHAnsi"/>
          <w:sz w:val="28"/>
          <w:szCs w:val="28"/>
          <w:lang w:eastAsia="en-US"/>
        </w:rPr>
        <w:t>Mchugh</w:t>
      </w:r>
      <w:proofErr w:type="spellEnd"/>
      <w:r w:rsidRPr="00520861">
        <w:rPr>
          <w:rFonts w:eastAsiaTheme="minorHAnsi"/>
          <w:sz w:val="28"/>
          <w:szCs w:val="28"/>
          <w:lang w:eastAsia="en-US"/>
        </w:rPr>
        <w:t xml:space="preserve"> AF, </w:t>
      </w:r>
      <w:proofErr w:type="spellStart"/>
      <w:r w:rsidRPr="00520861">
        <w:rPr>
          <w:rFonts w:eastAsiaTheme="minorHAnsi"/>
          <w:sz w:val="28"/>
          <w:szCs w:val="28"/>
          <w:lang w:eastAsia="en-US"/>
        </w:rPr>
        <w:t>Maguire</w:t>
      </w:r>
      <w:proofErr w:type="spellEnd"/>
      <w:r w:rsidRPr="00520861">
        <w:rPr>
          <w:rFonts w:eastAsiaTheme="minorHAnsi"/>
          <w:sz w:val="28"/>
          <w:szCs w:val="28"/>
          <w:lang w:eastAsia="en-US"/>
        </w:rPr>
        <w:t xml:space="preserve"> PJ, </w:t>
      </w:r>
      <w:proofErr w:type="spellStart"/>
      <w:r w:rsidRPr="00520861">
        <w:rPr>
          <w:rFonts w:eastAsiaTheme="minorHAnsi"/>
          <w:sz w:val="28"/>
          <w:szCs w:val="28"/>
          <w:lang w:eastAsia="en-US"/>
        </w:rPr>
        <w:t>Mahony</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Extreme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obstetric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complications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birthweights</w:t>
      </w:r>
      <w:proofErr w:type="spellEnd"/>
      <w:r w:rsidRPr="00520861">
        <w:rPr>
          <w:rFonts w:eastAsiaTheme="minorHAnsi"/>
          <w:sz w:val="28"/>
          <w:szCs w:val="28"/>
          <w:lang w:eastAsia="en-US"/>
        </w:rPr>
        <w:t xml:space="preserve"> &gt;5000 g. </w:t>
      </w:r>
      <w:proofErr w:type="spellStart"/>
      <w:r w:rsidRPr="00520861">
        <w:rPr>
          <w:rFonts w:eastAsiaTheme="minorHAnsi"/>
          <w:i/>
          <w:sz w:val="28"/>
          <w:szCs w:val="28"/>
          <w:lang w:eastAsia="en-US"/>
        </w:rPr>
        <w:t>Aust</w:t>
      </w:r>
      <w:proofErr w:type="spellEnd"/>
      <w:r w:rsidRPr="00520861">
        <w:rPr>
          <w:rFonts w:eastAsiaTheme="minorHAnsi"/>
          <w:i/>
          <w:sz w:val="28"/>
          <w:szCs w:val="28"/>
          <w:lang w:eastAsia="en-US"/>
        </w:rPr>
        <w:t xml:space="preserve"> N Z J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Gynaecol</w:t>
      </w:r>
      <w:proofErr w:type="spellEnd"/>
      <w:r w:rsidRPr="00520861">
        <w:rPr>
          <w:rFonts w:eastAsiaTheme="minorHAnsi"/>
          <w:sz w:val="28"/>
          <w:szCs w:val="28"/>
          <w:lang w:eastAsia="en-US"/>
        </w:rPr>
        <w:t>. 2015 Feb;55(1):</w:t>
      </w:r>
      <w:r w:rsidRPr="00520861">
        <w:rPr>
          <w:rFonts w:eastAsiaTheme="minorHAnsi"/>
          <w:sz w:val="28"/>
          <w:szCs w:val="28"/>
          <w:lang w:val="en-US" w:eastAsia="en-US"/>
        </w:rPr>
        <w:t xml:space="preserve"> </w:t>
      </w:r>
      <w:r w:rsidRPr="00520861">
        <w:rPr>
          <w:rFonts w:eastAsiaTheme="minorHAnsi"/>
          <w:sz w:val="28"/>
          <w:szCs w:val="28"/>
          <w:lang w:eastAsia="en-US"/>
        </w:rPr>
        <w:t>42–</w:t>
      </w:r>
      <w:r w:rsidRPr="00520861">
        <w:rPr>
          <w:rFonts w:eastAsiaTheme="minorHAnsi"/>
          <w:sz w:val="28"/>
          <w:szCs w:val="28"/>
          <w:lang w:val="en-US" w:eastAsia="en-US"/>
        </w:rPr>
        <w:t>4</w:t>
      </w:r>
      <w:r w:rsidRPr="00520861">
        <w:rPr>
          <w:rFonts w:eastAsiaTheme="minorHAnsi"/>
          <w:sz w:val="28"/>
          <w:szCs w:val="28"/>
          <w:lang w:eastAsia="en-US"/>
        </w:rPr>
        <w:t xml:space="preserve">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10.1111/ajo.12285.</w:t>
      </w:r>
    </w:p>
    <w:p w14:paraId="43CA1E0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Heo</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Ahn</w:t>
      </w:r>
      <w:proofErr w:type="spellEnd"/>
      <w:r w:rsidRPr="00520861">
        <w:rPr>
          <w:rFonts w:eastAsiaTheme="minorHAnsi"/>
          <w:sz w:val="28"/>
          <w:szCs w:val="28"/>
          <w:lang w:eastAsia="en-US"/>
        </w:rPr>
        <w:t xml:space="preserve"> HC. </w:t>
      </w:r>
      <w:proofErr w:type="spellStart"/>
      <w:r w:rsidRPr="00520861">
        <w:rPr>
          <w:rFonts w:eastAsiaTheme="minorHAnsi"/>
          <w:sz w:val="28"/>
          <w:szCs w:val="28"/>
          <w:lang w:eastAsia="en-US"/>
        </w:rPr>
        <w:t>Upper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wrapping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hard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palate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anterior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premaxilla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causing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alveolar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hypoplasia</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proofErr w:type="spellStart"/>
      <w:r w:rsidRPr="00520861">
        <w:rPr>
          <w:rFonts w:eastAsiaTheme="minorHAnsi"/>
          <w:i/>
          <w:sz w:val="28"/>
          <w:szCs w:val="28"/>
          <w:lang w:eastAsia="en-US"/>
        </w:rPr>
        <w:t>Archives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Craniofacial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Surgery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2018</w:t>
      </w:r>
      <w:r w:rsidRPr="00520861">
        <w:rPr>
          <w:rFonts w:eastAsiaTheme="minorHAnsi"/>
          <w:sz w:val="28"/>
          <w:szCs w:val="28"/>
          <w:lang w:val="en-US" w:eastAsia="en-US"/>
        </w:rPr>
        <w:t>;</w:t>
      </w:r>
      <w:r w:rsidRPr="00520861">
        <w:rPr>
          <w:rFonts w:eastAsiaTheme="minorHAnsi"/>
          <w:sz w:val="28"/>
          <w:szCs w:val="28"/>
          <w:lang w:eastAsia="en-US"/>
        </w:rPr>
        <w:t>19(1):</w:t>
      </w:r>
      <w:r w:rsidRPr="00520861">
        <w:rPr>
          <w:rFonts w:eastAsiaTheme="minorHAnsi"/>
          <w:sz w:val="28"/>
          <w:szCs w:val="28"/>
          <w:lang w:val="en-US" w:eastAsia="en-US"/>
        </w:rPr>
        <w:t xml:space="preserve"> </w:t>
      </w:r>
      <w:r w:rsidRPr="00520861">
        <w:rPr>
          <w:rFonts w:eastAsiaTheme="minorHAnsi"/>
          <w:sz w:val="28"/>
          <w:szCs w:val="28"/>
          <w:lang w:eastAsia="en-US"/>
        </w:rPr>
        <w:t xml:space="preserve">48–50. </w:t>
      </w:r>
      <w:proofErr w:type="spellStart"/>
      <w:r w:rsidRPr="00520861">
        <w:rPr>
          <w:rFonts w:eastAsiaTheme="minorHAnsi"/>
          <w:sz w:val="28"/>
          <w:szCs w:val="28"/>
          <w:lang w:eastAsia="en-US"/>
        </w:rPr>
        <w:lastRenderedPageBreak/>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10.7181/acfs.2018.19.1.48</w:t>
      </w:r>
      <w:r w:rsidRPr="00520861">
        <w:rPr>
          <w:rFonts w:eastAsiaTheme="minorHAnsi"/>
          <w:sz w:val="28"/>
          <w:szCs w:val="28"/>
          <w:lang w:val="en-US" w:eastAsia="en-US"/>
        </w:rPr>
        <w:t>.</w:t>
      </w:r>
    </w:p>
    <w:p w14:paraId="3BEF8F1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Heppe</w:t>
      </w:r>
      <w:proofErr w:type="spellEnd"/>
      <w:r w:rsidRPr="00520861">
        <w:rPr>
          <w:rFonts w:eastAsiaTheme="minorHAnsi"/>
          <w:sz w:val="28"/>
          <w:szCs w:val="28"/>
          <w:lang w:eastAsia="en-US"/>
        </w:rPr>
        <w:t xml:space="preserve"> DHM, </w:t>
      </w:r>
      <w:proofErr w:type="spellStart"/>
      <w:r w:rsidRPr="00520861">
        <w:rPr>
          <w:rFonts w:eastAsiaTheme="minorHAnsi"/>
          <w:sz w:val="28"/>
          <w:szCs w:val="28"/>
          <w:lang w:eastAsia="en-US"/>
        </w:rPr>
        <w:t>Medina-Gomez</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Jongste</w:t>
      </w:r>
      <w:proofErr w:type="spellEnd"/>
      <w:r w:rsidRPr="00520861">
        <w:rPr>
          <w:rFonts w:eastAsiaTheme="minorHAnsi"/>
          <w:sz w:val="28"/>
          <w:szCs w:val="28"/>
          <w:lang w:eastAsia="en-US"/>
        </w:rPr>
        <w:t xml:space="preserve"> JC, </w:t>
      </w:r>
      <w:proofErr w:type="spellStart"/>
      <w:r w:rsidRPr="00520861">
        <w:rPr>
          <w:rFonts w:eastAsiaTheme="minorHAnsi"/>
          <w:sz w:val="28"/>
          <w:szCs w:val="28"/>
          <w:lang w:eastAsia="en-US"/>
        </w:rPr>
        <w:t>Raat</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Steegers</w:t>
      </w:r>
      <w:proofErr w:type="spellEnd"/>
      <w:r w:rsidRPr="00520861">
        <w:rPr>
          <w:rFonts w:eastAsiaTheme="minorHAnsi"/>
          <w:sz w:val="28"/>
          <w:szCs w:val="28"/>
          <w:lang w:eastAsia="en-US"/>
        </w:rPr>
        <w:t xml:space="preserve"> EAP, </w:t>
      </w:r>
      <w:proofErr w:type="spellStart"/>
      <w:r w:rsidRPr="00520861">
        <w:rPr>
          <w:rFonts w:eastAsiaTheme="minorHAnsi"/>
          <w:sz w:val="28"/>
          <w:szCs w:val="28"/>
          <w:lang w:eastAsia="en-US"/>
        </w:rPr>
        <w:t>Hofman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patterns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school-age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generation</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study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Research</w:t>
      </w:r>
      <w:proofErr w:type="spellEnd"/>
      <w:r w:rsidRPr="00520861">
        <w:rPr>
          <w:rFonts w:eastAsiaTheme="minorHAnsi"/>
          <w:sz w:val="28"/>
          <w:szCs w:val="28"/>
          <w:lang w:eastAsia="en-US"/>
        </w:rPr>
        <w:t>. 2014;29(12):</w:t>
      </w:r>
      <w:r w:rsidRPr="00520861">
        <w:rPr>
          <w:rFonts w:eastAsiaTheme="minorHAnsi"/>
          <w:sz w:val="28"/>
          <w:szCs w:val="28"/>
          <w:lang w:val="en-US" w:eastAsia="en-US"/>
        </w:rPr>
        <w:t xml:space="preserve"> </w:t>
      </w:r>
      <w:r w:rsidRPr="00520861">
        <w:rPr>
          <w:rFonts w:eastAsiaTheme="minorHAnsi"/>
          <w:sz w:val="28"/>
          <w:szCs w:val="28"/>
          <w:lang w:eastAsia="en-US"/>
        </w:rPr>
        <w:t>2584–</w:t>
      </w:r>
      <w:r w:rsidRPr="00520861">
        <w:rPr>
          <w:rFonts w:eastAsiaTheme="minorHAnsi"/>
          <w:sz w:val="28"/>
          <w:szCs w:val="28"/>
          <w:lang w:val="en-US" w:eastAsia="en-US"/>
        </w:rPr>
        <w:t>25</w:t>
      </w:r>
      <w:r w:rsidRPr="00520861">
        <w:rPr>
          <w:rFonts w:eastAsiaTheme="minorHAnsi"/>
          <w:sz w:val="28"/>
          <w:szCs w:val="28"/>
          <w:lang w:eastAsia="en-US"/>
        </w:rPr>
        <w:t>93</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10.1002/jbmr.2299.</w:t>
      </w:r>
    </w:p>
    <w:p w14:paraId="70526D2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Hermann</w:t>
      </w:r>
      <w:proofErr w:type="spellEnd"/>
      <w:r w:rsidRPr="00520861">
        <w:rPr>
          <w:rFonts w:eastAsiaTheme="minorHAnsi"/>
          <w:sz w:val="28"/>
          <w:szCs w:val="28"/>
          <w:lang w:eastAsia="en-US"/>
        </w:rPr>
        <w:t xml:space="preserve"> GM, </w:t>
      </w:r>
      <w:proofErr w:type="spellStart"/>
      <w:r w:rsidRPr="00520861">
        <w:rPr>
          <w:rFonts w:eastAsiaTheme="minorHAnsi"/>
          <w:sz w:val="28"/>
          <w:szCs w:val="28"/>
          <w:lang w:eastAsia="en-US"/>
        </w:rPr>
        <w:t>Dallas</w:t>
      </w:r>
      <w:proofErr w:type="spellEnd"/>
      <w:r w:rsidRPr="00520861">
        <w:rPr>
          <w:rFonts w:eastAsiaTheme="minorHAnsi"/>
          <w:sz w:val="28"/>
          <w:szCs w:val="28"/>
          <w:lang w:eastAsia="en-US"/>
        </w:rPr>
        <w:t xml:space="preserve"> LM, </w:t>
      </w:r>
      <w:proofErr w:type="spellStart"/>
      <w:r w:rsidRPr="00520861">
        <w:rPr>
          <w:rFonts w:eastAsiaTheme="minorHAnsi"/>
          <w:sz w:val="28"/>
          <w:szCs w:val="28"/>
          <w:lang w:eastAsia="en-US"/>
        </w:rPr>
        <w:t>Haskell</w:t>
      </w:r>
      <w:proofErr w:type="spellEnd"/>
      <w:r w:rsidRPr="00520861">
        <w:rPr>
          <w:rFonts w:eastAsiaTheme="minorHAnsi"/>
          <w:sz w:val="28"/>
          <w:szCs w:val="28"/>
          <w:lang w:eastAsia="en-US"/>
        </w:rPr>
        <w:t xml:space="preserve"> SE, </w:t>
      </w:r>
      <w:proofErr w:type="spellStart"/>
      <w:r w:rsidRPr="00520861">
        <w:rPr>
          <w:rFonts w:eastAsiaTheme="minorHAnsi"/>
          <w:sz w:val="28"/>
          <w:szCs w:val="28"/>
          <w:lang w:eastAsia="en-US"/>
        </w:rPr>
        <w:t>Roghair</w:t>
      </w:r>
      <w:proofErr w:type="spellEnd"/>
      <w:r w:rsidRPr="00520861">
        <w:rPr>
          <w:rFonts w:eastAsiaTheme="minorHAnsi"/>
          <w:sz w:val="28"/>
          <w:szCs w:val="28"/>
          <w:lang w:eastAsia="en-US"/>
        </w:rPr>
        <w:t xml:space="preserve"> RD. </w:t>
      </w:r>
      <w:proofErr w:type="spellStart"/>
      <w:r w:rsidRPr="00520861">
        <w:rPr>
          <w:rFonts w:eastAsiaTheme="minorHAnsi"/>
          <w:sz w:val="28"/>
          <w:szCs w:val="28"/>
          <w:lang w:eastAsia="en-US"/>
        </w:rPr>
        <w:t>Neonatal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independent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adult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syndrome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Neonatology</w:t>
      </w:r>
      <w:proofErr w:type="spellEnd"/>
      <w:r w:rsidRPr="00520861">
        <w:rPr>
          <w:rFonts w:eastAsiaTheme="minorHAnsi"/>
          <w:sz w:val="28"/>
          <w:szCs w:val="28"/>
          <w:lang w:eastAsia="en-US"/>
        </w:rPr>
        <w:t>. 2010;98(3):</w:t>
      </w:r>
      <w:r w:rsidRPr="00520861">
        <w:rPr>
          <w:rFonts w:eastAsiaTheme="minorHAnsi"/>
          <w:sz w:val="28"/>
          <w:szCs w:val="28"/>
          <w:lang w:val="en-US" w:eastAsia="en-US"/>
        </w:rPr>
        <w:t xml:space="preserve"> </w:t>
      </w:r>
      <w:r w:rsidRPr="00520861">
        <w:rPr>
          <w:rFonts w:eastAsiaTheme="minorHAnsi"/>
          <w:sz w:val="28"/>
          <w:szCs w:val="28"/>
          <w:lang w:eastAsia="en-US"/>
        </w:rPr>
        <w:t xml:space="preserve">238–244.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10.1159/000285629.</w:t>
      </w:r>
    </w:p>
    <w:p w14:paraId="253269A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Hisano</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Tanaka</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Nagata</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Arakawa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Miyake</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High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increased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prevalence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Japanese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Hyg</w:t>
      </w:r>
      <w:proofErr w:type="spellEnd"/>
      <w:r w:rsidRPr="00520861">
        <w:rPr>
          <w:rFonts w:eastAsiaTheme="minorHAnsi"/>
          <w:sz w:val="28"/>
          <w:szCs w:val="28"/>
          <w:lang w:eastAsia="en-US"/>
        </w:rPr>
        <w:t>. 2018 Aug;16(3):</w:t>
      </w:r>
      <w:r w:rsidRPr="00520861">
        <w:rPr>
          <w:rFonts w:eastAsiaTheme="minorHAnsi"/>
          <w:sz w:val="28"/>
          <w:szCs w:val="28"/>
          <w:lang w:val="en-US" w:eastAsia="en-US"/>
        </w:rPr>
        <w:t xml:space="preserve"> </w:t>
      </w:r>
      <w:r w:rsidRPr="00520861">
        <w:rPr>
          <w:rFonts w:eastAsiaTheme="minorHAnsi"/>
          <w:sz w:val="28"/>
          <w:szCs w:val="28"/>
          <w:lang w:eastAsia="en-US"/>
        </w:rPr>
        <w:t>404–410</w:t>
      </w:r>
      <w:r w:rsidRPr="00520861">
        <w:rPr>
          <w:rFonts w:eastAsiaTheme="minorHAnsi"/>
          <w:sz w:val="28"/>
          <w:szCs w:val="28"/>
          <w:lang w:val="en-US" w:eastAsia="en-US"/>
        </w:rPr>
        <w:t>.</w:t>
      </w:r>
    </w:p>
    <w:p w14:paraId="1A0C088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Hogan</w:t>
      </w:r>
      <w:proofErr w:type="spellEnd"/>
      <w:r w:rsidRPr="00520861">
        <w:rPr>
          <w:rFonts w:eastAsiaTheme="minorHAnsi"/>
          <w:sz w:val="28"/>
          <w:szCs w:val="28"/>
          <w:lang w:eastAsia="en-US"/>
        </w:rPr>
        <w:t xml:space="preserve"> M</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Westcott</w:t>
      </w:r>
      <w:proofErr w:type="spellEnd"/>
      <w:r w:rsidRPr="00520861">
        <w:rPr>
          <w:rFonts w:eastAsiaTheme="minorHAnsi"/>
          <w:sz w:val="28"/>
          <w:szCs w:val="28"/>
          <w:lang w:eastAsia="en-US"/>
        </w:rPr>
        <w:t xml:space="preserve"> C</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Griffiths</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Randomized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controlled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division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tongue-tie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feeding</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Paediatr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Child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2005</w:t>
      </w:r>
      <w:r w:rsidRPr="00520861">
        <w:rPr>
          <w:rFonts w:eastAsiaTheme="minorHAnsi"/>
          <w:sz w:val="28"/>
          <w:szCs w:val="28"/>
          <w:lang w:val="en-US" w:eastAsia="en-US"/>
        </w:rPr>
        <w:t>;</w:t>
      </w:r>
      <w:r w:rsidRPr="00520861">
        <w:rPr>
          <w:rFonts w:eastAsiaTheme="minorHAnsi"/>
          <w:sz w:val="28"/>
          <w:szCs w:val="28"/>
          <w:lang w:eastAsia="en-US"/>
        </w:rPr>
        <w:t>41(5–6)</w:t>
      </w:r>
      <w:r w:rsidRPr="00520861">
        <w:rPr>
          <w:rFonts w:eastAsiaTheme="minorHAnsi"/>
          <w:sz w:val="28"/>
          <w:szCs w:val="28"/>
          <w:lang w:val="en-US" w:eastAsia="en-US"/>
        </w:rPr>
        <w:t>:</w:t>
      </w:r>
      <w:r w:rsidRPr="00520861">
        <w:rPr>
          <w:rFonts w:eastAsiaTheme="minorHAnsi"/>
          <w:sz w:val="28"/>
          <w:szCs w:val="28"/>
          <w:lang w:eastAsia="en-US"/>
        </w:rPr>
        <w:t xml:space="preserve"> 246–</w:t>
      </w:r>
      <w:r w:rsidRPr="00520861">
        <w:rPr>
          <w:rFonts w:eastAsiaTheme="minorHAnsi"/>
          <w:sz w:val="28"/>
          <w:szCs w:val="28"/>
          <w:lang w:val="en-US" w:eastAsia="en-US"/>
        </w:rPr>
        <w:t>2</w:t>
      </w:r>
      <w:r w:rsidRPr="00520861">
        <w:rPr>
          <w:rFonts w:eastAsiaTheme="minorHAnsi"/>
          <w:sz w:val="28"/>
          <w:szCs w:val="28"/>
          <w:lang w:eastAsia="en-US"/>
        </w:rPr>
        <w:t>50.</w:t>
      </w:r>
    </w:p>
    <w:p w14:paraId="5AAF18B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Hong</w:t>
      </w:r>
      <w:proofErr w:type="spellEnd"/>
      <w:r w:rsidRPr="00520861">
        <w:rPr>
          <w:rFonts w:eastAsiaTheme="minorHAnsi"/>
          <w:sz w:val="28"/>
          <w:szCs w:val="28"/>
          <w:lang w:eastAsia="en-US"/>
        </w:rPr>
        <w:t xml:space="preserve"> AR, </w:t>
      </w:r>
      <w:proofErr w:type="spellStart"/>
      <w:r w:rsidRPr="00520861">
        <w:rPr>
          <w:rFonts w:eastAsiaTheme="minorHAnsi"/>
          <w:sz w:val="28"/>
          <w:szCs w:val="28"/>
          <w:lang w:eastAsia="en-US"/>
        </w:rPr>
        <w:t>Kim</w:t>
      </w:r>
      <w:proofErr w:type="spellEnd"/>
      <w:r w:rsidRPr="00520861">
        <w:rPr>
          <w:rFonts w:eastAsiaTheme="minorHAnsi"/>
          <w:sz w:val="28"/>
          <w:szCs w:val="28"/>
          <w:lang w:eastAsia="en-US"/>
        </w:rPr>
        <w:t xml:space="preserve"> JH, </w:t>
      </w:r>
      <w:proofErr w:type="spellStart"/>
      <w:r w:rsidRPr="00520861">
        <w:rPr>
          <w:rFonts w:eastAsiaTheme="minorHAnsi"/>
          <w:sz w:val="28"/>
          <w:szCs w:val="28"/>
          <w:lang w:eastAsia="en-US"/>
        </w:rPr>
        <w:t>Lee</w:t>
      </w:r>
      <w:proofErr w:type="spellEnd"/>
      <w:r w:rsidRPr="00520861">
        <w:rPr>
          <w:rFonts w:eastAsiaTheme="minorHAnsi"/>
          <w:sz w:val="28"/>
          <w:szCs w:val="28"/>
          <w:lang w:eastAsia="en-US"/>
        </w:rPr>
        <w:t xml:space="preserve"> KH, </w:t>
      </w:r>
      <w:proofErr w:type="spellStart"/>
      <w:r w:rsidRPr="00520861">
        <w:rPr>
          <w:rFonts w:eastAsiaTheme="minorHAnsi"/>
          <w:sz w:val="28"/>
          <w:szCs w:val="28"/>
          <w:lang w:eastAsia="en-US"/>
        </w:rPr>
        <w:t>Kim</w:t>
      </w:r>
      <w:proofErr w:type="spellEnd"/>
      <w:r w:rsidRPr="00520861">
        <w:rPr>
          <w:rFonts w:eastAsiaTheme="minorHAnsi"/>
          <w:sz w:val="28"/>
          <w:szCs w:val="28"/>
          <w:lang w:eastAsia="en-US"/>
        </w:rPr>
        <w:t xml:space="preserve"> TY, </w:t>
      </w:r>
      <w:proofErr w:type="spellStart"/>
      <w:r w:rsidRPr="00520861">
        <w:rPr>
          <w:rFonts w:eastAsiaTheme="minorHAnsi"/>
          <w:sz w:val="28"/>
          <w:szCs w:val="28"/>
          <w:lang w:eastAsia="en-US"/>
        </w:rPr>
        <w:t>Im</w:t>
      </w:r>
      <w:proofErr w:type="spellEnd"/>
      <w:r w:rsidRPr="00520861">
        <w:rPr>
          <w:rFonts w:eastAsiaTheme="minorHAnsi"/>
          <w:sz w:val="28"/>
          <w:szCs w:val="28"/>
          <w:lang w:eastAsia="en-US"/>
        </w:rPr>
        <w:t xml:space="preserve"> SA, </w:t>
      </w:r>
      <w:proofErr w:type="spellStart"/>
      <w:r w:rsidRPr="00520861">
        <w:rPr>
          <w:rFonts w:eastAsiaTheme="minorHAnsi"/>
          <w:sz w:val="28"/>
          <w:szCs w:val="28"/>
          <w:lang w:eastAsia="en-US"/>
        </w:rPr>
        <w:t>Moon</w:t>
      </w:r>
      <w:proofErr w:type="spellEnd"/>
      <w:r w:rsidRPr="00520861">
        <w:rPr>
          <w:rFonts w:eastAsiaTheme="minorHAnsi"/>
          <w:sz w:val="28"/>
          <w:szCs w:val="28"/>
          <w:lang w:eastAsia="en-US"/>
        </w:rPr>
        <w:t xml:space="preserve"> HG,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Long-term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aromatase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inhibitors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microarchitecture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macroarchitecture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non-osteoporotic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postmenopausal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breast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cancer</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Osteoporos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sz w:val="28"/>
          <w:szCs w:val="28"/>
          <w:lang w:eastAsia="en-US"/>
        </w:rPr>
        <w:t>. 2017;28(4):</w:t>
      </w:r>
      <w:r w:rsidRPr="00520861">
        <w:rPr>
          <w:rFonts w:eastAsiaTheme="minorHAnsi"/>
          <w:sz w:val="28"/>
          <w:szCs w:val="28"/>
          <w:lang w:val="en-US" w:eastAsia="en-US"/>
        </w:rPr>
        <w:t xml:space="preserve"> </w:t>
      </w:r>
      <w:r w:rsidRPr="00520861">
        <w:rPr>
          <w:rFonts w:eastAsiaTheme="minorHAnsi"/>
          <w:sz w:val="28"/>
          <w:szCs w:val="28"/>
          <w:lang w:eastAsia="en-US"/>
        </w:rPr>
        <w:t xml:space="preserve">1413–1422.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10.1007/s00198-016-3899-6</w:t>
      </w:r>
      <w:r w:rsidRPr="00520861">
        <w:rPr>
          <w:rFonts w:eastAsiaTheme="minorHAnsi"/>
          <w:sz w:val="28"/>
          <w:szCs w:val="28"/>
          <w:lang w:val="en-US" w:eastAsia="en-US"/>
        </w:rPr>
        <w:t>.</w:t>
      </w:r>
    </w:p>
    <w:p w14:paraId="0A54659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Huang</w:t>
      </w:r>
      <w:r w:rsidRPr="00520861">
        <w:rPr>
          <w:rFonts w:eastAsiaTheme="minorHAnsi"/>
          <w:sz w:val="28"/>
          <w:szCs w:val="28"/>
          <w:lang w:eastAsia="en-US"/>
        </w:rPr>
        <w:t xml:space="preserve"> </w:t>
      </w:r>
      <w:r w:rsidRPr="00520861">
        <w:rPr>
          <w:rFonts w:eastAsiaTheme="minorHAnsi"/>
          <w:sz w:val="28"/>
          <w:szCs w:val="28"/>
          <w:lang w:val="en-US" w:eastAsia="en-US"/>
        </w:rPr>
        <w:t>W</w:t>
      </w:r>
      <w:r w:rsidRPr="00520861">
        <w:rPr>
          <w:rFonts w:eastAsiaTheme="minorHAnsi"/>
          <w:sz w:val="28"/>
          <w:szCs w:val="28"/>
          <w:lang w:eastAsia="en-US"/>
        </w:rPr>
        <w:t xml:space="preserve">, </w:t>
      </w:r>
      <w:r w:rsidRPr="00520861">
        <w:rPr>
          <w:rFonts w:eastAsiaTheme="minorHAnsi"/>
          <w:sz w:val="28"/>
          <w:szCs w:val="28"/>
          <w:lang w:val="en-US" w:eastAsia="en-US"/>
        </w:rPr>
        <w:t>He</w:t>
      </w:r>
      <w:r w:rsidRPr="00520861">
        <w:rPr>
          <w:rFonts w:eastAsiaTheme="minorHAnsi"/>
          <w:sz w:val="28"/>
          <w:szCs w:val="28"/>
          <w:lang w:eastAsia="en-US"/>
        </w:rPr>
        <w:t xml:space="preserve"> </w:t>
      </w:r>
      <w:r w:rsidRPr="00520861">
        <w:rPr>
          <w:rFonts w:eastAsiaTheme="minorHAnsi"/>
          <w:sz w:val="28"/>
          <w:szCs w:val="28"/>
          <w:lang w:val="en-US" w:eastAsia="en-US"/>
        </w:rPr>
        <w:t>BY</w:t>
      </w:r>
      <w:r w:rsidRPr="00520861">
        <w:rPr>
          <w:rFonts w:eastAsiaTheme="minorHAnsi"/>
          <w:sz w:val="28"/>
          <w:szCs w:val="28"/>
          <w:lang w:eastAsia="en-US"/>
        </w:rPr>
        <w:t xml:space="preserve">, </w:t>
      </w:r>
      <w:r w:rsidRPr="00520861">
        <w:rPr>
          <w:rFonts w:eastAsiaTheme="minorHAnsi"/>
          <w:sz w:val="28"/>
          <w:szCs w:val="28"/>
          <w:lang w:val="en-US" w:eastAsia="en-US"/>
        </w:rPr>
        <w:t>Shao</w:t>
      </w:r>
      <w:r w:rsidRPr="00520861">
        <w:rPr>
          <w:rFonts w:eastAsiaTheme="minorHAnsi"/>
          <w:sz w:val="28"/>
          <w:szCs w:val="28"/>
          <w:lang w:eastAsia="en-US"/>
        </w:rPr>
        <w:t xml:space="preserve"> </w:t>
      </w:r>
      <w:r w:rsidRPr="00520861">
        <w:rPr>
          <w:rFonts w:eastAsiaTheme="minorHAnsi"/>
          <w:sz w:val="28"/>
          <w:szCs w:val="28"/>
          <w:lang w:val="en-US" w:eastAsia="en-US"/>
        </w:rPr>
        <w:t>J</w:t>
      </w:r>
      <w:r w:rsidRPr="00520861">
        <w:rPr>
          <w:rFonts w:eastAsiaTheme="minorHAnsi"/>
          <w:sz w:val="28"/>
          <w:szCs w:val="28"/>
          <w:lang w:eastAsia="en-US"/>
        </w:rPr>
        <w:t xml:space="preserve">, </w:t>
      </w:r>
      <w:r w:rsidRPr="00520861">
        <w:rPr>
          <w:rFonts w:eastAsiaTheme="minorHAnsi"/>
          <w:sz w:val="28"/>
          <w:szCs w:val="28"/>
          <w:lang w:val="en-US" w:eastAsia="en-US"/>
        </w:rPr>
        <w:t>Jia</w:t>
      </w:r>
      <w:r w:rsidRPr="00520861">
        <w:rPr>
          <w:rFonts w:eastAsiaTheme="minorHAnsi"/>
          <w:sz w:val="28"/>
          <w:szCs w:val="28"/>
          <w:lang w:eastAsia="en-US"/>
        </w:rPr>
        <w:t xml:space="preserve"> </w:t>
      </w:r>
      <w:r w:rsidRPr="00520861">
        <w:rPr>
          <w:rFonts w:eastAsiaTheme="minorHAnsi"/>
          <w:sz w:val="28"/>
          <w:szCs w:val="28"/>
          <w:lang w:val="en-US" w:eastAsia="en-US"/>
        </w:rPr>
        <w:t>XW</w:t>
      </w:r>
      <w:r w:rsidRPr="00520861">
        <w:rPr>
          <w:rFonts w:eastAsiaTheme="minorHAnsi"/>
          <w:sz w:val="28"/>
          <w:szCs w:val="28"/>
          <w:lang w:eastAsia="en-US"/>
        </w:rPr>
        <w:t xml:space="preserve">, </w:t>
      </w:r>
      <w:r w:rsidRPr="00520861">
        <w:rPr>
          <w:rFonts w:eastAsiaTheme="minorHAnsi"/>
          <w:sz w:val="28"/>
          <w:szCs w:val="28"/>
          <w:lang w:val="en-US" w:eastAsia="en-US"/>
        </w:rPr>
        <w:t>Yuan</w:t>
      </w:r>
      <w:r w:rsidRPr="00520861">
        <w:rPr>
          <w:rFonts w:eastAsiaTheme="minorHAnsi"/>
          <w:sz w:val="28"/>
          <w:szCs w:val="28"/>
          <w:lang w:eastAsia="en-US"/>
        </w:rPr>
        <w:t xml:space="preserve"> </w:t>
      </w:r>
      <w:r w:rsidRPr="00520861">
        <w:rPr>
          <w:rFonts w:eastAsiaTheme="minorHAnsi"/>
          <w:sz w:val="28"/>
          <w:szCs w:val="28"/>
          <w:lang w:val="en-US" w:eastAsia="en-US"/>
        </w:rPr>
        <w:t>YD</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 xml:space="preserve">Interleukin-1β rs1143627 </w:t>
      </w:r>
      <w:proofErr w:type="spellStart"/>
      <w:r w:rsidRPr="00520861">
        <w:rPr>
          <w:rFonts w:eastAsiaTheme="minorHAnsi"/>
          <w:sz w:val="28"/>
          <w:szCs w:val="28"/>
          <w:lang w:eastAsia="en-US"/>
        </w:rPr>
        <w:t>polymorphism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susceptibility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val="en-US" w:eastAsia="en-US"/>
        </w:rPr>
        <w:t xml:space="preserve">. </w:t>
      </w:r>
      <w:proofErr w:type="spellStart"/>
      <w:r w:rsidRPr="00520861">
        <w:rPr>
          <w:rFonts w:eastAsiaTheme="minorHAnsi"/>
          <w:i/>
          <w:sz w:val="28"/>
          <w:szCs w:val="28"/>
          <w:lang w:val="en-US" w:eastAsia="en-US"/>
        </w:rPr>
        <w:t>Oncotarget</w:t>
      </w:r>
      <w:proofErr w:type="spellEnd"/>
      <w:r w:rsidRPr="00520861">
        <w:rPr>
          <w:rFonts w:eastAsiaTheme="minorHAnsi"/>
          <w:sz w:val="28"/>
          <w:szCs w:val="28"/>
          <w:lang w:eastAsia="en-US"/>
        </w:rPr>
        <w:t>. 2017;8(19):</w:t>
      </w:r>
      <w:r w:rsidRPr="00520861">
        <w:rPr>
          <w:rFonts w:eastAsiaTheme="minorHAnsi"/>
          <w:sz w:val="28"/>
          <w:szCs w:val="28"/>
          <w:lang w:val="en-US" w:eastAsia="en-US"/>
        </w:rPr>
        <w:t xml:space="preserve"> </w:t>
      </w:r>
      <w:r w:rsidRPr="00520861">
        <w:rPr>
          <w:rFonts w:eastAsiaTheme="minorHAnsi"/>
          <w:sz w:val="28"/>
          <w:szCs w:val="28"/>
          <w:lang w:eastAsia="en-US"/>
        </w:rPr>
        <w:t xml:space="preserve">31406–31414.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10.18632/</w:t>
      </w:r>
      <w:proofErr w:type="spellStart"/>
      <w:r w:rsidRPr="00520861">
        <w:rPr>
          <w:rFonts w:eastAsiaTheme="minorHAnsi"/>
          <w:sz w:val="28"/>
          <w:szCs w:val="28"/>
          <w:lang w:val="en-US" w:eastAsia="en-US"/>
        </w:rPr>
        <w:t>oncotarget</w:t>
      </w:r>
      <w:proofErr w:type="spellEnd"/>
      <w:r w:rsidRPr="00520861">
        <w:rPr>
          <w:rFonts w:eastAsiaTheme="minorHAnsi"/>
          <w:sz w:val="28"/>
          <w:szCs w:val="28"/>
          <w:lang w:eastAsia="en-US"/>
        </w:rPr>
        <w:t>.15612.</w:t>
      </w:r>
    </w:p>
    <w:p w14:paraId="62C96F4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Hussein</w:t>
      </w:r>
      <w:proofErr w:type="spellEnd"/>
      <w:r w:rsidRPr="00520861">
        <w:rPr>
          <w:rFonts w:eastAsiaTheme="minorHAnsi"/>
          <w:sz w:val="28"/>
          <w:szCs w:val="28"/>
          <w:lang w:eastAsia="en-US"/>
        </w:rPr>
        <w:t xml:space="preserve"> AS, </w:t>
      </w:r>
      <w:proofErr w:type="spellStart"/>
      <w:r w:rsidRPr="00520861">
        <w:rPr>
          <w:rFonts w:eastAsiaTheme="minorHAnsi"/>
          <w:sz w:val="28"/>
          <w:szCs w:val="28"/>
          <w:lang w:eastAsia="en-US"/>
        </w:rPr>
        <w:t>Ghasheer</w:t>
      </w:r>
      <w:proofErr w:type="spellEnd"/>
      <w:r w:rsidRPr="00520861">
        <w:rPr>
          <w:rFonts w:eastAsiaTheme="minorHAnsi"/>
          <w:sz w:val="28"/>
          <w:szCs w:val="28"/>
          <w:lang w:eastAsia="en-US"/>
        </w:rPr>
        <w:t xml:space="preserve"> HF, </w:t>
      </w:r>
      <w:proofErr w:type="spellStart"/>
      <w:r w:rsidRPr="00520861">
        <w:rPr>
          <w:rFonts w:eastAsiaTheme="minorHAnsi"/>
          <w:sz w:val="28"/>
          <w:szCs w:val="28"/>
          <w:lang w:eastAsia="en-US"/>
        </w:rPr>
        <w:t>Ramli</w:t>
      </w:r>
      <w:proofErr w:type="spellEnd"/>
      <w:r w:rsidRPr="00520861">
        <w:rPr>
          <w:rFonts w:eastAsiaTheme="minorHAnsi"/>
          <w:sz w:val="28"/>
          <w:szCs w:val="28"/>
          <w:lang w:eastAsia="en-US"/>
        </w:rPr>
        <w:t xml:space="preserve"> NM, </w:t>
      </w:r>
      <w:proofErr w:type="spellStart"/>
      <w:r w:rsidRPr="00520861">
        <w:rPr>
          <w:rFonts w:eastAsiaTheme="minorHAnsi"/>
          <w:sz w:val="28"/>
          <w:szCs w:val="28"/>
          <w:lang w:eastAsia="en-US"/>
        </w:rPr>
        <w:t>Schroth</w:t>
      </w:r>
      <w:proofErr w:type="spellEnd"/>
      <w:r w:rsidRPr="00520861">
        <w:rPr>
          <w:rFonts w:eastAsiaTheme="minorHAnsi"/>
          <w:sz w:val="28"/>
          <w:szCs w:val="28"/>
          <w:lang w:eastAsia="en-US"/>
        </w:rPr>
        <w:t xml:space="preserve"> RJ, </w:t>
      </w:r>
      <w:proofErr w:type="spellStart"/>
      <w:r w:rsidRPr="00520861">
        <w:rPr>
          <w:rFonts w:eastAsiaTheme="minorHAnsi"/>
          <w:sz w:val="28"/>
          <w:szCs w:val="28"/>
          <w:lang w:eastAsia="en-US"/>
        </w:rPr>
        <w:t>Abu-Hassan</w:t>
      </w:r>
      <w:proofErr w:type="spellEnd"/>
      <w:r w:rsidRPr="00520861">
        <w:rPr>
          <w:rFonts w:eastAsiaTheme="minorHAnsi"/>
          <w:sz w:val="28"/>
          <w:szCs w:val="28"/>
          <w:lang w:eastAsia="en-US"/>
        </w:rPr>
        <w:t xml:space="preserve"> MI.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trace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elements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group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multi-ethnic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schoolchildren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Shah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Alam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Malaysia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Eur</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Paediatr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2013;14(2):</w:t>
      </w:r>
      <w:r w:rsidRPr="00520861">
        <w:rPr>
          <w:rFonts w:eastAsiaTheme="minorHAnsi"/>
          <w:sz w:val="28"/>
          <w:szCs w:val="28"/>
          <w:lang w:val="en-US" w:eastAsia="en-US"/>
        </w:rPr>
        <w:t xml:space="preserve"> </w:t>
      </w:r>
      <w:r w:rsidRPr="00520861">
        <w:rPr>
          <w:rFonts w:eastAsiaTheme="minorHAnsi"/>
          <w:sz w:val="28"/>
          <w:szCs w:val="28"/>
          <w:lang w:eastAsia="en-US"/>
        </w:rPr>
        <w:t>113–118.</w:t>
      </w:r>
    </w:p>
    <w:p w14:paraId="64BDC29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Iandoli</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Nigro</w:t>
      </w:r>
      <w:proofErr w:type="spellEnd"/>
      <w:r w:rsidRPr="00520861">
        <w:rPr>
          <w:rFonts w:eastAsiaTheme="minorHAnsi"/>
          <w:sz w:val="28"/>
          <w:szCs w:val="28"/>
          <w:lang w:val="en-US" w:eastAsia="en-US"/>
        </w:rPr>
        <w:t xml:space="preserve"> A</w:t>
      </w:r>
      <w:r w:rsidRPr="00520861">
        <w:rPr>
          <w:rFonts w:eastAsiaTheme="minorHAnsi"/>
          <w:sz w:val="28"/>
          <w:szCs w:val="28"/>
          <w:lang w:eastAsia="en-US"/>
        </w:rPr>
        <w:t xml:space="preserve">, </w:t>
      </w:r>
      <w:proofErr w:type="spellStart"/>
      <w:r w:rsidRPr="00520861">
        <w:rPr>
          <w:rFonts w:eastAsiaTheme="minorHAnsi"/>
          <w:sz w:val="28"/>
          <w:szCs w:val="28"/>
          <w:lang w:eastAsia="en-US"/>
        </w:rPr>
        <w:t>Sementilli</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Juliano</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 xml:space="preserve">Y, </w:t>
      </w:r>
      <w:proofErr w:type="spellStart"/>
      <w:r w:rsidRPr="00520861">
        <w:rPr>
          <w:rFonts w:eastAsiaTheme="minorHAnsi"/>
          <w:sz w:val="28"/>
          <w:szCs w:val="28"/>
          <w:lang w:eastAsia="en-US"/>
        </w:rPr>
        <w:t>Novo</w:t>
      </w:r>
      <w:proofErr w:type="spellEnd"/>
      <w:r w:rsidRPr="00520861">
        <w:rPr>
          <w:rFonts w:eastAsiaTheme="minorHAnsi"/>
          <w:sz w:val="28"/>
          <w:szCs w:val="28"/>
          <w:lang w:eastAsia="en-US"/>
        </w:rPr>
        <w:t xml:space="preserve"> N</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End-to-end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esophagogastric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anastomosis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comparative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single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layer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submucosa-mucosa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invagination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technics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Acta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Cir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Bras</w:t>
      </w:r>
      <w:proofErr w:type="spellEnd"/>
      <w:r w:rsidRPr="00520861">
        <w:rPr>
          <w:rFonts w:eastAsiaTheme="minorHAnsi"/>
          <w:sz w:val="28"/>
          <w:szCs w:val="28"/>
          <w:lang w:eastAsia="en-US"/>
        </w:rPr>
        <w:t>. 2000</w:t>
      </w:r>
      <w:r w:rsidRPr="00520861">
        <w:rPr>
          <w:rFonts w:eastAsiaTheme="minorHAnsi"/>
          <w:sz w:val="28"/>
          <w:szCs w:val="28"/>
          <w:lang w:val="en-US" w:eastAsia="en-US"/>
        </w:rPr>
        <w:t>;</w:t>
      </w:r>
      <w:r w:rsidRPr="00520861">
        <w:rPr>
          <w:rFonts w:eastAsiaTheme="minorHAnsi"/>
          <w:sz w:val="28"/>
          <w:szCs w:val="28"/>
          <w:lang w:eastAsia="en-US"/>
        </w:rPr>
        <w:t>15</w:t>
      </w:r>
      <w:r w:rsidRPr="00520861">
        <w:rPr>
          <w:rFonts w:eastAsiaTheme="minorHAnsi"/>
          <w:sz w:val="28"/>
          <w:szCs w:val="28"/>
          <w:lang w:val="en-US" w:eastAsia="en-US"/>
        </w:rPr>
        <w:t>(</w:t>
      </w:r>
      <w:r w:rsidRPr="00520861">
        <w:rPr>
          <w:rFonts w:eastAsiaTheme="minorHAnsi"/>
          <w:sz w:val="28"/>
          <w:szCs w:val="28"/>
          <w:lang w:eastAsia="en-US"/>
        </w:rPr>
        <w:t>1</w:t>
      </w:r>
      <w:r w:rsidRPr="00520861">
        <w:rPr>
          <w:rFonts w:eastAsiaTheme="minorHAnsi"/>
          <w:sz w:val="28"/>
          <w:szCs w:val="28"/>
          <w:lang w:val="en-US" w:eastAsia="en-US"/>
        </w:rPr>
        <w:t>):</w:t>
      </w:r>
      <w:r w:rsidRPr="00520861">
        <w:rPr>
          <w:rFonts w:eastAsiaTheme="minorHAnsi"/>
          <w:sz w:val="28"/>
          <w:szCs w:val="28"/>
          <w:lang w:eastAsia="en-US"/>
        </w:rPr>
        <w:t xml:space="preserve"> 14–22</w:t>
      </w:r>
      <w:r w:rsidRPr="00520861">
        <w:rPr>
          <w:rFonts w:eastAsiaTheme="minorHAnsi"/>
          <w:sz w:val="28"/>
          <w:szCs w:val="28"/>
          <w:lang w:val="en-US" w:eastAsia="en-US"/>
        </w:rPr>
        <w:t>.</w:t>
      </w:r>
    </w:p>
    <w:p w14:paraId="5EDEFA9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Ide</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Papapanou</w:t>
      </w:r>
      <w:proofErr w:type="spellEnd"/>
      <w:r w:rsidRPr="00520861">
        <w:rPr>
          <w:rFonts w:eastAsiaTheme="minorHAnsi"/>
          <w:sz w:val="28"/>
          <w:szCs w:val="28"/>
          <w:lang w:eastAsia="en-US"/>
        </w:rPr>
        <w:t xml:space="preserve"> PN</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Epidemiology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adverse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2013</w:t>
      </w:r>
      <w:r w:rsidRPr="00520861">
        <w:rPr>
          <w:rFonts w:eastAsiaTheme="minorHAnsi"/>
          <w:sz w:val="28"/>
          <w:szCs w:val="28"/>
          <w:lang w:val="en-US" w:eastAsia="en-US"/>
        </w:rPr>
        <w:t>;</w:t>
      </w:r>
      <w:r w:rsidRPr="00520861">
        <w:rPr>
          <w:rFonts w:eastAsiaTheme="minorHAnsi"/>
          <w:sz w:val="28"/>
          <w:szCs w:val="28"/>
          <w:lang w:eastAsia="en-US"/>
        </w:rPr>
        <w:t>40: S181–S194.</w:t>
      </w:r>
    </w:p>
    <w:p w14:paraId="2B41381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Calibri"/>
          <w:sz w:val="28"/>
          <w:szCs w:val="28"/>
          <w:lang w:val="en-GB" w:eastAsia="en-US"/>
        </w:rPr>
        <w:t xml:space="preserve">Ismail AI. Prevention of early childhood caries. </w:t>
      </w:r>
      <w:r w:rsidRPr="00520861">
        <w:rPr>
          <w:rFonts w:eastAsia="Calibri"/>
          <w:i/>
          <w:sz w:val="28"/>
          <w:szCs w:val="28"/>
          <w:lang w:val="en-GB" w:eastAsia="en-US"/>
        </w:rPr>
        <w:t xml:space="preserve">Community Dent Oral </w:t>
      </w:r>
      <w:proofErr w:type="spellStart"/>
      <w:r w:rsidRPr="00520861">
        <w:rPr>
          <w:rFonts w:eastAsia="Calibri"/>
          <w:i/>
          <w:sz w:val="28"/>
          <w:szCs w:val="28"/>
          <w:lang w:val="en-GB" w:eastAsia="en-US"/>
        </w:rPr>
        <w:t>Epidemiol</w:t>
      </w:r>
      <w:proofErr w:type="spellEnd"/>
      <w:r w:rsidRPr="00520861">
        <w:rPr>
          <w:rFonts w:eastAsia="Calibri"/>
          <w:sz w:val="28"/>
          <w:szCs w:val="28"/>
          <w:lang w:val="en-GB" w:eastAsia="en-US"/>
        </w:rPr>
        <w:t xml:space="preserve">. </w:t>
      </w:r>
      <w:r w:rsidRPr="00520861">
        <w:rPr>
          <w:rFonts w:eastAsia="Calibri"/>
          <w:sz w:val="28"/>
          <w:szCs w:val="28"/>
          <w:lang w:val="en-GB" w:eastAsia="en-US"/>
        </w:rPr>
        <w:lastRenderedPageBreak/>
        <w:t xml:space="preserve">1998;26(1 </w:t>
      </w:r>
      <w:proofErr w:type="spellStart"/>
      <w:r w:rsidRPr="00520861">
        <w:rPr>
          <w:rFonts w:eastAsia="Calibri"/>
          <w:sz w:val="28"/>
          <w:szCs w:val="28"/>
          <w:lang w:val="en-GB" w:eastAsia="en-US"/>
        </w:rPr>
        <w:t>Suppl</w:t>
      </w:r>
      <w:proofErr w:type="spellEnd"/>
      <w:r w:rsidRPr="00520861">
        <w:rPr>
          <w:rFonts w:eastAsia="Calibri"/>
          <w:sz w:val="28"/>
          <w:szCs w:val="28"/>
          <w:lang w:val="en-GB" w:eastAsia="en-US"/>
        </w:rPr>
        <w:t xml:space="preserve">): 49–61.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val="en-GB" w:eastAsia="en-US"/>
        </w:rPr>
        <w:t>10.1111/j.1600-0528.1998.tb02094.x.</w:t>
      </w:r>
    </w:p>
    <w:p w14:paraId="0012C40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Janner</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Flück</w:t>
      </w:r>
      <w:proofErr w:type="spellEnd"/>
      <w:r w:rsidRPr="00520861">
        <w:rPr>
          <w:rFonts w:eastAsiaTheme="minorHAnsi"/>
          <w:sz w:val="28"/>
          <w:szCs w:val="28"/>
          <w:lang w:eastAsia="en-US"/>
        </w:rPr>
        <w:t xml:space="preserve"> CE, </w:t>
      </w:r>
      <w:proofErr w:type="spellStart"/>
      <w:r w:rsidRPr="00520861">
        <w:rPr>
          <w:rFonts w:eastAsiaTheme="minorHAnsi"/>
          <w:sz w:val="28"/>
          <w:szCs w:val="28"/>
          <w:lang w:eastAsia="en-US"/>
        </w:rPr>
        <w:t>Mullis</w:t>
      </w:r>
      <w:proofErr w:type="spellEnd"/>
      <w:r w:rsidRPr="00520861">
        <w:rPr>
          <w:rFonts w:eastAsiaTheme="minorHAnsi"/>
          <w:sz w:val="28"/>
          <w:szCs w:val="28"/>
          <w:lang w:eastAsia="en-US"/>
        </w:rPr>
        <w:t xml:space="preserve"> PE. </w:t>
      </w:r>
      <w:proofErr w:type="spellStart"/>
      <w:r w:rsidRPr="00520861">
        <w:rPr>
          <w:rFonts w:eastAsiaTheme="minorHAnsi"/>
          <w:sz w:val="28"/>
          <w:szCs w:val="28"/>
          <w:lang w:eastAsia="en-US"/>
        </w:rPr>
        <w:t>Impact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replacement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throughout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pituitary-gonadal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axis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46,XX </w:t>
      </w:r>
      <w:proofErr w:type="spellStart"/>
      <w:r w:rsidRPr="00520861">
        <w:rPr>
          <w:rFonts w:eastAsiaTheme="minorHAnsi"/>
          <w:sz w:val="28"/>
          <w:szCs w:val="28"/>
          <w:lang w:eastAsia="en-US"/>
        </w:rPr>
        <w:t>patient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CYP19A1 </w:t>
      </w:r>
      <w:proofErr w:type="spellStart"/>
      <w:r w:rsidRPr="00520861">
        <w:rPr>
          <w:rFonts w:eastAsiaTheme="minorHAnsi"/>
          <w:sz w:val="28"/>
          <w:szCs w:val="28"/>
          <w:lang w:eastAsia="en-US"/>
        </w:rPr>
        <w:t>deficiency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Horm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Paediatr</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2012;78:</w:t>
      </w:r>
      <w:r w:rsidRPr="00520861">
        <w:rPr>
          <w:rFonts w:eastAsiaTheme="minorHAnsi"/>
          <w:sz w:val="28"/>
          <w:szCs w:val="28"/>
          <w:lang w:val="en-US" w:eastAsia="en-US"/>
        </w:rPr>
        <w:t xml:space="preserve"> </w:t>
      </w:r>
      <w:r w:rsidRPr="00520861">
        <w:rPr>
          <w:rFonts w:eastAsiaTheme="minorHAnsi"/>
          <w:sz w:val="28"/>
          <w:szCs w:val="28"/>
          <w:lang w:eastAsia="en-US"/>
        </w:rPr>
        <w:t>261</w:t>
      </w:r>
      <w:r w:rsidRPr="00520861">
        <w:rPr>
          <w:rFonts w:eastAsiaTheme="minorHAnsi"/>
          <w:sz w:val="28"/>
          <w:szCs w:val="28"/>
          <w:lang w:val="en-US" w:eastAsia="en-US"/>
        </w:rPr>
        <w:t xml:space="preserve"> </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268</w:t>
      </w:r>
      <w:r w:rsidRPr="00520861">
        <w:rPr>
          <w:rFonts w:eastAsiaTheme="minorHAnsi"/>
          <w:sz w:val="28"/>
          <w:szCs w:val="28"/>
          <w:lang w:val="en-US" w:eastAsia="en-US"/>
        </w:rPr>
        <w:t>.</w:t>
      </w:r>
    </w:p>
    <w:p w14:paraId="6AF5D31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Jayachandran</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Srinivasan</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Padmanabhan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leptin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normal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individuals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their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orthodontic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movement</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Angle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Orthod</w:t>
      </w:r>
      <w:proofErr w:type="spellEnd"/>
      <w:r w:rsidRPr="00520861">
        <w:rPr>
          <w:rFonts w:eastAsiaTheme="minorHAnsi"/>
          <w:sz w:val="28"/>
          <w:szCs w:val="28"/>
          <w:lang w:eastAsia="en-US"/>
        </w:rPr>
        <w:t xml:space="preserve">. 2017;87(5): 739–744.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10.2319/120216-869.1.</w:t>
      </w:r>
    </w:p>
    <w:p w14:paraId="73B0282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Jazaeri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Malekzadeh</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Abdolsamadi</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Rezaei-Soufi</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Samami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alkaline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phosphatase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enzyme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activity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concentrations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calcium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phosphate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ions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Cell</w:t>
      </w:r>
      <w:proofErr w:type="spellEnd"/>
      <w:r w:rsidRPr="00520861">
        <w:rPr>
          <w:rFonts w:eastAsiaTheme="minorHAnsi"/>
          <w:i/>
          <w:sz w:val="28"/>
          <w:szCs w:val="28"/>
          <w:lang w:eastAsia="en-US"/>
        </w:rPr>
        <w:t xml:space="preserve"> J</w:t>
      </w:r>
      <w:r w:rsidRPr="00520861">
        <w:rPr>
          <w:rFonts w:eastAsiaTheme="minorHAnsi"/>
          <w:sz w:val="28"/>
          <w:szCs w:val="28"/>
          <w:lang w:eastAsia="en-US"/>
        </w:rPr>
        <w:t>. 2015;17(1):</w:t>
      </w:r>
      <w:r w:rsidRPr="00520861">
        <w:rPr>
          <w:rFonts w:eastAsiaTheme="minorHAnsi"/>
          <w:sz w:val="28"/>
          <w:szCs w:val="28"/>
          <w:lang w:val="en-US" w:eastAsia="en-US"/>
        </w:rPr>
        <w:t xml:space="preserve"> </w:t>
      </w:r>
      <w:r w:rsidRPr="00520861">
        <w:rPr>
          <w:rFonts w:eastAsiaTheme="minorHAnsi"/>
          <w:sz w:val="28"/>
          <w:szCs w:val="28"/>
          <w:lang w:eastAsia="en-US"/>
        </w:rPr>
        <w:t>159–</w:t>
      </w:r>
      <w:r w:rsidRPr="00520861">
        <w:rPr>
          <w:rFonts w:eastAsiaTheme="minorHAnsi"/>
          <w:sz w:val="28"/>
          <w:szCs w:val="28"/>
          <w:lang w:val="en-US" w:eastAsia="en-US"/>
        </w:rPr>
        <w:t>1</w:t>
      </w:r>
      <w:r w:rsidRPr="00520861">
        <w:rPr>
          <w:rFonts w:eastAsiaTheme="minorHAnsi"/>
          <w:sz w:val="28"/>
          <w:szCs w:val="28"/>
          <w:lang w:eastAsia="en-US"/>
        </w:rPr>
        <w:t xml:space="preserve">62.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10.22074/cellj.2015.523</w:t>
      </w:r>
      <w:r w:rsidRPr="00520861">
        <w:rPr>
          <w:rFonts w:eastAsiaTheme="minorHAnsi"/>
          <w:sz w:val="28"/>
          <w:szCs w:val="28"/>
          <w:lang w:val="en-US" w:eastAsia="en-US"/>
        </w:rPr>
        <w:t>.</w:t>
      </w:r>
    </w:p>
    <w:p w14:paraId="4801E93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Jedeon</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Loiodice</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Marciano</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Vinel</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Lavier</w:t>
      </w:r>
      <w:proofErr w:type="spellEnd"/>
      <w:r w:rsidRPr="00520861">
        <w:rPr>
          <w:rFonts w:eastAsiaTheme="minorHAnsi"/>
          <w:sz w:val="28"/>
          <w:szCs w:val="28"/>
          <w:lang w:eastAsia="en-US"/>
        </w:rPr>
        <w:t xml:space="preserve"> M-CC, </w:t>
      </w:r>
      <w:proofErr w:type="spellStart"/>
      <w:r w:rsidRPr="00520861">
        <w:rPr>
          <w:rFonts w:eastAsiaTheme="minorHAnsi"/>
          <w:sz w:val="28"/>
          <w:szCs w:val="28"/>
          <w:lang w:eastAsia="en-US"/>
        </w:rPr>
        <w:t>Berdal</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bisphenol</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affect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enamel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formation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promote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ameloblast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proliferation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Endocrinology</w:t>
      </w:r>
      <w:proofErr w:type="spellEnd"/>
      <w:r w:rsidRPr="00520861">
        <w:rPr>
          <w:rFonts w:eastAsiaTheme="minorHAnsi"/>
          <w:sz w:val="28"/>
          <w:szCs w:val="28"/>
          <w:lang w:eastAsia="en-US"/>
        </w:rPr>
        <w:t>. 2014;155(9):</w:t>
      </w:r>
      <w:r w:rsidRPr="00520861">
        <w:rPr>
          <w:rFonts w:eastAsiaTheme="minorHAnsi"/>
          <w:sz w:val="28"/>
          <w:szCs w:val="28"/>
          <w:lang w:val="en-US" w:eastAsia="en-US"/>
        </w:rPr>
        <w:t xml:space="preserve"> </w:t>
      </w:r>
      <w:r w:rsidRPr="00520861">
        <w:rPr>
          <w:rFonts w:eastAsiaTheme="minorHAnsi"/>
          <w:sz w:val="28"/>
          <w:szCs w:val="28"/>
          <w:lang w:eastAsia="en-US"/>
        </w:rPr>
        <w:t xml:space="preserve">3365–3375.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10.1210/en.2013-2161</w:t>
      </w:r>
      <w:r w:rsidRPr="00520861">
        <w:rPr>
          <w:rFonts w:eastAsiaTheme="minorHAnsi"/>
          <w:sz w:val="28"/>
          <w:szCs w:val="28"/>
          <w:lang w:val="en-US" w:eastAsia="en-US"/>
        </w:rPr>
        <w:t>.</w:t>
      </w:r>
    </w:p>
    <w:p w14:paraId="0C5BC21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Jimenez</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Aiba-Masago</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Hashimi</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Activated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caspase</w:t>
      </w:r>
      <w:proofErr w:type="spellEnd"/>
      <w:r w:rsidRPr="00520861">
        <w:rPr>
          <w:rFonts w:eastAsiaTheme="minorHAnsi"/>
          <w:sz w:val="28"/>
          <w:szCs w:val="28"/>
          <w:lang w:eastAsia="en-US"/>
        </w:rPr>
        <w:t xml:space="preserve"> 3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cleaved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w:t>
      </w:r>
      <w:proofErr w:type="spellEnd"/>
      <w:r w:rsidRPr="00520861">
        <w:rPr>
          <w:rFonts w:eastAsiaTheme="minorHAnsi"/>
          <w:sz w:val="28"/>
          <w:szCs w:val="28"/>
          <w:lang w:eastAsia="en-US"/>
        </w:rPr>
        <w:t>(ADP-</w:t>
      </w:r>
      <w:proofErr w:type="spellStart"/>
      <w:r w:rsidRPr="00520861">
        <w:rPr>
          <w:rFonts w:eastAsiaTheme="minorHAnsi"/>
          <w:sz w:val="28"/>
          <w:szCs w:val="28"/>
          <w:lang w:eastAsia="en-US"/>
        </w:rPr>
        <w:t>ribose</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polymerase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epithelium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suggest</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pathogenetic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mechanism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Sjögren's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syndrome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Rheumatology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Oxford</w:t>
      </w:r>
      <w:proofErr w:type="spellEnd"/>
      <w:r w:rsidRPr="00520861">
        <w:rPr>
          <w:rFonts w:eastAsiaTheme="minorHAnsi"/>
          <w:i/>
          <w:sz w:val="28"/>
          <w:szCs w:val="28"/>
          <w:lang w:eastAsia="en-US"/>
        </w:rPr>
        <w:t>)</w:t>
      </w:r>
      <w:r w:rsidRPr="00520861">
        <w:rPr>
          <w:rFonts w:eastAsiaTheme="minorHAnsi"/>
          <w:sz w:val="28"/>
          <w:szCs w:val="28"/>
          <w:lang w:eastAsia="en-US"/>
        </w:rPr>
        <w:t>. 2002;41(3):</w:t>
      </w:r>
      <w:r w:rsidRPr="00520861">
        <w:rPr>
          <w:rFonts w:eastAsiaTheme="minorHAnsi"/>
          <w:sz w:val="28"/>
          <w:szCs w:val="28"/>
          <w:lang w:val="en-US" w:eastAsia="en-US"/>
        </w:rPr>
        <w:t xml:space="preserve"> </w:t>
      </w:r>
      <w:r w:rsidRPr="00520861">
        <w:rPr>
          <w:rFonts w:eastAsiaTheme="minorHAnsi"/>
          <w:sz w:val="28"/>
          <w:szCs w:val="28"/>
          <w:lang w:eastAsia="en-US"/>
        </w:rPr>
        <w:t xml:space="preserve">338–342.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10.1093/</w:t>
      </w:r>
      <w:proofErr w:type="spellStart"/>
      <w:r w:rsidRPr="00520861">
        <w:rPr>
          <w:rFonts w:eastAsiaTheme="minorHAnsi"/>
          <w:sz w:val="28"/>
          <w:szCs w:val="28"/>
          <w:lang w:eastAsia="en-US"/>
        </w:rPr>
        <w:t>rheumatology</w:t>
      </w:r>
      <w:proofErr w:type="spellEnd"/>
      <w:r w:rsidRPr="00520861">
        <w:rPr>
          <w:rFonts w:eastAsiaTheme="minorHAnsi"/>
          <w:sz w:val="28"/>
          <w:szCs w:val="28"/>
          <w:lang w:eastAsia="en-US"/>
        </w:rPr>
        <w:t>/41.3.338</w:t>
      </w:r>
      <w:r w:rsidRPr="00520861">
        <w:rPr>
          <w:rFonts w:eastAsiaTheme="minorHAnsi"/>
          <w:sz w:val="28"/>
          <w:szCs w:val="28"/>
          <w:lang w:val="en-US" w:eastAsia="en-US"/>
        </w:rPr>
        <w:t>.</w:t>
      </w:r>
    </w:p>
    <w:p w14:paraId="373286B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Johansen</w:t>
      </w:r>
      <w:proofErr w:type="spellEnd"/>
      <w:r w:rsidRPr="00520861">
        <w:rPr>
          <w:rFonts w:eastAsiaTheme="minorHAnsi"/>
          <w:sz w:val="28"/>
          <w:szCs w:val="28"/>
          <w:lang w:eastAsia="en-US"/>
        </w:rPr>
        <w:t xml:space="preserve"> FE, </w:t>
      </w:r>
      <w:proofErr w:type="spellStart"/>
      <w:r w:rsidRPr="00520861">
        <w:rPr>
          <w:rFonts w:eastAsiaTheme="minorHAnsi"/>
          <w:sz w:val="28"/>
          <w:szCs w:val="28"/>
          <w:lang w:eastAsia="en-US"/>
        </w:rPr>
        <w:t>Braathen</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Brandtzaeg</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Role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chain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secretory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immunoglobulin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formation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Scand</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Immunol</w:t>
      </w:r>
      <w:proofErr w:type="spellEnd"/>
      <w:r w:rsidRPr="00520861">
        <w:rPr>
          <w:rFonts w:eastAsiaTheme="minorHAnsi"/>
          <w:sz w:val="28"/>
          <w:szCs w:val="28"/>
          <w:lang w:eastAsia="en-US"/>
        </w:rPr>
        <w:t>. 2000;52(3):</w:t>
      </w:r>
      <w:r w:rsidRPr="00520861">
        <w:rPr>
          <w:rFonts w:eastAsiaTheme="minorHAnsi"/>
          <w:sz w:val="28"/>
          <w:szCs w:val="28"/>
          <w:lang w:val="en-US" w:eastAsia="en-US"/>
        </w:rPr>
        <w:t xml:space="preserve"> </w:t>
      </w:r>
      <w:r w:rsidRPr="00520861">
        <w:rPr>
          <w:rFonts w:eastAsiaTheme="minorHAnsi"/>
          <w:sz w:val="28"/>
          <w:szCs w:val="28"/>
          <w:lang w:eastAsia="en-US"/>
        </w:rPr>
        <w:t>240–</w:t>
      </w:r>
      <w:r w:rsidRPr="00520861">
        <w:rPr>
          <w:rFonts w:eastAsiaTheme="minorHAnsi"/>
          <w:sz w:val="28"/>
          <w:szCs w:val="28"/>
          <w:lang w:val="en-US" w:eastAsia="en-US"/>
        </w:rPr>
        <w:t>24</w:t>
      </w:r>
      <w:r w:rsidRPr="00520861">
        <w:rPr>
          <w:rFonts w:eastAsiaTheme="minorHAnsi"/>
          <w:sz w:val="28"/>
          <w:szCs w:val="28"/>
          <w:lang w:eastAsia="en-US"/>
        </w:rPr>
        <w:t>8.</w:t>
      </w:r>
    </w:p>
    <w:p w14:paraId="2865D19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Joshi</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Hamdan</w:t>
      </w:r>
      <w:proofErr w:type="spellEnd"/>
      <w:r w:rsidRPr="00520861">
        <w:rPr>
          <w:rFonts w:eastAsiaTheme="minorHAnsi"/>
          <w:sz w:val="28"/>
          <w:szCs w:val="28"/>
          <w:lang w:eastAsia="en-US"/>
        </w:rPr>
        <w:t xml:space="preserve"> AM, </w:t>
      </w:r>
      <w:proofErr w:type="spellStart"/>
      <w:r w:rsidRPr="00520861">
        <w:rPr>
          <w:rFonts w:eastAsiaTheme="minorHAnsi"/>
          <w:sz w:val="28"/>
          <w:szCs w:val="28"/>
          <w:lang w:eastAsia="en-US"/>
        </w:rPr>
        <w:t>Fakhouri</w:t>
      </w:r>
      <w:proofErr w:type="spellEnd"/>
      <w:r w:rsidRPr="00520861">
        <w:rPr>
          <w:rFonts w:eastAsiaTheme="minorHAnsi"/>
          <w:sz w:val="28"/>
          <w:szCs w:val="28"/>
          <w:lang w:eastAsia="en-US"/>
        </w:rPr>
        <w:t xml:space="preserve"> WD. </w:t>
      </w:r>
      <w:proofErr w:type="spellStart"/>
      <w:r w:rsidRPr="00520861">
        <w:rPr>
          <w:rFonts w:eastAsiaTheme="minorHAnsi"/>
          <w:sz w:val="28"/>
          <w:szCs w:val="28"/>
          <w:lang w:eastAsia="en-US"/>
        </w:rPr>
        <w:t>Skeletal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malocclusion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developmental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disorder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life-long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morbidity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i/>
          <w:sz w:val="28"/>
          <w:szCs w:val="28"/>
          <w:lang w:eastAsia="en-US"/>
        </w:rPr>
        <w:t>J</w:t>
      </w:r>
      <w:r w:rsidRPr="00520861">
        <w:rPr>
          <w:rFonts w:eastAsiaTheme="minorHAnsi"/>
          <w:i/>
          <w:sz w:val="28"/>
          <w:szCs w:val="28"/>
          <w:lang w:val="en-US"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xml:space="preserve">. 2014; 6(6): 399–408.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10.14740/jocmr1905w</w:t>
      </w:r>
      <w:r w:rsidRPr="00520861">
        <w:rPr>
          <w:rFonts w:eastAsiaTheme="minorHAnsi"/>
          <w:sz w:val="28"/>
          <w:szCs w:val="28"/>
          <w:lang w:val="en-US" w:eastAsia="en-US"/>
        </w:rPr>
        <w:t>.</w:t>
      </w:r>
    </w:p>
    <w:p w14:paraId="6526B53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Julihn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Jansson</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Regnstrand</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Modeer</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congenital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malformation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Swedish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adolescents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Acta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Odontol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Scand</w:t>
      </w:r>
      <w:proofErr w:type="spellEnd"/>
      <w:r w:rsidRPr="00520861">
        <w:rPr>
          <w:rFonts w:eastAsiaTheme="minorHAnsi"/>
          <w:sz w:val="28"/>
          <w:szCs w:val="28"/>
          <w:lang w:eastAsia="en-US"/>
        </w:rPr>
        <w:t>. 2013;71(6):</w:t>
      </w:r>
      <w:r w:rsidRPr="00520861">
        <w:rPr>
          <w:rFonts w:eastAsiaTheme="minorHAnsi"/>
          <w:sz w:val="28"/>
          <w:szCs w:val="28"/>
          <w:lang w:val="en-US" w:eastAsia="en-US"/>
        </w:rPr>
        <w:t xml:space="preserve"> </w:t>
      </w:r>
      <w:r w:rsidRPr="00520861">
        <w:rPr>
          <w:rFonts w:eastAsiaTheme="minorHAnsi"/>
          <w:sz w:val="28"/>
          <w:szCs w:val="28"/>
          <w:lang w:eastAsia="en-US"/>
        </w:rPr>
        <w:t>1636</w:t>
      </w:r>
      <w:r w:rsidRPr="00520861">
        <w:rPr>
          <w:rFonts w:eastAsiaTheme="minorHAnsi"/>
          <w:sz w:val="28"/>
          <w:szCs w:val="28"/>
          <w:lang w:val="en-US" w:eastAsia="en-US"/>
        </w:rPr>
        <w:t>–</w:t>
      </w:r>
      <w:r w:rsidRPr="00520861">
        <w:rPr>
          <w:rFonts w:eastAsiaTheme="minorHAnsi"/>
          <w:sz w:val="28"/>
          <w:szCs w:val="28"/>
          <w:lang w:eastAsia="en-US"/>
        </w:rPr>
        <w:t>1644.</w:t>
      </w:r>
    </w:p>
    <w:p w14:paraId="1904037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Julihn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Molund</w:t>
      </w:r>
      <w:proofErr w:type="spellEnd"/>
      <w:r w:rsidRPr="00520861">
        <w:rPr>
          <w:rFonts w:eastAsiaTheme="minorHAnsi"/>
          <w:sz w:val="28"/>
          <w:szCs w:val="28"/>
          <w:lang w:eastAsia="en-US"/>
        </w:rPr>
        <w:t xml:space="preserve"> U, </w:t>
      </w:r>
      <w:proofErr w:type="spellStart"/>
      <w:r w:rsidRPr="00520861">
        <w:rPr>
          <w:rFonts w:eastAsiaTheme="minorHAnsi"/>
          <w:sz w:val="28"/>
          <w:szCs w:val="28"/>
          <w:lang w:eastAsia="en-US"/>
        </w:rPr>
        <w:t>Drevsäter</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Modéer</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High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increment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adolescence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Sweden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Dentistry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sz w:val="28"/>
          <w:szCs w:val="28"/>
          <w:lang w:eastAsia="en-US"/>
        </w:rPr>
        <w:t>. 2014;2(3):</w:t>
      </w:r>
      <w:r w:rsidRPr="00520861">
        <w:rPr>
          <w:rFonts w:eastAsiaTheme="minorHAnsi"/>
          <w:sz w:val="28"/>
          <w:szCs w:val="28"/>
          <w:lang w:val="en-US" w:eastAsia="en-US"/>
        </w:rPr>
        <w:t xml:space="preserve"> </w:t>
      </w:r>
      <w:r w:rsidRPr="00520861">
        <w:rPr>
          <w:rFonts w:eastAsiaTheme="minorHAnsi"/>
          <w:sz w:val="28"/>
          <w:szCs w:val="28"/>
          <w:lang w:eastAsia="en-US"/>
        </w:rPr>
        <w:t>118–</w:t>
      </w:r>
      <w:r w:rsidRPr="00520861">
        <w:rPr>
          <w:rFonts w:eastAsiaTheme="minorHAnsi"/>
          <w:sz w:val="28"/>
          <w:szCs w:val="28"/>
          <w:lang w:val="en-US" w:eastAsia="en-US"/>
        </w:rPr>
        <w:t>1</w:t>
      </w:r>
      <w:r w:rsidRPr="00520861">
        <w:rPr>
          <w:rFonts w:eastAsiaTheme="minorHAnsi"/>
          <w:sz w:val="28"/>
          <w:szCs w:val="28"/>
          <w:lang w:eastAsia="en-US"/>
        </w:rPr>
        <w:t xml:space="preserve">33.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10.3390/dj2040118</w:t>
      </w:r>
      <w:r w:rsidRPr="00520861">
        <w:rPr>
          <w:rFonts w:eastAsiaTheme="minorHAnsi"/>
          <w:sz w:val="28"/>
          <w:szCs w:val="28"/>
          <w:lang w:val="en-US" w:eastAsia="en-US"/>
        </w:rPr>
        <w:t>.</w:t>
      </w:r>
    </w:p>
    <w:p w14:paraId="4A067E7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Julihn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Soares</w:t>
      </w:r>
      <w:proofErr w:type="spellEnd"/>
      <w:r w:rsidRPr="00520861">
        <w:rPr>
          <w:rFonts w:eastAsiaTheme="minorHAnsi"/>
          <w:sz w:val="28"/>
          <w:szCs w:val="28"/>
          <w:lang w:eastAsia="en-US"/>
        </w:rPr>
        <w:t xml:space="preserve"> FC, </w:t>
      </w:r>
      <w:proofErr w:type="spellStart"/>
      <w:r w:rsidRPr="00520861">
        <w:rPr>
          <w:rFonts w:eastAsiaTheme="minorHAnsi"/>
          <w:sz w:val="28"/>
          <w:szCs w:val="28"/>
          <w:lang w:eastAsia="en-US"/>
        </w:rPr>
        <w:t>Hammarfjord</w:t>
      </w:r>
      <w:proofErr w:type="spellEnd"/>
      <w:r w:rsidRPr="00520861">
        <w:rPr>
          <w:rFonts w:eastAsiaTheme="minorHAnsi"/>
          <w:sz w:val="28"/>
          <w:szCs w:val="28"/>
          <w:lang w:eastAsia="en-US"/>
        </w:rPr>
        <w:t xml:space="preserve"> U</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Hjern</w:t>
      </w:r>
      <w:proofErr w:type="spellEnd"/>
      <w:r w:rsidRPr="00520861">
        <w:rPr>
          <w:rFonts w:eastAsiaTheme="minorHAnsi"/>
          <w:sz w:val="28"/>
          <w:szCs w:val="28"/>
          <w:lang w:eastAsia="en-US"/>
        </w:rPr>
        <w:t xml:space="preserve"> A</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Dahllöf</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order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young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w:t>
      </w:r>
      <w:r w:rsidRPr="00520861">
        <w:rPr>
          <w:rFonts w:eastAsiaTheme="minorHAnsi"/>
          <w:sz w:val="28"/>
          <w:szCs w:val="28"/>
          <w:lang w:eastAsia="en-US"/>
        </w:rPr>
        <w:t xml:space="preserve"> </w:t>
      </w:r>
      <w:proofErr w:type="spellStart"/>
      <w:r w:rsidRPr="00520861">
        <w:rPr>
          <w:rFonts w:eastAsiaTheme="minorHAnsi"/>
          <w:sz w:val="28"/>
          <w:szCs w:val="28"/>
          <w:lang w:eastAsia="en-US"/>
        </w:rPr>
        <w:t>register-based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cohort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BMC </w:t>
      </w:r>
      <w:proofErr w:type="spellStart"/>
      <w:r w:rsidRPr="00520861">
        <w:rPr>
          <w:rFonts w:eastAsiaTheme="minorHAnsi"/>
          <w:i/>
          <w:sz w:val="28"/>
          <w:szCs w:val="28"/>
          <w:lang w:eastAsia="en-US"/>
        </w:rPr>
        <w:t>Public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2020</w:t>
      </w:r>
      <w:r w:rsidRPr="00520861">
        <w:rPr>
          <w:rFonts w:eastAsiaTheme="minorHAnsi"/>
          <w:sz w:val="28"/>
          <w:szCs w:val="28"/>
          <w:lang w:val="en-US" w:eastAsia="en-US"/>
        </w:rPr>
        <w:t>;</w:t>
      </w:r>
      <w:r w:rsidRPr="00520861">
        <w:rPr>
          <w:rFonts w:eastAsiaTheme="minorHAnsi"/>
          <w:sz w:val="28"/>
          <w:szCs w:val="28"/>
          <w:lang w:eastAsia="en-US"/>
        </w:rPr>
        <w:t>20</w:t>
      </w:r>
      <w:r w:rsidRPr="00520861">
        <w:rPr>
          <w:rFonts w:eastAsiaTheme="minorHAnsi"/>
          <w:sz w:val="28"/>
          <w:szCs w:val="28"/>
          <w:lang w:val="en-US" w:eastAsia="en-US"/>
        </w:rPr>
        <w:t>:</w:t>
      </w:r>
      <w:r w:rsidRPr="00520861">
        <w:rPr>
          <w:rFonts w:eastAsiaTheme="minorHAnsi"/>
          <w:sz w:val="28"/>
          <w:szCs w:val="28"/>
          <w:lang w:eastAsia="en-US"/>
        </w:rPr>
        <w:t xml:space="preserve"> 218.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10.1186/s12889-020-8234-7</w:t>
      </w:r>
      <w:r w:rsidRPr="00520861">
        <w:rPr>
          <w:rFonts w:eastAsiaTheme="minorHAnsi"/>
          <w:sz w:val="28"/>
          <w:szCs w:val="28"/>
          <w:lang w:val="en-US" w:eastAsia="en-US"/>
        </w:rPr>
        <w:t>.</w:t>
      </w:r>
    </w:p>
    <w:p w14:paraId="762E93F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Kamdar</w:t>
      </w:r>
      <w:proofErr w:type="spellEnd"/>
      <w:r w:rsidRPr="00520861">
        <w:rPr>
          <w:rFonts w:eastAsiaTheme="minorHAnsi"/>
          <w:sz w:val="28"/>
          <w:szCs w:val="28"/>
          <w:lang w:eastAsia="en-US"/>
        </w:rPr>
        <w:t xml:space="preserve"> RJ, </w:t>
      </w:r>
      <w:proofErr w:type="spellStart"/>
      <w:r w:rsidRPr="00520861">
        <w:rPr>
          <w:rFonts w:eastAsiaTheme="minorHAnsi"/>
          <w:sz w:val="28"/>
          <w:szCs w:val="28"/>
          <w:lang w:eastAsia="en-US"/>
        </w:rPr>
        <w:t>Al-Shahrani</w:t>
      </w:r>
      <w:proofErr w:type="spellEnd"/>
      <w:r w:rsidRPr="00520861">
        <w:rPr>
          <w:rFonts w:eastAsiaTheme="minorHAnsi"/>
          <w:sz w:val="28"/>
          <w:szCs w:val="28"/>
          <w:lang w:eastAsia="en-US"/>
        </w:rPr>
        <w:t xml:space="preserve"> I</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Damaging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habits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sz w:val="28"/>
          <w:szCs w:val="28"/>
          <w:lang w:eastAsia="en-US"/>
        </w:rPr>
        <w:t>. 2015;7(4):</w:t>
      </w:r>
      <w:r w:rsidRPr="00520861">
        <w:rPr>
          <w:rFonts w:eastAsiaTheme="minorHAnsi"/>
          <w:sz w:val="28"/>
          <w:szCs w:val="28"/>
          <w:lang w:val="en-US" w:eastAsia="en-US"/>
        </w:rPr>
        <w:t xml:space="preserve"> </w:t>
      </w:r>
      <w:r w:rsidR="00416B89" w:rsidRPr="00520861">
        <w:rPr>
          <w:rFonts w:eastAsiaTheme="minorHAnsi"/>
          <w:sz w:val="28"/>
          <w:szCs w:val="28"/>
          <w:lang w:val="en-US" w:eastAsia="en-US"/>
        </w:rPr>
        <w:br/>
      </w:r>
      <w:r w:rsidRPr="00520861">
        <w:rPr>
          <w:rFonts w:eastAsiaTheme="minorHAnsi"/>
          <w:sz w:val="28"/>
          <w:szCs w:val="28"/>
          <w:lang w:eastAsia="en-US"/>
        </w:rPr>
        <w:t>85–</w:t>
      </w:r>
      <w:r w:rsidRPr="00520861">
        <w:rPr>
          <w:rFonts w:eastAsiaTheme="minorHAnsi"/>
          <w:sz w:val="28"/>
          <w:szCs w:val="28"/>
          <w:lang w:val="en-US" w:eastAsia="en-US"/>
        </w:rPr>
        <w:t>8</w:t>
      </w:r>
      <w:r w:rsidRPr="00520861">
        <w:rPr>
          <w:rFonts w:eastAsiaTheme="minorHAnsi"/>
          <w:sz w:val="28"/>
          <w:szCs w:val="28"/>
          <w:lang w:eastAsia="en-US"/>
        </w:rPr>
        <w:t>7.</w:t>
      </w:r>
    </w:p>
    <w:p w14:paraId="73EE4FE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Kamiński</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Bogacz</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Górska-Paukszta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rs749292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rs700518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aromatase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(CYP19A1)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osteoporosis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postmenopausal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Polish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Adv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Exp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2019;28(8):</w:t>
      </w:r>
      <w:r w:rsidRPr="00520861">
        <w:rPr>
          <w:rFonts w:eastAsiaTheme="minorHAnsi"/>
          <w:sz w:val="28"/>
          <w:szCs w:val="28"/>
          <w:lang w:val="en-US" w:eastAsia="en-US"/>
        </w:rPr>
        <w:t xml:space="preserve"> </w:t>
      </w:r>
      <w:r w:rsidRPr="00520861">
        <w:rPr>
          <w:rFonts w:eastAsiaTheme="minorHAnsi"/>
          <w:sz w:val="28"/>
          <w:szCs w:val="28"/>
          <w:lang w:eastAsia="en-US"/>
        </w:rPr>
        <w:t>1–5.</w:t>
      </w:r>
    </w:p>
    <w:p w14:paraId="187D2D1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Kampits</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Montenegro</w:t>
      </w:r>
      <w:proofErr w:type="spellEnd"/>
      <w:r w:rsidRPr="00520861">
        <w:rPr>
          <w:rFonts w:eastAsiaTheme="minorHAnsi"/>
          <w:sz w:val="28"/>
          <w:szCs w:val="28"/>
          <w:lang w:eastAsia="en-US"/>
        </w:rPr>
        <w:t xml:space="preserve"> MM, </w:t>
      </w:r>
      <w:proofErr w:type="spellStart"/>
      <w:r w:rsidRPr="00520861">
        <w:rPr>
          <w:rFonts w:eastAsiaTheme="minorHAnsi"/>
          <w:sz w:val="28"/>
          <w:szCs w:val="28"/>
          <w:lang w:eastAsia="en-US"/>
        </w:rPr>
        <w:t>Ribeiro</w:t>
      </w:r>
      <w:proofErr w:type="spellEnd"/>
      <w:r w:rsidRPr="00520861">
        <w:rPr>
          <w:rFonts w:eastAsiaTheme="minorHAnsi"/>
          <w:sz w:val="28"/>
          <w:szCs w:val="28"/>
          <w:lang w:eastAsia="en-US"/>
        </w:rPr>
        <w:t xml:space="preserve"> IW, </w:t>
      </w:r>
      <w:proofErr w:type="spellStart"/>
      <w:r w:rsidRPr="00520861">
        <w:rPr>
          <w:rFonts w:eastAsiaTheme="minorHAnsi"/>
          <w:sz w:val="28"/>
          <w:szCs w:val="28"/>
          <w:lang w:eastAsia="en-US"/>
        </w:rPr>
        <w:t>Furtado</w:t>
      </w:r>
      <w:proofErr w:type="spellEnd"/>
      <w:r w:rsidRPr="00520861">
        <w:rPr>
          <w:rFonts w:eastAsiaTheme="minorHAnsi"/>
          <w:sz w:val="28"/>
          <w:szCs w:val="28"/>
          <w:lang w:eastAsia="en-US"/>
        </w:rPr>
        <w:t xml:space="preserve"> MV, </w:t>
      </w:r>
      <w:proofErr w:type="spellStart"/>
      <w:r w:rsidRPr="00520861">
        <w:rPr>
          <w:rFonts w:eastAsiaTheme="minorHAnsi"/>
          <w:sz w:val="28"/>
          <w:szCs w:val="28"/>
          <w:lang w:eastAsia="en-US"/>
        </w:rPr>
        <w:t>Polanczyk</w:t>
      </w:r>
      <w:proofErr w:type="spellEnd"/>
      <w:r w:rsidRPr="00520861">
        <w:rPr>
          <w:rFonts w:eastAsiaTheme="minorHAnsi"/>
          <w:sz w:val="28"/>
          <w:szCs w:val="28"/>
          <w:lang w:eastAsia="en-US"/>
        </w:rPr>
        <w:t xml:space="preserve"> CA, </w:t>
      </w:r>
      <w:proofErr w:type="spellStart"/>
      <w:r w:rsidRPr="00520861">
        <w:rPr>
          <w:rFonts w:eastAsiaTheme="minorHAnsi"/>
          <w:sz w:val="28"/>
          <w:szCs w:val="28"/>
          <w:lang w:eastAsia="en-US"/>
        </w:rPr>
        <w:t>Rösing</w:t>
      </w:r>
      <w:proofErr w:type="spellEnd"/>
      <w:r w:rsidRPr="00520861">
        <w:rPr>
          <w:rFonts w:eastAsiaTheme="minorHAnsi"/>
          <w:sz w:val="28"/>
          <w:szCs w:val="28"/>
          <w:lang w:val="en-US" w:eastAsia="en-US"/>
        </w:rPr>
        <w:t> </w:t>
      </w:r>
      <w:r w:rsidRPr="00520861">
        <w:rPr>
          <w:rFonts w:eastAsiaTheme="minorHAnsi"/>
          <w:sz w:val="28"/>
          <w:szCs w:val="28"/>
          <w:lang w:eastAsia="en-US"/>
        </w:rPr>
        <w:t xml:space="preserve">CK,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inflammatory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blood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cytokines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coronary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artery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Appl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xml:space="preserve">. 2016;24(4): 352–358.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DOI: 10.1590/1678-775720160082. </w:t>
      </w:r>
    </w:p>
    <w:p w14:paraId="1538685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Karmakar</w:t>
      </w:r>
      <w:proofErr w:type="spellEnd"/>
      <w:r w:rsidRPr="00520861">
        <w:rPr>
          <w:rFonts w:eastAsiaTheme="minorHAnsi"/>
          <w:sz w:val="28"/>
          <w:szCs w:val="28"/>
          <w:lang w:eastAsia="en-US"/>
        </w:rPr>
        <w:t xml:space="preserve"> RN</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Forensic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medicine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toxicology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theory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&amp; </w:t>
      </w:r>
      <w:proofErr w:type="spellStart"/>
      <w:r w:rsidRPr="00520861">
        <w:rPr>
          <w:rFonts w:eastAsiaTheme="minorHAnsi"/>
          <w:i/>
          <w:sz w:val="28"/>
          <w:szCs w:val="28"/>
          <w:lang w:eastAsia="en-US"/>
        </w:rPr>
        <w:t>practical</w:t>
      </w:r>
      <w:proofErr w:type="spellEnd"/>
      <w:r w:rsidRPr="00520861">
        <w:rPr>
          <w:rFonts w:eastAsiaTheme="minorHAnsi"/>
          <w:sz w:val="28"/>
          <w:szCs w:val="28"/>
          <w:lang w:eastAsia="en-US"/>
        </w:rPr>
        <w:t>. 5</w:t>
      </w:r>
      <w:r w:rsidRPr="00520861">
        <w:rPr>
          <w:rFonts w:eastAsiaTheme="minorHAnsi"/>
          <w:sz w:val="28"/>
          <w:szCs w:val="28"/>
          <w:lang w:val="en-US" w:eastAsia="en-US"/>
        </w:rPr>
        <w:t>-</w:t>
      </w:r>
      <w:proofErr w:type="spellStart"/>
      <w:r w:rsidRPr="00520861">
        <w:rPr>
          <w:rFonts w:eastAsiaTheme="minorHAnsi"/>
          <w:sz w:val="28"/>
          <w:szCs w:val="28"/>
          <w:lang w:eastAsia="en-US"/>
        </w:rPr>
        <w:t>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ed</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Kolkata: </w:t>
      </w:r>
      <w:proofErr w:type="spellStart"/>
      <w:r w:rsidRPr="00520861">
        <w:rPr>
          <w:rFonts w:eastAsiaTheme="minorHAnsi"/>
          <w:sz w:val="28"/>
          <w:szCs w:val="28"/>
          <w:lang w:eastAsia="en-US"/>
        </w:rPr>
        <w:t>Academic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Publishers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2015. 612 p.</w:t>
      </w:r>
    </w:p>
    <w:p w14:paraId="3006701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Kassebaum</w:t>
      </w:r>
      <w:proofErr w:type="spellEnd"/>
      <w:r w:rsidRPr="00520861">
        <w:rPr>
          <w:rFonts w:eastAsiaTheme="minorHAnsi"/>
          <w:sz w:val="28"/>
          <w:szCs w:val="28"/>
          <w:lang w:eastAsia="en-US"/>
        </w:rPr>
        <w:t xml:space="preserve"> NJ, </w:t>
      </w:r>
      <w:proofErr w:type="spellStart"/>
      <w:r w:rsidRPr="00520861">
        <w:rPr>
          <w:rFonts w:eastAsiaTheme="minorHAnsi"/>
          <w:sz w:val="28"/>
          <w:szCs w:val="28"/>
          <w:lang w:eastAsia="en-US"/>
        </w:rPr>
        <w:t>Bernabé</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Dahiya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Bhandari</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Murray</w:t>
      </w:r>
      <w:proofErr w:type="spellEnd"/>
      <w:r w:rsidRPr="00520861">
        <w:rPr>
          <w:rFonts w:eastAsiaTheme="minorHAnsi"/>
          <w:sz w:val="28"/>
          <w:szCs w:val="28"/>
          <w:lang w:eastAsia="en-US"/>
        </w:rPr>
        <w:t xml:space="preserve"> CJ, </w:t>
      </w:r>
      <w:proofErr w:type="spellStart"/>
      <w:r w:rsidRPr="00520861">
        <w:rPr>
          <w:rFonts w:eastAsiaTheme="minorHAnsi"/>
          <w:sz w:val="28"/>
          <w:szCs w:val="28"/>
          <w:lang w:eastAsia="en-US"/>
        </w:rPr>
        <w:t>Marcenes</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Global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burden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untreated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metaregression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xml:space="preserve">. 2015;94(5): 650–658.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10.1177/0022034515573272.</w:t>
      </w:r>
    </w:p>
    <w:p w14:paraId="0206466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Katz</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Bimstein</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Pediatric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literature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Quintessence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sz w:val="28"/>
          <w:szCs w:val="28"/>
          <w:lang w:eastAsia="en-US"/>
        </w:rPr>
        <w:t>. 2011;42:595–</w:t>
      </w:r>
      <w:r w:rsidRPr="00520861">
        <w:rPr>
          <w:rFonts w:eastAsiaTheme="minorHAnsi"/>
          <w:sz w:val="28"/>
          <w:szCs w:val="28"/>
          <w:lang w:val="en-US" w:eastAsia="en-US"/>
        </w:rPr>
        <w:t>59</w:t>
      </w:r>
      <w:r w:rsidRPr="00520861">
        <w:rPr>
          <w:rFonts w:eastAsiaTheme="minorHAnsi"/>
          <w:sz w:val="28"/>
          <w:szCs w:val="28"/>
          <w:lang w:eastAsia="en-US"/>
        </w:rPr>
        <w:t>9.</w:t>
      </w:r>
    </w:p>
    <w:p w14:paraId="45C8559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Kaushik</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Yeltiwar</w:t>
      </w:r>
      <w:proofErr w:type="spellEnd"/>
      <w:r w:rsidRPr="00520861">
        <w:rPr>
          <w:rFonts w:eastAsiaTheme="minorHAnsi"/>
          <w:sz w:val="28"/>
          <w:szCs w:val="28"/>
          <w:lang w:eastAsia="en-US"/>
        </w:rPr>
        <w:t xml:space="preserve"> RK, </w:t>
      </w:r>
      <w:proofErr w:type="spellStart"/>
      <w:r w:rsidRPr="00520861">
        <w:rPr>
          <w:rFonts w:eastAsiaTheme="minorHAnsi"/>
          <w:sz w:val="28"/>
          <w:szCs w:val="28"/>
          <w:lang w:eastAsia="en-US"/>
        </w:rPr>
        <w:t>Pushpanshu</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interleukin-1β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before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after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phase</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therapy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controls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case-control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Periodontol</w:t>
      </w:r>
      <w:proofErr w:type="spellEnd"/>
      <w:r w:rsidRPr="00520861">
        <w:rPr>
          <w:rFonts w:eastAsiaTheme="minorHAnsi"/>
          <w:sz w:val="28"/>
          <w:szCs w:val="28"/>
          <w:lang w:eastAsia="en-US"/>
        </w:rPr>
        <w:t>. 2011;82(9):</w:t>
      </w:r>
      <w:r w:rsidRPr="00520861">
        <w:rPr>
          <w:rFonts w:eastAsiaTheme="minorHAnsi"/>
          <w:sz w:val="28"/>
          <w:szCs w:val="28"/>
          <w:lang w:val="en-US" w:eastAsia="en-US"/>
        </w:rPr>
        <w:t xml:space="preserve"> </w:t>
      </w:r>
      <w:r w:rsidRPr="00520861">
        <w:rPr>
          <w:rFonts w:eastAsiaTheme="minorHAnsi"/>
          <w:sz w:val="28"/>
          <w:szCs w:val="28"/>
          <w:lang w:eastAsia="en-US"/>
        </w:rPr>
        <w:t>1353–</w:t>
      </w:r>
      <w:r w:rsidRPr="00520861">
        <w:rPr>
          <w:rFonts w:eastAsiaTheme="minorHAnsi"/>
          <w:sz w:val="28"/>
          <w:szCs w:val="28"/>
          <w:lang w:val="en-US" w:eastAsia="en-US"/>
        </w:rPr>
        <w:t>135</w:t>
      </w:r>
      <w:r w:rsidRPr="00520861">
        <w:rPr>
          <w:rFonts w:eastAsiaTheme="minorHAnsi"/>
          <w:sz w:val="28"/>
          <w:szCs w:val="28"/>
          <w:lang w:eastAsia="en-US"/>
        </w:rPr>
        <w:t xml:space="preserve">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10.1902/jop.2011.100472</w:t>
      </w:r>
      <w:r w:rsidRPr="00520861">
        <w:rPr>
          <w:rFonts w:eastAsiaTheme="minorHAnsi"/>
          <w:sz w:val="28"/>
          <w:szCs w:val="28"/>
          <w:lang w:val="en-US" w:eastAsia="en-US"/>
        </w:rPr>
        <w:t>.</w:t>
      </w:r>
    </w:p>
    <w:p w14:paraId="3187FF6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Kay</w:t>
      </w:r>
      <w:proofErr w:type="spellEnd"/>
      <w:r w:rsidRPr="00520861">
        <w:rPr>
          <w:rFonts w:eastAsiaTheme="minorHAnsi"/>
          <w:sz w:val="28"/>
          <w:szCs w:val="28"/>
          <w:lang w:eastAsia="en-US"/>
        </w:rPr>
        <w:t xml:space="preserve"> EJ, </w:t>
      </w:r>
      <w:proofErr w:type="spellStart"/>
      <w:r w:rsidRPr="00520861">
        <w:rPr>
          <w:rFonts w:eastAsiaTheme="minorHAnsi"/>
          <w:sz w:val="28"/>
          <w:szCs w:val="28"/>
          <w:lang w:eastAsia="en-US"/>
        </w:rPr>
        <w:t>Northstone</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Ness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Duncan</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Crean</w:t>
      </w:r>
      <w:proofErr w:type="spellEnd"/>
      <w:r w:rsidRPr="00520861">
        <w:rPr>
          <w:rFonts w:eastAsiaTheme="minorHAnsi"/>
          <w:sz w:val="28"/>
          <w:szCs w:val="28"/>
          <w:lang w:eastAsia="en-US"/>
        </w:rPr>
        <w:t xml:space="preserve"> SJ.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there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subsequent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5 </w:t>
      </w:r>
      <w:proofErr w:type="spellStart"/>
      <w:r w:rsidRPr="00520861">
        <w:rPr>
          <w:rFonts w:eastAsiaTheme="minorHAnsi"/>
          <w:sz w:val="28"/>
          <w:szCs w:val="28"/>
          <w:lang w:eastAsia="en-US"/>
        </w:rPr>
        <w:t>years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cohort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Community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Epidemiol</w:t>
      </w:r>
      <w:proofErr w:type="spellEnd"/>
      <w:r w:rsidRPr="00520861">
        <w:rPr>
          <w:rFonts w:eastAsiaTheme="minorHAnsi"/>
          <w:sz w:val="28"/>
          <w:szCs w:val="28"/>
          <w:lang w:eastAsia="en-US"/>
        </w:rPr>
        <w:t>. 2010;38(5):</w:t>
      </w:r>
      <w:r w:rsidRPr="00520861">
        <w:rPr>
          <w:rFonts w:eastAsiaTheme="minorHAnsi"/>
          <w:sz w:val="28"/>
          <w:szCs w:val="28"/>
          <w:lang w:val="en-US" w:eastAsia="en-US"/>
        </w:rPr>
        <w:t xml:space="preserve"> </w:t>
      </w:r>
      <w:r w:rsidRPr="00520861">
        <w:rPr>
          <w:rFonts w:eastAsiaTheme="minorHAnsi"/>
          <w:sz w:val="28"/>
          <w:szCs w:val="28"/>
          <w:lang w:eastAsia="en-US"/>
        </w:rPr>
        <w:t xml:space="preserve">408–414.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10.1111/j.1600-0528.2010.00548.x</w:t>
      </w:r>
      <w:r w:rsidRPr="00520861">
        <w:rPr>
          <w:rFonts w:eastAsiaTheme="minorHAnsi"/>
          <w:sz w:val="28"/>
          <w:szCs w:val="28"/>
          <w:lang w:val="en-US" w:eastAsia="en-US"/>
        </w:rPr>
        <w:t>.</w:t>
      </w:r>
    </w:p>
    <w:p w14:paraId="495D43A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r w:rsidRPr="00520861">
        <w:rPr>
          <w:rFonts w:eastAsiaTheme="minorHAnsi"/>
          <w:sz w:val="28"/>
          <w:szCs w:val="28"/>
          <w:lang w:val="en-US" w:eastAsia="en-US"/>
        </w:rPr>
        <w:t xml:space="preserve">Kelly AC, Powell TL, Jansson T. Placental function in maternal obesity. </w:t>
      </w:r>
      <w:r w:rsidRPr="00520861">
        <w:rPr>
          <w:rFonts w:eastAsiaTheme="minorHAnsi"/>
          <w:i/>
          <w:sz w:val="28"/>
          <w:szCs w:val="28"/>
          <w:lang w:val="en-US" w:eastAsia="en-US"/>
        </w:rPr>
        <w:t>Clin Sci (</w:t>
      </w:r>
      <w:proofErr w:type="spellStart"/>
      <w:r w:rsidRPr="00520861">
        <w:rPr>
          <w:rFonts w:eastAsiaTheme="minorHAnsi"/>
          <w:i/>
          <w:sz w:val="28"/>
          <w:szCs w:val="28"/>
          <w:lang w:val="en-US" w:eastAsia="en-US"/>
        </w:rPr>
        <w:t>Lond</w:t>
      </w:r>
      <w:proofErr w:type="spellEnd"/>
      <w:r w:rsidRPr="00520861">
        <w:rPr>
          <w:rFonts w:eastAsiaTheme="minorHAnsi"/>
          <w:i/>
          <w:sz w:val="28"/>
          <w:szCs w:val="28"/>
          <w:lang w:val="en-US" w:eastAsia="en-US"/>
        </w:rPr>
        <w:t>)</w:t>
      </w:r>
      <w:r w:rsidRPr="00520861">
        <w:rPr>
          <w:rFonts w:eastAsiaTheme="minorHAnsi"/>
          <w:sz w:val="28"/>
          <w:szCs w:val="28"/>
          <w:lang w:val="en-US" w:eastAsia="en-US"/>
        </w:rPr>
        <w:t>. 2020;134(8): 961–984. Available from: DOI: 10.1042/CS20190266.</w:t>
      </w:r>
    </w:p>
    <w:p w14:paraId="19F9D4A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Khalkhali</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Mohammadpour</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Entezarmahdi</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Eslamlu</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Gharaaghaji</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Timing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first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deciduous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incisors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lastRenderedPageBreak/>
        <w:t>longitudinal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using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Cox’s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proportional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hazards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model</w:t>
      </w:r>
      <w:proofErr w:type="spellEnd"/>
      <w:r w:rsidRPr="00520861">
        <w:rPr>
          <w:rFonts w:eastAsiaTheme="minorHAnsi"/>
          <w:sz w:val="28"/>
          <w:szCs w:val="28"/>
          <w:lang w:eastAsia="en-US"/>
        </w:rPr>
        <w:t xml:space="preserve">. </w:t>
      </w:r>
      <w:r w:rsidRPr="00520861">
        <w:rPr>
          <w:rFonts w:eastAsiaTheme="minorHAnsi"/>
          <w:i/>
          <w:sz w:val="28"/>
          <w:szCs w:val="28"/>
          <w:lang w:eastAsia="en-US"/>
        </w:rPr>
        <w:t>RABMS</w:t>
      </w:r>
      <w:r w:rsidRPr="00520861">
        <w:rPr>
          <w:rFonts w:eastAsiaTheme="minorHAnsi"/>
          <w:sz w:val="28"/>
          <w:szCs w:val="28"/>
          <w:lang w:eastAsia="en-US"/>
        </w:rPr>
        <w:t>. 2020;6(2):</w:t>
      </w:r>
      <w:r w:rsidRPr="00520861">
        <w:rPr>
          <w:rFonts w:eastAsiaTheme="minorHAnsi"/>
          <w:sz w:val="28"/>
          <w:szCs w:val="28"/>
          <w:lang w:val="en-US" w:eastAsia="en-US"/>
        </w:rPr>
        <w:t xml:space="preserve"> </w:t>
      </w:r>
      <w:r w:rsidRPr="00520861">
        <w:rPr>
          <w:rFonts w:eastAsiaTheme="minorHAnsi"/>
          <w:sz w:val="28"/>
          <w:szCs w:val="28"/>
          <w:lang w:eastAsia="en-US"/>
        </w:rPr>
        <w:t>59–64</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http://ijrabms.umsu.ac.ir/article-1-101-fa.html</w:t>
      </w:r>
      <w:r w:rsidRPr="00520861">
        <w:rPr>
          <w:rFonts w:eastAsiaTheme="minorHAnsi"/>
          <w:sz w:val="28"/>
          <w:szCs w:val="28"/>
          <w:lang w:val="en-US" w:eastAsia="en-US"/>
        </w:rPr>
        <w:t>.</w:t>
      </w:r>
    </w:p>
    <w:p w14:paraId="205F18B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Khan</w:t>
      </w:r>
      <w:proofErr w:type="spellEnd"/>
      <w:r w:rsidRPr="00520861">
        <w:rPr>
          <w:rFonts w:eastAsiaTheme="minorHAnsi"/>
          <w:sz w:val="28"/>
          <w:szCs w:val="28"/>
          <w:lang w:eastAsia="en-US"/>
        </w:rPr>
        <w:t xml:space="preserve"> NA. </w:t>
      </w:r>
      <w:proofErr w:type="spellStart"/>
      <w:r w:rsidRPr="00520861">
        <w:rPr>
          <w:rFonts w:eastAsiaTheme="minorHAnsi"/>
          <w:sz w:val="28"/>
          <w:szCs w:val="28"/>
          <w:lang w:eastAsia="en-US"/>
        </w:rPr>
        <w:t>Role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lipids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fatty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acids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offspring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Cell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Biochem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Biophys</w:t>
      </w:r>
      <w:proofErr w:type="spellEnd"/>
      <w:r w:rsidRPr="00520861">
        <w:rPr>
          <w:rFonts w:eastAsiaTheme="minorHAnsi"/>
          <w:sz w:val="28"/>
          <w:szCs w:val="28"/>
          <w:lang w:eastAsia="en-US"/>
        </w:rPr>
        <w:t xml:space="preserve">. 2007;48(2-3): 79–88.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DOI:10.1007/s12013-007-0019-4.</w:t>
      </w:r>
    </w:p>
    <w:p w14:paraId="7B4380A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Konde</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Agarwal</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Chaurasia</w:t>
      </w:r>
      <w:proofErr w:type="spellEnd"/>
      <w:r w:rsidRPr="00520861">
        <w:rPr>
          <w:rFonts w:eastAsiaTheme="minorHAnsi"/>
          <w:sz w:val="28"/>
          <w:szCs w:val="28"/>
          <w:lang w:eastAsia="en-US"/>
        </w:rPr>
        <w:t xml:space="preserve"> R</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inhalational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anti-asthmatic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medications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7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14 </w:t>
      </w:r>
      <w:proofErr w:type="spellStart"/>
      <w:r w:rsidRPr="00520861">
        <w:rPr>
          <w:rFonts w:eastAsiaTheme="minorHAnsi"/>
          <w:sz w:val="28"/>
          <w:szCs w:val="28"/>
          <w:lang w:eastAsia="en-US"/>
        </w:rPr>
        <w:t>years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Indian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Allergy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Asthma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Immunology</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2018</w:t>
      </w:r>
      <w:r w:rsidRPr="00520861">
        <w:rPr>
          <w:rFonts w:eastAsiaTheme="minorHAnsi"/>
          <w:sz w:val="28"/>
          <w:szCs w:val="28"/>
          <w:lang w:val="en-US" w:eastAsia="en-US"/>
        </w:rPr>
        <w:t>;</w:t>
      </w:r>
      <w:r w:rsidRPr="00520861">
        <w:rPr>
          <w:rFonts w:eastAsiaTheme="minorHAnsi"/>
          <w:sz w:val="28"/>
          <w:szCs w:val="28"/>
          <w:lang w:eastAsia="en-US"/>
        </w:rPr>
        <w:t>32</w:t>
      </w:r>
      <w:r w:rsidRPr="00520861">
        <w:rPr>
          <w:rFonts w:eastAsiaTheme="minorHAnsi"/>
          <w:sz w:val="28"/>
          <w:szCs w:val="28"/>
          <w:lang w:val="en-US" w:eastAsia="en-US"/>
        </w:rPr>
        <w:t>(</w:t>
      </w:r>
      <w:r w:rsidRPr="00520861">
        <w:rPr>
          <w:rFonts w:eastAsiaTheme="minorHAnsi"/>
          <w:sz w:val="28"/>
          <w:szCs w:val="28"/>
          <w:lang w:eastAsia="en-US"/>
        </w:rPr>
        <w:t>2</w:t>
      </w:r>
      <w:r w:rsidRPr="00520861">
        <w:rPr>
          <w:rFonts w:eastAsiaTheme="minorHAnsi"/>
          <w:sz w:val="28"/>
          <w:szCs w:val="28"/>
          <w:lang w:val="en-US" w:eastAsia="en-US"/>
        </w:rPr>
        <w:t>):</w:t>
      </w:r>
      <w:r w:rsidRPr="00520861">
        <w:rPr>
          <w:rFonts w:eastAsiaTheme="minorHAnsi"/>
          <w:sz w:val="28"/>
          <w:szCs w:val="28"/>
          <w:lang w:eastAsia="en-US"/>
        </w:rPr>
        <w:t xml:space="preserve"> 70–73</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w:t>
      </w:r>
      <w:r w:rsidRPr="00520861">
        <w:rPr>
          <w:rFonts w:eastAsiaTheme="minorHAnsi"/>
          <w:sz w:val="28"/>
          <w:szCs w:val="28"/>
          <w:lang w:val="en-US" w:eastAsia="en-US"/>
        </w:rPr>
        <w:t xml:space="preserve"> 10.4103/ijaai.ijaai_16_18.</w:t>
      </w:r>
    </w:p>
    <w:p w14:paraId="67ABDA57"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val="en-GB" w:eastAsia="en-US"/>
        </w:rPr>
      </w:pPr>
      <w:r w:rsidRPr="00520861">
        <w:rPr>
          <w:rFonts w:eastAsia="Calibri"/>
          <w:sz w:val="28"/>
          <w:szCs w:val="28"/>
          <w:lang w:val="en-GB" w:eastAsia="en-US"/>
        </w:rPr>
        <w:t>Kong</w:t>
      </w:r>
      <w:r w:rsidRPr="00520861">
        <w:rPr>
          <w:rFonts w:eastAsia="Calibri"/>
          <w:sz w:val="28"/>
          <w:szCs w:val="28"/>
          <w:lang w:eastAsia="en-US"/>
        </w:rPr>
        <w:t xml:space="preserve"> </w:t>
      </w:r>
      <w:r w:rsidRPr="00520861">
        <w:rPr>
          <w:rFonts w:eastAsia="Calibri"/>
          <w:sz w:val="28"/>
          <w:szCs w:val="28"/>
          <w:lang w:val="en-GB" w:eastAsia="en-US"/>
        </w:rPr>
        <w:t>YY</w:t>
      </w:r>
      <w:r w:rsidRPr="00520861">
        <w:rPr>
          <w:rFonts w:eastAsia="Calibri"/>
          <w:sz w:val="28"/>
          <w:szCs w:val="28"/>
          <w:lang w:eastAsia="en-US"/>
        </w:rPr>
        <w:t xml:space="preserve">, </w:t>
      </w:r>
      <w:r w:rsidRPr="00520861">
        <w:rPr>
          <w:rFonts w:eastAsia="Calibri"/>
          <w:sz w:val="28"/>
          <w:szCs w:val="28"/>
          <w:lang w:val="en-GB" w:eastAsia="en-US"/>
        </w:rPr>
        <w:t>Zheng</w:t>
      </w:r>
      <w:r w:rsidRPr="00520861">
        <w:rPr>
          <w:rFonts w:eastAsia="Calibri"/>
          <w:sz w:val="28"/>
          <w:szCs w:val="28"/>
          <w:lang w:eastAsia="en-US"/>
        </w:rPr>
        <w:t xml:space="preserve"> </w:t>
      </w:r>
      <w:r w:rsidRPr="00520861">
        <w:rPr>
          <w:rFonts w:eastAsia="Calibri"/>
          <w:sz w:val="28"/>
          <w:szCs w:val="28"/>
          <w:lang w:val="en-GB" w:eastAsia="en-US"/>
        </w:rPr>
        <w:t>JM</w:t>
      </w:r>
      <w:r w:rsidRPr="00520861">
        <w:rPr>
          <w:rFonts w:eastAsia="Calibri"/>
          <w:sz w:val="28"/>
          <w:szCs w:val="28"/>
          <w:lang w:eastAsia="en-US"/>
        </w:rPr>
        <w:t xml:space="preserve">, </w:t>
      </w:r>
      <w:r w:rsidRPr="00520861">
        <w:rPr>
          <w:rFonts w:eastAsia="Calibri"/>
          <w:sz w:val="28"/>
          <w:szCs w:val="28"/>
          <w:lang w:val="en-GB" w:eastAsia="en-US"/>
        </w:rPr>
        <w:t>Zhang</w:t>
      </w:r>
      <w:r w:rsidRPr="00520861">
        <w:rPr>
          <w:rFonts w:eastAsia="Calibri"/>
          <w:sz w:val="28"/>
          <w:szCs w:val="28"/>
          <w:lang w:eastAsia="en-US"/>
        </w:rPr>
        <w:t xml:space="preserve"> </w:t>
      </w:r>
      <w:r w:rsidRPr="00520861">
        <w:rPr>
          <w:rFonts w:eastAsia="Calibri"/>
          <w:sz w:val="28"/>
          <w:szCs w:val="28"/>
          <w:lang w:val="en-GB" w:eastAsia="en-US"/>
        </w:rPr>
        <w:t>WJ</w:t>
      </w:r>
      <w:r w:rsidRPr="00520861">
        <w:rPr>
          <w:rFonts w:eastAsia="Calibri"/>
          <w:sz w:val="28"/>
          <w:szCs w:val="28"/>
          <w:lang w:eastAsia="en-US"/>
        </w:rPr>
        <w:t xml:space="preserve">, </w:t>
      </w:r>
      <w:hyperlink r:id="rId132" w:history="1">
        <w:r w:rsidRPr="00520861">
          <w:rPr>
            <w:rFonts w:eastAsia="Calibri"/>
            <w:sz w:val="28"/>
            <w:szCs w:val="28"/>
            <w:lang w:val="en-GB" w:eastAsia="en-US"/>
          </w:rPr>
          <w:t>Jiang</w:t>
        </w:r>
        <w:r w:rsidRPr="00520861">
          <w:rPr>
            <w:rFonts w:eastAsia="Calibri"/>
            <w:sz w:val="28"/>
            <w:szCs w:val="28"/>
            <w:lang w:eastAsia="en-US"/>
          </w:rPr>
          <w:t xml:space="preserve"> </w:t>
        </w:r>
        <w:r w:rsidRPr="00520861">
          <w:rPr>
            <w:rFonts w:eastAsia="Calibri"/>
            <w:sz w:val="28"/>
            <w:szCs w:val="28"/>
            <w:lang w:val="en-GB" w:eastAsia="en-US"/>
          </w:rPr>
          <w:t>QZ</w:t>
        </w:r>
      </w:hyperlink>
      <w:r w:rsidRPr="00520861">
        <w:rPr>
          <w:rFonts w:eastAsia="Calibri"/>
          <w:sz w:val="28"/>
          <w:szCs w:val="28"/>
          <w:lang w:eastAsia="en-US"/>
        </w:rPr>
        <w:t xml:space="preserve">, </w:t>
      </w:r>
      <w:r w:rsidRPr="00520861">
        <w:rPr>
          <w:rFonts w:eastAsia="Calibri"/>
          <w:sz w:val="28"/>
          <w:szCs w:val="28"/>
          <w:lang w:val="en-GB" w:eastAsia="en-US"/>
        </w:rPr>
        <w:t>Yang</w:t>
      </w:r>
      <w:r w:rsidRPr="00520861">
        <w:rPr>
          <w:rFonts w:eastAsia="Calibri"/>
          <w:sz w:val="28"/>
          <w:szCs w:val="28"/>
          <w:lang w:eastAsia="en-US"/>
        </w:rPr>
        <w:t xml:space="preserve"> </w:t>
      </w:r>
      <w:r w:rsidRPr="00520861">
        <w:rPr>
          <w:rFonts w:eastAsia="Calibri"/>
          <w:sz w:val="28"/>
          <w:szCs w:val="28"/>
          <w:lang w:val="en-GB" w:eastAsia="en-US"/>
        </w:rPr>
        <w:t>XC</w:t>
      </w:r>
      <w:r w:rsidRPr="00520861">
        <w:rPr>
          <w:rFonts w:eastAsia="Calibri"/>
          <w:sz w:val="28"/>
          <w:szCs w:val="28"/>
          <w:lang w:eastAsia="en-US"/>
        </w:rPr>
        <w:t xml:space="preserve">, </w:t>
      </w:r>
      <w:r w:rsidRPr="00520861">
        <w:rPr>
          <w:rFonts w:eastAsia="Calibri"/>
          <w:sz w:val="28"/>
          <w:szCs w:val="28"/>
          <w:lang w:val="en-GB" w:eastAsia="en-US"/>
        </w:rPr>
        <w:t>Yu</w:t>
      </w:r>
      <w:r w:rsidRPr="00520861">
        <w:rPr>
          <w:rFonts w:eastAsia="Calibri"/>
          <w:sz w:val="28"/>
          <w:szCs w:val="28"/>
          <w:lang w:eastAsia="en-US"/>
        </w:rPr>
        <w:t xml:space="preserve"> </w:t>
      </w:r>
      <w:r w:rsidRPr="00520861">
        <w:rPr>
          <w:rFonts w:eastAsia="Calibri"/>
          <w:sz w:val="28"/>
          <w:szCs w:val="28"/>
          <w:lang w:val="en-GB" w:eastAsia="en-US"/>
        </w:rPr>
        <w:t>M</w:t>
      </w:r>
      <w:r w:rsidRPr="00520861">
        <w:rPr>
          <w:rFonts w:eastAsia="Calibri"/>
          <w:sz w:val="28"/>
          <w:szCs w:val="28"/>
          <w:lang w:eastAsia="en-US"/>
        </w:rPr>
        <w:t xml:space="preserve">, </w:t>
      </w:r>
      <w:r w:rsidRPr="00520861">
        <w:rPr>
          <w:rFonts w:eastAsia="Calibri"/>
          <w:sz w:val="28"/>
          <w:szCs w:val="28"/>
          <w:lang w:val="en-GB" w:eastAsia="en-US"/>
        </w:rPr>
        <w:t>et</w:t>
      </w:r>
      <w:r w:rsidRPr="00520861">
        <w:rPr>
          <w:rFonts w:eastAsia="Calibri"/>
          <w:sz w:val="28"/>
          <w:szCs w:val="28"/>
          <w:lang w:eastAsia="en-US"/>
        </w:rPr>
        <w:t xml:space="preserve"> </w:t>
      </w:r>
      <w:r w:rsidRPr="00520861">
        <w:rPr>
          <w:rFonts w:eastAsia="Calibri"/>
          <w:sz w:val="28"/>
          <w:szCs w:val="28"/>
          <w:lang w:val="en-GB" w:eastAsia="en-US"/>
        </w:rPr>
        <w:t>al</w:t>
      </w:r>
      <w:r w:rsidRPr="00520861">
        <w:rPr>
          <w:rFonts w:eastAsia="Calibri"/>
          <w:sz w:val="28"/>
          <w:szCs w:val="28"/>
          <w:lang w:eastAsia="en-US"/>
        </w:rPr>
        <w:t xml:space="preserve">. </w:t>
      </w:r>
      <w:r w:rsidRPr="00520861">
        <w:rPr>
          <w:rFonts w:eastAsia="Calibri"/>
          <w:sz w:val="28"/>
          <w:szCs w:val="28"/>
          <w:lang w:val="en-GB" w:eastAsia="en-US"/>
        </w:rPr>
        <w:t xml:space="preserve">The relationship between vitamin D receptor gene polymorphism and deciduous tooth decay in Chinese children. </w:t>
      </w:r>
      <w:r w:rsidRPr="00520861">
        <w:rPr>
          <w:rFonts w:eastAsia="Calibri"/>
          <w:i/>
          <w:sz w:val="28"/>
          <w:szCs w:val="28"/>
          <w:lang w:val="en-GB" w:eastAsia="en-US"/>
        </w:rPr>
        <w:t>BMC Oral Health</w:t>
      </w:r>
      <w:r w:rsidRPr="00520861">
        <w:rPr>
          <w:rFonts w:eastAsiaTheme="minorHAnsi"/>
          <w:sz w:val="28"/>
          <w:szCs w:val="28"/>
          <w:lang w:val="en-US" w:eastAsia="en-US"/>
        </w:rPr>
        <w:t xml:space="preserve"> </w:t>
      </w:r>
      <w:r w:rsidRPr="00520861">
        <w:rPr>
          <w:rFonts w:eastAsia="Calibri"/>
          <w:sz w:val="28"/>
          <w:szCs w:val="28"/>
          <w:lang w:val="en-US" w:eastAsia="en-US"/>
        </w:rPr>
        <w:t>[Internet].</w:t>
      </w:r>
      <w:r w:rsidRPr="00520861">
        <w:rPr>
          <w:rFonts w:eastAsia="Calibri"/>
          <w:sz w:val="28"/>
          <w:szCs w:val="28"/>
          <w:lang w:val="en-GB" w:eastAsia="en-US"/>
        </w:rPr>
        <w:t xml:space="preserve"> 2017 </w:t>
      </w:r>
      <w:r w:rsidRPr="00520861">
        <w:rPr>
          <w:rFonts w:eastAsia="Calibri"/>
          <w:sz w:val="28"/>
          <w:szCs w:val="28"/>
          <w:lang w:val="en-US" w:eastAsia="en-US"/>
        </w:rPr>
        <w:t>Jul [cited 2020 Jun 4]</w:t>
      </w:r>
      <w:r w:rsidRPr="00520861">
        <w:rPr>
          <w:rFonts w:eastAsia="Calibri"/>
          <w:sz w:val="28"/>
          <w:szCs w:val="28"/>
          <w:lang w:val="en-GB" w:eastAsia="en-US"/>
        </w:rPr>
        <w:t xml:space="preserve">;17(1): 111.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val="en-GB" w:eastAsia="en-US"/>
        </w:rPr>
        <w:t>10.1186/s12903-017-0398-x.</w:t>
      </w:r>
    </w:p>
    <w:p w14:paraId="46E41AB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Kotlow</w:t>
      </w:r>
      <w:proofErr w:type="spellEnd"/>
      <w:r w:rsidRPr="00520861">
        <w:rPr>
          <w:rFonts w:eastAsiaTheme="minorHAnsi"/>
          <w:sz w:val="28"/>
          <w:szCs w:val="28"/>
          <w:lang w:eastAsia="en-US"/>
        </w:rPr>
        <w:t xml:space="preserve"> LA. </w:t>
      </w:r>
      <w:proofErr w:type="spellStart"/>
      <w:r w:rsidRPr="00520861">
        <w:rPr>
          <w:rFonts w:eastAsiaTheme="minorHAnsi"/>
          <w:sz w:val="28"/>
          <w:szCs w:val="28"/>
          <w:lang w:eastAsia="en-US"/>
        </w:rPr>
        <w:t>Diagnosis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ankyloglossia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maxillary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fraenum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using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Er:YAG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1064 </w:t>
      </w:r>
      <w:proofErr w:type="spellStart"/>
      <w:r w:rsidRPr="00520861">
        <w:rPr>
          <w:rFonts w:eastAsiaTheme="minorHAnsi"/>
          <w:sz w:val="28"/>
          <w:szCs w:val="28"/>
          <w:lang w:eastAsia="en-US"/>
        </w:rPr>
        <w:t>diode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lasers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Eur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Arch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Paediatr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2011;12(2):</w:t>
      </w:r>
      <w:r w:rsidRPr="00520861">
        <w:rPr>
          <w:rFonts w:eastAsiaTheme="minorHAnsi"/>
          <w:sz w:val="28"/>
          <w:szCs w:val="28"/>
          <w:lang w:val="en-US" w:eastAsia="en-US"/>
        </w:rPr>
        <w:t xml:space="preserve"> </w:t>
      </w:r>
      <w:r w:rsidRPr="00520861">
        <w:rPr>
          <w:rFonts w:eastAsiaTheme="minorHAnsi"/>
          <w:sz w:val="28"/>
          <w:szCs w:val="28"/>
          <w:lang w:eastAsia="en-US"/>
        </w:rPr>
        <w:t>106–112.</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val="en-US" w:eastAsia="en-US"/>
        </w:rPr>
        <w:t>10.1007/BF03262789.</w:t>
      </w:r>
    </w:p>
    <w:p w14:paraId="37E0BF0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Kotlow</w:t>
      </w:r>
      <w:proofErr w:type="spellEnd"/>
      <w:r w:rsidRPr="00520861">
        <w:rPr>
          <w:rFonts w:eastAsiaTheme="minorHAnsi"/>
          <w:sz w:val="28"/>
          <w:szCs w:val="28"/>
          <w:lang w:eastAsia="en-US"/>
        </w:rPr>
        <w:t xml:space="preserve"> LA.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maxillary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frenum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pattern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anterior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teeth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breastfeeding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prevention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diagnosis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Hum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Lact</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2010</w:t>
      </w:r>
      <w:r w:rsidRPr="00520861">
        <w:rPr>
          <w:rFonts w:eastAsiaTheme="minorHAnsi"/>
          <w:sz w:val="28"/>
          <w:szCs w:val="28"/>
          <w:lang w:val="en-US" w:eastAsia="en-US"/>
        </w:rPr>
        <w:t>;</w:t>
      </w:r>
      <w:r w:rsidRPr="00520861">
        <w:rPr>
          <w:rFonts w:eastAsiaTheme="minorHAnsi"/>
          <w:sz w:val="28"/>
          <w:szCs w:val="28"/>
          <w:lang w:eastAsia="en-US"/>
        </w:rPr>
        <w:t>26(3)</w:t>
      </w:r>
      <w:r w:rsidRPr="00520861">
        <w:rPr>
          <w:rFonts w:eastAsiaTheme="minorHAnsi"/>
          <w:sz w:val="28"/>
          <w:szCs w:val="28"/>
          <w:lang w:val="en-US" w:eastAsia="en-US"/>
        </w:rPr>
        <w:t>:</w:t>
      </w:r>
      <w:r w:rsidRPr="00520861">
        <w:rPr>
          <w:rFonts w:eastAsiaTheme="minorHAnsi"/>
          <w:sz w:val="28"/>
          <w:szCs w:val="28"/>
          <w:lang w:eastAsia="en-US"/>
        </w:rPr>
        <w:t xml:space="preserve"> 304–</w:t>
      </w:r>
      <w:r w:rsidRPr="00520861">
        <w:rPr>
          <w:rFonts w:eastAsiaTheme="minorHAnsi"/>
          <w:sz w:val="28"/>
          <w:szCs w:val="28"/>
          <w:lang w:val="en-US" w:eastAsia="en-US"/>
        </w:rPr>
        <w:t>30</w:t>
      </w:r>
      <w:r w:rsidRPr="00520861">
        <w:rPr>
          <w:rFonts w:eastAsiaTheme="minorHAnsi"/>
          <w:sz w:val="28"/>
          <w:szCs w:val="28"/>
          <w:lang w:eastAsia="en-US"/>
        </w:rPr>
        <w:t>8.</w:t>
      </w:r>
    </w:p>
    <w:p w14:paraId="440D81B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Koyanagi</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Dagvadorj</w:t>
      </w:r>
      <w:proofErr w:type="spellEnd"/>
      <w:r w:rsidRPr="00520861">
        <w:rPr>
          <w:rFonts w:eastAsiaTheme="minorHAnsi"/>
          <w:sz w:val="28"/>
          <w:szCs w:val="28"/>
          <w:lang w:eastAsia="en-US"/>
        </w:rPr>
        <w:t xml:space="preserve"> A, </w:t>
      </w:r>
      <w:r w:rsidRPr="00520861">
        <w:rPr>
          <w:rFonts w:eastAsiaTheme="minorHAnsi"/>
          <w:sz w:val="28"/>
          <w:szCs w:val="28"/>
          <w:lang w:val="en-US" w:eastAsia="en-US"/>
        </w:rPr>
        <w:t xml:space="preserve"> Hirayama F, Shibuya K, Souza JP,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23 </w:t>
      </w:r>
      <w:proofErr w:type="spellStart"/>
      <w:r w:rsidRPr="00520861">
        <w:rPr>
          <w:rFonts w:eastAsiaTheme="minorHAnsi"/>
          <w:sz w:val="28"/>
          <w:szCs w:val="28"/>
          <w:lang w:eastAsia="en-US"/>
        </w:rPr>
        <w:t>developing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countries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analysis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multicountry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facility-based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cross-sectional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survey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Lancet</w:t>
      </w:r>
      <w:proofErr w:type="spellEnd"/>
      <w:r w:rsidRPr="00520861">
        <w:rPr>
          <w:rFonts w:eastAsiaTheme="minorHAnsi"/>
          <w:sz w:val="28"/>
          <w:szCs w:val="28"/>
          <w:lang w:eastAsia="en-US"/>
        </w:rPr>
        <w:t>. 2013;381(9865):</w:t>
      </w:r>
      <w:r w:rsidRPr="00520861">
        <w:rPr>
          <w:rFonts w:eastAsiaTheme="minorHAnsi"/>
          <w:sz w:val="28"/>
          <w:szCs w:val="28"/>
          <w:lang w:val="en-US" w:eastAsia="en-US"/>
        </w:rPr>
        <w:t xml:space="preserve"> </w:t>
      </w:r>
      <w:r w:rsidRPr="00520861">
        <w:rPr>
          <w:rFonts w:eastAsiaTheme="minorHAnsi"/>
          <w:sz w:val="28"/>
          <w:szCs w:val="28"/>
          <w:lang w:eastAsia="en-US"/>
        </w:rPr>
        <w:t xml:space="preserve">476–483.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10.1016/S0140-6736(12)61605-5</w:t>
      </w:r>
      <w:r w:rsidRPr="00520861">
        <w:rPr>
          <w:rFonts w:eastAsiaTheme="minorHAnsi"/>
          <w:sz w:val="28"/>
          <w:szCs w:val="28"/>
          <w:lang w:val="en-US" w:eastAsia="en-US"/>
        </w:rPr>
        <w:t>.</w:t>
      </w:r>
    </w:p>
    <w:p w14:paraId="5536A50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Kronka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Watanabe</w:t>
      </w:r>
      <w:proofErr w:type="spellEnd"/>
      <w:r w:rsidRPr="00520861">
        <w:rPr>
          <w:rFonts w:eastAsiaTheme="minorHAnsi"/>
          <w:sz w:val="28"/>
          <w:szCs w:val="28"/>
          <w:lang w:eastAsia="en-US"/>
        </w:rPr>
        <w:t xml:space="preserve"> I-S, </w:t>
      </w:r>
      <w:proofErr w:type="spellStart"/>
      <w:r w:rsidRPr="00520861">
        <w:rPr>
          <w:rFonts w:eastAsiaTheme="minorHAnsi"/>
          <w:sz w:val="28"/>
          <w:szCs w:val="28"/>
          <w:lang w:eastAsia="en-US"/>
        </w:rPr>
        <w:t>Cavenaghi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Pereira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Silva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Scanning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electron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angioarchitecture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palatine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gingiva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young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rabbits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Brazilian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sz w:val="28"/>
          <w:szCs w:val="28"/>
          <w:lang w:eastAsia="en-US"/>
        </w:rPr>
        <w:t>. 2001</w:t>
      </w:r>
      <w:r w:rsidRPr="00520861">
        <w:rPr>
          <w:rFonts w:eastAsiaTheme="minorHAnsi"/>
          <w:sz w:val="28"/>
          <w:szCs w:val="28"/>
          <w:lang w:val="en-US" w:eastAsia="en-US"/>
        </w:rPr>
        <w:t>;</w:t>
      </w:r>
      <w:r w:rsidRPr="00520861">
        <w:rPr>
          <w:rFonts w:eastAsiaTheme="minorHAnsi"/>
          <w:sz w:val="28"/>
          <w:szCs w:val="28"/>
          <w:lang w:eastAsia="en-US"/>
        </w:rPr>
        <w:t>12</w:t>
      </w:r>
      <w:r w:rsidRPr="00520861">
        <w:rPr>
          <w:rFonts w:eastAsiaTheme="minorHAnsi"/>
          <w:sz w:val="28"/>
          <w:szCs w:val="28"/>
          <w:lang w:val="en-US" w:eastAsia="en-US"/>
        </w:rPr>
        <w:t>(3):</w:t>
      </w:r>
      <w:r w:rsidRPr="00520861">
        <w:rPr>
          <w:rFonts w:eastAsiaTheme="minorHAnsi"/>
          <w:sz w:val="28"/>
          <w:szCs w:val="28"/>
          <w:lang w:eastAsia="en-US"/>
        </w:rPr>
        <w:t xml:space="preserve"> 163–</w:t>
      </w:r>
      <w:r w:rsidRPr="00520861">
        <w:rPr>
          <w:rFonts w:eastAsiaTheme="minorHAnsi"/>
          <w:sz w:val="28"/>
          <w:szCs w:val="28"/>
          <w:lang w:val="en-US" w:eastAsia="en-US"/>
        </w:rPr>
        <w:t>16</w:t>
      </w:r>
      <w:r w:rsidRPr="00520861">
        <w:rPr>
          <w:rFonts w:eastAsiaTheme="minorHAnsi"/>
          <w:sz w:val="28"/>
          <w:szCs w:val="28"/>
          <w:lang w:eastAsia="en-US"/>
        </w:rPr>
        <w:t>6.</w:t>
      </w:r>
    </w:p>
    <w:p w14:paraId="2C65929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Kubínová</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Janáček</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Confocal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stereology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efficient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measurement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structures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Cell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Tissue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2015;360:</w:t>
      </w:r>
      <w:r w:rsidRPr="00520861">
        <w:rPr>
          <w:rFonts w:eastAsiaTheme="minorHAnsi"/>
          <w:sz w:val="28"/>
          <w:szCs w:val="28"/>
          <w:lang w:val="en-US" w:eastAsia="en-US"/>
        </w:rPr>
        <w:t xml:space="preserve"> </w:t>
      </w:r>
      <w:r w:rsidRPr="00520861">
        <w:rPr>
          <w:rFonts w:eastAsiaTheme="minorHAnsi"/>
          <w:sz w:val="28"/>
          <w:szCs w:val="28"/>
          <w:lang w:eastAsia="en-US"/>
        </w:rPr>
        <w:t>13–28.</w:t>
      </w:r>
    </w:p>
    <w:p w14:paraId="4FB5D2F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Kubínová</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Mao</w:t>
      </w:r>
      <w:proofErr w:type="spellEnd"/>
      <w:r w:rsidRPr="00520861">
        <w:rPr>
          <w:rFonts w:eastAsiaTheme="minorHAnsi"/>
          <w:sz w:val="28"/>
          <w:szCs w:val="28"/>
          <w:lang w:eastAsia="en-US"/>
        </w:rPr>
        <w:t xml:space="preserve"> XW, </w:t>
      </w:r>
      <w:proofErr w:type="spellStart"/>
      <w:r w:rsidRPr="00520861">
        <w:rPr>
          <w:rFonts w:eastAsiaTheme="minorHAnsi"/>
          <w:sz w:val="28"/>
          <w:szCs w:val="28"/>
          <w:lang w:eastAsia="en-US"/>
        </w:rPr>
        <w:t>Janáček</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Blood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capillary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length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estimation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three-dimensional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data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analysis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stereology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Micros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Microanal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2013;19:</w:t>
      </w:r>
      <w:r w:rsidRPr="00520861">
        <w:rPr>
          <w:rFonts w:eastAsiaTheme="minorHAnsi"/>
          <w:sz w:val="28"/>
          <w:szCs w:val="28"/>
          <w:lang w:val="en-US" w:eastAsia="en-US"/>
        </w:rPr>
        <w:t xml:space="preserve"> </w:t>
      </w:r>
      <w:r w:rsidRPr="00520861">
        <w:rPr>
          <w:rFonts w:eastAsiaTheme="minorHAnsi"/>
          <w:sz w:val="28"/>
          <w:szCs w:val="28"/>
          <w:lang w:eastAsia="en-US"/>
        </w:rPr>
        <w:t>898–906.</w:t>
      </w:r>
    </w:p>
    <w:p w14:paraId="0D6C4B3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Küchler</w:t>
      </w:r>
      <w:proofErr w:type="spellEnd"/>
      <w:r w:rsidRPr="00520861">
        <w:rPr>
          <w:rFonts w:eastAsiaTheme="minorHAnsi"/>
          <w:sz w:val="28"/>
          <w:szCs w:val="28"/>
          <w:lang w:eastAsia="en-US"/>
        </w:rPr>
        <w:t xml:space="preserve"> EC, </w:t>
      </w:r>
      <w:proofErr w:type="spellStart"/>
      <w:r w:rsidRPr="00520861">
        <w:rPr>
          <w:rFonts w:eastAsiaTheme="minorHAnsi"/>
          <w:sz w:val="28"/>
          <w:szCs w:val="28"/>
          <w:lang w:eastAsia="en-US"/>
        </w:rPr>
        <w:t>Schröder</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Corso</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Scariot</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Spanier</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Proff</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expression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ligament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fibroblasts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phases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orthodontic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movement</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Odontology</w:t>
      </w:r>
      <w:proofErr w:type="spellEnd"/>
      <w:r w:rsidRPr="00520861">
        <w:rPr>
          <w:rFonts w:eastAsiaTheme="minorHAnsi"/>
          <w:sz w:val="28"/>
          <w:szCs w:val="28"/>
          <w:lang w:eastAsia="en-US"/>
        </w:rPr>
        <w:t>. 20</w:t>
      </w:r>
      <w:r w:rsidRPr="00520861">
        <w:rPr>
          <w:rFonts w:eastAsiaTheme="minorHAnsi"/>
          <w:sz w:val="28"/>
          <w:szCs w:val="28"/>
          <w:lang w:val="en-US" w:eastAsia="en-US"/>
        </w:rPr>
        <w:t>20;108: 493–502</w:t>
      </w:r>
      <w:r w:rsidRPr="00520861">
        <w:rPr>
          <w:rFonts w:eastAsiaTheme="minorHAnsi"/>
          <w:sz w:val="28"/>
          <w:szCs w:val="28"/>
          <w:lang w:eastAsia="en-US"/>
        </w:rPr>
        <w:t xml:space="preserve">.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10.1007/s10266-019-00475-x.</w:t>
      </w:r>
    </w:p>
    <w:p w14:paraId="0E8D666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Calibri"/>
          <w:sz w:val="28"/>
          <w:szCs w:val="28"/>
          <w:lang w:val="en-US" w:eastAsia="en-US"/>
        </w:rPr>
        <w:t xml:space="preserve">Kumar N, Arthur CP, Ciferri C, Matsumoto ML. Structure of the secretory immunoglobulin A core. </w:t>
      </w:r>
      <w:r w:rsidRPr="00520861">
        <w:rPr>
          <w:rFonts w:eastAsia="Calibri"/>
          <w:i/>
          <w:sz w:val="28"/>
          <w:szCs w:val="28"/>
          <w:lang w:val="en-US" w:eastAsia="en-US"/>
        </w:rPr>
        <w:t>Science</w:t>
      </w:r>
      <w:r w:rsidRPr="00520861">
        <w:rPr>
          <w:rFonts w:eastAsia="Calibri"/>
          <w:sz w:val="28"/>
          <w:szCs w:val="28"/>
          <w:lang w:val="en-US" w:eastAsia="en-US"/>
        </w:rPr>
        <w:t xml:space="preserve">. 2020;367(6481): 1008–1014. </w:t>
      </w:r>
      <w:proofErr w:type="spellStart"/>
      <w:r w:rsidRPr="00520861">
        <w:rPr>
          <w:sz w:val="28"/>
          <w:szCs w:val="28"/>
        </w:rPr>
        <w:t>Available</w:t>
      </w:r>
      <w:proofErr w:type="spellEnd"/>
      <w:r w:rsidRPr="00520861">
        <w:rPr>
          <w:sz w:val="28"/>
          <w:szCs w:val="28"/>
        </w:rPr>
        <w:t xml:space="preserve"> </w:t>
      </w:r>
      <w:r w:rsidRPr="00520861">
        <w:rPr>
          <w:sz w:val="28"/>
          <w:szCs w:val="28"/>
          <w:lang w:val="en-US"/>
        </w:rPr>
        <w:t>from</w:t>
      </w:r>
      <w:r w:rsidRPr="00520861">
        <w:rPr>
          <w:sz w:val="28"/>
          <w:szCs w:val="28"/>
        </w:rPr>
        <w:t xml:space="preserve">: </w:t>
      </w:r>
      <w:r w:rsidRPr="00520861">
        <w:rPr>
          <w:rFonts w:eastAsia="Calibri"/>
          <w:sz w:val="28"/>
          <w:szCs w:val="28"/>
          <w:lang w:val="en-US" w:eastAsia="en-US"/>
        </w:rPr>
        <w:t>DOI: 10.1126/science.aaz5807.</w:t>
      </w:r>
      <w:r w:rsidRPr="00520861">
        <w:rPr>
          <w:rFonts w:eastAsiaTheme="minorHAnsi"/>
          <w:sz w:val="28"/>
          <w:szCs w:val="28"/>
          <w:lang w:eastAsia="en-US"/>
        </w:rPr>
        <w:t xml:space="preserve"> </w:t>
      </w:r>
    </w:p>
    <w:p w14:paraId="619D46F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Kumar</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Sharma</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alkaline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phosphatase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level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diagnostic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marker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sz w:val="28"/>
          <w:szCs w:val="28"/>
          <w:lang w:eastAsia="en-US"/>
        </w:rPr>
        <w:t>. 2011;3(5):</w:t>
      </w:r>
      <w:r w:rsidRPr="00520861">
        <w:rPr>
          <w:rFonts w:eastAsiaTheme="minorHAnsi"/>
          <w:sz w:val="28"/>
          <w:szCs w:val="28"/>
          <w:lang w:val="en-US" w:eastAsia="en-US"/>
        </w:rPr>
        <w:t xml:space="preserve"> </w:t>
      </w:r>
      <w:r w:rsidRPr="00520861">
        <w:rPr>
          <w:rFonts w:eastAsiaTheme="minorHAnsi"/>
          <w:sz w:val="28"/>
          <w:szCs w:val="28"/>
          <w:lang w:eastAsia="en-US"/>
        </w:rPr>
        <w:t>81–86.</w:t>
      </w:r>
    </w:p>
    <w:p w14:paraId="69B8669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Kwon</w:t>
      </w:r>
      <w:proofErr w:type="spellEnd"/>
      <w:r w:rsidRPr="00520861">
        <w:rPr>
          <w:rFonts w:eastAsiaTheme="minorHAnsi"/>
          <w:sz w:val="28"/>
          <w:szCs w:val="28"/>
          <w:lang w:eastAsia="en-US"/>
        </w:rPr>
        <w:t xml:space="preserve"> EJ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Kim</w:t>
      </w:r>
      <w:proofErr w:type="spellEnd"/>
      <w:r w:rsidRPr="00520861">
        <w:rPr>
          <w:rFonts w:eastAsiaTheme="minorHAnsi"/>
          <w:sz w:val="28"/>
          <w:szCs w:val="28"/>
          <w:lang w:eastAsia="en-US"/>
        </w:rPr>
        <w:t xml:space="preserve"> YJ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What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programming</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lifetime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under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control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utero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Gynecol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xml:space="preserve">. 2017 Nov;60(6): 506–519. </w:t>
      </w:r>
      <w:r w:rsidRPr="00520861">
        <w:rPr>
          <w:rFonts w:eastAsiaTheme="minorHAnsi"/>
          <w:sz w:val="28"/>
          <w:szCs w:val="28"/>
          <w:lang w:val="en-US" w:eastAsia="en-US"/>
        </w:rPr>
        <w:t xml:space="preserve">Available from: </w:t>
      </w:r>
      <w:r w:rsidRPr="00520861">
        <w:rPr>
          <w:rFonts w:eastAsiaTheme="minorHAnsi"/>
          <w:sz w:val="28"/>
          <w:szCs w:val="28"/>
          <w:lang w:eastAsia="en-US"/>
        </w:rPr>
        <w:t>DOI: 10.5468/ogs.2017.60.6.506</w:t>
      </w:r>
      <w:r w:rsidRPr="00520861">
        <w:rPr>
          <w:rFonts w:eastAsiaTheme="minorHAnsi"/>
          <w:sz w:val="28"/>
          <w:szCs w:val="28"/>
          <w:lang w:val="en-US" w:eastAsia="en-US"/>
        </w:rPr>
        <w:t>.</w:t>
      </w:r>
    </w:p>
    <w:p w14:paraId="6245A30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Laine</w:t>
      </w:r>
      <w:proofErr w:type="spellEnd"/>
      <w:r w:rsidRPr="00520861">
        <w:rPr>
          <w:rFonts w:eastAsiaTheme="minorHAnsi"/>
          <w:sz w:val="28"/>
          <w:szCs w:val="28"/>
          <w:lang w:eastAsia="en-US"/>
        </w:rPr>
        <w:t xml:space="preserve"> ML, </w:t>
      </w:r>
      <w:proofErr w:type="spellStart"/>
      <w:r w:rsidRPr="00520861">
        <w:rPr>
          <w:rFonts w:eastAsiaTheme="minorHAnsi"/>
          <w:sz w:val="28"/>
          <w:szCs w:val="28"/>
          <w:lang w:eastAsia="en-US"/>
        </w:rPr>
        <w:t>Loos</w:t>
      </w:r>
      <w:proofErr w:type="spellEnd"/>
      <w:r w:rsidRPr="00520861">
        <w:rPr>
          <w:rFonts w:eastAsiaTheme="minorHAnsi"/>
          <w:sz w:val="28"/>
          <w:szCs w:val="28"/>
          <w:lang w:eastAsia="en-US"/>
        </w:rPr>
        <w:t xml:space="preserve"> BG, </w:t>
      </w:r>
      <w:proofErr w:type="spellStart"/>
      <w:r w:rsidRPr="00520861">
        <w:rPr>
          <w:rFonts w:eastAsiaTheme="minorHAnsi"/>
          <w:sz w:val="28"/>
          <w:szCs w:val="28"/>
          <w:lang w:eastAsia="en-US"/>
        </w:rPr>
        <w:t>Crielaard</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00416B89" w:rsidRPr="00520861">
        <w:rPr>
          <w:rFonts w:eastAsiaTheme="minorHAnsi"/>
          <w:sz w:val="28"/>
          <w:szCs w:val="28"/>
          <w:lang w:eastAsia="en-US"/>
        </w:rPr>
        <w:br/>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Dent</w:t>
      </w:r>
      <w:proofErr w:type="spellEnd"/>
      <w:r w:rsidRPr="00520861">
        <w:rPr>
          <w:rFonts w:eastAsiaTheme="minorHAnsi"/>
          <w:sz w:val="28"/>
          <w:szCs w:val="28"/>
          <w:lang w:val="ru-RU" w:eastAsia="en-US"/>
        </w:rPr>
        <w:t xml:space="preserve"> [Internet]</w:t>
      </w:r>
      <w:r w:rsidRPr="00520861">
        <w:rPr>
          <w:rFonts w:eastAsiaTheme="minorHAnsi"/>
          <w:sz w:val="28"/>
          <w:szCs w:val="28"/>
          <w:lang w:eastAsia="en-US"/>
        </w:rPr>
        <w:t xml:space="preserve">. 2010 </w:t>
      </w:r>
      <w:r w:rsidRPr="00520861">
        <w:rPr>
          <w:rFonts w:eastAsiaTheme="minorHAnsi"/>
          <w:sz w:val="28"/>
          <w:szCs w:val="28"/>
          <w:lang w:val="en-US" w:eastAsia="en-US"/>
        </w:rPr>
        <w:t>Feb</w:t>
      </w:r>
      <w:r w:rsidRPr="00520861">
        <w:rPr>
          <w:rFonts w:eastAsiaTheme="minorHAnsi"/>
          <w:sz w:val="28"/>
          <w:szCs w:val="28"/>
          <w:lang w:eastAsia="en-US"/>
        </w:rPr>
        <w:t xml:space="preserve">;2010: 324719.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10.1155/2010/324719.</w:t>
      </w:r>
    </w:p>
    <w:p w14:paraId="248BFF0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Laksmiastuti</w:t>
      </w:r>
      <w:proofErr w:type="spellEnd"/>
      <w:r w:rsidRPr="00520861">
        <w:rPr>
          <w:rFonts w:eastAsiaTheme="minorHAnsi"/>
          <w:sz w:val="28"/>
          <w:szCs w:val="28"/>
          <w:lang w:eastAsia="en-US"/>
        </w:rPr>
        <w:t xml:space="preserve"> SR, </w:t>
      </w:r>
      <w:proofErr w:type="spellStart"/>
      <w:r w:rsidRPr="00520861">
        <w:rPr>
          <w:rFonts w:eastAsiaTheme="minorHAnsi"/>
          <w:sz w:val="28"/>
          <w:szCs w:val="28"/>
          <w:lang w:eastAsia="en-US"/>
        </w:rPr>
        <w:t>Budiardjo</w:t>
      </w:r>
      <w:proofErr w:type="spellEnd"/>
      <w:r w:rsidRPr="00520861">
        <w:rPr>
          <w:rFonts w:eastAsiaTheme="minorHAnsi"/>
          <w:sz w:val="28"/>
          <w:szCs w:val="28"/>
          <w:lang w:eastAsia="en-US"/>
        </w:rPr>
        <w:t xml:space="preserve"> SB, </w:t>
      </w:r>
      <w:proofErr w:type="spellStart"/>
      <w:r w:rsidRPr="00520861">
        <w:rPr>
          <w:rFonts w:eastAsiaTheme="minorHAnsi"/>
          <w:sz w:val="28"/>
          <w:szCs w:val="28"/>
          <w:lang w:eastAsia="en-US"/>
        </w:rPr>
        <w:t>Sutadi</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Validated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Questionnaire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Attitude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Knowledge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Predicting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Epidemiological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North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Jakarta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Indonesia</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Soc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Community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2017;7(</w:t>
      </w:r>
      <w:proofErr w:type="spellStart"/>
      <w:r w:rsidRPr="00520861">
        <w:rPr>
          <w:rFonts w:eastAsiaTheme="minorHAnsi"/>
          <w:sz w:val="28"/>
          <w:szCs w:val="28"/>
          <w:lang w:eastAsia="en-US"/>
        </w:rPr>
        <w:t>Suppl</w:t>
      </w:r>
      <w:proofErr w:type="spellEnd"/>
      <w:r w:rsidRPr="00520861">
        <w:rPr>
          <w:rFonts w:eastAsiaTheme="minorHAnsi"/>
          <w:sz w:val="28"/>
          <w:szCs w:val="28"/>
          <w:lang w:eastAsia="en-US"/>
        </w:rPr>
        <w:t xml:space="preserve"> 1):</w:t>
      </w:r>
      <w:r w:rsidRPr="00520861">
        <w:rPr>
          <w:rFonts w:eastAsiaTheme="minorHAnsi"/>
          <w:sz w:val="28"/>
          <w:szCs w:val="28"/>
          <w:lang w:val="en-US" w:eastAsia="en-US"/>
        </w:rPr>
        <w:t xml:space="preserve"> </w:t>
      </w:r>
      <w:r w:rsidRPr="00520861">
        <w:rPr>
          <w:rFonts w:eastAsiaTheme="minorHAnsi"/>
          <w:sz w:val="28"/>
          <w:szCs w:val="28"/>
          <w:lang w:eastAsia="en-US"/>
        </w:rPr>
        <w:t xml:space="preserve">S42–S47.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10.4103/jispcd.JISPCD_148_17</w:t>
      </w:r>
      <w:r w:rsidRPr="00520861">
        <w:rPr>
          <w:rFonts w:eastAsiaTheme="minorHAnsi"/>
          <w:sz w:val="28"/>
          <w:szCs w:val="28"/>
          <w:lang w:val="en-US" w:eastAsia="en-US"/>
        </w:rPr>
        <w:t>.</w:t>
      </w:r>
    </w:p>
    <w:p w14:paraId="29C3DEA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Leiva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Pardo</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Ramírez</w:t>
      </w:r>
      <w:proofErr w:type="spellEnd"/>
      <w:r w:rsidRPr="00520861">
        <w:rPr>
          <w:rFonts w:eastAsiaTheme="minorHAnsi"/>
          <w:sz w:val="28"/>
          <w:szCs w:val="28"/>
          <w:lang w:eastAsia="en-US"/>
        </w:rPr>
        <w:t xml:space="preserve"> MA, </w:t>
      </w:r>
      <w:proofErr w:type="spellStart"/>
      <w:r w:rsidRPr="00520861">
        <w:rPr>
          <w:rFonts w:eastAsiaTheme="minorHAnsi"/>
          <w:sz w:val="28"/>
          <w:szCs w:val="28"/>
          <w:lang w:eastAsia="en-US"/>
        </w:rPr>
        <w:t>Farías</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Casanello</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Sobrevia</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Fetoplacental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vascular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endothelial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dysfunction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phenomenon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adult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subjects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mellitus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Exp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Diabetes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2011</w:t>
      </w:r>
      <w:r w:rsidRPr="00520861">
        <w:rPr>
          <w:rFonts w:eastAsiaTheme="minorHAnsi"/>
          <w:sz w:val="28"/>
          <w:szCs w:val="28"/>
          <w:lang w:val="en-US" w:eastAsia="en-US"/>
        </w:rPr>
        <w:t xml:space="preserve"> Nov [cited 2020 Jul 7]</w:t>
      </w:r>
      <w:r w:rsidRPr="00520861">
        <w:rPr>
          <w:rFonts w:eastAsiaTheme="minorHAnsi"/>
          <w:sz w:val="28"/>
          <w:szCs w:val="28"/>
          <w:lang w:eastAsia="en-US"/>
        </w:rPr>
        <w:t>;2011:</w:t>
      </w:r>
      <w:r w:rsidRPr="00520861">
        <w:rPr>
          <w:rFonts w:eastAsiaTheme="minorHAnsi"/>
          <w:sz w:val="28"/>
          <w:szCs w:val="28"/>
          <w:lang w:val="en-US" w:eastAsia="en-US"/>
        </w:rPr>
        <w:t xml:space="preserve"> </w:t>
      </w:r>
      <w:r w:rsidRPr="00520861">
        <w:rPr>
          <w:rFonts w:eastAsiaTheme="minorHAnsi"/>
          <w:sz w:val="28"/>
          <w:szCs w:val="28"/>
          <w:lang w:eastAsia="en-US"/>
        </w:rPr>
        <w:t xml:space="preserve">349286.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10.1155/2011/349286</w:t>
      </w:r>
      <w:r w:rsidRPr="00520861">
        <w:rPr>
          <w:rFonts w:eastAsiaTheme="minorHAnsi"/>
          <w:sz w:val="28"/>
          <w:szCs w:val="28"/>
          <w:lang w:val="en-US" w:eastAsia="en-US"/>
        </w:rPr>
        <w:t>.</w:t>
      </w:r>
    </w:p>
    <w:p w14:paraId="5A41731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Lelovas</w:t>
      </w:r>
      <w:proofErr w:type="spellEnd"/>
      <w:r w:rsidRPr="00520861">
        <w:rPr>
          <w:rFonts w:eastAsiaTheme="minorHAnsi"/>
          <w:sz w:val="28"/>
          <w:szCs w:val="28"/>
          <w:lang w:eastAsia="en-US"/>
        </w:rPr>
        <w:t xml:space="preserve"> PP, </w:t>
      </w:r>
      <w:proofErr w:type="spellStart"/>
      <w:r w:rsidRPr="00520861">
        <w:rPr>
          <w:rFonts w:eastAsiaTheme="minorHAnsi"/>
          <w:sz w:val="28"/>
          <w:szCs w:val="28"/>
          <w:lang w:eastAsia="en-US"/>
        </w:rPr>
        <w:t>Xanthos</w:t>
      </w:r>
      <w:proofErr w:type="spellEnd"/>
      <w:r w:rsidRPr="00520861">
        <w:rPr>
          <w:rFonts w:eastAsiaTheme="minorHAnsi"/>
          <w:sz w:val="28"/>
          <w:szCs w:val="28"/>
          <w:lang w:eastAsia="en-US"/>
        </w:rPr>
        <w:t xml:space="preserve"> TT, </w:t>
      </w:r>
      <w:proofErr w:type="spellStart"/>
      <w:r w:rsidRPr="00520861">
        <w:rPr>
          <w:rFonts w:eastAsiaTheme="minorHAnsi"/>
          <w:sz w:val="28"/>
          <w:szCs w:val="28"/>
          <w:lang w:eastAsia="en-US"/>
        </w:rPr>
        <w:t>Thoma</w:t>
      </w:r>
      <w:proofErr w:type="spellEnd"/>
      <w:r w:rsidRPr="00520861">
        <w:rPr>
          <w:rFonts w:eastAsiaTheme="minorHAnsi"/>
          <w:sz w:val="28"/>
          <w:szCs w:val="28"/>
          <w:lang w:eastAsia="en-US"/>
        </w:rPr>
        <w:t xml:space="preserve"> SE, </w:t>
      </w:r>
      <w:proofErr w:type="spellStart"/>
      <w:r w:rsidRPr="00520861">
        <w:rPr>
          <w:rFonts w:eastAsiaTheme="minorHAnsi"/>
          <w:sz w:val="28"/>
          <w:szCs w:val="28"/>
          <w:lang w:eastAsia="en-US"/>
        </w:rPr>
        <w:t>Lyritis</w:t>
      </w:r>
      <w:proofErr w:type="spellEnd"/>
      <w:r w:rsidRPr="00520861">
        <w:rPr>
          <w:rFonts w:eastAsiaTheme="minorHAnsi"/>
          <w:sz w:val="28"/>
          <w:szCs w:val="28"/>
          <w:lang w:eastAsia="en-US"/>
        </w:rPr>
        <w:t xml:space="preserve"> GP, </w:t>
      </w:r>
      <w:proofErr w:type="spellStart"/>
      <w:r w:rsidRPr="00520861">
        <w:rPr>
          <w:rFonts w:eastAsiaTheme="minorHAnsi"/>
          <w:sz w:val="28"/>
          <w:szCs w:val="28"/>
          <w:lang w:eastAsia="en-US"/>
        </w:rPr>
        <w:t>Dontas</w:t>
      </w:r>
      <w:proofErr w:type="spellEnd"/>
      <w:r w:rsidRPr="00520861">
        <w:rPr>
          <w:rFonts w:eastAsiaTheme="minorHAnsi"/>
          <w:sz w:val="28"/>
          <w:szCs w:val="28"/>
          <w:lang w:eastAsia="en-US"/>
        </w:rPr>
        <w:t xml:space="preserve"> IA.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laboratory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animal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model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osteoporosis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research</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Comp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2008; 58(5):  424–430.</w:t>
      </w:r>
    </w:p>
    <w:p w14:paraId="1BE97C6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Lepercq</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Lahlou</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Timsit</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Girard</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Mouzon</w:t>
      </w:r>
      <w:proofErr w:type="spellEnd"/>
      <w:r w:rsidRPr="00520861">
        <w:rPr>
          <w:rFonts w:eastAsiaTheme="minorHAnsi"/>
          <w:sz w:val="28"/>
          <w:szCs w:val="28"/>
          <w:lang w:eastAsia="en-US"/>
        </w:rPr>
        <w:t xml:space="preserve"> SH.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revisited</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P</w:t>
      </w:r>
      <w:proofErr w:type="spellStart"/>
      <w:r w:rsidRPr="00520861">
        <w:rPr>
          <w:rFonts w:eastAsiaTheme="minorHAnsi"/>
          <w:sz w:val="28"/>
          <w:szCs w:val="28"/>
          <w:lang w:eastAsia="en-US"/>
        </w:rPr>
        <w:t>onderal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leptin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delineate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subtypes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overgrowth</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Gynecol</w:t>
      </w:r>
      <w:proofErr w:type="spellEnd"/>
      <w:r w:rsidRPr="00520861">
        <w:rPr>
          <w:rFonts w:eastAsiaTheme="minorHAnsi"/>
          <w:sz w:val="28"/>
          <w:szCs w:val="28"/>
          <w:lang w:eastAsia="en-US"/>
        </w:rPr>
        <w:t>. 1999;181(3):</w:t>
      </w:r>
      <w:r w:rsidRPr="00520861">
        <w:rPr>
          <w:rFonts w:eastAsiaTheme="minorHAnsi"/>
          <w:sz w:val="28"/>
          <w:szCs w:val="28"/>
          <w:lang w:val="en-US" w:eastAsia="en-US"/>
        </w:rPr>
        <w:t xml:space="preserve"> </w:t>
      </w:r>
      <w:r w:rsidRPr="00520861">
        <w:rPr>
          <w:rFonts w:eastAsiaTheme="minorHAnsi"/>
          <w:sz w:val="28"/>
          <w:szCs w:val="28"/>
          <w:lang w:eastAsia="en-US"/>
        </w:rPr>
        <w:t xml:space="preserve">621–625.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10.1016/s0002-9378(99)70502-8</w:t>
      </w:r>
      <w:r w:rsidRPr="00520861">
        <w:rPr>
          <w:rFonts w:eastAsiaTheme="minorHAnsi"/>
          <w:sz w:val="28"/>
          <w:szCs w:val="28"/>
          <w:lang w:val="en-US" w:eastAsia="en-US"/>
        </w:rPr>
        <w:t>.</w:t>
      </w:r>
    </w:p>
    <w:p w14:paraId="6756014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Levin</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Shpigel</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Peretz</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self-report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questionnaire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assessment</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preliminary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J</w:t>
      </w:r>
      <w:r w:rsidRPr="00520861">
        <w:rPr>
          <w:rFonts w:eastAsiaTheme="minorHAnsi"/>
          <w:sz w:val="28"/>
          <w:szCs w:val="28"/>
          <w:lang w:val="en-US" w:eastAsia="en-US"/>
        </w:rPr>
        <w:t xml:space="preserve"> [Internet]</w:t>
      </w:r>
      <w:r w:rsidRPr="00520861">
        <w:rPr>
          <w:rFonts w:eastAsiaTheme="minorHAnsi"/>
          <w:sz w:val="28"/>
          <w:szCs w:val="28"/>
          <w:lang w:eastAsia="en-US"/>
        </w:rPr>
        <w:t>. 2013</w:t>
      </w:r>
      <w:r w:rsidRPr="00520861">
        <w:rPr>
          <w:rFonts w:eastAsiaTheme="minorHAnsi"/>
          <w:sz w:val="28"/>
          <w:szCs w:val="28"/>
          <w:lang w:val="en-US" w:eastAsia="en-US"/>
        </w:rPr>
        <w:t xml:space="preserve"> Mar [cited 2020 Jun </w:t>
      </w:r>
      <w:r w:rsidRPr="00520861">
        <w:rPr>
          <w:rFonts w:eastAsiaTheme="minorHAnsi"/>
          <w:sz w:val="28"/>
          <w:szCs w:val="28"/>
          <w:lang w:val="en-US" w:eastAsia="en-US"/>
        </w:rPr>
        <w:lastRenderedPageBreak/>
        <w:t>18]</w:t>
      </w:r>
      <w:r w:rsidRPr="00520861">
        <w:rPr>
          <w:rFonts w:eastAsiaTheme="minorHAnsi"/>
          <w:sz w:val="28"/>
          <w:szCs w:val="28"/>
          <w:lang w:eastAsia="en-US"/>
        </w:rPr>
        <w:t>;214(5):</w:t>
      </w:r>
      <w:r w:rsidRPr="00520861">
        <w:rPr>
          <w:rFonts w:eastAsiaTheme="minorHAnsi"/>
          <w:sz w:val="28"/>
          <w:szCs w:val="28"/>
          <w:lang w:val="en-US" w:eastAsia="en-US"/>
        </w:rPr>
        <w:t xml:space="preserve"> </w:t>
      </w:r>
      <w:r w:rsidRPr="00520861">
        <w:rPr>
          <w:rFonts w:eastAsiaTheme="minorHAnsi"/>
          <w:sz w:val="28"/>
          <w:szCs w:val="28"/>
          <w:lang w:eastAsia="en-US"/>
        </w:rPr>
        <w:t xml:space="preserve">E15.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10.1038/sj.bdj.2013.224.</w:t>
      </w:r>
    </w:p>
    <w:p w14:paraId="697B479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Levy</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Wiznitzer</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Holcberg</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Mazor</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Sheiner</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Family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history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mellitus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independent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cesarean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delivery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Matern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Fetal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Neonatal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2010;23(2):</w:t>
      </w:r>
      <w:r w:rsidRPr="00520861">
        <w:rPr>
          <w:rFonts w:eastAsiaTheme="minorHAnsi"/>
          <w:sz w:val="28"/>
          <w:szCs w:val="28"/>
          <w:lang w:val="en-US" w:eastAsia="en-US"/>
        </w:rPr>
        <w:t xml:space="preserve"> </w:t>
      </w:r>
      <w:r w:rsidRPr="00520861">
        <w:rPr>
          <w:rFonts w:eastAsiaTheme="minorHAnsi"/>
          <w:sz w:val="28"/>
          <w:szCs w:val="28"/>
          <w:lang w:eastAsia="en-US"/>
        </w:rPr>
        <w:t xml:space="preserve">148–152.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10.3109/14767050903156650</w:t>
      </w:r>
      <w:r w:rsidRPr="00520861">
        <w:rPr>
          <w:rFonts w:eastAsiaTheme="minorHAnsi"/>
          <w:sz w:val="28"/>
          <w:szCs w:val="28"/>
          <w:lang w:val="en-US" w:eastAsia="en-US"/>
        </w:rPr>
        <w:t>.</w:t>
      </w:r>
    </w:p>
    <w:p w14:paraId="3977884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Lindh</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Horner</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Jonasson</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Olsson</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Rohlin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Jacobs</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visual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assessment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radiographs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identifying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having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osteoporosis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OSTEODENT </w:t>
      </w:r>
      <w:proofErr w:type="spellStart"/>
      <w:r w:rsidRPr="00520861">
        <w:rPr>
          <w:rFonts w:eastAsiaTheme="minorHAnsi"/>
          <w:sz w:val="28"/>
          <w:szCs w:val="28"/>
          <w:lang w:eastAsia="en-US"/>
        </w:rPr>
        <w:t>project</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Surg</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Pathol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Radiol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Endod</w:t>
      </w:r>
      <w:proofErr w:type="spellEnd"/>
      <w:r w:rsidRPr="00520861">
        <w:rPr>
          <w:rFonts w:eastAsiaTheme="minorHAnsi"/>
          <w:sz w:val="28"/>
          <w:szCs w:val="28"/>
          <w:lang w:eastAsia="en-US"/>
        </w:rPr>
        <w:t xml:space="preserve">. 2008;106(2), 285–293.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10.1016/j.tripleo.2007.09.008.</w:t>
      </w:r>
    </w:p>
    <w:p w14:paraId="39B3429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Littner</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Mandel</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Mimouni</w:t>
      </w:r>
      <w:proofErr w:type="spellEnd"/>
      <w:r w:rsidRPr="00520861">
        <w:rPr>
          <w:rFonts w:eastAsiaTheme="minorHAnsi"/>
          <w:sz w:val="28"/>
          <w:szCs w:val="28"/>
          <w:lang w:eastAsia="en-US"/>
        </w:rPr>
        <w:t xml:space="preserve"> FB, </w:t>
      </w:r>
      <w:proofErr w:type="spellStart"/>
      <w:r w:rsidRPr="00520861">
        <w:rPr>
          <w:rFonts w:eastAsiaTheme="minorHAnsi"/>
          <w:sz w:val="28"/>
          <w:szCs w:val="28"/>
          <w:lang w:eastAsia="en-US"/>
        </w:rPr>
        <w:t>Dollberg</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Decreased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ultrasound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velocity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large-for-gestational-age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Perinatol</w:t>
      </w:r>
      <w:proofErr w:type="spellEnd"/>
      <w:r w:rsidRPr="00520861">
        <w:rPr>
          <w:rFonts w:eastAsiaTheme="minorHAnsi"/>
          <w:sz w:val="28"/>
          <w:szCs w:val="28"/>
          <w:lang w:eastAsia="en-US"/>
        </w:rPr>
        <w:t>. 2004;24(1):</w:t>
      </w:r>
      <w:r w:rsidRPr="00520861">
        <w:rPr>
          <w:rFonts w:eastAsiaTheme="minorHAnsi"/>
          <w:sz w:val="28"/>
          <w:szCs w:val="28"/>
          <w:lang w:val="en-US" w:eastAsia="en-US"/>
        </w:rPr>
        <w:t xml:space="preserve"> </w:t>
      </w:r>
      <w:r w:rsidRPr="00520861">
        <w:rPr>
          <w:rFonts w:eastAsiaTheme="minorHAnsi"/>
          <w:sz w:val="28"/>
          <w:szCs w:val="28"/>
          <w:lang w:eastAsia="en-US"/>
        </w:rPr>
        <w:t>21–</w:t>
      </w:r>
      <w:r w:rsidRPr="00520861">
        <w:rPr>
          <w:rFonts w:eastAsiaTheme="minorHAnsi"/>
          <w:sz w:val="28"/>
          <w:szCs w:val="28"/>
          <w:lang w:val="en-US" w:eastAsia="en-US"/>
        </w:rPr>
        <w:t>2</w:t>
      </w:r>
      <w:r w:rsidRPr="00520861">
        <w:rPr>
          <w:rFonts w:eastAsiaTheme="minorHAnsi"/>
          <w:sz w:val="28"/>
          <w:szCs w:val="28"/>
          <w:lang w:eastAsia="en-US"/>
        </w:rPr>
        <w:t xml:space="preserve">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10.1038/sj.jp.7211013.</w:t>
      </w:r>
    </w:p>
    <w:p w14:paraId="2D0E62F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Liu</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Yao</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Wise</w:t>
      </w:r>
      <w:proofErr w:type="spellEnd"/>
      <w:r w:rsidRPr="00520861">
        <w:rPr>
          <w:rFonts w:eastAsiaTheme="minorHAnsi"/>
          <w:sz w:val="28"/>
          <w:szCs w:val="28"/>
          <w:lang w:eastAsia="en-US"/>
        </w:rPr>
        <w:t xml:space="preserve"> GE. </w:t>
      </w:r>
      <w:proofErr w:type="spellStart"/>
      <w:r w:rsidRPr="00520861">
        <w:rPr>
          <w:rFonts w:eastAsiaTheme="minorHAnsi"/>
          <w:sz w:val="28"/>
          <w:szCs w:val="28"/>
          <w:lang w:eastAsia="en-US"/>
        </w:rPr>
        <w:t>Effect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interleukin-10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expression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osteoclastogenic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regulatory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molecules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follicle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Eur</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2006;114(1):</w:t>
      </w:r>
      <w:r w:rsidRPr="00520861">
        <w:rPr>
          <w:rFonts w:eastAsiaTheme="minorHAnsi"/>
          <w:sz w:val="28"/>
          <w:szCs w:val="28"/>
          <w:lang w:val="en-US" w:eastAsia="en-US"/>
        </w:rPr>
        <w:t xml:space="preserve"> </w:t>
      </w:r>
      <w:r w:rsidRPr="00520861">
        <w:rPr>
          <w:rFonts w:eastAsiaTheme="minorHAnsi"/>
          <w:sz w:val="28"/>
          <w:szCs w:val="28"/>
          <w:lang w:eastAsia="en-US"/>
        </w:rPr>
        <w:t>42–</w:t>
      </w:r>
      <w:r w:rsidRPr="00520861">
        <w:rPr>
          <w:rFonts w:eastAsiaTheme="minorHAnsi"/>
          <w:sz w:val="28"/>
          <w:szCs w:val="28"/>
          <w:lang w:val="en-US" w:eastAsia="en-US"/>
        </w:rPr>
        <w:t>4</w:t>
      </w:r>
      <w:r w:rsidRPr="00520861">
        <w:rPr>
          <w:rFonts w:eastAsiaTheme="minorHAnsi"/>
          <w:sz w:val="28"/>
          <w:szCs w:val="28"/>
          <w:lang w:eastAsia="en-US"/>
        </w:rPr>
        <w:t>9.</w:t>
      </w:r>
    </w:p>
    <w:p w14:paraId="1BF660F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Loevy</w:t>
      </w:r>
      <w:proofErr w:type="spellEnd"/>
      <w:r w:rsidRPr="00520861">
        <w:rPr>
          <w:rFonts w:eastAsiaTheme="minorHAnsi"/>
          <w:sz w:val="28"/>
          <w:szCs w:val="28"/>
          <w:lang w:eastAsia="en-US"/>
        </w:rPr>
        <w:t xml:space="preserve"> HT, </w:t>
      </w:r>
      <w:proofErr w:type="spellStart"/>
      <w:r w:rsidRPr="00520861">
        <w:rPr>
          <w:rFonts w:eastAsiaTheme="minorHAnsi"/>
          <w:sz w:val="28"/>
          <w:szCs w:val="28"/>
          <w:lang w:eastAsia="en-US"/>
        </w:rPr>
        <w:t>Aduss</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Rosenthal</w:t>
      </w:r>
      <w:proofErr w:type="spellEnd"/>
      <w:r w:rsidRPr="00520861">
        <w:rPr>
          <w:rFonts w:eastAsiaTheme="minorHAnsi"/>
          <w:sz w:val="28"/>
          <w:szCs w:val="28"/>
          <w:lang w:eastAsia="en-US"/>
        </w:rPr>
        <w:t xml:space="preserve"> IM.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craniofacial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congenital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hypothyroidism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report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case</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Assoc</w:t>
      </w:r>
      <w:proofErr w:type="spellEnd"/>
      <w:r w:rsidRPr="00520861">
        <w:rPr>
          <w:rFonts w:eastAsiaTheme="minorHAnsi"/>
          <w:sz w:val="28"/>
          <w:szCs w:val="28"/>
          <w:lang w:eastAsia="en-US"/>
        </w:rPr>
        <w:t>. 1987;115(3): 429–</w:t>
      </w:r>
      <w:r w:rsidRPr="00520861">
        <w:rPr>
          <w:rFonts w:eastAsiaTheme="minorHAnsi"/>
          <w:sz w:val="28"/>
          <w:szCs w:val="28"/>
          <w:lang w:val="en-US" w:eastAsia="en-US"/>
        </w:rPr>
        <w:t>4</w:t>
      </w:r>
      <w:r w:rsidRPr="00520861">
        <w:rPr>
          <w:rFonts w:eastAsiaTheme="minorHAnsi"/>
          <w:sz w:val="28"/>
          <w:szCs w:val="28"/>
          <w:lang w:eastAsia="en-US"/>
        </w:rPr>
        <w:t xml:space="preserve">31.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10.14219/jada.archive.1987.0254</w:t>
      </w:r>
      <w:r w:rsidRPr="00520861">
        <w:rPr>
          <w:rFonts w:eastAsiaTheme="minorHAnsi"/>
          <w:sz w:val="28"/>
          <w:szCs w:val="28"/>
          <w:lang w:val="en-US" w:eastAsia="en-US"/>
        </w:rPr>
        <w:t>.</w:t>
      </w:r>
    </w:p>
    <w:p w14:paraId="55F38E8B"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proofErr w:type="spellStart"/>
      <w:r w:rsidRPr="00520861">
        <w:rPr>
          <w:rFonts w:eastAsia="Calibri"/>
          <w:sz w:val="28"/>
          <w:szCs w:val="28"/>
          <w:lang w:eastAsia="en-US"/>
        </w:rPr>
        <w:t>Lo</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Giudice</w:t>
      </w:r>
      <w:proofErr w:type="spellEnd"/>
      <w:r w:rsidRPr="00520861">
        <w:rPr>
          <w:rFonts w:eastAsia="Calibri"/>
          <w:sz w:val="28"/>
          <w:szCs w:val="28"/>
          <w:lang w:eastAsia="en-US"/>
        </w:rPr>
        <w:t xml:space="preserve"> G, </w:t>
      </w:r>
      <w:proofErr w:type="spellStart"/>
      <w:r w:rsidRPr="00520861">
        <w:rPr>
          <w:rFonts w:eastAsia="Calibri"/>
          <w:sz w:val="28"/>
          <w:szCs w:val="28"/>
          <w:lang w:eastAsia="en-US"/>
        </w:rPr>
        <w:t>Nicita</w:t>
      </w:r>
      <w:proofErr w:type="spellEnd"/>
      <w:r w:rsidRPr="00520861">
        <w:rPr>
          <w:rFonts w:eastAsia="Calibri"/>
          <w:sz w:val="28"/>
          <w:szCs w:val="28"/>
          <w:lang w:eastAsia="en-US"/>
        </w:rPr>
        <w:t xml:space="preserve"> F, </w:t>
      </w:r>
      <w:proofErr w:type="spellStart"/>
      <w:r w:rsidRPr="00520861">
        <w:rPr>
          <w:rFonts w:eastAsia="Calibri"/>
          <w:sz w:val="28"/>
          <w:szCs w:val="28"/>
          <w:lang w:eastAsia="en-US"/>
        </w:rPr>
        <w:t>Militi</w:t>
      </w:r>
      <w:proofErr w:type="spellEnd"/>
      <w:r w:rsidRPr="00520861">
        <w:rPr>
          <w:rFonts w:eastAsia="Calibri"/>
          <w:sz w:val="28"/>
          <w:szCs w:val="28"/>
          <w:lang w:eastAsia="en-US"/>
        </w:rPr>
        <w:t xml:space="preserve"> A, </w:t>
      </w:r>
      <w:proofErr w:type="spellStart"/>
      <w:r w:rsidRPr="00520861">
        <w:rPr>
          <w:rFonts w:eastAsia="Calibri"/>
          <w:sz w:val="28"/>
          <w:szCs w:val="28"/>
          <w:lang w:eastAsia="en-US"/>
        </w:rPr>
        <w:t>Bertino</w:t>
      </w:r>
      <w:proofErr w:type="spellEnd"/>
      <w:r w:rsidRPr="00520861">
        <w:rPr>
          <w:rFonts w:eastAsia="Calibri"/>
          <w:sz w:val="28"/>
          <w:szCs w:val="28"/>
          <w:lang w:eastAsia="en-US"/>
        </w:rPr>
        <w:t xml:space="preserve"> R, </w:t>
      </w:r>
      <w:proofErr w:type="spellStart"/>
      <w:r w:rsidRPr="00520861">
        <w:rPr>
          <w:rFonts w:eastAsia="Calibri"/>
          <w:sz w:val="28"/>
          <w:szCs w:val="28"/>
          <w:lang w:eastAsia="en-US"/>
        </w:rPr>
        <w:t>Matarese</w:t>
      </w:r>
      <w:proofErr w:type="spellEnd"/>
      <w:r w:rsidRPr="00520861">
        <w:rPr>
          <w:rFonts w:eastAsia="Calibri"/>
          <w:sz w:val="28"/>
          <w:szCs w:val="28"/>
          <w:lang w:eastAsia="en-US"/>
        </w:rPr>
        <w:t xml:space="preserve"> M, </w:t>
      </w:r>
      <w:proofErr w:type="spellStart"/>
      <w:r w:rsidRPr="00520861">
        <w:rPr>
          <w:rFonts w:eastAsia="Calibri"/>
          <w:sz w:val="28"/>
          <w:szCs w:val="28"/>
          <w:lang w:eastAsia="en-US"/>
        </w:rPr>
        <w:t>Currò</w:t>
      </w:r>
      <w:proofErr w:type="spellEnd"/>
      <w:r w:rsidRPr="00520861">
        <w:rPr>
          <w:rFonts w:eastAsia="Calibri"/>
          <w:sz w:val="28"/>
          <w:szCs w:val="28"/>
          <w:lang w:val="en-US" w:eastAsia="en-US"/>
        </w:rPr>
        <w:t xml:space="preserve"> </w:t>
      </w:r>
      <w:r w:rsidRPr="00520861">
        <w:rPr>
          <w:rFonts w:eastAsia="Calibri"/>
          <w:sz w:val="28"/>
          <w:szCs w:val="28"/>
          <w:lang w:eastAsia="en-US"/>
        </w:rPr>
        <w:t>M</w:t>
      </w:r>
      <w:r w:rsidRPr="00520861">
        <w:rPr>
          <w:rFonts w:eastAsia="Calibri"/>
          <w:sz w:val="28"/>
          <w:szCs w:val="28"/>
          <w:lang w:val="en-US" w:eastAsia="en-US"/>
        </w:rPr>
        <w:t>,</w:t>
      </w:r>
      <w:r w:rsidRPr="00520861">
        <w:rPr>
          <w:rFonts w:eastAsia="Calibri"/>
          <w:sz w:val="28"/>
          <w:szCs w:val="28"/>
          <w:lang w:eastAsia="en-US"/>
        </w:rPr>
        <w:t xml:space="preserve"> </w:t>
      </w:r>
      <w:proofErr w:type="spellStart"/>
      <w:r w:rsidRPr="00520861">
        <w:rPr>
          <w:rFonts w:eastAsia="Calibri"/>
          <w:sz w:val="28"/>
          <w:szCs w:val="28"/>
          <w:lang w:eastAsia="en-US"/>
        </w:rPr>
        <w:t>et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Correlation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of</w:t>
      </w:r>
      <w:proofErr w:type="spellEnd"/>
      <w:r w:rsidRPr="00520861">
        <w:rPr>
          <w:rFonts w:eastAsia="Calibri"/>
          <w:sz w:val="28"/>
          <w:szCs w:val="28"/>
          <w:lang w:eastAsia="en-US"/>
        </w:rPr>
        <w:t xml:space="preserve"> s-</w:t>
      </w:r>
      <w:proofErr w:type="spellStart"/>
      <w:r w:rsidRPr="00520861">
        <w:rPr>
          <w:rFonts w:eastAsia="Calibri"/>
          <w:sz w:val="28"/>
          <w:szCs w:val="28"/>
          <w:lang w:eastAsia="en-US"/>
        </w:rPr>
        <w:t>IgA</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IL-6 </w:t>
      </w:r>
      <w:proofErr w:type="spellStart"/>
      <w:r w:rsidRPr="00520861">
        <w:rPr>
          <w:rFonts w:eastAsia="Calibri"/>
          <w:sz w:val="28"/>
          <w:szCs w:val="28"/>
          <w:lang w:eastAsia="en-US"/>
        </w:rPr>
        <w:t>salivary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caries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disease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oral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hygiene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parameters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children</w:t>
      </w:r>
      <w:proofErr w:type="spellEnd"/>
      <w:r w:rsidRPr="00520861">
        <w:rPr>
          <w:rFonts w:eastAsia="Calibri"/>
          <w:sz w:val="28"/>
          <w:szCs w:val="28"/>
          <w:lang w:eastAsia="en-US"/>
        </w:rPr>
        <w:t xml:space="preserve">. </w:t>
      </w:r>
      <w:r w:rsidR="00416B89" w:rsidRPr="00520861">
        <w:rPr>
          <w:rFonts w:eastAsia="Calibri"/>
          <w:sz w:val="28"/>
          <w:szCs w:val="28"/>
          <w:lang w:eastAsia="en-US"/>
        </w:rPr>
        <w:br/>
      </w:r>
      <w:proofErr w:type="spellStart"/>
      <w:r w:rsidRPr="00520861">
        <w:rPr>
          <w:rFonts w:eastAsia="Calibri"/>
          <w:i/>
          <w:sz w:val="28"/>
          <w:szCs w:val="28"/>
          <w:lang w:eastAsia="en-US"/>
        </w:rPr>
        <w:t>Dent</w:t>
      </w:r>
      <w:proofErr w:type="spellEnd"/>
      <w:r w:rsidRPr="00520861">
        <w:rPr>
          <w:rFonts w:eastAsia="Calibri"/>
          <w:i/>
          <w:sz w:val="28"/>
          <w:szCs w:val="28"/>
          <w:lang w:eastAsia="en-US"/>
        </w:rPr>
        <w:t xml:space="preserve"> J (</w:t>
      </w:r>
      <w:proofErr w:type="spellStart"/>
      <w:r w:rsidRPr="00520861">
        <w:rPr>
          <w:rFonts w:eastAsia="Calibri"/>
          <w:i/>
          <w:sz w:val="28"/>
          <w:szCs w:val="28"/>
          <w:lang w:eastAsia="en-US"/>
        </w:rPr>
        <w:t>Basel</w:t>
      </w:r>
      <w:proofErr w:type="spellEnd"/>
      <w:r w:rsidRPr="00520861">
        <w:rPr>
          <w:rFonts w:eastAsia="Calibri"/>
          <w:i/>
          <w:sz w:val="28"/>
          <w:szCs w:val="28"/>
          <w:lang w:eastAsia="en-US"/>
        </w:rPr>
        <w:t>)</w:t>
      </w:r>
      <w:r w:rsidRPr="00520861">
        <w:rPr>
          <w:rFonts w:eastAsiaTheme="minorHAnsi"/>
          <w:sz w:val="28"/>
          <w:szCs w:val="28"/>
          <w:lang w:val="en-US" w:eastAsia="en-US"/>
        </w:rPr>
        <w:t xml:space="preserve"> </w:t>
      </w:r>
      <w:r w:rsidRPr="00520861">
        <w:rPr>
          <w:rFonts w:eastAsia="Calibri"/>
          <w:sz w:val="28"/>
          <w:szCs w:val="28"/>
          <w:lang w:val="en-US" w:eastAsia="en-US"/>
        </w:rPr>
        <w:t>[Internet]</w:t>
      </w:r>
      <w:r w:rsidRPr="00520861">
        <w:rPr>
          <w:rFonts w:eastAsia="Calibri"/>
          <w:sz w:val="28"/>
          <w:szCs w:val="28"/>
          <w:lang w:eastAsia="en-US"/>
        </w:rPr>
        <w:t>. 2019</w:t>
      </w:r>
      <w:r w:rsidRPr="00520861">
        <w:rPr>
          <w:rFonts w:eastAsia="Calibri"/>
          <w:sz w:val="28"/>
          <w:szCs w:val="28"/>
          <w:lang w:val="en-US" w:eastAsia="en-US"/>
        </w:rPr>
        <w:t xml:space="preserve"> Dec [cited 2020 Jul 21]</w:t>
      </w:r>
      <w:r w:rsidRPr="00520861">
        <w:rPr>
          <w:rFonts w:eastAsia="Calibri"/>
          <w:sz w:val="28"/>
          <w:szCs w:val="28"/>
          <w:lang w:eastAsia="en-US"/>
        </w:rPr>
        <w:t>;8(1):</w:t>
      </w:r>
      <w:r w:rsidRPr="00520861">
        <w:rPr>
          <w:rFonts w:eastAsia="Calibri"/>
          <w:sz w:val="28"/>
          <w:szCs w:val="28"/>
          <w:lang w:val="en-US" w:eastAsia="en-US"/>
        </w:rPr>
        <w:t xml:space="preserve"> </w:t>
      </w:r>
      <w:r w:rsidRPr="00520861">
        <w:rPr>
          <w:rFonts w:eastAsia="Calibri"/>
          <w:sz w:val="28"/>
          <w:szCs w:val="28"/>
          <w:lang w:eastAsia="en-US"/>
        </w:rPr>
        <w:t xml:space="preserve">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eastAsia="en-US"/>
        </w:rPr>
        <w:t>10.3390/dj8010003</w:t>
      </w:r>
      <w:r w:rsidRPr="00520861">
        <w:rPr>
          <w:rFonts w:eastAsia="Calibri"/>
          <w:sz w:val="28"/>
          <w:szCs w:val="28"/>
          <w:lang w:val="en-US" w:eastAsia="en-US"/>
        </w:rPr>
        <w:t>.</w:t>
      </w:r>
    </w:p>
    <w:p w14:paraId="7BB0530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Lopes</w:t>
      </w:r>
      <w:proofErr w:type="spellEnd"/>
      <w:r w:rsidRPr="00520861">
        <w:rPr>
          <w:rFonts w:eastAsiaTheme="minorHAnsi"/>
          <w:sz w:val="28"/>
          <w:szCs w:val="28"/>
          <w:lang w:eastAsia="en-US"/>
        </w:rPr>
        <w:t xml:space="preserve"> GA, </w:t>
      </w:r>
      <w:proofErr w:type="spellStart"/>
      <w:r w:rsidRPr="00520861">
        <w:rPr>
          <w:rFonts w:eastAsiaTheme="minorHAnsi"/>
          <w:sz w:val="28"/>
          <w:szCs w:val="28"/>
          <w:lang w:eastAsia="en-US"/>
        </w:rPr>
        <w:t>Ribeiro</w:t>
      </w:r>
      <w:proofErr w:type="spellEnd"/>
      <w:r w:rsidRPr="00520861">
        <w:rPr>
          <w:rFonts w:eastAsiaTheme="minorHAnsi"/>
          <w:sz w:val="28"/>
          <w:szCs w:val="28"/>
          <w:lang w:eastAsia="en-US"/>
        </w:rPr>
        <w:t xml:space="preserve"> VL, </w:t>
      </w:r>
      <w:proofErr w:type="spellStart"/>
      <w:r w:rsidRPr="00520861">
        <w:rPr>
          <w:rFonts w:eastAsiaTheme="minorHAnsi"/>
          <w:sz w:val="28"/>
          <w:szCs w:val="28"/>
          <w:lang w:eastAsia="en-US"/>
        </w:rPr>
        <w:t>Barbisan</w:t>
      </w:r>
      <w:proofErr w:type="spellEnd"/>
      <w:r w:rsidRPr="00520861">
        <w:rPr>
          <w:rFonts w:eastAsiaTheme="minorHAnsi"/>
          <w:sz w:val="28"/>
          <w:szCs w:val="28"/>
          <w:lang w:eastAsia="en-US"/>
        </w:rPr>
        <w:t xml:space="preserve"> LF, </w:t>
      </w:r>
      <w:proofErr w:type="spellStart"/>
      <w:r w:rsidRPr="00520861">
        <w:rPr>
          <w:rFonts w:eastAsiaTheme="minorHAnsi"/>
          <w:sz w:val="28"/>
          <w:szCs w:val="28"/>
          <w:lang w:eastAsia="en-US"/>
        </w:rPr>
        <w:t>Marchesan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Rodrigues</w:t>
      </w:r>
      <w:proofErr w:type="spellEnd"/>
      <w:r w:rsidRPr="00520861">
        <w:rPr>
          <w:rFonts w:eastAsiaTheme="minorHAnsi"/>
          <w:sz w:val="28"/>
          <w:szCs w:val="28"/>
          <w:lang w:eastAsia="en-US"/>
        </w:rPr>
        <w:t xml:space="preserve"> MA.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insights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experimental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models</w:t>
      </w:r>
      <w:proofErr w:type="spellEnd"/>
      <w:r w:rsidRPr="00520861">
        <w:rPr>
          <w:rFonts w:eastAsiaTheme="minorHAnsi"/>
          <w:sz w:val="28"/>
          <w:szCs w:val="28"/>
          <w:lang w:eastAsia="en-US"/>
        </w:rPr>
        <w:t xml:space="preserve">. </w:t>
      </w:r>
      <w:r w:rsidR="00416B89" w:rsidRPr="00520861">
        <w:rPr>
          <w:rFonts w:eastAsiaTheme="minorHAnsi"/>
          <w:sz w:val="28"/>
          <w:szCs w:val="28"/>
          <w:lang w:eastAsia="en-US"/>
        </w:rPr>
        <w:br/>
      </w:r>
      <w:r w:rsidRPr="00520861">
        <w:rPr>
          <w:rFonts w:eastAsiaTheme="minorHAnsi"/>
          <w:i/>
          <w:sz w:val="28"/>
          <w:szCs w:val="28"/>
          <w:lang w:eastAsia="en-US"/>
        </w:rPr>
        <w:t xml:space="preserve">J </w:t>
      </w:r>
      <w:proofErr w:type="spellStart"/>
      <w:r w:rsidRPr="00520861">
        <w:rPr>
          <w:rFonts w:eastAsiaTheme="minorHAnsi"/>
          <w:i/>
          <w:sz w:val="28"/>
          <w:szCs w:val="28"/>
          <w:lang w:eastAsia="en-US"/>
        </w:rPr>
        <w:t>Matern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Fetal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Neonatal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xml:space="preserve">. 2017;30(6): 722–728.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10.1080/14767058.2016.1183635.</w:t>
      </w:r>
    </w:p>
    <w:p w14:paraId="366DCF9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Lumeng</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CN</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Saltiel</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AR</w:t>
      </w:r>
      <w:r w:rsidRPr="00520861">
        <w:rPr>
          <w:rFonts w:eastAsiaTheme="minorHAnsi"/>
          <w:sz w:val="28"/>
          <w:szCs w:val="28"/>
          <w:lang w:eastAsia="en-US"/>
        </w:rPr>
        <w:t xml:space="preserve">. </w:t>
      </w:r>
      <w:r w:rsidRPr="00520861">
        <w:rPr>
          <w:rFonts w:eastAsiaTheme="minorHAnsi"/>
          <w:sz w:val="28"/>
          <w:szCs w:val="28"/>
          <w:lang w:val="en-US" w:eastAsia="en-US"/>
        </w:rPr>
        <w:t>Inflammatory</w:t>
      </w:r>
      <w:r w:rsidRPr="00520861">
        <w:rPr>
          <w:rFonts w:eastAsiaTheme="minorHAnsi"/>
          <w:sz w:val="28"/>
          <w:szCs w:val="28"/>
          <w:lang w:eastAsia="en-US"/>
        </w:rPr>
        <w:t xml:space="preserve"> </w:t>
      </w:r>
      <w:r w:rsidRPr="00520861">
        <w:rPr>
          <w:rFonts w:eastAsiaTheme="minorHAnsi"/>
          <w:sz w:val="28"/>
          <w:szCs w:val="28"/>
          <w:lang w:val="en-US" w:eastAsia="en-US"/>
        </w:rPr>
        <w:t>links</w:t>
      </w:r>
      <w:r w:rsidRPr="00520861">
        <w:rPr>
          <w:rFonts w:eastAsiaTheme="minorHAnsi"/>
          <w:sz w:val="28"/>
          <w:szCs w:val="28"/>
          <w:lang w:eastAsia="en-US"/>
        </w:rPr>
        <w:t xml:space="preserve"> </w:t>
      </w:r>
      <w:r w:rsidRPr="00520861">
        <w:rPr>
          <w:rFonts w:eastAsiaTheme="minorHAnsi"/>
          <w:sz w:val="28"/>
          <w:szCs w:val="28"/>
          <w:lang w:val="en-US" w:eastAsia="en-US"/>
        </w:rPr>
        <w:t>between</w:t>
      </w:r>
      <w:r w:rsidRPr="00520861">
        <w:rPr>
          <w:rFonts w:eastAsiaTheme="minorHAnsi"/>
          <w:sz w:val="28"/>
          <w:szCs w:val="28"/>
          <w:lang w:eastAsia="en-US"/>
        </w:rPr>
        <w:t xml:space="preserve"> </w:t>
      </w:r>
      <w:r w:rsidRPr="00520861">
        <w:rPr>
          <w:rFonts w:eastAsiaTheme="minorHAnsi"/>
          <w:sz w:val="28"/>
          <w:szCs w:val="28"/>
          <w:lang w:val="en-US" w:eastAsia="en-US"/>
        </w:rPr>
        <w:t>obesity</w:t>
      </w:r>
      <w:r w:rsidRPr="00520861">
        <w:rPr>
          <w:rFonts w:eastAsiaTheme="minorHAnsi"/>
          <w:sz w:val="28"/>
          <w:szCs w:val="28"/>
          <w:lang w:eastAsia="en-US"/>
        </w:rPr>
        <w:t xml:space="preserve"> </w:t>
      </w:r>
      <w:r w:rsidRPr="00520861">
        <w:rPr>
          <w:rFonts w:eastAsiaTheme="minorHAnsi"/>
          <w:sz w:val="28"/>
          <w:szCs w:val="28"/>
          <w:lang w:val="en-US" w:eastAsia="en-US"/>
        </w:rPr>
        <w:t>and</w:t>
      </w:r>
      <w:r w:rsidRPr="00520861">
        <w:rPr>
          <w:rFonts w:eastAsiaTheme="minorHAnsi"/>
          <w:sz w:val="28"/>
          <w:szCs w:val="28"/>
          <w:lang w:eastAsia="en-US"/>
        </w:rPr>
        <w:t xml:space="preserve"> </w:t>
      </w:r>
      <w:r w:rsidRPr="00520861">
        <w:rPr>
          <w:rFonts w:eastAsiaTheme="minorHAnsi"/>
          <w:sz w:val="28"/>
          <w:szCs w:val="28"/>
          <w:lang w:val="en-US" w:eastAsia="en-US"/>
        </w:rPr>
        <w:t>metabolic</w:t>
      </w:r>
      <w:r w:rsidRPr="00520861">
        <w:rPr>
          <w:rFonts w:eastAsiaTheme="minorHAnsi"/>
          <w:sz w:val="28"/>
          <w:szCs w:val="28"/>
          <w:lang w:eastAsia="en-US"/>
        </w:rPr>
        <w:t xml:space="preserve"> </w:t>
      </w:r>
      <w:r w:rsidRPr="00520861">
        <w:rPr>
          <w:rFonts w:eastAsiaTheme="minorHAnsi"/>
          <w:sz w:val="28"/>
          <w:szCs w:val="28"/>
          <w:lang w:val="en-US" w:eastAsia="en-US"/>
        </w:rPr>
        <w:t>disease</w:t>
      </w:r>
      <w:r w:rsidRPr="00520861">
        <w:rPr>
          <w:rFonts w:eastAsiaTheme="minorHAnsi"/>
          <w:sz w:val="28"/>
          <w:szCs w:val="28"/>
          <w:lang w:eastAsia="en-US"/>
        </w:rPr>
        <w:t xml:space="preserve">. </w:t>
      </w:r>
      <w:r w:rsidRPr="00520861">
        <w:rPr>
          <w:rFonts w:eastAsiaTheme="minorHAnsi"/>
          <w:i/>
          <w:sz w:val="28"/>
          <w:szCs w:val="28"/>
          <w:lang w:val="en-US" w:eastAsia="en-US"/>
        </w:rPr>
        <w:t>J</w:t>
      </w:r>
      <w:r w:rsidRPr="00520861">
        <w:rPr>
          <w:rFonts w:eastAsiaTheme="minorHAnsi"/>
          <w:i/>
          <w:sz w:val="28"/>
          <w:szCs w:val="28"/>
          <w:lang w:eastAsia="en-US"/>
        </w:rPr>
        <w:t xml:space="preserve"> </w:t>
      </w:r>
      <w:r w:rsidRPr="00520861">
        <w:rPr>
          <w:rFonts w:eastAsiaTheme="minorHAnsi"/>
          <w:i/>
          <w:sz w:val="28"/>
          <w:szCs w:val="28"/>
          <w:lang w:val="en-US" w:eastAsia="en-US"/>
        </w:rPr>
        <w:t>Clin</w:t>
      </w:r>
      <w:r w:rsidRPr="00520861">
        <w:rPr>
          <w:rFonts w:eastAsiaTheme="minorHAnsi"/>
          <w:i/>
          <w:sz w:val="28"/>
          <w:szCs w:val="28"/>
          <w:lang w:eastAsia="en-US"/>
        </w:rPr>
        <w:t xml:space="preserve"> </w:t>
      </w:r>
      <w:r w:rsidRPr="00520861">
        <w:rPr>
          <w:rFonts w:eastAsiaTheme="minorHAnsi"/>
          <w:i/>
          <w:sz w:val="28"/>
          <w:szCs w:val="28"/>
          <w:lang w:val="en-US" w:eastAsia="en-US"/>
        </w:rPr>
        <w:t>Invest</w:t>
      </w:r>
      <w:r w:rsidRPr="00520861">
        <w:rPr>
          <w:rFonts w:eastAsiaTheme="minorHAnsi"/>
          <w:sz w:val="28"/>
          <w:szCs w:val="28"/>
          <w:lang w:eastAsia="en-US"/>
        </w:rPr>
        <w:t>. 2011</w:t>
      </w:r>
      <w:r w:rsidRPr="00520861">
        <w:rPr>
          <w:rFonts w:eastAsiaTheme="minorHAnsi"/>
          <w:sz w:val="28"/>
          <w:szCs w:val="28"/>
          <w:lang w:val="en-US" w:eastAsia="en-US"/>
        </w:rPr>
        <w:t>;</w:t>
      </w:r>
      <w:r w:rsidRPr="00520861">
        <w:rPr>
          <w:rFonts w:eastAsiaTheme="minorHAnsi"/>
          <w:sz w:val="28"/>
          <w:szCs w:val="28"/>
          <w:lang w:eastAsia="en-US"/>
        </w:rPr>
        <w:t>121(6)</w:t>
      </w:r>
      <w:r w:rsidRPr="00520861">
        <w:rPr>
          <w:rFonts w:eastAsiaTheme="minorHAnsi"/>
          <w:sz w:val="28"/>
          <w:szCs w:val="28"/>
          <w:lang w:val="en-US" w:eastAsia="en-US"/>
        </w:rPr>
        <w:t xml:space="preserve">: </w:t>
      </w:r>
      <w:r w:rsidRPr="00520861">
        <w:rPr>
          <w:rFonts w:eastAsiaTheme="minorHAnsi"/>
          <w:sz w:val="28"/>
          <w:szCs w:val="28"/>
          <w:lang w:eastAsia="en-US"/>
        </w:rPr>
        <w:t xml:space="preserve">2111–2117.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10.1172/ </w:t>
      </w:r>
      <w:r w:rsidRPr="00520861">
        <w:rPr>
          <w:rFonts w:eastAsiaTheme="minorHAnsi"/>
          <w:sz w:val="28"/>
          <w:szCs w:val="28"/>
          <w:lang w:val="en-US" w:eastAsia="en-US"/>
        </w:rPr>
        <w:t>JCI</w:t>
      </w:r>
      <w:r w:rsidRPr="00520861">
        <w:rPr>
          <w:rFonts w:eastAsiaTheme="minorHAnsi"/>
          <w:sz w:val="28"/>
          <w:szCs w:val="28"/>
          <w:lang w:eastAsia="en-US"/>
        </w:rPr>
        <w:t>57132</w:t>
      </w:r>
      <w:r w:rsidRPr="00520861">
        <w:rPr>
          <w:rFonts w:eastAsiaTheme="minorHAnsi"/>
          <w:sz w:val="28"/>
          <w:szCs w:val="28"/>
          <w:lang w:val="en-US" w:eastAsia="en-US"/>
        </w:rPr>
        <w:t>.</w:t>
      </w:r>
    </w:p>
    <w:p w14:paraId="2DC0C51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Luo</w:t>
      </w:r>
      <w:proofErr w:type="spellEnd"/>
      <w:r w:rsidRPr="00520861">
        <w:rPr>
          <w:rFonts w:eastAsiaTheme="minorHAnsi"/>
          <w:sz w:val="28"/>
          <w:szCs w:val="28"/>
          <w:lang w:eastAsia="en-US"/>
        </w:rPr>
        <w:t xml:space="preserve"> ZC, </w:t>
      </w:r>
      <w:proofErr w:type="spellStart"/>
      <w:r w:rsidRPr="00520861">
        <w:rPr>
          <w:rFonts w:eastAsiaTheme="minorHAnsi"/>
          <w:sz w:val="28"/>
          <w:szCs w:val="28"/>
          <w:lang w:eastAsia="en-US"/>
        </w:rPr>
        <w:t>Simonet</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Wei</w:t>
      </w:r>
      <w:proofErr w:type="spellEnd"/>
      <w:r w:rsidRPr="00520861">
        <w:rPr>
          <w:rFonts w:eastAsiaTheme="minorHAnsi"/>
          <w:sz w:val="28"/>
          <w:szCs w:val="28"/>
          <w:lang w:eastAsia="en-US"/>
        </w:rPr>
        <w:t xml:space="preserve"> SQ, </w:t>
      </w:r>
      <w:proofErr w:type="spellStart"/>
      <w:r w:rsidRPr="00520861">
        <w:rPr>
          <w:rFonts w:eastAsiaTheme="minorHAnsi"/>
          <w:sz w:val="28"/>
          <w:szCs w:val="28"/>
          <w:lang w:eastAsia="en-US"/>
        </w:rPr>
        <w:t>Xu</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Rey</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Fraser</w:t>
      </w:r>
      <w:proofErr w:type="spellEnd"/>
      <w:r w:rsidRPr="00520861">
        <w:rPr>
          <w:rFonts w:eastAsiaTheme="minorHAnsi"/>
          <w:sz w:val="28"/>
          <w:szCs w:val="28"/>
          <w:lang w:eastAsia="en-US"/>
        </w:rPr>
        <w:t xml:space="preserve"> WD.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differentially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twins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singletons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Diabet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2011;28(9):</w:t>
      </w:r>
      <w:r w:rsidRPr="00520861">
        <w:rPr>
          <w:rFonts w:eastAsiaTheme="minorHAnsi"/>
          <w:sz w:val="28"/>
          <w:szCs w:val="28"/>
          <w:lang w:val="en-US" w:eastAsia="en-US"/>
        </w:rPr>
        <w:t xml:space="preserve"> </w:t>
      </w:r>
      <w:r w:rsidRPr="00520861">
        <w:rPr>
          <w:rFonts w:eastAsiaTheme="minorHAnsi"/>
          <w:sz w:val="28"/>
          <w:szCs w:val="28"/>
          <w:lang w:eastAsia="en-US"/>
        </w:rPr>
        <w:t xml:space="preserve">1068–1073.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10.1111/j.1464-5491.2011.03366.x</w:t>
      </w:r>
      <w:r w:rsidRPr="00520861">
        <w:rPr>
          <w:rFonts w:eastAsiaTheme="minorHAnsi"/>
          <w:sz w:val="28"/>
          <w:szCs w:val="28"/>
          <w:lang w:val="en-US" w:eastAsia="en-US"/>
        </w:rPr>
        <w:t>.</w:t>
      </w:r>
    </w:p>
    <w:p w14:paraId="5756E8C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lastRenderedPageBreak/>
        <w:t>Lynch</w:t>
      </w:r>
      <w:r w:rsidRPr="00520861">
        <w:rPr>
          <w:rFonts w:eastAsiaTheme="minorHAnsi"/>
          <w:sz w:val="28"/>
          <w:szCs w:val="28"/>
          <w:lang w:eastAsia="en-US"/>
        </w:rPr>
        <w:t xml:space="preserve"> </w:t>
      </w:r>
      <w:r w:rsidRPr="00520861">
        <w:rPr>
          <w:rFonts w:eastAsiaTheme="minorHAnsi"/>
          <w:sz w:val="28"/>
          <w:szCs w:val="28"/>
          <w:lang w:val="en-US" w:eastAsia="en-US"/>
        </w:rPr>
        <w:t>R</w:t>
      </w:r>
      <w:r w:rsidRPr="00520861">
        <w:rPr>
          <w:rFonts w:eastAsiaTheme="minorHAnsi"/>
          <w:sz w:val="28"/>
          <w:szCs w:val="28"/>
          <w:lang w:eastAsia="en-US"/>
        </w:rPr>
        <w:t>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primary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mixed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post-eruptive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enamel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maturation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review</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J</w:t>
      </w:r>
      <w:r w:rsidRPr="00520861">
        <w:rPr>
          <w:rFonts w:eastAsiaTheme="minorHAnsi"/>
          <w:sz w:val="28"/>
          <w:szCs w:val="28"/>
          <w:lang w:val="en-US" w:eastAsia="en-US"/>
        </w:rPr>
        <w:t>.</w:t>
      </w:r>
      <w:r w:rsidRPr="00520861">
        <w:rPr>
          <w:rFonts w:eastAsiaTheme="minorHAnsi"/>
          <w:sz w:val="28"/>
          <w:szCs w:val="28"/>
          <w:lang w:eastAsia="en-US"/>
        </w:rPr>
        <w:t xml:space="preserve"> 2013;63(</w:t>
      </w:r>
      <w:proofErr w:type="spellStart"/>
      <w:r w:rsidRPr="00520861">
        <w:rPr>
          <w:rFonts w:eastAsiaTheme="minorHAnsi"/>
          <w:sz w:val="28"/>
          <w:szCs w:val="28"/>
          <w:lang w:eastAsia="en-US"/>
        </w:rPr>
        <w:t>Suppl</w:t>
      </w:r>
      <w:proofErr w:type="spellEnd"/>
      <w:r w:rsidRPr="00520861">
        <w:rPr>
          <w:rFonts w:eastAsiaTheme="minorHAnsi"/>
          <w:sz w:val="28"/>
          <w:szCs w:val="28"/>
          <w:lang w:eastAsia="en-US"/>
        </w:rPr>
        <w:t>. 2): 3–13</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10.1111/idj.12076</w:t>
      </w:r>
      <w:r w:rsidRPr="00520861">
        <w:rPr>
          <w:rFonts w:eastAsiaTheme="minorHAnsi"/>
          <w:sz w:val="28"/>
          <w:szCs w:val="28"/>
          <w:lang w:val="en-US" w:eastAsia="en-US"/>
        </w:rPr>
        <w:t>.</w:t>
      </w:r>
    </w:p>
    <w:p w14:paraId="3C2C6B0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Maher</w:t>
      </w:r>
      <w:proofErr w:type="spellEnd"/>
      <w:r w:rsidRPr="00520861">
        <w:rPr>
          <w:rFonts w:eastAsiaTheme="minorHAnsi"/>
          <w:sz w:val="28"/>
          <w:szCs w:val="28"/>
          <w:lang w:eastAsia="en-US"/>
        </w:rPr>
        <w:t xml:space="preserve"> NG, </w:t>
      </w:r>
      <w:proofErr w:type="spellStart"/>
      <w:r w:rsidRPr="00520861">
        <w:rPr>
          <w:rFonts w:eastAsiaTheme="minorHAnsi"/>
          <w:sz w:val="28"/>
          <w:szCs w:val="28"/>
          <w:lang w:eastAsia="en-US"/>
        </w:rPr>
        <w:t>Collgros</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Uribe</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Ch’ng</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Rajadhyaksha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Guitera</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vivo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confocal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cavity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Current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field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future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potential</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Oncol</w:t>
      </w:r>
      <w:proofErr w:type="spellEnd"/>
      <w:r w:rsidRPr="00520861">
        <w:rPr>
          <w:rFonts w:eastAsiaTheme="minorHAnsi"/>
          <w:sz w:val="28"/>
          <w:szCs w:val="28"/>
          <w:lang w:eastAsia="en-US"/>
        </w:rPr>
        <w:t>. 2016;54:</w:t>
      </w:r>
      <w:r w:rsidRPr="00520861">
        <w:rPr>
          <w:rFonts w:eastAsiaTheme="minorHAnsi"/>
          <w:sz w:val="28"/>
          <w:szCs w:val="28"/>
          <w:lang w:val="en-US" w:eastAsia="en-US"/>
        </w:rPr>
        <w:t xml:space="preserve"> </w:t>
      </w:r>
      <w:r w:rsidRPr="00520861">
        <w:rPr>
          <w:rFonts w:eastAsiaTheme="minorHAnsi"/>
          <w:sz w:val="28"/>
          <w:szCs w:val="28"/>
          <w:lang w:eastAsia="en-US"/>
        </w:rPr>
        <w:t xml:space="preserve">28–35.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10.1016/j.oraloncology.2016.01.003.</w:t>
      </w:r>
    </w:p>
    <w:p w14:paraId="0F123AB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shd w:val="clear" w:color="auto" w:fill="FFFFFF"/>
          <w:lang w:eastAsia="en-US"/>
        </w:rPr>
        <w:t>Majumder</w:t>
      </w:r>
      <w:proofErr w:type="spellEnd"/>
      <w:r w:rsidRPr="00520861">
        <w:rPr>
          <w:rFonts w:eastAsiaTheme="minorHAnsi"/>
          <w:sz w:val="28"/>
          <w:szCs w:val="28"/>
          <w:shd w:val="clear" w:color="auto" w:fill="FFFFFF"/>
          <w:lang w:eastAsia="en-US"/>
        </w:rPr>
        <w:t xml:space="preserve"> P, </w:t>
      </w:r>
      <w:proofErr w:type="spellStart"/>
      <w:r w:rsidRPr="00520861">
        <w:rPr>
          <w:rFonts w:eastAsiaTheme="minorHAnsi"/>
          <w:sz w:val="28"/>
          <w:szCs w:val="28"/>
          <w:shd w:val="clear" w:color="auto" w:fill="FFFFFF"/>
          <w:lang w:eastAsia="en-US"/>
        </w:rPr>
        <w:t>Panda</w:t>
      </w:r>
      <w:proofErr w:type="spellEnd"/>
      <w:r w:rsidRPr="00520861">
        <w:rPr>
          <w:rFonts w:eastAsiaTheme="minorHAnsi"/>
          <w:sz w:val="28"/>
          <w:szCs w:val="28"/>
          <w:shd w:val="clear" w:color="auto" w:fill="FFFFFF"/>
          <w:lang w:eastAsia="en-US"/>
        </w:rPr>
        <w:t xml:space="preserve"> SK, </w:t>
      </w:r>
      <w:proofErr w:type="spellStart"/>
      <w:r w:rsidRPr="00520861">
        <w:rPr>
          <w:rFonts w:eastAsiaTheme="minorHAnsi"/>
          <w:sz w:val="28"/>
          <w:szCs w:val="28"/>
          <w:shd w:val="clear" w:color="auto" w:fill="FFFFFF"/>
          <w:lang w:eastAsia="en-US"/>
        </w:rPr>
        <w:t>Ghosh</w:t>
      </w:r>
      <w:proofErr w:type="spellEnd"/>
      <w:r w:rsidRPr="00520861">
        <w:rPr>
          <w:rFonts w:eastAsiaTheme="minorHAnsi"/>
          <w:sz w:val="28"/>
          <w:szCs w:val="28"/>
          <w:shd w:val="clear" w:color="auto" w:fill="FFFFFF"/>
          <w:lang w:eastAsia="en-US"/>
        </w:rPr>
        <w:t xml:space="preserve"> S, </w:t>
      </w:r>
      <w:proofErr w:type="spellStart"/>
      <w:r w:rsidRPr="00520861">
        <w:rPr>
          <w:rFonts w:eastAsiaTheme="minorHAnsi"/>
          <w:sz w:val="28"/>
          <w:szCs w:val="28"/>
          <w:shd w:val="clear" w:color="auto" w:fill="FFFFFF"/>
          <w:lang w:eastAsia="en-US"/>
        </w:rPr>
        <w:t>Dey</w:t>
      </w:r>
      <w:proofErr w:type="spellEnd"/>
      <w:r w:rsidRPr="00520861">
        <w:rPr>
          <w:rFonts w:eastAsiaTheme="minorHAnsi"/>
          <w:sz w:val="28"/>
          <w:szCs w:val="28"/>
          <w:shd w:val="clear" w:color="auto" w:fill="FFFFFF"/>
          <w:lang w:eastAsia="en-US"/>
        </w:rPr>
        <w:t xml:space="preserve"> SK. </w:t>
      </w:r>
      <w:proofErr w:type="spellStart"/>
      <w:r w:rsidRPr="00520861">
        <w:rPr>
          <w:rFonts w:eastAsiaTheme="minorHAnsi"/>
          <w:sz w:val="28"/>
          <w:szCs w:val="28"/>
          <w:shd w:val="clear" w:color="auto" w:fill="FFFFFF"/>
          <w:lang w:eastAsia="en-US"/>
        </w:rPr>
        <w:t>Interleukin</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gene</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polymorphisms</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in</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chronic</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periodontitis</w:t>
      </w:r>
      <w:proofErr w:type="spellEnd"/>
      <w:r w:rsidRPr="00520861">
        <w:rPr>
          <w:rFonts w:eastAsiaTheme="minorHAnsi"/>
          <w:sz w:val="28"/>
          <w:szCs w:val="28"/>
          <w:shd w:val="clear" w:color="auto" w:fill="FFFFFF"/>
          <w:lang w:eastAsia="en-US"/>
        </w:rPr>
        <w:t xml:space="preserve">: A </w:t>
      </w:r>
      <w:proofErr w:type="spellStart"/>
      <w:r w:rsidRPr="00520861">
        <w:rPr>
          <w:rFonts w:eastAsiaTheme="minorHAnsi"/>
          <w:sz w:val="28"/>
          <w:szCs w:val="28"/>
          <w:shd w:val="clear" w:color="auto" w:fill="FFFFFF"/>
          <w:lang w:eastAsia="en-US"/>
        </w:rPr>
        <w:t>case-control</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study</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in</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the</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Indian</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sz w:val="28"/>
          <w:szCs w:val="28"/>
          <w:shd w:val="clear" w:color="auto" w:fill="FFFFFF"/>
          <w:lang w:eastAsia="en-US"/>
        </w:rPr>
        <w:t>population</w:t>
      </w:r>
      <w:proofErr w:type="spellEnd"/>
      <w:r w:rsidRPr="00520861">
        <w:rPr>
          <w:rFonts w:eastAsiaTheme="minorHAnsi"/>
          <w:sz w:val="28"/>
          <w:szCs w:val="28"/>
          <w:shd w:val="clear" w:color="auto" w:fill="FFFFFF"/>
          <w:lang w:eastAsia="en-US"/>
        </w:rPr>
        <w:t xml:space="preserve">. </w:t>
      </w:r>
      <w:proofErr w:type="spellStart"/>
      <w:r w:rsidRPr="00520861">
        <w:rPr>
          <w:rFonts w:eastAsiaTheme="minorHAnsi"/>
          <w:i/>
          <w:sz w:val="28"/>
          <w:szCs w:val="28"/>
          <w:shd w:val="clear" w:color="auto" w:fill="FFFFFF"/>
          <w:lang w:eastAsia="en-US"/>
        </w:rPr>
        <w:t>Arch</w:t>
      </w:r>
      <w:proofErr w:type="spellEnd"/>
      <w:r w:rsidRPr="00520861">
        <w:rPr>
          <w:rFonts w:eastAsiaTheme="minorHAnsi"/>
          <w:i/>
          <w:sz w:val="28"/>
          <w:szCs w:val="28"/>
          <w:shd w:val="clear" w:color="auto" w:fill="FFFFFF"/>
          <w:lang w:eastAsia="en-US"/>
        </w:rPr>
        <w:t xml:space="preserve"> </w:t>
      </w:r>
      <w:proofErr w:type="spellStart"/>
      <w:r w:rsidRPr="00520861">
        <w:rPr>
          <w:rFonts w:eastAsiaTheme="minorHAnsi"/>
          <w:i/>
          <w:sz w:val="28"/>
          <w:szCs w:val="28"/>
          <w:shd w:val="clear" w:color="auto" w:fill="FFFFFF"/>
          <w:lang w:eastAsia="en-US"/>
        </w:rPr>
        <w:t>Oral</w:t>
      </w:r>
      <w:proofErr w:type="spellEnd"/>
      <w:r w:rsidRPr="00520861">
        <w:rPr>
          <w:rFonts w:eastAsiaTheme="minorHAnsi"/>
          <w:i/>
          <w:sz w:val="28"/>
          <w:szCs w:val="28"/>
          <w:shd w:val="clear" w:color="auto" w:fill="FFFFFF"/>
          <w:lang w:eastAsia="en-US"/>
        </w:rPr>
        <w:t xml:space="preserve"> </w:t>
      </w:r>
      <w:proofErr w:type="spellStart"/>
      <w:r w:rsidRPr="00520861">
        <w:rPr>
          <w:rFonts w:eastAsiaTheme="minorHAnsi"/>
          <w:i/>
          <w:sz w:val="28"/>
          <w:szCs w:val="28"/>
          <w:shd w:val="clear" w:color="auto" w:fill="FFFFFF"/>
          <w:lang w:eastAsia="en-US"/>
        </w:rPr>
        <w:t>Biol</w:t>
      </w:r>
      <w:proofErr w:type="spellEnd"/>
      <w:r w:rsidRPr="00520861">
        <w:rPr>
          <w:rFonts w:eastAsiaTheme="minorHAnsi"/>
          <w:sz w:val="28"/>
          <w:szCs w:val="28"/>
          <w:shd w:val="clear" w:color="auto" w:fill="FFFFFF"/>
          <w:lang w:eastAsia="en-US"/>
        </w:rPr>
        <w:t>. 2019;101:</w:t>
      </w:r>
      <w:r w:rsidRPr="00520861">
        <w:rPr>
          <w:rFonts w:eastAsiaTheme="minorHAnsi"/>
          <w:sz w:val="28"/>
          <w:szCs w:val="28"/>
          <w:shd w:val="clear" w:color="auto" w:fill="FFFFFF"/>
          <w:lang w:val="en-US" w:eastAsia="en-US"/>
        </w:rPr>
        <w:t xml:space="preserve"> </w:t>
      </w:r>
      <w:r w:rsidRPr="00520861">
        <w:rPr>
          <w:rFonts w:eastAsiaTheme="minorHAnsi"/>
          <w:sz w:val="28"/>
          <w:szCs w:val="28"/>
          <w:shd w:val="clear" w:color="auto" w:fill="FFFFFF"/>
          <w:lang w:eastAsia="en-US"/>
        </w:rPr>
        <w:t xml:space="preserve">156–164.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shd w:val="clear" w:color="auto" w:fill="FFFFFF"/>
          <w:lang w:eastAsia="en-US"/>
        </w:rPr>
        <w:t>10.1016/j.archoralbio.2019.03.015.</w:t>
      </w:r>
    </w:p>
    <w:p w14:paraId="496261A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Manjunatha</w:t>
      </w:r>
      <w:proofErr w:type="spellEnd"/>
      <w:r w:rsidRPr="00520861">
        <w:rPr>
          <w:rFonts w:eastAsiaTheme="minorHAnsi"/>
          <w:sz w:val="28"/>
          <w:szCs w:val="28"/>
          <w:lang w:eastAsia="en-US"/>
        </w:rPr>
        <w:t xml:space="preserve"> BS, </w:t>
      </w:r>
      <w:proofErr w:type="spellStart"/>
      <w:r w:rsidRPr="00520861">
        <w:rPr>
          <w:rFonts w:eastAsiaTheme="minorHAnsi"/>
          <w:sz w:val="28"/>
          <w:szCs w:val="28"/>
          <w:lang w:eastAsia="en-US"/>
        </w:rPr>
        <w:t>Soni</w:t>
      </w:r>
      <w:proofErr w:type="spellEnd"/>
      <w:r w:rsidRPr="00520861">
        <w:rPr>
          <w:rFonts w:eastAsiaTheme="minorHAnsi"/>
          <w:sz w:val="28"/>
          <w:szCs w:val="28"/>
          <w:lang w:eastAsia="en-US"/>
        </w:rPr>
        <w:t xml:space="preserve"> NK. </w:t>
      </w:r>
      <w:proofErr w:type="spellStart"/>
      <w:r w:rsidRPr="00520861">
        <w:rPr>
          <w:rFonts w:eastAsiaTheme="minorHAnsi"/>
          <w:sz w:val="28"/>
          <w:szCs w:val="28"/>
          <w:lang w:eastAsia="en-US"/>
        </w:rPr>
        <w:t>Estimation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teeth</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Forensic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2014;6(2):</w:t>
      </w:r>
      <w:r w:rsidRPr="00520861">
        <w:rPr>
          <w:rFonts w:eastAsiaTheme="minorHAnsi"/>
          <w:sz w:val="28"/>
          <w:szCs w:val="28"/>
          <w:lang w:val="en-US" w:eastAsia="en-US"/>
        </w:rPr>
        <w:t xml:space="preserve"> </w:t>
      </w:r>
      <w:r w:rsidRPr="00520861">
        <w:rPr>
          <w:rFonts w:eastAsiaTheme="minorHAnsi"/>
          <w:sz w:val="28"/>
          <w:szCs w:val="28"/>
          <w:lang w:eastAsia="en-US"/>
        </w:rPr>
        <w:t xml:space="preserve">73–76.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10.4103/0975-1475.132526</w:t>
      </w:r>
      <w:r w:rsidRPr="00520861">
        <w:rPr>
          <w:rFonts w:eastAsiaTheme="minorHAnsi"/>
          <w:sz w:val="28"/>
          <w:szCs w:val="28"/>
          <w:lang w:val="en-US" w:eastAsia="en-US"/>
        </w:rPr>
        <w:t>.</w:t>
      </w:r>
    </w:p>
    <w:p w14:paraId="5E493D3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Marciniak</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Patro-Małysza</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Kimber-Trojnar</w:t>
      </w:r>
      <w:proofErr w:type="spellEnd"/>
      <w:r w:rsidRPr="00520861">
        <w:rPr>
          <w:rFonts w:eastAsiaTheme="minorHAnsi"/>
          <w:sz w:val="28"/>
          <w:szCs w:val="28"/>
          <w:lang w:eastAsia="en-US"/>
        </w:rPr>
        <w:t xml:space="preserve"> Ż, </w:t>
      </w:r>
      <w:proofErr w:type="spellStart"/>
      <w:r w:rsidRPr="00520861">
        <w:rPr>
          <w:rFonts w:eastAsiaTheme="minorHAnsi"/>
          <w:sz w:val="28"/>
          <w:szCs w:val="28"/>
          <w:lang w:eastAsia="en-US"/>
        </w:rPr>
        <w:t>Marciniak</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Oleszczuk</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Leszczyńska-Gorzelak</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syndrome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Taiwan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Gynecol</w:t>
      </w:r>
      <w:proofErr w:type="spellEnd"/>
      <w:r w:rsidRPr="00520861">
        <w:rPr>
          <w:rFonts w:eastAsiaTheme="minorHAnsi"/>
          <w:sz w:val="28"/>
          <w:szCs w:val="28"/>
          <w:lang w:eastAsia="en-US"/>
        </w:rPr>
        <w:t>. 2017 Apr;56(2):</w:t>
      </w:r>
      <w:r w:rsidRPr="00520861">
        <w:rPr>
          <w:rFonts w:eastAsiaTheme="minorHAnsi"/>
          <w:sz w:val="28"/>
          <w:szCs w:val="28"/>
          <w:lang w:val="en-US" w:eastAsia="en-US"/>
        </w:rPr>
        <w:t xml:space="preserve"> </w:t>
      </w:r>
      <w:r w:rsidRPr="00520861">
        <w:rPr>
          <w:rFonts w:eastAsiaTheme="minorHAnsi"/>
          <w:sz w:val="28"/>
          <w:szCs w:val="28"/>
          <w:lang w:eastAsia="en-US"/>
        </w:rPr>
        <w:t xml:space="preserve">133–138.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10.1016/j.tjog.2017.01.001.</w:t>
      </w:r>
    </w:p>
    <w:p w14:paraId="3ABDBF3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M</w:t>
      </w:r>
      <w:r w:rsidRPr="00520861">
        <w:rPr>
          <w:rFonts w:eastAsiaTheme="minorHAnsi"/>
          <w:sz w:val="28"/>
          <w:szCs w:val="28"/>
          <w:lang w:val="en-US" w:eastAsia="en-US"/>
        </w:rPr>
        <w:t>aria</w:t>
      </w:r>
      <w:r w:rsidRPr="00520861">
        <w:rPr>
          <w:rFonts w:eastAsiaTheme="minorHAnsi"/>
          <w:sz w:val="28"/>
          <w:szCs w:val="28"/>
          <w:lang w:eastAsia="en-US"/>
        </w:rPr>
        <w:t xml:space="preserve"> CM, </w:t>
      </w:r>
      <w:proofErr w:type="spellStart"/>
      <w:r w:rsidRPr="00520861">
        <w:rPr>
          <w:rFonts w:eastAsiaTheme="minorHAnsi"/>
          <w:sz w:val="28"/>
          <w:szCs w:val="28"/>
          <w:lang w:eastAsia="en-US"/>
        </w:rPr>
        <w:t>Toniolo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Silva</w:t>
      </w:r>
      <w:proofErr w:type="spellEnd"/>
      <w:r w:rsidRPr="00520861">
        <w:rPr>
          <w:rFonts w:eastAsiaTheme="minorHAnsi"/>
          <w:sz w:val="28"/>
          <w:szCs w:val="28"/>
          <w:lang w:eastAsia="en-US"/>
        </w:rPr>
        <w:t xml:space="preserve"> AM, </w:t>
      </w:r>
      <w:proofErr w:type="spellStart"/>
      <w:r w:rsidRPr="00520861">
        <w:rPr>
          <w:rFonts w:eastAsiaTheme="minorHAnsi"/>
          <w:sz w:val="28"/>
          <w:szCs w:val="28"/>
          <w:lang w:eastAsia="en-US"/>
        </w:rPr>
        <w:t>Busanello-Stella</w:t>
      </w:r>
      <w:proofErr w:type="spellEnd"/>
      <w:r w:rsidRPr="00520861">
        <w:rPr>
          <w:rFonts w:eastAsiaTheme="minorHAnsi"/>
          <w:sz w:val="28"/>
          <w:szCs w:val="28"/>
          <w:lang w:eastAsia="en-US"/>
        </w:rPr>
        <w:t xml:space="preserve"> AR, </w:t>
      </w:r>
      <w:proofErr w:type="spellStart"/>
      <w:r w:rsidRPr="00520861">
        <w:rPr>
          <w:rFonts w:eastAsiaTheme="minorHAnsi"/>
          <w:sz w:val="28"/>
          <w:szCs w:val="28"/>
          <w:lang w:eastAsia="en-US"/>
        </w:rPr>
        <w:t>Bolzan</w:t>
      </w:r>
      <w:proofErr w:type="spellEnd"/>
      <w:r w:rsidRPr="00520861">
        <w:rPr>
          <w:rFonts w:eastAsiaTheme="minorHAnsi"/>
          <w:sz w:val="28"/>
          <w:szCs w:val="28"/>
          <w:lang w:eastAsia="en-US"/>
        </w:rPr>
        <w:t xml:space="preserve"> GP, </w:t>
      </w:r>
      <w:proofErr w:type="spellStart"/>
      <w:r w:rsidRPr="00520861">
        <w:rPr>
          <w:rFonts w:eastAsiaTheme="minorHAnsi"/>
          <w:sz w:val="28"/>
          <w:szCs w:val="28"/>
          <w:lang w:eastAsia="en-US"/>
        </w:rPr>
        <w:t>Berwig</w:t>
      </w:r>
      <w:proofErr w:type="spellEnd"/>
      <w:r w:rsidRPr="00520861">
        <w:rPr>
          <w:rFonts w:eastAsiaTheme="minorHAnsi"/>
          <w:sz w:val="28"/>
          <w:szCs w:val="28"/>
          <w:lang w:eastAsia="en-US"/>
        </w:rPr>
        <w:t xml:space="preserve"> LC. </w:t>
      </w:r>
      <w:proofErr w:type="spellStart"/>
      <w:r w:rsidRPr="00520861">
        <w:rPr>
          <w:rFonts w:eastAsiaTheme="minorHAnsi"/>
          <w:sz w:val="28"/>
          <w:szCs w:val="28"/>
          <w:lang w:eastAsia="en-US"/>
        </w:rPr>
        <w:t>Evaluation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hard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palate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depth</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C</w:t>
      </w:r>
      <w:proofErr w:type="spellStart"/>
      <w:r w:rsidRPr="00520861">
        <w:rPr>
          <w:rFonts w:eastAsiaTheme="minorHAnsi"/>
          <w:sz w:val="28"/>
          <w:szCs w:val="28"/>
          <w:lang w:eastAsia="en-US"/>
        </w:rPr>
        <w:t>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quantitative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qualitative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method</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Rev</w:t>
      </w:r>
      <w:r w:rsidRPr="00520861">
        <w:rPr>
          <w:rFonts w:eastAsiaTheme="minorHAnsi"/>
          <w:i/>
          <w:sz w:val="28"/>
          <w:szCs w:val="28"/>
          <w:lang w:val="en-US" w:eastAsia="en-US"/>
        </w:rPr>
        <w:t>ista</w:t>
      </w:r>
      <w:proofErr w:type="spellEnd"/>
      <w:r w:rsidRPr="00520861">
        <w:rPr>
          <w:rFonts w:eastAsiaTheme="minorHAnsi"/>
          <w:i/>
          <w:sz w:val="28"/>
          <w:szCs w:val="28"/>
          <w:lang w:eastAsia="en-US"/>
        </w:rPr>
        <w:t xml:space="preserve"> CEFAC</w:t>
      </w:r>
      <w:r w:rsidRPr="00520861">
        <w:rPr>
          <w:rFonts w:eastAsiaTheme="minorHAnsi"/>
          <w:sz w:val="28"/>
          <w:szCs w:val="28"/>
          <w:lang w:eastAsia="en-US"/>
        </w:rPr>
        <w:t>. 2013;15(5):</w:t>
      </w:r>
      <w:r w:rsidRPr="00520861">
        <w:rPr>
          <w:rFonts w:eastAsiaTheme="minorHAnsi"/>
          <w:sz w:val="28"/>
          <w:szCs w:val="28"/>
          <w:lang w:val="en-US" w:eastAsia="en-US"/>
        </w:rPr>
        <w:t xml:space="preserve"> </w:t>
      </w:r>
      <w:r w:rsidRPr="00520861">
        <w:rPr>
          <w:rFonts w:eastAsiaTheme="minorHAnsi"/>
          <w:sz w:val="28"/>
          <w:szCs w:val="28"/>
          <w:lang w:eastAsia="en-US"/>
        </w:rPr>
        <w:t>1292–1299</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val="en-US" w:eastAsia="en-US"/>
        </w:rPr>
        <w:t>10.1590/S1516-18462013005000029.</w:t>
      </w:r>
    </w:p>
    <w:p w14:paraId="1C5CA9B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Martin</w:t>
      </w:r>
      <w:proofErr w:type="spellEnd"/>
      <w:r w:rsidRPr="00520861">
        <w:rPr>
          <w:rFonts w:eastAsiaTheme="minorHAnsi"/>
          <w:sz w:val="28"/>
          <w:szCs w:val="28"/>
          <w:lang w:eastAsia="en-US"/>
        </w:rPr>
        <w:t xml:space="preserve"> JA, </w:t>
      </w:r>
      <w:proofErr w:type="spellStart"/>
      <w:r w:rsidRPr="00520861">
        <w:rPr>
          <w:rFonts w:eastAsiaTheme="minorHAnsi"/>
          <w:sz w:val="28"/>
          <w:szCs w:val="28"/>
          <w:lang w:eastAsia="en-US"/>
        </w:rPr>
        <w:t>Hamilton</w:t>
      </w:r>
      <w:proofErr w:type="spellEnd"/>
      <w:r w:rsidRPr="00520861">
        <w:rPr>
          <w:rFonts w:eastAsiaTheme="minorHAnsi"/>
          <w:sz w:val="28"/>
          <w:szCs w:val="28"/>
          <w:lang w:eastAsia="en-US"/>
        </w:rPr>
        <w:t xml:space="preserve"> BE, </w:t>
      </w:r>
      <w:proofErr w:type="spellStart"/>
      <w:r w:rsidRPr="00520861">
        <w:rPr>
          <w:rFonts w:eastAsiaTheme="minorHAnsi"/>
          <w:sz w:val="28"/>
          <w:szCs w:val="28"/>
          <w:lang w:eastAsia="en-US"/>
        </w:rPr>
        <w:t>Osterman</w:t>
      </w:r>
      <w:proofErr w:type="spellEnd"/>
      <w:r w:rsidRPr="00520861">
        <w:rPr>
          <w:rFonts w:eastAsiaTheme="minorHAnsi"/>
          <w:sz w:val="28"/>
          <w:szCs w:val="28"/>
          <w:lang w:eastAsia="en-US"/>
        </w:rPr>
        <w:t xml:space="preserve"> MJK, </w:t>
      </w:r>
      <w:proofErr w:type="spellStart"/>
      <w:r w:rsidRPr="00520861">
        <w:rPr>
          <w:rFonts w:eastAsiaTheme="minorHAnsi"/>
          <w:sz w:val="28"/>
          <w:szCs w:val="28"/>
          <w:lang w:eastAsia="en-US"/>
        </w:rPr>
        <w:t>Driscoll</w:t>
      </w:r>
      <w:proofErr w:type="spellEnd"/>
      <w:r w:rsidRPr="00520861">
        <w:rPr>
          <w:rFonts w:eastAsiaTheme="minorHAnsi"/>
          <w:sz w:val="28"/>
          <w:szCs w:val="28"/>
          <w:lang w:eastAsia="en-US"/>
        </w:rPr>
        <w:t xml:space="preserve"> AK, </w:t>
      </w:r>
      <w:proofErr w:type="spellStart"/>
      <w:r w:rsidRPr="00520861">
        <w:rPr>
          <w:rFonts w:eastAsiaTheme="minorHAnsi"/>
          <w:sz w:val="28"/>
          <w:szCs w:val="28"/>
          <w:lang w:eastAsia="en-US"/>
        </w:rPr>
        <w:t>Mathews</w:t>
      </w:r>
      <w:proofErr w:type="spellEnd"/>
      <w:r w:rsidRPr="00520861">
        <w:rPr>
          <w:rFonts w:eastAsiaTheme="minorHAnsi"/>
          <w:sz w:val="28"/>
          <w:szCs w:val="28"/>
          <w:lang w:eastAsia="en-US"/>
        </w:rPr>
        <w:t xml:space="preserve"> TJ. </w:t>
      </w:r>
      <w:proofErr w:type="spellStart"/>
      <w:r w:rsidRPr="00520861">
        <w:rPr>
          <w:rFonts w:eastAsiaTheme="minorHAnsi"/>
          <w:sz w:val="28"/>
          <w:szCs w:val="28"/>
          <w:lang w:eastAsia="en-US"/>
        </w:rPr>
        <w:t>Births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Data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2015. </w:t>
      </w:r>
      <w:proofErr w:type="spellStart"/>
      <w:r w:rsidRPr="00520861">
        <w:rPr>
          <w:rFonts w:eastAsiaTheme="minorHAnsi"/>
          <w:i/>
          <w:sz w:val="28"/>
          <w:szCs w:val="28"/>
          <w:lang w:eastAsia="en-US"/>
        </w:rPr>
        <w:t>Natl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Vital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Stat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eastAsia="en-US"/>
        </w:rPr>
        <w:t>. 2017</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January</w:t>
      </w:r>
      <w:proofErr w:type="spellEnd"/>
      <w:r w:rsidRPr="00520861">
        <w:rPr>
          <w:rFonts w:eastAsiaTheme="minorHAnsi"/>
          <w:sz w:val="28"/>
          <w:szCs w:val="28"/>
          <w:lang w:eastAsia="en-US"/>
        </w:rPr>
        <w:t xml:space="preserve"> 5</w:t>
      </w:r>
      <w:r w:rsidRPr="00520861">
        <w:rPr>
          <w:rFonts w:eastAsiaTheme="minorHAnsi"/>
          <w:sz w:val="28"/>
          <w:szCs w:val="28"/>
          <w:lang w:val="en-US" w:eastAsia="en-US"/>
        </w:rPr>
        <w:t>;</w:t>
      </w:r>
      <w:r w:rsidRPr="00520861">
        <w:rPr>
          <w:rFonts w:eastAsiaTheme="minorHAnsi"/>
          <w:sz w:val="28"/>
          <w:szCs w:val="28"/>
          <w:lang w:eastAsia="en-US"/>
        </w:rPr>
        <w:t>66(1).</w:t>
      </w:r>
    </w:p>
    <w:p w14:paraId="29E6E4E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Martin</w:t>
      </w:r>
      <w:proofErr w:type="spellEnd"/>
      <w:r w:rsidRPr="00520861">
        <w:rPr>
          <w:rFonts w:eastAsiaTheme="minorHAnsi"/>
          <w:sz w:val="28"/>
          <w:szCs w:val="28"/>
          <w:lang w:eastAsia="en-US"/>
        </w:rPr>
        <w:t xml:space="preserve"> JA, </w:t>
      </w:r>
      <w:proofErr w:type="spellStart"/>
      <w:r w:rsidRPr="00520861">
        <w:rPr>
          <w:rFonts w:eastAsiaTheme="minorHAnsi"/>
          <w:sz w:val="28"/>
          <w:szCs w:val="28"/>
          <w:lang w:eastAsia="en-US"/>
        </w:rPr>
        <w:t>Hamilton</w:t>
      </w:r>
      <w:proofErr w:type="spellEnd"/>
      <w:r w:rsidRPr="00520861">
        <w:rPr>
          <w:rFonts w:eastAsiaTheme="minorHAnsi"/>
          <w:sz w:val="28"/>
          <w:szCs w:val="28"/>
          <w:lang w:eastAsia="en-US"/>
        </w:rPr>
        <w:t xml:space="preserve"> BE, </w:t>
      </w:r>
      <w:proofErr w:type="spellStart"/>
      <w:r w:rsidRPr="00520861">
        <w:rPr>
          <w:rFonts w:eastAsiaTheme="minorHAnsi"/>
          <w:sz w:val="28"/>
          <w:szCs w:val="28"/>
          <w:lang w:eastAsia="en-US"/>
        </w:rPr>
        <w:t>Sutton</w:t>
      </w:r>
      <w:proofErr w:type="spellEnd"/>
      <w:r w:rsidRPr="00520861">
        <w:rPr>
          <w:rFonts w:eastAsiaTheme="minorHAnsi"/>
          <w:sz w:val="28"/>
          <w:szCs w:val="28"/>
          <w:lang w:eastAsia="en-US"/>
        </w:rPr>
        <w:t xml:space="preserve"> PD, </w:t>
      </w:r>
      <w:proofErr w:type="spellStart"/>
      <w:r w:rsidRPr="00520861">
        <w:rPr>
          <w:rFonts w:eastAsiaTheme="minorHAnsi"/>
          <w:sz w:val="28"/>
          <w:szCs w:val="28"/>
          <w:lang w:eastAsia="en-US"/>
        </w:rPr>
        <w:t>Ventura</w:t>
      </w:r>
      <w:proofErr w:type="spellEnd"/>
      <w:r w:rsidRPr="00520861">
        <w:rPr>
          <w:rFonts w:eastAsiaTheme="minorHAnsi"/>
          <w:sz w:val="28"/>
          <w:szCs w:val="28"/>
          <w:lang w:eastAsia="en-US"/>
        </w:rPr>
        <w:t xml:space="preserve"> SJ, </w:t>
      </w:r>
      <w:proofErr w:type="spellStart"/>
      <w:r w:rsidRPr="00520861">
        <w:rPr>
          <w:rFonts w:eastAsiaTheme="minorHAnsi"/>
          <w:sz w:val="28"/>
          <w:szCs w:val="28"/>
          <w:lang w:eastAsia="en-US"/>
        </w:rPr>
        <w:t>Menacker</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Kirmeyer</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Births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data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2004. </w:t>
      </w:r>
      <w:proofErr w:type="spellStart"/>
      <w:r w:rsidRPr="00520861">
        <w:rPr>
          <w:rFonts w:eastAsiaTheme="minorHAnsi"/>
          <w:i/>
          <w:sz w:val="28"/>
          <w:szCs w:val="28"/>
          <w:lang w:eastAsia="en-US"/>
        </w:rPr>
        <w:t>National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Vital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Statistics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Reports</w:t>
      </w:r>
      <w:proofErr w:type="spellEnd"/>
      <w:r w:rsidRPr="00520861">
        <w:rPr>
          <w:rFonts w:eastAsiaTheme="minorHAnsi"/>
          <w:sz w:val="28"/>
          <w:szCs w:val="28"/>
          <w:lang w:eastAsia="en-US"/>
        </w:rPr>
        <w:t>. 2006;55(1):</w:t>
      </w:r>
      <w:r w:rsidRPr="00520861">
        <w:rPr>
          <w:rFonts w:eastAsiaTheme="minorHAnsi"/>
          <w:sz w:val="28"/>
          <w:szCs w:val="28"/>
          <w:lang w:val="en-US" w:eastAsia="en-US"/>
        </w:rPr>
        <w:t xml:space="preserve"> </w:t>
      </w:r>
      <w:r w:rsidRPr="00520861">
        <w:rPr>
          <w:rFonts w:eastAsiaTheme="minorHAnsi"/>
          <w:sz w:val="28"/>
          <w:szCs w:val="28"/>
          <w:lang w:eastAsia="en-US"/>
        </w:rPr>
        <w:t xml:space="preserve">1–101. </w:t>
      </w:r>
    </w:p>
    <w:p w14:paraId="19E890E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Martinaityte</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Jorde</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Emaus</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Eggen</w:t>
      </w:r>
      <w:proofErr w:type="spellEnd"/>
      <w:r w:rsidRPr="00520861">
        <w:rPr>
          <w:rFonts w:eastAsiaTheme="minorHAnsi"/>
          <w:sz w:val="28"/>
          <w:szCs w:val="28"/>
          <w:lang w:eastAsia="en-US"/>
        </w:rPr>
        <w:t xml:space="preserve"> AE, </w:t>
      </w:r>
      <w:proofErr w:type="spellStart"/>
      <w:r w:rsidRPr="00520861">
        <w:rPr>
          <w:rFonts w:eastAsiaTheme="minorHAnsi"/>
          <w:sz w:val="28"/>
          <w:szCs w:val="28"/>
          <w:lang w:eastAsia="en-US"/>
        </w:rPr>
        <w:t>Joakimsen</w:t>
      </w:r>
      <w:proofErr w:type="spellEnd"/>
      <w:r w:rsidRPr="00520861">
        <w:rPr>
          <w:rFonts w:eastAsiaTheme="minorHAnsi"/>
          <w:sz w:val="28"/>
          <w:szCs w:val="28"/>
          <w:lang w:eastAsia="en-US"/>
        </w:rPr>
        <w:t xml:space="preserve"> RM, </w:t>
      </w:r>
      <w:proofErr w:type="spellStart"/>
      <w:r w:rsidRPr="00520861">
        <w:rPr>
          <w:rFonts w:eastAsiaTheme="minorHAnsi"/>
          <w:sz w:val="28"/>
          <w:szCs w:val="28"/>
          <w:lang w:eastAsia="en-US"/>
        </w:rPr>
        <w:t>Kamycheva</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vitamin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related</w:t>
      </w:r>
      <w:proofErr w:type="spellEnd"/>
      <w:r w:rsidRPr="00520861">
        <w:rPr>
          <w:rFonts w:eastAsiaTheme="minorHAnsi"/>
          <w:sz w:val="28"/>
          <w:szCs w:val="28"/>
          <w:lang w:eastAsia="en-US"/>
        </w:rPr>
        <w:t xml:space="preserve"> rs6013897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w:t>
      </w:r>
      <w:proofErr w:type="spellEnd"/>
      <w:r w:rsidRPr="00520861">
        <w:rPr>
          <w:rFonts w:eastAsiaTheme="minorHAnsi"/>
          <w:sz w:val="28"/>
          <w:szCs w:val="28"/>
          <w:lang w:eastAsia="en-US"/>
        </w:rPr>
        <w:t xml:space="preserve"> rs4870044: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Tromsø</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One</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2017</w:t>
      </w:r>
      <w:r w:rsidRPr="00520861">
        <w:rPr>
          <w:rFonts w:eastAsiaTheme="minorHAnsi"/>
          <w:sz w:val="28"/>
          <w:szCs w:val="28"/>
          <w:lang w:val="en-US" w:eastAsia="en-US"/>
        </w:rPr>
        <w:t xml:space="preserve"> Mar [cited 2020 Jun 21]</w:t>
      </w:r>
      <w:r w:rsidRPr="00520861">
        <w:rPr>
          <w:rFonts w:eastAsiaTheme="minorHAnsi"/>
          <w:sz w:val="28"/>
          <w:szCs w:val="28"/>
          <w:lang w:eastAsia="en-US"/>
        </w:rPr>
        <w:t>;12(3):</w:t>
      </w:r>
      <w:r w:rsidRPr="00520861">
        <w:rPr>
          <w:rFonts w:eastAsiaTheme="minorHAnsi"/>
          <w:sz w:val="28"/>
          <w:szCs w:val="28"/>
          <w:lang w:val="en-US" w:eastAsia="en-US"/>
        </w:rPr>
        <w:t xml:space="preserve"> </w:t>
      </w:r>
      <w:r w:rsidRPr="00520861">
        <w:rPr>
          <w:rFonts w:eastAsiaTheme="minorHAnsi"/>
          <w:sz w:val="28"/>
          <w:szCs w:val="28"/>
          <w:lang w:eastAsia="en-US"/>
        </w:rPr>
        <w:t xml:space="preserve">e0173045.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10.1371/journal.pone.0173045</w:t>
      </w:r>
      <w:r w:rsidRPr="00520861">
        <w:rPr>
          <w:rFonts w:eastAsiaTheme="minorHAnsi"/>
          <w:sz w:val="28"/>
          <w:szCs w:val="28"/>
          <w:lang w:val="en-US" w:eastAsia="en-US"/>
        </w:rPr>
        <w:t>.</w:t>
      </w:r>
    </w:p>
    <w:p w14:paraId="0A0C4BC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Martinez-Herrera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Silvestre-Rangil</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Silvestre</w:t>
      </w:r>
      <w:proofErr w:type="spellEnd"/>
      <w:r w:rsidRPr="00520861">
        <w:rPr>
          <w:rFonts w:eastAsiaTheme="minorHAnsi"/>
          <w:sz w:val="28"/>
          <w:szCs w:val="28"/>
          <w:lang w:eastAsia="en-US"/>
        </w:rPr>
        <w:t xml:space="preserve"> FJ.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epidemiological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controlled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clinical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trials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Patol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Cir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Bucal</w:t>
      </w:r>
      <w:proofErr w:type="spellEnd"/>
      <w:r w:rsidRPr="00520861">
        <w:rPr>
          <w:rFonts w:eastAsiaTheme="minorHAnsi"/>
          <w:sz w:val="28"/>
          <w:szCs w:val="28"/>
          <w:lang w:eastAsia="en-US"/>
        </w:rPr>
        <w:t>. 2017; 22(6)</w:t>
      </w:r>
      <w:r w:rsidRPr="00520861">
        <w:rPr>
          <w:rFonts w:eastAsiaTheme="minorHAnsi"/>
          <w:sz w:val="28"/>
          <w:szCs w:val="28"/>
          <w:lang w:val="en-US" w:eastAsia="en-US"/>
        </w:rPr>
        <w:t>:</w:t>
      </w:r>
      <w:r w:rsidRPr="00520861">
        <w:rPr>
          <w:rFonts w:eastAsiaTheme="minorHAnsi"/>
          <w:sz w:val="28"/>
          <w:szCs w:val="28"/>
          <w:lang w:eastAsia="en-US"/>
        </w:rPr>
        <w:t xml:space="preserve"> e708–e715.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10.4317/medoral.21786</w:t>
      </w:r>
      <w:r w:rsidRPr="00520861">
        <w:rPr>
          <w:rFonts w:eastAsiaTheme="minorHAnsi"/>
          <w:sz w:val="28"/>
          <w:szCs w:val="28"/>
          <w:lang w:val="en-US" w:eastAsia="en-US"/>
        </w:rPr>
        <w:t>.</w:t>
      </w:r>
    </w:p>
    <w:p w14:paraId="14C40B4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Masedunskas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Porat-Shliom</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Weigert</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Linking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differences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membrane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tension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requirement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contractile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actomyosin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scaffold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exocytosis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Commun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Integr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2012; 5:</w:t>
      </w:r>
      <w:r w:rsidRPr="00520861">
        <w:rPr>
          <w:rFonts w:eastAsiaTheme="minorHAnsi"/>
          <w:sz w:val="28"/>
          <w:szCs w:val="28"/>
          <w:lang w:val="en-US" w:eastAsia="en-US"/>
        </w:rPr>
        <w:t xml:space="preserve"> </w:t>
      </w:r>
      <w:r w:rsidRPr="00520861">
        <w:rPr>
          <w:rFonts w:eastAsiaTheme="minorHAnsi"/>
          <w:sz w:val="28"/>
          <w:szCs w:val="28"/>
          <w:lang w:eastAsia="en-US"/>
        </w:rPr>
        <w:t>84–</w:t>
      </w:r>
      <w:r w:rsidRPr="00520861">
        <w:rPr>
          <w:rFonts w:eastAsiaTheme="minorHAnsi"/>
          <w:sz w:val="28"/>
          <w:szCs w:val="28"/>
          <w:lang w:val="en-US" w:eastAsia="en-US"/>
        </w:rPr>
        <w:t>8</w:t>
      </w:r>
      <w:r w:rsidRPr="00520861">
        <w:rPr>
          <w:rFonts w:eastAsiaTheme="minorHAnsi"/>
          <w:sz w:val="28"/>
          <w:szCs w:val="28"/>
          <w:lang w:eastAsia="en-US"/>
        </w:rPr>
        <w:t>7</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10.4161/cib.18258; PMID: 22482019.</w:t>
      </w:r>
    </w:p>
    <w:p w14:paraId="3FF1718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Mashhadiabbas</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Neamatzadeh</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Nasiri</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Foroughi</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Farahnak</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Piroozmand</w:t>
      </w:r>
      <w:proofErr w:type="spellEnd"/>
      <w:r w:rsidRPr="00520861">
        <w:rPr>
          <w:rFonts w:eastAsiaTheme="minorHAnsi"/>
          <w:sz w:val="28"/>
          <w:szCs w:val="28"/>
          <w:lang w:val="en-US" w:eastAsia="en-US"/>
        </w:rPr>
        <w:t> </w:t>
      </w:r>
      <w:r w:rsidRPr="00520861">
        <w:rPr>
          <w:rFonts w:eastAsiaTheme="minorHAnsi"/>
          <w:sz w:val="28"/>
          <w:szCs w:val="28"/>
          <w:lang w:eastAsia="en-US"/>
        </w:rPr>
        <w:t xml:space="preserve">P,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vitamin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BsmI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TaqI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FokI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ApaI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susceptibility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meta-analysis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38 </w:t>
      </w:r>
      <w:proofErr w:type="spellStart"/>
      <w:r w:rsidRPr="00520861">
        <w:rPr>
          <w:rFonts w:eastAsiaTheme="minorHAnsi"/>
          <w:sz w:val="28"/>
          <w:szCs w:val="28"/>
          <w:lang w:eastAsia="en-US"/>
        </w:rPr>
        <w:t>case</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control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studies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Isfahan</w:t>
      </w:r>
      <w:proofErr w:type="spellEnd"/>
      <w:r w:rsidRPr="00520861">
        <w:rPr>
          <w:rFonts w:eastAsiaTheme="minorHAnsi"/>
          <w:i/>
          <w:sz w:val="28"/>
          <w:szCs w:val="28"/>
          <w:lang w:eastAsia="en-US"/>
        </w:rPr>
        <w:t>)</w:t>
      </w:r>
      <w:r w:rsidRPr="00520861">
        <w:rPr>
          <w:rFonts w:eastAsiaTheme="minorHAnsi"/>
          <w:sz w:val="28"/>
          <w:szCs w:val="28"/>
          <w:lang w:eastAsia="en-US"/>
        </w:rPr>
        <w:t>. 2018;15(3):</w:t>
      </w:r>
      <w:r w:rsidRPr="00520861">
        <w:rPr>
          <w:rFonts w:eastAsiaTheme="minorHAnsi"/>
          <w:sz w:val="28"/>
          <w:szCs w:val="28"/>
          <w:lang w:val="en-US" w:eastAsia="en-US"/>
        </w:rPr>
        <w:t xml:space="preserve"> </w:t>
      </w:r>
      <w:r w:rsidRPr="00520861">
        <w:rPr>
          <w:rFonts w:eastAsiaTheme="minorHAnsi"/>
          <w:sz w:val="28"/>
          <w:szCs w:val="28"/>
          <w:lang w:eastAsia="en-US"/>
        </w:rPr>
        <w:t>155–165.</w:t>
      </w:r>
    </w:p>
    <w:p w14:paraId="2C9DB7A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Mhaske</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Yuwanati</w:t>
      </w:r>
      <w:proofErr w:type="spellEnd"/>
      <w:r w:rsidRPr="00520861">
        <w:rPr>
          <w:rFonts w:eastAsiaTheme="minorHAnsi"/>
          <w:sz w:val="28"/>
          <w:szCs w:val="28"/>
          <w:lang w:eastAsia="en-US"/>
        </w:rPr>
        <w:t xml:space="preserve"> MB, </w:t>
      </w:r>
      <w:proofErr w:type="spellStart"/>
      <w:r w:rsidRPr="00520861">
        <w:rPr>
          <w:rFonts w:eastAsiaTheme="minorHAnsi"/>
          <w:sz w:val="28"/>
          <w:szCs w:val="28"/>
          <w:lang w:eastAsia="en-US"/>
        </w:rPr>
        <w:t>Mhaske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Ragavendra</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Kamath</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Saawarn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teeth</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w:t>
      </w:r>
      <w:r w:rsidRPr="00520861">
        <w:rPr>
          <w:rFonts w:eastAsiaTheme="minorHAnsi"/>
          <w:sz w:val="28"/>
          <w:szCs w:val="28"/>
          <w:lang w:eastAsia="en-US"/>
        </w:rPr>
        <w:t xml:space="preserve">n </w:t>
      </w:r>
      <w:proofErr w:type="spellStart"/>
      <w:r w:rsidRPr="00520861">
        <w:rPr>
          <w:rFonts w:eastAsiaTheme="minorHAnsi"/>
          <w:sz w:val="28"/>
          <w:szCs w:val="28"/>
          <w:lang w:eastAsia="en-US"/>
        </w:rPr>
        <w:t>overview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literature</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ISRN </w:t>
      </w:r>
      <w:proofErr w:type="spellStart"/>
      <w:r w:rsidRPr="00520861">
        <w:rPr>
          <w:rFonts w:eastAsiaTheme="minorHAnsi"/>
          <w:i/>
          <w:sz w:val="28"/>
          <w:szCs w:val="28"/>
          <w:lang w:eastAsia="en-US"/>
        </w:rPr>
        <w:t>Pediatr</w:t>
      </w:r>
      <w:proofErr w:type="spellEnd"/>
      <w:r w:rsidRPr="00520861">
        <w:rPr>
          <w:rFonts w:eastAsiaTheme="minorHAnsi"/>
          <w:sz w:val="28"/>
          <w:szCs w:val="28"/>
          <w:lang w:val="ru-RU" w:eastAsia="en-US"/>
        </w:rPr>
        <w:t xml:space="preserve"> [Internet]</w:t>
      </w:r>
      <w:r w:rsidRPr="00520861">
        <w:rPr>
          <w:rFonts w:eastAsiaTheme="minorHAnsi"/>
          <w:sz w:val="28"/>
          <w:szCs w:val="28"/>
          <w:lang w:eastAsia="en-US"/>
        </w:rPr>
        <w:t>. 2013</w:t>
      </w:r>
      <w:r w:rsidRPr="00520861">
        <w:rPr>
          <w:rFonts w:eastAsiaTheme="minorHAnsi"/>
          <w:sz w:val="28"/>
          <w:szCs w:val="28"/>
          <w:lang w:val="en-US" w:eastAsia="en-US"/>
        </w:rPr>
        <w:t xml:space="preserve"> </w:t>
      </w:r>
      <w:proofErr w:type="spellStart"/>
      <w:r w:rsidRPr="00520861">
        <w:rPr>
          <w:rFonts w:eastAsiaTheme="minorHAnsi"/>
          <w:sz w:val="28"/>
          <w:szCs w:val="28"/>
          <w:lang w:val="ru-RU" w:eastAsia="en-US"/>
        </w:rPr>
        <w:t>Aug</w:t>
      </w:r>
      <w:proofErr w:type="spellEnd"/>
      <w:r w:rsidRPr="00520861">
        <w:rPr>
          <w:rFonts w:eastAsiaTheme="minorHAnsi"/>
          <w:sz w:val="28"/>
          <w:szCs w:val="28"/>
          <w:lang w:val="ru-RU" w:eastAsia="en-US"/>
        </w:rPr>
        <w:t> </w:t>
      </w:r>
      <w:r w:rsidRPr="00520861">
        <w:rPr>
          <w:rFonts w:eastAsiaTheme="minorHAnsi"/>
          <w:sz w:val="28"/>
          <w:szCs w:val="28"/>
          <w:lang w:val="en-US" w:eastAsia="en-US"/>
        </w:rPr>
        <w:t xml:space="preserve"> [cited 2020 Mar 3]</w:t>
      </w:r>
      <w:r w:rsidRPr="00520861">
        <w:rPr>
          <w:rFonts w:eastAsiaTheme="minorHAnsi"/>
          <w:sz w:val="28"/>
          <w:szCs w:val="28"/>
          <w:lang w:eastAsia="en-US"/>
        </w:rPr>
        <w:t>;2013:</w:t>
      </w:r>
      <w:r w:rsidRPr="00520861">
        <w:rPr>
          <w:rFonts w:eastAsiaTheme="minorHAnsi"/>
          <w:sz w:val="28"/>
          <w:szCs w:val="28"/>
          <w:lang w:val="en-US" w:eastAsia="en-US"/>
        </w:rPr>
        <w:t xml:space="preserve"> </w:t>
      </w:r>
      <w:r w:rsidRPr="00520861">
        <w:rPr>
          <w:rFonts w:eastAsiaTheme="minorHAnsi"/>
          <w:sz w:val="28"/>
          <w:szCs w:val="28"/>
          <w:lang w:eastAsia="en-US"/>
        </w:rPr>
        <w:t xml:space="preserve">956269.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10.1155/2013/956269</w:t>
      </w:r>
      <w:r w:rsidRPr="00520861">
        <w:rPr>
          <w:rFonts w:eastAsiaTheme="minorHAnsi"/>
          <w:sz w:val="28"/>
          <w:szCs w:val="28"/>
          <w:lang w:val="en-US" w:eastAsia="en-US"/>
        </w:rPr>
        <w:t>.</w:t>
      </w:r>
    </w:p>
    <w:p w14:paraId="399BCA4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Miller</w:t>
      </w:r>
      <w:proofErr w:type="spellEnd"/>
      <w:r w:rsidRPr="00520861">
        <w:rPr>
          <w:rFonts w:eastAsiaTheme="minorHAnsi"/>
          <w:sz w:val="28"/>
          <w:szCs w:val="28"/>
          <w:lang w:eastAsia="en-US"/>
        </w:rPr>
        <w:t xml:space="preserve"> HC, </w:t>
      </w:r>
      <w:proofErr w:type="spellStart"/>
      <w:r w:rsidRPr="00520861">
        <w:rPr>
          <w:rFonts w:eastAsiaTheme="minorHAnsi"/>
          <w:sz w:val="28"/>
          <w:szCs w:val="28"/>
          <w:lang w:eastAsia="en-US"/>
        </w:rPr>
        <w:t>Hassanein</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Diagnosis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impaired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newborn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Pediatrics</w:t>
      </w:r>
      <w:proofErr w:type="spellEnd"/>
      <w:r w:rsidRPr="00520861">
        <w:rPr>
          <w:rFonts w:eastAsiaTheme="minorHAnsi"/>
          <w:sz w:val="28"/>
          <w:szCs w:val="28"/>
          <w:lang w:eastAsia="en-US"/>
        </w:rPr>
        <w:t>. 1971;48(4):</w:t>
      </w:r>
      <w:r w:rsidRPr="00520861">
        <w:rPr>
          <w:rFonts w:eastAsiaTheme="minorHAnsi"/>
          <w:sz w:val="28"/>
          <w:szCs w:val="28"/>
          <w:lang w:val="en-US" w:eastAsia="en-US"/>
        </w:rPr>
        <w:t xml:space="preserve"> </w:t>
      </w:r>
      <w:r w:rsidRPr="00520861">
        <w:rPr>
          <w:rFonts w:eastAsiaTheme="minorHAnsi"/>
          <w:sz w:val="28"/>
          <w:szCs w:val="28"/>
          <w:lang w:eastAsia="en-US"/>
        </w:rPr>
        <w:t>511–522.</w:t>
      </w:r>
    </w:p>
    <w:p w14:paraId="28AADCC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Mira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Simon-Soro</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Curtis</w:t>
      </w:r>
      <w:proofErr w:type="spellEnd"/>
      <w:r w:rsidRPr="00520861">
        <w:rPr>
          <w:rFonts w:eastAsiaTheme="minorHAnsi"/>
          <w:sz w:val="28"/>
          <w:szCs w:val="28"/>
          <w:lang w:eastAsia="en-US"/>
        </w:rPr>
        <w:t xml:space="preserve"> MA. </w:t>
      </w:r>
      <w:proofErr w:type="spellStart"/>
      <w:r w:rsidRPr="00520861">
        <w:rPr>
          <w:rFonts w:eastAsiaTheme="minorHAnsi"/>
          <w:sz w:val="28"/>
          <w:szCs w:val="28"/>
          <w:lang w:eastAsia="en-US"/>
        </w:rPr>
        <w:t>Role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microbial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communities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pathogenesis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2017; 44 (</w:t>
      </w:r>
      <w:proofErr w:type="spellStart"/>
      <w:r w:rsidRPr="00520861">
        <w:rPr>
          <w:rFonts w:eastAsiaTheme="minorHAnsi"/>
          <w:sz w:val="28"/>
          <w:szCs w:val="28"/>
          <w:lang w:eastAsia="en-US"/>
        </w:rPr>
        <w:t>Suppl</w:t>
      </w:r>
      <w:proofErr w:type="spellEnd"/>
      <w:r w:rsidRPr="00520861">
        <w:rPr>
          <w:rFonts w:eastAsiaTheme="minorHAnsi"/>
          <w:sz w:val="28"/>
          <w:szCs w:val="28"/>
          <w:lang w:eastAsia="en-US"/>
        </w:rPr>
        <w:t xml:space="preserve">. 18): S23–S38.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10.1111/jcpe.12671.</w:t>
      </w:r>
    </w:p>
    <w:p w14:paraId="3DE3BA5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Moffett</w:t>
      </w:r>
      <w:proofErr w:type="spellEnd"/>
      <w:r w:rsidRPr="00520861">
        <w:rPr>
          <w:rFonts w:eastAsiaTheme="minorHAnsi"/>
          <w:sz w:val="28"/>
          <w:szCs w:val="28"/>
          <w:lang w:eastAsia="en-US"/>
        </w:rPr>
        <w:t xml:space="preserve"> SP, </w:t>
      </w:r>
      <w:proofErr w:type="spellStart"/>
      <w:r w:rsidRPr="00520861">
        <w:rPr>
          <w:rFonts w:eastAsiaTheme="minorHAnsi"/>
          <w:sz w:val="28"/>
          <w:szCs w:val="28"/>
          <w:lang w:eastAsia="en-US"/>
        </w:rPr>
        <w:t>Zmuda</w:t>
      </w:r>
      <w:proofErr w:type="spellEnd"/>
      <w:r w:rsidRPr="00520861">
        <w:rPr>
          <w:rFonts w:eastAsiaTheme="minorHAnsi"/>
          <w:sz w:val="28"/>
          <w:szCs w:val="28"/>
          <w:lang w:eastAsia="en-US"/>
        </w:rPr>
        <w:t xml:space="preserve"> JM, </w:t>
      </w:r>
      <w:proofErr w:type="spellStart"/>
      <w:r w:rsidRPr="00520861">
        <w:rPr>
          <w:rFonts w:eastAsiaTheme="minorHAnsi"/>
          <w:sz w:val="28"/>
          <w:szCs w:val="28"/>
          <w:lang w:eastAsia="en-US"/>
        </w:rPr>
        <w:t>Cauley</w:t>
      </w:r>
      <w:proofErr w:type="spellEnd"/>
      <w:r w:rsidRPr="00520861">
        <w:rPr>
          <w:rFonts w:eastAsiaTheme="minorHAnsi"/>
          <w:sz w:val="28"/>
          <w:szCs w:val="28"/>
          <w:lang w:eastAsia="en-US"/>
        </w:rPr>
        <w:t xml:space="preserve"> JA, </w:t>
      </w:r>
      <w:proofErr w:type="spellStart"/>
      <w:r w:rsidRPr="00520861">
        <w:rPr>
          <w:rFonts w:eastAsiaTheme="minorHAnsi"/>
          <w:sz w:val="28"/>
          <w:szCs w:val="28"/>
          <w:lang w:eastAsia="en-US"/>
        </w:rPr>
        <w:t>Stone</w:t>
      </w:r>
      <w:proofErr w:type="spellEnd"/>
      <w:r w:rsidRPr="00520861">
        <w:rPr>
          <w:rFonts w:eastAsiaTheme="minorHAnsi"/>
          <w:sz w:val="28"/>
          <w:szCs w:val="28"/>
          <w:lang w:eastAsia="en-US"/>
        </w:rPr>
        <w:t xml:space="preserve"> KL, </w:t>
      </w:r>
      <w:proofErr w:type="spellStart"/>
      <w:r w:rsidRPr="00520861">
        <w:rPr>
          <w:rFonts w:eastAsiaTheme="minorHAnsi"/>
          <w:sz w:val="28"/>
          <w:szCs w:val="28"/>
          <w:lang w:eastAsia="en-US"/>
        </w:rPr>
        <w:t>Nevitt</w:t>
      </w:r>
      <w:proofErr w:type="spellEnd"/>
      <w:r w:rsidRPr="00520861">
        <w:rPr>
          <w:rFonts w:eastAsiaTheme="minorHAnsi"/>
          <w:sz w:val="28"/>
          <w:szCs w:val="28"/>
          <w:lang w:eastAsia="en-US"/>
        </w:rPr>
        <w:t xml:space="preserve"> MC, </w:t>
      </w:r>
      <w:proofErr w:type="spellStart"/>
      <w:r w:rsidRPr="00520861">
        <w:rPr>
          <w:rFonts w:eastAsiaTheme="minorHAnsi"/>
          <w:sz w:val="28"/>
          <w:szCs w:val="28"/>
          <w:lang w:eastAsia="en-US"/>
        </w:rPr>
        <w:t>Ensrud</w:t>
      </w:r>
      <w:proofErr w:type="spellEnd"/>
      <w:r w:rsidRPr="00520861">
        <w:rPr>
          <w:rFonts w:eastAsiaTheme="minorHAnsi"/>
          <w:sz w:val="28"/>
          <w:szCs w:val="28"/>
          <w:lang w:eastAsia="en-US"/>
        </w:rPr>
        <w:t xml:space="preserve"> KE,</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G-174C </w:t>
      </w:r>
      <w:proofErr w:type="spellStart"/>
      <w:r w:rsidRPr="00520861">
        <w:rPr>
          <w:rFonts w:eastAsiaTheme="minorHAnsi"/>
          <w:sz w:val="28"/>
          <w:szCs w:val="28"/>
          <w:lang w:eastAsia="en-US"/>
        </w:rPr>
        <w:t>variant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interleukin-6 </w:t>
      </w:r>
      <w:proofErr w:type="spellStart"/>
      <w:r w:rsidRPr="00520861">
        <w:rPr>
          <w:rFonts w:eastAsiaTheme="minorHAnsi"/>
          <w:sz w:val="28"/>
          <w:szCs w:val="28"/>
          <w:lang w:eastAsia="en-US"/>
        </w:rPr>
        <w:t>promoter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fracture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older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2004;19(10):</w:t>
      </w:r>
      <w:r w:rsidRPr="00520861">
        <w:rPr>
          <w:rFonts w:eastAsiaTheme="minorHAnsi"/>
          <w:sz w:val="28"/>
          <w:szCs w:val="28"/>
          <w:lang w:val="en-US" w:eastAsia="en-US"/>
        </w:rPr>
        <w:t xml:space="preserve"> </w:t>
      </w:r>
      <w:r w:rsidRPr="00520861">
        <w:rPr>
          <w:rFonts w:eastAsiaTheme="minorHAnsi"/>
          <w:sz w:val="28"/>
          <w:szCs w:val="28"/>
          <w:lang w:eastAsia="en-US"/>
        </w:rPr>
        <w:t xml:space="preserve">1612–1618.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10.1359/JBMR.040707</w:t>
      </w:r>
      <w:r w:rsidRPr="00520861">
        <w:rPr>
          <w:rFonts w:eastAsiaTheme="minorHAnsi"/>
          <w:sz w:val="28"/>
          <w:szCs w:val="28"/>
          <w:lang w:val="en-US" w:eastAsia="en-US"/>
        </w:rPr>
        <w:t>.</w:t>
      </w:r>
    </w:p>
    <w:p w14:paraId="6470A0D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Mohammadbeigi</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Farhadifar</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Soufi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Zadeh</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Mohammadsalehi</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Rezaiee</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Aghaei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2013;3(4):</w:t>
      </w:r>
      <w:r w:rsidRPr="00520861">
        <w:rPr>
          <w:rFonts w:eastAsiaTheme="minorHAnsi"/>
          <w:sz w:val="28"/>
          <w:szCs w:val="28"/>
          <w:lang w:val="en-US" w:eastAsia="en-US"/>
        </w:rPr>
        <w:t xml:space="preserve"> </w:t>
      </w:r>
      <w:r w:rsidRPr="00520861">
        <w:rPr>
          <w:rFonts w:eastAsiaTheme="minorHAnsi"/>
          <w:sz w:val="28"/>
          <w:szCs w:val="28"/>
          <w:lang w:eastAsia="en-US"/>
        </w:rPr>
        <w:t xml:space="preserve">546–550.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 xml:space="preserve">10.4103/2141-9248.122098. </w:t>
      </w:r>
    </w:p>
    <w:p w14:paraId="4FD6BD3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Mohsin</w:t>
      </w:r>
      <w:proofErr w:type="spellEnd"/>
      <w:r w:rsidRPr="00520861">
        <w:rPr>
          <w:rFonts w:eastAsiaTheme="minorHAnsi"/>
          <w:sz w:val="28"/>
          <w:szCs w:val="28"/>
          <w:lang w:val="en-US" w:eastAsia="en-US"/>
        </w:rPr>
        <w:t xml:space="preserve"> AHB</w:t>
      </w:r>
      <w:r w:rsidRPr="00520861">
        <w:rPr>
          <w:rFonts w:eastAsiaTheme="minorHAnsi"/>
          <w:sz w:val="28"/>
          <w:szCs w:val="28"/>
          <w:lang w:eastAsia="en-US"/>
        </w:rPr>
        <w:t xml:space="preserve">, </w:t>
      </w:r>
      <w:proofErr w:type="spellStart"/>
      <w:r w:rsidRPr="00520861">
        <w:rPr>
          <w:rFonts w:eastAsiaTheme="minorHAnsi"/>
          <w:sz w:val="28"/>
          <w:szCs w:val="28"/>
          <w:lang w:eastAsia="en-US"/>
        </w:rPr>
        <w:t>Barshaik</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Epigenetics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Dentistry</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Literature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Epigenet</w:t>
      </w:r>
      <w:proofErr w:type="spellEnd"/>
      <w:r w:rsidRPr="00520861">
        <w:rPr>
          <w:rFonts w:eastAsiaTheme="minorHAnsi"/>
          <w:sz w:val="28"/>
          <w:szCs w:val="28"/>
          <w:lang w:eastAsia="en-US"/>
        </w:rPr>
        <w:t>. 2017;3:</w:t>
      </w:r>
      <w:r w:rsidRPr="00520861">
        <w:rPr>
          <w:rFonts w:eastAsiaTheme="minorHAnsi"/>
          <w:sz w:val="28"/>
          <w:szCs w:val="28"/>
          <w:lang w:val="en-US" w:eastAsia="en-US"/>
        </w:rPr>
        <w:t xml:space="preserve"> </w:t>
      </w:r>
      <w:r w:rsidRPr="00520861">
        <w:rPr>
          <w:rFonts w:eastAsiaTheme="minorHAnsi"/>
          <w:sz w:val="28"/>
          <w:szCs w:val="28"/>
          <w:lang w:eastAsia="en-US"/>
        </w:rPr>
        <w:t>1–4.</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val="en-US" w:eastAsia="en-US"/>
        </w:rPr>
        <w:t>10.21767/2472-1158.100035.</w:t>
      </w:r>
    </w:p>
    <w:p w14:paraId="7C256C1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Mondockova</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Adamkovicova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Lukacova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Grosskopf</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Babosova</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Galbavy</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D</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1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osteoporosis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efficiency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Slovak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postmenopausal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BMC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Genet</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2018</w:t>
      </w:r>
      <w:r w:rsidRPr="00520861">
        <w:rPr>
          <w:rFonts w:eastAsiaTheme="minorHAnsi"/>
          <w:sz w:val="28"/>
          <w:szCs w:val="28"/>
          <w:lang w:val="en-US" w:eastAsia="en-US"/>
        </w:rPr>
        <w:t xml:space="preserve"> Sep [cited 2020 Jul 25]</w:t>
      </w:r>
      <w:r w:rsidRPr="00520861">
        <w:rPr>
          <w:rFonts w:eastAsiaTheme="minorHAnsi"/>
          <w:sz w:val="28"/>
          <w:szCs w:val="28"/>
          <w:lang w:eastAsia="en-US"/>
        </w:rPr>
        <w:t>;19(1):</w:t>
      </w:r>
      <w:r w:rsidRPr="00520861">
        <w:rPr>
          <w:rFonts w:eastAsiaTheme="minorHAnsi"/>
          <w:sz w:val="28"/>
          <w:szCs w:val="28"/>
          <w:lang w:val="en-US" w:eastAsia="en-US"/>
        </w:rPr>
        <w:t xml:space="preserve"> </w:t>
      </w:r>
      <w:r w:rsidRPr="00520861">
        <w:rPr>
          <w:rFonts w:eastAsiaTheme="minorHAnsi"/>
          <w:sz w:val="28"/>
          <w:szCs w:val="28"/>
          <w:lang w:eastAsia="en-US"/>
        </w:rPr>
        <w:t xml:space="preserve">174.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10.1186/s12881-018-0684-8</w:t>
      </w:r>
      <w:r w:rsidRPr="00520861">
        <w:rPr>
          <w:rFonts w:eastAsiaTheme="minorHAnsi"/>
          <w:sz w:val="28"/>
          <w:szCs w:val="28"/>
          <w:lang w:val="en-US" w:eastAsia="en-US"/>
        </w:rPr>
        <w:t>.</w:t>
      </w:r>
    </w:p>
    <w:p w14:paraId="42AFFC3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lastRenderedPageBreak/>
        <w:t>Montazeri-Najafabady</w:t>
      </w:r>
      <w:proofErr w:type="spellEnd"/>
      <w:r w:rsidRPr="00520861">
        <w:rPr>
          <w:rFonts w:eastAsiaTheme="minorHAnsi"/>
          <w:sz w:val="28"/>
          <w:szCs w:val="28"/>
          <w:lang w:val="en-US" w:eastAsia="en-US"/>
        </w:rPr>
        <w:t xml:space="preserve"> N, </w:t>
      </w:r>
      <w:proofErr w:type="spellStart"/>
      <w:r w:rsidRPr="00520861">
        <w:rPr>
          <w:rFonts w:eastAsiaTheme="minorHAnsi"/>
          <w:sz w:val="28"/>
          <w:szCs w:val="28"/>
          <w:lang w:val="en-US" w:eastAsia="en-US"/>
        </w:rPr>
        <w:t>Dabbaghmanesh</w:t>
      </w:r>
      <w:proofErr w:type="spellEnd"/>
      <w:r w:rsidRPr="00520861">
        <w:rPr>
          <w:rFonts w:eastAsiaTheme="minorHAnsi"/>
          <w:sz w:val="28"/>
          <w:szCs w:val="28"/>
          <w:lang w:val="en-US" w:eastAsia="en-US"/>
        </w:rPr>
        <w:t xml:space="preserve"> M, </w:t>
      </w:r>
      <w:proofErr w:type="spellStart"/>
      <w:r w:rsidRPr="00520861">
        <w:rPr>
          <w:rFonts w:eastAsiaTheme="minorHAnsi"/>
          <w:sz w:val="28"/>
          <w:szCs w:val="28"/>
          <w:lang w:val="en-US" w:eastAsia="en-US"/>
        </w:rPr>
        <w:t>Mohammadian</w:t>
      </w:r>
      <w:proofErr w:type="spellEnd"/>
      <w:r w:rsidRPr="00520861">
        <w:rPr>
          <w:rFonts w:eastAsiaTheme="minorHAnsi"/>
          <w:sz w:val="28"/>
          <w:szCs w:val="28"/>
          <w:lang w:val="en-US" w:eastAsia="en-US"/>
        </w:rPr>
        <w:t xml:space="preserve"> Amiri R, </w:t>
      </w:r>
      <w:proofErr w:type="spellStart"/>
      <w:r w:rsidRPr="00520861">
        <w:rPr>
          <w:rFonts w:eastAsiaTheme="minorHAnsi"/>
          <w:sz w:val="28"/>
          <w:szCs w:val="28"/>
          <w:lang w:val="en-US" w:eastAsia="en-US"/>
        </w:rPr>
        <w:t>Mirzai</w:t>
      </w:r>
      <w:proofErr w:type="spellEnd"/>
      <w:r w:rsidRPr="00520861">
        <w:rPr>
          <w:rFonts w:eastAsiaTheme="minorHAnsi"/>
          <w:sz w:val="28"/>
          <w:szCs w:val="28"/>
          <w:lang w:val="en-US" w:eastAsia="en-US"/>
        </w:rPr>
        <w:t xml:space="preserve"> Z. </w:t>
      </w:r>
      <w:r w:rsidR="00CF38F6" w:rsidRPr="00520861">
        <w:rPr>
          <w:rFonts w:eastAsiaTheme="minorHAnsi"/>
          <w:sz w:val="28"/>
          <w:szCs w:val="28"/>
          <w:lang w:val="en-US" w:eastAsia="en-US"/>
        </w:rPr>
        <w:br/>
      </w:r>
      <w:r w:rsidRPr="00520861">
        <w:rPr>
          <w:rFonts w:eastAsiaTheme="minorHAnsi"/>
          <w:sz w:val="28"/>
          <w:szCs w:val="28"/>
          <w:lang w:val="en-US" w:eastAsia="en-US"/>
        </w:rPr>
        <w:t xml:space="preserve">Influence of Estrogen Receptor Alpha Polymorphism on Bone Mineral Density in Iranian Children. </w:t>
      </w:r>
      <w:r w:rsidRPr="00520861">
        <w:rPr>
          <w:rFonts w:eastAsiaTheme="minorHAnsi"/>
          <w:i/>
          <w:sz w:val="28"/>
          <w:szCs w:val="28"/>
          <w:lang w:val="en-US" w:eastAsia="en-US"/>
        </w:rPr>
        <w:t>Human Heredity</w:t>
      </w:r>
      <w:r w:rsidRPr="00520861">
        <w:rPr>
          <w:rFonts w:eastAsiaTheme="minorHAnsi"/>
          <w:sz w:val="28"/>
          <w:szCs w:val="28"/>
          <w:lang w:val="en-US" w:eastAsia="en-US"/>
        </w:rPr>
        <w:t xml:space="preserve">. 2019;84: 82–89.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Theme="minorHAnsi"/>
          <w:sz w:val="28"/>
          <w:szCs w:val="28"/>
          <w:lang w:val="en-US" w:eastAsia="en-US"/>
        </w:rPr>
        <w:t xml:space="preserve">10.1159/000502230. </w:t>
      </w:r>
    </w:p>
    <w:p w14:paraId="746C297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Moreno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Uribe</w:t>
      </w:r>
      <w:proofErr w:type="spellEnd"/>
      <w:r w:rsidRPr="00520861">
        <w:rPr>
          <w:rFonts w:eastAsiaTheme="minorHAnsi"/>
          <w:sz w:val="28"/>
          <w:szCs w:val="28"/>
          <w:lang w:eastAsia="en-US"/>
        </w:rPr>
        <w:t xml:space="preserve"> LM, </w:t>
      </w:r>
      <w:proofErr w:type="spellStart"/>
      <w:r w:rsidRPr="00520861">
        <w:rPr>
          <w:rFonts w:eastAsiaTheme="minorHAnsi"/>
          <w:sz w:val="28"/>
          <w:szCs w:val="28"/>
          <w:lang w:eastAsia="en-US"/>
        </w:rPr>
        <w:t>Miller</w:t>
      </w:r>
      <w:proofErr w:type="spellEnd"/>
      <w:r w:rsidRPr="00520861">
        <w:rPr>
          <w:rFonts w:eastAsiaTheme="minorHAnsi"/>
          <w:sz w:val="28"/>
          <w:szCs w:val="28"/>
          <w:lang w:eastAsia="en-US"/>
        </w:rPr>
        <w:t xml:space="preserve"> SF. </w:t>
      </w:r>
      <w:proofErr w:type="spellStart"/>
      <w:r w:rsidRPr="00520861">
        <w:rPr>
          <w:rFonts w:eastAsiaTheme="minorHAnsi"/>
          <w:sz w:val="28"/>
          <w:szCs w:val="28"/>
          <w:lang w:eastAsia="en-US"/>
        </w:rPr>
        <w:t>Genetics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dentofacial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variation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malocclusion</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Orthod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Craniofac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2015</w:t>
      </w:r>
      <w:r w:rsidRPr="00520861">
        <w:rPr>
          <w:rFonts w:eastAsiaTheme="minorHAnsi"/>
          <w:sz w:val="28"/>
          <w:szCs w:val="28"/>
          <w:lang w:val="en-US" w:eastAsia="en-US"/>
        </w:rPr>
        <w:t xml:space="preserve">; </w:t>
      </w:r>
      <w:r w:rsidRPr="00520861">
        <w:rPr>
          <w:rFonts w:eastAsiaTheme="minorHAnsi"/>
          <w:sz w:val="28"/>
          <w:szCs w:val="28"/>
          <w:lang w:eastAsia="en-US"/>
        </w:rPr>
        <w:t xml:space="preserve">18 </w:t>
      </w:r>
      <w:proofErr w:type="spellStart"/>
      <w:r w:rsidRPr="00520861">
        <w:rPr>
          <w:rFonts w:eastAsiaTheme="minorHAnsi"/>
          <w:sz w:val="28"/>
          <w:szCs w:val="28"/>
          <w:lang w:eastAsia="en-US"/>
        </w:rPr>
        <w:t>Suppl</w:t>
      </w:r>
      <w:proofErr w:type="spellEnd"/>
      <w:r w:rsidRPr="00520861">
        <w:rPr>
          <w:rFonts w:eastAsiaTheme="minorHAnsi"/>
          <w:sz w:val="28"/>
          <w:szCs w:val="28"/>
          <w:lang w:eastAsia="en-US"/>
        </w:rPr>
        <w:t xml:space="preserve"> 1(0 1): 91–99.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10.1111/ocr.12083</w:t>
      </w:r>
      <w:r w:rsidRPr="00520861">
        <w:rPr>
          <w:rFonts w:eastAsiaTheme="minorHAnsi"/>
          <w:sz w:val="28"/>
          <w:szCs w:val="28"/>
          <w:lang w:val="en-US" w:eastAsia="en-US"/>
        </w:rPr>
        <w:t>.</w:t>
      </w:r>
    </w:p>
    <w:p w14:paraId="74809A3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Morikawa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Cho</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Yamada</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Yamada</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Sato</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Minakami</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Japanese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Gynaecol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2013 May;39(5):</w:t>
      </w:r>
      <w:r w:rsidRPr="00520861">
        <w:rPr>
          <w:rFonts w:eastAsiaTheme="minorHAnsi"/>
          <w:sz w:val="28"/>
          <w:szCs w:val="28"/>
          <w:lang w:val="en-US" w:eastAsia="en-US"/>
        </w:rPr>
        <w:t xml:space="preserve"> </w:t>
      </w:r>
      <w:r w:rsidRPr="00520861">
        <w:rPr>
          <w:rFonts w:eastAsiaTheme="minorHAnsi"/>
          <w:sz w:val="28"/>
          <w:szCs w:val="28"/>
          <w:lang w:eastAsia="en-US"/>
        </w:rPr>
        <w:t>960–</w:t>
      </w:r>
      <w:r w:rsidRPr="00520861">
        <w:rPr>
          <w:rFonts w:eastAsiaTheme="minorHAnsi"/>
          <w:sz w:val="28"/>
          <w:szCs w:val="28"/>
          <w:lang w:val="en-US" w:eastAsia="en-US"/>
        </w:rPr>
        <w:t>96</w:t>
      </w:r>
      <w:r w:rsidRPr="00520861">
        <w:rPr>
          <w:rFonts w:eastAsiaTheme="minorHAnsi"/>
          <w:sz w:val="28"/>
          <w:szCs w:val="28"/>
          <w:lang w:eastAsia="en-US"/>
        </w:rPr>
        <w:t xml:space="preserve">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10.1111/j.1447-0756.2012.02059.x.</w:t>
      </w:r>
    </w:p>
    <w:p w14:paraId="04AA23D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Morrison</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Laurie</w:t>
      </w:r>
      <w:proofErr w:type="spellEnd"/>
      <w:r w:rsidRPr="00520861">
        <w:rPr>
          <w:rFonts w:eastAsiaTheme="minorHAnsi"/>
          <w:sz w:val="28"/>
          <w:szCs w:val="28"/>
          <w:lang w:eastAsia="en-US"/>
        </w:rPr>
        <w:t xml:space="preserve"> CC, </w:t>
      </w:r>
      <w:proofErr w:type="spellStart"/>
      <w:r w:rsidRPr="00520861">
        <w:rPr>
          <w:rFonts w:eastAsiaTheme="minorHAnsi"/>
          <w:sz w:val="28"/>
          <w:szCs w:val="28"/>
          <w:lang w:eastAsia="en-US"/>
        </w:rPr>
        <w:t>Marazita</w:t>
      </w:r>
      <w:proofErr w:type="spellEnd"/>
      <w:r w:rsidRPr="00520861">
        <w:rPr>
          <w:rFonts w:eastAsiaTheme="minorHAnsi"/>
          <w:sz w:val="28"/>
          <w:szCs w:val="28"/>
          <w:lang w:eastAsia="en-US"/>
        </w:rPr>
        <w:t xml:space="preserve"> ML, </w:t>
      </w:r>
      <w:proofErr w:type="spellStart"/>
      <w:r w:rsidRPr="00520861">
        <w:rPr>
          <w:rFonts w:eastAsiaTheme="minorHAnsi"/>
          <w:sz w:val="28"/>
          <w:szCs w:val="28"/>
          <w:lang w:eastAsia="en-US"/>
        </w:rPr>
        <w:t>Sanders</w:t>
      </w:r>
      <w:proofErr w:type="spellEnd"/>
      <w:r w:rsidRPr="00520861">
        <w:rPr>
          <w:rFonts w:eastAsiaTheme="minorHAnsi"/>
          <w:sz w:val="28"/>
          <w:szCs w:val="28"/>
          <w:lang w:eastAsia="en-US"/>
        </w:rPr>
        <w:t xml:space="preserve"> AE, </w:t>
      </w:r>
      <w:proofErr w:type="spellStart"/>
      <w:r w:rsidRPr="00520861">
        <w:rPr>
          <w:rFonts w:eastAsiaTheme="minorHAnsi"/>
          <w:sz w:val="28"/>
          <w:szCs w:val="28"/>
          <w:lang w:eastAsia="en-US"/>
        </w:rPr>
        <w:t>Offenbacher</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Salazar</w:t>
      </w:r>
      <w:proofErr w:type="spellEnd"/>
      <w:r w:rsidRPr="00520861">
        <w:rPr>
          <w:rFonts w:eastAsiaTheme="minorHAnsi"/>
          <w:sz w:val="28"/>
          <w:szCs w:val="28"/>
          <w:lang w:eastAsia="en-US"/>
        </w:rPr>
        <w:t xml:space="preserve"> CR, </w:t>
      </w:r>
      <w:r w:rsidRPr="00520861">
        <w:rPr>
          <w:rFonts w:eastAsiaTheme="minorHAnsi"/>
          <w:sz w:val="28"/>
          <w:szCs w:val="28"/>
          <w:lang w:val="en-US" w:eastAsia="en-US"/>
        </w:rPr>
        <w:t>et al</w:t>
      </w:r>
      <w:r w:rsidRPr="00520861">
        <w:rPr>
          <w:rFonts w:eastAsiaTheme="minorHAnsi"/>
          <w:sz w:val="28"/>
          <w:szCs w:val="28"/>
          <w:lang w:eastAsia="en-US"/>
        </w:rPr>
        <w:t>.</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Genome-wide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Hispanic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Communities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Latinos</w:t>
      </w:r>
      <w:proofErr w:type="spellEnd"/>
      <w:r w:rsidRPr="00520861">
        <w:rPr>
          <w:rFonts w:eastAsiaTheme="minorHAnsi"/>
          <w:sz w:val="28"/>
          <w:szCs w:val="28"/>
          <w:lang w:eastAsia="en-US"/>
        </w:rPr>
        <w:t xml:space="preserve"> (HCHS/SOL</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Hum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Genet</w:t>
      </w:r>
      <w:proofErr w:type="spellEnd"/>
      <w:r w:rsidRPr="00520861">
        <w:rPr>
          <w:rFonts w:eastAsiaTheme="minorHAnsi"/>
          <w:sz w:val="28"/>
          <w:szCs w:val="28"/>
          <w:lang w:eastAsia="en-US"/>
        </w:rPr>
        <w:t xml:space="preserve">. 2016 </w:t>
      </w:r>
      <w:proofErr w:type="spellStart"/>
      <w:r w:rsidRPr="00520861">
        <w:rPr>
          <w:rFonts w:eastAsiaTheme="minorHAnsi"/>
          <w:sz w:val="28"/>
          <w:szCs w:val="28"/>
          <w:lang w:eastAsia="en-US"/>
        </w:rPr>
        <w:t>Feb</w:t>
      </w:r>
      <w:proofErr w:type="spellEnd"/>
      <w:r w:rsidRPr="00520861">
        <w:rPr>
          <w:rFonts w:eastAsiaTheme="minorHAnsi"/>
          <w:sz w:val="28"/>
          <w:szCs w:val="28"/>
          <w:lang w:eastAsia="en-US"/>
        </w:rPr>
        <w:t xml:space="preserve"> 15;25(4): 807–816.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10.1093/</w:t>
      </w:r>
      <w:proofErr w:type="spellStart"/>
      <w:r w:rsidRPr="00520861">
        <w:rPr>
          <w:rFonts w:eastAsiaTheme="minorHAnsi"/>
          <w:sz w:val="28"/>
          <w:szCs w:val="28"/>
          <w:lang w:eastAsia="en-US"/>
        </w:rPr>
        <w:t>hmg</w:t>
      </w:r>
      <w:proofErr w:type="spellEnd"/>
      <w:r w:rsidRPr="00520861">
        <w:rPr>
          <w:rFonts w:eastAsiaTheme="minorHAnsi"/>
          <w:sz w:val="28"/>
          <w:szCs w:val="28"/>
          <w:lang w:eastAsia="en-US"/>
        </w:rPr>
        <w:t>/ddv506.</w:t>
      </w:r>
    </w:p>
    <w:p w14:paraId="0E2E284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Mosleh</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Amirmoezzi</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Nazifi</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Intermittent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photoperiod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schedule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does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not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brain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serum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melatonin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selected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serum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antioxidant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enzymes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activity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broiler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chickens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Poultry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Science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sz w:val="28"/>
          <w:szCs w:val="28"/>
          <w:lang w:eastAsia="en-US"/>
        </w:rPr>
        <w:t xml:space="preserve">. 2016;4(2): 81–87.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10.22069/PSJ.2016.10372.1170.</w:t>
      </w:r>
    </w:p>
    <w:p w14:paraId="1BCB191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Moudi</w:t>
      </w:r>
      <w:proofErr w:type="spellEnd"/>
      <w:r w:rsidRPr="00520861">
        <w:rPr>
          <w:rFonts w:eastAsiaTheme="minorHAnsi"/>
          <w:sz w:val="28"/>
          <w:szCs w:val="28"/>
          <w:lang w:val="en-US" w:eastAsia="en-US"/>
        </w:rPr>
        <w:t xml:space="preserve"> B, </w:t>
      </w:r>
      <w:proofErr w:type="spellStart"/>
      <w:r w:rsidRPr="00520861">
        <w:rPr>
          <w:rFonts w:eastAsiaTheme="minorHAnsi"/>
          <w:sz w:val="28"/>
          <w:szCs w:val="28"/>
          <w:lang w:val="en-US" w:eastAsia="en-US"/>
        </w:rPr>
        <w:t>Heidari</w:t>
      </w:r>
      <w:proofErr w:type="spellEnd"/>
      <w:r w:rsidRPr="00520861">
        <w:rPr>
          <w:rFonts w:eastAsiaTheme="minorHAnsi"/>
          <w:sz w:val="28"/>
          <w:szCs w:val="28"/>
          <w:lang w:val="en-US" w:eastAsia="en-US"/>
        </w:rPr>
        <w:t xml:space="preserve"> Z, </w:t>
      </w:r>
      <w:proofErr w:type="spellStart"/>
      <w:r w:rsidRPr="00520861">
        <w:rPr>
          <w:rFonts w:eastAsiaTheme="minorHAnsi"/>
          <w:sz w:val="28"/>
          <w:szCs w:val="28"/>
          <w:lang w:val="en-US" w:eastAsia="en-US"/>
        </w:rPr>
        <w:t>Mahmoudzadeh-Sagheb</w:t>
      </w:r>
      <w:proofErr w:type="spellEnd"/>
      <w:r w:rsidRPr="00520861">
        <w:rPr>
          <w:rFonts w:eastAsiaTheme="minorHAnsi"/>
          <w:sz w:val="28"/>
          <w:szCs w:val="28"/>
          <w:lang w:val="en-US" w:eastAsia="en-US"/>
        </w:rPr>
        <w:t xml:space="preserve"> H, </w:t>
      </w:r>
      <w:proofErr w:type="spellStart"/>
      <w:r w:rsidRPr="00520861">
        <w:rPr>
          <w:rFonts w:eastAsiaTheme="minorHAnsi"/>
          <w:sz w:val="28"/>
          <w:szCs w:val="28"/>
          <w:lang w:val="en-US" w:eastAsia="en-US"/>
        </w:rPr>
        <w:t>Moudi</w:t>
      </w:r>
      <w:proofErr w:type="spellEnd"/>
      <w:r w:rsidRPr="00520861">
        <w:rPr>
          <w:rFonts w:eastAsiaTheme="minorHAnsi"/>
          <w:sz w:val="28"/>
          <w:szCs w:val="28"/>
          <w:lang w:val="en-US" w:eastAsia="en-US"/>
        </w:rPr>
        <w:t xml:space="preserve"> M. Analysis of interleukin-10 gene polymorphisms in patients with chronic periodontitis and healthy controls. </w:t>
      </w:r>
      <w:r w:rsidRPr="00520861">
        <w:rPr>
          <w:rFonts w:eastAsiaTheme="minorHAnsi"/>
          <w:i/>
          <w:sz w:val="28"/>
          <w:szCs w:val="28"/>
          <w:lang w:val="en-US" w:eastAsia="en-US"/>
        </w:rPr>
        <w:t>Dent Res J (Isfahan)</w:t>
      </w:r>
      <w:r w:rsidRPr="00520861">
        <w:rPr>
          <w:rFonts w:eastAsiaTheme="minorHAnsi"/>
          <w:sz w:val="28"/>
          <w:szCs w:val="28"/>
          <w:lang w:val="en-US" w:eastAsia="en-US"/>
        </w:rPr>
        <w:t xml:space="preserve">. 2018;15(1): 71–79.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Theme="minorHAnsi"/>
          <w:sz w:val="28"/>
          <w:szCs w:val="28"/>
          <w:lang w:val="en-US" w:eastAsia="en-US"/>
        </w:rPr>
        <w:t>10.4103/1735-3327.223614.</w:t>
      </w:r>
    </w:p>
    <w:p w14:paraId="598E21C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Mullin</w:t>
      </w:r>
      <w:proofErr w:type="spellEnd"/>
      <w:r w:rsidRPr="00520861">
        <w:rPr>
          <w:rFonts w:eastAsiaTheme="minorHAnsi"/>
          <w:sz w:val="28"/>
          <w:szCs w:val="28"/>
          <w:lang w:eastAsia="en-US"/>
        </w:rPr>
        <w:t xml:space="preserve"> BH, </w:t>
      </w:r>
      <w:proofErr w:type="spellStart"/>
      <w:r w:rsidRPr="00520861">
        <w:rPr>
          <w:rFonts w:eastAsiaTheme="minorHAnsi"/>
          <w:sz w:val="28"/>
          <w:szCs w:val="28"/>
          <w:lang w:eastAsia="en-US"/>
        </w:rPr>
        <w:t>Zhu</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Xu</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Brown</w:t>
      </w:r>
      <w:proofErr w:type="spellEnd"/>
      <w:r w:rsidRPr="00520861">
        <w:rPr>
          <w:rFonts w:eastAsiaTheme="minorHAnsi"/>
          <w:sz w:val="28"/>
          <w:szCs w:val="28"/>
          <w:lang w:eastAsia="en-US"/>
        </w:rPr>
        <w:t xml:space="preserve"> SJ, </w:t>
      </w:r>
      <w:proofErr w:type="spellStart"/>
      <w:r w:rsidRPr="00520861">
        <w:rPr>
          <w:rFonts w:eastAsiaTheme="minorHAnsi"/>
          <w:sz w:val="28"/>
          <w:szCs w:val="28"/>
          <w:lang w:eastAsia="en-US"/>
        </w:rPr>
        <w:t>Mullin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Tickner</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Expression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quantitative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trait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locus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GWAS </w:t>
      </w:r>
      <w:proofErr w:type="spellStart"/>
      <w:r w:rsidRPr="00520861">
        <w:rPr>
          <w:rFonts w:eastAsiaTheme="minorHAnsi"/>
          <w:sz w:val="28"/>
          <w:szCs w:val="28"/>
          <w:lang w:eastAsia="en-US"/>
        </w:rPr>
        <w:t>variants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osteoclasts</w:t>
      </w:r>
      <w:proofErr w:type="spellEnd"/>
      <w:r w:rsidRPr="00520861">
        <w:rPr>
          <w:rFonts w:eastAsiaTheme="minorHAnsi"/>
          <w:sz w:val="28"/>
          <w:szCs w:val="28"/>
          <w:lang w:eastAsia="en-US"/>
        </w:rPr>
        <w:t>.</w:t>
      </w:r>
      <w:r w:rsidR="00DD7893" w:rsidRPr="00520861">
        <w:rPr>
          <w:rFonts w:eastAsiaTheme="minorHAnsi"/>
          <w:sz w:val="28"/>
          <w:szCs w:val="28"/>
          <w:lang w:eastAsia="en-US"/>
        </w:rPr>
        <w:br/>
      </w:r>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2018;33(6):</w:t>
      </w:r>
      <w:r w:rsidRPr="00520861">
        <w:rPr>
          <w:rFonts w:eastAsiaTheme="minorHAnsi"/>
          <w:sz w:val="28"/>
          <w:szCs w:val="28"/>
          <w:lang w:val="en-US" w:eastAsia="en-US"/>
        </w:rPr>
        <w:t xml:space="preserve"> </w:t>
      </w:r>
      <w:r w:rsidRPr="00520861">
        <w:rPr>
          <w:rFonts w:eastAsiaTheme="minorHAnsi"/>
          <w:sz w:val="28"/>
          <w:szCs w:val="28"/>
          <w:lang w:eastAsia="en-US"/>
        </w:rPr>
        <w:t xml:space="preserve">1044–1051.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10.1002/jbmr.3412.</w:t>
      </w:r>
    </w:p>
    <w:p w14:paraId="3CB3BA3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Must</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Phillips</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Tybor</w:t>
      </w:r>
      <w:proofErr w:type="spellEnd"/>
      <w:r w:rsidRPr="00520861">
        <w:rPr>
          <w:rFonts w:eastAsiaTheme="minorHAnsi"/>
          <w:sz w:val="28"/>
          <w:szCs w:val="28"/>
          <w:lang w:eastAsia="en-US"/>
        </w:rPr>
        <w:t xml:space="preserve"> DJ, </w:t>
      </w:r>
      <w:proofErr w:type="spellStart"/>
      <w:r w:rsidRPr="00520861">
        <w:rPr>
          <w:rFonts w:eastAsiaTheme="minorHAnsi"/>
          <w:sz w:val="28"/>
          <w:szCs w:val="28"/>
          <w:lang w:eastAsia="en-US"/>
        </w:rPr>
        <w:t>Lividini</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Hayes</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Obesity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Silver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Spring</w:t>
      </w:r>
      <w:proofErr w:type="spellEnd"/>
      <w:r w:rsidRPr="00520861">
        <w:rPr>
          <w:rFonts w:eastAsiaTheme="minorHAnsi"/>
          <w:i/>
          <w:sz w:val="28"/>
          <w:szCs w:val="28"/>
          <w:lang w:eastAsia="en-US"/>
        </w:rPr>
        <w:t>)</w:t>
      </w:r>
      <w:r w:rsidRPr="00520861">
        <w:rPr>
          <w:rFonts w:eastAsiaTheme="minorHAnsi"/>
          <w:sz w:val="28"/>
          <w:szCs w:val="28"/>
          <w:lang w:eastAsia="en-US"/>
        </w:rPr>
        <w:t>. 2012;20(10): 2070–</w:t>
      </w:r>
      <w:r w:rsidRPr="00520861">
        <w:rPr>
          <w:rFonts w:eastAsiaTheme="minorHAnsi"/>
          <w:sz w:val="28"/>
          <w:szCs w:val="28"/>
          <w:lang w:val="en-US" w:eastAsia="en-US"/>
        </w:rPr>
        <w:t>207</w:t>
      </w:r>
      <w:r w:rsidRPr="00520861">
        <w:rPr>
          <w:rFonts w:eastAsiaTheme="minorHAnsi"/>
          <w:sz w:val="28"/>
          <w:szCs w:val="28"/>
          <w:lang w:eastAsia="en-US"/>
        </w:rPr>
        <w:t xml:space="preserve">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10.1038/oby.2012.23</w:t>
      </w:r>
      <w:r w:rsidRPr="00520861">
        <w:rPr>
          <w:rFonts w:eastAsiaTheme="minorHAnsi"/>
          <w:sz w:val="28"/>
          <w:szCs w:val="28"/>
          <w:lang w:val="en-US" w:eastAsia="en-US"/>
        </w:rPr>
        <w:t>.</w:t>
      </w:r>
    </w:p>
    <w:p w14:paraId="55FCD7A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Najafian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Cheraghi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Occurrence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complications</w:t>
      </w:r>
      <w:proofErr w:type="spellEnd"/>
      <w:r w:rsidRPr="00520861">
        <w:rPr>
          <w:rFonts w:eastAsiaTheme="minorHAnsi"/>
          <w:sz w:val="28"/>
          <w:szCs w:val="28"/>
          <w:lang w:eastAsia="en-US"/>
        </w:rPr>
        <w:t xml:space="preserve">: a 5-year </w:t>
      </w:r>
      <w:proofErr w:type="spellStart"/>
      <w:r w:rsidRPr="00520861">
        <w:rPr>
          <w:rFonts w:eastAsiaTheme="minorHAnsi"/>
          <w:sz w:val="28"/>
          <w:szCs w:val="28"/>
          <w:lang w:eastAsia="en-US"/>
        </w:rPr>
        <w:t>cohort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ISRN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Gynecol</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2012</w:t>
      </w:r>
      <w:r w:rsidRPr="00520861">
        <w:rPr>
          <w:rFonts w:eastAsiaTheme="minorHAnsi"/>
          <w:sz w:val="28"/>
          <w:szCs w:val="28"/>
          <w:lang w:val="en-US" w:eastAsia="en-US"/>
        </w:rPr>
        <w:t xml:space="preserve"> Nov [cited 2020 Jun 26]</w:t>
      </w:r>
      <w:r w:rsidRPr="00520861">
        <w:rPr>
          <w:rFonts w:eastAsiaTheme="minorHAnsi"/>
          <w:sz w:val="28"/>
          <w:szCs w:val="28"/>
          <w:lang w:eastAsia="en-US"/>
        </w:rPr>
        <w:t>;2012:</w:t>
      </w:r>
      <w:r w:rsidRPr="00520861">
        <w:rPr>
          <w:rFonts w:eastAsiaTheme="minorHAnsi"/>
          <w:sz w:val="28"/>
          <w:szCs w:val="28"/>
          <w:lang w:val="en-US" w:eastAsia="en-US"/>
        </w:rPr>
        <w:t xml:space="preserve"> </w:t>
      </w:r>
      <w:r w:rsidRPr="00520861">
        <w:rPr>
          <w:rFonts w:eastAsiaTheme="minorHAnsi"/>
          <w:sz w:val="28"/>
          <w:szCs w:val="28"/>
          <w:lang w:eastAsia="en-US"/>
        </w:rPr>
        <w:t xml:space="preserve">353791.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10.5402/2012/353791</w:t>
      </w:r>
      <w:r w:rsidRPr="00520861">
        <w:rPr>
          <w:rFonts w:eastAsiaTheme="minorHAnsi"/>
          <w:sz w:val="28"/>
          <w:szCs w:val="28"/>
          <w:lang w:val="en-US" w:eastAsia="en-US"/>
        </w:rPr>
        <w:t>.</w:t>
      </w:r>
    </w:p>
    <w:p w14:paraId="5FE9260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Nakayama</w:t>
      </w:r>
      <w:proofErr w:type="spellEnd"/>
      <w:r w:rsidRPr="00520861">
        <w:rPr>
          <w:rFonts w:eastAsiaTheme="minorHAnsi"/>
          <w:sz w:val="28"/>
          <w:szCs w:val="28"/>
          <w:lang w:val="en-US" w:eastAsia="en-US"/>
        </w:rPr>
        <w:t xml:space="preserve"> Y</w:t>
      </w:r>
      <w:r w:rsidRPr="00520861">
        <w:rPr>
          <w:rFonts w:eastAsiaTheme="minorHAnsi"/>
          <w:sz w:val="28"/>
          <w:szCs w:val="28"/>
          <w:lang w:eastAsia="en-US"/>
        </w:rPr>
        <w:t xml:space="preserve">, </w:t>
      </w:r>
      <w:proofErr w:type="spellStart"/>
      <w:r w:rsidRPr="00520861">
        <w:rPr>
          <w:rFonts w:eastAsiaTheme="minorHAnsi"/>
          <w:sz w:val="28"/>
          <w:szCs w:val="28"/>
          <w:lang w:eastAsia="en-US"/>
        </w:rPr>
        <w:t>Mori</w:t>
      </w:r>
      <w:proofErr w:type="spellEnd"/>
      <w:r w:rsidRPr="00520861">
        <w:rPr>
          <w:rFonts w:eastAsiaTheme="minorHAnsi"/>
          <w:sz w:val="28"/>
          <w:szCs w:val="28"/>
          <w:lang w:val="en-US" w:eastAsia="en-US"/>
        </w:rPr>
        <w:t xml:space="preserve"> M.</w:t>
      </w:r>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18-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r w:rsidRPr="00520861">
        <w:rPr>
          <w:rFonts w:eastAsiaTheme="minorHAnsi"/>
          <w:sz w:val="28"/>
          <w:szCs w:val="28"/>
          <w:lang w:eastAsia="en-US"/>
        </w:rPr>
        <w:lastRenderedPageBreak/>
        <w:t xml:space="preserve">23-month-old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Japanese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city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Natl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Inst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Public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2017</w:t>
      </w:r>
      <w:r w:rsidRPr="00520861">
        <w:rPr>
          <w:rFonts w:eastAsiaTheme="minorHAnsi"/>
          <w:sz w:val="28"/>
          <w:szCs w:val="28"/>
          <w:lang w:val="en-US" w:eastAsia="en-US"/>
        </w:rPr>
        <w:t>;</w:t>
      </w:r>
      <w:r w:rsidRPr="00520861">
        <w:rPr>
          <w:rFonts w:eastAsiaTheme="minorHAnsi"/>
          <w:sz w:val="28"/>
          <w:szCs w:val="28"/>
          <w:lang w:eastAsia="en-US"/>
        </w:rPr>
        <w:t>66(5): 545–552</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10.20683/jniph.66.5_545.</w:t>
      </w:r>
    </w:p>
    <w:p w14:paraId="0E650C5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Nam</w:t>
      </w:r>
      <w:proofErr w:type="spellEnd"/>
      <w:r w:rsidRPr="00520861">
        <w:rPr>
          <w:rFonts w:eastAsiaTheme="minorHAnsi"/>
          <w:sz w:val="28"/>
          <w:szCs w:val="28"/>
          <w:lang w:eastAsia="en-US"/>
        </w:rPr>
        <w:t xml:space="preserve"> S-W, </w:t>
      </w:r>
      <w:proofErr w:type="spellStart"/>
      <w:r w:rsidRPr="00520861">
        <w:rPr>
          <w:rFonts w:eastAsiaTheme="minorHAnsi"/>
          <w:sz w:val="28"/>
          <w:szCs w:val="28"/>
          <w:lang w:eastAsia="en-US"/>
        </w:rPr>
        <w:t>Ahn</w:t>
      </w:r>
      <w:proofErr w:type="spellEnd"/>
      <w:r w:rsidRPr="00520861">
        <w:rPr>
          <w:rFonts w:eastAsiaTheme="minorHAnsi"/>
          <w:sz w:val="28"/>
          <w:szCs w:val="28"/>
          <w:lang w:eastAsia="en-US"/>
        </w:rPr>
        <w:t xml:space="preserve"> SH, </w:t>
      </w:r>
      <w:proofErr w:type="spellStart"/>
      <w:r w:rsidRPr="00520861">
        <w:rPr>
          <w:rFonts w:eastAsiaTheme="minorHAnsi"/>
          <w:sz w:val="28"/>
          <w:szCs w:val="28"/>
          <w:lang w:eastAsia="en-US"/>
        </w:rPr>
        <w:t>Shin</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Jeong</w:t>
      </w:r>
      <w:proofErr w:type="spellEnd"/>
      <w:r w:rsidRPr="00520861">
        <w:rPr>
          <w:rFonts w:eastAsiaTheme="minorHAnsi"/>
          <w:sz w:val="28"/>
          <w:szCs w:val="28"/>
          <w:lang w:eastAsia="en-US"/>
        </w:rPr>
        <w:t xml:space="preserve">  G</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Clinical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features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Bednar's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aphthae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Korean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Pediatr</w:t>
      </w:r>
      <w:proofErr w:type="spellEnd"/>
      <w:r w:rsidRPr="00520861">
        <w:rPr>
          <w:rFonts w:eastAsiaTheme="minorHAnsi"/>
          <w:sz w:val="28"/>
          <w:szCs w:val="28"/>
          <w:lang w:eastAsia="en-US"/>
        </w:rPr>
        <w:t xml:space="preserve">. 2016;59(1): 30–34.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10.3345/kjp.2016.59.1.30</w:t>
      </w:r>
      <w:r w:rsidRPr="00520861">
        <w:rPr>
          <w:rFonts w:eastAsiaTheme="minorHAnsi"/>
          <w:sz w:val="28"/>
          <w:szCs w:val="28"/>
          <w:lang w:val="en-US" w:eastAsia="en-US"/>
        </w:rPr>
        <w:t>.</w:t>
      </w:r>
    </w:p>
    <w:p w14:paraId="55978D7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Narla</w:t>
      </w:r>
      <w:proofErr w:type="spellEnd"/>
      <w:r w:rsidRPr="00520861">
        <w:rPr>
          <w:rFonts w:eastAsiaTheme="minorHAnsi"/>
          <w:sz w:val="28"/>
          <w:szCs w:val="28"/>
          <w:lang w:eastAsia="en-US"/>
        </w:rPr>
        <w:t xml:space="preserve"> RR, </w:t>
      </w:r>
      <w:proofErr w:type="spellStart"/>
      <w:r w:rsidRPr="00520861">
        <w:rPr>
          <w:rFonts w:eastAsiaTheme="minorHAnsi"/>
          <w:sz w:val="28"/>
          <w:szCs w:val="28"/>
          <w:lang w:eastAsia="en-US"/>
        </w:rPr>
        <w:t>Ott</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Bones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hormones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Kidney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International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2018</w:t>
      </w:r>
      <w:r w:rsidRPr="00520861">
        <w:rPr>
          <w:rFonts w:eastAsiaTheme="minorHAnsi"/>
          <w:sz w:val="28"/>
          <w:szCs w:val="28"/>
          <w:lang w:val="en-US" w:eastAsia="en-US"/>
        </w:rPr>
        <w:t>;</w:t>
      </w:r>
      <w:r w:rsidRPr="00520861">
        <w:rPr>
          <w:rFonts w:eastAsiaTheme="minorHAnsi"/>
          <w:sz w:val="28"/>
          <w:szCs w:val="28"/>
          <w:lang w:eastAsia="en-US"/>
        </w:rPr>
        <w:t>94</w:t>
      </w:r>
      <w:r w:rsidRPr="00520861">
        <w:rPr>
          <w:rFonts w:eastAsiaTheme="minorHAnsi"/>
          <w:sz w:val="28"/>
          <w:szCs w:val="28"/>
          <w:lang w:val="en-US" w:eastAsia="en-US"/>
        </w:rPr>
        <w:t>(</w:t>
      </w:r>
      <w:r w:rsidRPr="00520861">
        <w:rPr>
          <w:rFonts w:eastAsiaTheme="minorHAnsi"/>
          <w:sz w:val="28"/>
          <w:szCs w:val="28"/>
          <w:lang w:eastAsia="en-US"/>
        </w:rPr>
        <w:t>2</w:t>
      </w:r>
      <w:r w:rsidRPr="00520861">
        <w:rPr>
          <w:rFonts w:eastAsiaTheme="minorHAnsi"/>
          <w:sz w:val="28"/>
          <w:szCs w:val="28"/>
          <w:lang w:val="en-US" w:eastAsia="en-US"/>
        </w:rPr>
        <w:t>):</w:t>
      </w:r>
      <w:r w:rsidRPr="00520861">
        <w:rPr>
          <w:rFonts w:eastAsiaTheme="minorHAnsi"/>
          <w:sz w:val="28"/>
          <w:szCs w:val="28"/>
          <w:lang w:eastAsia="en-US"/>
        </w:rPr>
        <w:t xml:space="preserve"> 239–242.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10.1016/j.kint.2018.03.021.</w:t>
      </w:r>
    </w:p>
    <w:p w14:paraId="321A237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 xml:space="preserve">Nascimento MI, Pereira DF, </w:t>
      </w:r>
      <w:proofErr w:type="spellStart"/>
      <w:r w:rsidRPr="00520861">
        <w:rPr>
          <w:rFonts w:eastAsiaTheme="minorHAnsi"/>
          <w:sz w:val="28"/>
          <w:szCs w:val="28"/>
          <w:lang w:val="en-US" w:eastAsia="en-US"/>
        </w:rPr>
        <w:t>Lopata</w:t>
      </w:r>
      <w:proofErr w:type="spellEnd"/>
      <w:r w:rsidRPr="00520861">
        <w:rPr>
          <w:rFonts w:eastAsiaTheme="minorHAnsi"/>
          <w:sz w:val="28"/>
          <w:szCs w:val="28"/>
          <w:lang w:val="en-US" w:eastAsia="en-US"/>
        </w:rPr>
        <w:t xml:space="preserve"> C, Oliveira CLF, Moura AA, Mattos MJS, et al. Trends in the Prevalence of Live </w:t>
      </w:r>
      <w:proofErr w:type="spellStart"/>
      <w:r w:rsidRPr="00520861">
        <w:rPr>
          <w:rFonts w:eastAsiaTheme="minorHAnsi"/>
          <w:sz w:val="28"/>
          <w:szCs w:val="28"/>
          <w:lang w:val="en-US" w:eastAsia="en-US"/>
        </w:rPr>
        <w:t>Macrosomic</w:t>
      </w:r>
      <w:proofErr w:type="spellEnd"/>
      <w:r w:rsidRPr="00520861">
        <w:rPr>
          <w:rFonts w:eastAsiaTheme="minorHAnsi"/>
          <w:sz w:val="28"/>
          <w:szCs w:val="28"/>
          <w:lang w:val="en-US" w:eastAsia="en-US"/>
        </w:rPr>
        <w:t xml:space="preserve"> Newborns According to Gestational Age Strata, in Brazil, 2001-2010, and 2012-2014. </w:t>
      </w:r>
      <w:r w:rsidRPr="00520861">
        <w:rPr>
          <w:rFonts w:eastAsiaTheme="minorHAnsi"/>
          <w:i/>
          <w:sz w:val="28"/>
          <w:szCs w:val="28"/>
          <w:lang w:val="en-US" w:eastAsia="en-US"/>
        </w:rPr>
        <w:t xml:space="preserve">Rev Bras </w:t>
      </w:r>
      <w:proofErr w:type="spellStart"/>
      <w:r w:rsidRPr="00520861">
        <w:rPr>
          <w:rFonts w:eastAsiaTheme="minorHAnsi"/>
          <w:i/>
          <w:sz w:val="28"/>
          <w:szCs w:val="28"/>
          <w:lang w:val="en-US" w:eastAsia="en-US"/>
        </w:rPr>
        <w:t>Ginecol</w:t>
      </w:r>
      <w:proofErr w:type="spellEnd"/>
      <w:r w:rsidRPr="00520861">
        <w:rPr>
          <w:rFonts w:eastAsiaTheme="minorHAnsi"/>
          <w:i/>
          <w:sz w:val="28"/>
          <w:szCs w:val="28"/>
          <w:lang w:val="en-US" w:eastAsia="en-US"/>
        </w:rPr>
        <w:t xml:space="preserve"> Obstet.</w:t>
      </w:r>
      <w:r w:rsidR="00DD7893" w:rsidRPr="00520861">
        <w:rPr>
          <w:rFonts w:eastAsiaTheme="minorHAnsi"/>
          <w:sz w:val="28"/>
          <w:szCs w:val="28"/>
          <w:lang w:val="en-US" w:eastAsia="en-US"/>
        </w:rPr>
        <w:t xml:space="preserve"> </w:t>
      </w:r>
      <w:r w:rsidRPr="00520861">
        <w:rPr>
          <w:rFonts w:eastAsiaTheme="minorHAnsi"/>
          <w:sz w:val="28"/>
          <w:szCs w:val="28"/>
          <w:lang w:val="en-US" w:eastAsia="en-US"/>
        </w:rPr>
        <w:t>[Internet]. 2017 Aug [cited 2020 Aug 04];39(8): 376–383. Available from: DOI: 10.1055/s-0037-1604266.</w:t>
      </w:r>
    </w:p>
    <w:p w14:paraId="2FCF1F9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Nebgen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Kasper</w:t>
      </w:r>
      <w:proofErr w:type="spellEnd"/>
      <w:r w:rsidRPr="00520861">
        <w:rPr>
          <w:rFonts w:eastAsiaTheme="minorHAnsi"/>
          <w:sz w:val="28"/>
          <w:szCs w:val="28"/>
          <w:lang w:eastAsia="en-US"/>
        </w:rPr>
        <w:t xml:space="preserve"> HU, </w:t>
      </w:r>
      <w:proofErr w:type="spellStart"/>
      <w:r w:rsidRPr="00520861">
        <w:rPr>
          <w:rFonts w:eastAsiaTheme="minorHAnsi"/>
          <w:sz w:val="28"/>
          <w:szCs w:val="28"/>
          <w:lang w:eastAsia="en-US"/>
        </w:rPr>
        <w:t>Schäfer</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Christ</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Roth</w:t>
      </w:r>
      <w:proofErr w:type="spellEnd"/>
      <w:r w:rsidRPr="00520861">
        <w:rPr>
          <w:rFonts w:eastAsiaTheme="minorHAnsi"/>
          <w:sz w:val="28"/>
          <w:szCs w:val="28"/>
          <w:lang w:eastAsia="en-US"/>
        </w:rPr>
        <w:t xml:space="preserve"> B</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Bednar's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aphthae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incidence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Neonatology</w:t>
      </w:r>
      <w:proofErr w:type="spellEnd"/>
      <w:r w:rsidRPr="00520861">
        <w:rPr>
          <w:rFonts w:eastAsiaTheme="minorHAnsi"/>
          <w:sz w:val="28"/>
          <w:szCs w:val="28"/>
          <w:lang w:eastAsia="en-US"/>
        </w:rPr>
        <w:t>. 2010;98(2):</w:t>
      </w:r>
      <w:r w:rsidRPr="00520861">
        <w:rPr>
          <w:rFonts w:eastAsiaTheme="minorHAnsi"/>
          <w:sz w:val="28"/>
          <w:szCs w:val="28"/>
          <w:lang w:val="en-US" w:eastAsia="en-US"/>
        </w:rPr>
        <w:t xml:space="preserve"> </w:t>
      </w:r>
      <w:r w:rsidRPr="00520861">
        <w:rPr>
          <w:rFonts w:eastAsiaTheme="minorHAnsi"/>
          <w:sz w:val="28"/>
          <w:szCs w:val="28"/>
          <w:lang w:eastAsia="en-US"/>
        </w:rPr>
        <w:t>208–</w:t>
      </w:r>
      <w:r w:rsidRPr="00520861">
        <w:rPr>
          <w:rFonts w:eastAsiaTheme="minorHAnsi"/>
          <w:sz w:val="28"/>
          <w:szCs w:val="28"/>
          <w:lang w:val="en-US" w:eastAsia="en-US"/>
        </w:rPr>
        <w:t>2</w:t>
      </w:r>
      <w:r w:rsidRPr="00520861">
        <w:rPr>
          <w:rFonts w:eastAsiaTheme="minorHAnsi"/>
          <w:sz w:val="28"/>
          <w:szCs w:val="28"/>
          <w:lang w:eastAsia="en-US"/>
        </w:rPr>
        <w:t xml:space="preserve">11. </w:t>
      </w:r>
    </w:p>
    <w:p w14:paraId="37FAABE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Neville</w:t>
      </w:r>
      <w:proofErr w:type="spellEnd"/>
      <w:r w:rsidRPr="00520861">
        <w:rPr>
          <w:rFonts w:eastAsiaTheme="minorHAnsi"/>
          <w:sz w:val="28"/>
          <w:szCs w:val="28"/>
          <w:lang w:eastAsia="en-US"/>
        </w:rPr>
        <w:t xml:space="preserve"> BW, </w:t>
      </w:r>
      <w:proofErr w:type="spellStart"/>
      <w:r w:rsidRPr="00520861">
        <w:rPr>
          <w:rFonts w:eastAsiaTheme="minorHAnsi"/>
          <w:sz w:val="28"/>
          <w:szCs w:val="28"/>
          <w:lang w:eastAsia="en-US"/>
        </w:rPr>
        <w:t>Damm</w:t>
      </w:r>
      <w:proofErr w:type="spellEnd"/>
      <w:r w:rsidRPr="00520861">
        <w:rPr>
          <w:rFonts w:eastAsiaTheme="minorHAnsi"/>
          <w:sz w:val="28"/>
          <w:szCs w:val="28"/>
          <w:lang w:eastAsia="en-US"/>
        </w:rPr>
        <w:t xml:space="preserve"> DD, </w:t>
      </w:r>
      <w:proofErr w:type="spellStart"/>
      <w:r w:rsidRPr="00520861">
        <w:rPr>
          <w:rFonts w:eastAsiaTheme="minorHAnsi"/>
          <w:sz w:val="28"/>
          <w:szCs w:val="28"/>
          <w:lang w:eastAsia="en-US"/>
        </w:rPr>
        <w:t>Allen</w:t>
      </w:r>
      <w:proofErr w:type="spellEnd"/>
      <w:r w:rsidRPr="00520861">
        <w:rPr>
          <w:rFonts w:eastAsiaTheme="minorHAnsi"/>
          <w:sz w:val="28"/>
          <w:szCs w:val="28"/>
          <w:lang w:eastAsia="en-US"/>
        </w:rPr>
        <w:t xml:space="preserve"> CM, </w:t>
      </w:r>
      <w:proofErr w:type="spellStart"/>
      <w:r w:rsidRPr="00520861">
        <w:rPr>
          <w:rFonts w:eastAsiaTheme="minorHAnsi"/>
          <w:sz w:val="28"/>
          <w:szCs w:val="28"/>
          <w:lang w:eastAsia="en-US"/>
        </w:rPr>
        <w:t>Bouquot</w:t>
      </w:r>
      <w:proofErr w:type="spellEnd"/>
      <w:r w:rsidRPr="00520861">
        <w:rPr>
          <w:rFonts w:eastAsiaTheme="minorHAnsi"/>
          <w:sz w:val="28"/>
          <w:szCs w:val="28"/>
          <w:lang w:val="en-US" w:eastAsia="en-US"/>
        </w:rPr>
        <w:t xml:space="preserve"> J</w:t>
      </w:r>
      <w:r w:rsidRPr="00520861">
        <w:rPr>
          <w:rFonts w:eastAsiaTheme="minorHAns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maxillofacial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pathology</w:t>
      </w:r>
      <w:proofErr w:type="spellEnd"/>
      <w:r w:rsidRPr="00520861">
        <w:rPr>
          <w:rFonts w:eastAsiaTheme="minorHAnsi"/>
          <w:sz w:val="28"/>
          <w:szCs w:val="28"/>
          <w:lang w:eastAsia="en-US"/>
        </w:rPr>
        <w:t xml:space="preserve">. 3rd </w:t>
      </w:r>
      <w:proofErr w:type="spellStart"/>
      <w:r w:rsidRPr="00520861">
        <w:rPr>
          <w:rFonts w:eastAsiaTheme="minorHAnsi"/>
          <w:sz w:val="28"/>
          <w:szCs w:val="28"/>
          <w:lang w:eastAsia="en-US"/>
        </w:rPr>
        <w:t>ed</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Louis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Missouri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Saunders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2009.</w:t>
      </w:r>
      <w:r w:rsidRPr="00520861">
        <w:rPr>
          <w:rFonts w:eastAsiaTheme="minorHAnsi"/>
          <w:sz w:val="28"/>
          <w:szCs w:val="28"/>
          <w:lang w:val="en-US" w:eastAsia="en-US"/>
        </w:rPr>
        <w:t xml:space="preserve"> 984 p.</w:t>
      </w:r>
    </w:p>
    <w:p w14:paraId="26A1BFE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Nicot</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Vieira</w:t>
      </w:r>
      <w:proofErr w:type="spellEnd"/>
      <w:r w:rsidRPr="00520861">
        <w:rPr>
          <w:rFonts w:eastAsiaTheme="minorHAnsi"/>
          <w:sz w:val="28"/>
          <w:szCs w:val="28"/>
          <w:lang w:eastAsia="en-US"/>
        </w:rPr>
        <w:t xml:space="preserve"> AR, </w:t>
      </w:r>
      <w:proofErr w:type="spellStart"/>
      <w:r w:rsidRPr="00520861">
        <w:rPr>
          <w:rFonts w:eastAsiaTheme="minorHAnsi"/>
          <w:sz w:val="28"/>
          <w:szCs w:val="28"/>
          <w:lang w:eastAsia="en-US"/>
        </w:rPr>
        <w:t>Raoul</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Delmotte</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Duhamel</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Ferri</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 xml:space="preserve"> </w:t>
      </w:r>
      <w:r w:rsidRPr="00520861">
        <w:rPr>
          <w:rFonts w:eastAsiaTheme="minorHAnsi"/>
          <w:sz w:val="28"/>
          <w:szCs w:val="28"/>
          <w:lang w:eastAsia="en-US"/>
        </w:rPr>
        <w:t>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ENPP1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ESR1 </w:t>
      </w:r>
      <w:proofErr w:type="spellStart"/>
      <w:r w:rsidRPr="00520861">
        <w:rPr>
          <w:rFonts w:eastAsiaTheme="minorHAnsi"/>
          <w:sz w:val="28"/>
          <w:szCs w:val="28"/>
          <w:lang w:eastAsia="en-US"/>
        </w:rPr>
        <w:t>genotypes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temporomandibular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disorders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surgical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response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dentofacial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deformities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Craniomaxillofac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Surg</w:t>
      </w:r>
      <w:proofErr w:type="spellEnd"/>
      <w:r w:rsidRPr="00520861">
        <w:rPr>
          <w:rFonts w:eastAsiaTheme="minorHAnsi"/>
          <w:sz w:val="28"/>
          <w:szCs w:val="28"/>
          <w:lang w:eastAsia="en-US"/>
        </w:rPr>
        <w:t>. 2016;44(9):</w:t>
      </w:r>
      <w:r w:rsidRPr="00520861">
        <w:rPr>
          <w:rFonts w:eastAsiaTheme="minorHAnsi"/>
          <w:sz w:val="28"/>
          <w:szCs w:val="28"/>
          <w:lang w:val="en-US" w:eastAsia="en-US"/>
        </w:rPr>
        <w:t xml:space="preserve"> </w:t>
      </w:r>
      <w:r w:rsidRPr="00520861">
        <w:rPr>
          <w:rFonts w:eastAsiaTheme="minorHAnsi"/>
          <w:sz w:val="28"/>
          <w:szCs w:val="28"/>
          <w:lang w:eastAsia="en-US"/>
        </w:rPr>
        <w:t xml:space="preserve">1226–1237.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10.1016/j.jcms.2016.07.010.</w:t>
      </w:r>
    </w:p>
    <w:p w14:paraId="264B7B2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Nirunsittirat</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Pitiphat</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McKinney</w:t>
      </w:r>
      <w:proofErr w:type="spellEnd"/>
      <w:r w:rsidRPr="00520861">
        <w:rPr>
          <w:rFonts w:eastAsiaTheme="minorHAnsi"/>
          <w:sz w:val="28"/>
          <w:szCs w:val="28"/>
          <w:lang w:eastAsia="en-US"/>
        </w:rPr>
        <w:t xml:space="preserve"> CM, </w:t>
      </w:r>
      <w:proofErr w:type="spellStart"/>
      <w:r w:rsidRPr="00520861">
        <w:rPr>
          <w:rFonts w:eastAsiaTheme="minorHAnsi"/>
          <w:sz w:val="28"/>
          <w:szCs w:val="28"/>
          <w:lang w:eastAsia="en-US"/>
        </w:rPr>
        <w:t>DeRouen</w:t>
      </w:r>
      <w:proofErr w:type="spellEnd"/>
      <w:r w:rsidRPr="00520861">
        <w:rPr>
          <w:rFonts w:eastAsiaTheme="minorHAnsi"/>
          <w:sz w:val="28"/>
          <w:szCs w:val="28"/>
          <w:lang w:eastAsia="en-US"/>
        </w:rPr>
        <w:t xml:space="preserve"> TA, </w:t>
      </w:r>
      <w:proofErr w:type="spellStart"/>
      <w:r w:rsidRPr="00520861">
        <w:rPr>
          <w:rFonts w:eastAsiaTheme="minorHAnsi"/>
          <w:sz w:val="28"/>
          <w:szCs w:val="28"/>
          <w:lang w:eastAsia="en-US"/>
        </w:rPr>
        <w:t>Chansamak</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Angwaravong</w:t>
      </w:r>
      <w:proofErr w:type="spellEnd"/>
      <w:r w:rsidRPr="00520861">
        <w:rPr>
          <w:rFonts w:eastAsiaTheme="minorHAnsi"/>
          <w:sz w:val="28"/>
          <w:szCs w:val="28"/>
          <w:lang w:eastAsia="en-US"/>
        </w:rPr>
        <w:t xml:space="preserve"> O,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Adverse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cohort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val="en-US" w:eastAsia="en-US"/>
        </w:rPr>
        <w:t xml:space="preserve">. </w:t>
      </w:r>
      <w:proofErr w:type="spellStart"/>
      <w:r w:rsidRPr="00520861">
        <w:rPr>
          <w:rFonts w:eastAsiaTheme="minorHAnsi"/>
          <w:i/>
          <w:sz w:val="28"/>
          <w:szCs w:val="28"/>
          <w:lang w:eastAsia="en-US"/>
        </w:rPr>
        <w:t>Community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Epidemiol</w:t>
      </w:r>
      <w:proofErr w:type="spellEnd"/>
      <w:r w:rsidRPr="00520861">
        <w:rPr>
          <w:rFonts w:eastAsiaTheme="minorHAnsi"/>
          <w:sz w:val="28"/>
          <w:szCs w:val="28"/>
          <w:lang w:eastAsia="en-US"/>
        </w:rPr>
        <w:t>. 2016;44(3): 239–</w:t>
      </w:r>
      <w:r w:rsidRPr="00520861">
        <w:rPr>
          <w:rFonts w:eastAsiaTheme="minorHAnsi"/>
          <w:sz w:val="28"/>
          <w:szCs w:val="28"/>
          <w:lang w:val="en-US" w:eastAsia="en-US"/>
        </w:rPr>
        <w:t>2</w:t>
      </w:r>
      <w:r w:rsidRPr="00520861">
        <w:rPr>
          <w:rFonts w:eastAsiaTheme="minorHAnsi"/>
          <w:sz w:val="28"/>
          <w:szCs w:val="28"/>
          <w:lang w:eastAsia="en-US"/>
        </w:rPr>
        <w:t xml:space="preserve">47.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10.1111/cdoe.12211</w:t>
      </w:r>
      <w:r w:rsidRPr="00520861">
        <w:rPr>
          <w:rFonts w:eastAsiaTheme="minorHAnsi"/>
          <w:sz w:val="28"/>
          <w:szCs w:val="28"/>
          <w:lang w:val="en-US" w:eastAsia="en-US"/>
        </w:rPr>
        <w:t>.</w:t>
      </w:r>
    </w:p>
    <w:p w14:paraId="38C03B2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Nkwabong</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complications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Trop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Doct</w:t>
      </w:r>
      <w:proofErr w:type="spellEnd"/>
      <w:r w:rsidRPr="00520861">
        <w:rPr>
          <w:rFonts w:eastAsiaTheme="minorHAnsi"/>
          <w:sz w:val="28"/>
          <w:szCs w:val="28"/>
          <w:lang w:eastAsia="en-US"/>
        </w:rPr>
        <w:t>. 2014;44(4):</w:t>
      </w:r>
      <w:r w:rsidRPr="00520861">
        <w:rPr>
          <w:rFonts w:eastAsiaTheme="minorHAnsi"/>
          <w:sz w:val="28"/>
          <w:szCs w:val="28"/>
          <w:lang w:val="en-US" w:eastAsia="en-US"/>
        </w:rPr>
        <w:t xml:space="preserve"> </w:t>
      </w:r>
      <w:r w:rsidRPr="00520861">
        <w:rPr>
          <w:rFonts w:eastAsiaTheme="minorHAnsi"/>
          <w:sz w:val="28"/>
          <w:szCs w:val="28"/>
          <w:lang w:eastAsia="en-US"/>
        </w:rPr>
        <w:t xml:space="preserve">201–204.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10.1177/0049475514539479</w:t>
      </w:r>
      <w:r w:rsidRPr="00520861">
        <w:rPr>
          <w:rFonts w:eastAsiaTheme="minorHAnsi"/>
          <w:sz w:val="28"/>
          <w:szCs w:val="28"/>
          <w:lang w:val="en-US" w:eastAsia="en-US"/>
        </w:rPr>
        <w:t>.</w:t>
      </w:r>
    </w:p>
    <w:p w14:paraId="41AABCB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Nomura</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Shimada</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Hanada</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Numabe</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Kamoi</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Sato</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biomarkers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predicting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progression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Arch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Biol</w:t>
      </w:r>
      <w:proofErr w:type="spellEnd"/>
      <w:r w:rsidRPr="00520861">
        <w:rPr>
          <w:rFonts w:eastAsiaTheme="minorHAnsi"/>
          <w:sz w:val="28"/>
          <w:szCs w:val="28"/>
          <w:lang w:eastAsia="en-US"/>
        </w:rPr>
        <w:t>. 2012;57(4):</w:t>
      </w:r>
      <w:r w:rsidRPr="00520861">
        <w:rPr>
          <w:rFonts w:eastAsiaTheme="minorHAnsi"/>
          <w:sz w:val="28"/>
          <w:szCs w:val="28"/>
          <w:lang w:val="en-US" w:eastAsia="en-US"/>
        </w:rPr>
        <w:t xml:space="preserve"> </w:t>
      </w:r>
      <w:r w:rsidRPr="00520861">
        <w:rPr>
          <w:rFonts w:eastAsiaTheme="minorHAnsi"/>
          <w:sz w:val="28"/>
          <w:szCs w:val="28"/>
          <w:lang w:eastAsia="en-US"/>
        </w:rPr>
        <w:t>413–</w:t>
      </w:r>
      <w:r w:rsidRPr="00520861">
        <w:rPr>
          <w:rFonts w:eastAsiaTheme="minorHAnsi"/>
          <w:sz w:val="28"/>
          <w:szCs w:val="28"/>
          <w:lang w:val="en-US" w:eastAsia="en-US"/>
        </w:rPr>
        <w:t>4</w:t>
      </w:r>
      <w:r w:rsidRPr="00520861">
        <w:rPr>
          <w:rFonts w:eastAsiaTheme="minorHAnsi"/>
          <w:sz w:val="28"/>
          <w:szCs w:val="28"/>
          <w:lang w:eastAsia="en-US"/>
        </w:rPr>
        <w:t>20.</w:t>
      </w:r>
    </w:p>
    <w:p w14:paraId="4E164EA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Nouveau</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questionnaire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médicodentaire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confidentiel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i/>
          <w:sz w:val="28"/>
          <w:szCs w:val="28"/>
          <w:lang w:val="en-US" w:eastAsia="en-US"/>
        </w:rPr>
        <w:t>J</w:t>
      </w:r>
      <w:proofErr w:type="spellStart"/>
      <w:r w:rsidRPr="00520861">
        <w:rPr>
          <w:rFonts w:eastAsiaTheme="minorHAnsi"/>
          <w:i/>
          <w:sz w:val="28"/>
          <w:szCs w:val="28"/>
          <w:lang w:eastAsia="en-US"/>
        </w:rPr>
        <w:t>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w:t>
      </w:r>
      <w:proofErr w:type="spellEnd"/>
      <w:r w:rsidRPr="00520861">
        <w:rPr>
          <w:rFonts w:eastAsiaTheme="minorHAnsi"/>
          <w:i/>
          <w:sz w:val="28"/>
          <w:szCs w:val="28"/>
          <w:lang w:eastAsia="en-US"/>
        </w:rPr>
        <w:t xml:space="preserve"> l’</w:t>
      </w:r>
      <w:r w:rsidRPr="00520861">
        <w:rPr>
          <w:rFonts w:eastAsiaTheme="minorHAnsi"/>
          <w:i/>
          <w:sz w:val="28"/>
          <w:szCs w:val="28"/>
          <w:lang w:val="en-US" w:eastAsia="en-US"/>
        </w:rPr>
        <w:t>O</w:t>
      </w:r>
      <w:proofErr w:type="spellStart"/>
      <w:r w:rsidRPr="00520861">
        <w:rPr>
          <w:rFonts w:eastAsiaTheme="minorHAnsi"/>
          <w:i/>
          <w:sz w:val="28"/>
          <w:szCs w:val="28"/>
          <w:lang w:eastAsia="en-US"/>
        </w:rPr>
        <w:t>rdre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des</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D</w:t>
      </w:r>
      <w:proofErr w:type="spellStart"/>
      <w:r w:rsidRPr="00520861">
        <w:rPr>
          <w:rFonts w:eastAsiaTheme="minorHAnsi"/>
          <w:i/>
          <w:sz w:val="28"/>
          <w:szCs w:val="28"/>
          <w:lang w:eastAsia="en-US"/>
        </w:rPr>
        <w:t>entistes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du</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Q</w:t>
      </w:r>
      <w:proofErr w:type="spellStart"/>
      <w:r w:rsidRPr="00520861">
        <w:rPr>
          <w:rFonts w:eastAsiaTheme="minorHAnsi"/>
          <w:i/>
          <w:sz w:val="28"/>
          <w:szCs w:val="28"/>
          <w:lang w:eastAsia="en-US"/>
        </w:rPr>
        <w:t>uébec</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2015</w:t>
      </w:r>
      <w:r w:rsidRPr="00520861">
        <w:rPr>
          <w:rFonts w:eastAsiaTheme="minorHAnsi"/>
          <w:sz w:val="28"/>
          <w:szCs w:val="28"/>
          <w:lang w:val="en-US" w:eastAsia="en-US"/>
        </w:rPr>
        <w:t>;</w:t>
      </w:r>
      <w:r w:rsidRPr="00520861">
        <w:rPr>
          <w:rFonts w:eastAsiaTheme="minorHAnsi"/>
          <w:sz w:val="28"/>
          <w:szCs w:val="28"/>
          <w:lang w:eastAsia="en-US"/>
        </w:rPr>
        <w:t>52</w:t>
      </w:r>
      <w:r w:rsidRPr="00520861">
        <w:rPr>
          <w:rFonts w:eastAsiaTheme="minorHAnsi"/>
          <w:sz w:val="28"/>
          <w:szCs w:val="28"/>
          <w:lang w:val="en-US" w:eastAsia="en-US"/>
        </w:rPr>
        <w:t>(</w:t>
      </w:r>
      <w:r w:rsidRPr="00520861">
        <w:rPr>
          <w:rFonts w:eastAsiaTheme="minorHAnsi"/>
          <w:sz w:val="28"/>
          <w:szCs w:val="28"/>
          <w:lang w:eastAsia="en-US"/>
        </w:rPr>
        <w:t>3</w:t>
      </w:r>
      <w:r w:rsidRPr="00520861">
        <w:rPr>
          <w:rFonts w:eastAsiaTheme="minorHAnsi"/>
          <w:sz w:val="28"/>
          <w:szCs w:val="28"/>
          <w:lang w:val="en-US" w:eastAsia="en-US"/>
        </w:rPr>
        <w:t>):</w:t>
      </w:r>
      <w:r w:rsidRPr="00520861">
        <w:rPr>
          <w:rFonts w:eastAsiaTheme="minorHAnsi"/>
          <w:sz w:val="28"/>
          <w:szCs w:val="28"/>
          <w:lang w:eastAsia="en-US"/>
        </w:rPr>
        <w:t xml:space="preserve"> 24–26.</w:t>
      </w:r>
    </w:p>
    <w:p w14:paraId="48D47A3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Novotna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Podzimek</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Broukal</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Lencova</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Duskova</w:t>
      </w:r>
      <w:proofErr w:type="spellEnd"/>
      <w:r w:rsidRPr="00520861">
        <w:rPr>
          <w:rFonts w:eastAsiaTheme="minorHAnsi"/>
          <w:sz w:val="28"/>
          <w:szCs w:val="28"/>
          <w:lang w:eastAsia="en-US"/>
        </w:rPr>
        <w:t xml:space="preserve"> 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type</w:t>
      </w:r>
      <w:proofErr w:type="spellEnd"/>
      <w:r w:rsidRPr="00520861">
        <w:rPr>
          <w:rFonts w:eastAsiaTheme="minorHAnsi"/>
          <w:sz w:val="28"/>
          <w:szCs w:val="28"/>
          <w:lang w:eastAsia="en-US"/>
        </w:rPr>
        <w:t xml:space="preserve"> 1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mellitus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Mediators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Inflamm</w:t>
      </w:r>
      <w:proofErr w:type="spellEnd"/>
      <w:r w:rsidRPr="00520861">
        <w:rPr>
          <w:rFonts w:eastAsiaTheme="minorHAnsi"/>
          <w:sz w:val="28"/>
          <w:szCs w:val="28"/>
          <w:lang w:val="ru-RU" w:eastAsia="en-US"/>
        </w:rPr>
        <w:t xml:space="preserve"> [Internet]</w:t>
      </w:r>
      <w:r w:rsidRPr="00520861">
        <w:rPr>
          <w:rFonts w:eastAsiaTheme="minorHAnsi"/>
          <w:sz w:val="28"/>
          <w:szCs w:val="28"/>
          <w:lang w:eastAsia="en-US"/>
        </w:rPr>
        <w:t>. 2015</w:t>
      </w:r>
      <w:r w:rsidRPr="00520861">
        <w:rPr>
          <w:rFonts w:eastAsiaTheme="minorHAnsi"/>
          <w:sz w:val="28"/>
          <w:szCs w:val="28"/>
          <w:lang w:val="en-US" w:eastAsia="en-US"/>
        </w:rPr>
        <w:t xml:space="preserve"> </w:t>
      </w:r>
      <w:proofErr w:type="spellStart"/>
      <w:r w:rsidRPr="00520861">
        <w:rPr>
          <w:rFonts w:eastAsiaTheme="minorHAnsi"/>
          <w:sz w:val="28"/>
          <w:szCs w:val="28"/>
          <w:lang w:val="ru-RU" w:eastAsia="en-US"/>
        </w:rPr>
        <w:t>Aug</w:t>
      </w:r>
      <w:proofErr w:type="spellEnd"/>
      <w:r w:rsidRPr="00520861">
        <w:rPr>
          <w:rFonts w:eastAsiaTheme="minorHAnsi"/>
          <w:sz w:val="28"/>
          <w:szCs w:val="28"/>
          <w:lang w:val="ru-RU" w:eastAsia="en-US"/>
        </w:rPr>
        <w:t xml:space="preserve"> </w:t>
      </w:r>
      <w:r w:rsidRPr="00520861">
        <w:rPr>
          <w:rFonts w:eastAsiaTheme="minorHAnsi"/>
          <w:sz w:val="28"/>
          <w:szCs w:val="28"/>
          <w:lang w:val="en-US" w:eastAsia="en-US"/>
        </w:rPr>
        <w:t>[cited 2020 Mar 25]</w:t>
      </w:r>
      <w:r w:rsidRPr="00520861">
        <w:rPr>
          <w:rFonts w:eastAsiaTheme="minorHAnsi"/>
          <w:sz w:val="28"/>
          <w:szCs w:val="28"/>
          <w:lang w:eastAsia="en-US"/>
        </w:rPr>
        <w:t>;(</w:t>
      </w:r>
      <w:r w:rsidRPr="00520861">
        <w:rPr>
          <w:rFonts w:eastAsiaTheme="minorHAnsi"/>
          <w:sz w:val="28"/>
          <w:szCs w:val="28"/>
          <w:lang w:val="en-US" w:eastAsia="en-US"/>
        </w:rPr>
        <w:t>2015</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 xml:space="preserve">379626.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10.1155/2015/379626</w:t>
      </w:r>
      <w:r w:rsidRPr="00520861">
        <w:rPr>
          <w:rFonts w:eastAsiaTheme="minorHAnsi"/>
          <w:sz w:val="28"/>
          <w:szCs w:val="28"/>
          <w:lang w:val="en-US" w:eastAsia="en-US"/>
        </w:rPr>
        <w:t>.</w:t>
      </w:r>
    </w:p>
    <w:p w14:paraId="1A6275F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Ntani</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Day</w:t>
      </w:r>
      <w:proofErr w:type="spellEnd"/>
      <w:r w:rsidRPr="00520861">
        <w:rPr>
          <w:rFonts w:eastAsiaTheme="minorHAnsi"/>
          <w:sz w:val="28"/>
          <w:szCs w:val="28"/>
          <w:lang w:eastAsia="en-US"/>
        </w:rPr>
        <w:t xml:space="preserve"> PF, </w:t>
      </w:r>
      <w:proofErr w:type="spellStart"/>
      <w:r w:rsidRPr="00520861">
        <w:rPr>
          <w:rFonts w:eastAsiaTheme="minorHAnsi"/>
          <w:sz w:val="28"/>
          <w:szCs w:val="28"/>
          <w:lang w:eastAsia="en-US"/>
        </w:rPr>
        <w:t>Baird</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Godfrey</w:t>
      </w:r>
      <w:proofErr w:type="spellEnd"/>
      <w:r w:rsidRPr="00520861">
        <w:rPr>
          <w:rFonts w:eastAsiaTheme="minorHAnsi"/>
          <w:sz w:val="28"/>
          <w:szCs w:val="28"/>
          <w:lang w:eastAsia="en-US"/>
        </w:rPr>
        <w:t xml:space="preserve"> KM,  </w:t>
      </w:r>
      <w:proofErr w:type="spellStart"/>
      <w:r w:rsidRPr="00520861">
        <w:rPr>
          <w:rFonts w:eastAsiaTheme="minorHAnsi"/>
          <w:sz w:val="28"/>
          <w:szCs w:val="28"/>
          <w:lang w:eastAsia="en-US"/>
        </w:rPr>
        <w:t>Robinson</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Cooper</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life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emergence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patterns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number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teeth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1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2 </w:t>
      </w:r>
      <w:proofErr w:type="spellStart"/>
      <w:r w:rsidRPr="00520861">
        <w:rPr>
          <w:rFonts w:eastAsiaTheme="minorHAnsi"/>
          <w:sz w:val="28"/>
          <w:szCs w:val="28"/>
          <w:lang w:eastAsia="en-US"/>
        </w:rPr>
        <w:t>years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Dev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Orig</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Dis</w:t>
      </w:r>
      <w:proofErr w:type="spellEnd"/>
      <w:r w:rsidRPr="00520861">
        <w:rPr>
          <w:rFonts w:eastAsiaTheme="minorHAnsi"/>
          <w:sz w:val="28"/>
          <w:szCs w:val="28"/>
          <w:lang w:eastAsia="en-US"/>
        </w:rPr>
        <w:t>. 2015;6(4):</w:t>
      </w:r>
      <w:r w:rsidRPr="00520861">
        <w:rPr>
          <w:rFonts w:eastAsiaTheme="minorHAnsi"/>
          <w:sz w:val="28"/>
          <w:szCs w:val="28"/>
          <w:lang w:val="en-US" w:eastAsia="en-US"/>
        </w:rPr>
        <w:t xml:space="preserve"> </w:t>
      </w:r>
      <w:r w:rsidRPr="00520861">
        <w:rPr>
          <w:rFonts w:eastAsiaTheme="minorHAnsi"/>
          <w:sz w:val="28"/>
          <w:szCs w:val="28"/>
          <w:lang w:eastAsia="en-US"/>
        </w:rPr>
        <w:t xml:space="preserve">299–307.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10.1017/S2040174415001130</w:t>
      </w:r>
      <w:r w:rsidRPr="00520861">
        <w:rPr>
          <w:rFonts w:eastAsiaTheme="minorHAnsi"/>
          <w:sz w:val="28"/>
          <w:szCs w:val="28"/>
          <w:lang w:val="en-US" w:eastAsia="en-US"/>
        </w:rPr>
        <w:t>.</w:t>
      </w:r>
    </w:p>
    <w:p w14:paraId="4E55401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Ognjanovic</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Carozza</w:t>
      </w:r>
      <w:proofErr w:type="spellEnd"/>
      <w:r w:rsidRPr="00520861">
        <w:rPr>
          <w:rFonts w:eastAsiaTheme="minorHAnsi"/>
          <w:sz w:val="28"/>
          <w:szCs w:val="28"/>
          <w:lang w:eastAsia="en-US"/>
        </w:rPr>
        <w:t xml:space="preserve"> SE, </w:t>
      </w:r>
      <w:proofErr w:type="spellStart"/>
      <w:r w:rsidRPr="00520861">
        <w:rPr>
          <w:rFonts w:eastAsiaTheme="minorHAnsi"/>
          <w:sz w:val="28"/>
          <w:szCs w:val="28"/>
          <w:lang w:eastAsia="en-US"/>
        </w:rPr>
        <w:t>Chow</w:t>
      </w:r>
      <w:proofErr w:type="spellEnd"/>
      <w:r w:rsidRPr="00520861">
        <w:rPr>
          <w:rFonts w:eastAsiaTheme="minorHAnsi"/>
          <w:sz w:val="28"/>
          <w:szCs w:val="28"/>
          <w:lang w:eastAsia="en-US"/>
        </w:rPr>
        <w:t xml:space="preserve"> EJ, </w:t>
      </w:r>
      <w:proofErr w:type="spellStart"/>
      <w:r w:rsidRPr="00520861">
        <w:rPr>
          <w:rFonts w:eastAsiaTheme="minorHAnsi"/>
          <w:sz w:val="28"/>
          <w:szCs w:val="28"/>
          <w:lang w:eastAsia="en-US"/>
        </w:rPr>
        <w:t>Fox</w:t>
      </w:r>
      <w:proofErr w:type="spellEnd"/>
      <w:r w:rsidRPr="00520861">
        <w:rPr>
          <w:rFonts w:eastAsiaTheme="minorHAnsi"/>
          <w:sz w:val="28"/>
          <w:szCs w:val="28"/>
          <w:lang w:eastAsia="en-US"/>
        </w:rPr>
        <w:t xml:space="preserve"> EE, </w:t>
      </w:r>
      <w:proofErr w:type="spellStart"/>
      <w:r w:rsidRPr="00520861">
        <w:rPr>
          <w:rFonts w:eastAsiaTheme="minorHAnsi"/>
          <w:sz w:val="28"/>
          <w:szCs w:val="28"/>
          <w:lang w:eastAsia="en-US"/>
        </w:rPr>
        <w:t>Horel</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McLaughlin</w:t>
      </w:r>
      <w:proofErr w:type="spellEnd"/>
      <w:r w:rsidRPr="00520861">
        <w:rPr>
          <w:rFonts w:eastAsiaTheme="minorHAnsi"/>
          <w:sz w:val="28"/>
          <w:szCs w:val="28"/>
          <w:lang w:eastAsia="en-US"/>
        </w:rPr>
        <w:t xml:space="preserve"> CC.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characteristics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rhabdomyosarcoma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histological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subtype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Br</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Cancer</w:t>
      </w:r>
      <w:proofErr w:type="spellEnd"/>
      <w:r w:rsidRPr="00520861">
        <w:rPr>
          <w:rFonts w:eastAsiaTheme="minorHAnsi"/>
          <w:sz w:val="28"/>
          <w:szCs w:val="28"/>
          <w:lang w:eastAsia="en-US"/>
        </w:rPr>
        <w:t>. 2010;102:</w:t>
      </w:r>
      <w:r w:rsidRPr="00520861">
        <w:rPr>
          <w:rFonts w:eastAsiaTheme="minorHAnsi"/>
          <w:sz w:val="28"/>
          <w:szCs w:val="28"/>
          <w:lang w:val="en-US" w:eastAsia="en-US"/>
        </w:rPr>
        <w:t xml:space="preserve"> </w:t>
      </w:r>
      <w:r w:rsidRPr="00520861">
        <w:rPr>
          <w:rFonts w:eastAsiaTheme="minorHAnsi"/>
          <w:sz w:val="28"/>
          <w:szCs w:val="28"/>
          <w:lang w:eastAsia="en-US"/>
        </w:rPr>
        <w:t xml:space="preserve">227–231.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10.1038/sj.bjc.6605484</w:t>
      </w:r>
      <w:r w:rsidRPr="00520861">
        <w:rPr>
          <w:rFonts w:eastAsiaTheme="minorHAnsi"/>
          <w:sz w:val="28"/>
          <w:szCs w:val="28"/>
          <w:lang w:val="en-US" w:eastAsia="en-US"/>
        </w:rPr>
        <w:t>.</w:t>
      </w:r>
    </w:p>
    <w:p w14:paraId="3789137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Olsson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Lindhe</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characteristics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individuals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varying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upper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central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incisors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w:t>
      </w:r>
      <w:proofErr w:type="spellEnd"/>
      <w:r w:rsidRPr="00520861">
        <w:rPr>
          <w:rFonts w:eastAsiaTheme="minorHAnsi"/>
          <w:sz w:val="28"/>
          <w:szCs w:val="28"/>
          <w:lang w:eastAsia="en-US"/>
        </w:rPr>
        <w:t>. 1991;18(1)</w:t>
      </w:r>
      <w:r w:rsidRPr="00520861">
        <w:rPr>
          <w:rFonts w:eastAsiaTheme="minorHAnsi"/>
          <w:sz w:val="28"/>
          <w:szCs w:val="28"/>
          <w:lang w:val="en-US" w:eastAsia="en-US"/>
        </w:rPr>
        <w:t>:</w:t>
      </w:r>
      <w:r w:rsidRPr="00520861">
        <w:rPr>
          <w:rFonts w:eastAsiaTheme="minorHAnsi"/>
          <w:sz w:val="28"/>
          <w:szCs w:val="28"/>
          <w:lang w:eastAsia="en-US"/>
        </w:rPr>
        <w:t xml:space="preserve"> 78–82.</w:t>
      </w:r>
    </w:p>
    <w:p w14:paraId="20BBA26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Ononge</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Mirembe</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Wandabwa</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Campbell</w:t>
      </w:r>
      <w:proofErr w:type="spellEnd"/>
      <w:r w:rsidRPr="00520861">
        <w:rPr>
          <w:rFonts w:eastAsiaTheme="minorHAnsi"/>
          <w:sz w:val="28"/>
          <w:szCs w:val="28"/>
          <w:lang w:eastAsia="en-US"/>
        </w:rPr>
        <w:t xml:space="preserve"> OM. </w:t>
      </w:r>
      <w:proofErr w:type="spellStart"/>
      <w:r w:rsidRPr="00520861">
        <w:rPr>
          <w:rFonts w:eastAsiaTheme="minorHAnsi"/>
          <w:sz w:val="28"/>
          <w:szCs w:val="28"/>
          <w:lang w:eastAsia="en-US"/>
        </w:rPr>
        <w:t>Incidence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postpartum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hemorrhage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Uganda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Reprod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xml:space="preserve"> 2016</w:t>
      </w:r>
      <w:r w:rsidRPr="00520861">
        <w:rPr>
          <w:rFonts w:eastAsiaTheme="minorHAnsi"/>
          <w:sz w:val="28"/>
          <w:szCs w:val="28"/>
          <w:lang w:val="en-US" w:eastAsia="en-US"/>
        </w:rPr>
        <w:t xml:space="preserve"> Apr [cited 2020 Jul 19]</w:t>
      </w:r>
      <w:r w:rsidRPr="00520861">
        <w:rPr>
          <w:rFonts w:eastAsiaTheme="minorHAnsi"/>
          <w:sz w:val="28"/>
          <w:szCs w:val="28"/>
          <w:lang w:eastAsia="en-US"/>
        </w:rPr>
        <w:t>;13:</w:t>
      </w:r>
      <w:r w:rsidRPr="00520861">
        <w:rPr>
          <w:rFonts w:eastAsiaTheme="minorHAnsi"/>
          <w:sz w:val="28"/>
          <w:szCs w:val="28"/>
          <w:lang w:val="en-US" w:eastAsia="en-US"/>
        </w:rPr>
        <w:t xml:space="preserve"> </w:t>
      </w:r>
      <w:r w:rsidRPr="00520861">
        <w:rPr>
          <w:rFonts w:eastAsiaTheme="minorHAnsi"/>
          <w:sz w:val="28"/>
          <w:szCs w:val="28"/>
          <w:lang w:eastAsia="en-US"/>
        </w:rPr>
        <w:t xml:space="preserve">38.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10.1186/s12978-016-0154-8</w:t>
      </w:r>
      <w:r w:rsidRPr="00520861">
        <w:rPr>
          <w:rFonts w:eastAsiaTheme="minorHAnsi"/>
          <w:sz w:val="28"/>
          <w:szCs w:val="28"/>
          <w:lang w:val="en-US" w:eastAsia="en-US"/>
        </w:rPr>
        <w:t>.</w:t>
      </w:r>
      <w:r w:rsidRPr="00520861">
        <w:rPr>
          <w:rFonts w:eastAsiaTheme="minorHAnsi"/>
          <w:sz w:val="28"/>
          <w:szCs w:val="28"/>
          <w:lang w:eastAsia="en-US"/>
        </w:rPr>
        <w:t xml:space="preserve"> </w:t>
      </w:r>
    </w:p>
    <w:p w14:paraId="595226C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Opal</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Garg</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Jain</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Walia</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affecting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Aust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J</w:t>
      </w:r>
      <w:r w:rsidRPr="00520861">
        <w:rPr>
          <w:rFonts w:eastAsiaTheme="minorHAnsi"/>
          <w:sz w:val="28"/>
          <w:szCs w:val="28"/>
          <w:lang w:eastAsia="en-US"/>
        </w:rPr>
        <w:t xml:space="preserve">. 2015;60(1): 2–11.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10.1111/adj.12262</w:t>
      </w:r>
      <w:r w:rsidRPr="00520861">
        <w:rPr>
          <w:rFonts w:eastAsiaTheme="minorHAnsi"/>
          <w:sz w:val="28"/>
          <w:szCs w:val="28"/>
          <w:lang w:val="en-US" w:eastAsia="en-US"/>
        </w:rPr>
        <w:t>.</w:t>
      </w:r>
    </w:p>
    <w:p w14:paraId="3FA6869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Osaikhuwuomwan</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Osemwenkha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Orukpe</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Macrosomic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Tertiary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Public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Hospital</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Survey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Characteristics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Ethiop</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2016;26(1):</w:t>
      </w:r>
      <w:r w:rsidRPr="00520861">
        <w:rPr>
          <w:rFonts w:eastAsiaTheme="minorHAnsi"/>
          <w:sz w:val="28"/>
          <w:szCs w:val="28"/>
          <w:lang w:val="en-US" w:eastAsia="en-US"/>
        </w:rPr>
        <w:t xml:space="preserve"> </w:t>
      </w:r>
      <w:r w:rsidRPr="00520861">
        <w:rPr>
          <w:rFonts w:eastAsiaTheme="minorHAnsi"/>
          <w:sz w:val="28"/>
          <w:szCs w:val="28"/>
          <w:lang w:eastAsia="en-US"/>
        </w:rPr>
        <w:t xml:space="preserve">31–36.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10.4314/ejhs.v26i1.7</w:t>
      </w:r>
      <w:r w:rsidRPr="00520861">
        <w:rPr>
          <w:rFonts w:eastAsiaTheme="minorHAnsi"/>
          <w:sz w:val="28"/>
          <w:szCs w:val="28"/>
          <w:lang w:val="en-US" w:eastAsia="en-US"/>
        </w:rPr>
        <w:t>.</w:t>
      </w:r>
      <w:r w:rsidRPr="00520861">
        <w:rPr>
          <w:rFonts w:eastAsiaTheme="minorHAnsi"/>
          <w:sz w:val="28"/>
          <w:szCs w:val="28"/>
          <w:lang w:eastAsia="en-US"/>
        </w:rPr>
        <w:t xml:space="preserve"> </w:t>
      </w:r>
    </w:p>
    <w:p w14:paraId="7285668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Osawa</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Sugihara</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Ukiya</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Ishizuka</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Birkhed</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Hasegawa</w:t>
      </w:r>
      <w:proofErr w:type="spellEnd"/>
      <w:r w:rsidRPr="00520861">
        <w:rPr>
          <w:rFonts w:eastAsiaTheme="minorHAnsi"/>
          <w:sz w:val="28"/>
          <w:szCs w:val="28"/>
          <w:lang w:eastAsia="en-US"/>
        </w:rPr>
        <w:t xml:space="preserve"> M, </w:t>
      </w:r>
      <w:r w:rsidRPr="00520861">
        <w:rPr>
          <w:rFonts w:eastAsiaTheme="minorHAnsi"/>
          <w:sz w:val="28"/>
          <w:szCs w:val="28"/>
          <w:lang w:val="en-US" w:eastAsia="en-US"/>
        </w:rPr>
        <w:t>et al</w:t>
      </w:r>
      <w:r w:rsidRPr="00520861">
        <w:rPr>
          <w:rFonts w:eastAsiaTheme="minorHAnsi"/>
          <w:sz w:val="28"/>
          <w:szCs w:val="28"/>
          <w:lang w:eastAsia="en-US"/>
        </w:rPr>
        <w:t xml:space="preserve">. </w:t>
      </w:r>
      <w:proofErr w:type="spellStart"/>
      <w:r w:rsidRPr="00520861">
        <w:rPr>
          <w:rFonts w:eastAsiaTheme="minorHAnsi"/>
          <w:sz w:val="28"/>
          <w:szCs w:val="28"/>
          <w:lang w:eastAsia="en-US"/>
        </w:rPr>
        <w:t>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syndrome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lifestyle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japanese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school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Bull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Tokyo</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Coll</w:t>
      </w:r>
      <w:proofErr w:type="spellEnd"/>
      <w:r w:rsidRPr="00520861">
        <w:rPr>
          <w:rFonts w:eastAsiaTheme="minorHAnsi"/>
          <w:sz w:val="28"/>
          <w:szCs w:val="28"/>
          <w:lang w:eastAsia="en-US"/>
        </w:rPr>
        <w:t>.  2015;56(4):</w:t>
      </w:r>
      <w:r w:rsidRPr="00520861">
        <w:rPr>
          <w:rFonts w:eastAsiaTheme="minorHAnsi"/>
          <w:sz w:val="28"/>
          <w:szCs w:val="28"/>
          <w:lang w:val="en-US" w:eastAsia="en-US"/>
        </w:rPr>
        <w:t xml:space="preserve"> </w:t>
      </w:r>
      <w:r w:rsidRPr="00520861">
        <w:rPr>
          <w:rFonts w:eastAsiaTheme="minorHAnsi"/>
          <w:sz w:val="28"/>
          <w:szCs w:val="28"/>
          <w:lang w:eastAsia="en-US"/>
        </w:rPr>
        <w:t>233–</w:t>
      </w:r>
      <w:r w:rsidRPr="00520861">
        <w:rPr>
          <w:rFonts w:eastAsiaTheme="minorHAnsi"/>
          <w:sz w:val="28"/>
          <w:szCs w:val="28"/>
          <w:lang w:val="en-US" w:eastAsia="en-US"/>
        </w:rPr>
        <w:t>2</w:t>
      </w:r>
      <w:r w:rsidRPr="00520861">
        <w:rPr>
          <w:rFonts w:eastAsiaTheme="minorHAnsi"/>
          <w:sz w:val="28"/>
          <w:szCs w:val="28"/>
          <w:lang w:eastAsia="en-US"/>
        </w:rPr>
        <w:t xml:space="preserve">41.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DOI: 10.2209/tdcpublication.56.233. </w:t>
      </w:r>
    </w:p>
    <w:p w14:paraId="02BC356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Palchevska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Krstevska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Shukarova</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Aluloska</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Jakimoska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Kocevski</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Comparing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preterm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newborns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serum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adiponectin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leptin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concentrations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their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correlations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anthropometric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parameters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Maced</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2012; 5(3): 317–323.</w:t>
      </w:r>
    </w:p>
    <w:p w14:paraId="095A300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Pan</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Q, </w:t>
      </w: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Q.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cytokine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network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involved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immune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response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2019</w:t>
      </w:r>
      <w:r w:rsidRPr="00520861">
        <w:rPr>
          <w:rFonts w:eastAsiaTheme="minorHAnsi"/>
          <w:sz w:val="28"/>
          <w:szCs w:val="28"/>
          <w:lang w:val="en-US" w:eastAsia="en-US"/>
        </w:rPr>
        <w:t xml:space="preserve"> Nov </w:t>
      </w:r>
      <w:r w:rsidRPr="00520861">
        <w:rPr>
          <w:rFonts w:eastAsia="Calibri"/>
          <w:sz w:val="28"/>
          <w:szCs w:val="28"/>
          <w:lang w:val="en-US" w:eastAsia="en-US"/>
        </w:rPr>
        <w:t>[cited 2020 Jul 27]</w:t>
      </w:r>
      <w:r w:rsidRPr="00520861">
        <w:rPr>
          <w:rFonts w:eastAsiaTheme="minorHAnsi"/>
          <w:sz w:val="28"/>
          <w:szCs w:val="28"/>
          <w:lang w:eastAsia="en-US"/>
        </w:rPr>
        <w:t xml:space="preserve">;11(3): 30.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DOI: 10.1038/s41368-019-0064-z. </w:t>
      </w:r>
    </w:p>
    <w:p w14:paraId="63F0399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Papanicolaou</w:t>
      </w:r>
      <w:proofErr w:type="spellEnd"/>
      <w:r w:rsidRPr="00520861">
        <w:rPr>
          <w:rFonts w:eastAsiaTheme="minorHAnsi"/>
          <w:sz w:val="28"/>
          <w:szCs w:val="28"/>
          <w:lang w:eastAsia="en-US"/>
        </w:rPr>
        <w:t xml:space="preserve"> DA, </w:t>
      </w:r>
      <w:proofErr w:type="spellStart"/>
      <w:r w:rsidRPr="00520861">
        <w:rPr>
          <w:rFonts w:eastAsiaTheme="minorHAnsi"/>
          <w:sz w:val="28"/>
          <w:szCs w:val="28"/>
          <w:lang w:eastAsia="en-US"/>
        </w:rPr>
        <w:t>Wilder</w:t>
      </w:r>
      <w:proofErr w:type="spellEnd"/>
      <w:r w:rsidRPr="00520861">
        <w:rPr>
          <w:rFonts w:eastAsiaTheme="minorHAnsi"/>
          <w:sz w:val="28"/>
          <w:szCs w:val="28"/>
          <w:lang w:eastAsia="en-US"/>
        </w:rPr>
        <w:t xml:space="preserve"> RL, </w:t>
      </w:r>
      <w:proofErr w:type="spellStart"/>
      <w:r w:rsidRPr="00520861">
        <w:rPr>
          <w:rFonts w:eastAsiaTheme="minorHAnsi"/>
          <w:sz w:val="28"/>
          <w:szCs w:val="28"/>
          <w:lang w:eastAsia="en-US"/>
        </w:rPr>
        <w:t>Manolagas</w:t>
      </w:r>
      <w:proofErr w:type="spellEnd"/>
      <w:r w:rsidRPr="00520861">
        <w:rPr>
          <w:rFonts w:eastAsiaTheme="minorHAnsi"/>
          <w:sz w:val="28"/>
          <w:szCs w:val="28"/>
          <w:lang w:eastAsia="en-US"/>
        </w:rPr>
        <w:t xml:space="preserve"> SC, </w:t>
      </w:r>
      <w:proofErr w:type="spellStart"/>
      <w:r w:rsidRPr="00520861">
        <w:rPr>
          <w:rFonts w:eastAsiaTheme="minorHAnsi"/>
          <w:sz w:val="28"/>
          <w:szCs w:val="28"/>
          <w:lang w:eastAsia="en-US"/>
        </w:rPr>
        <w:t>Chrousos</w:t>
      </w:r>
      <w:proofErr w:type="spellEnd"/>
      <w:r w:rsidRPr="00520861">
        <w:rPr>
          <w:rFonts w:eastAsiaTheme="minorHAnsi"/>
          <w:sz w:val="28"/>
          <w:szCs w:val="28"/>
          <w:lang w:eastAsia="en-US"/>
        </w:rPr>
        <w:t xml:space="preserve"> GP.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pathophysiologic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roles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interleukin-6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Intern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1998;128(2):</w:t>
      </w:r>
      <w:r w:rsidRPr="00520861">
        <w:rPr>
          <w:rFonts w:eastAsiaTheme="minorHAnsi"/>
          <w:sz w:val="28"/>
          <w:szCs w:val="28"/>
          <w:lang w:val="en-US" w:eastAsia="en-US"/>
        </w:rPr>
        <w:t xml:space="preserve"> </w:t>
      </w:r>
      <w:r w:rsidRPr="00520861">
        <w:rPr>
          <w:rFonts w:eastAsiaTheme="minorHAnsi"/>
          <w:sz w:val="28"/>
          <w:szCs w:val="28"/>
          <w:lang w:eastAsia="en-US"/>
        </w:rPr>
        <w:t xml:space="preserve">127–137.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10.7326/0003-4819-128-2-199801150-00009</w:t>
      </w:r>
      <w:r w:rsidRPr="00520861">
        <w:rPr>
          <w:rFonts w:eastAsiaTheme="minorHAnsi"/>
          <w:sz w:val="28"/>
          <w:szCs w:val="28"/>
          <w:lang w:val="en-US" w:eastAsia="en-US"/>
        </w:rPr>
        <w:t>.</w:t>
      </w:r>
    </w:p>
    <w:p w14:paraId="11DDE1D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Pascon</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Barbosa</w:t>
      </w:r>
      <w:proofErr w:type="spellEnd"/>
      <w:r w:rsidRPr="00520861">
        <w:rPr>
          <w:rFonts w:eastAsiaTheme="minorHAnsi"/>
          <w:sz w:val="28"/>
          <w:szCs w:val="28"/>
          <w:lang w:eastAsia="en-US"/>
        </w:rPr>
        <w:t xml:space="preserve"> AMP, </w:t>
      </w:r>
      <w:proofErr w:type="spellStart"/>
      <w:r w:rsidRPr="00520861">
        <w:rPr>
          <w:rFonts w:eastAsiaTheme="minorHAnsi"/>
          <w:sz w:val="28"/>
          <w:szCs w:val="28"/>
          <w:lang w:eastAsia="en-US"/>
        </w:rPr>
        <w:t>Cordeiro</w:t>
      </w:r>
      <w:proofErr w:type="spellEnd"/>
      <w:r w:rsidRPr="00520861">
        <w:rPr>
          <w:rFonts w:eastAsiaTheme="minorHAnsi"/>
          <w:sz w:val="28"/>
          <w:szCs w:val="28"/>
          <w:lang w:eastAsia="en-US"/>
        </w:rPr>
        <w:t xml:space="preserve"> RCL, </w:t>
      </w:r>
      <w:proofErr w:type="spellStart"/>
      <w:r w:rsidRPr="00520861">
        <w:rPr>
          <w:rFonts w:eastAsiaTheme="minorHAnsi"/>
          <w:sz w:val="28"/>
          <w:szCs w:val="28"/>
          <w:lang w:eastAsia="en-US"/>
        </w:rPr>
        <w:t>Bussaneli</w:t>
      </w:r>
      <w:proofErr w:type="spellEnd"/>
      <w:r w:rsidRPr="00520861">
        <w:rPr>
          <w:rFonts w:eastAsiaTheme="minorHAnsi"/>
          <w:sz w:val="28"/>
          <w:szCs w:val="28"/>
          <w:lang w:eastAsia="en-US"/>
        </w:rPr>
        <w:t xml:space="preserve"> DG, </w:t>
      </w:r>
      <w:proofErr w:type="spellStart"/>
      <w:r w:rsidRPr="00520861">
        <w:rPr>
          <w:rFonts w:eastAsiaTheme="minorHAnsi"/>
          <w:sz w:val="28"/>
          <w:szCs w:val="28"/>
          <w:lang w:eastAsia="en-US"/>
        </w:rPr>
        <w:t>Prudencio</w:t>
      </w:r>
      <w:proofErr w:type="spellEnd"/>
      <w:r w:rsidRPr="00520861">
        <w:rPr>
          <w:rFonts w:eastAsiaTheme="minorHAnsi"/>
          <w:sz w:val="28"/>
          <w:szCs w:val="28"/>
          <w:lang w:eastAsia="en-US"/>
        </w:rPr>
        <w:t xml:space="preserve"> CB, </w:t>
      </w:r>
      <w:proofErr w:type="spellStart"/>
      <w:r w:rsidRPr="00520861">
        <w:rPr>
          <w:rFonts w:eastAsiaTheme="minorHAnsi"/>
          <w:sz w:val="28"/>
          <w:szCs w:val="28"/>
          <w:lang w:eastAsia="en-US"/>
        </w:rPr>
        <w:t>Nunes</w:t>
      </w:r>
      <w:proofErr w:type="spellEnd"/>
      <w:r w:rsidRPr="00520861">
        <w:rPr>
          <w:rFonts w:eastAsiaTheme="minorHAnsi"/>
          <w:sz w:val="28"/>
          <w:szCs w:val="28"/>
          <w:lang w:eastAsia="en-US"/>
        </w:rPr>
        <w:t xml:space="preserve"> SK,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exposure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mellitus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increases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enamel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offspring</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One</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2019</w:t>
      </w:r>
      <w:r w:rsidRPr="00520861">
        <w:rPr>
          <w:rFonts w:eastAsiaTheme="minorHAnsi"/>
          <w:sz w:val="28"/>
          <w:szCs w:val="28"/>
          <w:lang w:val="en-US" w:eastAsia="en-US"/>
        </w:rPr>
        <w:t xml:space="preserve"> Feb [cited 2020 Mar 15]</w:t>
      </w:r>
      <w:r w:rsidRPr="00520861">
        <w:rPr>
          <w:rFonts w:eastAsiaTheme="minorHAnsi"/>
          <w:sz w:val="28"/>
          <w:szCs w:val="28"/>
          <w:lang w:eastAsia="en-US"/>
        </w:rPr>
        <w:t>;14(2):</w:t>
      </w:r>
      <w:r w:rsidRPr="00520861">
        <w:rPr>
          <w:rFonts w:eastAsiaTheme="minorHAnsi"/>
          <w:sz w:val="28"/>
          <w:szCs w:val="28"/>
          <w:lang w:val="en-US" w:eastAsia="en-US"/>
        </w:rPr>
        <w:t xml:space="preserve"> </w:t>
      </w:r>
      <w:r w:rsidRPr="00520861">
        <w:rPr>
          <w:rFonts w:eastAsiaTheme="minorHAnsi"/>
          <w:sz w:val="28"/>
          <w:szCs w:val="28"/>
          <w:lang w:eastAsia="en-US"/>
        </w:rPr>
        <w:t xml:space="preserve">e0211771.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DOI:10.1371/journal.pone.0211771</w:t>
      </w:r>
      <w:r w:rsidRPr="00520861">
        <w:rPr>
          <w:rFonts w:eastAsiaTheme="minorHAnsi"/>
          <w:sz w:val="28"/>
          <w:szCs w:val="28"/>
          <w:lang w:val="en-US" w:eastAsia="en-US"/>
        </w:rPr>
        <w:t>.</w:t>
      </w:r>
    </w:p>
    <w:p w14:paraId="082D9BB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Patel</w:t>
      </w:r>
      <w:proofErr w:type="spellEnd"/>
      <w:r w:rsidRPr="00520861">
        <w:rPr>
          <w:rFonts w:eastAsiaTheme="minorHAnsi"/>
          <w:sz w:val="28"/>
          <w:szCs w:val="28"/>
          <w:lang w:eastAsia="en-US"/>
        </w:rPr>
        <w:t xml:space="preserve"> RM, </w:t>
      </w:r>
      <w:proofErr w:type="spellStart"/>
      <w:r w:rsidRPr="00520861">
        <w:rPr>
          <w:rFonts w:eastAsiaTheme="minorHAnsi"/>
          <w:sz w:val="28"/>
          <w:szCs w:val="28"/>
          <w:lang w:eastAsia="en-US"/>
        </w:rPr>
        <w:t>Varma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Suragimath</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Zope</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Estimation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comparison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calcium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phosphorous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alkaline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phosphatase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cross-sectional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biochemical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Diagn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2016;10(7):</w:t>
      </w:r>
      <w:r w:rsidRPr="00520861">
        <w:rPr>
          <w:rFonts w:eastAsiaTheme="minorHAnsi"/>
          <w:sz w:val="28"/>
          <w:szCs w:val="28"/>
          <w:lang w:val="en-US" w:eastAsia="en-US"/>
        </w:rPr>
        <w:t xml:space="preserve"> </w:t>
      </w:r>
      <w:r w:rsidRPr="00520861">
        <w:rPr>
          <w:rFonts w:eastAsiaTheme="minorHAnsi"/>
          <w:sz w:val="28"/>
          <w:szCs w:val="28"/>
          <w:lang w:eastAsia="en-US"/>
        </w:rPr>
        <w:t xml:space="preserve">ZC58–ZC61.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10.7860/JCDR/2016/20973.8182.</w:t>
      </w:r>
    </w:p>
    <w:p w14:paraId="58BAC40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Patel</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Ifzah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Sheikh</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Genetics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orthodontics</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 xml:space="preserve">- </w:t>
      </w:r>
      <w:r w:rsidRPr="00520861">
        <w:rPr>
          <w:rFonts w:eastAsiaTheme="minorHAnsi"/>
          <w:sz w:val="28"/>
          <w:szCs w:val="28"/>
          <w:lang w:val="en-US" w:eastAsia="en-US"/>
        </w:rPr>
        <w:t>A</w:t>
      </w:r>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r w:rsidRPr="00520861">
        <w:rPr>
          <w:rFonts w:eastAsiaTheme="minorHAnsi"/>
          <w:i/>
          <w:sz w:val="28"/>
          <w:szCs w:val="28"/>
          <w:lang w:eastAsia="en-US"/>
        </w:rPr>
        <w:t>EJPMR</w:t>
      </w:r>
      <w:r w:rsidRPr="00520861">
        <w:rPr>
          <w:rFonts w:eastAsiaTheme="minorHAnsi"/>
          <w:sz w:val="28"/>
          <w:szCs w:val="28"/>
          <w:lang w:val="en-US" w:eastAsia="en-US"/>
        </w:rPr>
        <w:t>.</w:t>
      </w:r>
      <w:r w:rsidRPr="00520861">
        <w:rPr>
          <w:rFonts w:eastAsiaTheme="minorHAnsi"/>
          <w:sz w:val="28"/>
          <w:szCs w:val="28"/>
          <w:lang w:eastAsia="en-US"/>
        </w:rPr>
        <w:t xml:space="preserve"> 2016</w:t>
      </w:r>
      <w:r w:rsidRPr="00520861">
        <w:rPr>
          <w:rFonts w:eastAsiaTheme="minorHAnsi"/>
          <w:sz w:val="28"/>
          <w:szCs w:val="28"/>
          <w:lang w:val="en-US" w:eastAsia="en-US"/>
        </w:rPr>
        <w:t>;</w:t>
      </w:r>
      <w:r w:rsidRPr="00520861">
        <w:rPr>
          <w:rFonts w:eastAsiaTheme="minorHAnsi"/>
          <w:sz w:val="28"/>
          <w:szCs w:val="28"/>
          <w:lang w:eastAsia="en-US"/>
        </w:rPr>
        <w:t>3(7): 539–545.</w:t>
      </w:r>
    </w:p>
    <w:p w14:paraId="0FFFC5A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Paternoster</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Lorentzon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Vandenput</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Karlsson</w:t>
      </w:r>
      <w:proofErr w:type="spellEnd"/>
      <w:r w:rsidRPr="00520861">
        <w:rPr>
          <w:rFonts w:eastAsiaTheme="minorHAnsi"/>
          <w:sz w:val="28"/>
          <w:szCs w:val="28"/>
          <w:lang w:eastAsia="en-US"/>
        </w:rPr>
        <w:t xml:space="preserve"> MK, </w:t>
      </w:r>
      <w:proofErr w:type="spellStart"/>
      <w:r w:rsidRPr="00520861">
        <w:rPr>
          <w:rFonts w:eastAsiaTheme="minorHAnsi"/>
          <w:sz w:val="28"/>
          <w:szCs w:val="28"/>
          <w:lang w:eastAsia="en-US"/>
        </w:rPr>
        <w:t>Ljunggren</w:t>
      </w:r>
      <w:proofErr w:type="spellEnd"/>
      <w:r w:rsidRPr="00520861">
        <w:rPr>
          <w:rFonts w:eastAsiaTheme="minorHAnsi"/>
          <w:sz w:val="28"/>
          <w:szCs w:val="28"/>
          <w:lang w:eastAsia="en-US"/>
        </w:rPr>
        <w:t xml:space="preserve"> O, </w:t>
      </w:r>
      <w:proofErr w:type="spellStart"/>
      <w:r w:rsidRPr="00520861">
        <w:rPr>
          <w:rFonts w:eastAsiaTheme="minorHAnsi"/>
          <w:sz w:val="28"/>
          <w:szCs w:val="28"/>
          <w:lang w:eastAsia="en-US"/>
        </w:rPr>
        <w:t>Kindmark</w:t>
      </w:r>
      <w:proofErr w:type="spellEnd"/>
      <w:r w:rsidRPr="00520861">
        <w:rPr>
          <w:rFonts w:eastAsiaTheme="minorHAnsi"/>
          <w:sz w:val="28"/>
          <w:szCs w:val="28"/>
          <w:lang w:val="en-US" w:eastAsia="en-US"/>
        </w:rPr>
        <w:t> </w:t>
      </w:r>
      <w:r w:rsidRPr="00520861">
        <w:rPr>
          <w:rFonts w:eastAsiaTheme="minorHAnsi"/>
          <w:sz w:val="28"/>
          <w:szCs w:val="28"/>
          <w:lang w:eastAsia="en-US"/>
        </w:rPr>
        <w:t xml:space="preserve">A,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Genome-wide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metaanalysis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cortical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unravels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allelic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heterogeneity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RANKL </w:t>
      </w:r>
      <w:proofErr w:type="spellStart"/>
      <w:r w:rsidRPr="00520861">
        <w:rPr>
          <w:rFonts w:eastAsiaTheme="minorHAnsi"/>
          <w:sz w:val="28"/>
          <w:szCs w:val="28"/>
          <w:lang w:eastAsia="en-US"/>
        </w:rPr>
        <w:t>locus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potential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pleiotropic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Genet</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xml:space="preserve"> 2010</w:t>
      </w:r>
      <w:r w:rsidRPr="00520861">
        <w:rPr>
          <w:rFonts w:eastAsiaTheme="minorHAnsi"/>
          <w:sz w:val="28"/>
          <w:szCs w:val="28"/>
          <w:lang w:val="en-US" w:eastAsia="en-US"/>
        </w:rPr>
        <w:t xml:space="preserve"> Nov [cited 2020 Apr 11];</w:t>
      </w:r>
      <w:r w:rsidRPr="00520861">
        <w:rPr>
          <w:rFonts w:eastAsiaTheme="minorHAnsi"/>
          <w:sz w:val="28"/>
          <w:szCs w:val="28"/>
          <w:lang w:eastAsia="en-US"/>
        </w:rPr>
        <w:t>6(11):</w:t>
      </w:r>
      <w:r w:rsidRPr="00520861">
        <w:rPr>
          <w:rFonts w:eastAsiaTheme="minorHAnsi"/>
          <w:sz w:val="28"/>
          <w:szCs w:val="28"/>
          <w:lang w:val="en-US" w:eastAsia="en-US"/>
        </w:rPr>
        <w:t xml:space="preserve"> </w:t>
      </w:r>
      <w:r w:rsidRPr="00520861">
        <w:rPr>
          <w:rFonts w:eastAsiaTheme="minorHAnsi"/>
          <w:sz w:val="28"/>
          <w:szCs w:val="28"/>
          <w:lang w:eastAsia="en-US"/>
        </w:rPr>
        <w:t xml:space="preserve">e1001217.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10.1371/journal.pgen.1001217</w:t>
      </w:r>
      <w:r w:rsidRPr="00520861">
        <w:rPr>
          <w:rFonts w:eastAsiaTheme="minorHAnsi"/>
          <w:sz w:val="28"/>
          <w:szCs w:val="28"/>
          <w:lang w:val="en-US" w:eastAsia="en-US"/>
        </w:rPr>
        <w:t>.</w:t>
      </w:r>
    </w:p>
    <w:p w14:paraId="624F0BA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Pearse</w:t>
      </w:r>
      <w:proofErr w:type="spellEnd"/>
      <w:r w:rsidRPr="00520861">
        <w:rPr>
          <w:rFonts w:eastAsiaTheme="minorHAnsi"/>
          <w:sz w:val="28"/>
          <w:szCs w:val="28"/>
          <w:lang w:eastAsia="en-US"/>
        </w:rPr>
        <w:t xml:space="preserve"> AGE. </w:t>
      </w:r>
      <w:proofErr w:type="spellStart"/>
      <w:r w:rsidRPr="00520861">
        <w:rPr>
          <w:rFonts w:eastAsiaTheme="minorHAnsi"/>
          <w:i/>
          <w:sz w:val="28"/>
          <w:szCs w:val="28"/>
          <w:lang w:eastAsia="en-US"/>
        </w:rPr>
        <w:t>Histochemistry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Theoretical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Applied</w:t>
      </w:r>
      <w:proofErr w:type="spellEnd"/>
      <w:r w:rsidRPr="00520861">
        <w:rPr>
          <w:rFonts w:eastAsiaTheme="minorHAnsi"/>
          <w:sz w:val="28"/>
          <w:szCs w:val="28"/>
          <w:lang w:eastAsia="en-US"/>
        </w:rPr>
        <w:t xml:space="preserve">. 2-nd </w:t>
      </w:r>
      <w:proofErr w:type="spellStart"/>
      <w:r w:rsidRPr="00520861">
        <w:rPr>
          <w:rFonts w:eastAsiaTheme="minorHAnsi"/>
          <w:sz w:val="28"/>
          <w:szCs w:val="28"/>
          <w:lang w:eastAsia="en-US"/>
        </w:rPr>
        <w: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London</w:t>
      </w:r>
      <w:proofErr w:type="spellEnd"/>
      <w:r w:rsidRPr="00520861">
        <w:rPr>
          <w:rFonts w:eastAsiaTheme="minorHAnsi"/>
          <w:sz w:val="28"/>
          <w:szCs w:val="28"/>
          <w:lang w:eastAsia="en-US"/>
        </w:rPr>
        <w:t xml:space="preserve">: J &amp; A </w:t>
      </w:r>
      <w:proofErr w:type="spellStart"/>
      <w:r w:rsidRPr="00520861">
        <w:rPr>
          <w:rFonts w:eastAsiaTheme="minorHAnsi"/>
          <w:sz w:val="28"/>
          <w:szCs w:val="28"/>
          <w:lang w:eastAsia="en-US"/>
        </w:rPr>
        <w:t>Churchill</w:t>
      </w:r>
      <w:proofErr w:type="spellEnd"/>
      <w:r w:rsidRPr="00520861">
        <w:rPr>
          <w:rFonts w:eastAsiaTheme="minorHAnsi"/>
          <w:sz w:val="28"/>
          <w:szCs w:val="28"/>
          <w:lang w:eastAsia="en-US"/>
        </w:rPr>
        <w:t xml:space="preserve">; 1960. 998 p. </w:t>
      </w:r>
    </w:p>
    <w:p w14:paraId="0D7E2FE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Peedikayil</w:t>
      </w:r>
      <w:proofErr w:type="spellEnd"/>
      <w:r w:rsidRPr="00520861">
        <w:rPr>
          <w:rFonts w:eastAsiaTheme="minorHAnsi"/>
          <w:sz w:val="28"/>
          <w:szCs w:val="28"/>
          <w:lang w:eastAsia="en-US"/>
        </w:rPr>
        <w:t xml:space="preserve"> FC. </w:t>
      </w:r>
      <w:proofErr w:type="spellStart"/>
      <w:r w:rsidRPr="00520861">
        <w:rPr>
          <w:rFonts w:eastAsiaTheme="minorHAnsi"/>
          <w:sz w:val="28"/>
          <w:szCs w:val="28"/>
          <w:lang w:eastAsia="en-US"/>
        </w:rPr>
        <w:t>Delayed</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r w:rsidRPr="00520861">
        <w:rPr>
          <w:rFonts w:eastAsiaTheme="minorHAnsi"/>
          <w:i/>
          <w:sz w:val="28"/>
          <w:szCs w:val="28"/>
          <w:lang w:eastAsia="en-US"/>
        </w:rPr>
        <w:t>E-</w:t>
      </w:r>
      <w:proofErr w:type="spellStart"/>
      <w:r w:rsidRPr="00520861">
        <w:rPr>
          <w:rFonts w:eastAsiaTheme="minorHAnsi"/>
          <w:i/>
          <w:sz w:val="28"/>
          <w:szCs w:val="28"/>
          <w:lang w:eastAsia="en-US"/>
        </w:rPr>
        <w:t>Journal</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val="en-US" w:eastAsia="en-US"/>
        </w:rPr>
        <w:t xml:space="preserve"> </w:t>
      </w:r>
      <w:proofErr w:type="spellStart"/>
      <w:r w:rsidRPr="00520861">
        <w:rPr>
          <w:rFonts w:eastAsiaTheme="minorHAnsi"/>
          <w:i/>
          <w:sz w:val="28"/>
          <w:szCs w:val="28"/>
          <w:lang w:eastAsia="en-US"/>
        </w:rPr>
        <w:t>Dentistry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2011;1(4): 81–86.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http://www.ejournalofdentistry.com/ebook/Issue4/index.html</w:t>
      </w:r>
      <w:r w:rsidRPr="00520861">
        <w:rPr>
          <w:rFonts w:eastAsiaTheme="minorHAnsi"/>
          <w:sz w:val="28"/>
          <w:szCs w:val="28"/>
          <w:u w:val="single"/>
          <w:lang w:val="en-US" w:eastAsia="en-US"/>
        </w:rPr>
        <w:t>.</w:t>
      </w:r>
    </w:p>
    <w:p w14:paraId="3CFF7F0A" w14:textId="77777777" w:rsidR="00292D2E" w:rsidRPr="00520861" w:rsidRDefault="00292D2E" w:rsidP="008F1D77">
      <w:pPr>
        <w:widowControl w:val="0"/>
        <w:numPr>
          <w:ilvl w:val="0"/>
          <w:numId w:val="8"/>
        </w:numPr>
        <w:spacing w:line="360" w:lineRule="auto"/>
        <w:ind w:left="0" w:firstLine="0"/>
        <w:contextualSpacing/>
        <w:jc w:val="both"/>
        <w:rPr>
          <w:rFonts w:eastAsia="Calibri"/>
          <w:iCs/>
          <w:sz w:val="28"/>
          <w:szCs w:val="28"/>
          <w:lang w:val="en-US" w:eastAsia="en-US"/>
        </w:rPr>
      </w:pPr>
      <w:proofErr w:type="spellStart"/>
      <w:r w:rsidRPr="00520861">
        <w:rPr>
          <w:rFonts w:eastAsia="Calibri"/>
          <w:sz w:val="28"/>
          <w:szCs w:val="28"/>
          <w:shd w:val="clear" w:color="auto" w:fill="FFFFFF"/>
          <w:lang w:val="en-GB" w:eastAsia="en-US"/>
        </w:rPr>
        <w:t>Petean</w:t>
      </w:r>
      <w:proofErr w:type="spellEnd"/>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IBF</w:t>
      </w:r>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K</w:t>
      </w:r>
      <w:r w:rsidRPr="00520861">
        <w:rPr>
          <w:rFonts w:eastAsia="Calibri"/>
          <w:sz w:val="28"/>
          <w:szCs w:val="28"/>
          <w:shd w:val="clear" w:color="auto" w:fill="FFFFFF"/>
          <w:lang w:eastAsia="en-US"/>
        </w:rPr>
        <w:t>ü</w:t>
      </w:r>
      <w:proofErr w:type="spellStart"/>
      <w:r w:rsidRPr="00520861">
        <w:rPr>
          <w:rFonts w:eastAsia="Calibri"/>
          <w:sz w:val="28"/>
          <w:szCs w:val="28"/>
          <w:shd w:val="clear" w:color="auto" w:fill="FFFFFF"/>
          <w:lang w:val="en-GB" w:eastAsia="en-US"/>
        </w:rPr>
        <w:t>chler</w:t>
      </w:r>
      <w:proofErr w:type="spellEnd"/>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EC</w:t>
      </w:r>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Soares</w:t>
      </w:r>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IMV</w:t>
      </w:r>
      <w:r w:rsidRPr="00520861">
        <w:rPr>
          <w:rFonts w:eastAsia="Calibri"/>
          <w:sz w:val="28"/>
          <w:szCs w:val="28"/>
          <w:shd w:val="clear" w:color="auto" w:fill="FFFFFF"/>
          <w:lang w:eastAsia="en-US"/>
        </w:rPr>
        <w:t xml:space="preserve">, </w:t>
      </w:r>
      <w:proofErr w:type="spellStart"/>
      <w:r w:rsidRPr="00520861">
        <w:rPr>
          <w:rFonts w:eastAsia="Calibri"/>
          <w:sz w:val="28"/>
          <w:szCs w:val="28"/>
          <w:shd w:val="clear" w:color="auto" w:fill="FFFFFF"/>
          <w:lang w:val="en-GB" w:eastAsia="en-US"/>
        </w:rPr>
        <w:t>Segato</w:t>
      </w:r>
      <w:proofErr w:type="spellEnd"/>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RAB</w:t>
      </w:r>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Silva</w:t>
      </w:r>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LABD</w:t>
      </w:r>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Antunes</w:t>
      </w:r>
      <w:r w:rsidRPr="00520861">
        <w:rPr>
          <w:rFonts w:eastAsia="Calibri"/>
          <w:sz w:val="28"/>
          <w:szCs w:val="28"/>
          <w:shd w:val="clear" w:color="auto" w:fill="FFFFFF"/>
          <w:lang w:eastAsia="en-US"/>
        </w:rPr>
        <w:t xml:space="preserve"> </w:t>
      </w:r>
      <w:r w:rsidRPr="00520861">
        <w:rPr>
          <w:rFonts w:eastAsia="Calibri"/>
          <w:sz w:val="28"/>
          <w:szCs w:val="28"/>
          <w:shd w:val="clear" w:color="auto" w:fill="FFFFFF"/>
          <w:lang w:val="en-GB" w:eastAsia="en-US"/>
        </w:rPr>
        <w:t>LAA</w:t>
      </w:r>
      <w:r w:rsidRPr="00520861">
        <w:rPr>
          <w:rFonts w:eastAsia="Calibri"/>
          <w:sz w:val="28"/>
          <w:szCs w:val="28"/>
          <w:shd w:val="clear" w:color="auto" w:fill="FFFFFF"/>
          <w:lang w:eastAsia="en-US"/>
        </w:rPr>
        <w:t xml:space="preserve">, </w:t>
      </w:r>
      <w:r w:rsidRPr="00520861">
        <w:rPr>
          <w:rFonts w:eastAsia="Calibri"/>
          <w:sz w:val="28"/>
          <w:szCs w:val="28"/>
          <w:lang w:val="en-GB" w:eastAsia="en-US"/>
        </w:rPr>
        <w:t>et al</w:t>
      </w:r>
      <w:r w:rsidRPr="00520861">
        <w:rPr>
          <w:rFonts w:eastAsia="Calibri"/>
          <w:sz w:val="28"/>
          <w:szCs w:val="28"/>
          <w:lang w:eastAsia="en-US"/>
        </w:rPr>
        <w:t xml:space="preserve">. </w:t>
      </w:r>
      <w:r w:rsidRPr="00520861">
        <w:rPr>
          <w:rFonts w:eastAsia="Calibri"/>
          <w:sz w:val="28"/>
          <w:szCs w:val="28"/>
          <w:lang w:val="en-GB" w:eastAsia="en-US"/>
        </w:rPr>
        <w:t xml:space="preserve">Genetic polymorphisms in RANK and RANKL are associated with persistent apical periodontitis. </w:t>
      </w:r>
      <w:r w:rsidRPr="00520861">
        <w:rPr>
          <w:rFonts w:eastAsia="Calibri"/>
          <w:i/>
          <w:iCs/>
          <w:sz w:val="28"/>
          <w:szCs w:val="28"/>
          <w:lang w:val="en-GB" w:eastAsia="en-US"/>
        </w:rPr>
        <w:t>J</w:t>
      </w:r>
      <w:r w:rsidRPr="00520861">
        <w:rPr>
          <w:rFonts w:eastAsia="Calibri"/>
          <w:i/>
          <w:iCs/>
          <w:sz w:val="28"/>
          <w:szCs w:val="28"/>
          <w:lang w:val="en-US" w:eastAsia="en-US"/>
        </w:rPr>
        <w:t xml:space="preserve"> </w:t>
      </w:r>
      <w:proofErr w:type="spellStart"/>
      <w:r w:rsidRPr="00520861">
        <w:rPr>
          <w:rFonts w:eastAsia="Calibri"/>
          <w:i/>
          <w:iCs/>
          <w:sz w:val="28"/>
          <w:szCs w:val="28"/>
          <w:lang w:val="en-GB" w:eastAsia="en-US"/>
        </w:rPr>
        <w:t>Endod</w:t>
      </w:r>
      <w:proofErr w:type="spellEnd"/>
      <w:r w:rsidRPr="00520861">
        <w:rPr>
          <w:rFonts w:eastAsia="Calibri"/>
          <w:iCs/>
          <w:sz w:val="28"/>
          <w:szCs w:val="28"/>
          <w:u w:val="single"/>
          <w:lang w:val="en-US" w:eastAsia="en-US"/>
        </w:rPr>
        <w:t>.</w:t>
      </w:r>
      <w:r w:rsidRPr="00520861">
        <w:rPr>
          <w:rFonts w:eastAsia="Calibri"/>
          <w:iCs/>
          <w:sz w:val="28"/>
          <w:szCs w:val="28"/>
          <w:lang w:val="en-US" w:eastAsia="en-US"/>
        </w:rPr>
        <w:t xml:space="preserve"> 2019;45(5): 526–531.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iCs/>
          <w:sz w:val="28"/>
          <w:szCs w:val="28"/>
          <w:lang w:val="en-US" w:eastAsia="en-US"/>
        </w:rPr>
        <w:t>10.1016/</w:t>
      </w:r>
      <w:r w:rsidRPr="00520861">
        <w:rPr>
          <w:rFonts w:eastAsia="Calibri"/>
          <w:iCs/>
          <w:sz w:val="28"/>
          <w:szCs w:val="28"/>
          <w:lang w:val="en-GB" w:eastAsia="en-US"/>
        </w:rPr>
        <w:t>j</w:t>
      </w:r>
      <w:r w:rsidRPr="00520861">
        <w:rPr>
          <w:rFonts w:eastAsia="Calibri"/>
          <w:iCs/>
          <w:sz w:val="28"/>
          <w:szCs w:val="28"/>
          <w:lang w:val="en-US" w:eastAsia="en-US"/>
        </w:rPr>
        <w:t>.</w:t>
      </w:r>
      <w:proofErr w:type="spellStart"/>
      <w:r w:rsidRPr="00520861">
        <w:rPr>
          <w:rFonts w:eastAsia="Calibri"/>
          <w:iCs/>
          <w:sz w:val="28"/>
          <w:szCs w:val="28"/>
          <w:lang w:val="en-GB" w:eastAsia="en-US"/>
        </w:rPr>
        <w:t>joen</w:t>
      </w:r>
      <w:proofErr w:type="spellEnd"/>
      <w:r w:rsidRPr="00520861">
        <w:rPr>
          <w:rFonts w:eastAsia="Calibri"/>
          <w:iCs/>
          <w:sz w:val="28"/>
          <w:szCs w:val="28"/>
          <w:lang w:val="en-US" w:eastAsia="en-US"/>
        </w:rPr>
        <w:t>.2018.10.022.</w:t>
      </w:r>
    </w:p>
    <w:p w14:paraId="30B9743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sz w:val="28"/>
          <w:szCs w:val="28"/>
          <w:lang w:val="en-US"/>
        </w:rPr>
        <w:t xml:space="preserve">Pinheiro M, Ma X, Fagan MJ, McIntyre GT, Lin P, </w:t>
      </w:r>
      <w:proofErr w:type="spellStart"/>
      <w:r w:rsidRPr="00520861">
        <w:rPr>
          <w:sz w:val="28"/>
          <w:szCs w:val="28"/>
          <w:lang w:val="en-US"/>
        </w:rPr>
        <w:t>Sivamurthy</w:t>
      </w:r>
      <w:proofErr w:type="spellEnd"/>
      <w:r w:rsidRPr="00520861">
        <w:rPr>
          <w:sz w:val="28"/>
          <w:szCs w:val="28"/>
          <w:lang w:val="en-US"/>
        </w:rPr>
        <w:t xml:space="preserve"> G, et al. A 3D cephalometric protocol for the accurate quantification of the craniofacial symmetry and facial growth. </w:t>
      </w:r>
      <w:r w:rsidRPr="00520861">
        <w:rPr>
          <w:i/>
          <w:sz w:val="28"/>
          <w:szCs w:val="28"/>
          <w:lang w:val="en-US"/>
        </w:rPr>
        <w:t>J Biol Eng</w:t>
      </w:r>
      <w:r w:rsidRPr="00520861">
        <w:rPr>
          <w:sz w:val="28"/>
          <w:szCs w:val="28"/>
          <w:lang w:val="en-US"/>
        </w:rPr>
        <w:t>. 2019;13: 1–11. Available from: DOI: 10.1186/s13036-019-0171-6.</w:t>
      </w:r>
    </w:p>
    <w:p w14:paraId="55ACCDD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Pinto</w:t>
      </w:r>
      <w:proofErr w:type="spellEnd"/>
      <w:r w:rsidRPr="00520861">
        <w:rPr>
          <w:rFonts w:eastAsiaTheme="minorHAnsi"/>
          <w:sz w:val="28"/>
          <w:szCs w:val="28"/>
          <w:lang w:eastAsia="en-US"/>
        </w:rPr>
        <w:t xml:space="preserve"> LA, </w:t>
      </w:r>
      <w:proofErr w:type="spellStart"/>
      <w:r w:rsidRPr="00520861">
        <w:rPr>
          <w:rFonts w:eastAsiaTheme="minorHAnsi"/>
          <w:sz w:val="28"/>
          <w:szCs w:val="28"/>
          <w:lang w:eastAsia="en-US"/>
        </w:rPr>
        <w:t>Guerra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Anto</w:t>
      </w:r>
      <w:proofErr w:type="spellEnd"/>
      <w:r w:rsidRPr="00520861">
        <w:rPr>
          <w:rFonts w:eastAsiaTheme="minorHAnsi"/>
          <w:sz w:val="28"/>
          <w:szCs w:val="28"/>
          <w:lang w:eastAsia="en-US"/>
        </w:rPr>
        <w:t xml:space="preserve"> JM, </w:t>
      </w:r>
      <w:proofErr w:type="spellStart"/>
      <w:r w:rsidRPr="00520861">
        <w:rPr>
          <w:rFonts w:eastAsiaTheme="minorHAnsi"/>
          <w:sz w:val="28"/>
          <w:szCs w:val="28"/>
          <w:lang w:eastAsia="en-US"/>
        </w:rPr>
        <w:t>Postma</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Koppelman</w:t>
      </w:r>
      <w:proofErr w:type="spellEnd"/>
      <w:r w:rsidRPr="00520861">
        <w:rPr>
          <w:rFonts w:eastAsiaTheme="minorHAnsi"/>
          <w:sz w:val="28"/>
          <w:szCs w:val="28"/>
          <w:lang w:eastAsia="en-US"/>
        </w:rPr>
        <w:t xml:space="preserve"> GH, </w:t>
      </w:r>
      <w:proofErr w:type="spellStart"/>
      <w:r w:rsidRPr="00520861">
        <w:rPr>
          <w:rFonts w:eastAsiaTheme="minorHAnsi"/>
          <w:sz w:val="28"/>
          <w:szCs w:val="28"/>
          <w:lang w:eastAsia="en-US"/>
        </w:rPr>
        <w:t>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Jongste</w:t>
      </w:r>
      <w:proofErr w:type="spellEnd"/>
      <w:r w:rsidRPr="00520861">
        <w:rPr>
          <w:rFonts w:eastAsiaTheme="minorHAnsi"/>
          <w:sz w:val="28"/>
          <w:szCs w:val="28"/>
          <w:lang w:eastAsia="en-US"/>
        </w:rPr>
        <w:t xml:space="preserve"> JC, </w:t>
      </w:r>
      <w:r w:rsidRPr="00520861">
        <w:rPr>
          <w:rFonts w:eastAsiaTheme="minorHAnsi"/>
          <w:sz w:val="28"/>
          <w:szCs w:val="28"/>
          <w:lang w:val="en-US" w:eastAsia="en-US"/>
        </w:rPr>
        <w:t>et al.</w:t>
      </w:r>
      <w:r w:rsidRPr="00520861">
        <w:rPr>
          <w:rFonts w:eastAsiaTheme="minorHAnsi"/>
          <w:sz w:val="28"/>
          <w:szCs w:val="28"/>
          <w:lang w:eastAsia="en-US"/>
        </w:rPr>
        <w:t xml:space="preserve"> </w:t>
      </w:r>
      <w:proofErr w:type="spellStart"/>
      <w:r w:rsidRPr="00520861">
        <w:rPr>
          <w:rFonts w:eastAsiaTheme="minorHAnsi"/>
          <w:sz w:val="28"/>
          <w:szCs w:val="28"/>
          <w:lang w:eastAsia="en-US"/>
        </w:rPr>
        <w:t>Increased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asthma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large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Exp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lastRenderedPageBreak/>
        <w:t>Allergy</w:t>
      </w:r>
      <w:proofErr w:type="spellEnd"/>
      <w:r w:rsidRPr="00520861">
        <w:rPr>
          <w:rFonts w:eastAsiaTheme="minorHAnsi"/>
          <w:sz w:val="28"/>
          <w:szCs w:val="28"/>
          <w:lang w:eastAsia="en-US"/>
        </w:rPr>
        <w:t>. 2017;47(8):</w:t>
      </w:r>
      <w:r w:rsidRPr="00520861">
        <w:rPr>
          <w:rFonts w:eastAsiaTheme="minorHAnsi"/>
          <w:sz w:val="28"/>
          <w:szCs w:val="28"/>
          <w:lang w:val="en-US" w:eastAsia="en-US"/>
        </w:rPr>
        <w:t xml:space="preserve"> </w:t>
      </w:r>
      <w:r w:rsidRPr="00520861">
        <w:rPr>
          <w:rFonts w:eastAsiaTheme="minorHAnsi"/>
          <w:sz w:val="28"/>
          <w:szCs w:val="28"/>
          <w:lang w:eastAsia="en-US"/>
        </w:rPr>
        <w:t xml:space="preserve">1050–1056.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 xml:space="preserve">10.1111/cea.12961. </w:t>
      </w:r>
    </w:p>
    <w:p w14:paraId="61621CE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Pires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Martins</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Pereira</w:t>
      </w:r>
      <w:proofErr w:type="spellEnd"/>
      <w:r w:rsidRPr="00520861">
        <w:rPr>
          <w:rFonts w:eastAsiaTheme="minorHAnsi"/>
          <w:sz w:val="28"/>
          <w:szCs w:val="28"/>
          <w:lang w:eastAsia="en-US"/>
        </w:rPr>
        <w:t xml:space="preserve"> AM, </w:t>
      </w:r>
      <w:proofErr w:type="spellStart"/>
      <w:r w:rsidRPr="00520861">
        <w:rPr>
          <w:rFonts w:eastAsiaTheme="minorHAnsi"/>
          <w:sz w:val="28"/>
          <w:szCs w:val="28"/>
          <w:lang w:eastAsia="en-US"/>
        </w:rPr>
        <w:t>Marinho</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Silva</w:t>
      </w:r>
      <w:proofErr w:type="spellEnd"/>
      <w:r w:rsidRPr="00520861">
        <w:rPr>
          <w:rFonts w:eastAsiaTheme="minorHAnsi"/>
          <w:sz w:val="28"/>
          <w:szCs w:val="28"/>
          <w:lang w:eastAsia="en-US"/>
        </w:rPr>
        <w:t xml:space="preserve"> PV, </w:t>
      </w:r>
      <w:proofErr w:type="spellStart"/>
      <w:r w:rsidRPr="00520861">
        <w:rPr>
          <w:rFonts w:eastAsiaTheme="minorHAnsi"/>
          <w:sz w:val="28"/>
          <w:szCs w:val="28"/>
          <w:lang w:eastAsia="en-US"/>
        </w:rPr>
        <w:t>Marques</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r w:rsidR="00DD7893" w:rsidRPr="00520861">
        <w:rPr>
          <w:rFonts w:eastAsiaTheme="minorHAnsi"/>
          <w:sz w:val="28"/>
          <w:szCs w:val="28"/>
          <w:lang w:eastAsia="en-US"/>
        </w:rPr>
        <w:br/>
      </w:r>
      <w:proofErr w:type="spellStart"/>
      <w:r w:rsidRPr="00520861">
        <w:rPr>
          <w:rFonts w:eastAsiaTheme="minorHAnsi"/>
          <w:sz w:val="28"/>
          <w:szCs w:val="28"/>
          <w:lang w:eastAsia="en-US"/>
        </w:rPr>
        <w:t>Pro-inflammatory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triggers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leptin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adiponectin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high-sensitivity</w:t>
      </w:r>
      <w:proofErr w:type="spellEnd"/>
      <w:r w:rsidRPr="00520861">
        <w:rPr>
          <w:rFonts w:eastAsiaTheme="minorHAnsi"/>
          <w:sz w:val="28"/>
          <w:szCs w:val="28"/>
          <w:lang w:eastAsia="en-US"/>
        </w:rPr>
        <w:t xml:space="preserve"> C-</w:t>
      </w:r>
      <w:proofErr w:type="spellStart"/>
      <w:r w:rsidRPr="00520861">
        <w:rPr>
          <w:rFonts w:eastAsiaTheme="minorHAnsi"/>
          <w:sz w:val="28"/>
          <w:szCs w:val="28"/>
          <w:lang w:eastAsia="en-US"/>
        </w:rPr>
        <w:t>reactive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protein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group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Portuguese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Port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Cardiol</w:t>
      </w:r>
      <w:proofErr w:type="spellEnd"/>
      <w:r w:rsidRPr="00520861">
        <w:rPr>
          <w:rFonts w:eastAsiaTheme="minorHAnsi"/>
          <w:sz w:val="28"/>
          <w:szCs w:val="28"/>
          <w:lang w:eastAsia="en-US"/>
        </w:rPr>
        <w:t xml:space="preserve">. 2014;33(11): 691–697.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10.1016/j.repc.2014.04.004.</w:t>
      </w:r>
    </w:p>
    <w:p w14:paraId="0BFBBBA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Pirsean</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Neguț</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Stefan-van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Staden</w:t>
      </w:r>
      <w:proofErr w:type="spellEnd"/>
      <w:r w:rsidRPr="00520861">
        <w:rPr>
          <w:rFonts w:eastAsiaTheme="minorHAnsi"/>
          <w:sz w:val="28"/>
          <w:szCs w:val="28"/>
          <w:lang w:eastAsia="en-US"/>
        </w:rPr>
        <w:t xml:space="preserve"> RI, </w:t>
      </w:r>
      <w:proofErr w:type="spellStart"/>
      <w:r w:rsidRPr="00520861">
        <w:rPr>
          <w:rFonts w:eastAsiaTheme="minorHAnsi"/>
          <w:sz w:val="28"/>
          <w:szCs w:val="28"/>
          <w:lang w:eastAsia="en-US"/>
        </w:rPr>
        <w:t>Dinu-Pirvu</w:t>
      </w:r>
      <w:proofErr w:type="spellEnd"/>
      <w:r w:rsidRPr="00520861">
        <w:rPr>
          <w:rFonts w:eastAsiaTheme="minorHAnsi"/>
          <w:sz w:val="28"/>
          <w:szCs w:val="28"/>
          <w:lang w:eastAsia="en-US"/>
        </w:rPr>
        <w:t xml:space="preserve"> CE, </w:t>
      </w:r>
      <w:proofErr w:type="spellStart"/>
      <w:r w:rsidRPr="00520861">
        <w:rPr>
          <w:rFonts w:eastAsiaTheme="minorHAnsi"/>
          <w:sz w:val="28"/>
          <w:szCs w:val="28"/>
          <w:lang w:eastAsia="en-US"/>
        </w:rPr>
        <w:t>Armean</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Udeanu</w:t>
      </w:r>
      <w:proofErr w:type="spellEnd"/>
      <w:r w:rsidRPr="00520861">
        <w:rPr>
          <w:rFonts w:eastAsiaTheme="minorHAnsi"/>
          <w:sz w:val="28"/>
          <w:szCs w:val="28"/>
          <w:lang w:eastAsia="en-US"/>
        </w:rPr>
        <w:t xml:space="preserve"> DI.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leptin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interleukin-6 </w:t>
      </w:r>
      <w:proofErr w:type="spellStart"/>
      <w:r w:rsidRPr="00520861">
        <w:rPr>
          <w:rFonts w:eastAsiaTheme="minorHAnsi"/>
          <w:sz w:val="28"/>
          <w:szCs w:val="28"/>
          <w:lang w:eastAsia="en-US"/>
        </w:rPr>
        <w:t>as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potential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inflammatory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markers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One</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2019</w:t>
      </w:r>
      <w:r w:rsidRPr="00520861">
        <w:rPr>
          <w:rFonts w:eastAsiaTheme="minorHAnsi"/>
          <w:sz w:val="28"/>
          <w:szCs w:val="28"/>
          <w:lang w:val="en-US" w:eastAsia="en-US"/>
        </w:rPr>
        <w:t xml:space="preserve"> Jan [cited 2020 Jul 13]</w:t>
      </w:r>
      <w:r w:rsidRPr="00520861">
        <w:rPr>
          <w:rFonts w:eastAsiaTheme="minorHAnsi"/>
          <w:sz w:val="28"/>
          <w:szCs w:val="28"/>
          <w:lang w:eastAsia="en-US"/>
        </w:rPr>
        <w:t xml:space="preserve">; 14(1): e0210288.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10.1371/journal.pone.0210288.</w:t>
      </w:r>
    </w:p>
    <w:p w14:paraId="535B11E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Porcheri</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Mitsiadis</w:t>
      </w:r>
      <w:proofErr w:type="spellEnd"/>
      <w:r w:rsidRPr="00520861">
        <w:rPr>
          <w:rFonts w:eastAsiaTheme="minorHAnsi"/>
          <w:sz w:val="28"/>
          <w:szCs w:val="28"/>
          <w:lang w:eastAsia="en-US"/>
        </w:rPr>
        <w:t xml:space="preserve"> TA. </w:t>
      </w:r>
      <w:proofErr w:type="spellStart"/>
      <w:r w:rsidRPr="00520861">
        <w:rPr>
          <w:rFonts w:eastAsiaTheme="minorHAnsi"/>
          <w:sz w:val="28"/>
          <w:szCs w:val="28"/>
          <w:lang w:eastAsia="en-US"/>
        </w:rPr>
        <w:t>Physiology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Regeneration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Cells</w:t>
      </w:r>
      <w:proofErr w:type="spellEnd"/>
      <w:r w:rsidRPr="00520861">
        <w:rPr>
          <w:rFonts w:eastAsiaTheme="minorHAnsi"/>
          <w:sz w:val="28"/>
          <w:szCs w:val="28"/>
          <w:lang w:val="ru-RU" w:eastAsia="en-US"/>
        </w:rPr>
        <w:t xml:space="preserve"> [Internet]</w:t>
      </w:r>
      <w:r w:rsidRPr="00520861">
        <w:rPr>
          <w:rFonts w:eastAsiaTheme="minorHAnsi"/>
          <w:sz w:val="28"/>
          <w:szCs w:val="28"/>
          <w:lang w:eastAsia="en-US"/>
        </w:rPr>
        <w:t>. 2019</w:t>
      </w:r>
      <w:r w:rsidRPr="00520861">
        <w:rPr>
          <w:rFonts w:eastAsiaTheme="minorHAnsi"/>
          <w:sz w:val="28"/>
          <w:szCs w:val="28"/>
          <w:lang w:val="en-US" w:eastAsia="en-US"/>
        </w:rPr>
        <w:t xml:space="preserve"> </w:t>
      </w:r>
      <w:proofErr w:type="spellStart"/>
      <w:r w:rsidRPr="00520861">
        <w:rPr>
          <w:rFonts w:eastAsiaTheme="minorHAnsi"/>
          <w:sz w:val="28"/>
          <w:szCs w:val="28"/>
          <w:lang w:val="ru-RU" w:eastAsia="en-US"/>
        </w:rPr>
        <w:t>Aug</w:t>
      </w:r>
      <w:proofErr w:type="spellEnd"/>
      <w:r w:rsidRPr="00520861">
        <w:rPr>
          <w:rFonts w:eastAsiaTheme="minorHAnsi"/>
          <w:sz w:val="28"/>
          <w:szCs w:val="28"/>
          <w:lang w:val="en-US" w:eastAsia="en-US"/>
        </w:rPr>
        <w:t xml:space="preserve"> [cited 2020 Jul 6]</w:t>
      </w:r>
      <w:r w:rsidRPr="00520861">
        <w:rPr>
          <w:rFonts w:eastAsiaTheme="minorHAnsi"/>
          <w:sz w:val="28"/>
          <w:szCs w:val="28"/>
          <w:lang w:eastAsia="en-US"/>
        </w:rPr>
        <w:t>;8(9):</w:t>
      </w:r>
      <w:r w:rsidRPr="00520861">
        <w:rPr>
          <w:rFonts w:eastAsiaTheme="minorHAnsi"/>
          <w:sz w:val="28"/>
          <w:szCs w:val="28"/>
          <w:lang w:val="en-US" w:eastAsia="en-US"/>
        </w:rPr>
        <w:t xml:space="preserve"> </w:t>
      </w:r>
      <w:r w:rsidRPr="00520861">
        <w:rPr>
          <w:rFonts w:eastAsiaTheme="minorHAnsi"/>
          <w:sz w:val="28"/>
          <w:szCs w:val="28"/>
          <w:lang w:eastAsia="en-US"/>
        </w:rPr>
        <w:t xml:space="preserve">976.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10.3390/cells8090976</w:t>
      </w:r>
      <w:r w:rsidRPr="00520861">
        <w:rPr>
          <w:rFonts w:eastAsiaTheme="minorHAnsi"/>
          <w:sz w:val="28"/>
          <w:szCs w:val="28"/>
          <w:lang w:val="en-US" w:eastAsia="en-US"/>
        </w:rPr>
        <w:t>.</w:t>
      </w:r>
    </w:p>
    <w:p w14:paraId="67CA4D5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Poumpros</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Loberg</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Engström</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Thyroid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function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root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resorption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Angle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Orthod</w:t>
      </w:r>
      <w:proofErr w:type="spellEnd"/>
      <w:r w:rsidRPr="00520861">
        <w:rPr>
          <w:rFonts w:eastAsiaTheme="minorHAnsi"/>
          <w:sz w:val="28"/>
          <w:szCs w:val="28"/>
          <w:lang w:eastAsia="en-US"/>
        </w:rPr>
        <w:t>. 1994;64(5): 389–</w:t>
      </w:r>
      <w:r w:rsidRPr="00520861">
        <w:rPr>
          <w:rFonts w:eastAsiaTheme="minorHAnsi"/>
          <w:sz w:val="28"/>
          <w:szCs w:val="28"/>
          <w:lang w:val="en-US" w:eastAsia="en-US"/>
        </w:rPr>
        <w:t>3</w:t>
      </w:r>
      <w:r w:rsidRPr="00520861">
        <w:rPr>
          <w:rFonts w:eastAsiaTheme="minorHAnsi"/>
          <w:sz w:val="28"/>
          <w:szCs w:val="28"/>
          <w:lang w:eastAsia="en-US"/>
        </w:rPr>
        <w:t>93.</w:t>
      </w:r>
    </w:p>
    <w:p w14:paraId="5704EF1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Pransky</w:t>
      </w:r>
      <w:proofErr w:type="spellEnd"/>
      <w:r w:rsidRPr="00520861">
        <w:rPr>
          <w:rFonts w:eastAsiaTheme="minorHAnsi"/>
          <w:sz w:val="28"/>
          <w:szCs w:val="28"/>
          <w:lang w:eastAsia="en-US"/>
        </w:rPr>
        <w:t xml:space="preserve"> SM</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Lago</w:t>
      </w:r>
      <w:proofErr w:type="spellEnd"/>
      <w:r w:rsidRPr="00520861">
        <w:rPr>
          <w:rFonts w:eastAsiaTheme="minorHAnsi"/>
          <w:sz w:val="28"/>
          <w:szCs w:val="28"/>
          <w:lang w:eastAsia="en-US"/>
        </w:rPr>
        <w:t xml:space="preserve"> D</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Hong</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Breastfeeding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difficulties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cavity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anomalies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posterior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ankyloglossia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upper-lip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Otorhinolaryngol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2015</w:t>
      </w:r>
      <w:r w:rsidRPr="00520861">
        <w:rPr>
          <w:rFonts w:eastAsiaTheme="minorHAnsi"/>
          <w:sz w:val="28"/>
          <w:szCs w:val="28"/>
          <w:lang w:val="en-US" w:eastAsia="en-US"/>
        </w:rPr>
        <w:t>;</w:t>
      </w:r>
      <w:r w:rsidRPr="00520861">
        <w:rPr>
          <w:rFonts w:eastAsiaTheme="minorHAnsi"/>
          <w:sz w:val="28"/>
          <w:szCs w:val="28"/>
          <w:lang w:eastAsia="en-US"/>
        </w:rPr>
        <w:t>79(10)</w:t>
      </w:r>
      <w:r w:rsidRPr="00520861">
        <w:rPr>
          <w:rFonts w:eastAsiaTheme="minorHAnsi"/>
          <w:sz w:val="28"/>
          <w:szCs w:val="28"/>
          <w:lang w:val="en-US" w:eastAsia="en-US"/>
        </w:rPr>
        <w:t>:</w:t>
      </w:r>
      <w:r w:rsidRPr="00520861">
        <w:rPr>
          <w:rFonts w:eastAsiaTheme="minorHAnsi"/>
          <w:sz w:val="28"/>
          <w:szCs w:val="28"/>
          <w:lang w:eastAsia="en-US"/>
        </w:rPr>
        <w:t xml:space="preserve"> 1714–</w:t>
      </w:r>
      <w:r w:rsidRPr="00520861">
        <w:rPr>
          <w:rFonts w:eastAsiaTheme="minorHAnsi"/>
          <w:sz w:val="28"/>
          <w:szCs w:val="28"/>
          <w:lang w:val="en-US" w:eastAsia="en-US"/>
        </w:rPr>
        <w:t>171</w:t>
      </w:r>
      <w:r w:rsidRPr="00520861">
        <w:rPr>
          <w:rFonts w:eastAsiaTheme="minorHAnsi"/>
          <w:sz w:val="28"/>
          <w:szCs w:val="28"/>
          <w:lang w:eastAsia="en-US"/>
        </w:rPr>
        <w:t>7.</w:t>
      </w:r>
    </w:p>
    <w:p w14:paraId="73546CC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Quinn</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Comparing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old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people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years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Nutrition</w:t>
      </w:r>
      <w:proofErr w:type="spellEnd"/>
      <w:r w:rsidRPr="00520861">
        <w:rPr>
          <w:rFonts w:eastAsiaTheme="minorHAnsi"/>
          <w:sz w:val="28"/>
          <w:szCs w:val="28"/>
          <w:lang w:eastAsia="en-US"/>
        </w:rPr>
        <w:t>. 2005</w:t>
      </w:r>
      <w:r w:rsidRPr="00520861">
        <w:rPr>
          <w:rFonts w:eastAsiaTheme="minorHAnsi"/>
          <w:sz w:val="28"/>
          <w:szCs w:val="28"/>
          <w:lang w:val="en-US" w:eastAsia="en-US"/>
        </w:rPr>
        <w:t>;</w:t>
      </w:r>
      <w:r w:rsidRPr="00520861">
        <w:rPr>
          <w:rFonts w:eastAsiaTheme="minorHAnsi"/>
          <w:sz w:val="28"/>
          <w:szCs w:val="28"/>
          <w:lang w:eastAsia="en-US"/>
        </w:rPr>
        <w:t xml:space="preserve"> 21</w:t>
      </w:r>
      <w:r w:rsidRPr="00520861">
        <w:rPr>
          <w:rFonts w:eastAsiaTheme="minorHAnsi"/>
          <w:sz w:val="28"/>
          <w:szCs w:val="28"/>
          <w:lang w:val="en-US" w:eastAsia="en-US"/>
        </w:rPr>
        <w:t>(</w:t>
      </w:r>
      <w:r w:rsidRPr="00520861">
        <w:rPr>
          <w:rFonts w:eastAsiaTheme="minorHAnsi"/>
          <w:sz w:val="28"/>
          <w:szCs w:val="28"/>
          <w:lang w:eastAsia="en-US"/>
        </w:rPr>
        <w:t>6</w:t>
      </w:r>
      <w:r w:rsidRPr="00520861">
        <w:rPr>
          <w:rFonts w:eastAsiaTheme="minorHAnsi"/>
          <w:sz w:val="28"/>
          <w:szCs w:val="28"/>
          <w:lang w:val="en-US" w:eastAsia="en-US"/>
        </w:rPr>
        <w:t>):</w:t>
      </w:r>
      <w:r w:rsidRPr="00520861">
        <w:rPr>
          <w:rFonts w:eastAsiaTheme="minorHAnsi"/>
          <w:sz w:val="28"/>
          <w:szCs w:val="28"/>
          <w:lang w:eastAsia="en-US"/>
        </w:rPr>
        <w:t xml:space="preserve"> 775–</w:t>
      </w:r>
      <w:r w:rsidRPr="00520861">
        <w:rPr>
          <w:rFonts w:eastAsiaTheme="minorHAnsi"/>
          <w:sz w:val="28"/>
          <w:szCs w:val="28"/>
          <w:lang w:val="en-US" w:eastAsia="en-US"/>
        </w:rPr>
        <w:t>77</w:t>
      </w:r>
      <w:r w:rsidRPr="00520861">
        <w:rPr>
          <w:rFonts w:eastAsiaTheme="minorHAnsi"/>
          <w:sz w:val="28"/>
          <w:szCs w:val="28"/>
          <w:lang w:eastAsia="en-US"/>
        </w:rPr>
        <w:t>7.</w:t>
      </w:r>
    </w:p>
    <w:p w14:paraId="08DE66C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eastAsia="en-US"/>
        </w:rPr>
        <w:t>R</w:t>
      </w:r>
      <w:r w:rsidRPr="00520861">
        <w:rPr>
          <w:rFonts w:eastAsiaTheme="minorHAnsi"/>
          <w:sz w:val="28"/>
          <w:szCs w:val="28"/>
          <w:lang w:val="en-US" w:eastAsia="en-US"/>
        </w:rPr>
        <w:t>a</w:t>
      </w:r>
      <w:proofErr w:type="spellStart"/>
      <w:r w:rsidRPr="00520861">
        <w:rPr>
          <w:rFonts w:eastAsiaTheme="minorHAnsi"/>
          <w:sz w:val="28"/>
          <w:szCs w:val="28"/>
          <w:lang w:eastAsia="en-US"/>
        </w:rPr>
        <w:t>ducanu</w:t>
      </w:r>
      <w:proofErr w:type="spellEnd"/>
      <w:r w:rsidRPr="00520861">
        <w:rPr>
          <w:rFonts w:eastAsiaTheme="minorHAnsi"/>
          <w:sz w:val="28"/>
          <w:szCs w:val="28"/>
          <w:lang w:eastAsia="en-US"/>
        </w:rPr>
        <w:t xml:space="preserve"> AM, </w:t>
      </w:r>
      <w:proofErr w:type="spellStart"/>
      <w:r w:rsidRPr="00520861">
        <w:rPr>
          <w:rFonts w:eastAsiaTheme="minorHAnsi"/>
          <w:sz w:val="28"/>
          <w:szCs w:val="28"/>
          <w:lang w:eastAsia="en-US"/>
        </w:rPr>
        <w:t>Feraru</w:t>
      </w:r>
      <w:proofErr w:type="spellEnd"/>
      <w:r w:rsidRPr="00520861">
        <w:rPr>
          <w:rFonts w:eastAsiaTheme="minorHAnsi"/>
          <w:sz w:val="28"/>
          <w:szCs w:val="28"/>
          <w:lang w:eastAsia="en-US"/>
        </w:rPr>
        <w:t xml:space="preserve"> VI. </w:t>
      </w:r>
      <w:proofErr w:type="spellStart"/>
      <w:r w:rsidRPr="00520861">
        <w:rPr>
          <w:rFonts w:eastAsiaTheme="minorHAnsi"/>
          <w:sz w:val="28"/>
          <w:szCs w:val="28"/>
          <w:lang w:eastAsia="en-US"/>
        </w:rPr>
        <w:t>Delayed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 </w:t>
      </w:r>
      <w:proofErr w:type="spellStart"/>
      <w:r w:rsidRPr="00520861">
        <w:rPr>
          <w:rFonts w:eastAsiaTheme="minorHAnsi"/>
          <w:sz w:val="28"/>
          <w:szCs w:val="28"/>
          <w:lang w:eastAsia="en-US"/>
        </w:rPr>
        <w:t>Case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OHDMBSC</w:t>
      </w:r>
      <w:r w:rsidRPr="00520861">
        <w:rPr>
          <w:rFonts w:eastAsiaTheme="minorHAnsi"/>
          <w:sz w:val="28"/>
          <w:szCs w:val="28"/>
          <w:lang w:val="en-US" w:eastAsia="en-US"/>
        </w:rPr>
        <w:t xml:space="preserve">. </w:t>
      </w:r>
      <w:r w:rsidRPr="00520861">
        <w:rPr>
          <w:rFonts w:eastAsiaTheme="minorHAnsi"/>
          <w:sz w:val="28"/>
          <w:szCs w:val="28"/>
          <w:lang w:eastAsia="en-US"/>
        </w:rPr>
        <w:t>2007;6 (4): 58–65</w:t>
      </w:r>
      <w:r w:rsidRPr="00520861">
        <w:rPr>
          <w:rFonts w:eastAsiaTheme="minorHAnsi"/>
          <w:sz w:val="28"/>
          <w:szCs w:val="28"/>
          <w:lang w:val="en-US" w:eastAsia="en-US"/>
        </w:rPr>
        <w:t>.</w:t>
      </w:r>
    </w:p>
    <w:p w14:paraId="5719178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Calibri"/>
          <w:sz w:val="28"/>
          <w:szCs w:val="28"/>
          <w:lang w:val="en-US" w:eastAsia="en-US"/>
        </w:rPr>
        <w:t xml:space="preserve">Ramos-Nino ME. The role of chronic inflammation in obesity-associated cancers. </w:t>
      </w:r>
      <w:r w:rsidRPr="00520861">
        <w:rPr>
          <w:rFonts w:eastAsia="Calibri"/>
          <w:i/>
          <w:sz w:val="28"/>
          <w:szCs w:val="28"/>
          <w:lang w:val="en-US" w:eastAsia="en-US"/>
        </w:rPr>
        <w:t>ISRN Oncol</w:t>
      </w:r>
      <w:r w:rsidRPr="00520861">
        <w:rPr>
          <w:rFonts w:eastAsiaTheme="minorHAnsi"/>
          <w:sz w:val="28"/>
          <w:szCs w:val="28"/>
          <w:lang w:val="ru-RU" w:eastAsia="en-US"/>
        </w:rPr>
        <w:t xml:space="preserve"> </w:t>
      </w:r>
      <w:r w:rsidRPr="00520861">
        <w:rPr>
          <w:rFonts w:eastAsia="Calibri"/>
          <w:sz w:val="28"/>
          <w:szCs w:val="28"/>
          <w:lang w:val="ru-RU" w:eastAsia="en-US"/>
        </w:rPr>
        <w:t>[Internet]</w:t>
      </w:r>
      <w:r w:rsidRPr="00520861">
        <w:rPr>
          <w:rFonts w:eastAsia="Calibri"/>
          <w:sz w:val="28"/>
          <w:szCs w:val="28"/>
          <w:lang w:val="en-US" w:eastAsia="en-US"/>
        </w:rPr>
        <w:t xml:space="preserve">. 2013 May [cited 2020 Jun 3];2013: 697521. </w:t>
      </w:r>
      <w:proofErr w:type="spellStart"/>
      <w:r w:rsidRPr="00520861">
        <w:rPr>
          <w:sz w:val="28"/>
          <w:szCs w:val="28"/>
        </w:rPr>
        <w:t>Available</w:t>
      </w:r>
      <w:proofErr w:type="spellEnd"/>
      <w:r w:rsidRPr="00520861">
        <w:rPr>
          <w:sz w:val="28"/>
          <w:szCs w:val="28"/>
        </w:rPr>
        <w:t xml:space="preserve"> </w:t>
      </w:r>
      <w:r w:rsidRPr="00520861">
        <w:rPr>
          <w:sz w:val="28"/>
          <w:szCs w:val="28"/>
          <w:lang w:val="en-US"/>
        </w:rPr>
        <w:t>from</w:t>
      </w:r>
      <w:r w:rsidRPr="00520861">
        <w:rPr>
          <w:sz w:val="28"/>
          <w:szCs w:val="28"/>
        </w:rPr>
        <w:t xml:space="preserve">: </w:t>
      </w:r>
      <w:r w:rsidRPr="00520861">
        <w:rPr>
          <w:rFonts w:eastAsia="Calibri"/>
          <w:sz w:val="28"/>
          <w:szCs w:val="28"/>
          <w:lang w:val="en-US" w:eastAsia="en-US"/>
        </w:rPr>
        <w:t>DOI: 10.1155/2013/697521.</w:t>
      </w:r>
      <w:r w:rsidRPr="00520861">
        <w:rPr>
          <w:rFonts w:eastAsiaTheme="minorHAnsi"/>
          <w:sz w:val="28"/>
          <w:szCs w:val="28"/>
          <w:lang w:eastAsia="en-US"/>
        </w:rPr>
        <w:t xml:space="preserve"> </w:t>
      </w:r>
    </w:p>
    <w:p w14:paraId="78A8D4A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Ranadheer</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Nayak</w:t>
      </w:r>
      <w:proofErr w:type="spellEnd"/>
      <w:r w:rsidRPr="00520861">
        <w:rPr>
          <w:rFonts w:eastAsiaTheme="minorHAnsi"/>
          <w:sz w:val="28"/>
          <w:szCs w:val="28"/>
          <w:lang w:eastAsia="en-US"/>
        </w:rPr>
        <w:t xml:space="preserve"> UA, </w:t>
      </w:r>
      <w:proofErr w:type="spellStart"/>
      <w:r w:rsidRPr="00520861">
        <w:rPr>
          <w:rFonts w:eastAsiaTheme="minorHAnsi"/>
          <w:sz w:val="28"/>
          <w:szCs w:val="28"/>
          <w:lang w:eastAsia="en-US"/>
        </w:rPr>
        <w:t>Reddy</w:t>
      </w:r>
      <w:proofErr w:type="spellEnd"/>
      <w:r w:rsidRPr="00520861">
        <w:rPr>
          <w:rFonts w:eastAsiaTheme="minorHAnsi"/>
          <w:sz w:val="28"/>
          <w:szCs w:val="28"/>
          <w:lang w:eastAsia="en-US"/>
        </w:rPr>
        <w:t xml:space="preserve"> NV, </w:t>
      </w:r>
      <w:proofErr w:type="spellStart"/>
      <w:r w:rsidRPr="00520861">
        <w:rPr>
          <w:rFonts w:eastAsiaTheme="minorHAnsi"/>
          <w:sz w:val="28"/>
          <w:szCs w:val="28"/>
          <w:lang w:eastAsia="en-US"/>
        </w:rPr>
        <w:t>Rao</w:t>
      </w:r>
      <w:proofErr w:type="spellEnd"/>
      <w:r w:rsidRPr="00520861">
        <w:rPr>
          <w:rFonts w:eastAsiaTheme="minorHAnsi"/>
          <w:sz w:val="28"/>
          <w:szCs w:val="28"/>
          <w:lang w:eastAsia="en-US"/>
        </w:rPr>
        <w:t xml:space="preserve"> VA..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IgA</w:t>
      </w:r>
      <w:proofErr w:type="spellEnd"/>
      <w:r w:rsidRPr="00520861">
        <w:rPr>
          <w:rFonts w:eastAsiaTheme="minorHAnsi"/>
          <w:sz w:val="28"/>
          <w:szCs w:val="28"/>
          <w:lang w:val="en-US" w:eastAsia="en-US"/>
        </w:rPr>
        <w:t xml:space="preserve">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Indian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Soc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Pedod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2011</w:t>
      </w:r>
      <w:r w:rsidRPr="00520861">
        <w:rPr>
          <w:rFonts w:eastAsiaTheme="minorHAnsi"/>
          <w:sz w:val="28"/>
          <w:szCs w:val="28"/>
          <w:lang w:val="en-US" w:eastAsia="en-US"/>
        </w:rPr>
        <w:t>;</w:t>
      </w:r>
      <w:r w:rsidRPr="00520861">
        <w:rPr>
          <w:rFonts w:eastAsiaTheme="minorHAnsi"/>
          <w:sz w:val="28"/>
          <w:szCs w:val="28"/>
          <w:lang w:eastAsia="en-US"/>
        </w:rPr>
        <w:t>29</w:t>
      </w:r>
      <w:r w:rsidRPr="00520861">
        <w:rPr>
          <w:rFonts w:eastAsiaTheme="minorHAnsi"/>
          <w:sz w:val="28"/>
          <w:szCs w:val="28"/>
          <w:lang w:val="en-US" w:eastAsia="en-US"/>
        </w:rPr>
        <w:t>(</w:t>
      </w:r>
      <w:r w:rsidRPr="00520861">
        <w:rPr>
          <w:rFonts w:eastAsiaTheme="minorHAnsi"/>
          <w:sz w:val="28"/>
          <w:szCs w:val="28"/>
          <w:lang w:eastAsia="en-US"/>
        </w:rPr>
        <w:t>2</w:t>
      </w:r>
      <w:r w:rsidRPr="00520861">
        <w:rPr>
          <w:rFonts w:eastAsiaTheme="minorHAnsi"/>
          <w:sz w:val="28"/>
          <w:szCs w:val="28"/>
          <w:lang w:val="en-US" w:eastAsia="en-US"/>
        </w:rPr>
        <w:t xml:space="preserve">): </w:t>
      </w:r>
      <w:r w:rsidRPr="00520861">
        <w:rPr>
          <w:rFonts w:eastAsiaTheme="minorHAnsi"/>
          <w:sz w:val="28"/>
          <w:szCs w:val="28"/>
          <w:lang w:eastAsia="en-US"/>
        </w:rPr>
        <w:t xml:space="preserve">106–112. </w:t>
      </w:r>
    </w:p>
    <w:p w14:paraId="7FF334D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Rangbulla</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Nirola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Gupta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Batra</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Gupta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IgA</w:t>
      </w:r>
      <w:proofErr w:type="spellEnd"/>
      <w:r w:rsidRPr="00520861">
        <w:rPr>
          <w:rFonts w:eastAsiaTheme="minorHAnsi"/>
          <w:sz w:val="28"/>
          <w:szCs w:val="28"/>
          <w:lang w:eastAsia="en-US"/>
        </w:rPr>
        <w:t xml:space="preserve">, interleukin-1beta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MMP-8 </w:t>
      </w:r>
      <w:proofErr w:type="spellStart"/>
      <w:r w:rsidRPr="00520861">
        <w:rPr>
          <w:rFonts w:eastAsiaTheme="minorHAnsi"/>
          <w:sz w:val="28"/>
          <w:szCs w:val="28"/>
          <w:lang w:eastAsia="en-US"/>
        </w:rPr>
        <w:t>as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biomarkers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Chin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2017;20</w:t>
      </w:r>
      <w:r w:rsidRPr="00520861">
        <w:rPr>
          <w:rFonts w:eastAsiaTheme="minorHAnsi"/>
          <w:sz w:val="28"/>
          <w:szCs w:val="28"/>
          <w:lang w:val="en-US" w:eastAsia="en-US"/>
        </w:rPr>
        <w:t>(</w:t>
      </w:r>
      <w:r w:rsidRPr="00520861">
        <w:rPr>
          <w:rFonts w:eastAsiaTheme="minorHAnsi"/>
          <w:sz w:val="28"/>
          <w:szCs w:val="28"/>
          <w:lang w:eastAsia="en-US"/>
        </w:rPr>
        <w:t>1</w:t>
      </w:r>
      <w:r w:rsidRPr="00520861">
        <w:rPr>
          <w:rFonts w:eastAsiaTheme="minorHAnsi"/>
          <w:sz w:val="28"/>
          <w:szCs w:val="28"/>
          <w:lang w:val="en-US" w:eastAsia="en-US"/>
        </w:rPr>
        <w:t>)</w:t>
      </w:r>
      <w:r w:rsidRPr="00520861">
        <w:rPr>
          <w:rFonts w:eastAsiaTheme="minorHAnsi"/>
          <w:sz w:val="28"/>
          <w:szCs w:val="28"/>
          <w:lang w:eastAsia="en-US"/>
        </w:rPr>
        <w:t>:</w:t>
      </w:r>
      <w:r w:rsidRPr="00520861">
        <w:rPr>
          <w:rFonts w:eastAsiaTheme="minorHAnsi"/>
          <w:sz w:val="28"/>
          <w:szCs w:val="28"/>
          <w:lang w:val="en-US" w:eastAsia="en-US"/>
        </w:rPr>
        <w:t xml:space="preserve"> </w:t>
      </w:r>
      <w:r w:rsidRPr="00520861">
        <w:rPr>
          <w:rFonts w:eastAsiaTheme="minorHAnsi"/>
          <w:sz w:val="28"/>
          <w:szCs w:val="28"/>
          <w:lang w:eastAsia="en-US"/>
        </w:rPr>
        <w:t>43–51.</w:t>
      </w:r>
    </w:p>
    <w:p w14:paraId="303E965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Redman</w:t>
      </w:r>
      <w:proofErr w:type="spellEnd"/>
      <w:r w:rsidRPr="00520861">
        <w:rPr>
          <w:rFonts w:eastAsiaTheme="minorHAnsi"/>
          <w:sz w:val="28"/>
          <w:szCs w:val="28"/>
          <w:lang w:eastAsia="en-US"/>
        </w:rPr>
        <w:t xml:space="preserve"> RS. </w:t>
      </w:r>
      <w:proofErr w:type="spellStart"/>
      <w:r w:rsidRPr="00520861">
        <w:rPr>
          <w:rFonts w:eastAsiaTheme="minorHAnsi"/>
          <w:sz w:val="28"/>
          <w:szCs w:val="28"/>
          <w:lang w:eastAsia="en-US"/>
        </w:rPr>
        <w:t>Morphologic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diversity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fertile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ground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function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proteomics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Biotech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Histochem</w:t>
      </w:r>
      <w:proofErr w:type="spellEnd"/>
      <w:r w:rsidRPr="00520861">
        <w:rPr>
          <w:rFonts w:eastAsiaTheme="minorHAnsi"/>
          <w:sz w:val="28"/>
          <w:szCs w:val="28"/>
          <w:lang w:eastAsia="en-US"/>
        </w:rPr>
        <w:t xml:space="preserve">. 2012;87(4): 273–287.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10.3109/10520295.2011.639719.</w:t>
      </w:r>
    </w:p>
    <w:p w14:paraId="6C1A3BA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Redman</w:t>
      </w:r>
      <w:proofErr w:type="spellEnd"/>
      <w:r w:rsidRPr="00520861">
        <w:rPr>
          <w:rFonts w:eastAsiaTheme="minorHAnsi"/>
          <w:sz w:val="28"/>
          <w:szCs w:val="28"/>
          <w:lang w:eastAsia="en-US"/>
        </w:rPr>
        <w:t xml:space="preserve"> RS.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approaches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functional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restoration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damaged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radiation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therapy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neck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cancer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aspects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morphology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Biotech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Histochem</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2008;83:</w:t>
      </w:r>
      <w:r w:rsidRPr="00520861">
        <w:rPr>
          <w:rFonts w:eastAsiaTheme="minorHAnsi"/>
          <w:sz w:val="28"/>
          <w:szCs w:val="28"/>
          <w:lang w:val="en-US" w:eastAsia="en-US"/>
        </w:rPr>
        <w:t xml:space="preserve"> </w:t>
      </w:r>
      <w:r w:rsidRPr="00520861">
        <w:rPr>
          <w:rFonts w:eastAsiaTheme="minorHAnsi"/>
          <w:sz w:val="28"/>
          <w:szCs w:val="28"/>
          <w:lang w:eastAsia="en-US"/>
        </w:rPr>
        <w:t>103–</w:t>
      </w:r>
      <w:r w:rsidRPr="00520861">
        <w:rPr>
          <w:rFonts w:eastAsiaTheme="minorHAnsi"/>
          <w:sz w:val="28"/>
          <w:szCs w:val="28"/>
          <w:lang w:val="en-US" w:eastAsia="en-US"/>
        </w:rPr>
        <w:t>1</w:t>
      </w:r>
      <w:r w:rsidRPr="00520861">
        <w:rPr>
          <w:rFonts w:eastAsiaTheme="minorHAnsi"/>
          <w:sz w:val="28"/>
          <w:szCs w:val="28"/>
          <w:lang w:eastAsia="en-US"/>
        </w:rPr>
        <w:t>30.</w:t>
      </w:r>
    </w:p>
    <w:p w14:paraId="4570654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bCs/>
          <w:sz w:val="28"/>
          <w:szCs w:val="28"/>
          <w:lang w:val="en-GB"/>
        </w:rPr>
        <w:t>Riis</w:t>
      </w:r>
      <w:r w:rsidRPr="00520861">
        <w:rPr>
          <w:bCs/>
          <w:sz w:val="28"/>
          <w:szCs w:val="28"/>
        </w:rPr>
        <w:t xml:space="preserve"> </w:t>
      </w:r>
      <w:r w:rsidRPr="00520861">
        <w:rPr>
          <w:bCs/>
          <w:sz w:val="28"/>
          <w:szCs w:val="28"/>
          <w:lang w:val="en-GB"/>
        </w:rPr>
        <w:t>JL</w:t>
      </w:r>
      <w:r w:rsidRPr="00520861">
        <w:rPr>
          <w:bCs/>
          <w:sz w:val="28"/>
          <w:szCs w:val="28"/>
        </w:rPr>
        <w:t xml:space="preserve">, </w:t>
      </w:r>
      <w:r w:rsidRPr="00520861">
        <w:rPr>
          <w:bCs/>
          <w:sz w:val="28"/>
          <w:szCs w:val="28"/>
          <w:lang w:val="en-GB"/>
        </w:rPr>
        <w:t>Bryce</w:t>
      </w:r>
      <w:r w:rsidRPr="00520861">
        <w:rPr>
          <w:bCs/>
          <w:sz w:val="28"/>
          <w:szCs w:val="28"/>
        </w:rPr>
        <w:t xml:space="preserve"> </w:t>
      </w:r>
      <w:r w:rsidRPr="00520861">
        <w:rPr>
          <w:bCs/>
          <w:sz w:val="28"/>
          <w:szCs w:val="28"/>
          <w:lang w:val="en-GB"/>
        </w:rPr>
        <w:t>CI</w:t>
      </w:r>
      <w:r w:rsidRPr="00520861">
        <w:rPr>
          <w:bCs/>
          <w:sz w:val="28"/>
          <w:szCs w:val="28"/>
        </w:rPr>
        <w:t xml:space="preserve">, </w:t>
      </w:r>
      <w:proofErr w:type="spellStart"/>
      <w:r w:rsidRPr="00520861">
        <w:rPr>
          <w:bCs/>
          <w:sz w:val="28"/>
          <w:szCs w:val="28"/>
          <w:lang w:val="en-GB"/>
        </w:rPr>
        <w:t>Stebbinsd</w:t>
      </w:r>
      <w:proofErr w:type="spellEnd"/>
      <w:r w:rsidRPr="00520861">
        <w:rPr>
          <w:bCs/>
          <w:sz w:val="28"/>
          <w:szCs w:val="28"/>
        </w:rPr>
        <w:t xml:space="preserve"> </w:t>
      </w:r>
      <w:r w:rsidRPr="00520861">
        <w:rPr>
          <w:bCs/>
          <w:sz w:val="28"/>
          <w:szCs w:val="28"/>
          <w:lang w:val="en-GB"/>
        </w:rPr>
        <w:t>JL</w:t>
      </w:r>
      <w:r w:rsidRPr="00520861">
        <w:rPr>
          <w:bCs/>
          <w:sz w:val="28"/>
          <w:szCs w:val="28"/>
        </w:rPr>
        <w:t xml:space="preserve">, </w:t>
      </w:r>
      <w:r w:rsidRPr="00520861">
        <w:rPr>
          <w:bCs/>
          <w:sz w:val="28"/>
          <w:szCs w:val="28"/>
          <w:lang w:val="en-GB"/>
        </w:rPr>
        <w:t>Granger</w:t>
      </w:r>
      <w:r w:rsidRPr="00520861">
        <w:rPr>
          <w:bCs/>
          <w:sz w:val="28"/>
          <w:szCs w:val="28"/>
        </w:rPr>
        <w:t xml:space="preserve"> </w:t>
      </w:r>
      <w:r w:rsidRPr="00520861">
        <w:rPr>
          <w:bCs/>
          <w:sz w:val="28"/>
          <w:szCs w:val="28"/>
          <w:lang w:val="en-GB"/>
        </w:rPr>
        <w:t>DA</w:t>
      </w:r>
      <w:r w:rsidRPr="00520861">
        <w:rPr>
          <w:bCs/>
          <w:sz w:val="28"/>
          <w:szCs w:val="28"/>
        </w:rPr>
        <w:t xml:space="preserve">. </w:t>
      </w:r>
      <w:r w:rsidRPr="00520861">
        <w:rPr>
          <w:bCs/>
          <w:sz w:val="28"/>
          <w:szCs w:val="28"/>
          <w:lang w:val="en-GB"/>
        </w:rPr>
        <w:t xml:space="preserve">Salivary total Immunoglobulin G as a surrogate marker of oral immune activity in salivary bioscience research. </w:t>
      </w:r>
      <w:r w:rsidRPr="00520861">
        <w:rPr>
          <w:bCs/>
          <w:i/>
          <w:sz w:val="28"/>
          <w:szCs w:val="28"/>
          <w:lang w:val="en-GB"/>
        </w:rPr>
        <w:t xml:space="preserve">Brain </w:t>
      </w:r>
      <w:proofErr w:type="spellStart"/>
      <w:r w:rsidRPr="00520861">
        <w:rPr>
          <w:bCs/>
          <w:i/>
          <w:sz w:val="28"/>
          <w:szCs w:val="28"/>
          <w:lang w:val="en-GB"/>
        </w:rPr>
        <w:t>Behavior</w:t>
      </w:r>
      <w:proofErr w:type="spellEnd"/>
      <w:r w:rsidRPr="00520861">
        <w:rPr>
          <w:bCs/>
          <w:i/>
          <w:sz w:val="28"/>
          <w:szCs w:val="28"/>
          <w:lang w:val="en-GB"/>
        </w:rPr>
        <w:t xml:space="preserve"> &amp; Immunity</w:t>
      </w:r>
      <w:r w:rsidRPr="00520861">
        <w:rPr>
          <w:rFonts w:eastAsiaTheme="minorHAnsi"/>
          <w:sz w:val="28"/>
          <w:szCs w:val="28"/>
          <w:lang w:val="en-US" w:eastAsia="en-US"/>
        </w:rPr>
        <w:t xml:space="preserve"> </w:t>
      </w:r>
      <w:r w:rsidRPr="00520861">
        <w:rPr>
          <w:sz w:val="28"/>
          <w:szCs w:val="28"/>
          <w:lang w:val="en-US"/>
        </w:rPr>
        <w:t>[Internet].</w:t>
      </w:r>
      <w:r w:rsidRPr="00520861">
        <w:rPr>
          <w:sz w:val="28"/>
          <w:szCs w:val="28"/>
          <w:lang w:val="en-GB"/>
        </w:rPr>
        <w:t xml:space="preserve"> 2020 </w:t>
      </w:r>
      <w:r w:rsidRPr="00520861">
        <w:rPr>
          <w:sz w:val="28"/>
          <w:szCs w:val="28"/>
          <w:lang w:val="en-US"/>
        </w:rPr>
        <w:t>Jan [cited 2020 Oct 23]</w:t>
      </w:r>
      <w:r w:rsidRPr="00520861">
        <w:rPr>
          <w:sz w:val="28"/>
          <w:szCs w:val="28"/>
          <w:lang w:val="en-GB"/>
        </w:rPr>
        <w:t>;</w:t>
      </w:r>
      <w:hyperlink r:id="rId133" w:history="1">
        <w:r w:rsidRPr="00520861">
          <w:rPr>
            <w:sz w:val="28"/>
            <w:szCs w:val="28"/>
            <w:lang w:val="en-GB"/>
          </w:rPr>
          <w:t>1</w:t>
        </w:r>
      </w:hyperlink>
      <w:r w:rsidRPr="00520861">
        <w:rPr>
          <w:sz w:val="28"/>
          <w:szCs w:val="28"/>
          <w:lang w:val="en-GB"/>
        </w:rPr>
        <w:t xml:space="preserve">: 100014. </w:t>
      </w:r>
      <w:r w:rsidRPr="00520861">
        <w:rPr>
          <w:bCs/>
          <w:sz w:val="28"/>
          <w:szCs w:val="28"/>
          <w:lang w:val="en-US"/>
        </w:rPr>
        <w:t>Available from</w:t>
      </w:r>
      <w:r w:rsidRPr="00520861">
        <w:rPr>
          <w:bCs/>
          <w:sz w:val="28"/>
          <w:szCs w:val="28"/>
        </w:rPr>
        <w:t xml:space="preserve">: </w:t>
      </w:r>
      <w:r w:rsidRPr="00520861">
        <w:rPr>
          <w:bCs/>
          <w:sz w:val="28"/>
          <w:szCs w:val="28"/>
          <w:lang w:val="en-GB"/>
        </w:rPr>
        <w:t>DOI: 10.1016/j.bbih.2019.100014.</w:t>
      </w:r>
    </w:p>
    <w:p w14:paraId="03E9C0A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Rinaudo</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syndrome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Annu</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Physiol</w:t>
      </w:r>
      <w:proofErr w:type="spellEnd"/>
      <w:r w:rsidRPr="00520861">
        <w:rPr>
          <w:rFonts w:eastAsiaTheme="minorHAnsi"/>
          <w:sz w:val="28"/>
          <w:szCs w:val="28"/>
          <w:lang w:eastAsia="en-US"/>
        </w:rPr>
        <w:t>. 2012;74</w:t>
      </w:r>
      <w:r w:rsidRPr="00520861">
        <w:rPr>
          <w:rFonts w:eastAsiaTheme="minorHAnsi"/>
          <w:sz w:val="28"/>
          <w:szCs w:val="28"/>
          <w:lang w:val="en-US" w:eastAsia="en-US"/>
        </w:rPr>
        <w:t>:</w:t>
      </w:r>
      <w:r w:rsidRPr="00520861">
        <w:rPr>
          <w:rFonts w:eastAsiaTheme="minorHAnsi"/>
          <w:sz w:val="28"/>
          <w:szCs w:val="28"/>
          <w:lang w:eastAsia="en-US"/>
        </w:rPr>
        <w:t xml:space="preserve"> 107–130.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10.1146/annurev-physiol-020911-153245</w:t>
      </w:r>
      <w:r w:rsidRPr="00520861">
        <w:rPr>
          <w:rFonts w:eastAsiaTheme="minorHAnsi"/>
          <w:sz w:val="28"/>
          <w:szCs w:val="28"/>
          <w:lang w:val="en-US" w:eastAsia="en-US"/>
        </w:rPr>
        <w:t>.</w:t>
      </w:r>
    </w:p>
    <w:p w14:paraId="39900C6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Rohrer</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Der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korperfulle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ernahrtmgszustandes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Münch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Wochenschr</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1921;68:</w:t>
      </w:r>
      <w:r w:rsidRPr="00520861">
        <w:rPr>
          <w:rFonts w:eastAsiaTheme="minorHAnsi"/>
          <w:sz w:val="28"/>
          <w:szCs w:val="28"/>
          <w:lang w:val="en-US" w:eastAsia="en-US"/>
        </w:rPr>
        <w:t xml:space="preserve"> </w:t>
      </w:r>
      <w:r w:rsidRPr="00520861">
        <w:rPr>
          <w:rFonts w:eastAsiaTheme="minorHAnsi"/>
          <w:sz w:val="28"/>
          <w:szCs w:val="28"/>
          <w:lang w:eastAsia="en-US"/>
        </w:rPr>
        <w:t>580–</w:t>
      </w:r>
      <w:r w:rsidRPr="00520861">
        <w:rPr>
          <w:rFonts w:eastAsiaTheme="minorHAnsi"/>
          <w:sz w:val="28"/>
          <w:szCs w:val="28"/>
          <w:lang w:val="en-US" w:eastAsia="en-US"/>
        </w:rPr>
        <w:t>58</w:t>
      </w:r>
      <w:r w:rsidRPr="00520861">
        <w:rPr>
          <w:rFonts w:eastAsiaTheme="minorHAnsi"/>
          <w:sz w:val="28"/>
          <w:szCs w:val="28"/>
          <w:lang w:eastAsia="en-US"/>
        </w:rPr>
        <w:t>2</w:t>
      </w:r>
      <w:r w:rsidRPr="00520861">
        <w:rPr>
          <w:rFonts w:eastAsiaTheme="minorHAnsi"/>
          <w:sz w:val="28"/>
          <w:szCs w:val="28"/>
          <w:lang w:val="en-US" w:eastAsia="en-US"/>
        </w:rPr>
        <w:t>.</w:t>
      </w:r>
    </w:p>
    <w:p w14:paraId="66378C9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Roshandel</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Holliday</w:t>
      </w:r>
      <w:proofErr w:type="spellEnd"/>
      <w:r w:rsidRPr="00520861">
        <w:rPr>
          <w:rFonts w:eastAsiaTheme="minorHAnsi"/>
          <w:sz w:val="28"/>
          <w:szCs w:val="28"/>
          <w:lang w:eastAsia="en-US"/>
        </w:rPr>
        <w:t xml:space="preserve"> KL, </w:t>
      </w:r>
      <w:proofErr w:type="spellStart"/>
      <w:r w:rsidRPr="00520861">
        <w:rPr>
          <w:rFonts w:eastAsiaTheme="minorHAnsi"/>
          <w:sz w:val="28"/>
          <w:szCs w:val="28"/>
          <w:lang w:eastAsia="en-US"/>
        </w:rPr>
        <w:t>Pye</w:t>
      </w:r>
      <w:proofErr w:type="spellEnd"/>
      <w:r w:rsidRPr="00520861">
        <w:rPr>
          <w:rFonts w:eastAsiaTheme="minorHAnsi"/>
          <w:sz w:val="28"/>
          <w:szCs w:val="28"/>
          <w:lang w:eastAsia="en-US"/>
        </w:rPr>
        <w:t xml:space="preserve"> SR, </w:t>
      </w:r>
      <w:proofErr w:type="spellStart"/>
      <w:r w:rsidRPr="00520861">
        <w:rPr>
          <w:rFonts w:eastAsiaTheme="minorHAnsi"/>
          <w:sz w:val="28"/>
          <w:szCs w:val="28"/>
          <w:lang w:eastAsia="en-US"/>
        </w:rPr>
        <w:t>Boonen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Borghs</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Vanderschueren</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D</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variation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RANKL/RANK/OPG </w:t>
      </w:r>
      <w:proofErr w:type="spellStart"/>
      <w:r w:rsidRPr="00520861">
        <w:rPr>
          <w:rFonts w:eastAsiaTheme="minorHAnsi"/>
          <w:sz w:val="28"/>
          <w:szCs w:val="28"/>
          <w:lang w:eastAsia="en-US"/>
        </w:rPr>
        <w:t>signaling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pathway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turnover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2010;25(8):</w:t>
      </w:r>
      <w:r w:rsidRPr="00520861">
        <w:rPr>
          <w:rFonts w:eastAsiaTheme="minorHAnsi"/>
          <w:sz w:val="28"/>
          <w:szCs w:val="28"/>
          <w:lang w:val="en-US" w:eastAsia="en-US"/>
        </w:rPr>
        <w:t xml:space="preserve"> </w:t>
      </w:r>
      <w:r w:rsidRPr="00520861">
        <w:rPr>
          <w:rFonts w:eastAsiaTheme="minorHAnsi"/>
          <w:sz w:val="28"/>
          <w:szCs w:val="28"/>
          <w:lang w:eastAsia="en-US"/>
        </w:rPr>
        <w:t>1830–</w:t>
      </w:r>
      <w:r w:rsidRPr="00520861">
        <w:rPr>
          <w:rFonts w:eastAsiaTheme="minorHAnsi"/>
          <w:sz w:val="28"/>
          <w:szCs w:val="28"/>
          <w:lang w:val="en-US" w:eastAsia="en-US"/>
        </w:rPr>
        <w:t>183</w:t>
      </w:r>
      <w:r w:rsidRPr="00520861">
        <w:rPr>
          <w:rFonts w:eastAsiaTheme="minorHAnsi"/>
          <w:sz w:val="28"/>
          <w:szCs w:val="28"/>
          <w:lang w:eastAsia="en-US"/>
        </w:rPr>
        <w:t xml:space="preserve">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10.1002/jbmr.78.</w:t>
      </w:r>
    </w:p>
    <w:p w14:paraId="7C18CB1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Ross</w:t>
      </w:r>
      <w:proofErr w:type="spellEnd"/>
      <w:r w:rsidRPr="00520861">
        <w:rPr>
          <w:rFonts w:eastAsiaTheme="minorHAnsi"/>
          <w:sz w:val="28"/>
          <w:szCs w:val="28"/>
          <w:lang w:eastAsia="en-US"/>
        </w:rPr>
        <w:t xml:space="preserve"> MG, </w:t>
      </w:r>
      <w:proofErr w:type="spellStart"/>
      <w:r w:rsidRPr="00520861">
        <w:rPr>
          <w:rFonts w:eastAsiaTheme="minorHAnsi"/>
          <w:sz w:val="28"/>
          <w:szCs w:val="28"/>
          <w:lang w:eastAsia="en-US"/>
        </w:rPr>
        <w:t>Smith</w:t>
      </w:r>
      <w:proofErr w:type="spellEnd"/>
      <w:r w:rsidRPr="00520861">
        <w:rPr>
          <w:rFonts w:eastAsiaTheme="minorHAnsi"/>
          <w:sz w:val="28"/>
          <w:szCs w:val="28"/>
          <w:lang w:eastAsia="en-US"/>
        </w:rPr>
        <w:t xml:space="preserve"> CV. (</w:t>
      </w:r>
      <w:proofErr w:type="spellStart"/>
      <w:r w:rsidRPr="00520861">
        <w:rPr>
          <w:rFonts w:eastAsiaTheme="minorHAnsi"/>
          <w:sz w:val="28"/>
          <w:szCs w:val="28"/>
          <w:lang w:eastAsia="en-US"/>
        </w:rPr>
        <w:t>Eds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Restriction</w:t>
      </w:r>
      <w:proofErr w:type="spellEnd"/>
      <w:r w:rsidRPr="00520861">
        <w:rPr>
          <w:rFonts w:eastAsiaTheme="minorHAnsi"/>
          <w:sz w:val="28"/>
          <w:szCs w:val="28"/>
          <w:lang w:eastAsia="en-US"/>
        </w:rPr>
        <w:t xml:space="preserve">. 2015; </w:t>
      </w:r>
      <w:proofErr w:type="spellStart"/>
      <w:r w:rsidRPr="00520861">
        <w:rPr>
          <w:rFonts w:eastAsiaTheme="minorHAnsi"/>
          <w:sz w:val="28"/>
          <w:szCs w:val="28"/>
          <w:lang w:eastAsia="en-US"/>
        </w:rPr>
        <w:t>Vol</w:t>
      </w:r>
      <w:proofErr w:type="spellEnd"/>
      <w:r w:rsidRPr="00520861">
        <w:rPr>
          <w:rFonts w:eastAsiaTheme="minorHAnsi"/>
          <w:sz w:val="28"/>
          <w:szCs w:val="28"/>
          <w:lang w:eastAsia="en-US"/>
        </w:rPr>
        <w:t xml:space="preserve">. 1:36—43. </w:t>
      </w:r>
    </w:p>
    <w:p w14:paraId="5E348D4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Ruscitti</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Cipriani</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Carubbi</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Liakouli</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Zazzeroni</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Benedetto</w:t>
      </w:r>
      <w:proofErr w:type="spellEnd"/>
      <w:r w:rsidRPr="00520861">
        <w:rPr>
          <w:rFonts w:eastAsiaTheme="minorHAnsi"/>
          <w:sz w:val="28"/>
          <w:szCs w:val="28"/>
          <w:lang w:eastAsia="en-US"/>
        </w:rPr>
        <w:t xml:space="preserve"> PD</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role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IL-1β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rheumatic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Mediators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Inflamm</w:t>
      </w:r>
      <w:proofErr w:type="spellEnd"/>
      <w:r w:rsidRPr="00520861">
        <w:rPr>
          <w:rFonts w:eastAsiaTheme="minorHAnsi"/>
          <w:sz w:val="28"/>
          <w:szCs w:val="28"/>
          <w:lang w:val="ru-RU" w:eastAsia="en-US"/>
        </w:rPr>
        <w:t xml:space="preserve"> [Internet]</w:t>
      </w:r>
      <w:r w:rsidRPr="00520861">
        <w:rPr>
          <w:rFonts w:eastAsiaTheme="minorHAnsi"/>
          <w:sz w:val="28"/>
          <w:szCs w:val="28"/>
          <w:lang w:eastAsia="en-US"/>
        </w:rPr>
        <w:t>. 2015</w:t>
      </w:r>
      <w:r w:rsidRPr="00520861">
        <w:rPr>
          <w:rFonts w:eastAsiaTheme="minorHAnsi"/>
          <w:sz w:val="28"/>
          <w:szCs w:val="28"/>
          <w:lang w:val="en-US" w:eastAsia="en-US"/>
        </w:rPr>
        <w:t xml:space="preserve"> </w:t>
      </w:r>
      <w:proofErr w:type="spellStart"/>
      <w:r w:rsidRPr="00520861">
        <w:rPr>
          <w:rFonts w:eastAsiaTheme="minorHAnsi"/>
          <w:sz w:val="28"/>
          <w:szCs w:val="28"/>
          <w:lang w:val="ru-RU" w:eastAsia="en-US"/>
        </w:rPr>
        <w:t>Apr</w:t>
      </w:r>
      <w:proofErr w:type="spellEnd"/>
      <w:r w:rsidRPr="00520861">
        <w:rPr>
          <w:rFonts w:eastAsiaTheme="minorHAnsi"/>
          <w:sz w:val="28"/>
          <w:szCs w:val="28"/>
          <w:lang w:val="ru-RU" w:eastAsia="en-US"/>
        </w:rPr>
        <w:t xml:space="preserve"> </w:t>
      </w:r>
      <w:r w:rsidRPr="00520861">
        <w:rPr>
          <w:rFonts w:eastAsiaTheme="minorHAnsi"/>
          <w:sz w:val="28"/>
          <w:szCs w:val="28"/>
          <w:lang w:val="en-US" w:eastAsia="en-US"/>
        </w:rPr>
        <w:t>[cited 2020 Mar 17]</w:t>
      </w:r>
      <w:r w:rsidRPr="00520861">
        <w:rPr>
          <w:rFonts w:eastAsiaTheme="minorHAnsi"/>
          <w:sz w:val="28"/>
          <w:szCs w:val="28"/>
          <w:lang w:eastAsia="en-US"/>
        </w:rPr>
        <w:t>;2015:</w:t>
      </w:r>
      <w:r w:rsidRPr="00520861">
        <w:rPr>
          <w:rFonts w:eastAsiaTheme="minorHAnsi"/>
          <w:sz w:val="28"/>
          <w:szCs w:val="28"/>
          <w:lang w:val="en-US" w:eastAsia="en-US"/>
        </w:rPr>
        <w:t xml:space="preserve"> </w:t>
      </w:r>
      <w:r w:rsidRPr="00520861">
        <w:rPr>
          <w:rFonts w:eastAsiaTheme="minorHAnsi"/>
          <w:sz w:val="28"/>
          <w:szCs w:val="28"/>
          <w:lang w:eastAsia="en-US"/>
        </w:rPr>
        <w:t>782382.</w:t>
      </w:r>
    </w:p>
    <w:p w14:paraId="211C6E6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Ryabokon</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E</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Garmash</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O</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Nazarenko</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L</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Babajanyan</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E</w:t>
      </w:r>
      <w:r w:rsidRPr="00520861">
        <w:rPr>
          <w:rFonts w:eastAsiaTheme="minorHAnsi"/>
          <w:sz w:val="28"/>
          <w:szCs w:val="28"/>
          <w:lang w:eastAsia="en-US"/>
        </w:rPr>
        <w:t xml:space="preserve">. </w:t>
      </w:r>
      <w:r w:rsidRPr="00520861">
        <w:rPr>
          <w:rFonts w:eastAsiaTheme="minorHAnsi"/>
          <w:sz w:val="28"/>
          <w:szCs w:val="28"/>
          <w:lang w:val="en-US" w:eastAsia="en-US"/>
        </w:rPr>
        <w:t>Dentists</w:t>
      </w:r>
      <w:r w:rsidRPr="00520861">
        <w:rPr>
          <w:rFonts w:eastAsiaTheme="minorHAnsi"/>
          <w:sz w:val="28"/>
          <w:szCs w:val="28"/>
          <w:lang w:eastAsia="en-US"/>
        </w:rPr>
        <w:t xml:space="preserve"> </w:t>
      </w:r>
      <w:r w:rsidRPr="00520861">
        <w:rPr>
          <w:rFonts w:eastAsiaTheme="minorHAnsi"/>
          <w:sz w:val="28"/>
          <w:szCs w:val="28"/>
          <w:lang w:val="en-US" w:eastAsia="en-US"/>
        </w:rPr>
        <w:t>view</w:t>
      </w:r>
      <w:r w:rsidRPr="00520861">
        <w:rPr>
          <w:rFonts w:eastAsiaTheme="minorHAnsi"/>
          <w:sz w:val="28"/>
          <w:szCs w:val="28"/>
          <w:lang w:eastAsia="en-US"/>
        </w:rPr>
        <w:t xml:space="preserve"> </w:t>
      </w:r>
      <w:r w:rsidRPr="00520861">
        <w:rPr>
          <w:rFonts w:eastAsiaTheme="minorHAnsi"/>
          <w:sz w:val="28"/>
          <w:szCs w:val="28"/>
          <w:lang w:val="en-US" w:eastAsia="en-US"/>
        </w:rPr>
        <w:t>on</w:t>
      </w:r>
      <w:r w:rsidRPr="00520861">
        <w:rPr>
          <w:rFonts w:eastAsiaTheme="minorHAnsi"/>
          <w:sz w:val="28"/>
          <w:szCs w:val="28"/>
          <w:lang w:eastAsia="en-US"/>
        </w:rPr>
        <w:t xml:space="preserve"> </w:t>
      </w:r>
      <w:r w:rsidRPr="00520861">
        <w:rPr>
          <w:rFonts w:eastAsiaTheme="minorHAnsi"/>
          <w:sz w:val="28"/>
          <w:szCs w:val="28"/>
          <w:lang w:val="en-US" w:eastAsia="en-US"/>
        </w:rPr>
        <w:t>fetal</w:t>
      </w:r>
      <w:r w:rsidRPr="00520861">
        <w:rPr>
          <w:rFonts w:eastAsiaTheme="minorHAnsi"/>
          <w:sz w:val="28"/>
          <w:szCs w:val="28"/>
          <w:lang w:eastAsia="en-US"/>
        </w:rPr>
        <w:t xml:space="preserve"> </w:t>
      </w:r>
      <w:r w:rsidR="00D9196F" w:rsidRPr="00520861">
        <w:rPr>
          <w:rFonts w:eastAsiaTheme="minorHAnsi"/>
          <w:sz w:val="28"/>
          <w:szCs w:val="28"/>
          <w:lang w:eastAsia="en-US"/>
        </w:rPr>
        <w:br/>
      </w:r>
      <w:r w:rsidRPr="00520861">
        <w:rPr>
          <w:rFonts w:eastAsiaTheme="minorHAnsi"/>
          <w:sz w:val="28"/>
          <w:szCs w:val="28"/>
          <w:lang w:val="en-US" w:eastAsia="en-US"/>
        </w:rPr>
        <w:t>macrosomia</w:t>
      </w:r>
      <w:r w:rsidRPr="00520861">
        <w:rPr>
          <w:rFonts w:eastAsiaTheme="minorHAnsi"/>
          <w:sz w:val="28"/>
          <w:szCs w:val="28"/>
          <w:lang w:eastAsia="en-US"/>
        </w:rPr>
        <w:t xml:space="preserve">. </w:t>
      </w:r>
      <w:r w:rsidRPr="00520861">
        <w:rPr>
          <w:rFonts w:eastAsiaTheme="minorHAnsi"/>
          <w:sz w:val="28"/>
          <w:szCs w:val="28"/>
          <w:lang w:val="en-US" w:eastAsia="en-US"/>
        </w:rPr>
        <w:t>In</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Chalas</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R</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Madejczyk</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MB</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Piatek</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D</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Rudzka</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O</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Strycharz</w:t>
      </w:r>
      <w:proofErr w:type="spellEnd"/>
      <w:r w:rsidRPr="00520861">
        <w:rPr>
          <w:rFonts w:eastAsiaTheme="minorHAnsi"/>
          <w:sz w:val="28"/>
          <w:szCs w:val="28"/>
          <w:lang w:eastAsia="en-US"/>
        </w:rPr>
        <w:t>-</w:t>
      </w:r>
      <w:proofErr w:type="spellStart"/>
      <w:r w:rsidRPr="00520861">
        <w:rPr>
          <w:rFonts w:eastAsiaTheme="minorHAnsi"/>
          <w:sz w:val="28"/>
          <w:szCs w:val="28"/>
          <w:lang w:val="en-US" w:eastAsia="en-US"/>
        </w:rPr>
        <w:t>Dudziak</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M</w:t>
      </w:r>
      <w:r w:rsidRPr="00520861">
        <w:rPr>
          <w:rFonts w:eastAsiaTheme="minorHAnsi"/>
          <w:sz w:val="28"/>
          <w:szCs w:val="28"/>
          <w:lang w:eastAsia="en-US"/>
        </w:rPr>
        <w:t xml:space="preserve">, </w:t>
      </w:r>
      <w:r w:rsidRPr="00520861">
        <w:rPr>
          <w:rFonts w:eastAsiaTheme="minorHAnsi"/>
          <w:sz w:val="28"/>
          <w:szCs w:val="28"/>
          <w:lang w:val="en-US" w:eastAsia="en-US"/>
        </w:rPr>
        <w:t>Wojcik</w:t>
      </w:r>
      <w:r w:rsidRPr="00520861">
        <w:rPr>
          <w:rFonts w:eastAsiaTheme="minorHAnsi"/>
          <w:sz w:val="28"/>
          <w:szCs w:val="28"/>
          <w:lang w:eastAsia="en-US"/>
        </w:rPr>
        <w:t>-</w:t>
      </w:r>
      <w:proofErr w:type="spellStart"/>
      <w:r w:rsidRPr="00520861">
        <w:rPr>
          <w:rFonts w:eastAsiaTheme="minorHAnsi"/>
          <w:sz w:val="28"/>
          <w:szCs w:val="28"/>
          <w:lang w:val="en-US" w:eastAsia="en-US"/>
        </w:rPr>
        <w:t>Checinska</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I</w:t>
      </w:r>
      <w:r w:rsidRPr="00520861">
        <w:rPr>
          <w:rFonts w:eastAsiaTheme="minorHAnsi"/>
          <w:sz w:val="28"/>
          <w:szCs w:val="28"/>
          <w:lang w:eastAsia="en-US"/>
        </w:rPr>
        <w:t xml:space="preserve">, </w:t>
      </w:r>
      <w:r w:rsidRPr="00520861">
        <w:rPr>
          <w:rFonts w:eastAsiaTheme="minorHAnsi"/>
          <w:sz w:val="28"/>
          <w:szCs w:val="28"/>
          <w:lang w:val="en-US" w:eastAsia="en-US"/>
        </w:rPr>
        <w:t>et</w:t>
      </w:r>
      <w:r w:rsidRPr="00520861">
        <w:rPr>
          <w:rFonts w:eastAsiaTheme="minorHAnsi"/>
          <w:sz w:val="28"/>
          <w:szCs w:val="28"/>
          <w:lang w:eastAsia="en-US"/>
        </w:rPr>
        <w:t xml:space="preserve"> </w:t>
      </w:r>
      <w:r w:rsidRPr="00520861">
        <w:rPr>
          <w:rFonts w:eastAsiaTheme="minorHAnsi"/>
          <w:sz w:val="28"/>
          <w:szCs w:val="28"/>
          <w:lang w:val="en-US" w:eastAsia="en-US"/>
        </w:rPr>
        <w:t>al</w:t>
      </w:r>
      <w:r w:rsidRPr="00520861">
        <w:rPr>
          <w:rFonts w:eastAsiaTheme="minorHAnsi"/>
          <w:sz w:val="28"/>
          <w:szCs w:val="28"/>
          <w:lang w:eastAsia="en-US"/>
        </w:rPr>
        <w:t>. (</w:t>
      </w:r>
      <w:r w:rsidRPr="00520861">
        <w:rPr>
          <w:rFonts w:eastAsiaTheme="minorHAnsi"/>
          <w:sz w:val="28"/>
          <w:szCs w:val="28"/>
          <w:lang w:val="en-US" w:eastAsia="en-US"/>
        </w:rPr>
        <w:t>eds</w:t>
      </w:r>
      <w:r w:rsidRPr="00520861">
        <w:rPr>
          <w:rFonts w:eastAsiaTheme="minorHAnsi"/>
          <w:sz w:val="28"/>
          <w:szCs w:val="28"/>
          <w:lang w:eastAsia="en-US"/>
        </w:rPr>
        <w:t xml:space="preserve">.) </w:t>
      </w:r>
      <w:proofErr w:type="spellStart"/>
      <w:r w:rsidRPr="00520861">
        <w:rPr>
          <w:rFonts w:eastAsiaTheme="minorHAnsi"/>
          <w:i/>
          <w:sz w:val="28"/>
          <w:szCs w:val="28"/>
          <w:lang w:val="en-US" w:eastAsia="en-US"/>
        </w:rPr>
        <w:t>Srodowisko</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a</w:t>
      </w:r>
      <w:r w:rsidRPr="00520861">
        <w:rPr>
          <w:rFonts w:eastAsiaTheme="minorHAnsi"/>
          <w:i/>
          <w:sz w:val="28"/>
          <w:szCs w:val="28"/>
          <w:lang w:eastAsia="en-US"/>
        </w:rPr>
        <w:t xml:space="preserve"> </w:t>
      </w:r>
      <w:r w:rsidRPr="00520861">
        <w:rPr>
          <w:rFonts w:eastAsiaTheme="minorHAnsi"/>
          <w:i/>
          <w:sz w:val="28"/>
          <w:szCs w:val="28"/>
          <w:lang w:val="en-US" w:eastAsia="en-US"/>
        </w:rPr>
        <w:t>stan</w:t>
      </w:r>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zdorowia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jamy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ustnej</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X</w:t>
      </w:r>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Konferencja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Naukowo</w:t>
      </w:r>
      <w:proofErr w:type="spellEnd"/>
      <w:r w:rsidRPr="00520861">
        <w:rPr>
          <w:rFonts w:eastAsiaTheme="minorHAnsi"/>
          <w:i/>
          <w:sz w:val="28"/>
          <w:szCs w:val="28"/>
          <w:lang w:eastAsia="en-US"/>
        </w:rPr>
        <w:t>-</w:t>
      </w:r>
      <w:proofErr w:type="spellStart"/>
      <w:r w:rsidRPr="00520861">
        <w:rPr>
          <w:rFonts w:eastAsiaTheme="minorHAnsi"/>
          <w:i/>
          <w:sz w:val="28"/>
          <w:szCs w:val="28"/>
          <w:lang w:val="en-US" w:eastAsia="en-US"/>
        </w:rPr>
        <w:t>Szkoleniowa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Naleczow</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Polska</w:t>
      </w:r>
      <w:r w:rsidRPr="00520861">
        <w:rPr>
          <w:rFonts w:eastAsiaTheme="minorHAnsi"/>
          <w:i/>
          <w:sz w:val="28"/>
          <w:szCs w:val="28"/>
          <w:lang w:eastAsia="en-US"/>
        </w:rPr>
        <w:t>, 27.04.2016</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Naleczow</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Andale</w:t>
      </w:r>
      <w:r w:rsidRPr="00520861">
        <w:rPr>
          <w:rFonts w:eastAsiaTheme="minorHAnsi"/>
          <w:sz w:val="28"/>
          <w:szCs w:val="28"/>
          <w:lang w:eastAsia="en-US"/>
        </w:rPr>
        <w:t xml:space="preserve"> </w:t>
      </w:r>
      <w:r w:rsidRPr="00520861">
        <w:rPr>
          <w:rFonts w:eastAsiaTheme="minorHAnsi"/>
          <w:sz w:val="28"/>
          <w:szCs w:val="28"/>
          <w:lang w:val="en-US" w:eastAsia="en-US"/>
        </w:rPr>
        <w:t>Druk</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i</w:t>
      </w:r>
      <w:proofErr w:type="spellEnd"/>
      <w:r w:rsidRPr="00520861">
        <w:rPr>
          <w:rFonts w:eastAsiaTheme="minorHAnsi"/>
          <w:sz w:val="28"/>
          <w:szCs w:val="28"/>
          <w:lang w:eastAsia="en-US"/>
        </w:rPr>
        <w:t xml:space="preserve"> </w:t>
      </w:r>
      <w:proofErr w:type="spellStart"/>
      <w:r w:rsidRPr="00520861">
        <w:rPr>
          <w:rFonts w:eastAsiaTheme="minorHAnsi"/>
          <w:sz w:val="28"/>
          <w:szCs w:val="28"/>
          <w:lang w:val="en-US" w:eastAsia="en-US"/>
        </w:rPr>
        <w:t>Reklama</w:t>
      </w:r>
      <w:proofErr w:type="spellEnd"/>
      <w:r w:rsidRPr="00520861">
        <w:rPr>
          <w:rFonts w:eastAsiaTheme="minorHAnsi"/>
          <w:sz w:val="28"/>
          <w:szCs w:val="28"/>
          <w:lang w:eastAsia="en-US"/>
        </w:rPr>
        <w:t xml:space="preserve"> </w:t>
      </w:r>
      <w:proofErr w:type="spellStart"/>
      <w:r w:rsidRPr="00520861">
        <w:rPr>
          <w:rFonts w:eastAsiaTheme="minorHAnsi"/>
          <w:sz w:val="28"/>
          <w:szCs w:val="28"/>
          <w:lang w:val="en-US" w:eastAsia="en-US"/>
        </w:rPr>
        <w:t>sp</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z</w:t>
      </w:r>
      <w:r w:rsidRPr="00520861">
        <w:rPr>
          <w:rFonts w:eastAsiaTheme="minorHAnsi"/>
          <w:sz w:val="28"/>
          <w:szCs w:val="28"/>
          <w:lang w:eastAsia="en-US"/>
        </w:rPr>
        <w:t xml:space="preserve"> </w:t>
      </w:r>
      <w:r w:rsidRPr="00520861">
        <w:rPr>
          <w:rFonts w:eastAsiaTheme="minorHAnsi"/>
          <w:sz w:val="28"/>
          <w:szCs w:val="28"/>
          <w:lang w:val="en-US" w:eastAsia="en-US"/>
        </w:rPr>
        <w:t>o</w:t>
      </w:r>
      <w:r w:rsidRPr="00520861">
        <w:rPr>
          <w:rFonts w:eastAsiaTheme="minorHAnsi"/>
          <w:sz w:val="28"/>
          <w:szCs w:val="28"/>
          <w:lang w:eastAsia="en-US"/>
        </w:rPr>
        <w:t xml:space="preserve">. </w:t>
      </w:r>
      <w:r w:rsidRPr="00520861">
        <w:rPr>
          <w:rFonts w:eastAsiaTheme="minorHAnsi"/>
          <w:sz w:val="28"/>
          <w:szCs w:val="28"/>
          <w:lang w:val="en-US" w:eastAsia="en-US"/>
        </w:rPr>
        <w:t>o</w:t>
      </w:r>
      <w:r w:rsidRPr="00520861">
        <w:rPr>
          <w:rFonts w:eastAsiaTheme="minorHAnsi"/>
          <w:sz w:val="28"/>
          <w:szCs w:val="28"/>
          <w:lang w:eastAsia="en-US"/>
        </w:rPr>
        <w:t>.; 20</w:t>
      </w:r>
      <w:r w:rsidRPr="00520861">
        <w:rPr>
          <w:rFonts w:eastAsiaTheme="minorHAnsi"/>
          <w:sz w:val="28"/>
          <w:szCs w:val="28"/>
          <w:lang w:val="en-US" w:eastAsia="en-US"/>
        </w:rPr>
        <w:t>16. p. 70.</w:t>
      </w:r>
    </w:p>
    <w:p w14:paraId="5AC4333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Sabharwal</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Sengupta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Sharma</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Singh</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Rastogi</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Correlation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permanent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first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molars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incisors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occurrence</w:t>
      </w:r>
      <w:proofErr w:type="spellEnd"/>
      <w:r w:rsidRPr="00520861">
        <w:rPr>
          <w:rFonts w:eastAsiaTheme="minorHAnsi"/>
          <w:sz w:val="28"/>
          <w:szCs w:val="28"/>
          <w:lang w:eastAsia="en-US"/>
        </w:rPr>
        <w:t xml:space="preserve">: </w:t>
      </w:r>
      <w:r w:rsidR="00D9196F" w:rsidRPr="00520861">
        <w:rPr>
          <w:rFonts w:eastAsiaTheme="minorHAnsi"/>
          <w:sz w:val="28"/>
          <w:szCs w:val="28"/>
          <w:lang w:eastAsia="en-US"/>
        </w:rPr>
        <w:br/>
      </w:r>
      <w:r w:rsidRPr="00520861">
        <w:rPr>
          <w:rFonts w:eastAsiaTheme="minorHAnsi"/>
          <w:sz w:val="28"/>
          <w:szCs w:val="28"/>
          <w:lang w:eastAsia="en-US"/>
        </w:rPr>
        <w:t xml:space="preserve">A </w:t>
      </w:r>
      <w:proofErr w:type="spellStart"/>
      <w:r w:rsidRPr="00520861">
        <w:rPr>
          <w:rFonts w:eastAsiaTheme="minorHAnsi"/>
          <w:sz w:val="28"/>
          <w:szCs w:val="28"/>
          <w:lang w:eastAsia="en-US"/>
        </w:rPr>
        <w:t>cross-sectional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school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Uttar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Pardesh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Eur</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Gen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xml:space="preserve">. </w:t>
      </w:r>
      <w:r w:rsidRPr="00520861">
        <w:rPr>
          <w:rFonts w:eastAsiaTheme="minorHAnsi"/>
          <w:sz w:val="28"/>
          <w:szCs w:val="28"/>
          <w:lang w:eastAsia="en-US"/>
        </w:rPr>
        <w:lastRenderedPageBreak/>
        <w:t>2013;2(2): 114–</w:t>
      </w:r>
      <w:r w:rsidRPr="00520861">
        <w:rPr>
          <w:rFonts w:eastAsiaTheme="minorHAnsi"/>
          <w:sz w:val="28"/>
          <w:szCs w:val="28"/>
          <w:lang w:val="en-US" w:eastAsia="en-US"/>
        </w:rPr>
        <w:t>11</w:t>
      </w:r>
      <w:r w:rsidRPr="00520861">
        <w:rPr>
          <w:rFonts w:eastAsiaTheme="minorHAnsi"/>
          <w:sz w:val="28"/>
          <w:szCs w:val="28"/>
          <w:lang w:eastAsia="en-US"/>
        </w:rPr>
        <w:t xml:space="preserve">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10.4103/2278-9626.112306</w:t>
      </w:r>
      <w:r w:rsidRPr="00520861">
        <w:rPr>
          <w:rFonts w:eastAsiaTheme="minorHAnsi"/>
          <w:sz w:val="28"/>
          <w:szCs w:val="28"/>
          <w:lang w:val="en-US" w:eastAsia="en-US"/>
        </w:rPr>
        <w:t>.</w:t>
      </w:r>
    </w:p>
    <w:p w14:paraId="33ECCD7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Said</w:t>
      </w:r>
      <w:proofErr w:type="spellEnd"/>
      <w:r w:rsidRPr="00520861">
        <w:rPr>
          <w:rFonts w:eastAsiaTheme="minorHAnsi"/>
          <w:sz w:val="28"/>
          <w:szCs w:val="28"/>
          <w:lang w:eastAsia="en-US"/>
        </w:rPr>
        <w:t xml:space="preserve"> AS, </w:t>
      </w:r>
      <w:proofErr w:type="spellStart"/>
      <w:r w:rsidRPr="00520861">
        <w:rPr>
          <w:rFonts w:eastAsiaTheme="minorHAnsi"/>
          <w:sz w:val="28"/>
          <w:szCs w:val="28"/>
          <w:lang w:eastAsia="en-US"/>
        </w:rPr>
        <w:t>Manji</w:t>
      </w:r>
      <w:proofErr w:type="spellEnd"/>
      <w:r w:rsidRPr="00520861">
        <w:rPr>
          <w:rFonts w:eastAsiaTheme="minorHAnsi"/>
          <w:sz w:val="28"/>
          <w:szCs w:val="28"/>
          <w:lang w:eastAsia="en-US"/>
        </w:rPr>
        <w:t xml:space="preserve"> KP.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tertiary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centre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Tanzania</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w:t>
      </w:r>
      <w:r w:rsidRPr="00520861">
        <w:rPr>
          <w:rFonts w:eastAsiaTheme="minorHAnsi"/>
          <w:sz w:val="28"/>
          <w:szCs w:val="28"/>
          <w:lang w:eastAsia="en-US"/>
        </w:rPr>
        <w:t xml:space="preserve"> </w:t>
      </w:r>
      <w:proofErr w:type="spellStart"/>
      <w:r w:rsidRPr="00520861">
        <w:rPr>
          <w:rFonts w:eastAsiaTheme="minorHAnsi"/>
          <w:sz w:val="28"/>
          <w:szCs w:val="28"/>
          <w:lang w:eastAsia="en-US"/>
        </w:rPr>
        <w:t>case-control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BMC </w:t>
      </w:r>
      <w:proofErr w:type="spellStart"/>
      <w:r w:rsidRPr="00520861">
        <w:rPr>
          <w:rFonts w:eastAsiaTheme="minorHAnsi"/>
          <w:i/>
          <w:sz w:val="28"/>
          <w:szCs w:val="28"/>
          <w:lang w:eastAsia="en-US"/>
        </w:rPr>
        <w:t>Pregnancy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Childbirth</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xml:space="preserve"> 2016</w:t>
      </w:r>
      <w:r w:rsidRPr="00520861">
        <w:rPr>
          <w:rFonts w:eastAsiaTheme="minorHAnsi"/>
          <w:sz w:val="28"/>
          <w:szCs w:val="28"/>
          <w:lang w:val="en-US" w:eastAsia="en-US"/>
        </w:rPr>
        <w:t xml:space="preserve"> Aug [cited 2020 Mar 11];</w:t>
      </w:r>
      <w:r w:rsidRPr="00520861">
        <w:rPr>
          <w:rFonts w:eastAsiaTheme="minorHAnsi"/>
          <w:sz w:val="28"/>
          <w:szCs w:val="28"/>
          <w:lang w:eastAsia="en-US"/>
        </w:rPr>
        <w:t>16</w:t>
      </w:r>
      <w:r w:rsidRPr="00520861">
        <w:rPr>
          <w:rFonts w:eastAsiaTheme="minorHAnsi"/>
          <w:sz w:val="28"/>
          <w:szCs w:val="28"/>
          <w:lang w:val="en-US" w:eastAsia="en-US"/>
        </w:rPr>
        <w:t>:</w:t>
      </w:r>
      <w:r w:rsidRPr="00520861">
        <w:rPr>
          <w:rFonts w:eastAsiaTheme="minorHAnsi"/>
          <w:sz w:val="28"/>
          <w:szCs w:val="28"/>
          <w:lang w:eastAsia="en-US"/>
        </w:rPr>
        <w:t xml:space="preserve"> 243.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10.1186/s12884-016-1044-3</w:t>
      </w:r>
      <w:r w:rsidRPr="00520861">
        <w:rPr>
          <w:rFonts w:eastAsiaTheme="minorHAnsi"/>
          <w:sz w:val="28"/>
          <w:szCs w:val="28"/>
          <w:lang w:val="en-US" w:eastAsia="en-US"/>
        </w:rPr>
        <w:t>.</w:t>
      </w:r>
    </w:p>
    <w:p w14:paraId="1E93594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Sajjadian</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Shajari</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Jahadi</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Barakat</w:t>
      </w:r>
      <w:proofErr w:type="spellEnd"/>
      <w:r w:rsidRPr="00520861">
        <w:rPr>
          <w:rFonts w:eastAsiaTheme="minorHAnsi"/>
          <w:sz w:val="28"/>
          <w:szCs w:val="28"/>
          <w:lang w:eastAsia="en-US"/>
        </w:rPr>
        <w:t xml:space="preserve"> MG, </w:t>
      </w:r>
      <w:proofErr w:type="spellStart"/>
      <w:r w:rsidRPr="00520861">
        <w:rPr>
          <w:rFonts w:eastAsiaTheme="minorHAnsi"/>
          <w:sz w:val="28"/>
          <w:szCs w:val="28"/>
          <w:lang w:eastAsia="en-US"/>
        </w:rPr>
        <w:t>Sajjadian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first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deciduous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143 </w:t>
      </w:r>
      <w:proofErr w:type="spellStart"/>
      <w:r w:rsidRPr="00520861">
        <w:rPr>
          <w:rFonts w:eastAsiaTheme="minorHAnsi"/>
          <w:sz w:val="28"/>
          <w:szCs w:val="28"/>
          <w:lang w:eastAsia="en-US"/>
        </w:rPr>
        <w:t>consecutively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Neonatol</w:t>
      </w:r>
      <w:proofErr w:type="spellEnd"/>
      <w:r w:rsidRPr="00520861">
        <w:rPr>
          <w:rFonts w:eastAsiaTheme="minorHAnsi"/>
          <w:sz w:val="28"/>
          <w:szCs w:val="28"/>
          <w:lang w:eastAsia="en-US"/>
        </w:rPr>
        <w:t>. 2010;51(4):</w:t>
      </w:r>
      <w:r w:rsidRPr="00520861">
        <w:rPr>
          <w:rFonts w:eastAsiaTheme="minorHAnsi"/>
          <w:sz w:val="28"/>
          <w:szCs w:val="28"/>
          <w:lang w:val="en-US" w:eastAsia="en-US"/>
        </w:rPr>
        <w:t xml:space="preserve"> </w:t>
      </w:r>
      <w:r w:rsidRPr="00520861">
        <w:rPr>
          <w:rFonts w:eastAsiaTheme="minorHAnsi"/>
          <w:sz w:val="28"/>
          <w:szCs w:val="28"/>
          <w:lang w:eastAsia="en-US"/>
        </w:rPr>
        <w:t xml:space="preserve">235–237.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10.1016/S1875-9572(10)60044-7.</w:t>
      </w:r>
    </w:p>
    <w:p w14:paraId="15D5973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Salah A</w:t>
      </w:r>
      <w:r w:rsidRPr="00520861">
        <w:rPr>
          <w:rFonts w:eastAsiaTheme="minorHAnsi"/>
          <w:sz w:val="28"/>
          <w:szCs w:val="28"/>
          <w:lang w:eastAsia="en-US"/>
        </w:rPr>
        <w:t xml:space="preserve">, </w:t>
      </w:r>
      <w:r w:rsidRPr="00520861">
        <w:rPr>
          <w:rFonts w:eastAsiaTheme="minorHAnsi"/>
          <w:sz w:val="28"/>
          <w:szCs w:val="28"/>
          <w:lang w:val="en-US" w:eastAsia="en-US"/>
        </w:rPr>
        <w:t>Ragab M, Mansour W, Taher M. Leptin</w:t>
      </w:r>
      <w:r w:rsidRPr="00520861">
        <w:rPr>
          <w:rFonts w:eastAsiaTheme="minorHAnsi"/>
          <w:sz w:val="28"/>
          <w:szCs w:val="28"/>
          <w:lang w:eastAsia="en-US"/>
        </w:rPr>
        <w:t xml:space="preserve"> </w:t>
      </w:r>
      <w:r w:rsidRPr="00520861">
        <w:rPr>
          <w:rFonts w:eastAsiaTheme="minorHAnsi"/>
          <w:sz w:val="28"/>
          <w:szCs w:val="28"/>
          <w:lang w:val="en-US" w:eastAsia="en-US"/>
        </w:rPr>
        <w:t>and</w:t>
      </w:r>
      <w:r w:rsidRPr="00520861">
        <w:rPr>
          <w:rFonts w:eastAsiaTheme="minorHAnsi"/>
          <w:sz w:val="28"/>
          <w:szCs w:val="28"/>
          <w:lang w:eastAsia="en-US"/>
        </w:rPr>
        <w:t xml:space="preserve"> </w:t>
      </w:r>
      <w:r w:rsidRPr="00520861">
        <w:rPr>
          <w:rFonts w:eastAsiaTheme="minorHAnsi"/>
          <w:sz w:val="28"/>
          <w:szCs w:val="28"/>
          <w:lang w:val="en-US" w:eastAsia="en-US"/>
        </w:rPr>
        <w:t>adiponectin</w:t>
      </w:r>
      <w:r w:rsidRPr="00520861">
        <w:rPr>
          <w:rFonts w:eastAsiaTheme="minorHAnsi"/>
          <w:sz w:val="28"/>
          <w:szCs w:val="28"/>
          <w:lang w:eastAsia="en-US"/>
        </w:rPr>
        <w:t xml:space="preserve"> </w:t>
      </w:r>
      <w:r w:rsidRPr="00520861">
        <w:rPr>
          <w:rFonts w:eastAsiaTheme="minorHAnsi"/>
          <w:sz w:val="28"/>
          <w:szCs w:val="28"/>
          <w:lang w:val="en-US" w:eastAsia="en-US"/>
        </w:rPr>
        <w:t>are</w:t>
      </w:r>
      <w:r w:rsidRPr="00520861">
        <w:rPr>
          <w:rFonts w:eastAsiaTheme="minorHAnsi"/>
          <w:sz w:val="28"/>
          <w:szCs w:val="28"/>
          <w:lang w:eastAsia="en-US"/>
        </w:rPr>
        <w:t xml:space="preserve"> </w:t>
      </w:r>
      <w:r w:rsidRPr="00520861">
        <w:rPr>
          <w:rFonts w:eastAsiaTheme="minorHAnsi"/>
          <w:sz w:val="28"/>
          <w:szCs w:val="28"/>
          <w:lang w:val="en-US" w:eastAsia="en-US"/>
        </w:rPr>
        <w:t>valuable</w:t>
      </w:r>
      <w:r w:rsidRPr="00520861">
        <w:rPr>
          <w:rFonts w:eastAsiaTheme="minorHAnsi"/>
          <w:sz w:val="28"/>
          <w:szCs w:val="28"/>
          <w:lang w:eastAsia="en-US"/>
        </w:rPr>
        <w:t xml:space="preserve"> </w:t>
      </w:r>
      <w:r w:rsidRPr="00520861">
        <w:rPr>
          <w:rFonts w:eastAsiaTheme="minorHAnsi"/>
          <w:sz w:val="28"/>
          <w:szCs w:val="28"/>
          <w:lang w:val="en-US" w:eastAsia="en-US"/>
        </w:rPr>
        <w:t>serum</w:t>
      </w:r>
      <w:r w:rsidRPr="00520861">
        <w:rPr>
          <w:rFonts w:eastAsiaTheme="minorHAnsi"/>
          <w:sz w:val="28"/>
          <w:szCs w:val="28"/>
          <w:lang w:eastAsia="en-US"/>
        </w:rPr>
        <w:t xml:space="preserve"> </w:t>
      </w:r>
      <w:r w:rsidRPr="00520861">
        <w:rPr>
          <w:rFonts w:eastAsiaTheme="minorHAnsi"/>
          <w:sz w:val="28"/>
          <w:szCs w:val="28"/>
          <w:lang w:val="en-US" w:eastAsia="en-US"/>
        </w:rPr>
        <w:t>markers</w:t>
      </w:r>
      <w:r w:rsidRPr="00520861">
        <w:rPr>
          <w:rFonts w:eastAsiaTheme="minorHAnsi"/>
          <w:sz w:val="28"/>
          <w:szCs w:val="28"/>
          <w:lang w:eastAsia="en-US"/>
        </w:rPr>
        <w:t xml:space="preserve"> </w:t>
      </w:r>
      <w:r w:rsidRPr="00520861">
        <w:rPr>
          <w:rFonts w:eastAsiaTheme="minorHAnsi"/>
          <w:sz w:val="28"/>
          <w:szCs w:val="28"/>
          <w:lang w:val="en-US" w:eastAsia="en-US"/>
        </w:rPr>
        <w:t>explaining</w:t>
      </w:r>
      <w:r w:rsidRPr="00520861">
        <w:rPr>
          <w:rFonts w:eastAsiaTheme="minorHAnsi"/>
          <w:sz w:val="28"/>
          <w:szCs w:val="28"/>
          <w:lang w:eastAsia="en-US"/>
        </w:rPr>
        <w:t xml:space="preserve"> </w:t>
      </w:r>
      <w:r w:rsidRPr="00520861">
        <w:rPr>
          <w:rFonts w:eastAsiaTheme="minorHAnsi"/>
          <w:sz w:val="28"/>
          <w:szCs w:val="28"/>
          <w:lang w:val="en-US" w:eastAsia="en-US"/>
        </w:rPr>
        <w:t>obesity</w:t>
      </w:r>
      <w:r w:rsidRPr="00520861">
        <w:rPr>
          <w:rFonts w:eastAsiaTheme="minorHAnsi"/>
          <w:sz w:val="28"/>
          <w:szCs w:val="28"/>
          <w:lang w:eastAsia="en-US"/>
        </w:rPr>
        <w:t>/</w:t>
      </w:r>
      <w:r w:rsidRPr="00520861">
        <w:rPr>
          <w:rFonts w:eastAsiaTheme="minorHAnsi"/>
          <w:sz w:val="28"/>
          <w:szCs w:val="28"/>
          <w:lang w:val="en-US" w:eastAsia="en-US"/>
        </w:rPr>
        <w:t>bronchial</w:t>
      </w:r>
      <w:r w:rsidRPr="00520861">
        <w:rPr>
          <w:rFonts w:eastAsiaTheme="minorHAnsi"/>
          <w:sz w:val="28"/>
          <w:szCs w:val="28"/>
          <w:lang w:eastAsia="en-US"/>
        </w:rPr>
        <w:t xml:space="preserve"> </w:t>
      </w:r>
      <w:r w:rsidRPr="00520861">
        <w:rPr>
          <w:rFonts w:eastAsiaTheme="minorHAnsi"/>
          <w:sz w:val="28"/>
          <w:szCs w:val="28"/>
          <w:lang w:val="en-US" w:eastAsia="en-US"/>
        </w:rPr>
        <w:t>asthma</w:t>
      </w:r>
      <w:r w:rsidRPr="00520861">
        <w:rPr>
          <w:rFonts w:eastAsiaTheme="minorHAnsi"/>
          <w:sz w:val="28"/>
          <w:szCs w:val="28"/>
          <w:lang w:eastAsia="en-US"/>
        </w:rPr>
        <w:t xml:space="preserve"> </w:t>
      </w:r>
      <w:r w:rsidRPr="00520861">
        <w:rPr>
          <w:rFonts w:eastAsiaTheme="minorHAnsi"/>
          <w:sz w:val="28"/>
          <w:szCs w:val="28"/>
          <w:lang w:val="en-US" w:eastAsia="en-US"/>
        </w:rPr>
        <w:t>interrelationship.</w:t>
      </w:r>
      <w:r w:rsidRPr="00520861">
        <w:rPr>
          <w:rFonts w:eastAsiaTheme="minorHAnsi"/>
          <w:sz w:val="28"/>
          <w:szCs w:val="28"/>
          <w:lang w:eastAsia="en-US"/>
        </w:rPr>
        <w:t xml:space="preserve"> </w:t>
      </w:r>
      <w:r w:rsidRPr="00520861">
        <w:rPr>
          <w:rFonts w:eastAsiaTheme="minorHAnsi"/>
          <w:i/>
          <w:sz w:val="28"/>
          <w:szCs w:val="28"/>
          <w:lang w:val="en-US" w:eastAsia="en-US"/>
        </w:rPr>
        <w:t>Egyptian journal of chest diseases and tuberculosis</w:t>
      </w:r>
      <w:r w:rsidRPr="00520861">
        <w:rPr>
          <w:rFonts w:eastAsiaTheme="minorHAnsi"/>
          <w:sz w:val="28"/>
          <w:szCs w:val="28"/>
          <w:lang w:val="en-US" w:eastAsia="en-US"/>
        </w:rPr>
        <w:t xml:space="preserve">. 2015;64(3): 529–533.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Theme="minorHAnsi"/>
          <w:sz w:val="28"/>
          <w:szCs w:val="28"/>
          <w:lang w:val="en-US" w:eastAsia="en-US"/>
        </w:rPr>
        <w:t>10.1016/ j.ejcdt.2015.02.012.</w:t>
      </w:r>
    </w:p>
    <w:p w14:paraId="3E180F2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Sangani</w:t>
      </w:r>
      <w:proofErr w:type="spellEnd"/>
      <w:r w:rsidRPr="00520861">
        <w:rPr>
          <w:rFonts w:eastAsiaTheme="minorHAnsi"/>
          <w:sz w:val="28"/>
          <w:szCs w:val="28"/>
          <w:lang w:val="en-US" w:eastAsia="en-US"/>
        </w:rPr>
        <w:t xml:space="preserve"> D, Suzuki A, </w:t>
      </w:r>
      <w:proofErr w:type="spellStart"/>
      <w:r w:rsidRPr="00520861">
        <w:rPr>
          <w:rFonts w:eastAsiaTheme="minorHAnsi"/>
          <w:sz w:val="28"/>
          <w:szCs w:val="28"/>
          <w:lang w:val="en-US" w:eastAsia="en-US"/>
        </w:rPr>
        <w:t>VonVille</w:t>
      </w:r>
      <w:proofErr w:type="spellEnd"/>
      <w:r w:rsidRPr="00520861">
        <w:rPr>
          <w:rFonts w:eastAsiaTheme="minorHAnsi"/>
          <w:sz w:val="28"/>
          <w:szCs w:val="28"/>
          <w:lang w:val="en-US" w:eastAsia="en-US"/>
        </w:rPr>
        <w:t xml:space="preserve"> H, Hixson JE, Iwata J. Gene mutations associated with temporomandibular joint disorders: A systematic review. </w:t>
      </w:r>
      <w:proofErr w:type="spellStart"/>
      <w:r w:rsidRPr="00520861">
        <w:rPr>
          <w:rFonts w:eastAsiaTheme="minorHAnsi"/>
          <w:i/>
          <w:sz w:val="28"/>
          <w:szCs w:val="28"/>
          <w:lang w:val="en-US" w:eastAsia="en-US"/>
        </w:rPr>
        <w:t>OAlib</w:t>
      </w:r>
      <w:proofErr w:type="spellEnd"/>
      <w:r w:rsidRPr="00520861">
        <w:rPr>
          <w:rFonts w:eastAsiaTheme="minorHAnsi"/>
          <w:i/>
          <w:sz w:val="28"/>
          <w:szCs w:val="28"/>
          <w:lang w:val="en-US" w:eastAsia="en-US"/>
        </w:rPr>
        <w:t xml:space="preserve"> J</w:t>
      </w:r>
      <w:r w:rsidRPr="00520861">
        <w:rPr>
          <w:rFonts w:eastAsiaTheme="minorHAnsi"/>
          <w:sz w:val="28"/>
          <w:szCs w:val="28"/>
          <w:lang w:val="en-US" w:eastAsia="en-US"/>
        </w:rPr>
        <w:t xml:space="preserve"> [Internet]. 2015 Jun [cited 2020 Jul 14];2(6): e1583.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 10.4236/oalib.1101583.</w:t>
      </w:r>
    </w:p>
    <w:p w14:paraId="3C0AE92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Santosh</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Impacted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Mandibular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Third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Molars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Literature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Proposal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Combined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Clinical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Radiological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Classification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2015;5(4):</w:t>
      </w:r>
      <w:r w:rsidRPr="00520861">
        <w:rPr>
          <w:rFonts w:eastAsiaTheme="minorHAnsi"/>
          <w:sz w:val="28"/>
          <w:szCs w:val="28"/>
          <w:lang w:val="en-US" w:eastAsia="en-US"/>
        </w:rPr>
        <w:t xml:space="preserve"> </w:t>
      </w:r>
      <w:r w:rsidRPr="00520861">
        <w:rPr>
          <w:rFonts w:eastAsiaTheme="minorHAnsi"/>
          <w:sz w:val="28"/>
          <w:szCs w:val="28"/>
          <w:lang w:eastAsia="en-US"/>
        </w:rPr>
        <w:t xml:space="preserve">229–234.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10.4103/2141-9248.160177</w:t>
      </w:r>
      <w:r w:rsidRPr="00520861">
        <w:rPr>
          <w:rFonts w:eastAsiaTheme="minorHAnsi"/>
          <w:sz w:val="28"/>
          <w:szCs w:val="28"/>
          <w:lang w:val="en-US" w:eastAsia="en-US"/>
        </w:rPr>
        <w:t>.</w:t>
      </w:r>
    </w:p>
    <w:p w14:paraId="099FFCD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Scardina</w:t>
      </w:r>
      <w:proofErr w:type="spellEnd"/>
      <w:r w:rsidRPr="00520861">
        <w:rPr>
          <w:rFonts w:eastAsiaTheme="minorHAnsi"/>
          <w:sz w:val="28"/>
          <w:szCs w:val="28"/>
          <w:lang w:eastAsia="en-US"/>
        </w:rPr>
        <w:t xml:space="preserve"> GA, </w:t>
      </w:r>
      <w:proofErr w:type="spellStart"/>
      <w:r w:rsidRPr="00520861">
        <w:rPr>
          <w:rFonts w:eastAsiaTheme="minorHAnsi"/>
          <w:sz w:val="28"/>
          <w:szCs w:val="28"/>
          <w:lang w:eastAsia="en-US"/>
        </w:rPr>
        <w:t>Messina</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Good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diet</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Biomed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Biotechnol</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2012</w:t>
      </w:r>
      <w:r w:rsidRPr="00520861">
        <w:rPr>
          <w:rFonts w:eastAsiaTheme="minorHAnsi"/>
          <w:sz w:val="28"/>
          <w:szCs w:val="28"/>
          <w:lang w:val="en-US" w:eastAsia="en-US"/>
        </w:rPr>
        <w:t xml:space="preserve"> Jan [cited 2020 Jun 4]</w:t>
      </w:r>
      <w:r w:rsidRPr="00520861">
        <w:rPr>
          <w:rFonts w:eastAsiaTheme="minorHAnsi"/>
          <w:sz w:val="28"/>
          <w:szCs w:val="28"/>
          <w:lang w:eastAsia="en-US"/>
        </w:rPr>
        <w:t>;2012: 720692.</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10.1155/2012/720692</w:t>
      </w:r>
      <w:r w:rsidRPr="00520861">
        <w:rPr>
          <w:rFonts w:eastAsiaTheme="minorHAnsi"/>
          <w:sz w:val="28"/>
          <w:szCs w:val="28"/>
          <w:lang w:val="en-US" w:eastAsia="en-US"/>
        </w:rPr>
        <w:t>.</w:t>
      </w:r>
    </w:p>
    <w:p w14:paraId="59B2FB3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Schindelin</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Arganda-Carreras</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Frise</w:t>
      </w:r>
      <w:proofErr w:type="spellEnd"/>
      <w:r w:rsidRPr="00520861">
        <w:rPr>
          <w:rFonts w:eastAsiaTheme="minorHAnsi"/>
          <w:sz w:val="28"/>
          <w:szCs w:val="28"/>
          <w:lang w:eastAsia="en-US"/>
        </w:rPr>
        <w:t xml:space="preserve"> E,</w:t>
      </w:r>
      <w:r w:rsidRPr="00520861">
        <w:rPr>
          <w:rFonts w:eastAsiaTheme="minorHAnsi"/>
          <w:sz w:val="28"/>
          <w:szCs w:val="28"/>
          <w:lang w:val="en-US" w:eastAsia="en-US"/>
        </w:rPr>
        <w:t xml:space="preserve"> </w:t>
      </w:r>
      <w:proofErr w:type="spellStart"/>
      <w:r w:rsidRPr="00520861">
        <w:rPr>
          <w:rFonts w:eastAsiaTheme="minorHAnsi"/>
          <w:sz w:val="28"/>
          <w:szCs w:val="28"/>
          <w:lang w:val="en-US" w:eastAsia="en-US"/>
        </w:rPr>
        <w:t>Kaynig</w:t>
      </w:r>
      <w:proofErr w:type="spellEnd"/>
      <w:r w:rsidRPr="00520861">
        <w:rPr>
          <w:rFonts w:eastAsiaTheme="minorHAnsi"/>
          <w:sz w:val="28"/>
          <w:szCs w:val="28"/>
          <w:lang w:val="en-US" w:eastAsia="en-US"/>
        </w:rPr>
        <w:t xml:space="preserve"> V, </w:t>
      </w:r>
      <w:proofErr w:type="spellStart"/>
      <w:r w:rsidRPr="00520861">
        <w:rPr>
          <w:rFonts w:eastAsiaTheme="minorHAnsi"/>
          <w:sz w:val="28"/>
          <w:szCs w:val="28"/>
          <w:lang w:val="en-US" w:eastAsia="en-US"/>
        </w:rPr>
        <w:t>Longair</w:t>
      </w:r>
      <w:proofErr w:type="spellEnd"/>
      <w:r w:rsidRPr="00520861">
        <w:rPr>
          <w:rFonts w:eastAsiaTheme="minorHAnsi"/>
          <w:sz w:val="28"/>
          <w:szCs w:val="28"/>
          <w:lang w:val="en-US" w:eastAsia="en-US"/>
        </w:rPr>
        <w:t xml:space="preserve"> M, </w:t>
      </w:r>
      <w:proofErr w:type="spellStart"/>
      <w:r w:rsidRPr="00520861">
        <w:rPr>
          <w:rFonts w:eastAsiaTheme="minorHAnsi"/>
          <w:sz w:val="28"/>
          <w:szCs w:val="28"/>
          <w:lang w:val="en-US" w:eastAsia="en-US"/>
        </w:rPr>
        <w:t>Pietzsch</w:t>
      </w:r>
      <w:proofErr w:type="spellEnd"/>
      <w:r w:rsidRPr="00520861">
        <w:rPr>
          <w:rFonts w:eastAsiaTheme="minorHAnsi"/>
          <w:sz w:val="28"/>
          <w:szCs w:val="28"/>
          <w:lang w:val="en-US" w:eastAsia="en-US"/>
        </w:rPr>
        <w:t xml:space="preserve"> T,</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Fiji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anopen-source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platform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biological-image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analysis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Nat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Methods</w:t>
      </w:r>
      <w:proofErr w:type="spellEnd"/>
      <w:r w:rsidRPr="00520861">
        <w:rPr>
          <w:rFonts w:eastAsiaTheme="minorHAnsi"/>
          <w:sz w:val="28"/>
          <w:szCs w:val="28"/>
          <w:lang w:eastAsia="en-US"/>
        </w:rPr>
        <w:t>. 2012; 9 (7): 676–682</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val="en-US" w:eastAsia="en-US"/>
        </w:rPr>
        <w:t>10.1038/nmeth.2019.</w:t>
      </w:r>
    </w:p>
    <w:p w14:paraId="425BB77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Schour</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Massler</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teeth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Griffith</w:t>
      </w:r>
      <w:proofErr w:type="spellEnd"/>
      <w:r w:rsidRPr="00520861">
        <w:rPr>
          <w:rFonts w:eastAsiaTheme="minorHAnsi"/>
          <w:sz w:val="28"/>
          <w:szCs w:val="28"/>
          <w:lang w:eastAsia="en-US"/>
        </w:rPr>
        <w:t xml:space="preserve"> JQ, </w:t>
      </w:r>
      <w:proofErr w:type="spellStart"/>
      <w:r w:rsidRPr="00520861">
        <w:rPr>
          <w:rFonts w:eastAsiaTheme="minorHAnsi"/>
          <w:sz w:val="28"/>
          <w:szCs w:val="28"/>
          <w:lang w:eastAsia="en-US"/>
        </w:rPr>
        <w:t>Farris</w:t>
      </w:r>
      <w:proofErr w:type="spellEnd"/>
      <w:r w:rsidRPr="00520861">
        <w:rPr>
          <w:rFonts w:eastAsiaTheme="minorHAnsi"/>
          <w:sz w:val="28"/>
          <w:szCs w:val="28"/>
          <w:lang w:eastAsia="en-US"/>
        </w:rPr>
        <w:t xml:space="preserve"> EJ</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en-US" w:eastAsia="en-US"/>
        </w:rPr>
        <w:t>(e</w:t>
      </w:r>
      <w:proofErr w:type="spellStart"/>
      <w:r w:rsidRPr="00520861">
        <w:rPr>
          <w:rFonts w:eastAsiaTheme="minorHAnsi"/>
          <w:sz w:val="28"/>
          <w:szCs w:val="28"/>
          <w:lang w:eastAsia="en-US"/>
        </w:rPr>
        <w:t>ds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The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rat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laboratory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investigation</w:t>
      </w:r>
      <w:proofErr w:type="spellEnd"/>
      <w:r w:rsidRPr="00520861">
        <w:rPr>
          <w:rFonts w:eastAsiaTheme="minorHAnsi"/>
          <w:sz w:val="28"/>
          <w:szCs w:val="28"/>
          <w:lang w:eastAsia="en-US"/>
        </w:rPr>
        <w:t xml:space="preserve">. 2nd </w:t>
      </w:r>
      <w:proofErr w:type="spellStart"/>
      <w:r w:rsidRPr="00520861">
        <w:rPr>
          <w:rFonts w:eastAsiaTheme="minorHAnsi"/>
          <w:sz w:val="28"/>
          <w:szCs w:val="28"/>
          <w:lang w:eastAsia="en-US"/>
        </w:rPr>
        <w: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Philadelphia-London-Montreal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JB </w:t>
      </w:r>
      <w:proofErr w:type="spellStart"/>
      <w:r w:rsidRPr="00520861">
        <w:rPr>
          <w:rFonts w:eastAsiaTheme="minorHAnsi"/>
          <w:sz w:val="28"/>
          <w:szCs w:val="28"/>
          <w:lang w:eastAsia="en-US"/>
        </w:rPr>
        <w:t>Lipincott</w:t>
      </w:r>
      <w:proofErr w:type="spellEnd"/>
      <w:r w:rsidRPr="00520861">
        <w:rPr>
          <w:rFonts w:eastAsiaTheme="minorHAnsi"/>
          <w:sz w:val="28"/>
          <w:szCs w:val="28"/>
          <w:lang w:eastAsia="en-US"/>
        </w:rPr>
        <w:t>; 1934. p. 104–</w:t>
      </w:r>
      <w:r w:rsidRPr="00520861">
        <w:rPr>
          <w:rFonts w:eastAsiaTheme="minorHAnsi"/>
          <w:sz w:val="28"/>
          <w:szCs w:val="28"/>
          <w:lang w:val="en-US" w:eastAsia="en-US"/>
        </w:rPr>
        <w:t>1</w:t>
      </w:r>
      <w:r w:rsidRPr="00520861">
        <w:rPr>
          <w:rFonts w:eastAsiaTheme="minorHAnsi"/>
          <w:sz w:val="28"/>
          <w:szCs w:val="28"/>
          <w:lang w:eastAsia="en-US"/>
        </w:rPr>
        <w:t xml:space="preserve">65. </w:t>
      </w:r>
    </w:p>
    <w:p w14:paraId="539ACF5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Schushan-Eisen</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Cohen</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Leibovitch</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Maayan-Metzger</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Strauss</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among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mothers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Maternal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Child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sz w:val="28"/>
          <w:szCs w:val="28"/>
          <w:lang w:eastAsia="en-US"/>
        </w:rPr>
        <w:t>. 2015;19(3):</w:t>
      </w:r>
      <w:r w:rsidRPr="00520861">
        <w:rPr>
          <w:rFonts w:eastAsiaTheme="minorHAnsi"/>
          <w:sz w:val="28"/>
          <w:szCs w:val="28"/>
          <w:lang w:val="en-US" w:eastAsia="en-US"/>
        </w:rPr>
        <w:t xml:space="preserve"> </w:t>
      </w:r>
      <w:r w:rsidRPr="00520861">
        <w:rPr>
          <w:rFonts w:eastAsiaTheme="minorHAnsi"/>
          <w:sz w:val="28"/>
          <w:szCs w:val="28"/>
          <w:lang w:eastAsia="en-US"/>
        </w:rPr>
        <w:t>578–</w:t>
      </w:r>
      <w:r w:rsidRPr="00520861">
        <w:rPr>
          <w:rFonts w:eastAsiaTheme="minorHAnsi"/>
          <w:sz w:val="28"/>
          <w:szCs w:val="28"/>
          <w:lang w:val="en-US" w:eastAsia="en-US"/>
        </w:rPr>
        <w:t>5</w:t>
      </w:r>
      <w:r w:rsidRPr="00520861">
        <w:rPr>
          <w:rFonts w:eastAsiaTheme="minorHAnsi"/>
          <w:sz w:val="28"/>
          <w:szCs w:val="28"/>
          <w:lang w:eastAsia="en-US"/>
        </w:rPr>
        <w:t xml:space="preserve">82.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10.1007/s10995-014-1541-9.</w:t>
      </w:r>
    </w:p>
    <w:p w14:paraId="7511E8E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Schwartz</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Quant</w:t>
      </w:r>
      <w:proofErr w:type="spellEnd"/>
      <w:r w:rsidRPr="00520861">
        <w:rPr>
          <w:rFonts w:eastAsiaTheme="minorHAnsi"/>
          <w:sz w:val="28"/>
          <w:szCs w:val="28"/>
          <w:lang w:eastAsia="en-US"/>
        </w:rPr>
        <w:t xml:space="preserve"> HS, </w:t>
      </w:r>
      <w:proofErr w:type="spellStart"/>
      <w:r w:rsidRPr="00520861">
        <w:rPr>
          <w:rFonts w:eastAsiaTheme="minorHAnsi"/>
          <w:sz w:val="28"/>
          <w:szCs w:val="28"/>
          <w:lang w:eastAsia="en-US"/>
        </w:rPr>
        <w:t>Sammel</w:t>
      </w:r>
      <w:proofErr w:type="spellEnd"/>
      <w:r w:rsidRPr="00520861">
        <w:rPr>
          <w:rFonts w:eastAsiaTheme="minorHAnsi"/>
          <w:sz w:val="28"/>
          <w:szCs w:val="28"/>
          <w:lang w:eastAsia="en-US"/>
        </w:rPr>
        <w:t xml:space="preserve"> MD, </w:t>
      </w:r>
      <w:proofErr w:type="spellStart"/>
      <w:r w:rsidRPr="00520861">
        <w:rPr>
          <w:rFonts w:eastAsiaTheme="minorHAnsi"/>
          <w:sz w:val="28"/>
          <w:szCs w:val="28"/>
          <w:lang w:eastAsia="en-US"/>
        </w:rPr>
        <w:t>Parry</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has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roots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placental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Placenta</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2014</w:t>
      </w:r>
      <w:r w:rsidRPr="00520861">
        <w:rPr>
          <w:rFonts w:eastAsiaTheme="minorHAnsi"/>
          <w:sz w:val="28"/>
          <w:szCs w:val="28"/>
          <w:lang w:val="en-US" w:eastAsia="en-US"/>
        </w:rPr>
        <w:t>;</w:t>
      </w:r>
      <w:r w:rsidRPr="00520861">
        <w:rPr>
          <w:rFonts w:eastAsiaTheme="minorHAnsi"/>
          <w:sz w:val="28"/>
          <w:szCs w:val="28"/>
          <w:lang w:eastAsia="en-US"/>
        </w:rPr>
        <w:t>35(9): 684–</w:t>
      </w:r>
      <w:r w:rsidRPr="00520861">
        <w:rPr>
          <w:rFonts w:eastAsiaTheme="minorHAnsi"/>
          <w:sz w:val="28"/>
          <w:szCs w:val="28"/>
          <w:lang w:val="en-US" w:eastAsia="en-US"/>
        </w:rPr>
        <w:t>6</w:t>
      </w:r>
      <w:r w:rsidRPr="00520861">
        <w:rPr>
          <w:rFonts w:eastAsiaTheme="minorHAnsi"/>
          <w:sz w:val="28"/>
          <w:szCs w:val="28"/>
          <w:lang w:eastAsia="en-US"/>
        </w:rPr>
        <w:t>90.</w:t>
      </w:r>
    </w:p>
    <w:p w14:paraId="4B2159C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Scott</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Berry</w:t>
      </w:r>
      <w:proofErr w:type="spellEnd"/>
      <w:r w:rsidRPr="00520861">
        <w:rPr>
          <w:rFonts w:eastAsiaTheme="minorHAnsi"/>
          <w:sz w:val="28"/>
          <w:szCs w:val="28"/>
          <w:lang w:eastAsia="en-US"/>
        </w:rPr>
        <w:t xml:space="preserve"> MR, </w:t>
      </w:r>
      <w:proofErr w:type="spellStart"/>
      <w:r w:rsidRPr="00520861">
        <w:rPr>
          <w:rFonts w:eastAsiaTheme="minorHAnsi"/>
          <w:sz w:val="28"/>
          <w:szCs w:val="28"/>
          <w:lang w:eastAsia="en-US"/>
        </w:rPr>
        <w:t>Gunn</w:t>
      </w:r>
      <w:proofErr w:type="spellEnd"/>
      <w:r w:rsidRPr="00520861">
        <w:rPr>
          <w:rFonts w:eastAsiaTheme="minorHAnsi"/>
          <w:sz w:val="28"/>
          <w:szCs w:val="28"/>
          <w:lang w:eastAsia="en-US"/>
        </w:rPr>
        <w:t xml:space="preserve"> DL, </w:t>
      </w:r>
      <w:proofErr w:type="spellStart"/>
      <w:r w:rsidRPr="00520861">
        <w:rPr>
          <w:rFonts w:eastAsiaTheme="minorHAnsi"/>
          <w:sz w:val="28"/>
          <w:szCs w:val="28"/>
          <w:lang w:eastAsia="en-US"/>
        </w:rPr>
        <w:t>Woods</w:t>
      </w:r>
      <w:proofErr w:type="spellEnd"/>
      <w:r w:rsidRPr="00520861">
        <w:rPr>
          <w:rFonts w:eastAsiaTheme="minorHAnsi"/>
          <w:sz w:val="28"/>
          <w:szCs w:val="28"/>
          <w:lang w:eastAsia="en-US"/>
        </w:rPr>
        <w:t xml:space="preserve"> K</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liquid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initial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sustained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stimulated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parotid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secretion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parotid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structure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r w:rsidR="00D9196F" w:rsidRPr="00520861">
        <w:rPr>
          <w:rFonts w:eastAsiaTheme="minorHAnsi"/>
          <w:sz w:val="28"/>
          <w:szCs w:val="28"/>
          <w:lang w:eastAsia="en-US"/>
        </w:rPr>
        <w:br/>
      </w:r>
      <w:proofErr w:type="spellStart"/>
      <w:r w:rsidRPr="00520861">
        <w:rPr>
          <w:rFonts w:eastAsiaTheme="minorHAnsi"/>
          <w:i/>
          <w:sz w:val="28"/>
          <w:szCs w:val="28"/>
          <w:lang w:eastAsia="en-US"/>
        </w:rPr>
        <w:t>Arch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1990</w:t>
      </w:r>
      <w:r w:rsidRPr="00520861">
        <w:rPr>
          <w:rFonts w:eastAsiaTheme="minorHAnsi"/>
          <w:sz w:val="28"/>
          <w:szCs w:val="28"/>
          <w:lang w:val="en-US" w:eastAsia="en-US"/>
        </w:rPr>
        <w:t>;</w:t>
      </w:r>
      <w:r w:rsidRPr="00520861">
        <w:rPr>
          <w:rFonts w:eastAsiaTheme="minorHAnsi"/>
          <w:sz w:val="28"/>
          <w:szCs w:val="28"/>
          <w:lang w:eastAsia="en-US"/>
        </w:rPr>
        <w:t>35</w:t>
      </w:r>
      <w:r w:rsidRPr="00520861">
        <w:rPr>
          <w:rFonts w:eastAsiaTheme="minorHAnsi"/>
          <w:sz w:val="28"/>
          <w:szCs w:val="28"/>
          <w:lang w:val="en-US" w:eastAsia="en-US"/>
        </w:rPr>
        <w:t>:</w:t>
      </w:r>
      <w:r w:rsidRPr="00520861">
        <w:rPr>
          <w:rFonts w:eastAsiaTheme="minorHAnsi"/>
          <w:sz w:val="28"/>
          <w:szCs w:val="28"/>
          <w:lang w:eastAsia="en-US"/>
        </w:rPr>
        <w:t xml:space="preserve"> 509–514.</w:t>
      </w:r>
    </w:p>
    <w:p w14:paraId="597F3D5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Segawa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Terakawa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Yamashina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Hopkins</w:t>
      </w:r>
      <w:proofErr w:type="spellEnd"/>
      <w:r w:rsidRPr="00520861">
        <w:rPr>
          <w:rFonts w:eastAsiaTheme="minorHAnsi"/>
          <w:sz w:val="28"/>
          <w:szCs w:val="28"/>
          <w:lang w:eastAsia="en-US"/>
        </w:rPr>
        <w:t xml:space="preserve"> CR. </w:t>
      </w:r>
      <w:proofErr w:type="spellStart"/>
      <w:r w:rsidRPr="00520861">
        <w:rPr>
          <w:rFonts w:eastAsiaTheme="minorHAnsi"/>
          <w:sz w:val="28"/>
          <w:szCs w:val="28"/>
          <w:lang w:eastAsia="en-US"/>
        </w:rPr>
        <w:t>Exocytosis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living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Direct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visualization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video-enhanced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confocal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laser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Eur</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Cell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Biol</w:t>
      </w:r>
      <w:proofErr w:type="spellEnd"/>
      <w:r w:rsidRPr="00520861">
        <w:rPr>
          <w:rFonts w:eastAsiaTheme="minorHAnsi"/>
          <w:sz w:val="28"/>
          <w:szCs w:val="28"/>
          <w:lang w:eastAsia="en-US"/>
        </w:rPr>
        <w:t>. 1991;54:</w:t>
      </w:r>
      <w:r w:rsidRPr="00520861">
        <w:rPr>
          <w:rFonts w:eastAsiaTheme="minorHAnsi"/>
          <w:sz w:val="28"/>
          <w:szCs w:val="28"/>
          <w:lang w:val="en-US" w:eastAsia="en-US"/>
        </w:rPr>
        <w:t xml:space="preserve"> </w:t>
      </w:r>
      <w:r w:rsidRPr="00520861">
        <w:rPr>
          <w:rFonts w:eastAsiaTheme="minorHAnsi"/>
          <w:sz w:val="28"/>
          <w:szCs w:val="28"/>
          <w:lang w:eastAsia="en-US"/>
        </w:rPr>
        <w:t xml:space="preserve">322–330. </w:t>
      </w:r>
    </w:p>
    <w:p w14:paraId="0160A54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Seibert</w:t>
      </w:r>
      <w:proofErr w:type="spellEnd"/>
      <w:r w:rsidRPr="00520861">
        <w:rPr>
          <w:rFonts w:eastAsiaTheme="minorHAnsi"/>
          <w:sz w:val="28"/>
          <w:szCs w:val="28"/>
          <w:lang w:eastAsia="en-US"/>
        </w:rPr>
        <w:t xml:space="preserve"> JL, </w:t>
      </w:r>
      <w:proofErr w:type="spellStart"/>
      <w:r w:rsidRPr="00520861">
        <w:rPr>
          <w:rFonts w:eastAsiaTheme="minorHAnsi"/>
          <w:sz w:val="28"/>
          <w:szCs w:val="28"/>
          <w:lang w:eastAsia="en-US"/>
        </w:rPr>
        <w:t>Lindhe</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Esthetics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therapy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Lindhe</w:t>
      </w:r>
      <w:proofErr w:type="spellEnd"/>
      <w:r w:rsidRPr="00520861">
        <w:rPr>
          <w:rFonts w:eastAsiaTheme="minorHAnsi"/>
          <w:sz w:val="28"/>
          <w:szCs w:val="28"/>
          <w:lang w:eastAsia="en-US"/>
        </w:rPr>
        <w:t xml:space="preserve"> J. </w:t>
      </w:r>
      <w:proofErr w:type="spellStart"/>
      <w:r w:rsidRPr="00520861">
        <w:rPr>
          <w:rFonts w:eastAsiaTheme="minorHAnsi"/>
          <w:i/>
          <w:sz w:val="28"/>
          <w:szCs w:val="28"/>
          <w:lang w:eastAsia="en-US"/>
        </w:rPr>
        <w:t>Textbook</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Clinical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Periodontology</w:t>
      </w:r>
      <w:proofErr w:type="spellEnd"/>
      <w:r w:rsidRPr="00520861">
        <w:rPr>
          <w:rFonts w:eastAsiaTheme="minorHAnsi"/>
          <w:sz w:val="28"/>
          <w:szCs w:val="28"/>
          <w:lang w:eastAsia="en-US"/>
        </w:rPr>
        <w:t xml:space="preserve">, 2nd </w:t>
      </w:r>
      <w:proofErr w:type="spellStart"/>
      <w:r w:rsidRPr="00520861">
        <w:rPr>
          <w:rFonts w:eastAsiaTheme="minorHAnsi"/>
          <w:sz w:val="28"/>
          <w:szCs w:val="28"/>
          <w:lang w:eastAsia="en-US"/>
        </w:rPr>
        <w: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Copenhagen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Denmark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Munksgaard</w:t>
      </w:r>
      <w:proofErr w:type="spellEnd"/>
      <w:r w:rsidRPr="00520861">
        <w:rPr>
          <w:rFonts w:eastAsiaTheme="minorHAnsi"/>
          <w:sz w:val="28"/>
          <w:szCs w:val="28"/>
          <w:lang w:eastAsia="en-US"/>
        </w:rPr>
        <w:t>; 1989</w:t>
      </w:r>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en-US" w:eastAsia="en-US"/>
        </w:rPr>
        <w:t xml:space="preserve">P. </w:t>
      </w:r>
      <w:r w:rsidRPr="00520861">
        <w:rPr>
          <w:rFonts w:eastAsiaTheme="minorHAnsi"/>
          <w:sz w:val="28"/>
          <w:szCs w:val="28"/>
          <w:lang w:eastAsia="en-US"/>
        </w:rPr>
        <w:t>477–514.</w:t>
      </w:r>
    </w:p>
    <w:p w14:paraId="73B1152A"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proofErr w:type="spellStart"/>
      <w:r w:rsidRPr="00520861">
        <w:rPr>
          <w:rFonts w:eastAsia="Calibri"/>
          <w:sz w:val="28"/>
          <w:szCs w:val="28"/>
          <w:lang w:val="en-GB" w:eastAsia="en-US"/>
        </w:rPr>
        <w:t>Sercan</w:t>
      </w:r>
      <w:proofErr w:type="spellEnd"/>
      <w:r w:rsidRPr="00520861">
        <w:rPr>
          <w:rFonts w:eastAsia="Calibri"/>
          <w:sz w:val="28"/>
          <w:szCs w:val="28"/>
          <w:lang w:val="en-GB" w:eastAsia="en-US"/>
        </w:rPr>
        <w:t xml:space="preserve"> Dogan C, </w:t>
      </w:r>
      <w:proofErr w:type="spellStart"/>
      <w:r w:rsidRPr="00520861">
        <w:rPr>
          <w:rFonts w:eastAsia="Calibri"/>
          <w:sz w:val="28"/>
          <w:szCs w:val="28"/>
          <w:lang w:val="en-GB" w:eastAsia="en-US"/>
        </w:rPr>
        <w:t>Gezmis</w:t>
      </w:r>
      <w:proofErr w:type="spellEnd"/>
      <w:r w:rsidRPr="00520861">
        <w:rPr>
          <w:rFonts w:eastAsia="Calibri"/>
          <w:sz w:val="28"/>
          <w:szCs w:val="28"/>
          <w:lang w:val="en-GB" w:eastAsia="en-US"/>
        </w:rPr>
        <w:t xml:space="preserve"> H, </w:t>
      </w:r>
      <w:proofErr w:type="spellStart"/>
      <w:r w:rsidRPr="00520861">
        <w:rPr>
          <w:rFonts w:eastAsia="Calibri"/>
          <w:sz w:val="28"/>
          <w:szCs w:val="28"/>
          <w:lang w:val="en-GB" w:eastAsia="en-US"/>
        </w:rPr>
        <w:t>Chousen</w:t>
      </w:r>
      <w:proofErr w:type="spellEnd"/>
      <w:r w:rsidRPr="00520861">
        <w:rPr>
          <w:rFonts w:eastAsia="Calibri"/>
          <w:sz w:val="28"/>
          <w:szCs w:val="28"/>
          <w:lang w:val="en-GB" w:eastAsia="en-US"/>
        </w:rPr>
        <w:t xml:space="preserve"> Ö, </w:t>
      </w:r>
      <w:proofErr w:type="spellStart"/>
      <w:r w:rsidRPr="00520861">
        <w:rPr>
          <w:rFonts w:eastAsia="Calibri"/>
          <w:sz w:val="28"/>
          <w:szCs w:val="28"/>
          <w:lang w:val="en-GB" w:eastAsia="en-US"/>
        </w:rPr>
        <w:t>Kirac</w:t>
      </w:r>
      <w:proofErr w:type="spellEnd"/>
      <w:r w:rsidRPr="00520861">
        <w:rPr>
          <w:rFonts w:eastAsia="Calibri"/>
          <w:sz w:val="28"/>
          <w:szCs w:val="28"/>
          <w:lang w:val="en-GB" w:eastAsia="en-US"/>
        </w:rPr>
        <w:t xml:space="preserve"> D, </w:t>
      </w:r>
      <w:proofErr w:type="spellStart"/>
      <w:r w:rsidRPr="00520861">
        <w:rPr>
          <w:rFonts w:eastAsia="Calibri"/>
          <w:sz w:val="28"/>
          <w:szCs w:val="28"/>
          <w:lang w:val="en-GB" w:eastAsia="en-US"/>
        </w:rPr>
        <w:t>Eken</w:t>
      </w:r>
      <w:proofErr w:type="spellEnd"/>
      <w:r w:rsidRPr="00520861">
        <w:rPr>
          <w:rFonts w:eastAsia="Calibri"/>
          <w:sz w:val="28"/>
          <w:szCs w:val="28"/>
          <w:lang w:val="en-GB" w:eastAsia="en-US"/>
        </w:rPr>
        <w:t xml:space="preserve"> B. Effect of Vitamin D </w:t>
      </w:r>
      <w:r w:rsidR="00D9196F" w:rsidRPr="00520861">
        <w:rPr>
          <w:rFonts w:eastAsia="Calibri"/>
          <w:sz w:val="28"/>
          <w:szCs w:val="28"/>
          <w:lang w:val="en-GB" w:eastAsia="en-US"/>
        </w:rPr>
        <w:br/>
      </w:r>
      <w:r w:rsidRPr="00520861">
        <w:rPr>
          <w:rFonts w:eastAsia="Calibri"/>
          <w:sz w:val="28"/>
          <w:szCs w:val="28"/>
          <w:lang w:val="en-GB" w:eastAsia="en-US"/>
        </w:rPr>
        <w:t xml:space="preserve">Receptor rs1544410 Polymorphism on Tooth Decays. </w:t>
      </w:r>
      <w:r w:rsidRPr="00520861">
        <w:rPr>
          <w:rFonts w:eastAsia="Calibri"/>
          <w:i/>
          <w:sz w:val="28"/>
          <w:szCs w:val="28"/>
          <w:lang w:val="en-GB" w:eastAsia="en-US"/>
        </w:rPr>
        <w:t>Marmara Dental Journal</w:t>
      </w:r>
      <w:r w:rsidRPr="00520861">
        <w:rPr>
          <w:rFonts w:eastAsia="Calibri"/>
          <w:sz w:val="28"/>
          <w:szCs w:val="28"/>
          <w:lang w:val="en-GB" w:eastAsia="en-US"/>
        </w:rPr>
        <w:t xml:space="preserve">. 2018;2: 13–17.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val="en-GB" w:eastAsia="en-US"/>
        </w:rPr>
        <w:t xml:space="preserve">10.12990/MDJ.2018.13. </w:t>
      </w:r>
    </w:p>
    <w:p w14:paraId="6B85E8F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Shahrabi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Nikfarjam</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Alikhani</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Akhoundi</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Ashtiani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Seraj</w:t>
      </w:r>
      <w:proofErr w:type="spellEnd"/>
      <w:r w:rsidRPr="00520861">
        <w:rPr>
          <w:rFonts w:eastAsiaTheme="minorHAnsi"/>
          <w:sz w:val="28"/>
          <w:szCs w:val="28"/>
          <w:lang w:eastAsia="en-US"/>
        </w:rPr>
        <w:t xml:space="preserve"> B. </w:t>
      </w:r>
      <w:r w:rsidRPr="00520861">
        <w:rPr>
          <w:rFonts w:eastAsiaTheme="minorHAnsi"/>
          <w:sz w:val="28"/>
          <w:szCs w:val="28"/>
          <w:lang w:eastAsia="en-US"/>
        </w:rPr>
        <w:br/>
        <w:t xml:space="preserve">A </w:t>
      </w:r>
      <w:proofErr w:type="spellStart"/>
      <w:r w:rsidRPr="00520861">
        <w:rPr>
          <w:rFonts w:eastAsiaTheme="minorHAnsi"/>
          <w:sz w:val="28"/>
          <w:szCs w:val="28"/>
          <w:lang w:eastAsia="en-US"/>
        </w:rPr>
        <w:t>comparison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calcium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phosphate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alkaline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phosphatase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severe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moderate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free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Tehran's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kindergartens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Indian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Soc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Pedod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xml:space="preserve">. 2008 </w:t>
      </w:r>
      <w:proofErr w:type="spellStart"/>
      <w:r w:rsidRPr="00520861">
        <w:rPr>
          <w:rFonts w:eastAsiaTheme="minorHAnsi"/>
          <w:sz w:val="28"/>
          <w:szCs w:val="28"/>
          <w:lang w:eastAsia="en-US"/>
        </w:rPr>
        <w:t>Jun</w:t>
      </w:r>
      <w:proofErr w:type="spellEnd"/>
      <w:r w:rsidRPr="00520861">
        <w:rPr>
          <w:rFonts w:eastAsiaTheme="minorHAnsi"/>
          <w:sz w:val="28"/>
          <w:szCs w:val="28"/>
          <w:lang w:eastAsia="en-US"/>
        </w:rPr>
        <w:t>; 26(2):</w:t>
      </w:r>
      <w:r w:rsidRPr="00520861">
        <w:rPr>
          <w:rFonts w:eastAsiaTheme="minorHAnsi"/>
          <w:sz w:val="28"/>
          <w:szCs w:val="28"/>
          <w:lang w:val="en-US" w:eastAsia="en-US"/>
        </w:rPr>
        <w:t xml:space="preserve"> </w:t>
      </w:r>
      <w:r w:rsidRPr="00520861">
        <w:rPr>
          <w:rFonts w:eastAsiaTheme="minorHAnsi"/>
          <w:sz w:val="28"/>
          <w:szCs w:val="28"/>
          <w:lang w:eastAsia="en-US"/>
        </w:rPr>
        <w:t>74–</w:t>
      </w:r>
      <w:r w:rsidRPr="00520861">
        <w:rPr>
          <w:rFonts w:eastAsiaTheme="minorHAnsi"/>
          <w:sz w:val="28"/>
          <w:szCs w:val="28"/>
          <w:lang w:val="en-US" w:eastAsia="en-US"/>
        </w:rPr>
        <w:t>7</w:t>
      </w:r>
      <w:r w:rsidRPr="00520861">
        <w:rPr>
          <w:rFonts w:eastAsiaTheme="minorHAnsi"/>
          <w:sz w:val="28"/>
          <w:szCs w:val="28"/>
          <w:lang w:eastAsia="en-US"/>
        </w:rPr>
        <w:t>7.</w:t>
      </w:r>
    </w:p>
    <w:p w14:paraId="0B462E2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Sharma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Phor</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Upadhyay</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Sharma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Vaidya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vertical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patterns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arch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different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types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skeletal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malocclusions</w:t>
      </w:r>
      <w:proofErr w:type="spellEnd"/>
      <w:r w:rsidRPr="00520861">
        <w:rPr>
          <w:rFonts w:eastAsiaTheme="minorHAnsi"/>
          <w:sz w:val="28"/>
          <w:szCs w:val="28"/>
          <w:lang w:eastAsia="en-US"/>
        </w:rPr>
        <w:t xml:space="preserve">. </w:t>
      </w:r>
      <w:r w:rsidRPr="00520861">
        <w:rPr>
          <w:rFonts w:eastAsiaTheme="minorHAnsi"/>
          <w:i/>
          <w:sz w:val="28"/>
          <w:szCs w:val="28"/>
          <w:lang w:eastAsia="en-US"/>
        </w:rPr>
        <w:t>IOSR-JDMS</w:t>
      </w:r>
      <w:r w:rsidRPr="00520861">
        <w:rPr>
          <w:rFonts w:eastAsiaTheme="minorHAnsi"/>
          <w:sz w:val="28"/>
          <w:szCs w:val="28"/>
          <w:lang w:eastAsia="en-US"/>
        </w:rPr>
        <w:t>. 2018;17(9):</w:t>
      </w:r>
      <w:r w:rsidRPr="00520861">
        <w:rPr>
          <w:rFonts w:eastAsiaTheme="minorHAnsi"/>
          <w:sz w:val="28"/>
          <w:szCs w:val="28"/>
          <w:lang w:val="en-US" w:eastAsia="en-US"/>
        </w:rPr>
        <w:t xml:space="preserve"> </w:t>
      </w:r>
      <w:r w:rsidRPr="00520861">
        <w:rPr>
          <w:rFonts w:eastAsiaTheme="minorHAnsi"/>
          <w:sz w:val="28"/>
          <w:szCs w:val="28"/>
          <w:lang w:eastAsia="en-US"/>
        </w:rPr>
        <w:t>67–88.</w:t>
      </w:r>
    </w:p>
    <w:p w14:paraId="1E658ED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Sharma</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Bhatia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Sodhi</w:t>
      </w:r>
      <w:proofErr w:type="spellEnd"/>
      <w:r w:rsidRPr="00520861">
        <w:rPr>
          <w:rFonts w:eastAsiaTheme="minorHAnsi"/>
          <w:sz w:val="28"/>
          <w:szCs w:val="28"/>
          <w:lang w:eastAsia="en-US"/>
        </w:rPr>
        <w:t xml:space="preserve"> AS, </w:t>
      </w:r>
      <w:proofErr w:type="spellStart"/>
      <w:r w:rsidRPr="00520861">
        <w:rPr>
          <w:rFonts w:eastAsiaTheme="minorHAnsi"/>
          <w:sz w:val="28"/>
          <w:szCs w:val="28"/>
          <w:lang w:eastAsia="en-US"/>
        </w:rPr>
        <w:t>Batra</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microbiome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AIMS </w:t>
      </w:r>
      <w:proofErr w:type="spellStart"/>
      <w:r w:rsidRPr="00520861">
        <w:rPr>
          <w:rFonts w:eastAsiaTheme="minorHAnsi"/>
          <w:i/>
          <w:sz w:val="28"/>
          <w:szCs w:val="28"/>
          <w:lang w:eastAsia="en-US"/>
        </w:rPr>
        <w:t>Microbiology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2018</w:t>
      </w:r>
      <w:r w:rsidRPr="00520861">
        <w:rPr>
          <w:rFonts w:eastAsiaTheme="minorHAnsi"/>
          <w:sz w:val="28"/>
          <w:szCs w:val="28"/>
          <w:lang w:val="en-US" w:eastAsia="en-US"/>
        </w:rPr>
        <w:t>;</w:t>
      </w:r>
      <w:r w:rsidRPr="00520861">
        <w:rPr>
          <w:rFonts w:eastAsiaTheme="minorHAnsi"/>
          <w:sz w:val="28"/>
          <w:szCs w:val="28"/>
          <w:lang w:eastAsia="en-US"/>
        </w:rPr>
        <w:t xml:space="preserve"> 4(1): 42–66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10.3934/microbiol.2018.1.42</w:t>
      </w:r>
      <w:r w:rsidRPr="00520861">
        <w:rPr>
          <w:rFonts w:eastAsiaTheme="minorHAnsi"/>
          <w:sz w:val="28"/>
          <w:szCs w:val="28"/>
          <w:lang w:val="en-US" w:eastAsia="en-US"/>
        </w:rPr>
        <w:t>.</w:t>
      </w:r>
    </w:p>
    <w:p w14:paraId="3924E36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Shetty</w:t>
      </w:r>
      <w:proofErr w:type="spellEnd"/>
      <w:r w:rsidRPr="00520861">
        <w:rPr>
          <w:rFonts w:eastAsiaTheme="minorHAnsi"/>
          <w:sz w:val="28"/>
          <w:szCs w:val="28"/>
          <w:lang w:eastAsia="en-US"/>
        </w:rPr>
        <w:t xml:space="preserve"> CM, </w:t>
      </w:r>
      <w:proofErr w:type="spellStart"/>
      <w:r w:rsidRPr="00520861">
        <w:rPr>
          <w:rFonts w:eastAsiaTheme="minorHAnsi"/>
          <w:sz w:val="28"/>
          <w:szCs w:val="28"/>
          <w:lang w:eastAsia="en-US"/>
        </w:rPr>
        <w:t>Hegde</w:t>
      </w:r>
      <w:proofErr w:type="spellEnd"/>
      <w:r w:rsidRPr="00520861">
        <w:rPr>
          <w:rFonts w:eastAsiaTheme="minorHAnsi"/>
          <w:sz w:val="28"/>
          <w:szCs w:val="28"/>
          <w:lang w:eastAsia="en-US"/>
        </w:rPr>
        <w:t xml:space="preserve"> MN, </w:t>
      </w:r>
      <w:proofErr w:type="spellStart"/>
      <w:r w:rsidRPr="00520861">
        <w:rPr>
          <w:rFonts w:eastAsiaTheme="minorHAnsi"/>
          <w:sz w:val="28"/>
          <w:szCs w:val="28"/>
          <w:lang w:eastAsia="en-US"/>
        </w:rPr>
        <w:t>Devadiga</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Correlation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flow</w:t>
      </w:r>
      <w:proofErr w:type="spellEnd"/>
      <w:r w:rsidRPr="00520861">
        <w:rPr>
          <w:rFonts w:eastAsiaTheme="minorHAnsi"/>
          <w:sz w:val="28"/>
          <w:szCs w:val="28"/>
          <w:lang w:eastAsia="en-US"/>
        </w:rPr>
        <w:t>, p</w:t>
      </w:r>
      <w:r w:rsidRPr="00520861">
        <w:rPr>
          <w:rFonts w:eastAsiaTheme="minorHAnsi"/>
          <w:sz w:val="28"/>
          <w:szCs w:val="28"/>
          <w:lang w:val="en-US" w:eastAsia="en-US"/>
        </w:rPr>
        <w:t>H</w:t>
      </w:r>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buffering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capacity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adult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south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Indian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population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in-vivo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International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Research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Ayurveda</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Pharmacy</w:t>
      </w:r>
      <w:proofErr w:type="spellEnd"/>
      <w:r w:rsidRPr="00520861">
        <w:rPr>
          <w:rFonts w:eastAsiaTheme="minorHAnsi"/>
          <w:sz w:val="28"/>
          <w:szCs w:val="28"/>
          <w:lang w:eastAsia="en-US"/>
        </w:rPr>
        <w:t>. 2013;4</w:t>
      </w:r>
      <w:r w:rsidRPr="00520861">
        <w:rPr>
          <w:rFonts w:eastAsiaTheme="minorHAnsi"/>
          <w:sz w:val="28"/>
          <w:szCs w:val="28"/>
          <w:lang w:val="en-US" w:eastAsia="en-US"/>
        </w:rPr>
        <w:t>(2)</w:t>
      </w:r>
      <w:r w:rsidRPr="00520861">
        <w:rPr>
          <w:rFonts w:eastAsiaTheme="minorHAnsi"/>
          <w:sz w:val="28"/>
          <w:szCs w:val="28"/>
          <w:lang w:eastAsia="en-US"/>
        </w:rPr>
        <w:t>: 219–223.</w:t>
      </w:r>
    </w:p>
    <w:p w14:paraId="5734F3C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Shetty</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Kapoor</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Bondu</w:t>
      </w:r>
      <w:proofErr w:type="spellEnd"/>
      <w:r w:rsidRPr="00520861">
        <w:rPr>
          <w:rFonts w:eastAsiaTheme="minorHAnsi"/>
          <w:sz w:val="28"/>
          <w:szCs w:val="28"/>
          <w:lang w:eastAsia="en-US"/>
        </w:rPr>
        <w:t xml:space="preserve"> JD, </w:t>
      </w:r>
      <w:proofErr w:type="spellStart"/>
      <w:r w:rsidRPr="00520861">
        <w:rPr>
          <w:rFonts w:eastAsiaTheme="minorHAnsi"/>
          <w:sz w:val="28"/>
          <w:szCs w:val="28"/>
          <w:lang w:eastAsia="en-US"/>
        </w:rPr>
        <w:t>Thomas</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Paul</w:t>
      </w:r>
      <w:proofErr w:type="spellEnd"/>
      <w:r w:rsidRPr="00520861">
        <w:rPr>
          <w:rFonts w:eastAsiaTheme="minorHAnsi"/>
          <w:sz w:val="28"/>
          <w:szCs w:val="28"/>
          <w:lang w:eastAsia="en-US"/>
        </w:rPr>
        <w:t xml:space="preserve"> TV.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turnover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markers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Emerging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management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osteoporosis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Indian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Endocrinol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Metab</w:t>
      </w:r>
      <w:proofErr w:type="spellEnd"/>
      <w:r w:rsidRPr="00520861">
        <w:rPr>
          <w:rFonts w:eastAsiaTheme="minorHAnsi"/>
          <w:sz w:val="28"/>
          <w:szCs w:val="28"/>
          <w:lang w:eastAsia="en-US"/>
        </w:rPr>
        <w:t>. 2016;20</w:t>
      </w:r>
      <w:r w:rsidRPr="00520861">
        <w:rPr>
          <w:rFonts w:eastAsiaTheme="minorHAnsi"/>
          <w:sz w:val="28"/>
          <w:szCs w:val="28"/>
          <w:lang w:val="en-US" w:eastAsia="en-US"/>
        </w:rPr>
        <w:t>(6)</w:t>
      </w:r>
      <w:r w:rsidRPr="00520861">
        <w:rPr>
          <w:rFonts w:eastAsiaTheme="minorHAnsi"/>
          <w:sz w:val="28"/>
          <w:szCs w:val="28"/>
          <w:lang w:eastAsia="en-US"/>
        </w:rPr>
        <w:t xml:space="preserve">: 846–852.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10.7860/JCDR/2018/37917.12389.</w:t>
      </w:r>
    </w:p>
    <w:p w14:paraId="257A1CA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Shih</w:t>
      </w:r>
      <w:proofErr w:type="spellEnd"/>
      <w:r w:rsidRPr="00520861">
        <w:rPr>
          <w:rFonts w:eastAsiaTheme="minorHAnsi"/>
          <w:sz w:val="28"/>
          <w:szCs w:val="28"/>
          <w:lang w:eastAsia="en-US"/>
        </w:rPr>
        <w:t xml:space="preserve"> PB, </w:t>
      </w:r>
      <w:proofErr w:type="spellStart"/>
      <w:r w:rsidRPr="00520861">
        <w:rPr>
          <w:rFonts w:eastAsiaTheme="minorHAnsi"/>
          <w:sz w:val="28"/>
          <w:szCs w:val="28"/>
          <w:lang w:eastAsia="en-US"/>
        </w:rPr>
        <w:t>O’Connor</w:t>
      </w:r>
      <w:proofErr w:type="spellEnd"/>
      <w:r w:rsidRPr="00520861">
        <w:rPr>
          <w:rFonts w:eastAsiaTheme="minorHAnsi"/>
          <w:sz w:val="28"/>
          <w:szCs w:val="28"/>
          <w:lang w:eastAsia="en-US"/>
        </w:rPr>
        <w:t xml:space="preserve"> DT. </w:t>
      </w:r>
      <w:proofErr w:type="spellStart"/>
      <w:r w:rsidRPr="00520861">
        <w:rPr>
          <w:rFonts w:eastAsiaTheme="minorHAnsi"/>
          <w:sz w:val="28"/>
          <w:szCs w:val="28"/>
          <w:lang w:eastAsia="en-US"/>
        </w:rPr>
        <w:t>Hereditary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determinants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hypertension</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sz w:val="28"/>
          <w:szCs w:val="28"/>
          <w:lang w:val="en-US" w:eastAsia="en-US"/>
        </w:rPr>
        <w:t>S</w:t>
      </w:r>
      <w:proofErr w:type="spellStart"/>
      <w:r w:rsidRPr="00520861">
        <w:rPr>
          <w:rFonts w:eastAsiaTheme="minorHAnsi"/>
          <w:sz w:val="28"/>
          <w:szCs w:val="28"/>
          <w:lang w:eastAsia="en-US"/>
        </w:rPr>
        <w:t>trategies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setting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complexity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Hypertension</w:t>
      </w:r>
      <w:proofErr w:type="spellEnd"/>
      <w:r w:rsidRPr="00520861">
        <w:rPr>
          <w:rFonts w:eastAsiaTheme="minorHAnsi"/>
          <w:sz w:val="28"/>
          <w:szCs w:val="28"/>
          <w:lang w:eastAsia="en-US"/>
        </w:rPr>
        <w:t xml:space="preserve">. 2008;51(6): 1456–1464.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10.1161/HYPERTENSIONAHA.107.090480</w:t>
      </w:r>
      <w:r w:rsidRPr="00520861">
        <w:rPr>
          <w:rFonts w:eastAsiaTheme="minorHAnsi"/>
          <w:sz w:val="28"/>
          <w:szCs w:val="28"/>
          <w:lang w:val="en-US" w:eastAsia="en-US"/>
        </w:rPr>
        <w:t>.</w:t>
      </w:r>
    </w:p>
    <w:p w14:paraId="58AACF7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Shin</w:t>
      </w:r>
      <w:proofErr w:type="spellEnd"/>
      <w:r w:rsidRPr="00520861">
        <w:rPr>
          <w:rFonts w:eastAsiaTheme="minorHAnsi"/>
          <w:sz w:val="28"/>
          <w:szCs w:val="28"/>
          <w:lang w:eastAsia="en-US"/>
        </w:rPr>
        <w:t xml:space="preserve"> JS, </w:t>
      </w:r>
      <w:proofErr w:type="spellStart"/>
      <w:r w:rsidRPr="00520861">
        <w:rPr>
          <w:rFonts w:eastAsiaTheme="minorHAnsi"/>
          <w:sz w:val="28"/>
          <w:szCs w:val="28"/>
          <w:lang w:eastAsia="en-US"/>
        </w:rPr>
        <w:t>Choi</w:t>
      </w:r>
      <w:proofErr w:type="spellEnd"/>
      <w:r w:rsidRPr="00520861">
        <w:rPr>
          <w:rFonts w:eastAsiaTheme="minorHAnsi"/>
          <w:sz w:val="28"/>
          <w:szCs w:val="28"/>
          <w:lang w:eastAsia="en-US"/>
        </w:rPr>
        <w:t xml:space="preserve"> MY, </w:t>
      </w:r>
      <w:proofErr w:type="spellStart"/>
      <w:r w:rsidRPr="00520861">
        <w:rPr>
          <w:rFonts w:eastAsiaTheme="minorHAnsi"/>
          <w:sz w:val="28"/>
          <w:szCs w:val="28"/>
          <w:lang w:eastAsia="en-US"/>
        </w:rPr>
        <w:t>Longtine</w:t>
      </w:r>
      <w:proofErr w:type="spellEnd"/>
      <w:r w:rsidRPr="00520861">
        <w:rPr>
          <w:rFonts w:eastAsiaTheme="minorHAnsi"/>
          <w:sz w:val="28"/>
          <w:szCs w:val="28"/>
          <w:lang w:eastAsia="en-US"/>
        </w:rPr>
        <w:t xml:space="preserve"> MS, </w:t>
      </w:r>
      <w:proofErr w:type="spellStart"/>
      <w:r w:rsidRPr="00520861">
        <w:rPr>
          <w:rFonts w:eastAsiaTheme="minorHAnsi"/>
          <w:sz w:val="28"/>
          <w:szCs w:val="28"/>
          <w:lang w:eastAsia="en-US"/>
        </w:rPr>
        <w:t>Nelson</w:t>
      </w:r>
      <w:proofErr w:type="spellEnd"/>
      <w:r w:rsidRPr="00520861">
        <w:rPr>
          <w:rFonts w:eastAsiaTheme="minorHAnsi"/>
          <w:sz w:val="28"/>
          <w:szCs w:val="28"/>
          <w:lang w:eastAsia="en-US"/>
        </w:rPr>
        <w:t xml:space="preserve"> DM. </w:t>
      </w:r>
      <w:proofErr w:type="spellStart"/>
      <w:r w:rsidRPr="00520861">
        <w:rPr>
          <w:rFonts w:eastAsiaTheme="minorHAnsi"/>
          <w:sz w:val="28"/>
          <w:szCs w:val="28"/>
          <w:lang w:eastAsia="en-US"/>
        </w:rPr>
        <w:t>Vitamin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placenta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Placenta</w:t>
      </w:r>
      <w:proofErr w:type="spellEnd"/>
      <w:r w:rsidRPr="00520861">
        <w:rPr>
          <w:rFonts w:eastAsiaTheme="minorHAnsi"/>
          <w:sz w:val="28"/>
          <w:szCs w:val="28"/>
          <w:lang w:eastAsia="en-US"/>
        </w:rPr>
        <w:t>. 2010;31:</w:t>
      </w:r>
      <w:r w:rsidRPr="00520861">
        <w:rPr>
          <w:rFonts w:eastAsiaTheme="minorHAnsi"/>
          <w:sz w:val="28"/>
          <w:szCs w:val="28"/>
          <w:lang w:val="en-US" w:eastAsia="en-US"/>
        </w:rPr>
        <w:t xml:space="preserve"> </w:t>
      </w:r>
      <w:r w:rsidRPr="00520861">
        <w:rPr>
          <w:rFonts w:eastAsiaTheme="minorHAnsi"/>
          <w:sz w:val="28"/>
          <w:szCs w:val="28"/>
          <w:lang w:eastAsia="en-US"/>
        </w:rPr>
        <w:t>1027–</w:t>
      </w:r>
      <w:r w:rsidRPr="00520861">
        <w:rPr>
          <w:rFonts w:eastAsiaTheme="minorHAnsi"/>
          <w:sz w:val="28"/>
          <w:szCs w:val="28"/>
          <w:lang w:val="en-US" w:eastAsia="en-US"/>
        </w:rPr>
        <w:t>10</w:t>
      </w:r>
      <w:r w:rsidRPr="00520861">
        <w:rPr>
          <w:rFonts w:eastAsiaTheme="minorHAnsi"/>
          <w:sz w:val="28"/>
          <w:szCs w:val="28"/>
          <w:lang w:eastAsia="en-US"/>
        </w:rPr>
        <w:t>34.</w:t>
      </w:r>
    </w:p>
    <w:p w14:paraId="2BE6186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Siddharth</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Singla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Kaur</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adolescents</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 xml:space="preserve"> </w:t>
      </w:r>
      <w:r w:rsidRPr="00520861">
        <w:rPr>
          <w:rFonts w:eastAsiaTheme="minorHAnsi"/>
          <w:sz w:val="28"/>
          <w:szCs w:val="28"/>
          <w:lang w:eastAsia="en-US"/>
        </w:rPr>
        <w:t xml:space="preserve">A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&amp; </w:t>
      </w:r>
      <w:proofErr w:type="spellStart"/>
      <w:r w:rsidRPr="00520861">
        <w:rPr>
          <w:rFonts w:eastAsiaTheme="minorHAnsi"/>
          <w:i/>
          <w:sz w:val="28"/>
          <w:szCs w:val="28"/>
          <w:lang w:eastAsia="en-US"/>
        </w:rPr>
        <w:t>Research</w:t>
      </w:r>
      <w:proofErr w:type="spellEnd"/>
      <w:r w:rsidRPr="00520861">
        <w:rPr>
          <w:rFonts w:eastAsiaTheme="minorHAnsi"/>
          <w:sz w:val="28"/>
          <w:szCs w:val="28"/>
          <w:lang w:eastAsia="en-US"/>
        </w:rPr>
        <w:t xml:space="preserve">. 2013; </w:t>
      </w:r>
      <w:r w:rsidRPr="00520861">
        <w:rPr>
          <w:rFonts w:eastAsiaTheme="minorHAnsi"/>
          <w:sz w:val="28"/>
          <w:szCs w:val="28"/>
          <w:lang w:val="en-US" w:eastAsia="en-US"/>
        </w:rPr>
        <w:t>4</w:t>
      </w:r>
      <w:r w:rsidRPr="00520861">
        <w:rPr>
          <w:rFonts w:eastAsiaTheme="minorHAnsi"/>
          <w:sz w:val="28"/>
          <w:szCs w:val="28"/>
          <w:lang w:eastAsia="en-US"/>
        </w:rPr>
        <w:t>(</w:t>
      </w:r>
      <w:r w:rsidRPr="00520861">
        <w:rPr>
          <w:rFonts w:eastAsiaTheme="minorHAnsi"/>
          <w:sz w:val="28"/>
          <w:szCs w:val="28"/>
          <w:lang w:val="en-US" w:eastAsia="en-US"/>
        </w:rPr>
        <w:t>1</w:t>
      </w:r>
      <w:r w:rsidRPr="00520861">
        <w:rPr>
          <w:rFonts w:eastAsiaTheme="minorHAnsi"/>
          <w:sz w:val="28"/>
          <w:szCs w:val="28"/>
          <w:lang w:eastAsia="en-US"/>
        </w:rPr>
        <w:t>)</w:t>
      </w:r>
      <w:r w:rsidRPr="00520861">
        <w:rPr>
          <w:rFonts w:eastAsiaTheme="minorHAnsi"/>
          <w:sz w:val="28"/>
          <w:szCs w:val="28"/>
          <w:lang w:val="en-US" w:eastAsia="en-US"/>
        </w:rPr>
        <w:t>:</w:t>
      </w:r>
      <w:r w:rsidRPr="00520861">
        <w:rPr>
          <w:rFonts w:eastAsiaTheme="minorHAnsi"/>
          <w:sz w:val="28"/>
          <w:szCs w:val="28"/>
          <w:lang w:eastAsia="en-US"/>
        </w:rPr>
        <w:t xml:space="preserve"> 18–23.</w:t>
      </w:r>
    </w:p>
    <w:p w14:paraId="3542A07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Silvane</w:t>
      </w:r>
      <w:proofErr w:type="spellEnd"/>
      <w:r w:rsidRPr="00520861">
        <w:rPr>
          <w:rFonts w:eastAsiaTheme="minorHAnsi"/>
          <w:sz w:val="28"/>
          <w:szCs w:val="28"/>
          <w:lang w:eastAsia="en-US"/>
        </w:rPr>
        <w:t xml:space="preserve"> ES</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Vasconcelos</w:t>
      </w:r>
      <w:proofErr w:type="spellEnd"/>
      <w:r w:rsidRPr="00520861">
        <w:rPr>
          <w:rFonts w:eastAsiaTheme="minorHAnsi"/>
          <w:sz w:val="28"/>
          <w:szCs w:val="28"/>
          <w:lang w:eastAsia="en-US"/>
        </w:rPr>
        <w:t xml:space="preserve"> KRF,  </w:t>
      </w:r>
      <w:proofErr w:type="spellStart"/>
      <w:r w:rsidRPr="00520861">
        <w:rPr>
          <w:rFonts w:eastAsiaTheme="minorHAnsi"/>
          <w:sz w:val="28"/>
          <w:szCs w:val="28"/>
          <w:lang w:eastAsia="en-US"/>
        </w:rPr>
        <w:t>Thaís</w:t>
      </w:r>
      <w:proofErr w:type="spellEnd"/>
      <w:r w:rsidRPr="00520861">
        <w:rPr>
          <w:rFonts w:eastAsiaTheme="minorHAnsi"/>
          <w:sz w:val="28"/>
          <w:szCs w:val="28"/>
          <w:lang w:eastAsia="en-US"/>
        </w:rPr>
        <w:t xml:space="preserve"> AX, </w:t>
      </w:r>
      <w:proofErr w:type="spellStart"/>
      <w:r w:rsidRPr="00520861">
        <w:rPr>
          <w:rFonts w:eastAsiaTheme="minorHAnsi"/>
          <w:sz w:val="28"/>
          <w:szCs w:val="28"/>
          <w:lang w:eastAsia="en-US"/>
        </w:rPr>
        <w:t>Oliveira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Dutra</w:t>
      </w:r>
      <w:proofErr w:type="spellEnd"/>
      <w:r w:rsidRPr="00520861">
        <w:rPr>
          <w:rFonts w:eastAsiaTheme="minorHAnsi"/>
          <w:sz w:val="28"/>
          <w:szCs w:val="28"/>
          <w:lang w:eastAsia="en-US"/>
        </w:rPr>
        <w:t xml:space="preserve"> ALT, </w:t>
      </w:r>
      <w:proofErr w:type="spellStart"/>
      <w:r w:rsidRPr="00520861">
        <w:rPr>
          <w:rFonts w:eastAsiaTheme="minorHAnsi"/>
          <w:sz w:val="28"/>
          <w:szCs w:val="28"/>
          <w:lang w:eastAsia="en-US"/>
        </w:rPr>
        <w:t>Nelson-Filho</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permanent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emergence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overweight</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Amazon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Braz</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J</w:t>
      </w:r>
      <w:r w:rsidRPr="00520861">
        <w:rPr>
          <w:rFonts w:eastAsiaTheme="minorHAnsi"/>
          <w:sz w:val="28"/>
          <w:szCs w:val="28"/>
          <w:lang w:eastAsia="en-US"/>
        </w:rPr>
        <w:t>. 2018;29(5): 465–</w:t>
      </w:r>
      <w:r w:rsidRPr="00520861">
        <w:rPr>
          <w:rFonts w:eastAsiaTheme="minorHAnsi"/>
          <w:sz w:val="28"/>
          <w:szCs w:val="28"/>
          <w:lang w:val="en-US" w:eastAsia="en-US"/>
        </w:rPr>
        <w:t>46</w:t>
      </w:r>
      <w:r w:rsidRPr="00520861">
        <w:rPr>
          <w:rFonts w:eastAsiaTheme="minorHAnsi"/>
          <w:sz w:val="28"/>
          <w:szCs w:val="28"/>
          <w:lang w:eastAsia="en-US"/>
        </w:rPr>
        <w:t xml:space="preserve">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10.1590/0103-6440201802230</w:t>
      </w:r>
      <w:r w:rsidRPr="00520861">
        <w:rPr>
          <w:rFonts w:eastAsiaTheme="minorHAnsi"/>
          <w:sz w:val="28"/>
          <w:szCs w:val="28"/>
          <w:lang w:val="en-US" w:eastAsia="en-US"/>
        </w:rPr>
        <w:t>.</w:t>
      </w:r>
    </w:p>
    <w:p w14:paraId="581239B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Silverberg</w:t>
      </w:r>
      <w:proofErr w:type="spellEnd"/>
      <w:r w:rsidRPr="00520861">
        <w:rPr>
          <w:rFonts w:eastAsiaTheme="minorHAnsi"/>
          <w:sz w:val="28"/>
          <w:szCs w:val="28"/>
          <w:lang w:eastAsia="en-US"/>
        </w:rPr>
        <w:t xml:space="preserve"> JI, </w:t>
      </w:r>
      <w:proofErr w:type="spellStart"/>
      <w:r w:rsidRPr="00520861">
        <w:rPr>
          <w:rFonts w:eastAsiaTheme="minorHAnsi"/>
          <w:sz w:val="28"/>
          <w:szCs w:val="28"/>
          <w:lang w:eastAsia="en-US"/>
        </w:rPr>
        <w:t>Kleiman</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Lev-Tov</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Silverberg</w:t>
      </w:r>
      <w:proofErr w:type="spellEnd"/>
      <w:r w:rsidRPr="00520861">
        <w:rPr>
          <w:rFonts w:eastAsiaTheme="minorHAnsi"/>
          <w:sz w:val="28"/>
          <w:szCs w:val="28"/>
          <w:lang w:eastAsia="en-US"/>
        </w:rPr>
        <w:t xml:space="preserve"> NB, </w:t>
      </w:r>
      <w:proofErr w:type="spellStart"/>
      <w:r w:rsidRPr="00520861">
        <w:rPr>
          <w:rFonts w:eastAsiaTheme="minorHAnsi"/>
          <w:sz w:val="28"/>
          <w:szCs w:val="28"/>
          <w:lang w:eastAsia="en-US"/>
        </w:rPr>
        <w:t>Durkin</w:t>
      </w:r>
      <w:proofErr w:type="spellEnd"/>
      <w:r w:rsidRPr="00520861">
        <w:rPr>
          <w:rFonts w:eastAsiaTheme="minorHAnsi"/>
          <w:sz w:val="28"/>
          <w:szCs w:val="28"/>
          <w:lang w:eastAsia="en-US"/>
        </w:rPr>
        <w:t xml:space="preserve"> HG, </w:t>
      </w:r>
      <w:proofErr w:type="spellStart"/>
      <w:r w:rsidRPr="00520861">
        <w:rPr>
          <w:rFonts w:eastAsiaTheme="minorHAnsi"/>
          <w:sz w:val="28"/>
          <w:szCs w:val="28"/>
          <w:lang w:eastAsia="en-US"/>
        </w:rPr>
        <w:t>Joks</w:t>
      </w:r>
      <w:proofErr w:type="spellEnd"/>
      <w:r w:rsidRPr="00520861">
        <w:rPr>
          <w:rFonts w:eastAsiaTheme="minorHAnsi"/>
          <w:sz w:val="28"/>
          <w:szCs w:val="28"/>
          <w:lang w:eastAsia="en-US"/>
        </w:rPr>
        <w:t xml:space="preserve"> R, </w:t>
      </w:r>
      <w:r w:rsidRPr="00520861">
        <w:rPr>
          <w:rFonts w:eastAsiaTheme="minorHAnsi"/>
          <w:sz w:val="28"/>
          <w:szCs w:val="28"/>
          <w:lang w:val="en-US" w:eastAsia="en-US"/>
        </w:rPr>
        <w:t>et al</w:t>
      </w:r>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atopic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dermatitis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case-control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Allergy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Immunol</w:t>
      </w:r>
      <w:proofErr w:type="spellEnd"/>
      <w:r w:rsidRPr="00520861">
        <w:rPr>
          <w:rFonts w:eastAsiaTheme="minorHAnsi"/>
          <w:sz w:val="28"/>
          <w:szCs w:val="28"/>
          <w:lang w:eastAsia="en-US"/>
        </w:rPr>
        <w:t>. 2011</w:t>
      </w:r>
      <w:r w:rsidRPr="00520861">
        <w:rPr>
          <w:rFonts w:eastAsiaTheme="minorHAnsi"/>
          <w:sz w:val="28"/>
          <w:szCs w:val="28"/>
          <w:lang w:val="en-US" w:eastAsia="en-US"/>
        </w:rPr>
        <w:t>;</w:t>
      </w:r>
      <w:r w:rsidRPr="00520861">
        <w:rPr>
          <w:rFonts w:eastAsiaTheme="minorHAnsi"/>
          <w:sz w:val="28"/>
          <w:szCs w:val="28"/>
          <w:lang w:eastAsia="en-US"/>
        </w:rPr>
        <w:t>127(5)</w:t>
      </w:r>
      <w:r w:rsidRPr="00520861">
        <w:rPr>
          <w:rFonts w:eastAsiaTheme="minorHAnsi"/>
          <w:sz w:val="28"/>
          <w:szCs w:val="28"/>
          <w:lang w:val="en-US" w:eastAsia="en-US"/>
        </w:rPr>
        <w:t>:</w:t>
      </w:r>
      <w:r w:rsidRPr="00520861">
        <w:rPr>
          <w:rFonts w:eastAsiaTheme="minorHAnsi"/>
          <w:sz w:val="28"/>
          <w:szCs w:val="28"/>
          <w:lang w:eastAsia="en-US"/>
        </w:rPr>
        <w:t xml:space="preserve"> 1180–</w:t>
      </w:r>
      <w:r w:rsidRPr="00520861">
        <w:rPr>
          <w:rFonts w:eastAsiaTheme="minorHAnsi"/>
          <w:sz w:val="28"/>
          <w:szCs w:val="28"/>
          <w:lang w:val="en-US" w:eastAsia="en-US"/>
        </w:rPr>
        <w:t>118</w:t>
      </w:r>
      <w:r w:rsidRPr="00520861">
        <w:rPr>
          <w:rFonts w:eastAsiaTheme="minorHAnsi"/>
          <w:sz w:val="28"/>
          <w:szCs w:val="28"/>
          <w:lang w:eastAsia="en-US"/>
        </w:rPr>
        <w:t xml:space="preserve">6.e1.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10.1016/j.jaci.2011.01.063.</w:t>
      </w:r>
    </w:p>
    <w:p w14:paraId="4E3DD8F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Singh</w:t>
      </w:r>
      <w:proofErr w:type="spellEnd"/>
      <w:r w:rsidRPr="00520861">
        <w:rPr>
          <w:rFonts w:eastAsiaTheme="minorHAnsi"/>
          <w:sz w:val="28"/>
          <w:szCs w:val="28"/>
          <w:lang w:eastAsia="en-US"/>
        </w:rPr>
        <w:t xml:space="preserve"> RK, </w:t>
      </w:r>
      <w:proofErr w:type="spellStart"/>
      <w:r w:rsidRPr="00520861">
        <w:rPr>
          <w:rFonts w:eastAsiaTheme="minorHAnsi"/>
          <w:sz w:val="28"/>
          <w:szCs w:val="28"/>
          <w:lang w:eastAsia="en-US"/>
        </w:rPr>
        <w:t>Kumar</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Pandey</w:t>
      </w:r>
      <w:proofErr w:type="spellEnd"/>
      <w:r w:rsidRPr="00520861">
        <w:rPr>
          <w:rFonts w:eastAsiaTheme="minorHAnsi"/>
          <w:sz w:val="28"/>
          <w:szCs w:val="28"/>
          <w:lang w:eastAsia="en-US"/>
        </w:rPr>
        <w:t xml:space="preserve"> RK, </w:t>
      </w:r>
      <w:proofErr w:type="spellStart"/>
      <w:r w:rsidRPr="00520861">
        <w:rPr>
          <w:rFonts w:eastAsiaTheme="minorHAnsi"/>
          <w:sz w:val="28"/>
          <w:szCs w:val="28"/>
          <w:lang w:eastAsia="en-US"/>
        </w:rPr>
        <w:t>Singh</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lamina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cysts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newborn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BMJ </w:t>
      </w:r>
      <w:proofErr w:type="spellStart"/>
      <w:r w:rsidRPr="00520861">
        <w:rPr>
          <w:rFonts w:eastAsiaTheme="minorHAnsi"/>
          <w:i/>
          <w:sz w:val="28"/>
          <w:szCs w:val="28"/>
          <w:lang w:eastAsia="en-US"/>
        </w:rPr>
        <w:t>Case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2012</w:t>
      </w:r>
      <w:r w:rsidRPr="00520861">
        <w:rPr>
          <w:rFonts w:eastAsiaTheme="minorHAnsi"/>
          <w:sz w:val="28"/>
          <w:szCs w:val="28"/>
          <w:lang w:val="en-US" w:eastAsia="en-US"/>
        </w:rPr>
        <w:t xml:space="preserve"> Oct [cited 2020 Mar 7]</w:t>
      </w:r>
      <w:r w:rsidRPr="00520861">
        <w:rPr>
          <w:rFonts w:eastAsiaTheme="minorHAnsi"/>
          <w:sz w:val="28"/>
          <w:szCs w:val="28"/>
          <w:lang w:eastAsia="en-US"/>
        </w:rPr>
        <w:t>;2012:</w:t>
      </w:r>
      <w:r w:rsidRPr="00520861">
        <w:rPr>
          <w:rFonts w:eastAsiaTheme="minorHAnsi"/>
          <w:sz w:val="28"/>
          <w:szCs w:val="28"/>
          <w:lang w:val="en-US" w:eastAsia="en-US"/>
        </w:rPr>
        <w:t xml:space="preserve"> </w:t>
      </w:r>
      <w:r w:rsidRPr="00520861">
        <w:rPr>
          <w:rFonts w:eastAsiaTheme="minorHAnsi"/>
          <w:sz w:val="28"/>
          <w:szCs w:val="28"/>
          <w:lang w:eastAsia="en-US"/>
        </w:rPr>
        <w:t xml:space="preserve">bcr2012007061.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10.1136/bcr-2012-007061</w:t>
      </w:r>
      <w:r w:rsidRPr="00520861">
        <w:rPr>
          <w:rFonts w:eastAsiaTheme="minorHAnsi"/>
          <w:sz w:val="28"/>
          <w:szCs w:val="28"/>
          <w:lang w:val="en-US" w:eastAsia="en-US"/>
        </w:rPr>
        <w:t>.</w:t>
      </w:r>
    </w:p>
    <w:p w14:paraId="35B90BE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Smirnova</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Krechina</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Grudyanov</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Computer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capillaroscopy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evaluation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microcirculation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tissues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inflammatory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clinical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periodontology</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2018</w:t>
      </w:r>
      <w:r w:rsidRPr="00520861">
        <w:rPr>
          <w:rFonts w:eastAsiaTheme="minorHAnsi"/>
          <w:sz w:val="28"/>
          <w:szCs w:val="28"/>
          <w:lang w:val="en-US" w:eastAsia="en-US"/>
        </w:rPr>
        <w:t xml:space="preserve"> Jun [cited 2020 Apr 1]</w:t>
      </w:r>
      <w:r w:rsidRPr="00520861">
        <w:rPr>
          <w:rFonts w:eastAsiaTheme="minorHAnsi"/>
          <w:sz w:val="28"/>
          <w:szCs w:val="28"/>
          <w:lang w:eastAsia="en-US"/>
        </w:rPr>
        <w:t xml:space="preserve">;45(S19): 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10.1111/jcpe.04_12913</w:t>
      </w:r>
      <w:r w:rsidRPr="00520861">
        <w:rPr>
          <w:rFonts w:eastAsiaTheme="minorHAnsi"/>
          <w:sz w:val="28"/>
          <w:szCs w:val="28"/>
          <w:lang w:val="en-US" w:eastAsia="en-US"/>
        </w:rPr>
        <w:t>.</w:t>
      </w:r>
    </w:p>
    <w:p w14:paraId="170AF2D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Snowden</w:t>
      </w:r>
      <w:proofErr w:type="spellEnd"/>
      <w:r w:rsidRPr="00520861">
        <w:rPr>
          <w:rFonts w:eastAsiaTheme="minorHAnsi"/>
          <w:sz w:val="28"/>
          <w:szCs w:val="28"/>
          <w:lang w:eastAsia="en-US"/>
        </w:rPr>
        <w:t xml:space="preserve"> JM, </w:t>
      </w:r>
      <w:proofErr w:type="spellStart"/>
      <w:r w:rsidRPr="00520861">
        <w:rPr>
          <w:rFonts w:eastAsiaTheme="minorHAnsi"/>
          <w:sz w:val="28"/>
          <w:szCs w:val="28"/>
          <w:lang w:eastAsia="en-US"/>
        </w:rPr>
        <w:t>Mission</w:t>
      </w:r>
      <w:proofErr w:type="spellEnd"/>
      <w:r w:rsidRPr="00520861">
        <w:rPr>
          <w:rFonts w:eastAsiaTheme="minorHAnsi"/>
          <w:sz w:val="28"/>
          <w:szCs w:val="28"/>
          <w:lang w:eastAsia="en-US"/>
        </w:rPr>
        <w:t xml:space="preserve"> JF, </w:t>
      </w:r>
      <w:proofErr w:type="spellStart"/>
      <w:r w:rsidRPr="00520861">
        <w:rPr>
          <w:rFonts w:eastAsiaTheme="minorHAnsi"/>
          <w:sz w:val="28"/>
          <w:szCs w:val="28"/>
          <w:lang w:eastAsia="en-US"/>
        </w:rPr>
        <w:t>Marshall</w:t>
      </w:r>
      <w:proofErr w:type="spellEnd"/>
      <w:r w:rsidRPr="00520861">
        <w:rPr>
          <w:rFonts w:eastAsiaTheme="minorHAnsi"/>
          <w:sz w:val="28"/>
          <w:szCs w:val="28"/>
          <w:lang w:eastAsia="en-US"/>
        </w:rPr>
        <w:t xml:space="preserve"> NE,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Impact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race</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ethnicity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Independent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joint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Obesity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Silver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Spring</w:t>
      </w:r>
      <w:proofErr w:type="spellEnd"/>
      <w:r w:rsidRPr="00520861">
        <w:rPr>
          <w:rFonts w:eastAsiaTheme="minorHAnsi"/>
          <w:i/>
          <w:sz w:val="28"/>
          <w:szCs w:val="28"/>
          <w:lang w:eastAsia="en-US"/>
        </w:rPr>
        <w:t>)</w:t>
      </w:r>
      <w:r w:rsidRPr="00520861">
        <w:rPr>
          <w:rFonts w:eastAsiaTheme="minorHAnsi"/>
          <w:sz w:val="28"/>
          <w:szCs w:val="28"/>
          <w:lang w:eastAsia="en-US"/>
        </w:rPr>
        <w:t>. 2016;24(7):</w:t>
      </w:r>
      <w:r w:rsidRPr="00520861">
        <w:rPr>
          <w:rFonts w:eastAsiaTheme="minorHAnsi"/>
          <w:sz w:val="28"/>
          <w:szCs w:val="28"/>
          <w:lang w:val="en-US" w:eastAsia="en-US"/>
        </w:rPr>
        <w:t xml:space="preserve"> </w:t>
      </w:r>
      <w:r w:rsidRPr="00520861">
        <w:rPr>
          <w:rFonts w:eastAsiaTheme="minorHAnsi"/>
          <w:sz w:val="28"/>
          <w:szCs w:val="28"/>
          <w:lang w:eastAsia="en-US"/>
        </w:rPr>
        <w:t xml:space="preserve">1590–1598.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10.1002/oby.21532.</w:t>
      </w:r>
    </w:p>
    <w:p w14:paraId="1A12EBF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Soares</w:t>
      </w:r>
      <w:proofErr w:type="spellEnd"/>
      <w:r w:rsidRPr="00520861">
        <w:rPr>
          <w:rFonts w:eastAsiaTheme="minorHAnsi"/>
          <w:sz w:val="28"/>
          <w:szCs w:val="28"/>
          <w:lang w:eastAsia="en-US"/>
        </w:rPr>
        <w:t xml:space="preserve"> FC, </w:t>
      </w:r>
      <w:proofErr w:type="spellStart"/>
      <w:r w:rsidRPr="00520861">
        <w:rPr>
          <w:rFonts w:eastAsiaTheme="minorHAnsi"/>
          <w:sz w:val="28"/>
          <w:szCs w:val="28"/>
          <w:lang w:eastAsia="en-US"/>
        </w:rPr>
        <w:t>Dahllöf</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Hjern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Julihn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Adverse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3 </w:t>
      </w:r>
      <w:proofErr w:type="spellStart"/>
      <w:r w:rsidRPr="00520861">
        <w:rPr>
          <w:rFonts w:eastAsiaTheme="minorHAnsi"/>
          <w:sz w:val="28"/>
          <w:szCs w:val="28"/>
          <w:lang w:eastAsia="en-US"/>
        </w:rPr>
        <w:t>years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Paediatr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2020;30(4):</w:t>
      </w:r>
      <w:r w:rsidRPr="00520861">
        <w:rPr>
          <w:rFonts w:eastAsiaTheme="minorHAnsi"/>
          <w:sz w:val="28"/>
          <w:szCs w:val="28"/>
          <w:lang w:val="en-US" w:eastAsia="en-US"/>
        </w:rPr>
        <w:t xml:space="preserve"> </w:t>
      </w:r>
      <w:r w:rsidRPr="00520861">
        <w:rPr>
          <w:rFonts w:eastAsiaTheme="minorHAnsi"/>
          <w:sz w:val="28"/>
          <w:szCs w:val="28"/>
          <w:lang w:eastAsia="en-US"/>
        </w:rPr>
        <w:t xml:space="preserve">445–450.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10.1111/ipd.12617.</w:t>
      </w:r>
    </w:p>
    <w:p w14:paraId="62F40021"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Calibri"/>
          <w:sz w:val="28"/>
          <w:szCs w:val="28"/>
          <w:lang w:eastAsia="en-US"/>
        </w:rPr>
        <w:t>Sowers</w:t>
      </w:r>
      <w:proofErr w:type="spellEnd"/>
      <w:r w:rsidRPr="00520861">
        <w:rPr>
          <w:rFonts w:eastAsia="Calibri"/>
          <w:sz w:val="28"/>
          <w:szCs w:val="28"/>
          <w:lang w:eastAsia="en-US"/>
        </w:rPr>
        <w:t xml:space="preserve"> TD, </w:t>
      </w:r>
      <w:proofErr w:type="spellStart"/>
      <w:r w:rsidRPr="00520861">
        <w:rPr>
          <w:rFonts w:eastAsia="Calibri"/>
          <w:sz w:val="28"/>
          <w:szCs w:val="28"/>
          <w:lang w:eastAsia="en-US"/>
        </w:rPr>
        <w:t>Jannausch</w:t>
      </w:r>
      <w:proofErr w:type="spellEnd"/>
      <w:r w:rsidRPr="00520861">
        <w:rPr>
          <w:rFonts w:eastAsia="Calibri"/>
          <w:sz w:val="28"/>
          <w:szCs w:val="28"/>
          <w:lang w:eastAsia="en-US"/>
        </w:rPr>
        <w:t xml:space="preserve"> ML, </w:t>
      </w:r>
      <w:proofErr w:type="spellStart"/>
      <w:r w:rsidRPr="00520861">
        <w:rPr>
          <w:rFonts w:eastAsia="Calibri"/>
          <w:sz w:val="28"/>
          <w:szCs w:val="28"/>
          <w:lang w:eastAsia="en-US"/>
        </w:rPr>
        <w:t>Liang</w:t>
      </w:r>
      <w:proofErr w:type="spellEnd"/>
      <w:r w:rsidRPr="00520861">
        <w:rPr>
          <w:rFonts w:eastAsia="Calibri"/>
          <w:sz w:val="28"/>
          <w:szCs w:val="28"/>
          <w:lang w:eastAsia="en-US"/>
        </w:rPr>
        <w:t xml:space="preserve"> W, </w:t>
      </w:r>
      <w:proofErr w:type="spellStart"/>
      <w:r w:rsidRPr="00520861">
        <w:rPr>
          <w:rFonts w:eastAsia="Calibri"/>
          <w:sz w:val="28"/>
          <w:szCs w:val="28"/>
          <w:lang w:eastAsia="en-US"/>
        </w:rPr>
        <w:t>Willing</w:t>
      </w:r>
      <w:proofErr w:type="spellEnd"/>
      <w:r w:rsidRPr="00520861">
        <w:rPr>
          <w:rFonts w:eastAsia="Calibri"/>
          <w:sz w:val="28"/>
          <w:szCs w:val="28"/>
          <w:lang w:eastAsia="en-US"/>
        </w:rPr>
        <w:t xml:space="preserve"> M. </w:t>
      </w:r>
      <w:proofErr w:type="spellStart"/>
      <w:r w:rsidRPr="00520861">
        <w:rPr>
          <w:rFonts w:eastAsia="Calibri"/>
          <w:sz w:val="28"/>
          <w:szCs w:val="28"/>
          <w:lang w:eastAsia="en-US"/>
        </w:rPr>
        <w:t>Estrogen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receptor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genotypes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their</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associations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with</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the</w:t>
      </w:r>
      <w:proofErr w:type="spellEnd"/>
      <w:r w:rsidRPr="00520861">
        <w:rPr>
          <w:rFonts w:eastAsia="Calibri"/>
          <w:sz w:val="28"/>
          <w:szCs w:val="28"/>
          <w:lang w:eastAsia="en-US"/>
        </w:rPr>
        <w:t xml:space="preserve"> 10-years </w:t>
      </w:r>
      <w:proofErr w:type="spellStart"/>
      <w:r w:rsidRPr="00520861">
        <w:rPr>
          <w:rFonts w:eastAsia="Calibri"/>
          <w:sz w:val="28"/>
          <w:szCs w:val="28"/>
          <w:lang w:eastAsia="en-US"/>
        </w:rPr>
        <w:t>changes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mineral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density</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and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osteocalcin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concentrations</w:t>
      </w:r>
      <w:proofErr w:type="spellEnd"/>
      <w:r w:rsidRPr="00520861">
        <w:rPr>
          <w:rFonts w:eastAsia="Calibri"/>
          <w:sz w:val="28"/>
          <w:szCs w:val="28"/>
          <w:lang w:eastAsia="en-US"/>
        </w:rPr>
        <w:t xml:space="preserve">. </w:t>
      </w:r>
      <w:r w:rsidRPr="00520861">
        <w:rPr>
          <w:rFonts w:eastAsia="Calibri"/>
          <w:i/>
          <w:sz w:val="28"/>
          <w:szCs w:val="28"/>
          <w:lang w:eastAsia="en-US"/>
        </w:rPr>
        <w:t xml:space="preserve">J </w:t>
      </w:r>
      <w:proofErr w:type="spellStart"/>
      <w:r w:rsidRPr="00520861">
        <w:rPr>
          <w:rFonts w:eastAsia="Calibri"/>
          <w:i/>
          <w:sz w:val="28"/>
          <w:szCs w:val="28"/>
          <w:lang w:eastAsia="en-US"/>
        </w:rPr>
        <w:t>Clin</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Endocrin</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Metab</w:t>
      </w:r>
      <w:proofErr w:type="spellEnd"/>
      <w:r w:rsidRPr="00520861">
        <w:rPr>
          <w:rFonts w:eastAsia="Calibri"/>
          <w:sz w:val="28"/>
          <w:szCs w:val="28"/>
          <w:lang w:val="en-US" w:eastAsia="en-US"/>
        </w:rPr>
        <w:t>.</w:t>
      </w:r>
      <w:r w:rsidRPr="00520861">
        <w:rPr>
          <w:rFonts w:eastAsia="Calibri"/>
          <w:sz w:val="28"/>
          <w:szCs w:val="28"/>
          <w:lang w:eastAsia="en-US"/>
        </w:rPr>
        <w:t xml:space="preserve"> 2004</w:t>
      </w:r>
      <w:r w:rsidRPr="00520861">
        <w:rPr>
          <w:rFonts w:eastAsia="Calibri"/>
          <w:sz w:val="28"/>
          <w:szCs w:val="28"/>
          <w:lang w:val="en-US" w:eastAsia="en-US"/>
        </w:rPr>
        <w:t>;</w:t>
      </w:r>
      <w:r w:rsidRPr="00520861">
        <w:rPr>
          <w:rFonts w:eastAsia="Calibri"/>
          <w:sz w:val="28"/>
          <w:szCs w:val="28"/>
          <w:lang w:eastAsia="en-US"/>
        </w:rPr>
        <w:t>89(2),</w:t>
      </w:r>
      <w:r w:rsidRPr="00520861">
        <w:rPr>
          <w:rFonts w:eastAsia="Calibri"/>
          <w:sz w:val="28"/>
          <w:szCs w:val="28"/>
          <w:lang w:val="en-US" w:eastAsia="en-US"/>
        </w:rPr>
        <w:t xml:space="preserve"> </w:t>
      </w:r>
      <w:r w:rsidRPr="00520861">
        <w:rPr>
          <w:rFonts w:eastAsia="Calibri"/>
          <w:sz w:val="28"/>
          <w:szCs w:val="28"/>
          <w:lang w:eastAsia="en-US"/>
        </w:rPr>
        <w:t xml:space="preserve">733–739.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eastAsia="en-US"/>
        </w:rPr>
        <w:t>10.1210/jc.2003-030691</w:t>
      </w:r>
      <w:r w:rsidRPr="00520861">
        <w:rPr>
          <w:rFonts w:eastAsia="Calibri"/>
          <w:sz w:val="28"/>
          <w:szCs w:val="28"/>
          <w:lang w:val="en-US" w:eastAsia="en-US"/>
        </w:rPr>
        <w:t>.</w:t>
      </w:r>
    </w:p>
    <w:p w14:paraId="45B5ED2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Sparano</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Ahrens</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Henauw</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Marild</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Molnar</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Moreno</w:t>
      </w:r>
      <w:proofErr w:type="spellEnd"/>
      <w:r w:rsidRPr="00520861">
        <w:rPr>
          <w:rFonts w:eastAsiaTheme="minorHAnsi"/>
          <w:sz w:val="28"/>
          <w:szCs w:val="28"/>
          <w:lang w:eastAsia="en-US"/>
        </w:rPr>
        <w:t xml:space="preserve"> LA, </w:t>
      </w:r>
      <w:r w:rsidRPr="00520861">
        <w:rPr>
          <w:rFonts w:eastAsiaTheme="minorHAnsi"/>
          <w:sz w:val="28"/>
          <w:szCs w:val="28"/>
          <w:lang w:val="en-US" w:eastAsia="en-US"/>
        </w:rPr>
        <w:t>et al</w:t>
      </w:r>
      <w:r w:rsidRPr="00520861">
        <w:rPr>
          <w:rFonts w:eastAsiaTheme="minorHAnsi"/>
          <w:sz w:val="28"/>
          <w:szCs w:val="28"/>
          <w:lang w:eastAsia="en-US"/>
        </w:rPr>
        <w:t xml:space="preserve">. </w:t>
      </w:r>
      <w:proofErr w:type="spellStart"/>
      <w:r w:rsidRPr="00520861">
        <w:rPr>
          <w:rFonts w:eastAsiaTheme="minorHAnsi"/>
          <w:sz w:val="28"/>
          <w:szCs w:val="28"/>
          <w:lang w:eastAsia="en-US"/>
        </w:rPr>
        <w:t>Being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macrosomic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independent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predictor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results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IDEFICS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proofErr w:type="spellStart"/>
      <w:r w:rsidRPr="00520861">
        <w:rPr>
          <w:rFonts w:eastAsiaTheme="minorHAnsi"/>
          <w:i/>
          <w:sz w:val="28"/>
          <w:szCs w:val="28"/>
          <w:lang w:eastAsia="en-US"/>
        </w:rPr>
        <w:t>Matern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Child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J</w:t>
      </w:r>
      <w:r w:rsidRPr="00520861">
        <w:rPr>
          <w:rFonts w:eastAsiaTheme="minorHAnsi"/>
          <w:sz w:val="28"/>
          <w:szCs w:val="28"/>
          <w:lang w:eastAsia="en-US"/>
        </w:rPr>
        <w:t>. 2013;17(8):</w:t>
      </w:r>
      <w:r w:rsidRPr="00520861">
        <w:rPr>
          <w:rFonts w:eastAsiaTheme="minorHAnsi"/>
          <w:sz w:val="28"/>
          <w:szCs w:val="28"/>
          <w:lang w:val="en-US" w:eastAsia="en-US"/>
        </w:rPr>
        <w:t xml:space="preserve"> </w:t>
      </w:r>
      <w:r w:rsidRPr="00520861">
        <w:rPr>
          <w:rFonts w:eastAsiaTheme="minorHAnsi"/>
          <w:sz w:val="28"/>
          <w:szCs w:val="28"/>
          <w:lang w:eastAsia="en-US"/>
        </w:rPr>
        <w:t>1373–</w:t>
      </w:r>
      <w:r w:rsidRPr="00520861">
        <w:rPr>
          <w:rFonts w:eastAsiaTheme="minorHAnsi"/>
          <w:sz w:val="28"/>
          <w:szCs w:val="28"/>
          <w:lang w:val="en-US" w:eastAsia="en-US"/>
        </w:rPr>
        <w:t>13</w:t>
      </w:r>
      <w:r w:rsidRPr="00520861">
        <w:rPr>
          <w:rFonts w:eastAsiaTheme="minorHAnsi"/>
          <w:sz w:val="28"/>
          <w:szCs w:val="28"/>
          <w:lang w:eastAsia="en-US"/>
        </w:rPr>
        <w:t xml:space="preserve">81.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10.1007/s10995-012-1136-2.</w:t>
      </w:r>
    </w:p>
    <w:p w14:paraId="6F587C23"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proofErr w:type="spellStart"/>
      <w:r w:rsidRPr="00520861">
        <w:rPr>
          <w:rFonts w:eastAsia="Calibri"/>
          <w:sz w:val="28"/>
          <w:szCs w:val="28"/>
          <w:lang w:val="en-US" w:eastAsia="en-US"/>
        </w:rPr>
        <w:t>Sp</w:t>
      </w:r>
      <w:proofErr w:type="spellEnd"/>
      <w:r w:rsidRPr="00520861">
        <w:rPr>
          <w:rFonts w:eastAsia="Calibri"/>
          <w:sz w:val="28"/>
          <w:szCs w:val="28"/>
          <w:lang w:eastAsia="en-US"/>
        </w:rPr>
        <w:t>ä</w:t>
      </w:r>
      <w:r w:rsidRPr="00520861">
        <w:rPr>
          <w:rFonts w:eastAsia="Calibri"/>
          <w:sz w:val="28"/>
          <w:szCs w:val="28"/>
          <w:lang w:val="en-US" w:eastAsia="en-US"/>
        </w:rPr>
        <w:t>t</w:t>
      </w:r>
      <w:r w:rsidRPr="00520861">
        <w:rPr>
          <w:rFonts w:eastAsia="Calibri"/>
          <w:sz w:val="28"/>
          <w:szCs w:val="28"/>
          <w:lang w:eastAsia="en-US"/>
        </w:rPr>
        <w:t xml:space="preserve"> </w:t>
      </w:r>
      <w:r w:rsidRPr="00520861">
        <w:rPr>
          <w:rFonts w:eastAsia="Calibri"/>
          <w:sz w:val="28"/>
          <w:szCs w:val="28"/>
          <w:lang w:val="en-US" w:eastAsia="en-US"/>
        </w:rPr>
        <w:t>A</w:t>
      </w:r>
      <w:r w:rsidRPr="00520861">
        <w:rPr>
          <w:rFonts w:eastAsia="Calibri"/>
          <w:sz w:val="28"/>
          <w:szCs w:val="28"/>
          <w:lang w:eastAsia="en-US"/>
        </w:rPr>
        <w:t xml:space="preserve">, </w:t>
      </w:r>
      <w:proofErr w:type="spellStart"/>
      <w:r w:rsidRPr="00520861">
        <w:rPr>
          <w:rFonts w:eastAsia="Calibri"/>
          <w:sz w:val="28"/>
          <w:szCs w:val="28"/>
          <w:lang w:val="en-US" w:eastAsia="en-US"/>
        </w:rPr>
        <w:t>Hunyady</w:t>
      </w:r>
      <w:proofErr w:type="spellEnd"/>
      <w:r w:rsidRPr="00520861">
        <w:rPr>
          <w:rFonts w:eastAsia="Calibri"/>
          <w:sz w:val="28"/>
          <w:szCs w:val="28"/>
          <w:lang w:eastAsia="en-US"/>
        </w:rPr>
        <w:t xml:space="preserve"> </w:t>
      </w:r>
      <w:r w:rsidRPr="00520861">
        <w:rPr>
          <w:rFonts w:eastAsia="Calibri"/>
          <w:sz w:val="28"/>
          <w:szCs w:val="28"/>
          <w:lang w:val="en-US" w:eastAsia="en-US"/>
        </w:rPr>
        <w:t>L</w:t>
      </w:r>
      <w:r w:rsidRPr="00520861">
        <w:rPr>
          <w:rFonts w:eastAsia="Calibri"/>
          <w:sz w:val="28"/>
          <w:szCs w:val="28"/>
          <w:lang w:eastAsia="en-US"/>
        </w:rPr>
        <w:t xml:space="preserve">, </w:t>
      </w:r>
      <w:proofErr w:type="spellStart"/>
      <w:r w:rsidRPr="00520861">
        <w:rPr>
          <w:rFonts w:eastAsia="Calibri"/>
          <w:sz w:val="28"/>
          <w:szCs w:val="28"/>
          <w:lang w:val="en-US" w:eastAsia="en-US"/>
        </w:rPr>
        <w:t>Szanda</w:t>
      </w:r>
      <w:proofErr w:type="spellEnd"/>
      <w:r w:rsidRPr="00520861">
        <w:rPr>
          <w:rFonts w:eastAsia="Calibri"/>
          <w:sz w:val="28"/>
          <w:szCs w:val="28"/>
          <w:lang w:eastAsia="en-US"/>
        </w:rPr>
        <w:t xml:space="preserve"> </w:t>
      </w:r>
      <w:r w:rsidRPr="00520861">
        <w:rPr>
          <w:rFonts w:eastAsia="Calibri"/>
          <w:sz w:val="28"/>
          <w:szCs w:val="28"/>
          <w:lang w:val="en-US" w:eastAsia="en-US"/>
        </w:rPr>
        <w:t>G</w:t>
      </w:r>
      <w:r w:rsidRPr="00520861">
        <w:rPr>
          <w:rFonts w:eastAsia="Calibri"/>
          <w:sz w:val="28"/>
          <w:szCs w:val="28"/>
          <w:lang w:eastAsia="en-US"/>
        </w:rPr>
        <w:t xml:space="preserve">. </w:t>
      </w:r>
      <w:r w:rsidRPr="00520861">
        <w:rPr>
          <w:rFonts w:eastAsia="Calibri"/>
          <w:sz w:val="28"/>
          <w:szCs w:val="28"/>
          <w:lang w:val="en-US" w:eastAsia="en-US"/>
        </w:rPr>
        <w:t>Signaling</w:t>
      </w:r>
      <w:r w:rsidRPr="00520861">
        <w:rPr>
          <w:rFonts w:eastAsia="Calibri"/>
          <w:sz w:val="28"/>
          <w:szCs w:val="28"/>
          <w:lang w:eastAsia="en-US"/>
        </w:rPr>
        <w:t xml:space="preserve"> </w:t>
      </w:r>
      <w:r w:rsidRPr="00520861">
        <w:rPr>
          <w:rFonts w:eastAsia="Calibri"/>
          <w:sz w:val="28"/>
          <w:szCs w:val="28"/>
          <w:lang w:val="en-US" w:eastAsia="en-US"/>
        </w:rPr>
        <w:t>interactions</w:t>
      </w:r>
      <w:r w:rsidRPr="00520861">
        <w:rPr>
          <w:rFonts w:eastAsia="Calibri"/>
          <w:sz w:val="28"/>
          <w:szCs w:val="28"/>
          <w:lang w:eastAsia="en-US"/>
        </w:rPr>
        <w:t xml:space="preserve"> </w:t>
      </w:r>
      <w:r w:rsidRPr="00520861">
        <w:rPr>
          <w:rFonts w:eastAsia="Calibri"/>
          <w:sz w:val="28"/>
          <w:szCs w:val="28"/>
          <w:lang w:val="en-US" w:eastAsia="en-US"/>
        </w:rPr>
        <w:t>in</w:t>
      </w:r>
      <w:r w:rsidRPr="00520861">
        <w:rPr>
          <w:rFonts w:eastAsia="Calibri"/>
          <w:sz w:val="28"/>
          <w:szCs w:val="28"/>
          <w:lang w:eastAsia="en-US"/>
        </w:rPr>
        <w:t xml:space="preserve"> </w:t>
      </w:r>
      <w:r w:rsidRPr="00520861">
        <w:rPr>
          <w:rFonts w:eastAsia="Calibri"/>
          <w:sz w:val="28"/>
          <w:szCs w:val="28"/>
          <w:lang w:val="en-US" w:eastAsia="en-US"/>
        </w:rPr>
        <w:t>the</w:t>
      </w:r>
      <w:r w:rsidRPr="00520861">
        <w:rPr>
          <w:rFonts w:eastAsia="Calibri"/>
          <w:sz w:val="28"/>
          <w:szCs w:val="28"/>
          <w:lang w:eastAsia="en-US"/>
        </w:rPr>
        <w:t xml:space="preserve"> </w:t>
      </w:r>
      <w:r w:rsidRPr="00520861">
        <w:rPr>
          <w:rFonts w:eastAsia="Calibri"/>
          <w:sz w:val="28"/>
          <w:szCs w:val="28"/>
          <w:lang w:val="en-US" w:eastAsia="en-US"/>
        </w:rPr>
        <w:t>adrenal</w:t>
      </w:r>
      <w:r w:rsidRPr="00520861">
        <w:rPr>
          <w:rFonts w:eastAsia="Calibri"/>
          <w:sz w:val="28"/>
          <w:szCs w:val="28"/>
          <w:lang w:eastAsia="en-US"/>
        </w:rPr>
        <w:t xml:space="preserve"> </w:t>
      </w:r>
      <w:r w:rsidRPr="00520861">
        <w:rPr>
          <w:rFonts w:eastAsia="Calibri"/>
          <w:sz w:val="28"/>
          <w:szCs w:val="28"/>
          <w:lang w:val="en-US" w:eastAsia="en-US"/>
        </w:rPr>
        <w:t>cortex</w:t>
      </w:r>
      <w:r w:rsidRPr="00520861">
        <w:rPr>
          <w:rFonts w:eastAsia="Calibri"/>
          <w:sz w:val="28"/>
          <w:szCs w:val="28"/>
          <w:lang w:eastAsia="en-US"/>
        </w:rPr>
        <w:t xml:space="preserve">. </w:t>
      </w:r>
      <w:r w:rsidRPr="00520861">
        <w:rPr>
          <w:rFonts w:eastAsia="Calibri"/>
          <w:i/>
          <w:sz w:val="28"/>
          <w:szCs w:val="28"/>
          <w:lang w:val="en-US" w:eastAsia="en-US"/>
        </w:rPr>
        <w:t>Front Endocrinol (Lausanne)</w:t>
      </w:r>
      <w:r w:rsidRPr="00520861">
        <w:rPr>
          <w:rFonts w:eastAsiaTheme="minorHAnsi"/>
          <w:sz w:val="28"/>
          <w:szCs w:val="28"/>
          <w:lang w:val="en-US" w:eastAsia="en-US"/>
        </w:rPr>
        <w:t xml:space="preserve"> </w:t>
      </w:r>
      <w:r w:rsidRPr="00520861">
        <w:rPr>
          <w:rFonts w:eastAsia="Calibri"/>
          <w:sz w:val="28"/>
          <w:szCs w:val="28"/>
          <w:lang w:val="en-US" w:eastAsia="en-US"/>
        </w:rPr>
        <w:t>[Internet]</w:t>
      </w:r>
      <w:r w:rsidRPr="00520861">
        <w:rPr>
          <w:rFonts w:eastAsia="Calibri"/>
          <w:sz w:val="28"/>
          <w:szCs w:val="28"/>
          <w:lang w:eastAsia="en-US"/>
        </w:rPr>
        <w:t>. 2016</w:t>
      </w:r>
      <w:r w:rsidRPr="00520861">
        <w:rPr>
          <w:rFonts w:eastAsia="Calibri"/>
          <w:sz w:val="28"/>
          <w:szCs w:val="28"/>
          <w:lang w:val="en-US" w:eastAsia="en-US"/>
        </w:rPr>
        <w:t xml:space="preserve"> Feb [cited 2020 Jun 22]</w:t>
      </w:r>
      <w:r w:rsidRPr="00520861">
        <w:rPr>
          <w:rFonts w:eastAsia="Calibri"/>
          <w:sz w:val="28"/>
          <w:szCs w:val="28"/>
          <w:lang w:eastAsia="en-US"/>
        </w:rPr>
        <w:t>;7:</w:t>
      </w:r>
      <w:r w:rsidRPr="00520861">
        <w:rPr>
          <w:rFonts w:eastAsia="Calibri"/>
          <w:sz w:val="28"/>
          <w:szCs w:val="28"/>
          <w:lang w:val="en-US" w:eastAsia="en-US"/>
        </w:rPr>
        <w:t xml:space="preserve"> </w:t>
      </w:r>
      <w:r w:rsidRPr="00520861">
        <w:rPr>
          <w:rFonts w:eastAsia="Calibri"/>
          <w:sz w:val="28"/>
          <w:szCs w:val="28"/>
          <w:lang w:eastAsia="en-US"/>
        </w:rPr>
        <w:t xml:space="preserve">17.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eastAsia="en-US"/>
        </w:rPr>
        <w:t>10.3389/</w:t>
      </w:r>
      <w:proofErr w:type="spellStart"/>
      <w:r w:rsidRPr="00520861">
        <w:rPr>
          <w:rFonts w:eastAsia="Calibri"/>
          <w:sz w:val="28"/>
          <w:szCs w:val="28"/>
          <w:lang w:val="en-US" w:eastAsia="en-US"/>
        </w:rPr>
        <w:t>fendo</w:t>
      </w:r>
      <w:proofErr w:type="spellEnd"/>
      <w:r w:rsidRPr="00520861">
        <w:rPr>
          <w:rFonts w:eastAsia="Calibri"/>
          <w:sz w:val="28"/>
          <w:szCs w:val="28"/>
          <w:lang w:eastAsia="en-US"/>
        </w:rPr>
        <w:t>.2016.00017.</w:t>
      </w:r>
    </w:p>
    <w:p w14:paraId="309F2BA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Sprehe</w:t>
      </w:r>
      <w:proofErr w:type="spellEnd"/>
      <w:r w:rsidRPr="00520861">
        <w:rPr>
          <w:rFonts w:eastAsiaTheme="minorHAnsi"/>
          <w:sz w:val="28"/>
          <w:szCs w:val="28"/>
          <w:lang w:eastAsia="en-US"/>
        </w:rPr>
        <w:t xml:space="preserve"> MR, </w:t>
      </w:r>
      <w:proofErr w:type="spellStart"/>
      <w:r w:rsidRPr="00520861">
        <w:rPr>
          <w:rFonts w:eastAsiaTheme="minorHAnsi"/>
          <w:sz w:val="28"/>
          <w:szCs w:val="28"/>
          <w:lang w:eastAsia="en-US"/>
        </w:rPr>
        <w:t>Barahmani</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Cao</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Forman</w:t>
      </w:r>
      <w:proofErr w:type="spellEnd"/>
      <w:r w:rsidRPr="00520861">
        <w:rPr>
          <w:rFonts w:eastAsiaTheme="minorHAnsi"/>
          <w:sz w:val="28"/>
          <w:szCs w:val="28"/>
          <w:lang w:eastAsia="en-US"/>
        </w:rPr>
        <w:t xml:space="preserve"> MR, </w:t>
      </w:r>
      <w:proofErr w:type="spellStart"/>
      <w:r w:rsidRPr="00520861">
        <w:rPr>
          <w:rFonts w:eastAsiaTheme="minorHAnsi"/>
          <w:sz w:val="28"/>
          <w:szCs w:val="28"/>
          <w:lang w:eastAsia="en-US"/>
        </w:rPr>
        <w:t>Bondy</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Comparison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corrected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prediction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leukemia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central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nervous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system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tumors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Blood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Cancer</w:t>
      </w:r>
      <w:proofErr w:type="spellEnd"/>
      <w:r w:rsidRPr="00520861">
        <w:rPr>
          <w:rFonts w:eastAsiaTheme="minorHAnsi"/>
          <w:sz w:val="28"/>
          <w:szCs w:val="28"/>
          <w:lang w:eastAsia="en-US"/>
        </w:rPr>
        <w:t>. 2010;54:</w:t>
      </w:r>
      <w:r w:rsidRPr="00520861">
        <w:rPr>
          <w:rFonts w:eastAsiaTheme="minorHAnsi"/>
          <w:sz w:val="28"/>
          <w:szCs w:val="28"/>
          <w:lang w:val="en-US" w:eastAsia="en-US"/>
        </w:rPr>
        <w:t xml:space="preserve"> </w:t>
      </w:r>
      <w:r w:rsidRPr="00520861">
        <w:rPr>
          <w:rFonts w:eastAsiaTheme="minorHAnsi"/>
          <w:sz w:val="28"/>
          <w:szCs w:val="28"/>
          <w:lang w:eastAsia="en-US"/>
        </w:rPr>
        <w:t>242–249.</w:t>
      </w:r>
    </w:p>
    <w:p w14:paraId="655B411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Sramkova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Masedunskas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Weigert</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Plasmid</w:t>
      </w:r>
      <w:proofErr w:type="spellEnd"/>
      <w:r w:rsidRPr="00520861">
        <w:rPr>
          <w:rFonts w:eastAsiaTheme="minorHAnsi"/>
          <w:sz w:val="28"/>
          <w:szCs w:val="28"/>
          <w:lang w:eastAsia="en-US"/>
        </w:rPr>
        <w:t xml:space="preserve"> DNA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internalized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plasma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membrane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epithelium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animals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Histochem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Cell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2012;138:</w:t>
      </w:r>
      <w:r w:rsidRPr="00520861">
        <w:rPr>
          <w:rFonts w:eastAsiaTheme="minorHAnsi"/>
          <w:sz w:val="28"/>
          <w:szCs w:val="28"/>
          <w:lang w:val="en-US" w:eastAsia="en-US"/>
        </w:rPr>
        <w:t xml:space="preserve"> </w:t>
      </w:r>
      <w:r w:rsidRPr="00520861">
        <w:rPr>
          <w:rFonts w:eastAsiaTheme="minorHAnsi"/>
          <w:sz w:val="28"/>
          <w:szCs w:val="28"/>
          <w:lang w:eastAsia="en-US"/>
        </w:rPr>
        <w:t>201–</w:t>
      </w:r>
      <w:r w:rsidRPr="00520861">
        <w:rPr>
          <w:rFonts w:eastAsiaTheme="minorHAnsi"/>
          <w:sz w:val="28"/>
          <w:szCs w:val="28"/>
          <w:lang w:val="en-US" w:eastAsia="en-US"/>
        </w:rPr>
        <w:t>2</w:t>
      </w:r>
      <w:r w:rsidRPr="00520861">
        <w:rPr>
          <w:rFonts w:eastAsiaTheme="minorHAnsi"/>
          <w:sz w:val="28"/>
          <w:szCs w:val="28"/>
          <w:lang w:eastAsia="en-US"/>
        </w:rPr>
        <w:t>13</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10.1007/s00418-012-0959-7; PMID: 22544351.</w:t>
      </w:r>
    </w:p>
    <w:p w14:paraId="78DE21B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Sreedhar</w:t>
      </w:r>
      <w:proofErr w:type="spellEnd"/>
      <w:r w:rsidRPr="00520861">
        <w:rPr>
          <w:rFonts w:eastAsiaTheme="minorHAnsi"/>
          <w:sz w:val="28"/>
          <w:szCs w:val="28"/>
          <w:lang w:eastAsia="en-US"/>
        </w:rPr>
        <w:t xml:space="preserve"> CM</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Baratam</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S</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Deep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overbite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w:t>
      </w:r>
      <w:r w:rsidRPr="00520861">
        <w:rPr>
          <w:rFonts w:eastAsiaTheme="minorHAnsi"/>
          <w:sz w:val="28"/>
          <w:szCs w:val="28"/>
          <w:lang w:eastAsia="en-US"/>
        </w:rPr>
        <w:t xml:space="preserve"> A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Deep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Deep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overbite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Excessive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overbite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Annals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Essences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Dentistry</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2009</w:t>
      </w:r>
      <w:r w:rsidRPr="00520861">
        <w:rPr>
          <w:rFonts w:eastAsiaTheme="minorHAnsi"/>
          <w:sz w:val="28"/>
          <w:szCs w:val="28"/>
          <w:lang w:val="en-US" w:eastAsia="en-US"/>
        </w:rPr>
        <w:t xml:space="preserve"> Jun [cited 2020 Jun 17]</w:t>
      </w:r>
      <w:r w:rsidRPr="00520861">
        <w:rPr>
          <w:rFonts w:eastAsiaTheme="minorHAnsi"/>
          <w:sz w:val="28"/>
          <w:szCs w:val="28"/>
          <w:lang w:eastAsia="en-US"/>
        </w:rPr>
        <w:t xml:space="preserve">;I(1).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10.5368/aedj.2009.1.1.8-25</w:t>
      </w:r>
      <w:r w:rsidRPr="00520861">
        <w:rPr>
          <w:rFonts w:eastAsiaTheme="minorHAnsi"/>
          <w:sz w:val="28"/>
          <w:szCs w:val="28"/>
          <w:lang w:val="en-US" w:eastAsia="en-US"/>
        </w:rPr>
        <w:t>.</w:t>
      </w:r>
    </w:p>
    <w:p w14:paraId="7CC0796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Streicher</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Heyny</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Andrukhova</w:t>
      </w:r>
      <w:proofErr w:type="spellEnd"/>
      <w:r w:rsidRPr="00520861">
        <w:rPr>
          <w:rFonts w:eastAsiaTheme="minorHAnsi"/>
          <w:sz w:val="28"/>
          <w:szCs w:val="28"/>
          <w:lang w:eastAsia="en-US"/>
        </w:rPr>
        <w:t xml:space="preserve"> O,</w:t>
      </w:r>
      <w:r w:rsidRPr="00520861">
        <w:rPr>
          <w:rFonts w:eastAsiaTheme="minorHAnsi"/>
          <w:sz w:val="28"/>
          <w:szCs w:val="28"/>
          <w:lang w:val="en-US" w:eastAsia="en-US"/>
        </w:rPr>
        <w:t xml:space="preserve"> </w:t>
      </w:r>
      <w:proofErr w:type="spellStart"/>
      <w:r w:rsidRPr="00520861">
        <w:rPr>
          <w:rFonts w:eastAsiaTheme="minorHAnsi"/>
          <w:sz w:val="28"/>
          <w:szCs w:val="28"/>
          <w:lang w:val="en-US" w:eastAsia="en-US"/>
        </w:rPr>
        <w:t>Haigl</w:t>
      </w:r>
      <w:proofErr w:type="spellEnd"/>
      <w:r w:rsidRPr="00520861">
        <w:rPr>
          <w:rFonts w:eastAsiaTheme="minorHAnsi"/>
          <w:sz w:val="28"/>
          <w:szCs w:val="28"/>
          <w:lang w:val="en-US" w:eastAsia="en-US"/>
        </w:rPr>
        <w:t xml:space="preserve"> B, Slavic S, </w:t>
      </w:r>
      <w:proofErr w:type="spellStart"/>
      <w:r w:rsidRPr="00520861">
        <w:rPr>
          <w:rFonts w:eastAsiaTheme="minorHAnsi"/>
          <w:sz w:val="28"/>
          <w:szCs w:val="28"/>
          <w:lang w:val="en-US" w:eastAsia="en-US"/>
        </w:rPr>
        <w:t>Schüler</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 xml:space="preserve">C,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regulates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turnover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targeting</w:t>
      </w:r>
      <w:proofErr w:type="spellEnd"/>
      <w:r w:rsidRPr="00520861">
        <w:rPr>
          <w:rFonts w:eastAsiaTheme="minorHAnsi"/>
          <w:sz w:val="28"/>
          <w:szCs w:val="28"/>
          <w:lang w:eastAsia="en-US"/>
        </w:rPr>
        <w:t xml:space="preserve"> RANKL </w:t>
      </w:r>
      <w:proofErr w:type="spellStart"/>
      <w:r w:rsidRPr="00520861">
        <w:rPr>
          <w:rFonts w:eastAsiaTheme="minorHAnsi"/>
          <w:sz w:val="28"/>
          <w:szCs w:val="28"/>
          <w:lang w:eastAsia="en-US"/>
        </w:rPr>
        <w:t>expression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lining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cells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val="en-US" w:eastAsia="en-US"/>
        </w:rPr>
        <w:t xml:space="preserve"> </w:t>
      </w:r>
      <w:r w:rsidR="00D9196F" w:rsidRPr="00520861">
        <w:rPr>
          <w:rFonts w:eastAsiaTheme="minorHAnsi"/>
          <w:sz w:val="28"/>
          <w:szCs w:val="28"/>
          <w:lang w:val="en-US" w:eastAsia="en-US"/>
        </w:rPr>
        <w:br/>
      </w:r>
      <w:r w:rsidRPr="00520861">
        <w:rPr>
          <w:rFonts w:eastAsiaTheme="minorHAnsi"/>
          <w:sz w:val="28"/>
          <w:szCs w:val="28"/>
          <w:lang w:val="en-US" w:eastAsia="en-US"/>
        </w:rPr>
        <w:t>[Internet]</w:t>
      </w:r>
      <w:r w:rsidRPr="00520861">
        <w:rPr>
          <w:rFonts w:eastAsiaTheme="minorHAnsi"/>
          <w:sz w:val="28"/>
          <w:szCs w:val="28"/>
          <w:lang w:eastAsia="en-US"/>
        </w:rPr>
        <w:t>. 2017</w:t>
      </w:r>
      <w:r w:rsidRPr="00520861">
        <w:rPr>
          <w:rFonts w:eastAsiaTheme="minorHAnsi"/>
          <w:sz w:val="28"/>
          <w:szCs w:val="28"/>
          <w:lang w:val="en-US" w:eastAsia="en-US"/>
        </w:rPr>
        <w:t xml:space="preserve"> Jul [cited 2020 Jul 11]</w:t>
      </w:r>
      <w:r w:rsidRPr="00520861">
        <w:rPr>
          <w:rFonts w:eastAsiaTheme="minorHAnsi"/>
          <w:sz w:val="28"/>
          <w:szCs w:val="28"/>
          <w:lang w:eastAsia="en-US"/>
        </w:rPr>
        <w:t>;7(1):</w:t>
      </w:r>
      <w:r w:rsidRPr="00520861">
        <w:rPr>
          <w:rFonts w:eastAsiaTheme="minorHAnsi"/>
          <w:sz w:val="28"/>
          <w:szCs w:val="28"/>
          <w:lang w:val="en-US" w:eastAsia="en-US"/>
        </w:rPr>
        <w:t xml:space="preserve"> </w:t>
      </w:r>
      <w:r w:rsidRPr="00520861">
        <w:rPr>
          <w:rFonts w:eastAsiaTheme="minorHAnsi"/>
          <w:sz w:val="28"/>
          <w:szCs w:val="28"/>
          <w:lang w:eastAsia="en-US"/>
        </w:rPr>
        <w:t xml:space="preserve">6460.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10.1038/s41598-017-06614-0</w:t>
      </w:r>
      <w:r w:rsidRPr="00520861">
        <w:rPr>
          <w:rFonts w:eastAsiaTheme="minorHAnsi"/>
          <w:sz w:val="28"/>
          <w:szCs w:val="28"/>
          <w:lang w:val="en-US" w:eastAsia="en-US"/>
        </w:rPr>
        <w:t>.</w:t>
      </w:r>
    </w:p>
    <w:p w14:paraId="7EFED52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Styrkarsdottir</w:t>
      </w:r>
      <w:proofErr w:type="spellEnd"/>
      <w:r w:rsidRPr="00520861">
        <w:rPr>
          <w:rFonts w:eastAsiaTheme="minorHAnsi"/>
          <w:sz w:val="28"/>
          <w:szCs w:val="28"/>
          <w:lang w:eastAsia="en-US"/>
        </w:rPr>
        <w:t xml:space="preserve"> U, </w:t>
      </w:r>
      <w:proofErr w:type="spellStart"/>
      <w:r w:rsidRPr="00520861">
        <w:rPr>
          <w:rFonts w:eastAsiaTheme="minorHAnsi"/>
          <w:sz w:val="28"/>
          <w:szCs w:val="28"/>
          <w:lang w:eastAsia="en-US"/>
        </w:rPr>
        <w:t>Halldorsson</w:t>
      </w:r>
      <w:proofErr w:type="spellEnd"/>
      <w:r w:rsidRPr="00520861">
        <w:rPr>
          <w:rFonts w:eastAsiaTheme="minorHAnsi"/>
          <w:sz w:val="28"/>
          <w:szCs w:val="28"/>
          <w:lang w:eastAsia="en-US"/>
        </w:rPr>
        <w:t xml:space="preserve"> BV, </w:t>
      </w:r>
      <w:proofErr w:type="spellStart"/>
      <w:r w:rsidRPr="00520861">
        <w:rPr>
          <w:rFonts w:eastAsiaTheme="minorHAnsi"/>
          <w:sz w:val="28"/>
          <w:szCs w:val="28"/>
          <w:lang w:eastAsia="en-US"/>
        </w:rPr>
        <w:t>Gretarsdottir</w:t>
      </w:r>
      <w:proofErr w:type="spellEnd"/>
      <w:r w:rsidRPr="00520861">
        <w:rPr>
          <w:rFonts w:eastAsiaTheme="minorHAnsi"/>
          <w:sz w:val="28"/>
          <w:szCs w:val="28"/>
          <w:lang w:eastAsia="en-US"/>
        </w:rPr>
        <w:t xml:space="preserve"> S,</w:t>
      </w:r>
      <w:r w:rsidRPr="00520861">
        <w:rPr>
          <w:rFonts w:eastAsiaTheme="minorHAnsi"/>
          <w:sz w:val="28"/>
          <w:szCs w:val="28"/>
          <w:lang w:val="en-US" w:eastAsia="en-US"/>
        </w:rPr>
        <w:t xml:space="preserve"> </w:t>
      </w:r>
      <w:proofErr w:type="spellStart"/>
      <w:r w:rsidRPr="00520861">
        <w:rPr>
          <w:rFonts w:eastAsiaTheme="minorHAnsi"/>
          <w:sz w:val="28"/>
          <w:szCs w:val="28"/>
          <w:lang w:val="en-US" w:eastAsia="en-US"/>
        </w:rPr>
        <w:t>Gudbjartsson</w:t>
      </w:r>
      <w:proofErr w:type="spellEnd"/>
      <w:r w:rsidRPr="00520861">
        <w:rPr>
          <w:rFonts w:eastAsiaTheme="minorHAnsi"/>
          <w:sz w:val="28"/>
          <w:szCs w:val="28"/>
          <w:lang w:val="en-US" w:eastAsia="en-US"/>
        </w:rPr>
        <w:t xml:space="preserve"> DF, Walters GB, </w:t>
      </w:r>
      <w:proofErr w:type="spellStart"/>
      <w:r w:rsidRPr="00520861">
        <w:rPr>
          <w:rFonts w:eastAsiaTheme="minorHAnsi"/>
          <w:sz w:val="28"/>
          <w:szCs w:val="28"/>
          <w:lang w:val="en-US" w:eastAsia="en-US"/>
        </w:rPr>
        <w:t>Ingvarsson</w:t>
      </w:r>
      <w:proofErr w:type="spellEnd"/>
      <w:r w:rsidRPr="00520861">
        <w:rPr>
          <w:rFonts w:eastAsiaTheme="minorHAnsi"/>
          <w:sz w:val="28"/>
          <w:szCs w:val="28"/>
          <w:lang w:val="en-US" w:eastAsia="en-US"/>
        </w:rPr>
        <w:t xml:space="preserve"> T,</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Multiple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loci</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fractures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N </w:t>
      </w:r>
      <w:proofErr w:type="spellStart"/>
      <w:r w:rsidRPr="00520861">
        <w:rPr>
          <w:rFonts w:eastAsiaTheme="minorHAnsi"/>
          <w:i/>
          <w:sz w:val="28"/>
          <w:szCs w:val="28"/>
          <w:lang w:eastAsia="en-US"/>
        </w:rPr>
        <w:t>Engl</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2008;358(22):</w:t>
      </w:r>
      <w:r w:rsidRPr="00520861">
        <w:rPr>
          <w:rFonts w:eastAsiaTheme="minorHAnsi"/>
          <w:sz w:val="28"/>
          <w:szCs w:val="28"/>
          <w:lang w:val="en-US" w:eastAsia="en-US"/>
        </w:rPr>
        <w:t xml:space="preserve"> </w:t>
      </w:r>
      <w:r w:rsidRPr="00520861">
        <w:rPr>
          <w:rFonts w:eastAsiaTheme="minorHAnsi"/>
          <w:sz w:val="28"/>
          <w:szCs w:val="28"/>
          <w:lang w:eastAsia="en-US"/>
        </w:rPr>
        <w:t xml:space="preserve">2355–2365.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10.1056/NEJMoa0801197</w:t>
      </w:r>
      <w:r w:rsidRPr="00520861">
        <w:rPr>
          <w:rFonts w:eastAsiaTheme="minorHAnsi"/>
          <w:sz w:val="28"/>
          <w:szCs w:val="28"/>
          <w:lang w:val="en-US" w:eastAsia="en-US"/>
        </w:rPr>
        <w:t>.</w:t>
      </w:r>
    </w:p>
    <w:p w14:paraId="1144774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Calibri"/>
          <w:sz w:val="28"/>
          <w:szCs w:val="28"/>
          <w:lang w:val="en-GB" w:eastAsia="en-US"/>
        </w:rPr>
        <w:t>Su</w:t>
      </w:r>
      <w:proofErr w:type="spellEnd"/>
      <w:r w:rsidRPr="00520861">
        <w:rPr>
          <w:rFonts w:eastAsia="Calibri"/>
          <w:sz w:val="28"/>
          <w:szCs w:val="28"/>
          <w:lang w:val="en-US" w:eastAsia="en-US"/>
        </w:rPr>
        <w:t xml:space="preserve"> </w:t>
      </w:r>
      <w:r w:rsidRPr="00520861">
        <w:rPr>
          <w:rFonts w:eastAsia="Calibri"/>
          <w:sz w:val="28"/>
          <w:szCs w:val="28"/>
          <w:lang w:val="en-GB" w:eastAsia="en-US"/>
        </w:rPr>
        <w:t>LK</w:t>
      </w:r>
      <w:r w:rsidRPr="00520861">
        <w:rPr>
          <w:rFonts w:eastAsia="Calibri"/>
          <w:sz w:val="28"/>
          <w:szCs w:val="28"/>
          <w:lang w:val="en-US" w:eastAsia="en-US"/>
        </w:rPr>
        <w:t xml:space="preserve">, </w:t>
      </w:r>
      <w:r w:rsidRPr="00520861">
        <w:rPr>
          <w:rFonts w:eastAsia="Calibri"/>
          <w:sz w:val="28"/>
          <w:szCs w:val="28"/>
          <w:lang w:val="en-GB" w:eastAsia="en-US"/>
        </w:rPr>
        <w:t>Yu</w:t>
      </w:r>
      <w:r w:rsidRPr="00520861">
        <w:rPr>
          <w:rFonts w:eastAsia="Calibri"/>
          <w:sz w:val="28"/>
          <w:szCs w:val="28"/>
          <w:lang w:val="en-US" w:eastAsia="en-US"/>
        </w:rPr>
        <w:t xml:space="preserve"> </w:t>
      </w:r>
      <w:r w:rsidRPr="00520861">
        <w:rPr>
          <w:rFonts w:eastAsia="Calibri"/>
          <w:sz w:val="28"/>
          <w:szCs w:val="28"/>
          <w:lang w:val="en-GB" w:eastAsia="en-US"/>
        </w:rPr>
        <w:t>F</w:t>
      </w:r>
      <w:r w:rsidRPr="00520861">
        <w:rPr>
          <w:rFonts w:eastAsia="Calibri"/>
          <w:sz w:val="28"/>
          <w:szCs w:val="28"/>
          <w:lang w:val="en-US" w:eastAsia="en-US"/>
        </w:rPr>
        <w:t xml:space="preserve">, </w:t>
      </w:r>
      <w:r w:rsidRPr="00520861">
        <w:rPr>
          <w:rFonts w:eastAsia="Calibri"/>
          <w:sz w:val="28"/>
          <w:szCs w:val="28"/>
          <w:lang w:val="en-GB" w:eastAsia="en-US"/>
        </w:rPr>
        <w:t>Li</w:t>
      </w:r>
      <w:r w:rsidRPr="00520861">
        <w:rPr>
          <w:rFonts w:eastAsia="Calibri"/>
          <w:sz w:val="28"/>
          <w:szCs w:val="28"/>
          <w:lang w:val="en-US" w:eastAsia="en-US"/>
        </w:rPr>
        <w:t xml:space="preserve"> </w:t>
      </w:r>
      <w:r w:rsidRPr="00520861">
        <w:rPr>
          <w:rFonts w:eastAsia="Calibri"/>
          <w:sz w:val="28"/>
          <w:szCs w:val="28"/>
          <w:lang w:val="en-GB" w:eastAsia="en-US"/>
        </w:rPr>
        <w:t>ZF</w:t>
      </w:r>
      <w:r w:rsidRPr="00520861">
        <w:rPr>
          <w:rFonts w:eastAsia="Calibri"/>
          <w:sz w:val="28"/>
          <w:szCs w:val="28"/>
          <w:lang w:val="en-US" w:eastAsia="en-US"/>
        </w:rPr>
        <w:t xml:space="preserve">, </w:t>
      </w:r>
      <w:r w:rsidRPr="00520861">
        <w:rPr>
          <w:rFonts w:eastAsia="Calibri"/>
          <w:sz w:val="28"/>
          <w:szCs w:val="28"/>
          <w:lang w:val="en-GB" w:eastAsia="en-US"/>
        </w:rPr>
        <w:t>Zeng</w:t>
      </w:r>
      <w:r w:rsidRPr="00520861">
        <w:rPr>
          <w:rFonts w:eastAsia="Calibri"/>
          <w:sz w:val="28"/>
          <w:szCs w:val="28"/>
          <w:lang w:val="en-US" w:eastAsia="en-US"/>
        </w:rPr>
        <w:t xml:space="preserve"> </w:t>
      </w:r>
      <w:r w:rsidRPr="00520861">
        <w:rPr>
          <w:rFonts w:eastAsia="Calibri"/>
          <w:sz w:val="28"/>
          <w:szCs w:val="28"/>
          <w:lang w:val="en-GB" w:eastAsia="en-US"/>
        </w:rPr>
        <w:t>C</w:t>
      </w:r>
      <w:r w:rsidRPr="00520861">
        <w:rPr>
          <w:rFonts w:eastAsia="Calibri"/>
          <w:sz w:val="28"/>
          <w:szCs w:val="28"/>
          <w:lang w:val="en-US" w:eastAsia="en-US"/>
        </w:rPr>
        <w:t xml:space="preserve">, </w:t>
      </w:r>
      <w:r w:rsidRPr="00520861">
        <w:rPr>
          <w:rFonts w:eastAsia="Calibri"/>
          <w:sz w:val="28"/>
          <w:szCs w:val="28"/>
          <w:lang w:val="en-GB" w:eastAsia="en-US"/>
        </w:rPr>
        <w:t>Xu</w:t>
      </w:r>
      <w:r w:rsidRPr="00520861">
        <w:rPr>
          <w:rFonts w:eastAsia="Calibri"/>
          <w:sz w:val="28"/>
          <w:szCs w:val="28"/>
          <w:lang w:val="en-US" w:eastAsia="en-US"/>
        </w:rPr>
        <w:t xml:space="preserve"> </w:t>
      </w:r>
      <w:r w:rsidRPr="00520861">
        <w:rPr>
          <w:rFonts w:eastAsia="Calibri"/>
          <w:sz w:val="28"/>
          <w:szCs w:val="28"/>
          <w:lang w:val="en-GB" w:eastAsia="en-US"/>
        </w:rPr>
        <w:t>QA</w:t>
      </w:r>
      <w:r w:rsidRPr="00520861">
        <w:rPr>
          <w:rFonts w:eastAsia="Calibri"/>
          <w:sz w:val="28"/>
          <w:szCs w:val="28"/>
          <w:lang w:val="en-US" w:eastAsia="en-US"/>
        </w:rPr>
        <w:t xml:space="preserve">, </w:t>
      </w:r>
      <w:r w:rsidRPr="00520861">
        <w:rPr>
          <w:rFonts w:eastAsia="Calibri"/>
          <w:sz w:val="28"/>
          <w:szCs w:val="28"/>
          <w:lang w:val="en-GB" w:eastAsia="en-US"/>
        </w:rPr>
        <w:t>Fan</w:t>
      </w:r>
      <w:r w:rsidRPr="00520861">
        <w:rPr>
          <w:rFonts w:eastAsia="Calibri"/>
          <w:sz w:val="28"/>
          <w:szCs w:val="28"/>
          <w:lang w:val="en-US" w:eastAsia="en-US"/>
        </w:rPr>
        <w:t xml:space="preserve"> </w:t>
      </w:r>
      <w:r w:rsidRPr="00520861">
        <w:rPr>
          <w:rFonts w:eastAsia="Calibri"/>
          <w:sz w:val="28"/>
          <w:szCs w:val="28"/>
          <w:lang w:val="en-GB" w:eastAsia="en-US"/>
        </w:rPr>
        <w:t>MW</w:t>
      </w:r>
      <w:r w:rsidRPr="00520861">
        <w:rPr>
          <w:rFonts w:eastAsia="Calibri"/>
          <w:sz w:val="28"/>
          <w:szCs w:val="28"/>
          <w:lang w:val="en-US" w:eastAsia="en-US"/>
        </w:rPr>
        <w:t xml:space="preserve">. </w:t>
      </w:r>
      <w:r w:rsidRPr="00520861">
        <w:rPr>
          <w:rFonts w:eastAsia="Calibri"/>
          <w:sz w:val="28"/>
          <w:szCs w:val="28"/>
          <w:lang w:val="en-GB" w:eastAsia="en-US"/>
        </w:rPr>
        <w:t xml:space="preserve">Intranasal co-delivery of IL-6 gene enhances the immunogenicity of anti-caries DNA vaccine. </w:t>
      </w:r>
      <w:r w:rsidRPr="00520861">
        <w:rPr>
          <w:rFonts w:eastAsia="Calibri"/>
          <w:i/>
          <w:sz w:val="28"/>
          <w:szCs w:val="28"/>
          <w:lang w:val="en-GB" w:eastAsia="en-US"/>
        </w:rPr>
        <w:t xml:space="preserve">Acta </w:t>
      </w:r>
      <w:proofErr w:type="spellStart"/>
      <w:r w:rsidRPr="00520861">
        <w:rPr>
          <w:rFonts w:eastAsia="Calibri"/>
          <w:i/>
          <w:sz w:val="28"/>
          <w:szCs w:val="28"/>
          <w:lang w:val="en-GB" w:eastAsia="en-US"/>
        </w:rPr>
        <w:t>Pharmacol</w:t>
      </w:r>
      <w:proofErr w:type="spellEnd"/>
      <w:r w:rsidRPr="00520861">
        <w:rPr>
          <w:rFonts w:eastAsia="Calibri"/>
          <w:i/>
          <w:sz w:val="28"/>
          <w:szCs w:val="28"/>
          <w:lang w:val="en-GB" w:eastAsia="en-US"/>
        </w:rPr>
        <w:t xml:space="preserve"> Sin</w:t>
      </w:r>
      <w:r w:rsidRPr="00520861">
        <w:rPr>
          <w:rFonts w:eastAsia="Calibri"/>
          <w:sz w:val="28"/>
          <w:szCs w:val="28"/>
          <w:lang w:val="en-GB" w:eastAsia="en-US"/>
        </w:rPr>
        <w:t xml:space="preserve">. 2014;35(5): 592–598.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val="en-GB" w:eastAsia="en-US"/>
        </w:rPr>
        <w:t>10.1038/aps.2013.18.</w:t>
      </w:r>
    </w:p>
    <w:p w14:paraId="0AA0187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Sugimoto</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 xml:space="preserve">M, </w:t>
      </w:r>
      <w:proofErr w:type="spellStart"/>
      <w:r w:rsidRPr="00520861">
        <w:rPr>
          <w:rFonts w:eastAsiaTheme="minorHAnsi"/>
          <w:sz w:val="28"/>
          <w:szCs w:val="28"/>
          <w:lang w:eastAsia="en-US"/>
        </w:rPr>
        <w:t>Saruta</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Matsuki</w:t>
      </w:r>
      <w:proofErr w:type="spellEnd"/>
      <w:r w:rsidRPr="00520861">
        <w:rPr>
          <w:rFonts w:eastAsiaTheme="minorHAnsi"/>
          <w:sz w:val="28"/>
          <w:szCs w:val="28"/>
          <w:lang w:eastAsia="en-US"/>
        </w:rPr>
        <w:t xml:space="preserve"> C</w:t>
      </w:r>
      <w:r w:rsidRPr="00520861">
        <w:rPr>
          <w:rFonts w:eastAsiaTheme="minorHAnsi"/>
          <w:sz w:val="28"/>
          <w:szCs w:val="28"/>
          <w:lang w:val="en-US" w:eastAsia="en-US"/>
        </w:rPr>
        <w:t xml:space="preserve">, </w:t>
      </w:r>
      <w:r w:rsidRPr="00520861">
        <w:rPr>
          <w:rFonts w:eastAsiaTheme="minorHAnsi"/>
          <w:sz w:val="28"/>
          <w:szCs w:val="28"/>
          <w:lang w:eastAsia="en-US"/>
        </w:rPr>
        <w:t>T</w:t>
      </w:r>
      <w:r w:rsidRPr="00520861">
        <w:rPr>
          <w:rFonts w:eastAsiaTheme="minorHAnsi"/>
          <w:sz w:val="28"/>
          <w:szCs w:val="28"/>
          <w:lang w:val="en-US" w:eastAsia="en-US"/>
        </w:rPr>
        <w:t xml:space="preserve">o </w:t>
      </w:r>
      <w:r w:rsidRPr="00520861">
        <w:rPr>
          <w:rFonts w:eastAsiaTheme="minorHAnsi"/>
          <w:sz w:val="28"/>
          <w:szCs w:val="28"/>
          <w:lang w:eastAsia="en-US"/>
        </w:rPr>
        <w:t xml:space="preserve">M, </w:t>
      </w:r>
      <w:proofErr w:type="spellStart"/>
      <w:r w:rsidRPr="00520861">
        <w:rPr>
          <w:rFonts w:eastAsiaTheme="minorHAnsi"/>
          <w:sz w:val="28"/>
          <w:szCs w:val="28"/>
          <w:lang w:eastAsia="en-US"/>
        </w:rPr>
        <w:t>Onuma</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Kaneko</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Physiological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environmental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parameters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spectrometry-based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profiles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Metabolomics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2013</w:t>
      </w:r>
      <w:r w:rsidRPr="00520861">
        <w:rPr>
          <w:rFonts w:eastAsiaTheme="minorHAnsi"/>
          <w:sz w:val="28"/>
          <w:szCs w:val="28"/>
          <w:lang w:val="en-US" w:eastAsia="en-US"/>
        </w:rPr>
        <w:t>;(</w:t>
      </w:r>
      <w:r w:rsidRPr="00520861">
        <w:rPr>
          <w:rFonts w:eastAsiaTheme="minorHAnsi"/>
          <w:sz w:val="28"/>
          <w:szCs w:val="28"/>
          <w:lang w:eastAsia="en-US"/>
        </w:rPr>
        <w:t>9</w:t>
      </w:r>
      <w:r w:rsidRPr="00520861">
        <w:rPr>
          <w:rFonts w:eastAsiaTheme="minorHAnsi"/>
          <w:sz w:val="28"/>
          <w:szCs w:val="28"/>
          <w:lang w:val="en-US" w:eastAsia="en-US"/>
        </w:rPr>
        <w:t>):</w:t>
      </w:r>
      <w:r w:rsidRPr="00520861">
        <w:rPr>
          <w:rFonts w:eastAsiaTheme="minorHAnsi"/>
          <w:sz w:val="28"/>
          <w:szCs w:val="28"/>
          <w:lang w:eastAsia="en-US"/>
        </w:rPr>
        <w:t xml:space="preserve"> 454–463.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eastAsia="en-US"/>
        </w:rPr>
        <w:lastRenderedPageBreak/>
        <w:t>10.1007/s11306-012-0464-y</w:t>
      </w:r>
      <w:r w:rsidRPr="00520861">
        <w:rPr>
          <w:rFonts w:eastAsiaTheme="minorHAnsi"/>
          <w:sz w:val="28"/>
          <w:szCs w:val="28"/>
          <w:lang w:val="en-US" w:eastAsia="en-US"/>
        </w:rPr>
        <w:t>.</w:t>
      </w:r>
    </w:p>
    <w:p w14:paraId="3AD6450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Sun</w:t>
      </w:r>
      <w:proofErr w:type="spellEnd"/>
      <w:r w:rsidRPr="00520861">
        <w:rPr>
          <w:rFonts w:eastAsiaTheme="minorHAnsi"/>
          <w:sz w:val="28"/>
          <w:szCs w:val="28"/>
          <w:lang w:eastAsia="en-US"/>
        </w:rPr>
        <w:t xml:space="preserve"> HB, </w:t>
      </w: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Zhou</w:t>
      </w:r>
      <w:proofErr w:type="spellEnd"/>
      <w:r w:rsidRPr="00520861">
        <w:rPr>
          <w:rFonts w:eastAsiaTheme="minorHAnsi"/>
          <w:sz w:val="28"/>
          <w:szCs w:val="28"/>
          <w:lang w:eastAsia="en-US"/>
        </w:rPr>
        <w:t xml:space="preserve"> XB.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Chin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xml:space="preserve">. 2017;20(2): 97–104.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10.3290/j.cjdr.a38274</w:t>
      </w:r>
      <w:r w:rsidRPr="00520861">
        <w:rPr>
          <w:rFonts w:eastAsiaTheme="minorHAnsi"/>
          <w:sz w:val="28"/>
          <w:szCs w:val="28"/>
          <w:lang w:val="en-US" w:eastAsia="en-US"/>
        </w:rPr>
        <w:t>.</w:t>
      </w:r>
    </w:p>
    <w:p w14:paraId="4922C3D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Sun</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Niu</w:t>
      </w:r>
      <w:proofErr w:type="spellEnd"/>
      <w:r w:rsidRPr="00520861">
        <w:rPr>
          <w:rFonts w:eastAsiaTheme="minorHAnsi"/>
          <w:sz w:val="28"/>
          <w:szCs w:val="28"/>
          <w:lang w:eastAsia="en-US"/>
        </w:rPr>
        <w:t xml:space="preserve"> Z. A </w:t>
      </w:r>
      <w:proofErr w:type="spellStart"/>
      <w:r w:rsidRPr="00520861">
        <w:rPr>
          <w:rFonts w:eastAsiaTheme="minorHAnsi"/>
          <w:sz w:val="28"/>
          <w:szCs w:val="28"/>
          <w:lang w:eastAsia="en-US"/>
        </w:rPr>
        <w:t>mushroom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reduced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pregnancy-induced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hypertension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randomized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clinical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trial</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Food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Nutr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2020</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Jun</w:t>
      </w:r>
      <w:proofErr w:type="spellEnd"/>
      <w:r w:rsidRPr="00520861">
        <w:rPr>
          <w:rFonts w:eastAsiaTheme="minorHAnsi"/>
          <w:sz w:val="28"/>
          <w:szCs w:val="28"/>
          <w:lang w:val="en-US" w:eastAsia="en-US"/>
        </w:rPr>
        <w:t xml:space="preserve"> [cited 2020 Jul 20]</w:t>
      </w:r>
      <w:r w:rsidRPr="00520861">
        <w:rPr>
          <w:rFonts w:eastAsiaTheme="minorHAnsi"/>
          <w:sz w:val="28"/>
          <w:szCs w:val="28"/>
          <w:lang w:eastAsia="en-US"/>
        </w:rPr>
        <w:t xml:space="preserve">;64:10.29219/fnr.v64.4451.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10.29219/fnr.v64.4451</w:t>
      </w:r>
      <w:r w:rsidRPr="00520861">
        <w:rPr>
          <w:rFonts w:eastAsiaTheme="minorHAnsi"/>
          <w:sz w:val="28"/>
          <w:szCs w:val="28"/>
          <w:lang w:val="en-US" w:eastAsia="en-US"/>
        </w:rPr>
        <w:t>.</w:t>
      </w:r>
    </w:p>
    <w:p w14:paraId="55BF954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 xml:space="preserve"> </w:t>
      </w:r>
      <w:proofErr w:type="spellStart"/>
      <w:r w:rsidRPr="00520861">
        <w:rPr>
          <w:rFonts w:eastAsiaTheme="minorHAnsi"/>
          <w:sz w:val="28"/>
          <w:szCs w:val="28"/>
          <w:lang w:eastAsia="en-US"/>
        </w:rPr>
        <w:t>Suri</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Gagari</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Vastardis</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Delayed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pathogenesis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diagnosis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literature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Orthod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Dentofacial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Orthop</w:t>
      </w:r>
      <w:proofErr w:type="spellEnd"/>
      <w:r w:rsidRPr="00520861">
        <w:rPr>
          <w:rFonts w:eastAsiaTheme="minorHAnsi"/>
          <w:sz w:val="28"/>
          <w:szCs w:val="28"/>
          <w:lang w:eastAsia="en-US"/>
        </w:rPr>
        <w:t>. 2004;126(4):</w:t>
      </w:r>
      <w:r w:rsidRPr="00520861">
        <w:rPr>
          <w:rFonts w:eastAsiaTheme="minorHAnsi"/>
          <w:sz w:val="28"/>
          <w:szCs w:val="28"/>
          <w:lang w:val="en-US" w:eastAsia="en-US"/>
        </w:rPr>
        <w:t xml:space="preserve"> </w:t>
      </w:r>
      <w:r w:rsidRPr="00520861">
        <w:rPr>
          <w:rFonts w:eastAsiaTheme="minorHAnsi"/>
          <w:sz w:val="28"/>
          <w:szCs w:val="28"/>
          <w:lang w:eastAsia="en-US"/>
        </w:rPr>
        <w:t xml:space="preserve">432–445.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10.1016/j.ajodo.2003.10.031</w:t>
      </w:r>
      <w:r w:rsidRPr="00520861">
        <w:rPr>
          <w:rFonts w:eastAsiaTheme="minorHAnsi"/>
          <w:sz w:val="28"/>
          <w:szCs w:val="28"/>
          <w:lang w:val="en-US" w:eastAsia="en-US"/>
        </w:rPr>
        <w:t>.</w:t>
      </w:r>
    </w:p>
    <w:p w14:paraId="31CD8E0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Suvan</w:t>
      </w:r>
      <w:proofErr w:type="spellEnd"/>
      <w:r w:rsidRPr="00520861">
        <w:rPr>
          <w:rFonts w:eastAsiaTheme="minorHAnsi"/>
          <w:sz w:val="28"/>
          <w:szCs w:val="28"/>
          <w:lang w:eastAsia="en-US"/>
        </w:rPr>
        <w:t xml:space="preserve"> JE, </w:t>
      </w:r>
      <w:proofErr w:type="spellStart"/>
      <w:r w:rsidRPr="00520861">
        <w:rPr>
          <w:rFonts w:eastAsiaTheme="minorHAnsi"/>
          <w:sz w:val="28"/>
          <w:szCs w:val="28"/>
          <w:lang w:eastAsia="en-US"/>
        </w:rPr>
        <w:t>Finer</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D’Aiuto</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complications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Periodontol</w:t>
      </w:r>
      <w:proofErr w:type="spellEnd"/>
      <w:r w:rsidRPr="00520861">
        <w:rPr>
          <w:rFonts w:eastAsiaTheme="minorHAnsi"/>
          <w:i/>
          <w:sz w:val="28"/>
          <w:szCs w:val="28"/>
          <w:lang w:eastAsia="en-US"/>
        </w:rPr>
        <w:t xml:space="preserve"> 2000</w:t>
      </w:r>
      <w:r w:rsidRPr="00520861">
        <w:rPr>
          <w:rFonts w:eastAsiaTheme="minorHAnsi"/>
          <w:sz w:val="28"/>
          <w:szCs w:val="28"/>
          <w:lang w:eastAsia="en-US"/>
        </w:rPr>
        <w:t>. 2018;78(1):</w:t>
      </w:r>
      <w:r w:rsidRPr="00520861">
        <w:rPr>
          <w:rFonts w:eastAsiaTheme="minorHAnsi"/>
          <w:sz w:val="28"/>
          <w:szCs w:val="28"/>
          <w:lang w:val="en-US" w:eastAsia="en-US"/>
        </w:rPr>
        <w:t xml:space="preserve"> </w:t>
      </w:r>
      <w:r w:rsidRPr="00520861">
        <w:rPr>
          <w:rFonts w:eastAsiaTheme="minorHAnsi"/>
          <w:sz w:val="28"/>
          <w:szCs w:val="28"/>
          <w:lang w:eastAsia="en-US"/>
        </w:rPr>
        <w:t xml:space="preserve">98–128.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10.1111/prd.12239.</w:t>
      </w:r>
    </w:p>
    <w:p w14:paraId="35CF150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Tabassum</w:t>
      </w:r>
      <w:proofErr w:type="spellEnd"/>
      <w:r w:rsidRPr="00520861">
        <w:rPr>
          <w:rFonts w:eastAsiaTheme="minorHAnsi"/>
          <w:sz w:val="28"/>
          <w:szCs w:val="28"/>
          <w:lang w:eastAsia="en-US"/>
        </w:rPr>
        <w:t xml:space="preserve"> N</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Ahmed</w:t>
      </w:r>
      <w:proofErr w:type="spellEnd"/>
      <w:r w:rsidRPr="00520861">
        <w:rPr>
          <w:rFonts w:eastAsiaTheme="minorHAnsi"/>
          <w:sz w:val="28"/>
          <w:szCs w:val="28"/>
          <w:lang w:eastAsia="en-US"/>
        </w:rPr>
        <w:t xml:space="preserve"> S</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Alshammari</w:t>
      </w:r>
      <w:proofErr w:type="spellEnd"/>
      <w:r w:rsidRPr="00520861">
        <w:rPr>
          <w:rFonts w:eastAsiaTheme="minorHAnsi"/>
          <w:sz w:val="28"/>
          <w:szCs w:val="28"/>
          <w:lang w:eastAsia="en-US"/>
        </w:rPr>
        <w:t xml:space="preserve"> Y</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Barri</w:t>
      </w:r>
      <w:proofErr w:type="spellEnd"/>
      <w:r w:rsidRPr="00520861">
        <w:rPr>
          <w:rFonts w:eastAsiaTheme="minorHAnsi"/>
          <w:sz w:val="28"/>
          <w:szCs w:val="28"/>
          <w:lang w:eastAsia="en-US"/>
        </w:rPr>
        <w:t xml:space="preserve"> G</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Alnafea</w:t>
      </w:r>
      <w:proofErr w:type="spellEnd"/>
      <w:r w:rsidRPr="00520861">
        <w:rPr>
          <w:rFonts w:eastAsiaTheme="minorHAnsi"/>
          <w:sz w:val="28"/>
          <w:szCs w:val="28"/>
          <w:lang w:eastAsia="en-US"/>
        </w:rPr>
        <w:t xml:space="preserve"> M</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Alatiyyah</w:t>
      </w:r>
      <w:proofErr w:type="spellEnd"/>
      <w:r w:rsidRPr="00520861">
        <w:rPr>
          <w:rFonts w:eastAsiaTheme="minorHAnsi"/>
          <w:sz w:val="28"/>
          <w:szCs w:val="28"/>
          <w:lang w:eastAsia="en-US"/>
        </w:rPr>
        <w:t xml:space="preserve"> M</w:t>
      </w:r>
      <w:r w:rsidRPr="00520861">
        <w:rPr>
          <w:rFonts w:eastAsiaTheme="minorHAnsi"/>
          <w:sz w:val="28"/>
          <w:szCs w:val="28"/>
          <w:lang w:val="en-US" w:eastAsia="en-US"/>
        </w:rPr>
        <w:t>, et al</w:t>
      </w:r>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attitude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towards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treatment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plan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versus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willingness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International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Dentistry</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Research</w:t>
      </w:r>
      <w:proofErr w:type="spellEnd"/>
      <w:r w:rsidRPr="00520861">
        <w:rPr>
          <w:rFonts w:eastAsiaTheme="minorHAnsi"/>
          <w:sz w:val="28"/>
          <w:szCs w:val="28"/>
          <w:lang w:eastAsia="en-US"/>
        </w:rPr>
        <w:t>. 2017;2(3): 73–75</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10.31254/dentistry.2017.2304.</w:t>
      </w:r>
    </w:p>
    <w:p w14:paraId="6465E5D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Talaeipour</w:t>
      </w:r>
      <w:proofErr w:type="spellEnd"/>
      <w:r w:rsidRPr="00520861">
        <w:rPr>
          <w:rFonts w:eastAsiaTheme="minorHAnsi"/>
          <w:sz w:val="28"/>
          <w:szCs w:val="28"/>
          <w:lang w:eastAsia="en-US"/>
        </w:rPr>
        <w:t xml:space="preserve"> AR, </w:t>
      </w:r>
      <w:proofErr w:type="spellStart"/>
      <w:r w:rsidRPr="00520861">
        <w:rPr>
          <w:rFonts w:eastAsiaTheme="minorHAnsi"/>
          <w:sz w:val="28"/>
          <w:szCs w:val="28"/>
          <w:lang w:eastAsia="en-US"/>
        </w:rPr>
        <w:t>Shirazi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Kheirandish</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Delrobaie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Jafari</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Dehpour</w:t>
      </w:r>
      <w:proofErr w:type="spellEnd"/>
      <w:r w:rsidRPr="00520861">
        <w:rPr>
          <w:rFonts w:eastAsiaTheme="minorHAnsi"/>
          <w:sz w:val="28"/>
          <w:szCs w:val="28"/>
          <w:lang w:eastAsia="en-US"/>
        </w:rPr>
        <w:t xml:space="preserve"> AR. </w:t>
      </w:r>
      <w:proofErr w:type="spellStart"/>
      <w:r w:rsidRPr="00520861">
        <w:rPr>
          <w:rFonts w:eastAsiaTheme="minorHAnsi"/>
          <w:sz w:val="28"/>
          <w:szCs w:val="28"/>
          <w:lang w:eastAsia="en-US"/>
        </w:rPr>
        <w:t>Densitometric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evaluation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skull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after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administration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thyroid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hormones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Dentomaxillofac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Radiol</w:t>
      </w:r>
      <w:proofErr w:type="spellEnd"/>
      <w:r w:rsidRPr="00520861">
        <w:rPr>
          <w:rFonts w:eastAsiaTheme="minorHAnsi"/>
          <w:sz w:val="28"/>
          <w:szCs w:val="28"/>
          <w:lang w:eastAsia="en-US"/>
        </w:rPr>
        <w:t>. 2005;34(6):</w:t>
      </w:r>
      <w:r w:rsidRPr="00520861">
        <w:rPr>
          <w:rFonts w:eastAsiaTheme="minorHAnsi"/>
          <w:sz w:val="28"/>
          <w:szCs w:val="28"/>
          <w:lang w:val="en-US" w:eastAsia="en-US"/>
        </w:rPr>
        <w:t xml:space="preserve"> </w:t>
      </w:r>
      <w:r w:rsidRPr="00520861">
        <w:rPr>
          <w:rFonts w:eastAsiaTheme="minorHAnsi"/>
          <w:sz w:val="28"/>
          <w:szCs w:val="28"/>
          <w:lang w:eastAsia="en-US"/>
        </w:rPr>
        <w:t>332–</w:t>
      </w:r>
      <w:r w:rsidRPr="00520861">
        <w:rPr>
          <w:rFonts w:eastAsiaTheme="minorHAnsi"/>
          <w:sz w:val="28"/>
          <w:szCs w:val="28"/>
          <w:lang w:val="en-US" w:eastAsia="en-US"/>
        </w:rPr>
        <w:t>33</w:t>
      </w:r>
      <w:r w:rsidRPr="00520861">
        <w:rPr>
          <w:rFonts w:eastAsiaTheme="minorHAnsi"/>
          <w:sz w:val="28"/>
          <w:szCs w:val="28"/>
          <w:lang w:eastAsia="en-US"/>
        </w:rPr>
        <w:t>6.</w:t>
      </w:r>
    </w:p>
    <w:p w14:paraId="342F231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Talatof</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Z</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Haghshenas-Mojaveri</w:t>
      </w:r>
      <w:proofErr w:type="spellEnd"/>
      <w:r w:rsidRPr="00520861">
        <w:rPr>
          <w:rFonts w:eastAsiaTheme="minorHAnsi"/>
          <w:sz w:val="28"/>
          <w:szCs w:val="28"/>
          <w:lang w:eastAsia="en-US"/>
        </w:rPr>
        <w:t xml:space="preserve"> H</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Haghshenas-Mojavaeri</w:t>
      </w:r>
      <w:proofErr w:type="spellEnd"/>
      <w:r w:rsidRPr="00520861">
        <w:rPr>
          <w:rFonts w:eastAsiaTheme="minorHAnsi"/>
          <w:sz w:val="28"/>
          <w:szCs w:val="28"/>
          <w:lang w:eastAsia="en-US"/>
        </w:rPr>
        <w:t xml:space="preserve"> V</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Kheradmand</w:t>
      </w:r>
      <w:proofErr w:type="spellEnd"/>
      <w:r w:rsidRPr="00520861">
        <w:rPr>
          <w:rFonts w:eastAsiaTheme="minorHAnsi"/>
          <w:sz w:val="28"/>
          <w:szCs w:val="28"/>
          <w:lang w:eastAsia="en-US"/>
        </w:rPr>
        <w:t xml:space="preserve"> M</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First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primary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Mazandaran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Univ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2020;29(182): 117–122.</w:t>
      </w:r>
    </w:p>
    <w:p w14:paraId="0F62668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Tanaka</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Miyake</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Hanioka</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Furukawa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Miyatake</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Arakawa</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IL18 </w:t>
      </w:r>
      <w:proofErr w:type="spellStart"/>
      <w:r w:rsidRPr="00520861">
        <w:rPr>
          <w:rFonts w:eastAsiaTheme="minorHAnsi"/>
          <w:sz w:val="28"/>
          <w:szCs w:val="28"/>
          <w:lang w:eastAsia="en-US"/>
        </w:rPr>
        <w:t>promoter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w:t>
      </w:r>
      <w:proofErr w:type="spellEnd"/>
      <w:r w:rsidRPr="00520861">
        <w:rPr>
          <w:rFonts w:eastAsiaTheme="minorHAnsi"/>
          <w:sz w:val="28"/>
          <w:szCs w:val="28"/>
          <w:lang w:eastAsia="en-US"/>
        </w:rPr>
        <w:t xml:space="preserve">, rs1946518,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Japanese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Kyushu</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Okinawa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Tohoku</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Exp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xml:space="preserve">. 2017;243(3): 159–164.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DOI: 10.1620/tjem.243.159. </w:t>
      </w:r>
    </w:p>
    <w:p w14:paraId="4D04FB5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Tandon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Singh</w:t>
      </w:r>
      <w:proofErr w:type="spellEnd"/>
      <w:r w:rsidRPr="00520861">
        <w:rPr>
          <w:rFonts w:eastAsiaTheme="minorHAnsi"/>
          <w:sz w:val="28"/>
          <w:szCs w:val="28"/>
          <w:lang w:eastAsia="en-US"/>
        </w:rPr>
        <w:t xml:space="preserve"> NN, </w:t>
      </w:r>
      <w:proofErr w:type="spellStart"/>
      <w:r w:rsidRPr="00520861">
        <w:rPr>
          <w:rFonts w:eastAsiaTheme="minorHAnsi"/>
          <w:sz w:val="28"/>
          <w:szCs w:val="28"/>
          <w:lang w:eastAsia="en-US"/>
        </w:rPr>
        <w:t>Sreedhar</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Minor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Approach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towards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new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horizon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Nat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2013;4(2):</w:t>
      </w:r>
      <w:r w:rsidRPr="00520861">
        <w:rPr>
          <w:rFonts w:eastAsiaTheme="minorHAnsi"/>
          <w:sz w:val="28"/>
          <w:szCs w:val="28"/>
          <w:lang w:val="en-US" w:eastAsia="en-US"/>
        </w:rPr>
        <w:t xml:space="preserve"> </w:t>
      </w:r>
      <w:r w:rsidRPr="00520861">
        <w:rPr>
          <w:rFonts w:eastAsiaTheme="minorHAnsi"/>
          <w:sz w:val="28"/>
          <w:szCs w:val="28"/>
          <w:lang w:eastAsia="en-US"/>
        </w:rPr>
        <w:t xml:space="preserve">364–368.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10.4103/0976-9668.117000</w:t>
      </w:r>
      <w:r w:rsidRPr="00520861">
        <w:rPr>
          <w:rFonts w:eastAsiaTheme="minorHAnsi"/>
          <w:sz w:val="28"/>
          <w:szCs w:val="28"/>
          <w:lang w:val="en-US" w:eastAsia="en-US"/>
        </w:rPr>
        <w:t>.</w:t>
      </w:r>
    </w:p>
    <w:p w14:paraId="532B742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Taylor</w:t>
      </w:r>
      <w:proofErr w:type="spellEnd"/>
      <w:r w:rsidRPr="00520861">
        <w:rPr>
          <w:rFonts w:eastAsiaTheme="minorHAnsi"/>
          <w:sz w:val="28"/>
          <w:szCs w:val="28"/>
          <w:lang w:eastAsia="en-US"/>
        </w:rPr>
        <w:t xml:space="preserve"> PD, </w:t>
      </w:r>
      <w:proofErr w:type="spellStart"/>
      <w:r w:rsidRPr="00520861">
        <w:rPr>
          <w:rFonts w:eastAsiaTheme="minorHAnsi"/>
          <w:sz w:val="28"/>
          <w:szCs w:val="28"/>
          <w:lang w:eastAsia="en-US"/>
        </w:rPr>
        <w:t>Poston</w:t>
      </w:r>
      <w:proofErr w:type="spellEnd"/>
      <w:r w:rsidRPr="00520861">
        <w:rPr>
          <w:rFonts w:eastAsiaTheme="minorHAnsi"/>
          <w:sz w:val="28"/>
          <w:szCs w:val="28"/>
          <w:lang w:eastAsia="en-US"/>
        </w:rPr>
        <w:t xml:space="preserve"> L</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mammals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Exp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Physiol</w:t>
      </w:r>
      <w:proofErr w:type="spellEnd"/>
      <w:r w:rsidRPr="00520861">
        <w:rPr>
          <w:rFonts w:eastAsiaTheme="minorHAnsi"/>
          <w:sz w:val="28"/>
          <w:szCs w:val="28"/>
          <w:lang w:eastAsia="en-US"/>
        </w:rPr>
        <w:t>. 2007 Mar;92(2):</w:t>
      </w:r>
      <w:r w:rsidRPr="00520861">
        <w:rPr>
          <w:rFonts w:eastAsiaTheme="minorHAnsi"/>
          <w:sz w:val="28"/>
          <w:szCs w:val="28"/>
          <w:lang w:val="en-US" w:eastAsia="en-US"/>
        </w:rPr>
        <w:t xml:space="preserve"> </w:t>
      </w:r>
      <w:r w:rsidRPr="00520861">
        <w:rPr>
          <w:rFonts w:eastAsiaTheme="minorHAnsi"/>
          <w:sz w:val="28"/>
          <w:szCs w:val="28"/>
          <w:lang w:eastAsia="en-US"/>
        </w:rPr>
        <w:t>287–</w:t>
      </w:r>
      <w:r w:rsidRPr="00520861">
        <w:rPr>
          <w:rFonts w:eastAsiaTheme="minorHAnsi"/>
          <w:sz w:val="28"/>
          <w:szCs w:val="28"/>
          <w:lang w:val="en-US" w:eastAsia="en-US"/>
        </w:rPr>
        <w:t>2</w:t>
      </w:r>
      <w:r w:rsidRPr="00520861">
        <w:rPr>
          <w:rFonts w:eastAsiaTheme="minorHAnsi"/>
          <w:sz w:val="28"/>
          <w:szCs w:val="28"/>
          <w:lang w:eastAsia="en-US"/>
        </w:rPr>
        <w:t>98.</w:t>
      </w:r>
    </w:p>
    <w:p w14:paraId="4513C87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Teshima</w:t>
      </w:r>
      <w:proofErr w:type="spellEnd"/>
      <w:r w:rsidRPr="00520861">
        <w:rPr>
          <w:rFonts w:eastAsiaTheme="minorHAnsi"/>
          <w:sz w:val="28"/>
          <w:szCs w:val="28"/>
          <w:lang w:eastAsia="en-US"/>
        </w:rPr>
        <w:t xml:space="preserve"> TH, </w:t>
      </w:r>
      <w:proofErr w:type="spellStart"/>
      <w:r w:rsidRPr="00520861">
        <w:rPr>
          <w:rFonts w:eastAsiaTheme="minorHAnsi"/>
          <w:sz w:val="28"/>
          <w:szCs w:val="28"/>
          <w:lang w:eastAsia="en-US"/>
        </w:rPr>
        <w:t>Wells</w:t>
      </w:r>
      <w:proofErr w:type="spellEnd"/>
      <w:r w:rsidRPr="00520861">
        <w:rPr>
          <w:rFonts w:eastAsiaTheme="minorHAnsi"/>
          <w:sz w:val="28"/>
          <w:szCs w:val="28"/>
          <w:lang w:eastAsia="en-US"/>
        </w:rPr>
        <w:t xml:space="preserve"> KL, </w:t>
      </w:r>
      <w:proofErr w:type="spellStart"/>
      <w:r w:rsidRPr="00520861">
        <w:rPr>
          <w:rFonts w:eastAsiaTheme="minorHAnsi"/>
          <w:sz w:val="28"/>
          <w:szCs w:val="28"/>
          <w:lang w:eastAsia="en-US"/>
        </w:rPr>
        <w:t>Lourenço</w:t>
      </w:r>
      <w:proofErr w:type="spellEnd"/>
      <w:r w:rsidRPr="00520861">
        <w:rPr>
          <w:rFonts w:eastAsiaTheme="minorHAnsi"/>
          <w:sz w:val="28"/>
          <w:szCs w:val="28"/>
          <w:lang w:eastAsia="en-US"/>
        </w:rPr>
        <w:t xml:space="preserve"> SV, </w:t>
      </w:r>
      <w:proofErr w:type="spellStart"/>
      <w:r w:rsidRPr="00520861">
        <w:rPr>
          <w:rFonts w:eastAsiaTheme="minorHAnsi"/>
          <w:sz w:val="28"/>
          <w:szCs w:val="28"/>
          <w:lang w:eastAsia="en-US"/>
        </w:rPr>
        <w:t>Tucker</w:t>
      </w:r>
      <w:proofErr w:type="spellEnd"/>
      <w:r w:rsidRPr="00520861">
        <w:rPr>
          <w:rFonts w:eastAsiaTheme="minorHAnsi"/>
          <w:sz w:val="28"/>
          <w:szCs w:val="28"/>
          <w:lang w:eastAsia="en-US"/>
        </w:rPr>
        <w:t xml:space="preserve"> AS. </w:t>
      </w:r>
      <w:proofErr w:type="spellStart"/>
      <w:r w:rsidRPr="00520861">
        <w:rPr>
          <w:rFonts w:eastAsiaTheme="minorHAnsi"/>
          <w:sz w:val="28"/>
          <w:szCs w:val="28"/>
          <w:lang w:eastAsia="en-US"/>
        </w:rPr>
        <w:t>Apoptosis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morphogenesis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lumen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formation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2016;95(3):</w:t>
      </w:r>
      <w:r w:rsidRPr="00520861">
        <w:rPr>
          <w:rFonts w:eastAsiaTheme="minorHAnsi"/>
          <w:sz w:val="28"/>
          <w:szCs w:val="28"/>
          <w:lang w:val="en-US" w:eastAsia="en-US"/>
        </w:rPr>
        <w:t xml:space="preserve"> </w:t>
      </w:r>
      <w:r w:rsidRPr="00520861">
        <w:rPr>
          <w:rFonts w:eastAsiaTheme="minorHAnsi"/>
          <w:sz w:val="28"/>
          <w:szCs w:val="28"/>
          <w:lang w:eastAsia="en-US"/>
        </w:rPr>
        <w:t xml:space="preserve">277–283.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10.1177/0022034515619581.</w:t>
      </w:r>
    </w:p>
    <w:p w14:paraId="22FD93C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Thirion-Delalande</w:t>
      </w:r>
      <w:proofErr w:type="spellEnd"/>
      <w:r w:rsidRPr="00520861">
        <w:rPr>
          <w:rFonts w:eastAsiaTheme="minorHAnsi"/>
          <w:sz w:val="28"/>
          <w:szCs w:val="28"/>
          <w:lang w:val="en-US" w:eastAsia="en-US"/>
        </w:rPr>
        <w:t xml:space="preserve"> C, Gervais F, Fisch C, </w:t>
      </w:r>
      <w:proofErr w:type="spellStart"/>
      <w:r w:rsidRPr="00520861">
        <w:rPr>
          <w:rFonts w:eastAsiaTheme="minorHAnsi"/>
          <w:sz w:val="28"/>
          <w:szCs w:val="28"/>
          <w:lang w:eastAsia="en-US"/>
        </w:rPr>
        <w:t>Cuiné</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Baron-Bodo</w:t>
      </w:r>
      <w:proofErr w:type="spellEnd"/>
      <w:r w:rsidRPr="00520861">
        <w:rPr>
          <w:rFonts w:eastAsiaTheme="minorHAnsi"/>
          <w:sz w:val="28"/>
          <w:szCs w:val="28"/>
          <w:lang w:eastAsia="en-US"/>
        </w:rPr>
        <w:t xml:space="preserve"> V, </w:t>
      </w:r>
      <w:proofErr w:type="spellStart"/>
      <w:r w:rsidRPr="00520861">
        <w:rPr>
          <w:rFonts w:eastAsiaTheme="minorHAnsi"/>
          <w:sz w:val="28"/>
          <w:szCs w:val="28"/>
          <w:lang w:eastAsia="en-US"/>
        </w:rPr>
        <w:t>Moingeon</w:t>
      </w:r>
      <w:proofErr w:type="spellEnd"/>
      <w:r w:rsidRPr="00520861">
        <w:rPr>
          <w:rFonts w:eastAsiaTheme="minorHAnsi"/>
          <w:sz w:val="28"/>
          <w:szCs w:val="28"/>
          <w:lang w:eastAsia="en-US"/>
        </w:rPr>
        <w:t xml:space="preserve"> P,</w:t>
      </w:r>
      <w:r w:rsidRPr="00520861">
        <w:rPr>
          <w:rFonts w:eastAsiaTheme="minorHAnsi"/>
          <w:sz w:val="28"/>
          <w:szCs w:val="28"/>
          <w:lang w:val="en-US" w:eastAsia="en-US"/>
        </w:rPr>
        <w:t xml:space="preserve"> et al. Comparative analysis of the oral mucosae from rodents and non-rodents: Application to the nonclinical evaluation of sublingual immunotherapy products. </w:t>
      </w:r>
      <w:proofErr w:type="spellStart"/>
      <w:r w:rsidRPr="00520861">
        <w:rPr>
          <w:rFonts w:eastAsiaTheme="minorHAnsi"/>
          <w:i/>
          <w:sz w:val="28"/>
          <w:szCs w:val="28"/>
          <w:lang w:val="en-US" w:eastAsia="en-US"/>
        </w:rPr>
        <w:t>PLoS</w:t>
      </w:r>
      <w:proofErr w:type="spellEnd"/>
      <w:r w:rsidRPr="00520861">
        <w:rPr>
          <w:rFonts w:eastAsiaTheme="minorHAnsi"/>
          <w:i/>
          <w:sz w:val="28"/>
          <w:szCs w:val="28"/>
          <w:lang w:val="en-US" w:eastAsia="en-US"/>
        </w:rPr>
        <w:t xml:space="preserve"> One</w:t>
      </w:r>
      <w:r w:rsidRPr="00520861">
        <w:rPr>
          <w:rFonts w:eastAsiaTheme="minorHAnsi"/>
          <w:sz w:val="28"/>
          <w:szCs w:val="28"/>
          <w:lang w:val="en-US" w:eastAsia="en-US"/>
        </w:rPr>
        <w:t xml:space="preserve"> [Internet]. 2017 Sep [cited 2020 Apr 9];12(9): e0183398.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 10.1371/journal.pone.0183398.</w:t>
      </w:r>
    </w:p>
    <w:p w14:paraId="751C303B" w14:textId="77777777" w:rsidR="00292D2E" w:rsidRPr="00520861" w:rsidRDefault="00292D2E" w:rsidP="008F1D77">
      <w:pPr>
        <w:widowControl w:val="0"/>
        <w:numPr>
          <w:ilvl w:val="0"/>
          <w:numId w:val="8"/>
        </w:numPr>
        <w:spacing w:line="360" w:lineRule="auto"/>
        <w:ind w:left="0" w:firstLine="0"/>
        <w:contextualSpacing/>
        <w:jc w:val="both"/>
        <w:rPr>
          <w:rFonts w:eastAsia="Calibri"/>
          <w:sz w:val="28"/>
          <w:szCs w:val="28"/>
          <w:lang w:eastAsia="en-US"/>
        </w:rPr>
      </w:pPr>
      <w:proofErr w:type="spellStart"/>
      <w:r w:rsidRPr="00520861">
        <w:rPr>
          <w:rFonts w:eastAsia="Calibri"/>
          <w:sz w:val="28"/>
          <w:szCs w:val="28"/>
          <w:lang w:eastAsia="en-US"/>
        </w:rPr>
        <w:t>Tobias</w:t>
      </w:r>
      <w:proofErr w:type="spellEnd"/>
      <w:r w:rsidRPr="00520861">
        <w:rPr>
          <w:rFonts w:eastAsia="Calibri"/>
          <w:sz w:val="28"/>
          <w:szCs w:val="28"/>
          <w:lang w:eastAsia="en-US"/>
        </w:rPr>
        <w:t xml:space="preserve"> JH, </w:t>
      </w:r>
      <w:proofErr w:type="spellStart"/>
      <w:r w:rsidRPr="00520861">
        <w:rPr>
          <w:rFonts w:eastAsia="Calibri"/>
          <w:sz w:val="28"/>
          <w:szCs w:val="28"/>
          <w:lang w:eastAsia="en-US"/>
        </w:rPr>
        <w:t>Steer</w:t>
      </w:r>
      <w:proofErr w:type="spellEnd"/>
      <w:r w:rsidRPr="00520861">
        <w:rPr>
          <w:rFonts w:eastAsia="Calibri"/>
          <w:sz w:val="28"/>
          <w:szCs w:val="28"/>
          <w:lang w:eastAsia="en-US"/>
        </w:rPr>
        <w:t xml:space="preserve"> CD, </w:t>
      </w:r>
      <w:proofErr w:type="spellStart"/>
      <w:r w:rsidRPr="00520861">
        <w:rPr>
          <w:rFonts w:eastAsia="Calibri"/>
          <w:sz w:val="28"/>
          <w:szCs w:val="28"/>
          <w:lang w:eastAsia="en-US"/>
        </w:rPr>
        <w:t>Vilarino-Güell</w:t>
      </w:r>
      <w:proofErr w:type="spellEnd"/>
      <w:r w:rsidRPr="00520861">
        <w:rPr>
          <w:rFonts w:eastAsia="Calibri"/>
          <w:sz w:val="28"/>
          <w:szCs w:val="28"/>
          <w:lang w:eastAsia="en-US"/>
        </w:rPr>
        <w:t xml:space="preserve"> C, </w:t>
      </w:r>
      <w:proofErr w:type="spellStart"/>
      <w:r w:rsidRPr="00520861">
        <w:rPr>
          <w:rFonts w:eastAsia="Calibri"/>
          <w:sz w:val="28"/>
          <w:szCs w:val="28"/>
          <w:lang w:eastAsia="en-US"/>
        </w:rPr>
        <w:t>Brown</w:t>
      </w:r>
      <w:proofErr w:type="spellEnd"/>
      <w:r w:rsidRPr="00520861">
        <w:rPr>
          <w:rFonts w:eastAsia="Calibri"/>
          <w:sz w:val="28"/>
          <w:szCs w:val="28"/>
          <w:lang w:eastAsia="en-US"/>
        </w:rPr>
        <w:t xml:space="preserve"> MA</w:t>
      </w:r>
      <w:r w:rsidRPr="00520861">
        <w:rPr>
          <w:rFonts w:eastAsia="Calibri"/>
          <w:sz w:val="28"/>
          <w:szCs w:val="28"/>
          <w:lang w:val="en-US" w:eastAsia="en-US"/>
        </w:rPr>
        <w:t xml:space="preserve">. </w:t>
      </w:r>
      <w:proofErr w:type="spellStart"/>
      <w:r w:rsidRPr="00520861">
        <w:rPr>
          <w:rFonts w:eastAsia="Calibri"/>
          <w:sz w:val="28"/>
          <w:szCs w:val="28"/>
          <w:lang w:eastAsia="en-US"/>
        </w:rPr>
        <w:t>Estrogen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Receptor</w:t>
      </w:r>
      <w:proofErr w:type="spellEnd"/>
      <w:r w:rsidRPr="00520861">
        <w:rPr>
          <w:rFonts w:eastAsia="Calibri"/>
          <w:sz w:val="28"/>
          <w:szCs w:val="28"/>
          <w:lang w:eastAsia="en-US"/>
        </w:rPr>
        <w:t xml:space="preserve"> α </w:t>
      </w:r>
      <w:proofErr w:type="spellStart"/>
      <w:r w:rsidRPr="00520861">
        <w:rPr>
          <w:rFonts w:eastAsia="Calibri"/>
          <w:sz w:val="28"/>
          <w:szCs w:val="28"/>
          <w:lang w:eastAsia="en-US"/>
        </w:rPr>
        <w:t>Regulates</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Area-Adjusted</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Bone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Mineral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Content</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in</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Late</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Pubertal</w:t>
      </w:r>
      <w:proofErr w:type="spellEnd"/>
      <w:r w:rsidRPr="00520861">
        <w:rPr>
          <w:rFonts w:eastAsia="Calibri"/>
          <w:sz w:val="28"/>
          <w:szCs w:val="28"/>
          <w:lang w:eastAsia="en-US"/>
        </w:rPr>
        <w:t xml:space="preserve"> </w:t>
      </w:r>
      <w:proofErr w:type="spellStart"/>
      <w:r w:rsidRPr="00520861">
        <w:rPr>
          <w:rFonts w:eastAsia="Calibri"/>
          <w:sz w:val="28"/>
          <w:szCs w:val="28"/>
          <w:lang w:eastAsia="en-US"/>
        </w:rPr>
        <w:t>Girls</w:t>
      </w:r>
      <w:proofErr w:type="spellEnd"/>
      <w:r w:rsidRPr="00520861">
        <w:rPr>
          <w:rFonts w:eastAsia="Calibri"/>
          <w:i/>
          <w:sz w:val="28"/>
          <w:szCs w:val="28"/>
          <w:lang w:val="en-US" w:eastAsia="en-US"/>
        </w:rPr>
        <w:t>.</w:t>
      </w:r>
      <w:r w:rsidRPr="00520861">
        <w:rPr>
          <w:rFonts w:eastAsia="Calibri"/>
          <w:i/>
          <w:sz w:val="28"/>
          <w:szCs w:val="28"/>
          <w:lang w:eastAsia="en-US"/>
        </w:rPr>
        <w:t xml:space="preserve"> </w:t>
      </w:r>
      <w:proofErr w:type="spellStart"/>
      <w:r w:rsidRPr="00520861">
        <w:rPr>
          <w:rFonts w:eastAsia="Calibri"/>
          <w:i/>
          <w:sz w:val="28"/>
          <w:szCs w:val="28"/>
          <w:lang w:eastAsia="en-US"/>
        </w:rPr>
        <w:t>Journal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of</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Clinical</w:t>
      </w:r>
      <w:proofErr w:type="spellEnd"/>
      <w:r w:rsidRPr="00520861">
        <w:rPr>
          <w:rFonts w:eastAsia="Calibri"/>
          <w:i/>
          <w:sz w:val="28"/>
          <w:szCs w:val="28"/>
          <w:lang w:eastAsia="en-US"/>
        </w:rPr>
        <w:t xml:space="preserve"> </w:t>
      </w:r>
      <w:proofErr w:type="spellStart"/>
      <w:r w:rsidRPr="00520861">
        <w:rPr>
          <w:rFonts w:eastAsia="Calibri"/>
          <w:i/>
          <w:sz w:val="28"/>
          <w:szCs w:val="28"/>
          <w:lang w:eastAsia="en-US"/>
        </w:rPr>
        <w:t>Endocrinology</w:t>
      </w:r>
      <w:proofErr w:type="spellEnd"/>
      <w:r w:rsidRPr="00520861">
        <w:rPr>
          <w:rFonts w:eastAsia="Calibri"/>
          <w:i/>
          <w:sz w:val="28"/>
          <w:szCs w:val="28"/>
          <w:lang w:eastAsia="en-US"/>
        </w:rPr>
        <w:t xml:space="preserve"> &amp; </w:t>
      </w:r>
      <w:proofErr w:type="spellStart"/>
      <w:r w:rsidRPr="00520861">
        <w:rPr>
          <w:rFonts w:eastAsia="Calibri"/>
          <w:i/>
          <w:sz w:val="28"/>
          <w:szCs w:val="28"/>
          <w:lang w:eastAsia="en-US"/>
        </w:rPr>
        <w:t>Metabolism</w:t>
      </w:r>
      <w:proofErr w:type="spellEnd"/>
      <w:r w:rsidRPr="00520861">
        <w:rPr>
          <w:rFonts w:eastAsia="Calibri"/>
          <w:sz w:val="28"/>
          <w:szCs w:val="28"/>
          <w:lang w:val="en-US" w:eastAsia="en-US"/>
        </w:rPr>
        <w:t>.</w:t>
      </w:r>
      <w:r w:rsidRPr="00520861">
        <w:rPr>
          <w:rFonts w:eastAsia="Calibri"/>
          <w:sz w:val="28"/>
          <w:szCs w:val="28"/>
          <w:lang w:eastAsia="en-US"/>
        </w:rPr>
        <w:t xml:space="preserve"> 2007</w:t>
      </w:r>
      <w:r w:rsidRPr="00520861">
        <w:rPr>
          <w:rFonts w:eastAsia="Calibri"/>
          <w:sz w:val="28"/>
          <w:szCs w:val="28"/>
          <w:lang w:val="en-US" w:eastAsia="en-US"/>
        </w:rPr>
        <w:t>;</w:t>
      </w:r>
      <w:r w:rsidRPr="00520861">
        <w:rPr>
          <w:rFonts w:eastAsia="Calibri"/>
          <w:sz w:val="28"/>
          <w:szCs w:val="28"/>
          <w:lang w:eastAsia="en-US"/>
        </w:rPr>
        <w:t>92(2):</w:t>
      </w:r>
      <w:r w:rsidRPr="00520861">
        <w:rPr>
          <w:rFonts w:eastAsia="Calibri"/>
          <w:sz w:val="28"/>
          <w:szCs w:val="28"/>
          <w:lang w:val="en-US" w:eastAsia="en-US"/>
        </w:rPr>
        <w:t xml:space="preserve"> </w:t>
      </w:r>
      <w:r w:rsidRPr="00520861">
        <w:rPr>
          <w:rFonts w:eastAsia="Calibri"/>
          <w:sz w:val="28"/>
          <w:szCs w:val="28"/>
          <w:lang w:eastAsia="en-US"/>
        </w:rPr>
        <w:t>641–</w:t>
      </w:r>
      <w:r w:rsidRPr="00520861">
        <w:rPr>
          <w:rFonts w:eastAsia="Calibri"/>
          <w:sz w:val="28"/>
          <w:szCs w:val="28"/>
          <w:lang w:val="en-US" w:eastAsia="en-US"/>
        </w:rPr>
        <w:t>64</w:t>
      </w:r>
      <w:r w:rsidRPr="00520861">
        <w:rPr>
          <w:rFonts w:eastAsia="Calibri"/>
          <w:sz w:val="28"/>
          <w:szCs w:val="28"/>
          <w:lang w:eastAsia="en-US"/>
        </w:rPr>
        <w:t xml:space="preserve">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w:t>
      </w:r>
      <w:r w:rsidRPr="00520861">
        <w:rPr>
          <w:rFonts w:eastAsia="Calibri"/>
          <w:sz w:val="28"/>
          <w:szCs w:val="28"/>
          <w:lang w:eastAsia="en-US"/>
        </w:rPr>
        <w:t>10.1210/jc.2006-1555.</w:t>
      </w:r>
    </w:p>
    <w:p w14:paraId="557344F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Togni</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Mascitti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Santarelli</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Contaldo</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Romano</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Serpico</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Unusual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conditions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impairing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secretion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anomalies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Front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Physiol</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2019</w:t>
      </w:r>
      <w:r w:rsidRPr="00520861">
        <w:rPr>
          <w:rFonts w:eastAsiaTheme="minorHAnsi"/>
          <w:sz w:val="28"/>
          <w:szCs w:val="28"/>
          <w:lang w:val="en-US" w:eastAsia="en-US"/>
        </w:rPr>
        <w:t xml:space="preserve"> Jul [cited 2020 Mar 27]</w:t>
      </w:r>
      <w:r w:rsidRPr="00520861">
        <w:rPr>
          <w:rFonts w:eastAsiaTheme="minorHAnsi"/>
          <w:sz w:val="28"/>
          <w:szCs w:val="28"/>
          <w:lang w:eastAsia="en-US"/>
        </w:rPr>
        <w:t>;10:</w:t>
      </w:r>
      <w:r w:rsidRPr="00520861">
        <w:rPr>
          <w:rFonts w:eastAsiaTheme="minorHAnsi"/>
          <w:sz w:val="28"/>
          <w:szCs w:val="28"/>
          <w:lang w:val="en-US" w:eastAsia="en-US"/>
        </w:rPr>
        <w:t xml:space="preserve"> </w:t>
      </w:r>
      <w:r w:rsidRPr="00520861">
        <w:rPr>
          <w:rFonts w:eastAsiaTheme="minorHAnsi"/>
          <w:sz w:val="28"/>
          <w:szCs w:val="28"/>
          <w:lang w:eastAsia="en-US"/>
        </w:rPr>
        <w:t xml:space="preserve">855.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DOI:10.3389/fphys.2019.00855</w:t>
      </w:r>
      <w:r w:rsidRPr="00520861">
        <w:rPr>
          <w:rFonts w:eastAsiaTheme="minorHAnsi"/>
          <w:sz w:val="28"/>
          <w:szCs w:val="28"/>
          <w:lang w:val="en-US" w:eastAsia="en-US"/>
        </w:rPr>
        <w:t>.</w:t>
      </w:r>
    </w:p>
    <w:p w14:paraId="42288E9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Tomas</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Diz</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Tobias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Scully</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Donos</w:t>
      </w:r>
      <w:proofErr w:type="spellEnd"/>
      <w:r w:rsidRPr="00520861">
        <w:rPr>
          <w:rFonts w:eastAsiaTheme="minorHAnsi"/>
          <w:sz w:val="28"/>
          <w:szCs w:val="28"/>
          <w:lang w:eastAsia="en-US"/>
        </w:rPr>
        <w:t xml:space="preserve"> N</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bacteraemia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daily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activities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w:t>
      </w:r>
      <w:proofErr w:type="spellStart"/>
      <w:r w:rsidRPr="00520861">
        <w:rPr>
          <w:rFonts w:eastAsiaTheme="minorHAnsi"/>
          <w:sz w:val="28"/>
          <w:szCs w:val="28"/>
          <w:lang w:eastAsia="en-US"/>
        </w:rPr>
        <w:t>meta-analysis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Clinical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Periodontology</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2012</w:t>
      </w:r>
      <w:r w:rsidRPr="00520861">
        <w:rPr>
          <w:rFonts w:eastAsiaTheme="minorHAnsi"/>
          <w:sz w:val="28"/>
          <w:szCs w:val="28"/>
          <w:lang w:val="en-US" w:eastAsia="en-US"/>
        </w:rPr>
        <w:t>;</w:t>
      </w:r>
      <w:r w:rsidRPr="00520861">
        <w:rPr>
          <w:rFonts w:eastAsiaTheme="minorHAnsi"/>
          <w:sz w:val="28"/>
          <w:szCs w:val="28"/>
          <w:lang w:eastAsia="en-US"/>
        </w:rPr>
        <w:t>39(3):</w:t>
      </w:r>
      <w:r w:rsidRPr="00520861">
        <w:rPr>
          <w:rFonts w:eastAsiaTheme="minorHAnsi"/>
          <w:sz w:val="28"/>
          <w:szCs w:val="28"/>
          <w:lang w:val="en-US" w:eastAsia="en-US"/>
        </w:rPr>
        <w:t xml:space="preserve"> </w:t>
      </w:r>
      <w:r w:rsidRPr="00520861">
        <w:rPr>
          <w:rFonts w:eastAsiaTheme="minorHAnsi"/>
          <w:sz w:val="28"/>
          <w:szCs w:val="28"/>
          <w:lang w:eastAsia="en-US"/>
        </w:rPr>
        <w:t xml:space="preserve">213–228.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10.1111/j.1600-051X.2011.01784.x.</w:t>
      </w:r>
    </w:p>
    <w:p w14:paraId="28F41EA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val="en-US" w:eastAsia="en-US"/>
        </w:rPr>
        <w:t>Tomina</w:t>
      </w:r>
      <w:proofErr w:type="spellEnd"/>
      <w:r w:rsidRPr="00520861">
        <w:rPr>
          <w:rFonts w:eastAsiaTheme="minorHAnsi"/>
          <w:sz w:val="28"/>
          <w:szCs w:val="28"/>
          <w:lang w:val="en-US" w:eastAsia="en-US"/>
        </w:rPr>
        <w:t xml:space="preserve"> D, Roman A, Condor D, Dinu C, </w:t>
      </w:r>
      <w:proofErr w:type="spellStart"/>
      <w:r w:rsidRPr="00520861">
        <w:rPr>
          <w:rFonts w:eastAsiaTheme="minorHAnsi"/>
          <w:sz w:val="28"/>
          <w:szCs w:val="28"/>
          <w:lang w:val="en-US" w:eastAsia="en-US"/>
        </w:rPr>
        <w:t>PetruŢiu</w:t>
      </w:r>
      <w:proofErr w:type="spellEnd"/>
      <w:r w:rsidRPr="00520861">
        <w:rPr>
          <w:rFonts w:eastAsiaTheme="minorHAnsi"/>
          <w:sz w:val="28"/>
          <w:szCs w:val="28"/>
          <w:lang w:val="en-US" w:eastAsia="en-US"/>
        </w:rPr>
        <w:t xml:space="preserve"> Ş. Experimental rat model – is it still used? – Review article. </w:t>
      </w:r>
      <w:r w:rsidRPr="00520861">
        <w:rPr>
          <w:rFonts w:eastAsiaTheme="minorHAnsi"/>
          <w:i/>
          <w:sz w:val="28"/>
          <w:szCs w:val="28"/>
          <w:lang w:val="en-US" w:eastAsia="en-US"/>
        </w:rPr>
        <w:t>Human and Veterinary Medicine</w:t>
      </w:r>
      <w:r w:rsidRPr="00520861">
        <w:rPr>
          <w:rFonts w:eastAsiaTheme="minorHAnsi"/>
          <w:sz w:val="28"/>
          <w:szCs w:val="28"/>
          <w:lang w:val="en-US" w:eastAsia="en-US"/>
        </w:rPr>
        <w:t>. 2017;9(4): 130–136.</w:t>
      </w:r>
    </w:p>
    <w:p w14:paraId="38491C6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Tricarico</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Molteni</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Mattioli</w:t>
      </w:r>
      <w:proofErr w:type="spellEnd"/>
      <w:r w:rsidRPr="00520861">
        <w:rPr>
          <w:rFonts w:eastAsiaTheme="minorHAnsi"/>
          <w:sz w:val="28"/>
          <w:szCs w:val="28"/>
          <w:lang w:eastAsia="en-US"/>
        </w:rPr>
        <w:t xml:space="preserve"> F, </w:t>
      </w:r>
      <w:proofErr w:type="spellStart"/>
      <w:r w:rsidRPr="00520861">
        <w:rPr>
          <w:rFonts w:eastAsiaTheme="minorHAnsi"/>
          <w:sz w:val="28"/>
          <w:szCs w:val="28"/>
          <w:lang w:eastAsia="en-US"/>
        </w:rPr>
        <w:t>Guerra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Mordini</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Presutti</w:t>
      </w:r>
      <w:proofErr w:type="spellEnd"/>
      <w:r w:rsidRPr="00520861">
        <w:rPr>
          <w:rFonts w:eastAsiaTheme="minorHAnsi"/>
          <w:sz w:val="28"/>
          <w:szCs w:val="28"/>
          <w:lang w:eastAsia="en-US"/>
        </w:rPr>
        <w:t xml:space="preserve"> L, </w:t>
      </w:r>
      <w:r w:rsidRPr="00520861">
        <w:rPr>
          <w:rFonts w:eastAsiaTheme="minorHAnsi"/>
          <w:sz w:val="28"/>
          <w:szCs w:val="28"/>
          <w:lang w:val="en-US" w:eastAsia="en-US"/>
        </w:rPr>
        <w:t>et al.</w:t>
      </w:r>
      <w:r w:rsidRPr="00520861">
        <w:rPr>
          <w:rFonts w:eastAsiaTheme="minorHAnsi"/>
          <w:sz w:val="28"/>
          <w:szCs w:val="28"/>
          <w:lang w:eastAsia="en-US"/>
        </w:rPr>
        <w:t xml:space="preserve"> </w:t>
      </w:r>
      <w:proofErr w:type="spellStart"/>
      <w:r w:rsidRPr="00520861">
        <w:rPr>
          <w:rFonts w:eastAsiaTheme="minorHAnsi"/>
          <w:sz w:val="28"/>
          <w:szCs w:val="28"/>
          <w:lang w:eastAsia="en-US"/>
        </w:rPr>
        <w:t>Nipple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trauma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Bednar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aphthae</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Otolaryngol</w:t>
      </w:r>
      <w:proofErr w:type="spellEnd"/>
      <w:r w:rsidRPr="00520861">
        <w:rPr>
          <w:rFonts w:eastAsiaTheme="minorHAnsi"/>
          <w:sz w:val="28"/>
          <w:szCs w:val="28"/>
          <w:lang w:eastAsia="en-US"/>
        </w:rPr>
        <w:t>. 2012;33(6):</w:t>
      </w:r>
      <w:r w:rsidRPr="00520861">
        <w:rPr>
          <w:rFonts w:eastAsiaTheme="minorHAnsi"/>
          <w:sz w:val="28"/>
          <w:szCs w:val="28"/>
          <w:lang w:val="en-US" w:eastAsia="en-US"/>
        </w:rPr>
        <w:t xml:space="preserve"> </w:t>
      </w:r>
      <w:r w:rsidRPr="00520861">
        <w:rPr>
          <w:rFonts w:eastAsiaTheme="minorHAnsi"/>
          <w:sz w:val="28"/>
          <w:szCs w:val="28"/>
          <w:lang w:eastAsia="en-US"/>
        </w:rPr>
        <w:t>756–</w:t>
      </w:r>
      <w:r w:rsidRPr="00520861">
        <w:rPr>
          <w:rFonts w:eastAsiaTheme="minorHAnsi"/>
          <w:sz w:val="28"/>
          <w:szCs w:val="28"/>
          <w:lang w:val="en-US" w:eastAsia="en-US"/>
        </w:rPr>
        <w:t>75</w:t>
      </w:r>
      <w:r w:rsidRPr="00520861">
        <w:rPr>
          <w:rFonts w:eastAsiaTheme="minorHAnsi"/>
          <w:sz w:val="28"/>
          <w:szCs w:val="28"/>
          <w:lang w:eastAsia="en-US"/>
        </w:rPr>
        <w:t>7.</w:t>
      </w:r>
    </w:p>
    <w:p w14:paraId="67D266B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Tsai</w:t>
      </w:r>
      <w:proofErr w:type="spellEnd"/>
      <w:r w:rsidRPr="00520861">
        <w:rPr>
          <w:rFonts w:eastAsiaTheme="minorHAnsi"/>
          <w:sz w:val="28"/>
          <w:szCs w:val="28"/>
          <w:lang w:eastAsia="en-US"/>
        </w:rPr>
        <w:t xml:space="preserve"> HH, </w:t>
      </w:r>
      <w:proofErr w:type="spellStart"/>
      <w:r w:rsidRPr="00520861">
        <w:rPr>
          <w:rFonts w:eastAsiaTheme="minorHAnsi"/>
          <w:sz w:val="28"/>
          <w:szCs w:val="28"/>
          <w:lang w:eastAsia="en-US"/>
        </w:rPr>
        <w:t>Tan</w:t>
      </w:r>
      <w:proofErr w:type="spellEnd"/>
      <w:r w:rsidRPr="00520861">
        <w:rPr>
          <w:rFonts w:eastAsiaTheme="minorHAnsi"/>
          <w:sz w:val="28"/>
          <w:szCs w:val="28"/>
          <w:lang w:eastAsia="en-US"/>
        </w:rPr>
        <w:t xml:space="preserve"> CT. </w:t>
      </w:r>
      <w:proofErr w:type="spellStart"/>
      <w:r w:rsidRPr="00520861">
        <w:rPr>
          <w:rFonts w:eastAsiaTheme="minorHAnsi"/>
          <w:sz w:val="28"/>
          <w:szCs w:val="28"/>
          <w:lang w:eastAsia="en-US"/>
        </w:rPr>
        <w:t>Morphology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Palatal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Vault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Primary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Transverse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View</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Angle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Orthodontist</w:t>
      </w:r>
      <w:proofErr w:type="spellEnd"/>
      <w:r w:rsidRPr="00520861">
        <w:rPr>
          <w:rFonts w:eastAsiaTheme="minorHAnsi"/>
          <w:sz w:val="28"/>
          <w:szCs w:val="28"/>
          <w:lang w:eastAsia="en-US"/>
        </w:rPr>
        <w:t>. 2004;74(6):</w:t>
      </w:r>
      <w:r w:rsidRPr="00520861">
        <w:rPr>
          <w:rFonts w:eastAsiaTheme="minorHAnsi"/>
          <w:sz w:val="28"/>
          <w:szCs w:val="28"/>
          <w:lang w:val="en-US" w:eastAsia="en-US"/>
        </w:rPr>
        <w:t xml:space="preserve"> </w:t>
      </w:r>
      <w:r w:rsidRPr="00520861">
        <w:rPr>
          <w:rFonts w:eastAsiaTheme="minorHAnsi"/>
          <w:sz w:val="28"/>
          <w:szCs w:val="28"/>
          <w:lang w:eastAsia="en-US"/>
        </w:rPr>
        <w:t>774–</w:t>
      </w:r>
      <w:r w:rsidRPr="00520861">
        <w:rPr>
          <w:rFonts w:eastAsiaTheme="minorHAnsi"/>
          <w:sz w:val="28"/>
          <w:szCs w:val="28"/>
          <w:lang w:val="en-US" w:eastAsia="en-US"/>
        </w:rPr>
        <w:t>77</w:t>
      </w:r>
      <w:r w:rsidRPr="00520861">
        <w:rPr>
          <w:rFonts w:eastAsiaTheme="minorHAnsi"/>
          <w:sz w:val="28"/>
          <w:szCs w:val="28"/>
          <w:lang w:eastAsia="en-US"/>
        </w:rPr>
        <w:t>9.</w:t>
      </w:r>
    </w:p>
    <w:p w14:paraId="0DBA69A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Un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Lam</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Hsu</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Yee</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Koh</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Lee</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Chong</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metabolic-linked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life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first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primary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Investig</w:t>
      </w:r>
      <w:proofErr w:type="spellEnd"/>
      <w:r w:rsidRPr="00520861">
        <w:rPr>
          <w:rFonts w:eastAsiaTheme="minorHAnsi"/>
          <w:sz w:val="28"/>
          <w:szCs w:val="28"/>
          <w:lang w:eastAsia="en-US"/>
        </w:rPr>
        <w:t>. 201</w:t>
      </w:r>
      <w:r w:rsidRPr="00520861">
        <w:rPr>
          <w:rFonts w:eastAsiaTheme="minorHAnsi"/>
          <w:sz w:val="28"/>
          <w:szCs w:val="28"/>
          <w:lang w:val="en-US" w:eastAsia="en-US"/>
        </w:rPr>
        <w:t>6</w:t>
      </w:r>
      <w:r w:rsidRPr="00520861">
        <w:rPr>
          <w:rFonts w:eastAsiaTheme="minorHAnsi"/>
          <w:sz w:val="28"/>
          <w:szCs w:val="28"/>
          <w:lang w:eastAsia="en-US"/>
        </w:rPr>
        <w:t>; 20(8)</w:t>
      </w:r>
      <w:r w:rsidRPr="00520861">
        <w:rPr>
          <w:rFonts w:eastAsiaTheme="minorHAnsi"/>
          <w:sz w:val="28"/>
          <w:szCs w:val="28"/>
          <w:lang w:val="en-US" w:eastAsia="en-US"/>
        </w:rPr>
        <w:t>:</w:t>
      </w:r>
      <w:r w:rsidRPr="00520861">
        <w:rPr>
          <w:rFonts w:eastAsiaTheme="minorHAnsi"/>
          <w:sz w:val="28"/>
          <w:szCs w:val="28"/>
          <w:lang w:eastAsia="en-US"/>
        </w:rPr>
        <w:t xml:space="preserve"> 1871–1879.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10.1007/s00784-015-1670-6.</w:t>
      </w:r>
    </w:p>
    <w:p w14:paraId="4373B48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Unceta-Barrenechea</w:t>
      </w:r>
      <w:proofErr w:type="spellEnd"/>
      <w:r w:rsidRPr="00520861">
        <w:rPr>
          <w:rFonts w:eastAsiaTheme="minorHAnsi"/>
          <w:sz w:val="28"/>
          <w:szCs w:val="28"/>
          <w:lang w:eastAsia="en-US"/>
        </w:rPr>
        <w:t xml:space="preserve"> AA, </w:t>
      </w:r>
      <w:proofErr w:type="spellStart"/>
      <w:r w:rsidRPr="00520861">
        <w:rPr>
          <w:rFonts w:eastAsiaTheme="minorHAnsi"/>
          <w:sz w:val="28"/>
          <w:szCs w:val="28"/>
          <w:lang w:eastAsia="en-US"/>
        </w:rPr>
        <w:t>Conde</w:t>
      </w:r>
      <w:proofErr w:type="spellEnd"/>
      <w:r w:rsidRPr="00520861">
        <w:rPr>
          <w:rFonts w:eastAsiaTheme="minorHAnsi"/>
          <w:sz w:val="28"/>
          <w:szCs w:val="28"/>
          <w:lang w:eastAsia="en-US"/>
        </w:rPr>
        <w:t xml:space="preserve"> AA, </w:t>
      </w:r>
      <w:proofErr w:type="spellStart"/>
      <w:r w:rsidRPr="00520861">
        <w:rPr>
          <w:rFonts w:eastAsiaTheme="minorHAnsi"/>
          <w:sz w:val="28"/>
          <w:szCs w:val="28"/>
          <w:lang w:eastAsia="en-US"/>
        </w:rPr>
        <w:t>Legórburu</w:t>
      </w:r>
      <w:proofErr w:type="spellEnd"/>
      <w:r w:rsidRPr="00520861">
        <w:rPr>
          <w:rFonts w:eastAsiaTheme="minorHAnsi"/>
          <w:sz w:val="28"/>
          <w:szCs w:val="28"/>
          <w:lang w:eastAsia="en-US"/>
        </w:rPr>
        <w:t xml:space="preserve"> AP, </w:t>
      </w:r>
      <w:proofErr w:type="spellStart"/>
      <w:r w:rsidRPr="00520861">
        <w:rPr>
          <w:rFonts w:eastAsiaTheme="minorHAnsi"/>
          <w:sz w:val="28"/>
          <w:szCs w:val="28"/>
          <w:lang w:eastAsia="en-US"/>
        </w:rPr>
        <w:t>Urcelay</w:t>
      </w:r>
      <w:proofErr w:type="spellEnd"/>
      <w:r w:rsidRPr="00520861">
        <w:rPr>
          <w:rFonts w:eastAsiaTheme="minorHAnsi"/>
          <w:sz w:val="28"/>
          <w:szCs w:val="28"/>
          <w:lang w:eastAsia="en-US"/>
        </w:rPr>
        <w:t xml:space="preserve"> IE. </w:t>
      </w:r>
      <w:proofErr w:type="spellStart"/>
      <w:r w:rsidRPr="00520861">
        <w:rPr>
          <w:rFonts w:eastAsiaTheme="minorHAnsi"/>
          <w:sz w:val="28"/>
          <w:szCs w:val="28"/>
          <w:lang w:eastAsia="en-US"/>
        </w:rPr>
        <w:t>Recién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nacido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peso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elevado</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Protocolos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Diagnóstico</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Terapeúticos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la</w:t>
      </w:r>
      <w:proofErr w:type="spellEnd"/>
      <w:r w:rsidRPr="00520861">
        <w:rPr>
          <w:rFonts w:eastAsiaTheme="minorHAnsi"/>
          <w:i/>
          <w:sz w:val="28"/>
          <w:szCs w:val="28"/>
          <w:lang w:eastAsia="en-US"/>
        </w:rPr>
        <w:t xml:space="preserve"> AEP: </w:t>
      </w:r>
      <w:proofErr w:type="spellStart"/>
      <w:r w:rsidRPr="00520861">
        <w:rPr>
          <w:rFonts w:eastAsiaTheme="minorHAnsi"/>
          <w:i/>
          <w:sz w:val="28"/>
          <w:szCs w:val="28"/>
          <w:lang w:eastAsia="en-US"/>
        </w:rPr>
        <w:t>Neonatología</w:t>
      </w:r>
      <w:proofErr w:type="spellEnd"/>
      <w:r w:rsidRPr="00520861">
        <w:rPr>
          <w:rFonts w:eastAsiaTheme="minorHAnsi"/>
          <w:sz w:val="28"/>
          <w:szCs w:val="28"/>
          <w:lang w:eastAsia="en-US"/>
        </w:rPr>
        <w:t xml:space="preserve">. 2008; </w:t>
      </w:r>
      <w:r w:rsidR="00D9196F" w:rsidRPr="00520861">
        <w:rPr>
          <w:rFonts w:eastAsiaTheme="minorHAnsi"/>
          <w:sz w:val="28"/>
          <w:szCs w:val="28"/>
          <w:lang w:eastAsia="en-US"/>
        </w:rPr>
        <w:br/>
      </w:r>
      <w:r w:rsidRPr="00520861">
        <w:rPr>
          <w:rFonts w:eastAsiaTheme="minorHAnsi"/>
          <w:sz w:val="28"/>
          <w:szCs w:val="28"/>
          <w:lang w:eastAsia="en-US"/>
        </w:rPr>
        <w:t>85–90.</w:t>
      </w:r>
    </w:p>
    <w:p w14:paraId="48E0C9B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Vahedi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Davoodi</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Goodarzi</w:t>
      </w:r>
      <w:proofErr w:type="spellEnd"/>
      <w:r w:rsidRPr="00520861">
        <w:rPr>
          <w:rFonts w:eastAsiaTheme="minorHAnsi"/>
          <w:sz w:val="28"/>
          <w:szCs w:val="28"/>
          <w:lang w:eastAsia="en-US"/>
        </w:rPr>
        <w:t xml:space="preserve"> MT, </w:t>
      </w:r>
      <w:proofErr w:type="spellStart"/>
      <w:r w:rsidRPr="00520861">
        <w:rPr>
          <w:rFonts w:eastAsiaTheme="minorHAnsi"/>
          <w:sz w:val="28"/>
          <w:szCs w:val="28"/>
          <w:lang w:eastAsia="en-US"/>
        </w:rPr>
        <w:t>Rezaei-Soufi</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Jazaeri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Mortazavi</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Comparison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activity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product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hydroxyapatite</w:t>
      </w:r>
      <w:proofErr w:type="spellEnd"/>
      <w:r w:rsidRPr="00520861">
        <w:rPr>
          <w:rFonts w:eastAsiaTheme="minorHAnsi"/>
          <w:sz w:val="28"/>
          <w:szCs w:val="28"/>
          <w:lang w:eastAsia="en-US"/>
        </w:rPr>
        <w:t xml:space="preserve"> (IPHA), </w:t>
      </w:r>
      <w:proofErr w:type="spellStart"/>
      <w:r w:rsidRPr="00520861">
        <w:rPr>
          <w:rFonts w:eastAsiaTheme="minorHAnsi"/>
          <w:sz w:val="28"/>
          <w:szCs w:val="28"/>
          <w:lang w:eastAsia="en-US"/>
        </w:rPr>
        <w:t>alkaline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phosphatase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buffering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capacity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adults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according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severity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Shiraz</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Univ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Scien</w:t>
      </w:r>
      <w:proofErr w:type="spellEnd"/>
      <w:r w:rsidRPr="00520861">
        <w:rPr>
          <w:rFonts w:eastAsiaTheme="minorHAnsi"/>
          <w:sz w:val="28"/>
          <w:szCs w:val="28"/>
          <w:lang w:eastAsia="en-US"/>
        </w:rPr>
        <w:t>. 2012;13(4):</w:t>
      </w:r>
      <w:r w:rsidRPr="00520861">
        <w:rPr>
          <w:rFonts w:eastAsiaTheme="minorHAnsi"/>
          <w:sz w:val="28"/>
          <w:szCs w:val="28"/>
          <w:lang w:val="en-US" w:eastAsia="en-US"/>
        </w:rPr>
        <w:t xml:space="preserve"> </w:t>
      </w:r>
      <w:r w:rsidRPr="00520861">
        <w:rPr>
          <w:rFonts w:eastAsiaTheme="minorHAnsi"/>
          <w:sz w:val="28"/>
          <w:szCs w:val="28"/>
          <w:lang w:eastAsia="en-US"/>
        </w:rPr>
        <w:t>139–</w:t>
      </w:r>
      <w:r w:rsidRPr="00520861">
        <w:rPr>
          <w:rFonts w:eastAsiaTheme="minorHAnsi"/>
          <w:sz w:val="28"/>
          <w:szCs w:val="28"/>
          <w:lang w:val="en-US" w:eastAsia="en-US"/>
        </w:rPr>
        <w:t>1</w:t>
      </w:r>
      <w:r w:rsidRPr="00520861">
        <w:rPr>
          <w:rFonts w:eastAsiaTheme="minorHAnsi"/>
          <w:sz w:val="28"/>
          <w:szCs w:val="28"/>
          <w:lang w:eastAsia="en-US"/>
        </w:rPr>
        <w:t>45.</w:t>
      </w:r>
    </w:p>
    <w:p w14:paraId="72A6B62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Vanduine</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Ridley</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Bashutski</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Snyder</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Powell</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Taichman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Gingival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bleeding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hygiene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Willebrand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(VWD): a </w:t>
      </w:r>
      <w:proofErr w:type="spellStart"/>
      <w:r w:rsidRPr="00520861">
        <w:rPr>
          <w:rFonts w:eastAsiaTheme="minorHAnsi"/>
          <w:sz w:val="28"/>
          <w:szCs w:val="28"/>
          <w:lang w:eastAsia="en-US"/>
        </w:rPr>
        <w:t>pilot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Haem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Pract</w:t>
      </w:r>
      <w:proofErr w:type="spellEnd"/>
      <w:r w:rsidRPr="00520861">
        <w:rPr>
          <w:rFonts w:eastAsiaTheme="minorHAnsi"/>
          <w:sz w:val="28"/>
          <w:szCs w:val="28"/>
          <w:lang w:eastAsia="en-US"/>
        </w:rPr>
        <w:t>. 2017;4:</w:t>
      </w:r>
      <w:r w:rsidRPr="00520861">
        <w:rPr>
          <w:rFonts w:eastAsiaTheme="minorHAnsi"/>
          <w:sz w:val="28"/>
          <w:szCs w:val="28"/>
          <w:lang w:val="en-US" w:eastAsia="en-US"/>
        </w:rPr>
        <w:t xml:space="preserve"> </w:t>
      </w:r>
      <w:r w:rsidRPr="00520861">
        <w:rPr>
          <w:rFonts w:eastAsiaTheme="minorHAnsi"/>
          <w:sz w:val="28"/>
          <w:szCs w:val="28"/>
          <w:lang w:eastAsia="en-US"/>
        </w:rPr>
        <w:t>49–57.</w:t>
      </w:r>
    </w:p>
    <w:p w14:paraId="00A63BF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Varley</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Hughes</w:t>
      </w:r>
      <w:proofErr w:type="spellEnd"/>
      <w:r w:rsidRPr="00520861">
        <w:rPr>
          <w:rFonts w:eastAsiaTheme="minorHAnsi"/>
          <w:sz w:val="28"/>
          <w:szCs w:val="28"/>
          <w:lang w:eastAsia="en-US"/>
        </w:rPr>
        <w:t xml:space="preserve"> DC, </w:t>
      </w:r>
      <w:proofErr w:type="spellStart"/>
      <w:r w:rsidRPr="00520861">
        <w:rPr>
          <w:rFonts w:eastAsiaTheme="minorHAnsi"/>
          <w:sz w:val="28"/>
          <w:szCs w:val="28"/>
          <w:lang w:eastAsia="en-US"/>
        </w:rPr>
        <w:t>Greeves</w:t>
      </w:r>
      <w:proofErr w:type="spellEnd"/>
      <w:r w:rsidRPr="00520861">
        <w:rPr>
          <w:rFonts w:eastAsiaTheme="minorHAnsi"/>
          <w:sz w:val="28"/>
          <w:szCs w:val="28"/>
          <w:lang w:eastAsia="en-US"/>
        </w:rPr>
        <w:t xml:space="preserve"> JP, </w:t>
      </w:r>
      <w:proofErr w:type="spellStart"/>
      <w:r w:rsidRPr="00520861">
        <w:rPr>
          <w:rFonts w:eastAsiaTheme="minorHAnsi"/>
          <w:sz w:val="28"/>
          <w:szCs w:val="28"/>
          <w:lang w:eastAsia="en-US"/>
        </w:rPr>
        <w:t>Fraser</w:t>
      </w:r>
      <w:proofErr w:type="spellEnd"/>
      <w:r w:rsidRPr="00520861">
        <w:rPr>
          <w:rFonts w:eastAsiaTheme="minorHAnsi"/>
          <w:sz w:val="28"/>
          <w:szCs w:val="28"/>
          <w:lang w:eastAsia="en-US"/>
        </w:rPr>
        <w:t xml:space="preserve"> WD, </w:t>
      </w:r>
      <w:proofErr w:type="spellStart"/>
      <w:r w:rsidRPr="00520861">
        <w:rPr>
          <w:rFonts w:eastAsiaTheme="minorHAnsi"/>
          <w:sz w:val="28"/>
          <w:szCs w:val="28"/>
          <w:lang w:eastAsia="en-US"/>
        </w:rPr>
        <w:t>Sale</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SNPs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vicinity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P2X7R, RANK/RANKL/OPG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signalling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pathways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their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phenotypes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academy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footballers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Bone</w:t>
      </w:r>
      <w:proofErr w:type="spellEnd"/>
      <w:r w:rsidRPr="00520861">
        <w:rPr>
          <w:rFonts w:eastAsiaTheme="minorHAnsi"/>
          <w:sz w:val="28"/>
          <w:szCs w:val="28"/>
          <w:lang w:eastAsia="en-US"/>
        </w:rPr>
        <w:t>. 2018;108:</w:t>
      </w:r>
      <w:r w:rsidRPr="00520861">
        <w:rPr>
          <w:rFonts w:eastAsiaTheme="minorHAnsi"/>
          <w:sz w:val="28"/>
          <w:szCs w:val="28"/>
          <w:lang w:val="en-US" w:eastAsia="en-US"/>
        </w:rPr>
        <w:t xml:space="preserve"> </w:t>
      </w:r>
      <w:r w:rsidRPr="00520861">
        <w:rPr>
          <w:rFonts w:eastAsiaTheme="minorHAnsi"/>
          <w:sz w:val="28"/>
          <w:szCs w:val="28"/>
          <w:lang w:eastAsia="en-US"/>
        </w:rPr>
        <w:t xml:space="preserve">179–185.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10.1016/j.bone.2018.01.007.</w:t>
      </w:r>
    </w:p>
    <w:p w14:paraId="0456AE0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Velegrakis</w:t>
      </w:r>
      <w:proofErr w:type="spellEnd"/>
      <w:r w:rsidRPr="00520861">
        <w:rPr>
          <w:rFonts w:eastAsiaTheme="minorHAnsi"/>
          <w:sz w:val="28"/>
          <w:szCs w:val="28"/>
          <w:lang w:val="en-US" w:eastAsia="en-US"/>
        </w:rPr>
        <w:t xml:space="preserve"> A</w:t>
      </w:r>
      <w:r w:rsidRPr="00520861">
        <w:rPr>
          <w:rFonts w:eastAsiaTheme="minorHAnsi"/>
          <w:sz w:val="28"/>
          <w:szCs w:val="28"/>
          <w:lang w:eastAsia="en-US"/>
        </w:rPr>
        <w:t xml:space="preserve">, </w:t>
      </w:r>
      <w:proofErr w:type="spellStart"/>
      <w:r w:rsidRPr="00520861">
        <w:rPr>
          <w:rFonts w:eastAsiaTheme="minorHAnsi"/>
          <w:sz w:val="28"/>
          <w:szCs w:val="28"/>
          <w:lang w:eastAsia="en-US"/>
        </w:rPr>
        <w:t>Sfakiotaki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Sifakis</w:t>
      </w:r>
      <w:proofErr w:type="spellEnd"/>
      <w:r w:rsidRPr="00520861">
        <w:rPr>
          <w:rFonts w:eastAsiaTheme="minorHAnsi"/>
          <w:sz w:val="28"/>
          <w:szCs w:val="28"/>
          <w:lang w:eastAsia="en-US"/>
        </w:rPr>
        <w:t xml:space="preserve"> S</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Human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placental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hormone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normal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abnormal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growth</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Biomed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eastAsia="en-US"/>
        </w:rPr>
        <w:t xml:space="preserve">. 2017;7(2): 115–122.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10.3892/br.2017.930</w:t>
      </w:r>
      <w:r w:rsidRPr="00520861">
        <w:rPr>
          <w:rFonts w:eastAsiaTheme="minorHAnsi"/>
          <w:sz w:val="28"/>
          <w:szCs w:val="28"/>
          <w:lang w:val="en-US" w:eastAsia="en-US"/>
        </w:rPr>
        <w:t>.</w:t>
      </w:r>
    </w:p>
    <w:p w14:paraId="0C5EE05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Vieira</w:t>
      </w:r>
      <w:proofErr w:type="spellEnd"/>
      <w:r w:rsidRPr="00520861">
        <w:rPr>
          <w:rFonts w:eastAsiaTheme="minorHAnsi"/>
          <w:sz w:val="28"/>
          <w:szCs w:val="28"/>
          <w:lang w:eastAsia="en-US"/>
        </w:rPr>
        <w:t xml:space="preserve"> MC, </w:t>
      </w:r>
      <w:proofErr w:type="spellStart"/>
      <w:r w:rsidRPr="00520861">
        <w:rPr>
          <w:rFonts w:eastAsiaTheme="minorHAnsi"/>
          <w:sz w:val="28"/>
          <w:szCs w:val="28"/>
          <w:lang w:eastAsia="en-US"/>
        </w:rPr>
        <w:t>Sankaran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Pasupathy</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Obstetrics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Gynaecology</w:t>
      </w:r>
      <w:proofErr w:type="spellEnd"/>
      <w:r w:rsidRPr="00520861">
        <w:rPr>
          <w:rFonts w:eastAsiaTheme="minorHAnsi"/>
          <w:i/>
          <w:sz w:val="28"/>
          <w:szCs w:val="28"/>
          <w:lang w:eastAsia="en-US"/>
        </w:rPr>
        <w:t xml:space="preserve"> &amp; </w:t>
      </w:r>
      <w:proofErr w:type="spellStart"/>
      <w:r w:rsidRPr="00520861">
        <w:rPr>
          <w:rFonts w:eastAsiaTheme="minorHAnsi"/>
          <w:i/>
          <w:sz w:val="28"/>
          <w:szCs w:val="28"/>
          <w:lang w:eastAsia="en-US"/>
        </w:rPr>
        <w:t>Reproductive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Medicine</w:t>
      </w:r>
      <w:proofErr w:type="spellEnd"/>
      <w:r w:rsidRPr="00520861">
        <w:rPr>
          <w:rFonts w:eastAsiaTheme="minorHAnsi"/>
          <w:sz w:val="28"/>
          <w:szCs w:val="28"/>
          <w:lang w:eastAsia="en-US"/>
        </w:rPr>
        <w:t xml:space="preserve">. 2020;30(5): 146–151.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 10.1016/j.ogrm.2020.02.011.</w:t>
      </w:r>
    </w:p>
    <w:p w14:paraId="2ED2405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Villa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Guerrini</w:t>
      </w:r>
      <w:proofErr w:type="spellEnd"/>
      <w:r w:rsidRPr="00520861">
        <w:rPr>
          <w:rFonts w:eastAsiaTheme="minorHAnsi"/>
          <w:sz w:val="28"/>
          <w:szCs w:val="28"/>
          <w:lang w:eastAsia="en-US"/>
        </w:rPr>
        <w:t xml:space="preserve"> MM, </w:t>
      </w:r>
      <w:proofErr w:type="spellStart"/>
      <w:r w:rsidRPr="00520861">
        <w:rPr>
          <w:rFonts w:eastAsiaTheme="minorHAnsi"/>
          <w:sz w:val="28"/>
          <w:szCs w:val="28"/>
          <w:lang w:eastAsia="en-US"/>
        </w:rPr>
        <w:t>Cassani</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Pangrazio</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Sobacchi</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Infantile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malignant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autosomal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recessive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osteopetrosis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rich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poor</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Calcif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Tissue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sz w:val="28"/>
          <w:szCs w:val="28"/>
          <w:lang w:eastAsia="en-US"/>
        </w:rPr>
        <w:t>. 2009;84(1):</w:t>
      </w:r>
      <w:r w:rsidRPr="00520861">
        <w:rPr>
          <w:rFonts w:eastAsiaTheme="minorHAnsi"/>
          <w:sz w:val="28"/>
          <w:szCs w:val="28"/>
          <w:lang w:val="en-US" w:eastAsia="en-US"/>
        </w:rPr>
        <w:t xml:space="preserve"> </w:t>
      </w:r>
      <w:r w:rsidRPr="00520861">
        <w:rPr>
          <w:rFonts w:eastAsiaTheme="minorHAnsi"/>
          <w:sz w:val="28"/>
          <w:szCs w:val="28"/>
          <w:lang w:eastAsia="en-US"/>
        </w:rPr>
        <w:t xml:space="preserve">1–12.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10.1007/s00223-008-9196-4</w:t>
      </w:r>
      <w:r w:rsidRPr="00520861">
        <w:rPr>
          <w:rFonts w:eastAsiaTheme="minorHAnsi"/>
          <w:sz w:val="28"/>
          <w:szCs w:val="28"/>
          <w:lang w:val="en-US" w:eastAsia="en-US"/>
        </w:rPr>
        <w:t>.</w:t>
      </w:r>
    </w:p>
    <w:p w14:paraId="52FBEB8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Vinturache</w:t>
      </w:r>
      <w:proofErr w:type="spellEnd"/>
      <w:r w:rsidRPr="00520861">
        <w:rPr>
          <w:rFonts w:eastAsiaTheme="minorHAnsi"/>
          <w:sz w:val="28"/>
          <w:szCs w:val="28"/>
          <w:lang w:eastAsia="en-US"/>
        </w:rPr>
        <w:t xml:space="preserve"> AE, </w:t>
      </w:r>
      <w:proofErr w:type="spellStart"/>
      <w:r w:rsidRPr="00520861">
        <w:rPr>
          <w:rFonts w:eastAsiaTheme="minorHAnsi"/>
          <w:sz w:val="28"/>
          <w:szCs w:val="28"/>
          <w:lang w:eastAsia="en-US"/>
        </w:rPr>
        <w:t>Chaput</w:t>
      </w:r>
      <w:proofErr w:type="spellEnd"/>
      <w:r w:rsidRPr="00520861">
        <w:rPr>
          <w:rFonts w:eastAsiaTheme="minorHAnsi"/>
          <w:sz w:val="28"/>
          <w:szCs w:val="28"/>
          <w:lang w:eastAsia="en-US"/>
        </w:rPr>
        <w:t xml:space="preserve"> KH, </w:t>
      </w:r>
      <w:proofErr w:type="spellStart"/>
      <w:r w:rsidRPr="00520861">
        <w:rPr>
          <w:rFonts w:eastAsiaTheme="minorHAnsi"/>
          <w:sz w:val="28"/>
          <w:szCs w:val="28"/>
          <w:lang w:eastAsia="en-US"/>
        </w:rPr>
        <w:t>Tough</w:t>
      </w:r>
      <w:proofErr w:type="spellEnd"/>
      <w:r w:rsidRPr="00520861">
        <w:rPr>
          <w:rFonts w:eastAsiaTheme="minorHAnsi"/>
          <w:sz w:val="28"/>
          <w:szCs w:val="28"/>
          <w:lang w:eastAsia="en-US"/>
        </w:rPr>
        <w:t xml:space="preserve"> SC. </w:t>
      </w:r>
      <w:proofErr w:type="spellStart"/>
      <w:r w:rsidRPr="00520861">
        <w:rPr>
          <w:rFonts w:eastAsiaTheme="minorHAnsi"/>
          <w:sz w:val="28"/>
          <w:szCs w:val="28"/>
          <w:lang w:eastAsia="en-US"/>
        </w:rPr>
        <w:t>Pre-pregnancy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index</w:t>
      </w:r>
      <w:proofErr w:type="spellEnd"/>
      <w:r w:rsidRPr="00520861">
        <w:rPr>
          <w:rFonts w:eastAsiaTheme="minorHAnsi"/>
          <w:sz w:val="28"/>
          <w:szCs w:val="28"/>
          <w:lang w:eastAsia="en-US"/>
        </w:rPr>
        <w:t xml:space="preserve"> (BMI)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Canadian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cohort</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Matern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Fetal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Neonatal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eastAsia="en-US"/>
        </w:rPr>
        <w:t>. 2017;30(1):</w:t>
      </w:r>
      <w:r w:rsidRPr="00520861">
        <w:rPr>
          <w:rFonts w:eastAsiaTheme="minorHAnsi"/>
          <w:sz w:val="28"/>
          <w:szCs w:val="28"/>
          <w:lang w:val="en-US" w:eastAsia="en-US"/>
        </w:rPr>
        <w:t xml:space="preserve"> </w:t>
      </w:r>
      <w:r w:rsidRPr="00520861">
        <w:rPr>
          <w:rFonts w:eastAsiaTheme="minorHAnsi"/>
          <w:sz w:val="28"/>
          <w:szCs w:val="28"/>
          <w:lang w:eastAsia="en-US"/>
        </w:rPr>
        <w:t xml:space="preserve">109–116.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 xml:space="preserve">10.3109/14767058.2016.1163679. </w:t>
      </w:r>
    </w:p>
    <w:p w14:paraId="2588ACB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Vucic</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Korevaar</w:t>
      </w:r>
      <w:proofErr w:type="spellEnd"/>
      <w:r w:rsidRPr="00520861">
        <w:rPr>
          <w:rFonts w:eastAsiaTheme="minorHAnsi"/>
          <w:sz w:val="28"/>
          <w:szCs w:val="28"/>
          <w:lang w:eastAsia="en-US"/>
        </w:rPr>
        <w:t xml:space="preserve"> TIM, </w:t>
      </w:r>
      <w:proofErr w:type="spellStart"/>
      <w:r w:rsidRPr="00520861">
        <w:rPr>
          <w:rFonts w:eastAsiaTheme="minorHAnsi"/>
          <w:sz w:val="28"/>
          <w:szCs w:val="28"/>
          <w:lang w:eastAsia="en-US"/>
        </w:rPr>
        <w:t>Dhamo</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Jaddoe</w:t>
      </w:r>
      <w:proofErr w:type="spellEnd"/>
      <w:r w:rsidRPr="00520861">
        <w:rPr>
          <w:rFonts w:eastAsiaTheme="minorHAnsi"/>
          <w:sz w:val="28"/>
          <w:szCs w:val="28"/>
          <w:lang w:eastAsia="en-US"/>
        </w:rPr>
        <w:t xml:space="preserve"> VWV, </w:t>
      </w:r>
      <w:proofErr w:type="spellStart"/>
      <w:r w:rsidRPr="00520861">
        <w:rPr>
          <w:rFonts w:eastAsiaTheme="minorHAnsi"/>
          <w:sz w:val="28"/>
          <w:szCs w:val="28"/>
          <w:lang w:eastAsia="en-US"/>
        </w:rPr>
        <w:t>Peeters</w:t>
      </w:r>
      <w:proofErr w:type="spellEnd"/>
      <w:r w:rsidRPr="00520861">
        <w:rPr>
          <w:rFonts w:eastAsiaTheme="minorHAnsi"/>
          <w:sz w:val="28"/>
          <w:szCs w:val="28"/>
          <w:lang w:eastAsia="en-US"/>
        </w:rPr>
        <w:t xml:space="preserve"> RP, </w:t>
      </w:r>
      <w:proofErr w:type="spellStart"/>
      <w:r w:rsidRPr="00520861">
        <w:rPr>
          <w:rFonts w:eastAsiaTheme="minorHAnsi"/>
          <w:sz w:val="28"/>
          <w:szCs w:val="28"/>
          <w:lang w:eastAsia="en-US"/>
        </w:rPr>
        <w:t>Wolvius</w:t>
      </w:r>
      <w:proofErr w:type="spellEnd"/>
      <w:r w:rsidRPr="00520861">
        <w:rPr>
          <w:rFonts w:eastAsiaTheme="minorHAnsi"/>
          <w:sz w:val="28"/>
          <w:szCs w:val="28"/>
          <w:lang w:eastAsia="en-US"/>
        </w:rPr>
        <w:t xml:space="preserve"> EB,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Thyroid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function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life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2017;96(9): 1020–</w:t>
      </w:r>
      <w:r w:rsidRPr="00520861">
        <w:rPr>
          <w:rFonts w:eastAsiaTheme="minorHAnsi"/>
          <w:sz w:val="28"/>
          <w:szCs w:val="28"/>
          <w:lang w:val="en-US" w:eastAsia="en-US"/>
        </w:rPr>
        <w:t>102</w:t>
      </w:r>
      <w:r w:rsidRPr="00520861">
        <w:rPr>
          <w:rFonts w:eastAsiaTheme="minorHAnsi"/>
          <w:sz w:val="28"/>
          <w:szCs w:val="28"/>
          <w:lang w:eastAsia="en-US"/>
        </w:rPr>
        <w:t xml:space="preserve">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10.1177/0022034517708551</w:t>
      </w:r>
      <w:r w:rsidRPr="00520861">
        <w:rPr>
          <w:rFonts w:eastAsiaTheme="minorHAnsi"/>
          <w:sz w:val="28"/>
          <w:szCs w:val="28"/>
          <w:lang w:val="en-US" w:eastAsia="en-US"/>
        </w:rPr>
        <w:t>.</w:t>
      </w:r>
    </w:p>
    <w:p w14:paraId="07567AD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Walsh</w:t>
      </w:r>
      <w:proofErr w:type="spellEnd"/>
      <w:r w:rsidRPr="00520861">
        <w:rPr>
          <w:rFonts w:eastAsiaTheme="minorHAnsi"/>
          <w:sz w:val="28"/>
          <w:szCs w:val="28"/>
          <w:lang w:eastAsia="en-US"/>
        </w:rPr>
        <w:t xml:space="preserve"> JS. </w:t>
      </w:r>
      <w:proofErr w:type="spellStart"/>
      <w:r w:rsidRPr="00520861">
        <w:rPr>
          <w:rFonts w:eastAsiaTheme="minorHAnsi"/>
          <w:sz w:val="28"/>
          <w:szCs w:val="28"/>
          <w:lang w:eastAsia="en-US"/>
        </w:rPr>
        <w:t>Normal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physiology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remodeling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hormonal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regulation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Surgery</w:t>
      </w:r>
      <w:proofErr w:type="spellEnd"/>
      <w:r w:rsidRPr="00520861">
        <w:rPr>
          <w:rFonts w:eastAsiaTheme="minorHAnsi"/>
          <w:sz w:val="28"/>
          <w:szCs w:val="28"/>
          <w:lang w:eastAsia="en-US"/>
        </w:rPr>
        <w:t>. 2015</w:t>
      </w:r>
      <w:r w:rsidRPr="00520861">
        <w:rPr>
          <w:rFonts w:eastAsiaTheme="minorHAnsi"/>
          <w:sz w:val="28"/>
          <w:szCs w:val="28"/>
          <w:lang w:val="en-US" w:eastAsia="en-US"/>
        </w:rPr>
        <w:t>;</w:t>
      </w:r>
      <w:r w:rsidRPr="00520861">
        <w:rPr>
          <w:rFonts w:eastAsiaTheme="minorHAnsi"/>
          <w:sz w:val="28"/>
          <w:szCs w:val="28"/>
          <w:lang w:eastAsia="en-US"/>
        </w:rPr>
        <w:t xml:space="preserve"> 33</w:t>
      </w:r>
      <w:r w:rsidRPr="00520861">
        <w:rPr>
          <w:rFonts w:eastAsiaTheme="minorHAnsi"/>
          <w:sz w:val="28"/>
          <w:szCs w:val="28"/>
          <w:lang w:val="en-US" w:eastAsia="en-US"/>
        </w:rPr>
        <w:t>:</w:t>
      </w:r>
      <w:r w:rsidRPr="00520861">
        <w:rPr>
          <w:rFonts w:eastAsiaTheme="minorHAnsi"/>
          <w:sz w:val="28"/>
          <w:szCs w:val="28"/>
          <w:lang w:eastAsia="en-US"/>
        </w:rPr>
        <w:t xml:space="preserve"> 1–6.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10.1016/j.mpsur.2014.10.010.</w:t>
      </w:r>
    </w:p>
    <w:p w14:paraId="1BB350D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Wan</w:t>
      </w:r>
      <w:proofErr w:type="spellEnd"/>
      <w:r w:rsidRPr="00520861">
        <w:rPr>
          <w:rFonts w:eastAsiaTheme="minorHAnsi"/>
          <w:sz w:val="28"/>
          <w:szCs w:val="28"/>
          <w:lang w:eastAsia="en-US"/>
        </w:rPr>
        <w:t xml:space="preserve"> QS, </w:t>
      </w:r>
      <w:proofErr w:type="spellStart"/>
      <w:r w:rsidRPr="00520861">
        <w:rPr>
          <w:rFonts w:eastAsiaTheme="minorHAnsi"/>
          <w:sz w:val="28"/>
          <w:szCs w:val="28"/>
          <w:lang w:eastAsia="en-US"/>
        </w:rPr>
        <w:t>Li</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Yang</w:t>
      </w:r>
      <w:proofErr w:type="spellEnd"/>
      <w:r w:rsidRPr="00520861">
        <w:rPr>
          <w:rFonts w:eastAsiaTheme="minorHAnsi"/>
          <w:sz w:val="28"/>
          <w:szCs w:val="28"/>
          <w:lang w:eastAsia="en-US"/>
        </w:rPr>
        <w:t xml:space="preserve"> SK, </w:t>
      </w:r>
      <w:proofErr w:type="spellStart"/>
      <w:r w:rsidRPr="00520861">
        <w:rPr>
          <w:rFonts w:eastAsiaTheme="minorHAnsi"/>
          <w:sz w:val="28"/>
          <w:szCs w:val="28"/>
          <w:lang w:eastAsia="en-US"/>
        </w:rPr>
        <w:t>Liu</w:t>
      </w:r>
      <w:proofErr w:type="spellEnd"/>
      <w:r w:rsidRPr="00520861">
        <w:rPr>
          <w:rFonts w:eastAsiaTheme="minorHAnsi"/>
          <w:sz w:val="28"/>
          <w:szCs w:val="28"/>
          <w:lang w:eastAsia="en-US"/>
        </w:rPr>
        <w:t xml:space="preserve"> ZL, </w:t>
      </w:r>
      <w:proofErr w:type="spellStart"/>
      <w:r w:rsidRPr="00520861">
        <w:rPr>
          <w:rFonts w:eastAsiaTheme="minorHAnsi"/>
          <w:sz w:val="28"/>
          <w:szCs w:val="28"/>
          <w:lang w:eastAsia="en-US"/>
        </w:rPr>
        <w:t>Song</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Role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vitamin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susceptibility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meta-analysis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controversial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issue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Genet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Test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Biomarkers</w:t>
      </w:r>
      <w:proofErr w:type="spellEnd"/>
      <w:r w:rsidRPr="00520861">
        <w:rPr>
          <w:rFonts w:eastAsiaTheme="minorHAnsi"/>
          <w:sz w:val="28"/>
          <w:szCs w:val="28"/>
          <w:lang w:eastAsia="en-US"/>
        </w:rPr>
        <w:t>. 2019;23(9):</w:t>
      </w:r>
      <w:r w:rsidRPr="00520861">
        <w:rPr>
          <w:rFonts w:eastAsiaTheme="minorHAnsi"/>
          <w:sz w:val="28"/>
          <w:szCs w:val="28"/>
          <w:lang w:val="en-US" w:eastAsia="en-US"/>
        </w:rPr>
        <w:t xml:space="preserve"> </w:t>
      </w:r>
      <w:r w:rsidRPr="00520861">
        <w:rPr>
          <w:rFonts w:eastAsiaTheme="minorHAnsi"/>
          <w:sz w:val="28"/>
          <w:szCs w:val="28"/>
          <w:lang w:eastAsia="en-US"/>
        </w:rPr>
        <w:t xml:space="preserve">618–633.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10.1089/gtmb.2019.0021. </w:t>
      </w:r>
    </w:p>
    <w:p w14:paraId="49310D90"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X, </w:t>
      </w:r>
      <w:proofErr w:type="spellStart"/>
      <w:r w:rsidRPr="00520861">
        <w:rPr>
          <w:rFonts w:eastAsiaTheme="minorHAnsi"/>
          <w:sz w:val="28"/>
          <w:szCs w:val="28"/>
          <w:lang w:eastAsia="en-US"/>
        </w:rPr>
        <w:t>Shaffer</w:t>
      </w:r>
      <w:proofErr w:type="spellEnd"/>
      <w:r w:rsidRPr="00520861">
        <w:rPr>
          <w:rFonts w:eastAsiaTheme="minorHAnsi"/>
          <w:sz w:val="28"/>
          <w:szCs w:val="28"/>
          <w:lang w:eastAsia="en-US"/>
        </w:rPr>
        <w:t xml:space="preserve"> JR, </w:t>
      </w:r>
      <w:proofErr w:type="spellStart"/>
      <w:r w:rsidRPr="00520861">
        <w:rPr>
          <w:rFonts w:eastAsiaTheme="minorHAnsi"/>
          <w:sz w:val="28"/>
          <w:szCs w:val="28"/>
          <w:lang w:eastAsia="en-US"/>
        </w:rPr>
        <w:t>Weyant</w:t>
      </w:r>
      <w:proofErr w:type="spellEnd"/>
      <w:r w:rsidRPr="00520861">
        <w:rPr>
          <w:rFonts w:eastAsiaTheme="minorHAnsi"/>
          <w:sz w:val="28"/>
          <w:szCs w:val="28"/>
          <w:lang w:eastAsia="en-US"/>
        </w:rPr>
        <w:t xml:space="preserve"> RJ, </w:t>
      </w:r>
      <w:proofErr w:type="spellStart"/>
      <w:r w:rsidRPr="00520861">
        <w:rPr>
          <w:rFonts w:eastAsiaTheme="minorHAnsi"/>
          <w:sz w:val="28"/>
          <w:szCs w:val="28"/>
          <w:lang w:eastAsia="en-US"/>
        </w:rPr>
        <w:t>Cuenco</w:t>
      </w:r>
      <w:proofErr w:type="spellEnd"/>
      <w:r w:rsidRPr="00520861">
        <w:rPr>
          <w:rFonts w:eastAsiaTheme="minorHAnsi"/>
          <w:sz w:val="28"/>
          <w:szCs w:val="28"/>
          <w:lang w:eastAsia="en-US"/>
        </w:rPr>
        <w:t xml:space="preserve"> KT, </w:t>
      </w:r>
      <w:proofErr w:type="spellStart"/>
      <w:r w:rsidRPr="00520861">
        <w:rPr>
          <w:rFonts w:eastAsiaTheme="minorHAnsi"/>
          <w:sz w:val="28"/>
          <w:szCs w:val="28"/>
          <w:lang w:eastAsia="en-US"/>
        </w:rPr>
        <w:t>DeSensi</w:t>
      </w:r>
      <w:proofErr w:type="spellEnd"/>
      <w:r w:rsidRPr="00520861">
        <w:rPr>
          <w:rFonts w:eastAsiaTheme="minorHAnsi"/>
          <w:sz w:val="28"/>
          <w:szCs w:val="28"/>
          <w:lang w:eastAsia="en-US"/>
        </w:rPr>
        <w:t xml:space="preserve"> RS, </w:t>
      </w:r>
      <w:proofErr w:type="spellStart"/>
      <w:r w:rsidRPr="00520861">
        <w:rPr>
          <w:rFonts w:eastAsiaTheme="minorHAnsi"/>
          <w:sz w:val="28"/>
          <w:szCs w:val="28"/>
          <w:lang w:eastAsia="en-US"/>
        </w:rPr>
        <w:t>Crout</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their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differ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primary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permanent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dentitions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Caries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2010;44(3):</w:t>
      </w:r>
      <w:r w:rsidRPr="00520861">
        <w:rPr>
          <w:rFonts w:eastAsiaTheme="minorHAnsi"/>
          <w:sz w:val="28"/>
          <w:szCs w:val="28"/>
          <w:lang w:val="en-US" w:eastAsia="en-US"/>
        </w:rPr>
        <w:t xml:space="preserve"> </w:t>
      </w:r>
      <w:r w:rsidRPr="00520861">
        <w:rPr>
          <w:rFonts w:eastAsiaTheme="minorHAnsi"/>
          <w:sz w:val="28"/>
          <w:szCs w:val="28"/>
          <w:lang w:eastAsia="en-US"/>
        </w:rPr>
        <w:t>277–</w:t>
      </w:r>
      <w:r w:rsidRPr="00520861">
        <w:rPr>
          <w:rFonts w:eastAsiaTheme="minorHAnsi"/>
          <w:sz w:val="28"/>
          <w:szCs w:val="28"/>
          <w:lang w:val="en-US" w:eastAsia="en-US"/>
        </w:rPr>
        <w:t>2</w:t>
      </w:r>
      <w:r w:rsidRPr="00520861">
        <w:rPr>
          <w:rFonts w:eastAsiaTheme="minorHAnsi"/>
          <w:sz w:val="28"/>
          <w:szCs w:val="28"/>
          <w:lang w:eastAsia="en-US"/>
        </w:rPr>
        <w:t xml:space="preserve">84.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10.1159/000314676</w:t>
      </w:r>
      <w:r w:rsidRPr="00520861">
        <w:rPr>
          <w:rFonts w:eastAsiaTheme="minorHAnsi"/>
          <w:sz w:val="28"/>
          <w:szCs w:val="28"/>
          <w:lang w:val="en-US" w:eastAsia="en-US"/>
        </w:rPr>
        <w:t>.</w:t>
      </w:r>
    </w:p>
    <w:p w14:paraId="79E235C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YL, </w:t>
      </w:r>
      <w:proofErr w:type="spellStart"/>
      <w:r w:rsidRPr="00520861">
        <w:rPr>
          <w:rFonts w:eastAsiaTheme="minorHAnsi"/>
          <w:sz w:val="28"/>
          <w:szCs w:val="28"/>
          <w:lang w:eastAsia="en-US"/>
        </w:rPr>
        <w:t>Liou</w:t>
      </w:r>
      <w:proofErr w:type="spellEnd"/>
      <w:r w:rsidRPr="00520861">
        <w:rPr>
          <w:rFonts w:eastAsiaTheme="minorHAnsi"/>
          <w:sz w:val="28"/>
          <w:szCs w:val="28"/>
          <w:lang w:eastAsia="en-US"/>
        </w:rPr>
        <w:t xml:space="preserve"> JD, </w:t>
      </w:r>
      <w:proofErr w:type="spellStart"/>
      <w:r w:rsidRPr="00520861">
        <w:rPr>
          <w:rFonts w:eastAsiaTheme="minorHAnsi"/>
          <w:sz w:val="28"/>
          <w:szCs w:val="28"/>
          <w:lang w:eastAsia="en-US"/>
        </w:rPr>
        <w:t>Pan</w:t>
      </w:r>
      <w:proofErr w:type="spellEnd"/>
      <w:r w:rsidRPr="00520861">
        <w:rPr>
          <w:rFonts w:eastAsiaTheme="minorHAnsi"/>
          <w:sz w:val="28"/>
          <w:szCs w:val="28"/>
          <w:lang w:eastAsia="en-US"/>
        </w:rPr>
        <w:t xml:space="preserve"> WL.</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preterm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delivery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weight</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Taiwan</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Gynecol</w:t>
      </w:r>
      <w:proofErr w:type="spellEnd"/>
      <w:r w:rsidRPr="00520861">
        <w:rPr>
          <w:rFonts w:eastAsiaTheme="minorHAnsi"/>
          <w:sz w:val="28"/>
          <w:szCs w:val="28"/>
          <w:lang w:eastAsia="en-US"/>
        </w:rPr>
        <w:t>. 2013;52(1):</w:t>
      </w:r>
      <w:r w:rsidRPr="00520861">
        <w:rPr>
          <w:rFonts w:eastAsiaTheme="minorHAnsi"/>
          <w:sz w:val="28"/>
          <w:szCs w:val="28"/>
          <w:lang w:val="en-US" w:eastAsia="en-US"/>
        </w:rPr>
        <w:t xml:space="preserve"> </w:t>
      </w:r>
      <w:r w:rsidRPr="00520861">
        <w:rPr>
          <w:rFonts w:eastAsiaTheme="minorHAnsi"/>
          <w:sz w:val="28"/>
          <w:szCs w:val="28"/>
          <w:lang w:eastAsia="en-US"/>
        </w:rPr>
        <w:t>71–</w:t>
      </w:r>
      <w:r w:rsidRPr="00520861">
        <w:rPr>
          <w:rFonts w:eastAsiaTheme="minorHAnsi"/>
          <w:sz w:val="28"/>
          <w:szCs w:val="28"/>
          <w:lang w:val="en-US" w:eastAsia="en-US"/>
        </w:rPr>
        <w:t>7</w:t>
      </w:r>
      <w:r w:rsidRPr="00520861">
        <w:rPr>
          <w:rFonts w:eastAsiaTheme="minorHAnsi"/>
          <w:sz w:val="28"/>
          <w:szCs w:val="28"/>
          <w:lang w:eastAsia="en-US"/>
        </w:rPr>
        <w:t xml:space="preserve">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10.1016/j.tjog.2013.01.011.</w:t>
      </w:r>
    </w:p>
    <w:p w14:paraId="76355B9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Yang</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He</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Ma</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Y,</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Interleukin-6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meta-analysis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Genet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Test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Biomarkers</w:t>
      </w:r>
      <w:proofErr w:type="spellEnd"/>
      <w:r w:rsidRPr="00520861">
        <w:rPr>
          <w:rFonts w:eastAsiaTheme="minorHAnsi"/>
          <w:sz w:val="28"/>
          <w:szCs w:val="28"/>
          <w:lang w:eastAsia="en-US"/>
        </w:rPr>
        <w:t>. 2013;17(12):</w:t>
      </w:r>
      <w:r w:rsidRPr="00520861">
        <w:rPr>
          <w:rFonts w:eastAsiaTheme="minorHAnsi"/>
          <w:sz w:val="28"/>
          <w:szCs w:val="28"/>
          <w:lang w:val="en-US" w:eastAsia="en-US"/>
        </w:rPr>
        <w:t xml:space="preserve"> </w:t>
      </w:r>
      <w:r w:rsidRPr="00520861">
        <w:rPr>
          <w:rFonts w:eastAsiaTheme="minorHAnsi"/>
          <w:sz w:val="28"/>
          <w:szCs w:val="28"/>
          <w:lang w:eastAsia="en-US"/>
        </w:rPr>
        <w:t>898–909.</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10.1089/gtmb.2013.0223.</w:t>
      </w:r>
    </w:p>
    <w:p w14:paraId="7808BE3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Warner</w:t>
      </w:r>
      <w:proofErr w:type="spellEnd"/>
      <w:r w:rsidRPr="00520861">
        <w:rPr>
          <w:rFonts w:eastAsiaTheme="minorHAnsi"/>
          <w:sz w:val="28"/>
          <w:szCs w:val="28"/>
          <w:lang w:eastAsia="en-US"/>
        </w:rPr>
        <w:t xml:space="preserve"> MJ, </w:t>
      </w:r>
      <w:proofErr w:type="spellStart"/>
      <w:r w:rsidRPr="00520861">
        <w:rPr>
          <w:rFonts w:eastAsiaTheme="minorHAnsi"/>
          <w:sz w:val="28"/>
          <w:szCs w:val="28"/>
          <w:lang w:eastAsia="en-US"/>
        </w:rPr>
        <w:t>Ozanne</w:t>
      </w:r>
      <w:proofErr w:type="spellEnd"/>
      <w:r w:rsidRPr="00520861">
        <w:rPr>
          <w:rFonts w:eastAsiaTheme="minorHAnsi"/>
          <w:sz w:val="28"/>
          <w:szCs w:val="28"/>
          <w:lang w:eastAsia="en-US"/>
        </w:rPr>
        <w:t xml:space="preserve"> SE. </w:t>
      </w:r>
      <w:proofErr w:type="spellStart"/>
      <w:r w:rsidRPr="00520861">
        <w:rPr>
          <w:rFonts w:eastAsiaTheme="minorHAnsi"/>
          <w:sz w:val="28"/>
          <w:szCs w:val="28"/>
          <w:lang w:eastAsia="en-US"/>
        </w:rPr>
        <w:t>Mechanisms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involved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programming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adulthood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Biochem</w:t>
      </w:r>
      <w:proofErr w:type="spellEnd"/>
      <w:r w:rsidRPr="00520861">
        <w:rPr>
          <w:rFonts w:eastAsiaTheme="minorHAnsi"/>
          <w:i/>
          <w:sz w:val="28"/>
          <w:szCs w:val="28"/>
          <w:lang w:eastAsia="en-US"/>
        </w:rPr>
        <w:t xml:space="preserve"> J</w:t>
      </w:r>
      <w:r w:rsidRPr="00520861">
        <w:rPr>
          <w:rFonts w:eastAsiaTheme="minorHAnsi"/>
          <w:sz w:val="28"/>
          <w:szCs w:val="28"/>
          <w:lang w:eastAsia="en-US"/>
        </w:rPr>
        <w:t>. 2010;427(3): 333–</w:t>
      </w:r>
      <w:r w:rsidRPr="00520861">
        <w:rPr>
          <w:rFonts w:eastAsiaTheme="minorHAnsi"/>
          <w:sz w:val="28"/>
          <w:szCs w:val="28"/>
          <w:lang w:val="en-US" w:eastAsia="en-US"/>
        </w:rPr>
        <w:t>3</w:t>
      </w:r>
      <w:r w:rsidRPr="00520861">
        <w:rPr>
          <w:rFonts w:eastAsiaTheme="minorHAnsi"/>
          <w:sz w:val="28"/>
          <w:szCs w:val="28"/>
          <w:lang w:eastAsia="en-US"/>
        </w:rPr>
        <w:t xml:space="preserve">47.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10.1042/BJ20091861</w:t>
      </w:r>
      <w:r w:rsidRPr="00520861">
        <w:rPr>
          <w:rFonts w:eastAsiaTheme="minorHAnsi"/>
          <w:sz w:val="28"/>
          <w:szCs w:val="28"/>
          <w:lang w:val="en-US" w:eastAsia="en-US"/>
        </w:rPr>
        <w:t>.</w:t>
      </w:r>
    </w:p>
    <w:p w14:paraId="02776ED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Wei</w:t>
      </w:r>
      <w:proofErr w:type="spellEnd"/>
      <w:r w:rsidRPr="00520861">
        <w:rPr>
          <w:rFonts w:eastAsiaTheme="minorHAnsi"/>
          <w:sz w:val="28"/>
          <w:szCs w:val="28"/>
          <w:lang w:eastAsia="en-US"/>
        </w:rPr>
        <w:t xml:space="preserve"> FJ, </w:t>
      </w:r>
      <w:proofErr w:type="spellStart"/>
      <w:r w:rsidRPr="00520861">
        <w:rPr>
          <w:rFonts w:eastAsiaTheme="minorHAnsi"/>
          <w:sz w:val="28"/>
          <w:szCs w:val="28"/>
          <w:lang w:eastAsia="en-US"/>
        </w:rPr>
        <w:t>Guo</w:t>
      </w:r>
      <w:proofErr w:type="spellEnd"/>
      <w:r w:rsidRPr="00520861">
        <w:rPr>
          <w:rFonts w:eastAsiaTheme="minorHAnsi"/>
          <w:sz w:val="28"/>
          <w:szCs w:val="28"/>
          <w:lang w:eastAsia="en-US"/>
        </w:rPr>
        <w:t xml:space="preserve"> ML. RANKL-</w:t>
      </w:r>
      <w:proofErr w:type="spellStart"/>
      <w:r w:rsidRPr="00520861">
        <w:rPr>
          <w:rFonts w:eastAsiaTheme="minorHAnsi"/>
          <w:sz w:val="28"/>
          <w:szCs w:val="28"/>
          <w:lang w:eastAsia="en-US"/>
        </w:rPr>
        <w:t>independent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modulation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osteoclastogenesis</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Biosciences</w:t>
      </w:r>
      <w:proofErr w:type="spellEnd"/>
      <w:r w:rsidRPr="00520861">
        <w:rPr>
          <w:rFonts w:eastAsiaTheme="minorHAnsi"/>
          <w:sz w:val="28"/>
          <w:szCs w:val="28"/>
          <w:lang w:eastAsia="en-US"/>
        </w:rPr>
        <w:t>. 2019</w:t>
      </w:r>
      <w:r w:rsidRPr="00520861">
        <w:rPr>
          <w:rFonts w:eastAsiaTheme="minorHAnsi"/>
          <w:sz w:val="28"/>
          <w:szCs w:val="28"/>
          <w:lang w:val="en-US" w:eastAsia="en-US"/>
        </w:rPr>
        <w:t>;</w:t>
      </w:r>
      <w:r w:rsidRPr="00520861">
        <w:rPr>
          <w:rFonts w:eastAsiaTheme="minorHAnsi"/>
          <w:sz w:val="28"/>
          <w:szCs w:val="28"/>
          <w:lang w:eastAsia="en-US"/>
        </w:rPr>
        <w:t>61</w:t>
      </w:r>
      <w:r w:rsidRPr="00520861">
        <w:rPr>
          <w:rFonts w:eastAsiaTheme="minorHAnsi"/>
          <w:sz w:val="28"/>
          <w:szCs w:val="28"/>
          <w:lang w:val="en-US" w:eastAsia="en-US"/>
        </w:rPr>
        <w:t>(</w:t>
      </w:r>
      <w:r w:rsidRPr="00520861">
        <w:rPr>
          <w:rFonts w:eastAsiaTheme="minorHAnsi"/>
          <w:sz w:val="28"/>
          <w:szCs w:val="28"/>
          <w:lang w:eastAsia="en-US"/>
        </w:rPr>
        <w:t>1</w:t>
      </w:r>
      <w:r w:rsidRPr="00520861">
        <w:rPr>
          <w:rFonts w:eastAsiaTheme="minorHAnsi"/>
          <w:sz w:val="28"/>
          <w:szCs w:val="28"/>
          <w:lang w:val="en-US" w:eastAsia="en-US"/>
        </w:rPr>
        <w:t>):</w:t>
      </w:r>
      <w:r w:rsidRPr="00520861">
        <w:rPr>
          <w:rFonts w:eastAsiaTheme="minorHAnsi"/>
          <w:sz w:val="28"/>
          <w:szCs w:val="28"/>
          <w:lang w:eastAsia="en-US"/>
        </w:rPr>
        <w:t xml:space="preserve"> 16–21.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10.1016/j.job.2019.01.001</w:t>
      </w:r>
      <w:r w:rsidRPr="00520861">
        <w:rPr>
          <w:rFonts w:eastAsiaTheme="minorHAnsi"/>
          <w:sz w:val="28"/>
          <w:szCs w:val="28"/>
          <w:lang w:val="en-US" w:eastAsia="en-US"/>
        </w:rPr>
        <w:t>.</w:t>
      </w:r>
    </w:p>
    <w:p w14:paraId="3AE44D5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Weickert</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Miesbach</w:t>
      </w:r>
      <w:proofErr w:type="spellEnd"/>
      <w:r w:rsidRPr="00520861">
        <w:rPr>
          <w:rFonts w:eastAsiaTheme="minorHAnsi"/>
          <w:sz w:val="28"/>
          <w:szCs w:val="28"/>
          <w:lang w:eastAsia="en-US"/>
        </w:rPr>
        <w:t xml:space="preserve"> W, </w:t>
      </w:r>
      <w:proofErr w:type="spellStart"/>
      <w:r w:rsidRPr="00520861">
        <w:rPr>
          <w:rFonts w:eastAsiaTheme="minorHAnsi"/>
          <w:sz w:val="28"/>
          <w:szCs w:val="28"/>
          <w:lang w:eastAsia="en-US"/>
        </w:rPr>
        <w:t>Alesci</w:t>
      </w:r>
      <w:proofErr w:type="spellEnd"/>
      <w:r w:rsidRPr="00520861">
        <w:rPr>
          <w:rFonts w:eastAsiaTheme="minorHAnsi"/>
          <w:sz w:val="28"/>
          <w:szCs w:val="28"/>
          <w:lang w:eastAsia="en-US"/>
        </w:rPr>
        <w:t xml:space="preserve"> SR, </w:t>
      </w:r>
      <w:proofErr w:type="spellStart"/>
      <w:r w:rsidRPr="00520861">
        <w:rPr>
          <w:rFonts w:eastAsiaTheme="minorHAnsi"/>
          <w:sz w:val="28"/>
          <w:szCs w:val="28"/>
          <w:lang w:eastAsia="en-US"/>
        </w:rPr>
        <w:t>Eickholz</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Nickles</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gingival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bleeding</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symptom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type</w:t>
      </w:r>
      <w:proofErr w:type="spellEnd"/>
      <w:r w:rsidRPr="00520861">
        <w:rPr>
          <w:rFonts w:eastAsiaTheme="minorHAnsi"/>
          <w:sz w:val="28"/>
          <w:szCs w:val="28"/>
          <w:lang w:eastAsia="en-US"/>
        </w:rPr>
        <w:t xml:space="preserve"> 1 </w:t>
      </w:r>
      <w:proofErr w:type="spellStart"/>
      <w:r w:rsidRPr="00520861">
        <w:rPr>
          <w:rFonts w:eastAsiaTheme="minorHAnsi"/>
          <w:sz w:val="28"/>
          <w:szCs w:val="28"/>
          <w:lang w:eastAsia="en-US"/>
        </w:rPr>
        <w:t>von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Willebrand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case-control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r w:rsidR="00D9196F" w:rsidRPr="00520861">
        <w:rPr>
          <w:rFonts w:eastAsiaTheme="minorHAnsi"/>
          <w:sz w:val="28"/>
          <w:szCs w:val="28"/>
          <w:lang w:eastAsia="en-US"/>
        </w:rPr>
        <w:br/>
      </w:r>
      <w:r w:rsidRPr="00520861">
        <w:rPr>
          <w:rFonts w:eastAsiaTheme="minorHAnsi"/>
          <w:i/>
          <w:sz w:val="28"/>
          <w:szCs w:val="28"/>
          <w:lang w:eastAsia="en-US"/>
        </w:rPr>
        <w:t xml:space="preserve">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w:t>
      </w:r>
      <w:proofErr w:type="spellEnd"/>
      <w:r w:rsidRPr="00520861">
        <w:rPr>
          <w:rFonts w:eastAsiaTheme="minorHAnsi"/>
          <w:sz w:val="28"/>
          <w:szCs w:val="28"/>
          <w:lang w:eastAsia="en-US"/>
        </w:rPr>
        <w:t>. 2014;41:</w:t>
      </w:r>
      <w:r w:rsidRPr="00520861">
        <w:rPr>
          <w:rFonts w:eastAsiaTheme="minorHAnsi"/>
          <w:sz w:val="28"/>
          <w:szCs w:val="28"/>
          <w:lang w:val="en-US" w:eastAsia="en-US"/>
        </w:rPr>
        <w:t xml:space="preserve"> </w:t>
      </w:r>
      <w:r w:rsidRPr="00520861">
        <w:rPr>
          <w:rFonts w:eastAsiaTheme="minorHAnsi"/>
          <w:sz w:val="28"/>
          <w:szCs w:val="28"/>
          <w:lang w:eastAsia="en-US"/>
        </w:rPr>
        <w:t>766–</w:t>
      </w:r>
      <w:r w:rsidRPr="00520861">
        <w:rPr>
          <w:rFonts w:eastAsiaTheme="minorHAnsi"/>
          <w:sz w:val="28"/>
          <w:szCs w:val="28"/>
          <w:lang w:val="en-US" w:eastAsia="en-US"/>
        </w:rPr>
        <w:t>7</w:t>
      </w:r>
      <w:r w:rsidRPr="00520861">
        <w:rPr>
          <w:rFonts w:eastAsiaTheme="minorHAnsi"/>
          <w:sz w:val="28"/>
          <w:szCs w:val="28"/>
          <w:lang w:eastAsia="en-US"/>
        </w:rPr>
        <w:t xml:space="preserve">71.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10.1111/jcpe.12274.</w:t>
      </w:r>
    </w:p>
    <w:p w14:paraId="637768D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Weinberger</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Angle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classification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Orthod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Dentofacial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Orthop</w:t>
      </w:r>
      <w:proofErr w:type="spellEnd"/>
      <w:r w:rsidRPr="00520861">
        <w:rPr>
          <w:rFonts w:eastAsiaTheme="minorHAnsi"/>
          <w:sz w:val="28"/>
          <w:szCs w:val="28"/>
          <w:lang w:eastAsia="en-US"/>
        </w:rPr>
        <w:t>. 1993;103(4):</w:t>
      </w:r>
      <w:r w:rsidRPr="00520861">
        <w:rPr>
          <w:rFonts w:eastAsiaTheme="minorHAnsi"/>
          <w:sz w:val="28"/>
          <w:szCs w:val="28"/>
          <w:lang w:val="en-US" w:eastAsia="en-US"/>
        </w:rPr>
        <w:t xml:space="preserve"> </w:t>
      </w:r>
      <w:r w:rsidRPr="00520861">
        <w:rPr>
          <w:rFonts w:eastAsiaTheme="minorHAnsi"/>
          <w:sz w:val="28"/>
          <w:szCs w:val="28"/>
          <w:lang w:eastAsia="en-US"/>
        </w:rPr>
        <w:t xml:space="preserve">26A–30A.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10.1016/S0889-5406(05)80388-9</w:t>
      </w:r>
      <w:r w:rsidRPr="00520861">
        <w:rPr>
          <w:rFonts w:eastAsiaTheme="minorHAnsi"/>
          <w:sz w:val="28"/>
          <w:szCs w:val="28"/>
          <w:lang w:val="en-US" w:eastAsia="en-US"/>
        </w:rPr>
        <w:t>.</w:t>
      </w:r>
    </w:p>
    <w:p w14:paraId="76FD91A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Winter</w:t>
      </w:r>
      <w:proofErr w:type="spellEnd"/>
      <w:r w:rsidRPr="00520861">
        <w:rPr>
          <w:rFonts w:eastAsiaTheme="minorHAnsi"/>
          <w:sz w:val="28"/>
          <w:szCs w:val="28"/>
          <w:lang w:eastAsia="en-US"/>
        </w:rPr>
        <w:t xml:space="preserve"> JD, </w:t>
      </w:r>
      <w:proofErr w:type="spellStart"/>
      <w:r w:rsidRPr="00520861">
        <w:rPr>
          <w:rFonts w:eastAsiaTheme="minorHAnsi"/>
          <w:sz w:val="28"/>
          <w:szCs w:val="28"/>
          <w:lang w:eastAsia="en-US"/>
        </w:rPr>
        <w:t>Taylor</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Mowrer</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Winter</w:t>
      </w:r>
      <w:proofErr w:type="spellEnd"/>
      <w:r w:rsidRPr="00520861">
        <w:rPr>
          <w:rFonts w:eastAsiaTheme="minorHAnsi"/>
          <w:sz w:val="28"/>
          <w:szCs w:val="28"/>
          <w:lang w:eastAsia="en-US"/>
        </w:rPr>
        <w:t xml:space="preserve"> KM, </w:t>
      </w:r>
      <w:proofErr w:type="spellStart"/>
      <w:r w:rsidRPr="00520861">
        <w:rPr>
          <w:rFonts w:eastAsiaTheme="minorHAnsi"/>
          <w:sz w:val="28"/>
          <w:szCs w:val="28"/>
          <w:lang w:eastAsia="en-US"/>
        </w:rPr>
        <w:t>Dulin</w:t>
      </w:r>
      <w:proofErr w:type="spellEnd"/>
      <w:r w:rsidRPr="00520861">
        <w:rPr>
          <w:rFonts w:eastAsiaTheme="minorHAnsi"/>
          <w:sz w:val="28"/>
          <w:szCs w:val="28"/>
          <w:lang w:eastAsia="en-US"/>
        </w:rPr>
        <w:t xml:space="preserve"> MF. BMI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birth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overweight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age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four</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Obes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Pract</w:t>
      </w:r>
      <w:proofErr w:type="spellEnd"/>
      <w:r w:rsidRPr="00520861">
        <w:rPr>
          <w:rFonts w:eastAsiaTheme="minorHAnsi"/>
          <w:sz w:val="28"/>
          <w:szCs w:val="28"/>
          <w:lang w:eastAsia="en-US"/>
        </w:rPr>
        <w:t>. 2017;11(2):</w:t>
      </w:r>
      <w:r w:rsidRPr="00520861">
        <w:rPr>
          <w:rFonts w:eastAsiaTheme="minorHAnsi"/>
          <w:sz w:val="28"/>
          <w:szCs w:val="28"/>
          <w:lang w:val="en-US" w:eastAsia="en-US"/>
        </w:rPr>
        <w:t xml:space="preserve"> </w:t>
      </w:r>
      <w:r w:rsidRPr="00520861">
        <w:rPr>
          <w:rFonts w:eastAsiaTheme="minorHAnsi"/>
          <w:sz w:val="28"/>
          <w:szCs w:val="28"/>
          <w:lang w:eastAsia="en-US"/>
        </w:rPr>
        <w:t>151–</w:t>
      </w:r>
      <w:r w:rsidRPr="00520861">
        <w:rPr>
          <w:rFonts w:eastAsiaTheme="minorHAnsi"/>
          <w:sz w:val="28"/>
          <w:szCs w:val="28"/>
          <w:lang w:val="en-US" w:eastAsia="en-US"/>
        </w:rPr>
        <w:t>15</w:t>
      </w:r>
      <w:r w:rsidRPr="00520861">
        <w:rPr>
          <w:rFonts w:eastAsiaTheme="minorHAnsi"/>
          <w:sz w:val="28"/>
          <w:szCs w:val="28"/>
          <w:lang w:eastAsia="en-US"/>
        </w:rPr>
        <w:t>7.</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DOI: 10.1016/j.orcp.2016.03.010.</w:t>
      </w:r>
    </w:p>
    <w:p w14:paraId="78C9076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Wolff</w:t>
      </w:r>
      <w:proofErr w:type="spellEnd"/>
      <w:r w:rsidRPr="00520861">
        <w:rPr>
          <w:rFonts w:eastAsiaTheme="minorHAnsi"/>
          <w:sz w:val="28"/>
          <w:szCs w:val="28"/>
          <w:lang w:eastAsia="en-US"/>
        </w:rPr>
        <w:t xml:space="preserve"> MS, </w:t>
      </w:r>
      <w:proofErr w:type="spellStart"/>
      <w:r w:rsidRPr="00520861">
        <w:rPr>
          <w:rFonts w:eastAsiaTheme="minorHAnsi"/>
          <w:sz w:val="28"/>
          <w:szCs w:val="28"/>
          <w:lang w:eastAsia="en-US"/>
        </w:rPr>
        <w:t>Mirels</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Lagner</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Hand</w:t>
      </w:r>
      <w:proofErr w:type="spellEnd"/>
      <w:r w:rsidRPr="00520861">
        <w:rPr>
          <w:rFonts w:eastAsiaTheme="minorHAnsi"/>
          <w:sz w:val="28"/>
          <w:szCs w:val="28"/>
          <w:lang w:eastAsia="en-US"/>
        </w:rPr>
        <w:t xml:space="preserve"> AR.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sublingual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light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electron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microscopic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immunocytochemical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Anat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Rec</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2002;266:</w:t>
      </w:r>
      <w:r w:rsidRPr="00520861">
        <w:rPr>
          <w:rFonts w:eastAsiaTheme="minorHAnsi"/>
          <w:sz w:val="28"/>
          <w:szCs w:val="28"/>
          <w:lang w:val="en-US" w:eastAsia="en-US"/>
        </w:rPr>
        <w:t xml:space="preserve"> </w:t>
      </w:r>
      <w:r w:rsidRPr="00520861">
        <w:rPr>
          <w:rFonts w:eastAsiaTheme="minorHAnsi"/>
          <w:sz w:val="28"/>
          <w:szCs w:val="28"/>
          <w:lang w:eastAsia="en-US"/>
        </w:rPr>
        <w:t>30–42.</w:t>
      </w:r>
    </w:p>
    <w:p w14:paraId="532D2D7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Wong</w:t>
      </w:r>
      <w:proofErr w:type="spellEnd"/>
      <w:r w:rsidRPr="00520861">
        <w:rPr>
          <w:rFonts w:eastAsiaTheme="minorHAnsi"/>
          <w:sz w:val="28"/>
          <w:szCs w:val="28"/>
          <w:lang w:eastAsia="en-US"/>
        </w:rPr>
        <w:t xml:space="preserve"> HM, </w:t>
      </w:r>
      <w:proofErr w:type="spellStart"/>
      <w:r w:rsidRPr="00520861">
        <w:rPr>
          <w:rFonts w:eastAsiaTheme="minorHAnsi"/>
          <w:sz w:val="28"/>
          <w:szCs w:val="28"/>
          <w:lang w:eastAsia="en-US"/>
        </w:rPr>
        <w:t>Peng</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Yang</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King</w:t>
      </w:r>
      <w:proofErr w:type="spellEnd"/>
      <w:r w:rsidRPr="00520861">
        <w:rPr>
          <w:rFonts w:eastAsiaTheme="minorHAnsi"/>
          <w:sz w:val="28"/>
          <w:szCs w:val="28"/>
          <w:lang w:eastAsia="en-US"/>
        </w:rPr>
        <w:t xml:space="preserve"> NM, </w:t>
      </w:r>
      <w:proofErr w:type="spellStart"/>
      <w:r w:rsidRPr="00520861">
        <w:rPr>
          <w:rFonts w:eastAsiaTheme="minorHAnsi"/>
          <w:sz w:val="28"/>
          <w:szCs w:val="28"/>
          <w:lang w:eastAsia="en-US"/>
        </w:rPr>
        <w:t>McGrath</w:t>
      </w:r>
      <w:proofErr w:type="spellEnd"/>
      <w:r w:rsidRPr="00520861">
        <w:rPr>
          <w:rFonts w:eastAsiaTheme="minorHAnsi"/>
          <w:sz w:val="28"/>
          <w:szCs w:val="28"/>
          <w:lang w:eastAsia="en-US"/>
        </w:rPr>
        <w:t xml:space="preserve"> CPJ.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12-year-old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2017;12(2): 126–</w:t>
      </w:r>
      <w:r w:rsidRPr="00520861">
        <w:rPr>
          <w:rFonts w:eastAsiaTheme="minorHAnsi"/>
          <w:sz w:val="28"/>
          <w:szCs w:val="28"/>
          <w:lang w:val="en-US" w:eastAsia="en-US"/>
        </w:rPr>
        <w:t>1</w:t>
      </w:r>
      <w:r w:rsidRPr="00520861">
        <w:rPr>
          <w:rFonts w:eastAsiaTheme="minorHAnsi"/>
          <w:sz w:val="28"/>
          <w:szCs w:val="28"/>
          <w:lang w:eastAsia="en-US"/>
        </w:rPr>
        <w:t xml:space="preserve">32.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DOI: </w:t>
      </w:r>
      <w:r w:rsidRPr="00520861">
        <w:rPr>
          <w:rFonts w:eastAsiaTheme="minorHAnsi"/>
          <w:sz w:val="28"/>
          <w:szCs w:val="28"/>
          <w:lang w:eastAsia="en-US"/>
        </w:rPr>
        <w:lastRenderedPageBreak/>
        <w:t>10.1016/j.jds.2016.10.004</w:t>
      </w:r>
      <w:r w:rsidRPr="00520861">
        <w:rPr>
          <w:rFonts w:eastAsiaTheme="minorHAnsi"/>
          <w:sz w:val="28"/>
          <w:szCs w:val="28"/>
          <w:lang w:val="en-US" w:eastAsia="en-US"/>
        </w:rPr>
        <w:t>.</w:t>
      </w:r>
    </w:p>
    <w:p w14:paraId="0736199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Calibri"/>
          <w:sz w:val="28"/>
          <w:szCs w:val="28"/>
          <w:lang w:val="en-US" w:eastAsia="en-US"/>
        </w:rPr>
        <w:t>Wong</w:t>
      </w:r>
      <w:r w:rsidRPr="00520861">
        <w:rPr>
          <w:rFonts w:eastAsia="Calibri"/>
          <w:sz w:val="28"/>
          <w:szCs w:val="28"/>
          <w:lang w:eastAsia="en-US"/>
        </w:rPr>
        <w:t xml:space="preserve"> </w:t>
      </w:r>
      <w:r w:rsidRPr="00520861">
        <w:rPr>
          <w:rFonts w:eastAsia="Calibri"/>
          <w:sz w:val="28"/>
          <w:szCs w:val="28"/>
          <w:lang w:val="en-US" w:eastAsia="en-US"/>
        </w:rPr>
        <w:t>SK</w:t>
      </w:r>
      <w:r w:rsidRPr="00520861">
        <w:rPr>
          <w:rFonts w:eastAsia="Calibri"/>
          <w:sz w:val="28"/>
          <w:szCs w:val="28"/>
          <w:lang w:eastAsia="en-US"/>
        </w:rPr>
        <w:t xml:space="preserve">, </w:t>
      </w:r>
      <w:r w:rsidRPr="00520861">
        <w:rPr>
          <w:rFonts w:eastAsia="Calibri"/>
          <w:sz w:val="28"/>
          <w:szCs w:val="28"/>
          <w:lang w:val="en-US" w:eastAsia="en-US"/>
        </w:rPr>
        <w:t>Chin</w:t>
      </w:r>
      <w:r w:rsidRPr="00520861">
        <w:rPr>
          <w:rFonts w:eastAsia="Calibri"/>
          <w:sz w:val="28"/>
          <w:szCs w:val="28"/>
          <w:lang w:eastAsia="en-US"/>
        </w:rPr>
        <w:t xml:space="preserve"> </w:t>
      </w:r>
      <w:r w:rsidRPr="00520861">
        <w:rPr>
          <w:rFonts w:eastAsia="Calibri"/>
          <w:sz w:val="28"/>
          <w:szCs w:val="28"/>
          <w:lang w:val="en-US" w:eastAsia="en-US"/>
        </w:rPr>
        <w:t>KY</w:t>
      </w:r>
      <w:r w:rsidRPr="00520861">
        <w:rPr>
          <w:rFonts w:eastAsia="Calibri"/>
          <w:sz w:val="28"/>
          <w:szCs w:val="28"/>
          <w:lang w:eastAsia="en-US"/>
        </w:rPr>
        <w:t xml:space="preserve">, </w:t>
      </w:r>
      <w:proofErr w:type="spellStart"/>
      <w:r w:rsidRPr="00520861">
        <w:rPr>
          <w:rFonts w:eastAsia="Calibri"/>
          <w:sz w:val="28"/>
          <w:szCs w:val="28"/>
          <w:lang w:val="en-US" w:eastAsia="en-US"/>
        </w:rPr>
        <w:t>Suhaimi</w:t>
      </w:r>
      <w:proofErr w:type="spellEnd"/>
      <w:r w:rsidRPr="00520861">
        <w:rPr>
          <w:rFonts w:eastAsia="Calibri"/>
          <w:sz w:val="28"/>
          <w:szCs w:val="28"/>
          <w:lang w:eastAsia="en-US"/>
        </w:rPr>
        <w:t xml:space="preserve"> </w:t>
      </w:r>
      <w:r w:rsidRPr="00520861">
        <w:rPr>
          <w:rFonts w:eastAsia="Calibri"/>
          <w:sz w:val="28"/>
          <w:szCs w:val="28"/>
          <w:lang w:val="en-US" w:eastAsia="en-US"/>
        </w:rPr>
        <w:t>FH</w:t>
      </w:r>
      <w:r w:rsidRPr="00520861">
        <w:rPr>
          <w:rFonts w:eastAsia="Calibri"/>
          <w:sz w:val="28"/>
          <w:szCs w:val="28"/>
          <w:lang w:eastAsia="en-US"/>
        </w:rPr>
        <w:t xml:space="preserve">, </w:t>
      </w:r>
      <w:r w:rsidRPr="00520861">
        <w:rPr>
          <w:rFonts w:eastAsia="Calibri"/>
          <w:sz w:val="28"/>
          <w:szCs w:val="28"/>
          <w:lang w:val="en-US" w:eastAsia="en-US"/>
        </w:rPr>
        <w:t>Ahmad</w:t>
      </w:r>
      <w:r w:rsidRPr="00520861">
        <w:rPr>
          <w:rFonts w:eastAsia="Calibri"/>
          <w:sz w:val="28"/>
          <w:szCs w:val="28"/>
          <w:lang w:eastAsia="en-US"/>
        </w:rPr>
        <w:t xml:space="preserve"> </w:t>
      </w:r>
      <w:r w:rsidRPr="00520861">
        <w:rPr>
          <w:rFonts w:eastAsia="Calibri"/>
          <w:sz w:val="28"/>
          <w:szCs w:val="28"/>
          <w:lang w:val="en-US" w:eastAsia="en-US"/>
        </w:rPr>
        <w:t>F</w:t>
      </w:r>
      <w:r w:rsidRPr="00520861">
        <w:rPr>
          <w:rFonts w:eastAsia="Calibri"/>
          <w:sz w:val="28"/>
          <w:szCs w:val="28"/>
          <w:lang w:eastAsia="en-US"/>
        </w:rPr>
        <w:t xml:space="preserve">, </w:t>
      </w:r>
      <w:r w:rsidRPr="00520861">
        <w:rPr>
          <w:rFonts w:eastAsia="Calibri"/>
          <w:sz w:val="28"/>
          <w:szCs w:val="28"/>
          <w:lang w:val="en-US" w:eastAsia="en-US"/>
        </w:rPr>
        <w:t>Ima-</w:t>
      </w:r>
      <w:proofErr w:type="spellStart"/>
      <w:r w:rsidRPr="00520861">
        <w:rPr>
          <w:rFonts w:eastAsia="Calibri"/>
          <w:sz w:val="28"/>
          <w:szCs w:val="28"/>
          <w:lang w:val="en-US" w:eastAsia="en-US"/>
        </w:rPr>
        <w:t>Nirwana</w:t>
      </w:r>
      <w:proofErr w:type="spellEnd"/>
      <w:r w:rsidRPr="00520861">
        <w:rPr>
          <w:rFonts w:eastAsia="Calibri"/>
          <w:sz w:val="28"/>
          <w:szCs w:val="28"/>
          <w:lang w:val="en-US" w:eastAsia="en-US"/>
        </w:rPr>
        <w:t xml:space="preserve"> S. The relationship between metabolic syndrome and osteoporosis: A Review. </w:t>
      </w:r>
      <w:r w:rsidRPr="00520861">
        <w:rPr>
          <w:rFonts w:eastAsia="Calibri"/>
          <w:i/>
          <w:sz w:val="28"/>
          <w:szCs w:val="28"/>
          <w:lang w:val="en-US" w:eastAsia="en-US"/>
        </w:rPr>
        <w:t>Nutrients</w:t>
      </w:r>
      <w:r w:rsidRPr="00520861">
        <w:rPr>
          <w:rFonts w:eastAsiaTheme="minorHAnsi"/>
          <w:sz w:val="28"/>
          <w:szCs w:val="28"/>
          <w:lang w:val="ru-RU" w:eastAsia="en-US"/>
        </w:rPr>
        <w:t xml:space="preserve"> </w:t>
      </w:r>
      <w:r w:rsidRPr="00520861">
        <w:rPr>
          <w:rFonts w:eastAsia="Calibri"/>
          <w:sz w:val="28"/>
          <w:szCs w:val="28"/>
          <w:lang w:val="ru-RU" w:eastAsia="en-US"/>
        </w:rPr>
        <w:t>[Internet]</w:t>
      </w:r>
      <w:r w:rsidRPr="00520861">
        <w:rPr>
          <w:rFonts w:eastAsia="Calibri"/>
          <w:sz w:val="28"/>
          <w:szCs w:val="28"/>
          <w:lang w:val="en-US" w:eastAsia="en-US"/>
        </w:rPr>
        <w:t xml:space="preserve">. 2016 </w:t>
      </w:r>
      <w:proofErr w:type="spellStart"/>
      <w:r w:rsidRPr="00520861">
        <w:rPr>
          <w:rFonts w:eastAsia="Calibri"/>
          <w:sz w:val="28"/>
          <w:szCs w:val="28"/>
          <w:lang w:val="ru-RU" w:eastAsia="en-US"/>
        </w:rPr>
        <w:t>Jun</w:t>
      </w:r>
      <w:proofErr w:type="spellEnd"/>
      <w:r w:rsidRPr="00520861">
        <w:rPr>
          <w:rFonts w:eastAsia="Calibri"/>
          <w:sz w:val="28"/>
          <w:szCs w:val="28"/>
          <w:lang w:val="en-US" w:eastAsia="en-US"/>
        </w:rPr>
        <w:t xml:space="preserve"> [cited 2020 Jun 2];8(6): 347. </w:t>
      </w:r>
      <w:proofErr w:type="spellStart"/>
      <w:r w:rsidRPr="00520861">
        <w:rPr>
          <w:sz w:val="28"/>
          <w:szCs w:val="28"/>
        </w:rPr>
        <w:t>Available</w:t>
      </w:r>
      <w:proofErr w:type="spellEnd"/>
      <w:r w:rsidRPr="00520861">
        <w:rPr>
          <w:sz w:val="28"/>
          <w:szCs w:val="28"/>
        </w:rPr>
        <w:t xml:space="preserve"> </w:t>
      </w:r>
      <w:r w:rsidRPr="00520861">
        <w:rPr>
          <w:sz w:val="28"/>
          <w:szCs w:val="28"/>
          <w:lang w:val="en-US"/>
        </w:rPr>
        <w:t>from</w:t>
      </w:r>
      <w:r w:rsidRPr="00520861">
        <w:rPr>
          <w:sz w:val="28"/>
          <w:szCs w:val="28"/>
        </w:rPr>
        <w:t xml:space="preserve">: </w:t>
      </w:r>
      <w:r w:rsidRPr="00520861">
        <w:rPr>
          <w:sz w:val="28"/>
          <w:szCs w:val="28"/>
          <w:lang w:val="en-US"/>
        </w:rPr>
        <w:t>DOI:</w:t>
      </w:r>
      <w:r w:rsidRPr="00520861">
        <w:rPr>
          <w:sz w:val="28"/>
          <w:szCs w:val="28"/>
        </w:rPr>
        <w:t xml:space="preserve"> </w:t>
      </w:r>
      <w:r w:rsidRPr="00520861">
        <w:rPr>
          <w:rFonts w:eastAsia="Calibri"/>
          <w:sz w:val="28"/>
          <w:szCs w:val="28"/>
          <w:lang w:val="en-US" w:eastAsia="en-US"/>
        </w:rPr>
        <w:t>10.3390/nu8060347.</w:t>
      </w:r>
    </w:p>
    <w:p w14:paraId="41810DF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Wongkamhaeng</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Poachanukoon</w:t>
      </w:r>
      <w:proofErr w:type="spellEnd"/>
      <w:r w:rsidRPr="00520861">
        <w:rPr>
          <w:rFonts w:eastAsiaTheme="minorHAnsi"/>
          <w:sz w:val="28"/>
          <w:szCs w:val="28"/>
          <w:lang w:eastAsia="en-US"/>
        </w:rPr>
        <w:t xml:space="preserve"> O, </w:t>
      </w:r>
      <w:proofErr w:type="spellStart"/>
      <w:r w:rsidRPr="00520861">
        <w:rPr>
          <w:rFonts w:eastAsiaTheme="minorHAnsi"/>
          <w:sz w:val="28"/>
          <w:szCs w:val="28"/>
          <w:lang w:eastAsia="en-US"/>
        </w:rPr>
        <w:t>Koontongkaew</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cariogenic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microorganisms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salivary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properties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allergic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rhinitis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Pediatr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Otorhinolaryngol</w:t>
      </w:r>
      <w:proofErr w:type="spellEnd"/>
      <w:r w:rsidRPr="00520861">
        <w:rPr>
          <w:rFonts w:eastAsiaTheme="minorHAnsi"/>
          <w:sz w:val="28"/>
          <w:szCs w:val="28"/>
          <w:lang w:eastAsia="en-US"/>
        </w:rPr>
        <w:t>. 2014;78(5):</w:t>
      </w:r>
      <w:r w:rsidRPr="00520861">
        <w:rPr>
          <w:rFonts w:eastAsiaTheme="minorHAnsi"/>
          <w:sz w:val="28"/>
          <w:szCs w:val="28"/>
          <w:lang w:val="en-US" w:eastAsia="en-US"/>
        </w:rPr>
        <w:t xml:space="preserve"> </w:t>
      </w:r>
      <w:r w:rsidRPr="00520861">
        <w:rPr>
          <w:rFonts w:eastAsiaTheme="minorHAnsi"/>
          <w:sz w:val="28"/>
          <w:szCs w:val="28"/>
          <w:lang w:eastAsia="en-US"/>
        </w:rPr>
        <w:t xml:space="preserve">860–865.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10.1016/j.ijporl.2014.03.001.</w:t>
      </w:r>
    </w:p>
    <w:p w14:paraId="0F00F76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Woolliams</w:t>
      </w:r>
      <w:proofErr w:type="spellEnd"/>
      <w:r w:rsidRPr="00520861">
        <w:rPr>
          <w:rFonts w:eastAsiaTheme="minorHAnsi"/>
          <w:sz w:val="28"/>
          <w:szCs w:val="28"/>
          <w:lang w:eastAsia="en-US"/>
        </w:rPr>
        <w:t xml:space="preserve"> JA, </w:t>
      </w:r>
      <w:proofErr w:type="spellStart"/>
      <w:r w:rsidRPr="00520861">
        <w:rPr>
          <w:rFonts w:eastAsiaTheme="minorHAnsi"/>
          <w:sz w:val="28"/>
          <w:szCs w:val="28"/>
          <w:lang w:eastAsia="en-US"/>
        </w:rPr>
        <w:t>Wiener</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Anderson</w:t>
      </w:r>
      <w:proofErr w:type="spellEnd"/>
      <w:r w:rsidRPr="00520861">
        <w:rPr>
          <w:rFonts w:eastAsiaTheme="minorHAnsi"/>
          <w:sz w:val="28"/>
          <w:szCs w:val="28"/>
          <w:lang w:eastAsia="en-US"/>
        </w:rPr>
        <w:t xml:space="preserve"> PH, </w:t>
      </w:r>
      <w:proofErr w:type="spellStart"/>
      <w:r w:rsidRPr="00520861">
        <w:rPr>
          <w:rFonts w:eastAsiaTheme="minorHAnsi"/>
          <w:sz w:val="28"/>
          <w:szCs w:val="28"/>
          <w:lang w:eastAsia="en-US"/>
        </w:rPr>
        <w:t>McMurray</w:t>
      </w:r>
      <w:proofErr w:type="spellEnd"/>
      <w:r w:rsidRPr="00520861">
        <w:rPr>
          <w:rFonts w:eastAsiaTheme="minorHAnsi"/>
          <w:sz w:val="28"/>
          <w:szCs w:val="28"/>
          <w:lang w:eastAsia="en-US"/>
        </w:rPr>
        <w:t xml:space="preserve"> CH. </w:t>
      </w:r>
      <w:proofErr w:type="spellStart"/>
      <w:r w:rsidRPr="00520861">
        <w:rPr>
          <w:rFonts w:eastAsiaTheme="minorHAnsi"/>
          <w:sz w:val="28"/>
          <w:szCs w:val="28"/>
          <w:lang w:eastAsia="en-US"/>
        </w:rPr>
        <w:t>Variation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activities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glutathione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peroxidase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superoxide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dismutase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concentration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copper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blood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various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breed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crosses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sheep</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Vet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sz w:val="28"/>
          <w:szCs w:val="28"/>
          <w:lang w:eastAsia="en-US"/>
        </w:rPr>
        <w:t>. 1983;34(3): 253–256.</w:t>
      </w:r>
    </w:p>
    <w:p w14:paraId="3320C36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Wu</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Ma</w:t>
      </w:r>
      <w:proofErr w:type="spellEnd"/>
      <w:r w:rsidRPr="00520861">
        <w:rPr>
          <w:rFonts w:eastAsiaTheme="minorHAnsi"/>
          <w:sz w:val="28"/>
          <w:szCs w:val="28"/>
          <w:lang w:eastAsia="en-US"/>
        </w:rPr>
        <w:t xml:space="preserve"> Q, </w:t>
      </w:r>
      <w:proofErr w:type="spellStart"/>
      <w:r w:rsidRPr="00520861">
        <w:rPr>
          <w:rFonts w:eastAsiaTheme="minorHAnsi"/>
          <w:sz w:val="28"/>
          <w:szCs w:val="28"/>
          <w:lang w:eastAsia="en-US"/>
        </w:rPr>
        <w:t>Xu</w:t>
      </w:r>
      <w:proofErr w:type="spellEnd"/>
      <w:r w:rsidRPr="00520861">
        <w:rPr>
          <w:rFonts w:eastAsiaTheme="minorHAnsi"/>
          <w:sz w:val="28"/>
          <w:szCs w:val="28"/>
          <w:lang w:val="en-US" w:eastAsia="en-US"/>
        </w:rPr>
        <w:t xml:space="preserve"> X</w:t>
      </w:r>
      <w:r w:rsidRPr="00520861">
        <w:rPr>
          <w:rFonts w:eastAsiaTheme="minorHAnsi"/>
          <w:sz w:val="28"/>
          <w:szCs w:val="28"/>
          <w:lang w:eastAsia="en-US"/>
        </w:rPr>
        <w:t xml:space="preserve">, </w:t>
      </w:r>
      <w:proofErr w:type="spellStart"/>
      <w:r w:rsidRPr="00520861">
        <w:rPr>
          <w:rFonts w:eastAsiaTheme="minorHAnsi"/>
          <w:sz w:val="28"/>
          <w:szCs w:val="28"/>
          <w:lang w:eastAsia="en-US"/>
        </w:rPr>
        <w:t>Xie</w:t>
      </w:r>
      <w:proofErr w:type="spellEnd"/>
      <w:r w:rsidRPr="00520861">
        <w:rPr>
          <w:rFonts w:eastAsiaTheme="minorHAnsi"/>
          <w:sz w:val="28"/>
          <w:szCs w:val="28"/>
          <w:lang w:eastAsia="en-US"/>
        </w:rPr>
        <w:t xml:space="preserve"> K</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Y.</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Associations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timing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first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primary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Sci</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Rep</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xml:space="preserve"> 2019</w:t>
      </w:r>
      <w:r w:rsidRPr="00520861">
        <w:rPr>
          <w:rFonts w:eastAsiaTheme="minorHAnsi"/>
          <w:sz w:val="28"/>
          <w:szCs w:val="28"/>
          <w:lang w:val="en-US" w:eastAsia="en-US"/>
        </w:rPr>
        <w:t xml:space="preserve"> Feb [cited 2020 Jun 2];</w:t>
      </w:r>
      <w:r w:rsidRPr="00520861">
        <w:rPr>
          <w:rFonts w:eastAsiaTheme="minorHAnsi"/>
          <w:sz w:val="28"/>
          <w:szCs w:val="28"/>
          <w:lang w:eastAsia="en-US"/>
        </w:rPr>
        <w:t>9</w:t>
      </w:r>
      <w:r w:rsidRPr="00520861">
        <w:rPr>
          <w:rFonts w:eastAsiaTheme="minorHAnsi"/>
          <w:sz w:val="28"/>
          <w:szCs w:val="28"/>
          <w:lang w:val="en-US" w:eastAsia="en-US"/>
        </w:rPr>
        <w:t xml:space="preserve">: </w:t>
      </w:r>
      <w:r w:rsidRPr="00520861">
        <w:rPr>
          <w:rFonts w:eastAsiaTheme="minorHAnsi"/>
          <w:sz w:val="28"/>
          <w:szCs w:val="28"/>
          <w:lang w:eastAsia="en-US"/>
        </w:rPr>
        <w:t>2645.</w:t>
      </w:r>
      <w:r w:rsidRPr="00520861">
        <w:rPr>
          <w:rFonts w:eastAsiaTheme="minorHAnsi"/>
          <w:sz w:val="28"/>
          <w:szCs w:val="28"/>
          <w:lang w:val="en-US" w:eastAsia="en-US"/>
        </w:rPr>
        <w:t xml:space="preserve">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10.1038/s41598-019-39572-w</w:t>
      </w:r>
      <w:r w:rsidRPr="00520861">
        <w:rPr>
          <w:rFonts w:eastAsiaTheme="minorHAnsi"/>
          <w:sz w:val="28"/>
          <w:szCs w:val="28"/>
          <w:lang w:val="en-US" w:eastAsia="en-US"/>
        </w:rPr>
        <w:t>.</w:t>
      </w:r>
    </w:p>
    <w:p w14:paraId="0AF4FFB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Xing</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He</w:t>
      </w:r>
      <w:proofErr w:type="spellEnd"/>
      <w:r w:rsidRPr="00520861">
        <w:rPr>
          <w:rFonts w:eastAsiaTheme="minorHAnsi"/>
          <w:sz w:val="28"/>
          <w:szCs w:val="28"/>
          <w:lang w:eastAsia="en-US"/>
        </w:rPr>
        <w:t xml:space="preserve"> GP, </w:t>
      </w: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YM, </w:t>
      </w:r>
      <w:proofErr w:type="spellStart"/>
      <w:r w:rsidRPr="00520861">
        <w:rPr>
          <w:rFonts w:eastAsiaTheme="minorHAnsi"/>
          <w:sz w:val="28"/>
          <w:szCs w:val="28"/>
          <w:lang w:eastAsia="en-US"/>
        </w:rPr>
        <w:t>Su</w:t>
      </w:r>
      <w:proofErr w:type="spellEnd"/>
      <w:r w:rsidRPr="00520861">
        <w:rPr>
          <w:rFonts w:eastAsiaTheme="minorHAnsi"/>
          <w:sz w:val="28"/>
          <w:szCs w:val="28"/>
          <w:lang w:eastAsia="en-US"/>
        </w:rPr>
        <w:t xml:space="preserve"> YX. </w:t>
      </w:r>
      <w:proofErr w:type="spellStart"/>
      <w:r w:rsidRPr="00520861">
        <w:rPr>
          <w:rFonts w:eastAsiaTheme="minorHAnsi"/>
          <w:sz w:val="28"/>
          <w:szCs w:val="28"/>
          <w:lang w:eastAsia="en-US"/>
        </w:rPr>
        <w:t>Interaction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interleukin-6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accrual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adolescent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girls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Metab</w:t>
      </w:r>
      <w:proofErr w:type="spellEnd"/>
      <w:r w:rsidRPr="00520861">
        <w:rPr>
          <w:rFonts w:eastAsiaTheme="minorHAnsi"/>
          <w:sz w:val="28"/>
          <w:szCs w:val="28"/>
          <w:lang w:eastAsia="en-US"/>
        </w:rPr>
        <w:t>. 2008;26:</w:t>
      </w:r>
      <w:r w:rsidRPr="00520861">
        <w:rPr>
          <w:rFonts w:eastAsiaTheme="minorHAnsi"/>
          <w:sz w:val="28"/>
          <w:szCs w:val="28"/>
          <w:lang w:val="en-US" w:eastAsia="en-US"/>
        </w:rPr>
        <w:t xml:space="preserve"> </w:t>
      </w:r>
      <w:r w:rsidRPr="00520861">
        <w:rPr>
          <w:rFonts w:eastAsiaTheme="minorHAnsi"/>
          <w:sz w:val="28"/>
          <w:szCs w:val="28"/>
          <w:lang w:eastAsia="en-US"/>
        </w:rPr>
        <w:t xml:space="preserve">493–498.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10.1007/s00774-007-0844-y.</w:t>
      </w:r>
    </w:p>
    <w:p w14:paraId="7403CDC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Xuedong</w:t>
      </w:r>
      <w:proofErr w:type="spellEnd"/>
      <w:r w:rsidRPr="00520861">
        <w:rPr>
          <w:rFonts w:eastAsiaTheme="minorHAnsi"/>
          <w:sz w:val="28"/>
          <w:szCs w:val="28"/>
          <w:lang w:eastAsia="en-US"/>
        </w:rPr>
        <w:t xml:space="preserve"> Z</w:t>
      </w:r>
      <w:r w:rsidRPr="00520861">
        <w:rPr>
          <w:rFonts w:eastAsiaTheme="minorHAnsi"/>
          <w:sz w:val="28"/>
          <w:szCs w:val="28"/>
          <w:lang w:val="en-US" w:eastAsia="en-US"/>
        </w:rPr>
        <w:t>, ed</w:t>
      </w:r>
      <w:r w:rsidRPr="00520861">
        <w:rPr>
          <w:rFonts w:eastAsiaTheme="minorHAnsi"/>
          <w:sz w:val="28"/>
          <w:szCs w:val="28"/>
          <w:lang w:eastAsia="en-US"/>
        </w:rPr>
        <w:t xml:space="preserve">. </w:t>
      </w:r>
      <w:proofErr w:type="spellStart"/>
      <w:r w:rsidRPr="00520861">
        <w:rPr>
          <w:rFonts w:eastAsiaTheme="minorHAnsi"/>
          <w:i/>
          <w:sz w:val="28"/>
          <w:szCs w:val="28"/>
          <w:lang w:eastAsia="en-US"/>
        </w:rPr>
        <w:t>Dental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Caries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Principles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Management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Springer-Verlag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Berlin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Heidelberg</w:t>
      </w:r>
      <w:proofErr w:type="spellEnd"/>
      <w:r w:rsidRPr="00520861">
        <w:rPr>
          <w:rFonts w:eastAsiaTheme="minorHAnsi"/>
          <w:sz w:val="28"/>
          <w:szCs w:val="28"/>
          <w:lang w:eastAsia="en-US"/>
        </w:rPr>
        <w:t>; 2016.</w:t>
      </w:r>
      <w:r w:rsidRPr="00520861">
        <w:rPr>
          <w:rFonts w:eastAsiaTheme="minorHAnsi"/>
          <w:sz w:val="28"/>
          <w:szCs w:val="28"/>
          <w:lang w:val="en-US" w:eastAsia="en-US"/>
        </w:rPr>
        <w:t xml:space="preserve"> </w:t>
      </w:r>
      <w:r w:rsidRPr="00520861">
        <w:rPr>
          <w:rFonts w:eastAsiaTheme="minorHAnsi"/>
          <w:sz w:val="28"/>
          <w:szCs w:val="28"/>
          <w:lang w:eastAsia="en-US"/>
        </w:rPr>
        <w:t>18</w:t>
      </w:r>
      <w:r w:rsidRPr="00520861">
        <w:rPr>
          <w:rFonts w:eastAsiaTheme="minorHAnsi"/>
          <w:sz w:val="28"/>
          <w:szCs w:val="28"/>
          <w:lang w:val="en-US" w:eastAsia="en-US"/>
        </w:rPr>
        <w:t>3</w:t>
      </w:r>
      <w:r w:rsidRPr="00520861">
        <w:rPr>
          <w:rFonts w:eastAsiaTheme="minorHAnsi"/>
          <w:sz w:val="28"/>
          <w:szCs w:val="28"/>
          <w:lang w:eastAsia="en-US"/>
        </w:rPr>
        <w:t xml:space="preserve"> p.</w:t>
      </w:r>
    </w:p>
    <w:p w14:paraId="50FA162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proofErr w:type="spellStart"/>
      <w:r w:rsidRPr="00520861">
        <w:rPr>
          <w:rFonts w:eastAsiaTheme="minorHAnsi"/>
          <w:sz w:val="28"/>
          <w:szCs w:val="28"/>
          <w:lang w:eastAsia="en-US"/>
        </w:rPr>
        <w:t>Yamagata</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Yokomichi</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Suzuki</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Tanaka</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factors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3-year-old </w:t>
      </w:r>
      <w:proofErr w:type="spellStart"/>
      <w:r w:rsidRPr="00520861">
        <w:rPr>
          <w:rFonts w:eastAsiaTheme="minorHAnsi"/>
          <w:sz w:val="28"/>
          <w:szCs w:val="28"/>
          <w:lang w:eastAsia="en-US"/>
        </w:rPr>
        <w:t>infants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Japan</w:t>
      </w:r>
      <w:proofErr w:type="spellEnd"/>
      <w:r w:rsidRPr="00520861">
        <w:rPr>
          <w:rFonts w:eastAsiaTheme="minorHAnsi"/>
          <w:sz w:val="28"/>
          <w:szCs w:val="28"/>
          <w:lang w:eastAsia="en-US"/>
        </w:rPr>
        <w:t>.</w:t>
      </w:r>
      <w:r w:rsidRPr="00520861">
        <w:rPr>
          <w:rFonts w:eastAsiaTheme="minorHAnsi"/>
          <w:sz w:val="28"/>
          <w:szCs w:val="28"/>
          <w:lang w:val="en-US" w:eastAsia="en-US"/>
        </w:rPr>
        <w:t xml:space="preserv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Epidemiol</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2015</w:t>
      </w:r>
      <w:r w:rsidRPr="00520861">
        <w:rPr>
          <w:rFonts w:eastAsiaTheme="minorHAnsi"/>
          <w:sz w:val="28"/>
          <w:szCs w:val="28"/>
          <w:lang w:val="en-US" w:eastAsia="en-US"/>
        </w:rPr>
        <w:t>;</w:t>
      </w:r>
      <w:r w:rsidRPr="00520861">
        <w:rPr>
          <w:rFonts w:eastAsiaTheme="minorHAnsi"/>
          <w:sz w:val="28"/>
          <w:szCs w:val="28"/>
          <w:lang w:eastAsia="en-US"/>
        </w:rPr>
        <w:t>44(1)</w:t>
      </w:r>
      <w:r w:rsidRPr="00520861">
        <w:rPr>
          <w:rFonts w:eastAsiaTheme="minorHAnsi"/>
          <w:sz w:val="28"/>
          <w:szCs w:val="28"/>
          <w:lang w:val="en-US" w:eastAsia="en-US"/>
        </w:rPr>
        <w:t>:</w:t>
      </w:r>
      <w:r w:rsidRPr="00520861">
        <w:rPr>
          <w:rFonts w:eastAsiaTheme="minorHAnsi"/>
          <w:sz w:val="28"/>
          <w:szCs w:val="28"/>
          <w:lang w:eastAsia="en-US"/>
        </w:rPr>
        <w:t xml:space="preserve"> i77–i78.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10.1093/</w:t>
      </w:r>
      <w:proofErr w:type="spellStart"/>
      <w:r w:rsidRPr="00520861">
        <w:rPr>
          <w:rFonts w:eastAsiaTheme="minorHAnsi"/>
          <w:sz w:val="28"/>
          <w:szCs w:val="28"/>
          <w:lang w:eastAsia="en-US"/>
        </w:rPr>
        <w:t>ije</w:t>
      </w:r>
      <w:proofErr w:type="spellEnd"/>
      <w:r w:rsidRPr="00520861">
        <w:rPr>
          <w:rFonts w:eastAsiaTheme="minorHAnsi"/>
          <w:sz w:val="28"/>
          <w:szCs w:val="28"/>
          <w:lang w:eastAsia="en-US"/>
        </w:rPr>
        <w:t>/dyv097.287</w:t>
      </w:r>
      <w:r w:rsidRPr="00520861">
        <w:rPr>
          <w:rFonts w:eastAsiaTheme="minorHAnsi"/>
          <w:sz w:val="28"/>
          <w:szCs w:val="28"/>
          <w:lang w:val="en-US" w:eastAsia="en-US"/>
        </w:rPr>
        <w:t>.</w:t>
      </w:r>
    </w:p>
    <w:p w14:paraId="253074F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Yang</w:t>
      </w:r>
      <w:proofErr w:type="spellEnd"/>
      <w:r w:rsidRPr="00520861">
        <w:rPr>
          <w:rFonts w:eastAsiaTheme="minorHAnsi"/>
          <w:sz w:val="28"/>
          <w:szCs w:val="28"/>
          <w:lang w:eastAsia="en-US"/>
        </w:rPr>
        <w:t xml:space="preserve"> X, </w:t>
      </w:r>
      <w:proofErr w:type="spellStart"/>
      <w:r w:rsidRPr="00520861">
        <w:rPr>
          <w:rFonts w:eastAsiaTheme="minorHAnsi"/>
          <w:sz w:val="28"/>
          <w:szCs w:val="28"/>
          <w:lang w:eastAsia="en-US"/>
        </w:rPr>
        <w:t>Li</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Haghiac</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Catalano</w:t>
      </w:r>
      <w:proofErr w:type="spellEnd"/>
      <w:r w:rsidRPr="00520861">
        <w:rPr>
          <w:rFonts w:eastAsiaTheme="minorHAnsi"/>
          <w:sz w:val="28"/>
          <w:szCs w:val="28"/>
          <w:lang w:eastAsia="en-US"/>
        </w:rPr>
        <w:t xml:space="preserve"> PM, </w:t>
      </w:r>
      <w:proofErr w:type="spellStart"/>
      <w:r w:rsidRPr="00520861">
        <w:rPr>
          <w:rFonts w:eastAsiaTheme="minorHAnsi"/>
          <w:sz w:val="28"/>
          <w:szCs w:val="28"/>
          <w:lang w:eastAsia="en-US"/>
        </w:rPr>
        <w:t>O'Tierney-Ginn</w:t>
      </w:r>
      <w:proofErr w:type="spellEnd"/>
      <w:r w:rsidRPr="00520861">
        <w:rPr>
          <w:rFonts w:eastAsiaTheme="minorHAnsi"/>
          <w:sz w:val="28"/>
          <w:szCs w:val="28"/>
          <w:lang w:eastAsia="en-US"/>
        </w:rPr>
        <w:t xml:space="preserve"> P, </w:t>
      </w:r>
      <w:r w:rsidRPr="00520861">
        <w:rPr>
          <w:rFonts w:eastAsiaTheme="minorHAnsi"/>
          <w:sz w:val="28"/>
          <w:szCs w:val="28"/>
          <w:lang w:eastAsia="en-US"/>
        </w:rPr>
        <w:br/>
      </w:r>
      <w:proofErr w:type="spellStart"/>
      <w:r w:rsidRPr="00520861">
        <w:rPr>
          <w:rFonts w:eastAsiaTheme="minorHAnsi"/>
          <w:sz w:val="28"/>
          <w:szCs w:val="28"/>
          <w:lang w:eastAsia="en-US"/>
        </w:rPr>
        <w:t>Hauguel</w:t>
      </w:r>
      <w:proofErr w:type="spellEnd"/>
      <w:r w:rsidRPr="00520861">
        <w:rPr>
          <w:rFonts w:eastAsiaTheme="minorHAnsi"/>
          <w:sz w:val="28"/>
          <w:szCs w:val="28"/>
          <w:lang w:eastAsia="en-US"/>
        </w:rPr>
        <w:t>- </w:t>
      </w:r>
      <w:proofErr w:type="spellStart"/>
      <w:r w:rsidRPr="00520861">
        <w:rPr>
          <w:rFonts w:eastAsiaTheme="minorHAnsi"/>
          <w:sz w:val="28"/>
          <w:szCs w:val="28"/>
          <w:lang w:eastAsia="en-US"/>
        </w:rPr>
        <w:t>De</w:t>
      </w:r>
      <w:proofErr w:type="spellEnd"/>
      <w:r w:rsidRPr="00520861">
        <w:rPr>
          <w:rFonts w:eastAsiaTheme="minorHAnsi"/>
          <w:sz w:val="28"/>
          <w:szCs w:val="28"/>
          <w:lang w:val="en-US" w:eastAsia="en-US"/>
        </w:rPr>
        <w:t> </w:t>
      </w:r>
      <w:proofErr w:type="spellStart"/>
      <w:r w:rsidRPr="00520861">
        <w:rPr>
          <w:rFonts w:eastAsiaTheme="minorHAnsi"/>
          <w:sz w:val="28"/>
          <w:szCs w:val="28"/>
          <w:lang w:eastAsia="en-US"/>
        </w:rPr>
        <w:t>Mouzon</w:t>
      </w:r>
      <w:proofErr w:type="spellEnd"/>
      <w:r w:rsidRPr="00520861">
        <w:rPr>
          <w:rFonts w:eastAsiaTheme="minorHAnsi"/>
          <w:sz w:val="28"/>
          <w:szCs w:val="28"/>
          <w:lang w:val="en-US" w:eastAsia="en-US"/>
        </w:rPr>
        <w:t> </w:t>
      </w:r>
      <w:r w:rsidRPr="00520861">
        <w:rPr>
          <w:rFonts w:eastAsiaTheme="minorHAnsi"/>
          <w:sz w:val="28"/>
          <w:szCs w:val="28"/>
          <w:lang w:eastAsia="en-US"/>
        </w:rPr>
        <w:t xml:space="preserve">S. </w:t>
      </w:r>
      <w:proofErr w:type="spellStart"/>
      <w:r w:rsidRPr="00520861">
        <w:rPr>
          <w:rFonts w:eastAsiaTheme="minorHAnsi"/>
          <w:sz w:val="28"/>
          <w:szCs w:val="28"/>
          <w:lang w:eastAsia="en-US"/>
        </w:rPr>
        <w:t>Causal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relationship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obesity-related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traits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TLR4-driven </w:t>
      </w:r>
      <w:proofErr w:type="spellStart"/>
      <w:r w:rsidRPr="00520861">
        <w:rPr>
          <w:rFonts w:eastAsiaTheme="minorHAnsi"/>
          <w:sz w:val="28"/>
          <w:szCs w:val="28"/>
          <w:lang w:eastAsia="en-US"/>
        </w:rPr>
        <w:t>responses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maternal-fetal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interface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Diabetologia</w:t>
      </w:r>
      <w:proofErr w:type="spellEnd"/>
      <w:r w:rsidRPr="00520861">
        <w:rPr>
          <w:rFonts w:eastAsiaTheme="minorHAnsi"/>
          <w:sz w:val="28"/>
          <w:szCs w:val="28"/>
          <w:lang w:eastAsia="en-US"/>
        </w:rPr>
        <w:t>. 2016;59(11):</w:t>
      </w:r>
      <w:r w:rsidRPr="00520861">
        <w:rPr>
          <w:rFonts w:eastAsiaTheme="minorHAnsi"/>
          <w:sz w:val="28"/>
          <w:szCs w:val="28"/>
          <w:lang w:val="en-US" w:eastAsia="en-US"/>
        </w:rPr>
        <w:t xml:space="preserve"> </w:t>
      </w:r>
      <w:r w:rsidRPr="00520861">
        <w:rPr>
          <w:rFonts w:eastAsiaTheme="minorHAnsi"/>
          <w:sz w:val="28"/>
          <w:szCs w:val="28"/>
          <w:lang w:eastAsia="en-US"/>
        </w:rPr>
        <w:t xml:space="preserve">2459–2466.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10.1007/s00125-016-4073-6</w:t>
      </w:r>
      <w:r w:rsidRPr="00520861">
        <w:rPr>
          <w:rFonts w:eastAsiaTheme="minorHAnsi"/>
          <w:sz w:val="28"/>
          <w:szCs w:val="28"/>
          <w:lang w:val="en-US" w:eastAsia="en-US"/>
        </w:rPr>
        <w:t>.</w:t>
      </w:r>
    </w:p>
    <w:p w14:paraId="4F03F44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Yaseen</w:t>
      </w:r>
      <w:proofErr w:type="spellEnd"/>
      <w:r w:rsidRPr="00520861">
        <w:rPr>
          <w:rFonts w:eastAsiaTheme="minorHAnsi"/>
          <w:sz w:val="28"/>
          <w:szCs w:val="28"/>
          <w:lang w:eastAsia="en-US"/>
        </w:rPr>
        <w:t xml:space="preserve"> SM, </w:t>
      </w:r>
      <w:proofErr w:type="spellStart"/>
      <w:r w:rsidRPr="00520861">
        <w:rPr>
          <w:rFonts w:eastAsiaTheme="minorHAnsi"/>
          <w:sz w:val="28"/>
          <w:szCs w:val="28"/>
          <w:lang w:eastAsia="en-US"/>
        </w:rPr>
        <w:t>Naik</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Uloopi</w:t>
      </w:r>
      <w:proofErr w:type="spellEnd"/>
      <w:r w:rsidRPr="00520861">
        <w:rPr>
          <w:rFonts w:eastAsiaTheme="minorHAnsi"/>
          <w:sz w:val="28"/>
          <w:szCs w:val="28"/>
          <w:lang w:eastAsia="en-US"/>
        </w:rPr>
        <w:t xml:space="preserve"> KS. </w:t>
      </w:r>
      <w:proofErr w:type="spellStart"/>
      <w:r w:rsidRPr="00520861">
        <w:rPr>
          <w:rFonts w:eastAsiaTheme="minorHAnsi"/>
          <w:sz w:val="28"/>
          <w:szCs w:val="28"/>
          <w:lang w:eastAsia="en-US"/>
        </w:rPr>
        <w:t>Ectopic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eruption</w:t>
      </w:r>
      <w:proofErr w:type="spellEnd"/>
      <w:r w:rsidRPr="00520861">
        <w:rPr>
          <w:rFonts w:eastAsiaTheme="minorHAnsi"/>
          <w:sz w:val="28"/>
          <w:szCs w:val="28"/>
          <w:lang w:eastAsia="en-US"/>
        </w:rPr>
        <w:t xml:space="preserve"> - A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report</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Contemp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xml:space="preserve">. 2011;2(1):3–7.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10.4103/0976-237X.79289</w:t>
      </w:r>
      <w:r w:rsidRPr="00520861">
        <w:rPr>
          <w:rFonts w:eastAsiaTheme="minorHAnsi"/>
          <w:sz w:val="28"/>
          <w:szCs w:val="28"/>
          <w:lang w:val="en-US" w:eastAsia="en-US"/>
        </w:rPr>
        <w:t>.</w:t>
      </w:r>
    </w:p>
    <w:p w14:paraId="65C0469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Ye</w:t>
      </w:r>
      <w:proofErr w:type="spellEnd"/>
      <w:r w:rsidRPr="00520861">
        <w:rPr>
          <w:rFonts w:eastAsiaTheme="minorHAnsi"/>
          <w:sz w:val="28"/>
          <w:szCs w:val="28"/>
          <w:lang w:eastAsia="en-US"/>
        </w:rPr>
        <w:t xml:space="preserve"> J</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Coulouris</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Zaretskaya</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Cutcutache</w:t>
      </w:r>
      <w:proofErr w:type="spellEnd"/>
      <w:r w:rsidRPr="00520861">
        <w:rPr>
          <w:rFonts w:eastAsiaTheme="minorHAnsi"/>
          <w:sz w:val="28"/>
          <w:szCs w:val="28"/>
          <w:lang w:eastAsia="en-US"/>
        </w:rPr>
        <w:t xml:space="preserve"> I, </w:t>
      </w:r>
      <w:proofErr w:type="spellStart"/>
      <w:r w:rsidRPr="00520861">
        <w:rPr>
          <w:rFonts w:eastAsiaTheme="minorHAnsi"/>
          <w:sz w:val="28"/>
          <w:szCs w:val="28"/>
          <w:lang w:eastAsia="en-US"/>
        </w:rPr>
        <w:t>Rozen</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Madden</w:t>
      </w:r>
      <w:proofErr w:type="spellEnd"/>
      <w:r w:rsidRPr="00520861">
        <w:rPr>
          <w:rFonts w:eastAsiaTheme="minorHAnsi"/>
          <w:sz w:val="28"/>
          <w:szCs w:val="28"/>
          <w:lang w:eastAsia="en-US"/>
        </w:rPr>
        <w:t xml:space="preserve"> TL</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Primer</w:t>
      </w:r>
      <w:proofErr w:type="spellEnd"/>
      <w:r w:rsidRPr="00520861">
        <w:rPr>
          <w:rFonts w:eastAsiaTheme="minorHAnsi"/>
          <w:sz w:val="28"/>
          <w:szCs w:val="28"/>
          <w:lang w:eastAsia="en-US"/>
        </w:rPr>
        <w:t xml:space="preserve">-BLAST: a </w:t>
      </w:r>
      <w:proofErr w:type="spellStart"/>
      <w:r w:rsidRPr="00520861">
        <w:rPr>
          <w:rFonts w:eastAsiaTheme="minorHAnsi"/>
          <w:sz w:val="28"/>
          <w:szCs w:val="28"/>
          <w:lang w:eastAsia="en-US"/>
        </w:rPr>
        <w:t>tool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design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target-specific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primers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polymerase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chain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reaction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BMC </w:t>
      </w:r>
      <w:proofErr w:type="spellStart"/>
      <w:r w:rsidRPr="00520861">
        <w:rPr>
          <w:rFonts w:eastAsiaTheme="minorHAnsi"/>
          <w:i/>
          <w:sz w:val="28"/>
          <w:szCs w:val="28"/>
          <w:lang w:eastAsia="en-US"/>
        </w:rPr>
        <w:t>Bioinformatics</w:t>
      </w:r>
      <w:proofErr w:type="spellEnd"/>
      <w:r w:rsidRPr="00520861">
        <w:rPr>
          <w:rFonts w:eastAsiaTheme="minorHAnsi"/>
          <w:sz w:val="28"/>
          <w:szCs w:val="28"/>
          <w:lang w:val="en-US" w:eastAsia="en-US"/>
        </w:rPr>
        <w:t xml:space="preserve"> </w:t>
      </w:r>
      <w:r w:rsidRPr="00520861">
        <w:rPr>
          <w:rFonts w:eastAsiaTheme="minorHAnsi"/>
          <w:sz w:val="28"/>
          <w:szCs w:val="28"/>
          <w:lang w:val="en-US" w:eastAsia="en-US"/>
        </w:rPr>
        <w:lastRenderedPageBreak/>
        <w:t>[Internet].</w:t>
      </w:r>
      <w:r w:rsidRPr="00520861">
        <w:rPr>
          <w:rFonts w:eastAsiaTheme="minorHAnsi"/>
          <w:sz w:val="28"/>
          <w:szCs w:val="28"/>
          <w:lang w:eastAsia="en-US"/>
        </w:rPr>
        <w:t xml:space="preserve"> 2012</w:t>
      </w:r>
      <w:r w:rsidRPr="00520861">
        <w:rPr>
          <w:rFonts w:eastAsiaTheme="minorHAnsi"/>
          <w:sz w:val="28"/>
          <w:szCs w:val="28"/>
          <w:lang w:val="en-US" w:eastAsia="en-US"/>
        </w:rPr>
        <w:t xml:space="preserve"> Jun [cited 2020 Feb 11];</w:t>
      </w:r>
      <w:r w:rsidRPr="00520861">
        <w:rPr>
          <w:rFonts w:eastAsiaTheme="minorHAnsi"/>
          <w:sz w:val="28"/>
          <w:szCs w:val="28"/>
          <w:lang w:eastAsia="en-US"/>
        </w:rPr>
        <w:t>13:</w:t>
      </w:r>
      <w:r w:rsidRPr="00520861">
        <w:rPr>
          <w:rFonts w:eastAsiaTheme="minorHAnsi"/>
          <w:sz w:val="28"/>
          <w:szCs w:val="28"/>
          <w:lang w:val="en-US" w:eastAsia="en-US"/>
        </w:rPr>
        <w:t xml:space="preserve"> </w:t>
      </w:r>
      <w:r w:rsidRPr="00520861">
        <w:rPr>
          <w:rFonts w:eastAsiaTheme="minorHAnsi"/>
          <w:sz w:val="28"/>
          <w:szCs w:val="28"/>
          <w:lang w:eastAsia="en-US"/>
        </w:rPr>
        <w:t xml:space="preserve">134.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10.1186/1471-2105-13-134</w:t>
      </w:r>
      <w:r w:rsidRPr="00520861">
        <w:rPr>
          <w:rFonts w:eastAsiaTheme="minorHAnsi"/>
          <w:sz w:val="28"/>
          <w:szCs w:val="28"/>
          <w:lang w:val="en-US" w:eastAsia="en-US"/>
        </w:rPr>
        <w:t>.</w:t>
      </w:r>
    </w:p>
    <w:p w14:paraId="1C615BD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Yessoufou</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Moutairou</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Maternal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pregnancy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long-term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outcomes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offspring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concept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metabolic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memory</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Exp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Diabetes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2011</w:t>
      </w:r>
      <w:r w:rsidRPr="00520861">
        <w:rPr>
          <w:rFonts w:eastAsiaTheme="minorHAnsi"/>
          <w:sz w:val="28"/>
          <w:szCs w:val="28"/>
          <w:lang w:val="en-US" w:eastAsia="en-US"/>
        </w:rPr>
        <w:t xml:space="preserve"> Nov [cited 2020 Mar 21]</w:t>
      </w:r>
      <w:r w:rsidRPr="00520861">
        <w:rPr>
          <w:rFonts w:eastAsiaTheme="minorHAnsi"/>
          <w:sz w:val="28"/>
          <w:szCs w:val="28"/>
          <w:lang w:eastAsia="en-US"/>
        </w:rPr>
        <w:t>;2011:</w:t>
      </w:r>
      <w:r w:rsidRPr="00520861">
        <w:rPr>
          <w:rFonts w:eastAsiaTheme="minorHAnsi"/>
          <w:sz w:val="28"/>
          <w:szCs w:val="28"/>
          <w:lang w:val="en-US" w:eastAsia="en-US"/>
        </w:rPr>
        <w:t xml:space="preserve"> </w:t>
      </w:r>
      <w:r w:rsidRPr="00520861">
        <w:rPr>
          <w:rFonts w:eastAsiaTheme="minorHAnsi"/>
          <w:sz w:val="28"/>
          <w:szCs w:val="28"/>
          <w:lang w:eastAsia="en-US"/>
        </w:rPr>
        <w:t xml:space="preserve">218598.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DOI:</w:t>
      </w:r>
      <w:r w:rsidRPr="00520861">
        <w:rPr>
          <w:rFonts w:eastAsiaTheme="minorHAnsi"/>
          <w:sz w:val="28"/>
          <w:szCs w:val="28"/>
          <w:lang w:val="en-US" w:eastAsia="en-US"/>
        </w:rPr>
        <w:t xml:space="preserve"> </w:t>
      </w:r>
      <w:r w:rsidRPr="00520861">
        <w:rPr>
          <w:rFonts w:eastAsiaTheme="minorHAnsi"/>
          <w:sz w:val="28"/>
          <w:szCs w:val="28"/>
          <w:lang w:eastAsia="en-US"/>
        </w:rPr>
        <w:t>10.1155/2011/218598</w:t>
      </w:r>
      <w:r w:rsidRPr="00520861">
        <w:rPr>
          <w:rFonts w:eastAsiaTheme="minorHAnsi"/>
          <w:sz w:val="28"/>
          <w:szCs w:val="28"/>
          <w:lang w:val="en-US" w:eastAsia="en-US"/>
        </w:rPr>
        <w:t>.</w:t>
      </w:r>
    </w:p>
    <w:p w14:paraId="5E0DDF8F"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 xml:space="preserve"> </w:t>
      </w:r>
      <w:proofErr w:type="spellStart"/>
      <w:r w:rsidRPr="00520861">
        <w:rPr>
          <w:rFonts w:eastAsiaTheme="minorHAnsi"/>
          <w:sz w:val="28"/>
          <w:szCs w:val="28"/>
          <w:lang w:eastAsia="en-US"/>
        </w:rPr>
        <w:t>Yilmaz</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Aktulay</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Demirtas</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Engin-Ustun</w:t>
      </w:r>
      <w:proofErr w:type="spellEnd"/>
      <w:r w:rsidRPr="00520861">
        <w:rPr>
          <w:rFonts w:eastAsiaTheme="minorHAnsi"/>
          <w:sz w:val="28"/>
          <w:szCs w:val="28"/>
          <w:lang w:eastAsia="en-US"/>
        </w:rPr>
        <w:t xml:space="preserve"> Y</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Low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cord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blood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serum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levels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vitamin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cause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Exp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Obstet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Gynecol</w:t>
      </w:r>
      <w:proofErr w:type="spellEnd"/>
      <w:r w:rsidRPr="00520861">
        <w:rPr>
          <w:rFonts w:eastAsiaTheme="minorHAnsi"/>
          <w:sz w:val="28"/>
          <w:szCs w:val="28"/>
          <w:lang w:eastAsia="en-US"/>
        </w:rPr>
        <w:t>. 2015;42(4):</w:t>
      </w:r>
      <w:r w:rsidRPr="00520861">
        <w:rPr>
          <w:rFonts w:eastAsiaTheme="minorHAnsi"/>
          <w:sz w:val="28"/>
          <w:szCs w:val="28"/>
          <w:lang w:val="en-US" w:eastAsia="en-US"/>
        </w:rPr>
        <w:t xml:space="preserve"> </w:t>
      </w:r>
      <w:r w:rsidRPr="00520861">
        <w:rPr>
          <w:rFonts w:eastAsiaTheme="minorHAnsi"/>
          <w:sz w:val="28"/>
          <w:szCs w:val="28"/>
          <w:lang w:eastAsia="en-US"/>
        </w:rPr>
        <w:t>501–</w:t>
      </w:r>
      <w:r w:rsidRPr="00520861">
        <w:rPr>
          <w:rFonts w:eastAsiaTheme="minorHAnsi"/>
          <w:sz w:val="28"/>
          <w:szCs w:val="28"/>
          <w:lang w:val="en-US" w:eastAsia="en-US"/>
        </w:rPr>
        <w:t>50</w:t>
      </w:r>
      <w:r w:rsidRPr="00520861">
        <w:rPr>
          <w:rFonts w:eastAsiaTheme="minorHAnsi"/>
          <w:sz w:val="28"/>
          <w:szCs w:val="28"/>
          <w:lang w:eastAsia="en-US"/>
        </w:rPr>
        <w:t>4.</w:t>
      </w:r>
    </w:p>
    <w:p w14:paraId="55466C94"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Yokomichi</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Tanaka</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Suzuki</w:t>
      </w:r>
      <w:proofErr w:type="spellEnd"/>
      <w:r w:rsidRPr="00520861">
        <w:rPr>
          <w:rFonts w:eastAsiaTheme="minorHAnsi"/>
          <w:sz w:val="28"/>
          <w:szCs w:val="28"/>
          <w:lang w:eastAsia="en-US"/>
        </w:rPr>
        <w:t xml:space="preserve"> K, </w:t>
      </w:r>
      <w:proofErr w:type="spellStart"/>
      <w:r w:rsidRPr="00520861">
        <w:rPr>
          <w:rFonts w:eastAsiaTheme="minorHAnsi"/>
          <w:sz w:val="28"/>
          <w:szCs w:val="28"/>
          <w:lang w:eastAsia="en-US"/>
        </w:rPr>
        <w:t>Akiyama</w:t>
      </w:r>
      <w:proofErr w:type="spellEnd"/>
      <w:r w:rsidRPr="00520861">
        <w:rPr>
          <w:rFonts w:eastAsiaTheme="minorHAnsi"/>
          <w:sz w:val="28"/>
          <w:szCs w:val="28"/>
          <w:lang w:eastAsia="en-US"/>
        </w:rPr>
        <w:t xml:space="preserve"> T; </w:t>
      </w:r>
      <w:proofErr w:type="spellStart"/>
      <w:r w:rsidRPr="00520861">
        <w:rPr>
          <w:rFonts w:eastAsiaTheme="minorHAnsi"/>
          <w:sz w:val="28"/>
          <w:szCs w:val="28"/>
          <w:lang w:eastAsia="en-US"/>
        </w:rPr>
        <w:t>Okinawa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Group</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Yamagata</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Macrosomic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carry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increased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childhood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findings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from</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cohort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Okinawa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Health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Japan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PLoS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One</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2015</w:t>
      </w:r>
      <w:r w:rsidRPr="00520861">
        <w:rPr>
          <w:rFonts w:eastAsiaTheme="minorHAnsi"/>
          <w:sz w:val="28"/>
          <w:szCs w:val="28"/>
          <w:lang w:val="en-US" w:eastAsia="en-US"/>
        </w:rPr>
        <w:t xml:space="preserve"> Jul [cited 2020 Jun 21]</w:t>
      </w:r>
      <w:r w:rsidRPr="00520861">
        <w:rPr>
          <w:rFonts w:eastAsiaTheme="minorHAnsi"/>
          <w:sz w:val="28"/>
          <w:szCs w:val="28"/>
          <w:lang w:eastAsia="en-US"/>
        </w:rPr>
        <w:t>;10(7):</w:t>
      </w:r>
      <w:r w:rsidRPr="00520861">
        <w:rPr>
          <w:rFonts w:eastAsiaTheme="minorHAnsi"/>
          <w:sz w:val="28"/>
          <w:szCs w:val="28"/>
          <w:lang w:val="en-US" w:eastAsia="en-US"/>
        </w:rPr>
        <w:t xml:space="preserve"> </w:t>
      </w:r>
      <w:r w:rsidRPr="00520861">
        <w:rPr>
          <w:rFonts w:eastAsiaTheme="minorHAnsi"/>
          <w:sz w:val="28"/>
          <w:szCs w:val="28"/>
          <w:lang w:eastAsia="en-US"/>
        </w:rPr>
        <w:t xml:space="preserve">e0133872.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DOI:10.1371/journal.pone.0133872</w:t>
      </w:r>
      <w:r w:rsidRPr="00520861">
        <w:rPr>
          <w:rFonts w:eastAsiaTheme="minorHAnsi"/>
          <w:sz w:val="28"/>
          <w:szCs w:val="28"/>
          <w:lang w:val="en-US" w:eastAsia="en-US"/>
        </w:rPr>
        <w:t>.</w:t>
      </w:r>
      <w:r w:rsidRPr="00520861">
        <w:rPr>
          <w:rFonts w:eastAsiaTheme="minorHAnsi"/>
          <w:sz w:val="28"/>
          <w:szCs w:val="28"/>
          <w:lang w:eastAsia="en-US"/>
        </w:rPr>
        <w:t xml:space="preserve"> </w:t>
      </w:r>
    </w:p>
    <w:p w14:paraId="09C05EB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Yoskovitz</w:t>
      </w:r>
      <w:proofErr w:type="spellEnd"/>
      <w:r w:rsidRPr="00520861">
        <w:rPr>
          <w:rFonts w:eastAsiaTheme="minorHAnsi"/>
          <w:sz w:val="28"/>
          <w:szCs w:val="28"/>
          <w:lang w:eastAsia="en-US"/>
        </w:rPr>
        <w:t xml:space="preserve"> G, </w:t>
      </w:r>
      <w:proofErr w:type="spellStart"/>
      <w:r w:rsidRPr="00520861">
        <w:rPr>
          <w:rFonts w:eastAsiaTheme="minorHAnsi"/>
          <w:sz w:val="28"/>
          <w:szCs w:val="28"/>
          <w:lang w:eastAsia="en-US"/>
        </w:rPr>
        <w:t>Garcia-Giralt</w:t>
      </w:r>
      <w:proofErr w:type="spellEnd"/>
      <w:r w:rsidRPr="00520861">
        <w:rPr>
          <w:rFonts w:eastAsiaTheme="minorHAnsi"/>
          <w:sz w:val="28"/>
          <w:szCs w:val="28"/>
          <w:lang w:eastAsia="en-US"/>
        </w:rPr>
        <w:t xml:space="preserve"> N, </w:t>
      </w:r>
      <w:proofErr w:type="spellStart"/>
      <w:r w:rsidRPr="00520861">
        <w:rPr>
          <w:rFonts w:eastAsiaTheme="minorHAnsi"/>
          <w:sz w:val="28"/>
          <w:szCs w:val="28"/>
          <w:lang w:eastAsia="en-US"/>
        </w:rPr>
        <w:t>Rodriguez-Sanz</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Urreizti</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Guerri</w:t>
      </w:r>
      <w:proofErr w:type="spellEnd"/>
      <w:r w:rsidRPr="00520861">
        <w:rPr>
          <w:rFonts w:eastAsiaTheme="minorHAnsi"/>
          <w:sz w:val="28"/>
          <w:szCs w:val="28"/>
          <w:lang w:eastAsia="en-US"/>
        </w:rPr>
        <w:t xml:space="preserve"> R, </w:t>
      </w:r>
      <w:r w:rsidRPr="00520861">
        <w:rPr>
          <w:rFonts w:eastAsiaTheme="minorHAnsi"/>
          <w:sz w:val="28"/>
          <w:szCs w:val="28"/>
          <w:lang w:eastAsia="en-US"/>
        </w:rPr>
        <w:br/>
      </w:r>
      <w:proofErr w:type="spellStart"/>
      <w:r w:rsidRPr="00520861">
        <w:rPr>
          <w:rFonts w:eastAsiaTheme="minorHAnsi"/>
          <w:sz w:val="28"/>
          <w:szCs w:val="28"/>
          <w:lang w:eastAsia="en-US"/>
        </w:rPr>
        <w:t>Ariño-Ballester</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Analyses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RANK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RANKL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w:t>
      </w:r>
      <w:proofErr w:type="spellEnd"/>
      <w:r w:rsidRPr="00520861">
        <w:rPr>
          <w:rFonts w:eastAsiaTheme="minorHAnsi"/>
          <w:sz w:val="28"/>
          <w:szCs w:val="28"/>
          <w:lang w:eastAsia="en-US"/>
        </w:rPr>
        <w:t xml:space="preserve">-GWAS </w:t>
      </w:r>
      <w:proofErr w:type="spellStart"/>
      <w:r w:rsidRPr="00520861">
        <w:rPr>
          <w:rFonts w:eastAsiaTheme="minorHAnsi"/>
          <w:sz w:val="28"/>
          <w:szCs w:val="28"/>
          <w:lang w:eastAsia="en-US"/>
        </w:rPr>
        <w:t>context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functional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evidence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vitamin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stimulation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through</w:t>
      </w:r>
      <w:proofErr w:type="spellEnd"/>
      <w:r w:rsidRPr="00520861">
        <w:rPr>
          <w:rFonts w:eastAsiaTheme="minorHAnsi"/>
          <w:sz w:val="28"/>
          <w:szCs w:val="28"/>
          <w:lang w:eastAsia="en-US"/>
        </w:rPr>
        <w:t xml:space="preserve"> a RANKL </w:t>
      </w:r>
      <w:proofErr w:type="spellStart"/>
      <w:r w:rsidRPr="00520861">
        <w:rPr>
          <w:rFonts w:eastAsiaTheme="minorHAnsi"/>
          <w:sz w:val="28"/>
          <w:szCs w:val="28"/>
          <w:lang w:eastAsia="en-US"/>
        </w:rPr>
        <w:t>distal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region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2013;28(12):</w:t>
      </w:r>
      <w:r w:rsidRPr="00520861">
        <w:rPr>
          <w:rFonts w:eastAsiaTheme="minorHAnsi"/>
          <w:sz w:val="28"/>
          <w:szCs w:val="28"/>
          <w:lang w:val="en-US" w:eastAsia="en-US"/>
        </w:rPr>
        <w:t xml:space="preserve"> </w:t>
      </w:r>
      <w:r w:rsidRPr="00520861">
        <w:rPr>
          <w:rFonts w:eastAsiaTheme="minorHAnsi"/>
          <w:sz w:val="28"/>
          <w:szCs w:val="28"/>
          <w:lang w:eastAsia="en-US"/>
        </w:rPr>
        <w:t>2550–</w:t>
      </w:r>
      <w:r w:rsidRPr="00520861">
        <w:rPr>
          <w:rFonts w:eastAsiaTheme="minorHAnsi"/>
          <w:sz w:val="28"/>
          <w:szCs w:val="28"/>
          <w:lang w:val="en-US" w:eastAsia="en-US"/>
        </w:rPr>
        <w:t>25</w:t>
      </w:r>
      <w:r w:rsidRPr="00520861">
        <w:rPr>
          <w:rFonts w:eastAsiaTheme="minorHAnsi"/>
          <w:sz w:val="28"/>
          <w:szCs w:val="28"/>
          <w:lang w:eastAsia="en-US"/>
        </w:rPr>
        <w:t xml:space="preserve">60.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10.1002/jbmr.2001</w:t>
      </w:r>
      <w:r w:rsidRPr="00520861">
        <w:rPr>
          <w:rFonts w:eastAsiaTheme="minorHAnsi"/>
          <w:sz w:val="28"/>
          <w:szCs w:val="28"/>
          <w:lang w:val="en-US" w:eastAsia="en-US"/>
        </w:rPr>
        <w:t>.</w:t>
      </w:r>
    </w:p>
    <w:p w14:paraId="33FEF42A"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r w:rsidRPr="00520861">
        <w:rPr>
          <w:rFonts w:eastAsiaTheme="minorHAnsi"/>
          <w:sz w:val="28"/>
          <w:szCs w:val="28"/>
          <w:lang w:val="en-US" w:eastAsia="en-US"/>
        </w:rPr>
        <w:t>Youssef DM</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Elbehidy</w:t>
      </w:r>
      <w:proofErr w:type="spellEnd"/>
      <w:r w:rsidRPr="00520861">
        <w:rPr>
          <w:rFonts w:eastAsiaTheme="minorHAnsi"/>
          <w:sz w:val="28"/>
          <w:szCs w:val="28"/>
          <w:lang w:val="en-US" w:eastAsia="en-US"/>
        </w:rPr>
        <w:t xml:space="preserve"> RM</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Shokry</w:t>
      </w:r>
      <w:proofErr w:type="spellEnd"/>
      <w:r w:rsidRPr="00520861">
        <w:rPr>
          <w:rFonts w:eastAsiaTheme="minorHAnsi"/>
          <w:sz w:val="28"/>
          <w:szCs w:val="28"/>
          <w:lang w:val="en-US" w:eastAsia="en-US"/>
        </w:rPr>
        <w:t xml:space="preserve"> DM</w:t>
      </w:r>
      <w:r w:rsidRPr="00520861">
        <w:rPr>
          <w:rFonts w:eastAsiaTheme="minorHAnsi"/>
          <w:sz w:val="28"/>
          <w:szCs w:val="28"/>
          <w:lang w:eastAsia="en-US"/>
        </w:rPr>
        <w:t xml:space="preserve">, </w:t>
      </w:r>
      <w:proofErr w:type="spellStart"/>
      <w:r w:rsidRPr="00520861">
        <w:rPr>
          <w:rFonts w:eastAsiaTheme="minorHAnsi"/>
          <w:sz w:val="28"/>
          <w:szCs w:val="28"/>
          <w:lang w:val="en-US" w:eastAsia="en-US"/>
        </w:rPr>
        <w:t>Elbehidy</w:t>
      </w:r>
      <w:proofErr w:type="spellEnd"/>
      <w:r w:rsidRPr="00520861">
        <w:rPr>
          <w:rFonts w:eastAsiaTheme="minorHAnsi"/>
          <w:sz w:val="28"/>
          <w:szCs w:val="28"/>
          <w:lang w:val="en-US" w:eastAsia="en-US"/>
        </w:rPr>
        <w:t xml:space="preserve"> EM</w:t>
      </w:r>
      <w:r w:rsidRPr="00520861">
        <w:rPr>
          <w:rFonts w:eastAsiaTheme="minorHAnsi"/>
          <w:sz w:val="28"/>
          <w:szCs w:val="28"/>
          <w:lang w:eastAsia="en-US"/>
        </w:rPr>
        <w:t xml:space="preserve">. </w:t>
      </w:r>
      <w:r w:rsidRPr="00520861">
        <w:rPr>
          <w:rFonts w:eastAsiaTheme="minorHAnsi"/>
          <w:sz w:val="28"/>
          <w:szCs w:val="28"/>
          <w:lang w:val="en-US" w:eastAsia="en-US"/>
        </w:rPr>
        <w:t>The</w:t>
      </w:r>
      <w:r w:rsidRPr="00520861">
        <w:rPr>
          <w:rFonts w:eastAsiaTheme="minorHAnsi"/>
          <w:sz w:val="28"/>
          <w:szCs w:val="28"/>
          <w:lang w:eastAsia="en-US"/>
        </w:rPr>
        <w:t xml:space="preserve"> </w:t>
      </w:r>
      <w:r w:rsidRPr="00520861">
        <w:rPr>
          <w:rFonts w:eastAsiaTheme="minorHAnsi"/>
          <w:sz w:val="28"/>
          <w:szCs w:val="28"/>
          <w:lang w:val="en-US" w:eastAsia="en-US"/>
        </w:rPr>
        <w:t>influence</w:t>
      </w:r>
      <w:r w:rsidRPr="00520861">
        <w:rPr>
          <w:rFonts w:eastAsiaTheme="minorHAnsi"/>
          <w:sz w:val="28"/>
          <w:szCs w:val="28"/>
          <w:lang w:eastAsia="en-US"/>
        </w:rPr>
        <w:t xml:space="preserve"> </w:t>
      </w:r>
      <w:r w:rsidRPr="00520861">
        <w:rPr>
          <w:rFonts w:eastAsiaTheme="minorHAnsi"/>
          <w:sz w:val="28"/>
          <w:szCs w:val="28"/>
          <w:lang w:val="en-US" w:eastAsia="en-US"/>
        </w:rPr>
        <w:t>of</w:t>
      </w:r>
      <w:r w:rsidRPr="00520861">
        <w:rPr>
          <w:rFonts w:eastAsiaTheme="minorHAnsi"/>
          <w:sz w:val="28"/>
          <w:szCs w:val="28"/>
          <w:lang w:eastAsia="en-US"/>
        </w:rPr>
        <w:t xml:space="preserve"> </w:t>
      </w:r>
      <w:r w:rsidRPr="00520861">
        <w:rPr>
          <w:rFonts w:eastAsiaTheme="minorHAnsi"/>
          <w:sz w:val="28"/>
          <w:szCs w:val="28"/>
          <w:lang w:val="en-US" w:eastAsia="en-US"/>
        </w:rPr>
        <w:t>leptin</w:t>
      </w:r>
      <w:r w:rsidRPr="00520861">
        <w:rPr>
          <w:rFonts w:eastAsiaTheme="minorHAnsi"/>
          <w:sz w:val="28"/>
          <w:szCs w:val="28"/>
          <w:lang w:eastAsia="en-US"/>
        </w:rPr>
        <w:t xml:space="preserve"> </w:t>
      </w:r>
      <w:r w:rsidRPr="00520861">
        <w:rPr>
          <w:rFonts w:eastAsiaTheme="minorHAnsi"/>
          <w:sz w:val="28"/>
          <w:szCs w:val="28"/>
          <w:lang w:val="en-US" w:eastAsia="en-US"/>
        </w:rPr>
        <w:t>on</w:t>
      </w:r>
      <w:r w:rsidRPr="00520861">
        <w:rPr>
          <w:rFonts w:eastAsiaTheme="minorHAnsi"/>
          <w:sz w:val="28"/>
          <w:szCs w:val="28"/>
          <w:lang w:eastAsia="en-US"/>
        </w:rPr>
        <w:t xml:space="preserve"> </w:t>
      </w:r>
      <w:r w:rsidRPr="00520861">
        <w:rPr>
          <w:rFonts w:eastAsiaTheme="minorHAnsi"/>
          <w:sz w:val="28"/>
          <w:szCs w:val="28"/>
          <w:lang w:val="en-US" w:eastAsia="en-US"/>
        </w:rPr>
        <w:t>Th</w:t>
      </w:r>
      <w:r w:rsidRPr="00520861">
        <w:rPr>
          <w:rFonts w:eastAsiaTheme="minorHAnsi"/>
          <w:sz w:val="28"/>
          <w:szCs w:val="28"/>
          <w:lang w:eastAsia="en-US"/>
        </w:rPr>
        <w:t>1/</w:t>
      </w:r>
      <w:r w:rsidRPr="00520861">
        <w:rPr>
          <w:rFonts w:eastAsiaTheme="minorHAnsi"/>
          <w:sz w:val="28"/>
          <w:szCs w:val="28"/>
          <w:lang w:val="en-US" w:eastAsia="en-US"/>
        </w:rPr>
        <w:t>Th</w:t>
      </w:r>
      <w:r w:rsidRPr="00520861">
        <w:rPr>
          <w:rFonts w:eastAsiaTheme="minorHAnsi"/>
          <w:sz w:val="28"/>
          <w:szCs w:val="28"/>
          <w:lang w:eastAsia="en-US"/>
        </w:rPr>
        <w:t xml:space="preserve">2 </w:t>
      </w:r>
      <w:r w:rsidRPr="00520861">
        <w:rPr>
          <w:rFonts w:eastAsiaTheme="minorHAnsi"/>
          <w:sz w:val="28"/>
          <w:szCs w:val="28"/>
          <w:lang w:val="en-US" w:eastAsia="en-US"/>
        </w:rPr>
        <w:t>balance</w:t>
      </w:r>
      <w:r w:rsidRPr="00520861">
        <w:rPr>
          <w:rFonts w:eastAsiaTheme="minorHAnsi"/>
          <w:sz w:val="28"/>
          <w:szCs w:val="28"/>
          <w:lang w:eastAsia="en-US"/>
        </w:rPr>
        <w:t xml:space="preserve"> </w:t>
      </w:r>
      <w:r w:rsidRPr="00520861">
        <w:rPr>
          <w:rFonts w:eastAsiaTheme="minorHAnsi"/>
          <w:sz w:val="28"/>
          <w:szCs w:val="28"/>
          <w:lang w:val="en-US" w:eastAsia="en-US"/>
        </w:rPr>
        <w:t>in</w:t>
      </w:r>
      <w:r w:rsidRPr="00520861">
        <w:rPr>
          <w:rFonts w:eastAsiaTheme="minorHAnsi"/>
          <w:sz w:val="28"/>
          <w:szCs w:val="28"/>
          <w:lang w:eastAsia="en-US"/>
        </w:rPr>
        <w:t xml:space="preserve"> </w:t>
      </w:r>
      <w:r w:rsidRPr="00520861">
        <w:rPr>
          <w:rFonts w:eastAsiaTheme="minorHAnsi"/>
          <w:sz w:val="28"/>
          <w:szCs w:val="28"/>
          <w:lang w:val="en-US" w:eastAsia="en-US"/>
        </w:rPr>
        <w:t>obese</w:t>
      </w:r>
      <w:r w:rsidRPr="00520861">
        <w:rPr>
          <w:rFonts w:eastAsiaTheme="minorHAnsi"/>
          <w:sz w:val="28"/>
          <w:szCs w:val="28"/>
          <w:lang w:eastAsia="en-US"/>
        </w:rPr>
        <w:t xml:space="preserve"> </w:t>
      </w:r>
      <w:r w:rsidRPr="00520861">
        <w:rPr>
          <w:rFonts w:eastAsiaTheme="minorHAnsi"/>
          <w:sz w:val="28"/>
          <w:szCs w:val="28"/>
          <w:lang w:val="en-US" w:eastAsia="en-US"/>
        </w:rPr>
        <w:t>children</w:t>
      </w:r>
      <w:r w:rsidRPr="00520861">
        <w:rPr>
          <w:rFonts w:eastAsiaTheme="minorHAnsi"/>
          <w:sz w:val="28"/>
          <w:szCs w:val="28"/>
          <w:lang w:eastAsia="en-US"/>
        </w:rPr>
        <w:t xml:space="preserve"> </w:t>
      </w:r>
      <w:r w:rsidRPr="00520861">
        <w:rPr>
          <w:rFonts w:eastAsiaTheme="minorHAnsi"/>
          <w:sz w:val="28"/>
          <w:szCs w:val="28"/>
          <w:lang w:val="en-US" w:eastAsia="en-US"/>
        </w:rPr>
        <w:t>with</w:t>
      </w:r>
      <w:r w:rsidRPr="00520861">
        <w:rPr>
          <w:rFonts w:eastAsiaTheme="minorHAnsi"/>
          <w:sz w:val="28"/>
          <w:szCs w:val="28"/>
          <w:lang w:eastAsia="en-US"/>
        </w:rPr>
        <w:t xml:space="preserve"> </w:t>
      </w:r>
      <w:r w:rsidRPr="00520861">
        <w:rPr>
          <w:rFonts w:eastAsiaTheme="minorHAnsi"/>
          <w:sz w:val="28"/>
          <w:szCs w:val="28"/>
          <w:lang w:val="en-US" w:eastAsia="en-US"/>
        </w:rPr>
        <w:t>asthma.</w:t>
      </w:r>
      <w:r w:rsidRPr="00520861">
        <w:rPr>
          <w:rFonts w:eastAsiaTheme="minorHAnsi"/>
          <w:sz w:val="28"/>
          <w:szCs w:val="28"/>
          <w:lang w:eastAsia="en-US"/>
        </w:rPr>
        <w:t xml:space="preserve"> </w:t>
      </w:r>
      <w:proofErr w:type="spellStart"/>
      <w:r w:rsidRPr="00520861">
        <w:rPr>
          <w:rFonts w:eastAsiaTheme="minorHAnsi"/>
          <w:i/>
          <w:sz w:val="28"/>
          <w:szCs w:val="28"/>
          <w:lang w:val="en-US" w:eastAsia="en-US"/>
        </w:rPr>
        <w:t>Jornal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brasileiro</w:t>
      </w:r>
      <w:proofErr w:type="spellEnd"/>
      <w:r w:rsidRPr="00520861">
        <w:rPr>
          <w:rFonts w:eastAsiaTheme="minorHAnsi"/>
          <w:i/>
          <w:sz w:val="28"/>
          <w:szCs w:val="28"/>
          <w:lang w:eastAsia="en-US"/>
        </w:rPr>
        <w:t xml:space="preserve"> </w:t>
      </w:r>
      <w:r w:rsidRPr="00520861">
        <w:rPr>
          <w:rFonts w:eastAsiaTheme="minorHAnsi"/>
          <w:i/>
          <w:sz w:val="28"/>
          <w:szCs w:val="28"/>
          <w:lang w:val="en-US" w:eastAsia="en-US"/>
        </w:rPr>
        <w:t>de</w:t>
      </w:r>
      <w:r w:rsidRPr="00520861">
        <w:rPr>
          <w:rFonts w:eastAsiaTheme="minorHAnsi"/>
          <w:i/>
          <w:sz w:val="28"/>
          <w:szCs w:val="28"/>
          <w:lang w:eastAsia="en-US"/>
        </w:rPr>
        <w:t xml:space="preserve"> </w:t>
      </w:r>
      <w:proofErr w:type="spellStart"/>
      <w:r w:rsidRPr="00520861">
        <w:rPr>
          <w:rFonts w:eastAsiaTheme="minorHAnsi"/>
          <w:i/>
          <w:sz w:val="28"/>
          <w:szCs w:val="28"/>
          <w:lang w:val="en-US" w:eastAsia="en-US"/>
        </w:rPr>
        <w:t>pneumologia</w:t>
      </w:r>
      <w:proofErr w:type="spellEnd"/>
      <w:r w:rsidRPr="00520861">
        <w:rPr>
          <w:rFonts w:eastAsiaTheme="minorHAnsi"/>
          <w:sz w:val="28"/>
          <w:szCs w:val="28"/>
          <w:lang w:eastAsia="en-US"/>
        </w:rPr>
        <w:t>. 2013</w:t>
      </w:r>
      <w:r w:rsidRPr="00520861">
        <w:rPr>
          <w:rFonts w:eastAsiaTheme="minorHAnsi"/>
          <w:sz w:val="28"/>
          <w:szCs w:val="28"/>
          <w:lang w:val="en-US" w:eastAsia="en-US"/>
        </w:rPr>
        <w:t>;</w:t>
      </w:r>
      <w:r w:rsidRPr="00520861">
        <w:rPr>
          <w:rFonts w:eastAsiaTheme="minorHAnsi"/>
          <w:sz w:val="28"/>
          <w:szCs w:val="28"/>
          <w:lang w:eastAsia="en-US"/>
        </w:rPr>
        <w:t>39(5)</w:t>
      </w:r>
      <w:r w:rsidRPr="00520861">
        <w:rPr>
          <w:rFonts w:eastAsiaTheme="minorHAnsi"/>
          <w:sz w:val="28"/>
          <w:szCs w:val="28"/>
          <w:lang w:val="en-US" w:eastAsia="en-US"/>
        </w:rPr>
        <w:t xml:space="preserve">: </w:t>
      </w:r>
      <w:r w:rsidRPr="00520861">
        <w:rPr>
          <w:rFonts w:eastAsiaTheme="minorHAnsi"/>
          <w:sz w:val="28"/>
          <w:szCs w:val="28"/>
          <w:lang w:eastAsia="en-US"/>
        </w:rPr>
        <w:t xml:space="preserve">562–568.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10.1590/</w:t>
      </w:r>
      <w:r w:rsidRPr="00520861">
        <w:rPr>
          <w:rFonts w:eastAsiaTheme="minorHAnsi"/>
          <w:sz w:val="28"/>
          <w:szCs w:val="28"/>
          <w:lang w:val="en-US" w:eastAsia="en-US"/>
        </w:rPr>
        <w:t>S</w:t>
      </w:r>
      <w:r w:rsidRPr="00520861">
        <w:rPr>
          <w:rFonts w:eastAsiaTheme="minorHAnsi"/>
          <w:sz w:val="28"/>
          <w:szCs w:val="28"/>
          <w:lang w:eastAsia="en-US"/>
        </w:rPr>
        <w:t>1806-37132013000500006.</w:t>
      </w:r>
    </w:p>
    <w:p w14:paraId="56E9CCFE"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Yu</w:t>
      </w:r>
      <w:proofErr w:type="spellEnd"/>
      <w:r w:rsidRPr="00520861">
        <w:rPr>
          <w:rFonts w:eastAsiaTheme="minorHAnsi"/>
          <w:sz w:val="28"/>
          <w:szCs w:val="28"/>
          <w:lang w:eastAsia="en-US"/>
        </w:rPr>
        <w:t xml:space="preserve"> M, </w:t>
      </w:r>
      <w:proofErr w:type="spellStart"/>
      <w:r w:rsidRPr="00520861">
        <w:rPr>
          <w:rFonts w:eastAsiaTheme="minorHAnsi"/>
          <w:sz w:val="28"/>
          <w:szCs w:val="28"/>
          <w:lang w:eastAsia="en-US"/>
        </w:rPr>
        <w:t>Jiang</w:t>
      </w:r>
      <w:proofErr w:type="spellEnd"/>
      <w:r w:rsidRPr="00520861">
        <w:rPr>
          <w:rFonts w:eastAsiaTheme="minorHAnsi"/>
          <w:sz w:val="28"/>
          <w:szCs w:val="28"/>
          <w:lang w:eastAsia="en-US"/>
        </w:rPr>
        <w:t xml:space="preserve"> QZ, </w:t>
      </w:r>
      <w:proofErr w:type="spellStart"/>
      <w:r w:rsidRPr="00520861">
        <w:rPr>
          <w:rFonts w:eastAsiaTheme="minorHAnsi"/>
          <w:sz w:val="28"/>
          <w:szCs w:val="28"/>
          <w:lang w:eastAsia="en-US"/>
        </w:rPr>
        <w:t>Sun</w:t>
      </w:r>
      <w:proofErr w:type="spellEnd"/>
      <w:r w:rsidRPr="00520861">
        <w:rPr>
          <w:rFonts w:eastAsiaTheme="minorHAnsi"/>
          <w:sz w:val="28"/>
          <w:szCs w:val="28"/>
          <w:lang w:eastAsia="en-US"/>
        </w:rPr>
        <w:t xml:space="preserve"> ZY, </w:t>
      </w:r>
      <w:proofErr w:type="spellStart"/>
      <w:r w:rsidRPr="00520861">
        <w:rPr>
          <w:rFonts w:eastAsiaTheme="minorHAnsi"/>
          <w:sz w:val="28"/>
          <w:szCs w:val="28"/>
          <w:lang w:eastAsia="en-US"/>
        </w:rPr>
        <w:t>Kong</w:t>
      </w:r>
      <w:proofErr w:type="spellEnd"/>
      <w:r w:rsidRPr="00520861">
        <w:rPr>
          <w:rFonts w:eastAsiaTheme="minorHAnsi"/>
          <w:sz w:val="28"/>
          <w:szCs w:val="28"/>
          <w:lang w:eastAsia="en-US"/>
        </w:rPr>
        <w:t xml:space="preserve"> YY, </w:t>
      </w: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Z. </w:t>
      </w:r>
      <w:proofErr w:type="spellStart"/>
      <w:r w:rsidRPr="00520861">
        <w:rPr>
          <w:rFonts w:eastAsiaTheme="minorHAnsi"/>
          <w:sz w:val="28"/>
          <w:szCs w:val="28"/>
          <w:lang w:eastAsia="en-US"/>
        </w:rPr>
        <w:t>Association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single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nucleotide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vitamin</w:t>
      </w:r>
      <w:proofErr w:type="spellEnd"/>
      <w:r w:rsidRPr="00520861">
        <w:rPr>
          <w:rFonts w:eastAsiaTheme="minorHAnsi"/>
          <w:sz w:val="28"/>
          <w:szCs w:val="28"/>
          <w:lang w:eastAsia="en-US"/>
        </w:rPr>
        <w:t xml:space="preserve"> D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permanent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susceptibility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permanent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tooth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caries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adolescent</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Biomed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2017</w:t>
      </w:r>
      <w:r w:rsidRPr="00520861">
        <w:rPr>
          <w:rFonts w:eastAsiaTheme="minorHAnsi"/>
          <w:sz w:val="28"/>
          <w:szCs w:val="28"/>
          <w:lang w:val="en-US" w:eastAsia="en-US"/>
        </w:rPr>
        <w:t xml:space="preserve"> Nov [cited 2020 Feb 18]</w:t>
      </w:r>
      <w:r w:rsidRPr="00520861">
        <w:rPr>
          <w:rFonts w:eastAsiaTheme="minorHAnsi"/>
          <w:sz w:val="28"/>
          <w:szCs w:val="28"/>
          <w:lang w:eastAsia="en-US"/>
        </w:rPr>
        <w:t>;2017:</w:t>
      </w:r>
      <w:r w:rsidRPr="00520861">
        <w:rPr>
          <w:rFonts w:eastAsiaTheme="minorHAnsi"/>
          <w:sz w:val="28"/>
          <w:szCs w:val="28"/>
          <w:lang w:val="en-US" w:eastAsia="en-US"/>
        </w:rPr>
        <w:t xml:space="preserve"> </w:t>
      </w:r>
      <w:r w:rsidRPr="00520861">
        <w:rPr>
          <w:rFonts w:eastAsiaTheme="minorHAnsi"/>
          <w:sz w:val="28"/>
          <w:szCs w:val="28"/>
          <w:lang w:eastAsia="en-US"/>
        </w:rPr>
        <w:t xml:space="preserve">4096316.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10.1155/2017/4096316</w:t>
      </w:r>
      <w:r w:rsidRPr="00520861">
        <w:rPr>
          <w:rFonts w:eastAsiaTheme="minorHAnsi"/>
          <w:sz w:val="28"/>
          <w:szCs w:val="28"/>
          <w:lang w:val="en-US" w:eastAsia="en-US"/>
        </w:rPr>
        <w:t>.</w:t>
      </w:r>
    </w:p>
    <w:p w14:paraId="626A0F07"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Zahid</w:t>
      </w:r>
      <w:proofErr w:type="spellEnd"/>
      <w:r w:rsidRPr="00520861">
        <w:rPr>
          <w:rFonts w:eastAsiaTheme="minorHAnsi"/>
          <w:sz w:val="28"/>
          <w:szCs w:val="28"/>
          <w:lang w:eastAsia="en-US"/>
        </w:rPr>
        <w:t xml:space="preserve"> TM,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BY, </w:t>
      </w:r>
      <w:proofErr w:type="spellStart"/>
      <w:r w:rsidRPr="00520861">
        <w:rPr>
          <w:rFonts w:eastAsiaTheme="minorHAnsi"/>
          <w:sz w:val="28"/>
          <w:szCs w:val="28"/>
          <w:lang w:eastAsia="en-US"/>
        </w:rPr>
        <w:t>Cohen</w:t>
      </w:r>
      <w:proofErr w:type="spellEnd"/>
      <w:r w:rsidRPr="00520861">
        <w:rPr>
          <w:rFonts w:eastAsiaTheme="minorHAnsi"/>
          <w:sz w:val="28"/>
          <w:szCs w:val="28"/>
          <w:lang w:eastAsia="en-US"/>
        </w:rPr>
        <w:t xml:space="preserve"> RE.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effects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thyroid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hormone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abnormalities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status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Acad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Periodontology</w:t>
      </w:r>
      <w:proofErr w:type="spellEnd"/>
      <w:r w:rsidRPr="00520861">
        <w:rPr>
          <w:rFonts w:eastAsiaTheme="minorHAnsi"/>
          <w:sz w:val="28"/>
          <w:szCs w:val="28"/>
          <w:lang w:eastAsia="en-US"/>
        </w:rPr>
        <w:t>. 2011;13(3): 80–</w:t>
      </w:r>
      <w:r w:rsidRPr="00520861">
        <w:rPr>
          <w:rFonts w:eastAsiaTheme="minorHAnsi"/>
          <w:sz w:val="28"/>
          <w:szCs w:val="28"/>
          <w:lang w:val="en-US" w:eastAsia="en-US"/>
        </w:rPr>
        <w:t>8</w:t>
      </w:r>
      <w:r w:rsidRPr="00520861">
        <w:rPr>
          <w:rFonts w:eastAsiaTheme="minorHAnsi"/>
          <w:sz w:val="28"/>
          <w:szCs w:val="28"/>
          <w:lang w:eastAsia="en-US"/>
        </w:rPr>
        <w:t>5.</w:t>
      </w:r>
    </w:p>
    <w:p w14:paraId="19CF68D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Zamorski</w:t>
      </w:r>
      <w:proofErr w:type="spellEnd"/>
      <w:r w:rsidRPr="00520861">
        <w:rPr>
          <w:rFonts w:eastAsiaTheme="minorHAnsi"/>
          <w:sz w:val="28"/>
          <w:szCs w:val="28"/>
          <w:lang w:eastAsia="en-US"/>
        </w:rPr>
        <w:t xml:space="preserve"> MA</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Biggs</w:t>
      </w:r>
      <w:proofErr w:type="spellEnd"/>
      <w:r w:rsidRPr="00520861">
        <w:rPr>
          <w:rFonts w:eastAsiaTheme="minorHAnsi"/>
          <w:sz w:val="28"/>
          <w:szCs w:val="28"/>
          <w:lang w:eastAsia="en-US"/>
        </w:rPr>
        <w:t xml:space="preserve"> WS. </w:t>
      </w:r>
      <w:proofErr w:type="spellStart"/>
      <w:r w:rsidRPr="00520861">
        <w:rPr>
          <w:rFonts w:eastAsiaTheme="minorHAnsi"/>
          <w:sz w:val="28"/>
          <w:szCs w:val="28"/>
          <w:lang w:eastAsia="en-US"/>
        </w:rPr>
        <w:t>Management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suspected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fetal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Am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Fam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Physician</w:t>
      </w:r>
      <w:proofErr w:type="spellEnd"/>
      <w:r w:rsidRPr="00520861">
        <w:rPr>
          <w:rFonts w:eastAsiaTheme="minorHAnsi"/>
          <w:sz w:val="28"/>
          <w:szCs w:val="28"/>
          <w:lang w:val="en-US" w:eastAsia="en-US"/>
        </w:rPr>
        <w:t>.</w:t>
      </w:r>
      <w:r w:rsidRPr="00520861">
        <w:rPr>
          <w:rFonts w:eastAsiaTheme="minorHAnsi"/>
          <w:sz w:val="28"/>
          <w:szCs w:val="28"/>
          <w:lang w:eastAsia="en-US"/>
        </w:rPr>
        <w:t xml:space="preserve"> 2001</w:t>
      </w:r>
      <w:r w:rsidRPr="00520861">
        <w:rPr>
          <w:rFonts w:eastAsiaTheme="minorHAnsi"/>
          <w:sz w:val="28"/>
          <w:szCs w:val="28"/>
          <w:lang w:val="en-US" w:eastAsia="en-US"/>
        </w:rPr>
        <w:t>;</w:t>
      </w:r>
      <w:r w:rsidRPr="00520861">
        <w:rPr>
          <w:rFonts w:eastAsiaTheme="minorHAnsi"/>
          <w:sz w:val="28"/>
          <w:szCs w:val="28"/>
          <w:lang w:eastAsia="en-US"/>
        </w:rPr>
        <w:t>63(2)</w:t>
      </w:r>
      <w:r w:rsidRPr="00520861">
        <w:rPr>
          <w:rFonts w:eastAsiaTheme="minorHAnsi"/>
          <w:sz w:val="28"/>
          <w:szCs w:val="28"/>
          <w:lang w:val="en-US" w:eastAsia="en-US"/>
        </w:rPr>
        <w:t>:</w:t>
      </w:r>
      <w:r w:rsidRPr="00520861">
        <w:rPr>
          <w:rFonts w:eastAsiaTheme="minorHAnsi"/>
          <w:sz w:val="28"/>
          <w:szCs w:val="28"/>
          <w:lang w:eastAsia="en-US"/>
        </w:rPr>
        <w:t xml:space="preserve"> 302–</w:t>
      </w:r>
      <w:r w:rsidRPr="00520861">
        <w:rPr>
          <w:rFonts w:eastAsiaTheme="minorHAnsi"/>
          <w:sz w:val="28"/>
          <w:szCs w:val="28"/>
          <w:lang w:val="en-US" w:eastAsia="en-US"/>
        </w:rPr>
        <w:t>30</w:t>
      </w:r>
      <w:r w:rsidRPr="00520861">
        <w:rPr>
          <w:rFonts w:eastAsiaTheme="minorHAnsi"/>
          <w:sz w:val="28"/>
          <w:szCs w:val="28"/>
          <w:lang w:eastAsia="en-US"/>
        </w:rPr>
        <w:t>6.</w:t>
      </w:r>
    </w:p>
    <w:p w14:paraId="44F4FBA2"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lastRenderedPageBreak/>
        <w:t>Zawiejska</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Wender-Ozegowska</w:t>
      </w:r>
      <w:proofErr w:type="spellEnd"/>
      <w:r w:rsidRPr="00520861">
        <w:rPr>
          <w:rFonts w:eastAsiaTheme="minorHAnsi"/>
          <w:sz w:val="28"/>
          <w:szCs w:val="28"/>
          <w:lang w:eastAsia="en-US"/>
        </w:rPr>
        <w:t xml:space="preserve"> E, </w:t>
      </w:r>
      <w:proofErr w:type="spellStart"/>
      <w:r w:rsidRPr="00520861">
        <w:rPr>
          <w:rFonts w:eastAsiaTheme="minorHAnsi"/>
          <w:sz w:val="28"/>
          <w:szCs w:val="28"/>
          <w:lang w:eastAsia="en-US"/>
        </w:rPr>
        <w:t>Bogacz</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Iciek</w:t>
      </w:r>
      <w:proofErr w:type="spellEnd"/>
      <w:r w:rsidRPr="00520861">
        <w:rPr>
          <w:rFonts w:eastAsiaTheme="minorHAnsi"/>
          <w:sz w:val="28"/>
          <w:szCs w:val="28"/>
          <w:lang w:eastAsia="en-US"/>
        </w:rPr>
        <w:t xml:space="preserve"> R, </w:t>
      </w:r>
      <w:proofErr w:type="spellStart"/>
      <w:r w:rsidRPr="00520861">
        <w:rPr>
          <w:rFonts w:eastAsiaTheme="minorHAnsi"/>
          <w:sz w:val="28"/>
          <w:szCs w:val="28"/>
          <w:lang w:eastAsia="en-US"/>
        </w:rPr>
        <w:t>Mikolajczak</w:t>
      </w:r>
      <w:proofErr w:type="spellEnd"/>
      <w:r w:rsidRPr="00520861">
        <w:rPr>
          <w:rFonts w:eastAsiaTheme="minorHAnsi"/>
          <w:sz w:val="28"/>
          <w:szCs w:val="28"/>
          <w:lang w:eastAsia="en-US"/>
        </w:rPr>
        <w:t xml:space="preserve"> P, </w:t>
      </w:r>
      <w:proofErr w:type="spellStart"/>
      <w:r w:rsidRPr="00520861">
        <w:rPr>
          <w:rFonts w:eastAsiaTheme="minorHAnsi"/>
          <w:sz w:val="28"/>
          <w:szCs w:val="28"/>
          <w:lang w:eastAsia="en-US"/>
        </w:rPr>
        <w:t>Brazert</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An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observational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risk</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neonatal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macrosomia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early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selected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candidate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type</w:t>
      </w:r>
      <w:proofErr w:type="spellEnd"/>
      <w:r w:rsidRPr="00520861">
        <w:rPr>
          <w:rFonts w:eastAsiaTheme="minorHAnsi"/>
          <w:sz w:val="28"/>
          <w:szCs w:val="28"/>
          <w:lang w:eastAsia="en-US"/>
        </w:rPr>
        <w:t xml:space="preserve"> 2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mellitus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gestational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diabetes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mellitus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Ginekol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Pol</w:t>
      </w:r>
      <w:proofErr w:type="spellEnd"/>
      <w:r w:rsidRPr="00520861">
        <w:rPr>
          <w:rFonts w:eastAsiaTheme="minorHAnsi"/>
          <w:sz w:val="28"/>
          <w:szCs w:val="28"/>
          <w:lang w:eastAsia="en-US"/>
        </w:rPr>
        <w:t>. 2018;89(12):</w:t>
      </w:r>
      <w:r w:rsidRPr="00520861">
        <w:rPr>
          <w:rFonts w:eastAsiaTheme="minorHAnsi"/>
          <w:sz w:val="28"/>
          <w:szCs w:val="28"/>
          <w:lang w:val="en-US" w:eastAsia="en-US"/>
        </w:rPr>
        <w:t xml:space="preserve"> </w:t>
      </w:r>
      <w:r w:rsidRPr="00520861">
        <w:rPr>
          <w:rFonts w:eastAsiaTheme="minorHAnsi"/>
          <w:sz w:val="28"/>
          <w:szCs w:val="28"/>
          <w:lang w:eastAsia="en-US"/>
        </w:rPr>
        <w:t xml:space="preserve">705–710.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 xml:space="preserve">DOI: </w:t>
      </w:r>
      <w:r w:rsidRPr="00520861">
        <w:rPr>
          <w:rFonts w:eastAsiaTheme="minorHAnsi"/>
          <w:sz w:val="28"/>
          <w:szCs w:val="28"/>
          <w:lang w:eastAsia="en-US"/>
        </w:rPr>
        <w:t>10.5603/GP.a2018.0119</w:t>
      </w:r>
      <w:r w:rsidRPr="00520861">
        <w:rPr>
          <w:rFonts w:eastAsiaTheme="minorHAnsi"/>
          <w:sz w:val="28"/>
          <w:szCs w:val="28"/>
          <w:lang w:val="en-US" w:eastAsia="en-US"/>
        </w:rPr>
        <w:t>.</w:t>
      </w:r>
    </w:p>
    <w:p w14:paraId="05664A4D"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Meng</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Zhao</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Li</w:t>
      </w:r>
      <w:proofErr w:type="spellEnd"/>
      <w:r w:rsidRPr="00520861">
        <w:rPr>
          <w:rFonts w:eastAsiaTheme="minorHAnsi"/>
          <w:sz w:val="28"/>
          <w:szCs w:val="28"/>
          <w:lang w:eastAsia="en-US"/>
        </w:rPr>
        <w:t xml:space="preserve"> Q, </w:t>
      </w:r>
      <w:proofErr w:type="spellStart"/>
      <w:r w:rsidRPr="00520861">
        <w:rPr>
          <w:rFonts w:eastAsiaTheme="minorHAnsi"/>
          <w:sz w:val="28"/>
          <w:szCs w:val="28"/>
          <w:lang w:eastAsia="en-US"/>
        </w:rPr>
        <w:t>Xu</w:t>
      </w:r>
      <w:proofErr w:type="spellEnd"/>
      <w:r w:rsidRPr="00520861">
        <w:rPr>
          <w:rFonts w:eastAsiaTheme="minorHAnsi"/>
          <w:sz w:val="28"/>
          <w:szCs w:val="28"/>
          <w:lang w:eastAsia="en-US"/>
        </w:rPr>
        <w:t xml:space="preserve"> L, </w:t>
      </w:r>
      <w:r w:rsidRPr="00520861">
        <w:rPr>
          <w:rFonts w:eastAsiaTheme="minorHAnsi"/>
          <w:sz w:val="28"/>
          <w:szCs w:val="28"/>
          <w:lang w:val="en-US" w:eastAsia="en-US"/>
        </w:rPr>
        <w:t xml:space="preserve">Chen Z,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-α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patients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Periodont</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sz w:val="28"/>
          <w:szCs w:val="28"/>
          <w:lang w:eastAsia="en-US"/>
        </w:rPr>
        <w:t xml:space="preserve">. 2004;39(5): 362–366. </w:t>
      </w:r>
      <w:r w:rsidR="00D9196F" w:rsidRPr="00520861">
        <w:rPr>
          <w:rFonts w:eastAsiaTheme="minorHAnsi"/>
          <w:sz w:val="28"/>
          <w:szCs w:val="28"/>
          <w:lang w:eastAsia="en-US"/>
        </w:rPr>
        <w:br/>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10.1111/j.1600-0765.2004.</w:t>
      </w:r>
      <w:proofErr w:type="gramStart"/>
      <w:r w:rsidRPr="00520861">
        <w:rPr>
          <w:rFonts w:eastAsiaTheme="minorHAnsi"/>
          <w:sz w:val="28"/>
          <w:szCs w:val="28"/>
          <w:lang w:eastAsia="en-US"/>
        </w:rPr>
        <w:t>00736.x</w:t>
      </w:r>
      <w:r w:rsidRPr="00520861">
        <w:rPr>
          <w:rFonts w:eastAsiaTheme="minorHAnsi"/>
          <w:sz w:val="28"/>
          <w:szCs w:val="28"/>
          <w:lang w:val="en-US" w:eastAsia="en-US"/>
        </w:rPr>
        <w:t>.</w:t>
      </w:r>
      <w:proofErr w:type="gramEnd"/>
    </w:p>
    <w:p w14:paraId="403D144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Xu</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Cai</w:t>
      </w:r>
      <w:proofErr w:type="spellEnd"/>
      <w:r w:rsidRPr="00520861">
        <w:rPr>
          <w:rFonts w:eastAsiaTheme="minorHAnsi"/>
          <w:sz w:val="28"/>
          <w:szCs w:val="28"/>
          <w:lang w:eastAsia="en-US"/>
        </w:rPr>
        <w:t xml:space="preserve"> ZG, </w:t>
      </w:r>
      <w:proofErr w:type="spellStart"/>
      <w:r w:rsidRPr="00520861">
        <w:rPr>
          <w:rFonts w:eastAsiaTheme="minorHAnsi"/>
          <w:sz w:val="28"/>
          <w:szCs w:val="28"/>
          <w:lang w:eastAsia="en-US"/>
        </w:rPr>
        <w:t>Mao</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Peng</w:t>
      </w:r>
      <w:proofErr w:type="spellEnd"/>
      <w:r w:rsidRPr="00520861">
        <w:rPr>
          <w:rFonts w:eastAsiaTheme="minorHAnsi"/>
          <w:sz w:val="28"/>
          <w:szCs w:val="28"/>
          <w:lang w:eastAsia="en-US"/>
        </w:rPr>
        <w:t xml:space="preserve"> X, </w:t>
      </w:r>
      <w:r w:rsidRPr="00520861">
        <w:rPr>
          <w:rFonts w:eastAsiaTheme="minorHAnsi"/>
          <w:sz w:val="28"/>
          <w:szCs w:val="28"/>
          <w:lang w:val="en-US" w:eastAsia="en-US"/>
        </w:rPr>
        <w:t>et al.</w:t>
      </w:r>
      <w:r w:rsidRPr="00520861">
        <w:rPr>
          <w:rFonts w:eastAsiaTheme="minorHAnsi"/>
          <w:sz w:val="28"/>
          <w:szCs w:val="28"/>
          <w:lang w:eastAsia="en-US"/>
        </w:rPr>
        <w:t xml:space="preserve"> </w:t>
      </w:r>
      <w:proofErr w:type="spellStart"/>
      <w:r w:rsidRPr="00520861">
        <w:rPr>
          <w:rFonts w:eastAsiaTheme="minorHAnsi"/>
          <w:sz w:val="28"/>
          <w:szCs w:val="28"/>
          <w:lang w:eastAsia="en-US"/>
        </w:rPr>
        <w:t>Clinical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anatomic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study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ducts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submandibular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sublingual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glands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Maxillofac</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Surg</w:t>
      </w:r>
      <w:proofErr w:type="spellEnd"/>
      <w:r w:rsidRPr="00520861">
        <w:rPr>
          <w:rFonts w:eastAsiaTheme="minorHAnsi"/>
          <w:sz w:val="28"/>
          <w:szCs w:val="28"/>
          <w:lang w:eastAsia="en-US"/>
        </w:rPr>
        <w:t>. 2010;68(3):</w:t>
      </w:r>
      <w:r w:rsidRPr="00520861">
        <w:rPr>
          <w:rFonts w:eastAsiaTheme="minorHAnsi"/>
          <w:sz w:val="28"/>
          <w:szCs w:val="28"/>
          <w:lang w:val="en-US" w:eastAsia="en-US"/>
        </w:rPr>
        <w:t xml:space="preserve"> </w:t>
      </w:r>
      <w:r w:rsidRPr="00520861">
        <w:rPr>
          <w:rFonts w:eastAsiaTheme="minorHAnsi"/>
          <w:sz w:val="28"/>
          <w:szCs w:val="28"/>
          <w:lang w:eastAsia="en-US"/>
        </w:rPr>
        <w:t>606–</w:t>
      </w:r>
      <w:r w:rsidRPr="00520861">
        <w:rPr>
          <w:rFonts w:eastAsiaTheme="minorHAnsi"/>
          <w:sz w:val="28"/>
          <w:szCs w:val="28"/>
          <w:lang w:val="en-US" w:eastAsia="en-US"/>
        </w:rPr>
        <w:t>6</w:t>
      </w:r>
      <w:r w:rsidRPr="00520861">
        <w:rPr>
          <w:rFonts w:eastAsiaTheme="minorHAnsi"/>
          <w:sz w:val="28"/>
          <w:szCs w:val="28"/>
          <w:lang w:eastAsia="en-US"/>
        </w:rPr>
        <w:t>10.</w:t>
      </w:r>
    </w:p>
    <w:p w14:paraId="024003B9"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Q, </w:t>
      </w:r>
      <w:proofErr w:type="spellStart"/>
      <w:r w:rsidRPr="00520861">
        <w:rPr>
          <w:rFonts w:eastAsiaTheme="minorHAnsi"/>
          <w:sz w:val="28"/>
          <w:szCs w:val="28"/>
          <w:lang w:eastAsia="en-US"/>
        </w:rPr>
        <w:t>Chen</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YanF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Guo</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Zhu</w:t>
      </w:r>
      <w:proofErr w:type="spellEnd"/>
      <w:r w:rsidRPr="00520861">
        <w:rPr>
          <w:rFonts w:eastAsiaTheme="minorHAnsi"/>
          <w:sz w:val="28"/>
          <w:szCs w:val="28"/>
          <w:lang w:eastAsia="en-US"/>
        </w:rPr>
        <w:t xml:space="preserve"> X,  </w:t>
      </w:r>
      <w:proofErr w:type="spellStart"/>
      <w:r w:rsidRPr="00520861">
        <w:rPr>
          <w:rFonts w:eastAsiaTheme="minorHAnsi"/>
          <w:sz w:val="28"/>
          <w:szCs w:val="28"/>
          <w:lang w:eastAsia="en-US"/>
        </w:rPr>
        <w:t>Ma</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Interleukin-10 </w:t>
      </w:r>
      <w:proofErr w:type="spellStart"/>
      <w:r w:rsidRPr="00520861">
        <w:rPr>
          <w:rFonts w:eastAsiaTheme="minorHAnsi"/>
          <w:sz w:val="28"/>
          <w:szCs w:val="28"/>
          <w:lang w:eastAsia="en-US"/>
        </w:rPr>
        <w:t>inhibits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resorption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potential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therapeutic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strategy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other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loss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diseases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Biomed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Int</w:t>
      </w:r>
      <w:proofErr w:type="spellEnd"/>
      <w:r w:rsidRPr="00520861">
        <w:rPr>
          <w:rFonts w:eastAsiaTheme="minorHAnsi"/>
          <w:sz w:val="28"/>
          <w:szCs w:val="28"/>
          <w:lang w:val="en-US" w:eastAsia="en-US"/>
        </w:rPr>
        <w:t xml:space="preserve"> [Internet]</w:t>
      </w:r>
      <w:r w:rsidRPr="00520861">
        <w:rPr>
          <w:rFonts w:eastAsiaTheme="minorHAnsi"/>
          <w:sz w:val="28"/>
          <w:szCs w:val="28"/>
          <w:lang w:eastAsia="en-US"/>
        </w:rPr>
        <w:t>. 2014</w:t>
      </w:r>
      <w:r w:rsidRPr="00520861">
        <w:rPr>
          <w:rFonts w:eastAsiaTheme="minorHAnsi"/>
          <w:sz w:val="28"/>
          <w:szCs w:val="28"/>
          <w:lang w:val="en-US" w:eastAsia="en-US"/>
        </w:rPr>
        <w:t xml:space="preserve"> Feb [cited 2020 Jun 16]</w:t>
      </w:r>
      <w:r w:rsidRPr="00520861">
        <w:rPr>
          <w:rFonts w:eastAsiaTheme="minorHAnsi"/>
          <w:sz w:val="28"/>
          <w:szCs w:val="28"/>
          <w:lang w:eastAsia="en-US"/>
        </w:rPr>
        <w:t xml:space="preserve">;2014: 284836.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10.1155/2014/284836.</w:t>
      </w:r>
    </w:p>
    <w:p w14:paraId="6CDB837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X, </w:t>
      </w:r>
      <w:proofErr w:type="spellStart"/>
      <w:r w:rsidRPr="00520861">
        <w:rPr>
          <w:rFonts w:eastAsiaTheme="minorHAnsi"/>
          <w:sz w:val="28"/>
          <w:szCs w:val="28"/>
          <w:lang w:eastAsia="en-US"/>
        </w:rPr>
        <w:t>Dai</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Long</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Wu</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Li</w:t>
      </w:r>
      <w:proofErr w:type="spellEnd"/>
      <w:r w:rsidRPr="00520861">
        <w:rPr>
          <w:rFonts w:eastAsiaTheme="minorHAnsi"/>
          <w:sz w:val="28"/>
          <w:szCs w:val="28"/>
          <w:lang w:eastAsia="en-US"/>
        </w:rPr>
        <w:t xml:space="preserve"> X, </w:t>
      </w:r>
      <w:proofErr w:type="spellStart"/>
      <w:r w:rsidRPr="00520861">
        <w:rPr>
          <w:rFonts w:eastAsiaTheme="minorHAnsi"/>
          <w:sz w:val="28"/>
          <w:szCs w:val="28"/>
          <w:lang w:eastAsia="en-US"/>
        </w:rPr>
        <w:t>Ding</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Correlation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estrogen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receptor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alpha</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chronic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Chin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Engl</w:t>
      </w:r>
      <w:proofErr w:type="spellEnd"/>
      <w:r w:rsidRPr="00520861">
        <w:rPr>
          <w:rFonts w:eastAsiaTheme="minorHAnsi"/>
          <w:i/>
          <w:sz w:val="28"/>
          <w:szCs w:val="28"/>
          <w:lang w:eastAsia="en-US"/>
        </w:rPr>
        <w:t>)</w:t>
      </w:r>
      <w:r w:rsidRPr="00520861">
        <w:rPr>
          <w:rFonts w:eastAsiaTheme="minorHAnsi"/>
          <w:sz w:val="28"/>
          <w:szCs w:val="28"/>
          <w:lang w:eastAsia="en-US"/>
        </w:rPr>
        <w:t>. 2010; 123(22): 3262</w:t>
      </w:r>
      <w:r w:rsidRPr="00520861">
        <w:rPr>
          <w:rFonts w:eastAsiaTheme="minorHAnsi"/>
          <w:sz w:val="28"/>
          <w:szCs w:val="28"/>
          <w:lang w:val="en-US" w:eastAsia="en-US"/>
        </w:rPr>
        <w:t>–</w:t>
      </w:r>
      <w:r w:rsidRPr="00520861">
        <w:rPr>
          <w:rFonts w:eastAsiaTheme="minorHAnsi"/>
          <w:sz w:val="28"/>
          <w:szCs w:val="28"/>
          <w:lang w:eastAsia="en-US"/>
        </w:rPr>
        <w:t>3267.</w:t>
      </w:r>
    </w:p>
    <w:p w14:paraId="3C4F02A3"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Zhao</w:t>
      </w:r>
      <w:proofErr w:type="spellEnd"/>
      <w:r w:rsidRPr="00520861">
        <w:rPr>
          <w:rFonts w:eastAsiaTheme="minorHAnsi"/>
          <w:sz w:val="28"/>
          <w:szCs w:val="28"/>
          <w:lang w:eastAsia="en-US"/>
        </w:rPr>
        <w:t xml:space="preserve"> B, </w:t>
      </w:r>
      <w:proofErr w:type="spellStart"/>
      <w:r w:rsidRPr="00520861">
        <w:rPr>
          <w:rFonts w:eastAsiaTheme="minorHAnsi"/>
          <w:sz w:val="28"/>
          <w:szCs w:val="28"/>
          <w:lang w:eastAsia="en-US"/>
        </w:rPr>
        <w:t>Jin</w:t>
      </w:r>
      <w:proofErr w:type="spellEnd"/>
      <w:r w:rsidRPr="00520861">
        <w:rPr>
          <w:rFonts w:eastAsiaTheme="minorHAnsi"/>
          <w:sz w:val="28"/>
          <w:szCs w:val="28"/>
          <w:lang w:eastAsia="en-US"/>
        </w:rPr>
        <w:t xml:space="preserve"> C, </w:t>
      </w:r>
      <w:proofErr w:type="spellStart"/>
      <w:r w:rsidRPr="00520861">
        <w:rPr>
          <w:rFonts w:eastAsiaTheme="minorHAnsi"/>
          <w:sz w:val="28"/>
          <w:szCs w:val="28"/>
          <w:lang w:eastAsia="en-US"/>
        </w:rPr>
        <w:t>Li</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Increased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expression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TNF-α </w:t>
      </w:r>
      <w:proofErr w:type="spellStart"/>
      <w:r w:rsidRPr="00520861">
        <w:rPr>
          <w:rFonts w:eastAsiaTheme="minorHAnsi"/>
          <w:sz w:val="28"/>
          <w:szCs w:val="28"/>
          <w:lang w:eastAsia="en-US"/>
        </w:rPr>
        <w:t>occurs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before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the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development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among</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obese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Chinese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children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potential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marker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prediction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prevention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of</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periodontitis</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Oral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Health</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Prev</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Dent</w:t>
      </w:r>
      <w:proofErr w:type="spellEnd"/>
      <w:r w:rsidRPr="00520861">
        <w:rPr>
          <w:rFonts w:eastAsiaTheme="minorHAnsi"/>
          <w:sz w:val="28"/>
          <w:szCs w:val="28"/>
          <w:lang w:eastAsia="en-US"/>
        </w:rPr>
        <w:t xml:space="preserve">. 2016;14(1): 71–75.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10.3290/j.ohpd.a35006.</w:t>
      </w:r>
    </w:p>
    <w:p w14:paraId="3E24FD9C"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Zhao</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Kato</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Y, </w:t>
      </w:r>
      <w:proofErr w:type="spellStart"/>
      <w:r w:rsidRPr="00520861">
        <w:rPr>
          <w:rFonts w:eastAsiaTheme="minorHAnsi"/>
          <w:sz w:val="28"/>
          <w:szCs w:val="28"/>
          <w:lang w:eastAsia="en-US"/>
        </w:rPr>
        <w:t>Harris</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Ahuja</w:t>
      </w:r>
      <w:proofErr w:type="spellEnd"/>
      <w:r w:rsidRPr="00520861">
        <w:rPr>
          <w:rFonts w:eastAsiaTheme="minorHAnsi"/>
          <w:sz w:val="28"/>
          <w:szCs w:val="28"/>
          <w:lang w:eastAsia="en-US"/>
        </w:rPr>
        <w:t xml:space="preserve"> SS, </w:t>
      </w:r>
      <w:proofErr w:type="spellStart"/>
      <w:r w:rsidRPr="00520861">
        <w:rPr>
          <w:rFonts w:eastAsiaTheme="minorHAnsi"/>
          <w:sz w:val="28"/>
          <w:szCs w:val="28"/>
          <w:lang w:eastAsia="en-US"/>
        </w:rPr>
        <w:t>Bonewald</w:t>
      </w:r>
      <w:proofErr w:type="spellEnd"/>
      <w:r w:rsidRPr="00520861">
        <w:rPr>
          <w:rFonts w:eastAsiaTheme="minorHAnsi"/>
          <w:sz w:val="28"/>
          <w:szCs w:val="28"/>
          <w:lang w:eastAsia="en-US"/>
        </w:rPr>
        <w:t xml:space="preserve"> LF. MLO-Y4 </w:t>
      </w:r>
      <w:proofErr w:type="spellStart"/>
      <w:r w:rsidRPr="00520861">
        <w:rPr>
          <w:rFonts w:eastAsiaTheme="minorHAnsi"/>
          <w:sz w:val="28"/>
          <w:szCs w:val="28"/>
          <w:lang w:eastAsia="en-US"/>
        </w:rPr>
        <w:t>osteocyte-like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cells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support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osteoclast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formation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activation</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Journal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of</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Bone</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and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Mineral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Research</w:t>
      </w:r>
      <w:proofErr w:type="spellEnd"/>
      <w:r w:rsidRPr="00520861">
        <w:rPr>
          <w:rFonts w:eastAsiaTheme="minorHAnsi"/>
          <w:sz w:val="28"/>
          <w:szCs w:val="28"/>
          <w:lang w:eastAsia="en-US"/>
        </w:rPr>
        <w:t>. 2002;17(11):</w:t>
      </w:r>
      <w:r w:rsidRPr="00520861">
        <w:rPr>
          <w:rFonts w:eastAsiaTheme="minorHAnsi"/>
          <w:sz w:val="28"/>
          <w:szCs w:val="28"/>
          <w:lang w:val="en-US" w:eastAsia="en-US"/>
        </w:rPr>
        <w:t xml:space="preserve"> </w:t>
      </w:r>
      <w:r w:rsidRPr="00520861">
        <w:rPr>
          <w:rFonts w:eastAsiaTheme="minorHAnsi"/>
          <w:sz w:val="28"/>
          <w:szCs w:val="28"/>
          <w:lang w:eastAsia="en-US"/>
        </w:rPr>
        <w:t xml:space="preserve">2068–2079.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DOI: 10.1359/jbmr.2002.17.11.2068.</w:t>
      </w:r>
    </w:p>
    <w:p w14:paraId="2C220DB5"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Zhou</w:t>
      </w:r>
      <w:proofErr w:type="spellEnd"/>
      <w:r w:rsidRPr="00520861">
        <w:rPr>
          <w:rFonts w:eastAsiaTheme="minorHAnsi"/>
          <w:sz w:val="28"/>
          <w:szCs w:val="28"/>
          <w:lang w:eastAsia="en-US"/>
        </w:rPr>
        <w:t xml:space="preserve"> XG, </w:t>
      </w:r>
      <w:proofErr w:type="spellStart"/>
      <w:r w:rsidRPr="00520861">
        <w:rPr>
          <w:rFonts w:eastAsiaTheme="minorHAnsi"/>
          <w:sz w:val="28"/>
          <w:szCs w:val="28"/>
          <w:lang w:eastAsia="en-US"/>
        </w:rPr>
        <w:t>Liu</w:t>
      </w:r>
      <w:proofErr w:type="spellEnd"/>
      <w:r w:rsidRPr="00520861">
        <w:rPr>
          <w:rFonts w:eastAsiaTheme="minorHAnsi"/>
          <w:sz w:val="28"/>
          <w:szCs w:val="28"/>
          <w:lang w:eastAsia="en-US"/>
        </w:rPr>
        <w:t xml:space="preserve"> YZ, </w:t>
      </w:r>
      <w:proofErr w:type="spellStart"/>
      <w:r w:rsidRPr="00520861">
        <w:rPr>
          <w:rFonts w:eastAsiaTheme="minorHAnsi"/>
          <w:sz w:val="28"/>
          <w:szCs w:val="28"/>
          <w:lang w:eastAsia="en-US"/>
        </w:rPr>
        <w:t>Li</w:t>
      </w:r>
      <w:proofErr w:type="spellEnd"/>
      <w:r w:rsidRPr="00520861">
        <w:rPr>
          <w:rFonts w:eastAsiaTheme="minorHAnsi"/>
          <w:sz w:val="28"/>
          <w:szCs w:val="28"/>
          <w:lang w:eastAsia="en-US"/>
        </w:rPr>
        <w:t xml:space="preserve"> MX, </w:t>
      </w:r>
      <w:proofErr w:type="spellStart"/>
      <w:r w:rsidRPr="00520861">
        <w:rPr>
          <w:rFonts w:eastAsiaTheme="minorHAnsi"/>
          <w:sz w:val="28"/>
          <w:szCs w:val="28"/>
          <w:lang w:eastAsia="en-US"/>
        </w:rPr>
        <w:t>Jian</w:t>
      </w:r>
      <w:proofErr w:type="spellEnd"/>
      <w:r w:rsidRPr="00520861">
        <w:rPr>
          <w:rFonts w:eastAsiaTheme="minorHAnsi"/>
          <w:sz w:val="28"/>
          <w:szCs w:val="28"/>
          <w:lang w:eastAsia="en-US"/>
        </w:rPr>
        <w:t xml:space="preserve"> WX, </w:t>
      </w:r>
      <w:proofErr w:type="spellStart"/>
      <w:r w:rsidRPr="00520861">
        <w:rPr>
          <w:rFonts w:eastAsiaTheme="minorHAnsi"/>
          <w:sz w:val="28"/>
          <w:szCs w:val="28"/>
          <w:lang w:eastAsia="en-US"/>
        </w:rPr>
        <w:t>Lei</w:t>
      </w:r>
      <w:proofErr w:type="spellEnd"/>
      <w:r w:rsidRPr="00520861">
        <w:rPr>
          <w:rFonts w:eastAsiaTheme="minorHAnsi"/>
          <w:sz w:val="28"/>
          <w:szCs w:val="28"/>
          <w:lang w:eastAsia="en-US"/>
        </w:rPr>
        <w:t xml:space="preserve"> SF, </w:t>
      </w:r>
      <w:proofErr w:type="spellStart"/>
      <w:r w:rsidRPr="00520861">
        <w:rPr>
          <w:rFonts w:eastAsiaTheme="minorHAnsi"/>
          <w:sz w:val="28"/>
          <w:szCs w:val="28"/>
          <w:lang w:eastAsia="en-US"/>
        </w:rPr>
        <w:t>Qin</w:t>
      </w:r>
      <w:proofErr w:type="spellEnd"/>
      <w:r w:rsidRPr="00520861">
        <w:rPr>
          <w:rFonts w:eastAsiaTheme="minorHAnsi"/>
          <w:sz w:val="28"/>
          <w:szCs w:val="28"/>
          <w:lang w:eastAsia="en-US"/>
        </w:rPr>
        <w:t xml:space="preserve"> YJ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Parathyroid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hormone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with</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phenotypes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Chinese</w:t>
      </w:r>
      <w:proofErr w:type="spellEnd"/>
      <w:r w:rsidRPr="00520861">
        <w:rPr>
          <w:rFonts w:eastAsiaTheme="minorHAnsi"/>
          <w:sz w:val="28"/>
          <w:szCs w:val="28"/>
          <w:lang w:eastAsia="en-US"/>
        </w:rPr>
        <w:t xml:space="preserve">. </w:t>
      </w:r>
      <w:proofErr w:type="spellStart"/>
      <w:r w:rsidRPr="00520861">
        <w:rPr>
          <w:rFonts w:eastAsiaTheme="minorHAnsi"/>
          <w:i/>
          <w:sz w:val="28"/>
          <w:szCs w:val="28"/>
          <w:lang w:eastAsia="en-US"/>
        </w:rPr>
        <w:t>Biochem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Biophys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Res</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Commun</w:t>
      </w:r>
      <w:proofErr w:type="spellEnd"/>
      <w:r w:rsidRPr="00520861">
        <w:rPr>
          <w:rFonts w:eastAsiaTheme="minorHAnsi"/>
          <w:sz w:val="28"/>
          <w:szCs w:val="28"/>
          <w:lang w:eastAsia="en-US"/>
        </w:rPr>
        <w:t>. 2003;307(3):</w:t>
      </w:r>
      <w:r w:rsidRPr="00520861">
        <w:rPr>
          <w:rFonts w:eastAsiaTheme="minorHAnsi"/>
          <w:sz w:val="28"/>
          <w:szCs w:val="28"/>
          <w:lang w:val="en-US" w:eastAsia="en-US"/>
        </w:rPr>
        <w:t xml:space="preserve"> </w:t>
      </w:r>
      <w:r w:rsidRPr="00520861">
        <w:rPr>
          <w:rFonts w:eastAsiaTheme="minorHAnsi"/>
          <w:sz w:val="28"/>
          <w:szCs w:val="28"/>
          <w:lang w:eastAsia="en-US"/>
        </w:rPr>
        <w:t>666–</w:t>
      </w:r>
      <w:r w:rsidRPr="00520861">
        <w:rPr>
          <w:rFonts w:eastAsiaTheme="minorHAnsi"/>
          <w:sz w:val="28"/>
          <w:szCs w:val="28"/>
          <w:lang w:val="en-US" w:eastAsia="en-US"/>
        </w:rPr>
        <w:t>6</w:t>
      </w:r>
      <w:r w:rsidRPr="00520861">
        <w:rPr>
          <w:rFonts w:eastAsiaTheme="minorHAnsi"/>
          <w:sz w:val="28"/>
          <w:szCs w:val="28"/>
          <w:lang w:eastAsia="en-US"/>
        </w:rPr>
        <w:t xml:space="preserve">71.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10.1016/s0006-291</w:t>
      </w:r>
      <w:proofErr w:type="gramStart"/>
      <w:r w:rsidRPr="00520861">
        <w:rPr>
          <w:rFonts w:eastAsiaTheme="minorHAnsi"/>
          <w:sz w:val="28"/>
          <w:szCs w:val="28"/>
          <w:lang w:eastAsia="en-US"/>
        </w:rPr>
        <w:t>x(</w:t>
      </w:r>
      <w:proofErr w:type="gramEnd"/>
      <w:r w:rsidRPr="00520861">
        <w:rPr>
          <w:rFonts w:eastAsiaTheme="minorHAnsi"/>
          <w:sz w:val="28"/>
          <w:szCs w:val="28"/>
          <w:lang w:eastAsia="en-US"/>
        </w:rPr>
        <w:t>03)01261-0.</w:t>
      </w:r>
    </w:p>
    <w:p w14:paraId="3174AFE6"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Zhu</w:t>
      </w:r>
      <w:proofErr w:type="spellEnd"/>
      <w:r w:rsidRPr="00520861">
        <w:rPr>
          <w:rFonts w:eastAsiaTheme="minorHAnsi"/>
          <w:sz w:val="28"/>
          <w:szCs w:val="28"/>
          <w:lang w:eastAsia="en-US"/>
        </w:rPr>
        <w:t xml:space="preserve"> H, </w:t>
      </w:r>
      <w:proofErr w:type="spellStart"/>
      <w:r w:rsidRPr="00520861">
        <w:rPr>
          <w:rFonts w:eastAsiaTheme="minorHAnsi"/>
          <w:sz w:val="28"/>
          <w:szCs w:val="28"/>
          <w:lang w:eastAsia="en-US"/>
        </w:rPr>
        <w:t>Jiang</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Wang</w:t>
      </w:r>
      <w:proofErr w:type="spellEnd"/>
      <w:r w:rsidRPr="00520861">
        <w:rPr>
          <w:rFonts w:eastAsiaTheme="minorHAnsi"/>
          <w:sz w:val="28"/>
          <w:szCs w:val="28"/>
          <w:lang w:eastAsia="en-US"/>
        </w:rPr>
        <w:t xml:space="preserve"> Q, </w:t>
      </w:r>
      <w:proofErr w:type="spellStart"/>
      <w:r w:rsidRPr="00520861">
        <w:rPr>
          <w:rFonts w:eastAsiaTheme="minorHAnsi"/>
          <w:sz w:val="28"/>
          <w:szCs w:val="28"/>
          <w:lang w:eastAsia="en-US"/>
        </w:rPr>
        <w:t>Zong</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Zhang</w:t>
      </w:r>
      <w:proofErr w:type="spellEnd"/>
      <w:r w:rsidRPr="00520861">
        <w:rPr>
          <w:rFonts w:eastAsiaTheme="minorHAnsi"/>
          <w:sz w:val="28"/>
          <w:szCs w:val="28"/>
          <w:lang w:eastAsia="en-US"/>
        </w:rPr>
        <w:t xml:space="preserve"> L, </w:t>
      </w:r>
      <w:proofErr w:type="spellStart"/>
      <w:r w:rsidRPr="00520861">
        <w:rPr>
          <w:rFonts w:eastAsiaTheme="minorHAnsi"/>
          <w:sz w:val="28"/>
          <w:szCs w:val="28"/>
          <w:lang w:eastAsia="en-US"/>
        </w:rPr>
        <w:t>Ma</w:t>
      </w:r>
      <w:proofErr w:type="spellEnd"/>
      <w:r w:rsidRPr="00520861">
        <w:rPr>
          <w:rFonts w:eastAsiaTheme="minorHAnsi"/>
          <w:sz w:val="28"/>
          <w:szCs w:val="28"/>
          <w:lang w:val="en-US" w:eastAsia="en-US"/>
        </w:rPr>
        <w:t xml:space="preserve"> </w:t>
      </w:r>
      <w:r w:rsidRPr="00520861">
        <w:rPr>
          <w:rFonts w:eastAsiaTheme="minorHAnsi"/>
          <w:sz w:val="28"/>
          <w:szCs w:val="28"/>
          <w:lang w:eastAsia="en-US"/>
        </w:rPr>
        <w:t>T</w:t>
      </w:r>
      <w:r w:rsidRPr="00520861">
        <w:rPr>
          <w:rFonts w:eastAsiaTheme="minorHAnsi"/>
          <w:sz w:val="28"/>
          <w:szCs w:val="28"/>
          <w:lang w:val="en-US" w:eastAsia="en-US"/>
        </w:rPr>
        <w:t>,</w:t>
      </w:r>
      <w:r w:rsidRPr="00520861">
        <w:rPr>
          <w:rFonts w:eastAsiaTheme="minorHAnsi"/>
          <w:sz w:val="28"/>
          <w:szCs w:val="28"/>
          <w:lang w:eastAsia="en-US"/>
        </w:rPr>
        <w:t xml:space="preserve"> </w:t>
      </w:r>
      <w:proofErr w:type="spellStart"/>
      <w:r w:rsidRPr="00520861">
        <w:rPr>
          <w:rFonts w:eastAsiaTheme="minorHAnsi"/>
          <w:sz w:val="28"/>
          <w:szCs w:val="28"/>
          <w:lang w:eastAsia="en-US"/>
        </w:rPr>
        <w:t>et</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Associations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between</w:t>
      </w:r>
      <w:proofErr w:type="spellEnd"/>
      <w:r w:rsidRPr="00520861">
        <w:rPr>
          <w:rFonts w:eastAsiaTheme="minorHAnsi"/>
          <w:sz w:val="28"/>
          <w:szCs w:val="28"/>
          <w:lang w:eastAsia="en-US"/>
        </w:rPr>
        <w:t xml:space="preserve"> ERα/β </w:t>
      </w:r>
      <w:proofErr w:type="spellStart"/>
      <w:r w:rsidRPr="00520861">
        <w:rPr>
          <w:rFonts w:eastAsiaTheme="minorHAnsi"/>
          <w:sz w:val="28"/>
          <w:szCs w:val="28"/>
          <w:lang w:eastAsia="en-US"/>
        </w:rPr>
        <w:t>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polymorphisms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osteoporosis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susceptibility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lastRenderedPageBreak/>
        <w:t>postmenopausal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a </w:t>
      </w:r>
      <w:proofErr w:type="spellStart"/>
      <w:r w:rsidRPr="00520861">
        <w:rPr>
          <w:rFonts w:eastAsiaTheme="minorHAnsi"/>
          <w:sz w:val="28"/>
          <w:szCs w:val="28"/>
          <w:lang w:eastAsia="en-US"/>
        </w:rPr>
        <w:t>systematic</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review</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and</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meta-analysis</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BMC </w:t>
      </w:r>
      <w:proofErr w:type="spellStart"/>
      <w:r w:rsidRPr="00520861">
        <w:rPr>
          <w:rFonts w:eastAsiaTheme="minorHAnsi"/>
          <w:i/>
          <w:sz w:val="28"/>
          <w:szCs w:val="28"/>
          <w:lang w:eastAsia="en-US"/>
        </w:rPr>
        <w:t>Endocr</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Disord</w:t>
      </w:r>
      <w:proofErr w:type="spellEnd"/>
      <w:r w:rsidRPr="00520861">
        <w:rPr>
          <w:rFonts w:eastAsiaTheme="minorHAnsi"/>
          <w:sz w:val="28"/>
          <w:szCs w:val="28"/>
          <w:lang w:val="en-US" w:eastAsia="en-US"/>
        </w:rPr>
        <w:t xml:space="preserve"> </w:t>
      </w:r>
      <w:r w:rsidR="00D9196F" w:rsidRPr="00520861">
        <w:rPr>
          <w:rFonts w:eastAsiaTheme="minorHAnsi"/>
          <w:sz w:val="28"/>
          <w:szCs w:val="28"/>
          <w:lang w:val="en-US" w:eastAsia="en-US"/>
        </w:rPr>
        <w:br/>
      </w:r>
      <w:r w:rsidRPr="00520861">
        <w:rPr>
          <w:rFonts w:eastAsiaTheme="minorHAnsi"/>
          <w:sz w:val="28"/>
          <w:szCs w:val="28"/>
          <w:lang w:val="en-US" w:eastAsia="en-US"/>
        </w:rPr>
        <w:t>[Internet]</w:t>
      </w:r>
      <w:r w:rsidRPr="00520861">
        <w:rPr>
          <w:rFonts w:eastAsiaTheme="minorHAnsi"/>
          <w:sz w:val="28"/>
          <w:szCs w:val="28"/>
          <w:lang w:eastAsia="en-US"/>
        </w:rPr>
        <w:t>. 2018</w:t>
      </w:r>
      <w:r w:rsidRPr="00520861">
        <w:rPr>
          <w:rFonts w:eastAsiaTheme="minorHAnsi"/>
          <w:sz w:val="28"/>
          <w:szCs w:val="28"/>
          <w:lang w:val="en-US" w:eastAsia="en-US"/>
        </w:rPr>
        <w:t xml:space="preserve"> Feb [cited 2020 Feb 7]</w:t>
      </w:r>
      <w:r w:rsidRPr="00520861">
        <w:rPr>
          <w:rFonts w:eastAsiaTheme="minorHAnsi"/>
          <w:sz w:val="28"/>
          <w:szCs w:val="28"/>
          <w:lang w:eastAsia="en-US"/>
        </w:rPr>
        <w:t>;18(1):</w:t>
      </w:r>
      <w:r w:rsidRPr="00520861">
        <w:rPr>
          <w:rFonts w:eastAsiaTheme="minorHAnsi"/>
          <w:sz w:val="28"/>
          <w:szCs w:val="28"/>
          <w:lang w:val="en-US" w:eastAsia="en-US"/>
        </w:rPr>
        <w:t xml:space="preserve"> </w:t>
      </w:r>
      <w:r w:rsidRPr="00520861">
        <w:rPr>
          <w:rFonts w:eastAsiaTheme="minorHAnsi"/>
          <w:sz w:val="28"/>
          <w:szCs w:val="28"/>
          <w:lang w:eastAsia="en-US"/>
        </w:rPr>
        <w:t xml:space="preserve">11.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from</w:t>
      </w:r>
      <w:r w:rsidRPr="00520861">
        <w:rPr>
          <w:rFonts w:eastAsiaTheme="minorHAnsi"/>
          <w:sz w:val="28"/>
          <w:szCs w:val="28"/>
          <w:lang w:eastAsia="en-US"/>
        </w:rPr>
        <w:t xml:space="preserve">: </w:t>
      </w:r>
      <w:r w:rsidRPr="00520861">
        <w:rPr>
          <w:rFonts w:eastAsiaTheme="minorHAnsi"/>
          <w:sz w:val="28"/>
          <w:szCs w:val="28"/>
          <w:lang w:val="en-US" w:eastAsia="en-US"/>
        </w:rPr>
        <w:t>DOI:</w:t>
      </w:r>
      <w:r w:rsidRPr="00520861">
        <w:rPr>
          <w:rFonts w:eastAsiaTheme="minorHAnsi"/>
          <w:sz w:val="28"/>
          <w:szCs w:val="28"/>
          <w:lang w:eastAsia="en-US"/>
        </w:rPr>
        <w:t xml:space="preserve"> 10.1186/s12902-018-0230-x</w:t>
      </w:r>
      <w:r w:rsidRPr="00520861">
        <w:rPr>
          <w:rFonts w:eastAsiaTheme="minorHAnsi"/>
          <w:sz w:val="28"/>
          <w:szCs w:val="28"/>
          <w:lang w:val="en-US" w:eastAsia="en-US"/>
        </w:rPr>
        <w:t>.</w:t>
      </w:r>
    </w:p>
    <w:p w14:paraId="648CC78B"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val="en-US" w:eastAsia="en-US"/>
        </w:rPr>
      </w:pPr>
      <w:r w:rsidRPr="00520861">
        <w:rPr>
          <w:rFonts w:eastAsiaTheme="minorHAnsi"/>
          <w:sz w:val="28"/>
          <w:szCs w:val="28"/>
          <w:lang w:val="en-US" w:eastAsia="en-US"/>
        </w:rPr>
        <w:t xml:space="preserve">Zhu Y, Chen J, Cheng H, Cai W. Estrogen receptor alpha gene polymorphisms contribute to fragility fracture susceptibility in elderly postmenopausal women with heart failure. </w:t>
      </w:r>
      <w:proofErr w:type="spellStart"/>
      <w:r w:rsidRPr="00520861">
        <w:rPr>
          <w:rFonts w:eastAsiaTheme="minorHAnsi"/>
          <w:i/>
          <w:sz w:val="28"/>
          <w:szCs w:val="28"/>
          <w:lang w:eastAsia="en-US"/>
        </w:rPr>
        <w:t>Int</w:t>
      </w:r>
      <w:proofErr w:type="spellEnd"/>
      <w:r w:rsidRPr="00520861">
        <w:rPr>
          <w:rFonts w:eastAsiaTheme="minorHAnsi"/>
          <w:i/>
          <w:sz w:val="28"/>
          <w:szCs w:val="28"/>
          <w:lang w:eastAsia="en-US"/>
        </w:rPr>
        <w:t xml:space="preserve"> J </w:t>
      </w:r>
      <w:proofErr w:type="spellStart"/>
      <w:r w:rsidRPr="00520861">
        <w:rPr>
          <w:rFonts w:eastAsiaTheme="minorHAnsi"/>
          <w:i/>
          <w:sz w:val="28"/>
          <w:szCs w:val="28"/>
          <w:lang w:eastAsia="en-US"/>
        </w:rPr>
        <w:t>Clin</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Exp</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Med</w:t>
      </w:r>
      <w:proofErr w:type="spellEnd"/>
      <w:r w:rsidRPr="00520861">
        <w:rPr>
          <w:rFonts w:eastAsiaTheme="minorHAnsi"/>
          <w:sz w:val="28"/>
          <w:szCs w:val="28"/>
          <w:lang w:val="en-US" w:eastAsia="en-US"/>
        </w:rPr>
        <w:t xml:space="preserve">. 2017;10(2): 3435–3444. </w:t>
      </w:r>
      <w:proofErr w:type="spellStart"/>
      <w:r w:rsidRPr="00520861">
        <w:rPr>
          <w:rFonts w:eastAsiaTheme="minorHAnsi"/>
          <w:sz w:val="28"/>
          <w:szCs w:val="28"/>
          <w:lang w:eastAsia="en-US"/>
        </w:rPr>
        <w:t>Available</w:t>
      </w:r>
      <w:proofErr w:type="spellEnd"/>
      <w:r w:rsidRPr="00520861">
        <w:rPr>
          <w:rFonts w:eastAsiaTheme="minorHAnsi"/>
          <w:sz w:val="28"/>
          <w:szCs w:val="28"/>
          <w:lang w:eastAsia="en-US"/>
        </w:rPr>
        <w:t xml:space="preserve"> </w:t>
      </w:r>
      <w:r w:rsidRPr="00520861">
        <w:rPr>
          <w:rFonts w:eastAsiaTheme="minorHAnsi"/>
          <w:sz w:val="28"/>
          <w:szCs w:val="28"/>
          <w:lang w:val="en-US" w:eastAsia="en-US"/>
        </w:rPr>
        <w:t>at</w:t>
      </w:r>
      <w:r w:rsidRPr="00520861">
        <w:rPr>
          <w:rFonts w:eastAsiaTheme="minorHAnsi"/>
          <w:sz w:val="28"/>
          <w:szCs w:val="28"/>
          <w:lang w:eastAsia="en-US"/>
        </w:rPr>
        <w:t>: http://www.ijcem.com/files/ijcem0037977.pdf</w:t>
      </w:r>
      <w:r w:rsidRPr="00520861">
        <w:rPr>
          <w:rFonts w:eastAsiaTheme="minorHAnsi"/>
          <w:sz w:val="28"/>
          <w:szCs w:val="28"/>
          <w:lang w:val="en-US" w:eastAsia="en-US"/>
        </w:rPr>
        <w:t>.</w:t>
      </w:r>
    </w:p>
    <w:p w14:paraId="07D01A28" w14:textId="77777777" w:rsidR="00292D2E" w:rsidRPr="00520861" w:rsidRDefault="00292D2E" w:rsidP="008F1D77">
      <w:pPr>
        <w:widowControl w:val="0"/>
        <w:numPr>
          <w:ilvl w:val="0"/>
          <w:numId w:val="8"/>
        </w:numPr>
        <w:spacing w:line="360" w:lineRule="auto"/>
        <w:ind w:left="0" w:firstLine="0"/>
        <w:contextualSpacing/>
        <w:jc w:val="both"/>
        <w:rPr>
          <w:rFonts w:eastAsiaTheme="minorHAnsi"/>
          <w:sz w:val="28"/>
          <w:szCs w:val="28"/>
          <w:lang w:eastAsia="en-US"/>
        </w:rPr>
      </w:pPr>
      <w:proofErr w:type="spellStart"/>
      <w:r w:rsidRPr="00520861">
        <w:rPr>
          <w:rFonts w:eastAsiaTheme="minorHAnsi"/>
          <w:sz w:val="28"/>
          <w:szCs w:val="28"/>
          <w:lang w:eastAsia="en-US"/>
        </w:rPr>
        <w:t>Zupan</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Mencej-Bedrac</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Jurkovic-Mlakar</w:t>
      </w:r>
      <w:proofErr w:type="spellEnd"/>
      <w:r w:rsidRPr="00520861">
        <w:rPr>
          <w:rFonts w:eastAsiaTheme="minorHAnsi"/>
          <w:sz w:val="28"/>
          <w:szCs w:val="28"/>
          <w:lang w:eastAsia="en-US"/>
        </w:rPr>
        <w:t xml:space="preserve"> S, </w:t>
      </w:r>
      <w:proofErr w:type="spellStart"/>
      <w:r w:rsidRPr="00520861">
        <w:rPr>
          <w:rFonts w:eastAsiaTheme="minorHAnsi"/>
          <w:sz w:val="28"/>
          <w:szCs w:val="28"/>
          <w:lang w:eastAsia="en-US"/>
        </w:rPr>
        <w:t>Prezelj</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Marc</w:t>
      </w:r>
      <w:proofErr w:type="spellEnd"/>
      <w:r w:rsidRPr="00520861">
        <w:rPr>
          <w:rFonts w:eastAsiaTheme="minorHAnsi"/>
          <w:sz w:val="28"/>
          <w:szCs w:val="28"/>
          <w:lang w:eastAsia="en-US"/>
        </w:rPr>
        <w:t xml:space="preserve"> J. </w:t>
      </w:r>
      <w:proofErr w:type="spellStart"/>
      <w:r w:rsidRPr="00520861">
        <w:rPr>
          <w:rFonts w:eastAsiaTheme="minorHAnsi"/>
          <w:sz w:val="28"/>
          <w:szCs w:val="28"/>
          <w:lang w:eastAsia="en-US"/>
        </w:rPr>
        <w:t>Gene-gene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interactions</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RANK/RANKL/OPG </w:t>
      </w:r>
      <w:proofErr w:type="spellStart"/>
      <w:r w:rsidRPr="00520861">
        <w:rPr>
          <w:rFonts w:eastAsiaTheme="minorHAnsi"/>
          <w:sz w:val="28"/>
          <w:szCs w:val="28"/>
          <w:lang w:eastAsia="en-US"/>
        </w:rPr>
        <w:t>system</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influence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bone</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mineral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density</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in</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postmenopausal</w:t>
      </w:r>
      <w:proofErr w:type="spellEnd"/>
      <w:r w:rsidRPr="00520861">
        <w:rPr>
          <w:rFonts w:eastAsiaTheme="minorHAnsi"/>
          <w:sz w:val="28"/>
          <w:szCs w:val="28"/>
          <w:lang w:eastAsia="en-US"/>
        </w:rPr>
        <w:t xml:space="preserve"> </w:t>
      </w:r>
      <w:proofErr w:type="spellStart"/>
      <w:r w:rsidRPr="00520861">
        <w:rPr>
          <w:rFonts w:eastAsiaTheme="minorHAnsi"/>
          <w:sz w:val="28"/>
          <w:szCs w:val="28"/>
          <w:lang w:eastAsia="en-US"/>
        </w:rPr>
        <w:t>women</w:t>
      </w:r>
      <w:proofErr w:type="spellEnd"/>
      <w:r w:rsidRPr="00520861">
        <w:rPr>
          <w:rFonts w:eastAsiaTheme="minorHAnsi"/>
          <w:sz w:val="28"/>
          <w:szCs w:val="28"/>
          <w:lang w:eastAsia="en-US"/>
        </w:rPr>
        <w:t xml:space="preserve">. </w:t>
      </w:r>
      <w:r w:rsidRPr="00520861">
        <w:rPr>
          <w:rFonts w:eastAsiaTheme="minorHAnsi"/>
          <w:i/>
          <w:sz w:val="28"/>
          <w:szCs w:val="28"/>
          <w:lang w:eastAsia="en-US"/>
        </w:rPr>
        <w:t xml:space="preserve">J </w:t>
      </w:r>
      <w:proofErr w:type="spellStart"/>
      <w:r w:rsidRPr="00520861">
        <w:rPr>
          <w:rFonts w:eastAsiaTheme="minorHAnsi"/>
          <w:i/>
          <w:sz w:val="28"/>
          <w:szCs w:val="28"/>
          <w:lang w:eastAsia="en-US"/>
        </w:rPr>
        <w:t>Steroid</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Biochem</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Mol</w:t>
      </w:r>
      <w:proofErr w:type="spellEnd"/>
      <w:r w:rsidRPr="00520861">
        <w:rPr>
          <w:rFonts w:eastAsiaTheme="minorHAnsi"/>
          <w:i/>
          <w:sz w:val="28"/>
          <w:szCs w:val="28"/>
          <w:lang w:eastAsia="en-US"/>
        </w:rPr>
        <w:t xml:space="preserve"> </w:t>
      </w:r>
      <w:proofErr w:type="spellStart"/>
      <w:r w:rsidRPr="00520861">
        <w:rPr>
          <w:rFonts w:eastAsiaTheme="minorHAnsi"/>
          <w:i/>
          <w:sz w:val="28"/>
          <w:szCs w:val="28"/>
          <w:lang w:eastAsia="en-US"/>
        </w:rPr>
        <w:t>Biol</w:t>
      </w:r>
      <w:proofErr w:type="spellEnd"/>
      <w:r w:rsidRPr="00520861">
        <w:rPr>
          <w:rFonts w:eastAsiaTheme="minorHAnsi"/>
          <w:sz w:val="28"/>
          <w:szCs w:val="28"/>
          <w:lang w:eastAsia="en-US"/>
        </w:rPr>
        <w:t>. 2010;118(1-2):</w:t>
      </w:r>
      <w:r w:rsidRPr="00520861">
        <w:rPr>
          <w:rFonts w:eastAsiaTheme="minorHAnsi"/>
          <w:sz w:val="28"/>
          <w:szCs w:val="28"/>
          <w:lang w:val="en-US" w:eastAsia="en-US"/>
        </w:rPr>
        <w:t xml:space="preserve"> </w:t>
      </w:r>
      <w:r w:rsidRPr="00520861">
        <w:rPr>
          <w:rFonts w:eastAsiaTheme="minorHAnsi"/>
          <w:sz w:val="28"/>
          <w:szCs w:val="28"/>
          <w:lang w:eastAsia="en-US"/>
        </w:rPr>
        <w:t>102–</w:t>
      </w:r>
      <w:r w:rsidRPr="00520861">
        <w:rPr>
          <w:rFonts w:eastAsiaTheme="minorHAnsi"/>
          <w:sz w:val="28"/>
          <w:szCs w:val="28"/>
          <w:lang w:val="en-US" w:eastAsia="en-US"/>
        </w:rPr>
        <w:t>10</w:t>
      </w:r>
      <w:r w:rsidRPr="00520861">
        <w:rPr>
          <w:rFonts w:eastAsiaTheme="minorHAnsi"/>
          <w:sz w:val="28"/>
          <w:szCs w:val="28"/>
          <w:lang w:eastAsia="en-US"/>
        </w:rPr>
        <w:t xml:space="preserve">6. </w:t>
      </w:r>
      <w:r w:rsidRPr="00520861">
        <w:rPr>
          <w:bCs/>
          <w:sz w:val="28"/>
          <w:szCs w:val="28"/>
          <w:lang w:val="en-US"/>
        </w:rPr>
        <w:t>Available from</w:t>
      </w:r>
      <w:r w:rsidRPr="00520861">
        <w:rPr>
          <w:bCs/>
          <w:sz w:val="28"/>
          <w:szCs w:val="28"/>
        </w:rPr>
        <w:t xml:space="preserve">: </w:t>
      </w:r>
      <w:r w:rsidRPr="00520861">
        <w:rPr>
          <w:bCs/>
          <w:sz w:val="28"/>
          <w:szCs w:val="28"/>
          <w:lang w:val="en-GB"/>
        </w:rPr>
        <w:t xml:space="preserve">DOI: </w:t>
      </w:r>
      <w:r w:rsidRPr="00520861">
        <w:rPr>
          <w:rFonts w:eastAsiaTheme="minorHAnsi"/>
          <w:sz w:val="28"/>
          <w:szCs w:val="28"/>
          <w:lang w:eastAsia="en-US"/>
        </w:rPr>
        <w:t>10.1016/j.jsbmb.2009.10.013.</w:t>
      </w:r>
    </w:p>
    <w:p w14:paraId="55883145" w14:textId="77777777" w:rsidR="00292D2E" w:rsidRPr="00520861" w:rsidRDefault="00292D2E" w:rsidP="00E87C97">
      <w:pPr>
        <w:widowControl w:val="0"/>
        <w:spacing w:line="360" w:lineRule="auto"/>
        <w:ind w:firstLine="708"/>
        <w:contextualSpacing/>
        <w:jc w:val="both"/>
        <w:rPr>
          <w:sz w:val="28"/>
          <w:szCs w:val="28"/>
        </w:rPr>
      </w:pPr>
    </w:p>
    <w:sectPr w:rsidR="00292D2E" w:rsidRPr="00520861" w:rsidSect="00D07A5A">
      <w:pgSz w:w="11906" w:h="16838"/>
      <w:pgMar w:top="1134" w:right="62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BEE6FA" w14:textId="77777777" w:rsidR="007518CC" w:rsidRDefault="007518CC" w:rsidP="002C50E7">
      <w:r>
        <w:separator/>
      </w:r>
    </w:p>
  </w:endnote>
  <w:endnote w:type="continuationSeparator" w:id="0">
    <w:p w14:paraId="0A889E6A" w14:textId="77777777" w:rsidR="007518CC" w:rsidRDefault="007518CC" w:rsidP="002C50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 w:name="Courier">
    <w:panose1 w:val="02070309020205020404"/>
    <w:charset w:val="00"/>
    <w:family w:val="modern"/>
    <w:pitch w:val="fixed"/>
    <w:sig w:usb0="00000003" w:usb1="00000000" w:usb2="00000000" w:usb3="00000000" w:csb0="00000001" w:csb1="00000000"/>
  </w:font>
  <w:font w:name="FreeSetC">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D54C09" w14:textId="77777777" w:rsidR="007518CC" w:rsidRDefault="007518CC" w:rsidP="002C50E7">
      <w:r>
        <w:separator/>
      </w:r>
    </w:p>
  </w:footnote>
  <w:footnote w:type="continuationSeparator" w:id="0">
    <w:p w14:paraId="2D5CD485" w14:textId="77777777" w:rsidR="007518CC" w:rsidRDefault="007518CC" w:rsidP="002C50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D9229" w14:textId="77777777" w:rsidR="00117DEC" w:rsidRPr="008C590A" w:rsidRDefault="00117DEC" w:rsidP="008C590A">
    <w:pPr>
      <w:pStyle w:val="ae"/>
      <w:jc w:val="right"/>
      <w:rPr>
        <w:lang w:val="uk-UA"/>
      </w:rPr>
    </w:pPr>
    <w:r>
      <w:fldChar w:fldCharType="begin"/>
    </w:r>
    <w:r>
      <w:instrText xml:space="preserve"> PAGE   \* MERGEFORMAT </w:instrText>
    </w:r>
    <w:r>
      <w:fldChar w:fldCharType="separate"/>
    </w:r>
    <w:r w:rsidR="00E53B21">
      <w:rPr>
        <w:noProof/>
      </w:rPr>
      <w:t>13</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050A6" w14:textId="77777777" w:rsidR="00117DEC" w:rsidRPr="00C41E49" w:rsidRDefault="00117DEC" w:rsidP="00292D2E">
    <w:pPr>
      <w:pStyle w:val="ae"/>
      <w:jc w:val="right"/>
    </w:pPr>
    <w:r>
      <w:fldChar w:fldCharType="begin"/>
    </w:r>
    <w:r>
      <w:instrText>PAGE   \* MERGEFORMAT</w:instrText>
    </w:r>
    <w:r>
      <w:fldChar w:fldCharType="separate"/>
    </w:r>
    <w:r w:rsidR="00E53B21" w:rsidRPr="00E53B21">
      <w:rPr>
        <w:noProof/>
        <w:szCs w:val="28"/>
      </w:rPr>
      <w:t>11</w:t>
    </w:r>
    <w:r w:rsidR="00E53B21" w:rsidRPr="00E53B21">
      <w:rPr>
        <w:noProof/>
        <w:szCs w:val="28"/>
      </w:rPr>
      <w:t>5</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872180"/>
      <w:docPartObj>
        <w:docPartGallery w:val="Page Numbers (Top of Page)"/>
        <w:docPartUnique/>
      </w:docPartObj>
    </w:sdtPr>
    <w:sdtContent>
      <w:p w14:paraId="3685E45C" w14:textId="77777777" w:rsidR="00117DEC" w:rsidRPr="001A49FE" w:rsidRDefault="00117DEC" w:rsidP="00292D2E">
        <w:pPr>
          <w:pStyle w:val="ae"/>
          <w:jc w:val="right"/>
        </w:pPr>
        <w:r w:rsidRPr="00094B76">
          <w:fldChar w:fldCharType="begin"/>
        </w:r>
        <w:r w:rsidRPr="00094B76">
          <w:instrText>PAGE   \* MERGEFORMAT</w:instrText>
        </w:r>
        <w:r w:rsidRPr="00094B76">
          <w:fldChar w:fldCharType="separate"/>
        </w:r>
        <w:r w:rsidR="00E53B21">
          <w:rPr>
            <w:noProof/>
          </w:rPr>
          <w:t>15</w:t>
        </w:r>
        <w:r w:rsidR="00E53B21">
          <w:rPr>
            <w:noProof/>
          </w:rPr>
          <w:t>4</w:t>
        </w:r>
        <w:r w:rsidRPr="00094B76">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2641997"/>
      <w:docPartObj>
        <w:docPartGallery w:val="Page Numbers (Top of Page)"/>
        <w:docPartUnique/>
      </w:docPartObj>
    </w:sdtPr>
    <w:sdtEndPr>
      <w:rPr>
        <w:szCs w:val="28"/>
      </w:rPr>
    </w:sdtEndPr>
    <w:sdtContent>
      <w:p w14:paraId="2BFCDBED" w14:textId="77777777" w:rsidR="00117DEC" w:rsidRPr="006516A6" w:rsidRDefault="00117DEC">
        <w:pPr>
          <w:pStyle w:val="ae"/>
          <w:jc w:val="right"/>
          <w:rPr>
            <w:szCs w:val="28"/>
          </w:rPr>
        </w:pPr>
        <w:r w:rsidRPr="006516A6">
          <w:rPr>
            <w:szCs w:val="28"/>
          </w:rPr>
          <w:fldChar w:fldCharType="begin"/>
        </w:r>
        <w:r w:rsidRPr="006516A6">
          <w:rPr>
            <w:szCs w:val="28"/>
          </w:rPr>
          <w:instrText>PAGE   \* MERGEFORMAT</w:instrText>
        </w:r>
        <w:r w:rsidRPr="006516A6">
          <w:rPr>
            <w:szCs w:val="28"/>
          </w:rPr>
          <w:fldChar w:fldCharType="separate"/>
        </w:r>
        <w:r w:rsidR="00E53B21">
          <w:rPr>
            <w:noProof/>
            <w:szCs w:val="28"/>
          </w:rPr>
          <w:t>19</w:t>
        </w:r>
        <w:r w:rsidR="00E53B21">
          <w:rPr>
            <w:noProof/>
            <w:szCs w:val="28"/>
          </w:rPr>
          <w:t>7</w:t>
        </w:r>
        <w:r w:rsidRPr="006516A6">
          <w:rPr>
            <w:szCs w:val="28"/>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4658759"/>
      <w:docPartObj>
        <w:docPartGallery w:val="Page Numbers (Top of Page)"/>
        <w:docPartUnique/>
      </w:docPartObj>
    </w:sdtPr>
    <w:sdtContent>
      <w:p w14:paraId="462F0034" w14:textId="77777777" w:rsidR="00117DEC" w:rsidRPr="00A77326" w:rsidRDefault="00117DEC" w:rsidP="00292D2E">
        <w:pPr>
          <w:pStyle w:val="ae"/>
          <w:jc w:val="right"/>
        </w:pPr>
        <w:r w:rsidRPr="00A77326">
          <w:fldChar w:fldCharType="begin"/>
        </w:r>
        <w:r w:rsidRPr="00A77326">
          <w:instrText>PAGE   \* MERGEFORMAT</w:instrText>
        </w:r>
        <w:r w:rsidRPr="00A77326">
          <w:fldChar w:fldCharType="separate"/>
        </w:r>
        <w:r w:rsidR="00E53B21">
          <w:rPr>
            <w:noProof/>
          </w:rPr>
          <w:t>25</w:t>
        </w:r>
        <w:r w:rsidR="00E53B21">
          <w:rPr>
            <w:noProof/>
          </w:rPr>
          <w:t>0</w:t>
        </w:r>
        <w:r w:rsidRPr="00A77326">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2450023"/>
      <w:docPartObj>
        <w:docPartGallery w:val="Page Numbers (Top of Page)"/>
        <w:docPartUnique/>
      </w:docPartObj>
    </w:sdtPr>
    <w:sdtContent>
      <w:p w14:paraId="5099A396" w14:textId="77777777" w:rsidR="00117DEC" w:rsidRDefault="00117DEC">
        <w:pPr>
          <w:pStyle w:val="ae"/>
          <w:jc w:val="right"/>
        </w:pPr>
        <w:r>
          <w:fldChar w:fldCharType="begin"/>
        </w:r>
        <w:r>
          <w:instrText>PAGE   \* MERGEFORMAT</w:instrText>
        </w:r>
        <w:r>
          <w:fldChar w:fldCharType="separate"/>
        </w:r>
        <w:r w:rsidR="00E53B21">
          <w:rPr>
            <w:noProof/>
          </w:rPr>
          <w:t>27</w:t>
        </w:r>
        <w:r w:rsidR="00E53B21">
          <w:rPr>
            <w:noProof/>
          </w:rPr>
          <w:t>1</w:t>
        </w:r>
        <w: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5984801"/>
      <w:docPartObj>
        <w:docPartGallery w:val="Page Numbers (Top of Page)"/>
        <w:docPartUnique/>
      </w:docPartObj>
    </w:sdtPr>
    <w:sdtContent>
      <w:p w14:paraId="0A41F7D4" w14:textId="77777777" w:rsidR="00117DEC" w:rsidRDefault="00117DEC" w:rsidP="00292D2E">
        <w:pPr>
          <w:pStyle w:val="ae"/>
          <w:jc w:val="right"/>
        </w:pPr>
        <w:r>
          <w:fldChar w:fldCharType="begin"/>
        </w:r>
        <w:r>
          <w:instrText>PAGE   \* MERGEFORMAT</w:instrText>
        </w:r>
        <w:r>
          <w:fldChar w:fldCharType="separate"/>
        </w:r>
        <w:r w:rsidR="00650F6B">
          <w:rPr>
            <w:noProof/>
          </w:rPr>
          <w:t>31</w:t>
        </w:r>
        <w:r w:rsidR="00650F6B">
          <w:rPr>
            <w:noProof/>
          </w:rPr>
          <w:t>8</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C75B4E"/>
    <w:multiLevelType w:val="hybridMultilevel"/>
    <w:tmpl w:val="866C547C"/>
    <w:lvl w:ilvl="0" w:tplc="0419000F">
      <w:start w:val="1"/>
      <w:numFmt w:val="decimal"/>
      <w:lvlText w:val="%1."/>
      <w:lvlJc w:val="left"/>
      <w:pPr>
        <w:ind w:left="1495" w:hanging="360"/>
      </w:pPr>
      <w:rPr>
        <w:rFonts w:hint="default"/>
      </w:rPr>
    </w:lvl>
    <w:lvl w:ilvl="1" w:tplc="04190019" w:tentative="1">
      <w:start w:val="1"/>
      <w:numFmt w:val="lowerLetter"/>
      <w:lvlText w:val="%2."/>
      <w:lvlJc w:val="left"/>
      <w:pPr>
        <w:ind w:left="2575" w:hanging="360"/>
      </w:pPr>
    </w:lvl>
    <w:lvl w:ilvl="2" w:tplc="0419001B" w:tentative="1">
      <w:start w:val="1"/>
      <w:numFmt w:val="lowerRoman"/>
      <w:lvlText w:val="%3."/>
      <w:lvlJc w:val="right"/>
      <w:pPr>
        <w:ind w:left="3295" w:hanging="180"/>
      </w:pPr>
    </w:lvl>
    <w:lvl w:ilvl="3" w:tplc="0419000F" w:tentative="1">
      <w:start w:val="1"/>
      <w:numFmt w:val="decimal"/>
      <w:lvlText w:val="%4."/>
      <w:lvlJc w:val="left"/>
      <w:pPr>
        <w:ind w:left="4015" w:hanging="360"/>
      </w:pPr>
    </w:lvl>
    <w:lvl w:ilvl="4" w:tplc="04190019" w:tentative="1">
      <w:start w:val="1"/>
      <w:numFmt w:val="lowerLetter"/>
      <w:lvlText w:val="%5."/>
      <w:lvlJc w:val="left"/>
      <w:pPr>
        <w:ind w:left="4735" w:hanging="360"/>
      </w:pPr>
    </w:lvl>
    <w:lvl w:ilvl="5" w:tplc="0419001B" w:tentative="1">
      <w:start w:val="1"/>
      <w:numFmt w:val="lowerRoman"/>
      <w:lvlText w:val="%6."/>
      <w:lvlJc w:val="right"/>
      <w:pPr>
        <w:ind w:left="5455" w:hanging="180"/>
      </w:pPr>
    </w:lvl>
    <w:lvl w:ilvl="6" w:tplc="0419000F" w:tentative="1">
      <w:start w:val="1"/>
      <w:numFmt w:val="decimal"/>
      <w:lvlText w:val="%7."/>
      <w:lvlJc w:val="left"/>
      <w:pPr>
        <w:ind w:left="6175" w:hanging="360"/>
      </w:pPr>
    </w:lvl>
    <w:lvl w:ilvl="7" w:tplc="04190019" w:tentative="1">
      <w:start w:val="1"/>
      <w:numFmt w:val="lowerLetter"/>
      <w:lvlText w:val="%8."/>
      <w:lvlJc w:val="left"/>
      <w:pPr>
        <w:ind w:left="6895" w:hanging="360"/>
      </w:pPr>
    </w:lvl>
    <w:lvl w:ilvl="8" w:tplc="0419001B" w:tentative="1">
      <w:start w:val="1"/>
      <w:numFmt w:val="lowerRoman"/>
      <w:lvlText w:val="%9."/>
      <w:lvlJc w:val="right"/>
      <w:pPr>
        <w:ind w:left="7615" w:hanging="180"/>
      </w:pPr>
    </w:lvl>
  </w:abstractNum>
  <w:abstractNum w:abstractNumId="1" w15:restartNumberingAfterBreak="0">
    <w:nsid w:val="2EF24238"/>
    <w:multiLevelType w:val="hybridMultilevel"/>
    <w:tmpl w:val="6116E398"/>
    <w:lvl w:ilvl="0" w:tplc="04190011">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6104A90"/>
    <w:multiLevelType w:val="multilevel"/>
    <w:tmpl w:val="7B70F36A"/>
    <w:lvl w:ilvl="0">
      <w:start w:val="4"/>
      <w:numFmt w:val="decimal"/>
      <w:lvlText w:val="%1."/>
      <w:lvlJc w:val="left"/>
      <w:pPr>
        <w:ind w:left="450" w:hanging="450"/>
      </w:pPr>
      <w:rPr>
        <w:rFonts w:hint="default"/>
      </w:rPr>
    </w:lvl>
    <w:lvl w:ilvl="1">
      <w:start w:val="4"/>
      <w:numFmt w:val="decimal"/>
      <w:lvlText w:val="%1.%2."/>
      <w:lvlJc w:val="left"/>
      <w:pPr>
        <w:ind w:left="1713"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 w15:restartNumberingAfterBreak="0">
    <w:nsid w:val="54BE44C4"/>
    <w:multiLevelType w:val="hybridMultilevel"/>
    <w:tmpl w:val="157CAA5C"/>
    <w:lvl w:ilvl="0" w:tplc="4DB0D93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FE46D6A"/>
    <w:multiLevelType w:val="hybridMultilevel"/>
    <w:tmpl w:val="CCCAFDFE"/>
    <w:lvl w:ilvl="0" w:tplc="FC5CEAA8">
      <w:start w:val="4"/>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15:restartNumberingAfterBreak="0">
    <w:nsid w:val="611A72D8"/>
    <w:multiLevelType w:val="hybridMultilevel"/>
    <w:tmpl w:val="0FAECA8E"/>
    <w:lvl w:ilvl="0" w:tplc="0422000F">
      <w:start w:val="1"/>
      <w:numFmt w:val="decimal"/>
      <w:lvlText w:val="%1."/>
      <w:lvlJc w:val="left"/>
      <w:pPr>
        <w:ind w:left="8299"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A446526"/>
    <w:multiLevelType w:val="hybridMultilevel"/>
    <w:tmpl w:val="BB6CBB9C"/>
    <w:lvl w:ilvl="0" w:tplc="04190011">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16cid:durableId="4942975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80662491">
    <w:abstractNumId w:val="6"/>
  </w:num>
  <w:num w:numId="3" w16cid:durableId="2088961993">
    <w:abstractNumId w:val="1"/>
  </w:num>
  <w:num w:numId="4" w16cid:durableId="6094342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25307292">
    <w:abstractNumId w:val="2"/>
  </w:num>
  <w:num w:numId="6" w16cid:durableId="667558455">
    <w:abstractNumId w:val="4"/>
  </w:num>
  <w:num w:numId="7" w16cid:durableId="248774838">
    <w:abstractNumId w:val="3"/>
  </w:num>
  <w:num w:numId="8" w16cid:durableId="1585605269">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defaultTabStop w:val="708"/>
  <w:autoHyphenation/>
  <w:hyphenationZone w:val="357"/>
  <w:doNotHyphenateCaps/>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7B46"/>
    <w:rsid w:val="000000C8"/>
    <w:rsid w:val="0000044A"/>
    <w:rsid w:val="0000090A"/>
    <w:rsid w:val="00000B04"/>
    <w:rsid w:val="00000DE3"/>
    <w:rsid w:val="00001350"/>
    <w:rsid w:val="00001386"/>
    <w:rsid w:val="00001647"/>
    <w:rsid w:val="00001BE0"/>
    <w:rsid w:val="00001BE6"/>
    <w:rsid w:val="00002687"/>
    <w:rsid w:val="00002FFE"/>
    <w:rsid w:val="0000551B"/>
    <w:rsid w:val="000058CD"/>
    <w:rsid w:val="00005964"/>
    <w:rsid w:val="00005D5D"/>
    <w:rsid w:val="00006302"/>
    <w:rsid w:val="00006DD9"/>
    <w:rsid w:val="00007143"/>
    <w:rsid w:val="00010B77"/>
    <w:rsid w:val="000120F5"/>
    <w:rsid w:val="00012114"/>
    <w:rsid w:val="000125CA"/>
    <w:rsid w:val="00012AE3"/>
    <w:rsid w:val="00012DA5"/>
    <w:rsid w:val="00012EC0"/>
    <w:rsid w:val="0001364B"/>
    <w:rsid w:val="00013AC9"/>
    <w:rsid w:val="0001653E"/>
    <w:rsid w:val="00017658"/>
    <w:rsid w:val="00017971"/>
    <w:rsid w:val="00017AAF"/>
    <w:rsid w:val="000206E7"/>
    <w:rsid w:val="00020AB6"/>
    <w:rsid w:val="00020BE8"/>
    <w:rsid w:val="000213FD"/>
    <w:rsid w:val="000215FE"/>
    <w:rsid w:val="000219F5"/>
    <w:rsid w:val="00022750"/>
    <w:rsid w:val="0002342D"/>
    <w:rsid w:val="000253E5"/>
    <w:rsid w:val="00025646"/>
    <w:rsid w:val="00025F33"/>
    <w:rsid w:val="00025F7F"/>
    <w:rsid w:val="0002688A"/>
    <w:rsid w:val="00026BED"/>
    <w:rsid w:val="00027253"/>
    <w:rsid w:val="000272A6"/>
    <w:rsid w:val="0002743A"/>
    <w:rsid w:val="00030062"/>
    <w:rsid w:val="0003089A"/>
    <w:rsid w:val="00030974"/>
    <w:rsid w:val="00030F4F"/>
    <w:rsid w:val="000320A9"/>
    <w:rsid w:val="00032741"/>
    <w:rsid w:val="00032B7F"/>
    <w:rsid w:val="00032BDA"/>
    <w:rsid w:val="00033BB9"/>
    <w:rsid w:val="00033F0A"/>
    <w:rsid w:val="00034176"/>
    <w:rsid w:val="00034875"/>
    <w:rsid w:val="0003541B"/>
    <w:rsid w:val="00036D54"/>
    <w:rsid w:val="00036E2E"/>
    <w:rsid w:val="000405CC"/>
    <w:rsid w:val="000408F8"/>
    <w:rsid w:val="0004128F"/>
    <w:rsid w:val="00042CD8"/>
    <w:rsid w:val="0004452F"/>
    <w:rsid w:val="00044D17"/>
    <w:rsid w:val="00045AB8"/>
    <w:rsid w:val="000460B7"/>
    <w:rsid w:val="00046913"/>
    <w:rsid w:val="00046A67"/>
    <w:rsid w:val="00047099"/>
    <w:rsid w:val="00047548"/>
    <w:rsid w:val="00050028"/>
    <w:rsid w:val="00050443"/>
    <w:rsid w:val="0005045D"/>
    <w:rsid w:val="00050F7F"/>
    <w:rsid w:val="00051C00"/>
    <w:rsid w:val="00051F6D"/>
    <w:rsid w:val="00051FEE"/>
    <w:rsid w:val="00052253"/>
    <w:rsid w:val="00053067"/>
    <w:rsid w:val="00053219"/>
    <w:rsid w:val="0005422E"/>
    <w:rsid w:val="00055865"/>
    <w:rsid w:val="000558C2"/>
    <w:rsid w:val="00055C5A"/>
    <w:rsid w:val="00056288"/>
    <w:rsid w:val="00056CC5"/>
    <w:rsid w:val="00056E49"/>
    <w:rsid w:val="00056ECF"/>
    <w:rsid w:val="00057087"/>
    <w:rsid w:val="00057409"/>
    <w:rsid w:val="00057FD4"/>
    <w:rsid w:val="000609D2"/>
    <w:rsid w:val="00061B4A"/>
    <w:rsid w:val="00062326"/>
    <w:rsid w:val="000623D0"/>
    <w:rsid w:val="000630BD"/>
    <w:rsid w:val="0006370C"/>
    <w:rsid w:val="0006455E"/>
    <w:rsid w:val="00065B3B"/>
    <w:rsid w:val="00065B4C"/>
    <w:rsid w:val="00066076"/>
    <w:rsid w:val="00067758"/>
    <w:rsid w:val="000679C8"/>
    <w:rsid w:val="00070926"/>
    <w:rsid w:val="0007115D"/>
    <w:rsid w:val="00071FAA"/>
    <w:rsid w:val="000732CC"/>
    <w:rsid w:val="00073CE7"/>
    <w:rsid w:val="000746C0"/>
    <w:rsid w:val="000756B9"/>
    <w:rsid w:val="00076540"/>
    <w:rsid w:val="00076589"/>
    <w:rsid w:val="00076CAF"/>
    <w:rsid w:val="00077D3B"/>
    <w:rsid w:val="00077FA2"/>
    <w:rsid w:val="0008019A"/>
    <w:rsid w:val="000815CE"/>
    <w:rsid w:val="0008257B"/>
    <w:rsid w:val="00083239"/>
    <w:rsid w:val="00084167"/>
    <w:rsid w:val="000844B9"/>
    <w:rsid w:val="00084B68"/>
    <w:rsid w:val="00085621"/>
    <w:rsid w:val="00085EF0"/>
    <w:rsid w:val="00087410"/>
    <w:rsid w:val="00087DB1"/>
    <w:rsid w:val="000901B9"/>
    <w:rsid w:val="00090418"/>
    <w:rsid w:val="000913AA"/>
    <w:rsid w:val="00091BAD"/>
    <w:rsid w:val="000929A7"/>
    <w:rsid w:val="00093206"/>
    <w:rsid w:val="00093C50"/>
    <w:rsid w:val="00094797"/>
    <w:rsid w:val="0009487D"/>
    <w:rsid w:val="000950E7"/>
    <w:rsid w:val="00095257"/>
    <w:rsid w:val="00095348"/>
    <w:rsid w:val="00096948"/>
    <w:rsid w:val="00096F80"/>
    <w:rsid w:val="000A0348"/>
    <w:rsid w:val="000A0AB1"/>
    <w:rsid w:val="000A146F"/>
    <w:rsid w:val="000A1578"/>
    <w:rsid w:val="000A1BC4"/>
    <w:rsid w:val="000A1FE2"/>
    <w:rsid w:val="000A22F7"/>
    <w:rsid w:val="000A2434"/>
    <w:rsid w:val="000A35C9"/>
    <w:rsid w:val="000A3903"/>
    <w:rsid w:val="000A3A4D"/>
    <w:rsid w:val="000A430A"/>
    <w:rsid w:val="000A47F2"/>
    <w:rsid w:val="000A4BF5"/>
    <w:rsid w:val="000A61B7"/>
    <w:rsid w:val="000A6CB3"/>
    <w:rsid w:val="000B0108"/>
    <w:rsid w:val="000B14B1"/>
    <w:rsid w:val="000B16E6"/>
    <w:rsid w:val="000B1FCE"/>
    <w:rsid w:val="000B244A"/>
    <w:rsid w:val="000B245B"/>
    <w:rsid w:val="000B2BBE"/>
    <w:rsid w:val="000B3317"/>
    <w:rsid w:val="000B35E2"/>
    <w:rsid w:val="000B3616"/>
    <w:rsid w:val="000B3B19"/>
    <w:rsid w:val="000B4472"/>
    <w:rsid w:val="000B5007"/>
    <w:rsid w:val="000B53C5"/>
    <w:rsid w:val="000B56DA"/>
    <w:rsid w:val="000B6E6A"/>
    <w:rsid w:val="000B7560"/>
    <w:rsid w:val="000B7AC3"/>
    <w:rsid w:val="000B7B14"/>
    <w:rsid w:val="000B7B6F"/>
    <w:rsid w:val="000B7F0B"/>
    <w:rsid w:val="000C0C5B"/>
    <w:rsid w:val="000C183A"/>
    <w:rsid w:val="000C18DE"/>
    <w:rsid w:val="000C2123"/>
    <w:rsid w:val="000C29C6"/>
    <w:rsid w:val="000C2DBD"/>
    <w:rsid w:val="000C5378"/>
    <w:rsid w:val="000C5542"/>
    <w:rsid w:val="000C5762"/>
    <w:rsid w:val="000C5F4B"/>
    <w:rsid w:val="000C690C"/>
    <w:rsid w:val="000C70EA"/>
    <w:rsid w:val="000D0570"/>
    <w:rsid w:val="000D08FB"/>
    <w:rsid w:val="000D18A1"/>
    <w:rsid w:val="000D1B82"/>
    <w:rsid w:val="000D2DD3"/>
    <w:rsid w:val="000D31E9"/>
    <w:rsid w:val="000D4CD3"/>
    <w:rsid w:val="000D4DD6"/>
    <w:rsid w:val="000D532B"/>
    <w:rsid w:val="000D695B"/>
    <w:rsid w:val="000D768D"/>
    <w:rsid w:val="000D78CC"/>
    <w:rsid w:val="000D7BD1"/>
    <w:rsid w:val="000E07AF"/>
    <w:rsid w:val="000E0CC7"/>
    <w:rsid w:val="000E0CF1"/>
    <w:rsid w:val="000E10FB"/>
    <w:rsid w:val="000E12E7"/>
    <w:rsid w:val="000E1772"/>
    <w:rsid w:val="000E1B57"/>
    <w:rsid w:val="000E1C1B"/>
    <w:rsid w:val="000E29FF"/>
    <w:rsid w:val="000E2BEC"/>
    <w:rsid w:val="000E2C9D"/>
    <w:rsid w:val="000E2D71"/>
    <w:rsid w:val="000E38CC"/>
    <w:rsid w:val="000E3975"/>
    <w:rsid w:val="000E5722"/>
    <w:rsid w:val="000E5952"/>
    <w:rsid w:val="000E64CD"/>
    <w:rsid w:val="000E6B18"/>
    <w:rsid w:val="000E6D83"/>
    <w:rsid w:val="000E723B"/>
    <w:rsid w:val="000E7486"/>
    <w:rsid w:val="000E7C94"/>
    <w:rsid w:val="000F00A9"/>
    <w:rsid w:val="000F033C"/>
    <w:rsid w:val="000F065E"/>
    <w:rsid w:val="000F0BA3"/>
    <w:rsid w:val="000F1364"/>
    <w:rsid w:val="000F165B"/>
    <w:rsid w:val="000F20A7"/>
    <w:rsid w:val="000F28A8"/>
    <w:rsid w:val="000F3CCE"/>
    <w:rsid w:val="000F47AC"/>
    <w:rsid w:val="000F4BAA"/>
    <w:rsid w:val="000F55AB"/>
    <w:rsid w:val="000F5A78"/>
    <w:rsid w:val="000F6325"/>
    <w:rsid w:val="000F6CA1"/>
    <w:rsid w:val="000F6D5F"/>
    <w:rsid w:val="000F71DC"/>
    <w:rsid w:val="0010090E"/>
    <w:rsid w:val="0010179B"/>
    <w:rsid w:val="001019C4"/>
    <w:rsid w:val="00101FC1"/>
    <w:rsid w:val="001030C4"/>
    <w:rsid w:val="001035E8"/>
    <w:rsid w:val="001038B9"/>
    <w:rsid w:val="00103E62"/>
    <w:rsid w:val="00106B40"/>
    <w:rsid w:val="00106C89"/>
    <w:rsid w:val="00106FF7"/>
    <w:rsid w:val="0010775E"/>
    <w:rsid w:val="00107902"/>
    <w:rsid w:val="00107A7A"/>
    <w:rsid w:val="001123BD"/>
    <w:rsid w:val="0011335D"/>
    <w:rsid w:val="001147F9"/>
    <w:rsid w:val="00114A63"/>
    <w:rsid w:val="001155FA"/>
    <w:rsid w:val="0011578D"/>
    <w:rsid w:val="00116109"/>
    <w:rsid w:val="00116540"/>
    <w:rsid w:val="0011741B"/>
    <w:rsid w:val="0011774C"/>
    <w:rsid w:val="00117DEC"/>
    <w:rsid w:val="0012082A"/>
    <w:rsid w:val="0012150A"/>
    <w:rsid w:val="0012171B"/>
    <w:rsid w:val="001217E5"/>
    <w:rsid w:val="00121A03"/>
    <w:rsid w:val="00121B46"/>
    <w:rsid w:val="00122856"/>
    <w:rsid w:val="00122A93"/>
    <w:rsid w:val="00122C14"/>
    <w:rsid w:val="001231E1"/>
    <w:rsid w:val="00123E8D"/>
    <w:rsid w:val="00124C49"/>
    <w:rsid w:val="00124FF3"/>
    <w:rsid w:val="00125D58"/>
    <w:rsid w:val="00126645"/>
    <w:rsid w:val="00127E34"/>
    <w:rsid w:val="00130796"/>
    <w:rsid w:val="00130D37"/>
    <w:rsid w:val="00131AF1"/>
    <w:rsid w:val="00131B17"/>
    <w:rsid w:val="001326BE"/>
    <w:rsid w:val="001331EA"/>
    <w:rsid w:val="00134417"/>
    <w:rsid w:val="0013475D"/>
    <w:rsid w:val="00134DFC"/>
    <w:rsid w:val="001352D5"/>
    <w:rsid w:val="00136104"/>
    <w:rsid w:val="001367A9"/>
    <w:rsid w:val="00136F1A"/>
    <w:rsid w:val="00137007"/>
    <w:rsid w:val="00137277"/>
    <w:rsid w:val="00140485"/>
    <w:rsid w:val="001405FA"/>
    <w:rsid w:val="00141BD0"/>
    <w:rsid w:val="001433C9"/>
    <w:rsid w:val="001436E8"/>
    <w:rsid w:val="00144018"/>
    <w:rsid w:val="001445C7"/>
    <w:rsid w:val="00145772"/>
    <w:rsid w:val="00145E34"/>
    <w:rsid w:val="001464FF"/>
    <w:rsid w:val="00146DB1"/>
    <w:rsid w:val="0014723E"/>
    <w:rsid w:val="00147376"/>
    <w:rsid w:val="0014773E"/>
    <w:rsid w:val="00147DBD"/>
    <w:rsid w:val="00150652"/>
    <w:rsid w:val="00150979"/>
    <w:rsid w:val="00150C26"/>
    <w:rsid w:val="00150EC6"/>
    <w:rsid w:val="00150F8A"/>
    <w:rsid w:val="00151587"/>
    <w:rsid w:val="00151B3B"/>
    <w:rsid w:val="00152414"/>
    <w:rsid w:val="00154811"/>
    <w:rsid w:val="00155819"/>
    <w:rsid w:val="00155A17"/>
    <w:rsid w:val="001576B6"/>
    <w:rsid w:val="0015799F"/>
    <w:rsid w:val="00157AED"/>
    <w:rsid w:val="00160D90"/>
    <w:rsid w:val="00161117"/>
    <w:rsid w:val="001612AF"/>
    <w:rsid w:val="0016190B"/>
    <w:rsid w:val="001619A7"/>
    <w:rsid w:val="00162432"/>
    <w:rsid w:val="001626BC"/>
    <w:rsid w:val="00162E7B"/>
    <w:rsid w:val="00165273"/>
    <w:rsid w:val="001655F1"/>
    <w:rsid w:val="00167AD9"/>
    <w:rsid w:val="00167BD5"/>
    <w:rsid w:val="00171074"/>
    <w:rsid w:val="00171663"/>
    <w:rsid w:val="0017267F"/>
    <w:rsid w:val="00172730"/>
    <w:rsid w:val="001734EA"/>
    <w:rsid w:val="00173E58"/>
    <w:rsid w:val="00174034"/>
    <w:rsid w:val="00174453"/>
    <w:rsid w:val="00174FCC"/>
    <w:rsid w:val="001757A1"/>
    <w:rsid w:val="00175C7C"/>
    <w:rsid w:val="00175CEA"/>
    <w:rsid w:val="0017602C"/>
    <w:rsid w:val="00176296"/>
    <w:rsid w:val="00180192"/>
    <w:rsid w:val="0018038D"/>
    <w:rsid w:val="001808F1"/>
    <w:rsid w:val="00180D3E"/>
    <w:rsid w:val="00181C33"/>
    <w:rsid w:val="00182263"/>
    <w:rsid w:val="001826BF"/>
    <w:rsid w:val="0018359D"/>
    <w:rsid w:val="001835AB"/>
    <w:rsid w:val="00183D04"/>
    <w:rsid w:val="001846E3"/>
    <w:rsid w:val="00185BC1"/>
    <w:rsid w:val="001867B7"/>
    <w:rsid w:val="001871DA"/>
    <w:rsid w:val="00190330"/>
    <w:rsid w:val="001917C1"/>
    <w:rsid w:val="00191BC5"/>
    <w:rsid w:val="00192980"/>
    <w:rsid w:val="00192F24"/>
    <w:rsid w:val="00193EC3"/>
    <w:rsid w:val="00194272"/>
    <w:rsid w:val="00195316"/>
    <w:rsid w:val="00195743"/>
    <w:rsid w:val="00195A99"/>
    <w:rsid w:val="001965BA"/>
    <w:rsid w:val="00196698"/>
    <w:rsid w:val="00196700"/>
    <w:rsid w:val="00196BF7"/>
    <w:rsid w:val="00197CB1"/>
    <w:rsid w:val="001A15E7"/>
    <w:rsid w:val="001A17E6"/>
    <w:rsid w:val="001A1AB5"/>
    <w:rsid w:val="001A22B4"/>
    <w:rsid w:val="001A27A3"/>
    <w:rsid w:val="001A3C3C"/>
    <w:rsid w:val="001A3DDF"/>
    <w:rsid w:val="001A40F2"/>
    <w:rsid w:val="001A4384"/>
    <w:rsid w:val="001A4397"/>
    <w:rsid w:val="001A46C0"/>
    <w:rsid w:val="001A7920"/>
    <w:rsid w:val="001A7BBC"/>
    <w:rsid w:val="001B014F"/>
    <w:rsid w:val="001B0572"/>
    <w:rsid w:val="001B19D1"/>
    <w:rsid w:val="001B21A8"/>
    <w:rsid w:val="001B24D9"/>
    <w:rsid w:val="001B30DD"/>
    <w:rsid w:val="001B4623"/>
    <w:rsid w:val="001B4F37"/>
    <w:rsid w:val="001B4FDC"/>
    <w:rsid w:val="001B5D48"/>
    <w:rsid w:val="001B622E"/>
    <w:rsid w:val="001B63E8"/>
    <w:rsid w:val="001B7027"/>
    <w:rsid w:val="001B70EB"/>
    <w:rsid w:val="001B7121"/>
    <w:rsid w:val="001B7580"/>
    <w:rsid w:val="001B79DD"/>
    <w:rsid w:val="001B7BE7"/>
    <w:rsid w:val="001C2E8B"/>
    <w:rsid w:val="001C31A2"/>
    <w:rsid w:val="001C3925"/>
    <w:rsid w:val="001C39A0"/>
    <w:rsid w:val="001C3CB4"/>
    <w:rsid w:val="001C4636"/>
    <w:rsid w:val="001C47BE"/>
    <w:rsid w:val="001C47DA"/>
    <w:rsid w:val="001C5101"/>
    <w:rsid w:val="001C51D7"/>
    <w:rsid w:val="001C6841"/>
    <w:rsid w:val="001D0D38"/>
    <w:rsid w:val="001D1CAE"/>
    <w:rsid w:val="001D23EE"/>
    <w:rsid w:val="001D2F3D"/>
    <w:rsid w:val="001D4D18"/>
    <w:rsid w:val="001D4FDB"/>
    <w:rsid w:val="001D566E"/>
    <w:rsid w:val="001D5F74"/>
    <w:rsid w:val="001D67D5"/>
    <w:rsid w:val="001D6E77"/>
    <w:rsid w:val="001D7DC2"/>
    <w:rsid w:val="001E05B0"/>
    <w:rsid w:val="001E0C23"/>
    <w:rsid w:val="001E1199"/>
    <w:rsid w:val="001E15E6"/>
    <w:rsid w:val="001E1BB8"/>
    <w:rsid w:val="001E2BFE"/>
    <w:rsid w:val="001E4556"/>
    <w:rsid w:val="001E4634"/>
    <w:rsid w:val="001E550E"/>
    <w:rsid w:val="001E56C3"/>
    <w:rsid w:val="001E65D7"/>
    <w:rsid w:val="001E6EE4"/>
    <w:rsid w:val="001F035D"/>
    <w:rsid w:val="001F0795"/>
    <w:rsid w:val="001F0E96"/>
    <w:rsid w:val="001F15DC"/>
    <w:rsid w:val="001F1FB6"/>
    <w:rsid w:val="001F361B"/>
    <w:rsid w:val="001F376F"/>
    <w:rsid w:val="001F38A1"/>
    <w:rsid w:val="001F6030"/>
    <w:rsid w:val="001F6395"/>
    <w:rsid w:val="001F6490"/>
    <w:rsid w:val="001F6F12"/>
    <w:rsid w:val="001F706E"/>
    <w:rsid w:val="001F71DC"/>
    <w:rsid w:val="001F7673"/>
    <w:rsid w:val="001F7907"/>
    <w:rsid w:val="001F7A7A"/>
    <w:rsid w:val="001F7C3A"/>
    <w:rsid w:val="00200B7A"/>
    <w:rsid w:val="002012D1"/>
    <w:rsid w:val="00202641"/>
    <w:rsid w:val="00205262"/>
    <w:rsid w:val="00205B3D"/>
    <w:rsid w:val="00206042"/>
    <w:rsid w:val="002074F5"/>
    <w:rsid w:val="00207A71"/>
    <w:rsid w:val="00207A77"/>
    <w:rsid w:val="00207B46"/>
    <w:rsid w:val="00210587"/>
    <w:rsid w:val="00210CAF"/>
    <w:rsid w:val="00210E30"/>
    <w:rsid w:val="002128A8"/>
    <w:rsid w:val="00212918"/>
    <w:rsid w:val="00212D4E"/>
    <w:rsid w:val="00212D54"/>
    <w:rsid w:val="0021447E"/>
    <w:rsid w:val="00214788"/>
    <w:rsid w:val="0021536D"/>
    <w:rsid w:val="00215427"/>
    <w:rsid w:val="002161E9"/>
    <w:rsid w:val="002161F1"/>
    <w:rsid w:val="00216C54"/>
    <w:rsid w:val="00216EE0"/>
    <w:rsid w:val="00217D44"/>
    <w:rsid w:val="002201A2"/>
    <w:rsid w:val="00221992"/>
    <w:rsid w:val="00222355"/>
    <w:rsid w:val="00222404"/>
    <w:rsid w:val="00222416"/>
    <w:rsid w:val="00222592"/>
    <w:rsid w:val="002229B8"/>
    <w:rsid w:val="00223051"/>
    <w:rsid w:val="0022364D"/>
    <w:rsid w:val="00223B58"/>
    <w:rsid w:val="00223EE6"/>
    <w:rsid w:val="00224D1C"/>
    <w:rsid w:val="00225987"/>
    <w:rsid w:val="00226A09"/>
    <w:rsid w:val="00226A39"/>
    <w:rsid w:val="002300A4"/>
    <w:rsid w:val="002305BB"/>
    <w:rsid w:val="00230E14"/>
    <w:rsid w:val="00230F0E"/>
    <w:rsid w:val="00231084"/>
    <w:rsid w:val="002315CF"/>
    <w:rsid w:val="002316B6"/>
    <w:rsid w:val="0023184A"/>
    <w:rsid w:val="00231FD2"/>
    <w:rsid w:val="00232294"/>
    <w:rsid w:val="00232529"/>
    <w:rsid w:val="0023329F"/>
    <w:rsid w:val="00233F55"/>
    <w:rsid w:val="00234621"/>
    <w:rsid w:val="00235E67"/>
    <w:rsid w:val="002364E1"/>
    <w:rsid w:val="002367AB"/>
    <w:rsid w:val="00237C9C"/>
    <w:rsid w:val="00237D06"/>
    <w:rsid w:val="002401AB"/>
    <w:rsid w:val="0024153C"/>
    <w:rsid w:val="00241AE0"/>
    <w:rsid w:val="002427B6"/>
    <w:rsid w:val="00243880"/>
    <w:rsid w:val="002509CC"/>
    <w:rsid w:val="00250B5F"/>
    <w:rsid w:val="0025136D"/>
    <w:rsid w:val="0025152F"/>
    <w:rsid w:val="00251AE2"/>
    <w:rsid w:val="00251C7B"/>
    <w:rsid w:val="00251DA0"/>
    <w:rsid w:val="002537C9"/>
    <w:rsid w:val="002538A0"/>
    <w:rsid w:val="00253AED"/>
    <w:rsid w:val="00253B62"/>
    <w:rsid w:val="002556D9"/>
    <w:rsid w:val="002558EA"/>
    <w:rsid w:val="00260131"/>
    <w:rsid w:val="0026028E"/>
    <w:rsid w:val="00260B34"/>
    <w:rsid w:val="00260F34"/>
    <w:rsid w:val="002614AE"/>
    <w:rsid w:val="002616D9"/>
    <w:rsid w:val="00261925"/>
    <w:rsid w:val="0026255C"/>
    <w:rsid w:val="0026287B"/>
    <w:rsid w:val="00263662"/>
    <w:rsid w:val="00263927"/>
    <w:rsid w:val="00263D37"/>
    <w:rsid w:val="00264A0E"/>
    <w:rsid w:val="0026539F"/>
    <w:rsid w:val="00265648"/>
    <w:rsid w:val="002657EB"/>
    <w:rsid w:val="00266AB2"/>
    <w:rsid w:val="00267206"/>
    <w:rsid w:val="0027112E"/>
    <w:rsid w:val="00271690"/>
    <w:rsid w:val="0027169F"/>
    <w:rsid w:val="00272E52"/>
    <w:rsid w:val="0027532C"/>
    <w:rsid w:val="00275C5C"/>
    <w:rsid w:val="00275E9A"/>
    <w:rsid w:val="002767FE"/>
    <w:rsid w:val="00276DFA"/>
    <w:rsid w:val="00276E01"/>
    <w:rsid w:val="002778F3"/>
    <w:rsid w:val="00277CD6"/>
    <w:rsid w:val="00280384"/>
    <w:rsid w:val="002805D9"/>
    <w:rsid w:val="00280B0E"/>
    <w:rsid w:val="00281A22"/>
    <w:rsid w:val="00281A77"/>
    <w:rsid w:val="00281C20"/>
    <w:rsid w:val="00281CF9"/>
    <w:rsid w:val="00282654"/>
    <w:rsid w:val="002826E4"/>
    <w:rsid w:val="00282727"/>
    <w:rsid w:val="002837F3"/>
    <w:rsid w:val="00284329"/>
    <w:rsid w:val="00284806"/>
    <w:rsid w:val="00285391"/>
    <w:rsid w:val="002859DA"/>
    <w:rsid w:val="00285A84"/>
    <w:rsid w:val="00286570"/>
    <w:rsid w:val="00286A3E"/>
    <w:rsid w:val="00286EAE"/>
    <w:rsid w:val="0028785D"/>
    <w:rsid w:val="0029012D"/>
    <w:rsid w:val="00290C8F"/>
    <w:rsid w:val="00290E46"/>
    <w:rsid w:val="00292A2E"/>
    <w:rsid w:val="00292D2E"/>
    <w:rsid w:val="00292F25"/>
    <w:rsid w:val="00293D74"/>
    <w:rsid w:val="00293F1D"/>
    <w:rsid w:val="00295582"/>
    <w:rsid w:val="00295756"/>
    <w:rsid w:val="00296D0A"/>
    <w:rsid w:val="00297CA2"/>
    <w:rsid w:val="002A0B86"/>
    <w:rsid w:val="002A1F85"/>
    <w:rsid w:val="002A25E9"/>
    <w:rsid w:val="002A368A"/>
    <w:rsid w:val="002A3A2F"/>
    <w:rsid w:val="002A3ADA"/>
    <w:rsid w:val="002A4C34"/>
    <w:rsid w:val="002A6459"/>
    <w:rsid w:val="002A71A6"/>
    <w:rsid w:val="002A7386"/>
    <w:rsid w:val="002B01FF"/>
    <w:rsid w:val="002B0A87"/>
    <w:rsid w:val="002B0FDF"/>
    <w:rsid w:val="002B1908"/>
    <w:rsid w:val="002B1EDC"/>
    <w:rsid w:val="002B24C1"/>
    <w:rsid w:val="002B2ECA"/>
    <w:rsid w:val="002B3934"/>
    <w:rsid w:val="002B3F1C"/>
    <w:rsid w:val="002B4888"/>
    <w:rsid w:val="002B4CA0"/>
    <w:rsid w:val="002B61B5"/>
    <w:rsid w:val="002B69EA"/>
    <w:rsid w:val="002B6ADB"/>
    <w:rsid w:val="002B7C19"/>
    <w:rsid w:val="002C018F"/>
    <w:rsid w:val="002C2237"/>
    <w:rsid w:val="002C23BD"/>
    <w:rsid w:val="002C2615"/>
    <w:rsid w:val="002C2DD0"/>
    <w:rsid w:val="002C32AD"/>
    <w:rsid w:val="002C3529"/>
    <w:rsid w:val="002C3891"/>
    <w:rsid w:val="002C3A28"/>
    <w:rsid w:val="002C4C15"/>
    <w:rsid w:val="002C50E7"/>
    <w:rsid w:val="002C53D1"/>
    <w:rsid w:val="002C56A2"/>
    <w:rsid w:val="002C6375"/>
    <w:rsid w:val="002C6C23"/>
    <w:rsid w:val="002C6E78"/>
    <w:rsid w:val="002C7AFA"/>
    <w:rsid w:val="002D06AD"/>
    <w:rsid w:val="002D078D"/>
    <w:rsid w:val="002D09E3"/>
    <w:rsid w:val="002D0FAD"/>
    <w:rsid w:val="002D1391"/>
    <w:rsid w:val="002D1F9F"/>
    <w:rsid w:val="002D2BD2"/>
    <w:rsid w:val="002D491E"/>
    <w:rsid w:val="002D4998"/>
    <w:rsid w:val="002D52E7"/>
    <w:rsid w:val="002D5ADF"/>
    <w:rsid w:val="002D5F3A"/>
    <w:rsid w:val="002D637B"/>
    <w:rsid w:val="002D6455"/>
    <w:rsid w:val="002D6D73"/>
    <w:rsid w:val="002D6DA4"/>
    <w:rsid w:val="002D6F8A"/>
    <w:rsid w:val="002D72EA"/>
    <w:rsid w:val="002D7B7F"/>
    <w:rsid w:val="002D7D4C"/>
    <w:rsid w:val="002E00E2"/>
    <w:rsid w:val="002E0139"/>
    <w:rsid w:val="002E0B91"/>
    <w:rsid w:val="002E0BDC"/>
    <w:rsid w:val="002E0FFA"/>
    <w:rsid w:val="002E168E"/>
    <w:rsid w:val="002E223A"/>
    <w:rsid w:val="002E341B"/>
    <w:rsid w:val="002E3A96"/>
    <w:rsid w:val="002E3CE8"/>
    <w:rsid w:val="002E49B7"/>
    <w:rsid w:val="002E5289"/>
    <w:rsid w:val="002E5563"/>
    <w:rsid w:val="002E55B3"/>
    <w:rsid w:val="002E6236"/>
    <w:rsid w:val="002E6C2B"/>
    <w:rsid w:val="002E6DE3"/>
    <w:rsid w:val="002E78F0"/>
    <w:rsid w:val="002E79DA"/>
    <w:rsid w:val="002E7DD2"/>
    <w:rsid w:val="002F01C7"/>
    <w:rsid w:val="002F0A6D"/>
    <w:rsid w:val="002F0E2F"/>
    <w:rsid w:val="002F1532"/>
    <w:rsid w:val="002F1DF5"/>
    <w:rsid w:val="002F20A6"/>
    <w:rsid w:val="002F33E7"/>
    <w:rsid w:val="002F405E"/>
    <w:rsid w:val="002F60FC"/>
    <w:rsid w:val="002F79BA"/>
    <w:rsid w:val="002F7C28"/>
    <w:rsid w:val="003007D1"/>
    <w:rsid w:val="003008FA"/>
    <w:rsid w:val="003018D4"/>
    <w:rsid w:val="00302282"/>
    <w:rsid w:val="00302B8F"/>
    <w:rsid w:val="00302EF2"/>
    <w:rsid w:val="003033F3"/>
    <w:rsid w:val="00303B11"/>
    <w:rsid w:val="00303F96"/>
    <w:rsid w:val="003045DA"/>
    <w:rsid w:val="003048FB"/>
    <w:rsid w:val="003049AD"/>
    <w:rsid w:val="00305FAE"/>
    <w:rsid w:val="003067E3"/>
    <w:rsid w:val="00306C3B"/>
    <w:rsid w:val="00307872"/>
    <w:rsid w:val="00307F64"/>
    <w:rsid w:val="0031052C"/>
    <w:rsid w:val="00311237"/>
    <w:rsid w:val="0031154E"/>
    <w:rsid w:val="00314009"/>
    <w:rsid w:val="00314E20"/>
    <w:rsid w:val="003150DF"/>
    <w:rsid w:val="00315148"/>
    <w:rsid w:val="00315161"/>
    <w:rsid w:val="003151C3"/>
    <w:rsid w:val="00315BCC"/>
    <w:rsid w:val="00315FC7"/>
    <w:rsid w:val="0031607F"/>
    <w:rsid w:val="00316CC2"/>
    <w:rsid w:val="003177C2"/>
    <w:rsid w:val="00317F6A"/>
    <w:rsid w:val="00320298"/>
    <w:rsid w:val="00321C83"/>
    <w:rsid w:val="00321E04"/>
    <w:rsid w:val="00322075"/>
    <w:rsid w:val="003222D2"/>
    <w:rsid w:val="003223E1"/>
    <w:rsid w:val="0032385A"/>
    <w:rsid w:val="00323912"/>
    <w:rsid w:val="00323CB9"/>
    <w:rsid w:val="00324086"/>
    <w:rsid w:val="00325156"/>
    <w:rsid w:val="00325CDC"/>
    <w:rsid w:val="0032640D"/>
    <w:rsid w:val="00326D53"/>
    <w:rsid w:val="0032747B"/>
    <w:rsid w:val="00327B75"/>
    <w:rsid w:val="00327E50"/>
    <w:rsid w:val="00330718"/>
    <w:rsid w:val="00330983"/>
    <w:rsid w:val="0033127A"/>
    <w:rsid w:val="00332C00"/>
    <w:rsid w:val="00332E68"/>
    <w:rsid w:val="00333518"/>
    <w:rsid w:val="0033484C"/>
    <w:rsid w:val="00334D9D"/>
    <w:rsid w:val="00335690"/>
    <w:rsid w:val="00335946"/>
    <w:rsid w:val="00335A7F"/>
    <w:rsid w:val="00335BA8"/>
    <w:rsid w:val="00336E37"/>
    <w:rsid w:val="00337BAB"/>
    <w:rsid w:val="00340D4F"/>
    <w:rsid w:val="00340FC5"/>
    <w:rsid w:val="0034109B"/>
    <w:rsid w:val="00341743"/>
    <w:rsid w:val="00341B8B"/>
    <w:rsid w:val="003428F5"/>
    <w:rsid w:val="00342A38"/>
    <w:rsid w:val="00343629"/>
    <w:rsid w:val="00343A30"/>
    <w:rsid w:val="00343CEC"/>
    <w:rsid w:val="00343D9E"/>
    <w:rsid w:val="003444AF"/>
    <w:rsid w:val="00344BE7"/>
    <w:rsid w:val="00344E3D"/>
    <w:rsid w:val="00345708"/>
    <w:rsid w:val="0034617E"/>
    <w:rsid w:val="00346BF2"/>
    <w:rsid w:val="0034712E"/>
    <w:rsid w:val="0035026B"/>
    <w:rsid w:val="003504AF"/>
    <w:rsid w:val="00350626"/>
    <w:rsid w:val="00350BF7"/>
    <w:rsid w:val="0035151F"/>
    <w:rsid w:val="00351A0B"/>
    <w:rsid w:val="00351E22"/>
    <w:rsid w:val="00352051"/>
    <w:rsid w:val="00353082"/>
    <w:rsid w:val="00353F20"/>
    <w:rsid w:val="00354B2B"/>
    <w:rsid w:val="00354C93"/>
    <w:rsid w:val="00356F82"/>
    <w:rsid w:val="00357871"/>
    <w:rsid w:val="00361251"/>
    <w:rsid w:val="003614EF"/>
    <w:rsid w:val="0036204C"/>
    <w:rsid w:val="0036213E"/>
    <w:rsid w:val="00362512"/>
    <w:rsid w:val="003626D3"/>
    <w:rsid w:val="00365309"/>
    <w:rsid w:val="003658DC"/>
    <w:rsid w:val="00365D3B"/>
    <w:rsid w:val="00366DA0"/>
    <w:rsid w:val="00366F3C"/>
    <w:rsid w:val="003673CF"/>
    <w:rsid w:val="0037018B"/>
    <w:rsid w:val="00370E4A"/>
    <w:rsid w:val="003714E4"/>
    <w:rsid w:val="003715D0"/>
    <w:rsid w:val="0037280C"/>
    <w:rsid w:val="00373EE9"/>
    <w:rsid w:val="003745B5"/>
    <w:rsid w:val="00374933"/>
    <w:rsid w:val="00374ABC"/>
    <w:rsid w:val="003753B4"/>
    <w:rsid w:val="00375428"/>
    <w:rsid w:val="00375C3D"/>
    <w:rsid w:val="00375FCD"/>
    <w:rsid w:val="00376115"/>
    <w:rsid w:val="00376152"/>
    <w:rsid w:val="003806A7"/>
    <w:rsid w:val="00380C08"/>
    <w:rsid w:val="00380F35"/>
    <w:rsid w:val="003820C4"/>
    <w:rsid w:val="00382511"/>
    <w:rsid w:val="00382EC6"/>
    <w:rsid w:val="0038309D"/>
    <w:rsid w:val="00383D23"/>
    <w:rsid w:val="003848B0"/>
    <w:rsid w:val="00385C5C"/>
    <w:rsid w:val="00386144"/>
    <w:rsid w:val="00386524"/>
    <w:rsid w:val="003868A2"/>
    <w:rsid w:val="003868AA"/>
    <w:rsid w:val="00386B5A"/>
    <w:rsid w:val="00387273"/>
    <w:rsid w:val="00391610"/>
    <w:rsid w:val="0039196D"/>
    <w:rsid w:val="00391B0A"/>
    <w:rsid w:val="00392553"/>
    <w:rsid w:val="0039268F"/>
    <w:rsid w:val="003926EF"/>
    <w:rsid w:val="0039421C"/>
    <w:rsid w:val="003943B6"/>
    <w:rsid w:val="003946C2"/>
    <w:rsid w:val="00394E30"/>
    <w:rsid w:val="00395B17"/>
    <w:rsid w:val="00395C69"/>
    <w:rsid w:val="00395EA4"/>
    <w:rsid w:val="003965AB"/>
    <w:rsid w:val="00397D5C"/>
    <w:rsid w:val="003A08B3"/>
    <w:rsid w:val="003A12FC"/>
    <w:rsid w:val="003A1BB1"/>
    <w:rsid w:val="003A1D51"/>
    <w:rsid w:val="003A1E14"/>
    <w:rsid w:val="003A1EF7"/>
    <w:rsid w:val="003A2918"/>
    <w:rsid w:val="003A3DDE"/>
    <w:rsid w:val="003A4CB9"/>
    <w:rsid w:val="003A5BE1"/>
    <w:rsid w:val="003A6145"/>
    <w:rsid w:val="003A6662"/>
    <w:rsid w:val="003A68F9"/>
    <w:rsid w:val="003A6AC6"/>
    <w:rsid w:val="003A7070"/>
    <w:rsid w:val="003A7928"/>
    <w:rsid w:val="003A7FA3"/>
    <w:rsid w:val="003B0244"/>
    <w:rsid w:val="003B0BC3"/>
    <w:rsid w:val="003B2341"/>
    <w:rsid w:val="003B2ABE"/>
    <w:rsid w:val="003B3527"/>
    <w:rsid w:val="003B462D"/>
    <w:rsid w:val="003B4713"/>
    <w:rsid w:val="003B4A10"/>
    <w:rsid w:val="003B4BC1"/>
    <w:rsid w:val="003B5593"/>
    <w:rsid w:val="003B5A84"/>
    <w:rsid w:val="003B5EAC"/>
    <w:rsid w:val="003B726C"/>
    <w:rsid w:val="003C01CC"/>
    <w:rsid w:val="003C04AA"/>
    <w:rsid w:val="003C084D"/>
    <w:rsid w:val="003C0BD4"/>
    <w:rsid w:val="003C1CA9"/>
    <w:rsid w:val="003C1D7A"/>
    <w:rsid w:val="003C2136"/>
    <w:rsid w:val="003C2E10"/>
    <w:rsid w:val="003C37C1"/>
    <w:rsid w:val="003C4037"/>
    <w:rsid w:val="003C410C"/>
    <w:rsid w:val="003C4CBD"/>
    <w:rsid w:val="003C5AE9"/>
    <w:rsid w:val="003C5B78"/>
    <w:rsid w:val="003C636D"/>
    <w:rsid w:val="003C6434"/>
    <w:rsid w:val="003C64F6"/>
    <w:rsid w:val="003C7099"/>
    <w:rsid w:val="003C7A61"/>
    <w:rsid w:val="003D0235"/>
    <w:rsid w:val="003D0E60"/>
    <w:rsid w:val="003D4904"/>
    <w:rsid w:val="003D49A8"/>
    <w:rsid w:val="003D537F"/>
    <w:rsid w:val="003D553F"/>
    <w:rsid w:val="003D6080"/>
    <w:rsid w:val="003D60B7"/>
    <w:rsid w:val="003D659F"/>
    <w:rsid w:val="003D7C1A"/>
    <w:rsid w:val="003D7ECD"/>
    <w:rsid w:val="003E01AF"/>
    <w:rsid w:val="003E02F1"/>
    <w:rsid w:val="003E19C7"/>
    <w:rsid w:val="003E244D"/>
    <w:rsid w:val="003E2D48"/>
    <w:rsid w:val="003E390E"/>
    <w:rsid w:val="003E41C1"/>
    <w:rsid w:val="003E4306"/>
    <w:rsid w:val="003E5002"/>
    <w:rsid w:val="003E5977"/>
    <w:rsid w:val="003E6B29"/>
    <w:rsid w:val="003E6F75"/>
    <w:rsid w:val="003E7142"/>
    <w:rsid w:val="003E7E75"/>
    <w:rsid w:val="003F0B02"/>
    <w:rsid w:val="003F1146"/>
    <w:rsid w:val="003F143C"/>
    <w:rsid w:val="003F17E1"/>
    <w:rsid w:val="003F1A7E"/>
    <w:rsid w:val="003F2AC0"/>
    <w:rsid w:val="003F2E90"/>
    <w:rsid w:val="003F5D5B"/>
    <w:rsid w:val="003F5F61"/>
    <w:rsid w:val="003F70F9"/>
    <w:rsid w:val="003F7A7C"/>
    <w:rsid w:val="00400079"/>
    <w:rsid w:val="00400F35"/>
    <w:rsid w:val="004010E1"/>
    <w:rsid w:val="00402CA5"/>
    <w:rsid w:val="00403854"/>
    <w:rsid w:val="00403ED2"/>
    <w:rsid w:val="004045E4"/>
    <w:rsid w:val="00404BA7"/>
    <w:rsid w:val="0040553E"/>
    <w:rsid w:val="0040603D"/>
    <w:rsid w:val="004076D9"/>
    <w:rsid w:val="00407A46"/>
    <w:rsid w:val="00407BDD"/>
    <w:rsid w:val="00407EE2"/>
    <w:rsid w:val="00410028"/>
    <w:rsid w:val="00410603"/>
    <w:rsid w:val="004109FA"/>
    <w:rsid w:val="00410AED"/>
    <w:rsid w:val="00410D7A"/>
    <w:rsid w:val="00411418"/>
    <w:rsid w:val="00413D2B"/>
    <w:rsid w:val="004147F4"/>
    <w:rsid w:val="00415225"/>
    <w:rsid w:val="00415A12"/>
    <w:rsid w:val="00415A92"/>
    <w:rsid w:val="00416B89"/>
    <w:rsid w:val="00417599"/>
    <w:rsid w:val="00420AF2"/>
    <w:rsid w:val="00422212"/>
    <w:rsid w:val="00423B05"/>
    <w:rsid w:val="00423BFE"/>
    <w:rsid w:val="00423F7B"/>
    <w:rsid w:val="004251A7"/>
    <w:rsid w:val="00425B7E"/>
    <w:rsid w:val="00426140"/>
    <w:rsid w:val="00426BF1"/>
    <w:rsid w:val="0042788F"/>
    <w:rsid w:val="00427BF6"/>
    <w:rsid w:val="0043026F"/>
    <w:rsid w:val="0043029B"/>
    <w:rsid w:val="004307AF"/>
    <w:rsid w:val="004307C7"/>
    <w:rsid w:val="00430D75"/>
    <w:rsid w:val="00431B08"/>
    <w:rsid w:val="00432B0A"/>
    <w:rsid w:val="00432B12"/>
    <w:rsid w:val="004334BA"/>
    <w:rsid w:val="004337ED"/>
    <w:rsid w:val="00433AD7"/>
    <w:rsid w:val="004340E9"/>
    <w:rsid w:val="00434493"/>
    <w:rsid w:val="00434508"/>
    <w:rsid w:val="004345E7"/>
    <w:rsid w:val="004347D5"/>
    <w:rsid w:val="00434EDF"/>
    <w:rsid w:val="0043598B"/>
    <w:rsid w:val="0043612D"/>
    <w:rsid w:val="004379DB"/>
    <w:rsid w:val="00437AC5"/>
    <w:rsid w:val="004403F8"/>
    <w:rsid w:val="004406CD"/>
    <w:rsid w:val="00440AB1"/>
    <w:rsid w:val="004420FD"/>
    <w:rsid w:val="0044254D"/>
    <w:rsid w:val="00442A20"/>
    <w:rsid w:val="0044315C"/>
    <w:rsid w:val="0044369E"/>
    <w:rsid w:val="00446535"/>
    <w:rsid w:val="0044695D"/>
    <w:rsid w:val="00446AD7"/>
    <w:rsid w:val="004505DF"/>
    <w:rsid w:val="00450ED9"/>
    <w:rsid w:val="0045159C"/>
    <w:rsid w:val="00451661"/>
    <w:rsid w:val="00451795"/>
    <w:rsid w:val="004519F0"/>
    <w:rsid w:val="004527BD"/>
    <w:rsid w:val="00453698"/>
    <w:rsid w:val="00453D3F"/>
    <w:rsid w:val="004552D7"/>
    <w:rsid w:val="00455325"/>
    <w:rsid w:val="004553FC"/>
    <w:rsid w:val="004554F6"/>
    <w:rsid w:val="004555F2"/>
    <w:rsid w:val="00455A99"/>
    <w:rsid w:val="00455B9B"/>
    <w:rsid w:val="00455F50"/>
    <w:rsid w:val="004560A6"/>
    <w:rsid w:val="00456572"/>
    <w:rsid w:val="00456F2B"/>
    <w:rsid w:val="00460320"/>
    <w:rsid w:val="00460374"/>
    <w:rsid w:val="00460ACF"/>
    <w:rsid w:val="00460D0D"/>
    <w:rsid w:val="00460F47"/>
    <w:rsid w:val="0046179A"/>
    <w:rsid w:val="004619C5"/>
    <w:rsid w:val="004638BA"/>
    <w:rsid w:val="00463AE8"/>
    <w:rsid w:val="00463CCD"/>
    <w:rsid w:val="00463EF1"/>
    <w:rsid w:val="00464722"/>
    <w:rsid w:val="00464934"/>
    <w:rsid w:val="00464C73"/>
    <w:rsid w:val="0046560D"/>
    <w:rsid w:val="00465C08"/>
    <w:rsid w:val="00467ACB"/>
    <w:rsid w:val="00467C00"/>
    <w:rsid w:val="0047124C"/>
    <w:rsid w:val="00472DDB"/>
    <w:rsid w:val="00473040"/>
    <w:rsid w:val="00473259"/>
    <w:rsid w:val="0047354D"/>
    <w:rsid w:val="00475254"/>
    <w:rsid w:val="00476453"/>
    <w:rsid w:val="00476955"/>
    <w:rsid w:val="004769A2"/>
    <w:rsid w:val="00476C7C"/>
    <w:rsid w:val="00476FD6"/>
    <w:rsid w:val="00477D08"/>
    <w:rsid w:val="004802CE"/>
    <w:rsid w:val="0048099F"/>
    <w:rsid w:val="004817A1"/>
    <w:rsid w:val="00481E81"/>
    <w:rsid w:val="004839AF"/>
    <w:rsid w:val="00483BA6"/>
    <w:rsid w:val="00484AE4"/>
    <w:rsid w:val="004851CE"/>
    <w:rsid w:val="004864BA"/>
    <w:rsid w:val="004867D4"/>
    <w:rsid w:val="00486999"/>
    <w:rsid w:val="0048757C"/>
    <w:rsid w:val="00487684"/>
    <w:rsid w:val="004909DD"/>
    <w:rsid w:val="00490D14"/>
    <w:rsid w:val="00490F8E"/>
    <w:rsid w:val="00491055"/>
    <w:rsid w:val="00491A9B"/>
    <w:rsid w:val="0049223E"/>
    <w:rsid w:val="00492EAA"/>
    <w:rsid w:val="00493C57"/>
    <w:rsid w:val="00493FC6"/>
    <w:rsid w:val="00494532"/>
    <w:rsid w:val="00494793"/>
    <w:rsid w:val="004947D3"/>
    <w:rsid w:val="00494ABE"/>
    <w:rsid w:val="00494EA3"/>
    <w:rsid w:val="00495072"/>
    <w:rsid w:val="004950FC"/>
    <w:rsid w:val="00495BFC"/>
    <w:rsid w:val="0049662E"/>
    <w:rsid w:val="00497E20"/>
    <w:rsid w:val="00497F68"/>
    <w:rsid w:val="004A074D"/>
    <w:rsid w:val="004A1C81"/>
    <w:rsid w:val="004A1CC3"/>
    <w:rsid w:val="004A1FA3"/>
    <w:rsid w:val="004A2740"/>
    <w:rsid w:val="004A27BD"/>
    <w:rsid w:val="004A2C55"/>
    <w:rsid w:val="004A2EBD"/>
    <w:rsid w:val="004A3030"/>
    <w:rsid w:val="004A3220"/>
    <w:rsid w:val="004A3BA9"/>
    <w:rsid w:val="004A401E"/>
    <w:rsid w:val="004A4144"/>
    <w:rsid w:val="004A5022"/>
    <w:rsid w:val="004A5B2F"/>
    <w:rsid w:val="004A5F45"/>
    <w:rsid w:val="004A6743"/>
    <w:rsid w:val="004A7655"/>
    <w:rsid w:val="004B0341"/>
    <w:rsid w:val="004B0669"/>
    <w:rsid w:val="004B0ACE"/>
    <w:rsid w:val="004B0C15"/>
    <w:rsid w:val="004B1CEC"/>
    <w:rsid w:val="004B204A"/>
    <w:rsid w:val="004B21B5"/>
    <w:rsid w:val="004B2FAA"/>
    <w:rsid w:val="004B33EC"/>
    <w:rsid w:val="004B39DC"/>
    <w:rsid w:val="004B5D14"/>
    <w:rsid w:val="004B5DE6"/>
    <w:rsid w:val="004B5F80"/>
    <w:rsid w:val="004B664E"/>
    <w:rsid w:val="004B67E0"/>
    <w:rsid w:val="004B6EEE"/>
    <w:rsid w:val="004B74B9"/>
    <w:rsid w:val="004B7E97"/>
    <w:rsid w:val="004C13AC"/>
    <w:rsid w:val="004C16E5"/>
    <w:rsid w:val="004C2305"/>
    <w:rsid w:val="004C3030"/>
    <w:rsid w:val="004C3036"/>
    <w:rsid w:val="004C38CA"/>
    <w:rsid w:val="004C47AF"/>
    <w:rsid w:val="004C4AC0"/>
    <w:rsid w:val="004C64A9"/>
    <w:rsid w:val="004C6A86"/>
    <w:rsid w:val="004C739B"/>
    <w:rsid w:val="004C7EC6"/>
    <w:rsid w:val="004D040A"/>
    <w:rsid w:val="004D04A4"/>
    <w:rsid w:val="004D0574"/>
    <w:rsid w:val="004D0E15"/>
    <w:rsid w:val="004D0F21"/>
    <w:rsid w:val="004D184B"/>
    <w:rsid w:val="004D1D10"/>
    <w:rsid w:val="004D1F35"/>
    <w:rsid w:val="004D2F91"/>
    <w:rsid w:val="004D3436"/>
    <w:rsid w:val="004D3768"/>
    <w:rsid w:val="004D3861"/>
    <w:rsid w:val="004D404C"/>
    <w:rsid w:val="004D60F1"/>
    <w:rsid w:val="004D781B"/>
    <w:rsid w:val="004D7AA0"/>
    <w:rsid w:val="004E0F3A"/>
    <w:rsid w:val="004E10B2"/>
    <w:rsid w:val="004E248E"/>
    <w:rsid w:val="004E24DB"/>
    <w:rsid w:val="004E2CD6"/>
    <w:rsid w:val="004E2DC9"/>
    <w:rsid w:val="004E3AEB"/>
    <w:rsid w:val="004E3EC8"/>
    <w:rsid w:val="004E3F64"/>
    <w:rsid w:val="004E4007"/>
    <w:rsid w:val="004E424E"/>
    <w:rsid w:val="004E4645"/>
    <w:rsid w:val="004E4E78"/>
    <w:rsid w:val="004E55FF"/>
    <w:rsid w:val="004E61F2"/>
    <w:rsid w:val="004E65AB"/>
    <w:rsid w:val="004E669E"/>
    <w:rsid w:val="004E6974"/>
    <w:rsid w:val="004E723F"/>
    <w:rsid w:val="004E7B50"/>
    <w:rsid w:val="004E7F8E"/>
    <w:rsid w:val="004F163C"/>
    <w:rsid w:val="004F1648"/>
    <w:rsid w:val="004F2224"/>
    <w:rsid w:val="004F2736"/>
    <w:rsid w:val="004F2B41"/>
    <w:rsid w:val="004F3688"/>
    <w:rsid w:val="004F48E7"/>
    <w:rsid w:val="004F56CA"/>
    <w:rsid w:val="004F70BF"/>
    <w:rsid w:val="004F7C93"/>
    <w:rsid w:val="00500168"/>
    <w:rsid w:val="00500467"/>
    <w:rsid w:val="00501591"/>
    <w:rsid w:val="0050183E"/>
    <w:rsid w:val="0050327E"/>
    <w:rsid w:val="00503761"/>
    <w:rsid w:val="005038CE"/>
    <w:rsid w:val="00503AD4"/>
    <w:rsid w:val="00504F44"/>
    <w:rsid w:val="0050506F"/>
    <w:rsid w:val="00505850"/>
    <w:rsid w:val="005064BD"/>
    <w:rsid w:val="00506C18"/>
    <w:rsid w:val="00511CD7"/>
    <w:rsid w:val="005123B1"/>
    <w:rsid w:val="00512CBE"/>
    <w:rsid w:val="005135D9"/>
    <w:rsid w:val="00514555"/>
    <w:rsid w:val="005146E3"/>
    <w:rsid w:val="0051486A"/>
    <w:rsid w:val="0051631D"/>
    <w:rsid w:val="00516EB1"/>
    <w:rsid w:val="00517533"/>
    <w:rsid w:val="00517614"/>
    <w:rsid w:val="005179E6"/>
    <w:rsid w:val="00517C77"/>
    <w:rsid w:val="00520816"/>
    <w:rsid w:val="00520861"/>
    <w:rsid w:val="00521FEB"/>
    <w:rsid w:val="0052295D"/>
    <w:rsid w:val="00523297"/>
    <w:rsid w:val="00523381"/>
    <w:rsid w:val="00523A35"/>
    <w:rsid w:val="005245F4"/>
    <w:rsid w:val="005254E1"/>
    <w:rsid w:val="00525522"/>
    <w:rsid w:val="005258D8"/>
    <w:rsid w:val="005266F7"/>
    <w:rsid w:val="0052679A"/>
    <w:rsid w:val="00526A60"/>
    <w:rsid w:val="00526C15"/>
    <w:rsid w:val="0052705D"/>
    <w:rsid w:val="0052772D"/>
    <w:rsid w:val="005302B9"/>
    <w:rsid w:val="00530794"/>
    <w:rsid w:val="0053092B"/>
    <w:rsid w:val="00530AE1"/>
    <w:rsid w:val="00530CFF"/>
    <w:rsid w:val="0053140C"/>
    <w:rsid w:val="0053191D"/>
    <w:rsid w:val="00531B8C"/>
    <w:rsid w:val="00531F81"/>
    <w:rsid w:val="005321B6"/>
    <w:rsid w:val="00532856"/>
    <w:rsid w:val="00532CAF"/>
    <w:rsid w:val="005330D4"/>
    <w:rsid w:val="005338C4"/>
    <w:rsid w:val="00533CF7"/>
    <w:rsid w:val="005343BD"/>
    <w:rsid w:val="00535C4E"/>
    <w:rsid w:val="00536211"/>
    <w:rsid w:val="00537E25"/>
    <w:rsid w:val="005401CF"/>
    <w:rsid w:val="00540512"/>
    <w:rsid w:val="005407D0"/>
    <w:rsid w:val="005424FC"/>
    <w:rsid w:val="00542599"/>
    <w:rsid w:val="00543120"/>
    <w:rsid w:val="00544679"/>
    <w:rsid w:val="0054488A"/>
    <w:rsid w:val="00544AD2"/>
    <w:rsid w:val="00544F38"/>
    <w:rsid w:val="00545008"/>
    <w:rsid w:val="0054522D"/>
    <w:rsid w:val="00545BB6"/>
    <w:rsid w:val="00546FA7"/>
    <w:rsid w:val="00547E59"/>
    <w:rsid w:val="0055026C"/>
    <w:rsid w:val="00550337"/>
    <w:rsid w:val="00550DC0"/>
    <w:rsid w:val="00551A3F"/>
    <w:rsid w:val="00551FF6"/>
    <w:rsid w:val="005527F8"/>
    <w:rsid w:val="00553838"/>
    <w:rsid w:val="005542C0"/>
    <w:rsid w:val="0055441A"/>
    <w:rsid w:val="005545AB"/>
    <w:rsid w:val="005547CC"/>
    <w:rsid w:val="00554834"/>
    <w:rsid w:val="0055608D"/>
    <w:rsid w:val="005564D1"/>
    <w:rsid w:val="005568C2"/>
    <w:rsid w:val="00556B9C"/>
    <w:rsid w:val="00561AA8"/>
    <w:rsid w:val="00561BB6"/>
    <w:rsid w:val="00561EB7"/>
    <w:rsid w:val="00562081"/>
    <w:rsid w:val="005627AC"/>
    <w:rsid w:val="00564783"/>
    <w:rsid w:val="00564939"/>
    <w:rsid w:val="00564C55"/>
    <w:rsid w:val="00564F16"/>
    <w:rsid w:val="00566124"/>
    <w:rsid w:val="0056752A"/>
    <w:rsid w:val="00567946"/>
    <w:rsid w:val="00570246"/>
    <w:rsid w:val="0057068F"/>
    <w:rsid w:val="00572860"/>
    <w:rsid w:val="00572E6A"/>
    <w:rsid w:val="00573441"/>
    <w:rsid w:val="00574635"/>
    <w:rsid w:val="00574683"/>
    <w:rsid w:val="00575019"/>
    <w:rsid w:val="0057570A"/>
    <w:rsid w:val="0057630E"/>
    <w:rsid w:val="00576C95"/>
    <w:rsid w:val="00576EBF"/>
    <w:rsid w:val="00577831"/>
    <w:rsid w:val="00577AEB"/>
    <w:rsid w:val="00580B9C"/>
    <w:rsid w:val="00580CF3"/>
    <w:rsid w:val="00580DC7"/>
    <w:rsid w:val="00580F5A"/>
    <w:rsid w:val="00581046"/>
    <w:rsid w:val="005811B8"/>
    <w:rsid w:val="005813C4"/>
    <w:rsid w:val="005821A0"/>
    <w:rsid w:val="005822F6"/>
    <w:rsid w:val="00582775"/>
    <w:rsid w:val="00583AAB"/>
    <w:rsid w:val="00584380"/>
    <w:rsid w:val="00584386"/>
    <w:rsid w:val="00584C71"/>
    <w:rsid w:val="00584E1A"/>
    <w:rsid w:val="0058581F"/>
    <w:rsid w:val="00586194"/>
    <w:rsid w:val="00586D3D"/>
    <w:rsid w:val="00587FDC"/>
    <w:rsid w:val="00590D02"/>
    <w:rsid w:val="00591ECB"/>
    <w:rsid w:val="005920CA"/>
    <w:rsid w:val="00592F4B"/>
    <w:rsid w:val="00593073"/>
    <w:rsid w:val="00593A1A"/>
    <w:rsid w:val="0059547B"/>
    <w:rsid w:val="00596B44"/>
    <w:rsid w:val="00596BE1"/>
    <w:rsid w:val="005A055D"/>
    <w:rsid w:val="005A192E"/>
    <w:rsid w:val="005A1990"/>
    <w:rsid w:val="005A2520"/>
    <w:rsid w:val="005A30B3"/>
    <w:rsid w:val="005A313A"/>
    <w:rsid w:val="005A3379"/>
    <w:rsid w:val="005A36F9"/>
    <w:rsid w:val="005A4163"/>
    <w:rsid w:val="005A458B"/>
    <w:rsid w:val="005A46FC"/>
    <w:rsid w:val="005A5FEC"/>
    <w:rsid w:val="005A68A7"/>
    <w:rsid w:val="005A6A84"/>
    <w:rsid w:val="005A787F"/>
    <w:rsid w:val="005A7D20"/>
    <w:rsid w:val="005B039C"/>
    <w:rsid w:val="005B09B5"/>
    <w:rsid w:val="005B0A7E"/>
    <w:rsid w:val="005B162F"/>
    <w:rsid w:val="005B16D7"/>
    <w:rsid w:val="005B2BAD"/>
    <w:rsid w:val="005B3BBF"/>
    <w:rsid w:val="005B4D04"/>
    <w:rsid w:val="005B4FB6"/>
    <w:rsid w:val="005B5215"/>
    <w:rsid w:val="005B5777"/>
    <w:rsid w:val="005B585E"/>
    <w:rsid w:val="005B59FE"/>
    <w:rsid w:val="005B6394"/>
    <w:rsid w:val="005B7181"/>
    <w:rsid w:val="005B72A7"/>
    <w:rsid w:val="005C0347"/>
    <w:rsid w:val="005C073A"/>
    <w:rsid w:val="005C09D8"/>
    <w:rsid w:val="005C4560"/>
    <w:rsid w:val="005C4ECD"/>
    <w:rsid w:val="005C53A6"/>
    <w:rsid w:val="005C5BB2"/>
    <w:rsid w:val="005C719C"/>
    <w:rsid w:val="005C7318"/>
    <w:rsid w:val="005C7498"/>
    <w:rsid w:val="005C7F4B"/>
    <w:rsid w:val="005D0AC6"/>
    <w:rsid w:val="005D0AE8"/>
    <w:rsid w:val="005D0CFB"/>
    <w:rsid w:val="005D2BD7"/>
    <w:rsid w:val="005D353C"/>
    <w:rsid w:val="005D3704"/>
    <w:rsid w:val="005D53A8"/>
    <w:rsid w:val="005D5645"/>
    <w:rsid w:val="005D61C2"/>
    <w:rsid w:val="005D6378"/>
    <w:rsid w:val="005D6676"/>
    <w:rsid w:val="005D6941"/>
    <w:rsid w:val="005D6977"/>
    <w:rsid w:val="005D6EC9"/>
    <w:rsid w:val="005D7B97"/>
    <w:rsid w:val="005D7BE3"/>
    <w:rsid w:val="005E1608"/>
    <w:rsid w:val="005E17DF"/>
    <w:rsid w:val="005E1EE7"/>
    <w:rsid w:val="005E2070"/>
    <w:rsid w:val="005E332A"/>
    <w:rsid w:val="005E33A1"/>
    <w:rsid w:val="005E3F07"/>
    <w:rsid w:val="005E4297"/>
    <w:rsid w:val="005E4669"/>
    <w:rsid w:val="005E4751"/>
    <w:rsid w:val="005E4CBD"/>
    <w:rsid w:val="005E4D35"/>
    <w:rsid w:val="005E5255"/>
    <w:rsid w:val="005E5297"/>
    <w:rsid w:val="005E6340"/>
    <w:rsid w:val="005E6AC5"/>
    <w:rsid w:val="005E7491"/>
    <w:rsid w:val="005E75E1"/>
    <w:rsid w:val="005E7824"/>
    <w:rsid w:val="005F094C"/>
    <w:rsid w:val="005F0B08"/>
    <w:rsid w:val="005F1202"/>
    <w:rsid w:val="005F1608"/>
    <w:rsid w:val="005F17D7"/>
    <w:rsid w:val="005F1814"/>
    <w:rsid w:val="005F1821"/>
    <w:rsid w:val="005F1CB5"/>
    <w:rsid w:val="005F32B3"/>
    <w:rsid w:val="005F48AF"/>
    <w:rsid w:val="005F4928"/>
    <w:rsid w:val="005F50E6"/>
    <w:rsid w:val="005F5295"/>
    <w:rsid w:val="005F64DC"/>
    <w:rsid w:val="005F69B6"/>
    <w:rsid w:val="005F6C15"/>
    <w:rsid w:val="005F727F"/>
    <w:rsid w:val="005F7315"/>
    <w:rsid w:val="005F7DF7"/>
    <w:rsid w:val="005F7E35"/>
    <w:rsid w:val="006007CD"/>
    <w:rsid w:val="0060113D"/>
    <w:rsid w:val="006022D6"/>
    <w:rsid w:val="006023BE"/>
    <w:rsid w:val="00602AF9"/>
    <w:rsid w:val="00604A80"/>
    <w:rsid w:val="00604E17"/>
    <w:rsid w:val="006051EA"/>
    <w:rsid w:val="00605F24"/>
    <w:rsid w:val="00607F17"/>
    <w:rsid w:val="00610104"/>
    <w:rsid w:val="00610202"/>
    <w:rsid w:val="006104FD"/>
    <w:rsid w:val="00610CA3"/>
    <w:rsid w:val="00610EE0"/>
    <w:rsid w:val="006117CF"/>
    <w:rsid w:val="00611A5B"/>
    <w:rsid w:val="00611D6E"/>
    <w:rsid w:val="006129C5"/>
    <w:rsid w:val="00612E97"/>
    <w:rsid w:val="00612F28"/>
    <w:rsid w:val="0061359D"/>
    <w:rsid w:val="0061381B"/>
    <w:rsid w:val="006139E1"/>
    <w:rsid w:val="006148E4"/>
    <w:rsid w:val="0061509B"/>
    <w:rsid w:val="00615371"/>
    <w:rsid w:val="00616FB5"/>
    <w:rsid w:val="0061795D"/>
    <w:rsid w:val="00617C30"/>
    <w:rsid w:val="00620AE3"/>
    <w:rsid w:val="00621660"/>
    <w:rsid w:val="006224E7"/>
    <w:rsid w:val="00622CF9"/>
    <w:rsid w:val="00623E02"/>
    <w:rsid w:val="00623FAF"/>
    <w:rsid w:val="0062412E"/>
    <w:rsid w:val="006249FB"/>
    <w:rsid w:val="00624B8D"/>
    <w:rsid w:val="00625A31"/>
    <w:rsid w:val="00625EBE"/>
    <w:rsid w:val="00627336"/>
    <w:rsid w:val="00627D99"/>
    <w:rsid w:val="00630D9E"/>
    <w:rsid w:val="00631390"/>
    <w:rsid w:val="0063288F"/>
    <w:rsid w:val="00632A21"/>
    <w:rsid w:val="00632A9D"/>
    <w:rsid w:val="006336CE"/>
    <w:rsid w:val="00633875"/>
    <w:rsid w:val="00633AE9"/>
    <w:rsid w:val="00633D56"/>
    <w:rsid w:val="00633EF8"/>
    <w:rsid w:val="00634C89"/>
    <w:rsid w:val="00634E6F"/>
    <w:rsid w:val="006359F1"/>
    <w:rsid w:val="00635E4E"/>
    <w:rsid w:val="0063665D"/>
    <w:rsid w:val="00636A14"/>
    <w:rsid w:val="00636A3E"/>
    <w:rsid w:val="00637710"/>
    <w:rsid w:val="0064085C"/>
    <w:rsid w:val="00641449"/>
    <w:rsid w:val="0064166B"/>
    <w:rsid w:val="00641FD4"/>
    <w:rsid w:val="00642828"/>
    <w:rsid w:val="006429DE"/>
    <w:rsid w:val="00643A4B"/>
    <w:rsid w:val="00643F27"/>
    <w:rsid w:val="00645ADA"/>
    <w:rsid w:val="0064600A"/>
    <w:rsid w:val="0064621B"/>
    <w:rsid w:val="00646381"/>
    <w:rsid w:val="00646654"/>
    <w:rsid w:val="00646DBF"/>
    <w:rsid w:val="00647AD2"/>
    <w:rsid w:val="00647E98"/>
    <w:rsid w:val="006504C8"/>
    <w:rsid w:val="00650F6B"/>
    <w:rsid w:val="00651467"/>
    <w:rsid w:val="00653BD4"/>
    <w:rsid w:val="006540B0"/>
    <w:rsid w:val="006542A2"/>
    <w:rsid w:val="0065645D"/>
    <w:rsid w:val="00656904"/>
    <w:rsid w:val="00657156"/>
    <w:rsid w:val="0065732C"/>
    <w:rsid w:val="00657F92"/>
    <w:rsid w:val="0066041B"/>
    <w:rsid w:val="00660A57"/>
    <w:rsid w:val="00661637"/>
    <w:rsid w:val="006622F0"/>
    <w:rsid w:val="006625D4"/>
    <w:rsid w:val="006626DC"/>
    <w:rsid w:val="00662960"/>
    <w:rsid w:val="006643B2"/>
    <w:rsid w:val="0066618B"/>
    <w:rsid w:val="006668D2"/>
    <w:rsid w:val="00666D07"/>
    <w:rsid w:val="00666D33"/>
    <w:rsid w:val="006671F8"/>
    <w:rsid w:val="00667E7E"/>
    <w:rsid w:val="00670A0C"/>
    <w:rsid w:val="006713F7"/>
    <w:rsid w:val="0067166F"/>
    <w:rsid w:val="006727DF"/>
    <w:rsid w:val="00672BD8"/>
    <w:rsid w:val="00673262"/>
    <w:rsid w:val="0067355F"/>
    <w:rsid w:val="00673B53"/>
    <w:rsid w:val="00676003"/>
    <w:rsid w:val="0067649D"/>
    <w:rsid w:val="006765AB"/>
    <w:rsid w:val="00677168"/>
    <w:rsid w:val="00677A47"/>
    <w:rsid w:val="006807B6"/>
    <w:rsid w:val="006810E3"/>
    <w:rsid w:val="00681E52"/>
    <w:rsid w:val="0068267A"/>
    <w:rsid w:val="00682808"/>
    <w:rsid w:val="00683326"/>
    <w:rsid w:val="00684AD1"/>
    <w:rsid w:val="00685385"/>
    <w:rsid w:val="00685730"/>
    <w:rsid w:val="006858D7"/>
    <w:rsid w:val="00685BD6"/>
    <w:rsid w:val="00686143"/>
    <w:rsid w:val="006863C9"/>
    <w:rsid w:val="0068683A"/>
    <w:rsid w:val="00687885"/>
    <w:rsid w:val="00692666"/>
    <w:rsid w:val="00692675"/>
    <w:rsid w:val="0069353C"/>
    <w:rsid w:val="00693A00"/>
    <w:rsid w:val="0069402B"/>
    <w:rsid w:val="00694411"/>
    <w:rsid w:val="0069594F"/>
    <w:rsid w:val="00696231"/>
    <w:rsid w:val="00696700"/>
    <w:rsid w:val="00696EAA"/>
    <w:rsid w:val="0069782B"/>
    <w:rsid w:val="006A0CF3"/>
    <w:rsid w:val="006A1BC7"/>
    <w:rsid w:val="006A282D"/>
    <w:rsid w:val="006A3190"/>
    <w:rsid w:val="006A3743"/>
    <w:rsid w:val="006A3F8A"/>
    <w:rsid w:val="006A4031"/>
    <w:rsid w:val="006A4531"/>
    <w:rsid w:val="006A5901"/>
    <w:rsid w:val="006A5A71"/>
    <w:rsid w:val="006A6416"/>
    <w:rsid w:val="006A6D38"/>
    <w:rsid w:val="006A721E"/>
    <w:rsid w:val="006A740D"/>
    <w:rsid w:val="006B0DEA"/>
    <w:rsid w:val="006B1977"/>
    <w:rsid w:val="006B1E10"/>
    <w:rsid w:val="006B2DD0"/>
    <w:rsid w:val="006B2E0E"/>
    <w:rsid w:val="006B321E"/>
    <w:rsid w:val="006B395C"/>
    <w:rsid w:val="006B3B03"/>
    <w:rsid w:val="006B3CA8"/>
    <w:rsid w:val="006B5154"/>
    <w:rsid w:val="006B75A3"/>
    <w:rsid w:val="006B7810"/>
    <w:rsid w:val="006C078F"/>
    <w:rsid w:val="006C2B4C"/>
    <w:rsid w:val="006C37BA"/>
    <w:rsid w:val="006C418D"/>
    <w:rsid w:val="006C4471"/>
    <w:rsid w:val="006C518D"/>
    <w:rsid w:val="006C5203"/>
    <w:rsid w:val="006C5806"/>
    <w:rsid w:val="006C7EEF"/>
    <w:rsid w:val="006D06ED"/>
    <w:rsid w:val="006D132D"/>
    <w:rsid w:val="006D15E6"/>
    <w:rsid w:val="006D1E27"/>
    <w:rsid w:val="006D25DE"/>
    <w:rsid w:val="006D35C7"/>
    <w:rsid w:val="006D4354"/>
    <w:rsid w:val="006D51B4"/>
    <w:rsid w:val="006D58C3"/>
    <w:rsid w:val="006D58C8"/>
    <w:rsid w:val="006D5979"/>
    <w:rsid w:val="006D69C4"/>
    <w:rsid w:val="006D73AD"/>
    <w:rsid w:val="006D7A1D"/>
    <w:rsid w:val="006D7C31"/>
    <w:rsid w:val="006E00B3"/>
    <w:rsid w:val="006E0111"/>
    <w:rsid w:val="006E07A3"/>
    <w:rsid w:val="006E1DD2"/>
    <w:rsid w:val="006E2322"/>
    <w:rsid w:val="006E24B6"/>
    <w:rsid w:val="006E2C5A"/>
    <w:rsid w:val="006E34D1"/>
    <w:rsid w:val="006E3613"/>
    <w:rsid w:val="006E3949"/>
    <w:rsid w:val="006E3B51"/>
    <w:rsid w:val="006E4A7D"/>
    <w:rsid w:val="006E5D29"/>
    <w:rsid w:val="006E645D"/>
    <w:rsid w:val="006E6D58"/>
    <w:rsid w:val="006E76F3"/>
    <w:rsid w:val="006E7705"/>
    <w:rsid w:val="006F110E"/>
    <w:rsid w:val="006F1538"/>
    <w:rsid w:val="006F164A"/>
    <w:rsid w:val="006F3EB0"/>
    <w:rsid w:val="006F6595"/>
    <w:rsid w:val="006F7C6F"/>
    <w:rsid w:val="007002CE"/>
    <w:rsid w:val="00700A17"/>
    <w:rsid w:val="00701A12"/>
    <w:rsid w:val="00701B7D"/>
    <w:rsid w:val="007025F8"/>
    <w:rsid w:val="00702936"/>
    <w:rsid w:val="00703157"/>
    <w:rsid w:val="00703984"/>
    <w:rsid w:val="007044FF"/>
    <w:rsid w:val="00704882"/>
    <w:rsid w:val="00705FC1"/>
    <w:rsid w:val="00706143"/>
    <w:rsid w:val="0070664D"/>
    <w:rsid w:val="007067BD"/>
    <w:rsid w:val="00706FFF"/>
    <w:rsid w:val="007071D3"/>
    <w:rsid w:val="0071081C"/>
    <w:rsid w:val="00710DB1"/>
    <w:rsid w:val="007111B1"/>
    <w:rsid w:val="00711384"/>
    <w:rsid w:val="00711E48"/>
    <w:rsid w:val="00712E29"/>
    <w:rsid w:val="00712FC1"/>
    <w:rsid w:val="00713082"/>
    <w:rsid w:val="0071350F"/>
    <w:rsid w:val="00714747"/>
    <w:rsid w:val="00714CCC"/>
    <w:rsid w:val="00715BEF"/>
    <w:rsid w:val="00715E55"/>
    <w:rsid w:val="00715EEC"/>
    <w:rsid w:val="00716301"/>
    <w:rsid w:val="00722CA3"/>
    <w:rsid w:val="00723863"/>
    <w:rsid w:val="00724EB1"/>
    <w:rsid w:val="00725000"/>
    <w:rsid w:val="0072594B"/>
    <w:rsid w:val="007259E8"/>
    <w:rsid w:val="00725AFB"/>
    <w:rsid w:val="00726A94"/>
    <w:rsid w:val="00727AB9"/>
    <w:rsid w:val="007314C8"/>
    <w:rsid w:val="0073185C"/>
    <w:rsid w:val="00731C0F"/>
    <w:rsid w:val="00731D62"/>
    <w:rsid w:val="007355BF"/>
    <w:rsid w:val="00736619"/>
    <w:rsid w:val="00736A93"/>
    <w:rsid w:val="0073742E"/>
    <w:rsid w:val="00740C91"/>
    <w:rsid w:val="007412CA"/>
    <w:rsid w:val="0074136D"/>
    <w:rsid w:val="00741A4A"/>
    <w:rsid w:val="00741A4F"/>
    <w:rsid w:val="0074243D"/>
    <w:rsid w:val="00742640"/>
    <w:rsid w:val="0074325F"/>
    <w:rsid w:val="00743910"/>
    <w:rsid w:val="0074401A"/>
    <w:rsid w:val="00744246"/>
    <w:rsid w:val="00744AD9"/>
    <w:rsid w:val="00744D88"/>
    <w:rsid w:val="0074619D"/>
    <w:rsid w:val="00746220"/>
    <w:rsid w:val="007464AF"/>
    <w:rsid w:val="00746FD6"/>
    <w:rsid w:val="00747076"/>
    <w:rsid w:val="007473CC"/>
    <w:rsid w:val="00747B53"/>
    <w:rsid w:val="00750FB5"/>
    <w:rsid w:val="007518CC"/>
    <w:rsid w:val="00752435"/>
    <w:rsid w:val="00752460"/>
    <w:rsid w:val="007537ED"/>
    <w:rsid w:val="007540DA"/>
    <w:rsid w:val="007540ED"/>
    <w:rsid w:val="0075487E"/>
    <w:rsid w:val="007548A5"/>
    <w:rsid w:val="00755254"/>
    <w:rsid w:val="00755C39"/>
    <w:rsid w:val="0075747B"/>
    <w:rsid w:val="00760259"/>
    <w:rsid w:val="00760A77"/>
    <w:rsid w:val="00760B13"/>
    <w:rsid w:val="00761089"/>
    <w:rsid w:val="00762CC9"/>
    <w:rsid w:val="00762F8A"/>
    <w:rsid w:val="00763221"/>
    <w:rsid w:val="00763DEE"/>
    <w:rsid w:val="00764360"/>
    <w:rsid w:val="00766DF1"/>
    <w:rsid w:val="007717EA"/>
    <w:rsid w:val="00774106"/>
    <w:rsid w:val="00774188"/>
    <w:rsid w:val="007745C4"/>
    <w:rsid w:val="0077480F"/>
    <w:rsid w:val="0077524C"/>
    <w:rsid w:val="007753D1"/>
    <w:rsid w:val="00775860"/>
    <w:rsid w:val="00775F57"/>
    <w:rsid w:val="00777325"/>
    <w:rsid w:val="007777F5"/>
    <w:rsid w:val="007778E7"/>
    <w:rsid w:val="00780019"/>
    <w:rsid w:val="007800B9"/>
    <w:rsid w:val="007800E7"/>
    <w:rsid w:val="00781048"/>
    <w:rsid w:val="007836A7"/>
    <w:rsid w:val="00783998"/>
    <w:rsid w:val="007844CA"/>
    <w:rsid w:val="0078481E"/>
    <w:rsid w:val="00785AE6"/>
    <w:rsid w:val="00786112"/>
    <w:rsid w:val="00786A61"/>
    <w:rsid w:val="0078739D"/>
    <w:rsid w:val="00787983"/>
    <w:rsid w:val="00787B22"/>
    <w:rsid w:val="00787F1E"/>
    <w:rsid w:val="00790AF8"/>
    <w:rsid w:val="00791F60"/>
    <w:rsid w:val="00792453"/>
    <w:rsid w:val="007927E3"/>
    <w:rsid w:val="00792AC0"/>
    <w:rsid w:val="007932F2"/>
    <w:rsid w:val="007945EE"/>
    <w:rsid w:val="00794FEB"/>
    <w:rsid w:val="00795617"/>
    <w:rsid w:val="0079609C"/>
    <w:rsid w:val="00796BB9"/>
    <w:rsid w:val="00796CC9"/>
    <w:rsid w:val="00796F68"/>
    <w:rsid w:val="007971F5"/>
    <w:rsid w:val="007A0490"/>
    <w:rsid w:val="007A085E"/>
    <w:rsid w:val="007A121A"/>
    <w:rsid w:val="007A14D5"/>
    <w:rsid w:val="007A1A51"/>
    <w:rsid w:val="007A21C3"/>
    <w:rsid w:val="007A2B21"/>
    <w:rsid w:val="007A3875"/>
    <w:rsid w:val="007A3B17"/>
    <w:rsid w:val="007A485D"/>
    <w:rsid w:val="007A4C20"/>
    <w:rsid w:val="007A4E08"/>
    <w:rsid w:val="007A6D77"/>
    <w:rsid w:val="007A6D94"/>
    <w:rsid w:val="007A6EE7"/>
    <w:rsid w:val="007A6F33"/>
    <w:rsid w:val="007A7560"/>
    <w:rsid w:val="007B0F3F"/>
    <w:rsid w:val="007B1D65"/>
    <w:rsid w:val="007B227A"/>
    <w:rsid w:val="007B2A92"/>
    <w:rsid w:val="007B2B53"/>
    <w:rsid w:val="007B3AE5"/>
    <w:rsid w:val="007B52C8"/>
    <w:rsid w:val="007B6E1A"/>
    <w:rsid w:val="007B6EC4"/>
    <w:rsid w:val="007C0139"/>
    <w:rsid w:val="007C0430"/>
    <w:rsid w:val="007C0882"/>
    <w:rsid w:val="007C1076"/>
    <w:rsid w:val="007C153D"/>
    <w:rsid w:val="007C1791"/>
    <w:rsid w:val="007C19A0"/>
    <w:rsid w:val="007C19BA"/>
    <w:rsid w:val="007C1B20"/>
    <w:rsid w:val="007C2F5C"/>
    <w:rsid w:val="007C3436"/>
    <w:rsid w:val="007C355E"/>
    <w:rsid w:val="007C35E8"/>
    <w:rsid w:val="007C40DB"/>
    <w:rsid w:val="007C47D0"/>
    <w:rsid w:val="007C485F"/>
    <w:rsid w:val="007C4C63"/>
    <w:rsid w:val="007C5E35"/>
    <w:rsid w:val="007C5ED0"/>
    <w:rsid w:val="007C6C53"/>
    <w:rsid w:val="007C6FBE"/>
    <w:rsid w:val="007C7074"/>
    <w:rsid w:val="007C74FF"/>
    <w:rsid w:val="007C797E"/>
    <w:rsid w:val="007C7DCE"/>
    <w:rsid w:val="007C7EC5"/>
    <w:rsid w:val="007D1765"/>
    <w:rsid w:val="007D236A"/>
    <w:rsid w:val="007D3D50"/>
    <w:rsid w:val="007D452A"/>
    <w:rsid w:val="007D4574"/>
    <w:rsid w:val="007D483F"/>
    <w:rsid w:val="007D49CA"/>
    <w:rsid w:val="007D5373"/>
    <w:rsid w:val="007D5F56"/>
    <w:rsid w:val="007D6E73"/>
    <w:rsid w:val="007E0730"/>
    <w:rsid w:val="007E0BC1"/>
    <w:rsid w:val="007E1908"/>
    <w:rsid w:val="007E1B23"/>
    <w:rsid w:val="007E2A40"/>
    <w:rsid w:val="007E2AD3"/>
    <w:rsid w:val="007E2BAA"/>
    <w:rsid w:val="007E31AE"/>
    <w:rsid w:val="007E3C9B"/>
    <w:rsid w:val="007E4808"/>
    <w:rsid w:val="007E49AF"/>
    <w:rsid w:val="007E4BE8"/>
    <w:rsid w:val="007E577C"/>
    <w:rsid w:val="007E5AA4"/>
    <w:rsid w:val="007E62A6"/>
    <w:rsid w:val="007E65C2"/>
    <w:rsid w:val="007E7A93"/>
    <w:rsid w:val="007F1A25"/>
    <w:rsid w:val="007F20D4"/>
    <w:rsid w:val="007F2BCF"/>
    <w:rsid w:val="007F2FB1"/>
    <w:rsid w:val="007F594D"/>
    <w:rsid w:val="007F60C7"/>
    <w:rsid w:val="007F6156"/>
    <w:rsid w:val="007F6B2C"/>
    <w:rsid w:val="007F6CA8"/>
    <w:rsid w:val="007F6EBF"/>
    <w:rsid w:val="007F6FC6"/>
    <w:rsid w:val="007F7FD7"/>
    <w:rsid w:val="008000C4"/>
    <w:rsid w:val="0080190D"/>
    <w:rsid w:val="00801B51"/>
    <w:rsid w:val="00801BB5"/>
    <w:rsid w:val="00802A30"/>
    <w:rsid w:val="00802C5C"/>
    <w:rsid w:val="00803042"/>
    <w:rsid w:val="00803CB9"/>
    <w:rsid w:val="00805DF3"/>
    <w:rsid w:val="00806B4F"/>
    <w:rsid w:val="00810240"/>
    <w:rsid w:val="008109FC"/>
    <w:rsid w:val="00810EE9"/>
    <w:rsid w:val="008136FC"/>
    <w:rsid w:val="008138C2"/>
    <w:rsid w:val="00814571"/>
    <w:rsid w:val="00814E85"/>
    <w:rsid w:val="00816766"/>
    <w:rsid w:val="00817D57"/>
    <w:rsid w:val="008212F8"/>
    <w:rsid w:val="00822FCB"/>
    <w:rsid w:val="00823473"/>
    <w:rsid w:val="008240BC"/>
    <w:rsid w:val="008249E4"/>
    <w:rsid w:val="008256BA"/>
    <w:rsid w:val="00826186"/>
    <w:rsid w:val="008262AD"/>
    <w:rsid w:val="00827195"/>
    <w:rsid w:val="00827309"/>
    <w:rsid w:val="0082739C"/>
    <w:rsid w:val="00827B4B"/>
    <w:rsid w:val="00830140"/>
    <w:rsid w:val="00831A56"/>
    <w:rsid w:val="008325CE"/>
    <w:rsid w:val="00833086"/>
    <w:rsid w:val="0083378C"/>
    <w:rsid w:val="00833A6E"/>
    <w:rsid w:val="00833B3B"/>
    <w:rsid w:val="0083405A"/>
    <w:rsid w:val="008345D0"/>
    <w:rsid w:val="008349E6"/>
    <w:rsid w:val="00834EE0"/>
    <w:rsid w:val="008350B6"/>
    <w:rsid w:val="0083521E"/>
    <w:rsid w:val="00835605"/>
    <w:rsid w:val="008358F5"/>
    <w:rsid w:val="008359A1"/>
    <w:rsid w:val="00835CFD"/>
    <w:rsid w:val="00835F68"/>
    <w:rsid w:val="00836475"/>
    <w:rsid w:val="00836648"/>
    <w:rsid w:val="008373DE"/>
    <w:rsid w:val="008379AD"/>
    <w:rsid w:val="00837F30"/>
    <w:rsid w:val="00837FC2"/>
    <w:rsid w:val="00840371"/>
    <w:rsid w:val="00840823"/>
    <w:rsid w:val="0084189C"/>
    <w:rsid w:val="008437A8"/>
    <w:rsid w:val="0084390F"/>
    <w:rsid w:val="00844AF5"/>
    <w:rsid w:val="00845D6C"/>
    <w:rsid w:val="00845F0B"/>
    <w:rsid w:val="008460F9"/>
    <w:rsid w:val="008463D8"/>
    <w:rsid w:val="0084704B"/>
    <w:rsid w:val="00847051"/>
    <w:rsid w:val="00847DD8"/>
    <w:rsid w:val="00847F2F"/>
    <w:rsid w:val="00847F3A"/>
    <w:rsid w:val="00850219"/>
    <w:rsid w:val="0085055B"/>
    <w:rsid w:val="0085081E"/>
    <w:rsid w:val="00850A43"/>
    <w:rsid w:val="00850D1F"/>
    <w:rsid w:val="0085120B"/>
    <w:rsid w:val="008514BE"/>
    <w:rsid w:val="00852059"/>
    <w:rsid w:val="00852A93"/>
    <w:rsid w:val="0085338D"/>
    <w:rsid w:val="00853E6C"/>
    <w:rsid w:val="00854571"/>
    <w:rsid w:val="00854AD1"/>
    <w:rsid w:val="008558FE"/>
    <w:rsid w:val="00856C7F"/>
    <w:rsid w:val="0085722B"/>
    <w:rsid w:val="008605D5"/>
    <w:rsid w:val="00861CAD"/>
    <w:rsid w:val="00862128"/>
    <w:rsid w:val="008622D5"/>
    <w:rsid w:val="00862848"/>
    <w:rsid w:val="00862A22"/>
    <w:rsid w:val="00862F4B"/>
    <w:rsid w:val="00864DA7"/>
    <w:rsid w:val="00865094"/>
    <w:rsid w:val="008656A2"/>
    <w:rsid w:val="00865C18"/>
    <w:rsid w:val="008660C8"/>
    <w:rsid w:val="008669E8"/>
    <w:rsid w:val="008704FC"/>
    <w:rsid w:val="00871745"/>
    <w:rsid w:val="008726CC"/>
    <w:rsid w:val="0087372E"/>
    <w:rsid w:val="00873749"/>
    <w:rsid w:val="00873E09"/>
    <w:rsid w:val="00873E86"/>
    <w:rsid w:val="00874D05"/>
    <w:rsid w:val="00875B76"/>
    <w:rsid w:val="00876FA5"/>
    <w:rsid w:val="00877688"/>
    <w:rsid w:val="00877703"/>
    <w:rsid w:val="00877C1A"/>
    <w:rsid w:val="00877E5A"/>
    <w:rsid w:val="00880594"/>
    <w:rsid w:val="008811DE"/>
    <w:rsid w:val="008819CC"/>
    <w:rsid w:val="00882DF6"/>
    <w:rsid w:val="008839B3"/>
    <w:rsid w:val="00883A96"/>
    <w:rsid w:val="008857A7"/>
    <w:rsid w:val="008859A0"/>
    <w:rsid w:val="00885A44"/>
    <w:rsid w:val="00885A5B"/>
    <w:rsid w:val="00886075"/>
    <w:rsid w:val="008868A6"/>
    <w:rsid w:val="00887017"/>
    <w:rsid w:val="00890D90"/>
    <w:rsid w:val="00891473"/>
    <w:rsid w:val="00891C96"/>
    <w:rsid w:val="00891ECD"/>
    <w:rsid w:val="00891FFB"/>
    <w:rsid w:val="0089204E"/>
    <w:rsid w:val="00892182"/>
    <w:rsid w:val="0089255E"/>
    <w:rsid w:val="00893898"/>
    <w:rsid w:val="00893ADF"/>
    <w:rsid w:val="00894ED0"/>
    <w:rsid w:val="008952A5"/>
    <w:rsid w:val="00895408"/>
    <w:rsid w:val="0089581A"/>
    <w:rsid w:val="00895CF3"/>
    <w:rsid w:val="00895FEE"/>
    <w:rsid w:val="0089626A"/>
    <w:rsid w:val="008967A2"/>
    <w:rsid w:val="00896E80"/>
    <w:rsid w:val="00897CB7"/>
    <w:rsid w:val="008A0B24"/>
    <w:rsid w:val="008A1230"/>
    <w:rsid w:val="008A26D5"/>
    <w:rsid w:val="008A2BF8"/>
    <w:rsid w:val="008A34F1"/>
    <w:rsid w:val="008A3D31"/>
    <w:rsid w:val="008A458A"/>
    <w:rsid w:val="008A48BE"/>
    <w:rsid w:val="008A4B59"/>
    <w:rsid w:val="008A544E"/>
    <w:rsid w:val="008A5F19"/>
    <w:rsid w:val="008A62E5"/>
    <w:rsid w:val="008A6742"/>
    <w:rsid w:val="008A7326"/>
    <w:rsid w:val="008A7912"/>
    <w:rsid w:val="008A7B1C"/>
    <w:rsid w:val="008B0647"/>
    <w:rsid w:val="008B10F2"/>
    <w:rsid w:val="008B1877"/>
    <w:rsid w:val="008B18EA"/>
    <w:rsid w:val="008B24DF"/>
    <w:rsid w:val="008B2651"/>
    <w:rsid w:val="008B2781"/>
    <w:rsid w:val="008B4191"/>
    <w:rsid w:val="008B43DA"/>
    <w:rsid w:val="008B48F4"/>
    <w:rsid w:val="008B4E67"/>
    <w:rsid w:val="008B4F0A"/>
    <w:rsid w:val="008B651B"/>
    <w:rsid w:val="008B70C2"/>
    <w:rsid w:val="008B76DA"/>
    <w:rsid w:val="008C0CDE"/>
    <w:rsid w:val="008C1096"/>
    <w:rsid w:val="008C18B0"/>
    <w:rsid w:val="008C1BCE"/>
    <w:rsid w:val="008C1D02"/>
    <w:rsid w:val="008C2095"/>
    <w:rsid w:val="008C2D81"/>
    <w:rsid w:val="008C30CB"/>
    <w:rsid w:val="008C34E0"/>
    <w:rsid w:val="008C4044"/>
    <w:rsid w:val="008C4E72"/>
    <w:rsid w:val="008C4F5E"/>
    <w:rsid w:val="008C533A"/>
    <w:rsid w:val="008C537B"/>
    <w:rsid w:val="008C57FA"/>
    <w:rsid w:val="008C590A"/>
    <w:rsid w:val="008C59D9"/>
    <w:rsid w:val="008C5BC9"/>
    <w:rsid w:val="008C6094"/>
    <w:rsid w:val="008C6543"/>
    <w:rsid w:val="008C7228"/>
    <w:rsid w:val="008C799E"/>
    <w:rsid w:val="008C79EB"/>
    <w:rsid w:val="008D05CF"/>
    <w:rsid w:val="008D0CBC"/>
    <w:rsid w:val="008D18D3"/>
    <w:rsid w:val="008D2218"/>
    <w:rsid w:val="008D2702"/>
    <w:rsid w:val="008D3AD1"/>
    <w:rsid w:val="008D3C4B"/>
    <w:rsid w:val="008D41DC"/>
    <w:rsid w:val="008D4E32"/>
    <w:rsid w:val="008D5065"/>
    <w:rsid w:val="008D5132"/>
    <w:rsid w:val="008D6540"/>
    <w:rsid w:val="008D66CF"/>
    <w:rsid w:val="008D729A"/>
    <w:rsid w:val="008E0030"/>
    <w:rsid w:val="008E079F"/>
    <w:rsid w:val="008E16B8"/>
    <w:rsid w:val="008E2564"/>
    <w:rsid w:val="008E3E2F"/>
    <w:rsid w:val="008E4EBA"/>
    <w:rsid w:val="008E5074"/>
    <w:rsid w:val="008E5C4C"/>
    <w:rsid w:val="008E672F"/>
    <w:rsid w:val="008E7060"/>
    <w:rsid w:val="008E76BF"/>
    <w:rsid w:val="008E7BE9"/>
    <w:rsid w:val="008E7FFC"/>
    <w:rsid w:val="008F04CE"/>
    <w:rsid w:val="008F06A3"/>
    <w:rsid w:val="008F08C4"/>
    <w:rsid w:val="008F1D77"/>
    <w:rsid w:val="008F27DD"/>
    <w:rsid w:val="008F3700"/>
    <w:rsid w:val="008F3AD0"/>
    <w:rsid w:val="008F4C9F"/>
    <w:rsid w:val="008F521A"/>
    <w:rsid w:val="008F6390"/>
    <w:rsid w:val="008F6BB0"/>
    <w:rsid w:val="008F7285"/>
    <w:rsid w:val="008F735F"/>
    <w:rsid w:val="008F788A"/>
    <w:rsid w:val="009004AE"/>
    <w:rsid w:val="00900EC5"/>
    <w:rsid w:val="00901146"/>
    <w:rsid w:val="00901401"/>
    <w:rsid w:val="009024CC"/>
    <w:rsid w:val="00902B23"/>
    <w:rsid w:val="00902F32"/>
    <w:rsid w:val="00903767"/>
    <w:rsid w:val="00904E9B"/>
    <w:rsid w:val="00905279"/>
    <w:rsid w:val="00905524"/>
    <w:rsid w:val="00905637"/>
    <w:rsid w:val="0090594E"/>
    <w:rsid w:val="00907ADA"/>
    <w:rsid w:val="00907C4F"/>
    <w:rsid w:val="009104E4"/>
    <w:rsid w:val="0091056D"/>
    <w:rsid w:val="0091091C"/>
    <w:rsid w:val="009117FF"/>
    <w:rsid w:val="00911F28"/>
    <w:rsid w:val="0091200F"/>
    <w:rsid w:val="009130B3"/>
    <w:rsid w:val="009130E8"/>
    <w:rsid w:val="0091338F"/>
    <w:rsid w:val="00913707"/>
    <w:rsid w:val="00914CF0"/>
    <w:rsid w:val="009154B0"/>
    <w:rsid w:val="009162A9"/>
    <w:rsid w:val="00917268"/>
    <w:rsid w:val="009176EC"/>
    <w:rsid w:val="00917E7B"/>
    <w:rsid w:val="009203BD"/>
    <w:rsid w:val="00923684"/>
    <w:rsid w:val="00923A40"/>
    <w:rsid w:val="00923B1C"/>
    <w:rsid w:val="00923E30"/>
    <w:rsid w:val="00925B3B"/>
    <w:rsid w:val="009263F7"/>
    <w:rsid w:val="00930708"/>
    <w:rsid w:val="0093121E"/>
    <w:rsid w:val="00931261"/>
    <w:rsid w:val="009315BC"/>
    <w:rsid w:val="0093218D"/>
    <w:rsid w:val="00932F4A"/>
    <w:rsid w:val="00933755"/>
    <w:rsid w:val="00934278"/>
    <w:rsid w:val="0093459D"/>
    <w:rsid w:val="00934F89"/>
    <w:rsid w:val="0093531A"/>
    <w:rsid w:val="00935927"/>
    <w:rsid w:val="00935D90"/>
    <w:rsid w:val="00935E36"/>
    <w:rsid w:val="00936EF8"/>
    <w:rsid w:val="00941784"/>
    <w:rsid w:val="00941F3A"/>
    <w:rsid w:val="0094222A"/>
    <w:rsid w:val="00942825"/>
    <w:rsid w:val="00943771"/>
    <w:rsid w:val="00944FBB"/>
    <w:rsid w:val="00945193"/>
    <w:rsid w:val="009467EA"/>
    <w:rsid w:val="00946AC8"/>
    <w:rsid w:val="009478C5"/>
    <w:rsid w:val="00947FBF"/>
    <w:rsid w:val="00950B56"/>
    <w:rsid w:val="00950FFB"/>
    <w:rsid w:val="00951291"/>
    <w:rsid w:val="00951BDF"/>
    <w:rsid w:val="00952102"/>
    <w:rsid w:val="00952397"/>
    <w:rsid w:val="0095268B"/>
    <w:rsid w:val="009528D2"/>
    <w:rsid w:val="00952EF5"/>
    <w:rsid w:val="009538F4"/>
    <w:rsid w:val="0095399C"/>
    <w:rsid w:val="009541E4"/>
    <w:rsid w:val="009549E1"/>
    <w:rsid w:val="00955CAC"/>
    <w:rsid w:val="00957915"/>
    <w:rsid w:val="00957D49"/>
    <w:rsid w:val="00960537"/>
    <w:rsid w:val="00960597"/>
    <w:rsid w:val="00960726"/>
    <w:rsid w:val="0096107B"/>
    <w:rsid w:val="0096127F"/>
    <w:rsid w:val="00962526"/>
    <w:rsid w:val="00962E0F"/>
    <w:rsid w:val="00963109"/>
    <w:rsid w:val="00964473"/>
    <w:rsid w:val="00964DE3"/>
    <w:rsid w:val="009657A1"/>
    <w:rsid w:val="009658AC"/>
    <w:rsid w:val="009665AC"/>
    <w:rsid w:val="00966775"/>
    <w:rsid w:val="00966C64"/>
    <w:rsid w:val="00966F12"/>
    <w:rsid w:val="009673D2"/>
    <w:rsid w:val="009676B2"/>
    <w:rsid w:val="009676D8"/>
    <w:rsid w:val="00967B05"/>
    <w:rsid w:val="00967F94"/>
    <w:rsid w:val="0097008E"/>
    <w:rsid w:val="009706E0"/>
    <w:rsid w:val="00970CE9"/>
    <w:rsid w:val="00971338"/>
    <w:rsid w:val="009713FE"/>
    <w:rsid w:val="00971895"/>
    <w:rsid w:val="0097189C"/>
    <w:rsid w:val="009726D4"/>
    <w:rsid w:val="00973C0C"/>
    <w:rsid w:val="00974865"/>
    <w:rsid w:val="0097593A"/>
    <w:rsid w:val="00975A19"/>
    <w:rsid w:val="00975B3D"/>
    <w:rsid w:val="00976977"/>
    <w:rsid w:val="00977356"/>
    <w:rsid w:val="00977D78"/>
    <w:rsid w:val="0098036C"/>
    <w:rsid w:val="009806C8"/>
    <w:rsid w:val="00980BE0"/>
    <w:rsid w:val="00981755"/>
    <w:rsid w:val="00981759"/>
    <w:rsid w:val="00982110"/>
    <w:rsid w:val="00983F37"/>
    <w:rsid w:val="00984328"/>
    <w:rsid w:val="0098452A"/>
    <w:rsid w:val="00984709"/>
    <w:rsid w:val="00985ED4"/>
    <w:rsid w:val="009861F2"/>
    <w:rsid w:val="00986DD3"/>
    <w:rsid w:val="00986E6B"/>
    <w:rsid w:val="00987172"/>
    <w:rsid w:val="00987D39"/>
    <w:rsid w:val="00987DB1"/>
    <w:rsid w:val="0099096A"/>
    <w:rsid w:val="00990D1B"/>
    <w:rsid w:val="009910F4"/>
    <w:rsid w:val="00991143"/>
    <w:rsid w:val="00991954"/>
    <w:rsid w:val="0099251D"/>
    <w:rsid w:val="00992637"/>
    <w:rsid w:val="009947DC"/>
    <w:rsid w:val="00994946"/>
    <w:rsid w:val="009955FF"/>
    <w:rsid w:val="00995EFB"/>
    <w:rsid w:val="00996EB8"/>
    <w:rsid w:val="00997463"/>
    <w:rsid w:val="00997AEE"/>
    <w:rsid w:val="009A0021"/>
    <w:rsid w:val="009A12EA"/>
    <w:rsid w:val="009A3D16"/>
    <w:rsid w:val="009A44B8"/>
    <w:rsid w:val="009A46D6"/>
    <w:rsid w:val="009A51A1"/>
    <w:rsid w:val="009A543C"/>
    <w:rsid w:val="009A6349"/>
    <w:rsid w:val="009A657F"/>
    <w:rsid w:val="009A66E7"/>
    <w:rsid w:val="009A73D8"/>
    <w:rsid w:val="009B0715"/>
    <w:rsid w:val="009B0775"/>
    <w:rsid w:val="009B11C3"/>
    <w:rsid w:val="009B12BA"/>
    <w:rsid w:val="009B15E8"/>
    <w:rsid w:val="009B2678"/>
    <w:rsid w:val="009B3457"/>
    <w:rsid w:val="009B4CC4"/>
    <w:rsid w:val="009B4D6F"/>
    <w:rsid w:val="009B63AD"/>
    <w:rsid w:val="009B766E"/>
    <w:rsid w:val="009B77A4"/>
    <w:rsid w:val="009B7C8D"/>
    <w:rsid w:val="009B7ECD"/>
    <w:rsid w:val="009C0CD9"/>
    <w:rsid w:val="009C10F5"/>
    <w:rsid w:val="009C16BE"/>
    <w:rsid w:val="009C259C"/>
    <w:rsid w:val="009C3792"/>
    <w:rsid w:val="009C3D91"/>
    <w:rsid w:val="009C4EA7"/>
    <w:rsid w:val="009C56DF"/>
    <w:rsid w:val="009C58AA"/>
    <w:rsid w:val="009C59D7"/>
    <w:rsid w:val="009C5AD6"/>
    <w:rsid w:val="009C66A3"/>
    <w:rsid w:val="009D03FC"/>
    <w:rsid w:val="009D066C"/>
    <w:rsid w:val="009D0DBC"/>
    <w:rsid w:val="009D1474"/>
    <w:rsid w:val="009D17F7"/>
    <w:rsid w:val="009D2037"/>
    <w:rsid w:val="009D2EDF"/>
    <w:rsid w:val="009D4118"/>
    <w:rsid w:val="009D4AB8"/>
    <w:rsid w:val="009D4C23"/>
    <w:rsid w:val="009D55B6"/>
    <w:rsid w:val="009E04BD"/>
    <w:rsid w:val="009E096B"/>
    <w:rsid w:val="009E10DB"/>
    <w:rsid w:val="009E12B5"/>
    <w:rsid w:val="009E152A"/>
    <w:rsid w:val="009E1DA8"/>
    <w:rsid w:val="009E342A"/>
    <w:rsid w:val="009E39BE"/>
    <w:rsid w:val="009E4165"/>
    <w:rsid w:val="009E4597"/>
    <w:rsid w:val="009E4789"/>
    <w:rsid w:val="009E58D6"/>
    <w:rsid w:val="009E63A2"/>
    <w:rsid w:val="009E6D24"/>
    <w:rsid w:val="009E6DFE"/>
    <w:rsid w:val="009E7C6D"/>
    <w:rsid w:val="009F0806"/>
    <w:rsid w:val="009F0A04"/>
    <w:rsid w:val="009F0CDA"/>
    <w:rsid w:val="009F260F"/>
    <w:rsid w:val="009F31D7"/>
    <w:rsid w:val="009F39F5"/>
    <w:rsid w:val="009F3D2C"/>
    <w:rsid w:val="009F4B4A"/>
    <w:rsid w:val="009F4EBB"/>
    <w:rsid w:val="009F57F4"/>
    <w:rsid w:val="009F6448"/>
    <w:rsid w:val="009F6E79"/>
    <w:rsid w:val="009F747D"/>
    <w:rsid w:val="00A00D8E"/>
    <w:rsid w:val="00A00F04"/>
    <w:rsid w:val="00A01032"/>
    <w:rsid w:val="00A01E71"/>
    <w:rsid w:val="00A02F9E"/>
    <w:rsid w:val="00A04613"/>
    <w:rsid w:val="00A048F7"/>
    <w:rsid w:val="00A049D7"/>
    <w:rsid w:val="00A052EA"/>
    <w:rsid w:val="00A055D1"/>
    <w:rsid w:val="00A05894"/>
    <w:rsid w:val="00A063E9"/>
    <w:rsid w:val="00A06CF6"/>
    <w:rsid w:val="00A07020"/>
    <w:rsid w:val="00A0787C"/>
    <w:rsid w:val="00A100AD"/>
    <w:rsid w:val="00A10161"/>
    <w:rsid w:val="00A106D0"/>
    <w:rsid w:val="00A1086E"/>
    <w:rsid w:val="00A10DAA"/>
    <w:rsid w:val="00A12025"/>
    <w:rsid w:val="00A12361"/>
    <w:rsid w:val="00A123AB"/>
    <w:rsid w:val="00A12994"/>
    <w:rsid w:val="00A12A25"/>
    <w:rsid w:val="00A130F2"/>
    <w:rsid w:val="00A136C0"/>
    <w:rsid w:val="00A13914"/>
    <w:rsid w:val="00A15615"/>
    <w:rsid w:val="00A15714"/>
    <w:rsid w:val="00A160E0"/>
    <w:rsid w:val="00A17F67"/>
    <w:rsid w:val="00A201CF"/>
    <w:rsid w:val="00A2044F"/>
    <w:rsid w:val="00A2123E"/>
    <w:rsid w:val="00A2350D"/>
    <w:rsid w:val="00A243DA"/>
    <w:rsid w:val="00A2771E"/>
    <w:rsid w:val="00A27B0F"/>
    <w:rsid w:val="00A3099D"/>
    <w:rsid w:val="00A309D5"/>
    <w:rsid w:val="00A313FD"/>
    <w:rsid w:val="00A31DC0"/>
    <w:rsid w:val="00A321E4"/>
    <w:rsid w:val="00A32B0E"/>
    <w:rsid w:val="00A32DB0"/>
    <w:rsid w:val="00A33F1D"/>
    <w:rsid w:val="00A354B5"/>
    <w:rsid w:val="00A358B3"/>
    <w:rsid w:val="00A361EA"/>
    <w:rsid w:val="00A36EF3"/>
    <w:rsid w:val="00A371AB"/>
    <w:rsid w:val="00A372A8"/>
    <w:rsid w:val="00A373A3"/>
    <w:rsid w:val="00A37402"/>
    <w:rsid w:val="00A4086B"/>
    <w:rsid w:val="00A41BFE"/>
    <w:rsid w:val="00A42D83"/>
    <w:rsid w:val="00A433F0"/>
    <w:rsid w:val="00A4366F"/>
    <w:rsid w:val="00A454EB"/>
    <w:rsid w:val="00A458C7"/>
    <w:rsid w:val="00A46C73"/>
    <w:rsid w:val="00A46D06"/>
    <w:rsid w:val="00A47D90"/>
    <w:rsid w:val="00A47DD9"/>
    <w:rsid w:val="00A5020C"/>
    <w:rsid w:val="00A50979"/>
    <w:rsid w:val="00A5138B"/>
    <w:rsid w:val="00A51442"/>
    <w:rsid w:val="00A517DF"/>
    <w:rsid w:val="00A51D3C"/>
    <w:rsid w:val="00A51F52"/>
    <w:rsid w:val="00A526AA"/>
    <w:rsid w:val="00A53BCF"/>
    <w:rsid w:val="00A53EEC"/>
    <w:rsid w:val="00A549DC"/>
    <w:rsid w:val="00A54CED"/>
    <w:rsid w:val="00A54D07"/>
    <w:rsid w:val="00A552FB"/>
    <w:rsid w:val="00A55386"/>
    <w:rsid w:val="00A565DC"/>
    <w:rsid w:val="00A57754"/>
    <w:rsid w:val="00A603DA"/>
    <w:rsid w:val="00A606E4"/>
    <w:rsid w:val="00A6070E"/>
    <w:rsid w:val="00A60D1E"/>
    <w:rsid w:val="00A62339"/>
    <w:rsid w:val="00A624ED"/>
    <w:rsid w:val="00A6300A"/>
    <w:rsid w:val="00A63F34"/>
    <w:rsid w:val="00A64548"/>
    <w:rsid w:val="00A65021"/>
    <w:rsid w:val="00A6504C"/>
    <w:rsid w:val="00A65310"/>
    <w:rsid w:val="00A656B7"/>
    <w:rsid w:val="00A66538"/>
    <w:rsid w:val="00A67E0B"/>
    <w:rsid w:val="00A70162"/>
    <w:rsid w:val="00A705EC"/>
    <w:rsid w:val="00A71A3E"/>
    <w:rsid w:val="00A7265F"/>
    <w:rsid w:val="00A72B87"/>
    <w:rsid w:val="00A73309"/>
    <w:rsid w:val="00A7356F"/>
    <w:rsid w:val="00A73691"/>
    <w:rsid w:val="00A73F85"/>
    <w:rsid w:val="00A73FD0"/>
    <w:rsid w:val="00A7464F"/>
    <w:rsid w:val="00A75042"/>
    <w:rsid w:val="00A75A7C"/>
    <w:rsid w:val="00A75C81"/>
    <w:rsid w:val="00A80580"/>
    <w:rsid w:val="00A8106F"/>
    <w:rsid w:val="00A815E3"/>
    <w:rsid w:val="00A82071"/>
    <w:rsid w:val="00A8209F"/>
    <w:rsid w:val="00A821C3"/>
    <w:rsid w:val="00A82282"/>
    <w:rsid w:val="00A82F03"/>
    <w:rsid w:val="00A83A83"/>
    <w:rsid w:val="00A84C0A"/>
    <w:rsid w:val="00A8556B"/>
    <w:rsid w:val="00A85641"/>
    <w:rsid w:val="00A8632B"/>
    <w:rsid w:val="00A870F0"/>
    <w:rsid w:val="00A87353"/>
    <w:rsid w:val="00A87378"/>
    <w:rsid w:val="00A877BA"/>
    <w:rsid w:val="00A87A51"/>
    <w:rsid w:val="00A87A6F"/>
    <w:rsid w:val="00A87B89"/>
    <w:rsid w:val="00A901DB"/>
    <w:rsid w:val="00A906B0"/>
    <w:rsid w:val="00A91084"/>
    <w:rsid w:val="00A91435"/>
    <w:rsid w:val="00A914F1"/>
    <w:rsid w:val="00A91BC8"/>
    <w:rsid w:val="00A91C05"/>
    <w:rsid w:val="00A91F53"/>
    <w:rsid w:val="00A9225A"/>
    <w:rsid w:val="00A9269E"/>
    <w:rsid w:val="00A92D24"/>
    <w:rsid w:val="00A94A27"/>
    <w:rsid w:val="00A95736"/>
    <w:rsid w:val="00A97357"/>
    <w:rsid w:val="00AA037C"/>
    <w:rsid w:val="00AA0DC9"/>
    <w:rsid w:val="00AA1507"/>
    <w:rsid w:val="00AA1D6B"/>
    <w:rsid w:val="00AA2248"/>
    <w:rsid w:val="00AA3CE9"/>
    <w:rsid w:val="00AA3FD0"/>
    <w:rsid w:val="00AA4298"/>
    <w:rsid w:val="00AA43E7"/>
    <w:rsid w:val="00AA4A30"/>
    <w:rsid w:val="00AA6027"/>
    <w:rsid w:val="00AA63CF"/>
    <w:rsid w:val="00AA6823"/>
    <w:rsid w:val="00AA7198"/>
    <w:rsid w:val="00AB04C3"/>
    <w:rsid w:val="00AB06E8"/>
    <w:rsid w:val="00AB1563"/>
    <w:rsid w:val="00AB18F9"/>
    <w:rsid w:val="00AB1AB9"/>
    <w:rsid w:val="00AB23EC"/>
    <w:rsid w:val="00AB2914"/>
    <w:rsid w:val="00AB2C3E"/>
    <w:rsid w:val="00AB3228"/>
    <w:rsid w:val="00AB5195"/>
    <w:rsid w:val="00AB6516"/>
    <w:rsid w:val="00AB7786"/>
    <w:rsid w:val="00AB79DA"/>
    <w:rsid w:val="00AC01BE"/>
    <w:rsid w:val="00AC042E"/>
    <w:rsid w:val="00AC2324"/>
    <w:rsid w:val="00AC2769"/>
    <w:rsid w:val="00AC2F19"/>
    <w:rsid w:val="00AC3400"/>
    <w:rsid w:val="00AC42B9"/>
    <w:rsid w:val="00AC51A6"/>
    <w:rsid w:val="00AC5E45"/>
    <w:rsid w:val="00AD000F"/>
    <w:rsid w:val="00AD0373"/>
    <w:rsid w:val="00AD0DEF"/>
    <w:rsid w:val="00AD0E0A"/>
    <w:rsid w:val="00AD0E62"/>
    <w:rsid w:val="00AD1501"/>
    <w:rsid w:val="00AD1A1A"/>
    <w:rsid w:val="00AD2013"/>
    <w:rsid w:val="00AD2429"/>
    <w:rsid w:val="00AD2628"/>
    <w:rsid w:val="00AD2E1D"/>
    <w:rsid w:val="00AD3358"/>
    <w:rsid w:val="00AD353F"/>
    <w:rsid w:val="00AD387D"/>
    <w:rsid w:val="00AD4011"/>
    <w:rsid w:val="00AD4061"/>
    <w:rsid w:val="00AD48C2"/>
    <w:rsid w:val="00AD4977"/>
    <w:rsid w:val="00AD4A63"/>
    <w:rsid w:val="00AD4FC0"/>
    <w:rsid w:val="00AD5375"/>
    <w:rsid w:val="00AD5849"/>
    <w:rsid w:val="00AD6540"/>
    <w:rsid w:val="00AD686A"/>
    <w:rsid w:val="00AD6DCB"/>
    <w:rsid w:val="00AD6E71"/>
    <w:rsid w:val="00AD7090"/>
    <w:rsid w:val="00AD7C08"/>
    <w:rsid w:val="00AE15E3"/>
    <w:rsid w:val="00AE18D2"/>
    <w:rsid w:val="00AE2DEC"/>
    <w:rsid w:val="00AE3FDB"/>
    <w:rsid w:val="00AE4EFC"/>
    <w:rsid w:val="00AE4FA6"/>
    <w:rsid w:val="00AE5C12"/>
    <w:rsid w:val="00AE5F9F"/>
    <w:rsid w:val="00AE6923"/>
    <w:rsid w:val="00AE78CA"/>
    <w:rsid w:val="00AF0736"/>
    <w:rsid w:val="00AF0A1B"/>
    <w:rsid w:val="00AF0A54"/>
    <w:rsid w:val="00AF0B9F"/>
    <w:rsid w:val="00AF16CB"/>
    <w:rsid w:val="00AF191D"/>
    <w:rsid w:val="00AF1C96"/>
    <w:rsid w:val="00AF2EC5"/>
    <w:rsid w:val="00AF3082"/>
    <w:rsid w:val="00AF36CA"/>
    <w:rsid w:val="00AF52D2"/>
    <w:rsid w:val="00AF539F"/>
    <w:rsid w:val="00AF5A53"/>
    <w:rsid w:val="00AF5C00"/>
    <w:rsid w:val="00AF5EA4"/>
    <w:rsid w:val="00AF6BDF"/>
    <w:rsid w:val="00AF6E4F"/>
    <w:rsid w:val="00AF6E97"/>
    <w:rsid w:val="00AF7B58"/>
    <w:rsid w:val="00B00021"/>
    <w:rsid w:val="00B003C4"/>
    <w:rsid w:val="00B009D3"/>
    <w:rsid w:val="00B01F6E"/>
    <w:rsid w:val="00B02645"/>
    <w:rsid w:val="00B02A8A"/>
    <w:rsid w:val="00B02C97"/>
    <w:rsid w:val="00B0399F"/>
    <w:rsid w:val="00B03F83"/>
    <w:rsid w:val="00B0555D"/>
    <w:rsid w:val="00B0569E"/>
    <w:rsid w:val="00B0571E"/>
    <w:rsid w:val="00B05A86"/>
    <w:rsid w:val="00B066BA"/>
    <w:rsid w:val="00B06AC4"/>
    <w:rsid w:val="00B10170"/>
    <w:rsid w:val="00B1082B"/>
    <w:rsid w:val="00B1135A"/>
    <w:rsid w:val="00B11AD0"/>
    <w:rsid w:val="00B11BF0"/>
    <w:rsid w:val="00B11CEE"/>
    <w:rsid w:val="00B11F0E"/>
    <w:rsid w:val="00B11FAB"/>
    <w:rsid w:val="00B12D06"/>
    <w:rsid w:val="00B13585"/>
    <w:rsid w:val="00B13669"/>
    <w:rsid w:val="00B1392E"/>
    <w:rsid w:val="00B13B10"/>
    <w:rsid w:val="00B14909"/>
    <w:rsid w:val="00B15C06"/>
    <w:rsid w:val="00B1685E"/>
    <w:rsid w:val="00B169E3"/>
    <w:rsid w:val="00B16BFF"/>
    <w:rsid w:val="00B1702E"/>
    <w:rsid w:val="00B1707D"/>
    <w:rsid w:val="00B17B57"/>
    <w:rsid w:val="00B17D02"/>
    <w:rsid w:val="00B2006E"/>
    <w:rsid w:val="00B20C00"/>
    <w:rsid w:val="00B21133"/>
    <w:rsid w:val="00B2159B"/>
    <w:rsid w:val="00B22D3F"/>
    <w:rsid w:val="00B22E0A"/>
    <w:rsid w:val="00B22E6A"/>
    <w:rsid w:val="00B23311"/>
    <w:rsid w:val="00B2373E"/>
    <w:rsid w:val="00B23D99"/>
    <w:rsid w:val="00B2509F"/>
    <w:rsid w:val="00B2556A"/>
    <w:rsid w:val="00B2739E"/>
    <w:rsid w:val="00B3039A"/>
    <w:rsid w:val="00B3039B"/>
    <w:rsid w:val="00B30AB7"/>
    <w:rsid w:val="00B30E67"/>
    <w:rsid w:val="00B3234D"/>
    <w:rsid w:val="00B337B8"/>
    <w:rsid w:val="00B34465"/>
    <w:rsid w:val="00B3448B"/>
    <w:rsid w:val="00B34C44"/>
    <w:rsid w:val="00B34F92"/>
    <w:rsid w:val="00B3578E"/>
    <w:rsid w:val="00B35E70"/>
    <w:rsid w:val="00B35F9B"/>
    <w:rsid w:val="00B361C1"/>
    <w:rsid w:val="00B36A42"/>
    <w:rsid w:val="00B37724"/>
    <w:rsid w:val="00B37EDC"/>
    <w:rsid w:val="00B4118F"/>
    <w:rsid w:val="00B41F45"/>
    <w:rsid w:val="00B420BD"/>
    <w:rsid w:val="00B4374B"/>
    <w:rsid w:val="00B43934"/>
    <w:rsid w:val="00B440EB"/>
    <w:rsid w:val="00B458A8"/>
    <w:rsid w:val="00B45A6D"/>
    <w:rsid w:val="00B47820"/>
    <w:rsid w:val="00B47EB2"/>
    <w:rsid w:val="00B501DB"/>
    <w:rsid w:val="00B50D6A"/>
    <w:rsid w:val="00B50E85"/>
    <w:rsid w:val="00B511A3"/>
    <w:rsid w:val="00B5156E"/>
    <w:rsid w:val="00B515D8"/>
    <w:rsid w:val="00B522F3"/>
    <w:rsid w:val="00B532BC"/>
    <w:rsid w:val="00B5382B"/>
    <w:rsid w:val="00B53A61"/>
    <w:rsid w:val="00B540EB"/>
    <w:rsid w:val="00B54A95"/>
    <w:rsid w:val="00B55AEE"/>
    <w:rsid w:val="00B55C39"/>
    <w:rsid w:val="00B55CB5"/>
    <w:rsid w:val="00B55F8C"/>
    <w:rsid w:val="00B5666D"/>
    <w:rsid w:val="00B56786"/>
    <w:rsid w:val="00B567F6"/>
    <w:rsid w:val="00B60080"/>
    <w:rsid w:val="00B60CB0"/>
    <w:rsid w:val="00B60E1E"/>
    <w:rsid w:val="00B615A9"/>
    <w:rsid w:val="00B62499"/>
    <w:rsid w:val="00B625EC"/>
    <w:rsid w:val="00B62618"/>
    <w:rsid w:val="00B626C9"/>
    <w:rsid w:val="00B630F3"/>
    <w:rsid w:val="00B64602"/>
    <w:rsid w:val="00B64A60"/>
    <w:rsid w:val="00B64B95"/>
    <w:rsid w:val="00B65993"/>
    <w:rsid w:val="00B65B33"/>
    <w:rsid w:val="00B65BD7"/>
    <w:rsid w:val="00B665C3"/>
    <w:rsid w:val="00B6787F"/>
    <w:rsid w:val="00B70DF5"/>
    <w:rsid w:val="00B719FD"/>
    <w:rsid w:val="00B72C65"/>
    <w:rsid w:val="00B738CD"/>
    <w:rsid w:val="00B73933"/>
    <w:rsid w:val="00B73B44"/>
    <w:rsid w:val="00B742FC"/>
    <w:rsid w:val="00B745F0"/>
    <w:rsid w:val="00B747A2"/>
    <w:rsid w:val="00B7609D"/>
    <w:rsid w:val="00B76303"/>
    <w:rsid w:val="00B763AC"/>
    <w:rsid w:val="00B7643D"/>
    <w:rsid w:val="00B76B3A"/>
    <w:rsid w:val="00B77687"/>
    <w:rsid w:val="00B77AFD"/>
    <w:rsid w:val="00B80E60"/>
    <w:rsid w:val="00B811D4"/>
    <w:rsid w:val="00B81BA0"/>
    <w:rsid w:val="00B82228"/>
    <w:rsid w:val="00B82412"/>
    <w:rsid w:val="00B8261D"/>
    <w:rsid w:val="00B83C95"/>
    <w:rsid w:val="00B83D6A"/>
    <w:rsid w:val="00B84610"/>
    <w:rsid w:val="00B84651"/>
    <w:rsid w:val="00B84C51"/>
    <w:rsid w:val="00B85C75"/>
    <w:rsid w:val="00B85C81"/>
    <w:rsid w:val="00B85D41"/>
    <w:rsid w:val="00B8679E"/>
    <w:rsid w:val="00B86A6C"/>
    <w:rsid w:val="00B86BF9"/>
    <w:rsid w:val="00B870AF"/>
    <w:rsid w:val="00B87251"/>
    <w:rsid w:val="00B9095A"/>
    <w:rsid w:val="00B916FD"/>
    <w:rsid w:val="00B91874"/>
    <w:rsid w:val="00B91DBB"/>
    <w:rsid w:val="00B92CEB"/>
    <w:rsid w:val="00B93E2A"/>
    <w:rsid w:val="00B93F03"/>
    <w:rsid w:val="00B94A28"/>
    <w:rsid w:val="00B94E32"/>
    <w:rsid w:val="00B96A9E"/>
    <w:rsid w:val="00B96B41"/>
    <w:rsid w:val="00B96BB7"/>
    <w:rsid w:val="00B96BCC"/>
    <w:rsid w:val="00B973A9"/>
    <w:rsid w:val="00B979FC"/>
    <w:rsid w:val="00BA0755"/>
    <w:rsid w:val="00BA07DB"/>
    <w:rsid w:val="00BA0819"/>
    <w:rsid w:val="00BA0EE1"/>
    <w:rsid w:val="00BA144A"/>
    <w:rsid w:val="00BA1E7D"/>
    <w:rsid w:val="00BA25DF"/>
    <w:rsid w:val="00BA2A02"/>
    <w:rsid w:val="00BA2E22"/>
    <w:rsid w:val="00BA381D"/>
    <w:rsid w:val="00BA4D16"/>
    <w:rsid w:val="00BA507D"/>
    <w:rsid w:val="00BA53B9"/>
    <w:rsid w:val="00BA5CC7"/>
    <w:rsid w:val="00BA5E48"/>
    <w:rsid w:val="00BA6191"/>
    <w:rsid w:val="00BA7498"/>
    <w:rsid w:val="00BA7CA1"/>
    <w:rsid w:val="00BA7CE9"/>
    <w:rsid w:val="00BB14C8"/>
    <w:rsid w:val="00BB2494"/>
    <w:rsid w:val="00BB3E14"/>
    <w:rsid w:val="00BB44C9"/>
    <w:rsid w:val="00BB4715"/>
    <w:rsid w:val="00BB52B0"/>
    <w:rsid w:val="00BB5684"/>
    <w:rsid w:val="00BB5910"/>
    <w:rsid w:val="00BB7385"/>
    <w:rsid w:val="00BB7518"/>
    <w:rsid w:val="00BB76A4"/>
    <w:rsid w:val="00BB7D63"/>
    <w:rsid w:val="00BB7DC2"/>
    <w:rsid w:val="00BC01EB"/>
    <w:rsid w:val="00BC0402"/>
    <w:rsid w:val="00BC04BF"/>
    <w:rsid w:val="00BC0771"/>
    <w:rsid w:val="00BC174B"/>
    <w:rsid w:val="00BC412D"/>
    <w:rsid w:val="00BC46D6"/>
    <w:rsid w:val="00BC4845"/>
    <w:rsid w:val="00BC52D6"/>
    <w:rsid w:val="00BC6160"/>
    <w:rsid w:val="00BC6D94"/>
    <w:rsid w:val="00BC7BA7"/>
    <w:rsid w:val="00BD0796"/>
    <w:rsid w:val="00BD0901"/>
    <w:rsid w:val="00BD3565"/>
    <w:rsid w:val="00BD37B9"/>
    <w:rsid w:val="00BD3D9F"/>
    <w:rsid w:val="00BD3DDF"/>
    <w:rsid w:val="00BD4257"/>
    <w:rsid w:val="00BD493A"/>
    <w:rsid w:val="00BD49BF"/>
    <w:rsid w:val="00BD4A75"/>
    <w:rsid w:val="00BD4BDB"/>
    <w:rsid w:val="00BD5201"/>
    <w:rsid w:val="00BD540F"/>
    <w:rsid w:val="00BD5519"/>
    <w:rsid w:val="00BD5537"/>
    <w:rsid w:val="00BD6303"/>
    <w:rsid w:val="00BD6305"/>
    <w:rsid w:val="00BD79AF"/>
    <w:rsid w:val="00BE007E"/>
    <w:rsid w:val="00BE0282"/>
    <w:rsid w:val="00BE0547"/>
    <w:rsid w:val="00BE14CC"/>
    <w:rsid w:val="00BE1981"/>
    <w:rsid w:val="00BE1DCF"/>
    <w:rsid w:val="00BE2F50"/>
    <w:rsid w:val="00BE385E"/>
    <w:rsid w:val="00BE3B60"/>
    <w:rsid w:val="00BE3F88"/>
    <w:rsid w:val="00BE414A"/>
    <w:rsid w:val="00BE4C28"/>
    <w:rsid w:val="00BE5509"/>
    <w:rsid w:val="00BE5ADE"/>
    <w:rsid w:val="00BE5C8F"/>
    <w:rsid w:val="00BE7FC5"/>
    <w:rsid w:val="00BF03AB"/>
    <w:rsid w:val="00BF110E"/>
    <w:rsid w:val="00BF267E"/>
    <w:rsid w:val="00BF2AF3"/>
    <w:rsid w:val="00BF2BFD"/>
    <w:rsid w:val="00BF36A6"/>
    <w:rsid w:val="00BF3EB7"/>
    <w:rsid w:val="00BF410E"/>
    <w:rsid w:val="00BF41EC"/>
    <w:rsid w:val="00BF422C"/>
    <w:rsid w:val="00BF5894"/>
    <w:rsid w:val="00BF5A10"/>
    <w:rsid w:val="00BF623C"/>
    <w:rsid w:val="00BF64CC"/>
    <w:rsid w:val="00BF685F"/>
    <w:rsid w:val="00BF6DC2"/>
    <w:rsid w:val="00BF70C2"/>
    <w:rsid w:val="00BF7105"/>
    <w:rsid w:val="00BF7844"/>
    <w:rsid w:val="00BF7C81"/>
    <w:rsid w:val="00C00343"/>
    <w:rsid w:val="00C00C1B"/>
    <w:rsid w:val="00C00D92"/>
    <w:rsid w:val="00C01945"/>
    <w:rsid w:val="00C0228B"/>
    <w:rsid w:val="00C035EF"/>
    <w:rsid w:val="00C037AF"/>
    <w:rsid w:val="00C05A72"/>
    <w:rsid w:val="00C06610"/>
    <w:rsid w:val="00C06E2D"/>
    <w:rsid w:val="00C07061"/>
    <w:rsid w:val="00C078B3"/>
    <w:rsid w:val="00C07EC0"/>
    <w:rsid w:val="00C108A6"/>
    <w:rsid w:val="00C120DA"/>
    <w:rsid w:val="00C124DF"/>
    <w:rsid w:val="00C1279E"/>
    <w:rsid w:val="00C13551"/>
    <w:rsid w:val="00C1355A"/>
    <w:rsid w:val="00C13E93"/>
    <w:rsid w:val="00C14542"/>
    <w:rsid w:val="00C14D45"/>
    <w:rsid w:val="00C14F05"/>
    <w:rsid w:val="00C1553A"/>
    <w:rsid w:val="00C1590A"/>
    <w:rsid w:val="00C15F21"/>
    <w:rsid w:val="00C16B6E"/>
    <w:rsid w:val="00C16C1D"/>
    <w:rsid w:val="00C16F3B"/>
    <w:rsid w:val="00C1740A"/>
    <w:rsid w:val="00C17538"/>
    <w:rsid w:val="00C1760D"/>
    <w:rsid w:val="00C177BF"/>
    <w:rsid w:val="00C17C1F"/>
    <w:rsid w:val="00C17F58"/>
    <w:rsid w:val="00C20696"/>
    <w:rsid w:val="00C21561"/>
    <w:rsid w:val="00C22357"/>
    <w:rsid w:val="00C22453"/>
    <w:rsid w:val="00C2285B"/>
    <w:rsid w:val="00C24EE8"/>
    <w:rsid w:val="00C256D0"/>
    <w:rsid w:val="00C25C62"/>
    <w:rsid w:val="00C265BB"/>
    <w:rsid w:val="00C27737"/>
    <w:rsid w:val="00C27845"/>
    <w:rsid w:val="00C27D93"/>
    <w:rsid w:val="00C27E0A"/>
    <w:rsid w:val="00C301A0"/>
    <w:rsid w:val="00C309CA"/>
    <w:rsid w:val="00C32171"/>
    <w:rsid w:val="00C323A2"/>
    <w:rsid w:val="00C32CF7"/>
    <w:rsid w:val="00C3344E"/>
    <w:rsid w:val="00C33B7B"/>
    <w:rsid w:val="00C340C2"/>
    <w:rsid w:val="00C34B28"/>
    <w:rsid w:val="00C34B38"/>
    <w:rsid w:val="00C3556F"/>
    <w:rsid w:val="00C35CC5"/>
    <w:rsid w:val="00C35DC3"/>
    <w:rsid w:val="00C35DF1"/>
    <w:rsid w:val="00C3666A"/>
    <w:rsid w:val="00C36DAB"/>
    <w:rsid w:val="00C410C6"/>
    <w:rsid w:val="00C414D3"/>
    <w:rsid w:val="00C41FC6"/>
    <w:rsid w:val="00C425BD"/>
    <w:rsid w:val="00C449DA"/>
    <w:rsid w:val="00C44E96"/>
    <w:rsid w:val="00C451E4"/>
    <w:rsid w:val="00C45666"/>
    <w:rsid w:val="00C457AA"/>
    <w:rsid w:val="00C4673F"/>
    <w:rsid w:val="00C469DB"/>
    <w:rsid w:val="00C5008A"/>
    <w:rsid w:val="00C503EA"/>
    <w:rsid w:val="00C51265"/>
    <w:rsid w:val="00C5129C"/>
    <w:rsid w:val="00C51746"/>
    <w:rsid w:val="00C51997"/>
    <w:rsid w:val="00C520D0"/>
    <w:rsid w:val="00C52C5F"/>
    <w:rsid w:val="00C53131"/>
    <w:rsid w:val="00C5394A"/>
    <w:rsid w:val="00C53ADC"/>
    <w:rsid w:val="00C547B1"/>
    <w:rsid w:val="00C5484E"/>
    <w:rsid w:val="00C5577A"/>
    <w:rsid w:val="00C5577D"/>
    <w:rsid w:val="00C55858"/>
    <w:rsid w:val="00C567B2"/>
    <w:rsid w:val="00C57C43"/>
    <w:rsid w:val="00C57DEC"/>
    <w:rsid w:val="00C60170"/>
    <w:rsid w:val="00C60A3A"/>
    <w:rsid w:val="00C61002"/>
    <w:rsid w:val="00C612B8"/>
    <w:rsid w:val="00C62177"/>
    <w:rsid w:val="00C6252A"/>
    <w:rsid w:val="00C63B64"/>
    <w:rsid w:val="00C641A2"/>
    <w:rsid w:val="00C65554"/>
    <w:rsid w:val="00C65DDC"/>
    <w:rsid w:val="00C66074"/>
    <w:rsid w:val="00C725DF"/>
    <w:rsid w:val="00C7263E"/>
    <w:rsid w:val="00C72BE6"/>
    <w:rsid w:val="00C72F4D"/>
    <w:rsid w:val="00C74A38"/>
    <w:rsid w:val="00C759E3"/>
    <w:rsid w:val="00C764C8"/>
    <w:rsid w:val="00C77759"/>
    <w:rsid w:val="00C77B84"/>
    <w:rsid w:val="00C80304"/>
    <w:rsid w:val="00C80CE5"/>
    <w:rsid w:val="00C80DBB"/>
    <w:rsid w:val="00C81426"/>
    <w:rsid w:val="00C81B92"/>
    <w:rsid w:val="00C81E61"/>
    <w:rsid w:val="00C82804"/>
    <w:rsid w:val="00C82A9E"/>
    <w:rsid w:val="00C83987"/>
    <w:rsid w:val="00C83D0F"/>
    <w:rsid w:val="00C83E83"/>
    <w:rsid w:val="00C83EA3"/>
    <w:rsid w:val="00C83EA8"/>
    <w:rsid w:val="00C841C0"/>
    <w:rsid w:val="00C8436A"/>
    <w:rsid w:val="00C843AB"/>
    <w:rsid w:val="00C84FAC"/>
    <w:rsid w:val="00C85FD8"/>
    <w:rsid w:val="00C86B95"/>
    <w:rsid w:val="00C87AA5"/>
    <w:rsid w:val="00C90171"/>
    <w:rsid w:val="00C90262"/>
    <w:rsid w:val="00C90B4E"/>
    <w:rsid w:val="00C90C9E"/>
    <w:rsid w:val="00C91222"/>
    <w:rsid w:val="00C91A5E"/>
    <w:rsid w:val="00C91F47"/>
    <w:rsid w:val="00C928D6"/>
    <w:rsid w:val="00C92F03"/>
    <w:rsid w:val="00C932A0"/>
    <w:rsid w:val="00C93649"/>
    <w:rsid w:val="00C937D6"/>
    <w:rsid w:val="00C93C20"/>
    <w:rsid w:val="00C944E9"/>
    <w:rsid w:val="00C94CCA"/>
    <w:rsid w:val="00C95108"/>
    <w:rsid w:val="00C97AFB"/>
    <w:rsid w:val="00CA0666"/>
    <w:rsid w:val="00CA0682"/>
    <w:rsid w:val="00CA081C"/>
    <w:rsid w:val="00CA1C17"/>
    <w:rsid w:val="00CA3DF7"/>
    <w:rsid w:val="00CA43D7"/>
    <w:rsid w:val="00CA470D"/>
    <w:rsid w:val="00CA4D1A"/>
    <w:rsid w:val="00CA5A0D"/>
    <w:rsid w:val="00CA62F1"/>
    <w:rsid w:val="00CA6F14"/>
    <w:rsid w:val="00CB1089"/>
    <w:rsid w:val="00CB2038"/>
    <w:rsid w:val="00CB2A31"/>
    <w:rsid w:val="00CB35E2"/>
    <w:rsid w:val="00CB36A8"/>
    <w:rsid w:val="00CB594B"/>
    <w:rsid w:val="00CB602D"/>
    <w:rsid w:val="00CB64A2"/>
    <w:rsid w:val="00CB746F"/>
    <w:rsid w:val="00CB781B"/>
    <w:rsid w:val="00CB7ECC"/>
    <w:rsid w:val="00CC0FF7"/>
    <w:rsid w:val="00CC1AA5"/>
    <w:rsid w:val="00CC1E8F"/>
    <w:rsid w:val="00CC2D24"/>
    <w:rsid w:val="00CC2EC6"/>
    <w:rsid w:val="00CC340E"/>
    <w:rsid w:val="00CC34EE"/>
    <w:rsid w:val="00CC3CD9"/>
    <w:rsid w:val="00CC3EF6"/>
    <w:rsid w:val="00CC4836"/>
    <w:rsid w:val="00CC4A6A"/>
    <w:rsid w:val="00CC4BC5"/>
    <w:rsid w:val="00CC4EF3"/>
    <w:rsid w:val="00CC636A"/>
    <w:rsid w:val="00CC6930"/>
    <w:rsid w:val="00CC752B"/>
    <w:rsid w:val="00CD027F"/>
    <w:rsid w:val="00CD08DC"/>
    <w:rsid w:val="00CD0EA4"/>
    <w:rsid w:val="00CD0FC1"/>
    <w:rsid w:val="00CD1E3D"/>
    <w:rsid w:val="00CD23BA"/>
    <w:rsid w:val="00CD246A"/>
    <w:rsid w:val="00CD2F08"/>
    <w:rsid w:val="00CD384A"/>
    <w:rsid w:val="00CD42C7"/>
    <w:rsid w:val="00CD5064"/>
    <w:rsid w:val="00CD5567"/>
    <w:rsid w:val="00CD5F93"/>
    <w:rsid w:val="00CD664D"/>
    <w:rsid w:val="00CD6E54"/>
    <w:rsid w:val="00CD7533"/>
    <w:rsid w:val="00CD76AF"/>
    <w:rsid w:val="00CD778F"/>
    <w:rsid w:val="00CD7BDE"/>
    <w:rsid w:val="00CE054A"/>
    <w:rsid w:val="00CE14E3"/>
    <w:rsid w:val="00CE1A1E"/>
    <w:rsid w:val="00CE1C89"/>
    <w:rsid w:val="00CE1F1D"/>
    <w:rsid w:val="00CE23CF"/>
    <w:rsid w:val="00CE38A3"/>
    <w:rsid w:val="00CE3A76"/>
    <w:rsid w:val="00CE4252"/>
    <w:rsid w:val="00CE4731"/>
    <w:rsid w:val="00CE47C3"/>
    <w:rsid w:val="00CE524E"/>
    <w:rsid w:val="00CE59F2"/>
    <w:rsid w:val="00CE7D9F"/>
    <w:rsid w:val="00CF0349"/>
    <w:rsid w:val="00CF1FCB"/>
    <w:rsid w:val="00CF253C"/>
    <w:rsid w:val="00CF383E"/>
    <w:rsid w:val="00CF38F6"/>
    <w:rsid w:val="00CF3DEB"/>
    <w:rsid w:val="00CF4418"/>
    <w:rsid w:val="00CF4E8D"/>
    <w:rsid w:val="00CF5E02"/>
    <w:rsid w:val="00CF641C"/>
    <w:rsid w:val="00CF6DC7"/>
    <w:rsid w:val="00CF7311"/>
    <w:rsid w:val="00CF778F"/>
    <w:rsid w:val="00CF7AC7"/>
    <w:rsid w:val="00D00BAB"/>
    <w:rsid w:val="00D0194B"/>
    <w:rsid w:val="00D02465"/>
    <w:rsid w:val="00D028AE"/>
    <w:rsid w:val="00D02EF2"/>
    <w:rsid w:val="00D03291"/>
    <w:rsid w:val="00D03568"/>
    <w:rsid w:val="00D0382D"/>
    <w:rsid w:val="00D03BAA"/>
    <w:rsid w:val="00D03DC8"/>
    <w:rsid w:val="00D03DDB"/>
    <w:rsid w:val="00D04403"/>
    <w:rsid w:val="00D056B3"/>
    <w:rsid w:val="00D056E2"/>
    <w:rsid w:val="00D066B6"/>
    <w:rsid w:val="00D06741"/>
    <w:rsid w:val="00D06948"/>
    <w:rsid w:val="00D06D09"/>
    <w:rsid w:val="00D06F77"/>
    <w:rsid w:val="00D07A5A"/>
    <w:rsid w:val="00D11577"/>
    <w:rsid w:val="00D115B8"/>
    <w:rsid w:val="00D1172A"/>
    <w:rsid w:val="00D119E4"/>
    <w:rsid w:val="00D11A2D"/>
    <w:rsid w:val="00D12EE8"/>
    <w:rsid w:val="00D13116"/>
    <w:rsid w:val="00D132E7"/>
    <w:rsid w:val="00D13CFD"/>
    <w:rsid w:val="00D140D6"/>
    <w:rsid w:val="00D14633"/>
    <w:rsid w:val="00D14DF8"/>
    <w:rsid w:val="00D159F7"/>
    <w:rsid w:val="00D16337"/>
    <w:rsid w:val="00D16DD2"/>
    <w:rsid w:val="00D21572"/>
    <w:rsid w:val="00D226FB"/>
    <w:rsid w:val="00D23290"/>
    <w:rsid w:val="00D2378E"/>
    <w:rsid w:val="00D2394A"/>
    <w:rsid w:val="00D23F6C"/>
    <w:rsid w:val="00D24319"/>
    <w:rsid w:val="00D25364"/>
    <w:rsid w:val="00D25AE1"/>
    <w:rsid w:val="00D2637E"/>
    <w:rsid w:val="00D26F79"/>
    <w:rsid w:val="00D27108"/>
    <w:rsid w:val="00D2732F"/>
    <w:rsid w:val="00D322E2"/>
    <w:rsid w:val="00D32642"/>
    <w:rsid w:val="00D32985"/>
    <w:rsid w:val="00D33EBA"/>
    <w:rsid w:val="00D35163"/>
    <w:rsid w:val="00D36012"/>
    <w:rsid w:val="00D36028"/>
    <w:rsid w:val="00D367DC"/>
    <w:rsid w:val="00D3780F"/>
    <w:rsid w:val="00D37AA9"/>
    <w:rsid w:val="00D4064D"/>
    <w:rsid w:val="00D40BAA"/>
    <w:rsid w:val="00D41107"/>
    <w:rsid w:val="00D433F1"/>
    <w:rsid w:val="00D43712"/>
    <w:rsid w:val="00D439AC"/>
    <w:rsid w:val="00D458E4"/>
    <w:rsid w:val="00D464D8"/>
    <w:rsid w:val="00D467D3"/>
    <w:rsid w:val="00D4694E"/>
    <w:rsid w:val="00D46CD0"/>
    <w:rsid w:val="00D472A3"/>
    <w:rsid w:val="00D477C2"/>
    <w:rsid w:val="00D478F4"/>
    <w:rsid w:val="00D50092"/>
    <w:rsid w:val="00D50E74"/>
    <w:rsid w:val="00D50FA6"/>
    <w:rsid w:val="00D51BA4"/>
    <w:rsid w:val="00D51E29"/>
    <w:rsid w:val="00D52081"/>
    <w:rsid w:val="00D540E2"/>
    <w:rsid w:val="00D543DF"/>
    <w:rsid w:val="00D54824"/>
    <w:rsid w:val="00D549FF"/>
    <w:rsid w:val="00D555B1"/>
    <w:rsid w:val="00D56184"/>
    <w:rsid w:val="00D56880"/>
    <w:rsid w:val="00D56FE0"/>
    <w:rsid w:val="00D57B9E"/>
    <w:rsid w:val="00D60972"/>
    <w:rsid w:val="00D60EC7"/>
    <w:rsid w:val="00D60F27"/>
    <w:rsid w:val="00D61555"/>
    <w:rsid w:val="00D615F3"/>
    <w:rsid w:val="00D6238C"/>
    <w:rsid w:val="00D628F8"/>
    <w:rsid w:val="00D633AD"/>
    <w:rsid w:val="00D63BF8"/>
    <w:rsid w:val="00D64729"/>
    <w:rsid w:val="00D6480E"/>
    <w:rsid w:val="00D648D7"/>
    <w:rsid w:val="00D649DB"/>
    <w:rsid w:val="00D6651A"/>
    <w:rsid w:val="00D665BB"/>
    <w:rsid w:val="00D66857"/>
    <w:rsid w:val="00D67876"/>
    <w:rsid w:val="00D70561"/>
    <w:rsid w:val="00D70EFF"/>
    <w:rsid w:val="00D7204E"/>
    <w:rsid w:val="00D72B63"/>
    <w:rsid w:val="00D73B2E"/>
    <w:rsid w:val="00D73E93"/>
    <w:rsid w:val="00D73EA9"/>
    <w:rsid w:val="00D7435C"/>
    <w:rsid w:val="00D748B8"/>
    <w:rsid w:val="00D753FC"/>
    <w:rsid w:val="00D75596"/>
    <w:rsid w:val="00D76335"/>
    <w:rsid w:val="00D7642E"/>
    <w:rsid w:val="00D76526"/>
    <w:rsid w:val="00D7679A"/>
    <w:rsid w:val="00D76C10"/>
    <w:rsid w:val="00D7714B"/>
    <w:rsid w:val="00D771EC"/>
    <w:rsid w:val="00D773FC"/>
    <w:rsid w:val="00D8040F"/>
    <w:rsid w:val="00D8063D"/>
    <w:rsid w:val="00D81118"/>
    <w:rsid w:val="00D812DE"/>
    <w:rsid w:val="00D815C0"/>
    <w:rsid w:val="00D81687"/>
    <w:rsid w:val="00D81CA3"/>
    <w:rsid w:val="00D82696"/>
    <w:rsid w:val="00D8427A"/>
    <w:rsid w:val="00D856B5"/>
    <w:rsid w:val="00D8578B"/>
    <w:rsid w:val="00D8584B"/>
    <w:rsid w:val="00D85A37"/>
    <w:rsid w:val="00D85F9A"/>
    <w:rsid w:val="00D8603D"/>
    <w:rsid w:val="00D86253"/>
    <w:rsid w:val="00D8642C"/>
    <w:rsid w:val="00D868D8"/>
    <w:rsid w:val="00D86B24"/>
    <w:rsid w:val="00D86C17"/>
    <w:rsid w:val="00D8713F"/>
    <w:rsid w:val="00D875BE"/>
    <w:rsid w:val="00D87945"/>
    <w:rsid w:val="00D87FE3"/>
    <w:rsid w:val="00D903D7"/>
    <w:rsid w:val="00D90EAB"/>
    <w:rsid w:val="00D90F1D"/>
    <w:rsid w:val="00D913EA"/>
    <w:rsid w:val="00D9196F"/>
    <w:rsid w:val="00D91BA3"/>
    <w:rsid w:val="00D91CCA"/>
    <w:rsid w:val="00D922C8"/>
    <w:rsid w:val="00D9242D"/>
    <w:rsid w:val="00D92CFA"/>
    <w:rsid w:val="00D92DD0"/>
    <w:rsid w:val="00D94BF9"/>
    <w:rsid w:val="00D950AD"/>
    <w:rsid w:val="00D958A1"/>
    <w:rsid w:val="00D9610D"/>
    <w:rsid w:val="00D963E5"/>
    <w:rsid w:val="00D9739A"/>
    <w:rsid w:val="00D974A6"/>
    <w:rsid w:val="00DA0B9B"/>
    <w:rsid w:val="00DA0FDC"/>
    <w:rsid w:val="00DA16A9"/>
    <w:rsid w:val="00DA17CA"/>
    <w:rsid w:val="00DA1AB7"/>
    <w:rsid w:val="00DA2423"/>
    <w:rsid w:val="00DA26BA"/>
    <w:rsid w:val="00DA2727"/>
    <w:rsid w:val="00DA40D2"/>
    <w:rsid w:val="00DA42DB"/>
    <w:rsid w:val="00DA4932"/>
    <w:rsid w:val="00DA4E16"/>
    <w:rsid w:val="00DA504B"/>
    <w:rsid w:val="00DA6FAE"/>
    <w:rsid w:val="00DA76DC"/>
    <w:rsid w:val="00DA7BF3"/>
    <w:rsid w:val="00DA7FF6"/>
    <w:rsid w:val="00DB1BE0"/>
    <w:rsid w:val="00DB2356"/>
    <w:rsid w:val="00DB2800"/>
    <w:rsid w:val="00DB3527"/>
    <w:rsid w:val="00DB3696"/>
    <w:rsid w:val="00DB3869"/>
    <w:rsid w:val="00DB3BE0"/>
    <w:rsid w:val="00DB4574"/>
    <w:rsid w:val="00DB4C96"/>
    <w:rsid w:val="00DB517F"/>
    <w:rsid w:val="00DB54CD"/>
    <w:rsid w:val="00DB6536"/>
    <w:rsid w:val="00DB6B3B"/>
    <w:rsid w:val="00DB6FF1"/>
    <w:rsid w:val="00DB7783"/>
    <w:rsid w:val="00DB7AC7"/>
    <w:rsid w:val="00DC2884"/>
    <w:rsid w:val="00DC2ACF"/>
    <w:rsid w:val="00DC3AA3"/>
    <w:rsid w:val="00DC3F98"/>
    <w:rsid w:val="00DC47C0"/>
    <w:rsid w:val="00DC4FE2"/>
    <w:rsid w:val="00DC5C9F"/>
    <w:rsid w:val="00DC6E15"/>
    <w:rsid w:val="00DC6F81"/>
    <w:rsid w:val="00DD0100"/>
    <w:rsid w:val="00DD02FE"/>
    <w:rsid w:val="00DD0C13"/>
    <w:rsid w:val="00DD1D9D"/>
    <w:rsid w:val="00DD278B"/>
    <w:rsid w:val="00DD29A6"/>
    <w:rsid w:val="00DD2AEF"/>
    <w:rsid w:val="00DD2DB3"/>
    <w:rsid w:val="00DD3317"/>
    <w:rsid w:val="00DD3398"/>
    <w:rsid w:val="00DD44C4"/>
    <w:rsid w:val="00DD4C1A"/>
    <w:rsid w:val="00DD5CB6"/>
    <w:rsid w:val="00DD6A08"/>
    <w:rsid w:val="00DD6B9D"/>
    <w:rsid w:val="00DD72EF"/>
    <w:rsid w:val="00DD73D2"/>
    <w:rsid w:val="00DD755C"/>
    <w:rsid w:val="00DD7893"/>
    <w:rsid w:val="00DE09E5"/>
    <w:rsid w:val="00DE0EB9"/>
    <w:rsid w:val="00DE1191"/>
    <w:rsid w:val="00DE142A"/>
    <w:rsid w:val="00DE1A7C"/>
    <w:rsid w:val="00DE1A92"/>
    <w:rsid w:val="00DE1E66"/>
    <w:rsid w:val="00DE2BF7"/>
    <w:rsid w:val="00DE4C0D"/>
    <w:rsid w:val="00DE4F14"/>
    <w:rsid w:val="00DE5FE9"/>
    <w:rsid w:val="00DE73A1"/>
    <w:rsid w:val="00DE7570"/>
    <w:rsid w:val="00DE7BA9"/>
    <w:rsid w:val="00DE7EFE"/>
    <w:rsid w:val="00DF070E"/>
    <w:rsid w:val="00DF15F3"/>
    <w:rsid w:val="00DF16F2"/>
    <w:rsid w:val="00DF1980"/>
    <w:rsid w:val="00DF1E01"/>
    <w:rsid w:val="00DF1EB0"/>
    <w:rsid w:val="00DF2ED9"/>
    <w:rsid w:val="00DF3A40"/>
    <w:rsid w:val="00DF3BED"/>
    <w:rsid w:val="00DF3EA3"/>
    <w:rsid w:val="00DF4806"/>
    <w:rsid w:val="00DF4EEB"/>
    <w:rsid w:val="00DF5D7C"/>
    <w:rsid w:val="00DF6818"/>
    <w:rsid w:val="00DF7EE5"/>
    <w:rsid w:val="00E00803"/>
    <w:rsid w:val="00E00ABF"/>
    <w:rsid w:val="00E02395"/>
    <w:rsid w:val="00E034CD"/>
    <w:rsid w:val="00E036CA"/>
    <w:rsid w:val="00E03AC2"/>
    <w:rsid w:val="00E046E4"/>
    <w:rsid w:val="00E04783"/>
    <w:rsid w:val="00E05198"/>
    <w:rsid w:val="00E0526A"/>
    <w:rsid w:val="00E05A6A"/>
    <w:rsid w:val="00E05BB2"/>
    <w:rsid w:val="00E05D70"/>
    <w:rsid w:val="00E06517"/>
    <w:rsid w:val="00E0660B"/>
    <w:rsid w:val="00E10DA4"/>
    <w:rsid w:val="00E1146E"/>
    <w:rsid w:val="00E11998"/>
    <w:rsid w:val="00E11E91"/>
    <w:rsid w:val="00E11F7C"/>
    <w:rsid w:val="00E12714"/>
    <w:rsid w:val="00E136E4"/>
    <w:rsid w:val="00E15728"/>
    <w:rsid w:val="00E15A67"/>
    <w:rsid w:val="00E15AB7"/>
    <w:rsid w:val="00E16401"/>
    <w:rsid w:val="00E1734F"/>
    <w:rsid w:val="00E17C66"/>
    <w:rsid w:val="00E201CF"/>
    <w:rsid w:val="00E20293"/>
    <w:rsid w:val="00E21A24"/>
    <w:rsid w:val="00E23234"/>
    <w:rsid w:val="00E2326F"/>
    <w:rsid w:val="00E234F9"/>
    <w:rsid w:val="00E23C58"/>
    <w:rsid w:val="00E23F8D"/>
    <w:rsid w:val="00E25E93"/>
    <w:rsid w:val="00E275D5"/>
    <w:rsid w:val="00E276A7"/>
    <w:rsid w:val="00E2786F"/>
    <w:rsid w:val="00E27B2F"/>
    <w:rsid w:val="00E3152B"/>
    <w:rsid w:val="00E316EA"/>
    <w:rsid w:val="00E31929"/>
    <w:rsid w:val="00E33584"/>
    <w:rsid w:val="00E337FC"/>
    <w:rsid w:val="00E3392E"/>
    <w:rsid w:val="00E35757"/>
    <w:rsid w:val="00E35E8E"/>
    <w:rsid w:val="00E36215"/>
    <w:rsid w:val="00E365D6"/>
    <w:rsid w:val="00E37F5F"/>
    <w:rsid w:val="00E40555"/>
    <w:rsid w:val="00E41D4B"/>
    <w:rsid w:val="00E42095"/>
    <w:rsid w:val="00E420F5"/>
    <w:rsid w:val="00E440FC"/>
    <w:rsid w:val="00E44BFB"/>
    <w:rsid w:val="00E46AA8"/>
    <w:rsid w:val="00E479B5"/>
    <w:rsid w:val="00E5020E"/>
    <w:rsid w:val="00E5024D"/>
    <w:rsid w:val="00E51662"/>
    <w:rsid w:val="00E51C37"/>
    <w:rsid w:val="00E51F06"/>
    <w:rsid w:val="00E522B0"/>
    <w:rsid w:val="00E522F2"/>
    <w:rsid w:val="00E52B39"/>
    <w:rsid w:val="00E53170"/>
    <w:rsid w:val="00E532F7"/>
    <w:rsid w:val="00E53B21"/>
    <w:rsid w:val="00E5451E"/>
    <w:rsid w:val="00E54537"/>
    <w:rsid w:val="00E54BF0"/>
    <w:rsid w:val="00E55839"/>
    <w:rsid w:val="00E564FC"/>
    <w:rsid w:val="00E56556"/>
    <w:rsid w:val="00E5667F"/>
    <w:rsid w:val="00E567E5"/>
    <w:rsid w:val="00E569E4"/>
    <w:rsid w:val="00E56EB5"/>
    <w:rsid w:val="00E56EF2"/>
    <w:rsid w:val="00E5749F"/>
    <w:rsid w:val="00E57E55"/>
    <w:rsid w:val="00E603D6"/>
    <w:rsid w:val="00E60711"/>
    <w:rsid w:val="00E60B3A"/>
    <w:rsid w:val="00E62082"/>
    <w:rsid w:val="00E625FF"/>
    <w:rsid w:val="00E6280F"/>
    <w:rsid w:val="00E62A3F"/>
    <w:rsid w:val="00E62D10"/>
    <w:rsid w:val="00E6403F"/>
    <w:rsid w:val="00E64744"/>
    <w:rsid w:val="00E6488D"/>
    <w:rsid w:val="00E650CC"/>
    <w:rsid w:val="00E656EA"/>
    <w:rsid w:val="00E65840"/>
    <w:rsid w:val="00E65F29"/>
    <w:rsid w:val="00E664BB"/>
    <w:rsid w:val="00E668A3"/>
    <w:rsid w:val="00E67380"/>
    <w:rsid w:val="00E67924"/>
    <w:rsid w:val="00E6793E"/>
    <w:rsid w:val="00E70029"/>
    <w:rsid w:val="00E71331"/>
    <w:rsid w:val="00E7176E"/>
    <w:rsid w:val="00E71811"/>
    <w:rsid w:val="00E719A8"/>
    <w:rsid w:val="00E72296"/>
    <w:rsid w:val="00E72519"/>
    <w:rsid w:val="00E726B9"/>
    <w:rsid w:val="00E735EF"/>
    <w:rsid w:val="00E74207"/>
    <w:rsid w:val="00E755F3"/>
    <w:rsid w:val="00E75960"/>
    <w:rsid w:val="00E7599B"/>
    <w:rsid w:val="00E76D4B"/>
    <w:rsid w:val="00E76FAC"/>
    <w:rsid w:val="00E77985"/>
    <w:rsid w:val="00E80298"/>
    <w:rsid w:val="00E80ACE"/>
    <w:rsid w:val="00E81604"/>
    <w:rsid w:val="00E819D2"/>
    <w:rsid w:val="00E826BC"/>
    <w:rsid w:val="00E82A71"/>
    <w:rsid w:val="00E82B0F"/>
    <w:rsid w:val="00E83246"/>
    <w:rsid w:val="00E832E3"/>
    <w:rsid w:val="00E8423A"/>
    <w:rsid w:val="00E845DC"/>
    <w:rsid w:val="00E8490C"/>
    <w:rsid w:val="00E84D2E"/>
    <w:rsid w:val="00E84E9C"/>
    <w:rsid w:val="00E84F1C"/>
    <w:rsid w:val="00E859B4"/>
    <w:rsid w:val="00E86598"/>
    <w:rsid w:val="00E870DF"/>
    <w:rsid w:val="00E879B8"/>
    <w:rsid w:val="00E87A68"/>
    <w:rsid w:val="00E87C69"/>
    <w:rsid w:val="00E87C97"/>
    <w:rsid w:val="00E902BD"/>
    <w:rsid w:val="00E90422"/>
    <w:rsid w:val="00E91BF7"/>
    <w:rsid w:val="00E922BD"/>
    <w:rsid w:val="00E93529"/>
    <w:rsid w:val="00E93E21"/>
    <w:rsid w:val="00E940E1"/>
    <w:rsid w:val="00E94150"/>
    <w:rsid w:val="00E952F7"/>
    <w:rsid w:val="00E970A7"/>
    <w:rsid w:val="00E975ED"/>
    <w:rsid w:val="00EA03E7"/>
    <w:rsid w:val="00EA04FE"/>
    <w:rsid w:val="00EA0F22"/>
    <w:rsid w:val="00EA118E"/>
    <w:rsid w:val="00EA17B8"/>
    <w:rsid w:val="00EA19FE"/>
    <w:rsid w:val="00EA2420"/>
    <w:rsid w:val="00EA268F"/>
    <w:rsid w:val="00EA2756"/>
    <w:rsid w:val="00EA2AB7"/>
    <w:rsid w:val="00EA2EE7"/>
    <w:rsid w:val="00EA3726"/>
    <w:rsid w:val="00EA3D01"/>
    <w:rsid w:val="00EA4E51"/>
    <w:rsid w:val="00EA565A"/>
    <w:rsid w:val="00EA6DFC"/>
    <w:rsid w:val="00EA6FB2"/>
    <w:rsid w:val="00EA7D6B"/>
    <w:rsid w:val="00EB0871"/>
    <w:rsid w:val="00EB16B0"/>
    <w:rsid w:val="00EB28D2"/>
    <w:rsid w:val="00EB2D15"/>
    <w:rsid w:val="00EB496A"/>
    <w:rsid w:val="00EB4E20"/>
    <w:rsid w:val="00EB4E9B"/>
    <w:rsid w:val="00EB695F"/>
    <w:rsid w:val="00EB6AA3"/>
    <w:rsid w:val="00EB771B"/>
    <w:rsid w:val="00EB7A50"/>
    <w:rsid w:val="00EC00FF"/>
    <w:rsid w:val="00EC0196"/>
    <w:rsid w:val="00EC05A0"/>
    <w:rsid w:val="00EC09EE"/>
    <w:rsid w:val="00EC0CBC"/>
    <w:rsid w:val="00EC1A74"/>
    <w:rsid w:val="00EC2793"/>
    <w:rsid w:val="00EC41B5"/>
    <w:rsid w:val="00EC41CA"/>
    <w:rsid w:val="00EC492C"/>
    <w:rsid w:val="00EC59C5"/>
    <w:rsid w:val="00EC5BE1"/>
    <w:rsid w:val="00EC6931"/>
    <w:rsid w:val="00EC710E"/>
    <w:rsid w:val="00EC764C"/>
    <w:rsid w:val="00ED1604"/>
    <w:rsid w:val="00ED2B81"/>
    <w:rsid w:val="00ED2BCC"/>
    <w:rsid w:val="00ED2E27"/>
    <w:rsid w:val="00ED3433"/>
    <w:rsid w:val="00ED4151"/>
    <w:rsid w:val="00ED43CA"/>
    <w:rsid w:val="00ED4688"/>
    <w:rsid w:val="00ED4A52"/>
    <w:rsid w:val="00ED4CEF"/>
    <w:rsid w:val="00ED4EDB"/>
    <w:rsid w:val="00ED53FB"/>
    <w:rsid w:val="00ED5A28"/>
    <w:rsid w:val="00ED5B63"/>
    <w:rsid w:val="00ED5CCE"/>
    <w:rsid w:val="00ED6350"/>
    <w:rsid w:val="00ED63EF"/>
    <w:rsid w:val="00ED6EF5"/>
    <w:rsid w:val="00ED7017"/>
    <w:rsid w:val="00ED75C5"/>
    <w:rsid w:val="00EE04A8"/>
    <w:rsid w:val="00EE0D38"/>
    <w:rsid w:val="00EE12AC"/>
    <w:rsid w:val="00EE1858"/>
    <w:rsid w:val="00EE1D89"/>
    <w:rsid w:val="00EE2863"/>
    <w:rsid w:val="00EE3ACA"/>
    <w:rsid w:val="00EE3AE1"/>
    <w:rsid w:val="00EE41B1"/>
    <w:rsid w:val="00EE421C"/>
    <w:rsid w:val="00EE436E"/>
    <w:rsid w:val="00EE4726"/>
    <w:rsid w:val="00EE58FB"/>
    <w:rsid w:val="00EE666A"/>
    <w:rsid w:val="00EE77B8"/>
    <w:rsid w:val="00EE7C12"/>
    <w:rsid w:val="00EF06D9"/>
    <w:rsid w:val="00EF12FE"/>
    <w:rsid w:val="00EF1568"/>
    <w:rsid w:val="00EF204C"/>
    <w:rsid w:val="00EF224C"/>
    <w:rsid w:val="00EF2301"/>
    <w:rsid w:val="00EF267B"/>
    <w:rsid w:val="00EF29C4"/>
    <w:rsid w:val="00EF33D5"/>
    <w:rsid w:val="00EF3896"/>
    <w:rsid w:val="00EF42D4"/>
    <w:rsid w:val="00EF4B8D"/>
    <w:rsid w:val="00EF5166"/>
    <w:rsid w:val="00EF5720"/>
    <w:rsid w:val="00EF5D57"/>
    <w:rsid w:val="00EF657B"/>
    <w:rsid w:val="00EF6F4B"/>
    <w:rsid w:val="00EF71C3"/>
    <w:rsid w:val="00EF7FF6"/>
    <w:rsid w:val="00F001B1"/>
    <w:rsid w:val="00F0091B"/>
    <w:rsid w:val="00F00AE0"/>
    <w:rsid w:val="00F00BA4"/>
    <w:rsid w:val="00F00FED"/>
    <w:rsid w:val="00F03001"/>
    <w:rsid w:val="00F04B9E"/>
    <w:rsid w:val="00F07167"/>
    <w:rsid w:val="00F072B3"/>
    <w:rsid w:val="00F07716"/>
    <w:rsid w:val="00F106B9"/>
    <w:rsid w:val="00F11515"/>
    <w:rsid w:val="00F117EF"/>
    <w:rsid w:val="00F12528"/>
    <w:rsid w:val="00F130D2"/>
    <w:rsid w:val="00F13113"/>
    <w:rsid w:val="00F13960"/>
    <w:rsid w:val="00F1502A"/>
    <w:rsid w:val="00F15168"/>
    <w:rsid w:val="00F15BAB"/>
    <w:rsid w:val="00F16775"/>
    <w:rsid w:val="00F200D9"/>
    <w:rsid w:val="00F2056F"/>
    <w:rsid w:val="00F207F7"/>
    <w:rsid w:val="00F20D17"/>
    <w:rsid w:val="00F215BD"/>
    <w:rsid w:val="00F21DA9"/>
    <w:rsid w:val="00F22429"/>
    <w:rsid w:val="00F2296D"/>
    <w:rsid w:val="00F22FB3"/>
    <w:rsid w:val="00F235C2"/>
    <w:rsid w:val="00F2427E"/>
    <w:rsid w:val="00F2482D"/>
    <w:rsid w:val="00F24A33"/>
    <w:rsid w:val="00F25B89"/>
    <w:rsid w:val="00F2602F"/>
    <w:rsid w:val="00F26828"/>
    <w:rsid w:val="00F268A7"/>
    <w:rsid w:val="00F26DAD"/>
    <w:rsid w:val="00F27797"/>
    <w:rsid w:val="00F30534"/>
    <w:rsid w:val="00F30BD3"/>
    <w:rsid w:val="00F30F10"/>
    <w:rsid w:val="00F321CE"/>
    <w:rsid w:val="00F32564"/>
    <w:rsid w:val="00F325EA"/>
    <w:rsid w:val="00F32FE8"/>
    <w:rsid w:val="00F34015"/>
    <w:rsid w:val="00F34739"/>
    <w:rsid w:val="00F3639B"/>
    <w:rsid w:val="00F3715C"/>
    <w:rsid w:val="00F37721"/>
    <w:rsid w:val="00F40A98"/>
    <w:rsid w:val="00F415B9"/>
    <w:rsid w:val="00F41B28"/>
    <w:rsid w:val="00F4452D"/>
    <w:rsid w:val="00F445EA"/>
    <w:rsid w:val="00F44D30"/>
    <w:rsid w:val="00F45581"/>
    <w:rsid w:val="00F45C2C"/>
    <w:rsid w:val="00F46743"/>
    <w:rsid w:val="00F467BF"/>
    <w:rsid w:val="00F47172"/>
    <w:rsid w:val="00F47440"/>
    <w:rsid w:val="00F50FF6"/>
    <w:rsid w:val="00F510A9"/>
    <w:rsid w:val="00F51B13"/>
    <w:rsid w:val="00F51B5C"/>
    <w:rsid w:val="00F5226F"/>
    <w:rsid w:val="00F5248A"/>
    <w:rsid w:val="00F53246"/>
    <w:rsid w:val="00F547CF"/>
    <w:rsid w:val="00F55674"/>
    <w:rsid w:val="00F55B54"/>
    <w:rsid w:val="00F55CA1"/>
    <w:rsid w:val="00F566E7"/>
    <w:rsid w:val="00F56F92"/>
    <w:rsid w:val="00F571AB"/>
    <w:rsid w:val="00F601B0"/>
    <w:rsid w:val="00F6061A"/>
    <w:rsid w:val="00F6184D"/>
    <w:rsid w:val="00F61B35"/>
    <w:rsid w:val="00F622A1"/>
    <w:rsid w:val="00F62B06"/>
    <w:rsid w:val="00F62B2D"/>
    <w:rsid w:val="00F63278"/>
    <w:rsid w:val="00F635DC"/>
    <w:rsid w:val="00F63E10"/>
    <w:rsid w:val="00F65C5F"/>
    <w:rsid w:val="00F65D41"/>
    <w:rsid w:val="00F66693"/>
    <w:rsid w:val="00F66ACD"/>
    <w:rsid w:val="00F66E32"/>
    <w:rsid w:val="00F71923"/>
    <w:rsid w:val="00F719B2"/>
    <w:rsid w:val="00F71EE9"/>
    <w:rsid w:val="00F72011"/>
    <w:rsid w:val="00F722D0"/>
    <w:rsid w:val="00F728E5"/>
    <w:rsid w:val="00F72FE0"/>
    <w:rsid w:val="00F736AC"/>
    <w:rsid w:val="00F73E2C"/>
    <w:rsid w:val="00F7496A"/>
    <w:rsid w:val="00F7503A"/>
    <w:rsid w:val="00F7525D"/>
    <w:rsid w:val="00F75956"/>
    <w:rsid w:val="00F7671F"/>
    <w:rsid w:val="00F76C69"/>
    <w:rsid w:val="00F77C56"/>
    <w:rsid w:val="00F80328"/>
    <w:rsid w:val="00F80E16"/>
    <w:rsid w:val="00F81BEC"/>
    <w:rsid w:val="00F82AB7"/>
    <w:rsid w:val="00F82D9C"/>
    <w:rsid w:val="00F83EC8"/>
    <w:rsid w:val="00F846E0"/>
    <w:rsid w:val="00F84707"/>
    <w:rsid w:val="00F85795"/>
    <w:rsid w:val="00F8591C"/>
    <w:rsid w:val="00F8598F"/>
    <w:rsid w:val="00F85B6A"/>
    <w:rsid w:val="00F913B5"/>
    <w:rsid w:val="00F918C2"/>
    <w:rsid w:val="00F91903"/>
    <w:rsid w:val="00F91999"/>
    <w:rsid w:val="00F9224D"/>
    <w:rsid w:val="00F925BF"/>
    <w:rsid w:val="00F927BC"/>
    <w:rsid w:val="00F95F88"/>
    <w:rsid w:val="00F9672C"/>
    <w:rsid w:val="00F96FC4"/>
    <w:rsid w:val="00FA0129"/>
    <w:rsid w:val="00FA0904"/>
    <w:rsid w:val="00FA0D30"/>
    <w:rsid w:val="00FA31EE"/>
    <w:rsid w:val="00FA350F"/>
    <w:rsid w:val="00FA4050"/>
    <w:rsid w:val="00FA405B"/>
    <w:rsid w:val="00FA479C"/>
    <w:rsid w:val="00FA4BA7"/>
    <w:rsid w:val="00FA532C"/>
    <w:rsid w:val="00FA6A69"/>
    <w:rsid w:val="00FA6B05"/>
    <w:rsid w:val="00FA7964"/>
    <w:rsid w:val="00FB0018"/>
    <w:rsid w:val="00FB0722"/>
    <w:rsid w:val="00FB0E9A"/>
    <w:rsid w:val="00FB1392"/>
    <w:rsid w:val="00FB142B"/>
    <w:rsid w:val="00FB1767"/>
    <w:rsid w:val="00FB29BC"/>
    <w:rsid w:val="00FB4D4A"/>
    <w:rsid w:val="00FB4EDC"/>
    <w:rsid w:val="00FB535E"/>
    <w:rsid w:val="00FB58E8"/>
    <w:rsid w:val="00FB5DEF"/>
    <w:rsid w:val="00FB713D"/>
    <w:rsid w:val="00FB7F18"/>
    <w:rsid w:val="00FC0C0B"/>
    <w:rsid w:val="00FC16FA"/>
    <w:rsid w:val="00FC1CB3"/>
    <w:rsid w:val="00FC2FB3"/>
    <w:rsid w:val="00FC3019"/>
    <w:rsid w:val="00FC3FFB"/>
    <w:rsid w:val="00FC4251"/>
    <w:rsid w:val="00FC4A8F"/>
    <w:rsid w:val="00FC4B87"/>
    <w:rsid w:val="00FC58EC"/>
    <w:rsid w:val="00FC5B42"/>
    <w:rsid w:val="00FC643E"/>
    <w:rsid w:val="00FC6554"/>
    <w:rsid w:val="00FC74FD"/>
    <w:rsid w:val="00FC750D"/>
    <w:rsid w:val="00FC75FE"/>
    <w:rsid w:val="00FC7A9E"/>
    <w:rsid w:val="00FC7F50"/>
    <w:rsid w:val="00FD0A0D"/>
    <w:rsid w:val="00FD5117"/>
    <w:rsid w:val="00FD5444"/>
    <w:rsid w:val="00FD7599"/>
    <w:rsid w:val="00FD7723"/>
    <w:rsid w:val="00FD78DD"/>
    <w:rsid w:val="00FD7B30"/>
    <w:rsid w:val="00FE0D36"/>
    <w:rsid w:val="00FE1967"/>
    <w:rsid w:val="00FE2A02"/>
    <w:rsid w:val="00FE37CE"/>
    <w:rsid w:val="00FE5622"/>
    <w:rsid w:val="00FE5947"/>
    <w:rsid w:val="00FE6751"/>
    <w:rsid w:val="00FE6A18"/>
    <w:rsid w:val="00FE7750"/>
    <w:rsid w:val="00FF17F4"/>
    <w:rsid w:val="00FF2770"/>
    <w:rsid w:val="00FF43DE"/>
    <w:rsid w:val="00FF4A89"/>
    <w:rsid w:val="00FF51AB"/>
    <w:rsid w:val="00FF553E"/>
    <w:rsid w:val="00FF559D"/>
    <w:rsid w:val="00FF56A4"/>
    <w:rsid w:val="00FF576C"/>
    <w:rsid w:val="00FF5A03"/>
    <w:rsid w:val="00FF6C32"/>
    <w:rsid w:val="00FF74B4"/>
    <w:rsid w:val="00FF7688"/>
    <w:rsid w:val="00FF76BC"/>
    <w:rsid w:val="00FF7DFD"/>
    <w:rsid w:val="00FF7EE9"/>
    <w:rsid w:val="00FF7F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5246FB"/>
  <w15:chartTrackingRefBased/>
  <w15:docId w15:val="{054D65F6-2946-4DFB-9A17-4CBD8A15B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07B46"/>
    <w:rPr>
      <w:rFonts w:ascii="Times New Roman" w:eastAsia="Times New Roman" w:hAnsi="Times New Roman"/>
      <w:sz w:val="24"/>
      <w:szCs w:val="24"/>
      <w:lang w:val="uk-UA"/>
    </w:rPr>
  </w:style>
  <w:style w:type="paragraph" w:styleId="1">
    <w:name w:val="heading 1"/>
    <w:basedOn w:val="a"/>
    <w:link w:val="10"/>
    <w:uiPriority w:val="9"/>
    <w:qFormat/>
    <w:rsid w:val="00207B46"/>
    <w:pPr>
      <w:spacing w:before="100" w:beforeAutospacing="1" w:after="100" w:afterAutospacing="1"/>
      <w:outlineLvl w:val="0"/>
    </w:pPr>
    <w:rPr>
      <w:b/>
      <w:bCs/>
      <w:kern w:val="36"/>
      <w:sz w:val="48"/>
      <w:szCs w:val="48"/>
      <w:lang w:val="x-none" w:eastAsia="x-none"/>
    </w:rPr>
  </w:style>
  <w:style w:type="paragraph" w:styleId="2">
    <w:name w:val="heading 2"/>
    <w:basedOn w:val="a"/>
    <w:next w:val="a"/>
    <w:link w:val="20"/>
    <w:qFormat/>
    <w:rsid w:val="00207B46"/>
    <w:pPr>
      <w:keepNext/>
      <w:spacing w:before="240" w:after="60"/>
      <w:outlineLvl w:val="1"/>
    </w:pPr>
    <w:rPr>
      <w:rFonts w:ascii="Arial" w:hAnsi="Arial"/>
      <w:b/>
      <w:bCs/>
      <w:i/>
      <w:iCs/>
      <w:sz w:val="28"/>
      <w:szCs w:val="28"/>
    </w:rPr>
  </w:style>
  <w:style w:type="paragraph" w:styleId="3">
    <w:name w:val="heading 3"/>
    <w:basedOn w:val="a"/>
    <w:next w:val="a"/>
    <w:link w:val="30"/>
    <w:uiPriority w:val="9"/>
    <w:qFormat/>
    <w:rsid w:val="00CC1E8F"/>
    <w:pPr>
      <w:keepNext/>
      <w:jc w:val="center"/>
      <w:outlineLvl w:val="2"/>
    </w:pPr>
    <w:rPr>
      <w:sz w:val="28"/>
      <w:szCs w:val="20"/>
    </w:rPr>
  </w:style>
  <w:style w:type="paragraph" w:styleId="4">
    <w:name w:val="heading 4"/>
    <w:basedOn w:val="a"/>
    <w:next w:val="a"/>
    <w:link w:val="40"/>
    <w:uiPriority w:val="9"/>
    <w:qFormat/>
    <w:rsid w:val="00207B46"/>
    <w:pPr>
      <w:keepNext/>
      <w:spacing w:before="240" w:after="60"/>
      <w:outlineLvl w:val="3"/>
    </w:pPr>
    <w:rPr>
      <w:b/>
      <w:bCs/>
      <w:sz w:val="28"/>
      <w:szCs w:val="28"/>
    </w:rPr>
  </w:style>
  <w:style w:type="paragraph" w:styleId="5">
    <w:name w:val="heading 5"/>
    <w:basedOn w:val="a"/>
    <w:next w:val="a"/>
    <w:link w:val="50"/>
    <w:qFormat/>
    <w:rsid w:val="00207B46"/>
    <w:pPr>
      <w:spacing w:before="240" w:after="60"/>
      <w:outlineLvl w:val="4"/>
    </w:pPr>
    <w:rPr>
      <w:b/>
      <w:bCs/>
      <w:i/>
      <w:iCs/>
      <w:sz w:val="26"/>
      <w:szCs w:val="26"/>
    </w:rPr>
  </w:style>
  <w:style w:type="paragraph" w:styleId="6">
    <w:name w:val="heading 6"/>
    <w:basedOn w:val="a"/>
    <w:next w:val="a"/>
    <w:link w:val="60"/>
    <w:uiPriority w:val="99"/>
    <w:qFormat/>
    <w:rsid w:val="00207B46"/>
    <w:pPr>
      <w:spacing w:before="240" w:after="6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07B46"/>
    <w:rPr>
      <w:rFonts w:ascii="Times New Roman" w:eastAsia="Times New Roman" w:hAnsi="Times New Roman" w:cs="Times New Roman"/>
      <w:b/>
      <w:bCs/>
      <w:kern w:val="36"/>
      <w:sz w:val="48"/>
      <w:szCs w:val="48"/>
      <w:lang w:val="x-none" w:eastAsia="x-none"/>
    </w:rPr>
  </w:style>
  <w:style w:type="character" w:customStyle="1" w:styleId="20">
    <w:name w:val="Заголовок 2 Знак"/>
    <w:link w:val="2"/>
    <w:rsid w:val="00207B46"/>
    <w:rPr>
      <w:rFonts w:ascii="Arial" w:eastAsia="Times New Roman" w:hAnsi="Arial" w:cs="Arial"/>
      <w:b/>
      <w:bCs/>
      <w:i/>
      <w:iCs/>
      <w:sz w:val="28"/>
      <w:szCs w:val="28"/>
      <w:lang w:val="uk-UA" w:eastAsia="ru-RU"/>
    </w:rPr>
  </w:style>
  <w:style w:type="character" w:customStyle="1" w:styleId="60">
    <w:name w:val="Заголовок 6 Знак"/>
    <w:link w:val="6"/>
    <w:uiPriority w:val="99"/>
    <w:rsid w:val="00207B46"/>
    <w:rPr>
      <w:rFonts w:ascii="Times New Roman" w:eastAsia="Times New Roman" w:hAnsi="Times New Roman" w:cs="Times New Roman"/>
      <w:b/>
      <w:bCs/>
      <w:lang w:val="uk-UA" w:eastAsia="ru-RU"/>
    </w:rPr>
  </w:style>
  <w:style w:type="character" w:customStyle="1" w:styleId="40">
    <w:name w:val="Заголовок 4 Знак"/>
    <w:link w:val="4"/>
    <w:uiPriority w:val="9"/>
    <w:rsid w:val="00207B46"/>
    <w:rPr>
      <w:rFonts w:ascii="Times New Roman" w:eastAsia="Times New Roman" w:hAnsi="Times New Roman" w:cs="Times New Roman"/>
      <w:b/>
      <w:bCs/>
      <w:sz w:val="28"/>
      <w:szCs w:val="28"/>
      <w:lang w:val="uk-UA" w:eastAsia="ru-RU"/>
    </w:rPr>
  </w:style>
  <w:style w:type="character" w:customStyle="1" w:styleId="50">
    <w:name w:val="Заголовок 5 Знак"/>
    <w:link w:val="5"/>
    <w:rsid w:val="00207B46"/>
    <w:rPr>
      <w:rFonts w:ascii="Times New Roman" w:eastAsia="Times New Roman" w:hAnsi="Times New Roman" w:cs="Times New Roman"/>
      <w:b/>
      <w:bCs/>
      <w:i/>
      <w:iCs/>
      <w:sz w:val="26"/>
      <w:szCs w:val="26"/>
      <w:lang w:val="uk-UA" w:eastAsia="ru-RU"/>
    </w:rPr>
  </w:style>
  <w:style w:type="character" w:styleId="a3">
    <w:name w:val="Strong"/>
    <w:uiPriority w:val="22"/>
    <w:qFormat/>
    <w:rsid w:val="00207B46"/>
    <w:rPr>
      <w:b/>
      <w:bCs/>
    </w:rPr>
  </w:style>
  <w:style w:type="character" w:customStyle="1" w:styleId="apple-converted-space">
    <w:name w:val="apple-converted-space"/>
    <w:basedOn w:val="a0"/>
    <w:rsid w:val="00207B46"/>
  </w:style>
  <w:style w:type="paragraph" w:styleId="a4">
    <w:name w:val="Normal (Web)"/>
    <w:basedOn w:val="a"/>
    <w:uiPriority w:val="99"/>
    <w:rsid w:val="00207B46"/>
    <w:pPr>
      <w:spacing w:before="100" w:beforeAutospacing="1" w:after="100" w:afterAutospacing="1"/>
    </w:pPr>
    <w:rPr>
      <w:lang w:val="ru-RU"/>
    </w:rPr>
  </w:style>
  <w:style w:type="character" w:styleId="a5">
    <w:name w:val="Hyperlink"/>
    <w:uiPriority w:val="99"/>
    <w:rsid w:val="00207B46"/>
    <w:rPr>
      <w:color w:val="0000FF"/>
      <w:u w:val="single"/>
    </w:rPr>
  </w:style>
  <w:style w:type="character" w:customStyle="1" w:styleId="FontStyle12">
    <w:name w:val="Font Style12"/>
    <w:rsid w:val="00207B46"/>
    <w:rPr>
      <w:rFonts w:ascii="Times New Roman" w:hAnsi="Times New Roman" w:cs="Times New Roman"/>
      <w:b/>
      <w:bCs/>
      <w:sz w:val="24"/>
      <w:szCs w:val="24"/>
    </w:rPr>
  </w:style>
  <w:style w:type="paragraph" w:styleId="a6">
    <w:name w:val="Title"/>
    <w:aliases w:val="Название,Заголовок1,Title"/>
    <w:basedOn w:val="a"/>
    <w:link w:val="a7"/>
    <w:uiPriority w:val="10"/>
    <w:qFormat/>
    <w:rsid w:val="00207B46"/>
    <w:pPr>
      <w:jc w:val="center"/>
    </w:pPr>
    <w:rPr>
      <w:b/>
      <w:sz w:val="28"/>
      <w:szCs w:val="20"/>
      <w:lang w:val="x-none"/>
    </w:rPr>
  </w:style>
  <w:style w:type="character" w:customStyle="1" w:styleId="a7">
    <w:name w:val="Заголовок Знак"/>
    <w:aliases w:val="Название Знак,Заголовок1 Знак,Title Знак"/>
    <w:link w:val="a6"/>
    <w:uiPriority w:val="10"/>
    <w:rsid w:val="00207B46"/>
    <w:rPr>
      <w:rFonts w:ascii="Times New Roman" w:eastAsia="Times New Roman" w:hAnsi="Times New Roman" w:cs="Times New Roman"/>
      <w:b/>
      <w:sz w:val="28"/>
      <w:szCs w:val="20"/>
      <w:lang w:eastAsia="ru-RU"/>
    </w:rPr>
  </w:style>
  <w:style w:type="paragraph" w:customStyle="1" w:styleId="a8">
    <w:name w:val="ГОСТ"/>
    <w:basedOn w:val="a"/>
    <w:uiPriority w:val="99"/>
    <w:rsid w:val="00207B46"/>
    <w:pPr>
      <w:widowControl w:val="0"/>
      <w:spacing w:line="480" w:lineRule="atLeast"/>
      <w:ind w:firstLine="720"/>
      <w:jc w:val="both"/>
    </w:pPr>
    <w:rPr>
      <w:sz w:val="28"/>
      <w:szCs w:val="20"/>
      <w:lang w:val="ru-RU"/>
    </w:rPr>
  </w:style>
  <w:style w:type="character" w:customStyle="1" w:styleId="21">
    <w:name w:val="Основной текст 2 Знак"/>
    <w:link w:val="22"/>
    <w:rsid w:val="00207B46"/>
    <w:rPr>
      <w:rFonts w:ascii="Times New Roman" w:eastAsia="Times New Roman" w:hAnsi="Times New Roman" w:cs="Times New Roman"/>
      <w:sz w:val="28"/>
      <w:szCs w:val="28"/>
      <w:lang w:eastAsia="ru-RU"/>
    </w:rPr>
  </w:style>
  <w:style w:type="paragraph" w:styleId="22">
    <w:name w:val="Body Text 2"/>
    <w:basedOn w:val="a"/>
    <w:link w:val="21"/>
    <w:rsid w:val="00207B46"/>
    <w:pPr>
      <w:ind w:firstLine="709"/>
      <w:jc w:val="both"/>
    </w:pPr>
    <w:rPr>
      <w:sz w:val="28"/>
      <w:szCs w:val="28"/>
      <w:lang w:val="x-none"/>
    </w:rPr>
  </w:style>
  <w:style w:type="paragraph" w:styleId="23">
    <w:name w:val="Body Text Indent 2"/>
    <w:basedOn w:val="a"/>
    <w:link w:val="24"/>
    <w:rsid w:val="00207B46"/>
    <w:pPr>
      <w:spacing w:line="360" w:lineRule="auto"/>
      <w:ind w:firstLine="708"/>
      <w:jc w:val="both"/>
    </w:pPr>
    <w:rPr>
      <w:b/>
      <w:bCs/>
      <w:sz w:val="28"/>
      <w:szCs w:val="28"/>
      <w:lang w:val="x-none"/>
    </w:rPr>
  </w:style>
  <w:style w:type="character" w:customStyle="1" w:styleId="24">
    <w:name w:val="Основной текст с отступом 2 Знак"/>
    <w:link w:val="23"/>
    <w:rsid w:val="00207B46"/>
    <w:rPr>
      <w:rFonts w:ascii="Times New Roman" w:eastAsia="Times New Roman" w:hAnsi="Times New Roman" w:cs="Times New Roman"/>
      <w:b/>
      <w:bCs/>
      <w:sz w:val="28"/>
      <w:szCs w:val="28"/>
      <w:lang w:eastAsia="ru-RU"/>
    </w:rPr>
  </w:style>
  <w:style w:type="character" w:customStyle="1" w:styleId="a9">
    <w:name w:val="Текст выноски Знак"/>
    <w:link w:val="aa"/>
    <w:uiPriority w:val="99"/>
    <w:rsid w:val="00207B46"/>
    <w:rPr>
      <w:rFonts w:ascii="Tahoma" w:eastAsia="Times New Roman" w:hAnsi="Tahoma" w:cs="Tahoma"/>
      <w:sz w:val="16"/>
      <w:szCs w:val="16"/>
      <w:lang w:eastAsia="ru-RU"/>
    </w:rPr>
  </w:style>
  <w:style w:type="paragraph" w:styleId="aa">
    <w:name w:val="Balloon Text"/>
    <w:basedOn w:val="a"/>
    <w:link w:val="a9"/>
    <w:uiPriority w:val="99"/>
    <w:rsid w:val="00207B46"/>
    <w:rPr>
      <w:rFonts w:ascii="Tahoma" w:hAnsi="Tahoma"/>
      <w:sz w:val="16"/>
      <w:szCs w:val="16"/>
      <w:lang w:val="x-none"/>
    </w:rPr>
  </w:style>
  <w:style w:type="character" w:customStyle="1" w:styleId="ab">
    <w:name w:val="Знак Знак"/>
    <w:rsid w:val="00207B46"/>
    <w:rPr>
      <w:b/>
      <w:sz w:val="28"/>
      <w:lang w:val="ru-RU" w:eastAsia="ru-RU" w:bidi="ar-SA"/>
    </w:rPr>
  </w:style>
  <w:style w:type="character" w:customStyle="1" w:styleId="hps">
    <w:name w:val="hps"/>
    <w:rsid w:val="00207B46"/>
    <w:rPr>
      <w:rFonts w:cs="Times New Roman"/>
    </w:rPr>
  </w:style>
  <w:style w:type="paragraph" w:customStyle="1" w:styleId="Style2">
    <w:name w:val="Style2"/>
    <w:basedOn w:val="a"/>
    <w:rsid w:val="00207B46"/>
    <w:pPr>
      <w:widowControl w:val="0"/>
      <w:autoSpaceDE w:val="0"/>
      <w:autoSpaceDN w:val="0"/>
      <w:adjustRightInd w:val="0"/>
    </w:pPr>
    <w:rPr>
      <w:rFonts w:ascii="Garamond" w:hAnsi="Garamond"/>
      <w:lang w:val="ru-RU"/>
    </w:rPr>
  </w:style>
  <w:style w:type="character" w:styleId="ac">
    <w:name w:val="Emphasis"/>
    <w:uiPriority w:val="20"/>
    <w:qFormat/>
    <w:rsid w:val="00207B46"/>
    <w:rPr>
      <w:i/>
      <w:iCs/>
    </w:rPr>
  </w:style>
  <w:style w:type="character" w:styleId="HTML">
    <w:name w:val="HTML Cite"/>
    <w:uiPriority w:val="99"/>
    <w:rsid w:val="00207B46"/>
    <w:rPr>
      <w:i/>
      <w:iCs/>
    </w:rPr>
  </w:style>
  <w:style w:type="character" w:customStyle="1" w:styleId="ad">
    <w:name w:val="Верхний колонтитул Знак"/>
    <w:link w:val="ae"/>
    <w:uiPriority w:val="99"/>
    <w:rsid w:val="00207B46"/>
    <w:rPr>
      <w:rFonts w:ascii="Times New Roman" w:eastAsia="Times New Roman" w:hAnsi="Times New Roman" w:cs="Times New Roman"/>
      <w:sz w:val="28"/>
      <w:szCs w:val="20"/>
      <w:lang w:eastAsia="ru-RU"/>
    </w:rPr>
  </w:style>
  <w:style w:type="paragraph" w:styleId="ae">
    <w:name w:val="header"/>
    <w:basedOn w:val="a"/>
    <w:link w:val="ad"/>
    <w:uiPriority w:val="99"/>
    <w:rsid w:val="00207B46"/>
    <w:pPr>
      <w:tabs>
        <w:tab w:val="center" w:pos="4153"/>
        <w:tab w:val="right" w:pos="8306"/>
      </w:tabs>
    </w:pPr>
    <w:rPr>
      <w:sz w:val="28"/>
      <w:szCs w:val="20"/>
      <w:lang w:val="x-none"/>
    </w:rPr>
  </w:style>
  <w:style w:type="character" w:styleId="af">
    <w:name w:val="FollowedHyperlink"/>
    <w:uiPriority w:val="99"/>
    <w:rsid w:val="00207B46"/>
    <w:rPr>
      <w:color w:val="800080"/>
      <w:u w:val="single"/>
    </w:rPr>
  </w:style>
  <w:style w:type="character" w:customStyle="1" w:styleId="af0">
    <w:name w:val="Основной текст Знак"/>
    <w:link w:val="af1"/>
    <w:uiPriority w:val="99"/>
    <w:rsid w:val="00207B46"/>
    <w:rPr>
      <w:rFonts w:ascii="Times New Roman" w:eastAsia="Times New Roman" w:hAnsi="Times New Roman" w:cs="Times New Roman"/>
      <w:sz w:val="24"/>
      <w:szCs w:val="24"/>
      <w:lang w:eastAsia="ru-RU"/>
    </w:rPr>
  </w:style>
  <w:style w:type="paragraph" w:styleId="af1">
    <w:name w:val="Body Text"/>
    <w:basedOn w:val="a"/>
    <w:link w:val="af0"/>
    <w:uiPriority w:val="99"/>
    <w:rsid w:val="00207B46"/>
    <w:pPr>
      <w:spacing w:after="120"/>
    </w:pPr>
    <w:rPr>
      <w:lang w:val="x-none"/>
    </w:rPr>
  </w:style>
  <w:style w:type="character" w:customStyle="1" w:styleId="st1">
    <w:name w:val="st1"/>
    <w:rsid w:val="00207B46"/>
  </w:style>
  <w:style w:type="character" w:customStyle="1" w:styleId="11">
    <w:name w:val="Заголовок №1_"/>
    <w:link w:val="12"/>
    <w:rsid w:val="00207B46"/>
    <w:rPr>
      <w:sz w:val="28"/>
      <w:szCs w:val="28"/>
      <w:shd w:val="clear" w:color="auto" w:fill="FFFFFF"/>
    </w:rPr>
  </w:style>
  <w:style w:type="paragraph" w:customStyle="1" w:styleId="12">
    <w:name w:val="Заголовок №1"/>
    <w:basedOn w:val="a"/>
    <w:link w:val="11"/>
    <w:rsid w:val="00207B46"/>
    <w:pPr>
      <w:shd w:val="clear" w:color="auto" w:fill="FFFFFF"/>
      <w:spacing w:before="240" w:line="240" w:lineRule="atLeast"/>
      <w:outlineLvl w:val="0"/>
    </w:pPr>
    <w:rPr>
      <w:rFonts w:ascii="Calibri" w:eastAsia="Calibri" w:hAnsi="Calibri"/>
      <w:sz w:val="28"/>
      <w:szCs w:val="28"/>
      <w:lang w:val="x-none" w:eastAsia="x-none"/>
    </w:rPr>
  </w:style>
  <w:style w:type="character" w:customStyle="1" w:styleId="11pt">
    <w:name w:val="Заголовок №1 + Интервал 1 pt"/>
    <w:rsid w:val="00207B46"/>
    <w:rPr>
      <w:spacing w:val="30"/>
      <w:sz w:val="28"/>
      <w:szCs w:val="28"/>
      <w:lang w:bidi="ar-SA"/>
    </w:rPr>
  </w:style>
  <w:style w:type="character" w:customStyle="1" w:styleId="1pt">
    <w:name w:val="Основной текст + Интервал 1 pt"/>
    <w:rsid w:val="00207B46"/>
    <w:rPr>
      <w:rFonts w:ascii="Times New Roman" w:hAnsi="Times New Roman" w:cs="Times New Roman"/>
      <w:spacing w:val="30"/>
      <w:sz w:val="28"/>
      <w:szCs w:val="28"/>
    </w:rPr>
  </w:style>
  <w:style w:type="character" w:customStyle="1" w:styleId="31">
    <w:name w:val="Основной текст (3)_"/>
    <w:link w:val="32"/>
    <w:rsid w:val="00207B46"/>
    <w:rPr>
      <w:b/>
      <w:bCs/>
      <w:i/>
      <w:iCs/>
      <w:shd w:val="clear" w:color="auto" w:fill="FFFFFF"/>
    </w:rPr>
  </w:style>
  <w:style w:type="paragraph" w:customStyle="1" w:styleId="32">
    <w:name w:val="Основной текст (3)"/>
    <w:basedOn w:val="a"/>
    <w:link w:val="31"/>
    <w:rsid w:val="00207B46"/>
    <w:pPr>
      <w:shd w:val="clear" w:color="auto" w:fill="FFFFFF"/>
      <w:spacing w:after="240" w:line="240" w:lineRule="atLeast"/>
    </w:pPr>
    <w:rPr>
      <w:rFonts w:ascii="Calibri" w:eastAsia="Calibri" w:hAnsi="Calibri"/>
      <w:b/>
      <w:bCs/>
      <w:i/>
      <w:iCs/>
      <w:sz w:val="20"/>
      <w:szCs w:val="20"/>
      <w:lang w:val="x-none" w:eastAsia="x-none"/>
    </w:rPr>
  </w:style>
  <w:style w:type="character" w:customStyle="1" w:styleId="af2">
    <w:name w:val="Основной текст с отступом Знак"/>
    <w:link w:val="af3"/>
    <w:rsid w:val="00207B46"/>
    <w:rPr>
      <w:rFonts w:ascii="Times New Roman" w:eastAsia="Times New Roman" w:hAnsi="Times New Roman" w:cs="Times New Roman"/>
      <w:sz w:val="24"/>
      <w:szCs w:val="24"/>
      <w:lang w:val="uk-UA" w:eastAsia="ru-RU"/>
    </w:rPr>
  </w:style>
  <w:style w:type="paragraph" w:styleId="af3">
    <w:name w:val="Body Text Indent"/>
    <w:basedOn w:val="a"/>
    <w:link w:val="af2"/>
    <w:rsid w:val="00207B46"/>
    <w:pPr>
      <w:spacing w:after="120"/>
      <w:ind w:left="283"/>
    </w:pPr>
  </w:style>
  <w:style w:type="character" w:customStyle="1" w:styleId="25">
    <w:name w:val="Знак Знак2"/>
    <w:rsid w:val="00207B46"/>
    <w:rPr>
      <w:b/>
      <w:sz w:val="28"/>
      <w:lang w:val="ru-RU" w:eastAsia="ru-RU" w:bidi="ar-SA"/>
    </w:rPr>
  </w:style>
  <w:style w:type="character" w:customStyle="1" w:styleId="33">
    <w:name w:val="Основной текст с отступом 3 Знак"/>
    <w:link w:val="34"/>
    <w:rsid w:val="00207B46"/>
    <w:rPr>
      <w:rFonts w:ascii="Times New Roman" w:eastAsia="Times New Roman" w:hAnsi="Times New Roman" w:cs="Times New Roman"/>
      <w:sz w:val="16"/>
      <w:szCs w:val="16"/>
      <w:lang w:val="uk-UA" w:eastAsia="ru-RU"/>
    </w:rPr>
  </w:style>
  <w:style w:type="paragraph" w:styleId="34">
    <w:name w:val="Body Text Indent 3"/>
    <w:basedOn w:val="a"/>
    <w:link w:val="33"/>
    <w:rsid w:val="00207B46"/>
    <w:pPr>
      <w:spacing w:after="120"/>
      <w:ind w:left="283"/>
    </w:pPr>
    <w:rPr>
      <w:sz w:val="16"/>
      <w:szCs w:val="16"/>
    </w:rPr>
  </w:style>
  <w:style w:type="character" w:customStyle="1" w:styleId="FontStyle13">
    <w:name w:val="Font Style13"/>
    <w:rsid w:val="00207B46"/>
    <w:rPr>
      <w:rFonts w:ascii="Times New Roman" w:hAnsi="Times New Roman" w:cs="Times New Roman"/>
      <w:spacing w:val="10"/>
      <w:sz w:val="24"/>
      <w:szCs w:val="24"/>
    </w:rPr>
  </w:style>
  <w:style w:type="character" w:customStyle="1" w:styleId="st">
    <w:name w:val="st"/>
    <w:rsid w:val="00207B46"/>
  </w:style>
  <w:style w:type="character" w:customStyle="1" w:styleId="maintitle">
    <w:name w:val="maintitle"/>
    <w:rsid w:val="00207B46"/>
  </w:style>
  <w:style w:type="character" w:customStyle="1" w:styleId="af4">
    <w:name w:val="Нижний колонтитул Знак"/>
    <w:link w:val="af5"/>
    <w:uiPriority w:val="99"/>
    <w:rsid w:val="00207B46"/>
    <w:rPr>
      <w:rFonts w:ascii="Times New Roman" w:eastAsia="Times New Roman" w:hAnsi="Times New Roman" w:cs="Times New Roman"/>
      <w:sz w:val="24"/>
      <w:szCs w:val="24"/>
      <w:lang w:val="uk-UA" w:eastAsia="ru-RU"/>
    </w:rPr>
  </w:style>
  <w:style w:type="paragraph" w:styleId="af5">
    <w:name w:val="footer"/>
    <w:basedOn w:val="a"/>
    <w:link w:val="af4"/>
    <w:uiPriority w:val="99"/>
    <w:rsid w:val="00207B46"/>
    <w:pPr>
      <w:tabs>
        <w:tab w:val="center" w:pos="4677"/>
        <w:tab w:val="right" w:pos="9355"/>
      </w:tabs>
    </w:pPr>
  </w:style>
  <w:style w:type="paragraph" w:customStyle="1" w:styleId="Default">
    <w:name w:val="Default"/>
    <w:uiPriority w:val="99"/>
    <w:rsid w:val="00207B46"/>
    <w:pPr>
      <w:autoSpaceDE w:val="0"/>
      <w:autoSpaceDN w:val="0"/>
      <w:adjustRightInd w:val="0"/>
    </w:pPr>
    <w:rPr>
      <w:rFonts w:ascii="Times New Roman" w:eastAsia="Times New Roman" w:hAnsi="Times New Roman"/>
      <w:color w:val="000000"/>
      <w:sz w:val="24"/>
      <w:szCs w:val="24"/>
    </w:rPr>
  </w:style>
  <w:style w:type="table" w:styleId="af6">
    <w:name w:val="Table Grid"/>
    <w:basedOn w:val="a1"/>
    <w:rsid w:val="00CC1E8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
    <w:name w:val="hl"/>
    <w:basedOn w:val="a0"/>
    <w:rsid w:val="00CC1E8F"/>
  </w:style>
  <w:style w:type="paragraph" w:customStyle="1" w:styleId="af7">
    <w:name w:val="дисс"/>
    <w:basedOn w:val="a"/>
    <w:rsid w:val="00CC1E8F"/>
    <w:pPr>
      <w:suppressAutoHyphens/>
      <w:spacing w:line="360" w:lineRule="auto"/>
      <w:ind w:firstLine="720"/>
      <w:jc w:val="both"/>
    </w:pPr>
    <w:rPr>
      <w:rFonts w:eastAsia="SimSun"/>
      <w:sz w:val="28"/>
      <w:szCs w:val="28"/>
      <w:lang w:val="ru-RU" w:eastAsia="ar-SA"/>
    </w:rPr>
  </w:style>
  <w:style w:type="character" w:customStyle="1" w:styleId="citation">
    <w:name w:val="citation"/>
    <w:basedOn w:val="a0"/>
    <w:rsid w:val="00CC1E8F"/>
  </w:style>
  <w:style w:type="character" w:customStyle="1" w:styleId="cit-pub-date">
    <w:name w:val="cit-pub-date"/>
    <w:basedOn w:val="a0"/>
    <w:rsid w:val="00CC1E8F"/>
  </w:style>
  <w:style w:type="character" w:customStyle="1" w:styleId="publication-details">
    <w:name w:val="publication-details"/>
    <w:basedOn w:val="a0"/>
    <w:rsid w:val="00CC1E8F"/>
  </w:style>
  <w:style w:type="character" w:customStyle="1" w:styleId="cit-auth">
    <w:name w:val="cit-auth"/>
    <w:basedOn w:val="a0"/>
    <w:rsid w:val="00CC1E8F"/>
  </w:style>
  <w:style w:type="character" w:customStyle="1" w:styleId="cit-name-surname">
    <w:name w:val="cit-name-surname"/>
    <w:basedOn w:val="a0"/>
    <w:rsid w:val="00CC1E8F"/>
  </w:style>
  <w:style w:type="character" w:customStyle="1" w:styleId="cit-name-given-names">
    <w:name w:val="cit-name-given-names"/>
    <w:basedOn w:val="a0"/>
    <w:rsid w:val="00CC1E8F"/>
  </w:style>
  <w:style w:type="character" w:customStyle="1" w:styleId="cit-name-suffix">
    <w:name w:val="cit-name-suffix"/>
    <w:basedOn w:val="a0"/>
    <w:rsid w:val="00CC1E8F"/>
  </w:style>
  <w:style w:type="character" w:customStyle="1" w:styleId="cit-article-title">
    <w:name w:val="cit-article-title"/>
    <w:basedOn w:val="a0"/>
    <w:rsid w:val="00CC1E8F"/>
  </w:style>
  <w:style w:type="character" w:customStyle="1" w:styleId="cit-vol">
    <w:name w:val="cit-vol"/>
    <w:basedOn w:val="a0"/>
    <w:rsid w:val="00CC1E8F"/>
  </w:style>
  <w:style w:type="character" w:customStyle="1" w:styleId="cit-fpage">
    <w:name w:val="cit-fpage"/>
    <w:basedOn w:val="a0"/>
    <w:rsid w:val="00CC1E8F"/>
  </w:style>
  <w:style w:type="character" w:customStyle="1" w:styleId="cit-lpage">
    <w:name w:val="cit-lpage"/>
    <w:basedOn w:val="a0"/>
    <w:rsid w:val="00CC1E8F"/>
  </w:style>
  <w:style w:type="character" w:customStyle="1" w:styleId="ref-journal">
    <w:name w:val="ref-journal"/>
    <w:basedOn w:val="a0"/>
    <w:rsid w:val="00CC1E8F"/>
  </w:style>
  <w:style w:type="character" w:customStyle="1" w:styleId="ref-vol">
    <w:name w:val="ref-vol"/>
    <w:basedOn w:val="a0"/>
    <w:rsid w:val="00CC1E8F"/>
  </w:style>
  <w:style w:type="paragraph" w:customStyle="1" w:styleId="210">
    <w:name w:val="Основной текст 21"/>
    <w:basedOn w:val="a"/>
    <w:rsid w:val="00CC1E8F"/>
    <w:pPr>
      <w:widowControl w:val="0"/>
      <w:spacing w:line="360" w:lineRule="auto"/>
      <w:ind w:firstLine="709"/>
      <w:jc w:val="both"/>
    </w:pPr>
    <w:rPr>
      <w:sz w:val="28"/>
      <w:szCs w:val="20"/>
    </w:rPr>
  </w:style>
  <w:style w:type="character" w:styleId="af8">
    <w:name w:val="page number"/>
    <w:basedOn w:val="a0"/>
    <w:uiPriority w:val="99"/>
    <w:rsid w:val="00CC1E8F"/>
  </w:style>
  <w:style w:type="character" w:customStyle="1" w:styleId="rt-date-posted">
    <w:name w:val="rt-date-posted"/>
    <w:basedOn w:val="a0"/>
    <w:rsid w:val="00CC1E8F"/>
  </w:style>
  <w:style w:type="character" w:customStyle="1" w:styleId="rt-date-modified">
    <w:name w:val="rt-date-modified"/>
    <w:basedOn w:val="a0"/>
    <w:rsid w:val="00CC1E8F"/>
  </w:style>
  <w:style w:type="character" w:customStyle="1" w:styleId="rt-author">
    <w:name w:val="rt-author"/>
    <w:basedOn w:val="a0"/>
    <w:rsid w:val="00CC1E8F"/>
  </w:style>
  <w:style w:type="paragraph" w:styleId="af9">
    <w:name w:val="List Paragraph"/>
    <w:basedOn w:val="a"/>
    <w:uiPriority w:val="34"/>
    <w:qFormat/>
    <w:rsid w:val="00CC1E8F"/>
    <w:pPr>
      <w:spacing w:after="200" w:line="276" w:lineRule="auto"/>
      <w:ind w:left="720"/>
      <w:contextualSpacing/>
    </w:pPr>
    <w:rPr>
      <w:rFonts w:ascii="Calibri" w:eastAsia="Calibri" w:hAnsi="Calibri"/>
      <w:sz w:val="22"/>
      <w:szCs w:val="22"/>
      <w:lang w:val="ru-RU" w:eastAsia="en-US"/>
    </w:rPr>
  </w:style>
  <w:style w:type="character" w:customStyle="1" w:styleId="30">
    <w:name w:val="Заголовок 3 Знак"/>
    <w:link w:val="3"/>
    <w:uiPriority w:val="9"/>
    <w:rsid w:val="00CC1E8F"/>
    <w:rPr>
      <w:rFonts w:ascii="Times New Roman" w:eastAsia="Times New Roman" w:hAnsi="Times New Roman"/>
      <w:sz w:val="28"/>
      <w:lang w:val="uk-UA"/>
    </w:rPr>
  </w:style>
  <w:style w:type="character" w:customStyle="1" w:styleId="afa">
    <w:name w:val="a"/>
    <w:basedOn w:val="a0"/>
    <w:rsid w:val="00CC1E8F"/>
  </w:style>
  <w:style w:type="character" w:customStyle="1" w:styleId="l6">
    <w:name w:val="l6"/>
    <w:basedOn w:val="a0"/>
    <w:rsid w:val="00CC1E8F"/>
  </w:style>
  <w:style w:type="character" w:customStyle="1" w:styleId="l7">
    <w:name w:val="l7"/>
    <w:basedOn w:val="a0"/>
    <w:rsid w:val="00CC1E8F"/>
  </w:style>
  <w:style w:type="character" w:customStyle="1" w:styleId="l8">
    <w:name w:val="l8"/>
    <w:basedOn w:val="a0"/>
    <w:rsid w:val="00CC1E8F"/>
  </w:style>
  <w:style w:type="character" w:customStyle="1" w:styleId="n6oly261p2">
    <w:name w:val="n6oly261p2"/>
    <w:basedOn w:val="a0"/>
    <w:rsid w:val="00CC1E8F"/>
  </w:style>
  <w:style w:type="paragraph" w:customStyle="1" w:styleId="26">
    <w:name w:val="Заголовок2"/>
    <w:basedOn w:val="a"/>
    <w:rsid w:val="00CC1E8F"/>
    <w:pPr>
      <w:spacing w:before="100" w:beforeAutospacing="1" w:after="100" w:afterAutospacing="1"/>
    </w:pPr>
    <w:rPr>
      <w:lang w:val="ru-RU"/>
    </w:rPr>
  </w:style>
  <w:style w:type="paragraph" w:customStyle="1" w:styleId="desc">
    <w:name w:val="desc"/>
    <w:basedOn w:val="a"/>
    <w:uiPriority w:val="99"/>
    <w:rsid w:val="00CC1E8F"/>
    <w:pPr>
      <w:spacing w:before="100" w:beforeAutospacing="1" w:after="100" w:afterAutospacing="1"/>
    </w:pPr>
    <w:rPr>
      <w:lang w:val="ru-RU"/>
    </w:rPr>
  </w:style>
  <w:style w:type="paragraph" w:customStyle="1" w:styleId="details">
    <w:name w:val="details"/>
    <w:basedOn w:val="a"/>
    <w:uiPriority w:val="99"/>
    <w:rsid w:val="00CC1E8F"/>
    <w:pPr>
      <w:spacing w:before="100" w:beforeAutospacing="1" w:after="100" w:afterAutospacing="1"/>
    </w:pPr>
    <w:rPr>
      <w:lang w:val="ru-RU"/>
    </w:rPr>
  </w:style>
  <w:style w:type="character" w:customStyle="1" w:styleId="jrnl">
    <w:name w:val="jrnl"/>
    <w:basedOn w:val="a0"/>
    <w:rsid w:val="00CC1E8F"/>
  </w:style>
  <w:style w:type="character" w:customStyle="1" w:styleId="wu4147352">
    <w:name w:val="wu4147352"/>
    <w:basedOn w:val="a0"/>
    <w:rsid w:val="00CC1E8F"/>
  </w:style>
  <w:style w:type="paragraph" w:styleId="HTML0">
    <w:name w:val="HTML Preformatted"/>
    <w:basedOn w:val="a"/>
    <w:link w:val="HTML1"/>
    <w:unhideWhenUsed/>
    <w:rsid w:val="00CC1E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1">
    <w:name w:val="Стандартный HTML Знак"/>
    <w:link w:val="HTML0"/>
    <w:rsid w:val="00CC1E8F"/>
    <w:rPr>
      <w:rFonts w:ascii="Courier New" w:eastAsia="Times New Roman" w:hAnsi="Courier New" w:cs="Courier New"/>
    </w:rPr>
  </w:style>
  <w:style w:type="character" w:customStyle="1" w:styleId="cit-source">
    <w:name w:val="cit-source"/>
    <w:basedOn w:val="a0"/>
    <w:rsid w:val="00CC1E8F"/>
  </w:style>
  <w:style w:type="character" w:customStyle="1" w:styleId="fn">
    <w:name w:val="fn"/>
    <w:basedOn w:val="a0"/>
    <w:rsid w:val="00CC1E8F"/>
  </w:style>
  <w:style w:type="paragraph" w:customStyle="1" w:styleId="msonormal0">
    <w:name w:val="msonormal"/>
    <w:basedOn w:val="a"/>
    <w:uiPriority w:val="99"/>
    <w:rsid w:val="005B2BAD"/>
    <w:pPr>
      <w:spacing w:before="100" w:beforeAutospacing="1" w:after="100" w:afterAutospacing="1"/>
    </w:pPr>
    <w:rPr>
      <w:lang w:val="ru-RU"/>
    </w:rPr>
  </w:style>
  <w:style w:type="paragraph" w:styleId="afb">
    <w:name w:val="annotation text"/>
    <w:basedOn w:val="a"/>
    <w:link w:val="afc"/>
    <w:uiPriority w:val="99"/>
    <w:semiHidden/>
    <w:unhideWhenUsed/>
    <w:rsid w:val="005B2BAD"/>
    <w:rPr>
      <w:sz w:val="20"/>
      <w:szCs w:val="20"/>
    </w:rPr>
  </w:style>
  <w:style w:type="character" w:customStyle="1" w:styleId="afc">
    <w:name w:val="Текст примечания Знак"/>
    <w:link w:val="afb"/>
    <w:uiPriority w:val="99"/>
    <w:semiHidden/>
    <w:rsid w:val="005B2BAD"/>
    <w:rPr>
      <w:rFonts w:ascii="Times New Roman" w:eastAsia="Times New Roman" w:hAnsi="Times New Roman"/>
      <w:lang w:val="uk-UA"/>
    </w:rPr>
  </w:style>
  <w:style w:type="paragraph" w:styleId="afd">
    <w:name w:val="annotation subject"/>
    <w:basedOn w:val="afb"/>
    <w:next w:val="afb"/>
    <w:link w:val="afe"/>
    <w:uiPriority w:val="99"/>
    <w:semiHidden/>
    <w:unhideWhenUsed/>
    <w:rsid w:val="005B2BAD"/>
    <w:rPr>
      <w:b/>
      <w:bCs/>
    </w:rPr>
  </w:style>
  <w:style w:type="character" w:customStyle="1" w:styleId="afe">
    <w:name w:val="Тема примечания Знак"/>
    <w:link w:val="afd"/>
    <w:uiPriority w:val="99"/>
    <w:semiHidden/>
    <w:rsid w:val="005B2BAD"/>
    <w:rPr>
      <w:rFonts w:ascii="Times New Roman" w:eastAsia="Times New Roman" w:hAnsi="Times New Roman"/>
      <w:b/>
      <w:bCs/>
      <w:lang w:val="uk-UA"/>
    </w:rPr>
  </w:style>
  <w:style w:type="character" w:styleId="aff">
    <w:name w:val="annotation reference"/>
    <w:uiPriority w:val="99"/>
    <w:semiHidden/>
    <w:unhideWhenUsed/>
    <w:rsid w:val="005B2BAD"/>
    <w:rPr>
      <w:sz w:val="16"/>
      <w:szCs w:val="16"/>
    </w:rPr>
  </w:style>
  <w:style w:type="character" w:customStyle="1" w:styleId="aff0">
    <w:name w:val="Знак Знак"/>
    <w:rsid w:val="002B4CA0"/>
    <w:rPr>
      <w:b/>
      <w:sz w:val="28"/>
      <w:lang w:val="ru-RU" w:eastAsia="ru-RU" w:bidi="ar-SA"/>
    </w:rPr>
  </w:style>
  <w:style w:type="character" w:customStyle="1" w:styleId="27">
    <w:name w:val="Знак Знак2"/>
    <w:rsid w:val="002B4CA0"/>
    <w:rPr>
      <w:b/>
      <w:sz w:val="28"/>
      <w:lang w:val="ru-RU" w:eastAsia="ru-RU" w:bidi="ar-SA"/>
    </w:rPr>
  </w:style>
  <w:style w:type="paragraph" w:customStyle="1" w:styleId="211">
    <w:name w:val="Основной текст 21"/>
    <w:basedOn w:val="a"/>
    <w:rsid w:val="002B4CA0"/>
    <w:pPr>
      <w:widowControl w:val="0"/>
      <w:spacing w:line="360" w:lineRule="auto"/>
      <w:ind w:firstLine="709"/>
      <w:jc w:val="both"/>
    </w:pPr>
    <w:rPr>
      <w:sz w:val="28"/>
      <w:szCs w:val="20"/>
    </w:rPr>
  </w:style>
  <w:style w:type="paragraph" w:customStyle="1" w:styleId="13">
    <w:name w:val="Название1"/>
    <w:basedOn w:val="a"/>
    <w:rsid w:val="002B4CA0"/>
    <w:pPr>
      <w:spacing w:before="100" w:beforeAutospacing="1" w:after="100" w:afterAutospacing="1"/>
    </w:pPr>
    <w:rPr>
      <w:lang w:val="ru-RU"/>
    </w:rPr>
  </w:style>
  <w:style w:type="paragraph" w:customStyle="1" w:styleId="rvps2">
    <w:name w:val="rvps2"/>
    <w:basedOn w:val="a"/>
    <w:rsid w:val="00E034CD"/>
    <w:pPr>
      <w:spacing w:before="100" w:beforeAutospacing="1" w:after="100" w:afterAutospacing="1"/>
    </w:pPr>
    <w:rPr>
      <w:lang w:val="ru-RU"/>
    </w:rPr>
  </w:style>
  <w:style w:type="numbering" w:customStyle="1" w:styleId="14">
    <w:name w:val="Нет списка1"/>
    <w:next w:val="a2"/>
    <w:uiPriority w:val="99"/>
    <w:semiHidden/>
    <w:unhideWhenUsed/>
    <w:rsid w:val="00CF641C"/>
  </w:style>
  <w:style w:type="table" w:customStyle="1" w:styleId="51">
    <w:name w:val="Сетка таблицы5"/>
    <w:basedOn w:val="a1"/>
    <w:uiPriority w:val="5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Заголовок Знак1"/>
    <w:basedOn w:val="a0"/>
    <w:uiPriority w:val="10"/>
    <w:rsid w:val="00CF641C"/>
    <w:rPr>
      <w:rFonts w:asciiTheme="majorHAnsi" w:eastAsiaTheme="majorEastAsia" w:hAnsiTheme="majorHAnsi" w:cstheme="majorBidi"/>
      <w:spacing w:val="-10"/>
      <w:kern w:val="28"/>
      <w:sz w:val="56"/>
      <w:szCs w:val="56"/>
      <w:lang w:eastAsia="en-US"/>
    </w:rPr>
  </w:style>
  <w:style w:type="table" w:customStyle="1" w:styleId="16">
    <w:name w:val="Сетка таблицы1"/>
    <w:basedOn w:val="a1"/>
    <w:next w:val="af6"/>
    <w:uiPriority w:val="59"/>
    <w:rsid w:val="00CF641C"/>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f6"/>
    <w:uiPriority w:val="3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Сетка таблицы51"/>
    <w:basedOn w:val="a1"/>
    <w:uiPriority w:val="5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Нет списка11"/>
    <w:next w:val="a2"/>
    <w:uiPriority w:val="99"/>
    <w:semiHidden/>
    <w:unhideWhenUsed/>
    <w:rsid w:val="00CF641C"/>
  </w:style>
  <w:style w:type="paragraph" w:customStyle="1" w:styleId="28">
    <w:name w:val="2"/>
    <w:basedOn w:val="a"/>
    <w:next w:val="a6"/>
    <w:qFormat/>
    <w:rsid w:val="00CF641C"/>
    <w:pPr>
      <w:spacing w:line="360" w:lineRule="auto"/>
      <w:jc w:val="center"/>
    </w:pPr>
    <w:rPr>
      <w:rFonts w:eastAsia="Calibri"/>
      <w:b/>
      <w:sz w:val="28"/>
      <w:szCs w:val="28"/>
      <w:lang w:eastAsia="en-US"/>
    </w:rPr>
  </w:style>
  <w:style w:type="paragraph" w:customStyle="1" w:styleId="17">
    <w:name w:val="1"/>
    <w:basedOn w:val="a"/>
    <w:next w:val="a6"/>
    <w:qFormat/>
    <w:rsid w:val="00CF641C"/>
    <w:pPr>
      <w:jc w:val="center"/>
    </w:pPr>
    <w:rPr>
      <w:b/>
      <w:sz w:val="28"/>
      <w:szCs w:val="20"/>
      <w:lang w:val="ru-RU"/>
    </w:rPr>
  </w:style>
  <w:style w:type="paragraph" w:customStyle="1" w:styleId="18">
    <w:name w:val="Абзац списка1"/>
    <w:basedOn w:val="a"/>
    <w:uiPriority w:val="99"/>
    <w:rsid w:val="00CF641C"/>
    <w:pPr>
      <w:widowControl w:val="0"/>
      <w:suppressAutoHyphens/>
    </w:pPr>
    <w:rPr>
      <w:rFonts w:eastAsia="Arial Unicode MS" w:cs="Arial Unicode MS"/>
      <w:kern w:val="2"/>
      <w:lang w:val="ru-RU" w:eastAsia="hi-IN" w:bidi="hi-IN"/>
    </w:rPr>
  </w:style>
  <w:style w:type="paragraph" w:customStyle="1" w:styleId="mb0">
    <w:name w:val="mb0"/>
    <w:basedOn w:val="a"/>
    <w:rsid w:val="00CF641C"/>
    <w:pPr>
      <w:spacing w:before="100" w:beforeAutospacing="1" w:after="100" w:afterAutospacing="1"/>
    </w:pPr>
    <w:rPr>
      <w:lang w:val="ru-RU"/>
    </w:rPr>
  </w:style>
  <w:style w:type="paragraph" w:customStyle="1" w:styleId="mb15">
    <w:name w:val="mb15"/>
    <w:basedOn w:val="a"/>
    <w:rsid w:val="00CF641C"/>
    <w:pPr>
      <w:spacing w:before="100" w:beforeAutospacing="1" w:after="100" w:afterAutospacing="1"/>
    </w:pPr>
    <w:rPr>
      <w:lang w:val="ru-RU"/>
    </w:rPr>
  </w:style>
  <w:style w:type="paragraph" w:customStyle="1" w:styleId="referencescopy1">
    <w:name w:val="referencescopy1"/>
    <w:basedOn w:val="a"/>
    <w:rsid w:val="00CF641C"/>
    <w:pPr>
      <w:spacing w:before="100" w:beforeAutospacing="1" w:after="100" w:afterAutospacing="1"/>
    </w:pPr>
    <w:rPr>
      <w:lang w:val="ru-RU"/>
    </w:rPr>
  </w:style>
  <w:style w:type="paragraph" w:customStyle="1" w:styleId="referencescopy2">
    <w:name w:val="referencescopy2"/>
    <w:basedOn w:val="a"/>
    <w:rsid w:val="00CF641C"/>
    <w:pPr>
      <w:spacing w:before="100" w:beforeAutospacing="1" w:after="100" w:afterAutospacing="1"/>
    </w:pPr>
    <w:rPr>
      <w:lang w:val="ru-RU"/>
    </w:rPr>
  </w:style>
  <w:style w:type="character" w:customStyle="1" w:styleId="articlecitationyear">
    <w:name w:val="articlecitation_year"/>
    <w:basedOn w:val="a0"/>
    <w:rsid w:val="00CF641C"/>
  </w:style>
  <w:style w:type="character" w:customStyle="1" w:styleId="articlecitationvolume">
    <w:name w:val="articlecitation_volume"/>
    <w:basedOn w:val="a0"/>
    <w:rsid w:val="00CF641C"/>
  </w:style>
  <w:style w:type="character" w:customStyle="1" w:styleId="articlecitationpages">
    <w:name w:val="articlecitation_pages"/>
    <w:basedOn w:val="a0"/>
    <w:rsid w:val="00CF641C"/>
  </w:style>
  <w:style w:type="character" w:customStyle="1" w:styleId="19">
    <w:name w:val="Название Знак1"/>
    <w:uiPriority w:val="10"/>
    <w:rsid w:val="00CF641C"/>
    <w:rPr>
      <w:rFonts w:ascii="Calibri Light" w:eastAsia="Times New Roman" w:hAnsi="Calibri Light" w:cs="Times New Roman" w:hint="default"/>
      <w:spacing w:val="-10"/>
      <w:kern w:val="28"/>
      <w:sz w:val="56"/>
      <w:szCs w:val="56"/>
    </w:rPr>
  </w:style>
  <w:style w:type="character" w:customStyle="1" w:styleId="translation-chunk">
    <w:name w:val="translation-chunk"/>
    <w:rsid w:val="00CF641C"/>
  </w:style>
  <w:style w:type="character" w:customStyle="1" w:styleId="hlfld-contribauthor">
    <w:name w:val="hlfld-contribauthor"/>
    <w:basedOn w:val="a0"/>
    <w:rsid w:val="00CF641C"/>
  </w:style>
  <w:style w:type="character" w:customStyle="1" w:styleId="nlmgiven-names">
    <w:name w:val="nlm_given-names"/>
    <w:basedOn w:val="a0"/>
    <w:rsid w:val="00CF641C"/>
  </w:style>
  <w:style w:type="character" w:customStyle="1" w:styleId="nlmarticle-title">
    <w:name w:val="nlm_article-title"/>
    <w:basedOn w:val="a0"/>
    <w:rsid w:val="00CF641C"/>
  </w:style>
  <w:style w:type="character" w:customStyle="1" w:styleId="nlmyear">
    <w:name w:val="nlm_year"/>
    <w:basedOn w:val="a0"/>
    <w:rsid w:val="00CF641C"/>
  </w:style>
  <w:style w:type="character" w:customStyle="1" w:styleId="nlmfpage">
    <w:name w:val="nlm_fpage"/>
    <w:basedOn w:val="a0"/>
    <w:rsid w:val="00CF641C"/>
  </w:style>
  <w:style w:type="character" w:customStyle="1" w:styleId="nlmlpage">
    <w:name w:val="nlm_lpage"/>
    <w:basedOn w:val="a0"/>
    <w:rsid w:val="00CF641C"/>
  </w:style>
  <w:style w:type="character" w:customStyle="1" w:styleId="nlmpub-id">
    <w:name w:val="nlm_pub-id"/>
    <w:basedOn w:val="a0"/>
    <w:rsid w:val="00CF641C"/>
  </w:style>
  <w:style w:type="character" w:customStyle="1" w:styleId="bullet">
    <w:name w:val="bullet"/>
    <w:basedOn w:val="a0"/>
    <w:rsid w:val="00CF641C"/>
  </w:style>
  <w:style w:type="character" w:customStyle="1" w:styleId="author">
    <w:name w:val="author"/>
    <w:basedOn w:val="a0"/>
    <w:rsid w:val="00CF641C"/>
  </w:style>
  <w:style w:type="character" w:customStyle="1" w:styleId="articletitle">
    <w:name w:val="articletitle"/>
    <w:basedOn w:val="a0"/>
    <w:rsid w:val="00CF641C"/>
  </w:style>
  <w:style w:type="character" w:customStyle="1" w:styleId="journaltitle">
    <w:name w:val="journaltitle"/>
    <w:basedOn w:val="a0"/>
    <w:rsid w:val="00CF641C"/>
  </w:style>
  <w:style w:type="character" w:customStyle="1" w:styleId="pubyear">
    <w:name w:val="pubyear"/>
    <w:basedOn w:val="a0"/>
    <w:rsid w:val="00CF641C"/>
  </w:style>
  <w:style w:type="character" w:customStyle="1" w:styleId="vol">
    <w:name w:val="vol"/>
    <w:basedOn w:val="a0"/>
    <w:rsid w:val="00CF641C"/>
  </w:style>
  <w:style w:type="character" w:customStyle="1" w:styleId="citedissue">
    <w:name w:val="citedissue"/>
    <w:basedOn w:val="a0"/>
    <w:rsid w:val="00CF641C"/>
  </w:style>
  <w:style w:type="character" w:customStyle="1" w:styleId="pagefirst">
    <w:name w:val="pagefirst"/>
    <w:basedOn w:val="a0"/>
    <w:rsid w:val="00CF641C"/>
  </w:style>
  <w:style w:type="character" w:customStyle="1" w:styleId="pagelast">
    <w:name w:val="pagelast"/>
    <w:basedOn w:val="a0"/>
    <w:rsid w:val="00CF641C"/>
  </w:style>
  <w:style w:type="table" w:customStyle="1" w:styleId="29">
    <w:name w:val="Сетка таблицы2"/>
    <w:basedOn w:val="a1"/>
    <w:next w:val="af6"/>
    <w:uiPriority w:val="3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1"/>
    <w:uiPriority w:val="5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1"/>
    <w:uiPriority w:val="3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Сетка таблицы111"/>
    <w:basedOn w:val="a1"/>
    <w:uiPriority w:val="5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Сетка таблицы3"/>
    <w:basedOn w:val="a1"/>
    <w:uiPriority w:val="3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Нет списка2"/>
    <w:next w:val="a2"/>
    <w:uiPriority w:val="99"/>
    <w:semiHidden/>
    <w:unhideWhenUsed/>
    <w:rsid w:val="00CF641C"/>
  </w:style>
  <w:style w:type="numbering" w:customStyle="1" w:styleId="120">
    <w:name w:val="Нет списка12"/>
    <w:next w:val="a2"/>
    <w:uiPriority w:val="99"/>
    <w:semiHidden/>
    <w:unhideWhenUsed/>
    <w:rsid w:val="00CF641C"/>
  </w:style>
  <w:style w:type="table" w:customStyle="1" w:styleId="41">
    <w:name w:val="Сетка таблицы4"/>
    <w:basedOn w:val="a1"/>
    <w:next w:val="af6"/>
    <w:uiPriority w:val="39"/>
    <w:rsid w:val="00CF64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Сетка таблицы12"/>
    <w:basedOn w:val="a1"/>
    <w:next w:val="af6"/>
    <w:uiPriority w:val="59"/>
    <w:rsid w:val="00CF641C"/>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
    <w:name w:val="Нет списка21"/>
    <w:next w:val="a2"/>
    <w:uiPriority w:val="99"/>
    <w:semiHidden/>
    <w:unhideWhenUsed/>
    <w:rsid w:val="00CF641C"/>
  </w:style>
  <w:style w:type="table" w:customStyle="1" w:styleId="220">
    <w:name w:val="Сетка таблицы22"/>
    <w:basedOn w:val="a1"/>
    <w:next w:val="af6"/>
    <w:uiPriority w:val="3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Сетка таблицы112"/>
    <w:basedOn w:val="a1"/>
    <w:next w:val="af6"/>
    <w:uiPriority w:val="59"/>
    <w:rsid w:val="00CF6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1"/>
    <w:next w:val="af6"/>
    <w:uiPriority w:val="39"/>
    <w:rsid w:val="00CF64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
    <w:name w:val="Нет списка3"/>
    <w:next w:val="a2"/>
    <w:uiPriority w:val="99"/>
    <w:semiHidden/>
    <w:unhideWhenUsed/>
    <w:rsid w:val="00CF641C"/>
  </w:style>
  <w:style w:type="numbering" w:customStyle="1" w:styleId="1111">
    <w:name w:val="Нет списка111"/>
    <w:next w:val="a2"/>
    <w:uiPriority w:val="99"/>
    <w:semiHidden/>
    <w:unhideWhenUsed/>
    <w:rsid w:val="00CF641C"/>
  </w:style>
  <w:style w:type="numbering" w:customStyle="1" w:styleId="42">
    <w:name w:val="Нет списка4"/>
    <w:next w:val="a2"/>
    <w:uiPriority w:val="99"/>
    <w:semiHidden/>
    <w:unhideWhenUsed/>
    <w:rsid w:val="00CF641C"/>
  </w:style>
  <w:style w:type="numbering" w:customStyle="1" w:styleId="131">
    <w:name w:val="Нет списка13"/>
    <w:next w:val="a2"/>
    <w:uiPriority w:val="99"/>
    <w:semiHidden/>
    <w:unhideWhenUsed/>
    <w:rsid w:val="00CF641C"/>
  </w:style>
  <w:style w:type="table" w:customStyle="1" w:styleId="61">
    <w:name w:val="Сетка таблицы6"/>
    <w:basedOn w:val="a1"/>
    <w:next w:val="af6"/>
    <w:uiPriority w:val="59"/>
    <w:rsid w:val="00CF641C"/>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1">
    <w:name w:val="Нет списка22"/>
    <w:next w:val="a2"/>
    <w:uiPriority w:val="99"/>
    <w:semiHidden/>
    <w:unhideWhenUsed/>
    <w:rsid w:val="00CF641C"/>
  </w:style>
  <w:style w:type="paragraph" w:customStyle="1" w:styleId="xl65">
    <w:name w:val="xl65"/>
    <w:basedOn w:val="a"/>
    <w:uiPriority w:val="99"/>
    <w:semiHidden/>
    <w:rsid w:val="00CF641C"/>
    <w:pPr>
      <w:shd w:val="clear" w:color="auto" w:fill="FF0000"/>
      <w:spacing w:before="100" w:beforeAutospacing="1" w:after="100" w:afterAutospacing="1"/>
    </w:pPr>
    <w:rPr>
      <w:lang w:val="ru-RU"/>
    </w:rPr>
  </w:style>
  <w:style w:type="paragraph" w:customStyle="1" w:styleId="xl66">
    <w:name w:val="xl66"/>
    <w:basedOn w:val="a"/>
    <w:uiPriority w:val="99"/>
    <w:semiHidden/>
    <w:rsid w:val="00CF641C"/>
    <w:pPr>
      <w:shd w:val="clear" w:color="auto" w:fill="FFC000"/>
      <w:spacing w:before="100" w:beforeAutospacing="1" w:after="100" w:afterAutospacing="1"/>
    </w:pPr>
    <w:rPr>
      <w:lang w:val="ru-RU"/>
    </w:rPr>
  </w:style>
  <w:style w:type="paragraph" w:customStyle="1" w:styleId="xl67">
    <w:name w:val="xl67"/>
    <w:basedOn w:val="a"/>
    <w:uiPriority w:val="99"/>
    <w:semiHidden/>
    <w:rsid w:val="00CF641C"/>
    <w:pPr>
      <w:shd w:val="clear" w:color="auto" w:fill="B8CCE4"/>
      <w:spacing w:before="100" w:beforeAutospacing="1" w:after="100" w:afterAutospacing="1"/>
    </w:pPr>
    <w:rPr>
      <w:lang w:val="ru-RU"/>
    </w:rPr>
  </w:style>
  <w:style w:type="paragraph" w:customStyle="1" w:styleId="xl68">
    <w:name w:val="xl68"/>
    <w:basedOn w:val="a"/>
    <w:uiPriority w:val="99"/>
    <w:semiHidden/>
    <w:rsid w:val="00CF641C"/>
    <w:pPr>
      <w:shd w:val="clear" w:color="auto" w:fill="DCE6F1"/>
      <w:spacing w:before="100" w:beforeAutospacing="1" w:after="100" w:afterAutospacing="1"/>
    </w:pPr>
    <w:rPr>
      <w:lang w:val="ru-RU"/>
    </w:rPr>
  </w:style>
  <w:style w:type="paragraph" w:customStyle="1" w:styleId="xl69">
    <w:name w:val="xl69"/>
    <w:basedOn w:val="a"/>
    <w:uiPriority w:val="99"/>
    <w:semiHidden/>
    <w:rsid w:val="00CF641C"/>
    <w:pPr>
      <w:shd w:val="clear" w:color="auto" w:fill="FFFF66"/>
      <w:spacing w:before="100" w:beforeAutospacing="1" w:after="100" w:afterAutospacing="1"/>
    </w:pPr>
    <w:rPr>
      <w:lang w:val="ru-RU"/>
    </w:rPr>
  </w:style>
  <w:style w:type="paragraph" w:customStyle="1" w:styleId="xl70">
    <w:name w:val="xl70"/>
    <w:basedOn w:val="a"/>
    <w:uiPriority w:val="99"/>
    <w:semiHidden/>
    <w:rsid w:val="00CF641C"/>
    <w:pPr>
      <w:shd w:val="clear" w:color="auto" w:fill="66FF33"/>
      <w:spacing w:before="100" w:beforeAutospacing="1" w:after="100" w:afterAutospacing="1"/>
    </w:pPr>
    <w:rPr>
      <w:lang w:val="ru-RU"/>
    </w:rPr>
  </w:style>
  <w:style w:type="paragraph" w:customStyle="1" w:styleId="xl71">
    <w:name w:val="xl71"/>
    <w:basedOn w:val="a"/>
    <w:uiPriority w:val="99"/>
    <w:semiHidden/>
    <w:rsid w:val="00CF641C"/>
    <w:pPr>
      <w:shd w:val="clear" w:color="auto" w:fill="FCD5B4"/>
      <w:spacing w:before="100" w:beforeAutospacing="1" w:after="100" w:afterAutospacing="1"/>
    </w:pPr>
    <w:rPr>
      <w:lang w:val="ru-RU"/>
    </w:rPr>
  </w:style>
  <w:style w:type="paragraph" w:customStyle="1" w:styleId="xl72">
    <w:name w:val="xl72"/>
    <w:basedOn w:val="a"/>
    <w:uiPriority w:val="99"/>
    <w:semiHidden/>
    <w:rsid w:val="00CF641C"/>
    <w:pPr>
      <w:shd w:val="clear" w:color="auto" w:fill="FFCCCC"/>
      <w:spacing w:before="100" w:beforeAutospacing="1" w:after="100" w:afterAutospacing="1"/>
    </w:pPr>
    <w:rPr>
      <w:lang w:val="ru-RU"/>
    </w:rPr>
  </w:style>
  <w:style w:type="paragraph" w:customStyle="1" w:styleId="xl73">
    <w:name w:val="xl73"/>
    <w:basedOn w:val="a"/>
    <w:uiPriority w:val="99"/>
    <w:semiHidden/>
    <w:rsid w:val="00CF641C"/>
    <w:pPr>
      <w:shd w:val="clear" w:color="auto" w:fill="66FF33"/>
      <w:spacing w:before="100" w:beforeAutospacing="1" w:after="100" w:afterAutospacing="1"/>
    </w:pPr>
    <w:rPr>
      <w:lang w:val="ru-RU"/>
    </w:rPr>
  </w:style>
  <w:style w:type="character" w:styleId="aff1">
    <w:name w:val="Placeholder Text"/>
    <w:basedOn w:val="a0"/>
    <w:uiPriority w:val="99"/>
    <w:semiHidden/>
    <w:rsid w:val="00CF641C"/>
    <w:rPr>
      <w:color w:val="808080"/>
    </w:rPr>
  </w:style>
  <w:style w:type="table" w:customStyle="1" w:styleId="140">
    <w:name w:val="Сетка таблицы14"/>
    <w:basedOn w:val="a1"/>
    <w:uiPriority w:val="39"/>
    <w:rsid w:val="00CF641C"/>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0">
    <w:name w:val="Сетка таблицы23"/>
    <w:basedOn w:val="a1"/>
    <w:next w:val="af6"/>
    <w:uiPriority w:val="39"/>
    <w:rsid w:val="00CF64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Сетка таблицы32"/>
    <w:basedOn w:val="a1"/>
    <w:next w:val="af6"/>
    <w:uiPriority w:val="39"/>
    <w:rsid w:val="00CF64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Сетка таблицы41"/>
    <w:basedOn w:val="a1"/>
    <w:next w:val="af6"/>
    <w:uiPriority w:val="59"/>
    <w:rsid w:val="00CF641C"/>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2"/>
    <w:basedOn w:val="a1"/>
    <w:next w:val="af6"/>
    <w:uiPriority w:val="59"/>
    <w:rsid w:val="00CF641C"/>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Нет списка31"/>
    <w:next w:val="a2"/>
    <w:uiPriority w:val="99"/>
    <w:semiHidden/>
    <w:unhideWhenUsed/>
    <w:rsid w:val="00CF641C"/>
  </w:style>
  <w:style w:type="numbering" w:customStyle="1" w:styleId="1120">
    <w:name w:val="Нет списка112"/>
    <w:next w:val="a2"/>
    <w:uiPriority w:val="99"/>
    <w:semiHidden/>
    <w:unhideWhenUsed/>
    <w:rsid w:val="00CF641C"/>
  </w:style>
  <w:style w:type="numbering" w:customStyle="1" w:styleId="2110">
    <w:name w:val="Нет списка211"/>
    <w:next w:val="a2"/>
    <w:uiPriority w:val="99"/>
    <w:semiHidden/>
    <w:unhideWhenUsed/>
    <w:rsid w:val="00CF641C"/>
  </w:style>
  <w:style w:type="table" w:customStyle="1" w:styleId="113">
    <w:name w:val="Сетка таблицы113"/>
    <w:basedOn w:val="a1"/>
    <w:uiPriority w:val="39"/>
    <w:rsid w:val="00CF641C"/>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
    <w:name w:val="Сетка таблицы211"/>
    <w:basedOn w:val="a1"/>
    <w:next w:val="af6"/>
    <w:uiPriority w:val="39"/>
    <w:rsid w:val="00CF64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Сетка таблицы311"/>
    <w:basedOn w:val="a1"/>
    <w:next w:val="af6"/>
    <w:uiPriority w:val="39"/>
    <w:rsid w:val="00CF64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Сетка таблицы511"/>
    <w:basedOn w:val="a1"/>
    <w:next w:val="af6"/>
    <w:uiPriority w:val="59"/>
    <w:rsid w:val="00CF641C"/>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uiPriority w:val="59"/>
    <w:rsid w:val="00CF641C"/>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3">
    <w:name w:val="Нет списка5"/>
    <w:next w:val="a2"/>
    <w:uiPriority w:val="99"/>
    <w:semiHidden/>
    <w:unhideWhenUsed/>
    <w:rsid w:val="002E3CE8"/>
  </w:style>
  <w:style w:type="table" w:customStyle="1" w:styleId="8">
    <w:name w:val="Сетка таблицы8"/>
    <w:basedOn w:val="a1"/>
    <w:next w:val="af6"/>
    <w:uiPriority w:val="59"/>
    <w:rsid w:val="002E3CE8"/>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Default"/>
    <w:next w:val="Default"/>
    <w:uiPriority w:val="99"/>
    <w:rsid w:val="002E3CE8"/>
    <w:pPr>
      <w:spacing w:line="241" w:lineRule="atLeast"/>
    </w:pPr>
    <w:rPr>
      <w:rFonts w:ascii="UkrainianJournal" w:eastAsiaTheme="minorHAnsi" w:hAnsi="UkrainianJournal" w:cstheme="minorBidi"/>
      <w:color w:val="auto"/>
      <w:lang w:eastAsia="en-US"/>
    </w:rPr>
  </w:style>
  <w:style w:type="paragraph" w:customStyle="1" w:styleId="Pa1">
    <w:name w:val="Pa1"/>
    <w:basedOn w:val="Default"/>
    <w:next w:val="Default"/>
    <w:uiPriority w:val="99"/>
    <w:rsid w:val="002E3CE8"/>
    <w:pPr>
      <w:spacing w:line="201" w:lineRule="atLeast"/>
    </w:pPr>
    <w:rPr>
      <w:rFonts w:ascii="UkrainianJournal" w:eastAsiaTheme="minorHAnsi" w:hAnsi="UkrainianJournal" w:cstheme="minorBidi"/>
      <w:color w:val="auto"/>
      <w:lang w:eastAsia="en-US"/>
    </w:rPr>
  </w:style>
  <w:style w:type="paragraph" w:customStyle="1" w:styleId="Pa17">
    <w:name w:val="Pa17"/>
    <w:basedOn w:val="Default"/>
    <w:next w:val="Default"/>
    <w:uiPriority w:val="99"/>
    <w:rsid w:val="002E3CE8"/>
    <w:pPr>
      <w:spacing w:line="181" w:lineRule="atLeast"/>
    </w:pPr>
    <w:rPr>
      <w:rFonts w:ascii="UkrainianJournal" w:eastAsiaTheme="minorHAnsi" w:hAnsi="UkrainianJournal" w:cstheme="minorBidi"/>
      <w:color w:val="auto"/>
      <w:lang w:eastAsia="en-US"/>
    </w:rPr>
  </w:style>
  <w:style w:type="numbering" w:customStyle="1" w:styleId="141">
    <w:name w:val="Нет списка14"/>
    <w:next w:val="a2"/>
    <w:uiPriority w:val="99"/>
    <w:semiHidden/>
    <w:unhideWhenUsed/>
    <w:rsid w:val="002E3CE8"/>
  </w:style>
  <w:style w:type="table" w:customStyle="1" w:styleId="150">
    <w:name w:val="Сетка таблицы15"/>
    <w:basedOn w:val="a1"/>
    <w:next w:val="af6"/>
    <w:uiPriority w:val="99"/>
    <w:rsid w:val="002E3C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1">
    <w:name w:val="Нет списка23"/>
    <w:next w:val="a2"/>
    <w:uiPriority w:val="99"/>
    <w:semiHidden/>
    <w:unhideWhenUsed/>
    <w:rsid w:val="002E3CE8"/>
  </w:style>
  <w:style w:type="table" w:customStyle="1" w:styleId="240">
    <w:name w:val="Сетка таблицы24"/>
    <w:basedOn w:val="a1"/>
    <w:next w:val="af6"/>
    <w:uiPriority w:val="59"/>
    <w:rsid w:val="002E3CE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caption"/>
    <w:basedOn w:val="a"/>
    <w:next w:val="a"/>
    <w:uiPriority w:val="35"/>
    <w:unhideWhenUsed/>
    <w:qFormat/>
    <w:rsid w:val="002E3CE8"/>
    <w:pPr>
      <w:spacing w:after="200"/>
    </w:pPr>
    <w:rPr>
      <w:rFonts w:ascii="Calibri" w:eastAsia="Calibri" w:hAnsi="Calibri"/>
      <w:i/>
      <w:iCs/>
      <w:color w:val="44546A"/>
      <w:sz w:val="18"/>
      <w:szCs w:val="18"/>
      <w:lang w:val="ru-RU" w:eastAsia="en-US"/>
    </w:rPr>
  </w:style>
  <w:style w:type="numbering" w:customStyle="1" w:styleId="321">
    <w:name w:val="Нет списка32"/>
    <w:next w:val="a2"/>
    <w:uiPriority w:val="99"/>
    <w:semiHidden/>
    <w:unhideWhenUsed/>
    <w:rsid w:val="002E3CE8"/>
  </w:style>
  <w:style w:type="character" w:customStyle="1" w:styleId="1a">
    <w:name w:val="Просмотренная гиперссылка1"/>
    <w:basedOn w:val="a0"/>
    <w:uiPriority w:val="99"/>
    <w:semiHidden/>
    <w:unhideWhenUsed/>
    <w:rsid w:val="002E3CE8"/>
    <w:rPr>
      <w:color w:val="800080"/>
      <w:u w:val="single"/>
    </w:rPr>
  </w:style>
  <w:style w:type="paragraph" w:styleId="aff3">
    <w:name w:val="Subtitle"/>
    <w:basedOn w:val="a"/>
    <w:next w:val="a"/>
    <w:link w:val="aff4"/>
    <w:uiPriority w:val="99"/>
    <w:qFormat/>
    <w:rsid w:val="002E3CE8"/>
    <w:pPr>
      <w:keepNext/>
      <w:keepLines/>
      <w:spacing w:before="360" w:after="80" w:line="256" w:lineRule="auto"/>
      <w:contextualSpacing/>
    </w:pPr>
    <w:rPr>
      <w:rFonts w:ascii="Cambria" w:eastAsia="Calibri" w:hAnsi="Cambria"/>
      <w:color w:val="00000A"/>
      <w:szCs w:val="20"/>
      <w:lang w:val="ru-RU"/>
    </w:rPr>
  </w:style>
  <w:style w:type="character" w:customStyle="1" w:styleId="aff4">
    <w:name w:val="Подзаголовок Знак"/>
    <w:basedOn w:val="a0"/>
    <w:link w:val="aff3"/>
    <w:uiPriority w:val="99"/>
    <w:rsid w:val="002E3CE8"/>
    <w:rPr>
      <w:rFonts w:ascii="Cambria" w:hAnsi="Cambria"/>
      <w:color w:val="00000A"/>
      <w:sz w:val="24"/>
    </w:rPr>
  </w:style>
  <w:style w:type="table" w:customStyle="1" w:styleId="330">
    <w:name w:val="Сетка таблицы33"/>
    <w:basedOn w:val="a1"/>
    <w:next w:val="af6"/>
    <w:uiPriority w:val="59"/>
    <w:rsid w:val="002E3CE8"/>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99"/>
    <w:rsid w:val="002E3CE8"/>
    <w:pPr>
      <w:spacing w:after="160" w:line="256" w:lineRule="auto"/>
    </w:pPr>
    <w:rPr>
      <w:rFonts w:cs="Calibri"/>
      <w:color w:val="00000A"/>
      <w:sz w:val="22"/>
      <w:szCs w:val="22"/>
      <w:lang w:val="en-US" w:eastAsia="en-US"/>
    </w:rPr>
    <w:tblPr>
      <w:tblCellMar>
        <w:top w:w="0" w:type="dxa"/>
        <w:left w:w="0" w:type="dxa"/>
        <w:bottom w:w="0" w:type="dxa"/>
        <w:right w:w="0" w:type="dxa"/>
      </w:tblCellMar>
    </w:tblPr>
  </w:style>
  <w:style w:type="table" w:customStyle="1" w:styleId="aff5">
    <w:name w:val="Стиль"/>
    <w:basedOn w:val="TableNormal1"/>
    <w:uiPriority w:val="99"/>
    <w:rsid w:val="002E3CE8"/>
    <w:tblPr>
      <w:tblStyleRowBandSize w:val="1"/>
      <w:tblStyleColBandSize w:val="1"/>
      <w:tblCellMar>
        <w:left w:w="98" w:type="dxa"/>
        <w:right w:w="108" w:type="dxa"/>
      </w:tblCellMar>
    </w:tblPr>
  </w:style>
  <w:style w:type="table" w:customStyle="1" w:styleId="62">
    <w:name w:val="Стиль6"/>
    <w:basedOn w:val="TableNormal1"/>
    <w:uiPriority w:val="99"/>
    <w:rsid w:val="002E3CE8"/>
    <w:pPr>
      <w:spacing w:after="0" w:line="240" w:lineRule="auto"/>
    </w:pPr>
    <w:tblPr>
      <w:tblStyleRowBandSize w:val="1"/>
      <w:tblStyleColBandSize w:val="1"/>
      <w:tblCellMar>
        <w:left w:w="98" w:type="dxa"/>
        <w:right w:w="108" w:type="dxa"/>
      </w:tblCellMar>
    </w:tblPr>
  </w:style>
  <w:style w:type="table" w:customStyle="1" w:styleId="54">
    <w:name w:val="Стиль5"/>
    <w:basedOn w:val="TableNormal1"/>
    <w:uiPriority w:val="99"/>
    <w:rsid w:val="002E3CE8"/>
    <w:tblPr>
      <w:tblStyleRowBandSize w:val="1"/>
      <w:tblStyleColBandSize w:val="1"/>
      <w:tblCellMar>
        <w:left w:w="98" w:type="dxa"/>
        <w:right w:w="108" w:type="dxa"/>
      </w:tblCellMar>
    </w:tblPr>
  </w:style>
  <w:style w:type="table" w:customStyle="1" w:styleId="43">
    <w:name w:val="Стиль4"/>
    <w:basedOn w:val="TableNormal1"/>
    <w:uiPriority w:val="99"/>
    <w:rsid w:val="002E3CE8"/>
    <w:tblPr>
      <w:tblStyleRowBandSize w:val="1"/>
      <w:tblStyleColBandSize w:val="1"/>
      <w:tblCellMar>
        <w:left w:w="98" w:type="dxa"/>
        <w:right w:w="108" w:type="dxa"/>
      </w:tblCellMar>
    </w:tblPr>
  </w:style>
  <w:style w:type="table" w:customStyle="1" w:styleId="37">
    <w:name w:val="Стиль3"/>
    <w:basedOn w:val="TableNormal1"/>
    <w:uiPriority w:val="99"/>
    <w:rsid w:val="002E3CE8"/>
    <w:pPr>
      <w:spacing w:after="0" w:line="240" w:lineRule="auto"/>
    </w:pPr>
    <w:tblPr>
      <w:tblStyleRowBandSize w:val="1"/>
      <w:tblStyleColBandSize w:val="1"/>
      <w:tblCellMar>
        <w:left w:w="98" w:type="dxa"/>
        <w:right w:w="108" w:type="dxa"/>
      </w:tblCellMar>
    </w:tblPr>
  </w:style>
  <w:style w:type="table" w:customStyle="1" w:styleId="2b">
    <w:name w:val="Стиль2"/>
    <w:basedOn w:val="TableNormal1"/>
    <w:uiPriority w:val="99"/>
    <w:rsid w:val="002E3CE8"/>
    <w:pPr>
      <w:spacing w:after="0" w:line="240" w:lineRule="auto"/>
    </w:pPr>
    <w:tblPr>
      <w:tblStyleRowBandSize w:val="1"/>
      <w:tblStyleColBandSize w:val="1"/>
      <w:tblCellMar>
        <w:left w:w="98" w:type="dxa"/>
        <w:right w:w="108" w:type="dxa"/>
      </w:tblCellMar>
    </w:tblPr>
  </w:style>
  <w:style w:type="table" w:customStyle="1" w:styleId="1b">
    <w:name w:val="Стиль1"/>
    <w:basedOn w:val="TableNormal1"/>
    <w:uiPriority w:val="99"/>
    <w:rsid w:val="002E3CE8"/>
    <w:pPr>
      <w:spacing w:after="0" w:line="240" w:lineRule="auto"/>
    </w:pPr>
    <w:tblPr>
      <w:tblStyleRowBandSize w:val="1"/>
      <w:tblStyleColBandSize w:val="1"/>
      <w:tblCellMar>
        <w:left w:w="98" w:type="dxa"/>
        <w:right w:w="108" w:type="dxa"/>
      </w:tblCellMar>
    </w:tblPr>
  </w:style>
  <w:style w:type="numbering" w:customStyle="1" w:styleId="411">
    <w:name w:val="Нет списка41"/>
    <w:next w:val="a2"/>
    <w:uiPriority w:val="99"/>
    <w:semiHidden/>
    <w:unhideWhenUsed/>
    <w:rsid w:val="002E3CE8"/>
  </w:style>
  <w:style w:type="table" w:customStyle="1" w:styleId="420">
    <w:name w:val="Сетка таблицы42"/>
    <w:basedOn w:val="a1"/>
    <w:next w:val="af6"/>
    <w:uiPriority w:val="59"/>
    <w:rsid w:val="002E3CE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Сетка таблицы114"/>
    <w:basedOn w:val="a1"/>
    <w:uiPriority w:val="39"/>
    <w:rsid w:val="002E3CE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0">
    <w:name w:val="Сетка таблицы212"/>
    <w:basedOn w:val="a1"/>
    <w:uiPriority w:val="59"/>
    <w:rsid w:val="002E3CE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0">
    <w:name w:val="Сетка таблицы1111"/>
    <w:basedOn w:val="a1"/>
    <w:uiPriority w:val="59"/>
    <w:rsid w:val="002E3CE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2">
    <w:name w:val="Нет списка51"/>
    <w:next w:val="a2"/>
    <w:uiPriority w:val="99"/>
    <w:semiHidden/>
    <w:unhideWhenUsed/>
    <w:rsid w:val="002E3CE8"/>
  </w:style>
  <w:style w:type="table" w:customStyle="1" w:styleId="530">
    <w:name w:val="Сетка таблицы53"/>
    <w:basedOn w:val="a1"/>
    <w:next w:val="af6"/>
    <w:uiPriority w:val="5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Сетка таблицы121"/>
    <w:basedOn w:val="a1"/>
    <w:uiPriority w:val="5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0">
    <w:name w:val="Сетка таблицы221"/>
    <w:basedOn w:val="a1"/>
    <w:uiPriority w:val="5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Сетка таблицы312"/>
    <w:basedOn w:val="a1"/>
    <w:uiPriority w:val="5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0">
    <w:name w:val="Сетка таблицы411"/>
    <w:basedOn w:val="a1"/>
    <w:uiPriority w:val="5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Сетка таблицы61"/>
    <w:basedOn w:val="a1"/>
    <w:uiPriority w:val="5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abel">
    <w:name w:val="label"/>
    <w:basedOn w:val="a0"/>
    <w:rsid w:val="002E3CE8"/>
  </w:style>
  <w:style w:type="character" w:customStyle="1" w:styleId="mixed-citation">
    <w:name w:val="mixed-citation"/>
    <w:basedOn w:val="a0"/>
    <w:rsid w:val="002E3CE8"/>
  </w:style>
  <w:style w:type="character" w:customStyle="1" w:styleId="italic">
    <w:name w:val="italic"/>
    <w:basedOn w:val="a0"/>
    <w:rsid w:val="002E3CE8"/>
  </w:style>
  <w:style w:type="character" w:customStyle="1" w:styleId="addmd">
    <w:name w:val="addmd"/>
    <w:basedOn w:val="a0"/>
    <w:rsid w:val="002E3CE8"/>
  </w:style>
  <w:style w:type="paragraph" w:customStyle="1" w:styleId="sel">
    <w:name w:val="sel"/>
    <w:basedOn w:val="a"/>
    <w:uiPriority w:val="99"/>
    <w:rsid w:val="002E3CE8"/>
    <w:pPr>
      <w:spacing w:before="75" w:after="75"/>
      <w:ind w:left="75" w:right="75"/>
    </w:pPr>
    <w:rPr>
      <w:rFonts w:ascii="Courier" w:hAnsi="Courier"/>
      <w:lang w:val="ru-RU"/>
    </w:rPr>
  </w:style>
  <w:style w:type="character" w:customStyle="1" w:styleId="sel1">
    <w:name w:val="sel1"/>
    <w:basedOn w:val="a0"/>
    <w:rsid w:val="002E3CE8"/>
    <w:rPr>
      <w:rFonts w:ascii="Courier" w:hAnsi="Courier" w:hint="default"/>
    </w:rPr>
  </w:style>
  <w:style w:type="character" w:customStyle="1" w:styleId="text">
    <w:name w:val="text"/>
    <w:basedOn w:val="a0"/>
    <w:rsid w:val="002E3CE8"/>
  </w:style>
  <w:style w:type="character" w:customStyle="1" w:styleId="author-ref">
    <w:name w:val="author-ref"/>
    <w:basedOn w:val="a0"/>
    <w:rsid w:val="002E3CE8"/>
  </w:style>
  <w:style w:type="numbering" w:customStyle="1" w:styleId="63">
    <w:name w:val="Нет списка6"/>
    <w:next w:val="a2"/>
    <w:uiPriority w:val="99"/>
    <w:semiHidden/>
    <w:unhideWhenUsed/>
    <w:rsid w:val="002E3CE8"/>
  </w:style>
  <w:style w:type="paragraph" w:customStyle="1" w:styleId="p21">
    <w:name w:val="p21"/>
    <w:basedOn w:val="a"/>
    <w:uiPriority w:val="99"/>
    <w:rsid w:val="002E3CE8"/>
    <w:pPr>
      <w:spacing w:before="100" w:beforeAutospacing="1" w:after="100" w:afterAutospacing="1"/>
    </w:pPr>
    <w:rPr>
      <w:lang w:val="ru-RU"/>
    </w:rPr>
  </w:style>
  <w:style w:type="table" w:customStyle="1" w:styleId="71">
    <w:name w:val="Сетка таблицы71"/>
    <w:basedOn w:val="a1"/>
    <w:next w:val="af6"/>
    <w:uiPriority w:val="99"/>
    <w:rsid w:val="002E3C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2">
    <w:name w:val="p22"/>
    <w:basedOn w:val="a"/>
    <w:uiPriority w:val="99"/>
    <w:rsid w:val="002E3CE8"/>
    <w:pPr>
      <w:spacing w:before="100" w:beforeAutospacing="1" w:after="100" w:afterAutospacing="1"/>
    </w:pPr>
    <w:rPr>
      <w:lang w:val="ru-RU"/>
    </w:rPr>
  </w:style>
  <w:style w:type="paragraph" w:customStyle="1" w:styleId="p23">
    <w:name w:val="p23"/>
    <w:basedOn w:val="a"/>
    <w:uiPriority w:val="99"/>
    <w:rsid w:val="002E3CE8"/>
    <w:pPr>
      <w:spacing w:before="100" w:beforeAutospacing="1" w:after="100" w:afterAutospacing="1"/>
    </w:pPr>
    <w:rPr>
      <w:lang w:val="ru-RU"/>
    </w:rPr>
  </w:style>
  <w:style w:type="paragraph" w:customStyle="1" w:styleId="Figurecaption">
    <w:name w:val="Figure caption"/>
    <w:basedOn w:val="a"/>
    <w:uiPriority w:val="99"/>
    <w:rsid w:val="002E3CE8"/>
    <w:pPr>
      <w:tabs>
        <w:tab w:val="right" w:pos="7920"/>
      </w:tabs>
      <w:spacing w:before="200" w:after="200"/>
      <w:ind w:left="360" w:right="360"/>
      <w:jc w:val="center"/>
    </w:pPr>
    <w:rPr>
      <w:sz w:val="20"/>
      <w:szCs w:val="20"/>
      <w:lang w:val="en-US" w:eastAsia="en-US"/>
    </w:rPr>
  </w:style>
  <w:style w:type="character" w:customStyle="1" w:styleId="5yl5">
    <w:name w:val="_5yl5"/>
    <w:basedOn w:val="a0"/>
    <w:rsid w:val="002E3CE8"/>
  </w:style>
  <w:style w:type="table" w:customStyle="1" w:styleId="81">
    <w:name w:val="Сетка таблицы81"/>
    <w:basedOn w:val="a1"/>
    <w:next w:val="af6"/>
    <w:uiPriority w:val="3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Сетка таблицы9"/>
    <w:basedOn w:val="a1"/>
    <w:next w:val="af6"/>
    <w:uiPriority w:val="3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Сетка таблицы131"/>
    <w:basedOn w:val="a1"/>
    <w:next w:val="af6"/>
    <w:uiPriority w:val="3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
    <w:name w:val="Нет списка7"/>
    <w:next w:val="a2"/>
    <w:uiPriority w:val="99"/>
    <w:semiHidden/>
    <w:unhideWhenUsed/>
    <w:rsid w:val="002E3CE8"/>
  </w:style>
  <w:style w:type="table" w:customStyle="1" w:styleId="100">
    <w:name w:val="Сетка таблицы10"/>
    <w:basedOn w:val="a1"/>
    <w:next w:val="af6"/>
    <w:uiPriority w:val="39"/>
    <w:rsid w:val="002E3CE8"/>
    <w:rPr>
      <w:rFonts w:ascii="Times New Roman" w:eastAsiaTheme="minorHAnsi" w:hAnsi="Times New Roman" w:cstheme="minorBidi"/>
      <w:sz w:val="28"/>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lement-citation">
    <w:name w:val="element-citation"/>
    <w:basedOn w:val="a0"/>
    <w:rsid w:val="002E3CE8"/>
  </w:style>
  <w:style w:type="table" w:customStyle="1" w:styleId="1410">
    <w:name w:val="Сетка таблицы141"/>
    <w:basedOn w:val="a1"/>
    <w:next w:val="af6"/>
    <w:uiPriority w:val="5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Сетка таблицы151"/>
    <w:basedOn w:val="a1"/>
    <w:next w:val="af6"/>
    <w:uiPriority w:val="5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Сетка таблицы1121"/>
    <w:basedOn w:val="a1"/>
    <w:next w:val="af6"/>
    <w:uiPriority w:val="59"/>
    <w:rsid w:val="002E3CE8"/>
    <w:rPr>
      <w:rFonts w:ascii="Times New Roman" w:eastAsia="Times New Roman" w:hAnsi="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
    <w:name w:val="Нет списка8"/>
    <w:next w:val="a2"/>
    <w:uiPriority w:val="99"/>
    <w:semiHidden/>
    <w:unhideWhenUsed/>
    <w:rsid w:val="002E3CE8"/>
  </w:style>
  <w:style w:type="table" w:customStyle="1" w:styleId="160">
    <w:name w:val="Сетка таблицы16"/>
    <w:basedOn w:val="a1"/>
    <w:next w:val="af6"/>
    <w:uiPriority w:val="59"/>
    <w:rsid w:val="002E3CE8"/>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0">
    <w:name w:val="Нет списка113"/>
    <w:next w:val="a2"/>
    <w:uiPriority w:val="99"/>
    <w:semiHidden/>
    <w:unhideWhenUsed/>
    <w:rsid w:val="002E3CE8"/>
  </w:style>
  <w:style w:type="table" w:customStyle="1" w:styleId="170">
    <w:name w:val="Сетка таблицы17"/>
    <w:basedOn w:val="a1"/>
    <w:next w:val="af6"/>
    <w:uiPriority w:val="99"/>
    <w:rsid w:val="002E3C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
    <w:name w:val="Нет списка212"/>
    <w:next w:val="a2"/>
    <w:uiPriority w:val="99"/>
    <w:semiHidden/>
    <w:unhideWhenUsed/>
    <w:rsid w:val="002E3CE8"/>
  </w:style>
  <w:style w:type="table" w:customStyle="1" w:styleId="2310">
    <w:name w:val="Сетка таблицы231"/>
    <w:basedOn w:val="a1"/>
    <w:next w:val="af6"/>
    <w:uiPriority w:val="59"/>
    <w:rsid w:val="002E3CE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1">
    <w:name w:val="Нет списка311"/>
    <w:next w:val="a2"/>
    <w:uiPriority w:val="99"/>
    <w:semiHidden/>
    <w:unhideWhenUsed/>
    <w:rsid w:val="002E3CE8"/>
  </w:style>
  <w:style w:type="table" w:customStyle="1" w:styleId="3210">
    <w:name w:val="Сетка таблицы321"/>
    <w:basedOn w:val="a1"/>
    <w:next w:val="af6"/>
    <w:uiPriority w:val="59"/>
    <w:rsid w:val="002E3CE8"/>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99"/>
    <w:rsid w:val="002E3CE8"/>
    <w:pPr>
      <w:spacing w:after="160" w:line="256" w:lineRule="auto"/>
    </w:pPr>
    <w:rPr>
      <w:rFonts w:cs="Calibri"/>
      <w:color w:val="00000A"/>
      <w:sz w:val="22"/>
      <w:szCs w:val="22"/>
      <w:lang w:val="en-US" w:eastAsia="en-US"/>
    </w:rPr>
    <w:tblPr>
      <w:tblCellMar>
        <w:top w:w="0" w:type="dxa"/>
        <w:left w:w="0" w:type="dxa"/>
        <w:bottom w:w="0" w:type="dxa"/>
        <w:right w:w="0" w:type="dxa"/>
      </w:tblCellMar>
    </w:tblPr>
  </w:style>
  <w:style w:type="table" w:customStyle="1" w:styleId="72">
    <w:name w:val="Стиль7"/>
    <w:basedOn w:val="TableNormal1"/>
    <w:uiPriority w:val="99"/>
    <w:rsid w:val="002E3CE8"/>
    <w:tblPr>
      <w:tblStyleRowBandSize w:val="1"/>
      <w:tblStyleColBandSize w:val="1"/>
      <w:tblCellMar>
        <w:left w:w="98" w:type="dxa"/>
        <w:right w:w="108" w:type="dxa"/>
      </w:tblCellMar>
    </w:tblPr>
  </w:style>
  <w:style w:type="table" w:customStyle="1" w:styleId="611">
    <w:name w:val="Стиль61"/>
    <w:basedOn w:val="TableNormal1"/>
    <w:uiPriority w:val="99"/>
    <w:rsid w:val="002E3CE8"/>
    <w:pPr>
      <w:spacing w:after="0" w:line="240" w:lineRule="auto"/>
    </w:pPr>
    <w:tblPr>
      <w:tblStyleRowBandSize w:val="1"/>
      <w:tblStyleColBandSize w:val="1"/>
      <w:tblCellMar>
        <w:left w:w="98" w:type="dxa"/>
        <w:right w:w="108" w:type="dxa"/>
      </w:tblCellMar>
    </w:tblPr>
  </w:style>
  <w:style w:type="table" w:customStyle="1" w:styleId="513">
    <w:name w:val="Стиль51"/>
    <w:basedOn w:val="TableNormal1"/>
    <w:uiPriority w:val="99"/>
    <w:rsid w:val="002E3CE8"/>
    <w:tblPr>
      <w:tblStyleRowBandSize w:val="1"/>
      <w:tblStyleColBandSize w:val="1"/>
      <w:tblCellMar>
        <w:left w:w="98" w:type="dxa"/>
        <w:right w:w="108" w:type="dxa"/>
      </w:tblCellMar>
    </w:tblPr>
  </w:style>
  <w:style w:type="table" w:customStyle="1" w:styleId="412">
    <w:name w:val="Стиль41"/>
    <w:basedOn w:val="TableNormal1"/>
    <w:uiPriority w:val="99"/>
    <w:rsid w:val="002E3CE8"/>
    <w:tblPr>
      <w:tblStyleRowBandSize w:val="1"/>
      <w:tblStyleColBandSize w:val="1"/>
      <w:tblCellMar>
        <w:left w:w="98" w:type="dxa"/>
        <w:right w:w="108" w:type="dxa"/>
      </w:tblCellMar>
    </w:tblPr>
  </w:style>
  <w:style w:type="table" w:customStyle="1" w:styleId="313">
    <w:name w:val="Стиль31"/>
    <w:basedOn w:val="TableNormal1"/>
    <w:uiPriority w:val="99"/>
    <w:rsid w:val="002E3CE8"/>
    <w:pPr>
      <w:spacing w:after="0" w:line="240" w:lineRule="auto"/>
    </w:pPr>
    <w:tblPr>
      <w:tblStyleRowBandSize w:val="1"/>
      <w:tblStyleColBandSize w:val="1"/>
      <w:tblCellMar>
        <w:left w:w="98" w:type="dxa"/>
        <w:right w:w="108" w:type="dxa"/>
      </w:tblCellMar>
    </w:tblPr>
  </w:style>
  <w:style w:type="table" w:customStyle="1" w:styleId="214">
    <w:name w:val="Стиль21"/>
    <w:basedOn w:val="TableNormal1"/>
    <w:uiPriority w:val="99"/>
    <w:rsid w:val="002E3CE8"/>
    <w:pPr>
      <w:spacing w:after="0" w:line="240" w:lineRule="auto"/>
    </w:pPr>
    <w:tblPr>
      <w:tblStyleRowBandSize w:val="1"/>
      <w:tblStyleColBandSize w:val="1"/>
      <w:tblCellMar>
        <w:left w:w="98" w:type="dxa"/>
        <w:right w:w="108" w:type="dxa"/>
      </w:tblCellMar>
    </w:tblPr>
  </w:style>
  <w:style w:type="table" w:customStyle="1" w:styleId="115">
    <w:name w:val="Стиль11"/>
    <w:basedOn w:val="TableNormal1"/>
    <w:uiPriority w:val="99"/>
    <w:rsid w:val="002E3CE8"/>
    <w:pPr>
      <w:spacing w:after="0" w:line="240" w:lineRule="auto"/>
    </w:pPr>
    <w:tblPr>
      <w:tblStyleRowBandSize w:val="1"/>
      <w:tblStyleColBandSize w:val="1"/>
      <w:tblCellMar>
        <w:left w:w="98" w:type="dxa"/>
        <w:right w:w="108" w:type="dxa"/>
      </w:tblCellMar>
    </w:tblPr>
  </w:style>
  <w:style w:type="numbering" w:customStyle="1" w:styleId="4111">
    <w:name w:val="Нет списка411"/>
    <w:next w:val="a2"/>
    <w:uiPriority w:val="99"/>
    <w:semiHidden/>
    <w:unhideWhenUsed/>
    <w:rsid w:val="002E3CE8"/>
  </w:style>
  <w:style w:type="table" w:customStyle="1" w:styleId="1131">
    <w:name w:val="Сетка таблицы1131"/>
    <w:basedOn w:val="a1"/>
    <w:uiPriority w:val="39"/>
    <w:rsid w:val="002E3CE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0">
    <w:name w:val="Сетка таблицы2111"/>
    <w:basedOn w:val="a1"/>
    <w:uiPriority w:val="59"/>
    <w:rsid w:val="002E3CE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10">
    <w:name w:val="Нет списка511"/>
    <w:next w:val="a2"/>
    <w:uiPriority w:val="99"/>
    <w:semiHidden/>
    <w:unhideWhenUsed/>
    <w:rsid w:val="002E3CE8"/>
  </w:style>
  <w:style w:type="table" w:customStyle="1" w:styleId="5120">
    <w:name w:val="Сетка таблицы512"/>
    <w:basedOn w:val="a1"/>
    <w:next w:val="af6"/>
    <w:uiPriority w:val="5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Сетка таблицы3111"/>
    <w:basedOn w:val="a1"/>
    <w:uiPriority w:val="5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2">
    <w:name w:val="Нет списка61"/>
    <w:next w:val="a2"/>
    <w:uiPriority w:val="99"/>
    <w:semiHidden/>
    <w:unhideWhenUsed/>
    <w:rsid w:val="002E3CE8"/>
  </w:style>
  <w:style w:type="table" w:customStyle="1" w:styleId="91">
    <w:name w:val="Сетка таблицы91"/>
    <w:basedOn w:val="a1"/>
    <w:next w:val="af6"/>
    <w:uiPriority w:val="3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0">
    <w:name w:val="Нет списка71"/>
    <w:next w:val="a2"/>
    <w:uiPriority w:val="99"/>
    <w:semiHidden/>
    <w:unhideWhenUsed/>
    <w:rsid w:val="002E3CE8"/>
  </w:style>
  <w:style w:type="table" w:customStyle="1" w:styleId="101">
    <w:name w:val="Сетка таблицы101"/>
    <w:basedOn w:val="a1"/>
    <w:next w:val="af6"/>
    <w:uiPriority w:val="39"/>
    <w:rsid w:val="002E3CE8"/>
    <w:rPr>
      <w:rFonts w:ascii="Times New Roman" w:eastAsiaTheme="minorHAnsi" w:hAnsi="Times New Roman" w:cstheme="minorBidi"/>
      <w:sz w:val="28"/>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
    <w:name w:val="Нет списка9"/>
    <w:next w:val="a2"/>
    <w:uiPriority w:val="99"/>
    <w:semiHidden/>
    <w:unhideWhenUsed/>
    <w:rsid w:val="002E3CE8"/>
  </w:style>
  <w:style w:type="table" w:customStyle="1" w:styleId="180">
    <w:name w:val="Сетка таблицы18"/>
    <w:basedOn w:val="a1"/>
    <w:next w:val="af6"/>
    <w:uiPriority w:val="3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0">
    <w:name w:val="Сетка таблицы19"/>
    <w:basedOn w:val="a1"/>
    <w:uiPriority w:val="39"/>
    <w:rsid w:val="002E3CE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0">
    <w:name w:val="Сетка таблицы25"/>
    <w:basedOn w:val="a1"/>
    <w:next w:val="af6"/>
    <w:uiPriority w:val="5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2">
    <w:name w:val="Нет списка15"/>
    <w:next w:val="a2"/>
    <w:uiPriority w:val="99"/>
    <w:semiHidden/>
    <w:unhideWhenUsed/>
    <w:rsid w:val="002E3CE8"/>
  </w:style>
  <w:style w:type="table" w:customStyle="1" w:styleId="340">
    <w:name w:val="Сетка таблицы34"/>
    <w:basedOn w:val="a1"/>
    <w:next w:val="af6"/>
    <w:uiPriority w:val="3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0">
    <w:name w:val="Сетка таблицы115"/>
    <w:basedOn w:val="a1"/>
    <w:next w:val="af6"/>
    <w:uiPriority w:val="39"/>
    <w:rsid w:val="002E3CE8"/>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6">
    <w:name w:val="Заголовок 11"/>
    <w:basedOn w:val="a"/>
    <w:next w:val="a"/>
    <w:uiPriority w:val="9"/>
    <w:qFormat/>
    <w:rsid w:val="002E3CE8"/>
    <w:pPr>
      <w:keepNext/>
      <w:keepLines/>
      <w:spacing w:before="240" w:line="276" w:lineRule="auto"/>
      <w:outlineLvl w:val="0"/>
    </w:pPr>
    <w:rPr>
      <w:rFonts w:ascii="Cambria" w:hAnsi="Cambria"/>
      <w:color w:val="365F91"/>
      <w:sz w:val="32"/>
      <w:szCs w:val="32"/>
      <w:lang w:val="ru-RU" w:eastAsia="en-US"/>
    </w:rPr>
  </w:style>
  <w:style w:type="numbering" w:customStyle="1" w:styleId="241">
    <w:name w:val="Нет списка24"/>
    <w:next w:val="a2"/>
    <w:uiPriority w:val="99"/>
    <w:semiHidden/>
    <w:unhideWhenUsed/>
    <w:rsid w:val="002E3CE8"/>
  </w:style>
  <w:style w:type="table" w:customStyle="1" w:styleId="430">
    <w:name w:val="Сетка таблицы43"/>
    <w:basedOn w:val="a1"/>
    <w:next w:val="af6"/>
    <w:uiPriority w:val="59"/>
    <w:rsid w:val="002E3C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7">
    <w:name w:val="Заголовок 1 Знак1"/>
    <w:basedOn w:val="a0"/>
    <w:uiPriority w:val="9"/>
    <w:rsid w:val="002E3CE8"/>
    <w:rPr>
      <w:rFonts w:asciiTheme="majorHAnsi" w:eastAsiaTheme="majorEastAsia" w:hAnsiTheme="majorHAnsi" w:cstheme="majorBidi"/>
      <w:color w:val="2E74B5" w:themeColor="accent1" w:themeShade="BF"/>
      <w:sz w:val="32"/>
      <w:szCs w:val="32"/>
    </w:rPr>
  </w:style>
  <w:style w:type="numbering" w:customStyle="1" w:styleId="331">
    <w:name w:val="Нет списка33"/>
    <w:next w:val="a2"/>
    <w:uiPriority w:val="99"/>
    <w:semiHidden/>
    <w:unhideWhenUsed/>
    <w:rsid w:val="002E3CE8"/>
  </w:style>
  <w:style w:type="table" w:customStyle="1" w:styleId="540">
    <w:name w:val="Сетка таблицы54"/>
    <w:basedOn w:val="a1"/>
    <w:next w:val="af6"/>
    <w:uiPriority w:val="39"/>
    <w:rsid w:val="002E3CE8"/>
    <w:rPr>
      <w:rFonts w:ascii="Times New Roman" w:eastAsiaTheme="minorHAnsi" w:hAnsi="Times New Roman" w:cstheme="minorBidi"/>
      <w:sz w:val="28"/>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5">
    <w:name w:val="Заголовок 21"/>
    <w:basedOn w:val="a"/>
    <w:next w:val="a"/>
    <w:semiHidden/>
    <w:unhideWhenUsed/>
    <w:qFormat/>
    <w:locked/>
    <w:rsid w:val="002E3CE8"/>
    <w:pPr>
      <w:keepNext/>
      <w:spacing w:before="240" w:after="60" w:line="259" w:lineRule="auto"/>
      <w:outlineLvl w:val="1"/>
    </w:pPr>
    <w:rPr>
      <w:rFonts w:ascii="Cambria" w:hAnsi="Cambria"/>
      <w:b/>
      <w:bCs/>
      <w:i/>
      <w:iCs/>
      <w:sz w:val="28"/>
      <w:szCs w:val="28"/>
      <w:lang w:val="ru-RU" w:eastAsia="en-US"/>
    </w:rPr>
  </w:style>
  <w:style w:type="numbering" w:customStyle="1" w:styleId="421">
    <w:name w:val="Нет списка42"/>
    <w:next w:val="a2"/>
    <w:uiPriority w:val="99"/>
    <w:semiHidden/>
    <w:unhideWhenUsed/>
    <w:rsid w:val="002E3CE8"/>
  </w:style>
  <w:style w:type="table" w:customStyle="1" w:styleId="122">
    <w:name w:val="Сетка таблицы122"/>
    <w:uiPriority w:val="99"/>
    <w:rsid w:val="002E3CE8"/>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0">
    <w:name w:val="Сетка таблицы62"/>
    <w:basedOn w:val="a1"/>
    <w:next w:val="af6"/>
    <w:uiPriority w:val="99"/>
    <w:rsid w:val="002E3C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6">
    <w:name w:val="Заголовок 2 Знак1"/>
    <w:basedOn w:val="a0"/>
    <w:uiPriority w:val="9"/>
    <w:semiHidden/>
    <w:rsid w:val="002E3CE8"/>
    <w:rPr>
      <w:rFonts w:asciiTheme="majorHAnsi" w:eastAsiaTheme="majorEastAsia" w:hAnsiTheme="majorHAnsi" w:cstheme="majorBidi"/>
      <w:color w:val="2E74B5" w:themeColor="accent1" w:themeShade="BF"/>
      <w:sz w:val="26"/>
      <w:szCs w:val="26"/>
    </w:rPr>
  </w:style>
  <w:style w:type="table" w:customStyle="1" w:styleId="720">
    <w:name w:val="Сетка таблицы72"/>
    <w:basedOn w:val="a1"/>
    <w:next w:val="af6"/>
    <w:uiPriority w:val="59"/>
    <w:rsid w:val="002E3CE8"/>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Нет списка10"/>
    <w:next w:val="a2"/>
    <w:uiPriority w:val="99"/>
    <w:semiHidden/>
    <w:unhideWhenUsed/>
    <w:rsid w:val="00180D3E"/>
  </w:style>
  <w:style w:type="table" w:customStyle="1" w:styleId="TableNormal">
    <w:name w:val="Table Normal"/>
    <w:rsid w:val="00180D3E"/>
    <w:pPr>
      <w:pBdr>
        <w:top w:val="nil"/>
        <w:left w:val="nil"/>
        <w:bottom w:val="nil"/>
        <w:right w:val="nil"/>
        <w:between w:val="nil"/>
      </w:pBdr>
      <w:spacing w:after="160" w:line="259" w:lineRule="auto"/>
    </w:pPr>
    <w:rPr>
      <w:rFonts w:cs="Calibri"/>
      <w:color w:val="000000"/>
      <w:sz w:val="22"/>
      <w:szCs w:val="22"/>
    </w:rPr>
    <w:tblPr>
      <w:tblCellMar>
        <w:top w:w="0" w:type="dxa"/>
        <w:left w:w="0" w:type="dxa"/>
        <w:bottom w:w="0" w:type="dxa"/>
        <w:right w:w="0" w:type="dxa"/>
      </w:tblCellMar>
    </w:tblPr>
  </w:style>
  <w:style w:type="numbering" w:customStyle="1" w:styleId="161">
    <w:name w:val="Нет списка16"/>
    <w:next w:val="a2"/>
    <w:uiPriority w:val="99"/>
    <w:semiHidden/>
    <w:unhideWhenUsed/>
    <w:rsid w:val="00180D3E"/>
  </w:style>
  <w:style w:type="paragraph" w:styleId="aff6">
    <w:name w:val="No Spacing"/>
    <w:uiPriority w:val="1"/>
    <w:qFormat/>
    <w:rsid w:val="00180D3E"/>
    <w:rPr>
      <w:sz w:val="22"/>
      <w:szCs w:val="22"/>
      <w:lang w:eastAsia="en-US"/>
    </w:rPr>
  </w:style>
  <w:style w:type="table" w:customStyle="1" w:styleId="200">
    <w:name w:val="Сетка таблицы20"/>
    <w:basedOn w:val="a1"/>
    <w:next w:val="af6"/>
    <w:uiPriority w:val="39"/>
    <w:rsid w:val="00180D3E"/>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73">
    <w:name w:val="p73"/>
    <w:basedOn w:val="a"/>
    <w:rsid w:val="00180D3E"/>
    <w:pPr>
      <w:spacing w:before="100" w:beforeAutospacing="1" w:after="100" w:afterAutospacing="1"/>
    </w:pPr>
    <w:rPr>
      <w:lang w:val="ru-RU"/>
    </w:rPr>
  </w:style>
  <w:style w:type="paragraph" w:customStyle="1" w:styleId="p378">
    <w:name w:val="p378"/>
    <w:basedOn w:val="a"/>
    <w:rsid w:val="00180D3E"/>
    <w:pPr>
      <w:spacing w:before="100" w:beforeAutospacing="1" w:after="100" w:afterAutospacing="1"/>
    </w:pPr>
    <w:rPr>
      <w:lang w:val="ru-RU"/>
    </w:rPr>
  </w:style>
  <w:style w:type="paragraph" w:customStyle="1" w:styleId="p27">
    <w:name w:val="p27"/>
    <w:basedOn w:val="a"/>
    <w:rsid w:val="00180D3E"/>
    <w:pPr>
      <w:spacing w:before="100" w:beforeAutospacing="1" w:after="100" w:afterAutospacing="1"/>
    </w:pPr>
    <w:rPr>
      <w:lang w:val="ru-RU"/>
    </w:rPr>
  </w:style>
  <w:style w:type="paragraph" w:customStyle="1" w:styleId="p379">
    <w:name w:val="p379"/>
    <w:basedOn w:val="a"/>
    <w:rsid w:val="00180D3E"/>
    <w:pPr>
      <w:spacing w:before="100" w:beforeAutospacing="1" w:after="100" w:afterAutospacing="1"/>
    </w:pPr>
    <w:rPr>
      <w:lang w:val="ru-RU"/>
    </w:rPr>
  </w:style>
  <w:style w:type="paragraph" w:customStyle="1" w:styleId="p79">
    <w:name w:val="p79"/>
    <w:basedOn w:val="a"/>
    <w:rsid w:val="00180D3E"/>
    <w:pPr>
      <w:spacing w:before="100" w:beforeAutospacing="1" w:after="100" w:afterAutospacing="1"/>
    </w:pPr>
    <w:rPr>
      <w:lang w:val="ru-RU"/>
    </w:rPr>
  </w:style>
  <w:style w:type="paragraph" w:customStyle="1" w:styleId="p66">
    <w:name w:val="p66"/>
    <w:basedOn w:val="a"/>
    <w:rsid w:val="00180D3E"/>
    <w:pPr>
      <w:spacing w:before="100" w:beforeAutospacing="1" w:after="100" w:afterAutospacing="1"/>
    </w:pPr>
    <w:rPr>
      <w:lang w:val="ru-RU"/>
    </w:rPr>
  </w:style>
  <w:style w:type="paragraph" w:customStyle="1" w:styleId="p25">
    <w:name w:val="p25"/>
    <w:basedOn w:val="a"/>
    <w:rsid w:val="00180D3E"/>
    <w:pPr>
      <w:spacing w:before="100" w:beforeAutospacing="1" w:after="100" w:afterAutospacing="1"/>
    </w:pPr>
    <w:rPr>
      <w:lang w:val="ru-RU"/>
    </w:rPr>
  </w:style>
  <w:style w:type="character" w:customStyle="1" w:styleId="ft2">
    <w:name w:val="ft2"/>
    <w:rsid w:val="00180D3E"/>
  </w:style>
  <w:style w:type="paragraph" w:customStyle="1" w:styleId="p70">
    <w:name w:val="p70"/>
    <w:basedOn w:val="a"/>
    <w:rsid w:val="00180D3E"/>
    <w:pPr>
      <w:spacing w:before="100" w:beforeAutospacing="1" w:after="100" w:afterAutospacing="1"/>
    </w:pPr>
    <w:rPr>
      <w:lang w:val="ru-RU"/>
    </w:rPr>
  </w:style>
  <w:style w:type="numbering" w:customStyle="1" w:styleId="251">
    <w:name w:val="Нет списка25"/>
    <w:next w:val="a2"/>
    <w:uiPriority w:val="99"/>
    <w:semiHidden/>
    <w:unhideWhenUsed/>
    <w:rsid w:val="00180D3E"/>
  </w:style>
  <w:style w:type="table" w:customStyle="1" w:styleId="1100">
    <w:name w:val="Сетка таблицы110"/>
    <w:basedOn w:val="a1"/>
    <w:next w:val="af6"/>
    <w:uiPriority w:val="39"/>
    <w:rsid w:val="00180D3E"/>
    <w:rPr>
      <w:rFonts w:ascii="Times New Roman" w:hAnsi="Times New Roman"/>
      <w:sz w:val="28"/>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erencesyear">
    <w:name w:val="references__year"/>
    <w:rsid w:val="00180D3E"/>
  </w:style>
  <w:style w:type="numbering" w:customStyle="1" w:styleId="341">
    <w:name w:val="Нет списка34"/>
    <w:next w:val="a2"/>
    <w:uiPriority w:val="99"/>
    <w:semiHidden/>
    <w:unhideWhenUsed/>
    <w:rsid w:val="00180D3E"/>
  </w:style>
  <w:style w:type="table" w:customStyle="1" w:styleId="260">
    <w:name w:val="Сетка таблицы26"/>
    <w:basedOn w:val="a1"/>
    <w:next w:val="af6"/>
    <w:uiPriority w:val="59"/>
    <w:rsid w:val="00180D3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0">
    <w:name w:val="Сетка таблицы116"/>
    <w:basedOn w:val="a1"/>
    <w:next w:val="af6"/>
    <w:uiPriority w:val="59"/>
    <w:rsid w:val="00180D3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71">
    <w:name w:val="Нет списка17"/>
    <w:next w:val="a2"/>
    <w:uiPriority w:val="99"/>
    <w:semiHidden/>
    <w:unhideWhenUsed/>
    <w:rsid w:val="00180D3E"/>
  </w:style>
  <w:style w:type="numbering" w:customStyle="1" w:styleId="181">
    <w:name w:val="Нет списка18"/>
    <w:next w:val="a2"/>
    <w:uiPriority w:val="99"/>
    <w:semiHidden/>
    <w:unhideWhenUsed/>
    <w:rsid w:val="00180D3E"/>
  </w:style>
  <w:style w:type="table" w:customStyle="1" w:styleId="270">
    <w:name w:val="Сетка таблицы27"/>
    <w:basedOn w:val="a1"/>
    <w:next w:val="af6"/>
    <w:uiPriority w:val="59"/>
    <w:rsid w:val="00180D3E"/>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0">
    <w:name w:val="Сетка таблицы117"/>
    <w:basedOn w:val="a1"/>
    <w:uiPriority w:val="9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0">
    <w:name w:val="Сетка таблицы28"/>
    <w:basedOn w:val="a1"/>
    <w:uiPriority w:val="59"/>
    <w:rsid w:val="00180D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Сетка таблицы35"/>
    <w:basedOn w:val="a1"/>
    <w:uiPriority w:val="59"/>
    <w:rsid w:val="00180D3E"/>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99"/>
    <w:rsid w:val="00180D3E"/>
    <w:pPr>
      <w:spacing w:after="160" w:line="254" w:lineRule="auto"/>
    </w:pPr>
    <w:rPr>
      <w:rFonts w:cs="Calibri"/>
      <w:color w:val="00000A"/>
      <w:sz w:val="22"/>
      <w:szCs w:val="22"/>
      <w:lang w:val="en-US" w:eastAsia="en-US"/>
    </w:rPr>
    <w:tblPr>
      <w:tblCellMar>
        <w:top w:w="0" w:type="dxa"/>
        <w:left w:w="0" w:type="dxa"/>
        <w:bottom w:w="0" w:type="dxa"/>
        <w:right w:w="0" w:type="dxa"/>
      </w:tblCellMar>
    </w:tblPr>
  </w:style>
  <w:style w:type="table" w:customStyle="1" w:styleId="82">
    <w:name w:val="Стиль8"/>
    <w:basedOn w:val="TableNormal1"/>
    <w:uiPriority w:val="99"/>
    <w:rsid w:val="00180D3E"/>
    <w:pPr>
      <w:spacing w:line="254" w:lineRule="auto"/>
    </w:pPr>
    <w:tblPr>
      <w:tblStyleRowBandSize w:val="1"/>
      <w:tblStyleColBandSize w:val="1"/>
      <w:tblCellMar>
        <w:left w:w="98" w:type="dxa"/>
        <w:right w:w="108" w:type="dxa"/>
      </w:tblCellMar>
    </w:tblPr>
  </w:style>
  <w:style w:type="table" w:customStyle="1" w:styleId="621">
    <w:name w:val="Стиль62"/>
    <w:basedOn w:val="TableNormal1"/>
    <w:uiPriority w:val="99"/>
    <w:rsid w:val="00180D3E"/>
    <w:pPr>
      <w:spacing w:after="0" w:line="240" w:lineRule="auto"/>
    </w:pPr>
    <w:tblPr>
      <w:tblStyleRowBandSize w:val="1"/>
      <w:tblStyleColBandSize w:val="1"/>
      <w:tblCellMar>
        <w:left w:w="98" w:type="dxa"/>
        <w:right w:w="108" w:type="dxa"/>
      </w:tblCellMar>
    </w:tblPr>
  </w:style>
  <w:style w:type="table" w:customStyle="1" w:styleId="520">
    <w:name w:val="Стиль52"/>
    <w:basedOn w:val="TableNormal1"/>
    <w:uiPriority w:val="99"/>
    <w:rsid w:val="00180D3E"/>
    <w:pPr>
      <w:spacing w:line="254" w:lineRule="auto"/>
    </w:pPr>
    <w:tblPr>
      <w:tblStyleRowBandSize w:val="1"/>
      <w:tblStyleColBandSize w:val="1"/>
      <w:tblCellMar>
        <w:left w:w="98" w:type="dxa"/>
        <w:right w:w="108" w:type="dxa"/>
      </w:tblCellMar>
    </w:tblPr>
  </w:style>
  <w:style w:type="table" w:customStyle="1" w:styleId="422">
    <w:name w:val="Стиль42"/>
    <w:basedOn w:val="TableNormal1"/>
    <w:uiPriority w:val="99"/>
    <w:rsid w:val="00180D3E"/>
    <w:pPr>
      <w:spacing w:line="254" w:lineRule="auto"/>
    </w:pPr>
    <w:tblPr>
      <w:tblStyleRowBandSize w:val="1"/>
      <w:tblStyleColBandSize w:val="1"/>
      <w:tblCellMar>
        <w:left w:w="98" w:type="dxa"/>
        <w:right w:w="108" w:type="dxa"/>
      </w:tblCellMar>
    </w:tblPr>
  </w:style>
  <w:style w:type="table" w:customStyle="1" w:styleId="322">
    <w:name w:val="Стиль32"/>
    <w:basedOn w:val="TableNormal1"/>
    <w:uiPriority w:val="99"/>
    <w:rsid w:val="00180D3E"/>
    <w:pPr>
      <w:spacing w:after="0" w:line="240" w:lineRule="auto"/>
    </w:pPr>
    <w:tblPr>
      <w:tblStyleRowBandSize w:val="1"/>
      <w:tblStyleColBandSize w:val="1"/>
      <w:tblCellMar>
        <w:left w:w="98" w:type="dxa"/>
        <w:right w:w="108" w:type="dxa"/>
      </w:tblCellMar>
    </w:tblPr>
  </w:style>
  <w:style w:type="table" w:customStyle="1" w:styleId="222">
    <w:name w:val="Стиль22"/>
    <w:basedOn w:val="TableNormal1"/>
    <w:uiPriority w:val="99"/>
    <w:rsid w:val="00180D3E"/>
    <w:pPr>
      <w:spacing w:after="0" w:line="240" w:lineRule="auto"/>
    </w:pPr>
    <w:tblPr>
      <w:tblStyleRowBandSize w:val="1"/>
      <w:tblStyleColBandSize w:val="1"/>
      <w:tblCellMar>
        <w:left w:w="98" w:type="dxa"/>
        <w:right w:w="108" w:type="dxa"/>
      </w:tblCellMar>
    </w:tblPr>
  </w:style>
  <w:style w:type="table" w:customStyle="1" w:styleId="123">
    <w:name w:val="Стиль12"/>
    <w:basedOn w:val="TableNormal1"/>
    <w:uiPriority w:val="99"/>
    <w:rsid w:val="00180D3E"/>
    <w:pPr>
      <w:spacing w:after="0" w:line="240" w:lineRule="auto"/>
    </w:pPr>
    <w:tblPr>
      <w:tblStyleRowBandSize w:val="1"/>
      <w:tblStyleColBandSize w:val="1"/>
      <w:tblCellMar>
        <w:left w:w="98" w:type="dxa"/>
        <w:right w:w="108" w:type="dxa"/>
      </w:tblCellMar>
    </w:tblPr>
  </w:style>
  <w:style w:type="table" w:customStyle="1" w:styleId="44">
    <w:name w:val="Сетка таблицы44"/>
    <w:basedOn w:val="a1"/>
    <w:uiPriority w:val="59"/>
    <w:rsid w:val="00180D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8">
    <w:name w:val="Сетка таблицы118"/>
    <w:basedOn w:val="a1"/>
    <w:uiPriority w:val="3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0">
    <w:name w:val="Сетка таблицы213"/>
    <w:basedOn w:val="a1"/>
    <w:uiPriority w:val="59"/>
    <w:rsid w:val="00180D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Сетка таблицы1112"/>
    <w:basedOn w:val="a1"/>
    <w:uiPriority w:val="59"/>
    <w:rsid w:val="00180D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Сетка таблицы55"/>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0">
    <w:name w:val="Сетка таблицы123"/>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0">
    <w:name w:val="Сетка таблицы222"/>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0">
    <w:name w:val="Сетка таблицы313"/>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0">
    <w:name w:val="Сетка таблицы412"/>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Сетка таблицы63"/>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Сетка таблицы73"/>
    <w:basedOn w:val="a1"/>
    <w:uiPriority w:val="9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Сетка таблицы82"/>
    <w:basedOn w:val="a1"/>
    <w:uiPriority w:val="3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Сетка таблицы92"/>
    <w:basedOn w:val="a1"/>
    <w:uiPriority w:val="3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Сетка таблицы132"/>
    <w:basedOn w:val="a1"/>
    <w:uiPriority w:val="3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0">
    <w:name w:val="Сетка таблицы102"/>
    <w:basedOn w:val="a1"/>
    <w:uiPriority w:val="39"/>
    <w:rsid w:val="00180D3E"/>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Сетка таблицы142"/>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0">
    <w:name w:val="Сетка таблицы152"/>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0">
    <w:name w:val="Сетка таблицы161"/>
    <w:basedOn w:val="a1"/>
    <w:uiPriority w:val="59"/>
    <w:rsid w:val="00180D3E"/>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0">
    <w:name w:val="Сетка таблицы171"/>
    <w:basedOn w:val="a1"/>
    <w:uiPriority w:val="9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Сетка таблицы232"/>
    <w:basedOn w:val="a1"/>
    <w:uiPriority w:val="59"/>
    <w:rsid w:val="00180D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Сетка таблицы322"/>
    <w:basedOn w:val="a1"/>
    <w:uiPriority w:val="59"/>
    <w:rsid w:val="00180D3E"/>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99"/>
    <w:rsid w:val="00180D3E"/>
    <w:pPr>
      <w:spacing w:after="160" w:line="254" w:lineRule="auto"/>
    </w:pPr>
    <w:rPr>
      <w:rFonts w:cs="Calibri"/>
      <w:color w:val="00000A"/>
      <w:sz w:val="22"/>
      <w:szCs w:val="22"/>
      <w:lang w:val="en-US" w:eastAsia="en-US"/>
    </w:rPr>
    <w:tblPr>
      <w:tblCellMar>
        <w:top w:w="0" w:type="dxa"/>
        <w:left w:w="0" w:type="dxa"/>
        <w:bottom w:w="0" w:type="dxa"/>
        <w:right w:w="0" w:type="dxa"/>
      </w:tblCellMar>
    </w:tblPr>
  </w:style>
  <w:style w:type="table" w:customStyle="1" w:styleId="711">
    <w:name w:val="Стиль71"/>
    <w:basedOn w:val="TableNormal1"/>
    <w:uiPriority w:val="99"/>
    <w:rsid w:val="00180D3E"/>
    <w:pPr>
      <w:spacing w:line="254" w:lineRule="auto"/>
    </w:pPr>
    <w:tblPr>
      <w:tblStyleRowBandSize w:val="1"/>
      <w:tblStyleColBandSize w:val="1"/>
      <w:tblCellMar>
        <w:left w:w="98" w:type="dxa"/>
        <w:right w:w="108" w:type="dxa"/>
      </w:tblCellMar>
    </w:tblPr>
  </w:style>
  <w:style w:type="table" w:customStyle="1" w:styleId="6110">
    <w:name w:val="Стиль611"/>
    <w:basedOn w:val="TableNormal1"/>
    <w:uiPriority w:val="99"/>
    <w:rsid w:val="00180D3E"/>
    <w:pPr>
      <w:spacing w:after="0" w:line="240" w:lineRule="auto"/>
    </w:pPr>
    <w:tblPr>
      <w:tblStyleRowBandSize w:val="1"/>
      <w:tblStyleColBandSize w:val="1"/>
      <w:tblCellMar>
        <w:left w:w="98" w:type="dxa"/>
        <w:right w:w="108" w:type="dxa"/>
      </w:tblCellMar>
    </w:tblPr>
  </w:style>
  <w:style w:type="table" w:customStyle="1" w:styleId="5111">
    <w:name w:val="Стиль511"/>
    <w:basedOn w:val="TableNormal1"/>
    <w:uiPriority w:val="99"/>
    <w:rsid w:val="00180D3E"/>
    <w:pPr>
      <w:spacing w:line="254" w:lineRule="auto"/>
    </w:pPr>
    <w:tblPr>
      <w:tblStyleRowBandSize w:val="1"/>
      <w:tblStyleColBandSize w:val="1"/>
      <w:tblCellMar>
        <w:left w:w="98" w:type="dxa"/>
        <w:right w:w="108" w:type="dxa"/>
      </w:tblCellMar>
    </w:tblPr>
  </w:style>
  <w:style w:type="table" w:customStyle="1" w:styleId="4112">
    <w:name w:val="Стиль411"/>
    <w:basedOn w:val="TableNormal1"/>
    <w:uiPriority w:val="99"/>
    <w:rsid w:val="00180D3E"/>
    <w:pPr>
      <w:spacing w:line="254" w:lineRule="auto"/>
    </w:pPr>
    <w:tblPr>
      <w:tblStyleRowBandSize w:val="1"/>
      <w:tblStyleColBandSize w:val="1"/>
      <w:tblCellMar>
        <w:left w:w="98" w:type="dxa"/>
        <w:right w:w="108" w:type="dxa"/>
      </w:tblCellMar>
    </w:tblPr>
  </w:style>
  <w:style w:type="table" w:customStyle="1" w:styleId="3112">
    <w:name w:val="Стиль311"/>
    <w:basedOn w:val="TableNormal1"/>
    <w:uiPriority w:val="99"/>
    <w:rsid w:val="00180D3E"/>
    <w:pPr>
      <w:spacing w:after="0" w:line="240" w:lineRule="auto"/>
    </w:pPr>
    <w:tblPr>
      <w:tblStyleRowBandSize w:val="1"/>
      <w:tblStyleColBandSize w:val="1"/>
      <w:tblCellMar>
        <w:left w:w="98" w:type="dxa"/>
        <w:right w:w="108" w:type="dxa"/>
      </w:tblCellMar>
    </w:tblPr>
  </w:style>
  <w:style w:type="table" w:customStyle="1" w:styleId="2112">
    <w:name w:val="Стиль211"/>
    <w:basedOn w:val="TableNormal1"/>
    <w:uiPriority w:val="99"/>
    <w:rsid w:val="00180D3E"/>
    <w:pPr>
      <w:spacing w:after="0" w:line="240" w:lineRule="auto"/>
    </w:pPr>
    <w:tblPr>
      <w:tblStyleRowBandSize w:val="1"/>
      <w:tblStyleColBandSize w:val="1"/>
      <w:tblCellMar>
        <w:left w:w="98" w:type="dxa"/>
        <w:right w:w="108" w:type="dxa"/>
      </w:tblCellMar>
    </w:tblPr>
  </w:style>
  <w:style w:type="table" w:customStyle="1" w:styleId="1113">
    <w:name w:val="Стиль111"/>
    <w:basedOn w:val="TableNormal1"/>
    <w:uiPriority w:val="99"/>
    <w:rsid w:val="00180D3E"/>
    <w:pPr>
      <w:spacing w:after="0" w:line="240" w:lineRule="auto"/>
    </w:pPr>
    <w:tblPr>
      <w:tblStyleRowBandSize w:val="1"/>
      <w:tblStyleColBandSize w:val="1"/>
      <w:tblCellMar>
        <w:left w:w="98" w:type="dxa"/>
        <w:right w:w="108" w:type="dxa"/>
      </w:tblCellMar>
    </w:tblPr>
  </w:style>
  <w:style w:type="table" w:customStyle="1" w:styleId="4210">
    <w:name w:val="Сетка таблицы421"/>
    <w:basedOn w:val="a1"/>
    <w:uiPriority w:val="59"/>
    <w:rsid w:val="00180D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
    <w:name w:val="Сетка таблицы1122"/>
    <w:basedOn w:val="a1"/>
    <w:uiPriority w:val="3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0">
    <w:name w:val="Сетка таблицы2112"/>
    <w:basedOn w:val="a1"/>
    <w:uiPriority w:val="59"/>
    <w:rsid w:val="00180D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
    <w:name w:val="Сетка таблицы11111"/>
    <w:basedOn w:val="a1"/>
    <w:uiPriority w:val="59"/>
    <w:rsid w:val="00180D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Сетка таблицы513"/>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Сетка таблицы1211"/>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
    <w:name w:val="Сетка таблицы2211"/>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0">
    <w:name w:val="Сетка таблицы3112"/>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10">
    <w:name w:val="Сетка таблицы4111"/>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1">
    <w:name w:val="Сетка таблицы611"/>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Сетка таблицы711"/>
    <w:basedOn w:val="a1"/>
    <w:uiPriority w:val="9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Сетка таблицы811"/>
    <w:basedOn w:val="a1"/>
    <w:uiPriority w:val="3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Сетка таблицы911"/>
    <w:basedOn w:val="a1"/>
    <w:uiPriority w:val="3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1">
    <w:name w:val="Сетка таблицы1311"/>
    <w:basedOn w:val="a1"/>
    <w:uiPriority w:val="3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
    <w:name w:val="Сетка таблицы1011"/>
    <w:basedOn w:val="a1"/>
    <w:uiPriority w:val="39"/>
    <w:rsid w:val="00180D3E"/>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
    <w:name w:val="Сетка таблицы1411"/>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Сетка таблицы1511"/>
    <w:basedOn w:val="a1"/>
    <w:uiPriority w:val="59"/>
    <w:rsid w:val="0018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1">
    <w:name w:val="Нет списка19"/>
    <w:next w:val="a2"/>
    <w:uiPriority w:val="99"/>
    <w:semiHidden/>
    <w:unhideWhenUsed/>
    <w:rsid w:val="00292D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361081">
      <w:bodyDiv w:val="1"/>
      <w:marLeft w:val="0"/>
      <w:marRight w:val="0"/>
      <w:marTop w:val="0"/>
      <w:marBottom w:val="0"/>
      <w:divBdr>
        <w:top w:val="none" w:sz="0" w:space="0" w:color="auto"/>
        <w:left w:val="none" w:sz="0" w:space="0" w:color="auto"/>
        <w:bottom w:val="none" w:sz="0" w:space="0" w:color="auto"/>
        <w:right w:val="none" w:sz="0" w:space="0" w:color="auto"/>
      </w:divBdr>
      <w:divsChild>
        <w:div w:id="1730806549">
          <w:marLeft w:val="0"/>
          <w:marRight w:val="0"/>
          <w:marTop w:val="300"/>
          <w:marBottom w:val="0"/>
          <w:divBdr>
            <w:top w:val="none" w:sz="0" w:space="0" w:color="auto"/>
            <w:left w:val="none" w:sz="0" w:space="0" w:color="auto"/>
            <w:bottom w:val="none" w:sz="0" w:space="0" w:color="auto"/>
            <w:right w:val="none" w:sz="0" w:space="0" w:color="auto"/>
          </w:divBdr>
          <w:divsChild>
            <w:div w:id="460659318">
              <w:marLeft w:val="0"/>
              <w:marRight w:val="0"/>
              <w:marTop w:val="0"/>
              <w:marBottom w:val="0"/>
              <w:divBdr>
                <w:top w:val="none" w:sz="0" w:space="0" w:color="auto"/>
                <w:left w:val="none" w:sz="0" w:space="0" w:color="auto"/>
                <w:bottom w:val="none" w:sz="0" w:space="0" w:color="auto"/>
                <w:right w:val="none" w:sz="0" w:space="0" w:color="auto"/>
              </w:divBdr>
              <w:divsChild>
                <w:div w:id="1011646213">
                  <w:marLeft w:val="0"/>
                  <w:marRight w:val="0"/>
                  <w:marTop w:val="75"/>
                  <w:marBottom w:val="0"/>
                  <w:divBdr>
                    <w:top w:val="none" w:sz="0" w:space="0" w:color="auto"/>
                    <w:left w:val="none" w:sz="0" w:space="0" w:color="auto"/>
                    <w:bottom w:val="none" w:sz="0" w:space="0" w:color="auto"/>
                    <w:right w:val="none" w:sz="0" w:space="0" w:color="auto"/>
                  </w:divBdr>
                </w:div>
              </w:divsChild>
            </w:div>
            <w:div w:id="1419015519">
              <w:marLeft w:val="0"/>
              <w:marRight w:val="0"/>
              <w:marTop w:val="0"/>
              <w:marBottom w:val="0"/>
              <w:divBdr>
                <w:top w:val="none" w:sz="0" w:space="0" w:color="auto"/>
                <w:left w:val="none" w:sz="0" w:space="0" w:color="auto"/>
                <w:bottom w:val="none" w:sz="0" w:space="0" w:color="auto"/>
                <w:right w:val="none" w:sz="0" w:space="0" w:color="auto"/>
              </w:divBdr>
              <w:divsChild>
                <w:div w:id="111363009">
                  <w:marLeft w:val="225"/>
                  <w:marRight w:val="0"/>
                  <w:marTop w:val="0"/>
                  <w:marBottom w:val="0"/>
                  <w:divBdr>
                    <w:top w:val="none" w:sz="0" w:space="0" w:color="auto"/>
                    <w:left w:val="none" w:sz="0" w:space="0" w:color="auto"/>
                    <w:bottom w:val="none" w:sz="0" w:space="0" w:color="auto"/>
                    <w:right w:val="none" w:sz="0" w:space="0" w:color="auto"/>
                  </w:divBdr>
                </w:div>
                <w:div w:id="1023558266">
                  <w:marLeft w:val="225"/>
                  <w:marRight w:val="0"/>
                  <w:marTop w:val="0"/>
                  <w:marBottom w:val="0"/>
                  <w:divBdr>
                    <w:top w:val="none" w:sz="0" w:space="0" w:color="auto"/>
                    <w:left w:val="none" w:sz="0" w:space="0" w:color="auto"/>
                    <w:bottom w:val="none" w:sz="0" w:space="0" w:color="auto"/>
                    <w:right w:val="none" w:sz="0" w:space="0" w:color="auto"/>
                  </w:divBdr>
                </w:div>
                <w:div w:id="1533762966">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42282">
      <w:bodyDiv w:val="1"/>
      <w:marLeft w:val="0"/>
      <w:marRight w:val="0"/>
      <w:marTop w:val="0"/>
      <w:marBottom w:val="0"/>
      <w:divBdr>
        <w:top w:val="none" w:sz="0" w:space="0" w:color="auto"/>
        <w:left w:val="none" w:sz="0" w:space="0" w:color="auto"/>
        <w:bottom w:val="none" w:sz="0" w:space="0" w:color="auto"/>
        <w:right w:val="none" w:sz="0" w:space="0" w:color="auto"/>
      </w:divBdr>
    </w:div>
    <w:div w:id="206994505">
      <w:bodyDiv w:val="1"/>
      <w:marLeft w:val="0"/>
      <w:marRight w:val="0"/>
      <w:marTop w:val="0"/>
      <w:marBottom w:val="0"/>
      <w:divBdr>
        <w:top w:val="none" w:sz="0" w:space="0" w:color="auto"/>
        <w:left w:val="none" w:sz="0" w:space="0" w:color="auto"/>
        <w:bottom w:val="none" w:sz="0" w:space="0" w:color="auto"/>
        <w:right w:val="none" w:sz="0" w:space="0" w:color="auto"/>
      </w:divBdr>
    </w:div>
    <w:div w:id="257568551">
      <w:bodyDiv w:val="1"/>
      <w:marLeft w:val="0"/>
      <w:marRight w:val="0"/>
      <w:marTop w:val="0"/>
      <w:marBottom w:val="0"/>
      <w:divBdr>
        <w:top w:val="none" w:sz="0" w:space="0" w:color="auto"/>
        <w:left w:val="none" w:sz="0" w:space="0" w:color="auto"/>
        <w:bottom w:val="none" w:sz="0" w:space="0" w:color="auto"/>
        <w:right w:val="none" w:sz="0" w:space="0" w:color="auto"/>
      </w:divBdr>
    </w:div>
    <w:div w:id="278418230">
      <w:bodyDiv w:val="1"/>
      <w:marLeft w:val="0"/>
      <w:marRight w:val="0"/>
      <w:marTop w:val="0"/>
      <w:marBottom w:val="0"/>
      <w:divBdr>
        <w:top w:val="none" w:sz="0" w:space="0" w:color="auto"/>
        <w:left w:val="none" w:sz="0" w:space="0" w:color="auto"/>
        <w:bottom w:val="none" w:sz="0" w:space="0" w:color="auto"/>
        <w:right w:val="none" w:sz="0" w:space="0" w:color="auto"/>
      </w:divBdr>
    </w:div>
    <w:div w:id="374500543">
      <w:bodyDiv w:val="1"/>
      <w:marLeft w:val="0"/>
      <w:marRight w:val="0"/>
      <w:marTop w:val="0"/>
      <w:marBottom w:val="0"/>
      <w:divBdr>
        <w:top w:val="none" w:sz="0" w:space="0" w:color="auto"/>
        <w:left w:val="none" w:sz="0" w:space="0" w:color="auto"/>
        <w:bottom w:val="none" w:sz="0" w:space="0" w:color="auto"/>
        <w:right w:val="none" w:sz="0" w:space="0" w:color="auto"/>
      </w:divBdr>
    </w:div>
    <w:div w:id="684938490">
      <w:bodyDiv w:val="1"/>
      <w:marLeft w:val="0"/>
      <w:marRight w:val="0"/>
      <w:marTop w:val="0"/>
      <w:marBottom w:val="0"/>
      <w:divBdr>
        <w:top w:val="none" w:sz="0" w:space="0" w:color="auto"/>
        <w:left w:val="none" w:sz="0" w:space="0" w:color="auto"/>
        <w:bottom w:val="none" w:sz="0" w:space="0" w:color="auto"/>
        <w:right w:val="none" w:sz="0" w:space="0" w:color="auto"/>
      </w:divBdr>
    </w:div>
    <w:div w:id="740636246">
      <w:bodyDiv w:val="1"/>
      <w:marLeft w:val="0"/>
      <w:marRight w:val="0"/>
      <w:marTop w:val="0"/>
      <w:marBottom w:val="0"/>
      <w:divBdr>
        <w:top w:val="none" w:sz="0" w:space="0" w:color="auto"/>
        <w:left w:val="none" w:sz="0" w:space="0" w:color="auto"/>
        <w:bottom w:val="none" w:sz="0" w:space="0" w:color="auto"/>
        <w:right w:val="none" w:sz="0" w:space="0" w:color="auto"/>
      </w:divBdr>
    </w:div>
    <w:div w:id="755130700">
      <w:bodyDiv w:val="1"/>
      <w:marLeft w:val="0"/>
      <w:marRight w:val="0"/>
      <w:marTop w:val="0"/>
      <w:marBottom w:val="0"/>
      <w:divBdr>
        <w:top w:val="none" w:sz="0" w:space="0" w:color="auto"/>
        <w:left w:val="none" w:sz="0" w:space="0" w:color="auto"/>
        <w:bottom w:val="none" w:sz="0" w:space="0" w:color="auto"/>
        <w:right w:val="none" w:sz="0" w:space="0" w:color="auto"/>
      </w:divBdr>
    </w:div>
    <w:div w:id="1042482926">
      <w:bodyDiv w:val="1"/>
      <w:marLeft w:val="0"/>
      <w:marRight w:val="0"/>
      <w:marTop w:val="0"/>
      <w:marBottom w:val="0"/>
      <w:divBdr>
        <w:top w:val="none" w:sz="0" w:space="0" w:color="auto"/>
        <w:left w:val="none" w:sz="0" w:space="0" w:color="auto"/>
        <w:bottom w:val="none" w:sz="0" w:space="0" w:color="auto"/>
        <w:right w:val="none" w:sz="0" w:space="0" w:color="auto"/>
      </w:divBdr>
    </w:div>
    <w:div w:id="1271737304">
      <w:bodyDiv w:val="1"/>
      <w:marLeft w:val="0"/>
      <w:marRight w:val="0"/>
      <w:marTop w:val="0"/>
      <w:marBottom w:val="0"/>
      <w:divBdr>
        <w:top w:val="none" w:sz="0" w:space="0" w:color="auto"/>
        <w:left w:val="none" w:sz="0" w:space="0" w:color="auto"/>
        <w:bottom w:val="none" w:sz="0" w:space="0" w:color="auto"/>
        <w:right w:val="none" w:sz="0" w:space="0" w:color="auto"/>
      </w:divBdr>
    </w:div>
    <w:div w:id="1364094888">
      <w:bodyDiv w:val="1"/>
      <w:marLeft w:val="0"/>
      <w:marRight w:val="0"/>
      <w:marTop w:val="0"/>
      <w:marBottom w:val="0"/>
      <w:divBdr>
        <w:top w:val="none" w:sz="0" w:space="0" w:color="auto"/>
        <w:left w:val="none" w:sz="0" w:space="0" w:color="auto"/>
        <w:bottom w:val="none" w:sz="0" w:space="0" w:color="auto"/>
        <w:right w:val="none" w:sz="0" w:space="0" w:color="auto"/>
      </w:divBdr>
    </w:div>
    <w:div w:id="1470249528">
      <w:bodyDiv w:val="1"/>
      <w:marLeft w:val="0"/>
      <w:marRight w:val="0"/>
      <w:marTop w:val="0"/>
      <w:marBottom w:val="0"/>
      <w:divBdr>
        <w:top w:val="none" w:sz="0" w:space="0" w:color="auto"/>
        <w:left w:val="none" w:sz="0" w:space="0" w:color="auto"/>
        <w:bottom w:val="none" w:sz="0" w:space="0" w:color="auto"/>
        <w:right w:val="none" w:sz="0" w:space="0" w:color="auto"/>
      </w:divBdr>
    </w:div>
    <w:div w:id="1863132110">
      <w:bodyDiv w:val="1"/>
      <w:marLeft w:val="0"/>
      <w:marRight w:val="0"/>
      <w:marTop w:val="0"/>
      <w:marBottom w:val="0"/>
      <w:divBdr>
        <w:top w:val="none" w:sz="0" w:space="0" w:color="auto"/>
        <w:left w:val="none" w:sz="0" w:space="0" w:color="auto"/>
        <w:bottom w:val="none" w:sz="0" w:space="0" w:color="auto"/>
        <w:right w:val="none" w:sz="0" w:space="0" w:color="auto"/>
      </w:divBdr>
    </w:div>
    <w:div w:id="1959532720">
      <w:bodyDiv w:val="1"/>
      <w:marLeft w:val="0"/>
      <w:marRight w:val="0"/>
      <w:marTop w:val="0"/>
      <w:marBottom w:val="0"/>
      <w:divBdr>
        <w:top w:val="none" w:sz="0" w:space="0" w:color="auto"/>
        <w:left w:val="none" w:sz="0" w:space="0" w:color="auto"/>
        <w:bottom w:val="none" w:sz="0" w:space="0" w:color="auto"/>
        <w:right w:val="none" w:sz="0" w:space="0" w:color="auto"/>
      </w:divBdr>
    </w:div>
    <w:div w:id="2145923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117" Type="http://schemas.openxmlformats.org/officeDocument/2006/relationships/image" Target="media/image102.jpeg"/><Relationship Id="rId21" Type="http://schemas.openxmlformats.org/officeDocument/2006/relationships/image" Target="media/image11.jpeg"/><Relationship Id="rId42" Type="http://schemas.openxmlformats.org/officeDocument/2006/relationships/image" Target="media/image31.jpeg"/><Relationship Id="rId47" Type="http://schemas.openxmlformats.org/officeDocument/2006/relationships/image" Target="media/image36.jpeg"/><Relationship Id="rId63" Type="http://schemas.openxmlformats.org/officeDocument/2006/relationships/image" Target="media/image50.jpeg"/><Relationship Id="rId68" Type="http://schemas.openxmlformats.org/officeDocument/2006/relationships/image" Target="media/image55.jpeg"/><Relationship Id="rId84" Type="http://schemas.openxmlformats.org/officeDocument/2006/relationships/image" Target="media/image71.jpeg"/><Relationship Id="rId89" Type="http://schemas.openxmlformats.org/officeDocument/2006/relationships/image" Target="media/image76.jpeg"/><Relationship Id="rId112" Type="http://schemas.openxmlformats.org/officeDocument/2006/relationships/image" Target="media/image97.png"/><Relationship Id="rId133" Type="http://schemas.openxmlformats.org/officeDocument/2006/relationships/hyperlink" Target="file:///C:\Users\ADMIN\Downloads\1" TargetMode="External"/><Relationship Id="rId16" Type="http://schemas.openxmlformats.org/officeDocument/2006/relationships/image" Target="media/image6.jpeg"/><Relationship Id="rId107" Type="http://schemas.openxmlformats.org/officeDocument/2006/relationships/image" Target="media/image92.png"/><Relationship Id="rId11" Type="http://schemas.openxmlformats.org/officeDocument/2006/relationships/image" Target="media/image2.png"/><Relationship Id="rId32" Type="http://schemas.openxmlformats.org/officeDocument/2006/relationships/image" Target="media/image21.jpeg"/><Relationship Id="rId37" Type="http://schemas.openxmlformats.org/officeDocument/2006/relationships/image" Target="media/image26.jpeg"/><Relationship Id="rId53" Type="http://schemas.openxmlformats.org/officeDocument/2006/relationships/image" Target="media/image40.png"/><Relationship Id="rId58" Type="http://schemas.openxmlformats.org/officeDocument/2006/relationships/image" Target="media/image45.jpeg"/><Relationship Id="rId74" Type="http://schemas.openxmlformats.org/officeDocument/2006/relationships/image" Target="media/image61.jpeg"/><Relationship Id="rId79" Type="http://schemas.openxmlformats.org/officeDocument/2006/relationships/image" Target="media/image66.jpeg"/><Relationship Id="rId102" Type="http://schemas.openxmlformats.org/officeDocument/2006/relationships/image" Target="media/image87.png"/><Relationship Id="rId123" Type="http://schemas.openxmlformats.org/officeDocument/2006/relationships/image" Target="media/image108.png"/><Relationship Id="rId128" Type="http://schemas.openxmlformats.org/officeDocument/2006/relationships/image" Target="media/image113.png"/><Relationship Id="rId5" Type="http://schemas.openxmlformats.org/officeDocument/2006/relationships/webSettings" Target="webSettings.xml"/><Relationship Id="rId90" Type="http://schemas.openxmlformats.org/officeDocument/2006/relationships/image" Target="media/image77.jpeg"/><Relationship Id="rId95" Type="http://schemas.openxmlformats.org/officeDocument/2006/relationships/image" Target="media/image82.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image" Target="media/image43.jpeg"/><Relationship Id="rId64" Type="http://schemas.openxmlformats.org/officeDocument/2006/relationships/image" Target="media/image51.png"/><Relationship Id="rId69" Type="http://schemas.openxmlformats.org/officeDocument/2006/relationships/image" Target="media/image56.jpeg"/><Relationship Id="rId77" Type="http://schemas.openxmlformats.org/officeDocument/2006/relationships/image" Target="media/image64.jpeg"/><Relationship Id="rId100" Type="http://schemas.openxmlformats.org/officeDocument/2006/relationships/image" Target="media/image85.jpeg"/><Relationship Id="rId105" Type="http://schemas.openxmlformats.org/officeDocument/2006/relationships/image" Target="media/image90.png"/><Relationship Id="rId113" Type="http://schemas.openxmlformats.org/officeDocument/2006/relationships/image" Target="media/image98.png"/><Relationship Id="rId118" Type="http://schemas.openxmlformats.org/officeDocument/2006/relationships/image" Target="media/image103.jpeg"/><Relationship Id="rId126" Type="http://schemas.openxmlformats.org/officeDocument/2006/relationships/image" Target="media/image111.png"/><Relationship Id="rId13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eader" Target="header4.xml"/><Relationship Id="rId72" Type="http://schemas.openxmlformats.org/officeDocument/2006/relationships/image" Target="media/image59.jpeg"/><Relationship Id="rId80" Type="http://schemas.openxmlformats.org/officeDocument/2006/relationships/image" Target="media/image67.jpeg"/><Relationship Id="rId85" Type="http://schemas.openxmlformats.org/officeDocument/2006/relationships/image" Target="media/image72.jpeg"/><Relationship Id="rId93" Type="http://schemas.openxmlformats.org/officeDocument/2006/relationships/image" Target="media/image80.jpeg"/><Relationship Id="rId98" Type="http://schemas.openxmlformats.org/officeDocument/2006/relationships/header" Target="header6.xml"/><Relationship Id="rId121" Type="http://schemas.openxmlformats.org/officeDocument/2006/relationships/image" Target="media/image106.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image" Target="media/image46.jpeg"/><Relationship Id="rId67" Type="http://schemas.openxmlformats.org/officeDocument/2006/relationships/image" Target="media/image54.jpeg"/><Relationship Id="rId103" Type="http://schemas.openxmlformats.org/officeDocument/2006/relationships/image" Target="media/image88.png"/><Relationship Id="rId108" Type="http://schemas.openxmlformats.org/officeDocument/2006/relationships/image" Target="media/image93.png"/><Relationship Id="rId116" Type="http://schemas.openxmlformats.org/officeDocument/2006/relationships/image" Target="media/image101.jpeg"/><Relationship Id="rId124" Type="http://schemas.openxmlformats.org/officeDocument/2006/relationships/image" Target="media/image109.png"/><Relationship Id="rId129" Type="http://schemas.openxmlformats.org/officeDocument/2006/relationships/image" Target="media/image114.png"/><Relationship Id="rId20" Type="http://schemas.openxmlformats.org/officeDocument/2006/relationships/image" Target="media/image10.jpeg"/><Relationship Id="rId41" Type="http://schemas.openxmlformats.org/officeDocument/2006/relationships/image" Target="media/image30.jpeg"/><Relationship Id="rId54" Type="http://schemas.openxmlformats.org/officeDocument/2006/relationships/image" Target="media/image41.png"/><Relationship Id="rId62" Type="http://schemas.openxmlformats.org/officeDocument/2006/relationships/image" Target="media/image49.jpeg"/><Relationship Id="rId70" Type="http://schemas.openxmlformats.org/officeDocument/2006/relationships/image" Target="media/image57.jpeg"/><Relationship Id="rId75" Type="http://schemas.openxmlformats.org/officeDocument/2006/relationships/image" Target="media/image62.jpeg"/><Relationship Id="rId83" Type="http://schemas.openxmlformats.org/officeDocument/2006/relationships/image" Target="media/image70.jpeg"/><Relationship Id="rId88" Type="http://schemas.openxmlformats.org/officeDocument/2006/relationships/image" Target="media/image75.jpeg"/><Relationship Id="rId91" Type="http://schemas.openxmlformats.org/officeDocument/2006/relationships/image" Target="media/image78.jpeg"/><Relationship Id="rId96" Type="http://schemas.openxmlformats.org/officeDocument/2006/relationships/image" Target="media/image83.png"/><Relationship Id="rId111" Type="http://schemas.openxmlformats.org/officeDocument/2006/relationships/image" Target="media/image96.png"/><Relationship Id="rId132" Type="http://schemas.openxmlformats.org/officeDocument/2006/relationships/hyperlink" Target="https://www.ncbi.nlm.nih.gov/pubmed/?term=Jiang%20QZ%5BAuthor%5D&amp;cauthor=true&amp;cauthor_uid=2869777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4.jpeg"/><Relationship Id="rId106" Type="http://schemas.openxmlformats.org/officeDocument/2006/relationships/image" Target="media/image91.png"/><Relationship Id="rId114" Type="http://schemas.openxmlformats.org/officeDocument/2006/relationships/image" Target="media/image99.jpeg"/><Relationship Id="rId119" Type="http://schemas.openxmlformats.org/officeDocument/2006/relationships/image" Target="media/image104.png"/><Relationship Id="rId127" Type="http://schemas.openxmlformats.org/officeDocument/2006/relationships/image" Target="media/image112.png"/><Relationship Id="rId10" Type="http://schemas.openxmlformats.org/officeDocument/2006/relationships/image" Target="media/image1.jpeg"/><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header" Target="header5.xml"/><Relationship Id="rId60" Type="http://schemas.openxmlformats.org/officeDocument/2006/relationships/image" Target="media/image47.jpeg"/><Relationship Id="rId65" Type="http://schemas.openxmlformats.org/officeDocument/2006/relationships/image" Target="media/image52.png"/><Relationship Id="rId73" Type="http://schemas.openxmlformats.org/officeDocument/2006/relationships/image" Target="media/image60.jpeg"/><Relationship Id="rId78" Type="http://schemas.openxmlformats.org/officeDocument/2006/relationships/image" Target="media/image65.jpeg"/><Relationship Id="rId81" Type="http://schemas.openxmlformats.org/officeDocument/2006/relationships/image" Target="media/image68.jpeg"/><Relationship Id="rId86" Type="http://schemas.openxmlformats.org/officeDocument/2006/relationships/image" Target="media/image73.jpeg"/><Relationship Id="rId94" Type="http://schemas.openxmlformats.org/officeDocument/2006/relationships/image" Target="media/image81.jpeg"/><Relationship Id="rId99" Type="http://schemas.openxmlformats.org/officeDocument/2006/relationships/header" Target="header7.xml"/><Relationship Id="rId101" Type="http://schemas.openxmlformats.org/officeDocument/2006/relationships/image" Target="media/image86.jpeg"/><Relationship Id="rId122" Type="http://schemas.openxmlformats.org/officeDocument/2006/relationships/image" Target="media/image107.png"/><Relationship Id="rId130" Type="http://schemas.openxmlformats.org/officeDocument/2006/relationships/hyperlink" Target="https://science-medicine.ru/ru/article/view?id=1019" TargetMode="External"/><Relationship Id="rId13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cbi.nlm.nih.gov/pubmed/?term=Wang%20Z%5BAuthor%5D&amp;cauthor=true&amp;cauthor_uid=24053561" TargetMode="External"/><Relationship Id="rId13" Type="http://schemas.openxmlformats.org/officeDocument/2006/relationships/header" Target="header2.xml"/><Relationship Id="rId18" Type="http://schemas.openxmlformats.org/officeDocument/2006/relationships/image" Target="media/image8.jpeg"/><Relationship Id="rId39" Type="http://schemas.openxmlformats.org/officeDocument/2006/relationships/image" Target="media/image28.jpeg"/><Relationship Id="rId109" Type="http://schemas.openxmlformats.org/officeDocument/2006/relationships/image" Target="media/image94.png"/><Relationship Id="rId34" Type="http://schemas.openxmlformats.org/officeDocument/2006/relationships/image" Target="media/image23.jpeg"/><Relationship Id="rId50" Type="http://schemas.openxmlformats.org/officeDocument/2006/relationships/image" Target="media/image39.jpeg"/><Relationship Id="rId55" Type="http://schemas.openxmlformats.org/officeDocument/2006/relationships/image" Target="media/image42.jpeg"/><Relationship Id="rId76" Type="http://schemas.openxmlformats.org/officeDocument/2006/relationships/image" Target="media/image63.jpeg"/><Relationship Id="rId97" Type="http://schemas.openxmlformats.org/officeDocument/2006/relationships/image" Target="media/image84.png"/><Relationship Id="rId104" Type="http://schemas.openxmlformats.org/officeDocument/2006/relationships/image" Target="media/image89.jpeg"/><Relationship Id="rId120" Type="http://schemas.openxmlformats.org/officeDocument/2006/relationships/image" Target="media/image105.png"/><Relationship Id="rId125" Type="http://schemas.openxmlformats.org/officeDocument/2006/relationships/image" Target="media/image110.png"/><Relationship Id="rId7" Type="http://schemas.openxmlformats.org/officeDocument/2006/relationships/endnotes" Target="endnotes.xml"/><Relationship Id="rId71" Type="http://schemas.openxmlformats.org/officeDocument/2006/relationships/image" Target="media/image58.jpeg"/><Relationship Id="rId92" Type="http://schemas.openxmlformats.org/officeDocument/2006/relationships/image" Target="media/image79.jpeg"/><Relationship Id="rId2" Type="http://schemas.openxmlformats.org/officeDocument/2006/relationships/numbering" Target="numbering.xml"/><Relationship Id="rId29" Type="http://schemas.openxmlformats.org/officeDocument/2006/relationships/image" Target="media/image18.jpeg"/><Relationship Id="rId24" Type="http://schemas.openxmlformats.org/officeDocument/2006/relationships/header" Target="header3.xml"/><Relationship Id="rId40" Type="http://schemas.openxmlformats.org/officeDocument/2006/relationships/image" Target="media/image29.jpeg"/><Relationship Id="rId45" Type="http://schemas.openxmlformats.org/officeDocument/2006/relationships/image" Target="media/image34.jpeg"/><Relationship Id="rId66" Type="http://schemas.openxmlformats.org/officeDocument/2006/relationships/image" Target="media/image53.jpeg"/><Relationship Id="rId87" Type="http://schemas.openxmlformats.org/officeDocument/2006/relationships/image" Target="media/image74.jpeg"/><Relationship Id="rId110" Type="http://schemas.openxmlformats.org/officeDocument/2006/relationships/image" Target="media/image95.png"/><Relationship Id="rId115" Type="http://schemas.openxmlformats.org/officeDocument/2006/relationships/image" Target="media/image100.jpeg"/><Relationship Id="rId131" Type="http://schemas.openxmlformats.org/officeDocument/2006/relationships/hyperlink" Target="javascript:void(0)" TargetMode="External"/><Relationship Id="rId61" Type="http://schemas.openxmlformats.org/officeDocument/2006/relationships/image" Target="media/image48.jpeg"/><Relationship Id="rId82" Type="http://schemas.openxmlformats.org/officeDocument/2006/relationships/image" Target="media/image69.png"/><Relationship Id="rId19" Type="http://schemas.openxmlformats.org/officeDocument/2006/relationships/image" Target="media/image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E32E0E-8740-4972-B54D-EF1040063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5516</TotalTime>
  <Pages>469</Pages>
  <Words>126811</Words>
  <Characters>722826</Characters>
  <Application>Microsoft Office Word</Application>
  <DocSecurity>0</DocSecurity>
  <Lines>6023</Lines>
  <Paragraphs>1695</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847942</CharactersWithSpaces>
  <SharedDoc>false</SharedDoc>
  <HLinks>
    <vt:vector size="6" baseType="variant">
      <vt:variant>
        <vt:i4>2752529</vt:i4>
      </vt:variant>
      <vt:variant>
        <vt:i4>0</vt:i4>
      </vt:variant>
      <vt:variant>
        <vt:i4>0</vt:i4>
      </vt:variant>
      <vt:variant>
        <vt:i4>5</vt:i4>
      </vt:variant>
      <vt:variant>
        <vt:lpwstr>https://www.ncbi.nlm.nih.gov/pubmed/?term=Wang%20Z%5BAuthor%5D&amp;cauthor=true&amp;cauthor_uid=24053561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Тетяна Павленко</cp:lastModifiedBy>
  <cp:revision>224</cp:revision>
  <cp:lastPrinted>2021-04-09T07:45:00Z</cp:lastPrinted>
  <dcterms:created xsi:type="dcterms:W3CDTF">2021-03-28T14:25:00Z</dcterms:created>
  <dcterms:modified xsi:type="dcterms:W3CDTF">2022-12-14T09:24:00Z</dcterms:modified>
</cp:coreProperties>
</file>